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643F4" w14:textId="77777777" w:rsidR="00A13FF9" w:rsidRDefault="00A13FF9" w:rsidP="00A13FF9">
      <w:pPr>
        <w:tabs>
          <w:tab w:val="center" w:pos="4680"/>
          <w:tab w:val="left" w:pos="7512"/>
        </w:tabs>
        <w:spacing w:before="2400"/>
        <w:jc w:val="center"/>
        <w:rPr>
          <w:b/>
          <w:sz w:val="36"/>
          <w:szCs w:val="36"/>
        </w:rPr>
      </w:pPr>
      <w:r>
        <w:rPr>
          <w:b/>
          <w:sz w:val="36"/>
          <w:szCs w:val="36"/>
        </w:rPr>
        <w:t>ERCOT Nodal Protocols</w:t>
      </w:r>
    </w:p>
    <w:p w14:paraId="36D9B425" w14:textId="77777777" w:rsidR="00A13FF9" w:rsidRDefault="00A13FF9" w:rsidP="00A13FF9">
      <w:pPr>
        <w:jc w:val="center"/>
        <w:rPr>
          <w:b/>
          <w:sz w:val="36"/>
          <w:szCs w:val="36"/>
        </w:rPr>
      </w:pPr>
    </w:p>
    <w:p w14:paraId="58E0B460" w14:textId="77777777" w:rsidR="00A13FF9" w:rsidRDefault="00A13FF9" w:rsidP="00A13FF9">
      <w:pPr>
        <w:jc w:val="center"/>
        <w:rPr>
          <w:b/>
          <w:sz w:val="36"/>
          <w:szCs w:val="36"/>
        </w:rPr>
      </w:pPr>
      <w:r>
        <w:rPr>
          <w:b/>
          <w:sz w:val="36"/>
          <w:szCs w:val="36"/>
        </w:rPr>
        <w:t xml:space="preserve">Section 6:  Adjustment Period and Real-Time Operations  </w:t>
      </w:r>
    </w:p>
    <w:p w14:paraId="3F74A4E9" w14:textId="77777777" w:rsidR="00A13FF9" w:rsidRDefault="00A13FF9" w:rsidP="00A13FF9">
      <w:pPr>
        <w:pStyle w:val="BodyText"/>
        <w:jc w:val="center"/>
        <w:rPr>
          <w:b/>
          <w:szCs w:val="24"/>
        </w:rPr>
      </w:pPr>
    </w:p>
    <w:p w14:paraId="78E756E8" w14:textId="77777777" w:rsidR="00A13FF9" w:rsidRDefault="00A13FF9" w:rsidP="00A13FF9">
      <w:pPr>
        <w:pStyle w:val="BodyText"/>
        <w:jc w:val="center"/>
        <w:rPr>
          <w:b/>
          <w:szCs w:val="24"/>
        </w:rPr>
      </w:pPr>
    </w:p>
    <w:p w14:paraId="5DFE016F" w14:textId="4A4D5FC1" w:rsidR="00A13FF9" w:rsidRDefault="00AD58D8" w:rsidP="00A13FF9">
      <w:pPr>
        <w:pStyle w:val="BodyText"/>
        <w:jc w:val="center"/>
        <w:rPr>
          <w:b/>
          <w:szCs w:val="24"/>
        </w:rPr>
      </w:pPr>
      <w:r>
        <w:rPr>
          <w:b/>
          <w:szCs w:val="24"/>
        </w:rPr>
        <w:t xml:space="preserve">April </w:t>
      </w:r>
      <w:r w:rsidR="00072829">
        <w:rPr>
          <w:b/>
          <w:szCs w:val="24"/>
        </w:rPr>
        <w:t>1</w:t>
      </w:r>
      <w:r w:rsidR="00A13FF9">
        <w:rPr>
          <w:b/>
          <w:szCs w:val="24"/>
        </w:rPr>
        <w:t>, 20</w:t>
      </w:r>
      <w:r w:rsidR="00ED4C7D">
        <w:rPr>
          <w:b/>
          <w:szCs w:val="24"/>
        </w:rPr>
        <w:t>2</w:t>
      </w:r>
      <w:r w:rsidR="0070447C">
        <w:rPr>
          <w:b/>
          <w:szCs w:val="24"/>
        </w:rPr>
        <w:t>5</w:t>
      </w:r>
      <w:r w:rsidR="00735A77">
        <w:rPr>
          <w:b/>
          <w:szCs w:val="24"/>
        </w:rPr>
        <w:t xml:space="preserve"> </w:t>
      </w:r>
    </w:p>
    <w:p w14:paraId="7489E29A" w14:textId="77777777" w:rsidR="00A13FF9" w:rsidRDefault="00A13FF9" w:rsidP="00A13FF9">
      <w:pPr>
        <w:tabs>
          <w:tab w:val="left" w:pos="675"/>
        </w:tabs>
        <w:spacing w:before="360"/>
        <w:rPr>
          <w:b/>
          <w:bCs/>
          <w:i/>
          <w:iCs/>
        </w:rPr>
      </w:pPr>
    </w:p>
    <w:p w14:paraId="68C721A2" w14:textId="77777777" w:rsidR="00A13FF9" w:rsidRDefault="00A13FF9" w:rsidP="00A13FF9">
      <w:pPr>
        <w:pBdr>
          <w:top w:val="single" w:sz="4" w:space="1" w:color="auto"/>
        </w:pBdr>
      </w:pPr>
    </w:p>
    <w:p w14:paraId="3A622F13" w14:textId="77777777" w:rsidR="00A13FF9" w:rsidRDefault="00A13FF9" w:rsidP="00A13FF9">
      <w:pPr>
        <w:pBdr>
          <w:top w:val="single" w:sz="4" w:space="1" w:color="auto"/>
        </w:pBdr>
        <w:sectPr w:rsidR="00A13FF9" w:rsidSect="0011669A">
          <w:headerReference w:type="default" r:id="rId8"/>
          <w:footerReference w:type="even" r:id="rId9"/>
          <w:footerReference w:type="default" r:id="rId10"/>
          <w:pgSz w:w="12240" w:h="15840" w:code="1"/>
          <w:pgMar w:top="1440" w:right="1440" w:bottom="1440" w:left="1440" w:header="720" w:footer="720" w:gutter="0"/>
          <w:pgNumType w:start="1"/>
          <w:cols w:space="720"/>
        </w:sectPr>
      </w:pPr>
    </w:p>
    <w:p w14:paraId="05E90D56" w14:textId="466C2169" w:rsidR="00DA6215" w:rsidRDefault="00A1378D">
      <w:pPr>
        <w:pStyle w:val="TOC1"/>
        <w:rPr>
          <w:rFonts w:asciiTheme="minorHAnsi" w:eastAsiaTheme="minorEastAsia" w:hAnsiTheme="minorHAnsi" w:cstheme="minorBidi"/>
          <w:b w:val="0"/>
          <w:bCs w:val="0"/>
          <w:kern w:val="2"/>
          <w:szCs w:val="24"/>
          <w14:ligatures w14:val="standardContextual"/>
        </w:rPr>
      </w:pPr>
      <w:r w:rsidRPr="001E4447">
        <w:rPr>
          <w:sz w:val="20"/>
        </w:rPr>
        <w:lastRenderedPageBreak/>
        <w:fldChar w:fldCharType="begin"/>
      </w:r>
      <w:r w:rsidR="00A13FF9" w:rsidRPr="001E4447">
        <w:rPr>
          <w:sz w:val="20"/>
        </w:rPr>
        <w:instrText xml:space="preserve"> TOC \o "1-5" \h \z \u </w:instrText>
      </w:r>
      <w:r w:rsidRPr="001E4447">
        <w:rPr>
          <w:sz w:val="20"/>
        </w:rPr>
        <w:fldChar w:fldCharType="separate"/>
      </w:r>
      <w:hyperlink w:anchor="_Toc189044279" w:history="1">
        <w:r w:rsidR="00DA6215" w:rsidRPr="00327000">
          <w:rPr>
            <w:rStyle w:val="Hyperlink"/>
          </w:rPr>
          <w:t>6</w:t>
        </w:r>
        <w:r w:rsidR="00DA6215">
          <w:rPr>
            <w:rFonts w:asciiTheme="minorHAnsi" w:eastAsiaTheme="minorEastAsia" w:hAnsiTheme="minorHAnsi" w:cstheme="minorBidi"/>
            <w:b w:val="0"/>
            <w:bCs w:val="0"/>
            <w:kern w:val="2"/>
            <w:szCs w:val="24"/>
            <w14:ligatures w14:val="standardContextual"/>
          </w:rPr>
          <w:tab/>
        </w:r>
        <w:r w:rsidR="00DA6215" w:rsidRPr="00327000">
          <w:rPr>
            <w:rStyle w:val="Hyperlink"/>
          </w:rPr>
          <w:t>Adjustment Period and Real-Time Operations</w:t>
        </w:r>
        <w:r w:rsidR="00DA6215">
          <w:rPr>
            <w:webHidden/>
          </w:rPr>
          <w:tab/>
        </w:r>
        <w:r w:rsidR="00DA6215">
          <w:rPr>
            <w:webHidden/>
          </w:rPr>
          <w:fldChar w:fldCharType="begin"/>
        </w:r>
        <w:r w:rsidR="00DA6215">
          <w:rPr>
            <w:webHidden/>
          </w:rPr>
          <w:instrText xml:space="preserve"> PAGEREF _Toc189044279 \h </w:instrText>
        </w:r>
        <w:r w:rsidR="00DA6215">
          <w:rPr>
            <w:webHidden/>
          </w:rPr>
        </w:r>
        <w:r w:rsidR="00DA6215">
          <w:rPr>
            <w:webHidden/>
          </w:rPr>
          <w:fldChar w:fldCharType="separate"/>
        </w:r>
        <w:r w:rsidR="00DD0A69">
          <w:rPr>
            <w:webHidden/>
          </w:rPr>
          <w:t>6-1</w:t>
        </w:r>
        <w:r w:rsidR="00DA6215">
          <w:rPr>
            <w:webHidden/>
          </w:rPr>
          <w:fldChar w:fldCharType="end"/>
        </w:r>
      </w:hyperlink>
    </w:p>
    <w:p w14:paraId="58B14946" w14:textId="1DF8BF99" w:rsidR="00DA6215" w:rsidRPr="00DA6215" w:rsidRDefault="00DA6215">
      <w:pPr>
        <w:pStyle w:val="TOC2"/>
        <w:rPr>
          <w:rFonts w:eastAsiaTheme="minorEastAsia"/>
          <w:noProof/>
          <w:kern w:val="2"/>
          <w14:ligatures w14:val="standardContextual"/>
        </w:rPr>
      </w:pPr>
      <w:hyperlink w:anchor="_Toc189044280" w:history="1">
        <w:r w:rsidRPr="00DA6215">
          <w:rPr>
            <w:rStyle w:val="Hyperlink"/>
            <w:noProof/>
            <w:u w:val="none"/>
          </w:rPr>
          <w:t>6.1</w:t>
        </w:r>
        <w:r w:rsidRPr="00DA6215">
          <w:rPr>
            <w:rFonts w:eastAsiaTheme="minorEastAsia"/>
            <w:noProof/>
            <w:kern w:val="2"/>
            <w14:ligatures w14:val="standardContextual"/>
          </w:rPr>
          <w:tab/>
        </w:r>
        <w:r w:rsidRPr="00DA6215">
          <w:rPr>
            <w:rStyle w:val="Hyperlink"/>
            <w:noProof/>
            <w:u w:val="none"/>
          </w:rPr>
          <w:t>Introduction</w:t>
        </w:r>
        <w:r w:rsidRPr="00DA6215">
          <w:rPr>
            <w:noProof/>
            <w:webHidden/>
          </w:rPr>
          <w:tab/>
        </w:r>
        <w:r w:rsidRPr="00DA6215">
          <w:rPr>
            <w:noProof/>
            <w:webHidden/>
          </w:rPr>
          <w:fldChar w:fldCharType="begin"/>
        </w:r>
        <w:r w:rsidRPr="00DA6215">
          <w:rPr>
            <w:noProof/>
            <w:webHidden/>
          </w:rPr>
          <w:instrText xml:space="preserve"> PAGEREF _Toc189044280 \h </w:instrText>
        </w:r>
        <w:r w:rsidRPr="00DA6215">
          <w:rPr>
            <w:noProof/>
            <w:webHidden/>
          </w:rPr>
        </w:r>
        <w:r w:rsidRPr="00DA6215">
          <w:rPr>
            <w:noProof/>
            <w:webHidden/>
          </w:rPr>
          <w:fldChar w:fldCharType="separate"/>
        </w:r>
        <w:r w:rsidR="00DD0A69">
          <w:rPr>
            <w:noProof/>
            <w:webHidden/>
          </w:rPr>
          <w:t>6-1</w:t>
        </w:r>
        <w:r w:rsidRPr="00DA6215">
          <w:rPr>
            <w:noProof/>
            <w:webHidden/>
          </w:rPr>
          <w:fldChar w:fldCharType="end"/>
        </w:r>
      </w:hyperlink>
    </w:p>
    <w:p w14:paraId="2454E2A4" w14:textId="52A9DBB1" w:rsidR="00DA6215" w:rsidRPr="00DA6215" w:rsidRDefault="00DA6215">
      <w:pPr>
        <w:pStyle w:val="TOC2"/>
        <w:rPr>
          <w:rFonts w:eastAsiaTheme="minorEastAsia"/>
          <w:noProof/>
          <w:kern w:val="2"/>
          <w14:ligatures w14:val="standardContextual"/>
        </w:rPr>
      </w:pPr>
      <w:hyperlink w:anchor="_Toc189044281" w:history="1">
        <w:r w:rsidRPr="00DA6215">
          <w:rPr>
            <w:rStyle w:val="Hyperlink"/>
            <w:noProof/>
            <w:u w:val="none"/>
          </w:rPr>
          <w:t>6.2</w:t>
        </w:r>
        <w:r w:rsidRPr="00DA6215">
          <w:rPr>
            <w:rFonts w:eastAsiaTheme="minorEastAsia"/>
            <w:noProof/>
            <w:kern w:val="2"/>
            <w14:ligatures w14:val="standardContextual"/>
          </w:rPr>
          <w:tab/>
        </w:r>
        <w:r w:rsidRPr="00DA6215">
          <w:rPr>
            <w:rStyle w:val="Hyperlink"/>
            <w:noProof/>
            <w:u w:val="none"/>
          </w:rPr>
          <w:t>Market Timeline Summary</w:t>
        </w:r>
        <w:r w:rsidRPr="00DA6215">
          <w:rPr>
            <w:noProof/>
            <w:webHidden/>
          </w:rPr>
          <w:tab/>
        </w:r>
        <w:r w:rsidRPr="00DA6215">
          <w:rPr>
            <w:noProof/>
            <w:webHidden/>
          </w:rPr>
          <w:fldChar w:fldCharType="begin"/>
        </w:r>
        <w:r w:rsidRPr="00DA6215">
          <w:rPr>
            <w:noProof/>
            <w:webHidden/>
          </w:rPr>
          <w:instrText xml:space="preserve"> PAGEREF _Toc189044281 \h </w:instrText>
        </w:r>
        <w:r w:rsidRPr="00DA6215">
          <w:rPr>
            <w:noProof/>
            <w:webHidden/>
          </w:rPr>
        </w:r>
        <w:r w:rsidRPr="00DA6215">
          <w:rPr>
            <w:noProof/>
            <w:webHidden/>
          </w:rPr>
          <w:fldChar w:fldCharType="separate"/>
        </w:r>
        <w:r w:rsidR="00DD0A69">
          <w:rPr>
            <w:noProof/>
            <w:webHidden/>
          </w:rPr>
          <w:t>6-2</w:t>
        </w:r>
        <w:r w:rsidRPr="00DA6215">
          <w:rPr>
            <w:noProof/>
            <w:webHidden/>
          </w:rPr>
          <w:fldChar w:fldCharType="end"/>
        </w:r>
      </w:hyperlink>
    </w:p>
    <w:p w14:paraId="678769BE" w14:textId="072563A8" w:rsidR="00DA6215" w:rsidRPr="00DA6215" w:rsidRDefault="00DA6215">
      <w:pPr>
        <w:pStyle w:val="TOC2"/>
        <w:rPr>
          <w:rFonts w:eastAsiaTheme="minorEastAsia"/>
          <w:noProof/>
          <w:kern w:val="2"/>
          <w14:ligatures w14:val="standardContextual"/>
        </w:rPr>
      </w:pPr>
      <w:hyperlink w:anchor="_Toc189044282" w:history="1">
        <w:r w:rsidRPr="00DA6215">
          <w:rPr>
            <w:rStyle w:val="Hyperlink"/>
            <w:noProof/>
            <w:u w:val="none"/>
          </w:rPr>
          <w:t>6.3</w:t>
        </w:r>
        <w:r w:rsidRPr="00DA6215">
          <w:rPr>
            <w:rFonts w:eastAsiaTheme="minorEastAsia"/>
            <w:noProof/>
            <w:kern w:val="2"/>
            <w14:ligatures w14:val="standardContextual"/>
          </w:rPr>
          <w:tab/>
        </w:r>
        <w:r w:rsidRPr="00DA6215">
          <w:rPr>
            <w:rStyle w:val="Hyperlink"/>
            <w:noProof/>
            <w:u w:val="none"/>
          </w:rPr>
          <w:t>Adjustment Period and Real-Time Operations Timeline</w:t>
        </w:r>
        <w:r w:rsidRPr="00DA6215">
          <w:rPr>
            <w:noProof/>
            <w:webHidden/>
          </w:rPr>
          <w:tab/>
        </w:r>
        <w:r w:rsidRPr="00DA6215">
          <w:rPr>
            <w:noProof/>
            <w:webHidden/>
          </w:rPr>
          <w:fldChar w:fldCharType="begin"/>
        </w:r>
        <w:r w:rsidRPr="00DA6215">
          <w:rPr>
            <w:noProof/>
            <w:webHidden/>
          </w:rPr>
          <w:instrText xml:space="preserve"> PAGEREF _Toc189044282 \h </w:instrText>
        </w:r>
        <w:r w:rsidRPr="00DA6215">
          <w:rPr>
            <w:noProof/>
            <w:webHidden/>
          </w:rPr>
        </w:r>
        <w:r w:rsidRPr="00DA6215">
          <w:rPr>
            <w:noProof/>
            <w:webHidden/>
          </w:rPr>
          <w:fldChar w:fldCharType="separate"/>
        </w:r>
        <w:r w:rsidR="00DD0A69">
          <w:rPr>
            <w:noProof/>
            <w:webHidden/>
          </w:rPr>
          <w:t>6-3</w:t>
        </w:r>
        <w:r w:rsidRPr="00DA6215">
          <w:rPr>
            <w:noProof/>
            <w:webHidden/>
          </w:rPr>
          <w:fldChar w:fldCharType="end"/>
        </w:r>
      </w:hyperlink>
    </w:p>
    <w:p w14:paraId="50F098C1" w14:textId="3A56BEBE" w:rsidR="00DA6215" w:rsidRPr="00DA6215" w:rsidRDefault="00DA6215">
      <w:pPr>
        <w:pStyle w:val="TOC2"/>
        <w:rPr>
          <w:rFonts w:eastAsiaTheme="minorEastAsia"/>
          <w:noProof/>
          <w:kern w:val="2"/>
          <w14:ligatures w14:val="standardContextual"/>
        </w:rPr>
      </w:pPr>
      <w:hyperlink w:anchor="_Toc189044283" w:history="1">
        <w:r w:rsidRPr="00DA6215">
          <w:rPr>
            <w:rStyle w:val="Hyperlink"/>
            <w:noProof/>
            <w:u w:val="none"/>
          </w:rPr>
          <w:t>6.3</w:t>
        </w:r>
        <w:r w:rsidRPr="00DA6215">
          <w:rPr>
            <w:rFonts w:eastAsiaTheme="minorEastAsia"/>
            <w:noProof/>
            <w:kern w:val="2"/>
            <w14:ligatures w14:val="standardContextual"/>
          </w:rPr>
          <w:tab/>
        </w:r>
        <w:r w:rsidRPr="00DA6215">
          <w:rPr>
            <w:rStyle w:val="Hyperlink"/>
            <w:noProof/>
            <w:u w:val="none"/>
          </w:rPr>
          <w:t>Adjustment Period and Real-Time Operations Timeline</w:t>
        </w:r>
        <w:r w:rsidRPr="00DA6215">
          <w:rPr>
            <w:noProof/>
            <w:webHidden/>
          </w:rPr>
          <w:tab/>
        </w:r>
        <w:r w:rsidRPr="00DA6215">
          <w:rPr>
            <w:noProof/>
            <w:webHidden/>
          </w:rPr>
          <w:fldChar w:fldCharType="begin"/>
        </w:r>
        <w:r w:rsidRPr="00DA6215">
          <w:rPr>
            <w:noProof/>
            <w:webHidden/>
          </w:rPr>
          <w:instrText xml:space="preserve"> PAGEREF _Toc189044283 \h </w:instrText>
        </w:r>
        <w:r w:rsidRPr="00DA6215">
          <w:rPr>
            <w:noProof/>
            <w:webHidden/>
          </w:rPr>
        </w:r>
        <w:r w:rsidRPr="00DA6215">
          <w:rPr>
            <w:noProof/>
            <w:webHidden/>
          </w:rPr>
          <w:fldChar w:fldCharType="separate"/>
        </w:r>
        <w:r w:rsidR="00DD0A69">
          <w:rPr>
            <w:noProof/>
            <w:webHidden/>
          </w:rPr>
          <w:t>6-7</w:t>
        </w:r>
        <w:r w:rsidRPr="00DA6215">
          <w:rPr>
            <w:noProof/>
            <w:webHidden/>
          </w:rPr>
          <w:fldChar w:fldCharType="end"/>
        </w:r>
      </w:hyperlink>
    </w:p>
    <w:p w14:paraId="3921122F" w14:textId="21E83840" w:rsidR="00DA6215" w:rsidRPr="00DA6215" w:rsidRDefault="00DA6215">
      <w:pPr>
        <w:pStyle w:val="TOC3"/>
        <w:rPr>
          <w:rFonts w:eastAsiaTheme="minorEastAsia"/>
          <w:i w:val="0"/>
          <w:iCs w:val="0"/>
          <w:kern w:val="2"/>
          <w14:ligatures w14:val="standardContextual"/>
        </w:rPr>
      </w:pPr>
      <w:hyperlink w:anchor="_Toc189044284" w:history="1">
        <w:r w:rsidRPr="00DA6215">
          <w:rPr>
            <w:rStyle w:val="Hyperlink"/>
            <w:i w:val="0"/>
            <w:iCs w:val="0"/>
            <w:u w:val="none"/>
          </w:rPr>
          <w:t>6.3.1</w:t>
        </w:r>
        <w:r w:rsidRPr="00DA6215">
          <w:rPr>
            <w:rFonts w:eastAsiaTheme="minorEastAsia"/>
            <w:i w:val="0"/>
            <w:iCs w:val="0"/>
            <w:kern w:val="2"/>
            <w14:ligatures w14:val="standardContextual"/>
          </w:rPr>
          <w:tab/>
        </w:r>
        <w:r w:rsidRPr="00DA6215">
          <w:rPr>
            <w:rStyle w:val="Hyperlink"/>
            <w:i w:val="0"/>
            <w:iCs w:val="0"/>
            <w:u w:val="none"/>
          </w:rPr>
          <w:t>Activities for the Adjustment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_Toc189044284 \h </w:instrText>
        </w:r>
        <w:r w:rsidRPr="00DA6215">
          <w:rPr>
            <w:i w:val="0"/>
            <w:iCs w:val="0"/>
            <w:webHidden/>
          </w:rPr>
        </w:r>
        <w:r w:rsidRPr="00DA6215">
          <w:rPr>
            <w:i w:val="0"/>
            <w:iCs w:val="0"/>
            <w:webHidden/>
          </w:rPr>
          <w:fldChar w:fldCharType="separate"/>
        </w:r>
        <w:r w:rsidR="00DD0A69">
          <w:rPr>
            <w:i w:val="0"/>
            <w:iCs w:val="0"/>
            <w:webHidden/>
          </w:rPr>
          <w:t>6-11</w:t>
        </w:r>
        <w:r w:rsidRPr="00DA6215">
          <w:rPr>
            <w:i w:val="0"/>
            <w:iCs w:val="0"/>
            <w:webHidden/>
          </w:rPr>
          <w:fldChar w:fldCharType="end"/>
        </w:r>
      </w:hyperlink>
    </w:p>
    <w:p w14:paraId="44C36865" w14:textId="050DB5BF" w:rsidR="00DA6215" w:rsidRPr="00DA6215" w:rsidRDefault="00DA6215">
      <w:pPr>
        <w:pStyle w:val="TOC3"/>
        <w:rPr>
          <w:rFonts w:eastAsiaTheme="minorEastAsia"/>
          <w:i w:val="0"/>
          <w:iCs w:val="0"/>
          <w:kern w:val="2"/>
          <w14:ligatures w14:val="standardContextual"/>
        </w:rPr>
      </w:pPr>
      <w:hyperlink w:anchor="_Toc189044285" w:history="1">
        <w:r w:rsidRPr="00DA6215">
          <w:rPr>
            <w:rStyle w:val="Hyperlink"/>
            <w:i w:val="0"/>
            <w:iCs w:val="0"/>
            <w:u w:val="none"/>
          </w:rPr>
          <w:t>6.3.2</w:t>
        </w:r>
        <w:r w:rsidRPr="00DA6215">
          <w:rPr>
            <w:rFonts w:eastAsiaTheme="minorEastAsia"/>
            <w:i w:val="0"/>
            <w:iCs w:val="0"/>
            <w:kern w:val="2"/>
            <w14:ligatures w14:val="standardContextual"/>
          </w:rPr>
          <w:tab/>
        </w:r>
        <w:r w:rsidRPr="00DA6215">
          <w:rPr>
            <w:rStyle w:val="Hyperlink"/>
            <w:i w:val="0"/>
            <w:iCs w:val="0"/>
            <w:u w:val="none"/>
          </w:rPr>
          <w:t>Activities for Real-Time Operations</w:t>
        </w:r>
        <w:r w:rsidRPr="00DA6215">
          <w:rPr>
            <w:i w:val="0"/>
            <w:iCs w:val="0"/>
            <w:webHidden/>
          </w:rPr>
          <w:tab/>
        </w:r>
        <w:r w:rsidRPr="00DA6215">
          <w:rPr>
            <w:i w:val="0"/>
            <w:iCs w:val="0"/>
            <w:webHidden/>
          </w:rPr>
          <w:fldChar w:fldCharType="begin"/>
        </w:r>
        <w:r w:rsidRPr="00DA6215">
          <w:rPr>
            <w:i w:val="0"/>
            <w:iCs w:val="0"/>
            <w:webHidden/>
          </w:rPr>
          <w:instrText xml:space="preserve"> PAGEREF _Toc189044285 \h </w:instrText>
        </w:r>
        <w:r w:rsidRPr="00DA6215">
          <w:rPr>
            <w:i w:val="0"/>
            <w:iCs w:val="0"/>
            <w:webHidden/>
          </w:rPr>
        </w:r>
        <w:r w:rsidRPr="00DA6215">
          <w:rPr>
            <w:i w:val="0"/>
            <w:iCs w:val="0"/>
            <w:webHidden/>
          </w:rPr>
          <w:fldChar w:fldCharType="separate"/>
        </w:r>
        <w:r w:rsidR="00DD0A69">
          <w:rPr>
            <w:i w:val="0"/>
            <w:iCs w:val="0"/>
            <w:webHidden/>
          </w:rPr>
          <w:t>6-13</w:t>
        </w:r>
        <w:r w:rsidRPr="00DA6215">
          <w:rPr>
            <w:i w:val="0"/>
            <w:iCs w:val="0"/>
            <w:webHidden/>
          </w:rPr>
          <w:fldChar w:fldCharType="end"/>
        </w:r>
      </w:hyperlink>
    </w:p>
    <w:p w14:paraId="1788C3EF" w14:textId="165DAFA8" w:rsidR="00DA6215" w:rsidRPr="00DA6215" w:rsidRDefault="00DA6215">
      <w:pPr>
        <w:pStyle w:val="TOC3"/>
        <w:rPr>
          <w:rFonts w:eastAsiaTheme="minorEastAsia"/>
          <w:i w:val="0"/>
          <w:iCs w:val="0"/>
          <w:kern w:val="2"/>
          <w14:ligatures w14:val="standardContextual"/>
        </w:rPr>
      </w:pPr>
      <w:hyperlink w:anchor="_Toc189044286" w:history="1">
        <w:r w:rsidRPr="00DA6215">
          <w:rPr>
            <w:rStyle w:val="Hyperlink"/>
            <w:i w:val="0"/>
            <w:iCs w:val="0"/>
            <w:u w:val="none"/>
          </w:rPr>
          <w:t>6.3.3</w:t>
        </w:r>
        <w:r w:rsidRPr="00DA6215">
          <w:rPr>
            <w:rFonts w:eastAsiaTheme="minorEastAsia"/>
            <w:i w:val="0"/>
            <w:iCs w:val="0"/>
            <w:kern w:val="2"/>
            <w14:ligatures w14:val="standardContextual"/>
          </w:rPr>
          <w:tab/>
        </w:r>
        <w:r w:rsidRPr="00DA6215">
          <w:rPr>
            <w:rStyle w:val="Hyperlink"/>
            <w:i w:val="0"/>
            <w:iCs w:val="0"/>
            <w:u w:val="none"/>
          </w:rPr>
          <w:t>Real-Time Timeline Deviations</w:t>
        </w:r>
        <w:r w:rsidRPr="00DA6215">
          <w:rPr>
            <w:i w:val="0"/>
            <w:iCs w:val="0"/>
            <w:webHidden/>
          </w:rPr>
          <w:tab/>
        </w:r>
        <w:r w:rsidRPr="00DA6215">
          <w:rPr>
            <w:i w:val="0"/>
            <w:iCs w:val="0"/>
            <w:webHidden/>
          </w:rPr>
          <w:fldChar w:fldCharType="begin"/>
        </w:r>
        <w:r w:rsidRPr="00DA6215">
          <w:rPr>
            <w:i w:val="0"/>
            <w:iCs w:val="0"/>
            <w:webHidden/>
          </w:rPr>
          <w:instrText xml:space="preserve"> PAGEREF _Toc189044286 \h </w:instrText>
        </w:r>
        <w:r w:rsidRPr="00DA6215">
          <w:rPr>
            <w:i w:val="0"/>
            <w:iCs w:val="0"/>
            <w:webHidden/>
          </w:rPr>
        </w:r>
        <w:r w:rsidRPr="00DA6215">
          <w:rPr>
            <w:i w:val="0"/>
            <w:iCs w:val="0"/>
            <w:webHidden/>
          </w:rPr>
          <w:fldChar w:fldCharType="separate"/>
        </w:r>
        <w:r w:rsidR="00DD0A69">
          <w:rPr>
            <w:i w:val="0"/>
            <w:iCs w:val="0"/>
            <w:webHidden/>
          </w:rPr>
          <w:t>6-22</w:t>
        </w:r>
        <w:r w:rsidRPr="00DA6215">
          <w:rPr>
            <w:i w:val="0"/>
            <w:iCs w:val="0"/>
            <w:webHidden/>
          </w:rPr>
          <w:fldChar w:fldCharType="end"/>
        </w:r>
      </w:hyperlink>
    </w:p>
    <w:p w14:paraId="74D1681C" w14:textId="0551E649" w:rsidR="00DA6215" w:rsidRPr="00DA6215" w:rsidRDefault="00DA6215">
      <w:pPr>
        <w:pStyle w:val="TOC3"/>
        <w:rPr>
          <w:rFonts w:eastAsiaTheme="minorEastAsia"/>
          <w:i w:val="0"/>
          <w:iCs w:val="0"/>
          <w:kern w:val="2"/>
          <w14:ligatures w14:val="standardContextual"/>
        </w:rPr>
      </w:pPr>
      <w:hyperlink w:anchor="_Toc189044287" w:history="1">
        <w:r w:rsidRPr="00DA6215">
          <w:rPr>
            <w:rStyle w:val="Hyperlink"/>
            <w:i w:val="0"/>
            <w:iCs w:val="0"/>
            <w:u w:val="none"/>
          </w:rPr>
          <w:t>6.3.4</w:t>
        </w:r>
        <w:r w:rsidRPr="00DA6215">
          <w:rPr>
            <w:rFonts w:eastAsiaTheme="minorEastAsia"/>
            <w:i w:val="0"/>
            <w:iCs w:val="0"/>
            <w:kern w:val="2"/>
            <w14:ligatures w14:val="standardContextual"/>
          </w:rPr>
          <w:tab/>
        </w:r>
        <w:r w:rsidRPr="00DA6215">
          <w:rPr>
            <w:rStyle w:val="Hyperlink"/>
            <w:i w:val="0"/>
            <w:iCs w:val="0"/>
            <w:u w:val="none"/>
          </w:rPr>
          <w:t>ERCOT Notification of Validation Rules for Real-Time</w:t>
        </w:r>
        <w:r w:rsidRPr="00DA6215">
          <w:rPr>
            <w:i w:val="0"/>
            <w:iCs w:val="0"/>
            <w:webHidden/>
          </w:rPr>
          <w:tab/>
        </w:r>
        <w:r w:rsidRPr="00DA6215">
          <w:rPr>
            <w:i w:val="0"/>
            <w:iCs w:val="0"/>
            <w:webHidden/>
          </w:rPr>
          <w:fldChar w:fldCharType="begin"/>
        </w:r>
        <w:r w:rsidRPr="00DA6215">
          <w:rPr>
            <w:i w:val="0"/>
            <w:iCs w:val="0"/>
            <w:webHidden/>
          </w:rPr>
          <w:instrText xml:space="preserve"> PAGEREF _Toc189044287 \h </w:instrText>
        </w:r>
        <w:r w:rsidRPr="00DA6215">
          <w:rPr>
            <w:i w:val="0"/>
            <w:iCs w:val="0"/>
            <w:webHidden/>
          </w:rPr>
        </w:r>
        <w:r w:rsidRPr="00DA6215">
          <w:rPr>
            <w:i w:val="0"/>
            <w:iCs w:val="0"/>
            <w:webHidden/>
          </w:rPr>
          <w:fldChar w:fldCharType="separate"/>
        </w:r>
        <w:r w:rsidR="00DD0A69">
          <w:rPr>
            <w:i w:val="0"/>
            <w:iCs w:val="0"/>
            <w:webHidden/>
          </w:rPr>
          <w:t>6-22</w:t>
        </w:r>
        <w:r w:rsidRPr="00DA6215">
          <w:rPr>
            <w:i w:val="0"/>
            <w:iCs w:val="0"/>
            <w:webHidden/>
          </w:rPr>
          <w:fldChar w:fldCharType="end"/>
        </w:r>
      </w:hyperlink>
    </w:p>
    <w:p w14:paraId="2093F488" w14:textId="267E8789" w:rsidR="00DA6215" w:rsidRPr="00DA6215" w:rsidRDefault="00DA6215">
      <w:pPr>
        <w:pStyle w:val="TOC2"/>
        <w:rPr>
          <w:rFonts w:eastAsiaTheme="minorEastAsia"/>
          <w:noProof/>
          <w:kern w:val="2"/>
          <w14:ligatures w14:val="standardContextual"/>
        </w:rPr>
      </w:pPr>
      <w:hyperlink w:anchor="_Toc189044288" w:history="1">
        <w:r w:rsidRPr="00DA6215">
          <w:rPr>
            <w:rStyle w:val="Hyperlink"/>
            <w:noProof/>
            <w:u w:val="none"/>
          </w:rPr>
          <w:t>6.4</w:t>
        </w:r>
        <w:r w:rsidRPr="00DA6215">
          <w:rPr>
            <w:rFonts w:eastAsiaTheme="minorEastAsia"/>
            <w:noProof/>
            <w:kern w:val="2"/>
            <w14:ligatures w14:val="standardContextual"/>
          </w:rPr>
          <w:tab/>
        </w:r>
        <w:r w:rsidRPr="00DA6215">
          <w:rPr>
            <w:rStyle w:val="Hyperlink"/>
            <w:noProof/>
            <w:u w:val="none"/>
          </w:rPr>
          <w:t>Adjustment Period</w:t>
        </w:r>
        <w:r w:rsidRPr="00DA6215">
          <w:rPr>
            <w:noProof/>
            <w:webHidden/>
          </w:rPr>
          <w:tab/>
        </w:r>
        <w:r w:rsidRPr="00DA6215">
          <w:rPr>
            <w:noProof/>
            <w:webHidden/>
          </w:rPr>
          <w:fldChar w:fldCharType="begin"/>
        </w:r>
        <w:r w:rsidRPr="00DA6215">
          <w:rPr>
            <w:noProof/>
            <w:webHidden/>
          </w:rPr>
          <w:instrText xml:space="preserve"> PAGEREF _Toc189044288 \h </w:instrText>
        </w:r>
        <w:r w:rsidRPr="00DA6215">
          <w:rPr>
            <w:noProof/>
            <w:webHidden/>
          </w:rPr>
        </w:r>
        <w:r w:rsidRPr="00DA6215">
          <w:rPr>
            <w:noProof/>
            <w:webHidden/>
          </w:rPr>
          <w:fldChar w:fldCharType="separate"/>
        </w:r>
        <w:r w:rsidR="00DD0A69">
          <w:rPr>
            <w:noProof/>
            <w:webHidden/>
          </w:rPr>
          <w:t>6-23</w:t>
        </w:r>
        <w:r w:rsidRPr="00DA6215">
          <w:rPr>
            <w:noProof/>
            <w:webHidden/>
          </w:rPr>
          <w:fldChar w:fldCharType="end"/>
        </w:r>
      </w:hyperlink>
    </w:p>
    <w:p w14:paraId="6718D0B5" w14:textId="25646E7C" w:rsidR="00DA6215" w:rsidRPr="00DA6215" w:rsidRDefault="00DA6215">
      <w:pPr>
        <w:pStyle w:val="TOC3"/>
        <w:rPr>
          <w:rFonts w:eastAsiaTheme="minorEastAsia"/>
          <w:i w:val="0"/>
          <w:iCs w:val="0"/>
          <w:kern w:val="2"/>
          <w14:ligatures w14:val="standardContextual"/>
        </w:rPr>
      </w:pPr>
      <w:hyperlink w:anchor="_Toc189044289" w:history="1">
        <w:r w:rsidRPr="00DA6215">
          <w:rPr>
            <w:rStyle w:val="Hyperlink"/>
            <w:i w:val="0"/>
            <w:iCs w:val="0"/>
            <w:u w:val="none"/>
          </w:rPr>
          <w:t>6.4.1</w:t>
        </w:r>
        <w:r w:rsidRPr="00DA6215">
          <w:rPr>
            <w:rFonts w:eastAsiaTheme="minorEastAsia"/>
            <w:i w:val="0"/>
            <w:iCs w:val="0"/>
            <w:kern w:val="2"/>
            <w14:ligatures w14:val="standardContextual"/>
          </w:rPr>
          <w:tab/>
        </w:r>
        <w:r w:rsidRPr="00DA6215">
          <w:rPr>
            <w:rStyle w:val="Hyperlink"/>
            <w:i w:val="0"/>
            <w:iCs w:val="0"/>
            <w:u w:val="none"/>
          </w:rPr>
          <w:t>Capacity Trade, Energy Trade, Self-Schedule, and Ancillary Service Trades</w:t>
        </w:r>
        <w:r w:rsidRPr="00DA6215">
          <w:rPr>
            <w:i w:val="0"/>
            <w:iCs w:val="0"/>
            <w:webHidden/>
          </w:rPr>
          <w:tab/>
        </w:r>
        <w:r w:rsidRPr="00DA6215">
          <w:rPr>
            <w:i w:val="0"/>
            <w:iCs w:val="0"/>
            <w:webHidden/>
          </w:rPr>
          <w:fldChar w:fldCharType="begin"/>
        </w:r>
        <w:r w:rsidRPr="00DA6215">
          <w:rPr>
            <w:i w:val="0"/>
            <w:iCs w:val="0"/>
            <w:webHidden/>
          </w:rPr>
          <w:instrText xml:space="preserve"> PAGEREF _Toc189044289 \h </w:instrText>
        </w:r>
        <w:r w:rsidRPr="00DA6215">
          <w:rPr>
            <w:i w:val="0"/>
            <w:iCs w:val="0"/>
            <w:webHidden/>
          </w:rPr>
        </w:r>
        <w:r w:rsidRPr="00DA6215">
          <w:rPr>
            <w:i w:val="0"/>
            <w:iCs w:val="0"/>
            <w:webHidden/>
          </w:rPr>
          <w:fldChar w:fldCharType="separate"/>
        </w:r>
        <w:r w:rsidR="00DD0A69">
          <w:rPr>
            <w:i w:val="0"/>
            <w:iCs w:val="0"/>
            <w:webHidden/>
          </w:rPr>
          <w:t>6-23</w:t>
        </w:r>
        <w:r w:rsidRPr="00DA6215">
          <w:rPr>
            <w:i w:val="0"/>
            <w:iCs w:val="0"/>
            <w:webHidden/>
          </w:rPr>
          <w:fldChar w:fldCharType="end"/>
        </w:r>
      </w:hyperlink>
    </w:p>
    <w:p w14:paraId="3E0B9EA6" w14:textId="799AB2D0" w:rsidR="00DA6215" w:rsidRPr="00DA6215" w:rsidRDefault="00DA6215">
      <w:pPr>
        <w:pStyle w:val="TOC3"/>
        <w:rPr>
          <w:rFonts w:eastAsiaTheme="minorEastAsia"/>
          <w:i w:val="0"/>
          <w:iCs w:val="0"/>
          <w:kern w:val="2"/>
          <w14:ligatures w14:val="standardContextual"/>
        </w:rPr>
      </w:pPr>
      <w:hyperlink w:anchor="_Toc189044290" w:history="1">
        <w:r w:rsidRPr="00DA6215">
          <w:rPr>
            <w:rStyle w:val="Hyperlink"/>
            <w:i w:val="0"/>
            <w:iCs w:val="0"/>
            <w:u w:val="none"/>
          </w:rPr>
          <w:t>6.4.2</w:t>
        </w:r>
        <w:r w:rsidRPr="00DA6215">
          <w:rPr>
            <w:rFonts w:eastAsiaTheme="minorEastAsia"/>
            <w:i w:val="0"/>
            <w:iCs w:val="0"/>
            <w:kern w:val="2"/>
            <w14:ligatures w14:val="standardContextual"/>
          </w:rPr>
          <w:tab/>
        </w:r>
        <w:r w:rsidRPr="00DA6215">
          <w:rPr>
            <w:rStyle w:val="Hyperlink"/>
            <w:i w:val="0"/>
            <w:iCs w:val="0"/>
            <w:u w:val="none"/>
          </w:rPr>
          <w:t>Output Schedules</w:t>
        </w:r>
        <w:r w:rsidRPr="00DA6215">
          <w:rPr>
            <w:i w:val="0"/>
            <w:iCs w:val="0"/>
            <w:webHidden/>
          </w:rPr>
          <w:tab/>
        </w:r>
        <w:r w:rsidRPr="00DA6215">
          <w:rPr>
            <w:i w:val="0"/>
            <w:iCs w:val="0"/>
            <w:webHidden/>
          </w:rPr>
          <w:fldChar w:fldCharType="begin"/>
        </w:r>
        <w:r w:rsidRPr="00DA6215">
          <w:rPr>
            <w:i w:val="0"/>
            <w:iCs w:val="0"/>
            <w:webHidden/>
          </w:rPr>
          <w:instrText xml:space="preserve"> PAGEREF _Toc189044290 \h </w:instrText>
        </w:r>
        <w:r w:rsidRPr="00DA6215">
          <w:rPr>
            <w:i w:val="0"/>
            <w:iCs w:val="0"/>
            <w:webHidden/>
          </w:rPr>
        </w:r>
        <w:r w:rsidRPr="00DA6215">
          <w:rPr>
            <w:i w:val="0"/>
            <w:iCs w:val="0"/>
            <w:webHidden/>
          </w:rPr>
          <w:fldChar w:fldCharType="separate"/>
        </w:r>
        <w:r w:rsidR="00DD0A69">
          <w:rPr>
            <w:i w:val="0"/>
            <w:iCs w:val="0"/>
            <w:webHidden/>
          </w:rPr>
          <w:t>6-23</w:t>
        </w:r>
        <w:r w:rsidRPr="00DA6215">
          <w:rPr>
            <w:i w:val="0"/>
            <w:iCs w:val="0"/>
            <w:webHidden/>
          </w:rPr>
          <w:fldChar w:fldCharType="end"/>
        </w:r>
      </w:hyperlink>
    </w:p>
    <w:p w14:paraId="5ED2198C" w14:textId="7D8AB4C0" w:rsidR="00DA6215" w:rsidRPr="00DA6215" w:rsidRDefault="00DA6215">
      <w:pPr>
        <w:pStyle w:val="TOC3"/>
        <w:rPr>
          <w:rFonts w:eastAsiaTheme="minorEastAsia"/>
          <w:i w:val="0"/>
          <w:iCs w:val="0"/>
          <w:kern w:val="2"/>
          <w14:ligatures w14:val="standardContextual"/>
        </w:rPr>
      </w:pPr>
      <w:hyperlink w:anchor="_Toc189044291" w:history="1">
        <w:r w:rsidRPr="00DA6215">
          <w:rPr>
            <w:rStyle w:val="Hyperlink"/>
            <w:i w:val="0"/>
            <w:iCs w:val="0"/>
            <w:u w:val="none"/>
          </w:rPr>
          <w:t>6.4.2</w:t>
        </w:r>
        <w:r w:rsidRPr="00DA6215">
          <w:rPr>
            <w:rFonts w:eastAsiaTheme="minorEastAsia"/>
            <w:i w:val="0"/>
            <w:iCs w:val="0"/>
            <w:kern w:val="2"/>
            <w14:ligatures w14:val="standardContextual"/>
          </w:rPr>
          <w:tab/>
        </w:r>
        <w:r w:rsidRPr="00DA6215">
          <w:rPr>
            <w:rStyle w:val="Hyperlink"/>
            <w:i w:val="0"/>
            <w:iCs w:val="0"/>
            <w:u w:val="none"/>
          </w:rPr>
          <w:t>Output Schedules</w:t>
        </w:r>
        <w:r w:rsidRPr="00DA6215">
          <w:rPr>
            <w:i w:val="0"/>
            <w:iCs w:val="0"/>
            <w:webHidden/>
          </w:rPr>
          <w:tab/>
        </w:r>
        <w:r w:rsidRPr="00DA6215">
          <w:rPr>
            <w:i w:val="0"/>
            <w:iCs w:val="0"/>
            <w:webHidden/>
          </w:rPr>
          <w:fldChar w:fldCharType="begin"/>
        </w:r>
        <w:r w:rsidRPr="00DA6215">
          <w:rPr>
            <w:i w:val="0"/>
            <w:iCs w:val="0"/>
            <w:webHidden/>
          </w:rPr>
          <w:instrText xml:space="preserve"> PAGEREF _Toc189044291 \h </w:instrText>
        </w:r>
        <w:r w:rsidRPr="00DA6215">
          <w:rPr>
            <w:i w:val="0"/>
            <w:iCs w:val="0"/>
            <w:webHidden/>
          </w:rPr>
        </w:r>
        <w:r w:rsidRPr="00DA6215">
          <w:rPr>
            <w:i w:val="0"/>
            <w:iCs w:val="0"/>
            <w:webHidden/>
          </w:rPr>
          <w:fldChar w:fldCharType="separate"/>
        </w:r>
        <w:r w:rsidR="00DD0A69">
          <w:rPr>
            <w:i w:val="0"/>
            <w:iCs w:val="0"/>
            <w:webHidden/>
          </w:rPr>
          <w:t>6-24</w:t>
        </w:r>
        <w:r w:rsidRPr="00DA6215">
          <w:rPr>
            <w:i w:val="0"/>
            <w:iCs w:val="0"/>
            <w:webHidden/>
          </w:rPr>
          <w:fldChar w:fldCharType="end"/>
        </w:r>
      </w:hyperlink>
    </w:p>
    <w:p w14:paraId="3D2B087F" w14:textId="5E5C0DDD" w:rsidR="00DA6215" w:rsidRPr="00DA6215" w:rsidRDefault="00DA6215">
      <w:pPr>
        <w:pStyle w:val="TOC4"/>
        <w:rPr>
          <w:rFonts w:eastAsiaTheme="minorEastAsia"/>
          <w:kern w:val="2"/>
          <w:lang w:val="en-US"/>
          <w14:ligatures w14:val="standardContextual"/>
        </w:rPr>
      </w:pPr>
      <w:hyperlink w:anchor="_Toc189044292" w:history="1">
        <w:r w:rsidRPr="00DA6215">
          <w:rPr>
            <w:rStyle w:val="Hyperlink"/>
            <w:u w:val="none"/>
          </w:rPr>
          <w:t>6.4.2.1</w:t>
        </w:r>
        <w:r w:rsidRPr="00DA6215">
          <w:rPr>
            <w:rFonts w:eastAsiaTheme="minorEastAsia"/>
            <w:kern w:val="2"/>
            <w:lang w:val="en-US"/>
            <w14:ligatures w14:val="standardContextual"/>
          </w:rPr>
          <w:tab/>
        </w:r>
        <w:r w:rsidRPr="00DA6215">
          <w:rPr>
            <w:rStyle w:val="Hyperlink"/>
            <w:u w:val="none"/>
          </w:rPr>
          <w:t>Output Schedules for Resources Other than Dynamically Scheduled Resources</w:t>
        </w:r>
        <w:r w:rsidRPr="00DA6215">
          <w:rPr>
            <w:webHidden/>
          </w:rPr>
          <w:tab/>
        </w:r>
        <w:r w:rsidRPr="00DA6215">
          <w:rPr>
            <w:webHidden/>
          </w:rPr>
          <w:fldChar w:fldCharType="begin"/>
        </w:r>
        <w:r w:rsidRPr="00DA6215">
          <w:rPr>
            <w:webHidden/>
          </w:rPr>
          <w:instrText xml:space="preserve"> PAGEREF _Toc189044292 \h </w:instrText>
        </w:r>
        <w:r w:rsidRPr="00DA6215">
          <w:rPr>
            <w:webHidden/>
          </w:rPr>
        </w:r>
        <w:r w:rsidRPr="00DA6215">
          <w:rPr>
            <w:webHidden/>
          </w:rPr>
          <w:fldChar w:fldCharType="separate"/>
        </w:r>
        <w:r w:rsidR="00DD0A69">
          <w:rPr>
            <w:webHidden/>
          </w:rPr>
          <w:t>6-24</w:t>
        </w:r>
        <w:r w:rsidRPr="00DA6215">
          <w:rPr>
            <w:webHidden/>
          </w:rPr>
          <w:fldChar w:fldCharType="end"/>
        </w:r>
      </w:hyperlink>
    </w:p>
    <w:p w14:paraId="36F1B48C" w14:textId="3C6CDC3B" w:rsidR="00DA6215" w:rsidRPr="00DA6215" w:rsidRDefault="00DA6215">
      <w:pPr>
        <w:pStyle w:val="TOC4"/>
        <w:rPr>
          <w:rFonts w:eastAsiaTheme="minorEastAsia"/>
          <w:kern w:val="2"/>
          <w:lang w:val="en-US"/>
          <w14:ligatures w14:val="standardContextual"/>
        </w:rPr>
      </w:pPr>
      <w:hyperlink w:anchor="_Toc189044293" w:history="1">
        <w:r w:rsidRPr="00DA6215">
          <w:rPr>
            <w:rStyle w:val="Hyperlink"/>
            <w:snapToGrid w:val="0"/>
            <w:u w:val="none"/>
          </w:rPr>
          <w:t>6.4.2.1</w:t>
        </w:r>
        <w:r w:rsidRPr="00DA6215">
          <w:rPr>
            <w:rFonts w:eastAsiaTheme="minorEastAsia"/>
            <w:kern w:val="2"/>
            <w:lang w:val="en-US"/>
            <w14:ligatures w14:val="standardContextual"/>
          </w:rPr>
          <w:tab/>
        </w:r>
        <w:r w:rsidRPr="00DA6215">
          <w:rPr>
            <w:rStyle w:val="Hyperlink"/>
            <w:snapToGrid w:val="0"/>
            <w:u w:val="none"/>
          </w:rPr>
          <w:t>Output Schedules for Resources</w:t>
        </w:r>
        <w:r w:rsidRPr="00DA6215">
          <w:rPr>
            <w:webHidden/>
          </w:rPr>
          <w:tab/>
        </w:r>
        <w:r w:rsidRPr="00DA6215">
          <w:rPr>
            <w:webHidden/>
          </w:rPr>
          <w:fldChar w:fldCharType="begin"/>
        </w:r>
        <w:r w:rsidRPr="00DA6215">
          <w:rPr>
            <w:webHidden/>
          </w:rPr>
          <w:instrText xml:space="preserve"> PAGEREF _Toc189044293 \h </w:instrText>
        </w:r>
        <w:r w:rsidRPr="00DA6215">
          <w:rPr>
            <w:webHidden/>
          </w:rPr>
        </w:r>
        <w:r w:rsidRPr="00DA6215">
          <w:rPr>
            <w:webHidden/>
          </w:rPr>
          <w:fldChar w:fldCharType="separate"/>
        </w:r>
        <w:r w:rsidR="00DD0A69">
          <w:rPr>
            <w:webHidden/>
          </w:rPr>
          <w:t>6-25</w:t>
        </w:r>
        <w:r w:rsidRPr="00DA6215">
          <w:rPr>
            <w:webHidden/>
          </w:rPr>
          <w:fldChar w:fldCharType="end"/>
        </w:r>
      </w:hyperlink>
    </w:p>
    <w:p w14:paraId="71A8327A" w14:textId="4EF525A7" w:rsidR="00DA6215" w:rsidRPr="00DA6215" w:rsidRDefault="00DA6215">
      <w:pPr>
        <w:pStyle w:val="TOC4"/>
        <w:rPr>
          <w:rFonts w:eastAsiaTheme="minorEastAsia"/>
          <w:kern w:val="2"/>
          <w:lang w:val="en-US"/>
          <w14:ligatures w14:val="standardContextual"/>
        </w:rPr>
      </w:pPr>
      <w:hyperlink w:anchor="_Toc189044294" w:history="1">
        <w:r w:rsidRPr="00DA6215">
          <w:rPr>
            <w:rStyle w:val="Hyperlink"/>
            <w:u w:val="none"/>
          </w:rPr>
          <w:t>6.4.2.2</w:t>
        </w:r>
        <w:r w:rsidRPr="00DA6215">
          <w:rPr>
            <w:rFonts w:eastAsiaTheme="minorEastAsia"/>
            <w:kern w:val="2"/>
            <w:lang w:val="en-US"/>
            <w14:ligatures w14:val="standardContextual"/>
          </w:rPr>
          <w:tab/>
        </w:r>
        <w:r w:rsidRPr="00DA6215">
          <w:rPr>
            <w:rStyle w:val="Hyperlink"/>
            <w:u w:val="none"/>
          </w:rPr>
          <w:t>Output Schedules for Dynamically Scheduled Resources</w:t>
        </w:r>
        <w:r w:rsidRPr="00DA6215">
          <w:rPr>
            <w:webHidden/>
          </w:rPr>
          <w:tab/>
        </w:r>
        <w:r w:rsidRPr="00DA6215">
          <w:rPr>
            <w:webHidden/>
          </w:rPr>
          <w:fldChar w:fldCharType="begin"/>
        </w:r>
        <w:r w:rsidRPr="00DA6215">
          <w:rPr>
            <w:webHidden/>
          </w:rPr>
          <w:instrText xml:space="preserve"> PAGEREF _Toc189044294 \h </w:instrText>
        </w:r>
        <w:r w:rsidRPr="00DA6215">
          <w:rPr>
            <w:webHidden/>
          </w:rPr>
        </w:r>
        <w:r w:rsidRPr="00DA6215">
          <w:rPr>
            <w:webHidden/>
          </w:rPr>
          <w:fldChar w:fldCharType="separate"/>
        </w:r>
        <w:r w:rsidR="00DD0A69">
          <w:rPr>
            <w:webHidden/>
          </w:rPr>
          <w:t>6-25</w:t>
        </w:r>
        <w:r w:rsidRPr="00DA6215">
          <w:rPr>
            <w:webHidden/>
          </w:rPr>
          <w:fldChar w:fldCharType="end"/>
        </w:r>
      </w:hyperlink>
    </w:p>
    <w:p w14:paraId="5CA5676F" w14:textId="6DFFFC4C" w:rsidR="00DA6215" w:rsidRPr="00DA6215" w:rsidRDefault="00DA6215">
      <w:pPr>
        <w:pStyle w:val="TOC4"/>
        <w:rPr>
          <w:rFonts w:eastAsiaTheme="minorEastAsia"/>
          <w:kern w:val="2"/>
          <w:lang w:val="en-US"/>
          <w14:ligatures w14:val="standardContextual"/>
        </w:rPr>
      </w:pPr>
      <w:hyperlink w:anchor="_Toc189044295" w:history="1">
        <w:r w:rsidRPr="00DA6215">
          <w:rPr>
            <w:rStyle w:val="Hyperlink"/>
            <w:u w:val="none"/>
          </w:rPr>
          <w:t>6.4.2.3</w:t>
        </w:r>
        <w:r w:rsidRPr="00DA6215">
          <w:rPr>
            <w:rFonts w:eastAsiaTheme="minorEastAsia"/>
            <w:kern w:val="2"/>
            <w:lang w:val="en-US"/>
            <w14:ligatures w14:val="standardContextual"/>
          </w:rPr>
          <w:tab/>
        </w:r>
        <w:r w:rsidRPr="00DA6215">
          <w:rPr>
            <w:rStyle w:val="Hyperlink"/>
            <w:u w:val="none"/>
          </w:rPr>
          <w:t>Output Schedule Criteria</w:t>
        </w:r>
        <w:r w:rsidRPr="00DA6215">
          <w:rPr>
            <w:webHidden/>
          </w:rPr>
          <w:tab/>
        </w:r>
        <w:r w:rsidRPr="00DA6215">
          <w:rPr>
            <w:webHidden/>
          </w:rPr>
          <w:fldChar w:fldCharType="begin"/>
        </w:r>
        <w:r w:rsidRPr="00DA6215">
          <w:rPr>
            <w:webHidden/>
          </w:rPr>
          <w:instrText xml:space="preserve"> PAGEREF _Toc189044295 \h </w:instrText>
        </w:r>
        <w:r w:rsidRPr="00DA6215">
          <w:rPr>
            <w:webHidden/>
          </w:rPr>
        </w:r>
        <w:r w:rsidRPr="00DA6215">
          <w:rPr>
            <w:webHidden/>
          </w:rPr>
          <w:fldChar w:fldCharType="separate"/>
        </w:r>
        <w:r w:rsidR="00DD0A69">
          <w:rPr>
            <w:webHidden/>
          </w:rPr>
          <w:t>6-26</w:t>
        </w:r>
        <w:r w:rsidRPr="00DA6215">
          <w:rPr>
            <w:webHidden/>
          </w:rPr>
          <w:fldChar w:fldCharType="end"/>
        </w:r>
      </w:hyperlink>
    </w:p>
    <w:p w14:paraId="507DE391" w14:textId="15B2EE65" w:rsidR="00DA6215" w:rsidRPr="00DA6215" w:rsidRDefault="00DA6215">
      <w:pPr>
        <w:pStyle w:val="TOC4"/>
        <w:rPr>
          <w:rFonts w:eastAsiaTheme="minorEastAsia"/>
          <w:kern w:val="2"/>
          <w:lang w:val="en-US"/>
          <w14:ligatures w14:val="standardContextual"/>
        </w:rPr>
      </w:pPr>
      <w:hyperlink w:anchor="_Toc189044296" w:history="1">
        <w:r w:rsidRPr="00DA6215">
          <w:rPr>
            <w:rStyle w:val="Hyperlink"/>
            <w:u w:val="none"/>
          </w:rPr>
          <w:t>6.4.2.4</w:t>
        </w:r>
        <w:r w:rsidRPr="00DA6215">
          <w:rPr>
            <w:rFonts w:eastAsiaTheme="minorEastAsia"/>
            <w:kern w:val="2"/>
            <w:lang w:val="en-US"/>
            <w14:ligatures w14:val="standardContextual"/>
          </w:rPr>
          <w:tab/>
        </w:r>
        <w:r w:rsidRPr="00DA6215">
          <w:rPr>
            <w:rStyle w:val="Hyperlink"/>
            <w:u w:val="none"/>
          </w:rPr>
          <w:t>Output Schedule Validation</w:t>
        </w:r>
        <w:r w:rsidRPr="00DA6215">
          <w:rPr>
            <w:webHidden/>
          </w:rPr>
          <w:tab/>
        </w:r>
        <w:r w:rsidRPr="00DA6215">
          <w:rPr>
            <w:webHidden/>
          </w:rPr>
          <w:fldChar w:fldCharType="begin"/>
        </w:r>
        <w:r w:rsidRPr="00DA6215">
          <w:rPr>
            <w:webHidden/>
          </w:rPr>
          <w:instrText xml:space="preserve"> PAGEREF _Toc189044296 \h </w:instrText>
        </w:r>
        <w:r w:rsidRPr="00DA6215">
          <w:rPr>
            <w:webHidden/>
          </w:rPr>
        </w:r>
        <w:r w:rsidRPr="00DA6215">
          <w:rPr>
            <w:webHidden/>
          </w:rPr>
          <w:fldChar w:fldCharType="separate"/>
        </w:r>
        <w:r w:rsidR="00DD0A69">
          <w:rPr>
            <w:webHidden/>
          </w:rPr>
          <w:t>6-27</w:t>
        </w:r>
        <w:r w:rsidRPr="00DA6215">
          <w:rPr>
            <w:webHidden/>
          </w:rPr>
          <w:fldChar w:fldCharType="end"/>
        </w:r>
      </w:hyperlink>
    </w:p>
    <w:p w14:paraId="08900E24" w14:textId="50B68B97" w:rsidR="00DA6215" w:rsidRPr="00DA6215" w:rsidRDefault="00DA6215">
      <w:pPr>
        <w:pStyle w:val="TOC4"/>
        <w:rPr>
          <w:rFonts w:eastAsiaTheme="minorEastAsia"/>
          <w:kern w:val="2"/>
          <w:lang w:val="en-US"/>
          <w14:ligatures w14:val="standardContextual"/>
        </w:rPr>
      </w:pPr>
      <w:hyperlink w:anchor="_Toc189044297" w:history="1">
        <w:r w:rsidRPr="00DA6215">
          <w:rPr>
            <w:rStyle w:val="Hyperlink"/>
            <w:u w:val="none"/>
          </w:rPr>
          <w:t>6.4.2.5</w:t>
        </w:r>
        <w:r w:rsidRPr="00DA6215">
          <w:rPr>
            <w:rFonts w:eastAsiaTheme="minorEastAsia"/>
            <w:kern w:val="2"/>
            <w:lang w:val="en-US"/>
            <w14:ligatures w14:val="standardContextual"/>
          </w:rPr>
          <w:tab/>
        </w:r>
        <w:r w:rsidRPr="00DA6215">
          <w:rPr>
            <w:rStyle w:val="Hyperlink"/>
            <w:u w:val="none"/>
          </w:rPr>
          <w:t>DSR Load</w:t>
        </w:r>
        <w:r w:rsidRPr="00DA6215">
          <w:rPr>
            <w:webHidden/>
          </w:rPr>
          <w:tab/>
        </w:r>
        <w:r w:rsidRPr="00DA6215">
          <w:rPr>
            <w:webHidden/>
          </w:rPr>
          <w:fldChar w:fldCharType="begin"/>
        </w:r>
        <w:r w:rsidRPr="00DA6215">
          <w:rPr>
            <w:webHidden/>
          </w:rPr>
          <w:instrText xml:space="preserve"> PAGEREF _Toc189044297 \h </w:instrText>
        </w:r>
        <w:r w:rsidRPr="00DA6215">
          <w:rPr>
            <w:webHidden/>
          </w:rPr>
        </w:r>
        <w:r w:rsidRPr="00DA6215">
          <w:rPr>
            <w:webHidden/>
          </w:rPr>
          <w:fldChar w:fldCharType="separate"/>
        </w:r>
        <w:r w:rsidR="00DD0A69">
          <w:rPr>
            <w:webHidden/>
          </w:rPr>
          <w:t>6-28</w:t>
        </w:r>
        <w:r w:rsidRPr="00DA6215">
          <w:rPr>
            <w:webHidden/>
          </w:rPr>
          <w:fldChar w:fldCharType="end"/>
        </w:r>
      </w:hyperlink>
    </w:p>
    <w:p w14:paraId="197B341A" w14:textId="1F85D8B5" w:rsidR="00DA6215" w:rsidRPr="00DA6215" w:rsidRDefault="00DA6215">
      <w:pPr>
        <w:pStyle w:val="TOC3"/>
        <w:rPr>
          <w:rFonts w:eastAsiaTheme="minorEastAsia"/>
          <w:i w:val="0"/>
          <w:iCs w:val="0"/>
          <w:kern w:val="2"/>
          <w14:ligatures w14:val="standardContextual"/>
        </w:rPr>
      </w:pPr>
      <w:hyperlink w:anchor="_Toc189044298" w:history="1">
        <w:r w:rsidRPr="00DA6215">
          <w:rPr>
            <w:rStyle w:val="Hyperlink"/>
            <w:i w:val="0"/>
            <w:iCs w:val="0"/>
            <w:u w:val="none"/>
          </w:rPr>
          <w:t>6.4.3</w:t>
        </w:r>
        <w:r w:rsidRPr="00DA6215">
          <w:rPr>
            <w:rFonts w:eastAsiaTheme="minorEastAsia"/>
            <w:i w:val="0"/>
            <w:iCs w:val="0"/>
            <w:kern w:val="2"/>
            <w14:ligatures w14:val="standardContextual"/>
          </w:rPr>
          <w:tab/>
        </w:r>
        <w:r w:rsidRPr="00DA6215">
          <w:rPr>
            <w:rStyle w:val="Hyperlink"/>
            <w:i w:val="0"/>
            <w:iCs w:val="0"/>
            <w:u w:val="none"/>
          </w:rPr>
          <w:t>Real-Time Market (RTM) Energy Bids and Offers</w:t>
        </w:r>
        <w:r w:rsidRPr="00DA6215">
          <w:rPr>
            <w:i w:val="0"/>
            <w:iCs w:val="0"/>
            <w:webHidden/>
          </w:rPr>
          <w:tab/>
        </w:r>
        <w:r w:rsidRPr="00DA6215">
          <w:rPr>
            <w:i w:val="0"/>
            <w:iCs w:val="0"/>
            <w:webHidden/>
          </w:rPr>
          <w:fldChar w:fldCharType="begin"/>
        </w:r>
        <w:r w:rsidRPr="00DA6215">
          <w:rPr>
            <w:i w:val="0"/>
            <w:iCs w:val="0"/>
            <w:webHidden/>
          </w:rPr>
          <w:instrText xml:space="preserve"> PAGEREF _Toc189044298 \h </w:instrText>
        </w:r>
        <w:r w:rsidRPr="00DA6215">
          <w:rPr>
            <w:i w:val="0"/>
            <w:iCs w:val="0"/>
            <w:webHidden/>
          </w:rPr>
        </w:r>
        <w:r w:rsidRPr="00DA6215">
          <w:rPr>
            <w:i w:val="0"/>
            <w:iCs w:val="0"/>
            <w:webHidden/>
          </w:rPr>
          <w:fldChar w:fldCharType="separate"/>
        </w:r>
        <w:r w:rsidR="00DD0A69">
          <w:rPr>
            <w:i w:val="0"/>
            <w:iCs w:val="0"/>
            <w:webHidden/>
          </w:rPr>
          <w:t>6-29</w:t>
        </w:r>
        <w:r w:rsidRPr="00DA6215">
          <w:rPr>
            <w:i w:val="0"/>
            <w:iCs w:val="0"/>
            <w:webHidden/>
          </w:rPr>
          <w:fldChar w:fldCharType="end"/>
        </w:r>
      </w:hyperlink>
    </w:p>
    <w:p w14:paraId="268A85B1" w14:textId="281D6EE3" w:rsidR="00DA6215" w:rsidRPr="00DA6215" w:rsidRDefault="00DA6215">
      <w:pPr>
        <w:pStyle w:val="TOC3"/>
        <w:rPr>
          <w:rFonts w:eastAsiaTheme="minorEastAsia"/>
          <w:i w:val="0"/>
          <w:iCs w:val="0"/>
          <w:kern w:val="2"/>
          <w14:ligatures w14:val="standardContextual"/>
        </w:rPr>
      </w:pPr>
      <w:hyperlink w:anchor="_Toc189044299" w:history="1">
        <w:r w:rsidRPr="00DA6215">
          <w:rPr>
            <w:rStyle w:val="Hyperlink"/>
            <w:i w:val="0"/>
            <w:iCs w:val="0"/>
            <w:u w:val="none"/>
          </w:rPr>
          <w:t>6.4.3</w:t>
        </w:r>
        <w:r w:rsidRPr="00DA6215">
          <w:rPr>
            <w:rFonts w:eastAsiaTheme="minorEastAsia"/>
            <w:i w:val="0"/>
            <w:iCs w:val="0"/>
            <w:kern w:val="2"/>
            <w14:ligatures w14:val="standardContextual"/>
          </w:rPr>
          <w:tab/>
        </w:r>
        <w:r w:rsidRPr="00DA6215">
          <w:rPr>
            <w:rStyle w:val="Hyperlink"/>
            <w:i w:val="0"/>
            <w:iCs w:val="0"/>
            <w:u w:val="none"/>
          </w:rPr>
          <w:t>[RESERVED]</w:t>
        </w:r>
        <w:r w:rsidRPr="00DA6215">
          <w:rPr>
            <w:i w:val="0"/>
            <w:iCs w:val="0"/>
            <w:webHidden/>
          </w:rPr>
          <w:tab/>
        </w:r>
        <w:r w:rsidRPr="00DA6215">
          <w:rPr>
            <w:i w:val="0"/>
            <w:iCs w:val="0"/>
            <w:webHidden/>
          </w:rPr>
          <w:fldChar w:fldCharType="begin"/>
        </w:r>
        <w:r w:rsidRPr="00DA6215">
          <w:rPr>
            <w:i w:val="0"/>
            <w:iCs w:val="0"/>
            <w:webHidden/>
          </w:rPr>
          <w:instrText xml:space="preserve"> PAGEREF _Toc189044299 \h </w:instrText>
        </w:r>
        <w:r w:rsidRPr="00DA6215">
          <w:rPr>
            <w:i w:val="0"/>
            <w:iCs w:val="0"/>
            <w:webHidden/>
          </w:rPr>
        </w:r>
        <w:r w:rsidRPr="00DA6215">
          <w:rPr>
            <w:i w:val="0"/>
            <w:iCs w:val="0"/>
            <w:webHidden/>
          </w:rPr>
          <w:fldChar w:fldCharType="separate"/>
        </w:r>
        <w:r w:rsidR="00DD0A69">
          <w:rPr>
            <w:i w:val="0"/>
            <w:iCs w:val="0"/>
            <w:webHidden/>
          </w:rPr>
          <w:t>6-29</w:t>
        </w:r>
        <w:r w:rsidRPr="00DA6215">
          <w:rPr>
            <w:i w:val="0"/>
            <w:iCs w:val="0"/>
            <w:webHidden/>
          </w:rPr>
          <w:fldChar w:fldCharType="end"/>
        </w:r>
      </w:hyperlink>
    </w:p>
    <w:p w14:paraId="2B378C47" w14:textId="6B87FCD8" w:rsidR="00DA6215" w:rsidRPr="00DA6215" w:rsidRDefault="00DA6215">
      <w:pPr>
        <w:pStyle w:val="TOC4"/>
        <w:rPr>
          <w:rFonts w:eastAsiaTheme="minorEastAsia"/>
          <w:kern w:val="2"/>
          <w:lang w:val="en-US"/>
          <w14:ligatures w14:val="standardContextual"/>
        </w:rPr>
      </w:pPr>
      <w:hyperlink w:anchor="_Toc189044300" w:history="1">
        <w:r w:rsidRPr="00DA6215">
          <w:rPr>
            <w:rStyle w:val="Hyperlink"/>
            <w:u w:val="none"/>
          </w:rPr>
          <w:t>6.4.3.1</w:t>
        </w:r>
        <w:r w:rsidRPr="00DA6215">
          <w:rPr>
            <w:rFonts w:eastAsiaTheme="minorEastAsia"/>
            <w:kern w:val="2"/>
            <w:lang w:val="en-US"/>
            <w14:ligatures w14:val="standardContextual"/>
          </w:rPr>
          <w:tab/>
        </w:r>
        <w:r w:rsidRPr="00DA6215">
          <w:rPr>
            <w:rStyle w:val="Hyperlink"/>
            <w:u w:val="none"/>
          </w:rPr>
          <w:t>RTM Energy Bids</w:t>
        </w:r>
        <w:r w:rsidRPr="00DA6215">
          <w:rPr>
            <w:webHidden/>
          </w:rPr>
          <w:tab/>
        </w:r>
        <w:r w:rsidRPr="00DA6215">
          <w:rPr>
            <w:webHidden/>
          </w:rPr>
          <w:fldChar w:fldCharType="begin"/>
        </w:r>
        <w:r w:rsidRPr="00DA6215">
          <w:rPr>
            <w:webHidden/>
          </w:rPr>
          <w:instrText xml:space="preserve"> PAGEREF _Toc189044300 \h </w:instrText>
        </w:r>
        <w:r w:rsidRPr="00DA6215">
          <w:rPr>
            <w:webHidden/>
          </w:rPr>
        </w:r>
        <w:r w:rsidRPr="00DA6215">
          <w:rPr>
            <w:webHidden/>
          </w:rPr>
          <w:fldChar w:fldCharType="separate"/>
        </w:r>
        <w:r w:rsidR="00DD0A69">
          <w:rPr>
            <w:webHidden/>
          </w:rPr>
          <w:t>6-29</w:t>
        </w:r>
        <w:r w:rsidRPr="00DA6215">
          <w:rPr>
            <w:webHidden/>
          </w:rPr>
          <w:fldChar w:fldCharType="end"/>
        </w:r>
      </w:hyperlink>
    </w:p>
    <w:p w14:paraId="0D0D4362" w14:textId="19DB8763" w:rsidR="00DA6215" w:rsidRPr="00DA6215" w:rsidRDefault="00DA6215">
      <w:pPr>
        <w:pStyle w:val="TOC5"/>
        <w:rPr>
          <w:rFonts w:eastAsiaTheme="minorEastAsia"/>
          <w:i w:val="0"/>
          <w:kern w:val="2"/>
          <w:sz w:val="20"/>
          <w:szCs w:val="20"/>
          <w14:ligatures w14:val="standardContextual"/>
        </w:rPr>
      </w:pPr>
      <w:hyperlink w:anchor="_Toc189044301" w:history="1">
        <w:r w:rsidRPr="00DA6215">
          <w:rPr>
            <w:rStyle w:val="Hyperlink"/>
            <w:i w:val="0"/>
            <w:sz w:val="20"/>
            <w:szCs w:val="20"/>
            <w:u w:val="none"/>
          </w:rPr>
          <w:t>6.4.3.1.1</w:t>
        </w:r>
        <w:r w:rsidRPr="00DA6215">
          <w:rPr>
            <w:rFonts w:eastAsiaTheme="minorEastAsia"/>
            <w:i w:val="0"/>
            <w:kern w:val="2"/>
            <w:sz w:val="20"/>
            <w:szCs w:val="20"/>
            <w14:ligatures w14:val="standardContextual"/>
          </w:rPr>
          <w:tab/>
        </w:r>
        <w:r w:rsidRPr="00DA6215">
          <w:rPr>
            <w:rStyle w:val="Hyperlink"/>
            <w:i w:val="0"/>
            <w:sz w:val="20"/>
            <w:szCs w:val="20"/>
            <w:u w:val="none"/>
          </w:rPr>
          <w:t>RTM Energy Bid Criteria</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_Toc189044301 \h </w:instrText>
        </w:r>
        <w:r w:rsidRPr="00DA6215">
          <w:rPr>
            <w:i w:val="0"/>
            <w:webHidden/>
            <w:sz w:val="20"/>
            <w:szCs w:val="20"/>
          </w:rPr>
        </w:r>
        <w:r w:rsidRPr="00DA6215">
          <w:rPr>
            <w:i w:val="0"/>
            <w:webHidden/>
            <w:sz w:val="20"/>
            <w:szCs w:val="20"/>
          </w:rPr>
          <w:fldChar w:fldCharType="separate"/>
        </w:r>
        <w:r w:rsidR="00DD0A69">
          <w:rPr>
            <w:i w:val="0"/>
            <w:webHidden/>
            <w:sz w:val="20"/>
            <w:szCs w:val="20"/>
          </w:rPr>
          <w:t>6-30</w:t>
        </w:r>
        <w:r w:rsidRPr="00DA6215">
          <w:rPr>
            <w:i w:val="0"/>
            <w:webHidden/>
            <w:sz w:val="20"/>
            <w:szCs w:val="20"/>
          </w:rPr>
          <w:fldChar w:fldCharType="end"/>
        </w:r>
      </w:hyperlink>
    </w:p>
    <w:p w14:paraId="50DEB3EF" w14:textId="4539690D" w:rsidR="00DA6215" w:rsidRPr="00DA6215" w:rsidRDefault="00DA6215">
      <w:pPr>
        <w:pStyle w:val="TOC5"/>
        <w:rPr>
          <w:rFonts w:eastAsiaTheme="minorEastAsia"/>
          <w:i w:val="0"/>
          <w:kern w:val="2"/>
          <w:sz w:val="20"/>
          <w:szCs w:val="20"/>
          <w14:ligatures w14:val="standardContextual"/>
        </w:rPr>
      </w:pPr>
      <w:hyperlink w:anchor="_Toc189044302" w:history="1">
        <w:r w:rsidRPr="00DA6215">
          <w:rPr>
            <w:rStyle w:val="Hyperlink"/>
            <w:i w:val="0"/>
            <w:sz w:val="20"/>
            <w:szCs w:val="20"/>
            <w:u w:val="none"/>
          </w:rPr>
          <w:t>6.4.3.1.2</w:t>
        </w:r>
        <w:r w:rsidRPr="00DA6215">
          <w:rPr>
            <w:rFonts w:eastAsiaTheme="minorEastAsia"/>
            <w:i w:val="0"/>
            <w:kern w:val="2"/>
            <w:sz w:val="20"/>
            <w:szCs w:val="20"/>
            <w14:ligatures w14:val="standardContextual"/>
          </w:rPr>
          <w:tab/>
        </w:r>
        <w:r w:rsidRPr="00DA6215">
          <w:rPr>
            <w:rStyle w:val="Hyperlink"/>
            <w:i w:val="0"/>
            <w:sz w:val="20"/>
            <w:szCs w:val="20"/>
            <w:u w:val="none"/>
          </w:rPr>
          <w:t>RTM Energy Bid Validation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_Toc189044302 \h </w:instrText>
        </w:r>
        <w:r w:rsidRPr="00DA6215">
          <w:rPr>
            <w:i w:val="0"/>
            <w:webHidden/>
            <w:sz w:val="20"/>
            <w:szCs w:val="20"/>
          </w:rPr>
        </w:r>
        <w:r w:rsidRPr="00DA6215">
          <w:rPr>
            <w:i w:val="0"/>
            <w:webHidden/>
            <w:sz w:val="20"/>
            <w:szCs w:val="20"/>
          </w:rPr>
          <w:fldChar w:fldCharType="separate"/>
        </w:r>
        <w:r w:rsidR="00DD0A69">
          <w:rPr>
            <w:i w:val="0"/>
            <w:webHidden/>
            <w:sz w:val="20"/>
            <w:szCs w:val="20"/>
          </w:rPr>
          <w:t>6-31</w:t>
        </w:r>
        <w:r w:rsidRPr="00DA6215">
          <w:rPr>
            <w:i w:val="0"/>
            <w:webHidden/>
            <w:sz w:val="20"/>
            <w:szCs w:val="20"/>
          </w:rPr>
          <w:fldChar w:fldCharType="end"/>
        </w:r>
      </w:hyperlink>
    </w:p>
    <w:p w14:paraId="0AA9AD8C" w14:textId="21589CC3" w:rsidR="00DA6215" w:rsidRPr="00DA6215" w:rsidRDefault="00DA6215">
      <w:pPr>
        <w:pStyle w:val="TOC3"/>
        <w:rPr>
          <w:rFonts w:eastAsiaTheme="minorEastAsia"/>
          <w:i w:val="0"/>
          <w:iCs w:val="0"/>
          <w:kern w:val="2"/>
          <w14:ligatures w14:val="standardContextual"/>
        </w:rPr>
      </w:pPr>
      <w:hyperlink w:anchor="_Toc189044303" w:history="1">
        <w:r w:rsidRPr="00DA6215">
          <w:rPr>
            <w:rStyle w:val="Hyperlink"/>
            <w:i w:val="0"/>
            <w:iCs w:val="0"/>
            <w:u w:val="none"/>
          </w:rPr>
          <w:t>6.4.4</w:t>
        </w:r>
        <w:r w:rsidRPr="00DA6215">
          <w:rPr>
            <w:rFonts w:eastAsiaTheme="minorEastAsia"/>
            <w:i w:val="0"/>
            <w:iCs w:val="0"/>
            <w:kern w:val="2"/>
            <w14:ligatures w14:val="standardContextual"/>
          </w:rPr>
          <w:tab/>
        </w:r>
        <w:r w:rsidRPr="00DA6215">
          <w:rPr>
            <w:rStyle w:val="Hyperlink"/>
            <w:i w:val="0"/>
            <w:iCs w:val="0"/>
            <w:u w:val="none"/>
          </w:rPr>
          <w:t>Energy Offer Curve</w:t>
        </w:r>
        <w:r w:rsidRPr="00DA6215">
          <w:rPr>
            <w:i w:val="0"/>
            <w:iCs w:val="0"/>
            <w:webHidden/>
          </w:rPr>
          <w:tab/>
        </w:r>
        <w:r w:rsidRPr="00DA6215">
          <w:rPr>
            <w:i w:val="0"/>
            <w:iCs w:val="0"/>
            <w:webHidden/>
          </w:rPr>
          <w:fldChar w:fldCharType="begin"/>
        </w:r>
        <w:r w:rsidRPr="00DA6215">
          <w:rPr>
            <w:i w:val="0"/>
            <w:iCs w:val="0"/>
            <w:webHidden/>
          </w:rPr>
          <w:instrText xml:space="preserve"> PAGEREF _Toc189044303 \h </w:instrText>
        </w:r>
        <w:r w:rsidRPr="00DA6215">
          <w:rPr>
            <w:i w:val="0"/>
            <w:iCs w:val="0"/>
            <w:webHidden/>
          </w:rPr>
        </w:r>
        <w:r w:rsidRPr="00DA6215">
          <w:rPr>
            <w:i w:val="0"/>
            <w:iCs w:val="0"/>
            <w:webHidden/>
          </w:rPr>
          <w:fldChar w:fldCharType="separate"/>
        </w:r>
        <w:r w:rsidR="00DD0A69">
          <w:rPr>
            <w:i w:val="0"/>
            <w:iCs w:val="0"/>
            <w:webHidden/>
          </w:rPr>
          <w:t>6-31</w:t>
        </w:r>
        <w:r w:rsidRPr="00DA6215">
          <w:rPr>
            <w:i w:val="0"/>
            <w:iCs w:val="0"/>
            <w:webHidden/>
          </w:rPr>
          <w:fldChar w:fldCharType="end"/>
        </w:r>
      </w:hyperlink>
    </w:p>
    <w:p w14:paraId="2A737F8B" w14:textId="1CA1DD9C" w:rsidR="00DA6215" w:rsidRPr="00DA6215" w:rsidRDefault="00DA6215">
      <w:pPr>
        <w:pStyle w:val="TOC3"/>
        <w:rPr>
          <w:rFonts w:eastAsiaTheme="minorEastAsia"/>
          <w:i w:val="0"/>
          <w:iCs w:val="0"/>
          <w:kern w:val="2"/>
          <w14:ligatures w14:val="standardContextual"/>
        </w:rPr>
      </w:pPr>
      <w:hyperlink w:anchor="_Toc189044304" w:history="1">
        <w:r w:rsidRPr="00DA6215">
          <w:rPr>
            <w:rStyle w:val="Hyperlink"/>
            <w:i w:val="0"/>
            <w:iCs w:val="0"/>
            <w:u w:val="none"/>
          </w:rPr>
          <w:t>6.4.4</w:t>
        </w:r>
        <w:r w:rsidRPr="00DA6215">
          <w:rPr>
            <w:rFonts w:eastAsiaTheme="minorEastAsia"/>
            <w:i w:val="0"/>
            <w:iCs w:val="0"/>
            <w:kern w:val="2"/>
            <w14:ligatures w14:val="standardContextual"/>
          </w:rPr>
          <w:tab/>
        </w:r>
        <w:r w:rsidRPr="00DA6215">
          <w:rPr>
            <w:rStyle w:val="Hyperlink"/>
            <w:i w:val="0"/>
            <w:iCs w:val="0"/>
            <w:u w:val="none"/>
          </w:rPr>
          <w:t>Energy Offer Curve and Energy Bid/Offer Curve</w:t>
        </w:r>
        <w:r w:rsidRPr="00DA6215">
          <w:rPr>
            <w:i w:val="0"/>
            <w:iCs w:val="0"/>
            <w:webHidden/>
          </w:rPr>
          <w:tab/>
        </w:r>
        <w:r w:rsidRPr="00DA6215">
          <w:rPr>
            <w:i w:val="0"/>
            <w:iCs w:val="0"/>
            <w:webHidden/>
          </w:rPr>
          <w:fldChar w:fldCharType="begin"/>
        </w:r>
        <w:r w:rsidRPr="00DA6215">
          <w:rPr>
            <w:i w:val="0"/>
            <w:iCs w:val="0"/>
            <w:webHidden/>
          </w:rPr>
          <w:instrText xml:space="preserve"> PAGEREF _Toc189044304 \h </w:instrText>
        </w:r>
        <w:r w:rsidRPr="00DA6215">
          <w:rPr>
            <w:i w:val="0"/>
            <w:iCs w:val="0"/>
            <w:webHidden/>
          </w:rPr>
        </w:r>
        <w:r w:rsidRPr="00DA6215">
          <w:rPr>
            <w:i w:val="0"/>
            <w:iCs w:val="0"/>
            <w:webHidden/>
          </w:rPr>
          <w:fldChar w:fldCharType="separate"/>
        </w:r>
        <w:r w:rsidR="00DD0A69">
          <w:rPr>
            <w:i w:val="0"/>
            <w:iCs w:val="0"/>
            <w:webHidden/>
          </w:rPr>
          <w:t>6-32</w:t>
        </w:r>
        <w:r w:rsidRPr="00DA6215">
          <w:rPr>
            <w:i w:val="0"/>
            <w:iCs w:val="0"/>
            <w:webHidden/>
          </w:rPr>
          <w:fldChar w:fldCharType="end"/>
        </w:r>
      </w:hyperlink>
    </w:p>
    <w:p w14:paraId="2BF0CD5E" w14:textId="5E1D61D2" w:rsidR="00DA6215" w:rsidRPr="00DA6215" w:rsidRDefault="00DA6215">
      <w:pPr>
        <w:pStyle w:val="TOC4"/>
        <w:rPr>
          <w:rFonts w:eastAsiaTheme="minorEastAsia"/>
          <w:kern w:val="2"/>
          <w:lang w:val="en-US"/>
          <w14:ligatures w14:val="standardContextual"/>
        </w:rPr>
      </w:pPr>
      <w:hyperlink w:anchor="_Toc189044305" w:history="1">
        <w:r w:rsidRPr="00DA6215">
          <w:rPr>
            <w:rStyle w:val="Hyperlink"/>
            <w:u w:val="none"/>
          </w:rPr>
          <w:t>6.4.4.1</w:t>
        </w:r>
        <w:r w:rsidRPr="00DA6215">
          <w:rPr>
            <w:rFonts w:eastAsiaTheme="minorEastAsia"/>
            <w:kern w:val="2"/>
            <w:lang w:val="en-US"/>
            <w14:ligatures w14:val="standardContextual"/>
          </w:rPr>
          <w:tab/>
        </w:r>
        <w:r w:rsidRPr="00DA6215">
          <w:rPr>
            <w:rStyle w:val="Hyperlink"/>
            <w:u w:val="none"/>
          </w:rPr>
          <w:t>Energy Offer Curve or Energy Bid Curve for On-Line Non-Spinning Reserve Capacity</w:t>
        </w:r>
        <w:r w:rsidRPr="00DA6215">
          <w:rPr>
            <w:webHidden/>
          </w:rPr>
          <w:tab/>
        </w:r>
        <w:r w:rsidRPr="00DA6215">
          <w:rPr>
            <w:webHidden/>
          </w:rPr>
          <w:fldChar w:fldCharType="begin"/>
        </w:r>
        <w:r w:rsidRPr="00DA6215">
          <w:rPr>
            <w:webHidden/>
          </w:rPr>
          <w:instrText xml:space="preserve"> PAGEREF _Toc189044305 \h </w:instrText>
        </w:r>
        <w:r w:rsidRPr="00DA6215">
          <w:rPr>
            <w:webHidden/>
          </w:rPr>
        </w:r>
        <w:r w:rsidRPr="00DA6215">
          <w:rPr>
            <w:webHidden/>
          </w:rPr>
          <w:fldChar w:fldCharType="separate"/>
        </w:r>
        <w:r w:rsidR="00DD0A69">
          <w:rPr>
            <w:webHidden/>
          </w:rPr>
          <w:t>6-32</w:t>
        </w:r>
        <w:r w:rsidRPr="00DA6215">
          <w:rPr>
            <w:webHidden/>
          </w:rPr>
          <w:fldChar w:fldCharType="end"/>
        </w:r>
      </w:hyperlink>
    </w:p>
    <w:p w14:paraId="500348C5" w14:textId="6590C4C1" w:rsidR="00DA6215" w:rsidRPr="00DA6215" w:rsidRDefault="00DA6215">
      <w:pPr>
        <w:pStyle w:val="TOC4"/>
        <w:rPr>
          <w:rFonts w:eastAsiaTheme="minorEastAsia"/>
          <w:kern w:val="2"/>
          <w:lang w:val="en-US"/>
          <w14:ligatures w14:val="standardContextual"/>
        </w:rPr>
      </w:pPr>
      <w:hyperlink w:anchor="_Toc189044306" w:history="1">
        <w:r w:rsidRPr="00DA6215">
          <w:rPr>
            <w:rStyle w:val="Hyperlink"/>
            <w:u w:val="none"/>
          </w:rPr>
          <w:t>6.4.4.2</w:t>
        </w:r>
        <w:r w:rsidRPr="00DA6215">
          <w:rPr>
            <w:rFonts w:eastAsiaTheme="minorEastAsia"/>
            <w:kern w:val="2"/>
            <w:lang w:val="en-US"/>
            <w14:ligatures w14:val="standardContextual"/>
          </w:rPr>
          <w:tab/>
        </w:r>
        <w:r w:rsidRPr="00DA6215">
          <w:rPr>
            <w:rStyle w:val="Hyperlink"/>
            <w:u w:val="none"/>
          </w:rPr>
          <w:t>Energy Offer Curve for RUC-Committed Switchable Generation Resources</w:t>
        </w:r>
        <w:r w:rsidRPr="00DA6215">
          <w:rPr>
            <w:webHidden/>
          </w:rPr>
          <w:tab/>
        </w:r>
        <w:r w:rsidRPr="00DA6215">
          <w:rPr>
            <w:webHidden/>
          </w:rPr>
          <w:fldChar w:fldCharType="begin"/>
        </w:r>
        <w:r w:rsidRPr="00DA6215">
          <w:rPr>
            <w:webHidden/>
          </w:rPr>
          <w:instrText xml:space="preserve"> PAGEREF _Toc189044306 \h </w:instrText>
        </w:r>
        <w:r w:rsidRPr="00DA6215">
          <w:rPr>
            <w:webHidden/>
          </w:rPr>
        </w:r>
        <w:r w:rsidRPr="00DA6215">
          <w:rPr>
            <w:webHidden/>
          </w:rPr>
          <w:fldChar w:fldCharType="separate"/>
        </w:r>
        <w:r w:rsidR="00DD0A69">
          <w:rPr>
            <w:webHidden/>
          </w:rPr>
          <w:t>6-33</w:t>
        </w:r>
        <w:r w:rsidRPr="00DA6215">
          <w:rPr>
            <w:webHidden/>
          </w:rPr>
          <w:fldChar w:fldCharType="end"/>
        </w:r>
      </w:hyperlink>
    </w:p>
    <w:p w14:paraId="290B7B32" w14:textId="0D13F0C3" w:rsidR="00DA6215" w:rsidRPr="00DA6215" w:rsidRDefault="00DA6215">
      <w:pPr>
        <w:pStyle w:val="TOC3"/>
        <w:rPr>
          <w:rFonts w:eastAsiaTheme="minorEastAsia"/>
          <w:i w:val="0"/>
          <w:iCs w:val="0"/>
          <w:kern w:val="2"/>
          <w14:ligatures w14:val="standardContextual"/>
        </w:rPr>
      </w:pPr>
      <w:hyperlink w:anchor="_Toc189044307" w:history="1">
        <w:r w:rsidRPr="00DA6215">
          <w:rPr>
            <w:rStyle w:val="Hyperlink"/>
            <w:i w:val="0"/>
            <w:iCs w:val="0"/>
            <w:u w:val="none"/>
          </w:rPr>
          <w:t>6.4.5</w:t>
        </w:r>
        <w:r w:rsidRPr="00DA6215">
          <w:rPr>
            <w:rFonts w:eastAsiaTheme="minorEastAsia"/>
            <w:i w:val="0"/>
            <w:iCs w:val="0"/>
            <w:kern w:val="2"/>
            <w14:ligatures w14:val="standardContextual"/>
          </w:rPr>
          <w:tab/>
        </w:r>
        <w:r w:rsidRPr="00DA6215">
          <w:rPr>
            <w:rStyle w:val="Hyperlink"/>
            <w:i w:val="0"/>
            <w:iCs w:val="0"/>
            <w:u w:val="none"/>
          </w:rPr>
          <w:t>Incremental and Decremental Energy Offer Curves</w:t>
        </w:r>
        <w:r w:rsidRPr="00DA6215">
          <w:rPr>
            <w:i w:val="0"/>
            <w:iCs w:val="0"/>
            <w:webHidden/>
          </w:rPr>
          <w:tab/>
        </w:r>
        <w:r w:rsidRPr="00DA6215">
          <w:rPr>
            <w:i w:val="0"/>
            <w:iCs w:val="0"/>
            <w:webHidden/>
          </w:rPr>
          <w:fldChar w:fldCharType="begin"/>
        </w:r>
        <w:r w:rsidRPr="00DA6215">
          <w:rPr>
            <w:i w:val="0"/>
            <w:iCs w:val="0"/>
            <w:webHidden/>
          </w:rPr>
          <w:instrText xml:space="preserve"> PAGEREF _Toc189044307 \h </w:instrText>
        </w:r>
        <w:r w:rsidRPr="00DA6215">
          <w:rPr>
            <w:i w:val="0"/>
            <w:iCs w:val="0"/>
            <w:webHidden/>
          </w:rPr>
        </w:r>
        <w:r w:rsidRPr="00DA6215">
          <w:rPr>
            <w:i w:val="0"/>
            <w:iCs w:val="0"/>
            <w:webHidden/>
          </w:rPr>
          <w:fldChar w:fldCharType="separate"/>
        </w:r>
        <w:r w:rsidR="00DD0A69">
          <w:rPr>
            <w:i w:val="0"/>
            <w:iCs w:val="0"/>
            <w:webHidden/>
          </w:rPr>
          <w:t>6-34</w:t>
        </w:r>
        <w:r w:rsidRPr="00DA6215">
          <w:rPr>
            <w:i w:val="0"/>
            <w:iCs w:val="0"/>
            <w:webHidden/>
          </w:rPr>
          <w:fldChar w:fldCharType="end"/>
        </w:r>
      </w:hyperlink>
    </w:p>
    <w:p w14:paraId="3881E789" w14:textId="1BA92CB9" w:rsidR="00DA6215" w:rsidRPr="00DA6215" w:rsidRDefault="00DA6215">
      <w:pPr>
        <w:pStyle w:val="TOC3"/>
        <w:rPr>
          <w:rFonts w:eastAsiaTheme="minorEastAsia"/>
          <w:i w:val="0"/>
          <w:iCs w:val="0"/>
          <w:kern w:val="2"/>
          <w14:ligatures w14:val="standardContextual"/>
        </w:rPr>
      </w:pPr>
      <w:hyperlink w:anchor="_Toc189044308" w:history="1">
        <w:r w:rsidRPr="00DA6215">
          <w:rPr>
            <w:rStyle w:val="Hyperlink"/>
            <w:i w:val="0"/>
            <w:iCs w:val="0"/>
            <w:u w:val="none"/>
          </w:rPr>
          <w:t>6.4.6</w:t>
        </w:r>
        <w:r w:rsidRPr="00DA6215">
          <w:rPr>
            <w:rFonts w:eastAsiaTheme="minorEastAsia"/>
            <w:i w:val="0"/>
            <w:iCs w:val="0"/>
            <w:kern w:val="2"/>
            <w14:ligatures w14:val="standardContextual"/>
          </w:rPr>
          <w:tab/>
        </w:r>
        <w:r w:rsidRPr="00DA6215">
          <w:rPr>
            <w:rStyle w:val="Hyperlink"/>
            <w:i w:val="0"/>
            <w:iCs w:val="0"/>
            <w:u w:val="none"/>
          </w:rPr>
          <w:t>Resource Status</w:t>
        </w:r>
        <w:r w:rsidRPr="00DA6215">
          <w:rPr>
            <w:i w:val="0"/>
            <w:iCs w:val="0"/>
            <w:webHidden/>
          </w:rPr>
          <w:tab/>
        </w:r>
        <w:r w:rsidRPr="00DA6215">
          <w:rPr>
            <w:i w:val="0"/>
            <w:iCs w:val="0"/>
            <w:webHidden/>
          </w:rPr>
          <w:fldChar w:fldCharType="begin"/>
        </w:r>
        <w:r w:rsidRPr="00DA6215">
          <w:rPr>
            <w:i w:val="0"/>
            <w:iCs w:val="0"/>
            <w:webHidden/>
          </w:rPr>
          <w:instrText xml:space="preserve"> PAGEREF _Toc189044308 \h </w:instrText>
        </w:r>
        <w:r w:rsidRPr="00DA6215">
          <w:rPr>
            <w:i w:val="0"/>
            <w:iCs w:val="0"/>
            <w:webHidden/>
          </w:rPr>
        </w:r>
        <w:r w:rsidRPr="00DA6215">
          <w:rPr>
            <w:i w:val="0"/>
            <w:iCs w:val="0"/>
            <w:webHidden/>
          </w:rPr>
          <w:fldChar w:fldCharType="separate"/>
        </w:r>
        <w:r w:rsidR="00DD0A69">
          <w:rPr>
            <w:i w:val="0"/>
            <w:iCs w:val="0"/>
            <w:webHidden/>
          </w:rPr>
          <w:t>6-35</w:t>
        </w:r>
        <w:r w:rsidRPr="00DA6215">
          <w:rPr>
            <w:i w:val="0"/>
            <w:iCs w:val="0"/>
            <w:webHidden/>
          </w:rPr>
          <w:fldChar w:fldCharType="end"/>
        </w:r>
      </w:hyperlink>
    </w:p>
    <w:p w14:paraId="6A9C395A" w14:textId="2E7EA2D2" w:rsidR="00DA6215" w:rsidRPr="00DA6215" w:rsidRDefault="00DA6215">
      <w:pPr>
        <w:pStyle w:val="TOC3"/>
        <w:rPr>
          <w:rFonts w:eastAsiaTheme="minorEastAsia"/>
          <w:i w:val="0"/>
          <w:iCs w:val="0"/>
          <w:kern w:val="2"/>
          <w14:ligatures w14:val="standardContextual"/>
        </w:rPr>
      </w:pPr>
      <w:hyperlink w:anchor="_Toc189044309" w:history="1">
        <w:r w:rsidRPr="00DA6215">
          <w:rPr>
            <w:rStyle w:val="Hyperlink"/>
            <w:i w:val="0"/>
            <w:iCs w:val="0"/>
            <w:u w:val="none"/>
          </w:rPr>
          <w:t>6.4.7</w:t>
        </w:r>
        <w:r w:rsidRPr="00DA6215">
          <w:rPr>
            <w:rFonts w:eastAsiaTheme="minorEastAsia"/>
            <w:i w:val="0"/>
            <w:iCs w:val="0"/>
            <w:kern w:val="2"/>
            <w14:ligatures w14:val="standardContextual"/>
          </w:rPr>
          <w:tab/>
        </w:r>
        <w:r w:rsidRPr="00DA6215">
          <w:rPr>
            <w:rStyle w:val="Hyperlink"/>
            <w:i w:val="0"/>
            <w:iCs w:val="0"/>
            <w:u w:val="none"/>
          </w:rPr>
          <w:t>QSE-Requested Decommitment of Resources and Changes to Ancillary Service Resource Responsibility of Resources</w:t>
        </w:r>
        <w:r w:rsidRPr="00DA6215">
          <w:rPr>
            <w:i w:val="0"/>
            <w:iCs w:val="0"/>
            <w:webHidden/>
          </w:rPr>
          <w:tab/>
        </w:r>
        <w:r w:rsidRPr="00DA6215">
          <w:rPr>
            <w:i w:val="0"/>
            <w:iCs w:val="0"/>
            <w:webHidden/>
          </w:rPr>
          <w:fldChar w:fldCharType="begin"/>
        </w:r>
        <w:r w:rsidRPr="00DA6215">
          <w:rPr>
            <w:i w:val="0"/>
            <w:iCs w:val="0"/>
            <w:webHidden/>
          </w:rPr>
          <w:instrText xml:space="preserve"> PAGEREF _Toc189044309 \h </w:instrText>
        </w:r>
        <w:r w:rsidRPr="00DA6215">
          <w:rPr>
            <w:i w:val="0"/>
            <w:iCs w:val="0"/>
            <w:webHidden/>
          </w:rPr>
        </w:r>
        <w:r w:rsidRPr="00DA6215">
          <w:rPr>
            <w:i w:val="0"/>
            <w:iCs w:val="0"/>
            <w:webHidden/>
          </w:rPr>
          <w:fldChar w:fldCharType="separate"/>
        </w:r>
        <w:r w:rsidR="00DD0A69">
          <w:rPr>
            <w:i w:val="0"/>
            <w:iCs w:val="0"/>
            <w:webHidden/>
          </w:rPr>
          <w:t>6-35</w:t>
        </w:r>
        <w:r w:rsidRPr="00DA6215">
          <w:rPr>
            <w:i w:val="0"/>
            <w:iCs w:val="0"/>
            <w:webHidden/>
          </w:rPr>
          <w:fldChar w:fldCharType="end"/>
        </w:r>
      </w:hyperlink>
    </w:p>
    <w:p w14:paraId="06510F96" w14:textId="4FE43872" w:rsidR="00DA6215" w:rsidRPr="00DA6215" w:rsidRDefault="00DA6215">
      <w:pPr>
        <w:pStyle w:val="TOC3"/>
        <w:rPr>
          <w:rFonts w:eastAsiaTheme="minorEastAsia"/>
          <w:i w:val="0"/>
          <w:iCs w:val="0"/>
          <w:kern w:val="2"/>
          <w14:ligatures w14:val="standardContextual"/>
        </w:rPr>
      </w:pPr>
      <w:hyperlink w:anchor="_Toc189044310" w:history="1">
        <w:r w:rsidRPr="00DA6215">
          <w:rPr>
            <w:rStyle w:val="Hyperlink"/>
            <w:i w:val="0"/>
            <w:iCs w:val="0"/>
            <w:u w:val="none"/>
          </w:rPr>
          <w:t>6.4.7</w:t>
        </w:r>
        <w:r w:rsidRPr="00DA6215">
          <w:rPr>
            <w:rFonts w:eastAsiaTheme="minorEastAsia"/>
            <w:i w:val="0"/>
            <w:iCs w:val="0"/>
            <w:kern w:val="2"/>
            <w14:ligatures w14:val="standardContextual"/>
          </w:rPr>
          <w:tab/>
        </w:r>
        <w:r w:rsidRPr="00DA6215">
          <w:rPr>
            <w:rStyle w:val="Hyperlink"/>
            <w:i w:val="0"/>
            <w:iCs w:val="0"/>
            <w:u w:val="none"/>
          </w:rPr>
          <w:t>QSE-Requested Decommitment of Resources</w:t>
        </w:r>
        <w:r w:rsidRPr="00DA6215">
          <w:rPr>
            <w:i w:val="0"/>
            <w:iCs w:val="0"/>
            <w:webHidden/>
          </w:rPr>
          <w:tab/>
        </w:r>
        <w:r w:rsidRPr="00DA6215">
          <w:rPr>
            <w:i w:val="0"/>
            <w:iCs w:val="0"/>
            <w:webHidden/>
          </w:rPr>
          <w:fldChar w:fldCharType="begin"/>
        </w:r>
        <w:r w:rsidRPr="00DA6215">
          <w:rPr>
            <w:i w:val="0"/>
            <w:iCs w:val="0"/>
            <w:webHidden/>
          </w:rPr>
          <w:instrText xml:space="preserve"> PAGEREF _Toc189044310 \h </w:instrText>
        </w:r>
        <w:r w:rsidRPr="00DA6215">
          <w:rPr>
            <w:i w:val="0"/>
            <w:iCs w:val="0"/>
            <w:webHidden/>
          </w:rPr>
        </w:r>
        <w:r w:rsidRPr="00DA6215">
          <w:rPr>
            <w:i w:val="0"/>
            <w:iCs w:val="0"/>
            <w:webHidden/>
          </w:rPr>
          <w:fldChar w:fldCharType="separate"/>
        </w:r>
        <w:r w:rsidR="00DD0A69">
          <w:rPr>
            <w:i w:val="0"/>
            <w:iCs w:val="0"/>
            <w:webHidden/>
          </w:rPr>
          <w:t>6-36</w:t>
        </w:r>
        <w:r w:rsidRPr="00DA6215">
          <w:rPr>
            <w:i w:val="0"/>
            <w:iCs w:val="0"/>
            <w:webHidden/>
          </w:rPr>
          <w:fldChar w:fldCharType="end"/>
        </w:r>
      </w:hyperlink>
    </w:p>
    <w:p w14:paraId="6ECF9175" w14:textId="0E3B8AE0" w:rsidR="00DA6215" w:rsidRPr="00DA6215" w:rsidRDefault="00DA6215">
      <w:pPr>
        <w:pStyle w:val="TOC4"/>
        <w:rPr>
          <w:rFonts w:eastAsiaTheme="minorEastAsia"/>
          <w:kern w:val="2"/>
          <w:lang w:val="en-US"/>
          <w14:ligatures w14:val="standardContextual"/>
        </w:rPr>
      </w:pPr>
      <w:hyperlink w:anchor="_Toc189044311" w:history="1">
        <w:r w:rsidRPr="00DA6215">
          <w:rPr>
            <w:rStyle w:val="Hyperlink"/>
            <w:u w:val="none"/>
          </w:rPr>
          <w:t>6.4.7.1</w:t>
        </w:r>
        <w:r w:rsidRPr="00DA6215">
          <w:rPr>
            <w:rFonts w:eastAsiaTheme="minorEastAsia"/>
            <w:kern w:val="2"/>
            <w:lang w:val="en-US"/>
            <w14:ligatures w14:val="standardContextual"/>
          </w:rPr>
          <w:tab/>
        </w:r>
        <w:r w:rsidRPr="00DA6215">
          <w:rPr>
            <w:rStyle w:val="Hyperlink"/>
            <w:u w:val="none"/>
          </w:rPr>
          <w:t>QSE Request to Decommit Resources in the Operating Period</w:t>
        </w:r>
        <w:r w:rsidRPr="00DA6215">
          <w:rPr>
            <w:webHidden/>
          </w:rPr>
          <w:tab/>
        </w:r>
        <w:r w:rsidRPr="00DA6215">
          <w:rPr>
            <w:webHidden/>
          </w:rPr>
          <w:fldChar w:fldCharType="begin"/>
        </w:r>
        <w:r w:rsidRPr="00DA6215">
          <w:rPr>
            <w:webHidden/>
          </w:rPr>
          <w:instrText xml:space="preserve"> PAGEREF _Toc189044311 \h </w:instrText>
        </w:r>
        <w:r w:rsidRPr="00DA6215">
          <w:rPr>
            <w:webHidden/>
          </w:rPr>
        </w:r>
        <w:r w:rsidRPr="00DA6215">
          <w:rPr>
            <w:webHidden/>
          </w:rPr>
          <w:fldChar w:fldCharType="separate"/>
        </w:r>
        <w:r w:rsidR="00DD0A69">
          <w:rPr>
            <w:webHidden/>
          </w:rPr>
          <w:t>6-37</w:t>
        </w:r>
        <w:r w:rsidRPr="00DA6215">
          <w:rPr>
            <w:webHidden/>
          </w:rPr>
          <w:fldChar w:fldCharType="end"/>
        </w:r>
      </w:hyperlink>
    </w:p>
    <w:p w14:paraId="2C0C168A" w14:textId="010380A3" w:rsidR="00DA6215" w:rsidRPr="00DA6215" w:rsidRDefault="00DA6215">
      <w:pPr>
        <w:pStyle w:val="TOC4"/>
        <w:rPr>
          <w:rFonts w:eastAsiaTheme="minorEastAsia"/>
          <w:kern w:val="2"/>
          <w:lang w:val="en-US"/>
          <w14:ligatures w14:val="standardContextual"/>
        </w:rPr>
      </w:pPr>
      <w:hyperlink w:anchor="_Toc189044312" w:history="1">
        <w:r w:rsidRPr="00DA6215">
          <w:rPr>
            <w:rStyle w:val="Hyperlink"/>
            <w:u w:val="none"/>
          </w:rPr>
          <w:t>6.4.7.2</w:t>
        </w:r>
        <w:r w:rsidRPr="00DA6215">
          <w:rPr>
            <w:rFonts w:eastAsiaTheme="minorEastAsia"/>
            <w:kern w:val="2"/>
            <w:lang w:val="en-US"/>
            <w14:ligatures w14:val="standardContextual"/>
          </w:rPr>
          <w:tab/>
        </w:r>
        <w:r w:rsidRPr="00DA6215">
          <w:rPr>
            <w:rStyle w:val="Hyperlink"/>
            <w:u w:val="none"/>
          </w:rPr>
          <w:t>QSE Request to Decommit Resources in the Adjustment Period</w:t>
        </w:r>
        <w:r w:rsidRPr="00DA6215">
          <w:rPr>
            <w:webHidden/>
          </w:rPr>
          <w:tab/>
        </w:r>
        <w:r w:rsidRPr="00DA6215">
          <w:rPr>
            <w:webHidden/>
          </w:rPr>
          <w:fldChar w:fldCharType="begin"/>
        </w:r>
        <w:r w:rsidRPr="00DA6215">
          <w:rPr>
            <w:webHidden/>
          </w:rPr>
          <w:instrText xml:space="preserve"> PAGEREF _Toc189044312 \h </w:instrText>
        </w:r>
        <w:r w:rsidRPr="00DA6215">
          <w:rPr>
            <w:webHidden/>
          </w:rPr>
        </w:r>
        <w:r w:rsidRPr="00DA6215">
          <w:rPr>
            <w:webHidden/>
          </w:rPr>
          <w:fldChar w:fldCharType="separate"/>
        </w:r>
        <w:r w:rsidR="00DD0A69">
          <w:rPr>
            <w:webHidden/>
          </w:rPr>
          <w:t>6-37</w:t>
        </w:r>
        <w:r w:rsidRPr="00DA6215">
          <w:rPr>
            <w:webHidden/>
          </w:rPr>
          <w:fldChar w:fldCharType="end"/>
        </w:r>
      </w:hyperlink>
    </w:p>
    <w:p w14:paraId="66C9684C" w14:textId="102F5663" w:rsidR="00DA6215" w:rsidRPr="00DA6215" w:rsidRDefault="00DA6215">
      <w:pPr>
        <w:pStyle w:val="TOC3"/>
        <w:rPr>
          <w:rFonts w:eastAsiaTheme="minorEastAsia"/>
          <w:i w:val="0"/>
          <w:iCs w:val="0"/>
          <w:kern w:val="2"/>
          <w14:ligatures w14:val="standardContextual"/>
        </w:rPr>
      </w:pPr>
      <w:hyperlink w:anchor="_Toc189044313" w:history="1">
        <w:r w:rsidRPr="00DA6215">
          <w:rPr>
            <w:rStyle w:val="Hyperlink"/>
            <w:i w:val="0"/>
            <w:iCs w:val="0"/>
            <w:u w:val="none"/>
          </w:rPr>
          <w:t>6.4.8</w:t>
        </w:r>
        <w:r w:rsidRPr="00DA6215">
          <w:rPr>
            <w:rFonts w:eastAsiaTheme="minorEastAsia"/>
            <w:i w:val="0"/>
            <w:iCs w:val="0"/>
            <w:kern w:val="2"/>
            <w14:ligatures w14:val="standardContextual"/>
          </w:rPr>
          <w:tab/>
        </w:r>
        <w:r w:rsidRPr="00DA6215">
          <w:rPr>
            <w:rStyle w:val="Hyperlink"/>
            <w:i w:val="0"/>
            <w:iCs w:val="0"/>
            <w:u w:val="none"/>
          </w:rPr>
          <w:t>Notification of Forced Outage of a Resource</w:t>
        </w:r>
        <w:r w:rsidRPr="00DA6215">
          <w:rPr>
            <w:i w:val="0"/>
            <w:iCs w:val="0"/>
            <w:webHidden/>
          </w:rPr>
          <w:tab/>
        </w:r>
        <w:r w:rsidRPr="00DA6215">
          <w:rPr>
            <w:i w:val="0"/>
            <w:iCs w:val="0"/>
            <w:webHidden/>
          </w:rPr>
          <w:fldChar w:fldCharType="begin"/>
        </w:r>
        <w:r w:rsidRPr="00DA6215">
          <w:rPr>
            <w:i w:val="0"/>
            <w:iCs w:val="0"/>
            <w:webHidden/>
          </w:rPr>
          <w:instrText xml:space="preserve"> PAGEREF _Toc189044313 \h </w:instrText>
        </w:r>
        <w:r w:rsidRPr="00DA6215">
          <w:rPr>
            <w:i w:val="0"/>
            <w:iCs w:val="0"/>
            <w:webHidden/>
          </w:rPr>
        </w:r>
        <w:r w:rsidRPr="00DA6215">
          <w:rPr>
            <w:i w:val="0"/>
            <w:iCs w:val="0"/>
            <w:webHidden/>
          </w:rPr>
          <w:fldChar w:fldCharType="separate"/>
        </w:r>
        <w:r w:rsidR="00DD0A69">
          <w:rPr>
            <w:i w:val="0"/>
            <w:iCs w:val="0"/>
            <w:webHidden/>
          </w:rPr>
          <w:t>6-38</w:t>
        </w:r>
        <w:r w:rsidRPr="00DA6215">
          <w:rPr>
            <w:i w:val="0"/>
            <w:iCs w:val="0"/>
            <w:webHidden/>
          </w:rPr>
          <w:fldChar w:fldCharType="end"/>
        </w:r>
      </w:hyperlink>
    </w:p>
    <w:p w14:paraId="57B32657" w14:textId="1045204B" w:rsidR="00DA6215" w:rsidRPr="00DA6215" w:rsidRDefault="00DA6215">
      <w:pPr>
        <w:pStyle w:val="TOC3"/>
        <w:rPr>
          <w:rFonts w:eastAsiaTheme="minorEastAsia"/>
          <w:i w:val="0"/>
          <w:iCs w:val="0"/>
          <w:kern w:val="2"/>
          <w14:ligatures w14:val="standardContextual"/>
        </w:rPr>
      </w:pPr>
      <w:hyperlink w:anchor="_Toc189044314" w:history="1">
        <w:r w:rsidRPr="00DA6215">
          <w:rPr>
            <w:rStyle w:val="Hyperlink"/>
            <w:i w:val="0"/>
            <w:iCs w:val="0"/>
            <w:u w:val="none"/>
          </w:rPr>
          <w:t>6.4.9</w:t>
        </w:r>
        <w:r w:rsidRPr="00DA6215">
          <w:rPr>
            <w:rFonts w:eastAsiaTheme="minorEastAsia"/>
            <w:i w:val="0"/>
            <w:iCs w:val="0"/>
            <w:kern w:val="2"/>
            <w14:ligatures w14:val="standardContextual"/>
          </w:rPr>
          <w:tab/>
        </w:r>
        <w:r w:rsidRPr="00DA6215">
          <w:rPr>
            <w:rStyle w:val="Hyperlink"/>
            <w:i w:val="0"/>
            <w:iCs w:val="0"/>
            <w:u w:val="none"/>
          </w:rPr>
          <w:t>Ancillary Services Capacity During the Adjustment Period and in Real-Time</w:t>
        </w:r>
        <w:r w:rsidRPr="00DA6215">
          <w:rPr>
            <w:i w:val="0"/>
            <w:iCs w:val="0"/>
            <w:webHidden/>
          </w:rPr>
          <w:tab/>
        </w:r>
        <w:r w:rsidRPr="00DA6215">
          <w:rPr>
            <w:i w:val="0"/>
            <w:iCs w:val="0"/>
            <w:webHidden/>
          </w:rPr>
          <w:fldChar w:fldCharType="begin"/>
        </w:r>
        <w:r w:rsidRPr="00DA6215">
          <w:rPr>
            <w:i w:val="0"/>
            <w:iCs w:val="0"/>
            <w:webHidden/>
          </w:rPr>
          <w:instrText xml:space="preserve"> PAGEREF _Toc189044314 \h </w:instrText>
        </w:r>
        <w:r w:rsidRPr="00DA6215">
          <w:rPr>
            <w:i w:val="0"/>
            <w:iCs w:val="0"/>
            <w:webHidden/>
          </w:rPr>
        </w:r>
        <w:r w:rsidRPr="00DA6215">
          <w:rPr>
            <w:i w:val="0"/>
            <w:iCs w:val="0"/>
            <w:webHidden/>
          </w:rPr>
          <w:fldChar w:fldCharType="separate"/>
        </w:r>
        <w:r w:rsidR="00DD0A69">
          <w:rPr>
            <w:i w:val="0"/>
            <w:iCs w:val="0"/>
            <w:webHidden/>
          </w:rPr>
          <w:t>6-38</w:t>
        </w:r>
        <w:r w:rsidRPr="00DA6215">
          <w:rPr>
            <w:i w:val="0"/>
            <w:iCs w:val="0"/>
            <w:webHidden/>
          </w:rPr>
          <w:fldChar w:fldCharType="end"/>
        </w:r>
      </w:hyperlink>
    </w:p>
    <w:p w14:paraId="0ED2C5AE" w14:textId="18CC7C82" w:rsidR="00DA6215" w:rsidRPr="00DA6215" w:rsidRDefault="00DA6215">
      <w:pPr>
        <w:pStyle w:val="TOC3"/>
        <w:rPr>
          <w:rFonts w:eastAsiaTheme="minorEastAsia"/>
          <w:i w:val="0"/>
          <w:iCs w:val="0"/>
          <w:kern w:val="2"/>
          <w14:ligatures w14:val="standardContextual"/>
        </w:rPr>
      </w:pPr>
      <w:hyperlink w:anchor="_Toc189044315" w:history="1">
        <w:r w:rsidRPr="00DA6215">
          <w:rPr>
            <w:rStyle w:val="Hyperlink"/>
            <w:i w:val="0"/>
            <w:iCs w:val="0"/>
            <w:u w:val="none"/>
          </w:rPr>
          <w:t>6.4.9</w:t>
        </w:r>
        <w:r w:rsidRPr="00DA6215">
          <w:rPr>
            <w:rFonts w:eastAsiaTheme="minorEastAsia"/>
            <w:i w:val="0"/>
            <w:iCs w:val="0"/>
            <w:kern w:val="2"/>
            <w14:ligatures w14:val="standardContextual"/>
          </w:rPr>
          <w:tab/>
        </w:r>
        <w:r w:rsidRPr="00DA6215">
          <w:rPr>
            <w:rStyle w:val="Hyperlink"/>
            <w:i w:val="0"/>
            <w:iCs w:val="0"/>
            <w:u w:val="none"/>
          </w:rPr>
          <w:t>Real-Time Ancillary Service Offers and Awards</w:t>
        </w:r>
        <w:r w:rsidRPr="00DA6215">
          <w:rPr>
            <w:i w:val="0"/>
            <w:iCs w:val="0"/>
            <w:webHidden/>
          </w:rPr>
          <w:tab/>
        </w:r>
        <w:r w:rsidRPr="00DA6215">
          <w:rPr>
            <w:i w:val="0"/>
            <w:iCs w:val="0"/>
            <w:webHidden/>
          </w:rPr>
          <w:fldChar w:fldCharType="begin"/>
        </w:r>
        <w:r w:rsidRPr="00DA6215">
          <w:rPr>
            <w:i w:val="0"/>
            <w:iCs w:val="0"/>
            <w:webHidden/>
          </w:rPr>
          <w:instrText xml:space="preserve"> PAGEREF _Toc189044315 \h </w:instrText>
        </w:r>
        <w:r w:rsidRPr="00DA6215">
          <w:rPr>
            <w:i w:val="0"/>
            <w:iCs w:val="0"/>
            <w:webHidden/>
          </w:rPr>
        </w:r>
        <w:r w:rsidRPr="00DA6215">
          <w:rPr>
            <w:i w:val="0"/>
            <w:iCs w:val="0"/>
            <w:webHidden/>
          </w:rPr>
          <w:fldChar w:fldCharType="separate"/>
        </w:r>
        <w:r w:rsidR="00DD0A69">
          <w:rPr>
            <w:i w:val="0"/>
            <w:iCs w:val="0"/>
            <w:webHidden/>
          </w:rPr>
          <w:t>6-39</w:t>
        </w:r>
        <w:r w:rsidRPr="00DA6215">
          <w:rPr>
            <w:i w:val="0"/>
            <w:iCs w:val="0"/>
            <w:webHidden/>
          </w:rPr>
          <w:fldChar w:fldCharType="end"/>
        </w:r>
      </w:hyperlink>
    </w:p>
    <w:p w14:paraId="46F6512B" w14:textId="6EE360B5" w:rsidR="00DA6215" w:rsidRPr="00DA6215" w:rsidRDefault="00DA6215">
      <w:pPr>
        <w:pStyle w:val="TOC4"/>
        <w:rPr>
          <w:rFonts w:eastAsiaTheme="minorEastAsia"/>
          <w:kern w:val="2"/>
          <w:lang w:val="en-US"/>
          <w14:ligatures w14:val="standardContextual"/>
        </w:rPr>
      </w:pPr>
      <w:hyperlink w:anchor="_Toc189044316" w:history="1">
        <w:r w:rsidRPr="00DA6215">
          <w:rPr>
            <w:rStyle w:val="Hyperlink"/>
            <w:u w:val="none"/>
          </w:rPr>
          <w:t>6.4.9.1</w:t>
        </w:r>
        <w:r w:rsidRPr="00DA6215">
          <w:rPr>
            <w:rFonts w:eastAsiaTheme="minorEastAsia"/>
            <w:kern w:val="2"/>
            <w:lang w:val="en-US"/>
            <w14:ligatures w14:val="standardContextual"/>
          </w:rPr>
          <w:tab/>
        </w:r>
        <w:r w:rsidRPr="00DA6215">
          <w:rPr>
            <w:rStyle w:val="Hyperlink"/>
            <w:u w:val="none"/>
          </w:rPr>
          <w:t>Evaluation and Maintenance of Ancillary Service Capacity Sufficiency</w:t>
        </w:r>
        <w:r w:rsidRPr="00DA6215">
          <w:rPr>
            <w:webHidden/>
          </w:rPr>
          <w:tab/>
        </w:r>
        <w:r w:rsidRPr="00DA6215">
          <w:rPr>
            <w:webHidden/>
          </w:rPr>
          <w:fldChar w:fldCharType="begin"/>
        </w:r>
        <w:r w:rsidRPr="00DA6215">
          <w:rPr>
            <w:webHidden/>
          </w:rPr>
          <w:instrText xml:space="preserve"> PAGEREF _Toc189044316 \h </w:instrText>
        </w:r>
        <w:r w:rsidRPr="00DA6215">
          <w:rPr>
            <w:webHidden/>
          </w:rPr>
        </w:r>
        <w:r w:rsidRPr="00DA6215">
          <w:rPr>
            <w:webHidden/>
          </w:rPr>
          <w:fldChar w:fldCharType="separate"/>
        </w:r>
        <w:r w:rsidR="00DD0A69">
          <w:rPr>
            <w:webHidden/>
          </w:rPr>
          <w:t>6-39</w:t>
        </w:r>
        <w:r w:rsidRPr="00DA6215">
          <w:rPr>
            <w:webHidden/>
          </w:rPr>
          <w:fldChar w:fldCharType="end"/>
        </w:r>
      </w:hyperlink>
    </w:p>
    <w:p w14:paraId="7294B7DC" w14:textId="455E9A37" w:rsidR="00DA6215" w:rsidRPr="00DA6215" w:rsidRDefault="00DA6215">
      <w:pPr>
        <w:pStyle w:val="TOC4"/>
        <w:rPr>
          <w:rFonts w:eastAsiaTheme="minorEastAsia"/>
          <w:kern w:val="2"/>
          <w:lang w:val="en-US"/>
          <w14:ligatures w14:val="standardContextual"/>
        </w:rPr>
      </w:pPr>
      <w:hyperlink w:anchor="_Toc189044317" w:history="1">
        <w:r w:rsidRPr="00DA6215">
          <w:rPr>
            <w:rStyle w:val="Hyperlink"/>
            <w:snapToGrid w:val="0"/>
            <w:u w:val="none"/>
          </w:rPr>
          <w:t>6.4.9.1</w:t>
        </w:r>
        <w:r w:rsidRPr="00DA6215">
          <w:rPr>
            <w:rFonts w:eastAsiaTheme="minorEastAsia"/>
            <w:kern w:val="2"/>
            <w:lang w:val="en-US"/>
            <w14:ligatures w14:val="standardContextual"/>
          </w:rPr>
          <w:tab/>
        </w:r>
        <w:r w:rsidRPr="00DA6215">
          <w:rPr>
            <w:rStyle w:val="Hyperlink"/>
            <w:snapToGrid w:val="0"/>
            <w:u w:val="none"/>
          </w:rPr>
          <w:t>Ancillary Service Offers</w:t>
        </w:r>
        <w:r w:rsidRPr="00DA6215">
          <w:rPr>
            <w:webHidden/>
          </w:rPr>
          <w:tab/>
        </w:r>
        <w:r w:rsidRPr="00DA6215">
          <w:rPr>
            <w:webHidden/>
          </w:rPr>
          <w:fldChar w:fldCharType="begin"/>
        </w:r>
        <w:r w:rsidRPr="00DA6215">
          <w:rPr>
            <w:webHidden/>
          </w:rPr>
          <w:instrText xml:space="preserve"> PAGEREF _Toc189044317 \h </w:instrText>
        </w:r>
        <w:r w:rsidRPr="00DA6215">
          <w:rPr>
            <w:webHidden/>
          </w:rPr>
        </w:r>
        <w:r w:rsidRPr="00DA6215">
          <w:rPr>
            <w:webHidden/>
          </w:rPr>
          <w:fldChar w:fldCharType="separate"/>
        </w:r>
        <w:r w:rsidR="00DD0A69">
          <w:rPr>
            <w:webHidden/>
          </w:rPr>
          <w:t>6-39</w:t>
        </w:r>
        <w:r w:rsidRPr="00DA6215">
          <w:rPr>
            <w:webHidden/>
          </w:rPr>
          <w:fldChar w:fldCharType="end"/>
        </w:r>
      </w:hyperlink>
    </w:p>
    <w:p w14:paraId="4E5E5993" w14:textId="0EEA08E4" w:rsidR="00DA6215" w:rsidRPr="00DA6215" w:rsidRDefault="00DA6215">
      <w:pPr>
        <w:pStyle w:val="TOC5"/>
        <w:rPr>
          <w:rFonts w:eastAsiaTheme="minorEastAsia"/>
          <w:i w:val="0"/>
          <w:kern w:val="2"/>
          <w:sz w:val="20"/>
          <w:szCs w:val="20"/>
          <w14:ligatures w14:val="standardContextual"/>
        </w:rPr>
      </w:pPr>
      <w:hyperlink w:anchor="_Toc189044318" w:history="1">
        <w:r w:rsidRPr="00DA6215">
          <w:rPr>
            <w:rStyle w:val="Hyperlink"/>
            <w:i w:val="0"/>
            <w:sz w:val="20"/>
            <w:szCs w:val="20"/>
            <w:u w:val="none"/>
          </w:rPr>
          <w:t>6.4.9.1.1</w:t>
        </w:r>
        <w:r w:rsidRPr="00DA6215">
          <w:rPr>
            <w:rFonts w:eastAsiaTheme="minorEastAsia"/>
            <w:i w:val="0"/>
            <w:kern w:val="2"/>
            <w:sz w:val="20"/>
            <w:szCs w:val="20"/>
            <w14:ligatures w14:val="standardContextual"/>
          </w:rPr>
          <w:tab/>
        </w:r>
        <w:r w:rsidRPr="00DA6215">
          <w:rPr>
            <w:rStyle w:val="Hyperlink"/>
            <w:i w:val="0"/>
            <w:sz w:val="20"/>
            <w:szCs w:val="20"/>
            <w:u w:val="none"/>
          </w:rPr>
          <w:t>ERCOT Increases to the Ancillary Services Plan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_Toc189044318 \h </w:instrText>
        </w:r>
        <w:r w:rsidRPr="00DA6215">
          <w:rPr>
            <w:i w:val="0"/>
            <w:webHidden/>
            <w:sz w:val="20"/>
            <w:szCs w:val="20"/>
          </w:rPr>
        </w:r>
        <w:r w:rsidRPr="00DA6215">
          <w:rPr>
            <w:i w:val="0"/>
            <w:webHidden/>
            <w:sz w:val="20"/>
            <w:szCs w:val="20"/>
          </w:rPr>
          <w:fldChar w:fldCharType="separate"/>
        </w:r>
        <w:r w:rsidR="00DD0A69">
          <w:rPr>
            <w:i w:val="0"/>
            <w:webHidden/>
            <w:sz w:val="20"/>
            <w:szCs w:val="20"/>
          </w:rPr>
          <w:t>6-40</w:t>
        </w:r>
        <w:r w:rsidRPr="00DA6215">
          <w:rPr>
            <w:i w:val="0"/>
            <w:webHidden/>
            <w:sz w:val="20"/>
            <w:szCs w:val="20"/>
          </w:rPr>
          <w:fldChar w:fldCharType="end"/>
        </w:r>
      </w:hyperlink>
    </w:p>
    <w:p w14:paraId="149F308D" w14:textId="5DF6ADF1" w:rsidR="00DA6215" w:rsidRPr="00DA6215" w:rsidRDefault="00DA6215">
      <w:pPr>
        <w:pStyle w:val="TOC5"/>
        <w:rPr>
          <w:rFonts w:eastAsiaTheme="minorEastAsia"/>
          <w:i w:val="0"/>
          <w:kern w:val="2"/>
          <w:sz w:val="20"/>
          <w:szCs w:val="20"/>
          <w14:ligatures w14:val="standardContextual"/>
        </w:rPr>
      </w:pPr>
      <w:hyperlink w:anchor="_Toc189044319" w:history="1">
        <w:r w:rsidRPr="00DA6215">
          <w:rPr>
            <w:rStyle w:val="Hyperlink"/>
            <w:i w:val="0"/>
            <w:sz w:val="20"/>
            <w:szCs w:val="20"/>
            <w:u w:val="none"/>
          </w:rPr>
          <w:t>6.4.9.1.2</w:t>
        </w:r>
        <w:r w:rsidRPr="00DA6215">
          <w:rPr>
            <w:rFonts w:eastAsiaTheme="minorEastAsia"/>
            <w:i w:val="0"/>
            <w:kern w:val="2"/>
            <w:sz w:val="20"/>
            <w:szCs w:val="20"/>
            <w14:ligatures w14:val="standardContextual"/>
          </w:rPr>
          <w:tab/>
        </w:r>
        <w:r w:rsidRPr="00DA6215">
          <w:rPr>
            <w:rStyle w:val="Hyperlink"/>
            <w:i w:val="0"/>
            <w:sz w:val="20"/>
            <w:szCs w:val="20"/>
            <w:u w:val="none"/>
          </w:rPr>
          <w:t>Replacement of Infeasible Ancillary Service Due to Transmission Constraints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_Toc189044319 \h </w:instrText>
        </w:r>
        <w:r w:rsidRPr="00DA6215">
          <w:rPr>
            <w:i w:val="0"/>
            <w:webHidden/>
            <w:sz w:val="20"/>
            <w:szCs w:val="20"/>
          </w:rPr>
        </w:r>
        <w:r w:rsidRPr="00DA6215">
          <w:rPr>
            <w:i w:val="0"/>
            <w:webHidden/>
            <w:sz w:val="20"/>
            <w:szCs w:val="20"/>
          </w:rPr>
          <w:fldChar w:fldCharType="separate"/>
        </w:r>
        <w:r w:rsidR="00DD0A69">
          <w:rPr>
            <w:i w:val="0"/>
            <w:webHidden/>
            <w:sz w:val="20"/>
            <w:szCs w:val="20"/>
          </w:rPr>
          <w:t>6-41</w:t>
        </w:r>
        <w:r w:rsidRPr="00DA6215">
          <w:rPr>
            <w:i w:val="0"/>
            <w:webHidden/>
            <w:sz w:val="20"/>
            <w:szCs w:val="20"/>
          </w:rPr>
          <w:fldChar w:fldCharType="end"/>
        </w:r>
      </w:hyperlink>
    </w:p>
    <w:p w14:paraId="3A164406" w14:textId="41569BCE" w:rsidR="00DA6215" w:rsidRPr="00DA6215" w:rsidRDefault="00DA6215">
      <w:pPr>
        <w:pStyle w:val="TOC5"/>
        <w:rPr>
          <w:rFonts w:eastAsiaTheme="minorEastAsia"/>
          <w:i w:val="0"/>
          <w:kern w:val="2"/>
          <w:sz w:val="20"/>
          <w:szCs w:val="20"/>
          <w14:ligatures w14:val="standardContextual"/>
        </w:rPr>
      </w:pPr>
      <w:hyperlink w:anchor="_Toc189044320" w:history="1">
        <w:r w:rsidRPr="00DA6215">
          <w:rPr>
            <w:rStyle w:val="Hyperlink"/>
            <w:i w:val="0"/>
            <w:sz w:val="20"/>
            <w:szCs w:val="20"/>
            <w:u w:val="none"/>
          </w:rPr>
          <w:t>6.4.9.1.3</w:t>
        </w:r>
        <w:r w:rsidRPr="00DA6215">
          <w:rPr>
            <w:rFonts w:eastAsiaTheme="minorEastAsia"/>
            <w:i w:val="0"/>
            <w:kern w:val="2"/>
            <w:sz w:val="20"/>
            <w:szCs w:val="20"/>
            <w14:ligatures w14:val="standardContextual"/>
          </w:rPr>
          <w:tab/>
        </w:r>
        <w:r w:rsidRPr="00DA6215">
          <w:rPr>
            <w:rStyle w:val="Hyperlink"/>
            <w:i w:val="0"/>
            <w:sz w:val="20"/>
            <w:szCs w:val="20"/>
            <w:u w:val="none"/>
          </w:rPr>
          <w:t>Failure to Provide Ancillary Service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_Toc189044320 \h </w:instrText>
        </w:r>
        <w:r w:rsidRPr="00DA6215">
          <w:rPr>
            <w:i w:val="0"/>
            <w:webHidden/>
            <w:sz w:val="20"/>
            <w:szCs w:val="20"/>
          </w:rPr>
        </w:r>
        <w:r w:rsidRPr="00DA6215">
          <w:rPr>
            <w:i w:val="0"/>
            <w:webHidden/>
            <w:sz w:val="20"/>
            <w:szCs w:val="20"/>
          </w:rPr>
          <w:fldChar w:fldCharType="separate"/>
        </w:r>
        <w:r w:rsidR="00DD0A69">
          <w:rPr>
            <w:i w:val="0"/>
            <w:webHidden/>
            <w:sz w:val="20"/>
            <w:szCs w:val="20"/>
          </w:rPr>
          <w:t>6-42</w:t>
        </w:r>
        <w:r w:rsidRPr="00DA6215">
          <w:rPr>
            <w:i w:val="0"/>
            <w:webHidden/>
            <w:sz w:val="20"/>
            <w:szCs w:val="20"/>
          </w:rPr>
          <w:fldChar w:fldCharType="end"/>
        </w:r>
      </w:hyperlink>
    </w:p>
    <w:p w14:paraId="033C79DE" w14:textId="4A338100" w:rsidR="00DA6215" w:rsidRPr="00DA6215" w:rsidRDefault="00DA6215">
      <w:pPr>
        <w:pStyle w:val="TOC5"/>
        <w:rPr>
          <w:rFonts w:eastAsiaTheme="minorEastAsia"/>
          <w:i w:val="0"/>
          <w:kern w:val="2"/>
          <w:sz w:val="20"/>
          <w:szCs w:val="20"/>
          <w14:ligatures w14:val="standardContextual"/>
        </w:rPr>
      </w:pPr>
      <w:hyperlink w:anchor="_Toc189044321" w:history="1">
        <w:r w:rsidRPr="00DA6215">
          <w:rPr>
            <w:rStyle w:val="Hyperlink"/>
            <w:i w:val="0"/>
            <w:sz w:val="20"/>
            <w:szCs w:val="20"/>
            <w:u w:val="none"/>
          </w:rPr>
          <w:t>6.4.9.1.2</w:t>
        </w:r>
        <w:r w:rsidRPr="00DA6215">
          <w:rPr>
            <w:rFonts w:eastAsiaTheme="minorEastAsia"/>
            <w:i w:val="0"/>
            <w:kern w:val="2"/>
            <w:sz w:val="20"/>
            <w:szCs w:val="20"/>
            <w14:ligatures w14:val="standardContextual"/>
          </w:rPr>
          <w:tab/>
        </w:r>
        <w:r w:rsidRPr="00DA6215">
          <w:rPr>
            <w:rStyle w:val="Hyperlink"/>
            <w:i w:val="0"/>
            <w:sz w:val="20"/>
            <w:szCs w:val="20"/>
            <w:u w:val="none"/>
          </w:rPr>
          <w:t>Changes to Operating Day Ancillary Service Plan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_Toc189044321 \h </w:instrText>
        </w:r>
        <w:r w:rsidRPr="00DA6215">
          <w:rPr>
            <w:i w:val="0"/>
            <w:webHidden/>
            <w:sz w:val="20"/>
            <w:szCs w:val="20"/>
          </w:rPr>
        </w:r>
        <w:r w:rsidRPr="00DA6215">
          <w:rPr>
            <w:i w:val="0"/>
            <w:webHidden/>
            <w:sz w:val="20"/>
            <w:szCs w:val="20"/>
          </w:rPr>
          <w:fldChar w:fldCharType="separate"/>
        </w:r>
        <w:r w:rsidR="00DD0A69">
          <w:rPr>
            <w:i w:val="0"/>
            <w:webHidden/>
            <w:sz w:val="20"/>
            <w:szCs w:val="20"/>
          </w:rPr>
          <w:t>6-43</w:t>
        </w:r>
        <w:r w:rsidRPr="00DA6215">
          <w:rPr>
            <w:i w:val="0"/>
            <w:webHidden/>
            <w:sz w:val="20"/>
            <w:szCs w:val="20"/>
          </w:rPr>
          <w:fldChar w:fldCharType="end"/>
        </w:r>
      </w:hyperlink>
    </w:p>
    <w:p w14:paraId="421BEB67" w14:textId="470E6235" w:rsidR="00DA6215" w:rsidRPr="00DA6215" w:rsidRDefault="00DA6215">
      <w:pPr>
        <w:pStyle w:val="TOC4"/>
        <w:rPr>
          <w:rFonts w:eastAsiaTheme="minorEastAsia"/>
          <w:kern w:val="2"/>
          <w:lang w:val="en-US"/>
          <w14:ligatures w14:val="standardContextual"/>
        </w:rPr>
      </w:pPr>
      <w:hyperlink w:anchor="_Toc189044322" w:history="1">
        <w:r w:rsidRPr="00DA6215">
          <w:rPr>
            <w:rStyle w:val="Hyperlink"/>
            <w:u w:val="none"/>
          </w:rPr>
          <w:t>6.4.9.2</w:t>
        </w:r>
        <w:r w:rsidRPr="00DA6215">
          <w:rPr>
            <w:rFonts w:eastAsiaTheme="minorEastAsia"/>
            <w:kern w:val="2"/>
            <w:lang w:val="en-US"/>
            <w14:ligatures w14:val="standardContextual"/>
          </w:rPr>
          <w:tab/>
        </w:r>
        <w:r w:rsidRPr="00DA6215">
          <w:rPr>
            <w:rStyle w:val="Hyperlink"/>
            <w:u w:val="none"/>
          </w:rPr>
          <w:t>Supplemental Ancillary Services Market</w:t>
        </w:r>
        <w:r w:rsidRPr="00DA6215">
          <w:rPr>
            <w:webHidden/>
          </w:rPr>
          <w:tab/>
        </w:r>
        <w:r w:rsidRPr="00DA6215">
          <w:rPr>
            <w:webHidden/>
          </w:rPr>
          <w:fldChar w:fldCharType="begin"/>
        </w:r>
        <w:r w:rsidRPr="00DA6215">
          <w:rPr>
            <w:webHidden/>
          </w:rPr>
          <w:instrText xml:space="preserve"> PAGEREF _Toc189044322 \h </w:instrText>
        </w:r>
        <w:r w:rsidRPr="00DA6215">
          <w:rPr>
            <w:webHidden/>
          </w:rPr>
        </w:r>
        <w:r w:rsidRPr="00DA6215">
          <w:rPr>
            <w:webHidden/>
          </w:rPr>
          <w:fldChar w:fldCharType="separate"/>
        </w:r>
        <w:r w:rsidR="00DD0A69">
          <w:rPr>
            <w:webHidden/>
          </w:rPr>
          <w:t>6-43</w:t>
        </w:r>
        <w:r w:rsidRPr="00DA6215">
          <w:rPr>
            <w:webHidden/>
          </w:rPr>
          <w:fldChar w:fldCharType="end"/>
        </w:r>
      </w:hyperlink>
    </w:p>
    <w:p w14:paraId="44229946" w14:textId="125C7435" w:rsidR="00DA6215" w:rsidRPr="00DA6215" w:rsidRDefault="00DA6215">
      <w:pPr>
        <w:pStyle w:val="TOC5"/>
        <w:rPr>
          <w:rFonts w:eastAsiaTheme="minorEastAsia"/>
          <w:i w:val="0"/>
          <w:kern w:val="2"/>
          <w:sz w:val="20"/>
          <w:szCs w:val="20"/>
          <w14:ligatures w14:val="standardContextual"/>
        </w:rPr>
      </w:pPr>
      <w:hyperlink w:anchor="_Toc189044323" w:history="1">
        <w:r w:rsidRPr="00DA6215">
          <w:rPr>
            <w:rStyle w:val="Hyperlink"/>
            <w:i w:val="0"/>
            <w:sz w:val="20"/>
            <w:szCs w:val="20"/>
            <w:u w:val="none"/>
          </w:rPr>
          <w:t>6.4.9.2.1</w:t>
        </w:r>
        <w:r w:rsidRPr="00DA6215">
          <w:rPr>
            <w:rFonts w:eastAsiaTheme="minorEastAsia"/>
            <w:i w:val="0"/>
            <w:kern w:val="2"/>
            <w:sz w:val="20"/>
            <w:szCs w:val="20"/>
            <w14:ligatures w14:val="standardContextual"/>
          </w:rPr>
          <w:tab/>
        </w:r>
        <w:r w:rsidRPr="00DA6215">
          <w:rPr>
            <w:rStyle w:val="Hyperlink"/>
            <w:i w:val="0"/>
            <w:sz w:val="20"/>
            <w:szCs w:val="20"/>
            <w:u w:val="none"/>
          </w:rPr>
          <w:t>Resubmitting Offers for Ancillary Services in the Adjustment Period</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_Toc189044323 \h </w:instrText>
        </w:r>
        <w:r w:rsidRPr="00DA6215">
          <w:rPr>
            <w:i w:val="0"/>
            <w:webHidden/>
            <w:sz w:val="20"/>
            <w:szCs w:val="20"/>
          </w:rPr>
        </w:r>
        <w:r w:rsidRPr="00DA6215">
          <w:rPr>
            <w:i w:val="0"/>
            <w:webHidden/>
            <w:sz w:val="20"/>
            <w:szCs w:val="20"/>
          </w:rPr>
          <w:fldChar w:fldCharType="separate"/>
        </w:r>
        <w:r w:rsidR="00DD0A69">
          <w:rPr>
            <w:i w:val="0"/>
            <w:webHidden/>
            <w:sz w:val="20"/>
            <w:szCs w:val="20"/>
          </w:rPr>
          <w:t>6-45</w:t>
        </w:r>
        <w:r w:rsidRPr="00DA6215">
          <w:rPr>
            <w:i w:val="0"/>
            <w:webHidden/>
            <w:sz w:val="20"/>
            <w:szCs w:val="20"/>
          </w:rPr>
          <w:fldChar w:fldCharType="end"/>
        </w:r>
      </w:hyperlink>
    </w:p>
    <w:p w14:paraId="7E5EEE83" w14:textId="1C4DF5C8" w:rsidR="00DA6215" w:rsidRPr="00DA6215" w:rsidRDefault="00DA6215">
      <w:pPr>
        <w:pStyle w:val="TOC5"/>
        <w:rPr>
          <w:rFonts w:eastAsiaTheme="minorEastAsia"/>
          <w:i w:val="0"/>
          <w:kern w:val="2"/>
          <w:sz w:val="20"/>
          <w:szCs w:val="20"/>
          <w14:ligatures w14:val="standardContextual"/>
        </w:rPr>
      </w:pPr>
      <w:hyperlink w:anchor="_Toc189044324" w:history="1">
        <w:r w:rsidRPr="00DA6215">
          <w:rPr>
            <w:rStyle w:val="Hyperlink"/>
            <w:i w:val="0"/>
            <w:sz w:val="20"/>
            <w:szCs w:val="20"/>
            <w:u w:val="none"/>
          </w:rPr>
          <w:t>6.4.9.2.2</w:t>
        </w:r>
        <w:r w:rsidRPr="00DA6215">
          <w:rPr>
            <w:rFonts w:eastAsiaTheme="minorEastAsia"/>
            <w:i w:val="0"/>
            <w:kern w:val="2"/>
            <w:sz w:val="20"/>
            <w:szCs w:val="20"/>
            <w14:ligatures w14:val="standardContextual"/>
          </w:rPr>
          <w:tab/>
        </w:r>
        <w:r w:rsidRPr="00DA6215">
          <w:rPr>
            <w:rStyle w:val="Hyperlink"/>
            <w:i w:val="0"/>
            <w:sz w:val="20"/>
            <w:szCs w:val="20"/>
            <w:u w:val="none"/>
          </w:rPr>
          <w:t>SASM Clearing Process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_Toc189044324 \h </w:instrText>
        </w:r>
        <w:r w:rsidRPr="00DA6215">
          <w:rPr>
            <w:i w:val="0"/>
            <w:webHidden/>
            <w:sz w:val="20"/>
            <w:szCs w:val="20"/>
          </w:rPr>
        </w:r>
        <w:r w:rsidRPr="00DA6215">
          <w:rPr>
            <w:i w:val="0"/>
            <w:webHidden/>
            <w:sz w:val="20"/>
            <w:szCs w:val="20"/>
          </w:rPr>
          <w:fldChar w:fldCharType="separate"/>
        </w:r>
        <w:r w:rsidR="00DD0A69">
          <w:rPr>
            <w:i w:val="0"/>
            <w:webHidden/>
            <w:sz w:val="20"/>
            <w:szCs w:val="20"/>
          </w:rPr>
          <w:t>6-45</w:t>
        </w:r>
        <w:r w:rsidRPr="00DA6215">
          <w:rPr>
            <w:i w:val="0"/>
            <w:webHidden/>
            <w:sz w:val="20"/>
            <w:szCs w:val="20"/>
          </w:rPr>
          <w:fldChar w:fldCharType="end"/>
        </w:r>
      </w:hyperlink>
    </w:p>
    <w:p w14:paraId="1AF120DC" w14:textId="45C0ED01" w:rsidR="00DA6215" w:rsidRPr="00DA6215" w:rsidRDefault="00DA6215">
      <w:pPr>
        <w:pStyle w:val="TOC5"/>
        <w:rPr>
          <w:rFonts w:eastAsiaTheme="minorEastAsia"/>
          <w:i w:val="0"/>
          <w:kern w:val="2"/>
          <w:sz w:val="20"/>
          <w:szCs w:val="20"/>
          <w14:ligatures w14:val="standardContextual"/>
        </w:rPr>
      </w:pPr>
      <w:hyperlink w:anchor="_Toc189044325" w:history="1">
        <w:r w:rsidRPr="00DA6215">
          <w:rPr>
            <w:rStyle w:val="Hyperlink"/>
            <w:i w:val="0"/>
            <w:sz w:val="20"/>
            <w:szCs w:val="20"/>
            <w:u w:val="none"/>
          </w:rPr>
          <w:t>6.4.9.2.3</w:t>
        </w:r>
        <w:r w:rsidRPr="00DA6215">
          <w:rPr>
            <w:rFonts w:eastAsiaTheme="minorEastAsia"/>
            <w:i w:val="0"/>
            <w:kern w:val="2"/>
            <w:sz w:val="20"/>
            <w:szCs w:val="20"/>
            <w14:ligatures w14:val="standardContextual"/>
          </w:rPr>
          <w:tab/>
        </w:r>
        <w:r w:rsidRPr="00DA6215">
          <w:rPr>
            <w:rStyle w:val="Hyperlink"/>
            <w:i w:val="0"/>
            <w:sz w:val="20"/>
            <w:szCs w:val="20"/>
            <w:u w:val="none"/>
          </w:rPr>
          <w:t>Communication of SASM Results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_Toc189044325 \h </w:instrText>
        </w:r>
        <w:r w:rsidRPr="00DA6215">
          <w:rPr>
            <w:i w:val="0"/>
            <w:webHidden/>
            <w:sz w:val="20"/>
            <w:szCs w:val="20"/>
          </w:rPr>
        </w:r>
        <w:r w:rsidRPr="00DA6215">
          <w:rPr>
            <w:i w:val="0"/>
            <w:webHidden/>
            <w:sz w:val="20"/>
            <w:szCs w:val="20"/>
          </w:rPr>
          <w:fldChar w:fldCharType="separate"/>
        </w:r>
        <w:r w:rsidR="00DD0A69">
          <w:rPr>
            <w:i w:val="0"/>
            <w:webHidden/>
            <w:sz w:val="20"/>
            <w:szCs w:val="20"/>
          </w:rPr>
          <w:t>6-47</w:t>
        </w:r>
        <w:r w:rsidRPr="00DA6215">
          <w:rPr>
            <w:i w:val="0"/>
            <w:webHidden/>
            <w:sz w:val="20"/>
            <w:szCs w:val="20"/>
          </w:rPr>
          <w:fldChar w:fldCharType="end"/>
        </w:r>
      </w:hyperlink>
    </w:p>
    <w:p w14:paraId="2F8668C5" w14:textId="141A6503" w:rsidR="00DA6215" w:rsidRPr="00DA6215" w:rsidRDefault="00DA6215">
      <w:pPr>
        <w:pStyle w:val="TOC2"/>
        <w:rPr>
          <w:rFonts w:eastAsiaTheme="minorEastAsia"/>
          <w:noProof/>
          <w:kern w:val="2"/>
          <w14:ligatures w14:val="standardContextual"/>
        </w:rPr>
      </w:pPr>
      <w:hyperlink w:anchor="_Toc189044326" w:history="1">
        <w:r w:rsidRPr="00DA6215">
          <w:rPr>
            <w:rStyle w:val="Hyperlink"/>
            <w:noProof/>
            <w:u w:val="none"/>
          </w:rPr>
          <w:t>6.5</w:t>
        </w:r>
        <w:r w:rsidRPr="00DA6215">
          <w:rPr>
            <w:rFonts w:eastAsiaTheme="minorEastAsia"/>
            <w:noProof/>
            <w:kern w:val="2"/>
            <w14:ligatures w14:val="standardContextual"/>
          </w:rPr>
          <w:tab/>
        </w:r>
        <w:r w:rsidRPr="00DA6215">
          <w:rPr>
            <w:rStyle w:val="Hyperlink"/>
            <w:noProof/>
            <w:u w:val="none"/>
          </w:rPr>
          <w:t>Real-Time Energy Operations</w:t>
        </w:r>
        <w:r w:rsidRPr="00DA6215">
          <w:rPr>
            <w:noProof/>
            <w:webHidden/>
          </w:rPr>
          <w:tab/>
        </w:r>
        <w:r w:rsidRPr="00DA6215">
          <w:rPr>
            <w:noProof/>
            <w:webHidden/>
          </w:rPr>
          <w:fldChar w:fldCharType="begin"/>
        </w:r>
        <w:r w:rsidRPr="00DA6215">
          <w:rPr>
            <w:noProof/>
            <w:webHidden/>
          </w:rPr>
          <w:instrText xml:space="preserve"> PAGEREF _Toc189044326 \h </w:instrText>
        </w:r>
        <w:r w:rsidRPr="00DA6215">
          <w:rPr>
            <w:noProof/>
            <w:webHidden/>
          </w:rPr>
        </w:r>
        <w:r w:rsidRPr="00DA6215">
          <w:rPr>
            <w:noProof/>
            <w:webHidden/>
          </w:rPr>
          <w:fldChar w:fldCharType="separate"/>
        </w:r>
        <w:r w:rsidR="00DD0A69">
          <w:rPr>
            <w:noProof/>
            <w:webHidden/>
          </w:rPr>
          <w:t>6-47</w:t>
        </w:r>
        <w:r w:rsidRPr="00DA6215">
          <w:rPr>
            <w:noProof/>
            <w:webHidden/>
          </w:rPr>
          <w:fldChar w:fldCharType="end"/>
        </w:r>
      </w:hyperlink>
    </w:p>
    <w:p w14:paraId="526E2708" w14:textId="5411789F" w:rsidR="00DA6215" w:rsidRPr="00DA6215" w:rsidRDefault="00DA6215">
      <w:pPr>
        <w:pStyle w:val="TOC3"/>
        <w:rPr>
          <w:rFonts w:eastAsiaTheme="minorEastAsia"/>
          <w:i w:val="0"/>
          <w:iCs w:val="0"/>
          <w:kern w:val="2"/>
          <w14:ligatures w14:val="standardContextual"/>
        </w:rPr>
      </w:pPr>
      <w:hyperlink w:anchor="_Toc189044327" w:history="1">
        <w:r w:rsidRPr="00DA6215">
          <w:rPr>
            <w:rStyle w:val="Hyperlink"/>
            <w:i w:val="0"/>
            <w:iCs w:val="0"/>
            <w:u w:val="none"/>
          </w:rPr>
          <w:t>6.5.1</w:t>
        </w:r>
        <w:r w:rsidRPr="00DA6215">
          <w:rPr>
            <w:rFonts w:eastAsiaTheme="minorEastAsia"/>
            <w:i w:val="0"/>
            <w:iCs w:val="0"/>
            <w:kern w:val="2"/>
            <w14:ligatures w14:val="standardContextual"/>
          </w:rPr>
          <w:tab/>
        </w:r>
        <w:r w:rsidRPr="00DA6215">
          <w:rPr>
            <w:rStyle w:val="Hyperlink"/>
            <w:i w:val="0"/>
            <w:iCs w:val="0"/>
            <w:u w:val="none"/>
          </w:rPr>
          <w:t>ERCOT Activities</w:t>
        </w:r>
        <w:r w:rsidRPr="00DA6215">
          <w:rPr>
            <w:i w:val="0"/>
            <w:iCs w:val="0"/>
            <w:webHidden/>
          </w:rPr>
          <w:tab/>
        </w:r>
        <w:r w:rsidRPr="00DA6215">
          <w:rPr>
            <w:i w:val="0"/>
            <w:iCs w:val="0"/>
            <w:webHidden/>
          </w:rPr>
          <w:fldChar w:fldCharType="begin"/>
        </w:r>
        <w:r w:rsidRPr="00DA6215">
          <w:rPr>
            <w:i w:val="0"/>
            <w:iCs w:val="0"/>
            <w:webHidden/>
          </w:rPr>
          <w:instrText xml:space="preserve"> PAGEREF _Toc189044327 \h </w:instrText>
        </w:r>
        <w:r w:rsidRPr="00DA6215">
          <w:rPr>
            <w:i w:val="0"/>
            <w:iCs w:val="0"/>
            <w:webHidden/>
          </w:rPr>
        </w:r>
        <w:r w:rsidRPr="00DA6215">
          <w:rPr>
            <w:i w:val="0"/>
            <w:iCs w:val="0"/>
            <w:webHidden/>
          </w:rPr>
          <w:fldChar w:fldCharType="separate"/>
        </w:r>
        <w:r w:rsidR="00DD0A69">
          <w:rPr>
            <w:i w:val="0"/>
            <w:iCs w:val="0"/>
            <w:webHidden/>
          </w:rPr>
          <w:t>6-47</w:t>
        </w:r>
        <w:r w:rsidRPr="00DA6215">
          <w:rPr>
            <w:i w:val="0"/>
            <w:iCs w:val="0"/>
            <w:webHidden/>
          </w:rPr>
          <w:fldChar w:fldCharType="end"/>
        </w:r>
      </w:hyperlink>
    </w:p>
    <w:p w14:paraId="66DC3319" w14:textId="74CE660F" w:rsidR="00DA6215" w:rsidRPr="00DA6215" w:rsidRDefault="00DA6215">
      <w:pPr>
        <w:pStyle w:val="TOC4"/>
        <w:rPr>
          <w:rFonts w:eastAsiaTheme="minorEastAsia"/>
          <w:kern w:val="2"/>
          <w:lang w:val="en-US"/>
          <w14:ligatures w14:val="standardContextual"/>
        </w:rPr>
      </w:pPr>
      <w:hyperlink w:anchor="_Toc189044328" w:history="1">
        <w:r w:rsidRPr="00DA6215">
          <w:rPr>
            <w:rStyle w:val="Hyperlink"/>
            <w:u w:val="none"/>
          </w:rPr>
          <w:t>6.5.1.1</w:t>
        </w:r>
        <w:r w:rsidRPr="00DA6215">
          <w:rPr>
            <w:rFonts w:eastAsiaTheme="minorEastAsia"/>
            <w:kern w:val="2"/>
            <w:lang w:val="en-US"/>
            <w14:ligatures w14:val="standardContextual"/>
          </w:rPr>
          <w:tab/>
        </w:r>
        <w:r w:rsidRPr="00DA6215">
          <w:rPr>
            <w:rStyle w:val="Hyperlink"/>
            <w:u w:val="none"/>
          </w:rPr>
          <w:t>ERCOT Control Area Authority</w:t>
        </w:r>
        <w:r w:rsidRPr="00DA6215">
          <w:rPr>
            <w:webHidden/>
          </w:rPr>
          <w:tab/>
        </w:r>
        <w:r w:rsidRPr="00DA6215">
          <w:rPr>
            <w:webHidden/>
          </w:rPr>
          <w:fldChar w:fldCharType="begin"/>
        </w:r>
        <w:r w:rsidRPr="00DA6215">
          <w:rPr>
            <w:webHidden/>
          </w:rPr>
          <w:instrText xml:space="preserve"> PAGEREF _Toc189044328 \h </w:instrText>
        </w:r>
        <w:r w:rsidRPr="00DA6215">
          <w:rPr>
            <w:webHidden/>
          </w:rPr>
        </w:r>
        <w:r w:rsidRPr="00DA6215">
          <w:rPr>
            <w:webHidden/>
          </w:rPr>
          <w:fldChar w:fldCharType="separate"/>
        </w:r>
        <w:r w:rsidR="00DD0A69">
          <w:rPr>
            <w:webHidden/>
          </w:rPr>
          <w:t>6-48</w:t>
        </w:r>
        <w:r w:rsidRPr="00DA6215">
          <w:rPr>
            <w:webHidden/>
          </w:rPr>
          <w:fldChar w:fldCharType="end"/>
        </w:r>
      </w:hyperlink>
    </w:p>
    <w:p w14:paraId="28A13414" w14:textId="6DE3DF3E" w:rsidR="00DA6215" w:rsidRPr="00DA6215" w:rsidRDefault="00DA6215">
      <w:pPr>
        <w:pStyle w:val="TOC4"/>
        <w:rPr>
          <w:rFonts w:eastAsiaTheme="minorEastAsia"/>
          <w:kern w:val="2"/>
          <w:lang w:val="en-US"/>
          <w14:ligatures w14:val="standardContextual"/>
        </w:rPr>
      </w:pPr>
      <w:hyperlink w:anchor="_Toc189044329" w:history="1">
        <w:r w:rsidRPr="00DA6215">
          <w:rPr>
            <w:rStyle w:val="Hyperlink"/>
            <w:u w:val="none"/>
          </w:rPr>
          <w:t>6.5.1.2</w:t>
        </w:r>
        <w:r w:rsidRPr="00DA6215">
          <w:rPr>
            <w:rFonts w:eastAsiaTheme="minorEastAsia"/>
            <w:kern w:val="2"/>
            <w:lang w:val="en-US"/>
            <w14:ligatures w14:val="standardContextual"/>
          </w:rPr>
          <w:tab/>
        </w:r>
        <w:r w:rsidRPr="00DA6215">
          <w:rPr>
            <w:rStyle w:val="Hyperlink"/>
            <w:u w:val="none"/>
          </w:rPr>
          <w:t>Centralized Dispatch</w:t>
        </w:r>
        <w:r w:rsidRPr="00DA6215">
          <w:rPr>
            <w:webHidden/>
          </w:rPr>
          <w:tab/>
        </w:r>
        <w:r w:rsidRPr="00DA6215">
          <w:rPr>
            <w:webHidden/>
          </w:rPr>
          <w:fldChar w:fldCharType="begin"/>
        </w:r>
        <w:r w:rsidRPr="00DA6215">
          <w:rPr>
            <w:webHidden/>
          </w:rPr>
          <w:instrText xml:space="preserve"> PAGEREF _Toc189044329 \h </w:instrText>
        </w:r>
        <w:r w:rsidRPr="00DA6215">
          <w:rPr>
            <w:webHidden/>
          </w:rPr>
        </w:r>
        <w:r w:rsidRPr="00DA6215">
          <w:rPr>
            <w:webHidden/>
          </w:rPr>
          <w:fldChar w:fldCharType="separate"/>
        </w:r>
        <w:r w:rsidR="00DD0A69">
          <w:rPr>
            <w:webHidden/>
          </w:rPr>
          <w:t>6-55</w:t>
        </w:r>
        <w:r w:rsidRPr="00DA6215">
          <w:rPr>
            <w:webHidden/>
          </w:rPr>
          <w:fldChar w:fldCharType="end"/>
        </w:r>
      </w:hyperlink>
    </w:p>
    <w:p w14:paraId="4B57AF9E" w14:textId="3A32467B" w:rsidR="00DA6215" w:rsidRPr="00DA6215" w:rsidRDefault="00DA6215">
      <w:pPr>
        <w:pStyle w:val="TOC3"/>
        <w:rPr>
          <w:rFonts w:eastAsiaTheme="minorEastAsia"/>
          <w:i w:val="0"/>
          <w:iCs w:val="0"/>
          <w:kern w:val="2"/>
          <w14:ligatures w14:val="standardContextual"/>
        </w:rPr>
      </w:pPr>
      <w:hyperlink w:anchor="_Toc189044330" w:history="1">
        <w:r w:rsidRPr="00DA6215">
          <w:rPr>
            <w:rStyle w:val="Hyperlink"/>
            <w:i w:val="0"/>
            <w:iCs w:val="0"/>
            <w:u w:val="none"/>
          </w:rPr>
          <w:t>6.5.2</w:t>
        </w:r>
        <w:r w:rsidRPr="00DA6215">
          <w:rPr>
            <w:rFonts w:eastAsiaTheme="minorEastAsia"/>
            <w:i w:val="0"/>
            <w:iCs w:val="0"/>
            <w:kern w:val="2"/>
            <w14:ligatures w14:val="standardContextual"/>
          </w:rPr>
          <w:tab/>
        </w:r>
        <w:r w:rsidRPr="00DA6215">
          <w:rPr>
            <w:rStyle w:val="Hyperlink"/>
            <w:i w:val="0"/>
            <w:iCs w:val="0"/>
            <w:u w:val="none"/>
          </w:rPr>
          <w:t>Operating Standards</w:t>
        </w:r>
        <w:r w:rsidRPr="00DA6215">
          <w:rPr>
            <w:i w:val="0"/>
            <w:iCs w:val="0"/>
            <w:webHidden/>
          </w:rPr>
          <w:tab/>
        </w:r>
        <w:r w:rsidRPr="00DA6215">
          <w:rPr>
            <w:i w:val="0"/>
            <w:iCs w:val="0"/>
            <w:webHidden/>
          </w:rPr>
          <w:fldChar w:fldCharType="begin"/>
        </w:r>
        <w:r w:rsidRPr="00DA6215">
          <w:rPr>
            <w:i w:val="0"/>
            <w:iCs w:val="0"/>
            <w:webHidden/>
          </w:rPr>
          <w:instrText xml:space="preserve"> PAGEREF _Toc189044330 \h </w:instrText>
        </w:r>
        <w:r w:rsidRPr="00DA6215">
          <w:rPr>
            <w:i w:val="0"/>
            <w:iCs w:val="0"/>
            <w:webHidden/>
          </w:rPr>
        </w:r>
        <w:r w:rsidRPr="00DA6215">
          <w:rPr>
            <w:i w:val="0"/>
            <w:iCs w:val="0"/>
            <w:webHidden/>
          </w:rPr>
          <w:fldChar w:fldCharType="separate"/>
        </w:r>
        <w:r w:rsidR="00DD0A69">
          <w:rPr>
            <w:i w:val="0"/>
            <w:iCs w:val="0"/>
            <w:webHidden/>
          </w:rPr>
          <w:t>6-56</w:t>
        </w:r>
        <w:r w:rsidRPr="00DA6215">
          <w:rPr>
            <w:i w:val="0"/>
            <w:iCs w:val="0"/>
            <w:webHidden/>
          </w:rPr>
          <w:fldChar w:fldCharType="end"/>
        </w:r>
      </w:hyperlink>
    </w:p>
    <w:p w14:paraId="7DF91DC1" w14:textId="45842A6E" w:rsidR="00DA6215" w:rsidRPr="00DA6215" w:rsidRDefault="00DA6215">
      <w:pPr>
        <w:pStyle w:val="TOC3"/>
        <w:rPr>
          <w:rFonts w:eastAsiaTheme="minorEastAsia"/>
          <w:i w:val="0"/>
          <w:iCs w:val="0"/>
          <w:kern w:val="2"/>
          <w14:ligatures w14:val="standardContextual"/>
        </w:rPr>
      </w:pPr>
      <w:hyperlink w:anchor="_Toc189044331" w:history="1">
        <w:r w:rsidRPr="00DA6215">
          <w:rPr>
            <w:rStyle w:val="Hyperlink"/>
            <w:i w:val="0"/>
            <w:iCs w:val="0"/>
            <w:u w:val="none"/>
          </w:rPr>
          <w:t>6.5.3</w:t>
        </w:r>
        <w:r w:rsidRPr="00DA6215">
          <w:rPr>
            <w:rFonts w:eastAsiaTheme="minorEastAsia"/>
            <w:i w:val="0"/>
            <w:iCs w:val="0"/>
            <w:kern w:val="2"/>
            <w14:ligatures w14:val="standardContextual"/>
          </w:rPr>
          <w:tab/>
        </w:r>
        <w:r w:rsidRPr="00DA6215">
          <w:rPr>
            <w:rStyle w:val="Hyperlink"/>
            <w:i w:val="0"/>
            <w:iCs w:val="0"/>
            <w:u w:val="none"/>
          </w:rPr>
          <w:t>Equipment Operating Ratings and Limits</w:t>
        </w:r>
        <w:r w:rsidRPr="00DA6215">
          <w:rPr>
            <w:i w:val="0"/>
            <w:iCs w:val="0"/>
            <w:webHidden/>
          </w:rPr>
          <w:tab/>
        </w:r>
        <w:r w:rsidRPr="00DA6215">
          <w:rPr>
            <w:i w:val="0"/>
            <w:iCs w:val="0"/>
            <w:webHidden/>
          </w:rPr>
          <w:fldChar w:fldCharType="begin"/>
        </w:r>
        <w:r w:rsidRPr="00DA6215">
          <w:rPr>
            <w:i w:val="0"/>
            <w:iCs w:val="0"/>
            <w:webHidden/>
          </w:rPr>
          <w:instrText xml:space="preserve"> PAGEREF _Toc189044331 \h </w:instrText>
        </w:r>
        <w:r w:rsidRPr="00DA6215">
          <w:rPr>
            <w:i w:val="0"/>
            <w:iCs w:val="0"/>
            <w:webHidden/>
          </w:rPr>
        </w:r>
        <w:r w:rsidRPr="00DA6215">
          <w:rPr>
            <w:i w:val="0"/>
            <w:iCs w:val="0"/>
            <w:webHidden/>
          </w:rPr>
          <w:fldChar w:fldCharType="separate"/>
        </w:r>
        <w:r w:rsidR="00DD0A69">
          <w:rPr>
            <w:i w:val="0"/>
            <w:iCs w:val="0"/>
            <w:webHidden/>
          </w:rPr>
          <w:t>6-57</w:t>
        </w:r>
        <w:r w:rsidRPr="00DA6215">
          <w:rPr>
            <w:i w:val="0"/>
            <w:iCs w:val="0"/>
            <w:webHidden/>
          </w:rPr>
          <w:fldChar w:fldCharType="end"/>
        </w:r>
      </w:hyperlink>
    </w:p>
    <w:p w14:paraId="58F781C1" w14:textId="7EB305CF" w:rsidR="00DA6215" w:rsidRPr="00DA6215" w:rsidRDefault="00DA6215">
      <w:pPr>
        <w:pStyle w:val="TOC3"/>
        <w:rPr>
          <w:rFonts w:eastAsiaTheme="minorEastAsia"/>
          <w:i w:val="0"/>
          <w:iCs w:val="0"/>
          <w:kern w:val="2"/>
          <w14:ligatures w14:val="standardContextual"/>
        </w:rPr>
      </w:pPr>
      <w:hyperlink w:anchor="_Toc189044332" w:history="1">
        <w:r w:rsidRPr="00DA6215">
          <w:rPr>
            <w:rStyle w:val="Hyperlink"/>
            <w:i w:val="0"/>
            <w:iCs w:val="0"/>
            <w:u w:val="none"/>
          </w:rPr>
          <w:t>6.5.4</w:t>
        </w:r>
        <w:r w:rsidRPr="00DA6215">
          <w:rPr>
            <w:rFonts w:eastAsiaTheme="minorEastAsia"/>
            <w:i w:val="0"/>
            <w:iCs w:val="0"/>
            <w:kern w:val="2"/>
            <w14:ligatures w14:val="standardContextual"/>
          </w:rPr>
          <w:tab/>
        </w:r>
        <w:r w:rsidRPr="00DA6215">
          <w:rPr>
            <w:rStyle w:val="Hyperlink"/>
            <w:i w:val="0"/>
            <w:iCs w:val="0"/>
            <w:u w:val="none"/>
          </w:rPr>
          <w:t>Inadvertent Energy Account</w:t>
        </w:r>
        <w:r w:rsidRPr="00DA6215">
          <w:rPr>
            <w:i w:val="0"/>
            <w:iCs w:val="0"/>
            <w:webHidden/>
          </w:rPr>
          <w:tab/>
        </w:r>
        <w:r w:rsidRPr="00DA6215">
          <w:rPr>
            <w:i w:val="0"/>
            <w:iCs w:val="0"/>
            <w:webHidden/>
          </w:rPr>
          <w:fldChar w:fldCharType="begin"/>
        </w:r>
        <w:r w:rsidRPr="00DA6215">
          <w:rPr>
            <w:i w:val="0"/>
            <w:iCs w:val="0"/>
            <w:webHidden/>
          </w:rPr>
          <w:instrText xml:space="preserve"> PAGEREF _Toc189044332 \h </w:instrText>
        </w:r>
        <w:r w:rsidRPr="00DA6215">
          <w:rPr>
            <w:i w:val="0"/>
            <w:iCs w:val="0"/>
            <w:webHidden/>
          </w:rPr>
        </w:r>
        <w:r w:rsidRPr="00DA6215">
          <w:rPr>
            <w:i w:val="0"/>
            <w:iCs w:val="0"/>
            <w:webHidden/>
          </w:rPr>
          <w:fldChar w:fldCharType="separate"/>
        </w:r>
        <w:r w:rsidR="00DD0A69">
          <w:rPr>
            <w:i w:val="0"/>
            <w:iCs w:val="0"/>
            <w:webHidden/>
          </w:rPr>
          <w:t>6-58</w:t>
        </w:r>
        <w:r w:rsidRPr="00DA6215">
          <w:rPr>
            <w:i w:val="0"/>
            <w:iCs w:val="0"/>
            <w:webHidden/>
          </w:rPr>
          <w:fldChar w:fldCharType="end"/>
        </w:r>
      </w:hyperlink>
    </w:p>
    <w:p w14:paraId="2A39A0B5" w14:textId="2A2507CA" w:rsidR="00DA6215" w:rsidRPr="00DA6215" w:rsidRDefault="00DA6215">
      <w:pPr>
        <w:pStyle w:val="TOC3"/>
        <w:rPr>
          <w:rFonts w:eastAsiaTheme="minorEastAsia"/>
          <w:i w:val="0"/>
          <w:iCs w:val="0"/>
          <w:kern w:val="2"/>
          <w14:ligatures w14:val="standardContextual"/>
        </w:rPr>
      </w:pPr>
      <w:hyperlink w:anchor="_Toc189044333" w:history="1">
        <w:r w:rsidRPr="00DA6215">
          <w:rPr>
            <w:rStyle w:val="Hyperlink"/>
            <w:i w:val="0"/>
            <w:iCs w:val="0"/>
            <w:u w:val="none"/>
          </w:rPr>
          <w:t>6.5.5</w:t>
        </w:r>
        <w:r w:rsidRPr="00DA6215">
          <w:rPr>
            <w:rFonts w:eastAsiaTheme="minorEastAsia"/>
            <w:i w:val="0"/>
            <w:iCs w:val="0"/>
            <w:kern w:val="2"/>
            <w14:ligatures w14:val="standardContextual"/>
          </w:rPr>
          <w:tab/>
        </w:r>
        <w:r w:rsidRPr="00DA6215">
          <w:rPr>
            <w:rStyle w:val="Hyperlink"/>
            <w:i w:val="0"/>
            <w:iCs w:val="0"/>
            <w:u w:val="none"/>
          </w:rPr>
          <w:t>QSE Activities</w:t>
        </w:r>
        <w:r w:rsidRPr="00DA6215">
          <w:rPr>
            <w:i w:val="0"/>
            <w:iCs w:val="0"/>
            <w:webHidden/>
          </w:rPr>
          <w:tab/>
        </w:r>
        <w:r w:rsidRPr="00DA6215">
          <w:rPr>
            <w:i w:val="0"/>
            <w:iCs w:val="0"/>
            <w:webHidden/>
          </w:rPr>
          <w:fldChar w:fldCharType="begin"/>
        </w:r>
        <w:r w:rsidRPr="00DA6215">
          <w:rPr>
            <w:i w:val="0"/>
            <w:iCs w:val="0"/>
            <w:webHidden/>
          </w:rPr>
          <w:instrText xml:space="preserve"> PAGEREF _Toc189044333 \h </w:instrText>
        </w:r>
        <w:r w:rsidRPr="00DA6215">
          <w:rPr>
            <w:i w:val="0"/>
            <w:iCs w:val="0"/>
            <w:webHidden/>
          </w:rPr>
        </w:r>
        <w:r w:rsidRPr="00DA6215">
          <w:rPr>
            <w:i w:val="0"/>
            <w:iCs w:val="0"/>
            <w:webHidden/>
          </w:rPr>
          <w:fldChar w:fldCharType="separate"/>
        </w:r>
        <w:r w:rsidR="00DD0A69">
          <w:rPr>
            <w:i w:val="0"/>
            <w:iCs w:val="0"/>
            <w:webHidden/>
          </w:rPr>
          <w:t>6-58</w:t>
        </w:r>
        <w:r w:rsidRPr="00DA6215">
          <w:rPr>
            <w:i w:val="0"/>
            <w:iCs w:val="0"/>
            <w:webHidden/>
          </w:rPr>
          <w:fldChar w:fldCharType="end"/>
        </w:r>
      </w:hyperlink>
    </w:p>
    <w:p w14:paraId="7FD70030" w14:textId="4636A950" w:rsidR="00DA6215" w:rsidRPr="00DA6215" w:rsidRDefault="00DA6215">
      <w:pPr>
        <w:pStyle w:val="TOC4"/>
        <w:rPr>
          <w:rFonts w:eastAsiaTheme="minorEastAsia"/>
          <w:kern w:val="2"/>
          <w:lang w:val="en-US"/>
          <w14:ligatures w14:val="standardContextual"/>
        </w:rPr>
      </w:pPr>
      <w:hyperlink w:anchor="_Toc189044334" w:history="1">
        <w:r w:rsidRPr="00DA6215">
          <w:rPr>
            <w:rStyle w:val="Hyperlink"/>
            <w:u w:val="none"/>
          </w:rPr>
          <w:t>6.5.5.1</w:t>
        </w:r>
        <w:r w:rsidRPr="00DA6215">
          <w:rPr>
            <w:rFonts w:eastAsiaTheme="minorEastAsia"/>
            <w:kern w:val="2"/>
            <w:lang w:val="en-US"/>
            <w14:ligatures w14:val="standardContextual"/>
          </w:rPr>
          <w:tab/>
        </w:r>
        <w:r w:rsidRPr="00DA6215">
          <w:rPr>
            <w:rStyle w:val="Hyperlink"/>
            <w:u w:val="none"/>
          </w:rPr>
          <w:t>Changes in Resource Status</w:t>
        </w:r>
        <w:r w:rsidRPr="00DA6215">
          <w:rPr>
            <w:webHidden/>
          </w:rPr>
          <w:tab/>
        </w:r>
        <w:r w:rsidRPr="00DA6215">
          <w:rPr>
            <w:webHidden/>
          </w:rPr>
          <w:fldChar w:fldCharType="begin"/>
        </w:r>
        <w:r w:rsidRPr="00DA6215">
          <w:rPr>
            <w:webHidden/>
          </w:rPr>
          <w:instrText xml:space="preserve"> PAGEREF _Toc189044334 \h </w:instrText>
        </w:r>
        <w:r w:rsidRPr="00DA6215">
          <w:rPr>
            <w:webHidden/>
          </w:rPr>
        </w:r>
        <w:r w:rsidRPr="00DA6215">
          <w:rPr>
            <w:webHidden/>
          </w:rPr>
          <w:fldChar w:fldCharType="separate"/>
        </w:r>
        <w:r w:rsidR="00DD0A69">
          <w:rPr>
            <w:webHidden/>
          </w:rPr>
          <w:t>6-58</w:t>
        </w:r>
        <w:r w:rsidRPr="00DA6215">
          <w:rPr>
            <w:webHidden/>
          </w:rPr>
          <w:fldChar w:fldCharType="end"/>
        </w:r>
      </w:hyperlink>
    </w:p>
    <w:p w14:paraId="762F39BB" w14:textId="4E39196F" w:rsidR="00DA6215" w:rsidRPr="00DA6215" w:rsidRDefault="00DA6215">
      <w:pPr>
        <w:pStyle w:val="TOC4"/>
        <w:rPr>
          <w:rFonts w:eastAsiaTheme="minorEastAsia"/>
          <w:kern w:val="2"/>
          <w:lang w:val="en-US"/>
          <w14:ligatures w14:val="standardContextual"/>
        </w:rPr>
      </w:pPr>
      <w:hyperlink w:anchor="_Toc189044335" w:history="1">
        <w:r w:rsidRPr="00DA6215">
          <w:rPr>
            <w:rStyle w:val="Hyperlink"/>
            <w:u w:val="none"/>
          </w:rPr>
          <w:t>6.5.5.2</w:t>
        </w:r>
        <w:r w:rsidRPr="00DA6215">
          <w:rPr>
            <w:rFonts w:eastAsiaTheme="minorEastAsia"/>
            <w:kern w:val="2"/>
            <w:lang w:val="en-US"/>
            <w14:ligatures w14:val="standardContextual"/>
          </w:rPr>
          <w:tab/>
        </w:r>
        <w:r w:rsidRPr="00DA6215">
          <w:rPr>
            <w:rStyle w:val="Hyperlink"/>
            <w:u w:val="none"/>
          </w:rPr>
          <w:t>Operational Data Requirements</w:t>
        </w:r>
        <w:r w:rsidRPr="00DA6215">
          <w:rPr>
            <w:webHidden/>
          </w:rPr>
          <w:tab/>
        </w:r>
        <w:r w:rsidRPr="00DA6215">
          <w:rPr>
            <w:webHidden/>
          </w:rPr>
          <w:fldChar w:fldCharType="begin"/>
        </w:r>
        <w:r w:rsidRPr="00DA6215">
          <w:rPr>
            <w:webHidden/>
          </w:rPr>
          <w:instrText xml:space="preserve"> PAGEREF _Toc189044335 \h </w:instrText>
        </w:r>
        <w:r w:rsidRPr="00DA6215">
          <w:rPr>
            <w:webHidden/>
          </w:rPr>
        </w:r>
        <w:r w:rsidRPr="00DA6215">
          <w:rPr>
            <w:webHidden/>
          </w:rPr>
          <w:fldChar w:fldCharType="separate"/>
        </w:r>
        <w:r w:rsidR="00DD0A69">
          <w:rPr>
            <w:webHidden/>
          </w:rPr>
          <w:t>6-61</w:t>
        </w:r>
        <w:r w:rsidRPr="00DA6215">
          <w:rPr>
            <w:webHidden/>
          </w:rPr>
          <w:fldChar w:fldCharType="end"/>
        </w:r>
      </w:hyperlink>
    </w:p>
    <w:p w14:paraId="0CC6A45C" w14:textId="02123641" w:rsidR="00DA6215" w:rsidRPr="00DA6215" w:rsidRDefault="00DA6215">
      <w:pPr>
        <w:pStyle w:val="TOC3"/>
        <w:rPr>
          <w:rFonts w:eastAsiaTheme="minorEastAsia"/>
          <w:i w:val="0"/>
          <w:iCs w:val="0"/>
          <w:kern w:val="2"/>
          <w14:ligatures w14:val="standardContextual"/>
        </w:rPr>
      </w:pPr>
      <w:hyperlink w:anchor="_Toc189044336" w:history="1">
        <w:r w:rsidRPr="00DA6215">
          <w:rPr>
            <w:rStyle w:val="Hyperlink"/>
            <w:i w:val="0"/>
            <w:iCs w:val="0"/>
            <w:u w:val="none"/>
          </w:rPr>
          <w:t>6.5.6</w:t>
        </w:r>
        <w:r w:rsidRPr="00DA6215">
          <w:rPr>
            <w:rFonts w:eastAsiaTheme="minorEastAsia"/>
            <w:i w:val="0"/>
            <w:iCs w:val="0"/>
            <w:kern w:val="2"/>
            <w14:ligatures w14:val="standardContextual"/>
          </w:rPr>
          <w:tab/>
        </w:r>
        <w:r w:rsidRPr="00DA6215">
          <w:rPr>
            <w:rStyle w:val="Hyperlink"/>
            <w:i w:val="0"/>
            <w:iCs w:val="0"/>
            <w:u w:val="none"/>
          </w:rPr>
          <w:t>TSP and DSP Responsibilities</w:t>
        </w:r>
        <w:r w:rsidRPr="00DA6215">
          <w:rPr>
            <w:i w:val="0"/>
            <w:iCs w:val="0"/>
            <w:webHidden/>
          </w:rPr>
          <w:tab/>
        </w:r>
        <w:r w:rsidRPr="00DA6215">
          <w:rPr>
            <w:i w:val="0"/>
            <w:iCs w:val="0"/>
            <w:webHidden/>
          </w:rPr>
          <w:fldChar w:fldCharType="begin"/>
        </w:r>
        <w:r w:rsidRPr="00DA6215">
          <w:rPr>
            <w:i w:val="0"/>
            <w:iCs w:val="0"/>
            <w:webHidden/>
          </w:rPr>
          <w:instrText xml:space="preserve"> PAGEREF _Toc189044336 \h </w:instrText>
        </w:r>
        <w:r w:rsidRPr="00DA6215">
          <w:rPr>
            <w:i w:val="0"/>
            <w:iCs w:val="0"/>
            <w:webHidden/>
          </w:rPr>
        </w:r>
        <w:r w:rsidRPr="00DA6215">
          <w:rPr>
            <w:i w:val="0"/>
            <w:iCs w:val="0"/>
            <w:webHidden/>
          </w:rPr>
          <w:fldChar w:fldCharType="separate"/>
        </w:r>
        <w:r w:rsidR="00DD0A69">
          <w:rPr>
            <w:i w:val="0"/>
            <w:iCs w:val="0"/>
            <w:webHidden/>
          </w:rPr>
          <w:t>6-73</w:t>
        </w:r>
        <w:r w:rsidRPr="00DA6215">
          <w:rPr>
            <w:i w:val="0"/>
            <w:iCs w:val="0"/>
            <w:webHidden/>
          </w:rPr>
          <w:fldChar w:fldCharType="end"/>
        </w:r>
      </w:hyperlink>
    </w:p>
    <w:p w14:paraId="3B9C26C7" w14:textId="1E4A49F7" w:rsidR="00DA6215" w:rsidRPr="00DA6215" w:rsidRDefault="00DA6215">
      <w:pPr>
        <w:pStyle w:val="TOC3"/>
        <w:rPr>
          <w:rFonts w:eastAsiaTheme="minorEastAsia"/>
          <w:i w:val="0"/>
          <w:iCs w:val="0"/>
          <w:kern w:val="2"/>
          <w14:ligatures w14:val="standardContextual"/>
        </w:rPr>
      </w:pPr>
      <w:hyperlink w:anchor="_Toc189044337" w:history="1">
        <w:r w:rsidRPr="00DA6215">
          <w:rPr>
            <w:rStyle w:val="Hyperlink"/>
            <w:i w:val="0"/>
            <w:iCs w:val="0"/>
            <w:u w:val="none"/>
          </w:rPr>
          <w:t>6.5.6</w:t>
        </w:r>
        <w:r w:rsidRPr="00DA6215">
          <w:rPr>
            <w:rFonts w:eastAsiaTheme="minorEastAsia"/>
            <w:i w:val="0"/>
            <w:iCs w:val="0"/>
            <w:kern w:val="2"/>
            <w14:ligatures w14:val="standardContextual"/>
          </w:rPr>
          <w:tab/>
        </w:r>
        <w:r w:rsidRPr="00DA6215">
          <w:rPr>
            <w:rStyle w:val="Hyperlink"/>
            <w:i w:val="0"/>
            <w:iCs w:val="0"/>
            <w:u w:val="none"/>
          </w:rPr>
          <w:t>TSP, TO, DCTO, and DSP Responsibilities</w:t>
        </w:r>
        <w:r w:rsidRPr="00DA6215">
          <w:rPr>
            <w:i w:val="0"/>
            <w:iCs w:val="0"/>
            <w:webHidden/>
          </w:rPr>
          <w:tab/>
        </w:r>
        <w:r w:rsidRPr="00DA6215">
          <w:rPr>
            <w:i w:val="0"/>
            <w:iCs w:val="0"/>
            <w:webHidden/>
          </w:rPr>
          <w:fldChar w:fldCharType="begin"/>
        </w:r>
        <w:r w:rsidRPr="00DA6215">
          <w:rPr>
            <w:i w:val="0"/>
            <w:iCs w:val="0"/>
            <w:webHidden/>
          </w:rPr>
          <w:instrText xml:space="preserve"> PAGEREF _Toc189044337 \h </w:instrText>
        </w:r>
        <w:r w:rsidRPr="00DA6215">
          <w:rPr>
            <w:i w:val="0"/>
            <w:iCs w:val="0"/>
            <w:webHidden/>
          </w:rPr>
        </w:r>
        <w:r w:rsidRPr="00DA6215">
          <w:rPr>
            <w:i w:val="0"/>
            <w:iCs w:val="0"/>
            <w:webHidden/>
          </w:rPr>
          <w:fldChar w:fldCharType="separate"/>
        </w:r>
        <w:r w:rsidR="00DD0A69">
          <w:rPr>
            <w:i w:val="0"/>
            <w:iCs w:val="0"/>
            <w:webHidden/>
          </w:rPr>
          <w:t>6-74</w:t>
        </w:r>
        <w:r w:rsidRPr="00DA6215">
          <w:rPr>
            <w:i w:val="0"/>
            <w:iCs w:val="0"/>
            <w:webHidden/>
          </w:rPr>
          <w:fldChar w:fldCharType="end"/>
        </w:r>
      </w:hyperlink>
    </w:p>
    <w:p w14:paraId="70887376" w14:textId="23C92ACC" w:rsidR="00DA6215" w:rsidRPr="00DA6215" w:rsidRDefault="00DA6215">
      <w:pPr>
        <w:pStyle w:val="TOC3"/>
        <w:rPr>
          <w:rFonts w:eastAsiaTheme="minorEastAsia"/>
          <w:i w:val="0"/>
          <w:iCs w:val="0"/>
          <w:kern w:val="2"/>
          <w14:ligatures w14:val="standardContextual"/>
        </w:rPr>
      </w:pPr>
      <w:hyperlink w:anchor="_Toc189044338" w:history="1">
        <w:r w:rsidRPr="00DA6215">
          <w:rPr>
            <w:rStyle w:val="Hyperlink"/>
            <w:i w:val="0"/>
            <w:iCs w:val="0"/>
            <w:u w:val="none"/>
          </w:rPr>
          <w:t>6.5.7</w:t>
        </w:r>
        <w:r w:rsidRPr="00DA6215">
          <w:rPr>
            <w:rFonts w:eastAsiaTheme="minorEastAsia"/>
            <w:i w:val="0"/>
            <w:iCs w:val="0"/>
            <w:kern w:val="2"/>
            <w14:ligatures w14:val="standardContextual"/>
          </w:rPr>
          <w:tab/>
        </w:r>
        <w:r w:rsidRPr="00DA6215">
          <w:rPr>
            <w:rStyle w:val="Hyperlink"/>
            <w:i w:val="0"/>
            <w:iCs w:val="0"/>
            <w:u w:val="none"/>
          </w:rPr>
          <w:t>Energy Dispatch Methodology</w:t>
        </w:r>
        <w:r w:rsidRPr="00DA6215">
          <w:rPr>
            <w:i w:val="0"/>
            <w:iCs w:val="0"/>
            <w:webHidden/>
          </w:rPr>
          <w:tab/>
        </w:r>
        <w:r w:rsidRPr="00DA6215">
          <w:rPr>
            <w:i w:val="0"/>
            <w:iCs w:val="0"/>
            <w:webHidden/>
          </w:rPr>
          <w:fldChar w:fldCharType="begin"/>
        </w:r>
        <w:r w:rsidRPr="00DA6215">
          <w:rPr>
            <w:i w:val="0"/>
            <w:iCs w:val="0"/>
            <w:webHidden/>
          </w:rPr>
          <w:instrText xml:space="preserve"> PAGEREF _Toc189044338 \h </w:instrText>
        </w:r>
        <w:r w:rsidRPr="00DA6215">
          <w:rPr>
            <w:i w:val="0"/>
            <w:iCs w:val="0"/>
            <w:webHidden/>
          </w:rPr>
        </w:r>
        <w:r w:rsidRPr="00DA6215">
          <w:rPr>
            <w:i w:val="0"/>
            <w:iCs w:val="0"/>
            <w:webHidden/>
          </w:rPr>
          <w:fldChar w:fldCharType="separate"/>
        </w:r>
        <w:r w:rsidR="00DD0A69">
          <w:rPr>
            <w:i w:val="0"/>
            <w:iCs w:val="0"/>
            <w:webHidden/>
          </w:rPr>
          <w:t>6-74</w:t>
        </w:r>
        <w:r w:rsidRPr="00DA6215">
          <w:rPr>
            <w:i w:val="0"/>
            <w:iCs w:val="0"/>
            <w:webHidden/>
          </w:rPr>
          <w:fldChar w:fldCharType="end"/>
        </w:r>
      </w:hyperlink>
    </w:p>
    <w:p w14:paraId="3DC26789" w14:textId="31FB944C" w:rsidR="00DA6215" w:rsidRPr="00DA6215" w:rsidRDefault="00DA6215">
      <w:pPr>
        <w:pStyle w:val="TOC3"/>
        <w:rPr>
          <w:rFonts w:eastAsiaTheme="minorEastAsia"/>
          <w:i w:val="0"/>
          <w:iCs w:val="0"/>
          <w:kern w:val="2"/>
          <w14:ligatures w14:val="standardContextual"/>
        </w:rPr>
      </w:pPr>
      <w:hyperlink w:anchor="_Toc189044339" w:history="1">
        <w:r w:rsidRPr="00DA6215">
          <w:rPr>
            <w:rStyle w:val="Hyperlink"/>
            <w:i w:val="0"/>
            <w:iCs w:val="0"/>
            <w:u w:val="none"/>
          </w:rPr>
          <w:t>6.5.7</w:t>
        </w:r>
        <w:r w:rsidRPr="00DA6215">
          <w:rPr>
            <w:rFonts w:eastAsiaTheme="minorEastAsia"/>
            <w:i w:val="0"/>
            <w:iCs w:val="0"/>
            <w:kern w:val="2"/>
            <w14:ligatures w14:val="standardContextual"/>
          </w:rPr>
          <w:tab/>
        </w:r>
        <w:r w:rsidRPr="00DA6215">
          <w:rPr>
            <w:rStyle w:val="Hyperlink"/>
            <w:i w:val="0"/>
            <w:iCs w:val="0"/>
            <w:u w:val="none"/>
          </w:rPr>
          <w:t>Real-Time Sequence Methodology</w:t>
        </w:r>
        <w:r w:rsidRPr="00DA6215">
          <w:rPr>
            <w:i w:val="0"/>
            <w:iCs w:val="0"/>
            <w:webHidden/>
          </w:rPr>
          <w:tab/>
        </w:r>
        <w:r w:rsidRPr="00DA6215">
          <w:rPr>
            <w:i w:val="0"/>
            <w:iCs w:val="0"/>
            <w:webHidden/>
          </w:rPr>
          <w:fldChar w:fldCharType="begin"/>
        </w:r>
        <w:r w:rsidRPr="00DA6215">
          <w:rPr>
            <w:i w:val="0"/>
            <w:iCs w:val="0"/>
            <w:webHidden/>
          </w:rPr>
          <w:instrText xml:space="preserve"> PAGEREF _Toc189044339 \h </w:instrText>
        </w:r>
        <w:r w:rsidRPr="00DA6215">
          <w:rPr>
            <w:i w:val="0"/>
            <w:iCs w:val="0"/>
            <w:webHidden/>
          </w:rPr>
        </w:r>
        <w:r w:rsidRPr="00DA6215">
          <w:rPr>
            <w:i w:val="0"/>
            <w:iCs w:val="0"/>
            <w:webHidden/>
          </w:rPr>
          <w:fldChar w:fldCharType="separate"/>
        </w:r>
        <w:r w:rsidR="00DD0A69">
          <w:rPr>
            <w:i w:val="0"/>
            <w:iCs w:val="0"/>
            <w:webHidden/>
          </w:rPr>
          <w:t>6-75</w:t>
        </w:r>
        <w:r w:rsidRPr="00DA6215">
          <w:rPr>
            <w:i w:val="0"/>
            <w:iCs w:val="0"/>
            <w:webHidden/>
          </w:rPr>
          <w:fldChar w:fldCharType="end"/>
        </w:r>
      </w:hyperlink>
    </w:p>
    <w:p w14:paraId="660ABB60" w14:textId="77AE6563" w:rsidR="00DA6215" w:rsidRPr="00DA6215" w:rsidRDefault="00DA6215">
      <w:pPr>
        <w:pStyle w:val="TOC4"/>
        <w:rPr>
          <w:rFonts w:eastAsiaTheme="minorEastAsia"/>
          <w:kern w:val="2"/>
          <w:lang w:val="en-US"/>
          <w14:ligatures w14:val="standardContextual"/>
        </w:rPr>
      </w:pPr>
      <w:hyperlink w:anchor="_Toc189044340" w:history="1">
        <w:r w:rsidRPr="00DA6215">
          <w:rPr>
            <w:rStyle w:val="Hyperlink"/>
            <w:u w:val="none"/>
          </w:rPr>
          <w:t>6.5.7.1</w:t>
        </w:r>
        <w:r w:rsidRPr="00DA6215">
          <w:rPr>
            <w:rFonts w:eastAsiaTheme="minorEastAsia"/>
            <w:kern w:val="2"/>
            <w:lang w:val="en-US"/>
            <w14:ligatures w14:val="standardContextual"/>
          </w:rPr>
          <w:tab/>
        </w:r>
        <w:r w:rsidRPr="00DA6215">
          <w:rPr>
            <w:rStyle w:val="Hyperlink"/>
            <w:u w:val="none"/>
          </w:rPr>
          <w:t>Real-Time Sequence</w:t>
        </w:r>
        <w:r w:rsidRPr="00DA6215">
          <w:rPr>
            <w:webHidden/>
          </w:rPr>
          <w:tab/>
        </w:r>
        <w:r w:rsidRPr="00DA6215">
          <w:rPr>
            <w:webHidden/>
          </w:rPr>
          <w:fldChar w:fldCharType="begin"/>
        </w:r>
        <w:r w:rsidRPr="00DA6215">
          <w:rPr>
            <w:webHidden/>
          </w:rPr>
          <w:instrText xml:space="preserve"> PAGEREF _Toc189044340 \h </w:instrText>
        </w:r>
        <w:r w:rsidRPr="00DA6215">
          <w:rPr>
            <w:webHidden/>
          </w:rPr>
        </w:r>
        <w:r w:rsidRPr="00DA6215">
          <w:rPr>
            <w:webHidden/>
          </w:rPr>
          <w:fldChar w:fldCharType="separate"/>
        </w:r>
        <w:r w:rsidR="00DD0A69">
          <w:rPr>
            <w:webHidden/>
          </w:rPr>
          <w:t>6-75</w:t>
        </w:r>
        <w:r w:rsidRPr="00DA6215">
          <w:rPr>
            <w:webHidden/>
          </w:rPr>
          <w:fldChar w:fldCharType="end"/>
        </w:r>
      </w:hyperlink>
    </w:p>
    <w:p w14:paraId="44C32C17" w14:textId="78F52C60" w:rsidR="00DA6215" w:rsidRPr="00DA6215" w:rsidRDefault="00DA6215">
      <w:pPr>
        <w:pStyle w:val="TOC5"/>
        <w:rPr>
          <w:rFonts w:eastAsiaTheme="minorEastAsia"/>
          <w:i w:val="0"/>
          <w:kern w:val="2"/>
          <w:sz w:val="20"/>
          <w:szCs w:val="20"/>
          <w14:ligatures w14:val="standardContextual"/>
        </w:rPr>
      </w:pPr>
      <w:hyperlink w:anchor="_Toc189044341" w:history="1">
        <w:r w:rsidRPr="00DA6215">
          <w:rPr>
            <w:rStyle w:val="Hyperlink"/>
            <w:i w:val="0"/>
            <w:sz w:val="20"/>
            <w:szCs w:val="20"/>
            <w:u w:val="none"/>
          </w:rPr>
          <w:t>6.5.7.1.1</w:t>
        </w:r>
        <w:r w:rsidRPr="00DA6215">
          <w:rPr>
            <w:rFonts w:eastAsiaTheme="minorEastAsia"/>
            <w:i w:val="0"/>
            <w:kern w:val="2"/>
            <w:sz w:val="20"/>
            <w:szCs w:val="20"/>
            <w14:ligatures w14:val="standardContextual"/>
          </w:rPr>
          <w:tab/>
        </w:r>
        <w:r w:rsidRPr="00DA6215">
          <w:rPr>
            <w:rStyle w:val="Hyperlink"/>
            <w:i w:val="0"/>
            <w:sz w:val="20"/>
            <w:szCs w:val="20"/>
            <w:u w:val="none"/>
          </w:rPr>
          <w:t>SCADA Telemetry</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_Toc189044341 \h </w:instrText>
        </w:r>
        <w:r w:rsidRPr="00DA6215">
          <w:rPr>
            <w:i w:val="0"/>
            <w:webHidden/>
            <w:sz w:val="20"/>
            <w:szCs w:val="20"/>
          </w:rPr>
        </w:r>
        <w:r w:rsidRPr="00DA6215">
          <w:rPr>
            <w:i w:val="0"/>
            <w:webHidden/>
            <w:sz w:val="20"/>
            <w:szCs w:val="20"/>
          </w:rPr>
          <w:fldChar w:fldCharType="separate"/>
        </w:r>
        <w:r w:rsidR="00DD0A69">
          <w:rPr>
            <w:i w:val="0"/>
            <w:webHidden/>
            <w:sz w:val="20"/>
            <w:szCs w:val="20"/>
          </w:rPr>
          <w:t>6-76</w:t>
        </w:r>
        <w:r w:rsidRPr="00DA6215">
          <w:rPr>
            <w:i w:val="0"/>
            <w:webHidden/>
            <w:sz w:val="20"/>
            <w:szCs w:val="20"/>
          </w:rPr>
          <w:fldChar w:fldCharType="end"/>
        </w:r>
      </w:hyperlink>
    </w:p>
    <w:p w14:paraId="0E7F3C82" w14:textId="34ECF8AE" w:rsidR="00DA6215" w:rsidRPr="00DA6215" w:rsidRDefault="00DA6215">
      <w:pPr>
        <w:pStyle w:val="TOC5"/>
        <w:rPr>
          <w:rFonts w:eastAsiaTheme="minorEastAsia"/>
          <w:i w:val="0"/>
          <w:kern w:val="2"/>
          <w:sz w:val="20"/>
          <w:szCs w:val="20"/>
          <w14:ligatures w14:val="standardContextual"/>
        </w:rPr>
      </w:pPr>
      <w:hyperlink w:anchor="_Toc189044342" w:history="1">
        <w:r w:rsidRPr="00DA6215">
          <w:rPr>
            <w:rStyle w:val="Hyperlink"/>
            <w:i w:val="0"/>
            <w:sz w:val="20"/>
            <w:szCs w:val="20"/>
            <w:u w:val="none"/>
          </w:rPr>
          <w:t>6.5.7.1.2</w:t>
        </w:r>
        <w:r w:rsidRPr="00DA6215">
          <w:rPr>
            <w:rFonts w:eastAsiaTheme="minorEastAsia"/>
            <w:i w:val="0"/>
            <w:kern w:val="2"/>
            <w:sz w:val="20"/>
            <w:szCs w:val="20"/>
            <w14:ligatures w14:val="standardContextual"/>
          </w:rPr>
          <w:tab/>
        </w:r>
        <w:r w:rsidRPr="00DA6215">
          <w:rPr>
            <w:rStyle w:val="Hyperlink"/>
            <w:i w:val="0"/>
            <w:sz w:val="20"/>
            <w:szCs w:val="20"/>
            <w:u w:val="none"/>
          </w:rPr>
          <w:t>Network Topology Builder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_Toc189044342 \h </w:instrText>
        </w:r>
        <w:r w:rsidRPr="00DA6215">
          <w:rPr>
            <w:i w:val="0"/>
            <w:webHidden/>
            <w:sz w:val="20"/>
            <w:szCs w:val="20"/>
          </w:rPr>
        </w:r>
        <w:r w:rsidRPr="00DA6215">
          <w:rPr>
            <w:i w:val="0"/>
            <w:webHidden/>
            <w:sz w:val="20"/>
            <w:szCs w:val="20"/>
          </w:rPr>
          <w:fldChar w:fldCharType="separate"/>
        </w:r>
        <w:r w:rsidR="00DD0A69">
          <w:rPr>
            <w:i w:val="0"/>
            <w:webHidden/>
            <w:sz w:val="20"/>
            <w:szCs w:val="20"/>
          </w:rPr>
          <w:t>6-76</w:t>
        </w:r>
        <w:r w:rsidRPr="00DA6215">
          <w:rPr>
            <w:i w:val="0"/>
            <w:webHidden/>
            <w:sz w:val="20"/>
            <w:szCs w:val="20"/>
          </w:rPr>
          <w:fldChar w:fldCharType="end"/>
        </w:r>
      </w:hyperlink>
    </w:p>
    <w:p w14:paraId="42410C03" w14:textId="5CC7F509" w:rsidR="00DA6215" w:rsidRPr="00DA6215" w:rsidRDefault="00DA6215">
      <w:pPr>
        <w:pStyle w:val="TOC5"/>
        <w:rPr>
          <w:rFonts w:eastAsiaTheme="minorEastAsia"/>
          <w:i w:val="0"/>
          <w:kern w:val="2"/>
          <w:sz w:val="20"/>
          <w:szCs w:val="20"/>
          <w14:ligatures w14:val="standardContextual"/>
        </w:rPr>
      </w:pPr>
      <w:hyperlink w:anchor="_Toc189044343" w:history="1">
        <w:r w:rsidRPr="00DA6215">
          <w:rPr>
            <w:rStyle w:val="Hyperlink"/>
            <w:i w:val="0"/>
            <w:sz w:val="20"/>
            <w:szCs w:val="20"/>
            <w:u w:val="none"/>
          </w:rPr>
          <w:t>6.5.7.1.3</w:t>
        </w:r>
        <w:r w:rsidRPr="00DA6215">
          <w:rPr>
            <w:rFonts w:eastAsiaTheme="minorEastAsia"/>
            <w:i w:val="0"/>
            <w:kern w:val="2"/>
            <w:sz w:val="20"/>
            <w:szCs w:val="20"/>
            <w14:ligatures w14:val="standardContextual"/>
          </w:rPr>
          <w:tab/>
        </w:r>
        <w:r w:rsidRPr="00DA6215">
          <w:rPr>
            <w:rStyle w:val="Hyperlink"/>
            <w:i w:val="0"/>
            <w:sz w:val="20"/>
            <w:szCs w:val="20"/>
            <w:u w:val="none"/>
          </w:rPr>
          <w:t>Bus Load Forecast</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_Toc189044343 \h </w:instrText>
        </w:r>
        <w:r w:rsidRPr="00DA6215">
          <w:rPr>
            <w:i w:val="0"/>
            <w:webHidden/>
            <w:sz w:val="20"/>
            <w:szCs w:val="20"/>
          </w:rPr>
        </w:r>
        <w:r w:rsidRPr="00DA6215">
          <w:rPr>
            <w:i w:val="0"/>
            <w:webHidden/>
            <w:sz w:val="20"/>
            <w:szCs w:val="20"/>
          </w:rPr>
          <w:fldChar w:fldCharType="separate"/>
        </w:r>
        <w:r w:rsidR="00DD0A69">
          <w:rPr>
            <w:i w:val="0"/>
            <w:webHidden/>
            <w:sz w:val="20"/>
            <w:szCs w:val="20"/>
          </w:rPr>
          <w:t>6-76</w:t>
        </w:r>
        <w:r w:rsidRPr="00DA6215">
          <w:rPr>
            <w:i w:val="0"/>
            <w:webHidden/>
            <w:sz w:val="20"/>
            <w:szCs w:val="20"/>
          </w:rPr>
          <w:fldChar w:fldCharType="end"/>
        </w:r>
      </w:hyperlink>
    </w:p>
    <w:p w14:paraId="54769F30" w14:textId="06A71451" w:rsidR="00DA6215" w:rsidRPr="00DA6215" w:rsidRDefault="00DA6215">
      <w:pPr>
        <w:pStyle w:val="TOC5"/>
        <w:rPr>
          <w:rFonts w:eastAsiaTheme="minorEastAsia"/>
          <w:i w:val="0"/>
          <w:kern w:val="2"/>
          <w:sz w:val="20"/>
          <w:szCs w:val="20"/>
          <w14:ligatures w14:val="standardContextual"/>
        </w:rPr>
      </w:pPr>
      <w:hyperlink w:anchor="_Toc189044344" w:history="1">
        <w:r w:rsidRPr="00DA6215">
          <w:rPr>
            <w:rStyle w:val="Hyperlink"/>
            <w:i w:val="0"/>
            <w:sz w:val="20"/>
            <w:szCs w:val="20"/>
            <w:u w:val="none"/>
          </w:rPr>
          <w:t>6.5.7.1.4</w:t>
        </w:r>
        <w:r w:rsidRPr="00DA6215">
          <w:rPr>
            <w:rFonts w:eastAsiaTheme="minorEastAsia"/>
            <w:i w:val="0"/>
            <w:kern w:val="2"/>
            <w:sz w:val="20"/>
            <w:szCs w:val="20"/>
            <w14:ligatures w14:val="standardContextual"/>
          </w:rPr>
          <w:tab/>
        </w:r>
        <w:r w:rsidRPr="00DA6215">
          <w:rPr>
            <w:rStyle w:val="Hyperlink"/>
            <w:i w:val="0"/>
            <w:sz w:val="20"/>
            <w:szCs w:val="20"/>
            <w:u w:val="none"/>
          </w:rPr>
          <w:t>State Estimator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_Toc189044344 \h </w:instrText>
        </w:r>
        <w:r w:rsidRPr="00DA6215">
          <w:rPr>
            <w:i w:val="0"/>
            <w:webHidden/>
            <w:sz w:val="20"/>
            <w:szCs w:val="20"/>
          </w:rPr>
        </w:r>
        <w:r w:rsidRPr="00DA6215">
          <w:rPr>
            <w:i w:val="0"/>
            <w:webHidden/>
            <w:sz w:val="20"/>
            <w:szCs w:val="20"/>
          </w:rPr>
          <w:fldChar w:fldCharType="separate"/>
        </w:r>
        <w:r w:rsidR="00DD0A69">
          <w:rPr>
            <w:i w:val="0"/>
            <w:webHidden/>
            <w:sz w:val="20"/>
            <w:szCs w:val="20"/>
          </w:rPr>
          <w:t>6-77</w:t>
        </w:r>
        <w:r w:rsidRPr="00DA6215">
          <w:rPr>
            <w:i w:val="0"/>
            <w:webHidden/>
            <w:sz w:val="20"/>
            <w:szCs w:val="20"/>
          </w:rPr>
          <w:fldChar w:fldCharType="end"/>
        </w:r>
      </w:hyperlink>
    </w:p>
    <w:p w14:paraId="65C5D4F1" w14:textId="7FB543D7" w:rsidR="00DA6215" w:rsidRPr="00DA6215" w:rsidRDefault="00DA6215">
      <w:pPr>
        <w:pStyle w:val="TOC5"/>
        <w:rPr>
          <w:rFonts w:eastAsiaTheme="minorEastAsia"/>
          <w:i w:val="0"/>
          <w:kern w:val="2"/>
          <w:sz w:val="20"/>
          <w:szCs w:val="20"/>
          <w14:ligatures w14:val="standardContextual"/>
        </w:rPr>
      </w:pPr>
      <w:hyperlink w:anchor="_Toc189044345" w:history="1">
        <w:r w:rsidRPr="00DA6215">
          <w:rPr>
            <w:rStyle w:val="Hyperlink"/>
            <w:i w:val="0"/>
            <w:sz w:val="20"/>
            <w:szCs w:val="20"/>
            <w:u w:val="none"/>
          </w:rPr>
          <w:t>6.5.7.1.5</w:t>
        </w:r>
        <w:r w:rsidRPr="00DA6215">
          <w:rPr>
            <w:rFonts w:eastAsiaTheme="minorEastAsia"/>
            <w:i w:val="0"/>
            <w:kern w:val="2"/>
            <w:sz w:val="20"/>
            <w:szCs w:val="20"/>
            <w14:ligatures w14:val="standardContextual"/>
          </w:rPr>
          <w:tab/>
        </w:r>
        <w:r w:rsidRPr="00DA6215">
          <w:rPr>
            <w:rStyle w:val="Hyperlink"/>
            <w:i w:val="0"/>
            <w:sz w:val="20"/>
            <w:szCs w:val="20"/>
            <w:u w:val="none"/>
          </w:rPr>
          <w:t>Topology Consistency Analyzer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_Toc189044345 \h </w:instrText>
        </w:r>
        <w:r w:rsidRPr="00DA6215">
          <w:rPr>
            <w:i w:val="0"/>
            <w:webHidden/>
            <w:sz w:val="20"/>
            <w:szCs w:val="20"/>
          </w:rPr>
        </w:r>
        <w:r w:rsidRPr="00DA6215">
          <w:rPr>
            <w:i w:val="0"/>
            <w:webHidden/>
            <w:sz w:val="20"/>
            <w:szCs w:val="20"/>
          </w:rPr>
          <w:fldChar w:fldCharType="separate"/>
        </w:r>
        <w:r w:rsidR="00DD0A69">
          <w:rPr>
            <w:i w:val="0"/>
            <w:webHidden/>
            <w:sz w:val="20"/>
            <w:szCs w:val="20"/>
          </w:rPr>
          <w:t>6-77</w:t>
        </w:r>
        <w:r w:rsidRPr="00DA6215">
          <w:rPr>
            <w:i w:val="0"/>
            <w:webHidden/>
            <w:sz w:val="20"/>
            <w:szCs w:val="20"/>
          </w:rPr>
          <w:fldChar w:fldCharType="end"/>
        </w:r>
      </w:hyperlink>
    </w:p>
    <w:p w14:paraId="71871FF4" w14:textId="4CF5818E" w:rsidR="00DA6215" w:rsidRPr="00DA6215" w:rsidRDefault="00DA6215">
      <w:pPr>
        <w:pStyle w:val="TOC5"/>
        <w:rPr>
          <w:rFonts w:eastAsiaTheme="minorEastAsia"/>
          <w:i w:val="0"/>
          <w:kern w:val="2"/>
          <w:sz w:val="20"/>
          <w:szCs w:val="20"/>
          <w14:ligatures w14:val="standardContextual"/>
        </w:rPr>
      </w:pPr>
      <w:hyperlink w:anchor="_Toc189044346" w:history="1">
        <w:r w:rsidRPr="00DA6215">
          <w:rPr>
            <w:rStyle w:val="Hyperlink"/>
            <w:i w:val="0"/>
            <w:sz w:val="20"/>
            <w:szCs w:val="20"/>
            <w:u w:val="none"/>
          </w:rPr>
          <w:t>6.5.7.1.6</w:t>
        </w:r>
        <w:r w:rsidRPr="00DA6215">
          <w:rPr>
            <w:rFonts w:eastAsiaTheme="minorEastAsia"/>
            <w:i w:val="0"/>
            <w:kern w:val="2"/>
            <w:sz w:val="20"/>
            <w:szCs w:val="20"/>
            <w14:ligatures w14:val="standardContextual"/>
          </w:rPr>
          <w:tab/>
        </w:r>
        <w:r w:rsidRPr="00DA6215">
          <w:rPr>
            <w:rStyle w:val="Hyperlink"/>
            <w:i w:val="0"/>
            <w:sz w:val="20"/>
            <w:szCs w:val="20"/>
            <w:u w:val="none"/>
          </w:rPr>
          <w:t>Breakers/Switch Status Alarm Processor and Forced Outage Detection Processor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_Toc189044346 \h </w:instrText>
        </w:r>
        <w:r w:rsidRPr="00DA6215">
          <w:rPr>
            <w:i w:val="0"/>
            <w:webHidden/>
            <w:sz w:val="20"/>
            <w:szCs w:val="20"/>
          </w:rPr>
        </w:r>
        <w:r w:rsidRPr="00DA6215">
          <w:rPr>
            <w:i w:val="0"/>
            <w:webHidden/>
            <w:sz w:val="20"/>
            <w:szCs w:val="20"/>
          </w:rPr>
          <w:fldChar w:fldCharType="separate"/>
        </w:r>
        <w:r w:rsidR="00DD0A69">
          <w:rPr>
            <w:i w:val="0"/>
            <w:webHidden/>
            <w:sz w:val="20"/>
            <w:szCs w:val="20"/>
          </w:rPr>
          <w:t>6-78</w:t>
        </w:r>
        <w:r w:rsidRPr="00DA6215">
          <w:rPr>
            <w:i w:val="0"/>
            <w:webHidden/>
            <w:sz w:val="20"/>
            <w:szCs w:val="20"/>
          </w:rPr>
          <w:fldChar w:fldCharType="end"/>
        </w:r>
      </w:hyperlink>
    </w:p>
    <w:p w14:paraId="67E1BDE3" w14:textId="623C76A8" w:rsidR="00DA6215" w:rsidRPr="00DA6215" w:rsidRDefault="00DA6215">
      <w:pPr>
        <w:pStyle w:val="TOC5"/>
        <w:rPr>
          <w:rFonts w:eastAsiaTheme="minorEastAsia"/>
          <w:i w:val="0"/>
          <w:kern w:val="2"/>
          <w:sz w:val="20"/>
          <w:szCs w:val="20"/>
          <w14:ligatures w14:val="standardContextual"/>
        </w:rPr>
      </w:pPr>
      <w:hyperlink w:anchor="_Toc189044347" w:history="1">
        <w:r w:rsidRPr="00DA6215">
          <w:rPr>
            <w:rStyle w:val="Hyperlink"/>
            <w:i w:val="0"/>
            <w:sz w:val="20"/>
            <w:szCs w:val="20"/>
            <w:u w:val="none"/>
          </w:rPr>
          <w:t>6.5.7.1.7</w:t>
        </w:r>
        <w:r w:rsidRPr="00DA6215">
          <w:rPr>
            <w:rFonts w:eastAsiaTheme="minorEastAsia"/>
            <w:i w:val="0"/>
            <w:kern w:val="2"/>
            <w:sz w:val="20"/>
            <w:szCs w:val="20"/>
            <w14:ligatures w14:val="standardContextual"/>
          </w:rPr>
          <w:tab/>
        </w:r>
        <w:r w:rsidRPr="00DA6215">
          <w:rPr>
            <w:rStyle w:val="Hyperlink"/>
            <w:i w:val="0"/>
            <w:sz w:val="20"/>
            <w:szCs w:val="20"/>
            <w:u w:val="none"/>
          </w:rPr>
          <w:t>Real-Time Weather and Dynamic Rating Processor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_Toc189044347 \h </w:instrText>
        </w:r>
        <w:r w:rsidRPr="00DA6215">
          <w:rPr>
            <w:i w:val="0"/>
            <w:webHidden/>
            <w:sz w:val="20"/>
            <w:szCs w:val="20"/>
          </w:rPr>
        </w:r>
        <w:r w:rsidRPr="00DA6215">
          <w:rPr>
            <w:i w:val="0"/>
            <w:webHidden/>
            <w:sz w:val="20"/>
            <w:szCs w:val="20"/>
          </w:rPr>
          <w:fldChar w:fldCharType="separate"/>
        </w:r>
        <w:r w:rsidR="00DD0A69">
          <w:rPr>
            <w:i w:val="0"/>
            <w:webHidden/>
            <w:sz w:val="20"/>
            <w:szCs w:val="20"/>
          </w:rPr>
          <w:t>6-78</w:t>
        </w:r>
        <w:r w:rsidRPr="00DA6215">
          <w:rPr>
            <w:i w:val="0"/>
            <w:webHidden/>
            <w:sz w:val="20"/>
            <w:szCs w:val="20"/>
          </w:rPr>
          <w:fldChar w:fldCharType="end"/>
        </w:r>
      </w:hyperlink>
    </w:p>
    <w:p w14:paraId="5A3E9D2F" w14:textId="475E3767" w:rsidR="00DA6215" w:rsidRPr="00DA6215" w:rsidRDefault="00DA6215">
      <w:pPr>
        <w:pStyle w:val="TOC5"/>
        <w:rPr>
          <w:rFonts w:eastAsiaTheme="minorEastAsia"/>
          <w:i w:val="0"/>
          <w:kern w:val="2"/>
          <w:sz w:val="20"/>
          <w:szCs w:val="20"/>
          <w14:ligatures w14:val="standardContextual"/>
        </w:rPr>
      </w:pPr>
      <w:hyperlink w:anchor="_Toc189044348" w:history="1">
        <w:r w:rsidRPr="00DA6215">
          <w:rPr>
            <w:rStyle w:val="Hyperlink"/>
            <w:i w:val="0"/>
            <w:sz w:val="20"/>
            <w:szCs w:val="20"/>
            <w:u w:val="none"/>
          </w:rPr>
          <w:t>6.5.7.1.8</w:t>
        </w:r>
        <w:r w:rsidRPr="00DA6215">
          <w:rPr>
            <w:rFonts w:eastAsiaTheme="minorEastAsia"/>
            <w:i w:val="0"/>
            <w:kern w:val="2"/>
            <w:sz w:val="20"/>
            <w:szCs w:val="20"/>
            <w14:ligatures w14:val="standardContextual"/>
          </w:rPr>
          <w:tab/>
        </w:r>
        <w:r w:rsidRPr="00DA6215">
          <w:rPr>
            <w:rStyle w:val="Hyperlink"/>
            <w:i w:val="0"/>
            <w:sz w:val="20"/>
            <w:szCs w:val="20"/>
            <w:u w:val="none"/>
          </w:rPr>
          <w:t>Overload Alarm Processor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_Toc189044348 \h </w:instrText>
        </w:r>
        <w:r w:rsidRPr="00DA6215">
          <w:rPr>
            <w:i w:val="0"/>
            <w:webHidden/>
            <w:sz w:val="20"/>
            <w:szCs w:val="20"/>
          </w:rPr>
        </w:r>
        <w:r w:rsidRPr="00DA6215">
          <w:rPr>
            <w:i w:val="0"/>
            <w:webHidden/>
            <w:sz w:val="20"/>
            <w:szCs w:val="20"/>
          </w:rPr>
          <w:fldChar w:fldCharType="separate"/>
        </w:r>
        <w:r w:rsidR="00DD0A69">
          <w:rPr>
            <w:i w:val="0"/>
            <w:webHidden/>
            <w:sz w:val="20"/>
            <w:szCs w:val="20"/>
          </w:rPr>
          <w:t>6-78</w:t>
        </w:r>
        <w:r w:rsidRPr="00DA6215">
          <w:rPr>
            <w:i w:val="0"/>
            <w:webHidden/>
            <w:sz w:val="20"/>
            <w:szCs w:val="20"/>
          </w:rPr>
          <w:fldChar w:fldCharType="end"/>
        </w:r>
      </w:hyperlink>
    </w:p>
    <w:p w14:paraId="2F20E73F" w14:textId="04E16906" w:rsidR="00DA6215" w:rsidRPr="00DA6215" w:rsidRDefault="00DA6215">
      <w:pPr>
        <w:pStyle w:val="TOC5"/>
        <w:rPr>
          <w:rFonts w:eastAsiaTheme="minorEastAsia"/>
          <w:i w:val="0"/>
          <w:kern w:val="2"/>
          <w:sz w:val="20"/>
          <w:szCs w:val="20"/>
          <w14:ligatures w14:val="standardContextual"/>
        </w:rPr>
      </w:pPr>
      <w:hyperlink w:anchor="_Toc189044349" w:history="1">
        <w:r w:rsidRPr="00DA6215">
          <w:rPr>
            <w:rStyle w:val="Hyperlink"/>
            <w:i w:val="0"/>
            <w:sz w:val="20"/>
            <w:szCs w:val="20"/>
            <w:u w:val="none"/>
          </w:rPr>
          <w:t>6.5.7.1.9</w:t>
        </w:r>
        <w:r w:rsidRPr="00DA6215">
          <w:rPr>
            <w:rFonts w:eastAsiaTheme="minorEastAsia"/>
            <w:i w:val="0"/>
            <w:kern w:val="2"/>
            <w:sz w:val="20"/>
            <w:szCs w:val="20"/>
            <w14:ligatures w14:val="standardContextual"/>
          </w:rPr>
          <w:tab/>
        </w:r>
        <w:r w:rsidRPr="00DA6215">
          <w:rPr>
            <w:rStyle w:val="Hyperlink"/>
            <w:i w:val="0"/>
            <w:sz w:val="20"/>
            <w:szCs w:val="20"/>
            <w:u w:val="none"/>
          </w:rPr>
          <w:t>Contingency List and Contingency Screening</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_Toc189044349 \h </w:instrText>
        </w:r>
        <w:r w:rsidRPr="00DA6215">
          <w:rPr>
            <w:i w:val="0"/>
            <w:webHidden/>
            <w:sz w:val="20"/>
            <w:szCs w:val="20"/>
          </w:rPr>
        </w:r>
        <w:r w:rsidRPr="00DA6215">
          <w:rPr>
            <w:i w:val="0"/>
            <w:webHidden/>
            <w:sz w:val="20"/>
            <w:szCs w:val="20"/>
          </w:rPr>
          <w:fldChar w:fldCharType="separate"/>
        </w:r>
        <w:r w:rsidR="00DD0A69">
          <w:rPr>
            <w:i w:val="0"/>
            <w:webHidden/>
            <w:sz w:val="20"/>
            <w:szCs w:val="20"/>
          </w:rPr>
          <w:t>6-78</w:t>
        </w:r>
        <w:r w:rsidRPr="00DA6215">
          <w:rPr>
            <w:i w:val="0"/>
            <w:webHidden/>
            <w:sz w:val="20"/>
            <w:szCs w:val="20"/>
          </w:rPr>
          <w:fldChar w:fldCharType="end"/>
        </w:r>
      </w:hyperlink>
    </w:p>
    <w:p w14:paraId="1C542731" w14:textId="64CF86AB" w:rsidR="00DA6215" w:rsidRPr="00DA6215" w:rsidRDefault="00DA6215">
      <w:pPr>
        <w:pStyle w:val="TOC5"/>
        <w:rPr>
          <w:rFonts w:eastAsiaTheme="minorEastAsia"/>
          <w:i w:val="0"/>
          <w:kern w:val="2"/>
          <w:sz w:val="20"/>
          <w:szCs w:val="20"/>
          <w14:ligatures w14:val="standardContextual"/>
        </w:rPr>
      </w:pPr>
      <w:hyperlink w:anchor="_Toc189044350" w:history="1">
        <w:r w:rsidRPr="00DA6215">
          <w:rPr>
            <w:rStyle w:val="Hyperlink"/>
            <w:i w:val="0"/>
            <w:sz w:val="20"/>
            <w:szCs w:val="20"/>
            <w:u w:val="none"/>
          </w:rPr>
          <w:t>6.5.7.1.10</w:t>
        </w:r>
        <w:r w:rsidRPr="00DA6215">
          <w:rPr>
            <w:rFonts w:eastAsiaTheme="minorEastAsia"/>
            <w:i w:val="0"/>
            <w:kern w:val="2"/>
            <w:sz w:val="20"/>
            <w:szCs w:val="20"/>
            <w14:ligatures w14:val="standardContextual"/>
          </w:rPr>
          <w:tab/>
        </w:r>
        <w:r w:rsidRPr="00DA6215">
          <w:rPr>
            <w:rStyle w:val="Hyperlink"/>
            <w:i w:val="0"/>
            <w:sz w:val="20"/>
            <w:szCs w:val="20"/>
            <w:u w:val="none"/>
          </w:rPr>
          <w:t>Network Security Analysis Processor and Security Violation Alarm</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_Toc189044350 \h </w:instrText>
        </w:r>
        <w:r w:rsidRPr="00DA6215">
          <w:rPr>
            <w:i w:val="0"/>
            <w:webHidden/>
            <w:sz w:val="20"/>
            <w:szCs w:val="20"/>
          </w:rPr>
        </w:r>
        <w:r w:rsidRPr="00DA6215">
          <w:rPr>
            <w:i w:val="0"/>
            <w:webHidden/>
            <w:sz w:val="20"/>
            <w:szCs w:val="20"/>
          </w:rPr>
          <w:fldChar w:fldCharType="separate"/>
        </w:r>
        <w:r w:rsidR="00DD0A69">
          <w:rPr>
            <w:i w:val="0"/>
            <w:webHidden/>
            <w:sz w:val="20"/>
            <w:szCs w:val="20"/>
          </w:rPr>
          <w:t>6-79</w:t>
        </w:r>
        <w:r w:rsidRPr="00DA6215">
          <w:rPr>
            <w:i w:val="0"/>
            <w:webHidden/>
            <w:sz w:val="20"/>
            <w:szCs w:val="20"/>
          </w:rPr>
          <w:fldChar w:fldCharType="end"/>
        </w:r>
      </w:hyperlink>
    </w:p>
    <w:p w14:paraId="63704B54" w14:textId="13B403A6" w:rsidR="00DA6215" w:rsidRPr="00DA6215" w:rsidRDefault="00DA6215">
      <w:pPr>
        <w:pStyle w:val="TOC5"/>
        <w:rPr>
          <w:rFonts w:eastAsiaTheme="minorEastAsia"/>
          <w:i w:val="0"/>
          <w:kern w:val="2"/>
          <w:sz w:val="20"/>
          <w:szCs w:val="20"/>
          <w14:ligatures w14:val="standardContextual"/>
        </w:rPr>
      </w:pPr>
      <w:hyperlink w:anchor="_Toc189044351" w:history="1">
        <w:r w:rsidRPr="00DA6215">
          <w:rPr>
            <w:rStyle w:val="Hyperlink"/>
            <w:i w:val="0"/>
            <w:sz w:val="20"/>
            <w:szCs w:val="20"/>
            <w:u w:val="none"/>
          </w:rPr>
          <w:t>6.5.7.1.11</w:t>
        </w:r>
        <w:r w:rsidRPr="00DA6215">
          <w:rPr>
            <w:rFonts w:eastAsiaTheme="minorEastAsia"/>
            <w:i w:val="0"/>
            <w:kern w:val="2"/>
            <w:sz w:val="20"/>
            <w:szCs w:val="20"/>
            <w14:ligatures w14:val="standardContextual"/>
          </w:rPr>
          <w:tab/>
        </w:r>
        <w:r w:rsidRPr="00DA6215">
          <w:rPr>
            <w:rStyle w:val="Hyperlink"/>
            <w:i w:val="0"/>
            <w:sz w:val="20"/>
            <w:szCs w:val="20"/>
            <w:u w:val="none"/>
          </w:rPr>
          <w:t>Transmission Network and Power Balance Constraint Management</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_Toc189044351 \h </w:instrText>
        </w:r>
        <w:r w:rsidRPr="00DA6215">
          <w:rPr>
            <w:i w:val="0"/>
            <w:webHidden/>
            <w:sz w:val="20"/>
            <w:szCs w:val="20"/>
          </w:rPr>
        </w:r>
        <w:r w:rsidRPr="00DA6215">
          <w:rPr>
            <w:i w:val="0"/>
            <w:webHidden/>
            <w:sz w:val="20"/>
            <w:szCs w:val="20"/>
          </w:rPr>
          <w:fldChar w:fldCharType="separate"/>
        </w:r>
        <w:r w:rsidR="00DD0A69">
          <w:rPr>
            <w:i w:val="0"/>
            <w:webHidden/>
            <w:sz w:val="20"/>
            <w:szCs w:val="20"/>
          </w:rPr>
          <w:t>6-81</w:t>
        </w:r>
        <w:r w:rsidRPr="00DA6215">
          <w:rPr>
            <w:i w:val="0"/>
            <w:webHidden/>
            <w:sz w:val="20"/>
            <w:szCs w:val="20"/>
          </w:rPr>
          <w:fldChar w:fldCharType="end"/>
        </w:r>
      </w:hyperlink>
    </w:p>
    <w:p w14:paraId="6606CF1F" w14:textId="090DA53C" w:rsidR="00DA6215" w:rsidRPr="00DA6215" w:rsidRDefault="00DA6215">
      <w:pPr>
        <w:pStyle w:val="TOC5"/>
        <w:rPr>
          <w:rFonts w:eastAsiaTheme="minorEastAsia"/>
          <w:i w:val="0"/>
          <w:kern w:val="2"/>
          <w:sz w:val="20"/>
          <w:szCs w:val="20"/>
          <w14:ligatures w14:val="standardContextual"/>
        </w:rPr>
      </w:pPr>
      <w:hyperlink w:anchor="_Toc189044352" w:history="1">
        <w:r w:rsidRPr="00DA6215">
          <w:rPr>
            <w:rStyle w:val="Hyperlink"/>
            <w:i w:val="0"/>
            <w:sz w:val="20"/>
            <w:szCs w:val="20"/>
            <w:u w:val="none"/>
          </w:rPr>
          <w:t>6.5.7.1.12</w:t>
        </w:r>
        <w:r w:rsidRPr="00DA6215">
          <w:rPr>
            <w:rFonts w:eastAsiaTheme="minorEastAsia"/>
            <w:i w:val="0"/>
            <w:kern w:val="2"/>
            <w:sz w:val="20"/>
            <w:szCs w:val="20"/>
            <w14:ligatures w14:val="standardContextual"/>
          </w:rPr>
          <w:tab/>
        </w:r>
        <w:r w:rsidRPr="00DA6215">
          <w:rPr>
            <w:rStyle w:val="Hyperlink"/>
            <w:i w:val="0"/>
            <w:sz w:val="20"/>
            <w:szCs w:val="20"/>
            <w:u w:val="none"/>
          </w:rPr>
          <w:t>Resource Limits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_Toc189044352 \h </w:instrText>
        </w:r>
        <w:r w:rsidRPr="00DA6215">
          <w:rPr>
            <w:i w:val="0"/>
            <w:webHidden/>
            <w:sz w:val="20"/>
            <w:szCs w:val="20"/>
          </w:rPr>
        </w:r>
        <w:r w:rsidRPr="00DA6215">
          <w:rPr>
            <w:i w:val="0"/>
            <w:webHidden/>
            <w:sz w:val="20"/>
            <w:szCs w:val="20"/>
          </w:rPr>
          <w:fldChar w:fldCharType="separate"/>
        </w:r>
        <w:r w:rsidR="00DD0A69">
          <w:rPr>
            <w:i w:val="0"/>
            <w:webHidden/>
            <w:sz w:val="20"/>
            <w:szCs w:val="20"/>
          </w:rPr>
          <w:t>6-82</w:t>
        </w:r>
        <w:r w:rsidRPr="00DA6215">
          <w:rPr>
            <w:i w:val="0"/>
            <w:webHidden/>
            <w:sz w:val="20"/>
            <w:szCs w:val="20"/>
          </w:rPr>
          <w:fldChar w:fldCharType="end"/>
        </w:r>
      </w:hyperlink>
    </w:p>
    <w:p w14:paraId="2E44D0E6" w14:textId="44F3C013" w:rsidR="00DA6215" w:rsidRPr="00DA6215" w:rsidRDefault="00DA6215">
      <w:pPr>
        <w:pStyle w:val="TOC5"/>
        <w:rPr>
          <w:rFonts w:eastAsiaTheme="minorEastAsia"/>
          <w:i w:val="0"/>
          <w:kern w:val="2"/>
          <w:sz w:val="20"/>
          <w:szCs w:val="20"/>
          <w14:ligatures w14:val="standardContextual"/>
        </w:rPr>
      </w:pPr>
      <w:hyperlink w:anchor="_Toc189044353" w:history="1">
        <w:r w:rsidRPr="00DA6215">
          <w:rPr>
            <w:rStyle w:val="Hyperlink"/>
            <w:i w:val="0"/>
            <w:sz w:val="20"/>
            <w:szCs w:val="20"/>
            <w:u w:val="none"/>
          </w:rPr>
          <w:t>6.5.7.1.12</w:t>
        </w:r>
        <w:r w:rsidRPr="00DA6215">
          <w:rPr>
            <w:rFonts w:eastAsiaTheme="minorEastAsia"/>
            <w:i w:val="0"/>
            <w:kern w:val="2"/>
            <w:sz w:val="20"/>
            <w:szCs w:val="20"/>
            <w14:ligatures w14:val="standardContextual"/>
          </w:rPr>
          <w:tab/>
        </w:r>
        <w:r w:rsidRPr="00DA6215">
          <w:rPr>
            <w:rStyle w:val="Hyperlink"/>
            <w:i w:val="0"/>
            <w:sz w:val="20"/>
            <w:szCs w:val="20"/>
            <w:u w:val="none"/>
          </w:rPr>
          <w:t>Resource Limits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_Toc189044353 \h </w:instrText>
        </w:r>
        <w:r w:rsidRPr="00DA6215">
          <w:rPr>
            <w:i w:val="0"/>
            <w:webHidden/>
            <w:sz w:val="20"/>
            <w:szCs w:val="20"/>
          </w:rPr>
        </w:r>
        <w:r w:rsidRPr="00DA6215">
          <w:rPr>
            <w:i w:val="0"/>
            <w:webHidden/>
            <w:sz w:val="20"/>
            <w:szCs w:val="20"/>
          </w:rPr>
          <w:fldChar w:fldCharType="separate"/>
        </w:r>
        <w:r w:rsidR="00DD0A69">
          <w:rPr>
            <w:i w:val="0"/>
            <w:webHidden/>
            <w:sz w:val="20"/>
            <w:szCs w:val="20"/>
          </w:rPr>
          <w:t>6-83</w:t>
        </w:r>
        <w:r w:rsidRPr="00DA6215">
          <w:rPr>
            <w:i w:val="0"/>
            <w:webHidden/>
            <w:sz w:val="20"/>
            <w:szCs w:val="20"/>
          </w:rPr>
          <w:fldChar w:fldCharType="end"/>
        </w:r>
      </w:hyperlink>
    </w:p>
    <w:p w14:paraId="210ECBF7" w14:textId="6FCACCF1" w:rsidR="00DA6215" w:rsidRPr="00DA6215" w:rsidRDefault="00DA6215">
      <w:pPr>
        <w:pStyle w:val="TOC5"/>
        <w:rPr>
          <w:rFonts w:eastAsiaTheme="minorEastAsia"/>
          <w:i w:val="0"/>
          <w:kern w:val="2"/>
          <w:sz w:val="20"/>
          <w:szCs w:val="20"/>
          <w14:ligatures w14:val="standardContextual"/>
        </w:rPr>
      </w:pPr>
      <w:hyperlink w:anchor="_Toc189044354" w:history="1">
        <w:r w:rsidRPr="00DA6215">
          <w:rPr>
            <w:rStyle w:val="Hyperlink"/>
            <w:i w:val="0"/>
            <w:sz w:val="20"/>
            <w:szCs w:val="20"/>
            <w:u w:val="none"/>
          </w:rPr>
          <w:t>6.5.7.1.13</w:t>
        </w:r>
        <w:r w:rsidRPr="00DA6215">
          <w:rPr>
            <w:rFonts w:eastAsiaTheme="minorEastAsia"/>
            <w:i w:val="0"/>
            <w:kern w:val="2"/>
            <w:sz w:val="20"/>
            <w:szCs w:val="20"/>
            <w14:ligatures w14:val="standardContextual"/>
          </w:rPr>
          <w:tab/>
        </w:r>
        <w:r w:rsidRPr="00DA6215">
          <w:rPr>
            <w:rStyle w:val="Hyperlink"/>
            <w:i w:val="0"/>
            <w:sz w:val="20"/>
            <w:szCs w:val="20"/>
            <w:u w:val="none"/>
          </w:rPr>
          <w:t>Data Inputs and Outputs for the Real-Time Sequence and SCED</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_Toc189044354 \h </w:instrText>
        </w:r>
        <w:r w:rsidRPr="00DA6215">
          <w:rPr>
            <w:i w:val="0"/>
            <w:webHidden/>
            <w:sz w:val="20"/>
            <w:szCs w:val="20"/>
          </w:rPr>
        </w:r>
        <w:r w:rsidRPr="00DA6215">
          <w:rPr>
            <w:i w:val="0"/>
            <w:webHidden/>
            <w:sz w:val="20"/>
            <w:szCs w:val="20"/>
          </w:rPr>
          <w:fldChar w:fldCharType="separate"/>
        </w:r>
        <w:r w:rsidR="00DD0A69">
          <w:rPr>
            <w:i w:val="0"/>
            <w:webHidden/>
            <w:sz w:val="20"/>
            <w:szCs w:val="20"/>
          </w:rPr>
          <w:t>6-84</w:t>
        </w:r>
        <w:r w:rsidRPr="00DA6215">
          <w:rPr>
            <w:i w:val="0"/>
            <w:webHidden/>
            <w:sz w:val="20"/>
            <w:szCs w:val="20"/>
          </w:rPr>
          <w:fldChar w:fldCharType="end"/>
        </w:r>
      </w:hyperlink>
    </w:p>
    <w:p w14:paraId="4FB3965A" w14:textId="0D84BEEE" w:rsidR="00DA6215" w:rsidRPr="00DA6215" w:rsidRDefault="00DA6215">
      <w:pPr>
        <w:pStyle w:val="TOC4"/>
        <w:rPr>
          <w:rFonts w:eastAsiaTheme="minorEastAsia"/>
          <w:kern w:val="2"/>
          <w:lang w:val="en-US"/>
          <w14:ligatures w14:val="standardContextual"/>
        </w:rPr>
      </w:pPr>
      <w:hyperlink w:anchor="_Toc189044355" w:history="1">
        <w:r w:rsidRPr="00DA6215">
          <w:rPr>
            <w:rStyle w:val="Hyperlink"/>
            <w:u w:val="none"/>
          </w:rPr>
          <w:t>6.5.7.2</w:t>
        </w:r>
        <w:r w:rsidRPr="00DA6215">
          <w:rPr>
            <w:rFonts w:eastAsiaTheme="minorEastAsia"/>
            <w:kern w:val="2"/>
            <w:lang w:val="en-US"/>
            <w14:ligatures w14:val="standardContextual"/>
          </w:rPr>
          <w:tab/>
        </w:r>
        <w:r w:rsidRPr="00DA6215">
          <w:rPr>
            <w:rStyle w:val="Hyperlink"/>
            <w:u w:val="none"/>
          </w:rPr>
          <w:t>Resource Limit Calculator</w:t>
        </w:r>
        <w:r w:rsidRPr="00DA6215">
          <w:rPr>
            <w:webHidden/>
          </w:rPr>
          <w:tab/>
        </w:r>
        <w:r w:rsidRPr="00DA6215">
          <w:rPr>
            <w:webHidden/>
          </w:rPr>
          <w:fldChar w:fldCharType="begin"/>
        </w:r>
        <w:r w:rsidRPr="00DA6215">
          <w:rPr>
            <w:webHidden/>
          </w:rPr>
          <w:instrText xml:space="preserve"> PAGEREF _Toc189044355 \h </w:instrText>
        </w:r>
        <w:r w:rsidRPr="00DA6215">
          <w:rPr>
            <w:webHidden/>
          </w:rPr>
        </w:r>
        <w:r w:rsidRPr="00DA6215">
          <w:rPr>
            <w:webHidden/>
          </w:rPr>
          <w:fldChar w:fldCharType="separate"/>
        </w:r>
        <w:r w:rsidR="00DD0A69">
          <w:rPr>
            <w:webHidden/>
          </w:rPr>
          <w:t>6-89</w:t>
        </w:r>
        <w:r w:rsidRPr="00DA6215">
          <w:rPr>
            <w:webHidden/>
          </w:rPr>
          <w:fldChar w:fldCharType="end"/>
        </w:r>
      </w:hyperlink>
    </w:p>
    <w:p w14:paraId="379BC972" w14:textId="75A61E45" w:rsidR="00DA6215" w:rsidRPr="00DA6215" w:rsidRDefault="00DA6215">
      <w:pPr>
        <w:pStyle w:val="TOC4"/>
        <w:rPr>
          <w:rFonts w:eastAsiaTheme="minorEastAsia"/>
          <w:kern w:val="2"/>
          <w:lang w:val="en-US"/>
          <w14:ligatures w14:val="standardContextual"/>
        </w:rPr>
      </w:pPr>
      <w:hyperlink w:anchor="_Toc189044356" w:history="1">
        <w:r w:rsidRPr="00DA6215">
          <w:rPr>
            <w:rStyle w:val="Hyperlink"/>
            <w:snapToGrid w:val="0"/>
            <w:u w:val="none"/>
          </w:rPr>
          <w:t>6.5.7.2</w:t>
        </w:r>
        <w:r w:rsidRPr="00DA6215">
          <w:rPr>
            <w:rFonts w:eastAsiaTheme="minorEastAsia"/>
            <w:kern w:val="2"/>
            <w:lang w:val="en-US"/>
            <w14:ligatures w14:val="standardContextual"/>
          </w:rPr>
          <w:tab/>
        </w:r>
        <w:r w:rsidRPr="00DA6215">
          <w:rPr>
            <w:rStyle w:val="Hyperlink"/>
            <w:snapToGrid w:val="0"/>
            <w:u w:val="none"/>
          </w:rPr>
          <w:t>Resource Limit Calculator</w:t>
        </w:r>
        <w:r w:rsidRPr="00DA6215">
          <w:rPr>
            <w:webHidden/>
          </w:rPr>
          <w:tab/>
        </w:r>
        <w:r w:rsidRPr="00DA6215">
          <w:rPr>
            <w:webHidden/>
          </w:rPr>
          <w:fldChar w:fldCharType="begin"/>
        </w:r>
        <w:r w:rsidRPr="00DA6215">
          <w:rPr>
            <w:webHidden/>
          </w:rPr>
          <w:instrText xml:space="preserve"> PAGEREF _Toc189044356 \h </w:instrText>
        </w:r>
        <w:r w:rsidRPr="00DA6215">
          <w:rPr>
            <w:webHidden/>
          </w:rPr>
        </w:r>
        <w:r w:rsidRPr="00DA6215">
          <w:rPr>
            <w:webHidden/>
          </w:rPr>
          <w:fldChar w:fldCharType="separate"/>
        </w:r>
        <w:r w:rsidR="00DD0A69">
          <w:rPr>
            <w:webHidden/>
          </w:rPr>
          <w:t>6-95</w:t>
        </w:r>
        <w:r w:rsidRPr="00DA6215">
          <w:rPr>
            <w:webHidden/>
          </w:rPr>
          <w:fldChar w:fldCharType="end"/>
        </w:r>
      </w:hyperlink>
    </w:p>
    <w:p w14:paraId="6E8BF094" w14:textId="5DEEEEB9" w:rsidR="00DA6215" w:rsidRPr="00DA6215" w:rsidRDefault="00DA6215">
      <w:pPr>
        <w:pStyle w:val="TOC4"/>
        <w:rPr>
          <w:rFonts w:eastAsiaTheme="minorEastAsia"/>
          <w:kern w:val="2"/>
          <w:lang w:val="en-US"/>
          <w14:ligatures w14:val="standardContextual"/>
        </w:rPr>
      </w:pPr>
      <w:hyperlink w:anchor="_Toc189044357" w:history="1">
        <w:r w:rsidRPr="00DA6215">
          <w:rPr>
            <w:rStyle w:val="Hyperlink"/>
            <w:u w:val="none"/>
          </w:rPr>
          <w:t>6.5.7.3</w:t>
        </w:r>
        <w:r w:rsidRPr="00DA6215">
          <w:rPr>
            <w:rFonts w:eastAsiaTheme="minorEastAsia"/>
            <w:kern w:val="2"/>
            <w:lang w:val="en-US"/>
            <w14:ligatures w14:val="standardContextual"/>
          </w:rPr>
          <w:tab/>
        </w:r>
        <w:r w:rsidRPr="00DA6215">
          <w:rPr>
            <w:rStyle w:val="Hyperlink"/>
            <w:u w:val="none"/>
          </w:rPr>
          <w:t>Security Constrained Economic Dispatch</w:t>
        </w:r>
        <w:r w:rsidRPr="00DA6215">
          <w:rPr>
            <w:webHidden/>
          </w:rPr>
          <w:tab/>
        </w:r>
        <w:r w:rsidRPr="00DA6215">
          <w:rPr>
            <w:webHidden/>
          </w:rPr>
          <w:fldChar w:fldCharType="begin"/>
        </w:r>
        <w:r w:rsidRPr="00DA6215">
          <w:rPr>
            <w:webHidden/>
          </w:rPr>
          <w:instrText xml:space="preserve"> PAGEREF _Toc189044357 \h </w:instrText>
        </w:r>
        <w:r w:rsidRPr="00DA6215">
          <w:rPr>
            <w:webHidden/>
          </w:rPr>
        </w:r>
        <w:r w:rsidRPr="00DA6215">
          <w:rPr>
            <w:webHidden/>
          </w:rPr>
          <w:fldChar w:fldCharType="separate"/>
        </w:r>
        <w:r w:rsidR="00DD0A69">
          <w:rPr>
            <w:webHidden/>
          </w:rPr>
          <w:t>6-98</w:t>
        </w:r>
        <w:r w:rsidRPr="00DA6215">
          <w:rPr>
            <w:webHidden/>
          </w:rPr>
          <w:fldChar w:fldCharType="end"/>
        </w:r>
      </w:hyperlink>
    </w:p>
    <w:p w14:paraId="099959A0" w14:textId="3F3C7638" w:rsidR="00DA6215" w:rsidRPr="00DA6215" w:rsidRDefault="00DA6215">
      <w:pPr>
        <w:pStyle w:val="TOC4"/>
        <w:rPr>
          <w:rFonts w:eastAsiaTheme="minorEastAsia"/>
          <w:kern w:val="2"/>
          <w:lang w:val="en-US"/>
          <w14:ligatures w14:val="standardContextual"/>
        </w:rPr>
      </w:pPr>
      <w:hyperlink w:anchor="_Toc189044358" w:history="1">
        <w:r w:rsidRPr="00DA6215">
          <w:rPr>
            <w:rStyle w:val="Hyperlink"/>
            <w:snapToGrid w:val="0"/>
            <w:u w:val="none"/>
          </w:rPr>
          <w:t>6.5.7.3</w:t>
        </w:r>
        <w:r w:rsidRPr="00DA6215">
          <w:rPr>
            <w:rFonts w:eastAsiaTheme="minorEastAsia"/>
            <w:kern w:val="2"/>
            <w:lang w:val="en-US"/>
            <w14:ligatures w14:val="standardContextual"/>
          </w:rPr>
          <w:tab/>
        </w:r>
        <w:r w:rsidRPr="00DA6215">
          <w:rPr>
            <w:rStyle w:val="Hyperlink"/>
            <w:snapToGrid w:val="0"/>
            <w:u w:val="none"/>
          </w:rPr>
          <w:t>Security Constrained Economic Dispatch</w:t>
        </w:r>
        <w:r w:rsidRPr="00DA6215">
          <w:rPr>
            <w:webHidden/>
          </w:rPr>
          <w:tab/>
        </w:r>
        <w:r w:rsidRPr="00DA6215">
          <w:rPr>
            <w:webHidden/>
          </w:rPr>
          <w:fldChar w:fldCharType="begin"/>
        </w:r>
        <w:r w:rsidRPr="00DA6215">
          <w:rPr>
            <w:webHidden/>
          </w:rPr>
          <w:instrText xml:space="preserve"> PAGEREF _Toc189044358 \h </w:instrText>
        </w:r>
        <w:r w:rsidRPr="00DA6215">
          <w:rPr>
            <w:webHidden/>
          </w:rPr>
        </w:r>
        <w:r w:rsidRPr="00DA6215">
          <w:rPr>
            <w:webHidden/>
          </w:rPr>
          <w:fldChar w:fldCharType="separate"/>
        </w:r>
        <w:r w:rsidR="00DD0A69">
          <w:rPr>
            <w:webHidden/>
          </w:rPr>
          <w:t>6-105</w:t>
        </w:r>
        <w:r w:rsidRPr="00DA6215">
          <w:rPr>
            <w:webHidden/>
          </w:rPr>
          <w:fldChar w:fldCharType="end"/>
        </w:r>
      </w:hyperlink>
    </w:p>
    <w:p w14:paraId="5B100C57" w14:textId="4FC33450" w:rsidR="00DA6215" w:rsidRPr="00DA6215" w:rsidRDefault="00DA6215">
      <w:pPr>
        <w:pStyle w:val="TOC5"/>
        <w:rPr>
          <w:rFonts w:eastAsiaTheme="minorEastAsia"/>
          <w:i w:val="0"/>
          <w:kern w:val="2"/>
          <w:sz w:val="20"/>
          <w:szCs w:val="20"/>
          <w14:ligatures w14:val="standardContextual"/>
        </w:rPr>
      </w:pPr>
      <w:hyperlink w:anchor="_Toc189044359" w:history="1">
        <w:r w:rsidRPr="00DA6215">
          <w:rPr>
            <w:rStyle w:val="Hyperlink"/>
            <w:i w:val="0"/>
            <w:snapToGrid w:val="0"/>
            <w:sz w:val="20"/>
            <w:szCs w:val="20"/>
            <w:u w:val="none"/>
          </w:rPr>
          <w:t>6.5.7.3.1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Determination of Real-Time On-Line Reliability Deployment Price Adder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_Toc189044359 \h </w:instrText>
        </w:r>
        <w:r w:rsidRPr="00DA6215">
          <w:rPr>
            <w:i w:val="0"/>
            <w:webHidden/>
            <w:sz w:val="20"/>
            <w:szCs w:val="20"/>
          </w:rPr>
        </w:r>
        <w:r w:rsidRPr="00DA6215">
          <w:rPr>
            <w:i w:val="0"/>
            <w:webHidden/>
            <w:sz w:val="20"/>
            <w:szCs w:val="20"/>
          </w:rPr>
          <w:fldChar w:fldCharType="separate"/>
        </w:r>
        <w:r w:rsidR="00DD0A69">
          <w:rPr>
            <w:i w:val="0"/>
            <w:webHidden/>
            <w:sz w:val="20"/>
            <w:szCs w:val="20"/>
          </w:rPr>
          <w:t>6-117</w:t>
        </w:r>
        <w:r w:rsidRPr="00DA6215">
          <w:rPr>
            <w:i w:val="0"/>
            <w:webHidden/>
            <w:sz w:val="20"/>
            <w:szCs w:val="20"/>
          </w:rPr>
          <w:fldChar w:fldCharType="end"/>
        </w:r>
      </w:hyperlink>
    </w:p>
    <w:p w14:paraId="11B64ECF" w14:textId="29345D6F" w:rsidR="00DA6215" w:rsidRPr="00DA6215" w:rsidRDefault="00DA6215">
      <w:pPr>
        <w:pStyle w:val="TOC5"/>
        <w:rPr>
          <w:rFonts w:eastAsiaTheme="minorEastAsia"/>
          <w:i w:val="0"/>
          <w:kern w:val="2"/>
          <w:sz w:val="20"/>
          <w:szCs w:val="20"/>
          <w14:ligatures w14:val="standardContextual"/>
        </w:rPr>
      </w:pPr>
      <w:hyperlink w:anchor="_Toc189044360" w:history="1">
        <w:r w:rsidRPr="00DA6215">
          <w:rPr>
            <w:rStyle w:val="Hyperlink"/>
            <w:i w:val="0"/>
            <w:snapToGrid w:val="0"/>
            <w:sz w:val="20"/>
            <w:szCs w:val="20"/>
            <w:u w:val="none"/>
          </w:rPr>
          <w:t>6.5.7.3.1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Determination of Real-Time Reliability Deployment Price Adder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_Toc189044360 \h </w:instrText>
        </w:r>
        <w:r w:rsidRPr="00DA6215">
          <w:rPr>
            <w:i w:val="0"/>
            <w:webHidden/>
            <w:sz w:val="20"/>
            <w:szCs w:val="20"/>
          </w:rPr>
        </w:r>
        <w:r w:rsidRPr="00DA6215">
          <w:rPr>
            <w:i w:val="0"/>
            <w:webHidden/>
            <w:sz w:val="20"/>
            <w:szCs w:val="20"/>
          </w:rPr>
          <w:fldChar w:fldCharType="separate"/>
        </w:r>
        <w:r w:rsidR="00DD0A69">
          <w:rPr>
            <w:i w:val="0"/>
            <w:webHidden/>
            <w:sz w:val="20"/>
            <w:szCs w:val="20"/>
          </w:rPr>
          <w:t>6-120</w:t>
        </w:r>
        <w:r w:rsidRPr="00DA6215">
          <w:rPr>
            <w:i w:val="0"/>
            <w:webHidden/>
            <w:sz w:val="20"/>
            <w:szCs w:val="20"/>
          </w:rPr>
          <w:fldChar w:fldCharType="end"/>
        </w:r>
      </w:hyperlink>
    </w:p>
    <w:p w14:paraId="19FA0F94" w14:textId="79C30DD2" w:rsidR="00DA6215" w:rsidRPr="00DA6215" w:rsidRDefault="00DA6215">
      <w:pPr>
        <w:pStyle w:val="TOC4"/>
        <w:rPr>
          <w:rFonts w:eastAsiaTheme="minorEastAsia"/>
          <w:kern w:val="2"/>
          <w:lang w:val="en-US"/>
          <w14:ligatures w14:val="standardContextual"/>
        </w:rPr>
      </w:pPr>
      <w:hyperlink w:anchor="_Toc189044361" w:history="1">
        <w:r w:rsidRPr="00DA6215">
          <w:rPr>
            <w:rStyle w:val="Hyperlink"/>
            <w:u w:val="none"/>
          </w:rPr>
          <w:t>6.5.7.4</w:t>
        </w:r>
        <w:r w:rsidRPr="00DA6215">
          <w:rPr>
            <w:rFonts w:eastAsiaTheme="minorEastAsia"/>
            <w:kern w:val="2"/>
            <w:lang w:val="en-US"/>
            <w14:ligatures w14:val="standardContextual"/>
          </w:rPr>
          <w:tab/>
        </w:r>
        <w:r w:rsidRPr="00DA6215">
          <w:rPr>
            <w:rStyle w:val="Hyperlink"/>
            <w:u w:val="none"/>
          </w:rPr>
          <w:t>Base Points</w:t>
        </w:r>
        <w:r w:rsidRPr="00DA6215">
          <w:rPr>
            <w:webHidden/>
          </w:rPr>
          <w:tab/>
        </w:r>
        <w:r w:rsidRPr="00DA6215">
          <w:rPr>
            <w:webHidden/>
          </w:rPr>
          <w:fldChar w:fldCharType="begin"/>
        </w:r>
        <w:r w:rsidRPr="00DA6215">
          <w:rPr>
            <w:webHidden/>
          </w:rPr>
          <w:instrText xml:space="preserve"> PAGEREF _Toc189044361 \h </w:instrText>
        </w:r>
        <w:r w:rsidRPr="00DA6215">
          <w:rPr>
            <w:webHidden/>
          </w:rPr>
        </w:r>
        <w:r w:rsidRPr="00DA6215">
          <w:rPr>
            <w:webHidden/>
          </w:rPr>
          <w:fldChar w:fldCharType="separate"/>
        </w:r>
        <w:r w:rsidR="00DD0A69">
          <w:rPr>
            <w:webHidden/>
          </w:rPr>
          <w:t>6-126</w:t>
        </w:r>
        <w:r w:rsidRPr="00DA6215">
          <w:rPr>
            <w:webHidden/>
          </w:rPr>
          <w:fldChar w:fldCharType="end"/>
        </w:r>
      </w:hyperlink>
    </w:p>
    <w:p w14:paraId="293452F8" w14:textId="2CE56AF6" w:rsidR="00DA6215" w:rsidRPr="00DA6215" w:rsidRDefault="00DA6215">
      <w:pPr>
        <w:pStyle w:val="TOC5"/>
        <w:rPr>
          <w:rFonts w:eastAsiaTheme="minorEastAsia"/>
          <w:i w:val="0"/>
          <w:kern w:val="2"/>
          <w:sz w:val="20"/>
          <w:szCs w:val="20"/>
          <w14:ligatures w14:val="standardContextual"/>
        </w:rPr>
      </w:pPr>
      <w:hyperlink w:anchor="_Toc189044362" w:history="1">
        <w:r w:rsidRPr="00DA6215">
          <w:rPr>
            <w:rStyle w:val="Hyperlink"/>
            <w:i w:val="0"/>
            <w:snapToGrid w:val="0"/>
            <w:sz w:val="20"/>
            <w:szCs w:val="20"/>
            <w:u w:val="none"/>
          </w:rPr>
          <w:t>6.5.7.4.1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Updated Desired Set Points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_Toc189044362 \h </w:instrText>
        </w:r>
        <w:r w:rsidRPr="00DA6215">
          <w:rPr>
            <w:i w:val="0"/>
            <w:webHidden/>
            <w:sz w:val="20"/>
            <w:szCs w:val="20"/>
          </w:rPr>
        </w:r>
        <w:r w:rsidRPr="00DA6215">
          <w:rPr>
            <w:i w:val="0"/>
            <w:webHidden/>
            <w:sz w:val="20"/>
            <w:szCs w:val="20"/>
          </w:rPr>
          <w:fldChar w:fldCharType="separate"/>
        </w:r>
        <w:r w:rsidR="00DD0A69">
          <w:rPr>
            <w:i w:val="0"/>
            <w:webHidden/>
            <w:sz w:val="20"/>
            <w:szCs w:val="20"/>
          </w:rPr>
          <w:t>6-127</w:t>
        </w:r>
        <w:r w:rsidRPr="00DA6215">
          <w:rPr>
            <w:i w:val="0"/>
            <w:webHidden/>
            <w:sz w:val="20"/>
            <w:szCs w:val="20"/>
          </w:rPr>
          <w:fldChar w:fldCharType="end"/>
        </w:r>
      </w:hyperlink>
    </w:p>
    <w:p w14:paraId="575FC265" w14:textId="468FB763" w:rsidR="00DA6215" w:rsidRPr="00DA6215" w:rsidRDefault="00DA6215">
      <w:pPr>
        <w:pStyle w:val="TOC4"/>
        <w:rPr>
          <w:rFonts w:eastAsiaTheme="minorEastAsia"/>
          <w:kern w:val="2"/>
          <w:lang w:val="en-US"/>
          <w14:ligatures w14:val="standardContextual"/>
        </w:rPr>
      </w:pPr>
      <w:hyperlink w:anchor="_Toc189044363" w:history="1">
        <w:r w:rsidRPr="00DA6215">
          <w:rPr>
            <w:rStyle w:val="Hyperlink"/>
            <w:u w:val="none"/>
          </w:rPr>
          <w:t>6.5.7.5</w:t>
        </w:r>
        <w:r w:rsidRPr="00DA6215">
          <w:rPr>
            <w:rFonts w:eastAsiaTheme="minorEastAsia"/>
            <w:kern w:val="2"/>
            <w:lang w:val="en-US"/>
            <w14:ligatures w14:val="standardContextual"/>
          </w:rPr>
          <w:tab/>
        </w:r>
        <w:r w:rsidRPr="00DA6215">
          <w:rPr>
            <w:rStyle w:val="Hyperlink"/>
            <w:u w:val="none"/>
          </w:rPr>
          <w:t>Ancillary Services Capacity Monitor</w:t>
        </w:r>
        <w:r w:rsidRPr="00DA6215">
          <w:rPr>
            <w:webHidden/>
          </w:rPr>
          <w:tab/>
        </w:r>
        <w:r w:rsidRPr="00DA6215">
          <w:rPr>
            <w:webHidden/>
          </w:rPr>
          <w:fldChar w:fldCharType="begin"/>
        </w:r>
        <w:r w:rsidRPr="00DA6215">
          <w:rPr>
            <w:webHidden/>
          </w:rPr>
          <w:instrText xml:space="preserve"> PAGEREF _Toc189044363 \h </w:instrText>
        </w:r>
        <w:r w:rsidRPr="00DA6215">
          <w:rPr>
            <w:webHidden/>
          </w:rPr>
        </w:r>
        <w:r w:rsidRPr="00DA6215">
          <w:rPr>
            <w:webHidden/>
          </w:rPr>
          <w:fldChar w:fldCharType="separate"/>
        </w:r>
        <w:r w:rsidR="00DD0A69">
          <w:rPr>
            <w:webHidden/>
          </w:rPr>
          <w:t>6-128</w:t>
        </w:r>
        <w:r w:rsidRPr="00DA6215">
          <w:rPr>
            <w:webHidden/>
          </w:rPr>
          <w:fldChar w:fldCharType="end"/>
        </w:r>
      </w:hyperlink>
    </w:p>
    <w:p w14:paraId="0FB16F6A" w14:textId="74F2136D" w:rsidR="00DA6215" w:rsidRPr="00DA6215" w:rsidRDefault="00DA6215">
      <w:pPr>
        <w:pStyle w:val="TOC4"/>
        <w:rPr>
          <w:rFonts w:eastAsiaTheme="minorEastAsia"/>
          <w:kern w:val="2"/>
          <w:lang w:val="en-US"/>
          <w14:ligatures w14:val="standardContextual"/>
        </w:rPr>
      </w:pPr>
      <w:hyperlink w:anchor="_Toc189044364" w:history="1">
        <w:r w:rsidRPr="00DA6215">
          <w:rPr>
            <w:rStyle w:val="Hyperlink"/>
            <w:snapToGrid w:val="0"/>
            <w:u w:val="none"/>
          </w:rPr>
          <w:t>6.5.7.5</w:t>
        </w:r>
        <w:r w:rsidRPr="00DA6215">
          <w:rPr>
            <w:rFonts w:eastAsiaTheme="minorEastAsia"/>
            <w:kern w:val="2"/>
            <w:lang w:val="en-US"/>
            <w14:ligatures w14:val="standardContextual"/>
          </w:rPr>
          <w:tab/>
        </w:r>
        <w:r w:rsidRPr="00DA6215">
          <w:rPr>
            <w:rStyle w:val="Hyperlink"/>
            <w:snapToGrid w:val="0"/>
            <w:u w:val="none"/>
          </w:rPr>
          <w:t>Ancillary Services Capacity Monitor</w:t>
        </w:r>
        <w:r w:rsidRPr="00DA6215">
          <w:rPr>
            <w:webHidden/>
          </w:rPr>
          <w:tab/>
        </w:r>
        <w:r w:rsidRPr="00DA6215">
          <w:rPr>
            <w:webHidden/>
          </w:rPr>
          <w:fldChar w:fldCharType="begin"/>
        </w:r>
        <w:r w:rsidRPr="00DA6215">
          <w:rPr>
            <w:webHidden/>
          </w:rPr>
          <w:instrText xml:space="preserve"> PAGEREF _Toc189044364 \h </w:instrText>
        </w:r>
        <w:r w:rsidRPr="00DA6215">
          <w:rPr>
            <w:webHidden/>
          </w:rPr>
        </w:r>
        <w:r w:rsidRPr="00DA6215">
          <w:rPr>
            <w:webHidden/>
          </w:rPr>
          <w:fldChar w:fldCharType="separate"/>
        </w:r>
        <w:r w:rsidR="00DD0A69">
          <w:rPr>
            <w:webHidden/>
          </w:rPr>
          <w:t>6-133</w:t>
        </w:r>
        <w:r w:rsidRPr="00DA6215">
          <w:rPr>
            <w:webHidden/>
          </w:rPr>
          <w:fldChar w:fldCharType="end"/>
        </w:r>
      </w:hyperlink>
    </w:p>
    <w:p w14:paraId="250BFD5E" w14:textId="2D3D6394" w:rsidR="00DA6215" w:rsidRPr="00DA6215" w:rsidRDefault="00DA6215">
      <w:pPr>
        <w:pStyle w:val="TOC4"/>
        <w:rPr>
          <w:rFonts w:eastAsiaTheme="minorEastAsia"/>
          <w:kern w:val="2"/>
          <w:lang w:val="en-US"/>
          <w14:ligatures w14:val="standardContextual"/>
        </w:rPr>
      </w:pPr>
      <w:hyperlink w:anchor="_Toc189044365" w:history="1">
        <w:r w:rsidRPr="00DA6215">
          <w:rPr>
            <w:rStyle w:val="Hyperlink"/>
            <w:u w:val="none"/>
          </w:rPr>
          <w:t>6.5.7.6</w:t>
        </w:r>
        <w:r w:rsidRPr="00DA6215">
          <w:rPr>
            <w:rFonts w:eastAsiaTheme="minorEastAsia"/>
            <w:kern w:val="2"/>
            <w:lang w:val="en-US"/>
            <w14:ligatures w14:val="standardContextual"/>
          </w:rPr>
          <w:tab/>
        </w:r>
        <w:r w:rsidRPr="00DA6215">
          <w:rPr>
            <w:rStyle w:val="Hyperlink"/>
            <w:u w:val="none"/>
          </w:rPr>
          <w:t>Load Frequency Control</w:t>
        </w:r>
        <w:r w:rsidRPr="00DA6215">
          <w:rPr>
            <w:webHidden/>
          </w:rPr>
          <w:tab/>
        </w:r>
        <w:r w:rsidRPr="00DA6215">
          <w:rPr>
            <w:webHidden/>
          </w:rPr>
          <w:fldChar w:fldCharType="begin"/>
        </w:r>
        <w:r w:rsidRPr="00DA6215">
          <w:rPr>
            <w:webHidden/>
          </w:rPr>
          <w:instrText xml:space="preserve"> PAGEREF _Toc189044365 \h </w:instrText>
        </w:r>
        <w:r w:rsidRPr="00DA6215">
          <w:rPr>
            <w:webHidden/>
          </w:rPr>
        </w:r>
        <w:r w:rsidRPr="00DA6215">
          <w:rPr>
            <w:webHidden/>
          </w:rPr>
          <w:fldChar w:fldCharType="separate"/>
        </w:r>
        <w:r w:rsidR="00DD0A69">
          <w:rPr>
            <w:webHidden/>
          </w:rPr>
          <w:t>6-140</w:t>
        </w:r>
        <w:r w:rsidRPr="00DA6215">
          <w:rPr>
            <w:webHidden/>
          </w:rPr>
          <w:fldChar w:fldCharType="end"/>
        </w:r>
      </w:hyperlink>
    </w:p>
    <w:p w14:paraId="5803BA0A" w14:textId="0A837113" w:rsidR="00DA6215" w:rsidRPr="00DA6215" w:rsidRDefault="00DA6215">
      <w:pPr>
        <w:pStyle w:val="TOC5"/>
        <w:rPr>
          <w:rFonts w:eastAsiaTheme="minorEastAsia"/>
          <w:i w:val="0"/>
          <w:kern w:val="2"/>
          <w:sz w:val="20"/>
          <w:szCs w:val="20"/>
          <w14:ligatures w14:val="standardContextual"/>
        </w:rPr>
      </w:pPr>
      <w:hyperlink w:anchor="_Toc189044366" w:history="1">
        <w:r w:rsidRPr="00DA6215">
          <w:rPr>
            <w:rStyle w:val="Hyperlink"/>
            <w:i w:val="0"/>
            <w:sz w:val="20"/>
            <w:szCs w:val="20"/>
            <w:u w:val="none"/>
          </w:rPr>
          <w:t>6.5.7.6.1</w:t>
        </w:r>
        <w:r w:rsidRPr="00DA6215">
          <w:rPr>
            <w:rFonts w:eastAsiaTheme="minorEastAsia"/>
            <w:i w:val="0"/>
            <w:kern w:val="2"/>
            <w:sz w:val="20"/>
            <w:szCs w:val="20"/>
            <w14:ligatures w14:val="standardContextual"/>
          </w:rPr>
          <w:tab/>
        </w:r>
        <w:r w:rsidRPr="00DA6215">
          <w:rPr>
            <w:rStyle w:val="Hyperlink"/>
            <w:i w:val="0"/>
            <w:sz w:val="20"/>
            <w:szCs w:val="20"/>
            <w:u w:val="none"/>
          </w:rPr>
          <w:t>LFC Process Description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_Toc189044366 \h </w:instrText>
        </w:r>
        <w:r w:rsidRPr="00DA6215">
          <w:rPr>
            <w:i w:val="0"/>
            <w:webHidden/>
            <w:sz w:val="20"/>
            <w:szCs w:val="20"/>
          </w:rPr>
        </w:r>
        <w:r w:rsidRPr="00DA6215">
          <w:rPr>
            <w:i w:val="0"/>
            <w:webHidden/>
            <w:sz w:val="20"/>
            <w:szCs w:val="20"/>
          </w:rPr>
          <w:fldChar w:fldCharType="separate"/>
        </w:r>
        <w:r w:rsidR="00DD0A69">
          <w:rPr>
            <w:i w:val="0"/>
            <w:webHidden/>
            <w:sz w:val="20"/>
            <w:szCs w:val="20"/>
          </w:rPr>
          <w:t>6-140</w:t>
        </w:r>
        <w:r w:rsidRPr="00DA6215">
          <w:rPr>
            <w:i w:val="0"/>
            <w:webHidden/>
            <w:sz w:val="20"/>
            <w:szCs w:val="20"/>
          </w:rPr>
          <w:fldChar w:fldCharType="end"/>
        </w:r>
      </w:hyperlink>
    </w:p>
    <w:p w14:paraId="220508FF" w14:textId="7751445F" w:rsidR="00DA6215" w:rsidRPr="00DA6215" w:rsidRDefault="00DA6215">
      <w:pPr>
        <w:pStyle w:val="TOC5"/>
        <w:rPr>
          <w:rFonts w:eastAsiaTheme="minorEastAsia"/>
          <w:i w:val="0"/>
          <w:kern w:val="2"/>
          <w:sz w:val="20"/>
          <w:szCs w:val="20"/>
          <w14:ligatures w14:val="standardContextual"/>
        </w:rPr>
      </w:pPr>
      <w:hyperlink w:anchor="_Toc189044367" w:history="1">
        <w:r w:rsidRPr="00DA6215">
          <w:rPr>
            <w:rStyle w:val="Hyperlink"/>
            <w:i w:val="0"/>
            <w:sz w:val="20"/>
            <w:szCs w:val="20"/>
            <w:u w:val="none"/>
          </w:rPr>
          <w:t>6.5.7.6.1</w:t>
        </w:r>
        <w:r w:rsidRPr="00DA6215">
          <w:rPr>
            <w:rFonts w:eastAsiaTheme="minorEastAsia"/>
            <w:i w:val="0"/>
            <w:kern w:val="2"/>
            <w:sz w:val="20"/>
            <w:szCs w:val="20"/>
            <w14:ligatures w14:val="standardContextual"/>
          </w:rPr>
          <w:tab/>
        </w:r>
        <w:r w:rsidRPr="00DA6215">
          <w:rPr>
            <w:rStyle w:val="Hyperlink"/>
            <w:i w:val="0"/>
            <w:sz w:val="20"/>
            <w:szCs w:val="20"/>
            <w:u w:val="none"/>
          </w:rPr>
          <w:t>LFC Process Description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_Toc189044367 \h </w:instrText>
        </w:r>
        <w:r w:rsidRPr="00DA6215">
          <w:rPr>
            <w:i w:val="0"/>
            <w:webHidden/>
            <w:sz w:val="20"/>
            <w:szCs w:val="20"/>
          </w:rPr>
        </w:r>
        <w:r w:rsidRPr="00DA6215">
          <w:rPr>
            <w:i w:val="0"/>
            <w:webHidden/>
            <w:sz w:val="20"/>
            <w:szCs w:val="20"/>
          </w:rPr>
          <w:fldChar w:fldCharType="separate"/>
        </w:r>
        <w:r w:rsidR="00DD0A69">
          <w:rPr>
            <w:i w:val="0"/>
            <w:webHidden/>
            <w:sz w:val="20"/>
            <w:szCs w:val="20"/>
          </w:rPr>
          <w:t>6-142</w:t>
        </w:r>
        <w:r w:rsidRPr="00DA6215">
          <w:rPr>
            <w:i w:val="0"/>
            <w:webHidden/>
            <w:sz w:val="20"/>
            <w:szCs w:val="20"/>
          </w:rPr>
          <w:fldChar w:fldCharType="end"/>
        </w:r>
      </w:hyperlink>
    </w:p>
    <w:p w14:paraId="3636DFAD" w14:textId="607DC277" w:rsidR="00DA6215" w:rsidRPr="00DA6215" w:rsidRDefault="00DA6215">
      <w:pPr>
        <w:pStyle w:val="TOC5"/>
        <w:rPr>
          <w:rFonts w:eastAsiaTheme="minorEastAsia"/>
          <w:i w:val="0"/>
          <w:kern w:val="2"/>
          <w:sz w:val="20"/>
          <w:szCs w:val="20"/>
          <w14:ligatures w14:val="standardContextual"/>
        </w:rPr>
      </w:pPr>
      <w:hyperlink w:anchor="_Toc189044368" w:history="1">
        <w:r w:rsidRPr="00DA6215">
          <w:rPr>
            <w:rStyle w:val="Hyperlink"/>
            <w:i w:val="0"/>
            <w:sz w:val="20"/>
            <w:szCs w:val="20"/>
            <w:u w:val="none"/>
          </w:rPr>
          <w:t>6.5.7.6.2</w:t>
        </w:r>
        <w:r w:rsidRPr="00DA6215">
          <w:rPr>
            <w:rFonts w:eastAsiaTheme="minorEastAsia"/>
            <w:i w:val="0"/>
            <w:kern w:val="2"/>
            <w:sz w:val="20"/>
            <w:szCs w:val="20"/>
            <w14:ligatures w14:val="standardContextual"/>
          </w:rPr>
          <w:tab/>
        </w:r>
        <w:r w:rsidRPr="00DA6215">
          <w:rPr>
            <w:rStyle w:val="Hyperlink"/>
            <w:i w:val="0"/>
            <w:sz w:val="20"/>
            <w:szCs w:val="20"/>
            <w:u w:val="none"/>
          </w:rPr>
          <w:t>LFC Deployment</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_Toc189044368 \h </w:instrText>
        </w:r>
        <w:r w:rsidRPr="00DA6215">
          <w:rPr>
            <w:i w:val="0"/>
            <w:webHidden/>
            <w:sz w:val="20"/>
            <w:szCs w:val="20"/>
          </w:rPr>
        </w:r>
        <w:r w:rsidRPr="00DA6215">
          <w:rPr>
            <w:i w:val="0"/>
            <w:webHidden/>
            <w:sz w:val="20"/>
            <w:szCs w:val="20"/>
          </w:rPr>
          <w:fldChar w:fldCharType="separate"/>
        </w:r>
        <w:r w:rsidR="00DD0A69">
          <w:rPr>
            <w:i w:val="0"/>
            <w:webHidden/>
            <w:sz w:val="20"/>
            <w:szCs w:val="20"/>
          </w:rPr>
          <w:t>6-143</w:t>
        </w:r>
        <w:r w:rsidRPr="00DA6215">
          <w:rPr>
            <w:i w:val="0"/>
            <w:webHidden/>
            <w:sz w:val="20"/>
            <w:szCs w:val="20"/>
          </w:rPr>
          <w:fldChar w:fldCharType="end"/>
        </w:r>
      </w:hyperlink>
    </w:p>
    <w:p w14:paraId="722FBCCC" w14:textId="46DCD350" w:rsidR="00DA6215" w:rsidRPr="00DA6215" w:rsidRDefault="00DA6215">
      <w:pPr>
        <w:pStyle w:val="TOC4"/>
        <w:rPr>
          <w:rFonts w:eastAsiaTheme="minorEastAsia"/>
          <w:kern w:val="2"/>
          <w:lang w:val="en-US"/>
          <w14:ligatures w14:val="standardContextual"/>
        </w:rPr>
      </w:pPr>
      <w:hyperlink w:anchor="_Toc189044369" w:history="1">
        <w:r w:rsidRPr="00DA6215">
          <w:rPr>
            <w:rStyle w:val="Hyperlink"/>
            <w:u w:val="none"/>
          </w:rPr>
          <w:t>6.5.7.7</w:t>
        </w:r>
        <w:r w:rsidRPr="00DA6215">
          <w:rPr>
            <w:rFonts w:eastAsiaTheme="minorEastAsia"/>
            <w:kern w:val="2"/>
            <w:lang w:val="en-US"/>
            <w14:ligatures w14:val="standardContextual"/>
          </w:rPr>
          <w:tab/>
        </w:r>
        <w:r w:rsidRPr="00DA6215">
          <w:rPr>
            <w:rStyle w:val="Hyperlink"/>
            <w:u w:val="none"/>
          </w:rPr>
          <w:t>Voltage Support Service</w:t>
        </w:r>
        <w:r w:rsidRPr="00DA6215">
          <w:rPr>
            <w:webHidden/>
          </w:rPr>
          <w:tab/>
        </w:r>
        <w:r w:rsidRPr="00DA6215">
          <w:rPr>
            <w:webHidden/>
          </w:rPr>
          <w:fldChar w:fldCharType="begin"/>
        </w:r>
        <w:r w:rsidRPr="00DA6215">
          <w:rPr>
            <w:webHidden/>
          </w:rPr>
          <w:instrText xml:space="preserve"> PAGEREF _Toc189044369 \h </w:instrText>
        </w:r>
        <w:r w:rsidRPr="00DA6215">
          <w:rPr>
            <w:webHidden/>
          </w:rPr>
        </w:r>
        <w:r w:rsidRPr="00DA6215">
          <w:rPr>
            <w:webHidden/>
          </w:rPr>
          <w:fldChar w:fldCharType="separate"/>
        </w:r>
        <w:r w:rsidR="00DD0A69">
          <w:rPr>
            <w:webHidden/>
          </w:rPr>
          <w:t>6-157</w:t>
        </w:r>
        <w:r w:rsidRPr="00DA6215">
          <w:rPr>
            <w:webHidden/>
          </w:rPr>
          <w:fldChar w:fldCharType="end"/>
        </w:r>
      </w:hyperlink>
    </w:p>
    <w:p w14:paraId="2C6ACCDB" w14:textId="5137E9E3" w:rsidR="00DA6215" w:rsidRPr="00DA6215" w:rsidRDefault="00DA6215">
      <w:pPr>
        <w:pStyle w:val="TOC4"/>
        <w:rPr>
          <w:rFonts w:eastAsiaTheme="minorEastAsia"/>
          <w:kern w:val="2"/>
          <w:lang w:val="en-US"/>
          <w14:ligatures w14:val="standardContextual"/>
        </w:rPr>
      </w:pPr>
      <w:hyperlink w:anchor="_Toc189044370" w:history="1">
        <w:r w:rsidRPr="00DA6215">
          <w:rPr>
            <w:rStyle w:val="Hyperlink"/>
            <w:u w:val="none"/>
          </w:rPr>
          <w:t>6.5.7.8</w:t>
        </w:r>
        <w:r w:rsidRPr="00DA6215">
          <w:rPr>
            <w:rFonts w:eastAsiaTheme="minorEastAsia"/>
            <w:kern w:val="2"/>
            <w:lang w:val="en-US"/>
            <w14:ligatures w14:val="standardContextual"/>
          </w:rPr>
          <w:tab/>
        </w:r>
        <w:r w:rsidRPr="00DA6215">
          <w:rPr>
            <w:rStyle w:val="Hyperlink"/>
            <w:u w:val="none"/>
          </w:rPr>
          <w:t>Dispatch Procedures</w:t>
        </w:r>
        <w:r w:rsidRPr="00DA6215">
          <w:rPr>
            <w:webHidden/>
          </w:rPr>
          <w:tab/>
        </w:r>
        <w:r w:rsidRPr="00DA6215">
          <w:rPr>
            <w:webHidden/>
          </w:rPr>
          <w:fldChar w:fldCharType="begin"/>
        </w:r>
        <w:r w:rsidRPr="00DA6215">
          <w:rPr>
            <w:webHidden/>
          </w:rPr>
          <w:instrText xml:space="preserve"> PAGEREF _Toc189044370 \h </w:instrText>
        </w:r>
        <w:r w:rsidRPr="00DA6215">
          <w:rPr>
            <w:webHidden/>
          </w:rPr>
        </w:r>
        <w:r w:rsidRPr="00DA6215">
          <w:rPr>
            <w:webHidden/>
          </w:rPr>
          <w:fldChar w:fldCharType="separate"/>
        </w:r>
        <w:r w:rsidR="00DD0A69">
          <w:rPr>
            <w:webHidden/>
          </w:rPr>
          <w:t>6-158</w:t>
        </w:r>
        <w:r w:rsidRPr="00DA6215">
          <w:rPr>
            <w:webHidden/>
          </w:rPr>
          <w:fldChar w:fldCharType="end"/>
        </w:r>
      </w:hyperlink>
    </w:p>
    <w:p w14:paraId="1841B305" w14:textId="4645C432" w:rsidR="00DA6215" w:rsidRPr="00DA6215" w:rsidRDefault="00DA6215">
      <w:pPr>
        <w:pStyle w:val="TOC4"/>
        <w:rPr>
          <w:rFonts w:eastAsiaTheme="minorEastAsia"/>
          <w:kern w:val="2"/>
          <w:lang w:val="en-US"/>
          <w14:ligatures w14:val="standardContextual"/>
        </w:rPr>
      </w:pPr>
      <w:hyperlink w:anchor="_Toc189044371" w:history="1">
        <w:r w:rsidRPr="00DA6215">
          <w:rPr>
            <w:rStyle w:val="Hyperlink"/>
            <w:u w:val="none"/>
          </w:rPr>
          <w:t>6.5.7.9</w:t>
        </w:r>
        <w:r w:rsidRPr="00DA6215">
          <w:rPr>
            <w:rFonts w:eastAsiaTheme="minorEastAsia"/>
            <w:kern w:val="2"/>
            <w:lang w:val="en-US"/>
            <w14:ligatures w14:val="standardContextual"/>
          </w:rPr>
          <w:tab/>
        </w:r>
        <w:r w:rsidRPr="00DA6215">
          <w:rPr>
            <w:rStyle w:val="Hyperlink"/>
            <w:u w:val="none"/>
          </w:rPr>
          <w:t>Compliance with Dispatch Instructions</w:t>
        </w:r>
        <w:r w:rsidRPr="00DA6215">
          <w:rPr>
            <w:webHidden/>
          </w:rPr>
          <w:tab/>
        </w:r>
        <w:r w:rsidRPr="00DA6215">
          <w:rPr>
            <w:webHidden/>
          </w:rPr>
          <w:fldChar w:fldCharType="begin"/>
        </w:r>
        <w:r w:rsidRPr="00DA6215">
          <w:rPr>
            <w:webHidden/>
          </w:rPr>
          <w:instrText xml:space="preserve"> PAGEREF _Toc189044371 \h </w:instrText>
        </w:r>
        <w:r w:rsidRPr="00DA6215">
          <w:rPr>
            <w:webHidden/>
          </w:rPr>
        </w:r>
        <w:r w:rsidRPr="00DA6215">
          <w:rPr>
            <w:webHidden/>
          </w:rPr>
          <w:fldChar w:fldCharType="separate"/>
        </w:r>
        <w:r w:rsidR="00DD0A69">
          <w:rPr>
            <w:webHidden/>
          </w:rPr>
          <w:t>6-160</w:t>
        </w:r>
        <w:r w:rsidRPr="00DA6215">
          <w:rPr>
            <w:webHidden/>
          </w:rPr>
          <w:fldChar w:fldCharType="end"/>
        </w:r>
      </w:hyperlink>
    </w:p>
    <w:p w14:paraId="2B7D88E8" w14:textId="58EA4FE0" w:rsidR="00DA6215" w:rsidRPr="00DA6215" w:rsidRDefault="00DA6215">
      <w:pPr>
        <w:pStyle w:val="TOC4"/>
        <w:rPr>
          <w:rFonts w:eastAsiaTheme="minorEastAsia"/>
          <w:kern w:val="2"/>
          <w:lang w:val="en-US"/>
          <w14:ligatures w14:val="standardContextual"/>
        </w:rPr>
      </w:pPr>
      <w:hyperlink w:anchor="_Toc189044372" w:history="1">
        <w:r w:rsidRPr="00DA6215">
          <w:rPr>
            <w:rStyle w:val="Hyperlink"/>
            <w:u w:val="none"/>
          </w:rPr>
          <w:t>6.5.7.10</w:t>
        </w:r>
        <w:r w:rsidRPr="00DA6215">
          <w:rPr>
            <w:rFonts w:eastAsiaTheme="minorEastAsia"/>
            <w:kern w:val="2"/>
            <w:lang w:val="en-US"/>
            <w14:ligatures w14:val="standardContextual"/>
          </w:rPr>
          <w:tab/>
        </w:r>
        <w:r w:rsidRPr="00DA6215">
          <w:rPr>
            <w:rStyle w:val="Hyperlink"/>
            <w:u w:val="none"/>
          </w:rPr>
          <w:t>IRR Ramp Rate Limitations</w:t>
        </w:r>
        <w:r w:rsidRPr="00DA6215">
          <w:rPr>
            <w:webHidden/>
          </w:rPr>
          <w:tab/>
        </w:r>
        <w:r w:rsidRPr="00DA6215">
          <w:rPr>
            <w:webHidden/>
          </w:rPr>
          <w:fldChar w:fldCharType="begin"/>
        </w:r>
        <w:r w:rsidRPr="00DA6215">
          <w:rPr>
            <w:webHidden/>
          </w:rPr>
          <w:instrText xml:space="preserve"> PAGEREF _Toc189044372 \h </w:instrText>
        </w:r>
        <w:r w:rsidRPr="00DA6215">
          <w:rPr>
            <w:webHidden/>
          </w:rPr>
        </w:r>
        <w:r w:rsidRPr="00DA6215">
          <w:rPr>
            <w:webHidden/>
          </w:rPr>
          <w:fldChar w:fldCharType="separate"/>
        </w:r>
        <w:r w:rsidR="00DD0A69">
          <w:rPr>
            <w:webHidden/>
          </w:rPr>
          <w:t>6-162</w:t>
        </w:r>
        <w:r w:rsidRPr="00DA6215">
          <w:rPr>
            <w:webHidden/>
          </w:rPr>
          <w:fldChar w:fldCharType="end"/>
        </w:r>
      </w:hyperlink>
    </w:p>
    <w:p w14:paraId="09F9E7B4" w14:textId="7F16BC2F" w:rsidR="00DA6215" w:rsidRPr="00DA6215" w:rsidRDefault="00DA6215">
      <w:pPr>
        <w:pStyle w:val="TOC4"/>
        <w:rPr>
          <w:rFonts w:eastAsiaTheme="minorEastAsia"/>
          <w:kern w:val="2"/>
          <w:lang w:val="en-US"/>
          <w14:ligatures w14:val="standardContextual"/>
        </w:rPr>
      </w:pPr>
      <w:hyperlink w:anchor="_Toc189044373" w:history="1">
        <w:r w:rsidRPr="00DA6215">
          <w:rPr>
            <w:rStyle w:val="Hyperlink"/>
            <w:snapToGrid w:val="0"/>
            <w:u w:val="none"/>
          </w:rPr>
          <w:t>6.5.7.11</w:t>
        </w:r>
        <w:r w:rsidRPr="00DA6215">
          <w:rPr>
            <w:rFonts w:eastAsiaTheme="minorEastAsia"/>
            <w:kern w:val="2"/>
            <w:lang w:val="en-US"/>
            <w14:ligatures w14:val="standardContextual"/>
          </w:rPr>
          <w:tab/>
        </w:r>
        <w:r w:rsidRPr="00DA6215">
          <w:rPr>
            <w:rStyle w:val="Hyperlink"/>
            <w:snapToGrid w:val="0"/>
            <w:u w:val="none"/>
          </w:rPr>
          <w:t>DC-Coupled Resource Ramp Rate Limitations</w:t>
        </w:r>
        <w:r w:rsidRPr="00DA6215">
          <w:rPr>
            <w:webHidden/>
          </w:rPr>
          <w:tab/>
        </w:r>
        <w:r w:rsidRPr="00DA6215">
          <w:rPr>
            <w:webHidden/>
          </w:rPr>
          <w:fldChar w:fldCharType="begin"/>
        </w:r>
        <w:r w:rsidRPr="00DA6215">
          <w:rPr>
            <w:webHidden/>
          </w:rPr>
          <w:instrText xml:space="preserve"> PAGEREF _Toc189044373 \h </w:instrText>
        </w:r>
        <w:r w:rsidRPr="00DA6215">
          <w:rPr>
            <w:webHidden/>
          </w:rPr>
        </w:r>
        <w:r w:rsidRPr="00DA6215">
          <w:rPr>
            <w:webHidden/>
          </w:rPr>
          <w:fldChar w:fldCharType="separate"/>
        </w:r>
        <w:r w:rsidR="00DD0A69">
          <w:rPr>
            <w:webHidden/>
          </w:rPr>
          <w:t>6-163</w:t>
        </w:r>
        <w:r w:rsidRPr="00DA6215">
          <w:rPr>
            <w:webHidden/>
          </w:rPr>
          <w:fldChar w:fldCharType="end"/>
        </w:r>
      </w:hyperlink>
    </w:p>
    <w:p w14:paraId="533A9970" w14:textId="343C95E6" w:rsidR="00DA6215" w:rsidRPr="00DA6215" w:rsidRDefault="00DA6215">
      <w:pPr>
        <w:pStyle w:val="TOC3"/>
        <w:rPr>
          <w:rFonts w:eastAsiaTheme="minorEastAsia"/>
          <w:i w:val="0"/>
          <w:iCs w:val="0"/>
          <w:kern w:val="2"/>
          <w14:ligatures w14:val="standardContextual"/>
        </w:rPr>
      </w:pPr>
      <w:hyperlink w:anchor="_Toc189044374" w:history="1">
        <w:r w:rsidRPr="00DA6215">
          <w:rPr>
            <w:rStyle w:val="Hyperlink"/>
            <w:i w:val="0"/>
            <w:iCs w:val="0"/>
            <w:u w:val="none"/>
          </w:rPr>
          <w:t>6.5.8</w:t>
        </w:r>
        <w:r w:rsidRPr="00DA6215">
          <w:rPr>
            <w:rFonts w:eastAsiaTheme="minorEastAsia"/>
            <w:i w:val="0"/>
            <w:iCs w:val="0"/>
            <w:kern w:val="2"/>
            <w14:ligatures w14:val="standardContextual"/>
          </w:rPr>
          <w:tab/>
        </w:r>
        <w:r w:rsidRPr="00DA6215">
          <w:rPr>
            <w:rStyle w:val="Hyperlink"/>
            <w:i w:val="0"/>
            <w:iCs w:val="0"/>
            <w:u w:val="none"/>
          </w:rPr>
          <w:t>Verbal Dispatch Instruction Confirmation</w:t>
        </w:r>
        <w:r w:rsidRPr="00DA6215">
          <w:rPr>
            <w:i w:val="0"/>
            <w:iCs w:val="0"/>
            <w:webHidden/>
          </w:rPr>
          <w:tab/>
        </w:r>
        <w:r w:rsidRPr="00DA6215">
          <w:rPr>
            <w:i w:val="0"/>
            <w:iCs w:val="0"/>
            <w:webHidden/>
          </w:rPr>
          <w:fldChar w:fldCharType="begin"/>
        </w:r>
        <w:r w:rsidRPr="00DA6215">
          <w:rPr>
            <w:i w:val="0"/>
            <w:iCs w:val="0"/>
            <w:webHidden/>
          </w:rPr>
          <w:instrText xml:space="preserve"> PAGEREF _Toc189044374 \h </w:instrText>
        </w:r>
        <w:r w:rsidRPr="00DA6215">
          <w:rPr>
            <w:i w:val="0"/>
            <w:iCs w:val="0"/>
            <w:webHidden/>
          </w:rPr>
        </w:r>
        <w:r w:rsidRPr="00DA6215">
          <w:rPr>
            <w:i w:val="0"/>
            <w:iCs w:val="0"/>
            <w:webHidden/>
          </w:rPr>
          <w:fldChar w:fldCharType="separate"/>
        </w:r>
        <w:r w:rsidR="00DD0A69">
          <w:rPr>
            <w:i w:val="0"/>
            <w:iCs w:val="0"/>
            <w:webHidden/>
          </w:rPr>
          <w:t>6-163</w:t>
        </w:r>
        <w:r w:rsidRPr="00DA6215">
          <w:rPr>
            <w:i w:val="0"/>
            <w:iCs w:val="0"/>
            <w:webHidden/>
          </w:rPr>
          <w:fldChar w:fldCharType="end"/>
        </w:r>
      </w:hyperlink>
    </w:p>
    <w:p w14:paraId="0A1D4E9C" w14:textId="446A1833" w:rsidR="00DA6215" w:rsidRPr="00DA6215" w:rsidRDefault="00DA6215">
      <w:pPr>
        <w:pStyle w:val="TOC3"/>
        <w:rPr>
          <w:rFonts w:eastAsiaTheme="minorEastAsia"/>
          <w:i w:val="0"/>
          <w:iCs w:val="0"/>
          <w:kern w:val="2"/>
          <w14:ligatures w14:val="standardContextual"/>
        </w:rPr>
      </w:pPr>
      <w:hyperlink w:anchor="_Toc189044375" w:history="1">
        <w:r w:rsidRPr="00DA6215">
          <w:rPr>
            <w:rStyle w:val="Hyperlink"/>
            <w:i w:val="0"/>
            <w:iCs w:val="0"/>
            <w:u w:val="none"/>
          </w:rPr>
          <w:t>6.5.9</w:t>
        </w:r>
        <w:r w:rsidRPr="00DA6215">
          <w:rPr>
            <w:rFonts w:eastAsiaTheme="minorEastAsia"/>
            <w:i w:val="0"/>
            <w:iCs w:val="0"/>
            <w:kern w:val="2"/>
            <w14:ligatures w14:val="standardContextual"/>
          </w:rPr>
          <w:tab/>
        </w:r>
        <w:r w:rsidRPr="00DA6215">
          <w:rPr>
            <w:rStyle w:val="Hyperlink"/>
            <w:i w:val="0"/>
            <w:iCs w:val="0"/>
            <w:u w:val="none"/>
          </w:rPr>
          <w:t>Emergency Operations</w:t>
        </w:r>
        <w:r w:rsidRPr="00DA6215">
          <w:rPr>
            <w:i w:val="0"/>
            <w:iCs w:val="0"/>
            <w:webHidden/>
          </w:rPr>
          <w:tab/>
        </w:r>
        <w:r w:rsidRPr="00DA6215">
          <w:rPr>
            <w:i w:val="0"/>
            <w:iCs w:val="0"/>
            <w:webHidden/>
          </w:rPr>
          <w:fldChar w:fldCharType="begin"/>
        </w:r>
        <w:r w:rsidRPr="00DA6215">
          <w:rPr>
            <w:i w:val="0"/>
            <w:iCs w:val="0"/>
            <w:webHidden/>
          </w:rPr>
          <w:instrText xml:space="preserve"> PAGEREF _Toc189044375 \h </w:instrText>
        </w:r>
        <w:r w:rsidRPr="00DA6215">
          <w:rPr>
            <w:i w:val="0"/>
            <w:iCs w:val="0"/>
            <w:webHidden/>
          </w:rPr>
        </w:r>
        <w:r w:rsidRPr="00DA6215">
          <w:rPr>
            <w:i w:val="0"/>
            <w:iCs w:val="0"/>
            <w:webHidden/>
          </w:rPr>
          <w:fldChar w:fldCharType="separate"/>
        </w:r>
        <w:r w:rsidR="00DD0A69">
          <w:rPr>
            <w:i w:val="0"/>
            <w:iCs w:val="0"/>
            <w:webHidden/>
          </w:rPr>
          <w:t>6-164</w:t>
        </w:r>
        <w:r w:rsidRPr="00DA6215">
          <w:rPr>
            <w:i w:val="0"/>
            <w:iCs w:val="0"/>
            <w:webHidden/>
          </w:rPr>
          <w:fldChar w:fldCharType="end"/>
        </w:r>
      </w:hyperlink>
    </w:p>
    <w:p w14:paraId="215D5FE2" w14:textId="1DB3F5D6" w:rsidR="00DA6215" w:rsidRPr="00DA6215" w:rsidRDefault="00DA6215">
      <w:pPr>
        <w:pStyle w:val="TOC4"/>
        <w:rPr>
          <w:rFonts w:eastAsiaTheme="minorEastAsia"/>
          <w:kern w:val="2"/>
          <w:lang w:val="en-US"/>
          <w14:ligatures w14:val="standardContextual"/>
        </w:rPr>
      </w:pPr>
      <w:hyperlink w:anchor="_Toc189044376" w:history="1">
        <w:r w:rsidRPr="00DA6215">
          <w:rPr>
            <w:rStyle w:val="Hyperlink"/>
            <w:u w:val="none"/>
          </w:rPr>
          <w:t>6.5.9.1</w:t>
        </w:r>
        <w:r w:rsidRPr="00DA6215">
          <w:rPr>
            <w:rFonts w:eastAsiaTheme="minorEastAsia"/>
            <w:kern w:val="2"/>
            <w:lang w:val="en-US"/>
            <w14:ligatures w14:val="standardContextual"/>
          </w:rPr>
          <w:tab/>
        </w:r>
        <w:r w:rsidRPr="00DA6215">
          <w:rPr>
            <w:rStyle w:val="Hyperlink"/>
            <w:u w:val="none"/>
          </w:rPr>
          <w:t>Emergency and Short Supply Operation</w:t>
        </w:r>
        <w:r w:rsidRPr="00DA6215">
          <w:rPr>
            <w:webHidden/>
          </w:rPr>
          <w:tab/>
        </w:r>
        <w:r w:rsidRPr="00DA6215">
          <w:rPr>
            <w:webHidden/>
          </w:rPr>
          <w:fldChar w:fldCharType="begin"/>
        </w:r>
        <w:r w:rsidRPr="00DA6215">
          <w:rPr>
            <w:webHidden/>
          </w:rPr>
          <w:instrText xml:space="preserve"> PAGEREF _Toc189044376 \h </w:instrText>
        </w:r>
        <w:r w:rsidRPr="00DA6215">
          <w:rPr>
            <w:webHidden/>
          </w:rPr>
        </w:r>
        <w:r w:rsidRPr="00DA6215">
          <w:rPr>
            <w:webHidden/>
          </w:rPr>
          <w:fldChar w:fldCharType="separate"/>
        </w:r>
        <w:r w:rsidR="00DD0A69">
          <w:rPr>
            <w:webHidden/>
          </w:rPr>
          <w:t>6-165</w:t>
        </w:r>
        <w:r w:rsidRPr="00DA6215">
          <w:rPr>
            <w:webHidden/>
          </w:rPr>
          <w:fldChar w:fldCharType="end"/>
        </w:r>
      </w:hyperlink>
    </w:p>
    <w:p w14:paraId="16343732" w14:textId="568092A3" w:rsidR="00DA6215" w:rsidRPr="00DA6215" w:rsidRDefault="00DA6215">
      <w:pPr>
        <w:pStyle w:val="TOC4"/>
        <w:rPr>
          <w:rFonts w:eastAsiaTheme="minorEastAsia"/>
          <w:kern w:val="2"/>
          <w:lang w:val="en-US"/>
          <w14:ligatures w14:val="standardContextual"/>
        </w:rPr>
      </w:pPr>
      <w:hyperlink w:anchor="_Toc189044377" w:history="1">
        <w:r w:rsidRPr="00DA6215">
          <w:rPr>
            <w:rStyle w:val="Hyperlink"/>
            <w:u w:val="none"/>
          </w:rPr>
          <w:t>6.5.9.2</w:t>
        </w:r>
        <w:r w:rsidRPr="00DA6215">
          <w:rPr>
            <w:rFonts w:eastAsiaTheme="minorEastAsia"/>
            <w:kern w:val="2"/>
            <w:lang w:val="en-US"/>
            <w14:ligatures w14:val="standardContextual"/>
          </w:rPr>
          <w:tab/>
        </w:r>
        <w:r w:rsidRPr="00DA6215">
          <w:rPr>
            <w:rStyle w:val="Hyperlink"/>
            <w:u w:val="none"/>
          </w:rPr>
          <w:t>Failure of the SCED Process</w:t>
        </w:r>
        <w:r w:rsidRPr="00DA6215">
          <w:rPr>
            <w:webHidden/>
          </w:rPr>
          <w:tab/>
        </w:r>
        <w:r w:rsidRPr="00DA6215">
          <w:rPr>
            <w:webHidden/>
          </w:rPr>
          <w:fldChar w:fldCharType="begin"/>
        </w:r>
        <w:r w:rsidRPr="00DA6215">
          <w:rPr>
            <w:webHidden/>
          </w:rPr>
          <w:instrText xml:space="preserve"> PAGEREF _Toc189044377 \h </w:instrText>
        </w:r>
        <w:r w:rsidRPr="00DA6215">
          <w:rPr>
            <w:webHidden/>
          </w:rPr>
        </w:r>
        <w:r w:rsidRPr="00DA6215">
          <w:rPr>
            <w:webHidden/>
          </w:rPr>
          <w:fldChar w:fldCharType="separate"/>
        </w:r>
        <w:r w:rsidR="00DD0A69">
          <w:rPr>
            <w:webHidden/>
          </w:rPr>
          <w:t>6-165</w:t>
        </w:r>
        <w:r w:rsidRPr="00DA6215">
          <w:rPr>
            <w:webHidden/>
          </w:rPr>
          <w:fldChar w:fldCharType="end"/>
        </w:r>
      </w:hyperlink>
    </w:p>
    <w:p w14:paraId="6C3647B0" w14:textId="71BA1A0D" w:rsidR="00DA6215" w:rsidRPr="00DA6215" w:rsidRDefault="00DA6215">
      <w:pPr>
        <w:pStyle w:val="TOC4"/>
        <w:rPr>
          <w:rFonts w:eastAsiaTheme="minorEastAsia"/>
          <w:kern w:val="2"/>
          <w:lang w:val="en-US"/>
          <w14:ligatures w14:val="standardContextual"/>
        </w:rPr>
      </w:pPr>
      <w:hyperlink w:anchor="_Toc189044378" w:history="1">
        <w:r w:rsidRPr="00DA6215">
          <w:rPr>
            <w:rStyle w:val="Hyperlink"/>
            <w:u w:val="none"/>
          </w:rPr>
          <w:t>6.5.9.3</w:t>
        </w:r>
        <w:r w:rsidRPr="00DA6215">
          <w:rPr>
            <w:rFonts w:eastAsiaTheme="minorEastAsia"/>
            <w:kern w:val="2"/>
            <w:lang w:val="en-US"/>
            <w14:ligatures w14:val="standardContextual"/>
          </w:rPr>
          <w:tab/>
        </w:r>
        <w:r w:rsidRPr="00DA6215">
          <w:rPr>
            <w:rStyle w:val="Hyperlink"/>
            <w:u w:val="none"/>
          </w:rPr>
          <w:t>Communication Prior to and During Emergency Conditions</w:t>
        </w:r>
        <w:r w:rsidRPr="00DA6215">
          <w:rPr>
            <w:webHidden/>
          </w:rPr>
          <w:tab/>
        </w:r>
        <w:r w:rsidRPr="00DA6215">
          <w:rPr>
            <w:webHidden/>
          </w:rPr>
          <w:fldChar w:fldCharType="begin"/>
        </w:r>
        <w:r w:rsidRPr="00DA6215">
          <w:rPr>
            <w:webHidden/>
          </w:rPr>
          <w:instrText xml:space="preserve"> PAGEREF _Toc189044378 \h </w:instrText>
        </w:r>
        <w:r w:rsidRPr="00DA6215">
          <w:rPr>
            <w:webHidden/>
          </w:rPr>
        </w:r>
        <w:r w:rsidRPr="00DA6215">
          <w:rPr>
            <w:webHidden/>
          </w:rPr>
          <w:fldChar w:fldCharType="separate"/>
        </w:r>
        <w:r w:rsidR="00DD0A69">
          <w:rPr>
            <w:webHidden/>
          </w:rPr>
          <w:t>6-167</w:t>
        </w:r>
        <w:r w:rsidRPr="00DA6215">
          <w:rPr>
            <w:webHidden/>
          </w:rPr>
          <w:fldChar w:fldCharType="end"/>
        </w:r>
      </w:hyperlink>
    </w:p>
    <w:p w14:paraId="7969128F" w14:textId="1B830BC3" w:rsidR="00DA6215" w:rsidRPr="00DA6215" w:rsidRDefault="00DA6215">
      <w:pPr>
        <w:pStyle w:val="TOC5"/>
        <w:rPr>
          <w:rFonts w:eastAsiaTheme="minorEastAsia"/>
          <w:i w:val="0"/>
          <w:kern w:val="2"/>
          <w:sz w:val="20"/>
          <w:szCs w:val="20"/>
          <w14:ligatures w14:val="standardContextual"/>
        </w:rPr>
      </w:pPr>
      <w:hyperlink w:anchor="_Toc189044379" w:history="1">
        <w:r w:rsidRPr="00DA6215">
          <w:rPr>
            <w:rStyle w:val="Hyperlink"/>
            <w:i w:val="0"/>
            <w:sz w:val="20"/>
            <w:szCs w:val="20"/>
            <w:u w:val="none"/>
          </w:rPr>
          <w:t>6.5.9.3.1</w:t>
        </w:r>
        <w:r w:rsidRPr="00DA6215">
          <w:rPr>
            <w:rFonts w:eastAsiaTheme="minorEastAsia"/>
            <w:i w:val="0"/>
            <w:kern w:val="2"/>
            <w:sz w:val="20"/>
            <w:szCs w:val="20"/>
            <w14:ligatures w14:val="standardContextual"/>
          </w:rPr>
          <w:tab/>
        </w:r>
        <w:r w:rsidRPr="00DA6215">
          <w:rPr>
            <w:rStyle w:val="Hyperlink"/>
            <w:i w:val="0"/>
            <w:sz w:val="20"/>
            <w:szCs w:val="20"/>
            <w:u w:val="none"/>
          </w:rPr>
          <w:t>Operating Condition Notice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_Toc189044379 \h </w:instrText>
        </w:r>
        <w:r w:rsidRPr="00DA6215">
          <w:rPr>
            <w:i w:val="0"/>
            <w:webHidden/>
            <w:sz w:val="20"/>
            <w:szCs w:val="20"/>
          </w:rPr>
        </w:r>
        <w:r w:rsidRPr="00DA6215">
          <w:rPr>
            <w:i w:val="0"/>
            <w:webHidden/>
            <w:sz w:val="20"/>
            <w:szCs w:val="20"/>
          </w:rPr>
          <w:fldChar w:fldCharType="separate"/>
        </w:r>
        <w:r w:rsidR="00DD0A69">
          <w:rPr>
            <w:i w:val="0"/>
            <w:webHidden/>
            <w:sz w:val="20"/>
            <w:szCs w:val="20"/>
          </w:rPr>
          <w:t>6-168</w:t>
        </w:r>
        <w:r w:rsidRPr="00DA6215">
          <w:rPr>
            <w:i w:val="0"/>
            <w:webHidden/>
            <w:sz w:val="20"/>
            <w:szCs w:val="20"/>
          </w:rPr>
          <w:fldChar w:fldCharType="end"/>
        </w:r>
      </w:hyperlink>
    </w:p>
    <w:p w14:paraId="4EFA003E" w14:textId="0DBA8800" w:rsidR="00DA6215" w:rsidRPr="00DA6215" w:rsidRDefault="00DA6215">
      <w:pPr>
        <w:pStyle w:val="TOC5"/>
        <w:rPr>
          <w:rFonts w:eastAsiaTheme="minorEastAsia"/>
          <w:i w:val="0"/>
          <w:kern w:val="2"/>
          <w:sz w:val="20"/>
          <w:szCs w:val="20"/>
          <w14:ligatures w14:val="standardContextual"/>
        </w:rPr>
      </w:pPr>
      <w:hyperlink w:anchor="_Toc189044380" w:history="1">
        <w:r w:rsidRPr="00DA6215">
          <w:rPr>
            <w:rStyle w:val="Hyperlink"/>
            <w:i w:val="0"/>
            <w:sz w:val="20"/>
            <w:szCs w:val="20"/>
            <w:u w:val="none"/>
          </w:rPr>
          <w:t>6.5.9.3.1.1</w:t>
        </w:r>
        <w:r w:rsidRPr="00DA6215">
          <w:rPr>
            <w:rFonts w:eastAsiaTheme="minorEastAsia"/>
            <w:i w:val="0"/>
            <w:kern w:val="2"/>
            <w:sz w:val="20"/>
            <w:szCs w:val="20"/>
            <w14:ligatures w14:val="standardContextual"/>
          </w:rPr>
          <w:tab/>
        </w:r>
        <w:r w:rsidRPr="00DA6215">
          <w:rPr>
            <w:rStyle w:val="Hyperlink"/>
            <w:i w:val="0"/>
            <w:sz w:val="20"/>
            <w:szCs w:val="20"/>
            <w:u w:val="none"/>
          </w:rPr>
          <w:t>Advance Action Notice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_Toc189044380 \h </w:instrText>
        </w:r>
        <w:r w:rsidRPr="00DA6215">
          <w:rPr>
            <w:i w:val="0"/>
            <w:webHidden/>
            <w:sz w:val="20"/>
            <w:szCs w:val="20"/>
          </w:rPr>
        </w:r>
        <w:r w:rsidRPr="00DA6215">
          <w:rPr>
            <w:i w:val="0"/>
            <w:webHidden/>
            <w:sz w:val="20"/>
            <w:szCs w:val="20"/>
          </w:rPr>
          <w:fldChar w:fldCharType="separate"/>
        </w:r>
        <w:r w:rsidR="00DD0A69">
          <w:rPr>
            <w:i w:val="0"/>
            <w:webHidden/>
            <w:sz w:val="20"/>
            <w:szCs w:val="20"/>
          </w:rPr>
          <w:t>6-170</w:t>
        </w:r>
        <w:r w:rsidRPr="00DA6215">
          <w:rPr>
            <w:i w:val="0"/>
            <w:webHidden/>
            <w:sz w:val="20"/>
            <w:szCs w:val="20"/>
          </w:rPr>
          <w:fldChar w:fldCharType="end"/>
        </w:r>
      </w:hyperlink>
    </w:p>
    <w:p w14:paraId="67E833F2" w14:textId="568FBE5D" w:rsidR="00DA6215" w:rsidRPr="00DA6215" w:rsidRDefault="00DA6215">
      <w:pPr>
        <w:pStyle w:val="TOC5"/>
        <w:rPr>
          <w:rFonts w:eastAsiaTheme="minorEastAsia"/>
          <w:i w:val="0"/>
          <w:kern w:val="2"/>
          <w:sz w:val="20"/>
          <w:szCs w:val="20"/>
          <w14:ligatures w14:val="standardContextual"/>
        </w:rPr>
      </w:pPr>
      <w:hyperlink w:anchor="_Toc189044381" w:history="1">
        <w:r w:rsidRPr="00DA6215">
          <w:rPr>
            <w:rStyle w:val="Hyperlink"/>
            <w:i w:val="0"/>
            <w:sz w:val="20"/>
            <w:szCs w:val="20"/>
            <w:u w:val="none"/>
          </w:rPr>
          <w:t>6.5.9.3.2</w:t>
        </w:r>
        <w:r w:rsidRPr="00DA6215">
          <w:rPr>
            <w:rFonts w:eastAsiaTheme="minorEastAsia"/>
            <w:i w:val="0"/>
            <w:kern w:val="2"/>
            <w:sz w:val="20"/>
            <w:szCs w:val="20"/>
            <w14:ligatures w14:val="standardContextual"/>
          </w:rPr>
          <w:tab/>
        </w:r>
        <w:r w:rsidRPr="00DA6215">
          <w:rPr>
            <w:rStyle w:val="Hyperlink"/>
            <w:i w:val="0"/>
            <w:sz w:val="20"/>
            <w:szCs w:val="20"/>
            <w:u w:val="none"/>
          </w:rPr>
          <w:t>Advisory</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_Toc189044381 \h </w:instrText>
        </w:r>
        <w:r w:rsidRPr="00DA6215">
          <w:rPr>
            <w:i w:val="0"/>
            <w:webHidden/>
            <w:sz w:val="20"/>
            <w:szCs w:val="20"/>
          </w:rPr>
        </w:r>
        <w:r w:rsidRPr="00DA6215">
          <w:rPr>
            <w:i w:val="0"/>
            <w:webHidden/>
            <w:sz w:val="20"/>
            <w:szCs w:val="20"/>
          </w:rPr>
          <w:fldChar w:fldCharType="separate"/>
        </w:r>
        <w:r w:rsidR="00DD0A69">
          <w:rPr>
            <w:i w:val="0"/>
            <w:webHidden/>
            <w:sz w:val="20"/>
            <w:szCs w:val="20"/>
          </w:rPr>
          <w:t>6-171</w:t>
        </w:r>
        <w:r w:rsidRPr="00DA6215">
          <w:rPr>
            <w:i w:val="0"/>
            <w:webHidden/>
            <w:sz w:val="20"/>
            <w:szCs w:val="20"/>
          </w:rPr>
          <w:fldChar w:fldCharType="end"/>
        </w:r>
      </w:hyperlink>
    </w:p>
    <w:p w14:paraId="521DBA8E" w14:textId="0BC13DA8" w:rsidR="00DA6215" w:rsidRPr="00DA6215" w:rsidRDefault="00DA6215">
      <w:pPr>
        <w:pStyle w:val="TOC5"/>
        <w:rPr>
          <w:rFonts w:eastAsiaTheme="minorEastAsia"/>
          <w:i w:val="0"/>
          <w:kern w:val="2"/>
          <w:sz w:val="20"/>
          <w:szCs w:val="20"/>
          <w14:ligatures w14:val="standardContextual"/>
        </w:rPr>
      </w:pPr>
      <w:hyperlink w:anchor="_Toc189044382" w:history="1">
        <w:r w:rsidRPr="00DA6215">
          <w:rPr>
            <w:rStyle w:val="Hyperlink"/>
            <w:i w:val="0"/>
            <w:sz w:val="20"/>
            <w:szCs w:val="20"/>
            <w:u w:val="none"/>
          </w:rPr>
          <w:t>6.5.9.3.3</w:t>
        </w:r>
        <w:r w:rsidRPr="00DA6215">
          <w:rPr>
            <w:rFonts w:eastAsiaTheme="minorEastAsia"/>
            <w:i w:val="0"/>
            <w:kern w:val="2"/>
            <w:sz w:val="20"/>
            <w:szCs w:val="20"/>
            <w14:ligatures w14:val="standardContextual"/>
          </w:rPr>
          <w:tab/>
        </w:r>
        <w:r w:rsidRPr="00DA6215">
          <w:rPr>
            <w:rStyle w:val="Hyperlink"/>
            <w:i w:val="0"/>
            <w:sz w:val="20"/>
            <w:szCs w:val="20"/>
            <w:u w:val="none"/>
          </w:rPr>
          <w:t>Watch</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_Toc189044382 \h </w:instrText>
        </w:r>
        <w:r w:rsidRPr="00DA6215">
          <w:rPr>
            <w:i w:val="0"/>
            <w:webHidden/>
            <w:sz w:val="20"/>
            <w:szCs w:val="20"/>
          </w:rPr>
        </w:r>
        <w:r w:rsidRPr="00DA6215">
          <w:rPr>
            <w:i w:val="0"/>
            <w:webHidden/>
            <w:sz w:val="20"/>
            <w:szCs w:val="20"/>
          </w:rPr>
          <w:fldChar w:fldCharType="separate"/>
        </w:r>
        <w:r w:rsidR="00DD0A69">
          <w:rPr>
            <w:i w:val="0"/>
            <w:webHidden/>
            <w:sz w:val="20"/>
            <w:szCs w:val="20"/>
          </w:rPr>
          <w:t>6-172</w:t>
        </w:r>
        <w:r w:rsidRPr="00DA6215">
          <w:rPr>
            <w:i w:val="0"/>
            <w:webHidden/>
            <w:sz w:val="20"/>
            <w:szCs w:val="20"/>
          </w:rPr>
          <w:fldChar w:fldCharType="end"/>
        </w:r>
      </w:hyperlink>
    </w:p>
    <w:p w14:paraId="598ACC26" w14:textId="4794DEC5" w:rsidR="00DA6215" w:rsidRPr="00DA6215" w:rsidRDefault="00DA6215">
      <w:pPr>
        <w:pStyle w:val="TOC5"/>
        <w:rPr>
          <w:rFonts w:eastAsiaTheme="minorEastAsia"/>
          <w:i w:val="0"/>
          <w:kern w:val="2"/>
          <w:sz w:val="20"/>
          <w:szCs w:val="20"/>
          <w14:ligatures w14:val="standardContextual"/>
        </w:rPr>
      </w:pPr>
      <w:hyperlink w:anchor="_Toc189044383" w:history="1">
        <w:r w:rsidRPr="00DA6215">
          <w:rPr>
            <w:rStyle w:val="Hyperlink"/>
            <w:i w:val="0"/>
            <w:sz w:val="20"/>
            <w:szCs w:val="20"/>
            <w:u w:val="none"/>
          </w:rPr>
          <w:t>6.5.9.3.4</w:t>
        </w:r>
        <w:r w:rsidRPr="00DA6215">
          <w:rPr>
            <w:rFonts w:eastAsiaTheme="minorEastAsia"/>
            <w:i w:val="0"/>
            <w:kern w:val="2"/>
            <w:sz w:val="20"/>
            <w:szCs w:val="20"/>
            <w14:ligatures w14:val="standardContextual"/>
          </w:rPr>
          <w:tab/>
        </w:r>
        <w:r w:rsidRPr="00DA6215">
          <w:rPr>
            <w:rStyle w:val="Hyperlink"/>
            <w:i w:val="0"/>
            <w:sz w:val="20"/>
            <w:szCs w:val="20"/>
            <w:u w:val="none"/>
          </w:rPr>
          <w:t>Emergency Notice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_Toc189044383 \h </w:instrText>
        </w:r>
        <w:r w:rsidRPr="00DA6215">
          <w:rPr>
            <w:i w:val="0"/>
            <w:webHidden/>
            <w:sz w:val="20"/>
            <w:szCs w:val="20"/>
          </w:rPr>
        </w:r>
        <w:r w:rsidRPr="00DA6215">
          <w:rPr>
            <w:i w:val="0"/>
            <w:webHidden/>
            <w:sz w:val="20"/>
            <w:szCs w:val="20"/>
          </w:rPr>
          <w:fldChar w:fldCharType="separate"/>
        </w:r>
        <w:r w:rsidR="00DD0A69">
          <w:rPr>
            <w:i w:val="0"/>
            <w:webHidden/>
            <w:sz w:val="20"/>
            <w:szCs w:val="20"/>
          </w:rPr>
          <w:t>6-175</w:t>
        </w:r>
        <w:r w:rsidRPr="00DA6215">
          <w:rPr>
            <w:i w:val="0"/>
            <w:webHidden/>
            <w:sz w:val="20"/>
            <w:szCs w:val="20"/>
          </w:rPr>
          <w:fldChar w:fldCharType="end"/>
        </w:r>
      </w:hyperlink>
    </w:p>
    <w:p w14:paraId="3CC6C398" w14:textId="1996DEC4" w:rsidR="00DA6215" w:rsidRPr="00DA6215" w:rsidRDefault="00DA6215">
      <w:pPr>
        <w:pStyle w:val="TOC4"/>
        <w:rPr>
          <w:rFonts w:eastAsiaTheme="minorEastAsia"/>
          <w:kern w:val="2"/>
          <w:lang w:val="en-US"/>
          <w14:ligatures w14:val="standardContextual"/>
        </w:rPr>
      </w:pPr>
      <w:hyperlink w:anchor="_Toc189044384" w:history="1">
        <w:r w:rsidRPr="00DA6215">
          <w:rPr>
            <w:rStyle w:val="Hyperlink"/>
            <w:u w:val="none"/>
          </w:rPr>
          <w:t>6.5.9.4</w:t>
        </w:r>
        <w:r w:rsidRPr="00DA6215">
          <w:rPr>
            <w:rFonts w:eastAsiaTheme="minorEastAsia"/>
            <w:kern w:val="2"/>
            <w:lang w:val="en-US"/>
            <w14:ligatures w14:val="standardContextual"/>
          </w:rPr>
          <w:tab/>
        </w:r>
        <w:r w:rsidRPr="00DA6215">
          <w:rPr>
            <w:rStyle w:val="Hyperlink"/>
            <w:u w:val="none"/>
          </w:rPr>
          <w:t>Energy Emergency Alert</w:t>
        </w:r>
        <w:r w:rsidRPr="00DA6215">
          <w:rPr>
            <w:webHidden/>
          </w:rPr>
          <w:tab/>
        </w:r>
        <w:r w:rsidRPr="00DA6215">
          <w:rPr>
            <w:webHidden/>
          </w:rPr>
          <w:fldChar w:fldCharType="begin"/>
        </w:r>
        <w:r w:rsidRPr="00DA6215">
          <w:rPr>
            <w:webHidden/>
          </w:rPr>
          <w:instrText xml:space="preserve"> PAGEREF _Toc189044384 \h </w:instrText>
        </w:r>
        <w:r w:rsidRPr="00DA6215">
          <w:rPr>
            <w:webHidden/>
          </w:rPr>
        </w:r>
        <w:r w:rsidRPr="00DA6215">
          <w:rPr>
            <w:webHidden/>
          </w:rPr>
          <w:fldChar w:fldCharType="separate"/>
        </w:r>
        <w:r w:rsidR="00DD0A69">
          <w:rPr>
            <w:webHidden/>
          </w:rPr>
          <w:t>6-176</w:t>
        </w:r>
        <w:r w:rsidRPr="00DA6215">
          <w:rPr>
            <w:webHidden/>
          </w:rPr>
          <w:fldChar w:fldCharType="end"/>
        </w:r>
      </w:hyperlink>
    </w:p>
    <w:p w14:paraId="304A6660" w14:textId="2A98470A" w:rsidR="00DA6215" w:rsidRPr="00DA6215" w:rsidRDefault="00DA6215">
      <w:pPr>
        <w:pStyle w:val="TOC5"/>
        <w:rPr>
          <w:rFonts w:eastAsiaTheme="minorEastAsia"/>
          <w:i w:val="0"/>
          <w:kern w:val="2"/>
          <w:sz w:val="20"/>
          <w:szCs w:val="20"/>
          <w14:ligatures w14:val="standardContextual"/>
        </w:rPr>
      </w:pPr>
      <w:hyperlink w:anchor="_Toc189044385" w:history="1">
        <w:r w:rsidRPr="00DA6215">
          <w:rPr>
            <w:rStyle w:val="Hyperlink"/>
            <w:i w:val="0"/>
            <w:sz w:val="20"/>
            <w:szCs w:val="20"/>
            <w:u w:val="none"/>
          </w:rPr>
          <w:t>6.5.9.4.1</w:t>
        </w:r>
        <w:r w:rsidRPr="00DA6215">
          <w:rPr>
            <w:rFonts w:eastAsiaTheme="minorEastAsia"/>
            <w:i w:val="0"/>
            <w:kern w:val="2"/>
            <w:sz w:val="20"/>
            <w:szCs w:val="20"/>
            <w14:ligatures w14:val="standardContextual"/>
          </w:rPr>
          <w:tab/>
        </w:r>
        <w:r w:rsidRPr="00DA6215">
          <w:rPr>
            <w:rStyle w:val="Hyperlink"/>
            <w:i w:val="0"/>
            <w:sz w:val="20"/>
            <w:szCs w:val="20"/>
            <w:u w:val="none"/>
          </w:rPr>
          <w:t>General Procedures Prior to EEA Operations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_Toc189044385 \h </w:instrText>
        </w:r>
        <w:r w:rsidRPr="00DA6215">
          <w:rPr>
            <w:i w:val="0"/>
            <w:webHidden/>
            <w:sz w:val="20"/>
            <w:szCs w:val="20"/>
          </w:rPr>
        </w:r>
        <w:r w:rsidRPr="00DA6215">
          <w:rPr>
            <w:i w:val="0"/>
            <w:webHidden/>
            <w:sz w:val="20"/>
            <w:szCs w:val="20"/>
          </w:rPr>
          <w:fldChar w:fldCharType="separate"/>
        </w:r>
        <w:r w:rsidR="00DD0A69">
          <w:rPr>
            <w:i w:val="0"/>
            <w:webHidden/>
            <w:sz w:val="20"/>
            <w:szCs w:val="20"/>
          </w:rPr>
          <w:t>6-178</w:t>
        </w:r>
        <w:r w:rsidRPr="00DA6215">
          <w:rPr>
            <w:i w:val="0"/>
            <w:webHidden/>
            <w:sz w:val="20"/>
            <w:szCs w:val="20"/>
          </w:rPr>
          <w:fldChar w:fldCharType="end"/>
        </w:r>
      </w:hyperlink>
    </w:p>
    <w:p w14:paraId="314647A5" w14:textId="309E5FF0" w:rsidR="00DA6215" w:rsidRPr="00DA6215" w:rsidRDefault="00DA6215">
      <w:pPr>
        <w:pStyle w:val="TOC5"/>
        <w:rPr>
          <w:rFonts w:eastAsiaTheme="minorEastAsia"/>
          <w:i w:val="0"/>
          <w:kern w:val="2"/>
          <w:sz w:val="20"/>
          <w:szCs w:val="20"/>
          <w14:ligatures w14:val="standardContextual"/>
        </w:rPr>
      </w:pPr>
      <w:hyperlink w:anchor="_Toc189044386" w:history="1">
        <w:r w:rsidRPr="00DA6215">
          <w:rPr>
            <w:rStyle w:val="Hyperlink"/>
            <w:i w:val="0"/>
            <w:sz w:val="20"/>
            <w:szCs w:val="20"/>
            <w:u w:val="none"/>
          </w:rPr>
          <w:t>6.5.9.4.2</w:t>
        </w:r>
        <w:r w:rsidRPr="00DA6215">
          <w:rPr>
            <w:rFonts w:eastAsiaTheme="minorEastAsia"/>
            <w:i w:val="0"/>
            <w:kern w:val="2"/>
            <w:sz w:val="20"/>
            <w:szCs w:val="20"/>
            <w14:ligatures w14:val="standardContextual"/>
          </w:rPr>
          <w:tab/>
        </w:r>
        <w:r w:rsidRPr="00DA6215">
          <w:rPr>
            <w:rStyle w:val="Hyperlink"/>
            <w:i w:val="0"/>
            <w:sz w:val="20"/>
            <w:szCs w:val="20"/>
            <w:u w:val="none"/>
          </w:rPr>
          <w:t>EEA Levels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_Toc189044386 \h </w:instrText>
        </w:r>
        <w:r w:rsidRPr="00DA6215">
          <w:rPr>
            <w:i w:val="0"/>
            <w:webHidden/>
            <w:sz w:val="20"/>
            <w:szCs w:val="20"/>
          </w:rPr>
        </w:r>
        <w:r w:rsidRPr="00DA6215">
          <w:rPr>
            <w:i w:val="0"/>
            <w:webHidden/>
            <w:sz w:val="20"/>
            <w:szCs w:val="20"/>
          </w:rPr>
          <w:fldChar w:fldCharType="separate"/>
        </w:r>
        <w:r w:rsidR="00DD0A69">
          <w:rPr>
            <w:i w:val="0"/>
            <w:webHidden/>
            <w:sz w:val="20"/>
            <w:szCs w:val="20"/>
          </w:rPr>
          <w:t>6-181</w:t>
        </w:r>
        <w:r w:rsidRPr="00DA6215">
          <w:rPr>
            <w:i w:val="0"/>
            <w:webHidden/>
            <w:sz w:val="20"/>
            <w:szCs w:val="20"/>
          </w:rPr>
          <w:fldChar w:fldCharType="end"/>
        </w:r>
      </w:hyperlink>
    </w:p>
    <w:p w14:paraId="70374574" w14:textId="62B69879" w:rsidR="00DA6215" w:rsidRPr="00DA6215" w:rsidRDefault="00DA6215">
      <w:pPr>
        <w:pStyle w:val="TOC5"/>
        <w:rPr>
          <w:rFonts w:eastAsiaTheme="minorEastAsia"/>
          <w:i w:val="0"/>
          <w:kern w:val="2"/>
          <w:sz w:val="20"/>
          <w:szCs w:val="20"/>
          <w14:ligatures w14:val="standardContextual"/>
        </w:rPr>
      </w:pPr>
      <w:hyperlink w:anchor="_Toc189044387" w:history="1">
        <w:r w:rsidRPr="00DA6215">
          <w:rPr>
            <w:rStyle w:val="Hyperlink"/>
            <w:i w:val="0"/>
            <w:sz w:val="20"/>
            <w:szCs w:val="20"/>
            <w:u w:val="none"/>
          </w:rPr>
          <w:t>6.5.9.4.3</w:t>
        </w:r>
        <w:r w:rsidRPr="00DA6215">
          <w:rPr>
            <w:rFonts w:eastAsiaTheme="minorEastAsia"/>
            <w:i w:val="0"/>
            <w:kern w:val="2"/>
            <w:sz w:val="20"/>
            <w:szCs w:val="20"/>
            <w14:ligatures w14:val="standardContextual"/>
          </w:rPr>
          <w:tab/>
        </w:r>
        <w:r w:rsidRPr="00DA6215">
          <w:rPr>
            <w:rStyle w:val="Hyperlink"/>
            <w:i w:val="0"/>
            <w:sz w:val="20"/>
            <w:szCs w:val="20"/>
            <w:u w:val="none"/>
          </w:rPr>
          <w:t>Restoration of Market Operations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_Toc189044387 \h </w:instrText>
        </w:r>
        <w:r w:rsidRPr="00DA6215">
          <w:rPr>
            <w:i w:val="0"/>
            <w:webHidden/>
            <w:sz w:val="20"/>
            <w:szCs w:val="20"/>
          </w:rPr>
        </w:r>
        <w:r w:rsidRPr="00DA6215">
          <w:rPr>
            <w:i w:val="0"/>
            <w:webHidden/>
            <w:sz w:val="20"/>
            <w:szCs w:val="20"/>
          </w:rPr>
          <w:fldChar w:fldCharType="separate"/>
        </w:r>
        <w:r w:rsidR="00DD0A69">
          <w:rPr>
            <w:i w:val="0"/>
            <w:webHidden/>
            <w:sz w:val="20"/>
            <w:szCs w:val="20"/>
          </w:rPr>
          <w:t>6-186</w:t>
        </w:r>
        <w:r w:rsidRPr="00DA6215">
          <w:rPr>
            <w:i w:val="0"/>
            <w:webHidden/>
            <w:sz w:val="20"/>
            <w:szCs w:val="20"/>
          </w:rPr>
          <w:fldChar w:fldCharType="end"/>
        </w:r>
      </w:hyperlink>
    </w:p>
    <w:p w14:paraId="13705C0B" w14:textId="07997AFA" w:rsidR="00DA6215" w:rsidRPr="00DA6215" w:rsidRDefault="00DA6215">
      <w:pPr>
        <w:pStyle w:val="TOC4"/>
        <w:rPr>
          <w:rFonts w:eastAsiaTheme="minorEastAsia"/>
          <w:kern w:val="2"/>
          <w:lang w:val="en-US"/>
          <w14:ligatures w14:val="standardContextual"/>
        </w:rPr>
      </w:pPr>
      <w:hyperlink w:anchor="_Toc189044388" w:history="1">
        <w:r w:rsidRPr="00DA6215">
          <w:rPr>
            <w:rStyle w:val="Hyperlink"/>
            <w:u w:val="none"/>
          </w:rPr>
          <w:t>6.5.9.5</w:t>
        </w:r>
        <w:r w:rsidRPr="00DA6215">
          <w:rPr>
            <w:rFonts w:eastAsiaTheme="minorEastAsia"/>
            <w:kern w:val="2"/>
            <w:lang w:val="en-US"/>
            <w14:ligatures w14:val="standardContextual"/>
          </w:rPr>
          <w:tab/>
        </w:r>
        <w:r w:rsidRPr="00DA6215">
          <w:rPr>
            <w:rStyle w:val="Hyperlink"/>
            <w:u w:val="none"/>
          </w:rPr>
          <w:t>Block Load Transfers between ERCOT and Non-ERCOT Control Areas</w:t>
        </w:r>
        <w:r w:rsidRPr="00DA6215">
          <w:rPr>
            <w:webHidden/>
          </w:rPr>
          <w:tab/>
        </w:r>
        <w:r w:rsidRPr="00DA6215">
          <w:rPr>
            <w:webHidden/>
          </w:rPr>
          <w:fldChar w:fldCharType="begin"/>
        </w:r>
        <w:r w:rsidRPr="00DA6215">
          <w:rPr>
            <w:webHidden/>
          </w:rPr>
          <w:instrText xml:space="preserve"> PAGEREF _Toc189044388 \h </w:instrText>
        </w:r>
        <w:r w:rsidRPr="00DA6215">
          <w:rPr>
            <w:webHidden/>
          </w:rPr>
        </w:r>
        <w:r w:rsidRPr="00DA6215">
          <w:rPr>
            <w:webHidden/>
          </w:rPr>
          <w:fldChar w:fldCharType="separate"/>
        </w:r>
        <w:r w:rsidR="00DD0A69">
          <w:rPr>
            <w:webHidden/>
          </w:rPr>
          <w:t>6-186</w:t>
        </w:r>
        <w:r w:rsidRPr="00DA6215">
          <w:rPr>
            <w:webHidden/>
          </w:rPr>
          <w:fldChar w:fldCharType="end"/>
        </w:r>
      </w:hyperlink>
    </w:p>
    <w:p w14:paraId="5887D0DC" w14:textId="3ED6F260" w:rsidR="00DA6215" w:rsidRPr="00DA6215" w:rsidRDefault="00DA6215">
      <w:pPr>
        <w:pStyle w:val="TOC5"/>
        <w:rPr>
          <w:rFonts w:eastAsiaTheme="minorEastAsia"/>
          <w:i w:val="0"/>
          <w:kern w:val="2"/>
          <w:sz w:val="20"/>
          <w:szCs w:val="20"/>
          <w14:ligatures w14:val="standardContextual"/>
        </w:rPr>
      </w:pPr>
      <w:hyperlink w:anchor="_Toc189044389" w:history="1">
        <w:r w:rsidRPr="00DA6215">
          <w:rPr>
            <w:rStyle w:val="Hyperlink"/>
            <w:i w:val="0"/>
            <w:sz w:val="20"/>
            <w:szCs w:val="20"/>
            <w:u w:val="none"/>
          </w:rPr>
          <w:t>6.5.9.5.1</w:t>
        </w:r>
        <w:r w:rsidRPr="00DA6215">
          <w:rPr>
            <w:rFonts w:eastAsiaTheme="minorEastAsia"/>
            <w:i w:val="0"/>
            <w:kern w:val="2"/>
            <w:sz w:val="20"/>
            <w:szCs w:val="20"/>
            <w14:ligatures w14:val="standardContextual"/>
          </w:rPr>
          <w:tab/>
        </w:r>
        <w:r w:rsidRPr="00DA6215">
          <w:rPr>
            <w:rStyle w:val="Hyperlink"/>
            <w:i w:val="0"/>
            <w:sz w:val="20"/>
            <w:szCs w:val="20"/>
            <w:u w:val="none"/>
          </w:rPr>
          <w:t>Registration and Posting of BLT Points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_Toc189044389 \h </w:instrText>
        </w:r>
        <w:r w:rsidRPr="00DA6215">
          <w:rPr>
            <w:i w:val="0"/>
            <w:webHidden/>
            <w:sz w:val="20"/>
            <w:szCs w:val="20"/>
          </w:rPr>
        </w:r>
        <w:r w:rsidRPr="00DA6215">
          <w:rPr>
            <w:i w:val="0"/>
            <w:webHidden/>
            <w:sz w:val="20"/>
            <w:szCs w:val="20"/>
          </w:rPr>
          <w:fldChar w:fldCharType="separate"/>
        </w:r>
        <w:r w:rsidR="00DD0A69">
          <w:rPr>
            <w:i w:val="0"/>
            <w:webHidden/>
            <w:sz w:val="20"/>
            <w:szCs w:val="20"/>
          </w:rPr>
          <w:t>6-188</w:t>
        </w:r>
        <w:r w:rsidRPr="00DA6215">
          <w:rPr>
            <w:i w:val="0"/>
            <w:webHidden/>
            <w:sz w:val="20"/>
            <w:szCs w:val="20"/>
          </w:rPr>
          <w:fldChar w:fldCharType="end"/>
        </w:r>
      </w:hyperlink>
    </w:p>
    <w:p w14:paraId="6D6470F8" w14:textId="3BB52C41" w:rsidR="00DA6215" w:rsidRPr="00DA6215" w:rsidRDefault="00DA6215">
      <w:pPr>
        <w:pStyle w:val="TOC5"/>
        <w:rPr>
          <w:rFonts w:eastAsiaTheme="minorEastAsia"/>
          <w:i w:val="0"/>
          <w:kern w:val="2"/>
          <w:sz w:val="20"/>
          <w:szCs w:val="20"/>
          <w14:ligatures w14:val="standardContextual"/>
        </w:rPr>
      </w:pPr>
      <w:hyperlink w:anchor="_Toc189044390" w:history="1">
        <w:r w:rsidRPr="00DA6215">
          <w:rPr>
            <w:rStyle w:val="Hyperlink"/>
            <w:i w:val="0"/>
            <w:sz w:val="20"/>
            <w:szCs w:val="20"/>
            <w:u w:val="none"/>
          </w:rPr>
          <w:t>6.5.9.5.2</w:t>
        </w:r>
        <w:r w:rsidRPr="00DA6215">
          <w:rPr>
            <w:rFonts w:eastAsiaTheme="minorEastAsia"/>
            <w:i w:val="0"/>
            <w:kern w:val="2"/>
            <w:sz w:val="20"/>
            <w:szCs w:val="20"/>
            <w14:ligatures w14:val="standardContextual"/>
          </w:rPr>
          <w:tab/>
        </w:r>
        <w:r w:rsidRPr="00DA6215">
          <w:rPr>
            <w:rStyle w:val="Hyperlink"/>
            <w:i w:val="0"/>
            <w:sz w:val="20"/>
            <w:szCs w:val="20"/>
            <w:u w:val="none"/>
          </w:rPr>
          <w:t>Scheduling and Operation of BLTs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_Toc189044390 \h </w:instrText>
        </w:r>
        <w:r w:rsidRPr="00DA6215">
          <w:rPr>
            <w:i w:val="0"/>
            <w:webHidden/>
            <w:sz w:val="20"/>
            <w:szCs w:val="20"/>
          </w:rPr>
        </w:r>
        <w:r w:rsidRPr="00DA6215">
          <w:rPr>
            <w:i w:val="0"/>
            <w:webHidden/>
            <w:sz w:val="20"/>
            <w:szCs w:val="20"/>
          </w:rPr>
          <w:fldChar w:fldCharType="separate"/>
        </w:r>
        <w:r w:rsidR="00DD0A69">
          <w:rPr>
            <w:i w:val="0"/>
            <w:webHidden/>
            <w:sz w:val="20"/>
            <w:szCs w:val="20"/>
          </w:rPr>
          <w:t>6-189</w:t>
        </w:r>
        <w:r w:rsidRPr="00DA6215">
          <w:rPr>
            <w:i w:val="0"/>
            <w:webHidden/>
            <w:sz w:val="20"/>
            <w:szCs w:val="20"/>
          </w:rPr>
          <w:fldChar w:fldCharType="end"/>
        </w:r>
      </w:hyperlink>
    </w:p>
    <w:p w14:paraId="414ECD42" w14:textId="42151ACD" w:rsidR="00DA6215" w:rsidRPr="00DA6215" w:rsidRDefault="00DA6215">
      <w:pPr>
        <w:pStyle w:val="TOC4"/>
        <w:rPr>
          <w:rFonts w:eastAsiaTheme="minorEastAsia"/>
          <w:kern w:val="2"/>
          <w:lang w:val="en-US"/>
          <w14:ligatures w14:val="standardContextual"/>
        </w:rPr>
      </w:pPr>
      <w:hyperlink w:anchor="_Toc189044391" w:history="1">
        <w:r w:rsidRPr="00DA6215">
          <w:rPr>
            <w:rStyle w:val="Hyperlink"/>
            <w:u w:val="none"/>
          </w:rPr>
          <w:t>6.5.9.6</w:t>
        </w:r>
        <w:r w:rsidRPr="00DA6215">
          <w:rPr>
            <w:rFonts w:eastAsiaTheme="minorEastAsia"/>
            <w:kern w:val="2"/>
            <w:lang w:val="en-US"/>
            <w14:ligatures w14:val="standardContextual"/>
          </w:rPr>
          <w:tab/>
        </w:r>
        <w:r w:rsidRPr="00DA6215">
          <w:rPr>
            <w:rStyle w:val="Hyperlink"/>
            <w:u w:val="none"/>
          </w:rPr>
          <w:t>Black Start</w:t>
        </w:r>
        <w:r w:rsidRPr="00DA6215">
          <w:rPr>
            <w:webHidden/>
          </w:rPr>
          <w:tab/>
        </w:r>
        <w:r w:rsidRPr="00DA6215">
          <w:rPr>
            <w:webHidden/>
          </w:rPr>
          <w:fldChar w:fldCharType="begin"/>
        </w:r>
        <w:r w:rsidRPr="00DA6215">
          <w:rPr>
            <w:webHidden/>
          </w:rPr>
          <w:instrText xml:space="preserve"> PAGEREF _Toc189044391 \h </w:instrText>
        </w:r>
        <w:r w:rsidRPr="00DA6215">
          <w:rPr>
            <w:webHidden/>
          </w:rPr>
        </w:r>
        <w:r w:rsidRPr="00DA6215">
          <w:rPr>
            <w:webHidden/>
          </w:rPr>
          <w:fldChar w:fldCharType="separate"/>
        </w:r>
        <w:r w:rsidR="00DD0A69">
          <w:rPr>
            <w:webHidden/>
          </w:rPr>
          <w:t>6-189</w:t>
        </w:r>
        <w:r w:rsidRPr="00DA6215">
          <w:rPr>
            <w:webHidden/>
          </w:rPr>
          <w:fldChar w:fldCharType="end"/>
        </w:r>
      </w:hyperlink>
    </w:p>
    <w:p w14:paraId="07253DDD" w14:textId="4D4E96D7" w:rsidR="00DA6215" w:rsidRPr="00DA6215" w:rsidRDefault="00DA6215">
      <w:pPr>
        <w:pStyle w:val="TOC2"/>
        <w:rPr>
          <w:rFonts w:eastAsiaTheme="minorEastAsia"/>
          <w:noProof/>
          <w:kern w:val="2"/>
          <w14:ligatures w14:val="standardContextual"/>
        </w:rPr>
      </w:pPr>
      <w:hyperlink w:anchor="_Toc189044392" w:history="1">
        <w:r w:rsidRPr="00DA6215">
          <w:rPr>
            <w:rStyle w:val="Hyperlink"/>
            <w:noProof/>
            <w:u w:val="none"/>
          </w:rPr>
          <w:t>6.6</w:t>
        </w:r>
        <w:r w:rsidRPr="00DA6215">
          <w:rPr>
            <w:rFonts w:eastAsiaTheme="minorEastAsia"/>
            <w:noProof/>
            <w:kern w:val="2"/>
            <w14:ligatures w14:val="standardContextual"/>
          </w:rPr>
          <w:tab/>
        </w:r>
        <w:r w:rsidRPr="00DA6215">
          <w:rPr>
            <w:rStyle w:val="Hyperlink"/>
            <w:noProof/>
            <w:u w:val="none"/>
          </w:rPr>
          <w:t>Settlement Calculations for the Real-Time Energy Operations</w:t>
        </w:r>
        <w:r w:rsidRPr="00DA6215">
          <w:rPr>
            <w:noProof/>
            <w:webHidden/>
          </w:rPr>
          <w:tab/>
        </w:r>
        <w:r w:rsidRPr="00DA6215">
          <w:rPr>
            <w:noProof/>
            <w:webHidden/>
          </w:rPr>
          <w:fldChar w:fldCharType="begin"/>
        </w:r>
        <w:r w:rsidRPr="00DA6215">
          <w:rPr>
            <w:noProof/>
            <w:webHidden/>
          </w:rPr>
          <w:instrText xml:space="preserve"> PAGEREF _Toc189044392 \h </w:instrText>
        </w:r>
        <w:r w:rsidRPr="00DA6215">
          <w:rPr>
            <w:noProof/>
            <w:webHidden/>
          </w:rPr>
        </w:r>
        <w:r w:rsidRPr="00DA6215">
          <w:rPr>
            <w:noProof/>
            <w:webHidden/>
          </w:rPr>
          <w:fldChar w:fldCharType="separate"/>
        </w:r>
        <w:r w:rsidR="00DD0A69">
          <w:rPr>
            <w:noProof/>
            <w:webHidden/>
          </w:rPr>
          <w:t>6-190</w:t>
        </w:r>
        <w:r w:rsidRPr="00DA6215">
          <w:rPr>
            <w:noProof/>
            <w:webHidden/>
          </w:rPr>
          <w:fldChar w:fldCharType="end"/>
        </w:r>
      </w:hyperlink>
    </w:p>
    <w:p w14:paraId="3AC2F571" w14:textId="1B9621D1" w:rsidR="00DA6215" w:rsidRPr="00DA6215" w:rsidRDefault="00DA6215">
      <w:pPr>
        <w:pStyle w:val="TOC3"/>
        <w:rPr>
          <w:rFonts w:eastAsiaTheme="minorEastAsia"/>
          <w:i w:val="0"/>
          <w:iCs w:val="0"/>
          <w:kern w:val="2"/>
          <w14:ligatures w14:val="standardContextual"/>
        </w:rPr>
      </w:pPr>
      <w:hyperlink w:anchor="_Toc189044393" w:history="1">
        <w:r w:rsidRPr="00DA6215">
          <w:rPr>
            <w:rStyle w:val="Hyperlink"/>
            <w:i w:val="0"/>
            <w:iCs w:val="0"/>
            <w:u w:val="none"/>
          </w:rPr>
          <w:t>6.6.1</w:t>
        </w:r>
        <w:r w:rsidRPr="00DA6215">
          <w:rPr>
            <w:rFonts w:eastAsiaTheme="minorEastAsia"/>
            <w:i w:val="0"/>
            <w:iCs w:val="0"/>
            <w:kern w:val="2"/>
            <w14:ligatures w14:val="standardContextual"/>
          </w:rPr>
          <w:tab/>
        </w:r>
        <w:r w:rsidRPr="00DA6215">
          <w:rPr>
            <w:rStyle w:val="Hyperlink"/>
            <w:i w:val="0"/>
            <w:iCs w:val="0"/>
            <w:u w:val="none"/>
          </w:rPr>
          <w:t>Real-Time Settlement Point Prices</w:t>
        </w:r>
        <w:r w:rsidRPr="00DA6215">
          <w:rPr>
            <w:i w:val="0"/>
            <w:iCs w:val="0"/>
            <w:webHidden/>
          </w:rPr>
          <w:tab/>
        </w:r>
        <w:r w:rsidRPr="00DA6215">
          <w:rPr>
            <w:i w:val="0"/>
            <w:iCs w:val="0"/>
            <w:webHidden/>
          </w:rPr>
          <w:fldChar w:fldCharType="begin"/>
        </w:r>
        <w:r w:rsidRPr="00DA6215">
          <w:rPr>
            <w:i w:val="0"/>
            <w:iCs w:val="0"/>
            <w:webHidden/>
          </w:rPr>
          <w:instrText xml:space="preserve"> PAGEREF _Toc189044393 \h </w:instrText>
        </w:r>
        <w:r w:rsidRPr="00DA6215">
          <w:rPr>
            <w:i w:val="0"/>
            <w:iCs w:val="0"/>
            <w:webHidden/>
          </w:rPr>
        </w:r>
        <w:r w:rsidRPr="00DA6215">
          <w:rPr>
            <w:i w:val="0"/>
            <w:iCs w:val="0"/>
            <w:webHidden/>
          </w:rPr>
          <w:fldChar w:fldCharType="separate"/>
        </w:r>
        <w:r w:rsidR="00DD0A69">
          <w:rPr>
            <w:i w:val="0"/>
            <w:iCs w:val="0"/>
            <w:webHidden/>
          </w:rPr>
          <w:t>6-190</w:t>
        </w:r>
        <w:r w:rsidRPr="00DA6215">
          <w:rPr>
            <w:i w:val="0"/>
            <w:iCs w:val="0"/>
            <w:webHidden/>
          </w:rPr>
          <w:fldChar w:fldCharType="end"/>
        </w:r>
      </w:hyperlink>
    </w:p>
    <w:p w14:paraId="644EC5B1" w14:textId="2D1E47CC" w:rsidR="00DA6215" w:rsidRPr="00DA6215" w:rsidRDefault="00DA6215">
      <w:pPr>
        <w:pStyle w:val="TOC4"/>
        <w:rPr>
          <w:rFonts w:eastAsiaTheme="minorEastAsia"/>
          <w:kern w:val="2"/>
          <w:lang w:val="en-US"/>
          <w14:ligatures w14:val="standardContextual"/>
        </w:rPr>
      </w:pPr>
      <w:hyperlink w:anchor="_Toc189044394" w:history="1">
        <w:r w:rsidRPr="00DA6215">
          <w:rPr>
            <w:rStyle w:val="Hyperlink"/>
            <w:u w:val="none"/>
          </w:rPr>
          <w:t>6.6.1.1</w:t>
        </w:r>
        <w:r w:rsidRPr="00DA6215">
          <w:rPr>
            <w:rFonts w:eastAsiaTheme="minorEastAsia"/>
            <w:kern w:val="2"/>
            <w:lang w:val="en-US"/>
            <w14:ligatures w14:val="standardContextual"/>
          </w:rPr>
          <w:tab/>
        </w:r>
        <w:r w:rsidRPr="00DA6215">
          <w:rPr>
            <w:rStyle w:val="Hyperlink"/>
            <w:u w:val="none"/>
          </w:rPr>
          <w:t>Real-Time Settlement Point Price for a Resource Node</w:t>
        </w:r>
        <w:r w:rsidRPr="00DA6215">
          <w:rPr>
            <w:webHidden/>
          </w:rPr>
          <w:tab/>
        </w:r>
        <w:r w:rsidRPr="00DA6215">
          <w:rPr>
            <w:webHidden/>
          </w:rPr>
          <w:fldChar w:fldCharType="begin"/>
        </w:r>
        <w:r w:rsidRPr="00DA6215">
          <w:rPr>
            <w:webHidden/>
          </w:rPr>
          <w:instrText xml:space="preserve"> PAGEREF _Toc189044394 \h </w:instrText>
        </w:r>
        <w:r w:rsidRPr="00DA6215">
          <w:rPr>
            <w:webHidden/>
          </w:rPr>
        </w:r>
        <w:r w:rsidRPr="00DA6215">
          <w:rPr>
            <w:webHidden/>
          </w:rPr>
          <w:fldChar w:fldCharType="separate"/>
        </w:r>
        <w:r w:rsidR="00DD0A69">
          <w:rPr>
            <w:webHidden/>
          </w:rPr>
          <w:t>6-191</w:t>
        </w:r>
        <w:r w:rsidRPr="00DA6215">
          <w:rPr>
            <w:webHidden/>
          </w:rPr>
          <w:fldChar w:fldCharType="end"/>
        </w:r>
      </w:hyperlink>
    </w:p>
    <w:p w14:paraId="3D0308BE" w14:textId="3CCC6139" w:rsidR="00DA6215" w:rsidRPr="00DA6215" w:rsidRDefault="00DA6215">
      <w:pPr>
        <w:pStyle w:val="TOC4"/>
        <w:rPr>
          <w:rFonts w:eastAsiaTheme="minorEastAsia"/>
          <w:kern w:val="2"/>
          <w:lang w:val="en-US"/>
          <w14:ligatures w14:val="standardContextual"/>
        </w:rPr>
      </w:pPr>
      <w:hyperlink w:anchor="_Toc189044395" w:history="1">
        <w:r w:rsidRPr="00DA6215">
          <w:rPr>
            <w:rStyle w:val="Hyperlink"/>
            <w:u w:val="none"/>
          </w:rPr>
          <w:t>6.6.1.2</w:t>
        </w:r>
        <w:r w:rsidRPr="00DA6215">
          <w:rPr>
            <w:rFonts w:eastAsiaTheme="minorEastAsia"/>
            <w:kern w:val="2"/>
            <w:lang w:val="en-US"/>
            <w14:ligatures w14:val="standardContextual"/>
          </w:rPr>
          <w:tab/>
        </w:r>
        <w:r w:rsidRPr="00DA6215">
          <w:rPr>
            <w:rStyle w:val="Hyperlink"/>
            <w:u w:val="none"/>
          </w:rPr>
          <w:t>Real-Time Settlement Point Price for a Load Zone</w:t>
        </w:r>
        <w:r w:rsidRPr="00DA6215">
          <w:rPr>
            <w:webHidden/>
          </w:rPr>
          <w:tab/>
        </w:r>
        <w:r w:rsidRPr="00DA6215">
          <w:rPr>
            <w:webHidden/>
          </w:rPr>
          <w:fldChar w:fldCharType="begin"/>
        </w:r>
        <w:r w:rsidRPr="00DA6215">
          <w:rPr>
            <w:webHidden/>
          </w:rPr>
          <w:instrText xml:space="preserve"> PAGEREF _Toc189044395 \h </w:instrText>
        </w:r>
        <w:r w:rsidRPr="00DA6215">
          <w:rPr>
            <w:webHidden/>
          </w:rPr>
        </w:r>
        <w:r w:rsidRPr="00DA6215">
          <w:rPr>
            <w:webHidden/>
          </w:rPr>
          <w:fldChar w:fldCharType="separate"/>
        </w:r>
        <w:r w:rsidR="00DD0A69">
          <w:rPr>
            <w:webHidden/>
          </w:rPr>
          <w:t>6-194</w:t>
        </w:r>
        <w:r w:rsidRPr="00DA6215">
          <w:rPr>
            <w:webHidden/>
          </w:rPr>
          <w:fldChar w:fldCharType="end"/>
        </w:r>
      </w:hyperlink>
    </w:p>
    <w:p w14:paraId="38733B03" w14:textId="0196FC01" w:rsidR="00DA6215" w:rsidRPr="00DA6215" w:rsidRDefault="00DA6215">
      <w:pPr>
        <w:pStyle w:val="TOC4"/>
        <w:rPr>
          <w:rFonts w:eastAsiaTheme="minorEastAsia"/>
          <w:kern w:val="2"/>
          <w:lang w:val="en-US"/>
          <w14:ligatures w14:val="standardContextual"/>
        </w:rPr>
      </w:pPr>
      <w:hyperlink w:anchor="_Toc189044396" w:history="1">
        <w:r w:rsidRPr="00DA6215">
          <w:rPr>
            <w:rStyle w:val="Hyperlink"/>
            <w:u w:val="none"/>
          </w:rPr>
          <w:t>6.6.1.3</w:t>
        </w:r>
        <w:r w:rsidRPr="00DA6215">
          <w:rPr>
            <w:rFonts w:eastAsiaTheme="minorEastAsia"/>
            <w:kern w:val="2"/>
            <w:lang w:val="en-US"/>
            <w14:ligatures w14:val="standardContextual"/>
          </w:rPr>
          <w:tab/>
        </w:r>
        <w:r w:rsidRPr="00DA6215">
          <w:rPr>
            <w:rStyle w:val="Hyperlink"/>
            <w:u w:val="none"/>
          </w:rPr>
          <w:t>Real-Time Settlement Point Price for a Hub</w:t>
        </w:r>
        <w:r w:rsidRPr="00DA6215">
          <w:rPr>
            <w:webHidden/>
          </w:rPr>
          <w:tab/>
        </w:r>
        <w:r w:rsidRPr="00DA6215">
          <w:rPr>
            <w:webHidden/>
          </w:rPr>
          <w:fldChar w:fldCharType="begin"/>
        </w:r>
        <w:r w:rsidRPr="00DA6215">
          <w:rPr>
            <w:webHidden/>
          </w:rPr>
          <w:instrText xml:space="preserve"> PAGEREF _Toc189044396 \h </w:instrText>
        </w:r>
        <w:r w:rsidRPr="00DA6215">
          <w:rPr>
            <w:webHidden/>
          </w:rPr>
        </w:r>
        <w:r w:rsidRPr="00DA6215">
          <w:rPr>
            <w:webHidden/>
          </w:rPr>
          <w:fldChar w:fldCharType="separate"/>
        </w:r>
        <w:r w:rsidR="00DD0A69">
          <w:rPr>
            <w:webHidden/>
          </w:rPr>
          <w:t>6-198</w:t>
        </w:r>
        <w:r w:rsidRPr="00DA6215">
          <w:rPr>
            <w:webHidden/>
          </w:rPr>
          <w:fldChar w:fldCharType="end"/>
        </w:r>
      </w:hyperlink>
    </w:p>
    <w:p w14:paraId="37ABC1B3" w14:textId="65F1D2F4" w:rsidR="00DA6215" w:rsidRPr="00DA6215" w:rsidRDefault="00DA6215">
      <w:pPr>
        <w:pStyle w:val="TOC4"/>
        <w:rPr>
          <w:rFonts w:eastAsiaTheme="minorEastAsia"/>
          <w:kern w:val="2"/>
          <w:lang w:val="en-US"/>
          <w14:ligatures w14:val="standardContextual"/>
        </w:rPr>
      </w:pPr>
      <w:hyperlink w:anchor="_Toc189044397" w:history="1">
        <w:r w:rsidRPr="00DA6215">
          <w:rPr>
            <w:rStyle w:val="Hyperlink"/>
            <w:u w:val="none"/>
          </w:rPr>
          <w:t>6.6.1.4</w:t>
        </w:r>
        <w:r w:rsidRPr="00DA6215">
          <w:rPr>
            <w:rFonts w:eastAsiaTheme="minorEastAsia"/>
            <w:kern w:val="2"/>
            <w:lang w:val="en-US"/>
            <w14:ligatures w14:val="standardContextual"/>
          </w:rPr>
          <w:tab/>
        </w:r>
        <w:r w:rsidRPr="00DA6215">
          <w:rPr>
            <w:rStyle w:val="Hyperlink"/>
            <w:u w:val="none"/>
          </w:rPr>
          <w:t>Load Zone LMPs</w:t>
        </w:r>
        <w:r w:rsidRPr="00DA6215">
          <w:rPr>
            <w:webHidden/>
          </w:rPr>
          <w:tab/>
        </w:r>
        <w:r w:rsidRPr="00DA6215">
          <w:rPr>
            <w:webHidden/>
          </w:rPr>
          <w:fldChar w:fldCharType="begin"/>
        </w:r>
        <w:r w:rsidRPr="00DA6215">
          <w:rPr>
            <w:webHidden/>
          </w:rPr>
          <w:instrText xml:space="preserve"> PAGEREF _Toc189044397 \h </w:instrText>
        </w:r>
        <w:r w:rsidRPr="00DA6215">
          <w:rPr>
            <w:webHidden/>
          </w:rPr>
        </w:r>
        <w:r w:rsidRPr="00DA6215">
          <w:rPr>
            <w:webHidden/>
          </w:rPr>
          <w:fldChar w:fldCharType="separate"/>
        </w:r>
        <w:r w:rsidR="00DD0A69">
          <w:rPr>
            <w:webHidden/>
          </w:rPr>
          <w:t>6-198</w:t>
        </w:r>
        <w:r w:rsidRPr="00DA6215">
          <w:rPr>
            <w:webHidden/>
          </w:rPr>
          <w:fldChar w:fldCharType="end"/>
        </w:r>
      </w:hyperlink>
    </w:p>
    <w:p w14:paraId="5332C12D" w14:textId="3073A713" w:rsidR="00DA6215" w:rsidRPr="00DA6215" w:rsidRDefault="00DA6215">
      <w:pPr>
        <w:pStyle w:val="TOC4"/>
        <w:rPr>
          <w:rFonts w:eastAsiaTheme="minorEastAsia"/>
          <w:kern w:val="2"/>
          <w:lang w:val="en-US"/>
          <w14:ligatures w14:val="standardContextual"/>
        </w:rPr>
      </w:pPr>
      <w:hyperlink w:anchor="_Toc189044398" w:history="1">
        <w:r w:rsidRPr="00DA6215">
          <w:rPr>
            <w:rStyle w:val="Hyperlink"/>
            <w:u w:val="none"/>
          </w:rPr>
          <w:t>6.6.1.5</w:t>
        </w:r>
        <w:r w:rsidRPr="00DA6215">
          <w:rPr>
            <w:rFonts w:eastAsiaTheme="minorEastAsia"/>
            <w:kern w:val="2"/>
            <w:lang w:val="en-US"/>
            <w14:ligatures w14:val="standardContextual"/>
          </w:rPr>
          <w:tab/>
        </w:r>
        <w:r w:rsidRPr="00DA6215">
          <w:rPr>
            <w:rStyle w:val="Hyperlink"/>
            <w:u w:val="none"/>
          </w:rPr>
          <w:t xml:space="preserve"> Hub LMPs</w:t>
        </w:r>
        <w:r w:rsidRPr="00DA6215">
          <w:rPr>
            <w:webHidden/>
          </w:rPr>
          <w:tab/>
        </w:r>
        <w:r w:rsidRPr="00DA6215">
          <w:rPr>
            <w:webHidden/>
          </w:rPr>
          <w:fldChar w:fldCharType="begin"/>
        </w:r>
        <w:r w:rsidRPr="00DA6215">
          <w:rPr>
            <w:webHidden/>
          </w:rPr>
          <w:instrText xml:space="preserve"> PAGEREF _Toc189044398 \h </w:instrText>
        </w:r>
        <w:r w:rsidRPr="00DA6215">
          <w:rPr>
            <w:webHidden/>
          </w:rPr>
        </w:r>
        <w:r w:rsidRPr="00DA6215">
          <w:rPr>
            <w:webHidden/>
          </w:rPr>
          <w:fldChar w:fldCharType="separate"/>
        </w:r>
        <w:r w:rsidR="00DD0A69">
          <w:rPr>
            <w:webHidden/>
          </w:rPr>
          <w:t>6-199</w:t>
        </w:r>
        <w:r w:rsidRPr="00DA6215">
          <w:rPr>
            <w:webHidden/>
          </w:rPr>
          <w:fldChar w:fldCharType="end"/>
        </w:r>
      </w:hyperlink>
    </w:p>
    <w:p w14:paraId="5D29AA52" w14:textId="02B9FC34" w:rsidR="00DA6215" w:rsidRPr="00DA6215" w:rsidRDefault="00DA6215">
      <w:pPr>
        <w:pStyle w:val="TOC4"/>
        <w:rPr>
          <w:rFonts w:eastAsiaTheme="minorEastAsia"/>
          <w:kern w:val="2"/>
          <w:lang w:val="en-US"/>
          <w14:ligatures w14:val="standardContextual"/>
        </w:rPr>
      </w:pPr>
      <w:hyperlink w:anchor="_Toc189044399" w:history="1">
        <w:r w:rsidRPr="00DA6215">
          <w:rPr>
            <w:rStyle w:val="Hyperlink"/>
            <w:u w:val="none"/>
          </w:rPr>
          <w:t>6.6.1.5</w:t>
        </w:r>
        <w:r w:rsidRPr="00DA6215">
          <w:rPr>
            <w:rFonts w:eastAsiaTheme="minorEastAsia"/>
            <w:kern w:val="2"/>
            <w:lang w:val="en-US"/>
            <w14:ligatures w14:val="standardContextual"/>
          </w:rPr>
          <w:tab/>
        </w:r>
        <w:r w:rsidRPr="00DA6215">
          <w:rPr>
            <w:rStyle w:val="Hyperlink"/>
            <w:u w:val="none"/>
          </w:rPr>
          <w:t xml:space="preserve"> Hub LMPs</w:t>
        </w:r>
        <w:r w:rsidRPr="00DA6215">
          <w:rPr>
            <w:webHidden/>
          </w:rPr>
          <w:tab/>
        </w:r>
        <w:r w:rsidRPr="00DA6215">
          <w:rPr>
            <w:webHidden/>
          </w:rPr>
          <w:fldChar w:fldCharType="begin"/>
        </w:r>
        <w:r w:rsidRPr="00DA6215">
          <w:rPr>
            <w:webHidden/>
          </w:rPr>
          <w:instrText xml:space="preserve"> PAGEREF _Toc189044399 \h </w:instrText>
        </w:r>
        <w:r w:rsidRPr="00DA6215">
          <w:rPr>
            <w:webHidden/>
          </w:rPr>
        </w:r>
        <w:r w:rsidRPr="00DA6215">
          <w:rPr>
            <w:webHidden/>
          </w:rPr>
          <w:fldChar w:fldCharType="separate"/>
        </w:r>
        <w:r w:rsidR="00DD0A69">
          <w:rPr>
            <w:webHidden/>
          </w:rPr>
          <w:t>6-201</w:t>
        </w:r>
        <w:r w:rsidRPr="00DA6215">
          <w:rPr>
            <w:webHidden/>
          </w:rPr>
          <w:fldChar w:fldCharType="end"/>
        </w:r>
      </w:hyperlink>
    </w:p>
    <w:p w14:paraId="2277F6DD" w14:textId="0008AF42" w:rsidR="00DA6215" w:rsidRPr="00DA6215" w:rsidRDefault="00DA6215">
      <w:pPr>
        <w:pStyle w:val="TOC4"/>
        <w:rPr>
          <w:rFonts w:eastAsiaTheme="minorEastAsia"/>
          <w:kern w:val="2"/>
          <w:lang w:val="en-US"/>
          <w14:ligatures w14:val="standardContextual"/>
        </w:rPr>
      </w:pPr>
      <w:hyperlink w:anchor="_Toc189044400" w:history="1">
        <w:r w:rsidRPr="00DA6215">
          <w:rPr>
            <w:rStyle w:val="Hyperlink"/>
            <w:snapToGrid w:val="0"/>
            <w:u w:val="none"/>
          </w:rPr>
          <w:t>6.6.1.6</w:t>
        </w:r>
        <w:r w:rsidRPr="00DA6215">
          <w:rPr>
            <w:rFonts w:eastAsiaTheme="minorEastAsia"/>
            <w:kern w:val="2"/>
            <w:lang w:val="en-US"/>
            <w14:ligatures w14:val="standardContextual"/>
          </w:rPr>
          <w:tab/>
        </w:r>
        <w:r w:rsidRPr="00DA6215">
          <w:rPr>
            <w:rStyle w:val="Hyperlink"/>
            <w:snapToGrid w:val="0"/>
            <w:u w:val="none"/>
          </w:rPr>
          <w:t xml:space="preserve"> Real-Time Market Clearing Prices for Ancillary Services</w:t>
        </w:r>
        <w:r w:rsidRPr="00DA6215">
          <w:rPr>
            <w:webHidden/>
          </w:rPr>
          <w:tab/>
        </w:r>
        <w:r w:rsidRPr="00DA6215">
          <w:rPr>
            <w:webHidden/>
          </w:rPr>
          <w:fldChar w:fldCharType="begin"/>
        </w:r>
        <w:r w:rsidRPr="00DA6215">
          <w:rPr>
            <w:webHidden/>
          </w:rPr>
          <w:instrText xml:space="preserve"> PAGEREF _Toc189044400 \h </w:instrText>
        </w:r>
        <w:r w:rsidRPr="00DA6215">
          <w:rPr>
            <w:webHidden/>
          </w:rPr>
        </w:r>
        <w:r w:rsidRPr="00DA6215">
          <w:rPr>
            <w:webHidden/>
          </w:rPr>
          <w:fldChar w:fldCharType="separate"/>
        </w:r>
        <w:r w:rsidR="00DD0A69">
          <w:rPr>
            <w:webHidden/>
          </w:rPr>
          <w:t>6-203</w:t>
        </w:r>
        <w:r w:rsidRPr="00DA6215">
          <w:rPr>
            <w:webHidden/>
          </w:rPr>
          <w:fldChar w:fldCharType="end"/>
        </w:r>
      </w:hyperlink>
    </w:p>
    <w:p w14:paraId="6F46456A" w14:textId="39FCC8F0" w:rsidR="00DA6215" w:rsidRPr="00DA6215" w:rsidRDefault="00DA6215">
      <w:pPr>
        <w:pStyle w:val="TOC4"/>
        <w:rPr>
          <w:rFonts w:eastAsiaTheme="minorEastAsia"/>
          <w:kern w:val="2"/>
          <w:lang w:val="en-US"/>
          <w14:ligatures w14:val="standardContextual"/>
        </w:rPr>
      </w:pPr>
      <w:hyperlink w:anchor="_Toc189044401" w:history="1">
        <w:r w:rsidRPr="00DA6215">
          <w:rPr>
            <w:rStyle w:val="Hyperlink"/>
            <w:snapToGrid w:val="0"/>
            <w:u w:val="none"/>
          </w:rPr>
          <w:t>6.6.1.7</w:t>
        </w:r>
        <w:r w:rsidRPr="00DA6215">
          <w:rPr>
            <w:rFonts w:eastAsiaTheme="minorEastAsia"/>
            <w:kern w:val="2"/>
            <w:lang w:val="en-US"/>
            <w14:ligatures w14:val="standardContextual"/>
          </w:rPr>
          <w:tab/>
        </w:r>
        <w:r w:rsidRPr="00DA6215">
          <w:rPr>
            <w:rStyle w:val="Hyperlink"/>
            <w:snapToGrid w:val="0"/>
            <w:u w:val="none"/>
          </w:rPr>
          <w:t xml:space="preserve"> Real-Time Reliability Deployment Prices for Ancillary Services</w:t>
        </w:r>
        <w:r w:rsidRPr="00DA6215">
          <w:rPr>
            <w:webHidden/>
          </w:rPr>
          <w:tab/>
        </w:r>
        <w:r w:rsidRPr="00DA6215">
          <w:rPr>
            <w:webHidden/>
          </w:rPr>
          <w:fldChar w:fldCharType="begin"/>
        </w:r>
        <w:r w:rsidRPr="00DA6215">
          <w:rPr>
            <w:webHidden/>
          </w:rPr>
          <w:instrText xml:space="preserve"> PAGEREF _Toc189044401 \h </w:instrText>
        </w:r>
        <w:r w:rsidRPr="00DA6215">
          <w:rPr>
            <w:webHidden/>
          </w:rPr>
        </w:r>
        <w:r w:rsidRPr="00DA6215">
          <w:rPr>
            <w:webHidden/>
          </w:rPr>
          <w:fldChar w:fldCharType="separate"/>
        </w:r>
        <w:r w:rsidR="00DD0A69">
          <w:rPr>
            <w:webHidden/>
          </w:rPr>
          <w:t>6-207</w:t>
        </w:r>
        <w:r w:rsidRPr="00DA6215">
          <w:rPr>
            <w:webHidden/>
          </w:rPr>
          <w:fldChar w:fldCharType="end"/>
        </w:r>
      </w:hyperlink>
    </w:p>
    <w:p w14:paraId="75E1D822" w14:textId="63880CA9" w:rsidR="00DA6215" w:rsidRPr="00DA6215" w:rsidRDefault="00DA6215">
      <w:pPr>
        <w:pStyle w:val="TOC3"/>
        <w:rPr>
          <w:rFonts w:eastAsiaTheme="minorEastAsia"/>
          <w:i w:val="0"/>
          <w:iCs w:val="0"/>
          <w:kern w:val="2"/>
          <w14:ligatures w14:val="standardContextual"/>
        </w:rPr>
      </w:pPr>
      <w:hyperlink w:anchor="_Toc189044402" w:history="1">
        <w:r w:rsidRPr="00DA6215">
          <w:rPr>
            <w:rStyle w:val="Hyperlink"/>
            <w:i w:val="0"/>
            <w:iCs w:val="0"/>
            <w:u w:val="none"/>
          </w:rPr>
          <w:t>6.6.2</w:t>
        </w:r>
        <w:r w:rsidRPr="00DA6215">
          <w:rPr>
            <w:rFonts w:eastAsiaTheme="minorEastAsia"/>
            <w:i w:val="0"/>
            <w:iCs w:val="0"/>
            <w:kern w:val="2"/>
            <w14:ligatures w14:val="standardContextual"/>
          </w:rPr>
          <w:tab/>
        </w:r>
        <w:r w:rsidRPr="00DA6215">
          <w:rPr>
            <w:rStyle w:val="Hyperlink"/>
            <w:i w:val="0"/>
            <w:iCs w:val="0"/>
            <w:u w:val="none"/>
          </w:rPr>
          <w:t>Load Ratio Share</w:t>
        </w:r>
        <w:r w:rsidRPr="00DA6215">
          <w:rPr>
            <w:i w:val="0"/>
            <w:iCs w:val="0"/>
            <w:webHidden/>
          </w:rPr>
          <w:tab/>
        </w:r>
        <w:r w:rsidRPr="00DA6215">
          <w:rPr>
            <w:i w:val="0"/>
            <w:iCs w:val="0"/>
            <w:webHidden/>
          </w:rPr>
          <w:fldChar w:fldCharType="begin"/>
        </w:r>
        <w:r w:rsidRPr="00DA6215">
          <w:rPr>
            <w:i w:val="0"/>
            <w:iCs w:val="0"/>
            <w:webHidden/>
          </w:rPr>
          <w:instrText xml:space="preserve"> PAGEREF _Toc189044402 \h </w:instrText>
        </w:r>
        <w:r w:rsidRPr="00DA6215">
          <w:rPr>
            <w:i w:val="0"/>
            <w:iCs w:val="0"/>
            <w:webHidden/>
          </w:rPr>
        </w:r>
        <w:r w:rsidRPr="00DA6215">
          <w:rPr>
            <w:i w:val="0"/>
            <w:iCs w:val="0"/>
            <w:webHidden/>
          </w:rPr>
          <w:fldChar w:fldCharType="separate"/>
        </w:r>
        <w:r w:rsidR="00DD0A69">
          <w:rPr>
            <w:i w:val="0"/>
            <w:iCs w:val="0"/>
            <w:webHidden/>
          </w:rPr>
          <w:t>6-210</w:t>
        </w:r>
        <w:r w:rsidRPr="00DA6215">
          <w:rPr>
            <w:i w:val="0"/>
            <w:iCs w:val="0"/>
            <w:webHidden/>
          </w:rPr>
          <w:fldChar w:fldCharType="end"/>
        </w:r>
      </w:hyperlink>
    </w:p>
    <w:p w14:paraId="742D8E74" w14:textId="099F4478" w:rsidR="00DA6215" w:rsidRPr="00DA6215" w:rsidRDefault="00DA6215">
      <w:pPr>
        <w:pStyle w:val="TOC4"/>
        <w:rPr>
          <w:rFonts w:eastAsiaTheme="minorEastAsia"/>
          <w:kern w:val="2"/>
          <w:lang w:val="en-US"/>
          <w14:ligatures w14:val="standardContextual"/>
        </w:rPr>
      </w:pPr>
      <w:hyperlink w:anchor="_Toc189044403" w:history="1">
        <w:r w:rsidRPr="00DA6215">
          <w:rPr>
            <w:rStyle w:val="Hyperlink"/>
            <w:u w:val="none"/>
          </w:rPr>
          <w:t>6.6.2.1</w:t>
        </w:r>
        <w:r w:rsidRPr="00DA6215">
          <w:rPr>
            <w:rFonts w:eastAsiaTheme="minorEastAsia"/>
            <w:kern w:val="2"/>
            <w:lang w:val="en-US"/>
            <w14:ligatures w14:val="standardContextual"/>
          </w:rPr>
          <w:tab/>
        </w:r>
        <w:r w:rsidRPr="00DA6215">
          <w:rPr>
            <w:rStyle w:val="Hyperlink"/>
            <w:u w:val="none"/>
          </w:rPr>
          <w:t>ERCOT Total Adjusted Metered Load for a 15-Minute Settlement Interval</w:t>
        </w:r>
        <w:r w:rsidRPr="00DA6215">
          <w:rPr>
            <w:webHidden/>
          </w:rPr>
          <w:tab/>
        </w:r>
        <w:r w:rsidRPr="00DA6215">
          <w:rPr>
            <w:webHidden/>
          </w:rPr>
          <w:fldChar w:fldCharType="begin"/>
        </w:r>
        <w:r w:rsidRPr="00DA6215">
          <w:rPr>
            <w:webHidden/>
          </w:rPr>
          <w:instrText xml:space="preserve"> PAGEREF _Toc189044403 \h </w:instrText>
        </w:r>
        <w:r w:rsidRPr="00DA6215">
          <w:rPr>
            <w:webHidden/>
          </w:rPr>
        </w:r>
        <w:r w:rsidRPr="00DA6215">
          <w:rPr>
            <w:webHidden/>
          </w:rPr>
          <w:fldChar w:fldCharType="separate"/>
        </w:r>
        <w:r w:rsidR="00DD0A69">
          <w:rPr>
            <w:webHidden/>
          </w:rPr>
          <w:t>6-210</w:t>
        </w:r>
        <w:r w:rsidRPr="00DA6215">
          <w:rPr>
            <w:webHidden/>
          </w:rPr>
          <w:fldChar w:fldCharType="end"/>
        </w:r>
      </w:hyperlink>
    </w:p>
    <w:p w14:paraId="12BEECF5" w14:textId="1EB576DD" w:rsidR="00DA6215" w:rsidRPr="00DA6215" w:rsidRDefault="00DA6215">
      <w:pPr>
        <w:pStyle w:val="TOC4"/>
        <w:rPr>
          <w:rFonts w:eastAsiaTheme="minorEastAsia"/>
          <w:kern w:val="2"/>
          <w:lang w:val="en-US"/>
          <w14:ligatures w14:val="standardContextual"/>
        </w:rPr>
      </w:pPr>
      <w:hyperlink w:anchor="_Toc189044404" w:history="1">
        <w:r w:rsidRPr="00DA6215">
          <w:rPr>
            <w:rStyle w:val="Hyperlink"/>
            <w:u w:val="none"/>
          </w:rPr>
          <w:t>6.6.2.2</w:t>
        </w:r>
        <w:r w:rsidRPr="00DA6215">
          <w:rPr>
            <w:rFonts w:eastAsiaTheme="minorEastAsia"/>
            <w:kern w:val="2"/>
            <w:lang w:val="en-US"/>
            <w14:ligatures w14:val="standardContextual"/>
          </w:rPr>
          <w:tab/>
        </w:r>
        <w:r w:rsidRPr="00DA6215">
          <w:rPr>
            <w:rStyle w:val="Hyperlink"/>
            <w:u w:val="none"/>
          </w:rPr>
          <w:t>QSE Load Ratio Share for a 15-Minute Settlement Interval</w:t>
        </w:r>
        <w:r w:rsidRPr="00DA6215">
          <w:rPr>
            <w:webHidden/>
          </w:rPr>
          <w:tab/>
        </w:r>
        <w:r w:rsidRPr="00DA6215">
          <w:rPr>
            <w:webHidden/>
          </w:rPr>
          <w:fldChar w:fldCharType="begin"/>
        </w:r>
        <w:r w:rsidRPr="00DA6215">
          <w:rPr>
            <w:webHidden/>
          </w:rPr>
          <w:instrText xml:space="preserve"> PAGEREF _Toc189044404 \h </w:instrText>
        </w:r>
        <w:r w:rsidRPr="00DA6215">
          <w:rPr>
            <w:webHidden/>
          </w:rPr>
        </w:r>
        <w:r w:rsidRPr="00DA6215">
          <w:rPr>
            <w:webHidden/>
          </w:rPr>
          <w:fldChar w:fldCharType="separate"/>
        </w:r>
        <w:r w:rsidR="00DD0A69">
          <w:rPr>
            <w:webHidden/>
          </w:rPr>
          <w:t>6-211</w:t>
        </w:r>
        <w:r w:rsidRPr="00DA6215">
          <w:rPr>
            <w:webHidden/>
          </w:rPr>
          <w:fldChar w:fldCharType="end"/>
        </w:r>
      </w:hyperlink>
    </w:p>
    <w:p w14:paraId="41952D60" w14:textId="581E9F92" w:rsidR="00DA6215" w:rsidRPr="00DA6215" w:rsidRDefault="00DA6215">
      <w:pPr>
        <w:pStyle w:val="TOC4"/>
        <w:rPr>
          <w:rFonts w:eastAsiaTheme="minorEastAsia"/>
          <w:kern w:val="2"/>
          <w:lang w:val="en-US"/>
          <w14:ligatures w14:val="standardContextual"/>
        </w:rPr>
      </w:pPr>
      <w:hyperlink w:anchor="_Toc189044405" w:history="1">
        <w:r w:rsidRPr="00DA6215">
          <w:rPr>
            <w:rStyle w:val="Hyperlink"/>
            <w:snapToGrid w:val="0"/>
            <w:u w:val="none"/>
          </w:rPr>
          <w:t>6.6.2.3</w:t>
        </w:r>
        <w:r w:rsidRPr="00DA6215">
          <w:rPr>
            <w:rFonts w:eastAsiaTheme="minorEastAsia"/>
            <w:kern w:val="2"/>
            <w:lang w:val="en-US"/>
            <w14:ligatures w14:val="standardContextual"/>
          </w:rPr>
          <w:tab/>
        </w:r>
        <w:r w:rsidRPr="00DA6215">
          <w:rPr>
            <w:rStyle w:val="Hyperlink"/>
            <w:snapToGrid w:val="0"/>
            <w:u w:val="none"/>
          </w:rPr>
          <w:t>ERCOT Total Adjusted Metered Load for an Operating Hour</w:t>
        </w:r>
        <w:r w:rsidRPr="00DA6215">
          <w:rPr>
            <w:webHidden/>
          </w:rPr>
          <w:tab/>
        </w:r>
        <w:r w:rsidRPr="00DA6215">
          <w:rPr>
            <w:webHidden/>
          </w:rPr>
          <w:fldChar w:fldCharType="begin"/>
        </w:r>
        <w:r w:rsidRPr="00DA6215">
          <w:rPr>
            <w:webHidden/>
          </w:rPr>
          <w:instrText xml:space="preserve"> PAGEREF _Toc189044405 \h </w:instrText>
        </w:r>
        <w:r w:rsidRPr="00DA6215">
          <w:rPr>
            <w:webHidden/>
          </w:rPr>
        </w:r>
        <w:r w:rsidRPr="00DA6215">
          <w:rPr>
            <w:webHidden/>
          </w:rPr>
          <w:fldChar w:fldCharType="separate"/>
        </w:r>
        <w:r w:rsidR="00DD0A69">
          <w:rPr>
            <w:webHidden/>
          </w:rPr>
          <w:t>6-213</w:t>
        </w:r>
        <w:r w:rsidRPr="00DA6215">
          <w:rPr>
            <w:webHidden/>
          </w:rPr>
          <w:fldChar w:fldCharType="end"/>
        </w:r>
      </w:hyperlink>
    </w:p>
    <w:p w14:paraId="12FA8276" w14:textId="2BC1507B" w:rsidR="00DA6215" w:rsidRPr="00DA6215" w:rsidRDefault="00DA6215">
      <w:pPr>
        <w:pStyle w:val="TOC4"/>
        <w:rPr>
          <w:rFonts w:eastAsiaTheme="minorEastAsia"/>
          <w:kern w:val="2"/>
          <w:lang w:val="en-US"/>
          <w14:ligatures w14:val="standardContextual"/>
        </w:rPr>
      </w:pPr>
      <w:hyperlink w:anchor="_Toc189044406" w:history="1">
        <w:r w:rsidRPr="00DA6215">
          <w:rPr>
            <w:rStyle w:val="Hyperlink"/>
            <w:u w:val="none"/>
          </w:rPr>
          <w:t>6.6.2.4</w:t>
        </w:r>
        <w:r w:rsidRPr="00DA6215">
          <w:rPr>
            <w:rFonts w:eastAsiaTheme="minorEastAsia"/>
            <w:kern w:val="2"/>
            <w:lang w:val="en-US"/>
            <w14:ligatures w14:val="standardContextual"/>
          </w:rPr>
          <w:tab/>
        </w:r>
        <w:r w:rsidRPr="00DA6215">
          <w:rPr>
            <w:rStyle w:val="Hyperlink"/>
            <w:u w:val="none"/>
          </w:rPr>
          <w:t>QSE Load Ratio Share for an Operating Hour</w:t>
        </w:r>
        <w:r w:rsidRPr="00DA6215">
          <w:rPr>
            <w:webHidden/>
          </w:rPr>
          <w:tab/>
        </w:r>
        <w:r w:rsidRPr="00DA6215">
          <w:rPr>
            <w:webHidden/>
          </w:rPr>
          <w:fldChar w:fldCharType="begin"/>
        </w:r>
        <w:r w:rsidRPr="00DA6215">
          <w:rPr>
            <w:webHidden/>
          </w:rPr>
          <w:instrText xml:space="preserve"> PAGEREF _Toc189044406 \h </w:instrText>
        </w:r>
        <w:r w:rsidRPr="00DA6215">
          <w:rPr>
            <w:webHidden/>
          </w:rPr>
        </w:r>
        <w:r w:rsidRPr="00DA6215">
          <w:rPr>
            <w:webHidden/>
          </w:rPr>
          <w:fldChar w:fldCharType="separate"/>
        </w:r>
        <w:r w:rsidR="00DD0A69">
          <w:rPr>
            <w:webHidden/>
          </w:rPr>
          <w:t>6-213</w:t>
        </w:r>
        <w:r w:rsidRPr="00DA6215">
          <w:rPr>
            <w:webHidden/>
          </w:rPr>
          <w:fldChar w:fldCharType="end"/>
        </w:r>
      </w:hyperlink>
    </w:p>
    <w:p w14:paraId="2F6BA064" w14:textId="7CCC9117" w:rsidR="00DA6215" w:rsidRPr="00DA6215" w:rsidRDefault="00DA6215">
      <w:pPr>
        <w:pStyle w:val="TOC4"/>
        <w:rPr>
          <w:rFonts w:eastAsiaTheme="minorEastAsia"/>
          <w:kern w:val="2"/>
          <w:lang w:val="en-US"/>
          <w14:ligatures w14:val="standardContextual"/>
        </w:rPr>
      </w:pPr>
      <w:hyperlink w:anchor="_Toc189044407" w:history="1">
        <w:r w:rsidRPr="00DA6215">
          <w:rPr>
            <w:rStyle w:val="Hyperlink"/>
            <w:snapToGrid w:val="0"/>
            <w:u w:val="none"/>
          </w:rPr>
          <w:t>6.6.2.5</w:t>
        </w:r>
        <w:r w:rsidRPr="00DA6215">
          <w:rPr>
            <w:rFonts w:eastAsiaTheme="minorEastAsia"/>
            <w:kern w:val="2"/>
            <w:lang w:val="en-US"/>
            <w14:ligatures w14:val="standardContextual"/>
          </w:rPr>
          <w:tab/>
        </w:r>
        <w:r w:rsidRPr="00DA6215">
          <w:rPr>
            <w:rStyle w:val="Hyperlink"/>
            <w:snapToGrid w:val="0"/>
            <w:u w:val="none"/>
          </w:rPr>
          <w:t>ERCOT Total Adjusted Metered Load for a Month</w:t>
        </w:r>
        <w:r w:rsidRPr="00DA6215">
          <w:rPr>
            <w:webHidden/>
          </w:rPr>
          <w:tab/>
        </w:r>
        <w:r w:rsidRPr="00DA6215">
          <w:rPr>
            <w:webHidden/>
          </w:rPr>
          <w:fldChar w:fldCharType="begin"/>
        </w:r>
        <w:r w:rsidRPr="00DA6215">
          <w:rPr>
            <w:webHidden/>
          </w:rPr>
          <w:instrText xml:space="preserve"> PAGEREF _Toc189044407 \h </w:instrText>
        </w:r>
        <w:r w:rsidRPr="00DA6215">
          <w:rPr>
            <w:webHidden/>
          </w:rPr>
        </w:r>
        <w:r w:rsidRPr="00DA6215">
          <w:rPr>
            <w:webHidden/>
          </w:rPr>
          <w:fldChar w:fldCharType="separate"/>
        </w:r>
        <w:r w:rsidR="00DD0A69">
          <w:rPr>
            <w:webHidden/>
          </w:rPr>
          <w:t>6-214</w:t>
        </w:r>
        <w:r w:rsidRPr="00DA6215">
          <w:rPr>
            <w:webHidden/>
          </w:rPr>
          <w:fldChar w:fldCharType="end"/>
        </w:r>
      </w:hyperlink>
    </w:p>
    <w:p w14:paraId="4EF4E6A8" w14:textId="00313A71" w:rsidR="00DA6215" w:rsidRPr="00DA6215" w:rsidRDefault="00DA6215">
      <w:pPr>
        <w:pStyle w:val="TOC4"/>
        <w:rPr>
          <w:rFonts w:eastAsiaTheme="minorEastAsia"/>
          <w:kern w:val="2"/>
          <w:lang w:val="en-US"/>
          <w14:ligatures w14:val="standardContextual"/>
        </w:rPr>
      </w:pPr>
      <w:hyperlink w:anchor="_Toc189044408" w:history="1">
        <w:r w:rsidRPr="00DA6215">
          <w:rPr>
            <w:rStyle w:val="Hyperlink"/>
            <w:u w:val="none"/>
          </w:rPr>
          <w:t>6.6.2.6</w:t>
        </w:r>
        <w:r w:rsidRPr="00DA6215">
          <w:rPr>
            <w:rFonts w:eastAsiaTheme="minorEastAsia"/>
            <w:kern w:val="2"/>
            <w:lang w:val="en-US"/>
            <w14:ligatures w14:val="standardContextual"/>
          </w:rPr>
          <w:tab/>
        </w:r>
        <w:r w:rsidRPr="00DA6215">
          <w:rPr>
            <w:rStyle w:val="Hyperlink"/>
            <w:u w:val="none"/>
          </w:rPr>
          <w:t>QSE DC Tie Export Load Ratio Share for a Month</w:t>
        </w:r>
        <w:r w:rsidRPr="00DA6215">
          <w:rPr>
            <w:webHidden/>
          </w:rPr>
          <w:tab/>
        </w:r>
        <w:r w:rsidRPr="00DA6215">
          <w:rPr>
            <w:webHidden/>
          </w:rPr>
          <w:fldChar w:fldCharType="begin"/>
        </w:r>
        <w:r w:rsidRPr="00DA6215">
          <w:rPr>
            <w:webHidden/>
          </w:rPr>
          <w:instrText xml:space="preserve"> PAGEREF _Toc189044408 \h </w:instrText>
        </w:r>
        <w:r w:rsidRPr="00DA6215">
          <w:rPr>
            <w:webHidden/>
          </w:rPr>
        </w:r>
        <w:r w:rsidRPr="00DA6215">
          <w:rPr>
            <w:webHidden/>
          </w:rPr>
          <w:fldChar w:fldCharType="separate"/>
        </w:r>
        <w:r w:rsidR="00DD0A69">
          <w:rPr>
            <w:webHidden/>
          </w:rPr>
          <w:t>6-214</w:t>
        </w:r>
        <w:r w:rsidRPr="00DA6215">
          <w:rPr>
            <w:webHidden/>
          </w:rPr>
          <w:fldChar w:fldCharType="end"/>
        </w:r>
      </w:hyperlink>
    </w:p>
    <w:p w14:paraId="24419C11" w14:textId="54C06F1F" w:rsidR="00DA6215" w:rsidRPr="00DA6215" w:rsidRDefault="00DA6215">
      <w:pPr>
        <w:pStyle w:val="TOC4"/>
        <w:rPr>
          <w:rFonts w:eastAsiaTheme="minorEastAsia"/>
          <w:kern w:val="2"/>
          <w:lang w:val="en-US"/>
          <w14:ligatures w14:val="standardContextual"/>
        </w:rPr>
      </w:pPr>
      <w:hyperlink w:anchor="_Toc189044409" w:history="1">
        <w:r w:rsidRPr="00DA6215">
          <w:rPr>
            <w:rStyle w:val="Hyperlink"/>
            <w:snapToGrid w:val="0"/>
            <w:u w:val="none"/>
          </w:rPr>
          <w:t>6.6.2.7</w:t>
        </w:r>
        <w:r w:rsidRPr="00DA6215">
          <w:rPr>
            <w:rFonts w:eastAsiaTheme="minorEastAsia"/>
            <w:kern w:val="2"/>
            <w:lang w:val="en-US"/>
            <w14:ligatures w14:val="standardContextual"/>
          </w:rPr>
          <w:tab/>
        </w:r>
        <w:r w:rsidRPr="00DA6215">
          <w:rPr>
            <w:rStyle w:val="Hyperlink"/>
            <w:snapToGrid w:val="0"/>
            <w:u w:val="none"/>
          </w:rPr>
          <w:t>ERCOT Adjusted Metered Load by Congestion Management Zone for a Month</w:t>
        </w:r>
        <w:r w:rsidRPr="00DA6215">
          <w:rPr>
            <w:webHidden/>
          </w:rPr>
          <w:tab/>
        </w:r>
        <w:r w:rsidRPr="00DA6215">
          <w:rPr>
            <w:webHidden/>
          </w:rPr>
          <w:fldChar w:fldCharType="begin"/>
        </w:r>
        <w:r w:rsidRPr="00DA6215">
          <w:rPr>
            <w:webHidden/>
          </w:rPr>
          <w:instrText xml:space="preserve"> PAGEREF _Toc189044409 \h </w:instrText>
        </w:r>
        <w:r w:rsidRPr="00DA6215">
          <w:rPr>
            <w:webHidden/>
          </w:rPr>
        </w:r>
        <w:r w:rsidRPr="00DA6215">
          <w:rPr>
            <w:webHidden/>
          </w:rPr>
          <w:fldChar w:fldCharType="separate"/>
        </w:r>
        <w:r w:rsidR="00DD0A69">
          <w:rPr>
            <w:webHidden/>
          </w:rPr>
          <w:t>6-215</w:t>
        </w:r>
        <w:r w:rsidRPr="00DA6215">
          <w:rPr>
            <w:webHidden/>
          </w:rPr>
          <w:fldChar w:fldCharType="end"/>
        </w:r>
      </w:hyperlink>
    </w:p>
    <w:p w14:paraId="040CF446" w14:textId="02740E68" w:rsidR="00DA6215" w:rsidRPr="00DA6215" w:rsidRDefault="00DA6215">
      <w:pPr>
        <w:pStyle w:val="TOC4"/>
        <w:rPr>
          <w:rFonts w:eastAsiaTheme="minorEastAsia"/>
          <w:kern w:val="2"/>
          <w:lang w:val="en-US"/>
          <w14:ligatures w14:val="standardContextual"/>
        </w:rPr>
      </w:pPr>
      <w:hyperlink w:anchor="_Toc189044410" w:history="1">
        <w:r w:rsidRPr="00DA6215">
          <w:rPr>
            <w:rStyle w:val="Hyperlink"/>
            <w:u w:val="none"/>
          </w:rPr>
          <w:t>6.6.2.8</w:t>
        </w:r>
        <w:r w:rsidRPr="00DA6215">
          <w:rPr>
            <w:rFonts w:eastAsiaTheme="minorEastAsia"/>
            <w:kern w:val="2"/>
            <w:lang w:val="en-US"/>
            <w14:ligatures w14:val="standardContextual"/>
          </w:rPr>
          <w:tab/>
        </w:r>
        <w:r w:rsidRPr="00DA6215">
          <w:rPr>
            <w:rStyle w:val="Hyperlink"/>
            <w:u w:val="none"/>
          </w:rPr>
          <w:t>QSE DC Tie Export Load Ratio Share by Congestion Management Zone for a Month</w:t>
        </w:r>
        <w:r w:rsidRPr="00DA6215">
          <w:rPr>
            <w:webHidden/>
          </w:rPr>
          <w:tab/>
        </w:r>
        <w:r w:rsidRPr="00DA6215">
          <w:rPr>
            <w:webHidden/>
          </w:rPr>
          <w:fldChar w:fldCharType="begin"/>
        </w:r>
        <w:r w:rsidRPr="00DA6215">
          <w:rPr>
            <w:webHidden/>
          </w:rPr>
          <w:instrText xml:space="preserve"> PAGEREF _Toc189044410 \h </w:instrText>
        </w:r>
        <w:r w:rsidRPr="00DA6215">
          <w:rPr>
            <w:webHidden/>
          </w:rPr>
        </w:r>
        <w:r w:rsidRPr="00DA6215">
          <w:rPr>
            <w:webHidden/>
          </w:rPr>
          <w:fldChar w:fldCharType="separate"/>
        </w:r>
        <w:r w:rsidR="00DD0A69">
          <w:rPr>
            <w:webHidden/>
          </w:rPr>
          <w:t>6-215</w:t>
        </w:r>
        <w:r w:rsidRPr="00DA6215">
          <w:rPr>
            <w:webHidden/>
          </w:rPr>
          <w:fldChar w:fldCharType="end"/>
        </w:r>
      </w:hyperlink>
    </w:p>
    <w:p w14:paraId="0003C879" w14:textId="090BE9F1" w:rsidR="00DA6215" w:rsidRPr="00DA6215" w:rsidRDefault="00DA6215">
      <w:pPr>
        <w:pStyle w:val="TOC3"/>
        <w:rPr>
          <w:rFonts w:eastAsiaTheme="minorEastAsia"/>
          <w:i w:val="0"/>
          <w:iCs w:val="0"/>
          <w:kern w:val="2"/>
          <w14:ligatures w14:val="standardContextual"/>
        </w:rPr>
      </w:pPr>
      <w:hyperlink w:anchor="_Toc189044411" w:history="1">
        <w:r w:rsidRPr="00DA6215">
          <w:rPr>
            <w:rStyle w:val="Hyperlink"/>
            <w:i w:val="0"/>
            <w:iCs w:val="0"/>
            <w:u w:val="none"/>
          </w:rPr>
          <w:t>6.6.3</w:t>
        </w:r>
        <w:r w:rsidRPr="00DA6215">
          <w:rPr>
            <w:rFonts w:eastAsiaTheme="minorEastAsia"/>
            <w:i w:val="0"/>
            <w:iCs w:val="0"/>
            <w:kern w:val="2"/>
            <w14:ligatures w14:val="standardContextual"/>
          </w:rPr>
          <w:tab/>
        </w:r>
        <w:r w:rsidRPr="00DA6215">
          <w:rPr>
            <w:rStyle w:val="Hyperlink"/>
            <w:i w:val="0"/>
            <w:iCs w:val="0"/>
            <w:u w:val="none"/>
          </w:rPr>
          <w:t>Real-Time Energy Charges and Payments</w:t>
        </w:r>
        <w:r w:rsidRPr="00DA6215">
          <w:rPr>
            <w:i w:val="0"/>
            <w:iCs w:val="0"/>
            <w:webHidden/>
          </w:rPr>
          <w:tab/>
        </w:r>
        <w:r w:rsidRPr="00DA6215">
          <w:rPr>
            <w:i w:val="0"/>
            <w:iCs w:val="0"/>
            <w:webHidden/>
          </w:rPr>
          <w:fldChar w:fldCharType="begin"/>
        </w:r>
        <w:r w:rsidRPr="00DA6215">
          <w:rPr>
            <w:i w:val="0"/>
            <w:iCs w:val="0"/>
            <w:webHidden/>
          </w:rPr>
          <w:instrText xml:space="preserve"> PAGEREF _Toc189044411 \h </w:instrText>
        </w:r>
        <w:r w:rsidRPr="00DA6215">
          <w:rPr>
            <w:i w:val="0"/>
            <w:iCs w:val="0"/>
            <w:webHidden/>
          </w:rPr>
        </w:r>
        <w:r w:rsidRPr="00DA6215">
          <w:rPr>
            <w:i w:val="0"/>
            <w:iCs w:val="0"/>
            <w:webHidden/>
          </w:rPr>
          <w:fldChar w:fldCharType="separate"/>
        </w:r>
        <w:r w:rsidR="00DD0A69">
          <w:rPr>
            <w:i w:val="0"/>
            <w:iCs w:val="0"/>
            <w:webHidden/>
          </w:rPr>
          <w:t>6-216</w:t>
        </w:r>
        <w:r w:rsidRPr="00DA6215">
          <w:rPr>
            <w:i w:val="0"/>
            <w:iCs w:val="0"/>
            <w:webHidden/>
          </w:rPr>
          <w:fldChar w:fldCharType="end"/>
        </w:r>
      </w:hyperlink>
    </w:p>
    <w:p w14:paraId="2C2E6F6C" w14:textId="65136168" w:rsidR="00DA6215" w:rsidRPr="00DA6215" w:rsidRDefault="00DA6215">
      <w:pPr>
        <w:pStyle w:val="TOC4"/>
        <w:rPr>
          <w:rFonts w:eastAsiaTheme="minorEastAsia"/>
          <w:kern w:val="2"/>
          <w:lang w:val="en-US"/>
          <w14:ligatures w14:val="standardContextual"/>
        </w:rPr>
      </w:pPr>
      <w:hyperlink w:anchor="_Toc189044412" w:history="1">
        <w:r w:rsidRPr="00DA6215">
          <w:rPr>
            <w:rStyle w:val="Hyperlink"/>
            <w:u w:val="none"/>
          </w:rPr>
          <w:t>6.6.3.1</w:t>
        </w:r>
        <w:r w:rsidRPr="00DA6215">
          <w:rPr>
            <w:rFonts w:eastAsiaTheme="minorEastAsia"/>
            <w:kern w:val="2"/>
            <w:lang w:val="en-US"/>
            <w14:ligatures w14:val="standardContextual"/>
          </w:rPr>
          <w:tab/>
        </w:r>
        <w:r w:rsidRPr="00DA6215">
          <w:rPr>
            <w:rStyle w:val="Hyperlink"/>
            <w:u w:val="none"/>
          </w:rPr>
          <w:t>Real-Time Energy Imbalance Payment or Charge at a Resource Node</w:t>
        </w:r>
        <w:r w:rsidRPr="00DA6215">
          <w:rPr>
            <w:webHidden/>
          </w:rPr>
          <w:tab/>
        </w:r>
        <w:r w:rsidRPr="00DA6215">
          <w:rPr>
            <w:webHidden/>
          </w:rPr>
          <w:fldChar w:fldCharType="begin"/>
        </w:r>
        <w:r w:rsidRPr="00DA6215">
          <w:rPr>
            <w:webHidden/>
          </w:rPr>
          <w:instrText xml:space="preserve"> PAGEREF _Toc189044412 \h </w:instrText>
        </w:r>
        <w:r w:rsidRPr="00DA6215">
          <w:rPr>
            <w:webHidden/>
          </w:rPr>
        </w:r>
        <w:r w:rsidRPr="00DA6215">
          <w:rPr>
            <w:webHidden/>
          </w:rPr>
          <w:fldChar w:fldCharType="separate"/>
        </w:r>
        <w:r w:rsidR="00DD0A69">
          <w:rPr>
            <w:webHidden/>
          </w:rPr>
          <w:t>6-216</w:t>
        </w:r>
        <w:r w:rsidRPr="00DA6215">
          <w:rPr>
            <w:webHidden/>
          </w:rPr>
          <w:fldChar w:fldCharType="end"/>
        </w:r>
      </w:hyperlink>
    </w:p>
    <w:p w14:paraId="0C75552F" w14:textId="79D5D2B4" w:rsidR="00DA6215" w:rsidRPr="00DA6215" w:rsidRDefault="00DA6215">
      <w:pPr>
        <w:pStyle w:val="TOC4"/>
        <w:rPr>
          <w:rFonts w:eastAsiaTheme="minorEastAsia"/>
          <w:kern w:val="2"/>
          <w:lang w:val="en-US"/>
          <w14:ligatures w14:val="standardContextual"/>
        </w:rPr>
      </w:pPr>
      <w:hyperlink w:anchor="_Toc189044413" w:history="1">
        <w:r w:rsidRPr="00DA6215">
          <w:rPr>
            <w:rStyle w:val="Hyperlink"/>
            <w:u w:val="none"/>
          </w:rPr>
          <w:t>6.6.3.2</w:t>
        </w:r>
        <w:r w:rsidRPr="00DA6215">
          <w:rPr>
            <w:rFonts w:eastAsiaTheme="minorEastAsia"/>
            <w:kern w:val="2"/>
            <w:lang w:val="en-US"/>
            <w14:ligatures w14:val="standardContextual"/>
          </w:rPr>
          <w:tab/>
        </w:r>
        <w:r w:rsidRPr="00DA6215">
          <w:rPr>
            <w:rStyle w:val="Hyperlink"/>
            <w:u w:val="none"/>
          </w:rPr>
          <w:t>Real-Time Energy Imbalance Payment or Charge at a Load Zone</w:t>
        </w:r>
        <w:r w:rsidRPr="00DA6215">
          <w:rPr>
            <w:webHidden/>
          </w:rPr>
          <w:tab/>
        </w:r>
        <w:r w:rsidRPr="00DA6215">
          <w:rPr>
            <w:webHidden/>
          </w:rPr>
          <w:fldChar w:fldCharType="begin"/>
        </w:r>
        <w:r w:rsidRPr="00DA6215">
          <w:rPr>
            <w:webHidden/>
          </w:rPr>
          <w:instrText xml:space="preserve"> PAGEREF _Toc189044413 \h </w:instrText>
        </w:r>
        <w:r w:rsidRPr="00DA6215">
          <w:rPr>
            <w:webHidden/>
          </w:rPr>
        </w:r>
        <w:r w:rsidRPr="00DA6215">
          <w:rPr>
            <w:webHidden/>
          </w:rPr>
          <w:fldChar w:fldCharType="separate"/>
        </w:r>
        <w:r w:rsidR="00DD0A69">
          <w:rPr>
            <w:webHidden/>
          </w:rPr>
          <w:t>6-233</w:t>
        </w:r>
        <w:r w:rsidRPr="00DA6215">
          <w:rPr>
            <w:webHidden/>
          </w:rPr>
          <w:fldChar w:fldCharType="end"/>
        </w:r>
      </w:hyperlink>
    </w:p>
    <w:p w14:paraId="0C51B04D" w14:textId="3285D157" w:rsidR="00DA6215" w:rsidRPr="00DA6215" w:rsidRDefault="00DA6215">
      <w:pPr>
        <w:pStyle w:val="TOC4"/>
        <w:rPr>
          <w:rFonts w:eastAsiaTheme="minorEastAsia"/>
          <w:kern w:val="2"/>
          <w:lang w:val="en-US"/>
          <w14:ligatures w14:val="standardContextual"/>
        </w:rPr>
      </w:pPr>
      <w:hyperlink w:anchor="_Toc189044414" w:history="1">
        <w:r w:rsidRPr="00DA6215">
          <w:rPr>
            <w:rStyle w:val="Hyperlink"/>
            <w:u w:val="none"/>
          </w:rPr>
          <w:t>6.6.3.3</w:t>
        </w:r>
        <w:r w:rsidRPr="00DA6215">
          <w:rPr>
            <w:rFonts w:eastAsiaTheme="minorEastAsia"/>
            <w:kern w:val="2"/>
            <w:lang w:val="en-US"/>
            <w14:ligatures w14:val="standardContextual"/>
          </w:rPr>
          <w:tab/>
        </w:r>
        <w:r w:rsidRPr="00DA6215">
          <w:rPr>
            <w:rStyle w:val="Hyperlink"/>
            <w:u w:val="none"/>
          </w:rPr>
          <w:t>Real-Time Energy Imbalance Payment or Charge at a Hub</w:t>
        </w:r>
        <w:r w:rsidRPr="00DA6215">
          <w:rPr>
            <w:webHidden/>
          </w:rPr>
          <w:tab/>
        </w:r>
        <w:r w:rsidRPr="00DA6215">
          <w:rPr>
            <w:webHidden/>
          </w:rPr>
          <w:fldChar w:fldCharType="begin"/>
        </w:r>
        <w:r w:rsidRPr="00DA6215">
          <w:rPr>
            <w:webHidden/>
          </w:rPr>
          <w:instrText xml:space="preserve"> PAGEREF _Toc189044414 \h </w:instrText>
        </w:r>
        <w:r w:rsidRPr="00DA6215">
          <w:rPr>
            <w:webHidden/>
          </w:rPr>
        </w:r>
        <w:r w:rsidRPr="00DA6215">
          <w:rPr>
            <w:webHidden/>
          </w:rPr>
          <w:fldChar w:fldCharType="separate"/>
        </w:r>
        <w:r w:rsidR="00DD0A69">
          <w:rPr>
            <w:webHidden/>
          </w:rPr>
          <w:t>6-237</w:t>
        </w:r>
        <w:r w:rsidRPr="00DA6215">
          <w:rPr>
            <w:webHidden/>
          </w:rPr>
          <w:fldChar w:fldCharType="end"/>
        </w:r>
      </w:hyperlink>
    </w:p>
    <w:p w14:paraId="34E528FE" w14:textId="7478637C" w:rsidR="00DA6215" w:rsidRPr="00DA6215" w:rsidRDefault="00DA6215">
      <w:pPr>
        <w:pStyle w:val="TOC4"/>
        <w:rPr>
          <w:rFonts w:eastAsiaTheme="minorEastAsia"/>
          <w:kern w:val="2"/>
          <w:lang w:val="en-US"/>
          <w14:ligatures w14:val="standardContextual"/>
        </w:rPr>
      </w:pPr>
      <w:hyperlink w:anchor="_Toc189044415" w:history="1">
        <w:r w:rsidRPr="00DA6215">
          <w:rPr>
            <w:rStyle w:val="Hyperlink"/>
            <w:u w:val="none"/>
          </w:rPr>
          <w:t>6.6.3.4</w:t>
        </w:r>
        <w:r w:rsidRPr="00DA6215">
          <w:rPr>
            <w:rFonts w:eastAsiaTheme="minorEastAsia"/>
            <w:kern w:val="2"/>
            <w:lang w:val="en-US"/>
            <w14:ligatures w14:val="standardContextual"/>
          </w:rPr>
          <w:tab/>
        </w:r>
        <w:r w:rsidRPr="00DA6215">
          <w:rPr>
            <w:rStyle w:val="Hyperlink"/>
            <w:u w:val="none"/>
          </w:rPr>
          <w:t>Real-Time Energy Payment for DC Tie Import</w:t>
        </w:r>
        <w:r w:rsidRPr="00DA6215">
          <w:rPr>
            <w:webHidden/>
          </w:rPr>
          <w:tab/>
        </w:r>
        <w:r w:rsidRPr="00DA6215">
          <w:rPr>
            <w:webHidden/>
          </w:rPr>
          <w:fldChar w:fldCharType="begin"/>
        </w:r>
        <w:r w:rsidRPr="00DA6215">
          <w:rPr>
            <w:webHidden/>
          </w:rPr>
          <w:instrText xml:space="preserve"> PAGEREF _Toc189044415 \h </w:instrText>
        </w:r>
        <w:r w:rsidRPr="00DA6215">
          <w:rPr>
            <w:webHidden/>
          </w:rPr>
        </w:r>
        <w:r w:rsidRPr="00DA6215">
          <w:rPr>
            <w:webHidden/>
          </w:rPr>
          <w:fldChar w:fldCharType="separate"/>
        </w:r>
        <w:r w:rsidR="00DD0A69">
          <w:rPr>
            <w:webHidden/>
          </w:rPr>
          <w:t>6-238</w:t>
        </w:r>
        <w:r w:rsidRPr="00DA6215">
          <w:rPr>
            <w:webHidden/>
          </w:rPr>
          <w:fldChar w:fldCharType="end"/>
        </w:r>
      </w:hyperlink>
    </w:p>
    <w:p w14:paraId="56625E25" w14:textId="6033BBC5" w:rsidR="00DA6215" w:rsidRPr="00DA6215" w:rsidRDefault="00DA6215">
      <w:pPr>
        <w:pStyle w:val="TOC4"/>
        <w:rPr>
          <w:rFonts w:eastAsiaTheme="minorEastAsia"/>
          <w:kern w:val="2"/>
          <w:lang w:val="en-US"/>
          <w14:ligatures w14:val="standardContextual"/>
        </w:rPr>
      </w:pPr>
      <w:hyperlink w:anchor="_Toc189044416" w:history="1">
        <w:r w:rsidRPr="00DA6215">
          <w:rPr>
            <w:rStyle w:val="Hyperlink"/>
            <w:u w:val="none"/>
          </w:rPr>
          <w:t>6.6.3.5</w:t>
        </w:r>
        <w:r w:rsidRPr="00DA6215">
          <w:rPr>
            <w:rFonts w:eastAsiaTheme="minorEastAsia"/>
            <w:kern w:val="2"/>
            <w:lang w:val="en-US"/>
            <w14:ligatures w14:val="standardContextual"/>
          </w:rPr>
          <w:tab/>
        </w:r>
        <w:r w:rsidRPr="00DA6215">
          <w:rPr>
            <w:rStyle w:val="Hyperlink"/>
            <w:u w:val="none"/>
          </w:rPr>
          <w:t>Real-Time Payment for a Block Load Transfer Point</w:t>
        </w:r>
        <w:r w:rsidRPr="00DA6215">
          <w:rPr>
            <w:webHidden/>
          </w:rPr>
          <w:tab/>
        </w:r>
        <w:r w:rsidRPr="00DA6215">
          <w:rPr>
            <w:webHidden/>
          </w:rPr>
          <w:fldChar w:fldCharType="begin"/>
        </w:r>
        <w:r w:rsidRPr="00DA6215">
          <w:rPr>
            <w:webHidden/>
          </w:rPr>
          <w:instrText xml:space="preserve"> PAGEREF _Toc189044416 \h </w:instrText>
        </w:r>
        <w:r w:rsidRPr="00DA6215">
          <w:rPr>
            <w:webHidden/>
          </w:rPr>
        </w:r>
        <w:r w:rsidRPr="00DA6215">
          <w:rPr>
            <w:webHidden/>
          </w:rPr>
          <w:fldChar w:fldCharType="separate"/>
        </w:r>
        <w:r w:rsidR="00DD0A69">
          <w:rPr>
            <w:webHidden/>
          </w:rPr>
          <w:t>6-240</w:t>
        </w:r>
        <w:r w:rsidRPr="00DA6215">
          <w:rPr>
            <w:webHidden/>
          </w:rPr>
          <w:fldChar w:fldCharType="end"/>
        </w:r>
      </w:hyperlink>
    </w:p>
    <w:p w14:paraId="16C286AD" w14:textId="4C7AC3B9" w:rsidR="00DA6215" w:rsidRPr="00DA6215" w:rsidRDefault="00DA6215">
      <w:pPr>
        <w:pStyle w:val="TOC4"/>
        <w:rPr>
          <w:rFonts w:eastAsiaTheme="minorEastAsia"/>
          <w:kern w:val="2"/>
          <w:lang w:val="en-US"/>
          <w14:ligatures w14:val="standardContextual"/>
        </w:rPr>
      </w:pPr>
      <w:hyperlink w:anchor="_Toc189044417" w:history="1">
        <w:r w:rsidRPr="00DA6215">
          <w:rPr>
            <w:rStyle w:val="Hyperlink"/>
            <w:u w:val="none"/>
          </w:rPr>
          <w:t>6.6.3.6</w:t>
        </w:r>
        <w:r w:rsidRPr="00DA6215">
          <w:rPr>
            <w:rFonts w:eastAsiaTheme="minorEastAsia"/>
            <w:kern w:val="2"/>
            <w:lang w:val="en-US"/>
            <w14:ligatures w14:val="standardContextual"/>
          </w:rPr>
          <w:tab/>
        </w:r>
        <w:r w:rsidRPr="00DA6215">
          <w:rPr>
            <w:rStyle w:val="Hyperlink"/>
            <w:u w:val="none"/>
          </w:rPr>
          <w:t>Real-Time High Dispatch Limit Override Energy Payment</w:t>
        </w:r>
        <w:r w:rsidRPr="00DA6215">
          <w:rPr>
            <w:webHidden/>
          </w:rPr>
          <w:tab/>
        </w:r>
        <w:r w:rsidRPr="00DA6215">
          <w:rPr>
            <w:webHidden/>
          </w:rPr>
          <w:fldChar w:fldCharType="begin"/>
        </w:r>
        <w:r w:rsidRPr="00DA6215">
          <w:rPr>
            <w:webHidden/>
          </w:rPr>
          <w:instrText xml:space="preserve"> PAGEREF _Toc189044417 \h </w:instrText>
        </w:r>
        <w:r w:rsidRPr="00DA6215">
          <w:rPr>
            <w:webHidden/>
          </w:rPr>
        </w:r>
        <w:r w:rsidRPr="00DA6215">
          <w:rPr>
            <w:webHidden/>
          </w:rPr>
          <w:fldChar w:fldCharType="separate"/>
        </w:r>
        <w:r w:rsidR="00DD0A69">
          <w:rPr>
            <w:webHidden/>
          </w:rPr>
          <w:t>6-243</w:t>
        </w:r>
        <w:r w:rsidRPr="00DA6215">
          <w:rPr>
            <w:webHidden/>
          </w:rPr>
          <w:fldChar w:fldCharType="end"/>
        </w:r>
      </w:hyperlink>
    </w:p>
    <w:p w14:paraId="3FB552BF" w14:textId="7E5B848F" w:rsidR="00DA6215" w:rsidRPr="00DA6215" w:rsidRDefault="00DA6215">
      <w:pPr>
        <w:pStyle w:val="TOC4"/>
        <w:rPr>
          <w:rFonts w:eastAsiaTheme="minorEastAsia"/>
          <w:kern w:val="2"/>
          <w:lang w:val="en-US"/>
          <w14:ligatures w14:val="standardContextual"/>
        </w:rPr>
      </w:pPr>
      <w:hyperlink w:anchor="_Toc189044418" w:history="1">
        <w:r w:rsidRPr="00DA6215">
          <w:rPr>
            <w:rStyle w:val="Hyperlink"/>
            <w:u w:val="none"/>
          </w:rPr>
          <w:t>6.6.3.6</w:t>
        </w:r>
        <w:r w:rsidRPr="00DA6215">
          <w:rPr>
            <w:rFonts w:eastAsiaTheme="minorEastAsia"/>
            <w:kern w:val="2"/>
            <w:lang w:val="en-US"/>
            <w14:ligatures w14:val="standardContextual"/>
          </w:rPr>
          <w:tab/>
        </w:r>
        <w:r w:rsidRPr="00DA6215">
          <w:rPr>
            <w:rStyle w:val="Hyperlink"/>
            <w:u w:val="none"/>
          </w:rPr>
          <w:t>Real-Time High Dispatch Limit Override Energy Payment</w:t>
        </w:r>
        <w:r w:rsidRPr="00DA6215">
          <w:rPr>
            <w:webHidden/>
          </w:rPr>
          <w:tab/>
        </w:r>
        <w:r w:rsidRPr="00DA6215">
          <w:rPr>
            <w:webHidden/>
          </w:rPr>
          <w:fldChar w:fldCharType="begin"/>
        </w:r>
        <w:r w:rsidRPr="00DA6215">
          <w:rPr>
            <w:webHidden/>
          </w:rPr>
          <w:instrText xml:space="preserve"> PAGEREF _Toc189044418 \h </w:instrText>
        </w:r>
        <w:r w:rsidRPr="00DA6215">
          <w:rPr>
            <w:webHidden/>
          </w:rPr>
        </w:r>
        <w:r w:rsidRPr="00DA6215">
          <w:rPr>
            <w:webHidden/>
          </w:rPr>
          <w:fldChar w:fldCharType="separate"/>
        </w:r>
        <w:r w:rsidR="00DD0A69">
          <w:rPr>
            <w:webHidden/>
          </w:rPr>
          <w:t>6-247</w:t>
        </w:r>
        <w:r w:rsidRPr="00DA6215">
          <w:rPr>
            <w:webHidden/>
          </w:rPr>
          <w:fldChar w:fldCharType="end"/>
        </w:r>
      </w:hyperlink>
    </w:p>
    <w:p w14:paraId="2A343032" w14:textId="76A652CB" w:rsidR="00DA6215" w:rsidRPr="00DA6215" w:rsidRDefault="00DA6215">
      <w:pPr>
        <w:pStyle w:val="TOC4"/>
        <w:rPr>
          <w:rFonts w:eastAsiaTheme="minorEastAsia"/>
          <w:kern w:val="2"/>
          <w:lang w:val="en-US"/>
          <w14:ligatures w14:val="standardContextual"/>
        </w:rPr>
      </w:pPr>
      <w:hyperlink w:anchor="_Toc189044419" w:history="1">
        <w:r w:rsidRPr="00DA6215">
          <w:rPr>
            <w:rStyle w:val="Hyperlink"/>
            <w:u w:val="none"/>
          </w:rPr>
          <w:t>6.6.3.7</w:t>
        </w:r>
        <w:r w:rsidRPr="00DA6215">
          <w:rPr>
            <w:rFonts w:eastAsiaTheme="minorEastAsia"/>
            <w:kern w:val="2"/>
            <w:lang w:val="en-US"/>
            <w14:ligatures w14:val="standardContextual"/>
          </w:rPr>
          <w:tab/>
        </w:r>
        <w:r w:rsidRPr="00DA6215">
          <w:rPr>
            <w:rStyle w:val="Hyperlink"/>
            <w:u w:val="none"/>
          </w:rPr>
          <w:t>Real-Time High Dispatch Limit Override Energy Charge</w:t>
        </w:r>
        <w:r w:rsidRPr="00DA6215">
          <w:rPr>
            <w:webHidden/>
          </w:rPr>
          <w:tab/>
        </w:r>
        <w:r w:rsidRPr="00DA6215">
          <w:rPr>
            <w:webHidden/>
          </w:rPr>
          <w:fldChar w:fldCharType="begin"/>
        </w:r>
        <w:r w:rsidRPr="00DA6215">
          <w:rPr>
            <w:webHidden/>
          </w:rPr>
          <w:instrText xml:space="preserve"> PAGEREF _Toc189044419 \h </w:instrText>
        </w:r>
        <w:r w:rsidRPr="00DA6215">
          <w:rPr>
            <w:webHidden/>
          </w:rPr>
        </w:r>
        <w:r w:rsidRPr="00DA6215">
          <w:rPr>
            <w:webHidden/>
          </w:rPr>
          <w:fldChar w:fldCharType="separate"/>
        </w:r>
        <w:r w:rsidR="00DD0A69">
          <w:rPr>
            <w:webHidden/>
          </w:rPr>
          <w:t>6-250</w:t>
        </w:r>
        <w:r w:rsidRPr="00DA6215">
          <w:rPr>
            <w:webHidden/>
          </w:rPr>
          <w:fldChar w:fldCharType="end"/>
        </w:r>
      </w:hyperlink>
    </w:p>
    <w:p w14:paraId="2F29BA98" w14:textId="537323C3" w:rsidR="00DA6215" w:rsidRPr="00DA6215" w:rsidRDefault="00DA6215">
      <w:pPr>
        <w:pStyle w:val="TOC4"/>
        <w:rPr>
          <w:rFonts w:eastAsiaTheme="minorEastAsia"/>
          <w:kern w:val="2"/>
          <w:lang w:val="en-US"/>
          <w14:ligatures w14:val="standardContextual"/>
        </w:rPr>
      </w:pPr>
      <w:hyperlink w:anchor="_Toc189044420" w:history="1">
        <w:r w:rsidRPr="00DA6215">
          <w:rPr>
            <w:rStyle w:val="Hyperlink"/>
            <w:snapToGrid w:val="0"/>
            <w:u w:val="none"/>
          </w:rPr>
          <w:t>6.6.3.8</w:t>
        </w:r>
        <w:r w:rsidRPr="00DA6215">
          <w:rPr>
            <w:rFonts w:eastAsiaTheme="minorEastAsia"/>
            <w:kern w:val="2"/>
            <w:lang w:val="en-US"/>
            <w14:ligatures w14:val="standardContextual"/>
          </w:rPr>
          <w:tab/>
        </w:r>
        <w:r w:rsidRPr="00DA6215">
          <w:rPr>
            <w:rStyle w:val="Hyperlink"/>
            <w:snapToGrid w:val="0"/>
            <w:u w:val="none"/>
          </w:rPr>
          <w:t>Real-Time Payment or Charge for Energy from a Settlement Only Distribution Generator (SODG) or a Settlement Only Transmission Generator (SOTG)</w:t>
        </w:r>
        <w:r w:rsidRPr="00DA6215">
          <w:rPr>
            <w:webHidden/>
          </w:rPr>
          <w:tab/>
        </w:r>
        <w:r w:rsidRPr="00DA6215">
          <w:rPr>
            <w:webHidden/>
          </w:rPr>
          <w:fldChar w:fldCharType="begin"/>
        </w:r>
        <w:r w:rsidRPr="00DA6215">
          <w:rPr>
            <w:webHidden/>
          </w:rPr>
          <w:instrText xml:space="preserve"> PAGEREF _Toc189044420 \h </w:instrText>
        </w:r>
        <w:r w:rsidRPr="00DA6215">
          <w:rPr>
            <w:webHidden/>
          </w:rPr>
        </w:r>
        <w:r w:rsidRPr="00DA6215">
          <w:rPr>
            <w:webHidden/>
          </w:rPr>
          <w:fldChar w:fldCharType="separate"/>
        </w:r>
        <w:r w:rsidR="00DD0A69">
          <w:rPr>
            <w:webHidden/>
          </w:rPr>
          <w:t>6-250</w:t>
        </w:r>
        <w:r w:rsidRPr="00DA6215">
          <w:rPr>
            <w:webHidden/>
          </w:rPr>
          <w:fldChar w:fldCharType="end"/>
        </w:r>
      </w:hyperlink>
    </w:p>
    <w:p w14:paraId="6EE8172F" w14:textId="334BBCB3" w:rsidR="00DA6215" w:rsidRPr="00DA6215" w:rsidRDefault="00DA6215">
      <w:pPr>
        <w:pStyle w:val="TOC4"/>
        <w:rPr>
          <w:rFonts w:eastAsiaTheme="minorEastAsia"/>
          <w:kern w:val="2"/>
          <w:lang w:val="en-US"/>
          <w14:ligatures w14:val="standardContextual"/>
        </w:rPr>
      </w:pPr>
      <w:hyperlink w:anchor="_Toc189044421" w:history="1">
        <w:r w:rsidRPr="00DA6215">
          <w:rPr>
            <w:rStyle w:val="Hyperlink"/>
            <w:u w:val="none"/>
          </w:rPr>
          <w:t>6.6.3.8</w:t>
        </w:r>
        <w:r w:rsidRPr="00DA6215">
          <w:rPr>
            <w:rFonts w:eastAsiaTheme="minorEastAsia"/>
            <w:kern w:val="2"/>
            <w:lang w:val="en-US"/>
            <w14:ligatures w14:val="standardContextual"/>
          </w:rPr>
          <w:tab/>
        </w:r>
        <w:r w:rsidRPr="00DA6215">
          <w:rPr>
            <w:rStyle w:val="Hyperlink"/>
            <w:u w:val="none"/>
          </w:rPr>
          <w:t>Real-Time Payment or Charge for Energy from a Settlement Only Distribution Generator (SODG), Settlement Only Transmission Generator (SOTG), Settlement Only Distribution Energy Storage System (SODESS), or Settlement Only Transmission Energy Storage System (SOTESS)</w:t>
        </w:r>
        <w:r w:rsidRPr="00DA6215">
          <w:rPr>
            <w:webHidden/>
          </w:rPr>
          <w:tab/>
        </w:r>
        <w:r w:rsidRPr="00DA6215">
          <w:rPr>
            <w:webHidden/>
          </w:rPr>
          <w:fldChar w:fldCharType="begin"/>
        </w:r>
        <w:r w:rsidRPr="00DA6215">
          <w:rPr>
            <w:webHidden/>
          </w:rPr>
          <w:instrText xml:space="preserve"> PAGEREF _Toc189044421 \h </w:instrText>
        </w:r>
        <w:r w:rsidRPr="00DA6215">
          <w:rPr>
            <w:webHidden/>
          </w:rPr>
        </w:r>
        <w:r w:rsidRPr="00DA6215">
          <w:rPr>
            <w:webHidden/>
          </w:rPr>
          <w:fldChar w:fldCharType="separate"/>
        </w:r>
        <w:r w:rsidR="00DD0A69">
          <w:rPr>
            <w:webHidden/>
          </w:rPr>
          <w:t>6-254</w:t>
        </w:r>
        <w:r w:rsidRPr="00DA6215">
          <w:rPr>
            <w:webHidden/>
          </w:rPr>
          <w:fldChar w:fldCharType="end"/>
        </w:r>
      </w:hyperlink>
    </w:p>
    <w:p w14:paraId="58CE483B" w14:textId="4341434A" w:rsidR="00DA6215" w:rsidRPr="00DA6215" w:rsidRDefault="00DA6215">
      <w:pPr>
        <w:pStyle w:val="TOC3"/>
        <w:rPr>
          <w:rFonts w:eastAsiaTheme="minorEastAsia"/>
          <w:i w:val="0"/>
          <w:iCs w:val="0"/>
          <w:kern w:val="2"/>
          <w14:ligatures w14:val="standardContextual"/>
        </w:rPr>
      </w:pPr>
      <w:hyperlink w:anchor="_Toc189044422" w:history="1">
        <w:r w:rsidRPr="00DA6215">
          <w:rPr>
            <w:rStyle w:val="Hyperlink"/>
            <w:i w:val="0"/>
            <w:iCs w:val="0"/>
            <w:u w:val="none"/>
          </w:rPr>
          <w:t>6.6.4</w:t>
        </w:r>
        <w:r w:rsidRPr="00DA6215">
          <w:rPr>
            <w:rFonts w:eastAsiaTheme="minorEastAsia"/>
            <w:i w:val="0"/>
            <w:iCs w:val="0"/>
            <w:kern w:val="2"/>
            <w14:ligatures w14:val="standardContextual"/>
          </w:rPr>
          <w:tab/>
        </w:r>
        <w:r w:rsidRPr="00DA6215">
          <w:rPr>
            <w:rStyle w:val="Hyperlink"/>
            <w:i w:val="0"/>
            <w:iCs w:val="0"/>
            <w:u w:val="none"/>
          </w:rPr>
          <w:t>Real-Time Congestion Payment or Charge for Self-Schedules</w:t>
        </w:r>
        <w:r w:rsidRPr="00DA6215">
          <w:rPr>
            <w:i w:val="0"/>
            <w:iCs w:val="0"/>
            <w:webHidden/>
          </w:rPr>
          <w:tab/>
        </w:r>
        <w:r w:rsidRPr="00DA6215">
          <w:rPr>
            <w:i w:val="0"/>
            <w:iCs w:val="0"/>
            <w:webHidden/>
          </w:rPr>
          <w:fldChar w:fldCharType="begin"/>
        </w:r>
        <w:r w:rsidRPr="00DA6215">
          <w:rPr>
            <w:i w:val="0"/>
            <w:iCs w:val="0"/>
            <w:webHidden/>
          </w:rPr>
          <w:instrText xml:space="preserve"> PAGEREF _Toc189044422 \h </w:instrText>
        </w:r>
        <w:r w:rsidRPr="00DA6215">
          <w:rPr>
            <w:i w:val="0"/>
            <w:iCs w:val="0"/>
            <w:webHidden/>
          </w:rPr>
        </w:r>
        <w:r w:rsidRPr="00DA6215">
          <w:rPr>
            <w:i w:val="0"/>
            <w:iCs w:val="0"/>
            <w:webHidden/>
          </w:rPr>
          <w:fldChar w:fldCharType="separate"/>
        </w:r>
        <w:r w:rsidR="00DD0A69">
          <w:rPr>
            <w:i w:val="0"/>
            <w:iCs w:val="0"/>
            <w:webHidden/>
          </w:rPr>
          <w:t>6-257</w:t>
        </w:r>
        <w:r w:rsidRPr="00DA6215">
          <w:rPr>
            <w:i w:val="0"/>
            <w:iCs w:val="0"/>
            <w:webHidden/>
          </w:rPr>
          <w:fldChar w:fldCharType="end"/>
        </w:r>
      </w:hyperlink>
    </w:p>
    <w:p w14:paraId="7CB5D779" w14:textId="2C556984" w:rsidR="00DA6215" w:rsidRPr="00DA6215" w:rsidRDefault="00DA6215">
      <w:pPr>
        <w:pStyle w:val="TOC3"/>
        <w:rPr>
          <w:rFonts w:eastAsiaTheme="minorEastAsia"/>
          <w:i w:val="0"/>
          <w:iCs w:val="0"/>
          <w:kern w:val="2"/>
          <w14:ligatures w14:val="standardContextual"/>
        </w:rPr>
      </w:pPr>
      <w:hyperlink w:anchor="_Toc189044423" w:history="1">
        <w:r w:rsidRPr="00DA6215">
          <w:rPr>
            <w:rStyle w:val="Hyperlink"/>
            <w:i w:val="0"/>
            <w:iCs w:val="0"/>
            <w:u w:val="none"/>
            <w:lang w:val="fr-FR"/>
          </w:rPr>
          <w:t>6.6.5</w:t>
        </w:r>
        <w:r w:rsidRPr="00DA6215">
          <w:rPr>
            <w:rFonts w:eastAsiaTheme="minorEastAsia"/>
            <w:i w:val="0"/>
            <w:iCs w:val="0"/>
            <w:kern w:val="2"/>
            <w14:ligatures w14:val="standardContextual"/>
          </w:rPr>
          <w:tab/>
        </w:r>
        <w:r w:rsidRPr="00DA6215">
          <w:rPr>
            <w:rStyle w:val="Hyperlink"/>
            <w:i w:val="0"/>
            <w:iCs w:val="0"/>
            <w:u w:val="none"/>
            <w:lang w:val="fr-FR"/>
          </w:rPr>
          <w:t>Base Point Deviation Charge</w:t>
        </w:r>
        <w:r w:rsidRPr="00DA6215">
          <w:rPr>
            <w:i w:val="0"/>
            <w:iCs w:val="0"/>
            <w:webHidden/>
          </w:rPr>
          <w:tab/>
        </w:r>
        <w:r w:rsidRPr="00DA6215">
          <w:rPr>
            <w:i w:val="0"/>
            <w:iCs w:val="0"/>
            <w:webHidden/>
          </w:rPr>
          <w:fldChar w:fldCharType="begin"/>
        </w:r>
        <w:r w:rsidRPr="00DA6215">
          <w:rPr>
            <w:i w:val="0"/>
            <w:iCs w:val="0"/>
            <w:webHidden/>
          </w:rPr>
          <w:instrText xml:space="preserve"> PAGEREF _Toc189044423 \h </w:instrText>
        </w:r>
        <w:r w:rsidRPr="00DA6215">
          <w:rPr>
            <w:i w:val="0"/>
            <w:iCs w:val="0"/>
            <w:webHidden/>
          </w:rPr>
        </w:r>
        <w:r w:rsidRPr="00DA6215">
          <w:rPr>
            <w:i w:val="0"/>
            <w:iCs w:val="0"/>
            <w:webHidden/>
          </w:rPr>
          <w:fldChar w:fldCharType="separate"/>
        </w:r>
        <w:r w:rsidR="00DD0A69">
          <w:rPr>
            <w:i w:val="0"/>
            <w:iCs w:val="0"/>
            <w:webHidden/>
          </w:rPr>
          <w:t>6-258</w:t>
        </w:r>
        <w:r w:rsidRPr="00DA6215">
          <w:rPr>
            <w:i w:val="0"/>
            <w:iCs w:val="0"/>
            <w:webHidden/>
          </w:rPr>
          <w:fldChar w:fldCharType="end"/>
        </w:r>
      </w:hyperlink>
    </w:p>
    <w:p w14:paraId="67182734" w14:textId="4952041C" w:rsidR="00DA6215" w:rsidRPr="00DA6215" w:rsidRDefault="00DA6215">
      <w:pPr>
        <w:pStyle w:val="TOC3"/>
        <w:rPr>
          <w:rFonts w:eastAsiaTheme="minorEastAsia"/>
          <w:i w:val="0"/>
          <w:iCs w:val="0"/>
          <w:kern w:val="2"/>
          <w14:ligatures w14:val="standardContextual"/>
        </w:rPr>
      </w:pPr>
      <w:hyperlink w:anchor="_Toc189044424" w:history="1">
        <w:r w:rsidRPr="00DA6215">
          <w:rPr>
            <w:rStyle w:val="Hyperlink"/>
            <w:i w:val="0"/>
            <w:iCs w:val="0"/>
            <w:u w:val="none"/>
            <w:lang w:val="fr-FR"/>
          </w:rPr>
          <w:t>6.6.5</w:t>
        </w:r>
        <w:r w:rsidRPr="00DA6215">
          <w:rPr>
            <w:rFonts w:eastAsiaTheme="minorEastAsia"/>
            <w:i w:val="0"/>
            <w:iCs w:val="0"/>
            <w:kern w:val="2"/>
            <w14:ligatures w14:val="standardContextual"/>
          </w:rPr>
          <w:tab/>
        </w:r>
        <w:r w:rsidRPr="00DA6215">
          <w:rPr>
            <w:rStyle w:val="Hyperlink"/>
            <w:i w:val="0"/>
            <w:iCs w:val="0"/>
            <w:u w:val="none"/>
            <w:lang w:val="fr-FR"/>
          </w:rPr>
          <w:t>Set Point Deviation Charge</w:t>
        </w:r>
        <w:r w:rsidRPr="00DA6215">
          <w:rPr>
            <w:i w:val="0"/>
            <w:iCs w:val="0"/>
            <w:webHidden/>
          </w:rPr>
          <w:tab/>
        </w:r>
        <w:r w:rsidRPr="00DA6215">
          <w:rPr>
            <w:i w:val="0"/>
            <w:iCs w:val="0"/>
            <w:webHidden/>
          </w:rPr>
          <w:fldChar w:fldCharType="begin"/>
        </w:r>
        <w:r w:rsidRPr="00DA6215">
          <w:rPr>
            <w:i w:val="0"/>
            <w:iCs w:val="0"/>
            <w:webHidden/>
          </w:rPr>
          <w:instrText xml:space="preserve"> PAGEREF _Toc189044424 \h </w:instrText>
        </w:r>
        <w:r w:rsidRPr="00DA6215">
          <w:rPr>
            <w:i w:val="0"/>
            <w:iCs w:val="0"/>
            <w:webHidden/>
          </w:rPr>
        </w:r>
        <w:r w:rsidRPr="00DA6215">
          <w:rPr>
            <w:i w:val="0"/>
            <w:iCs w:val="0"/>
            <w:webHidden/>
          </w:rPr>
          <w:fldChar w:fldCharType="separate"/>
        </w:r>
        <w:r w:rsidR="00DD0A69">
          <w:rPr>
            <w:i w:val="0"/>
            <w:iCs w:val="0"/>
            <w:webHidden/>
          </w:rPr>
          <w:t>6-258</w:t>
        </w:r>
        <w:r w:rsidRPr="00DA6215">
          <w:rPr>
            <w:i w:val="0"/>
            <w:iCs w:val="0"/>
            <w:webHidden/>
          </w:rPr>
          <w:fldChar w:fldCharType="end"/>
        </w:r>
      </w:hyperlink>
    </w:p>
    <w:p w14:paraId="24A4E59C" w14:textId="1F743C2D" w:rsidR="00DA6215" w:rsidRPr="00DA6215" w:rsidRDefault="00DA6215">
      <w:pPr>
        <w:pStyle w:val="TOC4"/>
        <w:rPr>
          <w:rFonts w:eastAsiaTheme="minorEastAsia"/>
          <w:kern w:val="2"/>
          <w:lang w:val="en-US"/>
          <w14:ligatures w14:val="standardContextual"/>
        </w:rPr>
      </w:pPr>
      <w:hyperlink w:anchor="_Toc189044425" w:history="1">
        <w:r w:rsidRPr="00DA6215">
          <w:rPr>
            <w:rStyle w:val="Hyperlink"/>
            <w:u w:val="none"/>
          </w:rPr>
          <w:t>6.6.5.1</w:t>
        </w:r>
        <w:r w:rsidRPr="00DA6215">
          <w:rPr>
            <w:rFonts w:eastAsiaTheme="minorEastAsia"/>
            <w:kern w:val="2"/>
            <w:lang w:val="en-US"/>
            <w14:ligatures w14:val="standardContextual"/>
          </w:rPr>
          <w:tab/>
        </w:r>
        <w:r w:rsidRPr="00DA6215">
          <w:rPr>
            <w:rStyle w:val="Hyperlink"/>
            <w:u w:val="none"/>
          </w:rPr>
          <w:t>Resource Base Point Deviation Charge</w:t>
        </w:r>
        <w:r w:rsidRPr="00DA6215">
          <w:rPr>
            <w:webHidden/>
          </w:rPr>
          <w:tab/>
        </w:r>
        <w:r w:rsidRPr="00DA6215">
          <w:rPr>
            <w:webHidden/>
          </w:rPr>
          <w:fldChar w:fldCharType="begin"/>
        </w:r>
        <w:r w:rsidRPr="00DA6215">
          <w:rPr>
            <w:webHidden/>
          </w:rPr>
          <w:instrText xml:space="preserve"> PAGEREF _Toc189044425 \h </w:instrText>
        </w:r>
        <w:r w:rsidRPr="00DA6215">
          <w:rPr>
            <w:webHidden/>
          </w:rPr>
        </w:r>
        <w:r w:rsidRPr="00DA6215">
          <w:rPr>
            <w:webHidden/>
          </w:rPr>
          <w:fldChar w:fldCharType="separate"/>
        </w:r>
        <w:r w:rsidR="00DD0A69">
          <w:rPr>
            <w:webHidden/>
          </w:rPr>
          <w:t>6-258</w:t>
        </w:r>
        <w:r w:rsidRPr="00DA6215">
          <w:rPr>
            <w:webHidden/>
          </w:rPr>
          <w:fldChar w:fldCharType="end"/>
        </w:r>
      </w:hyperlink>
    </w:p>
    <w:p w14:paraId="650964D7" w14:textId="5611F96C" w:rsidR="00DA6215" w:rsidRPr="00DA6215" w:rsidRDefault="00DA6215">
      <w:pPr>
        <w:pStyle w:val="TOC4"/>
        <w:rPr>
          <w:rFonts w:eastAsiaTheme="minorEastAsia"/>
          <w:kern w:val="2"/>
          <w:lang w:val="en-US"/>
          <w14:ligatures w14:val="standardContextual"/>
        </w:rPr>
      </w:pPr>
      <w:hyperlink w:anchor="_Toc189044426" w:history="1">
        <w:r w:rsidRPr="00DA6215">
          <w:rPr>
            <w:rStyle w:val="Hyperlink"/>
            <w:u w:val="none"/>
          </w:rPr>
          <w:t>6.6.5.1</w:t>
        </w:r>
        <w:r w:rsidRPr="00DA6215">
          <w:rPr>
            <w:rFonts w:eastAsiaTheme="minorEastAsia"/>
            <w:kern w:val="2"/>
            <w:lang w:val="en-US"/>
            <w14:ligatures w14:val="standardContextual"/>
          </w:rPr>
          <w:tab/>
        </w:r>
        <w:r w:rsidRPr="00DA6215">
          <w:rPr>
            <w:rStyle w:val="Hyperlink"/>
            <w:u w:val="none"/>
          </w:rPr>
          <w:t>Resource Set Point Deviation Charge</w:t>
        </w:r>
        <w:r w:rsidRPr="00DA6215">
          <w:rPr>
            <w:webHidden/>
          </w:rPr>
          <w:tab/>
        </w:r>
        <w:r w:rsidRPr="00DA6215">
          <w:rPr>
            <w:webHidden/>
          </w:rPr>
          <w:fldChar w:fldCharType="begin"/>
        </w:r>
        <w:r w:rsidRPr="00DA6215">
          <w:rPr>
            <w:webHidden/>
          </w:rPr>
          <w:instrText xml:space="preserve"> PAGEREF _Toc189044426 \h </w:instrText>
        </w:r>
        <w:r w:rsidRPr="00DA6215">
          <w:rPr>
            <w:webHidden/>
          </w:rPr>
        </w:r>
        <w:r w:rsidRPr="00DA6215">
          <w:rPr>
            <w:webHidden/>
          </w:rPr>
          <w:fldChar w:fldCharType="separate"/>
        </w:r>
        <w:r w:rsidR="00DD0A69">
          <w:rPr>
            <w:webHidden/>
          </w:rPr>
          <w:t>6-261</w:t>
        </w:r>
        <w:r w:rsidRPr="00DA6215">
          <w:rPr>
            <w:webHidden/>
          </w:rPr>
          <w:fldChar w:fldCharType="end"/>
        </w:r>
      </w:hyperlink>
    </w:p>
    <w:p w14:paraId="346E7DC6" w14:textId="3041341C" w:rsidR="00DA6215" w:rsidRPr="00DA6215" w:rsidRDefault="00DA6215">
      <w:pPr>
        <w:pStyle w:val="TOC5"/>
        <w:rPr>
          <w:rFonts w:eastAsiaTheme="minorEastAsia"/>
          <w:i w:val="0"/>
          <w:kern w:val="2"/>
          <w:sz w:val="20"/>
          <w:szCs w:val="20"/>
          <w14:ligatures w14:val="standardContextual"/>
        </w:rPr>
      </w:pPr>
      <w:hyperlink w:anchor="_Toc189044427" w:history="1">
        <w:r w:rsidRPr="00DA6215">
          <w:rPr>
            <w:rStyle w:val="Hyperlink"/>
            <w:i w:val="0"/>
            <w:sz w:val="20"/>
            <w:szCs w:val="20"/>
            <w:u w:val="none"/>
          </w:rPr>
          <w:t>6.6.5.1.1</w:t>
        </w:r>
        <w:r w:rsidRPr="00DA6215">
          <w:rPr>
            <w:rFonts w:eastAsiaTheme="minorEastAsia"/>
            <w:i w:val="0"/>
            <w:kern w:val="2"/>
            <w:sz w:val="20"/>
            <w:szCs w:val="20"/>
            <w14:ligatures w14:val="standardContextual"/>
          </w:rPr>
          <w:tab/>
        </w:r>
        <w:r w:rsidRPr="00DA6215">
          <w:rPr>
            <w:rStyle w:val="Hyperlink"/>
            <w:i w:val="0"/>
            <w:sz w:val="20"/>
            <w:szCs w:val="20"/>
            <w:u w:val="none"/>
          </w:rPr>
          <w:t>General Generation Resource and Controllable Load Resource Base Point Deviation Charge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_Toc189044427 \h </w:instrText>
        </w:r>
        <w:r w:rsidRPr="00DA6215">
          <w:rPr>
            <w:i w:val="0"/>
            <w:webHidden/>
            <w:sz w:val="20"/>
            <w:szCs w:val="20"/>
          </w:rPr>
        </w:r>
        <w:r w:rsidRPr="00DA6215">
          <w:rPr>
            <w:i w:val="0"/>
            <w:webHidden/>
            <w:sz w:val="20"/>
            <w:szCs w:val="20"/>
          </w:rPr>
          <w:fldChar w:fldCharType="separate"/>
        </w:r>
        <w:r w:rsidR="00DD0A69">
          <w:rPr>
            <w:i w:val="0"/>
            <w:webHidden/>
            <w:sz w:val="20"/>
            <w:szCs w:val="20"/>
          </w:rPr>
          <w:t>6-261</w:t>
        </w:r>
        <w:r w:rsidRPr="00DA6215">
          <w:rPr>
            <w:i w:val="0"/>
            <w:webHidden/>
            <w:sz w:val="20"/>
            <w:szCs w:val="20"/>
          </w:rPr>
          <w:fldChar w:fldCharType="end"/>
        </w:r>
      </w:hyperlink>
    </w:p>
    <w:p w14:paraId="0DDBDD77" w14:textId="2314281F" w:rsidR="00DA6215" w:rsidRPr="00DA6215" w:rsidRDefault="00DA6215">
      <w:pPr>
        <w:pStyle w:val="TOC5"/>
        <w:rPr>
          <w:rFonts w:eastAsiaTheme="minorEastAsia"/>
          <w:i w:val="0"/>
          <w:kern w:val="2"/>
          <w:sz w:val="20"/>
          <w:szCs w:val="20"/>
          <w14:ligatures w14:val="standardContextual"/>
        </w:rPr>
      </w:pPr>
      <w:hyperlink w:anchor="_Toc189044428" w:history="1">
        <w:r w:rsidRPr="00DA6215">
          <w:rPr>
            <w:rStyle w:val="Hyperlink"/>
            <w:i w:val="0"/>
            <w:sz w:val="20"/>
            <w:szCs w:val="20"/>
            <w:u w:val="none"/>
          </w:rPr>
          <w:t>6.6.5.1.1.1</w:t>
        </w:r>
        <w:r w:rsidRPr="00DA6215">
          <w:rPr>
            <w:rFonts w:eastAsiaTheme="minorEastAsia"/>
            <w:i w:val="0"/>
            <w:kern w:val="2"/>
            <w:sz w:val="20"/>
            <w:szCs w:val="20"/>
            <w14:ligatures w14:val="standardContextual"/>
          </w:rPr>
          <w:tab/>
        </w:r>
        <w:r w:rsidRPr="00DA6215">
          <w:rPr>
            <w:rStyle w:val="Hyperlink"/>
            <w:i w:val="0"/>
            <w:sz w:val="20"/>
            <w:szCs w:val="20"/>
            <w:u w:val="none"/>
          </w:rPr>
          <w:t>Base Point Deviation Charge for Over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_Toc189044428 \h </w:instrText>
        </w:r>
        <w:r w:rsidRPr="00DA6215">
          <w:rPr>
            <w:i w:val="0"/>
            <w:webHidden/>
            <w:sz w:val="20"/>
            <w:szCs w:val="20"/>
          </w:rPr>
        </w:r>
        <w:r w:rsidRPr="00DA6215">
          <w:rPr>
            <w:i w:val="0"/>
            <w:webHidden/>
            <w:sz w:val="20"/>
            <w:szCs w:val="20"/>
          </w:rPr>
          <w:fldChar w:fldCharType="separate"/>
        </w:r>
        <w:r w:rsidR="00DD0A69">
          <w:rPr>
            <w:i w:val="0"/>
            <w:webHidden/>
            <w:sz w:val="20"/>
            <w:szCs w:val="20"/>
          </w:rPr>
          <w:t>6-262</w:t>
        </w:r>
        <w:r w:rsidRPr="00DA6215">
          <w:rPr>
            <w:i w:val="0"/>
            <w:webHidden/>
            <w:sz w:val="20"/>
            <w:szCs w:val="20"/>
          </w:rPr>
          <w:fldChar w:fldCharType="end"/>
        </w:r>
      </w:hyperlink>
    </w:p>
    <w:p w14:paraId="46CBCB1D" w14:textId="35C5A6F6" w:rsidR="00DA6215" w:rsidRPr="00DA6215" w:rsidRDefault="00DA6215">
      <w:pPr>
        <w:pStyle w:val="TOC5"/>
        <w:rPr>
          <w:rFonts w:eastAsiaTheme="minorEastAsia"/>
          <w:i w:val="0"/>
          <w:kern w:val="2"/>
          <w:sz w:val="20"/>
          <w:szCs w:val="20"/>
          <w14:ligatures w14:val="standardContextual"/>
        </w:rPr>
      </w:pPr>
      <w:hyperlink w:anchor="_Toc189044429" w:history="1">
        <w:r w:rsidRPr="00DA6215">
          <w:rPr>
            <w:rStyle w:val="Hyperlink"/>
            <w:i w:val="0"/>
            <w:sz w:val="20"/>
            <w:szCs w:val="20"/>
            <w:u w:val="none"/>
          </w:rPr>
          <w:t>6.6.5.2</w:t>
        </w:r>
        <w:r w:rsidRPr="00DA6215">
          <w:rPr>
            <w:rFonts w:eastAsiaTheme="minorEastAsia"/>
            <w:i w:val="0"/>
            <w:kern w:val="2"/>
            <w:sz w:val="20"/>
            <w:szCs w:val="20"/>
            <w14:ligatures w14:val="standardContextual"/>
          </w:rPr>
          <w:tab/>
        </w:r>
        <w:r w:rsidRPr="00DA6215">
          <w:rPr>
            <w:rStyle w:val="Hyperlink"/>
            <w:i w:val="0"/>
            <w:sz w:val="20"/>
            <w:szCs w:val="20"/>
            <w:u w:val="none"/>
          </w:rPr>
          <w:t>Set Point Deviation Charge for Over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_Toc189044429 \h </w:instrText>
        </w:r>
        <w:r w:rsidRPr="00DA6215">
          <w:rPr>
            <w:i w:val="0"/>
            <w:webHidden/>
            <w:sz w:val="20"/>
            <w:szCs w:val="20"/>
          </w:rPr>
        </w:r>
        <w:r w:rsidRPr="00DA6215">
          <w:rPr>
            <w:i w:val="0"/>
            <w:webHidden/>
            <w:sz w:val="20"/>
            <w:szCs w:val="20"/>
          </w:rPr>
          <w:fldChar w:fldCharType="separate"/>
        </w:r>
        <w:r w:rsidR="00DD0A69">
          <w:rPr>
            <w:i w:val="0"/>
            <w:webHidden/>
            <w:sz w:val="20"/>
            <w:szCs w:val="20"/>
          </w:rPr>
          <w:t>6-264</w:t>
        </w:r>
        <w:r w:rsidRPr="00DA6215">
          <w:rPr>
            <w:i w:val="0"/>
            <w:webHidden/>
            <w:sz w:val="20"/>
            <w:szCs w:val="20"/>
          </w:rPr>
          <w:fldChar w:fldCharType="end"/>
        </w:r>
      </w:hyperlink>
    </w:p>
    <w:p w14:paraId="133BE9CF" w14:textId="218469EA" w:rsidR="00DA6215" w:rsidRPr="00DA6215" w:rsidRDefault="00DA6215">
      <w:pPr>
        <w:pStyle w:val="TOC5"/>
        <w:rPr>
          <w:rFonts w:eastAsiaTheme="minorEastAsia"/>
          <w:i w:val="0"/>
          <w:kern w:val="2"/>
          <w:sz w:val="20"/>
          <w:szCs w:val="20"/>
          <w14:ligatures w14:val="standardContextual"/>
        </w:rPr>
      </w:pPr>
      <w:hyperlink w:anchor="_Toc189044430" w:history="1">
        <w:r w:rsidRPr="00DA6215">
          <w:rPr>
            <w:rStyle w:val="Hyperlink"/>
            <w:i w:val="0"/>
            <w:sz w:val="20"/>
            <w:szCs w:val="20"/>
            <w:u w:val="none"/>
          </w:rPr>
          <w:t>6.6.5.1.1.2</w:t>
        </w:r>
        <w:r w:rsidRPr="00DA6215">
          <w:rPr>
            <w:rFonts w:eastAsiaTheme="minorEastAsia"/>
            <w:i w:val="0"/>
            <w:kern w:val="2"/>
            <w:sz w:val="20"/>
            <w:szCs w:val="20"/>
            <w14:ligatures w14:val="standardContextual"/>
          </w:rPr>
          <w:tab/>
        </w:r>
        <w:r w:rsidRPr="00DA6215">
          <w:rPr>
            <w:rStyle w:val="Hyperlink"/>
            <w:i w:val="0"/>
            <w:sz w:val="20"/>
            <w:szCs w:val="20"/>
            <w:u w:val="none"/>
          </w:rPr>
          <w:t>Base Point Deviation Charge for Under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_Toc189044430 \h </w:instrText>
        </w:r>
        <w:r w:rsidRPr="00DA6215">
          <w:rPr>
            <w:i w:val="0"/>
            <w:webHidden/>
            <w:sz w:val="20"/>
            <w:szCs w:val="20"/>
          </w:rPr>
        </w:r>
        <w:r w:rsidRPr="00DA6215">
          <w:rPr>
            <w:i w:val="0"/>
            <w:webHidden/>
            <w:sz w:val="20"/>
            <w:szCs w:val="20"/>
          </w:rPr>
          <w:fldChar w:fldCharType="separate"/>
        </w:r>
        <w:r w:rsidR="00DD0A69">
          <w:rPr>
            <w:i w:val="0"/>
            <w:webHidden/>
            <w:sz w:val="20"/>
            <w:szCs w:val="20"/>
          </w:rPr>
          <w:t>6-266</w:t>
        </w:r>
        <w:r w:rsidRPr="00DA6215">
          <w:rPr>
            <w:i w:val="0"/>
            <w:webHidden/>
            <w:sz w:val="20"/>
            <w:szCs w:val="20"/>
          </w:rPr>
          <w:fldChar w:fldCharType="end"/>
        </w:r>
      </w:hyperlink>
    </w:p>
    <w:p w14:paraId="7C856E9B" w14:textId="3A56A306" w:rsidR="00DA6215" w:rsidRPr="00DA6215" w:rsidRDefault="00DA6215">
      <w:pPr>
        <w:pStyle w:val="TOC5"/>
        <w:rPr>
          <w:rFonts w:eastAsiaTheme="minorEastAsia"/>
          <w:i w:val="0"/>
          <w:kern w:val="2"/>
          <w:sz w:val="20"/>
          <w:szCs w:val="20"/>
          <w14:ligatures w14:val="standardContextual"/>
        </w:rPr>
      </w:pPr>
      <w:hyperlink w:anchor="_Toc189044431" w:history="1">
        <w:r w:rsidRPr="00DA6215">
          <w:rPr>
            <w:rStyle w:val="Hyperlink"/>
            <w:i w:val="0"/>
            <w:snapToGrid w:val="0"/>
            <w:sz w:val="20"/>
            <w:szCs w:val="20"/>
            <w:u w:val="none"/>
          </w:rPr>
          <w:t>6.6.5.2.1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Set Point Deviation Charge for Under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_Toc189044431 \h </w:instrText>
        </w:r>
        <w:r w:rsidRPr="00DA6215">
          <w:rPr>
            <w:i w:val="0"/>
            <w:webHidden/>
            <w:sz w:val="20"/>
            <w:szCs w:val="20"/>
          </w:rPr>
        </w:r>
        <w:r w:rsidRPr="00DA6215">
          <w:rPr>
            <w:i w:val="0"/>
            <w:webHidden/>
            <w:sz w:val="20"/>
            <w:szCs w:val="20"/>
          </w:rPr>
          <w:fldChar w:fldCharType="separate"/>
        </w:r>
        <w:r w:rsidR="00DD0A69">
          <w:rPr>
            <w:i w:val="0"/>
            <w:webHidden/>
            <w:sz w:val="20"/>
            <w:szCs w:val="20"/>
          </w:rPr>
          <w:t>6-267</w:t>
        </w:r>
        <w:r w:rsidRPr="00DA6215">
          <w:rPr>
            <w:i w:val="0"/>
            <w:webHidden/>
            <w:sz w:val="20"/>
            <w:szCs w:val="20"/>
          </w:rPr>
          <w:fldChar w:fldCharType="end"/>
        </w:r>
      </w:hyperlink>
    </w:p>
    <w:p w14:paraId="25F12A4B" w14:textId="5D827513" w:rsidR="00DA6215" w:rsidRPr="00DA6215" w:rsidRDefault="00DA6215">
      <w:pPr>
        <w:pStyle w:val="TOC5"/>
        <w:rPr>
          <w:rFonts w:eastAsiaTheme="minorEastAsia"/>
          <w:i w:val="0"/>
          <w:kern w:val="2"/>
          <w:sz w:val="20"/>
          <w:szCs w:val="20"/>
          <w14:ligatures w14:val="standardContextual"/>
        </w:rPr>
      </w:pPr>
      <w:hyperlink w:anchor="_Toc189044432" w:history="1">
        <w:r w:rsidRPr="00DA6215">
          <w:rPr>
            <w:rStyle w:val="Hyperlink"/>
            <w:i w:val="0"/>
            <w:sz w:val="20"/>
            <w:szCs w:val="20"/>
            <w:u w:val="none"/>
          </w:rPr>
          <w:t>6.6.5.1.1.3</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Base Point Deviation Charge for Over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_Toc189044432 \h </w:instrText>
        </w:r>
        <w:r w:rsidRPr="00DA6215">
          <w:rPr>
            <w:i w:val="0"/>
            <w:webHidden/>
            <w:sz w:val="20"/>
            <w:szCs w:val="20"/>
          </w:rPr>
        </w:r>
        <w:r w:rsidRPr="00DA6215">
          <w:rPr>
            <w:i w:val="0"/>
            <w:webHidden/>
            <w:sz w:val="20"/>
            <w:szCs w:val="20"/>
          </w:rPr>
          <w:fldChar w:fldCharType="separate"/>
        </w:r>
        <w:r w:rsidR="00DD0A69">
          <w:rPr>
            <w:i w:val="0"/>
            <w:webHidden/>
            <w:sz w:val="20"/>
            <w:szCs w:val="20"/>
          </w:rPr>
          <w:t>6-269</w:t>
        </w:r>
        <w:r w:rsidRPr="00DA6215">
          <w:rPr>
            <w:i w:val="0"/>
            <w:webHidden/>
            <w:sz w:val="20"/>
            <w:szCs w:val="20"/>
          </w:rPr>
          <w:fldChar w:fldCharType="end"/>
        </w:r>
      </w:hyperlink>
    </w:p>
    <w:p w14:paraId="2FF04DFF" w14:textId="3C5F542C" w:rsidR="00DA6215" w:rsidRPr="00DA6215" w:rsidRDefault="00DA6215">
      <w:pPr>
        <w:pStyle w:val="TOC5"/>
        <w:rPr>
          <w:rFonts w:eastAsiaTheme="minorEastAsia"/>
          <w:i w:val="0"/>
          <w:kern w:val="2"/>
          <w:sz w:val="20"/>
          <w:szCs w:val="20"/>
          <w14:ligatures w14:val="standardContextual"/>
        </w:rPr>
      </w:pPr>
      <w:hyperlink w:anchor="_Toc189044433" w:history="1">
        <w:r w:rsidRPr="00DA6215">
          <w:rPr>
            <w:rStyle w:val="Hyperlink"/>
            <w:i w:val="0"/>
            <w:sz w:val="20"/>
            <w:szCs w:val="20"/>
            <w:u w:val="none"/>
          </w:rPr>
          <w:t>6.6.5.3</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Set Point Deviation Charge for Over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_Toc189044433 \h </w:instrText>
        </w:r>
        <w:r w:rsidRPr="00DA6215">
          <w:rPr>
            <w:i w:val="0"/>
            <w:webHidden/>
            <w:sz w:val="20"/>
            <w:szCs w:val="20"/>
          </w:rPr>
        </w:r>
        <w:r w:rsidRPr="00DA6215">
          <w:rPr>
            <w:i w:val="0"/>
            <w:webHidden/>
            <w:sz w:val="20"/>
            <w:szCs w:val="20"/>
          </w:rPr>
          <w:fldChar w:fldCharType="separate"/>
        </w:r>
        <w:r w:rsidR="00DD0A69">
          <w:rPr>
            <w:i w:val="0"/>
            <w:webHidden/>
            <w:sz w:val="20"/>
            <w:szCs w:val="20"/>
          </w:rPr>
          <w:t>6-271</w:t>
        </w:r>
        <w:r w:rsidRPr="00DA6215">
          <w:rPr>
            <w:i w:val="0"/>
            <w:webHidden/>
            <w:sz w:val="20"/>
            <w:szCs w:val="20"/>
          </w:rPr>
          <w:fldChar w:fldCharType="end"/>
        </w:r>
      </w:hyperlink>
    </w:p>
    <w:p w14:paraId="30ED05CE" w14:textId="76759158" w:rsidR="00DA6215" w:rsidRPr="00DA6215" w:rsidRDefault="00DA6215">
      <w:pPr>
        <w:pStyle w:val="TOC5"/>
        <w:rPr>
          <w:rFonts w:eastAsiaTheme="minorEastAsia"/>
          <w:i w:val="0"/>
          <w:kern w:val="2"/>
          <w:sz w:val="20"/>
          <w:szCs w:val="20"/>
          <w14:ligatures w14:val="standardContextual"/>
        </w:rPr>
      </w:pPr>
      <w:hyperlink w:anchor="_Toc189044434" w:history="1">
        <w:r w:rsidRPr="00DA6215">
          <w:rPr>
            <w:rStyle w:val="Hyperlink"/>
            <w:i w:val="0"/>
            <w:sz w:val="20"/>
            <w:szCs w:val="20"/>
            <w:u w:val="none"/>
          </w:rPr>
          <w:t>6.6.5.1.1.4</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Base Point Deviation Charge for Under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_Toc189044434 \h </w:instrText>
        </w:r>
        <w:r w:rsidRPr="00DA6215">
          <w:rPr>
            <w:i w:val="0"/>
            <w:webHidden/>
            <w:sz w:val="20"/>
            <w:szCs w:val="20"/>
          </w:rPr>
        </w:r>
        <w:r w:rsidRPr="00DA6215">
          <w:rPr>
            <w:i w:val="0"/>
            <w:webHidden/>
            <w:sz w:val="20"/>
            <w:szCs w:val="20"/>
          </w:rPr>
          <w:fldChar w:fldCharType="separate"/>
        </w:r>
        <w:r w:rsidR="00DD0A69">
          <w:rPr>
            <w:i w:val="0"/>
            <w:webHidden/>
            <w:sz w:val="20"/>
            <w:szCs w:val="20"/>
          </w:rPr>
          <w:t>6-272</w:t>
        </w:r>
        <w:r w:rsidRPr="00DA6215">
          <w:rPr>
            <w:i w:val="0"/>
            <w:webHidden/>
            <w:sz w:val="20"/>
            <w:szCs w:val="20"/>
          </w:rPr>
          <w:fldChar w:fldCharType="end"/>
        </w:r>
      </w:hyperlink>
    </w:p>
    <w:p w14:paraId="10048555" w14:textId="5B48424C" w:rsidR="00DA6215" w:rsidRPr="00DA6215" w:rsidRDefault="00DA6215">
      <w:pPr>
        <w:pStyle w:val="TOC5"/>
        <w:rPr>
          <w:rFonts w:eastAsiaTheme="minorEastAsia"/>
          <w:i w:val="0"/>
          <w:kern w:val="2"/>
          <w:sz w:val="20"/>
          <w:szCs w:val="20"/>
          <w14:ligatures w14:val="standardContextual"/>
        </w:rPr>
      </w:pPr>
      <w:hyperlink w:anchor="_Toc189044435" w:history="1">
        <w:r w:rsidRPr="00DA6215">
          <w:rPr>
            <w:rStyle w:val="Hyperlink"/>
            <w:i w:val="0"/>
            <w:sz w:val="20"/>
            <w:szCs w:val="20"/>
            <w:u w:val="none"/>
          </w:rPr>
          <w:t>6.6.5.3.1</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Set Point Deviation Charge for Under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_Toc189044435 \h </w:instrText>
        </w:r>
        <w:r w:rsidRPr="00DA6215">
          <w:rPr>
            <w:i w:val="0"/>
            <w:webHidden/>
            <w:sz w:val="20"/>
            <w:szCs w:val="20"/>
          </w:rPr>
        </w:r>
        <w:r w:rsidRPr="00DA6215">
          <w:rPr>
            <w:i w:val="0"/>
            <w:webHidden/>
            <w:sz w:val="20"/>
            <w:szCs w:val="20"/>
          </w:rPr>
          <w:fldChar w:fldCharType="separate"/>
        </w:r>
        <w:r w:rsidR="00DD0A69">
          <w:rPr>
            <w:i w:val="0"/>
            <w:webHidden/>
            <w:sz w:val="20"/>
            <w:szCs w:val="20"/>
          </w:rPr>
          <w:t>6-273</w:t>
        </w:r>
        <w:r w:rsidRPr="00DA6215">
          <w:rPr>
            <w:i w:val="0"/>
            <w:webHidden/>
            <w:sz w:val="20"/>
            <w:szCs w:val="20"/>
          </w:rPr>
          <w:fldChar w:fldCharType="end"/>
        </w:r>
      </w:hyperlink>
    </w:p>
    <w:p w14:paraId="187BCB06" w14:textId="35A1FFE4" w:rsidR="00DA6215" w:rsidRPr="00DA6215" w:rsidRDefault="00DA6215">
      <w:pPr>
        <w:pStyle w:val="TOC4"/>
        <w:rPr>
          <w:rFonts w:eastAsiaTheme="minorEastAsia"/>
          <w:kern w:val="2"/>
          <w:lang w:val="en-US"/>
          <w14:ligatures w14:val="standardContextual"/>
        </w:rPr>
      </w:pPr>
      <w:hyperlink w:anchor="_Toc189044436" w:history="1">
        <w:r w:rsidRPr="00DA6215">
          <w:rPr>
            <w:rStyle w:val="Hyperlink"/>
            <w:u w:val="none"/>
          </w:rPr>
          <w:t>6.6.5.2</w:t>
        </w:r>
        <w:r w:rsidRPr="00DA6215">
          <w:rPr>
            <w:rFonts w:eastAsiaTheme="minorEastAsia"/>
            <w:kern w:val="2"/>
            <w:lang w:val="en-US"/>
            <w14:ligatures w14:val="standardContextual"/>
          </w:rPr>
          <w:tab/>
        </w:r>
        <w:r w:rsidRPr="00DA6215">
          <w:rPr>
            <w:rStyle w:val="Hyperlink"/>
            <w:u w:val="none"/>
          </w:rPr>
          <w:t>IRR Generation Resource Base Point Deviation Charge</w:t>
        </w:r>
        <w:r w:rsidRPr="00DA6215">
          <w:rPr>
            <w:webHidden/>
          </w:rPr>
          <w:tab/>
        </w:r>
        <w:r w:rsidRPr="00DA6215">
          <w:rPr>
            <w:webHidden/>
          </w:rPr>
          <w:fldChar w:fldCharType="begin"/>
        </w:r>
        <w:r w:rsidRPr="00DA6215">
          <w:rPr>
            <w:webHidden/>
          </w:rPr>
          <w:instrText xml:space="preserve"> PAGEREF _Toc189044436 \h </w:instrText>
        </w:r>
        <w:r w:rsidRPr="00DA6215">
          <w:rPr>
            <w:webHidden/>
          </w:rPr>
        </w:r>
        <w:r w:rsidRPr="00DA6215">
          <w:rPr>
            <w:webHidden/>
          </w:rPr>
          <w:fldChar w:fldCharType="separate"/>
        </w:r>
        <w:r w:rsidR="00DD0A69">
          <w:rPr>
            <w:webHidden/>
          </w:rPr>
          <w:t>6-275</w:t>
        </w:r>
        <w:r w:rsidRPr="00DA6215">
          <w:rPr>
            <w:webHidden/>
          </w:rPr>
          <w:fldChar w:fldCharType="end"/>
        </w:r>
      </w:hyperlink>
    </w:p>
    <w:p w14:paraId="6028610C" w14:textId="376991C2" w:rsidR="00DA6215" w:rsidRPr="00DA6215" w:rsidRDefault="00DA6215">
      <w:pPr>
        <w:pStyle w:val="TOC4"/>
        <w:rPr>
          <w:rFonts w:eastAsiaTheme="minorEastAsia"/>
          <w:kern w:val="2"/>
          <w:lang w:val="en-US"/>
          <w14:ligatures w14:val="standardContextual"/>
        </w:rPr>
      </w:pPr>
      <w:hyperlink w:anchor="_Toc189044437" w:history="1">
        <w:r w:rsidRPr="00DA6215">
          <w:rPr>
            <w:rStyle w:val="Hyperlink"/>
            <w:u w:val="none"/>
          </w:rPr>
          <w:t>6.6.5.4</w:t>
        </w:r>
        <w:r w:rsidRPr="00DA6215">
          <w:rPr>
            <w:rFonts w:eastAsiaTheme="minorEastAsia"/>
            <w:kern w:val="2"/>
            <w:lang w:val="en-US"/>
            <w14:ligatures w14:val="standardContextual"/>
          </w:rPr>
          <w:tab/>
        </w:r>
        <w:r w:rsidRPr="00DA6215">
          <w:rPr>
            <w:rStyle w:val="Hyperlink"/>
            <w:u w:val="none"/>
          </w:rPr>
          <w:t>IRR Generation Resource Set Point Deviation Charge</w:t>
        </w:r>
        <w:r w:rsidRPr="00DA6215">
          <w:rPr>
            <w:webHidden/>
          </w:rPr>
          <w:tab/>
        </w:r>
        <w:r w:rsidRPr="00DA6215">
          <w:rPr>
            <w:webHidden/>
          </w:rPr>
          <w:fldChar w:fldCharType="begin"/>
        </w:r>
        <w:r w:rsidRPr="00DA6215">
          <w:rPr>
            <w:webHidden/>
          </w:rPr>
          <w:instrText xml:space="preserve"> PAGEREF _Toc189044437 \h </w:instrText>
        </w:r>
        <w:r w:rsidRPr="00DA6215">
          <w:rPr>
            <w:webHidden/>
          </w:rPr>
        </w:r>
        <w:r w:rsidRPr="00DA6215">
          <w:rPr>
            <w:webHidden/>
          </w:rPr>
          <w:fldChar w:fldCharType="separate"/>
        </w:r>
        <w:r w:rsidR="00DD0A69">
          <w:rPr>
            <w:webHidden/>
          </w:rPr>
          <w:t>6-277</w:t>
        </w:r>
        <w:r w:rsidRPr="00DA6215">
          <w:rPr>
            <w:webHidden/>
          </w:rPr>
          <w:fldChar w:fldCharType="end"/>
        </w:r>
      </w:hyperlink>
    </w:p>
    <w:p w14:paraId="081FE839" w14:textId="7EF93ACE" w:rsidR="00DA6215" w:rsidRPr="00DA6215" w:rsidRDefault="00DA6215">
      <w:pPr>
        <w:pStyle w:val="TOC4"/>
        <w:rPr>
          <w:rFonts w:eastAsiaTheme="minorEastAsia"/>
          <w:kern w:val="2"/>
          <w:lang w:val="en-US"/>
          <w14:ligatures w14:val="standardContextual"/>
        </w:rPr>
      </w:pPr>
      <w:hyperlink w:anchor="_Toc189044438" w:history="1">
        <w:r w:rsidRPr="00DA6215">
          <w:rPr>
            <w:rStyle w:val="Hyperlink"/>
            <w:u w:val="none"/>
          </w:rPr>
          <w:t>6.6.5.5</w:t>
        </w:r>
        <w:r w:rsidRPr="00DA6215">
          <w:rPr>
            <w:rFonts w:eastAsiaTheme="minorEastAsia"/>
            <w:kern w:val="2"/>
            <w:lang w:val="en-US"/>
            <w14:ligatures w14:val="standardContextual"/>
          </w:rPr>
          <w:tab/>
        </w:r>
        <w:r w:rsidRPr="00DA6215">
          <w:rPr>
            <w:rStyle w:val="Hyperlink"/>
            <w:u w:val="none"/>
          </w:rPr>
          <w:t>Energy Storage Resource Set Point Deviation Charge for Over Performance</w:t>
        </w:r>
        <w:r w:rsidRPr="00DA6215">
          <w:rPr>
            <w:webHidden/>
          </w:rPr>
          <w:tab/>
        </w:r>
        <w:r w:rsidRPr="00DA6215">
          <w:rPr>
            <w:webHidden/>
          </w:rPr>
          <w:fldChar w:fldCharType="begin"/>
        </w:r>
        <w:r w:rsidRPr="00DA6215">
          <w:rPr>
            <w:webHidden/>
          </w:rPr>
          <w:instrText xml:space="preserve"> PAGEREF _Toc189044438 \h </w:instrText>
        </w:r>
        <w:r w:rsidRPr="00DA6215">
          <w:rPr>
            <w:webHidden/>
          </w:rPr>
        </w:r>
        <w:r w:rsidRPr="00DA6215">
          <w:rPr>
            <w:webHidden/>
          </w:rPr>
          <w:fldChar w:fldCharType="separate"/>
        </w:r>
        <w:r w:rsidR="00DD0A69">
          <w:rPr>
            <w:webHidden/>
          </w:rPr>
          <w:t>6-279</w:t>
        </w:r>
        <w:r w:rsidRPr="00DA6215">
          <w:rPr>
            <w:webHidden/>
          </w:rPr>
          <w:fldChar w:fldCharType="end"/>
        </w:r>
      </w:hyperlink>
    </w:p>
    <w:p w14:paraId="4B1C8489" w14:textId="33426529" w:rsidR="00DA6215" w:rsidRPr="00DA6215" w:rsidRDefault="00DA6215">
      <w:pPr>
        <w:pStyle w:val="TOC4"/>
        <w:rPr>
          <w:rFonts w:eastAsiaTheme="minorEastAsia"/>
          <w:kern w:val="2"/>
          <w:lang w:val="en-US"/>
          <w14:ligatures w14:val="standardContextual"/>
        </w:rPr>
      </w:pPr>
      <w:hyperlink w:anchor="_Toc189044439" w:history="1">
        <w:r w:rsidRPr="00DA6215">
          <w:rPr>
            <w:rStyle w:val="Hyperlink"/>
            <w:u w:val="none"/>
          </w:rPr>
          <w:t>6.6.5.5.1</w:t>
        </w:r>
        <w:r w:rsidRPr="00DA6215">
          <w:rPr>
            <w:rFonts w:eastAsiaTheme="minorEastAsia"/>
            <w:kern w:val="2"/>
            <w:lang w:val="en-US"/>
            <w14:ligatures w14:val="standardContextual"/>
          </w:rPr>
          <w:tab/>
        </w:r>
        <w:r w:rsidRPr="00DA6215">
          <w:rPr>
            <w:rStyle w:val="Hyperlink"/>
            <w:u w:val="none"/>
          </w:rPr>
          <w:t>Energy Storage Resource Set Point Deviation Charge for Under Performance</w:t>
        </w:r>
        <w:r w:rsidRPr="00DA6215">
          <w:rPr>
            <w:webHidden/>
          </w:rPr>
          <w:tab/>
        </w:r>
        <w:r w:rsidRPr="00DA6215">
          <w:rPr>
            <w:webHidden/>
          </w:rPr>
          <w:fldChar w:fldCharType="begin"/>
        </w:r>
        <w:r w:rsidRPr="00DA6215">
          <w:rPr>
            <w:webHidden/>
          </w:rPr>
          <w:instrText xml:space="preserve"> PAGEREF _Toc189044439 \h </w:instrText>
        </w:r>
        <w:r w:rsidRPr="00DA6215">
          <w:rPr>
            <w:webHidden/>
          </w:rPr>
        </w:r>
        <w:r w:rsidRPr="00DA6215">
          <w:rPr>
            <w:webHidden/>
          </w:rPr>
          <w:fldChar w:fldCharType="separate"/>
        </w:r>
        <w:r w:rsidR="00DD0A69">
          <w:rPr>
            <w:webHidden/>
          </w:rPr>
          <w:t>6-281</w:t>
        </w:r>
        <w:r w:rsidRPr="00DA6215">
          <w:rPr>
            <w:webHidden/>
          </w:rPr>
          <w:fldChar w:fldCharType="end"/>
        </w:r>
      </w:hyperlink>
    </w:p>
    <w:p w14:paraId="20154D98" w14:textId="5DAA8E45" w:rsidR="00DA6215" w:rsidRPr="00DA6215" w:rsidRDefault="00DA6215">
      <w:pPr>
        <w:pStyle w:val="TOC4"/>
        <w:rPr>
          <w:rFonts w:eastAsiaTheme="minorEastAsia"/>
          <w:kern w:val="2"/>
          <w:lang w:val="en-US"/>
          <w14:ligatures w14:val="standardContextual"/>
        </w:rPr>
      </w:pPr>
      <w:hyperlink w:anchor="_Toc189044440" w:history="1">
        <w:r w:rsidRPr="00DA6215">
          <w:rPr>
            <w:rStyle w:val="Hyperlink"/>
            <w:u w:val="none"/>
          </w:rPr>
          <w:t>6.6.5.3</w:t>
        </w:r>
        <w:r w:rsidRPr="00DA6215">
          <w:rPr>
            <w:rFonts w:eastAsiaTheme="minorEastAsia"/>
            <w:kern w:val="2"/>
            <w:lang w:val="en-US"/>
            <w14:ligatures w14:val="standardContextual"/>
          </w:rPr>
          <w:tab/>
        </w:r>
        <w:r w:rsidRPr="00DA6215">
          <w:rPr>
            <w:rStyle w:val="Hyperlink"/>
            <w:u w:val="none"/>
          </w:rPr>
          <w:t>Resources Exempt from Deviation Charges</w:t>
        </w:r>
        <w:r w:rsidRPr="00DA6215">
          <w:rPr>
            <w:webHidden/>
          </w:rPr>
          <w:tab/>
        </w:r>
        <w:r w:rsidRPr="00DA6215">
          <w:rPr>
            <w:webHidden/>
          </w:rPr>
          <w:fldChar w:fldCharType="begin"/>
        </w:r>
        <w:r w:rsidRPr="00DA6215">
          <w:rPr>
            <w:webHidden/>
          </w:rPr>
          <w:instrText xml:space="preserve"> PAGEREF _Toc189044440 \h </w:instrText>
        </w:r>
        <w:r w:rsidRPr="00DA6215">
          <w:rPr>
            <w:webHidden/>
          </w:rPr>
        </w:r>
        <w:r w:rsidRPr="00DA6215">
          <w:rPr>
            <w:webHidden/>
          </w:rPr>
          <w:fldChar w:fldCharType="separate"/>
        </w:r>
        <w:r w:rsidR="00DD0A69">
          <w:rPr>
            <w:webHidden/>
          </w:rPr>
          <w:t>6-282</w:t>
        </w:r>
        <w:r w:rsidRPr="00DA6215">
          <w:rPr>
            <w:webHidden/>
          </w:rPr>
          <w:fldChar w:fldCharType="end"/>
        </w:r>
      </w:hyperlink>
    </w:p>
    <w:p w14:paraId="6C4E812E" w14:textId="2B1D1776" w:rsidR="00DA6215" w:rsidRPr="00DA6215" w:rsidRDefault="00DA6215">
      <w:pPr>
        <w:pStyle w:val="TOC4"/>
        <w:rPr>
          <w:rFonts w:eastAsiaTheme="minorEastAsia"/>
          <w:kern w:val="2"/>
          <w:lang w:val="en-US"/>
          <w14:ligatures w14:val="standardContextual"/>
        </w:rPr>
      </w:pPr>
      <w:hyperlink w:anchor="_Toc189044441" w:history="1">
        <w:r w:rsidRPr="00DA6215">
          <w:rPr>
            <w:rStyle w:val="Hyperlink"/>
            <w:u w:val="none"/>
          </w:rPr>
          <w:t>6.6.5.6</w:t>
        </w:r>
        <w:r w:rsidRPr="00DA6215">
          <w:rPr>
            <w:rFonts w:eastAsiaTheme="minorEastAsia"/>
            <w:kern w:val="2"/>
            <w:lang w:val="en-US"/>
            <w14:ligatures w14:val="standardContextual"/>
          </w:rPr>
          <w:tab/>
        </w:r>
        <w:r w:rsidRPr="00DA6215">
          <w:rPr>
            <w:rStyle w:val="Hyperlink"/>
            <w:u w:val="none"/>
          </w:rPr>
          <w:t>Resources Exempt from Deviation Charges</w:t>
        </w:r>
        <w:r w:rsidRPr="00DA6215">
          <w:rPr>
            <w:webHidden/>
          </w:rPr>
          <w:tab/>
        </w:r>
        <w:r w:rsidRPr="00DA6215">
          <w:rPr>
            <w:webHidden/>
          </w:rPr>
          <w:fldChar w:fldCharType="begin"/>
        </w:r>
        <w:r w:rsidRPr="00DA6215">
          <w:rPr>
            <w:webHidden/>
          </w:rPr>
          <w:instrText xml:space="preserve"> PAGEREF _Toc189044441 \h </w:instrText>
        </w:r>
        <w:r w:rsidRPr="00DA6215">
          <w:rPr>
            <w:webHidden/>
          </w:rPr>
        </w:r>
        <w:r w:rsidRPr="00DA6215">
          <w:rPr>
            <w:webHidden/>
          </w:rPr>
          <w:fldChar w:fldCharType="separate"/>
        </w:r>
        <w:r w:rsidR="00DD0A69">
          <w:rPr>
            <w:webHidden/>
          </w:rPr>
          <w:t>6-283</w:t>
        </w:r>
        <w:r w:rsidRPr="00DA6215">
          <w:rPr>
            <w:webHidden/>
          </w:rPr>
          <w:fldChar w:fldCharType="end"/>
        </w:r>
      </w:hyperlink>
    </w:p>
    <w:p w14:paraId="1ABEAE0F" w14:textId="5B32727C" w:rsidR="00DA6215" w:rsidRPr="00DA6215" w:rsidRDefault="00DA6215">
      <w:pPr>
        <w:pStyle w:val="TOC4"/>
        <w:rPr>
          <w:rFonts w:eastAsiaTheme="minorEastAsia"/>
          <w:kern w:val="2"/>
          <w:lang w:val="en-US"/>
          <w14:ligatures w14:val="standardContextual"/>
        </w:rPr>
      </w:pPr>
      <w:hyperlink w:anchor="_Toc189044442" w:history="1">
        <w:r w:rsidRPr="00DA6215">
          <w:rPr>
            <w:rStyle w:val="Hyperlink"/>
            <w:u w:val="none"/>
          </w:rPr>
          <w:t>6.6.5.4</w:t>
        </w:r>
        <w:r w:rsidRPr="00DA6215">
          <w:rPr>
            <w:rFonts w:eastAsiaTheme="minorEastAsia"/>
            <w:kern w:val="2"/>
            <w:lang w:val="en-US"/>
            <w14:ligatures w14:val="standardContextual"/>
          </w:rPr>
          <w:tab/>
        </w:r>
        <w:r w:rsidRPr="00DA6215">
          <w:rPr>
            <w:rStyle w:val="Hyperlink"/>
            <w:u w:val="none"/>
          </w:rPr>
          <w:t>Base Point Deviation Payment</w:t>
        </w:r>
        <w:r w:rsidRPr="00DA6215">
          <w:rPr>
            <w:webHidden/>
          </w:rPr>
          <w:tab/>
        </w:r>
        <w:r w:rsidRPr="00DA6215">
          <w:rPr>
            <w:webHidden/>
          </w:rPr>
          <w:fldChar w:fldCharType="begin"/>
        </w:r>
        <w:r w:rsidRPr="00DA6215">
          <w:rPr>
            <w:webHidden/>
          </w:rPr>
          <w:instrText xml:space="preserve"> PAGEREF _Toc189044442 \h </w:instrText>
        </w:r>
        <w:r w:rsidRPr="00DA6215">
          <w:rPr>
            <w:webHidden/>
          </w:rPr>
        </w:r>
        <w:r w:rsidRPr="00DA6215">
          <w:rPr>
            <w:webHidden/>
          </w:rPr>
          <w:fldChar w:fldCharType="separate"/>
        </w:r>
        <w:r w:rsidR="00DD0A69">
          <w:rPr>
            <w:webHidden/>
          </w:rPr>
          <w:t>6-284</w:t>
        </w:r>
        <w:r w:rsidRPr="00DA6215">
          <w:rPr>
            <w:webHidden/>
          </w:rPr>
          <w:fldChar w:fldCharType="end"/>
        </w:r>
      </w:hyperlink>
    </w:p>
    <w:p w14:paraId="2028421A" w14:textId="1701F14F" w:rsidR="00DA6215" w:rsidRPr="00DA6215" w:rsidRDefault="00DA6215">
      <w:pPr>
        <w:pStyle w:val="TOC4"/>
        <w:rPr>
          <w:rFonts w:eastAsiaTheme="minorEastAsia"/>
          <w:kern w:val="2"/>
          <w:lang w:val="en-US"/>
          <w14:ligatures w14:val="standardContextual"/>
        </w:rPr>
      </w:pPr>
      <w:hyperlink w:anchor="_Toc189044443" w:history="1">
        <w:r w:rsidRPr="00DA6215">
          <w:rPr>
            <w:rStyle w:val="Hyperlink"/>
            <w:snapToGrid w:val="0"/>
            <w:u w:val="none"/>
          </w:rPr>
          <w:t>6.6.5.4</w:t>
        </w:r>
        <w:r w:rsidRPr="00DA6215">
          <w:rPr>
            <w:rFonts w:eastAsiaTheme="minorEastAsia"/>
            <w:kern w:val="2"/>
            <w:lang w:val="en-US"/>
            <w14:ligatures w14:val="standardContextual"/>
          </w:rPr>
          <w:tab/>
        </w:r>
        <w:r w:rsidRPr="00DA6215">
          <w:rPr>
            <w:rStyle w:val="Hyperlink"/>
            <w:snapToGrid w:val="0"/>
            <w:u w:val="none"/>
          </w:rPr>
          <w:t>Set Point Deviation Payment</w:t>
        </w:r>
        <w:r w:rsidRPr="00DA6215">
          <w:rPr>
            <w:webHidden/>
          </w:rPr>
          <w:tab/>
        </w:r>
        <w:r w:rsidRPr="00DA6215">
          <w:rPr>
            <w:webHidden/>
          </w:rPr>
          <w:fldChar w:fldCharType="begin"/>
        </w:r>
        <w:r w:rsidRPr="00DA6215">
          <w:rPr>
            <w:webHidden/>
          </w:rPr>
          <w:instrText xml:space="preserve"> PAGEREF _Toc189044443 \h </w:instrText>
        </w:r>
        <w:r w:rsidRPr="00DA6215">
          <w:rPr>
            <w:webHidden/>
          </w:rPr>
        </w:r>
        <w:r w:rsidRPr="00DA6215">
          <w:rPr>
            <w:webHidden/>
          </w:rPr>
          <w:fldChar w:fldCharType="separate"/>
        </w:r>
        <w:r w:rsidR="00DD0A69">
          <w:rPr>
            <w:webHidden/>
          </w:rPr>
          <w:t>6-285</w:t>
        </w:r>
        <w:r w:rsidRPr="00DA6215">
          <w:rPr>
            <w:webHidden/>
          </w:rPr>
          <w:fldChar w:fldCharType="end"/>
        </w:r>
      </w:hyperlink>
    </w:p>
    <w:p w14:paraId="437CB251" w14:textId="60072957" w:rsidR="00DA6215" w:rsidRPr="00DA6215" w:rsidRDefault="00DA6215">
      <w:pPr>
        <w:pStyle w:val="TOC3"/>
        <w:rPr>
          <w:rFonts w:eastAsiaTheme="minorEastAsia"/>
          <w:i w:val="0"/>
          <w:iCs w:val="0"/>
          <w:kern w:val="2"/>
          <w14:ligatures w14:val="standardContextual"/>
        </w:rPr>
      </w:pPr>
      <w:hyperlink w:anchor="_Toc189044444" w:history="1">
        <w:r w:rsidRPr="00DA6215">
          <w:rPr>
            <w:rStyle w:val="Hyperlink"/>
            <w:i w:val="0"/>
            <w:iCs w:val="0"/>
            <w:u w:val="none"/>
          </w:rPr>
          <w:t>6.6.6</w:t>
        </w:r>
        <w:r w:rsidRPr="00DA6215">
          <w:rPr>
            <w:rFonts w:eastAsiaTheme="minorEastAsia"/>
            <w:i w:val="0"/>
            <w:iCs w:val="0"/>
            <w:kern w:val="2"/>
            <w14:ligatures w14:val="standardContextual"/>
          </w:rPr>
          <w:tab/>
        </w:r>
        <w:r w:rsidRPr="00DA6215">
          <w:rPr>
            <w:rStyle w:val="Hyperlink"/>
            <w:i w:val="0"/>
            <w:iCs w:val="0"/>
            <w:u w:val="none"/>
          </w:rPr>
          <w:t>Reliability Must-Run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_Toc189044444 \h </w:instrText>
        </w:r>
        <w:r w:rsidRPr="00DA6215">
          <w:rPr>
            <w:i w:val="0"/>
            <w:iCs w:val="0"/>
            <w:webHidden/>
          </w:rPr>
        </w:r>
        <w:r w:rsidRPr="00DA6215">
          <w:rPr>
            <w:i w:val="0"/>
            <w:iCs w:val="0"/>
            <w:webHidden/>
          </w:rPr>
          <w:fldChar w:fldCharType="separate"/>
        </w:r>
        <w:r w:rsidR="00DD0A69">
          <w:rPr>
            <w:i w:val="0"/>
            <w:iCs w:val="0"/>
            <w:webHidden/>
          </w:rPr>
          <w:t>6-286</w:t>
        </w:r>
        <w:r w:rsidRPr="00DA6215">
          <w:rPr>
            <w:i w:val="0"/>
            <w:iCs w:val="0"/>
            <w:webHidden/>
          </w:rPr>
          <w:fldChar w:fldCharType="end"/>
        </w:r>
      </w:hyperlink>
    </w:p>
    <w:p w14:paraId="21D1A339" w14:textId="4CE1C541" w:rsidR="00DA6215" w:rsidRPr="00DA6215" w:rsidRDefault="00DA6215">
      <w:pPr>
        <w:pStyle w:val="TOC3"/>
        <w:rPr>
          <w:rFonts w:eastAsiaTheme="minorEastAsia"/>
          <w:i w:val="0"/>
          <w:iCs w:val="0"/>
          <w:kern w:val="2"/>
          <w14:ligatures w14:val="standardContextual"/>
        </w:rPr>
      </w:pPr>
      <w:hyperlink w:anchor="_Toc189044445" w:history="1">
        <w:r w:rsidRPr="00DA6215">
          <w:rPr>
            <w:rStyle w:val="Hyperlink"/>
            <w:i w:val="0"/>
            <w:iCs w:val="0"/>
            <w:u w:val="none"/>
          </w:rPr>
          <w:t>6.6.6</w:t>
        </w:r>
        <w:r w:rsidRPr="00DA6215">
          <w:rPr>
            <w:rFonts w:eastAsiaTheme="minorEastAsia"/>
            <w:i w:val="0"/>
            <w:iCs w:val="0"/>
            <w:kern w:val="2"/>
            <w14:ligatures w14:val="standardContextual"/>
          </w:rPr>
          <w:tab/>
        </w:r>
        <w:r w:rsidRPr="00DA6215">
          <w:rPr>
            <w:rStyle w:val="Hyperlink"/>
            <w:i w:val="0"/>
            <w:iCs w:val="0"/>
            <w:u w:val="none"/>
          </w:rPr>
          <w:t>Reliability Must-Run and Must-Run Alternative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_Toc189044445 \h </w:instrText>
        </w:r>
        <w:r w:rsidRPr="00DA6215">
          <w:rPr>
            <w:i w:val="0"/>
            <w:iCs w:val="0"/>
            <w:webHidden/>
          </w:rPr>
        </w:r>
        <w:r w:rsidRPr="00DA6215">
          <w:rPr>
            <w:i w:val="0"/>
            <w:iCs w:val="0"/>
            <w:webHidden/>
          </w:rPr>
          <w:fldChar w:fldCharType="separate"/>
        </w:r>
        <w:r w:rsidR="00DD0A69">
          <w:rPr>
            <w:i w:val="0"/>
            <w:iCs w:val="0"/>
            <w:webHidden/>
          </w:rPr>
          <w:t>6-286</w:t>
        </w:r>
        <w:r w:rsidRPr="00DA6215">
          <w:rPr>
            <w:i w:val="0"/>
            <w:iCs w:val="0"/>
            <w:webHidden/>
          </w:rPr>
          <w:fldChar w:fldCharType="end"/>
        </w:r>
      </w:hyperlink>
    </w:p>
    <w:p w14:paraId="026F745D" w14:textId="2DD67FD7" w:rsidR="00DA6215" w:rsidRPr="00DA6215" w:rsidRDefault="00DA6215">
      <w:pPr>
        <w:pStyle w:val="TOC4"/>
        <w:rPr>
          <w:rFonts w:eastAsiaTheme="minorEastAsia"/>
          <w:kern w:val="2"/>
          <w:lang w:val="en-US"/>
          <w14:ligatures w14:val="standardContextual"/>
        </w:rPr>
      </w:pPr>
      <w:hyperlink w:anchor="_Toc189044446" w:history="1">
        <w:r w:rsidRPr="00DA6215">
          <w:rPr>
            <w:rStyle w:val="Hyperlink"/>
            <w:u w:val="none"/>
          </w:rPr>
          <w:t>6.6.6.1</w:t>
        </w:r>
        <w:r w:rsidRPr="00DA6215">
          <w:rPr>
            <w:rFonts w:eastAsiaTheme="minorEastAsia"/>
            <w:kern w:val="2"/>
            <w:lang w:val="en-US"/>
            <w14:ligatures w14:val="standardContextual"/>
          </w:rPr>
          <w:tab/>
        </w:r>
        <w:r w:rsidRPr="00DA6215">
          <w:rPr>
            <w:rStyle w:val="Hyperlink"/>
            <w:u w:val="none"/>
          </w:rPr>
          <w:t>RMR Standby Payment</w:t>
        </w:r>
        <w:r w:rsidRPr="00DA6215">
          <w:rPr>
            <w:webHidden/>
          </w:rPr>
          <w:tab/>
        </w:r>
        <w:r w:rsidRPr="00DA6215">
          <w:rPr>
            <w:webHidden/>
          </w:rPr>
          <w:fldChar w:fldCharType="begin"/>
        </w:r>
        <w:r w:rsidRPr="00DA6215">
          <w:rPr>
            <w:webHidden/>
          </w:rPr>
          <w:instrText xml:space="preserve"> PAGEREF _Toc189044446 \h </w:instrText>
        </w:r>
        <w:r w:rsidRPr="00DA6215">
          <w:rPr>
            <w:webHidden/>
          </w:rPr>
        </w:r>
        <w:r w:rsidRPr="00DA6215">
          <w:rPr>
            <w:webHidden/>
          </w:rPr>
          <w:fldChar w:fldCharType="separate"/>
        </w:r>
        <w:r w:rsidR="00DD0A69">
          <w:rPr>
            <w:webHidden/>
          </w:rPr>
          <w:t>6-286</w:t>
        </w:r>
        <w:r w:rsidRPr="00DA6215">
          <w:rPr>
            <w:webHidden/>
          </w:rPr>
          <w:fldChar w:fldCharType="end"/>
        </w:r>
      </w:hyperlink>
    </w:p>
    <w:p w14:paraId="08CFBF2C" w14:textId="63B56E34" w:rsidR="00DA6215" w:rsidRPr="00DA6215" w:rsidRDefault="00DA6215">
      <w:pPr>
        <w:pStyle w:val="TOC4"/>
        <w:rPr>
          <w:rFonts w:eastAsiaTheme="minorEastAsia"/>
          <w:kern w:val="2"/>
          <w:lang w:val="en-US"/>
          <w14:ligatures w14:val="standardContextual"/>
        </w:rPr>
      </w:pPr>
      <w:hyperlink w:anchor="_Toc189044447" w:history="1">
        <w:r w:rsidRPr="00DA6215">
          <w:rPr>
            <w:rStyle w:val="Hyperlink"/>
            <w:u w:val="none"/>
          </w:rPr>
          <w:t>6.6.6.2</w:t>
        </w:r>
        <w:r w:rsidRPr="00DA6215">
          <w:rPr>
            <w:rFonts w:eastAsiaTheme="minorEastAsia"/>
            <w:kern w:val="2"/>
            <w:lang w:val="en-US"/>
            <w14:ligatures w14:val="standardContextual"/>
          </w:rPr>
          <w:tab/>
        </w:r>
        <w:r w:rsidRPr="00DA6215">
          <w:rPr>
            <w:rStyle w:val="Hyperlink"/>
            <w:u w:val="none"/>
          </w:rPr>
          <w:t>RMR Payment for Energy</w:t>
        </w:r>
        <w:r w:rsidRPr="00DA6215">
          <w:rPr>
            <w:webHidden/>
          </w:rPr>
          <w:tab/>
        </w:r>
        <w:r w:rsidRPr="00DA6215">
          <w:rPr>
            <w:webHidden/>
          </w:rPr>
          <w:fldChar w:fldCharType="begin"/>
        </w:r>
        <w:r w:rsidRPr="00DA6215">
          <w:rPr>
            <w:webHidden/>
          </w:rPr>
          <w:instrText xml:space="preserve"> PAGEREF _Toc189044447 \h </w:instrText>
        </w:r>
        <w:r w:rsidRPr="00DA6215">
          <w:rPr>
            <w:webHidden/>
          </w:rPr>
        </w:r>
        <w:r w:rsidRPr="00DA6215">
          <w:rPr>
            <w:webHidden/>
          </w:rPr>
          <w:fldChar w:fldCharType="separate"/>
        </w:r>
        <w:r w:rsidR="00DD0A69">
          <w:rPr>
            <w:webHidden/>
          </w:rPr>
          <w:t>6-289</w:t>
        </w:r>
        <w:r w:rsidRPr="00DA6215">
          <w:rPr>
            <w:webHidden/>
          </w:rPr>
          <w:fldChar w:fldCharType="end"/>
        </w:r>
      </w:hyperlink>
    </w:p>
    <w:p w14:paraId="24E5B4FC" w14:textId="0EB735B8" w:rsidR="00DA6215" w:rsidRPr="00DA6215" w:rsidRDefault="00DA6215">
      <w:pPr>
        <w:pStyle w:val="TOC4"/>
        <w:rPr>
          <w:rFonts w:eastAsiaTheme="minorEastAsia"/>
          <w:kern w:val="2"/>
          <w:lang w:val="en-US"/>
          <w14:ligatures w14:val="standardContextual"/>
        </w:rPr>
      </w:pPr>
      <w:hyperlink w:anchor="_Toc189044448" w:history="1">
        <w:r w:rsidRPr="00DA6215">
          <w:rPr>
            <w:rStyle w:val="Hyperlink"/>
            <w:u w:val="none"/>
          </w:rPr>
          <w:t>6.6.6.3</w:t>
        </w:r>
        <w:r w:rsidRPr="00DA6215">
          <w:rPr>
            <w:rFonts w:eastAsiaTheme="minorEastAsia"/>
            <w:kern w:val="2"/>
            <w:lang w:val="en-US"/>
            <w14:ligatures w14:val="standardContextual"/>
          </w:rPr>
          <w:tab/>
        </w:r>
        <w:r w:rsidRPr="00DA6215">
          <w:rPr>
            <w:rStyle w:val="Hyperlink"/>
            <w:u w:val="none"/>
          </w:rPr>
          <w:t>RMR Adjustment Charge</w:t>
        </w:r>
        <w:r w:rsidRPr="00DA6215">
          <w:rPr>
            <w:webHidden/>
          </w:rPr>
          <w:tab/>
        </w:r>
        <w:r w:rsidRPr="00DA6215">
          <w:rPr>
            <w:webHidden/>
          </w:rPr>
          <w:fldChar w:fldCharType="begin"/>
        </w:r>
        <w:r w:rsidRPr="00DA6215">
          <w:rPr>
            <w:webHidden/>
          </w:rPr>
          <w:instrText xml:space="preserve"> PAGEREF _Toc189044448 \h </w:instrText>
        </w:r>
        <w:r w:rsidRPr="00DA6215">
          <w:rPr>
            <w:webHidden/>
          </w:rPr>
        </w:r>
        <w:r w:rsidRPr="00DA6215">
          <w:rPr>
            <w:webHidden/>
          </w:rPr>
          <w:fldChar w:fldCharType="separate"/>
        </w:r>
        <w:r w:rsidR="00DD0A69">
          <w:rPr>
            <w:webHidden/>
          </w:rPr>
          <w:t>6-292</w:t>
        </w:r>
        <w:r w:rsidRPr="00DA6215">
          <w:rPr>
            <w:webHidden/>
          </w:rPr>
          <w:fldChar w:fldCharType="end"/>
        </w:r>
      </w:hyperlink>
    </w:p>
    <w:p w14:paraId="1B5CE249" w14:textId="7DCD98AD" w:rsidR="00DA6215" w:rsidRPr="00DA6215" w:rsidRDefault="00DA6215">
      <w:pPr>
        <w:pStyle w:val="TOC4"/>
        <w:rPr>
          <w:rFonts w:eastAsiaTheme="minorEastAsia"/>
          <w:kern w:val="2"/>
          <w:lang w:val="en-US"/>
          <w14:ligatures w14:val="standardContextual"/>
        </w:rPr>
      </w:pPr>
      <w:hyperlink w:anchor="_Toc189044449" w:history="1">
        <w:r w:rsidRPr="00DA6215">
          <w:rPr>
            <w:rStyle w:val="Hyperlink"/>
            <w:u w:val="none"/>
          </w:rPr>
          <w:t>6.6.6.4</w:t>
        </w:r>
        <w:r w:rsidRPr="00DA6215">
          <w:rPr>
            <w:rFonts w:eastAsiaTheme="minorEastAsia"/>
            <w:kern w:val="2"/>
            <w:lang w:val="en-US"/>
            <w14:ligatures w14:val="standardContextual"/>
          </w:rPr>
          <w:tab/>
        </w:r>
        <w:r w:rsidRPr="00DA6215">
          <w:rPr>
            <w:rStyle w:val="Hyperlink"/>
            <w:u w:val="none"/>
          </w:rPr>
          <w:t>RMR Charge for Unexcused Misconduct</w:t>
        </w:r>
        <w:r w:rsidRPr="00DA6215">
          <w:rPr>
            <w:webHidden/>
          </w:rPr>
          <w:tab/>
        </w:r>
        <w:r w:rsidRPr="00DA6215">
          <w:rPr>
            <w:webHidden/>
          </w:rPr>
          <w:fldChar w:fldCharType="begin"/>
        </w:r>
        <w:r w:rsidRPr="00DA6215">
          <w:rPr>
            <w:webHidden/>
          </w:rPr>
          <w:instrText xml:space="preserve"> PAGEREF _Toc189044449 \h </w:instrText>
        </w:r>
        <w:r w:rsidRPr="00DA6215">
          <w:rPr>
            <w:webHidden/>
          </w:rPr>
        </w:r>
        <w:r w:rsidRPr="00DA6215">
          <w:rPr>
            <w:webHidden/>
          </w:rPr>
          <w:fldChar w:fldCharType="separate"/>
        </w:r>
        <w:r w:rsidR="00DD0A69">
          <w:rPr>
            <w:webHidden/>
          </w:rPr>
          <w:t>6-293</w:t>
        </w:r>
        <w:r w:rsidRPr="00DA6215">
          <w:rPr>
            <w:webHidden/>
          </w:rPr>
          <w:fldChar w:fldCharType="end"/>
        </w:r>
      </w:hyperlink>
    </w:p>
    <w:p w14:paraId="5561BE55" w14:textId="7B0DA3F1" w:rsidR="00DA6215" w:rsidRPr="00DA6215" w:rsidRDefault="00DA6215">
      <w:pPr>
        <w:pStyle w:val="TOC4"/>
        <w:rPr>
          <w:rFonts w:eastAsiaTheme="minorEastAsia"/>
          <w:kern w:val="2"/>
          <w:lang w:val="en-US"/>
          <w14:ligatures w14:val="standardContextual"/>
        </w:rPr>
      </w:pPr>
      <w:hyperlink w:anchor="_Toc189044450" w:history="1">
        <w:r w:rsidRPr="00DA6215">
          <w:rPr>
            <w:rStyle w:val="Hyperlink"/>
            <w:u w:val="none"/>
          </w:rPr>
          <w:t>6.6.6.5</w:t>
        </w:r>
        <w:r w:rsidRPr="00DA6215">
          <w:rPr>
            <w:rFonts w:eastAsiaTheme="minorEastAsia"/>
            <w:kern w:val="2"/>
            <w:lang w:val="en-US"/>
            <w14:ligatures w14:val="standardContextual"/>
          </w:rPr>
          <w:tab/>
        </w:r>
        <w:r w:rsidRPr="00DA6215">
          <w:rPr>
            <w:rStyle w:val="Hyperlink"/>
            <w:u w:val="none"/>
          </w:rPr>
          <w:t>RMR Service Charge</w:t>
        </w:r>
        <w:r w:rsidRPr="00DA6215">
          <w:rPr>
            <w:webHidden/>
          </w:rPr>
          <w:tab/>
        </w:r>
        <w:r w:rsidRPr="00DA6215">
          <w:rPr>
            <w:webHidden/>
          </w:rPr>
          <w:fldChar w:fldCharType="begin"/>
        </w:r>
        <w:r w:rsidRPr="00DA6215">
          <w:rPr>
            <w:webHidden/>
          </w:rPr>
          <w:instrText xml:space="preserve"> PAGEREF _Toc189044450 \h </w:instrText>
        </w:r>
        <w:r w:rsidRPr="00DA6215">
          <w:rPr>
            <w:webHidden/>
          </w:rPr>
        </w:r>
        <w:r w:rsidRPr="00DA6215">
          <w:rPr>
            <w:webHidden/>
          </w:rPr>
          <w:fldChar w:fldCharType="separate"/>
        </w:r>
        <w:r w:rsidR="00DD0A69">
          <w:rPr>
            <w:webHidden/>
          </w:rPr>
          <w:t>6-294</w:t>
        </w:r>
        <w:r w:rsidRPr="00DA6215">
          <w:rPr>
            <w:webHidden/>
          </w:rPr>
          <w:fldChar w:fldCharType="end"/>
        </w:r>
      </w:hyperlink>
    </w:p>
    <w:p w14:paraId="21CFA0BB" w14:textId="553B3F8D" w:rsidR="00DA6215" w:rsidRPr="00DA6215" w:rsidRDefault="00DA6215">
      <w:pPr>
        <w:pStyle w:val="TOC4"/>
        <w:rPr>
          <w:rFonts w:eastAsiaTheme="minorEastAsia"/>
          <w:kern w:val="2"/>
          <w:lang w:val="en-US"/>
          <w14:ligatures w14:val="standardContextual"/>
        </w:rPr>
      </w:pPr>
      <w:hyperlink w:anchor="_Toc189044451" w:history="1">
        <w:r w:rsidRPr="00DA6215">
          <w:rPr>
            <w:rStyle w:val="Hyperlink"/>
            <w:u w:val="none"/>
          </w:rPr>
          <w:t>6.6.6.6</w:t>
        </w:r>
        <w:r w:rsidRPr="00DA6215">
          <w:rPr>
            <w:rFonts w:eastAsiaTheme="minorEastAsia"/>
            <w:kern w:val="2"/>
            <w:lang w:val="en-US"/>
            <w14:ligatures w14:val="standardContextual"/>
          </w:rPr>
          <w:tab/>
        </w:r>
        <w:r w:rsidRPr="00DA6215">
          <w:rPr>
            <w:rStyle w:val="Hyperlink"/>
            <w:u w:val="none"/>
          </w:rPr>
          <w:t>Method for Reconciling RMR Actual Eligible Costs, RMR and MRA Contributed Capital Expenditures, and Miscellaneous RMR Incurred Expenses</w:t>
        </w:r>
        <w:r w:rsidRPr="00DA6215">
          <w:rPr>
            <w:webHidden/>
          </w:rPr>
          <w:tab/>
        </w:r>
        <w:r w:rsidRPr="00DA6215">
          <w:rPr>
            <w:webHidden/>
          </w:rPr>
          <w:fldChar w:fldCharType="begin"/>
        </w:r>
        <w:r w:rsidRPr="00DA6215">
          <w:rPr>
            <w:webHidden/>
          </w:rPr>
          <w:instrText xml:space="preserve"> PAGEREF _Toc189044451 \h </w:instrText>
        </w:r>
        <w:r w:rsidRPr="00DA6215">
          <w:rPr>
            <w:webHidden/>
          </w:rPr>
        </w:r>
        <w:r w:rsidRPr="00DA6215">
          <w:rPr>
            <w:webHidden/>
          </w:rPr>
          <w:fldChar w:fldCharType="separate"/>
        </w:r>
        <w:r w:rsidR="00DD0A69">
          <w:rPr>
            <w:webHidden/>
          </w:rPr>
          <w:t>6-295</w:t>
        </w:r>
        <w:r w:rsidRPr="00DA6215">
          <w:rPr>
            <w:webHidden/>
          </w:rPr>
          <w:fldChar w:fldCharType="end"/>
        </w:r>
      </w:hyperlink>
    </w:p>
    <w:p w14:paraId="3555D9A3" w14:textId="17B16BED" w:rsidR="00DA6215" w:rsidRPr="00DA6215" w:rsidRDefault="00DA6215">
      <w:pPr>
        <w:pStyle w:val="TOC4"/>
        <w:rPr>
          <w:rFonts w:eastAsiaTheme="minorEastAsia"/>
          <w:kern w:val="2"/>
          <w:lang w:val="en-US"/>
          <w14:ligatures w14:val="standardContextual"/>
        </w:rPr>
      </w:pPr>
      <w:hyperlink w:anchor="_Toc189044452" w:history="1">
        <w:r w:rsidRPr="00DA6215">
          <w:rPr>
            <w:rStyle w:val="Hyperlink"/>
            <w:snapToGrid w:val="0"/>
            <w:u w:val="none"/>
          </w:rPr>
          <w:t>6.6.6.7</w:t>
        </w:r>
        <w:r w:rsidRPr="00DA6215">
          <w:rPr>
            <w:rFonts w:eastAsiaTheme="minorEastAsia"/>
            <w:kern w:val="2"/>
            <w:lang w:val="en-US"/>
            <w14:ligatures w14:val="standardContextual"/>
          </w:rPr>
          <w:tab/>
        </w:r>
        <w:r w:rsidRPr="00DA6215">
          <w:rPr>
            <w:rStyle w:val="Hyperlink"/>
            <w:snapToGrid w:val="0"/>
            <w:u w:val="none"/>
          </w:rPr>
          <w:t>MRA Standby Payment</w:t>
        </w:r>
        <w:r w:rsidRPr="00DA6215">
          <w:rPr>
            <w:webHidden/>
          </w:rPr>
          <w:tab/>
        </w:r>
        <w:r w:rsidRPr="00DA6215">
          <w:rPr>
            <w:webHidden/>
          </w:rPr>
          <w:fldChar w:fldCharType="begin"/>
        </w:r>
        <w:r w:rsidRPr="00DA6215">
          <w:rPr>
            <w:webHidden/>
          </w:rPr>
          <w:instrText xml:space="preserve"> PAGEREF _Toc189044452 \h </w:instrText>
        </w:r>
        <w:r w:rsidRPr="00DA6215">
          <w:rPr>
            <w:webHidden/>
          </w:rPr>
        </w:r>
        <w:r w:rsidRPr="00DA6215">
          <w:rPr>
            <w:webHidden/>
          </w:rPr>
          <w:fldChar w:fldCharType="separate"/>
        </w:r>
        <w:r w:rsidR="00DD0A69">
          <w:rPr>
            <w:webHidden/>
          </w:rPr>
          <w:t>6-299</w:t>
        </w:r>
        <w:r w:rsidRPr="00DA6215">
          <w:rPr>
            <w:webHidden/>
          </w:rPr>
          <w:fldChar w:fldCharType="end"/>
        </w:r>
      </w:hyperlink>
    </w:p>
    <w:p w14:paraId="398B026E" w14:textId="2F4431DB" w:rsidR="00DA6215" w:rsidRPr="00DA6215" w:rsidRDefault="00DA6215">
      <w:pPr>
        <w:pStyle w:val="TOC4"/>
        <w:rPr>
          <w:rFonts w:eastAsiaTheme="minorEastAsia"/>
          <w:kern w:val="2"/>
          <w:lang w:val="en-US"/>
          <w14:ligatures w14:val="standardContextual"/>
        </w:rPr>
      </w:pPr>
      <w:hyperlink w:anchor="_Toc189044453" w:history="1">
        <w:r w:rsidRPr="00DA6215">
          <w:rPr>
            <w:rStyle w:val="Hyperlink"/>
            <w:snapToGrid w:val="0"/>
            <w:u w:val="none"/>
          </w:rPr>
          <w:t>6.6.6.8</w:t>
        </w:r>
        <w:r w:rsidRPr="00DA6215">
          <w:rPr>
            <w:rFonts w:eastAsiaTheme="minorEastAsia"/>
            <w:kern w:val="2"/>
            <w:lang w:val="en-US"/>
            <w14:ligatures w14:val="standardContextual"/>
          </w:rPr>
          <w:tab/>
        </w:r>
        <w:r w:rsidRPr="00DA6215">
          <w:rPr>
            <w:rStyle w:val="Hyperlink"/>
            <w:snapToGrid w:val="0"/>
            <w:u w:val="none"/>
          </w:rPr>
          <w:t>MRA Contributed Capital Expenditures Payment</w:t>
        </w:r>
        <w:r w:rsidRPr="00DA6215">
          <w:rPr>
            <w:webHidden/>
          </w:rPr>
          <w:tab/>
        </w:r>
        <w:r w:rsidRPr="00DA6215">
          <w:rPr>
            <w:webHidden/>
          </w:rPr>
          <w:fldChar w:fldCharType="begin"/>
        </w:r>
        <w:r w:rsidRPr="00DA6215">
          <w:rPr>
            <w:webHidden/>
          </w:rPr>
          <w:instrText xml:space="preserve"> PAGEREF _Toc189044453 \h </w:instrText>
        </w:r>
        <w:r w:rsidRPr="00DA6215">
          <w:rPr>
            <w:webHidden/>
          </w:rPr>
        </w:r>
        <w:r w:rsidRPr="00DA6215">
          <w:rPr>
            <w:webHidden/>
          </w:rPr>
          <w:fldChar w:fldCharType="separate"/>
        </w:r>
        <w:r w:rsidR="00DD0A69">
          <w:rPr>
            <w:webHidden/>
          </w:rPr>
          <w:t>6-302</w:t>
        </w:r>
        <w:r w:rsidRPr="00DA6215">
          <w:rPr>
            <w:webHidden/>
          </w:rPr>
          <w:fldChar w:fldCharType="end"/>
        </w:r>
      </w:hyperlink>
    </w:p>
    <w:p w14:paraId="24E902FD" w14:textId="7071F963" w:rsidR="00DA6215" w:rsidRPr="00DA6215" w:rsidRDefault="00DA6215">
      <w:pPr>
        <w:pStyle w:val="TOC4"/>
        <w:rPr>
          <w:rFonts w:eastAsiaTheme="minorEastAsia"/>
          <w:kern w:val="2"/>
          <w:lang w:val="en-US"/>
          <w14:ligatures w14:val="standardContextual"/>
        </w:rPr>
      </w:pPr>
      <w:hyperlink w:anchor="_Toc189044454" w:history="1">
        <w:r w:rsidRPr="00DA6215">
          <w:rPr>
            <w:rStyle w:val="Hyperlink"/>
            <w:snapToGrid w:val="0"/>
            <w:u w:val="none"/>
          </w:rPr>
          <w:t>6.6.6.9</w:t>
        </w:r>
        <w:r w:rsidRPr="00DA6215">
          <w:rPr>
            <w:rFonts w:eastAsiaTheme="minorEastAsia"/>
            <w:kern w:val="2"/>
            <w:lang w:val="en-US"/>
            <w14:ligatures w14:val="standardContextual"/>
          </w:rPr>
          <w:tab/>
        </w:r>
        <w:r w:rsidRPr="00DA6215">
          <w:rPr>
            <w:rStyle w:val="Hyperlink"/>
            <w:snapToGrid w:val="0"/>
            <w:u w:val="none"/>
          </w:rPr>
          <w:t>MRA Payment for Deployment Event</w:t>
        </w:r>
        <w:r w:rsidRPr="00DA6215">
          <w:rPr>
            <w:webHidden/>
          </w:rPr>
          <w:tab/>
        </w:r>
        <w:r w:rsidRPr="00DA6215">
          <w:rPr>
            <w:webHidden/>
          </w:rPr>
          <w:fldChar w:fldCharType="begin"/>
        </w:r>
        <w:r w:rsidRPr="00DA6215">
          <w:rPr>
            <w:webHidden/>
          </w:rPr>
          <w:instrText xml:space="preserve"> PAGEREF _Toc189044454 \h </w:instrText>
        </w:r>
        <w:r w:rsidRPr="00DA6215">
          <w:rPr>
            <w:webHidden/>
          </w:rPr>
        </w:r>
        <w:r w:rsidRPr="00DA6215">
          <w:rPr>
            <w:webHidden/>
          </w:rPr>
          <w:fldChar w:fldCharType="separate"/>
        </w:r>
        <w:r w:rsidR="00DD0A69">
          <w:rPr>
            <w:webHidden/>
          </w:rPr>
          <w:t>6-304</w:t>
        </w:r>
        <w:r w:rsidRPr="00DA6215">
          <w:rPr>
            <w:webHidden/>
          </w:rPr>
          <w:fldChar w:fldCharType="end"/>
        </w:r>
      </w:hyperlink>
    </w:p>
    <w:p w14:paraId="1A247343" w14:textId="0B5450D6" w:rsidR="00DA6215" w:rsidRPr="00DA6215" w:rsidRDefault="00DA6215">
      <w:pPr>
        <w:pStyle w:val="TOC4"/>
        <w:rPr>
          <w:rFonts w:eastAsiaTheme="minorEastAsia"/>
          <w:kern w:val="2"/>
          <w:lang w:val="en-US"/>
          <w14:ligatures w14:val="standardContextual"/>
        </w:rPr>
      </w:pPr>
      <w:hyperlink w:anchor="_Toc189044455" w:history="1">
        <w:r w:rsidRPr="00DA6215">
          <w:rPr>
            <w:rStyle w:val="Hyperlink"/>
            <w:snapToGrid w:val="0"/>
            <w:u w:val="none"/>
          </w:rPr>
          <w:t>6.6.6.10</w:t>
        </w:r>
        <w:r w:rsidRPr="00DA6215">
          <w:rPr>
            <w:rFonts w:eastAsiaTheme="minorEastAsia"/>
            <w:kern w:val="2"/>
            <w:lang w:val="en-US"/>
            <w14:ligatures w14:val="standardContextual"/>
          </w:rPr>
          <w:tab/>
        </w:r>
        <w:r w:rsidRPr="00DA6215">
          <w:rPr>
            <w:rStyle w:val="Hyperlink"/>
            <w:snapToGrid w:val="0"/>
            <w:u w:val="none"/>
          </w:rPr>
          <w:t>MRA Variable Payment for Deployment</w:t>
        </w:r>
        <w:r w:rsidRPr="00DA6215">
          <w:rPr>
            <w:webHidden/>
          </w:rPr>
          <w:tab/>
        </w:r>
        <w:r w:rsidRPr="00DA6215">
          <w:rPr>
            <w:webHidden/>
          </w:rPr>
          <w:fldChar w:fldCharType="begin"/>
        </w:r>
        <w:r w:rsidRPr="00DA6215">
          <w:rPr>
            <w:webHidden/>
          </w:rPr>
          <w:instrText xml:space="preserve"> PAGEREF _Toc189044455 \h </w:instrText>
        </w:r>
        <w:r w:rsidRPr="00DA6215">
          <w:rPr>
            <w:webHidden/>
          </w:rPr>
        </w:r>
        <w:r w:rsidRPr="00DA6215">
          <w:rPr>
            <w:webHidden/>
          </w:rPr>
          <w:fldChar w:fldCharType="separate"/>
        </w:r>
        <w:r w:rsidR="00DD0A69">
          <w:rPr>
            <w:webHidden/>
          </w:rPr>
          <w:t>6-306</w:t>
        </w:r>
        <w:r w:rsidRPr="00DA6215">
          <w:rPr>
            <w:webHidden/>
          </w:rPr>
          <w:fldChar w:fldCharType="end"/>
        </w:r>
      </w:hyperlink>
    </w:p>
    <w:p w14:paraId="03669288" w14:textId="49A4C714" w:rsidR="00DA6215" w:rsidRPr="00DA6215" w:rsidRDefault="00DA6215">
      <w:pPr>
        <w:pStyle w:val="TOC4"/>
        <w:rPr>
          <w:rFonts w:eastAsiaTheme="minorEastAsia"/>
          <w:kern w:val="2"/>
          <w:lang w:val="en-US"/>
          <w14:ligatures w14:val="standardContextual"/>
        </w:rPr>
      </w:pPr>
      <w:hyperlink w:anchor="_Toc189044456" w:history="1">
        <w:r w:rsidRPr="00DA6215">
          <w:rPr>
            <w:rStyle w:val="Hyperlink"/>
            <w:snapToGrid w:val="0"/>
            <w:u w:val="none"/>
          </w:rPr>
          <w:t>6.6.6.11</w:t>
        </w:r>
        <w:r w:rsidRPr="00DA6215">
          <w:rPr>
            <w:rFonts w:eastAsiaTheme="minorEastAsia"/>
            <w:kern w:val="2"/>
            <w:lang w:val="en-US"/>
            <w14:ligatures w14:val="standardContextual"/>
          </w:rPr>
          <w:tab/>
        </w:r>
        <w:r w:rsidRPr="00DA6215">
          <w:rPr>
            <w:rStyle w:val="Hyperlink"/>
            <w:snapToGrid w:val="0"/>
            <w:u w:val="none"/>
          </w:rPr>
          <w:t>MRA Charge for Unexcused Misconduct</w:t>
        </w:r>
        <w:r w:rsidRPr="00DA6215">
          <w:rPr>
            <w:webHidden/>
          </w:rPr>
          <w:tab/>
        </w:r>
        <w:r w:rsidRPr="00DA6215">
          <w:rPr>
            <w:webHidden/>
          </w:rPr>
          <w:fldChar w:fldCharType="begin"/>
        </w:r>
        <w:r w:rsidRPr="00DA6215">
          <w:rPr>
            <w:webHidden/>
          </w:rPr>
          <w:instrText xml:space="preserve"> PAGEREF _Toc189044456 \h </w:instrText>
        </w:r>
        <w:r w:rsidRPr="00DA6215">
          <w:rPr>
            <w:webHidden/>
          </w:rPr>
        </w:r>
        <w:r w:rsidRPr="00DA6215">
          <w:rPr>
            <w:webHidden/>
          </w:rPr>
          <w:fldChar w:fldCharType="separate"/>
        </w:r>
        <w:r w:rsidR="00DD0A69">
          <w:rPr>
            <w:webHidden/>
          </w:rPr>
          <w:t>6-310</w:t>
        </w:r>
        <w:r w:rsidRPr="00DA6215">
          <w:rPr>
            <w:webHidden/>
          </w:rPr>
          <w:fldChar w:fldCharType="end"/>
        </w:r>
      </w:hyperlink>
    </w:p>
    <w:p w14:paraId="11101FEF" w14:textId="06750C35" w:rsidR="00DA6215" w:rsidRPr="00DA6215" w:rsidRDefault="00DA6215">
      <w:pPr>
        <w:pStyle w:val="TOC4"/>
        <w:rPr>
          <w:rFonts w:eastAsiaTheme="minorEastAsia"/>
          <w:kern w:val="2"/>
          <w:lang w:val="en-US"/>
          <w14:ligatures w14:val="standardContextual"/>
        </w:rPr>
      </w:pPr>
      <w:hyperlink w:anchor="_Toc189044457" w:history="1">
        <w:r w:rsidRPr="00DA6215">
          <w:rPr>
            <w:rStyle w:val="Hyperlink"/>
            <w:snapToGrid w:val="0"/>
            <w:u w:val="none"/>
          </w:rPr>
          <w:t>6.6.6.12</w:t>
        </w:r>
        <w:r w:rsidRPr="00DA6215">
          <w:rPr>
            <w:rFonts w:eastAsiaTheme="minorEastAsia"/>
            <w:kern w:val="2"/>
            <w:lang w:val="en-US"/>
            <w14:ligatures w14:val="standardContextual"/>
          </w:rPr>
          <w:tab/>
        </w:r>
        <w:r w:rsidRPr="00DA6215">
          <w:rPr>
            <w:rStyle w:val="Hyperlink"/>
            <w:snapToGrid w:val="0"/>
            <w:u w:val="none"/>
          </w:rPr>
          <w:t>MRA Service Charge</w:t>
        </w:r>
        <w:r w:rsidRPr="00DA6215">
          <w:rPr>
            <w:webHidden/>
          </w:rPr>
          <w:tab/>
        </w:r>
        <w:r w:rsidRPr="00DA6215">
          <w:rPr>
            <w:webHidden/>
          </w:rPr>
          <w:fldChar w:fldCharType="begin"/>
        </w:r>
        <w:r w:rsidRPr="00DA6215">
          <w:rPr>
            <w:webHidden/>
          </w:rPr>
          <w:instrText xml:space="preserve"> PAGEREF _Toc189044457 \h </w:instrText>
        </w:r>
        <w:r w:rsidRPr="00DA6215">
          <w:rPr>
            <w:webHidden/>
          </w:rPr>
        </w:r>
        <w:r w:rsidRPr="00DA6215">
          <w:rPr>
            <w:webHidden/>
          </w:rPr>
          <w:fldChar w:fldCharType="separate"/>
        </w:r>
        <w:r w:rsidR="00DD0A69">
          <w:rPr>
            <w:webHidden/>
          </w:rPr>
          <w:t>6-311</w:t>
        </w:r>
        <w:r w:rsidRPr="00DA6215">
          <w:rPr>
            <w:webHidden/>
          </w:rPr>
          <w:fldChar w:fldCharType="end"/>
        </w:r>
      </w:hyperlink>
    </w:p>
    <w:p w14:paraId="32A5D3F7" w14:textId="65555802" w:rsidR="00DA6215" w:rsidRPr="00DA6215" w:rsidRDefault="00DA6215">
      <w:pPr>
        <w:pStyle w:val="TOC3"/>
        <w:rPr>
          <w:rFonts w:eastAsiaTheme="minorEastAsia"/>
          <w:i w:val="0"/>
          <w:iCs w:val="0"/>
          <w:kern w:val="2"/>
          <w14:ligatures w14:val="standardContextual"/>
        </w:rPr>
      </w:pPr>
      <w:hyperlink w:anchor="_Toc189044458" w:history="1">
        <w:r w:rsidRPr="00DA6215">
          <w:rPr>
            <w:rStyle w:val="Hyperlink"/>
            <w:i w:val="0"/>
            <w:iCs w:val="0"/>
            <w:u w:val="none"/>
          </w:rPr>
          <w:t>6.6.7</w:t>
        </w:r>
        <w:r w:rsidRPr="00DA6215">
          <w:rPr>
            <w:rFonts w:eastAsiaTheme="minorEastAsia"/>
            <w:i w:val="0"/>
            <w:iCs w:val="0"/>
            <w:kern w:val="2"/>
            <w14:ligatures w14:val="standardContextual"/>
          </w:rPr>
          <w:tab/>
        </w:r>
        <w:r w:rsidRPr="00DA6215">
          <w:rPr>
            <w:rStyle w:val="Hyperlink"/>
            <w:i w:val="0"/>
            <w:iCs w:val="0"/>
            <w:u w:val="none"/>
          </w:rPr>
          <w:t>Voltage Support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_Toc189044458 \h </w:instrText>
        </w:r>
        <w:r w:rsidRPr="00DA6215">
          <w:rPr>
            <w:i w:val="0"/>
            <w:iCs w:val="0"/>
            <w:webHidden/>
          </w:rPr>
        </w:r>
        <w:r w:rsidRPr="00DA6215">
          <w:rPr>
            <w:i w:val="0"/>
            <w:iCs w:val="0"/>
            <w:webHidden/>
          </w:rPr>
          <w:fldChar w:fldCharType="separate"/>
        </w:r>
        <w:r w:rsidR="00DD0A69">
          <w:rPr>
            <w:i w:val="0"/>
            <w:iCs w:val="0"/>
            <w:webHidden/>
          </w:rPr>
          <w:t>6-312</w:t>
        </w:r>
        <w:r w:rsidRPr="00DA6215">
          <w:rPr>
            <w:i w:val="0"/>
            <w:iCs w:val="0"/>
            <w:webHidden/>
          </w:rPr>
          <w:fldChar w:fldCharType="end"/>
        </w:r>
      </w:hyperlink>
    </w:p>
    <w:p w14:paraId="1EC170CA" w14:textId="71BBDEDD" w:rsidR="00DA6215" w:rsidRPr="00DA6215" w:rsidRDefault="00DA6215">
      <w:pPr>
        <w:pStyle w:val="TOC4"/>
        <w:rPr>
          <w:rFonts w:eastAsiaTheme="minorEastAsia"/>
          <w:kern w:val="2"/>
          <w:lang w:val="en-US"/>
          <w14:ligatures w14:val="standardContextual"/>
        </w:rPr>
      </w:pPr>
      <w:hyperlink w:anchor="_Toc189044459" w:history="1">
        <w:r w:rsidRPr="00DA6215">
          <w:rPr>
            <w:rStyle w:val="Hyperlink"/>
            <w:u w:val="none"/>
          </w:rPr>
          <w:t>6.6.7.1</w:t>
        </w:r>
        <w:r w:rsidRPr="00DA6215">
          <w:rPr>
            <w:rFonts w:eastAsiaTheme="minorEastAsia"/>
            <w:kern w:val="2"/>
            <w:lang w:val="en-US"/>
            <w14:ligatures w14:val="standardContextual"/>
          </w:rPr>
          <w:tab/>
        </w:r>
        <w:r w:rsidRPr="00DA6215">
          <w:rPr>
            <w:rStyle w:val="Hyperlink"/>
            <w:u w:val="none"/>
          </w:rPr>
          <w:t>Voltage Support Service Payments</w:t>
        </w:r>
        <w:r w:rsidRPr="00DA6215">
          <w:rPr>
            <w:webHidden/>
          </w:rPr>
          <w:tab/>
        </w:r>
        <w:r w:rsidRPr="00DA6215">
          <w:rPr>
            <w:webHidden/>
          </w:rPr>
          <w:fldChar w:fldCharType="begin"/>
        </w:r>
        <w:r w:rsidRPr="00DA6215">
          <w:rPr>
            <w:webHidden/>
          </w:rPr>
          <w:instrText xml:space="preserve"> PAGEREF _Toc189044459 \h </w:instrText>
        </w:r>
        <w:r w:rsidRPr="00DA6215">
          <w:rPr>
            <w:webHidden/>
          </w:rPr>
        </w:r>
        <w:r w:rsidRPr="00DA6215">
          <w:rPr>
            <w:webHidden/>
          </w:rPr>
          <w:fldChar w:fldCharType="separate"/>
        </w:r>
        <w:r w:rsidR="00DD0A69">
          <w:rPr>
            <w:webHidden/>
          </w:rPr>
          <w:t>6-312</w:t>
        </w:r>
        <w:r w:rsidRPr="00DA6215">
          <w:rPr>
            <w:webHidden/>
          </w:rPr>
          <w:fldChar w:fldCharType="end"/>
        </w:r>
      </w:hyperlink>
    </w:p>
    <w:p w14:paraId="7E10C8D9" w14:textId="6A59F36A" w:rsidR="00DA6215" w:rsidRPr="00DA6215" w:rsidRDefault="00DA6215">
      <w:pPr>
        <w:pStyle w:val="TOC4"/>
        <w:rPr>
          <w:rFonts w:eastAsiaTheme="minorEastAsia"/>
          <w:kern w:val="2"/>
          <w:lang w:val="en-US"/>
          <w14:ligatures w14:val="standardContextual"/>
        </w:rPr>
      </w:pPr>
      <w:hyperlink w:anchor="_Toc189044460" w:history="1">
        <w:r w:rsidRPr="00DA6215">
          <w:rPr>
            <w:rStyle w:val="Hyperlink"/>
            <w:snapToGrid w:val="0"/>
            <w:u w:val="none"/>
          </w:rPr>
          <w:t>6.6.7.1</w:t>
        </w:r>
        <w:r w:rsidRPr="00DA6215">
          <w:rPr>
            <w:rFonts w:eastAsiaTheme="minorEastAsia"/>
            <w:kern w:val="2"/>
            <w:lang w:val="en-US"/>
            <w14:ligatures w14:val="standardContextual"/>
          </w:rPr>
          <w:tab/>
        </w:r>
        <w:r w:rsidRPr="00DA6215">
          <w:rPr>
            <w:rStyle w:val="Hyperlink"/>
            <w:snapToGrid w:val="0"/>
            <w:u w:val="none"/>
          </w:rPr>
          <w:t>Voltage Support Service Payments</w:t>
        </w:r>
        <w:r w:rsidRPr="00DA6215">
          <w:rPr>
            <w:webHidden/>
          </w:rPr>
          <w:tab/>
        </w:r>
        <w:r w:rsidRPr="00DA6215">
          <w:rPr>
            <w:webHidden/>
          </w:rPr>
          <w:fldChar w:fldCharType="begin"/>
        </w:r>
        <w:r w:rsidRPr="00DA6215">
          <w:rPr>
            <w:webHidden/>
          </w:rPr>
          <w:instrText xml:space="preserve"> PAGEREF _Toc189044460 \h </w:instrText>
        </w:r>
        <w:r w:rsidRPr="00DA6215">
          <w:rPr>
            <w:webHidden/>
          </w:rPr>
        </w:r>
        <w:r w:rsidRPr="00DA6215">
          <w:rPr>
            <w:webHidden/>
          </w:rPr>
          <w:fldChar w:fldCharType="separate"/>
        </w:r>
        <w:r w:rsidR="00DD0A69">
          <w:rPr>
            <w:webHidden/>
          </w:rPr>
          <w:t>6-315</w:t>
        </w:r>
        <w:r w:rsidRPr="00DA6215">
          <w:rPr>
            <w:webHidden/>
          </w:rPr>
          <w:fldChar w:fldCharType="end"/>
        </w:r>
      </w:hyperlink>
    </w:p>
    <w:p w14:paraId="64F63A5F" w14:textId="79088048" w:rsidR="00DA6215" w:rsidRPr="00DA6215" w:rsidRDefault="00DA6215">
      <w:pPr>
        <w:pStyle w:val="TOC4"/>
        <w:rPr>
          <w:rFonts w:eastAsiaTheme="minorEastAsia"/>
          <w:kern w:val="2"/>
          <w:lang w:val="en-US"/>
          <w14:ligatures w14:val="standardContextual"/>
        </w:rPr>
      </w:pPr>
      <w:hyperlink w:anchor="_Toc189044461" w:history="1">
        <w:r w:rsidRPr="00DA6215">
          <w:rPr>
            <w:rStyle w:val="Hyperlink"/>
            <w:u w:val="none"/>
          </w:rPr>
          <w:t>6.6.7.2</w:t>
        </w:r>
        <w:r w:rsidRPr="00DA6215">
          <w:rPr>
            <w:rFonts w:eastAsiaTheme="minorEastAsia"/>
            <w:kern w:val="2"/>
            <w:lang w:val="en-US"/>
            <w14:ligatures w14:val="standardContextual"/>
          </w:rPr>
          <w:tab/>
        </w:r>
        <w:r w:rsidRPr="00DA6215">
          <w:rPr>
            <w:rStyle w:val="Hyperlink"/>
            <w:u w:val="none"/>
          </w:rPr>
          <w:t>Voltage Support Charge</w:t>
        </w:r>
        <w:r w:rsidRPr="00DA6215">
          <w:rPr>
            <w:webHidden/>
          </w:rPr>
          <w:tab/>
        </w:r>
        <w:r w:rsidRPr="00DA6215">
          <w:rPr>
            <w:webHidden/>
          </w:rPr>
          <w:fldChar w:fldCharType="begin"/>
        </w:r>
        <w:r w:rsidRPr="00DA6215">
          <w:rPr>
            <w:webHidden/>
          </w:rPr>
          <w:instrText xml:space="preserve"> PAGEREF _Toc189044461 \h </w:instrText>
        </w:r>
        <w:r w:rsidRPr="00DA6215">
          <w:rPr>
            <w:webHidden/>
          </w:rPr>
        </w:r>
        <w:r w:rsidRPr="00DA6215">
          <w:rPr>
            <w:webHidden/>
          </w:rPr>
          <w:fldChar w:fldCharType="separate"/>
        </w:r>
        <w:r w:rsidR="00DD0A69">
          <w:rPr>
            <w:webHidden/>
          </w:rPr>
          <w:t>6-320</w:t>
        </w:r>
        <w:r w:rsidRPr="00DA6215">
          <w:rPr>
            <w:webHidden/>
          </w:rPr>
          <w:fldChar w:fldCharType="end"/>
        </w:r>
      </w:hyperlink>
    </w:p>
    <w:p w14:paraId="552A2CFF" w14:textId="24B91D2B" w:rsidR="00DA6215" w:rsidRPr="00DA6215" w:rsidRDefault="00DA6215">
      <w:pPr>
        <w:pStyle w:val="TOC3"/>
        <w:rPr>
          <w:rFonts w:eastAsiaTheme="minorEastAsia"/>
          <w:i w:val="0"/>
          <w:iCs w:val="0"/>
          <w:kern w:val="2"/>
          <w14:ligatures w14:val="standardContextual"/>
        </w:rPr>
      </w:pPr>
      <w:hyperlink w:anchor="_Toc189044462" w:history="1">
        <w:r w:rsidRPr="00DA6215">
          <w:rPr>
            <w:rStyle w:val="Hyperlink"/>
            <w:i w:val="0"/>
            <w:iCs w:val="0"/>
            <w:u w:val="none"/>
          </w:rPr>
          <w:t>6.6.8</w:t>
        </w:r>
        <w:r w:rsidRPr="00DA6215">
          <w:rPr>
            <w:rFonts w:eastAsiaTheme="minorEastAsia"/>
            <w:i w:val="0"/>
            <w:iCs w:val="0"/>
            <w:kern w:val="2"/>
            <w14:ligatures w14:val="standardContextual"/>
          </w:rPr>
          <w:tab/>
        </w:r>
        <w:r w:rsidRPr="00DA6215">
          <w:rPr>
            <w:rStyle w:val="Hyperlink"/>
            <w:i w:val="0"/>
            <w:iCs w:val="0"/>
            <w:u w:val="none"/>
          </w:rPr>
          <w:t>Black Start Capacity</w:t>
        </w:r>
        <w:r w:rsidRPr="00DA6215">
          <w:rPr>
            <w:i w:val="0"/>
            <w:iCs w:val="0"/>
            <w:webHidden/>
          </w:rPr>
          <w:tab/>
        </w:r>
        <w:r w:rsidRPr="00DA6215">
          <w:rPr>
            <w:i w:val="0"/>
            <w:iCs w:val="0"/>
            <w:webHidden/>
          </w:rPr>
          <w:fldChar w:fldCharType="begin"/>
        </w:r>
        <w:r w:rsidRPr="00DA6215">
          <w:rPr>
            <w:i w:val="0"/>
            <w:iCs w:val="0"/>
            <w:webHidden/>
          </w:rPr>
          <w:instrText xml:space="preserve"> PAGEREF _Toc189044462 \h </w:instrText>
        </w:r>
        <w:r w:rsidRPr="00DA6215">
          <w:rPr>
            <w:i w:val="0"/>
            <w:iCs w:val="0"/>
            <w:webHidden/>
          </w:rPr>
        </w:r>
        <w:r w:rsidRPr="00DA6215">
          <w:rPr>
            <w:i w:val="0"/>
            <w:iCs w:val="0"/>
            <w:webHidden/>
          </w:rPr>
          <w:fldChar w:fldCharType="separate"/>
        </w:r>
        <w:r w:rsidR="00DD0A69">
          <w:rPr>
            <w:i w:val="0"/>
            <w:iCs w:val="0"/>
            <w:webHidden/>
          </w:rPr>
          <w:t>6-320</w:t>
        </w:r>
        <w:r w:rsidRPr="00DA6215">
          <w:rPr>
            <w:i w:val="0"/>
            <w:iCs w:val="0"/>
            <w:webHidden/>
          </w:rPr>
          <w:fldChar w:fldCharType="end"/>
        </w:r>
      </w:hyperlink>
    </w:p>
    <w:p w14:paraId="4E0D0E59" w14:textId="65051CBE" w:rsidR="00DA6215" w:rsidRPr="00DA6215" w:rsidRDefault="00DA6215">
      <w:pPr>
        <w:pStyle w:val="TOC4"/>
        <w:rPr>
          <w:rFonts w:eastAsiaTheme="minorEastAsia"/>
          <w:kern w:val="2"/>
          <w:lang w:val="en-US"/>
          <w14:ligatures w14:val="standardContextual"/>
        </w:rPr>
      </w:pPr>
      <w:hyperlink w:anchor="_Toc189044463" w:history="1">
        <w:r w:rsidRPr="00DA6215">
          <w:rPr>
            <w:rStyle w:val="Hyperlink"/>
            <w:u w:val="none"/>
          </w:rPr>
          <w:t>6.6.8.1</w:t>
        </w:r>
        <w:r w:rsidRPr="00DA6215">
          <w:rPr>
            <w:rFonts w:eastAsiaTheme="minorEastAsia"/>
            <w:kern w:val="2"/>
            <w:lang w:val="en-US"/>
            <w14:ligatures w14:val="standardContextual"/>
          </w:rPr>
          <w:tab/>
        </w:r>
        <w:r w:rsidRPr="00DA6215">
          <w:rPr>
            <w:rStyle w:val="Hyperlink"/>
            <w:u w:val="none"/>
          </w:rPr>
          <w:t>Black Start Hourly Standby Fee Payment</w:t>
        </w:r>
        <w:r w:rsidRPr="00DA6215">
          <w:rPr>
            <w:webHidden/>
          </w:rPr>
          <w:tab/>
        </w:r>
        <w:r w:rsidRPr="00DA6215">
          <w:rPr>
            <w:webHidden/>
          </w:rPr>
          <w:fldChar w:fldCharType="begin"/>
        </w:r>
        <w:r w:rsidRPr="00DA6215">
          <w:rPr>
            <w:webHidden/>
          </w:rPr>
          <w:instrText xml:space="preserve"> PAGEREF _Toc189044463 \h </w:instrText>
        </w:r>
        <w:r w:rsidRPr="00DA6215">
          <w:rPr>
            <w:webHidden/>
          </w:rPr>
        </w:r>
        <w:r w:rsidRPr="00DA6215">
          <w:rPr>
            <w:webHidden/>
          </w:rPr>
          <w:fldChar w:fldCharType="separate"/>
        </w:r>
        <w:r w:rsidR="00DD0A69">
          <w:rPr>
            <w:webHidden/>
          </w:rPr>
          <w:t>6-320</w:t>
        </w:r>
        <w:r w:rsidRPr="00DA6215">
          <w:rPr>
            <w:webHidden/>
          </w:rPr>
          <w:fldChar w:fldCharType="end"/>
        </w:r>
      </w:hyperlink>
    </w:p>
    <w:p w14:paraId="65EC52C2" w14:textId="2C84826F" w:rsidR="00DA6215" w:rsidRPr="00DA6215" w:rsidRDefault="00DA6215">
      <w:pPr>
        <w:pStyle w:val="TOC4"/>
        <w:rPr>
          <w:rFonts w:eastAsiaTheme="minorEastAsia"/>
          <w:kern w:val="2"/>
          <w:lang w:val="en-US"/>
          <w14:ligatures w14:val="standardContextual"/>
        </w:rPr>
      </w:pPr>
      <w:hyperlink w:anchor="_Toc189044464" w:history="1">
        <w:r w:rsidRPr="00DA6215">
          <w:rPr>
            <w:rStyle w:val="Hyperlink"/>
            <w:u w:val="none"/>
          </w:rPr>
          <w:t>6.6.8.2</w:t>
        </w:r>
        <w:r w:rsidRPr="00DA6215">
          <w:rPr>
            <w:rFonts w:eastAsiaTheme="minorEastAsia"/>
            <w:kern w:val="2"/>
            <w:lang w:val="en-US"/>
            <w14:ligatures w14:val="standardContextual"/>
          </w:rPr>
          <w:tab/>
        </w:r>
        <w:r w:rsidRPr="00DA6215">
          <w:rPr>
            <w:rStyle w:val="Hyperlink"/>
            <w:u w:val="none"/>
          </w:rPr>
          <w:t>Black Start Capacity Charge</w:t>
        </w:r>
        <w:r w:rsidRPr="00DA6215">
          <w:rPr>
            <w:webHidden/>
          </w:rPr>
          <w:tab/>
        </w:r>
        <w:r w:rsidRPr="00DA6215">
          <w:rPr>
            <w:webHidden/>
          </w:rPr>
          <w:fldChar w:fldCharType="begin"/>
        </w:r>
        <w:r w:rsidRPr="00DA6215">
          <w:rPr>
            <w:webHidden/>
          </w:rPr>
          <w:instrText xml:space="preserve"> PAGEREF _Toc189044464 \h </w:instrText>
        </w:r>
        <w:r w:rsidRPr="00DA6215">
          <w:rPr>
            <w:webHidden/>
          </w:rPr>
        </w:r>
        <w:r w:rsidRPr="00DA6215">
          <w:rPr>
            <w:webHidden/>
          </w:rPr>
          <w:fldChar w:fldCharType="separate"/>
        </w:r>
        <w:r w:rsidR="00DD0A69">
          <w:rPr>
            <w:webHidden/>
          </w:rPr>
          <w:t>6-322</w:t>
        </w:r>
        <w:r w:rsidRPr="00DA6215">
          <w:rPr>
            <w:webHidden/>
          </w:rPr>
          <w:fldChar w:fldCharType="end"/>
        </w:r>
      </w:hyperlink>
    </w:p>
    <w:p w14:paraId="362FC1EE" w14:textId="306ACB90" w:rsidR="00DA6215" w:rsidRPr="00DA6215" w:rsidRDefault="00DA6215">
      <w:pPr>
        <w:pStyle w:val="TOC3"/>
        <w:rPr>
          <w:rFonts w:eastAsiaTheme="minorEastAsia"/>
          <w:i w:val="0"/>
          <w:iCs w:val="0"/>
          <w:kern w:val="2"/>
          <w14:ligatures w14:val="standardContextual"/>
        </w:rPr>
      </w:pPr>
      <w:hyperlink w:anchor="_Toc189044465" w:history="1">
        <w:r w:rsidRPr="00DA6215">
          <w:rPr>
            <w:rStyle w:val="Hyperlink"/>
            <w:i w:val="0"/>
            <w:iCs w:val="0"/>
            <w:u w:val="none"/>
          </w:rPr>
          <w:t>6.6.9</w:t>
        </w:r>
        <w:r w:rsidRPr="00DA6215">
          <w:rPr>
            <w:rFonts w:eastAsiaTheme="minorEastAsia"/>
            <w:i w:val="0"/>
            <w:iCs w:val="0"/>
            <w:kern w:val="2"/>
            <w14:ligatures w14:val="standardContextual"/>
          </w:rPr>
          <w:tab/>
        </w:r>
        <w:r w:rsidRPr="00DA6215">
          <w:rPr>
            <w:rStyle w:val="Hyperlink"/>
            <w:i w:val="0"/>
            <w:iCs w:val="0"/>
            <w:u w:val="none"/>
          </w:rPr>
          <w:t>Emergency Operations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_Toc189044465 \h </w:instrText>
        </w:r>
        <w:r w:rsidRPr="00DA6215">
          <w:rPr>
            <w:i w:val="0"/>
            <w:iCs w:val="0"/>
            <w:webHidden/>
          </w:rPr>
        </w:r>
        <w:r w:rsidRPr="00DA6215">
          <w:rPr>
            <w:i w:val="0"/>
            <w:iCs w:val="0"/>
            <w:webHidden/>
          </w:rPr>
          <w:fldChar w:fldCharType="separate"/>
        </w:r>
        <w:r w:rsidR="00DD0A69">
          <w:rPr>
            <w:i w:val="0"/>
            <w:iCs w:val="0"/>
            <w:webHidden/>
          </w:rPr>
          <w:t>6-322</w:t>
        </w:r>
        <w:r w:rsidRPr="00DA6215">
          <w:rPr>
            <w:i w:val="0"/>
            <w:iCs w:val="0"/>
            <w:webHidden/>
          </w:rPr>
          <w:fldChar w:fldCharType="end"/>
        </w:r>
      </w:hyperlink>
    </w:p>
    <w:p w14:paraId="612F9F0D" w14:textId="6F15F833" w:rsidR="00DA6215" w:rsidRPr="00DA6215" w:rsidRDefault="00DA6215">
      <w:pPr>
        <w:pStyle w:val="TOC3"/>
        <w:rPr>
          <w:rFonts w:eastAsiaTheme="minorEastAsia"/>
          <w:i w:val="0"/>
          <w:iCs w:val="0"/>
          <w:kern w:val="2"/>
          <w14:ligatures w14:val="standardContextual"/>
        </w:rPr>
      </w:pPr>
      <w:hyperlink w:anchor="_Toc189044466" w:history="1">
        <w:r w:rsidRPr="00DA6215">
          <w:rPr>
            <w:rStyle w:val="Hyperlink"/>
            <w:i w:val="0"/>
            <w:iCs w:val="0"/>
            <w:u w:val="none"/>
          </w:rPr>
          <w:t>6.6.9</w:t>
        </w:r>
        <w:r w:rsidRPr="00DA6215">
          <w:rPr>
            <w:rFonts w:eastAsiaTheme="minorEastAsia"/>
            <w:i w:val="0"/>
            <w:iCs w:val="0"/>
            <w:kern w:val="2"/>
            <w14:ligatures w14:val="standardContextual"/>
          </w:rPr>
          <w:tab/>
        </w:r>
        <w:r w:rsidRPr="00DA6215">
          <w:rPr>
            <w:rStyle w:val="Hyperlink"/>
            <w:i w:val="0"/>
            <w:iCs w:val="0"/>
            <w:u w:val="none"/>
          </w:rPr>
          <w:t>Emergency Operations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_Toc189044466 \h </w:instrText>
        </w:r>
        <w:r w:rsidRPr="00DA6215">
          <w:rPr>
            <w:i w:val="0"/>
            <w:iCs w:val="0"/>
            <w:webHidden/>
          </w:rPr>
        </w:r>
        <w:r w:rsidRPr="00DA6215">
          <w:rPr>
            <w:i w:val="0"/>
            <w:iCs w:val="0"/>
            <w:webHidden/>
          </w:rPr>
          <w:fldChar w:fldCharType="separate"/>
        </w:r>
        <w:r w:rsidR="00DD0A69">
          <w:rPr>
            <w:i w:val="0"/>
            <w:iCs w:val="0"/>
            <w:webHidden/>
          </w:rPr>
          <w:t>6-325</w:t>
        </w:r>
        <w:r w:rsidRPr="00DA6215">
          <w:rPr>
            <w:i w:val="0"/>
            <w:iCs w:val="0"/>
            <w:webHidden/>
          </w:rPr>
          <w:fldChar w:fldCharType="end"/>
        </w:r>
      </w:hyperlink>
    </w:p>
    <w:p w14:paraId="7AF59C85" w14:textId="30D4C96C" w:rsidR="00DA6215" w:rsidRPr="00DA6215" w:rsidRDefault="00DA6215">
      <w:pPr>
        <w:pStyle w:val="TOC4"/>
        <w:rPr>
          <w:rFonts w:eastAsiaTheme="minorEastAsia"/>
          <w:kern w:val="2"/>
          <w:lang w:val="en-US"/>
          <w14:ligatures w14:val="standardContextual"/>
        </w:rPr>
      </w:pPr>
      <w:hyperlink w:anchor="_Toc189044467" w:history="1">
        <w:r w:rsidRPr="00DA6215">
          <w:rPr>
            <w:rStyle w:val="Hyperlink"/>
            <w:u w:val="none"/>
          </w:rPr>
          <w:t>6.6.9.1</w:t>
        </w:r>
        <w:r w:rsidRPr="00DA6215">
          <w:rPr>
            <w:rFonts w:eastAsiaTheme="minorEastAsia"/>
            <w:kern w:val="2"/>
            <w:lang w:val="en-US"/>
            <w14:ligatures w14:val="standardContextual"/>
          </w:rPr>
          <w:tab/>
        </w:r>
        <w:r w:rsidRPr="00DA6215">
          <w:rPr>
            <w:rStyle w:val="Hyperlink"/>
            <w:u w:val="none"/>
          </w:rPr>
          <w:t>Payment for Emergency Power Increase Directed by ERCOT</w:t>
        </w:r>
        <w:r w:rsidRPr="00DA6215">
          <w:rPr>
            <w:webHidden/>
          </w:rPr>
          <w:tab/>
        </w:r>
        <w:r w:rsidRPr="00DA6215">
          <w:rPr>
            <w:webHidden/>
          </w:rPr>
          <w:fldChar w:fldCharType="begin"/>
        </w:r>
        <w:r w:rsidRPr="00DA6215">
          <w:rPr>
            <w:webHidden/>
          </w:rPr>
          <w:instrText xml:space="preserve"> PAGEREF _Toc189044467 \h </w:instrText>
        </w:r>
        <w:r w:rsidRPr="00DA6215">
          <w:rPr>
            <w:webHidden/>
          </w:rPr>
        </w:r>
        <w:r w:rsidRPr="00DA6215">
          <w:rPr>
            <w:webHidden/>
          </w:rPr>
          <w:fldChar w:fldCharType="separate"/>
        </w:r>
        <w:r w:rsidR="00DD0A69">
          <w:rPr>
            <w:webHidden/>
          </w:rPr>
          <w:t>6-327</w:t>
        </w:r>
        <w:r w:rsidRPr="00DA6215">
          <w:rPr>
            <w:webHidden/>
          </w:rPr>
          <w:fldChar w:fldCharType="end"/>
        </w:r>
      </w:hyperlink>
    </w:p>
    <w:p w14:paraId="3B82A29D" w14:textId="6CAC6174" w:rsidR="00DA6215" w:rsidRPr="00DA6215" w:rsidRDefault="00DA6215">
      <w:pPr>
        <w:pStyle w:val="TOC4"/>
        <w:rPr>
          <w:rFonts w:eastAsiaTheme="minorEastAsia"/>
          <w:kern w:val="2"/>
          <w:lang w:val="en-US"/>
          <w14:ligatures w14:val="standardContextual"/>
        </w:rPr>
      </w:pPr>
      <w:hyperlink w:anchor="_Toc189044468" w:history="1">
        <w:r w:rsidRPr="00DA6215">
          <w:rPr>
            <w:rStyle w:val="Hyperlink"/>
            <w:snapToGrid w:val="0"/>
            <w:u w:val="none"/>
          </w:rPr>
          <w:t>6.6.9.1</w:t>
        </w:r>
        <w:r w:rsidRPr="00DA6215">
          <w:rPr>
            <w:rFonts w:eastAsiaTheme="minorEastAsia"/>
            <w:kern w:val="2"/>
            <w:lang w:val="en-US"/>
            <w14:ligatures w14:val="standardContextual"/>
          </w:rPr>
          <w:tab/>
        </w:r>
        <w:r w:rsidRPr="00DA6215">
          <w:rPr>
            <w:rStyle w:val="Hyperlink"/>
            <w:snapToGrid w:val="0"/>
            <w:u w:val="none"/>
          </w:rPr>
          <w:t>Payment for Emergency Operations Settlement</w:t>
        </w:r>
        <w:r w:rsidRPr="00DA6215">
          <w:rPr>
            <w:webHidden/>
          </w:rPr>
          <w:tab/>
        </w:r>
        <w:r w:rsidRPr="00DA6215">
          <w:rPr>
            <w:webHidden/>
          </w:rPr>
          <w:fldChar w:fldCharType="begin"/>
        </w:r>
        <w:r w:rsidRPr="00DA6215">
          <w:rPr>
            <w:webHidden/>
          </w:rPr>
          <w:instrText xml:space="preserve"> PAGEREF _Toc189044468 \h </w:instrText>
        </w:r>
        <w:r w:rsidRPr="00DA6215">
          <w:rPr>
            <w:webHidden/>
          </w:rPr>
        </w:r>
        <w:r w:rsidRPr="00DA6215">
          <w:rPr>
            <w:webHidden/>
          </w:rPr>
          <w:fldChar w:fldCharType="separate"/>
        </w:r>
        <w:r w:rsidR="00DD0A69">
          <w:rPr>
            <w:webHidden/>
          </w:rPr>
          <w:t>6-331</w:t>
        </w:r>
        <w:r w:rsidRPr="00DA6215">
          <w:rPr>
            <w:webHidden/>
          </w:rPr>
          <w:fldChar w:fldCharType="end"/>
        </w:r>
      </w:hyperlink>
    </w:p>
    <w:p w14:paraId="1DA52419" w14:textId="47D9B937" w:rsidR="00DA6215" w:rsidRPr="00DA6215" w:rsidRDefault="00DA6215">
      <w:pPr>
        <w:pStyle w:val="TOC4"/>
        <w:rPr>
          <w:rFonts w:eastAsiaTheme="minorEastAsia"/>
          <w:kern w:val="2"/>
          <w:lang w:val="en-US"/>
          <w14:ligatures w14:val="standardContextual"/>
        </w:rPr>
      </w:pPr>
      <w:hyperlink w:anchor="_Toc189044469" w:history="1">
        <w:r w:rsidRPr="00DA6215">
          <w:rPr>
            <w:rStyle w:val="Hyperlink"/>
            <w:u w:val="none"/>
          </w:rPr>
          <w:t>6.6.9.2</w:t>
        </w:r>
        <w:r w:rsidRPr="00DA6215">
          <w:rPr>
            <w:rFonts w:eastAsiaTheme="minorEastAsia"/>
            <w:kern w:val="2"/>
            <w:lang w:val="en-US"/>
            <w14:ligatures w14:val="standardContextual"/>
          </w:rPr>
          <w:tab/>
        </w:r>
        <w:r w:rsidRPr="00DA6215">
          <w:rPr>
            <w:rStyle w:val="Hyperlink"/>
            <w:u w:val="none"/>
          </w:rPr>
          <w:t>Charge for Emergency Power Increases</w:t>
        </w:r>
        <w:r w:rsidRPr="00DA6215">
          <w:rPr>
            <w:webHidden/>
          </w:rPr>
          <w:tab/>
        </w:r>
        <w:r w:rsidRPr="00DA6215">
          <w:rPr>
            <w:webHidden/>
          </w:rPr>
          <w:fldChar w:fldCharType="begin"/>
        </w:r>
        <w:r w:rsidRPr="00DA6215">
          <w:rPr>
            <w:webHidden/>
          </w:rPr>
          <w:instrText xml:space="preserve"> PAGEREF _Toc189044469 \h </w:instrText>
        </w:r>
        <w:r w:rsidRPr="00DA6215">
          <w:rPr>
            <w:webHidden/>
          </w:rPr>
        </w:r>
        <w:r w:rsidRPr="00DA6215">
          <w:rPr>
            <w:webHidden/>
          </w:rPr>
          <w:fldChar w:fldCharType="separate"/>
        </w:r>
        <w:r w:rsidR="00DD0A69">
          <w:rPr>
            <w:webHidden/>
          </w:rPr>
          <w:t>6-342</w:t>
        </w:r>
        <w:r w:rsidRPr="00DA6215">
          <w:rPr>
            <w:webHidden/>
          </w:rPr>
          <w:fldChar w:fldCharType="end"/>
        </w:r>
      </w:hyperlink>
    </w:p>
    <w:p w14:paraId="63669C5C" w14:textId="2811FB77" w:rsidR="00DA6215" w:rsidRPr="00DA6215" w:rsidRDefault="00DA6215">
      <w:pPr>
        <w:pStyle w:val="TOC4"/>
        <w:rPr>
          <w:rFonts w:eastAsiaTheme="minorEastAsia"/>
          <w:kern w:val="2"/>
          <w:lang w:val="en-US"/>
          <w14:ligatures w14:val="standardContextual"/>
        </w:rPr>
      </w:pPr>
      <w:hyperlink w:anchor="_Toc189044470" w:history="1">
        <w:r w:rsidRPr="00DA6215">
          <w:rPr>
            <w:rStyle w:val="Hyperlink"/>
            <w:snapToGrid w:val="0"/>
            <w:u w:val="none"/>
          </w:rPr>
          <w:t>6.6.9.2</w:t>
        </w:r>
        <w:r w:rsidRPr="00DA6215">
          <w:rPr>
            <w:rFonts w:eastAsiaTheme="minorEastAsia"/>
            <w:kern w:val="2"/>
            <w:lang w:val="en-US"/>
            <w14:ligatures w14:val="standardContextual"/>
          </w:rPr>
          <w:tab/>
        </w:r>
        <w:r w:rsidRPr="00DA6215">
          <w:rPr>
            <w:rStyle w:val="Hyperlink"/>
            <w:snapToGrid w:val="0"/>
            <w:u w:val="none"/>
          </w:rPr>
          <w:t>Charge for Emergency Operations Settlement</w:t>
        </w:r>
        <w:r w:rsidRPr="00DA6215">
          <w:rPr>
            <w:webHidden/>
          </w:rPr>
          <w:tab/>
        </w:r>
        <w:r w:rsidRPr="00DA6215">
          <w:rPr>
            <w:webHidden/>
          </w:rPr>
          <w:fldChar w:fldCharType="begin"/>
        </w:r>
        <w:r w:rsidRPr="00DA6215">
          <w:rPr>
            <w:webHidden/>
          </w:rPr>
          <w:instrText xml:space="preserve"> PAGEREF _Toc189044470 \h </w:instrText>
        </w:r>
        <w:r w:rsidRPr="00DA6215">
          <w:rPr>
            <w:webHidden/>
          </w:rPr>
        </w:r>
        <w:r w:rsidRPr="00DA6215">
          <w:rPr>
            <w:webHidden/>
          </w:rPr>
          <w:fldChar w:fldCharType="separate"/>
        </w:r>
        <w:r w:rsidR="00DD0A69">
          <w:rPr>
            <w:webHidden/>
          </w:rPr>
          <w:t>6-343</w:t>
        </w:r>
        <w:r w:rsidRPr="00DA6215">
          <w:rPr>
            <w:webHidden/>
          </w:rPr>
          <w:fldChar w:fldCharType="end"/>
        </w:r>
      </w:hyperlink>
    </w:p>
    <w:p w14:paraId="728967FC" w14:textId="364DE1DD" w:rsidR="00DA6215" w:rsidRPr="00DA6215" w:rsidRDefault="00DA6215">
      <w:pPr>
        <w:pStyle w:val="TOC3"/>
        <w:rPr>
          <w:rFonts w:eastAsiaTheme="minorEastAsia"/>
          <w:i w:val="0"/>
          <w:iCs w:val="0"/>
          <w:kern w:val="2"/>
          <w14:ligatures w14:val="standardContextual"/>
        </w:rPr>
      </w:pPr>
      <w:hyperlink w:anchor="_Toc189044471" w:history="1">
        <w:r w:rsidRPr="00DA6215">
          <w:rPr>
            <w:rStyle w:val="Hyperlink"/>
            <w:i w:val="0"/>
            <w:iCs w:val="0"/>
            <w:u w:val="none"/>
          </w:rPr>
          <w:t>6.6.10</w:t>
        </w:r>
        <w:r w:rsidRPr="00DA6215">
          <w:rPr>
            <w:rFonts w:eastAsiaTheme="minorEastAsia"/>
            <w:i w:val="0"/>
            <w:iCs w:val="0"/>
            <w:kern w:val="2"/>
            <w14:ligatures w14:val="standardContextual"/>
          </w:rPr>
          <w:tab/>
        </w:r>
        <w:r w:rsidRPr="00DA6215">
          <w:rPr>
            <w:rStyle w:val="Hyperlink"/>
            <w:i w:val="0"/>
            <w:iCs w:val="0"/>
            <w:u w:val="none"/>
          </w:rPr>
          <w:t>Real-Time Revenue Neutrality Allocation</w:t>
        </w:r>
        <w:r w:rsidRPr="00DA6215">
          <w:rPr>
            <w:i w:val="0"/>
            <w:iCs w:val="0"/>
            <w:webHidden/>
          </w:rPr>
          <w:tab/>
        </w:r>
        <w:r w:rsidRPr="00DA6215">
          <w:rPr>
            <w:i w:val="0"/>
            <w:iCs w:val="0"/>
            <w:webHidden/>
          </w:rPr>
          <w:fldChar w:fldCharType="begin"/>
        </w:r>
        <w:r w:rsidRPr="00DA6215">
          <w:rPr>
            <w:i w:val="0"/>
            <w:iCs w:val="0"/>
            <w:webHidden/>
          </w:rPr>
          <w:instrText xml:space="preserve"> PAGEREF _Toc189044471 \h </w:instrText>
        </w:r>
        <w:r w:rsidRPr="00DA6215">
          <w:rPr>
            <w:i w:val="0"/>
            <w:iCs w:val="0"/>
            <w:webHidden/>
          </w:rPr>
        </w:r>
        <w:r w:rsidRPr="00DA6215">
          <w:rPr>
            <w:i w:val="0"/>
            <w:iCs w:val="0"/>
            <w:webHidden/>
          </w:rPr>
          <w:fldChar w:fldCharType="separate"/>
        </w:r>
        <w:r w:rsidR="00DD0A69">
          <w:rPr>
            <w:i w:val="0"/>
            <w:iCs w:val="0"/>
            <w:webHidden/>
          </w:rPr>
          <w:t>6-343</w:t>
        </w:r>
        <w:r w:rsidRPr="00DA6215">
          <w:rPr>
            <w:i w:val="0"/>
            <w:iCs w:val="0"/>
            <w:webHidden/>
          </w:rPr>
          <w:fldChar w:fldCharType="end"/>
        </w:r>
      </w:hyperlink>
    </w:p>
    <w:p w14:paraId="1C672456" w14:textId="409E4930" w:rsidR="00DA6215" w:rsidRPr="00DA6215" w:rsidRDefault="00DA6215">
      <w:pPr>
        <w:pStyle w:val="TOC3"/>
        <w:rPr>
          <w:rFonts w:eastAsiaTheme="minorEastAsia"/>
          <w:i w:val="0"/>
          <w:iCs w:val="0"/>
          <w:kern w:val="2"/>
          <w14:ligatures w14:val="standardContextual"/>
        </w:rPr>
      </w:pPr>
      <w:hyperlink w:anchor="_Toc189044472" w:history="1">
        <w:r w:rsidRPr="00DA6215">
          <w:rPr>
            <w:rStyle w:val="Hyperlink"/>
            <w:i w:val="0"/>
            <w:iCs w:val="0"/>
            <w:u w:val="none"/>
          </w:rPr>
          <w:t>6.6.11</w:t>
        </w:r>
        <w:r w:rsidRPr="00DA6215">
          <w:rPr>
            <w:rFonts w:eastAsiaTheme="minorEastAsia"/>
            <w:i w:val="0"/>
            <w:iCs w:val="0"/>
            <w:kern w:val="2"/>
            <w14:ligatures w14:val="standardContextual"/>
          </w:rPr>
          <w:tab/>
        </w:r>
        <w:r w:rsidRPr="00DA6215">
          <w:rPr>
            <w:rStyle w:val="Hyperlink"/>
            <w:i w:val="0"/>
            <w:iCs w:val="0"/>
            <w:u w:val="none"/>
          </w:rPr>
          <w:t>Emergency Response Service Capacity</w:t>
        </w:r>
        <w:r w:rsidRPr="00DA6215">
          <w:rPr>
            <w:i w:val="0"/>
            <w:iCs w:val="0"/>
            <w:webHidden/>
          </w:rPr>
          <w:tab/>
        </w:r>
        <w:r w:rsidRPr="00DA6215">
          <w:rPr>
            <w:i w:val="0"/>
            <w:iCs w:val="0"/>
            <w:webHidden/>
          </w:rPr>
          <w:fldChar w:fldCharType="begin"/>
        </w:r>
        <w:r w:rsidRPr="00DA6215">
          <w:rPr>
            <w:i w:val="0"/>
            <w:iCs w:val="0"/>
            <w:webHidden/>
          </w:rPr>
          <w:instrText xml:space="preserve"> PAGEREF _Toc189044472 \h </w:instrText>
        </w:r>
        <w:r w:rsidRPr="00DA6215">
          <w:rPr>
            <w:i w:val="0"/>
            <w:iCs w:val="0"/>
            <w:webHidden/>
          </w:rPr>
        </w:r>
        <w:r w:rsidRPr="00DA6215">
          <w:rPr>
            <w:i w:val="0"/>
            <w:iCs w:val="0"/>
            <w:webHidden/>
          </w:rPr>
          <w:fldChar w:fldCharType="separate"/>
        </w:r>
        <w:r w:rsidR="00DD0A69">
          <w:rPr>
            <w:i w:val="0"/>
            <w:iCs w:val="0"/>
            <w:webHidden/>
          </w:rPr>
          <w:t>6-350</w:t>
        </w:r>
        <w:r w:rsidRPr="00DA6215">
          <w:rPr>
            <w:i w:val="0"/>
            <w:iCs w:val="0"/>
            <w:webHidden/>
          </w:rPr>
          <w:fldChar w:fldCharType="end"/>
        </w:r>
      </w:hyperlink>
    </w:p>
    <w:p w14:paraId="3BE9BF66" w14:textId="16239B05" w:rsidR="00DA6215" w:rsidRPr="00DA6215" w:rsidRDefault="00DA6215">
      <w:pPr>
        <w:pStyle w:val="TOC4"/>
        <w:rPr>
          <w:rFonts w:eastAsiaTheme="minorEastAsia"/>
          <w:kern w:val="2"/>
          <w:lang w:val="en-US"/>
          <w14:ligatures w14:val="standardContextual"/>
        </w:rPr>
      </w:pPr>
      <w:hyperlink w:anchor="_Toc189044473" w:history="1">
        <w:r w:rsidRPr="00DA6215">
          <w:rPr>
            <w:rStyle w:val="Hyperlink"/>
            <w:u w:val="none"/>
          </w:rPr>
          <w:t>6.6.11.1</w:t>
        </w:r>
        <w:r w:rsidRPr="00DA6215">
          <w:rPr>
            <w:rFonts w:eastAsiaTheme="minorEastAsia"/>
            <w:kern w:val="2"/>
            <w:lang w:val="en-US"/>
            <w14:ligatures w14:val="standardContextual"/>
          </w:rPr>
          <w:tab/>
        </w:r>
        <w:r w:rsidRPr="00DA6215">
          <w:rPr>
            <w:rStyle w:val="Hyperlink"/>
            <w:u w:val="none"/>
          </w:rPr>
          <w:t>Emergency Response Service Capacity Payments</w:t>
        </w:r>
        <w:r w:rsidRPr="00DA6215">
          <w:rPr>
            <w:webHidden/>
          </w:rPr>
          <w:tab/>
        </w:r>
        <w:r w:rsidRPr="00DA6215">
          <w:rPr>
            <w:webHidden/>
          </w:rPr>
          <w:fldChar w:fldCharType="begin"/>
        </w:r>
        <w:r w:rsidRPr="00DA6215">
          <w:rPr>
            <w:webHidden/>
          </w:rPr>
          <w:instrText xml:space="preserve"> PAGEREF _Toc189044473 \h </w:instrText>
        </w:r>
        <w:r w:rsidRPr="00DA6215">
          <w:rPr>
            <w:webHidden/>
          </w:rPr>
        </w:r>
        <w:r w:rsidRPr="00DA6215">
          <w:rPr>
            <w:webHidden/>
          </w:rPr>
          <w:fldChar w:fldCharType="separate"/>
        </w:r>
        <w:r w:rsidR="00DD0A69">
          <w:rPr>
            <w:webHidden/>
          </w:rPr>
          <w:t>6-350</w:t>
        </w:r>
        <w:r w:rsidRPr="00DA6215">
          <w:rPr>
            <w:webHidden/>
          </w:rPr>
          <w:fldChar w:fldCharType="end"/>
        </w:r>
      </w:hyperlink>
    </w:p>
    <w:p w14:paraId="116082D3" w14:textId="64BF119B" w:rsidR="00DA6215" w:rsidRPr="00DA6215" w:rsidRDefault="00DA6215">
      <w:pPr>
        <w:pStyle w:val="TOC4"/>
        <w:rPr>
          <w:rFonts w:eastAsiaTheme="minorEastAsia"/>
          <w:kern w:val="2"/>
          <w:lang w:val="en-US"/>
          <w14:ligatures w14:val="standardContextual"/>
        </w:rPr>
      </w:pPr>
      <w:hyperlink w:anchor="_Toc189044474" w:history="1">
        <w:r w:rsidRPr="00DA6215">
          <w:rPr>
            <w:rStyle w:val="Hyperlink"/>
            <w:u w:val="none"/>
          </w:rPr>
          <w:t>6.6.11.2</w:t>
        </w:r>
        <w:r w:rsidRPr="00DA6215">
          <w:rPr>
            <w:rFonts w:eastAsiaTheme="minorEastAsia"/>
            <w:kern w:val="2"/>
            <w:lang w:val="en-US"/>
            <w14:ligatures w14:val="standardContextual"/>
          </w:rPr>
          <w:tab/>
        </w:r>
        <w:r w:rsidRPr="00DA6215">
          <w:rPr>
            <w:rStyle w:val="Hyperlink"/>
            <w:u w:val="none"/>
          </w:rPr>
          <w:t>Emergency Response Service Capacity Charge</w:t>
        </w:r>
        <w:r w:rsidRPr="00DA6215">
          <w:rPr>
            <w:webHidden/>
          </w:rPr>
          <w:tab/>
        </w:r>
        <w:r w:rsidRPr="00DA6215">
          <w:rPr>
            <w:webHidden/>
          </w:rPr>
          <w:fldChar w:fldCharType="begin"/>
        </w:r>
        <w:r w:rsidRPr="00DA6215">
          <w:rPr>
            <w:webHidden/>
          </w:rPr>
          <w:instrText xml:space="preserve"> PAGEREF _Toc189044474 \h </w:instrText>
        </w:r>
        <w:r w:rsidRPr="00DA6215">
          <w:rPr>
            <w:webHidden/>
          </w:rPr>
        </w:r>
        <w:r w:rsidRPr="00DA6215">
          <w:rPr>
            <w:webHidden/>
          </w:rPr>
          <w:fldChar w:fldCharType="separate"/>
        </w:r>
        <w:r w:rsidR="00DD0A69">
          <w:rPr>
            <w:webHidden/>
          </w:rPr>
          <w:t>6-355</w:t>
        </w:r>
        <w:r w:rsidRPr="00DA6215">
          <w:rPr>
            <w:webHidden/>
          </w:rPr>
          <w:fldChar w:fldCharType="end"/>
        </w:r>
      </w:hyperlink>
    </w:p>
    <w:p w14:paraId="3E87992B" w14:textId="272A0751" w:rsidR="00DA6215" w:rsidRPr="00DA6215" w:rsidRDefault="00DA6215">
      <w:pPr>
        <w:pStyle w:val="TOC3"/>
        <w:rPr>
          <w:rFonts w:eastAsiaTheme="minorEastAsia"/>
          <w:i w:val="0"/>
          <w:iCs w:val="0"/>
          <w:kern w:val="2"/>
          <w14:ligatures w14:val="standardContextual"/>
        </w:rPr>
      </w:pPr>
      <w:hyperlink w:anchor="_Toc189044475" w:history="1">
        <w:r w:rsidRPr="00DA6215">
          <w:rPr>
            <w:rStyle w:val="Hyperlink"/>
            <w:i w:val="0"/>
            <w:iCs w:val="0"/>
            <w:u w:val="none"/>
          </w:rPr>
          <w:t>6.6.12</w:t>
        </w:r>
        <w:r w:rsidRPr="00DA6215">
          <w:rPr>
            <w:rFonts w:eastAsiaTheme="minorEastAsia"/>
            <w:i w:val="0"/>
            <w:iCs w:val="0"/>
            <w:kern w:val="2"/>
            <w14:ligatures w14:val="standardContextual"/>
          </w:rPr>
          <w:tab/>
        </w:r>
        <w:r w:rsidRPr="00DA6215">
          <w:rPr>
            <w:rStyle w:val="Hyperlink"/>
            <w:i w:val="0"/>
            <w:iCs w:val="0"/>
            <w:u w:val="none"/>
          </w:rPr>
          <w:t>Make-Whole Payment for Switchable Generation Resources Committed for Energy Emergency Alert (EEA)</w:t>
        </w:r>
        <w:r w:rsidRPr="00DA6215">
          <w:rPr>
            <w:i w:val="0"/>
            <w:iCs w:val="0"/>
            <w:webHidden/>
          </w:rPr>
          <w:tab/>
        </w:r>
        <w:r w:rsidRPr="00DA6215">
          <w:rPr>
            <w:i w:val="0"/>
            <w:iCs w:val="0"/>
            <w:webHidden/>
          </w:rPr>
          <w:fldChar w:fldCharType="begin"/>
        </w:r>
        <w:r w:rsidRPr="00DA6215">
          <w:rPr>
            <w:i w:val="0"/>
            <w:iCs w:val="0"/>
            <w:webHidden/>
          </w:rPr>
          <w:instrText xml:space="preserve"> PAGEREF _Toc189044475 \h </w:instrText>
        </w:r>
        <w:r w:rsidRPr="00DA6215">
          <w:rPr>
            <w:i w:val="0"/>
            <w:iCs w:val="0"/>
            <w:webHidden/>
          </w:rPr>
        </w:r>
        <w:r w:rsidRPr="00DA6215">
          <w:rPr>
            <w:i w:val="0"/>
            <w:iCs w:val="0"/>
            <w:webHidden/>
          </w:rPr>
          <w:fldChar w:fldCharType="separate"/>
        </w:r>
        <w:r w:rsidR="00DD0A69">
          <w:rPr>
            <w:i w:val="0"/>
            <w:iCs w:val="0"/>
            <w:webHidden/>
          </w:rPr>
          <w:t>6-356</w:t>
        </w:r>
        <w:r w:rsidRPr="00DA6215">
          <w:rPr>
            <w:i w:val="0"/>
            <w:iCs w:val="0"/>
            <w:webHidden/>
          </w:rPr>
          <w:fldChar w:fldCharType="end"/>
        </w:r>
      </w:hyperlink>
    </w:p>
    <w:p w14:paraId="730BC928" w14:textId="2C95A6EC" w:rsidR="00DA6215" w:rsidRPr="00DA6215" w:rsidRDefault="00DA6215">
      <w:pPr>
        <w:pStyle w:val="TOC4"/>
        <w:rPr>
          <w:rFonts w:eastAsiaTheme="minorEastAsia"/>
          <w:kern w:val="2"/>
          <w:lang w:val="en-US"/>
          <w14:ligatures w14:val="standardContextual"/>
        </w:rPr>
      </w:pPr>
      <w:hyperlink w:anchor="_Toc189044476" w:history="1">
        <w:r w:rsidRPr="00DA6215">
          <w:rPr>
            <w:rStyle w:val="Hyperlink"/>
            <w:u w:val="none"/>
          </w:rPr>
          <w:t>6.6.12.1</w:t>
        </w:r>
        <w:r w:rsidRPr="00DA6215">
          <w:rPr>
            <w:rFonts w:eastAsiaTheme="minorEastAsia"/>
            <w:kern w:val="2"/>
            <w:lang w:val="en-US"/>
            <w14:ligatures w14:val="standardContextual"/>
          </w:rPr>
          <w:tab/>
        </w:r>
        <w:r w:rsidRPr="00DA6215">
          <w:rPr>
            <w:rStyle w:val="Hyperlink"/>
            <w:u w:val="none"/>
          </w:rPr>
          <w:t>Switchable Generation Make-Whole Payment</w:t>
        </w:r>
        <w:r w:rsidRPr="00DA6215">
          <w:rPr>
            <w:webHidden/>
          </w:rPr>
          <w:tab/>
        </w:r>
        <w:r w:rsidRPr="00DA6215">
          <w:rPr>
            <w:webHidden/>
          </w:rPr>
          <w:fldChar w:fldCharType="begin"/>
        </w:r>
        <w:r w:rsidRPr="00DA6215">
          <w:rPr>
            <w:webHidden/>
          </w:rPr>
          <w:instrText xml:space="preserve"> PAGEREF _Toc189044476 \h </w:instrText>
        </w:r>
        <w:r w:rsidRPr="00DA6215">
          <w:rPr>
            <w:webHidden/>
          </w:rPr>
        </w:r>
        <w:r w:rsidRPr="00DA6215">
          <w:rPr>
            <w:webHidden/>
          </w:rPr>
          <w:fldChar w:fldCharType="separate"/>
        </w:r>
        <w:r w:rsidR="00DD0A69">
          <w:rPr>
            <w:webHidden/>
          </w:rPr>
          <w:t>6-359</w:t>
        </w:r>
        <w:r w:rsidRPr="00DA6215">
          <w:rPr>
            <w:webHidden/>
          </w:rPr>
          <w:fldChar w:fldCharType="end"/>
        </w:r>
      </w:hyperlink>
    </w:p>
    <w:p w14:paraId="2630E8C3" w14:textId="706B5E70" w:rsidR="00DA6215" w:rsidRPr="00DA6215" w:rsidRDefault="00DA6215">
      <w:pPr>
        <w:pStyle w:val="TOC4"/>
        <w:rPr>
          <w:rFonts w:eastAsiaTheme="minorEastAsia"/>
          <w:kern w:val="2"/>
          <w:lang w:val="en-US"/>
          <w14:ligatures w14:val="standardContextual"/>
        </w:rPr>
      </w:pPr>
      <w:hyperlink w:anchor="_Toc189044477" w:history="1">
        <w:r w:rsidRPr="00DA6215">
          <w:rPr>
            <w:rStyle w:val="Hyperlink"/>
            <w:u w:val="none"/>
          </w:rPr>
          <w:t>6.6.12.2</w:t>
        </w:r>
        <w:r w:rsidRPr="00DA6215">
          <w:rPr>
            <w:rFonts w:eastAsiaTheme="minorEastAsia"/>
            <w:kern w:val="2"/>
            <w:lang w:val="en-US"/>
            <w14:ligatures w14:val="standardContextual"/>
          </w:rPr>
          <w:tab/>
        </w:r>
        <w:r w:rsidRPr="00DA6215">
          <w:rPr>
            <w:rStyle w:val="Hyperlink"/>
            <w:u w:val="none"/>
          </w:rPr>
          <w:t>Switchable Generation Make-Whole Charge</w:t>
        </w:r>
        <w:r w:rsidRPr="00DA6215">
          <w:rPr>
            <w:webHidden/>
          </w:rPr>
          <w:tab/>
        </w:r>
        <w:r w:rsidRPr="00DA6215">
          <w:rPr>
            <w:webHidden/>
          </w:rPr>
          <w:fldChar w:fldCharType="begin"/>
        </w:r>
        <w:r w:rsidRPr="00DA6215">
          <w:rPr>
            <w:webHidden/>
          </w:rPr>
          <w:instrText xml:space="preserve"> PAGEREF _Toc189044477 \h </w:instrText>
        </w:r>
        <w:r w:rsidRPr="00DA6215">
          <w:rPr>
            <w:webHidden/>
          </w:rPr>
        </w:r>
        <w:r w:rsidRPr="00DA6215">
          <w:rPr>
            <w:webHidden/>
          </w:rPr>
          <w:fldChar w:fldCharType="separate"/>
        </w:r>
        <w:r w:rsidR="00DD0A69">
          <w:rPr>
            <w:webHidden/>
          </w:rPr>
          <w:t>6-374</w:t>
        </w:r>
        <w:r w:rsidRPr="00DA6215">
          <w:rPr>
            <w:webHidden/>
          </w:rPr>
          <w:fldChar w:fldCharType="end"/>
        </w:r>
      </w:hyperlink>
    </w:p>
    <w:p w14:paraId="3D5E439A" w14:textId="0CDB2598" w:rsidR="00DA6215" w:rsidRPr="00DA6215" w:rsidRDefault="00DA6215">
      <w:pPr>
        <w:pStyle w:val="TOC4"/>
        <w:rPr>
          <w:rFonts w:eastAsiaTheme="minorEastAsia"/>
          <w:kern w:val="2"/>
          <w:lang w:val="en-US"/>
          <w14:ligatures w14:val="standardContextual"/>
        </w:rPr>
      </w:pPr>
      <w:hyperlink w:anchor="_Toc189044478" w:history="1">
        <w:r w:rsidRPr="00DA6215">
          <w:rPr>
            <w:rStyle w:val="Hyperlink"/>
            <w:u w:val="none"/>
          </w:rPr>
          <w:t>6.6.12.3</w:t>
        </w:r>
        <w:r w:rsidRPr="00DA6215">
          <w:rPr>
            <w:rFonts w:eastAsiaTheme="minorEastAsia"/>
            <w:kern w:val="2"/>
            <w:lang w:val="en-US"/>
            <w14:ligatures w14:val="standardContextual"/>
          </w:rPr>
          <w:tab/>
        </w:r>
        <w:r w:rsidRPr="00DA6215">
          <w:rPr>
            <w:rStyle w:val="Hyperlink"/>
            <w:u w:val="none"/>
          </w:rPr>
          <w:t>Miscellaneous Invoice for Switchable Generation Make-Whole Payments and Charges</w:t>
        </w:r>
        <w:r w:rsidRPr="00DA6215">
          <w:rPr>
            <w:webHidden/>
          </w:rPr>
          <w:tab/>
        </w:r>
        <w:r w:rsidRPr="00DA6215">
          <w:rPr>
            <w:webHidden/>
          </w:rPr>
          <w:fldChar w:fldCharType="begin"/>
        </w:r>
        <w:r w:rsidRPr="00DA6215">
          <w:rPr>
            <w:webHidden/>
          </w:rPr>
          <w:instrText xml:space="preserve"> PAGEREF _Toc189044478 \h </w:instrText>
        </w:r>
        <w:r w:rsidRPr="00DA6215">
          <w:rPr>
            <w:webHidden/>
          </w:rPr>
        </w:r>
        <w:r w:rsidRPr="00DA6215">
          <w:rPr>
            <w:webHidden/>
          </w:rPr>
          <w:fldChar w:fldCharType="separate"/>
        </w:r>
        <w:r w:rsidR="00DD0A69">
          <w:rPr>
            <w:webHidden/>
          </w:rPr>
          <w:t>6-375</w:t>
        </w:r>
        <w:r w:rsidRPr="00DA6215">
          <w:rPr>
            <w:webHidden/>
          </w:rPr>
          <w:fldChar w:fldCharType="end"/>
        </w:r>
      </w:hyperlink>
    </w:p>
    <w:p w14:paraId="64543EB7" w14:textId="1F93B17D" w:rsidR="00DA6215" w:rsidRPr="00DA6215" w:rsidRDefault="00DA6215">
      <w:pPr>
        <w:pStyle w:val="TOC3"/>
        <w:rPr>
          <w:rFonts w:eastAsiaTheme="minorEastAsia"/>
          <w:i w:val="0"/>
          <w:iCs w:val="0"/>
          <w:kern w:val="2"/>
          <w14:ligatures w14:val="standardContextual"/>
        </w:rPr>
      </w:pPr>
      <w:hyperlink w:anchor="_Toc189044479" w:history="1">
        <w:r w:rsidRPr="00DA6215">
          <w:rPr>
            <w:rStyle w:val="Hyperlink"/>
            <w:i w:val="0"/>
            <w:iCs w:val="0"/>
            <w:u w:val="none"/>
          </w:rPr>
          <w:t>6.6.13</w:t>
        </w:r>
        <w:r w:rsidRPr="00DA6215">
          <w:rPr>
            <w:rFonts w:eastAsiaTheme="minorEastAsia"/>
            <w:i w:val="0"/>
            <w:iCs w:val="0"/>
            <w:kern w:val="2"/>
            <w14:ligatures w14:val="standardContextual"/>
          </w:rPr>
          <w:tab/>
        </w:r>
        <w:r w:rsidRPr="00DA6215">
          <w:rPr>
            <w:rStyle w:val="Hyperlink"/>
            <w:i w:val="0"/>
            <w:iCs w:val="0"/>
            <w:u w:val="none"/>
          </w:rPr>
          <w:t>Wholesale Storage Load Reconciliation for ESRs Operating in a Private Microgrid Island</w:t>
        </w:r>
        <w:r w:rsidRPr="00DA6215">
          <w:rPr>
            <w:i w:val="0"/>
            <w:iCs w:val="0"/>
            <w:webHidden/>
          </w:rPr>
          <w:tab/>
        </w:r>
        <w:r w:rsidRPr="00DA6215">
          <w:rPr>
            <w:i w:val="0"/>
            <w:iCs w:val="0"/>
            <w:webHidden/>
          </w:rPr>
          <w:fldChar w:fldCharType="begin"/>
        </w:r>
        <w:r w:rsidRPr="00DA6215">
          <w:rPr>
            <w:i w:val="0"/>
            <w:iCs w:val="0"/>
            <w:webHidden/>
          </w:rPr>
          <w:instrText xml:space="preserve"> PAGEREF _Toc189044479 \h </w:instrText>
        </w:r>
        <w:r w:rsidRPr="00DA6215">
          <w:rPr>
            <w:i w:val="0"/>
            <w:iCs w:val="0"/>
            <w:webHidden/>
          </w:rPr>
        </w:r>
        <w:r w:rsidRPr="00DA6215">
          <w:rPr>
            <w:i w:val="0"/>
            <w:iCs w:val="0"/>
            <w:webHidden/>
          </w:rPr>
          <w:fldChar w:fldCharType="separate"/>
        </w:r>
        <w:r w:rsidR="00DD0A69">
          <w:rPr>
            <w:i w:val="0"/>
            <w:iCs w:val="0"/>
            <w:webHidden/>
          </w:rPr>
          <w:t>6-375</w:t>
        </w:r>
        <w:r w:rsidRPr="00DA6215">
          <w:rPr>
            <w:i w:val="0"/>
            <w:iCs w:val="0"/>
            <w:webHidden/>
          </w:rPr>
          <w:fldChar w:fldCharType="end"/>
        </w:r>
      </w:hyperlink>
    </w:p>
    <w:p w14:paraId="0EF6CF2C" w14:textId="24B16922" w:rsidR="00DA6215" w:rsidRPr="00DA6215" w:rsidRDefault="00DA6215">
      <w:pPr>
        <w:pStyle w:val="TOC3"/>
        <w:rPr>
          <w:rFonts w:eastAsiaTheme="minorEastAsia"/>
          <w:i w:val="0"/>
          <w:iCs w:val="0"/>
          <w:kern w:val="2"/>
          <w14:ligatures w14:val="standardContextual"/>
        </w:rPr>
      </w:pPr>
      <w:hyperlink w:anchor="_Toc189044480" w:history="1">
        <w:r w:rsidRPr="00DA6215">
          <w:rPr>
            <w:rStyle w:val="Hyperlink"/>
            <w:i w:val="0"/>
            <w:iCs w:val="0"/>
            <w:u w:val="none"/>
          </w:rPr>
          <w:t>6.6.14</w:t>
        </w:r>
        <w:r w:rsidRPr="00DA6215">
          <w:rPr>
            <w:rFonts w:eastAsiaTheme="minorEastAsia"/>
            <w:i w:val="0"/>
            <w:iCs w:val="0"/>
            <w:kern w:val="2"/>
            <w14:ligatures w14:val="standardContextual"/>
          </w:rPr>
          <w:tab/>
        </w:r>
        <w:r w:rsidRPr="00DA6215">
          <w:rPr>
            <w:rStyle w:val="Hyperlink"/>
            <w:i w:val="0"/>
            <w:iCs w:val="0"/>
            <w:u w:val="none"/>
          </w:rPr>
          <w:t>Firm Fuel Supply Service Capability</w:t>
        </w:r>
        <w:r w:rsidRPr="00DA6215">
          <w:rPr>
            <w:i w:val="0"/>
            <w:iCs w:val="0"/>
            <w:webHidden/>
          </w:rPr>
          <w:tab/>
        </w:r>
        <w:r w:rsidRPr="00DA6215">
          <w:rPr>
            <w:i w:val="0"/>
            <w:iCs w:val="0"/>
            <w:webHidden/>
          </w:rPr>
          <w:fldChar w:fldCharType="begin"/>
        </w:r>
        <w:r w:rsidRPr="00DA6215">
          <w:rPr>
            <w:i w:val="0"/>
            <w:iCs w:val="0"/>
            <w:webHidden/>
          </w:rPr>
          <w:instrText xml:space="preserve"> PAGEREF _Toc189044480 \h </w:instrText>
        </w:r>
        <w:r w:rsidRPr="00DA6215">
          <w:rPr>
            <w:i w:val="0"/>
            <w:iCs w:val="0"/>
            <w:webHidden/>
          </w:rPr>
        </w:r>
        <w:r w:rsidRPr="00DA6215">
          <w:rPr>
            <w:i w:val="0"/>
            <w:iCs w:val="0"/>
            <w:webHidden/>
          </w:rPr>
          <w:fldChar w:fldCharType="separate"/>
        </w:r>
        <w:r w:rsidR="00DD0A69">
          <w:rPr>
            <w:i w:val="0"/>
            <w:iCs w:val="0"/>
            <w:webHidden/>
          </w:rPr>
          <w:t>6-376</w:t>
        </w:r>
        <w:r w:rsidRPr="00DA6215">
          <w:rPr>
            <w:i w:val="0"/>
            <w:iCs w:val="0"/>
            <w:webHidden/>
          </w:rPr>
          <w:fldChar w:fldCharType="end"/>
        </w:r>
      </w:hyperlink>
    </w:p>
    <w:p w14:paraId="2D76728C" w14:textId="76BA8AFC" w:rsidR="00DA6215" w:rsidRPr="00DA6215" w:rsidRDefault="00DA6215">
      <w:pPr>
        <w:pStyle w:val="TOC4"/>
        <w:rPr>
          <w:rFonts w:eastAsiaTheme="minorEastAsia"/>
          <w:kern w:val="2"/>
          <w:lang w:val="en-US"/>
          <w14:ligatures w14:val="standardContextual"/>
        </w:rPr>
      </w:pPr>
      <w:hyperlink w:anchor="_Toc189044481" w:history="1">
        <w:r w:rsidRPr="00DA6215">
          <w:rPr>
            <w:rStyle w:val="Hyperlink"/>
            <w:u w:val="none"/>
          </w:rPr>
          <w:t>6.6.14.1</w:t>
        </w:r>
        <w:r w:rsidRPr="00DA6215">
          <w:rPr>
            <w:rFonts w:eastAsiaTheme="minorEastAsia"/>
            <w:kern w:val="2"/>
            <w:lang w:val="en-US"/>
            <w14:ligatures w14:val="standardContextual"/>
          </w:rPr>
          <w:tab/>
        </w:r>
        <w:r w:rsidRPr="00DA6215">
          <w:rPr>
            <w:rStyle w:val="Hyperlink"/>
            <w:u w:val="none"/>
          </w:rPr>
          <w:t>Firm Fuel Supply Service Fuel Replacement Costs Recovery</w:t>
        </w:r>
        <w:r w:rsidRPr="00DA6215">
          <w:rPr>
            <w:webHidden/>
          </w:rPr>
          <w:tab/>
        </w:r>
        <w:r w:rsidRPr="00DA6215">
          <w:rPr>
            <w:webHidden/>
          </w:rPr>
          <w:fldChar w:fldCharType="begin"/>
        </w:r>
        <w:r w:rsidRPr="00DA6215">
          <w:rPr>
            <w:webHidden/>
          </w:rPr>
          <w:instrText xml:space="preserve"> PAGEREF _Toc189044481 \h </w:instrText>
        </w:r>
        <w:r w:rsidRPr="00DA6215">
          <w:rPr>
            <w:webHidden/>
          </w:rPr>
        </w:r>
        <w:r w:rsidRPr="00DA6215">
          <w:rPr>
            <w:webHidden/>
          </w:rPr>
          <w:fldChar w:fldCharType="separate"/>
        </w:r>
        <w:r w:rsidR="00DD0A69">
          <w:rPr>
            <w:webHidden/>
          </w:rPr>
          <w:t>6-376</w:t>
        </w:r>
        <w:r w:rsidRPr="00DA6215">
          <w:rPr>
            <w:webHidden/>
          </w:rPr>
          <w:fldChar w:fldCharType="end"/>
        </w:r>
      </w:hyperlink>
    </w:p>
    <w:p w14:paraId="34153B1A" w14:textId="134E9BF5" w:rsidR="00DA6215" w:rsidRPr="00DA6215" w:rsidRDefault="00DA6215">
      <w:pPr>
        <w:pStyle w:val="TOC4"/>
        <w:rPr>
          <w:rFonts w:eastAsiaTheme="minorEastAsia"/>
          <w:kern w:val="2"/>
          <w:lang w:val="en-US"/>
          <w14:ligatures w14:val="standardContextual"/>
        </w:rPr>
      </w:pPr>
      <w:hyperlink w:anchor="_Toc189044482" w:history="1">
        <w:r w:rsidRPr="00DA6215">
          <w:rPr>
            <w:rStyle w:val="Hyperlink"/>
            <w:u w:val="none"/>
          </w:rPr>
          <w:t>6.6.14.2</w:t>
        </w:r>
        <w:r w:rsidRPr="00DA6215">
          <w:rPr>
            <w:rFonts w:eastAsiaTheme="minorEastAsia"/>
            <w:kern w:val="2"/>
            <w:lang w:val="en-US"/>
            <w14:ligatures w14:val="standardContextual"/>
          </w:rPr>
          <w:tab/>
        </w:r>
        <w:r w:rsidRPr="00DA6215">
          <w:rPr>
            <w:rStyle w:val="Hyperlink"/>
            <w:u w:val="none"/>
          </w:rPr>
          <w:t>Firm Fuel Supply Service Hourly Standby Fee Payment and Fuel Replacement Cost Recovery</w:t>
        </w:r>
        <w:r w:rsidRPr="00DA6215">
          <w:rPr>
            <w:webHidden/>
          </w:rPr>
          <w:tab/>
        </w:r>
        <w:r w:rsidRPr="00DA6215">
          <w:rPr>
            <w:webHidden/>
          </w:rPr>
          <w:fldChar w:fldCharType="begin"/>
        </w:r>
        <w:r w:rsidRPr="00DA6215">
          <w:rPr>
            <w:webHidden/>
          </w:rPr>
          <w:instrText xml:space="preserve"> PAGEREF _Toc189044482 \h </w:instrText>
        </w:r>
        <w:r w:rsidRPr="00DA6215">
          <w:rPr>
            <w:webHidden/>
          </w:rPr>
        </w:r>
        <w:r w:rsidRPr="00DA6215">
          <w:rPr>
            <w:webHidden/>
          </w:rPr>
          <w:fldChar w:fldCharType="separate"/>
        </w:r>
        <w:r w:rsidR="00DD0A69">
          <w:rPr>
            <w:webHidden/>
          </w:rPr>
          <w:t>6-377</w:t>
        </w:r>
        <w:r w:rsidRPr="00DA6215">
          <w:rPr>
            <w:webHidden/>
          </w:rPr>
          <w:fldChar w:fldCharType="end"/>
        </w:r>
      </w:hyperlink>
    </w:p>
    <w:p w14:paraId="2D8930E9" w14:textId="398E91D3" w:rsidR="00DA6215" w:rsidRPr="00DA6215" w:rsidRDefault="00DA6215">
      <w:pPr>
        <w:pStyle w:val="TOC4"/>
        <w:rPr>
          <w:rFonts w:eastAsiaTheme="minorEastAsia"/>
          <w:kern w:val="2"/>
          <w:lang w:val="en-US"/>
          <w14:ligatures w14:val="standardContextual"/>
        </w:rPr>
      </w:pPr>
      <w:hyperlink w:anchor="_Toc189044483" w:history="1">
        <w:r w:rsidRPr="00DA6215">
          <w:rPr>
            <w:rStyle w:val="Hyperlink"/>
            <w:u w:val="none"/>
          </w:rPr>
          <w:t>6.6.14.3</w:t>
        </w:r>
        <w:r w:rsidRPr="00DA6215">
          <w:rPr>
            <w:rFonts w:eastAsiaTheme="minorEastAsia"/>
            <w:kern w:val="2"/>
            <w:lang w:val="en-US"/>
            <w14:ligatures w14:val="standardContextual"/>
          </w:rPr>
          <w:tab/>
        </w:r>
        <w:r w:rsidRPr="00DA6215">
          <w:rPr>
            <w:rStyle w:val="Hyperlink"/>
            <w:u w:val="none"/>
          </w:rPr>
          <w:t>Firm Fuel Supply Service Capacity Charge</w:t>
        </w:r>
        <w:r w:rsidRPr="00DA6215">
          <w:rPr>
            <w:webHidden/>
          </w:rPr>
          <w:tab/>
        </w:r>
        <w:r w:rsidRPr="00DA6215">
          <w:rPr>
            <w:webHidden/>
          </w:rPr>
          <w:fldChar w:fldCharType="begin"/>
        </w:r>
        <w:r w:rsidRPr="00DA6215">
          <w:rPr>
            <w:webHidden/>
          </w:rPr>
          <w:instrText xml:space="preserve"> PAGEREF _Toc189044483 \h </w:instrText>
        </w:r>
        <w:r w:rsidRPr="00DA6215">
          <w:rPr>
            <w:webHidden/>
          </w:rPr>
        </w:r>
        <w:r w:rsidRPr="00DA6215">
          <w:rPr>
            <w:webHidden/>
          </w:rPr>
          <w:fldChar w:fldCharType="separate"/>
        </w:r>
        <w:r w:rsidR="00DD0A69">
          <w:rPr>
            <w:webHidden/>
          </w:rPr>
          <w:t>6-381</w:t>
        </w:r>
        <w:r w:rsidRPr="00DA6215">
          <w:rPr>
            <w:webHidden/>
          </w:rPr>
          <w:fldChar w:fldCharType="end"/>
        </w:r>
      </w:hyperlink>
    </w:p>
    <w:p w14:paraId="032613AB" w14:textId="30E005CF" w:rsidR="00DA6215" w:rsidRPr="00DA6215" w:rsidRDefault="00DA6215">
      <w:pPr>
        <w:pStyle w:val="TOC2"/>
        <w:rPr>
          <w:rFonts w:eastAsiaTheme="minorEastAsia"/>
          <w:noProof/>
          <w:kern w:val="2"/>
          <w14:ligatures w14:val="standardContextual"/>
        </w:rPr>
      </w:pPr>
      <w:hyperlink w:anchor="_Toc189044484" w:history="1">
        <w:r w:rsidRPr="00DA6215">
          <w:rPr>
            <w:rStyle w:val="Hyperlink"/>
            <w:noProof/>
            <w:u w:val="none"/>
          </w:rPr>
          <w:t>6.7</w:t>
        </w:r>
        <w:r w:rsidRPr="00DA6215">
          <w:rPr>
            <w:rFonts w:eastAsiaTheme="minorEastAsia"/>
            <w:noProof/>
            <w:kern w:val="2"/>
            <w14:ligatures w14:val="standardContextual"/>
          </w:rPr>
          <w:tab/>
        </w:r>
        <w:r w:rsidRPr="00DA6215">
          <w:rPr>
            <w:rStyle w:val="Hyperlink"/>
            <w:noProof/>
            <w:u w:val="none"/>
          </w:rPr>
          <w:t>Real-Time Settlement Calculations for the Ancillary Services</w:t>
        </w:r>
        <w:r w:rsidRPr="00DA6215">
          <w:rPr>
            <w:noProof/>
            <w:webHidden/>
          </w:rPr>
          <w:tab/>
        </w:r>
        <w:r w:rsidRPr="00DA6215">
          <w:rPr>
            <w:noProof/>
            <w:webHidden/>
          </w:rPr>
          <w:fldChar w:fldCharType="begin"/>
        </w:r>
        <w:r w:rsidRPr="00DA6215">
          <w:rPr>
            <w:noProof/>
            <w:webHidden/>
          </w:rPr>
          <w:instrText xml:space="preserve"> PAGEREF _Toc189044484 \h </w:instrText>
        </w:r>
        <w:r w:rsidRPr="00DA6215">
          <w:rPr>
            <w:noProof/>
            <w:webHidden/>
          </w:rPr>
        </w:r>
        <w:r w:rsidRPr="00DA6215">
          <w:rPr>
            <w:noProof/>
            <w:webHidden/>
          </w:rPr>
          <w:fldChar w:fldCharType="separate"/>
        </w:r>
        <w:r w:rsidR="00DD0A69">
          <w:rPr>
            <w:noProof/>
            <w:webHidden/>
          </w:rPr>
          <w:t>6-382</w:t>
        </w:r>
        <w:r w:rsidRPr="00DA6215">
          <w:rPr>
            <w:noProof/>
            <w:webHidden/>
          </w:rPr>
          <w:fldChar w:fldCharType="end"/>
        </w:r>
      </w:hyperlink>
    </w:p>
    <w:p w14:paraId="66CD435D" w14:textId="0ABB5B6E" w:rsidR="00DA6215" w:rsidRPr="00DA6215" w:rsidRDefault="00DA6215">
      <w:pPr>
        <w:pStyle w:val="TOC3"/>
        <w:rPr>
          <w:rFonts w:eastAsiaTheme="minorEastAsia"/>
          <w:i w:val="0"/>
          <w:iCs w:val="0"/>
          <w:kern w:val="2"/>
          <w14:ligatures w14:val="standardContextual"/>
        </w:rPr>
      </w:pPr>
      <w:hyperlink w:anchor="_Toc189044485" w:history="1">
        <w:r w:rsidRPr="00DA6215">
          <w:rPr>
            <w:rStyle w:val="Hyperlink"/>
            <w:i w:val="0"/>
            <w:iCs w:val="0"/>
            <w:u w:val="none"/>
          </w:rPr>
          <w:t>6.7.1</w:t>
        </w:r>
        <w:r w:rsidRPr="00DA6215">
          <w:rPr>
            <w:rFonts w:eastAsiaTheme="minorEastAsia"/>
            <w:i w:val="0"/>
            <w:iCs w:val="0"/>
            <w:kern w:val="2"/>
            <w14:ligatures w14:val="standardContextual"/>
          </w:rPr>
          <w:tab/>
        </w:r>
        <w:r w:rsidRPr="00DA6215">
          <w:rPr>
            <w:rStyle w:val="Hyperlink"/>
            <w:i w:val="0"/>
            <w:iCs w:val="0"/>
            <w:u w:val="none"/>
          </w:rPr>
          <w:t>Payments for Ancillary Service Capacity Sold in a Supplemental Ancillary Services Market (SASM) or Reconfiguration Supplemental Ancillary Services Market (RSASM)</w:t>
        </w:r>
        <w:r w:rsidRPr="00DA6215">
          <w:rPr>
            <w:i w:val="0"/>
            <w:iCs w:val="0"/>
            <w:webHidden/>
          </w:rPr>
          <w:tab/>
        </w:r>
        <w:r w:rsidRPr="00DA6215">
          <w:rPr>
            <w:i w:val="0"/>
            <w:iCs w:val="0"/>
            <w:webHidden/>
          </w:rPr>
          <w:fldChar w:fldCharType="begin"/>
        </w:r>
        <w:r w:rsidRPr="00DA6215">
          <w:rPr>
            <w:i w:val="0"/>
            <w:iCs w:val="0"/>
            <w:webHidden/>
          </w:rPr>
          <w:instrText xml:space="preserve"> PAGEREF _Toc189044485 \h </w:instrText>
        </w:r>
        <w:r w:rsidRPr="00DA6215">
          <w:rPr>
            <w:i w:val="0"/>
            <w:iCs w:val="0"/>
            <w:webHidden/>
          </w:rPr>
        </w:r>
        <w:r w:rsidRPr="00DA6215">
          <w:rPr>
            <w:i w:val="0"/>
            <w:iCs w:val="0"/>
            <w:webHidden/>
          </w:rPr>
          <w:fldChar w:fldCharType="separate"/>
        </w:r>
        <w:r w:rsidR="00DD0A69">
          <w:rPr>
            <w:i w:val="0"/>
            <w:iCs w:val="0"/>
            <w:webHidden/>
          </w:rPr>
          <w:t>6-382</w:t>
        </w:r>
        <w:r w:rsidRPr="00DA6215">
          <w:rPr>
            <w:i w:val="0"/>
            <w:iCs w:val="0"/>
            <w:webHidden/>
          </w:rPr>
          <w:fldChar w:fldCharType="end"/>
        </w:r>
      </w:hyperlink>
    </w:p>
    <w:p w14:paraId="6B9E221F" w14:textId="584D780C" w:rsidR="00DA6215" w:rsidRPr="00DA6215" w:rsidRDefault="00DA6215">
      <w:pPr>
        <w:pStyle w:val="TOC3"/>
        <w:rPr>
          <w:rFonts w:eastAsiaTheme="minorEastAsia"/>
          <w:i w:val="0"/>
          <w:iCs w:val="0"/>
          <w:kern w:val="2"/>
          <w14:ligatures w14:val="standardContextual"/>
        </w:rPr>
      </w:pPr>
      <w:hyperlink w:anchor="_Toc189044486" w:history="1">
        <w:r w:rsidRPr="00DA6215">
          <w:rPr>
            <w:rStyle w:val="Hyperlink"/>
            <w:i w:val="0"/>
            <w:iCs w:val="0"/>
            <w:u w:val="none"/>
          </w:rPr>
          <w:t>6.7.2</w:t>
        </w:r>
        <w:r w:rsidRPr="00DA6215">
          <w:rPr>
            <w:rFonts w:eastAsiaTheme="minorEastAsia"/>
            <w:i w:val="0"/>
            <w:iCs w:val="0"/>
            <w:kern w:val="2"/>
            <w14:ligatures w14:val="standardContextual"/>
          </w:rPr>
          <w:tab/>
        </w:r>
        <w:r w:rsidRPr="00DA6215">
          <w:rPr>
            <w:rStyle w:val="Hyperlink"/>
            <w:i w:val="0"/>
            <w:iCs w:val="0"/>
            <w:u w:val="none"/>
          </w:rPr>
          <w:t>Payments for Ancillary Service Capacity Assigned in Real-Time Operations</w:t>
        </w:r>
        <w:r w:rsidRPr="00DA6215">
          <w:rPr>
            <w:i w:val="0"/>
            <w:iCs w:val="0"/>
            <w:webHidden/>
          </w:rPr>
          <w:tab/>
        </w:r>
        <w:r w:rsidRPr="00DA6215">
          <w:rPr>
            <w:i w:val="0"/>
            <w:iCs w:val="0"/>
            <w:webHidden/>
          </w:rPr>
          <w:fldChar w:fldCharType="begin"/>
        </w:r>
        <w:r w:rsidRPr="00DA6215">
          <w:rPr>
            <w:i w:val="0"/>
            <w:iCs w:val="0"/>
            <w:webHidden/>
          </w:rPr>
          <w:instrText xml:space="preserve"> PAGEREF _Toc189044486 \h </w:instrText>
        </w:r>
        <w:r w:rsidRPr="00DA6215">
          <w:rPr>
            <w:i w:val="0"/>
            <w:iCs w:val="0"/>
            <w:webHidden/>
          </w:rPr>
        </w:r>
        <w:r w:rsidRPr="00DA6215">
          <w:rPr>
            <w:i w:val="0"/>
            <w:iCs w:val="0"/>
            <w:webHidden/>
          </w:rPr>
          <w:fldChar w:fldCharType="separate"/>
        </w:r>
        <w:r w:rsidR="00DD0A69">
          <w:rPr>
            <w:i w:val="0"/>
            <w:iCs w:val="0"/>
            <w:webHidden/>
          </w:rPr>
          <w:t>6-385</w:t>
        </w:r>
        <w:r w:rsidRPr="00DA6215">
          <w:rPr>
            <w:i w:val="0"/>
            <w:iCs w:val="0"/>
            <w:webHidden/>
          </w:rPr>
          <w:fldChar w:fldCharType="end"/>
        </w:r>
      </w:hyperlink>
    </w:p>
    <w:p w14:paraId="2C900037" w14:textId="1C932492" w:rsidR="00DA6215" w:rsidRPr="00DA6215" w:rsidRDefault="00DA6215">
      <w:pPr>
        <w:pStyle w:val="TOC4"/>
        <w:rPr>
          <w:rFonts w:eastAsiaTheme="minorEastAsia"/>
          <w:kern w:val="2"/>
          <w:lang w:val="en-US"/>
          <w14:ligatures w14:val="standardContextual"/>
        </w:rPr>
      </w:pPr>
      <w:hyperlink w:anchor="_Toc189044487" w:history="1">
        <w:r w:rsidRPr="00DA6215">
          <w:rPr>
            <w:rStyle w:val="Hyperlink"/>
            <w:u w:val="none"/>
          </w:rPr>
          <w:t>6.7.2.1</w:t>
        </w:r>
        <w:r w:rsidRPr="00DA6215">
          <w:rPr>
            <w:rFonts w:eastAsiaTheme="minorEastAsia"/>
            <w:kern w:val="2"/>
            <w:lang w:val="en-US"/>
            <w14:ligatures w14:val="standardContextual"/>
          </w:rPr>
          <w:tab/>
        </w:r>
        <w:r w:rsidRPr="00DA6215">
          <w:rPr>
            <w:rStyle w:val="Hyperlink"/>
            <w:u w:val="none"/>
          </w:rPr>
          <w:t>Charges for Infeasible Ancillary Service Capacity Due to Transmission Constraints</w:t>
        </w:r>
        <w:r w:rsidRPr="00DA6215">
          <w:rPr>
            <w:webHidden/>
          </w:rPr>
          <w:tab/>
        </w:r>
        <w:r w:rsidRPr="00DA6215">
          <w:rPr>
            <w:webHidden/>
          </w:rPr>
          <w:fldChar w:fldCharType="begin"/>
        </w:r>
        <w:r w:rsidRPr="00DA6215">
          <w:rPr>
            <w:webHidden/>
          </w:rPr>
          <w:instrText xml:space="preserve"> PAGEREF _Toc189044487 \h </w:instrText>
        </w:r>
        <w:r w:rsidRPr="00DA6215">
          <w:rPr>
            <w:webHidden/>
          </w:rPr>
        </w:r>
        <w:r w:rsidRPr="00DA6215">
          <w:rPr>
            <w:webHidden/>
          </w:rPr>
          <w:fldChar w:fldCharType="separate"/>
        </w:r>
        <w:r w:rsidR="00DD0A69">
          <w:rPr>
            <w:webHidden/>
          </w:rPr>
          <w:t>6-390</w:t>
        </w:r>
        <w:r w:rsidRPr="00DA6215">
          <w:rPr>
            <w:webHidden/>
          </w:rPr>
          <w:fldChar w:fldCharType="end"/>
        </w:r>
      </w:hyperlink>
    </w:p>
    <w:p w14:paraId="2B6508B0" w14:textId="2B92D7AC" w:rsidR="00DA6215" w:rsidRPr="00DA6215" w:rsidRDefault="00DA6215">
      <w:pPr>
        <w:pStyle w:val="TOC4"/>
        <w:rPr>
          <w:rFonts w:eastAsiaTheme="minorEastAsia"/>
          <w:kern w:val="2"/>
          <w:lang w:val="en-US"/>
          <w14:ligatures w14:val="standardContextual"/>
        </w:rPr>
      </w:pPr>
      <w:hyperlink w:anchor="_Toc189044488" w:history="1">
        <w:r w:rsidRPr="00DA6215">
          <w:rPr>
            <w:rStyle w:val="Hyperlink"/>
            <w:u w:val="none"/>
          </w:rPr>
          <w:t>6.7.2.2</w:t>
        </w:r>
        <w:r w:rsidRPr="00DA6215">
          <w:rPr>
            <w:rFonts w:eastAsiaTheme="minorEastAsia"/>
            <w:kern w:val="2"/>
            <w:lang w:val="en-US"/>
            <w14:ligatures w14:val="standardContextual"/>
          </w:rPr>
          <w:tab/>
        </w:r>
        <w:r w:rsidRPr="00DA6215">
          <w:rPr>
            <w:rStyle w:val="Hyperlink"/>
            <w:u w:val="none"/>
          </w:rPr>
          <w:t>Real-Time Adjustments to Day-Ahead Make Whole Payments due to Ancillary Services Infeasibility Charges</w:t>
        </w:r>
        <w:r w:rsidRPr="00DA6215">
          <w:rPr>
            <w:webHidden/>
          </w:rPr>
          <w:tab/>
        </w:r>
        <w:r w:rsidRPr="00DA6215">
          <w:rPr>
            <w:webHidden/>
          </w:rPr>
          <w:fldChar w:fldCharType="begin"/>
        </w:r>
        <w:r w:rsidRPr="00DA6215">
          <w:rPr>
            <w:webHidden/>
          </w:rPr>
          <w:instrText xml:space="preserve"> PAGEREF _Toc189044488 \h </w:instrText>
        </w:r>
        <w:r w:rsidRPr="00DA6215">
          <w:rPr>
            <w:webHidden/>
          </w:rPr>
        </w:r>
        <w:r w:rsidRPr="00DA6215">
          <w:rPr>
            <w:webHidden/>
          </w:rPr>
          <w:fldChar w:fldCharType="separate"/>
        </w:r>
        <w:r w:rsidR="00DD0A69">
          <w:rPr>
            <w:webHidden/>
          </w:rPr>
          <w:t>6-392</w:t>
        </w:r>
        <w:r w:rsidRPr="00DA6215">
          <w:rPr>
            <w:webHidden/>
          </w:rPr>
          <w:fldChar w:fldCharType="end"/>
        </w:r>
      </w:hyperlink>
    </w:p>
    <w:p w14:paraId="5E0AFF15" w14:textId="7D4BEA65" w:rsidR="00DA6215" w:rsidRPr="00DA6215" w:rsidRDefault="00DA6215">
      <w:pPr>
        <w:pStyle w:val="TOC3"/>
        <w:rPr>
          <w:rFonts w:eastAsiaTheme="minorEastAsia"/>
          <w:i w:val="0"/>
          <w:iCs w:val="0"/>
          <w:kern w:val="2"/>
          <w14:ligatures w14:val="standardContextual"/>
        </w:rPr>
      </w:pPr>
      <w:hyperlink w:anchor="_Toc189044489" w:history="1">
        <w:r w:rsidRPr="00DA6215">
          <w:rPr>
            <w:rStyle w:val="Hyperlink"/>
            <w:i w:val="0"/>
            <w:iCs w:val="0"/>
            <w:u w:val="none"/>
          </w:rPr>
          <w:t>6.7.3</w:t>
        </w:r>
        <w:r w:rsidRPr="00DA6215">
          <w:rPr>
            <w:rFonts w:eastAsiaTheme="minorEastAsia"/>
            <w:i w:val="0"/>
            <w:iCs w:val="0"/>
            <w:kern w:val="2"/>
            <w14:ligatures w14:val="standardContextual"/>
          </w:rPr>
          <w:tab/>
        </w:r>
        <w:r w:rsidRPr="00DA6215">
          <w:rPr>
            <w:rStyle w:val="Hyperlink"/>
            <w:i w:val="0"/>
            <w:iCs w:val="0"/>
            <w:u w:val="none"/>
          </w:rPr>
          <w:t>Charges for a Failure to Provide Ancillary Service</w:t>
        </w:r>
        <w:r w:rsidRPr="00DA6215">
          <w:rPr>
            <w:i w:val="0"/>
            <w:iCs w:val="0"/>
            <w:webHidden/>
          </w:rPr>
          <w:tab/>
        </w:r>
        <w:r w:rsidRPr="00DA6215">
          <w:rPr>
            <w:i w:val="0"/>
            <w:iCs w:val="0"/>
            <w:webHidden/>
          </w:rPr>
          <w:fldChar w:fldCharType="begin"/>
        </w:r>
        <w:r w:rsidRPr="00DA6215">
          <w:rPr>
            <w:i w:val="0"/>
            <w:iCs w:val="0"/>
            <w:webHidden/>
          </w:rPr>
          <w:instrText xml:space="preserve"> PAGEREF _Toc189044489 \h </w:instrText>
        </w:r>
        <w:r w:rsidRPr="00DA6215">
          <w:rPr>
            <w:i w:val="0"/>
            <w:iCs w:val="0"/>
            <w:webHidden/>
          </w:rPr>
        </w:r>
        <w:r w:rsidRPr="00DA6215">
          <w:rPr>
            <w:i w:val="0"/>
            <w:iCs w:val="0"/>
            <w:webHidden/>
          </w:rPr>
          <w:fldChar w:fldCharType="separate"/>
        </w:r>
        <w:r w:rsidR="00DD0A69">
          <w:rPr>
            <w:i w:val="0"/>
            <w:iCs w:val="0"/>
            <w:webHidden/>
          </w:rPr>
          <w:t>6-398</w:t>
        </w:r>
        <w:r w:rsidRPr="00DA6215">
          <w:rPr>
            <w:i w:val="0"/>
            <w:iCs w:val="0"/>
            <w:webHidden/>
          </w:rPr>
          <w:fldChar w:fldCharType="end"/>
        </w:r>
      </w:hyperlink>
    </w:p>
    <w:p w14:paraId="66E8BCD7" w14:textId="38D5E7B0" w:rsidR="00DA6215" w:rsidRPr="00DA6215" w:rsidRDefault="00DA6215">
      <w:pPr>
        <w:pStyle w:val="TOC3"/>
        <w:rPr>
          <w:rFonts w:eastAsiaTheme="minorEastAsia"/>
          <w:i w:val="0"/>
          <w:iCs w:val="0"/>
          <w:kern w:val="2"/>
          <w14:ligatures w14:val="standardContextual"/>
        </w:rPr>
      </w:pPr>
      <w:hyperlink w:anchor="_Toc189044490" w:history="1">
        <w:r w:rsidRPr="00DA6215">
          <w:rPr>
            <w:rStyle w:val="Hyperlink"/>
            <w:i w:val="0"/>
            <w:iCs w:val="0"/>
            <w:u w:val="none"/>
          </w:rPr>
          <w:t>6.7.4</w:t>
        </w:r>
        <w:r w:rsidRPr="00DA6215">
          <w:rPr>
            <w:rFonts w:eastAsiaTheme="minorEastAsia"/>
            <w:i w:val="0"/>
            <w:iCs w:val="0"/>
            <w:kern w:val="2"/>
            <w14:ligatures w14:val="standardContextual"/>
          </w:rPr>
          <w:tab/>
        </w:r>
        <w:r w:rsidRPr="00DA6215">
          <w:rPr>
            <w:rStyle w:val="Hyperlink"/>
            <w:i w:val="0"/>
            <w:iCs w:val="0"/>
            <w:u w:val="none"/>
          </w:rPr>
          <w:t>Adjustments to Cost Allocations for Ancillary Services Procurement</w:t>
        </w:r>
        <w:r w:rsidRPr="00DA6215">
          <w:rPr>
            <w:i w:val="0"/>
            <w:iCs w:val="0"/>
            <w:webHidden/>
          </w:rPr>
          <w:tab/>
        </w:r>
        <w:r w:rsidRPr="00DA6215">
          <w:rPr>
            <w:i w:val="0"/>
            <w:iCs w:val="0"/>
            <w:webHidden/>
          </w:rPr>
          <w:fldChar w:fldCharType="begin"/>
        </w:r>
        <w:r w:rsidRPr="00DA6215">
          <w:rPr>
            <w:i w:val="0"/>
            <w:iCs w:val="0"/>
            <w:webHidden/>
          </w:rPr>
          <w:instrText xml:space="preserve"> PAGEREF _Toc189044490 \h </w:instrText>
        </w:r>
        <w:r w:rsidRPr="00DA6215">
          <w:rPr>
            <w:i w:val="0"/>
            <w:iCs w:val="0"/>
            <w:webHidden/>
          </w:rPr>
        </w:r>
        <w:r w:rsidRPr="00DA6215">
          <w:rPr>
            <w:i w:val="0"/>
            <w:iCs w:val="0"/>
            <w:webHidden/>
          </w:rPr>
          <w:fldChar w:fldCharType="separate"/>
        </w:r>
        <w:r w:rsidR="00DD0A69">
          <w:rPr>
            <w:i w:val="0"/>
            <w:iCs w:val="0"/>
            <w:webHidden/>
          </w:rPr>
          <w:t>6-410</w:t>
        </w:r>
        <w:r w:rsidRPr="00DA6215">
          <w:rPr>
            <w:i w:val="0"/>
            <w:iCs w:val="0"/>
            <w:webHidden/>
          </w:rPr>
          <w:fldChar w:fldCharType="end"/>
        </w:r>
      </w:hyperlink>
    </w:p>
    <w:p w14:paraId="09A179BF" w14:textId="53E54F4D" w:rsidR="00DA6215" w:rsidRPr="00DA6215" w:rsidRDefault="00DA6215">
      <w:pPr>
        <w:pStyle w:val="TOC3"/>
        <w:rPr>
          <w:rFonts w:eastAsiaTheme="minorEastAsia"/>
          <w:i w:val="0"/>
          <w:iCs w:val="0"/>
          <w:kern w:val="2"/>
          <w14:ligatures w14:val="standardContextual"/>
        </w:rPr>
      </w:pPr>
      <w:hyperlink w:anchor="_Toc189044491" w:history="1">
        <w:r w:rsidRPr="00DA6215">
          <w:rPr>
            <w:rStyle w:val="Hyperlink"/>
            <w:i w:val="0"/>
            <w:iCs w:val="0"/>
            <w:u w:val="none"/>
          </w:rPr>
          <w:t>6.7.4</w:t>
        </w:r>
        <w:r w:rsidRPr="00DA6215">
          <w:rPr>
            <w:rFonts w:eastAsiaTheme="minorEastAsia"/>
            <w:i w:val="0"/>
            <w:iCs w:val="0"/>
            <w:kern w:val="2"/>
            <w14:ligatures w14:val="standardContextual"/>
          </w:rPr>
          <w:tab/>
        </w:r>
        <w:r w:rsidRPr="00DA6215">
          <w:rPr>
            <w:rStyle w:val="Hyperlink"/>
            <w:i w:val="0"/>
            <w:iCs w:val="0"/>
            <w:u w:val="none"/>
          </w:rPr>
          <w:t>Real-Time Settlement for Updated Day-Ahead Market Ancillary Service Obligations</w:t>
        </w:r>
        <w:r w:rsidRPr="00DA6215">
          <w:rPr>
            <w:i w:val="0"/>
            <w:iCs w:val="0"/>
            <w:webHidden/>
          </w:rPr>
          <w:tab/>
        </w:r>
        <w:r w:rsidRPr="00DA6215">
          <w:rPr>
            <w:i w:val="0"/>
            <w:iCs w:val="0"/>
            <w:webHidden/>
          </w:rPr>
          <w:fldChar w:fldCharType="begin"/>
        </w:r>
        <w:r w:rsidRPr="00DA6215">
          <w:rPr>
            <w:i w:val="0"/>
            <w:iCs w:val="0"/>
            <w:webHidden/>
          </w:rPr>
          <w:instrText xml:space="preserve"> PAGEREF _Toc189044491 \h </w:instrText>
        </w:r>
        <w:r w:rsidRPr="00DA6215">
          <w:rPr>
            <w:i w:val="0"/>
            <w:iCs w:val="0"/>
            <w:webHidden/>
          </w:rPr>
        </w:r>
        <w:r w:rsidRPr="00DA6215">
          <w:rPr>
            <w:i w:val="0"/>
            <w:iCs w:val="0"/>
            <w:webHidden/>
          </w:rPr>
          <w:fldChar w:fldCharType="separate"/>
        </w:r>
        <w:r w:rsidR="00DD0A69">
          <w:rPr>
            <w:i w:val="0"/>
            <w:iCs w:val="0"/>
            <w:webHidden/>
          </w:rPr>
          <w:t>6-433</w:t>
        </w:r>
        <w:r w:rsidRPr="00DA6215">
          <w:rPr>
            <w:i w:val="0"/>
            <w:iCs w:val="0"/>
            <w:webHidden/>
          </w:rPr>
          <w:fldChar w:fldCharType="end"/>
        </w:r>
      </w:hyperlink>
    </w:p>
    <w:p w14:paraId="12C84E9C" w14:textId="3A8497D2" w:rsidR="00DA6215" w:rsidRPr="00DA6215" w:rsidRDefault="00DA6215">
      <w:pPr>
        <w:pStyle w:val="TOC3"/>
        <w:rPr>
          <w:rFonts w:eastAsiaTheme="minorEastAsia"/>
          <w:i w:val="0"/>
          <w:iCs w:val="0"/>
          <w:kern w:val="2"/>
          <w14:ligatures w14:val="standardContextual"/>
        </w:rPr>
      </w:pPr>
      <w:hyperlink w:anchor="_Toc189044492" w:history="1">
        <w:r w:rsidRPr="00DA6215">
          <w:rPr>
            <w:rStyle w:val="Hyperlink"/>
            <w:i w:val="0"/>
            <w:iCs w:val="0"/>
            <w:u w:val="none"/>
          </w:rPr>
          <w:t>6.7.5</w:t>
        </w:r>
        <w:r w:rsidRPr="00DA6215">
          <w:rPr>
            <w:rFonts w:eastAsiaTheme="minorEastAsia"/>
            <w:i w:val="0"/>
            <w:iCs w:val="0"/>
            <w:kern w:val="2"/>
            <w14:ligatures w14:val="standardContextual"/>
          </w:rPr>
          <w:tab/>
        </w:r>
        <w:r w:rsidRPr="00DA6215">
          <w:rPr>
            <w:rStyle w:val="Hyperlink"/>
            <w:i w:val="0"/>
            <w:iCs w:val="0"/>
            <w:u w:val="none"/>
          </w:rPr>
          <w:t>Real-Time Ancillary Service Imbalance Payment or Charge</w:t>
        </w:r>
        <w:r w:rsidRPr="00DA6215">
          <w:rPr>
            <w:i w:val="0"/>
            <w:iCs w:val="0"/>
            <w:webHidden/>
          </w:rPr>
          <w:tab/>
        </w:r>
        <w:r w:rsidRPr="00DA6215">
          <w:rPr>
            <w:i w:val="0"/>
            <w:iCs w:val="0"/>
            <w:webHidden/>
          </w:rPr>
          <w:fldChar w:fldCharType="begin"/>
        </w:r>
        <w:r w:rsidRPr="00DA6215">
          <w:rPr>
            <w:i w:val="0"/>
            <w:iCs w:val="0"/>
            <w:webHidden/>
          </w:rPr>
          <w:instrText xml:space="preserve"> PAGEREF _Toc189044492 \h </w:instrText>
        </w:r>
        <w:r w:rsidRPr="00DA6215">
          <w:rPr>
            <w:i w:val="0"/>
            <w:iCs w:val="0"/>
            <w:webHidden/>
          </w:rPr>
        </w:r>
        <w:r w:rsidRPr="00DA6215">
          <w:rPr>
            <w:i w:val="0"/>
            <w:iCs w:val="0"/>
            <w:webHidden/>
          </w:rPr>
          <w:fldChar w:fldCharType="separate"/>
        </w:r>
        <w:r w:rsidR="00DD0A69">
          <w:rPr>
            <w:i w:val="0"/>
            <w:iCs w:val="0"/>
            <w:webHidden/>
          </w:rPr>
          <w:t>6-437</w:t>
        </w:r>
        <w:r w:rsidRPr="00DA6215">
          <w:rPr>
            <w:i w:val="0"/>
            <w:iCs w:val="0"/>
            <w:webHidden/>
          </w:rPr>
          <w:fldChar w:fldCharType="end"/>
        </w:r>
      </w:hyperlink>
    </w:p>
    <w:p w14:paraId="297C6F52" w14:textId="59825F8C" w:rsidR="00DA6215" w:rsidRPr="00DA6215" w:rsidRDefault="00DA6215">
      <w:pPr>
        <w:pStyle w:val="TOC3"/>
        <w:rPr>
          <w:rFonts w:eastAsiaTheme="minorEastAsia"/>
          <w:i w:val="0"/>
          <w:iCs w:val="0"/>
          <w:kern w:val="2"/>
          <w14:ligatures w14:val="standardContextual"/>
        </w:rPr>
      </w:pPr>
      <w:hyperlink w:anchor="_Toc189044493" w:history="1">
        <w:r w:rsidRPr="00DA6215">
          <w:rPr>
            <w:rStyle w:val="Hyperlink"/>
            <w:i w:val="0"/>
            <w:iCs w:val="0"/>
            <w:u w:val="none"/>
          </w:rPr>
          <w:t>6.7.5</w:t>
        </w:r>
        <w:r w:rsidRPr="00DA6215">
          <w:rPr>
            <w:rFonts w:eastAsiaTheme="minorEastAsia"/>
            <w:i w:val="0"/>
            <w:iCs w:val="0"/>
            <w:kern w:val="2"/>
            <w14:ligatures w14:val="standardContextual"/>
          </w:rPr>
          <w:tab/>
        </w:r>
        <w:r w:rsidRPr="00DA6215">
          <w:rPr>
            <w:rStyle w:val="Hyperlink"/>
            <w:i w:val="0"/>
            <w:iCs w:val="0"/>
            <w:u w:val="none"/>
          </w:rPr>
          <w:t>Real-Time Ancillary Service Charges and Payments</w:t>
        </w:r>
        <w:r w:rsidRPr="00DA6215">
          <w:rPr>
            <w:i w:val="0"/>
            <w:iCs w:val="0"/>
            <w:webHidden/>
          </w:rPr>
          <w:tab/>
        </w:r>
        <w:r w:rsidRPr="00DA6215">
          <w:rPr>
            <w:i w:val="0"/>
            <w:iCs w:val="0"/>
            <w:webHidden/>
          </w:rPr>
          <w:fldChar w:fldCharType="begin"/>
        </w:r>
        <w:r w:rsidRPr="00DA6215">
          <w:rPr>
            <w:i w:val="0"/>
            <w:iCs w:val="0"/>
            <w:webHidden/>
          </w:rPr>
          <w:instrText xml:space="preserve"> PAGEREF _Toc189044493 \h </w:instrText>
        </w:r>
        <w:r w:rsidRPr="00DA6215">
          <w:rPr>
            <w:i w:val="0"/>
            <w:iCs w:val="0"/>
            <w:webHidden/>
          </w:rPr>
        </w:r>
        <w:r w:rsidRPr="00DA6215">
          <w:rPr>
            <w:i w:val="0"/>
            <w:iCs w:val="0"/>
            <w:webHidden/>
          </w:rPr>
          <w:fldChar w:fldCharType="separate"/>
        </w:r>
        <w:r w:rsidR="00DD0A69">
          <w:rPr>
            <w:i w:val="0"/>
            <w:iCs w:val="0"/>
            <w:webHidden/>
          </w:rPr>
          <w:t>6-453</w:t>
        </w:r>
        <w:r w:rsidRPr="00DA6215">
          <w:rPr>
            <w:i w:val="0"/>
            <w:iCs w:val="0"/>
            <w:webHidden/>
          </w:rPr>
          <w:fldChar w:fldCharType="end"/>
        </w:r>
      </w:hyperlink>
    </w:p>
    <w:p w14:paraId="25C75C8E" w14:textId="67ABA936" w:rsidR="00DA6215" w:rsidRPr="00DA6215" w:rsidRDefault="00DA6215">
      <w:pPr>
        <w:pStyle w:val="TOC4"/>
        <w:rPr>
          <w:rFonts w:eastAsiaTheme="minorEastAsia"/>
          <w:kern w:val="2"/>
          <w:lang w:val="en-US"/>
          <w14:ligatures w14:val="standardContextual"/>
        </w:rPr>
      </w:pPr>
      <w:hyperlink w:anchor="_Toc189044494" w:history="1">
        <w:r w:rsidRPr="00DA6215">
          <w:rPr>
            <w:rStyle w:val="Hyperlink"/>
            <w:u w:val="none"/>
          </w:rPr>
          <w:t>6.7.5.1</w:t>
        </w:r>
        <w:r w:rsidRPr="00DA6215">
          <w:rPr>
            <w:rFonts w:eastAsiaTheme="minorEastAsia"/>
            <w:kern w:val="2"/>
            <w:lang w:val="en-US"/>
            <w14:ligatures w14:val="standardContextual"/>
          </w:rPr>
          <w:tab/>
        </w:r>
        <w:r w:rsidRPr="00DA6215">
          <w:rPr>
            <w:rStyle w:val="Hyperlink"/>
            <w:u w:val="none"/>
          </w:rPr>
          <w:t>Real-Time Ancillary Service Imbalance Payment or Charge</w:t>
        </w:r>
        <w:r w:rsidRPr="00DA6215">
          <w:rPr>
            <w:webHidden/>
          </w:rPr>
          <w:tab/>
        </w:r>
        <w:r w:rsidRPr="00DA6215">
          <w:rPr>
            <w:webHidden/>
          </w:rPr>
          <w:fldChar w:fldCharType="begin"/>
        </w:r>
        <w:r w:rsidRPr="00DA6215">
          <w:rPr>
            <w:webHidden/>
          </w:rPr>
          <w:instrText xml:space="preserve"> PAGEREF _Toc189044494 \h </w:instrText>
        </w:r>
        <w:r w:rsidRPr="00DA6215">
          <w:rPr>
            <w:webHidden/>
          </w:rPr>
        </w:r>
        <w:r w:rsidRPr="00DA6215">
          <w:rPr>
            <w:webHidden/>
          </w:rPr>
          <w:fldChar w:fldCharType="separate"/>
        </w:r>
        <w:r w:rsidR="00DD0A69">
          <w:rPr>
            <w:webHidden/>
          </w:rPr>
          <w:t>6-453</w:t>
        </w:r>
        <w:r w:rsidRPr="00DA6215">
          <w:rPr>
            <w:webHidden/>
          </w:rPr>
          <w:fldChar w:fldCharType="end"/>
        </w:r>
      </w:hyperlink>
    </w:p>
    <w:p w14:paraId="6C367D2A" w14:textId="74AA4213" w:rsidR="00DA6215" w:rsidRPr="00DA6215" w:rsidRDefault="00DA6215">
      <w:pPr>
        <w:pStyle w:val="TOC4"/>
        <w:rPr>
          <w:rFonts w:eastAsiaTheme="minorEastAsia"/>
          <w:kern w:val="2"/>
          <w:lang w:val="en-US"/>
          <w14:ligatures w14:val="standardContextual"/>
        </w:rPr>
      </w:pPr>
      <w:hyperlink w:anchor="_Toc189044495" w:history="1">
        <w:r w:rsidRPr="00DA6215">
          <w:rPr>
            <w:rStyle w:val="Hyperlink"/>
            <w:u w:val="none"/>
          </w:rPr>
          <w:t>6.7.5.2</w:t>
        </w:r>
        <w:r w:rsidRPr="00DA6215">
          <w:rPr>
            <w:rFonts w:eastAsiaTheme="minorEastAsia"/>
            <w:kern w:val="2"/>
            <w:lang w:val="en-US"/>
            <w14:ligatures w14:val="standardContextual"/>
          </w:rPr>
          <w:tab/>
        </w:r>
        <w:r w:rsidRPr="00DA6215">
          <w:rPr>
            <w:rStyle w:val="Hyperlink"/>
            <w:u w:val="none"/>
          </w:rPr>
          <w:t>Regulation Up Service Payments and Charges</w:t>
        </w:r>
        <w:r w:rsidRPr="00DA6215">
          <w:rPr>
            <w:webHidden/>
          </w:rPr>
          <w:tab/>
        </w:r>
        <w:r w:rsidRPr="00DA6215">
          <w:rPr>
            <w:webHidden/>
          </w:rPr>
          <w:fldChar w:fldCharType="begin"/>
        </w:r>
        <w:r w:rsidRPr="00DA6215">
          <w:rPr>
            <w:webHidden/>
          </w:rPr>
          <w:instrText xml:space="preserve"> PAGEREF _Toc189044495 \h </w:instrText>
        </w:r>
        <w:r w:rsidRPr="00DA6215">
          <w:rPr>
            <w:webHidden/>
          </w:rPr>
        </w:r>
        <w:r w:rsidRPr="00DA6215">
          <w:rPr>
            <w:webHidden/>
          </w:rPr>
          <w:fldChar w:fldCharType="separate"/>
        </w:r>
        <w:r w:rsidR="00DD0A69">
          <w:rPr>
            <w:webHidden/>
          </w:rPr>
          <w:t>6-454</w:t>
        </w:r>
        <w:r w:rsidRPr="00DA6215">
          <w:rPr>
            <w:webHidden/>
          </w:rPr>
          <w:fldChar w:fldCharType="end"/>
        </w:r>
      </w:hyperlink>
    </w:p>
    <w:p w14:paraId="016C9C56" w14:textId="3FC81283" w:rsidR="00DA6215" w:rsidRPr="00DA6215" w:rsidRDefault="00DA6215">
      <w:pPr>
        <w:pStyle w:val="TOC4"/>
        <w:rPr>
          <w:rFonts w:eastAsiaTheme="minorEastAsia"/>
          <w:kern w:val="2"/>
          <w:lang w:val="en-US"/>
          <w14:ligatures w14:val="standardContextual"/>
        </w:rPr>
      </w:pPr>
      <w:hyperlink w:anchor="_Toc189044496" w:history="1">
        <w:r w:rsidRPr="00DA6215">
          <w:rPr>
            <w:rStyle w:val="Hyperlink"/>
            <w:u w:val="none"/>
          </w:rPr>
          <w:t>6.7.5.3</w:t>
        </w:r>
        <w:r w:rsidRPr="00DA6215">
          <w:rPr>
            <w:rFonts w:eastAsiaTheme="minorEastAsia"/>
            <w:kern w:val="2"/>
            <w:lang w:val="en-US"/>
            <w14:ligatures w14:val="standardContextual"/>
          </w:rPr>
          <w:tab/>
        </w:r>
        <w:r w:rsidRPr="00DA6215">
          <w:rPr>
            <w:rStyle w:val="Hyperlink"/>
            <w:u w:val="none"/>
          </w:rPr>
          <w:t>Regulation Down Service Payments and Charges</w:t>
        </w:r>
        <w:r w:rsidRPr="00DA6215">
          <w:rPr>
            <w:webHidden/>
          </w:rPr>
          <w:tab/>
        </w:r>
        <w:r w:rsidRPr="00DA6215">
          <w:rPr>
            <w:webHidden/>
          </w:rPr>
          <w:fldChar w:fldCharType="begin"/>
        </w:r>
        <w:r w:rsidRPr="00DA6215">
          <w:rPr>
            <w:webHidden/>
          </w:rPr>
          <w:instrText xml:space="preserve"> PAGEREF _Toc189044496 \h </w:instrText>
        </w:r>
        <w:r w:rsidRPr="00DA6215">
          <w:rPr>
            <w:webHidden/>
          </w:rPr>
        </w:r>
        <w:r w:rsidRPr="00DA6215">
          <w:rPr>
            <w:webHidden/>
          </w:rPr>
          <w:fldChar w:fldCharType="separate"/>
        </w:r>
        <w:r w:rsidR="00DD0A69">
          <w:rPr>
            <w:webHidden/>
          </w:rPr>
          <w:t>6-456</w:t>
        </w:r>
        <w:r w:rsidRPr="00DA6215">
          <w:rPr>
            <w:webHidden/>
          </w:rPr>
          <w:fldChar w:fldCharType="end"/>
        </w:r>
      </w:hyperlink>
    </w:p>
    <w:p w14:paraId="3EB64E42" w14:textId="5F150D91" w:rsidR="00DA6215" w:rsidRPr="00DA6215" w:rsidRDefault="00DA6215">
      <w:pPr>
        <w:pStyle w:val="TOC4"/>
        <w:rPr>
          <w:rFonts w:eastAsiaTheme="minorEastAsia"/>
          <w:kern w:val="2"/>
          <w:lang w:val="en-US"/>
          <w14:ligatures w14:val="standardContextual"/>
        </w:rPr>
      </w:pPr>
      <w:hyperlink w:anchor="_Toc189044497" w:history="1">
        <w:r w:rsidRPr="00DA6215">
          <w:rPr>
            <w:rStyle w:val="Hyperlink"/>
            <w:u w:val="none"/>
          </w:rPr>
          <w:t>6.7.5.4</w:t>
        </w:r>
        <w:r w:rsidRPr="00DA6215">
          <w:rPr>
            <w:rFonts w:eastAsiaTheme="minorEastAsia"/>
            <w:kern w:val="2"/>
            <w:lang w:val="en-US"/>
            <w14:ligatures w14:val="standardContextual"/>
          </w:rPr>
          <w:tab/>
        </w:r>
        <w:r w:rsidRPr="00DA6215">
          <w:rPr>
            <w:rStyle w:val="Hyperlink"/>
            <w:u w:val="none"/>
          </w:rPr>
          <w:t>Responsive Reserve Payments and Charges</w:t>
        </w:r>
        <w:r w:rsidRPr="00DA6215">
          <w:rPr>
            <w:webHidden/>
          </w:rPr>
          <w:tab/>
        </w:r>
        <w:r w:rsidRPr="00DA6215">
          <w:rPr>
            <w:webHidden/>
          </w:rPr>
          <w:fldChar w:fldCharType="begin"/>
        </w:r>
        <w:r w:rsidRPr="00DA6215">
          <w:rPr>
            <w:webHidden/>
          </w:rPr>
          <w:instrText xml:space="preserve"> PAGEREF _Toc189044497 \h </w:instrText>
        </w:r>
        <w:r w:rsidRPr="00DA6215">
          <w:rPr>
            <w:webHidden/>
          </w:rPr>
        </w:r>
        <w:r w:rsidRPr="00DA6215">
          <w:rPr>
            <w:webHidden/>
          </w:rPr>
          <w:fldChar w:fldCharType="separate"/>
        </w:r>
        <w:r w:rsidR="00DD0A69">
          <w:rPr>
            <w:webHidden/>
          </w:rPr>
          <w:t>6-459</w:t>
        </w:r>
        <w:r w:rsidRPr="00DA6215">
          <w:rPr>
            <w:webHidden/>
          </w:rPr>
          <w:fldChar w:fldCharType="end"/>
        </w:r>
      </w:hyperlink>
    </w:p>
    <w:p w14:paraId="72E50A99" w14:textId="39FA462B" w:rsidR="00DA6215" w:rsidRPr="00DA6215" w:rsidRDefault="00DA6215">
      <w:pPr>
        <w:pStyle w:val="TOC4"/>
        <w:rPr>
          <w:rFonts w:eastAsiaTheme="minorEastAsia"/>
          <w:kern w:val="2"/>
          <w:lang w:val="en-US"/>
          <w14:ligatures w14:val="standardContextual"/>
        </w:rPr>
      </w:pPr>
      <w:hyperlink w:anchor="_Toc189044498" w:history="1">
        <w:r w:rsidRPr="00DA6215">
          <w:rPr>
            <w:rStyle w:val="Hyperlink"/>
            <w:u w:val="none"/>
          </w:rPr>
          <w:t>6.7.5.5</w:t>
        </w:r>
        <w:r w:rsidRPr="00DA6215">
          <w:rPr>
            <w:rFonts w:eastAsiaTheme="minorEastAsia"/>
            <w:kern w:val="2"/>
            <w:lang w:val="en-US"/>
            <w14:ligatures w14:val="standardContextual"/>
          </w:rPr>
          <w:tab/>
        </w:r>
        <w:r w:rsidRPr="00DA6215">
          <w:rPr>
            <w:rStyle w:val="Hyperlink"/>
            <w:u w:val="none"/>
          </w:rPr>
          <w:t>Non-Spinning Reserve Service Payments and Charges</w:t>
        </w:r>
        <w:r w:rsidRPr="00DA6215">
          <w:rPr>
            <w:webHidden/>
          </w:rPr>
          <w:tab/>
        </w:r>
        <w:r w:rsidRPr="00DA6215">
          <w:rPr>
            <w:webHidden/>
          </w:rPr>
          <w:fldChar w:fldCharType="begin"/>
        </w:r>
        <w:r w:rsidRPr="00DA6215">
          <w:rPr>
            <w:webHidden/>
          </w:rPr>
          <w:instrText xml:space="preserve"> PAGEREF _Toc189044498 \h </w:instrText>
        </w:r>
        <w:r w:rsidRPr="00DA6215">
          <w:rPr>
            <w:webHidden/>
          </w:rPr>
        </w:r>
        <w:r w:rsidRPr="00DA6215">
          <w:rPr>
            <w:webHidden/>
          </w:rPr>
          <w:fldChar w:fldCharType="separate"/>
        </w:r>
        <w:r w:rsidR="00DD0A69">
          <w:rPr>
            <w:webHidden/>
          </w:rPr>
          <w:t>6-462</w:t>
        </w:r>
        <w:r w:rsidRPr="00DA6215">
          <w:rPr>
            <w:webHidden/>
          </w:rPr>
          <w:fldChar w:fldCharType="end"/>
        </w:r>
      </w:hyperlink>
    </w:p>
    <w:p w14:paraId="57D485F8" w14:textId="77993B7E" w:rsidR="00DA6215" w:rsidRPr="00DA6215" w:rsidRDefault="00DA6215">
      <w:pPr>
        <w:pStyle w:val="TOC4"/>
        <w:rPr>
          <w:rFonts w:eastAsiaTheme="minorEastAsia"/>
          <w:kern w:val="2"/>
          <w:lang w:val="en-US"/>
          <w14:ligatures w14:val="standardContextual"/>
        </w:rPr>
      </w:pPr>
      <w:hyperlink w:anchor="_Toc189044499" w:history="1">
        <w:r w:rsidRPr="00DA6215">
          <w:rPr>
            <w:rStyle w:val="Hyperlink"/>
            <w:u w:val="none"/>
          </w:rPr>
          <w:t>6.7.5.6</w:t>
        </w:r>
        <w:r w:rsidRPr="00DA6215">
          <w:rPr>
            <w:rFonts w:eastAsiaTheme="minorEastAsia"/>
            <w:kern w:val="2"/>
            <w:lang w:val="en-US"/>
            <w14:ligatures w14:val="standardContextual"/>
          </w:rPr>
          <w:tab/>
        </w:r>
        <w:r w:rsidRPr="00DA6215">
          <w:rPr>
            <w:rStyle w:val="Hyperlink"/>
            <w:u w:val="none"/>
          </w:rPr>
          <w:t>ERCOT Contingency Reserve Service Payments and Charges</w:t>
        </w:r>
        <w:r w:rsidRPr="00DA6215">
          <w:rPr>
            <w:webHidden/>
          </w:rPr>
          <w:tab/>
        </w:r>
        <w:r w:rsidRPr="00DA6215">
          <w:rPr>
            <w:webHidden/>
          </w:rPr>
          <w:fldChar w:fldCharType="begin"/>
        </w:r>
        <w:r w:rsidRPr="00DA6215">
          <w:rPr>
            <w:webHidden/>
          </w:rPr>
          <w:instrText xml:space="preserve"> PAGEREF _Toc189044499 \h </w:instrText>
        </w:r>
        <w:r w:rsidRPr="00DA6215">
          <w:rPr>
            <w:webHidden/>
          </w:rPr>
        </w:r>
        <w:r w:rsidRPr="00DA6215">
          <w:rPr>
            <w:webHidden/>
          </w:rPr>
          <w:fldChar w:fldCharType="separate"/>
        </w:r>
        <w:r w:rsidR="00DD0A69">
          <w:rPr>
            <w:webHidden/>
          </w:rPr>
          <w:t>6-464</w:t>
        </w:r>
        <w:r w:rsidRPr="00DA6215">
          <w:rPr>
            <w:webHidden/>
          </w:rPr>
          <w:fldChar w:fldCharType="end"/>
        </w:r>
      </w:hyperlink>
    </w:p>
    <w:p w14:paraId="0F2454A3" w14:textId="44E3E1D2" w:rsidR="00DA6215" w:rsidRPr="00DA6215" w:rsidRDefault="00DA6215">
      <w:pPr>
        <w:pStyle w:val="TOC4"/>
        <w:rPr>
          <w:rFonts w:eastAsiaTheme="minorEastAsia"/>
          <w:kern w:val="2"/>
          <w:lang w:val="en-US"/>
          <w14:ligatures w14:val="standardContextual"/>
        </w:rPr>
      </w:pPr>
      <w:hyperlink w:anchor="_Toc189044500" w:history="1">
        <w:r w:rsidRPr="00DA6215">
          <w:rPr>
            <w:rStyle w:val="Hyperlink"/>
            <w:u w:val="none"/>
          </w:rPr>
          <w:t>6.7.5.7</w:t>
        </w:r>
        <w:r w:rsidRPr="00DA6215">
          <w:rPr>
            <w:rFonts w:eastAsiaTheme="minorEastAsia"/>
            <w:kern w:val="2"/>
            <w:lang w:val="en-US"/>
            <w14:ligatures w14:val="standardContextual"/>
          </w:rPr>
          <w:tab/>
        </w:r>
        <w:r w:rsidRPr="00DA6215">
          <w:rPr>
            <w:rStyle w:val="Hyperlink"/>
            <w:u w:val="none"/>
          </w:rPr>
          <w:t>Real-Time Derated Ancillary Service Capability Payment</w:t>
        </w:r>
        <w:r w:rsidRPr="00DA6215">
          <w:rPr>
            <w:webHidden/>
          </w:rPr>
          <w:tab/>
        </w:r>
        <w:r w:rsidRPr="00DA6215">
          <w:rPr>
            <w:webHidden/>
          </w:rPr>
          <w:fldChar w:fldCharType="begin"/>
        </w:r>
        <w:r w:rsidRPr="00DA6215">
          <w:rPr>
            <w:webHidden/>
          </w:rPr>
          <w:instrText xml:space="preserve"> PAGEREF _Toc189044500 \h </w:instrText>
        </w:r>
        <w:r w:rsidRPr="00DA6215">
          <w:rPr>
            <w:webHidden/>
          </w:rPr>
        </w:r>
        <w:r w:rsidRPr="00DA6215">
          <w:rPr>
            <w:webHidden/>
          </w:rPr>
          <w:fldChar w:fldCharType="separate"/>
        </w:r>
        <w:r w:rsidR="00DD0A69">
          <w:rPr>
            <w:webHidden/>
          </w:rPr>
          <w:t>6-467</w:t>
        </w:r>
        <w:r w:rsidRPr="00DA6215">
          <w:rPr>
            <w:webHidden/>
          </w:rPr>
          <w:fldChar w:fldCharType="end"/>
        </w:r>
      </w:hyperlink>
    </w:p>
    <w:p w14:paraId="7FCFA703" w14:textId="4C487F51" w:rsidR="00DA6215" w:rsidRPr="00DA6215" w:rsidRDefault="00DA6215">
      <w:pPr>
        <w:pStyle w:val="TOC4"/>
        <w:rPr>
          <w:rFonts w:eastAsiaTheme="minorEastAsia"/>
          <w:kern w:val="2"/>
          <w:lang w:val="en-US"/>
          <w14:ligatures w14:val="standardContextual"/>
        </w:rPr>
      </w:pPr>
      <w:hyperlink w:anchor="_Toc189044501" w:history="1">
        <w:r w:rsidRPr="00DA6215">
          <w:rPr>
            <w:rStyle w:val="Hyperlink"/>
            <w:u w:val="none"/>
          </w:rPr>
          <w:t>6.7.5.8</w:t>
        </w:r>
        <w:r w:rsidRPr="00DA6215">
          <w:rPr>
            <w:rFonts w:eastAsiaTheme="minorEastAsia"/>
            <w:kern w:val="2"/>
            <w:lang w:val="en-US"/>
            <w14:ligatures w14:val="standardContextual"/>
          </w:rPr>
          <w:tab/>
        </w:r>
        <w:r w:rsidRPr="00DA6215">
          <w:rPr>
            <w:rStyle w:val="Hyperlink"/>
            <w:u w:val="none"/>
          </w:rPr>
          <w:t>Real-Time Derated Ancillary Service Capability Charge</w:t>
        </w:r>
        <w:r w:rsidRPr="00DA6215">
          <w:rPr>
            <w:webHidden/>
          </w:rPr>
          <w:tab/>
        </w:r>
        <w:r w:rsidRPr="00DA6215">
          <w:rPr>
            <w:webHidden/>
          </w:rPr>
          <w:fldChar w:fldCharType="begin"/>
        </w:r>
        <w:r w:rsidRPr="00DA6215">
          <w:rPr>
            <w:webHidden/>
          </w:rPr>
          <w:instrText xml:space="preserve"> PAGEREF _Toc189044501 \h </w:instrText>
        </w:r>
        <w:r w:rsidRPr="00DA6215">
          <w:rPr>
            <w:webHidden/>
          </w:rPr>
        </w:r>
        <w:r w:rsidRPr="00DA6215">
          <w:rPr>
            <w:webHidden/>
          </w:rPr>
          <w:fldChar w:fldCharType="separate"/>
        </w:r>
        <w:r w:rsidR="00DD0A69">
          <w:rPr>
            <w:webHidden/>
          </w:rPr>
          <w:t>6-470</w:t>
        </w:r>
        <w:r w:rsidRPr="00DA6215">
          <w:rPr>
            <w:webHidden/>
          </w:rPr>
          <w:fldChar w:fldCharType="end"/>
        </w:r>
      </w:hyperlink>
    </w:p>
    <w:p w14:paraId="5C4707F6" w14:textId="010989F2" w:rsidR="00DA6215" w:rsidRPr="00DA6215" w:rsidRDefault="00DA6215">
      <w:pPr>
        <w:pStyle w:val="TOC3"/>
        <w:rPr>
          <w:rFonts w:eastAsiaTheme="minorEastAsia"/>
          <w:i w:val="0"/>
          <w:iCs w:val="0"/>
          <w:kern w:val="2"/>
          <w14:ligatures w14:val="standardContextual"/>
        </w:rPr>
      </w:pPr>
      <w:hyperlink w:anchor="_Toc189044502" w:history="1">
        <w:r w:rsidRPr="00DA6215">
          <w:rPr>
            <w:rStyle w:val="Hyperlink"/>
            <w:i w:val="0"/>
            <w:iCs w:val="0"/>
            <w:u w:val="none"/>
          </w:rPr>
          <w:t>6.7.6</w:t>
        </w:r>
        <w:r w:rsidRPr="00DA6215">
          <w:rPr>
            <w:rFonts w:eastAsiaTheme="minorEastAsia"/>
            <w:i w:val="0"/>
            <w:iCs w:val="0"/>
            <w:kern w:val="2"/>
            <w14:ligatures w14:val="standardContextual"/>
          </w:rPr>
          <w:tab/>
        </w:r>
        <w:r w:rsidRPr="00DA6215">
          <w:rPr>
            <w:rStyle w:val="Hyperlink"/>
            <w:i w:val="0"/>
            <w:iCs w:val="0"/>
            <w:u w:val="none"/>
          </w:rPr>
          <w:t>Real-Time Ancillary Service Imbalance Revenue Neutrality Allocation</w:t>
        </w:r>
        <w:r w:rsidRPr="00DA6215">
          <w:rPr>
            <w:i w:val="0"/>
            <w:iCs w:val="0"/>
            <w:webHidden/>
          </w:rPr>
          <w:tab/>
        </w:r>
        <w:r w:rsidRPr="00DA6215">
          <w:rPr>
            <w:i w:val="0"/>
            <w:iCs w:val="0"/>
            <w:webHidden/>
          </w:rPr>
          <w:fldChar w:fldCharType="begin"/>
        </w:r>
        <w:r w:rsidRPr="00DA6215">
          <w:rPr>
            <w:i w:val="0"/>
            <w:iCs w:val="0"/>
            <w:webHidden/>
          </w:rPr>
          <w:instrText xml:space="preserve"> PAGEREF _Toc189044502 \h </w:instrText>
        </w:r>
        <w:r w:rsidRPr="00DA6215">
          <w:rPr>
            <w:i w:val="0"/>
            <w:iCs w:val="0"/>
            <w:webHidden/>
          </w:rPr>
        </w:r>
        <w:r w:rsidRPr="00DA6215">
          <w:rPr>
            <w:i w:val="0"/>
            <w:iCs w:val="0"/>
            <w:webHidden/>
          </w:rPr>
          <w:fldChar w:fldCharType="separate"/>
        </w:r>
        <w:r w:rsidR="00DD0A69">
          <w:rPr>
            <w:i w:val="0"/>
            <w:iCs w:val="0"/>
            <w:webHidden/>
          </w:rPr>
          <w:t>6-471</w:t>
        </w:r>
        <w:r w:rsidRPr="00DA6215">
          <w:rPr>
            <w:i w:val="0"/>
            <w:iCs w:val="0"/>
            <w:webHidden/>
          </w:rPr>
          <w:fldChar w:fldCharType="end"/>
        </w:r>
      </w:hyperlink>
    </w:p>
    <w:p w14:paraId="2C095B89" w14:textId="34349021" w:rsidR="00DA6215" w:rsidRPr="00DA6215" w:rsidRDefault="00DA6215">
      <w:pPr>
        <w:pStyle w:val="TOC3"/>
        <w:rPr>
          <w:rFonts w:eastAsiaTheme="minorEastAsia"/>
          <w:i w:val="0"/>
          <w:iCs w:val="0"/>
          <w:kern w:val="2"/>
          <w14:ligatures w14:val="standardContextual"/>
        </w:rPr>
      </w:pPr>
      <w:hyperlink w:anchor="_Toc189044503" w:history="1">
        <w:r w:rsidRPr="00DA6215">
          <w:rPr>
            <w:rStyle w:val="Hyperlink"/>
            <w:i w:val="0"/>
            <w:iCs w:val="0"/>
            <w:u w:val="none"/>
          </w:rPr>
          <w:t>6.7.6</w:t>
        </w:r>
        <w:r w:rsidRPr="00DA6215">
          <w:rPr>
            <w:rFonts w:eastAsiaTheme="minorEastAsia"/>
            <w:i w:val="0"/>
            <w:iCs w:val="0"/>
            <w:kern w:val="2"/>
            <w14:ligatures w14:val="standardContextual"/>
          </w:rPr>
          <w:tab/>
        </w:r>
        <w:r w:rsidRPr="00DA6215">
          <w:rPr>
            <w:rStyle w:val="Hyperlink"/>
            <w:i w:val="0"/>
            <w:iCs w:val="0"/>
            <w:u w:val="none"/>
          </w:rPr>
          <w:t>Real-Time Ancillary Service Revenue Neutrality Allocation</w:t>
        </w:r>
        <w:r w:rsidRPr="00DA6215">
          <w:rPr>
            <w:i w:val="0"/>
            <w:iCs w:val="0"/>
            <w:webHidden/>
          </w:rPr>
          <w:tab/>
        </w:r>
        <w:r w:rsidRPr="00DA6215">
          <w:rPr>
            <w:i w:val="0"/>
            <w:iCs w:val="0"/>
            <w:webHidden/>
          </w:rPr>
          <w:fldChar w:fldCharType="begin"/>
        </w:r>
        <w:r w:rsidRPr="00DA6215">
          <w:rPr>
            <w:i w:val="0"/>
            <w:iCs w:val="0"/>
            <w:webHidden/>
          </w:rPr>
          <w:instrText xml:space="preserve"> PAGEREF _Toc189044503 \h </w:instrText>
        </w:r>
        <w:r w:rsidRPr="00DA6215">
          <w:rPr>
            <w:i w:val="0"/>
            <w:iCs w:val="0"/>
            <w:webHidden/>
          </w:rPr>
        </w:r>
        <w:r w:rsidRPr="00DA6215">
          <w:rPr>
            <w:i w:val="0"/>
            <w:iCs w:val="0"/>
            <w:webHidden/>
          </w:rPr>
          <w:fldChar w:fldCharType="separate"/>
        </w:r>
        <w:r w:rsidR="00DD0A69">
          <w:rPr>
            <w:i w:val="0"/>
            <w:iCs w:val="0"/>
            <w:webHidden/>
          </w:rPr>
          <w:t>6-473</w:t>
        </w:r>
        <w:r w:rsidRPr="00DA6215">
          <w:rPr>
            <w:i w:val="0"/>
            <w:iCs w:val="0"/>
            <w:webHidden/>
          </w:rPr>
          <w:fldChar w:fldCharType="end"/>
        </w:r>
      </w:hyperlink>
    </w:p>
    <w:p w14:paraId="7E095136" w14:textId="1DF74A4D" w:rsidR="00DA6215" w:rsidRPr="00DA6215" w:rsidRDefault="00DA6215">
      <w:pPr>
        <w:pStyle w:val="TOC3"/>
        <w:rPr>
          <w:rFonts w:eastAsiaTheme="minorEastAsia"/>
          <w:i w:val="0"/>
          <w:iCs w:val="0"/>
          <w:kern w:val="2"/>
          <w14:ligatures w14:val="standardContextual"/>
        </w:rPr>
      </w:pPr>
      <w:hyperlink w:anchor="_Toc189044504" w:history="1">
        <w:r w:rsidRPr="00DA6215">
          <w:rPr>
            <w:rStyle w:val="Hyperlink"/>
            <w:i w:val="0"/>
            <w:iCs w:val="0"/>
            <w:u w:val="none"/>
          </w:rPr>
          <w:t>6.7.7</w:t>
        </w:r>
        <w:r w:rsidRPr="00DA6215">
          <w:rPr>
            <w:rFonts w:eastAsiaTheme="minorEastAsia"/>
            <w:i w:val="0"/>
            <w:iCs w:val="0"/>
            <w:kern w:val="2"/>
            <w14:ligatures w14:val="standardContextual"/>
          </w:rPr>
          <w:tab/>
        </w:r>
        <w:r w:rsidRPr="00DA6215">
          <w:rPr>
            <w:rStyle w:val="Hyperlink"/>
            <w:i w:val="0"/>
            <w:iCs w:val="0"/>
            <w:u w:val="none"/>
          </w:rPr>
          <w:t>Adjustments to Net Cost Allocations for Real-Time Ancillary Services</w:t>
        </w:r>
        <w:r w:rsidRPr="00DA6215">
          <w:rPr>
            <w:i w:val="0"/>
            <w:iCs w:val="0"/>
            <w:webHidden/>
          </w:rPr>
          <w:tab/>
        </w:r>
        <w:r w:rsidRPr="00DA6215">
          <w:rPr>
            <w:i w:val="0"/>
            <w:iCs w:val="0"/>
            <w:webHidden/>
          </w:rPr>
          <w:fldChar w:fldCharType="begin"/>
        </w:r>
        <w:r w:rsidRPr="00DA6215">
          <w:rPr>
            <w:i w:val="0"/>
            <w:iCs w:val="0"/>
            <w:webHidden/>
          </w:rPr>
          <w:instrText xml:space="preserve"> PAGEREF _Toc189044504 \h </w:instrText>
        </w:r>
        <w:r w:rsidRPr="00DA6215">
          <w:rPr>
            <w:i w:val="0"/>
            <w:iCs w:val="0"/>
            <w:webHidden/>
          </w:rPr>
        </w:r>
        <w:r w:rsidRPr="00DA6215">
          <w:rPr>
            <w:i w:val="0"/>
            <w:iCs w:val="0"/>
            <w:webHidden/>
          </w:rPr>
          <w:fldChar w:fldCharType="separate"/>
        </w:r>
        <w:r w:rsidR="00DD0A69">
          <w:rPr>
            <w:i w:val="0"/>
            <w:iCs w:val="0"/>
            <w:webHidden/>
          </w:rPr>
          <w:t>6-477</w:t>
        </w:r>
        <w:r w:rsidRPr="00DA6215">
          <w:rPr>
            <w:i w:val="0"/>
            <w:iCs w:val="0"/>
            <w:webHidden/>
          </w:rPr>
          <w:fldChar w:fldCharType="end"/>
        </w:r>
      </w:hyperlink>
    </w:p>
    <w:p w14:paraId="467D7888" w14:textId="22C539CA" w:rsidR="00DA6215" w:rsidRPr="00DA6215" w:rsidRDefault="00DA6215">
      <w:pPr>
        <w:pStyle w:val="TOC2"/>
        <w:rPr>
          <w:rFonts w:eastAsiaTheme="minorEastAsia"/>
          <w:noProof/>
          <w:kern w:val="2"/>
          <w14:ligatures w14:val="standardContextual"/>
        </w:rPr>
      </w:pPr>
      <w:hyperlink w:anchor="_Toc189044505" w:history="1">
        <w:r w:rsidRPr="00DA6215">
          <w:rPr>
            <w:rStyle w:val="Hyperlink"/>
            <w:noProof/>
            <w:snapToGrid w:val="0"/>
            <w:u w:val="none"/>
          </w:rPr>
          <w:t>6.8</w:t>
        </w:r>
        <w:r w:rsidRPr="00DA6215">
          <w:rPr>
            <w:rFonts w:eastAsiaTheme="minorEastAsia"/>
            <w:noProof/>
            <w:kern w:val="2"/>
            <w14:ligatures w14:val="standardContextual"/>
          </w:rPr>
          <w:tab/>
        </w:r>
        <w:r w:rsidRPr="00DA6215">
          <w:rPr>
            <w:rStyle w:val="Hyperlink"/>
            <w:noProof/>
            <w:snapToGrid w:val="0"/>
            <w:u w:val="none"/>
          </w:rPr>
          <w:t>Settlement for Operating Losses During an LCAP Effective Period</w:t>
        </w:r>
        <w:r w:rsidRPr="00DA6215">
          <w:rPr>
            <w:noProof/>
            <w:webHidden/>
          </w:rPr>
          <w:tab/>
        </w:r>
        <w:r w:rsidRPr="00DA6215">
          <w:rPr>
            <w:noProof/>
            <w:webHidden/>
          </w:rPr>
          <w:fldChar w:fldCharType="begin"/>
        </w:r>
        <w:r w:rsidRPr="00DA6215">
          <w:rPr>
            <w:noProof/>
            <w:webHidden/>
          </w:rPr>
          <w:instrText xml:space="preserve"> PAGEREF _Toc189044505 \h </w:instrText>
        </w:r>
        <w:r w:rsidRPr="00DA6215">
          <w:rPr>
            <w:noProof/>
            <w:webHidden/>
          </w:rPr>
        </w:r>
        <w:r w:rsidRPr="00DA6215">
          <w:rPr>
            <w:noProof/>
            <w:webHidden/>
          </w:rPr>
          <w:fldChar w:fldCharType="separate"/>
        </w:r>
        <w:r w:rsidR="00DD0A69">
          <w:rPr>
            <w:noProof/>
            <w:webHidden/>
          </w:rPr>
          <w:t>6-484</w:t>
        </w:r>
        <w:r w:rsidRPr="00DA6215">
          <w:rPr>
            <w:noProof/>
            <w:webHidden/>
          </w:rPr>
          <w:fldChar w:fldCharType="end"/>
        </w:r>
      </w:hyperlink>
    </w:p>
    <w:p w14:paraId="5685D33F" w14:textId="7BE16B61" w:rsidR="00DA6215" w:rsidRPr="00DA6215" w:rsidRDefault="00DA6215">
      <w:pPr>
        <w:pStyle w:val="TOC2"/>
        <w:rPr>
          <w:rFonts w:eastAsiaTheme="minorEastAsia"/>
          <w:noProof/>
          <w:kern w:val="2"/>
          <w14:ligatures w14:val="standardContextual"/>
        </w:rPr>
      </w:pPr>
      <w:hyperlink w:anchor="_Toc189044506" w:history="1">
        <w:r w:rsidRPr="00DA6215">
          <w:rPr>
            <w:rStyle w:val="Hyperlink"/>
            <w:noProof/>
            <w:snapToGrid w:val="0"/>
            <w:u w:val="none"/>
          </w:rPr>
          <w:t>6.8       Settlement for Operating Losses During an LCAP or ECAP Effective Period</w:t>
        </w:r>
        <w:r w:rsidRPr="00DA6215">
          <w:rPr>
            <w:noProof/>
            <w:webHidden/>
          </w:rPr>
          <w:tab/>
        </w:r>
        <w:r w:rsidRPr="00DA6215">
          <w:rPr>
            <w:noProof/>
            <w:webHidden/>
          </w:rPr>
          <w:fldChar w:fldCharType="begin"/>
        </w:r>
        <w:r w:rsidRPr="00DA6215">
          <w:rPr>
            <w:noProof/>
            <w:webHidden/>
          </w:rPr>
          <w:instrText xml:space="preserve"> PAGEREF _Toc189044506 \h </w:instrText>
        </w:r>
        <w:r w:rsidRPr="00DA6215">
          <w:rPr>
            <w:noProof/>
            <w:webHidden/>
          </w:rPr>
        </w:r>
        <w:r w:rsidRPr="00DA6215">
          <w:rPr>
            <w:noProof/>
            <w:webHidden/>
          </w:rPr>
          <w:fldChar w:fldCharType="separate"/>
        </w:r>
        <w:r w:rsidR="00DD0A69">
          <w:rPr>
            <w:noProof/>
            <w:webHidden/>
          </w:rPr>
          <w:t>6-484</w:t>
        </w:r>
        <w:r w:rsidRPr="00DA6215">
          <w:rPr>
            <w:noProof/>
            <w:webHidden/>
          </w:rPr>
          <w:fldChar w:fldCharType="end"/>
        </w:r>
      </w:hyperlink>
    </w:p>
    <w:p w14:paraId="6705E98E" w14:textId="4FDBDA93" w:rsidR="00DA6215" w:rsidRPr="00DA6215" w:rsidRDefault="00DA6215">
      <w:pPr>
        <w:pStyle w:val="TOC3"/>
        <w:rPr>
          <w:rFonts w:eastAsiaTheme="minorEastAsia"/>
          <w:i w:val="0"/>
          <w:iCs w:val="0"/>
          <w:kern w:val="2"/>
          <w14:ligatures w14:val="standardContextual"/>
        </w:rPr>
      </w:pPr>
      <w:hyperlink w:anchor="_Toc189044507" w:history="1">
        <w:r w:rsidRPr="00DA6215">
          <w:rPr>
            <w:rStyle w:val="Hyperlink"/>
            <w:i w:val="0"/>
            <w:iCs w:val="0"/>
            <w:snapToGrid w:val="0"/>
            <w:u w:val="none"/>
          </w:rPr>
          <w:t>6.8.1</w:t>
        </w:r>
        <w:r w:rsidRPr="00DA6215">
          <w:rPr>
            <w:rFonts w:eastAsiaTheme="minorEastAsia"/>
            <w:i w:val="0"/>
            <w:iCs w:val="0"/>
            <w:kern w:val="2"/>
            <w14:ligatures w14:val="standardContextual"/>
          </w:rPr>
          <w:tab/>
        </w:r>
        <w:r w:rsidRPr="00DA6215">
          <w:rPr>
            <w:rStyle w:val="Hyperlink"/>
            <w:i w:val="0"/>
            <w:iCs w:val="0"/>
            <w:snapToGrid w:val="0"/>
            <w:u w:val="none"/>
          </w:rPr>
          <w:t>Determination of Operating Losses During an LCAP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_Toc189044507 \h </w:instrText>
        </w:r>
        <w:r w:rsidRPr="00DA6215">
          <w:rPr>
            <w:i w:val="0"/>
            <w:iCs w:val="0"/>
            <w:webHidden/>
          </w:rPr>
        </w:r>
        <w:r w:rsidRPr="00DA6215">
          <w:rPr>
            <w:i w:val="0"/>
            <w:iCs w:val="0"/>
            <w:webHidden/>
          </w:rPr>
          <w:fldChar w:fldCharType="separate"/>
        </w:r>
        <w:r w:rsidR="00DD0A69">
          <w:rPr>
            <w:i w:val="0"/>
            <w:iCs w:val="0"/>
            <w:webHidden/>
          </w:rPr>
          <w:t>6-485</w:t>
        </w:r>
        <w:r w:rsidRPr="00DA6215">
          <w:rPr>
            <w:i w:val="0"/>
            <w:iCs w:val="0"/>
            <w:webHidden/>
          </w:rPr>
          <w:fldChar w:fldCharType="end"/>
        </w:r>
      </w:hyperlink>
    </w:p>
    <w:p w14:paraId="68DDEC56" w14:textId="5A368909" w:rsidR="00DA6215" w:rsidRPr="00DA6215" w:rsidRDefault="00DA6215">
      <w:pPr>
        <w:pStyle w:val="TOC3"/>
        <w:rPr>
          <w:rFonts w:eastAsiaTheme="minorEastAsia"/>
          <w:i w:val="0"/>
          <w:iCs w:val="0"/>
          <w:kern w:val="2"/>
          <w14:ligatures w14:val="standardContextual"/>
        </w:rPr>
      </w:pPr>
      <w:hyperlink w:anchor="_Toc189044508" w:history="1">
        <w:r w:rsidRPr="00DA6215">
          <w:rPr>
            <w:rStyle w:val="Hyperlink"/>
            <w:i w:val="0"/>
            <w:iCs w:val="0"/>
            <w:snapToGrid w:val="0"/>
            <w:u w:val="none"/>
          </w:rPr>
          <w:t>6.8.1    Determination of Operating Losses During an LCAP or ECAP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_Toc189044508 \h </w:instrText>
        </w:r>
        <w:r w:rsidRPr="00DA6215">
          <w:rPr>
            <w:i w:val="0"/>
            <w:iCs w:val="0"/>
            <w:webHidden/>
          </w:rPr>
        </w:r>
        <w:r w:rsidRPr="00DA6215">
          <w:rPr>
            <w:i w:val="0"/>
            <w:iCs w:val="0"/>
            <w:webHidden/>
          </w:rPr>
          <w:fldChar w:fldCharType="separate"/>
        </w:r>
        <w:r w:rsidR="00DD0A69">
          <w:rPr>
            <w:i w:val="0"/>
            <w:iCs w:val="0"/>
            <w:webHidden/>
          </w:rPr>
          <w:t>6-485</w:t>
        </w:r>
        <w:r w:rsidRPr="00DA6215">
          <w:rPr>
            <w:i w:val="0"/>
            <w:iCs w:val="0"/>
            <w:webHidden/>
          </w:rPr>
          <w:fldChar w:fldCharType="end"/>
        </w:r>
      </w:hyperlink>
    </w:p>
    <w:p w14:paraId="24C093D5" w14:textId="03D3696C" w:rsidR="00DA6215" w:rsidRPr="00DA6215" w:rsidRDefault="00DA6215">
      <w:pPr>
        <w:pStyle w:val="TOC4"/>
        <w:rPr>
          <w:rFonts w:eastAsiaTheme="minorEastAsia"/>
          <w:kern w:val="2"/>
          <w:lang w:val="en-US"/>
          <w14:ligatures w14:val="standardContextual"/>
        </w:rPr>
      </w:pPr>
      <w:hyperlink w:anchor="_Toc189044509" w:history="1">
        <w:r w:rsidRPr="00DA6215">
          <w:rPr>
            <w:rStyle w:val="Hyperlink"/>
            <w:snapToGrid w:val="0"/>
            <w:u w:val="none"/>
          </w:rPr>
          <w:t>6.8.2   Recovery of Operating Losses During an LCAP or ECAP Effective Period</w:t>
        </w:r>
        <w:r w:rsidRPr="00DA6215">
          <w:rPr>
            <w:webHidden/>
          </w:rPr>
          <w:tab/>
        </w:r>
        <w:r w:rsidRPr="00DA6215">
          <w:rPr>
            <w:webHidden/>
          </w:rPr>
          <w:fldChar w:fldCharType="begin"/>
        </w:r>
        <w:r w:rsidRPr="00DA6215">
          <w:rPr>
            <w:webHidden/>
          </w:rPr>
          <w:instrText xml:space="preserve"> PAGEREF _Toc189044509 \h </w:instrText>
        </w:r>
        <w:r w:rsidRPr="00DA6215">
          <w:rPr>
            <w:webHidden/>
          </w:rPr>
        </w:r>
        <w:r w:rsidRPr="00DA6215">
          <w:rPr>
            <w:webHidden/>
          </w:rPr>
          <w:fldChar w:fldCharType="separate"/>
        </w:r>
        <w:r w:rsidR="00DD0A69">
          <w:rPr>
            <w:webHidden/>
          </w:rPr>
          <w:t>6-491</w:t>
        </w:r>
        <w:r w:rsidRPr="00DA6215">
          <w:rPr>
            <w:webHidden/>
          </w:rPr>
          <w:fldChar w:fldCharType="end"/>
        </w:r>
      </w:hyperlink>
    </w:p>
    <w:p w14:paraId="0AF41E23" w14:textId="57BB0537" w:rsidR="00DA6215" w:rsidRPr="00DA6215" w:rsidRDefault="00DA6215">
      <w:pPr>
        <w:pStyle w:val="TOC3"/>
        <w:rPr>
          <w:rFonts w:eastAsiaTheme="minorEastAsia"/>
          <w:i w:val="0"/>
          <w:iCs w:val="0"/>
          <w:kern w:val="2"/>
          <w14:ligatures w14:val="standardContextual"/>
        </w:rPr>
      </w:pPr>
      <w:hyperlink w:anchor="_Toc189044510" w:history="1">
        <w:r w:rsidRPr="00DA6215">
          <w:rPr>
            <w:rStyle w:val="Hyperlink"/>
            <w:i w:val="0"/>
            <w:iCs w:val="0"/>
            <w:u w:val="none"/>
          </w:rPr>
          <w:t>6.8.3</w:t>
        </w:r>
        <w:r w:rsidRPr="00DA6215">
          <w:rPr>
            <w:rFonts w:eastAsiaTheme="minorEastAsia"/>
            <w:i w:val="0"/>
            <w:iCs w:val="0"/>
            <w:kern w:val="2"/>
            <w14:ligatures w14:val="standardContextual"/>
          </w:rPr>
          <w:tab/>
        </w:r>
        <w:r w:rsidRPr="00DA6215">
          <w:rPr>
            <w:rStyle w:val="Hyperlink"/>
            <w:i w:val="0"/>
            <w:iCs w:val="0"/>
            <w:u w:val="none"/>
          </w:rPr>
          <w:t>Charges for Operating Losses During an LCAP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_Toc189044510 \h </w:instrText>
        </w:r>
        <w:r w:rsidRPr="00DA6215">
          <w:rPr>
            <w:i w:val="0"/>
            <w:iCs w:val="0"/>
            <w:webHidden/>
          </w:rPr>
        </w:r>
        <w:r w:rsidRPr="00DA6215">
          <w:rPr>
            <w:i w:val="0"/>
            <w:iCs w:val="0"/>
            <w:webHidden/>
          </w:rPr>
          <w:fldChar w:fldCharType="separate"/>
        </w:r>
        <w:r w:rsidR="00DD0A69">
          <w:rPr>
            <w:i w:val="0"/>
            <w:iCs w:val="0"/>
            <w:webHidden/>
          </w:rPr>
          <w:t>6-495</w:t>
        </w:r>
        <w:r w:rsidRPr="00DA6215">
          <w:rPr>
            <w:i w:val="0"/>
            <w:iCs w:val="0"/>
            <w:webHidden/>
          </w:rPr>
          <w:fldChar w:fldCharType="end"/>
        </w:r>
      </w:hyperlink>
    </w:p>
    <w:p w14:paraId="5234CA54" w14:textId="5E2C1883" w:rsidR="00DA6215" w:rsidRPr="00DA6215" w:rsidRDefault="00DA6215">
      <w:pPr>
        <w:pStyle w:val="TOC4"/>
        <w:rPr>
          <w:rFonts w:eastAsiaTheme="minorEastAsia"/>
          <w:kern w:val="2"/>
          <w:lang w:val="en-US"/>
          <w14:ligatures w14:val="standardContextual"/>
        </w:rPr>
      </w:pPr>
      <w:hyperlink w:anchor="_Toc189044511" w:history="1">
        <w:r w:rsidRPr="00DA6215">
          <w:rPr>
            <w:rStyle w:val="Hyperlink"/>
            <w:u w:val="none"/>
          </w:rPr>
          <w:t>6.8.3.1</w:t>
        </w:r>
        <w:r w:rsidRPr="00DA6215">
          <w:rPr>
            <w:rFonts w:eastAsiaTheme="minorEastAsia"/>
            <w:kern w:val="2"/>
            <w:lang w:val="en-US"/>
            <w14:ligatures w14:val="standardContextual"/>
          </w:rPr>
          <w:tab/>
        </w:r>
        <w:r w:rsidRPr="00DA6215">
          <w:rPr>
            <w:rStyle w:val="Hyperlink"/>
            <w:u w:val="none"/>
          </w:rPr>
          <w:t>Charges for Capacity Shortfalls During an LCAP Effective Period</w:t>
        </w:r>
        <w:r w:rsidRPr="00DA6215">
          <w:rPr>
            <w:webHidden/>
          </w:rPr>
          <w:tab/>
        </w:r>
        <w:r w:rsidRPr="00DA6215">
          <w:rPr>
            <w:webHidden/>
          </w:rPr>
          <w:fldChar w:fldCharType="begin"/>
        </w:r>
        <w:r w:rsidRPr="00DA6215">
          <w:rPr>
            <w:webHidden/>
          </w:rPr>
          <w:instrText xml:space="preserve"> PAGEREF _Toc189044511 \h </w:instrText>
        </w:r>
        <w:r w:rsidRPr="00DA6215">
          <w:rPr>
            <w:webHidden/>
          </w:rPr>
        </w:r>
        <w:r w:rsidRPr="00DA6215">
          <w:rPr>
            <w:webHidden/>
          </w:rPr>
          <w:fldChar w:fldCharType="separate"/>
        </w:r>
        <w:r w:rsidR="00DD0A69">
          <w:rPr>
            <w:webHidden/>
          </w:rPr>
          <w:t>6-495</w:t>
        </w:r>
        <w:r w:rsidRPr="00DA6215">
          <w:rPr>
            <w:webHidden/>
          </w:rPr>
          <w:fldChar w:fldCharType="end"/>
        </w:r>
      </w:hyperlink>
    </w:p>
    <w:p w14:paraId="4E42D966" w14:textId="0219C854" w:rsidR="00DA6215" w:rsidRPr="00DA6215" w:rsidRDefault="00DA6215">
      <w:pPr>
        <w:pStyle w:val="TOC5"/>
        <w:rPr>
          <w:rFonts w:eastAsiaTheme="minorEastAsia"/>
          <w:i w:val="0"/>
          <w:kern w:val="2"/>
          <w:sz w:val="20"/>
          <w:szCs w:val="20"/>
          <w14:ligatures w14:val="standardContextual"/>
        </w:rPr>
      </w:pPr>
      <w:hyperlink w:anchor="_Toc189044512" w:history="1">
        <w:r w:rsidRPr="00DA6215">
          <w:rPr>
            <w:rStyle w:val="Hyperlink"/>
            <w:i w:val="0"/>
            <w:sz w:val="20"/>
            <w:szCs w:val="20"/>
            <w:u w:val="none"/>
          </w:rPr>
          <w:t>6.8.3.1.1</w:t>
        </w:r>
        <w:r w:rsidRPr="00DA6215">
          <w:rPr>
            <w:rFonts w:eastAsiaTheme="minorEastAsia"/>
            <w:i w:val="0"/>
            <w:kern w:val="2"/>
            <w:sz w:val="20"/>
            <w:szCs w:val="20"/>
            <w14:ligatures w14:val="standardContextual"/>
          </w:rPr>
          <w:tab/>
        </w:r>
        <w:r w:rsidRPr="00DA6215">
          <w:rPr>
            <w:rStyle w:val="Hyperlink"/>
            <w:i w:val="0"/>
            <w:sz w:val="20"/>
            <w:szCs w:val="20"/>
            <w:u w:val="none"/>
          </w:rPr>
          <w:t>Capacity Shortfall Ratio Share for an LCAP Effective Period</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_Toc189044512 \h </w:instrText>
        </w:r>
        <w:r w:rsidRPr="00DA6215">
          <w:rPr>
            <w:i w:val="0"/>
            <w:webHidden/>
            <w:sz w:val="20"/>
            <w:szCs w:val="20"/>
          </w:rPr>
        </w:r>
        <w:r w:rsidRPr="00DA6215">
          <w:rPr>
            <w:i w:val="0"/>
            <w:webHidden/>
            <w:sz w:val="20"/>
            <w:szCs w:val="20"/>
          </w:rPr>
          <w:fldChar w:fldCharType="separate"/>
        </w:r>
        <w:r w:rsidR="00DD0A69">
          <w:rPr>
            <w:i w:val="0"/>
            <w:webHidden/>
            <w:sz w:val="20"/>
            <w:szCs w:val="20"/>
          </w:rPr>
          <w:t>6-496</w:t>
        </w:r>
        <w:r w:rsidRPr="00DA6215">
          <w:rPr>
            <w:i w:val="0"/>
            <w:webHidden/>
            <w:sz w:val="20"/>
            <w:szCs w:val="20"/>
          </w:rPr>
          <w:fldChar w:fldCharType="end"/>
        </w:r>
      </w:hyperlink>
    </w:p>
    <w:p w14:paraId="759AF292" w14:textId="30C63AE4" w:rsidR="00DA6215" w:rsidRPr="00DA6215" w:rsidRDefault="00DA6215">
      <w:pPr>
        <w:pStyle w:val="TOC4"/>
        <w:rPr>
          <w:rFonts w:eastAsiaTheme="minorEastAsia"/>
          <w:kern w:val="2"/>
          <w:lang w:val="en-US"/>
          <w14:ligatures w14:val="standardContextual"/>
        </w:rPr>
      </w:pPr>
      <w:hyperlink w:anchor="_Toc189044513" w:history="1">
        <w:r w:rsidRPr="00DA6215">
          <w:rPr>
            <w:rStyle w:val="Hyperlink"/>
            <w:u w:val="none"/>
          </w:rPr>
          <w:t>6.8.3.2</w:t>
        </w:r>
        <w:r w:rsidRPr="00DA6215">
          <w:rPr>
            <w:rFonts w:eastAsiaTheme="minorEastAsia"/>
            <w:kern w:val="2"/>
            <w:lang w:val="en-US"/>
            <w14:ligatures w14:val="standardContextual"/>
          </w:rPr>
          <w:tab/>
        </w:r>
        <w:r w:rsidRPr="00DA6215">
          <w:rPr>
            <w:rStyle w:val="Hyperlink"/>
            <w:u w:val="none"/>
          </w:rPr>
          <w:t>Uplift Charges for an LCAP Effective Period</w:t>
        </w:r>
        <w:r w:rsidRPr="00DA6215">
          <w:rPr>
            <w:webHidden/>
          </w:rPr>
          <w:tab/>
        </w:r>
        <w:r w:rsidRPr="00DA6215">
          <w:rPr>
            <w:webHidden/>
          </w:rPr>
          <w:fldChar w:fldCharType="begin"/>
        </w:r>
        <w:r w:rsidRPr="00DA6215">
          <w:rPr>
            <w:webHidden/>
          </w:rPr>
          <w:instrText xml:space="preserve"> PAGEREF _Toc189044513 \h </w:instrText>
        </w:r>
        <w:r w:rsidRPr="00DA6215">
          <w:rPr>
            <w:webHidden/>
          </w:rPr>
        </w:r>
        <w:r w:rsidRPr="00DA6215">
          <w:rPr>
            <w:webHidden/>
          </w:rPr>
          <w:fldChar w:fldCharType="separate"/>
        </w:r>
        <w:r w:rsidR="00DD0A69">
          <w:rPr>
            <w:webHidden/>
          </w:rPr>
          <w:t>6-498</w:t>
        </w:r>
        <w:r w:rsidRPr="00DA6215">
          <w:rPr>
            <w:webHidden/>
          </w:rPr>
          <w:fldChar w:fldCharType="end"/>
        </w:r>
      </w:hyperlink>
    </w:p>
    <w:p w14:paraId="5458C70B" w14:textId="2D6BE2EF" w:rsidR="00DA6215" w:rsidRPr="00DA6215" w:rsidRDefault="00DA6215">
      <w:pPr>
        <w:pStyle w:val="TOC4"/>
        <w:rPr>
          <w:rFonts w:eastAsiaTheme="minorEastAsia"/>
          <w:kern w:val="2"/>
          <w:lang w:val="en-US"/>
          <w14:ligatures w14:val="standardContextual"/>
        </w:rPr>
      </w:pPr>
      <w:hyperlink w:anchor="_Toc189044514" w:history="1">
        <w:r w:rsidRPr="00DA6215">
          <w:rPr>
            <w:rStyle w:val="Hyperlink"/>
            <w:snapToGrid w:val="0"/>
            <w:u w:val="none"/>
          </w:rPr>
          <w:t>6.8.3</w:t>
        </w:r>
        <w:r w:rsidRPr="00DA6215">
          <w:rPr>
            <w:rFonts w:eastAsiaTheme="minorEastAsia"/>
            <w:kern w:val="2"/>
            <w:lang w:val="en-US"/>
            <w14:ligatures w14:val="standardContextual"/>
          </w:rPr>
          <w:tab/>
        </w:r>
        <w:r w:rsidRPr="00DA6215">
          <w:rPr>
            <w:rStyle w:val="Hyperlink"/>
            <w:snapToGrid w:val="0"/>
            <w:u w:val="none"/>
          </w:rPr>
          <w:t>Charges for Operating Losses During an LCAP or ECAP Effective Period</w:t>
        </w:r>
        <w:r w:rsidRPr="00DA6215">
          <w:rPr>
            <w:webHidden/>
          </w:rPr>
          <w:tab/>
        </w:r>
        <w:r w:rsidRPr="00DA6215">
          <w:rPr>
            <w:webHidden/>
          </w:rPr>
          <w:fldChar w:fldCharType="begin"/>
        </w:r>
        <w:r w:rsidRPr="00DA6215">
          <w:rPr>
            <w:webHidden/>
          </w:rPr>
          <w:instrText xml:space="preserve"> PAGEREF _Toc189044514 \h </w:instrText>
        </w:r>
        <w:r w:rsidRPr="00DA6215">
          <w:rPr>
            <w:webHidden/>
          </w:rPr>
        </w:r>
        <w:r w:rsidRPr="00DA6215">
          <w:rPr>
            <w:webHidden/>
          </w:rPr>
          <w:fldChar w:fldCharType="separate"/>
        </w:r>
        <w:r w:rsidR="00DD0A69">
          <w:rPr>
            <w:webHidden/>
          </w:rPr>
          <w:t>6-499</w:t>
        </w:r>
        <w:r w:rsidRPr="00DA6215">
          <w:rPr>
            <w:webHidden/>
          </w:rPr>
          <w:fldChar w:fldCharType="end"/>
        </w:r>
      </w:hyperlink>
    </w:p>
    <w:p w14:paraId="6CD8E283" w14:textId="22906A21" w:rsidR="00DA6215" w:rsidRPr="00DA6215" w:rsidRDefault="00DA6215">
      <w:pPr>
        <w:pStyle w:val="TOC3"/>
        <w:rPr>
          <w:rFonts w:eastAsiaTheme="minorEastAsia"/>
          <w:i w:val="0"/>
          <w:iCs w:val="0"/>
          <w:kern w:val="2"/>
          <w14:ligatures w14:val="standardContextual"/>
        </w:rPr>
      </w:pPr>
      <w:hyperlink w:anchor="_Toc189044515" w:history="1">
        <w:r w:rsidRPr="00DA6215">
          <w:rPr>
            <w:rStyle w:val="Hyperlink"/>
            <w:i w:val="0"/>
            <w:iCs w:val="0"/>
            <w:u w:val="none"/>
          </w:rPr>
          <w:t>6.8.4    Miscellaneous Invoice for Payments and Charges for an LCAP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_Toc189044515 \h </w:instrText>
        </w:r>
        <w:r w:rsidRPr="00DA6215">
          <w:rPr>
            <w:i w:val="0"/>
            <w:iCs w:val="0"/>
            <w:webHidden/>
          </w:rPr>
        </w:r>
        <w:r w:rsidRPr="00DA6215">
          <w:rPr>
            <w:i w:val="0"/>
            <w:iCs w:val="0"/>
            <w:webHidden/>
          </w:rPr>
          <w:fldChar w:fldCharType="separate"/>
        </w:r>
        <w:r w:rsidR="00DD0A69">
          <w:rPr>
            <w:i w:val="0"/>
            <w:iCs w:val="0"/>
            <w:webHidden/>
          </w:rPr>
          <w:t>6-500</w:t>
        </w:r>
        <w:r w:rsidRPr="00DA6215">
          <w:rPr>
            <w:i w:val="0"/>
            <w:iCs w:val="0"/>
            <w:webHidden/>
          </w:rPr>
          <w:fldChar w:fldCharType="end"/>
        </w:r>
      </w:hyperlink>
    </w:p>
    <w:p w14:paraId="57769C8C" w14:textId="0F2645F6" w:rsidR="00DA6215" w:rsidRPr="00DA6215" w:rsidRDefault="00DA6215">
      <w:pPr>
        <w:pStyle w:val="TOC3"/>
        <w:rPr>
          <w:rFonts w:eastAsiaTheme="minorEastAsia"/>
          <w:i w:val="0"/>
          <w:iCs w:val="0"/>
          <w:kern w:val="2"/>
          <w14:ligatures w14:val="standardContextual"/>
        </w:rPr>
      </w:pPr>
      <w:hyperlink w:anchor="_Toc189044516" w:history="1">
        <w:r w:rsidRPr="00DA6215">
          <w:rPr>
            <w:rStyle w:val="Hyperlink"/>
            <w:i w:val="0"/>
            <w:iCs w:val="0"/>
            <w:u w:val="none"/>
          </w:rPr>
          <w:t>6.8.4    Miscellaneous Invoice for Payments and Charges for an LCAP or ECAP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_Toc189044516 \h </w:instrText>
        </w:r>
        <w:r w:rsidRPr="00DA6215">
          <w:rPr>
            <w:i w:val="0"/>
            <w:iCs w:val="0"/>
            <w:webHidden/>
          </w:rPr>
        </w:r>
        <w:r w:rsidRPr="00DA6215">
          <w:rPr>
            <w:i w:val="0"/>
            <w:iCs w:val="0"/>
            <w:webHidden/>
          </w:rPr>
          <w:fldChar w:fldCharType="separate"/>
        </w:r>
        <w:r w:rsidR="00DD0A69">
          <w:rPr>
            <w:i w:val="0"/>
            <w:iCs w:val="0"/>
            <w:webHidden/>
          </w:rPr>
          <w:t>6-500</w:t>
        </w:r>
        <w:r w:rsidRPr="00DA6215">
          <w:rPr>
            <w:i w:val="0"/>
            <w:iCs w:val="0"/>
            <w:webHidden/>
          </w:rPr>
          <w:fldChar w:fldCharType="end"/>
        </w:r>
      </w:hyperlink>
    </w:p>
    <w:p w14:paraId="457F05BD" w14:textId="7C60827E" w:rsidR="00A13FF9" w:rsidRPr="001E4447" w:rsidRDefault="00A1378D" w:rsidP="00A13FF9">
      <w:pPr>
        <w:rPr>
          <w:sz w:val="20"/>
        </w:rPr>
        <w:sectPr w:rsidR="00A13FF9" w:rsidRPr="001E4447" w:rsidSect="0011669A">
          <w:headerReference w:type="default" r:id="rId11"/>
          <w:footerReference w:type="default" r:id="rId12"/>
          <w:pgSz w:w="12240" w:h="15840" w:code="1"/>
          <w:pgMar w:top="1440" w:right="1440" w:bottom="1440" w:left="1440" w:header="720" w:footer="720" w:gutter="0"/>
          <w:pgNumType w:chapStyle="1"/>
          <w:cols w:space="720"/>
        </w:sectPr>
      </w:pPr>
      <w:r w:rsidRPr="001E4447">
        <w:rPr>
          <w:bCs/>
          <w:sz w:val="20"/>
        </w:rPr>
        <w:fldChar w:fldCharType="end"/>
      </w:r>
    </w:p>
    <w:p w14:paraId="350BED17" w14:textId="77777777" w:rsidR="00A13FF9" w:rsidRDefault="00A13FF9" w:rsidP="00A13FF9">
      <w:pPr>
        <w:pStyle w:val="Heading1"/>
      </w:pPr>
      <w:bookmarkStart w:id="0" w:name="_Toc397504904"/>
      <w:bookmarkStart w:id="1" w:name="_Toc402357032"/>
      <w:bookmarkStart w:id="2" w:name="_Toc422486412"/>
      <w:bookmarkStart w:id="3" w:name="_Toc433093264"/>
      <w:bookmarkStart w:id="4" w:name="_Toc433093422"/>
      <w:bookmarkStart w:id="5" w:name="_Toc440874653"/>
      <w:bookmarkStart w:id="6" w:name="_Toc468286734"/>
      <w:bookmarkStart w:id="7" w:name="_Toc481502780"/>
      <w:bookmarkStart w:id="8" w:name="_Toc496079950"/>
      <w:bookmarkStart w:id="9" w:name="_Toc189044279"/>
      <w:r>
        <w:lastRenderedPageBreak/>
        <w:t>Adjustment Period and Real-Time Operations</w:t>
      </w:r>
      <w:bookmarkEnd w:id="0"/>
      <w:bookmarkEnd w:id="1"/>
      <w:bookmarkEnd w:id="2"/>
      <w:bookmarkEnd w:id="3"/>
      <w:bookmarkEnd w:id="4"/>
      <w:bookmarkEnd w:id="5"/>
      <w:bookmarkEnd w:id="6"/>
      <w:bookmarkEnd w:id="7"/>
      <w:bookmarkEnd w:id="8"/>
      <w:bookmarkEnd w:id="9"/>
    </w:p>
    <w:p w14:paraId="2593657F" w14:textId="77777777" w:rsidR="001F04FD" w:rsidRDefault="001F04FD" w:rsidP="001F04FD">
      <w:pPr>
        <w:pStyle w:val="H2"/>
      </w:pPr>
      <w:bookmarkStart w:id="10" w:name="_Toc73215970"/>
      <w:bookmarkStart w:id="11" w:name="_Toc397504905"/>
      <w:bookmarkStart w:id="12" w:name="_Toc402357033"/>
      <w:bookmarkStart w:id="13" w:name="_Toc422486413"/>
      <w:bookmarkStart w:id="14" w:name="_Toc433093265"/>
      <w:bookmarkStart w:id="15" w:name="_Toc433093423"/>
      <w:bookmarkStart w:id="16" w:name="_Toc440874654"/>
      <w:bookmarkStart w:id="17" w:name="_Toc448142209"/>
      <w:bookmarkStart w:id="18" w:name="_Toc448142366"/>
      <w:bookmarkStart w:id="19" w:name="_Toc458770202"/>
      <w:bookmarkStart w:id="20" w:name="_Toc459294170"/>
      <w:bookmarkStart w:id="21" w:name="_Toc463262663"/>
      <w:bookmarkStart w:id="22" w:name="_Toc468286735"/>
      <w:bookmarkStart w:id="23" w:name="_Toc481502781"/>
      <w:bookmarkStart w:id="24" w:name="_Toc496079951"/>
      <w:bookmarkStart w:id="25" w:name="_Toc189044280"/>
      <w:r>
        <w:t>6.1</w:t>
      </w:r>
      <w:r>
        <w:tab/>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A98052" w14:textId="77777777" w:rsidR="001F04FD" w:rsidRDefault="001F04FD" w:rsidP="001F04FD">
      <w:pPr>
        <w:pStyle w:val="BodyTextNumbered"/>
      </w:pPr>
      <w:r>
        <w:t>(1)</w:t>
      </w:r>
      <w:r>
        <w:tab/>
        <w:t>This Section addresses the following components: the Adjustment Period and Real-Time Operations, including Emergency Operations.</w:t>
      </w:r>
    </w:p>
    <w:p w14:paraId="5BAC92B1" w14:textId="77777777" w:rsidR="001F04FD" w:rsidRDefault="001F04FD" w:rsidP="001F04FD">
      <w:pPr>
        <w:pStyle w:val="BodyTextNumbered"/>
      </w:pPr>
      <w:r>
        <w:t>(2)</w:t>
      </w:r>
      <w: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Under certain conditions during the Adjustment Period, ERCOT may also open one or more Supplemental Ancillary Service Markets (SASMs), as described in Section 6.4.9.2, Supplemental Ancillary Services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317DE407" w14:textId="77777777" w:rsidTr="00157962">
        <w:trPr>
          <w:trHeight w:val="206"/>
        </w:trPr>
        <w:tc>
          <w:tcPr>
            <w:tcW w:w="9350" w:type="dxa"/>
            <w:shd w:val="pct12" w:color="auto" w:fill="auto"/>
          </w:tcPr>
          <w:p w14:paraId="26F46EEA" w14:textId="72DAF200" w:rsidR="00157962" w:rsidRDefault="00157962" w:rsidP="0058150D">
            <w:pPr>
              <w:pStyle w:val="Instructions"/>
              <w:spacing w:before="120"/>
            </w:pPr>
            <w:bookmarkStart w:id="26" w:name="_Hlk162961847"/>
            <w:r>
              <w:t>[NPRR1010:  Replace paragraph (2) above with the following upon system implementation of the Real-Time Co-Optimization (RTC) project:]</w:t>
            </w:r>
          </w:p>
          <w:p w14:paraId="0A4FC67A" w14:textId="6A95284B" w:rsidR="00157962" w:rsidRPr="00B37C4B" w:rsidRDefault="00157962" w:rsidP="00157962">
            <w:pPr>
              <w:spacing w:after="240"/>
              <w:ind w:left="720" w:hanging="720"/>
            </w:pPr>
            <w:r w:rsidRPr="003161DC">
              <w:t>(2)</w:t>
            </w:r>
            <w:r w:rsidRPr="003161DC">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w:t>
            </w:r>
          </w:p>
        </w:tc>
      </w:tr>
    </w:tbl>
    <w:bookmarkEnd w:id="26"/>
    <w:p w14:paraId="06848664" w14:textId="46EE6427" w:rsidR="001F04FD" w:rsidRDefault="001F04FD" w:rsidP="000B1D41">
      <w:pPr>
        <w:pStyle w:val="BodyTextNumbered"/>
        <w:spacing w:before="240"/>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for Resources. </w:t>
      </w:r>
      <w:r w:rsidR="008052F7">
        <w:t xml:space="preserve"> </w:t>
      </w:r>
      <w:r>
        <w:t xml:space="preserve">ERCOT uses the Base Points from the SCED process and uses the deployment of Regulation Up </w:t>
      </w:r>
      <w:r w:rsidR="006A0500">
        <w:t xml:space="preserve">Service </w:t>
      </w:r>
      <w:r>
        <w:t xml:space="preserve">(Reg-Up), Regulation Down </w:t>
      </w:r>
      <w:r w:rsidR="006A0500">
        <w:t xml:space="preserve">Service </w:t>
      </w:r>
      <w:r>
        <w:t xml:space="preserve">(Reg-Down), </w:t>
      </w:r>
      <w:r w:rsidR="00A93ECE">
        <w:t xml:space="preserve">ERCOT Contingency Reserve Service (ECRS), </w:t>
      </w:r>
      <w:r>
        <w:t>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70BD8ABE" w14:textId="77777777" w:rsidTr="00485D99">
        <w:trPr>
          <w:trHeight w:val="206"/>
        </w:trPr>
        <w:tc>
          <w:tcPr>
            <w:tcW w:w="9576" w:type="dxa"/>
            <w:shd w:val="pct12" w:color="auto" w:fill="auto"/>
          </w:tcPr>
          <w:p w14:paraId="252467FF" w14:textId="59AD0FC4" w:rsidR="00EF7F7F" w:rsidRDefault="00EF7F7F" w:rsidP="00485D99">
            <w:pPr>
              <w:pStyle w:val="Instructions"/>
              <w:spacing w:before="120"/>
            </w:pPr>
            <w:r>
              <w:t>[</w:t>
            </w:r>
            <w:r w:rsidR="00157962">
              <w:t>NPRR1010</w:t>
            </w:r>
            <w:r>
              <w:t xml:space="preserve">:  Replace paragraph (3) above with the following </w:t>
            </w:r>
            <w:r w:rsidR="00157962">
              <w:t>upon system implementation of the Real-Time Co-Optimization (RTC) project</w:t>
            </w:r>
            <w:r>
              <w:t>:]</w:t>
            </w:r>
          </w:p>
          <w:p w14:paraId="00B667EC" w14:textId="2C60A0FB" w:rsidR="00EF7F7F" w:rsidRPr="00B37C4B" w:rsidRDefault="00EF7F7F" w:rsidP="00A37F32">
            <w:pPr>
              <w:pStyle w:val="BodyTextNumbered"/>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r w:rsidR="00157962">
              <w:t xml:space="preserve">and Ancillary Service awards </w:t>
            </w:r>
            <w:r>
              <w:t>for Resources.</w:t>
            </w:r>
            <w:r w:rsidR="00A37F32">
              <w:t xml:space="preserve">  </w:t>
            </w:r>
            <w:r>
              <w:t xml:space="preserve">ERCOT uses the Base Points from the SCED process and uses the deployment of Regulation Up </w:t>
            </w:r>
            <w:r w:rsidR="006A0500">
              <w:t xml:space="preserve">Service </w:t>
            </w:r>
            <w:r>
              <w:t xml:space="preserve">(Reg-Up), Regulation </w:t>
            </w:r>
            <w:r>
              <w:lastRenderedPageBreak/>
              <w:t xml:space="preserve">Down </w:t>
            </w:r>
            <w:r w:rsidR="006A0500">
              <w:t xml:space="preserve">Service </w:t>
            </w:r>
            <w:r>
              <w:t>(Reg-Down), ERCOT Contingency Reserve Service (ECRS), Responsive Reserve (RRS), and Non-Spinning Reserve (Non-Spin) to control frequency and solve potential reliability issues.</w:t>
            </w:r>
          </w:p>
        </w:tc>
      </w:tr>
    </w:tbl>
    <w:p w14:paraId="0AF53B9A" w14:textId="3721D748" w:rsidR="001F04FD" w:rsidRDefault="001F04FD" w:rsidP="000B1D41">
      <w:pPr>
        <w:pStyle w:val="BodyTextNumbered"/>
        <w:spacing w:before="240"/>
      </w:pPr>
      <w:r>
        <w:lastRenderedPageBreak/>
        <w:t>(</w:t>
      </w:r>
      <w:r w:rsidR="002D28ED">
        <w:t>4</w:t>
      </w:r>
      <w:r>
        <w:t>)</w:t>
      </w:r>
      <w: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In contrast, the Day-Ahead Market (DAM) energy settlements will use DAM Settlement Point Prices that are calculated for Resource Nodes, Load Zones, and Hubs for a one-hour Settlement Interval.  </w:t>
      </w:r>
      <w:bookmarkStart w:id="27" w:name="_Toc783588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1BB2C8DA" w14:textId="77777777" w:rsidTr="0058150D">
        <w:trPr>
          <w:trHeight w:val="206"/>
        </w:trPr>
        <w:tc>
          <w:tcPr>
            <w:tcW w:w="9350" w:type="dxa"/>
            <w:shd w:val="pct12" w:color="auto" w:fill="auto"/>
          </w:tcPr>
          <w:p w14:paraId="1AB93EA8" w14:textId="31B67826" w:rsidR="00157962" w:rsidRDefault="00157962" w:rsidP="0058150D">
            <w:pPr>
              <w:pStyle w:val="Instructions"/>
              <w:spacing w:before="120"/>
            </w:pPr>
            <w:r>
              <w:t>[NPRR1010:  Replace paragraph (4) above with the following upon system implementation of the Real-Time Co-Optimization (RTC) project:]</w:t>
            </w:r>
          </w:p>
          <w:p w14:paraId="4FA58381" w14:textId="16D1175F" w:rsidR="00157962" w:rsidRPr="00B37C4B" w:rsidRDefault="00157962" w:rsidP="00157962">
            <w:pPr>
              <w:spacing w:after="240"/>
              <w:ind w:left="720" w:hanging="720"/>
            </w:pPr>
            <w:r>
              <w:t>(4</w:t>
            </w:r>
            <w:r w:rsidRPr="003161DC">
              <w:t>)</w:t>
            </w:r>
            <w:r w:rsidRPr="003161DC">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r>
              <w:t xml:space="preserve">Similarly, Real-Time Ancillary Service Settlements use Real-Time Market Clearing Prices for Capacity (MCPCs) for a 15-minute Settlement Interval, using the MCPCs from all of the executions of SCED in the Settlement Interval.  </w:t>
            </w:r>
            <w:r w:rsidRPr="003161DC">
              <w:t>In contrast, the Day-Ahead Market (DAM) energy settlements will use DAM Settlement Point Prices that are calculated for Resource Nodes, Load Zones, and Hubs for a one-hour Settlement Interval</w:t>
            </w:r>
            <w:r>
              <w:t>, and DAM Ancillary Service Settlements will use DAM MCPCs for a one-hour Settlement Interval.</w:t>
            </w:r>
          </w:p>
        </w:tc>
      </w:tr>
    </w:tbl>
    <w:p w14:paraId="7CFC4C12" w14:textId="284CA9A4" w:rsidR="00470AB8" w:rsidRDefault="001F04FD" w:rsidP="000B1D41">
      <w:pPr>
        <w:pStyle w:val="BodyText"/>
        <w:spacing w:before="240"/>
        <w:ind w:left="720" w:hanging="720"/>
      </w:pPr>
      <w:r>
        <w:t>(</w:t>
      </w:r>
      <w:r w:rsidR="002D28ED">
        <w:t>5</w:t>
      </w:r>
      <w:r>
        <w:t>)</w:t>
      </w:r>
      <w:r>
        <w:tab/>
      </w:r>
      <w:r w:rsidRPr="00AC08D4">
        <w:t xml:space="preserve">To the extent </w:t>
      </w:r>
      <w:r>
        <w:t>that the ERCOT CEO or designee determines that Market Participant activities have</w:t>
      </w:r>
      <w:r w:rsidRPr="00AC08D4">
        <w:t xml:space="preserve"> produce</w:t>
      </w:r>
      <w:r>
        <w:t>d an outcome inconsistent with the efficient operation of the ERCOT-administered markets as defined in subsection (c)(2) of P.U.C. S</w:t>
      </w:r>
      <w:r w:rsidRPr="006B60E2">
        <w:rPr>
          <w:smallCaps/>
        </w:rPr>
        <w:t>ubst</w:t>
      </w:r>
      <w:r>
        <w:t>. R. 25.503</w:t>
      </w:r>
      <w:r w:rsidRPr="00AC08D4">
        <w:t xml:space="preserve">, </w:t>
      </w:r>
      <w:r>
        <w:t xml:space="preserve">Oversight of Wholesale Market Participants, </w:t>
      </w:r>
      <w:r w:rsidRPr="00AC08D4">
        <w:t>ERCOT</w:t>
      </w:r>
      <w:r>
        <w:t xml:space="preserve">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w:t>
      </w:r>
      <w:r w:rsidR="00470AB8">
        <w:t xml:space="preserve">and Board Priority </w:t>
      </w:r>
      <w:r>
        <w:t>Nodal Protocol Revision Requests</w:t>
      </w:r>
      <w:r w:rsidR="00470AB8">
        <w:t xml:space="preserve"> and System Change Requests</w:t>
      </w:r>
      <w:r>
        <w:t>.</w:t>
      </w:r>
      <w:bookmarkStart w:id="28" w:name="_Toc397504906"/>
      <w:bookmarkStart w:id="29" w:name="_Toc402357034"/>
      <w:bookmarkStart w:id="30" w:name="_Toc422486414"/>
      <w:bookmarkStart w:id="31" w:name="_Toc433093266"/>
      <w:bookmarkStart w:id="32" w:name="_Toc433093424"/>
      <w:bookmarkStart w:id="33" w:name="_Toc440874655"/>
      <w:bookmarkStart w:id="34" w:name="_Toc448142210"/>
      <w:bookmarkStart w:id="35" w:name="_Toc448142367"/>
      <w:bookmarkStart w:id="36" w:name="_Toc458770203"/>
      <w:bookmarkStart w:id="37" w:name="_Toc459294171"/>
      <w:bookmarkStart w:id="38" w:name="_Toc463262664"/>
      <w:bookmarkStart w:id="39" w:name="_Toc468286736"/>
      <w:bookmarkStart w:id="40" w:name="_Toc481502782"/>
      <w:bookmarkStart w:id="41" w:name="_Toc496079952"/>
    </w:p>
    <w:p w14:paraId="75FF5987" w14:textId="77777777" w:rsidR="001F04FD" w:rsidRDefault="001F04FD" w:rsidP="00221A13">
      <w:pPr>
        <w:pStyle w:val="H2"/>
        <w:spacing w:before="480"/>
        <w:ind w:left="907" w:hanging="907"/>
      </w:pPr>
      <w:bookmarkStart w:id="42" w:name="_Toc189044281"/>
      <w:r>
        <w:t>6.2</w:t>
      </w:r>
      <w:r>
        <w:tab/>
        <w:t>Market Timeline Summary</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01A8E25" w14:textId="77777777" w:rsidR="001F04FD" w:rsidRDefault="000468AC" w:rsidP="008E724B">
      <w:pPr>
        <w:pStyle w:val="BodyText"/>
        <w:ind w:left="720" w:hanging="720"/>
      </w:pPr>
      <w:r>
        <w:t>(1)</w:t>
      </w:r>
      <w:r>
        <w:tab/>
      </w:r>
      <w:r w:rsidR="001F04FD">
        <w:t>The figure below is a high-level summary of the overall market timeline:</w:t>
      </w:r>
    </w:p>
    <w:p w14:paraId="75CC1640" w14:textId="4C5F520E" w:rsidR="001F04FD" w:rsidRDefault="00A94020" w:rsidP="001F04FD">
      <w:pPr>
        <w:rPr>
          <w:rStyle w:val="CharCharChar1"/>
        </w:rPr>
      </w:pPr>
      <w:r>
        <w:rPr>
          <w:noProof/>
        </w:rPr>
        <w:lastRenderedPageBreak/>
        <w:drawing>
          <wp:inline distT="0" distB="0" distL="0" distR="0" wp14:anchorId="0A0AD4E1" wp14:editId="6B8AF17E">
            <wp:extent cx="5705475" cy="3248025"/>
            <wp:effectExtent l="0" t="0" r="9525"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14:paraId="5FDC4E9E" w14:textId="77777777" w:rsidR="000778F6" w:rsidRDefault="000778F6" w:rsidP="001F04FD">
      <w:pPr>
        <w:pStyle w:val="H2"/>
        <w:ind w:left="0" w:firstLine="0"/>
      </w:pPr>
      <w:bookmarkStart w:id="43" w:name="_Toc397504907"/>
      <w:bookmarkStart w:id="44" w:name="_Toc402357035"/>
      <w:bookmarkStart w:id="45" w:name="_Toc422486415"/>
      <w:bookmarkStart w:id="46" w:name="_Toc433093267"/>
      <w:bookmarkStart w:id="47" w:name="_Toc433093425"/>
      <w:bookmarkStart w:id="48" w:name="_Toc440874656"/>
      <w:bookmarkStart w:id="49" w:name="_Toc448142211"/>
      <w:bookmarkStart w:id="50" w:name="_Toc448142368"/>
      <w:bookmarkStart w:id="51" w:name="_Toc458770204"/>
      <w:bookmarkStart w:id="52" w:name="_Toc459294172"/>
      <w:bookmarkStart w:id="53" w:name="_Toc463262665"/>
      <w:bookmarkStart w:id="54" w:name="_Toc468286737"/>
      <w:bookmarkStart w:id="55" w:name="_Toc481502783"/>
      <w:bookmarkStart w:id="56" w:name="_Toc496079953"/>
    </w:p>
    <w:p w14:paraId="613DE931" w14:textId="539C7FDA" w:rsidR="001F04FD" w:rsidRDefault="001F04FD" w:rsidP="001F04FD">
      <w:pPr>
        <w:pStyle w:val="H2"/>
        <w:ind w:left="0" w:firstLine="0"/>
      </w:pPr>
      <w:bookmarkStart w:id="57" w:name="_Toc119310177"/>
      <w:bookmarkStart w:id="58" w:name="_Toc189044282"/>
      <w:r>
        <w:t>6.3</w:t>
      </w:r>
      <w:r>
        <w:tab/>
        <w:t>Adjustment Period and Real-Time Operations Timeline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F27ECBF" w14:textId="67542E15" w:rsidR="001F04FD" w:rsidRDefault="001F04FD" w:rsidP="00C30E33">
      <w:pPr>
        <w:pStyle w:val="BodyTextNumbered"/>
        <w:spacing w:after="0"/>
      </w:pPr>
      <w:r>
        <w:t>(1)</w:t>
      </w:r>
      <w:r>
        <w:tab/>
        <w:t xml:space="preserve">The figure below highlights the major activities that occur in the Adjustment Period and Real-Time operations: </w:t>
      </w:r>
    </w:p>
    <w:p w14:paraId="21132D63" w14:textId="12FC1F47" w:rsidR="001F04FD" w:rsidRDefault="00A94020" w:rsidP="00C30E33">
      <w:pPr>
        <w:pStyle w:val="CommentSubject"/>
      </w:pPr>
      <w:r>
        <w:rPr>
          <w:noProof/>
        </w:rPr>
        <mc:AlternateContent>
          <mc:Choice Requires="wpc">
            <w:drawing>
              <wp:anchor distT="0" distB="0" distL="114300" distR="114300" simplePos="0" relativeHeight="251651072" behindDoc="0" locked="0" layoutInCell="1" allowOverlap="1" wp14:anchorId="5C95629B" wp14:editId="3E811292">
                <wp:simplePos x="0" y="0"/>
                <wp:positionH relativeFrom="column">
                  <wp:posOffset>170180</wp:posOffset>
                </wp:positionH>
                <wp:positionV relativeFrom="paragraph">
                  <wp:posOffset>183515</wp:posOffset>
                </wp:positionV>
                <wp:extent cx="5372100" cy="3479165"/>
                <wp:effectExtent l="0" t="4445" r="1270" b="254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6AF8" w14:textId="77777777" w:rsidR="00847E53" w:rsidRDefault="00847E53" w:rsidP="001F04FD">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CA0F"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7011"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B6F" w14:textId="77777777" w:rsidR="00847E53" w:rsidRDefault="00847E53" w:rsidP="001F04FD">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A59" w14:textId="77777777" w:rsidR="00847E53" w:rsidRDefault="00847E53" w:rsidP="001F04FD">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AB2D" w14:textId="77777777" w:rsidR="00847E53" w:rsidRDefault="00847E53" w:rsidP="001F04FD">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528B" w14:textId="77777777" w:rsidR="00847E53" w:rsidRDefault="00847E53" w:rsidP="001F04FD">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CF7F" w14:textId="77777777" w:rsidR="00847E53" w:rsidRDefault="00847E53" w:rsidP="001F04FD">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814C" w14:textId="77777777" w:rsidR="00847E53" w:rsidRDefault="00847E53" w:rsidP="001F04FD">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9442" w14:textId="77777777" w:rsidR="00847E53" w:rsidRDefault="00847E53" w:rsidP="001F04FD">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3B92" w14:textId="77777777" w:rsidR="00847E53" w:rsidRDefault="00847E53" w:rsidP="001F04FD">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EFF7" w14:textId="77777777" w:rsidR="00847E53" w:rsidRDefault="00847E53" w:rsidP="001F04FD">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1291"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EA6C" w14:textId="77777777" w:rsidR="00847E53" w:rsidRDefault="00847E53" w:rsidP="001F04FD">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7C01" w14:textId="77777777" w:rsidR="00847E53" w:rsidRDefault="00847E53" w:rsidP="001F04FD">
                              <w:r>
                                <w:rPr>
                                  <w:rFonts w:ascii="Arial" w:hAnsi="Arial" w:cs="Arial"/>
                                  <w:b/>
                                  <w:bCs/>
                                  <w:color w:val="FFFFFF"/>
                                  <w:sz w:val="14"/>
                                  <w:szCs w:val="14"/>
                                </w:rPr>
                                <w:t>Submit HRUC Offers</w:t>
                              </w:r>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B42B" w14:textId="77777777" w:rsidR="00847E53" w:rsidRDefault="00847E53" w:rsidP="001F04FD">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F82" w14:textId="45439C2C" w:rsidR="00847E53" w:rsidRDefault="00847E53" w:rsidP="001F04FD">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540A" w14:textId="4DCB1F3F"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9AF2"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098C" w14:textId="77777777" w:rsidR="00847E53" w:rsidRDefault="00847E53" w:rsidP="001F04FD">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F9E6" w14:textId="77777777" w:rsidR="00847E53" w:rsidRDefault="00847E53" w:rsidP="001F04FD">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717A" w14:textId="77777777" w:rsidR="00847E53" w:rsidRDefault="00847E53" w:rsidP="001F04FD">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21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7038" w14:textId="77777777" w:rsidR="00847E53" w:rsidRDefault="00847E53" w:rsidP="001F04FD">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224" name="Rectangle 157"/>
                        <wps:cNvSpPr>
                          <a:spLocks noChangeArrowheads="1"/>
                        </wps:cNvSpPr>
                        <wps:spPr bwMode="auto">
                          <a:xfrm>
                            <a:off x="2947700" y="3225160"/>
                            <a:ext cx="3562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9725" w14:textId="77777777" w:rsidR="00847E53" w:rsidRDefault="00847E53" w:rsidP="001F04FD">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F3A1"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17B2" w14:textId="77777777" w:rsidR="00847E53" w:rsidRDefault="00847E53" w:rsidP="001F04FD">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40E0" w14:textId="77777777" w:rsidR="00847E53" w:rsidRDefault="00847E53" w:rsidP="001F04FD">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6189" w14:textId="77777777" w:rsidR="00847E53" w:rsidRDefault="00847E53" w:rsidP="001F04FD">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EA3F" w14:textId="77777777" w:rsidR="00847E53" w:rsidRDefault="00847E53" w:rsidP="001F04FD">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6638" w14:textId="77777777" w:rsidR="00847E53" w:rsidRDefault="00847E53" w:rsidP="001F04FD">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181" w14:textId="77777777" w:rsidR="00847E53" w:rsidRDefault="00847E53" w:rsidP="001F04FD">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9373" w14:textId="77777777" w:rsidR="00847E53" w:rsidRDefault="00847E53" w:rsidP="001F04FD">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53B" w14:textId="77777777" w:rsidR="00847E53" w:rsidRDefault="00847E53" w:rsidP="001F04FD">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6F8" w14:textId="77777777" w:rsidR="00847E53" w:rsidRDefault="00847E53" w:rsidP="001F04FD">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288" w14:textId="77777777" w:rsidR="00847E53" w:rsidRDefault="00847E53" w:rsidP="001F04FD">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1AB0"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3E50"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1588" w14:textId="77777777" w:rsidR="00847E53" w:rsidRDefault="00847E53" w:rsidP="001F04FD">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656B" w14:textId="77777777" w:rsidR="00847E53" w:rsidRDefault="00847E53" w:rsidP="001F04FD">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0BD5"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229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BE0C" w14:textId="00540EAE" w:rsidR="00847E53" w:rsidRDefault="00847E53" w:rsidP="001F04FD">
                              <w:r>
                                <w:rPr>
                                  <w:rFonts w:ascii="Arial" w:hAnsi="Arial" w:cs="Arial"/>
                                  <w:b/>
                                  <w:bCs/>
                                  <w:color w:val="FFFFFF"/>
                                  <w:sz w:val="14"/>
                                  <w:szCs w:val="14"/>
                                </w:rPr>
                                <w:t xml:space="preserve">Update Output Schedules for </w:t>
                              </w:r>
                            </w:p>
                          </w:txbxContent>
                        </wps:txbx>
                        <wps:bodyPr rot="0" vert="horz" wrap="none" lIns="0" tIns="0" rIns="0" bIns="0" anchor="t" anchorCtr="0" upright="1">
                          <a:spAutoFit/>
                        </wps:bodyPr>
                      </wps:wsp>
                      <wps:wsp>
                        <wps:cNvPr id="3269" name="Rectangle 202"/>
                        <wps:cNvSpPr>
                          <a:spLocks noChangeArrowheads="1"/>
                        </wps:cNvSpPr>
                        <wps:spPr bwMode="auto">
                          <a:xfrm>
                            <a:off x="3669700" y="729614"/>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5A3" w14:textId="7CD373A6"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990A" w14:textId="047A96DF" w:rsidR="00847E53" w:rsidRDefault="00847E53" w:rsidP="001F04FD">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37DA"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F5BC" w14:textId="77777777" w:rsidR="00847E53" w:rsidRDefault="00847E53" w:rsidP="001F04FD">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4134" w14:textId="77777777" w:rsidR="00847E53" w:rsidRDefault="00847E53" w:rsidP="001F04FD">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95629B" id="Canvas 448" o:spid="_x0000_s1026" editas="canvas" style="position:absolute;margin-left:13.4pt;margin-top:14.45pt;width:423pt;height:273.95pt;z-index:25165107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45BB6AF8" w14:textId="77777777" w:rsidR="00847E53" w:rsidRDefault="00847E53" w:rsidP="001F04FD">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1D07CA0F" w14:textId="77777777" w:rsidR="00847E53" w:rsidRDefault="00847E53" w:rsidP="001F04FD">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69A17011" w14:textId="77777777" w:rsidR="00847E53" w:rsidRDefault="00847E53" w:rsidP="001F04FD">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6D958B6F" w14:textId="77777777" w:rsidR="00847E53" w:rsidRDefault="00847E53" w:rsidP="001F04FD">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008A1A59" w14:textId="77777777" w:rsidR="00847E53" w:rsidRDefault="00847E53" w:rsidP="001F04FD">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1821AB2D" w14:textId="77777777" w:rsidR="00847E53" w:rsidRDefault="00847E53" w:rsidP="001F04FD">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3AAA528B" w14:textId="77777777" w:rsidR="00847E53" w:rsidRDefault="00847E53" w:rsidP="001F04FD">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7234CF7F" w14:textId="77777777" w:rsidR="00847E53" w:rsidRDefault="00847E53" w:rsidP="001F04FD">
                        <w:r>
                          <w:rPr>
                            <w:rFonts w:ascii="Arial" w:hAnsi="Arial" w:cs="Arial"/>
                            <w:b/>
                            <w:bCs/>
                            <w:color w:val="000000"/>
                            <w:sz w:val="20"/>
                          </w:rPr>
                          <w:t>–</w:t>
                        </w:r>
                      </w:p>
                    </w:txbxContent>
                  </v:textbox>
                </v:rect>
                <v:rect id="Rectangle 134" o:spid="_x0000_s1045"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0FF814C" w14:textId="77777777" w:rsidR="00847E53" w:rsidRDefault="00847E53" w:rsidP="001F04FD">
                        <w:r>
                          <w:rPr>
                            <w:rFonts w:ascii="Arial" w:hAnsi="Arial" w:cs="Arial"/>
                            <w:b/>
                            <w:bCs/>
                            <w:color w:val="000000"/>
                            <w:sz w:val="20"/>
                          </w:rPr>
                          <w:t>1)</w:t>
                        </w:r>
                      </w:p>
                    </w:txbxContent>
                  </v:textbox>
                </v:rect>
                <v:rect id="Rectangle 135" o:spid="_x0000_s1046"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09939442" w14:textId="77777777" w:rsidR="00847E53" w:rsidRDefault="00847E53" w:rsidP="001F04FD">
                        <w:r>
                          <w:rPr>
                            <w:rFonts w:ascii="Arial" w:hAnsi="Arial" w:cs="Arial"/>
                            <w:b/>
                            <w:bCs/>
                            <w:color w:val="000000"/>
                            <w:sz w:val="20"/>
                          </w:rPr>
                          <w:t>60 Minutes</w:t>
                        </w:r>
                      </w:p>
                    </w:txbxContent>
                  </v:textbox>
                </v:rect>
                <v:rect id="Rectangle 136" o:spid="_x0000_s1047"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32813B92" w14:textId="77777777" w:rsidR="00847E53" w:rsidRDefault="00847E53" w:rsidP="001F04FD">
                        <w:r>
                          <w:rPr>
                            <w:rFonts w:ascii="Arial" w:hAnsi="Arial" w:cs="Arial"/>
                            <w:b/>
                            <w:bCs/>
                            <w:color w:val="000000"/>
                            <w:sz w:val="20"/>
                          </w:rPr>
                          <w:t>Prior to</w:t>
                        </w:r>
                      </w:p>
                    </w:txbxContent>
                  </v:textbox>
                </v:rect>
                <v:rect id="Rectangle 137" o:spid="_x0000_s1048"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334BEFF7" w14:textId="77777777" w:rsidR="00847E53" w:rsidRDefault="00847E53" w:rsidP="001F04FD">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05F81291" w14:textId="77777777" w:rsidR="00847E53" w:rsidRDefault="00847E53" w:rsidP="001F04FD">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471EA6C" w14:textId="77777777" w:rsidR="00847E53" w:rsidRDefault="00847E53" w:rsidP="001F04FD">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40EF7C01" w14:textId="77777777" w:rsidR="00847E53" w:rsidRDefault="00847E53" w:rsidP="001F04FD">
                        <w:r>
                          <w:rPr>
                            <w:rFonts w:ascii="Arial" w:hAnsi="Arial" w:cs="Arial"/>
                            <w:b/>
                            <w:bCs/>
                            <w:color w:val="FFFFFF"/>
                            <w:sz w:val="14"/>
                            <w:szCs w:val="14"/>
                          </w:rPr>
                          <w:t>Submit HRUC Offers</w:t>
                        </w:r>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2BC3B42B" w14:textId="77777777" w:rsidR="00847E53" w:rsidRDefault="00847E53" w:rsidP="001F04FD">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6EFDBF82" w14:textId="45439C2C" w:rsidR="00847E53" w:rsidRDefault="00847E53" w:rsidP="001F04FD">
                        <w:r>
                          <w:rPr>
                            <w:rFonts w:ascii="Arial" w:hAnsi="Arial" w:cs="Arial"/>
                            <w:b/>
                            <w:bCs/>
                            <w:color w:val="FFFFFF"/>
                            <w:sz w:val="14"/>
                            <w:szCs w:val="14"/>
                          </w:rPr>
                          <w:t xml:space="preserve">Update Inc/Dec Offers for </w:t>
                        </w:r>
                      </w:p>
                    </w:txbxContent>
                  </v:textbox>
                </v:rect>
                <v:rect id="Rectangle 147" o:spid="_x0000_s1058" style="position:absolute;left:13564;top:8731;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419B540A" w14:textId="4DCB1F3F" w:rsidR="00847E53" w:rsidRDefault="00847E53" w:rsidP="001F04FD">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6CA99AF2" w14:textId="77777777" w:rsidR="00847E53" w:rsidRDefault="00847E53" w:rsidP="001F04FD">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3795098C" w14:textId="77777777" w:rsidR="00847E53" w:rsidRDefault="00847E53" w:rsidP="001F04FD">
                        <w:r>
                          <w:rPr>
                            <w:rFonts w:ascii="Arial" w:hAnsi="Arial" w:cs="Arial"/>
                            <w:b/>
                            <w:bCs/>
                            <w:color w:val="000000"/>
                            <w:sz w:val="14"/>
                            <w:szCs w:val="14"/>
                          </w:rPr>
                          <w:t>LFC Process every 4 secs</w:t>
                        </w:r>
                      </w:p>
                    </w:txbxContent>
                  </v:textbox>
                </v:rect>
                <v:rect id="Rectangle 154" o:spid="_x0000_s1065"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BC6F9E6" w14:textId="77777777" w:rsidR="00847E53" w:rsidRDefault="00847E53" w:rsidP="001F04FD">
                        <w:r>
                          <w:rPr>
                            <w:rFonts w:ascii="Arial" w:hAnsi="Arial" w:cs="Arial"/>
                            <w:b/>
                            <w:bCs/>
                            <w:color w:val="000000"/>
                            <w:sz w:val="14"/>
                            <w:szCs w:val="14"/>
                          </w:rPr>
                          <w:t xml:space="preserve">Execute SCED every 5 </w:t>
                        </w:r>
                      </w:p>
                    </w:txbxContent>
                  </v:textbox>
                </v:rect>
                <v:rect id="Rectangle 155" o:spid="_x0000_s1066" style="position:absolute;left:35350;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19F717A" w14:textId="77777777" w:rsidR="00847E53" w:rsidRDefault="00847E53" w:rsidP="001F04FD">
                        <w:r>
                          <w:rPr>
                            <w:rFonts w:ascii="Arial" w:hAnsi="Arial" w:cs="Arial"/>
                            <w:b/>
                            <w:bCs/>
                            <w:color w:val="000000"/>
                            <w:sz w:val="14"/>
                            <w:szCs w:val="14"/>
                          </w:rPr>
                          <w:t>mins</w:t>
                        </w:r>
                      </w:p>
                    </w:txbxContent>
                  </v:textbox>
                </v:rect>
                <v:rect id="Rectangle 156" o:spid="_x0000_s1067" style="position:absolute;left:25457;top:31140;width:11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223E7038" w14:textId="77777777" w:rsidR="00847E53" w:rsidRDefault="00847E53" w:rsidP="001F04FD">
                        <w:r>
                          <w:rPr>
                            <w:rFonts w:ascii="Arial" w:hAnsi="Arial" w:cs="Arial"/>
                            <w:b/>
                            <w:bCs/>
                            <w:color w:val="000000"/>
                            <w:sz w:val="14"/>
                            <w:szCs w:val="14"/>
                          </w:rPr>
                          <w:t>Communicate Instructions</w:t>
                        </w:r>
                      </w:p>
                    </w:txbxContent>
                  </v:textbox>
                </v:rect>
                <v:rect id="Rectangle 157" o:spid="_x0000_s1068" style="position:absolute;left:29477;top:32251;width:3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24539725" w14:textId="77777777" w:rsidR="00847E53" w:rsidRDefault="00847E53" w:rsidP="001F04FD">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0ECFF3A1" w14:textId="77777777" w:rsidR="00847E53" w:rsidRDefault="00847E53" w:rsidP="001F04FD">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622717B2" w14:textId="77777777" w:rsidR="00847E53" w:rsidRDefault="00847E53" w:rsidP="001F04FD">
                        <w:r>
                          <w:rPr>
                            <w:rFonts w:ascii="Arial" w:hAnsi="Arial" w:cs="Arial"/>
                            <w:b/>
                            <w:bCs/>
                            <w:color w:val="000000"/>
                            <w:sz w:val="14"/>
                            <w:szCs w:val="14"/>
                          </w:rPr>
                          <w:t xml:space="preserve">Snapshot Inputs &amp; </w:t>
                        </w:r>
                      </w:p>
                    </w:txbxContent>
                  </v:textbox>
                </v:rect>
                <v:rect id="Rectangle 164" o:spid="_x0000_s1075"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6F0E40E0" w14:textId="77777777" w:rsidR="00847E53" w:rsidRDefault="00847E53" w:rsidP="001F04FD">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7696189" w14:textId="77777777" w:rsidR="00847E53" w:rsidRDefault="00847E53" w:rsidP="001F04FD">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393DEA3F" w14:textId="77777777" w:rsidR="00847E53" w:rsidRDefault="00847E53" w:rsidP="001F04FD">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00376638" w14:textId="77777777" w:rsidR="00847E53" w:rsidRDefault="00847E53" w:rsidP="001F04FD">
                        <w:r>
                          <w:rPr>
                            <w:rFonts w:ascii="Arial" w:hAnsi="Arial" w:cs="Arial"/>
                            <w:b/>
                            <w:bCs/>
                            <w:color w:val="000000"/>
                            <w:sz w:val="20"/>
                          </w:rPr>
                          <w:t>Clock</w:t>
                        </w:r>
                      </w:p>
                    </w:txbxContent>
                  </v:textbox>
                </v:rect>
                <v:rect id="Rectangle 179" o:spid="_x0000_s1090"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3BB42181" w14:textId="77777777" w:rsidR="00847E53" w:rsidRDefault="00847E53" w:rsidP="001F04FD">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34DF9373" w14:textId="77777777" w:rsidR="00847E53" w:rsidRDefault="00847E53" w:rsidP="001F04FD">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2898753B" w14:textId="77777777" w:rsidR="00847E53" w:rsidRDefault="00847E53" w:rsidP="001F04FD">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35F06F8" w14:textId="77777777" w:rsidR="00847E53" w:rsidRDefault="00847E53" w:rsidP="001F04FD">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125B5288" w14:textId="77777777" w:rsidR="00847E53" w:rsidRDefault="00847E53" w:rsidP="001F04FD">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61FB1AB0" w14:textId="77777777" w:rsidR="00847E53" w:rsidRDefault="00847E53" w:rsidP="001F04FD">
                        <w:r>
                          <w:rPr>
                            <w:rFonts w:ascii="Arial" w:hAnsi="Arial" w:cs="Arial"/>
                            <w:b/>
                            <w:bCs/>
                            <w:color w:val="FFFFFF"/>
                            <w:sz w:val="20"/>
                          </w:rPr>
                          <w:t>Real</w:t>
                        </w:r>
                      </w:p>
                    </w:txbxContent>
                  </v:textbox>
                </v:rect>
                <v:rect id="Rectangle 193" o:spid="_x0000_s1104"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01A13E50" w14:textId="77777777" w:rsidR="00847E53" w:rsidRDefault="00847E53" w:rsidP="001F04FD">
                        <w:r>
                          <w:rPr>
                            <w:rFonts w:ascii="Arial" w:hAnsi="Arial" w:cs="Arial"/>
                            <w:b/>
                            <w:bCs/>
                            <w:color w:val="FFFFFF"/>
                            <w:sz w:val="20"/>
                          </w:rPr>
                          <w:t>-</w:t>
                        </w:r>
                      </w:p>
                    </w:txbxContent>
                  </v:textbox>
                </v:rect>
                <v:rect id="Rectangle 194" o:spid="_x0000_s1105"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32511588" w14:textId="77777777" w:rsidR="00847E53" w:rsidRDefault="00847E53" w:rsidP="001F04FD">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6AB5656B" w14:textId="77777777" w:rsidR="00847E53" w:rsidRDefault="00847E53" w:rsidP="001F04FD">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19C0BD5" w14:textId="77777777" w:rsidR="00847E53" w:rsidRDefault="00847E53" w:rsidP="001F04FD">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2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200BBE0C" w14:textId="00540EAE" w:rsidR="00847E53" w:rsidRDefault="00847E53" w:rsidP="001F04FD">
                        <w:r>
                          <w:rPr>
                            <w:rFonts w:ascii="Arial" w:hAnsi="Arial" w:cs="Arial"/>
                            <w:b/>
                            <w:bCs/>
                            <w:color w:val="FFFFFF"/>
                            <w:sz w:val="14"/>
                            <w:szCs w:val="14"/>
                          </w:rPr>
                          <w:t xml:space="preserve">Update Output Schedules for </w:t>
                        </w:r>
                      </w:p>
                    </w:txbxContent>
                  </v:textbox>
                </v:rect>
                <v:rect id="Rectangle 202" o:spid="_x0000_s1113" style="position:absolute;left:36697;top:7296;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i1wwAAAN0AAAAPAAAAZHJzL2Rvd25yZXYueG1sRI/dagIx&#10;FITvBd8hHME7zXYF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sl4YtcMAAADdAAAADwAA&#10;AAAAAAAAAAAAAAAHAgAAZHJzL2Rvd25yZXYueG1sUEsFBgAAAAADAAMAtwAAAPcCAAAAAA==&#10;" filled="f" stroked="f">
                  <v:textbox style="mso-fit-shape-to-text:t" inset="0,0,0,0">
                    <w:txbxContent>
                      <w:p w14:paraId="2F7555A3" w14:textId="7CD373A6" w:rsidR="00847E53" w:rsidRDefault="00847E53" w:rsidP="001F04FD">
                        <w:r>
                          <w:rPr>
                            <w:rFonts w:ascii="Arial" w:hAnsi="Arial" w:cs="Arial"/>
                            <w:b/>
                            <w:bCs/>
                            <w:color w:val="FFFFFF"/>
                            <w:sz w:val="14"/>
                            <w:szCs w:val="14"/>
                          </w:rPr>
                          <w:t>DSRs</w:t>
                        </w:r>
                      </w:p>
                    </w:txbxContent>
                  </v:textbox>
                </v:rect>
                <v:rect id="Rectangle 203" o:spid="_x0000_s1114" style="position:absolute;left:25489;top:8414;width:11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4AB1990A" w14:textId="047A96DF" w:rsidR="00847E53" w:rsidRDefault="00847E53" w:rsidP="001F04FD">
                        <w:r>
                          <w:rPr>
                            <w:rFonts w:ascii="Arial" w:hAnsi="Arial" w:cs="Arial"/>
                            <w:b/>
                            <w:bCs/>
                            <w:color w:val="FFFFFF"/>
                            <w:sz w:val="14"/>
                            <w:szCs w:val="14"/>
                          </w:rPr>
                          <w:t>Provide SCADA Telemetry</w:t>
                        </w:r>
                      </w:p>
                    </w:txbxContent>
                  </v:textbox>
                </v:rect>
                <v:group id="Group 204" o:spid="_x0000_s1115"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7"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8"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79B537DA" w14:textId="77777777" w:rsidR="00847E53" w:rsidRDefault="00847E53" w:rsidP="001F04FD">
                        <w:r>
                          <w:rPr>
                            <w:rFonts w:ascii="Arial" w:hAnsi="Arial" w:cs="Arial"/>
                            <w:b/>
                            <w:bCs/>
                            <w:color w:val="000000"/>
                            <w:sz w:val="14"/>
                            <w:szCs w:val="14"/>
                          </w:rPr>
                          <w:t>ERCOT Activity:</w:t>
                        </w:r>
                      </w:p>
                    </w:txbxContent>
                  </v:textbox>
                </v:rect>
                <v:rect id="Rectangle 208" o:spid="_x0000_s1119"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20"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22D8F5BC" w14:textId="77777777" w:rsidR="00847E53" w:rsidRDefault="00847E53" w:rsidP="001F04FD">
                        <w:r>
                          <w:rPr>
                            <w:rFonts w:ascii="Arial" w:hAnsi="Arial" w:cs="Arial"/>
                            <w:b/>
                            <w:bCs/>
                            <w:color w:val="000000"/>
                            <w:sz w:val="14"/>
                            <w:szCs w:val="14"/>
                          </w:rPr>
                          <w:t>Communicate</w:t>
                        </w:r>
                      </w:p>
                    </w:txbxContent>
                  </v:textbox>
                </v:rect>
                <v:rect id="Rectangle 210" o:spid="_x0000_s1121"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63954134" w14:textId="77777777" w:rsidR="00847E53" w:rsidRDefault="00847E53" w:rsidP="001F04FD">
                        <w:r>
                          <w:rPr>
                            <w:rFonts w:ascii="Arial" w:hAnsi="Arial" w:cs="Arial"/>
                            <w:b/>
                            <w:bCs/>
                            <w:color w:val="000000"/>
                            <w:sz w:val="14"/>
                            <w:szCs w:val="14"/>
                          </w:rPr>
                          <w:t>HRUC Commitments</w:t>
                        </w:r>
                      </w:p>
                    </w:txbxContent>
                  </v:textbox>
                </v:rect>
                <v:shape id="Freeform 211" o:spid="_x0000_s1122"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77C0F89E" w14:textId="77777777" w:rsidR="001F04FD" w:rsidRDefault="001F04FD" w:rsidP="001F04FD">
      <w:pPr>
        <w:pStyle w:val="BodyTextNumbered"/>
        <w:spacing w:before="240"/>
      </w:pPr>
    </w:p>
    <w:p w14:paraId="410EB471" w14:textId="77777777" w:rsidR="001F04FD" w:rsidRDefault="001F04FD" w:rsidP="001F04FD">
      <w:pPr>
        <w:pStyle w:val="BodyTextNumbered"/>
        <w:spacing w:before="240"/>
      </w:pPr>
    </w:p>
    <w:p w14:paraId="6C2D3461" w14:textId="77777777" w:rsidR="001F04FD" w:rsidRDefault="001F04FD" w:rsidP="001F04FD">
      <w:pPr>
        <w:pStyle w:val="BodyTextNumbered"/>
        <w:spacing w:before="240"/>
      </w:pPr>
    </w:p>
    <w:p w14:paraId="1D3F6B92" w14:textId="77777777" w:rsidR="001F04FD" w:rsidRDefault="001F04FD" w:rsidP="001F04FD">
      <w:pPr>
        <w:pStyle w:val="BodyTextNumbered"/>
        <w:spacing w:before="240"/>
      </w:pPr>
    </w:p>
    <w:p w14:paraId="250E7D1C" w14:textId="77777777" w:rsidR="001F04FD" w:rsidRDefault="001F04FD" w:rsidP="001F04FD">
      <w:pPr>
        <w:pStyle w:val="BodyTextNumbered"/>
        <w:spacing w:before="240"/>
      </w:pPr>
    </w:p>
    <w:p w14:paraId="37E25012" w14:textId="77777777" w:rsidR="001F04FD" w:rsidRDefault="001F04FD" w:rsidP="001F04FD">
      <w:pPr>
        <w:pStyle w:val="BodyTextNumbered"/>
        <w:spacing w:before="240"/>
      </w:pPr>
    </w:p>
    <w:p w14:paraId="0026A586" w14:textId="77777777" w:rsidR="001F04FD" w:rsidRDefault="001F04FD" w:rsidP="001F04FD">
      <w:pPr>
        <w:pStyle w:val="BodyTextNumbered"/>
        <w:spacing w:before="240"/>
      </w:pPr>
    </w:p>
    <w:p w14:paraId="65A8B721" w14:textId="77777777" w:rsidR="001F04FD" w:rsidRDefault="001F04FD" w:rsidP="001F04FD">
      <w:pPr>
        <w:pStyle w:val="BodyTextNumbered"/>
        <w:spacing w:before="240"/>
      </w:pPr>
    </w:p>
    <w:p w14:paraId="148668B3" w14:textId="77777777" w:rsidR="001F04FD" w:rsidRDefault="001F04FD" w:rsidP="001F04FD">
      <w:pPr>
        <w:pStyle w:val="BodyTextNumbered"/>
        <w:spacing w:before="240"/>
      </w:pPr>
    </w:p>
    <w:p w14:paraId="036B589F" w14:textId="77777777" w:rsidR="001F04FD" w:rsidRDefault="001F04FD" w:rsidP="00C30E33">
      <w:pPr>
        <w:pStyle w:val="BodyTextNumbered"/>
        <w:spacing w:before="240" w:after="480"/>
      </w:pPr>
    </w:p>
    <w:p w14:paraId="48338B13" w14:textId="0EC14C40" w:rsidR="001F04FD" w:rsidRDefault="001F04FD" w:rsidP="000C6FFF">
      <w:pPr>
        <w:pStyle w:val="BodyTextNumbered"/>
        <w:spacing w:before="240"/>
      </w:pPr>
      <w:r>
        <w:lastRenderedPageBreak/>
        <w:t>(2)</w:t>
      </w:r>
      <w: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7C6B4465" w14:textId="77777777" w:rsidR="001F04FD" w:rsidRDefault="001F04FD" w:rsidP="001F04FD">
      <w:pPr>
        <w:pStyle w:val="Instructions"/>
        <w:ind w:left="720" w:hanging="720"/>
        <w:rPr>
          <w:b w:val="0"/>
          <w:i w:val="0"/>
        </w:rPr>
      </w:pPr>
      <w:r w:rsidRPr="002F0A61">
        <w:rPr>
          <w:b w:val="0"/>
          <w:i w:val="0"/>
        </w:rPr>
        <w:t>(3)</w:t>
      </w:r>
      <w:r w:rsidRPr="002F0A61">
        <w:rPr>
          <w:b w:val="0"/>
          <w:i w:val="0"/>
        </w:rPr>
        <w:tab/>
      </w:r>
      <w:r w:rsidRPr="00BF28AE">
        <w:rPr>
          <w:b w:val="0"/>
          <w:i w:val="0"/>
        </w:rPr>
        <w:t xml:space="preserve">ERCOT shall monitor Real-Time Locational Marginal Prices (LMPs), Supplemental Ancillary Services Market (SASM) Market Clearing Prices for Capacity (MCPCs), and Real-Time Settlement Point Prices, including Real-Time prices for energy metered, </w:t>
      </w:r>
      <w:r w:rsidRPr="00193B05">
        <w:rPr>
          <w:b w:val="0"/>
          <w:i w:val="0"/>
        </w:rPr>
        <w:t xml:space="preserve">Real-Time On-Line Reliability Deployment Price Adders, Real-Time On-Line Reliability Deployment Prices, </w:t>
      </w:r>
      <w:r w:rsidRPr="00BF28AE">
        <w:rPr>
          <w:b w:val="0"/>
          <w:i w:val="0"/>
        </w:rPr>
        <w:t>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w:t>
      </w:r>
      <w:r w:rsidRPr="002F0A61">
        <w:rPr>
          <w:b w:val="0"/>
          <w:i w:val="0"/>
        </w:rPr>
        <w:t xml:space="preserve">  </w:t>
      </w:r>
    </w:p>
    <w:p w14:paraId="3A2BD77E" w14:textId="2985C685" w:rsidR="001F04FD" w:rsidRPr="008E7488" w:rsidRDefault="001F04FD" w:rsidP="001F04FD">
      <w:pPr>
        <w:pStyle w:val="BodyTextNumbered"/>
      </w:pPr>
      <w:r w:rsidRPr="008E7488">
        <w:t>(4)</w:t>
      </w:r>
      <w:r w:rsidRPr="008E7488">
        <w:tab/>
        <w:t xml:space="preserve">ERCOT shall correct prices </w:t>
      </w:r>
      <w:r w:rsidR="005B6369">
        <w:t xml:space="preserve">for an Operating Day </w:t>
      </w:r>
      <w:r w:rsidRPr="008E7488">
        <w:t>when</w:t>
      </w:r>
      <w:r w:rsidR="005B6369" w:rsidRPr="005B6369">
        <w:t xml:space="preserve"> </w:t>
      </w:r>
      <w:r w:rsidR="005B6369">
        <w:t>accurate prices can be determined, the impact of the price correction is determined to be significant, and one of the following conditions has been met</w:t>
      </w:r>
      <w:r w:rsidRPr="008E7488">
        <w:t xml:space="preserve">: </w:t>
      </w:r>
      <w:r w:rsidR="00172067">
        <w:t xml:space="preserve"> </w:t>
      </w:r>
      <w:r w:rsidRPr="008E7488">
        <w:t xml:space="preserve">a market solution is determined to be invalid, invalid prices are identified in an otherwise valid market solution, the Base Points received by Market Participants are inconsistent with the Base Points of a valid market solution, </w:t>
      </w:r>
      <w:r>
        <w:t xml:space="preserve">or the </w:t>
      </w:r>
      <w:r w:rsidRPr="008E7488">
        <w:t>Security-Constrained Economic Dispatch (</w:t>
      </w:r>
      <w:r>
        <w:t xml:space="preserve">SCED) process experiences a failure as described in Section 6.5.9.2, </w:t>
      </w:r>
      <w:r w:rsidRPr="001D42DE">
        <w:t>Failure of the SCED Process</w:t>
      </w:r>
      <w:r w:rsidRPr="008E7488">
        <w:t>.  The following are some reasons that may cause these conditions</w:t>
      </w:r>
      <w:r w:rsidR="00172067">
        <w:t>:</w:t>
      </w:r>
    </w:p>
    <w:p w14:paraId="3EF6DFE7" w14:textId="77777777" w:rsidR="001F04FD" w:rsidRPr="008E7488" w:rsidRDefault="001F04FD" w:rsidP="001F04FD">
      <w:pPr>
        <w:pStyle w:val="List"/>
      </w:pPr>
      <w:r w:rsidRPr="008E7488">
        <w:t>(a)</w:t>
      </w:r>
      <w:r w:rsidRPr="008E7488">
        <w:tab/>
        <w:t>Data Input error:  Missing, incomplete, stale, or incorrect versions of one or more data elements input to the market applications may result in an invalid market solution and/or prices.</w:t>
      </w:r>
    </w:p>
    <w:p w14:paraId="1FF886AC" w14:textId="5D7E4A10" w:rsidR="001F04FD" w:rsidRPr="008E7488" w:rsidRDefault="001F04FD" w:rsidP="001F04FD">
      <w:pPr>
        <w:pStyle w:val="List"/>
      </w:pPr>
      <w:r w:rsidRPr="008E7488">
        <w:t>(b)</w:t>
      </w:r>
      <w:r w:rsidRPr="008E7488">
        <w:tab/>
        <w:t xml:space="preserve">Data Output error:  These include: </w:t>
      </w:r>
      <w:r w:rsidR="005006D5">
        <w:t xml:space="preserve"> </w:t>
      </w:r>
      <w:r w:rsidRPr="008E7488">
        <w:t>incorrect or incomplete data transfer, price recalculation error in post-processing, and Base Points inconsistent with prices due to the Emergency Base Point flag remaining activated even when the SCED solution is valid.</w:t>
      </w:r>
    </w:p>
    <w:p w14:paraId="1C534197" w14:textId="6D5321B8" w:rsidR="001F04FD" w:rsidRPr="008E7488" w:rsidRDefault="001F04FD" w:rsidP="001F04FD">
      <w:pPr>
        <w:pStyle w:val="List"/>
      </w:pPr>
      <w:r w:rsidRPr="008E7488">
        <w:t>(c)</w:t>
      </w:r>
      <w:r w:rsidRPr="008E7488">
        <w:tab/>
        <w:t xml:space="preserve">Hardware/Software error: </w:t>
      </w:r>
      <w:r w:rsidR="00A366B5">
        <w:t xml:space="preserve"> </w:t>
      </w:r>
      <w:r w:rsidRPr="008E7488">
        <w:t>These include unpredicted hardware or software failures, planned market system or database outages, planned application or database upgrades, software implementation errors, and failure of the market run to complete.</w:t>
      </w:r>
    </w:p>
    <w:p w14:paraId="4107EDCF" w14:textId="77777777" w:rsidR="001F04FD" w:rsidRPr="008E7488" w:rsidRDefault="001F04FD" w:rsidP="001F04FD">
      <w:pPr>
        <w:pStyle w:val="List"/>
      </w:pPr>
      <w:r w:rsidRPr="008E7488">
        <w:t>(d)</w:t>
      </w:r>
      <w:r w:rsidRPr="008E7488">
        <w:tab/>
        <w:t>Inconsistency with the Protocols or Public Utility Commission of Texas (PUCT) Substantive Rules:  Pricing errors may occur when specific circumstances result in prices that are in conflict with such Protocol language or the PUCT Substantive Rules.</w:t>
      </w:r>
    </w:p>
    <w:p w14:paraId="19989EAC" w14:textId="77777777" w:rsidR="005B6369" w:rsidRPr="00371FDF" w:rsidRDefault="005B6369" w:rsidP="005B6369">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0F0BE582" w14:textId="77777777" w:rsidR="005B6369" w:rsidRPr="00371FDF" w:rsidRDefault="005B6369" w:rsidP="005B6369">
      <w:pPr>
        <w:spacing w:after="240"/>
        <w:ind w:left="1440" w:hanging="720"/>
        <w:rPr>
          <w:iCs/>
        </w:rPr>
      </w:pPr>
      <w:r w:rsidRPr="00371FDF">
        <w:lastRenderedPageBreak/>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56706878" w14:textId="77777777" w:rsidR="005B6369" w:rsidRPr="00371FDF" w:rsidRDefault="005B6369" w:rsidP="005B6369">
      <w:pPr>
        <w:spacing w:after="240"/>
        <w:ind w:left="1440" w:hanging="720"/>
        <w:rPr>
          <w:iCs/>
        </w:rPr>
      </w:pPr>
      <w:r w:rsidRPr="00371FDF">
        <w:rPr>
          <w:iCs/>
        </w:rPr>
        <w:t>(b)       The price correction would require ERCOT to change more than 50 Real-Time Settlement Point Prices;</w:t>
      </w:r>
    </w:p>
    <w:p w14:paraId="31649EEF" w14:textId="77777777" w:rsidR="005B6369" w:rsidRPr="00371FDF" w:rsidRDefault="005B6369" w:rsidP="005B6369">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7C31FA68" w14:textId="77777777" w:rsidR="005B6369" w:rsidRPr="00967E05" w:rsidRDefault="005B6369" w:rsidP="005B6369">
      <w:pPr>
        <w:spacing w:after="240"/>
        <w:ind w:left="1440" w:hanging="720"/>
        <w:rPr>
          <w:iCs/>
        </w:rPr>
      </w:pPr>
      <w:r w:rsidRPr="00967E05">
        <w:rPr>
          <w:iCs/>
        </w:rPr>
        <w:t>(d)       The estimated absolute total dollar impact for changes to Real-Time prices for energy metered is greater than $500; or</w:t>
      </w:r>
    </w:p>
    <w:p w14:paraId="246061D7" w14:textId="77777777" w:rsidR="005B6369" w:rsidRPr="000C1085" w:rsidRDefault="005B6369" w:rsidP="005B6369">
      <w:pPr>
        <w:spacing w:after="240"/>
        <w:ind w:left="1440" w:hanging="720"/>
      </w:pPr>
      <w:r w:rsidRPr="00967E05">
        <w:t>(e)       The absolute total dollar impact for changes to SASM MCPCs is greater than $500.</w:t>
      </w:r>
    </w:p>
    <w:p w14:paraId="683B01A0" w14:textId="11BC2856" w:rsidR="001F04FD" w:rsidRDefault="001F04FD" w:rsidP="005B6369">
      <w:pPr>
        <w:pStyle w:val="List"/>
        <w:ind w:left="720"/>
      </w:pPr>
      <w:r w:rsidRPr="008E7488">
        <w:t>(</w:t>
      </w:r>
      <w:r w:rsidR="005B6369">
        <w:t>6</w:t>
      </w:r>
      <w:r w:rsidRPr="008E7488">
        <w:t>)</w:t>
      </w:r>
      <w:r w:rsidRPr="008E7488">
        <w:tab/>
        <w:t xml:space="preserve">If it is determined that any Real-Time Settlement Point Prices, Settlement Point LMPs, Electrical Bus LMPs, Real-Time prices for energy metered, </w:t>
      </w:r>
      <w:r w:rsidRPr="00193B05">
        <w:t xml:space="preserve">Real-Time On-Line Reliability Deployment Price Adders, Real-Time On-Line Reliability Deployment Prices, </w:t>
      </w:r>
      <w:r w:rsidRPr="0080555B">
        <w:t>Real-Time On-Line Reserve Price Adders, Real-Time Off-Line Reserve Price Adders, Real-Time Reserve Price</w:t>
      </w:r>
      <w:r>
        <w:t>s</w:t>
      </w:r>
      <w:r w:rsidRPr="0080555B">
        <w:t xml:space="preserve"> for On-Line Reserves, Real-Time Reserve Price</w:t>
      </w:r>
      <w:r>
        <w:t>s</w:t>
      </w:r>
      <w:r w:rsidRPr="0080555B">
        <w:t xml:space="preserve"> for Off-Line Reserves, </w:t>
      </w:r>
      <w:r w:rsidRPr="008E7488">
        <w:t>and/or constraint Shadow Prices are erroneous, ERCOT shall correct the prices before the prices are considered final in paragraph (</w:t>
      </w:r>
      <w:r w:rsidR="005B6369">
        <w:t>7</w:t>
      </w:r>
      <w:r w:rsidRPr="008E7488">
        <w:t>) below.  Specifically:</w:t>
      </w:r>
    </w:p>
    <w:p w14:paraId="3ABA58C0" w14:textId="7A6435F1" w:rsidR="001F04FD" w:rsidRDefault="001F04FD" w:rsidP="001F04FD">
      <w:pPr>
        <w:pStyle w:val="List"/>
      </w:pPr>
      <w:r>
        <w:t>(a)</w:t>
      </w:r>
      <w:r>
        <w:tab/>
      </w:r>
      <w:r w:rsidRPr="001B4EA3">
        <w:t xml:space="preserve">If </w:t>
      </w:r>
      <w:r>
        <w:t xml:space="preserve">it is determined that </w:t>
      </w:r>
      <w:r w:rsidRPr="001B4EA3">
        <w:t xml:space="preserve">correcting </w:t>
      </w:r>
      <w:r>
        <w:t xml:space="preserve">the Real-Time Settlement Point Prices </w:t>
      </w:r>
      <w:r w:rsidRPr="001B4EA3">
        <w:t xml:space="preserve">will not affect the Base Points that were received by </w:t>
      </w:r>
      <w:r>
        <w:t>Qualified Scheduling Entities (</w:t>
      </w:r>
      <w:r w:rsidRPr="001B4EA3">
        <w:t>QSEs</w:t>
      </w:r>
      <w:r>
        <w:t>)</w:t>
      </w:r>
      <w:r w:rsidRPr="001B4EA3">
        <w:t xml:space="preserve">, then ERCOT shall correct the prices </w:t>
      </w:r>
      <w:r>
        <w:t xml:space="preserve">before the prices are considered final </w:t>
      </w:r>
      <w:r w:rsidRPr="001B4EA3">
        <w:t>in paragraph (</w:t>
      </w:r>
      <w:r w:rsidR="00172067">
        <w:t>7</w:t>
      </w:r>
      <w:r w:rsidRPr="001B4EA3">
        <w:t>)</w:t>
      </w:r>
      <w:r>
        <w:t xml:space="preserve"> below.</w:t>
      </w:r>
    </w:p>
    <w:p w14:paraId="19EBA0BC" w14:textId="77777777" w:rsidR="001F04FD" w:rsidRPr="00A5053F" w:rsidRDefault="001F04FD" w:rsidP="001F04FD">
      <w:pPr>
        <w:pStyle w:val="List"/>
      </w:pPr>
      <w:r>
        <w:t>(b)</w:t>
      </w:r>
      <w:r>
        <w:tab/>
      </w:r>
      <w:r w:rsidRPr="001B4EA3">
        <w:t xml:space="preserve">If </w:t>
      </w:r>
      <w:r>
        <w:t xml:space="preserve">it is determined that correcting the Real-Time Settlement Point Prices </w:t>
      </w:r>
      <w:r w:rsidRPr="001B4EA3">
        <w:t xml:space="preserve">will affect the Base Points that were received by QSEs, </w:t>
      </w:r>
      <w:r>
        <w:rPr>
          <w:iCs/>
        </w:rPr>
        <w:t xml:space="preserve">then ERCOT shall correct the prices </w:t>
      </w:r>
      <w:r>
        <w:t>before the prices are considered final</w:t>
      </w:r>
      <w:r w:rsidRPr="001B4EA3">
        <w:t xml:space="preserve"> and settle the SCED executions as </w:t>
      </w:r>
      <w:r w:rsidRPr="00326D2C">
        <w:t>failed in ac</w:t>
      </w:r>
      <w:r w:rsidRPr="00A5053F">
        <w:t xml:space="preserve">cordance with Section 6.5.9.2.  </w:t>
      </w:r>
    </w:p>
    <w:p w14:paraId="7F81FDBF" w14:textId="77777777" w:rsidR="001F04FD" w:rsidRDefault="001F04FD" w:rsidP="001F04FD">
      <w:pPr>
        <w:pStyle w:val="List"/>
      </w:pPr>
      <w:r w:rsidRPr="00BF28AE">
        <w:t>(c)</w:t>
      </w:r>
      <w:r w:rsidRPr="00BF28AE">
        <w:tab/>
        <w:t xml:space="preserve">If the Base Points received by QSEs are inconsistent with the Real-Time Settlement Point Prices reduced by the </w:t>
      </w:r>
      <w:r w:rsidRPr="005F4D45">
        <w:t xml:space="preserve">sum of the Real-Time On-Line Reliability Deployment Prices and the </w:t>
      </w:r>
      <w:r w:rsidRPr="00BF28AE">
        <w:t>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38F08418" w14:textId="7176626C" w:rsidR="001F04FD" w:rsidRDefault="001F04FD" w:rsidP="001F04FD">
      <w:pPr>
        <w:pStyle w:val="BodyTextNumbered"/>
      </w:pPr>
      <w:r>
        <w:t>(</w:t>
      </w:r>
      <w:r w:rsidR="005B6369">
        <w:t>7</w:t>
      </w:r>
      <w:r>
        <w:t>)</w:t>
      </w:r>
      <w:r>
        <w:tab/>
        <w:t xml:space="preserve">All Real-Time LMPs, Real-Time Settlement Point Prices, Real-Time prices for energy metered, </w:t>
      </w:r>
      <w:r w:rsidRPr="00193B05">
        <w:t>Real-Time On-Line Reliability Deployment Price Adders, Real-Time On-Line Reliability Deployment Prices,</w:t>
      </w:r>
      <w:r>
        <w:t xml:space="preserve"> </w:t>
      </w:r>
      <w:r w:rsidRPr="0080555B">
        <w:t>Real-Time Reserve Prices for On-Line Reserves, Real-Time Reserve Prices for Off-Line Reserves, Real-Time On-Line Reserve Price Adders</w:t>
      </w:r>
      <w:r>
        <w:t>,</w:t>
      </w:r>
      <w:r w:rsidRPr="0080555B">
        <w:t xml:space="preserve"> Real-Time Off-Line Reserve Price Adders </w:t>
      </w:r>
      <w:r>
        <w:t xml:space="preserve">and SASM MCPCs are final at 1600 of the second Business Day after the Operating Day.  </w:t>
      </w:r>
    </w:p>
    <w:p w14:paraId="7E08625C" w14:textId="4FB62B7C" w:rsidR="001F04FD" w:rsidRDefault="001F04FD" w:rsidP="001F04FD">
      <w:pPr>
        <w:pStyle w:val="BodyTextNumbered"/>
        <w:ind w:left="1440"/>
      </w:pPr>
      <w:r w:rsidRPr="008E7488">
        <w:lastRenderedPageBreak/>
        <w:t>(a)</w:t>
      </w:r>
      <w:r w:rsidRPr="008E7488">
        <w:tab/>
        <w:t xml:space="preserve">However, after Real-Time LMPs, Real Time Settlement Point Prices, Real-Time prices for energy metered, </w:t>
      </w:r>
      <w:r w:rsidRPr="00193B05">
        <w:t xml:space="preserve">Real-Time On-Line Reliability Deployment Price Adders, Real-Time On-Line Reliability Deployment Prices, </w:t>
      </w:r>
      <w:r w:rsidRPr="0080555B">
        <w:t xml:space="preserve">Real-Time Reserve Prices for On-Line Reserves, Real-Time Reserve Prices for Off-Line Reserves, Real-Time On-Line Reserve Price Adders, Real-Time Off-Line Reserve Price Adders </w:t>
      </w:r>
      <w:r w:rsidRPr="008E7488">
        <w:t xml:space="preserve">and SASM MCPCs are final, if ERCOT determines that prices </w:t>
      </w:r>
      <w:r w:rsidR="005B6369">
        <w:t>qualify for a price correction pursuant to paragraph (4) above</w:t>
      </w:r>
      <w:r w:rsidR="005B6369" w:rsidRPr="008E7488">
        <w:t xml:space="preserve"> </w:t>
      </w:r>
      <w:r w:rsidRPr="008E7488">
        <w:t xml:space="preserve">and </w:t>
      </w:r>
      <w:r w:rsidR="005B6369">
        <w:t xml:space="preserve">that ERCOT will </w:t>
      </w:r>
      <w:r w:rsidRPr="008E7488">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22B254DE" w14:textId="77777777" w:rsidR="001F04FD" w:rsidRDefault="001F04FD" w:rsidP="001F04FD">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2E6E7C6D" w14:textId="77777777" w:rsidR="001F04FD" w:rsidRDefault="001F04FD" w:rsidP="001F04FD">
      <w:pPr>
        <w:pStyle w:val="BodyTextNumbered"/>
        <w:ind w:left="2160"/>
      </w:pPr>
      <w:r>
        <w:t>(ii)</w:t>
      </w:r>
      <w:r>
        <w:tab/>
        <w:t>The PUCT’s authority to order price corrections when permitted to do so under other law; or</w:t>
      </w:r>
    </w:p>
    <w:p w14:paraId="5FA828C7" w14:textId="1CAFE9CA" w:rsidR="001F04FD" w:rsidRPr="008E7488" w:rsidRDefault="001F04FD" w:rsidP="001F04FD">
      <w:pPr>
        <w:pStyle w:val="BodyTextNumbered"/>
        <w:ind w:left="2160"/>
      </w:pPr>
      <w:r>
        <w:t>(iii)</w:t>
      </w:r>
      <w:r>
        <w:tab/>
        <w:t>ERCOT’s authority to grant relief to a Market Participant pursuant to the timelines specified in Section 20, Alternative Dispute Resolution Procedure</w:t>
      </w:r>
      <w:r w:rsidR="00992E7F">
        <w:t xml:space="preserve"> and Procedure for Return of Settlement Funds</w:t>
      </w:r>
      <w:r>
        <w:t xml:space="preserve">.  </w:t>
      </w:r>
    </w:p>
    <w:p w14:paraId="1E4C52AE" w14:textId="2193943C" w:rsidR="005B6369" w:rsidRDefault="005B6369" w:rsidP="005B6369">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00172067">
        <w:t>Real-Time Market (</w:t>
      </w:r>
      <w:r w:rsidR="00172067" w:rsidRPr="00805B0A">
        <w:t>RTM</w:t>
      </w:r>
      <w:r w:rsidR="00172067">
        <w:t>)</w:t>
      </w:r>
      <w:r w:rsidR="00172067" w:rsidRPr="00805B0A">
        <w:t xml:space="preserve"> </w:t>
      </w:r>
      <w:r w:rsidRPr="00805B0A">
        <w:t>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710C987A" w14:textId="77777777" w:rsidR="005B6369" w:rsidRDefault="005B6369" w:rsidP="005B6369">
      <w:pPr>
        <w:pStyle w:val="BodyTextNumbered"/>
        <w:ind w:left="2160"/>
      </w:pPr>
      <w:r>
        <w:t>(i)</w:t>
      </w:r>
      <w:r>
        <w:tab/>
      </w:r>
      <w:r w:rsidRPr="00371FDF">
        <w:t xml:space="preserve">2% and </w:t>
      </w:r>
      <w:r>
        <w:t xml:space="preserve">also </w:t>
      </w:r>
      <w:r w:rsidRPr="00371FDF">
        <w:t xml:space="preserve">greater than </w:t>
      </w:r>
      <w:r>
        <w:t>$20,000; or</w:t>
      </w:r>
    </w:p>
    <w:p w14:paraId="0B42742A" w14:textId="77777777" w:rsidR="005B6369" w:rsidRPr="00371FDF" w:rsidRDefault="005B6369" w:rsidP="005B6369">
      <w:pPr>
        <w:pStyle w:val="BodyTextNumbered"/>
        <w:ind w:left="2160"/>
      </w:pPr>
      <w:r>
        <w:t>(ii)</w:t>
      </w:r>
      <w:r>
        <w:tab/>
        <w:t>20% and also greater than $2,000</w:t>
      </w:r>
      <w:r w:rsidRPr="00371FDF">
        <w:t>.</w:t>
      </w:r>
    </w:p>
    <w:p w14:paraId="51314990" w14:textId="1C94884D" w:rsidR="001F04FD" w:rsidRPr="008E7488" w:rsidRDefault="001F04FD" w:rsidP="005B6369">
      <w:pPr>
        <w:pStyle w:val="BodyTextNumbered"/>
        <w:ind w:left="1440"/>
      </w:pPr>
      <w:r w:rsidRPr="008E7488">
        <w:t>(</w:t>
      </w:r>
      <w:r w:rsidR="005B6369">
        <w:t>c</w:t>
      </w:r>
      <w:r w:rsidRPr="008E7488">
        <w:t>)</w:t>
      </w:r>
      <w:r w:rsidRPr="008E7488">
        <w:tab/>
        <w:t xml:space="preserve">The ERCOT Board may review and change Real-Time LMPs, Real-Time Settlement Point Prices, Real-Time prices for energy metered, </w:t>
      </w:r>
      <w:r w:rsidRPr="00193B05">
        <w:t>Real-Time On-Line Reliability Deployment Price Adders, Real-Time On-Line Reliability Deployment Prices,</w:t>
      </w:r>
      <w:r>
        <w:t xml:space="preserve"> </w:t>
      </w:r>
      <w:r w:rsidRPr="0080555B">
        <w:t xml:space="preserve">Real-Time Reserve Prices for On-Line Reserves, Real-Time Reserve Prices for Off-Line Reserves, Real-Time On-Line Reserve Price Adders, Real-Time Off-Line Reserve Price Adders </w:t>
      </w:r>
      <w:r w:rsidRPr="008E7488">
        <w:t xml:space="preserve">and SASM MCPCs if ERCOT gave timely notice to Market Participants and the ERCOT Board finds that such prices </w:t>
      </w:r>
      <w:r w:rsidR="005B6369">
        <w:t>should be corrected for an Operating Day</w:t>
      </w:r>
      <w:r w:rsidRPr="008E7488">
        <w:t>.</w:t>
      </w:r>
    </w:p>
    <w:p w14:paraId="6ADFE909" w14:textId="1E64F00E" w:rsidR="001F04FD" w:rsidRDefault="001F04FD" w:rsidP="005B6369">
      <w:pPr>
        <w:pStyle w:val="BodyTextNumbered"/>
        <w:tabs>
          <w:tab w:val="left" w:pos="3510"/>
        </w:tabs>
        <w:ind w:left="1440"/>
      </w:pPr>
      <w:r w:rsidRPr="00BF28AE">
        <w:lastRenderedPageBreak/>
        <w:t>(</w:t>
      </w:r>
      <w:r w:rsidR="005B6369">
        <w:t>d</w:t>
      </w:r>
      <w:r w:rsidRPr="00BF28AE">
        <w:t>)</w:t>
      </w:r>
      <w:r w:rsidRPr="00BF28AE">
        <w:tab/>
        <w:t xml:space="preserve">In review of Real-Time LMPs, Real Time Settlement Point Prices, Real-Time prices for energy metered, </w:t>
      </w:r>
      <w:r w:rsidRPr="005F4D45">
        <w:t>Real-Time On-Line Reliability Deployment Price Adders, Real-Time On-Line Reliability Deployment Prices,</w:t>
      </w:r>
      <w:r>
        <w:rPr>
          <w:b/>
          <w:i/>
        </w:rPr>
        <w:t xml:space="preserve"> </w:t>
      </w:r>
      <w:r w:rsidRPr="00BF28AE">
        <w:t>Real-Time Reserve Prices for On-Line Reserves, Real-Time Reserve Prices for Off-Line Reserves, Real-Time On-Line Reserve Price Adders, Real-Time Off-Line Reserve Price Adders</w:t>
      </w:r>
      <w:r w:rsidRPr="0080555B">
        <w:t xml:space="preserve"> </w:t>
      </w:r>
      <w:r w:rsidRPr="00BF28AE">
        <w:t xml:space="preserve">and SASM MCPCs, the ERCOT Board may rely on the same reasons identified in paragraph (4) above to find that the prices </w:t>
      </w:r>
      <w:r w:rsidR="005B6369">
        <w:t>should be corrected for an Operating Day</w:t>
      </w:r>
      <w:r w:rsidRPr="00BF28A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61B40" w14:paraId="7F14E6F5" w14:textId="77777777" w:rsidTr="005B4AEE">
        <w:trPr>
          <w:trHeight w:val="206"/>
        </w:trPr>
        <w:tc>
          <w:tcPr>
            <w:tcW w:w="9350" w:type="dxa"/>
            <w:shd w:val="pct12" w:color="auto" w:fill="auto"/>
          </w:tcPr>
          <w:p w14:paraId="100EC3F0" w14:textId="0DD5E078" w:rsidR="00C61B40" w:rsidRDefault="001138B9" w:rsidP="0058150D">
            <w:pPr>
              <w:pStyle w:val="Instructions"/>
              <w:spacing w:before="120"/>
            </w:pPr>
            <w:bookmarkStart w:id="59" w:name="_Toc397504908"/>
            <w:bookmarkStart w:id="60" w:name="_Toc402357036"/>
            <w:bookmarkStart w:id="61" w:name="_Toc422486416"/>
            <w:bookmarkStart w:id="62" w:name="_Toc433093268"/>
            <w:bookmarkStart w:id="63" w:name="_Toc433093426"/>
            <w:bookmarkStart w:id="64" w:name="_Toc440874657"/>
            <w:bookmarkStart w:id="65" w:name="_Toc448142212"/>
            <w:bookmarkStart w:id="66" w:name="_Toc448142369"/>
            <w:bookmarkStart w:id="67" w:name="_Toc458770205"/>
            <w:bookmarkStart w:id="68" w:name="_Toc459294173"/>
            <w:bookmarkStart w:id="69" w:name="_Toc463262666"/>
            <w:bookmarkStart w:id="70" w:name="_Toc468286738"/>
            <w:bookmarkStart w:id="71" w:name="_Toc481502784"/>
            <w:bookmarkStart w:id="72" w:name="_Toc496079954"/>
            <w:r>
              <w:t>[NPRR1000,</w:t>
            </w:r>
            <w:r w:rsidR="00C61B40">
              <w:t xml:space="preserve"> NPRR1010</w:t>
            </w:r>
            <w:r>
              <w:t>, NPRR1014</w:t>
            </w:r>
            <w:r w:rsidR="00C50E5E">
              <w:t>, and NPRR1245</w:t>
            </w:r>
            <w:r w:rsidR="00C61B40">
              <w:t>:  Replace applicable portions</w:t>
            </w:r>
            <w:r w:rsidR="00525E33">
              <w:t xml:space="preserve"> of </w:t>
            </w:r>
            <w:r w:rsidR="00C61B40">
              <w:t>Section 6.3 above with the following upon system implementation for NPRR1000</w:t>
            </w:r>
            <w:r w:rsidR="005B6369">
              <w:t xml:space="preserve"> or</w:t>
            </w:r>
            <w:r>
              <w:t xml:space="preserve"> NPRR1014</w:t>
            </w:r>
            <w:r w:rsidR="00C61B40">
              <w:t>; or upon system implementation of the Real-Time Co-Optimi</w:t>
            </w:r>
            <w:r w:rsidR="00525E33">
              <w:t>z</w:t>
            </w:r>
            <w:r w:rsidR="00C61B40">
              <w:t>ation (RTC) project for NPRR1010</w:t>
            </w:r>
            <w:r w:rsidR="00C50E5E">
              <w:t xml:space="preserve"> and NPRR1245</w:t>
            </w:r>
            <w:r w:rsidR="00C61B40">
              <w:t>:]</w:t>
            </w:r>
          </w:p>
          <w:p w14:paraId="16ACDC6A" w14:textId="77777777" w:rsidR="00C61B40" w:rsidRPr="003161DC" w:rsidRDefault="00C61B40" w:rsidP="00C61B40">
            <w:pPr>
              <w:keepNext/>
              <w:tabs>
                <w:tab w:val="left" w:pos="900"/>
              </w:tabs>
              <w:spacing w:before="240" w:after="240"/>
              <w:outlineLvl w:val="1"/>
              <w:rPr>
                <w:b/>
              </w:rPr>
            </w:pPr>
            <w:bookmarkStart w:id="73" w:name="_Toc60040546"/>
            <w:bookmarkStart w:id="74" w:name="_Toc65151606"/>
            <w:bookmarkStart w:id="75" w:name="_Toc80174632"/>
            <w:bookmarkStart w:id="76" w:name="_Toc108712390"/>
            <w:bookmarkStart w:id="77" w:name="_Toc112417510"/>
            <w:bookmarkStart w:id="78" w:name="_Toc125966112"/>
            <w:bookmarkStart w:id="79" w:name="_Toc135992209"/>
            <w:bookmarkStart w:id="80" w:name="_Toc170303406"/>
            <w:bookmarkStart w:id="81" w:name="_Toc175157311"/>
            <w:bookmarkStart w:id="82" w:name="_Toc189044283"/>
            <w:r w:rsidRPr="003161DC">
              <w:rPr>
                <w:b/>
              </w:rPr>
              <w:t>6.3</w:t>
            </w:r>
            <w:r w:rsidRPr="003161DC">
              <w:rPr>
                <w:b/>
              </w:rPr>
              <w:tab/>
              <w:t>Adjustment Period and Real-Time Operations Timeline</w:t>
            </w:r>
            <w:bookmarkEnd w:id="73"/>
            <w:bookmarkEnd w:id="74"/>
            <w:bookmarkEnd w:id="75"/>
            <w:bookmarkEnd w:id="76"/>
            <w:bookmarkEnd w:id="77"/>
            <w:bookmarkEnd w:id="78"/>
            <w:bookmarkEnd w:id="79"/>
            <w:bookmarkEnd w:id="80"/>
            <w:bookmarkEnd w:id="81"/>
            <w:bookmarkEnd w:id="82"/>
          </w:p>
          <w:p w14:paraId="39A51756" w14:textId="6AF0E121" w:rsidR="00C61B40" w:rsidRPr="00C61B40" w:rsidRDefault="00C61B40" w:rsidP="00C61B40">
            <w:pPr>
              <w:pStyle w:val="Instructions"/>
              <w:spacing w:before="120"/>
              <w:ind w:left="690" w:hanging="690"/>
              <w:rPr>
                <w:b w:val="0"/>
                <w:i w:val="0"/>
              </w:rPr>
            </w:pPr>
            <w:r w:rsidRPr="00C61B40">
              <w:rPr>
                <w:b w:val="0"/>
                <w:i w:val="0"/>
                <w:szCs w:val="20"/>
              </w:rPr>
              <w:t>(1)</w:t>
            </w:r>
            <w:r w:rsidRPr="00C61B40">
              <w:rPr>
                <w:b w:val="0"/>
                <w:i w:val="0"/>
                <w:szCs w:val="20"/>
              </w:rPr>
              <w:tab/>
              <w:t>The figure below highlights the major activities that occur in the Adjustment Period and Real-Time operations:</w:t>
            </w:r>
          </w:p>
          <w:p w14:paraId="217F8350" w14:textId="54845851" w:rsidR="00C61B40" w:rsidRPr="00955335" w:rsidRDefault="000778F6" w:rsidP="0058150D">
            <w:pPr>
              <w:pStyle w:val="Instructions"/>
              <w:spacing w:before="120"/>
            </w:pPr>
            <w:r w:rsidRPr="00C61B40">
              <w:rPr>
                <w:b w:val="0"/>
                <w:bCs/>
                <w:i w:val="0"/>
                <w:noProof/>
                <w:sz w:val="20"/>
                <w:szCs w:val="20"/>
              </w:rPr>
              <mc:AlternateContent>
                <mc:Choice Requires="wpc">
                  <w:drawing>
                    <wp:anchor distT="0" distB="0" distL="114300" distR="114300" simplePos="0" relativeHeight="251674624" behindDoc="0" locked="0" layoutInCell="1" allowOverlap="1" wp14:anchorId="42F430ED" wp14:editId="1B57C4D3">
                      <wp:simplePos x="0" y="0"/>
                      <wp:positionH relativeFrom="column">
                        <wp:posOffset>130175</wp:posOffset>
                      </wp:positionH>
                      <wp:positionV relativeFrom="paragraph">
                        <wp:posOffset>122251</wp:posOffset>
                      </wp:positionV>
                      <wp:extent cx="5372100" cy="3479165"/>
                      <wp:effectExtent l="0" t="0" r="19050" b="0"/>
                      <wp:wrapNone/>
                      <wp:docPr id="3849"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755" name="Group 117"/>
                              <wpg:cNvGrpSpPr>
                                <a:grpSpLocks/>
                              </wpg:cNvGrpSpPr>
                              <wpg:grpSpPr bwMode="auto">
                                <a:xfrm>
                                  <a:off x="80000" y="882616"/>
                                  <a:ext cx="5265400" cy="1565329"/>
                                  <a:chOff x="2007" y="3420"/>
                                  <a:chExt cx="8292" cy="2465"/>
                                </a:xfrm>
                              </wpg:grpSpPr>
                              <wps:wsp>
                                <wps:cNvPr id="3756"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58" name="Group 120"/>
                              <wpg:cNvGrpSpPr>
                                <a:grpSpLocks/>
                              </wpg:cNvGrpSpPr>
                              <wpg:grpSpPr bwMode="auto">
                                <a:xfrm>
                                  <a:off x="927700" y="1323925"/>
                                  <a:ext cx="1604000" cy="281305"/>
                                  <a:chOff x="3342" y="4115"/>
                                  <a:chExt cx="2526" cy="443"/>
                                </a:xfrm>
                              </wpg:grpSpPr>
                              <wps:wsp>
                                <wps:cNvPr id="3759"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0"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1"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7E5" w14:textId="77777777" w:rsidR="00847E53" w:rsidRDefault="00847E53" w:rsidP="00C61B40">
                                    <w:r>
                                      <w:rPr>
                                        <w:rFonts w:ascii="Arial" w:hAnsi="Arial" w:cs="Arial"/>
                                        <w:b/>
                                        <w:bCs/>
                                        <w:color w:val="FFFFFF"/>
                                        <w:sz w:val="20"/>
                                      </w:rPr>
                                      <w:t>Preparation for</w:t>
                                    </w:r>
                                  </w:p>
                                </w:txbxContent>
                              </wps:txbx>
                              <wps:bodyPr rot="0" vert="horz" wrap="none" lIns="0" tIns="0" rIns="0" bIns="0" anchor="t" anchorCtr="0" upright="1">
                                <a:spAutoFit/>
                              </wps:bodyPr>
                            </wps:wsp>
                            <wps:wsp>
                              <wps:cNvPr id="3762"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C64F"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763"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A8A7"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764"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3FD5" w14:textId="77777777" w:rsidR="00847E53" w:rsidRDefault="00847E53" w:rsidP="00C61B40">
                                    <w:r>
                                      <w:rPr>
                                        <w:rFonts w:ascii="Arial" w:hAnsi="Arial" w:cs="Arial"/>
                                        <w:b/>
                                        <w:bCs/>
                                        <w:color w:val="FFFFFF"/>
                                        <w:sz w:val="20"/>
                                      </w:rPr>
                                      <w:t>Time Ops</w:t>
                                    </w:r>
                                  </w:p>
                                </w:txbxContent>
                              </wps:txbx>
                              <wps:bodyPr rot="0" vert="horz" wrap="none" lIns="0" tIns="0" rIns="0" bIns="0" anchor="t" anchorCtr="0" upright="1">
                                <a:spAutoFit/>
                              </wps:bodyPr>
                            </wps:wsp>
                            <wpg:wgp>
                              <wpg:cNvPr id="3765" name="Group 127"/>
                              <wpg:cNvGrpSpPr>
                                <a:grpSpLocks/>
                              </wpg:cNvGrpSpPr>
                              <wpg:grpSpPr bwMode="auto">
                                <a:xfrm>
                                  <a:off x="160600" y="1323925"/>
                                  <a:ext cx="723300" cy="682713"/>
                                  <a:chOff x="2134" y="4115"/>
                                  <a:chExt cx="1139" cy="1075"/>
                                </a:xfrm>
                              </wpg:grpSpPr>
                              <wps:wsp>
                                <wps:cNvPr id="3766"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8"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52E5" w14:textId="77777777" w:rsidR="00847E53" w:rsidRDefault="00847E53" w:rsidP="00C61B40">
                                    <w:r>
                                      <w:rPr>
                                        <w:rFonts w:ascii="Arial" w:hAnsi="Arial" w:cs="Arial"/>
                                        <w:b/>
                                        <w:bCs/>
                                        <w:color w:val="FFFFFF"/>
                                        <w:sz w:val="20"/>
                                      </w:rPr>
                                      <w:t>Adj Period</w:t>
                                    </w:r>
                                  </w:p>
                                </w:txbxContent>
                              </wps:txbx>
                              <wps:bodyPr rot="0" vert="horz" wrap="none" lIns="0" tIns="0" rIns="0" bIns="0" anchor="t" anchorCtr="0" upright="1">
                                <a:spAutoFit/>
                              </wps:bodyPr>
                            </wps:wsp>
                            <wps:wsp>
                              <wps:cNvPr id="3769"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524F" w14:textId="77777777" w:rsidR="00847E53" w:rsidRDefault="00847E53" w:rsidP="00C61B40">
                                    <w:r>
                                      <w:rPr>
                                        <w:rFonts w:ascii="Arial" w:hAnsi="Arial" w:cs="Arial"/>
                                        <w:b/>
                                        <w:bCs/>
                                        <w:color w:val="000000"/>
                                        <w:sz w:val="20"/>
                                      </w:rPr>
                                      <w:t>18:00</w:t>
                                    </w:r>
                                  </w:p>
                                </w:txbxContent>
                              </wps:txbx>
                              <wps:bodyPr rot="0" vert="horz" wrap="none" lIns="0" tIns="0" rIns="0" bIns="0" anchor="t" anchorCtr="0" upright="1">
                                <a:spAutoFit/>
                              </wps:bodyPr>
                            </wps:wsp>
                            <wps:wsp>
                              <wps:cNvPr id="3770"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F2F8" w14:textId="77777777" w:rsidR="00847E53" w:rsidRDefault="00847E53" w:rsidP="00C61B40">
                                    <w:r>
                                      <w:rPr>
                                        <w:rFonts w:ascii="Arial" w:hAnsi="Arial" w:cs="Arial"/>
                                        <w:b/>
                                        <w:bCs/>
                                        <w:color w:val="000000"/>
                                        <w:sz w:val="20"/>
                                      </w:rPr>
                                      <w:t xml:space="preserve">(D </w:t>
                                    </w:r>
                                  </w:p>
                                </w:txbxContent>
                              </wps:txbx>
                              <wps:bodyPr rot="0" vert="horz" wrap="none" lIns="0" tIns="0" rIns="0" bIns="0" anchor="t" anchorCtr="0" upright="1">
                                <a:spAutoFit/>
                              </wps:bodyPr>
                            </wps:wsp>
                            <wps:wsp>
                              <wps:cNvPr id="3771"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9E78" w14:textId="77777777" w:rsidR="00847E53" w:rsidRDefault="00847E53" w:rsidP="00C61B40">
                                    <w:r>
                                      <w:rPr>
                                        <w:rFonts w:ascii="Arial" w:hAnsi="Arial" w:cs="Arial"/>
                                        <w:b/>
                                        <w:bCs/>
                                        <w:color w:val="000000"/>
                                        <w:sz w:val="20"/>
                                      </w:rPr>
                                      <w:t>–</w:t>
                                    </w:r>
                                  </w:p>
                                </w:txbxContent>
                              </wps:txbx>
                              <wps:bodyPr rot="0" vert="horz" wrap="none" lIns="0" tIns="0" rIns="0" bIns="0" anchor="t" anchorCtr="0" upright="1">
                                <a:spAutoFit/>
                              </wps:bodyPr>
                            </wps:wsp>
                            <wps:wsp>
                              <wps:cNvPr id="3772"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649B" w14:textId="77777777" w:rsidR="00847E53" w:rsidRDefault="00847E53" w:rsidP="00C61B40">
                                    <w:r>
                                      <w:rPr>
                                        <w:rFonts w:ascii="Arial" w:hAnsi="Arial" w:cs="Arial"/>
                                        <w:b/>
                                        <w:bCs/>
                                        <w:color w:val="000000"/>
                                        <w:sz w:val="20"/>
                                      </w:rPr>
                                      <w:t>1)</w:t>
                                    </w:r>
                                  </w:p>
                                </w:txbxContent>
                              </wps:txbx>
                              <wps:bodyPr rot="0" vert="horz" wrap="none" lIns="0" tIns="0" rIns="0" bIns="0" anchor="t" anchorCtr="0" upright="1">
                                <a:spAutoFit/>
                              </wps:bodyPr>
                            </wps:wsp>
                            <wps:wsp>
                              <wps:cNvPr id="3773"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BC6B" w14:textId="77777777" w:rsidR="00847E53" w:rsidRDefault="00847E53" w:rsidP="00C61B40">
                                    <w:r>
                                      <w:rPr>
                                        <w:rFonts w:ascii="Arial" w:hAnsi="Arial" w:cs="Arial"/>
                                        <w:b/>
                                        <w:bCs/>
                                        <w:color w:val="000000"/>
                                        <w:sz w:val="20"/>
                                      </w:rPr>
                                      <w:t>60 Minutes</w:t>
                                    </w:r>
                                  </w:p>
                                </w:txbxContent>
                              </wps:txbx>
                              <wps:bodyPr rot="0" vert="horz" wrap="none" lIns="0" tIns="0" rIns="0" bIns="0" anchor="t" anchorCtr="0" upright="1">
                                <a:spAutoFit/>
                              </wps:bodyPr>
                            </wps:wsp>
                            <wps:wsp>
                              <wps:cNvPr id="3774"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9A6" w14:textId="77777777" w:rsidR="00847E53" w:rsidRDefault="00847E53" w:rsidP="00C61B40">
                                    <w:r>
                                      <w:rPr>
                                        <w:rFonts w:ascii="Arial" w:hAnsi="Arial" w:cs="Arial"/>
                                        <w:b/>
                                        <w:bCs/>
                                        <w:color w:val="000000"/>
                                        <w:sz w:val="20"/>
                                      </w:rPr>
                                      <w:t>Prior to</w:t>
                                    </w:r>
                                  </w:p>
                                </w:txbxContent>
                              </wps:txbx>
                              <wps:bodyPr rot="0" vert="horz" wrap="none" lIns="0" tIns="0" rIns="0" bIns="0" anchor="t" anchorCtr="0" upright="1">
                                <a:spAutoFit/>
                              </wps:bodyPr>
                            </wps:wsp>
                            <wps:wsp>
                              <wps:cNvPr id="3775"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5BA5" w14:textId="77777777" w:rsidR="00847E53" w:rsidRDefault="00847E53" w:rsidP="00C61B40">
                                    <w:r>
                                      <w:rPr>
                                        <w:rFonts w:ascii="Arial" w:hAnsi="Arial" w:cs="Arial"/>
                                        <w:b/>
                                        <w:bCs/>
                                        <w:color w:val="000000"/>
                                        <w:sz w:val="20"/>
                                      </w:rPr>
                                      <w:t>Op Hour</w:t>
                                    </w:r>
                                  </w:p>
                                </w:txbxContent>
                              </wps:txbx>
                              <wps:bodyPr rot="0" vert="horz" wrap="none" lIns="0" tIns="0" rIns="0" bIns="0" anchor="t" anchorCtr="0" upright="1">
                                <a:spAutoFit/>
                              </wps:bodyPr>
                            </wps:wsp>
                            <wpg:wgp>
                              <wpg:cNvPr id="3776" name="Group 138"/>
                              <wpg:cNvGrpSpPr>
                                <a:grpSpLocks/>
                              </wpg:cNvGrpSpPr>
                              <wpg:grpSpPr bwMode="auto">
                                <a:xfrm>
                                  <a:off x="202500" y="467067"/>
                                  <a:ext cx="1406500" cy="576253"/>
                                  <a:chOff x="2197" y="2598"/>
                                  <a:chExt cx="2215" cy="1075"/>
                                </a:xfrm>
                              </wpg:grpSpPr>
                              <wps:wsp>
                                <wps:cNvPr id="3777"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79" name="Rectangle 141"/>
                              <wps:cNvSpPr>
                                <a:spLocks noChangeArrowheads="1"/>
                              </wps:cNvSpPr>
                              <wps:spPr bwMode="auto">
                                <a:xfrm>
                                  <a:off x="582300" y="556973"/>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3881"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780" name="Rectangle 142"/>
                              <wps:cNvSpPr>
                                <a:spLocks noChangeArrowheads="1"/>
                              </wps:cNvSpPr>
                              <wps:spPr bwMode="auto">
                                <a:xfrm>
                                  <a:off x="578911" y="65745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143"/>
                              <wps:cNvSpPr>
                                <a:spLocks noChangeArrowheads="1"/>
                              </wps:cNvSpPr>
                              <wps:spPr bwMode="auto">
                                <a:xfrm>
                                  <a:off x="262300" y="70303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C9DF" w14:textId="77777777" w:rsidR="00847E53" w:rsidRDefault="00847E53" w:rsidP="00C61B40">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782" name="Rectangle 144"/>
                              <wps:cNvSpPr>
                                <a:spLocks noChangeArrowheads="1"/>
                              </wps:cNvSpPr>
                              <wps:spPr bwMode="auto">
                                <a:xfrm>
                                  <a:off x="446400" y="64901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C2D5" w14:textId="77777777" w:rsidR="00847E53" w:rsidRDefault="00847E53" w:rsidP="00C61B40"/>
                                </w:txbxContent>
                              </wps:txbx>
                              <wps:bodyPr rot="0" vert="horz" wrap="none" lIns="0" tIns="0" rIns="0" bIns="0" anchor="t" anchorCtr="0" upright="1">
                                <a:spAutoFit/>
                              </wps:bodyPr>
                            </wps:wsp>
                            <wps:wsp>
                              <wps:cNvPr id="3783" name="Rectangle 145"/>
                              <wps:cNvSpPr>
                                <a:spLocks noChangeArrowheads="1"/>
                              </wps:cNvSpPr>
                              <wps:spPr bwMode="auto">
                                <a:xfrm>
                                  <a:off x="333400" y="819916"/>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60B3" w14:textId="77777777" w:rsidR="00847E53" w:rsidRDefault="00847E53" w:rsidP="00C61B40">
                                    <w:r>
                                      <w:rPr>
                                        <w:rFonts w:ascii="Arial" w:hAnsi="Arial" w:cs="Arial"/>
                                        <w:b/>
                                        <w:bCs/>
                                        <w:color w:val="FFFFFF"/>
                                        <w:sz w:val="14"/>
                                        <w:szCs w:val="14"/>
                                      </w:rPr>
                                      <w:t>Update Output Schedules</w:t>
                                    </w:r>
                                  </w:p>
                                </w:txbxContent>
                              </wps:txbx>
                              <wps:bodyPr rot="0" vert="horz" wrap="none" lIns="0" tIns="0" rIns="0" bIns="0" anchor="t" anchorCtr="0" upright="1">
                                <a:spAutoFit/>
                              </wps:bodyPr>
                            </wps:wsp>
                            <wpg:wgp>
                              <wpg:cNvPr id="3786" name="Group 148"/>
                              <wpg:cNvGrpSpPr>
                                <a:grpSpLocks/>
                              </wpg:cNvGrpSpPr>
                              <wpg:grpSpPr bwMode="auto">
                                <a:xfrm>
                                  <a:off x="2411000" y="2729251"/>
                                  <a:ext cx="1447200" cy="682013"/>
                                  <a:chOff x="5678" y="6328"/>
                                  <a:chExt cx="2279" cy="1074"/>
                                </a:xfrm>
                              </wpg:grpSpPr>
                              <wps:wsp>
                                <wps:cNvPr id="378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9"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82CC"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79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D80F" w14:textId="77777777" w:rsidR="00847E53" w:rsidRDefault="00847E53" w:rsidP="00C61B40">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792"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5426" w14:textId="77777777" w:rsidR="00847E53" w:rsidRDefault="00847E53" w:rsidP="00C61B40">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793" name="Rectangle 155"/>
                              <wps:cNvSpPr>
                                <a:spLocks noChangeArrowheads="1"/>
                              </wps:cNvSpPr>
                              <wps:spPr bwMode="auto">
                                <a:xfrm>
                                  <a:off x="3474618"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3FE7" w14:textId="77777777" w:rsidR="00847E53" w:rsidRDefault="00847E53" w:rsidP="00C61B40">
                                    <w:r>
                                      <w:rPr>
                                        <w:rFonts w:ascii="Arial" w:hAnsi="Arial" w:cs="Arial"/>
                                        <w:b/>
                                        <w:bCs/>
                                        <w:color w:val="000000"/>
                                        <w:sz w:val="14"/>
                                        <w:szCs w:val="14"/>
                                      </w:rPr>
                                      <w:t>mins</w:t>
                                    </w:r>
                                  </w:p>
                                </w:txbxContent>
                              </wps:txbx>
                              <wps:bodyPr rot="0" vert="horz" wrap="none" lIns="0" tIns="0" rIns="0" bIns="0" anchor="t" anchorCtr="0" upright="1">
                                <a:spAutoFit/>
                              </wps:bodyPr>
                            </wps:wsp>
                            <wps:wsp>
                              <wps:cNvPr id="379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4FDF" w14:textId="77777777" w:rsidR="00847E53" w:rsidRDefault="00847E53" w:rsidP="00C61B40">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795"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6995" w14:textId="77777777" w:rsidR="00847E53" w:rsidRDefault="00847E53" w:rsidP="00C61B40">
                                    <w:r>
                                      <w:rPr>
                                        <w:rFonts w:ascii="Arial" w:hAnsi="Arial" w:cs="Arial"/>
                                        <w:b/>
                                        <w:bCs/>
                                        <w:color w:val="000000"/>
                                        <w:sz w:val="14"/>
                                        <w:szCs w:val="14"/>
                                      </w:rPr>
                                      <w:t>Awards &amp; Prices</w:t>
                                    </w:r>
                                  </w:p>
                                </w:txbxContent>
                              </wps:txbx>
                              <wps:bodyPr rot="0" vert="horz" wrap="none" lIns="0" tIns="0" rIns="0" bIns="0" anchor="t" anchorCtr="0" upright="1">
                                <a:spAutoFit/>
                              </wps:bodyPr>
                            </wps:wsp>
                            <wpg:wgp>
                              <wpg:cNvPr id="3796" name="Group 158"/>
                              <wpg:cNvGrpSpPr>
                                <a:grpSpLocks/>
                              </wpg:cNvGrpSpPr>
                              <wpg:grpSpPr bwMode="auto">
                                <a:xfrm>
                                  <a:off x="321300" y="2929855"/>
                                  <a:ext cx="964500" cy="481409"/>
                                  <a:chOff x="2387" y="6644"/>
                                  <a:chExt cx="1519" cy="758"/>
                                </a:xfrm>
                              </wpg:grpSpPr>
                              <wps:wsp>
                                <wps:cNvPr id="379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99"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714"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0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B3A5" w14:textId="77777777" w:rsidR="00847E53" w:rsidRDefault="00847E53" w:rsidP="00C61B40">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802"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3DD3" w14:textId="77777777" w:rsidR="00847E53" w:rsidRDefault="00847E53" w:rsidP="00C61B40">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803"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807" name="Group 169"/>
                              <wpg:cNvGrpSpPr>
                                <a:grpSpLocks/>
                              </wpg:cNvGrpSpPr>
                              <wpg:grpSpPr bwMode="auto">
                                <a:xfrm>
                                  <a:off x="923900" y="1645231"/>
                                  <a:ext cx="2934300" cy="160703"/>
                                  <a:chOff x="3336" y="4621"/>
                                  <a:chExt cx="4621" cy="253"/>
                                </a:xfrm>
                              </wpg:grpSpPr>
                              <wps:wsp>
                                <wps:cNvPr id="3808"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09"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0"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CFD" w14:textId="77777777" w:rsidR="00847E53" w:rsidRDefault="00847E53" w:rsidP="00C61B40">
                                    <w:r>
                                      <w:rPr>
                                        <w:rFonts w:ascii="Arial" w:hAnsi="Arial" w:cs="Arial"/>
                                        <w:b/>
                                        <w:bCs/>
                                        <w:color w:val="000000"/>
                                        <w:sz w:val="20"/>
                                      </w:rPr>
                                      <w:t>Operating Period</w:t>
                                    </w:r>
                                  </w:p>
                                </w:txbxContent>
                              </wps:txbx>
                              <wps:bodyPr rot="0" vert="horz" wrap="none" lIns="0" tIns="0" rIns="0" bIns="0" anchor="t" anchorCtr="0" upright="1">
                                <a:spAutoFit/>
                              </wps:bodyPr>
                            </wps:wsp>
                            <wpg:wgp>
                              <wpg:cNvPr id="3811" name="Group 173"/>
                              <wpg:cNvGrpSpPr>
                                <a:grpSpLocks/>
                              </wpg:cNvGrpSpPr>
                              <wpg:grpSpPr bwMode="auto">
                                <a:xfrm>
                                  <a:off x="2531700" y="1845934"/>
                                  <a:ext cx="1326500" cy="160703"/>
                                  <a:chOff x="5868" y="4937"/>
                                  <a:chExt cx="2089" cy="253"/>
                                </a:xfrm>
                              </wpg:grpSpPr>
                              <wps:wsp>
                                <wps:cNvPr id="3812"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13"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4"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65" w14:textId="77777777" w:rsidR="00847E53" w:rsidRDefault="00847E53" w:rsidP="00C61B40">
                                    <w:r>
                                      <w:rPr>
                                        <w:rFonts w:ascii="Arial" w:hAnsi="Arial" w:cs="Arial"/>
                                        <w:b/>
                                        <w:bCs/>
                                        <w:color w:val="000000"/>
                                        <w:sz w:val="20"/>
                                      </w:rPr>
                                      <w:t>Operating Hour</w:t>
                                    </w:r>
                                  </w:p>
                                </w:txbxContent>
                              </wps:txbx>
                              <wps:bodyPr rot="0" vert="horz" wrap="none" lIns="0" tIns="0" rIns="0" bIns="0" anchor="t" anchorCtr="0" upright="1">
                                <a:spAutoFit/>
                              </wps:bodyPr>
                            </wps:wsp>
                            <wps:wsp>
                              <wps:cNvPr id="3815"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A4BC" w14:textId="77777777" w:rsidR="00847E53" w:rsidRDefault="00847E53" w:rsidP="00C61B40">
                                    <w:r>
                                      <w:rPr>
                                        <w:rFonts w:ascii="Arial" w:hAnsi="Arial" w:cs="Arial"/>
                                        <w:b/>
                                        <w:bCs/>
                                        <w:color w:val="000000"/>
                                        <w:sz w:val="20"/>
                                      </w:rPr>
                                      <w:t>Clock</w:t>
                                    </w:r>
                                  </w:p>
                                </w:txbxContent>
                              </wps:txbx>
                              <wps:bodyPr rot="0" vert="horz" wrap="none" lIns="0" tIns="0" rIns="0" bIns="0" anchor="t" anchorCtr="0" upright="1">
                                <a:spAutoFit/>
                              </wps:bodyPr>
                            </wps:wsp>
                            <wps:wsp>
                              <wps:cNvPr id="3817"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C935" w14:textId="77777777" w:rsidR="00847E53" w:rsidRDefault="00847E53" w:rsidP="00C61B40">
                                    <w:r>
                                      <w:rPr>
                                        <w:rFonts w:ascii="Arial" w:hAnsi="Arial" w:cs="Arial"/>
                                        <w:b/>
                                        <w:bCs/>
                                        <w:color w:val="000000"/>
                                        <w:sz w:val="20"/>
                                      </w:rPr>
                                      <w:t>Hour</w:t>
                                    </w:r>
                                  </w:p>
                                </w:txbxContent>
                              </wps:txbx>
                              <wps:bodyPr rot="0" vert="horz" wrap="none" lIns="0" tIns="0" rIns="0" bIns="0" anchor="t" anchorCtr="0" upright="1">
                                <a:spAutoFit/>
                              </wps:bodyPr>
                            </wps:wsp>
                            <wps:wsp>
                              <wps:cNvPr id="3818"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0"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C13C" w14:textId="77777777" w:rsidR="00847E53" w:rsidRDefault="00847E53" w:rsidP="00C61B40">
                                    <w:r>
                                      <w:rPr>
                                        <w:rFonts w:ascii="Arial" w:hAnsi="Arial" w:cs="Arial"/>
                                        <w:b/>
                                        <w:bCs/>
                                        <w:color w:val="000000"/>
                                        <w:sz w:val="20"/>
                                      </w:rPr>
                                      <w:t>T</w:t>
                                    </w:r>
                                  </w:p>
                                </w:txbxContent>
                              </wps:txbx>
                              <wps:bodyPr rot="0" vert="horz" wrap="none" lIns="0" tIns="0" rIns="0" bIns="0" anchor="t" anchorCtr="0" upright="1">
                                <a:spAutoFit/>
                              </wps:bodyPr>
                            </wps:wsp>
                            <wps:wsp>
                              <wps:cNvPr id="3822"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3"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4"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B446" w14:textId="77777777" w:rsidR="00847E53" w:rsidRDefault="00847E53" w:rsidP="00C61B40">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825"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C1B1" w14:textId="77777777" w:rsidR="00847E53" w:rsidRDefault="00847E53" w:rsidP="00C61B40">
                                    <w:r>
                                      <w:rPr>
                                        <w:rFonts w:ascii="Arial" w:hAnsi="Arial" w:cs="Arial"/>
                                        <w:b/>
                                        <w:bCs/>
                                        <w:color w:val="000000"/>
                                        <w:sz w:val="34"/>
                                        <w:szCs w:val="34"/>
                                      </w:rPr>
                                      <w:t>-</w:t>
                                    </w:r>
                                  </w:p>
                                </w:txbxContent>
                              </wps:txbx>
                              <wps:bodyPr rot="0" vert="horz" wrap="none" lIns="0" tIns="0" rIns="0" bIns="0" anchor="t" anchorCtr="0" upright="1">
                                <a:spAutoFit/>
                              </wps:bodyPr>
                            </wps:wsp>
                            <wps:wsp>
                              <wps:cNvPr id="3826"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AC55" w14:textId="77777777" w:rsidR="00847E53" w:rsidRDefault="00847E53" w:rsidP="00C61B40">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827" name="Group 189"/>
                              <wpg:cNvGrpSpPr>
                                <a:grpSpLocks/>
                              </wpg:cNvGrpSpPr>
                              <wpg:grpSpPr bwMode="auto">
                                <a:xfrm>
                                  <a:off x="2571700" y="1323925"/>
                                  <a:ext cx="1286500" cy="281305"/>
                                  <a:chOff x="5931" y="4115"/>
                                  <a:chExt cx="2026" cy="443"/>
                                </a:xfrm>
                              </wpg:grpSpPr>
                              <wps:wsp>
                                <wps:cNvPr id="3828"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829"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0"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BFF5"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831"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2230"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832"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7FAA" w14:textId="77777777" w:rsidR="00847E53" w:rsidRDefault="00847E53" w:rsidP="00C61B40">
                                    <w:r>
                                      <w:rPr>
                                        <w:rFonts w:ascii="Arial" w:hAnsi="Arial" w:cs="Arial"/>
                                        <w:b/>
                                        <w:bCs/>
                                        <w:color w:val="FFFFFF"/>
                                        <w:sz w:val="20"/>
                                      </w:rPr>
                                      <w:t xml:space="preserve">Time </w:t>
                                    </w:r>
                                  </w:p>
                                </w:txbxContent>
                              </wps:txbx>
                              <wps:bodyPr rot="0" vert="horz" wrap="none" lIns="0" tIns="0" rIns="0" bIns="0" anchor="t" anchorCtr="0" upright="1">
                                <a:spAutoFit/>
                              </wps:bodyPr>
                            </wps:wsp>
                            <wps:wsp>
                              <wps:cNvPr id="3833"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AAE5" w14:textId="77777777" w:rsidR="00847E53" w:rsidRDefault="00847E53" w:rsidP="00C61B40">
                                    <w:r>
                                      <w:rPr>
                                        <w:rFonts w:ascii="Arial" w:hAnsi="Arial" w:cs="Arial"/>
                                        <w:b/>
                                        <w:bCs/>
                                        <w:color w:val="FFFFFF"/>
                                        <w:sz w:val="20"/>
                                      </w:rPr>
                                      <w:t>Operations</w:t>
                                    </w:r>
                                  </w:p>
                                </w:txbxContent>
                              </wps:txbx>
                              <wps:bodyPr rot="0" vert="horz" wrap="none" lIns="0" tIns="0" rIns="0" bIns="0" anchor="t" anchorCtr="0" upright="1">
                                <a:spAutoFit/>
                              </wps:bodyPr>
                            </wps:wsp>
                            <wpg:wgp>
                              <wpg:cNvPr id="3834" name="Group 196"/>
                              <wpg:cNvGrpSpPr>
                                <a:grpSpLocks/>
                              </wpg:cNvGrpSpPr>
                              <wpg:grpSpPr bwMode="auto">
                                <a:xfrm>
                                  <a:off x="2331000" y="444043"/>
                                  <a:ext cx="1607200" cy="599277"/>
                                  <a:chOff x="5552" y="2851"/>
                                  <a:chExt cx="2531" cy="822"/>
                                </a:xfrm>
                              </wpg:grpSpPr>
                              <wps:wsp>
                                <wps:cNvPr id="3835"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7" name="Rectangle 199"/>
                              <wps:cNvSpPr>
                                <a:spLocks noChangeArrowheads="1"/>
                              </wps:cNvSpPr>
                              <wps:spPr bwMode="auto">
                                <a:xfrm>
                                  <a:off x="2821026" y="459986"/>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C48F"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838" name="Rectangle 200"/>
                              <wps:cNvSpPr>
                                <a:spLocks noChangeArrowheads="1"/>
                              </wps:cNvSpPr>
                              <wps:spPr bwMode="auto">
                                <a:xfrm>
                                  <a:off x="2812400" y="562650"/>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201"/>
                              <wps:cNvSpPr>
                                <a:spLocks noChangeArrowheads="1"/>
                              </wps:cNvSpPr>
                              <wps:spPr bwMode="auto">
                                <a:xfrm>
                                  <a:off x="2421692" y="634003"/>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wps:txbx>
                              <wps:bodyPr rot="0" vert="horz" wrap="none" lIns="0" tIns="0" rIns="0" bIns="0" anchor="t" anchorCtr="0" upright="1">
                                <a:spAutoFit/>
                              </wps:bodyPr>
                            </wps:wsp>
                            <wpg:wgp>
                              <wpg:cNvPr id="3841" name="Group 204"/>
                              <wpg:cNvGrpSpPr>
                                <a:grpSpLocks/>
                              </wpg:cNvGrpSpPr>
                              <wpg:grpSpPr bwMode="auto">
                                <a:xfrm>
                                  <a:off x="1365800" y="2929855"/>
                                  <a:ext cx="965200" cy="481409"/>
                                  <a:chOff x="4032" y="6644"/>
                                  <a:chExt cx="1520" cy="758"/>
                                </a:xfrm>
                              </wpg:grpSpPr>
                              <wps:wsp>
                                <wps:cNvPr id="384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4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5AE6"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4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7942" w14:textId="77777777" w:rsidR="00847E53" w:rsidRDefault="00847E53" w:rsidP="00C61B40">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84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10F5" w14:textId="77777777" w:rsidR="00847E53" w:rsidRDefault="00847E53" w:rsidP="00C61B40">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84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F430ED" id="_x0000_s1123" editas="canvas" style="position:absolute;margin-left:10.25pt;margin-top:9.65pt;width:423pt;height:273.95pt;z-index:251674624"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">
                      <v:shape id="_x0000_s1124" type="#_x0000_t75" style="position:absolute;width:53721;height:34791;visibility:visible;mso-wrap-style:square">
                        <v:fill o:detectmouseclick="t"/>
                        <v:path o:connecttype="none"/>
                      </v:shape>
                      <v:group id="Group 117" o:spid="_x0000_s1125"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118" o:spid="_x0000_s1126"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" path="m6219,r,616l,616,,1849r6219,l6219,2465,8292,1233,6219,xe" fillcolor="#bbe0e3" stroked="f">
                          <v:path arrowok="t" o:connecttype="custom" o:connectlocs="6219,0;6219,616;0,616;0,1849;6219,1849;6219,2465;8292,1233;6219,0" o:connectangles="0,0,0,0,0,0,0,0"/>
                        </v:shape>
                        <v:shape id="Freeform 119" o:spid="_x0000_s1127"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8"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">
                        <v:shape id="Freeform 121" o:spid="_x0000_s1129"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" path="m466,c209,,,209,,467l,2334v,258,209,466,466,466l15500,2800v258,,466,-208,466,-466l15966,467c15966,209,15758,,15500,l466,xe" fillcolor="#339" strokeweight="0">
                          <v:path arrowok="t" o:connecttype="custom" o:connectlocs="2,0;0,2;0,9;2,11;61,11;63,9;63,2;61,0;2,0" o:connectangles="0,0,0,0,0,0,0,0,0"/>
                        </v:shape>
                        <v:shape id="Freeform 122" o:spid="_x0000_s1130"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1"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3wwAAAN0AAAAPAAAAZHJzL2Rvd25yZXYueG1sRI/NigIx&#10;EITvC75DaMHbmlHB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IUa3N8MAAADdAAAADwAA&#10;AAAAAAAAAAAAAAAHAgAAZHJzL2Rvd25yZXYueG1sUEsFBgAAAAADAAMAtwAAAPcCAAAAAA==&#10;" filled="f" stroked="f">
                        <v:textbox style="mso-fit-shape-to-text:t" inset="0,0,0,0">
                          <w:txbxContent>
                            <w:p w14:paraId="310CF7E5" w14:textId="77777777" w:rsidR="00847E53" w:rsidRDefault="00847E53" w:rsidP="00C61B40">
                              <w:r>
                                <w:rPr>
                                  <w:rFonts w:ascii="Arial" w:hAnsi="Arial" w:cs="Arial"/>
                                  <w:b/>
                                  <w:bCs/>
                                  <w:color w:val="FFFFFF"/>
                                  <w:sz w:val="20"/>
                                </w:rPr>
                                <w:t>Preparation for</w:t>
                              </w:r>
                            </w:p>
                          </w:txbxContent>
                        </v:textbox>
                      </v:rect>
                      <v:rect id="Rectangle 124" o:spid="_x0000_s1132"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lAwwAAAN0AAAAPAAAAZHJzL2Rvd25yZXYueG1sRI/dagIx&#10;FITvBd8hHKF3mnUL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0ZQpQMMAAADdAAAADwAA&#10;AAAAAAAAAAAAAAAHAgAAZHJzL2Rvd25yZXYueG1sUEsFBgAAAAADAAMAtwAAAPcCAAAAAA==&#10;" filled="f" stroked="f">
                        <v:textbox style="mso-fit-shape-to-text:t" inset="0,0,0,0">
                          <w:txbxContent>
                            <w:p w14:paraId="559DC64F" w14:textId="77777777" w:rsidR="00847E53" w:rsidRDefault="00847E53" w:rsidP="00C61B40">
                              <w:r>
                                <w:rPr>
                                  <w:rFonts w:ascii="Arial" w:hAnsi="Arial" w:cs="Arial"/>
                                  <w:b/>
                                  <w:bCs/>
                                  <w:color w:val="FFFFFF"/>
                                  <w:sz w:val="20"/>
                                </w:rPr>
                                <w:t>Real</w:t>
                              </w:r>
                            </w:p>
                          </w:txbxContent>
                        </v:textbox>
                      </v:rect>
                      <v:rect id="Rectangle 125" o:spid="_x0000_s1133"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bwwAAAN0AAAAPAAAAZHJzL2Rvd25yZXYueG1sRI/NigIx&#10;EITvwr5D6AVvmlkF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vtiM28MAAADdAAAADwAA&#10;AAAAAAAAAAAAAAAHAgAAZHJzL2Rvd25yZXYueG1sUEsFBgAAAAADAAMAtwAAAPcCAAAAAA==&#10;" filled="f" stroked="f">
                        <v:textbox style="mso-fit-shape-to-text:t" inset="0,0,0,0">
                          <w:txbxContent>
                            <w:p w14:paraId="0B08A8A7" w14:textId="77777777" w:rsidR="00847E53" w:rsidRDefault="00847E53" w:rsidP="00C61B40">
                              <w:r>
                                <w:rPr>
                                  <w:rFonts w:ascii="Arial" w:hAnsi="Arial" w:cs="Arial"/>
                                  <w:b/>
                                  <w:bCs/>
                                  <w:color w:val="FFFFFF"/>
                                  <w:sz w:val="20"/>
                                </w:rPr>
                                <w:t>-</w:t>
                              </w:r>
                            </w:p>
                          </w:txbxContent>
                        </v:textbox>
                      </v:rect>
                      <v:rect id="Rectangle 126" o:spid="_x0000_s1134"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" filled="f" stroked="f">
                        <v:textbox style="mso-fit-shape-to-text:t" inset="0,0,0,0">
                          <w:txbxContent>
                            <w:p w14:paraId="793C3FD5" w14:textId="77777777" w:rsidR="00847E53" w:rsidRDefault="00847E53" w:rsidP="00C61B40">
                              <w:r>
                                <w:rPr>
                                  <w:rFonts w:ascii="Arial" w:hAnsi="Arial" w:cs="Arial"/>
                                  <w:b/>
                                  <w:bCs/>
                                  <w:color w:val="FFFFFF"/>
                                  <w:sz w:val="20"/>
                                </w:rPr>
                                <w:t>Time Ops</w:t>
                              </w:r>
                            </w:p>
                          </w:txbxContent>
                        </v:textbox>
                      </v:rect>
                      <v:group id="Group 127" o:spid="_x0000_s1135"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128" o:spid="_x0000_s1136"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7"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8"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6qvwAAAN0AAAAPAAAAZHJzL2Rvd25yZXYueG1sRE/LisIw&#10;FN0L/kO4gjtNVXC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wfB6qvwAAAN0AAAAPAAAAAAAA&#10;AAAAAAAAAAcCAABkcnMvZG93bnJldi54bWxQSwUGAAAAAAMAAwC3AAAA8wIAAAAA&#10;" filled="f" stroked="f">
                        <v:textbox style="mso-fit-shape-to-text:t" inset="0,0,0,0">
                          <w:txbxContent>
                            <w:p w14:paraId="4F2752E5" w14:textId="77777777" w:rsidR="00847E53" w:rsidRDefault="00847E53" w:rsidP="00C61B40">
                              <w:r>
                                <w:rPr>
                                  <w:rFonts w:ascii="Arial" w:hAnsi="Arial" w:cs="Arial"/>
                                  <w:b/>
                                  <w:bCs/>
                                  <w:color w:val="FFFFFF"/>
                                  <w:sz w:val="20"/>
                                </w:rPr>
                                <w:t>Adj Period</w:t>
                              </w:r>
                            </w:p>
                          </w:txbxContent>
                        </v:textbox>
                      </v:rect>
                      <v:rect id="Rectangle 131" o:spid="_x0000_s1139"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xwwAAAN0AAAAPAAAAZHJzL2Rvd25yZXYueG1sRI/dagIx&#10;FITvC75DOIJ3NVsL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3zC7McMAAADdAAAADwAA&#10;AAAAAAAAAAAAAAAHAgAAZHJzL2Rvd25yZXYueG1sUEsFBgAAAAADAAMAtwAAAPcCAAAAAA==&#10;" filled="f" stroked="f">
                        <v:textbox style="mso-fit-shape-to-text:t" inset="0,0,0,0">
                          <w:txbxContent>
                            <w:p w14:paraId="58A8524F" w14:textId="77777777" w:rsidR="00847E53" w:rsidRDefault="00847E53" w:rsidP="00C61B40">
                              <w:r>
                                <w:rPr>
                                  <w:rFonts w:ascii="Arial" w:hAnsi="Arial" w:cs="Arial"/>
                                  <w:b/>
                                  <w:bCs/>
                                  <w:color w:val="000000"/>
                                  <w:sz w:val="20"/>
                                </w:rPr>
                                <w:t>18:00</w:t>
                              </w:r>
                            </w:p>
                          </w:txbxContent>
                        </v:textbox>
                      </v:rect>
                      <v:rect id="Rectangle 132" o:spid="_x0000_s1140"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RxvwAAAN0AAAAPAAAAZHJzL2Rvd25yZXYueG1sRE/LisIw&#10;FN0L/kO4gjtNVVC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L04RxvwAAAN0AAAAPAAAAAAAA&#10;AAAAAAAAAAcCAABkcnMvZG93bnJldi54bWxQSwUGAAAAAAMAAwC3AAAA8wIAAAAA&#10;" filled="f" stroked="f">
                        <v:textbox style="mso-fit-shape-to-text:t" inset="0,0,0,0">
                          <w:txbxContent>
                            <w:p w14:paraId="2BD1F2F8" w14:textId="77777777" w:rsidR="00847E53" w:rsidRDefault="00847E53" w:rsidP="00C61B40">
                              <w:r>
                                <w:rPr>
                                  <w:rFonts w:ascii="Arial" w:hAnsi="Arial" w:cs="Arial"/>
                                  <w:b/>
                                  <w:bCs/>
                                  <w:color w:val="000000"/>
                                  <w:sz w:val="20"/>
                                </w:rPr>
                                <w:t xml:space="preserve">(D </w:t>
                              </w:r>
                            </w:p>
                          </w:txbxContent>
                        </v:textbox>
                      </v:rect>
                      <v:rect id="Rectangle 133" o:spid="_x0000_s1141"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HqwwAAAN0AAAAPAAAAZHJzL2Rvd25yZXYueG1sRI/NigIx&#10;EITvC75DaMHbmlFh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pJ8h6sMAAADdAAAADwAA&#10;AAAAAAAAAAAAAAAHAgAAZHJzL2Rvd25yZXYueG1sUEsFBgAAAAADAAMAtwAAAPcCAAAAAA==&#10;" filled="f" stroked="f">
                        <v:textbox style="mso-fit-shape-to-text:t" inset="0,0,0,0">
                          <w:txbxContent>
                            <w:p w14:paraId="5E0C9E78" w14:textId="77777777" w:rsidR="00847E53" w:rsidRDefault="00847E53" w:rsidP="00C61B40">
                              <w:r>
                                <w:rPr>
                                  <w:rFonts w:ascii="Arial" w:hAnsi="Arial" w:cs="Arial"/>
                                  <w:b/>
                                  <w:bCs/>
                                  <w:color w:val="000000"/>
                                  <w:sz w:val="20"/>
                                </w:rPr>
                                <w:t>–</w:t>
                              </w:r>
                            </w:p>
                          </w:txbxContent>
                        </v:textbox>
                      </v:rect>
                      <v:rect id="Rectangle 134" o:spid="_x0000_s1142"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dwwAAAN0AAAAPAAAAZHJzL2Rvd25yZXYueG1sRI/dagIx&#10;FITvBd8hHKF3mnUF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VE2/ncMAAADdAAAADwAA&#10;AAAAAAAAAAAAAAAHAgAAZHJzL2Rvd25yZXYueG1sUEsFBgAAAAADAAMAtwAAAPcCAAAAAA==&#10;" filled="f" stroked="f">
                        <v:textbox style="mso-fit-shape-to-text:t" inset="0,0,0,0">
                          <w:txbxContent>
                            <w:p w14:paraId="1620649B" w14:textId="77777777" w:rsidR="00847E53" w:rsidRDefault="00847E53" w:rsidP="00C61B40">
                              <w:r>
                                <w:rPr>
                                  <w:rFonts w:ascii="Arial" w:hAnsi="Arial" w:cs="Arial"/>
                                  <w:b/>
                                  <w:bCs/>
                                  <w:color w:val="000000"/>
                                  <w:sz w:val="20"/>
                                </w:rPr>
                                <w:t>1)</w:t>
                              </w:r>
                            </w:p>
                          </w:txbxContent>
                        </v:textbox>
                      </v:rect>
                      <v:rect id="Rectangle 135" o:spid="_x0000_s1143"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GwwAAAN0AAAAPAAAAZHJzL2Rvd25yZXYueG1sRI/NigIx&#10;EITvwr5D6AVvmlmF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OwEaBsMAAADdAAAADwAA&#10;AAAAAAAAAAAAAAAHAgAAZHJzL2Rvd25yZXYueG1sUEsFBgAAAAADAAMAtwAAAPcCAAAAAA==&#10;" filled="f" stroked="f">
                        <v:textbox style="mso-fit-shape-to-text:t" inset="0,0,0,0">
                          <w:txbxContent>
                            <w:p w14:paraId="35EFBC6B" w14:textId="77777777" w:rsidR="00847E53" w:rsidRDefault="00847E53" w:rsidP="00C61B40">
                              <w:r>
                                <w:rPr>
                                  <w:rFonts w:ascii="Arial" w:hAnsi="Arial" w:cs="Arial"/>
                                  <w:b/>
                                  <w:bCs/>
                                  <w:color w:val="000000"/>
                                  <w:sz w:val="20"/>
                                </w:rPr>
                                <w:t>60 Minutes</w:t>
                              </w:r>
                            </w:p>
                          </w:txbxContent>
                        </v:textbox>
                      </v:rect>
                      <v:rect id="Rectangle 136" o:spid="_x0000_s1144"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JywwAAAN0AAAAPAAAAZHJzL2Rvd25yZXYueG1sRI/dagIx&#10;FITvC75DOIJ3NasW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tOiCcsMAAADdAAAADwAA&#10;AAAAAAAAAAAAAAAHAgAAZHJzL2Rvd25yZXYueG1sUEsFBgAAAAADAAMAtwAAAPcCAAAAAA==&#10;" filled="f" stroked="f">
                        <v:textbox style="mso-fit-shape-to-text:t" inset="0,0,0,0">
                          <w:txbxContent>
                            <w:p w14:paraId="5994C9A6" w14:textId="77777777" w:rsidR="00847E53" w:rsidRDefault="00847E53" w:rsidP="00C61B40">
                              <w:r>
                                <w:rPr>
                                  <w:rFonts w:ascii="Arial" w:hAnsi="Arial" w:cs="Arial"/>
                                  <w:b/>
                                  <w:bCs/>
                                  <w:color w:val="000000"/>
                                  <w:sz w:val="20"/>
                                </w:rPr>
                                <w:t>Prior to</w:t>
                              </w:r>
                            </w:p>
                          </w:txbxContent>
                        </v:textbox>
                      </v:rect>
                      <v:rect id="Rectangle 137" o:spid="_x0000_s1145"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pwwAAAN0AAAAPAAAAZHJzL2Rvd25yZXYueG1sRI/dagIx&#10;FITvC75DOIJ3NatS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26Qn6cMAAADdAAAADwAA&#10;AAAAAAAAAAAAAAAHAgAAZHJzL2Rvd25yZXYueG1sUEsFBgAAAAADAAMAtwAAAPcCAAAAAA==&#10;" filled="f" stroked="f">
                        <v:textbox style="mso-fit-shape-to-text:t" inset="0,0,0,0">
                          <w:txbxContent>
                            <w:p w14:paraId="39C45BA5" w14:textId="77777777" w:rsidR="00847E53" w:rsidRDefault="00847E53" w:rsidP="00C61B40">
                              <w:r>
                                <w:rPr>
                                  <w:rFonts w:ascii="Arial" w:hAnsi="Arial" w:cs="Arial"/>
                                  <w:b/>
                                  <w:bCs/>
                                  <w:color w:val="000000"/>
                                  <w:sz w:val="20"/>
                                </w:rPr>
                                <w:t>Op Hour</w:t>
                              </w:r>
                            </w:p>
                          </w:txbxContent>
                        </v:textbox>
                      </v:rect>
                      <v:group id="Group 138" o:spid="_x0000_s1146" style="position:absolute;left:2025;top:4670;width:14065;height:5763"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ect id="Rectangle 139" o:spid="_x0000_s1147"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" fillcolor="#936" stroked="f"/>
                        <v:rect id="Rectangle 140" o:spid="_x0000_s1148"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" filled="f" strokeweight="22e-5mm">
                          <v:stroke endcap="round"/>
                        </v:rect>
                      </v:group>
                      <v:rect id="Rectangle 141" o:spid="_x0000_s1149" style="position:absolute;left:5823;top:5569;width:612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3swwAAAN0AAAAPAAAAZHJzL2Rvd25yZXYueG1sRI/dagIx&#10;FITvC75DOIJ3NVsL/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Wukt7MMAAADdAAAADwAA&#10;AAAAAAAAAAAAAAAHAgAAZHJzL2Rvd25yZXYueG1sUEsFBgAAAAADAAMAtwAAAPcCAAAAAA==&#10;" filled="f" stroked="f">
                        <v:textbox style="mso-fit-shape-to-text:t" inset="0,0,0,0">
                          <w:txbxContent>
                            <w:p w14:paraId="413D3881" w14:textId="77777777" w:rsidR="00847E53" w:rsidRDefault="00847E53" w:rsidP="00C61B40">
                              <w:r>
                                <w:rPr>
                                  <w:rFonts w:ascii="Arial" w:hAnsi="Arial" w:cs="Arial"/>
                                  <w:b/>
                                  <w:bCs/>
                                  <w:color w:val="FFFFFF"/>
                                  <w:sz w:val="14"/>
                                  <w:szCs w:val="14"/>
                                </w:rPr>
                                <w:t>QSE Deadline:</w:t>
                              </w:r>
                            </w:p>
                          </w:txbxContent>
                        </v:textbox>
                      </v:rect>
                      <v:rect id="Rectangle 142" o:spid="_x0000_s1150" style="position:absolute;left:5789;top:6574;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" stroked="f"/>
                      <v:rect id="Rectangle 143" o:spid="_x0000_s1151" style="position:absolute;left:2623;top:7030;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HNwwAAAN0AAAAPAAAAZHJzL2Rvd25yZXYueG1sRI/dagIx&#10;FITvC75DOIJ3NatC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kUpRzcMAAADdAAAADwAA&#10;AAAAAAAAAAAAAAAHAgAAZHJzL2Rvd25yZXYueG1sUEsFBgAAAAADAAMAtwAAAPcCAAAAAA==&#10;" filled="f" stroked="f">
                        <v:textbox style="mso-fit-shape-to-text:t" inset="0,0,0,0">
                          <w:txbxContent>
                            <w:p w14:paraId="6E9FC9DF" w14:textId="77777777" w:rsidR="00847E53" w:rsidRDefault="00847E53" w:rsidP="00C61B40">
                              <w:r>
                                <w:rPr>
                                  <w:rFonts w:ascii="Arial" w:hAnsi="Arial" w:cs="Arial"/>
                                  <w:b/>
                                  <w:bCs/>
                                  <w:color w:val="FFFFFF"/>
                                  <w:sz w:val="14"/>
                                  <w:szCs w:val="14"/>
                                </w:rPr>
                                <w:t>Update Energy Bids and Offers</w:t>
                              </w:r>
                            </w:p>
                          </w:txbxContent>
                        </v:textbox>
                      </v:rect>
                      <v:rect id="Rectangle 144" o:spid="_x0000_s1152" style="position:absolute;left:4464;top:6490;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wwAAAN0AAAAPAAAAZHJzL2Rvd25yZXYueG1sRI/dagIx&#10;FITvC75DOELvatYt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YZjPusMAAADdAAAADwAA&#10;AAAAAAAAAAAAAAAHAgAAZHJzL2Rvd25yZXYueG1sUEsFBgAAAAADAAMAtwAAAPcCAAAAAA==&#10;" filled="f" stroked="f">
                        <v:textbox style="mso-fit-shape-to-text:t" inset="0,0,0,0">
                          <w:txbxContent>
                            <w:p w14:paraId="2868C2D5" w14:textId="77777777" w:rsidR="00847E53" w:rsidRDefault="00847E53" w:rsidP="00C61B40"/>
                          </w:txbxContent>
                        </v:textbox>
                      </v:rect>
                      <v:rect id="Rectangle 145" o:spid="_x0000_s1153" style="position:absolute;left:3334;top:8199;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ohwwAAAN0AAAAPAAAAZHJzL2Rvd25yZXYueG1sRI/dagIx&#10;FITvBd8hHKF3mlWh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DtRqIcMAAADdAAAADwAA&#10;AAAAAAAAAAAAAAAHAgAAZHJzL2Rvd25yZXYueG1sUEsFBgAAAAADAAMAtwAAAPcCAAAAAA==&#10;" filled="f" stroked="f">
                        <v:textbox style="mso-fit-shape-to-text:t" inset="0,0,0,0">
                          <w:txbxContent>
                            <w:p w14:paraId="6D9E60B3" w14:textId="77777777" w:rsidR="00847E53" w:rsidRDefault="00847E53" w:rsidP="00C61B40">
                              <w:r>
                                <w:rPr>
                                  <w:rFonts w:ascii="Arial" w:hAnsi="Arial" w:cs="Arial"/>
                                  <w:b/>
                                  <w:bCs/>
                                  <w:color w:val="FFFFFF"/>
                                  <w:sz w:val="14"/>
                                  <w:szCs w:val="14"/>
                                </w:rPr>
                                <w:t>Update Output Schedules</w:t>
                              </w:r>
                            </w:p>
                          </w:txbxContent>
                        </v:textbox>
                      </v:rect>
                      <v:group id="Group 148" o:spid="_x0000_s1154"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rect id="Rectangle 149" o:spid="_x0000_s1155"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" fillcolor="silver" stroked="f"/>
                        <v:rect id="Rectangle 150" o:spid="_x0000_s1156"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" filled="f" strokeweight="22e-5mm">
                          <v:stroke endcap="round"/>
                        </v:rect>
                      </v:group>
                      <v:rect id="Rectangle 151" o:spid="_x0000_s1157"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3LwwAAAN0AAAAPAAAAZHJzL2Rvd25yZXYueG1sRI/dagIx&#10;FITvC75DOAXvarYK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bzxdy8MAAADdAAAADwAA&#10;AAAAAAAAAAAAAAAHAgAAZHJzL2Rvd25yZXYueG1sUEsFBgAAAAADAAMAtwAAAPcCAAAAAA==&#10;" filled="f" stroked="f">
                        <v:textbox style="mso-fit-shape-to-text:t" inset="0,0,0,0">
                          <w:txbxContent>
                            <w:p w14:paraId="783A82CC" w14:textId="77777777" w:rsidR="00847E53" w:rsidRDefault="00847E53" w:rsidP="00C61B40">
                              <w:r>
                                <w:rPr>
                                  <w:rFonts w:ascii="Arial" w:hAnsi="Arial" w:cs="Arial"/>
                                  <w:b/>
                                  <w:bCs/>
                                  <w:color w:val="000000"/>
                                  <w:sz w:val="14"/>
                                  <w:szCs w:val="14"/>
                                </w:rPr>
                                <w:t>ERCOT Activity:</w:t>
                              </w:r>
                            </w:p>
                          </w:txbxContent>
                        </v:textbox>
                      </v:rect>
                      <v:rect id="Rectangle 152" o:spid="_x0000_s1158"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" fillcolor="black" stroked="f"/>
                      <v:rect id="Rectangle 153" o:spid="_x0000_s1159"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cQwwAAAN0AAAAPAAAAZHJzL2Rvd25yZXYueG1sRI/dagIx&#10;FITvC75DOIJ3NatC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FJPHEMMAAADdAAAADwAA&#10;AAAAAAAAAAAAAAAHAgAAZHJzL2Rvd25yZXYueG1sUEsFBgAAAAADAAMAtwAAAPcCAAAAAA==&#10;" filled="f" stroked="f">
                        <v:textbox style="mso-fit-shape-to-text:t" inset="0,0,0,0">
                          <w:txbxContent>
                            <w:p w14:paraId="065AD80F" w14:textId="77777777" w:rsidR="00847E53" w:rsidRDefault="00847E53" w:rsidP="00C61B40">
                              <w:r>
                                <w:rPr>
                                  <w:rFonts w:ascii="Arial" w:hAnsi="Arial" w:cs="Arial"/>
                                  <w:b/>
                                  <w:bCs/>
                                  <w:color w:val="000000"/>
                                  <w:sz w:val="14"/>
                                  <w:szCs w:val="14"/>
                                </w:rPr>
                                <w:t>LFC Process every 4 secs</w:t>
                              </w:r>
                            </w:p>
                          </w:txbxContent>
                        </v:textbox>
                      </v:rect>
                      <v:rect id="Rectangle 154" o:spid="_x0000_s1160"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lnwwAAAN0AAAAPAAAAZHJzL2Rvd25yZXYueG1sRI/dagIx&#10;FITvC75DOIJ3NesK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5EFZZ8MAAADdAAAADwAA&#10;AAAAAAAAAAAAAAAHAgAAZHJzL2Rvd25yZXYueG1sUEsFBgAAAAADAAMAtwAAAPcCAAAAAA==&#10;" filled="f" stroked="f">
                        <v:textbox style="mso-fit-shape-to-text:t" inset="0,0,0,0">
                          <w:txbxContent>
                            <w:p w14:paraId="5EA65426" w14:textId="77777777" w:rsidR="00847E53" w:rsidRDefault="00847E53" w:rsidP="00C61B40">
                              <w:r>
                                <w:rPr>
                                  <w:rFonts w:ascii="Arial" w:hAnsi="Arial" w:cs="Arial"/>
                                  <w:b/>
                                  <w:bCs/>
                                  <w:color w:val="000000"/>
                                  <w:sz w:val="14"/>
                                  <w:szCs w:val="14"/>
                                </w:rPr>
                                <w:t xml:space="preserve">Execute SCED every 5 </w:t>
                              </w:r>
                            </w:p>
                          </w:txbxContent>
                        </v:textbox>
                      </v:rect>
                      <v:rect id="Rectangle 155" o:spid="_x0000_s1161" style="position:absolute;left:34746;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8xAAAAN0AAAAPAAAAZHJzL2Rvd25yZXYueG1sRI/dagIx&#10;FITvBd8hHKF3mq1C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IsN/PzEAAAA3QAAAA8A&#10;AAAAAAAAAAAAAAAABwIAAGRycy9kb3ducmV2LnhtbFBLBQYAAAAAAwADALcAAAD4AgAAAAA=&#10;" filled="f" stroked="f">
                        <v:textbox style="mso-fit-shape-to-text:t" inset="0,0,0,0">
                          <w:txbxContent>
                            <w:p w14:paraId="7A033FE7" w14:textId="77777777" w:rsidR="00847E53" w:rsidRDefault="00847E53" w:rsidP="00C61B40">
                              <w:r>
                                <w:rPr>
                                  <w:rFonts w:ascii="Arial" w:hAnsi="Arial" w:cs="Arial"/>
                                  <w:b/>
                                  <w:bCs/>
                                  <w:color w:val="000000"/>
                                  <w:sz w:val="14"/>
                                  <w:szCs w:val="14"/>
                                </w:rPr>
                                <w:t>mins</w:t>
                              </w:r>
                            </w:p>
                          </w:txbxContent>
                        </v:textbox>
                      </v:rect>
                      <v:rect id="Rectangle 156" o:spid="_x0000_s1162"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SIxAAAAN0AAAAPAAAAZHJzL2Rvd25yZXYueG1sRI/dagIx&#10;FITvBd8hHKF3mtWW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ATkZIjEAAAA3QAAAA8A&#10;AAAAAAAAAAAAAAAABwIAAGRycy9kb3ducmV2LnhtbFBLBQYAAAAAAwADALcAAAD4AgAAAAA=&#10;" filled="f" stroked="f">
                        <v:textbox style="mso-fit-shape-to-text:t" inset="0,0,0,0">
                          <w:txbxContent>
                            <w:p w14:paraId="403D4FDF" w14:textId="77777777" w:rsidR="00847E53" w:rsidRDefault="00847E53" w:rsidP="00C61B40">
                              <w:r>
                                <w:rPr>
                                  <w:rFonts w:ascii="Arial" w:hAnsi="Arial" w:cs="Arial"/>
                                  <w:b/>
                                  <w:bCs/>
                                  <w:color w:val="000000"/>
                                  <w:sz w:val="14"/>
                                  <w:szCs w:val="14"/>
                                </w:rPr>
                                <w:t>Communicate Instructions,</w:t>
                              </w:r>
                            </w:p>
                          </w:txbxContent>
                        </v:textbox>
                      </v:rect>
                      <v:rect id="Rectangle 157" o:spid="_x0000_s1163"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fit-shape-to-text:t" inset="0,0,0,0">
                          <w:txbxContent>
                            <w:p w14:paraId="7C006995" w14:textId="77777777" w:rsidR="00847E53" w:rsidRDefault="00847E53" w:rsidP="00C61B40">
                              <w:r>
                                <w:rPr>
                                  <w:rFonts w:ascii="Arial" w:hAnsi="Arial" w:cs="Arial"/>
                                  <w:b/>
                                  <w:bCs/>
                                  <w:color w:val="000000"/>
                                  <w:sz w:val="14"/>
                                  <w:szCs w:val="14"/>
                                </w:rPr>
                                <w:t>Awards &amp; Prices</w:t>
                              </w:r>
                            </w:p>
                          </w:txbxContent>
                        </v:textbox>
                      </v:rect>
                      <v:group id="Group 158" o:spid="_x0000_s1164"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ect id="Rectangle 159" o:spid="_x0000_s1165"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" fillcolor="silver" stroked="f"/>
                        <v:rect id="Rectangle 160" o:spid="_x0000_s1166"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" filled="f" strokeweight="22e-5mm">
                          <v:stroke endcap="round"/>
                        </v:rect>
                      </v:group>
                      <v:rect id="Rectangle 161" o:spid="_x0000_s1167"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sWwwAAAN0AAAAPAAAAZHJzL2Rvd25yZXYueG1sRI/dagIx&#10;FITvC75DOIJ3NatC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6uXLFsMAAADdAAAADwAA&#10;AAAAAAAAAAAAAAAHAgAAZHJzL2Rvd25yZXYueG1sUEsFBgAAAAADAAMAtwAAAPcCAAAAAA==&#10;" filled="f" stroked="f">
                        <v:textbox style="mso-fit-shape-to-text:t" inset="0,0,0,0">
                          <w:txbxContent>
                            <w:p w14:paraId="348C7714" w14:textId="77777777" w:rsidR="00847E53" w:rsidRDefault="00847E53" w:rsidP="00C61B40">
                              <w:r>
                                <w:rPr>
                                  <w:rFonts w:ascii="Arial" w:hAnsi="Arial" w:cs="Arial"/>
                                  <w:b/>
                                  <w:bCs/>
                                  <w:color w:val="000000"/>
                                  <w:sz w:val="14"/>
                                  <w:szCs w:val="14"/>
                                </w:rPr>
                                <w:t>ERCOT Activity:</w:t>
                              </w:r>
                            </w:p>
                          </w:txbxContent>
                        </v:textbox>
                      </v:rect>
                      <v:rect id="Rectangle 162" o:spid="_x0000_s1168"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" fillcolor="black" stroked="f"/>
                      <v:rect id="Rectangle 163" o:spid="_x0000_s1169"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BwwAAAN0AAAAPAAAAZHJzL2Rvd25yZXYueG1sRI/dagIx&#10;FITvhb5DOAXvNFFB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Ci3GwcMAAADdAAAADwAA&#10;AAAAAAAAAAAAAAAHAgAAZHJzL2Rvd25yZXYueG1sUEsFBgAAAAADAAMAtwAAAPcCAAAAAA==&#10;" filled="f" stroked="f">
                        <v:textbox style="mso-fit-shape-to-text:t" inset="0,0,0,0">
                          <w:txbxContent>
                            <w:p w14:paraId="0A60B3A5" w14:textId="77777777" w:rsidR="00847E53" w:rsidRDefault="00847E53" w:rsidP="00C61B40">
                              <w:r>
                                <w:rPr>
                                  <w:rFonts w:ascii="Arial" w:hAnsi="Arial" w:cs="Arial"/>
                                  <w:b/>
                                  <w:bCs/>
                                  <w:color w:val="000000"/>
                                  <w:sz w:val="14"/>
                                  <w:szCs w:val="14"/>
                                </w:rPr>
                                <w:t xml:space="preserve">Snapshot Inputs &amp; </w:t>
                              </w:r>
                            </w:p>
                          </w:txbxContent>
                        </v:textbox>
                      </v:rect>
                      <v:rect id="Rectangle 164" o:spid="_x0000_s1170"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2wwAAAN0AAAAPAAAAZHJzL2Rvd25yZXYueG1sRI/NasMw&#10;EITvgb6D2EJuiVQH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v9YtsMAAADdAAAADwAA&#10;AAAAAAAAAAAAAAAHAgAAZHJzL2Rvd25yZXYueG1sUEsFBgAAAAADAAMAtwAAAPcCAAAAAA==&#10;" filled="f" stroked="f">
                        <v:textbox style="mso-fit-shape-to-text:t" inset="0,0,0,0">
                          <w:txbxContent>
                            <w:p w14:paraId="1FCE3DD3" w14:textId="77777777" w:rsidR="00847E53" w:rsidRDefault="00847E53" w:rsidP="00C61B40">
                              <w:r>
                                <w:rPr>
                                  <w:rFonts w:ascii="Arial" w:hAnsi="Arial" w:cs="Arial"/>
                                  <w:b/>
                                  <w:bCs/>
                                  <w:color w:val="000000"/>
                                  <w:sz w:val="14"/>
                                  <w:szCs w:val="14"/>
                                </w:rPr>
                                <w:t>Execute HRUC</w:t>
                              </w:r>
                            </w:p>
                          </w:txbxContent>
                        </v:textbox>
                      </v:rect>
                      <v:shape id="Freeform 165" o:spid="_x0000_s1171"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2"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3"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4"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5"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170" o:spid="_x0000_s1176"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" path="m134,c60,,,60,,134l,667v,74,60,133,134,133l14467,800v74,,133,-59,133,-133l14600,134c14600,60,14541,,14467,l134,xe" fillcolor="silver" strokeweight="0">
                          <v:path arrowok="t" o:connecttype="custom" o:connectlocs="4,0;0,4;0,21;4,25;459,25;463,21;463,4;459,0;4,0" o:connectangles="0,0,0,0,0,0,0,0,0"/>
                        </v:shape>
                        <v:shape id="Freeform 171" o:spid="_x0000_s1177"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8"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WHvwAAAN0AAAAPAAAAZHJzL2Rvd25yZXYueG1sRE/LisIw&#10;FN0L/kO4A7OzqQ4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guPWHvwAAAN0AAAAPAAAAAAAA&#10;AAAAAAAAAAcCAABkcnMvZG93bnJldi54bWxQSwUGAAAAAAMAAwC3AAAA8wIAAAAA&#10;" filled="f" stroked="f">
                        <v:textbox style="mso-fit-shape-to-text:t" inset="0,0,0,0">
                          <w:txbxContent>
                            <w:p w14:paraId="51F75CFD" w14:textId="77777777" w:rsidR="00847E53" w:rsidRDefault="00847E53" w:rsidP="00C61B40">
                              <w:r>
                                <w:rPr>
                                  <w:rFonts w:ascii="Arial" w:hAnsi="Arial" w:cs="Arial"/>
                                  <w:b/>
                                  <w:bCs/>
                                  <w:color w:val="000000"/>
                                  <w:sz w:val="20"/>
                                </w:rPr>
                                <w:t>Operating Period</w:t>
                              </w:r>
                            </w:p>
                          </w:txbxContent>
                        </v:textbox>
                      </v:rect>
                      <v:group id="Group 173" o:spid="_x0000_s1179"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174" o:spid="_x0000_s1180"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181"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2"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EwwAAAN0AAAAPAAAAZHJzL2Rvd25yZXYueG1sRI/dagIx&#10;FITvC75DOIJ3NauW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n4PzhMMAAADdAAAADwAA&#10;AAAAAAAAAAAAAAAHAgAAZHJzL2Rvd25yZXYueG1sUEsFBgAAAAADAAMAtwAAAPcCAAAAAA==&#10;" filled="f" stroked="f">
                        <v:textbox style="mso-fit-shape-to-text:t" inset="0,0,0,0">
                          <w:txbxContent>
                            <w:p w14:paraId="26086F65" w14:textId="77777777" w:rsidR="00847E53" w:rsidRDefault="00847E53" w:rsidP="00C61B40">
                              <w:r>
                                <w:rPr>
                                  <w:rFonts w:ascii="Arial" w:hAnsi="Arial" w:cs="Arial"/>
                                  <w:b/>
                                  <w:bCs/>
                                  <w:color w:val="000000"/>
                                  <w:sz w:val="20"/>
                                </w:rPr>
                                <w:t>Operating Hour</w:t>
                              </w:r>
                            </w:p>
                          </w:txbxContent>
                        </v:textbox>
                      </v:rect>
                      <v:line id="Line 177" o:spid="_x0000_s1183"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" strokeweight="58e-5mm"/>
                      <v:rect id="Rectangle 178" o:spid="_x0000_s1184"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owgAAAN0AAAAPAAAAZHJzL2Rvd25yZXYueG1sRI/disIw&#10;FITvBd8hHME7TVWQ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HchowgAAAN0AAAAPAAAA&#10;AAAAAAAAAAAAAAcCAABkcnMvZG93bnJldi54bWxQSwUGAAAAAAMAAwC3AAAA9gIAAAAA&#10;" filled="f" stroked="f">
                        <v:textbox style="mso-fit-shape-to-text:t" inset="0,0,0,0">
                          <w:txbxContent>
                            <w:p w14:paraId="009CA4BC" w14:textId="77777777" w:rsidR="00847E53" w:rsidRDefault="00847E53" w:rsidP="00C61B40">
                              <w:r>
                                <w:rPr>
                                  <w:rFonts w:ascii="Arial" w:hAnsi="Arial" w:cs="Arial"/>
                                  <w:b/>
                                  <w:bCs/>
                                  <w:color w:val="000000"/>
                                  <w:sz w:val="20"/>
                                </w:rPr>
                                <w:t>Clock</w:t>
                              </w:r>
                            </w:p>
                          </w:txbxContent>
                        </v:textbox>
                      </v:rect>
                      <v:rect id="Rectangle 179" o:spid="_x0000_s1185"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3zwwAAAN0AAAAPAAAAZHJzL2Rvd25yZXYueG1sRI/dagIx&#10;FITvC75DOIJ3NatC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b1Ft88MAAADdAAAADwAA&#10;AAAAAAAAAAAAAAAHAgAAZHJzL2Rvd25yZXYueG1sUEsFBgAAAAADAAMAtwAAAPcCAAAAAA==&#10;" filled="f" stroked="f">
                        <v:textbox style="mso-fit-shape-to-text:t" inset="0,0,0,0">
                          <w:txbxContent>
                            <w:p w14:paraId="0300C935" w14:textId="77777777" w:rsidR="00847E53" w:rsidRDefault="00847E53" w:rsidP="00C61B40">
                              <w:r>
                                <w:rPr>
                                  <w:rFonts w:ascii="Arial" w:hAnsi="Arial" w:cs="Arial"/>
                                  <w:b/>
                                  <w:bCs/>
                                  <w:color w:val="000000"/>
                                  <w:sz w:val="20"/>
                                </w:rPr>
                                <w:t>Hour</w:t>
                              </w:r>
                            </w:p>
                          </w:txbxContent>
                        </v:textbox>
                      </v:rect>
                      <v:shape id="Freeform 180" o:spid="_x0000_s1186"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7"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" strokeweight="58e-5mm"/>
                      <v:line id="Line 182" o:spid="_x0000_s1188"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" strokeweight="58e-5mm"/>
                      <v:rect id="Rectangle 183" o:spid="_x0000_s1189"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hwwAAAN0AAAAPAAAAZHJzL2Rvd25yZXYueG1sRI/NasMw&#10;EITvgb6D2EJvsRwH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QZiaocMAAADdAAAADwAA&#10;AAAAAAAAAAAAAAAHAgAAZHJzL2Rvd25yZXYueG1sUEsFBgAAAAADAAMAtwAAAPcCAAAAAA==&#10;" filled="f" stroked="f">
                        <v:textbox style="mso-fit-shape-to-text:t" inset="0,0,0,0">
                          <w:txbxContent>
                            <w:p w14:paraId="6738C13C" w14:textId="77777777" w:rsidR="00847E53" w:rsidRDefault="00847E53" w:rsidP="00C61B40">
                              <w:r>
                                <w:rPr>
                                  <w:rFonts w:ascii="Arial" w:hAnsi="Arial" w:cs="Arial"/>
                                  <w:b/>
                                  <w:bCs/>
                                  <w:color w:val="000000"/>
                                  <w:sz w:val="20"/>
                                </w:rPr>
                                <w:t>T</w:t>
                              </w:r>
                            </w:p>
                          </w:txbxContent>
                        </v:textbox>
                      </v:rect>
                      <v:shape id="Freeform 184" o:spid="_x0000_s1190"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1"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2"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k5wwAAAN0AAAAPAAAAZHJzL2Rvd25yZXYueG1sRI/dagIx&#10;FITvC75DOELvatatlG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Ue85OcMAAADdAAAADwAA&#10;AAAAAAAAAAAAAAAHAgAAZHJzL2Rvd25yZXYueG1sUEsFBgAAAAADAAMAtwAAAPcCAAAAAA==&#10;" filled="f" stroked="f">
                        <v:textbox style="mso-fit-shape-to-text:t" inset="0,0,0,0">
                          <w:txbxContent>
                            <w:p w14:paraId="224FB446" w14:textId="77777777" w:rsidR="00847E53" w:rsidRDefault="00847E53" w:rsidP="00C61B40">
                              <w:r>
                                <w:rPr>
                                  <w:rFonts w:ascii="Arial" w:hAnsi="Arial" w:cs="Arial"/>
                                  <w:b/>
                                  <w:bCs/>
                                  <w:color w:val="000000"/>
                                  <w:sz w:val="34"/>
                                  <w:szCs w:val="34"/>
                                </w:rPr>
                                <w:t>Adjustment Period &amp; Real</w:t>
                              </w:r>
                            </w:p>
                          </w:txbxContent>
                        </v:textbox>
                      </v:rect>
                      <v:rect id="Rectangle 187" o:spid="_x0000_s1193"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iwwAAAN0AAAAPAAAAZHJzL2Rvd25yZXYueG1sRI/dagIx&#10;FITvC75DOELvatYt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PqOcosMAAADdAAAADwAA&#10;AAAAAAAAAAAAAAAHAgAAZHJzL2Rvd25yZXYueG1sUEsFBgAAAAADAAMAtwAAAPcCAAAAAA==&#10;" filled="f" stroked="f">
                        <v:textbox style="mso-fit-shape-to-text:t" inset="0,0,0,0">
                          <w:txbxContent>
                            <w:p w14:paraId="7D16C1B1" w14:textId="77777777" w:rsidR="00847E53" w:rsidRDefault="00847E53" w:rsidP="00C61B40">
                              <w:r>
                                <w:rPr>
                                  <w:rFonts w:ascii="Arial" w:hAnsi="Arial" w:cs="Arial"/>
                                  <w:b/>
                                  <w:bCs/>
                                  <w:color w:val="000000"/>
                                  <w:sz w:val="34"/>
                                  <w:szCs w:val="34"/>
                                </w:rPr>
                                <w:t>-</w:t>
                              </w:r>
                            </w:p>
                          </w:txbxContent>
                        </v:textbox>
                      </v:rect>
                      <v:rect id="Rectangle 188" o:spid="_x0000_s1194"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" filled="f" stroked="f">
                        <v:textbox style="mso-fit-shape-to-text:t" inset="0,0,0,0">
                          <w:txbxContent>
                            <w:p w14:paraId="5A38AC55" w14:textId="77777777" w:rsidR="00847E53" w:rsidRDefault="00847E53" w:rsidP="00C61B40">
                              <w:r>
                                <w:rPr>
                                  <w:rFonts w:ascii="Arial" w:hAnsi="Arial" w:cs="Arial"/>
                                  <w:b/>
                                  <w:bCs/>
                                  <w:color w:val="000000"/>
                                  <w:sz w:val="34"/>
                                  <w:szCs w:val="34"/>
                                </w:rPr>
                                <w:t>Time Operations</w:t>
                              </w:r>
                            </w:p>
                          </w:txbxContent>
                        </v:textbox>
                      </v:rect>
                      <v:group id="Group 189" o:spid="_x0000_s1195"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190" o:spid="_x0000_s1196"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" path="m234,c105,,,105,,234r,933c,1296,105,1400,234,1400r5933,c6296,1400,6400,1296,6400,1167r,-933c6400,105,6296,,6167,l234,xe" fillcolor="#339" strokeweight="0">
                          <v:path arrowok="t" o:connecttype="custom" o:connectlocs="7,0;0,7;0,37;7,44;196,44;203,37;203,7;196,0;7,0" o:connectangles="0,0,0,0,0,0,0,0,0"/>
                        </v:shape>
                        <v:shape id="Freeform 191" o:spid="_x0000_s1197"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8"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453DBFF5" w14:textId="77777777" w:rsidR="00847E53" w:rsidRDefault="00847E53" w:rsidP="00C61B40">
                              <w:r>
                                <w:rPr>
                                  <w:rFonts w:ascii="Arial" w:hAnsi="Arial" w:cs="Arial"/>
                                  <w:b/>
                                  <w:bCs/>
                                  <w:color w:val="FFFFFF"/>
                                  <w:sz w:val="20"/>
                                </w:rPr>
                                <w:t>Real</w:t>
                              </w:r>
                            </w:p>
                          </w:txbxContent>
                        </v:textbox>
                      </v:rect>
                      <v:rect id="Rectangle 193" o:spid="_x0000_s1199"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4DDE2230" w14:textId="77777777" w:rsidR="00847E53" w:rsidRDefault="00847E53" w:rsidP="00C61B40">
                              <w:r>
                                <w:rPr>
                                  <w:rFonts w:ascii="Arial" w:hAnsi="Arial" w:cs="Arial"/>
                                  <w:b/>
                                  <w:bCs/>
                                  <w:color w:val="FFFFFF"/>
                                  <w:sz w:val="20"/>
                                </w:rPr>
                                <w:t>-</w:t>
                              </w:r>
                            </w:p>
                          </w:txbxContent>
                        </v:textbox>
                      </v:rect>
                      <v:rect id="Rectangle 194" o:spid="_x0000_s1200"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6EE27FAA" w14:textId="77777777" w:rsidR="00847E53" w:rsidRDefault="00847E53" w:rsidP="00C61B40">
                              <w:r>
                                <w:rPr>
                                  <w:rFonts w:ascii="Arial" w:hAnsi="Arial" w:cs="Arial"/>
                                  <w:b/>
                                  <w:bCs/>
                                  <w:color w:val="FFFFFF"/>
                                  <w:sz w:val="20"/>
                                </w:rPr>
                                <w:t xml:space="preserve">Time </w:t>
                              </w:r>
                            </w:p>
                          </w:txbxContent>
                        </v:textbox>
                      </v:rect>
                      <v:rect id="Rectangle 195" o:spid="_x0000_s1201"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355BAAE5" w14:textId="77777777" w:rsidR="00847E53" w:rsidRDefault="00847E53" w:rsidP="00C61B40">
                              <w:r>
                                <w:rPr>
                                  <w:rFonts w:ascii="Arial" w:hAnsi="Arial" w:cs="Arial"/>
                                  <w:b/>
                                  <w:bCs/>
                                  <w:color w:val="FFFFFF"/>
                                  <w:sz w:val="20"/>
                                </w:rPr>
                                <w:t>Operations</w:t>
                              </w:r>
                            </w:p>
                          </w:txbxContent>
                        </v:textbox>
                      </v:rect>
                      <v:group id="Group 196" o:spid="_x0000_s1202" style="position:absolute;left:23310;top:4440;width:16072;height:5993"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rect id="Rectangle 197" o:spid="_x0000_s1203"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" fillcolor="#936" stroked="f"/>
                        <v:rect id="Rectangle 198" o:spid="_x0000_s1204"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" filled="f" strokeweight="22e-5mm">
                          <v:stroke endcap="round"/>
                        </v:rect>
                      </v:group>
                      <v:rect id="Rectangle 199" o:spid="_x0000_s1205" style="position:absolute;left:28210;top:4599;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" filled="f" stroked="f">
                        <v:textbox style="mso-fit-shape-to-text:t" inset="0,0,0,0">
                          <w:txbxContent>
                            <w:p w14:paraId="5EE2C48F" w14:textId="77777777" w:rsidR="00847E53" w:rsidRDefault="00847E53" w:rsidP="00C61B40">
                              <w:r>
                                <w:rPr>
                                  <w:rFonts w:ascii="Arial" w:hAnsi="Arial" w:cs="Arial"/>
                                  <w:b/>
                                  <w:bCs/>
                                  <w:color w:val="FFFFFF"/>
                                  <w:sz w:val="14"/>
                                  <w:szCs w:val="14"/>
                                </w:rPr>
                                <w:t>QSE Deadline:</w:t>
                              </w:r>
                            </w:p>
                          </w:txbxContent>
                        </v:textbox>
                      </v:rect>
                      <v:rect id="Rectangle 200" o:spid="_x0000_s1206" style="position:absolute;left:28124;top:5626;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" stroked="f"/>
                      <v:rect id="Rectangle 201" o:spid="_x0000_s1207" style="position:absolute;left:24216;top:6340;width:13589;height:4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B6wwAAAN0AAAAPAAAAZHJzL2Rvd25yZXYueG1sRI/dagIx&#10;FITvBd8hHME7zVZB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OjcAesMAAADdAAAADwAA&#10;AAAAAAAAAAAAAAAHAgAAZHJzL2Rvd25yZXYueG1sUEsFBgAAAAADAAMAtwAAAPcCAAAAAA==&#10;" filled="f" stroked="f">
                        <v:textbox style="mso-fit-shape-to-text:t" inset="0,0,0,0">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v:textbox>
                      </v:rect>
                      <v:group id="Group 204" o:spid="_x0000_s1208"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qj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n2P4exOegEx/AQAA//8DAFBLAQItABQABgAIAAAAIQDb4fbL7gAAAIUBAAATAAAAAAAA&#10;AAAAAAAAAAAAAABbQ29udGVudF9UeXBlc10ueG1sUEsBAi0AFAAGAAgAAAAhAFr0LFu/AAAAFQEA&#10;AAsAAAAAAAAAAAAAAAAAHwEAAF9yZWxzLy5yZWxzUEsBAi0AFAAGAAgAAAAhADETqqPHAAAA3QAA&#10;AA8AAAAAAAAAAAAAAAAABwIAAGRycy9kb3ducmV2LnhtbFBLBQYAAAAAAwADALcAAAD7AgAAAAA=&#10;">
                        <v:rect id="Rectangle 205" o:spid="_x0000_s1209"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" fillcolor="silver" stroked="f"/>
                        <v:rect id="Rectangle 206" o:spid="_x0000_s1210"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" filled="f" strokeweight="22e-5mm">
                          <v:stroke endcap="round"/>
                        </v:rect>
                      </v:group>
                      <v:rect id="Rectangle 207" o:spid="_x0000_s1211"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" filled="f" stroked="f">
                        <v:textbox style="mso-fit-shape-to-text:t" inset="0,0,0,0">
                          <w:txbxContent>
                            <w:p w14:paraId="60295AE6" w14:textId="77777777" w:rsidR="00847E53" w:rsidRDefault="00847E53" w:rsidP="00C61B40">
                              <w:r>
                                <w:rPr>
                                  <w:rFonts w:ascii="Arial" w:hAnsi="Arial" w:cs="Arial"/>
                                  <w:b/>
                                  <w:bCs/>
                                  <w:color w:val="000000"/>
                                  <w:sz w:val="14"/>
                                  <w:szCs w:val="14"/>
                                </w:rPr>
                                <w:t>ERCOT Activity:</w:t>
                              </w:r>
                            </w:p>
                          </w:txbxContent>
                        </v:textbox>
                      </v:rect>
                      <v:rect id="Rectangle 208" o:spid="_x0000_s1212"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q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OhjC35v4BOT0DgAA//8DAFBLAQItABQABgAIAAAAIQDb4fbL7gAAAIUBAAATAAAAAAAA&#10;AAAAAAAAAAAAAABbQ29udGVudF9UeXBlc10ueG1sUEsBAi0AFAAGAAgAAAAhAFr0LFu/AAAAFQEA&#10;AAsAAAAAAAAAAAAAAAAAHwEAAF9yZWxzLy5yZWxzUEsBAi0AFAAGAAgAAAAhAMsouCrHAAAA3QAA&#10;AA8AAAAAAAAAAAAAAAAABwIAAGRycy9kb3ducmV2LnhtbFBLBQYAAAAAAwADALcAAAD7AgAAAAA=&#10;" fillcolor="black" stroked="f"/>
                      <v:rect id="Rectangle 209" o:spid="_x0000_s1213"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" filled="f" stroked="f">
                        <v:textbox style="mso-fit-shape-to-text:t" inset="0,0,0,0">
                          <w:txbxContent>
                            <w:p w14:paraId="30CE7942" w14:textId="77777777" w:rsidR="00847E53" w:rsidRDefault="00847E53" w:rsidP="00C61B40">
                              <w:r>
                                <w:rPr>
                                  <w:rFonts w:ascii="Arial" w:hAnsi="Arial" w:cs="Arial"/>
                                  <w:b/>
                                  <w:bCs/>
                                  <w:color w:val="000000"/>
                                  <w:sz w:val="14"/>
                                  <w:szCs w:val="14"/>
                                </w:rPr>
                                <w:t>Communicate</w:t>
                              </w:r>
                            </w:p>
                          </w:txbxContent>
                        </v:textbox>
                      </v:rect>
                      <v:rect id="Rectangle 210" o:spid="_x0000_s1214"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LuwwAAAN0AAAAPAAAAZHJzL2Rvd25yZXYueG1sRI/dagIx&#10;FITvC75DOAXvarYqumy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fOJC7sMAAADdAAAADwAA&#10;AAAAAAAAAAAAAAAHAgAAZHJzL2Rvd25yZXYueG1sUEsFBgAAAAADAAMAtwAAAPcCAAAAAA==&#10;" filled="f" stroked="f">
                        <v:textbox style="mso-fit-shape-to-text:t" inset="0,0,0,0">
                          <w:txbxContent>
                            <w:p w14:paraId="5AA410F5" w14:textId="77777777" w:rsidR="00847E53" w:rsidRDefault="00847E53" w:rsidP="00C61B40">
                              <w:r>
                                <w:rPr>
                                  <w:rFonts w:ascii="Arial" w:hAnsi="Arial" w:cs="Arial"/>
                                  <w:b/>
                                  <w:bCs/>
                                  <w:color w:val="000000"/>
                                  <w:sz w:val="14"/>
                                  <w:szCs w:val="14"/>
                                </w:rPr>
                                <w:t>HRUC Commitments</w:t>
                              </w:r>
                            </w:p>
                          </w:txbxContent>
                        </v:textbox>
                      </v:rect>
                      <v:shape id="Freeform 211" o:spid="_x0000_s1215"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3DD6596" w14:textId="77777777" w:rsidR="00C61B40" w:rsidRDefault="00C61B40" w:rsidP="0058150D">
            <w:pPr>
              <w:spacing w:after="240"/>
            </w:pPr>
          </w:p>
          <w:p w14:paraId="4F8EF6F2" w14:textId="77777777" w:rsidR="00C61B40" w:rsidRDefault="00C61B40" w:rsidP="0058150D">
            <w:pPr>
              <w:spacing w:after="240"/>
            </w:pPr>
          </w:p>
          <w:p w14:paraId="3AA47862" w14:textId="77777777" w:rsidR="00C61B40" w:rsidRDefault="00C61B40" w:rsidP="0058150D">
            <w:pPr>
              <w:spacing w:after="240"/>
            </w:pPr>
          </w:p>
          <w:p w14:paraId="52AB129B" w14:textId="77777777" w:rsidR="00C61B40" w:rsidRDefault="00C61B40" w:rsidP="0058150D">
            <w:pPr>
              <w:spacing w:after="240"/>
            </w:pPr>
          </w:p>
          <w:p w14:paraId="07F59755" w14:textId="77777777" w:rsidR="00C61B40" w:rsidRDefault="00C61B40" w:rsidP="0058150D">
            <w:pPr>
              <w:spacing w:after="240"/>
            </w:pPr>
          </w:p>
          <w:p w14:paraId="73BB553E" w14:textId="77777777" w:rsidR="00C61B40" w:rsidRDefault="00C61B40" w:rsidP="0058150D">
            <w:pPr>
              <w:spacing w:after="240"/>
            </w:pPr>
          </w:p>
          <w:p w14:paraId="74C222A8" w14:textId="77777777" w:rsidR="00C61B40" w:rsidRDefault="00C61B40" w:rsidP="0058150D">
            <w:pPr>
              <w:spacing w:after="240"/>
            </w:pPr>
          </w:p>
          <w:p w14:paraId="68338586" w14:textId="77777777" w:rsidR="000778F6" w:rsidRDefault="000778F6" w:rsidP="00C61B40">
            <w:pPr>
              <w:spacing w:before="240" w:after="240"/>
              <w:ind w:left="720" w:hanging="720"/>
            </w:pPr>
          </w:p>
          <w:p w14:paraId="1B96539A" w14:textId="77777777" w:rsidR="000778F6" w:rsidRDefault="000778F6" w:rsidP="00C61B40">
            <w:pPr>
              <w:spacing w:before="240" w:after="240"/>
              <w:ind w:left="720" w:hanging="720"/>
            </w:pPr>
          </w:p>
          <w:p w14:paraId="71120054" w14:textId="77777777" w:rsidR="000778F6" w:rsidRDefault="000778F6" w:rsidP="00C61B40">
            <w:pPr>
              <w:spacing w:before="240" w:after="240"/>
              <w:ind w:left="720" w:hanging="720"/>
            </w:pPr>
          </w:p>
          <w:p w14:paraId="5AA377FF" w14:textId="77777777" w:rsidR="000778F6" w:rsidRDefault="000778F6" w:rsidP="00C61B40">
            <w:pPr>
              <w:spacing w:before="240" w:after="240"/>
              <w:ind w:left="720" w:hanging="720"/>
            </w:pPr>
          </w:p>
          <w:p w14:paraId="34FDB7CC" w14:textId="77777777" w:rsidR="00C61B40" w:rsidRPr="003161DC" w:rsidRDefault="00C61B40" w:rsidP="00C61B40">
            <w:pPr>
              <w:spacing w:before="240" w:after="240"/>
              <w:ind w:left="720" w:hanging="720"/>
            </w:pPr>
            <w:r w:rsidRPr="003161DC">
              <w:t>(2)</w:t>
            </w:r>
            <w:r w:rsidRPr="003161DC">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0480E215" w14:textId="77777777" w:rsidR="00C61B40" w:rsidRPr="003161DC" w:rsidRDefault="00C61B40" w:rsidP="00C61B40">
            <w:pPr>
              <w:spacing w:after="240"/>
              <w:ind w:left="720" w:hanging="720"/>
              <w:rPr>
                <w:iCs/>
              </w:rPr>
            </w:pPr>
            <w:r w:rsidRPr="003161DC">
              <w:rPr>
                <w:iCs/>
              </w:rPr>
              <w:lastRenderedPageBreak/>
              <w:t>(3)</w:t>
            </w:r>
            <w:r w:rsidRPr="003161DC">
              <w:rPr>
                <w:iCs/>
              </w:rPr>
              <w:tab/>
              <w:t>ERCOT shall monitor Real-Time Locational Marginal Prices (LMPs), Real-Time Market Clearing Prices for Capacity (MCPCs), and Real-Time Settlement Point Prices, including Real-Time prices for energy metered, Real-Time Reliability Deployment Price Adders</w:t>
            </w:r>
            <w:r>
              <w:rPr>
                <w:iCs/>
              </w:rPr>
              <w:t xml:space="preserve"> for Energy</w:t>
            </w:r>
            <w:r w:rsidRPr="003161DC">
              <w:rPr>
                <w:iCs/>
              </w:rPr>
              <w:t xml:space="preserve">, </w:t>
            </w:r>
            <w:r>
              <w:rPr>
                <w:iCs/>
              </w:rPr>
              <w:t>and Real-Time Reliability Deployment Price Adders for Ancillary Service,</w:t>
            </w:r>
            <w:r w:rsidRPr="003161DC">
              <w:rPr>
                <w:iCs/>
              </w:rPr>
              <w:t xml:space="preserve"> for errors and if there are conditions that cause the price to be questionable, </w:t>
            </w:r>
            <w:r>
              <w:rPr>
                <w:iCs/>
              </w:rPr>
              <w:t xml:space="preserve">as soon as practicable, </w:t>
            </w:r>
            <w:r w:rsidRPr="003161DC">
              <w:rPr>
                <w:iCs/>
              </w:rPr>
              <w:t xml:space="preserve">ERCOT shall notify all Market Participants that the Real-Time LMPs, Real-Time MCPCs, and Real-Time Settlement Point Prices are under investigation.  </w:t>
            </w:r>
          </w:p>
          <w:p w14:paraId="5F6DF25B" w14:textId="3B4169F9" w:rsidR="00C61B40" w:rsidRPr="003161DC" w:rsidRDefault="00C61B40" w:rsidP="00C61B40">
            <w:pPr>
              <w:spacing w:after="240"/>
              <w:ind w:left="720" w:hanging="720"/>
            </w:pPr>
            <w:r w:rsidRPr="003161DC">
              <w:t>(4)</w:t>
            </w:r>
            <w:r w:rsidRPr="003161DC">
              <w:tab/>
              <w:t xml:space="preserve">ERCOT shall correct prices </w:t>
            </w:r>
            <w:r w:rsidR="00196B62">
              <w:t xml:space="preserve">for an Operating Day </w:t>
            </w:r>
            <w:r w:rsidRPr="003161DC">
              <w:t>when</w:t>
            </w:r>
            <w:r w:rsidR="00196B62">
              <w:t xml:space="preserve"> accurate prices can be determined, the impact of the price correction is determined to be significant, and one of the following conditions has been met</w:t>
            </w:r>
            <w:r w:rsidRPr="003161DC">
              <w:t xml:space="preserve">: </w:t>
            </w:r>
            <w:r w:rsidR="00FC0A29">
              <w:t xml:space="preserve"> </w:t>
            </w:r>
            <w:r w:rsidRPr="003161DC">
              <w:t>a market solution is determined to be invalid, invalid prices are identified in an otherwise valid market solution, the Base Points</w:t>
            </w:r>
            <w:r>
              <w:t xml:space="preserve"> or Ancillary Service awards</w:t>
            </w:r>
            <w:r w:rsidRPr="003161DC">
              <w:t xml:space="preserve"> received by Market Participants are inconsistent with the Base Points</w:t>
            </w:r>
            <w:r>
              <w:t xml:space="preserve"> or Ancillary Service awards</w:t>
            </w:r>
            <w:r w:rsidRPr="003161DC">
              <w:t xml:space="preserve"> of a valid market solution, or the Security-Constrained Economic Dispatch (SCED) process experiences a failure as described in Section 6.5.9.2, Failure of the SCED Process.  The following are some reasons that may cause these conditions.</w:t>
            </w:r>
          </w:p>
          <w:p w14:paraId="17F765C7" w14:textId="77777777" w:rsidR="00C61B40" w:rsidRPr="003161DC" w:rsidRDefault="00C61B40" w:rsidP="00C61B40">
            <w:pPr>
              <w:spacing w:after="240"/>
              <w:ind w:left="1440" w:hanging="720"/>
            </w:pPr>
            <w:r w:rsidRPr="003161DC">
              <w:t>(a)</w:t>
            </w:r>
            <w:r w:rsidRPr="003161DC">
              <w:tab/>
              <w:t>Data Input error:  Missing, incomplete, stale, or incorrect versions of one or more data elements input to the market applications may result in an invalid market solution and/or prices.</w:t>
            </w:r>
          </w:p>
          <w:p w14:paraId="0908392C" w14:textId="607348AA" w:rsidR="00C61B40" w:rsidRPr="003161DC" w:rsidRDefault="00C61B40" w:rsidP="00C61B40">
            <w:pPr>
              <w:spacing w:after="240"/>
              <w:ind w:left="1440" w:hanging="720"/>
            </w:pPr>
            <w:r w:rsidRPr="003161DC">
              <w:t>(b)</w:t>
            </w:r>
            <w:r w:rsidRPr="003161DC">
              <w:tab/>
              <w:t xml:space="preserve">Data Output error:  These include: </w:t>
            </w:r>
            <w:r w:rsidR="00E4645A">
              <w:t xml:space="preserve"> </w:t>
            </w:r>
            <w:r w:rsidRPr="003161DC">
              <w:t>incorrect or incomplete data transfer, price recalculation error in post-processing, and Base Points inconsistent with prices due to the Emergency Base Point flag remaining activated even when the SCED solution is valid.</w:t>
            </w:r>
          </w:p>
          <w:p w14:paraId="1B85F11A" w14:textId="47FD7D77" w:rsidR="00C61B40" w:rsidRPr="003161DC" w:rsidRDefault="00C61B40" w:rsidP="00C61B40">
            <w:pPr>
              <w:spacing w:after="240"/>
              <w:ind w:left="1440" w:hanging="720"/>
            </w:pPr>
            <w:r w:rsidRPr="003161DC">
              <w:t>(c)</w:t>
            </w:r>
            <w:r w:rsidRPr="003161DC">
              <w:tab/>
              <w:t>Hardware/Software error:</w:t>
            </w:r>
            <w:r w:rsidR="00525E33">
              <w:t xml:space="preserve">  </w:t>
            </w:r>
            <w:r w:rsidRPr="003161DC">
              <w:t>These include unpredicted hardware or software failures, planned market system or database outages, planned application or database upgrades, software implementation errors, and failure of the market run to complete.</w:t>
            </w:r>
          </w:p>
          <w:p w14:paraId="7C7F3B0C" w14:textId="77777777" w:rsidR="00C61B40" w:rsidRPr="003161DC" w:rsidRDefault="00C61B40" w:rsidP="00C61B40">
            <w:pPr>
              <w:spacing w:after="240"/>
              <w:ind w:left="1440" w:hanging="720"/>
            </w:pPr>
            <w:r w:rsidRPr="003161DC">
              <w:t>(d)</w:t>
            </w:r>
            <w:r w:rsidRPr="003161DC">
              <w:tab/>
              <w:t>Inconsistency with the Protocols or Public Utility Commission of Texas (PUCT) Substantive Rules:  Pricing errors may occur when specific circumstances result in prices that are in conflict with such Protocol language or the PUCT Substantive Rules.</w:t>
            </w:r>
          </w:p>
          <w:p w14:paraId="7AE102A0" w14:textId="77777777" w:rsidR="00196B62" w:rsidRPr="00371FDF" w:rsidRDefault="00196B62" w:rsidP="00196B62">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252EBAA0" w14:textId="35C333EC" w:rsidR="00196B62" w:rsidRPr="00371FDF" w:rsidRDefault="00196B62" w:rsidP="00196B62">
            <w:pPr>
              <w:spacing w:after="240"/>
              <w:ind w:left="1440" w:hanging="720"/>
              <w:rPr>
                <w:iCs/>
              </w:rPr>
            </w:pPr>
            <w:r w:rsidRPr="00371FDF">
              <w:t>(a)</w:t>
            </w:r>
            <w:r w:rsidRPr="00371FDF">
              <w:rPr>
                <w:iCs/>
              </w:rPr>
              <w:tab/>
              <w:t xml:space="preserve">The absolute value change to any single Real-Time Settlement Point Price </w:t>
            </w:r>
            <w:r>
              <w:rPr>
                <w:iCs/>
              </w:rPr>
              <w:t>at</w:t>
            </w:r>
            <w:r w:rsidRPr="00371FDF">
              <w:rPr>
                <w:iCs/>
              </w:rPr>
              <w:t xml:space="preserve"> a Resource Node</w:t>
            </w:r>
            <w:r w:rsidR="00C50E5E" w:rsidRPr="00D476E3">
              <w:rPr>
                <w:iCs/>
              </w:rPr>
              <w:t xml:space="preserve"> or Real-Time MCPC</w:t>
            </w:r>
            <w:r w:rsidRPr="00371FDF">
              <w:rPr>
                <w:iCs/>
              </w:rPr>
              <w:t xml:space="preserve"> is greater than $0.05/MWh;</w:t>
            </w:r>
          </w:p>
          <w:p w14:paraId="0CBA4167" w14:textId="6C534818" w:rsidR="00196B62" w:rsidRPr="00371FDF" w:rsidRDefault="00196B62" w:rsidP="00196B62">
            <w:pPr>
              <w:spacing w:after="240"/>
              <w:ind w:left="1440" w:hanging="720"/>
              <w:rPr>
                <w:iCs/>
              </w:rPr>
            </w:pPr>
            <w:r w:rsidRPr="00371FDF">
              <w:rPr>
                <w:iCs/>
              </w:rPr>
              <w:lastRenderedPageBreak/>
              <w:t>(b)       The price correction would require ERCOT to change more than 50 Real-Time Settlement Point Prices</w:t>
            </w:r>
            <w:r w:rsidR="00C50E5E" w:rsidRPr="00D476E3">
              <w:rPr>
                <w:iCs/>
              </w:rPr>
              <w:t xml:space="preserve"> and/or Real-Time MCPCs</w:t>
            </w:r>
            <w:r w:rsidRPr="00371FDF">
              <w:rPr>
                <w:iCs/>
              </w:rPr>
              <w:t>;</w:t>
            </w:r>
          </w:p>
          <w:p w14:paraId="606BC583" w14:textId="565F8E2C" w:rsidR="00196B62" w:rsidRPr="00371FDF" w:rsidRDefault="00196B62" w:rsidP="00196B62">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r w:rsidR="00C50E5E">
              <w:rPr>
                <w:iCs/>
              </w:rPr>
              <w:t xml:space="preserve"> or</w:t>
            </w:r>
          </w:p>
          <w:p w14:paraId="21851C2A" w14:textId="6AAA44B0" w:rsidR="00196B62" w:rsidRPr="00967E05" w:rsidRDefault="00196B62" w:rsidP="00196B62">
            <w:pPr>
              <w:spacing w:after="240"/>
              <w:ind w:left="1440" w:hanging="720"/>
              <w:rPr>
                <w:iCs/>
              </w:rPr>
            </w:pPr>
            <w:r w:rsidRPr="00967E05">
              <w:rPr>
                <w:iCs/>
              </w:rPr>
              <w:t>(d)       The estimated absolute total dollar impact for changes to Real-Time prices for energy metered is greater than $500</w:t>
            </w:r>
            <w:r w:rsidR="00925924">
              <w:rPr>
                <w:iCs/>
              </w:rPr>
              <w:t>.</w:t>
            </w:r>
          </w:p>
          <w:p w14:paraId="38093BF0" w14:textId="3A12AB77" w:rsidR="00C61B40" w:rsidRPr="003161DC" w:rsidRDefault="00C61B40" w:rsidP="00196B62">
            <w:pPr>
              <w:spacing w:after="240"/>
              <w:ind w:left="720" w:hanging="720"/>
            </w:pPr>
            <w:r w:rsidRPr="003161DC">
              <w:t>(</w:t>
            </w:r>
            <w:r w:rsidR="00196B62">
              <w:t>6</w:t>
            </w:r>
            <w:r w:rsidRPr="003161DC">
              <w:t>)</w:t>
            </w:r>
            <w:r w:rsidRPr="003161DC">
              <w:tab/>
              <w:t>If it is determined that any Real-Time Settlement Point Prices, Settlement Point LMPs, Electrical Bus LMPs, Real-Time prices for energy metered, Real-Time Reliability Deployment Price Adders</w:t>
            </w:r>
            <w:r>
              <w:t xml:space="preserve"> for Energy</w:t>
            </w:r>
            <w:r w:rsidRPr="003161DC">
              <w:t xml:space="preserve">, </w:t>
            </w:r>
            <w:r w:rsidRPr="003161DC">
              <w:rPr>
                <w:iCs/>
              </w:rPr>
              <w:t xml:space="preserve">Real-Time </w:t>
            </w:r>
            <w:r>
              <w:t xml:space="preserve">MCPCs, Real-Time Reliability Deployment Price Adders for Ancillary Service, </w:t>
            </w:r>
            <w:r w:rsidRPr="003161DC">
              <w:t>and/or constraint Shadow Prices are erroneous, ERCOT shall correct the prices before the prices are considered final in paragraph (</w:t>
            </w:r>
            <w:r w:rsidR="00196B62">
              <w:t>7</w:t>
            </w:r>
            <w:r w:rsidRPr="003161DC">
              <w:t>) below.  Specifically:</w:t>
            </w:r>
          </w:p>
          <w:p w14:paraId="554D3456" w14:textId="7948D197" w:rsidR="00C61B40" w:rsidRPr="003161DC" w:rsidRDefault="00C61B40" w:rsidP="00C61B40">
            <w:pPr>
              <w:spacing w:after="240"/>
              <w:ind w:left="1440" w:hanging="720"/>
            </w:pPr>
            <w:r w:rsidRPr="003161DC">
              <w:t>(a)</w:t>
            </w:r>
            <w:r w:rsidRPr="003161DC">
              <w:tab/>
              <w:t>If it is determined that correcting the Real-Time Settlement Point Prices will not affect the Base Points</w:t>
            </w:r>
            <w:r>
              <w:t>, and correcting Real-Time MCPCs will not affect Ancillary Service awards</w:t>
            </w:r>
            <w:r w:rsidRPr="003161DC">
              <w:t>, then ERCOT shall correct the prices before the prices are considered final in paragraph (</w:t>
            </w:r>
            <w:r w:rsidR="00196B62">
              <w:t>7</w:t>
            </w:r>
            <w:r w:rsidRPr="003161DC">
              <w:t>) below.</w:t>
            </w:r>
          </w:p>
          <w:p w14:paraId="0DDDB265" w14:textId="77777777" w:rsidR="00C61B40" w:rsidRPr="003161DC" w:rsidRDefault="00C61B40" w:rsidP="00C61B40">
            <w:pPr>
              <w:spacing w:after="240"/>
              <w:ind w:left="1440" w:hanging="720"/>
            </w:pPr>
            <w:r w:rsidRPr="003161DC">
              <w:t>(b)</w:t>
            </w:r>
            <w:r w:rsidRPr="003161DC">
              <w:tab/>
              <w:t>If it is determined that correcting the Real-Time Settlement Point Prices will affect the Base Points</w:t>
            </w:r>
            <w:r>
              <w:t xml:space="preserve">, </w:t>
            </w:r>
            <w:r w:rsidRPr="00DA66B2">
              <w:t>or cor</w:t>
            </w:r>
            <w:r>
              <w:t>recting Real-Time MCPCs will affect Ancillary Service awards</w:t>
            </w:r>
            <w:r w:rsidRPr="003161DC">
              <w:t xml:space="preserve">, </w:t>
            </w:r>
            <w:r w:rsidRPr="003161DC">
              <w:rPr>
                <w:iCs/>
              </w:rPr>
              <w:t xml:space="preserve">then ERCOT shall correct the prices </w:t>
            </w:r>
            <w:r w:rsidRPr="003161DC">
              <w:t xml:space="preserve">before the prices are considered final and settle the SCED executions as failed in accordance with Section 6.5.9.2.  </w:t>
            </w:r>
          </w:p>
          <w:p w14:paraId="0D11766E" w14:textId="77777777" w:rsidR="00C61B40" w:rsidRPr="003161DC" w:rsidRDefault="00C61B40" w:rsidP="00C61B40">
            <w:pPr>
              <w:spacing w:after="240"/>
              <w:ind w:left="1440" w:hanging="720"/>
            </w:pPr>
            <w:r w:rsidRPr="003161DC">
              <w:t>(c)</w:t>
            </w:r>
            <w:r w:rsidRPr="003161DC">
              <w:tab/>
            </w:r>
            <w:r>
              <w:t>For Settlement purposes, i</w:t>
            </w:r>
            <w:r w:rsidRPr="003161DC">
              <w:t>f the Base Points are inconsistent with the Real-Time Settlement Point Prices</w:t>
            </w:r>
            <w:r>
              <w:t>,</w:t>
            </w:r>
            <w:r w:rsidRPr="003161DC">
              <w:t xml:space="preserve"> reduced by the Real-Time Reliability Deployment Price</w:t>
            </w:r>
            <w:r>
              <w:t xml:space="preserve"> Adder for Energy, or Ancillary Service awards are inconsistent with the Real-Time MCPCs, reduced by the Real-Time Reliability Deployment Price Adder for Ancillary Service,</w:t>
            </w:r>
            <w:r w:rsidRPr="003161DC">
              <w:t xml:space="preserve"> averaged over the 15-minute Settlement Interval, then ERCOT </w:t>
            </w:r>
            <w:r>
              <w:t>shall consider</w:t>
            </w:r>
            <w:r w:rsidRPr="003161DC">
              <w:t xml:space="preserve"> the relevant Settlement Interval(s) in accordance with Section 6.6.9, Emergency Operations Settlement.</w:t>
            </w:r>
          </w:p>
          <w:p w14:paraId="71F9141A" w14:textId="799D7421" w:rsidR="00C61B40" w:rsidRPr="003161DC" w:rsidRDefault="00C61B40" w:rsidP="00C61B40">
            <w:pPr>
              <w:spacing w:after="240"/>
              <w:ind w:left="720" w:hanging="720"/>
            </w:pPr>
            <w:r w:rsidRPr="003161DC">
              <w:t>(</w:t>
            </w:r>
            <w:r w:rsidR="00196B62">
              <w:t>7</w:t>
            </w:r>
            <w:r w:rsidRPr="003161DC">
              <w:t>)</w:t>
            </w:r>
            <w:r w:rsidRPr="003161DC">
              <w:tab/>
              <w:t>All Real-Time LMPs, Real-Time Settlement Point Prices, Real-Time prices for energy metered, Real-Time Reliability Deployment Price Adders</w:t>
            </w:r>
            <w:r>
              <w:t xml:space="preserve"> for Energy</w:t>
            </w:r>
            <w:r w:rsidRPr="003161DC">
              <w:t xml:space="preserve">, </w:t>
            </w:r>
            <w:r>
              <w:t>Real-Time</w:t>
            </w:r>
            <w:r w:rsidRPr="003161DC">
              <w:t xml:space="preserve"> MCPCs</w:t>
            </w:r>
            <w:r>
              <w:t xml:space="preserve">, and Real-Time Reliability Deployment Price Adders for Ancillary Service </w:t>
            </w:r>
            <w:r w:rsidRPr="003161DC">
              <w:t xml:space="preserve">are final at 1600 of the second Business Day after the Operating Day.  </w:t>
            </w:r>
          </w:p>
          <w:p w14:paraId="7B8527D9" w14:textId="1AAF17C7" w:rsidR="00C61B40" w:rsidRPr="003161DC" w:rsidRDefault="00C61B40" w:rsidP="00C61B40">
            <w:pPr>
              <w:spacing w:after="240"/>
              <w:ind w:left="1440" w:hanging="720"/>
            </w:pPr>
            <w:r w:rsidRPr="003161DC">
              <w:t>(a)</w:t>
            </w:r>
            <w:r w:rsidRPr="003161DC">
              <w:tab/>
              <w:t>However, after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are final, if ERCOT determines that prices </w:t>
            </w:r>
            <w:r w:rsidR="00196B62">
              <w:t>qualify for a price correction pursuant to paragraph (4) above</w:t>
            </w:r>
            <w:r w:rsidRPr="003161DC">
              <w:t xml:space="preserve"> and </w:t>
            </w:r>
            <w:r w:rsidR="00196B62">
              <w:t>that ERCOT will</w:t>
            </w:r>
            <w:r w:rsidR="00196B62" w:rsidRPr="003161DC">
              <w:t xml:space="preserve"> </w:t>
            </w:r>
            <w:r w:rsidRPr="003161DC">
              <w:t xml:space="preserve">seek ERCOT Board review of such prices, it shall notify Market Participants and describe the need for such correction as soon as practicable but </w:t>
            </w:r>
            <w:r w:rsidRPr="003161DC">
              <w:lastRenderedPageBreak/>
              <w:t>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3E569A28" w14:textId="77777777" w:rsidR="00C61B40" w:rsidRPr="003161DC" w:rsidRDefault="00C61B40" w:rsidP="00C61B40">
            <w:pPr>
              <w:spacing w:after="240"/>
              <w:ind w:left="2160" w:hanging="720"/>
            </w:pPr>
            <w:r w:rsidRPr="003161DC">
              <w:t>(i)</w:t>
            </w:r>
            <w:r w:rsidRPr="003161DC">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1B64C0C8" w14:textId="77777777" w:rsidR="00C61B40" w:rsidRPr="003161DC" w:rsidRDefault="00C61B40" w:rsidP="00C61B40">
            <w:pPr>
              <w:spacing w:after="240"/>
              <w:ind w:left="2160" w:hanging="720"/>
            </w:pPr>
            <w:r w:rsidRPr="003161DC">
              <w:t>(ii)</w:t>
            </w:r>
            <w:r w:rsidRPr="003161DC">
              <w:tab/>
              <w:t>The PUCT’s authority to order price corrections when permitted to do so under other law; or</w:t>
            </w:r>
          </w:p>
          <w:p w14:paraId="034480BE" w14:textId="23AC2005" w:rsidR="00C61B40" w:rsidRPr="003161DC" w:rsidRDefault="00C61B40" w:rsidP="00C61B40">
            <w:pPr>
              <w:spacing w:after="240"/>
              <w:ind w:left="2160" w:hanging="720"/>
            </w:pPr>
            <w:r w:rsidRPr="003161DC">
              <w:t>(iii)</w:t>
            </w:r>
            <w:r w:rsidRPr="003161DC">
              <w:tab/>
              <w:t>ERCOT’s authority to grant relief to a Market Participant pursuant to the timelines specified in Section 20, Alternative Dispute Resolution Procedure</w:t>
            </w:r>
            <w:r w:rsidR="00992E7F">
              <w:t xml:space="preserve"> and Procedure for Return of Settlement Funds</w:t>
            </w:r>
            <w:r w:rsidRPr="003161DC">
              <w:t xml:space="preserve">.  </w:t>
            </w:r>
          </w:p>
          <w:p w14:paraId="5E057C47" w14:textId="77777777" w:rsidR="00196B62" w:rsidRDefault="00196B62" w:rsidP="00196B62">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Pr="00805B0A">
              <w:t>RTM 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137D8F54" w14:textId="77777777" w:rsidR="00196B62" w:rsidRDefault="00196B62" w:rsidP="00196B62">
            <w:pPr>
              <w:pStyle w:val="BodyTextNumbered"/>
              <w:ind w:left="2160"/>
            </w:pPr>
            <w:r>
              <w:t>(i)</w:t>
            </w:r>
            <w:r>
              <w:tab/>
            </w:r>
            <w:r w:rsidRPr="00371FDF">
              <w:t xml:space="preserve">2% and </w:t>
            </w:r>
            <w:r>
              <w:t xml:space="preserve">also </w:t>
            </w:r>
            <w:r w:rsidRPr="00371FDF">
              <w:t xml:space="preserve">greater than </w:t>
            </w:r>
            <w:r>
              <w:t>$20,000; or</w:t>
            </w:r>
          </w:p>
          <w:p w14:paraId="52F053B2" w14:textId="77777777" w:rsidR="00196B62" w:rsidRPr="00371FDF" w:rsidRDefault="00196B62" w:rsidP="00196B62">
            <w:pPr>
              <w:pStyle w:val="BodyTextNumbered"/>
              <w:ind w:left="2160"/>
            </w:pPr>
            <w:r>
              <w:t>(ii)</w:t>
            </w:r>
            <w:r>
              <w:tab/>
              <w:t>20% and also greater than $2,000</w:t>
            </w:r>
            <w:r w:rsidRPr="00371FDF">
              <w:t>.</w:t>
            </w:r>
          </w:p>
          <w:p w14:paraId="760BA275" w14:textId="7BACF65D" w:rsidR="00C61B40" w:rsidRPr="003161DC" w:rsidRDefault="00C61B40" w:rsidP="00196B62">
            <w:pPr>
              <w:spacing w:after="240"/>
              <w:ind w:left="1440" w:hanging="720"/>
            </w:pPr>
            <w:r w:rsidRPr="003161DC">
              <w:t>(</w:t>
            </w:r>
            <w:r w:rsidR="00196B62">
              <w:t>c</w:t>
            </w:r>
            <w:r w:rsidRPr="003161DC">
              <w:t>)</w:t>
            </w:r>
            <w:r w:rsidRPr="003161DC">
              <w:tab/>
              <w:t>The ERCOT Board may review and change Real-Time LMPs, Real-Time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if ERCOT gave timely notice to Market Participants and the ERCOT Board finds that such prices </w:t>
            </w:r>
            <w:r w:rsidR="00196B62">
              <w:t>should be corrected for an Operating Day</w:t>
            </w:r>
            <w:r w:rsidRPr="003161DC">
              <w:t>.</w:t>
            </w:r>
          </w:p>
          <w:p w14:paraId="56B8800A" w14:textId="46687CB2" w:rsidR="00C61B40" w:rsidRPr="00A4149C" w:rsidRDefault="00C61B40" w:rsidP="00196B62">
            <w:pPr>
              <w:spacing w:after="240"/>
              <w:ind w:left="1440" w:hanging="720"/>
            </w:pPr>
            <w:r w:rsidRPr="003161DC">
              <w:t>(</w:t>
            </w:r>
            <w:r w:rsidR="00196B62">
              <w:t>d</w:t>
            </w:r>
            <w:r w:rsidRPr="003161DC">
              <w:t>)</w:t>
            </w:r>
            <w:r w:rsidRPr="003161DC">
              <w:tab/>
              <w:t>In review of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the ERCOT Board may rely on the same reasons identified in paragraph (4) above to find that the prices </w:t>
            </w:r>
            <w:r w:rsidR="00196B62">
              <w:t>should be corrected for an Operating Day</w:t>
            </w:r>
            <w:r w:rsidRPr="003161DC">
              <w:t>.</w:t>
            </w:r>
          </w:p>
        </w:tc>
      </w:tr>
    </w:tbl>
    <w:p w14:paraId="2AFBE24D" w14:textId="77777777" w:rsidR="001F04FD" w:rsidRPr="00F13210" w:rsidRDefault="001F04FD" w:rsidP="001F04FD">
      <w:pPr>
        <w:pStyle w:val="H3"/>
        <w:spacing w:before="480"/>
      </w:pPr>
      <w:bookmarkStart w:id="83" w:name="_Toc189044284"/>
      <w:r w:rsidRPr="00F13210">
        <w:lastRenderedPageBreak/>
        <w:t>6.3.1</w:t>
      </w:r>
      <w:r w:rsidRPr="00F13210">
        <w:tab/>
        <w:t>Activities for the Adjustment Period</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83"/>
    </w:p>
    <w:p w14:paraId="1C256A55" w14:textId="77777777" w:rsidR="001F04FD" w:rsidRDefault="001F04FD" w:rsidP="001F04FD">
      <w:pPr>
        <w:pStyle w:val="BodyTextNumbered"/>
      </w:pPr>
      <w:r>
        <w:t>(1)</w:t>
      </w:r>
      <w: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1F04FD" w14:paraId="1733F993" w14:textId="77777777" w:rsidTr="005D68C2">
        <w:trPr>
          <w:cantSplit/>
          <w:trHeight w:val="576"/>
          <w:tblHeader/>
        </w:trPr>
        <w:tc>
          <w:tcPr>
            <w:tcW w:w="1820" w:type="dxa"/>
          </w:tcPr>
          <w:p w14:paraId="626D07DB" w14:textId="77777777" w:rsidR="001F04FD" w:rsidRDefault="001F04FD" w:rsidP="00AC4DEE">
            <w:pPr>
              <w:pStyle w:val="TableHead"/>
            </w:pPr>
            <w:r>
              <w:t xml:space="preserve">Adjustment Period </w:t>
            </w:r>
          </w:p>
        </w:tc>
        <w:tc>
          <w:tcPr>
            <w:tcW w:w="3596" w:type="dxa"/>
          </w:tcPr>
          <w:p w14:paraId="0BD3599E" w14:textId="77777777" w:rsidR="001F04FD" w:rsidRDefault="001F04FD" w:rsidP="00AC4DEE">
            <w:pPr>
              <w:pStyle w:val="TableHead"/>
              <w:rPr>
                <w:bCs/>
              </w:rPr>
            </w:pPr>
            <w:r>
              <w:rPr>
                <w:bCs/>
              </w:rPr>
              <w:t>QSE Activities</w:t>
            </w:r>
          </w:p>
        </w:tc>
        <w:tc>
          <w:tcPr>
            <w:tcW w:w="3826" w:type="dxa"/>
          </w:tcPr>
          <w:p w14:paraId="4621BBF1" w14:textId="77777777" w:rsidR="001F04FD" w:rsidRDefault="001F04FD" w:rsidP="00AC4DEE">
            <w:pPr>
              <w:pStyle w:val="TableHead"/>
              <w:rPr>
                <w:bCs/>
              </w:rPr>
            </w:pPr>
            <w:r>
              <w:rPr>
                <w:bCs/>
              </w:rPr>
              <w:t>ERCOT Activities</w:t>
            </w:r>
          </w:p>
        </w:tc>
      </w:tr>
      <w:tr w:rsidR="001F04FD" w14:paraId="21DA5B99" w14:textId="77777777" w:rsidTr="005D68C2">
        <w:trPr>
          <w:trHeight w:val="576"/>
        </w:trPr>
        <w:tc>
          <w:tcPr>
            <w:tcW w:w="1820" w:type="dxa"/>
          </w:tcPr>
          <w:p w14:paraId="3FFA3AE5" w14:textId="77777777" w:rsidR="001F04FD" w:rsidRDefault="001F04FD" w:rsidP="00AC4DEE">
            <w:pPr>
              <w:pStyle w:val="TableBody"/>
            </w:pPr>
            <w:r>
              <w:t>Time = From 1800 in the Day-Ahead  up to one hour before the start of the Operating Hour</w:t>
            </w:r>
          </w:p>
        </w:tc>
        <w:tc>
          <w:tcPr>
            <w:tcW w:w="3596" w:type="dxa"/>
          </w:tcPr>
          <w:p w14:paraId="7DB22965" w14:textId="77777777" w:rsidR="001F04FD" w:rsidRDefault="001F04FD" w:rsidP="00AC4DEE">
            <w:pPr>
              <w:pStyle w:val="TableBody"/>
              <w:spacing w:after="0"/>
            </w:pPr>
            <w:r>
              <w:t xml:space="preserve">Submit and update Energy Trades, Capacity Trades, Self-Schedules, and Ancillary Service Trades </w:t>
            </w:r>
          </w:p>
          <w:p w14:paraId="36EB0F76" w14:textId="77777777" w:rsidR="001F04FD" w:rsidRDefault="001F04FD" w:rsidP="00AC4DEE">
            <w:pPr>
              <w:pStyle w:val="TableBody"/>
              <w:spacing w:after="0"/>
            </w:pPr>
          </w:p>
          <w:p w14:paraId="72BD00CC" w14:textId="77777777" w:rsidR="001F04FD" w:rsidRDefault="001F04FD" w:rsidP="00AC4DEE">
            <w:pPr>
              <w:pStyle w:val="TableBody"/>
              <w:spacing w:after="0"/>
            </w:pPr>
            <w:r>
              <w:t>Submit and update Output Schedules</w:t>
            </w:r>
          </w:p>
          <w:p w14:paraId="57D497A1" w14:textId="77777777" w:rsidR="001F04FD" w:rsidRDefault="001F04FD" w:rsidP="00AC4DEE">
            <w:pPr>
              <w:pStyle w:val="TableBody"/>
              <w:spacing w:after="0"/>
            </w:pPr>
          </w:p>
          <w:p w14:paraId="11C9EFB5" w14:textId="5FB8D164" w:rsidR="001F04FD" w:rsidRDefault="001F04FD" w:rsidP="00C61B40">
            <w:pPr>
              <w:pStyle w:val="TableBody"/>
              <w:spacing w:after="240"/>
            </w:pPr>
            <w:r>
              <w:t>Submit and update Incremental and Decremental Energy Offer Curves for Dynamically Scheduled Resources (DSRs)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9F62BA" w14:paraId="36406AC3" w14:textId="77777777" w:rsidTr="0058150D">
              <w:trPr>
                <w:trHeight w:val="206"/>
              </w:trPr>
              <w:tc>
                <w:tcPr>
                  <w:tcW w:w="9576" w:type="dxa"/>
                  <w:shd w:val="pct12" w:color="auto" w:fill="auto"/>
                </w:tcPr>
                <w:p w14:paraId="6635BA7E" w14:textId="796E468A" w:rsidR="009F62BA" w:rsidRPr="00B37C4B" w:rsidRDefault="009F62BA" w:rsidP="009F62BA">
                  <w:pPr>
                    <w:pStyle w:val="Instructions"/>
                    <w:spacing w:before="120"/>
                  </w:pPr>
                  <w:r>
                    <w:t>[NPRR1000:  Delete the item above upon system implementation.]</w:t>
                  </w:r>
                </w:p>
              </w:tc>
            </w:tr>
          </w:tbl>
          <w:p w14:paraId="0AFD9BAB" w14:textId="516FFA3D" w:rsidR="001F04FD" w:rsidRDefault="001F04FD" w:rsidP="005D68C2">
            <w:pPr>
              <w:pStyle w:val="TableBody"/>
              <w:spacing w:after="0"/>
            </w:pPr>
          </w:p>
          <w:p w14:paraId="0DFBEDFE" w14:textId="43DCC591" w:rsidR="00EA1351" w:rsidRDefault="001F04FD" w:rsidP="004116AE">
            <w:pPr>
              <w:pStyle w:val="TableBody"/>
              <w:spacing w:after="240"/>
            </w:pPr>
            <w:r>
              <w:t xml:space="preserve">Submit and update Energy Offer Curves and/or </w:t>
            </w:r>
            <w:r w:rsidR="00D5222B">
              <w:t>RTM Energy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D3410D" w:rsidRPr="00812ECB" w14:paraId="4C58870B" w14:textId="77777777" w:rsidTr="00F5593C">
              <w:trPr>
                <w:trHeight w:val="206"/>
              </w:trPr>
              <w:tc>
                <w:tcPr>
                  <w:tcW w:w="9576" w:type="dxa"/>
                  <w:shd w:val="pct12" w:color="auto" w:fill="auto"/>
                </w:tcPr>
                <w:p w14:paraId="004FE607" w14:textId="77777777" w:rsidR="00D3410D" w:rsidRPr="00812ECB" w:rsidRDefault="00D3410D" w:rsidP="00D3410D">
                  <w:pPr>
                    <w:spacing w:before="120" w:after="240"/>
                    <w:rPr>
                      <w:b/>
                      <w:i/>
                      <w:iCs/>
                    </w:rPr>
                  </w:pPr>
                  <w:r w:rsidRPr="00812ECB">
                    <w:rPr>
                      <w:b/>
                      <w:i/>
                      <w:iCs/>
                    </w:rPr>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14383BBD" w14:textId="0FF3A526" w:rsidR="00D3410D" w:rsidRPr="00812ECB" w:rsidRDefault="00D3410D" w:rsidP="00D3410D">
                  <w:pPr>
                    <w:rPr>
                      <w:iCs/>
                      <w:sz w:val="20"/>
                    </w:rPr>
                  </w:pPr>
                  <w:r w:rsidRPr="00812ECB">
                    <w:rPr>
                      <w:iCs/>
                      <w:sz w:val="20"/>
                    </w:rPr>
                    <w:t xml:space="preserve">Submit </w:t>
                  </w:r>
                  <w:r w:rsidR="004067E8">
                    <w:rPr>
                      <w:iCs/>
                      <w:sz w:val="20"/>
                    </w:rPr>
                    <w:t>and update Energy Offer Curves and/or Energy Bid Curves</w:t>
                  </w:r>
                </w:p>
              </w:tc>
            </w:tr>
          </w:tbl>
          <w:p w14:paraId="392445D9" w14:textId="77777777" w:rsidR="00D5222B" w:rsidRDefault="00D5222B" w:rsidP="00EA1351">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525E33" w14:paraId="19BA4E2F" w14:textId="77777777" w:rsidTr="00525E33">
              <w:trPr>
                <w:trHeight w:val="206"/>
              </w:trPr>
              <w:tc>
                <w:tcPr>
                  <w:tcW w:w="9576" w:type="dxa"/>
                  <w:shd w:val="pct12" w:color="auto" w:fill="auto"/>
                </w:tcPr>
                <w:p w14:paraId="69EFF027" w14:textId="77777777" w:rsidR="00525E33" w:rsidRDefault="00525E33" w:rsidP="00525E33">
                  <w:pPr>
                    <w:pStyle w:val="Instructions"/>
                    <w:spacing w:before="120"/>
                  </w:pPr>
                  <w:r>
                    <w:t>[NPRR1014:  Insert the item below upon system implementation:]</w:t>
                  </w:r>
                </w:p>
                <w:p w14:paraId="34DCE7ED" w14:textId="77777777" w:rsidR="00525E33" w:rsidRPr="00C61B40" w:rsidRDefault="00525E33" w:rsidP="00525E33">
                  <w:pPr>
                    <w:rPr>
                      <w:iCs/>
                      <w:sz w:val="20"/>
                    </w:rPr>
                  </w:pPr>
                  <w:r w:rsidRPr="00A552C3">
                    <w:rPr>
                      <w:iCs/>
                      <w:sz w:val="20"/>
                    </w:rPr>
                    <w:t>Submit Energy Bid/Offer Curves for Energy Storage Resources (ESRs)</w:t>
                  </w:r>
                </w:p>
              </w:tc>
            </w:tr>
          </w:tbl>
          <w:p w14:paraId="1B5627CF" w14:textId="77777777" w:rsidR="00525E33" w:rsidRDefault="00525E33" w:rsidP="00AC4DEE">
            <w:pPr>
              <w:pStyle w:val="TableBody"/>
              <w:spacing w:after="0"/>
            </w:pPr>
          </w:p>
          <w:p w14:paraId="2C98662A" w14:textId="77777777" w:rsidR="001F04FD" w:rsidRDefault="001F04FD" w:rsidP="00AC4DEE">
            <w:pPr>
              <w:pStyle w:val="TableBody"/>
              <w:spacing w:after="0"/>
            </w:pPr>
            <w:r>
              <w:t>Update Current Operating Plan (COP)</w:t>
            </w:r>
          </w:p>
          <w:p w14:paraId="670953D1" w14:textId="77777777" w:rsidR="001F04FD" w:rsidRDefault="001F04FD" w:rsidP="000B1D41">
            <w:pPr>
              <w:pStyle w:val="TableBody"/>
              <w:spacing w:before="240" w:after="0"/>
            </w:pPr>
            <w:r>
              <w:t xml:space="preserve">Request Resource decommitments </w:t>
            </w:r>
          </w:p>
          <w:p w14:paraId="6BE15E4D" w14:textId="77777777" w:rsidR="001F04FD" w:rsidRDefault="001F04FD" w:rsidP="00AC4DEE">
            <w:pPr>
              <w:pStyle w:val="TableBody"/>
              <w:spacing w:after="0"/>
            </w:pPr>
          </w:p>
          <w:p w14:paraId="3FEBA6F6" w14:textId="77777777" w:rsidR="001F04FD" w:rsidRDefault="001F04FD" w:rsidP="00AC4DEE">
            <w:pPr>
              <w:pStyle w:val="TableBody"/>
              <w:spacing w:after="0"/>
            </w:pPr>
            <w:r>
              <w:t>Submit Three-Part Supply Offers for Off-Line Generation Resources</w:t>
            </w:r>
          </w:p>
          <w:p w14:paraId="4E70EFED" w14:textId="77777777" w:rsidR="001F04FD" w:rsidRDefault="001F04FD" w:rsidP="00AC4DEE">
            <w:pPr>
              <w:pStyle w:val="TableBody"/>
              <w:spacing w:after="0"/>
            </w:pPr>
          </w:p>
          <w:p w14:paraId="5DB138A7" w14:textId="77777777" w:rsidR="001F04FD" w:rsidRDefault="001F04FD" w:rsidP="000B1D41">
            <w:pPr>
              <w:pStyle w:val="TableBody"/>
              <w:spacing w:after="240"/>
            </w:pPr>
            <w:r>
              <w:t>Submit offers for any Supplemental Ancillary Service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C61B40" w14:paraId="50F3E23F" w14:textId="77777777" w:rsidTr="0058150D">
              <w:trPr>
                <w:trHeight w:val="206"/>
              </w:trPr>
              <w:tc>
                <w:tcPr>
                  <w:tcW w:w="9576" w:type="dxa"/>
                  <w:shd w:val="pct12" w:color="auto" w:fill="auto"/>
                </w:tcPr>
                <w:p w14:paraId="7B12D692" w14:textId="5CFF0A93" w:rsidR="00C61B40" w:rsidRDefault="00C61B40" w:rsidP="00C61B40">
                  <w:pPr>
                    <w:pStyle w:val="Instructions"/>
                    <w:spacing w:before="120"/>
                  </w:pPr>
                  <w:r>
                    <w:t>[NPRR1010</w:t>
                  </w:r>
                  <w:r w:rsidR="0040329E">
                    <w:t xml:space="preserve"> and NPRR1014</w:t>
                  </w:r>
                  <w:r>
                    <w:t xml:space="preserve">:  Replace </w:t>
                  </w:r>
                  <w:r w:rsidR="0040329E">
                    <w:t xml:space="preserve">applicable portions of </w:t>
                  </w:r>
                  <w:r>
                    <w:t>the item above with the following upon system implementation of the Real-Time Co-Optimization (RTC) project</w:t>
                  </w:r>
                  <w:r w:rsidR="0040329E">
                    <w:t xml:space="preserve"> for NPRR1010; or upon system implementation for NPRR1014</w:t>
                  </w:r>
                  <w:r>
                    <w:t>:]</w:t>
                  </w:r>
                </w:p>
                <w:p w14:paraId="34AC4C32" w14:textId="54638823" w:rsidR="00C61B40" w:rsidRPr="00C61B40" w:rsidRDefault="00C61B40" w:rsidP="00C61B40">
                  <w:pPr>
                    <w:rPr>
                      <w:iCs/>
                      <w:sz w:val="20"/>
                    </w:rPr>
                  </w:pPr>
                  <w:r>
                    <w:rPr>
                      <w:iCs/>
                      <w:sz w:val="20"/>
                    </w:rPr>
                    <w:t>Submit and update Ancillary Service Offers</w:t>
                  </w:r>
                </w:p>
              </w:tc>
            </w:tr>
          </w:tbl>
          <w:p w14:paraId="72D74B89" w14:textId="77777777" w:rsidR="001F04FD" w:rsidRDefault="001F04FD" w:rsidP="00AC4DEE">
            <w:pPr>
              <w:pStyle w:val="TableBody"/>
              <w:spacing w:after="0"/>
            </w:pPr>
          </w:p>
          <w:p w14:paraId="4879C40D" w14:textId="77777777" w:rsidR="001F04FD" w:rsidRDefault="001F04FD" w:rsidP="00AC4DEE">
            <w:pPr>
              <w:pStyle w:val="TableBody"/>
              <w:spacing w:after="0"/>
            </w:pPr>
            <w:r>
              <w:t>Communicate Resource Forced Outages</w:t>
            </w:r>
          </w:p>
          <w:p w14:paraId="0262F52D" w14:textId="77777777" w:rsidR="001F04FD" w:rsidRDefault="001F04FD" w:rsidP="00AC4DEE">
            <w:pPr>
              <w:pStyle w:val="TableBody"/>
            </w:pPr>
          </w:p>
          <w:p w14:paraId="296479A5" w14:textId="77777777" w:rsidR="001F04FD" w:rsidRDefault="001F04FD" w:rsidP="00AC4DEE">
            <w:pPr>
              <w:pStyle w:val="TableBody"/>
            </w:pPr>
          </w:p>
          <w:p w14:paraId="0E9B6E90" w14:textId="77777777" w:rsidR="001F04FD" w:rsidRDefault="001F04FD" w:rsidP="00AC4DEE">
            <w:pPr>
              <w:pStyle w:val="TableBody"/>
            </w:pPr>
          </w:p>
        </w:tc>
        <w:tc>
          <w:tcPr>
            <w:tcW w:w="3826" w:type="dxa"/>
          </w:tcPr>
          <w:p w14:paraId="7BED3697" w14:textId="77777777" w:rsidR="001F04FD" w:rsidRDefault="001F04FD" w:rsidP="00AC4DEE">
            <w:pPr>
              <w:pStyle w:val="TableBody"/>
              <w:spacing w:after="0"/>
            </w:pPr>
            <w:r>
              <w:lastRenderedPageBreak/>
              <w:t>Post shift schedules on the Market Information System (MIS) Secure Area</w:t>
            </w:r>
          </w:p>
          <w:p w14:paraId="56544C7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779AB" w14:paraId="72239242" w14:textId="77777777" w:rsidTr="00AE5CE8">
              <w:trPr>
                <w:trHeight w:val="206"/>
              </w:trPr>
              <w:tc>
                <w:tcPr>
                  <w:tcW w:w="9576" w:type="dxa"/>
                  <w:shd w:val="pct12" w:color="auto" w:fill="auto"/>
                </w:tcPr>
                <w:p w14:paraId="17BE1475" w14:textId="3559607A" w:rsidR="00D779AB" w:rsidRPr="00B37C4B" w:rsidRDefault="00D779AB" w:rsidP="00D779AB">
                  <w:pPr>
                    <w:pStyle w:val="Instructions"/>
                    <w:spacing w:before="120"/>
                  </w:pPr>
                  <w:r>
                    <w:t>[NPRR1240:  Delete the item above upon system implementation.]</w:t>
                  </w:r>
                </w:p>
              </w:tc>
            </w:tr>
          </w:tbl>
          <w:p w14:paraId="7B067D1E" w14:textId="77777777" w:rsidR="001F04FD" w:rsidRDefault="001F04FD" w:rsidP="00D779AB">
            <w:pPr>
              <w:pStyle w:val="TableBody"/>
              <w:spacing w:before="240" w:after="0"/>
            </w:pPr>
            <w:r>
              <w:t>Validate Energy Trades, Capacity Trades, Self-Schedules, and Ancillary Service Trades and identify invalid or mismatched trades</w:t>
            </w:r>
          </w:p>
          <w:p w14:paraId="42FAECD2" w14:textId="77777777" w:rsidR="001F04FD" w:rsidRDefault="001F04FD" w:rsidP="00AC4DEE">
            <w:pPr>
              <w:pStyle w:val="TableBody"/>
              <w:spacing w:after="0"/>
            </w:pPr>
          </w:p>
          <w:p w14:paraId="2F5C171F" w14:textId="77777777" w:rsidR="001F04FD" w:rsidRDefault="001F04FD" w:rsidP="00AC4DEE">
            <w:pPr>
              <w:pStyle w:val="TableBody"/>
              <w:spacing w:after="0"/>
            </w:pPr>
            <w:r>
              <w:t xml:space="preserve">Validate Output Schedules </w:t>
            </w:r>
          </w:p>
          <w:p w14:paraId="7AEFCA23" w14:textId="77777777" w:rsidR="001F04FD" w:rsidRDefault="001F04FD" w:rsidP="00AC4DEE">
            <w:pPr>
              <w:pStyle w:val="TableBody"/>
              <w:spacing w:after="0"/>
            </w:pPr>
          </w:p>
          <w:p w14:paraId="5C2AA4AA" w14:textId="77777777" w:rsidR="001F04FD" w:rsidRDefault="001F04FD" w:rsidP="00AC4DEE">
            <w:pPr>
              <w:pStyle w:val="TableBody"/>
              <w:spacing w:after="0"/>
            </w:pPr>
            <w:r>
              <w:t xml:space="preserve">Validate Incremental and Decremental Energy Offer Curves </w:t>
            </w:r>
          </w:p>
          <w:p w14:paraId="6AFBE2A6" w14:textId="77777777" w:rsidR="001F04FD" w:rsidRDefault="001F04FD" w:rsidP="00AC4DEE">
            <w:pPr>
              <w:pStyle w:val="TableBody"/>
              <w:spacing w:after="0"/>
            </w:pPr>
          </w:p>
          <w:p w14:paraId="356CCD92" w14:textId="77777777" w:rsidR="00D3410D" w:rsidRDefault="001F04FD" w:rsidP="004116AE">
            <w:pPr>
              <w:pStyle w:val="TableBody"/>
              <w:spacing w:after="240"/>
            </w:pPr>
            <w:r>
              <w:t>Validate Energy Offer Curves and/or RTM Energy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3410D" w:rsidRPr="00812ECB" w14:paraId="13B5F138" w14:textId="77777777" w:rsidTr="00F5593C">
              <w:trPr>
                <w:trHeight w:val="206"/>
              </w:trPr>
              <w:tc>
                <w:tcPr>
                  <w:tcW w:w="9576" w:type="dxa"/>
                  <w:shd w:val="pct12" w:color="auto" w:fill="auto"/>
                </w:tcPr>
                <w:p w14:paraId="2A172665" w14:textId="77777777" w:rsidR="00D3410D" w:rsidRPr="00812ECB" w:rsidRDefault="00D3410D" w:rsidP="00D3410D">
                  <w:pPr>
                    <w:spacing w:before="120" w:after="240"/>
                    <w:rPr>
                      <w:b/>
                      <w:i/>
                      <w:iCs/>
                    </w:rPr>
                  </w:pPr>
                  <w:r w:rsidRPr="00812ECB">
                    <w:rPr>
                      <w:b/>
                      <w:i/>
                      <w:iCs/>
                    </w:rPr>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5528A7B0" w14:textId="55EA9B92" w:rsidR="00D3410D" w:rsidRPr="00812ECB" w:rsidRDefault="00D3410D" w:rsidP="00D3410D">
                  <w:pPr>
                    <w:rPr>
                      <w:iCs/>
                      <w:sz w:val="20"/>
                    </w:rPr>
                  </w:pPr>
                  <w:r w:rsidRPr="00812ECB">
                    <w:rPr>
                      <w:iCs/>
                      <w:sz w:val="20"/>
                    </w:rPr>
                    <w:t>Validate Energy Offer Curves and/or Energy Bid Curves</w:t>
                  </w:r>
                </w:p>
              </w:tc>
            </w:tr>
          </w:tbl>
          <w:p w14:paraId="29990C3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917335" w14:paraId="624A8B71" w14:textId="77777777" w:rsidTr="009E7633">
              <w:trPr>
                <w:trHeight w:val="206"/>
              </w:trPr>
              <w:tc>
                <w:tcPr>
                  <w:tcW w:w="9576" w:type="dxa"/>
                  <w:shd w:val="pct12" w:color="auto" w:fill="auto"/>
                </w:tcPr>
                <w:p w14:paraId="790157A1" w14:textId="07E8DDE1" w:rsidR="00917335" w:rsidRDefault="00917335" w:rsidP="00917335">
                  <w:pPr>
                    <w:pStyle w:val="Instructions"/>
                    <w:spacing w:before="120"/>
                  </w:pPr>
                  <w:r>
                    <w:t>[NPRR1014:  Insert the item below upon system implementation:]</w:t>
                  </w:r>
                </w:p>
                <w:p w14:paraId="438BB925" w14:textId="473DA1CC" w:rsidR="00917335" w:rsidRPr="00C61B40" w:rsidRDefault="00917335" w:rsidP="00917335">
                  <w:pPr>
                    <w:rPr>
                      <w:iCs/>
                      <w:sz w:val="20"/>
                    </w:rPr>
                  </w:pPr>
                  <w:r w:rsidRPr="00A552C3">
                    <w:rPr>
                      <w:iCs/>
                      <w:sz w:val="20"/>
                    </w:rPr>
                    <w:t>Validate Energy Bid/Offer Curves</w:t>
                  </w:r>
                </w:p>
              </w:tc>
            </w:tr>
          </w:tbl>
          <w:p w14:paraId="6F769C34" w14:textId="77777777" w:rsidR="001F04FD" w:rsidRDefault="001F04FD" w:rsidP="00917335">
            <w:pPr>
              <w:pStyle w:val="TableBody"/>
              <w:spacing w:before="240" w:after="0"/>
            </w:pPr>
            <w:r>
              <w:t>Validate COP including validation of the deliverability of Ancillary Services from Resources for the next Operating Period</w:t>
            </w:r>
          </w:p>
          <w:p w14:paraId="34536B41" w14:textId="77777777" w:rsidR="001F04FD" w:rsidRDefault="001F04FD" w:rsidP="00AC4DEE">
            <w:pPr>
              <w:pStyle w:val="TableBody"/>
              <w:spacing w:after="0"/>
            </w:pPr>
          </w:p>
          <w:p w14:paraId="7F4679E5" w14:textId="77777777" w:rsidR="001F04FD" w:rsidRDefault="001F04FD" w:rsidP="00AC4DEE">
            <w:pPr>
              <w:pStyle w:val="TableBody"/>
              <w:spacing w:after="0"/>
            </w:pPr>
            <w:r>
              <w:lastRenderedPageBreak/>
              <w:t xml:space="preserve">Review and approve or reject Resource decommitments </w:t>
            </w:r>
          </w:p>
          <w:p w14:paraId="4DBF4BDD" w14:textId="77777777" w:rsidR="001F04FD" w:rsidRDefault="001F04FD" w:rsidP="00AC4DEE">
            <w:pPr>
              <w:pStyle w:val="TableBody"/>
              <w:spacing w:after="0"/>
            </w:pPr>
          </w:p>
          <w:p w14:paraId="3ECE38EC" w14:textId="77777777" w:rsidR="001F04FD" w:rsidRDefault="001F04FD" w:rsidP="00AC4DEE">
            <w:pPr>
              <w:pStyle w:val="TableBody"/>
              <w:spacing w:after="0"/>
            </w:pPr>
            <w:r>
              <w:t xml:space="preserve">Validate Three-Part Supply Offers  </w:t>
            </w:r>
          </w:p>
          <w:p w14:paraId="086A9532" w14:textId="77777777" w:rsidR="001F04FD" w:rsidRDefault="001F04FD" w:rsidP="00AC4DEE">
            <w:pPr>
              <w:pStyle w:val="TableBody"/>
              <w:spacing w:after="0"/>
            </w:pPr>
          </w:p>
          <w:p w14:paraId="7BEA625F" w14:textId="77777777" w:rsidR="001F04FD" w:rsidRDefault="001F04FD" w:rsidP="00AC4DEE">
            <w:pPr>
              <w:pStyle w:val="TableBody"/>
              <w:spacing w:after="0"/>
            </w:pPr>
            <w:r>
              <w:t>Publish Notice of Need to Procure Additional Ancillary Service capacity if required</w:t>
            </w:r>
          </w:p>
          <w:p w14:paraId="69CCD417"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67B0E124" w14:textId="77777777" w:rsidTr="0058150D">
              <w:trPr>
                <w:trHeight w:val="206"/>
              </w:trPr>
              <w:tc>
                <w:tcPr>
                  <w:tcW w:w="9576" w:type="dxa"/>
                  <w:shd w:val="pct12" w:color="auto" w:fill="auto"/>
                </w:tcPr>
                <w:p w14:paraId="26480811" w14:textId="3CF94290" w:rsidR="00C61B40" w:rsidRDefault="00C61B40" w:rsidP="00C61B40">
                  <w:pPr>
                    <w:pStyle w:val="Instructions"/>
                    <w:spacing w:before="120"/>
                  </w:pPr>
                  <w:r>
                    <w:t>[NPRR1010</w:t>
                  </w:r>
                  <w:r w:rsidR="0040329E">
                    <w:t xml:space="preserve"> and NPRR1014</w:t>
                  </w:r>
                  <w:r>
                    <w:t>:  Replace</w:t>
                  </w:r>
                  <w:r w:rsidR="0040329E">
                    <w:t xml:space="preserve"> applicable portions of</w:t>
                  </w:r>
                  <w:r>
                    <w:t xml:space="preserve"> the item above with the following upon system implementation of the Real-Time Co-Optimization (RTC) project</w:t>
                  </w:r>
                  <w:r w:rsidR="0040329E">
                    <w:t xml:space="preserve"> for NPRR1010; or upon system implementation for NPRR1014</w:t>
                  </w:r>
                  <w:r>
                    <w:t>:]</w:t>
                  </w:r>
                </w:p>
                <w:p w14:paraId="346A28ED" w14:textId="1773F0A3" w:rsidR="00C61B40" w:rsidRPr="00C61B40" w:rsidRDefault="00C61B40" w:rsidP="00C61B40">
                  <w:pPr>
                    <w:rPr>
                      <w:iCs/>
                      <w:sz w:val="20"/>
                    </w:rPr>
                  </w:pPr>
                  <w:r w:rsidRPr="003161DC">
                    <w:rPr>
                      <w:iCs/>
                      <w:sz w:val="20"/>
                    </w:rPr>
                    <w:t xml:space="preserve">Publish Notice of </w:t>
                  </w:r>
                  <w:r>
                    <w:rPr>
                      <w:iCs/>
                      <w:sz w:val="20"/>
                    </w:rPr>
                    <w:t>n</w:t>
                  </w:r>
                  <w:r w:rsidRPr="003161DC">
                    <w:rPr>
                      <w:iCs/>
                      <w:sz w:val="20"/>
                    </w:rPr>
                    <w:t xml:space="preserve">eed to </w:t>
                  </w:r>
                  <w:r>
                    <w:rPr>
                      <w:iCs/>
                      <w:sz w:val="20"/>
                    </w:rPr>
                    <w:t xml:space="preserve">update the </w:t>
                  </w:r>
                  <w:r w:rsidRPr="003161DC">
                    <w:rPr>
                      <w:iCs/>
                      <w:sz w:val="20"/>
                    </w:rPr>
                    <w:t xml:space="preserve"> Ancillary Service </w:t>
                  </w:r>
                  <w:r>
                    <w:rPr>
                      <w:iCs/>
                      <w:sz w:val="20"/>
                    </w:rPr>
                    <w:t>Plan</w:t>
                  </w:r>
                  <w:r w:rsidRPr="003161DC">
                    <w:rPr>
                      <w:iCs/>
                      <w:sz w:val="20"/>
                    </w:rPr>
                    <w:t xml:space="preserve"> if required</w:t>
                  </w:r>
                  <w:r>
                    <w:rPr>
                      <w:iCs/>
                      <w:sz w:val="20"/>
                    </w:rPr>
                    <w:t xml:space="preserve"> and update the Ancillary Service Demand Curves (ASDCs) for the affected hours and Ancillary Services</w:t>
                  </w:r>
                </w:p>
              </w:tc>
            </w:tr>
          </w:tbl>
          <w:p w14:paraId="71F160AD" w14:textId="77777777" w:rsidR="001F04FD" w:rsidRDefault="001F04FD" w:rsidP="000B1D41">
            <w:pPr>
              <w:pStyle w:val="TableBody"/>
              <w:spacing w:before="240" w:after="0"/>
            </w:pPr>
            <w:r>
              <w:t>Validate Ancillary Service Offers</w:t>
            </w:r>
          </w:p>
          <w:p w14:paraId="5416C362" w14:textId="77777777" w:rsidR="001F04FD" w:rsidRDefault="001F04FD" w:rsidP="00AC4DEE">
            <w:pPr>
              <w:pStyle w:val="TableBody"/>
              <w:spacing w:after="0"/>
            </w:pPr>
          </w:p>
          <w:p w14:paraId="08526E3B" w14:textId="77777777" w:rsidR="001F04FD" w:rsidRDefault="001F04FD" w:rsidP="00AC4DEE">
            <w:pPr>
              <w:pStyle w:val="TableBody"/>
              <w:spacing w:after="0"/>
            </w:pPr>
            <w:r>
              <w:t>At the end of the Adjustment Period snap-shot the net capacity credits for Hourly Reliability Unit Commitment (HRUC) Settlement</w:t>
            </w:r>
          </w:p>
          <w:p w14:paraId="5D5B88ED" w14:textId="77777777" w:rsidR="001F04FD" w:rsidRDefault="001F04FD" w:rsidP="00AC4DEE">
            <w:pPr>
              <w:pStyle w:val="TableBody"/>
              <w:spacing w:after="0"/>
            </w:pPr>
          </w:p>
          <w:p w14:paraId="1BA0CE7B" w14:textId="77777777" w:rsidR="001F04FD" w:rsidRDefault="001F04FD" w:rsidP="00AC4DEE">
            <w:pPr>
              <w:pStyle w:val="TableBody"/>
              <w:spacing w:after="0"/>
            </w:pPr>
            <w:r>
              <w:t>Update Short-Term Wind Power Forecast (STWPF)</w:t>
            </w:r>
          </w:p>
          <w:p w14:paraId="031E0B1F" w14:textId="77777777" w:rsidR="001F04FD" w:rsidRDefault="001F04FD" w:rsidP="00AC4DEE">
            <w:pPr>
              <w:pStyle w:val="TableBody"/>
              <w:spacing w:after="0"/>
            </w:pPr>
          </w:p>
          <w:p w14:paraId="329D4DD9" w14:textId="77777777" w:rsidR="001F04FD" w:rsidRDefault="001F04FD" w:rsidP="00AC4DEE">
            <w:pPr>
              <w:pStyle w:val="TableBody"/>
              <w:spacing w:after="0"/>
            </w:pPr>
            <w:r>
              <w:t>Update Short-Term PhotoVoltaic Power Forecast (STPPF)</w:t>
            </w:r>
          </w:p>
          <w:p w14:paraId="57C05067" w14:textId="77777777" w:rsidR="001F04FD" w:rsidRDefault="001F04FD" w:rsidP="00AC4DEE">
            <w:pPr>
              <w:pStyle w:val="TableBody"/>
              <w:spacing w:after="0"/>
            </w:pPr>
          </w:p>
          <w:p w14:paraId="07D976B5" w14:textId="77777777" w:rsidR="001F04FD" w:rsidRDefault="001F04FD" w:rsidP="00AC4DEE">
            <w:pPr>
              <w:pStyle w:val="TableBody"/>
              <w:spacing w:after="0"/>
            </w:pPr>
            <w:r>
              <w:t>Execute the Hour-Ahead Sequence</w:t>
            </w:r>
          </w:p>
          <w:p w14:paraId="3CABB7D3" w14:textId="77777777" w:rsidR="001F04FD" w:rsidRDefault="001F04FD" w:rsidP="00AC4DEE">
            <w:pPr>
              <w:pStyle w:val="TableBody"/>
              <w:spacing w:after="0"/>
            </w:pPr>
          </w:p>
          <w:p w14:paraId="13DFF0F9" w14:textId="77777777" w:rsidR="00D3410D" w:rsidRDefault="001F04FD" w:rsidP="000B1D41">
            <w:pPr>
              <w:pStyle w:val="TableBody"/>
              <w:spacing w:after="240"/>
            </w:pPr>
            <w:r>
              <w:t xml:space="preserve">Notify the QSE via the MIS Certified Area that an Energy Offer Curve, RTM Energy Bid or Output Schedule has not yet been submitted for a Resource as a reminder that one of the three must be submitted by the end of the Adjustment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3410D" w:rsidRPr="00812ECB" w14:paraId="22B4C679" w14:textId="77777777" w:rsidTr="00F5593C">
              <w:trPr>
                <w:trHeight w:val="206"/>
              </w:trPr>
              <w:tc>
                <w:tcPr>
                  <w:tcW w:w="9576" w:type="dxa"/>
                  <w:shd w:val="pct12" w:color="auto" w:fill="auto"/>
                </w:tcPr>
                <w:p w14:paraId="112C446C" w14:textId="77777777" w:rsidR="00D3410D" w:rsidRPr="00812ECB" w:rsidRDefault="00D3410D" w:rsidP="00D3410D">
                  <w:pPr>
                    <w:spacing w:before="120" w:after="240"/>
                    <w:rPr>
                      <w:b/>
                      <w:i/>
                      <w:iCs/>
                    </w:rPr>
                  </w:pPr>
                  <w:r w:rsidRPr="00812ECB">
                    <w:rPr>
                      <w:b/>
                      <w:i/>
                      <w:iCs/>
                    </w:rPr>
                    <w:lastRenderedPageBreak/>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6A498D0B" w14:textId="6DFEAC47" w:rsidR="00D3410D" w:rsidRPr="00812ECB" w:rsidRDefault="00D3410D" w:rsidP="00D3410D">
                  <w:pPr>
                    <w:spacing w:after="240"/>
                    <w:rPr>
                      <w:iCs/>
                      <w:sz w:val="20"/>
                    </w:rPr>
                  </w:pPr>
                  <w:r w:rsidRPr="00812ECB">
                    <w:rPr>
                      <w:iCs/>
                      <w:sz w:val="20"/>
                    </w:rPr>
                    <w:t>Notify the QSE via the MIS Certified Area that an Energy Offer Curve, Energy Bid Curve or Output Schedule has not yet been submitted for a Resource as a reminder that one of the three must be submitted by the end of the Adjustment Period</w:t>
                  </w:r>
                </w:p>
              </w:tc>
            </w:tr>
          </w:tbl>
          <w:p w14:paraId="2D2B7E63" w14:textId="71BA51C5" w:rsidR="00C61B40" w:rsidRDefault="00C61B40" w:rsidP="00D3410D">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32135BE3" w14:textId="77777777" w:rsidTr="0058150D">
              <w:trPr>
                <w:trHeight w:val="206"/>
              </w:trPr>
              <w:tc>
                <w:tcPr>
                  <w:tcW w:w="9576" w:type="dxa"/>
                  <w:shd w:val="pct12" w:color="auto" w:fill="auto"/>
                </w:tcPr>
                <w:p w14:paraId="789C5B93" w14:textId="53D15BB4" w:rsidR="00C61B40" w:rsidRDefault="00C61B40" w:rsidP="00C61B40">
                  <w:pPr>
                    <w:pStyle w:val="Instructions"/>
                    <w:spacing w:before="120"/>
                  </w:pPr>
                  <w:r>
                    <w:t>[NPRR1010</w:t>
                  </w:r>
                  <w:r w:rsidR="002732A3">
                    <w:t xml:space="preserve"> and NPRR1014</w:t>
                  </w:r>
                  <w:r>
                    <w:t xml:space="preserve">:  Insert </w:t>
                  </w:r>
                  <w:r w:rsidR="002732A3">
                    <w:t xml:space="preserve">applicable portions of </w:t>
                  </w:r>
                  <w:r>
                    <w:t>the item</w:t>
                  </w:r>
                  <w:r w:rsidR="002732A3">
                    <w:t>s</w:t>
                  </w:r>
                  <w:r>
                    <w:t xml:space="preserve"> below upon system implementation of the Real-Time Co-Optimization (RTC) project</w:t>
                  </w:r>
                  <w:r w:rsidR="002732A3">
                    <w:t xml:space="preserve"> for NPRR1010; or upon sy</w:t>
                  </w:r>
                  <w:r w:rsidR="00525E33">
                    <w:t>s</w:t>
                  </w:r>
                  <w:r w:rsidR="002732A3">
                    <w:t>tem implementation for NPRR1014</w:t>
                  </w:r>
                  <w:r>
                    <w:t>:]</w:t>
                  </w:r>
                </w:p>
                <w:p w14:paraId="0B9D45FB" w14:textId="77777777" w:rsidR="00C61B40" w:rsidRDefault="00C61B40" w:rsidP="00C61B40">
                  <w:pPr>
                    <w:rPr>
                      <w:iCs/>
                      <w:sz w:val="20"/>
                    </w:rPr>
                  </w:pPr>
                  <w:r>
                    <w:rPr>
                      <w:iCs/>
                      <w:sz w:val="20"/>
                    </w:rPr>
                    <w:t>Notify the QSE via the MIS Certified Area that an Ancillary Service Offer has not yet been submitted for a Resource by the end of the Adjustment Period</w:t>
                  </w:r>
                </w:p>
                <w:p w14:paraId="2B92584B" w14:textId="77777777" w:rsidR="002732A3" w:rsidRDefault="002732A3" w:rsidP="00C61B40">
                  <w:pPr>
                    <w:rPr>
                      <w:iCs/>
                      <w:sz w:val="20"/>
                    </w:rPr>
                  </w:pPr>
                </w:p>
                <w:p w14:paraId="21721EC6" w14:textId="6F924B3B" w:rsidR="002732A3" w:rsidRPr="00C61B40" w:rsidRDefault="002732A3" w:rsidP="00C61B40">
                  <w:pPr>
                    <w:rPr>
                      <w:iCs/>
                      <w:sz w:val="20"/>
                    </w:rPr>
                  </w:pPr>
                  <w:r w:rsidRPr="00A552C3">
                    <w:rPr>
                      <w:iCs/>
                      <w:sz w:val="20"/>
                    </w:rPr>
                    <w:t>Notify the QSE via the MIS Certified Area that an Energy Bid/Offer Curve has not yet been submitted for an ESR by the end of the Adjustment Period</w:t>
                  </w:r>
                </w:p>
              </w:tc>
            </w:tr>
          </w:tbl>
          <w:p w14:paraId="04B4A995" w14:textId="77777777" w:rsidR="001F04FD" w:rsidRDefault="001F04FD" w:rsidP="00AC4DEE">
            <w:pPr>
              <w:pStyle w:val="TableBody"/>
              <w:spacing w:after="0"/>
            </w:pPr>
          </w:p>
        </w:tc>
      </w:tr>
    </w:tbl>
    <w:p w14:paraId="50F8C556" w14:textId="3F987956" w:rsidR="001F04FD" w:rsidRDefault="001F04FD" w:rsidP="001F04FD">
      <w:pPr>
        <w:pStyle w:val="H3"/>
        <w:spacing w:before="480"/>
      </w:pPr>
      <w:bookmarkStart w:id="84" w:name="_Toc397504910"/>
      <w:bookmarkStart w:id="85" w:name="_Toc402357038"/>
      <w:bookmarkStart w:id="86" w:name="_Toc422486418"/>
      <w:bookmarkStart w:id="87" w:name="_Toc433093270"/>
      <w:bookmarkStart w:id="88" w:name="_Toc433093428"/>
      <w:bookmarkStart w:id="89" w:name="_Toc440874658"/>
      <w:bookmarkStart w:id="90" w:name="_Toc448142213"/>
      <w:bookmarkStart w:id="91" w:name="_Toc448142370"/>
      <w:bookmarkStart w:id="92" w:name="_Toc458770206"/>
      <w:bookmarkStart w:id="93" w:name="_Toc459294174"/>
      <w:bookmarkStart w:id="94" w:name="_Toc463262667"/>
      <w:bookmarkStart w:id="95" w:name="_Toc468286739"/>
      <w:bookmarkStart w:id="96" w:name="_Toc481502785"/>
      <w:bookmarkStart w:id="97" w:name="_Toc496079955"/>
      <w:bookmarkStart w:id="98" w:name="_Toc189044285"/>
      <w:r>
        <w:lastRenderedPageBreak/>
        <w:t>6.3.2</w:t>
      </w:r>
      <w:r>
        <w:tab/>
        <w:t>Activities for Real-Time Operations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2B75C64" w14:textId="77777777" w:rsidR="001F04FD" w:rsidRDefault="001F04FD" w:rsidP="001F04FD">
      <w:pPr>
        <w:pStyle w:val="BodyTextNumbered"/>
      </w:pPr>
      <w:r>
        <w:t>(1)</w:t>
      </w:r>
      <w:r>
        <w:tab/>
        <w:t>Activities for Real-Time operations begin at the end of the Adjustment Period and conclude at the close of the Operating Hour.</w:t>
      </w:r>
    </w:p>
    <w:p w14:paraId="7F605499" w14:textId="77777777" w:rsidR="001F04FD" w:rsidRPr="000149E5" w:rsidRDefault="001F04FD" w:rsidP="001F04FD">
      <w:pPr>
        <w:pStyle w:val="BodyTextNumbered"/>
        <w:rPr>
          <w:iCs/>
        </w:rPr>
      </w:pPr>
      <w:r w:rsidRPr="000149E5">
        <w:rPr>
          <w:iCs/>
        </w:rPr>
        <w:t>(2)</w:t>
      </w:r>
      <w:r w:rsidRPr="000149E5">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1F04FD" w14:paraId="0B8B4FAC" w14:textId="77777777" w:rsidTr="00AC4DEE">
        <w:trPr>
          <w:cantSplit/>
          <w:trHeight w:val="440"/>
          <w:tblHeader/>
        </w:trPr>
        <w:tc>
          <w:tcPr>
            <w:tcW w:w="2276" w:type="dxa"/>
          </w:tcPr>
          <w:p w14:paraId="2D9A5D8E" w14:textId="77777777" w:rsidR="001F04FD" w:rsidRPr="00EB4BCC" w:rsidRDefault="001F04FD" w:rsidP="00AC4DEE">
            <w:pPr>
              <w:pStyle w:val="TableBody"/>
              <w:rPr>
                <w:b/>
              </w:rPr>
            </w:pPr>
            <w:r w:rsidRPr="00EB4BCC">
              <w:rPr>
                <w:b/>
              </w:rPr>
              <w:lastRenderedPageBreak/>
              <w:t>Operating Period</w:t>
            </w:r>
          </w:p>
        </w:tc>
        <w:tc>
          <w:tcPr>
            <w:tcW w:w="3477" w:type="dxa"/>
          </w:tcPr>
          <w:p w14:paraId="1603E0B0" w14:textId="77777777" w:rsidR="001F04FD" w:rsidRPr="00EB4BCC" w:rsidRDefault="001F04FD" w:rsidP="00AC4DEE">
            <w:pPr>
              <w:pStyle w:val="TableBody"/>
              <w:rPr>
                <w:b/>
                <w:bCs/>
              </w:rPr>
            </w:pPr>
            <w:r w:rsidRPr="00EB4BCC">
              <w:rPr>
                <w:b/>
                <w:bCs/>
              </w:rPr>
              <w:t>QSE Activities</w:t>
            </w:r>
          </w:p>
        </w:tc>
        <w:tc>
          <w:tcPr>
            <w:tcW w:w="3823" w:type="dxa"/>
          </w:tcPr>
          <w:p w14:paraId="2DCF7A15" w14:textId="77777777" w:rsidR="001F04FD" w:rsidRPr="00EB4BCC" w:rsidRDefault="001F04FD" w:rsidP="00AC4DEE">
            <w:pPr>
              <w:pStyle w:val="TableBody"/>
              <w:rPr>
                <w:b/>
                <w:bCs/>
              </w:rPr>
            </w:pPr>
            <w:r w:rsidRPr="00EB4BCC">
              <w:rPr>
                <w:b/>
                <w:bCs/>
              </w:rPr>
              <w:t>ERCOT Activities</w:t>
            </w:r>
          </w:p>
        </w:tc>
      </w:tr>
      <w:tr w:rsidR="001F04FD" w14:paraId="0AE25BBA" w14:textId="77777777" w:rsidTr="00AC4DEE">
        <w:trPr>
          <w:cantSplit/>
          <w:trHeight w:val="576"/>
        </w:trPr>
        <w:tc>
          <w:tcPr>
            <w:tcW w:w="2276" w:type="dxa"/>
          </w:tcPr>
          <w:p w14:paraId="7A7C3D5E" w14:textId="77777777" w:rsidR="001F04FD" w:rsidRDefault="001F04FD" w:rsidP="00AC4DEE">
            <w:pPr>
              <w:pStyle w:val="TableBody"/>
            </w:pPr>
            <w:r>
              <w:t xml:space="preserve">During the first hour of the Operating Period </w:t>
            </w:r>
          </w:p>
        </w:tc>
        <w:tc>
          <w:tcPr>
            <w:tcW w:w="3477" w:type="dxa"/>
          </w:tcPr>
          <w:p w14:paraId="0B4B2EB8" w14:textId="77777777" w:rsidR="001F04FD" w:rsidRDefault="001F04FD" w:rsidP="00AC4DEE">
            <w:pPr>
              <w:pStyle w:val="TableBody"/>
            </w:pPr>
          </w:p>
        </w:tc>
        <w:tc>
          <w:tcPr>
            <w:tcW w:w="3823" w:type="dxa"/>
          </w:tcPr>
          <w:p w14:paraId="5E4C0E27" w14:textId="77777777" w:rsidR="001F04FD" w:rsidRDefault="001F04FD" w:rsidP="00AC4DEE">
            <w:pPr>
              <w:pStyle w:val="TableBody"/>
              <w:spacing w:after="0"/>
            </w:pPr>
            <w:r>
              <w:t>Execute the Hour-Ahead Sequence, including HRUC, beginning with the second hour of the Operating Period</w:t>
            </w:r>
          </w:p>
          <w:p w14:paraId="26C7C8AF" w14:textId="77777777" w:rsidR="001F04FD" w:rsidRPr="00B326CC" w:rsidRDefault="001F04FD" w:rsidP="00AC4DEE">
            <w:pPr>
              <w:rPr>
                <w:iCs/>
                <w:sz w:val="20"/>
              </w:rPr>
            </w:pPr>
          </w:p>
          <w:p w14:paraId="596AA53C" w14:textId="77777777" w:rsidR="001F04FD" w:rsidRPr="00B326CC" w:rsidRDefault="001F04FD" w:rsidP="00AC4DEE">
            <w:pPr>
              <w:rPr>
                <w:iCs/>
                <w:sz w:val="20"/>
              </w:rPr>
            </w:pPr>
            <w:r w:rsidRPr="00B326CC">
              <w:rPr>
                <w:iCs/>
                <w:sz w:val="20"/>
              </w:rPr>
              <w:t>Review the list of Off-</w:t>
            </w:r>
            <w:r>
              <w:rPr>
                <w:iCs/>
                <w:sz w:val="20"/>
              </w:rPr>
              <w:t>L</w:t>
            </w:r>
            <w:r w:rsidRPr="00B326CC">
              <w:rPr>
                <w:iCs/>
                <w:sz w:val="20"/>
              </w:rPr>
              <w:t>ine Available Resources with a start-up time of one hour or less</w:t>
            </w:r>
          </w:p>
          <w:p w14:paraId="6B51C975" w14:textId="77777777" w:rsidR="001F04FD" w:rsidRPr="00B326CC" w:rsidRDefault="001F04FD" w:rsidP="00AC4DEE">
            <w:pPr>
              <w:rPr>
                <w:iCs/>
                <w:sz w:val="20"/>
              </w:rPr>
            </w:pPr>
          </w:p>
          <w:p w14:paraId="3BAA8577" w14:textId="77777777" w:rsidR="001F04FD" w:rsidRDefault="001F04FD" w:rsidP="00AC4DEE">
            <w:pPr>
              <w:pStyle w:val="TableBody"/>
              <w:spacing w:after="0"/>
            </w:pPr>
            <w:r>
              <w:t>Review and communicate HRUC commitments and Direct Current Tie (DC Tie) Schedule curtailments</w:t>
            </w:r>
          </w:p>
          <w:p w14:paraId="17CEF8BB" w14:textId="77777777" w:rsidR="001F04FD" w:rsidRDefault="001F04FD" w:rsidP="00AC4DEE">
            <w:pPr>
              <w:pStyle w:val="TableBody"/>
              <w:spacing w:after="0"/>
            </w:pPr>
          </w:p>
          <w:p w14:paraId="7A28D0E2" w14:textId="77777777" w:rsidR="001F04FD" w:rsidRDefault="001F04FD" w:rsidP="00AC4DEE">
            <w:pPr>
              <w:pStyle w:val="TableBody"/>
              <w:spacing w:after="0"/>
            </w:pPr>
            <w:r>
              <w:t>Snapshot the Scheduled Power Consumption for Controllable Load Resources</w:t>
            </w:r>
          </w:p>
        </w:tc>
      </w:tr>
      <w:tr w:rsidR="001F04FD" w14:paraId="077566E7" w14:textId="77777777" w:rsidTr="00AC4DEE">
        <w:trPr>
          <w:cantSplit/>
          <w:trHeight w:val="576"/>
        </w:trPr>
        <w:tc>
          <w:tcPr>
            <w:tcW w:w="2276" w:type="dxa"/>
          </w:tcPr>
          <w:p w14:paraId="28E59828" w14:textId="77777777" w:rsidR="001F04FD" w:rsidRDefault="001F04FD" w:rsidP="00AC4DEE">
            <w:pPr>
              <w:pStyle w:val="TableBody"/>
            </w:pPr>
            <w:r>
              <w:t>Before the start of each SCED run</w:t>
            </w:r>
          </w:p>
        </w:tc>
        <w:tc>
          <w:tcPr>
            <w:tcW w:w="3477" w:type="dxa"/>
          </w:tcPr>
          <w:p w14:paraId="0B0B091B" w14:textId="77777777" w:rsidR="001F04FD" w:rsidRDefault="001F04FD" w:rsidP="00AC4DEE">
            <w:pPr>
              <w:pStyle w:val="TableBody"/>
            </w:pPr>
            <w:r>
              <w:t>Update Output Schedules for DSRs</w:t>
            </w:r>
          </w:p>
          <w:p w14:paraId="41690ABA" w14:textId="77777777" w:rsidR="001F04FD" w:rsidRPr="00EB4BCC" w:rsidRDefault="001F04FD" w:rsidP="00AC4DEE">
            <w:pPr>
              <w:pStyle w:val="TableBody"/>
              <w:rPr>
                <w:bCs/>
              </w:rPr>
            </w:pPr>
          </w:p>
        </w:tc>
        <w:tc>
          <w:tcPr>
            <w:tcW w:w="3823" w:type="dxa"/>
          </w:tcPr>
          <w:p w14:paraId="75CD6B11" w14:textId="77777777" w:rsidR="001F04FD" w:rsidRDefault="001F04FD" w:rsidP="00AC4DEE">
            <w:pPr>
              <w:pStyle w:val="TableBody"/>
              <w:spacing w:after="0"/>
            </w:pPr>
            <w:r>
              <w:t>Validate Output Schedules for DSRs</w:t>
            </w:r>
          </w:p>
          <w:p w14:paraId="649161C9" w14:textId="77777777" w:rsidR="001F04FD" w:rsidRDefault="001F04FD" w:rsidP="00AC4DEE">
            <w:pPr>
              <w:pStyle w:val="TableBody"/>
              <w:spacing w:after="0"/>
            </w:pPr>
          </w:p>
          <w:p w14:paraId="38614A8A" w14:textId="77777777" w:rsidR="001F04FD" w:rsidRPr="008310E3" w:rsidRDefault="001F04FD" w:rsidP="00AC4DEE">
            <w:pPr>
              <w:pStyle w:val="TableBody"/>
              <w:spacing w:after="0"/>
            </w:pPr>
            <w:r>
              <w:t>Execute Real-Time Sequence</w:t>
            </w:r>
          </w:p>
        </w:tc>
      </w:tr>
      <w:tr w:rsidR="001F04FD" w14:paraId="78B083DA" w14:textId="77777777" w:rsidTr="00AC4DEE">
        <w:trPr>
          <w:cantSplit/>
          <w:trHeight w:val="395"/>
        </w:trPr>
        <w:tc>
          <w:tcPr>
            <w:tcW w:w="2276" w:type="dxa"/>
          </w:tcPr>
          <w:p w14:paraId="3DF96C6F" w14:textId="77777777" w:rsidR="001F04FD" w:rsidRDefault="001F04FD" w:rsidP="00AC4DEE">
            <w:pPr>
              <w:pStyle w:val="TableBody"/>
            </w:pPr>
            <w:r>
              <w:t>SCED run</w:t>
            </w:r>
          </w:p>
        </w:tc>
        <w:tc>
          <w:tcPr>
            <w:tcW w:w="3477" w:type="dxa"/>
          </w:tcPr>
          <w:p w14:paraId="24C1A0DD" w14:textId="77777777" w:rsidR="001F04FD" w:rsidRDefault="001F04FD" w:rsidP="00AC4DEE">
            <w:pPr>
              <w:pStyle w:val="TableBody"/>
            </w:pPr>
          </w:p>
        </w:tc>
        <w:tc>
          <w:tcPr>
            <w:tcW w:w="3823" w:type="dxa"/>
          </w:tcPr>
          <w:p w14:paraId="3344FD27" w14:textId="77777777" w:rsidR="001F04FD" w:rsidRDefault="001F04FD" w:rsidP="00AC4DEE">
            <w:pPr>
              <w:pStyle w:val="TableBody"/>
            </w:pPr>
            <w:r>
              <w:t xml:space="preserve">Execute SCED </w:t>
            </w:r>
            <w:r w:rsidRPr="00193B05">
              <w:t>and pricing run to determine impact of reliability deployments on energy prices</w:t>
            </w:r>
          </w:p>
        </w:tc>
      </w:tr>
      <w:tr w:rsidR="001F04FD" w14:paraId="7CB64DF3" w14:textId="77777777" w:rsidTr="00AC4DEE">
        <w:trPr>
          <w:trHeight w:val="576"/>
        </w:trPr>
        <w:tc>
          <w:tcPr>
            <w:tcW w:w="2276" w:type="dxa"/>
          </w:tcPr>
          <w:p w14:paraId="26BF355D" w14:textId="77777777" w:rsidR="001F04FD" w:rsidRDefault="001F04FD" w:rsidP="00AC4DEE">
            <w:pPr>
              <w:pStyle w:val="TableBody"/>
            </w:pPr>
            <w:r>
              <w:t>During the Operating Hour</w:t>
            </w:r>
          </w:p>
        </w:tc>
        <w:tc>
          <w:tcPr>
            <w:tcW w:w="3477" w:type="dxa"/>
          </w:tcPr>
          <w:p w14:paraId="106EEB4F" w14:textId="77777777" w:rsidR="001F04FD" w:rsidRDefault="001F04FD" w:rsidP="00AC4DEE">
            <w:pPr>
              <w:pStyle w:val="TableBody"/>
              <w:spacing w:after="0"/>
            </w:pPr>
            <w:r>
              <w:t>Telemeter the Ancillary Service Resource Responsibility for each Resource</w:t>
            </w:r>
          </w:p>
          <w:p w14:paraId="018123F8" w14:textId="77777777" w:rsidR="00C23DEE" w:rsidRDefault="00C23DEE" w:rsidP="00AC4DEE">
            <w:pPr>
              <w:pStyle w:val="TableBody"/>
              <w:spacing w:after="0"/>
            </w:pPr>
          </w:p>
          <w:p w14:paraId="1F708304" w14:textId="512662D8" w:rsidR="00C23DEE" w:rsidRDefault="00C23DEE" w:rsidP="00AC4DEE">
            <w:pPr>
              <w:pStyle w:val="TableBody"/>
              <w:spacing w:after="0"/>
            </w:pPr>
            <w:r w:rsidRPr="00F06E8E">
              <w:t>Telemeter next Operating Hour Ancillary Service Resource Responsibility for an ESR</w:t>
            </w:r>
          </w:p>
          <w:p w14:paraId="36431E34" w14:textId="19703580" w:rsidR="001F04FD" w:rsidRDefault="001F04FD" w:rsidP="003D77E1">
            <w:pPr>
              <w:pStyle w:val="TableBody"/>
              <w:spacing w:before="240" w:after="0"/>
            </w:pPr>
            <w:r>
              <w:t>Acknowledge receipt of Dispatch Instructions</w:t>
            </w:r>
          </w:p>
          <w:p w14:paraId="47EA7BF8" w14:textId="77777777" w:rsidR="001F04FD" w:rsidRDefault="001F04FD" w:rsidP="00AC4DEE">
            <w:pPr>
              <w:pStyle w:val="TableBody"/>
              <w:spacing w:after="0"/>
            </w:pPr>
          </w:p>
          <w:p w14:paraId="09A2B316" w14:textId="77777777" w:rsidR="001F04FD" w:rsidRDefault="001F04FD" w:rsidP="00AC4DEE">
            <w:pPr>
              <w:pStyle w:val="TableBody"/>
              <w:spacing w:after="0"/>
            </w:pPr>
            <w:r>
              <w:t>Comply with Dispatch Instruction</w:t>
            </w:r>
          </w:p>
          <w:p w14:paraId="41BD0C3D" w14:textId="77777777" w:rsidR="001F04FD" w:rsidRDefault="001F04FD" w:rsidP="00AC4DEE">
            <w:pPr>
              <w:pStyle w:val="TableBody"/>
              <w:spacing w:after="0"/>
            </w:pPr>
            <w:r>
              <w:t xml:space="preserve"> </w:t>
            </w:r>
          </w:p>
          <w:p w14:paraId="0C8B5150" w14:textId="77777777" w:rsidR="001F04FD" w:rsidRDefault="001F04FD" w:rsidP="00AC4DEE">
            <w:pPr>
              <w:pStyle w:val="TableBody"/>
              <w:spacing w:after="0"/>
            </w:pPr>
            <w:r>
              <w:t>Review Resource Status to assure current state of the Resources is properly telemetered</w:t>
            </w:r>
          </w:p>
          <w:p w14:paraId="57BB12AC" w14:textId="77777777" w:rsidR="001F04FD" w:rsidRDefault="001F04FD" w:rsidP="00AC4DEE">
            <w:pPr>
              <w:pStyle w:val="TableBody"/>
              <w:spacing w:after="0"/>
            </w:pPr>
          </w:p>
          <w:p w14:paraId="3EC83B8F" w14:textId="77777777" w:rsidR="001F04FD" w:rsidRDefault="001F04FD" w:rsidP="00AC4DEE">
            <w:pPr>
              <w:pStyle w:val="TableBody"/>
              <w:spacing w:after="0"/>
            </w:pPr>
            <w:r>
              <w:t xml:space="preserve">Update COP with actual Resource Status and limits and Ancillary Service Schedules </w:t>
            </w:r>
          </w:p>
          <w:p w14:paraId="22A1A615" w14:textId="77777777" w:rsidR="001F04FD" w:rsidRDefault="001F04FD" w:rsidP="00AC4DEE">
            <w:pPr>
              <w:pStyle w:val="TableBody"/>
              <w:spacing w:after="0"/>
            </w:pPr>
          </w:p>
          <w:p w14:paraId="2E6D31E5" w14:textId="77777777" w:rsidR="001F04FD" w:rsidRDefault="001F04FD" w:rsidP="00AC4DEE">
            <w:pPr>
              <w:pStyle w:val="TableBody"/>
              <w:spacing w:after="0"/>
            </w:pPr>
            <w:r>
              <w:t xml:space="preserve">Communicate Resource Forced Outages to ERCOT </w:t>
            </w:r>
          </w:p>
          <w:p w14:paraId="2E1FF5DC" w14:textId="77777777" w:rsidR="001F04FD" w:rsidRDefault="001F04FD" w:rsidP="00AC4DEE">
            <w:pPr>
              <w:pStyle w:val="TableBody"/>
              <w:spacing w:after="0"/>
            </w:pPr>
          </w:p>
          <w:p w14:paraId="28FDA6B0" w14:textId="77777777" w:rsidR="001F04FD" w:rsidRDefault="001F04FD" w:rsidP="00AC4DEE">
            <w:pPr>
              <w:pStyle w:val="TableBody"/>
              <w:spacing w:after="0"/>
            </w:pPr>
            <w:r>
              <w:t>Communicate to ERCOT Resource changes to Ancillary Service Resource Responsibility via telemetry in the time window beginning 30 seconds prior to the five-minute clock interval and ending ten seconds prior to that five-minute clock interval</w:t>
            </w:r>
          </w:p>
          <w:p w14:paraId="23E2A6B1" w14:textId="77777777" w:rsidR="0053020C" w:rsidRDefault="0053020C" w:rsidP="00AC4DEE">
            <w:pPr>
              <w:pStyle w:val="TableBody"/>
              <w:spacing w:after="0"/>
            </w:pPr>
          </w:p>
          <w:p w14:paraId="1B27C055" w14:textId="17E92FF5" w:rsidR="0053020C" w:rsidRPr="0053020C" w:rsidRDefault="0053020C" w:rsidP="0053020C">
            <w:pPr>
              <w:rPr>
                <w:iCs/>
                <w:sz w:val="20"/>
              </w:rPr>
            </w:pPr>
            <w:r w:rsidRPr="00221D04">
              <w:rPr>
                <w:iCs/>
                <w:sz w:val="20"/>
              </w:rPr>
              <w:lastRenderedPageBreak/>
              <w:t>Submit and update Energy Offer Curves and/or RTM Energy Bids</w:t>
            </w:r>
          </w:p>
        </w:tc>
        <w:tc>
          <w:tcPr>
            <w:tcW w:w="3823" w:type="dxa"/>
          </w:tcPr>
          <w:p w14:paraId="5F0A3453" w14:textId="77777777" w:rsidR="001F04FD" w:rsidRDefault="00DB6E87" w:rsidP="00826982">
            <w:pPr>
              <w:pStyle w:val="TableBody"/>
              <w:spacing w:after="240"/>
            </w:pPr>
            <w:r>
              <w:lastRenderedPageBreak/>
              <w:t xml:space="preserve">Communicate all binding Base Points, Dispatch Instructions, and the sum of each type of available reserves, including total Real-Time reserve amount for On-Line reserves, total Real-Time reserve amount for Off-Line reserves, Real-Time Reserve Price Adders for On-Line Reserves, and Real-Time Reserve Price Adders for Off-Line Reserves and LMPs for energy and Ancillary Services, and for the pricing run </w:t>
            </w:r>
            <w:r>
              <w:rPr>
                <w:iCs w:val="0"/>
              </w:rPr>
              <w:t xml:space="preserve">as described in Section 6.5.7.3.1, Determination of Real-Time On-Line Reliability Deployment Price Adder, </w:t>
            </w:r>
            <w:r>
              <w:t>the</w:t>
            </w:r>
            <w:r w:rsidRPr="00193B05">
              <w:t xml:space="preserve"> </w:t>
            </w:r>
            <w:r>
              <w:t>total Reliability Unit Commitment (</w:t>
            </w:r>
            <w:r w:rsidRPr="00193B05">
              <w:t>RUC</w:t>
            </w:r>
            <w:r>
              <w:t>)</w:t>
            </w:r>
            <w:r w:rsidRPr="00193B05">
              <w:t xml:space="preserve">/Reliability Must-Run (RMR) </w:t>
            </w:r>
            <w:r>
              <w:t>MW</w:t>
            </w:r>
            <w:r w:rsidRPr="00193B05">
              <w:t xml:space="preserve"> </w:t>
            </w:r>
            <w:r>
              <w:t>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total Low Ancillary Service Limit (LASL), total High Ancillary Service Limit (HASL), Real-Time On-Line Reliability Deployment Price Adder using Inter-Control Center Communications Protocol (ICCP) or Verbal Dispatch Instructions (VDIs)</w:t>
            </w:r>
          </w:p>
          <w:p w14:paraId="7146FC8B" w14:textId="77777777" w:rsidR="001F04FD" w:rsidRDefault="001F04FD" w:rsidP="00F26F08">
            <w:pPr>
              <w:pStyle w:val="TableBody"/>
              <w:spacing w:before="240" w:after="0"/>
            </w:pPr>
            <w:r>
              <w:t>Monitor Resource Status and identify discrepancies between COP and telemetered Resource Status</w:t>
            </w:r>
          </w:p>
          <w:p w14:paraId="4B53674B" w14:textId="77777777" w:rsidR="001F04FD" w:rsidRDefault="001F04FD" w:rsidP="00AC4DEE">
            <w:pPr>
              <w:pStyle w:val="TableBody"/>
              <w:spacing w:after="0"/>
            </w:pPr>
          </w:p>
          <w:p w14:paraId="59AE7964" w14:textId="77777777" w:rsidR="001F04FD" w:rsidRDefault="001F04FD" w:rsidP="00AC4DEE">
            <w:pPr>
              <w:pStyle w:val="TableBody"/>
              <w:spacing w:after="0"/>
            </w:pPr>
            <w:r>
              <w:t>Restart Real-Time Sequence on major change of Resource or Transmission Element Status</w:t>
            </w:r>
          </w:p>
          <w:p w14:paraId="1573E6AB" w14:textId="77777777" w:rsidR="001F04FD" w:rsidRDefault="001F04FD" w:rsidP="00AC4DEE">
            <w:pPr>
              <w:pStyle w:val="TableBody"/>
              <w:spacing w:after="0"/>
            </w:pPr>
          </w:p>
          <w:p w14:paraId="1A64F2D5" w14:textId="77777777" w:rsidR="001F04FD" w:rsidRDefault="001F04FD" w:rsidP="00AC4DEE">
            <w:pPr>
              <w:pStyle w:val="TableBody"/>
              <w:spacing w:after="0"/>
              <w:rPr>
                <w:b/>
              </w:rPr>
            </w:pPr>
            <w:r>
              <w:t>Monitor ERCOT total system capacity providing Ancillary Services</w:t>
            </w:r>
            <w:r w:rsidRPr="00EB4BCC">
              <w:rPr>
                <w:b/>
              </w:rPr>
              <w:t xml:space="preserve"> </w:t>
            </w:r>
          </w:p>
          <w:p w14:paraId="495ACC0F" w14:textId="53CDF9A5" w:rsidR="00C23DEE" w:rsidRDefault="00C23DEE" w:rsidP="00745851">
            <w:pPr>
              <w:pStyle w:val="TableBody"/>
              <w:spacing w:before="240" w:after="240"/>
              <w:rPr>
                <w:b/>
              </w:rPr>
            </w:pPr>
            <w:r w:rsidRPr="00F06E8E">
              <w:t>Monitor ESR State of Cha</w:t>
            </w:r>
            <w:r>
              <w:t>r</w:t>
            </w:r>
            <w:r w:rsidRPr="00F06E8E">
              <w:t>ge (SOC) information to ensure Ancillary Service Resource Responsibilities can be met</w:t>
            </w:r>
          </w:p>
          <w:p w14:paraId="6B01C5DA" w14:textId="39D22908" w:rsidR="001F04FD" w:rsidRDefault="001F04FD" w:rsidP="00745851">
            <w:pPr>
              <w:pStyle w:val="TableBody"/>
              <w:spacing w:before="240" w:after="240"/>
            </w:pPr>
            <w:r>
              <w:t>Validate COP information</w:t>
            </w:r>
          </w:p>
          <w:p w14:paraId="613DAFBD" w14:textId="762824E9" w:rsidR="00745851" w:rsidRDefault="00745851" w:rsidP="00745851">
            <w:pPr>
              <w:pStyle w:val="TableBody"/>
              <w:spacing w:before="240" w:after="240"/>
            </w:pPr>
            <w:r w:rsidRPr="00745851">
              <w:t>Validate Ancillary Service Trades</w:t>
            </w:r>
          </w:p>
          <w:p w14:paraId="0F968AA1" w14:textId="77777777" w:rsidR="001F04FD" w:rsidRDefault="001F04FD" w:rsidP="00745851">
            <w:pPr>
              <w:pStyle w:val="TableBody"/>
              <w:spacing w:before="240" w:after="240"/>
            </w:pPr>
            <w:r>
              <w:t>Monitor ERCOT control performance</w:t>
            </w:r>
          </w:p>
          <w:p w14:paraId="48A7D77E" w14:textId="1D39063E" w:rsidR="001F04FD" w:rsidRDefault="00DB6E87" w:rsidP="00745851">
            <w:pPr>
              <w:pStyle w:val="TableBody"/>
              <w:spacing w:before="240" w:after="240"/>
            </w:pPr>
            <w:r>
              <w:t xml:space="preserve">Distribute by ICCP, and post on the </w:t>
            </w:r>
            <w:r w:rsidR="00693D2A">
              <w:t>ERCOT website</w:t>
            </w:r>
            <w:r>
              <w:t xml:space="preserve">, System Lambda and the LMPs for each Resource Node, Load Zone and Hub, and the sum of each type of available reserves, including total Real-Time reserve amount for On-Line reserves, total Real-Time reserve amount for Off-Line reserves, Real-Time Reserve Price Adders for On-Line Reserves and Real-Time Reserve Price Adders for Off-Line Reserves, and for the pricing run </w:t>
            </w:r>
            <w:r>
              <w:rPr>
                <w:iCs w:val="0"/>
              </w:rPr>
              <w:t xml:space="preserve">as described in Section 6.5.7.3.1 </w:t>
            </w:r>
            <w:r>
              <w:t>the total RUC/RMR MW relaxed, total Load Resource MW deployed that is added to the Demand, total ERS MW deployed that is added to the Demand, total emergency DC Tie MW that is added to or subtracted from the Demand, total BLT MW that is added to or subtracted from the Demand, total On-Line LASL, total On-Line HASL, Real-Time On-Line Reliability Deployment Price Adder created for each SCED process.  These prices shall be posted immediately subsequent to deployment of Base Points from SCED with the time stamp the prices are effective</w:t>
            </w:r>
          </w:p>
          <w:p w14:paraId="144B52AC" w14:textId="7E129FD6" w:rsidR="000E55F3" w:rsidRDefault="000E55F3" w:rsidP="000E55F3">
            <w:pPr>
              <w:spacing w:before="240"/>
              <w:rPr>
                <w:iCs/>
                <w:sz w:val="20"/>
              </w:rPr>
            </w:pPr>
            <w:r w:rsidRPr="00846C7A">
              <w:rPr>
                <w:iCs/>
                <w:sz w:val="20"/>
              </w:rPr>
              <w:t xml:space="preserve">Post on the </w:t>
            </w:r>
            <w:r>
              <w:rPr>
                <w:iCs/>
                <w:sz w:val="20"/>
              </w:rPr>
              <w:t>ERCOT website</w:t>
            </w:r>
            <w:r w:rsidRPr="00846C7A">
              <w:rPr>
                <w:iCs/>
                <w:sz w:val="20"/>
              </w:rPr>
              <w:t xml:space="preserve"> the nodal prices for </w:t>
            </w:r>
            <w:r>
              <w:rPr>
                <w:iCs/>
                <w:sz w:val="20"/>
              </w:rPr>
              <w:t xml:space="preserve">Settlement Only Distribution Generators (SODGs) and </w:t>
            </w:r>
            <w:r w:rsidRPr="00A6342E">
              <w:rPr>
                <w:iCs/>
                <w:sz w:val="20"/>
              </w:rPr>
              <w:t>Settlement Only Transmission Generator (SOTG</w:t>
            </w:r>
            <w:r>
              <w:rPr>
                <w:iCs/>
                <w:sz w:val="20"/>
              </w:rPr>
              <w:t>s</w:t>
            </w:r>
            <w:r w:rsidRPr="00A6342E">
              <w:rPr>
                <w:iCs/>
                <w:sz w:val="20"/>
              </w:rPr>
              <w:t>)</w:t>
            </w:r>
            <w:r w:rsidRPr="00846C7A">
              <w:rPr>
                <w:iCs/>
                <w:sz w:val="20"/>
              </w:rPr>
              <w:t xml:space="preserve">.  These prices shall include all Real-Time Reserve Price Adders for On-Line Reserves and Real-Time On-Line Reliability Deployment Price Adders created for each SCED process.  These prices shall be posted immediately subsequent to deployment of Base Points </w:t>
            </w:r>
            <w:r w:rsidRPr="00846C7A">
              <w:rPr>
                <w:iCs/>
                <w:sz w:val="20"/>
              </w:rPr>
              <w:lastRenderedPageBreak/>
              <w:t>from SCED with the time stamp the prices are effective</w:t>
            </w:r>
          </w:p>
          <w:p w14:paraId="70E9BA9C" w14:textId="4A25EE65" w:rsidR="001F04FD" w:rsidRDefault="001F04FD" w:rsidP="00E87687">
            <w:pPr>
              <w:pStyle w:val="TableBody"/>
              <w:spacing w:before="240" w:after="0"/>
            </w:pPr>
            <w:r>
              <w:t xml:space="preserve">Post LMPs for each Electrical Bus on the </w:t>
            </w:r>
            <w:r w:rsidR="00693D2A">
              <w:t>ERCOT website</w:t>
            </w:r>
            <w:r>
              <w:t>.  These prices shall be posted immediately subsequent to deployment of Base Points from each binding SCED with the time stamp the prices are effective</w:t>
            </w:r>
          </w:p>
          <w:p w14:paraId="0532DBC2" w14:textId="3C815BB2" w:rsidR="001F04FD" w:rsidRDefault="00DB6E87" w:rsidP="00826982">
            <w:pPr>
              <w:pStyle w:val="TableBody"/>
              <w:spacing w:before="240" w:after="240"/>
            </w:pPr>
            <w:r>
              <w:t xml:space="preserve">Post on the </w:t>
            </w:r>
            <w:r w:rsidR="00693D2A">
              <w:t>ERCOT website</w:t>
            </w:r>
            <w:r>
              <w:t xml:space="preserve"> the projected non-binding LMPs created by each SCED process for each Resource Node, the projected total Real-Time reserve amount for On-Line reserves and Off-Line reserves, the projected</w:t>
            </w:r>
            <w:r>
              <w:rPr>
                <w:iCs w:val="0"/>
              </w:rPr>
              <w:t xml:space="preserve"> Real-Time </w:t>
            </w:r>
            <w:r>
              <w:t>On-Line Reserve Price</w:t>
            </w:r>
            <w:r>
              <w:rPr>
                <w:iCs w:val="0"/>
              </w:rPr>
              <w:t xml:space="preserve"> Adders and Real-Time </w:t>
            </w:r>
            <w:r>
              <w:t>Off-Line Reserve Price</w:t>
            </w:r>
            <w:r>
              <w:rPr>
                <w:iCs w:val="0"/>
              </w:rPr>
              <w:t xml:space="preserve"> Adders, and for the projected non-binding pricing runs as described in Section 6.5.7.3.1 the total RUC/RMR MW relaxed, total Load Resource MW deployed that is added to Demand,</w:t>
            </w:r>
            <w:r>
              <w:t xml:space="preserve"> total emergency DC Tie MW that is added to or subtracted from the Demand, total BLT MW that is added to or subtracted from the Demand,</w:t>
            </w:r>
            <w:r>
              <w:rPr>
                <w:iCs w:val="0"/>
              </w:rPr>
              <w:t xml:space="preserve"> total ERS MW deployed that are deployed that is added to the Demand, total LASL, total HASL, Real-Time On-Line Reliability Deployment Price Adder and</w:t>
            </w:r>
            <w:r>
              <w:t xml:space="preserve"> the projected Hub LMPs and Load Zone LMPs.  These projected prices shall be posted at a frequency of every five minutes from SCED for at least 15 minutes in the future with the time stamp of the SCED process that produced the projections</w:t>
            </w:r>
            <w:r w:rsidR="001F04FD">
              <w:t xml:space="preserve"> </w:t>
            </w:r>
          </w:p>
          <w:p w14:paraId="4060F503" w14:textId="77777777" w:rsidR="001F04FD" w:rsidRDefault="001F04FD" w:rsidP="00F26F08">
            <w:pPr>
              <w:pStyle w:val="TableBody"/>
              <w:spacing w:before="240" w:after="0"/>
            </w:pPr>
            <w:r>
              <w:t>Post on the MIS Certified Area the projected non-binding Base Points for each Resource created by each SCED process.  These projected non-binding Base Points shall be posted at a frequency of every five minutes from SCED for at least 15 minutes in the future with the time stamp of the SCED process that produced the projections</w:t>
            </w:r>
          </w:p>
          <w:p w14:paraId="62A4484F" w14:textId="77777777" w:rsidR="001F04FD" w:rsidRDefault="001F04FD" w:rsidP="00AC4DEE">
            <w:pPr>
              <w:pStyle w:val="TableBody"/>
              <w:spacing w:after="0"/>
            </w:pPr>
          </w:p>
          <w:p w14:paraId="5376DED5" w14:textId="49A797AD" w:rsidR="001F04FD" w:rsidRDefault="001F04FD" w:rsidP="00AC4DEE">
            <w:pPr>
              <w:pStyle w:val="TableBody"/>
              <w:spacing w:after="0"/>
            </w:pPr>
            <w:r>
              <w:t xml:space="preserve">Post each hour on the </w:t>
            </w:r>
            <w:r w:rsidR="00693D2A">
              <w:t>ERCOT website</w:t>
            </w:r>
            <w:r>
              <w:t xml:space="preserve"> binding SCED Shadow Prices and active binding transmission constraints by Transmission Element name (contingency /overloaded element pairs) </w:t>
            </w:r>
          </w:p>
          <w:p w14:paraId="124F6CF2" w14:textId="77777777" w:rsidR="001F04FD" w:rsidRDefault="001F04FD" w:rsidP="00AC4DEE">
            <w:pPr>
              <w:pStyle w:val="TableBody"/>
              <w:spacing w:after="0"/>
            </w:pPr>
          </w:p>
          <w:p w14:paraId="57739754" w14:textId="7B596F58" w:rsidR="001F04FD" w:rsidRDefault="001F04FD" w:rsidP="00AC4DEE">
            <w:pPr>
              <w:pStyle w:val="TableBody"/>
              <w:spacing w:after="0"/>
            </w:pPr>
            <w:r>
              <w:t xml:space="preserve">Post </w:t>
            </w:r>
            <w:r w:rsidR="00CE3A65">
              <w:t xml:space="preserve">on </w:t>
            </w:r>
            <w:r>
              <w:t xml:space="preserve">the </w:t>
            </w:r>
            <w:r w:rsidR="000E55F3">
              <w:t xml:space="preserve">ERCOT website the </w:t>
            </w:r>
            <w:r>
              <w:t xml:space="preserve">Settlement Point Prices for each Settlement Point </w:t>
            </w:r>
            <w:r w:rsidR="000E55F3">
              <w:rPr>
                <w:iCs w:val="0"/>
              </w:rPr>
              <w:t xml:space="preserve">and the Real-Time price for each SODG and </w:t>
            </w:r>
            <w:r w:rsidR="000E55F3">
              <w:rPr>
                <w:iCs w:val="0"/>
              </w:rPr>
              <w:lastRenderedPageBreak/>
              <w:t xml:space="preserve">SOTG </w:t>
            </w:r>
            <w:r>
              <w:t>immediately following the end of each Settlement Interval</w:t>
            </w:r>
          </w:p>
          <w:p w14:paraId="5FA74444" w14:textId="77777777" w:rsidR="001F04FD" w:rsidRPr="00CE4C14" w:rsidRDefault="001F04FD" w:rsidP="00DE74B1">
            <w:pPr>
              <w:pStyle w:val="TableBody"/>
              <w:tabs>
                <w:tab w:val="left" w:pos="1350"/>
              </w:tabs>
              <w:spacing w:before="240" w:after="0"/>
            </w:pPr>
            <w:r w:rsidRPr="00CE4C14">
              <w:t xml:space="preserve">Post the </w:t>
            </w:r>
            <w:r w:rsidRPr="00193B05">
              <w:t>Real-Time On-Line Reliability Deployment Price,</w:t>
            </w:r>
            <w:r>
              <w:t xml:space="preserve"> </w:t>
            </w:r>
            <w:r w:rsidRPr="00CE4C14">
              <w:t xml:space="preserve">Real-Time Reserve Price for On-Line Reserves and  the Real-Time Reserve Price for Off-Line Reserves immediately following the end of each Settlement Interval  </w:t>
            </w:r>
          </w:p>
          <w:p w14:paraId="2EF2CA3B" w14:textId="77777777" w:rsidR="001F04FD" w:rsidRDefault="001F04FD" w:rsidP="00AC4DEE">
            <w:pPr>
              <w:pStyle w:val="TableBody"/>
              <w:tabs>
                <w:tab w:val="left" w:pos="1350"/>
              </w:tabs>
              <w:spacing w:after="0"/>
            </w:pPr>
          </w:p>
          <w:p w14:paraId="334517FF" w14:textId="3D72A3C9" w:rsidR="001F04FD" w:rsidRDefault="001F04FD" w:rsidP="00693D2A">
            <w:pPr>
              <w:pStyle w:val="TableBody"/>
              <w:spacing w:after="0"/>
            </w:pPr>
            <w:r>
              <w:t xml:space="preserve">Post parameters as required by Section 6.4.9, Ancillary Services Capacity During the Adjustment Period and in Real-Time, on the </w:t>
            </w:r>
            <w:r w:rsidR="00693D2A">
              <w:t>ERCOT website</w:t>
            </w:r>
          </w:p>
        </w:tc>
      </w:tr>
    </w:tbl>
    <w:p w14:paraId="3E37B558" w14:textId="77777777" w:rsidR="00C61B40" w:rsidRDefault="00C61B40" w:rsidP="00C61B40">
      <w:pPr>
        <w:pStyle w:val="BodyTextNumbered"/>
        <w:spacing w:after="0"/>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816"/>
      </w:tblGrid>
      <w:tr w:rsidR="00C61B40" w14:paraId="43CDACAF" w14:textId="77777777" w:rsidTr="00C61B40">
        <w:trPr>
          <w:trHeight w:val="206"/>
        </w:trPr>
        <w:tc>
          <w:tcPr>
            <w:tcW w:w="9625" w:type="dxa"/>
            <w:shd w:val="pct12" w:color="auto" w:fill="auto"/>
          </w:tcPr>
          <w:p w14:paraId="7A34CD5A" w14:textId="0EF6FEC1" w:rsidR="00C61B40" w:rsidRDefault="00C61B40" w:rsidP="0058150D">
            <w:pPr>
              <w:pStyle w:val="Instructions"/>
              <w:spacing w:before="120"/>
            </w:pPr>
            <w:r>
              <w:t>[</w:t>
            </w:r>
            <w:r w:rsidR="008A5A12">
              <w:t xml:space="preserve">NPRR829, NPRR904, </w:t>
            </w:r>
            <w:r w:rsidR="00E21F4F">
              <w:t xml:space="preserve">NPRR995, </w:t>
            </w:r>
            <w:r w:rsidR="008A5A12">
              <w:t xml:space="preserve">NPRR1000, NPRR1006, </w:t>
            </w:r>
            <w:r>
              <w:t>NPRR1010</w:t>
            </w:r>
            <w:r w:rsidR="00853AD7">
              <w:t xml:space="preserve">, </w:t>
            </w:r>
            <w:r w:rsidR="004D1724">
              <w:t>NPRR1077</w:t>
            </w:r>
            <w:r w:rsidR="00AD58D8">
              <w:t>, and NPRR1253</w:t>
            </w:r>
            <w:r>
              <w:t>:  Replace applicable portions of paragraph (2) above with the following upon system implementation</w:t>
            </w:r>
            <w:r w:rsidR="008A5A12">
              <w:t xml:space="preserve"> for NPRR829, NPRR904, </w:t>
            </w:r>
            <w:r w:rsidR="00E21F4F">
              <w:t xml:space="preserve">NPRR995, </w:t>
            </w:r>
            <w:r w:rsidR="008A5A12">
              <w:t>NPRR1000, NPRR1006</w:t>
            </w:r>
            <w:r w:rsidR="00853AD7">
              <w:t xml:space="preserve">, </w:t>
            </w:r>
            <w:r w:rsidR="004D1724">
              <w:t>NPRR1077</w:t>
            </w:r>
            <w:r w:rsidR="00AD58D8">
              <w:t>, or NPRR1253</w:t>
            </w:r>
            <w:r w:rsidR="008A5A12">
              <w:t>; or upon system implementation</w:t>
            </w:r>
            <w:r>
              <w:t xml:space="preserve"> of the Real-Time Co-Optimization (RTC) project</w:t>
            </w:r>
            <w:r w:rsidR="008A5A12">
              <w:t xml:space="preserve"> for NPRR1010</w:t>
            </w:r>
            <w:r>
              <w:t>:]</w:t>
            </w:r>
          </w:p>
          <w:p w14:paraId="63429248" w14:textId="77777777" w:rsidR="008A5A12" w:rsidRPr="003161DC" w:rsidRDefault="008A5A12" w:rsidP="008A5A12">
            <w:pPr>
              <w:spacing w:after="240"/>
              <w:ind w:left="720" w:hanging="720"/>
              <w:rPr>
                <w:iCs/>
              </w:rPr>
            </w:pPr>
            <w:r w:rsidRPr="003161DC">
              <w:rPr>
                <w:iCs/>
              </w:rPr>
              <w:t>(2)</w:t>
            </w:r>
            <w:r w:rsidRPr="003161DC">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8A5A12" w:rsidRPr="003161DC" w14:paraId="02ACDD09" w14:textId="77777777" w:rsidTr="0058150D">
              <w:trPr>
                <w:cantSplit/>
                <w:trHeight w:val="440"/>
                <w:tblHeader/>
              </w:trPr>
              <w:tc>
                <w:tcPr>
                  <w:tcW w:w="2276" w:type="dxa"/>
                </w:tcPr>
                <w:p w14:paraId="081FEB67" w14:textId="77777777" w:rsidR="008A5A12" w:rsidRPr="003161DC" w:rsidRDefault="008A5A12" w:rsidP="008A5A12">
                  <w:pPr>
                    <w:spacing w:after="60"/>
                    <w:rPr>
                      <w:b/>
                      <w:iCs/>
                      <w:sz w:val="20"/>
                    </w:rPr>
                  </w:pPr>
                  <w:r w:rsidRPr="003161DC">
                    <w:rPr>
                      <w:b/>
                      <w:iCs/>
                      <w:sz w:val="20"/>
                    </w:rPr>
                    <w:t>Operating Period</w:t>
                  </w:r>
                </w:p>
              </w:tc>
              <w:tc>
                <w:tcPr>
                  <w:tcW w:w="3477" w:type="dxa"/>
                </w:tcPr>
                <w:p w14:paraId="4B96796D" w14:textId="77777777" w:rsidR="008A5A12" w:rsidRPr="003161DC" w:rsidRDefault="008A5A12" w:rsidP="008A5A12">
                  <w:pPr>
                    <w:spacing w:after="60"/>
                    <w:rPr>
                      <w:b/>
                      <w:bCs/>
                      <w:iCs/>
                      <w:sz w:val="20"/>
                    </w:rPr>
                  </w:pPr>
                  <w:r w:rsidRPr="003161DC">
                    <w:rPr>
                      <w:b/>
                      <w:bCs/>
                      <w:iCs/>
                      <w:sz w:val="20"/>
                    </w:rPr>
                    <w:t>QSE Activities</w:t>
                  </w:r>
                </w:p>
              </w:tc>
              <w:tc>
                <w:tcPr>
                  <w:tcW w:w="3823" w:type="dxa"/>
                </w:tcPr>
                <w:p w14:paraId="66BD2E7A" w14:textId="77777777" w:rsidR="008A5A12" w:rsidRPr="003161DC" w:rsidRDefault="008A5A12" w:rsidP="008A5A12">
                  <w:pPr>
                    <w:spacing w:after="60"/>
                    <w:rPr>
                      <w:b/>
                      <w:bCs/>
                      <w:iCs/>
                      <w:sz w:val="20"/>
                    </w:rPr>
                  </w:pPr>
                  <w:r w:rsidRPr="003161DC">
                    <w:rPr>
                      <w:b/>
                      <w:bCs/>
                      <w:iCs/>
                      <w:sz w:val="20"/>
                    </w:rPr>
                    <w:t>ERCOT Activities</w:t>
                  </w:r>
                </w:p>
              </w:tc>
            </w:tr>
            <w:tr w:rsidR="008A5A12" w:rsidRPr="003161DC" w14:paraId="3326862F" w14:textId="77777777" w:rsidTr="0058150D">
              <w:trPr>
                <w:cantSplit/>
                <w:trHeight w:val="576"/>
              </w:trPr>
              <w:tc>
                <w:tcPr>
                  <w:tcW w:w="2276" w:type="dxa"/>
                </w:tcPr>
                <w:p w14:paraId="3CA84629" w14:textId="77777777" w:rsidR="008A5A12" w:rsidRPr="003161DC" w:rsidRDefault="008A5A12" w:rsidP="008A5A12">
                  <w:pPr>
                    <w:spacing w:after="60"/>
                    <w:rPr>
                      <w:iCs/>
                      <w:sz w:val="20"/>
                    </w:rPr>
                  </w:pPr>
                  <w:r w:rsidRPr="003161DC">
                    <w:rPr>
                      <w:iCs/>
                      <w:sz w:val="20"/>
                    </w:rPr>
                    <w:t xml:space="preserve">During the first hour of the Operating Period </w:t>
                  </w:r>
                </w:p>
              </w:tc>
              <w:tc>
                <w:tcPr>
                  <w:tcW w:w="3477" w:type="dxa"/>
                </w:tcPr>
                <w:p w14:paraId="1E986CF7" w14:textId="77777777" w:rsidR="008A5A12" w:rsidRPr="003161DC" w:rsidRDefault="008A5A12" w:rsidP="008A5A12">
                  <w:pPr>
                    <w:spacing w:after="60"/>
                    <w:rPr>
                      <w:iCs/>
                      <w:sz w:val="20"/>
                    </w:rPr>
                  </w:pPr>
                </w:p>
              </w:tc>
              <w:tc>
                <w:tcPr>
                  <w:tcW w:w="3823" w:type="dxa"/>
                </w:tcPr>
                <w:p w14:paraId="5898F095" w14:textId="77777777" w:rsidR="008A5A12" w:rsidRPr="003161DC" w:rsidRDefault="008A5A12" w:rsidP="008A5A12">
                  <w:pPr>
                    <w:rPr>
                      <w:iCs/>
                      <w:sz w:val="20"/>
                    </w:rPr>
                  </w:pPr>
                  <w:r w:rsidRPr="003161DC">
                    <w:rPr>
                      <w:iCs/>
                      <w:sz w:val="20"/>
                    </w:rPr>
                    <w:t>Execute the Hour-Ahead Sequence, including HRUC, beginning with the second hour of the Operating Period</w:t>
                  </w:r>
                </w:p>
                <w:p w14:paraId="7E526E73" w14:textId="77777777" w:rsidR="008A5A12" w:rsidRPr="003161DC" w:rsidRDefault="008A5A12" w:rsidP="008A5A12">
                  <w:pPr>
                    <w:rPr>
                      <w:iCs/>
                      <w:sz w:val="20"/>
                    </w:rPr>
                  </w:pPr>
                </w:p>
                <w:p w14:paraId="3B642851" w14:textId="77777777" w:rsidR="008A5A12" w:rsidRPr="003161DC" w:rsidRDefault="008A5A12" w:rsidP="008A5A12">
                  <w:pPr>
                    <w:rPr>
                      <w:iCs/>
                      <w:sz w:val="20"/>
                    </w:rPr>
                  </w:pPr>
                  <w:r w:rsidRPr="003161DC">
                    <w:rPr>
                      <w:iCs/>
                      <w:sz w:val="20"/>
                    </w:rPr>
                    <w:t>Review the list of Off-Line Available Resources with a start-up time of one hour or less</w:t>
                  </w:r>
                </w:p>
                <w:p w14:paraId="0C6B6CB1" w14:textId="77777777" w:rsidR="008A5A12" w:rsidRPr="003161DC" w:rsidRDefault="008A5A12" w:rsidP="008A5A12">
                  <w:pPr>
                    <w:rPr>
                      <w:iCs/>
                      <w:sz w:val="20"/>
                    </w:rPr>
                  </w:pPr>
                </w:p>
                <w:p w14:paraId="10357DCC" w14:textId="77777777" w:rsidR="008A5A12" w:rsidRPr="003161DC" w:rsidRDefault="008A5A12" w:rsidP="008A5A12">
                  <w:pPr>
                    <w:rPr>
                      <w:iCs/>
                      <w:sz w:val="20"/>
                    </w:rPr>
                  </w:pPr>
                  <w:r w:rsidRPr="003161DC">
                    <w:rPr>
                      <w:iCs/>
                      <w:sz w:val="20"/>
                    </w:rPr>
                    <w:t>Review and communicate HRUC commitments and Direct Current Tie (DC Tie) Schedule curtailments</w:t>
                  </w:r>
                </w:p>
                <w:p w14:paraId="6F27B720" w14:textId="77777777" w:rsidR="008A5A12" w:rsidRPr="003161DC" w:rsidRDefault="008A5A12" w:rsidP="008A5A12">
                  <w:pPr>
                    <w:rPr>
                      <w:iCs/>
                      <w:sz w:val="20"/>
                    </w:rPr>
                  </w:pPr>
                </w:p>
                <w:p w14:paraId="61A9336B" w14:textId="77777777" w:rsidR="008A5A12" w:rsidRPr="003161DC" w:rsidRDefault="008A5A12" w:rsidP="008A5A12">
                  <w:pPr>
                    <w:rPr>
                      <w:iCs/>
                      <w:sz w:val="20"/>
                    </w:rPr>
                  </w:pPr>
                  <w:r w:rsidRPr="003161DC">
                    <w:rPr>
                      <w:iCs/>
                      <w:sz w:val="20"/>
                    </w:rPr>
                    <w:t>Snapshot the Scheduled Power Consumption for Controllable Load Resources</w:t>
                  </w:r>
                </w:p>
              </w:tc>
            </w:tr>
            <w:tr w:rsidR="008A5A12" w:rsidRPr="003161DC" w14:paraId="68234648" w14:textId="77777777" w:rsidTr="0058150D">
              <w:trPr>
                <w:cantSplit/>
                <w:trHeight w:val="395"/>
              </w:trPr>
              <w:tc>
                <w:tcPr>
                  <w:tcW w:w="2276" w:type="dxa"/>
                </w:tcPr>
                <w:p w14:paraId="53464A10" w14:textId="77777777" w:rsidR="008A5A12" w:rsidRPr="003161DC" w:rsidRDefault="008A5A12" w:rsidP="008A5A12">
                  <w:pPr>
                    <w:spacing w:after="60"/>
                    <w:rPr>
                      <w:iCs/>
                      <w:sz w:val="20"/>
                    </w:rPr>
                  </w:pPr>
                  <w:r w:rsidRPr="003161DC">
                    <w:rPr>
                      <w:iCs/>
                      <w:sz w:val="20"/>
                    </w:rPr>
                    <w:t>SCED run</w:t>
                  </w:r>
                </w:p>
              </w:tc>
              <w:tc>
                <w:tcPr>
                  <w:tcW w:w="3477" w:type="dxa"/>
                </w:tcPr>
                <w:p w14:paraId="4A942DCA" w14:textId="77777777" w:rsidR="008A5A12" w:rsidRPr="003161DC" w:rsidRDefault="008A5A12" w:rsidP="008A5A12">
                  <w:pPr>
                    <w:spacing w:after="60"/>
                    <w:rPr>
                      <w:iCs/>
                      <w:sz w:val="20"/>
                    </w:rPr>
                  </w:pPr>
                </w:p>
              </w:tc>
              <w:tc>
                <w:tcPr>
                  <w:tcW w:w="3823" w:type="dxa"/>
                </w:tcPr>
                <w:p w14:paraId="31AD8064" w14:textId="77777777" w:rsidR="008A5A12" w:rsidRPr="003161DC" w:rsidRDefault="008A5A12" w:rsidP="008A5A12">
                  <w:pPr>
                    <w:spacing w:after="60"/>
                    <w:rPr>
                      <w:iCs/>
                      <w:sz w:val="20"/>
                    </w:rPr>
                  </w:pPr>
                  <w:r w:rsidRPr="003161DC">
                    <w:rPr>
                      <w:iCs/>
                      <w:sz w:val="20"/>
                    </w:rPr>
                    <w:t>Execute SCED and pricing run to determine impact of reliability deployments on energy</w:t>
                  </w:r>
                  <w:r>
                    <w:rPr>
                      <w:iCs/>
                      <w:sz w:val="20"/>
                    </w:rPr>
                    <w:t xml:space="preserve"> and Ancillary Service</w:t>
                  </w:r>
                  <w:r w:rsidRPr="003161DC">
                    <w:rPr>
                      <w:iCs/>
                      <w:sz w:val="20"/>
                    </w:rPr>
                    <w:t xml:space="preserve"> prices</w:t>
                  </w:r>
                </w:p>
              </w:tc>
            </w:tr>
            <w:tr w:rsidR="008A5A12" w:rsidRPr="003161DC" w14:paraId="48579037" w14:textId="77777777" w:rsidTr="0058150D">
              <w:trPr>
                <w:trHeight w:val="576"/>
              </w:trPr>
              <w:tc>
                <w:tcPr>
                  <w:tcW w:w="2276" w:type="dxa"/>
                </w:tcPr>
                <w:p w14:paraId="2C4C1CB6" w14:textId="77777777" w:rsidR="008A5A12" w:rsidRPr="003161DC" w:rsidRDefault="008A5A12" w:rsidP="008A5A12">
                  <w:pPr>
                    <w:spacing w:after="60"/>
                    <w:rPr>
                      <w:iCs/>
                      <w:sz w:val="20"/>
                    </w:rPr>
                  </w:pPr>
                  <w:r w:rsidRPr="003161DC">
                    <w:rPr>
                      <w:iCs/>
                      <w:sz w:val="20"/>
                    </w:rPr>
                    <w:t>During the Operating Hour</w:t>
                  </w:r>
                </w:p>
              </w:tc>
              <w:tc>
                <w:tcPr>
                  <w:tcW w:w="3477" w:type="dxa"/>
                </w:tcPr>
                <w:p w14:paraId="486E1774" w14:textId="77777777" w:rsidR="008A5A12" w:rsidRPr="003161DC" w:rsidRDefault="008A5A12" w:rsidP="008A5A12">
                  <w:pPr>
                    <w:rPr>
                      <w:iCs/>
                      <w:sz w:val="20"/>
                    </w:rPr>
                  </w:pPr>
                  <w:r w:rsidRPr="003161DC">
                    <w:rPr>
                      <w:iCs/>
                      <w:sz w:val="20"/>
                    </w:rPr>
                    <w:t>Acknowledge receipt of Dispatch Instructions</w:t>
                  </w:r>
                </w:p>
                <w:p w14:paraId="42869A94" w14:textId="77777777" w:rsidR="008A5A12" w:rsidRPr="003161DC" w:rsidRDefault="008A5A12" w:rsidP="008A5A12">
                  <w:pPr>
                    <w:rPr>
                      <w:iCs/>
                      <w:sz w:val="20"/>
                    </w:rPr>
                  </w:pPr>
                </w:p>
                <w:p w14:paraId="40E4E6A6" w14:textId="77777777" w:rsidR="008A5A12" w:rsidRPr="003161DC" w:rsidRDefault="008A5A12" w:rsidP="008A5A12">
                  <w:pPr>
                    <w:rPr>
                      <w:iCs/>
                      <w:sz w:val="20"/>
                    </w:rPr>
                  </w:pPr>
                  <w:r w:rsidRPr="003161DC">
                    <w:rPr>
                      <w:iCs/>
                      <w:sz w:val="20"/>
                    </w:rPr>
                    <w:t>Comply with Dispatch Instruction</w:t>
                  </w:r>
                </w:p>
                <w:p w14:paraId="287141B4" w14:textId="77777777" w:rsidR="008A5A12" w:rsidRPr="003161DC" w:rsidRDefault="008A5A12" w:rsidP="008A5A12">
                  <w:pPr>
                    <w:rPr>
                      <w:iCs/>
                      <w:sz w:val="20"/>
                    </w:rPr>
                  </w:pPr>
                  <w:r w:rsidRPr="003161DC">
                    <w:rPr>
                      <w:iCs/>
                      <w:sz w:val="20"/>
                    </w:rPr>
                    <w:lastRenderedPageBreak/>
                    <w:t xml:space="preserve"> </w:t>
                  </w:r>
                </w:p>
                <w:p w14:paraId="1BF2503D" w14:textId="77777777" w:rsidR="008A5A12" w:rsidRPr="003161DC" w:rsidRDefault="008A5A12" w:rsidP="008A5A12">
                  <w:pPr>
                    <w:rPr>
                      <w:iCs/>
                      <w:sz w:val="20"/>
                    </w:rPr>
                  </w:pPr>
                  <w:r w:rsidRPr="003161DC">
                    <w:rPr>
                      <w:iCs/>
                      <w:sz w:val="20"/>
                    </w:rPr>
                    <w:t>Review Resource Status to assure current state of the Resources is properly telemetered</w:t>
                  </w:r>
                </w:p>
                <w:p w14:paraId="39FCF054" w14:textId="77777777" w:rsidR="008A5A12" w:rsidRPr="003161DC" w:rsidRDefault="008A5A12" w:rsidP="008A5A12">
                  <w:pPr>
                    <w:rPr>
                      <w:iCs/>
                      <w:sz w:val="20"/>
                    </w:rPr>
                  </w:pPr>
                </w:p>
                <w:p w14:paraId="379C9AE3" w14:textId="77777777" w:rsidR="008A5A12" w:rsidRPr="003161DC" w:rsidRDefault="008A5A12" w:rsidP="008A5A12">
                  <w:pPr>
                    <w:rPr>
                      <w:iCs/>
                      <w:sz w:val="20"/>
                    </w:rPr>
                  </w:pPr>
                  <w:r w:rsidRPr="003161DC">
                    <w:rPr>
                      <w:iCs/>
                      <w:sz w:val="20"/>
                    </w:rPr>
                    <w:t>Update COP</w:t>
                  </w:r>
                  <w:r>
                    <w:rPr>
                      <w:iCs/>
                      <w:sz w:val="20"/>
                    </w:rPr>
                    <w:t xml:space="preserve"> and telemetry</w:t>
                  </w:r>
                  <w:r w:rsidRPr="003161DC">
                    <w:rPr>
                      <w:iCs/>
                      <w:sz w:val="20"/>
                    </w:rPr>
                    <w:t xml:space="preserve"> with actual Resource Status and limits and Ancillary Service </w:t>
                  </w:r>
                  <w:r>
                    <w:rPr>
                      <w:iCs/>
                      <w:sz w:val="20"/>
                    </w:rPr>
                    <w:t>capabilities</w:t>
                  </w:r>
                </w:p>
                <w:p w14:paraId="0DEEBE2D" w14:textId="77777777" w:rsidR="008A5A12" w:rsidRPr="003161DC" w:rsidRDefault="008A5A12" w:rsidP="008A5A12">
                  <w:pPr>
                    <w:rPr>
                      <w:iCs/>
                      <w:sz w:val="20"/>
                    </w:rPr>
                  </w:pPr>
                </w:p>
                <w:p w14:paraId="1B02714F" w14:textId="77777777" w:rsidR="008A5A12" w:rsidRDefault="008A5A12" w:rsidP="008A5A12">
                  <w:pPr>
                    <w:rPr>
                      <w:iCs/>
                      <w:sz w:val="20"/>
                    </w:rPr>
                  </w:pPr>
                  <w:r>
                    <w:rPr>
                      <w:iCs/>
                      <w:sz w:val="20"/>
                    </w:rPr>
                    <w:t>Submit and update Ancillary Service Offers</w:t>
                  </w:r>
                </w:p>
                <w:p w14:paraId="47C19693" w14:textId="77777777" w:rsidR="008A5A12" w:rsidRDefault="008A5A12" w:rsidP="008A5A12">
                  <w:pPr>
                    <w:rPr>
                      <w:iCs/>
                      <w:sz w:val="20"/>
                    </w:rPr>
                  </w:pPr>
                </w:p>
                <w:p w14:paraId="68BA6C0D" w14:textId="77777777" w:rsidR="008A5A12" w:rsidRPr="003161DC" w:rsidRDefault="008A5A12" w:rsidP="008A5A12">
                  <w:pPr>
                    <w:rPr>
                      <w:iCs/>
                      <w:sz w:val="20"/>
                    </w:rPr>
                  </w:pPr>
                  <w:r w:rsidRPr="003161DC">
                    <w:rPr>
                      <w:iCs/>
                      <w:sz w:val="20"/>
                    </w:rPr>
                    <w:t xml:space="preserve">Communicate Resource Forced Outages to ERCOT </w:t>
                  </w:r>
                </w:p>
                <w:p w14:paraId="52D02914" w14:textId="77777777" w:rsidR="008A5A12" w:rsidRPr="003161DC" w:rsidRDefault="008A5A12" w:rsidP="008A5A12">
                  <w:pPr>
                    <w:rPr>
                      <w:iCs/>
                      <w:sz w:val="20"/>
                    </w:rPr>
                  </w:pPr>
                </w:p>
                <w:p w14:paraId="357172EC" w14:textId="086453A2" w:rsidR="00853AD7" w:rsidRPr="00221D04" w:rsidRDefault="00853AD7" w:rsidP="00853AD7">
                  <w:pPr>
                    <w:rPr>
                      <w:iCs/>
                      <w:sz w:val="20"/>
                    </w:rPr>
                  </w:pPr>
                  <w:r w:rsidRPr="00221D04">
                    <w:rPr>
                      <w:iCs/>
                      <w:sz w:val="20"/>
                    </w:rPr>
                    <w:t xml:space="preserve">Submit and update Energy Offer Curves and/or RTM Energy Bids </w:t>
                  </w:r>
                </w:p>
                <w:p w14:paraId="16C4D5DC" w14:textId="77777777" w:rsidR="008A5A12" w:rsidRPr="003161DC" w:rsidRDefault="008A5A12" w:rsidP="008A5A12">
                  <w:pPr>
                    <w:rPr>
                      <w:iCs/>
                      <w:sz w:val="20"/>
                    </w:rPr>
                  </w:pPr>
                </w:p>
              </w:tc>
              <w:tc>
                <w:tcPr>
                  <w:tcW w:w="3823" w:type="dxa"/>
                </w:tcPr>
                <w:p w14:paraId="184D1A7D" w14:textId="6F5833E7" w:rsidR="008A5A12" w:rsidRPr="003161DC" w:rsidRDefault="00C92338" w:rsidP="00985A9C">
                  <w:pPr>
                    <w:tabs>
                      <w:tab w:val="left" w:pos="2521"/>
                    </w:tabs>
                    <w:spacing w:after="240"/>
                    <w:rPr>
                      <w:iCs/>
                      <w:sz w:val="20"/>
                    </w:rPr>
                  </w:pPr>
                  <w:r w:rsidRPr="003161DC">
                    <w:rPr>
                      <w:iCs/>
                      <w:sz w:val="20"/>
                    </w:rPr>
                    <w:lastRenderedPageBreak/>
                    <w:t>Communicate all binding Base Points,</w:t>
                  </w:r>
                  <w:r>
                    <w:rPr>
                      <w:iCs/>
                      <w:sz w:val="20"/>
                    </w:rPr>
                    <w:t xml:space="preserve"> Updated Desired Set Points (UDSPs), Ancillary Service awards, </w:t>
                  </w:r>
                  <w:r w:rsidRPr="003161DC">
                    <w:rPr>
                      <w:iCs/>
                      <w:sz w:val="20"/>
                    </w:rPr>
                    <w:t>Dispatch Instructions, LMPs for energy</w:t>
                  </w:r>
                  <w:r>
                    <w:rPr>
                      <w:iCs/>
                      <w:sz w:val="20"/>
                    </w:rPr>
                    <w:t>,</w:t>
                  </w:r>
                  <w:r w:rsidRPr="003161DC">
                    <w:rPr>
                      <w:iCs/>
                      <w:sz w:val="20"/>
                    </w:rPr>
                    <w:t xml:space="preserve"> </w:t>
                  </w:r>
                  <w:r>
                    <w:rPr>
                      <w:iCs/>
                      <w:sz w:val="20"/>
                    </w:rPr>
                    <w:t xml:space="preserve">Real-Time </w:t>
                  </w:r>
                  <w:r>
                    <w:rPr>
                      <w:iCs/>
                      <w:sz w:val="20"/>
                    </w:rPr>
                    <w:lastRenderedPageBreak/>
                    <w:t xml:space="preserve">MCPCs for </w:t>
                  </w:r>
                  <w:r w:rsidRPr="003161DC">
                    <w:rPr>
                      <w:iCs/>
                      <w:sz w:val="20"/>
                    </w:rPr>
                    <w:t xml:space="preserve">Ancillary Services, and for the pricing run </w:t>
                  </w:r>
                  <w:r w:rsidRPr="003161DC">
                    <w:rPr>
                      <w:sz w:val="20"/>
                    </w:rPr>
                    <w:t>as described in Section 6.5.7.3.1, Determination of Real-Time Reliability Deployment Price Adder</w:t>
                  </w:r>
                  <w:r>
                    <w:rPr>
                      <w:sz w:val="20"/>
                    </w:rPr>
                    <w:t>s</w:t>
                  </w:r>
                  <w:r w:rsidRPr="003161DC">
                    <w:rPr>
                      <w:sz w:val="20"/>
                    </w:rPr>
                    <w:t xml:space="preserve">, </w:t>
                  </w:r>
                  <w:r w:rsidRPr="003161DC">
                    <w:rPr>
                      <w:iCs/>
                      <w:sz w:val="20"/>
                    </w:rPr>
                    <w:t>the total Reliability Unit Commitment (</w:t>
                  </w:r>
                  <w:r w:rsidRPr="002A4EAB">
                    <w:rPr>
                      <w:iCs/>
                      <w:sz w:val="20"/>
                    </w:rPr>
                    <w:t>RUC)/Reliability Must-Run (RMR) MW relaxed, total Load Resource MW deployed that is added to the Demand</w:t>
                  </w:r>
                  <w:r w:rsidRPr="002A4EAB">
                    <w:rPr>
                      <w:sz w:val="20"/>
                    </w:rPr>
                    <w:t>, total Transmission and/or Distribution Service Provider (TDSP) standard offer Load management MW deployed that is added to the Demand,</w:t>
                  </w:r>
                  <w:r w:rsidRPr="002A4EAB">
                    <w:rPr>
                      <w:iCs/>
                      <w:sz w:val="20"/>
                    </w:rPr>
                    <w:t xml:space="preserve"> total Emergency Response Service (ERS)</w:t>
                  </w:r>
                  <w:r w:rsidRPr="003161DC">
                    <w:rPr>
                      <w:iCs/>
                      <w:sz w:val="20"/>
                    </w:rPr>
                    <w:t xml:space="preserve"> MW deployed that is added to the Demand, total ERCOT-directed DC Tie MW that is added to or subtracted from the Demand, total Block Load Transfer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using Inter-Control Center Communications Protocol (ICCP) or Verbal Dispatch Instructions (VDIs)</w:t>
                  </w:r>
                  <w:r>
                    <w:rPr>
                      <w:iCs/>
                      <w:sz w:val="20"/>
                    </w:rPr>
                    <w:t>.  In communicating Ancillary Service awards, the awards shall be broken out by Ancillary Service sub-type, where applicable</w:t>
                  </w:r>
                </w:p>
                <w:p w14:paraId="2516A158" w14:textId="77777777" w:rsidR="008A5A12" w:rsidRPr="003161DC" w:rsidRDefault="008A5A12" w:rsidP="008A5A12">
                  <w:pPr>
                    <w:spacing w:before="240"/>
                    <w:rPr>
                      <w:iCs/>
                      <w:sz w:val="20"/>
                    </w:rPr>
                  </w:pPr>
                  <w:r w:rsidRPr="003161DC">
                    <w:rPr>
                      <w:iCs/>
                      <w:sz w:val="20"/>
                    </w:rPr>
                    <w:t>Monitor Resource Status and identify discrepancies between COP and telemetered Resource Status</w:t>
                  </w:r>
                </w:p>
                <w:p w14:paraId="703879EB" w14:textId="77777777" w:rsidR="008A5A12" w:rsidRPr="003161DC" w:rsidRDefault="008A5A12" w:rsidP="008A5A12">
                  <w:pPr>
                    <w:rPr>
                      <w:iCs/>
                      <w:sz w:val="20"/>
                    </w:rPr>
                  </w:pPr>
                </w:p>
                <w:p w14:paraId="41AA1B1E" w14:textId="77777777" w:rsidR="008A5A12" w:rsidRPr="003161DC" w:rsidRDefault="008A5A12" w:rsidP="008A5A12">
                  <w:pPr>
                    <w:rPr>
                      <w:iCs/>
                      <w:sz w:val="20"/>
                    </w:rPr>
                  </w:pPr>
                  <w:r w:rsidRPr="003161DC">
                    <w:rPr>
                      <w:iCs/>
                      <w:sz w:val="20"/>
                    </w:rPr>
                    <w:t>Restart Real-Time Sequence on major change of Resource or Transmission Element Status</w:t>
                  </w:r>
                </w:p>
                <w:p w14:paraId="35DF135C" w14:textId="77777777" w:rsidR="008A5A12" w:rsidRPr="003161DC" w:rsidRDefault="008A5A12" w:rsidP="008A5A12">
                  <w:pPr>
                    <w:rPr>
                      <w:iCs/>
                      <w:sz w:val="20"/>
                    </w:rPr>
                  </w:pPr>
                </w:p>
                <w:p w14:paraId="49F67282" w14:textId="77777777" w:rsidR="008A5A12" w:rsidRPr="003161DC" w:rsidRDefault="008A5A12" w:rsidP="008A5A12">
                  <w:pPr>
                    <w:rPr>
                      <w:b/>
                      <w:iCs/>
                      <w:sz w:val="20"/>
                    </w:rPr>
                  </w:pPr>
                  <w:r w:rsidRPr="003161DC">
                    <w:rPr>
                      <w:iCs/>
                      <w:sz w:val="20"/>
                    </w:rPr>
                    <w:t>Monitor ERCOT total system capacity providing Ancillary Services</w:t>
                  </w:r>
                  <w:r w:rsidRPr="003161DC">
                    <w:rPr>
                      <w:b/>
                      <w:iCs/>
                      <w:sz w:val="20"/>
                    </w:rPr>
                    <w:t xml:space="preserve"> </w:t>
                  </w:r>
                </w:p>
                <w:p w14:paraId="0E93C703" w14:textId="77777777" w:rsidR="008A5A12" w:rsidRPr="003161DC" w:rsidRDefault="008A5A12" w:rsidP="008A5A12">
                  <w:pPr>
                    <w:rPr>
                      <w:iCs/>
                      <w:sz w:val="20"/>
                    </w:rPr>
                  </w:pPr>
                </w:p>
                <w:p w14:paraId="56467323" w14:textId="21C35FE6" w:rsidR="008A5A12" w:rsidRDefault="008A5A12" w:rsidP="008A5A12">
                  <w:pPr>
                    <w:rPr>
                      <w:iCs/>
                      <w:sz w:val="20"/>
                    </w:rPr>
                  </w:pPr>
                  <w:r w:rsidRPr="003161DC">
                    <w:rPr>
                      <w:iCs/>
                      <w:sz w:val="20"/>
                    </w:rPr>
                    <w:t>Validate COP information</w:t>
                  </w:r>
                </w:p>
                <w:p w14:paraId="5F42B79F" w14:textId="77777777" w:rsidR="00070608" w:rsidRDefault="00070608" w:rsidP="008A5A12">
                  <w:pPr>
                    <w:rPr>
                      <w:iCs/>
                      <w:sz w:val="20"/>
                    </w:rPr>
                  </w:pPr>
                </w:p>
                <w:p w14:paraId="6104163E" w14:textId="74D62296" w:rsidR="00070608" w:rsidRPr="003161DC" w:rsidRDefault="00070608" w:rsidP="008A5A12">
                  <w:pPr>
                    <w:rPr>
                      <w:iCs/>
                      <w:sz w:val="20"/>
                    </w:rPr>
                  </w:pPr>
                  <w:r w:rsidRPr="00DD1A20">
                    <w:rPr>
                      <w:iCs/>
                      <w:sz w:val="20"/>
                    </w:rPr>
                    <w:t>Validate Ancillary Service Trades</w:t>
                  </w:r>
                </w:p>
                <w:p w14:paraId="67BBF6A1" w14:textId="77777777" w:rsidR="008A5A12" w:rsidRPr="003161DC" w:rsidRDefault="008A5A12" w:rsidP="008A5A12">
                  <w:pPr>
                    <w:rPr>
                      <w:iCs/>
                      <w:sz w:val="20"/>
                    </w:rPr>
                  </w:pPr>
                </w:p>
                <w:p w14:paraId="30F1746D" w14:textId="77777777" w:rsidR="008A5A12" w:rsidRPr="003161DC" w:rsidRDefault="008A5A12" w:rsidP="008A5A12">
                  <w:pPr>
                    <w:rPr>
                      <w:iCs/>
                      <w:sz w:val="20"/>
                    </w:rPr>
                  </w:pPr>
                  <w:r w:rsidRPr="003161DC">
                    <w:rPr>
                      <w:iCs/>
                      <w:sz w:val="20"/>
                    </w:rPr>
                    <w:t>Monitor ERCOT control performance</w:t>
                  </w:r>
                </w:p>
                <w:p w14:paraId="3A0C4FB1" w14:textId="77777777" w:rsidR="008A5A12" w:rsidRPr="003161DC" w:rsidRDefault="008A5A12" w:rsidP="008A5A12">
                  <w:pPr>
                    <w:rPr>
                      <w:iCs/>
                      <w:sz w:val="20"/>
                    </w:rPr>
                  </w:pPr>
                </w:p>
                <w:p w14:paraId="055A07D4" w14:textId="165DA595" w:rsidR="008A5A12" w:rsidRDefault="00C92338" w:rsidP="008A5A12">
                  <w:pPr>
                    <w:spacing w:after="240"/>
                    <w:rPr>
                      <w:iCs/>
                      <w:sz w:val="20"/>
                    </w:rPr>
                  </w:pPr>
                  <w:r w:rsidRPr="003161DC">
                    <w:rPr>
                      <w:iCs/>
                      <w:sz w:val="20"/>
                    </w:rPr>
                    <w:t xml:space="preserve">Distribute by ICCP, and post on the </w:t>
                  </w:r>
                  <w:r w:rsidR="0007207E">
                    <w:rPr>
                      <w:iCs/>
                      <w:sz w:val="20"/>
                    </w:rPr>
                    <w:t>ERCOT website</w:t>
                  </w:r>
                  <w:r w:rsidRPr="003161DC">
                    <w:rPr>
                      <w:iCs/>
                      <w:sz w:val="20"/>
                    </w:rPr>
                    <w:t xml:space="preserve">, System Lambda and the LMPs for each Resource Node, Load Zone and Hub, </w:t>
                  </w:r>
                  <w:r>
                    <w:rPr>
                      <w:iCs/>
                      <w:sz w:val="20"/>
                    </w:rPr>
                    <w:t xml:space="preserve">and Real-Time MCPCs for each Ancillary Service, </w:t>
                  </w:r>
                  <w:r w:rsidRPr="003161DC">
                    <w:rPr>
                      <w:iCs/>
                      <w:sz w:val="20"/>
                    </w:rPr>
                    <w:t xml:space="preserve">and for the pricing run </w:t>
                  </w:r>
                  <w:r w:rsidRPr="003161DC">
                    <w:rPr>
                      <w:sz w:val="20"/>
                    </w:rPr>
                    <w:t xml:space="preserve">as described in Section 6.5.7.3.1 </w:t>
                  </w:r>
                  <w:r w:rsidRPr="003161DC">
                    <w:rPr>
                      <w:iCs/>
                      <w:sz w:val="20"/>
                    </w:rPr>
                    <w:t>the total RUC/RMR MW relaxed, total Load Resource MW deploye</w:t>
                  </w:r>
                  <w:r w:rsidRPr="002A4EAB">
                    <w:rPr>
                      <w:iCs/>
                      <w:sz w:val="20"/>
                    </w:rPr>
                    <w:t xml:space="preserve">d that is added to the Demand, total ERS MW deployed that is added to the Demand, </w:t>
                  </w:r>
                  <w:r w:rsidRPr="002A4EAB">
                    <w:rPr>
                      <w:sz w:val="20"/>
                    </w:rPr>
                    <w:t xml:space="preserve">total TDSP standard offer Load </w:t>
                  </w:r>
                  <w:r w:rsidRPr="002A4EAB">
                    <w:rPr>
                      <w:sz w:val="20"/>
                    </w:rPr>
                    <w:lastRenderedPageBreak/>
                    <w:t xml:space="preserve">management MW deployed that is added to the Demand, </w:t>
                  </w:r>
                  <w:r w:rsidRPr="002A4EAB">
                    <w:rPr>
                      <w:iCs/>
                      <w:sz w:val="20"/>
                    </w:rPr>
                    <w:t>total ERCOT</w:t>
                  </w:r>
                  <w:r w:rsidRPr="003161DC">
                    <w:rPr>
                      <w:iCs/>
                      <w:sz w:val="20"/>
                    </w:rPr>
                    <w:t>-directed DC Tie MW that is added to or subtracted from the Demand, total BLT MW that is added to or subtracted from the Demand, Real-Time Reliability Deployment Price Adder</w:t>
                  </w:r>
                  <w:r>
                    <w:rPr>
                      <w:iCs/>
                      <w:sz w:val="20"/>
                    </w:rPr>
                    <w:t xml:space="preserve"> for Energy, and Real-Time Reliability Deployment Price Adders for Ancillary Service</w:t>
                  </w:r>
                  <w:r w:rsidR="00AD58D8">
                    <w:rPr>
                      <w:iCs/>
                      <w:sz w:val="20"/>
                    </w:rPr>
                    <w:t>, and ESR charging</w:t>
                  </w:r>
                  <w:r w:rsidRPr="003161DC">
                    <w:rPr>
                      <w:iCs/>
                      <w:sz w:val="20"/>
                    </w:rPr>
                    <w:t xml:space="preserve"> created for each SCED process.  </w:t>
                  </w:r>
                  <w:r w:rsidR="00AD58D8">
                    <w:rPr>
                      <w:iCs/>
                      <w:sz w:val="20"/>
                    </w:rPr>
                    <w:t>This data</w:t>
                  </w:r>
                  <w:r w:rsidRPr="003161DC">
                    <w:rPr>
                      <w:iCs/>
                      <w:sz w:val="20"/>
                    </w:rPr>
                    <w:t xml:space="preserve"> shall be posted immediately subsequent to deployment of Base Points </w:t>
                  </w:r>
                  <w:r>
                    <w:rPr>
                      <w:iCs/>
                      <w:sz w:val="20"/>
                    </w:rPr>
                    <w:t xml:space="preserve">and Ancillary Service awards </w:t>
                  </w:r>
                  <w:r w:rsidRPr="003161DC">
                    <w:rPr>
                      <w:iCs/>
                      <w:sz w:val="20"/>
                    </w:rPr>
                    <w:t xml:space="preserve">from SCED with the time stamp the </w:t>
                  </w:r>
                  <w:r w:rsidR="00AD58D8">
                    <w:rPr>
                      <w:iCs/>
                      <w:sz w:val="20"/>
                    </w:rPr>
                    <w:t>data</w:t>
                  </w:r>
                  <w:r w:rsidRPr="003161DC">
                    <w:rPr>
                      <w:iCs/>
                      <w:sz w:val="20"/>
                    </w:rPr>
                    <w:t xml:space="preserve"> are effective</w:t>
                  </w:r>
                  <w:r w:rsidR="008A5A12" w:rsidRPr="003161DC">
                    <w:rPr>
                      <w:iCs/>
                      <w:sz w:val="20"/>
                    </w:rPr>
                    <w:t xml:space="preserve"> </w:t>
                  </w:r>
                </w:p>
                <w:p w14:paraId="7B8F7553" w14:textId="25CC2978" w:rsidR="00C92338" w:rsidRPr="003161DC" w:rsidRDefault="00C92338" w:rsidP="008A5A12">
                  <w:pPr>
                    <w:spacing w:after="240"/>
                    <w:rPr>
                      <w:iCs/>
                      <w:sz w:val="20"/>
                    </w:rPr>
                  </w:pPr>
                  <w:r w:rsidRPr="003161DC">
                    <w:rPr>
                      <w:iCs/>
                      <w:sz w:val="20"/>
                    </w:rPr>
                    <w:t xml:space="preserve">Post on the </w:t>
                  </w:r>
                  <w:r w:rsidR="0007207E">
                    <w:rPr>
                      <w:iCs/>
                      <w:sz w:val="20"/>
                    </w:rPr>
                    <w:t>ERCOT website</w:t>
                  </w:r>
                  <w:r w:rsidRPr="003161DC">
                    <w:rPr>
                      <w:iCs/>
                      <w:sz w:val="20"/>
                    </w:rPr>
                    <w:t xml:space="preserve"> the nodal prices for Settlement Only Distribution Generators (SODGs)</w:t>
                  </w:r>
                  <w:r w:rsidR="00E21F4F">
                    <w:rPr>
                      <w:iCs/>
                      <w:sz w:val="20"/>
                    </w:rPr>
                    <w:t>, Settlement Only Distribution Energy Storage Systems (SODESSs),</w:t>
                  </w:r>
                  <w:r w:rsidRPr="003161DC">
                    <w:rPr>
                      <w:iCs/>
                      <w:sz w:val="20"/>
                    </w:rPr>
                    <w:t xml:space="preserve"> Settlement Only Transmission Generator</w:t>
                  </w:r>
                  <w:r w:rsidR="00525E33">
                    <w:rPr>
                      <w:iCs/>
                      <w:sz w:val="20"/>
                    </w:rPr>
                    <w:t>s</w:t>
                  </w:r>
                  <w:r w:rsidRPr="003161DC">
                    <w:rPr>
                      <w:iCs/>
                      <w:sz w:val="20"/>
                    </w:rPr>
                    <w:t xml:space="preserve"> (SOTGs)</w:t>
                  </w:r>
                  <w:r w:rsidR="00125072">
                    <w:rPr>
                      <w:iCs/>
                      <w:sz w:val="20"/>
                    </w:rPr>
                    <w:t>, and Settlement Only Transmission Energy Storage Systems (SOTESSs)</w:t>
                  </w:r>
                  <w:r w:rsidRPr="003161DC">
                    <w:rPr>
                      <w:iCs/>
                      <w:sz w:val="20"/>
                    </w:rPr>
                    <w:t xml:space="preserve">.  These prices shall include Real-Time Reliability Deployment Price Adders </w:t>
                  </w:r>
                  <w:r>
                    <w:rPr>
                      <w:iCs/>
                      <w:sz w:val="20"/>
                    </w:rPr>
                    <w:t xml:space="preserve">for Energy </w:t>
                  </w:r>
                  <w:r w:rsidRPr="003161DC">
                    <w:rPr>
                      <w:iCs/>
                      <w:sz w:val="20"/>
                    </w:rPr>
                    <w:t>created for each SCED process.  These prices shall be posted immediately subsequent to deployment of Base Points from SCED with the time stamp the prices are effective</w:t>
                  </w:r>
                </w:p>
                <w:p w14:paraId="773079F5" w14:textId="007F3393" w:rsidR="008A5A12" w:rsidRDefault="008A5A12" w:rsidP="008A5A12">
                  <w:pPr>
                    <w:spacing w:before="240"/>
                    <w:rPr>
                      <w:iCs/>
                      <w:sz w:val="20"/>
                    </w:rPr>
                  </w:pPr>
                  <w:r w:rsidRPr="003161DC">
                    <w:rPr>
                      <w:iCs/>
                      <w:sz w:val="20"/>
                    </w:rPr>
                    <w:t xml:space="preserve">Post LMPs for each Electrical Bus on the </w:t>
                  </w:r>
                  <w:r w:rsidR="0007207E">
                    <w:rPr>
                      <w:iCs/>
                      <w:sz w:val="20"/>
                    </w:rPr>
                    <w:t>ERCOT website</w:t>
                  </w:r>
                  <w:r w:rsidRPr="003161DC">
                    <w:rPr>
                      <w:iCs/>
                      <w:sz w:val="20"/>
                    </w:rPr>
                    <w:t>.  These prices shall be posted immediately subsequent to deployment of Base Points from each binding SCED with the time stamp the prices are effective</w:t>
                  </w:r>
                </w:p>
                <w:p w14:paraId="07ACD4ED" w14:textId="7B2C45C9" w:rsidR="00C92338" w:rsidRPr="003161DC" w:rsidRDefault="00C92338" w:rsidP="008A5A12">
                  <w:pPr>
                    <w:spacing w:before="240"/>
                    <w:rPr>
                      <w:iCs/>
                      <w:sz w:val="20"/>
                    </w:rPr>
                  </w:pPr>
                  <w:r w:rsidRPr="003161DC">
                    <w:rPr>
                      <w:iCs/>
                      <w:sz w:val="20"/>
                    </w:rPr>
                    <w:t xml:space="preserve">Post every 15 minutes on the </w:t>
                  </w:r>
                  <w:r w:rsidR="0007207E">
                    <w:rPr>
                      <w:iCs/>
                      <w:sz w:val="20"/>
                    </w:rPr>
                    <w:t>ERCOT website</w:t>
                  </w:r>
                  <w:r w:rsidRPr="003161DC">
                    <w:rPr>
                      <w:iCs/>
                      <w:sz w:val="20"/>
                    </w:rPr>
                    <w:t xml:space="preserve"> the aggregate net injection from </w:t>
                  </w:r>
                  <w:r w:rsidRPr="003161DC">
                    <w:rPr>
                      <w:sz w:val="20"/>
                    </w:rPr>
                    <w:t>Settlement Only</w:t>
                  </w:r>
                  <w:r w:rsidRPr="003161DC">
                    <w:rPr>
                      <w:iCs/>
                      <w:sz w:val="20"/>
                    </w:rPr>
                    <w:t xml:space="preserve"> Generators (SOGs) </w:t>
                  </w:r>
                  <w:r w:rsidR="00125072">
                    <w:rPr>
                      <w:iCs/>
                      <w:sz w:val="20"/>
                    </w:rPr>
                    <w:t>and Settlement Only Energy Storage Systems (SOESSs)</w:t>
                  </w:r>
                </w:p>
                <w:p w14:paraId="4EF8EC43" w14:textId="5C3499B7" w:rsidR="008A5A12" w:rsidRPr="003161DC" w:rsidRDefault="00C92338" w:rsidP="008A5A12">
                  <w:pPr>
                    <w:spacing w:before="240" w:after="240"/>
                    <w:rPr>
                      <w:iCs/>
                      <w:sz w:val="20"/>
                    </w:rPr>
                  </w:pPr>
                  <w:r w:rsidRPr="003161DC">
                    <w:rPr>
                      <w:iCs/>
                      <w:sz w:val="20"/>
                    </w:rPr>
                    <w:t xml:space="preserve">Post on the </w:t>
                  </w:r>
                  <w:r w:rsidR="0007207E">
                    <w:rPr>
                      <w:iCs/>
                      <w:sz w:val="20"/>
                    </w:rPr>
                    <w:t>ERCOT website</w:t>
                  </w:r>
                  <w:r w:rsidRPr="003161DC">
                    <w:rPr>
                      <w:iCs/>
                      <w:sz w:val="20"/>
                    </w:rPr>
                    <w:t xml:space="preserve"> the projected non-binding LMPs</w:t>
                  </w:r>
                  <w:r>
                    <w:rPr>
                      <w:iCs/>
                      <w:sz w:val="20"/>
                    </w:rPr>
                    <w:t xml:space="preserve"> for each Resource Node and Real-Time MCPCs for each Ancillary Service </w:t>
                  </w:r>
                  <w:r w:rsidRPr="003161DC">
                    <w:rPr>
                      <w:iCs/>
                      <w:sz w:val="20"/>
                    </w:rPr>
                    <w:t xml:space="preserve">created by each SCED process </w:t>
                  </w:r>
                  <w:r w:rsidRPr="003161DC">
                    <w:rPr>
                      <w:sz w:val="20"/>
                    </w:rPr>
                    <w:t xml:space="preserve">and for the </w:t>
                  </w:r>
                  <w:r w:rsidRPr="00705B86">
                    <w:rPr>
                      <w:sz w:val="20"/>
                    </w:rPr>
                    <w:t>projected non-binding pricing runs as described in Section 6.5.7.3.1 the total RUC/RMR MW relaxed, total Load Resource MW deployed that is added to Demand,</w:t>
                  </w:r>
                  <w:r w:rsidRPr="00705B86">
                    <w:rPr>
                      <w:iCs/>
                      <w:sz w:val="20"/>
                    </w:rPr>
                    <w:t xml:space="preserve"> </w:t>
                  </w:r>
                  <w:r w:rsidRPr="00705B86">
                    <w:rPr>
                      <w:sz w:val="20"/>
                    </w:rPr>
                    <w:t>total TDSP standard offer Load management MW deployed that is added to the Demand,</w:t>
                  </w:r>
                  <w:r w:rsidRPr="00705B86">
                    <w:rPr>
                      <w:rFonts w:ascii="Calibri" w:hAnsi="Calibri" w:cs="Calibri"/>
                      <w:color w:val="1F497D"/>
                      <w:sz w:val="20"/>
                    </w:rPr>
                    <w:t xml:space="preserve"> </w:t>
                  </w:r>
                  <w:r w:rsidRPr="00705B86">
                    <w:rPr>
                      <w:iCs/>
                      <w:sz w:val="20"/>
                    </w:rPr>
                    <w:t>total</w:t>
                  </w:r>
                  <w:r w:rsidRPr="003161DC">
                    <w:rPr>
                      <w:iCs/>
                      <w:sz w:val="20"/>
                    </w:rPr>
                    <w:t xml:space="preserve"> ERCOT-directed DC Tie MW that is added to or subtracted from the </w:t>
                  </w:r>
                  <w:r w:rsidRPr="003161DC">
                    <w:rPr>
                      <w:iCs/>
                      <w:sz w:val="20"/>
                    </w:rPr>
                    <w:lastRenderedPageBreak/>
                    <w:t>Demand, total BLT MW that is added to or subtracted from the Demand,</w:t>
                  </w:r>
                  <w:r w:rsidRPr="003161DC">
                    <w:rPr>
                      <w:sz w:val="20"/>
                    </w:rPr>
                    <w:t xml:space="preserve"> total ERS MW deployed that are deployed that is added to the Demand, </w:t>
                  </w:r>
                  <w:r>
                    <w:rPr>
                      <w:sz w:val="20"/>
                    </w:rPr>
                    <w:t>Real-Time Reliability Deployment Price Adder for Energy</w:t>
                  </w:r>
                  <w:r>
                    <w:rPr>
                      <w:iCs/>
                      <w:sz w:val="20"/>
                    </w:rPr>
                    <w:t>, Real-Time On-Line Reliability Deployment Price Adders for Ancillary Service,</w:t>
                  </w:r>
                  <w:r w:rsidRPr="003161DC">
                    <w:rPr>
                      <w:sz w:val="20"/>
                    </w:rPr>
                    <w:t xml:space="preserve"> and</w:t>
                  </w:r>
                  <w:r w:rsidRPr="003161DC">
                    <w:rPr>
                      <w:iCs/>
                      <w:sz w:val="20"/>
                    </w:rPr>
                    <w:t xml:space="preserve"> the projected Hub LMPs and Load Zone LMPs.  These projected prices shall be posted at a frequency of every five minutes from SCED for at least 15 minutes in the future with the time stamp of the SCED process that produced the projections</w:t>
                  </w:r>
                </w:p>
                <w:p w14:paraId="6B027916" w14:textId="039D72BF" w:rsidR="008A5A12" w:rsidRPr="003161DC" w:rsidRDefault="008A5A12" w:rsidP="008A5A12">
                  <w:pPr>
                    <w:spacing w:before="240"/>
                    <w:rPr>
                      <w:iCs/>
                      <w:sz w:val="20"/>
                    </w:rPr>
                  </w:pPr>
                  <w:r w:rsidRPr="003161DC">
                    <w:rPr>
                      <w:iCs/>
                      <w:sz w:val="20"/>
                    </w:rPr>
                    <w:t xml:space="preserve">Post on the MIS Certified Area the projected non-binding Base Points </w:t>
                  </w:r>
                  <w:r>
                    <w:rPr>
                      <w:iCs/>
                      <w:sz w:val="20"/>
                    </w:rPr>
                    <w:t xml:space="preserve">and Ancillary Service awards </w:t>
                  </w:r>
                  <w:r w:rsidRPr="003161DC">
                    <w:rPr>
                      <w:iCs/>
                      <w:sz w:val="20"/>
                    </w:rPr>
                    <w:t>for each Resource created by each SCED process.  These projected non-binding Base Points shall be posted at a frequency of every five minutes from SCED for at least 15 minutes in the future with the time stamp of the SCED process that produced the projections</w:t>
                  </w:r>
                  <w:r>
                    <w:rPr>
                      <w:iCs/>
                      <w:sz w:val="20"/>
                    </w:rPr>
                    <w:t>.  In posting Ancillary Service awards, the awards shall be broken out by Ancillary Service sub-type, where applicable</w:t>
                  </w:r>
                </w:p>
                <w:p w14:paraId="58EC3548" w14:textId="77777777" w:rsidR="008A5A12" w:rsidRPr="003161DC" w:rsidRDefault="008A5A12" w:rsidP="008A5A12">
                  <w:pPr>
                    <w:rPr>
                      <w:iCs/>
                      <w:sz w:val="20"/>
                    </w:rPr>
                  </w:pPr>
                </w:p>
                <w:p w14:paraId="78C4E165" w14:textId="1E654D31" w:rsidR="008A5A12" w:rsidRPr="003161DC" w:rsidRDefault="008A5A12" w:rsidP="008A5A12">
                  <w:pPr>
                    <w:rPr>
                      <w:iCs/>
                      <w:sz w:val="20"/>
                    </w:rPr>
                  </w:pPr>
                  <w:r w:rsidRPr="003161DC">
                    <w:rPr>
                      <w:iCs/>
                      <w:sz w:val="20"/>
                    </w:rPr>
                    <w:t xml:space="preserve">Post each hour on the </w:t>
                  </w:r>
                  <w:r w:rsidR="0007207E">
                    <w:rPr>
                      <w:iCs/>
                      <w:sz w:val="20"/>
                    </w:rPr>
                    <w:t>ERCOT website</w:t>
                  </w:r>
                  <w:r w:rsidRPr="003161DC">
                    <w:rPr>
                      <w:iCs/>
                      <w:sz w:val="20"/>
                    </w:rPr>
                    <w:t xml:space="preserve"> binding SCED Shadow Prices and active binding transmission constraints by Transmission Element name (contingency /overloaded element pairs) </w:t>
                  </w:r>
                </w:p>
                <w:p w14:paraId="3407E284" w14:textId="77777777" w:rsidR="008A5A12" w:rsidRPr="003161DC" w:rsidRDefault="008A5A12" w:rsidP="008A5A12">
                  <w:pPr>
                    <w:rPr>
                      <w:iCs/>
                      <w:sz w:val="20"/>
                    </w:rPr>
                  </w:pPr>
                </w:p>
                <w:p w14:paraId="18D0A298" w14:textId="4A47C2DB" w:rsidR="008A5A12" w:rsidRPr="003161DC" w:rsidRDefault="00C92338" w:rsidP="008A5A12">
                  <w:pPr>
                    <w:rPr>
                      <w:iCs/>
                      <w:sz w:val="20"/>
                    </w:rPr>
                  </w:pPr>
                  <w:r w:rsidRPr="003161DC">
                    <w:rPr>
                      <w:iCs/>
                      <w:sz w:val="20"/>
                    </w:rPr>
                    <w:t xml:space="preserve">Post on the </w:t>
                  </w:r>
                  <w:r w:rsidR="0007207E">
                    <w:rPr>
                      <w:iCs/>
                      <w:sz w:val="20"/>
                    </w:rPr>
                    <w:t>ERCOT website</w:t>
                  </w:r>
                  <w:r>
                    <w:rPr>
                      <w:iCs/>
                      <w:sz w:val="20"/>
                    </w:rPr>
                    <w:t>,</w:t>
                  </w:r>
                  <w:r w:rsidRPr="003161DC">
                    <w:rPr>
                      <w:iCs/>
                      <w:sz w:val="20"/>
                    </w:rPr>
                    <w:t xml:space="preserve"> the Settlement Point Prices for each Settlement Point and the Real-Time price for each SODG</w:t>
                  </w:r>
                  <w:r w:rsidR="00125072">
                    <w:rPr>
                      <w:iCs/>
                      <w:sz w:val="20"/>
                    </w:rPr>
                    <w:t>, SODESS,</w:t>
                  </w:r>
                  <w:r w:rsidRPr="003161DC">
                    <w:rPr>
                      <w:iCs/>
                      <w:sz w:val="20"/>
                    </w:rPr>
                    <w:t xml:space="preserve"> SOTG</w:t>
                  </w:r>
                  <w:r w:rsidR="00125072">
                    <w:rPr>
                      <w:iCs/>
                      <w:sz w:val="20"/>
                    </w:rPr>
                    <w:t>, and SOTESS</w:t>
                  </w:r>
                  <w:r w:rsidRPr="003161DC">
                    <w:rPr>
                      <w:iCs/>
                      <w:sz w:val="20"/>
                    </w:rPr>
                    <w:t xml:space="preserve"> immediately following the end of each Settlement Interval  </w:t>
                  </w:r>
                </w:p>
                <w:p w14:paraId="591DC0D4" w14:textId="3E0B319D" w:rsidR="008A5A12" w:rsidRPr="003161DC" w:rsidRDefault="008A5A12" w:rsidP="008A5A12">
                  <w:pPr>
                    <w:tabs>
                      <w:tab w:val="left" w:pos="1350"/>
                    </w:tabs>
                    <w:spacing w:before="240"/>
                    <w:rPr>
                      <w:iCs/>
                      <w:sz w:val="20"/>
                    </w:rPr>
                  </w:pPr>
                  <w:r>
                    <w:rPr>
                      <w:iCs/>
                      <w:sz w:val="20"/>
                    </w:rPr>
                    <w:t>By Settlement Interval, post the 15-minute Real-Time Reliability Deployment Price for Energy, and the 15-minute Real-Time Reliability Deployment Price for Ancillary Service for each of the Ancillary Services</w:t>
                  </w:r>
                </w:p>
                <w:p w14:paraId="657B5ACE" w14:textId="77777777" w:rsidR="008A5A12" w:rsidRPr="003161DC" w:rsidRDefault="008A5A12" w:rsidP="008A5A12">
                  <w:pPr>
                    <w:rPr>
                      <w:iCs/>
                      <w:sz w:val="20"/>
                    </w:rPr>
                  </w:pPr>
                </w:p>
              </w:tc>
            </w:tr>
          </w:tbl>
          <w:p w14:paraId="56B6F479" w14:textId="0EC7C26B" w:rsidR="00C61B40" w:rsidRPr="00C61B40" w:rsidRDefault="00C61B40" w:rsidP="0058150D">
            <w:pPr>
              <w:rPr>
                <w:iCs/>
              </w:rPr>
            </w:pPr>
          </w:p>
        </w:tc>
      </w:tr>
    </w:tbl>
    <w:p w14:paraId="78D96BF2" w14:textId="72022AFC" w:rsidR="001F04FD" w:rsidRDefault="001F04FD" w:rsidP="001F04FD">
      <w:pPr>
        <w:pStyle w:val="BodyTextNumbered"/>
        <w:spacing w:before="240"/>
      </w:pPr>
      <w:r>
        <w:lastRenderedPageBreak/>
        <w:t>(3)</w:t>
      </w:r>
      <w:r>
        <w:tab/>
        <w:t xml:space="preserve">At the beginning of each hour, ERCOT shall post on the </w:t>
      </w:r>
      <w:r w:rsidR="0007207E">
        <w:t>ERCOT website</w:t>
      </w:r>
      <w:r>
        <w:t xml:space="preserve"> the following information:</w:t>
      </w:r>
    </w:p>
    <w:p w14:paraId="480F08BE" w14:textId="77777777" w:rsidR="001F04FD" w:rsidRDefault="001F04FD" w:rsidP="001F04FD">
      <w:pPr>
        <w:pStyle w:val="List"/>
      </w:pPr>
      <w:r>
        <w:t>(a)</w:t>
      </w:r>
      <w:r>
        <w:tab/>
        <w:t>Changes in ERCOT System conditions that could affect the security and dynamic transmission limits of the ERCOT System, including:</w:t>
      </w:r>
    </w:p>
    <w:p w14:paraId="03CF352C" w14:textId="77777777" w:rsidR="001F04FD" w:rsidRDefault="001F04FD" w:rsidP="001F04FD">
      <w:pPr>
        <w:pStyle w:val="List2"/>
      </w:pPr>
      <w:r>
        <w:lastRenderedPageBreak/>
        <w:t>(i)</w:t>
      </w:r>
      <w:r>
        <w:tab/>
        <w:t>Changes or expected changes, in the status of Transmission Facilities as recorded in the Outage Scheduler for the remaining hours of the current Operating Day and all hours of the next Operating Day; and</w:t>
      </w:r>
    </w:p>
    <w:p w14:paraId="3F378BC9" w14:textId="77777777" w:rsidR="001F04FD" w:rsidRDefault="001F04FD" w:rsidP="001F04FD">
      <w:pPr>
        <w:pStyle w:val="List2"/>
      </w:pPr>
      <w:r>
        <w:t>(ii)</w:t>
      </w:r>
      <w:r>
        <w:tab/>
        <w:t>Any conditions such as adverse weather conditions as determined from the ERCOT-designated weather service;</w:t>
      </w:r>
    </w:p>
    <w:p w14:paraId="50FA7DB4" w14:textId="77777777" w:rsidR="001F04FD" w:rsidRDefault="001F04FD" w:rsidP="001F04FD">
      <w:pPr>
        <w:pStyle w:val="List"/>
      </w:pPr>
      <w:r>
        <w:t>(b)</w:t>
      </w:r>
      <w:r>
        <w:tab/>
      </w:r>
      <w:r w:rsidR="00DA5067" w:rsidRPr="00491C73">
        <w:t>Updated system-wide Mid-Term Load Forecasts (MTLFs) for all forecast models available to ERCOT Operations, as well as an indicator for which forecast was in use by ERCOT at the time of publication</w:t>
      </w:r>
      <w:r w:rsidR="00DA5067">
        <w:t>;</w:t>
      </w:r>
    </w:p>
    <w:p w14:paraId="34B53A82" w14:textId="77777777" w:rsidR="001F04FD" w:rsidRDefault="001F04FD" w:rsidP="00052E36">
      <w:pPr>
        <w:pStyle w:val="List"/>
      </w:pPr>
      <w:r>
        <w:t>(c)</w:t>
      </w:r>
      <w:r>
        <w:tab/>
        <w:t>The quantities of RMR Services deployed by ERCOT for each previous hour of the current Operating Day;</w:t>
      </w:r>
      <w:r w:rsidR="001F147F">
        <w:t xml:space="preserve"> and</w:t>
      </w:r>
    </w:p>
    <w:p w14:paraId="27925815" w14:textId="77777777" w:rsidR="001F04FD" w:rsidRDefault="001F04FD" w:rsidP="001F04FD">
      <w:pPr>
        <w:pStyle w:val="List"/>
        <w:rPr>
          <w:iCs/>
        </w:rPr>
      </w:pPr>
      <w:r>
        <w:t>(d)</w:t>
      </w:r>
      <w:r>
        <w:tab/>
        <w:t>Total ERCOT System Demand, from Real-Time operations, integrated over each Settlement Interval</w:t>
      </w:r>
      <w:r w:rsidR="001F147F">
        <w:t>.</w:t>
      </w:r>
      <w:bookmarkStart w:id="99" w:name="_Toc74137648"/>
    </w:p>
    <w:p w14:paraId="3449E2B7" w14:textId="58380500" w:rsidR="001F04FD" w:rsidRDefault="001F04FD" w:rsidP="00B67C64">
      <w:pPr>
        <w:pStyle w:val="List"/>
        <w:ind w:left="720"/>
      </w:pPr>
      <w:r>
        <w:t>(4)</w:t>
      </w:r>
      <w:r>
        <w:tab/>
      </w:r>
      <w:r w:rsidR="0018254B" w:rsidRPr="0076067E">
        <w:t xml:space="preserve">No later than 0600, ERCOT shall post on the </w:t>
      </w:r>
      <w:r w:rsidR="0007207E">
        <w:t>ERCOT website</w:t>
      </w:r>
      <w:r w:rsidR="0018254B" w:rsidRPr="0076067E">
        <w:t xml:space="preserve"> the actual system Load by Weather Zone</w:t>
      </w:r>
      <w:r w:rsidR="0018254B">
        <w:t>,</w:t>
      </w:r>
      <w:r w:rsidR="0018254B" w:rsidRPr="0076067E">
        <w:t xml:space="preserve"> </w:t>
      </w:r>
      <w:r w:rsidR="0018254B">
        <w:t>the</w:t>
      </w:r>
      <w:r w:rsidR="0018254B" w:rsidRPr="0076067E">
        <w:t xml:space="preserve"> actual system Load by Forecast Zone</w:t>
      </w:r>
      <w:r w:rsidR="0018254B">
        <w:t>, and the actual system Load by Study Area</w:t>
      </w:r>
      <w:r w:rsidR="0018254B" w:rsidRPr="0076067E">
        <w:t xml:space="preserve"> for each hour of the previous Operating Day.</w:t>
      </w:r>
    </w:p>
    <w:p w14:paraId="118B4C18" w14:textId="7824A9C9" w:rsidR="004E0395" w:rsidRDefault="001F147F" w:rsidP="002F3F37">
      <w:pPr>
        <w:pStyle w:val="List"/>
        <w:ind w:left="720"/>
        <w:rPr>
          <w:iCs/>
        </w:rPr>
      </w:pPr>
      <w:r w:rsidRPr="00DD5850">
        <w:t>(5)</w:t>
      </w:r>
      <w:r w:rsidRPr="00DD5850">
        <w:tab/>
      </w:r>
      <w:r w:rsidR="00E62A42" w:rsidRPr="004E0395">
        <w:t xml:space="preserve">ERCOT shall provide notification to the market and post on the </w:t>
      </w:r>
      <w:r w:rsidR="0007207E">
        <w:t>ERCOT website</w:t>
      </w:r>
      <w:r w:rsidR="00E62A42" w:rsidRPr="004E0395">
        <w:t xml:space="preserve"> </w:t>
      </w:r>
      <w:r w:rsidR="00E62A42" w:rsidRPr="004E0395">
        <w:rPr>
          <w:iCs/>
        </w:rPr>
        <w:t>Electrical Bus Load distribution factors and other information necessary to forecast Electrical Bus Loads.  This report will be published when updates to the Load distribution factors are made.  Private Use Network net Load will be redacted from this posting.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60A86" w14:paraId="1F629D20" w14:textId="77777777" w:rsidTr="00460A86">
        <w:trPr>
          <w:trHeight w:val="206"/>
        </w:trPr>
        <w:tc>
          <w:tcPr>
            <w:tcW w:w="9350" w:type="dxa"/>
            <w:shd w:val="pct12" w:color="auto" w:fill="auto"/>
          </w:tcPr>
          <w:p w14:paraId="1FA16DDD" w14:textId="43A5A4F4" w:rsidR="00460A86" w:rsidRDefault="00460A86" w:rsidP="0058150D">
            <w:pPr>
              <w:pStyle w:val="Instructions"/>
              <w:spacing w:before="120"/>
            </w:pPr>
            <w:bookmarkStart w:id="100" w:name="_Toc397504911"/>
            <w:bookmarkStart w:id="101" w:name="_Toc402357039"/>
            <w:bookmarkStart w:id="102" w:name="_Toc422486419"/>
            <w:bookmarkStart w:id="103" w:name="_Toc433093271"/>
            <w:bookmarkStart w:id="104" w:name="_Toc433093429"/>
            <w:bookmarkStart w:id="105" w:name="_Toc440874659"/>
            <w:bookmarkStart w:id="106" w:name="_Toc448142214"/>
            <w:bookmarkStart w:id="107" w:name="_Toc448142371"/>
            <w:bookmarkStart w:id="108" w:name="_Toc458770207"/>
            <w:bookmarkStart w:id="109" w:name="_Toc459294175"/>
            <w:bookmarkStart w:id="110" w:name="_Toc463262668"/>
            <w:bookmarkStart w:id="111" w:name="_Toc468286740"/>
            <w:bookmarkStart w:id="112" w:name="_Toc481502786"/>
            <w:bookmarkStart w:id="113" w:name="_Toc496079956"/>
            <w:r>
              <w:t>[NPRR1010</w:t>
            </w:r>
            <w:r w:rsidR="00F726A9">
              <w:t xml:space="preserve"> and NPRR1204</w:t>
            </w:r>
            <w:r>
              <w:t>:  Insert paragraphs (6) and (7) below upon system implementation of the Real-Time Co-Optimization (RTC) project:]</w:t>
            </w:r>
          </w:p>
          <w:p w14:paraId="5607CEFD" w14:textId="4B4B7B0C" w:rsidR="00460A86" w:rsidRDefault="00460A86" w:rsidP="00460A86">
            <w:pPr>
              <w:spacing w:after="240"/>
              <w:ind w:left="720" w:hanging="720"/>
              <w:rPr>
                <w:iCs/>
              </w:rPr>
            </w:pPr>
            <w:r>
              <w:rPr>
                <w:iCs/>
              </w:rPr>
              <w:t>(6)</w:t>
            </w:r>
            <w:r>
              <w:rPr>
                <w:iCs/>
              </w:rPr>
              <w:tab/>
            </w:r>
            <w:r w:rsidRPr="00270231">
              <w:rPr>
                <w:iCs/>
              </w:rPr>
              <w:t xml:space="preserve">After every SCED run, ERCOT shall post to the </w:t>
            </w:r>
            <w:r>
              <w:rPr>
                <w:iCs/>
              </w:rPr>
              <w:t>ERCOT website</w:t>
            </w:r>
            <w:r w:rsidRPr="00270231">
              <w:rPr>
                <w:iCs/>
              </w:rPr>
              <w:t xml:space="preserve"> the total capability of Resources </w:t>
            </w:r>
            <w:r>
              <w:rPr>
                <w:iCs/>
              </w:rPr>
              <w:t xml:space="preserve">available </w:t>
            </w:r>
            <w:r w:rsidRPr="00270231">
              <w:rPr>
                <w:iCs/>
              </w:rPr>
              <w:t>to provide the following Ancillary Service combinations, based on the Resource telemetry from th</w:t>
            </w:r>
            <w:r>
              <w:rPr>
                <w:iCs/>
              </w:rPr>
              <w:t>e QSE and capped by the limits</w:t>
            </w:r>
            <w:r w:rsidRPr="00270231">
              <w:rPr>
                <w:iCs/>
              </w:rPr>
              <w:t xml:space="preserve"> of the Resource</w:t>
            </w:r>
            <w:r w:rsidR="00F726A9">
              <w:t xml:space="preserve"> and, for ESRs, further capped by Ancillary Service SCED duration requirements and current available State of Charge (SOC)</w:t>
            </w:r>
            <w:r>
              <w:rPr>
                <w:iCs/>
              </w:rPr>
              <w:t>, for the most recent SCED execution</w:t>
            </w:r>
            <w:r w:rsidRPr="00270231">
              <w:rPr>
                <w:iCs/>
              </w:rPr>
              <w:t>:</w:t>
            </w:r>
          </w:p>
          <w:p w14:paraId="049CA465" w14:textId="77777777" w:rsidR="00460A86" w:rsidRDefault="00460A86" w:rsidP="00460A86">
            <w:pPr>
              <w:spacing w:after="240"/>
              <w:ind w:left="1440" w:hanging="720"/>
              <w:rPr>
                <w:color w:val="000000"/>
                <w:sz w:val="22"/>
                <w:szCs w:val="22"/>
              </w:rPr>
            </w:pPr>
            <w:r>
              <w:rPr>
                <w:color w:val="000000"/>
              </w:rPr>
              <w:t>(a)</w:t>
            </w:r>
            <w:r>
              <w:rPr>
                <w:color w:val="000000"/>
              </w:rPr>
              <w:tab/>
              <w:t>Capacity to provide Reg-Up, irrespective of whether it is capable of providing any other Ancillary Service;</w:t>
            </w:r>
          </w:p>
          <w:p w14:paraId="085B5A10" w14:textId="77777777" w:rsidR="00460A86" w:rsidRDefault="00460A86" w:rsidP="00460A86">
            <w:pPr>
              <w:spacing w:after="240"/>
              <w:ind w:left="1440" w:hanging="720"/>
              <w:rPr>
                <w:color w:val="000000"/>
              </w:rPr>
            </w:pPr>
            <w:r>
              <w:rPr>
                <w:color w:val="000000"/>
              </w:rPr>
              <w:t>(b)</w:t>
            </w:r>
            <w:r>
              <w:rPr>
                <w:color w:val="000000"/>
              </w:rPr>
              <w:tab/>
              <w:t>Capacity to provide RRS, irrespective of whether it is capable of providing any other Ancillary Service;</w:t>
            </w:r>
          </w:p>
          <w:p w14:paraId="339AC119" w14:textId="77777777" w:rsidR="00460A86" w:rsidRDefault="00460A86" w:rsidP="00460A86">
            <w:pPr>
              <w:spacing w:after="240"/>
              <w:ind w:left="1440" w:hanging="720"/>
              <w:rPr>
                <w:color w:val="000000"/>
              </w:rPr>
            </w:pPr>
            <w:r>
              <w:rPr>
                <w:color w:val="000000"/>
              </w:rPr>
              <w:t>(c)</w:t>
            </w:r>
            <w:r>
              <w:rPr>
                <w:color w:val="000000"/>
              </w:rPr>
              <w:tab/>
              <w:t>Capacity to provide ECRS, irrespective of whether it is capable of providing any other Ancillary Service;</w:t>
            </w:r>
          </w:p>
          <w:p w14:paraId="52EEB924" w14:textId="77777777" w:rsidR="00460A86" w:rsidRDefault="00460A86" w:rsidP="00460A86">
            <w:pPr>
              <w:spacing w:after="240"/>
              <w:ind w:left="1440" w:hanging="720"/>
              <w:rPr>
                <w:color w:val="000000"/>
              </w:rPr>
            </w:pPr>
            <w:r>
              <w:rPr>
                <w:color w:val="000000"/>
              </w:rPr>
              <w:lastRenderedPageBreak/>
              <w:t>(d)</w:t>
            </w:r>
            <w:r>
              <w:rPr>
                <w:color w:val="000000"/>
              </w:rPr>
              <w:tab/>
              <w:t>Capacity to provide Non-Spin, irrespective of whether it is capable of providing any other Ancillary Service;</w:t>
            </w:r>
          </w:p>
          <w:p w14:paraId="2B418AD9" w14:textId="77777777" w:rsidR="00460A86" w:rsidRDefault="00460A86" w:rsidP="00460A86">
            <w:pPr>
              <w:spacing w:after="240"/>
              <w:ind w:left="1440" w:hanging="720"/>
              <w:rPr>
                <w:color w:val="000000"/>
              </w:rPr>
            </w:pPr>
            <w:r>
              <w:rPr>
                <w:color w:val="000000"/>
              </w:rPr>
              <w:t>(e)</w:t>
            </w:r>
            <w:r>
              <w:rPr>
                <w:color w:val="000000"/>
              </w:rPr>
              <w:tab/>
              <w:t>Capacity to provide Reg-Up, RRS, or both, irrespective of whether it is capable of providing ECRS or Non-Spin;</w:t>
            </w:r>
          </w:p>
          <w:p w14:paraId="0C786879" w14:textId="77777777" w:rsidR="00460A86" w:rsidRDefault="00460A86" w:rsidP="00460A86">
            <w:pPr>
              <w:spacing w:after="240"/>
              <w:ind w:left="1440" w:hanging="720"/>
              <w:rPr>
                <w:color w:val="000000"/>
              </w:rPr>
            </w:pPr>
            <w:r>
              <w:rPr>
                <w:color w:val="000000"/>
              </w:rPr>
              <w:t>(f)</w:t>
            </w:r>
            <w:r>
              <w:rPr>
                <w:color w:val="000000"/>
              </w:rPr>
              <w:tab/>
              <w:t>Capacity to provide Reg-Up, RRS, ECRS, or any combination, irrespective of whether it is capable of providing Non-Spin;</w:t>
            </w:r>
          </w:p>
          <w:p w14:paraId="024CA1EF" w14:textId="77777777" w:rsidR="00460A86" w:rsidRDefault="00460A86" w:rsidP="00460A86">
            <w:pPr>
              <w:spacing w:after="240"/>
              <w:ind w:left="1440" w:hanging="720"/>
              <w:rPr>
                <w:color w:val="000000"/>
              </w:rPr>
            </w:pPr>
            <w:r>
              <w:rPr>
                <w:color w:val="000000"/>
              </w:rPr>
              <w:t>(g)</w:t>
            </w:r>
            <w:r>
              <w:rPr>
                <w:color w:val="000000"/>
              </w:rPr>
              <w:tab/>
              <w:t>Capacity to provide Reg-Up, RRS, ECRS, Non-Spin, or any combination; and</w:t>
            </w:r>
          </w:p>
          <w:p w14:paraId="50ECF53C" w14:textId="77777777" w:rsidR="00460A86" w:rsidRDefault="00460A86" w:rsidP="00460A86">
            <w:pPr>
              <w:spacing w:after="240"/>
              <w:ind w:left="1440" w:hanging="720"/>
              <w:rPr>
                <w:iCs/>
              </w:rPr>
            </w:pPr>
            <w:r>
              <w:rPr>
                <w:color w:val="000000"/>
              </w:rPr>
              <w:t>(h)</w:t>
            </w:r>
            <w:r>
              <w:rPr>
                <w:color w:val="000000"/>
              </w:rPr>
              <w:tab/>
              <w:t>Capacity to provide Reg-Down</w:t>
            </w:r>
            <w:r>
              <w:rPr>
                <w:iCs/>
              </w:rPr>
              <w:t>.</w:t>
            </w:r>
          </w:p>
          <w:p w14:paraId="0F0073AE" w14:textId="28C1E3BD" w:rsidR="00460A86" w:rsidRPr="00460A86" w:rsidRDefault="00460A86" w:rsidP="00460A86">
            <w:pPr>
              <w:spacing w:after="240"/>
              <w:ind w:left="720" w:hanging="720"/>
              <w:rPr>
                <w:iCs/>
              </w:rPr>
            </w:pPr>
            <w:r>
              <w:rPr>
                <w:iCs/>
              </w:rPr>
              <w:t>(7)</w:t>
            </w:r>
            <w:r>
              <w:rPr>
                <w:iCs/>
              </w:rPr>
              <w:tab/>
              <w:t>Each week, ERCOT shall post on the ERCOT website the historical SCED-interval data described in paragraph (6) above.</w:t>
            </w:r>
          </w:p>
        </w:tc>
      </w:tr>
    </w:tbl>
    <w:p w14:paraId="27F2DE61" w14:textId="23B3E80E" w:rsidR="001F04FD" w:rsidRDefault="001F04FD" w:rsidP="001E2376">
      <w:pPr>
        <w:pStyle w:val="H3"/>
        <w:spacing w:before="480"/>
        <w:ind w:left="0" w:firstLine="0"/>
      </w:pPr>
      <w:bookmarkStart w:id="114" w:name="_Toc189044286"/>
      <w:r>
        <w:lastRenderedPageBreak/>
        <w:t>6.3.3</w:t>
      </w:r>
      <w:r>
        <w:tab/>
        <w:t>Real-Time Timeline Deviations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2B4A08C7" w14:textId="77777777" w:rsidR="001F04FD" w:rsidRDefault="001F04FD" w:rsidP="001F04FD">
      <w:pPr>
        <w:pStyle w:val="List"/>
        <w:spacing w:before="240"/>
        <w:ind w:left="720"/>
        <w:rPr>
          <w:iCs/>
        </w:rPr>
      </w:pPr>
      <w:r>
        <w:t>(1)</w:t>
      </w:r>
      <w:r>
        <w:tab/>
        <w:t xml:space="preserve">ERCOT may temporarily deviate from the Real-Time deadlines but only to the extent necessary to ensure the secure operation of the ERCOT System.  Temporary measures may include varying the timing requirements as specified below or omitting one or more procedures in the Real-Time Sequence.  </w:t>
      </w:r>
      <w:r>
        <w:rPr>
          <w:iCs/>
        </w:rPr>
        <w:t>In such an event, ERCOT shall immediately issue a Watch and notify all QSEs of the following:</w:t>
      </w:r>
    </w:p>
    <w:p w14:paraId="523F9674" w14:textId="77777777" w:rsidR="001F04FD" w:rsidRDefault="001F04FD" w:rsidP="001F04FD">
      <w:pPr>
        <w:pStyle w:val="List"/>
      </w:pPr>
      <w:r>
        <w:t>(a)</w:t>
      </w:r>
      <w:r>
        <w:tab/>
        <w:t>Details of the affected timing requirements and procedures;</w:t>
      </w:r>
    </w:p>
    <w:p w14:paraId="6C7BCA03" w14:textId="77777777" w:rsidR="001F04FD" w:rsidRDefault="001F04FD" w:rsidP="001F04FD">
      <w:pPr>
        <w:pStyle w:val="List"/>
      </w:pPr>
      <w:r>
        <w:t>(b)</w:t>
      </w:r>
      <w:r>
        <w:tab/>
        <w:t>Details of any interim requirements;</w:t>
      </w:r>
    </w:p>
    <w:p w14:paraId="6401C82E" w14:textId="77777777" w:rsidR="001F04FD" w:rsidRDefault="001F04FD" w:rsidP="001F04FD">
      <w:pPr>
        <w:pStyle w:val="List"/>
      </w:pPr>
      <w:r>
        <w:t>(c)</w:t>
      </w:r>
      <w:r>
        <w:tab/>
        <w:t>An estimate of the period for which the interim requirements apply; and</w:t>
      </w:r>
    </w:p>
    <w:p w14:paraId="3369668D" w14:textId="77777777" w:rsidR="001F04FD" w:rsidRDefault="001F04FD" w:rsidP="001F04FD">
      <w:pPr>
        <w:pStyle w:val="List"/>
      </w:pPr>
      <w:r>
        <w:t>(d)</w:t>
      </w:r>
      <w:r>
        <w:tab/>
        <w:t>Reasons for the temporary variation.</w:t>
      </w:r>
    </w:p>
    <w:p w14:paraId="6D9000E4" w14:textId="77777777" w:rsidR="001F04FD" w:rsidRDefault="001F04FD" w:rsidP="001F04FD">
      <w:pPr>
        <w:pStyle w:val="H3"/>
        <w:spacing w:before="480"/>
      </w:pPr>
      <w:bookmarkStart w:id="115" w:name="_Toc397504912"/>
      <w:bookmarkStart w:id="116" w:name="_Toc402357040"/>
      <w:bookmarkStart w:id="117" w:name="_Toc422486420"/>
      <w:bookmarkStart w:id="118" w:name="_Toc433093272"/>
      <w:bookmarkStart w:id="119" w:name="_Toc433093430"/>
      <w:bookmarkStart w:id="120" w:name="_Toc440874660"/>
      <w:bookmarkStart w:id="121" w:name="_Toc448142215"/>
      <w:bookmarkStart w:id="122" w:name="_Toc448142372"/>
      <w:bookmarkStart w:id="123" w:name="_Toc458770208"/>
      <w:bookmarkStart w:id="124" w:name="_Toc459294176"/>
      <w:bookmarkStart w:id="125" w:name="_Toc463262669"/>
      <w:bookmarkStart w:id="126" w:name="_Toc468286741"/>
      <w:bookmarkStart w:id="127" w:name="_Toc481502787"/>
      <w:bookmarkStart w:id="128" w:name="_Toc496079957"/>
      <w:bookmarkStart w:id="129" w:name="_Toc189044287"/>
      <w:r>
        <w:t>6.3.4</w:t>
      </w:r>
      <w:r>
        <w:tab/>
        <w:t>ERCOT Notification of Validation Rules for Real-Time</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487F2A95" w14:textId="77777777" w:rsidR="001F04FD" w:rsidRDefault="001F04FD" w:rsidP="001F04FD">
      <w:pPr>
        <w:pStyle w:val="List"/>
        <w:spacing w:before="240"/>
        <w:ind w:left="720"/>
      </w:pPr>
      <w:r>
        <w:t>(1)</w:t>
      </w:r>
      <w:r>
        <w:tab/>
        <w:t>ERCOT shall provide each QSE with the information necessary to pre-validate its data for Real-Time operations, including publishing validation rules for offers, bids, and trades.</w:t>
      </w:r>
    </w:p>
    <w:p w14:paraId="5191646E" w14:textId="77777777" w:rsidR="001F04FD" w:rsidRDefault="001F04FD" w:rsidP="001F04FD">
      <w:pPr>
        <w:pStyle w:val="H2"/>
        <w:spacing w:before="480"/>
        <w:ind w:left="907" w:hanging="907"/>
      </w:pPr>
      <w:bookmarkStart w:id="130" w:name="_Toc73215972"/>
      <w:bookmarkStart w:id="131" w:name="_Toc397504913"/>
      <w:bookmarkStart w:id="132" w:name="_Toc402357041"/>
      <w:bookmarkStart w:id="133" w:name="_Toc422486421"/>
      <w:bookmarkStart w:id="134" w:name="_Toc433093273"/>
      <w:bookmarkStart w:id="135" w:name="_Toc433093431"/>
      <w:bookmarkStart w:id="136" w:name="_Toc440874661"/>
      <w:bookmarkStart w:id="137" w:name="_Toc448142216"/>
      <w:bookmarkStart w:id="138" w:name="_Toc448142373"/>
      <w:bookmarkStart w:id="139" w:name="_Toc458770209"/>
      <w:bookmarkStart w:id="140" w:name="_Toc459294177"/>
      <w:bookmarkStart w:id="141" w:name="_Toc463262670"/>
      <w:bookmarkStart w:id="142" w:name="_Toc468286742"/>
      <w:bookmarkStart w:id="143" w:name="_Toc481502788"/>
      <w:bookmarkStart w:id="144" w:name="_Toc496079958"/>
      <w:bookmarkStart w:id="145" w:name="_Toc189044288"/>
      <w:r>
        <w:lastRenderedPageBreak/>
        <w:t>6.4</w:t>
      </w:r>
      <w:r>
        <w:tab/>
        <w:t>Adjustment Period</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1C6A2AE" w14:textId="77777777" w:rsidR="001F04FD" w:rsidRDefault="001F04FD" w:rsidP="001F04FD">
      <w:pPr>
        <w:pStyle w:val="H3"/>
        <w:spacing w:before="480"/>
      </w:pPr>
      <w:bookmarkStart w:id="146" w:name="_Toc397504914"/>
      <w:bookmarkStart w:id="147" w:name="_Toc402357042"/>
      <w:bookmarkStart w:id="148" w:name="_Toc422486422"/>
      <w:bookmarkStart w:id="149" w:name="_Toc433093274"/>
      <w:bookmarkStart w:id="150" w:name="_Toc433093432"/>
      <w:bookmarkStart w:id="151" w:name="_Toc440874662"/>
      <w:bookmarkStart w:id="152" w:name="_Toc448142217"/>
      <w:bookmarkStart w:id="153" w:name="_Toc448142374"/>
      <w:bookmarkStart w:id="154" w:name="_Toc458770210"/>
      <w:bookmarkStart w:id="155" w:name="_Toc459294178"/>
      <w:bookmarkStart w:id="156" w:name="_Toc463262671"/>
      <w:bookmarkStart w:id="157" w:name="_Toc468286743"/>
      <w:bookmarkStart w:id="158" w:name="_Toc481502789"/>
      <w:bookmarkStart w:id="159" w:name="_Toc496079959"/>
      <w:bookmarkStart w:id="160" w:name="_Toc189044289"/>
      <w:bookmarkStart w:id="161" w:name="_Toc73215975"/>
      <w:r>
        <w:t>6.4.1</w:t>
      </w:r>
      <w:r>
        <w:tab/>
        <w:t>Capacity Trade, Energy Trade, Self-Schedule, and Ancillary Service Trades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t xml:space="preserve"> </w:t>
      </w:r>
      <w:bookmarkEnd w:id="161"/>
    </w:p>
    <w:p w14:paraId="4C5BDB6E" w14:textId="7B31A74A" w:rsidR="001F04FD" w:rsidRDefault="001F04FD" w:rsidP="001F04FD">
      <w:pPr>
        <w:pStyle w:val="BodyTextNumbered"/>
      </w:pPr>
      <w:r>
        <w:t>(1)</w:t>
      </w:r>
      <w:r>
        <w:tab/>
        <w:t xml:space="preserve">A detailed explanation of Capacity Trade criteria and validations performed by ERCOT is provided in Section 4.4.1, Capacity Trades. </w:t>
      </w:r>
      <w:r w:rsidR="000E6D97">
        <w:t xml:space="preserve"> </w:t>
      </w:r>
      <w:r>
        <w:t xml:space="preserve">A </w:t>
      </w:r>
      <w:r w:rsidR="00C0502C">
        <w:t>Qualified Scheduling Entity (</w:t>
      </w:r>
      <w:r>
        <w:t>QSE</w:t>
      </w:r>
      <w:r w:rsidR="00C0502C">
        <w:t>)</w:t>
      </w:r>
      <w:r>
        <w:t xml:space="preserve"> may submit and update Capacity Trades during the Adjustment Period.</w:t>
      </w:r>
    </w:p>
    <w:p w14:paraId="7AFDEC37" w14:textId="77777777" w:rsidR="001F04FD" w:rsidRDefault="001F04FD" w:rsidP="001F04FD">
      <w:pPr>
        <w:pStyle w:val="BodyTextNumbered"/>
      </w:pPr>
      <w:r>
        <w:t>(2)</w:t>
      </w:r>
      <w:r>
        <w:tab/>
        <w:t>A detailed explanation of Energy Trade criteria and validations performed by ERCOT is provided in Section 4.4.2, Energy Trades.  A QSE may submit and update Energy Trades during the Adjustment Period and through 1430 on the day following the Operating Day for Settlement.</w:t>
      </w:r>
    </w:p>
    <w:p w14:paraId="7A5BF157" w14:textId="77777777" w:rsidR="001F04FD" w:rsidRDefault="001F04FD" w:rsidP="001F04FD">
      <w:pPr>
        <w:pStyle w:val="BodyTextNumbered"/>
      </w:pPr>
      <w:r>
        <w:t>(3)</w:t>
      </w:r>
      <w:r>
        <w:tab/>
        <w:t xml:space="preserve">A detailed explanation of Self-Schedule criteria and validations performed by ERCOT is provided in Section 4.4.3, Self-Schedules.  A QSE may submit and update Self-Schedules during the Adjustment Period. </w:t>
      </w:r>
    </w:p>
    <w:p w14:paraId="5E7EBF46" w14:textId="696A7F80" w:rsidR="00070608" w:rsidRDefault="001F04FD" w:rsidP="001F04FD">
      <w:pPr>
        <w:pStyle w:val="BodyTextNumbered"/>
      </w:pPr>
      <w:r>
        <w:t>(4)</w:t>
      </w:r>
      <w:r>
        <w:tab/>
        <w:t xml:space="preserve">A detailed explanation of Ancillary Service Trade criteria and validations performed by ERCOT is provided in Section 4.4.7.3, Ancillary Service Trades. </w:t>
      </w:r>
      <w:r w:rsidR="00DE5692">
        <w:t xml:space="preserve"> </w:t>
      </w:r>
      <w:r>
        <w:t>A QSE may submit and update Ancillary Service Trades during the Adjustment Period</w:t>
      </w:r>
      <w:r w:rsidR="00745851" w:rsidRPr="00745851">
        <w:t xml:space="preserve"> </w:t>
      </w:r>
      <w:r w:rsidR="00745851" w:rsidRPr="00DD1A20">
        <w:t>and through the Operating Period for Settlement</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25924" w14:paraId="53544470" w14:textId="77777777" w:rsidTr="00AE5CE8">
        <w:trPr>
          <w:trHeight w:val="206"/>
        </w:trPr>
        <w:tc>
          <w:tcPr>
            <w:tcW w:w="9350" w:type="dxa"/>
            <w:shd w:val="pct12" w:color="auto" w:fill="auto"/>
          </w:tcPr>
          <w:p w14:paraId="06EE9400" w14:textId="4E2AAADF" w:rsidR="00925924" w:rsidRDefault="00925924" w:rsidP="00AE5CE8">
            <w:pPr>
              <w:pStyle w:val="Instructions"/>
              <w:spacing w:before="120"/>
            </w:pPr>
            <w:bookmarkStart w:id="162" w:name="_Toc73215976"/>
            <w:bookmarkStart w:id="163" w:name="_Toc397504915"/>
            <w:bookmarkStart w:id="164" w:name="_Toc402357043"/>
            <w:bookmarkStart w:id="165" w:name="_Toc422486423"/>
            <w:bookmarkStart w:id="166" w:name="_Toc433093275"/>
            <w:bookmarkStart w:id="167" w:name="_Toc433093433"/>
            <w:bookmarkStart w:id="168" w:name="_Toc440874663"/>
            <w:bookmarkStart w:id="169" w:name="_Toc448142218"/>
            <w:bookmarkStart w:id="170" w:name="_Toc448142375"/>
            <w:bookmarkStart w:id="171" w:name="_Toc458770211"/>
            <w:bookmarkStart w:id="172" w:name="_Toc459294179"/>
            <w:bookmarkStart w:id="173" w:name="_Toc463262672"/>
            <w:bookmarkStart w:id="174" w:name="_Toc468286744"/>
            <w:bookmarkStart w:id="175" w:name="_Toc481502790"/>
            <w:bookmarkStart w:id="176" w:name="_Toc496079960"/>
            <w:bookmarkStart w:id="177" w:name="_Toc119310185"/>
            <w:r>
              <w:t>[NPRR1245:  Replace paragraph (4) above with the following upon system implementation of the Real-Time Co-Optimization (RTC) project:]</w:t>
            </w:r>
          </w:p>
          <w:p w14:paraId="09B08112" w14:textId="2770B4E0" w:rsidR="00925924" w:rsidRPr="00925924" w:rsidRDefault="00925924" w:rsidP="00925924">
            <w:pPr>
              <w:spacing w:after="240"/>
              <w:ind w:left="720" w:hanging="720"/>
              <w:rPr>
                <w:iCs/>
              </w:rPr>
            </w:pPr>
            <w:r w:rsidRPr="00D476E3">
              <w:rPr>
                <w:iCs/>
              </w:rPr>
              <w:t>(4)</w:t>
            </w:r>
            <w:r w:rsidRPr="00D476E3">
              <w:rPr>
                <w:iCs/>
              </w:rPr>
              <w:tab/>
              <w:t>A detailed explanation of Ancillary Service Trade criteria and validations performed by ERCOT is provided in Section 4.4.7.3, Ancillary Service Trades.  A QSE may submit and update Ancillary Service Trades during the Adjustment Period.</w:t>
            </w:r>
          </w:p>
        </w:tc>
      </w:tr>
    </w:tbl>
    <w:p w14:paraId="0F5FBFA0" w14:textId="77777777" w:rsidR="001F04FD" w:rsidRDefault="001F04FD" w:rsidP="00952F33">
      <w:pPr>
        <w:pStyle w:val="H3"/>
        <w:spacing w:before="480"/>
      </w:pPr>
      <w:bookmarkStart w:id="178" w:name="_Toc189044290"/>
      <w:r>
        <w:t>6.4.2</w:t>
      </w:r>
      <w:r>
        <w:tab/>
        <w:t>Output Schedules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6747285A" w14:textId="77777777" w:rsidR="001F04FD" w:rsidRDefault="001F04FD" w:rsidP="001F04FD">
      <w:pPr>
        <w:pStyle w:val="BodyTextNumbered"/>
      </w:pPr>
      <w:r>
        <w:t>(1)</w:t>
      </w:r>
      <w:r>
        <w:tab/>
        <w:t>A QSE that represents a Resource, other than an RMR Unit, must submit and maintain either an Energy Offer Curve or an Output Schedule for the Resource for all times when the Resource is On-Line.</w:t>
      </w:r>
    </w:p>
    <w:p w14:paraId="2FE3EC9F" w14:textId="77777777" w:rsidR="001F04FD" w:rsidRDefault="001F04FD" w:rsidP="001F04FD">
      <w:pPr>
        <w:pStyle w:val="BodyTextNumbered"/>
      </w:pPr>
      <w:r>
        <w:t>(2)</w:t>
      </w:r>
      <w:r>
        <w:tab/>
        <w:t>The entry of an Energy Offer Curve for a Resource automatically nullifies the Output Schedule for that Resource and prohibits entry of future Output Schedules for that Resource for the time during which the Energy Offer Curve is in effect.</w:t>
      </w:r>
    </w:p>
    <w:p w14:paraId="55F96721" w14:textId="5BA36317" w:rsidR="001F04FD" w:rsidRDefault="001F04FD" w:rsidP="001F04FD">
      <w:pPr>
        <w:pStyle w:val="BodyTextNumbered"/>
      </w:pPr>
      <w:r>
        <w:t>(3)</w:t>
      </w:r>
      <w:r>
        <w:tab/>
        <w:t xml:space="preserve">For a Resource for which an Energy Offer Curve has not been submitted, the </w:t>
      </w:r>
      <w:r w:rsidR="009F62BA">
        <w:t>Security-Constrained Economic Dispatch (</w:t>
      </w:r>
      <w:r>
        <w:t>SCED</w:t>
      </w:r>
      <w:r w:rsidR="009F62BA">
        <w:t>)</w:t>
      </w:r>
      <w:r>
        <w:t xml:space="preserve"> process uses the Output Schedule submitted for that Resource as desired Dispatch levels for the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776" w14:paraId="56E47059" w14:textId="77777777" w:rsidTr="009E7633">
        <w:trPr>
          <w:trHeight w:val="206"/>
        </w:trPr>
        <w:tc>
          <w:tcPr>
            <w:tcW w:w="9576" w:type="dxa"/>
            <w:shd w:val="pct12" w:color="auto" w:fill="auto"/>
          </w:tcPr>
          <w:p w14:paraId="0318691B" w14:textId="4EB61C4B" w:rsidR="00632776" w:rsidRDefault="00632776" w:rsidP="009E7633">
            <w:pPr>
              <w:pStyle w:val="Instructions"/>
              <w:spacing w:before="120"/>
            </w:pPr>
            <w:bookmarkStart w:id="179" w:name="_Toc93908289"/>
            <w:bookmarkStart w:id="180" w:name="_Toc397504916"/>
            <w:bookmarkStart w:id="181" w:name="_Toc402357044"/>
            <w:bookmarkStart w:id="182" w:name="_Toc422486424"/>
            <w:bookmarkStart w:id="183" w:name="_Toc433093276"/>
            <w:bookmarkStart w:id="184" w:name="_Toc433093434"/>
            <w:bookmarkStart w:id="185" w:name="_Toc440874664"/>
            <w:bookmarkStart w:id="186" w:name="_Toc448142219"/>
            <w:bookmarkStart w:id="187" w:name="_Toc448142376"/>
            <w:bookmarkStart w:id="188" w:name="_Toc458770212"/>
            <w:bookmarkStart w:id="189" w:name="_Toc459294180"/>
            <w:bookmarkStart w:id="190" w:name="_Toc463262673"/>
            <w:bookmarkStart w:id="191" w:name="_Toc468286745"/>
            <w:bookmarkStart w:id="192" w:name="_Toc481502791"/>
            <w:bookmarkStart w:id="193" w:name="_Toc496079961"/>
            <w:r>
              <w:lastRenderedPageBreak/>
              <w:t>[NPRR1014:  Replace Section 6.4.2 above with the following upon system implementation:]</w:t>
            </w:r>
          </w:p>
          <w:p w14:paraId="0809A2B7" w14:textId="77777777" w:rsidR="00632776" w:rsidRPr="00A552C3" w:rsidRDefault="00632776" w:rsidP="00632776">
            <w:pPr>
              <w:keepNext/>
              <w:tabs>
                <w:tab w:val="left" w:pos="1080"/>
              </w:tabs>
              <w:spacing w:before="240" w:after="240"/>
              <w:ind w:left="1080" w:hanging="1080"/>
              <w:outlineLvl w:val="2"/>
              <w:rPr>
                <w:b/>
                <w:bCs/>
                <w:i/>
              </w:rPr>
            </w:pPr>
            <w:bookmarkStart w:id="194" w:name="_Toc60040554"/>
            <w:bookmarkStart w:id="195" w:name="_Toc65151614"/>
            <w:bookmarkStart w:id="196" w:name="_Toc80174640"/>
            <w:bookmarkStart w:id="197" w:name="_Toc108712398"/>
            <w:bookmarkStart w:id="198" w:name="_Toc112417518"/>
            <w:bookmarkStart w:id="199" w:name="_Toc125966120"/>
            <w:bookmarkStart w:id="200" w:name="_Toc135992217"/>
            <w:bookmarkStart w:id="201" w:name="_Toc170303414"/>
            <w:bookmarkStart w:id="202" w:name="_Toc175157319"/>
            <w:bookmarkStart w:id="203" w:name="_Toc189044291"/>
            <w:r w:rsidRPr="00A552C3">
              <w:rPr>
                <w:b/>
                <w:bCs/>
                <w:i/>
              </w:rPr>
              <w:t>6.4.2</w:t>
            </w:r>
            <w:r w:rsidRPr="00A552C3">
              <w:rPr>
                <w:b/>
                <w:bCs/>
                <w:i/>
              </w:rPr>
              <w:tab/>
              <w:t>Output Schedules</w:t>
            </w:r>
            <w:bookmarkEnd w:id="194"/>
            <w:bookmarkEnd w:id="195"/>
            <w:bookmarkEnd w:id="196"/>
            <w:bookmarkEnd w:id="197"/>
            <w:bookmarkEnd w:id="198"/>
            <w:bookmarkEnd w:id="199"/>
            <w:bookmarkEnd w:id="200"/>
            <w:bookmarkEnd w:id="201"/>
            <w:bookmarkEnd w:id="202"/>
            <w:bookmarkEnd w:id="203"/>
          </w:p>
          <w:p w14:paraId="74B3F190" w14:textId="77777777" w:rsidR="00632776" w:rsidRPr="00A552C3" w:rsidRDefault="00632776" w:rsidP="00632776">
            <w:pPr>
              <w:spacing w:after="240"/>
              <w:ind w:left="720" w:hanging="720"/>
            </w:pPr>
            <w:r w:rsidRPr="00A552C3">
              <w:t>(1)</w:t>
            </w:r>
            <w:r w:rsidRPr="00A552C3">
              <w:tab/>
              <w:t>A QSE that represents a Resource, other than an RMR Unit, must submit and maintain an Energy Offer Curve, an Energy Bid/Offer Curve, or an Output Schedule for the Resource for all times when the Resource is On-Line.</w:t>
            </w:r>
          </w:p>
          <w:p w14:paraId="36470C29" w14:textId="77777777" w:rsidR="00632776" w:rsidRPr="00A552C3" w:rsidRDefault="00632776" w:rsidP="00632776">
            <w:pPr>
              <w:spacing w:after="240"/>
              <w:ind w:left="720" w:hanging="720"/>
            </w:pPr>
            <w:r w:rsidRPr="00A552C3">
              <w:t>(2)</w:t>
            </w:r>
            <w:r w:rsidRPr="00A552C3">
              <w:tab/>
              <w:t>The entry of an Energy Offer Curve or Energy Bid/Offer Curve for a Resource automatically nullifies the Output Schedule for that Resource and prohibits entry of future Output Schedules for that Resource for the time during which the Energy Offer Curve or Energy Bid/Offer Curve is in effect.</w:t>
            </w:r>
          </w:p>
          <w:p w14:paraId="500E7D29" w14:textId="488A2E6B" w:rsidR="00632776" w:rsidRPr="00A4149C" w:rsidRDefault="00632776" w:rsidP="00632776">
            <w:pPr>
              <w:spacing w:after="240"/>
              <w:ind w:left="720" w:hanging="720"/>
            </w:pPr>
            <w:r w:rsidRPr="00A552C3">
              <w:t>(3)</w:t>
            </w:r>
            <w:r w:rsidRPr="00A552C3">
              <w:tab/>
              <w:t>For a Resource for which an Energy Offer Curve or Energy Bid/Offer Curve has not been submitted, the Security-Constrained Economic Dispatch (SCED) process uses the Output Schedule submitted for that Resource as desired Dispatch levels for the Resource.</w:t>
            </w:r>
          </w:p>
        </w:tc>
      </w:tr>
    </w:tbl>
    <w:p w14:paraId="5BF62EE2" w14:textId="77777777" w:rsidR="001F04FD" w:rsidRDefault="001F04FD" w:rsidP="001F04FD">
      <w:pPr>
        <w:pStyle w:val="H4"/>
        <w:spacing w:before="480"/>
        <w:ind w:left="1267" w:hanging="1267"/>
      </w:pPr>
      <w:bookmarkStart w:id="204" w:name="_Toc189044292"/>
      <w:r>
        <w:t>6.4.2.1</w:t>
      </w:r>
      <w:r>
        <w:tab/>
        <w:t>Output Schedules for Resources Other than Dynamically Scheduled Resources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204"/>
    </w:p>
    <w:p w14:paraId="0E718266" w14:textId="77777777" w:rsidR="001F04FD" w:rsidRDefault="001F04FD" w:rsidP="001F04FD">
      <w:pPr>
        <w:pStyle w:val="BodyTextNumbered"/>
      </w:pPr>
      <w:r>
        <w:t>(1)</w:t>
      </w:r>
      <w:r>
        <w:tab/>
        <w:t xml:space="preserve">An Output Schedule for a non-DSR Resource may be submitted and updated only during the Adjustment Period.  An Output Schedule for a non-DSR Resource may be submitted and updated for each five-minute interval for each Operating Hour.  </w:t>
      </w:r>
    </w:p>
    <w:p w14:paraId="33A444EB" w14:textId="4FF1B9DA" w:rsidR="001F04FD" w:rsidRDefault="001F04FD" w:rsidP="00E8646B">
      <w:pPr>
        <w:pStyle w:val="BodyTextNumbered"/>
      </w:pPr>
      <w:r>
        <w:t>(2)</w:t>
      </w:r>
      <w:r>
        <w:tab/>
        <w:t>For a Resource that is not a DSR and that is On-Line, the following provisions apply:</w:t>
      </w:r>
    </w:p>
    <w:p w14:paraId="3FF4B83F" w14:textId="77777777" w:rsidR="001F04FD" w:rsidRDefault="001F04FD" w:rsidP="001F04FD">
      <w:pPr>
        <w:pStyle w:val="List"/>
      </w:pPr>
      <w:r>
        <w:t>(a)</w:t>
      </w:r>
      <w:r>
        <w:tab/>
        <w:t>The Output Schedule for a Qualifying Facility (QF) not submitting an Energy Offer Curve is considered to be equal to the telemetered output of the QF at the time that the SCED runs;</w:t>
      </w:r>
    </w:p>
    <w:p w14:paraId="2A4D30AA" w14:textId="77777777" w:rsidR="001F04FD" w:rsidRDefault="001F04FD" w:rsidP="001F04FD">
      <w:pPr>
        <w:pStyle w:val="List"/>
      </w:pPr>
      <w:r>
        <w:t>(b)</w:t>
      </w:r>
      <w:r>
        <w:tab/>
        <w:t>The Output Schedule for Intermittent Renewable Resources (IRR) not submitting Energy Offer Curves is considered to be equal to the telemetered output of the Resource at the time that the SCED runs; and</w:t>
      </w:r>
    </w:p>
    <w:p w14:paraId="6E50B32F" w14:textId="77777777" w:rsidR="001F04FD" w:rsidRDefault="001F04FD" w:rsidP="001F04FD">
      <w:pPr>
        <w:pStyle w:val="List"/>
      </w:pPr>
      <w:r>
        <w:t>(c)</w:t>
      </w:r>
      <w:r>
        <w:tab/>
        <w:t>ERCOT shall create proxy Energy Offer Curves 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FC1D20E" w14:textId="77777777" w:rsidTr="005C5A9B">
        <w:trPr>
          <w:trHeight w:val="206"/>
        </w:trPr>
        <w:tc>
          <w:tcPr>
            <w:tcW w:w="9576" w:type="dxa"/>
            <w:shd w:val="pct12" w:color="auto" w:fill="auto"/>
          </w:tcPr>
          <w:p w14:paraId="57FB5615" w14:textId="142F5E69" w:rsidR="00E8646B" w:rsidRDefault="00E8646B" w:rsidP="005C5A9B">
            <w:pPr>
              <w:pStyle w:val="Instructions"/>
              <w:spacing w:before="120"/>
            </w:pPr>
            <w:bookmarkStart w:id="205" w:name="_Toc93908290"/>
            <w:bookmarkStart w:id="206" w:name="_Toc397504917"/>
            <w:bookmarkStart w:id="207" w:name="_Toc402357045"/>
            <w:bookmarkStart w:id="208" w:name="_Toc422486425"/>
            <w:bookmarkStart w:id="209" w:name="_Toc433093277"/>
            <w:bookmarkStart w:id="210" w:name="_Toc433093435"/>
            <w:bookmarkStart w:id="211" w:name="_Toc440874665"/>
            <w:bookmarkStart w:id="212" w:name="_Toc448142220"/>
            <w:bookmarkStart w:id="213" w:name="_Toc448142377"/>
            <w:bookmarkStart w:id="214" w:name="_Toc458770213"/>
            <w:bookmarkStart w:id="215" w:name="_Toc459294181"/>
            <w:bookmarkStart w:id="216" w:name="_Toc463262674"/>
            <w:bookmarkStart w:id="217" w:name="_Toc468286746"/>
            <w:bookmarkStart w:id="218" w:name="_Toc481502792"/>
            <w:bookmarkStart w:id="219" w:name="_Toc496079962"/>
            <w:r>
              <w:t>[NPRR1000</w:t>
            </w:r>
            <w:r w:rsidR="00FE6E3D">
              <w:t xml:space="preserve"> and NPRR1014</w:t>
            </w:r>
            <w:r>
              <w:t xml:space="preserve">:  Replace </w:t>
            </w:r>
            <w:r w:rsidR="00FE6E3D">
              <w:t xml:space="preserve">applicable portions of </w:t>
            </w:r>
            <w:r>
              <w:t>Section 6.4.2.1 above with the following upon system implementation:]</w:t>
            </w:r>
          </w:p>
          <w:p w14:paraId="6EA2F937" w14:textId="77777777" w:rsidR="00E8646B" w:rsidRPr="0003653E" w:rsidRDefault="00E8646B" w:rsidP="00E8646B">
            <w:pPr>
              <w:keepNext/>
              <w:widowControl w:val="0"/>
              <w:tabs>
                <w:tab w:val="left" w:pos="1260"/>
              </w:tabs>
              <w:spacing w:after="240"/>
              <w:ind w:left="1267" w:hanging="1267"/>
              <w:outlineLvl w:val="3"/>
              <w:rPr>
                <w:b/>
                <w:bCs/>
                <w:snapToGrid w:val="0"/>
              </w:rPr>
            </w:pPr>
            <w:bookmarkStart w:id="220" w:name="_Toc60040556"/>
            <w:bookmarkStart w:id="221" w:name="_Toc65151616"/>
            <w:bookmarkStart w:id="222" w:name="_Toc80174642"/>
            <w:bookmarkStart w:id="223" w:name="_Toc108712400"/>
            <w:bookmarkStart w:id="224" w:name="_Toc112417520"/>
            <w:bookmarkStart w:id="225" w:name="_Toc119310188"/>
            <w:bookmarkStart w:id="226" w:name="_Toc125966122"/>
            <w:bookmarkStart w:id="227" w:name="_Toc135992219"/>
            <w:bookmarkStart w:id="228" w:name="_Toc170303416"/>
            <w:bookmarkStart w:id="229" w:name="_Toc175157321"/>
            <w:bookmarkStart w:id="230" w:name="_Toc189044293"/>
            <w:r w:rsidRPr="0003653E">
              <w:rPr>
                <w:b/>
                <w:bCs/>
                <w:snapToGrid w:val="0"/>
              </w:rPr>
              <w:lastRenderedPageBreak/>
              <w:t>6.4.2.1</w:t>
            </w:r>
            <w:r w:rsidRPr="0003653E">
              <w:rPr>
                <w:b/>
                <w:bCs/>
                <w:snapToGrid w:val="0"/>
              </w:rPr>
              <w:tab/>
              <w:t>Output Schedules for Resources</w:t>
            </w:r>
            <w:bookmarkEnd w:id="220"/>
            <w:bookmarkEnd w:id="221"/>
            <w:bookmarkEnd w:id="222"/>
            <w:bookmarkEnd w:id="223"/>
            <w:bookmarkEnd w:id="224"/>
            <w:bookmarkEnd w:id="225"/>
            <w:bookmarkEnd w:id="226"/>
            <w:bookmarkEnd w:id="227"/>
            <w:bookmarkEnd w:id="228"/>
            <w:bookmarkEnd w:id="229"/>
            <w:bookmarkEnd w:id="230"/>
          </w:p>
          <w:p w14:paraId="7D3FAACA" w14:textId="77777777" w:rsidR="00E8646B" w:rsidRPr="0003653E" w:rsidRDefault="00E8646B" w:rsidP="00E8646B">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0E87F24F" w14:textId="77777777" w:rsidR="00E8646B" w:rsidRPr="0003653E" w:rsidRDefault="00E8646B" w:rsidP="00E8646B">
            <w:pPr>
              <w:spacing w:after="240"/>
              <w:ind w:left="720" w:hanging="720"/>
            </w:pPr>
            <w:r w:rsidRPr="0003653E">
              <w:t>(2)</w:t>
            </w:r>
            <w:r w:rsidRPr="0003653E">
              <w:tab/>
              <w:t>For a Resource that is On-Line, the following provisions apply:</w:t>
            </w:r>
          </w:p>
          <w:p w14:paraId="10677BF9" w14:textId="77777777" w:rsidR="00E8646B" w:rsidRPr="0003653E" w:rsidRDefault="00E8646B" w:rsidP="00E8646B">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6D0BA691" w14:textId="77777777" w:rsidR="00E8646B" w:rsidRPr="0003653E" w:rsidRDefault="00E8646B" w:rsidP="00E8646B">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60225272" w14:textId="4B5B2701" w:rsidR="00E8646B" w:rsidRPr="00A4149C" w:rsidRDefault="00E8646B" w:rsidP="00E8646B">
            <w:pPr>
              <w:spacing w:after="240"/>
              <w:ind w:left="1440" w:hanging="720"/>
            </w:pPr>
            <w:r w:rsidRPr="0003653E">
              <w:t>(c)</w:t>
            </w:r>
            <w:r w:rsidRPr="0003653E">
              <w:tab/>
              <w:t xml:space="preserve">ERCOT shall create proxy Energy Offer Curves </w:t>
            </w:r>
            <w:r w:rsidR="00FE6E3D" w:rsidRPr="00A552C3">
              <w:t>or proxy Energy Bid/Offer Curves</w:t>
            </w:r>
            <w:r w:rsidR="00FE6E3D" w:rsidRPr="0003653E">
              <w:t xml:space="preserve"> </w:t>
            </w:r>
            <w:r w:rsidRPr="0003653E">
              <w:t>for the Resource under paragraph (4)(a) of Section 6.5.7.3, Security Constrained Economic Dispatch.</w:t>
            </w:r>
          </w:p>
        </w:tc>
      </w:tr>
    </w:tbl>
    <w:p w14:paraId="28F71294" w14:textId="77777777" w:rsidR="001F04FD" w:rsidRDefault="001F04FD" w:rsidP="001F04FD">
      <w:pPr>
        <w:pStyle w:val="H4"/>
        <w:spacing w:before="480"/>
        <w:ind w:left="1267" w:hanging="1267"/>
      </w:pPr>
      <w:bookmarkStart w:id="231" w:name="_Toc189044294"/>
      <w:r>
        <w:lastRenderedPageBreak/>
        <w:t>6.4.2.2</w:t>
      </w:r>
      <w:r>
        <w:tab/>
        <w:t>Output Schedules for Dynamically Scheduled Resources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31"/>
    </w:p>
    <w:p w14:paraId="29907F06" w14:textId="77777777" w:rsidR="001F04FD" w:rsidRDefault="001F04FD" w:rsidP="001F04FD">
      <w:pPr>
        <w:pStyle w:val="BodyTextNumbered"/>
      </w:pPr>
      <w:r>
        <w:t>(1)</w:t>
      </w:r>
      <w:r>
        <w:tab/>
        <w:t>A QSE representing a DSR may update the Output Schedule for a dispatch interval at any time before the SCED process for that interval.</w:t>
      </w:r>
    </w:p>
    <w:p w14:paraId="2765D90E" w14:textId="77777777" w:rsidR="001F04FD" w:rsidRDefault="001F04FD" w:rsidP="001F04FD">
      <w:pPr>
        <w:pStyle w:val="BodyTextNumbered"/>
      </w:pPr>
      <w:r>
        <w:t>(2)</w:t>
      </w:r>
      <w:r>
        <w:tab/>
        <w:t>For a DSR that is On-Line, the following provisions apply:</w:t>
      </w:r>
    </w:p>
    <w:p w14:paraId="0944B9B1" w14:textId="77777777" w:rsidR="001F04FD" w:rsidRDefault="001F04FD" w:rsidP="001F04FD">
      <w:pPr>
        <w:pStyle w:val="List"/>
      </w:pPr>
      <w:r>
        <w:t>(a)</w:t>
      </w:r>
      <w:r>
        <w:tab/>
        <w:t>For an On-Line DSR for which its QSE has not submitted an Incremental and Decremental Energy Offer Curve, ERCOT shall use the Output Schedule available at the SCED snapshot for the execution of the SCED and shall assume that the scheduled MW amount in the Output Schedule is the Base Point for the DSR for that SCED interval. ERCOT shall create proxy Energy Offer Curves for the DSR under paragraph (4)(a) of Section 6.5.7.3, Security Constrained Economic Dispatch.</w:t>
      </w:r>
    </w:p>
    <w:p w14:paraId="2C947958" w14:textId="77777777" w:rsidR="001F04FD" w:rsidRDefault="001F04FD" w:rsidP="001F04FD">
      <w:pPr>
        <w:pStyle w:val="List"/>
      </w:pPr>
      <w:r>
        <w:t>(b)</w:t>
      </w:r>
      <w:r>
        <w:tab/>
        <w:t>If the QSE representing a DSR submits an Incremental and Decremental Energy Offer Curve under Section 6.4.5, Incremental and Decremental Energy Offer Curves, then ERCOT shall use the Incremental and Decremental Energy Offer Curve to create proxy Energy Offer Curves for the DSR under paragraph (4)(b) of Section 6.5.7.3.</w:t>
      </w:r>
    </w:p>
    <w:p w14:paraId="56FFE7BB" w14:textId="77777777" w:rsidR="001F04FD" w:rsidRDefault="001F04FD" w:rsidP="001F04FD">
      <w:pPr>
        <w:pStyle w:val="List"/>
      </w:pPr>
      <w:r>
        <w:t>(c)</w:t>
      </w:r>
      <w:r>
        <w:tab/>
        <w:t>For a DSR that is dispatched to a Base Point other than its Output Schedule for that SCED interval, the Base-Point Deviation Charge under Section 6.6.5.1, Resource Base Point Deviation Charge, applies:</w:t>
      </w:r>
    </w:p>
    <w:p w14:paraId="3269C4B4" w14:textId="77777777" w:rsidR="001F04FD" w:rsidRDefault="001F04FD" w:rsidP="001F04FD">
      <w:pPr>
        <w:pStyle w:val="List2"/>
      </w:pPr>
      <w:r>
        <w:lastRenderedPageBreak/>
        <w:t>(i)</w:t>
      </w:r>
      <w:r>
        <w:tab/>
        <w:t xml:space="preserve">Beginning after four consecutive, complete 15-minute Settlement Intervals have occurred after the DSR is dispatched to a Base Point other than its Output Schedule; and </w:t>
      </w:r>
    </w:p>
    <w:p w14:paraId="1EAC0A14" w14:textId="77777777" w:rsidR="001F04FD" w:rsidRDefault="001F04FD" w:rsidP="001F04FD">
      <w:pPr>
        <w:pStyle w:val="List2"/>
      </w:pPr>
      <w:r>
        <w:t>(ii)</w:t>
      </w:r>
      <w:r>
        <w:tab/>
        <w:t>Ending when the DSR is no longer dispatched to a Base Point other than its Output Schedule.</w:t>
      </w:r>
    </w:p>
    <w:p w14:paraId="490B6F31" w14:textId="77777777" w:rsidR="001F04FD" w:rsidRDefault="001F04FD" w:rsidP="001F04FD">
      <w:pPr>
        <w:pStyle w:val="List"/>
      </w:pPr>
      <w:r>
        <w:t>(d)</w:t>
      </w:r>
      <w:r>
        <w:tab/>
        <w:t>After the DSR is no longer dispatched to a Base Point other than its Output Schedule, the 15 MW or 15% limit, whichever is greater, under paragraph (3) of Section 6.4.2.3, Output Schedule Criteria, does not apply to the DSR until four consecutive, complete 15-minute Settlement Intervals have occurred after the DSR is no longer dispatched to a Base Point other than its Output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08DE17A" w14:textId="77777777" w:rsidTr="005C5A9B">
        <w:trPr>
          <w:trHeight w:val="206"/>
        </w:trPr>
        <w:tc>
          <w:tcPr>
            <w:tcW w:w="9576" w:type="dxa"/>
            <w:shd w:val="pct12" w:color="auto" w:fill="auto"/>
          </w:tcPr>
          <w:p w14:paraId="7A699BE0" w14:textId="498F0832" w:rsidR="00E8646B" w:rsidRPr="00A4149C" w:rsidRDefault="00E8646B" w:rsidP="009F62BA">
            <w:pPr>
              <w:pStyle w:val="Instructions"/>
              <w:spacing w:before="120"/>
            </w:pPr>
            <w:bookmarkStart w:id="232" w:name="_Toc73215977"/>
            <w:bookmarkStart w:id="233" w:name="_Toc397504918"/>
            <w:bookmarkStart w:id="234" w:name="_Toc402357046"/>
            <w:bookmarkStart w:id="235" w:name="_Toc422486426"/>
            <w:bookmarkStart w:id="236" w:name="_Toc433093278"/>
            <w:bookmarkStart w:id="237" w:name="_Toc433093436"/>
            <w:bookmarkStart w:id="238" w:name="_Toc440874666"/>
            <w:bookmarkStart w:id="239" w:name="_Toc448142221"/>
            <w:bookmarkStart w:id="240" w:name="_Toc448142378"/>
            <w:bookmarkStart w:id="241" w:name="_Toc458770214"/>
            <w:bookmarkStart w:id="242" w:name="_Toc459294182"/>
            <w:bookmarkStart w:id="243" w:name="_Toc463262675"/>
            <w:bookmarkStart w:id="244" w:name="_Toc468286747"/>
            <w:bookmarkStart w:id="245" w:name="_Toc481502793"/>
            <w:bookmarkStart w:id="246" w:name="_Toc496079963"/>
            <w:r>
              <w:t>[NPRR1000:  Delete Section 6.4.2.2 above upon system implementation and renumber accordingly</w:t>
            </w:r>
            <w:r w:rsidR="009F62BA">
              <w:t>.</w:t>
            </w:r>
            <w:r>
              <w:t>]</w:t>
            </w:r>
          </w:p>
        </w:tc>
      </w:tr>
    </w:tbl>
    <w:p w14:paraId="56B5810B" w14:textId="77777777" w:rsidR="001F04FD" w:rsidRDefault="001F04FD" w:rsidP="001F04FD">
      <w:pPr>
        <w:pStyle w:val="H4"/>
        <w:tabs>
          <w:tab w:val="center" w:pos="4680"/>
        </w:tabs>
        <w:spacing w:before="480"/>
        <w:ind w:left="1267" w:hanging="1267"/>
      </w:pPr>
      <w:bookmarkStart w:id="247" w:name="_Toc189044295"/>
      <w:r>
        <w:t>6.4.2.3</w:t>
      </w:r>
      <w:r>
        <w:tab/>
        <w:t>Output Schedule Criteria</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0C245F76" w14:textId="77777777" w:rsidR="001F04FD" w:rsidRDefault="001F04FD" w:rsidP="001F04FD">
      <w:pPr>
        <w:pStyle w:val="BodyTextNumbered"/>
      </w:pPr>
      <w:r>
        <w:t>(1)</w:t>
      </w:r>
      <w:r>
        <w:tab/>
        <w:t>An Output Schedule submitted by a QSE for a Resource must include the following:</w:t>
      </w:r>
    </w:p>
    <w:p w14:paraId="6A6EEAE3" w14:textId="77777777" w:rsidR="001F04FD" w:rsidRDefault="001F04FD" w:rsidP="001F04FD">
      <w:pPr>
        <w:pStyle w:val="List"/>
      </w:pPr>
      <w:r>
        <w:t>(a)</w:t>
      </w:r>
      <w:r>
        <w:tab/>
        <w:t>The name of the Entity submitting the Output Schedule for the Resource;</w:t>
      </w:r>
    </w:p>
    <w:p w14:paraId="3C35E912" w14:textId="77777777" w:rsidR="001F04FD" w:rsidRDefault="001F04FD" w:rsidP="001F04FD">
      <w:pPr>
        <w:pStyle w:val="List"/>
      </w:pPr>
      <w:r>
        <w:t>(b)</w:t>
      </w:r>
      <w:r>
        <w:tab/>
        <w:t>The name of the Resource;</w:t>
      </w:r>
    </w:p>
    <w:p w14:paraId="7B3B32E0" w14:textId="77777777" w:rsidR="001F04FD" w:rsidRDefault="001F04FD" w:rsidP="001F04FD">
      <w:pPr>
        <w:pStyle w:val="List"/>
      </w:pPr>
      <w:r>
        <w:t>(c)</w:t>
      </w:r>
      <w:r>
        <w:tab/>
        <w:t>The desired MW output level for each five-minute interval for the Resource for all of the remaining five-minute intervals in the Operating Day for which an Energy Offer Curve has not been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3792E478" w14:textId="77777777" w:rsidTr="009E7633">
        <w:trPr>
          <w:trHeight w:val="206"/>
        </w:trPr>
        <w:tc>
          <w:tcPr>
            <w:tcW w:w="9350" w:type="dxa"/>
            <w:shd w:val="pct12" w:color="auto" w:fill="auto"/>
          </w:tcPr>
          <w:p w14:paraId="780CDC2B" w14:textId="17F2E4F2" w:rsidR="00FE6E3D" w:rsidRDefault="00FE6E3D" w:rsidP="009E7633">
            <w:pPr>
              <w:pStyle w:val="Instructions"/>
              <w:spacing w:before="120"/>
            </w:pPr>
            <w:r>
              <w:t xml:space="preserve">[NPRR1014:  Replace paragraph (c) above </w:t>
            </w:r>
            <w:r w:rsidR="00525E33">
              <w:t xml:space="preserve">with the following </w:t>
            </w:r>
            <w:r>
              <w:t>upon system implementation:]</w:t>
            </w:r>
          </w:p>
          <w:p w14:paraId="20675775" w14:textId="2A877848" w:rsidR="00FE6E3D" w:rsidRPr="00A4149C" w:rsidRDefault="00FE6E3D" w:rsidP="00FE6E3D">
            <w:pPr>
              <w:spacing w:after="240"/>
              <w:ind w:left="1440" w:hanging="720"/>
            </w:pPr>
            <w:r w:rsidRPr="00A552C3">
              <w:t>(c)</w:t>
            </w:r>
            <w:r w:rsidRPr="00A552C3">
              <w:tab/>
              <w:t>The desired MW output level for each five-minute interval for the Resource for all of the remaining five-minute intervals in the Operating Day for which an Energy Offer Curve or Energy Bid/Offer Curve has not been submitted.</w:t>
            </w:r>
          </w:p>
        </w:tc>
      </w:tr>
    </w:tbl>
    <w:p w14:paraId="291BA553" w14:textId="369E1B45" w:rsidR="001F04FD" w:rsidRDefault="001F04FD" w:rsidP="000B1D41">
      <w:pPr>
        <w:pStyle w:val="BodyTextNumbered"/>
        <w:spacing w:before="240"/>
      </w:pPr>
      <w:r>
        <w:t>(2)</w:t>
      </w:r>
      <w:r>
        <w:tab/>
        <w:t>ERCOT must reject an Output Schedule for a Resource if an Energy Offer Curve corresponding to any period in the Output Schedule exists;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5FF82549" w14:textId="77777777" w:rsidTr="009E7633">
        <w:trPr>
          <w:trHeight w:val="206"/>
        </w:trPr>
        <w:tc>
          <w:tcPr>
            <w:tcW w:w="9350" w:type="dxa"/>
            <w:shd w:val="pct12" w:color="auto" w:fill="auto"/>
          </w:tcPr>
          <w:p w14:paraId="2AB601F0" w14:textId="467EA2B3" w:rsidR="00FE6E3D" w:rsidRDefault="00FE6E3D" w:rsidP="009E7633">
            <w:pPr>
              <w:pStyle w:val="Instructions"/>
              <w:spacing w:before="120"/>
            </w:pPr>
            <w:r>
              <w:t xml:space="preserve">[NPRR1014:  Replace paragraph (2) above </w:t>
            </w:r>
            <w:r w:rsidR="00525E33">
              <w:t xml:space="preserve">with the following </w:t>
            </w:r>
            <w:r>
              <w:t>upon system implementation:]</w:t>
            </w:r>
          </w:p>
          <w:p w14:paraId="23752423" w14:textId="32B40305" w:rsidR="00FE6E3D" w:rsidRPr="00A4149C" w:rsidRDefault="00FE6E3D" w:rsidP="00FE6E3D">
            <w:pPr>
              <w:spacing w:after="240"/>
              <w:ind w:left="720" w:hanging="720"/>
            </w:pPr>
            <w:r w:rsidRPr="00A552C3">
              <w:lastRenderedPageBreak/>
              <w:t>(2)</w:t>
            </w:r>
            <w:r w:rsidRPr="00A552C3">
              <w:tab/>
              <w:t>ERCOT must reject an Output Schedule for a Resource if an Energy Offer Curve or Energy Bid/Offer Curve corresponding to any period in the Output Schedule exists</w:t>
            </w:r>
            <w:r>
              <w:t>;</w:t>
            </w:r>
          </w:p>
        </w:tc>
      </w:tr>
    </w:tbl>
    <w:p w14:paraId="24A23500" w14:textId="23D83EF9" w:rsidR="001F04FD" w:rsidRDefault="001F04FD" w:rsidP="000B1D41">
      <w:pPr>
        <w:pStyle w:val="BodyTextNumbered"/>
        <w:spacing w:before="240"/>
      </w:pPr>
      <w:r>
        <w:lastRenderedPageBreak/>
        <w:t>(3)</w:t>
      </w:r>
      <w:r>
        <w:tab/>
      </w:r>
      <w:bookmarkStart w:id="248" w:name="OLE_LINK1"/>
      <w:bookmarkStart w:id="249" w:name="OLE_LINK2"/>
      <w: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248"/>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D1DF869" w14:textId="77777777" w:rsidTr="005C5A9B">
        <w:trPr>
          <w:trHeight w:val="206"/>
        </w:trPr>
        <w:tc>
          <w:tcPr>
            <w:tcW w:w="9576" w:type="dxa"/>
            <w:shd w:val="pct12" w:color="auto" w:fill="auto"/>
          </w:tcPr>
          <w:p w14:paraId="39E4E47A" w14:textId="5D55E342" w:rsidR="00E8646B" w:rsidRPr="00A4149C" w:rsidRDefault="00E8646B" w:rsidP="00E8646B">
            <w:pPr>
              <w:pStyle w:val="Instructions"/>
              <w:spacing w:before="120"/>
            </w:pPr>
            <w:r>
              <w:t>[NPRR1000:  Delete paragraph (3) above upon system implementation and renumber accordingly</w:t>
            </w:r>
            <w:r w:rsidR="009F62BA">
              <w:t>.</w:t>
            </w:r>
            <w:r>
              <w:t>]</w:t>
            </w:r>
          </w:p>
        </w:tc>
      </w:tr>
    </w:tbl>
    <w:p w14:paraId="7DD7FE4A" w14:textId="32EE80C9" w:rsidR="001F04FD" w:rsidRDefault="001F04FD" w:rsidP="003A5AC3">
      <w:pPr>
        <w:pStyle w:val="BodyTextNumbered"/>
        <w:spacing w:before="240"/>
      </w:pPr>
      <w:r>
        <w:t>(4)</w:t>
      </w:r>
      <w: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C6CEC" w14:paraId="57DE1794" w14:textId="77777777" w:rsidTr="00FC6CEC">
        <w:trPr>
          <w:trHeight w:val="206"/>
        </w:trPr>
        <w:tc>
          <w:tcPr>
            <w:tcW w:w="9350" w:type="dxa"/>
            <w:shd w:val="pct12" w:color="auto" w:fill="auto"/>
          </w:tcPr>
          <w:p w14:paraId="2FA94CDA" w14:textId="039A3EDB" w:rsidR="00FC6CEC" w:rsidRDefault="00FC6CEC" w:rsidP="00FC6CEC">
            <w:pPr>
              <w:pStyle w:val="Instructions"/>
              <w:spacing w:before="120"/>
            </w:pPr>
            <w:r>
              <w:t>[NPRR1010</w:t>
            </w:r>
            <w:r w:rsidR="00525E33">
              <w:t xml:space="preserve"> and NPRR1014:  Replace applicable portions of paragraph (4) above with the following upon system implementation of the Real-Time Co-Optimization (RTC) project for NPRR1010; or upon system implementation for NPRR1014</w:t>
            </w:r>
            <w:r w:rsidR="00B06583">
              <w:t>:]</w:t>
            </w:r>
          </w:p>
          <w:p w14:paraId="68E29795" w14:textId="2263DAF9" w:rsidR="00FC6CEC" w:rsidRPr="00A4149C" w:rsidRDefault="00FC6CEC" w:rsidP="00FC6CEC">
            <w:pPr>
              <w:spacing w:before="240" w:after="240"/>
              <w:ind w:left="720" w:hanging="720"/>
            </w:pPr>
            <w:r w:rsidRPr="003161DC">
              <w:t>(4)</w:t>
            </w:r>
            <w:r w:rsidRPr="003161DC">
              <w:tab/>
              <w:t xml:space="preserve">The MW difference between Output Schedules for any two consecutive five-minute intervals must be less than ten times the </w:t>
            </w:r>
            <w:r>
              <w:t>Normal Ramp Rate up</w:t>
            </w:r>
            <w:r w:rsidRPr="003161DC">
              <w:t xml:space="preserve"> for schedules showing an increase from the prior period and the </w:t>
            </w:r>
            <w:r>
              <w:t>Normal Ramp Rate down</w:t>
            </w:r>
            <w:r w:rsidRPr="003161DC">
              <w:t xml:space="preserve"> for schedules showing a decrease from the prior period</w:t>
            </w:r>
            <w:r>
              <w:t>.</w:t>
            </w:r>
          </w:p>
        </w:tc>
      </w:tr>
    </w:tbl>
    <w:p w14:paraId="62434D0C" w14:textId="48735846" w:rsidR="001F04FD" w:rsidRDefault="001F04FD" w:rsidP="000B1D41">
      <w:pPr>
        <w:pStyle w:val="BodyTextNumbered"/>
        <w:spacing w:before="240"/>
      </w:pPr>
      <w:r>
        <w:t>(5)</w:t>
      </w:r>
      <w:r>
        <w:tab/>
        <w:t>The Output Schedule for each interval in the Operating Period must be less than or equal to the Resource’s High Sustained Limit (HSL) and must be greater than or equal to the Resource’s Low Sustained Limit (LSL) for the corresponding hour.</w:t>
      </w:r>
    </w:p>
    <w:p w14:paraId="4AEFC26A" w14:textId="77777777" w:rsidR="001F04FD" w:rsidRDefault="001F04FD" w:rsidP="001F04FD">
      <w:pPr>
        <w:pStyle w:val="H4"/>
        <w:spacing w:before="480"/>
        <w:ind w:left="1267" w:hanging="1267"/>
      </w:pPr>
      <w:bookmarkStart w:id="250" w:name="_Toc397504919"/>
      <w:bookmarkStart w:id="251" w:name="_Toc402357047"/>
      <w:bookmarkStart w:id="252" w:name="_Toc422486427"/>
      <w:bookmarkStart w:id="253" w:name="_Toc433093279"/>
      <w:bookmarkStart w:id="254" w:name="_Toc433093437"/>
      <w:bookmarkStart w:id="255" w:name="_Toc440874667"/>
      <w:bookmarkStart w:id="256" w:name="_Toc448142222"/>
      <w:bookmarkStart w:id="257" w:name="_Toc448142379"/>
      <w:bookmarkStart w:id="258" w:name="_Toc458770215"/>
      <w:bookmarkStart w:id="259" w:name="_Toc459294183"/>
      <w:bookmarkStart w:id="260" w:name="_Toc463262676"/>
      <w:bookmarkStart w:id="261" w:name="_Toc468286748"/>
      <w:bookmarkStart w:id="262" w:name="_Toc481502794"/>
      <w:bookmarkStart w:id="263" w:name="_Toc496079964"/>
      <w:bookmarkStart w:id="264" w:name="_Toc189044296"/>
      <w:r>
        <w:t>6.4.2.4</w:t>
      </w:r>
      <w:r>
        <w:tab/>
        <w:t>Output Schedule Validation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6B023C6A" w14:textId="77777777" w:rsidR="001F04FD" w:rsidRDefault="001F04FD" w:rsidP="001F04FD">
      <w:pPr>
        <w:pStyle w:val="BodyTextNumbered"/>
      </w:pPr>
      <w:r>
        <w:t>(1)</w:t>
      </w:r>
      <w:r>
        <w:tab/>
        <w:t>A validated Output Schedule is a schedule that ERCOT has determined meets the criteria listed in Section 6.4.2.3, Output Schedule Criteria.</w:t>
      </w:r>
    </w:p>
    <w:p w14:paraId="4FD49B87" w14:textId="77777777" w:rsidR="001F04FD" w:rsidRDefault="001F04FD" w:rsidP="001F04FD">
      <w:pPr>
        <w:pStyle w:val="BodyTextNumbered"/>
      </w:pPr>
      <w:r>
        <w:t>(2)</w:t>
      </w:r>
      <w:r>
        <w:tab/>
        <w:t>ERCOT shall notify the QSE submitting an Output Schedule by the Messaging System if the schedule was rejected or was considered invalid for any reason.  The QSE may then resubmit the schedule within the appropriate market timeline.</w:t>
      </w:r>
    </w:p>
    <w:p w14:paraId="2A5F6EF9" w14:textId="77777777" w:rsidR="001F04FD" w:rsidRDefault="001F04FD" w:rsidP="001F04FD">
      <w:pPr>
        <w:pStyle w:val="BodyTextNumbered"/>
      </w:pPr>
      <w:r>
        <w:t>(3)</w:t>
      </w:r>
      <w:r>
        <w:tab/>
        <w:t>ERCOT shall continuously validate Output Schedules and continuously display on the Market Information System (MIS) Certified Area information that allows any QSE to view its valid Output Schedule.</w:t>
      </w:r>
    </w:p>
    <w:p w14:paraId="2A3113A3" w14:textId="77777777" w:rsidR="001F04FD" w:rsidRDefault="001F04FD" w:rsidP="001F04FD">
      <w:pPr>
        <w:spacing w:after="120"/>
        <w:ind w:left="720" w:hanging="720"/>
      </w:pPr>
      <w:r>
        <w:lastRenderedPageBreak/>
        <w:t>(4)</w:t>
      </w:r>
      <w:r>
        <w:tab/>
        <w:t>If a valid Output Schedule does not exist for a Resource that has a status of On-Line DSR at the time of SCED execution, then ERCOT shall notify the QSE and set the Output Schedule equal to the telemetered output of the Resource until a revised Output Schedule is validated.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EB68504" w14:textId="77777777" w:rsidTr="005C5A9B">
        <w:trPr>
          <w:trHeight w:val="206"/>
        </w:trPr>
        <w:tc>
          <w:tcPr>
            <w:tcW w:w="9576" w:type="dxa"/>
            <w:shd w:val="pct12" w:color="auto" w:fill="auto"/>
          </w:tcPr>
          <w:p w14:paraId="0B90D7E1" w14:textId="782F0779" w:rsidR="00E8646B" w:rsidRPr="00A4149C" w:rsidRDefault="00E8646B" w:rsidP="009F62BA">
            <w:pPr>
              <w:pStyle w:val="Instructions"/>
              <w:spacing w:before="120"/>
            </w:pPr>
            <w:r>
              <w:t>[NPRR1000:  Delete paragraph (4) above upon system implementation and renumber accordingly</w:t>
            </w:r>
            <w:r w:rsidR="009F62BA">
              <w:t>.</w:t>
            </w:r>
            <w:r>
              <w:t>]</w:t>
            </w:r>
          </w:p>
        </w:tc>
      </w:tr>
    </w:tbl>
    <w:p w14:paraId="37CB0B23" w14:textId="35DCEACF" w:rsidR="001F04FD" w:rsidRDefault="001F04FD" w:rsidP="003A5AC3">
      <w:pPr>
        <w:spacing w:before="240" w:after="240"/>
        <w:ind w:left="720" w:hanging="720"/>
      </w:pPr>
      <w:r>
        <w:t>(5)</w:t>
      </w:r>
      <w:r>
        <w:tab/>
        <w:t>For Generation Resources with a Resource Status other than ONTEST, STARTUP, or SHUTDOWN, if a valid Energy Offer Curve or an Output Schedule does not exist for a non-DSR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7293" w14:paraId="623F23F1" w14:textId="77777777" w:rsidTr="001C7293">
        <w:trPr>
          <w:trHeight w:val="206"/>
        </w:trPr>
        <w:tc>
          <w:tcPr>
            <w:tcW w:w="9350" w:type="dxa"/>
            <w:shd w:val="pct12" w:color="auto" w:fill="auto"/>
          </w:tcPr>
          <w:p w14:paraId="25B2A1E0" w14:textId="77777777" w:rsidR="001C7293" w:rsidRDefault="001C7293" w:rsidP="001C7293">
            <w:pPr>
              <w:pStyle w:val="Instructions"/>
              <w:spacing w:before="120"/>
            </w:pPr>
            <w:bookmarkStart w:id="265" w:name="_Toc397504920"/>
            <w:bookmarkStart w:id="266" w:name="_Toc402357048"/>
            <w:bookmarkStart w:id="267" w:name="_Toc422486428"/>
            <w:bookmarkStart w:id="268" w:name="_Toc433093280"/>
            <w:bookmarkStart w:id="269" w:name="_Toc433093438"/>
            <w:bookmarkStart w:id="270" w:name="_Toc440874668"/>
            <w:bookmarkStart w:id="271" w:name="_Toc448142223"/>
            <w:bookmarkStart w:id="272" w:name="_Toc448142380"/>
            <w:bookmarkStart w:id="273" w:name="_Toc458770216"/>
            <w:bookmarkStart w:id="274" w:name="_Toc459294184"/>
            <w:bookmarkStart w:id="275" w:name="_Toc463262677"/>
            <w:bookmarkStart w:id="276" w:name="_Toc468286749"/>
            <w:bookmarkStart w:id="277" w:name="_Toc481502795"/>
            <w:bookmarkStart w:id="278" w:name="_Toc496079965"/>
            <w:r>
              <w:t>[NPRR1046:  Replace paragraph (5) above with the following upon system implementation of NPRR1000:]</w:t>
            </w:r>
          </w:p>
          <w:p w14:paraId="2176B65F" w14:textId="57098E4E" w:rsidR="001C7293" w:rsidRPr="00A4149C" w:rsidRDefault="001C7293" w:rsidP="001C7293">
            <w:pPr>
              <w:spacing w:before="240" w:after="240"/>
              <w:ind w:left="720" w:hanging="720"/>
            </w:pPr>
            <w:r w:rsidRPr="00C328E7">
              <w:t>(5)</w:t>
            </w:r>
            <w:r w:rsidRPr="00C328E7">
              <w:tab/>
              <w:t xml:space="preserve">For Generation Resources with a Resource Status other than ONTEST, STARTUP, or SHUTDOWN, if a valid Energy Offer Curve or an Output Schedule does not exist for a </w:t>
            </w:r>
            <w:r>
              <w:t>Resource</w:t>
            </w:r>
            <w:r w:rsidRPr="00C328E7">
              <w:t xml:space="preserve"> that has a status of On-Line at the end of the Adjustment Period, then ERCOT shall notify the QSE and set the Output Schedule equal to the then current telemetered output of the Resource until an Output Schedule or Energy Offer Curve is submitted in </w:t>
            </w:r>
            <w:r>
              <w:t>a subsequent Adjustment Period.</w:t>
            </w:r>
          </w:p>
        </w:tc>
      </w:tr>
    </w:tbl>
    <w:p w14:paraId="03771D07" w14:textId="77777777" w:rsidR="001F04FD" w:rsidRDefault="001F04FD" w:rsidP="001F04FD">
      <w:pPr>
        <w:pStyle w:val="H4"/>
        <w:spacing w:before="480"/>
        <w:ind w:left="1267" w:hanging="1267"/>
      </w:pPr>
      <w:bookmarkStart w:id="279" w:name="_Toc189044297"/>
      <w:r>
        <w:t>6.4.2.5</w:t>
      </w:r>
      <w:r>
        <w:tab/>
        <w:t>DSR Load</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0BA14AD2" w14:textId="77777777" w:rsidR="001F04FD" w:rsidRDefault="001F04FD" w:rsidP="001F04FD">
      <w:pPr>
        <w:pStyle w:val="BodyTextNumbered"/>
      </w:pPr>
      <w:r>
        <w:t>(1)</w:t>
      </w:r>
      <w:r>
        <w:tab/>
        <w:t>A QSE may designate a Resource in the Current Operating Plan (COP) and through the telemetered Resource Status as a participant in the QSE’s control of DSR Load under the requirements in Section 16.2.3.1, Process to Gain Approval to Follow DSR Load.</w:t>
      </w:r>
    </w:p>
    <w:p w14:paraId="45C01362" w14:textId="77777777" w:rsidR="001F04FD" w:rsidRDefault="001F04FD" w:rsidP="001F04FD">
      <w:pPr>
        <w:pStyle w:val="BodyTextNumbered"/>
      </w:pPr>
      <w:r>
        <w:t>(2)</w:t>
      </w:r>
      <w:r>
        <w:tab/>
        <w:t>Each QSE may not have more than one DSR Load.</w:t>
      </w:r>
    </w:p>
    <w:p w14:paraId="74B4802C" w14:textId="77777777" w:rsidR="001F04FD" w:rsidRDefault="001F04FD" w:rsidP="001F04FD">
      <w:pPr>
        <w:pStyle w:val="BodyTextNumbered"/>
      </w:pPr>
      <w:r>
        <w:t>(3)</w:t>
      </w:r>
      <w:r>
        <w:tab/>
        <w:t>The following principles for DSR Load apply:</w:t>
      </w:r>
    </w:p>
    <w:p w14:paraId="4BA61590" w14:textId="77777777" w:rsidR="001F04FD" w:rsidRDefault="001F04FD" w:rsidP="001F04FD">
      <w:pPr>
        <w:pStyle w:val="List"/>
        <w:tabs>
          <w:tab w:val="left" w:pos="1440"/>
        </w:tabs>
      </w:pPr>
      <w:r>
        <w:t>(a)</w:t>
      </w:r>
      <w:r>
        <w:tab/>
        <w:t>All power signals for DSR Load must be sent to ERCOT in Real-Time by telemetry; and</w:t>
      </w:r>
    </w:p>
    <w:p w14:paraId="3D961FA3" w14:textId="77777777" w:rsidR="001F04FD" w:rsidRDefault="001F04FD" w:rsidP="001F04FD">
      <w:pPr>
        <w:pStyle w:val="List"/>
        <w:tabs>
          <w:tab w:val="left" w:pos="1440"/>
        </w:tabs>
      </w:pPr>
      <w:r>
        <w:t>(b)</w:t>
      </w:r>
      <w:r>
        <w:tab/>
        <w:t xml:space="preserve">If a DSR Load signal is lost for any reason for a period greater than one 15-minute Settlement Interval, then ERCOT shall notify the QSE and suspend validation of DSR Output Schedules.  If the DSR Load signal fails for more than ten consecutive hours, ERCOT shall suspend the QSE’s ability to use DSRs until the signal is reliably restored (as determined by ERCOT).  If the signal failure is </w:t>
      </w:r>
      <w:r>
        <w:lastRenderedPageBreak/>
        <w:t xml:space="preserve">identified to be an ERCOT communication problem, ERCOT may not suspend the QSE’s ability to use DSRs.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49CA28A" w14:textId="77777777" w:rsidTr="005C5A9B">
        <w:trPr>
          <w:trHeight w:val="206"/>
        </w:trPr>
        <w:tc>
          <w:tcPr>
            <w:tcW w:w="9576" w:type="dxa"/>
            <w:shd w:val="pct12" w:color="auto" w:fill="auto"/>
          </w:tcPr>
          <w:p w14:paraId="311DF068" w14:textId="240BD50D" w:rsidR="00E8646B" w:rsidRPr="00A4149C" w:rsidRDefault="00E8646B" w:rsidP="00E8646B">
            <w:pPr>
              <w:pStyle w:val="Instructions"/>
              <w:spacing w:before="120"/>
            </w:pPr>
            <w:bookmarkStart w:id="280" w:name="_Toc397504921"/>
            <w:bookmarkStart w:id="281" w:name="_Toc402357049"/>
            <w:bookmarkStart w:id="282" w:name="_Toc422486429"/>
            <w:bookmarkStart w:id="283" w:name="_Toc433093281"/>
            <w:bookmarkStart w:id="284" w:name="_Toc433093439"/>
            <w:bookmarkStart w:id="285" w:name="_Toc440874669"/>
            <w:bookmarkStart w:id="286" w:name="_Toc448142224"/>
            <w:bookmarkStart w:id="287" w:name="_Toc448142381"/>
            <w:bookmarkStart w:id="288" w:name="_Toc458770217"/>
            <w:bookmarkStart w:id="289" w:name="_Toc459294185"/>
            <w:bookmarkStart w:id="290" w:name="_Toc463262678"/>
            <w:bookmarkStart w:id="291" w:name="_Toc468286750"/>
            <w:bookmarkStart w:id="292" w:name="_Toc481502796"/>
            <w:bookmarkStart w:id="293" w:name="_Toc496079966"/>
            <w:r>
              <w:t>[NPRR1000:  Delete Section 6.4.2.5 above upon system implementation.]</w:t>
            </w:r>
          </w:p>
        </w:tc>
      </w:tr>
    </w:tbl>
    <w:p w14:paraId="43488063" w14:textId="77777777" w:rsidR="001F04FD" w:rsidRPr="006A6281" w:rsidRDefault="001F04FD" w:rsidP="001F04FD">
      <w:pPr>
        <w:pStyle w:val="H3"/>
        <w:spacing w:before="480"/>
      </w:pPr>
      <w:bookmarkStart w:id="294" w:name="_Toc189044298"/>
      <w:r w:rsidRPr="006A6281">
        <w:t>6.4.3</w:t>
      </w:r>
      <w:r w:rsidRPr="006A6281">
        <w:tab/>
        <w:t>Real-Time Market (RTM) Energy Bids and Offers</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4D478754" w14:textId="77777777" w:rsidTr="00F5593C">
        <w:trPr>
          <w:trHeight w:val="206"/>
        </w:trPr>
        <w:tc>
          <w:tcPr>
            <w:tcW w:w="9350" w:type="dxa"/>
            <w:shd w:val="pct12" w:color="auto" w:fill="auto"/>
          </w:tcPr>
          <w:p w14:paraId="3DE5AA58" w14:textId="52EDFEFD" w:rsidR="00D3410D" w:rsidRDefault="00D3410D" w:rsidP="00F5593C">
            <w:pPr>
              <w:pStyle w:val="Instructions"/>
              <w:spacing w:before="120"/>
            </w:pPr>
            <w:bookmarkStart w:id="295" w:name="_Toc397504922"/>
            <w:bookmarkStart w:id="296" w:name="_Toc402357050"/>
            <w:bookmarkStart w:id="297" w:name="_Toc422486430"/>
            <w:bookmarkStart w:id="298" w:name="_Toc433093282"/>
            <w:bookmarkStart w:id="299" w:name="_Toc433093440"/>
            <w:bookmarkStart w:id="300" w:name="_Toc440874670"/>
            <w:bookmarkStart w:id="301" w:name="_Toc448142225"/>
            <w:bookmarkStart w:id="302" w:name="_Toc448142382"/>
            <w:bookmarkStart w:id="303" w:name="_Toc458770218"/>
            <w:bookmarkStart w:id="304" w:name="_Toc459294186"/>
            <w:bookmarkStart w:id="305" w:name="_Toc463262679"/>
            <w:bookmarkStart w:id="306" w:name="_Toc468286751"/>
            <w:bookmarkStart w:id="307" w:name="_Toc481502797"/>
            <w:bookmarkStart w:id="308" w:name="_Toc496079967"/>
            <w:bookmarkStart w:id="309" w:name="_Hlk120515232"/>
            <w:bookmarkStart w:id="310" w:name="_Hlk174601017"/>
            <w:r>
              <w:t>[NPRR1188:  Replace the title for Section 6.4.3 above with the following upon system implementation:]</w:t>
            </w:r>
          </w:p>
          <w:p w14:paraId="2EC4C1B2" w14:textId="2909E83F" w:rsidR="00D3410D" w:rsidRPr="00A4149C" w:rsidRDefault="00D3410D" w:rsidP="00D3410D">
            <w:pPr>
              <w:pStyle w:val="H3"/>
              <w:spacing w:before="480"/>
            </w:pPr>
            <w:bookmarkStart w:id="311" w:name="_Toc189044299"/>
            <w:r w:rsidRPr="006A6281">
              <w:t>6.4.3</w:t>
            </w:r>
            <w:r w:rsidRPr="006A6281">
              <w:tab/>
            </w:r>
            <w:r>
              <w:t>[RESERVED]</w:t>
            </w:r>
            <w:bookmarkEnd w:id="311"/>
          </w:p>
        </w:tc>
      </w:tr>
    </w:tbl>
    <w:p w14:paraId="4F723D71" w14:textId="77777777" w:rsidR="001F04FD" w:rsidRPr="006A6281" w:rsidRDefault="001F04FD" w:rsidP="001F04FD">
      <w:pPr>
        <w:pStyle w:val="H4"/>
        <w:spacing w:before="480"/>
      </w:pPr>
      <w:bookmarkStart w:id="312" w:name="_Toc189044300"/>
      <w:r w:rsidRPr="006A6281">
        <w:t>6.4.3.1</w:t>
      </w:r>
      <w:r w:rsidRPr="006A6281">
        <w:tab/>
        <w:t>RTM Energy Bids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12"/>
    </w:p>
    <w:p w14:paraId="1A8873B8" w14:textId="19767F6F" w:rsidR="001F04FD" w:rsidRPr="006A6281" w:rsidRDefault="001F04FD" w:rsidP="00F468C2">
      <w:pPr>
        <w:pStyle w:val="BodyTextNumbered"/>
      </w:pPr>
      <w:r w:rsidRPr="006A6281">
        <w:t>(</w:t>
      </w:r>
      <w:r w:rsidR="0053020C">
        <w:t>1</w:t>
      </w:r>
      <w:r w:rsidRPr="006A6281">
        <w:t>)</w:t>
      </w:r>
      <w:r w:rsidRPr="006A6281">
        <w:tab/>
        <w:t xml:space="preserve">An RTM Energy Bid represents the willingness to buy energy at or below a certain price, not to exceed the System-Wide Offer Cap (SWCAP), for the Demand response capability of a Controllable Load Resource in the RTM.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78A55BA4" w14:textId="77777777" w:rsidTr="0058150D">
        <w:trPr>
          <w:trHeight w:val="206"/>
        </w:trPr>
        <w:tc>
          <w:tcPr>
            <w:tcW w:w="9350" w:type="dxa"/>
            <w:shd w:val="pct12" w:color="auto" w:fill="auto"/>
          </w:tcPr>
          <w:p w14:paraId="3B26935B" w14:textId="3160604E" w:rsidR="002A245D" w:rsidRDefault="002A245D" w:rsidP="0058150D">
            <w:pPr>
              <w:pStyle w:val="Instructions"/>
              <w:spacing w:before="120"/>
            </w:pPr>
            <w:r>
              <w:t>[NPRR1010:  Replace paragraph (</w:t>
            </w:r>
            <w:r w:rsidR="0053020C">
              <w:t>1</w:t>
            </w:r>
            <w:r>
              <w:t xml:space="preserve">) above </w:t>
            </w:r>
            <w:r w:rsidR="00525E33">
              <w:t xml:space="preserve">with the following </w:t>
            </w:r>
            <w:r>
              <w:t>upon system implementation of the Real-Time Co-Optimization (RTC) project:]</w:t>
            </w:r>
          </w:p>
          <w:p w14:paraId="51EFD403" w14:textId="7A96FFE6" w:rsidR="002A245D" w:rsidRPr="00A4149C" w:rsidRDefault="002A245D" w:rsidP="002A245D">
            <w:pPr>
              <w:spacing w:after="240"/>
              <w:ind w:left="720" w:hanging="720"/>
            </w:pPr>
            <w:r w:rsidRPr="003161DC">
              <w:t>(</w:t>
            </w:r>
            <w:r w:rsidR="0053020C">
              <w:t>1</w:t>
            </w:r>
            <w:r w:rsidRPr="003161DC">
              <w:t>)</w:t>
            </w:r>
            <w:r w:rsidRPr="003161DC">
              <w:tab/>
              <w:t xml:space="preserve">An RTM Energy Bid represents the willingness to buy energy at or below a certain price, not to exceed the </w:t>
            </w:r>
            <w:r>
              <w:t>effective Value of Lost Load (VOLL)</w:t>
            </w:r>
            <w:r w:rsidRPr="003161DC">
              <w:t>, for the Demand response capability of a Controllable Load Resource in the RTM.</w:t>
            </w:r>
          </w:p>
        </w:tc>
      </w:tr>
    </w:tbl>
    <w:p w14:paraId="782B79BA" w14:textId="09C4946E" w:rsidR="001F04FD" w:rsidRPr="006A6281" w:rsidRDefault="001F04FD" w:rsidP="00F468C2">
      <w:pPr>
        <w:pStyle w:val="List"/>
        <w:spacing w:before="240"/>
        <w:ind w:left="720"/>
      </w:pPr>
      <w:r w:rsidRPr="006A6281">
        <w:t>(</w:t>
      </w:r>
      <w:r w:rsidR="0053020C">
        <w:t>2</w:t>
      </w:r>
      <w:r w:rsidRPr="006A6281">
        <w:t>)</w:t>
      </w:r>
      <w:r w:rsidRPr="006A6281">
        <w:tab/>
      </w:r>
      <w:r w:rsidR="0053020C" w:rsidRPr="00221D04">
        <w:t>RTM Energy Bids remain active for the offered period until automatically inactivated at the offer expiration time specified in the RTM Energy Bid.</w:t>
      </w:r>
    </w:p>
    <w:p w14:paraId="03B0282F" w14:textId="04B3D379" w:rsidR="00B4018E" w:rsidRDefault="0053020C" w:rsidP="00F468C2">
      <w:pPr>
        <w:spacing w:after="240"/>
        <w:ind w:left="720" w:hanging="720"/>
      </w:pPr>
      <w:r w:rsidRPr="00221D04">
        <w:t>(</w:t>
      </w:r>
      <w:r>
        <w:t>3</w:t>
      </w:r>
      <w:r w:rsidRPr="00221D04">
        <w:t>)</w:t>
      </w:r>
      <w:r w:rsidRPr="00221D04">
        <w:tab/>
        <w:t>For any Operating Hour, the QSE may submit or change an RTM Energy Bid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EB45191" w14:textId="77777777" w:rsidTr="0058150D">
        <w:trPr>
          <w:trHeight w:val="206"/>
        </w:trPr>
        <w:tc>
          <w:tcPr>
            <w:tcW w:w="9350" w:type="dxa"/>
            <w:shd w:val="pct12" w:color="auto" w:fill="auto"/>
          </w:tcPr>
          <w:p w14:paraId="256741BB" w14:textId="5D4C5A62" w:rsidR="002A245D" w:rsidRDefault="002A245D" w:rsidP="0058150D">
            <w:pPr>
              <w:pStyle w:val="Instructions"/>
              <w:spacing w:before="120"/>
            </w:pPr>
            <w:r>
              <w:t>[NPRR1010:  Replace paragraph (</w:t>
            </w:r>
            <w:r w:rsidR="0053020C">
              <w:t>3</w:t>
            </w:r>
            <w:r>
              <w:t xml:space="preserve">) above </w:t>
            </w:r>
            <w:r w:rsidR="00525E33">
              <w:t xml:space="preserve">with the following </w:t>
            </w:r>
            <w:r>
              <w:t>upon system implementation of the Real-Time Co-Optimization (RTC) project:]</w:t>
            </w:r>
          </w:p>
          <w:p w14:paraId="055165A0" w14:textId="61187CFB" w:rsidR="002A245D" w:rsidRPr="00A4149C" w:rsidRDefault="002A245D" w:rsidP="002A245D">
            <w:pPr>
              <w:spacing w:after="240"/>
              <w:ind w:left="720" w:hanging="720"/>
            </w:pPr>
            <w:r w:rsidRPr="003161DC">
              <w:lastRenderedPageBreak/>
              <w:t>(</w:t>
            </w:r>
            <w:r w:rsidR="0053020C">
              <w:t>3</w:t>
            </w:r>
            <w:r w:rsidRPr="003161DC">
              <w:t>)</w:t>
            </w:r>
            <w:r w:rsidRPr="003161DC">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r>
              <w:t>effective VOLL</w:t>
            </w:r>
            <w:r w:rsidRPr="003161DC">
              <w:t>.</w:t>
            </w:r>
          </w:p>
        </w:tc>
      </w:tr>
    </w:tbl>
    <w:p w14:paraId="64ABECA7" w14:textId="0AF152E1" w:rsidR="0053020C" w:rsidRDefault="0053020C" w:rsidP="000B1D41">
      <w:pPr>
        <w:pStyle w:val="BodyTextNumbered"/>
        <w:spacing w:before="240"/>
      </w:pPr>
      <w:r w:rsidRPr="00221D04">
        <w:lastRenderedPageBreak/>
        <w:t>(</w:t>
      </w:r>
      <w:r>
        <w:t>4</w:t>
      </w:r>
      <w:r w:rsidRPr="00221D04">
        <w:t>)</w:t>
      </w:r>
      <w:r w:rsidRPr="00221D04">
        <w:tab/>
        <w:t>If the QSE has not submitted a valid RTM Energy Bid for an Operating Hour, ERCOT shall create a proxy RTM Energy Bid for the entire Demand response capability of that Load Resource with a not-to-exceed price at the SWCAP</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020C" w14:paraId="6A67A2CD" w14:textId="77777777" w:rsidTr="00BE46E4">
        <w:trPr>
          <w:trHeight w:val="206"/>
        </w:trPr>
        <w:tc>
          <w:tcPr>
            <w:tcW w:w="9350" w:type="dxa"/>
            <w:shd w:val="pct12" w:color="auto" w:fill="auto"/>
          </w:tcPr>
          <w:p w14:paraId="1B5A186C" w14:textId="5F32EAE0" w:rsidR="0053020C" w:rsidRPr="00A4149C" w:rsidRDefault="0053020C" w:rsidP="00F468C2">
            <w:pPr>
              <w:pStyle w:val="Instructions"/>
              <w:spacing w:before="120"/>
            </w:pPr>
            <w:r>
              <w:t>[NPRR1010:  Delete paragraph (4) above upon system implementation of the Real-Time Co-Optimization (RTC) project and renumber accordingly</w:t>
            </w:r>
            <w:r w:rsidR="00810D23">
              <w:t>.</w:t>
            </w:r>
            <w:r>
              <w:t>]</w:t>
            </w:r>
          </w:p>
        </w:tc>
      </w:tr>
    </w:tbl>
    <w:p w14:paraId="4061469C" w14:textId="39F2A66F" w:rsidR="001F04FD" w:rsidRDefault="001F04FD" w:rsidP="000B1D41">
      <w:pPr>
        <w:pStyle w:val="BodyTextNumbered"/>
        <w:spacing w:before="240"/>
      </w:pPr>
      <w:r w:rsidRPr="006A6281">
        <w:t>(5)</w:t>
      </w:r>
      <w:r w:rsidRPr="006A6281">
        <w:tab/>
        <w:t xml:space="preserve">The QSE may remove the Controllable Load Resource from SCED Dispatch by changing the Load Resource’s telemetered Resource Status or ramp rates appropriately.  The QSE will update the </w:t>
      </w:r>
      <w:r>
        <w:t>COP</w:t>
      </w:r>
      <w:r w:rsidRPr="006A6281">
        <w:t xml:space="preserve">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415DCD0C" w14:textId="77777777" w:rsidTr="00F5593C">
        <w:trPr>
          <w:trHeight w:val="206"/>
        </w:trPr>
        <w:tc>
          <w:tcPr>
            <w:tcW w:w="9350" w:type="dxa"/>
            <w:shd w:val="pct12" w:color="auto" w:fill="auto"/>
          </w:tcPr>
          <w:p w14:paraId="74281941" w14:textId="344933E6" w:rsidR="00D3410D" w:rsidRPr="00A4149C" w:rsidRDefault="00D3410D" w:rsidP="00F5593C">
            <w:pPr>
              <w:pStyle w:val="Instructions"/>
              <w:spacing w:before="120"/>
            </w:pPr>
            <w:bookmarkStart w:id="313" w:name="_Toc397504923"/>
            <w:bookmarkStart w:id="314" w:name="_Toc402357051"/>
            <w:bookmarkStart w:id="315" w:name="_Toc422486431"/>
            <w:bookmarkStart w:id="316" w:name="_Toc433093283"/>
            <w:bookmarkStart w:id="317" w:name="_Toc433093441"/>
            <w:bookmarkStart w:id="318" w:name="_Toc440874671"/>
            <w:bookmarkStart w:id="319" w:name="_Toc448142226"/>
            <w:bookmarkStart w:id="320" w:name="_Toc448142383"/>
            <w:bookmarkStart w:id="321" w:name="_Toc458770219"/>
            <w:bookmarkStart w:id="322" w:name="_Toc459294187"/>
            <w:bookmarkStart w:id="323" w:name="_Toc463262680"/>
            <w:bookmarkStart w:id="324" w:name="_Toc468286752"/>
            <w:bookmarkStart w:id="325" w:name="_Toc481502798"/>
            <w:bookmarkStart w:id="326" w:name="_Toc496079968"/>
            <w:bookmarkEnd w:id="309"/>
            <w:r>
              <w:t>[NPRR1188:  Delete Section 6.4.3.1 above upon system implementation.]</w:t>
            </w:r>
          </w:p>
        </w:tc>
      </w:tr>
    </w:tbl>
    <w:p w14:paraId="6EDEA73C" w14:textId="77777777" w:rsidR="001F04FD" w:rsidRPr="006A6281" w:rsidRDefault="001F04FD" w:rsidP="004116AE">
      <w:pPr>
        <w:pStyle w:val="H5"/>
        <w:spacing w:before="480"/>
        <w:ind w:left="720" w:hanging="720"/>
      </w:pPr>
      <w:bookmarkStart w:id="327" w:name="_Toc189044301"/>
      <w:r w:rsidRPr="006A6281">
        <w:t>6.4.3.1.1</w:t>
      </w:r>
      <w:r w:rsidRPr="006A6281">
        <w:tab/>
        <w:t>RTM Energy Bid Criteria</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6EC29D75" w14:textId="77777777" w:rsidR="001F04FD" w:rsidRPr="006A6281" w:rsidRDefault="001F04FD" w:rsidP="001F04FD">
      <w:pPr>
        <w:pStyle w:val="BodyTextNumbered"/>
      </w:pPr>
      <w:r w:rsidRPr="006A6281">
        <w:t>(1)</w:t>
      </w:r>
      <w:r w:rsidRPr="006A6281">
        <w:tab/>
        <w:t>Each RTM Energy Bid submitted by a QSE must include the following information:</w:t>
      </w:r>
    </w:p>
    <w:p w14:paraId="3B1F8AAA" w14:textId="77777777" w:rsidR="001F04FD" w:rsidRPr="006A6281" w:rsidRDefault="001F04FD" w:rsidP="001F04FD">
      <w:pPr>
        <w:pStyle w:val="List"/>
      </w:pPr>
      <w:r w:rsidRPr="006A6281">
        <w:t>(a)</w:t>
      </w:r>
      <w:r w:rsidRPr="006A6281">
        <w:tab/>
        <w:t>The QSE;</w:t>
      </w:r>
    </w:p>
    <w:p w14:paraId="44176AA8" w14:textId="77777777" w:rsidR="001F04FD" w:rsidRPr="006A6281" w:rsidRDefault="001F04FD" w:rsidP="001F04FD">
      <w:pPr>
        <w:pStyle w:val="List"/>
      </w:pPr>
      <w:r w:rsidRPr="006A6281">
        <w:t>(b)</w:t>
      </w:r>
      <w:r w:rsidRPr="006A6281">
        <w:tab/>
        <w:t>The relevant Load Resource;</w:t>
      </w:r>
    </w:p>
    <w:p w14:paraId="51639322" w14:textId="77777777" w:rsidR="001F04FD" w:rsidRPr="006A6281" w:rsidRDefault="001F04FD" w:rsidP="001F04FD">
      <w:pPr>
        <w:pStyle w:val="List"/>
      </w:pPr>
      <w:r w:rsidRPr="006A6281">
        <w:t>(c)</w:t>
      </w:r>
      <w:r w:rsidRPr="006A6281">
        <w:tab/>
        <w:t xml:space="preserve">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w:t>
      </w:r>
      <w:r>
        <w:t>Maximum Power Consumption (</w:t>
      </w:r>
      <w:r w:rsidRPr="006A6281">
        <w:t>MPC</w:t>
      </w:r>
      <w:r>
        <w:t>)</w:t>
      </w:r>
      <w:r w:rsidRPr="006A6281">
        <w:t xml:space="preserve"> and </w:t>
      </w:r>
      <w:r>
        <w:t>Low Power Consumption (</w:t>
      </w:r>
      <w:r w:rsidRPr="006A6281">
        <w:t>LPC</w:t>
      </w:r>
      <w:r>
        <w:t>)</w:t>
      </w:r>
      <w:r w:rsidRPr="006A6281">
        <w:t>;</w:t>
      </w:r>
    </w:p>
    <w:p w14:paraId="741072F7" w14:textId="77777777" w:rsidR="001F04FD" w:rsidRPr="006A6281" w:rsidRDefault="001F04FD" w:rsidP="001F04FD">
      <w:pPr>
        <w:pStyle w:val="List"/>
      </w:pPr>
      <w:r w:rsidRPr="006A6281">
        <w:t>(d)</w:t>
      </w:r>
      <w:r w:rsidRPr="006A6281">
        <w:tab/>
        <w:t>The first and last hour of the bid; and</w:t>
      </w:r>
    </w:p>
    <w:p w14:paraId="361751FC" w14:textId="77777777" w:rsidR="001F04FD" w:rsidRPr="006A6281" w:rsidRDefault="001F04FD" w:rsidP="001F04FD">
      <w:pPr>
        <w:pStyle w:val="List"/>
      </w:pPr>
      <w:r w:rsidRPr="006A6281">
        <w:t>(e)</w:t>
      </w:r>
      <w:r w:rsidRPr="006A6281">
        <w:tab/>
        <w:t>The expiration time and date of the bid.</w:t>
      </w:r>
    </w:p>
    <w:p w14:paraId="37B10BE3" w14:textId="77777777" w:rsidR="001F04FD" w:rsidRPr="006A6281" w:rsidRDefault="001F04FD" w:rsidP="001F04FD">
      <w:pPr>
        <w:pStyle w:val="BodyTextNumbered"/>
      </w:pPr>
      <w:r w:rsidRPr="006A6281">
        <w:t>(2)</w:t>
      </w:r>
      <w:r w:rsidRPr="006A6281">
        <w:tab/>
        <w:t>The software systems must be able to provide ERCOT with the ability to enter Resource-specific RTM Energy Bid floors and caps.</w:t>
      </w:r>
    </w:p>
    <w:p w14:paraId="1E21C70D" w14:textId="77777777" w:rsidR="001F04FD" w:rsidRPr="006A6281" w:rsidRDefault="001F04FD" w:rsidP="001F04FD">
      <w:pPr>
        <w:pStyle w:val="BodyTextNumbered"/>
      </w:pPr>
      <w:r w:rsidRPr="006A6281">
        <w:t>(3)</w:t>
      </w:r>
      <w:r w:rsidRPr="006A6281">
        <w:tab/>
        <w:t>The minimum amount per Load Resource for each RTM Energy Bid that may be submitted is one-tenth (0.1) MW.</w:t>
      </w:r>
    </w:p>
    <w:p w14:paraId="10DE116C" w14:textId="77777777" w:rsidR="001F04FD" w:rsidRPr="006A6281" w:rsidRDefault="001F04FD" w:rsidP="001F04FD">
      <w:pPr>
        <w:pStyle w:val="BodyTextNumbered"/>
      </w:pPr>
      <w:r w:rsidRPr="006A6281">
        <w:lastRenderedPageBreak/>
        <w:t>(4)</w:t>
      </w:r>
      <w:r w:rsidRPr="006A6281">
        <w:tab/>
        <w:t>If a Controllable Load Resource is carrying Ancillary Service Resource Responsibility, its RTM Energy Bid must be priced no higher than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5044529" w14:textId="77777777" w:rsidTr="0058150D">
        <w:trPr>
          <w:trHeight w:val="206"/>
        </w:trPr>
        <w:tc>
          <w:tcPr>
            <w:tcW w:w="9350" w:type="dxa"/>
            <w:shd w:val="pct12" w:color="auto" w:fill="auto"/>
          </w:tcPr>
          <w:p w14:paraId="6994892B" w14:textId="147CAB93" w:rsidR="002A245D" w:rsidRDefault="002A245D" w:rsidP="0058150D">
            <w:pPr>
              <w:pStyle w:val="Instructions"/>
              <w:spacing w:before="120"/>
            </w:pPr>
            <w:bookmarkStart w:id="328" w:name="_Toc397504924"/>
            <w:bookmarkStart w:id="329" w:name="_Toc402357052"/>
            <w:bookmarkStart w:id="330" w:name="_Toc422486432"/>
            <w:bookmarkStart w:id="331" w:name="_Toc433093284"/>
            <w:bookmarkStart w:id="332" w:name="_Toc433093442"/>
            <w:bookmarkStart w:id="333" w:name="_Toc440874672"/>
            <w:bookmarkStart w:id="334" w:name="_Toc448142227"/>
            <w:bookmarkStart w:id="335" w:name="_Toc448142384"/>
            <w:bookmarkStart w:id="336" w:name="_Toc458770220"/>
            <w:bookmarkStart w:id="337" w:name="_Toc459294188"/>
            <w:bookmarkStart w:id="338" w:name="_Toc463262681"/>
            <w:bookmarkStart w:id="339" w:name="_Toc468286753"/>
            <w:bookmarkStart w:id="340" w:name="_Toc481502799"/>
            <w:bookmarkStart w:id="341" w:name="_Toc496079969"/>
            <w:r>
              <w:t xml:space="preserve">[NPRR1010:  Replace paragraph (4) above </w:t>
            </w:r>
            <w:r w:rsidR="00525E33">
              <w:t xml:space="preserve">with the following </w:t>
            </w:r>
            <w:r>
              <w:t>upon system implementation of the Real-Time Co-Optimization (RTC) project:]</w:t>
            </w:r>
          </w:p>
          <w:p w14:paraId="025F170F" w14:textId="4331CD25" w:rsidR="002A245D" w:rsidRPr="00A4149C" w:rsidRDefault="002A245D" w:rsidP="002A245D">
            <w:pPr>
              <w:spacing w:after="240"/>
              <w:ind w:left="720" w:hanging="720"/>
            </w:pPr>
            <w:r w:rsidRPr="003161DC">
              <w:t>(4)</w:t>
            </w:r>
            <w:r w:rsidRPr="003161DC">
              <w:tab/>
              <w:t xml:space="preserve">If a Controllable Load Resource is </w:t>
            </w:r>
            <w:r>
              <w:t>offering to provide an</w:t>
            </w:r>
            <w:r w:rsidRPr="003161DC">
              <w:t xml:space="preserve"> Ancillary Service, its RTM Energy Bid must be priced no higher than the </w:t>
            </w:r>
            <w:r>
              <w:t>effective VOLL</w:t>
            </w:r>
            <w:r w:rsidRPr="003161DC">
              <w:t>.</w:t>
            </w:r>
          </w:p>
        </w:tc>
      </w:tr>
    </w:tbl>
    <w:p w14:paraId="53577717" w14:textId="77777777" w:rsidR="00D3410D" w:rsidRDefault="00D3410D"/>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50B4235A" w14:textId="77777777" w:rsidTr="00D3410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E1E6FCE" w14:textId="5A4E3950" w:rsidR="00D3410D" w:rsidRPr="00A4149C" w:rsidRDefault="00D3410D" w:rsidP="00F5593C">
            <w:pPr>
              <w:pStyle w:val="Instructions"/>
              <w:spacing w:before="120"/>
            </w:pPr>
            <w:r>
              <w:t>[NPRR1188:  Delete Section 6.4.3.1.1 above upon system implementation.]</w:t>
            </w:r>
          </w:p>
        </w:tc>
      </w:tr>
    </w:tbl>
    <w:p w14:paraId="324F0B97" w14:textId="7EDC5929" w:rsidR="001F04FD" w:rsidRPr="006A6281" w:rsidRDefault="001F04FD" w:rsidP="00F468C2">
      <w:pPr>
        <w:pStyle w:val="H5"/>
        <w:tabs>
          <w:tab w:val="left" w:pos="5366"/>
        </w:tabs>
        <w:spacing w:before="480"/>
        <w:ind w:left="1627" w:hanging="1627"/>
      </w:pPr>
      <w:bookmarkStart w:id="342" w:name="_Toc189044302"/>
      <w:r w:rsidRPr="006A6281">
        <w:t>6.4.3.1.2</w:t>
      </w:r>
      <w:r w:rsidRPr="006A6281">
        <w:tab/>
        <w:t>RTM Energy Bid Validation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00C476E8">
        <w:tab/>
      </w:r>
    </w:p>
    <w:p w14:paraId="1D7C71E8" w14:textId="77777777" w:rsidR="001F04FD" w:rsidRPr="006A6281" w:rsidRDefault="001F04FD" w:rsidP="001F04FD">
      <w:pPr>
        <w:pStyle w:val="BodyTextNumbered"/>
      </w:pPr>
      <w:r w:rsidRPr="006A6281">
        <w:t>(1)</w:t>
      </w:r>
      <w:r w:rsidRPr="006A6281">
        <w:tab/>
        <w:t>A valid RTM Energy Bid is a bid that ERCOT has determined meets the criteria listed in Section 6.4.3.1.1, RTM Energy Bid Criteria.</w:t>
      </w:r>
    </w:p>
    <w:p w14:paraId="4A2A80C9" w14:textId="77777777" w:rsidR="001F04FD" w:rsidRPr="006A6281" w:rsidRDefault="001F04FD" w:rsidP="001F04FD">
      <w:pPr>
        <w:pStyle w:val="BodyTextNumbered"/>
      </w:pPr>
      <w:r w:rsidRPr="006A6281">
        <w:t>(2)</w:t>
      </w:r>
      <w:r w:rsidRPr="006A6281">
        <w:tab/>
        <w:t>ERCOT shall notify the QSE submitting an RTM Energy Bid by the Messaging System if the bid was rejected or was considered invalid for any reason.  The QSE may then resubmit the bid within the appropriate market timeline.</w:t>
      </w:r>
    </w:p>
    <w:p w14:paraId="5B9B7F00" w14:textId="77777777" w:rsidR="001F04FD" w:rsidRDefault="001F04FD" w:rsidP="001F04FD">
      <w:pPr>
        <w:pStyle w:val="BodyTextNumbered"/>
      </w:pPr>
      <w:r w:rsidRPr="004E6640">
        <w:t>(3)</w:t>
      </w:r>
      <w:r w:rsidRPr="004E6640">
        <w:tab/>
        <w:t>ERCOT shall continuously validate RTM Energy Bids and continuously display on the MIS Certified Area information that allows any QSE to view its valid RTM Energy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6362E997" w14:textId="77777777" w:rsidTr="00F5593C">
        <w:trPr>
          <w:trHeight w:val="206"/>
        </w:trPr>
        <w:tc>
          <w:tcPr>
            <w:tcW w:w="9350" w:type="dxa"/>
            <w:shd w:val="pct12" w:color="auto" w:fill="auto"/>
          </w:tcPr>
          <w:p w14:paraId="59BA83E6" w14:textId="48452E83" w:rsidR="00D3410D" w:rsidRPr="00A4149C" w:rsidRDefault="00D3410D" w:rsidP="00F5593C">
            <w:pPr>
              <w:pStyle w:val="Instructions"/>
              <w:spacing w:before="120"/>
            </w:pPr>
            <w:bookmarkStart w:id="343" w:name="_Toc397504925"/>
            <w:bookmarkStart w:id="344" w:name="_Toc402357053"/>
            <w:bookmarkStart w:id="345" w:name="_Toc422486433"/>
            <w:bookmarkStart w:id="346" w:name="_Toc433093285"/>
            <w:bookmarkStart w:id="347" w:name="_Toc433093443"/>
            <w:bookmarkStart w:id="348" w:name="_Toc440874673"/>
            <w:bookmarkStart w:id="349" w:name="_Toc448142228"/>
            <w:bookmarkStart w:id="350" w:name="_Toc448142385"/>
            <w:bookmarkStart w:id="351" w:name="_Toc458770221"/>
            <w:bookmarkStart w:id="352" w:name="_Toc459294189"/>
            <w:bookmarkStart w:id="353" w:name="_Toc463262682"/>
            <w:bookmarkStart w:id="354" w:name="_Toc468286754"/>
            <w:bookmarkStart w:id="355" w:name="_Toc481502800"/>
            <w:bookmarkStart w:id="356" w:name="_Toc496079970"/>
            <w:r>
              <w:t>[NPRR1188:  Delete Section 6.4.3.1.2 above upon system implementation.]</w:t>
            </w:r>
          </w:p>
        </w:tc>
      </w:tr>
    </w:tbl>
    <w:p w14:paraId="776416FC" w14:textId="77777777" w:rsidR="001F04FD" w:rsidRDefault="001F04FD" w:rsidP="001F04FD">
      <w:pPr>
        <w:pStyle w:val="H3"/>
        <w:spacing w:before="480"/>
      </w:pPr>
      <w:bookmarkStart w:id="357" w:name="_Toc189044303"/>
      <w:r>
        <w:t>6.4.4</w:t>
      </w:r>
      <w:r>
        <w:tab/>
        <w:t>Energy Offer Curve</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55D2C8A4" w14:textId="77777777" w:rsidR="001F04FD" w:rsidRDefault="001F04FD" w:rsidP="001F04FD">
      <w:pPr>
        <w:pStyle w:val="BodyTextNumbered"/>
      </w:pPr>
      <w:r>
        <w:t>(1)</w:t>
      </w:r>
      <w:r>
        <w:tab/>
        <w:t>A detailed description of Energy Offer Curve and validations performed by ERCOT is in Section 4.4.9, Energy Offers and Bids.</w:t>
      </w:r>
    </w:p>
    <w:p w14:paraId="1268289A" w14:textId="77777777" w:rsidR="001F04FD" w:rsidRDefault="001F04FD" w:rsidP="001F04FD">
      <w:pPr>
        <w:pStyle w:val="BodyTextNumbered"/>
      </w:pPr>
      <w:r>
        <w:t>(2)</w:t>
      </w:r>
      <w:r>
        <w:tab/>
        <w:t>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SWCAP in $/MWh.</w:t>
      </w:r>
    </w:p>
    <w:p w14:paraId="40EA5A70" w14:textId="670A1C4E" w:rsidR="001F04FD" w:rsidRDefault="001F04FD" w:rsidP="005A7D2B">
      <w:pPr>
        <w:pStyle w:val="BodyTextNumbered"/>
      </w:pPr>
      <w:r>
        <w:t>(3)</w:t>
      </w:r>
      <w:r>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w:t>
      </w:r>
      <w:r>
        <w:lastRenderedPageBreak/>
        <w:t>Output Schedule equal to the then-current telemetered output of the Resource until an Output Schedule or Energy Offer Curve is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A7D2B" w14:paraId="4A41F9C0" w14:textId="77777777" w:rsidTr="00FB599C">
        <w:trPr>
          <w:trHeight w:val="206"/>
        </w:trPr>
        <w:tc>
          <w:tcPr>
            <w:tcW w:w="9350" w:type="dxa"/>
            <w:shd w:val="pct12" w:color="auto" w:fill="auto"/>
          </w:tcPr>
          <w:p w14:paraId="1980A110" w14:textId="6DC2121F" w:rsidR="005A7D2B" w:rsidRDefault="005A7D2B" w:rsidP="009E7633">
            <w:pPr>
              <w:pStyle w:val="Instructions"/>
              <w:spacing w:before="120"/>
            </w:pPr>
            <w:bookmarkStart w:id="358" w:name="_Toc397504927"/>
            <w:bookmarkStart w:id="359" w:name="_Toc402357055"/>
            <w:bookmarkStart w:id="360" w:name="_Toc422486435"/>
            <w:bookmarkStart w:id="361" w:name="_Toc433093287"/>
            <w:bookmarkStart w:id="362" w:name="_Toc433093445"/>
            <w:bookmarkStart w:id="363" w:name="_Toc440874674"/>
            <w:bookmarkStart w:id="364" w:name="_Toc448142229"/>
            <w:bookmarkStart w:id="365" w:name="_Toc448142386"/>
            <w:bookmarkStart w:id="366" w:name="_Toc458770222"/>
            <w:bookmarkStart w:id="367" w:name="_Toc459294190"/>
            <w:bookmarkStart w:id="368" w:name="_Toc463262683"/>
            <w:bookmarkStart w:id="369" w:name="_Toc468286755"/>
            <w:bookmarkStart w:id="370" w:name="_Toc481502801"/>
            <w:bookmarkStart w:id="371" w:name="_Toc496079971"/>
            <w:r>
              <w:t xml:space="preserve">[NPRR1000, NPRR1010, </w:t>
            </w:r>
            <w:r w:rsidR="00F17687">
              <w:t xml:space="preserve">and </w:t>
            </w:r>
            <w:r>
              <w:t>NPRR1014:  Replace applicable portions of Section 6.4.4 above with the following upon system implementation for NPRR1000</w:t>
            </w:r>
            <w:r w:rsidR="00F17687">
              <w:t xml:space="preserve"> or</w:t>
            </w:r>
            <w:r>
              <w:t xml:space="preserve"> NPRR1014; or upon system implementation of the Real-Time Co-Optimization (RTC) project for NPRR1010:]</w:t>
            </w:r>
          </w:p>
          <w:p w14:paraId="3125F3BC" w14:textId="77777777" w:rsidR="005A7D2B" w:rsidRPr="00A552C3" w:rsidRDefault="005A7D2B" w:rsidP="005A7D2B">
            <w:pPr>
              <w:keepNext/>
              <w:tabs>
                <w:tab w:val="left" w:pos="1080"/>
              </w:tabs>
              <w:spacing w:before="240" w:after="240"/>
              <w:ind w:left="1080" w:hanging="1080"/>
              <w:outlineLvl w:val="2"/>
              <w:rPr>
                <w:b/>
                <w:bCs/>
                <w:i/>
              </w:rPr>
            </w:pPr>
            <w:bookmarkStart w:id="372" w:name="_Toc60040566"/>
            <w:bookmarkStart w:id="373" w:name="_Toc65151626"/>
            <w:bookmarkStart w:id="374" w:name="_Toc80174652"/>
            <w:bookmarkStart w:id="375" w:name="_Toc108712410"/>
            <w:bookmarkStart w:id="376" w:name="_Toc112417530"/>
            <w:bookmarkStart w:id="377" w:name="_Toc119310198"/>
            <w:bookmarkStart w:id="378" w:name="_Toc125966132"/>
            <w:bookmarkStart w:id="379" w:name="_Toc135992229"/>
            <w:bookmarkStart w:id="380" w:name="_Toc170303426"/>
            <w:bookmarkStart w:id="381" w:name="_Toc175157331"/>
            <w:bookmarkStart w:id="382" w:name="_Toc189044304"/>
            <w:r w:rsidRPr="00A552C3">
              <w:rPr>
                <w:b/>
                <w:bCs/>
                <w:i/>
              </w:rPr>
              <w:t>6.4.4</w:t>
            </w:r>
            <w:r w:rsidRPr="00A552C3">
              <w:rPr>
                <w:b/>
                <w:bCs/>
                <w:i/>
              </w:rPr>
              <w:tab/>
              <w:t>Energy Offer Curve and Energy Bid/Offer Curve</w:t>
            </w:r>
            <w:bookmarkEnd w:id="372"/>
            <w:bookmarkEnd w:id="373"/>
            <w:bookmarkEnd w:id="374"/>
            <w:bookmarkEnd w:id="375"/>
            <w:bookmarkEnd w:id="376"/>
            <w:bookmarkEnd w:id="377"/>
            <w:bookmarkEnd w:id="378"/>
            <w:bookmarkEnd w:id="379"/>
            <w:bookmarkEnd w:id="380"/>
            <w:bookmarkEnd w:id="381"/>
            <w:bookmarkEnd w:id="382"/>
          </w:p>
          <w:p w14:paraId="180452D5" w14:textId="77777777" w:rsidR="005A7D2B" w:rsidRPr="00A552C3" w:rsidRDefault="005A7D2B" w:rsidP="005A7D2B">
            <w:pPr>
              <w:spacing w:after="240"/>
              <w:ind w:left="720" w:hanging="720"/>
            </w:pPr>
            <w:r w:rsidRPr="00A552C3">
              <w:t>(1)</w:t>
            </w:r>
            <w:r w:rsidRPr="00A552C3">
              <w:tab/>
              <w:t>A detailed description of Energy Offer Curve, Energy Bid/Offer Curve, and validations performed by ERCOT is in Section 4.4.9, Energy Offers and Bids.</w:t>
            </w:r>
          </w:p>
          <w:p w14:paraId="78EA7F8E" w14:textId="77777777" w:rsidR="005A7D2B" w:rsidRPr="00A552C3" w:rsidRDefault="005A7D2B" w:rsidP="005A7D2B">
            <w:pPr>
              <w:spacing w:after="240"/>
              <w:ind w:left="720" w:hanging="720"/>
            </w:pPr>
            <w:r w:rsidRPr="00A552C3">
              <w:t>(2)</w:t>
            </w:r>
            <w:r w:rsidRPr="00A552C3">
              <w:tab/>
              <w:t>For an On-Line RMR Unit, ERCOT shall submit an Energy Offer Curve considering contractual constraints on the Resource and any other adverse effects on, or implications arising from, the RMR Agreement, that may occur as the result of the Dispatch of the RMR Unit.  The RMR Unit’s administratively-set Energy Offer Curve must price all energy at the effective VOLL in $/MWh.</w:t>
            </w:r>
          </w:p>
          <w:p w14:paraId="572C640B" w14:textId="51958103" w:rsidR="005A7D2B" w:rsidRPr="00A552C3" w:rsidRDefault="005A7D2B" w:rsidP="005A7D2B">
            <w:pPr>
              <w:spacing w:after="240"/>
              <w:ind w:left="720" w:hanging="720"/>
            </w:pPr>
            <w:r w:rsidRPr="00A552C3">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w:t>
            </w:r>
          </w:p>
          <w:p w14:paraId="76AF9DB4" w14:textId="6C832D2F" w:rsidR="005A7D2B" w:rsidRPr="00A4149C" w:rsidRDefault="005A7D2B" w:rsidP="005A7D2B">
            <w:pPr>
              <w:spacing w:after="240"/>
              <w:ind w:left="720" w:hanging="720"/>
            </w:pPr>
            <w:r w:rsidRPr="00A552C3">
              <w:t>(4)</w:t>
            </w:r>
            <w:r w:rsidRPr="00A552C3">
              <w:tab/>
              <w:t>For ESRs with a Resource Status other than ONTEST or ONHOLD, if a valid Energy Bid/Offer Curve or an Output Schedule does not exist, then ERCOT shall notify the QSE and create a proxy Energy Bid/Offer Curve priced at -$250/MWh for the MW portion of the curve less than zero MW, and priced at the RTSWCAP for the MW portion of the curve greater than zero MW.</w:t>
            </w:r>
          </w:p>
        </w:tc>
      </w:tr>
    </w:tbl>
    <w:p w14:paraId="799C40E4" w14:textId="4A42DBBB" w:rsidR="001F04FD" w:rsidRPr="00BF28AE" w:rsidRDefault="001F04FD" w:rsidP="001F04FD">
      <w:pPr>
        <w:spacing w:before="480" w:after="240"/>
        <w:ind w:left="1080" w:hanging="1080"/>
        <w:outlineLvl w:val="3"/>
        <w:rPr>
          <w:b/>
        </w:rPr>
      </w:pPr>
      <w:bookmarkStart w:id="383" w:name="_Toc189044305"/>
      <w:r w:rsidRPr="004C1045">
        <w:rPr>
          <w:b/>
        </w:rPr>
        <w:t>6.4.</w:t>
      </w:r>
      <w:r>
        <w:rPr>
          <w:b/>
        </w:rPr>
        <w:t>4</w:t>
      </w:r>
      <w:r w:rsidRPr="004C1045">
        <w:rPr>
          <w:b/>
        </w:rPr>
        <w:t>.</w:t>
      </w:r>
      <w:r>
        <w:rPr>
          <w:b/>
        </w:rPr>
        <w:t>1</w:t>
      </w:r>
      <w:r w:rsidRPr="004C1045">
        <w:rPr>
          <w:b/>
        </w:rPr>
        <w:tab/>
        <w:t xml:space="preserve">Energy Offer Curve </w:t>
      </w:r>
      <w:r w:rsidR="00A46896" w:rsidRPr="007F5C35">
        <w:rPr>
          <w:b/>
        </w:rPr>
        <w:t xml:space="preserve">or Energy Bid Curve </w:t>
      </w:r>
      <w:r w:rsidRPr="004C1045">
        <w:rPr>
          <w:b/>
        </w:rPr>
        <w:t>for</w:t>
      </w:r>
      <w:r>
        <w:rPr>
          <w:b/>
        </w:rPr>
        <w:t xml:space="preserve"> On-Line</w:t>
      </w:r>
      <w:r w:rsidRPr="004C1045">
        <w:rPr>
          <w:b/>
        </w:rPr>
        <w:t xml:space="preserve"> Non-Spinning Reserve Capacity</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83"/>
    </w:p>
    <w:p w14:paraId="29D1467F" w14:textId="77777777" w:rsidR="00A46896" w:rsidRPr="007F5C35" w:rsidRDefault="00A46896" w:rsidP="00A46896">
      <w:pPr>
        <w:spacing w:after="240"/>
        <w:ind w:left="720" w:hanging="720"/>
        <w:rPr>
          <w:iCs/>
        </w:rPr>
      </w:pPr>
      <w:r w:rsidRPr="007F5C35">
        <w:rPr>
          <w:iCs/>
        </w:rPr>
        <w:t>(1)</w:t>
      </w:r>
      <w:r w:rsidRPr="007F5C35">
        <w:rPr>
          <w:iCs/>
        </w:rPr>
        <w:tab/>
        <w:t xml:space="preserve">The following </w:t>
      </w:r>
      <w:r w:rsidRPr="00256DD1">
        <w:rPr>
          <w:iCs/>
        </w:rPr>
        <w:t>applies to Generation Resources</w:t>
      </w:r>
      <w:r w:rsidRPr="00256DD1">
        <w:rPr>
          <w:iCs/>
          <w:szCs w:val="24"/>
        </w:rPr>
        <w:t xml:space="preserve"> and Controllable Load Resources</w:t>
      </w:r>
      <w:r w:rsidRPr="00256DD1">
        <w:rPr>
          <w:iCs/>
        </w:rPr>
        <w:t xml:space="preserve"> that a QSE assigns Non-Spinning Reserve (Non-Spin) Ancillary Service Resource Responsibility in its COP to meet the QSE’s Ancillary Service Supply Responsibility for Non-Spin and applies to On-Line Non-Spin assignments arising as the result of Day-</w:t>
      </w:r>
      <w:r w:rsidRPr="00256DD1">
        <w:t>Ahead</w:t>
      </w:r>
      <w:r w:rsidRPr="00256DD1">
        <w:rPr>
          <w:iCs/>
        </w:rPr>
        <w:t xml:space="preserve"> Market (DAM) or Supplemental Ancillary Services Market (SASM) Ancillary Service awards, or Self-Arranged Ancillary Service Quantity</w:t>
      </w:r>
      <w:r w:rsidRPr="007F5C35">
        <w:rPr>
          <w:iCs/>
        </w:rPr>
        <w:t>.</w:t>
      </w:r>
    </w:p>
    <w:p w14:paraId="5C8A38BF" w14:textId="77777777" w:rsidR="00A46896" w:rsidRPr="007F5C35" w:rsidRDefault="00A46896" w:rsidP="00A46896">
      <w:pPr>
        <w:spacing w:after="240"/>
        <w:ind w:left="1440" w:hanging="720"/>
      </w:pPr>
      <w:r w:rsidRPr="007F5C35">
        <w:t>(a)</w:t>
      </w:r>
      <w:r w:rsidRPr="007F5C35">
        <w:tab/>
        <w:t xml:space="preserve">Prior to the end of the Adjustment Period for an Operating Hour during which a Generation Resource is assigned On-Line Non-Spin Ancillary Service Resource Responsibility, the QSE shall ensure that a valid Output Schedule or Energy Offer </w:t>
      </w:r>
      <w:r w:rsidRPr="007F5C35">
        <w:lastRenderedPageBreak/>
        <w:t>Curve for the Operating Hour has been submitted and accepted by ERCOT.  The Energy Offer Curves submitted by the QSE for the capacity assigned to Non-Spin may not be offered at less than $75 per MWh.</w:t>
      </w:r>
    </w:p>
    <w:p w14:paraId="3DAFE395" w14:textId="77777777" w:rsidR="00A46896" w:rsidRPr="00256DD1" w:rsidRDefault="00A46896" w:rsidP="00A46896">
      <w:pPr>
        <w:spacing w:after="240"/>
        <w:ind w:left="1440" w:hanging="720"/>
        <w:rPr>
          <w:szCs w:val="24"/>
        </w:rPr>
      </w:pPr>
      <w:r w:rsidRPr="007F5C35">
        <w:rPr>
          <w:szCs w:val="24"/>
        </w:rPr>
        <w:t>(b)</w:t>
      </w:r>
      <w:r w:rsidRPr="007F5C35">
        <w:rPr>
          <w:szCs w:val="24"/>
        </w:rPr>
        <w:tab/>
        <w:t xml:space="preserve">Prior to the end of the Adjustment Period for an Operating Hour during which a Controllable Load Resource is assigned On-Line Non-Spin Ancillary Service Resource Responsibility, the QSE shall ensure that an Energy Bid Curve for the Operating Hour has been submitted and accepted by ERCOT.  The Energy Bid Curve submitted by the QSE for the capacity assigned to Non-Spin may not be less than $75 </w:t>
      </w:r>
      <w:r w:rsidRPr="00256DD1">
        <w:rPr>
          <w:szCs w:val="24"/>
        </w:rPr>
        <w:t>per MWh.</w:t>
      </w:r>
    </w:p>
    <w:p w14:paraId="1FBAB00F" w14:textId="77777777" w:rsidR="00A46896" w:rsidRPr="007F5C35" w:rsidRDefault="00A46896" w:rsidP="00A46896">
      <w:pPr>
        <w:spacing w:after="240"/>
        <w:ind w:left="1440" w:hanging="720"/>
      </w:pPr>
      <w:r w:rsidRPr="00256DD1">
        <w:t>(c)</w:t>
      </w:r>
      <w:r w:rsidRPr="00256DD1">
        <w:tab/>
        <w:t>If the QSE also assigns Responsive Reserve (RRS), ERCOT Contingency Reserve Service (ECRS),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ECRS, Reg-Up, and Non-Spin Ancillary Service Resource Responsibilities, as well as any Non-Frequency Responsive Capacity (NFRC) that is above the Resource’s High Ancillary Service Limit (HASL) and</w:t>
      </w:r>
      <w:r w:rsidRPr="007F5C35">
        <w:t xml:space="preserve"> will not be utilized prior to deployment of a Resource’s On-Line Non-Spin, may not be offered at less than $75 per MWh.</w:t>
      </w:r>
    </w:p>
    <w:p w14:paraId="049487CE" w14:textId="1D4FBA5F" w:rsidR="007F5C35" w:rsidRDefault="00A46896" w:rsidP="00F468C2">
      <w:pPr>
        <w:spacing w:after="240"/>
        <w:ind w:left="1440" w:hanging="720"/>
      </w:pPr>
      <w:r w:rsidRPr="007F5C35">
        <w:t>(d)</w:t>
      </w:r>
      <w:r w:rsidRPr="007F5C35">
        <w:tab/>
        <w:t>If the QSE also assigns RRS</w:t>
      </w:r>
      <w:r>
        <w:t>, ECRS,</w:t>
      </w:r>
      <w:r w:rsidRPr="007F5C35">
        <w:t xml:space="preserve"> and/or Reg-Up to a Controllable Load Resource that has been assigned Non-Spin, the QSE shall ensure that a valid Energy Bid Curve for the Operating Hour has been submitted and accepted by ERCOT.  The Energy Bid Curves submitted by the QSE for the capacity assigned to the sum of the RRS, </w:t>
      </w:r>
      <w:r>
        <w:t xml:space="preserve">ECRS, </w:t>
      </w:r>
      <w:r w:rsidRPr="007F5C35">
        <w:t>Reg-Up, and Non-Spin Ancillary Service Resource Responsibilities may not be less than $75 per MWh.</w:t>
      </w:r>
      <w:bookmarkStart w:id="384" w:name="_Toc397504928"/>
      <w:bookmarkStart w:id="385" w:name="_Toc402357056"/>
      <w:bookmarkStart w:id="386" w:name="_Toc422486436"/>
      <w:bookmarkStart w:id="387" w:name="_Toc433093288"/>
      <w:bookmarkStart w:id="388" w:name="_Toc433093446"/>
      <w:bookmarkStart w:id="389" w:name="_Toc440874675"/>
      <w:bookmarkStart w:id="390" w:name="_Toc448142230"/>
      <w:bookmarkStart w:id="391" w:name="_Toc448142387"/>
      <w:bookmarkStart w:id="392" w:name="_Toc458770223"/>
      <w:bookmarkStart w:id="393" w:name="_Toc459294191"/>
      <w:bookmarkStart w:id="394" w:name="_Toc463262684"/>
      <w:bookmarkStart w:id="395" w:name="_Toc468286756"/>
      <w:bookmarkStart w:id="396" w:name="_Toc481502802"/>
      <w:bookmarkStart w:id="397" w:name="_Toc49607997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07618CC5" w14:textId="77777777" w:rsidTr="0058150D">
        <w:trPr>
          <w:trHeight w:val="206"/>
        </w:trPr>
        <w:tc>
          <w:tcPr>
            <w:tcW w:w="9350" w:type="dxa"/>
            <w:shd w:val="pct12" w:color="auto" w:fill="auto"/>
          </w:tcPr>
          <w:p w14:paraId="65FF1F52" w14:textId="00C23CA1" w:rsidR="00330FCC" w:rsidRPr="00A4149C" w:rsidRDefault="00330FCC" w:rsidP="00525E33">
            <w:pPr>
              <w:pStyle w:val="Instructions"/>
              <w:spacing w:before="120"/>
            </w:pPr>
            <w:r>
              <w:t>[NPRR1010:  Delete Section 6.4.4.1 above upon system implementation of the Real-Time Co-Optimization (RTC) project</w:t>
            </w:r>
            <w:r w:rsidR="00525E33">
              <w:t>.</w:t>
            </w:r>
            <w:r>
              <w:t>]</w:t>
            </w:r>
          </w:p>
        </w:tc>
      </w:tr>
    </w:tbl>
    <w:p w14:paraId="02BE171C" w14:textId="77777777" w:rsidR="00236104" w:rsidRPr="00393D4A" w:rsidRDefault="00236104" w:rsidP="00236104">
      <w:pPr>
        <w:spacing w:before="480" w:after="240"/>
        <w:ind w:left="1080" w:hanging="1080"/>
        <w:outlineLvl w:val="3"/>
        <w:rPr>
          <w:b/>
        </w:rPr>
      </w:pPr>
      <w:bookmarkStart w:id="398" w:name="_Toc189044306"/>
      <w:r w:rsidRPr="00393D4A">
        <w:rPr>
          <w:b/>
        </w:rPr>
        <w:t>6.4.4.2</w:t>
      </w:r>
      <w:r w:rsidRPr="00393D4A">
        <w:rPr>
          <w:b/>
        </w:rPr>
        <w:tab/>
        <w:t>Energy Offer Curve for RUC-Committed Switchable Generation Resources</w:t>
      </w:r>
      <w:bookmarkEnd w:id="398"/>
    </w:p>
    <w:p w14:paraId="62C34E73" w14:textId="71CB5225" w:rsidR="00BD7CC8" w:rsidRDefault="00236104" w:rsidP="00236104">
      <w:pPr>
        <w:pStyle w:val="BodyTextNumbered"/>
        <w:rPr>
          <w:color w:val="000000"/>
        </w:rPr>
      </w:pPr>
      <w:r w:rsidRPr="00393D4A">
        <w:rPr>
          <w:color w:val="000000"/>
        </w:rPr>
        <w:t>(1)</w:t>
      </w:r>
      <w:r w:rsidRPr="00393D4A">
        <w:rPr>
          <w:color w:val="000000"/>
        </w:rPr>
        <w:tab/>
      </w:r>
      <w:r w:rsidR="00F17687" w:rsidRPr="00221D04">
        <w:rPr>
          <w:color w:val="000000"/>
        </w:rPr>
        <w:t xml:space="preserve">For an Operating Hour during which a </w:t>
      </w:r>
      <w:r w:rsidR="00F17687" w:rsidRPr="00221D04">
        <w:t>Switchable</w:t>
      </w:r>
      <w:r w:rsidR="00F17687" w:rsidRPr="00221D04">
        <w:rPr>
          <w:color w:val="000000"/>
        </w:rPr>
        <w:t xml:space="preserve"> Generation Resource (SWGR) has been committed by ERCOT as part of the Reliability Unit Commitment (RUC) process to address an actual or anticipated Energy Emergency Alert (EEA) event, the QSE shall ensure that an Energy Offer Curve that prices all energy from LSL to HSL at or above $4,500 per MWh or at the SWCAP, whichever is lower, for the Operating Hours in the RUC commitment period, has been submitted and accepted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623B9F46" w14:textId="77777777" w:rsidTr="0058150D">
        <w:trPr>
          <w:trHeight w:val="206"/>
        </w:trPr>
        <w:tc>
          <w:tcPr>
            <w:tcW w:w="9350" w:type="dxa"/>
            <w:shd w:val="pct12" w:color="auto" w:fill="auto"/>
          </w:tcPr>
          <w:bookmarkEnd w:id="310"/>
          <w:p w14:paraId="4B963A17" w14:textId="4D0FD9EC"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5D3F58B9" w14:textId="4D400C31" w:rsidR="00330FCC" w:rsidRPr="00A4149C" w:rsidRDefault="00330FCC" w:rsidP="00330FCC">
            <w:pPr>
              <w:spacing w:after="240"/>
              <w:ind w:left="720" w:hanging="720"/>
            </w:pPr>
            <w:r w:rsidRPr="003161DC">
              <w:rPr>
                <w:color w:val="000000"/>
              </w:rPr>
              <w:lastRenderedPageBreak/>
              <w:t>(1)</w:t>
            </w:r>
            <w:r w:rsidRPr="003161DC">
              <w:rPr>
                <w:color w:val="000000"/>
              </w:rPr>
              <w:tab/>
              <w:t xml:space="preserve">Prior to the end of the Adjustment Period for an Operating Hour during which a </w:t>
            </w:r>
            <w:r w:rsidRPr="003161DC">
              <w:t>Switchable</w:t>
            </w:r>
            <w:r w:rsidRPr="003161DC">
              <w:rPr>
                <w:color w:val="000000"/>
              </w:rPr>
              <w:t xml:space="preserve"> Generation Resource (SWGR) has been committed by ERCOT as part of the Reliability Unit Commitment (RUC) process to address an actual or anticipated Energy Emergency Alert (EEA) event, </w:t>
            </w:r>
            <w:r>
              <w:rPr>
                <w:color w:val="000000"/>
              </w:rPr>
              <w:t>ERCOT</w:t>
            </w:r>
            <w:r w:rsidRPr="003161DC">
              <w:rPr>
                <w:color w:val="000000"/>
              </w:rPr>
              <w:t xml:space="preserve"> shall </w:t>
            </w:r>
            <w:r>
              <w:rPr>
                <w:color w:val="000000"/>
              </w:rPr>
              <w:t xml:space="preserve">administratively set </w:t>
            </w:r>
            <w:r w:rsidRPr="003161DC">
              <w:rPr>
                <w:color w:val="000000"/>
              </w:rPr>
              <w:t>an Energy Offer Curve that prices all energy from LSL to HSL at or above $4,500 per MWh</w:t>
            </w:r>
            <w:r>
              <w:rPr>
                <w:color w:val="000000"/>
              </w:rPr>
              <w:t>,</w:t>
            </w:r>
            <w:r w:rsidRPr="003161DC">
              <w:rPr>
                <w:color w:val="000000"/>
              </w:rPr>
              <w:t xml:space="preserve"> </w:t>
            </w:r>
            <w:r>
              <w:rPr>
                <w:color w:val="000000"/>
              </w:rPr>
              <w:t xml:space="preserve">or at the effective VOLL, </w:t>
            </w:r>
            <w:r w:rsidRPr="003161DC">
              <w:rPr>
                <w:color w:val="000000"/>
              </w:rPr>
              <w:t>whichever is lower, for the Operating Hours in the RUC commitment period</w:t>
            </w:r>
            <w:r>
              <w:rPr>
                <w:color w:val="000000"/>
              </w:rPr>
              <w:t>.</w:t>
            </w:r>
          </w:p>
        </w:tc>
      </w:tr>
    </w:tbl>
    <w:p w14:paraId="5E321BC4" w14:textId="77777777" w:rsidR="00330FCC" w:rsidRPr="00BA2009" w:rsidRDefault="00330FCC" w:rsidP="000B1D41">
      <w:pPr>
        <w:pStyle w:val="BodyTextNumbered"/>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10B3" w14:paraId="3C39CAA4" w14:textId="77777777" w:rsidTr="00AC4758">
        <w:trPr>
          <w:trHeight w:val="206"/>
        </w:trPr>
        <w:tc>
          <w:tcPr>
            <w:tcW w:w="9350" w:type="dxa"/>
            <w:shd w:val="pct12" w:color="auto" w:fill="auto"/>
          </w:tcPr>
          <w:p w14:paraId="39242F5D" w14:textId="528ABFF4" w:rsidR="00BB10B3" w:rsidRPr="00B37C4B" w:rsidRDefault="00BB10B3" w:rsidP="00BB10B3">
            <w:pPr>
              <w:pStyle w:val="Instructions"/>
              <w:spacing w:before="120"/>
            </w:pPr>
            <w:r>
              <w:t>[NPRR1019:  Delete Section 6.4.4.2 above upon system implementation.]</w:t>
            </w:r>
          </w:p>
        </w:tc>
      </w:tr>
    </w:tbl>
    <w:p w14:paraId="1AFD60E9" w14:textId="6F85C8CE" w:rsidR="001F04FD" w:rsidRDefault="001F04FD" w:rsidP="00043D95">
      <w:pPr>
        <w:pStyle w:val="H3"/>
        <w:spacing w:before="480"/>
      </w:pPr>
      <w:bookmarkStart w:id="399" w:name="_Toc189044307"/>
      <w:r>
        <w:t>6.4.</w:t>
      </w:r>
      <w:r w:rsidRPr="00BF28AE">
        <w:t>5</w:t>
      </w:r>
      <w:r>
        <w:tab/>
        <w:t>Incremental and Decremental Energy Offer Curves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9"/>
    </w:p>
    <w:p w14:paraId="56A3D812" w14:textId="7F013A93" w:rsidR="00330FCC" w:rsidRDefault="001F04FD" w:rsidP="001F04FD">
      <w:pPr>
        <w:pStyle w:val="BodyTextNumbered"/>
      </w:pPr>
      <w:r>
        <w:t>(1)</w:t>
      </w:r>
      <w: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SWCAP in dollars per </w:t>
      </w:r>
      <w:r w:rsidRPr="0092365A">
        <w:rPr>
          <w:iCs/>
        </w:rPr>
        <w:t>MWh</w:t>
      </w:r>
      <w:r>
        <w:t xml:space="preserve"> with the quantity within the range of the High Reasonability Limit (HRL) and Low Reasonability Limit (LRL), which are described in the Resource Registration Glossary and provided in Resource Registration data.  The first </w:t>
      </w:r>
      <w:r w:rsidRPr="00BF28AE">
        <w:t xml:space="preserve">price/quantity pair </w:t>
      </w:r>
      <w:r>
        <w:t xml:space="preserve">for both the Incremental and Decremental Energy Offer Curves must provide an energy price at LRL and the last </w:t>
      </w:r>
      <w:r w:rsidRPr="00BF28AE">
        <w:t xml:space="preserve">price/quantity pair </w:t>
      </w:r>
      <w:r>
        <w:t xml:space="preserve">must provide a price at HRL.  At every MW value of the curves, the price of the Incremental Energy Offer Curve must be greater than the Decremental Energy Offer Curve. </w:t>
      </w:r>
      <w:r w:rsidR="000F6ECD">
        <w:t xml:space="preserve"> </w:t>
      </w:r>
      <w:r>
        <w:t>Incremental and Decremental Energy Offer Curves are subject to the same requirements for the same criteria and validations performed by ERCOT as provided in Section 4.4.9, Energy Offers and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185291E5" w14:textId="77777777" w:rsidTr="0058150D">
        <w:trPr>
          <w:trHeight w:val="206"/>
        </w:trPr>
        <w:tc>
          <w:tcPr>
            <w:tcW w:w="9350" w:type="dxa"/>
            <w:shd w:val="pct12" w:color="auto" w:fill="auto"/>
          </w:tcPr>
          <w:p w14:paraId="66A5031A" w14:textId="7063BE86"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6374F11B" w14:textId="6A84AD82" w:rsidR="00330FCC" w:rsidRPr="00A4149C" w:rsidRDefault="00330FCC" w:rsidP="000F6ECD">
            <w:pPr>
              <w:spacing w:after="240"/>
              <w:ind w:left="720" w:hanging="720"/>
            </w:pPr>
            <w:r w:rsidRPr="003161DC">
              <w:t>(1)</w:t>
            </w:r>
            <w:r w:rsidRPr="003161DC">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r>
              <w:t>RT</w:t>
            </w:r>
            <w:r w:rsidRPr="003161DC">
              <w:t xml:space="preserve">SWCAP in dollars per </w:t>
            </w:r>
            <w:r w:rsidRPr="003161DC">
              <w:rPr>
                <w:iCs/>
              </w:rPr>
              <w:t>MWh</w:t>
            </w:r>
            <w:r w:rsidRPr="003161DC">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w:t>
            </w:r>
            <w:r w:rsidR="000F6ECD">
              <w:t xml:space="preserve">  </w:t>
            </w:r>
            <w:r w:rsidRPr="003161DC">
              <w:t>Incremental and Decremental Energy Offer Curves are subject to the same requirements for the same criteria and validations performed by ERCOT as provided in Section 4.4.9, Energy Offers and Bids.</w:t>
            </w:r>
          </w:p>
        </w:tc>
      </w:tr>
    </w:tbl>
    <w:p w14:paraId="057B8DC9" w14:textId="25C5DB10" w:rsidR="001F04FD" w:rsidRDefault="001F04FD" w:rsidP="000B1D41">
      <w:pPr>
        <w:pStyle w:val="BodyTextNumbered"/>
        <w:spacing w:after="0"/>
      </w:pPr>
      <w: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2BEAB19" w14:textId="77777777" w:rsidTr="005C5A9B">
        <w:trPr>
          <w:trHeight w:val="206"/>
        </w:trPr>
        <w:tc>
          <w:tcPr>
            <w:tcW w:w="9576" w:type="dxa"/>
            <w:shd w:val="pct12" w:color="auto" w:fill="auto"/>
          </w:tcPr>
          <w:p w14:paraId="328715C8" w14:textId="4B120D24" w:rsidR="00E8646B" w:rsidRDefault="00E8646B" w:rsidP="005C5A9B">
            <w:pPr>
              <w:pStyle w:val="Instructions"/>
              <w:spacing w:before="120"/>
            </w:pPr>
            <w:bookmarkStart w:id="400" w:name="_Toc397504929"/>
            <w:bookmarkStart w:id="401" w:name="_Toc402357057"/>
            <w:bookmarkStart w:id="402" w:name="_Toc422486437"/>
            <w:bookmarkStart w:id="403" w:name="_Toc433093289"/>
            <w:bookmarkStart w:id="404" w:name="_Toc433093447"/>
            <w:bookmarkStart w:id="405" w:name="_Toc440874676"/>
            <w:bookmarkStart w:id="406" w:name="_Toc448142231"/>
            <w:bookmarkStart w:id="407" w:name="_Toc448142388"/>
            <w:bookmarkStart w:id="408" w:name="_Toc458770224"/>
            <w:bookmarkStart w:id="409" w:name="_Toc459294192"/>
            <w:bookmarkStart w:id="410" w:name="_Toc463262685"/>
            <w:bookmarkStart w:id="411" w:name="_Toc468286757"/>
            <w:bookmarkStart w:id="412" w:name="_Toc481502803"/>
            <w:bookmarkStart w:id="413" w:name="_Toc496079973"/>
            <w:r>
              <w:t>[NPRR1000:  Replace Section 6.4.5 above with the following upon system implementation:]</w:t>
            </w:r>
          </w:p>
          <w:p w14:paraId="035B5AFF" w14:textId="132C2158" w:rsidR="00E8646B" w:rsidRPr="00A4149C" w:rsidRDefault="00E8646B" w:rsidP="005C5A9B">
            <w:pPr>
              <w:spacing w:after="240"/>
              <w:ind w:left="720" w:hanging="720"/>
            </w:pPr>
            <w:r w:rsidRPr="0003653E">
              <w:rPr>
                <w:b/>
                <w:bCs/>
                <w:i/>
              </w:rPr>
              <w:t>6.4.5</w:t>
            </w:r>
            <w:r w:rsidRPr="0003653E">
              <w:rPr>
                <w:b/>
                <w:bCs/>
                <w:i/>
              </w:rPr>
              <w:tab/>
            </w:r>
            <w:r>
              <w:rPr>
                <w:b/>
                <w:bCs/>
                <w:i/>
                <w:iCs/>
                <w:sz w:val="23"/>
                <w:szCs w:val="23"/>
              </w:rPr>
              <w:t>[RESERVED]</w:t>
            </w:r>
          </w:p>
        </w:tc>
      </w:tr>
    </w:tbl>
    <w:p w14:paraId="6FFB01E7" w14:textId="77777777" w:rsidR="001F04FD" w:rsidRDefault="001F04FD" w:rsidP="001F04FD">
      <w:pPr>
        <w:pStyle w:val="H3"/>
        <w:spacing w:before="480"/>
      </w:pPr>
      <w:bookmarkStart w:id="414" w:name="_Toc189044308"/>
      <w:r>
        <w:t>6.4.</w:t>
      </w:r>
      <w:r w:rsidRPr="00BF28AE">
        <w:t>6</w:t>
      </w:r>
      <w:r>
        <w:tab/>
        <w:t>Resource Status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t xml:space="preserve"> </w:t>
      </w:r>
    </w:p>
    <w:p w14:paraId="0B84E95E" w14:textId="77777777" w:rsidR="001F04FD" w:rsidRDefault="001F04FD" w:rsidP="001F04FD">
      <w:pPr>
        <w:pStyle w:val="BodyTextNumbered"/>
      </w:pPr>
      <w:r>
        <w:t>(1)</w:t>
      </w:r>
      <w:r>
        <w:tab/>
        <w:t>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Ramp Rates, HSL, and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70E8BF6A" w14:textId="77777777" w:rsidTr="0058150D">
        <w:trPr>
          <w:trHeight w:val="206"/>
        </w:trPr>
        <w:tc>
          <w:tcPr>
            <w:tcW w:w="9350" w:type="dxa"/>
            <w:shd w:val="pct12" w:color="auto" w:fill="auto"/>
          </w:tcPr>
          <w:p w14:paraId="7C2572F1" w14:textId="4292F273"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43B77AA4" w14:textId="6A179C1A" w:rsidR="00330FCC" w:rsidRPr="00A4149C" w:rsidRDefault="00330FCC" w:rsidP="00330FCC">
            <w:pPr>
              <w:spacing w:after="240"/>
              <w:ind w:left="720" w:hanging="720"/>
            </w:pPr>
            <w:r w:rsidRPr="003161DC">
              <w:t>(1)</w:t>
            </w:r>
            <w:r w:rsidRPr="003161DC">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r>
              <w:t xml:space="preserve">Ancillary Service capability for each Ancillary Service, </w:t>
            </w:r>
            <w:r w:rsidRPr="003161DC">
              <w:t>Ramp Rates, HSL, and LSL.</w:t>
            </w:r>
          </w:p>
        </w:tc>
      </w:tr>
    </w:tbl>
    <w:p w14:paraId="04F964BD" w14:textId="39B9D709" w:rsidR="001F04FD" w:rsidRDefault="001F04FD" w:rsidP="000B1D41">
      <w:pPr>
        <w:pStyle w:val="BodyTextNumbered"/>
        <w:spacing w:before="240"/>
      </w:pPr>
      <w:r>
        <w:t>(2)</w:t>
      </w:r>
      <w:r>
        <w:tab/>
        <w:t>ERCOT shall perform the following validations during the Operating Period:</w:t>
      </w:r>
    </w:p>
    <w:p w14:paraId="6E9A52DE" w14:textId="77777777" w:rsidR="001F04FD" w:rsidRDefault="001F04FD" w:rsidP="001F04FD">
      <w:pPr>
        <w:pStyle w:val="List"/>
      </w:pPr>
      <w:r>
        <w:t>(a)</w:t>
      </w:r>
      <w:r>
        <w:tab/>
        <w:t>Each QSE shall provide the Real-Time operating status of each Resource to ERCOT by telemetry using the status codes in the COP for Real-Time as described in Section 3.9, Current Operating Plan (COP); and</w:t>
      </w:r>
    </w:p>
    <w:p w14:paraId="3169EEEF" w14:textId="77777777" w:rsidR="001F04FD" w:rsidRDefault="001F04FD" w:rsidP="001F04FD">
      <w:pPr>
        <w:pStyle w:val="List"/>
      </w:pPr>
      <w:r>
        <w:t>(b)</w:t>
      </w:r>
      <w: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48000A09" w14:textId="77777777" w:rsidR="001F04FD" w:rsidRDefault="001F04FD" w:rsidP="001F04FD">
      <w:pPr>
        <w:pStyle w:val="H3"/>
        <w:spacing w:before="480"/>
      </w:pPr>
      <w:bookmarkStart w:id="415" w:name="_Toc397504930"/>
      <w:bookmarkStart w:id="416" w:name="_Toc402357058"/>
      <w:bookmarkStart w:id="417" w:name="_Toc422486438"/>
      <w:bookmarkStart w:id="418" w:name="_Toc433093290"/>
      <w:bookmarkStart w:id="419" w:name="_Toc433093448"/>
      <w:bookmarkStart w:id="420" w:name="_Toc440874677"/>
      <w:bookmarkStart w:id="421" w:name="_Toc448142232"/>
      <w:bookmarkStart w:id="422" w:name="_Toc448142389"/>
      <w:bookmarkStart w:id="423" w:name="_Toc458770225"/>
      <w:bookmarkStart w:id="424" w:name="_Toc459294193"/>
      <w:bookmarkStart w:id="425" w:name="_Toc463262686"/>
      <w:bookmarkStart w:id="426" w:name="_Toc468286758"/>
      <w:bookmarkStart w:id="427" w:name="_Toc481502804"/>
      <w:bookmarkStart w:id="428" w:name="_Toc496079974"/>
      <w:bookmarkStart w:id="429" w:name="_Toc189044309"/>
      <w:r>
        <w:t>6.4.</w:t>
      </w:r>
      <w:r w:rsidRPr="00BF28AE">
        <w:t>7</w:t>
      </w:r>
      <w:r>
        <w:tab/>
        <w:t>QSE-Requested Decommitment of Resources and Changes to Ancillary Service Resource Responsibility of Resources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448DD27C" w14:textId="16F725F2" w:rsidR="001F04FD" w:rsidRDefault="001F04FD" w:rsidP="001F04FD">
      <w:pPr>
        <w:pStyle w:val="BodyTextNumbered"/>
      </w:pPr>
      <w:r>
        <w:t>(1)</w:t>
      </w:r>
      <w:r>
        <w:tab/>
        <w:t>A Resource must remain committed during any RUC-Committed Interval or RUC Buy-Back Hour unless the Resource has a Forced Outage.</w:t>
      </w:r>
    </w:p>
    <w:p w14:paraId="0FD0C960" w14:textId="77777777" w:rsidR="001F04FD" w:rsidRDefault="001F04FD" w:rsidP="001F04FD">
      <w:pPr>
        <w:pStyle w:val="BodyTextNumbered"/>
      </w:pPr>
      <w:r>
        <w:t>(2)</w:t>
      </w:r>
      <w:r>
        <w:tab/>
        <w:t>In the Operating Period, a QSE may request to decommit a Resource other than a Quick Start Generation Resource (QSGR) for any interval that is not a RUC-Committed Interval or RUC Buy-Back Hour by verbally requesting ERCOT to consider its request.</w:t>
      </w:r>
    </w:p>
    <w:p w14:paraId="57CA11AF" w14:textId="77777777" w:rsidR="001F04FD" w:rsidRDefault="001F04FD" w:rsidP="001F04FD">
      <w:pPr>
        <w:pStyle w:val="BodyTextNumbered"/>
      </w:pPr>
      <w:r>
        <w:lastRenderedPageBreak/>
        <w:t>(3)</w:t>
      </w:r>
      <w:r>
        <w:tab/>
        <w:t xml:space="preserve">In the Operating Period, a QSE may decommit a QSGR without any request for any interval that is neither a RUC-Committed Interval, a RUC Buy-Back Hour, nor an interval in which a manual override by the ERCOT Operator has been given. </w:t>
      </w:r>
    </w:p>
    <w:p w14:paraId="7E154E0C" w14:textId="77777777" w:rsidR="001F04FD" w:rsidRDefault="001F04FD" w:rsidP="001F04FD">
      <w:pPr>
        <w:pStyle w:val="BodyTextNumbered"/>
      </w:pPr>
      <w:r>
        <w:t>(4)</w:t>
      </w:r>
      <w:r>
        <w:tab/>
        <w:t>In the Adjustment Period, a QSE may request to decommit a Resource for any interval that is not a RUC-Committed Interval or RUC Buy-Back Hour by indicating a change in unit status in the QSE’s COP</w:t>
      </w:r>
      <w:r w:rsidRPr="00C70B98">
        <w:rPr>
          <w:iCs/>
        </w:rPr>
        <w:t xml:space="preserve">, unless the Resource received a </w:t>
      </w:r>
      <w:r>
        <w:rPr>
          <w:iCs/>
        </w:rPr>
        <w:t>Weekly Reliability Unit Commitment (WRUC)</w:t>
      </w:r>
      <w:r w:rsidRPr="00C70B98">
        <w:rPr>
          <w:iCs/>
        </w:rPr>
        <w:t xml:space="preserve"> instruction for the hour.  A QSE may request to decommit a Resource for any interval that is a WRUC-instructed Interval and that is not a RUC-Committed Interval </w:t>
      </w:r>
      <w:r>
        <w:rPr>
          <w:iCs/>
        </w:rPr>
        <w:t xml:space="preserve">or RUC Buy-Back Hour </w:t>
      </w:r>
      <w:r w:rsidRPr="00C70B98">
        <w:rPr>
          <w:iCs/>
        </w:rPr>
        <w:t>by verbally requesting ERCOT to consider its request</w:t>
      </w:r>
      <w:r>
        <w:t>.</w:t>
      </w:r>
    </w:p>
    <w:p w14:paraId="12601CA5" w14:textId="25363E4B" w:rsidR="001F04FD" w:rsidRDefault="001F04FD" w:rsidP="001F04FD">
      <w:pPr>
        <w:pStyle w:val="BodyTextNumbered"/>
      </w:pPr>
      <w:r>
        <w:t>(5)</w:t>
      </w:r>
      <w:r>
        <w:tab/>
      </w:r>
      <w:r w:rsidR="00C552D9" w:rsidRPr="00EA71DD">
        <w:rPr>
          <w:iCs/>
        </w:rPr>
        <w:t>In the Adjustment Period, a QSE may request ERCOT approval for moving an Ancillary Service Resource Responsibility from one Resource to another Resource by changing its COP</w:t>
      </w:r>
      <w:r w:rsidR="00C552D9">
        <w:t>, provided that the QSE complies with its total Ancillary Service Supply Responsibility</w:t>
      </w:r>
      <w:r w:rsidR="00C552D9" w:rsidRPr="007779E2">
        <w:t>.</w:t>
      </w:r>
      <w:r w:rsidR="00C552D9" w:rsidRPr="00B706A4">
        <w:t xml:space="preserve"> </w:t>
      </w:r>
      <w:r w:rsidR="00C552D9">
        <w:t xml:space="preserve"> Any Ancillary Services transfer must be in alignment with the allowable Ancillary Service Trades, as described in Section 4.4.7.3, Ancillary Service Trades</w:t>
      </w:r>
      <w:r w:rsidR="00C552D9" w:rsidRPr="00EA71DD">
        <w:rPr>
          <w:iCs/>
        </w:rPr>
        <w:t xml:space="preserve">.  A QSE may transfer Ancillary Service Resource Responsibility for any Ancillary Service to </w:t>
      </w:r>
      <w:r w:rsidR="00C552D9">
        <w:rPr>
          <w:iCs/>
        </w:rPr>
        <w:t>an eligible</w:t>
      </w:r>
      <w:r w:rsidR="00C552D9" w:rsidRPr="00EA71DD">
        <w:rPr>
          <w:iCs/>
        </w:rPr>
        <w:t xml:space="preserve"> Resource that has </w:t>
      </w:r>
      <w:r w:rsidR="00C552D9">
        <w:rPr>
          <w:iCs/>
        </w:rPr>
        <w:t>been</w:t>
      </w:r>
      <w:r w:rsidR="00C552D9" w:rsidRPr="00EA71DD">
        <w:rPr>
          <w:iCs/>
        </w:rPr>
        <w:t xml:space="preserve"> opted out of RUC Settlement.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w:t>
      </w:r>
    </w:p>
    <w:p w14:paraId="0C37AA34" w14:textId="7A2D0DFC" w:rsidR="001F04FD" w:rsidRDefault="001F04FD" w:rsidP="00EF74C5">
      <w:pPr>
        <w:pStyle w:val="BodyTextNumbered"/>
      </w:pPr>
      <w:r>
        <w:t>(6)</w:t>
      </w:r>
      <w:r>
        <w:tab/>
        <w:t>In the Operating Period, a QSE shall only provide an Ancillary Service from a Resource which was reported to ERCOT in the COP to be providing that Ancillary Service for the effective Operating Hour unless modified pursuant to paragraph (7) below.</w:t>
      </w:r>
    </w:p>
    <w:p w14:paraId="4E895293" w14:textId="50F42DE5" w:rsidR="001F04FD" w:rsidRDefault="001F04FD" w:rsidP="001F04FD">
      <w:pPr>
        <w:pStyle w:val="BodyTextNumbered"/>
      </w:pPr>
      <w:r>
        <w:t>(7)</w:t>
      </w:r>
      <w:r>
        <w:tab/>
        <w:t>A QSE may vary the quantity of the Ancillary Service Resource Responsibility on Resources</w:t>
      </w:r>
      <w:r w:rsidR="00E7426E">
        <w:t>, through telemetry,</w:t>
      </w:r>
      <w:r>
        <w:t xml:space="preserve"> during the time window beginning 30 seconds prior to a five-minute clock interval and ending ten seconds prior to that five-minute clock interval, provided that the QSE complies with its total Ancillary Service Supply Responsibility.</w:t>
      </w:r>
      <w:r w:rsidR="00E7426E">
        <w:t xml:space="preserve">  Any Ancillary Services transfer must be in alignment with the allowable Ancillary Service Trades, as described in Section 4.4.7.3.</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0B9DB735" w14:textId="77777777" w:rsidTr="0058150D">
        <w:trPr>
          <w:trHeight w:val="206"/>
        </w:trPr>
        <w:tc>
          <w:tcPr>
            <w:tcW w:w="9350" w:type="dxa"/>
            <w:shd w:val="pct12" w:color="auto" w:fill="auto"/>
          </w:tcPr>
          <w:p w14:paraId="235AF022" w14:textId="3066C053" w:rsidR="00B06583" w:rsidRDefault="00B06583" w:rsidP="0058150D">
            <w:pPr>
              <w:pStyle w:val="Instructions"/>
              <w:spacing w:before="120"/>
            </w:pPr>
            <w:bookmarkStart w:id="430" w:name="_Toc397504931"/>
            <w:bookmarkStart w:id="431" w:name="_Toc402357059"/>
            <w:bookmarkStart w:id="432" w:name="_Toc422486439"/>
            <w:bookmarkStart w:id="433" w:name="_Toc433093291"/>
            <w:bookmarkStart w:id="434" w:name="_Toc433093449"/>
            <w:bookmarkStart w:id="435" w:name="_Toc440874678"/>
            <w:bookmarkStart w:id="436" w:name="_Toc448142233"/>
            <w:bookmarkStart w:id="437" w:name="_Toc448142390"/>
            <w:bookmarkStart w:id="438" w:name="_Toc458770226"/>
            <w:bookmarkStart w:id="439" w:name="_Toc459294194"/>
            <w:bookmarkStart w:id="440" w:name="_Toc463262687"/>
            <w:bookmarkStart w:id="441" w:name="_Toc468286759"/>
            <w:bookmarkStart w:id="442" w:name="_Toc481502805"/>
            <w:bookmarkStart w:id="443" w:name="_Toc496079975"/>
            <w:r>
              <w:t xml:space="preserve">[NPRR1010:  Replace Section 6.4.7 above </w:t>
            </w:r>
            <w:r w:rsidR="00525E33">
              <w:t xml:space="preserve">with the following </w:t>
            </w:r>
            <w:r>
              <w:t>upon system implementation of the Real-Time Co-Optimization (RTC) project:]</w:t>
            </w:r>
          </w:p>
          <w:p w14:paraId="2C1BE0BA" w14:textId="77777777" w:rsidR="00B06583" w:rsidRPr="003161DC" w:rsidRDefault="00B06583" w:rsidP="00B06583">
            <w:pPr>
              <w:keepNext/>
              <w:tabs>
                <w:tab w:val="left" w:pos="1080"/>
              </w:tabs>
              <w:spacing w:before="240" w:after="240"/>
              <w:ind w:left="1080" w:hanging="1080"/>
              <w:outlineLvl w:val="2"/>
              <w:rPr>
                <w:b/>
                <w:bCs/>
                <w:i/>
              </w:rPr>
            </w:pPr>
            <w:bookmarkStart w:id="444" w:name="_Toc60040572"/>
            <w:bookmarkStart w:id="445" w:name="_Toc65151632"/>
            <w:bookmarkStart w:id="446" w:name="_Toc80174658"/>
            <w:bookmarkStart w:id="447" w:name="_Toc108712416"/>
            <w:bookmarkStart w:id="448" w:name="_Toc112417536"/>
            <w:bookmarkStart w:id="449" w:name="_Toc119310205"/>
            <w:bookmarkStart w:id="450" w:name="_Toc125966139"/>
            <w:bookmarkStart w:id="451" w:name="_Toc135992236"/>
            <w:bookmarkStart w:id="452" w:name="_Toc170303433"/>
            <w:bookmarkStart w:id="453" w:name="_Toc175157337"/>
            <w:bookmarkStart w:id="454" w:name="_Toc189044310"/>
            <w:r w:rsidRPr="003161DC">
              <w:rPr>
                <w:b/>
                <w:bCs/>
                <w:i/>
              </w:rPr>
              <w:t>6.4.7</w:t>
            </w:r>
            <w:r w:rsidRPr="003161DC">
              <w:rPr>
                <w:b/>
                <w:bCs/>
                <w:i/>
              </w:rPr>
              <w:tab/>
              <w:t>QSE-Requested Decommitment of Resources</w:t>
            </w:r>
            <w:bookmarkEnd w:id="444"/>
            <w:bookmarkEnd w:id="445"/>
            <w:bookmarkEnd w:id="446"/>
            <w:bookmarkEnd w:id="447"/>
            <w:bookmarkEnd w:id="448"/>
            <w:bookmarkEnd w:id="449"/>
            <w:bookmarkEnd w:id="450"/>
            <w:bookmarkEnd w:id="451"/>
            <w:bookmarkEnd w:id="452"/>
            <w:bookmarkEnd w:id="453"/>
            <w:bookmarkEnd w:id="454"/>
            <w:r w:rsidRPr="003161DC">
              <w:rPr>
                <w:b/>
                <w:bCs/>
                <w:i/>
              </w:rPr>
              <w:t xml:space="preserve"> </w:t>
            </w:r>
          </w:p>
          <w:p w14:paraId="4489154A" w14:textId="22777AE6" w:rsidR="00B06583" w:rsidRPr="003161DC" w:rsidRDefault="00B06583" w:rsidP="00B06583">
            <w:pPr>
              <w:spacing w:after="240"/>
              <w:ind w:left="720" w:hanging="720"/>
            </w:pPr>
            <w:r w:rsidRPr="003161DC">
              <w:t>(1)</w:t>
            </w:r>
            <w:r w:rsidRPr="003161DC">
              <w:tab/>
              <w:t>A Resource must remain committed during any RUC-Committed Interval or RUC Buy-Back Hour unless the Resource has a Forced Outage.</w:t>
            </w:r>
          </w:p>
          <w:p w14:paraId="5A0289EE" w14:textId="77777777" w:rsidR="00B06583" w:rsidRPr="003161DC" w:rsidRDefault="00B06583" w:rsidP="00B06583">
            <w:pPr>
              <w:spacing w:after="240"/>
              <w:ind w:left="720" w:hanging="720"/>
            </w:pPr>
            <w:r w:rsidRPr="003161DC">
              <w:t>(2)</w:t>
            </w:r>
            <w:r w:rsidRPr="003161DC">
              <w:tab/>
              <w:t>In the Operating Period, a QSE may request to decommit a Resource other than a Quick Start Generation Resource (QSGR) for any interval that is not a RUC-</w:t>
            </w:r>
            <w:r w:rsidRPr="003161DC">
              <w:lastRenderedPageBreak/>
              <w:t>Committed Interval or RUC Buy-Back Hour by verbally requesting ERCOT to consider its request.</w:t>
            </w:r>
          </w:p>
          <w:p w14:paraId="2E724555" w14:textId="77777777" w:rsidR="00B06583" w:rsidRPr="003161DC" w:rsidRDefault="00B06583" w:rsidP="00B06583">
            <w:pPr>
              <w:spacing w:after="240"/>
              <w:ind w:left="720" w:hanging="720"/>
            </w:pPr>
            <w:r w:rsidRPr="003161DC">
              <w:t>(3)</w:t>
            </w:r>
            <w:r w:rsidRPr="003161DC">
              <w:tab/>
              <w:t xml:space="preserve">In the Operating Period, a QSE may decommit a QSGR without any request for any interval that is neither a RUC-Committed Interval, a RUC Buy-Back Hour, nor an interval in which a manual override by the ERCOT Operator has been given. </w:t>
            </w:r>
          </w:p>
          <w:p w14:paraId="72BB0437" w14:textId="70DA877F" w:rsidR="00B06583" w:rsidRPr="00A4149C" w:rsidRDefault="00B06583" w:rsidP="00B06583">
            <w:pPr>
              <w:spacing w:after="240"/>
              <w:ind w:left="720" w:hanging="720"/>
            </w:pPr>
            <w:r w:rsidRPr="003161DC">
              <w:t>(4)</w:t>
            </w:r>
            <w:r w:rsidRPr="003161DC">
              <w:tab/>
              <w:t>In the Adjustment Period, a QSE may request to decommit a Resource for any interval that is not a RUC-Committed Interval or RUC Buy-Back Hour by indicating a change in unit status in the QSE’s COP</w:t>
            </w:r>
            <w:r w:rsidRPr="003161DC">
              <w:rPr>
                <w:iCs/>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t>.</w:t>
            </w:r>
          </w:p>
        </w:tc>
      </w:tr>
    </w:tbl>
    <w:p w14:paraId="0531A866" w14:textId="77777777" w:rsidR="001F04FD" w:rsidRDefault="001F04FD" w:rsidP="001F04FD">
      <w:pPr>
        <w:pStyle w:val="H4"/>
        <w:spacing w:before="480"/>
        <w:ind w:left="1267" w:hanging="1267"/>
      </w:pPr>
      <w:bookmarkStart w:id="455" w:name="_Toc189044311"/>
      <w:r>
        <w:lastRenderedPageBreak/>
        <w:t>6.4.7.1</w:t>
      </w:r>
      <w:r>
        <w:tab/>
        <w:t>QSE Request to Decommit Resources in the Operating Period</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55"/>
    </w:p>
    <w:p w14:paraId="5D16001C" w14:textId="77777777" w:rsidR="001F04FD" w:rsidRDefault="001F04FD" w:rsidP="001F04FD">
      <w:pPr>
        <w:pStyle w:val="BodyTextNumbered"/>
      </w:pPr>
      <w:r>
        <w:t>(1)</w:t>
      </w:r>
      <w:r>
        <w:tab/>
        <w:t>For a request made during the Operating Period to decommit a Resource, ERCOT may perform a study using Real-Time conditions to determine if ERCOT will remain n-1 secure with that Resource Off-Line.  ERCOT may grant the request provided the Resource is not providing any Ancillary Service Resource Responsibility and if analysis indicates the Resource Outage contingency results in no additional active constraints for SCED.  ERCOT may only approve requests that do not have a reliability impact.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D087460" w14:textId="77777777" w:rsidTr="0058150D">
        <w:trPr>
          <w:trHeight w:val="206"/>
        </w:trPr>
        <w:tc>
          <w:tcPr>
            <w:tcW w:w="9350" w:type="dxa"/>
            <w:shd w:val="pct12" w:color="auto" w:fill="auto"/>
          </w:tcPr>
          <w:p w14:paraId="58B09D99" w14:textId="2535DACC" w:rsidR="00B06583" w:rsidRDefault="00B06583"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0C0954D7" w14:textId="67EB5D88" w:rsidR="00B06583" w:rsidRPr="00A4149C" w:rsidRDefault="00B06583" w:rsidP="00B06583">
            <w:pPr>
              <w:spacing w:after="240"/>
              <w:ind w:left="720" w:hanging="720"/>
            </w:pPr>
            <w:r w:rsidRPr="003161DC">
              <w:t>(1)</w:t>
            </w:r>
            <w:r w:rsidRPr="003161DC">
              <w:tab/>
              <w:t>For a request made during the Operating Period to decommit a Resource, ERCOT may perform a study using Real-Time conditions to determine if ERCOT will remain n-1 secure with that Resource Off-Line.  ERCOT may grant the req</w:t>
            </w:r>
            <w:r>
              <w:t>uest provided the</w:t>
            </w:r>
            <w:r w:rsidRPr="003161DC">
              <w:t xml:space="preserve"> analysis indicates the Resource Outage contingency results in no additional active constraints for SCED.  ERCOT may only approve requests that do not have a reliability impact.</w:t>
            </w:r>
          </w:p>
        </w:tc>
      </w:tr>
    </w:tbl>
    <w:p w14:paraId="300F0EB6" w14:textId="569AA2DD" w:rsidR="001F04FD" w:rsidRDefault="001F04FD" w:rsidP="000B1D41">
      <w:pPr>
        <w:pStyle w:val="BodyTextNumbered"/>
        <w:spacing w:before="240"/>
      </w:pPr>
      <w:r>
        <w:t>(2)</w:t>
      </w:r>
      <w:r>
        <w:tab/>
        <w:t>If more units are requesting decommitment than can be accommodated, ERCOT shall review the requests in order of receipt.</w:t>
      </w:r>
    </w:p>
    <w:p w14:paraId="4CB41C1B" w14:textId="77777777" w:rsidR="001F04FD" w:rsidRDefault="001F04FD" w:rsidP="001F04FD">
      <w:pPr>
        <w:pStyle w:val="H4"/>
        <w:spacing w:before="480"/>
        <w:ind w:left="1267" w:hanging="1267"/>
      </w:pPr>
      <w:bookmarkStart w:id="456" w:name="_Toc397504932"/>
      <w:bookmarkStart w:id="457" w:name="_Toc402357060"/>
      <w:bookmarkStart w:id="458" w:name="_Toc422486440"/>
      <w:bookmarkStart w:id="459" w:name="_Toc433093292"/>
      <w:bookmarkStart w:id="460" w:name="_Toc433093450"/>
      <w:bookmarkStart w:id="461" w:name="_Toc440874679"/>
      <w:bookmarkStart w:id="462" w:name="_Toc448142234"/>
      <w:bookmarkStart w:id="463" w:name="_Toc448142391"/>
      <w:bookmarkStart w:id="464" w:name="_Toc458770227"/>
      <w:bookmarkStart w:id="465" w:name="_Toc459294195"/>
      <w:bookmarkStart w:id="466" w:name="_Toc463262688"/>
      <w:bookmarkStart w:id="467" w:name="_Toc468286760"/>
      <w:bookmarkStart w:id="468" w:name="_Toc481502806"/>
      <w:bookmarkStart w:id="469" w:name="_Toc496079976"/>
      <w:bookmarkStart w:id="470" w:name="_Toc189044312"/>
      <w:r>
        <w:t>6.4.7.2</w:t>
      </w:r>
      <w:r>
        <w:tab/>
        <w:t>QSE Request to Decommit Resources in the Adjustment Period</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34A7164B" w14:textId="77777777" w:rsidR="001F04FD" w:rsidRDefault="001F04FD" w:rsidP="001F04FD">
      <w:pPr>
        <w:pStyle w:val="BodyTextNumbered"/>
      </w:pPr>
      <w:r>
        <w:t>(1)</w:t>
      </w:r>
      <w:r>
        <w:tab/>
        <w:t xml:space="preserve">To decommit an otherwise available Resource for hours other than the Operating Period, the QSE must update the COP indicating the change in Resource Status for each hour in the COP for the remaining hours in the Adjustment Period. On detection of a change from On-Line to Off-Line Available state in future hours for a Resource, ERCOT shall </w:t>
      </w:r>
      <w:r>
        <w:lastRenderedPageBreak/>
        <w:t xml:space="preserve">review all requests for decommitment using the next scheduled HRUC.  The Resource must be shown as available for HRUC commitment.  </w:t>
      </w:r>
      <w:r w:rsidRPr="00530066">
        <w:rPr>
          <w:szCs w:val="24"/>
        </w:rPr>
        <w:t>ERCOT shall also review the list of Off-</w:t>
      </w:r>
      <w:r>
        <w:rPr>
          <w:szCs w:val="24"/>
        </w:rPr>
        <w:t>L</w:t>
      </w:r>
      <w:r w:rsidRPr="00530066">
        <w:rPr>
          <w:szCs w:val="24"/>
        </w:rPr>
        <w:t>ine Available Resources with a start-up time of one hour or less</w:t>
      </w:r>
      <w:r w:rsidRPr="00530066">
        <w:t>.</w:t>
      </w:r>
      <w:r>
        <w:t xml:space="preserve">  The next HRUC commitment must consider the Resource’s Minimum-Energy Offer excluding the Resource’s Startup Offer from the Three-Part Supply Offer.</w:t>
      </w:r>
    </w:p>
    <w:p w14:paraId="090F16F6" w14:textId="77777777" w:rsidR="001F04FD" w:rsidRDefault="001F04FD" w:rsidP="001F04FD">
      <w:pPr>
        <w:pStyle w:val="BodyTextNumbered"/>
      </w:pPr>
      <w:r>
        <w:t>(2)</w:t>
      </w:r>
      <w:r>
        <w:tab/>
        <w:t>If HRUC continues to require the Resource to be committed, ERCOT shall notify the QSE, using the process described in Section 5.5.3, Communication of RUC Commitments and Decommitments, that the decommitment has been denied, and the affected intervals become RUC-Committed Intervals instead of QSE-Committed Intervals for RUC Settlement purposes. The QSE must update its COP to denote the RUC-Committed Intervals.</w:t>
      </w:r>
    </w:p>
    <w:p w14:paraId="22F09B6F" w14:textId="77777777" w:rsidR="001F04FD" w:rsidRDefault="001F04FD" w:rsidP="001F04FD">
      <w:pPr>
        <w:pStyle w:val="H3"/>
        <w:spacing w:before="480"/>
      </w:pPr>
      <w:bookmarkStart w:id="471" w:name="_Toc72750554"/>
      <w:bookmarkStart w:id="472" w:name="_Toc73215986"/>
      <w:bookmarkStart w:id="473" w:name="_Toc397504933"/>
      <w:bookmarkStart w:id="474" w:name="_Toc402357061"/>
      <w:bookmarkStart w:id="475" w:name="_Toc422486441"/>
      <w:bookmarkStart w:id="476" w:name="_Toc433093293"/>
      <w:bookmarkStart w:id="477" w:name="_Toc433093451"/>
      <w:bookmarkStart w:id="478" w:name="_Toc440874680"/>
      <w:bookmarkStart w:id="479" w:name="_Toc448142235"/>
      <w:bookmarkStart w:id="480" w:name="_Toc448142392"/>
      <w:bookmarkStart w:id="481" w:name="_Toc458770228"/>
      <w:bookmarkStart w:id="482" w:name="_Toc459294196"/>
      <w:bookmarkStart w:id="483" w:name="_Toc463262689"/>
      <w:bookmarkStart w:id="484" w:name="_Toc468286761"/>
      <w:bookmarkStart w:id="485" w:name="_Toc481502807"/>
      <w:bookmarkStart w:id="486" w:name="_Toc496079977"/>
      <w:bookmarkStart w:id="487" w:name="_Toc189044313"/>
      <w:r>
        <w:t>6.4.</w:t>
      </w:r>
      <w:r w:rsidRPr="00BF28AE">
        <w:t>8</w:t>
      </w:r>
      <w:r>
        <w:tab/>
        <w:t>Notification of Forced Outage of a Resource</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2BBC4819" w14:textId="77777777" w:rsidR="00DE555F" w:rsidRDefault="00DE555F" w:rsidP="00DE555F">
      <w:pPr>
        <w:pStyle w:val="BodyTextNumbered"/>
      </w:pPr>
      <w:r>
        <w:t>(1)</w:t>
      </w:r>
      <w:r>
        <w:tab/>
        <w:t xml:space="preserve">In the event of a Forced Outage of a Resource, </w:t>
      </w:r>
      <w:r w:rsidRPr="00503629">
        <w:t>the telemetered status of the Resource automatically notifies ERCOT of the event.</w:t>
      </w:r>
      <w:r>
        <w:t xml:space="preserve">  In the event of a Forced Outage, the telemetered Resource Status shall be changed to the appropriate Off-Line status as soon as practicable but no longer than 15 minutes after the Forced Outage occurs.</w:t>
      </w:r>
    </w:p>
    <w:p w14:paraId="7126BA53" w14:textId="77777777" w:rsidR="00DE555F" w:rsidRDefault="00DE555F" w:rsidP="00DE555F">
      <w:pPr>
        <w:pStyle w:val="BodyTextNumbered"/>
      </w:pPr>
      <w:r>
        <w:t>(2)</w:t>
      </w:r>
      <w:r>
        <w:tab/>
        <w:t>In the event of a Forced Outage or an impending Forced Outage, the Resource Entity or its designee shall inform ERCOT of the following in the Outage Scheduler:</w:t>
      </w:r>
    </w:p>
    <w:p w14:paraId="75C6FAC9" w14:textId="77777777" w:rsidR="00DE555F" w:rsidRDefault="00DE555F" w:rsidP="00DE555F">
      <w:pPr>
        <w:pStyle w:val="List"/>
      </w:pPr>
      <w:r>
        <w:t>(a)</w:t>
      </w:r>
      <w:r>
        <w:tab/>
        <w:t>Time of expected change in Resource Status or rating;</w:t>
      </w:r>
    </w:p>
    <w:p w14:paraId="6D8FDBF1" w14:textId="77777777" w:rsidR="00DE555F" w:rsidRDefault="00DE555F" w:rsidP="00DE555F">
      <w:pPr>
        <w:pStyle w:val="List"/>
      </w:pPr>
      <w:r>
        <w:t>(b)</w:t>
      </w:r>
      <w:r>
        <w:tab/>
        <w:t>Text message describing the nature of the Forced Outage or de-rating updated as new information becomes available; and</w:t>
      </w:r>
    </w:p>
    <w:p w14:paraId="42F58E2F" w14:textId="77777777" w:rsidR="00DE555F" w:rsidRDefault="00DE555F" w:rsidP="00DE555F">
      <w:pPr>
        <w:pStyle w:val="List"/>
      </w:pPr>
      <w:r>
        <w:t>(c)</w:t>
      </w:r>
      <w:r>
        <w:tab/>
        <w:t>The expected minimum and maximum duration of the Forced Outage or de-rating.</w:t>
      </w:r>
    </w:p>
    <w:p w14:paraId="615C6EA0" w14:textId="0535FB95" w:rsidR="00DE555F" w:rsidRDefault="00DE555F" w:rsidP="00DE555F">
      <w:pPr>
        <w:pStyle w:val="BodyTextNumbered"/>
      </w:pPr>
      <w:r>
        <w:t>(3)</w:t>
      </w:r>
      <w:r>
        <w:tab/>
        <w:t xml:space="preserve">In the event of a Forced Outage, the QSE must update the Resource’s </w:t>
      </w:r>
      <w:r w:rsidRPr="00AF54E6">
        <w:t>COP</w:t>
      </w:r>
      <w:r w:rsidRPr="00753E49">
        <w:t xml:space="preserve"> </w:t>
      </w:r>
      <w:r>
        <w:t>as soon as practicable but no longer than 60 minutes</w:t>
      </w:r>
      <w:r w:rsidRPr="00503629">
        <w:t xml:space="preserve"> after the</w:t>
      </w:r>
      <w:r>
        <w:t xml:space="preserve"> Forced Outage occurs</w:t>
      </w:r>
      <w:r w:rsidRPr="00503629">
        <w:t>.</w:t>
      </w:r>
    </w:p>
    <w:p w14:paraId="518F7DE8" w14:textId="77777777" w:rsidR="00DE555F" w:rsidRDefault="00DE555F" w:rsidP="00DE555F">
      <w:pPr>
        <w:pStyle w:val="BodyTextNumbered"/>
      </w:pPr>
      <w:r w:rsidRPr="008A398D">
        <w:t>(4)</w:t>
      </w:r>
      <w:r w:rsidRPr="008A398D">
        <w:tab/>
        <w:t>Each QSE shall timely update the telemetered Resource Status and COP unless in the reasonable judgment of the QSE, such compliance would create an undue threat to safety</w:t>
      </w:r>
      <w:r w:rsidRPr="0028006B">
        <w:t>, undue risk of bodily harm, or undue damage to equipment.  The QSE is excused from updating the telemetered Resource Status</w:t>
      </w:r>
      <w:r w:rsidRPr="008C7A95">
        <w:t xml:space="preserve"> and/or COP only for so long as the undue threat to safety, undue risk of bodily harm, or undue damage to equipment exists.  </w:t>
      </w:r>
      <w:r w:rsidRPr="00055D51">
        <w:rPr>
          <w:color w:val="000000" w:themeColor="text1"/>
          <w:szCs w:val="24"/>
        </w:rPr>
        <w:t xml:space="preserve">The time for updating the telemetered Resource Status </w:t>
      </w:r>
      <w:r w:rsidRPr="0028006B">
        <w:rPr>
          <w:color w:val="000000" w:themeColor="text1"/>
          <w:szCs w:val="24"/>
        </w:rPr>
        <w:t>and/or COP begins once the undue threat to safety, undue risk of bodily harm, or undue damage to equipment no longer exists.</w:t>
      </w:r>
    </w:p>
    <w:p w14:paraId="50E2BB54" w14:textId="77777777" w:rsidR="001F04FD" w:rsidRDefault="001F04FD" w:rsidP="00F969DB">
      <w:pPr>
        <w:pStyle w:val="H3"/>
      </w:pPr>
      <w:bookmarkStart w:id="488" w:name="_Toc397504934"/>
      <w:bookmarkStart w:id="489" w:name="_Toc402357062"/>
      <w:bookmarkStart w:id="490" w:name="_Toc422486442"/>
      <w:bookmarkStart w:id="491" w:name="_Toc433093294"/>
      <w:bookmarkStart w:id="492" w:name="_Toc433093452"/>
      <w:bookmarkStart w:id="493" w:name="_Toc440874681"/>
      <w:bookmarkStart w:id="494" w:name="_Toc448142236"/>
      <w:bookmarkStart w:id="495" w:name="_Toc448142393"/>
      <w:bookmarkStart w:id="496" w:name="_Toc458770229"/>
      <w:bookmarkStart w:id="497" w:name="_Toc459294197"/>
      <w:bookmarkStart w:id="498" w:name="_Toc463262690"/>
      <w:bookmarkStart w:id="499" w:name="_Toc468286762"/>
      <w:bookmarkStart w:id="500" w:name="_Toc481502808"/>
      <w:bookmarkStart w:id="501" w:name="_Toc496079978"/>
      <w:bookmarkStart w:id="502" w:name="_Toc189044314"/>
      <w:r>
        <w:t>6.4.</w:t>
      </w:r>
      <w:r w:rsidRPr="00BF28AE">
        <w:t>9</w:t>
      </w:r>
      <w:r>
        <w:tab/>
        <w:t>Ancillary Services Capacity During the Adjustment Period and in Real-Time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1285AF4" w14:textId="77777777" w:rsidTr="0058150D">
        <w:trPr>
          <w:trHeight w:val="206"/>
        </w:trPr>
        <w:tc>
          <w:tcPr>
            <w:tcW w:w="9350" w:type="dxa"/>
            <w:shd w:val="pct12" w:color="auto" w:fill="auto"/>
          </w:tcPr>
          <w:p w14:paraId="1E8D9338" w14:textId="552E5847" w:rsidR="00B06583" w:rsidRDefault="00B06583" w:rsidP="0058150D">
            <w:pPr>
              <w:pStyle w:val="Instructions"/>
              <w:spacing w:before="120"/>
            </w:pPr>
            <w:bookmarkStart w:id="503" w:name="_Toc397504935"/>
            <w:bookmarkStart w:id="504" w:name="_Toc402357063"/>
            <w:bookmarkStart w:id="505" w:name="_Toc422486443"/>
            <w:bookmarkStart w:id="506" w:name="_Toc433093295"/>
            <w:bookmarkStart w:id="507" w:name="_Toc433093453"/>
            <w:bookmarkStart w:id="508" w:name="_Toc440874682"/>
            <w:bookmarkStart w:id="509" w:name="_Toc448142237"/>
            <w:bookmarkStart w:id="510" w:name="_Toc448142394"/>
            <w:bookmarkStart w:id="511" w:name="_Toc458770230"/>
            <w:bookmarkStart w:id="512" w:name="_Toc459294198"/>
            <w:bookmarkStart w:id="513" w:name="_Toc463262691"/>
            <w:bookmarkStart w:id="514" w:name="_Toc468286763"/>
            <w:bookmarkStart w:id="515" w:name="_Toc481502809"/>
            <w:bookmarkStart w:id="516" w:name="_Toc496079979"/>
            <w:r>
              <w:t xml:space="preserve">[NPRR1010:  Replace Section 6.4.9 above </w:t>
            </w:r>
            <w:r w:rsidR="00525E33">
              <w:t xml:space="preserve">with the following </w:t>
            </w:r>
            <w:r>
              <w:t>upon system implementation of the Real-Time Co-Optimization (RTC) project:]</w:t>
            </w:r>
          </w:p>
          <w:p w14:paraId="71374A40" w14:textId="3F75EDE0" w:rsidR="00B06583" w:rsidRPr="00B06583" w:rsidRDefault="00B06583" w:rsidP="00B06583">
            <w:pPr>
              <w:keepNext/>
              <w:tabs>
                <w:tab w:val="left" w:pos="1080"/>
              </w:tabs>
              <w:spacing w:before="240" w:after="240"/>
              <w:ind w:left="1080" w:hanging="1080"/>
              <w:outlineLvl w:val="2"/>
              <w:rPr>
                <w:b/>
                <w:bCs/>
                <w:i/>
              </w:rPr>
            </w:pPr>
            <w:bookmarkStart w:id="517" w:name="_Toc60040577"/>
            <w:bookmarkStart w:id="518" w:name="_Toc65151637"/>
            <w:bookmarkStart w:id="519" w:name="_Toc80174663"/>
            <w:bookmarkStart w:id="520" w:name="_Toc108712421"/>
            <w:bookmarkStart w:id="521" w:name="_Toc112417541"/>
            <w:bookmarkStart w:id="522" w:name="_Toc119310210"/>
            <w:bookmarkStart w:id="523" w:name="_Toc125966144"/>
            <w:bookmarkStart w:id="524" w:name="_Toc135992241"/>
            <w:bookmarkStart w:id="525" w:name="_Toc170303438"/>
            <w:bookmarkStart w:id="526" w:name="_Toc175157342"/>
            <w:bookmarkStart w:id="527" w:name="_Toc189044315"/>
            <w:r w:rsidRPr="003161DC">
              <w:rPr>
                <w:b/>
                <w:bCs/>
                <w:i/>
              </w:rPr>
              <w:lastRenderedPageBreak/>
              <w:t>6.4.9</w:t>
            </w:r>
            <w:r w:rsidRPr="003161DC">
              <w:rPr>
                <w:b/>
                <w:bCs/>
                <w:i/>
              </w:rPr>
              <w:tab/>
            </w:r>
            <w:r>
              <w:rPr>
                <w:b/>
                <w:bCs/>
                <w:i/>
              </w:rPr>
              <w:t>Real-Time Ancillary Service Offers and Awards</w:t>
            </w:r>
            <w:bookmarkEnd w:id="517"/>
            <w:bookmarkEnd w:id="518"/>
            <w:bookmarkEnd w:id="519"/>
            <w:bookmarkEnd w:id="520"/>
            <w:bookmarkEnd w:id="521"/>
            <w:bookmarkEnd w:id="522"/>
            <w:bookmarkEnd w:id="523"/>
            <w:bookmarkEnd w:id="524"/>
            <w:bookmarkEnd w:id="525"/>
            <w:bookmarkEnd w:id="526"/>
            <w:bookmarkEnd w:id="527"/>
          </w:p>
        </w:tc>
      </w:tr>
    </w:tbl>
    <w:p w14:paraId="25397529" w14:textId="77777777" w:rsidR="001F04FD" w:rsidRDefault="001F04FD" w:rsidP="001F04FD">
      <w:pPr>
        <w:pStyle w:val="H4"/>
        <w:spacing w:before="480"/>
      </w:pPr>
      <w:bookmarkStart w:id="528" w:name="_Toc189044316"/>
      <w:r>
        <w:lastRenderedPageBreak/>
        <w:t>6.4.9.1</w:t>
      </w:r>
      <w:r>
        <w:tab/>
        <w:t>Evaluation and Maintenance of Ancillary Service Capacity Sufficiency</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28"/>
      <w:r>
        <w:t xml:space="preserve"> </w:t>
      </w:r>
    </w:p>
    <w:p w14:paraId="28507219" w14:textId="77777777" w:rsidR="001F04FD" w:rsidRDefault="001F04FD" w:rsidP="001F04FD">
      <w:pPr>
        <w:pStyle w:val="BodyTextNumbered"/>
      </w:pPr>
      <w:r>
        <w:t>(1)</w:t>
      </w:r>
      <w:r>
        <w:tab/>
        <w:t>ERCOT shall evaluate Ancillary Service requirements and capacity sufficiency using evaluation tools including the Ancillary Services Capacity Monitor, described in Section 6.5.7.5, Ancillary Services Capacity Monitor, throughout the Adjustment Period and Operating Period.</w:t>
      </w:r>
    </w:p>
    <w:p w14:paraId="3135F882" w14:textId="77777777" w:rsidR="001F04FD" w:rsidRDefault="001F04FD" w:rsidP="001F04FD">
      <w:pPr>
        <w:pStyle w:val="BodyTextNumbered"/>
      </w:pPr>
      <w:r>
        <w:t>(2)</w:t>
      </w:r>
      <w:r>
        <w:tab/>
        <w:t>ERCOT may procure Ancillary Services in the Adjustment Period for the following reasons:</w:t>
      </w:r>
    </w:p>
    <w:p w14:paraId="7E8B5B61" w14:textId="77777777" w:rsidR="001F04FD" w:rsidRDefault="001F04FD" w:rsidP="001F04FD">
      <w:pPr>
        <w:pStyle w:val="List"/>
      </w:pPr>
      <w:r>
        <w:t xml:space="preserve">(a) </w:t>
      </w:r>
      <w:r>
        <w:tab/>
        <w:t>Increased need of Ancillary Services capacity above that specified in the Day-Ahead;</w:t>
      </w:r>
    </w:p>
    <w:p w14:paraId="433D955E" w14:textId="77777777" w:rsidR="001F04FD" w:rsidRDefault="001F04FD" w:rsidP="001F04FD">
      <w:pPr>
        <w:pStyle w:val="List"/>
      </w:pPr>
      <w:r>
        <w:t xml:space="preserve">(b) </w:t>
      </w:r>
      <w:r>
        <w:tab/>
      </w:r>
      <w:r w:rsidR="00CD0E1A" w:rsidRPr="007779E2">
        <w:t xml:space="preserve">Replacement of Ancillary Services capacity that is </w:t>
      </w:r>
      <w:r w:rsidR="00CD0E1A">
        <w:t>infeasible</w:t>
      </w:r>
      <w:r w:rsidR="00CD0E1A" w:rsidRPr="007779E2">
        <w:t xml:space="preserve"> due </w:t>
      </w:r>
      <w:r w:rsidR="00CD0E1A">
        <w:t>to transmission constraints; or</w:t>
      </w:r>
    </w:p>
    <w:p w14:paraId="2C981E2D" w14:textId="77777777" w:rsidR="001F04FD" w:rsidRDefault="001F04FD" w:rsidP="00F26F08">
      <w:pPr>
        <w:pStyle w:val="List"/>
      </w:pPr>
      <w:r>
        <w:t xml:space="preserve">(c) </w:t>
      </w:r>
      <w:r>
        <w:tab/>
        <w:t>Replacement of Ancillary Services capacity due to failure to provide.</w:t>
      </w:r>
    </w:p>
    <w:p w14:paraId="62CA74D2" w14:textId="77777777" w:rsidR="001F04FD" w:rsidRDefault="001F04FD" w:rsidP="001F04FD">
      <w:pPr>
        <w:pStyle w:val="BodyTextNumbered"/>
      </w:pPr>
      <w:r>
        <w:t>(3)</w:t>
      </w:r>
      <w:r>
        <w:tab/>
      </w:r>
      <w:r w:rsidR="00CD0E1A" w:rsidRPr="007779E2">
        <w:t xml:space="preserve">A QSE may change the specific Resources supplying Ancillary Services under Section 3.9, Current Operating Plan (COP), using the QSE’s Ancillary Service Resource Responsibility in the COP only if, in ERCOT’s determination, that change does not adversely affect the </w:t>
      </w:r>
      <w:r w:rsidR="00CD0E1A">
        <w:t>feasibility</w:t>
      </w:r>
      <w:r w:rsidR="00CD0E1A" w:rsidRPr="007779E2">
        <w:t xml:space="preserve"> of the service(s) being allocated to an alternate Resource and if that change does not adversely affect the </w:t>
      </w:r>
      <w:r w:rsidR="00CD0E1A">
        <w:t>feasibility</w:t>
      </w:r>
      <w:r w:rsidR="00CD0E1A" w:rsidRPr="007779E2">
        <w:t xml:space="preserve">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w:t>
      </w:r>
      <w:r w:rsidR="00CD0E1A">
        <w:t>feasibility</w:t>
      </w:r>
      <w:r w:rsidR="00CD0E1A" w:rsidRPr="007779E2">
        <w:t xml:space="preserve"> and communicate to the QSE if the change is not approved.  The QSE must update its COP to reflect the ERCOT decision.  If ERCOT does not act on the request by the beginning of the Operating Hour in which the change will take effect, </w:t>
      </w:r>
      <w:r w:rsidR="00CD0E1A">
        <w:t>the request is deemed approved.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342F01E4" w14:textId="77777777" w:rsidTr="0058150D">
        <w:trPr>
          <w:trHeight w:val="206"/>
        </w:trPr>
        <w:tc>
          <w:tcPr>
            <w:tcW w:w="9350" w:type="dxa"/>
            <w:shd w:val="pct12" w:color="auto" w:fill="auto"/>
          </w:tcPr>
          <w:p w14:paraId="6C339F1D" w14:textId="0B4CA7F4" w:rsidR="00B06583" w:rsidRDefault="00B06583" w:rsidP="0058150D">
            <w:pPr>
              <w:pStyle w:val="Instructions"/>
              <w:spacing w:before="120"/>
            </w:pPr>
            <w:bookmarkStart w:id="529" w:name="_Toc397504936"/>
            <w:bookmarkStart w:id="530" w:name="_Toc402357064"/>
            <w:bookmarkStart w:id="531" w:name="_Toc422486444"/>
            <w:bookmarkStart w:id="532" w:name="_Toc433093296"/>
            <w:bookmarkStart w:id="533" w:name="_Toc433093454"/>
            <w:bookmarkStart w:id="534" w:name="_Toc440874683"/>
            <w:bookmarkStart w:id="535" w:name="_Toc448142238"/>
            <w:bookmarkStart w:id="536" w:name="_Toc448142395"/>
            <w:bookmarkStart w:id="537" w:name="_Toc458770231"/>
            <w:bookmarkStart w:id="538" w:name="_Toc459294199"/>
            <w:bookmarkStart w:id="539" w:name="_Toc463262692"/>
            <w:bookmarkStart w:id="540" w:name="_Toc468286764"/>
            <w:bookmarkStart w:id="541" w:name="_Toc481502810"/>
            <w:bookmarkStart w:id="542" w:name="_Toc496079980"/>
            <w:r>
              <w:t xml:space="preserve">[NPRR1010:  Replace Section 6.4.9.1 above </w:t>
            </w:r>
            <w:r w:rsidR="00525E33">
              <w:t xml:space="preserve">with the following </w:t>
            </w:r>
            <w:r>
              <w:t>upon system implementation of the Real-Time Co-Optimization (RTC) project:]</w:t>
            </w:r>
          </w:p>
          <w:p w14:paraId="02BAD547" w14:textId="77777777" w:rsidR="00B06583" w:rsidRDefault="00B06583" w:rsidP="00B06583">
            <w:pPr>
              <w:keepNext/>
              <w:widowControl w:val="0"/>
              <w:tabs>
                <w:tab w:val="left" w:pos="1260"/>
              </w:tabs>
              <w:spacing w:before="480" w:after="240"/>
              <w:ind w:left="1267" w:hanging="1267"/>
              <w:outlineLvl w:val="3"/>
              <w:rPr>
                <w:b/>
                <w:bCs/>
                <w:snapToGrid w:val="0"/>
              </w:rPr>
            </w:pPr>
            <w:bookmarkStart w:id="543" w:name="_Toc60040579"/>
            <w:bookmarkStart w:id="544" w:name="_Toc65151639"/>
            <w:bookmarkStart w:id="545" w:name="_Toc80174665"/>
            <w:bookmarkStart w:id="546" w:name="_Toc108712423"/>
            <w:bookmarkStart w:id="547" w:name="_Toc112417543"/>
            <w:bookmarkStart w:id="548" w:name="_Toc119310212"/>
            <w:bookmarkStart w:id="549" w:name="_Toc125966146"/>
            <w:bookmarkStart w:id="550" w:name="_Toc135992243"/>
            <w:bookmarkStart w:id="551" w:name="_Toc170303440"/>
            <w:bookmarkStart w:id="552" w:name="_Toc175157344"/>
            <w:bookmarkStart w:id="553" w:name="_Toc189044317"/>
            <w:r w:rsidRPr="003161DC">
              <w:rPr>
                <w:b/>
                <w:bCs/>
                <w:snapToGrid w:val="0"/>
              </w:rPr>
              <w:t>6.4.9.1</w:t>
            </w:r>
            <w:r w:rsidRPr="003161DC">
              <w:rPr>
                <w:b/>
                <w:bCs/>
                <w:snapToGrid w:val="0"/>
              </w:rPr>
              <w:tab/>
            </w:r>
            <w:r>
              <w:rPr>
                <w:b/>
                <w:bCs/>
                <w:snapToGrid w:val="0"/>
              </w:rPr>
              <w:t>Ancillary Service Offers</w:t>
            </w:r>
            <w:bookmarkEnd w:id="543"/>
            <w:bookmarkEnd w:id="544"/>
            <w:bookmarkEnd w:id="545"/>
            <w:bookmarkEnd w:id="546"/>
            <w:bookmarkEnd w:id="547"/>
            <w:bookmarkEnd w:id="548"/>
            <w:bookmarkEnd w:id="549"/>
            <w:bookmarkEnd w:id="550"/>
            <w:bookmarkEnd w:id="551"/>
            <w:bookmarkEnd w:id="552"/>
            <w:bookmarkEnd w:id="553"/>
          </w:p>
          <w:p w14:paraId="5494C767" w14:textId="77777777" w:rsidR="00B06583" w:rsidRDefault="00B06583" w:rsidP="00B06583">
            <w:pPr>
              <w:spacing w:after="240"/>
              <w:ind w:left="720" w:hanging="720"/>
            </w:pPr>
            <w:r w:rsidRPr="00A81A3B">
              <w:t>(1)</w:t>
            </w:r>
            <w:r w:rsidRPr="00A81A3B">
              <w:tab/>
            </w:r>
            <w:r w:rsidRPr="003161DC">
              <w:t xml:space="preserve">A detailed description of </w:t>
            </w:r>
            <w:r>
              <w:t>the Ancillary Service</w:t>
            </w:r>
            <w:r w:rsidRPr="003161DC">
              <w:t xml:space="preserve"> Offer</w:t>
            </w:r>
            <w:r>
              <w:t>s</w:t>
            </w:r>
            <w:r w:rsidRPr="003161DC">
              <w:t xml:space="preserve"> and validations performed by ERCOT is in Section 4.4.</w:t>
            </w:r>
            <w:r>
              <w:t>7.2,</w:t>
            </w:r>
            <w:r w:rsidRPr="00175161">
              <w:t xml:space="preserve"> Ancillary Service Offers</w:t>
            </w:r>
            <w:r w:rsidRPr="003161DC">
              <w:t>.</w:t>
            </w:r>
          </w:p>
          <w:p w14:paraId="136C1359" w14:textId="67937E34" w:rsidR="00B06583" w:rsidRPr="00B06583" w:rsidRDefault="00B06583" w:rsidP="00B06583">
            <w:pPr>
              <w:spacing w:after="240"/>
              <w:ind w:left="720" w:hanging="720"/>
            </w:pPr>
            <w:r>
              <w:lastRenderedPageBreak/>
              <w:t>(2)</w:t>
            </w:r>
            <w:r>
              <w:tab/>
              <w:t>QSEs may update their Ancillary Service Offers in Real-Time.  SCED shall use the latest updated Ancillary Service Offers available to it at the time of the SCED execution.</w:t>
            </w:r>
          </w:p>
        </w:tc>
      </w:tr>
    </w:tbl>
    <w:p w14:paraId="0BF07947" w14:textId="77777777" w:rsidR="001F04FD" w:rsidRDefault="001F04FD" w:rsidP="000B1D41">
      <w:pPr>
        <w:pStyle w:val="H5"/>
        <w:spacing w:before="480"/>
        <w:ind w:left="1627" w:hanging="1627"/>
      </w:pPr>
      <w:bookmarkStart w:id="554" w:name="_Toc189044318"/>
      <w:r>
        <w:lastRenderedPageBreak/>
        <w:t>6.4.9.1.1</w:t>
      </w:r>
      <w:r>
        <w:tab/>
        <w:t>ERCOT Increases to the Ancillary Services Plan</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54"/>
    </w:p>
    <w:p w14:paraId="23695C3B" w14:textId="77777777" w:rsidR="001F04FD" w:rsidRDefault="001F04FD" w:rsidP="001F04FD">
      <w:pPr>
        <w:pStyle w:val="BodyTextNumbered"/>
      </w:pPr>
      <w:r>
        <w:t>(1)</w:t>
      </w:r>
      <w:r>
        <w:tab/>
        <w:t>If ERCOT determines in the Adjustment Period, in its sole discretion, that more Ancillary Services are needed for one or more Operating Hours than were provided in the Day-Ahead Ancillary Services Plan, it shall notify each QSE of its increased Ancillary Service Supply Obligation.</w:t>
      </w:r>
    </w:p>
    <w:p w14:paraId="1C040932" w14:textId="67CE6A51" w:rsidR="001F04FD" w:rsidRDefault="001F04FD" w:rsidP="001F04FD">
      <w:pPr>
        <w:pStyle w:val="BodyTextNumbered"/>
      </w:pPr>
      <w:r>
        <w:t>(2)</w:t>
      </w:r>
      <w:r>
        <w:tab/>
        <w:t xml:space="preserve">ERCOT may procure more Ancillary Services through a SASM, as described below in Section 6.4.9.2, Supplemental Ancillary Services Market, if the Self-Arranged Ancillary Service </w:t>
      </w:r>
      <w:r w:rsidR="006A0500">
        <w:t>Q</w:t>
      </w:r>
      <w:r>
        <w:t>uantities are insufficient to meet the total Ancillary Service Supply Obligation.</w:t>
      </w:r>
    </w:p>
    <w:p w14:paraId="61E17AC2" w14:textId="77777777" w:rsidR="001F04FD" w:rsidRDefault="001F04FD" w:rsidP="001F04FD">
      <w:pPr>
        <w:pStyle w:val="BodyTextNumbered"/>
      </w:pPr>
      <w:r>
        <w:t>(3)</w:t>
      </w:r>
      <w:r>
        <w:tab/>
        <w: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41579B5" w14:textId="77777777" w:rsidTr="0058150D">
        <w:trPr>
          <w:trHeight w:val="206"/>
        </w:trPr>
        <w:tc>
          <w:tcPr>
            <w:tcW w:w="9350" w:type="dxa"/>
            <w:shd w:val="pct12" w:color="auto" w:fill="auto"/>
          </w:tcPr>
          <w:p w14:paraId="0EF62B8D" w14:textId="58586853" w:rsidR="00B06583" w:rsidRDefault="00B06583" w:rsidP="0058150D">
            <w:pPr>
              <w:pStyle w:val="Instructions"/>
              <w:spacing w:before="120"/>
            </w:pPr>
            <w:bookmarkStart w:id="555" w:name="_Toc397504937"/>
            <w:bookmarkStart w:id="556" w:name="_Toc402357065"/>
            <w:bookmarkStart w:id="557" w:name="_Toc422486445"/>
            <w:bookmarkStart w:id="558" w:name="_Toc433093297"/>
            <w:bookmarkStart w:id="559" w:name="_Toc433093455"/>
            <w:bookmarkStart w:id="560" w:name="_Toc440874684"/>
            <w:bookmarkStart w:id="561" w:name="_Toc448142239"/>
            <w:bookmarkStart w:id="562" w:name="_Toc448142396"/>
            <w:bookmarkStart w:id="563" w:name="_Toc458770232"/>
            <w:bookmarkStart w:id="564" w:name="_Toc459294200"/>
            <w:bookmarkStart w:id="565" w:name="_Toc463262693"/>
            <w:bookmarkStart w:id="566" w:name="_Toc468286765"/>
            <w:bookmarkStart w:id="567" w:name="_Toc481502811"/>
            <w:bookmarkStart w:id="568" w:name="_Toc496079981"/>
            <w:r>
              <w:t>[NPRR1010</w:t>
            </w:r>
            <w:r w:rsidR="00F726A9">
              <w:t xml:space="preserve"> and NPRR1204</w:t>
            </w:r>
            <w:r>
              <w:t>:  Replace Section 6.4.9.1.1 above</w:t>
            </w:r>
            <w:r w:rsidR="00525E33">
              <w:t xml:space="preserve"> with the following </w:t>
            </w:r>
            <w:r>
              <w:t>upon system implementation of the Real-Time Co-Optimization (RTC) project:]</w:t>
            </w:r>
          </w:p>
          <w:p w14:paraId="65EE887B" w14:textId="77777777" w:rsidR="00B06583" w:rsidRDefault="00B06583" w:rsidP="00B06583">
            <w:pPr>
              <w:spacing w:after="240"/>
              <w:ind w:left="720" w:hanging="720"/>
              <w:rPr>
                <w:b/>
                <w:bCs/>
                <w:i/>
                <w:iCs/>
                <w:szCs w:val="26"/>
              </w:rPr>
            </w:pPr>
            <w:r w:rsidRPr="003161DC">
              <w:rPr>
                <w:b/>
                <w:bCs/>
                <w:i/>
                <w:iCs/>
                <w:szCs w:val="26"/>
              </w:rPr>
              <w:t>6.4.9.1.1</w:t>
            </w:r>
            <w:r w:rsidRPr="003161DC">
              <w:rPr>
                <w:b/>
                <w:bCs/>
                <w:i/>
                <w:iCs/>
                <w:szCs w:val="26"/>
              </w:rPr>
              <w:tab/>
            </w:r>
            <w:r>
              <w:rPr>
                <w:b/>
                <w:bCs/>
                <w:i/>
                <w:iCs/>
                <w:szCs w:val="26"/>
              </w:rPr>
              <w:t>Ancillary Service Awards</w:t>
            </w:r>
          </w:p>
          <w:p w14:paraId="0AF6C44F" w14:textId="689B27D1" w:rsidR="00B06583" w:rsidRDefault="00B06583" w:rsidP="00B06583">
            <w:pPr>
              <w:spacing w:after="240"/>
              <w:ind w:left="720" w:hanging="720"/>
            </w:pPr>
            <w:r>
              <w:t>(1)</w:t>
            </w:r>
            <w:r>
              <w:tab/>
            </w:r>
            <w:r w:rsidRPr="00F84FA3">
              <w:t>A</w:t>
            </w:r>
            <w:r>
              <w:t xml:space="preserve">ncillary </w:t>
            </w:r>
            <w:r w:rsidRPr="00F84FA3">
              <w:t>S</w:t>
            </w:r>
            <w:r>
              <w:t>ervice</w:t>
            </w:r>
            <w:r w:rsidRPr="00F84FA3">
              <w:t xml:space="preserve"> awards will</w:t>
            </w:r>
            <w:r w:rsidR="00F726A9">
              <w:t xml:space="preserve"> be</w:t>
            </w:r>
            <w:r w:rsidRPr="00F84FA3">
              <w:t xml:space="preserve"> </w:t>
            </w:r>
            <w:r>
              <w:t>based on</w:t>
            </w:r>
            <w:r w:rsidRPr="00F84FA3">
              <w:t xml:space="preserve"> Resource capability (</w:t>
            </w:r>
            <w:r>
              <w:t xml:space="preserve">qualification, operating </w:t>
            </w:r>
            <w:r w:rsidRPr="00F84FA3">
              <w:t xml:space="preserve">limits, </w:t>
            </w:r>
            <w:r>
              <w:t xml:space="preserve">Ancillary Service limits, </w:t>
            </w:r>
            <w:r w:rsidRPr="00F84FA3">
              <w:t xml:space="preserve">ramp rates, </w:t>
            </w:r>
            <w:r w:rsidR="00F726A9">
              <w:t xml:space="preserve">State of Charge (SOC), SOC limits, </w:t>
            </w:r>
            <w:r w:rsidRPr="00F84FA3">
              <w:t>etc.) and A</w:t>
            </w:r>
            <w:r>
              <w:t xml:space="preserve">ncillary </w:t>
            </w:r>
            <w:r w:rsidRPr="00F84FA3">
              <w:t>S</w:t>
            </w:r>
            <w:r>
              <w:t xml:space="preserve">ervice </w:t>
            </w:r>
            <w:r w:rsidRPr="00F84FA3">
              <w:t>D</w:t>
            </w:r>
            <w:r>
              <w:t xml:space="preserve">emand </w:t>
            </w:r>
            <w:r w:rsidRPr="00F84FA3">
              <w:t>C</w:t>
            </w:r>
            <w:r>
              <w:t>urve</w:t>
            </w:r>
            <w:r w:rsidRPr="00F84FA3">
              <w:t>s</w:t>
            </w:r>
            <w:r>
              <w:t xml:space="preserve"> (ASDCs)</w:t>
            </w:r>
            <w:r w:rsidRPr="00F84FA3">
              <w:t xml:space="preserve"> </w:t>
            </w:r>
            <w:r>
              <w:t>regardless</w:t>
            </w:r>
            <w:r w:rsidRPr="00F84FA3">
              <w:t xml:space="preserve"> of the quantity of A</w:t>
            </w:r>
            <w:r>
              <w:t xml:space="preserve">ncillary </w:t>
            </w:r>
            <w:r w:rsidRPr="00F84FA3">
              <w:t>S</w:t>
            </w:r>
            <w:r>
              <w:t>ervice</w:t>
            </w:r>
            <w:r w:rsidRPr="00F84FA3">
              <w:t xml:space="preserve"> </w:t>
            </w:r>
            <w:r>
              <w:t>under</w:t>
            </w:r>
            <w:r w:rsidRPr="00F84FA3">
              <w:t xml:space="preserve"> deploy</w:t>
            </w:r>
            <w:r>
              <w:t>ment</w:t>
            </w:r>
            <w:r w:rsidRPr="00F84FA3">
              <w:t xml:space="preserve">.  </w:t>
            </w:r>
          </w:p>
          <w:p w14:paraId="37D5B436" w14:textId="77777777" w:rsidR="00B06583" w:rsidRDefault="00B06583" w:rsidP="00B06583">
            <w:pPr>
              <w:spacing w:after="240"/>
              <w:ind w:left="720" w:hanging="720"/>
            </w:pPr>
            <w:r>
              <w:t>(2)</w:t>
            </w:r>
            <w:r>
              <w:tab/>
              <w:t xml:space="preserve">QSEs representing Resources that are qualified to provide an Ancillary Service must submit valid Ancillary Service Offers for use in Real-Time clearing.  </w:t>
            </w:r>
            <w:r w:rsidRPr="00F84FA3">
              <w:t>QSEs</w:t>
            </w:r>
            <w:r>
              <w:t xml:space="preserve"> shall submit Resource-specific telemetry indicating the Resource’s ability to provide Ancillary Service in Real-Time</w:t>
            </w:r>
            <w:r w:rsidRPr="00F84FA3">
              <w:t>.</w:t>
            </w:r>
          </w:p>
          <w:p w14:paraId="1C6F4739" w14:textId="77777777" w:rsidR="00B06583" w:rsidRDefault="00B06583" w:rsidP="00B06583">
            <w:pPr>
              <w:spacing w:after="240"/>
              <w:ind w:left="720" w:hanging="720"/>
            </w:pPr>
            <w:r>
              <w:t>(3)</w:t>
            </w:r>
            <w:r>
              <w:tab/>
              <w:t xml:space="preserve">QSEs representing </w:t>
            </w:r>
            <w:r w:rsidRPr="00F84FA3">
              <w:t>Load Resources</w:t>
            </w:r>
            <w:r>
              <w:t xml:space="preserve"> providing Ancillary Service via high-set under-frequency relays</w:t>
            </w:r>
            <w:r w:rsidRPr="00F84FA3">
              <w:t xml:space="preserve"> </w:t>
            </w:r>
            <w:r>
              <w:t>may</w:t>
            </w:r>
            <w:r w:rsidRPr="00F84FA3">
              <w:t xml:space="preserve"> self-provide </w:t>
            </w:r>
            <w:r>
              <w:t xml:space="preserve">high-set under-frequency relay-controlled </w:t>
            </w:r>
            <w:r w:rsidRPr="00F84FA3">
              <w:t xml:space="preserve">RRS and ECRS; the amount of </w:t>
            </w:r>
            <w:r>
              <w:t>self-provision</w:t>
            </w:r>
            <w:r w:rsidRPr="00F84FA3">
              <w:t xml:space="preserve"> </w:t>
            </w:r>
            <w:r>
              <w:t>shall</w:t>
            </w:r>
            <w:r w:rsidRPr="00F84FA3">
              <w:t xml:space="preserve"> </w:t>
            </w:r>
            <w:r>
              <w:t xml:space="preserve">be limited </w:t>
            </w:r>
            <w:r w:rsidRPr="00F84FA3">
              <w:t xml:space="preserve">based on </w:t>
            </w:r>
            <w:r>
              <w:t xml:space="preserve">the QSE’s </w:t>
            </w:r>
            <w:r w:rsidRPr="00F84FA3">
              <w:t xml:space="preserve">Day-Ahead Market (DAM) </w:t>
            </w:r>
            <w:r>
              <w:t xml:space="preserve">Ancillary Service awards </w:t>
            </w:r>
            <w:r w:rsidRPr="00F84FA3">
              <w:t>and trades.</w:t>
            </w:r>
            <w:r w:rsidRPr="00C90393">
              <w:t xml:space="preserve"> </w:t>
            </w:r>
          </w:p>
          <w:p w14:paraId="740C13BF" w14:textId="77777777" w:rsidR="00B06583" w:rsidRDefault="00B06583" w:rsidP="00B06583">
            <w:pPr>
              <w:spacing w:after="240"/>
              <w:ind w:left="720" w:hanging="720"/>
            </w:pPr>
            <w:r>
              <w:t>(4)</w:t>
            </w:r>
            <w: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p>
          <w:p w14:paraId="0E5E6F84" w14:textId="06DD25DC" w:rsidR="00B06583" w:rsidRDefault="00B06583" w:rsidP="00B06583">
            <w:pPr>
              <w:spacing w:after="240"/>
              <w:ind w:left="720" w:hanging="720"/>
            </w:pPr>
            <w:r>
              <w:lastRenderedPageBreak/>
              <w:t>(5)</w:t>
            </w:r>
            <w:r>
              <w:tab/>
              <w:t xml:space="preserve">A Quick Start Generation </w:t>
            </w:r>
            <w:r w:rsidRPr="00F84FA3">
              <w:t xml:space="preserve">Resource </w:t>
            </w:r>
            <w:r w:rsidR="00F510E2">
              <w:t xml:space="preserve">(QSGR) </w:t>
            </w:r>
            <w:r w:rsidRPr="00F84FA3">
              <w:t xml:space="preserve">in startup </w:t>
            </w:r>
            <w:r>
              <w:t xml:space="preserve">mode </w:t>
            </w:r>
            <w:r w:rsidRPr="00F84FA3">
              <w:t>due to a</w:t>
            </w:r>
            <w:r>
              <w:t>n</w:t>
            </w:r>
            <w:r w:rsidRPr="00F84FA3">
              <w:t xml:space="preserve"> ERCOT </w:t>
            </w:r>
            <w:r>
              <w:t xml:space="preserve">Dispatch Instruction </w:t>
            </w:r>
            <w:r w:rsidRPr="00F84FA3">
              <w:t xml:space="preserve">will continue to be eligible for ECRS and Non-Spin.  The eligible capacity </w:t>
            </w:r>
            <w:r>
              <w:t>shall</w:t>
            </w:r>
            <w:r w:rsidRPr="00F84FA3">
              <w:t xml:space="preserve"> be based on the</w:t>
            </w:r>
            <w:r>
              <w:t xml:space="preserve"> telemetered</w:t>
            </w:r>
            <w:r w:rsidRPr="00F84FA3">
              <w:t xml:space="preserve"> HSL of the Resource </w:t>
            </w:r>
            <w:r>
              <w:t>minus</w:t>
            </w:r>
            <w:r w:rsidRPr="00F84FA3">
              <w:t xml:space="preserve"> its </w:t>
            </w:r>
            <w:r>
              <w:t>B</w:t>
            </w:r>
            <w:r w:rsidRPr="00F84FA3">
              <w:t xml:space="preserve">ase </w:t>
            </w:r>
            <w:r>
              <w:t>P</w:t>
            </w:r>
            <w:r w:rsidRPr="00F84FA3">
              <w:t xml:space="preserve">oint </w:t>
            </w:r>
            <w:r>
              <w:t>Dispatch I</w:t>
            </w:r>
            <w:r w:rsidRPr="00F84FA3">
              <w:t>nstruction</w:t>
            </w:r>
            <w:r>
              <w:t xml:space="preserve"> by Security-Constrained Economic Dispatch (SCED) interval</w:t>
            </w:r>
            <w:r w:rsidRPr="00F84FA3">
              <w:t>.</w:t>
            </w:r>
          </w:p>
          <w:p w14:paraId="57E8C86F" w14:textId="77777777" w:rsidR="00B06583" w:rsidRDefault="00B06583" w:rsidP="00B06583">
            <w:pPr>
              <w:spacing w:after="240"/>
              <w:ind w:left="720" w:hanging="720"/>
            </w:pPr>
            <w:r>
              <w:t>(6)</w:t>
            </w:r>
            <w:r>
              <w:tab/>
            </w:r>
            <w:r w:rsidRPr="00F84FA3">
              <w:t xml:space="preserve">ERCOT </w:t>
            </w:r>
            <w:r>
              <w:t>may</w:t>
            </w:r>
            <w:r w:rsidRPr="00F84FA3">
              <w:t xml:space="preserve"> manually reduce the amount of A</w:t>
            </w:r>
            <w:r>
              <w:t xml:space="preserve">ncillary </w:t>
            </w:r>
            <w:r w:rsidRPr="00F84FA3">
              <w:t>S</w:t>
            </w:r>
            <w:r>
              <w:t>ervice</w:t>
            </w:r>
            <w:r w:rsidRPr="00F84FA3">
              <w:t xml:space="preserve"> </w:t>
            </w:r>
            <w:r>
              <w:t xml:space="preserve">eligible to be </w:t>
            </w:r>
            <w:r w:rsidRPr="00F84FA3">
              <w:t xml:space="preserve">awarded to </w:t>
            </w:r>
            <w:r>
              <w:t xml:space="preserve">a </w:t>
            </w:r>
            <w:r w:rsidRPr="00F84FA3">
              <w:t xml:space="preserve">Resource that, </w:t>
            </w:r>
            <w:r>
              <w:t>if</w:t>
            </w:r>
            <w:r w:rsidRPr="00F84FA3">
              <w:t xml:space="preserve"> deployed, </w:t>
            </w:r>
            <w:r>
              <w:t>could</w:t>
            </w:r>
            <w:r w:rsidRPr="00F84FA3">
              <w:t xml:space="preserve"> violate </w:t>
            </w:r>
            <w:r>
              <w:t xml:space="preserve">a </w:t>
            </w:r>
            <w:r w:rsidRPr="00F84FA3">
              <w:t xml:space="preserve">transmission constraint.  ERCOT </w:t>
            </w:r>
            <w:r>
              <w:t>shall</w:t>
            </w:r>
            <w:r w:rsidRPr="00F84FA3">
              <w:t xml:space="preserve"> notify </w:t>
            </w:r>
            <w:r>
              <w:t xml:space="preserve">the Resource’s </w:t>
            </w:r>
            <w:r w:rsidRPr="00F84FA3">
              <w:t>QSE in Real-Time of any A</w:t>
            </w:r>
            <w:r>
              <w:t>ncillary Service</w:t>
            </w:r>
            <w:r w:rsidRPr="00F84FA3">
              <w:t xml:space="preserve"> capability that has been derated by ERCOT</w:t>
            </w:r>
            <w:r>
              <w:t>,</w:t>
            </w:r>
            <w:r w:rsidRPr="00F84FA3">
              <w:t xml:space="preserve"> including </w:t>
            </w:r>
            <w:r>
              <w:t>the Resource’s</w:t>
            </w:r>
            <w:r w:rsidRPr="00F84FA3">
              <w:t xml:space="preserve"> new A</w:t>
            </w:r>
            <w:r>
              <w:t xml:space="preserve">ncillary </w:t>
            </w:r>
            <w:r w:rsidRPr="00F84FA3">
              <w:t>S</w:t>
            </w:r>
            <w:r>
              <w:t>ervice</w:t>
            </w:r>
            <w:r w:rsidRPr="00F84FA3">
              <w:t xml:space="preserve"> limit in MW</w:t>
            </w:r>
            <w:r>
              <w:t>s</w:t>
            </w:r>
            <w:r w:rsidRPr="00F84FA3">
              <w:t xml:space="preserve">.  </w:t>
            </w:r>
            <w:r>
              <w:t>Should the deration impact payments the QSE would have received under Section 6.7.5.1, Real-Time Ancillary Service Imbalance, the QSE will be eligible for consideration of a payment under Section 6.7.5.7, Real-Time Derated Ancillary Service Capability Payment.</w:t>
            </w:r>
            <w:r w:rsidRPr="00BE323C">
              <w:t xml:space="preserve"> </w:t>
            </w:r>
          </w:p>
          <w:p w14:paraId="185E2DFB" w14:textId="77777777" w:rsidR="00B06583" w:rsidRDefault="00B06583" w:rsidP="00B06583">
            <w:pPr>
              <w:spacing w:after="240"/>
              <w:ind w:left="720" w:hanging="720"/>
            </w:pPr>
            <w:r>
              <w:t>(7)       Sixty days after the applicable Operating Day, ERCOT shall post to the ERCOT website the instances of ERCOT Operator reduction of Ancillary Services capability, including the name of the Resource, the type and reduced MW by Ancillary Service, and the reason for the reduction.</w:t>
            </w:r>
          </w:p>
          <w:p w14:paraId="0CDEA2BA" w14:textId="33D02387" w:rsidR="00B06583" w:rsidRPr="00B06583" w:rsidRDefault="00B06583" w:rsidP="00B06583">
            <w:pPr>
              <w:spacing w:after="240"/>
              <w:ind w:left="720" w:hanging="720"/>
            </w:pPr>
            <w:r>
              <w:t>(8)</w:t>
            </w:r>
            <w:r>
              <w:tab/>
              <w:t xml:space="preserve">Ancillary Service awards and Real-Time Market Clearing Prices for Capacity (MCPCs) are </w:t>
            </w:r>
            <w:r w:rsidRPr="0036320E">
              <w:t>immediately</w:t>
            </w:r>
            <w:r>
              <w:t xml:space="preserve"> binding upon the completion of a SCED run.</w:t>
            </w:r>
          </w:p>
        </w:tc>
      </w:tr>
    </w:tbl>
    <w:p w14:paraId="222F5C24" w14:textId="77777777" w:rsidR="001F04FD" w:rsidRDefault="001F04FD" w:rsidP="001F04FD">
      <w:pPr>
        <w:pStyle w:val="H5"/>
        <w:spacing w:before="480"/>
        <w:ind w:left="1627" w:hanging="1627"/>
      </w:pPr>
      <w:bookmarkStart w:id="569" w:name="_Toc189044319"/>
      <w:r>
        <w:lastRenderedPageBreak/>
        <w:t>6.4.9.1.2</w:t>
      </w:r>
      <w:r>
        <w:tab/>
        <w:t xml:space="preserve">Replacement of </w:t>
      </w:r>
      <w:r w:rsidR="00CD0E1A" w:rsidRPr="00CD0E1A">
        <w:t>Infeasible</w:t>
      </w:r>
      <w:r>
        <w:t xml:space="preserve"> Ancillary Service Due to Transmission Constraints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t xml:space="preserve"> </w:t>
      </w:r>
    </w:p>
    <w:p w14:paraId="0DEE87A1" w14:textId="11AE1355" w:rsidR="00CD0E1A" w:rsidRPr="007779E2" w:rsidRDefault="00CD0E1A" w:rsidP="00CD0E1A">
      <w:pPr>
        <w:spacing w:after="240"/>
        <w:ind w:left="720" w:hanging="720"/>
      </w:pPr>
      <w:r w:rsidRPr="007779E2">
        <w:t>(1)</w:t>
      </w:r>
      <w:r w:rsidRPr="007779E2">
        <w:tab/>
        <w:t xml:space="preserve">The HRUC process must honor the HASL and Low Ancillary Service Limit (LASL) for each Resource for each hour of the RUC Study Period unless by doing so a transmission constraint exists where </w:t>
      </w:r>
      <w:r>
        <w:t>the capacity reserved to provide Ancillary Services</w:t>
      </w:r>
      <w:r w:rsidRPr="007779E2">
        <w:t xml:space="preserve"> from the Resource is needed to resolve the constraint that cannot be resolved by any other means.  </w:t>
      </w:r>
      <w:r>
        <w:t xml:space="preserve">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w:t>
      </w:r>
      <w:r w:rsidRPr="007779E2">
        <w:t xml:space="preserve">If </w:t>
      </w:r>
      <w:r>
        <w:t xml:space="preserve">the </w:t>
      </w:r>
      <w:r w:rsidRPr="007779E2">
        <w:t xml:space="preserve">ERCOT Operator decides that the Ancillary Service capacity allocated to that Resource is </w:t>
      </w:r>
      <w:r>
        <w:t>infeasible</w:t>
      </w:r>
      <w:r w:rsidRPr="007779E2">
        <w:t xml:space="preserve"> based on ERCOT System conditions, then ERCOT shall provide the following information to each affected QSE:</w:t>
      </w:r>
    </w:p>
    <w:p w14:paraId="12D5E7F5" w14:textId="77777777" w:rsidR="00CD0E1A" w:rsidRPr="007779E2" w:rsidRDefault="00CD0E1A" w:rsidP="00CD0E1A">
      <w:pPr>
        <w:spacing w:after="240"/>
        <w:ind w:left="1440" w:hanging="720"/>
      </w:pPr>
      <w:r w:rsidRPr="007779E2">
        <w:t>(a)</w:t>
      </w:r>
      <w:r w:rsidRPr="007779E2">
        <w:tab/>
        <w:t>The amount by which the QSE must reduce the Ancillary Services currently allocated to each affected Resource; and</w:t>
      </w:r>
    </w:p>
    <w:p w14:paraId="33306BE2" w14:textId="77777777" w:rsidR="00CD0E1A" w:rsidRPr="007779E2" w:rsidRDefault="00CD0E1A" w:rsidP="00CD0E1A">
      <w:pPr>
        <w:spacing w:after="240"/>
        <w:ind w:left="1440" w:hanging="720"/>
      </w:pPr>
      <w:r w:rsidRPr="007779E2">
        <w:t>(b)</w:t>
      </w:r>
      <w:r w:rsidRPr="007779E2">
        <w:tab/>
        <w:t>The start and stop times of the reduction.</w:t>
      </w:r>
    </w:p>
    <w:p w14:paraId="63A79AAF" w14:textId="77777777" w:rsidR="00CD0E1A" w:rsidRPr="007779E2" w:rsidRDefault="00CD0E1A" w:rsidP="00CD0E1A">
      <w:pPr>
        <w:spacing w:after="240"/>
        <w:ind w:left="720" w:hanging="720"/>
      </w:pPr>
      <w:r w:rsidRPr="007779E2">
        <w:t>(2)</w:t>
      </w:r>
      <w:r w:rsidRPr="007779E2">
        <w:tab/>
      </w:r>
      <w:r>
        <w:t>Upon notification</w:t>
      </w:r>
      <w:r w:rsidRPr="007779E2">
        <w:t>, each affected QSE may do one or more of the following:</w:t>
      </w:r>
    </w:p>
    <w:p w14:paraId="2FE626C2" w14:textId="77777777" w:rsidR="00CD0E1A" w:rsidRPr="007779E2" w:rsidRDefault="00CD0E1A" w:rsidP="00CD0E1A">
      <w:pPr>
        <w:spacing w:after="240"/>
        <w:ind w:left="1260" w:hanging="540"/>
      </w:pPr>
      <w:r w:rsidRPr="007779E2">
        <w:t>(a)</w:t>
      </w:r>
      <w:r w:rsidRPr="007779E2">
        <w:tab/>
        <w:t>Substitute capacity from other Resources represented by that QSE to meet its Ancillary Services Supply Responsibility;</w:t>
      </w:r>
    </w:p>
    <w:p w14:paraId="2B69ABA2" w14:textId="77777777" w:rsidR="00CD0E1A" w:rsidRPr="007779E2" w:rsidRDefault="00CD0E1A" w:rsidP="00CD0E1A">
      <w:pPr>
        <w:spacing w:after="240"/>
        <w:ind w:left="1260" w:hanging="540"/>
      </w:pPr>
      <w:r w:rsidRPr="007779E2">
        <w:lastRenderedPageBreak/>
        <w:t>(b)</w:t>
      </w:r>
      <w:r w:rsidRPr="007779E2">
        <w:tab/>
        <w:t>Substitute capacity from other QSEs using Ancillary Service Trades; or</w:t>
      </w:r>
    </w:p>
    <w:p w14:paraId="0FEA2073" w14:textId="77777777" w:rsidR="00CD0E1A" w:rsidRPr="007779E2" w:rsidRDefault="00CD0E1A" w:rsidP="00CD0E1A">
      <w:pPr>
        <w:spacing w:after="240"/>
        <w:ind w:left="1260" w:hanging="540"/>
      </w:pPr>
      <w:r w:rsidRPr="007779E2">
        <w:t>(c)</w:t>
      </w:r>
      <w:r w:rsidRPr="007779E2">
        <w:tab/>
        <w:t>Inform ERCOT that all or part of the Ancillary Services capacity needs to be replaced.</w:t>
      </w:r>
    </w:p>
    <w:p w14:paraId="23EB90E7" w14:textId="77777777" w:rsidR="00CD0E1A" w:rsidRPr="007779E2" w:rsidRDefault="00CD0E1A" w:rsidP="00CD0E1A">
      <w:pPr>
        <w:spacing w:after="240"/>
        <w:ind w:left="720" w:hanging="720"/>
      </w:pPr>
      <w:r w:rsidRPr="007779E2">
        <w:t>(3)</w:t>
      </w:r>
      <w:r w:rsidRPr="007779E2">
        <w:tab/>
        <w: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t>
      </w:r>
    </w:p>
    <w:p w14:paraId="1F22BF71" w14:textId="77777777" w:rsidR="001F04FD" w:rsidRDefault="00CD0E1A" w:rsidP="001F04FD">
      <w:pPr>
        <w:pStyle w:val="BodyTextNumbered"/>
      </w:pPr>
      <w:r w:rsidRPr="007779E2">
        <w:t xml:space="preserve">(4) </w:t>
      </w:r>
      <w:r w:rsidRPr="007779E2">
        <w:tab/>
      </w:r>
      <w:r>
        <w:t xml:space="preserve">Settlement of infeasible Ancillary Services shall be performed in accordance with Section 6.7.2.1, Charges for Infeasible Ancillary Service Capacity Due to Transmission Constraints, and </w:t>
      </w:r>
      <w:r w:rsidRPr="007779E2">
        <w:t>Section 6.7.4, Adjustments to Cost Allocations for Ancillary Services Procurement.</w:t>
      </w:r>
      <w:r>
        <w:t xml:space="preserve">  These calculations occur for all hours for which the Ancillary Service has been determined to be infeasible, regardless of whether or not a SASM is executed for that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474B6EEC" w14:textId="77777777" w:rsidTr="0058150D">
        <w:trPr>
          <w:trHeight w:val="206"/>
        </w:trPr>
        <w:tc>
          <w:tcPr>
            <w:tcW w:w="9350" w:type="dxa"/>
            <w:shd w:val="pct12" w:color="auto" w:fill="auto"/>
          </w:tcPr>
          <w:p w14:paraId="597A6397" w14:textId="5E7D4065" w:rsidR="00B06583" w:rsidRPr="00B06583" w:rsidRDefault="00B06583" w:rsidP="00CE56E5">
            <w:pPr>
              <w:pStyle w:val="Instructions"/>
              <w:spacing w:before="120"/>
            </w:pPr>
            <w:bookmarkStart w:id="570" w:name="_Toc397504938"/>
            <w:bookmarkStart w:id="571" w:name="_Toc402357066"/>
            <w:bookmarkStart w:id="572" w:name="_Toc422486446"/>
            <w:bookmarkStart w:id="573" w:name="_Toc433093298"/>
            <w:bookmarkStart w:id="574" w:name="_Toc433093456"/>
            <w:bookmarkStart w:id="575" w:name="_Toc440874685"/>
            <w:bookmarkStart w:id="576" w:name="_Toc448142240"/>
            <w:bookmarkStart w:id="577" w:name="_Toc448142397"/>
            <w:bookmarkStart w:id="578" w:name="_Toc458770233"/>
            <w:bookmarkStart w:id="579" w:name="_Toc459294201"/>
            <w:bookmarkStart w:id="580" w:name="_Toc463262694"/>
            <w:bookmarkStart w:id="581" w:name="_Toc468286767"/>
            <w:bookmarkStart w:id="582" w:name="_Toc481502813"/>
            <w:bookmarkStart w:id="583" w:name="_Toc496079982"/>
            <w:r>
              <w:t>[NPRR1010:  Delete Section 6.4.9.1.2 above upon system implementation of the Real-Time Co-Optimization (RTC) project</w:t>
            </w:r>
            <w:r w:rsidR="00CE56E5">
              <w:t>.</w:t>
            </w:r>
            <w:r>
              <w:t>]</w:t>
            </w:r>
          </w:p>
        </w:tc>
      </w:tr>
    </w:tbl>
    <w:p w14:paraId="13171D82" w14:textId="4F50689A" w:rsidR="001F04FD" w:rsidRDefault="001F04FD" w:rsidP="00F26F08">
      <w:pPr>
        <w:pStyle w:val="H5"/>
        <w:ind w:left="1627" w:hanging="1627"/>
      </w:pPr>
      <w:bookmarkStart w:id="584" w:name="_Toc135992246"/>
      <w:bookmarkStart w:id="585" w:name="_Toc189044320"/>
      <w:r>
        <w:t>6.4.9.1.3</w:t>
      </w:r>
      <w:r>
        <w:tab/>
        <w:t>Failure to Provide</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745851">
        <w:t xml:space="preserve"> Ancillary Service</w:t>
      </w:r>
      <w:bookmarkEnd w:id="585"/>
    </w:p>
    <w:p w14:paraId="038F6175" w14:textId="77777777" w:rsidR="00745851" w:rsidRPr="00070608" w:rsidRDefault="00745851" w:rsidP="00745851">
      <w:pPr>
        <w:spacing w:after="240"/>
        <w:ind w:left="720" w:hanging="720"/>
        <w:rPr>
          <w:szCs w:val="24"/>
        </w:rPr>
      </w:pPr>
      <w:r w:rsidRPr="00070608">
        <w:rPr>
          <w:szCs w:val="24"/>
        </w:rPr>
        <w:t>(1)</w:t>
      </w:r>
      <w:r w:rsidRPr="00070608">
        <w:rPr>
          <w:szCs w:val="24"/>
        </w:rPr>
        <w:tab/>
        <w:t xml:space="preserve">ERCOT may procure Ancillary Services to replace those of a QSE that has failed to provide its Ancillary Services Supply Responsibility through a SASM, as described below in Section 6.4.9.2, Supplemental Ancillary Services Market.  </w:t>
      </w:r>
    </w:p>
    <w:p w14:paraId="2E9A83C5" w14:textId="77777777" w:rsidR="00745851" w:rsidRPr="00070608" w:rsidRDefault="00745851" w:rsidP="00745851">
      <w:pPr>
        <w:spacing w:after="240"/>
        <w:ind w:left="720" w:hanging="720"/>
        <w:rPr>
          <w:szCs w:val="24"/>
        </w:rPr>
      </w:pPr>
      <w:r w:rsidRPr="00070608">
        <w:rPr>
          <w:szCs w:val="24"/>
        </w:rPr>
        <w:t>(2)</w:t>
      </w:r>
      <w:r w:rsidRPr="00070608">
        <w:rPr>
          <w:szCs w:val="24"/>
        </w:rPr>
        <w:tab/>
        <w:t xml:space="preserve">A QSE is considered to have failed to provide its Ancillary Services Supply Responsibility when ERCOT determines, in its sole discretion, that some or all of the QSE’s Ancillary Service capacity will not be available in Real-Time, was not available during any interval for which the QSE had an Ancillary Service Supply Responsibility, or that the QSE assigned all or part of an Ancillary Service Supply Responsibility to a Resource that was not qualified to provide that Ancillary Service. </w:t>
      </w:r>
      <w:r>
        <w:rPr>
          <w:szCs w:val="24"/>
        </w:rPr>
        <w:t xml:space="preserve"> </w:t>
      </w:r>
      <w:r w:rsidRPr="00070608">
        <w:rPr>
          <w:szCs w:val="24"/>
        </w:rPr>
        <w:t>This Section does not apply to a failure to provide caused by events described in Section 6.4.9.1.2, Replacement of Infeasible Ancillary Service Due to Transmission Constraints.</w:t>
      </w:r>
    </w:p>
    <w:p w14:paraId="78BDF43B" w14:textId="77777777" w:rsidR="00745851" w:rsidRPr="00070608" w:rsidRDefault="00745851" w:rsidP="00745851">
      <w:pPr>
        <w:spacing w:after="240"/>
        <w:ind w:left="720" w:hanging="720"/>
        <w:rPr>
          <w:szCs w:val="24"/>
        </w:rPr>
      </w:pPr>
      <w:r w:rsidRPr="00070608">
        <w:rPr>
          <w:szCs w:val="24"/>
        </w:rPr>
        <w:t>(3)</w:t>
      </w:r>
      <w:r w:rsidRPr="00070608">
        <w:rPr>
          <w:szCs w:val="24"/>
        </w:rPr>
        <w:tab/>
        <w: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t>
      </w:r>
    </w:p>
    <w:p w14:paraId="318E9077" w14:textId="5A84D58E" w:rsidR="00070608" w:rsidRDefault="00745851" w:rsidP="001F04FD">
      <w:pPr>
        <w:pStyle w:val="BodyTextNumbered"/>
      </w:pPr>
      <w:r w:rsidRPr="00070608">
        <w:lastRenderedPageBreak/>
        <w:t>(4)</w:t>
      </w:r>
      <w:r w:rsidRPr="00070608">
        <w:tab/>
        <w:t>ERCOT shall charge each QSE that has failed to provide its Ancillary Service Supply Responsibility, according to paragraph (2) above for a particular Ancillary Service for a specific hour, in the manner described in Section 6.7.3, Charges for a Failure to Provide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CA7E283" w14:textId="77777777" w:rsidTr="0058150D">
        <w:trPr>
          <w:trHeight w:val="206"/>
        </w:trPr>
        <w:tc>
          <w:tcPr>
            <w:tcW w:w="9350" w:type="dxa"/>
            <w:shd w:val="pct12" w:color="auto" w:fill="auto"/>
          </w:tcPr>
          <w:p w14:paraId="06761FA0" w14:textId="3012A57B" w:rsidR="00B06583" w:rsidRPr="00B06583" w:rsidRDefault="00B06583" w:rsidP="00C700F5">
            <w:pPr>
              <w:pStyle w:val="Instructions"/>
              <w:spacing w:before="120"/>
            </w:pPr>
            <w:bookmarkStart w:id="586" w:name="_Toc397504939"/>
            <w:bookmarkStart w:id="587" w:name="_Toc402357067"/>
            <w:bookmarkStart w:id="588" w:name="_Toc422486447"/>
            <w:bookmarkStart w:id="589" w:name="_Toc433093299"/>
            <w:bookmarkStart w:id="590" w:name="_Toc433093457"/>
            <w:bookmarkStart w:id="591" w:name="_Toc440874686"/>
            <w:bookmarkStart w:id="592" w:name="_Toc448142241"/>
            <w:bookmarkStart w:id="593" w:name="_Toc448142398"/>
            <w:bookmarkStart w:id="594" w:name="_Toc458770234"/>
            <w:bookmarkStart w:id="595" w:name="_Toc459294202"/>
            <w:bookmarkStart w:id="596" w:name="_Toc463262695"/>
            <w:bookmarkStart w:id="597" w:name="_Toc468286769"/>
            <w:bookmarkStart w:id="598" w:name="_Toc481502815"/>
            <w:bookmarkStart w:id="599" w:name="_Toc496079983"/>
            <w:r>
              <w:t>[NPRR1010:  Delete Section 6.4.9.1.3 above upon system implementation of the Real-Time Co-Optimization (RTC) project</w:t>
            </w:r>
            <w:r w:rsidR="00CE56E5">
              <w:t>.</w:t>
            </w:r>
            <w:r>
              <w:t>]</w:t>
            </w:r>
          </w:p>
        </w:tc>
      </w:tr>
    </w:tbl>
    <w:p w14:paraId="6E343240" w14:textId="77777777" w:rsidR="004940BD" w:rsidRPr="004940BD" w:rsidRDefault="004940BD" w:rsidP="004940BD">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51489C9" w14:textId="77777777" w:rsidTr="0058150D">
        <w:trPr>
          <w:trHeight w:val="206"/>
        </w:trPr>
        <w:tc>
          <w:tcPr>
            <w:tcW w:w="9350" w:type="dxa"/>
            <w:shd w:val="pct12" w:color="auto" w:fill="auto"/>
          </w:tcPr>
          <w:p w14:paraId="0BC17695" w14:textId="661F33D7" w:rsidR="004940BD" w:rsidRDefault="004940BD" w:rsidP="004940BD">
            <w:pPr>
              <w:pStyle w:val="Instructions"/>
              <w:spacing w:before="120"/>
            </w:pPr>
            <w:r>
              <w:t xml:space="preserve">[NPRR1010:  Insert Section 6.4.9.1.2 </w:t>
            </w:r>
            <w:r w:rsidR="00745851">
              <w:t>below</w:t>
            </w:r>
            <w:r>
              <w:t xml:space="preserve"> upon system implementation of the Real-Time Co-Optimization (RTC) project:]</w:t>
            </w:r>
          </w:p>
          <w:p w14:paraId="0BF415E4" w14:textId="77777777" w:rsidR="004940BD" w:rsidRPr="00036D11" w:rsidRDefault="004940BD" w:rsidP="009A7BE1">
            <w:pPr>
              <w:pStyle w:val="H5"/>
              <w:ind w:left="1627" w:hanging="1627"/>
              <w:rPr>
                <w:b w:val="0"/>
                <w:bCs w:val="0"/>
                <w:iCs w:val="0"/>
              </w:rPr>
            </w:pPr>
            <w:bookmarkStart w:id="600" w:name="_Toc60040583"/>
            <w:bookmarkStart w:id="601" w:name="_Toc65151643"/>
            <w:bookmarkStart w:id="602" w:name="_Toc80174669"/>
            <w:bookmarkStart w:id="603" w:name="_Toc108712427"/>
            <w:bookmarkStart w:id="604" w:name="_Toc112417547"/>
            <w:bookmarkStart w:id="605" w:name="_Toc119310216"/>
            <w:bookmarkStart w:id="606" w:name="_Toc125966150"/>
            <w:bookmarkStart w:id="607" w:name="_Toc135992248"/>
            <w:bookmarkStart w:id="608" w:name="_Toc170303444"/>
            <w:bookmarkStart w:id="609" w:name="_Toc175157348"/>
            <w:bookmarkStart w:id="610" w:name="_Toc189044321"/>
            <w:r w:rsidRPr="00036D11">
              <w:t>6.4.9.1.2</w:t>
            </w:r>
            <w:r w:rsidRPr="00036D11">
              <w:tab/>
              <w:t>Changes to Operating Day Ancillary Service Plan</w:t>
            </w:r>
            <w:bookmarkEnd w:id="600"/>
            <w:bookmarkEnd w:id="601"/>
            <w:bookmarkEnd w:id="602"/>
            <w:bookmarkEnd w:id="603"/>
            <w:bookmarkEnd w:id="604"/>
            <w:bookmarkEnd w:id="605"/>
            <w:bookmarkEnd w:id="606"/>
            <w:bookmarkEnd w:id="607"/>
            <w:bookmarkEnd w:id="608"/>
            <w:bookmarkEnd w:id="609"/>
            <w:bookmarkEnd w:id="610"/>
          </w:p>
          <w:p w14:paraId="57641207" w14:textId="64A7A31E" w:rsidR="004940BD" w:rsidRPr="004940BD" w:rsidRDefault="004940BD" w:rsidP="004940BD">
            <w:pPr>
              <w:spacing w:after="240"/>
              <w:ind w:left="720" w:hanging="720"/>
            </w:pPr>
            <w:r>
              <w:t>(1)</w:t>
            </w:r>
            <w:r>
              <w:tab/>
              <w:t>Any time during the Adjustment Period or Operating Period, if ERCOT determines that the Ancillary Service Plan needs to be modified, ERCOT will notify Market Participants of ERCOT’s need to modify the Ancillary Service Plan and post the reliability reason for the modification in service requirements.  ERCOT will also update the Ancillary Service Plan, as described in Section 4.2.1, Ancillary Service Plan and Ancillary Service Obligation, and update and post ASDCs for each impacted Ancillary Service product, as described in Section 4.2.1.1, Ancillary Service Plan.</w:t>
            </w:r>
          </w:p>
        </w:tc>
      </w:tr>
    </w:tbl>
    <w:p w14:paraId="5EC938EF" w14:textId="77777777" w:rsidR="001F04FD" w:rsidRDefault="001F04FD" w:rsidP="001F04FD">
      <w:pPr>
        <w:pStyle w:val="H4"/>
        <w:spacing w:before="480"/>
        <w:ind w:left="1267" w:hanging="1267"/>
      </w:pPr>
      <w:bookmarkStart w:id="611" w:name="_Toc189044322"/>
      <w:r>
        <w:t>6.4.9.2</w:t>
      </w:r>
      <w:r>
        <w:tab/>
        <w:t>Supplemental Ancillary Services Market</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11"/>
    </w:p>
    <w:p w14:paraId="689A22CE" w14:textId="7D7E51C3" w:rsidR="001F04FD" w:rsidRDefault="001F04FD" w:rsidP="001F04FD">
      <w:pPr>
        <w:pStyle w:val="BodyTextNumbered"/>
      </w:pPr>
      <w:r>
        <w:t>(1)</w:t>
      </w:r>
      <w:r>
        <w:tab/>
        <w:t xml:space="preserve">During the Adjustment Period, ERCOT may procure additional Reg-Up, Reg-Down, </w:t>
      </w:r>
      <w:r w:rsidR="00A93ECE">
        <w:t xml:space="preserve">ECRS, </w:t>
      </w:r>
      <w:r>
        <w:t>Responsive Reserve (RRS), and Non-Spin services for the reasons, and in the amounts, specified in Section 6.4.9.1, Evaluation and Maintenance of Ancillary Service Capacity Sufficiency, using a SASM.</w:t>
      </w:r>
    </w:p>
    <w:p w14:paraId="32F18A87" w14:textId="77777777" w:rsidR="001F04FD" w:rsidRDefault="001F04FD" w:rsidP="00F969DB">
      <w:pPr>
        <w:pStyle w:val="BodyTextNumbered"/>
      </w:pPr>
      <w:r>
        <w:t>(2)</w:t>
      </w:r>
      <w:r>
        <w:tab/>
      </w:r>
      <w:r w:rsidRPr="008C60A6">
        <w:t xml:space="preserve">ERCOT shall allow QSEs to </w:t>
      </w:r>
      <w:r>
        <w:t xml:space="preserve">request to </w:t>
      </w:r>
      <w:r w:rsidRPr="008C60A6">
        <w:t xml:space="preserve">modify their Ancillary Service positions through a </w:t>
      </w:r>
      <w:r>
        <w:t>R</w:t>
      </w:r>
      <w:r w:rsidRPr="008C60A6">
        <w:t xml:space="preserve">econfiguration </w:t>
      </w:r>
      <w:r w:rsidR="00D430E9">
        <w:t xml:space="preserve">Supplemental Ancillary Services Market </w:t>
      </w:r>
      <w:r>
        <w:t>(RSASM).  The RSASM is executed</w:t>
      </w:r>
      <w:r w:rsidRPr="008C60A6">
        <w:t xml:space="preserve"> at </w:t>
      </w:r>
      <w:r>
        <w:t>0900 daily</w:t>
      </w:r>
      <w:r w:rsidRPr="008C60A6">
        <w:t xml:space="preserve">.  This </w:t>
      </w:r>
      <w:r>
        <w:t>R</w:t>
      </w:r>
      <w:r w:rsidRPr="008C60A6">
        <w:t xml:space="preserve">SASM allows QSEs to </w:t>
      </w:r>
      <w:r>
        <w:t xml:space="preserve">potentially </w:t>
      </w:r>
      <w:r w:rsidRPr="008C60A6">
        <w:t xml:space="preserve">change their </w:t>
      </w:r>
      <w:r>
        <w:t xml:space="preserve">Ancillary Service Supply Responsibility </w:t>
      </w:r>
      <w:r w:rsidRPr="008C60A6">
        <w:t xml:space="preserve">from </w:t>
      </w:r>
      <w:r>
        <w:t xml:space="preserve">hour ending 1300 through hour ending 2400 </w:t>
      </w:r>
      <w:r w:rsidRPr="008C60A6">
        <w:t xml:space="preserve">of the </w:t>
      </w:r>
      <w:r>
        <w:t>current Operating Day</w:t>
      </w:r>
      <w:r w:rsidRPr="008C60A6">
        <w:t>.</w:t>
      </w:r>
      <w:r>
        <w:t xml:space="preserve">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w:t>
      </w:r>
      <w:r w:rsidRPr="008C60A6">
        <w:t xml:space="preserve"> </w:t>
      </w:r>
      <w:r>
        <w:t>if there are not enough offers to procure the Ancillary Service reconfiguration amount.</w:t>
      </w:r>
    </w:p>
    <w:p w14:paraId="775C3707" w14:textId="77777777" w:rsidR="001F04FD" w:rsidRPr="000149E5" w:rsidRDefault="001F04FD" w:rsidP="001F04FD">
      <w:pPr>
        <w:pStyle w:val="BodyTextNumbered"/>
        <w:rPr>
          <w:iCs/>
        </w:rPr>
      </w:pPr>
      <w:r>
        <w:rPr>
          <w:iCs/>
        </w:rPr>
        <w:t>(3</w:t>
      </w:r>
      <w:r w:rsidRPr="000149E5">
        <w:rPr>
          <w:iCs/>
        </w:rPr>
        <w:t>)</w:t>
      </w:r>
      <w:r w:rsidRPr="000149E5">
        <w:rPr>
          <w:iCs/>
        </w:rPr>
        <w:tab/>
        <w:t>The SASM process for acquiring more Ancillary Service capacity or an Ancillary Service reconfiguration must use the following timelines:</w:t>
      </w:r>
    </w:p>
    <w:p w14:paraId="27B80D84" w14:textId="77777777" w:rsidR="008E6198" w:rsidRDefault="001F04FD" w:rsidP="001F04FD">
      <w:pPr>
        <w:pStyle w:val="BodyTextNumbered"/>
        <w:ind w:left="1440"/>
        <w:rPr>
          <w:iCs/>
        </w:rPr>
      </w:pPr>
      <w:r w:rsidRPr="000149E5">
        <w:rPr>
          <w:iCs/>
        </w:rPr>
        <w:lastRenderedPageBreak/>
        <w:t>(a)</w:t>
      </w:r>
      <w:r w:rsidRPr="000149E5">
        <w:rPr>
          <w:iCs/>
        </w:rPr>
        <w:tab/>
      </w:r>
      <w:r w:rsidR="008C5104" w:rsidRPr="00E705D5">
        <w:rPr>
          <w:iCs/>
        </w:rPr>
        <w:t xml:space="preserve">For Ancillary Service capacity related to ERCOT desired increases, for replacement of Ancillary Service capacity related to </w:t>
      </w:r>
      <w:r w:rsidR="008C5104">
        <w:rPr>
          <w:iCs/>
        </w:rPr>
        <w:t>infeasibility</w:t>
      </w:r>
      <w:r w:rsidR="008C5104" w:rsidRPr="00E705D5">
        <w:rPr>
          <w:iCs/>
        </w:rPr>
        <w:t xml:space="preserve">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w:t>
      </w:r>
      <w:r w:rsidR="008C5104">
        <w:rPr>
          <w:iCs/>
        </w:rPr>
        <w:t xml:space="preserve">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14:paraId="5671420B" w14:textId="77777777" w:rsidTr="00AC4DEE">
        <w:trPr>
          <w:trHeight w:val="576"/>
        </w:trPr>
        <w:tc>
          <w:tcPr>
            <w:tcW w:w="1836" w:type="dxa"/>
          </w:tcPr>
          <w:p w14:paraId="5AEB5219" w14:textId="77777777" w:rsidR="001F04FD" w:rsidRDefault="001F04FD" w:rsidP="00AC4DEE">
            <w:pPr>
              <w:pStyle w:val="TableHead"/>
            </w:pPr>
            <w:r>
              <w:t xml:space="preserve">SASM Process </w:t>
            </w:r>
          </w:p>
        </w:tc>
        <w:tc>
          <w:tcPr>
            <w:tcW w:w="3672" w:type="dxa"/>
          </w:tcPr>
          <w:p w14:paraId="10B97E6C" w14:textId="77777777" w:rsidR="001F04FD" w:rsidRPr="00EB4BCC" w:rsidRDefault="001F04FD" w:rsidP="00AC4DEE">
            <w:pPr>
              <w:pStyle w:val="TableHead"/>
              <w:rPr>
                <w:bCs/>
              </w:rPr>
            </w:pPr>
            <w:r w:rsidRPr="00EB4BCC">
              <w:rPr>
                <w:bCs/>
              </w:rPr>
              <w:t>QSE Activities:</w:t>
            </w:r>
          </w:p>
        </w:tc>
        <w:tc>
          <w:tcPr>
            <w:tcW w:w="3852" w:type="dxa"/>
          </w:tcPr>
          <w:p w14:paraId="3733B9F2" w14:textId="77777777" w:rsidR="001F04FD" w:rsidRPr="00EB4BCC" w:rsidRDefault="001F04FD" w:rsidP="00AC4DEE">
            <w:pPr>
              <w:pStyle w:val="TableHead"/>
              <w:rPr>
                <w:bCs/>
              </w:rPr>
            </w:pPr>
            <w:r w:rsidRPr="00EB4BCC">
              <w:rPr>
                <w:bCs/>
              </w:rPr>
              <w:t>ERCOT Activities:</w:t>
            </w:r>
          </w:p>
        </w:tc>
      </w:tr>
      <w:tr w:rsidR="001F04FD" w14:paraId="4C25058B" w14:textId="77777777" w:rsidTr="00AC4DEE">
        <w:trPr>
          <w:trHeight w:val="576"/>
        </w:trPr>
        <w:tc>
          <w:tcPr>
            <w:tcW w:w="1836" w:type="dxa"/>
          </w:tcPr>
          <w:p w14:paraId="51FF84A0" w14:textId="77777777" w:rsidR="001F04FD" w:rsidRDefault="001F04FD" w:rsidP="00AC4DEE">
            <w:pPr>
              <w:pStyle w:val="TableBody"/>
            </w:pPr>
            <w:r>
              <w:t>Time = X</w:t>
            </w:r>
          </w:p>
        </w:tc>
        <w:tc>
          <w:tcPr>
            <w:tcW w:w="3672" w:type="dxa"/>
          </w:tcPr>
          <w:p w14:paraId="528FC5CA" w14:textId="77777777" w:rsidR="001F04FD" w:rsidRDefault="001F04FD" w:rsidP="00AC4DEE">
            <w:pPr>
              <w:pStyle w:val="TableBody"/>
            </w:pPr>
          </w:p>
        </w:tc>
        <w:tc>
          <w:tcPr>
            <w:tcW w:w="3852" w:type="dxa"/>
          </w:tcPr>
          <w:p w14:paraId="70A3C426" w14:textId="77777777" w:rsidR="001F04FD" w:rsidRDefault="001F04FD" w:rsidP="00AC4DEE">
            <w:pPr>
              <w:pStyle w:val="TableBody"/>
            </w:pPr>
            <w:r>
              <w:t>Notify all QSEs of intent to procure Ancillary Services</w:t>
            </w:r>
            <w:r>
              <w:rPr>
                <w:iCs w:val="0"/>
              </w:rPr>
              <w:t xml:space="preserve"> </w:t>
            </w:r>
            <w:r w:rsidRPr="008468D6">
              <w:rPr>
                <w:iCs w:val="0"/>
              </w:rPr>
              <w:t>by ERCOT Hotline and electronic communication</w:t>
            </w:r>
            <w:r>
              <w:t>.</w:t>
            </w:r>
          </w:p>
          <w:p w14:paraId="55A8E9FA" w14:textId="77777777" w:rsidR="001F04FD" w:rsidRDefault="001F04FD" w:rsidP="00AC4DEE">
            <w:pPr>
              <w:pStyle w:val="TableBody"/>
            </w:pPr>
            <w:r>
              <w:t xml:space="preserve">Notify QSEs of any additional Ancillary Service Obligation, allocated to each LSE and aggregated to the QSE level. </w:t>
            </w:r>
          </w:p>
        </w:tc>
      </w:tr>
      <w:tr w:rsidR="001F04FD" w14:paraId="082A36E7" w14:textId="77777777" w:rsidTr="00AC4DEE">
        <w:trPr>
          <w:trHeight w:val="1070"/>
        </w:trPr>
        <w:tc>
          <w:tcPr>
            <w:tcW w:w="1836" w:type="dxa"/>
            <w:tcBorders>
              <w:bottom w:val="single" w:sz="4" w:space="0" w:color="auto"/>
            </w:tcBorders>
          </w:tcPr>
          <w:p w14:paraId="43528AA6" w14:textId="77777777" w:rsidR="001F04FD" w:rsidRDefault="001F04FD" w:rsidP="00AC4DEE">
            <w:pPr>
              <w:pStyle w:val="TableBody"/>
            </w:pPr>
            <w:r>
              <w:t>Time = X plus 30 minutes</w:t>
            </w:r>
          </w:p>
        </w:tc>
        <w:tc>
          <w:tcPr>
            <w:tcW w:w="3672" w:type="dxa"/>
            <w:tcBorders>
              <w:bottom w:val="single" w:sz="4" w:space="0" w:color="auto"/>
            </w:tcBorders>
          </w:tcPr>
          <w:p w14:paraId="509DE463" w14:textId="77777777" w:rsidR="001F04FD" w:rsidRDefault="001F04FD" w:rsidP="00AC4DEE">
            <w:pPr>
              <w:pStyle w:val="TableBody"/>
            </w:pPr>
            <w:r>
              <w:t xml:space="preserve">May submit additional Self-Arranged Ancillary Service Quantities pursuant to Section </w:t>
            </w:r>
            <w:r w:rsidRPr="004C35D3">
              <w:t>4.4.7.1</w:t>
            </w:r>
            <w:r>
              <w:t xml:space="preserve">, </w:t>
            </w:r>
            <w:r w:rsidRPr="004C35D3">
              <w:t>Self-Arranged Ancillary Service Quantities</w:t>
            </w:r>
          </w:p>
        </w:tc>
        <w:tc>
          <w:tcPr>
            <w:tcW w:w="3852" w:type="dxa"/>
            <w:tcBorders>
              <w:bottom w:val="single" w:sz="4" w:space="0" w:color="auto"/>
            </w:tcBorders>
          </w:tcPr>
          <w:p w14:paraId="544F7AE3" w14:textId="77777777" w:rsidR="001F04FD" w:rsidRDefault="001F04FD" w:rsidP="00AC4DEE">
            <w:pPr>
              <w:pStyle w:val="TableBody"/>
            </w:pPr>
            <w:r>
              <w:t>Determine the amount of Ancillary Services to be procured.</w:t>
            </w:r>
          </w:p>
        </w:tc>
      </w:tr>
      <w:tr w:rsidR="001F04FD" w14:paraId="0C3F28DA" w14:textId="77777777" w:rsidTr="00AC4DEE">
        <w:trPr>
          <w:trHeight w:val="576"/>
        </w:trPr>
        <w:tc>
          <w:tcPr>
            <w:tcW w:w="1836" w:type="dxa"/>
          </w:tcPr>
          <w:p w14:paraId="5688E6A0" w14:textId="77777777" w:rsidR="001F04FD" w:rsidRDefault="001F04FD" w:rsidP="00AC4DEE">
            <w:pPr>
              <w:pStyle w:val="TableBody"/>
            </w:pPr>
            <w:r>
              <w:t>Time = X plus 35 minutes</w:t>
            </w:r>
          </w:p>
        </w:tc>
        <w:tc>
          <w:tcPr>
            <w:tcW w:w="3672" w:type="dxa"/>
          </w:tcPr>
          <w:p w14:paraId="5D04767E" w14:textId="77777777" w:rsidR="001F04FD" w:rsidRDefault="001F04FD" w:rsidP="00AC4DEE">
            <w:pPr>
              <w:pStyle w:val="TableBody"/>
            </w:pPr>
          </w:p>
        </w:tc>
        <w:tc>
          <w:tcPr>
            <w:tcW w:w="3852" w:type="dxa"/>
          </w:tcPr>
          <w:p w14:paraId="0F42AEF8" w14:textId="77777777" w:rsidR="001F04FD" w:rsidRDefault="001F04FD" w:rsidP="00AC4DEE">
            <w:pPr>
              <w:pStyle w:val="TableBody"/>
            </w:pPr>
            <w:r>
              <w:t xml:space="preserve">Execute SASM. </w:t>
            </w:r>
          </w:p>
        </w:tc>
      </w:tr>
      <w:tr w:rsidR="001F04FD" w14:paraId="2514EE7E" w14:textId="77777777" w:rsidTr="00AC4DEE">
        <w:trPr>
          <w:trHeight w:val="576"/>
        </w:trPr>
        <w:tc>
          <w:tcPr>
            <w:tcW w:w="1836" w:type="dxa"/>
          </w:tcPr>
          <w:p w14:paraId="6E0EF4FB" w14:textId="77777777" w:rsidR="001F04FD" w:rsidRDefault="001F04FD" w:rsidP="00AC4DEE">
            <w:pPr>
              <w:pStyle w:val="TableBody"/>
            </w:pPr>
            <w:r>
              <w:t>Time = X plus 45 minutes</w:t>
            </w:r>
          </w:p>
        </w:tc>
        <w:tc>
          <w:tcPr>
            <w:tcW w:w="3672" w:type="dxa"/>
          </w:tcPr>
          <w:p w14:paraId="4ED92D74" w14:textId="77777777" w:rsidR="001F04FD" w:rsidRDefault="001F04FD" w:rsidP="00AC4DEE">
            <w:pPr>
              <w:pStyle w:val="TableBody"/>
            </w:pPr>
          </w:p>
        </w:tc>
        <w:tc>
          <w:tcPr>
            <w:tcW w:w="3852" w:type="dxa"/>
          </w:tcPr>
          <w:p w14:paraId="7CB1A71C" w14:textId="77777777" w:rsidR="001F04FD" w:rsidRDefault="001F04FD" w:rsidP="00AC4DEE">
            <w:pPr>
              <w:pStyle w:val="TableBody"/>
            </w:pPr>
            <w:r>
              <w:t>Notify QSEs with awards of results.</w:t>
            </w:r>
          </w:p>
          <w:p w14:paraId="4664D38F" w14:textId="77777777" w:rsidR="001F04FD" w:rsidRDefault="001F04FD" w:rsidP="00AC4DEE">
            <w:pPr>
              <w:pStyle w:val="TableBody"/>
            </w:pPr>
            <w:r>
              <w:t xml:space="preserve">Post the quantities and </w:t>
            </w:r>
            <w:r w:rsidR="00D430E9">
              <w:t>Market Clearing Prices for Capacity (</w:t>
            </w:r>
            <w:r w:rsidRPr="004734FD">
              <w:t>MCPCs</w:t>
            </w:r>
            <w:r w:rsidR="00D430E9">
              <w:t>)</w:t>
            </w:r>
            <w:r>
              <w:t xml:space="preserve"> of Ancillary Services bought in the SASM.</w:t>
            </w:r>
          </w:p>
        </w:tc>
      </w:tr>
      <w:tr w:rsidR="001F04FD" w14:paraId="663B2A22" w14:textId="77777777" w:rsidTr="00AC4DEE">
        <w:trPr>
          <w:trHeight w:val="576"/>
        </w:trPr>
        <w:tc>
          <w:tcPr>
            <w:tcW w:w="1836" w:type="dxa"/>
          </w:tcPr>
          <w:p w14:paraId="2F0E0D93" w14:textId="77777777" w:rsidR="001F04FD" w:rsidRDefault="001F04FD" w:rsidP="00AC4DEE">
            <w:pPr>
              <w:pStyle w:val="TableBody"/>
            </w:pPr>
            <w:r>
              <w:t>Time = X plus 60 minutes</w:t>
            </w:r>
          </w:p>
        </w:tc>
        <w:tc>
          <w:tcPr>
            <w:tcW w:w="3672" w:type="dxa"/>
          </w:tcPr>
          <w:p w14:paraId="492B83EA" w14:textId="77777777" w:rsidR="001F04FD" w:rsidRDefault="001F04FD" w:rsidP="00AC4DEE">
            <w:pPr>
              <w:pStyle w:val="TableBody"/>
            </w:pPr>
            <w:r>
              <w:t xml:space="preserve">Submit updated </w:t>
            </w:r>
            <w:r w:rsidRPr="00D45E3A">
              <w:t>COP</w:t>
            </w:r>
            <w:r>
              <w:t xml:space="preserve"> with updated Ancillary Service Resource Responsibility.</w:t>
            </w:r>
          </w:p>
        </w:tc>
        <w:tc>
          <w:tcPr>
            <w:tcW w:w="3852" w:type="dxa"/>
          </w:tcPr>
          <w:p w14:paraId="257074BD" w14:textId="77777777" w:rsidR="001F04FD" w:rsidRDefault="001F04FD" w:rsidP="00AC4DEE">
            <w:pPr>
              <w:pStyle w:val="TableBody"/>
            </w:pPr>
            <w:r>
              <w:t>Validate COPs for Ancillary Service Resource Responsibility.</w:t>
            </w:r>
          </w:p>
        </w:tc>
      </w:tr>
    </w:tbl>
    <w:p w14:paraId="06CC5264" w14:textId="77777777" w:rsidR="001F04FD" w:rsidRDefault="001F04FD" w:rsidP="001F04FD">
      <w:pPr>
        <w:spacing w:before="240"/>
        <w:ind w:left="1440" w:hanging="720"/>
      </w:pPr>
      <w:r>
        <w:t>(b)</w:t>
      </w:r>
      <w:r>
        <w:tab/>
      </w:r>
      <w:r w:rsidRPr="008C60A6">
        <w:t xml:space="preserve">For </w:t>
      </w:r>
      <w:r>
        <w:t xml:space="preserve">an </w:t>
      </w:r>
      <w:r w:rsidRPr="008C60A6">
        <w:t>Ancillary Services reconfiguration, ERCOT shall execute a</w:t>
      </w:r>
      <w:r>
        <w:t>n</w:t>
      </w:r>
      <w:r w:rsidRPr="008C60A6">
        <w:t xml:space="preserve"> </w:t>
      </w:r>
      <w:r>
        <w:t>R</w:t>
      </w:r>
      <w:r w:rsidRPr="008C60A6">
        <w:t xml:space="preserve">SASM at </w:t>
      </w:r>
      <w:r>
        <w:t>0900 (time E</w:t>
      </w:r>
      <w:r w:rsidRPr="008C60A6">
        <w:t xml:space="preserve">), for </w:t>
      </w:r>
      <w:r>
        <w:t xml:space="preserve">hour ending 1300 through hour ending 2400 </w:t>
      </w:r>
      <w:r w:rsidRPr="008C60A6">
        <w:t xml:space="preserve">of the </w:t>
      </w:r>
      <w:r>
        <w:t>current Operating Day</w:t>
      </w:r>
      <w:r w:rsidRPr="008C60A6">
        <w:t>.</w:t>
      </w:r>
      <w:r>
        <w:tab/>
      </w:r>
    </w:p>
    <w:p w14:paraId="6781795A" w14:textId="77777777" w:rsidR="001F04FD" w:rsidRDefault="001F04FD" w:rsidP="001F04FD">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rsidRPr="008C60A6" w14:paraId="0208758A" w14:textId="77777777" w:rsidTr="00AC4DEE">
        <w:trPr>
          <w:trHeight w:val="576"/>
        </w:trPr>
        <w:tc>
          <w:tcPr>
            <w:tcW w:w="1836" w:type="dxa"/>
          </w:tcPr>
          <w:p w14:paraId="6D196648" w14:textId="77777777" w:rsidR="001F04FD" w:rsidRPr="00FC3E87" w:rsidRDefault="001F04FD" w:rsidP="00AC4DEE">
            <w:pPr>
              <w:pStyle w:val="TableHead"/>
            </w:pPr>
            <w:r w:rsidRPr="001B1672">
              <w:t xml:space="preserve">SASM Process </w:t>
            </w:r>
          </w:p>
        </w:tc>
        <w:tc>
          <w:tcPr>
            <w:tcW w:w="3672" w:type="dxa"/>
          </w:tcPr>
          <w:p w14:paraId="0275CA47" w14:textId="77777777" w:rsidR="001F04FD" w:rsidRPr="00FC3E87" w:rsidRDefault="001F04FD" w:rsidP="00AC4DEE">
            <w:pPr>
              <w:pStyle w:val="TableHead"/>
            </w:pPr>
            <w:r w:rsidRPr="001B1672">
              <w:t>QSE Activities:</w:t>
            </w:r>
          </w:p>
        </w:tc>
        <w:tc>
          <w:tcPr>
            <w:tcW w:w="3852" w:type="dxa"/>
          </w:tcPr>
          <w:p w14:paraId="7BDDAB7B" w14:textId="77777777" w:rsidR="001F04FD" w:rsidRPr="00FC3E87" w:rsidRDefault="001F04FD" w:rsidP="00AC4DEE">
            <w:pPr>
              <w:pStyle w:val="TableHead"/>
            </w:pPr>
            <w:r w:rsidRPr="001B1672">
              <w:t>ERCOT Activities:</w:t>
            </w:r>
          </w:p>
        </w:tc>
      </w:tr>
      <w:tr w:rsidR="001F04FD" w:rsidRPr="008C60A6" w14:paraId="415805D9" w14:textId="77777777" w:rsidTr="00AC4DEE">
        <w:trPr>
          <w:trHeight w:val="576"/>
        </w:trPr>
        <w:tc>
          <w:tcPr>
            <w:tcW w:w="1836" w:type="dxa"/>
          </w:tcPr>
          <w:p w14:paraId="1991F040" w14:textId="77777777" w:rsidR="001F04FD" w:rsidRPr="00FC3E87" w:rsidRDefault="001F04FD" w:rsidP="00AC4DEE">
            <w:pPr>
              <w:pStyle w:val="TableBody"/>
            </w:pPr>
            <w:r w:rsidRPr="001B1672">
              <w:t>Time = E – 15 minutes</w:t>
            </w:r>
          </w:p>
        </w:tc>
        <w:tc>
          <w:tcPr>
            <w:tcW w:w="3672" w:type="dxa"/>
          </w:tcPr>
          <w:p w14:paraId="0EBA74D0" w14:textId="77777777" w:rsidR="001F04FD" w:rsidRPr="00FC3E87" w:rsidRDefault="001F04FD" w:rsidP="00AC4DEE">
            <w:pPr>
              <w:pStyle w:val="TableBody"/>
            </w:pPr>
            <w:r w:rsidRPr="001B1672">
              <w:t xml:space="preserve">QSEs </w:t>
            </w:r>
            <w:r>
              <w:t>n</w:t>
            </w:r>
            <w:r w:rsidRPr="001B1672">
              <w:t xml:space="preserve">ominate quantities of Ancillary Services that shall be included in the </w:t>
            </w:r>
            <w:r>
              <w:t>R</w:t>
            </w:r>
            <w:r w:rsidRPr="001B1672">
              <w:t>SASM by submitting COPs with less A</w:t>
            </w:r>
            <w:r>
              <w:t xml:space="preserve">ncillary </w:t>
            </w:r>
            <w:r w:rsidRPr="001B1672">
              <w:t>S</w:t>
            </w:r>
            <w:r>
              <w:t>ervice</w:t>
            </w:r>
            <w:r w:rsidRPr="001B1672">
              <w:t xml:space="preserve"> capacity than their Ancillary Service Supply Responsibility and submitting Ancillary Service Offers to cover the difference between the Ancillary Service Supply Responsibility and COP A</w:t>
            </w:r>
            <w:r>
              <w:t xml:space="preserve">ncillary </w:t>
            </w:r>
            <w:r w:rsidRPr="001B1672">
              <w:t>S</w:t>
            </w:r>
            <w:r>
              <w:t>ervice capacity</w:t>
            </w:r>
            <w:r w:rsidRPr="001B1672">
              <w:t>.</w:t>
            </w:r>
          </w:p>
        </w:tc>
        <w:tc>
          <w:tcPr>
            <w:tcW w:w="3852" w:type="dxa"/>
          </w:tcPr>
          <w:p w14:paraId="22200477" w14:textId="77777777" w:rsidR="001F04FD" w:rsidRPr="00FC3E87" w:rsidRDefault="001F04FD" w:rsidP="00AC4DEE">
            <w:pPr>
              <w:pStyle w:val="TableBody"/>
            </w:pPr>
            <w:r w:rsidRPr="001B1672">
              <w:t xml:space="preserve">ERCOT sets the quantities of Ancillary Services to be procured in the </w:t>
            </w:r>
            <w:r>
              <w:t>R</w:t>
            </w:r>
            <w:r w:rsidRPr="001B1672">
              <w:t>SASM equal to the difference between total Ancillary Service Supply Responsibility and total COP A</w:t>
            </w:r>
            <w:r>
              <w:t xml:space="preserve">ncillary </w:t>
            </w:r>
            <w:r w:rsidRPr="001B1672">
              <w:t>S</w:t>
            </w:r>
            <w:r>
              <w:t>ervice capacity</w:t>
            </w:r>
            <w:r w:rsidRPr="001B1672">
              <w:t>.</w:t>
            </w:r>
          </w:p>
        </w:tc>
      </w:tr>
      <w:tr w:rsidR="001F04FD" w:rsidRPr="008C60A6" w14:paraId="719D147B" w14:textId="77777777" w:rsidTr="00AC4DEE">
        <w:trPr>
          <w:trHeight w:val="576"/>
        </w:trPr>
        <w:tc>
          <w:tcPr>
            <w:tcW w:w="1836" w:type="dxa"/>
          </w:tcPr>
          <w:p w14:paraId="68E52DA5" w14:textId="77777777" w:rsidR="001F04FD" w:rsidRPr="00FC3E87" w:rsidRDefault="001F04FD" w:rsidP="00AC4DEE">
            <w:pPr>
              <w:pStyle w:val="TableBody"/>
            </w:pPr>
            <w:r w:rsidRPr="001B1672">
              <w:lastRenderedPageBreak/>
              <w:t>Time = E</w:t>
            </w:r>
          </w:p>
        </w:tc>
        <w:tc>
          <w:tcPr>
            <w:tcW w:w="3672" w:type="dxa"/>
          </w:tcPr>
          <w:p w14:paraId="3B150EA6" w14:textId="77777777" w:rsidR="001F04FD" w:rsidRPr="00FC3E87" w:rsidRDefault="001F04FD" w:rsidP="00AC4DEE">
            <w:pPr>
              <w:pStyle w:val="TableBody"/>
            </w:pPr>
          </w:p>
        </w:tc>
        <w:tc>
          <w:tcPr>
            <w:tcW w:w="3852" w:type="dxa"/>
          </w:tcPr>
          <w:p w14:paraId="31DFCBE0" w14:textId="77777777" w:rsidR="001F04FD" w:rsidRPr="00FC3E87" w:rsidRDefault="001F04FD" w:rsidP="00AC4DEE">
            <w:pPr>
              <w:pStyle w:val="TableBody"/>
            </w:pPr>
            <w:r w:rsidRPr="001B1672">
              <w:t xml:space="preserve">Execute </w:t>
            </w:r>
            <w:r>
              <w:t>R</w:t>
            </w:r>
            <w:r w:rsidRPr="001B1672">
              <w:t xml:space="preserve">SASM for </w:t>
            </w:r>
            <w:r>
              <w:t>hour ending 1300 through hour ending 2400 of the current Operating Day</w:t>
            </w:r>
            <w:r w:rsidRPr="001B1672">
              <w:t xml:space="preserve">. </w:t>
            </w:r>
          </w:p>
        </w:tc>
      </w:tr>
      <w:tr w:rsidR="001F04FD" w:rsidRPr="008C60A6" w14:paraId="1B66A322" w14:textId="77777777" w:rsidTr="00AC4DEE">
        <w:trPr>
          <w:trHeight w:val="845"/>
        </w:trPr>
        <w:tc>
          <w:tcPr>
            <w:tcW w:w="1836" w:type="dxa"/>
          </w:tcPr>
          <w:p w14:paraId="3227B728" w14:textId="77777777" w:rsidR="001F04FD" w:rsidRPr="00FC3E87" w:rsidRDefault="001F04FD" w:rsidP="00AC4DEE">
            <w:pPr>
              <w:pStyle w:val="TableBody"/>
            </w:pPr>
            <w:r w:rsidRPr="001B1672">
              <w:t>Time = E plus 15 minutes</w:t>
            </w:r>
          </w:p>
        </w:tc>
        <w:tc>
          <w:tcPr>
            <w:tcW w:w="3672" w:type="dxa"/>
          </w:tcPr>
          <w:p w14:paraId="38AA58C4" w14:textId="77777777" w:rsidR="001F04FD" w:rsidRPr="00FC3E87" w:rsidRDefault="001F04FD" w:rsidP="00AC4DEE">
            <w:pPr>
              <w:pStyle w:val="TableBody"/>
            </w:pPr>
          </w:p>
        </w:tc>
        <w:tc>
          <w:tcPr>
            <w:tcW w:w="3852" w:type="dxa"/>
          </w:tcPr>
          <w:p w14:paraId="7A1C2BDE" w14:textId="77777777" w:rsidR="001F04FD" w:rsidRPr="00FC3E87" w:rsidRDefault="001F04FD" w:rsidP="00AC4DEE">
            <w:pPr>
              <w:pStyle w:val="TableBody"/>
            </w:pPr>
            <w:r w:rsidRPr="001B1672">
              <w:t>Notify QSEs with awards of results.</w:t>
            </w:r>
          </w:p>
          <w:p w14:paraId="25CBED98" w14:textId="77777777" w:rsidR="001F04FD" w:rsidRPr="00FC3E87" w:rsidRDefault="001F04FD" w:rsidP="00AC4DEE">
            <w:pPr>
              <w:pStyle w:val="TableBody"/>
            </w:pPr>
            <w:r w:rsidRPr="001B1672">
              <w:t xml:space="preserve">Post the quantities and MCPCs of Ancillary Services bought in the </w:t>
            </w:r>
            <w:r>
              <w:t>R</w:t>
            </w:r>
            <w:r w:rsidRPr="001B1672">
              <w:t>SASM.</w:t>
            </w:r>
          </w:p>
        </w:tc>
      </w:tr>
      <w:tr w:rsidR="001F04FD" w14:paraId="192CCF2F" w14:textId="77777777" w:rsidTr="00AC4DEE">
        <w:trPr>
          <w:trHeight w:val="576"/>
        </w:trPr>
        <w:tc>
          <w:tcPr>
            <w:tcW w:w="1836" w:type="dxa"/>
          </w:tcPr>
          <w:p w14:paraId="4B8D0AB2" w14:textId="77777777" w:rsidR="001F04FD" w:rsidRPr="00FC3E87" w:rsidRDefault="001F04FD" w:rsidP="00AC4DEE">
            <w:pPr>
              <w:pStyle w:val="TableBody"/>
            </w:pPr>
            <w:r w:rsidRPr="001B1672">
              <w:t>Time = E plus 30 minutes</w:t>
            </w:r>
          </w:p>
        </w:tc>
        <w:tc>
          <w:tcPr>
            <w:tcW w:w="3672" w:type="dxa"/>
          </w:tcPr>
          <w:p w14:paraId="7CE0231B" w14:textId="77777777" w:rsidR="001F04FD" w:rsidRPr="00FC3E87" w:rsidRDefault="001F04FD" w:rsidP="00AC4DEE">
            <w:pPr>
              <w:pStyle w:val="TableBody"/>
            </w:pPr>
            <w:r w:rsidRPr="001B1672">
              <w:t>Submit updated COP with updated Ancillary Service Resource Responsibility.</w:t>
            </w:r>
          </w:p>
        </w:tc>
        <w:tc>
          <w:tcPr>
            <w:tcW w:w="3852" w:type="dxa"/>
          </w:tcPr>
          <w:p w14:paraId="3DAFB7D9" w14:textId="77777777" w:rsidR="001F04FD" w:rsidRPr="00FC3E87" w:rsidRDefault="001F04FD" w:rsidP="00AC4DEE">
            <w:pPr>
              <w:pStyle w:val="TableBody"/>
            </w:pPr>
            <w:r w:rsidRPr="001B1672">
              <w:t>Validate COPs for Ancillary Service Resource Responsibility.</w:t>
            </w:r>
          </w:p>
        </w:tc>
      </w:tr>
    </w:tbl>
    <w:p w14:paraId="6714FF43" w14:textId="77777777" w:rsidR="001F04FD" w:rsidRDefault="001F04FD" w:rsidP="001F04FD">
      <w:pPr>
        <w:pStyle w:val="BodyTextNumbered"/>
        <w:spacing w:before="240"/>
      </w:pPr>
      <w:r>
        <w:t>(4)</w:t>
      </w:r>
      <w:r>
        <w:tab/>
        <w:t>Each QSE that is awarded capacity in a SASM is paid the SASM MCPC for the quantity it is awarded.</w:t>
      </w:r>
    </w:p>
    <w:p w14:paraId="2B91883B" w14:textId="1DCD1EED" w:rsidR="001F04FD" w:rsidRDefault="001F04FD" w:rsidP="001F04FD">
      <w:pPr>
        <w:pStyle w:val="BodyTextNumbered"/>
      </w:pPr>
      <w:r>
        <w:t>(5)</w:t>
      </w:r>
      <w:r>
        <w:tab/>
        <w:t xml:space="preserve">For purpose of Settlement, the reduction to the Ancillary Service Supply Responsibility is considered a failure quantity and each QSE that has their Ancillary Service Supply Responsibility reduced by an RSASM is charged in accordance with Sections 6.7.3, Charges for </w:t>
      </w:r>
      <w:r w:rsidR="00A66566">
        <w:t>a</w:t>
      </w:r>
      <w:r>
        <w:t xml:space="preserve"> to Failure to Provide</w:t>
      </w:r>
      <w:r w:rsidR="00A66566">
        <w:t xml:space="preserve"> Ancillary Service</w:t>
      </w:r>
      <w:r>
        <w:t>, and 6.7.4, Adjustments to Cost Allocations for Ancillary Services Procurement.  QSEs participating in RSASMs are not subject to performance metrics for “failure to provide” amounts until the end of the Adjustment Period for each hour cleared in the RSASM.</w:t>
      </w:r>
    </w:p>
    <w:p w14:paraId="0923FF93" w14:textId="77777777" w:rsidR="001F04FD" w:rsidRDefault="001F04FD" w:rsidP="001F04FD">
      <w:pPr>
        <w:pStyle w:val="BodyTextNumbered"/>
      </w:pPr>
      <w:r>
        <w:t>(6)</w:t>
      </w:r>
      <w:r>
        <w:tab/>
        <w:t>ERCOT shall allocate additional Ancillary Service Obligations to QSEs using the same percentages as the original Day-Ahead allocation of Ancillary Service Obligations.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550F7F32" w14:textId="77777777" w:rsidTr="0058150D">
        <w:trPr>
          <w:trHeight w:val="206"/>
        </w:trPr>
        <w:tc>
          <w:tcPr>
            <w:tcW w:w="9350" w:type="dxa"/>
            <w:shd w:val="pct12" w:color="auto" w:fill="auto"/>
          </w:tcPr>
          <w:p w14:paraId="66548F6F" w14:textId="7CA40116" w:rsidR="004940BD" w:rsidRPr="00B06583" w:rsidRDefault="004940BD" w:rsidP="00CE56E5">
            <w:pPr>
              <w:pStyle w:val="Instructions"/>
              <w:spacing w:before="120"/>
            </w:pPr>
            <w:bookmarkStart w:id="612" w:name="_Toc397504940"/>
            <w:bookmarkStart w:id="613" w:name="_Toc402357068"/>
            <w:bookmarkStart w:id="614" w:name="_Toc422486448"/>
            <w:bookmarkStart w:id="615" w:name="_Toc433093300"/>
            <w:bookmarkStart w:id="616" w:name="_Toc433093458"/>
            <w:bookmarkStart w:id="617" w:name="_Toc440874687"/>
            <w:bookmarkStart w:id="618" w:name="_Toc448142242"/>
            <w:bookmarkStart w:id="619" w:name="_Toc448142399"/>
            <w:bookmarkStart w:id="620" w:name="_Toc458770235"/>
            <w:bookmarkStart w:id="621" w:name="_Toc459294203"/>
            <w:bookmarkStart w:id="622" w:name="_Toc463262696"/>
            <w:bookmarkStart w:id="623" w:name="_Toc468286770"/>
            <w:bookmarkStart w:id="624" w:name="_Toc481502816"/>
            <w:bookmarkStart w:id="625" w:name="_Toc496079984"/>
            <w:r>
              <w:t>[NPRR1010:  Delete Section 6.4.9.2 above upon system implementation of the Real-Time Co-Optimization (RTC) project</w:t>
            </w:r>
            <w:r w:rsidR="00CE56E5">
              <w:t>.</w:t>
            </w:r>
            <w:r>
              <w:t>]</w:t>
            </w:r>
          </w:p>
        </w:tc>
      </w:tr>
    </w:tbl>
    <w:p w14:paraId="45107076" w14:textId="77777777" w:rsidR="001F04FD" w:rsidRDefault="001F04FD" w:rsidP="001F04FD">
      <w:pPr>
        <w:pStyle w:val="H5"/>
        <w:spacing w:before="480"/>
        <w:ind w:left="1627" w:hanging="1627"/>
      </w:pPr>
      <w:bookmarkStart w:id="626" w:name="_Toc189044323"/>
      <w:r>
        <w:t>6.4.9.2.1</w:t>
      </w:r>
      <w:r>
        <w:tab/>
        <w:t>Resubmitting Offers for Ancillary Services in the Adjustment Period</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22B73257" w14:textId="77777777" w:rsidR="001F04FD" w:rsidRPr="00C02E1B" w:rsidRDefault="001F04FD" w:rsidP="001F04FD">
      <w:pPr>
        <w:pStyle w:val="BodyTextNumbered"/>
      </w:pPr>
      <w:r>
        <w:t>(1)</w:t>
      </w:r>
      <w:r>
        <w:tab/>
      </w:r>
      <w:r w:rsidRPr="00C02E1B">
        <w: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0BCD2C8D" w14:textId="77777777" w:rsidTr="0058150D">
        <w:trPr>
          <w:trHeight w:val="206"/>
        </w:trPr>
        <w:tc>
          <w:tcPr>
            <w:tcW w:w="9350" w:type="dxa"/>
            <w:shd w:val="pct12" w:color="auto" w:fill="auto"/>
          </w:tcPr>
          <w:p w14:paraId="1F72A268" w14:textId="60523606" w:rsidR="004940BD" w:rsidRPr="00B06583" w:rsidRDefault="004940BD" w:rsidP="00CE56E5">
            <w:pPr>
              <w:pStyle w:val="Instructions"/>
              <w:spacing w:before="120"/>
            </w:pPr>
            <w:bookmarkStart w:id="627" w:name="_Toc397504941"/>
            <w:bookmarkStart w:id="628" w:name="_Toc402357069"/>
            <w:bookmarkStart w:id="629" w:name="_Toc422486449"/>
            <w:bookmarkStart w:id="630" w:name="_Toc433093301"/>
            <w:bookmarkStart w:id="631" w:name="_Toc433093459"/>
            <w:bookmarkStart w:id="632" w:name="_Toc440874688"/>
            <w:bookmarkStart w:id="633" w:name="_Toc448142243"/>
            <w:bookmarkStart w:id="634" w:name="_Toc448142400"/>
            <w:bookmarkStart w:id="635" w:name="_Toc458770236"/>
            <w:bookmarkStart w:id="636" w:name="_Toc459294204"/>
            <w:bookmarkStart w:id="637" w:name="_Toc463262697"/>
            <w:bookmarkStart w:id="638" w:name="_Toc468286771"/>
            <w:bookmarkStart w:id="639" w:name="_Toc481502817"/>
            <w:bookmarkStart w:id="640" w:name="_Toc496079985"/>
            <w:bookmarkStart w:id="641" w:name="_Toc90197129"/>
            <w:bookmarkStart w:id="642" w:name="_Toc93911029"/>
            <w:r>
              <w:t>[NPRR1010:  Delete Section 6.4.9.2.1 above upon system implementation of the Real-Time Co-Optimization (RTC) project</w:t>
            </w:r>
            <w:r w:rsidR="00CE56E5">
              <w:t>.</w:t>
            </w:r>
            <w:r>
              <w:t>]</w:t>
            </w:r>
          </w:p>
        </w:tc>
      </w:tr>
    </w:tbl>
    <w:p w14:paraId="6912F46B" w14:textId="77777777" w:rsidR="001F04FD" w:rsidRDefault="001F04FD" w:rsidP="001F04FD">
      <w:pPr>
        <w:pStyle w:val="H5"/>
        <w:spacing w:before="480"/>
        <w:ind w:left="1627" w:hanging="1627"/>
      </w:pPr>
      <w:bookmarkStart w:id="643" w:name="_Toc189044324"/>
      <w:r>
        <w:t>6.4.9.2.2</w:t>
      </w:r>
      <w:r>
        <w:tab/>
        <w:t>SASM Clearing Process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3"/>
    </w:p>
    <w:p w14:paraId="17378B49" w14:textId="77777777" w:rsidR="001F04FD" w:rsidRDefault="001F04FD" w:rsidP="001F04FD">
      <w:pPr>
        <w:pStyle w:val="BodyTextNumbered"/>
      </w:pPr>
      <w:r>
        <w:t>(1)</w:t>
      </w:r>
      <w:r>
        <w:tab/>
        <w:t>SASM procurement requirements are:</w:t>
      </w:r>
    </w:p>
    <w:p w14:paraId="48E71DE6" w14:textId="2DE77A73" w:rsidR="001F04FD" w:rsidRDefault="001F04FD" w:rsidP="001F04FD">
      <w:pPr>
        <w:pStyle w:val="List"/>
      </w:pPr>
      <w:r>
        <w:lastRenderedPageBreak/>
        <w:t>(a)</w:t>
      </w:r>
      <w:r>
        <w:tab/>
        <w:t xml:space="preserve">ERCOT shall procure the additional quantity required of each Ancillary Service, less the quantity self-arranged, if applicable. </w:t>
      </w:r>
      <w:r w:rsidR="00810EBA">
        <w:t xml:space="preserve"> </w:t>
      </w:r>
      <w:r>
        <w:t>ERCOT may not buy more of one Ancillary Service in place of the quantity of a different service.</w:t>
      </w:r>
    </w:p>
    <w:p w14:paraId="6572EB1A" w14:textId="77777777" w:rsidR="001F04FD" w:rsidRDefault="001F04FD" w:rsidP="001F04FD">
      <w:pPr>
        <w:pStyle w:val="List"/>
      </w:pPr>
      <w:r>
        <w:t>(b)</w:t>
      </w:r>
      <w:r>
        <w:tab/>
        <w:t>ERCOT shall select Ancillary Service Offers submitted by QSEs, such that:</w:t>
      </w:r>
    </w:p>
    <w:p w14:paraId="04B22987" w14:textId="0ECC71DF" w:rsidR="001F04FD" w:rsidRDefault="001F04FD" w:rsidP="001F04FD">
      <w:pPr>
        <w:pStyle w:val="List2"/>
      </w:pPr>
      <w:r>
        <w:t>(i)</w:t>
      </w:r>
      <w:r>
        <w:tab/>
        <w:t xml:space="preserve">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w:t>
      </w:r>
      <w:r w:rsidR="00810EBA">
        <w:t xml:space="preserve"> </w:t>
      </w:r>
      <w:r>
        <w:t>For Load Resources offering a block of capacity, ERCOT shall ignore the offer unless the entire block can be accepted.</w:t>
      </w:r>
    </w:p>
    <w:p w14:paraId="41EFD4CB" w14:textId="77777777" w:rsidR="001F04FD" w:rsidRDefault="001F04FD" w:rsidP="001F04FD">
      <w:pPr>
        <w:pStyle w:val="List2"/>
      </w:pPr>
      <w:r>
        <w:t>(ii)</w:t>
      </w:r>
      <w:r>
        <w:tab/>
        <w: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t>
      </w:r>
    </w:p>
    <w:p w14:paraId="28C344CB" w14:textId="200B1A85" w:rsidR="001F04FD" w:rsidRPr="002B446C" w:rsidRDefault="001F04FD" w:rsidP="001F04FD">
      <w:pPr>
        <w:pStyle w:val="List2"/>
      </w:pPr>
      <w:r w:rsidRPr="002B446C">
        <w:t>(iii)</w:t>
      </w:r>
      <w:r w:rsidRPr="002B446C">
        <w:tab/>
        <w: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t>
      </w:r>
    </w:p>
    <w:p w14:paraId="6632D970" w14:textId="345C9C5F" w:rsidR="001F04FD" w:rsidRDefault="001F04FD" w:rsidP="001F04FD">
      <w:pPr>
        <w:pStyle w:val="List"/>
      </w:pPr>
      <w:r>
        <w:t>(c)</w:t>
      </w:r>
      <w:r>
        <w:tab/>
        <w:t xml:space="preserve">If a QSE has submitted offers of the same Resource capacity for more than one Ancillary Service (sometimes called linked offers), ERCOT may not select any one part of that Resource capacity to provide more than one Ancillary Service in the same Operating Hour. </w:t>
      </w:r>
      <w:r w:rsidR="00810EBA">
        <w:t xml:space="preserve"> </w:t>
      </w:r>
      <w:r>
        <w:t>ERCOT may, however, select part of that Resource capacity to provide one Ancillary Service and another part of that capacity to provide a different Ancillary Service in the same Operating Hour.</w:t>
      </w:r>
    </w:p>
    <w:p w14:paraId="47CC98A5" w14:textId="330F7F98" w:rsidR="001F04FD" w:rsidRDefault="001F04FD" w:rsidP="001F04FD">
      <w:pPr>
        <w:pStyle w:val="List"/>
      </w:pPr>
      <w:r>
        <w:t>(d)</w:t>
      </w:r>
      <w:r>
        <w:tab/>
        <w:t>The SASM MCPC for each hour for each service is the Shadow Price for the corresponding Ancillary Service constraint for the hour as determined by the SASM algorithm.</w:t>
      </w:r>
    </w:p>
    <w:p w14:paraId="749EACD4" w14:textId="01431DEE" w:rsidR="00F03FB2" w:rsidRPr="00F03FB2" w:rsidRDefault="00F03FB2" w:rsidP="00F03FB2">
      <w:pPr>
        <w:spacing w:after="240"/>
        <w:ind w:left="1440" w:hanging="720"/>
        <w:rPr>
          <w:iCs/>
        </w:rPr>
      </w:pPr>
      <w:r>
        <w:t>(e)</w:t>
      </w:r>
      <w:r>
        <w:tab/>
      </w:r>
      <w:r>
        <w:rPr>
          <w:iCs/>
        </w:rPr>
        <w:t>SASM MCPCs for any Ancillary Service shall not exceed the SWCAP.  Ancillary Service Offers higher than corresponding Ancillary Service penalty factors, as defined in Appendix 2</w:t>
      </w:r>
      <w:r w:rsidR="002F6E69">
        <w:rPr>
          <w:iCs/>
        </w:rPr>
        <w:t xml:space="preserve">, Day-Ahead Market Optimization Control Parameters, </w:t>
      </w:r>
      <w:r>
        <w:rPr>
          <w:iCs/>
        </w:rPr>
        <w:t xml:space="preserve">of </w:t>
      </w:r>
      <w:r w:rsidR="005A1251">
        <w:rPr>
          <w:iCs/>
        </w:rPr>
        <w:t>Section 22, Attachment P,</w:t>
      </w:r>
      <w:r>
        <w:rPr>
          <w:iCs/>
        </w:rPr>
        <w:t xml:space="preserve"> </w:t>
      </w:r>
      <w:r w:rsidRPr="00930C58">
        <w:t>Methodology for Setting Maximum Shadow Prices for Network and Power Balance Constraints</w:t>
      </w:r>
      <w:r>
        <w:t>,</w:t>
      </w:r>
      <w:r>
        <w:rPr>
          <w:iCs/>
        </w:rPr>
        <w:t xml:space="preserve"> will not be awarded.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2267BD1" w14:textId="77777777" w:rsidTr="0058150D">
        <w:trPr>
          <w:trHeight w:val="206"/>
        </w:trPr>
        <w:tc>
          <w:tcPr>
            <w:tcW w:w="9350" w:type="dxa"/>
            <w:shd w:val="pct12" w:color="auto" w:fill="auto"/>
          </w:tcPr>
          <w:p w14:paraId="4EAF3238" w14:textId="2256ADF2" w:rsidR="004940BD" w:rsidRPr="00B06583" w:rsidRDefault="004940BD" w:rsidP="00CE56E5">
            <w:pPr>
              <w:pStyle w:val="Instructions"/>
              <w:spacing w:before="120"/>
            </w:pPr>
            <w:bookmarkStart w:id="644" w:name="_Toc397504942"/>
            <w:bookmarkStart w:id="645" w:name="_Toc402357070"/>
            <w:bookmarkStart w:id="646" w:name="_Toc422486450"/>
            <w:bookmarkStart w:id="647" w:name="_Toc433093302"/>
            <w:bookmarkStart w:id="648" w:name="_Toc433093460"/>
            <w:bookmarkStart w:id="649" w:name="_Toc440874689"/>
            <w:bookmarkStart w:id="650" w:name="_Toc448142244"/>
            <w:bookmarkStart w:id="651" w:name="_Toc448142401"/>
            <w:bookmarkStart w:id="652" w:name="_Toc458770237"/>
            <w:bookmarkStart w:id="653" w:name="_Toc459294205"/>
            <w:bookmarkStart w:id="654" w:name="_Toc463262698"/>
            <w:bookmarkStart w:id="655" w:name="_Toc468286772"/>
            <w:bookmarkStart w:id="656" w:name="_Toc481502818"/>
            <w:bookmarkStart w:id="657" w:name="_Toc496079986"/>
            <w:r>
              <w:lastRenderedPageBreak/>
              <w:t>[NPRR1010:  Delete Section 6.4.9.2.2 above upon system implementation of the Real-Time Co-Optimization (RTC) project</w:t>
            </w:r>
            <w:r w:rsidR="00CE56E5">
              <w:t>.</w:t>
            </w:r>
            <w:r>
              <w:t>]</w:t>
            </w:r>
          </w:p>
        </w:tc>
      </w:tr>
    </w:tbl>
    <w:p w14:paraId="0F08CE8E" w14:textId="77777777" w:rsidR="001F04FD" w:rsidRDefault="001F04FD" w:rsidP="001F04FD">
      <w:pPr>
        <w:pStyle w:val="H5"/>
        <w:spacing w:before="480"/>
        <w:ind w:left="0" w:firstLine="0"/>
      </w:pPr>
      <w:bookmarkStart w:id="658" w:name="_Toc189044325"/>
      <w:r>
        <w:t>6.4.9.2.3</w:t>
      </w:r>
      <w:r>
        <w:tab/>
        <w:t>Communication of SASM Results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5FE8E48B" w14:textId="77777777" w:rsidR="001F04FD" w:rsidRDefault="001F04FD" w:rsidP="001F04FD">
      <w:pPr>
        <w:pStyle w:val="BodyTextNumbered"/>
      </w:pPr>
      <w:r>
        <w:t>(1)</w:t>
      </w:r>
      <w:r>
        <w:tab/>
        <w: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t>
      </w:r>
    </w:p>
    <w:p w14:paraId="049482DD" w14:textId="1B2A21B1" w:rsidR="001F04FD" w:rsidRDefault="001F04FD" w:rsidP="001F04FD">
      <w:pPr>
        <w:pStyle w:val="BodyTextNumbered"/>
      </w:pPr>
      <w:r>
        <w:t>(2)</w:t>
      </w:r>
      <w:r>
        <w:tab/>
      </w:r>
      <w:r w:rsidR="008C5104" w:rsidRPr="004F1113">
        <w:t xml:space="preserve">For each QSE for which ERCOT has procured replacement Ancillary Services capacity in a SASM pursuant to Section 6.4.9.1.2, Replacement of </w:t>
      </w:r>
      <w:r w:rsidR="008C5104">
        <w:t>Infeasible</w:t>
      </w:r>
      <w:r w:rsidR="008C5104" w:rsidRPr="004F1113">
        <w:t xml:space="preserve"> Ancillary Service Due to Transmission Constraints, or Section 6.4.9.1.3, Failure to Provide</w:t>
      </w:r>
      <w:r w:rsidR="00F221F2">
        <w:t xml:space="preserve"> Ancillary Service</w:t>
      </w:r>
      <w:r w:rsidR="008C5104" w:rsidRPr="004F1113">
        <w:t>, ERCOT shall, as soon as practicable but no later than the time specified in Section 6.4.9.2, notify each affected QSE of the procured Ancillary Service quantities, the Ancillary Service typ</w:t>
      </w:r>
      <w:r w:rsidR="008C5104">
        <w:t>es, and the SASM MCPCs by hour.</w:t>
      </w:r>
    </w:p>
    <w:p w14:paraId="506D0E02" w14:textId="31928D97" w:rsidR="001F04FD" w:rsidRDefault="001F04FD" w:rsidP="00F26F08">
      <w:pPr>
        <w:pStyle w:val="BodyTextNumbered"/>
      </w:pPr>
      <w:r>
        <w:t>(3)</w:t>
      </w:r>
      <w:r>
        <w:tab/>
        <w:t xml:space="preserve">As soon as practicable, but no later than the time specified in Section 6.4.9.2, ERCOT shall post on the </w:t>
      </w:r>
      <w:r w:rsidR="0007207E">
        <w:t>ERCOT website</w:t>
      </w:r>
      <w:r>
        <w:t xml:space="preserve"> the hourly:</w:t>
      </w:r>
    </w:p>
    <w:p w14:paraId="02BF45A3" w14:textId="77777777" w:rsidR="001F04FD" w:rsidRDefault="001F04FD" w:rsidP="001F04FD">
      <w:pPr>
        <w:pStyle w:val="List"/>
      </w:pPr>
      <w:r>
        <w:t>(a)</w:t>
      </w:r>
      <w:r>
        <w:tab/>
        <w:t>SASM MCPC for each type of Ancillary Service for each hour;</w:t>
      </w:r>
    </w:p>
    <w:p w14:paraId="7EDF28B2" w14:textId="77777777" w:rsidR="001F04FD" w:rsidRDefault="001F04FD" w:rsidP="001F04FD">
      <w:pPr>
        <w:pStyle w:val="List"/>
      </w:pPr>
      <w:r>
        <w:t>(b)</w:t>
      </w:r>
      <w:r>
        <w:tab/>
        <w:t>Total Ancillary Service procured in MW by Ancillary Service type for each hour; and</w:t>
      </w:r>
    </w:p>
    <w:p w14:paraId="5229347E" w14:textId="77777777" w:rsidR="001F04FD" w:rsidRDefault="001F04FD" w:rsidP="001F04FD">
      <w:pPr>
        <w:pStyle w:val="List"/>
      </w:pPr>
      <w:r>
        <w:t>(c)</w:t>
      </w:r>
      <w:r>
        <w:tab/>
        <w:t>Aggregated Ancillary Service Offer Curve for each Ancillary Service for each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ED8" w14:textId="77777777" w:rsidTr="0058150D">
        <w:trPr>
          <w:trHeight w:val="206"/>
        </w:trPr>
        <w:tc>
          <w:tcPr>
            <w:tcW w:w="9350" w:type="dxa"/>
            <w:shd w:val="pct12" w:color="auto" w:fill="auto"/>
          </w:tcPr>
          <w:p w14:paraId="36299ECB" w14:textId="028ED90D" w:rsidR="004940BD" w:rsidRPr="00B06583" w:rsidRDefault="004940BD" w:rsidP="00CE56E5">
            <w:pPr>
              <w:pStyle w:val="Instructions"/>
              <w:spacing w:before="120"/>
            </w:pPr>
            <w:bookmarkStart w:id="659" w:name="_Toc397504943"/>
            <w:bookmarkStart w:id="660" w:name="_Toc402357071"/>
            <w:bookmarkStart w:id="661" w:name="_Toc422486451"/>
            <w:bookmarkStart w:id="662" w:name="_Toc433093303"/>
            <w:bookmarkStart w:id="663" w:name="_Toc433093461"/>
            <w:bookmarkStart w:id="664" w:name="_Toc440874690"/>
            <w:bookmarkStart w:id="665" w:name="_Toc448142245"/>
            <w:bookmarkStart w:id="666" w:name="_Toc448142402"/>
            <w:bookmarkStart w:id="667" w:name="_Toc458770238"/>
            <w:bookmarkStart w:id="668" w:name="_Toc459294206"/>
            <w:bookmarkStart w:id="669" w:name="_Toc463262699"/>
            <w:bookmarkStart w:id="670" w:name="_Toc468286773"/>
            <w:bookmarkStart w:id="671" w:name="_Toc481502819"/>
            <w:bookmarkStart w:id="672" w:name="_Toc496079987"/>
            <w:bookmarkStart w:id="673" w:name="_Toc73216034"/>
            <w:bookmarkEnd w:id="641"/>
            <w:bookmarkEnd w:id="642"/>
            <w:r>
              <w:t>[NPRR1010:  Delete Section 6.4.9.2.3 above upon system implementation of the Real-Time Co-Optimization (RTC) project</w:t>
            </w:r>
            <w:r w:rsidR="00CE56E5">
              <w:t>.</w:t>
            </w:r>
            <w:r>
              <w:t>]</w:t>
            </w:r>
          </w:p>
        </w:tc>
      </w:tr>
    </w:tbl>
    <w:p w14:paraId="11CFB20C" w14:textId="77777777" w:rsidR="001F04FD" w:rsidRDefault="001F04FD" w:rsidP="001F04FD">
      <w:pPr>
        <w:pStyle w:val="H2"/>
        <w:spacing w:before="480"/>
      </w:pPr>
      <w:bookmarkStart w:id="674" w:name="_Toc189044326"/>
      <w:r>
        <w:t>6.5</w:t>
      </w:r>
      <w:r>
        <w:tab/>
        <w:t>Real-Time Energy Operations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4"/>
      <w:r>
        <w:t xml:space="preserve"> </w:t>
      </w:r>
    </w:p>
    <w:p w14:paraId="67EE3BE4" w14:textId="77777777" w:rsidR="001F04FD" w:rsidRDefault="001F04FD" w:rsidP="001F04FD">
      <w:pPr>
        <w:pStyle w:val="H3"/>
        <w:spacing w:before="480"/>
      </w:pPr>
      <w:bookmarkStart w:id="675" w:name="_Toc397504944"/>
      <w:bookmarkStart w:id="676" w:name="_Toc402357072"/>
      <w:bookmarkStart w:id="677" w:name="_Toc422486452"/>
      <w:bookmarkStart w:id="678" w:name="_Toc433093304"/>
      <w:bookmarkStart w:id="679" w:name="_Toc433093462"/>
      <w:bookmarkStart w:id="680" w:name="_Toc440874691"/>
      <w:bookmarkStart w:id="681" w:name="_Toc448142246"/>
      <w:bookmarkStart w:id="682" w:name="_Toc448142403"/>
      <w:bookmarkStart w:id="683" w:name="_Toc458770239"/>
      <w:bookmarkStart w:id="684" w:name="_Toc459294207"/>
      <w:bookmarkStart w:id="685" w:name="_Toc463262700"/>
      <w:bookmarkStart w:id="686" w:name="_Toc468286774"/>
      <w:bookmarkStart w:id="687" w:name="_Toc481502820"/>
      <w:bookmarkStart w:id="688" w:name="_Toc496079988"/>
      <w:bookmarkStart w:id="689" w:name="_Toc189044327"/>
      <w:r>
        <w:t>6.5.1</w:t>
      </w:r>
      <w:r>
        <w:tab/>
        <w:t>ERCOT Activities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397C893F" w14:textId="77777777" w:rsidR="001F04FD" w:rsidRDefault="001F04FD" w:rsidP="001F04FD">
      <w:pPr>
        <w:pStyle w:val="BodyText"/>
        <w:ind w:left="720" w:hanging="720"/>
      </w:pPr>
      <w:r>
        <w:t>(1)</w:t>
      </w:r>
      <w:r>
        <w:tab/>
        <w:t>ERCOT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79AA138B" w14:textId="77777777" w:rsidR="001F04FD" w:rsidRDefault="001F04FD" w:rsidP="001F04FD">
      <w:pPr>
        <w:pStyle w:val="H4"/>
        <w:spacing w:before="480"/>
        <w:ind w:left="1267" w:hanging="1267"/>
      </w:pPr>
      <w:bookmarkStart w:id="690" w:name="_Toc397504945"/>
      <w:bookmarkStart w:id="691" w:name="_Toc402357073"/>
      <w:bookmarkStart w:id="692" w:name="_Toc422486453"/>
      <w:bookmarkStart w:id="693" w:name="_Toc433093305"/>
      <w:bookmarkStart w:id="694" w:name="_Toc433093463"/>
      <w:bookmarkStart w:id="695" w:name="_Toc440874692"/>
      <w:bookmarkStart w:id="696" w:name="_Toc448142247"/>
      <w:bookmarkStart w:id="697" w:name="_Toc448142404"/>
      <w:bookmarkStart w:id="698" w:name="_Toc458770240"/>
      <w:bookmarkStart w:id="699" w:name="_Toc459294208"/>
      <w:bookmarkStart w:id="700" w:name="_Toc463262701"/>
      <w:bookmarkStart w:id="701" w:name="_Toc468286775"/>
      <w:bookmarkStart w:id="702" w:name="_Toc481502821"/>
      <w:bookmarkStart w:id="703" w:name="_Toc496079989"/>
      <w:bookmarkStart w:id="704" w:name="_Toc189044328"/>
      <w:r>
        <w:lastRenderedPageBreak/>
        <w:t>6.5.1.1</w:t>
      </w:r>
      <w:r>
        <w:tab/>
        <w:t>ERCOT Control Area Authority</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0CBCBDA6" w14:textId="715ED106" w:rsidR="001F04FD" w:rsidRDefault="001F04FD" w:rsidP="001F04FD">
      <w:pPr>
        <w:pStyle w:val="BodyText"/>
        <w:ind w:left="720" w:hanging="720"/>
      </w:pPr>
      <w:r>
        <w:t>(1)</w:t>
      </w:r>
      <w:r>
        <w:tab/>
        <w:t xml:space="preserve">ERCOT, as Control Area Operator (CAO), is authorized to perform the following actions for the limited purpose of securely operating the ERCOT Transmission Grid under the standards specified in North American Electric Reliability Corporation (NERC) Standards, the </w:t>
      </w:r>
      <w:r w:rsidR="0098177F">
        <w:t xml:space="preserve">Nodal </w:t>
      </w:r>
      <w:r>
        <w:t>Operating Guides and these Protocols,</w:t>
      </w:r>
      <w:r>
        <w:rPr>
          <w:b/>
        </w:rPr>
        <w:t xml:space="preserve"> </w:t>
      </w:r>
      <w:r>
        <w:t>including:</w:t>
      </w:r>
    </w:p>
    <w:p w14:paraId="3FC45069" w14:textId="77777777" w:rsidR="001F04FD" w:rsidRDefault="001F04FD" w:rsidP="001F04FD">
      <w:pPr>
        <w:pStyle w:val="List"/>
      </w:pPr>
      <w:r>
        <w:t>(a)</w:t>
      </w:r>
      <w:r>
        <w:tab/>
        <w:t>Direct the physical operation of the ERCOT Transmission Grid, including circuit breakers, switches, voltage control equipment, and Load-shedding equipment;</w:t>
      </w:r>
    </w:p>
    <w:p w14:paraId="694DB471" w14:textId="77777777" w:rsidR="001F04FD" w:rsidRDefault="001F04FD" w:rsidP="001F04FD">
      <w:pPr>
        <w:pStyle w:val="List"/>
      </w:pPr>
      <w:r>
        <w:t>(b)</w:t>
      </w:r>
      <w:r>
        <w:tab/>
        <w:t>Dispatch Resources that have committed to provide Ancillary Services;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A10" w14:textId="77777777" w:rsidTr="0058150D">
        <w:trPr>
          <w:trHeight w:val="206"/>
        </w:trPr>
        <w:tc>
          <w:tcPr>
            <w:tcW w:w="9350" w:type="dxa"/>
            <w:shd w:val="pct12" w:color="auto" w:fill="auto"/>
          </w:tcPr>
          <w:p w14:paraId="3CA2CBE3" w14:textId="77777777" w:rsidR="004940BD" w:rsidRDefault="004940BD" w:rsidP="004940BD">
            <w:pPr>
              <w:pStyle w:val="Instructions"/>
              <w:spacing w:before="120"/>
            </w:pPr>
            <w:r>
              <w:t>[NPRR1010:  Replace paragraph (b) above with the following upon system implementation of the Real-Time Co-Optimization (RTC) project:]</w:t>
            </w:r>
          </w:p>
          <w:p w14:paraId="6B1DEA97" w14:textId="05AE45A8" w:rsidR="004940BD" w:rsidRPr="004940BD" w:rsidRDefault="004940BD" w:rsidP="004940BD">
            <w:pPr>
              <w:spacing w:after="240"/>
              <w:ind w:left="1440" w:hanging="720"/>
            </w:pPr>
            <w:r w:rsidRPr="003161DC">
              <w:t>(b)</w:t>
            </w:r>
            <w:r w:rsidRPr="003161DC">
              <w:tab/>
              <w:t xml:space="preserve">Dispatch Resources that have </w:t>
            </w:r>
            <w:r>
              <w:t>been awarded Ancillary Services;</w:t>
            </w:r>
          </w:p>
        </w:tc>
      </w:tr>
    </w:tbl>
    <w:p w14:paraId="65104D42" w14:textId="0B4DE3B9" w:rsidR="001F04FD" w:rsidRDefault="001F04FD" w:rsidP="000B1D41">
      <w:pPr>
        <w:pStyle w:val="List"/>
        <w:spacing w:before="240"/>
      </w:pPr>
      <w:r>
        <w:t>(c)</w:t>
      </w:r>
      <w:r>
        <w:tab/>
        <w:t>Direct changes in the operation of voltage control equipment;</w:t>
      </w:r>
    </w:p>
    <w:p w14:paraId="3D70C0A2" w14:textId="77777777" w:rsidR="001F04FD" w:rsidRDefault="001F04FD" w:rsidP="001F04FD">
      <w:pPr>
        <w:pStyle w:val="List"/>
      </w:pPr>
      <w:r>
        <w:t>(d)</w:t>
      </w:r>
      <w:r>
        <w:tab/>
      </w:r>
      <w:r w:rsidR="004B6E53">
        <w:t>Direct the implementation of Reliability Must-Run (RMR) Service, Remedial Action Plans (RAPs), Automatic Mitigation Plans (AMPs), Remedial Action Schemes (RASs), and transmission switching to prevent the violation of ERCOT Transmission Grid security limits;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177F" w14:paraId="32589B9E" w14:textId="77777777" w:rsidTr="007E7B7E">
        <w:trPr>
          <w:trHeight w:val="206"/>
        </w:trPr>
        <w:tc>
          <w:tcPr>
            <w:tcW w:w="9350" w:type="dxa"/>
            <w:shd w:val="pct12" w:color="auto" w:fill="auto"/>
          </w:tcPr>
          <w:p w14:paraId="4CCE8674" w14:textId="047A4199" w:rsidR="0098177F" w:rsidRDefault="0098177F" w:rsidP="007E7B7E">
            <w:pPr>
              <w:pStyle w:val="Instructions"/>
              <w:spacing w:before="120"/>
            </w:pPr>
            <w:r>
              <w:t>[NPRR1198:  Replace paragraph (d) above with the following upon system implementation and renumber accordingly:]</w:t>
            </w:r>
          </w:p>
          <w:p w14:paraId="794F2A6D" w14:textId="77777777" w:rsidR="0098177F" w:rsidRDefault="0098177F" w:rsidP="0098177F">
            <w:pPr>
              <w:spacing w:after="240"/>
              <w:ind w:left="1440" w:hanging="720"/>
            </w:pPr>
            <w:r w:rsidRPr="002715C9">
              <w:t>(d)</w:t>
            </w:r>
            <w:r w:rsidRPr="002715C9">
              <w:tab/>
              <w:t>Direct the implementation of Reliability Must-Run (RMR) Service</w:t>
            </w:r>
            <w:r>
              <w:t>;</w:t>
            </w:r>
          </w:p>
          <w:p w14:paraId="2A08E57C" w14:textId="77356D32" w:rsidR="0098177F" w:rsidRPr="00A4149C" w:rsidRDefault="0098177F" w:rsidP="0098177F">
            <w:pPr>
              <w:spacing w:after="240"/>
              <w:ind w:left="1440" w:hanging="720"/>
            </w:pPr>
            <w:r>
              <w:t>(e)</w:t>
            </w:r>
            <w:r>
              <w:tab/>
              <w:t>Direct the implementation, disabling, or reversal of implementation of Remedial Action Plans (RAPs), Automatic Mitigation Plans (AMPs), Remedial Action Schemes (RASs), Pre-Contingency Action Plans (PCAPs), Extended Action Plans (EAPs), and transmission switching to prevent the violation of ERCOT Transmission Grid security limits; and</w:t>
            </w:r>
          </w:p>
        </w:tc>
      </w:tr>
    </w:tbl>
    <w:p w14:paraId="299AD0A8" w14:textId="7A0053E3" w:rsidR="001F04FD" w:rsidRDefault="001F04FD" w:rsidP="00B07D39">
      <w:pPr>
        <w:pStyle w:val="List"/>
        <w:spacing w:before="240"/>
      </w:pPr>
      <w:r>
        <w:t>(e)</w:t>
      </w:r>
      <w:r>
        <w:tab/>
        <w:t>Perform additional actions required to prevent an imminent Emergency Condition or to restore the ERCOT Transmission Grid to a secure state in the event of an ERCOT Transmission Grid Emergency Condition.</w:t>
      </w:r>
    </w:p>
    <w:p w14:paraId="361CD841" w14:textId="77777777" w:rsidR="00DC3C3E" w:rsidRPr="005C5A9B" w:rsidRDefault="00DC3C3E" w:rsidP="00DC3C3E">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0BA115F9" w14:textId="1A3B29ED" w:rsidR="00DC3C3E" w:rsidRPr="005C5A9B" w:rsidRDefault="00DC3C3E" w:rsidP="00DC3C3E">
      <w:pPr>
        <w:spacing w:after="240"/>
        <w:ind w:left="1440" w:hanging="720"/>
        <w:rPr>
          <w:szCs w:val="24"/>
        </w:rPr>
      </w:pPr>
      <w:r w:rsidRPr="005C5A9B">
        <w:rPr>
          <w:szCs w:val="24"/>
        </w:rPr>
        <w:lastRenderedPageBreak/>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generator or Energy Storage System</w:t>
      </w:r>
      <w:r>
        <w:rPr>
          <w:szCs w:val="24"/>
        </w:rPr>
        <w:t xml:space="preserve"> (ESS)</w:t>
      </w:r>
      <w:r w:rsidRPr="005C5A9B">
        <w:rPr>
          <w:szCs w:val="24"/>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B75CC2F" w14:textId="77777777" w:rsidTr="004E6E12">
        <w:trPr>
          <w:trHeight w:val="206"/>
        </w:trPr>
        <w:tc>
          <w:tcPr>
            <w:tcW w:w="9350" w:type="dxa"/>
            <w:shd w:val="pct12" w:color="auto" w:fill="auto"/>
          </w:tcPr>
          <w:p w14:paraId="6BFD1C94" w14:textId="0CE67E26" w:rsidR="00490BFE" w:rsidRDefault="00490BFE" w:rsidP="004E6E12">
            <w:pPr>
              <w:pStyle w:val="Instructions"/>
              <w:spacing w:before="120"/>
            </w:pPr>
            <w:r>
              <w:t>[NPRR1246:  Replace paragraph (a) above with the following upon system implementation of the Real-Time Co-Optimization (RTC) project:]</w:t>
            </w:r>
          </w:p>
          <w:p w14:paraId="683E5CAA" w14:textId="62422608" w:rsidR="00490BFE" w:rsidRPr="004940BD" w:rsidRDefault="00490BFE" w:rsidP="004E6E12">
            <w:pPr>
              <w:spacing w:after="240"/>
              <w:ind w:left="1440" w:hanging="720"/>
            </w:pPr>
            <w:r w:rsidRPr="005C5A9B">
              <w:rPr>
                <w:szCs w:val="24"/>
              </w:rPr>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w:t>
            </w:r>
            <w:r>
              <w:rPr>
                <w:szCs w:val="24"/>
              </w:rPr>
              <w:t>or</w:t>
            </w:r>
            <w:r w:rsidR="004E4A46">
              <w:rPr>
                <w:szCs w:val="24"/>
              </w:rPr>
              <w:t>;</w:t>
            </w:r>
          </w:p>
        </w:tc>
      </w:tr>
    </w:tbl>
    <w:p w14:paraId="3DD4BB90" w14:textId="2FF509F3" w:rsidR="00DC3C3E" w:rsidRPr="005C5A9B" w:rsidRDefault="00DC3C3E" w:rsidP="00DD0A69">
      <w:pPr>
        <w:spacing w:before="240"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and </w:t>
      </w:r>
      <w:r>
        <w:rPr>
          <w:szCs w:val="24"/>
        </w:rPr>
        <w:t>ESS</w:t>
      </w:r>
      <w:r w:rsidRPr="005C5A9B">
        <w:rPr>
          <w:szCs w:val="24"/>
        </w:rPr>
        <w:t xml:space="preserve"> interconnected at distribution voltage as requested by ERCOT pursuant to these Protocols or Other Binding Documents for the purposes of ensuring accurate Settlement and operating and planning the </w:t>
      </w:r>
      <w:r w:rsidR="0098177F">
        <w:rPr>
          <w:szCs w:val="24"/>
        </w:rPr>
        <w:t xml:space="preserve">ERCOT </w:t>
      </w:r>
      <w:r w:rsidRPr="005C5A9B">
        <w:rPr>
          <w:szCs w:val="24"/>
        </w:rPr>
        <w:t xml:space="preserve">Transmission Grid; and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76DECFA" w14:textId="77777777" w:rsidTr="004E6E12">
        <w:trPr>
          <w:trHeight w:val="206"/>
        </w:trPr>
        <w:tc>
          <w:tcPr>
            <w:tcW w:w="9350" w:type="dxa"/>
            <w:shd w:val="pct12" w:color="auto" w:fill="auto"/>
          </w:tcPr>
          <w:p w14:paraId="744A7687" w14:textId="77777777" w:rsidR="00490BFE" w:rsidRDefault="00490BFE" w:rsidP="004E6E12">
            <w:pPr>
              <w:pStyle w:val="Instructions"/>
              <w:spacing w:before="120"/>
            </w:pPr>
            <w:r>
              <w:t>[NPRR1246:  Replace paragraph (b) above with the following upon system implementation of the Real-Time Co-Optimization (RTC) project:]</w:t>
            </w:r>
          </w:p>
          <w:p w14:paraId="67B21F76" w14:textId="53C6C223" w:rsidR="00490BFE" w:rsidRPr="00490BFE" w:rsidRDefault="00490BFE" w:rsidP="00490BFE">
            <w:pPr>
              <w:spacing w:before="240"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interconnected at distribution voltage as requested by ERCOT pursuant to these Protocols or Other Binding Documents for the purposes of ensuring accurate Settlement and operating and planning the </w:t>
            </w:r>
            <w:r>
              <w:rPr>
                <w:szCs w:val="24"/>
              </w:rPr>
              <w:t xml:space="preserve">ERCOT </w:t>
            </w:r>
            <w:r w:rsidRPr="005C5A9B">
              <w:rPr>
                <w:szCs w:val="24"/>
              </w:rPr>
              <w:t>Transmission Grid; and</w:t>
            </w:r>
          </w:p>
        </w:tc>
      </w:tr>
    </w:tbl>
    <w:p w14:paraId="252C4F71" w14:textId="757FD605" w:rsidR="00DC3C3E" w:rsidRPr="005C5A9B" w:rsidRDefault="00DC3C3E" w:rsidP="00DD0A69">
      <w:pPr>
        <w:spacing w:before="240" w:after="240"/>
        <w:ind w:left="1440" w:hanging="720"/>
        <w:rPr>
          <w:szCs w:val="24"/>
        </w:rPr>
      </w:pPr>
      <w:r w:rsidRPr="005C5A9B">
        <w:rPr>
          <w:szCs w:val="24"/>
        </w:rPr>
        <w:t>(c)</w:t>
      </w:r>
      <w:r w:rsidRPr="005C5A9B">
        <w:rPr>
          <w:szCs w:val="24"/>
        </w:rPr>
        <w:tab/>
      </w:r>
      <w:r>
        <w:rPr>
          <w:szCs w:val="24"/>
        </w:rPr>
        <w:t>T</w:t>
      </w:r>
      <w:r w:rsidRPr="005C5A9B">
        <w:rPr>
          <w:szCs w:val="24"/>
        </w:rPr>
        <w:t>o effectuate automatic or manual Load-shedding as prescribed by these Protocols or Other Binding Documents.</w:t>
      </w:r>
    </w:p>
    <w:p w14:paraId="1A36746A" w14:textId="5581D7AE" w:rsidR="00DC3C3E" w:rsidRDefault="00DC3C3E" w:rsidP="00DC3C3E">
      <w:pPr>
        <w:pStyle w:val="List"/>
        <w:ind w:left="720"/>
      </w:pPr>
      <w:r w:rsidRPr="005C5A9B">
        <w:rPr>
          <w:szCs w:val="24"/>
        </w:rPr>
        <w:t>(3)</w:t>
      </w:r>
      <w:r w:rsidRPr="005C5A9B">
        <w:rPr>
          <w:szCs w:val="24"/>
        </w:rPr>
        <w:tab/>
        <w:t xml:space="preserve">Nothing in paragraph (2) above limits ERCOT’s authority to require that a Transmission Service Provider </w:t>
      </w:r>
      <w:r>
        <w:rPr>
          <w:szCs w:val="24"/>
        </w:rPr>
        <w:t xml:space="preserve">(TSP) </w:t>
      </w:r>
      <w:r w:rsidRPr="005C5A9B">
        <w:rPr>
          <w:szCs w:val="24"/>
        </w:rPr>
        <w:t>or Transmission Operator</w:t>
      </w:r>
      <w:r>
        <w:rPr>
          <w:szCs w:val="24"/>
        </w:rPr>
        <w:t xml:space="preserve"> (TO)</w:t>
      </w:r>
      <w:r w:rsidRPr="005C5A9B">
        <w:rPr>
          <w:szCs w:val="24"/>
        </w:rPr>
        <w:t xml:space="preserve"> disconnect any Facility operated at distribution voltage from the ERCOT System if </w:t>
      </w:r>
      <w:r w:rsidRPr="005C5A9B">
        <w:t>ERCOT</w:t>
      </w:r>
      <w:r w:rsidRPr="005C5A9B">
        <w:rPr>
          <w:szCs w:val="24"/>
        </w:rPr>
        <w:t xml:space="preserve"> determines such action is necessary to address a reliability concern on the ERCOT Transmission Grid.  Additionally, nothing in paragraph (2) above limits ERCOT’s authority to require appropriate modeling and telemetry of </w:t>
      </w:r>
      <w:r w:rsidR="00847E53">
        <w:rPr>
          <w:szCs w:val="24"/>
        </w:rPr>
        <w:t>t</w:t>
      </w:r>
      <w:r w:rsidRPr="005C5A9B">
        <w:rPr>
          <w:szCs w:val="24"/>
        </w:rPr>
        <w:t>ransmission Loads that may represent multiple distribution-level Loads, as provided in Section 3.10.7.2</w:t>
      </w:r>
      <w:r>
        <w:rPr>
          <w:szCs w:val="24"/>
        </w:rPr>
        <w:t>, Modeling of Resources and Transmission Loads</w:t>
      </w:r>
      <w:r w:rsidRPr="005C5A9B">
        <w:rPr>
          <w:szCs w:val="24"/>
        </w:rPr>
        <w:t>.</w:t>
      </w:r>
    </w:p>
    <w:p w14:paraId="334393A6" w14:textId="7CFE0623" w:rsidR="001F04FD" w:rsidRDefault="001F04FD" w:rsidP="00F42848">
      <w:pPr>
        <w:pStyle w:val="List"/>
        <w:ind w:left="720"/>
      </w:pPr>
      <w:r>
        <w:t>(</w:t>
      </w:r>
      <w:r w:rsidR="00DC3C3E">
        <w:t>4</w:t>
      </w:r>
      <w:r>
        <w:t>)</w:t>
      </w:r>
      <w:r>
        <w:tab/>
        <w:t xml:space="preserve">Consistent with paragraph (1)(e) above, if ERCOT seeks to exercise its authority to prevent an anticipated Emergency Condition relating to serving Load in the current or next Season by procuring existing capacity that may be used to maintain ERCOT System </w:t>
      </w:r>
      <w:r>
        <w:lastRenderedPageBreak/>
        <w:t xml:space="preserve">reliability in a manner not otherwise delineated in these Protocols and the </w:t>
      </w:r>
      <w:r w:rsidR="0098177F">
        <w:t xml:space="preserve">Nodal </w:t>
      </w:r>
      <w:r>
        <w:t xml:space="preserve">Operating Guides, ERCOT shall take the following actions: </w:t>
      </w:r>
    </w:p>
    <w:p w14:paraId="4284203F" w14:textId="77777777" w:rsidR="001F04FD" w:rsidRDefault="001F04FD" w:rsidP="001F04FD">
      <w:pPr>
        <w:pStyle w:val="List"/>
      </w:pPr>
      <w:r>
        <w:t>(a)</w:t>
      </w:r>
      <w: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61D5DBAA" w14:textId="77777777" w:rsidR="001F04FD" w:rsidRDefault="001F04FD" w:rsidP="001F04FD">
      <w:pPr>
        <w:pStyle w:val="List"/>
        <w:ind w:left="2160"/>
      </w:pPr>
      <w:r>
        <w:t>(i)</w:t>
      </w:r>
      <w:r>
        <w:tab/>
        <w:t xml:space="preserve">A detailed </w:t>
      </w:r>
      <w:r w:rsidRPr="000A0F0A">
        <w:rPr>
          <w:szCs w:val="24"/>
        </w:rPr>
        <w:t>description</w:t>
      </w:r>
      <w:r>
        <w:t xml:space="preserve"> of the reliability condition and need for additional capacity as determined by ERCOT and the timing of the proposed procurement;</w:t>
      </w:r>
    </w:p>
    <w:p w14:paraId="6458ED3C" w14:textId="77777777" w:rsidR="001F04FD" w:rsidRDefault="001F04FD" w:rsidP="001F04FD">
      <w:pPr>
        <w:pStyle w:val="List"/>
        <w:ind w:left="2160"/>
      </w:pPr>
      <w:r>
        <w:t>(ii)</w:t>
      </w:r>
      <w:r>
        <w:tab/>
        <w:t>Justification for the quantity of additional capacity to be requested;</w:t>
      </w:r>
    </w:p>
    <w:p w14:paraId="429206E4" w14:textId="77777777" w:rsidR="001F04FD" w:rsidRDefault="001F04FD" w:rsidP="001F04FD">
      <w:pPr>
        <w:pStyle w:val="List"/>
        <w:ind w:left="2160"/>
      </w:pPr>
      <w:r>
        <w:t>(iii)</w:t>
      </w:r>
      <w: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20014EAB" w14:textId="77777777" w:rsidTr="004E6E12">
        <w:trPr>
          <w:trHeight w:val="206"/>
        </w:trPr>
        <w:tc>
          <w:tcPr>
            <w:tcW w:w="9350" w:type="dxa"/>
            <w:shd w:val="pct12" w:color="auto" w:fill="auto"/>
          </w:tcPr>
          <w:p w14:paraId="19D15C25" w14:textId="4349E573" w:rsidR="00490BFE" w:rsidRDefault="00490BFE" w:rsidP="004E6E12">
            <w:pPr>
              <w:pStyle w:val="Instructions"/>
              <w:spacing w:before="120"/>
            </w:pPr>
            <w:r>
              <w:t>[NPRR1246:  Replace paragraph (iii) above with the following upon system implementation of the Real-Time Co-Optimization (RTC) project:]</w:t>
            </w:r>
          </w:p>
          <w:p w14:paraId="0FC8A8D3" w14:textId="51A08E01" w:rsidR="00490BFE" w:rsidRPr="00490BFE" w:rsidRDefault="00490BFE" w:rsidP="00490BFE">
            <w:pPr>
              <w:spacing w:after="240"/>
              <w:ind w:left="2160" w:hanging="720"/>
            </w:pPr>
            <w:r w:rsidRPr="0000204A">
              <w:t>(iii)</w:t>
            </w:r>
            <w:r w:rsidRPr="0000204A">
              <w:tab/>
              <w:t>Identification of potential Generation Resources</w:t>
            </w:r>
            <w:r>
              <w:t>, ESRs,</w:t>
            </w:r>
            <w:r w:rsidRPr="0000204A">
              <w:t xml:space="preserve"> or Load providing capacity considered by ERCOT to be acceptable for providing the additional capacity.  Load capacity may be provided by Entities who, at ERCOT’s direction, would interrupt consumption of electric power and remain interrupted until released by ERCOT; and</w:t>
            </w:r>
          </w:p>
        </w:tc>
      </w:tr>
    </w:tbl>
    <w:p w14:paraId="771F2879" w14:textId="5AED003C" w:rsidR="001F04FD" w:rsidRDefault="001F04FD" w:rsidP="00DD0A69">
      <w:pPr>
        <w:pStyle w:val="List"/>
        <w:spacing w:before="240"/>
        <w:ind w:left="2160"/>
      </w:pPr>
      <w:r>
        <w:t>(iv)</w:t>
      </w:r>
      <w:r>
        <w:tab/>
        <w:t>A schedule of activities associated with the proposed procurement.</w:t>
      </w:r>
    </w:p>
    <w:p w14:paraId="0160AD63" w14:textId="77777777" w:rsidR="001F04FD" w:rsidRDefault="001F04FD" w:rsidP="001F04FD">
      <w:pPr>
        <w:pStyle w:val="List"/>
      </w:pPr>
      <w:r>
        <w:t>(b)</w:t>
      </w:r>
      <w: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74E85327" w14:textId="77777777" w:rsidR="001F04FD" w:rsidRDefault="001F04FD" w:rsidP="001F04FD">
      <w:pPr>
        <w:pStyle w:val="List"/>
      </w:pPr>
      <w:r>
        <w:t>(c)</w:t>
      </w:r>
      <w:r>
        <w:tab/>
        <w:t>ERCOT shall, to the fullest extent practicable, ensure that any actions taken to procure additional capacity meet the following criteria:</w:t>
      </w:r>
    </w:p>
    <w:p w14:paraId="0FCAF51C" w14:textId="77777777" w:rsidR="001F04FD" w:rsidRDefault="001F04FD" w:rsidP="001F04FD">
      <w:pPr>
        <w:pStyle w:val="List"/>
        <w:ind w:left="2160"/>
        <w:rPr>
          <w:color w:val="000000"/>
          <w:szCs w:val="24"/>
        </w:rPr>
      </w:pPr>
      <w:r>
        <w:rPr>
          <w:color w:val="000000"/>
          <w:szCs w:val="24"/>
        </w:rPr>
        <w:t>(i)</w:t>
      </w:r>
      <w:r>
        <w:rPr>
          <w:color w:val="000000"/>
          <w:szCs w:val="24"/>
        </w:rPr>
        <w:tab/>
        <w:t xml:space="preserve">Any capacity procured pursuant to this paragraph will be procured using an open process, and the terms of the </w:t>
      </w:r>
      <w:r w:rsidRPr="009573F1">
        <w:t>procurement</w:t>
      </w:r>
      <w:r>
        <w:rPr>
          <w:color w:val="000000"/>
          <w:szCs w:val="24"/>
        </w:rPr>
        <w:t xml:space="preserve"> between ERCOT and the Entity will be memorialized in contracts that will be publicly available for inspection on the ERCOT website.  </w:t>
      </w:r>
    </w:p>
    <w:p w14:paraId="7829EE70" w14:textId="77777777" w:rsidR="001F04FD" w:rsidRDefault="001F04FD" w:rsidP="001F04FD">
      <w:pPr>
        <w:pStyle w:val="List"/>
        <w:ind w:left="2160"/>
        <w:rPr>
          <w:color w:val="000000"/>
          <w:szCs w:val="24"/>
        </w:rPr>
      </w:pPr>
      <w:r>
        <w:rPr>
          <w:color w:val="000000"/>
          <w:szCs w:val="24"/>
        </w:rPr>
        <w:lastRenderedPageBreak/>
        <w:t>(ii)</w:t>
      </w:r>
      <w:r>
        <w:rPr>
          <w:color w:val="000000"/>
          <w:szCs w:val="24"/>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40279E82" w14:textId="77777777" w:rsidTr="004E6E12">
        <w:trPr>
          <w:trHeight w:val="206"/>
        </w:trPr>
        <w:tc>
          <w:tcPr>
            <w:tcW w:w="9350" w:type="dxa"/>
            <w:shd w:val="pct12" w:color="auto" w:fill="auto"/>
          </w:tcPr>
          <w:p w14:paraId="71079406" w14:textId="508270CB" w:rsidR="00490BFE" w:rsidRDefault="00490BFE" w:rsidP="004E6E12">
            <w:pPr>
              <w:pStyle w:val="Instructions"/>
              <w:spacing w:before="120"/>
            </w:pPr>
            <w:r>
              <w:t>[NPRR1246:  Replace paragraph (ii) above with the following upon system implementation of the Real-Time Co-Optimization (RTC) project:]</w:t>
            </w:r>
          </w:p>
          <w:p w14:paraId="4AC69AA6" w14:textId="471B9DB0" w:rsidR="00490BFE" w:rsidRPr="00490BFE" w:rsidRDefault="00490BFE" w:rsidP="00490BFE">
            <w:pPr>
              <w:spacing w:after="240"/>
              <w:ind w:left="2160" w:hanging="720"/>
              <w:rPr>
                <w:color w:val="000000"/>
              </w:rPr>
            </w:pPr>
            <w:r w:rsidRPr="0000204A">
              <w:rPr>
                <w:color w:val="000000"/>
              </w:rPr>
              <w:t>(ii)</w:t>
            </w:r>
            <w:r w:rsidRPr="0000204A">
              <w:rPr>
                <w:color w:val="000000"/>
              </w:rPr>
              <w:tab/>
              <w:t xml:space="preserve">Each contract will include specified financial terms and termination dates.  For purposes of Settlement, any contract associated with a Generation Resource </w:t>
            </w:r>
            <w:r>
              <w:rPr>
                <w:color w:val="000000"/>
              </w:rPr>
              <w:t xml:space="preserve">or ESR </w:t>
            </w:r>
            <w:r w:rsidRPr="0000204A">
              <w:rPr>
                <w:color w:val="000000"/>
              </w:rPr>
              <w:t>will include substantially the same terms and conditions as an RMR Unit under a RMR Agreement, including the Eligible Cost budgeting process.</w:t>
            </w:r>
          </w:p>
        </w:tc>
      </w:tr>
    </w:tbl>
    <w:p w14:paraId="7BAD3286" w14:textId="6E7562AB" w:rsidR="001F04FD" w:rsidRDefault="001F04FD" w:rsidP="00DD0A69">
      <w:pPr>
        <w:pStyle w:val="List"/>
        <w:spacing w:before="240"/>
        <w:ind w:left="2160"/>
        <w:rPr>
          <w:color w:val="000000"/>
          <w:szCs w:val="24"/>
        </w:rPr>
      </w:pPr>
      <w:r>
        <w:rPr>
          <w:color w:val="000000"/>
          <w:szCs w:val="24"/>
        </w:rPr>
        <w:t>(iii)</w:t>
      </w:r>
      <w:r>
        <w:rPr>
          <w:color w:val="000000"/>
          <w:szCs w:val="24"/>
        </w:rPr>
        <w:tab/>
      </w:r>
      <w:r w:rsidRPr="004B5F16">
        <w:rPr>
          <w:color w:val="000000"/>
          <w:szCs w:val="24"/>
        </w:rPr>
        <w:t>ERCOT shall provide notice to the ERCOT Board, at the next ERCOT Board meeting after ERCOT has signed the contract, that the actions required prior to execution of the contract, pursuant to paragraphs (</w:t>
      </w:r>
      <w:r w:rsidR="00DC3C3E">
        <w:rPr>
          <w:color w:val="000000"/>
          <w:szCs w:val="24"/>
        </w:rPr>
        <w:t>4</w:t>
      </w:r>
      <w:r w:rsidRPr="004B5F16">
        <w:rPr>
          <w:color w:val="000000"/>
          <w:szCs w:val="24"/>
        </w:rPr>
        <w:t>)(a) through (c) above, were completed by ERCOT before the contract was executed.</w:t>
      </w:r>
      <w:r>
        <w:rPr>
          <w:color w:val="000000"/>
          <w:szCs w:val="24"/>
        </w:rPr>
        <w:t xml:space="preserve">  </w:t>
      </w:r>
    </w:p>
    <w:p w14:paraId="3E7837FD" w14:textId="77777777" w:rsidR="001F04FD" w:rsidRDefault="001F04FD" w:rsidP="001F04FD">
      <w:pPr>
        <w:pStyle w:val="List"/>
        <w:ind w:left="2160"/>
        <w:rPr>
          <w:color w:val="000000"/>
          <w:szCs w:val="24"/>
        </w:rPr>
      </w:pPr>
      <w:r>
        <w:rPr>
          <w:color w:val="000000"/>
          <w:szCs w:val="24"/>
        </w:rPr>
        <w:t>(iv)</w:t>
      </w:r>
      <w:r>
        <w:rPr>
          <w:color w:val="000000"/>
          <w:szCs w:val="24"/>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2508C1C0" w14:textId="7F807D95" w:rsidR="001F04FD" w:rsidRDefault="001F04FD" w:rsidP="001F04FD">
      <w:pPr>
        <w:pStyle w:val="List"/>
      </w:pPr>
      <w:r>
        <w:rPr>
          <w:color w:val="000000"/>
          <w:szCs w:val="24"/>
        </w:rPr>
        <w:t>(d)</w:t>
      </w:r>
      <w:r>
        <w:rPr>
          <w:color w:val="000000"/>
          <w:szCs w:val="24"/>
        </w:rPr>
        <w:tab/>
        <w:t>A Generation Resource that has received capital contributions from ERCOT pursuant to a contract executed under this paragraph (</w:t>
      </w:r>
      <w:r w:rsidR="00DC3C3E">
        <w:rPr>
          <w:color w:val="000000"/>
          <w:szCs w:val="24"/>
        </w:rPr>
        <w:t>4</w:t>
      </w:r>
      <w:r>
        <w:rPr>
          <w:color w:val="000000"/>
          <w:szCs w:val="24"/>
        </w:rPr>
        <w:t>)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19339C12" w14:textId="77777777" w:rsidTr="004E6E12">
        <w:trPr>
          <w:trHeight w:val="206"/>
        </w:trPr>
        <w:tc>
          <w:tcPr>
            <w:tcW w:w="9350" w:type="dxa"/>
            <w:shd w:val="pct12" w:color="auto" w:fill="auto"/>
          </w:tcPr>
          <w:p w14:paraId="25211222" w14:textId="46E24B07" w:rsidR="00490BFE" w:rsidRDefault="00490BFE" w:rsidP="004E6E12">
            <w:pPr>
              <w:pStyle w:val="Instructions"/>
              <w:spacing w:before="120"/>
            </w:pPr>
            <w:r>
              <w:t>[NPRR1246:  Replace paragraph (d) above with the following upon system implementation of the Real-Time Co-Optimization (RTC) project:]</w:t>
            </w:r>
          </w:p>
          <w:p w14:paraId="00C17860" w14:textId="6E165329" w:rsidR="00490BFE" w:rsidRPr="00490BFE" w:rsidRDefault="00490BFE" w:rsidP="00490BFE">
            <w:pPr>
              <w:pStyle w:val="List"/>
            </w:pPr>
            <w:r>
              <w:rPr>
                <w:color w:val="000000"/>
                <w:szCs w:val="24"/>
              </w:rPr>
              <w:t>(d)</w:t>
            </w:r>
            <w:r>
              <w:rPr>
                <w:color w:val="000000"/>
                <w:szCs w:val="24"/>
              </w:rPr>
              <w:tab/>
              <w:t xml:space="preserve">A Generation Resource or ESR that has received capital contributions from ERCOT pursuant to a contract executed under this paragraph (4) may not participate in the energy or Ancillary Services markets until such capital contributions have been refunded to ERCOT.  For the purposes of this Section, capital contributions are defined as improvements with an asset life greater than </w:t>
            </w:r>
            <w:r>
              <w:rPr>
                <w:color w:val="000000"/>
                <w:szCs w:val="24"/>
              </w:rPr>
              <w:lastRenderedPageBreak/>
              <w:t>one year under the applicable federal tax rules.  The Resource Entity’s refund of capital contributions shall be a lump sum payment calculated as follows:</w:t>
            </w:r>
          </w:p>
        </w:tc>
      </w:tr>
    </w:tbl>
    <w:p w14:paraId="5BFD983F" w14:textId="1E76F420" w:rsidR="001F04FD" w:rsidRDefault="001F04FD" w:rsidP="00DD0A69">
      <w:pPr>
        <w:pStyle w:val="List"/>
        <w:spacing w:before="240"/>
        <w:ind w:left="2160"/>
        <w:rPr>
          <w:szCs w:val="24"/>
        </w:rPr>
      </w:pPr>
      <w:r>
        <w:rPr>
          <w:color w:val="000000"/>
          <w:szCs w:val="24"/>
        </w:rPr>
        <w:lastRenderedPageBreak/>
        <w:t>(i)</w:t>
      </w:r>
      <w:r>
        <w:rPr>
          <w:color w:val="000000"/>
          <w:szCs w:val="24"/>
        </w:rPr>
        <w:tab/>
        <w:t>If the Generation Resource chooses to participate in the energy or Ancillary Service markets after the termination date of the contract executed under this paragraph (</w:t>
      </w:r>
      <w:r w:rsidR="00DC3C3E">
        <w:rPr>
          <w:color w:val="000000"/>
          <w:szCs w:val="24"/>
        </w:rPr>
        <w:t>4</w:t>
      </w:r>
      <w:r>
        <w:rPr>
          <w:color w:val="000000"/>
          <w:szCs w:val="24"/>
        </w:rPr>
        <w:t xml:space="preserve">), the Qualified Scheduling Entity (QSE) representing the Resource Entity shall repay, in a lump sum payment, 100% </w:t>
      </w:r>
      <w:r w:rsidRPr="00D4467E">
        <w:rPr>
          <w:color w:val="000000"/>
          <w:szCs w:val="24"/>
        </w:rPr>
        <w:t xml:space="preserve">of the </w:t>
      </w:r>
      <w:r>
        <w:rPr>
          <w:color w:val="000000"/>
          <w:szCs w:val="24"/>
        </w:rPr>
        <w:t xml:space="preserve">book </w:t>
      </w:r>
      <w:r w:rsidRPr="00D4467E">
        <w:rPr>
          <w:color w:val="000000"/>
          <w:szCs w:val="24"/>
        </w:rPr>
        <w:t>value of the capitalized equipment</w:t>
      </w:r>
      <w:r>
        <w:rPr>
          <w:color w:val="000000"/>
          <w:szCs w:val="24"/>
        </w:rPr>
        <w:t xml:space="preserve"> and all installation charges leading to turn key, one-time startup based on a linear depreciation over the estimated life of the capitalized component(s) in accordance with </w:t>
      </w:r>
      <w:r w:rsidRPr="009723E7">
        <w:rPr>
          <w:color w:val="000000"/>
          <w:szCs w:val="24"/>
        </w:rPr>
        <w:t xml:space="preserve">Generally Accepted Accounting Principles </w:t>
      </w:r>
      <w:r>
        <w:rPr>
          <w:color w:val="000000"/>
          <w:szCs w:val="24"/>
        </w:rPr>
        <w:t>(GAAP) standards for electric utility equipment.  The estimated life shall be based on documentation provided by the manufacturer; if installing used equipment, the estimated life may be based on an approximation agreed to by the Resource Entity and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0BB4E09" w14:textId="77777777" w:rsidTr="004E6E12">
        <w:trPr>
          <w:trHeight w:val="206"/>
        </w:trPr>
        <w:tc>
          <w:tcPr>
            <w:tcW w:w="9350" w:type="dxa"/>
            <w:shd w:val="pct12" w:color="auto" w:fill="auto"/>
          </w:tcPr>
          <w:p w14:paraId="00EA8EF7" w14:textId="15FC8E83" w:rsidR="00490BFE" w:rsidRDefault="00490BFE" w:rsidP="004E6E12">
            <w:pPr>
              <w:pStyle w:val="Instructions"/>
              <w:spacing w:before="120"/>
            </w:pPr>
            <w:r>
              <w:t>[NPRR1246:  Replace paragraph (i) above with the following upon system implementation of the Real-Time Co-Optimization (RTC) project:]</w:t>
            </w:r>
          </w:p>
          <w:p w14:paraId="417B42B7" w14:textId="5AC10139" w:rsidR="00490BFE" w:rsidRPr="00490BFE" w:rsidRDefault="00490BFE" w:rsidP="00490BFE">
            <w:pPr>
              <w:spacing w:after="240"/>
              <w:ind w:left="2160" w:hanging="720"/>
            </w:pPr>
            <w:r w:rsidRPr="0000204A">
              <w:rPr>
                <w:color w:val="000000"/>
              </w:rPr>
              <w:t>(i)</w:t>
            </w:r>
            <w:r w:rsidRPr="0000204A">
              <w:rPr>
                <w:color w:val="000000"/>
              </w:rPr>
              <w:tab/>
              <w:t xml:space="preserve">If the Generation Resource </w:t>
            </w:r>
            <w:r>
              <w:rPr>
                <w:color w:val="000000"/>
              </w:rPr>
              <w:t xml:space="preserve">or ESR </w:t>
            </w:r>
            <w:r w:rsidRPr="0000204A">
              <w:rPr>
                <w:color w:val="000000"/>
              </w:rPr>
              <w:t>chooses to participate in the energy or Ancillary Service markets after the termination date of the contract executed under this paragraph (4),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tc>
      </w:tr>
    </w:tbl>
    <w:p w14:paraId="2AC69D41" w14:textId="1D1D8FE1" w:rsidR="001F04FD" w:rsidRDefault="001F04FD" w:rsidP="00DD0A69">
      <w:pPr>
        <w:pStyle w:val="List"/>
        <w:spacing w:before="240"/>
        <w:ind w:left="2160"/>
        <w:rPr>
          <w:color w:val="000000"/>
          <w:szCs w:val="24"/>
        </w:rPr>
      </w:pPr>
      <w:r>
        <w:rPr>
          <w:color w:val="000000"/>
          <w:szCs w:val="24"/>
        </w:rPr>
        <w:t>(ii)</w:t>
      </w:r>
      <w:r>
        <w:rPr>
          <w:color w:val="000000"/>
          <w:szCs w:val="24"/>
        </w:rPr>
        <w:tab/>
        <w:t>If the Generation Resource chooses to participate in the energy or Ancillary Services markets as contemplated in item (</w:t>
      </w:r>
      <w:r w:rsidR="00DC3C3E">
        <w:rPr>
          <w:color w:val="000000"/>
          <w:szCs w:val="24"/>
        </w:rPr>
        <w:t>4</w:t>
      </w:r>
      <w:r>
        <w:rPr>
          <w:color w:val="000000"/>
          <w:szCs w:val="24"/>
        </w:rPr>
        <w:t>)(d)(i)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w:t>
      </w:r>
      <w:r w:rsidR="00DC3C3E">
        <w:rPr>
          <w:color w:val="000000"/>
          <w:szCs w:val="24"/>
        </w:rPr>
        <w:t>4</w:t>
      </w:r>
      <w:r>
        <w:rPr>
          <w:color w:val="000000"/>
          <w:szCs w:val="24"/>
        </w:rPr>
        <w:t xml:space="preserve">)(d)(i) above.  ERCOT will also issue a notice to all registered Market Participants after completion of </w:t>
      </w:r>
      <w:r w:rsidRPr="00FA68DA">
        <w:rPr>
          <w:color w:val="000000"/>
          <w:szCs w:val="24"/>
        </w:rPr>
        <w:t xml:space="preserve">the collection and disbursement of the capital contributions, as described in item </w:t>
      </w:r>
      <w:r>
        <w:rPr>
          <w:color w:val="000000"/>
          <w:szCs w:val="24"/>
        </w:rPr>
        <w:t>(</w:t>
      </w:r>
      <w:r w:rsidR="00847E53">
        <w:rPr>
          <w:color w:val="000000"/>
          <w:szCs w:val="24"/>
        </w:rPr>
        <w:t>4</w:t>
      </w:r>
      <w:r>
        <w:rPr>
          <w:color w:val="000000"/>
          <w:szCs w:val="24"/>
        </w:rPr>
        <w:t>)(d)</w:t>
      </w:r>
      <w:r w:rsidRPr="00FA68DA">
        <w:rPr>
          <w:color w:val="000000"/>
          <w:szCs w:val="24"/>
        </w:rPr>
        <w:t>(iii) below, and after resolution of any disputes related to</w:t>
      </w:r>
      <w:r w:rsidRPr="0089425D">
        <w:rPr>
          <w:color w:val="000000"/>
          <w:szCs w:val="24"/>
        </w:rPr>
        <w:t xml:space="preserve"> these capital contributions.</w:t>
      </w:r>
      <w:r>
        <w:rPr>
          <w:color w:val="000000"/>
          <w:szCs w:val="24"/>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02528D43" w14:textId="77777777" w:rsidTr="004E6E12">
        <w:trPr>
          <w:trHeight w:val="206"/>
        </w:trPr>
        <w:tc>
          <w:tcPr>
            <w:tcW w:w="9350" w:type="dxa"/>
            <w:shd w:val="pct12" w:color="auto" w:fill="auto"/>
          </w:tcPr>
          <w:p w14:paraId="5C3FDD09" w14:textId="131BBDD8" w:rsidR="00490BFE" w:rsidRDefault="00490BFE" w:rsidP="004E6E12">
            <w:pPr>
              <w:pStyle w:val="Instructions"/>
              <w:spacing w:before="120"/>
            </w:pPr>
            <w:r>
              <w:lastRenderedPageBreak/>
              <w:t>[NPRR1246:  Replace paragraph (ii) above with the following upon system implementation of the Real-Time Co-Optimization (RTC) project:]</w:t>
            </w:r>
          </w:p>
          <w:p w14:paraId="190F7D9C" w14:textId="4A32486F" w:rsidR="00490BFE" w:rsidRPr="00490BFE" w:rsidRDefault="00490BFE" w:rsidP="004E6E12">
            <w:pPr>
              <w:spacing w:after="240"/>
              <w:ind w:left="2160" w:hanging="720"/>
            </w:pPr>
            <w:r w:rsidRPr="0000204A">
              <w:rPr>
                <w:color w:val="000000"/>
              </w:rPr>
              <w:t>(ii)</w:t>
            </w:r>
            <w:r w:rsidRPr="0000204A">
              <w:rPr>
                <w:color w:val="000000"/>
              </w:rPr>
              <w:tab/>
              <w:t xml:space="preserve">If the Generation Resource </w:t>
            </w:r>
            <w:r>
              <w:rPr>
                <w:color w:val="000000"/>
              </w:rPr>
              <w:t xml:space="preserve">or ESR </w:t>
            </w:r>
            <w:r w:rsidRPr="0000204A">
              <w:rPr>
                <w:color w:val="000000"/>
              </w:rPr>
              <w:t xml:space="preserve">chooses to participate in the energy or Ancillary Services markets as contemplated in item (4)(d)(i) above, and its participation requires a lump sum payment of capital contributions, ERCOT will issue a notice to all registered Market Participants announcing the Generation Resource’s </w:t>
            </w:r>
            <w:r>
              <w:rPr>
                <w:color w:val="000000"/>
              </w:rPr>
              <w:t xml:space="preserve">or ESR’s </w:t>
            </w:r>
            <w:r w:rsidRPr="0000204A">
              <w:rPr>
                <w:color w:val="000000"/>
              </w:rPr>
              <w:t>decision to participate in the market(s) and identifying the amount of the lump sum payment due pursuant to item (4)(d)(i) above.  ERCOT will also issue a notice to all registered Market Participants after completion of the collection and disbursement of the capital contributions, as described in item (4)(d)(iii) below, and after resolution of any disputes related to these capital contributions.</w:t>
            </w:r>
          </w:p>
        </w:tc>
      </w:tr>
    </w:tbl>
    <w:p w14:paraId="208B7D77" w14:textId="554DB392" w:rsidR="001F04FD" w:rsidRDefault="001F04FD" w:rsidP="00DD0A69">
      <w:pPr>
        <w:pStyle w:val="List"/>
        <w:spacing w:before="240"/>
        <w:ind w:left="2160"/>
      </w:pPr>
      <w:r>
        <w:rPr>
          <w:color w:val="000000"/>
          <w:szCs w:val="24"/>
        </w:rPr>
        <w:t>(iii)</w:t>
      </w:r>
      <w:r>
        <w:rPr>
          <w:color w:val="000000"/>
          <w:szCs w:val="24"/>
        </w:rPr>
        <w:tab/>
      </w:r>
      <w:r w:rsidRPr="00734707">
        <w:t xml:space="preserve">After ERCOT receives a Notification of Change of Generation Resource Designation </w:t>
      </w:r>
      <w:r w:rsidRPr="00FA68DA">
        <w:t>(Section 22, Attachment H, Notification of Change of Generation Resource Designation) changing the Resource designation to “operational” at a future date, ERCOT shall charge the QSE representing the Resource Entity</w:t>
      </w:r>
      <w:r w:rsidRPr="0089425D">
        <w:t xml:space="preserve"> for capital expenditures incurred and previously paid to the </w:t>
      </w:r>
      <w:r w:rsidRPr="00F75146">
        <w:t xml:space="preserve">Resource Entity </w:t>
      </w:r>
      <w:r w:rsidRPr="00734707">
        <w:t xml:space="preserve">as a result of the Resource’s </w:t>
      </w:r>
      <w:r w:rsidRPr="00697C00">
        <w:t xml:space="preserve">return to service pursuant to </w:t>
      </w:r>
      <w:r>
        <w:t>this Section</w:t>
      </w:r>
      <w:r w:rsidRPr="00697C00">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62501897" w14:textId="77777777" w:rsidTr="004E6E12">
        <w:trPr>
          <w:trHeight w:val="206"/>
        </w:trPr>
        <w:tc>
          <w:tcPr>
            <w:tcW w:w="9350" w:type="dxa"/>
            <w:shd w:val="pct12" w:color="auto" w:fill="auto"/>
          </w:tcPr>
          <w:p w14:paraId="4AE37744" w14:textId="6F380D3B" w:rsidR="00490BFE" w:rsidRDefault="00490BFE" w:rsidP="004E6E12">
            <w:pPr>
              <w:pStyle w:val="Instructions"/>
              <w:spacing w:before="120"/>
            </w:pPr>
            <w:r>
              <w:t>[NPRR1246:  Replace paragraph (iii) above with the following upon system implementation of the Real-Time Co-Optimization (RTC) project:]</w:t>
            </w:r>
          </w:p>
          <w:p w14:paraId="136344B9" w14:textId="5706E568" w:rsidR="00490BFE" w:rsidRPr="00490BFE" w:rsidRDefault="00490BFE" w:rsidP="00490BFE">
            <w:pPr>
              <w:spacing w:after="240"/>
              <w:ind w:left="2160" w:hanging="720"/>
            </w:pPr>
            <w:r w:rsidRPr="0000204A">
              <w:rPr>
                <w:color w:val="000000"/>
              </w:rPr>
              <w:t>(iii)</w:t>
            </w:r>
            <w:r w:rsidRPr="0000204A">
              <w:rPr>
                <w:color w:val="000000"/>
              </w:rPr>
              <w:tab/>
            </w:r>
            <w:r w:rsidRPr="0000204A">
              <w:t>After ERCOT receives a Notification of Change of Resource Designation (Section 22, Attachment H, Notification of Change of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tc>
      </w:tr>
    </w:tbl>
    <w:p w14:paraId="2258F036" w14:textId="42F2574F" w:rsidR="001F04FD" w:rsidRDefault="001F04FD" w:rsidP="00DD0A69">
      <w:pPr>
        <w:pStyle w:val="List"/>
        <w:spacing w:before="240"/>
        <w:ind w:left="2880"/>
      </w:pPr>
      <w:r>
        <w:t>(A)</w:t>
      </w:r>
      <w:r>
        <w:tab/>
        <w:t xml:space="preserve">For months in the contract term where notice is received more than five Business Days prior to True-Up Settlement of the first Operating Day of that month, ERCOT shall claw back any payments made for the capital expenditure associated with that month and </w:t>
      </w:r>
      <w:r w:rsidRPr="00AE51B9">
        <w:t>subsequent</w:t>
      </w:r>
      <w:r>
        <w:t xml:space="preserve"> months of the term, on the next practical Settlement but no later than the True-Up Settlement.</w:t>
      </w:r>
    </w:p>
    <w:p w14:paraId="49040103" w14:textId="77777777" w:rsidR="001F04FD" w:rsidRDefault="001F04FD" w:rsidP="001F04FD">
      <w:pPr>
        <w:pStyle w:val="List"/>
        <w:ind w:left="2880"/>
      </w:pPr>
      <w:r>
        <w:rPr>
          <w:color w:val="000000"/>
          <w:szCs w:val="24"/>
        </w:rPr>
        <w:t>(B)</w:t>
      </w:r>
      <w:r>
        <w:rPr>
          <w:color w:val="000000"/>
          <w:szCs w:val="24"/>
        </w:rPr>
        <w:tab/>
      </w:r>
      <w:r>
        <w:t xml:space="preserve">For months in the contract term where notice is received five Business Days or less prior to True-Up Settlement of the first </w:t>
      </w:r>
      <w:r>
        <w:lastRenderedPageBreak/>
        <w:t>Operating Day of that month, ERCOT shall claw back any payments made for the capital expenditures</w:t>
      </w:r>
      <w:r w:rsidDel="000434B6">
        <w:t xml:space="preserve"> </w:t>
      </w:r>
      <w:r>
        <w:t>within 45 days of receipt of the notice.</w:t>
      </w:r>
    </w:p>
    <w:p w14:paraId="39A7AF2D" w14:textId="77777777" w:rsidR="001F04FD" w:rsidRPr="005E3DF9" w:rsidRDefault="001F04FD" w:rsidP="001F04FD">
      <w:pPr>
        <w:pStyle w:val="List"/>
        <w:ind w:left="2880"/>
        <w:rPr>
          <w:color w:val="000000"/>
          <w:szCs w:val="24"/>
        </w:rPr>
      </w:pPr>
      <w:r>
        <w:t>(C)</w:t>
      </w:r>
      <w:r>
        <w:tab/>
      </w:r>
      <w:r w:rsidRPr="00697C00">
        <w:t xml:space="preserve">ERCOT shall distribute the </w:t>
      </w:r>
      <w:r>
        <w:t xml:space="preserve">repayment </w:t>
      </w:r>
      <w:r w:rsidRPr="00697C00">
        <w:t xml:space="preserve">to QSEs </w:t>
      </w:r>
      <w:r>
        <w:t xml:space="preserve">representing Load </w:t>
      </w:r>
      <w:r w:rsidRPr="00697C00">
        <w:t xml:space="preserve">on the same </w:t>
      </w:r>
      <w:r>
        <w:t>basis used to collect the monthly capital expenditures, using a monthly Load Ratio Share (LRS)</w:t>
      </w:r>
      <w:r w:rsidRPr="00697C00">
        <w:t xml:space="preserve">.  A QSE’s monthly LRS shall be the QSE’s total </w:t>
      </w:r>
      <w:r>
        <w:t>Real-Time Adjusted Metered Load</w:t>
      </w:r>
      <w:r w:rsidRPr="00697C00">
        <w:t xml:space="preserve"> </w:t>
      </w:r>
      <w:r>
        <w:t xml:space="preserve">(AML) </w:t>
      </w:r>
      <w:r w:rsidRPr="00697C00">
        <w:t xml:space="preserve">for the </w:t>
      </w:r>
      <w:r>
        <w:t>month</w:t>
      </w:r>
      <w:r w:rsidRPr="00697C00">
        <w:t xml:space="preserve"> divided by the total ERCOT </w:t>
      </w:r>
      <w:r>
        <w:t>Real-</w:t>
      </w:r>
      <w:r w:rsidRPr="007707CB">
        <w:t xml:space="preserve">Time AML </w:t>
      </w:r>
      <w:r w:rsidRPr="005E3DF9">
        <w:t>for the same month</w:t>
      </w:r>
      <w:r w:rsidRPr="007707CB">
        <w:t>.</w:t>
      </w:r>
    </w:p>
    <w:p w14:paraId="70F81814" w14:textId="77777777" w:rsidR="001F04FD" w:rsidRDefault="001F04FD" w:rsidP="001F04FD">
      <w:pPr>
        <w:pStyle w:val="List"/>
        <w:rPr>
          <w:color w:val="000000"/>
          <w:szCs w:val="24"/>
        </w:rPr>
      </w:pPr>
      <w:r>
        <w:rPr>
          <w:szCs w:val="24"/>
        </w:rPr>
        <w:t>(e</w:t>
      </w:r>
      <w:r w:rsidRPr="00A776CE">
        <w:rPr>
          <w:szCs w:val="24"/>
        </w:rPr>
        <w:t>)</w:t>
      </w:r>
      <w:r w:rsidRPr="00A776CE">
        <w:rPr>
          <w:szCs w:val="24"/>
        </w:rPr>
        <w:tab/>
      </w:r>
      <w:r>
        <w:rPr>
          <w:szCs w:val="24"/>
        </w:rPr>
        <w:t xml:space="preserve">ERCOT shall endeavor to minimize the deployment of capacity procured pursuant to this paragraph with the goal of reducing the potential distortion of markets.  Resources and Loads deployed to alleviate imminent Emergency Conditions </w:t>
      </w:r>
      <w:r w:rsidRPr="00A776CE">
        <w:rPr>
          <w:color w:val="000000"/>
          <w:szCs w:val="24"/>
        </w:rPr>
        <w:t>will not be offered into the Day</w:t>
      </w:r>
      <w:r>
        <w:rPr>
          <w:color w:val="000000"/>
          <w:szCs w:val="24"/>
        </w:rPr>
        <w:t>-</w:t>
      </w:r>
      <w:r w:rsidRPr="00A776CE">
        <w:rPr>
          <w:color w:val="000000"/>
          <w:szCs w:val="24"/>
        </w:rPr>
        <w:t>Ahead Market</w:t>
      </w:r>
      <w:r>
        <w:rPr>
          <w:color w:val="000000"/>
          <w:szCs w:val="24"/>
        </w:rPr>
        <w:t xml:space="preserve"> (DAM)</w:t>
      </w:r>
      <w:r w:rsidRPr="00A776CE">
        <w:rPr>
          <w:color w:val="000000"/>
          <w:szCs w:val="24"/>
        </w:rPr>
        <w:t xml:space="preserve">. </w:t>
      </w:r>
      <w:r>
        <w:rPr>
          <w:color w:val="000000"/>
          <w:szCs w:val="24"/>
        </w:rPr>
        <w:t xml:space="preserve"> </w:t>
      </w:r>
      <w:r w:rsidRPr="00A776CE">
        <w:rPr>
          <w:color w:val="000000"/>
          <w:szCs w:val="24"/>
        </w:rPr>
        <w:t>Rather, ERCOT wil</w:t>
      </w:r>
      <w:r>
        <w:rPr>
          <w:color w:val="000000"/>
          <w:szCs w:val="24"/>
        </w:rPr>
        <w:t>l determine whether to use the</w:t>
      </w:r>
      <w:r w:rsidRPr="00A776CE">
        <w:rPr>
          <w:color w:val="000000"/>
          <w:szCs w:val="24"/>
        </w:rPr>
        <w:t xml:space="preserve"> </w:t>
      </w:r>
      <w:r>
        <w:rPr>
          <w:color w:val="000000"/>
          <w:szCs w:val="24"/>
        </w:rPr>
        <w:t>capacity</w:t>
      </w:r>
      <w:r w:rsidRPr="00A776CE">
        <w:rPr>
          <w:color w:val="000000"/>
          <w:szCs w:val="24"/>
        </w:rPr>
        <w:t xml:space="preserve"> as part of the Hourly Reliability Unit Commitment (HRUC) process based on system conditions and the ability to meet </w:t>
      </w:r>
      <w:r>
        <w:rPr>
          <w:color w:val="000000"/>
          <w:szCs w:val="24"/>
        </w:rPr>
        <w:t>D</w:t>
      </w:r>
      <w:r w:rsidRPr="00A776CE">
        <w:rPr>
          <w:color w:val="000000"/>
          <w:szCs w:val="24"/>
        </w:rPr>
        <w:t xml:space="preserve">emand. </w:t>
      </w:r>
      <w:r>
        <w:rPr>
          <w:color w:val="000000"/>
          <w:szCs w:val="24"/>
        </w:rPr>
        <w:t xml:space="preserve"> </w:t>
      </w:r>
      <w:r w:rsidRPr="00A776CE">
        <w:rPr>
          <w:color w:val="000000"/>
          <w:szCs w:val="24"/>
        </w:rPr>
        <w:t xml:space="preserve">In the event </w:t>
      </w:r>
      <w:r>
        <w:rPr>
          <w:color w:val="000000"/>
          <w:szCs w:val="24"/>
        </w:rPr>
        <w:t xml:space="preserve">Generation </w:t>
      </w:r>
      <w:r w:rsidRPr="00A776CE">
        <w:rPr>
          <w:color w:val="000000"/>
          <w:szCs w:val="24"/>
        </w:rPr>
        <w:t>Resources are c</w:t>
      </w:r>
      <w:r>
        <w:rPr>
          <w:color w:val="000000"/>
          <w:szCs w:val="24"/>
        </w:rPr>
        <w:t>ommitted and On-Line, ERCOT systems</w:t>
      </w:r>
      <w:r w:rsidRPr="00A776CE">
        <w:rPr>
          <w:color w:val="000000"/>
          <w:szCs w:val="24"/>
        </w:rPr>
        <w:t xml:space="preserve"> will generate a proxy offer for the </w:t>
      </w:r>
      <w:r>
        <w:rPr>
          <w:color w:val="000000"/>
          <w:szCs w:val="24"/>
        </w:rPr>
        <w:t>Generation Resource</w:t>
      </w:r>
      <w:r w:rsidRPr="00A776CE">
        <w:rPr>
          <w:color w:val="000000"/>
          <w:szCs w:val="24"/>
        </w:rPr>
        <w:t xml:space="preserve"> at the</w:t>
      </w:r>
      <w:r>
        <w:rPr>
          <w:color w:val="000000"/>
          <w:szCs w:val="24"/>
        </w:rPr>
        <w:t xml:space="preserve"> System-Wide Offer Cap (SWCAP)</w:t>
      </w:r>
      <w:r w:rsidRPr="00A776CE">
        <w:rPr>
          <w:color w:val="000000"/>
          <w:szCs w:val="24"/>
        </w:rPr>
        <w:t xml:space="preserve">. </w:t>
      </w:r>
      <w:r>
        <w:rPr>
          <w:color w:val="000000"/>
          <w:szCs w:val="24"/>
        </w:rPr>
        <w:t xml:space="preserve"> </w:t>
      </w:r>
      <w:r w:rsidRPr="00A776CE">
        <w:rPr>
          <w:color w:val="000000"/>
          <w:szCs w:val="24"/>
        </w:rPr>
        <w:t xml:space="preserve">The default offer will place the </w:t>
      </w:r>
      <w:r>
        <w:rPr>
          <w:color w:val="000000"/>
          <w:szCs w:val="24"/>
        </w:rPr>
        <w:t>Generation Resources</w:t>
      </w:r>
      <w:r w:rsidRPr="00A776CE">
        <w:rPr>
          <w:color w:val="000000"/>
          <w:szCs w:val="24"/>
        </w:rPr>
        <w:t xml:space="preserve"> among the last for economic </w:t>
      </w:r>
      <w:r>
        <w:rPr>
          <w:color w:val="000000"/>
          <w:szCs w:val="24"/>
        </w:rPr>
        <w:t>D</w:t>
      </w:r>
      <w:r w:rsidRPr="00A776CE">
        <w:rPr>
          <w:color w:val="000000"/>
          <w:szCs w:val="24"/>
        </w:rPr>
        <w:t xml:space="preserve">ispatch, so as not to displace </w:t>
      </w:r>
      <w:r>
        <w:rPr>
          <w:color w:val="000000"/>
          <w:szCs w:val="24"/>
        </w:rPr>
        <w:t>Generation Resources</w:t>
      </w:r>
      <w:r w:rsidRPr="00A776CE">
        <w:rPr>
          <w:color w:val="000000"/>
          <w:szCs w:val="24"/>
        </w:rPr>
        <w:t xml:space="preserve"> that are On-Line and offering into the market.</w:t>
      </w:r>
      <w:r>
        <w:rPr>
          <w:color w:val="000000"/>
          <w:szCs w:val="24"/>
        </w:rPr>
        <w:t xml:space="preserve">  To the extent practicable, the capacity deployed to alleviate imminent Emergency Conditions will not be used solely for the purpose of reducing local congestion.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AD14A7D" w14:textId="77777777" w:rsidTr="0058150D">
        <w:trPr>
          <w:trHeight w:val="206"/>
        </w:trPr>
        <w:tc>
          <w:tcPr>
            <w:tcW w:w="9350" w:type="dxa"/>
            <w:shd w:val="pct12" w:color="auto" w:fill="auto"/>
          </w:tcPr>
          <w:p w14:paraId="58F9605B" w14:textId="4C034943" w:rsidR="004940BD" w:rsidRDefault="004940BD" w:rsidP="0058150D">
            <w:pPr>
              <w:pStyle w:val="Instructions"/>
              <w:spacing w:before="120"/>
            </w:pPr>
            <w:r>
              <w:t>[NPRR1010:  Replace paragraph (e) above with the following upon system implementation of the Real-Time Co-Optimization (RTC) project:]</w:t>
            </w:r>
          </w:p>
          <w:p w14:paraId="71F2631D" w14:textId="2D2B44CA" w:rsidR="004940BD" w:rsidRPr="004940BD" w:rsidRDefault="004940BD" w:rsidP="004940BD">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r>
              <w:rPr>
                <w:color w:val="000000"/>
              </w:rPr>
              <w:t xml:space="preserve">Real-Time </w:t>
            </w:r>
            <w:r w:rsidRPr="003161DC">
              <w:rPr>
                <w:color w:val="000000"/>
              </w:rPr>
              <w:t>System-Wide Offer Cap (</w:t>
            </w:r>
            <w:r>
              <w:rPr>
                <w:color w:val="000000"/>
              </w:rPr>
              <w:t>RT</w:t>
            </w:r>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w:t>
            </w:r>
            <w:r>
              <w:rPr>
                <w:color w:val="000000"/>
              </w:rPr>
              <w:t>e of reducing local congestion.</w:t>
            </w:r>
          </w:p>
        </w:tc>
      </w:tr>
    </w:tbl>
    <w:p w14:paraId="78C0A316" w14:textId="53CF9CDE" w:rsidR="001F04FD" w:rsidRDefault="001F04FD" w:rsidP="000B1D41">
      <w:pPr>
        <w:pStyle w:val="List"/>
        <w:spacing w:before="240"/>
      </w:pPr>
      <w:r>
        <w:rPr>
          <w:color w:val="000000"/>
          <w:szCs w:val="24"/>
        </w:rPr>
        <w:t>(f)</w:t>
      </w:r>
      <w:r>
        <w:rPr>
          <w:color w:val="000000"/>
          <w:szCs w:val="24"/>
        </w:rPr>
        <w:tab/>
        <w:t>An Entity cannot be compelled to enter into a contract under this paragraph.</w:t>
      </w:r>
    </w:p>
    <w:p w14:paraId="113D6B85" w14:textId="77777777" w:rsidR="001F04FD" w:rsidRDefault="001F04FD" w:rsidP="001F04FD">
      <w:pPr>
        <w:pStyle w:val="H4"/>
        <w:spacing w:before="480"/>
        <w:ind w:left="1267" w:hanging="1267"/>
      </w:pPr>
      <w:bookmarkStart w:id="705" w:name="_Toc73216004"/>
      <w:bookmarkStart w:id="706" w:name="_Toc397504946"/>
      <w:bookmarkStart w:id="707" w:name="_Toc402357074"/>
      <w:bookmarkStart w:id="708" w:name="_Toc422486454"/>
      <w:bookmarkStart w:id="709" w:name="_Toc433093306"/>
      <w:bookmarkStart w:id="710" w:name="_Toc433093464"/>
      <w:bookmarkStart w:id="711" w:name="_Toc440874693"/>
      <w:bookmarkStart w:id="712" w:name="_Toc448142248"/>
      <w:bookmarkStart w:id="713" w:name="_Toc448142405"/>
      <w:bookmarkStart w:id="714" w:name="_Toc458770241"/>
      <w:bookmarkStart w:id="715" w:name="_Toc459294209"/>
      <w:bookmarkStart w:id="716" w:name="_Toc463262702"/>
      <w:bookmarkStart w:id="717" w:name="_Toc468286776"/>
      <w:bookmarkStart w:id="718" w:name="_Toc481502822"/>
      <w:bookmarkStart w:id="719" w:name="_Toc496079990"/>
      <w:bookmarkStart w:id="720" w:name="_Toc189044329"/>
      <w:r>
        <w:lastRenderedPageBreak/>
        <w:t>6.5.1.2</w:t>
      </w:r>
      <w:r>
        <w:tab/>
        <w:t>Centralized Dispatch</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7C528FC6" w14:textId="28A7A2A5" w:rsidR="001F04FD" w:rsidRDefault="001F04FD" w:rsidP="001F04FD">
      <w:pPr>
        <w:pStyle w:val="BodyTextNumbered"/>
      </w:pPr>
      <w:r>
        <w:t>(1)</w:t>
      </w:r>
      <w:r>
        <w:tab/>
        <w:t xml:space="preserve">ERCOT shall centrally Dispatch Resources and Transmission Facilities under these Protocols, including deploying energy by establishing Base Points, and Emergency Base Points, and by deploying Regulation Service, </w:t>
      </w:r>
      <w:r w:rsidR="00A93ECE">
        <w:t>ERCOT Contingency Reserve Service (ECRS)</w:t>
      </w:r>
      <w:r>
        <w:t>, and Non-Spinning Reserve (Non-Spin)</w:t>
      </w:r>
      <w:r w:rsidR="00DC6D12">
        <w:t xml:space="preserve"> </w:t>
      </w:r>
      <w:r>
        <w:t>to ensure operational security.</w:t>
      </w:r>
      <w:r w:rsidR="00A93ECE" w:rsidRPr="00A93ECE">
        <w:t xml:space="preserve"> </w:t>
      </w:r>
      <w:r w:rsidR="00A93ECE">
        <w:t xml:space="preserve"> Responsive Reserve</w:t>
      </w:r>
      <w:r w:rsidR="00A93ECE" w:rsidRPr="0003648D">
        <w:t xml:space="preserve"> (</w:t>
      </w:r>
      <w:r w:rsidR="00A93ECE">
        <w:t>RRS</w:t>
      </w:r>
      <w:r w:rsidR="00A93ECE" w:rsidRPr="0003648D">
        <w:t>) shall be self-deployed in response to frequency deviations</w:t>
      </w:r>
      <w:r w:rsidR="00A93ECE">
        <w:t xml:space="preserve"> or as specified in Nodal Operating Guide Section 4.8,</w:t>
      </w:r>
      <w:r w:rsidR="00A93ECE" w:rsidRPr="004072AA">
        <w:t xml:space="preserve"> Responsive Reserve Service During Scarcity Conditions</w:t>
      </w:r>
      <w:r w:rsidR="00A93ECE" w:rsidRPr="0003648D">
        <w:t>.</w:t>
      </w:r>
    </w:p>
    <w:p w14:paraId="7F77D775" w14:textId="77777777" w:rsidR="003235C1" w:rsidRDefault="001F04FD" w:rsidP="00F969DB">
      <w:pPr>
        <w:pStyle w:val="BodyTextNumbered"/>
      </w:pPr>
      <w:r>
        <w:t>(2)</w:t>
      </w:r>
      <w: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235C1" w14:paraId="3BBEEDBE" w14:textId="77777777" w:rsidTr="003235C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33919000" w14:textId="4E0E7E37" w:rsidR="003235C1" w:rsidRDefault="003235C1" w:rsidP="009E7633">
            <w:pPr>
              <w:pStyle w:val="Instructions"/>
              <w:spacing w:before="120"/>
            </w:pPr>
            <w:r>
              <w:t>[NPRR1014:  Replace paragraph (2) above with the following upon system implementation:]</w:t>
            </w:r>
          </w:p>
          <w:p w14:paraId="724E2A70" w14:textId="69E77345" w:rsidR="003235C1" w:rsidRPr="00B37C4B" w:rsidRDefault="003235C1" w:rsidP="003235C1">
            <w:pPr>
              <w:spacing w:before="240" w:after="240"/>
              <w:ind w:left="720" w:hanging="720"/>
            </w:pPr>
            <w:r w:rsidRPr="00A552C3">
              <w:t>(2)</w:t>
            </w:r>
            <w:r w:rsidRPr="00A552C3">
              <w:tab/>
              <w:t>ERCOT shall verify that either an Energy Offer Curve or Energy Bid/Offer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or Energy Bid/Offer Curve through the Market Information System (MIS) Certified Area.</w:t>
            </w:r>
          </w:p>
        </w:tc>
      </w:tr>
    </w:tbl>
    <w:p w14:paraId="26B370F6" w14:textId="77777777" w:rsidR="003235C1" w:rsidRDefault="003235C1"/>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8150D" w14:paraId="6FBB31C4" w14:textId="77777777" w:rsidTr="0058150D">
        <w:trPr>
          <w:trHeight w:val="206"/>
        </w:trPr>
        <w:tc>
          <w:tcPr>
            <w:tcW w:w="9350" w:type="dxa"/>
            <w:shd w:val="pct12" w:color="auto" w:fill="auto"/>
          </w:tcPr>
          <w:p w14:paraId="699E4F52" w14:textId="123489FE" w:rsidR="0058150D" w:rsidRDefault="0058150D" w:rsidP="0058150D">
            <w:pPr>
              <w:pStyle w:val="Instructions"/>
              <w:spacing w:before="120"/>
            </w:pPr>
            <w:r>
              <w:t>[NPRR1010</w:t>
            </w:r>
            <w:r w:rsidR="003235C1">
              <w:t xml:space="preserve"> and NPRR1014</w:t>
            </w:r>
            <w:r>
              <w:t xml:space="preserve">:  Insert </w:t>
            </w:r>
            <w:r w:rsidR="003235C1">
              <w:t xml:space="preserve">applicable portions of </w:t>
            </w:r>
            <w:r>
              <w:t>paragraph (3) below upon system implementation of the Real-Time Co-Optimization (RTC) project</w:t>
            </w:r>
            <w:r w:rsidR="003235C1">
              <w:t xml:space="preserve"> for NPRR1010; or upon system implementation for NPRR1014</w:t>
            </w:r>
            <w:r w:rsidR="00CE56E5">
              <w:t>; and renumber accordingly</w:t>
            </w:r>
            <w:r>
              <w:t>:]</w:t>
            </w:r>
          </w:p>
          <w:p w14:paraId="7955E83C" w14:textId="6CE71A2F" w:rsidR="0058150D" w:rsidRPr="0058150D" w:rsidRDefault="0058150D" w:rsidP="0058150D">
            <w:pPr>
              <w:spacing w:before="240" w:after="240"/>
              <w:ind w:left="720" w:hanging="720"/>
            </w:pPr>
            <w:r>
              <w:t>(3)</w:t>
            </w:r>
            <w: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p>
        </w:tc>
      </w:tr>
    </w:tbl>
    <w:p w14:paraId="37C92AB5" w14:textId="1981E5E0" w:rsidR="001F04FD" w:rsidRDefault="001F04FD" w:rsidP="000B1D41">
      <w:pPr>
        <w:pStyle w:val="BodyTextNumbered"/>
        <w:spacing w:before="240"/>
      </w:pPr>
      <w:r>
        <w:t>(3)</w:t>
      </w:r>
      <w:r>
        <w:tab/>
        <w:t>ERCOT may only issue Dispatch Instructions for the Real-Time operation of Transmission Facilities to a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37C4B" w14:paraId="1835642C" w14:textId="77777777" w:rsidTr="0052684A">
        <w:trPr>
          <w:trHeight w:val="566"/>
        </w:trPr>
        <w:tc>
          <w:tcPr>
            <w:tcW w:w="9576" w:type="dxa"/>
            <w:shd w:val="pct12" w:color="auto" w:fill="auto"/>
          </w:tcPr>
          <w:p w14:paraId="3B783992" w14:textId="63C70E04" w:rsidR="00B37C4B" w:rsidRDefault="00B37C4B" w:rsidP="004510FA">
            <w:pPr>
              <w:pStyle w:val="Instructions"/>
              <w:spacing w:before="120"/>
            </w:pPr>
            <w:r>
              <w:t>[NPRR857:  Replace paragraph (3) above with the following upon system implementation</w:t>
            </w:r>
            <w:r w:rsidR="004A5B0B">
              <w:t xml:space="preserve"> </w:t>
            </w:r>
            <w:r w:rsidR="004A5B0B" w:rsidRPr="006628B7">
              <w:rPr>
                <w:bCs/>
                <w:iCs w:val="0"/>
              </w:rPr>
              <w:t xml:space="preserve">and </w:t>
            </w:r>
            <w:r w:rsidR="004A5B0B" w:rsidRPr="00ED2B32">
              <w:t xml:space="preserve">satisfying the following conditions: (1) Southern Cross provides ERCOT with funds to </w:t>
            </w:r>
            <w:r w:rsidR="004A5B0B" w:rsidRPr="00ED2B32">
              <w:lastRenderedPageBreak/>
              <w:t>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456B63" w14:textId="77777777" w:rsidR="00B37C4B" w:rsidRPr="00B37C4B" w:rsidRDefault="00B37C4B" w:rsidP="00B17C2D">
            <w:pPr>
              <w:spacing w:after="240"/>
              <w:ind w:left="720" w:hanging="720"/>
            </w:pPr>
            <w:r w:rsidRPr="00E55E72">
              <w:t>(3)</w:t>
            </w:r>
            <w:r w:rsidRPr="00E55E72">
              <w:tab/>
              <w:t>In Real-Time operations, ERCOT may only issue Dispatch Instructions for</w:t>
            </w:r>
            <w:r w:rsidR="00B17C2D" w:rsidRPr="00E55E72">
              <w:t xml:space="preserve"> </w:t>
            </w:r>
            <w:r w:rsidR="00B17C2D">
              <w:t>Direct Current Ties (</w:t>
            </w:r>
            <w:r w:rsidR="00B17C2D" w:rsidRPr="00E55E72">
              <w:t>DC Ties</w:t>
            </w:r>
            <w:r w:rsidR="00B17C2D">
              <w:t>)</w:t>
            </w:r>
            <w:r w:rsidRPr="00E55E72">
              <w:t xml:space="preserve"> to the appropriate Direct Current Tie Operator (DCTO), for Transmission Facilities to a Transmission Service Provider (TSP), for distribution facilities to a Distribution Service Provider (DSP), or for a Resource</w:t>
            </w:r>
            <w:r>
              <w:t xml:space="preserve"> to the QSE that represents it.</w:t>
            </w:r>
          </w:p>
        </w:tc>
      </w:tr>
    </w:tbl>
    <w:p w14:paraId="5350B018" w14:textId="77777777" w:rsidR="001F04FD" w:rsidRDefault="001F04FD" w:rsidP="0099247E">
      <w:pPr>
        <w:pStyle w:val="BodyTextNumbered"/>
        <w:spacing w:before="240"/>
      </w:pPr>
      <w:r>
        <w:lastRenderedPageBreak/>
        <w:t>(4)</w:t>
      </w:r>
      <w:r>
        <w:tab/>
        <w:t>ERCOT shall post shift schedules on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779AB" w14:paraId="66DB325F" w14:textId="77777777" w:rsidTr="00AE5CE8">
        <w:trPr>
          <w:trHeight w:val="206"/>
        </w:trPr>
        <w:tc>
          <w:tcPr>
            <w:tcW w:w="9576" w:type="dxa"/>
            <w:shd w:val="pct12" w:color="auto" w:fill="auto"/>
          </w:tcPr>
          <w:p w14:paraId="3A97A67F" w14:textId="4D5F1C76" w:rsidR="00D779AB" w:rsidRPr="00A4149C" w:rsidRDefault="00D779AB" w:rsidP="00D779AB">
            <w:pPr>
              <w:pStyle w:val="Instructions"/>
              <w:spacing w:before="120"/>
            </w:pPr>
            <w:bookmarkStart w:id="721" w:name="_Toc73216005"/>
            <w:bookmarkStart w:id="722" w:name="_Toc397504947"/>
            <w:bookmarkStart w:id="723" w:name="_Toc402357075"/>
            <w:bookmarkStart w:id="724" w:name="_Toc422486455"/>
            <w:bookmarkStart w:id="725" w:name="_Toc433093307"/>
            <w:bookmarkStart w:id="726" w:name="_Toc433093465"/>
            <w:bookmarkStart w:id="727" w:name="_Toc440874694"/>
            <w:bookmarkStart w:id="728" w:name="_Toc448142249"/>
            <w:bookmarkStart w:id="729" w:name="_Toc448142406"/>
            <w:bookmarkStart w:id="730" w:name="_Toc458770242"/>
            <w:bookmarkStart w:id="731" w:name="_Toc459294210"/>
            <w:bookmarkStart w:id="732" w:name="_Toc463262703"/>
            <w:bookmarkStart w:id="733" w:name="_Toc468286777"/>
            <w:bookmarkStart w:id="734" w:name="_Toc481502823"/>
            <w:bookmarkStart w:id="735" w:name="_Toc496079991"/>
            <w:r>
              <w:t>[NPRR1240:  Delete paragraph (4) above upon system implementation.]</w:t>
            </w:r>
          </w:p>
        </w:tc>
      </w:tr>
    </w:tbl>
    <w:p w14:paraId="598066D4" w14:textId="77777777" w:rsidR="001F04FD" w:rsidRDefault="001F04FD" w:rsidP="001F04FD">
      <w:pPr>
        <w:pStyle w:val="H3"/>
        <w:spacing w:before="480"/>
      </w:pPr>
      <w:bookmarkStart w:id="736" w:name="_Toc189044330"/>
      <w:r>
        <w:t>6.5.2</w:t>
      </w:r>
      <w:r>
        <w:tab/>
        <w:t>Operating Standards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2DF5B240" w14:textId="77777777" w:rsidR="001F04FD" w:rsidRDefault="001F04FD" w:rsidP="001F04FD">
      <w:pPr>
        <w:pStyle w:val="BodyTextNumbered"/>
      </w:pPr>
      <w:r>
        <w:t>(1)</w:t>
      </w:r>
      <w:r>
        <w:tab/>
        <w:t>ERCOT and each TSP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any of the following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54FC427A" w14:textId="77777777" w:rsidTr="004510FA">
        <w:trPr>
          <w:trHeight w:val="1547"/>
        </w:trPr>
        <w:tc>
          <w:tcPr>
            <w:tcW w:w="9576" w:type="dxa"/>
            <w:shd w:val="pct12" w:color="auto" w:fill="auto"/>
          </w:tcPr>
          <w:p w14:paraId="45C415EB" w14:textId="2745D3A8" w:rsidR="00901DDE" w:rsidRDefault="00901DDE"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89BBF4" w14:textId="77777777" w:rsidR="00901DDE" w:rsidRPr="00B37C4B" w:rsidRDefault="00901DDE" w:rsidP="00901DDE">
            <w:pPr>
              <w:spacing w:after="240"/>
              <w:ind w:left="720" w:hanging="720"/>
            </w:pPr>
            <w:r w:rsidRPr="00E55E72">
              <w:t>(1)</w:t>
            </w:r>
            <w:r w:rsidRPr="00E55E72">
              <w:tab/>
              <w:t xml:space="preserve">ERCOT and each TSP and DCTO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w:t>
            </w:r>
            <w:r>
              <w:t>any of the following documents:</w:t>
            </w:r>
          </w:p>
        </w:tc>
      </w:tr>
    </w:tbl>
    <w:p w14:paraId="6C8F1D0E" w14:textId="77777777" w:rsidR="001F04FD" w:rsidRDefault="001F04FD" w:rsidP="0099247E">
      <w:pPr>
        <w:pStyle w:val="List"/>
        <w:spacing w:before="240"/>
      </w:pPr>
      <w:r>
        <w:t>(a)</w:t>
      </w:r>
      <w:r>
        <w:tab/>
        <w:t>The Operating Guides;</w:t>
      </w:r>
    </w:p>
    <w:p w14:paraId="495AA104" w14:textId="77777777" w:rsidR="001F04FD" w:rsidRDefault="001F04FD" w:rsidP="001F04FD">
      <w:pPr>
        <w:pStyle w:val="List"/>
      </w:pPr>
      <w:r>
        <w:lastRenderedPageBreak/>
        <w:t>(b)</w:t>
      </w:r>
      <w:r>
        <w:tab/>
        <w:t>ERCOT procedures manual for ERCOT Operators to use during normal and emergency operations of the ERCOT Transmission Grid;</w:t>
      </w:r>
    </w:p>
    <w:p w14:paraId="34DFE4E7" w14:textId="77777777" w:rsidR="001F04FD" w:rsidRDefault="001F04FD" w:rsidP="001F04FD">
      <w:pPr>
        <w:pStyle w:val="List"/>
      </w:pPr>
      <w:r>
        <w:t>(c)</w:t>
      </w:r>
      <w:r>
        <w:tab/>
        <w:t>Specific operating procedures and RAPs submitted to ERCOT by individual Transmission Facilities owners or operators to address operating problems on their respective grids that could affect operation of the ERCOT Transmission Grid; and</w:t>
      </w:r>
    </w:p>
    <w:p w14:paraId="0C5D5294" w14:textId="77777777" w:rsidR="001F04FD" w:rsidRDefault="001F04FD" w:rsidP="001F04FD">
      <w:pPr>
        <w:pStyle w:val="List"/>
      </w:pPr>
      <w:r>
        <w:t>(d)</w:t>
      </w:r>
      <w:r>
        <w:tab/>
        <w:t>Guidelines established by the ERCOT Board, which may be more stringent than those established by NERC for the secure operation of the ERCOT Transmission Grid.</w:t>
      </w:r>
    </w:p>
    <w:p w14:paraId="7335B760" w14:textId="77777777" w:rsidR="001F04FD" w:rsidRDefault="001F04FD" w:rsidP="001F04FD">
      <w:pPr>
        <w:pStyle w:val="H3"/>
        <w:spacing w:before="480"/>
      </w:pPr>
      <w:bookmarkStart w:id="737" w:name="_Toc73216006"/>
      <w:bookmarkStart w:id="738" w:name="_Toc397504948"/>
      <w:bookmarkStart w:id="739" w:name="_Toc402357076"/>
      <w:bookmarkStart w:id="740" w:name="_Toc422486456"/>
      <w:bookmarkStart w:id="741" w:name="_Toc433093308"/>
      <w:bookmarkStart w:id="742" w:name="_Toc433093466"/>
      <w:bookmarkStart w:id="743" w:name="_Toc440874695"/>
      <w:bookmarkStart w:id="744" w:name="_Toc448142250"/>
      <w:bookmarkStart w:id="745" w:name="_Toc448142407"/>
      <w:bookmarkStart w:id="746" w:name="_Toc458770243"/>
      <w:bookmarkStart w:id="747" w:name="_Toc459294211"/>
      <w:bookmarkStart w:id="748" w:name="_Toc463262704"/>
      <w:bookmarkStart w:id="749" w:name="_Toc468286778"/>
      <w:bookmarkStart w:id="750" w:name="_Toc481502824"/>
      <w:bookmarkStart w:id="751" w:name="_Toc496079992"/>
      <w:bookmarkStart w:id="752" w:name="_Toc189044331"/>
      <w:r>
        <w:t>6.5.3</w:t>
      </w:r>
      <w:r>
        <w:tab/>
        <w:t>Equipment Operating Ratings and Limits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6EC8E63E" w14:textId="77777777" w:rsidR="001F04FD" w:rsidRDefault="001F04FD" w:rsidP="001F04FD">
      <w:pPr>
        <w:pStyle w:val="BodyTextNumbered"/>
      </w:pPr>
      <w:r>
        <w:t>(1)</w:t>
      </w:r>
      <w:r>
        <w:tab/>
        <w:t>ERCOT shall consider all equipment operating limits when issuing Dispatch Instructions.  Except as stated in Section 6.5.9, Emergency Operations, if a Dispatch Instruction conflicts with a restriction that may be placed on equipment from time to time by a TSP, a DSP, or a Generation Resource’s QSE to protect the integrity of equipment, ERCOT shall honor the restriction.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4F9637F6" w14:textId="77777777" w:rsidTr="004510FA">
        <w:trPr>
          <w:trHeight w:val="1547"/>
        </w:trPr>
        <w:tc>
          <w:tcPr>
            <w:tcW w:w="9576" w:type="dxa"/>
            <w:shd w:val="pct12" w:color="auto" w:fill="auto"/>
          </w:tcPr>
          <w:p w14:paraId="2C35C8D8" w14:textId="24315886" w:rsidR="00901DDE" w:rsidRDefault="00901DDE" w:rsidP="004510FA">
            <w:pPr>
              <w:pStyle w:val="Instructions"/>
              <w:spacing w:before="120"/>
            </w:pPr>
            <w:r>
              <w:t>[NPRR857</w:t>
            </w:r>
            <w:r w:rsidR="00490BFE">
              <w:t xml:space="preserve"> and NPRR1246</w:t>
            </w:r>
            <w:r>
              <w:t>: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rsidR="00490BFE">
              <w:t xml:space="preserve"> for NPRR857; or upon system implementation of the Real-Time Co-Optimization (RTC) project for NPRR1246</w:t>
            </w:r>
            <w:r>
              <w:t>:]</w:t>
            </w:r>
          </w:p>
          <w:p w14:paraId="2666C4BC" w14:textId="5849F131" w:rsidR="00901DDE" w:rsidRPr="00B37C4B" w:rsidRDefault="00901DDE" w:rsidP="00901DDE">
            <w:pPr>
              <w:spacing w:after="240"/>
              <w:ind w:left="720" w:hanging="720"/>
            </w:pPr>
            <w:r w:rsidRPr="00E55E72">
              <w:t>(1)</w:t>
            </w:r>
            <w:r w:rsidRPr="00E55E72">
              <w:tab/>
              <w:t xml:space="preserve">ERCOT shall consider all equipment operating limits when issuing Dispatch Instructions.  Except as stated in Section 6.5.9, Emergency Operations, if a Dispatch Instruction conflicts with a restriction that may be placed on equipment from time to time by a TSP, a DSP, a DCTO, or a </w:t>
            </w:r>
            <w:r w:rsidR="00490BFE">
              <w:t xml:space="preserve">QSE representing a </w:t>
            </w:r>
            <w:r w:rsidRPr="00E55E72">
              <w:t>Generation Resource</w:t>
            </w:r>
            <w:r w:rsidR="00490BFE">
              <w:t xml:space="preserve"> or ESR</w:t>
            </w:r>
            <w:r w:rsidRPr="00E55E72">
              <w:t xml:space="preserve"> to protect the integrity of equipment, ERC</w:t>
            </w:r>
            <w:r>
              <w:t>OT shall honor the restriction.</w:t>
            </w:r>
          </w:p>
        </w:tc>
      </w:tr>
    </w:tbl>
    <w:p w14:paraId="50EDC623" w14:textId="77777777" w:rsidR="001F04FD" w:rsidRDefault="001F04FD" w:rsidP="0099247E">
      <w:pPr>
        <w:pStyle w:val="BodyTextNumbered"/>
        <w:spacing w:before="240"/>
      </w:pPr>
      <w:r>
        <w:t>(2)</w:t>
      </w:r>
      <w:r>
        <w:tab/>
        <w:t>Each TSP shall notify ERCOT of any limitations on the TSP’s system that may affect ERCOT Dispatch Instructions.  ERCOT shall continuously maintain a posting on the MIS Secure Area of any TSP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for investigation and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69057492" w14:textId="77777777" w:rsidTr="004510FA">
        <w:trPr>
          <w:trHeight w:val="1547"/>
        </w:trPr>
        <w:tc>
          <w:tcPr>
            <w:tcW w:w="9576" w:type="dxa"/>
            <w:shd w:val="pct12" w:color="auto" w:fill="auto"/>
          </w:tcPr>
          <w:p w14:paraId="4CD70A86" w14:textId="0FB3A777" w:rsidR="00901DDE" w:rsidRDefault="00901DDE" w:rsidP="004510FA">
            <w:pPr>
              <w:pStyle w:val="Instructions"/>
              <w:spacing w:before="120"/>
            </w:pPr>
            <w:bookmarkStart w:id="753" w:name="_Toc73164254"/>
            <w:bookmarkStart w:id="754" w:name="_Toc73216007"/>
            <w:bookmarkStart w:id="755" w:name="_Toc397504949"/>
            <w:bookmarkStart w:id="756" w:name="_Toc402357077"/>
            <w:bookmarkStart w:id="757" w:name="_Toc422486457"/>
            <w:bookmarkStart w:id="758" w:name="_Toc433093309"/>
            <w:bookmarkStart w:id="759" w:name="_Toc433093467"/>
            <w:bookmarkStart w:id="760" w:name="_Toc440874696"/>
            <w:bookmarkStart w:id="761" w:name="_Toc448142251"/>
            <w:bookmarkStart w:id="762" w:name="_Toc448142408"/>
            <w:bookmarkStart w:id="763" w:name="_Toc458770244"/>
            <w:bookmarkStart w:id="764" w:name="_Toc459294212"/>
            <w:bookmarkStart w:id="765" w:name="_Toc463262705"/>
            <w:bookmarkStart w:id="766" w:name="_Toc468286779"/>
            <w:bookmarkStart w:id="767" w:name="_Toc481502825"/>
            <w:bookmarkStart w:id="768" w:name="_Toc496079993"/>
            <w:r>
              <w:lastRenderedPageBreak/>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0BBA067" w14:textId="77777777" w:rsidR="00901DDE" w:rsidRPr="00B37C4B" w:rsidRDefault="00901DDE" w:rsidP="00901DDE">
            <w:pPr>
              <w:spacing w:after="240"/>
              <w:ind w:left="720" w:hanging="720"/>
            </w:pPr>
            <w:r w:rsidRPr="00E55E72">
              <w:t>(2)</w:t>
            </w:r>
            <w:r w:rsidRPr="00E55E72">
              <w:tab/>
              <w:t>Each TSP or DCTO shall notify ERCOT of any limitations on the TSP’s or DCTO’s system that may affect ERCOT Dispatch Instructions.  ERCOT shall continuously maintain a posting on the MIS Secure Area of any TSP or DCTO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w:t>
            </w:r>
            <w:r>
              <w:t>r investigation and resolution.</w:t>
            </w:r>
          </w:p>
        </w:tc>
      </w:tr>
    </w:tbl>
    <w:p w14:paraId="1155E746" w14:textId="77777777" w:rsidR="001F04FD" w:rsidRDefault="001F04FD" w:rsidP="0099247E">
      <w:pPr>
        <w:pStyle w:val="H3"/>
        <w:spacing w:before="480"/>
      </w:pPr>
      <w:bookmarkStart w:id="769" w:name="_Toc189044332"/>
      <w:r>
        <w:t>6.5.4</w:t>
      </w:r>
      <w:r>
        <w:tab/>
        <w:t>Inadvertent Energy Account</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279620ED" w14:textId="77777777" w:rsidR="001F04FD" w:rsidRDefault="001F04FD" w:rsidP="001F04FD">
      <w:pPr>
        <w:pStyle w:val="BodyTextNumbered"/>
      </w:pPr>
      <w:r>
        <w:t>(1)</w:t>
      </w:r>
      <w:r>
        <w:tab/>
        <w:t>ERCOT shall track any differences between the scheduled energy and the actual metered value at each Direct Current Tie (DC Tie) in an “Inadvertent Energy Account” between ERCOT and each interconnected non-ERCOT Control Area.  ERCOT shall coordinate operation of each DC Tie with the DC Tie operator such that the Inadvertent Energy Account is maintained as close to zero as possible.  Corrections of inadvertent energy between ERCOT and the other NERC-interconnected non-ERCOT Control Areas must comply with the NERC scheduling protocols and the ERCOT Operating Guides.  ERCOT shall establish procedures to correct Inadvertent Energy Accounts with non-ERCOT Control Areas that are not subject to NERC scheduling protocols.</w:t>
      </w:r>
    </w:p>
    <w:p w14:paraId="4579FC4A" w14:textId="77777777" w:rsidR="001F04FD" w:rsidRDefault="001F04FD" w:rsidP="001F04FD">
      <w:pPr>
        <w:pStyle w:val="H3"/>
        <w:spacing w:before="480"/>
      </w:pPr>
      <w:bookmarkStart w:id="770" w:name="_Toc397504950"/>
      <w:bookmarkStart w:id="771" w:name="_Toc402357078"/>
      <w:bookmarkStart w:id="772" w:name="_Toc422486458"/>
      <w:bookmarkStart w:id="773" w:name="_Toc433093310"/>
      <w:bookmarkStart w:id="774" w:name="_Toc433093468"/>
      <w:bookmarkStart w:id="775" w:name="_Toc440874697"/>
      <w:bookmarkStart w:id="776" w:name="_Toc448142252"/>
      <w:bookmarkStart w:id="777" w:name="_Toc448142409"/>
      <w:bookmarkStart w:id="778" w:name="_Toc458770245"/>
      <w:bookmarkStart w:id="779" w:name="_Toc459294213"/>
      <w:bookmarkStart w:id="780" w:name="_Toc463262706"/>
      <w:bookmarkStart w:id="781" w:name="_Toc468286780"/>
      <w:bookmarkStart w:id="782" w:name="_Toc481502826"/>
      <w:bookmarkStart w:id="783" w:name="_Toc496079994"/>
      <w:bookmarkStart w:id="784" w:name="_Toc189044333"/>
      <w:r>
        <w:t>6.5.5</w:t>
      </w:r>
      <w:r>
        <w:tab/>
        <w:t>QSE Activities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73D074B4" w14:textId="77777777" w:rsidR="001F04FD" w:rsidRDefault="001F04FD" w:rsidP="001F04FD">
      <w:pPr>
        <w:pStyle w:val="BodyTextNumbered"/>
      </w:pPr>
      <w:r>
        <w:t>(1)</w:t>
      </w:r>
      <w:r>
        <w:tab/>
        <w:t>QSE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1F1A04B8" w14:textId="77777777" w:rsidR="001F04FD" w:rsidRDefault="001F04FD" w:rsidP="001F04FD">
      <w:pPr>
        <w:pStyle w:val="H4"/>
        <w:spacing w:before="480"/>
        <w:ind w:left="1267" w:hanging="1267"/>
      </w:pPr>
      <w:bookmarkStart w:id="785" w:name="_Toc73216009"/>
      <w:bookmarkStart w:id="786" w:name="_Toc397504951"/>
      <w:bookmarkStart w:id="787" w:name="_Toc402357079"/>
      <w:bookmarkStart w:id="788" w:name="_Toc422486459"/>
      <w:bookmarkStart w:id="789" w:name="_Toc433093311"/>
      <w:bookmarkStart w:id="790" w:name="_Toc433093469"/>
      <w:bookmarkStart w:id="791" w:name="_Toc440874698"/>
      <w:bookmarkStart w:id="792" w:name="_Toc448142253"/>
      <w:bookmarkStart w:id="793" w:name="_Toc448142410"/>
      <w:bookmarkStart w:id="794" w:name="_Toc458770246"/>
      <w:bookmarkStart w:id="795" w:name="_Toc459294214"/>
      <w:bookmarkStart w:id="796" w:name="_Toc463262707"/>
      <w:bookmarkStart w:id="797" w:name="_Toc468286781"/>
      <w:bookmarkStart w:id="798" w:name="_Toc481502827"/>
      <w:bookmarkStart w:id="799" w:name="_Toc496079995"/>
      <w:bookmarkStart w:id="800" w:name="_Toc189044334"/>
      <w:bookmarkStart w:id="801" w:name="_Hlk135901057"/>
      <w:r>
        <w:t>6.5.5.1</w:t>
      </w:r>
      <w:r>
        <w:tab/>
        <w:t>Changes in Resource Status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4433CCE7" w14:textId="77F004F2" w:rsidR="001F04FD" w:rsidRDefault="001F04FD" w:rsidP="001F04FD">
      <w:pPr>
        <w:pStyle w:val="BodyTextNumbered"/>
      </w:pPr>
      <w:bookmarkStart w:id="802" w:name="_Toc73216010"/>
      <w:r>
        <w:t>(1)</w:t>
      </w:r>
      <w:r>
        <w:tab/>
      </w:r>
      <w:r w:rsidR="00DE555F" w:rsidRPr="00E61BC2">
        <w:t>Each QSE shall notify ERCOT</w:t>
      </w:r>
      <w:r w:rsidR="00DE555F">
        <w:t xml:space="preserve"> via telemetry</w:t>
      </w:r>
      <w:r w:rsidR="00DE555F" w:rsidRPr="00E61BC2">
        <w:t xml:space="preserve"> of a change in Resource Status </w:t>
      </w:r>
      <w:r w:rsidR="00DE555F">
        <w:t>that is not related to a Forced Outage as soon as practicable but no longer than 15 minutes</w:t>
      </w:r>
      <w:r w:rsidR="00DE555F" w:rsidRPr="00753E49">
        <w:rPr>
          <w:iCs/>
        </w:rPr>
        <w:t xml:space="preserve"> </w:t>
      </w:r>
      <w:r w:rsidR="00DE555F" w:rsidRPr="00AF54E6">
        <w:rPr>
          <w:iCs/>
        </w:rPr>
        <w:t xml:space="preserve">after the </w:t>
      </w:r>
      <w:r w:rsidR="00DE555F">
        <w:rPr>
          <w:iCs/>
        </w:rPr>
        <w:t>change in status occurs</w:t>
      </w:r>
      <w:r w:rsidR="00DE555F" w:rsidRPr="00E61BC2">
        <w:t xml:space="preserve"> and through changes in the Current Operating Plan (COP) </w:t>
      </w:r>
      <w:r w:rsidR="00DE555F" w:rsidRPr="00503629">
        <w:t xml:space="preserve">as soon </w:t>
      </w:r>
      <w:r w:rsidR="00DE555F" w:rsidRPr="00503629">
        <w:lastRenderedPageBreak/>
        <w:t>as practicable</w:t>
      </w:r>
      <w:r w:rsidR="00DE555F" w:rsidRPr="00E61BC2">
        <w:t xml:space="preserve"> </w:t>
      </w:r>
      <w:r w:rsidR="00DE555F">
        <w:t>but no longer than 60 minutes</w:t>
      </w:r>
      <w:r w:rsidR="00DE555F" w:rsidRPr="00753E49">
        <w:rPr>
          <w:iCs/>
        </w:rPr>
        <w:t xml:space="preserve"> </w:t>
      </w:r>
      <w:r w:rsidR="00DE555F" w:rsidRPr="00AF54E6">
        <w:rPr>
          <w:iCs/>
        </w:rPr>
        <w:t xml:space="preserve">after the </w:t>
      </w:r>
      <w:r w:rsidR="00DE555F">
        <w:rPr>
          <w:iCs/>
        </w:rPr>
        <w:t>change in status of the Resource occurs</w:t>
      </w:r>
      <w:r>
        <w:t>.</w:t>
      </w:r>
    </w:p>
    <w:p w14:paraId="5FC9B193" w14:textId="5D28EA2E" w:rsidR="00A5535F" w:rsidRDefault="00DE555F" w:rsidP="00DE555F">
      <w:pPr>
        <w:pStyle w:val="BodyTextNumbered"/>
      </w:pPr>
      <w:r w:rsidRPr="00C33924">
        <w:t>(</w:t>
      </w:r>
      <w:r>
        <w:t>2</w:t>
      </w:r>
      <w:r w:rsidRPr="00C33924">
        <w:t xml:space="preserve">) </w:t>
      </w:r>
      <w:r w:rsidRPr="00C33924">
        <w:tab/>
        <w:t xml:space="preserve">When an </w:t>
      </w:r>
      <w:r>
        <w:t>O</w:t>
      </w:r>
      <w:r w:rsidRPr="00C33924">
        <w:t>n</w:t>
      </w:r>
      <w:r>
        <w:t>-L</w:t>
      </w:r>
      <w:r w:rsidRPr="00C33924">
        <w:t xml:space="preserve">ine Resource is experiencing an event that may affect its availability and/or capability </w:t>
      </w:r>
      <w:r>
        <w:t xml:space="preserve">and </w:t>
      </w:r>
      <w:r w:rsidRPr="00C33924">
        <w:t>that require</w:t>
      </w:r>
      <w:r>
        <w:t>s</w:t>
      </w:r>
      <w:r w:rsidRPr="00C33924">
        <w:t xml:space="preserve"> further actions to stabilize the Resource and/or determine the impact of the event, the QSE may change the Resource Status to ON</w:t>
      </w:r>
      <w:r>
        <w:t>HOLD</w:t>
      </w:r>
      <w:r w:rsidRPr="00C33924">
        <w:t xml:space="preserve"> </w:t>
      </w:r>
      <w:r w:rsidRPr="00837317">
        <w:t xml:space="preserve">within </w:t>
      </w:r>
      <w:r>
        <w:t>15</w:t>
      </w:r>
      <w:r w:rsidRPr="00837317">
        <w:t xml:space="preserve"> minutes</w:t>
      </w:r>
      <w:r>
        <w:t xml:space="preserve"> of experiencing an event</w:t>
      </w:r>
      <w:r w:rsidRPr="00C33924">
        <w:t xml:space="preserve">. </w:t>
      </w:r>
      <w:r>
        <w:t xml:space="preserve"> </w:t>
      </w:r>
      <w:r w:rsidRPr="00C33924">
        <w:t xml:space="preserve">Following this Resource Status change, the telemetered HSL and any other applicable telemetry of the Resource as specified in paragraph (2) of Section 6.5.5.2, </w:t>
      </w:r>
      <w:r w:rsidRPr="00F94510">
        <w:t>Operational Data Requirements</w:t>
      </w:r>
      <w:r w:rsidRPr="00C33924">
        <w:t xml:space="preserve">, shall be updated as soon as practicable but no longer than </w:t>
      </w:r>
      <w:r w:rsidRPr="00837317">
        <w:t>15 minutes after</w:t>
      </w:r>
      <w:r w:rsidRPr="00C33924">
        <w:t xml:space="preserve"> the change in Resource Status to ON</w:t>
      </w:r>
      <w:r>
        <w:t>HOLD.</w:t>
      </w:r>
      <w:r w:rsidRPr="00C33924">
        <w:t xml:space="preserve"> </w:t>
      </w:r>
      <w:r>
        <w:t xml:space="preserve"> </w:t>
      </w:r>
      <w:r w:rsidRPr="00C33924">
        <w:t xml:space="preserve">After the QSE has determined the impact of the event, the QSE shall change the Resource Status to its </w:t>
      </w:r>
      <w:r>
        <w:t>updated</w:t>
      </w:r>
      <w:r w:rsidRPr="00C33924">
        <w:t xml:space="preserve"> status as soon as practicable but no longer </w:t>
      </w:r>
      <w:r w:rsidRPr="00837317">
        <w:t>than 60 consecutive minutes</w:t>
      </w:r>
      <w:r w:rsidRPr="00C33924">
        <w:t xml:space="preserve"> of being in the ON</w:t>
      </w:r>
      <w:r>
        <w:t>HOLD</w:t>
      </w:r>
      <w:r w:rsidRPr="00C33924">
        <w:t xml:space="preserve"> status.</w:t>
      </w:r>
    </w:p>
    <w:p w14:paraId="12488D64" w14:textId="647885AA" w:rsidR="001F04FD" w:rsidRDefault="001F04FD" w:rsidP="00F969DB">
      <w:pPr>
        <w:pStyle w:val="BodyTextNumbered"/>
      </w:pPr>
      <w:r>
        <w:t>(</w:t>
      </w:r>
      <w:r w:rsidR="00DE555F">
        <w:t>3</w:t>
      </w:r>
      <w:r>
        <w:t>)</w:t>
      </w:r>
      <w:r>
        <w:tab/>
        <w:t>Each QSE shall promptly inform ERCOT when the operating mode of its Generation Resource’s Automatic Voltage Regulator (AVR) or Power System Stabilizer (PSS) is changed while the Resource is On-Line.  The QSE shall also provide the Resource’s AVR or PSS status logs to ERCOT upon request.</w:t>
      </w:r>
      <w:r w:rsidR="00012F03" w:rsidRPr="00012F03">
        <w:t xml:space="preserve"> </w:t>
      </w:r>
      <w:r w:rsidR="00012F03">
        <w:t xml:space="preserve"> For each Generation Resource that is </w:t>
      </w:r>
      <w:r w:rsidR="00012F03">
        <w:rPr>
          <w:lang w:eastAsia="x-none"/>
        </w:rPr>
        <w:t>On-Line but not producing real power and is not capable of providing Reactive Power, each QSE must still telemeter its AVR status to ERCOT but is not required to provide verbal notifications of its AVR status changes to ERCOT during these operating conditions.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4F6273F0" w14:textId="77777777" w:rsidTr="004E6E12">
        <w:trPr>
          <w:trHeight w:val="206"/>
        </w:trPr>
        <w:tc>
          <w:tcPr>
            <w:tcW w:w="9350" w:type="dxa"/>
            <w:shd w:val="pct12" w:color="auto" w:fill="auto"/>
          </w:tcPr>
          <w:p w14:paraId="2E899C41" w14:textId="281611BF" w:rsidR="00490BFE" w:rsidRDefault="00490BFE" w:rsidP="004E6E12">
            <w:pPr>
              <w:pStyle w:val="Instructions"/>
              <w:spacing w:before="120"/>
            </w:pPr>
            <w:r>
              <w:t>[NPRR1246:  Replace paragraph (3) above with the following upon system implementation of the Real-Time Co-Optimization (RTC) project:]</w:t>
            </w:r>
          </w:p>
          <w:p w14:paraId="703C2B9F" w14:textId="6E8EAF6B" w:rsidR="00490BFE" w:rsidRPr="00490BFE" w:rsidRDefault="00490BFE" w:rsidP="00490BFE">
            <w:pPr>
              <w:spacing w:after="240"/>
              <w:ind w:left="720" w:hanging="720"/>
            </w:pPr>
            <w:r w:rsidRPr="0000204A">
              <w:t>(3)</w:t>
            </w:r>
            <w:r w:rsidRPr="0000204A">
              <w:tab/>
              <w:t xml:space="preserve">Each QSE shall promptly inform ERCOT when the operating mode of </w:t>
            </w:r>
            <w:r>
              <w:t>the</w:t>
            </w:r>
            <w:r w:rsidRPr="0000204A">
              <w:t xml:space="preserve"> Automatic Voltage Regulator (AVR) or Power System Stabilizer (PSS) </w:t>
            </w:r>
            <w:r>
              <w:t xml:space="preserve">for the QSE’s Generation Resource or ESR </w:t>
            </w:r>
            <w:r w:rsidRPr="0000204A">
              <w:t xml:space="preserve">is changed while the Resource is On-Line.  The QSE shall also provide the Resource’s AVR or PSS status logs to ERCOT upon request.  For each Generation Resource that is </w:t>
            </w:r>
            <w:r w:rsidRPr="0000204A">
              <w:rPr>
                <w:lang w:eastAsia="x-none"/>
              </w:rPr>
              <w:t>On-Line but not producing real power and is not capable of providing Reactive Power, each QSE must still telemeter its AVR status to ERCOT but is not required to provide verbal notifications of its AVR status changes to ERCOT during these operating conditions.</w:t>
            </w:r>
          </w:p>
        </w:tc>
      </w:tr>
    </w:tbl>
    <w:p w14:paraId="0464F625" w14:textId="7357B214" w:rsidR="001F04FD" w:rsidRDefault="001F04FD" w:rsidP="00DD0A69">
      <w:pPr>
        <w:pStyle w:val="BodyTextNumbered"/>
        <w:spacing w:before="240"/>
      </w:pPr>
      <w:r>
        <w:t>(</w:t>
      </w:r>
      <w:r w:rsidR="00DE555F">
        <w:t>4</w:t>
      </w:r>
      <w:r>
        <w:t>)</w:t>
      </w:r>
      <w:r>
        <w:tab/>
        <w:t>Each QSE shall immediately report to ERCOT and the TSP any inability of the QSE’s Generation Resource required to meet its reactive capability requirements in these Protocols.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29E57A12" w14:textId="77777777" w:rsidTr="004E6E12">
        <w:trPr>
          <w:trHeight w:val="206"/>
        </w:trPr>
        <w:tc>
          <w:tcPr>
            <w:tcW w:w="9350" w:type="dxa"/>
            <w:shd w:val="pct12" w:color="auto" w:fill="auto"/>
          </w:tcPr>
          <w:p w14:paraId="634CBC99" w14:textId="6B6DBF51" w:rsidR="00490BFE" w:rsidRDefault="00490BFE" w:rsidP="004E6E12">
            <w:pPr>
              <w:pStyle w:val="Instructions"/>
              <w:spacing w:before="120"/>
            </w:pPr>
            <w:r>
              <w:t>[NPRR1246:  Replace paragraph (4) above with the following upon system implementation of the Real-Time Co-Optimization (RTC) project:]</w:t>
            </w:r>
          </w:p>
          <w:p w14:paraId="11EC1B71" w14:textId="37E44C65" w:rsidR="00490BFE" w:rsidRPr="00490BFE" w:rsidRDefault="00490BFE" w:rsidP="00490BFE">
            <w:pPr>
              <w:spacing w:after="240"/>
              <w:ind w:left="720" w:hanging="720"/>
            </w:pPr>
            <w:r w:rsidRPr="0000204A">
              <w:lastRenderedPageBreak/>
              <w:t>(4)</w:t>
            </w:r>
            <w:r w:rsidRPr="0000204A">
              <w:tab/>
              <w:t xml:space="preserve">Each QSE shall immediately report to ERCOT and the TSP any inability of the QSE’s Generation Resource </w:t>
            </w:r>
            <w:r>
              <w:t xml:space="preserve">or ESR </w:t>
            </w:r>
            <w:r w:rsidRPr="0000204A">
              <w:t>required to meet its reactive capability requirements in these Protocols.</w:t>
            </w:r>
          </w:p>
        </w:tc>
      </w:tr>
    </w:tbl>
    <w:p w14:paraId="256E42E6" w14:textId="557C66A8" w:rsidR="00DE555F" w:rsidRDefault="00DE555F" w:rsidP="00DD0A69">
      <w:pPr>
        <w:pStyle w:val="BodyTextNumbered"/>
        <w:spacing w:before="240"/>
      </w:pPr>
      <w:r w:rsidRPr="008A398D">
        <w:lastRenderedPageBreak/>
        <w:t>(5)</w:t>
      </w:r>
      <w:r w:rsidRPr="008A398D">
        <w:tab/>
        <w:t xml:space="preserve">Each QSE shall timely update the telemetered Resource Status unless in the reasonable judgment of the QSE, such </w:t>
      </w:r>
      <w:r w:rsidRPr="0028006B">
        <w:t>compliance would create an undue threat to safety, undue risk of bodily harm</w:t>
      </w:r>
      <w:r w:rsidRPr="00493C46">
        <w:t xml:space="preserve">, or undue damage to equipment.  The QSE is excused from updating the telemetered Resource Status </w:t>
      </w:r>
      <w:r w:rsidRPr="008C7A95">
        <w:t>only for so long as the undue threat to safety, undue risk of bodily harm, or undue damage to equipment exists</w:t>
      </w:r>
      <w:r w:rsidRPr="00055D51">
        <w:t>.</w:t>
      </w:r>
      <w:r w:rsidRPr="0028006B">
        <w:t xml:space="preserve">  </w:t>
      </w:r>
      <w:r w:rsidRPr="0028006B">
        <w:rPr>
          <w:color w:val="000000" w:themeColor="text1"/>
        </w:rPr>
        <w:t>The time for updating the telemetered Resource Status begins once the undue threat to safety, undue risk of bodily harm, or undue damage to equipment no longer exists.</w:t>
      </w:r>
    </w:p>
    <w:p w14:paraId="55982816" w14:textId="76F7BB23" w:rsidR="00ED74F0" w:rsidRPr="002935C8" w:rsidRDefault="00ED74F0" w:rsidP="00F969DB">
      <w:pPr>
        <w:spacing w:after="240"/>
        <w:ind w:left="720" w:hanging="720"/>
      </w:pPr>
      <w:bookmarkStart w:id="803" w:name="_Toc397504952"/>
      <w:bookmarkStart w:id="804" w:name="_Toc402357080"/>
      <w:bookmarkStart w:id="805" w:name="_Toc422486460"/>
      <w:bookmarkStart w:id="806" w:name="_Toc433093312"/>
      <w:bookmarkStart w:id="807" w:name="_Toc433093470"/>
      <w:bookmarkStart w:id="808" w:name="_Toc440874699"/>
      <w:bookmarkStart w:id="809" w:name="_Toc448142254"/>
      <w:bookmarkStart w:id="810" w:name="_Toc448142411"/>
      <w:bookmarkStart w:id="811" w:name="_Toc458770247"/>
      <w:bookmarkStart w:id="812" w:name="_Toc459294215"/>
      <w:bookmarkStart w:id="813" w:name="_Toc463262708"/>
      <w:bookmarkStart w:id="814" w:name="_Toc468286782"/>
      <w:bookmarkStart w:id="815" w:name="_Toc481502828"/>
      <w:bookmarkStart w:id="816" w:name="_Toc496079996"/>
      <w:r w:rsidRPr="002935C8">
        <w:t>(</w:t>
      </w:r>
      <w:r w:rsidR="00DE555F">
        <w:t>6</w:t>
      </w:r>
      <w:r w:rsidRPr="002935C8">
        <w:t>)</w:t>
      </w:r>
      <w:r w:rsidRPr="002935C8">
        <w:tab/>
        <w:t xml:space="preserve">A QSE or Resource Entity may use a Generation Resource or </w:t>
      </w:r>
      <w:r>
        <w:t>ESR</w:t>
      </w:r>
      <w:r w:rsidRPr="002935C8">
        <w:t xml:space="preserve"> to serve Customer Load as part of a Private Microgrid Island (PMI) in any circumstance in which the Customer Load and the Resource are both disconnected from the ERCOT System due to an Outage of the transmission and/or distribution system, provided that the configuration complies with the requirements of paragraph (7) of Section 10.3.2.3, Generation Netting for ERCOT-Polled Settlement Meters, and provided that the QSE or Resource Entity has notified the </w:t>
      </w:r>
      <w:r>
        <w:t>Transmission and/or Distribution Service Provider (</w:t>
      </w:r>
      <w:r w:rsidRPr="002935C8">
        <w:t>TDSP</w:t>
      </w:r>
      <w:r>
        <w:t>)</w:t>
      </w:r>
      <w:r w:rsidRPr="002935C8">
        <w:t xml:space="preserve"> of the establishment of a PMI configuration.  The QSE shall ensure that the Load served by the Resource in the PMI configuration is de-energized at the time it is reconnected to the ERCOT System following the PMI configuration.  All operations in a PMI configuration and any reconnection of Load following a PMI configuration shall be coordinated with the TDSP.</w:t>
      </w:r>
    </w:p>
    <w:p w14:paraId="4946B014" w14:textId="5865FD79" w:rsidR="00ED74F0" w:rsidRPr="002935C8" w:rsidRDefault="00ED74F0" w:rsidP="00ED74F0">
      <w:pPr>
        <w:spacing w:after="240"/>
        <w:ind w:left="720" w:hanging="720"/>
      </w:pPr>
      <w:r w:rsidRPr="002935C8">
        <w:t>(</w:t>
      </w:r>
      <w:r w:rsidR="00DE555F">
        <w:t>7</w:t>
      </w:r>
      <w:r w:rsidRPr="002935C8">
        <w:t>)</w:t>
      </w:r>
      <w:r w:rsidRPr="002935C8">
        <w:tab/>
        <w:t>A TDSP shall not intentionally disconnect, or direct another TDSP to disconnect, a Generation Resource or E</w:t>
      </w:r>
      <w:r>
        <w:t>SR</w:t>
      </w:r>
      <w:r w:rsidRPr="002935C8">
        <w:t xml:space="preserve"> included in a PMI configuration from the ERCOT System except in the following circumstances:</w:t>
      </w:r>
    </w:p>
    <w:p w14:paraId="37DDD22C" w14:textId="77777777" w:rsidR="00ED74F0" w:rsidRPr="002935C8" w:rsidRDefault="00ED74F0" w:rsidP="00ED74F0">
      <w:pPr>
        <w:spacing w:after="240"/>
        <w:ind w:left="1440" w:hanging="720"/>
      </w:pPr>
      <w:r w:rsidRPr="002935C8">
        <w:t xml:space="preserve">(a) </w:t>
      </w:r>
      <w:r w:rsidRPr="002935C8">
        <w:tab/>
        <w:t>An approved or accepted Planned or Maintenance Outage of a Transmission Facility reasonably requires, or would otherwise result in, the disconnection of the Resource from the ERCOT System;</w:t>
      </w:r>
    </w:p>
    <w:p w14:paraId="53D4B2D5" w14:textId="1475F996" w:rsidR="00ED74F0" w:rsidRPr="002935C8" w:rsidRDefault="00ED74F0" w:rsidP="00ED74F0">
      <w:pPr>
        <w:spacing w:after="240"/>
        <w:ind w:left="1440" w:hanging="720"/>
      </w:pPr>
      <w:r w:rsidRPr="002935C8">
        <w:t>(b)</w:t>
      </w:r>
      <w:r w:rsidRPr="002935C8">
        <w:tab/>
        <w:t>The Resource is a Distribution Generation Resource or Distribution Energy Storage Resource</w:t>
      </w:r>
      <w:r>
        <w:t xml:space="preserve"> (DESR)</w:t>
      </w:r>
      <w:r w:rsidRPr="002935C8">
        <w:t xml:space="preserve">, and disconnection of the Resource is required for </w:t>
      </w:r>
      <w:r>
        <w:t>D</w:t>
      </w:r>
      <w:r w:rsidRPr="002935C8">
        <w:t xml:space="preserve">istribution </w:t>
      </w:r>
      <w:r>
        <w:t>S</w:t>
      </w:r>
      <w:r w:rsidRPr="002935C8">
        <w:t>ystem maintenance;</w:t>
      </w:r>
    </w:p>
    <w:p w14:paraId="21DD6ED8" w14:textId="77777777" w:rsidR="00ED74F0" w:rsidRPr="002935C8" w:rsidRDefault="00ED74F0" w:rsidP="00ED74F0">
      <w:pPr>
        <w:spacing w:after="240"/>
        <w:ind w:left="1440" w:hanging="720"/>
      </w:pPr>
      <w:r w:rsidRPr="002935C8">
        <w:t>(c)</w:t>
      </w:r>
      <w:r w:rsidRPr="002935C8">
        <w:tab/>
        <w:t xml:space="preserve">The TDSP’s disconnection of the Resource is necessary to maintain the security of the TDSP’s system or the ERCOT System; </w:t>
      </w:r>
    </w:p>
    <w:p w14:paraId="46F229AA" w14:textId="77777777" w:rsidR="00ED74F0" w:rsidRPr="002935C8" w:rsidRDefault="00ED74F0" w:rsidP="00ED74F0">
      <w:pPr>
        <w:spacing w:after="240"/>
        <w:ind w:left="1440" w:hanging="720"/>
      </w:pPr>
      <w:r w:rsidRPr="002935C8">
        <w:t>(d)</w:t>
      </w:r>
      <w:r w:rsidRPr="002935C8">
        <w:tab/>
        <w:t xml:space="preserve">The TDSP’s disconnection of the Resource is necessary to protect the public from a safety risk attributable to the operation of the Resource; or </w:t>
      </w:r>
    </w:p>
    <w:p w14:paraId="53352663" w14:textId="1CB9BD09" w:rsidR="00ED74F0" w:rsidRDefault="00ED74F0" w:rsidP="00ED74F0">
      <w:pPr>
        <w:spacing w:after="240"/>
        <w:ind w:left="1440" w:hanging="720"/>
      </w:pPr>
      <w:r w:rsidRPr="002935C8">
        <w:t>(e)</w:t>
      </w:r>
      <w:r w:rsidRPr="002935C8">
        <w:tab/>
        <w:t>ERCOT directs the disconnection of the Resource.</w:t>
      </w:r>
    </w:p>
    <w:p w14:paraId="1C95CD20" w14:textId="3881D33B" w:rsidR="000266C6" w:rsidRPr="002935C8" w:rsidRDefault="000266C6" w:rsidP="000266C6">
      <w:pPr>
        <w:pStyle w:val="BodyText"/>
        <w:ind w:left="720" w:hanging="720"/>
      </w:pPr>
      <w:r>
        <w:lastRenderedPageBreak/>
        <w:t>(</w:t>
      </w:r>
      <w:r w:rsidR="00DE555F">
        <w:t>8</w:t>
      </w:r>
      <w:r>
        <w:t>)</w:t>
      </w:r>
      <w:r>
        <w:tab/>
        <w:t xml:space="preserve">For each Intermittent Renewable Resource (IRR) </w:t>
      </w:r>
      <w:r>
        <w:rPr>
          <w:iCs w:val="0"/>
        </w:rPr>
        <w:t>synchronized to the ERCOT System</w:t>
      </w:r>
      <w:r w:rsidDel="009E3B3E">
        <w:t xml:space="preserve"> </w:t>
      </w:r>
      <w:r>
        <w:t xml:space="preserve">and </w:t>
      </w:r>
      <w:r>
        <w:rPr>
          <w:iCs w:val="0"/>
        </w:rPr>
        <w:t xml:space="preserve">not capable of providing real power due to a lack of fuel, the </w:t>
      </w:r>
      <w:r>
        <w:t xml:space="preserve">Resource Entity and QSE shall </w:t>
      </w:r>
      <w:r>
        <w:rPr>
          <w:iCs w:val="0"/>
        </w:rPr>
        <w:t>send ERCOT, via telemetry, a Real-Time On-Line status and HSL and LSL of 0.</w:t>
      </w:r>
    </w:p>
    <w:p w14:paraId="3043A17D" w14:textId="77777777" w:rsidR="001F04FD" w:rsidRDefault="001F04FD" w:rsidP="001F04FD">
      <w:pPr>
        <w:pStyle w:val="H4"/>
        <w:spacing w:before="480"/>
        <w:ind w:left="1267" w:hanging="1267"/>
      </w:pPr>
      <w:bookmarkStart w:id="817" w:name="_Toc189044335"/>
      <w:bookmarkEnd w:id="801"/>
      <w:r>
        <w:t>6.5.5.2</w:t>
      </w:r>
      <w:r>
        <w:tab/>
        <w:t>Operational Data Requirements</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2D970D28" w14:textId="77777777" w:rsidR="001F04FD" w:rsidRDefault="001F04FD" w:rsidP="001F04FD">
      <w:pPr>
        <w:pStyle w:val="BodyTextNumbered"/>
      </w:pPr>
      <w:r>
        <w:t>(1)</w:t>
      </w:r>
      <w: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16E07BB8" w14:textId="77777777" w:rsidR="001F04FD" w:rsidRDefault="001F04FD" w:rsidP="001F04FD">
      <w:pPr>
        <w:pStyle w:val="BodyTextNumbered"/>
      </w:pPr>
      <w:r>
        <w:t>(2)</w:t>
      </w:r>
      <w: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CF7008F" w14:textId="77777777" w:rsidR="001F04FD" w:rsidRDefault="001F04FD" w:rsidP="001F04FD">
      <w:pPr>
        <w:pStyle w:val="List"/>
      </w:pPr>
      <w:r>
        <w:t>(a)</w:t>
      </w:r>
      <w: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ADD490F" w14:textId="77777777" w:rsidR="001F04FD" w:rsidRDefault="001F04FD" w:rsidP="001F04FD">
      <w:pPr>
        <w:pStyle w:val="List"/>
      </w:pPr>
      <w:r>
        <w:t>(b)</w:t>
      </w:r>
      <w: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4648BFDB" w14:textId="77777777" w:rsidR="001F04FD" w:rsidRDefault="001F04FD" w:rsidP="001F04FD">
      <w:pPr>
        <w:pStyle w:val="List"/>
      </w:pPr>
      <w:r>
        <w:t>(c)</w:t>
      </w:r>
      <w:r>
        <w:tab/>
        <w:t>Gross Reactive Power (in Megavolt-Amperes reactive (MVAr));</w:t>
      </w:r>
    </w:p>
    <w:p w14:paraId="6FF514B0" w14:textId="77777777" w:rsidR="001F04FD" w:rsidRDefault="001F04FD" w:rsidP="001F04FD">
      <w:pPr>
        <w:pStyle w:val="List"/>
      </w:pPr>
      <w:r>
        <w:t>(d)</w:t>
      </w:r>
      <w:r>
        <w:tab/>
        <w:t>Net Reactive Power (in MVAr);</w:t>
      </w:r>
    </w:p>
    <w:p w14:paraId="2827A5DD" w14:textId="77777777" w:rsidR="001F04FD" w:rsidRDefault="001F04FD" w:rsidP="001F04FD">
      <w:pPr>
        <w:pStyle w:val="List"/>
      </w:pPr>
      <w:r>
        <w:t>(e)</w:t>
      </w:r>
      <w:r>
        <w:tab/>
        <w:t>Power to standby transformers serving plant auxiliary Load;</w:t>
      </w:r>
    </w:p>
    <w:p w14:paraId="1412E7EE" w14:textId="77777777" w:rsidR="001F04FD" w:rsidRDefault="001F04FD" w:rsidP="001F04FD">
      <w:pPr>
        <w:pStyle w:val="List"/>
      </w:pPr>
      <w:r>
        <w:t>(f)</w:t>
      </w:r>
      <w:r>
        <w:tab/>
        <w:t>Status of switching devices in the plant switchyard not monitored by the TSP or DSP affecting flows on the ERCOT Transmission Grid;</w:t>
      </w:r>
    </w:p>
    <w:p w14:paraId="3458445E" w14:textId="77777777" w:rsidR="001F04FD" w:rsidRDefault="001F04FD" w:rsidP="001F04FD">
      <w:pPr>
        <w:pStyle w:val="List"/>
      </w:pPr>
      <w:r>
        <w:t>(g)</w:t>
      </w:r>
      <w:r>
        <w:tab/>
        <w:t>Any data mutually agreed to by ERCOT and the QSE to adequately manage system reliability;</w:t>
      </w:r>
    </w:p>
    <w:p w14:paraId="394398C0" w14:textId="77777777" w:rsidR="001F04FD" w:rsidRDefault="001F04FD" w:rsidP="001F04FD">
      <w:pPr>
        <w:pStyle w:val="List"/>
      </w:pPr>
      <w:r>
        <w:lastRenderedPageBreak/>
        <w:t>(h)</w:t>
      </w:r>
      <w:r>
        <w:tab/>
        <w:t>Generation Resource breaker and switch status;</w:t>
      </w:r>
    </w:p>
    <w:p w14:paraId="7147C5FA" w14:textId="77777777" w:rsidR="001F04FD" w:rsidRDefault="001F04FD" w:rsidP="001F04FD">
      <w:pPr>
        <w:pStyle w:val="List"/>
      </w:pPr>
      <w:r>
        <w:t>(i)</w:t>
      </w:r>
      <w:r>
        <w:tab/>
        <w:t xml:space="preserve">HSL (Combined Cycle Generation Resources) shall:  </w:t>
      </w:r>
    </w:p>
    <w:p w14:paraId="69830BEB" w14:textId="77777777" w:rsidR="001F04FD" w:rsidRDefault="001F04FD" w:rsidP="001F04FD">
      <w:pPr>
        <w:pStyle w:val="List"/>
        <w:ind w:left="2160"/>
      </w:pPr>
      <w:r>
        <w:t>(i)</w:t>
      </w:r>
      <w:r>
        <w:tab/>
        <w:t xml:space="preserve">Submit the HSL of the current operating configuration; and </w:t>
      </w:r>
    </w:p>
    <w:p w14:paraId="636D1933" w14:textId="478A9CDA" w:rsidR="001F04FD" w:rsidRDefault="001F04FD" w:rsidP="001F04FD">
      <w:pPr>
        <w:pStyle w:val="List"/>
        <w:ind w:left="2160"/>
      </w:pPr>
      <w:r>
        <w:t>(ii)</w:t>
      </w:r>
      <w:r>
        <w:tab/>
        <w:t xml:space="preserve">When providing </w:t>
      </w:r>
      <w:r w:rsidR="00A93ECE">
        <w:t>ECRS</w:t>
      </w:r>
      <w:r>
        <w:t xml:space="preserve">, update the HSL as needed, to be consistent with Resource performance limitations of </w:t>
      </w:r>
      <w:r w:rsidR="00A93ECE">
        <w:t>ECRS</w:t>
      </w:r>
      <w:r>
        <w:t xml:space="preserve"> provision;</w:t>
      </w:r>
    </w:p>
    <w:p w14:paraId="7B0C18EE" w14:textId="77777777" w:rsidR="001F04FD" w:rsidRDefault="001F04FD" w:rsidP="000B1D41">
      <w:pPr>
        <w:spacing w:after="240"/>
        <w:ind w:left="1440" w:hanging="720"/>
      </w:pPr>
      <w:r w:rsidRPr="00D3700F">
        <w:t>(j)</w:t>
      </w:r>
      <w:r>
        <w:tab/>
      </w:r>
      <w:r w:rsidRPr="00D3700F">
        <w:t>NFRC currently available (unloaded) and included in the HSL of the Combined Cycle Generation Resource’s current configuration;</w:t>
      </w:r>
      <w:r>
        <w:t xml:space="preserve"> </w:t>
      </w:r>
    </w:p>
    <w:p w14:paraId="1A2565AA" w14:textId="77777777" w:rsidR="001F04FD" w:rsidRDefault="001F04FD" w:rsidP="006164A6">
      <w:pPr>
        <w:pStyle w:val="List"/>
      </w:pPr>
      <w:r>
        <w:t>(k)</w:t>
      </w:r>
      <w:r>
        <w:tab/>
        <w:t>High Emergency Limit (HEL), under Section 6.5.9.2, Failure of the SCED Process;</w:t>
      </w:r>
    </w:p>
    <w:p w14:paraId="27B9E055" w14:textId="77777777" w:rsidR="001F04FD" w:rsidRDefault="001F04FD" w:rsidP="001F04FD">
      <w:pPr>
        <w:pStyle w:val="List"/>
      </w:pPr>
      <w:r>
        <w:t>(l)</w:t>
      </w:r>
      <w:r>
        <w:tab/>
        <w:t xml:space="preserve">Low Emergency Limit (LEL), under Section 6.5.9.2; </w:t>
      </w:r>
    </w:p>
    <w:p w14:paraId="20DFF1DA" w14:textId="77777777" w:rsidR="001F04FD" w:rsidRDefault="001F04FD" w:rsidP="001F04FD">
      <w:pPr>
        <w:pStyle w:val="List"/>
      </w:pPr>
      <w:r>
        <w:t>(m)</w:t>
      </w:r>
      <w:r>
        <w:tab/>
        <w:t>LSL;</w:t>
      </w:r>
    </w:p>
    <w:p w14:paraId="4A4DEAEC" w14:textId="77777777" w:rsidR="001F04FD" w:rsidRDefault="001F04FD" w:rsidP="001F04FD">
      <w:pPr>
        <w:pStyle w:val="List"/>
      </w:pPr>
      <w:r>
        <w:t>(n)</w:t>
      </w:r>
      <w:r>
        <w:tab/>
        <w:t>Configuration identification for Combined Cycle Generation Resources;</w:t>
      </w:r>
    </w:p>
    <w:p w14:paraId="2A3A3873" w14:textId="4F6A0B7F" w:rsidR="001F04FD" w:rsidRDefault="001F04FD" w:rsidP="001F04FD">
      <w:pPr>
        <w:pStyle w:val="List"/>
      </w:pPr>
      <w:r>
        <w:t>(o)</w:t>
      </w:r>
      <w:r>
        <w:tab/>
        <w:t xml:space="preserve">Ancillary Service Schedule for each quantity of </w:t>
      </w:r>
      <w:r w:rsidR="00A93ECE">
        <w:t>ECRS</w:t>
      </w:r>
      <w:r>
        <w:t xml:space="preserve"> and Non-Spin which is equal to the Ancillary Service Resource Responsibility minus the amount of Ancillary Service deployment;</w:t>
      </w:r>
    </w:p>
    <w:p w14:paraId="677AD62C" w14:textId="77777777" w:rsidR="001F04FD" w:rsidRDefault="001F04FD" w:rsidP="000B1D41">
      <w:pPr>
        <w:pStyle w:val="List"/>
        <w:ind w:left="2160"/>
      </w:pPr>
      <w:r>
        <w:t>(i)</w:t>
      </w:r>
      <w:r>
        <w:tab/>
        <w:t xml:space="preserve">For </w:t>
      </w:r>
      <w:r w:rsidRPr="00B6199F">
        <w:t>On-line Non-Spin</w:t>
      </w:r>
      <w:r>
        <w:t xml:space="preserve">, Ancillary Service Schedule shall be set to zero;  </w:t>
      </w:r>
    </w:p>
    <w:p w14:paraId="6E774A7F" w14:textId="77777777" w:rsidR="001F04FD" w:rsidRDefault="001F04FD" w:rsidP="001F04FD">
      <w:pPr>
        <w:pStyle w:val="List"/>
        <w:ind w:left="2160"/>
      </w:pPr>
      <w:r>
        <w:t>(ii)</w:t>
      </w:r>
      <w:r>
        <w:tab/>
        <w:t xml:space="preserve">For </w:t>
      </w:r>
      <w:r w:rsidRPr="00B6199F">
        <w:t xml:space="preserve">Off-Line </w:t>
      </w:r>
      <w:r>
        <w:t xml:space="preserve">Non-Spin and for </w:t>
      </w:r>
      <w:r w:rsidRPr="00B6199F">
        <w:t>On-Line Non-Spin using Off-Line power augmentation</w:t>
      </w:r>
      <w:r>
        <w:t xml:space="preserve"> technology the Ancillary Service Schedule shall equal the Non-Spin obligation and then </w:t>
      </w:r>
      <w:r w:rsidRPr="00900B8A">
        <w:rPr>
          <w:color w:val="000000"/>
        </w:rPr>
        <w:t>shall</w:t>
      </w:r>
      <w:r w:rsidRPr="00900B8A">
        <w:rPr>
          <w:color w:val="595959"/>
        </w:rPr>
        <w:t xml:space="preserve"> </w:t>
      </w:r>
      <w:r>
        <w:t>be set to zero within 20 minutes following Non-Spin deployment;</w:t>
      </w:r>
    </w:p>
    <w:p w14:paraId="7171D548" w14:textId="3275112E" w:rsidR="001F04FD" w:rsidRDefault="001F04FD" w:rsidP="001F04FD">
      <w:pPr>
        <w:pStyle w:val="List"/>
      </w:pPr>
      <w:r>
        <w:t>(p)</w:t>
      </w:r>
      <w:r>
        <w:tab/>
        <w:t>Ancillary Service Resource Responsibility for each quantity of Regulation Up</w:t>
      </w:r>
      <w:r w:rsidR="00637160">
        <w:t xml:space="preserve"> Service</w:t>
      </w:r>
      <w:r>
        <w:t xml:space="preserve"> (Reg-Up), Regulation Down</w:t>
      </w:r>
      <w:r w:rsidR="00637160">
        <w:t xml:space="preserve"> Service</w:t>
      </w:r>
      <w:r>
        <w:t xml:space="preserve"> (Reg-Down), RRS</w:t>
      </w:r>
      <w:r w:rsidR="00A93ECE">
        <w:t>, ECRS,</w:t>
      </w:r>
      <w:r>
        <w:t xml:space="preserve"> and Non-Spin.  The sum of Ancillary Service Resource Responsibility for all Resources in a QSE is equal to the Ancillary Service Supply Responsibility for that QSE;</w:t>
      </w:r>
    </w:p>
    <w:p w14:paraId="60504455" w14:textId="5B9607C4" w:rsidR="001F04FD" w:rsidRDefault="001F04FD" w:rsidP="000B1D41">
      <w:pPr>
        <w:spacing w:after="240"/>
        <w:ind w:left="1440" w:hanging="720"/>
      </w:pPr>
      <w:r>
        <w:t>(q)</w:t>
      </w:r>
      <w: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w:t>
      </w:r>
    </w:p>
    <w:p w14:paraId="1D5DB6FC" w14:textId="1D63303A" w:rsidR="006F5A43" w:rsidRDefault="001F04FD" w:rsidP="009942F9">
      <w:pPr>
        <w:spacing w:after="240"/>
        <w:ind w:left="1440" w:hanging="720"/>
      </w:pPr>
      <w:r w:rsidRPr="00957698">
        <w:t>(</w:t>
      </w:r>
      <w:r>
        <w:t>r</w:t>
      </w:r>
      <w:r w:rsidRPr="00957698">
        <w:t>)</w:t>
      </w:r>
      <w:r w:rsidRPr="00957698">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rsidR="00C23DEE">
        <w:t>; and</w:t>
      </w:r>
    </w:p>
    <w:p w14:paraId="43CFF817" w14:textId="5A9AC69A" w:rsidR="00C23DEE" w:rsidRDefault="00C23DEE" w:rsidP="009942F9">
      <w:pPr>
        <w:spacing w:after="240"/>
        <w:ind w:left="1440" w:hanging="720"/>
      </w:pPr>
      <w:r w:rsidRPr="00F06E8E">
        <w:lastRenderedPageBreak/>
        <w:t>(s)</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684A" w14:paraId="27FC1BEF" w14:textId="77777777" w:rsidTr="0052684A">
        <w:trPr>
          <w:trHeight w:val="566"/>
        </w:trPr>
        <w:tc>
          <w:tcPr>
            <w:tcW w:w="9576" w:type="dxa"/>
            <w:shd w:val="pct12" w:color="auto" w:fill="auto"/>
          </w:tcPr>
          <w:p w14:paraId="3F0CA2E4" w14:textId="7BC4B5A9" w:rsidR="0052684A" w:rsidRDefault="0053481C" w:rsidP="00D94BFC">
            <w:pPr>
              <w:pStyle w:val="Instructions"/>
              <w:spacing w:before="120"/>
            </w:pPr>
            <w:r>
              <w:t>[</w:t>
            </w:r>
            <w:r w:rsidR="0052684A">
              <w:t>NPRR1010</w:t>
            </w:r>
            <w:r>
              <w:t>, NPRR1014</w:t>
            </w:r>
            <w:r w:rsidR="000C75ED">
              <w:t>, and NPRR1029</w:t>
            </w:r>
            <w:r w:rsidR="0052684A">
              <w:t xml:space="preserve">:  Replace applicable portions of paragraph (2) above with the following upon system implementation for </w:t>
            </w:r>
            <w:r>
              <w:t>NPRR1014</w:t>
            </w:r>
            <w:r w:rsidR="000C75ED">
              <w:t xml:space="preserve"> or NPRR1029</w:t>
            </w:r>
            <w:r w:rsidR="0052684A">
              <w:t>; or upon system implementation of the Real-Time Co-Optimization (RTC) project for NPRR1010:]</w:t>
            </w:r>
          </w:p>
          <w:p w14:paraId="4397C9DF" w14:textId="77777777" w:rsidR="0052684A" w:rsidRPr="003161DC" w:rsidRDefault="0052684A" w:rsidP="0052684A">
            <w:pPr>
              <w:spacing w:after="240"/>
              <w:ind w:left="720" w:hanging="720"/>
            </w:pPr>
            <w:r w:rsidRPr="003161DC">
              <w:t>(2)</w:t>
            </w:r>
            <w:r w:rsidRPr="003161DC">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1285AC9" w14:textId="1462E218" w:rsidR="0052684A" w:rsidRPr="003161DC" w:rsidRDefault="0052684A" w:rsidP="0052684A">
            <w:pPr>
              <w:spacing w:after="240"/>
              <w:ind w:left="1440" w:hanging="720"/>
            </w:pPr>
            <w:r w:rsidRPr="003161DC">
              <w:t>(a)</w:t>
            </w:r>
            <w:r w:rsidRPr="003161DC">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High Dispatch Limit (HDL), </w:t>
            </w:r>
            <w:r>
              <w:t xml:space="preserve">and </w:t>
            </w:r>
            <w:r w:rsidRPr="003161DC">
              <w:t>Low Dispatch Limit (LDL)</w:t>
            </w:r>
            <w:r>
              <w:t>,</w:t>
            </w:r>
            <w:r w:rsidRPr="003161DC">
              <w:t xml:space="preserve"> and is consistent with telemetered HSL, LSL</w:t>
            </w:r>
            <w:r w:rsidR="000C75ED">
              <w:t>,</w:t>
            </w:r>
            <w:r w:rsidRPr="003161DC">
              <w:t xml:space="preserve"> and Frequency Responsive Capacity (FRC);</w:t>
            </w:r>
          </w:p>
          <w:p w14:paraId="742FA4A3" w14:textId="77777777" w:rsidR="0052684A" w:rsidRPr="003161DC" w:rsidRDefault="0052684A" w:rsidP="0052684A">
            <w:pPr>
              <w:spacing w:after="240"/>
              <w:ind w:left="1440" w:hanging="720"/>
            </w:pPr>
            <w:r w:rsidRPr="003161DC">
              <w:t>(b)</w:t>
            </w:r>
            <w:r w:rsidRPr="003161DC">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62CBF653" w14:textId="77777777" w:rsidR="0052684A" w:rsidRPr="003161DC" w:rsidRDefault="0052684A" w:rsidP="0052684A">
            <w:pPr>
              <w:spacing w:after="240"/>
              <w:ind w:left="1440" w:hanging="720"/>
            </w:pPr>
            <w:r w:rsidRPr="003161DC">
              <w:t>(c)</w:t>
            </w:r>
            <w:r w:rsidRPr="003161DC">
              <w:tab/>
              <w:t>Gross Reactive Power (in Megavolt-Amperes reactive (MVAr));</w:t>
            </w:r>
          </w:p>
          <w:p w14:paraId="45B5CAC2" w14:textId="77777777" w:rsidR="0052684A" w:rsidRPr="003161DC" w:rsidRDefault="0052684A" w:rsidP="0052684A">
            <w:pPr>
              <w:spacing w:after="240"/>
              <w:ind w:left="1440" w:hanging="720"/>
            </w:pPr>
            <w:r w:rsidRPr="003161DC">
              <w:t>(d)</w:t>
            </w:r>
            <w:r w:rsidRPr="003161DC">
              <w:tab/>
              <w:t>Net Reactive Power (in MVAr);</w:t>
            </w:r>
          </w:p>
          <w:p w14:paraId="6A3050F0" w14:textId="77777777" w:rsidR="0052684A" w:rsidRPr="003161DC" w:rsidRDefault="0052684A" w:rsidP="0052684A">
            <w:pPr>
              <w:spacing w:after="240"/>
              <w:ind w:left="1440" w:hanging="720"/>
            </w:pPr>
            <w:r w:rsidRPr="003161DC">
              <w:t>(e)</w:t>
            </w:r>
            <w:r w:rsidRPr="003161DC">
              <w:tab/>
              <w:t>Power to standby transformers serving plant auxiliary Load;</w:t>
            </w:r>
          </w:p>
          <w:p w14:paraId="5A9DE692" w14:textId="77777777" w:rsidR="0052684A" w:rsidRPr="003161DC" w:rsidRDefault="0052684A" w:rsidP="0052684A">
            <w:pPr>
              <w:spacing w:after="240"/>
              <w:ind w:left="1440" w:hanging="720"/>
            </w:pPr>
            <w:r w:rsidRPr="003161DC">
              <w:t>(f)</w:t>
            </w:r>
            <w:r w:rsidRPr="003161DC">
              <w:tab/>
              <w:t>Status of switching devices in the plant switchyard not monitored by the TSP or DSP affecting flows on the ERCOT Transmission Grid;</w:t>
            </w:r>
          </w:p>
          <w:p w14:paraId="76A351A4" w14:textId="77777777" w:rsidR="0052684A" w:rsidRPr="003161DC" w:rsidRDefault="0052684A" w:rsidP="0052684A">
            <w:pPr>
              <w:spacing w:after="240"/>
              <w:ind w:left="1440" w:hanging="720"/>
            </w:pPr>
            <w:r w:rsidRPr="003161DC">
              <w:t>(g)</w:t>
            </w:r>
            <w:r w:rsidRPr="003161DC">
              <w:tab/>
              <w:t>Any data mutually agreed to by ERCOT and the QSE to adequately manage system reliability;</w:t>
            </w:r>
          </w:p>
          <w:p w14:paraId="72800247" w14:textId="77777777" w:rsidR="0052684A" w:rsidRPr="003161DC" w:rsidRDefault="0052684A" w:rsidP="0052684A">
            <w:pPr>
              <w:spacing w:after="240"/>
              <w:ind w:left="1440" w:hanging="720"/>
            </w:pPr>
            <w:r w:rsidRPr="003161DC">
              <w:t>(h)</w:t>
            </w:r>
            <w:r w:rsidRPr="003161DC">
              <w:tab/>
              <w:t>Generation Resource breaker and switch status;</w:t>
            </w:r>
          </w:p>
          <w:p w14:paraId="33E447D1" w14:textId="77777777" w:rsidR="0052684A" w:rsidRPr="003161DC" w:rsidRDefault="0052684A" w:rsidP="0052684A">
            <w:pPr>
              <w:spacing w:after="240"/>
              <w:ind w:left="1440" w:hanging="720"/>
            </w:pPr>
            <w:r w:rsidRPr="003161DC">
              <w:t>(i)</w:t>
            </w:r>
            <w:r w:rsidRPr="003161DC">
              <w:tab/>
              <w:t xml:space="preserve">HSL (Combined Cycle Generation Resources) shall:  </w:t>
            </w:r>
          </w:p>
          <w:p w14:paraId="57A3F7AA" w14:textId="77777777" w:rsidR="0052684A" w:rsidRPr="003161DC" w:rsidRDefault="0052684A" w:rsidP="0052684A">
            <w:pPr>
              <w:spacing w:after="240"/>
              <w:ind w:left="2160" w:hanging="720"/>
            </w:pPr>
            <w:r w:rsidRPr="003161DC">
              <w:lastRenderedPageBreak/>
              <w:t>(i)</w:t>
            </w:r>
            <w:r w:rsidRPr="003161DC">
              <w:tab/>
              <w:t xml:space="preserve">Submit the HSL of the current operating configuration; and </w:t>
            </w:r>
          </w:p>
          <w:p w14:paraId="48610D53" w14:textId="7F5C149B" w:rsidR="0052684A" w:rsidRPr="003161DC" w:rsidRDefault="0052684A" w:rsidP="0052684A">
            <w:pPr>
              <w:spacing w:after="240"/>
              <w:ind w:left="2160" w:hanging="720"/>
            </w:pPr>
            <w:r w:rsidRPr="003161DC">
              <w:t>(ii)</w:t>
            </w:r>
            <w:r w:rsidRPr="003161DC">
              <w:tab/>
              <w:t>When providing ECRS, update the HSL as needed, to be consistent with Resource performance limitations of ECRS provision;</w:t>
            </w:r>
          </w:p>
          <w:p w14:paraId="4B627B56" w14:textId="1B430AAC" w:rsidR="0052684A" w:rsidRPr="003161DC" w:rsidRDefault="0052684A" w:rsidP="0052684A">
            <w:pPr>
              <w:spacing w:after="240"/>
              <w:ind w:left="1440" w:hanging="720"/>
            </w:pPr>
            <w:r w:rsidRPr="003161DC">
              <w:t>(j)</w:t>
            </w:r>
            <w:r w:rsidRPr="003161DC">
              <w:tab/>
            </w:r>
            <w:r>
              <w:t>For Resources with capacity that is not capable of providing Primary Frequency Response (PFR), the current FRC of the Resource</w:t>
            </w:r>
            <w:r w:rsidRPr="003161DC">
              <w:t xml:space="preserve">; </w:t>
            </w:r>
          </w:p>
          <w:p w14:paraId="1C22633E" w14:textId="77777777" w:rsidR="0052684A" w:rsidRPr="003161DC" w:rsidRDefault="0052684A" w:rsidP="0052684A">
            <w:pPr>
              <w:spacing w:after="240"/>
              <w:ind w:left="1440" w:hanging="720"/>
            </w:pPr>
            <w:r w:rsidRPr="003161DC">
              <w:t>(k)</w:t>
            </w:r>
            <w:r w:rsidRPr="003161DC">
              <w:tab/>
              <w:t>High Emergency Limit (HEL), under Section 6.5.9.2, Failure of the SCED Process;</w:t>
            </w:r>
          </w:p>
          <w:p w14:paraId="6E46028F" w14:textId="77777777" w:rsidR="0052684A" w:rsidRPr="003161DC" w:rsidRDefault="0052684A" w:rsidP="0052684A">
            <w:pPr>
              <w:spacing w:after="240"/>
              <w:ind w:left="1440" w:hanging="720"/>
            </w:pPr>
            <w:r w:rsidRPr="003161DC">
              <w:t>(l)</w:t>
            </w:r>
            <w:r w:rsidRPr="003161DC">
              <w:tab/>
              <w:t xml:space="preserve">Low Emergency Limit (LEL), under Section 6.5.9.2; </w:t>
            </w:r>
          </w:p>
          <w:p w14:paraId="0EDD1B44" w14:textId="77777777" w:rsidR="0052684A" w:rsidRPr="003161DC" w:rsidRDefault="0052684A" w:rsidP="0052684A">
            <w:pPr>
              <w:spacing w:after="240"/>
              <w:ind w:left="1440" w:hanging="720"/>
            </w:pPr>
            <w:r w:rsidRPr="003161DC">
              <w:t>(m)</w:t>
            </w:r>
            <w:r w:rsidRPr="003161DC">
              <w:tab/>
              <w:t>LSL;</w:t>
            </w:r>
          </w:p>
          <w:p w14:paraId="536BC828" w14:textId="77777777" w:rsidR="0052684A" w:rsidRDefault="0052684A" w:rsidP="0052684A">
            <w:pPr>
              <w:spacing w:after="240"/>
              <w:ind w:left="1440" w:hanging="720"/>
            </w:pPr>
            <w:r w:rsidRPr="003161DC">
              <w:t>(n)</w:t>
            </w:r>
            <w:r w:rsidRPr="003161DC">
              <w:tab/>
              <w:t>Configuration identification for Combined Cycle Generation Resources;</w:t>
            </w:r>
          </w:p>
          <w:p w14:paraId="68EA992B" w14:textId="77777777" w:rsidR="0052684A" w:rsidRDefault="0052684A" w:rsidP="0052684A">
            <w:pPr>
              <w:spacing w:after="240"/>
              <w:ind w:left="1440" w:hanging="720"/>
            </w:pPr>
            <w:r>
              <w:t>(o)</w:t>
            </w:r>
            <w:r>
              <w:tab/>
              <w:t>For Resources with capacity that is not capable of providing PFR, the high and low limits in MW of the Resource’s capacity that is frequency responsive;</w:t>
            </w:r>
          </w:p>
          <w:p w14:paraId="0B030361" w14:textId="77777777" w:rsidR="0052684A" w:rsidRDefault="0052684A" w:rsidP="0052684A">
            <w:pPr>
              <w:spacing w:after="240"/>
              <w:ind w:left="1440" w:hanging="720"/>
            </w:pPr>
            <w:r>
              <w:t>(p)</w:t>
            </w:r>
            <w:r>
              <w:tab/>
              <w:t>For RRS, including any sub-categories of RRS, the physical capability (in MW) of the Resource to provide RRS;</w:t>
            </w:r>
          </w:p>
          <w:p w14:paraId="0DA56447" w14:textId="77777777" w:rsidR="0052684A" w:rsidRDefault="0052684A" w:rsidP="0052684A">
            <w:pPr>
              <w:spacing w:after="240"/>
              <w:ind w:left="1440" w:hanging="720"/>
            </w:pPr>
            <w:r>
              <w:t>(q)</w:t>
            </w:r>
            <w:r>
              <w:tab/>
              <w:t>For Ancillary Services other than RRS, a blended Normal Ramp Rate (in MW/min) that reflects the physical capability of the Resource to provide that specific type of Ancillary Service;</w:t>
            </w:r>
          </w:p>
          <w:p w14:paraId="1D04A893" w14:textId="77777777" w:rsidR="0052684A" w:rsidRDefault="0052684A" w:rsidP="0052684A">
            <w:pPr>
              <w:spacing w:after="240"/>
              <w:ind w:left="1440" w:hanging="720"/>
            </w:pPr>
            <w:r>
              <w:t>(r)</w:t>
            </w:r>
            <w:r>
              <w:tab/>
              <w:t>Five-minute blended Normal Ramp Rates (up and down);</w:t>
            </w:r>
          </w:p>
          <w:p w14:paraId="308512FD" w14:textId="77777777" w:rsidR="0052684A" w:rsidRPr="003161DC" w:rsidRDefault="0052684A" w:rsidP="0052684A">
            <w:pPr>
              <w:spacing w:after="240"/>
              <w:ind w:left="1440" w:hanging="720"/>
            </w:pPr>
            <w:r w:rsidRPr="003161DC">
              <w:t>(</w:t>
            </w:r>
            <w:r>
              <w:t>s</w:t>
            </w:r>
            <w:r w:rsidRPr="003161DC">
              <w:t>)</w:t>
            </w:r>
            <w:r w:rsidRPr="003161DC">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t>; and</w:t>
            </w:r>
          </w:p>
          <w:p w14:paraId="62D1DC45" w14:textId="468E9BBF" w:rsidR="0052684A" w:rsidRPr="00B37C4B" w:rsidRDefault="0052684A" w:rsidP="0052684A">
            <w:pPr>
              <w:spacing w:after="240"/>
              <w:ind w:left="1440" w:hanging="720"/>
            </w:pPr>
            <w:r>
              <w:t>(t)</w:t>
            </w:r>
            <w:r>
              <w:tab/>
              <w:t>T</w:t>
            </w:r>
            <w:r w:rsidRPr="00006D35">
              <w:t xml:space="preserve">he telemetered MW of power augmentation capacity that is not </w:t>
            </w:r>
            <w:r>
              <w:t>On-Line</w:t>
            </w:r>
            <w:r w:rsidRPr="00006D35">
              <w:t xml:space="preserve"> </w:t>
            </w:r>
            <w:r>
              <w:t>f</w:t>
            </w:r>
            <w:r w:rsidRPr="00006D35">
              <w:t>or Resources that have power augmentation capacity included in HSL.</w:t>
            </w:r>
          </w:p>
        </w:tc>
      </w:tr>
    </w:tbl>
    <w:p w14:paraId="60EC1AB3" w14:textId="5BA32673" w:rsidR="001F04FD" w:rsidRDefault="001F04FD" w:rsidP="000B1D41">
      <w:pPr>
        <w:pStyle w:val="List"/>
        <w:spacing w:before="240"/>
        <w:ind w:left="720"/>
      </w:pPr>
      <w:r>
        <w:lastRenderedPageBreak/>
        <w:t>(3)</w:t>
      </w:r>
      <w:r>
        <w:tab/>
      </w:r>
      <w:r w:rsidRPr="006B5F38">
        <w:t xml:space="preserve">For each </w:t>
      </w:r>
      <w:r w:rsidRPr="003D5836">
        <w:rPr>
          <w:iCs/>
        </w:rPr>
        <w:t>Intermittent Renewable Resource (IRR</w:t>
      </w:r>
      <w:r>
        <w:rPr>
          <w:iCs/>
        </w:rPr>
        <w:t>)</w:t>
      </w:r>
      <w:r w:rsidRPr="006B5F38">
        <w:t xml:space="preserve">, the QSE shall set the HSL equal to the current net output capability of the facility.  </w:t>
      </w:r>
      <w:r>
        <w:t>The net output capability should consider</w:t>
      </w:r>
      <w:r w:rsidRPr="00E56259">
        <w:t xml:space="preserve"> </w:t>
      </w:r>
      <w:r>
        <w:t>the net real power of the IRR generation equipment, IRR generation equipment availability, weather conditions, and whether the IRR net output is being affected by compliance with a SCED Dispatch Instruction.</w:t>
      </w:r>
    </w:p>
    <w:p w14:paraId="5CC930ED" w14:textId="77777777" w:rsidR="001F04FD" w:rsidRDefault="001F04FD" w:rsidP="001F04FD">
      <w:pPr>
        <w:pStyle w:val="List"/>
        <w:ind w:left="720"/>
      </w:pPr>
      <w:r w:rsidRPr="009E5389">
        <w:rPr>
          <w:iCs/>
        </w:rPr>
        <w:t>(4)</w:t>
      </w:r>
      <w:r w:rsidRPr="009E5389">
        <w:rPr>
          <w:iCs/>
        </w:rPr>
        <w:tab/>
        <w:t>For each Aggregate Generation Resource (AGR), the QSE shall telemeter the number of its generators online.</w:t>
      </w:r>
    </w:p>
    <w:p w14:paraId="2D66D428" w14:textId="77777777" w:rsidR="001F04FD" w:rsidRDefault="001F04FD" w:rsidP="001F04FD">
      <w:pPr>
        <w:pStyle w:val="BodyTextNumbered"/>
      </w:pPr>
      <w:r>
        <w:lastRenderedPageBreak/>
        <w:t>(5)</w:t>
      </w:r>
      <w: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rPr>
        <w:t xml:space="preserve"> </w:t>
      </w:r>
    </w:p>
    <w:p w14:paraId="5CE5D720" w14:textId="77777777" w:rsidR="001F04FD" w:rsidRDefault="001F04FD" w:rsidP="001F04FD">
      <w:pPr>
        <w:pStyle w:val="List"/>
      </w:pPr>
      <w:r>
        <w:t>(a)</w:t>
      </w:r>
      <w:r>
        <w:tab/>
        <w:t>Load Resource net real power consumption (in MW);</w:t>
      </w:r>
    </w:p>
    <w:p w14:paraId="787AC33C" w14:textId="77777777" w:rsidR="001F04FD" w:rsidRDefault="001F04FD" w:rsidP="001F04FD">
      <w:pPr>
        <w:pStyle w:val="List"/>
      </w:pPr>
      <w:r>
        <w:t>(b)</w:t>
      </w:r>
      <w:r>
        <w:tab/>
        <w:t>Any data mutually agreed to by ERCOT and the QSE to adequately manage system reliability;</w:t>
      </w:r>
    </w:p>
    <w:p w14:paraId="18A0C21F" w14:textId="703B2A7B" w:rsidR="001F04FD" w:rsidRDefault="001F04FD" w:rsidP="001F04FD">
      <w:pPr>
        <w:pStyle w:val="List"/>
      </w:pPr>
      <w:r>
        <w:t>(c)</w:t>
      </w:r>
      <w:r>
        <w:tab/>
        <w:t>Load Resource breaker status</w:t>
      </w:r>
      <w:r w:rsidR="00A22AE4">
        <w:t>, if applicable</w:t>
      </w:r>
      <w:r>
        <w:t>;</w:t>
      </w:r>
    </w:p>
    <w:p w14:paraId="6A43D356" w14:textId="77777777" w:rsidR="001F04FD" w:rsidRPr="003E076A" w:rsidRDefault="001F04FD" w:rsidP="001F04FD">
      <w:pPr>
        <w:pStyle w:val="List"/>
        <w:rPr>
          <w:lang w:val="it-IT"/>
        </w:rPr>
      </w:pPr>
      <w:r w:rsidRPr="00EA2736">
        <w:rPr>
          <w:lang w:val="it-IT"/>
        </w:rPr>
        <w:t>(d)</w:t>
      </w:r>
      <w:r w:rsidRPr="00EA2736">
        <w:rPr>
          <w:lang w:val="it-IT"/>
        </w:rPr>
        <w:tab/>
        <w:t>LPC (in MW);</w:t>
      </w:r>
    </w:p>
    <w:p w14:paraId="470F6D4C" w14:textId="77777777" w:rsidR="001F04FD" w:rsidRPr="003E076A" w:rsidRDefault="001F04FD" w:rsidP="001F04FD">
      <w:pPr>
        <w:pStyle w:val="List"/>
        <w:rPr>
          <w:lang w:val="it-IT"/>
        </w:rPr>
      </w:pPr>
      <w:r w:rsidRPr="00EA2736">
        <w:rPr>
          <w:lang w:val="it-IT"/>
        </w:rPr>
        <w:t>(e)</w:t>
      </w:r>
      <w:r w:rsidRPr="00EA2736">
        <w:rPr>
          <w:lang w:val="it-IT"/>
        </w:rPr>
        <w:tab/>
        <w:t>MPC (in MW);</w:t>
      </w:r>
    </w:p>
    <w:p w14:paraId="35E0DB65" w14:textId="0B8075EA" w:rsidR="001F04FD" w:rsidRDefault="001F04FD" w:rsidP="001F04FD">
      <w:pPr>
        <w:pStyle w:val="List"/>
      </w:pPr>
      <w:r>
        <w:t>(f)</w:t>
      </w:r>
      <w:r>
        <w:tab/>
        <w:t>Ancillary Service Schedule (in MW) for each quantity of RRS</w:t>
      </w:r>
      <w:r w:rsidR="00A93ECE">
        <w:t>, ECRS,</w:t>
      </w:r>
      <w:r>
        <w:t xml:space="preserve"> and Non-Spin, </w:t>
      </w:r>
      <w:r w:rsidRPr="006A6281">
        <w:t>which is equal to the Ancillary Service Resource Responsibility minus the amount of Ancillary Service deployment</w:t>
      </w:r>
      <w:r>
        <w:t xml:space="preserve">; </w:t>
      </w:r>
    </w:p>
    <w:p w14:paraId="18832DF1" w14:textId="3B36E9DB" w:rsidR="001F04FD" w:rsidRDefault="001F04FD" w:rsidP="000B1D41">
      <w:pPr>
        <w:pStyle w:val="List"/>
      </w:pPr>
      <w:r>
        <w:t>(g)</w:t>
      </w:r>
      <w:r>
        <w:tab/>
        <w:t>Ancillary Service Resource Responsibility (in MW) for each quantity of Reg-Up and Reg-Down for Controllable Load Resources</w:t>
      </w:r>
      <w:r w:rsidR="0011303E">
        <w:t xml:space="preserve"> (CLRs)</w:t>
      </w:r>
      <w:r>
        <w:t>, and RRS</w:t>
      </w:r>
      <w:r w:rsidR="00A93ECE">
        <w:t>, ECRS,</w:t>
      </w:r>
      <w:r>
        <w:t xml:space="preserve"> and Non-Spin for all Load Resources;</w:t>
      </w:r>
    </w:p>
    <w:p w14:paraId="4853C947" w14:textId="2610E5D8" w:rsidR="001F04FD" w:rsidRDefault="001F04FD" w:rsidP="000B1D41">
      <w:pPr>
        <w:pStyle w:val="List"/>
      </w:pPr>
      <w:r>
        <w:t>(h)</w:t>
      </w:r>
      <w:r>
        <w:tab/>
        <w:t>The status of the high-set under-frequency relay, if required for qualification</w:t>
      </w:r>
      <w:r w:rsidR="00A22AE4">
        <w:t>.</w:t>
      </w:r>
      <w:r w:rsidR="00A22AE4" w:rsidRPr="0065726C">
        <w:t xml:space="preserve"> </w:t>
      </w:r>
      <w:r w:rsidR="00A22AE4">
        <w:t xml:space="preserve"> The </w:t>
      </w:r>
      <w:r w:rsidR="00A22AE4" w:rsidRPr="0065726C">
        <w:t>under-frequency relay</w:t>
      </w:r>
      <w:r w:rsidR="00A22AE4">
        <w:t xml:space="preserve"> for a Load Resource providing Non-Spin shall be disabled and the status of that relay shall indicate it as disabled or unarmed</w:t>
      </w:r>
      <w:r>
        <w:t xml:space="preserve">; </w:t>
      </w:r>
    </w:p>
    <w:p w14:paraId="515D7418" w14:textId="0861518A" w:rsidR="001F04FD" w:rsidRDefault="001F04FD" w:rsidP="001F04FD">
      <w:pPr>
        <w:pStyle w:val="List"/>
      </w:pPr>
      <w:r>
        <w:t>(i)</w:t>
      </w:r>
      <w:r>
        <w:tab/>
        <w:t xml:space="preserve">For a </w:t>
      </w:r>
      <w:r w:rsidR="0011303E">
        <w:t>CLR</w:t>
      </w:r>
      <w:r>
        <w:t xml:space="preserve"> providing Non-Spin, the Scheduled Power Consumption that represents zero Ancillary Service deployments; </w:t>
      </w:r>
    </w:p>
    <w:p w14:paraId="093BAB9E" w14:textId="79F1194C" w:rsidR="001F04FD" w:rsidRDefault="001F04FD" w:rsidP="001F04FD">
      <w:pPr>
        <w:pStyle w:val="List"/>
      </w:pPr>
      <w:r>
        <w:t>(j)</w:t>
      </w:r>
      <w:r>
        <w:tab/>
        <w:t xml:space="preserve">For a single-site </w:t>
      </w:r>
      <w:r w:rsidR="0011303E">
        <w:t>CLR</w:t>
      </w:r>
      <w:r>
        <w:t xml:space="preserve"> with registered maximum Demand response capacity of ten MW or greater, net Reactive Power (in MVAr);</w:t>
      </w:r>
    </w:p>
    <w:p w14:paraId="51337948" w14:textId="77777777" w:rsidR="001F04FD" w:rsidRDefault="001F04FD" w:rsidP="001F04FD">
      <w:pPr>
        <w:pStyle w:val="List"/>
      </w:pPr>
      <w:r>
        <w:t>(k)</w:t>
      </w:r>
      <w:r>
        <w:tab/>
        <w:t xml:space="preserve">Resource Status (Resource Status shall be ONRL if high-set under-frequency relay is active); </w:t>
      </w:r>
    </w:p>
    <w:p w14:paraId="3EC0916E" w14:textId="69304EF6" w:rsidR="001F04FD" w:rsidRDefault="001F04FD" w:rsidP="001F04FD">
      <w:pPr>
        <w:spacing w:after="240"/>
        <w:ind w:left="1440" w:hanging="720"/>
      </w:pPr>
      <w:r>
        <w:t>(l)</w:t>
      </w:r>
      <w: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w:t>
      </w:r>
    </w:p>
    <w:p w14:paraId="733237E4" w14:textId="1D0CC5A2" w:rsidR="006F5A43" w:rsidRDefault="001F04FD" w:rsidP="001F04FD">
      <w:pPr>
        <w:pStyle w:val="List"/>
      </w:pPr>
      <w:r w:rsidRPr="006A6281">
        <w:lastRenderedPageBreak/>
        <w:t>(m)</w:t>
      </w:r>
      <w:r w:rsidRPr="006A6281">
        <w:tab/>
        <w:t>For a</w:t>
      </w:r>
      <w:r w:rsidR="00A46896">
        <w:t>n</w:t>
      </w:r>
      <w:r w:rsidRPr="006A6281">
        <w:t xml:space="preserve"> </w:t>
      </w:r>
      <w:r w:rsidR="00A46896">
        <w:t>Aggregate</w:t>
      </w:r>
      <w:r w:rsidRPr="006A6281">
        <w:t xml:space="preserve"> Load Resource</w:t>
      </w:r>
      <w:r w:rsidR="00D17A9A">
        <w:t xml:space="preserve"> (ALR)</w:t>
      </w:r>
      <w:r w:rsidRPr="006A6281">
        <w:t xml:space="preserve"> providing Non-Spin,</w:t>
      </w:r>
      <w:r>
        <w:t xml:space="preserve"> the</w:t>
      </w:r>
      <w:r w:rsidRPr="006A6281">
        <w:t xml:space="preserve"> “Scheduled Power Consumption Plus Two Hours,” representing the QSE’s forecast of the </w:t>
      </w:r>
      <w:r w:rsidR="0011303E">
        <w:t>CLR</w:t>
      </w:r>
      <w:r w:rsidRPr="006A6281">
        <w:t>’s instantaneous power consumption for a point two hours in the future</w:t>
      </w:r>
      <w:r w:rsidR="00C23DEE">
        <w:t>; and</w:t>
      </w:r>
      <w:r>
        <w:t xml:space="preserve"> </w:t>
      </w:r>
    </w:p>
    <w:p w14:paraId="6EECBD9D" w14:textId="0B72923B" w:rsidR="00C23DEE" w:rsidRDefault="00C23DEE" w:rsidP="001F04FD">
      <w:pPr>
        <w:pStyle w:val="List"/>
      </w:pPr>
      <w:r w:rsidRPr="00F06E8E">
        <w:t>(n)</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24633124" w14:textId="77777777" w:rsidTr="009942F9">
        <w:trPr>
          <w:trHeight w:val="566"/>
        </w:trPr>
        <w:tc>
          <w:tcPr>
            <w:tcW w:w="9350" w:type="dxa"/>
            <w:shd w:val="pct12" w:color="auto" w:fill="auto"/>
          </w:tcPr>
          <w:p w14:paraId="3A0939B8" w14:textId="59E13A79" w:rsidR="00440FC6" w:rsidRDefault="000C75ED" w:rsidP="00D94BFC">
            <w:pPr>
              <w:pStyle w:val="Instructions"/>
              <w:spacing w:before="120"/>
            </w:pPr>
            <w:r>
              <w:t>[</w:t>
            </w:r>
            <w:r w:rsidR="00440FC6">
              <w:t>NPRR1010</w:t>
            </w:r>
            <w:r w:rsidR="00A46896">
              <w:t xml:space="preserve"> and</w:t>
            </w:r>
            <w:r>
              <w:t xml:space="preserve"> NPRR1029</w:t>
            </w:r>
            <w:r w:rsidR="00440FC6">
              <w:t xml:space="preserve">:  Replace applicable portions of paragraph (5) above with the following upon system implementation for </w:t>
            </w:r>
            <w:r>
              <w:t>NPRR1029</w:t>
            </w:r>
            <w:r w:rsidR="00440FC6">
              <w:t>; or upon system implementation of the Real-Time Co-Optimization (RTC) project for NPRR1010:]</w:t>
            </w:r>
          </w:p>
          <w:p w14:paraId="4EBB7AB9" w14:textId="77777777" w:rsidR="00440FC6" w:rsidRPr="003161DC" w:rsidRDefault="00440FC6" w:rsidP="00440FC6">
            <w:pPr>
              <w:spacing w:after="240"/>
              <w:ind w:left="720" w:hanging="720"/>
            </w:pPr>
            <w:r w:rsidRPr="003161DC">
              <w:t>(5)</w:t>
            </w:r>
            <w:r w:rsidRPr="003161DC">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rPr>
              <w:t xml:space="preserve"> </w:t>
            </w:r>
          </w:p>
          <w:p w14:paraId="095FEE91" w14:textId="77777777" w:rsidR="00440FC6" w:rsidRPr="003161DC" w:rsidRDefault="00440FC6" w:rsidP="00440FC6">
            <w:pPr>
              <w:spacing w:after="240"/>
              <w:ind w:left="1440" w:hanging="720"/>
            </w:pPr>
            <w:r w:rsidRPr="003161DC">
              <w:t>(a)</w:t>
            </w:r>
            <w:r w:rsidRPr="003161DC">
              <w:tab/>
              <w:t>Load Resource net real power consumption (in MW);</w:t>
            </w:r>
          </w:p>
          <w:p w14:paraId="404FDE9B" w14:textId="77777777" w:rsidR="00440FC6" w:rsidRPr="003161DC" w:rsidRDefault="00440FC6" w:rsidP="00440FC6">
            <w:pPr>
              <w:spacing w:after="240"/>
              <w:ind w:left="1440" w:hanging="720"/>
            </w:pPr>
            <w:r w:rsidRPr="003161DC">
              <w:t>(b)</w:t>
            </w:r>
            <w:r w:rsidRPr="003161DC">
              <w:tab/>
              <w:t>Any data mutually agreed to by ERCOT and the QSE to adequately manage system reliability;</w:t>
            </w:r>
          </w:p>
          <w:p w14:paraId="531BC769" w14:textId="18B6BDC6" w:rsidR="00440FC6" w:rsidRPr="003161DC" w:rsidRDefault="00440FC6" w:rsidP="00440FC6">
            <w:pPr>
              <w:spacing w:after="240"/>
              <w:ind w:left="1440" w:hanging="720"/>
            </w:pPr>
            <w:r w:rsidRPr="003161DC">
              <w:t>(c)</w:t>
            </w:r>
            <w:r w:rsidRPr="003161DC">
              <w:tab/>
              <w:t>Load Resource breaker status</w:t>
            </w:r>
            <w:r w:rsidR="001C2BC4">
              <w:t>, if applicable</w:t>
            </w:r>
            <w:r w:rsidRPr="003161DC">
              <w:t>;</w:t>
            </w:r>
          </w:p>
          <w:p w14:paraId="6BBDDE95" w14:textId="77777777" w:rsidR="00440FC6" w:rsidRPr="003161DC" w:rsidRDefault="00440FC6" w:rsidP="00440FC6">
            <w:pPr>
              <w:spacing w:after="240"/>
              <w:ind w:left="1440" w:hanging="720"/>
              <w:rPr>
                <w:lang w:val="it-IT"/>
              </w:rPr>
            </w:pPr>
            <w:r w:rsidRPr="003161DC">
              <w:rPr>
                <w:lang w:val="it-IT"/>
              </w:rPr>
              <w:t>(d)</w:t>
            </w:r>
            <w:r w:rsidRPr="003161DC">
              <w:rPr>
                <w:lang w:val="it-IT"/>
              </w:rPr>
              <w:tab/>
              <w:t>LPC (in MW);</w:t>
            </w:r>
          </w:p>
          <w:p w14:paraId="6E10F95B" w14:textId="77777777" w:rsidR="00440FC6" w:rsidRDefault="00440FC6" w:rsidP="00440FC6">
            <w:pPr>
              <w:spacing w:after="240"/>
              <w:ind w:left="1440" w:hanging="720"/>
              <w:rPr>
                <w:lang w:val="it-IT"/>
              </w:rPr>
            </w:pPr>
            <w:r w:rsidRPr="003161DC">
              <w:rPr>
                <w:lang w:val="it-IT"/>
              </w:rPr>
              <w:t>(e)</w:t>
            </w:r>
            <w:r w:rsidRPr="003161DC">
              <w:rPr>
                <w:lang w:val="it-IT"/>
              </w:rPr>
              <w:tab/>
              <w:t>MPC (in MW);</w:t>
            </w:r>
          </w:p>
          <w:p w14:paraId="1C3B0262" w14:textId="77777777" w:rsidR="00440FC6" w:rsidRPr="00591CB8" w:rsidRDefault="00440FC6" w:rsidP="00440FC6">
            <w:pPr>
              <w:spacing w:after="240"/>
              <w:ind w:left="1440" w:hanging="720"/>
            </w:pPr>
            <w:r w:rsidRPr="00591CB8">
              <w:t>(f)</w:t>
            </w:r>
            <w:r w:rsidRPr="00591CB8">
              <w:tab/>
              <w:t xml:space="preserve">The Load Resource’s Ancillary Service </w:t>
            </w:r>
            <w:r>
              <w:t>s</w:t>
            </w:r>
            <w:r w:rsidRPr="00591CB8">
              <w:t>elf</w:t>
            </w:r>
            <w:r>
              <w:t>-p</w:t>
            </w:r>
            <w:r w:rsidRPr="00591CB8">
              <w:t>rovision (in MW) for RRS and</w:t>
            </w:r>
            <w:r>
              <w:t>/or</w:t>
            </w:r>
            <w:r w:rsidRPr="00591CB8">
              <w:t xml:space="preserve"> ECRS provide</w:t>
            </w:r>
            <w:r>
              <w:t>d</w:t>
            </w:r>
            <w:r w:rsidRPr="00591CB8">
              <w:t xml:space="preserve"> via under-frequency relay;</w:t>
            </w:r>
          </w:p>
          <w:p w14:paraId="1ED739DA" w14:textId="6541D6A7" w:rsidR="00440FC6" w:rsidRPr="003161DC" w:rsidRDefault="00440FC6" w:rsidP="00440FC6">
            <w:pPr>
              <w:spacing w:before="240" w:after="240"/>
              <w:ind w:left="1440" w:hanging="720"/>
            </w:pPr>
            <w:r w:rsidRPr="003161DC">
              <w:t>(</w:t>
            </w:r>
            <w:r>
              <w:t>g</w:t>
            </w:r>
            <w:r w:rsidRPr="003161DC">
              <w:t>)</w:t>
            </w:r>
            <w:r w:rsidRPr="003161DC">
              <w:tab/>
              <w:t>The status of the high-set under-frequency relay, if required for qualification</w:t>
            </w:r>
            <w:r w:rsidR="001C2BC4">
              <w:t>.</w:t>
            </w:r>
            <w:r w:rsidR="001C2BC4" w:rsidRPr="0065726C">
              <w:t xml:space="preserve"> </w:t>
            </w:r>
            <w:r w:rsidR="001C2BC4">
              <w:t xml:space="preserve"> The </w:t>
            </w:r>
            <w:r w:rsidR="001C2BC4" w:rsidRPr="0065726C">
              <w:t>under-frequency relay</w:t>
            </w:r>
            <w:r w:rsidR="001C2BC4">
              <w:t xml:space="preserve"> for a Load Resource providing Non-Spin shall be disabled and the status of that relay shall indicate it as disabled or unarmed</w:t>
            </w:r>
            <w:r w:rsidRPr="003161DC">
              <w:t xml:space="preserve">; </w:t>
            </w:r>
          </w:p>
          <w:p w14:paraId="41D32847" w14:textId="75641BEA" w:rsidR="00440FC6" w:rsidRPr="003161DC" w:rsidRDefault="00440FC6" w:rsidP="00440FC6">
            <w:pPr>
              <w:spacing w:after="240"/>
              <w:ind w:left="1440" w:hanging="720"/>
            </w:pPr>
            <w:r w:rsidRPr="003161DC">
              <w:t>(</w:t>
            </w:r>
            <w:r>
              <w:t>h</w:t>
            </w:r>
            <w:r w:rsidRPr="003161DC">
              <w:t>)</w:t>
            </w:r>
            <w:r w:rsidRPr="003161DC">
              <w:tab/>
              <w:t>For a Controllable Load Resource</w:t>
            </w:r>
            <w:r w:rsidR="0011303E">
              <w:t xml:space="preserve"> (CLR)</w:t>
            </w:r>
            <w:r w:rsidRPr="003161DC">
              <w:t xml:space="preserve"> providing Non-Spin, the Scheduled Power Consumption that represents zero Ancillary Service deployments; </w:t>
            </w:r>
          </w:p>
          <w:p w14:paraId="5CBCFB97" w14:textId="4ED15F05" w:rsidR="00440FC6" w:rsidRPr="003161DC" w:rsidRDefault="00440FC6" w:rsidP="00440FC6">
            <w:pPr>
              <w:spacing w:after="240"/>
              <w:ind w:left="1440" w:hanging="720"/>
            </w:pPr>
            <w:r w:rsidRPr="003161DC">
              <w:t>(</w:t>
            </w:r>
            <w:r>
              <w:t>i</w:t>
            </w:r>
            <w:r w:rsidRPr="003161DC">
              <w:t>)</w:t>
            </w:r>
            <w:r w:rsidRPr="003161DC">
              <w:tab/>
              <w:t xml:space="preserve">For a single-site </w:t>
            </w:r>
            <w:r w:rsidR="0011303E">
              <w:t>CLR</w:t>
            </w:r>
            <w:r w:rsidRPr="003161DC">
              <w:t xml:space="preserve"> with registered maximum Demand response capacity of ten MW or greater, net Reactive Power (in MVAr);</w:t>
            </w:r>
          </w:p>
          <w:p w14:paraId="590CBADA" w14:textId="77777777" w:rsidR="00440FC6" w:rsidRPr="003161DC" w:rsidRDefault="00440FC6" w:rsidP="00440FC6">
            <w:pPr>
              <w:spacing w:after="240"/>
              <w:ind w:left="1440" w:hanging="720"/>
            </w:pPr>
            <w:r w:rsidRPr="003161DC">
              <w:t>(</w:t>
            </w:r>
            <w:r>
              <w:t>j</w:t>
            </w:r>
            <w:r w:rsidRPr="003161DC">
              <w:t>)</w:t>
            </w:r>
            <w:r w:rsidRPr="003161DC">
              <w:tab/>
              <w:t xml:space="preserve">Resource Status; </w:t>
            </w:r>
          </w:p>
          <w:p w14:paraId="586925B8" w14:textId="4E1EF85B" w:rsidR="00440FC6" w:rsidRDefault="00440FC6" w:rsidP="00440FC6">
            <w:pPr>
              <w:spacing w:after="240"/>
              <w:ind w:left="1440" w:hanging="720"/>
            </w:pPr>
            <w:r w:rsidRPr="003161DC">
              <w:lastRenderedPageBreak/>
              <w:t>(</w:t>
            </w:r>
            <w:r>
              <w:t>k</w:t>
            </w:r>
            <w:r w:rsidRPr="003161DC">
              <w:t>)</w:t>
            </w:r>
            <w:r w:rsidRPr="003161DC">
              <w:tab/>
              <w:t>For a</w:t>
            </w:r>
            <w:r w:rsidR="007F5C35">
              <w:t>n</w:t>
            </w:r>
            <w:r w:rsidRPr="003161DC">
              <w:t xml:space="preserve"> </w:t>
            </w:r>
            <w:r w:rsidR="007F5C35">
              <w:t>Aggregate</w:t>
            </w:r>
            <w:r w:rsidRPr="003161DC">
              <w:t xml:space="preserve"> Load Resource </w:t>
            </w:r>
            <w:r w:rsidR="007F5C35">
              <w:t xml:space="preserve">(ALR) </w:t>
            </w:r>
            <w:r w:rsidRPr="003161DC">
              <w:t xml:space="preserve">providing Non-Spin, the “Scheduled Power Consumption Plus Two Hours,” representing the QSE’s forecast of the </w:t>
            </w:r>
            <w:r w:rsidR="0011303E">
              <w:t>CLR</w:t>
            </w:r>
            <w:r w:rsidRPr="003161DC">
              <w:t>’s instantaneous power consumption for a point two hours in the future</w:t>
            </w:r>
            <w:r>
              <w:t>;</w:t>
            </w:r>
            <w:r w:rsidRPr="003161DC">
              <w:t xml:space="preserve"> </w:t>
            </w:r>
          </w:p>
          <w:p w14:paraId="54D8EC98" w14:textId="77777777" w:rsidR="00440FC6" w:rsidRDefault="00440FC6" w:rsidP="00440FC6">
            <w:pPr>
              <w:spacing w:after="240"/>
              <w:ind w:left="1440" w:hanging="720"/>
            </w:pPr>
            <w:r>
              <w:t>(l)</w:t>
            </w:r>
            <w:r>
              <w:tab/>
              <w:t>For RRS, including any sub-categories of RRS, the current physical capability (in MW) of the Resource to provide RRS;</w:t>
            </w:r>
          </w:p>
          <w:p w14:paraId="20F95A83" w14:textId="77777777" w:rsidR="00440FC6" w:rsidRDefault="00440FC6" w:rsidP="00440FC6">
            <w:pPr>
              <w:spacing w:after="240"/>
              <w:ind w:left="1440" w:hanging="720"/>
            </w:pPr>
            <w:r>
              <w:t>(m)</w:t>
            </w:r>
            <w:r>
              <w:tab/>
              <w:t>For Ancillary Service products other than RRS, a blended Normal Ramp Rate (in MW/min) that reflects the current physical capability of the Resource’s ability to provide a particular Ancillary Service product; and</w:t>
            </w:r>
          </w:p>
          <w:p w14:paraId="5EBD6F49" w14:textId="0EFE0BF8" w:rsidR="00440FC6" w:rsidRPr="00B37C4B" w:rsidRDefault="00440FC6" w:rsidP="00440FC6">
            <w:pPr>
              <w:spacing w:after="240"/>
              <w:ind w:left="1440" w:hanging="720"/>
            </w:pPr>
            <w:r>
              <w:t>(n)</w:t>
            </w:r>
            <w:r>
              <w:tab/>
              <w:t xml:space="preserve">For a </w:t>
            </w:r>
            <w:r w:rsidR="0011303E">
              <w:t>CLR</w:t>
            </w:r>
            <w:r>
              <w:t>, 5-minute blended Normal Ramp Rates (up and down).</w:t>
            </w:r>
          </w:p>
        </w:tc>
      </w:tr>
    </w:tbl>
    <w:p w14:paraId="22F921D9" w14:textId="77777777" w:rsidR="0053481C" w:rsidRDefault="0053481C" w:rsidP="0053481C">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481C" w14:paraId="70C86A8C" w14:textId="77777777" w:rsidTr="009E7633">
        <w:trPr>
          <w:trHeight w:val="206"/>
        </w:trPr>
        <w:tc>
          <w:tcPr>
            <w:tcW w:w="9350" w:type="dxa"/>
            <w:shd w:val="pct12" w:color="auto" w:fill="auto"/>
          </w:tcPr>
          <w:p w14:paraId="4A94475D" w14:textId="04E96193" w:rsidR="0053481C" w:rsidRDefault="0053481C" w:rsidP="009E7633">
            <w:pPr>
              <w:pStyle w:val="Instructions"/>
              <w:spacing w:before="120"/>
            </w:pPr>
            <w:r>
              <w:t>[NPRR1014</w:t>
            </w:r>
            <w:r w:rsidR="000C75ED">
              <w:t xml:space="preserve"> and NPRR1029</w:t>
            </w:r>
            <w:r>
              <w:t xml:space="preserve">:  Insert </w:t>
            </w:r>
            <w:r w:rsidR="000C75ED">
              <w:t xml:space="preserve">applicable portions of </w:t>
            </w:r>
            <w:r>
              <w:t>paragraph (6) below upon system implementation and renumber accordingly:]</w:t>
            </w:r>
          </w:p>
          <w:p w14:paraId="23F4CE4D" w14:textId="77777777" w:rsidR="0053481C" w:rsidRPr="00A552C3" w:rsidRDefault="0053481C" w:rsidP="0053481C">
            <w:pPr>
              <w:spacing w:after="240"/>
              <w:ind w:left="720" w:hanging="720"/>
            </w:pPr>
            <w:r w:rsidRPr="00A552C3">
              <w:t>(6)</w:t>
            </w:r>
            <w:r w:rsidRPr="00A552C3">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019B2403" w14:textId="77777777" w:rsidR="0053481C" w:rsidRPr="00A552C3" w:rsidRDefault="0053481C" w:rsidP="0053481C">
            <w:pPr>
              <w:spacing w:after="240"/>
              <w:ind w:left="1440" w:hanging="720"/>
            </w:pPr>
            <w:r w:rsidRPr="00A552C3">
              <w:t>(a)</w:t>
            </w:r>
            <w:r w:rsidRPr="00A552C3">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 in determination of High Dispatch Limit (HDL), and Low Dispatch Limit (LDL) and is consistent with telemetered HSL, LSL and Frequency Responsive Capacity (FRC);</w:t>
            </w:r>
          </w:p>
          <w:p w14:paraId="37C137DE" w14:textId="77777777" w:rsidR="0053481C" w:rsidRPr="00A552C3" w:rsidRDefault="0053481C" w:rsidP="0053481C">
            <w:pPr>
              <w:spacing w:after="240"/>
              <w:ind w:left="1440" w:hanging="720"/>
            </w:pPr>
            <w:r w:rsidRPr="00A552C3">
              <w:t>(b)</w:t>
            </w:r>
            <w:r w:rsidRPr="00A552C3">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p>
          <w:p w14:paraId="0A892302" w14:textId="77777777" w:rsidR="0053481C" w:rsidRPr="00A552C3" w:rsidRDefault="0053481C" w:rsidP="0053481C">
            <w:pPr>
              <w:spacing w:after="240"/>
              <w:ind w:left="1440" w:hanging="720"/>
            </w:pPr>
            <w:r w:rsidRPr="00A552C3">
              <w:t>(c)</w:t>
            </w:r>
            <w:r w:rsidRPr="00A552C3">
              <w:tab/>
              <w:t>Gross Reactive Power (in Megavolt-Amperes reactive (MVAr));</w:t>
            </w:r>
          </w:p>
          <w:p w14:paraId="4A10BD1F" w14:textId="77777777" w:rsidR="0053481C" w:rsidRPr="00A552C3" w:rsidRDefault="0053481C" w:rsidP="0053481C">
            <w:pPr>
              <w:spacing w:after="240"/>
              <w:ind w:left="1440" w:hanging="720"/>
            </w:pPr>
            <w:r w:rsidRPr="00A552C3">
              <w:t>(d)</w:t>
            </w:r>
            <w:r w:rsidRPr="00A552C3">
              <w:tab/>
              <w:t>Net Reactive Power (in MVAr);</w:t>
            </w:r>
          </w:p>
          <w:p w14:paraId="7F342D58" w14:textId="77777777" w:rsidR="0053481C" w:rsidRPr="00A552C3" w:rsidRDefault="0053481C" w:rsidP="0053481C">
            <w:pPr>
              <w:spacing w:after="240"/>
              <w:ind w:left="1440" w:hanging="720"/>
            </w:pPr>
            <w:r w:rsidRPr="00A552C3">
              <w:lastRenderedPageBreak/>
              <w:t>(e)</w:t>
            </w:r>
            <w:r w:rsidRPr="00A552C3">
              <w:tab/>
              <w:t>Power to standby transformers serving plant auxiliary Load;</w:t>
            </w:r>
          </w:p>
          <w:p w14:paraId="0FBC7611" w14:textId="77777777" w:rsidR="0053481C" w:rsidRPr="00A552C3" w:rsidRDefault="0053481C" w:rsidP="0053481C">
            <w:pPr>
              <w:spacing w:after="240"/>
              <w:ind w:left="1440" w:hanging="720"/>
            </w:pPr>
            <w:r w:rsidRPr="00A552C3">
              <w:t>(f)</w:t>
            </w:r>
            <w:r w:rsidRPr="00A552C3">
              <w:tab/>
              <w:t>Status of switching devices in the plant switchyard not monitored by the TSP or DSP affecting flows on the ERCOT Transmission Grid;</w:t>
            </w:r>
          </w:p>
          <w:p w14:paraId="4C0A2FA2" w14:textId="77777777" w:rsidR="0053481C" w:rsidRPr="00A552C3" w:rsidRDefault="0053481C" w:rsidP="0053481C">
            <w:pPr>
              <w:spacing w:after="240"/>
              <w:ind w:left="1440" w:hanging="720"/>
            </w:pPr>
            <w:r w:rsidRPr="00A552C3">
              <w:t>(g)</w:t>
            </w:r>
            <w:r w:rsidRPr="00A552C3">
              <w:tab/>
              <w:t>Any data mutually agreed to by ERCOT and the QSE to adequately manage system reliability;</w:t>
            </w:r>
          </w:p>
          <w:p w14:paraId="3DD2424D" w14:textId="77777777" w:rsidR="0053481C" w:rsidRPr="00A552C3" w:rsidRDefault="0053481C" w:rsidP="0053481C">
            <w:pPr>
              <w:spacing w:after="240"/>
              <w:ind w:left="1440" w:hanging="720"/>
            </w:pPr>
            <w:r w:rsidRPr="00A552C3">
              <w:t>(h)</w:t>
            </w:r>
            <w:r w:rsidRPr="00A552C3">
              <w:tab/>
              <w:t>ESR breaker and switch status;</w:t>
            </w:r>
          </w:p>
          <w:p w14:paraId="464665C1" w14:textId="77777777" w:rsidR="0053481C" w:rsidRPr="00A552C3" w:rsidRDefault="0053481C" w:rsidP="0053481C">
            <w:pPr>
              <w:spacing w:after="240"/>
              <w:ind w:left="1440" w:hanging="720"/>
            </w:pPr>
            <w:r w:rsidRPr="00A552C3">
              <w:t>(i)</w:t>
            </w:r>
            <w:r w:rsidRPr="00A552C3">
              <w:tab/>
              <w:t xml:space="preserve">HSL;  </w:t>
            </w:r>
          </w:p>
          <w:p w14:paraId="15BA7887" w14:textId="77777777" w:rsidR="0053481C" w:rsidRPr="00A552C3" w:rsidRDefault="0053481C" w:rsidP="0053481C">
            <w:pPr>
              <w:spacing w:after="240"/>
              <w:ind w:left="1440" w:hanging="720"/>
            </w:pPr>
            <w:r w:rsidRPr="00A552C3">
              <w:t>(j)</w:t>
            </w:r>
            <w:r w:rsidRPr="00A552C3">
              <w:tab/>
              <w:t>High Emergency Limit (HEL), under Section 6.5.9.2, Failure of the SCED Process;</w:t>
            </w:r>
          </w:p>
          <w:p w14:paraId="2DAE9D99" w14:textId="77777777" w:rsidR="0053481C" w:rsidRPr="00A552C3" w:rsidRDefault="0053481C" w:rsidP="0053481C">
            <w:pPr>
              <w:spacing w:after="240"/>
              <w:ind w:left="1440" w:hanging="720"/>
            </w:pPr>
            <w:r w:rsidRPr="00A552C3">
              <w:t>(k)</w:t>
            </w:r>
            <w:r w:rsidRPr="00A552C3">
              <w:tab/>
              <w:t xml:space="preserve">Low Emergency Limit (LEL), under Section 6.5.9.2; </w:t>
            </w:r>
          </w:p>
          <w:p w14:paraId="1EE0C629" w14:textId="77777777" w:rsidR="0053481C" w:rsidRPr="00A552C3" w:rsidRDefault="0053481C" w:rsidP="0053481C">
            <w:pPr>
              <w:spacing w:after="240"/>
              <w:ind w:left="1440" w:hanging="720"/>
            </w:pPr>
            <w:r w:rsidRPr="00A552C3">
              <w:t>(l)</w:t>
            </w:r>
            <w:r w:rsidRPr="00A552C3">
              <w:tab/>
              <w:t>LSL;</w:t>
            </w:r>
          </w:p>
          <w:p w14:paraId="301EC2A0" w14:textId="77777777" w:rsidR="0053481C" w:rsidRPr="00A552C3" w:rsidRDefault="0053481C" w:rsidP="0053481C">
            <w:pPr>
              <w:spacing w:after="240"/>
              <w:ind w:left="1440" w:hanging="720"/>
            </w:pPr>
            <w:r w:rsidRPr="00A552C3">
              <w:t>(m)</w:t>
            </w:r>
            <w:r w:rsidRPr="00A552C3">
              <w:tab/>
              <w:t>For RRS, including any sub-category of RRS, the current physical capability (in MW) of the Resource to provide RRS;</w:t>
            </w:r>
          </w:p>
          <w:p w14:paraId="271D42A7" w14:textId="77777777" w:rsidR="0053481C" w:rsidRPr="00A552C3" w:rsidRDefault="0053481C" w:rsidP="0053481C">
            <w:pPr>
              <w:spacing w:after="240"/>
              <w:ind w:left="1440" w:hanging="720"/>
            </w:pPr>
            <w:r w:rsidRPr="00A552C3">
              <w:t>(n)</w:t>
            </w:r>
            <w:r w:rsidRPr="00A552C3">
              <w:tab/>
              <w:t>For Ancillary Services other than RRS, a blended ramp rate (in MW/min) that reflects the current physical capability of the Resource to provide that specific type of Ancillary Service; and</w:t>
            </w:r>
          </w:p>
          <w:p w14:paraId="3582AA34" w14:textId="194F0FCE" w:rsidR="0053481C" w:rsidRPr="00B37C4B" w:rsidRDefault="0053481C" w:rsidP="0053481C">
            <w:pPr>
              <w:spacing w:after="240"/>
              <w:ind w:left="1440" w:hanging="720"/>
            </w:pPr>
            <w:r w:rsidRPr="00A552C3">
              <w:t>(o)</w:t>
            </w:r>
            <w:r w:rsidRPr="00A552C3">
              <w:tab/>
              <w:t xml:space="preserve">Five-minute blended </w:t>
            </w:r>
            <w:r>
              <w:t>normal up and down ramp rates;</w:t>
            </w:r>
          </w:p>
        </w:tc>
      </w:tr>
    </w:tbl>
    <w:p w14:paraId="6B7A2921" w14:textId="1B915D33" w:rsidR="001F04FD" w:rsidRDefault="001F04FD" w:rsidP="000B1D41">
      <w:pPr>
        <w:pStyle w:val="BodyTextNumbered"/>
        <w:spacing w:before="240"/>
      </w:pPr>
      <w:r>
        <w:lastRenderedPageBreak/>
        <w:t>(6)</w:t>
      </w:r>
      <w:r>
        <w:tab/>
        <w:t>A QSE with Resources used in SCED shall provide communications equipment to receive ERCOT-telemetered control deployments.</w:t>
      </w:r>
    </w:p>
    <w:p w14:paraId="4888CC1A" w14:textId="77777777" w:rsidR="001F04FD" w:rsidRDefault="001F04FD" w:rsidP="001F04FD">
      <w:pPr>
        <w:pStyle w:val="BodyTextNumbered"/>
      </w:pPr>
      <w:r>
        <w:t>(7)</w:t>
      </w:r>
      <w: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430AD7B0" w14:textId="77777777" w:rsidR="001F04FD" w:rsidRDefault="001F04FD" w:rsidP="001F04FD">
      <w:pPr>
        <w:pStyle w:val="BodyTextNumbered"/>
        <w:ind w:left="1440"/>
      </w:pPr>
      <w:r>
        <w:t>(a)</w:t>
      </w:r>
      <w:r>
        <w:tab/>
      </w:r>
      <w:r w:rsidRPr="00A143F4">
        <w:rPr>
          <w:iCs/>
        </w:rPr>
        <w:t xml:space="preserve">Raise Block Status and Lower Block Status are telemetry points used in </w:t>
      </w:r>
      <w:r>
        <w:t>transient unit conditions to communicate to ERCOT that a Resource’s ability to adjust its output has been unexpectedly impaired.</w:t>
      </w:r>
    </w:p>
    <w:p w14:paraId="12015767" w14:textId="77777777" w:rsidR="001F04FD" w:rsidRDefault="001F04FD" w:rsidP="001F04FD">
      <w:pPr>
        <w:pStyle w:val="BodyTextNumbered"/>
        <w:ind w:left="1440"/>
      </w:pPr>
      <w:r>
        <w:t>(b)</w:t>
      </w:r>
      <w:r>
        <w:tab/>
        <w:t>When one or both of the telemetry points are enabled for a Resource, ERCOT will cease using the regulation capacity assigned to that Resource for Ancillary Service deployment.</w:t>
      </w:r>
    </w:p>
    <w:p w14:paraId="5882C370" w14:textId="77777777" w:rsidR="001F04FD" w:rsidRDefault="001F04FD" w:rsidP="001F04FD">
      <w:pPr>
        <w:pStyle w:val="BodyTextNumbered"/>
        <w:ind w:left="1440"/>
      </w:pPr>
      <w:r>
        <w:t>(c)</w:t>
      </w:r>
      <w:r>
        <w:tab/>
        <w:t>This hiatus of deployment will not excuse the Resource’s obligation to provide the Ancillary Services for which it has been committed.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00464DAE" w14:textId="77777777" w:rsidTr="00440FC6">
        <w:trPr>
          <w:trHeight w:val="206"/>
        </w:trPr>
        <w:tc>
          <w:tcPr>
            <w:tcW w:w="9350" w:type="dxa"/>
            <w:shd w:val="pct12" w:color="auto" w:fill="auto"/>
          </w:tcPr>
          <w:p w14:paraId="73D2C975" w14:textId="6BA497C4" w:rsidR="00440FC6" w:rsidRDefault="00440FC6" w:rsidP="00D94BFC">
            <w:pPr>
              <w:pStyle w:val="Instructions"/>
              <w:spacing w:before="120"/>
            </w:pPr>
            <w:r>
              <w:lastRenderedPageBreak/>
              <w:t>[NPRR1010</w:t>
            </w:r>
            <w:r w:rsidR="000C75ED">
              <w:t xml:space="preserve">, </w:t>
            </w:r>
            <w:r w:rsidR="0053481C">
              <w:t>NPRR1014</w:t>
            </w:r>
            <w:r w:rsidR="000C75ED">
              <w:t>, and NPRR1029</w:t>
            </w:r>
            <w:r>
              <w:t>:  Replace</w:t>
            </w:r>
            <w:r w:rsidR="0053481C">
              <w:t xml:space="preserve"> applicable portions of</w:t>
            </w:r>
            <w:r>
              <w:t xml:space="preserve"> paragraph (c)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8877953" w14:textId="43156B5A" w:rsidR="00440FC6" w:rsidRPr="00B37C4B" w:rsidRDefault="00440FC6" w:rsidP="00440FC6">
            <w:pPr>
              <w:spacing w:after="240"/>
              <w:ind w:left="1440" w:hanging="720"/>
            </w:pPr>
            <w:r w:rsidRPr="003161DC">
              <w:t>(c)</w:t>
            </w:r>
            <w:r w:rsidRPr="003161DC">
              <w:tab/>
              <w:t xml:space="preserve">This hiatus of deployment will not excuse the Resource’s obligation to provide the Ancillary Services for which it has been </w:t>
            </w:r>
            <w:r>
              <w:t>awarded.</w:t>
            </w:r>
          </w:p>
        </w:tc>
      </w:tr>
    </w:tbl>
    <w:p w14:paraId="2B90824B" w14:textId="4CEB7ABF" w:rsidR="001F04FD" w:rsidRDefault="001F04FD" w:rsidP="000B1D41">
      <w:pPr>
        <w:pStyle w:val="BodyTextNumbered"/>
        <w:spacing w:before="240"/>
        <w:ind w:left="1440"/>
      </w:pPr>
      <w:r>
        <w:t>(d)</w:t>
      </w:r>
      <w: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61E35295" w14:textId="77777777" w:rsidR="001F04FD" w:rsidRDefault="001F04FD" w:rsidP="001F04FD">
      <w:pPr>
        <w:pStyle w:val="BodyTextNumbered"/>
        <w:ind w:left="1440"/>
      </w:pPr>
      <w:r>
        <w:t>(e)</w:t>
      </w:r>
      <w:r>
        <w:tab/>
        <w:t xml:space="preserve">The Resource limits and Ancillary Service telemetry shall be updated as soon as practicable.  </w:t>
      </w:r>
      <w:r w:rsidRPr="00A143F4">
        <w:rPr>
          <w:iCs/>
        </w:rPr>
        <w:t>Raise Block Status and Lower Block Status</w:t>
      </w:r>
      <w:r>
        <w:rPr>
          <w:iCs/>
        </w:rPr>
        <w:t xml:space="preserve"> will then be disabled.</w:t>
      </w:r>
      <w:r>
        <w:t xml:space="preserve"> </w:t>
      </w:r>
    </w:p>
    <w:p w14:paraId="68E40813" w14:textId="77777777" w:rsidR="001F04FD" w:rsidRDefault="001F04FD" w:rsidP="001F04FD">
      <w:pPr>
        <w:pStyle w:val="BodyTextNumbered"/>
      </w:pPr>
      <w:r>
        <w:t>(8)</w:t>
      </w:r>
      <w:r>
        <w:tab/>
        <w:t>Real-Time data for reliability purposes must be accurate to within three percent.  This telemetry may be provided from relaying accuracy instrumentation transformers.</w:t>
      </w:r>
    </w:p>
    <w:p w14:paraId="0F16BAF7" w14:textId="77777777" w:rsidR="001F04FD" w:rsidRDefault="001F04FD" w:rsidP="001F04FD">
      <w:pPr>
        <w:pStyle w:val="BodyTextNumbered"/>
      </w:pPr>
      <w:r>
        <w:t>(9)</w:t>
      </w:r>
      <w:r>
        <w:tab/>
        <w:t xml:space="preserve">Each QSE shall report the current configuration of combined-cycle Resources that it represents to ERCOT.  </w:t>
      </w:r>
      <w:r w:rsidRPr="00B840E3">
        <w:rPr>
          <w:iCs/>
        </w:rPr>
        <w:t xml:space="preserve">The telemetered Resource Status for a Combined Cycle Generation Resource may only be assigned a Resource Status of OFFNS if no generation units within that Combined Cycle Generation Resource </w:t>
      </w:r>
      <w:r>
        <w:rPr>
          <w:iCs/>
        </w:rPr>
        <w:t>are</w:t>
      </w:r>
      <w:r w:rsidRPr="00B840E3">
        <w:rPr>
          <w:iCs/>
        </w:rPr>
        <w:t xml:space="preserve"> On-Line</w:t>
      </w:r>
      <w:r>
        <w:rPr>
          <w:iCs/>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6FA00E9B" w14:textId="77777777" w:rsidTr="00D94BFC">
        <w:trPr>
          <w:trHeight w:val="206"/>
        </w:trPr>
        <w:tc>
          <w:tcPr>
            <w:tcW w:w="9350" w:type="dxa"/>
            <w:shd w:val="pct12" w:color="auto" w:fill="auto"/>
          </w:tcPr>
          <w:p w14:paraId="48454AB1" w14:textId="53FB53F3" w:rsidR="00440FC6" w:rsidRDefault="00440FC6" w:rsidP="00D94BFC">
            <w:pPr>
              <w:pStyle w:val="Instructions"/>
              <w:spacing w:before="120"/>
            </w:pPr>
            <w:r>
              <w:t>[NPRR1010</w:t>
            </w:r>
            <w:r w:rsidR="000C75ED">
              <w:t>,</w:t>
            </w:r>
            <w:r w:rsidR="0053481C">
              <w:t xml:space="preserve"> NPRR1014</w:t>
            </w:r>
            <w:r w:rsidR="000C75ED">
              <w:t>, and NPRR1029</w:t>
            </w:r>
            <w:r>
              <w:t>:  Replace</w:t>
            </w:r>
            <w:r w:rsidR="0053481C">
              <w:t xml:space="preserve"> applicable portions of</w:t>
            </w:r>
            <w:r>
              <w:t xml:space="preserve"> paragraph (9)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254F55EC" w14:textId="6914CD0F" w:rsidR="00440FC6" w:rsidRPr="00B37C4B" w:rsidRDefault="00440FC6" w:rsidP="00440FC6">
            <w:pPr>
              <w:spacing w:after="240"/>
              <w:ind w:left="720" w:hanging="720"/>
            </w:pPr>
            <w:r w:rsidRPr="007342BB">
              <w:t>(9)</w:t>
            </w:r>
            <w:r w:rsidRPr="007342BB">
              <w:tab/>
              <w:t xml:space="preserve">Each QSE shall report the current configuration of combined-cycle Resources that it represents to ERCOT.  </w:t>
            </w:r>
            <w:r w:rsidRPr="007342BB">
              <w:rPr>
                <w:iCs/>
              </w:rPr>
              <w:t>The telemetered Resource Status for a Combined Cycle Generation Resource may only be assigned a Resource Status of OFF if no generation units within that Combined Cycle Generation Resource are On-Line.</w:t>
            </w:r>
          </w:p>
        </w:tc>
      </w:tr>
    </w:tbl>
    <w:p w14:paraId="760F4515" w14:textId="16C45BE9" w:rsidR="001F04FD" w:rsidRDefault="001F04FD" w:rsidP="000B1D41">
      <w:pPr>
        <w:pStyle w:val="BodyTextNumbered"/>
        <w:spacing w:before="240"/>
      </w:pPr>
      <w:r>
        <w:t>(10)</w:t>
      </w:r>
      <w: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42DA2F0A" w14:textId="77777777" w:rsidR="001F04FD" w:rsidRDefault="001F04FD" w:rsidP="001F04FD">
      <w:pPr>
        <w:pStyle w:val="List"/>
      </w:pPr>
      <w:r>
        <w:t>(a)</w:t>
      </w:r>
      <w:r>
        <w:tab/>
        <w:t>Combustion turbine inlet air cooling methods;</w:t>
      </w:r>
    </w:p>
    <w:p w14:paraId="474B6893" w14:textId="77777777" w:rsidR="001F04FD" w:rsidRDefault="001F04FD" w:rsidP="001F04FD">
      <w:pPr>
        <w:pStyle w:val="List"/>
      </w:pPr>
      <w:r>
        <w:t>(b)</w:t>
      </w:r>
      <w:r>
        <w:tab/>
        <w:t xml:space="preserve">Duct firing; </w:t>
      </w:r>
    </w:p>
    <w:p w14:paraId="32F7B65B" w14:textId="77777777" w:rsidR="001F04FD" w:rsidRDefault="001F04FD" w:rsidP="001F04FD">
      <w:pPr>
        <w:pStyle w:val="List"/>
      </w:pPr>
      <w:r>
        <w:lastRenderedPageBreak/>
        <w:t>(c)</w:t>
      </w:r>
      <w:r>
        <w:tab/>
        <w:t>Other ways of temporarily increasing the output of Combined Cycle Generation Resources; and</w:t>
      </w:r>
    </w:p>
    <w:p w14:paraId="641B8A90" w14:textId="77777777" w:rsidR="001F04FD" w:rsidRDefault="001F04FD" w:rsidP="001F04FD">
      <w:pPr>
        <w:spacing w:after="240"/>
        <w:ind w:left="1440" w:hanging="720"/>
      </w:pPr>
      <w:r>
        <w:t>(d)</w:t>
      </w:r>
      <w: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818" w:name="_Toc73216011"/>
    </w:p>
    <w:p w14:paraId="0F9F976C" w14:textId="77777777" w:rsidR="001F04FD" w:rsidRDefault="001F04FD" w:rsidP="001F04FD">
      <w:pPr>
        <w:spacing w:after="240"/>
        <w:ind w:left="720" w:hanging="720"/>
      </w:pPr>
      <w:r>
        <w:t>(11)</w:t>
      </w:r>
      <w:r>
        <w:tab/>
      </w:r>
      <w:r w:rsidRPr="002F52BF">
        <w:t xml:space="preserve">A QSE representing </w:t>
      </w:r>
      <w:r>
        <w:t xml:space="preserve">Generation Resources other than </w:t>
      </w:r>
      <w:r w:rsidRPr="002F52BF">
        <w:t xml:space="preserve">Combined Cycle Generation Resources </w:t>
      </w:r>
      <w:r>
        <w:t>may telemeter an NFRC value for their Generation Resource only if the QSE or Resource Entity associated with that Generation Resource has first requested and obtained ERCOT’s approval of the Generation Resource’s NFRC quantity.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C4B72" w14:paraId="5950E382" w14:textId="77777777" w:rsidTr="00D94BFC">
        <w:trPr>
          <w:trHeight w:val="206"/>
        </w:trPr>
        <w:tc>
          <w:tcPr>
            <w:tcW w:w="9350" w:type="dxa"/>
            <w:shd w:val="pct12" w:color="auto" w:fill="auto"/>
          </w:tcPr>
          <w:p w14:paraId="266AF71B" w14:textId="4BE8FC2F" w:rsidR="009C4B72" w:rsidRDefault="009C4B72" w:rsidP="00D94BFC">
            <w:pPr>
              <w:pStyle w:val="Instructions"/>
              <w:spacing w:before="120"/>
            </w:pPr>
            <w:r>
              <w:t>[NPRR1010</w:t>
            </w:r>
            <w:r w:rsidR="000C75ED">
              <w:t>,</w:t>
            </w:r>
            <w:r w:rsidR="0053481C">
              <w:t xml:space="preserve"> NPRR1014</w:t>
            </w:r>
            <w:r w:rsidR="000C75ED">
              <w:t>, and NPRR1029</w:t>
            </w:r>
            <w:r>
              <w:t xml:space="preserve">:  Replace </w:t>
            </w:r>
            <w:r w:rsidR="0053481C">
              <w:t xml:space="preserve">applicable portions of </w:t>
            </w:r>
            <w:r>
              <w:t>paragraph (11)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09683F3" w14:textId="7B295AEF" w:rsidR="009C4B72" w:rsidRPr="00B37C4B" w:rsidRDefault="009C4B72" w:rsidP="009C4B72">
            <w:pPr>
              <w:spacing w:after="240"/>
              <w:ind w:left="720" w:hanging="720"/>
            </w:pPr>
            <w:r w:rsidRPr="003161DC">
              <w:t>(11)</w:t>
            </w:r>
            <w:r w:rsidRPr="003161DC">
              <w:tab/>
              <w:t xml:space="preserve">A QSE representing </w:t>
            </w:r>
            <w:r>
              <w:t xml:space="preserve">a </w:t>
            </w:r>
            <w:r w:rsidRPr="003161DC">
              <w:t xml:space="preserve">Generation Resource other than </w:t>
            </w:r>
            <w:r>
              <w:t xml:space="preserve">a </w:t>
            </w:r>
            <w:r w:rsidRPr="003161DC">
              <w:t xml:space="preserve">Combined Cycle Generation Resource may </w:t>
            </w:r>
            <w:r>
              <w:t xml:space="preserve">provide FRC </w:t>
            </w:r>
            <w:r w:rsidRPr="003161DC">
              <w:t>telemetr</w:t>
            </w:r>
            <w:r>
              <w:t>y</w:t>
            </w:r>
            <w:r w:rsidRPr="003161DC">
              <w:t xml:space="preserve"> for the Generation Resource only if the QSE or Resource Entity associated with that Generation Resource has first requested and obtained ERCOT’s approval.</w:t>
            </w:r>
          </w:p>
        </w:tc>
      </w:tr>
    </w:tbl>
    <w:p w14:paraId="4BEF11CC" w14:textId="0193BDDC" w:rsidR="006D3418" w:rsidRPr="000F6D2E" w:rsidRDefault="006D3418" w:rsidP="006D3418">
      <w:pPr>
        <w:spacing w:before="240" w:after="240"/>
        <w:ind w:left="720" w:hanging="720"/>
      </w:pPr>
      <w:r w:rsidRPr="000F6D2E">
        <w:t>(12)</w:t>
      </w:r>
      <w:r w:rsidRPr="000F6D2E">
        <w:tab/>
        <w:t>A QSE representing an ESR shall provide the following Real-Time telemetry data to ERCOT for each ESR:</w:t>
      </w:r>
    </w:p>
    <w:p w14:paraId="2D8A9102" w14:textId="66B26B8A" w:rsidR="006D3418" w:rsidRPr="000F6D2E" w:rsidRDefault="006D3418" w:rsidP="006D3418">
      <w:pPr>
        <w:spacing w:after="240"/>
        <w:ind w:left="1440" w:hanging="720"/>
      </w:pPr>
      <w:r w:rsidRPr="000F6D2E">
        <w:t>(</w:t>
      </w:r>
      <w:r>
        <w:t>a</w:t>
      </w:r>
      <w:r w:rsidRPr="000F6D2E">
        <w:t>)</w:t>
      </w:r>
      <w:r w:rsidRPr="000F6D2E">
        <w:tab/>
        <w:t>Maximum State of Charge</w:t>
      </w:r>
      <w:r w:rsidR="00C23DEE">
        <w:t xml:space="preserve"> (MaxSOC)</w:t>
      </w:r>
      <w:r w:rsidRPr="000F6D2E">
        <w:t>, in MWh;</w:t>
      </w:r>
    </w:p>
    <w:p w14:paraId="37E9C1A9" w14:textId="6FE4A4B5" w:rsidR="006D3418" w:rsidRPr="000F6D2E" w:rsidRDefault="006D3418" w:rsidP="006D3418">
      <w:pPr>
        <w:spacing w:after="240"/>
        <w:ind w:left="1440" w:hanging="720"/>
      </w:pPr>
      <w:r w:rsidRPr="000F6D2E">
        <w:t>(</w:t>
      </w:r>
      <w:r>
        <w:t>b</w:t>
      </w:r>
      <w:r w:rsidRPr="000F6D2E">
        <w:t>)</w:t>
      </w:r>
      <w:r w:rsidRPr="000F6D2E">
        <w:tab/>
        <w:t>Minimum State of Charge</w:t>
      </w:r>
      <w:r w:rsidR="00C23DEE">
        <w:t xml:space="preserve"> (MinSOC)</w:t>
      </w:r>
      <w:r w:rsidRPr="000F6D2E">
        <w:t>, in MWh;</w:t>
      </w:r>
    </w:p>
    <w:p w14:paraId="1DB73242" w14:textId="3EC4C5C4" w:rsidR="006D3418" w:rsidRPr="000F6D2E" w:rsidRDefault="006D3418" w:rsidP="006D3418">
      <w:pPr>
        <w:spacing w:after="240"/>
        <w:ind w:left="1440" w:hanging="720"/>
      </w:pPr>
      <w:r>
        <w:t>(c</w:t>
      </w:r>
      <w:r w:rsidRPr="000F6D2E">
        <w:t>)</w:t>
      </w:r>
      <w:r w:rsidRPr="000F6D2E">
        <w:tab/>
        <w:t>State of Charge</w:t>
      </w:r>
      <w:r w:rsidR="00C23DEE">
        <w:t xml:space="preserve"> (SOC)</w:t>
      </w:r>
      <w:r w:rsidRPr="000F6D2E">
        <w:t>, in MWh;</w:t>
      </w:r>
    </w:p>
    <w:p w14:paraId="180FDADB" w14:textId="187F3826" w:rsidR="006D3418" w:rsidRPr="000F6D2E" w:rsidRDefault="006D3418" w:rsidP="006D3418">
      <w:pPr>
        <w:spacing w:after="240"/>
        <w:ind w:left="1440" w:hanging="720"/>
      </w:pPr>
      <w:r>
        <w:t>(d</w:t>
      </w:r>
      <w:r w:rsidRPr="000F6D2E">
        <w:t>)</w:t>
      </w:r>
      <w:r w:rsidRPr="000F6D2E">
        <w:tab/>
        <w:t>Maximum Operating Discharge Power Limit, in MW;</w:t>
      </w:r>
      <w:r>
        <w:t xml:space="preserve"> and</w:t>
      </w:r>
    </w:p>
    <w:p w14:paraId="15EC4923" w14:textId="77777777" w:rsidR="00C23DEE" w:rsidRDefault="006D3418" w:rsidP="00C23DEE">
      <w:pPr>
        <w:spacing w:after="240"/>
        <w:ind w:left="1440" w:hanging="720"/>
      </w:pPr>
      <w:r w:rsidRPr="000F6D2E">
        <w:t>(</w:t>
      </w:r>
      <w:r>
        <w:t>e</w:t>
      </w:r>
      <w:r w:rsidRPr="000F6D2E">
        <w:t>)</w:t>
      </w:r>
      <w:r w:rsidRPr="000F6D2E">
        <w:tab/>
        <w:t>Maximum Operating Charge Power Limit, in MW.</w:t>
      </w:r>
    </w:p>
    <w:p w14:paraId="184A15EC" w14:textId="77777777" w:rsidR="00C23DEE" w:rsidRPr="006F5A43" w:rsidRDefault="00C23DEE" w:rsidP="00C23DEE">
      <w:pPr>
        <w:spacing w:after="240"/>
        <w:ind w:left="720" w:hanging="720"/>
      </w:pPr>
      <w:r w:rsidRPr="006F5A43">
        <w:t>(13)</w:t>
      </w:r>
      <w:r w:rsidRPr="006F5A43">
        <w:tab/>
        <w:t>The QSE shall ensure that the SOC is greater than or equal to the MinSOC and less than or equal to the MaxSOC.</w:t>
      </w:r>
    </w:p>
    <w:p w14:paraId="6D37CFCE" w14:textId="15C2A7D3" w:rsidR="00C23DEE" w:rsidRPr="006F5A43" w:rsidRDefault="00C23DEE" w:rsidP="00C23DEE">
      <w:pPr>
        <w:spacing w:after="240"/>
        <w:ind w:left="720" w:hanging="720"/>
        <w:rPr>
          <w:iCs/>
        </w:rPr>
      </w:pPr>
      <w:r w:rsidRPr="006F5A43">
        <w:rPr>
          <w:iCs/>
        </w:rPr>
        <w:t>(14)</w:t>
      </w:r>
      <w:r w:rsidRPr="006F5A43">
        <w:rPr>
          <w:iCs/>
        </w:rPr>
        <w:tab/>
        <w:t>For each ESR, ERCOT shall include in the HASL calculation the SOC that is available for an injection Base Point or the additional energy that the ESR can charge in the next SCED interval.  For the purposes of paragraph (14), X equals 0.</w:t>
      </w:r>
    </w:p>
    <w:p w14:paraId="112C0035" w14:textId="77777777" w:rsidR="00C23DEE" w:rsidRPr="006F5A43" w:rsidRDefault="00C23DEE" w:rsidP="00C23DEE">
      <w:pPr>
        <w:spacing w:after="240"/>
        <w:ind w:left="1440" w:hanging="720"/>
        <w:rPr>
          <w:szCs w:val="24"/>
        </w:rPr>
      </w:pPr>
      <w:r w:rsidRPr="006F5A43">
        <w:t>(a)</w:t>
      </w:r>
      <w:r w:rsidRPr="006F5A43">
        <w:tab/>
        <w:t>SOC</w:t>
      </w:r>
      <w:r w:rsidRPr="006F5A43">
        <w:rPr>
          <w:szCs w:val="24"/>
        </w:rPr>
        <w:t xml:space="preserve"> available for an injection Base Point in the next SCED interval is the: </w:t>
      </w:r>
    </w:p>
    <w:p w14:paraId="6010BA28" w14:textId="77777777" w:rsidR="00C23DEE" w:rsidRPr="006F5A43" w:rsidRDefault="00C23DEE" w:rsidP="00C23DEE">
      <w:pPr>
        <w:spacing w:after="240"/>
        <w:ind w:left="2160" w:hanging="720"/>
        <w:rPr>
          <w:iCs/>
        </w:rPr>
      </w:pPr>
      <w:r w:rsidRPr="006F5A43">
        <w:rPr>
          <w:iCs/>
        </w:rPr>
        <w:t>(i)</w:t>
      </w:r>
      <w:r w:rsidRPr="006F5A43">
        <w:rPr>
          <w:iCs/>
        </w:rPr>
        <w:tab/>
        <w:t xml:space="preserve">Telemetered SOC; </w:t>
      </w:r>
    </w:p>
    <w:p w14:paraId="7CC2869D" w14:textId="77777777" w:rsidR="00C23DEE" w:rsidRPr="006F5A43" w:rsidRDefault="00C23DEE" w:rsidP="00C23DEE">
      <w:pPr>
        <w:spacing w:after="240"/>
        <w:ind w:left="2160" w:hanging="720"/>
        <w:rPr>
          <w:iCs/>
        </w:rPr>
      </w:pPr>
      <w:r w:rsidRPr="006F5A43">
        <w:rPr>
          <w:iCs/>
        </w:rPr>
        <w:lastRenderedPageBreak/>
        <w:t>(ii)</w:t>
      </w:r>
      <w:r w:rsidRPr="006F5A43">
        <w:rPr>
          <w:iCs/>
        </w:rPr>
        <w:tab/>
        <w:t xml:space="preserve">Minus the sum of the individual SOC requirements for each up Ancillary Service (ECRS, Non-Spin, RRS, or Reg-Up) the ESR is carrying at that time; </w:t>
      </w:r>
    </w:p>
    <w:p w14:paraId="4DB33F6D" w14:textId="77777777" w:rsidR="00C23DEE" w:rsidRPr="006F5A43" w:rsidRDefault="00C23DEE" w:rsidP="00C23DEE">
      <w:pPr>
        <w:spacing w:after="240"/>
        <w:ind w:left="2880" w:hanging="720"/>
        <w:rPr>
          <w:iCs/>
        </w:rPr>
      </w:pPr>
      <w:r w:rsidRPr="006F5A43">
        <w:rPr>
          <w:iCs/>
        </w:rPr>
        <w:t>(A)</w:t>
      </w:r>
      <w:r w:rsidRPr="006F5A43">
        <w:rPr>
          <w:iCs/>
        </w:rPr>
        <w:tab/>
        <w:t xml:space="preserve">The SOC requirement for each up Ancillary Service, excluding RRS from Fast Frequency Response (FFR) and Fast Responding Regulation Service (FRRS), is equal to the ESR’s Ancillary Service Resource Responsibility multiplied by the remaining time in the Operating Hour, in hours. </w:t>
      </w:r>
      <w:r>
        <w:rPr>
          <w:iCs/>
        </w:rPr>
        <w:t xml:space="preserve"> </w:t>
      </w:r>
      <w:r w:rsidRPr="006F5A43">
        <w:rPr>
          <w:iCs/>
        </w:rPr>
        <w:t xml:space="preserve">Prior to X minutes before the end of current Operating Hour, this requirement may increase to account for the up Ancillary Services that the ESR is required to provide in the next Operating Hour.  The SOC requirement for an ESR providing RRS from FFR is equal to the ESR’s Ancillary Service Resource Responsibility for FFR multiplied by 0.25 hours.  If FFR is deployed, an SOC credit will be given such that: </w:t>
      </w:r>
    </w:p>
    <w:p w14:paraId="70952551" w14:textId="77777777" w:rsidR="00C23DEE" w:rsidRPr="006F5A43" w:rsidRDefault="00C23DEE" w:rsidP="00C23DEE">
      <w:pPr>
        <w:spacing w:after="240"/>
        <w:ind w:left="3600" w:hanging="720"/>
        <w:rPr>
          <w:iCs/>
        </w:rPr>
      </w:pPr>
      <w:r w:rsidRPr="006F5A43">
        <w:rPr>
          <w:iCs/>
        </w:rPr>
        <w:t>(1)</w:t>
      </w:r>
      <w:r w:rsidRPr="006F5A43">
        <w:rPr>
          <w:iCs/>
        </w:rPr>
        <w:tab/>
        <w:t>Until FFR is recalled, the SOC credit is equal to the ESR’s Ancillary Service Resource Responsibility for FFR at the time of deployment multiplied by the lower of the elapsed time since the beginning of the deployment and 0.25 hours;</w:t>
      </w:r>
    </w:p>
    <w:p w14:paraId="24C583C5" w14:textId="77777777" w:rsidR="00C23DEE" w:rsidRPr="006F5A43" w:rsidRDefault="00C23DEE" w:rsidP="00C23DEE">
      <w:pPr>
        <w:spacing w:after="240"/>
        <w:ind w:left="3600" w:hanging="720"/>
        <w:rPr>
          <w:iCs/>
        </w:rPr>
      </w:pPr>
      <w:r w:rsidRPr="006F5A43">
        <w:rPr>
          <w:iCs/>
        </w:rPr>
        <w:t>(2)</w:t>
      </w:r>
      <w:r w:rsidRPr="006F5A43">
        <w:rPr>
          <w:iCs/>
        </w:rPr>
        <w:tab/>
        <w:t>For the 15 minutes following the recall of FFR, the SOC credit is equal to the lower of the SOC credit just prior to FFR recall and the ESR’s Ancillary Service Resource Responsibility for FFR for the current hour multiplied by 0.25 hours;</w:t>
      </w:r>
    </w:p>
    <w:p w14:paraId="485CF368" w14:textId="77777777" w:rsidR="00C23DEE" w:rsidRPr="006F5A43" w:rsidRDefault="00C23DEE" w:rsidP="00C23DEE">
      <w:pPr>
        <w:spacing w:after="240"/>
        <w:ind w:left="3600" w:hanging="720"/>
        <w:rPr>
          <w:iCs/>
        </w:rPr>
      </w:pPr>
      <w:r w:rsidRPr="006F5A43">
        <w:rPr>
          <w:iCs/>
        </w:rPr>
        <w:t>(3)</w:t>
      </w:r>
      <w:r w:rsidRPr="006F5A43">
        <w:rPr>
          <w:iCs/>
        </w:rPr>
        <w:tab/>
        <w:t>Beginning 15 minutes after FFR recall, the SOC credit is zero; and</w:t>
      </w:r>
    </w:p>
    <w:p w14:paraId="30F2CAA1" w14:textId="77777777" w:rsidR="00C23DEE" w:rsidRPr="006F5A43" w:rsidRDefault="00C23DEE" w:rsidP="00C23DEE">
      <w:pPr>
        <w:spacing w:after="240"/>
        <w:ind w:left="3600" w:hanging="720"/>
        <w:rPr>
          <w:iCs/>
        </w:rPr>
      </w:pPr>
      <w:r w:rsidRPr="006F5A43">
        <w:rPr>
          <w:iCs/>
        </w:rPr>
        <w:t>(4)</w:t>
      </w:r>
      <w:r w:rsidRPr="006F5A43">
        <w:rPr>
          <w:iCs/>
        </w:rPr>
        <w:tab/>
        <w:t>If another FFR event occurs within 15 minutes after a previous FFR event has been recalled, the SOC credit for the first event calculated in paragraph (2) above will be applied to the SOC credit for each additional FFR event.</w:t>
      </w:r>
    </w:p>
    <w:p w14:paraId="6D5440E7" w14:textId="77777777" w:rsidR="00C23DEE" w:rsidRPr="006F5A43" w:rsidRDefault="00C23DEE" w:rsidP="00C23DEE">
      <w:pPr>
        <w:spacing w:after="240"/>
        <w:ind w:left="2160" w:hanging="720"/>
        <w:rPr>
          <w:iCs/>
        </w:rPr>
      </w:pPr>
      <w:r w:rsidRPr="006F5A43">
        <w:rPr>
          <w:iCs/>
        </w:rPr>
        <w:t>(iii)</w:t>
      </w:r>
      <w:r w:rsidRPr="006F5A43">
        <w:rPr>
          <w:iCs/>
        </w:rPr>
        <w:tab/>
        <w:t>Minus the telemetered MinSOC.</w:t>
      </w:r>
    </w:p>
    <w:p w14:paraId="544AC385" w14:textId="77777777" w:rsidR="00C23DEE" w:rsidRPr="006F5A43" w:rsidRDefault="00C23DEE" w:rsidP="00C23DEE">
      <w:pPr>
        <w:spacing w:after="240"/>
        <w:ind w:left="1440" w:hanging="720"/>
        <w:rPr>
          <w:szCs w:val="24"/>
        </w:rPr>
      </w:pPr>
      <w:r w:rsidRPr="006F5A43">
        <w:rPr>
          <w:szCs w:val="24"/>
        </w:rPr>
        <w:t>(b)</w:t>
      </w:r>
      <w:r w:rsidRPr="006F5A43">
        <w:rPr>
          <w:szCs w:val="24"/>
        </w:rPr>
        <w:tab/>
        <w:t>The additional energy that the ESR can charge in the next SCED interval is the:</w:t>
      </w:r>
    </w:p>
    <w:p w14:paraId="533BAAD8" w14:textId="77777777" w:rsidR="00C23DEE" w:rsidRPr="006F5A43" w:rsidRDefault="00C23DEE" w:rsidP="00C23DEE">
      <w:pPr>
        <w:spacing w:after="240"/>
        <w:ind w:left="2160" w:hanging="720"/>
        <w:rPr>
          <w:iCs/>
        </w:rPr>
      </w:pPr>
      <w:r w:rsidRPr="006F5A43">
        <w:rPr>
          <w:iCs/>
        </w:rPr>
        <w:t>(i)</w:t>
      </w:r>
      <w:r w:rsidRPr="006F5A43">
        <w:rPr>
          <w:iCs/>
        </w:rPr>
        <w:tab/>
        <w:t>Telemetered MaxSOC;</w:t>
      </w:r>
    </w:p>
    <w:p w14:paraId="3315FF08" w14:textId="77777777" w:rsidR="00C23DEE" w:rsidRPr="006F5A43" w:rsidRDefault="00C23DEE" w:rsidP="00C23DEE">
      <w:pPr>
        <w:spacing w:after="240"/>
        <w:ind w:left="2160" w:hanging="720"/>
        <w:rPr>
          <w:iCs/>
        </w:rPr>
      </w:pPr>
      <w:r w:rsidRPr="006F5A43">
        <w:rPr>
          <w:iCs/>
        </w:rPr>
        <w:t>(ii)</w:t>
      </w:r>
      <w:r w:rsidRPr="006F5A43">
        <w:rPr>
          <w:iCs/>
        </w:rPr>
        <w:tab/>
        <w:t>Minus the SOC margin required for the Reg-Down Ancillary Service Resource Responsibility the ESR is carrying at that time, which is calculated as the ESR’s Reg-Down Ancillary Service Resource Responsibility multiplied by the remaining time in the Operating Hour, in hours.  Prior to X minutes before the end of current Operating Hour, this SOC margin requirement may increase to account for the Regulation Down the ESR is planning to provide in the next Operating Hour;</w:t>
      </w:r>
    </w:p>
    <w:p w14:paraId="32AF87EA" w14:textId="6DE59239" w:rsidR="00C23DEE" w:rsidRDefault="00C23DEE" w:rsidP="00C23DEE">
      <w:pPr>
        <w:spacing w:after="240"/>
        <w:ind w:left="2160" w:hanging="720"/>
      </w:pPr>
      <w:r w:rsidRPr="006F5A43">
        <w:rPr>
          <w:iCs/>
        </w:rPr>
        <w:lastRenderedPageBreak/>
        <w:t>(iii)</w:t>
      </w:r>
      <w:r w:rsidRPr="006F5A43">
        <w:rPr>
          <w:iCs/>
        </w:rPr>
        <w:tab/>
        <w:t>Minus telemetered SOC.</w:t>
      </w:r>
    </w:p>
    <w:p w14:paraId="2E4D43D0" w14:textId="5089C0F2" w:rsidR="006D3418" w:rsidRDefault="006D3418" w:rsidP="00947351">
      <w:pPr>
        <w:spacing w:after="240"/>
        <w:ind w:left="720" w:hanging="720"/>
      </w:pPr>
      <w:r>
        <w:t>(1</w:t>
      </w:r>
      <w:r w:rsidR="00C23DEE">
        <w:t>5</w:t>
      </w:r>
      <w:r>
        <w:t>)</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E2BE2" w14:paraId="30F8E82E" w14:textId="77777777" w:rsidTr="004D1724">
        <w:trPr>
          <w:trHeight w:val="566"/>
        </w:trPr>
        <w:tc>
          <w:tcPr>
            <w:tcW w:w="9350" w:type="dxa"/>
            <w:shd w:val="pct12" w:color="auto" w:fill="auto"/>
          </w:tcPr>
          <w:p w14:paraId="7880CD4B" w14:textId="6602173E" w:rsidR="008E2BE2" w:rsidRDefault="008E2BE2" w:rsidP="00044161">
            <w:pPr>
              <w:pStyle w:val="Instructions"/>
              <w:spacing w:before="60"/>
            </w:pPr>
            <w:bookmarkStart w:id="819" w:name="_Toc397504953"/>
            <w:bookmarkStart w:id="820" w:name="_Toc402357081"/>
            <w:bookmarkStart w:id="821" w:name="_Toc422486461"/>
            <w:bookmarkStart w:id="822" w:name="_Toc433093313"/>
            <w:bookmarkStart w:id="823" w:name="_Toc433093471"/>
            <w:bookmarkStart w:id="824" w:name="_Toc440874700"/>
            <w:bookmarkStart w:id="825" w:name="_Toc448142255"/>
            <w:bookmarkStart w:id="826" w:name="_Toc448142412"/>
            <w:bookmarkStart w:id="827" w:name="_Toc458770248"/>
            <w:bookmarkStart w:id="828" w:name="_Toc459294216"/>
            <w:bookmarkStart w:id="829" w:name="_Toc463262709"/>
            <w:bookmarkStart w:id="830" w:name="_Toc468286783"/>
            <w:bookmarkStart w:id="831" w:name="_Toc481502829"/>
            <w:r>
              <w:t>[NPRR</w:t>
            </w:r>
            <w:r w:rsidR="004D1724">
              <w:t>1077</w:t>
            </w:r>
            <w:r>
              <w:t>:  Insert paragraph</w:t>
            </w:r>
            <w:r w:rsidR="004D1724">
              <w:t>s</w:t>
            </w:r>
            <w:r>
              <w:t xml:space="preserve"> (1</w:t>
            </w:r>
            <w:r w:rsidR="00C23DEE">
              <w:t>6</w:t>
            </w:r>
            <w:r>
              <w:t>)</w:t>
            </w:r>
            <w:r w:rsidR="004D1724">
              <w:t>-(1</w:t>
            </w:r>
            <w:r w:rsidR="00C23DEE">
              <w:t>8</w:t>
            </w:r>
            <w:r w:rsidR="004D1724">
              <w:t>)</w:t>
            </w:r>
            <w:r>
              <w:t xml:space="preserve"> below upon system implementation:]</w:t>
            </w:r>
          </w:p>
          <w:p w14:paraId="28CA20C2" w14:textId="56C576FC" w:rsidR="004D1724" w:rsidRDefault="004D1724" w:rsidP="004D1724">
            <w:pPr>
              <w:spacing w:before="240" w:after="240"/>
              <w:ind w:left="720" w:hanging="720"/>
            </w:pPr>
            <w:r>
              <w:t>(1</w:t>
            </w:r>
            <w:r w:rsidR="00C23DEE">
              <w:t>6</w:t>
            </w:r>
            <w:r>
              <w:t>)</w:t>
            </w:r>
            <w:r>
              <w:tab/>
              <w:t xml:space="preserve">Except as provided in paragraph (15) </w:t>
            </w:r>
            <w:r w:rsidRPr="0044661A">
              <w:t>below</w:t>
            </w:r>
            <w:r>
              <w:t>, a</w:t>
            </w:r>
            <w:r w:rsidRPr="00F44E9E">
              <w:t xml:space="preserve"> QSE representing a S</w:t>
            </w:r>
            <w:r>
              <w:t>ettlement Only Generator (S</w:t>
            </w:r>
            <w:r w:rsidRPr="00F44E9E">
              <w:t>OG</w:t>
            </w:r>
            <w:r>
              <w:t>)</w:t>
            </w:r>
            <w:r w:rsidRPr="00F44E9E">
              <w:t xml:space="preserve"> shall provide ERCOT </w:t>
            </w:r>
            <w:r>
              <w:t xml:space="preserve">the following </w:t>
            </w:r>
            <w:r w:rsidRPr="00F44E9E">
              <w:t>Real-Time telemetry</w:t>
            </w:r>
            <w:r>
              <w:t>:</w:t>
            </w:r>
          </w:p>
          <w:p w14:paraId="6D5768F2" w14:textId="4E452B6E" w:rsidR="004D1724" w:rsidRDefault="004D1724" w:rsidP="004D1724">
            <w:pPr>
              <w:spacing w:after="240"/>
              <w:ind w:left="1440" w:hanging="720"/>
            </w:pPr>
            <w:r>
              <w:t>(a)</w:t>
            </w:r>
            <w:r>
              <w:tab/>
              <w:t>Net real power injection</w:t>
            </w:r>
            <w:r w:rsidRPr="00586653">
              <w:t xml:space="preserve"> at the Point of Interconnection</w:t>
            </w:r>
            <w:r>
              <w:t xml:space="preserve"> (POI)</w:t>
            </w:r>
            <w:r w:rsidRPr="00586653">
              <w:t xml:space="preserve"> or Point of Common Coupling</w:t>
            </w:r>
            <w:r>
              <w:t xml:space="preserve"> (POCC) for each site with one or more SOGs;</w:t>
            </w:r>
          </w:p>
          <w:p w14:paraId="4D620E24" w14:textId="4E9FEB6F" w:rsidR="004D1724" w:rsidRDefault="004D1724" w:rsidP="004D1724">
            <w:pPr>
              <w:spacing w:after="240"/>
              <w:ind w:left="1440" w:hanging="720"/>
            </w:pPr>
            <w:r>
              <w:t>(b)</w:t>
            </w:r>
            <w:r>
              <w:tab/>
              <w:t xml:space="preserve">For any site with one or more ESSs that are registered as an SOG, net real power withdrawal </w:t>
            </w:r>
            <w:r w:rsidRPr="00F44E9E">
              <w:t xml:space="preserve">at the </w:t>
            </w:r>
            <w:r>
              <w:t>POI</w:t>
            </w:r>
            <w:r w:rsidRPr="00F44E9E">
              <w:t xml:space="preserve"> or </w:t>
            </w:r>
            <w:r>
              <w:t>POCC;</w:t>
            </w:r>
          </w:p>
          <w:p w14:paraId="45C5493A" w14:textId="77777777" w:rsidR="004D1724" w:rsidRDefault="004D1724" w:rsidP="004D1724">
            <w:pPr>
              <w:spacing w:after="240"/>
              <w:ind w:left="1440" w:hanging="720"/>
            </w:pPr>
            <w:r>
              <w:t>(c)</w:t>
            </w:r>
            <w:r>
              <w:tab/>
              <w:t>For each inverter at the site, gross</w:t>
            </w:r>
            <w:r w:rsidRPr="003D61C8">
              <w:t xml:space="preserve"> </w:t>
            </w:r>
            <w:r>
              <w:t>real power output measured at the generator terminals for all SOGs that are located behind that inverter, separately aggregated by fuel type;</w:t>
            </w:r>
          </w:p>
          <w:p w14:paraId="3C972138" w14:textId="15350042" w:rsidR="004D1724" w:rsidRDefault="004D1724" w:rsidP="004D1724">
            <w:pPr>
              <w:spacing w:after="240"/>
              <w:ind w:left="1440" w:hanging="720"/>
            </w:pPr>
            <w:r>
              <w:t>(d)</w:t>
            </w:r>
            <w:r>
              <w:tab/>
              <w:t>For SOGs at the same site that are not located behind an inverter, gross real power output measured at the generator terminals for all SOGs, separately aggregated by fuel type;</w:t>
            </w:r>
          </w:p>
          <w:p w14:paraId="0CE23172" w14:textId="2D57944F" w:rsidR="004D1724" w:rsidRDefault="004D1724" w:rsidP="004D1724">
            <w:pPr>
              <w:spacing w:after="240"/>
              <w:ind w:left="1440" w:hanging="720"/>
            </w:pPr>
            <w:r>
              <w:t>(e)</w:t>
            </w:r>
            <w:r>
              <w:tab/>
              <w:t>For any site with one or more ESSs registered as an SOG, for each inverter, gross real power withdrawal by all such ESSs that are located behind that inverter, as measured at the generator terminals; and</w:t>
            </w:r>
          </w:p>
          <w:p w14:paraId="5C8F9C8F" w14:textId="13E1543F" w:rsidR="004D1724" w:rsidRDefault="004D1724" w:rsidP="004D1724">
            <w:pPr>
              <w:spacing w:after="240"/>
              <w:ind w:left="1440" w:hanging="720"/>
            </w:pPr>
            <w:r>
              <w:t>(f)</w:t>
            </w:r>
            <w:r>
              <w:tab/>
              <w:t>Generator breaker status</w:t>
            </w:r>
            <w:r w:rsidRPr="003D61C8">
              <w:t>.</w:t>
            </w:r>
          </w:p>
          <w:p w14:paraId="0C75F1FE" w14:textId="0ACDC60C" w:rsidR="004D1724" w:rsidRDefault="004D1724" w:rsidP="00847E53">
            <w:pPr>
              <w:spacing w:after="240"/>
              <w:ind w:left="720" w:hanging="720"/>
            </w:pPr>
            <w:r>
              <w:t>(1</w:t>
            </w:r>
            <w:r w:rsidR="00C23DEE">
              <w:t>7</w:t>
            </w:r>
            <w:r>
              <w:t>)</w:t>
            </w:r>
            <w:r>
              <w:tab/>
              <w:t>A QSE is not required to</w:t>
            </w:r>
            <w:r w:rsidR="00847E53">
              <w:t xml:space="preserve"> provide telemetry for a Settlement Only Distribution Generator (SODG) </w:t>
            </w:r>
            <w:r>
              <w:t>if</w:t>
            </w:r>
            <w:r w:rsidRPr="0044661A">
              <w:t>:</w:t>
            </w:r>
          </w:p>
          <w:p w14:paraId="23D16129" w14:textId="51346795" w:rsidR="004D1724" w:rsidRDefault="004D1724" w:rsidP="004D1724">
            <w:pPr>
              <w:spacing w:after="240"/>
              <w:ind w:left="1440" w:hanging="720"/>
            </w:pPr>
            <w:r>
              <w:t>(a)</w:t>
            </w:r>
            <w:r>
              <w:tab/>
            </w:r>
            <w:r w:rsidR="00847E53">
              <w:t>T</w:t>
            </w:r>
            <w:r>
              <w:t xml:space="preserve">he site that includes the SODG has not exported more than 10 MWh in any calendar year, exclusive of any energy exported during any Settlement Interval in which an ERCOT-declared </w:t>
            </w:r>
            <w:r w:rsidRPr="009D1772">
              <w:t>Energy Emergency Alert (EEA)</w:t>
            </w:r>
            <w:r>
              <w:t xml:space="preserve"> is in effect; </w:t>
            </w:r>
          </w:p>
          <w:p w14:paraId="32892B1A" w14:textId="34F25F07" w:rsidR="004D1724" w:rsidRDefault="004D1724" w:rsidP="004D1724">
            <w:pPr>
              <w:spacing w:after="240"/>
              <w:ind w:left="1440" w:hanging="720"/>
            </w:pPr>
            <w:r>
              <w:t>(b)</w:t>
            </w:r>
            <w:r>
              <w:tab/>
            </w:r>
            <w:r w:rsidR="00847E53">
              <w:t>T</w:t>
            </w:r>
            <w:r>
              <w:t>he QSE or Resource Entity for the SODG has submitted a written request to ERCOT seeking an exemption from the telemetry requirements under this paragraph; and</w:t>
            </w:r>
          </w:p>
          <w:p w14:paraId="534749AE" w14:textId="04C6EB29" w:rsidR="004D1724" w:rsidRDefault="004D1724" w:rsidP="004D1724">
            <w:pPr>
              <w:spacing w:after="240"/>
              <w:ind w:left="1440" w:hanging="720"/>
            </w:pPr>
            <w:r>
              <w:t>(c)</w:t>
            </w:r>
            <w:r>
              <w:tab/>
              <w:t xml:space="preserve">ERCOT has provided the QSE or Resource Entity written confirmation that the SODG is exempt from providing telemetry under this paragraph. </w:t>
            </w:r>
          </w:p>
          <w:p w14:paraId="0050A5E5" w14:textId="45EAA361" w:rsidR="008E2BE2" w:rsidRPr="008E2BE2" w:rsidRDefault="004D1724" w:rsidP="00C23DEE">
            <w:pPr>
              <w:spacing w:after="240"/>
              <w:ind w:left="720" w:hanging="720"/>
            </w:pPr>
            <w:r>
              <w:t>(1</w:t>
            </w:r>
            <w:r w:rsidR="00C23DEE">
              <w:t>8</w:t>
            </w:r>
            <w:r>
              <w:t>)</w:t>
            </w:r>
            <w:r>
              <w:tab/>
              <w:t xml:space="preserve">If ERCOT determines that a site that includes an SODG has exported more than 10 MWh in a given calendar year, it shall notify the SODG’s QSE that the SODG is no </w:t>
            </w:r>
            <w:r>
              <w:lastRenderedPageBreak/>
              <w:t xml:space="preserve">longer eligible for the telemetry exemption.  Within 90 days of receiving this notification, the QSE for the SODG shall comply with the telemetry requirements of paragraph (14) </w:t>
            </w:r>
            <w:r w:rsidRPr="0044661A">
              <w:t>above</w:t>
            </w:r>
            <w:r>
              <w:t>.</w:t>
            </w:r>
          </w:p>
        </w:tc>
      </w:tr>
    </w:tbl>
    <w:p w14:paraId="57F00A12" w14:textId="77777777" w:rsidR="005C6D56" w:rsidRDefault="005C6D56" w:rsidP="005C6D56">
      <w:pPr>
        <w:pStyle w:val="H3"/>
        <w:spacing w:before="0" w:after="0"/>
      </w:pPr>
      <w:bookmarkStart w:id="832" w:name="_Toc49607999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5C6D56" w14:paraId="6504A8E4" w14:textId="77777777" w:rsidTr="00847E53">
        <w:trPr>
          <w:trHeight w:val="206"/>
        </w:trPr>
        <w:tc>
          <w:tcPr>
            <w:tcW w:w="9360" w:type="dxa"/>
            <w:shd w:val="pct12" w:color="auto" w:fill="auto"/>
          </w:tcPr>
          <w:p w14:paraId="2EBF4934" w14:textId="31166CF2" w:rsidR="005C6D56" w:rsidRDefault="005C6D56" w:rsidP="00CE1011">
            <w:pPr>
              <w:pStyle w:val="Instructions"/>
              <w:spacing w:before="120"/>
            </w:pPr>
            <w:r>
              <w:t>[NPRR885:  Insert paragraph (1</w:t>
            </w:r>
            <w:r w:rsidR="00C23DEE">
              <w:t>9</w:t>
            </w:r>
            <w:r>
              <w:t>) below upon system implementation:]</w:t>
            </w:r>
          </w:p>
          <w:p w14:paraId="7B68229C" w14:textId="6714B05D" w:rsidR="005C6D56" w:rsidRPr="00B37C4B" w:rsidRDefault="005C6D56" w:rsidP="006D3418">
            <w:pPr>
              <w:spacing w:before="240" w:after="240"/>
              <w:ind w:left="720" w:hanging="720"/>
            </w:pPr>
            <w:r>
              <w:t>(1</w:t>
            </w:r>
            <w:r w:rsidR="00C23DEE">
              <w:t>9</w:t>
            </w:r>
            <w:r>
              <w:t>)</w:t>
            </w:r>
            <w:r>
              <w:tab/>
              <w:t xml:space="preserve">A QSE representing </w:t>
            </w:r>
            <w:r w:rsidR="00DF66E2">
              <w:t xml:space="preserve">a Must-Run Alternative (MRA) </w:t>
            </w:r>
            <w:r>
              <w:t>shall telemeter</w:t>
            </w:r>
            <w:r w:rsidRPr="002E75F3">
              <w:t xml:space="preserve"> </w:t>
            </w:r>
            <w:r>
              <w:t>the MRA MW</w:t>
            </w:r>
            <w:r w:rsidRPr="00D3700F">
              <w:t xml:space="preserve"> currently available (unloaded) and </w:t>
            </w:r>
            <w:r>
              <w:t xml:space="preserve">not </w:t>
            </w:r>
            <w:r w:rsidRPr="00D3700F">
              <w:t>included in the HSL</w:t>
            </w:r>
            <w:r>
              <w:t>.</w:t>
            </w:r>
          </w:p>
        </w:tc>
      </w:tr>
    </w:tbl>
    <w:p w14:paraId="30A9E465" w14:textId="77777777" w:rsidR="000C75ED" w:rsidRDefault="000C75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C75ED" w14:paraId="3F78EED4" w14:textId="77777777" w:rsidTr="000C75E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C631850" w14:textId="33507B38" w:rsidR="000C75ED" w:rsidRDefault="000C75ED" w:rsidP="00C952ED">
            <w:pPr>
              <w:pStyle w:val="Instructions"/>
              <w:spacing w:before="120"/>
            </w:pPr>
            <w:r>
              <w:t>[NPRR1029:  Insert paragraph (</w:t>
            </w:r>
            <w:r w:rsidR="00C23DEE">
              <w:t>20</w:t>
            </w:r>
            <w:r>
              <w:t>) below upon system implementation:]</w:t>
            </w:r>
          </w:p>
          <w:p w14:paraId="29B2A3C8" w14:textId="4B662EF4" w:rsidR="000C75ED" w:rsidRDefault="000C75ED" w:rsidP="000C75ED">
            <w:pPr>
              <w:spacing w:before="240" w:after="240"/>
              <w:ind w:left="720" w:hanging="720"/>
            </w:pPr>
            <w:r>
              <w:t>(</w:t>
            </w:r>
            <w:r w:rsidR="00C23DEE">
              <w:t>20</w:t>
            </w:r>
            <w:r>
              <w:t>)</w:t>
            </w:r>
            <w:r>
              <w:tab/>
            </w:r>
            <w:r w:rsidRPr="002F52BF">
              <w:t xml:space="preserve">A QSE representing </w:t>
            </w:r>
            <w:r>
              <w:t>a DC-Coupled Resource shall provide the following Real-Time telemetry data in addition to that required for other ESRs:</w:t>
            </w:r>
          </w:p>
          <w:p w14:paraId="45420899" w14:textId="5CE7A6B7" w:rsidR="000C75ED" w:rsidRDefault="000C75ED" w:rsidP="000C75ED">
            <w:pPr>
              <w:spacing w:after="240"/>
              <w:ind w:left="1440" w:hanging="720"/>
            </w:pPr>
            <w:r>
              <w:t>(a)</w:t>
            </w:r>
            <w:r>
              <w:tab/>
              <w:t>Gross AC MW production of the intermittent renewable generation component of the DC-Coupled Resource, which includes the portion of the intermittent renewable generation used to charge the ESS and/or serve auxiliary Load on the DC side of the inverter; and</w:t>
            </w:r>
          </w:p>
          <w:p w14:paraId="60A89C16" w14:textId="5D24CDE6" w:rsidR="000C75ED" w:rsidRPr="00B37C4B" w:rsidRDefault="000C75ED" w:rsidP="000C75ED">
            <w:pPr>
              <w:spacing w:after="240"/>
              <w:ind w:left="1440" w:hanging="720"/>
            </w:pPr>
            <w:r>
              <w:t>(b)</w:t>
            </w:r>
            <w:r>
              <w:tab/>
              <w:t>Gross AC MW capability of the intermittent renewable generation component of the DC-Coupled Resource, based on Real-Time conditions.</w:t>
            </w:r>
          </w:p>
        </w:tc>
      </w:tr>
    </w:tbl>
    <w:p w14:paraId="0C46DAA4" w14:textId="77777777" w:rsidR="00125072" w:rsidRDefault="00125072" w:rsidP="001250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5072" w14:paraId="2D8F80D2" w14:textId="77777777" w:rsidTr="0042535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153E87D1" w14:textId="2A24304B" w:rsidR="00125072" w:rsidRDefault="00125072" w:rsidP="00425355">
            <w:pPr>
              <w:pStyle w:val="Instructions"/>
              <w:spacing w:before="120"/>
            </w:pPr>
            <w:r>
              <w:t>[NPRR995:  Insert paragraph (</w:t>
            </w:r>
            <w:r w:rsidR="00C23DEE">
              <w:t>2</w:t>
            </w:r>
            <w:r>
              <w:t>1) below upon system implementation:]</w:t>
            </w:r>
          </w:p>
          <w:p w14:paraId="073C40D3" w14:textId="495D6511" w:rsidR="00125072" w:rsidRPr="00125072" w:rsidRDefault="00125072" w:rsidP="00125072">
            <w:pPr>
              <w:spacing w:before="240" w:after="240"/>
              <w:ind w:left="720" w:hanging="720"/>
              <w:rPr>
                <w:iCs/>
              </w:rPr>
            </w:pPr>
            <w:r>
              <w:t>(</w:t>
            </w:r>
            <w:r w:rsidR="00C23DEE">
              <w:t>2</w:t>
            </w:r>
            <w:r>
              <w:t>1)</w:t>
            </w:r>
            <w:r>
              <w:tab/>
              <w:t>A QSE representing a Settlement Only Energy Storage System (SOESS) that elects to include the net generation and/or net withdrawals of the SOESS in the estimate of Real-Time Liability (RTL) shall provide ERCOT Real-Time telemetry of the net generation and/or net withdrawals of the SOESS.</w:t>
            </w:r>
          </w:p>
        </w:tc>
      </w:tr>
    </w:tbl>
    <w:p w14:paraId="7ED01428" w14:textId="77777777" w:rsidR="001F04FD" w:rsidRDefault="001F04FD" w:rsidP="001F04FD">
      <w:pPr>
        <w:pStyle w:val="H3"/>
        <w:spacing w:before="480"/>
      </w:pPr>
      <w:bookmarkStart w:id="833" w:name="_Toc189044336"/>
      <w:r>
        <w:t>6.5.6</w:t>
      </w:r>
      <w:r>
        <w:tab/>
        <w:t>TSP and DSP Responsibilities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FA240DD" w14:textId="77777777" w:rsidR="001F04FD" w:rsidRDefault="001F04FD" w:rsidP="001F04FD">
      <w:pPr>
        <w:pStyle w:val="BodyText"/>
        <w:ind w:left="720" w:hanging="720"/>
      </w:pPr>
      <w:bookmarkStart w:id="834" w:name="_Toc73216012"/>
      <w:r>
        <w:t>(1)</w:t>
      </w:r>
      <w:r>
        <w:tab/>
        <w:t>Each TSP shall notify ERCOT of any changes in status of Transmission Elements as provided in these Protocols and clarified in the ERCOT procedures.</w:t>
      </w:r>
    </w:p>
    <w:p w14:paraId="5E9F1B5A" w14:textId="77777777" w:rsidR="001F04FD" w:rsidRDefault="001F04FD" w:rsidP="001F04FD">
      <w:pPr>
        <w:pStyle w:val="BodyText"/>
        <w:ind w:left="720" w:hanging="720"/>
      </w:pPr>
      <w:r>
        <w:t>(2)</w:t>
      </w:r>
      <w:r>
        <w:tab/>
        <w:t>Each TSP shall as soon as practicable report to ERCOT any short-term inability to meet minimum TSP reactive requirements.</w:t>
      </w:r>
    </w:p>
    <w:p w14:paraId="18E926F6" w14:textId="77777777" w:rsidR="001F04FD" w:rsidRDefault="001F04FD" w:rsidP="001F04FD">
      <w:pPr>
        <w:pStyle w:val="BodyText"/>
        <w:ind w:left="720" w:hanging="720"/>
      </w:pPr>
      <w:r>
        <w:t>(3)</w:t>
      </w:r>
      <w:r>
        <w:tab/>
        <w:t>Each DSP shall as soon as practicable report to ERCOT any short-term inability to meet minimum DSP reactive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4281" w14:paraId="0EDDF042" w14:textId="77777777" w:rsidTr="00B37819">
        <w:trPr>
          <w:trHeight w:val="206"/>
        </w:trPr>
        <w:tc>
          <w:tcPr>
            <w:tcW w:w="9576" w:type="dxa"/>
            <w:shd w:val="pct12" w:color="auto" w:fill="auto"/>
          </w:tcPr>
          <w:p w14:paraId="3A390A5E" w14:textId="3E858A7F" w:rsidR="00524281" w:rsidRDefault="00524281" w:rsidP="00B37819">
            <w:pPr>
              <w:pStyle w:val="Instructions"/>
              <w:spacing w:before="120"/>
            </w:pPr>
            <w:bookmarkStart w:id="835" w:name="_Toc397504954"/>
            <w:bookmarkStart w:id="836" w:name="_Toc402357082"/>
            <w:bookmarkStart w:id="837" w:name="_Toc422486462"/>
            <w:bookmarkStart w:id="838" w:name="_Toc433093314"/>
            <w:bookmarkStart w:id="839" w:name="_Toc433093472"/>
            <w:bookmarkStart w:id="840" w:name="_Toc440874701"/>
            <w:bookmarkStart w:id="841" w:name="_Toc448142256"/>
            <w:bookmarkStart w:id="842" w:name="_Toc448142413"/>
            <w:bookmarkStart w:id="843" w:name="_Toc458770249"/>
            <w:bookmarkStart w:id="844" w:name="_Toc459294217"/>
            <w:bookmarkStart w:id="845" w:name="_Toc463262710"/>
            <w:bookmarkStart w:id="846" w:name="_Toc468286784"/>
            <w:bookmarkStart w:id="847" w:name="_Toc481502830"/>
            <w:bookmarkStart w:id="848" w:name="_Toc496079998"/>
            <w:bookmarkEnd w:id="834"/>
            <w:r>
              <w:lastRenderedPageBreak/>
              <w:t xml:space="preserve">[NPRR1098:  </w:t>
            </w:r>
            <w:r w:rsidR="00135A7D">
              <w:t xml:space="preserve">Replace Section 6.5.6 above with the following upon system implementation </w:t>
            </w:r>
            <w:r w:rsidR="00135A7D" w:rsidRPr="00524281">
              <w:t xml:space="preserve">and satisfying the following conditions: </w:t>
            </w:r>
            <w:r w:rsidR="00135A7D">
              <w:t xml:space="preserve"> </w:t>
            </w:r>
            <w:r w:rsidR="00135A7D" w:rsidRPr="00524281">
              <w:t xml:space="preserve">(1) Southern Cross Transmission LLC (Southern Cross) provides ERCOT with funds to cover the entire estimated cost of the project; and (2) Southern Cross has signed an interconnection agreement with a Transmission Service Provider (TSP) and the TSP gives ERCOT written notice that Southern Cross has provided it with: </w:t>
            </w:r>
            <w:r w:rsidR="00135A7D">
              <w:t xml:space="preserve"> </w:t>
            </w:r>
            <w:r w:rsidR="00135A7D" w:rsidRPr="00524281">
              <w:t>(a) Notice to proceed with the construction of the interconnection; and (b) The financial security required to fund the interconnection facilities</w:t>
            </w:r>
            <w:r>
              <w:t>:]</w:t>
            </w:r>
          </w:p>
          <w:p w14:paraId="55ED5B47" w14:textId="77777777" w:rsidR="00524281" w:rsidRDefault="00524281" w:rsidP="00524281">
            <w:pPr>
              <w:pStyle w:val="H3"/>
              <w:spacing w:before="0"/>
            </w:pPr>
            <w:bookmarkStart w:id="849" w:name="_Toc108712443"/>
            <w:bookmarkStart w:id="850" w:name="_Toc112417563"/>
            <w:bookmarkStart w:id="851" w:name="_Toc119310232"/>
            <w:bookmarkStart w:id="852" w:name="_Toc125966166"/>
            <w:bookmarkStart w:id="853" w:name="_Toc135992264"/>
            <w:bookmarkStart w:id="854" w:name="_Toc170303460"/>
            <w:bookmarkStart w:id="855" w:name="_Toc175157364"/>
            <w:bookmarkStart w:id="856" w:name="_Toc189044337"/>
            <w:bookmarkStart w:id="857" w:name="_Toc65151690"/>
            <w:bookmarkStart w:id="858" w:name="_Toc65151658"/>
            <w:r>
              <w:t>6.5.6</w:t>
            </w:r>
            <w:r>
              <w:tab/>
              <w:t>TSP, TO, DCTO, and DSP Responsibilities</w:t>
            </w:r>
            <w:bookmarkEnd w:id="849"/>
            <w:bookmarkEnd w:id="850"/>
            <w:bookmarkEnd w:id="851"/>
            <w:bookmarkEnd w:id="852"/>
            <w:bookmarkEnd w:id="853"/>
            <w:bookmarkEnd w:id="854"/>
            <w:bookmarkEnd w:id="855"/>
            <w:bookmarkEnd w:id="856"/>
          </w:p>
          <w:p w14:paraId="0DD3915B" w14:textId="77777777" w:rsidR="00524281" w:rsidRDefault="00524281" w:rsidP="00524281">
            <w:pPr>
              <w:pStyle w:val="BodyText"/>
              <w:ind w:left="720" w:hanging="720"/>
            </w:pPr>
            <w:r>
              <w:t>(1)</w:t>
            </w:r>
            <w:r>
              <w:tab/>
              <w:t>Each TSP shall notify ERCOT of any changes in status of Transmission Elements as provided in these Protocols and clarified in the ERCOT procedures.</w:t>
            </w:r>
          </w:p>
          <w:p w14:paraId="087C0C61" w14:textId="77777777" w:rsidR="00524281" w:rsidRDefault="00524281" w:rsidP="00524281">
            <w:pPr>
              <w:pStyle w:val="BodyText"/>
              <w:ind w:left="720" w:hanging="720"/>
            </w:pPr>
            <w:r>
              <w:t>(2)</w:t>
            </w:r>
            <w:r>
              <w:tab/>
              <w:t>Each TSP shall as soon as practicable report to ERCOT any short-term inability to meet minimum TSP reactive requirements.</w:t>
            </w:r>
          </w:p>
          <w:p w14:paraId="19F3A12F" w14:textId="77777777" w:rsidR="00524281" w:rsidRDefault="00524281" w:rsidP="00524281">
            <w:pPr>
              <w:pStyle w:val="BodyText"/>
              <w:ind w:left="720" w:hanging="720"/>
            </w:pPr>
            <w:r>
              <w:t>(3)</w:t>
            </w:r>
            <w:r>
              <w:tab/>
              <w:t>Each DSP shall as soon as practicable report to ERCOT any short-term inability to meet minimum DSP reactive requirements.</w:t>
            </w:r>
          </w:p>
          <w:p w14:paraId="327B478A" w14:textId="77777777" w:rsidR="00524281" w:rsidRDefault="00524281" w:rsidP="00524281">
            <w:pPr>
              <w:pStyle w:val="BodyText"/>
              <w:ind w:left="720" w:hanging="720"/>
            </w:pPr>
            <w:r>
              <w:t>(4)</w:t>
            </w:r>
            <w:r>
              <w:tab/>
              <w:t>Each DCTO shall immediately notify its designated TO of any change that affects the reactive capability of any DC Tie Facility it operates, including any change to the operation mode of the DC Tie Facility’s voltage control system or any temporary transmission voltage limit changes.  Each TO designated by a DCTO shall immediately notify ERCOT when a DC Tie Facility experiences a change that affects its reactive capability, including any change to the operation mode of the DC Tie Facility’s voltage control system or any temporary transmission voltage limit changes.</w:t>
            </w:r>
            <w:bookmarkEnd w:id="857"/>
            <w:bookmarkEnd w:id="858"/>
          </w:p>
          <w:p w14:paraId="3E744D34" w14:textId="77777777" w:rsidR="00524281" w:rsidRDefault="00524281" w:rsidP="00524281">
            <w:pPr>
              <w:pStyle w:val="BodyText"/>
              <w:ind w:left="720" w:hanging="720"/>
              <w:rPr>
                <w:iCs w:val="0"/>
              </w:rPr>
            </w:pPr>
            <w:r>
              <w:t>(5)</w:t>
            </w:r>
            <w:r>
              <w:tab/>
              <w:t xml:space="preserve">Each TO designated by a DCTO operating a DC Tie meeting the applicability requirements of paragraph (1) of Section 3.15.4, </w:t>
            </w:r>
            <w:r w:rsidRPr="00405905">
              <w:t>Direct Current Tie Owner and Direct Current Tie Operator (DCTO) Responsibilities Related to Voltage Support</w:t>
            </w:r>
            <w:r>
              <w:t xml:space="preserve">, shall for each such DC Tie provide to ERCOT, via ICCP, the status of the DC Tie Facility’s voltage control system.  </w:t>
            </w:r>
            <w:r>
              <w:rPr>
                <w:iCs w:val="0"/>
              </w:rPr>
              <w:t>An “On” status will indicate that the control system is on and set to regulate the voltage at the DC Tie’s POIB in automatic voltage control mode, and an “Off” status will indicate that the control system is off or in manual mode.</w:t>
            </w:r>
          </w:p>
          <w:p w14:paraId="2204026E" w14:textId="0EC29617" w:rsidR="00524281" w:rsidRPr="00A4149C" w:rsidRDefault="00524281" w:rsidP="00524281">
            <w:pPr>
              <w:spacing w:after="240"/>
              <w:ind w:left="720" w:hanging="720"/>
            </w:pPr>
            <w:r>
              <w:rPr>
                <w:iCs/>
              </w:rPr>
              <w:t>(6)</w:t>
            </w:r>
            <w:r>
              <w:rPr>
                <w:iCs/>
              </w:rPr>
              <w:tab/>
            </w:r>
            <w:r>
              <w:t>Each TO designated by a DCTO operating a DC Tie meeting the applicability requirements of paragraph (1) of Section 3.15.4 shall telemeter to ERCOT, via ICCP, the Real-Time target voltage at each DC Tie’s POIB.  Each TO shall modify the telemetered target voltage to match any verbal target voltage instruction issued as soon as practicable.</w:t>
            </w:r>
          </w:p>
        </w:tc>
      </w:tr>
    </w:tbl>
    <w:p w14:paraId="438867FC" w14:textId="77777777" w:rsidR="001F04FD" w:rsidRDefault="001F04FD" w:rsidP="001F04FD">
      <w:pPr>
        <w:pStyle w:val="H3"/>
        <w:spacing w:before="480"/>
      </w:pPr>
      <w:bookmarkStart w:id="859" w:name="_Toc189044338"/>
      <w:r>
        <w:t>6.5.7</w:t>
      </w:r>
      <w:r>
        <w:tab/>
        <w:t>Energy Dispatch Methodology</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59"/>
    </w:p>
    <w:p w14:paraId="630A065C" w14:textId="77777777" w:rsidR="001F04FD" w:rsidRDefault="001F04FD" w:rsidP="001F04FD">
      <w:pPr>
        <w:pStyle w:val="BodyText"/>
        <w:ind w:left="720" w:hanging="720"/>
      </w:pPr>
      <w:r>
        <w:t>(1)</w:t>
      </w:r>
      <w:r>
        <w:tab/>
        <w:t xml:space="preserve">This Section outlines the programmatic and manual processes employed by ERCOT to simultaneously achieve power balance (minimizing the use of Regulation Service) and </w:t>
      </w:r>
      <w:r>
        <w:lastRenderedPageBreak/>
        <w:t>manage congestion while operating within the constraints of the system at economically optimized cost.  The Real-Time Sequence describes the key system components and inputs that are required to support the SCED process, which produces the Locational Marginal Prices (LMPs) and Base Points while meeting transmission system constraints.  Section 6.5.7.3, Security Constrained Economic Dispatch, provides further details regarding additional components and inputs and ex-ante mitigation.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225D91B" w14:textId="77777777" w:rsidTr="00D94BFC">
        <w:trPr>
          <w:trHeight w:val="206"/>
        </w:trPr>
        <w:tc>
          <w:tcPr>
            <w:tcW w:w="9350" w:type="dxa"/>
            <w:shd w:val="pct12" w:color="auto" w:fill="auto"/>
          </w:tcPr>
          <w:p w14:paraId="02F87249" w14:textId="538C856B" w:rsidR="00F65784" w:rsidRDefault="00F65784" w:rsidP="00D94BFC">
            <w:pPr>
              <w:pStyle w:val="Instructions"/>
              <w:spacing w:before="120"/>
            </w:pPr>
            <w:bookmarkStart w:id="860" w:name="_Toc73216016"/>
            <w:bookmarkStart w:id="861" w:name="_Toc74137334"/>
            <w:bookmarkStart w:id="862" w:name="_Toc397504955"/>
            <w:bookmarkStart w:id="863" w:name="_Toc402357083"/>
            <w:bookmarkStart w:id="864" w:name="_Toc422486463"/>
            <w:bookmarkStart w:id="865" w:name="_Toc433093315"/>
            <w:bookmarkStart w:id="866" w:name="_Toc433093473"/>
            <w:bookmarkStart w:id="867" w:name="_Toc440874702"/>
            <w:bookmarkStart w:id="868" w:name="_Toc448142257"/>
            <w:bookmarkStart w:id="869" w:name="_Toc448142414"/>
            <w:bookmarkStart w:id="870" w:name="_Toc458770250"/>
            <w:bookmarkStart w:id="871" w:name="_Toc459294218"/>
            <w:bookmarkStart w:id="872" w:name="_Toc463262711"/>
            <w:bookmarkStart w:id="873" w:name="_Toc468286785"/>
            <w:bookmarkStart w:id="874" w:name="_Toc481502831"/>
            <w:bookmarkStart w:id="875" w:name="_Toc496079999"/>
            <w:r>
              <w:t>[NPRR1010:  Replace Section 6.5.7 above with the following upon system implementation of the Real-Time Co-Optimization (RTC) project:]</w:t>
            </w:r>
          </w:p>
          <w:p w14:paraId="4718F454" w14:textId="77777777" w:rsidR="00F65784" w:rsidRPr="003161DC" w:rsidRDefault="00F65784" w:rsidP="00F65784">
            <w:pPr>
              <w:keepNext/>
              <w:tabs>
                <w:tab w:val="left" w:pos="1080"/>
              </w:tabs>
              <w:spacing w:before="240" w:after="240"/>
              <w:ind w:left="1080" w:hanging="1080"/>
              <w:outlineLvl w:val="2"/>
              <w:rPr>
                <w:b/>
                <w:bCs/>
                <w:i/>
              </w:rPr>
            </w:pPr>
            <w:bookmarkStart w:id="876" w:name="_Toc60040600"/>
            <w:bookmarkStart w:id="877" w:name="_Toc65151660"/>
            <w:bookmarkStart w:id="878" w:name="_Toc80174686"/>
            <w:bookmarkStart w:id="879" w:name="_Toc108712445"/>
            <w:bookmarkStart w:id="880" w:name="_Toc112417565"/>
            <w:bookmarkStart w:id="881" w:name="_Toc119310234"/>
            <w:bookmarkStart w:id="882" w:name="_Toc125966168"/>
            <w:bookmarkStart w:id="883" w:name="_Toc135992266"/>
            <w:bookmarkStart w:id="884" w:name="_Toc170303462"/>
            <w:bookmarkStart w:id="885" w:name="_Toc175157366"/>
            <w:bookmarkStart w:id="886" w:name="_Toc189044339"/>
            <w:r w:rsidRPr="003161DC">
              <w:rPr>
                <w:b/>
                <w:bCs/>
                <w:i/>
              </w:rPr>
              <w:t>6.5.7</w:t>
            </w:r>
            <w:r w:rsidRPr="003161DC">
              <w:rPr>
                <w:b/>
                <w:bCs/>
                <w:i/>
              </w:rPr>
              <w:tab/>
            </w:r>
            <w:r>
              <w:rPr>
                <w:b/>
                <w:bCs/>
                <w:i/>
              </w:rPr>
              <w:t>Real-Time Sequence</w:t>
            </w:r>
            <w:r w:rsidRPr="003161DC">
              <w:rPr>
                <w:b/>
                <w:bCs/>
                <w:i/>
              </w:rPr>
              <w:t xml:space="preserve"> Methodology</w:t>
            </w:r>
            <w:bookmarkEnd w:id="876"/>
            <w:bookmarkEnd w:id="877"/>
            <w:bookmarkEnd w:id="878"/>
            <w:bookmarkEnd w:id="879"/>
            <w:bookmarkEnd w:id="880"/>
            <w:bookmarkEnd w:id="881"/>
            <w:bookmarkEnd w:id="882"/>
            <w:bookmarkEnd w:id="883"/>
            <w:bookmarkEnd w:id="884"/>
            <w:bookmarkEnd w:id="885"/>
            <w:bookmarkEnd w:id="886"/>
          </w:p>
          <w:p w14:paraId="10450036" w14:textId="7BBCB626" w:rsidR="00F65784" w:rsidRPr="00F65784" w:rsidRDefault="00F65784" w:rsidP="00F65784">
            <w:pPr>
              <w:spacing w:after="240"/>
              <w:ind w:left="720" w:hanging="720"/>
              <w:rPr>
                <w:iCs/>
              </w:rPr>
            </w:pPr>
            <w:r w:rsidRPr="003161DC">
              <w:rPr>
                <w:iCs/>
              </w:rPr>
              <w:t>(1)</w:t>
            </w:r>
            <w:r w:rsidRPr="003161DC">
              <w:rPr>
                <w:iCs/>
              </w:rPr>
              <w:tab/>
              <w:t>This Section outlines the programmatic and manual processes employed by ERCOT to simultaneously achieve power balance (minimizing the use of Regulation Service)</w:t>
            </w:r>
            <w:r>
              <w:rPr>
                <w:iCs/>
              </w:rPr>
              <w:t>, determine Ancillary Service awards,</w:t>
            </w:r>
            <w:r w:rsidRPr="003161DC">
              <w:rPr>
                <w:iCs/>
              </w:rPr>
              <w:t xml:space="preserve"> and manage congestion while operating within the constraints of the system at economically optimized cost.  The </w:t>
            </w:r>
            <w:r>
              <w:rPr>
                <w:iCs/>
              </w:rPr>
              <w:t xml:space="preserve">Real-Time Sequence </w:t>
            </w:r>
            <w:r w:rsidRPr="003161DC">
              <w:rPr>
                <w:iCs/>
              </w:rPr>
              <w:t>describes the key system components and inputs that are required to support the SCED process, which produces the Locational Marginal Prices (LMPs)</w:t>
            </w:r>
            <w:r>
              <w:rPr>
                <w:iCs/>
              </w:rPr>
              <w:t>,</w:t>
            </w:r>
            <w:r w:rsidRPr="003161DC">
              <w:rPr>
                <w:iCs/>
              </w:rPr>
              <w:t xml:space="preserve"> Base Points</w:t>
            </w:r>
            <w:r>
              <w:rPr>
                <w:iCs/>
              </w:rPr>
              <w:t>, Real-Time MCPCs, and Ancillary Service awards</w:t>
            </w:r>
            <w:r w:rsidRPr="003161DC">
              <w:rPr>
                <w:iCs/>
              </w:rPr>
              <w:t xml:space="preserve"> while meeting transmission system constraints.  Section 6.5.7.3, Security Constrained Economic Dispatch, provides further details regarding additional components and</w:t>
            </w:r>
            <w:r>
              <w:rPr>
                <w:iCs/>
              </w:rPr>
              <w:t xml:space="preserve"> inputs and ex-ante mitigation.</w:t>
            </w:r>
          </w:p>
        </w:tc>
      </w:tr>
    </w:tbl>
    <w:p w14:paraId="12A2F322" w14:textId="77777777" w:rsidR="001F04FD" w:rsidRDefault="001F04FD" w:rsidP="001F04FD">
      <w:pPr>
        <w:pStyle w:val="H4"/>
        <w:spacing w:before="480"/>
        <w:ind w:left="1267" w:hanging="1267"/>
      </w:pPr>
      <w:bookmarkStart w:id="887" w:name="_Toc189044340"/>
      <w:r>
        <w:t>6.5.7.1</w:t>
      </w:r>
      <w:r>
        <w:tab/>
        <w:t>Real-Time Sequence</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87"/>
    </w:p>
    <w:p w14:paraId="10560E8F" w14:textId="77777777" w:rsidR="001F04FD" w:rsidRDefault="001F04FD" w:rsidP="001F04FD">
      <w:pPr>
        <w:pStyle w:val="BodyTextNumbered"/>
      </w:pPr>
      <w:r>
        <w:t>(1)</w:t>
      </w:r>
      <w:r>
        <w:tab/>
        <w:t>The Real-Time Sequence consists of multiple interdependent processes that are driven by telemetry data and the network topology.  This Section describes the core aspects of the Real-Time Sequence.</w:t>
      </w:r>
    </w:p>
    <w:p w14:paraId="5079480F" w14:textId="77777777" w:rsidR="001F04FD" w:rsidRDefault="001F04FD" w:rsidP="001F04FD">
      <w:pPr>
        <w:pStyle w:val="BodyTextNumbered"/>
      </w:pPr>
      <w:r>
        <w:t>(2)</w:t>
      </w:r>
      <w:r>
        <w:tab/>
        <w:t>The figure below highlights the key computational modules and processes that are used during the Real-Time Sequence:</w:t>
      </w:r>
    </w:p>
    <w:p w14:paraId="57CE458F" w14:textId="3275E7AC" w:rsidR="001F04FD" w:rsidRDefault="00A94020" w:rsidP="001F04FD">
      <w:pPr>
        <w:jc w:val="center"/>
      </w:pPr>
      <w:r>
        <w:rPr>
          <w:noProof/>
        </w:rPr>
        <w:lastRenderedPageBreak/>
        <w:drawing>
          <wp:inline distT="0" distB="0" distL="0" distR="0" wp14:anchorId="69F4C069" wp14:editId="5ACE2BDF">
            <wp:extent cx="5219700" cy="3914775"/>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1F4F5E2F" w14:textId="77777777" w:rsidR="001F04FD" w:rsidRDefault="001F04FD" w:rsidP="001F04FD">
      <w:pPr>
        <w:pStyle w:val="H5"/>
        <w:spacing w:before="480"/>
        <w:ind w:left="1627" w:hanging="1627"/>
      </w:pPr>
      <w:bookmarkStart w:id="888" w:name="_Toc397504956"/>
      <w:bookmarkStart w:id="889" w:name="_Toc402357084"/>
      <w:bookmarkStart w:id="890" w:name="_Toc422486464"/>
      <w:bookmarkStart w:id="891" w:name="_Toc433093316"/>
      <w:bookmarkStart w:id="892" w:name="_Toc433093474"/>
      <w:bookmarkStart w:id="893" w:name="_Toc440874703"/>
      <w:bookmarkStart w:id="894" w:name="_Toc448142258"/>
      <w:bookmarkStart w:id="895" w:name="_Toc448142415"/>
      <w:bookmarkStart w:id="896" w:name="_Toc458770251"/>
      <w:bookmarkStart w:id="897" w:name="_Toc459294219"/>
      <w:bookmarkStart w:id="898" w:name="_Toc463262712"/>
      <w:bookmarkStart w:id="899" w:name="_Toc468286786"/>
      <w:bookmarkStart w:id="900" w:name="_Toc481502832"/>
      <w:bookmarkStart w:id="901" w:name="_Toc496080000"/>
      <w:bookmarkStart w:id="902" w:name="_Toc189044341"/>
      <w:r>
        <w:t>6.5.7.1.1</w:t>
      </w:r>
      <w:r>
        <w:tab/>
        <w:t>SCADA Telemetry</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42DD05BE" w14:textId="77777777" w:rsidR="001F04FD" w:rsidRDefault="001F04FD" w:rsidP="001F04FD">
      <w:pPr>
        <w:pStyle w:val="BodyTextNumbered"/>
      </w:pPr>
      <w:r>
        <w:t>(1)</w:t>
      </w:r>
      <w:r>
        <w:tab/>
        <w:t>SCADA telemetry provides the actual Real-Time status and output of Resources and the status of observable Transmission Elements of the Network Operations Model.</w:t>
      </w:r>
    </w:p>
    <w:p w14:paraId="34322D9B" w14:textId="77777777" w:rsidR="001F04FD" w:rsidRDefault="001F04FD" w:rsidP="001F04FD">
      <w:pPr>
        <w:pStyle w:val="H5"/>
        <w:spacing w:before="480"/>
        <w:ind w:left="1627" w:hanging="1627"/>
      </w:pPr>
      <w:bookmarkStart w:id="903" w:name="_Toc74137336"/>
      <w:bookmarkStart w:id="904" w:name="_Toc397504957"/>
      <w:bookmarkStart w:id="905" w:name="_Toc402357085"/>
      <w:bookmarkStart w:id="906" w:name="_Toc422486465"/>
      <w:bookmarkStart w:id="907" w:name="_Toc433093317"/>
      <w:bookmarkStart w:id="908" w:name="_Toc433093475"/>
      <w:bookmarkStart w:id="909" w:name="_Toc440874704"/>
      <w:bookmarkStart w:id="910" w:name="_Toc448142259"/>
      <w:bookmarkStart w:id="911" w:name="_Toc448142416"/>
      <w:bookmarkStart w:id="912" w:name="_Toc458770252"/>
      <w:bookmarkStart w:id="913" w:name="_Toc459294220"/>
      <w:bookmarkStart w:id="914" w:name="_Toc463262713"/>
      <w:bookmarkStart w:id="915" w:name="_Toc468286787"/>
      <w:bookmarkStart w:id="916" w:name="_Toc481502833"/>
      <w:bookmarkStart w:id="917" w:name="_Toc496080001"/>
      <w:bookmarkStart w:id="918" w:name="_Toc189044342"/>
      <w:r>
        <w:t>6.5.7.1.2</w:t>
      </w:r>
      <w:r>
        <w:tab/>
        <w:t>Network Topology Builder</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040C5626" w14:textId="77777777" w:rsidR="001F04FD" w:rsidRDefault="001F04FD" w:rsidP="001F04FD">
      <w:pPr>
        <w:pStyle w:val="BodyTextNumbered"/>
      </w:pPr>
      <w:r>
        <w:t>(1)</w:t>
      </w:r>
      <w:r>
        <w:tab/>
        <w:t>The Network Topology Builder creates the Updated Network Model based on the observed topology of the ERCOT Transmission Grid.  The Updated Network Model is then used as the basis for the State Estimator solution.</w:t>
      </w:r>
    </w:p>
    <w:p w14:paraId="6851A42D" w14:textId="77777777" w:rsidR="001F04FD" w:rsidRDefault="001F04FD" w:rsidP="001F04FD">
      <w:pPr>
        <w:pStyle w:val="H5"/>
        <w:spacing w:before="480"/>
        <w:ind w:left="1627" w:hanging="1627"/>
      </w:pPr>
      <w:bookmarkStart w:id="919" w:name="_Toc397504958"/>
      <w:bookmarkStart w:id="920" w:name="_Toc402357086"/>
      <w:bookmarkStart w:id="921" w:name="_Toc422486466"/>
      <w:bookmarkStart w:id="922" w:name="_Toc433093318"/>
      <w:bookmarkStart w:id="923" w:name="_Toc433093476"/>
      <w:bookmarkStart w:id="924" w:name="_Toc440874705"/>
      <w:bookmarkStart w:id="925" w:name="_Toc448142260"/>
      <w:bookmarkStart w:id="926" w:name="_Toc448142417"/>
      <w:bookmarkStart w:id="927" w:name="_Toc458770253"/>
      <w:bookmarkStart w:id="928" w:name="_Toc459294221"/>
      <w:bookmarkStart w:id="929" w:name="_Toc463262714"/>
      <w:bookmarkStart w:id="930" w:name="_Toc468286788"/>
      <w:bookmarkStart w:id="931" w:name="_Toc481502834"/>
      <w:bookmarkStart w:id="932" w:name="_Toc496080002"/>
      <w:bookmarkStart w:id="933" w:name="_Toc189044343"/>
      <w:r>
        <w:t>6.5.7.1.3</w:t>
      </w:r>
      <w:r>
        <w:tab/>
        <w:t>Bus Load Forecast</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1F145147" w14:textId="77777777" w:rsidR="001F04FD" w:rsidRDefault="001F04FD" w:rsidP="001F04FD">
      <w:pPr>
        <w:pStyle w:val="BodyTextNumbered"/>
      </w:pPr>
      <w:r>
        <w:t>(1)</w:t>
      </w:r>
      <w:r>
        <w:tab/>
        <w:t>Once the Updated Network Model is created, the transmission Electrical Buses in the model will have a Bus Load Forecast applied.  The forecasted Load must be denoted with a low State Estimator measurement confidence factor.  The State Estimator must use the forecasted Load coupled with the remaining telemetry of line flows and voltages to estimate the actual Load on each Electrical Bus.</w:t>
      </w:r>
    </w:p>
    <w:p w14:paraId="697EDF17" w14:textId="77777777" w:rsidR="001F04FD" w:rsidRDefault="001F04FD" w:rsidP="001F04FD">
      <w:pPr>
        <w:pStyle w:val="H5"/>
        <w:spacing w:before="480"/>
        <w:ind w:left="1627" w:hanging="1627"/>
      </w:pPr>
      <w:bookmarkStart w:id="934" w:name="_Toc74137337"/>
      <w:bookmarkStart w:id="935" w:name="_Toc397504959"/>
      <w:bookmarkStart w:id="936" w:name="_Toc402357087"/>
      <w:bookmarkStart w:id="937" w:name="_Toc422486467"/>
      <w:bookmarkStart w:id="938" w:name="_Toc433093319"/>
      <w:bookmarkStart w:id="939" w:name="_Toc433093477"/>
      <w:bookmarkStart w:id="940" w:name="_Toc440874706"/>
      <w:bookmarkStart w:id="941" w:name="_Toc448142261"/>
      <w:bookmarkStart w:id="942" w:name="_Toc448142418"/>
      <w:bookmarkStart w:id="943" w:name="_Toc458770254"/>
      <w:bookmarkStart w:id="944" w:name="_Toc459294222"/>
      <w:bookmarkStart w:id="945" w:name="_Toc463262715"/>
      <w:bookmarkStart w:id="946" w:name="_Toc468286789"/>
      <w:bookmarkStart w:id="947" w:name="_Toc481502835"/>
      <w:bookmarkStart w:id="948" w:name="_Toc496080003"/>
      <w:bookmarkStart w:id="949" w:name="_Toc189044344"/>
      <w:r>
        <w:lastRenderedPageBreak/>
        <w:t>6.5.7.1.4</w:t>
      </w:r>
      <w:r>
        <w:tab/>
        <w:t>State Estimator</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43416E71" w14:textId="77777777" w:rsidR="001F04FD" w:rsidRDefault="001F04FD" w:rsidP="001F04FD">
      <w:pPr>
        <w:pStyle w:val="BodyTextNumbered"/>
      </w:pPr>
      <w:r>
        <w:t>(1)</w:t>
      </w:r>
      <w:r>
        <w:tab/>
        <w:t>The State Estimator must use the Bus Load Forecast and the remaining telemetry information of line flows and voltages to estimate all the transmission parameters needed to provide, on convergence, a mathematically consistent data set of constrained inputs to the Network Security Analysis (NSA) and the Topology Consistency Analyzer.</w:t>
      </w:r>
    </w:p>
    <w:p w14:paraId="4036ACE8" w14:textId="77777777" w:rsidR="001F04FD" w:rsidRDefault="001F04FD" w:rsidP="001F04FD">
      <w:pPr>
        <w:pStyle w:val="H5"/>
        <w:spacing w:before="480"/>
        <w:ind w:left="1627" w:hanging="1627"/>
      </w:pPr>
      <w:bookmarkStart w:id="950" w:name="_Toc397504960"/>
      <w:bookmarkStart w:id="951" w:name="_Toc402357088"/>
      <w:bookmarkStart w:id="952" w:name="_Toc422486468"/>
      <w:bookmarkStart w:id="953" w:name="_Toc433093320"/>
      <w:bookmarkStart w:id="954" w:name="_Toc433093478"/>
      <w:bookmarkStart w:id="955" w:name="_Toc440874707"/>
      <w:bookmarkStart w:id="956" w:name="_Toc448142262"/>
      <w:bookmarkStart w:id="957" w:name="_Toc448142419"/>
      <w:bookmarkStart w:id="958" w:name="_Toc458770255"/>
      <w:bookmarkStart w:id="959" w:name="_Toc459294223"/>
      <w:bookmarkStart w:id="960" w:name="_Toc463262716"/>
      <w:bookmarkStart w:id="961" w:name="_Toc468286790"/>
      <w:bookmarkStart w:id="962" w:name="_Toc481502836"/>
      <w:bookmarkStart w:id="963" w:name="_Toc496080004"/>
      <w:bookmarkStart w:id="964" w:name="_Toc189044345"/>
      <w:r>
        <w:t>6.5.7.1.5</w:t>
      </w:r>
      <w:r>
        <w:tab/>
        <w:t>Topology Consistency Analyzer</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0C94218B" w14:textId="77777777" w:rsidR="001F04FD" w:rsidRDefault="001F04FD" w:rsidP="001F04FD">
      <w:pPr>
        <w:pStyle w:val="BodyTextNumbered"/>
      </w:pPr>
      <w:r>
        <w:t>(1)</w:t>
      </w:r>
      <w:r>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or QSE, who shall correct the status indications as soon as practicable.  The Topology Consistency Analyzer maintains a summary of all incorrect status indicators and provides that information to all TSPs and other Market Participants through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5634A" w14:paraId="0B89FA48" w14:textId="77777777" w:rsidTr="004510FA">
        <w:trPr>
          <w:trHeight w:val="1547"/>
        </w:trPr>
        <w:tc>
          <w:tcPr>
            <w:tcW w:w="9576" w:type="dxa"/>
            <w:shd w:val="pct12" w:color="auto" w:fill="auto"/>
          </w:tcPr>
          <w:p w14:paraId="29D77C22" w14:textId="0E6945AD" w:rsidR="00D5634A" w:rsidRDefault="00D5634A" w:rsidP="004510FA">
            <w:pPr>
              <w:pStyle w:val="Instructions"/>
              <w:spacing w:before="120"/>
            </w:pPr>
            <w:bookmarkStart w:id="965" w:name="_Toc397504961"/>
            <w:bookmarkStart w:id="966" w:name="_Toc402357089"/>
            <w:bookmarkStart w:id="967" w:name="_Toc422486469"/>
            <w:bookmarkStart w:id="968" w:name="_Toc433093321"/>
            <w:bookmarkStart w:id="969" w:name="_Toc433093479"/>
            <w:bookmarkStart w:id="970" w:name="_Toc440874708"/>
            <w:bookmarkStart w:id="971" w:name="_Toc448142263"/>
            <w:bookmarkStart w:id="972" w:name="_Toc448142420"/>
            <w:bookmarkStart w:id="973" w:name="_Toc458770256"/>
            <w:bookmarkStart w:id="974" w:name="_Toc459294224"/>
            <w:bookmarkStart w:id="975" w:name="_Toc463262717"/>
            <w:bookmarkStart w:id="976" w:name="_Toc468286791"/>
            <w:bookmarkStart w:id="977" w:name="_Toc481502837"/>
            <w:bookmarkStart w:id="978" w:name="_Toc496080005"/>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AC1E564" w14:textId="77777777" w:rsidR="00D5634A" w:rsidRPr="00B37C4B" w:rsidRDefault="00D5634A" w:rsidP="00D5634A">
            <w:pPr>
              <w:spacing w:after="240"/>
              <w:ind w:left="720" w:hanging="720"/>
            </w:pPr>
            <w:r w:rsidRPr="00E55E72">
              <w:t>(1)</w:t>
            </w:r>
            <w:r w:rsidRPr="00E55E72">
              <w:tab/>
              <w:t xml:space="preserve">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DCTO, or QSE, who shall correct the status indications as soon as practicable.  The Topology Consistency Analyzer maintains a summary of all incorrect status indicators </w:t>
            </w:r>
            <w:r w:rsidRPr="00E55E72">
              <w:lastRenderedPageBreak/>
              <w:t>and provides that information to all TSPs, DCTOs, and other Market Participants through the MIS Secure Area.</w:t>
            </w:r>
          </w:p>
        </w:tc>
      </w:tr>
    </w:tbl>
    <w:p w14:paraId="47536489" w14:textId="77777777" w:rsidR="001F04FD" w:rsidRDefault="001F04FD" w:rsidP="001F04FD">
      <w:pPr>
        <w:pStyle w:val="H5"/>
        <w:tabs>
          <w:tab w:val="clear" w:pos="1620"/>
          <w:tab w:val="left" w:pos="1440"/>
        </w:tabs>
        <w:spacing w:before="480"/>
        <w:ind w:left="1440" w:hanging="1440"/>
      </w:pPr>
      <w:bookmarkStart w:id="979" w:name="_Toc189044346"/>
      <w:r>
        <w:lastRenderedPageBreak/>
        <w:t>6.5.7.1.6</w:t>
      </w:r>
      <w:r>
        <w:tab/>
        <w:t>Breakers/Switch Status Alarm Processor and Forced Outage Detection Processor</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6544C771" w14:textId="77777777" w:rsidR="001F04FD" w:rsidRDefault="001F04FD" w:rsidP="001F04FD">
      <w:pPr>
        <w:pStyle w:val="BodyTextNumbered"/>
      </w:pPr>
      <w:r>
        <w:t>(1)</w:t>
      </w:r>
      <w:r>
        <w:tab/>
        <w:t>The Real-Time Sequence includes processes that detect and provide alarms to the ERCOT Operator when the status of breakers and switches, Resources, transmission lines and transformers, and Load disconnected from the Updated Network Model changes.  Also, the ERCOT Operator must be able to determine if an Outage of Transmission Facilities had been scheduled in the Outage Scheduler or is a Forced Outage.</w:t>
      </w:r>
    </w:p>
    <w:p w14:paraId="1AA41491" w14:textId="77777777" w:rsidR="001F04FD" w:rsidRDefault="001F04FD" w:rsidP="001F04FD">
      <w:pPr>
        <w:pStyle w:val="H5"/>
        <w:spacing w:before="480"/>
        <w:ind w:left="1627" w:hanging="1627"/>
      </w:pPr>
      <w:bookmarkStart w:id="980" w:name="_Toc397504962"/>
      <w:bookmarkStart w:id="981" w:name="_Toc402357090"/>
      <w:bookmarkStart w:id="982" w:name="_Toc422486470"/>
      <w:bookmarkStart w:id="983" w:name="_Toc433093322"/>
      <w:bookmarkStart w:id="984" w:name="_Toc433093480"/>
      <w:bookmarkStart w:id="985" w:name="_Toc440874709"/>
      <w:bookmarkStart w:id="986" w:name="_Toc448142264"/>
      <w:bookmarkStart w:id="987" w:name="_Toc448142421"/>
      <w:bookmarkStart w:id="988" w:name="_Toc458770257"/>
      <w:bookmarkStart w:id="989" w:name="_Toc459294225"/>
      <w:bookmarkStart w:id="990" w:name="_Toc463262718"/>
      <w:bookmarkStart w:id="991" w:name="_Toc468286792"/>
      <w:bookmarkStart w:id="992" w:name="_Toc481502838"/>
      <w:bookmarkStart w:id="993" w:name="_Toc496080006"/>
      <w:bookmarkStart w:id="994" w:name="_Toc189044347"/>
      <w:r>
        <w:t>6.5.7.1.7</w:t>
      </w:r>
      <w:r>
        <w:tab/>
        <w:t>Real-Time Weather and Dynamic Rating Processor</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23B5C257" w14:textId="77777777" w:rsidR="001F04FD" w:rsidRDefault="001F04FD" w:rsidP="001F04FD">
      <w:pPr>
        <w:pStyle w:val="BodyTextNumbered"/>
      </w:pPr>
      <w:r>
        <w:t>(1)</w:t>
      </w:r>
      <w:r>
        <w:tab/>
        <w:t>The Dynamic Rating Processor provides Dynamic Ratings using the processes described in Section 3.10.8, Dynamic Ratings, for all transmission lines and transformer elements with Dynamic Ratings designated by the TSPs.  ERCOT shall obtain Real-Time weather data, where available, from multiple locations and provide it to the Dynamic Rating Processor.  Weather conditions must include ambient temperature and may include wind speed when available.  ERCOT shall post summaries of dynamically adjusted Transmission Element limits on the MIS Secure Area in a form that allows Market Participants to directly upload Real-Time data into the Common Information Model (CIM).</w:t>
      </w:r>
    </w:p>
    <w:p w14:paraId="0EED37E9" w14:textId="77777777" w:rsidR="001F04FD" w:rsidRDefault="001F04FD" w:rsidP="001F04FD">
      <w:pPr>
        <w:pStyle w:val="BodyTextNumbered"/>
      </w:pPr>
      <w:r>
        <w:t>(2)</w:t>
      </w:r>
      <w:r>
        <w:tab/>
        <w:t>On a monthly basis, ERCOT shall provide a summary report for each dynamically rated Transmission Element specifying the average change in Normal Rating in MVA that is gained on the element through use of a Dynamic Rating rather than the Normal Rating.  ERCOT shall post this report to the MIS Secure Area.</w:t>
      </w:r>
    </w:p>
    <w:p w14:paraId="3D8690E1" w14:textId="77777777" w:rsidR="001F04FD" w:rsidRDefault="001F04FD" w:rsidP="001F04FD">
      <w:pPr>
        <w:pStyle w:val="H5"/>
        <w:spacing w:before="480"/>
        <w:ind w:left="1627" w:hanging="1627"/>
      </w:pPr>
      <w:bookmarkStart w:id="995" w:name="_Toc397504963"/>
      <w:bookmarkStart w:id="996" w:name="_Toc402357091"/>
      <w:bookmarkStart w:id="997" w:name="_Toc422486471"/>
      <w:bookmarkStart w:id="998" w:name="_Toc433093323"/>
      <w:bookmarkStart w:id="999" w:name="_Toc433093481"/>
      <w:bookmarkStart w:id="1000" w:name="_Toc440874710"/>
      <w:bookmarkStart w:id="1001" w:name="_Toc448142265"/>
      <w:bookmarkStart w:id="1002" w:name="_Toc448142422"/>
      <w:bookmarkStart w:id="1003" w:name="_Toc458770258"/>
      <w:bookmarkStart w:id="1004" w:name="_Toc459294226"/>
      <w:bookmarkStart w:id="1005" w:name="_Toc463262719"/>
      <w:bookmarkStart w:id="1006" w:name="_Toc468286793"/>
      <w:bookmarkStart w:id="1007" w:name="_Toc481502839"/>
      <w:bookmarkStart w:id="1008" w:name="_Toc496080007"/>
      <w:bookmarkStart w:id="1009" w:name="_Toc189044348"/>
      <w:r>
        <w:t>6.5.7.1.8</w:t>
      </w:r>
      <w:r>
        <w:tab/>
        <w:t>Overload Alarm Processor</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6E70DA28" w14:textId="77777777" w:rsidR="001F04FD" w:rsidRDefault="001F04FD" w:rsidP="001F04FD">
      <w:pPr>
        <w:pStyle w:val="BodyTextNumbered"/>
      </w:pPr>
      <w:r>
        <w:t>(1)</w:t>
      </w:r>
      <w:r>
        <w:tab/>
        <w:t>Once transmission line and transformer Dynamic Ratings are retrieved, ERCOT shall compare the actual flow and state estimated flow calculation of MVA to the effective Transmission Element limit and, if an out-of-limit condition exists, ERCOT shall produce an overload notification.</w:t>
      </w:r>
    </w:p>
    <w:p w14:paraId="7A6E293D" w14:textId="77777777" w:rsidR="001F04FD" w:rsidRDefault="001F04FD" w:rsidP="001F04FD">
      <w:pPr>
        <w:pStyle w:val="H5"/>
        <w:spacing w:before="480"/>
        <w:ind w:left="1627" w:hanging="1627"/>
      </w:pPr>
      <w:bookmarkStart w:id="1010" w:name="_Toc397504964"/>
      <w:bookmarkStart w:id="1011" w:name="_Toc402357092"/>
      <w:bookmarkStart w:id="1012" w:name="_Toc422486472"/>
      <w:bookmarkStart w:id="1013" w:name="_Toc433093324"/>
      <w:bookmarkStart w:id="1014" w:name="_Toc433093482"/>
      <w:bookmarkStart w:id="1015" w:name="_Toc440874711"/>
      <w:bookmarkStart w:id="1016" w:name="_Toc448142266"/>
      <w:bookmarkStart w:id="1017" w:name="_Toc448142423"/>
      <w:bookmarkStart w:id="1018" w:name="_Toc458770259"/>
      <w:bookmarkStart w:id="1019" w:name="_Toc459294227"/>
      <w:bookmarkStart w:id="1020" w:name="_Toc463262720"/>
      <w:bookmarkStart w:id="1021" w:name="_Toc468286794"/>
      <w:bookmarkStart w:id="1022" w:name="_Toc481502840"/>
      <w:bookmarkStart w:id="1023" w:name="_Toc496080008"/>
      <w:bookmarkStart w:id="1024" w:name="_Toc189044349"/>
      <w:r>
        <w:t>6.5.7.1.9</w:t>
      </w:r>
      <w:r>
        <w:tab/>
        <w:t>Contingency List and Contingency Screening</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t xml:space="preserve"> </w:t>
      </w:r>
    </w:p>
    <w:p w14:paraId="6F30FAF9" w14:textId="77777777" w:rsidR="001F04FD" w:rsidRDefault="001F04FD" w:rsidP="001F04FD">
      <w:pPr>
        <w:pStyle w:val="BodyTextNumbered"/>
      </w:pPr>
      <w:r>
        <w:t>(1)</w:t>
      </w:r>
      <w:r>
        <w:tab/>
        <w:t xml:space="preserve">For the Real-Time Sequence, ERCOT may select relevant contingencies from a standard contingency list previously developed by ERCOT under Section 5.5.1, Security </w:t>
      </w:r>
      <w:r>
        <w:lastRenderedPageBreak/>
        <w:t>Sequence, that are likely to be active in Real-Time.  ERCOT may use the information provided by the hour-ahead or Day-Ahead NSA to assist in determining which contingencies are candidates for activation.</w:t>
      </w:r>
    </w:p>
    <w:p w14:paraId="45191F5D" w14:textId="77777777" w:rsidR="001F04FD" w:rsidRDefault="001F04FD" w:rsidP="001F04FD">
      <w:pPr>
        <w:pStyle w:val="H5"/>
        <w:spacing w:before="480"/>
        <w:ind w:left="1627" w:hanging="1627"/>
      </w:pPr>
      <w:bookmarkStart w:id="1025" w:name="_Toc74137343"/>
      <w:bookmarkStart w:id="1026" w:name="_Toc397504965"/>
      <w:bookmarkStart w:id="1027" w:name="_Toc402357093"/>
      <w:bookmarkStart w:id="1028" w:name="_Toc422486473"/>
      <w:bookmarkStart w:id="1029" w:name="_Toc433093325"/>
      <w:bookmarkStart w:id="1030" w:name="_Toc433093483"/>
      <w:bookmarkStart w:id="1031" w:name="_Toc440874712"/>
      <w:bookmarkStart w:id="1032" w:name="_Toc448142267"/>
      <w:bookmarkStart w:id="1033" w:name="_Toc448142424"/>
      <w:bookmarkStart w:id="1034" w:name="_Toc458770260"/>
      <w:bookmarkStart w:id="1035" w:name="_Toc459294228"/>
      <w:bookmarkStart w:id="1036" w:name="_Toc463262721"/>
      <w:bookmarkStart w:id="1037" w:name="_Toc468286795"/>
      <w:bookmarkStart w:id="1038" w:name="_Toc481502841"/>
      <w:bookmarkStart w:id="1039" w:name="_Toc496080009"/>
      <w:bookmarkStart w:id="1040" w:name="_Toc189044350"/>
      <w:r>
        <w:t>6.5.7.1.10</w:t>
      </w:r>
      <w:r>
        <w:tab/>
        <w:t>Network Security Analysis Processor</w:t>
      </w:r>
      <w:bookmarkEnd w:id="1025"/>
      <w:r>
        <w:t xml:space="preserve"> and Security Violation Alarm</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6FD504D4" w14:textId="77777777" w:rsidR="001F04FD" w:rsidRDefault="001F04FD" w:rsidP="001F04FD">
      <w:pPr>
        <w:pStyle w:val="BodyTextNumbered"/>
      </w:pPr>
      <w:r>
        <w:t>(1)</w:t>
      </w:r>
      <w: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5A27353F" w14:textId="77777777" w:rsidR="001F04FD" w:rsidRDefault="001F04FD" w:rsidP="001F04FD">
      <w:pPr>
        <w:pStyle w:val="BodyTextNumbered"/>
        <w:ind w:left="1440"/>
      </w:pPr>
      <w:r>
        <w:t>(a)</w:t>
      </w:r>
      <w:r>
        <w:tab/>
        <w:t xml:space="preserve">The predicted post-contingency MVA exceeds 100% of the Emergency Rating after consideration of Dynamic Ratings; and </w:t>
      </w:r>
    </w:p>
    <w:p w14:paraId="2D329205" w14:textId="77777777" w:rsidR="001F04FD" w:rsidRDefault="001F04FD" w:rsidP="006635FE">
      <w:pPr>
        <w:pStyle w:val="BodyTextNumbered"/>
        <w:ind w:left="1440"/>
      </w:pPr>
      <w:r>
        <w:t>(b)</w:t>
      </w:r>
      <w:r>
        <w:tab/>
      </w:r>
      <w:r w:rsidR="004B6E53">
        <w:t>A RAP, AMP or RAS is not defined allowing relief within the time allowed by the security criteria as defined in Operating Guide Section 2.2.2, Security Criteria.</w:t>
      </w:r>
      <w:r>
        <w:t xml:space="preserve"> </w:t>
      </w:r>
    </w:p>
    <w:p w14:paraId="0818A562" w14:textId="77777777" w:rsidR="001F04FD" w:rsidRDefault="001F04FD" w:rsidP="006635FE">
      <w:pPr>
        <w:spacing w:after="240"/>
        <w:ind w:left="720" w:hanging="720"/>
        <w:rPr>
          <w:iCs/>
        </w:rPr>
      </w:pPr>
      <w:r w:rsidRPr="006A535A">
        <w:rPr>
          <w:iCs/>
        </w:rPr>
        <w:t>(2)</w:t>
      </w:r>
      <w:r w:rsidRPr="006A535A">
        <w:rPr>
          <w:iCs/>
        </w:rPr>
        <w:tab/>
        <w:t>When the NSA processor notifies ERCOT of a security violation, ERCOT shall immediately</w:t>
      </w:r>
      <w:r>
        <w:rPr>
          <w:iCs/>
        </w:rPr>
        <w:t>:</w:t>
      </w:r>
    </w:p>
    <w:p w14:paraId="348D52BB" w14:textId="77777777" w:rsidR="001F04FD" w:rsidRDefault="001F04FD" w:rsidP="001F04FD">
      <w:pPr>
        <w:spacing w:after="240"/>
        <w:ind w:left="1440" w:hanging="720"/>
        <w:rPr>
          <w:iCs/>
        </w:rPr>
      </w:pPr>
      <w:r>
        <w:rPr>
          <w:iCs/>
        </w:rPr>
        <w:t>(a)</w:t>
      </w:r>
      <w:r>
        <w:rPr>
          <w:iCs/>
        </w:rPr>
        <w:tab/>
        <w:t>I</w:t>
      </w:r>
      <w:r w:rsidRPr="006A535A">
        <w:rPr>
          <w:iCs/>
        </w:rPr>
        <w:t>nitiate the process described in Section 6.5.7.1.11, Transmission Network and Power Balance Constraint Management</w:t>
      </w:r>
      <w:r>
        <w:rPr>
          <w:iCs/>
        </w:rPr>
        <w:t>;</w:t>
      </w:r>
    </w:p>
    <w:p w14:paraId="2CAB9744" w14:textId="77777777" w:rsidR="001F04FD" w:rsidRPr="007723E4" w:rsidRDefault="001F04FD" w:rsidP="001F04FD">
      <w:pPr>
        <w:spacing w:after="240"/>
        <w:ind w:left="1440" w:hanging="720"/>
        <w:rPr>
          <w:iCs/>
        </w:rPr>
      </w:pPr>
      <w:r w:rsidRPr="007723E4">
        <w:rPr>
          <w:iCs/>
        </w:rPr>
        <w:t>(b)</w:t>
      </w:r>
      <w:r w:rsidRPr="007723E4">
        <w:rPr>
          <w:iCs/>
        </w:rPr>
        <w:tab/>
      </w:r>
      <w:r>
        <w:rPr>
          <w:iCs/>
        </w:rPr>
        <w:t>S</w:t>
      </w:r>
      <w:r w:rsidRPr="007723E4">
        <w:rPr>
          <w:iCs/>
        </w:rPr>
        <w:t>eek to determine what unforeseen change in system condition has arisen that has resulted in the security violation</w:t>
      </w:r>
      <w:r>
        <w:rPr>
          <w:iCs/>
        </w:rPr>
        <w:t xml:space="preserve">, </w:t>
      </w:r>
      <w:r w:rsidRPr="00EE382E">
        <w:rPr>
          <w:iCs/>
        </w:rPr>
        <w:t>especially those that were 125% or greater of the Emergency Rating for a single SCED interval or greater than 100% of the Emergency Rating for a duration of 30 minutes or more</w:t>
      </w:r>
      <w:r w:rsidRPr="007723E4">
        <w:rPr>
          <w:iCs/>
        </w:rPr>
        <w:t>; and</w:t>
      </w:r>
    </w:p>
    <w:p w14:paraId="4DD6E28B" w14:textId="77777777" w:rsidR="001F04FD" w:rsidRDefault="001F04FD" w:rsidP="001F04FD">
      <w:pPr>
        <w:pStyle w:val="BodyTextNumbered"/>
        <w:ind w:left="1440"/>
      </w:pPr>
      <w:r w:rsidRPr="007723E4">
        <w:rPr>
          <w:iCs/>
        </w:rPr>
        <w:t>(c</w:t>
      </w:r>
      <w:r w:rsidRPr="00E41B9C">
        <w:rPr>
          <w:iCs/>
        </w:rPr>
        <w:t>)</w:t>
      </w:r>
      <w:r w:rsidRPr="00E41B9C">
        <w:rPr>
          <w:iCs/>
        </w:rPr>
        <w:tab/>
        <w:t>Where possible, seek to reverse the action (e.g. initiating a transmission clearance that the system was not properly pre-dispatched for) that has led to a security violation until further preventative action(s) can be taken.</w:t>
      </w:r>
    </w:p>
    <w:p w14:paraId="47BDDC57" w14:textId="77777777" w:rsidR="001F04FD" w:rsidRDefault="001F04FD" w:rsidP="001F04FD">
      <w:pPr>
        <w:pStyle w:val="BodyTextNumbered"/>
      </w:pPr>
      <w:r>
        <w:t>(3)</w:t>
      </w:r>
      <w:r>
        <w:tab/>
        <w:t>If SCED does not resolve a transmission security violation, ERCOT shall attempt to relieve the security violation by:</w:t>
      </w:r>
    </w:p>
    <w:p w14:paraId="59BADA62" w14:textId="77777777" w:rsidR="001F04FD" w:rsidRDefault="001F04FD" w:rsidP="001F04FD">
      <w:pPr>
        <w:pStyle w:val="List"/>
      </w:pPr>
      <w:r>
        <w:t>(a)</w:t>
      </w:r>
      <w:r>
        <w:tab/>
        <w:t>Confirming that pre-determined RAPs are properly modeled in the system;</w:t>
      </w:r>
    </w:p>
    <w:p w14:paraId="7058C734" w14:textId="77777777" w:rsidR="001F04FD" w:rsidRDefault="001F04FD" w:rsidP="001F04FD">
      <w:pPr>
        <w:pStyle w:val="List"/>
        <w:rPr>
          <w:szCs w:val="24"/>
        </w:rPr>
      </w:pPr>
      <w:r>
        <w:t>(b)</w:t>
      </w:r>
      <w:r>
        <w:rPr>
          <w:sz w:val="15"/>
          <w:szCs w:val="15"/>
        </w:rPr>
        <w:tab/>
      </w:r>
      <w:r>
        <w:rPr>
          <w:szCs w:val="24"/>
        </w:rPr>
        <w:t xml:space="preserve">Instructing Resources to follow Base Points from SCED if those Resources are not already doing so; </w:t>
      </w:r>
    </w:p>
    <w:p w14:paraId="18DEFB6C" w14:textId="77777777" w:rsidR="001F04FD" w:rsidRDefault="001F04FD" w:rsidP="001F04FD">
      <w:pPr>
        <w:pStyle w:val="List"/>
      </w:pPr>
      <w:r>
        <w:rPr>
          <w:szCs w:val="24"/>
        </w:rPr>
        <w:t>(c)</w:t>
      </w:r>
      <w:r>
        <w:rPr>
          <w:szCs w:val="24"/>
        </w:rPr>
        <w:tab/>
      </w:r>
      <w:r w:rsidRPr="003D5B16">
        <w:t xml:space="preserve">Instructing Resources to update the Resources Status in the COP from ONTEST to ON in order to provide more capacity to SCED; </w:t>
      </w:r>
    </w:p>
    <w:p w14:paraId="3D601682" w14:textId="77777777" w:rsidR="001F04FD" w:rsidRDefault="001F04FD" w:rsidP="001F04FD">
      <w:pPr>
        <w:pStyle w:val="List"/>
      </w:pPr>
      <w:r>
        <w:t>(d)</w:t>
      </w:r>
      <w:r>
        <w:tab/>
      </w:r>
      <w:r w:rsidRPr="003D5B16">
        <w:t>Deploying Resource-Specific Non-Spin;</w:t>
      </w:r>
    </w:p>
    <w:p w14:paraId="2A4C3C84" w14:textId="77777777" w:rsidR="001F04FD" w:rsidRDefault="001F04FD" w:rsidP="001F04FD">
      <w:pPr>
        <w:pStyle w:val="List"/>
      </w:pPr>
      <w:r>
        <w:lastRenderedPageBreak/>
        <w:t>(e)</w:t>
      </w:r>
      <w:r>
        <w:tab/>
      </w:r>
      <w:r w:rsidRPr="003D5B16">
        <w:t xml:space="preserve">Committing additional Generation Resources through the Reliability Unit Commitment </w:t>
      </w:r>
      <w:r>
        <w:t xml:space="preserve">(RUC) </w:t>
      </w:r>
      <w:r w:rsidRPr="003D5B16">
        <w:t>process;</w:t>
      </w:r>
    </w:p>
    <w:p w14:paraId="49BA4BC6" w14:textId="77777777" w:rsidR="001F04FD" w:rsidRDefault="001F04FD" w:rsidP="001F04FD">
      <w:pPr>
        <w:pStyle w:val="List"/>
      </w:pPr>
      <w:r>
        <w:t>(f)</w:t>
      </w:r>
      <w:r>
        <w:tab/>
      </w:r>
      <w:r w:rsidRPr="003D5B16">
        <w:t>Removing conflicting non-cascading constraints from the SCED process;</w:t>
      </w:r>
    </w:p>
    <w:p w14:paraId="0AF9D123" w14:textId="77777777" w:rsidR="001F04FD" w:rsidRDefault="001F04FD" w:rsidP="001F04FD">
      <w:pPr>
        <w:pStyle w:val="List"/>
      </w:pPr>
      <w:r>
        <w:t>(g)</w:t>
      </w:r>
      <w:r>
        <w:tab/>
        <w:t>Re-Dispatching generation by over-riding HDLs and LDLs;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76F97" w14:paraId="21DAC5EE" w14:textId="77777777" w:rsidTr="009E7633">
        <w:trPr>
          <w:trHeight w:val="206"/>
        </w:trPr>
        <w:tc>
          <w:tcPr>
            <w:tcW w:w="9350" w:type="dxa"/>
            <w:shd w:val="pct12" w:color="auto" w:fill="auto"/>
          </w:tcPr>
          <w:p w14:paraId="7B4C0B5E" w14:textId="0D99088D" w:rsidR="00376F97" w:rsidRDefault="00376F97" w:rsidP="009E7633">
            <w:pPr>
              <w:pStyle w:val="Instructions"/>
              <w:spacing w:before="120"/>
            </w:pPr>
            <w:r>
              <w:t xml:space="preserve">[NPRR1014:  Replace paragraph (g) above </w:t>
            </w:r>
            <w:r w:rsidR="00CE56E5">
              <w:t xml:space="preserve">with the following </w:t>
            </w:r>
            <w:r>
              <w:t>upon system implementation:]</w:t>
            </w:r>
          </w:p>
          <w:p w14:paraId="2F5D1AD2" w14:textId="25064DAB" w:rsidR="00376F97" w:rsidRPr="00A4149C" w:rsidRDefault="00376F97" w:rsidP="00376F97">
            <w:pPr>
              <w:spacing w:after="240"/>
              <w:ind w:left="1440" w:hanging="720"/>
            </w:pPr>
            <w:r w:rsidRPr="00A552C3">
              <w:t>(g)</w:t>
            </w:r>
            <w:r w:rsidRPr="00A552C3">
              <w:tab/>
              <w:t xml:space="preserve">Re-Dispatching generation or, in the case of an ESR, its output or consumption, </w:t>
            </w:r>
            <w:r>
              <w:t>by over-riding HDLs and LDLs;</w:t>
            </w:r>
          </w:p>
        </w:tc>
      </w:tr>
    </w:tbl>
    <w:p w14:paraId="2CD8D5E7" w14:textId="3D9DD529" w:rsidR="001F04FD" w:rsidRDefault="001F04FD" w:rsidP="000B1D41">
      <w:pPr>
        <w:pStyle w:val="List"/>
        <w:spacing w:before="240"/>
      </w:pPr>
      <w:r>
        <w:t>(h)</w:t>
      </w:r>
      <w:r>
        <w:tab/>
      </w:r>
      <w:r w:rsidRPr="003D5B16">
        <w:t>Instructing TSPs to utilize Reactive Power devices to manage voltage; and</w:t>
      </w:r>
    </w:p>
    <w:p w14:paraId="1592BC83" w14:textId="77777777" w:rsidR="001F04FD" w:rsidRDefault="001F04FD" w:rsidP="001F04FD">
      <w:pPr>
        <w:pStyle w:val="List"/>
      </w:pPr>
      <w:r>
        <w:t>(i)</w:t>
      </w:r>
      <w:r>
        <w:tab/>
      </w:r>
      <w:r w:rsidRPr="003D5B16">
        <w:t>If all other mechanisms have failed, ERCOT may authorize the expedited use of a Temporary Outage Action Plan (TOAP) or Mitigation Plan.</w:t>
      </w:r>
    </w:p>
    <w:p w14:paraId="3956ACE8" w14:textId="77777777" w:rsidR="001F04FD" w:rsidRDefault="001F04FD" w:rsidP="001F04FD">
      <w:pPr>
        <w:pStyle w:val="BodyTextNumbered"/>
      </w:pPr>
      <w:r>
        <w:t>(4)</w:t>
      </w:r>
      <w:r>
        <w:tab/>
      </w:r>
      <w:r w:rsidR="004B6E53">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4D34066A" w14:textId="77777777" w:rsidR="001F04FD" w:rsidRDefault="001F04FD" w:rsidP="006635FE">
      <w:pPr>
        <w:pStyle w:val="BodyTextNumbered"/>
      </w:pPr>
      <w:r>
        <w:t>(5)</w:t>
      </w:r>
      <w: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5FE6EAF2" w14:textId="77777777" w:rsidR="00C57701" w:rsidRDefault="00C57701" w:rsidP="007E0C1D">
      <w:pPr>
        <w:pStyle w:val="BodyTextNumbered"/>
        <w:spacing w:before="240"/>
      </w:pPr>
      <w:r>
        <w:t>(6)</w:t>
      </w:r>
      <w:r w:rsidRPr="00005671">
        <w:t xml:space="preserve"> </w:t>
      </w:r>
      <w:r>
        <w:tab/>
        <w:t>HDL or LDL overrides required to pre-posture for an expected Outage shall only be utilized until SCED is capable of managing the related constraint by economic dispatch.</w:t>
      </w:r>
    </w:p>
    <w:p w14:paraId="38D028F8" w14:textId="77777777" w:rsidR="001F04FD" w:rsidRPr="00943379" w:rsidRDefault="001F04FD" w:rsidP="009E68BD">
      <w:pPr>
        <w:spacing w:after="240"/>
        <w:ind w:left="720" w:hanging="720"/>
        <w:rPr>
          <w:iCs/>
        </w:rPr>
      </w:pPr>
      <w:r w:rsidRPr="00943379">
        <w:rPr>
          <w:iCs/>
        </w:rPr>
        <w:t>(</w:t>
      </w:r>
      <w:r w:rsidR="00C57701">
        <w:rPr>
          <w:iCs/>
        </w:rPr>
        <w:t>7</w:t>
      </w:r>
      <w:r w:rsidRPr="00943379">
        <w:rPr>
          <w:iCs/>
        </w:rPr>
        <w:t>)</w:t>
      </w:r>
      <w:r w:rsidRPr="00943379">
        <w:rPr>
          <w:iCs/>
        </w:rPr>
        <w:tab/>
        <w:t xml:space="preserve">ERCOT shall report </w:t>
      </w:r>
      <w:r w:rsidRPr="007D4FA7">
        <w:rPr>
          <w:iCs/>
        </w:rPr>
        <w:t>monthly</w:t>
      </w:r>
      <w:r w:rsidRPr="00943379">
        <w:rPr>
          <w:iCs/>
        </w:rPr>
        <w:t>:</w:t>
      </w:r>
    </w:p>
    <w:p w14:paraId="24C090E1" w14:textId="77777777" w:rsidR="001F04FD" w:rsidRPr="00E41B9C" w:rsidRDefault="001F04FD" w:rsidP="001F04FD">
      <w:pPr>
        <w:spacing w:after="240"/>
        <w:ind w:left="1440" w:hanging="720"/>
      </w:pPr>
      <w:r w:rsidRPr="00943379">
        <w:t>(a)</w:t>
      </w:r>
      <w:r w:rsidRPr="00943379">
        <w:tab/>
      </w:r>
      <w:r w:rsidRPr="00E41B9C">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0A82D8F7" w14:textId="77777777" w:rsidR="001F04FD" w:rsidRDefault="001F04FD" w:rsidP="001F04FD">
      <w:pPr>
        <w:pStyle w:val="BodyTextNumbered"/>
        <w:ind w:left="1440"/>
      </w:pPr>
      <w:r w:rsidRPr="00E41B9C">
        <w:t>(b)</w:t>
      </w:r>
      <w:r w:rsidRPr="00E41B9C">
        <w:tab/>
        <w:t xml:space="preserve">Operating conditions on the ERCOT System that contributed to each </w:t>
      </w:r>
      <w:r>
        <w:t xml:space="preserve">transmission </w:t>
      </w:r>
      <w:r w:rsidRPr="00E41B9C">
        <w:t>security violation reported in paragraph (</w:t>
      </w:r>
      <w:r w:rsidR="00B55F80">
        <w:t>7</w:t>
      </w:r>
      <w:r w:rsidRPr="00E41B9C">
        <w:t>)(a) above.  Analysis should be made to understand the root cause and what steps could be taken to avoid a recurrence in the future.</w:t>
      </w:r>
      <w:r w:rsidRPr="00FE3A43">
        <w:rPr>
          <w:iCs/>
        </w:rPr>
        <w:t xml:space="preserve"> </w:t>
      </w:r>
      <w:r>
        <w:rPr>
          <w:iCs/>
        </w:rPr>
        <w:t xml:space="preserve"> </w:t>
      </w:r>
    </w:p>
    <w:p w14:paraId="58CA2B4F" w14:textId="77777777" w:rsidR="001F04FD" w:rsidRDefault="001F04FD" w:rsidP="001F04FD">
      <w:pPr>
        <w:pStyle w:val="H5"/>
        <w:spacing w:before="480"/>
        <w:ind w:left="1627" w:hanging="1627"/>
      </w:pPr>
      <w:bookmarkStart w:id="1041" w:name="_Toc397504966"/>
      <w:bookmarkStart w:id="1042" w:name="_Toc402357094"/>
      <w:bookmarkStart w:id="1043" w:name="_Toc422486474"/>
      <w:bookmarkStart w:id="1044" w:name="_Toc433093326"/>
      <w:bookmarkStart w:id="1045" w:name="_Toc433093484"/>
      <w:bookmarkStart w:id="1046" w:name="_Toc440874713"/>
      <w:bookmarkStart w:id="1047" w:name="_Toc448142268"/>
      <w:bookmarkStart w:id="1048" w:name="_Toc448142425"/>
      <w:bookmarkStart w:id="1049" w:name="_Toc458770261"/>
      <w:bookmarkStart w:id="1050" w:name="_Toc459294229"/>
      <w:bookmarkStart w:id="1051" w:name="_Toc463262722"/>
      <w:bookmarkStart w:id="1052" w:name="_Toc468286796"/>
      <w:bookmarkStart w:id="1053" w:name="_Toc481502842"/>
      <w:bookmarkStart w:id="1054" w:name="_Toc496080010"/>
      <w:bookmarkStart w:id="1055" w:name="_Toc189044351"/>
      <w:r>
        <w:lastRenderedPageBreak/>
        <w:t>6.5.7.1.11</w:t>
      </w:r>
      <w:r>
        <w:tab/>
        <w:t>Transmission Network and Power Balance Constraint Management</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EEC5CA6" w14:textId="57AFC7F0" w:rsidR="001F04FD" w:rsidRDefault="001F04FD" w:rsidP="001F04FD">
      <w:pPr>
        <w:pStyle w:val="BodyTextNumbered"/>
      </w:pPr>
      <w:r w:rsidRPr="00055AA6">
        <w:rPr>
          <w:iCs/>
        </w:rPr>
        <w:t>(1)</w:t>
      </w:r>
      <w:r w:rsidRPr="00055AA6">
        <w:rPr>
          <w:iCs/>
        </w:rPr>
        <w:tab/>
      </w:r>
      <w:r w:rsidR="00196B38" w:rsidRPr="00757A45">
        <w:rPr>
          <w:iCs/>
        </w:rPr>
        <w:t xml:space="preserve">ERCOT may not allow any constraint (contingency and limiting Transmission Element pair) identified by NSA to be activated in SCED until it has verified that the contingency definition in NSA associated with the constraint is accurate and appropriate given the current operating state of the ERCOT Transmission Grid.  ERCOT shall continuously post to the MIS Secure Area all constraint contingencies in the NSA.  ERCOT shall provide relevant constraint information, including, but not limited to, the contingency name as provided in the standard contingency list, whether or not the constraint is active in SCED, the overloaded Transmission Element name, the </w:t>
      </w:r>
      <w:r w:rsidR="00196B38">
        <w:rPr>
          <w:iCs/>
        </w:rPr>
        <w:t>R</w:t>
      </w:r>
      <w:r w:rsidR="00196B38" w:rsidRPr="00757A45">
        <w:rPr>
          <w:iCs/>
        </w:rPr>
        <w:t>ating of the overloaded Transmission Element including Ge</w:t>
      </w:r>
      <w:r w:rsidR="00196B38">
        <w:rPr>
          <w:iCs/>
        </w:rPr>
        <w:t>neric Transmission Limits (GTLs</w:t>
      </w:r>
      <w:r w:rsidR="00196B38" w:rsidRPr="00757A45">
        <w:rPr>
          <w:iCs/>
        </w:rPr>
        <w:t>)</w:t>
      </w:r>
      <w:r w:rsidR="00196B38">
        <w:rPr>
          <w:iCs/>
        </w:rPr>
        <w:t xml:space="preserve"> expressed in MW and MVA</w:t>
      </w:r>
      <w:r w:rsidR="00196B38" w:rsidRPr="00757A45">
        <w:rPr>
          <w:iCs/>
        </w:rPr>
        <w:t>, and pre-contingency or post-contingency flows</w:t>
      </w:r>
      <w:r w:rsidR="00196B38">
        <w:rPr>
          <w:iCs/>
        </w:rPr>
        <w:t xml:space="preserve"> expressed in MW and MVA.</w:t>
      </w:r>
      <w:r w:rsidR="00196B38" w:rsidRPr="00AC31F1">
        <w:rPr>
          <w:iCs/>
        </w:rPr>
        <w:t xml:space="preserve">  For each Operating Day, ERCOT shall post to the MIS Secure Area within five days, a report listing all constraints with pre-contingency or post-contingency flows which exceeded the </w:t>
      </w:r>
      <w:r w:rsidR="00196B38">
        <w:rPr>
          <w:iCs/>
        </w:rPr>
        <w:t>R</w:t>
      </w:r>
      <w:r w:rsidR="00196B38" w:rsidRPr="00AC31F1">
        <w:rPr>
          <w:iCs/>
        </w:rPr>
        <w:t>ating of the overloaded Transmission Element for at least 15 minutes consecutively that were not activated in SCED and an explanation of why each constraint was not activated</w:t>
      </w:r>
      <w:r w:rsidR="00196B38" w:rsidRPr="00836253">
        <w:rPr>
          <w:iCs/>
        </w:rPr>
        <w:t>.</w:t>
      </w:r>
    </w:p>
    <w:p w14:paraId="6174FDEF" w14:textId="01E7EADD" w:rsidR="001F04FD" w:rsidRDefault="001F04FD" w:rsidP="00303EF0">
      <w:pPr>
        <w:pStyle w:val="BodyTextNumbered"/>
      </w:pPr>
      <w:r>
        <w:t>(2)</w:t>
      </w:r>
      <w:r>
        <w:tab/>
      </w:r>
      <w:r w:rsidR="005A1251">
        <w:t xml:space="preserve">Pursuant to </w:t>
      </w:r>
      <w:r w:rsidR="005A1251">
        <w:rPr>
          <w:szCs w:val="24"/>
        </w:rPr>
        <w:t xml:space="preserve">Section 22, Attachment P, Methodology for Setting Maximum Shadow Prices for Network and Power Balance Constraints, </w:t>
      </w:r>
      <w:r>
        <w:t xml:space="preserve">ERCOT shall establish a maximum Shadow Price for each network constraint as part of the definition of contingencies.  The cost calculated by SCED to resolve an additional MW of congestion on the network constraint is limited to the maximum Shadow Price for the network constraint.  </w:t>
      </w:r>
    </w:p>
    <w:p w14:paraId="603EAC63" w14:textId="4FBC3670" w:rsidR="001F04FD" w:rsidRDefault="001F04FD" w:rsidP="001F04FD">
      <w:pPr>
        <w:pStyle w:val="BodyTextNumbered"/>
      </w:pPr>
      <w:r>
        <w:t>(3)</w:t>
      </w:r>
      <w:r>
        <w:tab/>
      </w:r>
      <w:r w:rsidR="005A1251">
        <w:t xml:space="preserve">Pursuant to </w:t>
      </w:r>
      <w:r w:rsidR="005A1251">
        <w:rPr>
          <w:szCs w:val="24"/>
        </w:rPr>
        <w:t xml:space="preserve">Section 22, Attachment P, </w:t>
      </w:r>
      <w:r w:rsidRPr="00926EAF">
        <w:t xml:space="preserve">ERCOT shall establish a </w:t>
      </w:r>
      <w:r>
        <w:t xml:space="preserve">maximum Shadow Price for the power balance </w:t>
      </w:r>
      <w:r w:rsidRPr="00926EAF">
        <w:t>constraint</w:t>
      </w:r>
      <w:r>
        <w:t>.</w:t>
      </w:r>
      <w:r w:rsidRPr="00926EAF">
        <w:t xml:space="preserve">  The cost calculated by SCED to resolve </w:t>
      </w:r>
      <w:r>
        <w:t xml:space="preserve">either the </w:t>
      </w:r>
      <w:r w:rsidRPr="00926EAF">
        <w:t>addition</w:t>
      </w:r>
      <w:r>
        <w:t xml:space="preserve"> or reduction of one</w:t>
      </w:r>
      <w:r w:rsidRPr="00926EAF">
        <w:t xml:space="preserve"> MW of </w:t>
      </w:r>
      <w:r w:rsidRPr="004734FD">
        <w:t>di</w:t>
      </w:r>
      <w:r>
        <w:t xml:space="preserve">spatched generation </w:t>
      </w:r>
      <w:r w:rsidRPr="00926EAF">
        <w:t xml:space="preserve">on the </w:t>
      </w:r>
      <w:r>
        <w:t xml:space="preserve">power balance </w:t>
      </w:r>
      <w:r w:rsidRPr="00926EAF">
        <w:t xml:space="preserve">constraint is limited to the maximum Shadow Price for the </w:t>
      </w:r>
      <w:r>
        <w:t xml:space="preserve">power balance </w:t>
      </w:r>
      <w:r w:rsidRPr="00926EAF">
        <w:t xml:space="preserve">constraint.  </w:t>
      </w:r>
    </w:p>
    <w:p w14:paraId="084050D6" w14:textId="5D11EA65" w:rsidR="001F04FD" w:rsidRDefault="001F04FD" w:rsidP="001F04FD">
      <w:pPr>
        <w:spacing w:after="240"/>
        <w:ind w:left="720" w:hanging="720"/>
      </w:pPr>
      <w:r>
        <w:t>(</w:t>
      </w:r>
      <w:r w:rsidR="005A1251">
        <w:t>4</w:t>
      </w:r>
      <w:r>
        <w:t>)</w:t>
      </w:r>
      <w:r>
        <w:tab/>
        <w:t xml:space="preserve">If ERCOT determines that </w:t>
      </w:r>
      <w:r w:rsidRPr="004734FD">
        <w:t>r</w:t>
      </w:r>
      <w:r>
        <w:t>ating(s) in the Network Operations Model or configuration of the Transmission Facilities are not correct, then the TSP will provide the appropriate data submittals to ERCOT to correct the problem upon notification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1FB46D1" w14:textId="77777777" w:rsidTr="004510FA">
        <w:trPr>
          <w:trHeight w:val="1547"/>
        </w:trPr>
        <w:tc>
          <w:tcPr>
            <w:tcW w:w="9576" w:type="dxa"/>
            <w:shd w:val="pct12" w:color="auto" w:fill="auto"/>
          </w:tcPr>
          <w:p w14:paraId="2669E242" w14:textId="63C7C925" w:rsidR="00142463" w:rsidRDefault="00142463" w:rsidP="004510FA">
            <w:pPr>
              <w:pStyle w:val="Instructions"/>
              <w:spacing w:before="120"/>
            </w:pPr>
            <w:bookmarkStart w:id="1056" w:name="_Toc397504967"/>
            <w:bookmarkStart w:id="1057" w:name="_Toc402357095"/>
            <w:bookmarkStart w:id="1058" w:name="_Toc422486475"/>
            <w:bookmarkStart w:id="1059" w:name="_Toc433093327"/>
            <w:bookmarkStart w:id="1060" w:name="_Toc433093485"/>
            <w:bookmarkStart w:id="1061" w:name="_Toc440874714"/>
            <w:bookmarkStart w:id="1062" w:name="_Toc448142269"/>
            <w:bookmarkStart w:id="1063" w:name="_Toc448142426"/>
            <w:bookmarkStart w:id="1064" w:name="_Toc458770262"/>
            <w:bookmarkStart w:id="1065" w:name="_Toc459294230"/>
            <w:bookmarkStart w:id="1066" w:name="_Toc463262723"/>
            <w:bookmarkStart w:id="1067" w:name="_Toc468286797"/>
            <w:bookmarkStart w:id="1068" w:name="_Toc481502843"/>
            <w:bookmarkStart w:id="1069" w:name="_Toc496080011"/>
            <w:r>
              <w:t>[NPRR857:  Replace paragraph (</w:t>
            </w:r>
            <w:r w:rsidR="005A1251">
              <w:t>4</w:t>
            </w:r>
            <w:r>
              <w:t>)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719C083" w14:textId="49E93262" w:rsidR="00142463" w:rsidRPr="00B37C4B" w:rsidRDefault="00142463" w:rsidP="00142463">
            <w:pPr>
              <w:spacing w:after="240"/>
              <w:ind w:left="720" w:hanging="720"/>
            </w:pPr>
            <w:r w:rsidRPr="00E55E72">
              <w:t>(</w:t>
            </w:r>
            <w:r w:rsidR="005A1251">
              <w:t>4</w:t>
            </w:r>
            <w:r w:rsidRPr="00E55E72">
              <w:t>)</w:t>
            </w:r>
            <w:r w:rsidRPr="00E55E72">
              <w:tab/>
              <w:t>If ERCOT determines that rating(s) in the Network Operations Model or configuration of the Transmission Facilities are not correct, then the TSP or DCTO will provide the appropriate data submittals to ERCOT to correct the prob</w:t>
            </w:r>
            <w:r>
              <w:t>lem upon notification by ERCOT.</w:t>
            </w:r>
          </w:p>
        </w:tc>
      </w:tr>
    </w:tbl>
    <w:p w14:paraId="5FD8A8F9" w14:textId="77777777" w:rsidR="001F04FD" w:rsidRDefault="001F04FD" w:rsidP="001F04FD">
      <w:pPr>
        <w:pStyle w:val="H5"/>
        <w:spacing w:before="480"/>
        <w:ind w:left="1627" w:hanging="1627"/>
      </w:pPr>
      <w:bookmarkStart w:id="1070" w:name="_Toc189044352"/>
      <w:r>
        <w:lastRenderedPageBreak/>
        <w:t>6.5.7.1.12</w:t>
      </w:r>
      <w:r>
        <w:tab/>
        <w:t>Resource Limits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15D74BA0" w14:textId="77777777" w:rsidR="001F04FD" w:rsidRDefault="001F04FD" w:rsidP="001F04FD">
      <w:pPr>
        <w:pStyle w:val="BodyTextNumbered"/>
      </w:pPr>
      <w:r>
        <w:t>(1)</w:t>
      </w:r>
      <w:r>
        <w:tab/>
        <w:t>The following Generation Resource limits are calculated by ERCOT and used as inputs by the SCED process:</w:t>
      </w:r>
    </w:p>
    <w:p w14:paraId="7F7CF391" w14:textId="77777777" w:rsidR="001F04FD" w:rsidRDefault="001F04FD" w:rsidP="001F04FD">
      <w:pPr>
        <w:pStyle w:val="List"/>
      </w:pPr>
      <w:r>
        <w:t>(a)</w:t>
      </w:r>
      <w:r>
        <w:tab/>
        <w:t>HASL;</w:t>
      </w:r>
    </w:p>
    <w:p w14:paraId="7798F596" w14:textId="77777777" w:rsidR="001F04FD" w:rsidRDefault="001F04FD" w:rsidP="001F04FD">
      <w:pPr>
        <w:pStyle w:val="List"/>
      </w:pPr>
      <w:r>
        <w:t>(b)</w:t>
      </w:r>
      <w:r>
        <w:tab/>
        <w:t>LASL;</w:t>
      </w:r>
    </w:p>
    <w:p w14:paraId="42127BB2" w14:textId="77777777" w:rsidR="001F04FD" w:rsidRDefault="001F04FD" w:rsidP="001F04FD">
      <w:pPr>
        <w:pStyle w:val="List"/>
      </w:pPr>
      <w:r>
        <w:t>(c)</w:t>
      </w:r>
      <w:r>
        <w:tab/>
        <w:t>Normal Ramp Rate based on the values telemetered by the QSE to ERCOT;</w:t>
      </w:r>
    </w:p>
    <w:p w14:paraId="5A202D69" w14:textId="77777777" w:rsidR="001F04FD" w:rsidRDefault="001F04FD" w:rsidP="001F04FD">
      <w:pPr>
        <w:pStyle w:val="List"/>
      </w:pPr>
      <w:r>
        <w:t>(d)</w:t>
      </w:r>
      <w:r>
        <w:tab/>
        <w:t>Emergency Ramp Rate based on the values telemetered by the QSE to ERCOT;</w:t>
      </w:r>
    </w:p>
    <w:p w14:paraId="1F7AF581" w14:textId="77777777" w:rsidR="001F04FD" w:rsidRDefault="001F04FD" w:rsidP="001F04FD">
      <w:pPr>
        <w:pStyle w:val="List"/>
      </w:pPr>
      <w:r>
        <w:t>(e)</w:t>
      </w:r>
      <w:r>
        <w:tab/>
        <w:t>SCED Up Ramp Rate (SURAMP), which represents the ability of a Generation Resource to increase generation output in SCED;</w:t>
      </w:r>
    </w:p>
    <w:p w14:paraId="4B291FF8" w14:textId="77777777" w:rsidR="001F04FD" w:rsidRDefault="001F04FD" w:rsidP="001F04FD">
      <w:pPr>
        <w:pStyle w:val="List"/>
      </w:pPr>
      <w:r>
        <w:t>(f)</w:t>
      </w:r>
      <w:r>
        <w:tab/>
        <w:t>SCED Down Ramp Rate (SDRAMP), which represents the ability of a Generation Resource to decrease generation output in SCED;</w:t>
      </w:r>
    </w:p>
    <w:p w14:paraId="03BC393A" w14:textId="77777777" w:rsidR="001F04FD" w:rsidRDefault="001F04FD" w:rsidP="001F04FD">
      <w:pPr>
        <w:pStyle w:val="List"/>
      </w:pPr>
      <w:r>
        <w:t>(g)</w:t>
      </w:r>
      <w:r>
        <w:tab/>
        <w:t>HDL, which represents a dynamically calculated MW upper limit on a Resource that describes the maximum capability of the Resource SCED dispatch for the next five minutes (the Resource’s Real-Time generation plus the product of the Normal Ramp Rate, as telemetered by the QSE, multiplied by five), restricted by HASL; and</w:t>
      </w:r>
    </w:p>
    <w:p w14:paraId="66EC0829" w14:textId="77777777" w:rsidR="001F04FD" w:rsidRDefault="001F04FD" w:rsidP="001F04FD">
      <w:pPr>
        <w:pStyle w:val="List"/>
      </w:pPr>
      <w:r>
        <w:t>(h)</w:t>
      </w:r>
      <w:r>
        <w:tab/>
        <w:t>LDL, which represents a dynamically calculated MW lower limit on a Resource that describes the minimum capability of the Resource SCED dispatch for the next five minutes (the Resource’s Real-Time generation minus the product of the Normal Ramp Rate, as telemetered by the QSE, multiplied by five), restricted by LASL.</w:t>
      </w:r>
    </w:p>
    <w:p w14:paraId="0801FF8A" w14:textId="77777777" w:rsidR="001F04FD" w:rsidRDefault="001F04FD" w:rsidP="001F04FD">
      <w:pPr>
        <w:pStyle w:val="BodyTextNumbered"/>
      </w:pPr>
      <w:r>
        <w:t>(2)</w:t>
      </w:r>
      <w:r>
        <w:tab/>
        <w:t>The following Load Resource limits are calculated by ERCOT and used in other calculations and as information for ERCOT Operators:</w:t>
      </w:r>
    </w:p>
    <w:p w14:paraId="4FB50129" w14:textId="77777777" w:rsidR="001F04FD" w:rsidRDefault="001F04FD" w:rsidP="001F04FD">
      <w:pPr>
        <w:pStyle w:val="List"/>
      </w:pPr>
      <w:r>
        <w:t>(a)</w:t>
      </w:r>
      <w:r>
        <w:tab/>
        <w:t>For all Load Resources:</w:t>
      </w:r>
    </w:p>
    <w:p w14:paraId="6DFA6C4A" w14:textId="77777777" w:rsidR="001F04FD" w:rsidRDefault="001F04FD" w:rsidP="001F04FD">
      <w:pPr>
        <w:pStyle w:val="List"/>
        <w:ind w:left="2160"/>
      </w:pPr>
      <w:r>
        <w:t>(i)</w:t>
      </w:r>
      <w:r>
        <w:tab/>
        <w:t>HASL; and</w:t>
      </w:r>
    </w:p>
    <w:p w14:paraId="3B195063" w14:textId="77777777" w:rsidR="001F04FD" w:rsidRDefault="001F04FD" w:rsidP="001F04FD">
      <w:pPr>
        <w:spacing w:after="240"/>
        <w:ind w:left="2160" w:hanging="720"/>
      </w:pPr>
      <w:r>
        <w:t>(ii)</w:t>
      </w:r>
      <w:r>
        <w:tab/>
        <w:t>LASL; and</w:t>
      </w:r>
    </w:p>
    <w:p w14:paraId="552DC965" w14:textId="6FC31A68" w:rsidR="001F04FD" w:rsidRPr="006A6281" w:rsidRDefault="001F04FD" w:rsidP="001F04FD">
      <w:pPr>
        <w:pStyle w:val="List"/>
      </w:pPr>
      <w:r w:rsidRPr="006A6281">
        <w:t>(b)</w:t>
      </w:r>
      <w:r w:rsidRPr="006A6281">
        <w:tab/>
        <w:t xml:space="preserve">For </w:t>
      </w:r>
      <w:r w:rsidR="0011303E">
        <w:t>CLR</w:t>
      </w:r>
      <w:r w:rsidRPr="006A6281">
        <w:t>s qualified to be Dispatched by SCED:</w:t>
      </w:r>
    </w:p>
    <w:p w14:paraId="589402F4" w14:textId="77777777" w:rsidR="001F04FD" w:rsidRPr="006A6281" w:rsidRDefault="001F04FD" w:rsidP="001F04FD">
      <w:pPr>
        <w:pStyle w:val="List"/>
        <w:ind w:left="2160"/>
      </w:pPr>
      <w:r w:rsidRPr="006A6281">
        <w:t>(i)</w:t>
      </w:r>
      <w:r w:rsidRPr="006A6281">
        <w:tab/>
        <w:t>Normal Ramp Rate based on the values telemetered by the QSE to ERCOT;</w:t>
      </w:r>
    </w:p>
    <w:p w14:paraId="41422D9F" w14:textId="77777777" w:rsidR="001F04FD" w:rsidRPr="006A6281" w:rsidRDefault="001F04FD" w:rsidP="001F04FD">
      <w:pPr>
        <w:pStyle w:val="List"/>
        <w:ind w:left="2160"/>
      </w:pPr>
      <w:r w:rsidRPr="006A6281">
        <w:t>(ii)</w:t>
      </w:r>
      <w:r w:rsidRPr="006A6281">
        <w:tab/>
        <w:t>Emergency Ramp Rate based on the values telemetered by the QSE to ERCOT;</w:t>
      </w:r>
    </w:p>
    <w:p w14:paraId="22DD0494" w14:textId="77777777" w:rsidR="001F04FD" w:rsidRPr="006A6281" w:rsidRDefault="001F04FD" w:rsidP="001F04FD">
      <w:pPr>
        <w:pStyle w:val="List"/>
        <w:ind w:left="2160"/>
      </w:pPr>
      <w:r w:rsidRPr="006A6281">
        <w:lastRenderedPageBreak/>
        <w:t>(iii)</w:t>
      </w:r>
      <w:r w:rsidRPr="006A6281">
        <w:tab/>
        <w:t>SURAMP, which represents the ability of a Load Resource to decrease consumption in SCED;</w:t>
      </w:r>
    </w:p>
    <w:p w14:paraId="1405771D" w14:textId="77777777" w:rsidR="001F04FD" w:rsidRPr="006A6281" w:rsidRDefault="001F04FD" w:rsidP="001F04FD">
      <w:pPr>
        <w:pStyle w:val="List"/>
        <w:ind w:left="2160"/>
      </w:pPr>
      <w:r w:rsidRPr="006A6281">
        <w:t>(iv)</w:t>
      </w:r>
      <w:r w:rsidRPr="006A6281">
        <w:tab/>
        <w:t>SDRAMP, which represents the ability of a Load Resource to increase consumption in SCED;</w:t>
      </w:r>
    </w:p>
    <w:p w14:paraId="30B742BE" w14:textId="77777777" w:rsidR="001F04FD" w:rsidRPr="006A6281" w:rsidRDefault="001F04FD" w:rsidP="001F04FD">
      <w:pPr>
        <w:pStyle w:val="List"/>
        <w:ind w:left="2160"/>
      </w:pPr>
      <w:r w:rsidRPr="006A6281">
        <w:t>(v)</w:t>
      </w:r>
      <w:r w:rsidRPr="006A6281">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01883723" w14:textId="77777777" w:rsidR="001F04FD" w:rsidRDefault="001F04FD" w:rsidP="001F04FD">
      <w:pPr>
        <w:pStyle w:val="List"/>
        <w:ind w:left="2160"/>
      </w:pPr>
      <w:r w:rsidRPr="006A6281">
        <w:t>(vi)</w:t>
      </w:r>
      <w:r w:rsidRPr="006A6281">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61B7F176" w14:textId="77777777" w:rsidR="001F04FD" w:rsidRDefault="001F04FD" w:rsidP="001F04FD">
      <w:pPr>
        <w:pStyle w:val="BodyTextNumbered"/>
      </w:pPr>
      <w:r>
        <w:t>(3)</w:t>
      </w:r>
      <w:r>
        <w:tab/>
        <w:t>For a more detailed explanation of all the Resource limits calculated by ERCOT, please reference Section 6.5.7.2, Resource Limit Calculator.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0BCE4034" w14:textId="77777777" w:rsidTr="00D94BFC">
        <w:trPr>
          <w:trHeight w:val="206"/>
        </w:trPr>
        <w:tc>
          <w:tcPr>
            <w:tcW w:w="9350" w:type="dxa"/>
            <w:shd w:val="pct12" w:color="auto" w:fill="auto"/>
          </w:tcPr>
          <w:p w14:paraId="724D7840" w14:textId="28C126DE" w:rsidR="00F65784" w:rsidRDefault="00F65784" w:rsidP="00D94BFC">
            <w:pPr>
              <w:pStyle w:val="Instructions"/>
              <w:spacing w:before="120"/>
            </w:pPr>
            <w:bookmarkStart w:id="1071" w:name="_Toc397504968"/>
            <w:bookmarkStart w:id="1072" w:name="_Toc402357096"/>
            <w:bookmarkStart w:id="1073" w:name="_Toc422486476"/>
            <w:bookmarkStart w:id="1074" w:name="_Toc433093328"/>
            <w:bookmarkStart w:id="1075" w:name="_Toc433093486"/>
            <w:bookmarkStart w:id="1076" w:name="_Toc440874715"/>
            <w:bookmarkStart w:id="1077" w:name="_Toc448142270"/>
            <w:bookmarkStart w:id="1078" w:name="_Toc448142427"/>
            <w:bookmarkStart w:id="1079" w:name="_Toc458770263"/>
            <w:bookmarkStart w:id="1080" w:name="_Toc459294231"/>
            <w:bookmarkStart w:id="1081" w:name="_Toc463262724"/>
            <w:bookmarkStart w:id="1082" w:name="_Toc468286798"/>
            <w:bookmarkStart w:id="1083" w:name="_Toc481502844"/>
            <w:bookmarkStart w:id="1084" w:name="_Toc496080012"/>
            <w:r>
              <w:t>[NPRR1010</w:t>
            </w:r>
            <w:r w:rsidR="00151051">
              <w:t xml:space="preserve"> and NPRR1014</w:t>
            </w:r>
            <w:r>
              <w:t>:  Replace</w:t>
            </w:r>
            <w:r w:rsidR="00151051">
              <w:t xml:space="preserve"> applicable portions of</w:t>
            </w:r>
            <w:r>
              <w:t xml:space="preserve"> Section 6.5.7.1.12 above with the following upon system implementation of the Real-Time Co-Optimization (RTC) project</w:t>
            </w:r>
            <w:r w:rsidR="00151051">
              <w:t xml:space="preserve"> for NPRR1010; or upon system implementation for NPRR1014</w:t>
            </w:r>
            <w:r>
              <w:t>:]</w:t>
            </w:r>
          </w:p>
          <w:p w14:paraId="5A6DFD53" w14:textId="77777777" w:rsidR="00F65784" w:rsidRPr="003161DC" w:rsidRDefault="00F65784" w:rsidP="00F65784">
            <w:pPr>
              <w:keepNext/>
              <w:tabs>
                <w:tab w:val="left" w:pos="1620"/>
              </w:tabs>
              <w:spacing w:before="240" w:after="240"/>
              <w:ind w:left="1627" w:hanging="1627"/>
              <w:outlineLvl w:val="4"/>
              <w:rPr>
                <w:b/>
                <w:bCs/>
                <w:i/>
                <w:iCs/>
                <w:szCs w:val="26"/>
              </w:rPr>
            </w:pPr>
            <w:bookmarkStart w:id="1085" w:name="_Toc60040614"/>
            <w:bookmarkStart w:id="1086" w:name="_Toc65151674"/>
            <w:bookmarkStart w:id="1087" w:name="_Toc80174700"/>
            <w:bookmarkStart w:id="1088" w:name="_Toc108712459"/>
            <w:bookmarkStart w:id="1089" w:name="_Toc112417579"/>
            <w:bookmarkStart w:id="1090" w:name="_Toc119310248"/>
            <w:bookmarkStart w:id="1091" w:name="_Toc125966182"/>
            <w:bookmarkStart w:id="1092" w:name="_Toc135992280"/>
            <w:bookmarkStart w:id="1093" w:name="_Toc170303476"/>
            <w:bookmarkStart w:id="1094" w:name="_Toc175157380"/>
            <w:bookmarkStart w:id="1095" w:name="_Toc189044353"/>
            <w:r w:rsidRPr="003161DC">
              <w:rPr>
                <w:b/>
                <w:bCs/>
                <w:i/>
                <w:iCs/>
                <w:szCs w:val="26"/>
              </w:rPr>
              <w:t>6.5.7.1.12</w:t>
            </w:r>
            <w:r w:rsidRPr="003161DC">
              <w:rPr>
                <w:b/>
                <w:bCs/>
                <w:i/>
                <w:iCs/>
                <w:szCs w:val="26"/>
              </w:rPr>
              <w:tab/>
              <w:t>Resource Limits</w:t>
            </w:r>
            <w:bookmarkEnd w:id="1085"/>
            <w:bookmarkEnd w:id="1086"/>
            <w:bookmarkEnd w:id="1087"/>
            <w:bookmarkEnd w:id="1088"/>
            <w:bookmarkEnd w:id="1089"/>
            <w:bookmarkEnd w:id="1090"/>
            <w:bookmarkEnd w:id="1091"/>
            <w:bookmarkEnd w:id="1092"/>
            <w:bookmarkEnd w:id="1093"/>
            <w:bookmarkEnd w:id="1094"/>
            <w:bookmarkEnd w:id="1095"/>
          </w:p>
          <w:p w14:paraId="489C3E88" w14:textId="14FCE73F" w:rsidR="00F65784" w:rsidRPr="003161DC" w:rsidRDefault="00F65784" w:rsidP="00F65784">
            <w:pPr>
              <w:spacing w:after="240"/>
              <w:ind w:left="720" w:hanging="720"/>
            </w:pPr>
            <w:r w:rsidRPr="003161DC">
              <w:t>(1)</w:t>
            </w:r>
            <w:r w:rsidRPr="003161DC">
              <w:tab/>
              <w:t>The following Generation Resource</w:t>
            </w:r>
            <w:r w:rsidR="00151051">
              <w:t xml:space="preserve"> or ESR</w:t>
            </w:r>
            <w:r w:rsidRPr="003161DC">
              <w:t xml:space="preserve"> limits are calculated by ERCOT and used as inputs by the SCED process:</w:t>
            </w:r>
          </w:p>
          <w:p w14:paraId="2D17B808" w14:textId="77777777" w:rsidR="00F65784" w:rsidRPr="003161DC" w:rsidRDefault="00F65784" w:rsidP="00F65784">
            <w:pPr>
              <w:spacing w:after="240"/>
              <w:ind w:left="1440" w:hanging="720"/>
            </w:pPr>
            <w:r w:rsidRPr="003161DC">
              <w:t>(</w:t>
            </w:r>
            <w:r>
              <w:t>a</w:t>
            </w:r>
            <w:r w:rsidRPr="003161DC">
              <w:t>)</w:t>
            </w:r>
            <w:r w:rsidRPr="003161DC">
              <w:tab/>
              <w:t>Normal Ramp Rate based on the values telemetered by the QSE to ERCOT</w:t>
            </w:r>
            <w:r>
              <w:t>, which represents the current ability of the Resource to follow a Base Point instruction</w:t>
            </w:r>
            <w:r w:rsidRPr="003161DC">
              <w:t>;</w:t>
            </w:r>
          </w:p>
          <w:p w14:paraId="01FBCF78" w14:textId="77777777" w:rsidR="00F65784" w:rsidRPr="003161DC" w:rsidRDefault="00F65784" w:rsidP="00F65784">
            <w:pPr>
              <w:spacing w:after="240"/>
              <w:ind w:left="1440" w:hanging="720"/>
            </w:pPr>
            <w:r w:rsidRPr="003161DC">
              <w:t>(</w:t>
            </w:r>
            <w:r>
              <w:t>b</w:t>
            </w:r>
            <w:r w:rsidRPr="003161DC">
              <w:t>)</w:t>
            </w:r>
            <w:r w:rsidRPr="003161DC">
              <w:tab/>
              <w:t>Emergency Ramp Rate based on the</w:t>
            </w:r>
            <w:r>
              <w:fldChar w:fldCharType="begin"/>
            </w:r>
            <w:r>
              <w:fldChar w:fldCharType="end"/>
            </w:r>
            <w:r w:rsidRPr="003161DC">
              <w:t xml:space="preserve"> values telemetered by the QSE to ERCOT;</w:t>
            </w:r>
          </w:p>
          <w:p w14:paraId="3452E9CA" w14:textId="5FAC55C5" w:rsidR="00F65784" w:rsidRPr="003161DC" w:rsidRDefault="00F65784" w:rsidP="00F65784">
            <w:pPr>
              <w:spacing w:after="240"/>
              <w:ind w:left="1440" w:hanging="720"/>
            </w:pPr>
            <w:r w:rsidRPr="003161DC">
              <w:t>(</w:t>
            </w:r>
            <w:r>
              <w:t>c</w:t>
            </w:r>
            <w:r w:rsidRPr="003161DC">
              <w:t>)</w:t>
            </w:r>
            <w:r w:rsidRPr="003161DC">
              <w:tab/>
              <w:t>HDL, which represents a dynamically calculated MW upper limit on a Resource that describes the maximum capability of the Resource</w:t>
            </w:r>
            <w:r>
              <w:t>’s</w:t>
            </w:r>
            <w:r w:rsidRPr="003161DC">
              <w:t xml:space="preserve"> SCED dispatch </w:t>
            </w:r>
            <w:r>
              <w:t xml:space="preserve">and limits the amount of Reg-Up that can be awarded to the Resource </w:t>
            </w:r>
            <w:r w:rsidRPr="003161DC">
              <w:t xml:space="preserve">for the next five minutes (the Resource’s Real-Time </w:t>
            </w:r>
            <w:r w:rsidR="00CE56E5" w:rsidRPr="003161DC">
              <w:t>generation</w:t>
            </w:r>
            <w:r w:rsidR="00CE56E5">
              <w:t xml:space="preserve"> or, in the case of an ESR, its Real-Time output or consumption,</w:t>
            </w:r>
            <w:r w:rsidR="00CE56E5" w:rsidRPr="003161DC">
              <w:t xml:space="preserve"> </w:t>
            </w:r>
            <w:r w:rsidRPr="003161DC">
              <w:t>plus the product of the Normal Ramp Rate, as telemetered by the QSE, multiplied by five), restricted by HSL; and</w:t>
            </w:r>
          </w:p>
          <w:p w14:paraId="6BDFB0E4" w14:textId="205346D0" w:rsidR="00F65784" w:rsidRPr="003161DC" w:rsidRDefault="00F65784" w:rsidP="00F65784">
            <w:pPr>
              <w:spacing w:after="240"/>
              <w:ind w:left="1440" w:hanging="720"/>
            </w:pPr>
            <w:r w:rsidRPr="003161DC">
              <w:t>(</w:t>
            </w:r>
            <w:r>
              <w:t>d</w:t>
            </w:r>
            <w:r w:rsidRPr="003161DC">
              <w:t>)</w:t>
            </w:r>
            <w:r w:rsidRPr="003161DC">
              <w:tab/>
              <w:t>LDL, which represents a dynamically calculated MW lower limit on a Resource that describes the minimum capability of the Resource</w:t>
            </w:r>
            <w:r>
              <w:t>’s</w:t>
            </w:r>
            <w:r w:rsidRPr="003161DC">
              <w:t xml:space="preserve"> SCED dispatch </w:t>
            </w:r>
            <w:r>
              <w:t xml:space="preserve">and limits the amount of Reg-Down that can be awarded to the </w:t>
            </w:r>
            <w:r>
              <w:lastRenderedPageBreak/>
              <w:t xml:space="preserve">Resource </w:t>
            </w:r>
            <w:r w:rsidRPr="003161DC">
              <w:t xml:space="preserve">for the next five minutes (the Resource’s Real-Time </w:t>
            </w:r>
            <w:r w:rsidR="00CE56E5" w:rsidRPr="003161DC">
              <w:t xml:space="preserve">generation </w:t>
            </w:r>
            <w:r w:rsidR="00CE56E5">
              <w:t xml:space="preserve">or, in the case of an ESR, its Real-Time output or consumption, </w:t>
            </w:r>
            <w:r w:rsidR="00CE56E5" w:rsidRPr="003161DC">
              <w:t xml:space="preserve">minus </w:t>
            </w:r>
            <w:r w:rsidRPr="003161DC">
              <w:t>the product of the Normal Ramp Rate, as telemetered by the QSE, multiplied by five), restricted by LSL.</w:t>
            </w:r>
          </w:p>
          <w:p w14:paraId="7F9208BF" w14:textId="3F863C17" w:rsidR="00F65784" w:rsidRPr="003161DC" w:rsidRDefault="00F65784" w:rsidP="00F65784">
            <w:pPr>
              <w:spacing w:after="240"/>
              <w:ind w:left="720" w:hanging="720"/>
            </w:pPr>
            <w:r w:rsidRPr="003161DC">
              <w:t>(2)</w:t>
            </w:r>
            <w:r w:rsidRPr="003161DC">
              <w:tab/>
              <w:t xml:space="preserve">The following Load Resource limits are calculated by ERCOT </w:t>
            </w:r>
            <w:r>
              <w:t xml:space="preserve">for </w:t>
            </w:r>
            <w:r w:rsidR="0011303E">
              <w:t>CLR</w:t>
            </w:r>
            <w:r>
              <w:t xml:space="preserve">s qualified to be dispatched by SCED </w:t>
            </w:r>
            <w:r w:rsidRPr="003161DC">
              <w:t>and used in other calculations and as information for ERCOT Operators:</w:t>
            </w:r>
          </w:p>
          <w:p w14:paraId="20667336" w14:textId="77777777" w:rsidR="00F65784" w:rsidRPr="003161DC" w:rsidRDefault="00F65784" w:rsidP="00F65784">
            <w:pPr>
              <w:spacing w:after="240"/>
              <w:ind w:left="1440" w:hanging="720"/>
            </w:pPr>
            <w:r w:rsidRPr="006A4B03">
              <w:t>(a)</w:t>
            </w:r>
            <w:r w:rsidRPr="006A4B03">
              <w:tab/>
              <w:t>Normal Ramp Rate based on the values telemetered by the QSE to ERCOT, which represents the current ability of the Resource to follow a SCED Base Point instruction;</w:t>
            </w:r>
          </w:p>
          <w:p w14:paraId="155EA0C8" w14:textId="77777777" w:rsidR="00F65784" w:rsidRPr="003161DC" w:rsidRDefault="00F65784" w:rsidP="00F65784">
            <w:pPr>
              <w:spacing w:after="240"/>
              <w:ind w:left="1440" w:hanging="720"/>
            </w:pPr>
            <w:r w:rsidRPr="003161DC">
              <w:t>(</w:t>
            </w:r>
            <w:r>
              <w:t>b</w:t>
            </w:r>
            <w:r w:rsidRPr="003161DC">
              <w:t>)</w:t>
            </w:r>
            <w:r w:rsidRPr="003161DC">
              <w:tab/>
              <w:t>Emergency Ramp Rate based on the values telemetered by the QSE to ERCOT;</w:t>
            </w:r>
          </w:p>
          <w:p w14:paraId="6A4ADB0A" w14:textId="77777777" w:rsidR="00F65784" w:rsidRPr="003161DC" w:rsidRDefault="00F65784" w:rsidP="00F65784">
            <w:pPr>
              <w:spacing w:after="240"/>
              <w:ind w:left="1440" w:hanging="720"/>
            </w:pPr>
            <w:r w:rsidRPr="003161DC">
              <w:t>(</w:t>
            </w:r>
            <w:r>
              <w:t>c</w:t>
            </w:r>
            <w:r w:rsidRPr="003161DC">
              <w:t>)</w:t>
            </w:r>
            <w:r w:rsidRPr="003161DC">
              <w:tab/>
              <w:t xml:space="preserve">HDL, which represents a dynamically calculated MW upper limit on a Resource that describes the maximum capability of the Resource SCED dispatch </w:t>
            </w:r>
            <w:r>
              <w:t xml:space="preserve">and limits the amount of Reg-Down that can be awarded to the Resource </w:t>
            </w:r>
            <w:r w:rsidRPr="003161DC">
              <w:t>for the next five minutes (the Resource’s Real-Time consumption plus the product of the Normal Ramp Rate, as telemetered by the QSE, multiplied by five), restricted by HSL; and</w:t>
            </w:r>
          </w:p>
          <w:p w14:paraId="54C20C49" w14:textId="77777777" w:rsidR="00F65784" w:rsidRPr="003161DC" w:rsidRDefault="00F65784" w:rsidP="00F65784">
            <w:pPr>
              <w:spacing w:after="240"/>
              <w:ind w:left="1440" w:hanging="720"/>
            </w:pPr>
            <w:r w:rsidRPr="003161DC">
              <w:t>(</w:t>
            </w:r>
            <w:r>
              <w:t>d</w:t>
            </w:r>
            <w:r w:rsidRPr="003161DC">
              <w:t>)</w:t>
            </w:r>
            <w:r w:rsidRPr="003161DC">
              <w:tab/>
              <w:t xml:space="preserve">LDL, which represents a dynamically calculated MW lower limit on a Resource that describes the minimum capability of the Resource SCED dispatch </w:t>
            </w:r>
            <w:r>
              <w:t xml:space="preserve">and limits the amount of Reg-Up that can be awarded to the Resource </w:t>
            </w:r>
            <w:r w:rsidRPr="003161DC">
              <w:t>for the next five minutes (the Resource’s Real-Time consumption minus the product of the Normal Ramp Rate, as telemetered by the QSE, multiplied by five), restricted by LSL.</w:t>
            </w:r>
          </w:p>
          <w:p w14:paraId="456D43C9" w14:textId="6BCE0EE2" w:rsidR="00F65784" w:rsidRPr="00F65784" w:rsidRDefault="00F65784" w:rsidP="00F65784">
            <w:pPr>
              <w:spacing w:after="240"/>
              <w:ind w:left="720" w:hanging="720"/>
            </w:pPr>
            <w:r w:rsidRPr="003161DC">
              <w:t>(3)</w:t>
            </w:r>
            <w:r w:rsidRPr="003161DC">
              <w:tab/>
              <w:t>For a more detailed explanation of all the Resource limits calculated by ERCOT, please reference Section 6.5.</w:t>
            </w:r>
            <w:r>
              <w:t>7.2, Resource Limit Calculator.</w:t>
            </w:r>
          </w:p>
        </w:tc>
      </w:tr>
    </w:tbl>
    <w:p w14:paraId="68B71B1A" w14:textId="77777777" w:rsidR="001F04FD" w:rsidRDefault="001F04FD" w:rsidP="001F04FD">
      <w:pPr>
        <w:pStyle w:val="H5"/>
        <w:spacing w:before="480"/>
        <w:ind w:left="1627" w:hanging="1627"/>
      </w:pPr>
      <w:bookmarkStart w:id="1096" w:name="_Toc189044354"/>
      <w:r>
        <w:lastRenderedPageBreak/>
        <w:t>6.5.7.1.13</w:t>
      </w:r>
      <w:r>
        <w:tab/>
        <w:t>Data Inputs and Outputs for the Real-Time Sequence and SCED</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96"/>
    </w:p>
    <w:p w14:paraId="53979494" w14:textId="77777777" w:rsidR="001F04FD" w:rsidRDefault="001F04FD" w:rsidP="001F04FD">
      <w:pPr>
        <w:pStyle w:val="BodyTextNumbered"/>
      </w:pPr>
      <w:r>
        <w:t>(1)</w:t>
      </w:r>
      <w:r>
        <w:tab/>
        <w:t>Inputs:  The following information must be provided as inputs to the Real-Time Sequence and SCED.  ERCOT may require additional information as required, including:</w:t>
      </w:r>
    </w:p>
    <w:p w14:paraId="792BCD53" w14:textId="77777777" w:rsidR="001F04FD" w:rsidRDefault="001F04FD" w:rsidP="001F04FD">
      <w:pPr>
        <w:pStyle w:val="List"/>
      </w:pPr>
      <w:r>
        <w:t>(a)</w:t>
      </w:r>
      <w: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BB86229" w14:textId="77777777" w:rsidTr="004510FA">
        <w:trPr>
          <w:trHeight w:val="1547"/>
        </w:trPr>
        <w:tc>
          <w:tcPr>
            <w:tcW w:w="9576" w:type="dxa"/>
            <w:shd w:val="pct12" w:color="auto" w:fill="auto"/>
          </w:tcPr>
          <w:p w14:paraId="2070E802" w14:textId="0D84B4F4" w:rsidR="00142463" w:rsidRDefault="00142463" w:rsidP="004510FA">
            <w:pPr>
              <w:pStyle w:val="Instructions"/>
              <w:spacing w:before="120"/>
            </w:pPr>
            <w:r>
              <w:lastRenderedPageBreak/>
              <w:t>[NPRR857:  Replace paragraph (a)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815C23" w14:textId="77777777" w:rsidR="00142463" w:rsidRPr="00B37C4B" w:rsidRDefault="00862975" w:rsidP="00862975">
            <w:pPr>
              <w:spacing w:after="240"/>
              <w:ind w:left="1440" w:hanging="720"/>
            </w:pPr>
            <w:r w:rsidRPr="00E55E72">
              <w:t>(a)</w:t>
            </w:r>
            <w:r w:rsidRPr="00E55E72">
              <w:tab/>
              <w:t xml:space="preserve">Real-Time data from TSPs and DCTOs including status indication for each point if that data element is </w:t>
            </w:r>
            <w:r>
              <w:t>stale for more than 20 seconds;</w:t>
            </w:r>
          </w:p>
        </w:tc>
      </w:tr>
    </w:tbl>
    <w:p w14:paraId="7B9AA89D" w14:textId="77777777" w:rsidR="001F04FD" w:rsidRDefault="001F04FD" w:rsidP="0099247E">
      <w:pPr>
        <w:pStyle w:val="List2"/>
        <w:spacing w:before="240"/>
      </w:pPr>
      <w:r>
        <w:t>(i)</w:t>
      </w:r>
      <w:r>
        <w:tab/>
        <w:t>Transmission Electrical Bus voltages;</w:t>
      </w:r>
    </w:p>
    <w:p w14:paraId="77439A8C" w14:textId="77777777" w:rsidR="001F04FD" w:rsidRDefault="001F04FD" w:rsidP="001F04FD">
      <w:pPr>
        <w:pStyle w:val="List2"/>
      </w:pPr>
      <w:r>
        <w:t>(ii)</w:t>
      </w:r>
      <w:r>
        <w:tab/>
        <w:t>MW and MVAr pairs for all transmission lines, transformers, and reactors;</w:t>
      </w:r>
    </w:p>
    <w:p w14:paraId="778CF573" w14:textId="77777777" w:rsidR="001F04FD" w:rsidRDefault="001F04FD" w:rsidP="001F04FD">
      <w:pPr>
        <w:pStyle w:val="List2"/>
      </w:pPr>
      <w:r>
        <w:t>(iii)</w:t>
      </w:r>
      <w:r>
        <w:tab/>
        <w:t>Actual breaker and switch status for all modeled devices; and</w:t>
      </w:r>
    </w:p>
    <w:p w14:paraId="75B14212" w14:textId="77777777" w:rsidR="001F04FD" w:rsidRDefault="001F04FD" w:rsidP="001F04FD">
      <w:pPr>
        <w:pStyle w:val="List2"/>
      </w:pPr>
      <w:r>
        <w:t>(iv)</w:t>
      </w:r>
      <w:r>
        <w:tab/>
        <w:t>Tap position for auto-transformers;</w:t>
      </w:r>
    </w:p>
    <w:p w14:paraId="2C40B223" w14:textId="77777777" w:rsidR="001F04FD" w:rsidRDefault="001F04FD" w:rsidP="001F04FD">
      <w:pPr>
        <w:pStyle w:val="List"/>
      </w:pPr>
      <w:r>
        <w:t>(b)</w:t>
      </w:r>
      <w:r>
        <w:tab/>
        <w:t>State Estimator results (MW and MVAr pairs and calculated MVA) for all modeled Transmission Elements;</w:t>
      </w:r>
    </w:p>
    <w:p w14:paraId="48FEBD75" w14:textId="77777777" w:rsidR="001F04FD" w:rsidRDefault="001F04FD" w:rsidP="001F04FD">
      <w:pPr>
        <w:pStyle w:val="List"/>
      </w:pPr>
      <w:r>
        <w:t>(c)</w:t>
      </w:r>
      <w: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2975" w14:paraId="6DEAAAA8" w14:textId="77777777" w:rsidTr="00862975">
        <w:trPr>
          <w:trHeight w:val="926"/>
        </w:trPr>
        <w:tc>
          <w:tcPr>
            <w:tcW w:w="9576" w:type="dxa"/>
            <w:shd w:val="pct12" w:color="auto" w:fill="auto"/>
          </w:tcPr>
          <w:p w14:paraId="6FB71C0D" w14:textId="2DE51B6B" w:rsidR="00862975" w:rsidRDefault="00862975" w:rsidP="004510FA">
            <w:pPr>
              <w:pStyle w:val="Instructions"/>
              <w:spacing w:before="120"/>
            </w:pPr>
            <w:r>
              <w:t>[NPRR857:  Replace paragraph (c)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5EBC03CD" w14:textId="77777777" w:rsidR="00862975" w:rsidRPr="00B37C4B" w:rsidRDefault="00862975" w:rsidP="00862975">
            <w:pPr>
              <w:spacing w:after="240"/>
              <w:ind w:left="1440" w:hanging="720"/>
            </w:pPr>
            <w:r w:rsidRPr="00E55E72">
              <w:t>(c)</w:t>
            </w:r>
            <w:r w:rsidRPr="00E55E72">
              <w:tab/>
              <w:t>Transmission Element ratings from TSPs and DCTOs</w:t>
            </w:r>
            <w:r>
              <w:t>;</w:t>
            </w:r>
          </w:p>
        </w:tc>
      </w:tr>
    </w:tbl>
    <w:p w14:paraId="5EA1F168" w14:textId="77777777" w:rsidR="001F04FD" w:rsidRDefault="001F04FD" w:rsidP="0099247E">
      <w:pPr>
        <w:pStyle w:val="List2"/>
        <w:spacing w:before="240"/>
      </w:pPr>
      <w:r>
        <w:t>(i)</w:t>
      </w:r>
      <w:r>
        <w:tab/>
        <w:t>Data from the Network Operations Model:</w:t>
      </w:r>
    </w:p>
    <w:p w14:paraId="05B6FEB9" w14:textId="77777777" w:rsidR="001F04FD" w:rsidRDefault="001F04FD" w:rsidP="001F04FD">
      <w:pPr>
        <w:pStyle w:val="List3"/>
      </w:pPr>
      <w:r>
        <w:t>(A)</w:t>
      </w:r>
      <w:r>
        <w:tab/>
        <w:t>Transmission lines – Normal, Emergency, and 15-Minute Ratings (MVA); and</w:t>
      </w:r>
    </w:p>
    <w:p w14:paraId="5856ADD0" w14:textId="77777777" w:rsidR="001F04FD" w:rsidRDefault="001F04FD" w:rsidP="001F04FD">
      <w:pPr>
        <w:pStyle w:val="List3"/>
      </w:pPr>
      <w:r>
        <w:t>(B)</w:t>
      </w:r>
      <w:r>
        <w:tab/>
        <w:t>Transformers and Auto-transformers – Normal, Emergency, and 15-Minute Ratings (MVA) and tap position limits;</w:t>
      </w:r>
    </w:p>
    <w:p w14:paraId="1056DDA8" w14:textId="77777777" w:rsidR="001F04FD" w:rsidRDefault="001F04FD" w:rsidP="001F04FD">
      <w:pPr>
        <w:pStyle w:val="List2"/>
      </w:pPr>
      <w:r>
        <w:t>(ii)</w:t>
      </w:r>
      <w:r>
        <w:tab/>
        <w:t>Data from QSEs:</w:t>
      </w:r>
    </w:p>
    <w:p w14:paraId="6F822861" w14:textId="77777777" w:rsidR="001F04FD" w:rsidRDefault="001F04FD" w:rsidP="001F04FD">
      <w:pPr>
        <w:pStyle w:val="List3"/>
      </w:pPr>
      <w:r>
        <w:lastRenderedPageBreak/>
        <w:t>(A)</w:t>
      </w:r>
      <w:r>
        <w:tab/>
        <w:t>Generator Step-Up (GSU) transformers tap position;</w:t>
      </w:r>
    </w:p>
    <w:p w14:paraId="6F5413D6" w14:textId="77777777" w:rsidR="001F04FD" w:rsidRDefault="001F04FD" w:rsidP="001F04FD">
      <w:pPr>
        <w:pStyle w:val="List3"/>
      </w:pPr>
      <w:r>
        <w:t>(B)</w:t>
      </w:r>
      <w:r>
        <w:tab/>
        <w:t>Resource HSL (from telemetry); and</w:t>
      </w:r>
    </w:p>
    <w:p w14:paraId="0789E9AA" w14:textId="77777777" w:rsidR="001F04FD" w:rsidRDefault="001F04FD" w:rsidP="001F04FD">
      <w:pPr>
        <w:pStyle w:val="List3"/>
      </w:pPr>
      <w:r>
        <w:t>(C)</w:t>
      </w:r>
      <w:r>
        <w:tab/>
        <w:t>Resource LSL (from telemetry); and</w:t>
      </w:r>
    </w:p>
    <w:p w14:paraId="50D5C80B" w14:textId="77777777" w:rsidR="001F04FD" w:rsidRDefault="001F04FD" w:rsidP="001F04FD">
      <w:pPr>
        <w:pStyle w:val="List"/>
      </w:pPr>
      <w:r>
        <w:t>(d)</w:t>
      </w:r>
      <w:r>
        <w:tab/>
        <w:t xml:space="preserve">Real-Time weather, from </w:t>
      </w:r>
      <w:r w:rsidR="00B17C2D">
        <w:t>Wind-powered Generation Resources (</w:t>
      </w:r>
      <w:r>
        <w:t>WGRs</w:t>
      </w:r>
      <w:r w:rsidR="00B17C2D">
        <w:t>)</w:t>
      </w:r>
      <w:r>
        <w:t>, and where available from TSPs or other sources.  ERCOT may elect to obtain other sources of weather data and may utilize such information to calculate the dynamic limit of any Transmission Element.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004CF" w14:paraId="4D829B32" w14:textId="77777777" w:rsidTr="00F65784">
        <w:trPr>
          <w:trHeight w:val="926"/>
        </w:trPr>
        <w:tc>
          <w:tcPr>
            <w:tcW w:w="9350" w:type="dxa"/>
            <w:shd w:val="pct12" w:color="auto" w:fill="auto"/>
          </w:tcPr>
          <w:p w14:paraId="34682B0F" w14:textId="0D490FBB" w:rsidR="00A004CF" w:rsidRDefault="00A004CF" w:rsidP="004510FA">
            <w:pPr>
              <w:pStyle w:val="Instructions"/>
              <w:spacing w:before="120"/>
            </w:pPr>
            <w:r>
              <w:t>[NPRR857:  Replace paragraph (d)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B48A8DB" w14:textId="77777777" w:rsidR="00A004CF" w:rsidRPr="00B37C4B" w:rsidRDefault="00A004CF" w:rsidP="00B17C2D">
            <w:pPr>
              <w:spacing w:after="240"/>
              <w:ind w:left="1440" w:hanging="720"/>
            </w:pPr>
            <w:r w:rsidRPr="00E55E72">
              <w:t>(d)</w:t>
            </w:r>
            <w:r w:rsidRPr="00E55E72">
              <w:tab/>
              <w:t>Real-Time weather, from</w:t>
            </w:r>
            <w:r w:rsidR="00B17C2D" w:rsidRPr="00E55E72">
              <w:t xml:space="preserve"> </w:t>
            </w:r>
            <w:r w:rsidR="00B17C2D">
              <w:t>Wind-powered Generation Resources (</w:t>
            </w:r>
            <w:r w:rsidR="00B17C2D" w:rsidRPr="00E55E72">
              <w:t>WGRs</w:t>
            </w:r>
            <w:r w:rsidR="00B17C2D">
              <w:t>)</w:t>
            </w:r>
            <w:r w:rsidR="00B17C2D" w:rsidRPr="00E55E72">
              <w:t xml:space="preserve">, </w:t>
            </w:r>
            <w:r w:rsidRPr="00E55E72">
              <w:t>and where available from TSPs, DCTOs, or other sources.  ERCOT may elect to obtain other sources of weather data and may utilize such information to calculate the dynamic lim</w:t>
            </w:r>
            <w:r>
              <w:t>it of any Transmission Element.</w:t>
            </w:r>
          </w:p>
        </w:tc>
      </w:tr>
    </w:tbl>
    <w:p w14:paraId="2688AB80" w14:textId="77777777" w:rsidR="001F04FD" w:rsidRDefault="001F04FD" w:rsidP="0099247E">
      <w:pPr>
        <w:pStyle w:val="BodyTextNumbered"/>
        <w:spacing w:before="240"/>
      </w:pPr>
      <w:r>
        <w:t>(2)</w:t>
      </w:r>
      <w:r>
        <w:tab/>
        <w:t>ERCOT shall validate the inputs of the Resource Limit Calculator as follows:</w:t>
      </w:r>
    </w:p>
    <w:p w14:paraId="64281B46" w14:textId="77777777" w:rsidR="001F04FD" w:rsidRDefault="001F04FD" w:rsidP="001F04FD">
      <w:pPr>
        <w:pStyle w:val="List"/>
      </w:pPr>
      <w:r>
        <w:t>(a)</w:t>
      </w:r>
      <w:r>
        <w:tab/>
        <w:t>The calculated SURAMP and SDRAMP are each greater than or equal to zero; and</w:t>
      </w:r>
    </w:p>
    <w:p w14:paraId="71AB3B19" w14:textId="77777777" w:rsidR="001F04FD" w:rsidRDefault="001F04FD" w:rsidP="001F04FD">
      <w:pPr>
        <w:pStyle w:val="List"/>
      </w:pPr>
      <w:r>
        <w:t>(b)</w:t>
      </w:r>
      <w:r>
        <w:tab/>
        <w:t>Other provision specified under Section 3.18, Resource Limits in Providing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79D499C" w14:textId="77777777" w:rsidTr="00D94BFC">
        <w:trPr>
          <w:trHeight w:val="926"/>
        </w:trPr>
        <w:tc>
          <w:tcPr>
            <w:tcW w:w="9350" w:type="dxa"/>
            <w:shd w:val="pct12" w:color="auto" w:fill="auto"/>
          </w:tcPr>
          <w:p w14:paraId="09742432" w14:textId="52E71F1F" w:rsidR="00F65784" w:rsidRPr="00B37C4B" w:rsidRDefault="00F65784" w:rsidP="00CE56E5">
            <w:pPr>
              <w:pStyle w:val="Instructions"/>
              <w:spacing w:before="120"/>
            </w:pPr>
            <w:r>
              <w:t>[NPRR1010:  Delete paragraph (2) above upon system</w:t>
            </w:r>
            <w:r w:rsidR="00CE56E5">
              <w:t xml:space="preserve"> implementation of the Real-Time Co-Optimization (RTC) project and renumber accordingly.</w:t>
            </w:r>
            <w:r>
              <w:t>]</w:t>
            </w:r>
          </w:p>
        </w:tc>
      </w:tr>
    </w:tbl>
    <w:p w14:paraId="510712C9" w14:textId="2AAA3AD9" w:rsidR="001F04FD" w:rsidRDefault="001F04FD" w:rsidP="000B1D41">
      <w:pPr>
        <w:pStyle w:val="BodyTextNumbered"/>
        <w:spacing w:before="240"/>
      </w:pPr>
      <w:r>
        <w:t>(3)</w:t>
      </w:r>
      <w:r>
        <w:tab/>
        <w:t>Outputs for ERCOT Operator information and possible action include:</w:t>
      </w:r>
    </w:p>
    <w:p w14:paraId="176887A8" w14:textId="77777777" w:rsidR="001F04FD" w:rsidRDefault="001F04FD" w:rsidP="001F04FD">
      <w:pPr>
        <w:pStyle w:val="List"/>
      </w:pPr>
      <w:r>
        <w:t>(a)</w:t>
      </w:r>
      <w:r>
        <w:tab/>
        <w:t>Operator notification of any change in status of any breaker or switch;</w:t>
      </w:r>
    </w:p>
    <w:p w14:paraId="2028FB52" w14:textId="77777777" w:rsidR="001F04FD" w:rsidRDefault="001F04FD" w:rsidP="001F04FD">
      <w:pPr>
        <w:pStyle w:val="List"/>
      </w:pPr>
      <w:r>
        <w:t>(b)</w:t>
      </w:r>
      <w:r>
        <w:tab/>
        <w:t>Lists of all breakers and switches not in their normal position;</w:t>
      </w:r>
    </w:p>
    <w:p w14:paraId="5F3E309C" w14:textId="77777777" w:rsidR="001F04FD" w:rsidRDefault="001F04FD" w:rsidP="001F04FD">
      <w:pPr>
        <w:pStyle w:val="List"/>
      </w:pPr>
      <w:r>
        <w:t>(c)</w:t>
      </w:r>
      <w:r>
        <w:tab/>
        <w:t>Operator notification of all Transmission Element overloads detected from telemetered or State-Estimated data;</w:t>
      </w:r>
    </w:p>
    <w:p w14:paraId="6FDBB6DF" w14:textId="77777777" w:rsidR="001F04FD" w:rsidRDefault="001F04FD" w:rsidP="001F04FD">
      <w:pPr>
        <w:pStyle w:val="List"/>
      </w:pPr>
      <w:r>
        <w:lastRenderedPageBreak/>
        <w:t>(d)</w:t>
      </w:r>
      <w:r>
        <w:tab/>
        <w:t>Operator notification of all Transmission Element security violations; and</w:t>
      </w:r>
    </w:p>
    <w:p w14:paraId="5B037FEC" w14:textId="77777777" w:rsidR="001F04FD" w:rsidRDefault="001F04FD" w:rsidP="001F04FD">
      <w:pPr>
        <w:pStyle w:val="List"/>
      </w:pPr>
      <w:r>
        <w:t>(e)</w:t>
      </w:r>
      <w:r>
        <w:tab/>
        <w:t>Operator summary displays:</w:t>
      </w:r>
    </w:p>
    <w:p w14:paraId="304F64C4" w14:textId="77777777" w:rsidR="001F04FD" w:rsidRDefault="001F04FD" w:rsidP="001F04FD">
      <w:pPr>
        <w:pStyle w:val="List2"/>
      </w:pPr>
      <w:r>
        <w:t>(i)</w:t>
      </w:r>
      <w:r>
        <w:tab/>
        <w:t>Transmission system status changes;</w:t>
      </w:r>
    </w:p>
    <w:p w14:paraId="70D9797C" w14:textId="77777777" w:rsidR="001F04FD" w:rsidRDefault="001F04FD" w:rsidP="001F04FD">
      <w:pPr>
        <w:pStyle w:val="List2"/>
      </w:pPr>
      <w:r>
        <w:t>(ii)</w:t>
      </w:r>
      <w:r>
        <w:tab/>
        <w:t>Overloads;</w:t>
      </w:r>
    </w:p>
    <w:p w14:paraId="6216726C" w14:textId="77777777" w:rsidR="001F04FD" w:rsidRDefault="001F04FD" w:rsidP="001F04FD">
      <w:pPr>
        <w:pStyle w:val="List2"/>
      </w:pPr>
      <w:r>
        <w:t>(iii)</w:t>
      </w:r>
      <w:r>
        <w:tab/>
        <w:t>System security violations; and</w:t>
      </w:r>
    </w:p>
    <w:p w14:paraId="12307420" w14:textId="77777777" w:rsidR="001F04FD" w:rsidRDefault="001F04FD" w:rsidP="001F04FD">
      <w:pPr>
        <w:pStyle w:val="List2"/>
      </w:pPr>
      <w:r>
        <w:t>(iv)</w:t>
      </w:r>
      <w:r>
        <w:tab/>
        <w:t>Base Points.</w:t>
      </w:r>
    </w:p>
    <w:p w14:paraId="67E3AFC3" w14:textId="77777777" w:rsidR="001F04FD" w:rsidRDefault="001F04FD" w:rsidP="001F04FD">
      <w:pPr>
        <w:pStyle w:val="BodyTextNumbered"/>
      </w:pPr>
      <w:r>
        <w:t>(4)</w:t>
      </w:r>
      <w:r>
        <w:tab/>
        <w:t>Every hour, ERCOT shall post on the MIS Secure Area the following information:</w:t>
      </w:r>
    </w:p>
    <w:p w14:paraId="24DAB843" w14:textId="77777777" w:rsidR="001F04FD" w:rsidRDefault="001F04FD" w:rsidP="001F04FD">
      <w:pPr>
        <w:pStyle w:val="List"/>
      </w:pPr>
      <w:r>
        <w:t>(a)</w:t>
      </w:r>
      <w:r>
        <w:tab/>
        <w:t>Status of all breakers and switches used in the NSA except breakers and switches connecting Resources to the ERCOT Transmission Grid;</w:t>
      </w:r>
    </w:p>
    <w:p w14:paraId="75DBB5CF" w14:textId="77777777" w:rsidR="001F04FD" w:rsidRDefault="001F04FD" w:rsidP="001F04FD">
      <w:pPr>
        <w:pStyle w:val="List"/>
      </w:pPr>
      <w:r>
        <w:t>(b)</w:t>
      </w:r>
      <w:r>
        <w:tab/>
        <w:t>All binding transmission constraints and the contingency or overloaded element pairs that caused such constraint; and</w:t>
      </w:r>
    </w:p>
    <w:p w14:paraId="08DAAD61" w14:textId="77777777" w:rsidR="001F04FD" w:rsidRDefault="001F04FD" w:rsidP="001F04FD">
      <w:pPr>
        <w:pStyle w:val="List"/>
      </w:pPr>
      <w:r>
        <w:t>(c)</w:t>
      </w:r>
      <w:r>
        <w:tab/>
      </w:r>
      <w:r w:rsidR="00326E23" w:rsidRPr="00E07D74">
        <w:t>Shift Factors</w:t>
      </w:r>
      <w:r w:rsidR="00326E23">
        <w:t xml:space="preserve">, </w:t>
      </w:r>
      <w:r w:rsidR="00326E23" w:rsidRPr="002467A5">
        <w:t>including Private Use Network Settlement Points</w:t>
      </w:r>
      <w:r w:rsidR="00326E23">
        <w:t>,</w:t>
      </w:r>
      <w:r w:rsidR="00326E23" w:rsidRPr="00E07D74">
        <w:t xml:space="preserve"> by Resource Node</w:t>
      </w:r>
      <w:r w:rsidR="00326E23">
        <w:t>, Hub, Load Zone, and DC 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0447C" w14:paraId="257F0985" w14:textId="77777777" w:rsidTr="00AE5CE8">
        <w:trPr>
          <w:trHeight w:val="206"/>
        </w:trPr>
        <w:tc>
          <w:tcPr>
            <w:tcW w:w="9576" w:type="dxa"/>
            <w:shd w:val="pct12" w:color="auto" w:fill="auto"/>
          </w:tcPr>
          <w:p w14:paraId="3516E39F" w14:textId="363EA46D" w:rsidR="0070447C" w:rsidRDefault="0070447C" w:rsidP="00AE5CE8">
            <w:pPr>
              <w:pStyle w:val="Instructions"/>
              <w:spacing w:before="120"/>
            </w:pPr>
            <w:r>
              <w:t>[NPRR1239</w:t>
            </w:r>
            <w:r w:rsidR="008015A9">
              <w:t xml:space="preserve"> and NPRR1249</w:t>
            </w:r>
            <w:r>
              <w:t xml:space="preserve">:  Replace </w:t>
            </w:r>
            <w:r w:rsidR="008015A9">
              <w:t xml:space="preserve">applicable portions of </w:t>
            </w:r>
            <w:r>
              <w:t>paragraph (4) above with the following upon system implementation:]</w:t>
            </w:r>
          </w:p>
          <w:p w14:paraId="58532DD2" w14:textId="4528BB3A" w:rsidR="0070447C" w:rsidRPr="00E62DE9" w:rsidRDefault="0070447C" w:rsidP="0070447C">
            <w:pPr>
              <w:spacing w:after="240"/>
              <w:ind w:left="720" w:hanging="720"/>
            </w:pPr>
            <w:r>
              <w:t>(4)</w:t>
            </w:r>
            <w:r>
              <w:tab/>
              <w:t>Every hour, ERCOT shall post on the MIS Secure Area, except where otherwise stated in this paragraph (4), the following information:</w:t>
            </w:r>
          </w:p>
          <w:p w14:paraId="0A11AB6E" w14:textId="77777777" w:rsidR="0070447C" w:rsidRPr="00E62DE9" w:rsidRDefault="0070447C" w:rsidP="0070447C">
            <w:pPr>
              <w:spacing w:after="240"/>
              <w:ind w:left="1440" w:hanging="720"/>
            </w:pPr>
            <w:r w:rsidRPr="00E62DE9">
              <w:t>(a)</w:t>
            </w:r>
            <w:r w:rsidRPr="00E62DE9">
              <w:tab/>
              <w:t>Status of all breakers and switches used in the NSA except breakers and switches connecting Resources to the ERCOT Transmission Grid;</w:t>
            </w:r>
          </w:p>
          <w:p w14:paraId="62EA6224" w14:textId="77777777" w:rsidR="0070447C" w:rsidRPr="00E62DE9" w:rsidRDefault="0070447C" w:rsidP="0070447C">
            <w:pPr>
              <w:spacing w:after="240"/>
              <w:ind w:left="1440" w:hanging="720"/>
            </w:pPr>
            <w:r w:rsidRPr="00E62DE9">
              <w:t>(b)</w:t>
            </w:r>
            <w:r w:rsidRPr="00E62DE9">
              <w:tab/>
              <w:t>All binding transmission constraints and the contingency or overloaded element pairs that caused such constraint; and</w:t>
            </w:r>
          </w:p>
          <w:p w14:paraId="37FDFA7B" w14:textId="66405A1A" w:rsidR="0070447C" w:rsidRPr="00A4149C" w:rsidRDefault="0070447C" w:rsidP="0070447C">
            <w:pPr>
              <w:spacing w:after="240"/>
              <w:ind w:left="1440" w:hanging="720"/>
            </w:pPr>
            <w:r>
              <w:t>(c)</w:t>
            </w:r>
            <w:r>
              <w:tab/>
              <w:t>On the ERCOT website, Shift Factors</w:t>
            </w:r>
            <w:r w:rsidR="008015A9">
              <w:t xml:space="preserve"> for all active transmission constraints</w:t>
            </w:r>
            <w:r>
              <w:t>, including Private Use Network Settlement Points, by Resource Node, Hub, Load Zone, and DC Tie.</w:t>
            </w:r>
          </w:p>
        </w:tc>
      </w:tr>
    </w:tbl>
    <w:p w14:paraId="483A1A5C" w14:textId="7B1D649F" w:rsidR="001F04FD" w:rsidRDefault="001F04FD" w:rsidP="00952F33">
      <w:pPr>
        <w:pStyle w:val="List"/>
        <w:spacing w:before="240"/>
        <w:ind w:left="720"/>
      </w:pPr>
      <w:r>
        <w:t>(5)</w:t>
      </w:r>
      <w:r>
        <w:tab/>
        <w:t>Sixty days after the applicable Operating Day, ERCOT shall post on the MIS Secure Area, the following information:</w:t>
      </w:r>
    </w:p>
    <w:p w14:paraId="78121722" w14:textId="77777777" w:rsidR="001F04FD" w:rsidRDefault="001F04FD" w:rsidP="001F04FD">
      <w:pPr>
        <w:pStyle w:val="List"/>
      </w:pPr>
      <w:r>
        <w:t>(a)</w:t>
      </w:r>
      <w:r>
        <w:tab/>
      </w:r>
      <w:r w:rsidRPr="00AC0F26">
        <w:t xml:space="preserve">Hourly transmission line flows </w:t>
      </w:r>
      <w:r>
        <w:t xml:space="preserve">and voltages </w:t>
      </w:r>
      <w:r w:rsidRPr="00AC0F26">
        <w:t xml:space="preserve">from the State Estimator, excluding transmission line flows </w:t>
      </w:r>
      <w:r>
        <w:t xml:space="preserve">and voltages </w:t>
      </w:r>
      <w:r w:rsidRPr="00AC0F26">
        <w:t>for Private Use Networks</w:t>
      </w:r>
      <w:r>
        <w:t>; and</w:t>
      </w:r>
    </w:p>
    <w:p w14:paraId="690E59C7" w14:textId="77777777" w:rsidR="001F04FD" w:rsidRDefault="001F04FD" w:rsidP="001F04FD">
      <w:pPr>
        <w:pStyle w:val="List"/>
      </w:pPr>
      <w:r w:rsidRPr="00AC0F26">
        <w:lastRenderedPageBreak/>
        <w:t>(b)</w:t>
      </w:r>
      <w:r w:rsidRPr="00AC0F26">
        <w:tab/>
        <w:t>Hourly transformer flows, voltages and tap positions from the State Estimator, excluding transformer flows, voltages, and tap positions for Private Use Networks.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C4DE5" w14:paraId="74A27BA5" w14:textId="77777777" w:rsidTr="00AE5CE8">
        <w:trPr>
          <w:trHeight w:val="206"/>
        </w:trPr>
        <w:tc>
          <w:tcPr>
            <w:tcW w:w="9576" w:type="dxa"/>
            <w:shd w:val="pct12" w:color="auto" w:fill="auto"/>
          </w:tcPr>
          <w:p w14:paraId="757EAE9D" w14:textId="1986908E" w:rsidR="00AC4DE5" w:rsidRDefault="00AC4DE5" w:rsidP="00AE5CE8">
            <w:pPr>
              <w:pStyle w:val="Instructions"/>
              <w:spacing w:before="120"/>
            </w:pPr>
            <w:r>
              <w:t>[NPRR1239:  Replace paragraph (5) above with the following upon system implementation:]</w:t>
            </w:r>
          </w:p>
          <w:p w14:paraId="35962E18" w14:textId="77777777" w:rsidR="00AC4DE5" w:rsidRPr="00E62DE9" w:rsidRDefault="00AC4DE5" w:rsidP="00AC4DE5">
            <w:pPr>
              <w:spacing w:after="240"/>
              <w:ind w:left="720" w:hanging="720"/>
            </w:pPr>
            <w:r w:rsidRPr="00E62DE9">
              <w:t>(5)</w:t>
            </w:r>
            <w:r w:rsidRPr="00E62DE9">
              <w:tab/>
              <w:t xml:space="preserve">Sixty days after the applicable Operating Day, ERCOT shall post on the </w:t>
            </w:r>
            <w:r>
              <w:t>ERCOT website</w:t>
            </w:r>
            <w:r w:rsidRPr="00E62DE9">
              <w:t>, the following information:</w:t>
            </w:r>
          </w:p>
          <w:p w14:paraId="5D731693" w14:textId="77777777" w:rsidR="00AC4DE5" w:rsidRPr="00E62DE9" w:rsidRDefault="00AC4DE5" w:rsidP="00AC4DE5">
            <w:pPr>
              <w:spacing w:after="240"/>
              <w:ind w:left="1440" w:hanging="720"/>
            </w:pPr>
            <w:r w:rsidRPr="00E62DE9">
              <w:t>(a)</w:t>
            </w:r>
            <w:r w:rsidRPr="00E62DE9">
              <w:tab/>
              <w:t>Hourly transmission line flows and voltages from the State Estimator, excluding transmission line flows and voltages for Private Use Networks; and</w:t>
            </w:r>
          </w:p>
          <w:p w14:paraId="24DE0640" w14:textId="7FB51DE9" w:rsidR="00AC4DE5" w:rsidRPr="00A4149C" w:rsidRDefault="00AC4DE5" w:rsidP="00AC4DE5">
            <w:pPr>
              <w:spacing w:after="240"/>
              <w:ind w:left="1440" w:hanging="720"/>
            </w:pPr>
            <w:r w:rsidRPr="00E62DE9">
              <w:t>(b)</w:t>
            </w:r>
            <w:r w:rsidRPr="00E62DE9">
              <w:tab/>
              <w:t>Hourly transformer flows, voltages and tap positions from the State Estimator, excluding transformer flows, voltages, and tap positions for Private Use Networks.</w:t>
            </w:r>
          </w:p>
        </w:tc>
      </w:tr>
    </w:tbl>
    <w:p w14:paraId="66970CD2" w14:textId="718DE631" w:rsidR="001F04FD" w:rsidRDefault="001F04FD" w:rsidP="00952F33">
      <w:pPr>
        <w:spacing w:before="240" w:after="240"/>
        <w:ind w:left="720" w:hanging="720"/>
        <w:rPr>
          <w:iCs/>
        </w:rPr>
      </w:pPr>
      <w:r w:rsidRPr="00730AC4">
        <w:rPr>
          <w:iCs/>
        </w:rPr>
        <w:t>(6)</w:t>
      </w:r>
      <w:r w:rsidRPr="00730AC4">
        <w:rPr>
          <w:iCs/>
        </w:rPr>
        <w:tab/>
        <w:t xml:space="preserve">Notwithstanding paragraph (5) above, ERCOT, in its sole discretion, shall release relevant State Estimator data less than 60 days after the </w:t>
      </w:r>
      <w:r>
        <w:rPr>
          <w:iCs/>
        </w:rPr>
        <w:t>Operating D</w:t>
      </w:r>
      <w:r w:rsidRPr="00730AC4">
        <w:rPr>
          <w:iCs/>
        </w:rPr>
        <w:t>ay if it determines the release is necessary to provide complete and timely explanation and analysis of unexpected market operations and results or system events including</w:t>
      </w:r>
      <w:r>
        <w:rPr>
          <w:iCs/>
        </w:rPr>
        <w:t>,</w:t>
      </w:r>
      <w:r w:rsidRPr="00730AC4">
        <w:rPr>
          <w:iCs/>
        </w:rPr>
        <w:t xml:space="preserve"> but not limited to</w:t>
      </w:r>
      <w:r>
        <w:rPr>
          <w:iCs/>
        </w:rPr>
        <w:t>,</w:t>
      </w:r>
      <w:r w:rsidRPr="00730AC4">
        <w:rPr>
          <w:iCs/>
        </w:rPr>
        <w:t xml:space="preserve">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w:t>
      </w:r>
      <w:r>
        <w:rPr>
          <w:iCs/>
        </w:rPr>
        <w:t>M</w:t>
      </w:r>
      <w:r w:rsidRPr="00730AC4">
        <w:rPr>
          <w:iCs/>
        </w:rPr>
        <w:t xml:space="preserve">arket </w:t>
      </w:r>
      <w:r>
        <w:rPr>
          <w:iCs/>
        </w:rPr>
        <w:t>P</w:t>
      </w:r>
      <w:r w:rsidRPr="00730AC4">
        <w:rPr>
          <w:iCs/>
        </w:rPr>
        <w:t>articipants.</w:t>
      </w:r>
    </w:p>
    <w:p w14:paraId="4BD3B2D9" w14:textId="08948210" w:rsidR="001F04FD" w:rsidRDefault="001F04FD" w:rsidP="001F04FD">
      <w:pPr>
        <w:pStyle w:val="List"/>
        <w:ind w:left="720"/>
        <w:rPr>
          <w:iCs/>
        </w:rPr>
      </w:pPr>
      <w:r>
        <w:rPr>
          <w:iCs/>
        </w:rPr>
        <w:t>(7)</w:t>
      </w:r>
      <w:r>
        <w:rPr>
          <w:iCs/>
        </w:rPr>
        <w:tab/>
        <w:t xml:space="preserve">Every hour, ERCOT shall post on the </w:t>
      </w:r>
      <w:r w:rsidR="0007207E">
        <w:t>ERCOT website</w:t>
      </w:r>
      <w:r>
        <w:rPr>
          <w:iCs/>
        </w:rPr>
        <w:t>, the sum of ERCOT generation, and flow on the DC Ties, all from the State Estimator.</w:t>
      </w:r>
    </w:p>
    <w:p w14:paraId="13811184" w14:textId="454F151E" w:rsidR="001F04FD" w:rsidRDefault="001F04FD" w:rsidP="001F04FD">
      <w:pPr>
        <w:spacing w:after="240"/>
        <w:ind w:left="720" w:hanging="720"/>
        <w:rPr>
          <w:iCs/>
        </w:rPr>
      </w:pPr>
      <w:r w:rsidRPr="00234129">
        <w:rPr>
          <w:iCs/>
        </w:rPr>
        <w:t>(</w:t>
      </w:r>
      <w:r>
        <w:rPr>
          <w:iCs/>
        </w:rPr>
        <w:t>8</w:t>
      </w:r>
      <w:r w:rsidRPr="00234129">
        <w:rPr>
          <w:iCs/>
        </w:rPr>
        <w:t>)</w:t>
      </w:r>
      <w:r w:rsidRPr="00234129">
        <w:rPr>
          <w:iCs/>
        </w:rPr>
        <w:tab/>
        <w:t xml:space="preserve">After every SCED run, ERCOT shall post to the </w:t>
      </w:r>
      <w:r w:rsidR="0007207E">
        <w:t>ERCOT website</w:t>
      </w:r>
      <w:r w:rsidRPr="00234129">
        <w:rPr>
          <w:iCs/>
        </w:rPr>
        <w:t xml:space="preserve"> the sum of the HDL and the sum of the LDL for all Generation Resources </w:t>
      </w:r>
      <w:r>
        <w:rPr>
          <w:iCs/>
        </w:rPr>
        <w:t>O</w:t>
      </w:r>
      <w:r w:rsidRPr="00234129">
        <w:rPr>
          <w:iCs/>
        </w:rPr>
        <w:t>n</w:t>
      </w:r>
      <w:r>
        <w:rPr>
          <w:iCs/>
        </w:rPr>
        <w:t>-L</w:t>
      </w:r>
      <w:r w:rsidRPr="00234129">
        <w:rPr>
          <w:iCs/>
        </w:rPr>
        <w:t xml:space="preserve">ine and </w:t>
      </w:r>
      <w:r>
        <w:rPr>
          <w:iCs/>
        </w:rPr>
        <w:t>D</w:t>
      </w:r>
      <w:r w:rsidRPr="00234129">
        <w:rPr>
          <w:iCs/>
        </w:rPr>
        <w:t xml:space="preserve">ispatched by SCED.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DBD5806" w14:textId="77777777" w:rsidTr="004E6E12">
        <w:trPr>
          <w:trHeight w:val="206"/>
        </w:trPr>
        <w:tc>
          <w:tcPr>
            <w:tcW w:w="9350" w:type="dxa"/>
            <w:shd w:val="pct12" w:color="auto" w:fill="auto"/>
          </w:tcPr>
          <w:p w14:paraId="02F20C84" w14:textId="48DC3833" w:rsidR="00490BFE" w:rsidRDefault="00490BFE" w:rsidP="004E6E12">
            <w:pPr>
              <w:pStyle w:val="Instructions"/>
              <w:spacing w:before="120"/>
            </w:pPr>
            <w:r>
              <w:t>[NPRR1246:  Replace paragraph (8) above with the following upon system implementation of the Real-Time Co-Optimization (RTC) project:]</w:t>
            </w:r>
          </w:p>
          <w:p w14:paraId="1AD6CE84" w14:textId="6634576D" w:rsidR="00490BFE" w:rsidRPr="00490BFE" w:rsidRDefault="00490BFE" w:rsidP="00490BFE">
            <w:pPr>
              <w:spacing w:after="240"/>
              <w:ind w:left="720" w:hanging="720"/>
              <w:rPr>
                <w:iCs/>
              </w:rPr>
            </w:pPr>
            <w:r w:rsidRPr="0000204A">
              <w:rPr>
                <w:iCs/>
              </w:rPr>
              <w:t>(8)</w:t>
            </w:r>
            <w:r w:rsidRPr="0000204A">
              <w:rPr>
                <w:iCs/>
              </w:rPr>
              <w:tab/>
              <w:t xml:space="preserve">After every SCED run, ERCOT shall post to the </w:t>
            </w:r>
            <w:r w:rsidRPr="0000204A">
              <w:t>ERCOT website</w:t>
            </w:r>
            <w:r w:rsidRPr="0000204A">
              <w:rPr>
                <w:iCs/>
              </w:rPr>
              <w:t xml:space="preserve"> the sum of the HDL and the sum of the LDL for all Generation Resources</w:t>
            </w:r>
            <w:r>
              <w:rPr>
                <w:iCs/>
              </w:rPr>
              <w:t xml:space="preserve"> and ESRs</w:t>
            </w:r>
            <w:r w:rsidRPr="0000204A">
              <w:rPr>
                <w:iCs/>
              </w:rPr>
              <w:t xml:space="preserve"> On-Line and Dispatched by SCED.</w:t>
            </w:r>
          </w:p>
        </w:tc>
      </w:tr>
    </w:tbl>
    <w:p w14:paraId="5989B0E5" w14:textId="2805115C" w:rsidR="00C57701" w:rsidRDefault="00C57701" w:rsidP="00DD0A69">
      <w:pPr>
        <w:spacing w:before="240" w:after="240"/>
        <w:ind w:left="720" w:hanging="720"/>
        <w:rPr>
          <w:iCs/>
        </w:rPr>
      </w:pPr>
      <w:r>
        <w:rPr>
          <w:iCs/>
        </w:rPr>
        <w:t>(9)</w:t>
      </w:r>
      <w:r>
        <w:rPr>
          <w:iCs/>
        </w:rPr>
        <w:tab/>
        <w:t xml:space="preserve">Sixty days after the applicable Operating Day, </w:t>
      </w:r>
      <w:r w:rsidRPr="00234129">
        <w:rPr>
          <w:iCs/>
        </w:rPr>
        <w:t xml:space="preserve">ERCOT shall </w:t>
      </w:r>
      <w:r w:rsidRPr="00782178">
        <w:rPr>
          <w:iCs/>
        </w:rPr>
        <w:t xml:space="preserve">post to the </w:t>
      </w:r>
      <w:r w:rsidR="0007207E">
        <w:t>ERCOT website</w:t>
      </w:r>
      <w:r>
        <w:rPr>
          <w:iCs/>
        </w:rPr>
        <w:t xml:space="preserve"> the summary LDL and HDL report from paragraph (8) above and </w:t>
      </w:r>
      <w:r w:rsidRPr="00234129">
        <w:rPr>
          <w:iCs/>
        </w:rPr>
        <w:t>include instances of manual overrides of HDL or LDL, including the name of the Generation Resource and the type of override.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41338AC8" w14:textId="77777777" w:rsidTr="004E6E12">
        <w:trPr>
          <w:trHeight w:val="206"/>
        </w:trPr>
        <w:tc>
          <w:tcPr>
            <w:tcW w:w="9350" w:type="dxa"/>
            <w:shd w:val="pct12" w:color="auto" w:fill="auto"/>
          </w:tcPr>
          <w:p w14:paraId="6E4EAB75" w14:textId="68A285DA" w:rsidR="00490BFE" w:rsidRDefault="00490BFE" w:rsidP="004E6E12">
            <w:pPr>
              <w:pStyle w:val="Instructions"/>
              <w:spacing w:before="120"/>
            </w:pPr>
            <w:r>
              <w:lastRenderedPageBreak/>
              <w:t>[NPRR1246:  Replace paragraph (9) above with the following upon system implementation of the Real-Time Co-Optimization (RTC) project:]</w:t>
            </w:r>
          </w:p>
          <w:p w14:paraId="5B149F63" w14:textId="26C63A9E" w:rsidR="00490BFE" w:rsidRPr="00490BFE" w:rsidRDefault="00490BFE" w:rsidP="00490BFE">
            <w:pPr>
              <w:spacing w:after="240"/>
              <w:ind w:left="720" w:hanging="720"/>
              <w:rPr>
                <w:iCs/>
              </w:rPr>
            </w:pPr>
            <w:r w:rsidRPr="0000204A">
              <w:rPr>
                <w:iCs/>
              </w:rPr>
              <w:t>(9)</w:t>
            </w:r>
            <w:r w:rsidRPr="0000204A">
              <w:rPr>
                <w:iCs/>
              </w:rPr>
              <w:tab/>
              <w:t xml:space="preserve">Sixty days after the applicable Operating Day, ERCOT shall post to the </w:t>
            </w:r>
            <w:r w:rsidRPr="0000204A">
              <w:t>ERCOT website</w:t>
            </w:r>
            <w:r w:rsidRPr="0000204A">
              <w:rPr>
                <w:iCs/>
              </w:rPr>
              <w:t xml:space="preserve"> the summary LDL and HDL report from paragraph (8) above and include instances of manual overrides of HDL or LDL, including the name of the Generation Resource</w:t>
            </w:r>
            <w:r>
              <w:rPr>
                <w:iCs/>
              </w:rPr>
              <w:t xml:space="preserve"> or ESR</w:t>
            </w:r>
            <w:r w:rsidRPr="0000204A">
              <w:rPr>
                <w:iCs/>
              </w:rPr>
              <w:t xml:space="preserve"> and the type of override</w:t>
            </w:r>
            <w:r>
              <w:rPr>
                <w:iCs/>
              </w:rPr>
              <w:t>.</w:t>
            </w:r>
          </w:p>
        </w:tc>
      </w:tr>
    </w:tbl>
    <w:p w14:paraId="12542706" w14:textId="18E15B87" w:rsidR="001F04FD" w:rsidRPr="00234129" w:rsidRDefault="00C57701" w:rsidP="00DD0A69">
      <w:pPr>
        <w:spacing w:before="240" w:after="240"/>
        <w:ind w:left="720" w:hanging="720"/>
        <w:rPr>
          <w:iCs/>
        </w:rPr>
      </w:pPr>
      <w:r>
        <w:rPr>
          <w:iCs/>
        </w:rPr>
        <w:t>(10)</w:t>
      </w:r>
      <w:r>
        <w:rPr>
          <w:iCs/>
        </w:rPr>
        <w:tab/>
        <w:t xml:space="preserve">No sooner than sixty days after the applicable Operating Day, ERCOT shall provide to the appropriate </w:t>
      </w:r>
      <w:r w:rsidR="002D0A0B">
        <w:rPr>
          <w:iCs/>
        </w:rPr>
        <w:t>Technical Advisory Committee (</w:t>
      </w:r>
      <w:r>
        <w:rPr>
          <w:iCs/>
        </w:rPr>
        <w:t>TAC</w:t>
      </w:r>
      <w:r w:rsidR="002D0A0B">
        <w:rPr>
          <w:iCs/>
        </w:rPr>
        <w:t>)</w:t>
      </w:r>
      <w:r>
        <w:rPr>
          <w:iCs/>
        </w:rPr>
        <w:t xml:space="preserve"> subcommittee instances of manual overrides of HDL or LDL, including the name of the Generation Resource, the reason for the override, and, as applicable, the cost as calculated in Section 6.6.3.</w:t>
      </w:r>
      <w:r w:rsidR="00720B34">
        <w:rPr>
          <w:iCs/>
        </w:rPr>
        <w:t>6</w:t>
      </w:r>
      <w:r>
        <w:rPr>
          <w:iCs/>
        </w:rPr>
        <w:t>, Real-Time High Dispatch Limit Override Energy Payment.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6914F7B2" w14:textId="77777777" w:rsidTr="004E6E12">
        <w:trPr>
          <w:trHeight w:val="206"/>
        </w:trPr>
        <w:tc>
          <w:tcPr>
            <w:tcW w:w="9350" w:type="dxa"/>
            <w:shd w:val="pct12" w:color="auto" w:fill="auto"/>
          </w:tcPr>
          <w:p w14:paraId="42F71476" w14:textId="524A82DB" w:rsidR="00490BFE" w:rsidRDefault="00490BFE" w:rsidP="004E6E12">
            <w:pPr>
              <w:pStyle w:val="Instructions"/>
              <w:spacing w:before="120"/>
            </w:pPr>
            <w:r>
              <w:t>[NPRR1246:  Replace paragraph (10) above with the following upon system implementation of the Real-Time Co-Optimization (RTC) project:]</w:t>
            </w:r>
          </w:p>
          <w:p w14:paraId="1BD8D94C" w14:textId="13B2EC56" w:rsidR="00490BFE" w:rsidRPr="00490BFE" w:rsidRDefault="00490BFE" w:rsidP="00490BFE">
            <w:pPr>
              <w:spacing w:after="240"/>
              <w:ind w:left="720" w:hanging="720"/>
              <w:rPr>
                <w:iCs/>
              </w:rPr>
            </w:pPr>
            <w:r w:rsidRPr="0000204A">
              <w:rPr>
                <w:iCs/>
              </w:rPr>
              <w:t>(10)</w:t>
            </w:r>
            <w:r w:rsidRPr="0000204A">
              <w:rPr>
                <w:iCs/>
              </w:rPr>
              <w:tab/>
              <w:t>No sooner than sixty days after the applicable Operating Day, ERCOT shall provide to the appropriate Technical Advisory Committee (TAC) subcommittee instances of manual overrides of HDL or LDL, including the name of the Generation Resource</w:t>
            </w:r>
            <w:r w:rsidRPr="00850C56">
              <w:rPr>
                <w:iCs/>
              </w:rPr>
              <w:t xml:space="preserve"> </w:t>
            </w:r>
            <w:r>
              <w:rPr>
                <w:iCs/>
              </w:rPr>
              <w:t>or ESR</w:t>
            </w:r>
            <w:r w:rsidRPr="0000204A">
              <w:rPr>
                <w:iCs/>
              </w:rPr>
              <w:t>, the reason for the override, and, as applicable, the cost as calculated in Section 6.6.3.6, Real-Time High Dispatch Limit Override Energy Payment.</w:t>
            </w:r>
          </w:p>
        </w:tc>
      </w:tr>
    </w:tbl>
    <w:p w14:paraId="4169BEE3" w14:textId="376D979B" w:rsidR="001F04FD" w:rsidRDefault="001F04FD" w:rsidP="00DD0A69">
      <w:pPr>
        <w:pStyle w:val="List"/>
        <w:spacing w:before="240"/>
        <w:ind w:left="720"/>
        <w:rPr>
          <w:iCs/>
        </w:rPr>
      </w:pPr>
      <w:r w:rsidRPr="00234129">
        <w:t>(</w:t>
      </w:r>
      <w:r>
        <w:t>1</w:t>
      </w:r>
      <w:r w:rsidR="00C57701">
        <w:t>1</w:t>
      </w:r>
      <w:r w:rsidRPr="00234129">
        <w:t>)</w:t>
      </w:r>
      <w:r w:rsidRPr="00234129">
        <w:tab/>
        <w:t xml:space="preserve">After every SCED run, ERCOT shall post to the MIS Certified </w:t>
      </w:r>
      <w:r>
        <w:t>A</w:t>
      </w:r>
      <w:r w:rsidRPr="00234129">
        <w:t>rea, for any QSE, instances of a manual override of the HDL or LDL for a Generation Resource, including the original and overridden HDL or LDL.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7BA908AA" w14:textId="77777777" w:rsidTr="004E6E12">
        <w:trPr>
          <w:trHeight w:val="206"/>
        </w:trPr>
        <w:tc>
          <w:tcPr>
            <w:tcW w:w="9350" w:type="dxa"/>
            <w:shd w:val="pct12" w:color="auto" w:fill="auto"/>
          </w:tcPr>
          <w:p w14:paraId="3D8E74CD" w14:textId="7A5A0291" w:rsidR="00490BFE" w:rsidRDefault="00490BFE" w:rsidP="004E6E12">
            <w:pPr>
              <w:pStyle w:val="Instructions"/>
              <w:spacing w:before="120"/>
            </w:pPr>
            <w:bookmarkStart w:id="1097" w:name="_Toc397504969"/>
            <w:bookmarkStart w:id="1098" w:name="_Toc402357097"/>
            <w:bookmarkStart w:id="1099" w:name="_Toc422486477"/>
            <w:bookmarkStart w:id="1100" w:name="_Toc433093329"/>
            <w:bookmarkStart w:id="1101" w:name="_Toc433093487"/>
            <w:bookmarkStart w:id="1102" w:name="_Toc440874716"/>
            <w:bookmarkStart w:id="1103" w:name="_Toc448142271"/>
            <w:bookmarkStart w:id="1104" w:name="_Toc448142428"/>
            <w:bookmarkStart w:id="1105" w:name="_Toc458770264"/>
            <w:bookmarkStart w:id="1106" w:name="_Toc459294232"/>
            <w:bookmarkStart w:id="1107" w:name="_Toc463262725"/>
            <w:bookmarkStart w:id="1108" w:name="_Toc468286799"/>
            <w:bookmarkStart w:id="1109" w:name="_Toc481502845"/>
            <w:bookmarkStart w:id="1110" w:name="_Toc496080013"/>
            <w:bookmarkStart w:id="1111" w:name="_Toc189044355"/>
            <w:bookmarkStart w:id="1112" w:name="_Toc74137345"/>
            <w:bookmarkStart w:id="1113" w:name="_Toc73216017"/>
            <w:r>
              <w:t>[NPRR1246:  Replace paragraph (11) above with the following upon system implementation of the Real-Time Co-Optimization (RTC) project:]</w:t>
            </w:r>
          </w:p>
          <w:p w14:paraId="1D23A621" w14:textId="5525E63F" w:rsidR="00490BFE" w:rsidRPr="00490BFE" w:rsidRDefault="00490BFE" w:rsidP="00490BFE">
            <w:pPr>
              <w:spacing w:after="240"/>
              <w:ind w:left="720" w:hanging="720"/>
              <w:rPr>
                <w:iCs/>
              </w:rPr>
            </w:pPr>
            <w:r w:rsidRPr="0000204A">
              <w:t>(11)</w:t>
            </w:r>
            <w:r w:rsidRPr="0000204A">
              <w:tab/>
              <w:t>After every SCED run, ERCOT shall post to the MIS Certified Area, for any QSE, instances of a manual override of the HDL or LDL for a Generation Resource</w:t>
            </w:r>
            <w:r w:rsidRPr="00850C56">
              <w:rPr>
                <w:iCs/>
              </w:rPr>
              <w:t xml:space="preserve"> </w:t>
            </w:r>
            <w:r>
              <w:rPr>
                <w:iCs/>
              </w:rPr>
              <w:t>or ESR</w:t>
            </w:r>
            <w:r w:rsidRPr="0000204A">
              <w:t>, including the original and overridden HDL or LDL.</w:t>
            </w:r>
          </w:p>
        </w:tc>
      </w:tr>
    </w:tbl>
    <w:p w14:paraId="10CCDCAA" w14:textId="77777777" w:rsidR="001F04FD" w:rsidRDefault="001F04FD" w:rsidP="005867E8">
      <w:pPr>
        <w:pStyle w:val="H4"/>
        <w:spacing w:before="480"/>
        <w:ind w:left="1267" w:hanging="1267"/>
      </w:pPr>
      <w:r>
        <w:t>6.5.7.2</w:t>
      </w:r>
      <w:r>
        <w:tab/>
        <w:t>Resource Limit Calculator</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1E3A2334" w14:textId="77777777" w:rsidR="001F04FD" w:rsidRDefault="001F04FD" w:rsidP="001F04FD">
      <w:pPr>
        <w:pStyle w:val="BodyTextNumbered"/>
      </w:pPr>
      <w:r>
        <w:t>(1)</w:t>
      </w:r>
      <w:r>
        <w:tab/>
        <w:t xml:space="preserve">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w:t>
      </w:r>
      <w:r>
        <w:lastRenderedPageBreak/>
        <w:t>process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37653345" w14:textId="54213959" w:rsidR="001F04FD" w:rsidRDefault="001F04FD" w:rsidP="001F04FD">
      <w:pPr>
        <w:pStyle w:val="BodyTextNumbered"/>
      </w:pPr>
      <w:r>
        <w:t>(2)</w:t>
      </w:r>
      <w:r>
        <w:tab/>
        <w:t>The figures below illustrate how the Resource Limit Calculator determines the Resource limits for Generation and Load Resources:</w:t>
      </w:r>
    </w:p>
    <w:p w14:paraId="19A1F5E2" w14:textId="75629DD0" w:rsidR="001C7670" w:rsidRDefault="001C7670" w:rsidP="001F04FD">
      <w:pPr>
        <w:pStyle w:val="BodyTextNumbered"/>
      </w:pPr>
    </w:p>
    <w:p w14:paraId="62A76CB3" w14:textId="77777777" w:rsidR="003D77E1" w:rsidRDefault="003D77E1" w:rsidP="001F04FD">
      <w:pPr>
        <w:pStyle w:val="BodyTextNumbered"/>
        <w:ind w:left="0" w:firstLine="0"/>
      </w:pPr>
    </w:p>
    <w:p w14:paraId="6F3D8233" w14:textId="7D9F4859" w:rsidR="001F04FD" w:rsidRDefault="00A94020" w:rsidP="001F04FD">
      <w:pPr>
        <w:pStyle w:val="BodyTextNumbered"/>
        <w:ind w:left="0" w:firstLine="0"/>
      </w:pPr>
      <w:r>
        <w:rPr>
          <w:noProof/>
        </w:rPr>
        <mc:AlternateContent>
          <mc:Choice Requires="wpg">
            <w:drawing>
              <wp:anchor distT="0" distB="0" distL="114300" distR="114300" simplePos="0" relativeHeight="251652096" behindDoc="0" locked="0" layoutInCell="1" allowOverlap="1" wp14:anchorId="6D8661F8" wp14:editId="3685BAD9">
                <wp:simplePos x="0" y="0"/>
                <wp:positionH relativeFrom="column">
                  <wp:posOffset>214630</wp:posOffset>
                </wp:positionH>
                <wp:positionV relativeFrom="paragraph">
                  <wp:posOffset>146050</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7E07"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D1D1"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6DB8" w14:textId="77777777" w:rsidR="00847E53" w:rsidRDefault="00847E53" w:rsidP="001F04FD">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9E0F" w14:textId="77777777" w:rsidR="00847E53" w:rsidRDefault="00847E53" w:rsidP="001F04FD">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AD2E"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1354" w14:textId="77777777" w:rsidR="00847E53" w:rsidRDefault="00847E53" w:rsidP="001F04FD"/>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30D7" w14:textId="77777777" w:rsidR="00847E53" w:rsidRDefault="00847E53" w:rsidP="001F04FD">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9435"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60B0" w14:textId="77777777" w:rsidR="00847E53" w:rsidRDefault="00847E53" w:rsidP="001F04FD">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704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BB9F"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8C64"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C0A3"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EDF2" w14:textId="77777777" w:rsidR="00847E53" w:rsidRDefault="00847E53" w:rsidP="001F04FD"/>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B8F4" w14:textId="77777777" w:rsidR="00847E53" w:rsidRDefault="00847E53" w:rsidP="001F04FD">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E576" w14:textId="77777777" w:rsidR="00847E53" w:rsidRDefault="00847E53" w:rsidP="001F04FD">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C2EE" w14:textId="77777777" w:rsidR="00847E53" w:rsidRDefault="00847E53" w:rsidP="001F04FD">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B99B" w14:textId="77777777" w:rsidR="00847E53" w:rsidRDefault="00847E53" w:rsidP="001F04FD">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54F6"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B9A2" w14:textId="77777777" w:rsidR="00847E53" w:rsidRDefault="00847E53" w:rsidP="001F04FD"/>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9D63" w14:textId="77777777" w:rsidR="00847E53" w:rsidRDefault="00847E53" w:rsidP="001F04FD">
                              <w:r>
                                <w:rPr>
                                  <w:color w:val="000000"/>
                                  <w:sz w:val="16"/>
                                  <w:szCs w:val="16"/>
                                </w:rPr>
                                <w:t>Current</w:t>
                              </w:r>
                            </w:p>
                          </w:txbxContent>
                        </wps:txbx>
                        <wps:bodyPr rot="0" vert="horz" wrap="non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4CB" w14:textId="77777777" w:rsidR="00847E53" w:rsidRDefault="00847E53" w:rsidP="001F04FD">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0483" w14:textId="77777777" w:rsidR="00847E53" w:rsidRDefault="00847E53" w:rsidP="001F04FD">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5363"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6B5A"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8068"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D194"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BC9B" w14:textId="77777777" w:rsidR="00847E53" w:rsidRDefault="00847E53" w:rsidP="001F04FD"/>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3D08" w14:textId="77777777" w:rsidR="00847E53" w:rsidRDefault="00847E53" w:rsidP="001F04FD"/>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621D" w14:textId="77777777" w:rsidR="00847E53" w:rsidRDefault="00847E53" w:rsidP="001F04FD"/>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2D2" w14:textId="77777777" w:rsidR="00847E53" w:rsidRDefault="00847E53" w:rsidP="001F04FD">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3BE" w14:textId="77777777" w:rsidR="00847E53" w:rsidRDefault="00847E53" w:rsidP="001F04FD"/>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67AB" w14:textId="77777777" w:rsidR="00847E53" w:rsidRDefault="00847E53" w:rsidP="001F04FD">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A9" w14:textId="77777777" w:rsidR="00847E53" w:rsidRDefault="00847E53" w:rsidP="001F04FD">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7591"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F005"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7CD"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3E9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5AC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4693"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E1E0"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7CB2" w14:textId="77777777" w:rsidR="00847E53" w:rsidRDefault="00847E53" w:rsidP="001F04FD"/>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C4C5" w14:textId="77777777" w:rsidR="00847E53" w:rsidRDefault="00847E53" w:rsidP="001F04FD"/>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6292"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1B11"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4CC6"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D3AA"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AB2C" w14:textId="77777777" w:rsidR="00847E53" w:rsidRDefault="00847E53" w:rsidP="001F04FD"/>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621E" w14:textId="77777777" w:rsidR="00847E53" w:rsidRDefault="00847E53" w:rsidP="001F04FD"/>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B055" w14:textId="77777777" w:rsidR="00847E53" w:rsidRDefault="00847E53" w:rsidP="001F04FD"/>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18A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A9AC"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E234"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FA76"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1BAA"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3561"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D2B8"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2836" w14:textId="77777777" w:rsidR="00847E53" w:rsidRDefault="00847E53" w:rsidP="001F04FD">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06A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044"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51E3"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7455" w14:textId="77777777" w:rsidR="00847E53" w:rsidRDefault="00847E53" w:rsidP="001F04FD"/>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57FF" w14:textId="77777777" w:rsidR="00847E53" w:rsidRDefault="00847E53" w:rsidP="001F04FD"/>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910D" w14:textId="77777777" w:rsidR="00847E53" w:rsidRDefault="00847E53" w:rsidP="001F04FD"/>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9F46" w14:textId="77777777" w:rsidR="00847E53" w:rsidRDefault="00847E53" w:rsidP="001F04FD">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661F8" id="Group 212" o:spid="_x0000_s1216" style="position:absolute;margin-left:16.9pt;margin-top:11.5pt;width:420.5pt;height:243.1pt;z-index:25165209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">
                <v:line id="Line 213" o:spid="_x0000_s1217"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218"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219"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220"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66EA7E07" w14:textId="77777777" w:rsidR="00847E53" w:rsidRDefault="00847E53" w:rsidP="001F04FD">
                        <w:r>
                          <w:rPr>
                            <w:color w:val="000000"/>
                            <w:sz w:val="12"/>
                            <w:szCs w:val="12"/>
                          </w:rPr>
                          <w:t>LSL</w:t>
                        </w:r>
                      </w:p>
                    </w:txbxContent>
                  </v:textbox>
                </v:rect>
                <v:rect id="Rectangle 217" o:spid="_x0000_s1221"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222"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7234D1D1" w14:textId="77777777" w:rsidR="00847E53" w:rsidRDefault="00847E53" w:rsidP="001F04FD">
                        <w:r>
                          <w:rPr>
                            <w:color w:val="000000"/>
                            <w:sz w:val="12"/>
                            <w:szCs w:val="12"/>
                          </w:rPr>
                          <w:t>HSL</w:t>
                        </w:r>
                      </w:p>
                    </w:txbxContent>
                  </v:textbox>
                </v:rect>
                <v:group id="Group 219" o:spid="_x0000_s1223"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22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22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226"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27"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26816DB8" w14:textId="77777777" w:rsidR="00847E53" w:rsidRDefault="00847E53" w:rsidP="001F04FD">
                        <w:r>
                          <w:rPr>
                            <w:color w:val="000000"/>
                          </w:rPr>
                          <w:t>Time</w:t>
                        </w:r>
                      </w:p>
                    </w:txbxContent>
                  </v:textbox>
                </v:rect>
                <v:group id="Group 224" o:spid="_x0000_s1228"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22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23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231" style="position:absolute;left:1840;top:6519;width:32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14CD9E0F" w14:textId="77777777" w:rsidR="00847E53" w:rsidRDefault="00847E53" w:rsidP="001F04FD">
                        <w:r>
                          <w:rPr>
                            <w:color w:val="000000"/>
                            <w:sz w:val="18"/>
                            <w:szCs w:val="18"/>
                          </w:rPr>
                          <w:t>LSL</w:t>
                        </w:r>
                      </w:p>
                    </w:txbxContent>
                  </v:textbox>
                </v:rect>
                <v:rect id="Rectangle 228" o:spid="_x0000_s1232"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2F75AD2E" w14:textId="77777777" w:rsidR="00847E53" w:rsidRDefault="00847E53" w:rsidP="001F04FD">
                        <w:r>
                          <w:rPr>
                            <w:color w:val="000000"/>
                            <w:sz w:val="18"/>
                            <w:szCs w:val="18"/>
                          </w:rPr>
                          <w:t>-</w:t>
                        </w:r>
                      </w:p>
                    </w:txbxContent>
                  </v:textbox>
                </v:rect>
                <v:rect id="Rectangle 229" o:spid="_x0000_s1233"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16271354" w14:textId="77777777" w:rsidR="00847E53" w:rsidRDefault="00847E53" w:rsidP="001F04FD"/>
                    </w:txbxContent>
                  </v:textbox>
                </v:rect>
                <v:group id="Group 230" o:spid="_x0000_s123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23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237" style="position:absolute;left:1731;top:6053;width:45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21CD30D7" w14:textId="77777777" w:rsidR="00847E53" w:rsidRDefault="00847E53" w:rsidP="001F04FD">
                        <w:r>
                          <w:rPr>
                            <w:color w:val="000000"/>
                            <w:sz w:val="18"/>
                            <w:szCs w:val="18"/>
                          </w:rPr>
                          <w:t>LASL</w:t>
                        </w:r>
                      </w:p>
                    </w:txbxContent>
                  </v:textbox>
                </v:rect>
                <v:rect id="Rectangle 234" o:spid="_x0000_s1238"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7EB59435" w14:textId="77777777" w:rsidR="00847E53" w:rsidRDefault="00847E53" w:rsidP="001F04FD">
                        <w:r>
                          <w:rPr>
                            <w:color w:val="000000"/>
                            <w:sz w:val="18"/>
                            <w:szCs w:val="18"/>
                          </w:rPr>
                          <w:t>-</w:t>
                        </w:r>
                      </w:p>
                    </w:txbxContent>
                  </v:textbox>
                </v:rect>
                <v:rect id="Rectangle 235" o:spid="_x0000_s1239" style="position:absolute;left:1698;top:4199;width:47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03DC60B0" w14:textId="77777777" w:rsidR="00847E53" w:rsidRDefault="00847E53" w:rsidP="001F04FD">
                        <w:r>
                          <w:rPr>
                            <w:color w:val="000000"/>
                            <w:sz w:val="18"/>
                            <w:szCs w:val="18"/>
                          </w:rPr>
                          <w:t>HASL</w:t>
                        </w:r>
                      </w:p>
                    </w:txbxContent>
                  </v:textbox>
                </v:rect>
                <v:rect id="Rectangle 236" o:spid="_x0000_s1240"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1E337043" w14:textId="77777777" w:rsidR="00847E53" w:rsidRDefault="00847E53" w:rsidP="001F04FD">
                        <w:r>
                          <w:rPr>
                            <w:color w:val="000000"/>
                            <w:sz w:val="18"/>
                            <w:szCs w:val="18"/>
                          </w:rPr>
                          <w:t>-</w:t>
                        </w:r>
                      </w:p>
                    </w:txbxContent>
                  </v:textbox>
                </v:rect>
                <v:group id="Group 237" o:spid="_x0000_s1241"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24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244"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156CBB9F" w14:textId="77777777" w:rsidR="00847E53" w:rsidRDefault="00847E53" w:rsidP="001F04FD">
                        <w:r>
                          <w:rPr>
                            <w:color w:val="000000"/>
                            <w:sz w:val="16"/>
                            <w:szCs w:val="16"/>
                          </w:rPr>
                          <w:t xml:space="preserve">Generation </w:t>
                        </w:r>
                      </w:p>
                    </w:txbxContent>
                  </v:textbox>
                </v:rect>
                <v:rect id="Rectangle 241" o:spid="_x0000_s1245"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043F8C64" w14:textId="77777777" w:rsidR="00847E53" w:rsidRDefault="00847E53" w:rsidP="001F04FD">
                        <w:r>
                          <w:rPr>
                            <w:color w:val="000000"/>
                            <w:sz w:val="16"/>
                            <w:szCs w:val="16"/>
                          </w:rPr>
                          <w:t>Increase</w:t>
                        </w:r>
                      </w:p>
                    </w:txbxContent>
                  </v:textbox>
                </v:rect>
                <v:group id="Group 242" o:spid="_x0000_s1246"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24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249" style="position:absolute;left:2718;top:5839;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45BFC0A3" w14:textId="77777777" w:rsidR="00847E53" w:rsidRDefault="00847E53" w:rsidP="001F04FD">
                        <w:r>
                          <w:rPr>
                            <w:color w:val="000000"/>
                            <w:sz w:val="16"/>
                            <w:szCs w:val="16"/>
                          </w:rPr>
                          <w:t xml:space="preserve"> </w:t>
                        </w:r>
                      </w:p>
                    </w:txbxContent>
                  </v:textbox>
                </v:rect>
                <v:rect id="Rectangle 246" o:spid="_x0000_s1250"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1257EDF2" w14:textId="77777777" w:rsidR="00847E53" w:rsidRDefault="00847E53" w:rsidP="001F04FD"/>
                    </w:txbxContent>
                  </v:textbox>
                </v:rect>
                <v:rect id="Rectangle 247" o:spid="_x0000_s1251"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6501B8F4" w14:textId="77777777" w:rsidR="00847E53" w:rsidRDefault="00847E53" w:rsidP="001F04FD">
                        <w:r>
                          <w:rPr>
                            <w:color w:val="000000"/>
                            <w:sz w:val="16"/>
                            <w:szCs w:val="16"/>
                          </w:rPr>
                          <w:t xml:space="preserve">Services </w:t>
                        </w:r>
                      </w:p>
                    </w:txbxContent>
                  </v:textbox>
                </v:rect>
                <v:rect id="Rectangle 248" o:spid="_x0000_s1252"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3197E576" w14:textId="77777777" w:rsidR="00847E53" w:rsidRDefault="00847E53" w:rsidP="001F04FD">
                        <w:r>
                          <w:rPr>
                            <w:color w:val="000000"/>
                            <w:sz w:val="16"/>
                            <w:szCs w:val="16"/>
                          </w:rPr>
                          <w:t xml:space="preserve">Provided: Reg </w:t>
                        </w:r>
                      </w:p>
                    </w:txbxContent>
                  </v:textbox>
                </v:rect>
                <v:rect id="Rectangle 249" o:spid="_x0000_s1253"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6D10C2EE" w14:textId="77777777" w:rsidR="00847E53" w:rsidRDefault="00847E53" w:rsidP="001F04FD">
                        <w:r>
                          <w:rPr>
                            <w:color w:val="000000"/>
                            <w:sz w:val="16"/>
                            <w:szCs w:val="16"/>
                          </w:rPr>
                          <w:t>Down</w:t>
                        </w:r>
                      </w:p>
                    </w:txbxContent>
                  </v:textbox>
                </v:rect>
                <v:rect id="Rectangle 250" o:spid="_x0000_s1254"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74F3B99B" w14:textId="77777777" w:rsidR="00847E53" w:rsidRDefault="00847E53" w:rsidP="001F04FD">
                        <w:r>
                          <w:rPr>
                            <w:color w:val="000000"/>
                            <w:sz w:val="16"/>
                            <w:szCs w:val="16"/>
                          </w:rPr>
                          <w:t xml:space="preserve">Provided: Reg Up, </w:t>
                        </w:r>
                      </w:p>
                    </w:txbxContent>
                  </v:textbox>
                </v:rect>
                <v:rect id="Rectangle 251" o:spid="_x0000_s1255" style="position:absolute;left:3839;top:3757;width:148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v:textbox>
                </v:rect>
                <v:rect id="Rectangle 252" o:spid="_x0000_s1256"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151454F6" w14:textId="77777777" w:rsidR="00847E53" w:rsidRDefault="00847E53" w:rsidP="001F04FD">
                        <w:r>
                          <w:rPr>
                            <w:color w:val="000000"/>
                            <w:sz w:val="16"/>
                            <w:szCs w:val="16"/>
                          </w:rPr>
                          <w:t xml:space="preserve"> </w:t>
                        </w:r>
                      </w:p>
                    </w:txbxContent>
                  </v:textbox>
                </v:rect>
                <v:rect id="Rectangle 253" o:spid="_x0000_s1257"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14D5B9A2" w14:textId="77777777" w:rsidR="00847E53" w:rsidRDefault="00847E53" w:rsidP="001F04FD"/>
                    </w:txbxContent>
                  </v:textbox>
                </v:rect>
                <v:line id="Line 254" o:spid="_x0000_s12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259"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20D69D63" w14:textId="77777777" w:rsidR="00847E53" w:rsidRDefault="00847E53" w:rsidP="001F04FD">
                        <w:r>
                          <w:rPr>
                            <w:color w:val="000000"/>
                            <w:sz w:val="16"/>
                            <w:szCs w:val="16"/>
                          </w:rPr>
                          <w:t>Current</w:t>
                        </w:r>
                      </w:p>
                    </w:txbxContent>
                  </v:textbox>
                </v:rect>
                <v:rect id="Rectangle 256" o:spid="_x0000_s1260"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6C8D74CB" w14:textId="77777777" w:rsidR="00847E53" w:rsidRDefault="00847E53" w:rsidP="001F04FD">
                        <w:r>
                          <w:rPr>
                            <w:color w:val="000000"/>
                            <w:sz w:val="16"/>
                            <w:szCs w:val="16"/>
                          </w:rPr>
                          <w:t>Telemetry</w:t>
                        </w:r>
                      </w:p>
                    </w:txbxContent>
                  </v:textbox>
                </v:rect>
                <v:shape id="Freeform 257" o:spid="_x0000_s126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2"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1CEA0483" w14:textId="77777777" w:rsidR="00847E53" w:rsidRDefault="00847E53" w:rsidP="001F04FD">
                        <w:r>
                          <w:rPr>
                            <w:color w:val="000000"/>
                            <w:sz w:val="18"/>
                            <w:szCs w:val="18"/>
                          </w:rPr>
                          <w:t>HDL</w:t>
                        </w:r>
                      </w:p>
                    </w:txbxContent>
                  </v:textbox>
                </v:rect>
                <v:shape id="Freeform 259" o:spid="_x0000_s1263"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4"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3B3C5363" w14:textId="77777777" w:rsidR="00847E53" w:rsidRDefault="00847E53" w:rsidP="001F04FD">
                        <w:r>
                          <w:rPr>
                            <w:color w:val="000000"/>
                            <w:sz w:val="18"/>
                            <w:szCs w:val="18"/>
                          </w:rPr>
                          <w:t>LDL</w:t>
                        </w:r>
                      </w:p>
                    </w:txbxContent>
                  </v:textbox>
                </v:rect>
                <v:shape id="Freeform 261" o:spid="_x0000_s1265"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6"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06576B5A" w14:textId="77777777" w:rsidR="00847E53" w:rsidRDefault="00847E53" w:rsidP="001F04FD">
                        <w:r>
                          <w:rPr>
                            <w:color w:val="000000"/>
                            <w:sz w:val="18"/>
                            <w:szCs w:val="18"/>
                          </w:rPr>
                          <w:t>Ramp</w:t>
                        </w:r>
                      </w:p>
                    </w:txbxContent>
                  </v:textbox>
                </v:rect>
                <v:rect id="Rectangle 263" o:spid="_x0000_s1267"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30058068" w14:textId="77777777" w:rsidR="00847E53" w:rsidRDefault="00847E53" w:rsidP="001F04FD">
                        <w:r>
                          <w:rPr>
                            <w:color w:val="000000"/>
                            <w:sz w:val="18"/>
                            <w:szCs w:val="18"/>
                          </w:rPr>
                          <w:t>Rate</w:t>
                        </w:r>
                      </w:p>
                    </w:txbxContent>
                  </v:textbox>
                </v:rect>
                <v:rect id="Rectangle 264" o:spid="_x0000_s1268"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715CD194" w14:textId="77777777" w:rsidR="00847E53" w:rsidRDefault="00847E53" w:rsidP="001F04FD">
                        <w:r>
                          <w:rPr>
                            <w:color w:val="000000"/>
                            <w:sz w:val="18"/>
                            <w:szCs w:val="18"/>
                          </w:rPr>
                          <w:t>5 Minutes</w:t>
                        </w:r>
                      </w:p>
                    </w:txbxContent>
                  </v:textbox>
                </v:rect>
                <v:rect id="Rectangle 265" o:spid="_x0000_s1269" style="position:absolute;left:516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22C6BC9B" w14:textId="77777777" w:rsidR="00847E53" w:rsidRDefault="00847E53" w:rsidP="001F04FD"/>
                    </w:txbxContent>
                  </v:textbox>
                </v:rect>
                <v:rect id="Rectangle 266" o:spid="_x0000_s1270" style="position:absolute;left:564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17FC3D08" w14:textId="77777777" w:rsidR="00847E53" w:rsidRDefault="00847E53" w:rsidP="001F04FD"/>
                    </w:txbxContent>
                  </v:textbox>
                </v:rect>
                <v:rect id="Rectangle 267" o:spid="_x0000_s1271" style="position:absolute;left:5711;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0F2D621D" w14:textId="77777777" w:rsidR="00847E53" w:rsidRDefault="00847E53" w:rsidP="001F04FD"/>
                    </w:txbxContent>
                  </v:textbox>
                </v:rect>
                <v:rect id="Rectangle 268" o:spid="_x0000_s1272"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04C892D2" w14:textId="77777777" w:rsidR="00847E53" w:rsidRDefault="00847E53" w:rsidP="001F04FD">
                        <w:pPr>
                          <w:rPr>
                            <w:u w:val="single"/>
                          </w:rPr>
                        </w:pPr>
                        <w:r>
                          <w:rPr>
                            <w:b/>
                            <w:bCs/>
                            <w:color w:val="000000"/>
                            <w:u w:val="single"/>
                          </w:rPr>
                          <w:t>Generation</w:t>
                        </w:r>
                      </w:p>
                    </w:txbxContent>
                  </v:textbox>
                </v:rect>
                <v:shape id="Freeform 269" o:spid="_x0000_s127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4" style="position:absolute;left:5866;top:6825;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4E7A33BE" w14:textId="77777777" w:rsidR="00847E53" w:rsidRDefault="00847E53" w:rsidP="001F04FD"/>
                    </w:txbxContent>
                  </v:textbox>
                </v:rect>
                <v:shape id="Freeform 271" o:spid="_x0000_s1275"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6"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77"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7DB967AB" w14:textId="77777777" w:rsidR="00847E53" w:rsidRDefault="00847E53" w:rsidP="001F04FD">
                        <w:r>
                          <w:rPr>
                            <w:color w:val="000000"/>
                            <w:sz w:val="16"/>
                            <w:szCs w:val="16"/>
                          </w:rPr>
                          <w:t>Quantity</w:t>
                        </w:r>
                      </w:p>
                    </w:txbxContent>
                  </v:textbox>
                </v:rect>
                <v:shape id="Freeform 274" o:spid="_x0000_s1278"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279"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25E590A9" w14:textId="77777777" w:rsidR="00847E53" w:rsidRDefault="00847E53" w:rsidP="001F04FD">
                        <w:r>
                          <w:rPr>
                            <w:color w:val="000000"/>
                            <w:sz w:val="16"/>
                            <w:szCs w:val="16"/>
                          </w:rPr>
                          <w:t>Offer Curve Generation</w:t>
                        </w:r>
                      </w:p>
                    </w:txbxContent>
                  </v:textbox>
                </v:rect>
                <v:line id="Line 276" o:spid="_x0000_s1280"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281"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282"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283"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4CA97591" w14:textId="77777777" w:rsidR="00847E53" w:rsidRDefault="00847E53" w:rsidP="001F04FD">
                        <w:r>
                          <w:rPr>
                            <w:color w:val="000000"/>
                            <w:sz w:val="12"/>
                            <w:szCs w:val="12"/>
                          </w:rPr>
                          <w:t>LSL</w:t>
                        </w:r>
                      </w:p>
                    </w:txbxContent>
                  </v:textbox>
                </v:rect>
                <v:rect id="Rectangle 280" o:spid="_x0000_s1284"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285"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3101F005" w14:textId="77777777" w:rsidR="00847E53" w:rsidRDefault="00847E53" w:rsidP="001F04FD">
                        <w:r>
                          <w:rPr>
                            <w:color w:val="000000"/>
                            <w:sz w:val="12"/>
                            <w:szCs w:val="12"/>
                          </w:rPr>
                          <w:t>HSL</w:t>
                        </w:r>
                      </w:p>
                    </w:txbxContent>
                  </v:textbox>
                </v:rect>
                <v:group id="Group 282" o:spid="_x0000_s1286"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289"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0"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293"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6D8A77CD" w14:textId="77777777" w:rsidR="00847E53" w:rsidRDefault="00847E53" w:rsidP="001F04FD">
                        <w:r>
                          <w:rPr>
                            <w:color w:val="000000"/>
                            <w:sz w:val="18"/>
                            <w:szCs w:val="18"/>
                          </w:rPr>
                          <w:t>-</w:t>
                        </w:r>
                      </w:p>
                    </w:txbxContent>
                  </v:textbox>
                </v:rect>
                <v:group id="Group 290" o:spid="_x0000_s129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9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97"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7C863E9C" w14:textId="77777777" w:rsidR="00847E53" w:rsidRDefault="00847E53" w:rsidP="001F04FD">
                        <w:r>
                          <w:rPr>
                            <w:color w:val="000000"/>
                            <w:sz w:val="18"/>
                            <w:szCs w:val="18"/>
                          </w:rPr>
                          <w:t>-</w:t>
                        </w:r>
                      </w:p>
                    </w:txbxContent>
                  </v:textbox>
                </v:rect>
                <v:rect id="Rectangle 294" o:spid="_x0000_s1298"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7D345AC3" w14:textId="77777777" w:rsidR="00847E53" w:rsidRDefault="00847E53" w:rsidP="001F04FD">
                        <w:r>
                          <w:rPr>
                            <w:color w:val="000000"/>
                            <w:sz w:val="18"/>
                            <w:szCs w:val="18"/>
                          </w:rPr>
                          <w:t>-</w:t>
                        </w:r>
                      </w:p>
                    </w:txbxContent>
                  </v:textbox>
                </v:rect>
                <v:group id="Group 295" o:spid="_x0000_s1299"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30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30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302"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7064693" w14:textId="77777777" w:rsidR="00847E53" w:rsidRDefault="00847E53" w:rsidP="001F04FD">
                        <w:r>
                          <w:rPr>
                            <w:color w:val="000000"/>
                            <w:sz w:val="16"/>
                            <w:szCs w:val="16"/>
                          </w:rPr>
                          <w:t xml:space="preserve">Generation </w:t>
                        </w:r>
                      </w:p>
                    </w:txbxContent>
                  </v:textbox>
                </v:rect>
                <v:rect id="Rectangle 299" o:spid="_x0000_s1303"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4EAE1E0" w14:textId="77777777" w:rsidR="00847E53" w:rsidRDefault="00847E53" w:rsidP="001F04FD">
                        <w:r>
                          <w:rPr>
                            <w:color w:val="000000"/>
                            <w:sz w:val="16"/>
                            <w:szCs w:val="16"/>
                          </w:rPr>
                          <w:t>Increase</w:t>
                        </w:r>
                      </w:p>
                    </w:txbxContent>
                  </v:textbox>
                </v:rect>
                <v:group id="Group 300" o:spid="_x0000_s1304"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30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30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307"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1EB7CB2" w14:textId="77777777" w:rsidR="00847E53" w:rsidRDefault="00847E53" w:rsidP="001F04FD"/>
                    </w:txbxContent>
                  </v:textbox>
                </v:rect>
                <v:rect id="Rectangle 304" o:spid="_x0000_s1308"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07D5C4C5" w14:textId="77777777" w:rsidR="00847E53" w:rsidRDefault="00847E53" w:rsidP="001F04FD"/>
                    </w:txbxContent>
                  </v:textbox>
                </v:rect>
                <v:rect id="Rectangle 305" o:spid="_x0000_s1309"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739F6292" w14:textId="77777777" w:rsidR="00847E53" w:rsidRDefault="00847E53" w:rsidP="001F04FD">
                        <w:r>
                          <w:rPr>
                            <w:color w:val="000000"/>
                            <w:sz w:val="16"/>
                            <w:szCs w:val="16"/>
                          </w:rPr>
                          <w:t xml:space="preserve"> </w:t>
                        </w:r>
                      </w:p>
                    </w:txbxContent>
                  </v:textbox>
                </v:rect>
                <v:line id="Line 306" o:spid="_x0000_s131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31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2"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31811B11" w14:textId="77777777" w:rsidR="00847E53" w:rsidRDefault="00847E53" w:rsidP="001F04FD">
                        <w:r>
                          <w:rPr>
                            <w:color w:val="000000"/>
                            <w:sz w:val="18"/>
                            <w:szCs w:val="18"/>
                          </w:rPr>
                          <w:t>Ramp</w:t>
                        </w:r>
                      </w:p>
                    </w:txbxContent>
                  </v:textbox>
                </v:rect>
                <v:rect id="Rectangle 311" o:spid="_x0000_s1315"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D084CC6" w14:textId="77777777" w:rsidR="00847E53" w:rsidRDefault="00847E53" w:rsidP="001F04FD">
                        <w:r>
                          <w:rPr>
                            <w:color w:val="000000"/>
                            <w:sz w:val="18"/>
                            <w:szCs w:val="18"/>
                          </w:rPr>
                          <w:t>Rate</w:t>
                        </w:r>
                      </w:p>
                    </w:txbxContent>
                  </v:textbox>
                </v:rect>
                <v:rect id="Rectangle 312" o:spid="_x0000_s1316"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3FD3AA" w14:textId="77777777" w:rsidR="00847E53" w:rsidRDefault="00847E53" w:rsidP="001F04FD">
                        <w:r>
                          <w:rPr>
                            <w:color w:val="000000"/>
                            <w:sz w:val="18"/>
                            <w:szCs w:val="18"/>
                          </w:rPr>
                          <w:t>5 Minutes</w:t>
                        </w:r>
                      </w:p>
                    </w:txbxContent>
                  </v:textbox>
                </v:rect>
                <v:rect id="Rectangle 313" o:spid="_x0000_s1317"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6CCCAB2C" w14:textId="77777777" w:rsidR="00847E53" w:rsidRDefault="00847E53" w:rsidP="001F04FD"/>
                    </w:txbxContent>
                  </v:textbox>
                </v:rect>
                <v:rect id="Rectangle 314" o:spid="_x0000_s1318"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755A621E" w14:textId="77777777" w:rsidR="00847E53" w:rsidRDefault="00847E53" w:rsidP="001F04FD"/>
                    </w:txbxContent>
                  </v:textbox>
                </v:rect>
                <v:rect id="Rectangle 315" o:spid="_x0000_s1319"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1ABB055" w14:textId="77777777" w:rsidR="00847E53" w:rsidRDefault="00847E53" w:rsidP="001F04FD"/>
                    </w:txbxContent>
                  </v:textbox>
                </v:rect>
                <v:shape id="Freeform 316" o:spid="_x0000_s1320"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1"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32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32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324"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32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32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327"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1D2518AC" w14:textId="77777777" w:rsidR="00847E53" w:rsidRDefault="00847E53" w:rsidP="001F04FD">
                        <w:r>
                          <w:rPr>
                            <w:color w:val="000000"/>
                            <w:sz w:val="18"/>
                            <w:szCs w:val="18"/>
                          </w:rPr>
                          <w:t>-</w:t>
                        </w:r>
                      </w:p>
                    </w:txbxContent>
                  </v:textbox>
                </v:rect>
                <v:rect id="Rectangle 324" o:spid="_x0000_s1328"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C91A9AC" w14:textId="77777777" w:rsidR="00847E53" w:rsidRDefault="00847E53" w:rsidP="001F04FD">
                        <w:r>
                          <w:rPr>
                            <w:color w:val="000000"/>
                            <w:sz w:val="18"/>
                            <w:szCs w:val="18"/>
                          </w:rPr>
                          <w:t>0</w:t>
                        </w:r>
                      </w:p>
                    </w:txbxContent>
                  </v:textbox>
                </v:rect>
                <v:group id="Group 325" o:spid="_x0000_s1329"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33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33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332"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073CE234" w14:textId="77777777" w:rsidR="00847E53" w:rsidRDefault="00847E53" w:rsidP="001F04FD">
                        <w:r>
                          <w:rPr>
                            <w:color w:val="000000"/>
                            <w:sz w:val="18"/>
                            <w:szCs w:val="18"/>
                          </w:rPr>
                          <w:t>-</w:t>
                        </w:r>
                      </w:p>
                    </w:txbxContent>
                  </v:textbox>
                </v:rect>
                <v:rect id="Rectangle 329" o:spid="_x0000_s1333"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3997FA76" w14:textId="77777777" w:rsidR="00847E53" w:rsidRDefault="00847E53" w:rsidP="001F04FD">
                        <w:r>
                          <w:rPr>
                            <w:color w:val="000000"/>
                            <w:sz w:val="18"/>
                            <w:szCs w:val="18"/>
                          </w:rPr>
                          <w:t>-</w:t>
                        </w:r>
                      </w:p>
                    </w:txbxContent>
                  </v:textbox>
                </v:rect>
                <v:group id="Group 330" o:spid="_x0000_s1334"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33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33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337"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70011BAA" w14:textId="77777777" w:rsidR="00847E53" w:rsidRDefault="00847E53" w:rsidP="001F04FD">
                        <w:r>
                          <w:rPr>
                            <w:color w:val="000000"/>
                            <w:sz w:val="16"/>
                            <w:szCs w:val="16"/>
                          </w:rPr>
                          <w:t xml:space="preserve"> </w:t>
                        </w:r>
                      </w:p>
                    </w:txbxContent>
                  </v:textbox>
                </v:rect>
                <v:rect id="Rectangle 334" o:spid="_x0000_s1338"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124E3561" w14:textId="77777777" w:rsidR="00847E53" w:rsidRDefault="00847E53" w:rsidP="001F04FD">
                        <w:r>
                          <w:rPr>
                            <w:color w:val="000000"/>
                            <w:sz w:val="16"/>
                            <w:szCs w:val="16"/>
                          </w:rPr>
                          <w:t>Increase</w:t>
                        </w:r>
                      </w:p>
                    </w:txbxContent>
                  </v:textbox>
                </v:rect>
                <v:group id="Group 335" o:spid="_x0000_s1339"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34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34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342"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2843D2B8" w14:textId="77777777" w:rsidR="00847E53" w:rsidRDefault="00847E53" w:rsidP="001F04FD">
                        <w:r>
                          <w:rPr>
                            <w:color w:val="000000"/>
                            <w:sz w:val="16"/>
                            <w:szCs w:val="16"/>
                          </w:rPr>
                          <w:t xml:space="preserve">Generation </w:t>
                        </w:r>
                      </w:p>
                    </w:txbxContent>
                  </v:textbox>
                </v:rect>
                <v:rect id="Rectangle 339" o:spid="_x0000_s1343"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3F2836" w14:textId="77777777" w:rsidR="00847E53" w:rsidRDefault="00847E53" w:rsidP="001F04FD">
                        <w:r>
                          <w:rPr>
                            <w:color w:val="000000"/>
                            <w:sz w:val="16"/>
                            <w:szCs w:val="16"/>
                          </w:rPr>
                          <w:t>Decrease</w:t>
                        </w:r>
                      </w:p>
                    </w:txbxContent>
                  </v:textbox>
                </v:rect>
                <v:line id="Line 340" o:spid="_x0000_s134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34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6"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4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4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3E5C06A4" w14:textId="77777777" w:rsidR="00847E53" w:rsidRDefault="00847E53" w:rsidP="001F04FD">
                        <w:r>
                          <w:rPr>
                            <w:color w:val="000000"/>
                            <w:sz w:val="18"/>
                            <w:szCs w:val="18"/>
                          </w:rPr>
                          <w:t>Ramp</w:t>
                        </w:r>
                      </w:p>
                    </w:txbxContent>
                  </v:textbox>
                </v:rect>
                <v:rect id="Rectangle 345" o:spid="_x0000_s1349"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65FCB044" w14:textId="77777777" w:rsidR="00847E53" w:rsidRDefault="00847E53" w:rsidP="001F04FD">
                        <w:r>
                          <w:rPr>
                            <w:color w:val="000000"/>
                            <w:sz w:val="18"/>
                            <w:szCs w:val="18"/>
                          </w:rPr>
                          <w:t>Rate</w:t>
                        </w:r>
                      </w:p>
                    </w:txbxContent>
                  </v:textbox>
                </v:rect>
                <v:rect id="Rectangle 346" o:spid="_x0000_s1350"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2A551E3" w14:textId="77777777" w:rsidR="00847E53" w:rsidRDefault="00847E53" w:rsidP="001F04FD">
                        <w:r>
                          <w:rPr>
                            <w:color w:val="000000"/>
                            <w:sz w:val="18"/>
                            <w:szCs w:val="18"/>
                          </w:rPr>
                          <w:t>5 Minutes</w:t>
                        </w:r>
                      </w:p>
                    </w:txbxContent>
                  </v:textbox>
                </v:rect>
                <v:rect id="Rectangle 347" o:spid="_x0000_s1351"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0C67455" w14:textId="77777777" w:rsidR="00847E53" w:rsidRDefault="00847E53" w:rsidP="001F04FD"/>
                    </w:txbxContent>
                  </v:textbox>
                </v:rect>
                <v:rect id="Rectangle 348" o:spid="_x0000_s1352"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3DD357FF" w14:textId="77777777" w:rsidR="00847E53" w:rsidRDefault="00847E53" w:rsidP="001F04FD"/>
                    </w:txbxContent>
                  </v:textbox>
                </v:rect>
                <v:shape id="Freeform 349" o:spid="_x0000_s135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4"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5"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0A1F910D" w14:textId="77777777" w:rsidR="00847E53" w:rsidRDefault="00847E53" w:rsidP="001F04FD"/>
                    </w:txbxContent>
                  </v:textbox>
                </v:rect>
                <v:rect id="Rectangle 352" o:spid="_x0000_s1356"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0BB29F46" w14:textId="77777777" w:rsidR="00847E53" w:rsidRDefault="00847E53" w:rsidP="001F04FD">
                        <w:r>
                          <w:rPr>
                            <w:color w:val="000000"/>
                            <w:sz w:val="16"/>
                            <w:szCs w:val="16"/>
                          </w:rPr>
                          <w:t xml:space="preserve">Ancillary </w:t>
                        </w:r>
                      </w:p>
                    </w:txbxContent>
                  </v:textbox>
                </v:rect>
              </v:group>
            </w:pict>
          </mc:Fallback>
        </mc:AlternateContent>
      </w:r>
      <w:r w:rsidR="001F04FD">
        <w:t>Generation Resources:</w:t>
      </w:r>
    </w:p>
    <w:p w14:paraId="25B8D644" w14:textId="77777777" w:rsidR="001F04FD" w:rsidRDefault="001F04FD" w:rsidP="001F04FD">
      <w:pPr>
        <w:pStyle w:val="BodyTextNumbered"/>
      </w:pPr>
    </w:p>
    <w:p w14:paraId="3F00AC5F" w14:textId="77777777" w:rsidR="001F04FD" w:rsidRDefault="001F04FD" w:rsidP="001F04FD">
      <w:pPr>
        <w:pStyle w:val="BodyTextNumbered"/>
      </w:pPr>
    </w:p>
    <w:p w14:paraId="17E17ECC" w14:textId="77777777" w:rsidR="001F04FD" w:rsidRDefault="001F04FD" w:rsidP="001F04FD">
      <w:pPr>
        <w:pStyle w:val="BodyTextNumbered"/>
      </w:pPr>
    </w:p>
    <w:p w14:paraId="40CA1A1F" w14:textId="77777777" w:rsidR="001F04FD" w:rsidRDefault="001F04FD" w:rsidP="001F04FD">
      <w:pPr>
        <w:pStyle w:val="BodyTextNumbered"/>
      </w:pPr>
    </w:p>
    <w:p w14:paraId="2458F214" w14:textId="77777777" w:rsidR="001F04FD" w:rsidRDefault="001F04FD" w:rsidP="001F04FD">
      <w:pPr>
        <w:pStyle w:val="BodyTextNumbered"/>
      </w:pPr>
    </w:p>
    <w:p w14:paraId="034BA271" w14:textId="77777777" w:rsidR="001F04FD" w:rsidRDefault="001F04FD" w:rsidP="001F04FD">
      <w:pPr>
        <w:pStyle w:val="BodyTextNumbered"/>
      </w:pPr>
    </w:p>
    <w:p w14:paraId="07A36CDF" w14:textId="77777777" w:rsidR="001F04FD" w:rsidRDefault="001F04FD" w:rsidP="001F04FD">
      <w:pPr>
        <w:pStyle w:val="BodyTextNumbered"/>
      </w:pPr>
    </w:p>
    <w:p w14:paraId="239453C0" w14:textId="77777777" w:rsidR="001F04FD" w:rsidRDefault="001F04FD" w:rsidP="001F04FD">
      <w:pPr>
        <w:pStyle w:val="BodyTextNumbered"/>
      </w:pPr>
    </w:p>
    <w:p w14:paraId="0C5DA1B8" w14:textId="77777777" w:rsidR="008A543E" w:rsidRDefault="008A543E" w:rsidP="001F04FD">
      <w:pPr>
        <w:pStyle w:val="BodyTextNumbered"/>
        <w:ind w:left="0" w:firstLine="0"/>
      </w:pPr>
    </w:p>
    <w:p w14:paraId="7F11C42D" w14:textId="0B0D7D91" w:rsidR="001F04FD" w:rsidRDefault="00A94020" w:rsidP="001F04FD">
      <w:pPr>
        <w:pStyle w:val="BodyTextNumbered"/>
        <w:ind w:left="0" w:firstLine="0"/>
      </w:pPr>
      <w:r>
        <w:rPr>
          <w:noProof/>
        </w:rPr>
        <mc:AlternateContent>
          <mc:Choice Requires="wpg">
            <w:drawing>
              <wp:anchor distT="0" distB="0" distL="114300" distR="114300" simplePos="0" relativeHeight="251653120" behindDoc="0" locked="0" layoutInCell="1" allowOverlap="1" wp14:anchorId="57696187" wp14:editId="2113AE2B">
                <wp:simplePos x="0" y="0"/>
                <wp:positionH relativeFrom="column">
                  <wp:posOffset>-70485</wp:posOffset>
                </wp:positionH>
                <wp:positionV relativeFrom="paragraph">
                  <wp:posOffset>197485</wp:posOffset>
                </wp:positionV>
                <wp:extent cx="5594985" cy="3010535"/>
                <wp:effectExtent l="0" t="0" r="24765" b="1841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7019" w14:textId="77777777" w:rsidR="00847E53" w:rsidRDefault="00847E53" w:rsidP="001F04FD">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E120" w14:textId="77777777" w:rsidR="00847E53" w:rsidRDefault="00847E53" w:rsidP="001F04FD">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74A2" w14:textId="77777777" w:rsidR="00847E53" w:rsidRDefault="00847E53" w:rsidP="001F04FD">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CED1" w14:textId="77777777" w:rsidR="00847E53" w:rsidRDefault="00847E53" w:rsidP="001F04FD">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F699" w14:textId="77777777" w:rsidR="00847E53" w:rsidRDefault="00847E53" w:rsidP="001F04FD">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8ED" w14:textId="77777777" w:rsidR="00847E53" w:rsidRDefault="00847E53" w:rsidP="001F04FD">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929F" w14:textId="77777777" w:rsidR="00847E53" w:rsidRDefault="00847E53" w:rsidP="001F04FD">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2462" w14:textId="77777777" w:rsidR="00847E53" w:rsidRDefault="00847E53" w:rsidP="001F04FD">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B72D"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FDC5" w14:textId="77777777" w:rsidR="00847E53" w:rsidRDefault="00847E53" w:rsidP="001F04FD">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7CB8" w14:textId="77777777" w:rsidR="00847E53" w:rsidRDefault="00847E53" w:rsidP="001F04FD">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3EA9" w14:textId="77777777" w:rsidR="00847E53" w:rsidRDefault="00847E53" w:rsidP="001F04FD">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E41C" w14:textId="77777777" w:rsidR="00847E53" w:rsidRDefault="00847E53" w:rsidP="001F04FD">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34BE" w14:textId="77777777" w:rsidR="00847E53" w:rsidRDefault="00847E53" w:rsidP="001F04FD">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30BA" w14:textId="77777777" w:rsidR="00847E53" w:rsidRDefault="00847E53" w:rsidP="001F04FD">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C3D0"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8680" w14:textId="77777777" w:rsidR="00847E53" w:rsidRPr="00364165" w:rsidRDefault="00847E53" w:rsidP="001F04FD">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344E" w14:textId="77777777" w:rsidR="00847E53" w:rsidRDefault="00847E53" w:rsidP="001F04FD">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A677" w14:textId="77777777" w:rsidR="00847E53" w:rsidRPr="00364165" w:rsidRDefault="00847E53" w:rsidP="001F04FD">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D6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163E" w14:textId="77777777" w:rsidR="00847E53" w:rsidRDefault="00847E53" w:rsidP="001F04FD">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480B" w14:textId="77777777" w:rsidR="00847E53" w:rsidRDefault="00847E53" w:rsidP="001F04FD">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7696187" id="Group 145" o:spid="_x0000_s1357" style="position:absolute;margin-left:-5.55pt;margin-top:15.55pt;width:440.55pt;height:237.05pt;z-index:25165312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">
                <v:line id="Line 4" o:spid="_x0000_s1358"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359"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11B47019" w14:textId="77777777" w:rsidR="00847E53" w:rsidRDefault="00847E53" w:rsidP="001F04FD">
                        <w:r>
                          <w:rPr>
                            <w:color w:val="000000"/>
                          </w:rPr>
                          <w:t>Time</w:t>
                        </w:r>
                      </w:p>
                    </w:txbxContent>
                  </v:textbox>
                </v:rect>
                <v:shape id="Freeform 12" o:spid="_x0000_s1360"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1"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DBCE120" w14:textId="77777777" w:rsidR="00847E53" w:rsidRDefault="00847E53" w:rsidP="001F04FD">
                        <w:r>
                          <w:rPr>
                            <w:color w:val="000000"/>
                            <w:sz w:val="18"/>
                            <w:szCs w:val="18"/>
                          </w:rPr>
                          <w:t>LSL = LPC -</w:t>
                        </w:r>
                      </w:p>
                    </w:txbxContent>
                  </v:textbox>
                </v:rect>
                <v:rect id="Rectangle 23" o:spid="_x0000_s1362" style="position:absolute;left:164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24F174A2" w14:textId="77777777" w:rsidR="00847E53" w:rsidRDefault="00847E53" w:rsidP="001F04FD">
                        <w:r>
                          <w:rPr>
                            <w:color w:val="000000"/>
                            <w:sz w:val="18"/>
                            <w:szCs w:val="18"/>
                          </w:rPr>
                          <w:t>LASL  -</w:t>
                        </w:r>
                      </w:p>
                    </w:txbxContent>
                  </v:textbox>
                </v:rect>
                <v:rect id="Rectangle 25" o:spid="_x0000_s1363"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4A5CCED1" w14:textId="77777777" w:rsidR="00847E53" w:rsidRDefault="00847E53" w:rsidP="001F04FD">
                        <w:r>
                          <w:rPr>
                            <w:color w:val="000000"/>
                            <w:sz w:val="18"/>
                            <w:szCs w:val="18"/>
                          </w:rPr>
                          <w:t>HASL  -</w:t>
                        </w:r>
                      </w:p>
                    </w:txbxContent>
                  </v:textbox>
                </v:rect>
                <v:rect id="Rectangle 40" o:spid="_x0000_s1364"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2390F699" w14:textId="77777777" w:rsidR="00847E53" w:rsidRDefault="00847E53" w:rsidP="001F04FD">
                        <w:r>
                          <w:rPr>
                            <w:color w:val="000000"/>
                            <w:sz w:val="16"/>
                            <w:szCs w:val="16"/>
                          </w:rPr>
                          <w:t>Ancillary Services Provided: Reg-Down</w:t>
                        </w:r>
                      </w:p>
                    </w:txbxContent>
                  </v:textbox>
                </v:rect>
                <v:line id="Line 44" o:spid="_x0000_s136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366" style="position:absolute;left:68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4115C8ED" w14:textId="77777777" w:rsidR="00847E53" w:rsidRDefault="00847E53" w:rsidP="001F04FD">
                        <w:r>
                          <w:rPr>
                            <w:color w:val="000000"/>
                            <w:sz w:val="16"/>
                            <w:szCs w:val="16"/>
                          </w:rPr>
                          <w:t>Current Load</w:t>
                        </w:r>
                      </w:p>
                    </w:txbxContent>
                  </v:textbox>
                </v:rect>
                <v:rect id="Rectangle 46" o:spid="_x0000_s1367"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10F3929F" w14:textId="77777777" w:rsidR="00847E53" w:rsidRDefault="00847E53" w:rsidP="001F04FD">
                        <w:r>
                          <w:rPr>
                            <w:color w:val="000000"/>
                            <w:sz w:val="16"/>
                            <w:szCs w:val="16"/>
                          </w:rPr>
                          <w:t>Telemetry</w:t>
                        </w:r>
                      </w:p>
                    </w:txbxContent>
                  </v:textbox>
                </v:rect>
                <v:rect id="Rectangle 48" o:spid="_x0000_s1368" style="position:absolute;left:1621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734A2462" w14:textId="77777777" w:rsidR="00847E53" w:rsidRDefault="00847E53" w:rsidP="001F04FD">
                        <w:r>
                          <w:rPr>
                            <w:color w:val="000000"/>
                            <w:sz w:val="18"/>
                            <w:szCs w:val="18"/>
                          </w:rPr>
                          <w:t>HDL</w:t>
                        </w:r>
                      </w:p>
                    </w:txbxContent>
                  </v:textbox>
                </v:rect>
                <v:rect id="Rectangle 50" o:spid="_x0000_s1369"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29DCB72D" w14:textId="77777777" w:rsidR="00847E53" w:rsidRDefault="00847E53" w:rsidP="001F04FD">
                        <w:r>
                          <w:rPr>
                            <w:color w:val="000000"/>
                            <w:sz w:val="18"/>
                            <w:szCs w:val="18"/>
                          </w:rPr>
                          <w:t>LDL</w:t>
                        </w:r>
                      </w:p>
                    </w:txbxContent>
                  </v:textbox>
                </v:rect>
                <v:rect id="Rectangle 54" o:spid="_x0000_s1370"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3273FDC5" w14:textId="77777777" w:rsidR="00847E53" w:rsidRDefault="00847E53" w:rsidP="001F04FD">
                        <w:r>
                          <w:rPr>
                            <w:color w:val="000000"/>
                            <w:sz w:val="18"/>
                            <w:szCs w:val="18"/>
                          </w:rPr>
                          <w:t>5-30 Minutes</w:t>
                        </w:r>
                      </w:p>
                    </w:txbxContent>
                  </v:textbox>
                </v:rect>
                <v:rect id="Rectangle 58" o:spid="_x0000_s1371"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41877CB8" w14:textId="77777777" w:rsidR="00847E53" w:rsidRDefault="00847E53" w:rsidP="001F04FD">
                        <w:pPr>
                          <w:rPr>
                            <w:u w:val="single"/>
                          </w:rPr>
                        </w:pPr>
                        <w:r>
                          <w:rPr>
                            <w:b/>
                            <w:bCs/>
                            <w:color w:val="000000"/>
                            <w:u w:val="single"/>
                          </w:rPr>
                          <w:t>Load</w:t>
                        </w:r>
                      </w:p>
                    </w:txbxContent>
                  </v:textbox>
                </v:rect>
                <v:shape id="Freeform 61" o:spid="_x0000_s1372"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3"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4" style="position:absolute;left:4985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74693EA9" w14:textId="77777777" w:rsidR="00847E53" w:rsidRDefault="00847E53" w:rsidP="001F04FD">
                        <w:r>
                          <w:rPr>
                            <w:color w:val="000000"/>
                            <w:sz w:val="16"/>
                            <w:szCs w:val="16"/>
                          </w:rPr>
                          <w:t>Quantity</w:t>
                        </w:r>
                      </w:p>
                    </w:txbxContent>
                  </v:textbox>
                </v:rect>
                <v:shape id="Freeform 64" o:spid="_x0000_s1375"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376"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26AE41C" w14:textId="77777777" w:rsidR="00847E53" w:rsidRDefault="00847E53" w:rsidP="001F04FD">
                        <w:r>
                          <w:rPr>
                            <w:color w:val="000000"/>
                            <w:sz w:val="16"/>
                            <w:szCs w:val="16"/>
                          </w:rPr>
                          <w:t>Bid Curve Load</w:t>
                        </w:r>
                      </w:p>
                    </w:txbxContent>
                  </v:textbox>
                </v:rect>
                <v:line id="Line 66" o:spid="_x0000_s1377"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378"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601D34BE" w14:textId="77777777" w:rsidR="00847E53" w:rsidRDefault="00847E53" w:rsidP="001F04FD">
                        <w:r>
                          <w:rPr>
                            <w:color w:val="000000"/>
                            <w:sz w:val="12"/>
                            <w:szCs w:val="12"/>
                          </w:rPr>
                          <w:t>LSL/LPC</w:t>
                        </w:r>
                      </w:p>
                    </w:txbxContent>
                  </v:textbox>
                </v:rect>
                <v:rect id="Rectangle 71" o:spid="_x0000_s1379"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703830BA" w14:textId="77777777" w:rsidR="00847E53" w:rsidRDefault="00847E53" w:rsidP="001F04FD">
                        <w:r>
                          <w:rPr>
                            <w:color w:val="000000"/>
                            <w:sz w:val="12"/>
                            <w:szCs w:val="12"/>
                          </w:rPr>
                          <w:t>HSL/MPC</w:t>
                        </w:r>
                      </w:p>
                    </w:txbxContent>
                  </v:textbox>
                </v:rect>
                <v:group id="Group 72" o:spid="_x0000_s1380"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38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38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383"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4"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38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38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387"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388"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38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390"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391"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39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3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94"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9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9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97"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7001C3D0" w14:textId="77777777" w:rsidR="00847E53" w:rsidRDefault="00847E53" w:rsidP="001F04FD">
                        <w:r>
                          <w:rPr>
                            <w:color w:val="000000"/>
                            <w:sz w:val="18"/>
                            <w:szCs w:val="18"/>
                          </w:rPr>
                          <w:t>0</w:t>
                        </w:r>
                      </w:p>
                    </w:txbxContent>
                  </v:textbox>
                </v:rect>
                <v:group id="Group 115" o:spid="_x0000_s1398"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9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40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401"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40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40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404"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44558680" w14:textId="77777777" w:rsidR="00847E53" w:rsidRPr="00364165" w:rsidRDefault="00847E53" w:rsidP="001F04FD">
                        <w:pPr>
                          <w:rPr>
                            <w:sz w:val="16"/>
                          </w:rPr>
                        </w:pPr>
                        <w:r w:rsidRPr="00364165">
                          <w:rPr>
                            <w:sz w:val="16"/>
                          </w:rPr>
                          <w:t>Increasing</w:t>
                        </w:r>
                      </w:p>
                    </w:txbxContent>
                  </v:textbox>
                </v:rect>
                <v:rect id="Rectangle 124" o:spid="_x0000_s1405"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79A8344E" w14:textId="77777777" w:rsidR="00847E53" w:rsidRDefault="00847E53" w:rsidP="001F04FD">
                        <w:r>
                          <w:rPr>
                            <w:color w:val="000000"/>
                            <w:sz w:val="16"/>
                            <w:szCs w:val="16"/>
                          </w:rPr>
                          <w:t>Consumption</w:t>
                        </w:r>
                      </w:p>
                    </w:txbxContent>
                  </v:textbox>
                </v:rect>
                <v:group id="Group 125" o:spid="_x0000_s1406"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40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40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409" style="position:absolute;left:819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v:textbox>
                </v:rect>
                <v:rect id="Rectangle 129" o:spid="_x0000_s1410" style="position:absolute;left:785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055AA677" w14:textId="77777777" w:rsidR="00847E53" w:rsidRPr="00364165" w:rsidRDefault="00847E53" w:rsidP="001F04FD">
                        <w:pPr>
                          <w:rPr>
                            <w:sz w:val="16"/>
                          </w:rPr>
                        </w:pPr>
                        <w:r w:rsidRPr="00364165">
                          <w:rPr>
                            <w:sz w:val="16"/>
                          </w:rPr>
                          <w:t>Consumption</w:t>
                        </w:r>
                      </w:p>
                    </w:txbxContent>
                  </v:textbox>
                </v:rect>
                <v:line id="Line 130" o:spid="_x0000_s141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412"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3"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4"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5" style="position:absolute;left:1199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76F33D64" w14:textId="77777777" w:rsidR="00847E53" w:rsidRDefault="00847E53" w:rsidP="001F04FD">
                        <w:r>
                          <w:rPr>
                            <w:color w:val="000000"/>
                            <w:sz w:val="18"/>
                            <w:szCs w:val="18"/>
                          </w:rPr>
                          <w:t>Ramp</w:t>
                        </w:r>
                      </w:p>
                    </w:txbxContent>
                  </v:textbox>
                </v:rect>
                <v:rect id="Rectangle 135" o:spid="_x0000_s1416" style="position:absolute;left:1233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155C163E" w14:textId="77777777" w:rsidR="00847E53" w:rsidRDefault="00847E53" w:rsidP="001F04FD">
                        <w:r>
                          <w:rPr>
                            <w:color w:val="000000"/>
                            <w:sz w:val="18"/>
                            <w:szCs w:val="18"/>
                          </w:rPr>
                          <w:t>Rate</w:t>
                        </w:r>
                      </w:p>
                    </w:txbxContent>
                  </v:textbox>
                </v:rect>
                <v:shape id="Freeform 139" o:spid="_x0000_s1417"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18"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19"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v:textbox>
                </v:rect>
                <v:rect id="Rectangle 17" o:spid="_x0000_s1420"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32C5480B" w14:textId="77777777" w:rsidR="00847E53" w:rsidRDefault="00847E53" w:rsidP="001F04FD">
                        <w:r>
                          <w:rPr>
                            <w:color w:val="000000"/>
                            <w:sz w:val="18"/>
                            <w:szCs w:val="18"/>
                          </w:rPr>
                          <w:t>HSL = MPC -</w:t>
                        </w:r>
                      </w:p>
                    </w:txbxContent>
                  </v:textbox>
                </v:rect>
                <v:shape id="Freeform 36" o:spid="_x0000_s1421"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2"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v:textbox>
                </v:rect>
                <v:shape id="Freeform 57" o:spid="_x0000_s1423"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001F04FD">
        <w:t>Load Resources:</w:t>
      </w:r>
    </w:p>
    <w:p w14:paraId="67A000F9" w14:textId="77777777" w:rsidR="001F04FD" w:rsidRDefault="001F04FD" w:rsidP="001F04FD">
      <w:pPr>
        <w:pStyle w:val="BodyTextNumbered"/>
        <w:ind w:left="0" w:firstLine="0"/>
      </w:pPr>
    </w:p>
    <w:p w14:paraId="0052340A" w14:textId="77777777" w:rsidR="001F04FD" w:rsidRDefault="001F04FD" w:rsidP="001F04FD">
      <w:pPr>
        <w:pStyle w:val="Instructions"/>
        <w:spacing w:after="120"/>
      </w:pPr>
    </w:p>
    <w:p w14:paraId="6CA32677" w14:textId="77777777" w:rsidR="001F04FD" w:rsidRDefault="001F04FD" w:rsidP="001F04FD"/>
    <w:p w14:paraId="4A07A455" w14:textId="77777777" w:rsidR="001F04FD" w:rsidRDefault="001F04FD" w:rsidP="001F04FD"/>
    <w:p w14:paraId="223837E8" w14:textId="77777777" w:rsidR="001F04FD" w:rsidRDefault="001F04FD" w:rsidP="001F04FD"/>
    <w:p w14:paraId="61C58FC1" w14:textId="77777777" w:rsidR="001F04FD" w:rsidRDefault="001F04FD" w:rsidP="001F04FD"/>
    <w:p w14:paraId="7328BC19" w14:textId="77777777" w:rsidR="001F04FD" w:rsidRDefault="001F04FD" w:rsidP="001F04FD"/>
    <w:p w14:paraId="7CC4F4E1" w14:textId="77777777" w:rsidR="001F04FD" w:rsidRDefault="001F04FD" w:rsidP="001F04FD"/>
    <w:p w14:paraId="2AF347DD" w14:textId="77777777" w:rsidR="001F04FD" w:rsidRDefault="001F04FD" w:rsidP="001F04FD"/>
    <w:p w14:paraId="5218A0F5" w14:textId="77777777" w:rsidR="001F04FD" w:rsidRDefault="001F04FD" w:rsidP="001F04FD"/>
    <w:p w14:paraId="15E3AF46" w14:textId="77777777" w:rsidR="001F04FD" w:rsidRDefault="001F04FD" w:rsidP="001F04FD"/>
    <w:p w14:paraId="5AC7C2DB" w14:textId="77777777" w:rsidR="001F04FD" w:rsidRDefault="001F04FD" w:rsidP="001F04FD"/>
    <w:p w14:paraId="3C8B2EC4" w14:textId="77777777" w:rsidR="001F04FD" w:rsidRDefault="001F04FD" w:rsidP="001F04FD"/>
    <w:p w14:paraId="428DDB90" w14:textId="77777777" w:rsidR="001F04FD" w:rsidRDefault="001F04FD" w:rsidP="001F04FD">
      <w:pPr>
        <w:pStyle w:val="BodyTextNumbered"/>
        <w:ind w:left="0" w:firstLine="0"/>
      </w:pPr>
    </w:p>
    <w:p w14:paraId="2E7CF15D" w14:textId="77777777" w:rsidR="00F07F30" w:rsidRDefault="00F07F30" w:rsidP="00043D95">
      <w:pPr>
        <w:pStyle w:val="BodyTextNumbered"/>
        <w:spacing w:before="240"/>
      </w:pPr>
    </w:p>
    <w:p w14:paraId="46F30FA7" w14:textId="05DA9B1A" w:rsidR="001F04FD" w:rsidRDefault="001F04FD" w:rsidP="00043D95">
      <w:pPr>
        <w:pStyle w:val="BodyTextNumbered"/>
        <w:spacing w:before="240"/>
      </w:pPr>
      <w:r>
        <w:t>(3)</w:t>
      </w:r>
      <w:r>
        <w:tab/>
        <w:t>For Generation Resources, HASL is calculated as follows:</w:t>
      </w:r>
    </w:p>
    <w:p w14:paraId="2F287E5F" w14:textId="0F2C767E" w:rsidR="00B267EA" w:rsidRDefault="001F04FD" w:rsidP="001F04FD">
      <w:pPr>
        <w:pStyle w:val="FormulaBold"/>
        <w:tabs>
          <w:tab w:val="clear" w:pos="3960"/>
        </w:tabs>
        <w:ind w:left="3150" w:hanging="2430"/>
        <w:rPr>
          <w:lang w:val="de-DE"/>
        </w:rPr>
      </w:pPr>
      <w:r>
        <w:rPr>
          <w:lang w:val="de-DE"/>
        </w:rPr>
        <w:t>HASL</w:t>
      </w:r>
      <w:r>
        <w:rPr>
          <w:lang w:val="de-DE"/>
        </w:rPr>
        <w:tab/>
        <w:t>=</w:t>
      </w:r>
      <w:r>
        <w:rPr>
          <w:lang w:val="de-DE"/>
        </w:rPr>
        <w:tab/>
        <w:t>Max (LASL, (HSLTELEM – (</w:t>
      </w:r>
      <w:r w:rsidR="00DC32AE" w:rsidRPr="00DC32AE">
        <w:rPr>
          <w:lang w:val="de-DE"/>
        </w:rPr>
        <w:t>ECRSTELEM</w:t>
      </w:r>
      <w:r w:rsidR="00DC32AE">
        <w:rPr>
          <w:lang w:val="de-DE"/>
        </w:rPr>
        <w:t xml:space="preserve"> + </w:t>
      </w:r>
      <w:r>
        <w:rPr>
          <w:lang w:val="de-DE"/>
        </w:rPr>
        <w:t>RRSTELEM + RUSTELEM + NSRSTELEM</w:t>
      </w:r>
      <w:r w:rsidRPr="00AC321B">
        <w:rPr>
          <w:lang w:val="de-DE"/>
        </w:rPr>
        <w:t xml:space="preserve"> +</w:t>
      </w:r>
      <w:r w:rsidR="00DC6D12">
        <w:rPr>
          <w:lang w:val="de-DE"/>
        </w:rPr>
        <w:t xml:space="preserve"> </w:t>
      </w:r>
      <w:r w:rsidRPr="00AC321B">
        <w:rPr>
          <w:lang w:val="de-DE"/>
        </w:rPr>
        <w:t>NFRCTELEM</w:t>
      </w:r>
      <w:r>
        <w:rPr>
          <w:lang w:val="de-DE"/>
        </w:rPr>
        <w:t>)))</w:t>
      </w:r>
    </w:p>
    <w:p w14:paraId="58F7B5D1" w14:textId="77777777" w:rsidR="00C23DEE" w:rsidRPr="00F06E8E" w:rsidRDefault="00C23DEE" w:rsidP="00C23DEE">
      <w:pPr>
        <w:spacing w:before="240" w:after="240"/>
        <w:ind w:left="720"/>
        <w:rPr>
          <w:iCs/>
        </w:rPr>
      </w:pPr>
      <w:r w:rsidRPr="00F06E8E">
        <w:rPr>
          <w:iCs/>
        </w:rPr>
        <w:t>For a modeled Generation Resource that represents the injection component of an ESR, HASL is calculated as follows:</w:t>
      </w:r>
    </w:p>
    <w:p w14:paraId="320706EA"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(LASL, Min ((HSLTELEM – (RRSTELEM + RUSTELEM + ECRSTELEM + NSRSTELEM +</w:t>
      </w:r>
      <w:r>
        <w:rPr>
          <w:b/>
          <w:bCs/>
          <w:lang w:val="de-DE"/>
        </w:rPr>
        <w:t xml:space="preserve"> </w:t>
      </w:r>
      <w:r w:rsidRPr="00F06E8E">
        <w:rPr>
          <w:b/>
          <w:bCs/>
          <w:lang w:val="de-DE"/>
        </w:rPr>
        <w:t>NFRCTELEM)), MaxBP))</w:t>
      </w:r>
    </w:p>
    <w:p w14:paraId="52A11FBD"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(SOCTELEM – MINSOCTELEM – REQASSOC)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33ABADD" w14:textId="77777777" w:rsidTr="00AC4DEE">
        <w:tc>
          <w:tcPr>
            <w:tcW w:w="1500" w:type="pct"/>
          </w:tcPr>
          <w:p w14:paraId="32F0E9FF" w14:textId="77777777" w:rsidR="001F04FD" w:rsidRDefault="001F04FD" w:rsidP="00AC4DEE">
            <w:pPr>
              <w:pStyle w:val="TableHead"/>
            </w:pPr>
            <w:r>
              <w:t>Variable</w:t>
            </w:r>
          </w:p>
        </w:tc>
        <w:tc>
          <w:tcPr>
            <w:tcW w:w="3500" w:type="pct"/>
          </w:tcPr>
          <w:p w14:paraId="5F4DB58D" w14:textId="77777777" w:rsidR="001F04FD" w:rsidRDefault="001F04FD" w:rsidP="00AC4DEE">
            <w:pPr>
              <w:pStyle w:val="TableHead"/>
            </w:pPr>
            <w:r>
              <w:t>Description</w:t>
            </w:r>
          </w:p>
        </w:tc>
      </w:tr>
      <w:tr w:rsidR="001F04FD" w14:paraId="15AA64AC" w14:textId="77777777" w:rsidTr="00AC4DEE">
        <w:trPr>
          <w:cantSplit/>
        </w:trPr>
        <w:tc>
          <w:tcPr>
            <w:tcW w:w="1500" w:type="pct"/>
          </w:tcPr>
          <w:p w14:paraId="3F1F858E" w14:textId="77777777" w:rsidR="001F04FD" w:rsidRDefault="001F04FD" w:rsidP="00AC4DEE">
            <w:pPr>
              <w:pStyle w:val="TableBody"/>
            </w:pPr>
            <w:r>
              <w:t>HASL</w:t>
            </w:r>
          </w:p>
        </w:tc>
        <w:tc>
          <w:tcPr>
            <w:tcW w:w="3500" w:type="pct"/>
          </w:tcPr>
          <w:p w14:paraId="37536730" w14:textId="77777777" w:rsidR="001F04FD" w:rsidRDefault="001F04FD" w:rsidP="00AC4DEE">
            <w:pPr>
              <w:pStyle w:val="TableBody"/>
            </w:pPr>
            <w:r>
              <w:t>High Ancillary Service Limit.</w:t>
            </w:r>
          </w:p>
        </w:tc>
      </w:tr>
      <w:tr w:rsidR="001F04FD" w14:paraId="56880D4D" w14:textId="77777777" w:rsidTr="00AC4DEE">
        <w:trPr>
          <w:cantSplit/>
        </w:trPr>
        <w:tc>
          <w:tcPr>
            <w:tcW w:w="1500" w:type="pct"/>
          </w:tcPr>
          <w:p w14:paraId="44E4D1DB" w14:textId="77777777" w:rsidR="001F04FD" w:rsidRDefault="001F04FD" w:rsidP="00AC4DEE">
            <w:pPr>
              <w:pStyle w:val="TableBody"/>
            </w:pPr>
            <w:r>
              <w:t>HSLTELEM</w:t>
            </w:r>
          </w:p>
        </w:tc>
        <w:tc>
          <w:tcPr>
            <w:tcW w:w="3500" w:type="pct"/>
          </w:tcPr>
          <w:p w14:paraId="1953A151" w14:textId="77777777" w:rsidR="00A21E7F" w:rsidRDefault="001F04FD" w:rsidP="00AC4DEE">
            <w:pPr>
              <w:pStyle w:val="TableBody"/>
            </w:pPr>
            <w:r>
              <w:t xml:space="preserve">High Sustained Limit provided via telemetry – per Section 6.5.5.2. </w:t>
            </w:r>
          </w:p>
          <w:p w14:paraId="5468E0E1" w14:textId="77777777" w:rsidR="001F04FD" w:rsidRDefault="001F04FD" w:rsidP="00AC4DEE">
            <w:pPr>
              <w:pStyle w:val="TableBody"/>
            </w:pPr>
          </w:p>
        </w:tc>
      </w:tr>
      <w:tr w:rsidR="001F04FD" w14:paraId="0CD87E85" w14:textId="77777777" w:rsidTr="00AC4DEE">
        <w:trPr>
          <w:cantSplit/>
        </w:trPr>
        <w:tc>
          <w:tcPr>
            <w:tcW w:w="1500" w:type="pct"/>
          </w:tcPr>
          <w:p w14:paraId="3C731C96" w14:textId="77777777" w:rsidR="001F04FD" w:rsidRDefault="001F04FD" w:rsidP="00AC4DEE">
            <w:pPr>
              <w:pStyle w:val="TableBody"/>
            </w:pPr>
            <w:r>
              <w:t>LASL</w:t>
            </w:r>
          </w:p>
        </w:tc>
        <w:tc>
          <w:tcPr>
            <w:tcW w:w="3500" w:type="pct"/>
          </w:tcPr>
          <w:p w14:paraId="271C89A0" w14:textId="77777777" w:rsidR="001F04FD" w:rsidRDefault="001F04FD" w:rsidP="00AC4DEE">
            <w:pPr>
              <w:pStyle w:val="TableBody"/>
            </w:pPr>
            <w:r>
              <w:t>Low Ancillary Service Limit.</w:t>
            </w:r>
          </w:p>
        </w:tc>
      </w:tr>
      <w:tr w:rsidR="001F04FD" w14:paraId="694398D8" w14:textId="77777777" w:rsidTr="00AC4DEE">
        <w:trPr>
          <w:cantSplit/>
        </w:trPr>
        <w:tc>
          <w:tcPr>
            <w:tcW w:w="1500" w:type="pct"/>
          </w:tcPr>
          <w:p w14:paraId="687A5B0D" w14:textId="77777777" w:rsidR="001F04FD" w:rsidRDefault="001F04FD" w:rsidP="00AC4DEE">
            <w:pPr>
              <w:pStyle w:val="TableBody"/>
            </w:pPr>
            <w:r>
              <w:t>RRSTELEM</w:t>
            </w:r>
          </w:p>
        </w:tc>
        <w:tc>
          <w:tcPr>
            <w:tcW w:w="3500" w:type="pct"/>
          </w:tcPr>
          <w:p w14:paraId="3903FE67" w14:textId="77413E4D" w:rsidR="001F04FD" w:rsidRDefault="00470AB8" w:rsidP="00470AB8">
            <w:pPr>
              <w:pStyle w:val="TableBody"/>
            </w:pPr>
            <w:r>
              <w:t>RRS</w:t>
            </w:r>
            <w:r w:rsidR="001F04FD">
              <w:t xml:space="preserve"> Ancillary Service Schedule provided </w:t>
            </w:r>
            <w:r w:rsidR="00714823">
              <w:t xml:space="preserve">via </w:t>
            </w:r>
            <w:r w:rsidR="001F04FD">
              <w:t xml:space="preserve">telemetry. </w:t>
            </w:r>
          </w:p>
        </w:tc>
      </w:tr>
      <w:tr w:rsidR="001F04FD" w14:paraId="7DF8B1D7" w14:textId="77777777" w:rsidTr="00AC4DEE">
        <w:trPr>
          <w:cantSplit/>
          <w:trHeight w:val="314"/>
        </w:trPr>
        <w:tc>
          <w:tcPr>
            <w:tcW w:w="1500" w:type="pct"/>
          </w:tcPr>
          <w:p w14:paraId="614B9818" w14:textId="77777777" w:rsidR="001F04FD" w:rsidRDefault="001F04FD" w:rsidP="00AC4DEE">
            <w:pPr>
              <w:pStyle w:val="TableBody"/>
            </w:pPr>
            <w:r>
              <w:t>RUSTELEM</w:t>
            </w:r>
          </w:p>
        </w:tc>
        <w:tc>
          <w:tcPr>
            <w:tcW w:w="3500" w:type="pct"/>
          </w:tcPr>
          <w:p w14:paraId="2C16B3B3" w14:textId="52D47B2A" w:rsidR="001F04FD" w:rsidRDefault="001F04FD" w:rsidP="00AC4DEE">
            <w:pPr>
              <w:pStyle w:val="TableBody"/>
            </w:pPr>
            <w:r>
              <w:t>Reg-Up Ancillary Service Resource Responsibility designation provided by telemetry.</w:t>
            </w:r>
          </w:p>
        </w:tc>
      </w:tr>
      <w:tr w:rsidR="001F04FD" w14:paraId="677E9954" w14:textId="77777777" w:rsidTr="00AC4DEE">
        <w:trPr>
          <w:cantSplit/>
        </w:trPr>
        <w:tc>
          <w:tcPr>
            <w:tcW w:w="1500" w:type="pct"/>
          </w:tcPr>
          <w:p w14:paraId="48CB80D0" w14:textId="77777777" w:rsidR="001F04FD" w:rsidRDefault="001F04FD" w:rsidP="00AC4DEE">
            <w:pPr>
              <w:pStyle w:val="TableBody"/>
            </w:pPr>
            <w:r>
              <w:t>NSRSTELEM</w:t>
            </w:r>
          </w:p>
        </w:tc>
        <w:tc>
          <w:tcPr>
            <w:tcW w:w="3500" w:type="pct"/>
          </w:tcPr>
          <w:p w14:paraId="42198135" w14:textId="77777777" w:rsidR="001F04FD" w:rsidRDefault="001F04FD" w:rsidP="00AC4DEE">
            <w:pPr>
              <w:pStyle w:val="TableBody"/>
            </w:pPr>
            <w:r>
              <w:t>Non-Spin Ancillary Service Schedule provided via telemetry.</w:t>
            </w:r>
          </w:p>
        </w:tc>
      </w:tr>
      <w:tr w:rsidR="00DC32AE" w14:paraId="01FA85D5" w14:textId="77777777" w:rsidTr="00DC32AE">
        <w:trPr>
          <w:cantSplit/>
        </w:trPr>
        <w:tc>
          <w:tcPr>
            <w:tcW w:w="1500" w:type="pct"/>
          </w:tcPr>
          <w:p w14:paraId="6F6B1506" w14:textId="603F41C4" w:rsidR="00DC32AE" w:rsidRPr="00114F4D" w:rsidRDefault="00DC32AE" w:rsidP="00DC32AE">
            <w:pPr>
              <w:pStyle w:val="TableBody"/>
              <w:rPr>
                <w:iCs w:val="0"/>
              </w:rPr>
            </w:pPr>
            <w:r>
              <w:rPr>
                <w:iCs w:val="0"/>
              </w:rPr>
              <w:t>EC</w:t>
            </w:r>
            <w:r w:rsidRPr="0003648D">
              <w:rPr>
                <w:iCs w:val="0"/>
              </w:rPr>
              <w:t>RSTELEM</w:t>
            </w:r>
          </w:p>
        </w:tc>
        <w:tc>
          <w:tcPr>
            <w:tcW w:w="3500" w:type="pct"/>
          </w:tcPr>
          <w:p w14:paraId="6AB0214D" w14:textId="75CAD2E4" w:rsidR="00DC32AE" w:rsidRPr="00114F4D" w:rsidRDefault="00DC32AE" w:rsidP="00DC32AE">
            <w:pPr>
              <w:pStyle w:val="TableBody"/>
              <w:rPr>
                <w:iCs w:val="0"/>
              </w:rPr>
            </w:pPr>
            <w:r>
              <w:rPr>
                <w:iCs w:val="0"/>
              </w:rPr>
              <w:t>EC</w:t>
            </w:r>
            <w:r w:rsidRPr="0003648D">
              <w:rPr>
                <w:iCs w:val="0"/>
              </w:rPr>
              <w:t xml:space="preserve">RS Ancillary Service Schedule provided by telemetry. </w:t>
            </w:r>
          </w:p>
        </w:tc>
      </w:tr>
      <w:tr w:rsidR="001F04FD" w14:paraId="6173E843" w14:textId="77777777" w:rsidTr="00AC4DEE">
        <w:trPr>
          <w:cantSplit/>
        </w:trPr>
        <w:tc>
          <w:tcPr>
            <w:tcW w:w="1500" w:type="pct"/>
          </w:tcPr>
          <w:p w14:paraId="02ECDD5A" w14:textId="77777777" w:rsidR="001F04FD" w:rsidRDefault="001F04FD" w:rsidP="00AC4DEE">
            <w:pPr>
              <w:pStyle w:val="TableBody"/>
            </w:pPr>
            <w:r w:rsidRPr="00114F4D">
              <w:rPr>
                <w:iCs w:val="0"/>
              </w:rPr>
              <w:t>NFRCTELEM</w:t>
            </w:r>
          </w:p>
        </w:tc>
        <w:tc>
          <w:tcPr>
            <w:tcW w:w="3500" w:type="pct"/>
          </w:tcPr>
          <w:p w14:paraId="51AC7E3E" w14:textId="26FE795D" w:rsidR="001F04FD" w:rsidRDefault="001F04FD" w:rsidP="00AC4DEE">
            <w:pPr>
              <w:pStyle w:val="TableBody"/>
            </w:pPr>
            <w:r w:rsidRPr="00114F4D">
              <w:rPr>
                <w:iCs w:val="0"/>
              </w:rPr>
              <w:t xml:space="preserve">NFRC currently available (unloaded) and included in the HSL of the Generation Resource with non-zero </w:t>
            </w:r>
            <w:r w:rsidR="00C23DEE">
              <w:t>RRS</w:t>
            </w:r>
            <w:r w:rsidRPr="00114F4D">
              <w:rPr>
                <w:iCs w:val="0"/>
              </w:rPr>
              <w:t xml:space="preserve"> Ancillary Service Schedule telemetry.</w:t>
            </w:r>
          </w:p>
        </w:tc>
      </w:tr>
      <w:tr w:rsidR="00C23DEE" w14:paraId="609D189E" w14:textId="77777777" w:rsidTr="00AC4DEE">
        <w:trPr>
          <w:cantSplit/>
        </w:trPr>
        <w:tc>
          <w:tcPr>
            <w:tcW w:w="1500" w:type="pct"/>
          </w:tcPr>
          <w:p w14:paraId="1D4B79CB" w14:textId="5DE149D4" w:rsidR="00C23DEE" w:rsidRPr="00114F4D" w:rsidRDefault="00C23DEE" w:rsidP="00C23DEE">
            <w:pPr>
              <w:pStyle w:val="TableBody"/>
              <w:rPr>
                <w:iCs w:val="0"/>
              </w:rPr>
            </w:pPr>
            <w:r w:rsidRPr="00F06E8E">
              <w:t>MaxBP</w:t>
            </w:r>
          </w:p>
        </w:tc>
        <w:tc>
          <w:tcPr>
            <w:tcW w:w="3500" w:type="pct"/>
          </w:tcPr>
          <w:p w14:paraId="738C18B7" w14:textId="26DA2714" w:rsidR="00C23DEE" w:rsidRPr="00114F4D" w:rsidRDefault="00C23DEE" w:rsidP="00C23DEE">
            <w:pPr>
              <w:pStyle w:val="TableBody"/>
              <w:rPr>
                <w:iCs w:val="0"/>
              </w:rPr>
            </w:pPr>
            <w:r w:rsidRPr="00F06E8E">
              <w:t>Calculated maximum SCED Base Point possible from available SOC after discounting for SOC required to support telemetered Ancillary Service Resource Responsibilities</w:t>
            </w:r>
            <w:r>
              <w:t>.</w:t>
            </w:r>
          </w:p>
        </w:tc>
      </w:tr>
      <w:tr w:rsidR="00C23DEE" w14:paraId="4B2685BC" w14:textId="77777777" w:rsidTr="00AC4DEE">
        <w:trPr>
          <w:cantSplit/>
        </w:trPr>
        <w:tc>
          <w:tcPr>
            <w:tcW w:w="1500" w:type="pct"/>
          </w:tcPr>
          <w:p w14:paraId="1C002E5A" w14:textId="1A19F4AC" w:rsidR="00C23DEE" w:rsidRPr="00114F4D" w:rsidRDefault="00C23DEE" w:rsidP="00C23DEE">
            <w:pPr>
              <w:pStyle w:val="TableBody"/>
              <w:rPr>
                <w:iCs w:val="0"/>
              </w:rPr>
            </w:pPr>
            <w:r w:rsidRPr="00F06E8E">
              <w:t>REQASSOC</w:t>
            </w:r>
          </w:p>
        </w:tc>
        <w:tc>
          <w:tcPr>
            <w:tcW w:w="3500" w:type="pct"/>
          </w:tcPr>
          <w:p w14:paraId="4DFF0318" w14:textId="70CC2C1E" w:rsidR="00C23DEE" w:rsidRPr="00114F4D" w:rsidRDefault="00C23DEE" w:rsidP="00C23DEE">
            <w:pPr>
              <w:pStyle w:val="TableBody"/>
              <w:rPr>
                <w:iCs w:val="0"/>
              </w:rPr>
            </w:pPr>
            <w:r w:rsidRPr="00F06E8E">
              <w:t xml:space="preserve">Calculated required SOC needed to support Ancillary Service </w:t>
            </w:r>
            <w:r w:rsidRPr="00F06E8E" w:rsidDel="00073398">
              <w:t>Supply</w:t>
            </w:r>
            <w:r w:rsidRPr="00F06E8E">
              <w:t xml:space="preserve"> Resource Responsibilities</w:t>
            </w:r>
            <w:r>
              <w:t xml:space="preserve">, as calculated in paragraph </w:t>
            </w:r>
            <w:r w:rsidRPr="00700F81">
              <w:t>(14)(a)(ii)(A)</w:t>
            </w:r>
            <w:r>
              <w:t xml:space="preserve"> of Section 6.5.5.2</w:t>
            </w:r>
            <w:r w:rsidRPr="00F06E8E">
              <w:t>.</w:t>
            </w:r>
          </w:p>
        </w:tc>
      </w:tr>
      <w:tr w:rsidR="00C23DEE" w14:paraId="1E58BF61" w14:textId="77777777" w:rsidTr="00AC4DEE">
        <w:trPr>
          <w:cantSplit/>
        </w:trPr>
        <w:tc>
          <w:tcPr>
            <w:tcW w:w="1500" w:type="pct"/>
          </w:tcPr>
          <w:p w14:paraId="43A4ED30" w14:textId="63C57F98" w:rsidR="00C23DEE" w:rsidRPr="00114F4D" w:rsidRDefault="00C23DEE" w:rsidP="00C23DEE">
            <w:pPr>
              <w:pStyle w:val="TableBody"/>
              <w:rPr>
                <w:iCs w:val="0"/>
              </w:rPr>
            </w:pPr>
            <w:r w:rsidRPr="00F06E8E">
              <w:t>SOCTELEM</w:t>
            </w:r>
          </w:p>
        </w:tc>
        <w:tc>
          <w:tcPr>
            <w:tcW w:w="3500" w:type="pct"/>
          </w:tcPr>
          <w:p w14:paraId="292C2A1F" w14:textId="2ABCDE6F" w:rsidR="00C23DEE" w:rsidRPr="00114F4D" w:rsidRDefault="00C23DEE" w:rsidP="00C23DEE">
            <w:pPr>
              <w:pStyle w:val="TableBody"/>
              <w:rPr>
                <w:iCs w:val="0"/>
              </w:rPr>
            </w:pPr>
            <w:r w:rsidRPr="00F06E8E">
              <w:t>Current SOC via telemetry</w:t>
            </w:r>
            <w:r>
              <w:t>.</w:t>
            </w:r>
          </w:p>
        </w:tc>
      </w:tr>
      <w:tr w:rsidR="00C23DEE" w14:paraId="182EC365" w14:textId="77777777" w:rsidTr="00AC4DEE">
        <w:trPr>
          <w:cantSplit/>
        </w:trPr>
        <w:tc>
          <w:tcPr>
            <w:tcW w:w="1500" w:type="pct"/>
          </w:tcPr>
          <w:p w14:paraId="34DAC191" w14:textId="2AAE179A" w:rsidR="00C23DEE" w:rsidRPr="00114F4D" w:rsidRDefault="00C23DEE" w:rsidP="00C23DEE">
            <w:pPr>
              <w:pStyle w:val="TableBody"/>
              <w:rPr>
                <w:iCs w:val="0"/>
              </w:rPr>
            </w:pPr>
            <w:r w:rsidRPr="00F06E8E">
              <w:t>MINSOCTELEM</w:t>
            </w:r>
          </w:p>
        </w:tc>
        <w:tc>
          <w:tcPr>
            <w:tcW w:w="3500" w:type="pct"/>
          </w:tcPr>
          <w:p w14:paraId="4740B363" w14:textId="73CC2929" w:rsidR="00C23DEE" w:rsidRPr="00114F4D" w:rsidRDefault="00C23DEE" w:rsidP="00C23DEE">
            <w:pPr>
              <w:pStyle w:val="TableBody"/>
              <w:rPr>
                <w:iCs w:val="0"/>
              </w:rPr>
            </w:pPr>
            <w:r w:rsidRPr="00F06E8E">
              <w:t>MinSOC via telemetry</w:t>
            </w:r>
            <w:r>
              <w:t>.</w:t>
            </w:r>
          </w:p>
        </w:tc>
      </w:tr>
      <w:tr w:rsidR="00C23DEE" w14:paraId="3A4F39A1" w14:textId="77777777" w:rsidTr="00AC4DEE">
        <w:trPr>
          <w:cantSplit/>
        </w:trPr>
        <w:tc>
          <w:tcPr>
            <w:tcW w:w="1500" w:type="pct"/>
          </w:tcPr>
          <w:p w14:paraId="22C8F6BA" w14:textId="7A540F43" w:rsidR="00C23DEE" w:rsidRPr="00114F4D" w:rsidRDefault="00C23DEE" w:rsidP="00C23DEE">
            <w:pPr>
              <w:pStyle w:val="TableBody"/>
              <w:rPr>
                <w:iCs w:val="0"/>
              </w:rPr>
            </w:pPr>
            <w:r w:rsidRPr="00F06E8E">
              <w:t>TSCED</w:t>
            </w:r>
          </w:p>
        </w:tc>
        <w:tc>
          <w:tcPr>
            <w:tcW w:w="3500" w:type="pct"/>
          </w:tcPr>
          <w:p w14:paraId="12AE0DAC" w14:textId="05DA89D6" w:rsidR="00C23DEE" w:rsidRPr="00114F4D" w:rsidRDefault="00C23DEE" w:rsidP="00C23DEE">
            <w:pPr>
              <w:pStyle w:val="TableBody"/>
              <w:rPr>
                <w:iCs w:val="0"/>
              </w:rPr>
            </w:pPr>
            <w:r w:rsidRPr="00F06E8E">
              <w:t>Nominal SCED interval duration = 1/12 hour</w:t>
            </w:r>
            <w:r>
              <w:t>.</w:t>
            </w:r>
          </w:p>
        </w:tc>
      </w:tr>
    </w:tbl>
    <w:p w14:paraId="0A8DA3F5" w14:textId="58ABC647" w:rsidR="001F04FD" w:rsidRDefault="001F04FD" w:rsidP="003D77E1">
      <w:pPr>
        <w:pStyle w:val="BodyTextNumbered"/>
        <w:spacing w:before="240"/>
      </w:pPr>
      <w:r>
        <w:t>(4)</w:t>
      </w:r>
      <w:r>
        <w:tab/>
        <w:t>For Generation Resources, LASL is calculated as follows:</w:t>
      </w:r>
    </w:p>
    <w:p w14:paraId="76D7B1BC" w14:textId="77777777" w:rsidR="001F04FD" w:rsidRDefault="001F04FD" w:rsidP="001F04FD">
      <w:pPr>
        <w:pStyle w:val="FormulaBold"/>
      </w:pPr>
      <w:r>
        <w:t>LASL</w:t>
      </w:r>
      <w:r>
        <w:tab/>
        <w:t>=</w:t>
      </w:r>
      <w: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9F56E0" w14:textId="77777777" w:rsidTr="00AC4DEE">
        <w:tc>
          <w:tcPr>
            <w:tcW w:w="1500" w:type="pct"/>
          </w:tcPr>
          <w:p w14:paraId="4BCA814B" w14:textId="77777777" w:rsidR="001F04FD" w:rsidRDefault="001F04FD" w:rsidP="00AC4DEE">
            <w:pPr>
              <w:pStyle w:val="TableHead"/>
            </w:pPr>
            <w:r>
              <w:lastRenderedPageBreak/>
              <w:t>Variable</w:t>
            </w:r>
          </w:p>
        </w:tc>
        <w:tc>
          <w:tcPr>
            <w:tcW w:w="3500" w:type="pct"/>
          </w:tcPr>
          <w:p w14:paraId="32CEE7CC" w14:textId="77777777" w:rsidR="001F04FD" w:rsidRDefault="001F04FD" w:rsidP="00AC4DEE">
            <w:pPr>
              <w:pStyle w:val="TableHead"/>
            </w:pPr>
            <w:r>
              <w:t>Description</w:t>
            </w:r>
          </w:p>
        </w:tc>
      </w:tr>
      <w:tr w:rsidR="001F04FD" w14:paraId="3E347625" w14:textId="77777777" w:rsidTr="00AC4DEE">
        <w:trPr>
          <w:cantSplit/>
        </w:trPr>
        <w:tc>
          <w:tcPr>
            <w:tcW w:w="1500" w:type="pct"/>
          </w:tcPr>
          <w:p w14:paraId="69D49A14" w14:textId="77777777" w:rsidR="001F04FD" w:rsidRDefault="001F04FD" w:rsidP="00AC4DEE">
            <w:pPr>
              <w:pStyle w:val="TableBody"/>
            </w:pPr>
            <w:r>
              <w:t>LASL</w:t>
            </w:r>
          </w:p>
        </w:tc>
        <w:tc>
          <w:tcPr>
            <w:tcW w:w="3500" w:type="pct"/>
          </w:tcPr>
          <w:p w14:paraId="1C27CEC7" w14:textId="77777777" w:rsidR="001F04FD" w:rsidRDefault="001F04FD" w:rsidP="00AC4DEE">
            <w:pPr>
              <w:pStyle w:val="TableBody"/>
            </w:pPr>
            <w:r>
              <w:t>Low Ancillary Service Limit.</w:t>
            </w:r>
          </w:p>
        </w:tc>
      </w:tr>
      <w:tr w:rsidR="001F04FD" w14:paraId="5D3235E5" w14:textId="77777777" w:rsidTr="00AC4DEE">
        <w:trPr>
          <w:cantSplit/>
        </w:trPr>
        <w:tc>
          <w:tcPr>
            <w:tcW w:w="1500" w:type="pct"/>
          </w:tcPr>
          <w:p w14:paraId="7DA538B6" w14:textId="77777777" w:rsidR="001F04FD" w:rsidRDefault="001F04FD" w:rsidP="00AC4DEE">
            <w:pPr>
              <w:pStyle w:val="TableBody"/>
            </w:pPr>
            <w:r>
              <w:t>LSLTELEM</w:t>
            </w:r>
          </w:p>
        </w:tc>
        <w:tc>
          <w:tcPr>
            <w:tcW w:w="3500" w:type="pct"/>
          </w:tcPr>
          <w:p w14:paraId="467DA510" w14:textId="77777777" w:rsidR="001F04FD" w:rsidRDefault="001F04FD" w:rsidP="00AC4DEE">
            <w:pPr>
              <w:pStyle w:val="TableBody"/>
            </w:pPr>
            <w:r>
              <w:t>Low Sustained Limit provided via telemetry.</w:t>
            </w:r>
          </w:p>
        </w:tc>
      </w:tr>
      <w:tr w:rsidR="001F04FD" w14:paraId="32AD950F" w14:textId="77777777" w:rsidTr="00AC4DEE">
        <w:trPr>
          <w:cantSplit/>
        </w:trPr>
        <w:tc>
          <w:tcPr>
            <w:tcW w:w="1500" w:type="pct"/>
          </w:tcPr>
          <w:p w14:paraId="6A4A7F49" w14:textId="77777777" w:rsidR="001F04FD" w:rsidRDefault="001F04FD" w:rsidP="00AC4DEE">
            <w:pPr>
              <w:pStyle w:val="TableBody"/>
            </w:pPr>
            <w:r>
              <w:t>RDSTELEM</w:t>
            </w:r>
          </w:p>
        </w:tc>
        <w:tc>
          <w:tcPr>
            <w:tcW w:w="3500" w:type="pct"/>
          </w:tcPr>
          <w:p w14:paraId="4701FF57" w14:textId="77777777" w:rsidR="001F04FD" w:rsidRDefault="001F04FD" w:rsidP="00AC4DEE">
            <w:pPr>
              <w:pStyle w:val="TableBody"/>
            </w:pPr>
            <w:r>
              <w:t>Reg-Down Ancillary Service Resource Responsibility designation provided by telemetry.</w:t>
            </w:r>
          </w:p>
        </w:tc>
      </w:tr>
    </w:tbl>
    <w:p w14:paraId="483C1BDE" w14:textId="77777777" w:rsidR="001F04FD" w:rsidRDefault="001F04FD" w:rsidP="001F04FD"/>
    <w:p w14:paraId="11DC340C" w14:textId="77777777" w:rsidR="00286EDB" w:rsidRDefault="00286EDB" w:rsidP="00286EDB">
      <w:pPr>
        <w:pStyle w:val="BodyTextNumbered"/>
      </w:pPr>
      <w:r>
        <w:t>(5)</w:t>
      </w:r>
      <w:r>
        <w:tab/>
        <w:t>For each Generation Resource, the SURAMP is calculated as follows:</w:t>
      </w:r>
    </w:p>
    <w:p w14:paraId="47C56050" w14:textId="77777777" w:rsidR="00286EDB" w:rsidRDefault="00286EDB" w:rsidP="00286EDB">
      <w:pPr>
        <w:pStyle w:val="FormulaBold"/>
        <w:ind w:left="3150" w:hanging="2430"/>
        <w:rPr>
          <w:lang w:val="de-DE"/>
        </w:rPr>
      </w:pPr>
      <w:r>
        <w:rPr>
          <w:lang w:val="de-DE"/>
        </w:rPr>
        <w:t>SURAMP</w:t>
      </w:r>
      <w:r>
        <w:rPr>
          <w:lang w:val="de-DE"/>
        </w:rPr>
        <w:tab/>
        <w:t>=</w:t>
      </w:r>
      <w:r>
        <w:rPr>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2966A567" w14:textId="77777777" w:rsidTr="00F12CF4">
        <w:tc>
          <w:tcPr>
            <w:tcW w:w="1500" w:type="pct"/>
          </w:tcPr>
          <w:p w14:paraId="7A0CC07D" w14:textId="77777777" w:rsidR="00286EDB" w:rsidRDefault="00286EDB" w:rsidP="00F12CF4">
            <w:pPr>
              <w:pStyle w:val="TableHead"/>
            </w:pPr>
            <w:r>
              <w:t>Variable</w:t>
            </w:r>
          </w:p>
        </w:tc>
        <w:tc>
          <w:tcPr>
            <w:tcW w:w="3500" w:type="pct"/>
          </w:tcPr>
          <w:p w14:paraId="56417D09" w14:textId="77777777" w:rsidR="00286EDB" w:rsidRDefault="00286EDB" w:rsidP="00F12CF4">
            <w:pPr>
              <w:pStyle w:val="TableHead"/>
            </w:pPr>
            <w:r>
              <w:t>Description</w:t>
            </w:r>
          </w:p>
        </w:tc>
      </w:tr>
      <w:tr w:rsidR="00286EDB" w14:paraId="632F014A" w14:textId="77777777" w:rsidTr="00F12CF4">
        <w:trPr>
          <w:cantSplit/>
        </w:trPr>
        <w:tc>
          <w:tcPr>
            <w:tcW w:w="1500" w:type="pct"/>
          </w:tcPr>
          <w:p w14:paraId="61E41FCE" w14:textId="77777777" w:rsidR="00286EDB" w:rsidRDefault="00286EDB" w:rsidP="00F12CF4">
            <w:pPr>
              <w:pStyle w:val="TableBody"/>
            </w:pPr>
            <w:r>
              <w:t>SURAMP</w:t>
            </w:r>
          </w:p>
        </w:tc>
        <w:tc>
          <w:tcPr>
            <w:tcW w:w="3500" w:type="pct"/>
          </w:tcPr>
          <w:p w14:paraId="07A5154E" w14:textId="77777777" w:rsidR="00286EDB" w:rsidRDefault="00286EDB" w:rsidP="00F12CF4">
            <w:pPr>
              <w:pStyle w:val="TableBody"/>
            </w:pPr>
            <w:r>
              <w:t>SCED Up Ramp Rate.</w:t>
            </w:r>
          </w:p>
        </w:tc>
      </w:tr>
      <w:tr w:rsidR="00286EDB" w14:paraId="15F71C45" w14:textId="77777777" w:rsidTr="00F12CF4">
        <w:trPr>
          <w:cantSplit/>
        </w:trPr>
        <w:tc>
          <w:tcPr>
            <w:tcW w:w="1500" w:type="pct"/>
          </w:tcPr>
          <w:p w14:paraId="1D515751" w14:textId="77777777" w:rsidR="00286EDB" w:rsidRDefault="00286EDB" w:rsidP="00F12CF4">
            <w:pPr>
              <w:pStyle w:val="TableBody"/>
              <w:rPr>
                <w:highlight w:val="yellow"/>
              </w:rPr>
            </w:pPr>
            <w:r>
              <w:t>RAMPRATE</w:t>
            </w:r>
          </w:p>
        </w:tc>
        <w:tc>
          <w:tcPr>
            <w:tcW w:w="3500" w:type="pct"/>
          </w:tcPr>
          <w:p w14:paraId="548F7353" w14:textId="6C6FEF73" w:rsidR="00286EDB" w:rsidRDefault="00286EDB" w:rsidP="00F12CF4">
            <w:pPr>
              <w:pStyle w:val="TableBody"/>
            </w:pPr>
            <w:r>
              <w:t xml:space="preserve">Normal Ramp Rate up, as telemetered by the QSE, when </w:t>
            </w:r>
            <w:r w:rsidR="00DC32AE">
              <w:t>ECRS</w:t>
            </w:r>
            <w:r>
              <w:t xml:space="preserve"> is not deployed or when the subject Resource is not providing </w:t>
            </w:r>
            <w:r w:rsidR="00DC32AE">
              <w:t>ECRS</w:t>
            </w:r>
            <w:r>
              <w:t>.</w:t>
            </w:r>
          </w:p>
          <w:p w14:paraId="1E481A23" w14:textId="0C838035" w:rsidR="00286EDB" w:rsidRDefault="00286EDB" w:rsidP="00F12CF4">
            <w:pPr>
              <w:pStyle w:val="TableBody"/>
            </w:pPr>
            <w:r>
              <w:t xml:space="preserve">Emergency Ramp Rate up, as telemetered by the QSE, for Resources deploying </w:t>
            </w:r>
            <w:r w:rsidR="00DC32AE">
              <w:t>ECRS</w:t>
            </w:r>
            <w:r>
              <w:t>.</w:t>
            </w:r>
          </w:p>
          <w:p w14:paraId="5DEE31BE" w14:textId="77777777" w:rsidR="00286EDB" w:rsidRDefault="00286EDB" w:rsidP="00F12CF4">
            <w:pPr>
              <w:pStyle w:val="TableBody"/>
            </w:pPr>
          </w:p>
        </w:tc>
      </w:tr>
      <w:tr w:rsidR="00286EDB" w14:paraId="55BD792F" w14:textId="77777777" w:rsidTr="00F12CF4">
        <w:trPr>
          <w:cantSplit/>
        </w:trPr>
        <w:tc>
          <w:tcPr>
            <w:tcW w:w="1500" w:type="pct"/>
          </w:tcPr>
          <w:p w14:paraId="4404392A" w14:textId="77777777" w:rsidR="00286EDB" w:rsidRDefault="00286EDB" w:rsidP="00F12CF4">
            <w:pPr>
              <w:pStyle w:val="TableBody"/>
            </w:pPr>
            <w:r>
              <w:t>RUSTELEM</w:t>
            </w:r>
          </w:p>
        </w:tc>
        <w:tc>
          <w:tcPr>
            <w:tcW w:w="3500" w:type="pct"/>
          </w:tcPr>
          <w:p w14:paraId="7111DFA4" w14:textId="77777777" w:rsidR="00286EDB" w:rsidRDefault="00286EDB" w:rsidP="00F12CF4">
            <w:pPr>
              <w:pStyle w:val="TableBody"/>
            </w:pPr>
            <w:r>
              <w:t>Reg-Up Ancillary Service Resource Responsibility designation provided by telemetry.</w:t>
            </w:r>
          </w:p>
        </w:tc>
      </w:tr>
      <w:tr w:rsidR="00286EDB" w:rsidDel="004409E7" w14:paraId="30C5AD6A"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60DEDB69" w14:textId="77777777" w:rsidR="00286EDB" w:rsidRPr="003B2085" w:rsidDel="004409E7" w:rsidRDefault="00286EDB" w:rsidP="00F12CF4">
            <w:pPr>
              <w:pStyle w:val="TableBody"/>
            </w:pPr>
            <w:r>
              <w:t>RDSDEPLP</w:t>
            </w:r>
          </w:p>
        </w:tc>
        <w:tc>
          <w:tcPr>
            <w:tcW w:w="3500" w:type="pct"/>
            <w:tcBorders>
              <w:top w:val="single" w:sz="4" w:space="0" w:color="auto"/>
              <w:left w:val="single" w:sz="4" w:space="0" w:color="auto"/>
              <w:bottom w:val="single" w:sz="4" w:space="0" w:color="auto"/>
              <w:right w:val="single" w:sz="4" w:space="0" w:color="auto"/>
            </w:tcBorders>
          </w:tcPr>
          <w:p w14:paraId="60943517" w14:textId="77777777" w:rsidR="00286EDB" w:rsidRPr="003B2085" w:rsidDel="004409E7" w:rsidRDefault="00286EDB" w:rsidP="00F12CF4">
            <w:pPr>
              <w:pStyle w:val="TableBody"/>
            </w:pPr>
            <w:r>
              <w:t>Percentage of system-wide Reg-Down Ancillary Resource Responsibility deployed by LFC.  This value shall not exceed 100% and controls the amount of ramp rate reserved for Regulation Service in Real-Time.</w:t>
            </w:r>
          </w:p>
        </w:tc>
      </w:tr>
    </w:tbl>
    <w:p w14:paraId="69CD5F1C" w14:textId="77777777" w:rsidR="001F04FD" w:rsidRDefault="001F04FD" w:rsidP="000073DF">
      <w:pPr>
        <w:pStyle w:val="BodyTextNumbered"/>
        <w:spacing w:before="240" w:after="0"/>
      </w:pPr>
      <w:r>
        <w:t>(6)</w:t>
      </w:r>
      <w:r>
        <w:tab/>
        <w:t>For each Generation Resource, the SDRAMP is calculated as follows:</w:t>
      </w:r>
    </w:p>
    <w:p w14:paraId="06C6A44B" w14:textId="77777777" w:rsidR="001F04FD" w:rsidRDefault="001F04FD" w:rsidP="001F04FD">
      <w:pPr>
        <w:pStyle w:val="BodyTextNumbered"/>
        <w:spacing w:after="0"/>
      </w:pPr>
    </w:p>
    <w:p w14:paraId="7A2366F7" w14:textId="77777777" w:rsidR="00286EDB" w:rsidRDefault="00286EDB" w:rsidP="00286EDB">
      <w:pPr>
        <w:pStyle w:val="FormulaBold"/>
        <w:rPr>
          <w:lang w:val="de-DE"/>
        </w:rPr>
      </w:pPr>
      <w:r>
        <w:rPr>
          <w:lang w:val="de-DE"/>
        </w:rPr>
        <w:t>SDRAMP</w:t>
      </w:r>
      <w:r>
        <w:rPr>
          <w:lang w:val="de-DE"/>
        </w:rPr>
        <w:tab/>
        <w:t>=</w:t>
      </w:r>
      <w:r>
        <w:rPr>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3A7FEB24" w14:textId="77777777" w:rsidTr="00F12CF4">
        <w:trPr>
          <w:tblHeader/>
        </w:trPr>
        <w:tc>
          <w:tcPr>
            <w:tcW w:w="1500" w:type="pct"/>
          </w:tcPr>
          <w:p w14:paraId="3B320259" w14:textId="77777777" w:rsidR="00286EDB" w:rsidRDefault="00286EDB" w:rsidP="00F12CF4">
            <w:pPr>
              <w:pStyle w:val="TableHead"/>
            </w:pPr>
            <w:r>
              <w:t>Variable</w:t>
            </w:r>
          </w:p>
        </w:tc>
        <w:tc>
          <w:tcPr>
            <w:tcW w:w="3500" w:type="pct"/>
          </w:tcPr>
          <w:p w14:paraId="0890EA79" w14:textId="77777777" w:rsidR="00286EDB" w:rsidRDefault="00286EDB" w:rsidP="00F12CF4">
            <w:pPr>
              <w:pStyle w:val="TableHead"/>
            </w:pPr>
            <w:r>
              <w:t>Description</w:t>
            </w:r>
          </w:p>
        </w:tc>
      </w:tr>
      <w:tr w:rsidR="00286EDB" w14:paraId="02DE8E1A" w14:textId="77777777" w:rsidTr="00F12CF4">
        <w:trPr>
          <w:cantSplit/>
        </w:trPr>
        <w:tc>
          <w:tcPr>
            <w:tcW w:w="1500" w:type="pct"/>
          </w:tcPr>
          <w:p w14:paraId="586C8CFB" w14:textId="77777777" w:rsidR="00286EDB" w:rsidRDefault="00286EDB" w:rsidP="00F12CF4">
            <w:pPr>
              <w:pStyle w:val="TableBody"/>
            </w:pPr>
            <w:r>
              <w:t>SDRAMP</w:t>
            </w:r>
          </w:p>
        </w:tc>
        <w:tc>
          <w:tcPr>
            <w:tcW w:w="3500" w:type="pct"/>
          </w:tcPr>
          <w:p w14:paraId="57696F45" w14:textId="77777777" w:rsidR="00286EDB" w:rsidRDefault="00286EDB" w:rsidP="00F12CF4">
            <w:pPr>
              <w:pStyle w:val="TableBody"/>
            </w:pPr>
            <w:r>
              <w:t>SCED Down Ramp Rate.</w:t>
            </w:r>
          </w:p>
        </w:tc>
      </w:tr>
      <w:tr w:rsidR="00286EDB" w14:paraId="1455C1B7" w14:textId="77777777" w:rsidTr="00F12CF4">
        <w:trPr>
          <w:cantSplit/>
        </w:trPr>
        <w:tc>
          <w:tcPr>
            <w:tcW w:w="1500" w:type="pct"/>
          </w:tcPr>
          <w:p w14:paraId="2EFE1B5E" w14:textId="77777777" w:rsidR="00286EDB" w:rsidRDefault="00286EDB" w:rsidP="00F12CF4">
            <w:pPr>
              <w:pStyle w:val="TableBody"/>
            </w:pPr>
            <w:r>
              <w:t>NORMRAMP</w:t>
            </w:r>
          </w:p>
        </w:tc>
        <w:tc>
          <w:tcPr>
            <w:tcW w:w="3500" w:type="pct"/>
          </w:tcPr>
          <w:p w14:paraId="656CA729" w14:textId="77777777" w:rsidR="00286EDB" w:rsidRDefault="00286EDB" w:rsidP="00F12CF4">
            <w:pPr>
              <w:pStyle w:val="TableBody"/>
            </w:pPr>
            <w:r>
              <w:t>Normal Ramp Rate down, as telemetered by the QSE.</w:t>
            </w:r>
          </w:p>
        </w:tc>
      </w:tr>
      <w:tr w:rsidR="00286EDB" w14:paraId="7DCCAD27" w14:textId="77777777" w:rsidTr="00F12CF4">
        <w:trPr>
          <w:cantSplit/>
        </w:trPr>
        <w:tc>
          <w:tcPr>
            <w:tcW w:w="1500" w:type="pct"/>
          </w:tcPr>
          <w:p w14:paraId="38F53996" w14:textId="77777777" w:rsidR="00286EDB" w:rsidRDefault="00286EDB" w:rsidP="00F12CF4">
            <w:pPr>
              <w:pStyle w:val="TableBody"/>
            </w:pPr>
            <w:r>
              <w:t>RDSTELEM</w:t>
            </w:r>
          </w:p>
        </w:tc>
        <w:tc>
          <w:tcPr>
            <w:tcW w:w="3500" w:type="pct"/>
          </w:tcPr>
          <w:p w14:paraId="32AEFA7F" w14:textId="77777777" w:rsidR="00286EDB" w:rsidRDefault="00286EDB" w:rsidP="00F12CF4">
            <w:pPr>
              <w:pStyle w:val="TableBody"/>
            </w:pPr>
            <w:r>
              <w:t>Reg-Down Ancillary Service Resource Responsibility designation by Resource provided via telemetry.</w:t>
            </w:r>
          </w:p>
        </w:tc>
      </w:tr>
      <w:tr w:rsidR="00286EDB" w:rsidDel="004409E7" w14:paraId="1AB86CE8"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301BBB43" w14:textId="77777777" w:rsidR="00286EDB"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32EBCA30" w14:textId="77777777" w:rsidR="00286EDB"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510D1861" w14:textId="77777777" w:rsidR="001F04FD" w:rsidRPr="000149E5" w:rsidRDefault="001F04FD" w:rsidP="000073DF">
      <w:pPr>
        <w:pStyle w:val="BodyTextNumbered"/>
        <w:spacing w:before="240"/>
        <w:rPr>
          <w:iCs/>
        </w:rPr>
      </w:pPr>
      <w:r w:rsidRPr="000149E5">
        <w:rPr>
          <w:iCs/>
        </w:rPr>
        <w:t>(7)</w:t>
      </w:r>
      <w:r w:rsidRPr="000149E5">
        <w:rPr>
          <w:iCs/>
        </w:rPr>
        <w:tab/>
        <w:t>For Generation Resources, HDL is calculated as follows:</w:t>
      </w:r>
    </w:p>
    <w:p w14:paraId="7E6D2B5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SHUTDOWN, then</w:t>
      </w:r>
    </w:p>
    <w:p w14:paraId="3D2463E0" w14:textId="77777777" w:rsidR="001F04FD" w:rsidRPr="000149E5" w:rsidRDefault="001F04FD" w:rsidP="001F04FD">
      <w:pPr>
        <w:pStyle w:val="BodyTextNumbered"/>
        <w:ind w:left="1440"/>
        <w:rPr>
          <w:b/>
          <w:iCs/>
        </w:rPr>
      </w:pPr>
      <w:r w:rsidRPr="000149E5">
        <w:rPr>
          <w:b/>
          <w:iCs/>
        </w:rPr>
        <w:t>HDL</w:t>
      </w:r>
      <w:r w:rsidRPr="000149E5">
        <w:rPr>
          <w:b/>
          <w:iCs/>
        </w:rPr>
        <w:tab/>
        <w:t>=</w:t>
      </w:r>
      <w:r w:rsidRPr="000149E5">
        <w:rPr>
          <w:b/>
          <w:iCs/>
        </w:rPr>
        <w:tab/>
        <w:t>POWERTELEM – (SDRAMP * 5)</w:t>
      </w:r>
    </w:p>
    <w:p w14:paraId="381855ED"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Current Operating Plan (COP) Criteria, other than SHUTDOWN, then</w:t>
      </w:r>
    </w:p>
    <w:p w14:paraId="18A53EDD" w14:textId="77777777" w:rsidR="001F04FD" w:rsidRPr="002A11A6" w:rsidRDefault="001F04FD" w:rsidP="001F04FD">
      <w:pPr>
        <w:spacing w:after="240"/>
        <w:ind w:left="1440" w:hanging="720"/>
        <w:rPr>
          <w:b/>
        </w:rPr>
      </w:pPr>
      <w:r w:rsidRPr="002A11A6">
        <w:rPr>
          <w:b/>
        </w:rPr>
        <w:t>HDL</w:t>
      </w:r>
      <w:r w:rsidRPr="002A11A6">
        <w:rPr>
          <w:b/>
        </w:rPr>
        <w:tab/>
        <w:t>=</w:t>
      </w:r>
      <w:r w:rsidRPr="002A11A6">
        <w:rPr>
          <w:b/>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0716A617" w14:textId="77777777" w:rsidTr="00AC4DEE">
        <w:tc>
          <w:tcPr>
            <w:tcW w:w="1500" w:type="pct"/>
          </w:tcPr>
          <w:p w14:paraId="16696EFE" w14:textId="77777777" w:rsidR="001F04FD" w:rsidRDefault="001F04FD" w:rsidP="00AC4DEE">
            <w:pPr>
              <w:pStyle w:val="TableHead"/>
            </w:pPr>
            <w:r>
              <w:lastRenderedPageBreak/>
              <w:t>Variable</w:t>
            </w:r>
          </w:p>
        </w:tc>
        <w:tc>
          <w:tcPr>
            <w:tcW w:w="3500" w:type="pct"/>
          </w:tcPr>
          <w:p w14:paraId="65D3BD6B" w14:textId="77777777" w:rsidR="001F04FD" w:rsidRDefault="001F04FD" w:rsidP="00AC4DEE">
            <w:pPr>
              <w:pStyle w:val="TableHead"/>
            </w:pPr>
            <w:r>
              <w:t>Description</w:t>
            </w:r>
          </w:p>
        </w:tc>
      </w:tr>
      <w:tr w:rsidR="001F04FD" w14:paraId="4EB46D87" w14:textId="77777777" w:rsidTr="00AC4DEE">
        <w:trPr>
          <w:cantSplit/>
        </w:trPr>
        <w:tc>
          <w:tcPr>
            <w:tcW w:w="1500" w:type="pct"/>
          </w:tcPr>
          <w:p w14:paraId="0AEE6945" w14:textId="77777777" w:rsidR="001F04FD" w:rsidRDefault="001F04FD" w:rsidP="00AC4DEE">
            <w:pPr>
              <w:pStyle w:val="TableBody"/>
              <w:rPr>
                <w:highlight w:val="green"/>
              </w:rPr>
            </w:pPr>
            <w:r>
              <w:t>HDL</w:t>
            </w:r>
          </w:p>
        </w:tc>
        <w:tc>
          <w:tcPr>
            <w:tcW w:w="3500" w:type="pct"/>
          </w:tcPr>
          <w:p w14:paraId="77493648" w14:textId="77777777" w:rsidR="001F04FD" w:rsidRDefault="001F04FD" w:rsidP="00AC4DEE">
            <w:pPr>
              <w:pStyle w:val="TableBody"/>
              <w:rPr>
                <w:highlight w:val="yellow"/>
              </w:rPr>
            </w:pPr>
            <w:r>
              <w:t>High Dispatch Limit.</w:t>
            </w:r>
          </w:p>
        </w:tc>
      </w:tr>
      <w:tr w:rsidR="001F04FD" w14:paraId="08A0C38B" w14:textId="77777777" w:rsidTr="00AC4DEE">
        <w:trPr>
          <w:cantSplit/>
        </w:trPr>
        <w:tc>
          <w:tcPr>
            <w:tcW w:w="1500" w:type="pct"/>
          </w:tcPr>
          <w:p w14:paraId="7ADABA2B" w14:textId="77777777" w:rsidR="001F04FD" w:rsidRDefault="001F04FD" w:rsidP="00AC4DEE">
            <w:pPr>
              <w:pStyle w:val="TableBody"/>
            </w:pPr>
            <w:r>
              <w:t>POWERTELEM</w:t>
            </w:r>
          </w:p>
        </w:tc>
        <w:tc>
          <w:tcPr>
            <w:tcW w:w="3500" w:type="pct"/>
          </w:tcPr>
          <w:p w14:paraId="3424F391" w14:textId="77777777" w:rsidR="001F04FD" w:rsidRDefault="001F04FD" w:rsidP="00AC4DEE">
            <w:pPr>
              <w:pStyle w:val="TableBody"/>
            </w:pPr>
            <w:r>
              <w:t xml:space="preserve">Gross or net real power provided via telemetry. </w:t>
            </w:r>
          </w:p>
        </w:tc>
      </w:tr>
      <w:tr w:rsidR="001F04FD" w14:paraId="2B38644B" w14:textId="77777777" w:rsidTr="00AC4DEE">
        <w:trPr>
          <w:cantSplit/>
        </w:trPr>
        <w:tc>
          <w:tcPr>
            <w:tcW w:w="1500" w:type="pct"/>
          </w:tcPr>
          <w:p w14:paraId="1A7A5203" w14:textId="77777777" w:rsidR="001F04FD" w:rsidRDefault="001F04FD" w:rsidP="00AC4DEE">
            <w:pPr>
              <w:pStyle w:val="TableBody"/>
            </w:pPr>
            <w:r>
              <w:t>SURAMP</w:t>
            </w:r>
          </w:p>
        </w:tc>
        <w:tc>
          <w:tcPr>
            <w:tcW w:w="3500" w:type="pct"/>
          </w:tcPr>
          <w:p w14:paraId="61A8FE80" w14:textId="77777777" w:rsidR="001F04FD" w:rsidRDefault="001F04FD" w:rsidP="00AC4DEE">
            <w:pPr>
              <w:pStyle w:val="TableBody"/>
            </w:pPr>
            <w:r>
              <w:t>SCED Up Ramp Rate.</w:t>
            </w:r>
          </w:p>
        </w:tc>
      </w:tr>
      <w:tr w:rsidR="001F04FD" w14:paraId="178786B6" w14:textId="77777777" w:rsidTr="00AC4DEE">
        <w:trPr>
          <w:cantSplit/>
        </w:trPr>
        <w:tc>
          <w:tcPr>
            <w:tcW w:w="1500" w:type="pct"/>
          </w:tcPr>
          <w:p w14:paraId="2D6C6B63" w14:textId="77777777" w:rsidR="001F04FD" w:rsidRDefault="001F04FD" w:rsidP="00AC4DEE">
            <w:pPr>
              <w:pStyle w:val="TableBody"/>
            </w:pPr>
            <w:r>
              <w:t>SDRAMP</w:t>
            </w:r>
          </w:p>
        </w:tc>
        <w:tc>
          <w:tcPr>
            <w:tcW w:w="3500" w:type="pct"/>
          </w:tcPr>
          <w:p w14:paraId="33607C26" w14:textId="77777777" w:rsidR="001F04FD" w:rsidRDefault="001F04FD" w:rsidP="00AC4DEE">
            <w:pPr>
              <w:pStyle w:val="TableBody"/>
            </w:pPr>
            <w:r>
              <w:t>SCED Down Ramp Rate.</w:t>
            </w:r>
          </w:p>
        </w:tc>
      </w:tr>
      <w:tr w:rsidR="001F04FD" w14:paraId="09EC4C00" w14:textId="77777777" w:rsidTr="00AC4DEE">
        <w:trPr>
          <w:cantSplit/>
        </w:trPr>
        <w:tc>
          <w:tcPr>
            <w:tcW w:w="1500" w:type="pct"/>
          </w:tcPr>
          <w:p w14:paraId="4547C3D7" w14:textId="77777777" w:rsidR="001F04FD" w:rsidRDefault="001F04FD" w:rsidP="00AC4DEE">
            <w:pPr>
              <w:pStyle w:val="TableBody"/>
            </w:pPr>
            <w:r>
              <w:t>HASL</w:t>
            </w:r>
          </w:p>
        </w:tc>
        <w:tc>
          <w:tcPr>
            <w:tcW w:w="3500" w:type="pct"/>
          </w:tcPr>
          <w:p w14:paraId="6D30F322" w14:textId="77777777" w:rsidR="001F04FD" w:rsidRDefault="001F04FD" w:rsidP="00AC4DEE">
            <w:pPr>
              <w:pStyle w:val="TableBody"/>
            </w:pPr>
            <w:r>
              <w:t>High Ancillary Service Limit – definition provided in Section 2, Definitions and Acronyms.</w:t>
            </w:r>
          </w:p>
        </w:tc>
      </w:tr>
    </w:tbl>
    <w:p w14:paraId="492C5E29" w14:textId="77777777" w:rsidR="001F04FD" w:rsidRPr="000149E5" w:rsidRDefault="001F04FD" w:rsidP="001F04FD">
      <w:pPr>
        <w:pStyle w:val="BodyTextNumbered"/>
        <w:ind w:left="0" w:firstLine="0"/>
        <w:rPr>
          <w:iCs/>
        </w:rPr>
      </w:pPr>
      <w:r w:rsidRPr="000149E5">
        <w:rPr>
          <w:iCs/>
        </w:rPr>
        <w:br/>
        <w:t>(8)</w:t>
      </w:r>
      <w:r w:rsidRPr="000149E5">
        <w:rPr>
          <w:iCs/>
        </w:rPr>
        <w:tab/>
        <w:t>For Generation Resources, LDL is calculated as follows:</w:t>
      </w:r>
    </w:p>
    <w:p w14:paraId="462533A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STARTUP, then</w:t>
      </w:r>
    </w:p>
    <w:p w14:paraId="1C3B183C" w14:textId="77777777" w:rsidR="001F04FD" w:rsidRPr="000149E5" w:rsidRDefault="001F04FD" w:rsidP="001F04FD">
      <w:pPr>
        <w:pStyle w:val="BodyTextNumbered"/>
        <w:ind w:left="1440"/>
        <w:rPr>
          <w:b/>
          <w:iCs/>
        </w:rPr>
      </w:pPr>
      <w:r w:rsidRPr="000149E5">
        <w:rPr>
          <w:b/>
          <w:iCs/>
        </w:rPr>
        <w:t>LDL</w:t>
      </w:r>
      <w:r w:rsidRPr="000149E5">
        <w:rPr>
          <w:b/>
          <w:iCs/>
        </w:rPr>
        <w:tab/>
        <w:t>=</w:t>
      </w:r>
      <w:r w:rsidRPr="000149E5">
        <w:rPr>
          <w:b/>
          <w:iCs/>
        </w:rPr>
        <w:tab/>
        <w:t>POWERTELEM + (SURAMP * 5)</w:t>
      </w:r>
    </w:p>
    <w:p w14:paraId="221D80BA"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other than STARTUP, then</w:t>
      </w:r>
    </w:p>
    <w:p w14:paraId="60E02B9F" w14:textId="77777777" w:rsidR="001F04FD" w:rsidRDefault="001F04FD" w:rsidP="001F04FD">
      <w:pPr>
        <w:ind w:left="1440" w:hanging="720"/>
        <w:rPr>
          <w:b/>
        </w:rPr>
      </w:pPr>
      <w:r w:rsidRPr="00614384">
        <w:rPr>
          <w:b/>
        </w:rPr>
        <w:t>LDL</w:t>
      </w:r>
      <w:r w:rsidRPr="00614384">
        <w:rPr>
          <w:b/>
        </w:rPr>
        <w:tab/>
        <w:t>=</w:t>
      </w:r>
      <w:r w:rsidRPr="00614384">
        <w:rPr>
          <w:b/>
        </w:rPr>
        <w:tab/>
        <w:t>Max (POWERTELEM - (SDRAMP * 5), LASL)</w:t>
      </w:r>
      <w:r w:rsidRPr="00614384">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19BD58" w14:textId="77777777" w:rsidTr="00AC4DEE">
        <w:tc>
          <w:tcPr>
            <w:tcW w:w="1500" w:type="pct"/>
          </w:tcPr>
          <w:p w14:paraId="12F65A9E" w14:textId="77777777" w:rsidR="001F04FD" w:rsidRDefault="001F04FD" w:rsidP="00AC4DEE">
            <w:pPr>
              <w:pStyle w:val="TableHead"/>
            </w:pPr>
            <w:r>
              <w:t>Variable</w:t>
            </w:r>
          </w:p>
        </w:tc>
        <w:tc>
          <w:tcPr>
            <w:tcW w:w="3500" w:type="pct"/>
          </w:tcPr>
          <w:p w14:paraId="0FFF0970" w14:textId="77777777" w:rsidR="001F04FD" w:rsidRDefault="001F04FD" w:rsidP="00AC4DEE">
            <w:pPr>
              <w:pStyle w:val="TableHead"/>
            </w:pPr>
            <w:r>
              <w:t>Description</w:t>
            </w:r>
          </w:p>
        </w:tc>
      </w:tr>
      <w:tr w:rsidR="001F04FD" w14:paraId="5900D714" w14:textId="77777777" w:rsidTr="00AC4DEE">
        <w:trPr>
          <w:cantSplit/>
        </w:trPr>
        <w:tc>
          <w:tcPr>
            <w:tcW w:w="1500" w:type="pct"/>
          </w:tcPr>
          <w:p w14:paraId="6481A086" w14:textId="77777777" w:rsidR="001F04FD" w:rsidRDefault="001F04FD" w:rsidP="00AC4DEE">
            <w:pPr>
              <w:pStyle w:val="TableBody"/>
            </w:pPr>
            <w:r>
              <w:t>LDL</w:t>
            </w:r>
          </w:p>
        </w:tc>
        <w:tc>
          <w:tcPr>
            <w:tcW w:w="3500" w:type="pct"/>
          </w:tcPr>
          <w:p w14:paraId="5BF8206D" w14:textId="77777777" w:rsidR="001F04FD" w:rsidRDefault="001F04FD" w:rsidP="00AC4DEE">
            <w:pPr>
              <w:pStyle w:val="TableBody"/>
              <w:rPr>
                <w:highlight w:val="yellow"/>
              </w:rPr>
            </w:pPr>
            <w:r>
              <w:t>Low Dispatch Limit.</w:t>
            </w:r>
          </w:p>
        </w:tc>
      </w:tr>
      <w:tr w:rsidR="001F04FD" w14:paraId="3EF8BD78" w14:textId="77777777" w:rsidTr="00AC4DEE">
        <w:trPr>
          <w:cantSplit/>
        </w:trPr>
        <w:tc>
          <w:tcPr>
            <w:tcW w:w="1500" w:type="pct"/>
          </w:tcPr>
          <w:p w14:paraId="1048002C" w14:textId="77777777" w:rsidR="001F04FD" w:rsidRDefault="001F04FD" w:rsidP="00AC4DEE">
            <w:pPr>
              <w:pStyle w:val="TableBody"/>
            </w:pPr>
            <w:r>
              <w:t>POWERTELEM</w:t>
            </w:r>
          </w:p>
        </w:tc>
        <w:tc>
          <w:tcPr>
            <w:tcW w:w="3500" w:type="pct"/>
          </w:tcPr>
          <w:p w14:paraId="353B4CA9" w14:textId="77777777" w:rsidR="001F04FD" w:rsidRDefault="001F04FD" w:rsidP="00AC4DEE">
            <w:pPr>
              <w:pStyle w:val="TableBody"/>
            </w:pPr>
            <w:r>
              <w:t>Gross or net real power provided via telemetry.</w:t>
            </w:r>
          </w:p>
        </w:tc>
      </w:tr>
      <w:tr w:rsidR="001F04FD" w14:paraId="14E6D9F1" w14:textId="77777777" w:rsidTr="00AC4DEE">
        <w:trPr>
          <w:cantSplit/>
        </w:trPr>
        <w:tc>
          <w:tcPr>
            <w:tcW w:w="1500" w:type="pct"/>
          </w:tcPr>
          <w:p w14:paraId="678988C5" w14:textId="77777777" w:rsidR="001F04FD" w:rsidRDefault="001F04FD" w:rsidP="00AC4DEE">
            <w:pPr>
              <w:pStyle w:val="TableBody"/>
            </w:pPr>
            <w:r>
              <w:t>SDRAMP</w:t>
            </w:r>
          </w:p>
        </w:tc>
        <w:tc>
          <w:tcPr>
            <w:tcW w:w="3500" w:type="pct"/>
          </w:tcPr>
          <w:p w14:paraId="2250E827" w14:textId="77777777" w:rsidR="001F04FD" w:rsidRDefault="001F04FD" w:rsidP="00AC4DEE">
            <w:pPr>
              <w:pStyle w:val="TableBody"/>
            </w:pPr>
            <w:r>
              <w:t>SCED Down Ramp Rate.</w:t>
            </w:r>
          </w:p>
        </w:tc>
      </w:tr>
      <w:tr w:rsidR="001F04FD" w14:paraId="561196EE" w14:textId="77777777" w:rsidTr="00AC4DEE">
        <w:trPr>
          <w:cantSplit/>
        </w:trPr>
        <w:tc>
          <w:tcPr>
            <w:tcW w:w="1500" w:type="pct"/>
          </w:tcPr>
          <w:p w14:paraId="7743A7BF" w14:textId="77777777" w:rsidR="001F04FD" w:rsidRDefault="001F04FD" w:rsidP="00AC4DEE">
            <w:pPr>
              <w:pStyle w:val="TableBody"/>
            </w:pPr>
            <w:r>
              <w:t>LASL</w:t>
            </w:r>
          </w:p>
        </w:tc>
        <w:tc>
          <w:tcPr>
            <w:tcW w:w="3500" w:type="pct"/>
          </w:tcPr>
          <w:p w14:paraId="7987493D" w14:textId="77777777" w:rsidR="001F04FD" w:rsidRDefault="001F04FD" w:rsidP="00AC4DEE">
            <w:pPr>
              <w:pStyle w:val="TableBody"/>
            </w:pPr>
            <w:r>
              <w:t>Low Ancillary Service Limit – definition provided in Section 2.</w:t>
            </w:r>
          </w:p>
        </w:tc>
      </w:tr>
    </w:tbl>
    <w:bookmarkEnd w:id="1112"/>
    <w:p w14:paraId="7BD80658" w14:textId="67218B31" w:rsidR="001F04FD" w:rsidRDefault="001F04FD" w:rsidP="008D7D6C">
      <w:pPr>
        <w:pStyle w:val="BodyTextNumbered"/>
        <w:spacing w:before="240"/>
      </w:pPr>
      <w:r>
        <w:t>(9)</w:t>
      </w:r>
      <w:r>
        <w:tab/>
        <w:t>For Load Resources, HASL is calculated as follows:</w:t>
      </w:r>
    </w:p>
    <w:p w14:paraId="36CBF86D" w14:textId="2153BEF8" w:rsidR="00DB12B4" w:rsidRDefault="001F04FD" w:rsidP="001F04FD">
      <w:pPr>
        <w:pStyle w:val="FormulaBold"/>
        <w:rPr>
          <w:lang w:val="da-DK"/>
        </w:rPr>
      </w:pPr>
      <w:r>
        <w:rPr>
          <w:lang w:val="da-DK"/>
        </w:rPr>
        <w:t>HASL</w:t>
      </w:r>
      <w:r>
        <w:rPr>
          <w:lang w:val="da-DK"/>
        </w:rPr>
        <w:tab/>
        <w:t>=</w:t>
      </w:r>
      <w:r>
        <w:rPr>
          <w:lang w:val="da-DK"/>
        </w:rPr>
        <w:tab/>
        <w:t>Max (LPCTELEM, (MPCTELEM – RDSTELEM))</w:t>
      </w:r>
    </w:p>
    <w:p w14:paraId="04F5CF6F" w14:textId="6EE9EA0B" w:rsidR="00C23DEE" w:rsidRPr="00F06E8E" w:rsidRDefault="00C23DEE" w:rsidP="00C23DEE">
      <w:pPr>
        <w:spacing w:before="240" w:after="240"/>
        <w:ind w:left="720"/>
        <w:rPr>
          <w:iCs/>
        </w:rPr>
      </w:pPr>
      <w:r w:rsidRPr="00F06E8E">
        <w:rPr>
          <w:iCs/>
        </w:rPr>
        <w:t xml:space="preserve">For a modeled </w:t>
      </w:r>
      <w:r w:rsidR="0011303E">
        <w:rPr>
          <w:iCs/>
        </w:rPr>
        <w:t>CLR</w:t>
      </w:r>
      <w:r w:rsidRPr="00F06E8E">
        <w:rPr>
          <w:iCs/>
        </w:rPr>
        <w:t xml:space="preserve"> that represents the charging component of an ESR, HASL is calculated as follows:</w:t>
      </w:r>
    </w:p>
    <w:p w14:paraId="65238115"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(LPCTELEM, Min ((MPCTELEM – RDSTELEM), MaxBP))</w:t>
      </w:r>
    </w:p>
    <w:p w14:paraId="1E1BDF78"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(MAXSOCTELEM – SOCTELEM –REQHDRMASSOC)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32A8987D" w14:textId="77777777" w:rsidTr="00AC4DEE">
        <w:tc>
          <w:tcPr>
            <w:tcW w:w="1500" w:type="pct"/>
          </w:tcPr>
          <w:p w14:paraId="076E8A6E" w14:textId="77777777" w:rsidR="001F04FD" w:rsidRDefault="001F04FD" w:rsidP="00AC4DEE">
            <w:pPr>
              <w:pStyle w:val="TableHead"/>
            </w:pPr>
            <w:r>
              <w:t>Variable</w:t>
            </w:r>
          </w:p>
        </w:tc>
        <w:tc>
          <w:tcPr>
            <w:tcW w:w="3500" w:type="pct"/>
          </w:tcPr>
          <w:p w14:paraId="36C15A0E" w14:textId="77777777" w:rsidR="001F04FD" w:rsidRDefault="001F04FD" w:rsidP="00AC4DEE">
            <w:pPr>
              <w:pStyle w:val="TableHead"/>
            </w:pPr>
            <w:r>
              <w:t>Description</w:t>
            </w:r>
          </w:p>
        </w:tc>
      </w:tr>
      <w:tr w:rsidR="001F04FD" w14:paraId="7C2C9A91" w14:textId="77777777" w:rsidTr="00AC4DEE">
        <w:trPr>
          <w:cantSplit/>
        </w:trPr>
        <w:tc>
          <w:tcPr>
            <w:tcW w:w="1500" w:type="pct"/>
          </w:tcPr>
          <w:p w14:paraId="08EEBF3E" w14:textId="77777777" w:rsidR="001F04FD" w:rsidRDefault="001F04FD" w:rsidP="00AC4DEE">
            <w:pPr>
              <w:pStyle w:val="TableBody"/>
            </w:pPr>
            <w:r>
              <w:t>HASL</w:t>
            </w:r>
          </w:p>
        </w:tc>
        <w:tc>
          <w:tcPr>
            <w:tcW w:w="3500" w:type="pct"/>
          </w:tcPr>
          <w:p w14:paraId="4A2B5A1B" w14:textId="77777777" w:rsidR="001F04FD" w:rsidRDefault="001F04FD" w:rsidP="00AC4DEE">
            <w:pPr>
              <w:pStyle w:val="TableBody"/>
            </w:pPr>
            <w:r>
              <w:t>High Ancillary Service Limit.</w:t>
            </w:r>
          </w:p>
        </w:tc>
      </w:tr>
      <w:tr w:rsidR="001F04FD" w14:paraId="5FFAF99F" w14:textId="77777777" w:rsidTr="00AC4DEE">
        <w:trPr>
          <w:cantSplit/>
          <w:trHeight w:val="377"/>
        </w:trPr>
        <w:tc>
          <w:tcPr>
            <w:tcW w:w="1500" w:type="pct"/>
          </w:tcPr>
          <w:p w14:paraId="5632A7EF" w14:textId="77777777" w:rsidR="001F04FD" w:rsidRDefault="001F04FD" w:rsidP="00AC4DEE">
            <w:pPr>
              <w:pStyle w:val="TableBody"/>
            </w:pPr>
            <w:r>
              <w:t>LPCTELEM</w:t>
            </w:r>
          </w:p>
        </w:tc>
        <w:tc>
          <w:tcPr>
            <w:tcW w:w="3500" w:type="pct"/>
          </w:tcPr>
          <w:p w14:paraId="70614E05" w14:textId="77777777" w:rsidR="001F04FD" w:rsidRDefault="001F04FD" w:rsidP="00AC4DEE">
            <w:pPr>
              <w:pStyle w:val="TableBody"/>
            </w:pPr>
            <w:r>
              <w:t xml:space="preserve">Low Power Consumption provided via telemetry. </w:t>
            </w:r>
          </w:p>
        </w:tc>
      </w:tr>
      <w:tr w:rsidR="001F04FD" w14:paraId="5F6CD4D9" w14:textId="77777777" w:rsidTr="00AC4DEE">
        <w:trPr>
          <w:cantSplit/>
        </w:trPr>
        <w:tc>
          <w:tcPr>
            <w:tcW w:w="1500" w:type="pct"/>
          </w:tcPr>
          <w:p w14:paraId="3A472081" w14:textId="77777777" w:rsidR="001F04FD" w:rsidRDefault="001F04FD" w:rsidP="00AC4DEE">
            <w:pPr>
              <w:pStyle w:val="TableBody"/>
            </w:pPr>
            <w:r>
              <w:t>MPCTELEM</w:t>
            </w:r>
          </w:p>
        </w:tc>
        <w:tc>
          <w:tcPr>
            <w:tcW w:w="3500" w:type="pct"/>
          </w:tcPr>
          <w:p w14:paraId="55B6C33D" w14:textId="77777777" w:rsidR="001F04FD" w:rsidRDefault="001F04FD" w:rsidP="00AC4DEE">
            <w:pPr>
              <w:pStyle w:val="TableBody"/>
            </w:pPr>
            <w:r>
              <w:t xml:space="preserve">Maximum Power Consumption provided via telemetry. </w:t>
            </w:r>
          </w:p>
        </w:tc>
      </w:tr>
      <w:tr w:rsidR="001F04FD" w14:paraId="421CC445" w14:textId="77777777" w:rsidTr="00AC4DEE">
        <w:trPr>
          <w:cantSplit/>
        </w:trPr>
        <w:tc>
          <w:tcPr>
            <w:tcW w:w="1500" w:type="pct"/>
          </w:tcPr>
          <w:p w14:paraId="6D2E72EE" w14:textId="77777777" w:rsidR="001F04FD" w:rsidRDefault="001F04FD" w:rsidP="00AC4DEE">
            <w:pPr>
              <w:pStyle w:val="TableBody"/>
            </w:pPr>
            <w:r>
              <w:t>RDSTELEM</w:t>
            </w:r>
          </w:p>
        </w:tc>
        <w:tc>
          <w:tcPr>
            <w:tcW w:w="3500" w:type="pct"/>
          </w:tcPr>
          <w:p w14:paraId="29FBF618" w14:textId="77777777" w:rsidR="001F04FD" w:rsidRDefault="001F04FD" w:rsidP="00AC4DEE">
            <w:pPr>
              <w:pStyle w:val="TableBody"/>
            </w:pPr>
            <w:r>
              <w:t>Reg-Down Ancillary Service Resource Responsibility designation provided by telemetry.</w:t>
            </w:r>
          </w:p>
        </w:tc>
      </w:tr>
      <w:tr w:rsidR="00606BE1" w14:paraId="0DC92BDA" w14:textId="77777777" w:rsidTr="00AC4DEE">
        <w:trPr>
          <w:cantSplit/>
        </w:trPr>
        <w:tc>
          <w:tcPr>
            <w:tcW w:w="1500" w:type="pct"/>
          </w:tcPr>
          <w:p w14:paraId="5B3D6ACF" w14:textId="28C618FA" w:rsidR="00606BE1" w:rsidRDefault="00606BE1" w:rsidP="00606BE1">
            <w:pPr>
              <w:pStyle w:val="TableBody"/>
            </w:pPr>
            <w:r w:rsidRPr="00F06E8E">
              <w:lastRenderedPageBreak/>
              <w:t>MaxBP</w:t>
            </w:r>
          </w:p>
        </w:tc>
        <w:tc>
          <w:tcPr>
            <w:tcW w:w="3500" w:type="pct"/>
          </w:tcPr>
          <w:p w14:paraId="5E376276" w14:textId="52B8E451" w:rsidR="00606BE1" w:rsidRDefault="00606BE1" w:rsidP="00606BE1">
            <w:pPr>
              <w:pStyle w:val="TableBody"/>
            </w:pPr>
            <w:r w:rsidRPr="00F06E8E">
              <w:t>Calculated maximum SCED Base Point possible from available SOC headroom after discounting for SOC required to support telemetered Ancillary Service Resource Responsibilities</w:t>
            </w:r>
            <w:r>
              <w:t>.</w:t>
            </w:r>
          </w:p>
        </w:tc>
      </w:tr>
      <w:tr w:rsidR="00606BE1" w14:paraId="4FD5D7E5" w14:textId="77777777" w:rsidTr="00AC4DEE">
        <w:trPr>
          <w:cantSplit/>
        </w:trPr>
        <w:tc>
          <w:tcPr>
            <w:tcW w:w="1500" w:type="pct"/>
          </w:tcPr>
          <w:p w14:paraId="28F0CA3C" w14:textId="1A1BEBCB" w:rsidR="00606BE1" w:rsidRDefault="00606BE1" w:rsidP="00606BE1">
            <w:pPr>
              <w:pStyle w:val="TableBody"/>
            </w:pPr>
            <w:r w:rsidRPr="00F06E8E">
              <w:t>REQHDRMASSOC</w:t>
            </w:r>
          </w:p>
        </w:tc>
        <w:tc>
          <w:tcPr>
            <w:tcW w:w="3500" w:type="pct"/>
          </w:tcPr>
          <w:p w14:paraId="388B3750" w14:textId="3C318198" w:rsidR="00606BE1" w:rsidRDefault="00606BE1" w:rsidP="00606BE1">
            <w:pPr>
              <w:pStyle w:val="TableBody"/>
            </w:pPr>
            <w:r w:rsidRPr="00F06E8E">
              <w:t>Calculated required SOC headroom needed to support Ancillary Service Resource Responsibilities</w:t>
            </w:r>
            <w:r>
              <w:t xml:space="preserve">, as calculated in paragraph </w:t>
            </w:r>
            <w:r w:rsidRPr="00700F81">
              <w:t>(14)(</w:t>
            </w:r>
            <w:r>
              <w:t>b</w:t>
            </w:r>
            <w:r w:rsidRPr="00700F81">
              <w:t>)(ii)</w:t>
            </w:r>
            <w:r>
              <w:t xml:space="preserve"> of Section 6.5.5.2.</w:t>
            </w:r>
          </w:p>
        </w:tc>
      </w:tr>
      <w:tr w:rsidR="00606BE1" w14:paraId="4638E903" w14:textId="77777777" w:rsidTr="00AC4DEE">
        <w:trPr>
          <w:cantSplit/>
        </w:trPr>
        <w:tc>
          <w:tcPr>
            <w:tcW w:w="1500" w:type="pct"/>
          </w:tcPr>
          <w:p w14:paraId="46C35137" w14:textId="52457C8F" w:rsidR="00606BE1" w:rsidRDefault="00606BE1" w:rsidP="00606BE1">
            <w:pPr>
              <w:pStyle w:val="TableBody"/>
            </w:pPr>
            <w:r w:rsidRPr="00F06E8E">
              <w:t>SOCTELEM</w:t>
            </w:r>
          </w:p>
        </w:tc>
        <w:tc>
          <w:tcPr>
            <w:tcW w:w="3500" w:type="pct"/>
          </w:tcPr>
          <w:p w14:paraId="4E0F90F5" w14:textId="4EC859B5" w:rsidR="00606BE1" w:rsidRDefault="00606BE1" w:rsidP="00606BE1">
            <w:pPr>
              <w:pStyle w:val="TableBody"/>
            </w:pPr>
            <w:r w:rsidRPr="00F06E8E">
              <w:t>Current SOC via telemetry</w:t>
            </w:r>
            <w:r>
              <w:t>.</w:t>
            </w:r>
          </w:p>
        </w:tc>
      </w:tr>
      <w:tr w:rsidR="00606BE1" w14:paraId="7281941F" w14:textId="77777777" w:rsidTr="00AC4DEE">
        <w:trPr>
          <w:cantSplit/>
        </w:trPr>
        <w:tc>
          <w:tcPr>
            <w:tcW w:w="1500" w:type="pct"/>
          </w:tcPr>
          <w:p w14:paraId="1ECCEDED" w14:textId="772653D6" w:rsidR="00606BE1" w:rsidRDefault="00606BE1" w:rsidP="00606BE1">
            <w:pPr>
              <w:pStyle w:val="TableBody"/>
            </w:pPr>
            <w:r w:rsidRPr="00F06E8E">
              <w:t>MAXSOCTELEM</w:t>
            </w:r>
          </w:p>
        </w:tc>
        <w:tc>
          <w:tcPr>
            <w:tcW w:w="3500" w:type="pct"/>
          </w:tcPr>
          <w:p w14:paraId="36D05CB6" w14:textId="146B25D7" w:rsidR="00606BE1" w:rsidRDefault="00606BE1" w:rsidP="00606BE1">
            <w:pPr>
              <w:pStyle w:val="TableBody"/>
            </w:pPr>
            <w:r w:rsidRPr="00F06E8E">
              <w:t>MaxSOC via telemetry</w:t>
            </w:r>
            <w:r>
              <w:t>.</w:t>
            </w:r>
          </w:p>
        </w:tc>
      </w:tr>
      <w:tr w:rsidR="00606BE1" w14:paraId="78B26642" w14:textId="77777777" w:rsidTr="00AC4DEE">
        <w:trPr>
          <w:cantSplit/>
        </w:trPr>
        <w:tc>
          <w:tcPr>
            <w:tcW w:w="1500" w:type="pct"/>
          </w:tcPr>
          <w:p w14:paraId="0098BC1D" w14:textId="6D976E90" w:rsidR="00606BE1" w:rsidRDefault="00606BE1" w:rsidP="00606BE1">
            <w:pPr>
              <w:pStyle w:val="TableBody"/>
            </w:pPr>
            <w:r w:rsidRPr="00F06E8E">
              <w:t>TSCED</w:t>
            </w:r>
          </w:p>
        </w:tc>
        <w:tc>
          <w:tcPr>
            <w:tcW w:w="3500" w:type="pct"/>
          </w:tcPr>
          <w:p w14:paraId="7E75650C" w14:textId="657972C3" w:rsidR="00606BE1" w:rsidRDefault="00606BE1" w:rsidP="00606BE1">
            <w:pPr>
              <w:pStyle w:val="TableBody"/>
            </w:pPr>
            <w:r w:rsidRPr="00F06E8E">
              <w:t>Nominal SCED interval duration = 1/12 hour</w:t>
            </w:r>
            <w:r>
              <w:t>.</w:t>
            </w:r>
          </w:p>
        </w:tc>
      </w:tr>
    </w:tbl>
    <w:p w14:paraId="45030A15" w14:textId="315016B9" w:rsidR="001F04FD" w:rsidRDefault="001F04FD" w:rsidP="003D77E1">
      <w:pPr>
        <w:pStyle w:val="BodyTextNumbered"/>
        <w:spacing w:before="240"/>
      </w:pPr>
      <w:r>
        <w:t>(10)</w:t>
      </w:r>
      <w:r>
        <w:tab/>
        <w:t>For Load Resources, LASL is calculated as follows:</w:t>
      </w:r>
    </w:p>
    <w:p w14:paraId="20A6A524" w14:textId="37591187" w:rsidR="00D55979" w:rsidRDefault="001F04FD" w:rsidP="001F04FD">
      <w:pPr>
        <w:pStyle w:val="FormulaBold"/>
        <w:ind w:left="3150" w:hanging="2430"/>
        <w:rPr>
          <w:lang w:val="de-DE"/>
        </w:rPr>
      </w:pPr>
      <w:r>
        <w:rPr>
          <w:lang w:val="de-DE"/>
        </w:rPr>
        <w:t>LASL</w:t>
      </w:r>
      <w:r>
        <w:rPr>
          <w:lang w:val="de-DE"/>
        </w:rPr>
        <w:tab/>
        <w:t>=</w:t>
      </w:r>
      <w:r>
        <w:rPr>
          <w:lang w:val="de-DE"/>
        </w:rPr>
        <w:tab/>
        <w:t>Min (HASL, (LPCTELEM + (</w:t>
      </w:r>
      <w:r w:rsidR="00DC32AE" w:rsidRPr="00DC32AE">
        <w:rPr>
          <w:lang w:val="de-DE"/>
        </w:rPr>
        <w:t xml:space="preserve">ECRSTELEM + </w:t>
      </w:r>
      <w:r>
        <w:rPr>
          <w:lang w:val="de-DE"/>
        </w:rPr>
        <w:t>RRSTELEM + RUSTELEM + NSRSTELEM)))</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01"/>
        <w:gridCol w:w="6014"/>
      </w:tblGrid>
      <w:tr w:rsidR="001F04FD" w14:paraId="456F8D7B" w14:textId="77777777" w:rsidTr="00C43DB8">
        <w:tc>
          <w:tcPr>
            <w:tcW w:w="1589" w:type="pct"/>
          </w:tcPr>
          <w:p w14:paraId="09565F85" w14:textId="77777777" w:rsidR="001F04FD" w:rsidRDefault="001F04FD" w:rsidP="00AC4DEE">
            <w:pPr>
              <w:pStyle w:val="TableHead"/>
            </w:pPr>
            <w:r>
              <w:t>Variable</w:t>
            </w:r>
          </w:p>
        </w:tc>
        <w:tc>
          <w:tcPr>
            <w:tcW w:w="3411" w:type="pct"/>
          </w:tcPr>
          <w:p w14:paraId="519B1488" w14:textId="77777777" w:rsidR="001F04FD" w:rsidRDefault="001F04FD" w:rsidP="00AC4DEE">
            <w:pPr>
              <w:pStyle w:val="TableHead"/>
            </w:pPr>
            <w:r>
              <w:t>Description</w:t>
            </w:r>
          </w:p>
        </w:tc>
      </w:tr>
      <w:tr w:rsidR="001F04FD" w14:paraId="1454765C" w14:textId="77777777" w:rsidTr="00C43DB8">
        <w:tc>
          <w:tcPr>
            <w:tcW w:w="1589" w:type="pct"/>
          </w:tcPr>
          <w:p w14:paraId="63938CFC" w14:textId="77777777" w:rsidR="001F04FD" w:rsidRDefault="001F04FD" w:rsidP="00AC4DEE">
            <w:pPr>
              <w:pStyle w:val="TableBody"/>
            </w:pPr>
            <w:r>
              <w:t>LASL</w:t>
            </w:r>
          </w:p>
        </w:tc>
        <w:tc>
          <w:tcPr>
            <w:tcW w:w="3411" w:type="pct"/>
          </w:tcPr>
          <w:p w14:paraId="2E948F91" w14:textId="77777777" w:rsidR="001F04FD" w:rsidRDefault="001F04FD" w:rsidP="00AC4DEE">
            <w:pPr>
              <w:pStyle w:val="TableBody"/>
            </w:pPr>
            <w:r>
              <w:t>Low Ancillary Service Limit.</w:t>
            </w:r>
          </w:p>
        </w:tc>
      </w:tr>
      <w:tr w:rsidR="001F04FD" w14:paraId="343B42BF" w14:textId="77777777" w:rsidTr="00C43DB8">
        <w:tc>
          <w:tcPr>
            <w:tcW w:w="1589" w:type="pct"/>
          </w:tcPr>
          <w:p w14:paraId="074D623F" w14:textId="77777777" w:rsidR="001F04FD" w:rsidRDefault="001F04FD" w:rsidP="00AC4DEE">
            <w:pPr>
              <w:pStyle w:val="TableBody"/>
            </w:pPr>
            <w:r>
              <w:t>HASL</w:t>
            </w:r>
          </w:p>
        </w:tc>
        <w:tc>
          <w:tcPr>
            <w:tcW w:w="3411" w:type="pct"/>
          </w:tcPr>
          <w:p w14:paraId="3EBEAE8E" w14:textId="77777777" w:rsidR="001F04FD" w:rsidRDefault="001F04FD" w:rsidP="00AC4DEE">
            <w:pPr>
              <w:pStyle w:val="TableBody"/>
            </w:pPr>
            <w:r>
              <w:t>High Ancillary Service Limit.</w:t>
            </w:r>
          </w:p>
        </w:tc>
      </w:tr>
      <w:tr w:rsidR="001F04FD" w14:paraId="5433A0C4" w14:textId="77777777" w:rsidTr="00C43DB8">
        <w:tc>
          <w:tcPr>
            <w:tcW w:w="1589" w:type="pct"/>
          </w:tcPr>
          <w:p w14:paraId="607C65F6" w14:textId="77777777" w:rsidR="001F04FD" w:rsidRDefault="001F04FD" w:rsidP="00AC4DEE">
            <w:pPr>
              <w:pStyle w:val="TableBody"/>
            </w:pPr>
            <w:r>
              <w:t>LPCTELEM</w:t>
            </w:r>
          </w:p>
        </w:tc>
        <w:tc>
          <w:tcPr>
            <w:tcW w:w="3411" w:type="pct"/>
          </w:tcPr>
          <w:p w14:paraId="1F6080A3" w14:textId="77777777" w:rsidR="001F04FD" w:rsidRDefault="001F04FD" w:rsidP="00AC4DEE">
            <w:pPr>
              <w:pStyle w:val="TableBody"/>
            </w:pPr>
            <w:r>
              <w:t>Low Power Consumption provided via telemetry.</w:t>
            </w:r>
          </w:p>
        </w:tc>
      </w:tr>
      <w:tr w:rsidR="00DC32AE" w14:paraId="01AECC4F" w14:textId="77777777" w:rsidTr="00C43DB8">
        <w:tc>
          <w:tcPr>
            <w:tcW w:w="1589" w:type="pct"/>
          </w:tcPr>
          <w:p w14:paraId="4FF722B5" w14:textId="78B1B4BF" w:rsidR="00DC32AE" w:rsidRDefault="00DC32AE" w:rsidP="00DC32AE">
            <w:pPr>
              <w:pStyle w:val="TableBody"/>
            </w:pPr>
            <w:r>
              <w:rPr>
                <w:iCs w:val="0"/>
              </w:rPr>
              <w:t>EC</w:t>
            </w:r>
            <w:r w:rsidRPr="0003648D">
              <w:rPr>
                <w:iCs w:val="0"/>
              </w:rPr>
              <w:t>RSTELEM</w:t>
            </w:r>
          </w:p>
        </w:tc>
        <w:tc>
          <w:tcPr>
            <w:tcW w:w="3411" w:type="pct"/>
          </w:tcPr>
          <w:p w14:paraId="56FB4C66" w14:textId="546FF354" w:rsidR="00DC32AE" w:rsidRDefault="00DC32AE" w:rsidP="00DC32AE">
            <w:pPr>
              <w:pStyle w:val="TableBody"/>
            </w:pPr>
            <w:r w:rsidRPr="007279C0">
              <w:rPr>
                <w:iCs w:val="0"/>
              </w:rPr>
              <w:t>ECRS</w:t>
            </w:r>
            <w:r w:rsidRPr="0003648D">
              <w:rPr>
                <w:iCs w:val="0"/>
              </w:rPr>
              <w:t xml:space="preserve"> Ancillary Service Schedule provided by telemetry.</w:t>
            </w:r>
          </w:p>
        </w:tc>
      </w:tr>
      <w:tr w:rsidR="001F04FD" w14:paraId="63C2B166" w14:textId="77777777" w:rsidTr="00C43DB8">
        <w:tc>
          <w:tcPr>
            <w:tcW w:w="1589" w:type="pct"/>
          </w:tcPr>
          <w:p w14:paraId="6BF3AF93" w14:textId="77777777" w:rsidR="001F04FD" w:rsidRDefault="001F04FD" w:rsidP="00AC4DEE">
            <w:pPr>
              <w:pStyle w:val="TableBody"/>
            </w:pPr>
            <w:r>
              <w:t>RRSTELEM</w:t>
            </w:r>
          </w:p>
        </w:tc>
        <w:tc>
          <w:tcPr>
            <w:tcW w:w="3411" w:type="pct"/>
          </w:tcPr>
          <w:p w14:paraId="7EA38F70" w14:textId="77777777" w:rsidR="001F04FD" w:rsidRDefault="00470AB8" w:rsidP="00AC4DEE">
            <w:pPr>
              <w:pStyle w:val="TableBody"/>
            </w:pPr>
            <w:r>
              <w:t>RRS</w:t>
            </w:r>
            <w:r w:rsidR="001F04FD">
              <w:t xml:space="preserve"> Ancillary Service Schedule provided by telemetry.</w:t>
            </w:r>
          </w:p>
        </w:tc>
      </w:tr>
      <w:tr w:rsidR="001F04FD" w14:paraId="193B948F" w14:textId="77777777" w:rsidTr="00C43DB8">
        <w:trPr>
          <w:trHeight w:val="314"/>
        </w:trPr>
        <w:tc>
          <w:tcPr>
            <w:tcW w:w="1589" w:type="pct"/>
          </w:tcPr>
          <w:p w14:paraId="3F1C7DAE" w14:textId="77777777" w:rsidR="001F04FD" w:rsidRDefault="001F04FD" w:rsidP="00AC4DEE">
            <w:pPr>
              <w:pStyle w:val="TableBody"/>
            </w:pPr>
            <w:r>
              <w:t>RUSTELEM</w:t>
            </w:r>
          </w:p>
        </w:tc>
        <w:tc>
          <w:tcPr>
            <w:tcW w:w="3411" w:type="pct"/>
          </w:tcPr>
          <w:p w14:paraId="430E5E11" w14:textId="77777777" w:rsidR="001F04FD" w:rsidRDefault="001F04FD" w:rsidP="00AC4DEE">
            <w:pPr>
              <w:pStyle w:val="TableBody"/>
            </w:pPr>
            <w:r>
              <w:t>Reg-Up Ancillary Service Resource Responsibility designation provided by telemetry.</w:t>
            </w:r>
          </w:p>
        </w:tc>
      </w:tr>
      <w:tr w:rsidR="001F04FD" w14:paraId="6901CECB" w14:textId="77777777" w:rsidTr="00C43DB8">
        <w:tc>
          <w:tcPr>
            <w:tcW w:w="1589" w:type="pct"/>
          </w:tcPr>
          <w:p w14:paraId="1DBEF862" w14:textId="77777777" w:rsidR="001F04FD" w:rsidRDefault="001F04FD" w:rsidP="00AC4DEE">
            <w:pPr>
              <w:pStyle w:val="TableBody"/>
            </w:pPr>
            <w:r>
              <w:t>NSRSTELEM</w:t>
            </w:r>
          </w:p>
        </w:tc>
        <w:tc>
          <w:tcPr>
            <w:tcW w:w="3411" w:type="pct"/>
          </w:tcPr>
          <w:p w14:paraId="424B978D" w14:textId="77777777" w:rsidR="001F04FD" w:rsidRDefault="001F04FD" w:rsidP="00AC4DEE">
            <w:pPr>
              <w:pStyle w:val="TableBody"/>
            </w:pPr>
            <w:r>
              <w:t>Non-Spin Ancillary Service Schedule provided via telemetry.</w:t>
            </w:r>
          </w:p>
        </w:tc>
      </w:tr>
    </w:tbl>
    <w:p w14:paraId="05672208" w14:textId="77777777" w:rsidR="001F04FD" w:rsidRDefault="001F04FD" w:rsidP="001F04FD">
      <w:pPr>
        <w:pStyle w:val="List"/>
        <w:spacing w:after="0"/>
      </w:pPr>
    </w:p>
    <w:p w14:paraId="6091500A" w14:textId="2EC2BC95" w:rsidR="001F04FD" w:rsidRPr="006A6281" w:rsidRDefault="001F04FD" w:rsidP="001F04FD">
      <w:pPr>
        <w:pStyle w:val="BodyTextNumbered"/>
      </w:pPr>
      <w:r w:rsidRPr="006A6281">
        <w:t>(11)</w:t>
      </w:r>
      <w:r w:rsidRPr="006A6281">
        <w:tab/>
        <w:t xml:space="preserve">For each </w:t>
      </w:r>
      <w:r w:rsidR="0011303E">
        <w:t>CLR</w:t>
      </w:r>
      <w:r w:rsidRPr="006A6281">
        <w:t>, the SURAMP is calculated as follows:</w:t>
      </w:r>
    </w:p>
    <w:p w14:paraId="32202BF9" w14:textId="77777777" w:rsidR="00286EDB" w:rsidRPr="0003648D" w:rsidRDefault="00286EDB" w:rsidP="00286EDB">
      <w:pPr>
        <w:spacing w:after="240"/>
        <w:ind w:left="1440" w:hanging="720"/>
        <w:rPr>
          <w:b/>
          <w:lang w:val="de-DE"/>
        </w:rPr>
      </w:pPr>
      <w:r w:rsidRPr="0003648D">
        <w:rPr>
          <w:b/>
          <w:lang w:val="de-DE"/>
        </w:rPr>
        <w:t>SURAMP</w:t>
      </w:r>
      <w:r w:rsidRPr="0003648D">
        <w:rPr>
          <w:b/>
          <w:lang w:val="de-DE"/>
        </w:rPr>
        <w:tab/>
        <w:t>=</w:t>
      </w:r>
      <w:r w:rsidRPr="0003648D">
        <w:rPr>
          <w:b/>
          <w:lang w:val="de-DE"/>
        </w:rPr>
        <w:tab/>
        <w:t xml:space="preserve">RAMPRATE – </w:t>
      </w:r>
      <w:r w:rsidRPr="000065C2">
        <w:rPr>
          <w:b/>
          <w:lang w:val="de-DE"/>
        </w:rPr>
        <w:t>(1 – RDSDEPLP) *</w:t>
      </w:r>
      <w:r w:rsidRPr="0009414B">
        <w:rPr>
          <w:b/>
          <w:lang w:val="de-DE"/>
        </w:rPr>
        <w:t xml:space="preserve"> </w:t>
      </w:r>
      <w:r w:rsidRPr="0003648D">
        <w:rPr>
          <w:b/>
          <w:lang w:val="de-DE"/>
        </w:rPr>
        <w:t xml:space="preserve">(RUSTELEM </w:t>
      </w:r>
      <w:r>
        <w:rPr>
          <w:b/>
          <w:lang w:val="de-DE"/>
        </w:rPr>
        <w:t>/ 7</w:t>
      </w:r>
      <w:r w:rsidRPr="0003648D">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03648D" w14:paraId="3622AB1E" w14:textId="77777777" w:rsidTr="00F12CF4">
        <w:tc>
          <w:tcPr>
            <w:tcW w:w="1500" w:type="pct"/>
          </w:tcPr>
          <w:p w14:paraId="1743BBE3" w14:textId="77777777" w:rsidR="00286EDB" w:rsidRPr="0003648D" w:rsidRDefault="00286EDB" w:rsidP="00F12CF4">
            <w:pPr>
              <w:spacing w:after="120"/>
              <w:rPr>
                <w:b/>
                <w:iCs/>
                <w:sz w:val="20"/>
              </w:rPr>
            </w:pPr>
            <w:r w:rsidRPr="0003648D">
              <w:rPr>
                <w:b/>
                <w:iCs/>
                <w:sz w:val="20"/>
              </w:rPr>
              <w:t>Variable</w:t>
            </w:r>
          </w:p>
        </w:tc>
        <w:tc>
          <w:tcPr>
            <w:tcW w:w="3500" w:type="pct"/>
          </w:tcPr>
          <w:p w14:paraId="1C8BB16F" w14:textId="77777777" w:rsidR="00286EDB" w:rsidRPr="0003648D" w:rsidRDefault="00286EDB" w:rsidP="00F12CF4">
            <w:pPr>
              <w:spacing w:after="120"/>
              <w:rPr>
                <w:b/>
                <w:iCs/>
                <w:sz w:val="20"/>
              </w:rPr>
            </w:pPr>
            <w:r w:rsidRPr="0003648D">
              <w:rPr>
                <w:b/>
                <w:iCs/>
                <w:sz w:val="20"/>
              </w:rPr>
              <w:t>Description</w:t>
            </w:r>
          </w:p>
        </w:tc>
      </w:tr>
      <w:tr w:rsidR="00286EDB" w:rsidRPr="0003648D" w14:paraId="2D18581D" w14:textId="77777777" w:rsidTr="00F12CF4">
        <w:trPr>
          <w:cantSplit/>
        </w:trPr>
        <w:tc>
          <w:tcPr>
            <w:tcW w:w="1500" w:type="pct"/>
          </w:tcPr>
          <w:p w14:paraId="6B0B75C9" w14:textId="77777777" w:rsidR="00286EDB" w:rsidRPr="0003648D" w:rsidRDefault="00286EDB" w:rsidP="00F12CF4">
            <w:pPr>
              <w:spacing w:after="60"/>
              <w:rPr>
                <w:iCs/>
                <w:sz w:val="20"/>
              </w:rPr>
            </w:pPr>
            <w:r w:rsidRPr="0003648D">
              <w:rPr>
                <w:iCs/>
                <w:sz w:val="20"/>
              </w:rPr>
              <w:t>SURAMP</w:t>
            </w:r>
          </w:p>
        </w:tc>
        <w:tc>
          <w:tcPr>
            <w:tcW w:w="3500" w:type="pct"/>
          </w:tcPr>
          <w:p w14:paraId="31B2A2B2" w14:textId="77777777" w:rsidR="00286EDB" w:rsidRPr="0003648D" w:rsidRDefault="00286EDB" w:rsidP="00F12CF4">
            <w:pPr>
              <w:spacing w:after="60"/>
              <w:rPr>
                <w:iCs/>
                <w:sz w:val="20"/>
              </w:rPr>
            </w:pPr>
            <w:r w:rsidRPr="0003648D">
              <w:rPr>
                <w:iCs/>
                <w:sz w:val="20"/>
              </w:rPr>
              <w:t xml:space="preserve">SCED Up Ramp Rate. </w:t>
            </w:r>
          </w:p>
        </w:tc>
      </w:tr>
      <w:tr w:rsidR="00286EDB" w:rsidRPr="0003648D" w14:paraId="4250C5B0" w14:textId="77777777" w:rsidTr="00F12CF4">
        <w:trPr>
          <w:cantSplit/>
        </w:trPr>
        <w:tc>
          <w:tcPr>
            <w:tcW w:w="1500" w:type="pct"/>
          </w:tcPr>
          <w:p w14:paraId="19F91506" w14:textId="77777777" w:rsidR="00286EDB" w:rsidRPr="0003648D" w:rsidRDefault="00286EDB" w:rsidP="00F12CF4">
            <w:pPr>
              <w:spacing w:after="60"/>
              <w:rPr>
                <w:iCs/>
                <w:sz w:val="20"/>
              </w:rPr>
            </w:pPr>
            <w:r w:rsidRPr="0003648D">
              <w:rPr>
                <w:iCs/>
                <w:sz w:val="20"/>
              </w:rPr>
              <w:t>RAMPRATE</w:t>
            </w:r>
          </w:p>
        </w:tc>
        <w:tc>
          <w:tcPr>
            <w:tcW w:w="3500" w:type="pct"/>
          </w:tcPr>
          <w:p w14:paraId="7CB36FF8" w14:textId="7D00FE2A" w:rsidR="00286EDB" w:rsidRPr="00286EDB" w:rsidRDefault="00286EDB" w:rsidP="00286EDB">
            <w:pPr>
              <w:spacing w:after="60"/>
              <w:rPr>
                <w:iCs/>
                <w:sz w:val="20"/>
              </w:rPr>
            </w:pPr>
            <w:r w:rsidRPr="00286EDB">
              <w:rPr>
                <w:iCs/>
                <w:sz w:val="20"/>
              </w:rPr>
              <w:t xml:space="preserve">Normal Ramp Rate up, as telemetered by the QSE, when </w:t>
            </w:r>
            <w:r w:rsidR="00DC32AE">
              <w:rPr>
                <w:iCs/>
                <w:sz w:val="20"/>
              </w:rPr>
              <w:t>ECRS</w:t>
            </w:r>
            <w:r w:rsidRPr="00286EDB">
              <w:rPr>
                <w:iCs/>
                <w:sz w:val="20"/>
              </w:rPr>
              <w:t xml:space="preserve"> is not deployed or when the subject Load Resource is not providing </w:t>
            </w:r>
            <w:r w:rsidR="00DC32AE">
              <w:rPr>
                <w:iCs/>
                <w:sz w:val="20"/>
              </w:rPr>
              <w:t>ECRS</w:t>
            </w:r>
            <w:r w:rsidRPr="00286EDB">
              <w:rPr>
                <w:iCs/>
                <w:sz w:val="20"/>
              </w:rPr>
              <w:t>.</w:t>
            </w:r>
          </w:p>
          <w:p w14:paraId="67FBCF68" w14:textId="0008F121" w:rsidR="00286EDB" w:rsidRPr="0003648D" w:rsidRDefault="00286EDB" w:rsidP="00F12CF4">
            <w:pPr>
              <w:spacing w:after="60"/>
              <w:rPr>
                <w:iCs/>
                <w:sz w:val="20"/>
              </w:rPr>
            </w:pPr>
            <w:r w:rsidRPr="00286EDB">
              <w:rPr>
                <w:iCs/>
                <w:sz w:val="20"/>
              </w:rPr>
              <w:t xml:space="preserve">Emergency Ramp Rate up, as telemetered by the QSE, for Load Resources deploying </w:t>
            </w:r>
            <w:r w:rsidR="00DC32AE">
              <w:rPr>
                <w:iCs/>
                <w:sz w:val="20"/>
              </w:rPr>
              <w:t>ECRS</w:t>
            </w:r>
            <w:r w:rsidRPr="00286EDB">
              <w:rPr>
                <w:iCs/>
                <w:sz w:val="20"/>
              </w:rPr>
              <w:t>.</w:t>
            </w:r>
          </w:p>
        </w:tc>
      </w:tr>
      <w:tr w:rsidR="00286EDB" w:rsidRPr="0003648D" w14:paraId="255C3F9A" w14:textId="77777777" w:rsidTr="00F12CF4">
        <w:trPr>
          <w:cantSplit/>
        </w:trPr>
        <w:tc>
          <w:tcPr>
            <w:tcW w:w="1500" w:type="pct"/>
          </w:tcPr>
          <w:p w14:paraId="2FBCC2E9" w14:textId="77777777" w:rsidR="00286EDB" w:rsidRPr="0003648D" w:rsidRDefault="00286EDB" w:rsidP="00F12CF4">
            <w:pPr>
              <w:spacing w:after="60"/>
              <w:rPr>
                <w:iCs/>
                <w:sz w:val="20"/>
              </w:rPr>
            </w:pPr>
            <w:r w:rsidRPr="0003648D">
              <w:rPr>
                <w:iCs/>
                <w:sz w:val="20"/>
              </w:rPr>
              <w:t>RUSTELEM</w:t>
            </w:r>
          </w:p>
        </w:tc>
        <w:tc>
          <w:tcPr>
            <w:tcW w:w="3500" w:type="pct"/>
          </w:tcPr>
          <w:p w14:paraId="778E338A" w14:textId="77777777" w:rsidR="00286EDB" w:rsidRPr="0003648D" w:rsidRDefault="00286EDB" w:rsidP="00F12CF4">
            <w:pPr>
              <w:spacing w:after="60"/>
              <w:rPr>
                <w:iCs/>
                <w:sz w:val="20"/>
              </w:rPr>
            </w:pPr>
            <w:r w:rsidRPr="0003648D">
              <w:rPr>
                <w:iCs/>
                <w:sz w:val="20"/>
              </w:rPr>
              <w:t>Reg-Up Ancillary Service Resource Responsibility designation provided by telemetry.</w:t>
            </w:r>
          </w:p>
        </w:tc>
      </w:tr>
      <w:tr w:rsidR="00286EDB" w:rsidRPr="0003648D" w14:paraId="5C5E620F"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F00C432" w14:textId="77777777" w:rsidR="00286EDB" w:rsidRPr="0003648D" w:rsidRDefault="00286EDB" w:rsidP="00F12CF4">
            <w:pPr>
              <w:spacing w:after="60"/>
              <w:rPr>
                <w:iCs/>
                <w:sz w:val="20"/>
              </w:rPr>
            </w:pPr>
            <w:r w:rsidRPr="00E63547">
              <w:rPr>
                <w:iCs/>
                <w:sz w:val="20"/>
              </w:rPr>
              <w:t>RDSDEPLP</w:t>
            </w:r>
          </w:p>
        </w:tc>
        <w:tc>
          <w:tcPr>
            <w:tcW w:w="3500" w:type="pct"/>
            <w:tcBorders>
              <w:top w:val="single" w:sz="4" w:space="0" w:color="auto"/>
              <w:left w:val="single" w:sz="4" w:space="0" w:color="auto"/>
              <w:bottom w:val="single" w:sz="4" w:space="0" w:color="auto"/>
              <w:right w:val="single" w:sz="4" w:space="0" w:color="auto"/>
            </w:tcBorders>
          </w:tcPr>
          <w:p w14:paraId="3B73966B" w14:textId="77777777" w:rsidR="00286EDB" w:rsidRPr="0003648D" w:rsidRDefault="00286EDB" w:rsidP="00F12CF4">
            <w:pPr>
              <w:spacing w:after="60"/>
              <w:rPr>
                <w:iCs/>
                <w:sz w:val="20"/>
              </w:rPr>
            </w:pPr>
            <w:r w:rsidRPr="00E63547">
              <w:rPr>
                <w:iCs/>
                <w:sz w:val="20"/>
              </w:rPr>
              <w:t>Percentage of system-wide Reg-Down Ancillary Resource Responsibility deployed by LFC. This value shall not exceed 100% and controls the amount of ramp rate reserved for Regulation Service in Real-Time.</w:t>
            </w:r>
          </w:p>
        </w:tc>
      </w:tr>
    </w:tbl>
    <w:p w14:paraId="4473C84A" w14:textId="1A4C6766" w:rsidR="001F04FD" w:rsidRPr="006A6281" w:rsidRDefault="001F04FD" w:rsidP="001F04FD">
      <w:pPr>
        <w:pStyle w:val="BodyTextNumbered"/>
        <w:spacing w:before="240"/>
        <w:rPr>
          <w:b/>
          <w:i/>
          <w:iCs/>
          <w:szCs w:val="24"/>
        </w:rPr>
      </w:pPr>
      <w:r w:rsidRPr="006A6281">
        <w:t>(12)</w:t>
      </w:r>
      <w:r w:rsidRPr="006A6281">
        <w:tab/>
        <w:t xml:space="preserve">For each </w:t>
      </w:r>
      <w:r w:rsidR="0011303E">
        <w:t>CLR</w:t>
      </w:r>
      <w:r w:rsidRPr="006A6281">
        <w:t>, the SDRAMP is calculated as follows:</w:t>
      </w:r>
    </w:p>
    <w:p w14:paraId="2F45043C" w14:textId="77777777" w:rsidR="00286EDB" w:rsidRPr="0009414B" w:rsidRDefault="00286EDB" w:rsidP="00286EDB">
      <w:pPr>
        <w:spacing w:after="240"/>
        <w:ind w:left="1440" w:hanging="720"/>
        <w:rPr>
          <w:b/>
          <w:lang w:val="de-DE"/>
        </w:rPr>
      </w:pPr>
      <w:r w:rsidRPr="0009414B">
        <w:rPr>
          <w:b/>
          <w:lang w:val="de-DE"/>
        </w:rPr>
        <w:t>SDRAMP</w:t>
      </w:r>
      <w:r w:rsidRPr="0009414B">
        <w:rPr>
          <w:b/>
          <w:lang w:val="de-DE"/>
        </w:rPr>
        <w:tab/>
        <w:t>=</w:t>
      </w:r>
      <w:r w:rsidRPr="0009414B">
        <w:rPr>
          <w:b/>
          <w:lang w:val="de-DE"/>
        </w:rPr>
        <w:tab/>
        <w:t xml:space="preserve">NORMRAMP </w:t>
      </w:r>
      <w:r w:rsidRPr="00201DAD">
        <w:rPr>
          <w:b/>
          <w:lang w:val="de-DE"/>
        </w:rPr>
        <w:t>–</w:t>
      </w:r>
      <w:r w:rsidRPr="00057F61">
        <w:rPr>
          <w:b/>
          <w:lang w:val="de-DE"/>
        </w:rPr>
        <w:t xml:space="preserve"> (1 – RUSDEPLP) *</w:t>
      </w:r>
      <w:r w:rsidRPr="0009414B">
        <w:rPr>
          <w:b/>
          <w:lang w:val="de-DE"/>
        </w:rPr>
        <w:t xml:space="preserve"> (RDSTELEM</w:t>
      </w:r>
      <w:r>
        <w:rPr>
          <w:b/>
          <w:lang w:val="de-DE"/>
        </w:rPr>
        <w:t xml:space="preserve"> / 7</w:t>
      </w:r>
      <w:r w:rsidRPr="0009414B">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6A6281" w14:paraId="51C4010A" w14:textId="77777777" w:rsidTr="00F12CF4">
        <w:trPr>
          <w:tblHeader/>
        </w:trPr>
        <w:tc>
          <w:tcPr>
            <w:tcW w:w="1500" w:type="pct"/>
          </w:tcPr>
          <w:p w14:paraId="05C04A24" w14:textId="77777777" w:rsidR="00286EDB" w:rsidRPr="006A6281" w:rsidRDefault="00286EDB" w:rsidP="00F12CF4">
            <w:pPr>
              <w:pStyle w:val="TableHead"/>
            </w:pPr>
            <w:r w:rsidRPr="006A6281">
              <w:t>Variable</w:t>
            </w:r>
          </w:p>
        </w:tc>
        <w:tc>
          <w:tcPr>
            <w:tcW w:w="3500" w:type="pct"/>
          </w:tcPr>
          <w:p w14:paraId="3CE90079" w14:textId="77777777" w:rsidR="00286EDB" w:rsidRPr="006A6281" w:rsidRDefault="00286EDB" w:rsidP="00F12CF4">
            <w:pPr>
              <w:pStyle w:val="TableHead"/>
            </w:pPr>
            <w:r w:rsidRPr="006A6281">
              <w:t>Description</w:t>
            </w:r>
          </w:p>
        </w:tc>
      </w:tr>
      <w:tr w:rsidR="00286EDB" w:rsidRPr="006A6281" w14:paraId="0BBA74C8" w14:textId="77777777" w:rsidTr="00F12CF4">
        <w:trPr>
          <w:cantSplit/>
        </w:trPr>
        <w:tc>
          <w:tcPr>
            <w:tcW w:w="1500" w:type="pct"/>
          </w:tcPr>
          <w:p w14:paraId="6768C9BA" w14:textId="77777777" w:rsidR="00286EDB" w:rsidRPr="006A6281" w:rsidRDefault="00286EDB" w:rsidP="00F12CF4">
            <w:pPr>
              <w:pStyle w:val="TableBody"/>
            </w:pPr>
            <w:r w:rsidRPr="006A6281">
              <w:t>SDRAMP</w:t>
            </w:r>
          </w:p>
        </w:tc>
        <w:tc>
          <w:tcPr>
            <w:tcW w:w="3500" w:type="pct"/>
          </w:tcPr>
          <w:p w14:paraId="3A0FD065" w14:textId="77777777" w:rsidR="00286EDB" w:rsidRPr="006A6281" w:rsidRDefault="00286EDB" w:rsidP="00F12CF4">
            <w:pPr>
              <w:pStyle w:val="TableBody"/>
            </w:pPr>
            <w:r w:rsidRPr="006A6281">
              <w:t>SCED Down Ramp Rate.</w:t>
            </w:r>
          </w:p>
        </w:tc>
      </w:tr>
      <w:tr w:rsidR="00286EDB" w:rsidRPr="006A6281" w14:paraId="6D34E9FA" w14:textId="77777777" w:rsidTr="00F12CF4">
        <w:trPr>
          <w:cantSplit/>
        </w:trPr>
        <w:tc>
          <w:tcPr>
            <w:tcW w:w="1500" w:type="pct"/>
          </w:tcPr>
          <w:p w14:paraId="0B1ED814" w14:textId="77777777" w:rsidR="00286EDB" w:rsidRPr="006A6281" w:rsidRDefault="00286EDB" w:rsidP="00F12CF4">
            <w:pPr>
              <w:pStyle w:val="TableBody"/>
            </w:pPr>
            <w:r w:rsidRPr="006A6281">
              <w:lastRenderedPageBreak/>
              <w:t>NORMRAMP</w:t>
            </w:r>
          </w:p>
        </w:tc>
        <w:tc>
          <w:tcPr>
            <w:tcW w:w="3500" w:type="pct"/>
          </w:tcPr>
          <w:p w14:paraId="39542C51" w14:textId="77777777" w:rsidR="00286EDB" w:rsidRPr="006A6281" w:rsidRDefault="00286EDB" w:rsidP="00F12CF4">
            <w:pPr>
              <w:pStyle w:val="TableBody"/>
            </w:pPr>
            <w:r w:rsidRPr="006A6281">
              <w:t xml:space="preserve">Normal Ramp Rate down, as telemetered by the QSE. </w:t>
            </w:r>
          </w:p>
        </w:tc>
      </w:tr>
      <w:tr w:rsidR="00286EDB" w:rsidRPr="006A6281" w14:paraId="5D35104E" w14:textId="77777777" w:rsidTr="00F12CF4">
        <w:trPr>
          <w:cantSplit/>
        </w:trPr>
        <w:tc>
          <w:tcPr>
            <w:tcW w:w="1500" w:type="pct"/>
          </w:tcPr>
          <w:p w14:paraId="220111C2" w14:textId="77777777" w:rsidR="00286EDB" w:rsidRPr="006A6281" w:rsidRDefault="00286EDB" w:rsidP="00F12CF4">
            <w:pPr>
              <w:pStyle w:val="TableBody"/>
            </w:pPr>
            <w:r w:rsidRPr="006A6281">
              <w:t>RDSTELEM</w:t>
            </w:r>
          </w:p>
        </w:tc>
        <w:tc>
          <w:tcPr>
            <w:tcW w:w="3500" w:type="pct"/>
          </w:tcPr>
          <w:p w14:paraId="1E1315B9" w14:textId="77777777" w:rsidR="00286EDB" w:rsidRPr="006A6281" w:rsidRDefault="00286EDB" w:rsidP="00F12CF4">
            <w:pPr>
              <w:pStyle w:val="TableBody"/>
            </w:pPr>
            <w:r w:rsidRPr="006A6281">
              <w:t xml:space="preserve">Reg-Down Ancillary Service Resource Responsibility designation by Resource provided via telemetry. </w:t>
            </w:r>
          </w:p>
        </w:tc>
      </w:tr>
      <w:tr w:rsidR="00286EDB" w:rsidRPr="006A6281" w:rsidDel="004409E7" w14:paraId="09932F1E"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7BF5FB8" w14:textId="77777777" w:rsidR="00286EDB" w:rsidRPr="006A6281"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63C7F873" w14:textId="77777777" w:rsidR="00286EDB" w:rsidRPr="006A6281"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0C0358E8" w14:textId="77777777" w:rsidR="001F04FD" w:rsidRPr="006A6281" w:rsidRDefault="001F04FD" w:rsidP="001F04FD">
      <w:pPr>
        <w:pStyle w:val="BodyTextNumbered"/>
        <w:spacing w:before="240"/>
        <w:rPr>
          <w:b/>
          <w:i/>
          <w:iCs/>
          <w:szCs w:val="24"/>
        </w:rPr>
      </w:pPr>
      <w:r w:rsidRPr="006A6281">
        <w:rPr>
          <w:iCs/>
        </w:rPr>
        <w:t>(13)</w:t>
      </w:r>
      <w:r w:rsidRPr="006A6281">
        <w:rPr>
          <w:iCs/>
        </w:rPr>
        <w:tab/>
        <w:t>For Load Resources, HDL is calculated as follows:</w:t>
      </w:r>
    </w:p>
    <w:p w14:paraId="777674D9" w14:textId="77777777" w:rsidR="001F04FD" w:rsidRPr="006A6281" w:rsidRDefault="001F04FD" w:rsidP="001F04FD">
      <w:pPr>
        <w:spacing w:after="240"/>
        <w:ind w:left="1440" w:hanging="720"/>
        <w:rPr>
          <w:b/>
        </w:rPr>
      </w:pPr>
      <w:r w:rsidRPr="006A6281">
        <w:rPr>
          <w:b/>
        </w:rPr>
        <w:t>HDL</w:t>
      </w:r>
      <w:r w:rsidRPr="006A6281">
        <w:rPr>
          <w:b/>
        </w:rPr>
        <w:tab/>
        <w:t>=</w:t>
      </w:r>
      <w:r w:rsidRPr="006A6281">
        <w:rPr>
          <w:b/>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7FE07EB" w14:textId="77777777" w:rsidTr="00AC4DEE">
        <w:tc>
          <w:tcPr>
            <w:tcW w:w="1500" w:type="pct"/>
          </w:tcPr>
          <w:p w14:paraId="166DAE5B" w14:textId="77777777" w:rsidR="001F04FD" w:rsidRPr="006A6281" w:rsidRDefault="001F04FD" w:rsidP="00AC4DEE">
            <w:pPr>
              <w:pStyle w:val="TableHead"/>
            </w:pPr>
            <w:r w:rsidRPr="006A6281">
              <w:t>Variable</w:t>
            </w:r>
          </w:p>
        </w:tc>
        <w:tc>
          <w:tcPr>
            <w:tcW w:w="3500" w:type="pct"/>
          </w:tcPr>
          <w:p w14:paraId="08C6A6EA" w14:textId="77777777" w:rsidR="001F04FD" w:rsidRPr="006A6281" w:rsidRDefault="001F04FD" w:rsidP="00AC4DEE">
            <w:pPr>
              <w:pStyle w:val="TableHead"/>
            </w:pPr>
            <w:r w:rsidRPr="006A6281">
              <w:t>Description</w:t>
            </w:r>
          </w:p>
        </w:tc>
      </w:tr>
      <w:tr w:rsidR="001F04FD" w:rsidRPr="006A6281" w14:paraId="77C04B6E" w14:textId="77777777" w:rsidTr="00AC4DEE">
        <w:trPr>
          <w:cantSplit/>
        </w:trPr>
        <w:tc>
          <w:tcPr>
            <w:tcW w:w="1500" w:type="pct"/>
          </w:tcPr>
          <w:p w14:paraId="7782A2F3" w14:textId="77777777" w:rsidR="001F04FD" w:rsidRPr="006A6281" w:rsidRDefault="001F04FD" w:rsidP="00AC4DEE">
            <w:pPr>
              <w:pStyle w:val="TableBody"/>
            </w:pPr>
            <w:r w:rsidRPr="006A6281">
              <w:t>HDL</w:t>
            </w:r>
          </w:p>
        </w:tc>
        <w:tc>
          <w:tcPr>
            <w:tcW w:w="3500" w:type="pct"/>
          </w:tcPr>
          <w:p w14:paraId="69B249A6" w14:textId="77777777" w:rsidR="001F04FD" w:rsidRPr="006A6281" w:rsidRDefault="001F04FD" w:rsidP="00AC4DEE">
            <w:pPr>
              <w:pStyle w:val="TableBody"/>
            </w:pPr>
            <w:r w:rsidRPr="006A6281">
              <w:t>High Dispatch Limit.</w:t>
            </w:r>
          </w:p>
        </w:tc>
      </w:tr>
      <w:tr w:rsidR="001F04FD" w:rsidRPr="006A6281" w14:paraId="42AB8051" w14:textId="77777777" w:rsidTr="00AC4DEE">
        <w:trPr>
          <w:cantSplit/>
        </w:trPr>
        <w:tc>
          <w:tcPr>
            <w:tcW w:w="1500" w:type="pct"/>
          </w:tcPr>
          <w:p w14:paraId="271AAAE8" w14:textId="77777777" w:rsidR="001F04FD" w:rsidRPr="006A6281" w:rsidRDefault="001F04FD" w:rsidP="00AC4DEE">
            <w:pPr>
              <w:pStyle w:val="TableBody"/>
            </w:pPr>
            <w:r w:rsidRPr="006A6281">
              <w:t>POWERTELEM</w:t>
            </w:r>
          </w:p>
        </w:tc>
        <w:tc>
          <w:tcPr>
            <w:tcW w:w="3500" w:type="pct"/>
          </w:tcPr>
          <w:p w14:paraId="451B4825" w14:textId="77777777" w:rsidR="001F04FD" w:rsidRPr="006A6281" w:rsidRDefault="001F04FD" w:rsidP="00AC4DEE">
            <w:pPr>
              <w:pStyle w:val="TableBody"/>
            </w:pPr>
            <w:r w:rsidRPr="006A6281">
              <w:t xml:space="preserve">Net real power flow provided via telemetry. </w:t>
            </w:r>
          </w:p>
        </w:tc>
      </w:tr>
      <w:tr w:rsidR="001F04FD" w:rsidRPr="006A6281" w14:paraId="41AD0AEE" w14:textId="77777777" w:rsidTr="00AC4DEE">
        <w:trPr>
          <w:cantSplit/>
        </w:trPr>
        <w:tc>
          <w:tcPr>
            <w:tcW w:w="1500" w:type="pct"/>
          </w:tcPr>
          <w:p w14:paraId="48668B34" w14:textId="77777777" w:rsidR="001F04FD" w:rsidRPr="006A6281" w:rsidRDefault="001F04FD" w:rsidP="00AC4DEE">
            <w:pPr>
              <w:pStyle w:val="TableBody"/>
            </w:pPr>
            <w:r w:rsidRPr="006A6281">
              <w:t>SDRAMP</w:t>
            </w:r>
          </w:p>
        </w:tc>
        <w:tc>
          <w:tcPr>
            <w:tcW w:w="3500" w:type="pct"/>
          </w:tcPr>
          <w:p w14:paraId="20F71353" w14:textId="77777777" w:rsidR="001F04FD" w:rsidRPr="006A6281" w:rsidRDefault="001F04FD" w:rsidP="00AC4DEE">
            <w:pPr>
              <w:pStyle w:val="TableBody"/>
            </w:pPr>
            <w:r w:rsidRPr="006A6281">
              <w:t>SCED Down Ramp Rate.</w:t>
            </w:r>
          </w:p>
        </w:tc>
      </w:tr>
      <w:tr w:rsidR="001F04FD" w:rsidRPr="006A6281" w14:paraId="2AC0798F" w14:textId="77777777" w:rsidTr="00AC4DEE">
        <w:trPr>
          <w:cantSplit/>
        </w:trPr>
        <w:tc>
          <w:tcPr>
            <w:tcW w:w="1500" w:type="pct"/>
          </w:tcPr>
          <w:p w14:paraId="268913A5" w14:textId="77777777" w:rsidR="001F04FD" w:rsidRPr="006A6281" w:rsidRDefault="001F04FD" w:rsidP="00AC4DEE">
            <w:pPr>
              <w:pStyle w:val="TableBody"/>
            </w:pPr>
            <w:r w:rsidRPr="006A6281">
              <w:t>HASL</w:t>
            </w:r>
          </w:p>
        </w:tc>
        <w:tc>
          <w:tcPr>
            <w:tcW w:w="3500" w:type="pct"/>
          </w:tcPr>
          <w:p w14:paraId="73C369D8" w14:textId="77777777" w:rsidR="001F04FD" w:rsidRPr="006A6281" w:rsidRDefault="001F04FD" w:rsidP="00AC4DEE">
            <w:pPr>
              <w:pStyle w:val="TableBody"/>
            </w:pPr>
            <w:r w:rsidRPr="006A6281">
              <w:t>High Ancillary Service Limit – definition provided in Section 2.</w:t>
            </w:r>
          </w:p>
        </w:tc>
      </w:tr>
    </w:tbl>
    <w:p w14:paraId="3504209E" w14:textId="77777777" w:rsidR="001F04FD" w:rsidRPr="006A6281" w:rsidRDefault="001F04FD" w:rsidP="001F04FD">
      <w:pPr>
        <w:pStyle w:val="BodyTextNumbered"/>
        <w:spacing w:before="240"/>
        <w:ind w:left="0" w:firstLine="0"/>
        <w:rPr>
          <w:b/>
          <w:i/>
          <w:iCs/>
          <w:szCs w:val="24"/>
        </w:rPr>
      </w:pPr>
      <w:r w:rsidRPr="006A6281">
        <w:rPr>
          <w:iCs/>
        </w:rPr>
        <w:t>(14)</w:t>
      </w:r>
      <w:r w:rsidRPr="006A6281">
        <w:rPr>
          <w:iCs/>
        </w:rPr>
        <w:tab/>
        <w:t>For Load Resources, LDL is calculated as follows:</w:t>
      </w:r>
    </w:p>
    <w:p w14:paraId="7A6413AE" w14:textId="77777777" w:rsidR="001F04FD" w:rsidRPr="006A6281" w:rsidRDefault="001F04FD" w:rsidP="001F04FD">
      <w:pPr>
        <w:spacing w:after="240"/>
        <w:ind w:left="1440" w:hanging="720"/>
        <w:rPr>
          <w:b/>
        </w:rPr>
      </w:pPr>
      <w:r w:rsidRPr="006A6281">
        <w:rPr>
          <w:b/>
        </w:rPr>
        <w:t>LDL</w:t>
      </w:r>
      <w:r w:rsidRPr="006A6281">
        <w:rPr>
          <w:b/>
        </w:rPr>
        <w:tab/>
        <w:t>=</w:t>
      </w:r>
      <w:r w:rsidRPr="006A6281">
        <w:rPr>
          <w:b/>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F45C2D1" w14:textId="77777777" w:rsidTr="00AC4DEE">
        <w:tc>
          <w:tcPr>
            <w:tcW w:w="1500" w:type="pct"/>
          </w:tcPr>
          <w:p w14:paraId="6C53E295" w14:textId="77777777" w:rsidR="001F04FD" w:rsidRPr="006A6281" w:rsidRDefault="001F04FD" w:rsidP="00AC4DEE">
            <w:pPr>
              <w:pStyle w:val="TableHead"/>
            </w:pPr>
            <w:r w:rsidRPr="006A6281">
              <w:t>Variable</w:t>
            </w:r>
          </w:p>
        </w:tc>
        <w:tc>
          <w:tcPr>
            <w:tcW w:w="3500" w:type="pct"/>
          </w:tcPr>
          <w:p w14:paraId="69286F61" w14:textId="77777777" w:rsidR="001F04FD" w:rsidRPr="006A6281" w:rsidRDefault="001F04FD" w:rsidP="00AC4DEE">
            <w:pPr>
              <w:pStyle w:val="TableHead"/>
            </w:pPr>
            <w:r w:rsidRPr="006A6281">
              <w:t>Description</w:t>
            </w:r>
          </w:p>
        </w:tc>
      </w:tr>
      <w:tr w:rsidR="001F04FD" w:rsidRPr="006A6281" w14:paraId="0BF2AC77" w14:textId="77777777" w:rsidTr="00AC4DEE">
        <w:trPr>
          <w:cantSplit/>
        </w:trPr>
        <w:tc>
          <w:tcPr>
            <w:tcW w:w="1500" w:type="pct"/>
          </w:tcPr>
          <w:p w14:paraId="424F98F4" w14:textId="77777777" w:rsidR="001F04FD" w:rsidRPr="006A6281" w:rsidRDefault="001F04FD" w:rsidP="00AC4DEE">
            <w:pPr>
              <w:pStyle w:val="TableBody"/>
            </w:pPr>
            <w:r w:rsidRPr="006A6281">
              <w:t>LDL</w:t>
            </w:r>
          </w:p>
        </w:tc>
        <w:tc>
          <w:tcPr>
            <w:tcW w:w="3500" w:type="pct"/>
          </w:tcPr>
          <w:p w14:paraId="02AB97FE" w14:textId="77777777" w:rsidR="001F04FD" w:rsidRPr="006A6281" w:rsidRDefault="001F04FD" w:rsidP="00AC4DEE">
            <w:pPr>
              <w:pStyle w:val="TableBody"/>
            </w:pPr>
            <w:r w:rsidRPr="006A6281">
              <w:t>Low Dispatch Limit.</w:t>
            </w:r>
          </w:p>
        </w:tc>
      </w:tr>
      <w:tr w:rsidR="001F04FD" w:rsidRPr="006A6281" w14:paraId="552FC6D1" w14:textId="77777777" w:rsidTr="00AC4DEE">
        <w:trPr>
          <w:cantSplit/>
        </w:trPr>
        <w:tc>
          <w:tcPr>
            <w:tcW w:w="1500" w:type="pct"/>
          </w:tcPr>
          <w:p w14:paraId="77CF05C1" w14:textId="77777777" w:rsidR="001F04FD" w:rsidRPr="006A6281" w:rsidRDefault="001F04FD" w:rsidP="00AC4DEE">
            <w:pPr>
              <w:pStyle w:val="TableBody"/>
            </w:pPr>
            <w:r w:rsidRPr="006A6281">
              <w:t>POWERTELEM</w:t>
            </w:r>
          </w:p>
        </w:tc>
        <w:tc>
          <w:tcPr>
            <w:tcW w:w="3500" w:type="pct"/>
          </w:tcPr>
          <w:p w14:paraId="5C1CBA9B" w14:textId="77777777" w:rsidR="001F04FD" w:rsidRPr="006A6281" w:rsidRDefault="001F04FD" w:rsidP="00AC4DEE">
            <w:pPr>
              <w:pStyle w:val="TableBody"/>
            </w:pPr>
            <w:r w:rsidRPr="006A6281">
              <w:t xml:space="preserve">Net real power flow provided via telemetry. </w:t>
            </w:r>
          </w:p>
        </w:tc>
      </w:tr>
      <w:tr w:rsidR="001F04FD" w:rsidRPr="006A6281" w14:paraId="1133C2C0" w14:textId="77777777" w:rsidTr="00AC4DEE">
        <w:trPr>
          <w:cantSplit/>
        </w:trPr>
        <w:tc>
          <w:tcPr>
            <w:tcW w:w="1500" w:type="pct"/>
          </w:tcPr>
          <w:p w14:paraId="24EB1918" w14:textId="77777777" w:rsidR="001F04FD" w:rsidRPr="006A6281" w:rsidRDefault="001F04FD" w:rsidP="00AC4DEE">
            <w:pPr>
              <w:pStyle w:val="TableBody"/>
            </w:pPr>
            <w:r w:rsidRPr="006A6281">
              <w:t>SURAMP</w:t>
            </w:r>
          </w:p>
        </w:tc>
        <w:tc>
          <w:tcPr>
            <w:tcW w:w="3500" w:type="pct"/>
          </w:tcPr>
          <w:p w14:paraId="6A2E6709" w14:textId="77777777" w:rsidR="001F04FD" w:rsidRPr="006A6281" w:rsidRDefault="001F04FD" w:rsidP="00AC4DEE">
            <w:pPr>
              <w:pStyle w:val="TableBody"/>
            </w:pPr>
            <w:r w:rsidRPr="006A6281">
              <w:t xml:space="preserve">SCED Up Ramp Rate. </w:t>
            </w:r>
          </w:p>
        </w:tc>
      </w:tr>
      <w:tr w:rsidR="001F04FD" w:rsidRPr="006A6281" w14:paraId="6D8E654C" w14:textId="77777777" w:rsidTr="00AC4DEE">
        <w:trPr>
          <w:cantSplit/>
        </w:trPr>
        <w:tc>
          <w:tcPr>
            <w:tcW w:w="1500" w:type="pct"/>
          </w:tcPr>
          <w:p w14:paraId="09C30A9B" w14:textId="77777777" w:rsidR="001F04FD" w:rsidRPr="006A6281" w:rsidRDefault="001F04FD" w:rsidP="00AC4DEE">
            <w:pPr>
              <w:pStyle w:val="TableBody"/>
            </w:pPr>
            <w:r w:rsidRPr="006A6281">
              <w:t>LASL</w:t>
            </w:r>
          </w:p>
        </w:tc>
        <w:tc>
          <w:tcPr>
            <w:tcW w:w="3500" w:type="pct"/>
          </w:tcPr>
          <w:p w14:paraId="1A7AA165" w14:textId="77777777" w:rsidR="001F04FD" w:rsidRPr="006A6281" w:rsidRDefault="001F04FD" w:rsidP="00AC4DEE">
            <w:pPr>
              <w:pStyle w:val="TableBody"/>
            </w:pPr>
            <w:r w:rsidRPr="006A6281">
              <w:t>Low Ancillary Service Limit – definition provided in Section 2.</w:t>
            </w:r>
          </w:p>
        </w:tc>
      </w:tr>
    </w:tbl>
    <w:p w14:paraId="5B9A4C4B" w14:textId="77777777" w:rsidR="00F65784" w:rsidRPr="00F65784" w:rsidRDefault="00F65784" w:rsidP="00F65784">
      <w:pPr>
        <w:pStyle w:val="BodyText"/>
        <w:spacing w:after="0"/>
      </w:pPr>
      <w:bookmarkStart w:id="1114" w:name="_Toc397504970"/>
      <w:bookmarkStart w:id="1115" w:name="_Toc402357098"/>
      <w:bookmarkStart w:id="1116" w:name="_Toc422486478"/>
      <w:bookmarkStart w:id="1117" w:name="_Toc433093330"/>
      <w:bookmarkStart w:id="1118" w:name="_Toc433093488"/>
      <w:bookmarkStart w:id="1119" w:name="_Toc440874717"/>
      <w:bookmarkStart w:id="1120" w:name="_Toc448142272"/>
      <w:bookmarkStart w:id="1121" w:name="_Toc448142429"/>
      <w:bookmarkStart w:id="1122" w:name="_Toc458770265"/>
      <w:bookmarkStart w:id="1123" w:name="_Toc459294233"/>
      <w:bookmarkStart w:id="1124" w:name="_Toc463262726"/>
      <w:bookmarkStart w:id="1125" w:name="_Toc468286800"/>
      <w:bookmarkStart w:id="1126" w:name="_Toc481502846"/>
      <w:bookmarkStart w:id="1127" w:name="_Toc4960800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6F599AF3" w14:textId="77777777" w:rsidTr="00D94BFC">
        <w:trPr>
          <w:trHeight w:val="206"/>
        </w:trPr>
        <w:tc>
          <w:tcPr>
            <w:tcW w:w="9350" w:type="dxa"/>
            <w:shd w:val="pct12" w:color="auto" w:fill="auto"/>
          </w:tcPr>
          <w:p w14:paraId="5B508DF0" w14:textId="02BEAF91" w:rsidR="00F65784" w:rsidRDefault="00BC03DD" w:rsidP="00D94BFC">
            <w:pPr>
              <w:pStyle w:val="Instructions"/>
              <w:spacing w:before="120"/>
            </w:pPr>
            <w:r>
              <w:t>[</w:t>
            </w:r>
            <w:r w:rsidR="00D94BFC">
              <w:t>NPRR879,</w:t>
            </w:r>
            <w:r w:rsidR="001E163F">
              <w:t xml:space="preserve"> </w:t>
            </w:r>
            <w:r w:rsidR="00F65784">
              <w:t>NPRR1010</w:t>
            </w:r>
            <w:r w:rsidR="001E163F">
              <w:t>, and NPRR1014</w:t>
            </w:r>
            <w:r w:rsidR="00F65784">
              <w:t xml:space="preserve">:  Replace applicable portions of Section 6.5.7.2 above with the following upon system implementation for </w:t>
            </w:r>
            <w:r w:rsidR="00D94BFC">
              <w:t>NPRR879</w:t>
            </w:r>
            <w:r w:rsidR="001E163F">
              <w:t xml:space="preserve"> or NPRR1014</w:t>
            </w:r>
            <w:r w:rsidR="00F65784">
              <w:t>; or upon system implementation of the Real-Time Co-Optimization (RTC) project for NPRR1010:]</w:t>
            </w:r>
          </w:p>
          <w:p w14:paraId="46230384" w14:textId="77777777" w:rsidR="00D94BFC" w:rsidRPr="003161DC" w:rsidRDefault="00D94BFC" w:rsidP="001E163F">
            <w:pPr>
              <w:keepNext/>
              <w:widowControl w:val="0"/>
              <w:tabs>
                <w:tab w:val="left" w:pos="1260"/>
              </w:tabs>
              <w:spacing w:before="240" w:after="240"/>
              <w:ind w:left="1267" w:hanging="1267"/>
              <w:outlineLvl w:val="3"/>
              <w:rPr>
                <w:b/>
                <w:bCs/>
                <w:snapToGrid w:val="0"/>
              </w:rPr>
            </w:pPr>
            <w:bookmarkStart w:id="1128" w:name="_Toc60040617"/>
            <w:bookmarkStart w:id="1129" w:name="_Toc65151677"/>
            <w:bookmarkStart w:id="1130" w:name="_Toc80174703"/>
            <w:bookmarkStart w:id="1131" w:name="_Toc108712462"/>
            <w:bookmarkStart w:id="1132" w:name="_Toc112417582"/>
            <w:bookmarkStart w:id="1133" w:name="_Toc119310251"/>
            <w:bookmarkStart w:id="1134" w:name="_Toc125966185"/>
            <w:bookmarkStart w:id="1135" w:name="_Toc135992283"/>
            <w:bookmarkStart w:id="1136" w:name="_Toc170303479"/>
            <w:bookmarkStart w:id="1137" w:name="_Toc175157383"/>
            <w:bookmarkStart w:id="1138" w:name="_Toc189044356"/>
            <w:r w:rsidRPr="003161DC">
              <w:rPr>
                <w:b/>
                <w:bCs/>
                <w:snapToGrid w:val="0"/>
              </w:rPr>
              <w:t>6.5.7.2</w:t>
            </w:r>
            <w:r w:rsidRPr="003161DC">
              <w:rPr>
                <w:b/>
                <w:bCs/>
                <w:snapToGrid w:val="0"/>
              </w:rPr>
              <w:tab/>
              <w:t>Resource Limit Calculator</w:t>
            </w:r>
            <w:bookmarkEnd w:id="1128"/>
            <w:bookmarkEnd w:id="1129"/>
            <w:bookmarkEnd w:id="1130"/>
            <w:bookmarkEnd w:id="1131"/>
            <w:bookmarkEnd w:id="1132"/>
            <w:bookmarkEnd w:id="1133"/>
            <w:bookmarkEnd w:id="1134"/>
            <w:bookmarkEnd w:id="1135"/>
            <w:bookmarkEnd w:id="1136"/>
            <w:bookmarkEnd w:id="1137"/>
            <w:bookmarkEnd w:id="1138"/>
          </w:p>
          <w:p w14:paraId="484AA95B" w14:textId="77777777" w:rsidR="00D94BFC" w:rsidRPr="003161DC" w:rsidRDefault="00D94BFC" w:rsidP="00D94BFC">
            <w:pPr>
              <w:spacing w:after="240"/>
              <w:ind w:left="720" w:hanging="720"/>
            </w:pPr>
            <w:r w:rsidRPr="003161DC">
              <w:t>(1)</w:t>
            </w:r>
            <w:r w:rsidRPr="003161DC">
              <w:tab/>
              <w:t>ERCOT shall calculate the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individual Resource physical limitations.</w:t>
            </w:r>
          </w:p>
          <w:p w14:paraId="734FF00E" w14:textId="77777777" w:rsidR="00D94BFC" w:rsidRPr="003161DC" w:rsidRDefault="00D94BFC" w:rsidP="00D94BFC">
            <w:pPr>
              <w:spacing w:before="240" w:after="240"/>
              <w:ind w:left="720" w:hanging="720"/>
              <w:rPr>
                <w:iCs/>
              </w:rPr>
            </w:pPr>
            <w:r w:rsidRPr="003161DC">
              <w:rPr>
                <w:iCs/>
              </w:rPr>
              <w:lastRenderedPageBreak/>
              <w:t>(</w:t>
            </w:r>
            <w:r>
              <w:rPr>
                <w:iCs/>
              </w:rPr>
              <w:t>2</w:t>
            </w:r>
            <w:r w:rsidRPr="003161DC">
              <w:rPr>
                <w:iCs/>
              </w:rPr>
              <w:t>)</w:t>
            </w:r>
            <w:r w:rsidRPr="003161DC">
              <w:rPr>
                <w:iCs/>
              </w:rPr>
              <w:tab/>
              <w:t xml:space="preserve">For </w:t>
            </w:r>
            <w:r w:rsidRPr="00EA1F9D">
              <w:t>SCED</w:t>
            </w:r>
            <w:r>
              <w:t>-</w:t>
            </w:r>
            <w:r w:rsidRPr="00EA1F9D">
              <w:t xml:space="preserve">dispatchable </w:t>
            </w:r>
            <w:r w:rsidRPr="003161DC">
              <w:rPr>
                <w:iCs/>
              </w:rPr>
              <w:t>Generation Resources, HDL is calculated as follows:</w:t>
            </w:r>
          </w:p>
          <w:p w14:paraId="5CB94DC8"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SHUTDOWN, then</w:t>
            </w:r>
          </w:p>
          <w:p w14:paraId="4BE9E5DF" w14:textId="1E06D158" w:rsidR="00D94BFC" w:rsidRPr="003161DC" w:rsidRDefault="00D94BFC" w:rsidP="00D94BFC">
            <w:pPr>
              <w:spacing w:after="240"/>
              <w:ind w:left="1440" w:hanging="720"/>
              <w:rPr>
                <w:b/>
                <w:iCs/>
              </w:rPr>
            </w:pPr>
            <w:r w:rsidRPr="003161DC">
              <w:rPr>
                <w:b/>
                <w:iCs/>
              </w:rPr>
              <w:t>HDL</w:t>
            </w:r>
            <w:r w:rsidRPr="003161DC">
              <w:rPr>
                <w:b/>
                <w:iCs/>
              </w:rPr>
              <w:tab/>
              <w:t>=</w:t>
            </w:r>
            <w:r w:rsidRPr="003161DC">
              <w:rPr>
                <w:b/>
                <w:iCs/>
              </w:rPr>
              <w:tab/>
              <w:t>POWERTELEM – (</w:t>
            </w:r>
            <w:r w:rsidRPr="003161DC">
              <w:rPr>
                <w:b/>
                <w:bCs/>
                <w:lang w:val="de-DE"/>
              </w:rPr>
              <w:t>NORMRAMP</w:t>
            </w:r>
            <w:r>
              <w:rPr>
                <w:b/>
                <w:bCs/>
                <w:lang w:val="de-DE"/>
              </w:rPr>
              <w:t>DN</w:t>
            </w:r>
            <w:r w:rsidRPr="003161DC">
              <w:rPr>
                <w:b/>
                <w:iCs/>
              </w:rPr>
              <w:t xml:space="preserve"> * 5)</w:t>
            </w:r>
          </w:p>
          <w:p w14:paraId="67246B49"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Current Operating Plan (COP) Criteria, other than SHUTDOWN, then</w:t>
            </w:r>
          </w:p>
          <w:p w14:paraId="7B34B019" w14:textId="5828DCB4"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Pr>
                <w:b/>
                <w:bCs/>
                <w:lang w:val="de-DE"/>
              </w:rPr>
              <w:t>NORMRAMPUP</w:t>
            </w:r>
            <w:r w:rsidR="001E163F">
              <w:rPr>
                <w:b/>
                <w:bCs/>
                <w:lang w:val="de-DE"/>
              </w:rPr>
              <w:t xml:space="preserve"> </w:t>
            </w:r>
            <w:r w:rsidRPr="003161DC">
              <w:rPr>
                <w:b/>
              </w:rPr>
              <w:t>*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22C9CA5" w14:textId="77777777" w:rsidTr="00D94BFC">
              <w:tc>
                <w:tcPr>
                  <w:tcW w:w="1500" w:type="pct"/>
                </w:tcPr>
                <w:p w14:paraId="2F54B475" w14:textId="77777777" w:rsidR="00D94BFC" w:rsidRPr="003161DC" w:rsidRDefault="00D94BFC" w:rsidP="00D94BFC">
                  <w:pPr>
                    <w:spacing w:after="120"/>
                    <w:rPr>
                      <w:b/>
                      <w:iCs/>
                      <w:sz w:val="20"/>
                    </w:rPr>
                  </w:pPr>
                  <w:r w:rsidRPr="003161DC">
                    <w:rPr>
                      <w:b/>
                      <w:iCs/>
                      <w:sz w:val="20"/>
                    </w:rPr>
                    <w:t>Variable</w:t>
                  </w:r>
                </w:p>
              </w:tc>
              <w:tc>
                <w:tcPr>
                  <w:tcW w:w="3500" w:type="pct"/>
                </w:tcPr>
                <w:p w14:paraId="5F9BAC44" w14:textId="77777777" w:rsidR="00D94BFC" w:rsidRPr="003161DC" w:rsidRDefault="00D94BFC" w:rsidP="00D94BFC">
                  <w:pPr>
                    <w:spacing w:after="120"/>
                    <w:rPr>
                      <w:b/>
                      <w:iCs/>
                      <w:sz w:val="20"/>
                    </w:rPr>
                  </w:pPr>
                  <w:r w:rsidRPr="003161DC">
                    <w:rPr>
                      <w:b/>
                      <w:iCs/>
                      <w:sz w:val="20"/>
                    </w:rPr>
                    <w:t>Description</w:t>
                  </w:r>
                </w:p>
              </w:tc>
            </w:tr>
            <w:tr w:rsidR="00D94BFC" w:rsidRPr="003161DC" w14:paraId="0FACC001" w14:textId="77777777" w:rsidTr="00D94BFC">
              <w:trPr>
                <w:cantSplit/>
              </w:trPr>
              <w:tc>
                <w:tcPr>
                  <w:tcW w:w="1500" w:type="pct"/>
                </w:tcPr>
                <w:p w14:paraId="34824E05" w14:textId="77777777" w:rsidR="00D94BFC" w:rsidRPr="003161DC" w:rsidRDefault="00D94BFC" w:rsidP="00D94BFC">
                  <w:pPr>
                    <w:spacing w:after="60"/>
                    <w:rPr>
                      <w:iCs/>
                      <w:sz w:val="20"/>
                      <w:highlight w:val="green"/>
                    </w:rPr>
                  </w:pPr>
                  <w:r w:rsidRPr="003161DC">
                    <w:rPr>
                      <w:iCs/>
                      <w:sz w:val="20"/>
                    </w:rPr>
                    <w:t>HDL</w:t>
                  </w:r>
                </w:p>
              </w:tc>
              <w:tc>
                <w:tcPr>
                  <w:tcW w:w="3500" w:type="pct"/>
                </w:tcPr>
                <w:p w14:paraId="05F7D4D6" w14:textId="77777777" w:rsidR="00D94BFC" w:rsidRPr="003161DC" w:rsidRDefault="00D94BFC" w:rsidP="00D94BFC">
                  <w:pPr>
                    <w:spacing w:after="60"/>
                    <w:rPr>
                      <w:iCs/>
                      <w:sz w:val="20"/>
                      <w:highlight w:val="yellow"/>
                    </w:rPr>
                  </w:pPr>
                  <w:r w:rsidRPr="003161DC">
                    <w:rPr>
                      <w:iCs/>
                      <w:sz w:val="20"/>
                    </w:rPr>
                    <w:t>High Dispatch Limit.</w:t>
                  </w:r>
                </w:p>
              </w:tc>
            </w:tr>
            <w:tr w:rsidR="00D94BFC" w:rsidRPr="003161DC" w14:paraId="053E60E8" w14:textId="77777777" w:rsidTr="00D94BFC">
              <w:trPr>
                <w:cantSplit/>
              </w:trPr>
              <w:tc>
                <w:tcPr>
                  <w:tcW w:w="1500" w:type="pct"/>
                </w:tcPr>
                <w:p w14:paraId="714EAAEC" w14:textId="77777777" w:rsidR="00D94BFC" w:rsidRPr="003161DC" w:rsidRDefault="00D94BFC" w:rsidP="00D94BFC">
                  <w:pPr>
                    <w:spacing w:after="60"/>
                    <w:rPr>
                      <w:iCs/>
                      <w:sz w:val="20"/>
                    </w:rPr>
                  </w:pPr>
                  <w:r w:rsidRPr="003161DC">
                    <w:rPr>
                      <w:iCs/>
                      <w:sz w:val="20"/>
                    </w:rPr>
                    <w:t>POWERTELEM</w:t>
                  </w:r>
                </w:p>
              </w:tc>
              <w:tc>
                <w:tcPr>
                  <w:tcW w:w="3500" w:type="pct"/>
                </w:tcPr>
                <w:p w14:paraId="7200014A" w14:textId="77777777" w:rsidR="00D94BFC" w:rsidRPr="003161DC" w:rsidRDefault="00D94BFC" w:rsidP="00D94BFC">
                  <w:pPr>
                    <w:spacing w:after="60"/>
                    <w:rPr>
                      <w:iCs/>
                      <w:sz w:val="20"/>
                    </w:rPr>
                  </w:pPr>
                  <w:r w:rsidRPr="003161DC">
                    <w:rPr>
                      <w:iCs/>
                      <w:sz w:val="20"/>
                    </w:rPr>
                    <w:t xml:space="preserve">Gross or net real power provided via telemetry. </w:t>
                  </w:r>
                </w:p>
              </w:tc>
            </w:tr>
            <w:tr w:rsidR="00D94BFC" w:rsidRPr="003161DC" w14:paraId="132EE604" w14:textId="77777777" w:rsidTr="00D94BFC">
              <w:trPr>
                <w:cantSplit/>
              </w:trPr>
              <w:tc>
                <w:tcPr>
                  <w:tcW w:w="1500" w:type="pct"/>
                </w:tcPr>
                <w:p w14:paraId="451862D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5394EC02"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785259C2" w14:textId="77777777" w:rsidTr="00D94BFC">
              <w:trPr>
                <w:cantSplit/>
              </w:trPr>
              <w:tc>
                <w:tcPr>
                  <w:tcW w:w="1500" w:type="pct"/>
                </w:tcPr>
                <w:p w14:paraId="093AE067" w14:textId="77777777" w:rsidR="00D94BFC" w:rsidRPr="003161DC" w:rsidRDefault="00D94BFC" w:rsidP="00D94BFC">
                  <w:pPr>
                    <w:spacing w:after="60"/>
                    <w:rPr>
                      <w:iCs/>
                      <w:sz w:val="20"/>
                    </w:rPr>
                  </w:pPr>
                  <w:r>
                    <w:rPr>
                      <w:iCs/>
                      <w:sz w:val="20"/>
                    </w:rPr>
                    <w:t>NORMRAMPUP</w:t>
                  </w:r>
                </w:p>
              </w:tc>
              <w:tc>
                <w:tcPr>
                  <w:tcW w:w="3500" w:type="pct"/>
                </w:tcPr>
                <w:p w14:paraId="32BF84B1" w14:textId="77777777" w:rsidR="00D94BFC" w:rsidRPr="003161DC" w:rsidRDefault="00D94BFC" w:rsidP="00D94BFC">
                  <w:pPr>
                    <w:spacing w:after="60"/>
                    <w:ind w:left="720" w:hanging="720"/>
                    <w:rPr>
                      <w:iCs/>
                      <w:sz w:val="20"/>
                    </w:rPr>
                  </w:pPr>
                  <w:r>
                    <w:rPr>
                      <w:iCs/>
                      <w:sz w:val="20"/>
                    </w:rPr>
                    <w:t>5-minute blended Normal Ramp Rate up, as telemetered by the QSE.</w:t>
                  </w:r>
                </w:p>
              </w:tc>
            </w:tr>
            <w:tr w:rsidR="00D94BFC" w:rsidRPr="003161DC" w14:paraId="401894CC" w14:textId="77777777" w:rsidTr="00D94BFC">
              <w:trPr>
                <w:cantSplit/>
              </w:trPr>
              <w:tc>
                <w:tcPr>
                  <w:tcW w:w="1500" w:type="pct"/>
                </w:tcPr>
                <w:p w14:paraId="0A4A510E" w14:textId="77777777" w:rsidR="00D94BFC" w:rsidRPr="003161DC" w:rsidRDefault="00D94BFC" w:rsidP="00D94BFC">
                  <w:pPr>
                    <w:spacing w:after="60"/>
                    <w:rPr>
                      <w:iCs/>
                      <w:sz w:val="20"/>
                    </w:rPr>
                  </w:pPr>
                  <w:r w:rsidRPr="003161DC">
                    <w:rPr>
                      <w:iCs/>
                      <w:sz w:val="20"/>
                    </w:rPr>
                    <w:t>HSLTELEM</w:t>
                  </w:r>
                </w:p>
              </w:tc>
              <w:tc>
                <w:tcPr>
                  <w:tcW w:w="3500" w:type="pct"/>
                </w:tcPr>
                <w:p w14:paraId="4CA3B9B8" w14:textId="45174B33" w:rsidR="00D94BFC" w:rsidRPr="003161DC" w:rsidRDefault="00D94BFC" w:rsidP="00D94BFC">
                  <w:pPr>
                    <w:spacing w:after="60"/>
                    <w:rPr>
                      <w:iCs/>
                      <w:sz w:val="20"/>
                    </w:rPr>
                  </w:pPr>
                  <w:r w:rsidRPr="003161DC">
                    <w:rPr>
                      <w:iCs/>
                      <w:sz w:val="20"/>
                    </w:rPr>
                    <w:t xml:space="preserve">For IRRs </w:t>
                  </w:r>
                  <w:r>
                    <w:rPr>
                      <w:iCs/>
                      <w:sz w:val="20"/>
                    </w:rPr>
                    <w:t xml:space="preserve">qualified to provide an </w:t>
                  </w:r>
                  <w:r w:rsidRPr="003161DC">
                    <w:rPr>
                      <w:iCs/>
                      <w:sz w:val="20"/>
                    </w:rPr>
                    <w:t>Ancillary Service</w:t>
                  </w:r>
                  <w:r>
                    <w:rPr>
                      <w:iCs/>
                      <w:sz w:val="20"/>
                    </w:rPr>
                    <w:t xml:space="preserve"> and telemetering a non-zero capability to provide that Ancillary Service,</w:t>
                  </w:r>
                  <w:r w:rsidRPr="003161DC">
                    <w:rPr>
                      <w:iCs/>
                      <w:sz w:val="20"/>
                    </w:rPr>
                    <w:t xml:space="preserve"> and all IRRs within an IRR Group where any IRR within the IRR Group is </w:t>
                  </w:r>
                  <w:r>
                    <w:rPr>
                      <w:iCs/>
                      <w:sz w:val="20"/>
                    </w:rPr>
                    <w:t>qualified to provide</w:t>
                  </w:r>
                  <w:r w:rsidRPr="003161DC">
                    <w:rPr>
                      <w:iCs/>
                      <w:sz w:val="20"/>
                    </w:rPr>
                    <w:t xml:space="preserve"> an Ancillary Service </w:t>
                  </w:r>
                  <w:r>
                    <w:rPr>
                      <w:iCs/>
                      <w:sz w:val="20"/>
                    </w:rPr>
                    <w:t>and telemetering a non-zero capability to provide that Ancillary Service</w:t>
                  </w:r>
                  <w:r w:rsidRPr="003161DC">
                    <w:rPr>
                      <w:iCs/>
                      <w:sz w:val="20"/>
                    </w:rPr>
                    <w:t>, HSLTELEM shall be the five-minute intra-hour forecast for the Resource.  For all other Resources, HSLTELEM shall be the Resource’s HSL provided to ERCOT via telemetry, in accordance with Section 6.5.5.2.</w:t>
                  </w:r>
                </w:p>
              </w:tc>
            </w:tr>
          </w:tbl>
          <w:p w14:paraId="0A111E7E" w14:textId="77777777" w:rsidR="00D94BFC" w:rsidRPr="003161DC" w:rsidRDefault="00D94BFC" w:rsidP="00D94BFC">
            <w:pPr>
              <w:spacing w:after="240"/>
              <w:rPr>
                <w:iCs/>
              </w:rPr>
            </w:pPr>
            <w:r w:rsidRPr="003161DC">
              <w:rPr>
                <w:iCs/>
              </w:rPr>
              <w:br/>
              <w:t>(</w:t>
            </w:r>
            <w:r>
              <w:rPr>
                <w:iCs/>
              </w:rPr>
              <w:t>3</w:t>
            </w:r>
            <w:r w:rsidRPr="003161DC">
              <w:rPr>
                <w:iCs/>
              </w:rPr>
              <w:t>)</w:t>
            </w:r>
            <w:r w:rsidRPr="003161DC">
              <w:rPr>
                <w:iCs/>
              </w:rPr>
              <w:tab/>
              <w:t xml:space="preserve">For </w:t>
            </w:r>
            <w:r w:rsidRPr="00EA1F9D">
              <w:t>SCED</w:t>
            </w:r>
            <w:r>
              <w:t>-</w:t>
            </w:r>
            <w:r w:rsidRPr="00EA1F9D">
              <w:t xml:space="preserve">dispatchable </w:t>
            </w:r>
            <w:r w:rsidRPr="003161DC">
              <w:rPr>
                <w:iCs/>
              </w:rPr>
              <w:t>Generation Resources, LDL is calculated as follows:</w:t>
            </w:r>
          </w:p>
          <w:p w14:paraId="4DCB8D15"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STARTUP, then</w:t>
            </w:r>
          </w:p>
          <w:p w14:paraId="14F03925" w14:textId="68CD4730" w:rsidR="00D94BFC" w:rsidRPr="003161DC" w:rsidRDefault="00D94BFC" w:rsidP="00D94BFC">
            <w:pPr>
              <w:spacing w:after="240"/>
              <w:ind w:left="1440" w:hanging="720"/>
              <w:rPr>
                <w:b/>
                <w:iCs/>
              </w:rPr>
            </w:pPr>
            <w:r w:rsidRPr="003161DC">
              <w:rPr>
                <w:b/>
                <w:iCs/>
              </w:rPr>
              <w:t>LDL</w:t>
            </w:r>
            <w:r w:rsidRPr="003161DC">
              <w:rPr>
                <w:b/>
                <w:iCs/>
              </w:rPr>
              <w:tab/>
              <w:t>=</w:t>
            </w:r>
            <w:r w:rsidRPr="003161DC">
              <w:rPr>
                <w:b/>
                <w:iCs/>
              </w:rPr>
              <w:tab/>
              <w:t>POWERTELEM + (</w:t>
            </w:r>
            <w:r>
              <w:rPr>
                <w:b/>
                <w:bCs/>
                <w:lang w:val="de-DE"/>
              </w:rPr>
              <w:t>NORMRAMPUP</w:t>
            </w:r>
            <w:r w:rsidR="001E163F">
              <w:rPr>
                <w:b/>
                <w:bCs/>
                <w:lang w:val="de-DE"/>
              </w:rPr>
              <w:t xml:space="preserve"> </w:t>
            </w:r>
            <w:r w:rsidRPr="003161DC">
              <w:rPr>
                <w:b/>
                <w:iCs/>
              </w:rPr>
              <w:t>* 5)</w:t>
            </w:r>
          </w:p>
          <w:p w14:paraId="5ECD041A"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other than STARTUP, then</w:t>
            </w:r>
          </w:p>
          <w:p w14:paraId="7A23341B" w14:textId="32A7C214" w:rsidR="00D94BFC" w:rsidRPr="003161DC" w:rsidRDefault="00D94BFC" w:rsidP="00D94BFC">
            <w:pPr>
              <w:ind w:left="1440" w:hanging="720"/>
              <w:rPr>
                <w:b/>
              </w:rPr>
            </w:pPr>
            <w:r w:rsidRPr="003161DC">
              <w:rPr>
                <w:b/>
              </w:rPr>
              <w:t>LDL</w:t>
            </w:r>
            <w:r w:rsidRPr="003161DC">
              <w:rPr>
                <w:b/>
              </w:rPr>
              <w:tab/>
              <w:t>=</w:t>
            </w:r>
            <w:r w:rsidRPr="003161DC">
              <w:rPr>
                <w:b/>
              </w:rPr>
              <w:tab/>
              <w:t>Max (POWERTELEM - (</w:t>
            </w:r>
            <w:r w:rsidRPr="003161DC">
              <w:rPr>
                <w:b/>
                <w:bCs/>
                <w:lang w:val="de-DE"/>
              </w:rPr>
              <w:t>NORMRAMP</w:t>
            </w:r>
            <w:r>
              <w:rPr>
                <w:b/>
                <w:bCs/>
                <w:lang w:val="de-DE"/>
              </w:rPr>
              <w:t>DN</w:t>
            </w:r>
            <w:r w:rsidRPr="003161DC" w:rsidDel="008E3707">
              <w:rPr>
                <w:b/>
              </w:rPr>
              <w:t xml:space="preserve"> </w:t>
            </w:r>
            <w:r w:rsidRPr="003161DC">
              <w:rPr>
                <w:b/>
              </w:rPr>
              <w:t>* 5),</w:t>
            </w:r>
            <w:r w:rsidR="001E163F">
              <w:rPr>
                <w:b/>
              </w:rPr>
              <w:t xml:space="preserve"> </w:t>
            </w:r>
            <w:r>
              <w:rPr>
                <w:b/>
              </w:rPr>
              <w:t>LSLTELEM</w:t>
            </w:r>
            <w:r w:rsidRPr="003161DC">
              <w:rPr>
                <w:b/>
              </w:rPr>
              <w:t>)</w:t>
            </w:r>
            <w:r w:rsidRPr="003161DC">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0E639621" w14:textId="77777777" w:rsidTr="00D94BFC">
              <w:tc>
                <w:tcPr>
                  <w:tcW w:w="1500" w:type="pct"/>
                </w:tcPr>
                <w:p w14:paraId="3392E7C5" w14:textId="77777777" w:rsidR="00D94BFC" w:rsidRPr="003161DC" w:rsidRDefault="00D94BFC" w:rsidP="00D94BFC">
                  <w:pPr>
                    <w:spacing w:after="120"/>
                    <w:rPr>
                      <w:b/>
                      <w:iCs/>
                      <w:sz w:val="20"/>
                    </w:rPr>
                  </w:pPr>
                  <w:r w:rsidRPr="003161DC">
                    <w:rPr>
                      <w:b/>
                      <w:iCs/>
                      <w:sz w:val="20"/>
                    </w:rPr>
                    <w:t>Variable</w:t>
                  </w:r>
                </w:p>
              </w:tc>
              <w:tc>
                <w:tcPr>
                  <w:tcW w:w="3500" w:type="pct"/>
                </w:tcPr>
                <w:p w14:paraId="25D24310" w14:textId="77777777" w:rsidR="00D94BFC" w:rsidRPr="003161DC" w:rsidRDefault="00D94BFC" w:rsidP="00D94BFC">
                  <w:pPr>
                    <w:spacing w:after="120"/>
                    <w:rPr>
                      <w:b/>
                      <w:iCs/>
                      <w:sz w:val="20"/>
                    </w:rPr>
                  </w:pPr>
                  <w:r w:rsidRPr="003161DC">
                    <w:rPr>
                      <w:b/>
                      <w:iCs/>
                      <w:sz w:val="20"/>
                    </w:rPr>
                    <w:t>Description</w:t>
                  </w:r>
                </w:p>
              </w:tc>
            </w:tr>
            <w:tr w:rsidR="00D94BFC" w:rsidRPr="003161DC" w14:paraId="54607371" w14:textId="77777777" w:rsidTr="00D94BFC">
              <w:trPr>
                <w:cantSplit/>
              </w:trPr>
              <w:tc>
                <w:tcPr>
                  <w:tcW w:w="1500" w:type="pct"/>
                </w:tcPr>
                <w:p w14:paraId="1D83373F" w14:textId="77777777" w:rsidR="00D94BFC" w:rsidRPr="003161DC" w:rsidRDefault="00D94BFC" w:rsidP="00D94BFC">
                  <w:pPr>
                    <w:spacing w:after="60"/>
                    <w:rPr>
                      <w:iCs/>
                      <w:sz w:val="20"/>
                    </w:rPr>
                  </w:pPr>
                  <w:r w:rsidRPr="003161DC">
                    <w:rPr>
                      <w:iCs/>
                      <w:sz w:val="20"/>
                    </w:rPr>
                    <w:t>LDL</w:t>
                  </w:r>
                </w:p>
              </w:tc>
              <w:tc>
                <w:tcPr>
                  <w:tcW w:w="3500" w:type="pct"/>
                </w:tcPr>
                <w:p w14:paraId="4DEB3BC2" w14:textId="77777777" w:rsidR="00D94BFC" w:rsidRPr="003161DC" w:rsidRDefault="00D94BFC" w:rsidP="00D94BFC">
                  <w:pPr>
                    <w:spacing w:after="60"/>
                    <w:rPr>
                      <w:iCs/>
                      <w:sz w:val="20"/>
                      <w:highlight w:val="yellow"/>
                    </w:rPr>
                  </w:pPr>
                  <w:r w:rsidRPr="003161DC">
                    <w:rPr>
                      <w:iCs/>
                      <w:sz w:val="20"/>
                    </w:rPr>
                    <w:t>Low Dispatch Limit.</w:t>
                  </w:r>
                </w:p>
              </w:tc>
            </w:tr>
            <w:tr w:rsidR="00D94BFC" w:rsidRPr="003161DC" w14:paraId="79262D78" w14:textId="77777777" w:rsidTr="00D94BFC">
              <w:trPr>
                <w:cantSplit/>
              </w:trPr>
              <w:tc>
                <w:tcPr>
                  <w:tcW w:w="1500" w:type="pct"/>
                </w:tcPr>
                <w:p w14:paraId="13399A75" w14:textId="77777777" w:rsidR="00D94BFC" w:rsidRPr="003161DC" w:rsidRDefault="00D94BFC" w:rsidP="00D94BFC">
                  <w:pPr>
                    <w:spacing w:after="60"/>
                    <w:rPr>
                      <w:iCs/>
                      <w:sz w:val="20"/>
                    </w:rPr>
                  </w:pPr>
                  <w:r w:rsidRPr="003161DC">
                    <w:rPr>
                      <w:iCs/>
                      <w:sz w:val="20"/>
                    </w:rPr>
                    <w:t>POWERTELEM</w:t>
                  </w:r>
                </w:p>
              </w:tc>
              <w:tc>
                <w:tcPr>
                  <w:tcW w:w="3500" w:type="pct"/>
                </w:tcPr>
                <w:p w14:paraId="23E73D44" w14:textId="77777777" w:rsidR="00D94BFC" w:rsidRPr="003161DC" w:rsidRDefault="00D94BFC" w:rsidP="00D94BFC">
                  <w:pPr>
                    <w:spacing w:after="60"/>
                    <w:rPr>
                      <w:iCs/>
                      <w:sz w:val="20"/>
                    </w:rPr>
                  </w:pPr>
                  <w:r w:rsidRPr="003161DC">
                    <w:rPr>
                      <w:iCs/>
                      <w:sz w:val="20"/>
                    </w:rPr>
                    <w:t>Gross or net real power provided via telemetry.</w:t>
                  </w:r>
                </w:p>
              </w:tc>
            </w:tr>
            <w:tr w:rsidR="00D94BFC" w:rsidRPr="003161DC" w14:paraId="009F54C4" w14:textId="77777777" w:rsidTr="00D94BFC">
              <w:trPr>
                <w:cantSplit/>
              </w:trPr>
              <w:tc>
                <w:tcPr>
                  <w:tcW w:w="1500" w:type="pct"/>
                </w:tcPr>
                <w:p w14:paraId="48AB57A5" w14:textId="77777777" w:rsidR="00D94BFC" w:rsidRPr="003161DC" w:rsidRDefault="00D94BFC" w:rsidP="00D94BFC">
                  <w:pPr>
                    <w:spacing w:after="60"/>
                    <w:rPr>
                      <w:iCs/>
                      <w:sz w:val="20"/>
                    </w:rPr>
                  </w:pPr>
                  <w:r w:rsidRPr="003161DC">
                    <w:rPr>
                      <w:iCs/>
                      <w:sz w:val="20"/>
                    </w:rPr>
                    <w:t>LSLTELEM</w:t>
                  </w:r>
                </w:p>
              </w:tc>
              <w:tc>
                <w:tcPr>
                  <w:tcW w:w="3500" w:type="pct"/>
                </w:tcPr>
                <w:p w14:paraId="704E22F0" w14:textId="77777777" w:rsidR="00D94BFC" w:rsidRPr="003161DC" w:rsidRDefault="00D94BFC" w:rsidP="00D94BFC">
                  <w:pPr>
                    <w:spacing w:after="60"/>
                    <w:rPr>
                      <w:iCs/>
                      <w:sz w:val="20"/>
                    </w:rPr>
                  </w:pPr>
                  <w:r w:rsidRPr="003161DC">
                    <w:rPr>
                      <w:iCs/>
                      <w:sz w:val="20"/>
                    </w:rPr>
                    <w:t xml:space="preserve">Low Sustained Limit </w:t>
                  </w:r>
                  <w:r>
                    <w:rPr>
                      <w:iCs/>
                      <w:sz w:val="20"/>
                    </w:rPr>
                    <w:t xml:space="preserve">(LSL) </w:t>
                  </w:r>
                  <w:r w:rsidRPr="003161DC">
                    <w:rPr>
                      <w:iCs/>
                      <w:sz w:val="20"/>
                    </w:rPr>
                    <w:t>provided via telemetry.</w:t>
                  </w:r>
                </w:p>
              </w:tc>
            </w:tr>
            <w:tr w:rsidR="00D94BFC" w:rsidRPr="003161DC" w14:paraId="2AB61738" w14:textId="77777777" w:rsidTr="00D94BFC">
              <w:trPr>
                <w:cantSplit/>
              </w:trPr>
              <w:tc>
                <w:tcPr>
                  <w:tcW w:w="1500" w:type="pct"/>
                </w:tcPr>
                <w:p w14:paraId="7B83952D"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1FEE579"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4877B97C" w14:textId="77777777" w:rsidTr="00D94BFC">
              <w:trPr>
                <w:cantSplit/>
              </w:trPr>
              <w:tc>
                <w:tcPr>
                  <w:tcW w:w="1500" w:type="pct"/>
                </w:tcPr>
                <w:p w14:paraId="26A58508" w14:textId="77777777" w:rsidR="00D94BFC" w:rsidRPr="003161DC" w:rsidRDefault="00D94BFC" w:rsidP="00D94BFC">
                  <w:pPr>
                    <w:spacing w:after="60"/>
                    <w:rPr>
                      <w:iCs/>
                      <w:sz w:val="20"/>
                    </w:rPr>
                  </w:pPr>
                  <w:r>
                    <w:rPr>
                      <w:iCs/>
                      <w:sz w:val="20"/>
                    </w:rPr>
                    <w:t>NORMRAMPUP</w:t>
                  </w:r>
                </w:p>
              </w:tc>
              <w:tc>
                <w:tcPr>
                  <w:tcW w:w="3500" w:type="pct"/>
                </w:tcPr>
                <w:p w14:paraId="36ED4B8A" w14:textId="77777777" w:rsidR="00D94BFC" w:rsidRPr="003161DC" w:rsidRDefault="00D94BFC" w:rsidP="00D94BFC">
                  <w:pPr>
                    <w:spacing w:after="60"/>
                    <w:rPr>
                      <w:iCs/>
                      <w:sz w:val="20"/>
                    </w:rPr>
                  </w:pPr>
                  <w:r>
                    <w:rPr>
                      <w:iCs/>
                      <w:sz w:val="20"/>
                    </w:rPr>
                    <w:t>5-minute blended Normal Ramp Rate up, as telemetered by the QSE.</w:t>
                  </w:r>
                </w:p>
              </w:tc>
            </w:tr>
          </w:tbl>
          <w:p w14:paraId="4A3E4AE0" w14:textId="77777777" w:rsidR="001E163F" w:rsidRPr="00A552C3" w:rsidRDefault="001E163F" w:rsidP="001E163F">
            <w:pPr>
              <w:spacing w:before="240" w:after="240"/>
              <w:ind w:left="720" w:hanging="720"/>
              <w:rPr>
                <w:iCs/>
              </w:rPr>
            </w:pPr>
            <w:r w:rsidRPr="00A552C3">
              <w:rPr>
                <w:iCs/>
              </w:rPr>
              <w:t>(4)</w:t>
            </w:r>
            <w:r w:rsidRPr="00A552C3">
              <w:rPr>
                <w:iCs/>
              </w:rPr>
              <w:tab/>
              <w:t>For ESRs, HDL is calculated as follows:</w:t>
            </w:r>
          </w:p>
          <w:p w14:paraId="52CB45DF" w14:textId="77777777" w:rsidR="001E163F" w:rsidRPr="00A552C3" w:rsidRDefault="001E163F" w:rsidP="001E163F">
            <w:pPr>
              <w:spacing w:after="240"/>
              <w:ind w:left="1440" w:hanging="720"/>
              <w:rPr>
                <w:iCs/>
              </w:rPr>
            </w:pPr>
            <w:r w:rsidRPr="00A552C3">
              <w:rPr>
                <w:iCs/>
              </w:rPr>
              <w:lastRenderedPageBreak/>
              <w:t>(a)</w:t>
            </w:r>
            <w:r w:rsidRPr="00A552C3">
              <w:rPr>
                <w:iCs/>
              </w:rPr>
              <w:tab/>
              <w:t>If the telemetered Resource Status is ONHOLD, then</w:t>
            </w:r>
          </w:p>
          <w:p w14:paraId="5B445553" w14:textId="77777777" w:rsidR="001E163F" w:rsidRPr="00A552C3" w:rsidRDefault="001E163F" w:rsidP="001E163F">
            <w:pPr>
              <w:spacing w:after="240"/>
              <w:ind w:left="1440" w:hanging="720"/>
              <w:rPr>
                <w:b/>
                <w:iCs/>
              </w:rPr>
            </w:pPr>
            <w:r w:rsidRPr="00A552C3">
              <w:rPr>
                <w:b/>
                <w:iCs/>
              </w:rPr>
              <w:t>HDL</w:t>
            </w:r>
            <w:r w:rsidRPr="00A552C3">
              <w:rPr>
                <w:b/>
                <w:iCs/>
              </w:rPr>
              <w:tab/>
              <w:t>=</w:t>
            </w:r>
            <w:r w:rsidRPr="00A552C3">
              <w:rPr>
                <w:b/>
                <w:iCs/>
              </w:rPr>
              <w:tab/>
              <w:t>0</w:t>
            </w:r>
          </w:p>
          <w:p w14:paraId="678A3EC5"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3D9701CE" w14:textId="669FAE96" w:rsidR="001E163F" w:rsidRPr="00A552C3" w:rsidRDefault="001E163F" w:rsidP="001E163F">
            <w:pPr>
              <w:spacing w:after="240"/>
              <w:ind w:left="1440" w:hanging="720"/>
              <w:rPr>
                <w:iCs/>
              </w:rPr>
            </w:pPr>
            <w:r w:rsidRPr="00A552C3">
              <w:rPr>
                <w:b/>
                <w:iCs/>
              </w:rPr>
              <w:t>HDL</w:t>
            </w:r>
            <w:r w:rsidRPr="00A552C3">
              <w:rPr>
                <w:iCs/>
              </w:rPr>
              <w:tab/>
              <w:t>=</w:t>
            </w:r>
            <w:r w:rsidRPr="00A552C3">
              <w:rPr>
                <w:iCs/>
              </w:rPr>
              <w:tab/>
            </w:r>
            <w:r w:rsidRPr="00CE56E5">
              <w:rPr>
                <w:b/>
                <w:iCs/>
              </w:rPr>
              <w:t>Max</w:t>
            </w:r>
            <w:r w:rsidR="00CE56E5" w:rsidRPr="00CE56E5">
              <w:rPr>
                <w:b/>
                <w:iCs/>
              </w:rPr>
              <w:t xml:space="preserve"> </w:t>
            </w:r>
            <w:r w:rsidRPr="00CE56E5">
              <w:rPr>
                <w:b/>
                <w:iCs/>
              </w:rPr>
              <w:t>(</w:t>
            </w:r>
            <w:r w:rsidRPr="00A552C3">
              <w:rPr>
                <w:b/>
              </w:rPr>
              <w:t>Min (POWERTELEM, HSLTELEM), LSLTELEM)</w:t>
            </w:r>
          </w:p>
          <w:p w14:paraId="652D0770"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EMR, EMRSWGR, ONHOLD, or ONTEST, then</w:t>
            </w:r>
          </w:p>
          <w:p w14:paraId="0B833818" w14:textId="77777777" w:rsidR="001E163F" w:rsidRPr="00A552C3" w:rsidRDefault="001E163F" w:rsidP="001E163F">
            <w:pPr>
              <w:spacing w:after="240"/>
              <w:ind w:left="1440" w:hanging="720"/>
              <w:rPr>
                <w:b/>
              </w:rPr>
            </w:pPr>
            <w:r w:rsidRPr="00A552C3">
              <w:rPr>
                <w:b/>
              </w:rPr>
              <w:t>HDL</w:t>
            </w:r>
            <w:r w:rsidRPr="00A552C3">
              <w:rPr>
                <w:b/>
              </w:rPr>
              <w:tab/>
              <w:t>=</w:t>
            </w:r>
            <w:r w:rsidRPr="00A552C3">
              <w:rPr>
                <w:b/>
              </w:rPr>
              <w:tab/>
              <w:t>Min (POWERTELEM + (</w:t>
            </w:r>
            <w:r w:rsidRPr="00A552C3">
              <w:rPr>
                <w:b/>
                <w:bCs/>
                <w:lang w:val="de-DE"/>
              </w:rPr>
              <w:t>NORMRAMPUP</w:t>
            </w:r>
            <w:r w:rsidRPr="00A552C3">
              <w:rPr>
                <w:b/>
              </w:rPr>
              <w:t>* 5), HSLTELEM)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69BC3D4"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440BB37B"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FF14975" w14:textId="77777777" w:rsidR="001E163F" w:rsidRPr="00A552C3" w:rsidRDefault="001E163F" w:rsidP="001E163F">
                  <w:pPr>
                    <w:spacing w:after="120"/>
                    <w:rPr>
                      <w:b/>
                      <w:iCs/>
                      <w:sz w:val="20"/>
                    </w:rPr>
                  </w:pPr>
                  <w:r w:rsidRPr="00A552C3">
                    <w:rPr>
                      <w:b/>
                      <w:iCs/>
                      <w:sz w:val="20"/>
                    </w:rPr>
                    <w:t>Description</w:t>
                  </w:r>
                </w:p>
              </w:tc>
            </w:tr>
            <w:tr w:rsidR="001E163F" w:rsidRPr="00A552C3" w14:paraId="6631003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10B469F2" w14:textId="77777777" w:rsidR="001E163F" w:rsidRPr="00A552C3" w:rsidRDefault="001E163F" w:rsidP="001E163F">
                  <w:pPr>
                    <w:spacing w:after="60"/>
                    <w:rPr>
                      <w:iCs/>
                      <w:sz w:val="20"/>
                      <w:highlight w:val="green"/>
                    </w:rPr>
                  </w:pPr>
                  <w:r w:rsidRPr="00A552C3">
                    <w:rPr>
                      <w:iCs/>
                      <w:sz w:val="20"/>
                    </w:rPr>
                    <w:t>HDL</w:t>
                  </w:r>
                </w:p>
              </w:tc>
              <w:tc>
                <w:tcPr>
                  <w:tcW w:w="3500" w:type="pct"/>
                  <w:tcBorders>
                    <w:top w:val="single" w:sz="4" w:space="0" w:color="auto"/>
                    <w:left w:val="single" w:sz="4" w:space="0" w:color="auto"/>
                    <w:bottom w:val="single" w:sz="4" w:space="0" w:color="auto"/>
                    <w:right w:val="single" w:sz="4" w:space="0" w:color="auto"/>
                  </w:tcBorders>
                  <w:hideMark/>
                </w:tcPr>
                <w:p w14:paraId="745118CA" w14:textId="77777777" w:rsidR="001E163F" w:rsidRPr="00A552C3" w:rsidRDefault="001E163F" w:rsidP="001E163F">
                  <w:pPr>
                    <w:spacing w:after="60"/>
                    <w:rPr>
                      <w:iCs/>
                      <w:sz w:val="20"/>
                      <w:highlight w:val="yellow"/>
                    </w:rPr>
                  </w:pPr>
                  <w:r w:rsidRPr="00A552C3">
                    <w:rPr>
                      <w:iCs/>
                      <w:sz w:val="20"/>
                    </w:rPr>
                    <w:t>High Dispatch Limit.</w:t>
                  </w:r>
                </w:p>
              </w:tc>
            </w:tr>
            <w:tr w:rsidR="001E163F" w:rsidRPr="00A552C3" w14:paraId="75DD2A6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0E1D0CB"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72139F8F" w14:textId="77777777" w:rsidR="001E163F" w:rsidRPr="00A552C3" w:rsidRDefault="001E163F" w:rsidP="001E163F">
                  <w:pPr>
                    <w:spacing w:after="60"/>
                    <w:rPr>
                      <w:iCs/>
                      <w:sz w:val="20"/>
                    </w:rPr>
                  </w:pPr>
                  <w:r w:rsidRPr="00A552C3">
                    <w:rPr>
                      <w:iCs/>
                      <w:sz w:val="20"/>
                    </w:rPr>
                    <w:t xml:space="preserve">Net real power provided via telemetry. </w:t>
                  </w:r>
                </w:p>
              </w:tc>
            </w:tr>
            <w:tr w:rsidR="001E163F" w:rsidRPr="00A552C3" w14:paraId="64DB7409"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0B0CE18" w14:textId="77777777" w:rsidR="001E163F" w:rsidRPr="00A552C3" w:rsidRDefault="001E163F" w:rsidP="001E163F">
                  <w:pPr>
                    <w:spacing w:after="60"/>
                    <w:rPr>
                      <w:iCs/>
                      <w:sz w:val="20"/>
                    </w:rPr>
                  </w:pPr>
                  <w:r w:rsidRPr="00A552C3">
                    <w:rPr>
                      <w:iCs/>
                      <w:sz w:val="20"/>
                    </w:rPr>
                    <w:t>NORMRAMPUP</w:t>
                  </w:r>
                </w:p>
              </w:tc>
              <w:tc>
                <w:tcPr>
                  <w:tcW w:w="3500" w:type="pct"/>
                  <w:tcBorders>
                    <w:top w:val="single" w:sz="4" w:space="0" w:color="auto"/>
                    <w:left w:val="single" w:sz="4" w:space="0" w:color="auto"/>
                    <w:bottom w:val="single" w:sz="4" w:space="0" w:color="auto"/>
                    <w:right w:val="single" w:sz="4" w:space="0" w:color="auto"/>
                  </w:tcBorders>
                  <w:hideMark/>
                </w:tcPr>
                <w:p w14:paraId="59DF415D" w14:textId="77777777" w:rsidR="001E163F" w:rsidRPr="00A552C3" w:rsidRDefault="001E163F" w:rsidP="001E163F">
                  <w:pPr>
                    <w:spacing w:after="60"/>
                    <w:ind w:left="720" w:hanging="720"/>
                    <w:rPr>
                      <w:iCs/>
                      <w:sz w:val="20"/>
                    </w:rPr>
                  </w:pPr>
                  <w:r w:rsidRPr="00A552C3">
                    <w:rPr>
                      <w:iCs/>
                      <w:sz w:val="20"/>
                    </w:rPr>
                    <w:t>5-minute blended Normal Ramp Rate up, as telemetered by the QSE.</w:t>
                  </w:r>
                </w:p>
              </w:tc>
            </w:tr>
            <w:tr w:rsidR="001E163F" w:rsidRPr="00A552C3" w14:paraId="1ADF5106"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51FF62A6" w14:textId="77777777" w:rsidR="001E163F" w:rsidRPr="00A552C3" w:rsidRDefault="001E163F" w:rsidP="001E163F">
                  <w:pPr>
                    <w:spacing w:after="60"/>
                    <w:rPr>
                      <w:iCs/>
                      <w:sz w:val="20"/>
                    </w:rPr>
                  </w:pPr>
                  <w:r w:rsidRPr="00A552C3">
                    <w:rPr>
                      <w:iCs/>
                      <w:sz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4D784AED" w14:textId="77777777" w:rsidR="001E163F" w:rsidRPr="00A552C3" w:rsidRDefault="001E163F" w:rsidP="001E163F">
                  <w:pPr>
                    <w:spacing w:after="60"/>
                    <w:ind w:left="720" w:hanging="720"/>
                    <w:rPr>
                      <w:iCs/>
                      <w:sz w:val="20"/>
                    </w:rPr>
                  </w:pPr>
                  <w:r w:rsidRPr="00A552C3">
                    <w:rPr>
                      <w:iCs/>
                      <w:sz w:val="20"/>
                    </w:rPr>
                    <w:t xml:space="preserve">High Sustained Limit (HSL) provided via telemetry – per Section 6.5.5.2. </w:t>
                  </w:r>
                </w:p>
              </w:tc>
            </w:tr>
          </w:tbl>
          <w:p w14:paraId="04340E61" w14:textId="77777777" w:rsidR="001E163F" w:rsidRPr="00A552C3" w:rsidRDefault="001E163F" w:rsidP="001E163F">
            <w:pPr>
              <w:spacing w:after="240"/>
              <w:rPr>
                <w:iCs/>
              </w:rPr>
            </w:pPr>
            <w:r w:rsidRPr="00A552C3">
              <w:rPr>
                <w:iCs/>
              </w:rPr>
              <w:br/>
              <w:t>(5)</w:t>
            </w:r>
            <w:r w:rsidRPr="00A552C3">
              <w:rPr>
                <w:iCs/>
              </w:rPr>
              <w:tab/>
              <w:t>For ESRs, LDL is calculated as follows:</w:t>
            </w:r>
          </w:p>
          <w:p w14:paraId="5C183F62"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29446985" w14:textId="77777777" w:rsidR="001E163F" w:rsidRPr="00A552C3" w:rsidRDefault="001E163F" w:rsidP="001E163F">
            <w:pPr>
              <w:spacing w:after="240"/>
              <w:ind w:left="1440" w:hanging="720"/>
              <w:rPr>
                <w:b/>
                <w:iCs/>
              </w:rPr>
            </w:pPr>
            <w:r w:rsidRPr="00A552C3">
              <w:rPr>
                <w:b/>
                <w:iCs/>
              </w:rPr>
              <w:t>LDL</w:t>
            </w:r>
            <w:r w:rsidRPr="00A552C3">
              <w:rPr>
                <w:b/>
                <w:iCs/>
              </w:rPr>
              <w:tab/>
              <w:t>=</w:t>
            </w:r>
            <w:r w:rsidRPr="00A552C3">
              <w:rPr>
                <w:b/>
                <w:iCs/>
              </w:rPr>
              <w:tab/>
              <w:t>0</w:t>
            </w:r>
          </w:p>
          <w:p w14:paraId="4090E1C4"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1131FCDD" w14:textId="7FFFFC3E" w:rsidR="001E163F" w:rsidRPr="00A552C3" w:rsidRDefault="001E163F" w:rsidP="001E163F">
            <w:pPr>
              <w:spacing w:after="240"/>
              <w:ind w:left="1440" w:hanging="720"/>
              <w:rPr>
                <w:iCs/>
              </w:rPr>
            </w:pPr>
            <w:r w:rsidRPr="00A552C3">
              <w:rPr>
                <w:b/>
                <w:iCs/>
              </w:rPr>
              <w:t>LDL</w:t>
            </w:r>
            <w:r w:rsidRPr="00A552C3">
              <w:rPr>
                <w:iCs/>
              </w:rPr>
              <w:tab/>
              <w:t>=</w:t>
            </w:r>
            <w:r w:rsidRPr="00A552C3">
              <w:rPr>
                <w:iCs/>
              </w:rPr>
              <w:tab/>
            </w:r>
            <w:r w:rsidRPr="00A552C3">
              <w:rPr>
                <w:b/>
              </w:rPr>
              <w:t>Max (Min</w:t>
            </w:r>
            <w:r w:rsidR="00CE56E5">
              <w:rPr>
                <w:b/>
              </w:rPr>
              <w:t xml:space="preserve"> </w:t>
            </w:r>
            <w:r w:rsidRPr="00A552C3">
              <w:rPr>
                <w:b/>
              </w:rPr>
              <w:t>(POWERTELEM, HSLTELEM), LSLTELEM)</w:t>
            </w:r>
          </w:p>
          <w:p w14:paraId="45BE69E6"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or EMR, or EMRSWGR, or ONHOLD, or ONTEST, then</w:t>
            </w:r>
          </w:p>
          <w:p w14:paraId="34F17E90" w14:textId="77777777" w:rsidR="001E163F" w:rsidRPr="00A552C3" w:rsidRDefault="001E163F" w:rsidP="001E163F">
            <w:pPr>
              <w:ind w:left="1440" w:hanging="720"/>
              <w:rPr>
                <w:b/>
              </w:rPr>
            </w:pPr>
            <w:r w:rsidRPr="00A552C3">
              <w:rPr>
                <w:b/>
              </w:rPr>
              <w:t>LDL</w:t>
            </w:r>
            <w:r w:rsidRPr="00A552C3">
              <w:rPr>
                <w:b/>
              </w:rPr>
              <w:tab/>
              <w:t>=</w:t>
            </w:r>
            <w:r w:rsidRPr="00A552C3">
              <w:rPr>
                <w:b/>
              </w:rPr>
              <w:tab/>
              <w:t>Max (POWERTELEM - (</w:t>
            </w:r>
            <w:r w:rsidRPr="00A552C3">
              <w:rPr>
                <w:b/>
                <w:bCs/>
                <w:lang w:val="de-DE"/>
              </w:rPr>
              <w:t>NORMRAMPDN</w:t>
            </w:r>
            <w:r w:rsidRPr="00A552C3">
              <w:rPr>
                <w:b/>
                <w:lang w:val="de-DE"/>
              </w:rPr>
              <w:t xml:space="preserve"> </w:t>
            </w:r>
            <w:r w:rsidRPr="00A552C3">
              <w:rPr>
                <w:b/>
              </w:rPr>
              <w:t>* 5), LSLTELEM)</w:t>
            </w:r>
            <w:r w:rsidRPr="00A552C3">
              <w:rPr>
                <w:b/>
              </w:rPr>
              <w:br/>
            </w:r>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C2099AD"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2F912445"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292941" w14:textId="77777777" w:rsidR="001E163F" w:rsidRPr="00A552C3" w:rsidRDefault="001E163F" w:rsidP="001E163F">
                  <w:pPr>
                    <w:spacing w:after="120"/>
                    <w:rPr>
                      <w:b/>
                      <w:iCs/>
                      <w:sz w:val="20"/>
                    </w:rPr>
                  </w:pPr>
                  <w:r w:rsidRPr="00A552C3">
                    <w:rPr>
                      <w:b/>
                      <w:iCs/>
                      <w:sz w:val="20"/>
                    </w:rPr>
                    <w:t>Description</w:t>
                  </w:r>
                </w:p>
              </w:tc>
            </w:tr>
            <w:tr w:rsidR="001E163F" w:rsidRPr="00A552C3" w14:paraId="5C2EE2D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9B44D73" w14:textId="77777777" w:rsidR="001E163F" w:rsidRPr="00A552C3" w:rsidRDefault="001E163F" w:rsidP="001E163F">
                  <w:pPr>
                    <w:spacing w:after="60"/>
                    <w:rPr>
                      <w:iCs/>
                      <w:sz w:val="20"/>
                    </w:rPr>
                  </w:pPr>
                  <w:r w:rsidRPr="00A552C3">
                    <w:rPr>
                      <w:iCs/>
                      <w:sz w:val="20"/>
                    </w:rPr>
                    <w:t>LDL</w:t>
                  </w:r>
                </w:p>
              </w:tc>
              <w:tc>
                <w:tcPr>
                  <w:tcW w:w="3500" w:type="pct"/>
                  <w:tcBorders>
                    <w:top w:val="single" w:sz="4" w:space="0" w:color="auto"/>
                    <w:left w:val="single" w:sz="4" w:space="0" w:color="auto"/>
                    <w:bottom w:val="single" w:sz="4" w:space="0" w:color="auto"/>
                    <w:right w:val="single" w:sz="4" w:space="0" w:color="auto"/>
                  </w:tcBorders>
                  <w:hideMark/>
                </w:tcPr>
                <w:p w14:paraId="250C192F" w14:textId="77777777" w:rsidR="001E163F" w:rsidRPr="00A552C3" w:rsidRDefault="001E163F" w:rsidP="001E163F">
                  <w:pPr>
                    <w:spacing w:after="60"/>
                    <w:rPr>
                      <w:iCs/>
                      <w:sz w:val="20"/>
                      <w:highlight w:val="yellow"/>
                    </w:rPr>
                  </w:pPr>
                  <w:r w:rsidRPr="00A552C3">
                    <w:rPr>
                      <w:iCs/>
                      <w:sz w:val="20"/>
                    </w:rPr>
                    <w:t>Low Dispatch Limit.</w:t>
                  </w:r>
                </w:p>
              </w:tc>
            </w:tr>
            <w:tr w:rsidR="001E163F" w:rsidRPr="00A552C3" w14:paraId="52646EB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DC0FF84"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0172147" w14:textId="77777777" w:rsidR="001E163F" w:rsidRPr="00A552C3" w:rsidRDefault="001E163F" w:rsidP="001E163F">
                  <w:pPr>
                    <w:spacing w:after="60"/>
                    <w:rPr>
                      <w:iCs/>
                      <w:sz w:val="20"/>
                    </w:rPr>
                  </w:pPr>
                  <w:r w:rsidRPr="00A552C3">
                    <w:rPr>
                      <w:iCs/>
                      <w:sz w:val="20"/>
                    </w:rPr>
                    <w:t>Net real power provided via telemetry.</w:t>
                  </w:r>
                </w:p>
              </w:tc>
            </w:tr>
            <w:tr w:rsidR="001E163F" w:rsidRPr="00A552C3" w14:paraId="111260AD"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71F85F15" w14:textId="77777777" w:rsidR="001E163F" w:rsidRPr="00A552C3" w:rsidRDefault="001E163F" w:rsidP="001E163F">
                  <w:pPr>
                    <w:spacing w:after="60"/>
                    <w:rPr>
                      <w:iCs/>
                      <w:sz w:val="20"/>
                    </w:rPr>
                  </w:pPr>
                  <w:r w:rsidRPr="00A552C3">
                    <w:rPr>
                      <w:iCs/>
                      <w:sz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6064AB74" w14:textId="77777777" w:rsidR="001E163F" w:rsidRPr="00A552C3" w:rsidRDefault="001E163F" w:rsidP="001E163F">
                  <w:pPr>
                    <w:spacing w:after="60"/>
                    <w:rPr>
                      <w:iCs/>
                      <w:sz w:val="20"/>
                    </w:rPr>
                  </w:pPr>
                  <w:r w:rsidRPr="00A552C3">
                    <w:rPr>
                      <w:iCs/>
                      <w:sz w:val="20"/>
                    </w:rPr>
                    <w:t>Low Sustained Limit provided via telemetry.</w:t>
                  </w:r>
                </w:p>
              </w:tc>
            </w:tr>
            <w:tr w:rsidR="001E163F" w:rsidRPr="00A552C3" w14:paraId="3E25E9EA"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9139708" w14:textId="77777777" w:rsidR="001E163F" w:rsidRPr="00A552C3" w:rsidRDefault="001E163F" w:rsidP="001E163F">
                  <w:pPr>
                    <w:spacing w:after="60"/>
                    <w:rPr>
                      <w:iCs/>
                      <w:sz w:val="20"/>
                    </w:rPr>
                  </w:pPr>
                  <w:r w:rsidRPr="00A552C3">
                    <w:rPr>
                      <w:iCs/>
                      <w:sz w:val="20"/>
                    </w:rPr>
                    <w:t>NORMRAMPDN</w:t>
                  </w:r>
                </w:p>
              </w:tc>
              <w:tc>
                <w:tcPr>
                  <w:tcW w:w="3500" w:type="pct"/>
                  <w:tcBorders>
                    <w:top w:val="single" w:sz="4" w:space="0" w:color="auto"/>
                    <w:left w:val="single" w:sz="4" w:space="0" w:color="auto"/>
                    <w:bottom w:val="single" w:sz="4" w:space="0" w:color="auto"/>
                    <w:right w:val="single" w:sz="4" w:space="0" w:color="auto"/>
                  </w:tcBorders>
                  <w:hideMark/>
                </w:tcPr>
                <w:p w14:paraId="4F95BAA3" w14:textId="77777777" w:rsidR="001E163F" w:rsidRPr="00A552C3" w:rsidRDefault="001E163F" w:rsidP="001E163F">
                  <w:pPr>
                    <w:spacing w:after="60"/>
                    <w:rPr>
                      <w:iCs/>
                      <w:sz w:val="20"/>
                    </w:rPr>
                  </w:pPr>
                  <w:r w:rsidRPr="00A552C3">
                    <w:rPr>
                      <w:iCs/>
                      <w:sz w:val="20"/>
                    </w:rPr>
                    <w:t>5-minute blended Normal Ramp Rate down, as telemetered by the QSE.</w:t>
                  </w:r>
                </w:p>
              </w:tc>
            </w:tr>
          </w:tbl>
          <w:p w14:paraId="3413A769" w14:textId="63AC6F26" w:rsidR="00D94BFC" w:rsidRPr="003161DC" w:rsidRDefault="00D94BFC" w:rsidP="00D94BFC">
            <w:pPr>
              <w:spacing w:before="240" w:after="240"/>
              <w:ind w:left="720" w:hanging="720"/>
              <w:rPr>
                <w:b/>
                <w:i/>
                <w:iCs/>
              </w:rPr>
            </w:pPr>
            <w:r w:rsidRPr="003161DC">
              <w:rPr>
                <w:iCs/>
              </w:rPr>
              <w:t>(</w:t>
            </w:r>
            <w:r w:rsidR="001E163F">
              <w:rPr>
                <w:iCs/>
              </w:rPr>
              <w:t>6</w:t>
            </w:r>
            <w:r w:rsidRPr="003161DC">
              <w:rPr>
                <w:iCs/>
              </w:rPr>
              <w:t>)</w:t>
            </w:r>
            <w:r w:rsidRPr="003161DC">
              <w:rPr>
                <w:iCs/>
              </w:rPr>
              <w:tab/>
              <w:t xml:space="preserve">For </w:t>
            </w:r>
            <w:r>
              <w:rPr>
                <w:iCs/>
              </w:rPr>
              <w:t xml:space="preserve">SCED-dispatchable </w:t>
            </w:r>
            <w:r w:rsidRPr="003161DC">
              <w:rPr>
                <w:iCs/>
              </w:rPr>
              <w:t>Load Resources, HDL is calculated as follows:</w:t>
            </w:r>
          </w:p>
          <w:p w14:paraId="710A270E" w14:textId="5ECD4940"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sidRPr="003161DC">
              <w:rPr>
                <w:b/>
                <w:lang w:val="de-DE"/>
              </w:rPr>
              <w:t>NORMRAMP</w:t>
            </w:r>
            <w:r>
              <w:rPr>
                <w:b/>
                <w:lang w:val="de-DE"/>
              </w:rPr>
              <w:t>DN</w:t>
            </w:r>
            <w:r w:rsidRPr="003161DC">
              <w:rPr>
                <w:b/>
              </w:rPr>
              <w:t xml:space="preserve"> *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8B4FA5D" w14:textId="77777777" w:rsidTr="00D94BFC">
              <w:tc>
                <w:tcPr>
                  <w:tcW w:w="1500" w:type="pct"/>
                </w:tcPr>
                <w:p w14:paraId="2D8941F8" w14:textId="77777777" w:rsidR="00D94BFC" w:rsidRPr="003161DC" w:rsidRDefault="00D94BFC" w:rsidP="00D94BFC">
                  <w:pPr>
                    <w:spacing w:after="120"/>
                    <w:rPr>
                      <w:b/>
                      <w:iCs/>
                      <w:sz w:val="20"/>
                    </w:rPr>
                  </w:pPr>
                  <w:r w:rsidRPr="003161DC">
                    <w:rPr>
                      <w:b/>
                      <w:iCs/>
                      <w:sz w:val="20"/>
                    </w:rPr>
                    <w:lastRenderedPageBreak/>
                    <w:t>Variable</w:t>
                  </w:r>
                </w:p>
              </w:tc>
              <w:tc>
                <w:tcPr>
                  <w:tcW w:w="3500" w:type="pct"/>
                </w:tcPr>
                <w:p w14:paraId="05B48091" w14:textId="77777777" w:rsidR="00D94BFC" w:rsidRPr="003161DC" w:rsidRDefault="00D94BFC" w:rsidP="00D94BFC">
                  <w:pPr>
                    <w:spacing w:after="120"/>
                    <w:rPr>
                      <w:b/>
                      <w:iCs/>
                      <w:sz w:val="20"/>
                    </w:rPr>
                  </w:pPr>
                  <w:r w:rsidRPr="003161DC">
                    <w:rPr>
                      <w:b/>
                      <w:iCs/>
                      <w:sz w:val="20"/>
                    </w:rPr>
                    <w:t>Description</w:t>
                  </w:r>
                </w:p>
              </w:tc>
            </w:tr>
            <w:tr w:rsidR="00D94BFC" w:rsidRPr="003161DC" w14:paraId="43834B49" w14:textId="77777777" w:rsidTr="00D94BFC">
              <w:trPr>
                <w:cantSplit/>
              </w:trPr>
              <w:tc>
                <w:tcPr>
                  <w:tcW w:w="1500" w:type="pct"/>
                </w:tcPr>
                <w:p w14:paraId="51F5AAC2" w14:textId="77777777" w:rsidR="00D94BFC" w:rsidRPr="003161DC" w:rsidRDefault="00D94BFC" w:rsidP="00D94BFC">
                  <w:pPr>
                    <w:spacing w:after="60"/>
                    <w:rPr>
                      <w:iCs/>
                      <w:sz w:val="20"/>
                    </w:rPr>
                  </w:pPr>
                  <w:r w:rsidRPr="003161DC">
                    <w:rPr>
                      <w:iCs/>
                      <w:sz w:val="20"/>
                    </w:rPr>
                    <w:t>HDL</w:t>
                  </w:r>
                </w:p>
              </w:tc>
              <w:tc>
                <w:tcPr>
                  <w:tcW w:w="3500" w:type="pct"/>
                </w:tcPr>
                <w:p w14:paraId="58A4C0BF" w14:textId="77777777" w:rsidR="00D94BFC" w:rsidRPr="003161DC" w:rsidRDefault="00D94BFC" w:rsidP="00D94BFC">
                  <w:pPr>
                    <w:spacing w:after="60"/>
                    <w:rPr>
                      <w:iCs/>
                      <w:sz w:val="20"/>
                    </w:rPr>
                  </w:pPr>
                  <w:r w:rsidRPr="003161DC">
                    <w:rPr>
                      <w:iCs/>
                      <w:sz w:val="20"/>
                    </w:rPr>
                    <w:t>High Dispatch Limit.</w:t>
                  </w:r>
                </w:p>
              </w:tc>
            </w:tr>
            <w:tr w:rsidR="00D94BFC" w:rsidRPr="003161DC" w14:paraId="2A182A9A" w14:textId="77777777" w:rsidTr="00D94BFC">
              <w:trPr>
                <w:cantSplit/>
              </w:trPr>
              <w:tc>
                <w:tcPr>
                  <w:tcW w:w="1500" w:type="pct"/>
                </w:tcPr>
                <w:p w14:paraId="1EEBF894" w14:textId="77777777" w:rsidR="00D94BFC" w:rsidRPr="003161DC" w:rsidRDefault="00D94BFC" w:rsidP="00D94BFC">
                  <w:pPr>
                    <w:spacing w:after="60"/>
                    <w:rPr>
                      <w:iCs/>
                      <w:sz w:val="20"/>
                    </w:rPr>
                  </w:pPr>
                  <w:r w:rsidRPr="003161DC">
                    <w:rPr>
                      <w:iCs/>
                      <w:sz w:val="20"/>
                    </w:rPr>
                    <w:t>POWERTELEM</w:t>
                  </w:r>
                </w:p>
              </w:tc>
              <w:tc>
                <w:tcPr>
                  <w:tcW w:w="3500" w:type="pct"/>
                </w:tcPr>
                <w:p w14:paraId="5DABFD10"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3CDA436" w14:textId="77777777" w:rsidTr="00D94BFC">
              <w:trPr>
                <w:cantSplit/>
              </w:trPr>
              <w:tc>
                <w:tcPr>
                  <w:tcW w:w="1500" w:type="pct"/>
                </w:tcPr>
                <w:p w14:paraId="7C271CF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38F8428" w14:textId="77777777" w:rsidR="00D94BFC" w:rsidRPr="003161DC" w:rsidRDefault="00D94BFC" w:rsidP="00D94BFC">
                  <w:pPr>
                    <w:spacing w:after="60"/>
                    <w:rPr>
                      <w:iCs/>
                      <w:sz w:val="20"/>
                    </w:rPr>
                  </w:pPr>
                  <w:r w:rsidRPr="003161DC">
                    <w:rPr>
                      <w:iCs/>
                      <w:sz w:val="20"/>
                    </w:rPr>
                    <w:t xml:space="preserve">Normal Ramp Rate down, as telemetered by the QSE. </w:t>
                  </w:r>
                </w:p>
              </w:tc>
            </w:tr>
            <w:tr w:rsidR="00D94BFC" w:rsidRPr="003161DC" w14:paraId="1F6184DA" w14:textId="77777777" w:rsidTr="00D94BFC">
              <w:trPr>
                <w:cantSplit/>
              </w:trPr>
              <w:tc>
                <w:tcPr>
                  <w:tcW w:w="1500" w:type="pct"/>
                </w:tcPr>
                <w:p w14:paraId="73216F80" w14:textId="77777777" w:rsidR="00D94BFC" w:rsidRPr="003161DC" w:rsidRDefault="00D94BFC" w:rsidP="00D94BFC">
                  <w:pPr>
                    <w:spacing w:after="60"/>
                    <w:rPr>
                      <w:iCs/>
                      <w:sz w:val="20"/>
                    </w:rPr>
                  </w:pPr>
                  <w:r>
                    <w:rPr>
                      <w:iCs/>
                      <w:sz w:val="20"/>
                    </w:rPr>
                    <w:t>HSLTELEM</w:t>
                  </w:r>
                </w:p>
              </w:tc>
              <w:tc>
                <w:tcPr>
                  <w:tcW w:w="3500" w:type="pct"/>
                </w:tcPr>
                <w:p w14:paraId="64BF7111" w14:textId="77777777" w:rsidR="00D94BFC" w:rsidRPr="003161DC" w:rsidRDefault="00D94BFC" w:rsidP="00D94BFC">
                  <w:pPr>
                    <w:spacing w:after="60"/>
                    <w:rPr>
                      <w:iCs/>
                      <w:sz w:val="20"/>
                    </w:rPr>
                  </w:pPr>
                  <w:r>
                    <w:rPr>
                      <w:iCs/>
                      <w:sz w:val="20"/>
                    </w:rPr>
                    <w:t>HSL provided via telemetry.</w:t>
                  </w:r>
                </w:p>
              </w:tc>
            </w:tr>
          </w:tbl>
          <w:p w14:paraId="7B325358" w14:textId="17637D5E" w:rsidR="00D94BFC" w:rsidRPr="003161DC" w:rsidRDefault="00D94BFC" w:rsidP="00D94BFC">
            <w:pPr>
              <w:spacing w:before="240" w:after="240"/>
              <w:rPr>
                <w:b/>
                <w:i/>
                <w:iCs/>
              </w:rPr>
            </w:pPr>
            <w:r w:rsidRPr="003161DC">
              <w:rPr>
                <w:iCs/>
              </w:rPr>
              <w:t>(</w:t>
            </w:r>
            <w:r w:rsidR="001E163F">
              <w:rPr>
                <w:iCs/>
              </w:rPr>
              <w:t>7</w:t>
            </w:r>
            <w:r w:rsidRPr="003161DC">
              <w:rPr>
                <w:iCs/>
              </w:rPr>
              <w:t>)</w:t>
            </w:r>
            <w:r w:rsidRPr="003161DC">
              <w:rPr>
                <w:iCs/>
              </w:rPr>
              <w:tab/>
              <w:t xml:space="preserve">For </w:t>
            </w:r>
            <w:r>
              <w:rPr>
                <w:iCs/>
              </w:rPr>
              <w:t xml:space="preserve">SCED-dispatchable </w:t>
            </w:r>
            <w:r w:rsidRPr="003161DC">
              <w:rPr>
                <w:iCs/>
              </w:rPr>
              <w:t>Load Resources, LDL is calculated as follows:</w:t>
            </w:r>
          </w:p>
          <w:p w14:paraId="54B440FE" w14:textId="04800EBF" w:rsidR="00D94BFC" w:rsidRPr="003161DC" w:rsidRDefault="00D94BFC" w:rsidP="00D94BFC">
            <w:pPr>
              <w:spacing w:after="240"/>
              <w:ind w:left="1440" w:hanging="720"/>
              <w:rPr>
                <w:b/>
              </w:rPr>
            </w:pPr>
            <w:r w:rsidRPr="003161DC">
              <w:rPr>
                <w:b/>
              </w:rPr>
              <w:t>LDL</w:t>
            </w:r>
            <w:r w:rsidRPr="003161DC">
              <w:rPr>
                <w:b/>
              </w:rPr>
              <w:tab/>
              <w:t>=</w:t>
            </w:r>
            <w:r w:rsidRPr="003161DC">
              <w:rPr>
                <w:b/>
              </w:rPr>
              <w:tab/>
              <w:t>Max (POWERTELEM - (</w:t>
            </w:r>
            <w:r>
              <w:rPr>
                <w:b/>
                <w:lang w:val="de-DE"/>
              </w:rPr>
              <w:t>NORMRAMPUP</w:t>
            </w:r>
            <w:r w:rsidRPr="003161DC">
              <w:rPr>
                <w:b/>
              </w:rPr>
              <w:t xml:space="preserve"> * 5),</w:t>
            </w:r>
            <w:r w:rsidR="001E163F">
              <w:rPr>
                <w:b/>
              </w:rPr>
              <w:t xml:space="preserve"> </w:t>
            </w:r>
            <w:r>
              <w:rPr>
                <w:b/>
              </w:rPr>
              <w:t>LSLTELEM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691AFD54" w14:textId="77777777" w:rsidTr="00D94BFC">
              <w:tc>
                <w:tcPr>
                  <w:tcW w:w="1500" w:type="pct"/>
                </w:tcPr>
                <w:p w14:paraId="222E2B04" w14:textId="77777777" w:rsidR="00D94BFC" w:rsidRPr="003161DC" w:rsidRDefault="00D94BFC" w:rsidP="00D94BFC">
                  <w:pPr>
                    <w:spacing w:after="120"/>
                    <w:rPr>
                      <w:b/>
                      <w:iCs/>
                      <w:sz w:val="20"/>
                    </w:rPr>
                  </w:pPr>
                  <w:r w:rsidRPr="003161DC">
                    <w:rPr>
                      <w:b/>
                      <w:iCs/>
                      <w:sz w:val="20"/>
                    </w:rPr>
                    <w:t>Variable</w:t>
                  </w:r>
                </w:p>
              </w:tc>
              <w:tc>
                <w:tcPr>
                  <w:tcW w:w="3500" w:type="pct"/>
                </w:tcPr>
                <w:p w14:paraId="6034EAA7" w14:textId="77777777" w:rsidR="00D94BFC" w:rsidRPr="003161DC" w:rsidRDefault="00D94BFC" w:rsidP="00D94BFC">
                  <w:pPr>
                    <w:spacing w:after="120"/>
                    <w:rPr>
                      <w:b/>
                      <w:iCs/>
                      <w:sz w:val="20"/>
                    </w:rPr>
                  </w:pPr>
                  <w:r w:rsidRPr="003161DC">
                    <w:rPr>
                      <w:b/>
                      <w:iCs/>
                      <w:sz w:val="20"/>
                    </w:rPr>
                    <w:t>Description</w:t>
                  </w:r>
                </w:p>
              </w:tc>
            </w:tr>
            <w:tr w:rsidR="00D94BFC" w:rsidRPr="003161DC" w14:paraId="4A8760BB" w14:textId="77777777" w:rsidTr="00D94BFC">
              <w:trPr>
                <w:cantSplit/>
              </w:trPr>
              <w:tc>
                <w:tcPr>
                  <w:tcW w:w="1500" w:type="pct"/>
                </w:tcPr>
                <w:p w14:paraId="4B757899" w14:textId="77777777" w:rsidR="00D94BFC" w:rsidRPr="003161DC" w:rsidRDefault="00D94BFC" w:rsidP="00D94BFC">
                  <w:pPr>
                    <w:spacing w:after="60"/>
                    <w:rPr>
                      <w:iCs/>
                      <w:sz w:val="20"/>
                    </w:rPr>
                  </w:pPr>
                  <w:r w:rsidRPr="003161DC">
                    <w:rPr>
                      <w:iCs/>
                      <w:sz w:val="20"/>
                    </w:rPr>
                    <w:t>LDL</w:t>
                  </w:r>
                </w:p>
              </w:tc>
              <w:tc>
                <w:tcPr>
                  <w:tcW w:w="3500" w:type="pct"/>
                </w:tcPr>
                <w:p w14:paraId="74A073CC" w14:textId="77777777" w:rsidR="00D94BFC" w:rsidRPr="003161DC" w:rsidRDefault="00D94BFC" w:rsidP="00D94BFC">
                  <w:pPr>
                    <w:spacing w:after="60"/>
                    <w:rPr>
                      <w:iCs/>
                      <w:sz w:val="20"/>
                    </w:rPr>
                  </w:pPr>
                  <w:r w:rsidRPr="003161DC">
                    <w:rPr>
                      <w:iCs/>
                      <w:sz w:val="20"/>
                    </w:rPr>
                    <w:t>Low Dispatch Limit.</w:t>
                  </w:r>
                </w:p>
              </w:tc>
            </w:tr>
            <w:tr w:rsidR="00D94BFC" w:rsidRPr="003161DC" w14:paraId="08985206" w14:textId="77777777" w:rsidTr="00D94BFC">
              <w:trPr>
                <w:cantSplit/>
              </w:trPr>
              <w:tc>
                <w:tcPr>
                  <w:tcW w:w="1500" w:type="pct"/>
                </w:tcPr>
                <w:p w14:paraId="4696B715" w14:textId="77777777" w:rsidR="00D94BFC" w:rsidRPr="003161DC" w:rsidRDefault="00D94BFC" w:rsidP="00D94BFC">
                  <w:pPr>
                    <w:spacing w:after="60"/>
                    <w:rPr>
                      <w:iCs/>
                      <w:sz w:val="20"/>
                    </w:rPr>
                  </w:pPr>
                  <w:r w:rsidRPr="003161DC">
                    <w:rPr>
                      <w:iCs/>
                      <w:sz w:val="20"/>
                    </w:rPr>
                    <w:t>POWERTELEM</w:t>
                  </w:r>
                </w:p>
              </w:tc>
              <w:tc>
                <w:tcPr>
                  <w:tcW w:w="3500" w:type="pct"/>
                </w:tcPr>
                <w:p w14:paraId="1EFA6F9B"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BFE962A" w14:textId="77777777" w:rsidTr="00D94BFC">
              <w:trPr>
                <w:cantSplit/>
              </w:trPr>
              <w:tc>
                <w:tcPr>
                  <w:tcW w:w="1500" w:type="pct"/>
                </w:tcPr>
                <w:p w14:paraId="568F52F2" w14:textId="77777777" w:rsidR="00D94BFC" w:rsidRPr="003161DC" w:rsidRDefault="00D94BFC" w:rsidP="00D94BFC">
                  <w:pPr>
                    <w:spacing w:after="60"/>
                    <w:rPr>
                      <w:iCs/>
                      <w:sz w:val="20"/>
                    </w:rPr>
                  </w:pPr>
                  <w:r>
                    <w:rPr>
                      <w:iCs/>
                      <w:sz w:val="20"/>
                    </w:rPr>
                    <w:t>NORMRAMPUP</w:t>
                  </w:r>
                </w:p>
              </w:tc>
              <w:tc>
                <w:tcPr>
                  <w:tcW w:w="3500" w:type="pct"/>
                </w:tcPr>
                <w:p w14:paraId="536DF28B" w14:textId="77777777" w:rsidR="00D94BFC" w:rsidRPr="003161DC" w:rsidRDefault="00D94BFC" w:rsidP="00D94BFC">
                  <w:pPr>
                    <w:spacing w:after="60"/>
                    <w:rPr>
                      <w:iCs/>
                      <w:sz w:val="20"/>
                    </w:rPr>
                  </w:pPr>
                  <w:r w:rsidRPr="003161DC">
                    <w:rPr>
                      <w:iCs/>
                      <w:sz w:val="20"/>
                    </w:rPr>
                    <w:t>Normal Ramp Rate up, as telemetered by the QSE</w:t>
                  </w:r>
                  <w:r>
                    <w:rPr>
                      <w:iCs/>
                      <w:sz w:val="20"/>
                    </w:rPr>
                    <w:t>.</w:t>
                  </w:r>
                </w:p>
              </w:tc>
            </w:tr>
            <w:tr w:rsidR="00D94BFC" w:rsidRPr="003161DC" w14:paraId="20664F67" w14:textId="77777777" w:rsidTr="00D94BFC">
              <w:trPr>
                <w:cantSplit/>
              </w:trPr>
              <w:tc>
                <w:tcPr>
                  <w:tcW w:w="1500" w:type="pct"/>
                </w:tcPr>
                <w:p w14:paraId="30D390AA" w14:textId="77777777" w:rsidR="00D94BFC" w:rsidRDefault="00D94BFC" w:rsidP="00D94BFC">
                  <w:pPr>
                    <w:spacing w:after="60"/>
                    <w:rPr>
                      <w:iCs/>
                      <w:sz w:val="20"/>
                    </w:rPr>
                  </w:pPr>
                  <w:r>
                    <w:rPr>
                      <w:iCs/>
                      <w:sz w:val="20"/>
                    </w:rPr>
                    <w:t>LSLTELEM</w:t>
                  </w:r>
                </w:p>
              </w:tc>
              <w:tc>
                <w:tcPr>
                  <w:tcW w:w="3500" w:type="pct"/>
                </w:tcPr>
                <w:p w14:paraId="3F61A792" w14:textId="77777777" w:rsidR="00D94BFC" w:rsidRPr="003161DC" w:rsidRDefault="00D94BFC" w:rsidP="00D94BFC">
                  <w:pPr>
                    <w:spacing w:after="60"/>
                    <w:rPr>
                      <w:iCs/>
                      <w:sz w:val="20"/>
                    </w:rPr>
                  </w:pPr>
                  <w:r>
                    <w:rPr>
                      <w:iCs/>
                      <w:sz w:val="20"/>
                    </w:rPr>
                    <w:t>LSL provided via telemetry.</w:t>
                  </w:r>
                </w:p>
              </w:tc>
            </w:tr>
          </w:tbl>
          <w:p w14:paraId="5F2025DE" w14:textId="0F19FD15" w:rsidR="00F65784" w:rsidRPr="00F65784" w:rsidRDefault="00F65784" w:rsidP="00D94BFC">
            <w:pPr>
              <w:spacing w:after="240"/>
              <w:ind w:left="720" w:hanging="720"/>
            </w:pPr>
          </w:p>
        </w:tc>
      </w:tr>
    </w:tbl>
    <w:p w14:paraId="0AD10B00" w14:textId="76FD60FA" w:rsidR="001F04FD" w:rsidRDefault="001F04FD" w:rsidP="001F04FD">
      <w:pPr>
        <w:pStyle w:val="H4"/>
        <w:spacing w:before="480"/>
        <w:ind w:left="1267" w:hanging="1267"/>
      </w:pPr>
      <w:bookmarkStart w:id="1139" w:name="_Toc189044357"/>
      <w:bookmarkStart w:id="1140" w:name="_Hlk102562855"/>
      <w:r>
        <w:lastRenderedPageBreak/>
        <w:t>6.5.7.3</w:t>
      </w:r>
      <w:r>
        <w:tab/>
        <w:t>Security Constrained Economic Dispatch</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39"/>
    </w:p>
    <w:p w14:paraId="109FB22E" w14:textId="0DF61FE1" w:rsidR="001F04FD" w:rsidRDefault="001F04FD" w:rsidP="001F04FD">
      <w:pPr>
        <w:pStyle w:val="BodyTextNumbered"/>
      </w:pPr>
      <w:r w:rsidRPr="000B52AD">
        <w:rPr>
          <w:iCs/>
        </w:rPr>
        <w:t>(1)</w:t>
      </w:r>
      <w:r w:rsidRPr="000B52AD">
        <w:rPr>
          <w:iCs/>
        </w:rPr>
        <w:tab/>
      </w:r>
      <w:r w:rsidRPr="00C238D3">
        <w:rPr>
          <w:iCs/>
        </w:rPr>
        <w:t>The SCED process is designed to simultaneously manage energy</w:t>
      </w:r>
      <w:r>
        <w:rPr>
          <w:iCs/>
        </w:rPr>
        <w:t>, the system power</w:t>
      </w:r>
      <w:r w:rsidRPr="00C238D3">
        <w:rPr>
          <w:iCs/>
        </w:rPr>
        <w:t xml:space="preserve"> balance and </w:t>
      </w:r>
      <w:r>
        <w:rPr>
          <w:iCs/>
        </w:rPr>
        <w:t xml:space="preserve">network </w:t>
      </w:r>
      <w:r w:rsidRPr="00C238D3">
        <w:rPr>
          <w:iCs/>
        </w:rPr>
        <w:t>congestion through Resource Base Points and calculation of LMPs every five minutes.  The SCED process uses a two-step methodology that applies mitigation prospectively to resolve Non-Competitive Constraints for the current Operating Hour.  The SCED process evaluates Energy Offer Curves</w:t>
      </w:r>
      <w:r>
        <w:rPr>
          <w:iCs/>
        </w:rPr>
        <w:t xml:space="preserve">, </w:t>
      </w:r>
      <w:r w:rsidRPr="00C238D3">
        <w:rPr>
          <w:iCs/>
        </w:rPr>
        <w:t>Output Schedules</w:t>
      </w:r>
      <w:r>
        <w:rPr>
          <w:iCs/>
        </w:rPr>
        <w:t xml:space="preserve"> and Real-Time Market (RTM) Energy Bids</w:t>
      </w:r>
      <w:r w:rsidRPr="00C238D3">
        <w:rPr>
          <w:iCs/>
        </w:rPr>
        <w:t xml:space="preserve"> to </w:t>
      </w:r>
      <w:r>
        <w:rPr>
          <w:iCs/>
        </w:rPr>
        <w:t xml:space="preserve">determine Resource Dispatch Instructions by maximizing bid-based revenues minus offer-based costs, </w:t>
      </w:r>
      <w:r w:rsidRPr="00C238D3">
        <w:rPr>
          <w:iCs/>
        </w:rPr>
        <w:t xml:space="preserve">subject to </w:t>
      </w:r>
      <w:r>
        <w:rPr>
          <w:iCs/>
        </w:rPr>
        <w:t>power balance and network</w:t>
      </w:r>
      <w:r w:rsidRPr="00C238D3">
        <w:rPr>
          <w:iCs/>
        </w:rPr>
        <w:t xml:space="preserve"> constraints.  The SCED process uses the Resource Status provided by SCADA telemetry under Section 6.5.5.2, Operational Data Requirements, and validated by the Real-Time Sequence, instead of the Resource Status provided by the COP.</w:t>
      </w:r>
    </w:p>
    <w:p w14:paraId="59834482" w14:textId="72624D9D" w:rsidR="001F04FD" w:rsidRDefault="001F04FD" w:rsidP="000B1D41">
      <w:pPr>
        <w:pStyle w:val="BodyTextNumbered"/>
      </w:pPr>
      <w:r>
        <w:t>(2)</w:t>
      </w:r>
      <w:r>
        <w:tab/>
        <w:t>The SCED solution must monitor cumulative deployment of Regulation Services and ensure that Regulation Services deployment is minimized over time.</w:t>
      </w:r>
    </w:p>
    <w:p w14:paraId="1BE8191A" w14:textId="22C4E6D8" w:rsidR="001F04FD" w:rsidRDefault="001F04FD" w:rsidP="001F04FD">
      <w:pPr>
        <w:spacing w:before="240" w:after="240"/>
        <w:ind w:left="720" w:hanging="720"/>
      </w:pPr>
      <w:r w:rsidRPr="006A6281">
        <w:t>(3)</w:t>
      </w:r>
      <w:r w:rsidRPr="006A6281">
        <w:tab/>
        <w:t xml:space="preserve">In the </w:t>
      </w:r>
      <w:r>
        <w:t>G</w:t>
      </w:r>
      <w:r w:rsidRPr="006A6281">
        <w:t>eneration</w:t>
      </w:r>
      <w:r>
        <w:t xml:space="preserve"> T</w:t>
      </w:r>
      <w:r w:rsidRPr="006A6281">
        <w:t>o</w:t>
      </w:r>
      <w:r>
        <w:t xml:space="preserve"> B</w:t>
      </w:r>
      <w:r w:rsidRPr="006A6281">
        <w:t>e</w:t>
      </w:r>
      <w:r>
        <w:t xml:space="preserve"> D</w:t>
      </w:r>
      <w:r w:rsidRPr="006A6281">
        <w:t xml:space="preserve">ispatched </w:t>
      </w:r>
      <w:r>
        <w:t xml:space="preserve">(GTBD) </w:t>
      </w:r>
      <w:r w:rsidRPr="006A6281">
        <w:t xml:space="preserve">determined by LFC, ERCOT shall subtract the sum of the telemetered net real power consumption from all </w:t>
      </w:r>
      <w:r w:rsidR="00D3410D">
        <w:t xml:space="preserve">CLRs </w:t>
      </w:r>
      <w:r w:rsidRPr="006A6281">
        <w:t>available to SCED.</w:t>
      </w:r>
    </w:p>
    <w:p w14:paraId="3217C72C" w14:textId="77777777" w:rsidR="001F04FD" w:rsidRDefault="001F04FD" w:rsidP="001F04FD">
      <w:pPr>
        <w:pStyle w:val="BodyTextNumbered"/>
      </w:pPr>
      <w:r>
        <w:t>(4)</w:t>
      </w:r>
      <w:r>
        <w:tab/>
        <w:t xml:space="preserve">For use as SCED inputs, ERCOT shall use the available capacity of all committed Generation Resources by creating proxy Energy Offer Curves for certain Resources as follows: </w:t>
      </w:r>
    </w:p>
    <w:p w14:paraId="5540BCD3" w14:textId="77777777" w:rsidR="001F04FD" w:rsidRDefault="001F04FD" w:rsidP="001F04FD">
      <w:pPr>
        <w:pStyle w:val="List"/>
      </w:pPr>
      <w:r>
        <w:t>(a)</w:t>
      </w:r>
      <w:r>
        <w:tab/>
        <w:t>Non-IRRs and Dynamically Scheduled Resources (DSRs) without Energy Offer Curves</w:t>
      </w:r>
    </w:p>
    <w:p w14:paraId="2F98BC53" w14:textId="00D3D048" w:rsidR="001F04FD" w:rsidRDefault="00873BD5" w:rsidP="000B1D41">
      <w:pPr>
        <w:pStyle w:val="List2"/>
      </w:pPr>
      <w:r>
        <w:t>(i)</w:t>
      </w:r>
      <w:r>
        <w:tab/>
      </w:r>
      <w:r w:rsidR="001F04FD">
        <w:t>ERCOT shall create a monotonically increasing proxy Energy Offer Curve as described below for:</w:t>
      </w:r>
    </w:p>
    <w:p w14:paraId="117D958C" w14:textId="77777777" w:rsidR="001F04FD" w:rsidRDefault="001F04FD" w:rsidP="00873BD5">
      <w:pPr>
        <w:pStyle w:val="List2"/>
        <w:ind w:left="2880"/>
      </w:pPr>
      <w:r>
        <w:lastRenderedPageBreak/>
        <w:t>(</w:t>
      </w:r>
      <w:r w:rsidR="00873BD5">
        <w:t>A</w:t>
      </w:r>
      <w:r>
        <w:t>)</w:t>
      </w:r>
      <w:r>
        <w:tab/>
        <w:t>Each non-IRR for which its QSE has submitted an Output Schedule instead of an Energy Offer Curve; and</w:t>
      </w:r>
    </w:p>
    <w:p w14:paraId="19DEC3B9" w14:textId="77777777" w:rsidR="001F04FD" w:rsidRDefault="001F04FD" w:rsidP="008D7D6C">
      <w:pPr>
        <w:pStyle w:val="List2"/>
        <w:ind w:left="2880"/>
      </w:pPr>
      <w:r>
        <w:t>(</w:t>
      </w:r>
      <w:r w:rsidR="00873BD5">
        <w:t>B</w:t>
      </w:r>
      <w:r>
        <w:t>)</w:t>
      </w:r>
      <w:r>
        <w:tab/>
        <w:t xml:space="preserve">Each DSR that has not submitted </w:t>
      </w:r>
      <w:r w:rsidR="00873BD5">
        <w:t>i</w:t>
      </w:r>
      <w:r>
        <w:t xml:space="preserve">ncremental and </w:t>
      </w:r>
      <w:r w:rsidR="00873BD5">
        <w:t>d</w:t>
      </w:r>
      <w:r>
        <w:t>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1F04FD" w14:paraId="562FE8DA" w14:textId="77777777" w:rsidTr="00AC4DEE">
        <w:trPr>
          <w:jc w:val="center"/>
        </w:trPr>
        <w:tc>
          <w:tcPr>
            <w:tcW w:w="3780" w:type="dxa"/>
          </w:tcPr>
          <w:p w14:paraId="12075BF6" w14:textId="77777777" w:rsidR="001F04FD" w:rsidRDefault="001F04FD" w:rsidP="00AC4DEE">
            <w:pPr>
              <w:pStyle w:val="TableHead"/>
            </w:pPr>
            <w:r>
              <w:t>MW</w:t>
            </w:r>
          </w:p>
        </w:tc>
        <w:tc>
          <w:tcPr>
            <w:tcW w:w="2520" w:type="dxa"/>
          </w:tcPr>
          <w:p w14:paraId="3F5FB858" w14:textId="77777777" w:rsidR="001F04FD" w:rsidRDefault="001F04FD" w:rsidP="00AC4DEE">
            <w:pPr>
              <w:pStyle w:val="TableHead"/>
            </w:pPr>
            <w:r>
              <w:t>Price (per MWh)</w:t>
            </w:r>
          </w:p>
        </w:tc>
      </w:tr>
      <w:tr w:rsidR="001F04FD" w14:paraId="7528CFB3" w14:textId="77777777" w:rsidTr="00AC4DEE">
        <w:trPr>
          <w:jc w:val="center"/>
        </w:trPr>
        <w:tc>
          <w:tcPr>
            <w:tcW w:w="3780" w:type="dxa"/>
          </w:tcPr>
          <w:p w14:paraId="0704C7B8" w14:textId="77777777" w:rsidR="001F04FD" w:rsidRDefault="001F04FD" w:rsidP="00AC4DEE">
            <w:pPr>
              <w:pStyle w:val="TableBody"/>
            </w:pPr>
            <w:r>
              <w:t>HSL</w:t>
            </w:r>
          </w:p>
        </w:tc>
        <w:tc>
          <w:tcPr>
            <w:tcW w:w="2520" w:type="dxa"/>
          </w:tcPr>
          <w:p w14:paraId="5D6E8D1F" w14:textId="77777777" w:rsidR="001F04FD" w:rsidRDefault="001F04FD" w:rsidP="00AC4DEE">
            <w:pPr>
              <w:pStyle w:val="TableBody"/>
            </w:pPr>
            <w:r>
              <w:t>SWCAP</w:t>
            </w:r>
          </w:p>
        </w:tc>
      </w:tr>
      <w:tr w:rsidR="001F04FD" w14:paraId="7424B3D9" w14:textId="77777777" w:rsidTr="00AC4DEE">
        <w:trPr>
          <w:jc w:val="center"/>
        </w:trPr>
        <w:tc>
          <w:tcPr>
            <w:tcW w:w="3780" w:type="dxa"/>
          </w:tcPr>
          <w:p w14:paraId="39B50661" w14:textId="77777777" w:rsidR="001F04FD" w:rsidRDefault="001F04FD" w:rsidP="00AC4DEE">
            <w:pPr>
              <w:pStyle w:val="TableBody"/>
            </w:pPr>
            <w:r>
              <w:t>Output Schedule MW plus 1 MW</w:t>
            </w:r>
          </w:p>
        </w:tc>
        <w:tc>
          <w:tcPr>
            <w:tcW w:w="2520" w:type="dxa"/>
          </w:tcPr>
          <w:p w14:paraId="70C296EB" w14:textId="77777777" w:rsidR="001F04FD" w:rsidRDefault="001F04FD" w:rsidP="00AC4DEE">
            <w:pPr>
              <w:pStyle w:val="TableBody"/>
            </w:pPr>
            <w:r>
              <w:t>SWCAP minus $0.01</w:t>
            </w:r>
          </w:p>
        </w:tc>
      </w:tr>
      <w:tr w:rsidR="001F04FD" w14:paraId="09104AAF" w14:textId="77777777" w:rsidTr="00AC4DEE">
        <w:trPr>
          <w:jc w:val="center"/>
        </w:trPr>
        <w:tc>
          <w:tcPr>
            <w:tcW w:w="3780" w:type="dxa"/>
          </w:tcPr>
          <w:p w14:paraId="3F147D0D" w14:textId="77777777" w:rsidR="001F04FD" w:rsidRDefault="001F04FD" w:rsidP="00AC4DEE">
            <w:pPr>
              <w:pStyle w:val="TableBody"/>
            </w:pPr>
            <w:r>
              <w:t>Output Schedule MW</w:t>
            </w:r>
          </w:p>
        </w:tc>
        <w:tc>
          <w:tcPr>
            <w:tcW w:w="2520" w:type="dxa"/>
          </w:tcPr>
          <w:p w14:paraId="100E20E2" w14:textId="77777777" w:rsidR="001F04FD" w:rsidRDefault="001F04FD" w:rsidP="00AC4DEE">
            <w:pPr>
              <w:pStyle w:val="TableBody"/>
            </w:pPr>
            <w:r>
              <w:t>-$249.99</w:t>
            </w:r>
          </w:p>
        </w:tc>
      </w:tr>
      <w:tr w:rsidR="001F04FD" w14:paraId="4812C76B" w14:textId="77777777" w:rsidTr="00AC4DEE">
        <w:trPr>
          <w:jc w:val="center"/>
        </w:trPr>
        <w:tc>
          <w:tcPr>
            <w:tcW w:w="3780" w:type="dxa"/>
          </w:tcPr>
          <w:p w14:paraId="510DC11D" w14:textId="77777777" w:rsidR="001F04FD" w:rsidRDefault="001F04FD" w:rsidP="00AC4DEE">
            <w:pPr>
              <w:pStyle w:val="TableBody"/>
            </w:pPr>
            <w:r>
              <w:t>LSL</w:t>
            </w:r>
          </w:p>
        </w:tc>
        <w:tc>
          <w:tcPr>
            <w:tcW w:w="2520" w:type="dxa"/>
          </w:tcPr>
          <w:p w14:paraId="17B64F74" w14:textId="77777777" w:rsidR="001F04FD" w:rsidRDefault="001F04FD" w:rsidP="00AC4DEE">
            <w:pPr>
              <w:pStyle w:val="TableBody"/>
            </w:pPr>
            <w:r>
              <w:t>-$250.00</w:t>
            </w:r>
          </w:p>
        </w:tc>
      </w:tr>
    </w:tbl>
    <w:p w14:paraId="13792924" w14:textId="77777777" w:rsidR="001F04FD" w:rsidRDefault="001F04FD" w:rsidP="001F04FD">
      <w:pPr>
        <w:pStyle w:val="List"/>
        <w:spacing w:before="240"/>
      </w:pPr>
      <w:r>
        <w:t>(b)</w:t>
      </w:r>
      <w:r>
        <w:tab/>
        <w:t>DSRs with Energy Offer Curves</w:t>
      </w:r>
    </w:p>
    <w:p w14:paraId="2A2C18AE" w14:textId="77777777" w:rsidR="001F04FD" w:rsidRDefault="00873BD5" w:rsidP="008D7D6C">
      <w:pPr>
        <w:pStyle w:val="List2"/>
      </w:pPr>
      <w:r>
        <w:t>(i)</w:t>
      </w:r>
      <w:r>
        <w:tab/>
      </w:r>
      <w:r w:rsidR="001F04FD">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1F04FD" w14:paraId="551388D9" w14:textId="77777777" w:rsidTr="00AC4DEE">
        <w:trPr>
          <w:jc w:val="center"/>
        </w:trPr>
        <w:tc>
          <w:tcPr>
            <w:tcW w:w="3825" w:type="dxa"/>
          </w:tcPr>
          <w:p w14:paraId="78BB9370" w14:textId="77777777" w:rsidR="001F04FD" w:rsidRDefault="001F04FD" w:rsidP="00AC4DEE">
            <w:pPr>
              <w:pStyle w:val="TableHead"/>
            </w:pPr>
            <w:r>
              <w:t>MW</w:t>
            </w:r>
          </w:p>
        </w:tc>
        <w:tc>
          <w:tcPr>
            <w:tcW w:w="2565" w:type="dxa"/>
          </w:tcPr>
          <w:p w14:paraId="4F1433C9" w14:textId="77777777" w:rsidR="001F04FD" w:rsidRDefault="001F04FD" w:rsidP="00AC4DEE">
            <w:pPr>
              <w:pStyle w:val="TableHead"/>
            </w:pPr>
            <w:r>
              <w:t>Price (per MWh)</w:t>
            </w:r>
          </w:p>
        </w:tc>
      </w:tr>
      <w:tr w:rsidR="001F04FD" w14:paraId="798C333A" w14:textId="77777777" w:rsidTr="00AC4DEE">
        <w:trPr>
          <w:jc w:val="center"/>
        </w:trPr>
        <w:tc>
          <w:tcPr>
            <w:tcW w:w="3825" w:type="dxa"/>
          </w:tcPr>
          <w:p w14:paraId="6975DD13" w14:textId="77777777" w:rsidR="001F04FD" w:rsidRDefault="001F04FD" w:rsidP="00AC4DEE">
            <w:pPr>
              <w:pStyle w:val="TableBody"/>
            </w:pPr>
            <w:r>
              <w:t>Output Schedule MW plus 1 MW to HSL</w:t>
            </w:r>
          </w:p>
        </w:tc>
        <w:tc>
          <w:tcPr>
            <w:tcW w:w="2565" w:type="dxa"/>
          </w:tcPr>
          <w:p w14:paraId="69AEFF7C" w14:textId="77777777" w:rsidR="001F04FD" w:rsidRDefault="001F04FD" w:rsidP="00AC4DEE">
            <w:pPr>
              <w:pStyle w:val="TableBody"/>
            </w:pPr>
            <w:r>
              <w:t>Incremental Energy Offer Curve</w:t>
            </w:r>
          </w:p>
        </w:tc>
      </w:tr>
      <w:tr w:rsidR="001F04FD" w14:paraId="41A63723" w14:textId="77777777" w:rsidTr="00AC4DEE">
        <w:trPr>
          <w:jc w:val="center"/>
        </w:trPr>
        <w:tc>
          <w:tcPr>
            <w:tcW w:w="3825" w:type="dxa"/>
          </w:tcPr>
          <w:p w14:paraId="12962997" w14:textId="77777777" w:rsidR="001F04FD" w:rsidRDefault="001F04FD" w:rsidP="00AC4DEE">
            <w:pPr>
              <w:pStyle w:val="TableBody"/>
            </w:pPr>
            <w:r>
              <w:t xml:space="preserve">LSL to Output Schedule MW </w:t>
            </w:r>
          </w:p>
        </w:tc>
        <w:tc>
          <w:tcPr>
            <w:tcW w:w="2565" w:type="dxa"/>
          </w:tcPr>
          <w:p w14:paraId="25C64087" w14:textId="77777777" w:rsidR="001F04FD" w:rsidRDefault="001F04FD" w:rsidP="00AC4DEE">
            <w:pPr>
              <w:pStyle w:val="TableBody"/>
            </w:pPr>
            <w:r>
              <w:t>Decremental Energy Offer Curve</w:t>
            </w:r>
          </w:p>
        </w:tc>
      </w:tr>
    </w:tbl>
    <w:p w14:paraId="209E071E" w14:textId="2D91424B" w:rsidR="001F04FD" w:rsidRDefault="001F04FD" w:rsidP="001F04FD">
      <w:pPr>
        <w:pStyle w:val="List"/>
        <w:spacing w:before="240"/>
      </w:pPr>
      <w:r>
        <w:t>(c)</w:t>
      </w:r>
      <w:r>
        <w:tab/>
        <w:t xml:space="preserve">Non-IRRs without full-range Energy Offer Curves </w:t>
      </w:r>
    </w:p>
    <w:p w14:paraId="6983D5B9" w14:textId="77777777" w:rsidR="001F04FD" w:rsidRDefault="00873BD5" w:rsidP="008D7D6C">
      <w:pPr>
        <w:pStyle w:val="List2"/>
      </w:pPr>
      <w:r>
        <w:t>(i)</w:t>
      </w:r>
      <w:r>
        <w:tab/>
      </w:r>
      <w:r w:rsidR="001F04FD">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1F04FD" w14:paraId="17B4C061" w14:textId="77777777" w:rsidTr="00AC4DEE">
        <w:trPr>
          <w:jc w:val="center"/>
        </w:trPr>
        <w:tc>
          <w:tcPr>
            <w:tcW w:w="3891" w:type="dxa"/>
          </w:tcPr>
          <w:p w14:paraId="01AB1385" w14:textId="77777777" w:rsidR="001F04FD" w:rsidRDefault="001F04FD" w:rsidP="00AC4DEE">
            <w:pPr>
              <w:pStyle w:val="TableHead"/>
            </w:pPr>
            <w:r>
              <w:t>MW</w:t>
            </w:r>
          </w:p>
        </w:tc>
        <w:tc>
          <w:tcPr>
            <w:tcW w:w="2630" w:type="dxa"/>
          </w:tcPr>
          <w:p w14:paraId="1B188BB8" w14:textId="77777777" w:rsidR="001F04FD" w:rsidRDefault="001F04FD" w:rsidP="00AC4DEE">
            <w:pPr>
              <w:pStyle w:val="TableHead"/>
            </w:pPr>
            <w:r>
              <w:t>Price (per MWh)</w:t>
            </w:r>
          </w:p>
        </w:tc>
      </w:tr>
      <w:tr w:rsidR="001F04FD" w14:paraId="66377540" w14:textId="77777777" w:rsidTr="00AC4DEE">
        <w:trPr>
          <w:jc w:val="center"/>
        </w:trPr>
        <w:tc>
          <w:tcPr>
            <w:tcW w:w="3891" w:type="dxa"/>
          </w:tcPr>
          <w:p w14:paraId="0C450C01" w14:textId="77777777" w:rsidR="001F04FD" w:rsidRDefault="001F04FD" w:rsidP="00AC4DEE">
            <w:pPr>
              <w:pStyle w:val="TableBody"/>
            </w:pPr>
            <w:r>
              <w:t>HSL (if more than highest MW in submitted Energy Offer Curve)</w:t>
            </w:r>
          </w:p>
        </w:tc>
        <w:tc>
          <w:tcPr>
            <w:tcW w:w="2630" w:type="dxa"/>
          </w:tcPr>
          <w:p w14:paraId="4FEA2FC5" w14:textId="77777777" w:rsidR="001F04FD" w:rsidRDefault="001F04FD" w:rsidP="00AC4DEE">
            <w:pPr>
              <w:pStyle w:val="TableBody"/>
            </w:pPr>
            <w:r>
              <w:t>Price associated with highest MW in submitted Energy Offer Curve</w:t>
            </w:r>
          </w:p>
        </w:tc>
      </w:tr>
      <w:tr w:rsidR="001F04FD" w14:paraId="4FAF9F69" w14:textId="77777777" w:rsidTr="00AC4DEE">
        <w:trPr>
          <w:jc w:val="center"/>
        </w:trPr>
        <w:tc>
          <w:tcPr>
            <w:tcW w:w="3891" w:type="dxa"/>
          </w:tcPr>
          <w:p w14:paraId="789A0C89" w14:textId="77777777" w:rsidR="001F04FD" w:rsidRDefault="001F04FD" w:rsidP="00AC4DEE">
            <w:pPr>
              <w:pStyle w:val="TableBody"/>
            </w:pPr>
            <w:r>
              <w:t>Energy Offer Curve</w:t>
            </w:r>
          </w:p>
        </w:tc>
        <w:tc>
          <w:tcPr>
            <w:tcW w:w="2630" w:type="dxa"/>
          </w:tcPr>
          <w:p w14:paraId="48DFE060" w14:textId="77777777" w:rsidR="001F04FD" w:rsidRDefault="001F04FD" w:rsidP="00AC4DEE">
            <w:pPr>
              <w:pStyle w:val="TableBody"/>
            </w:pPr>
            <w:r>
              <w:t>Energy Offer Curve</w:t>
            </w:r>
          </w:p>
        </w:tc>
      </w:tr>
      <w:tr w:rsidR="001F04FD" w14:paraId="4C9A8A79" w14:textId="77777777" w:rsidTr="00AC4DEE">
        <w:trPr>
          <w:jc w:val="center"/>
        </w:trPr>
        <w:tc>
          <w:tcPr>
            <w:tcW w:w="3891" w:type="dxa"/>
          </w:tcPr>
          <w:p w14:paraId="1F836580" w14:textId="77777777" w:rsidR="001F04FD" w:rsidRDefault="001F04FD" w:rsidP="00AC4DEE">
            <w:pPr>
              <w:pStyle w:val="TableBody"/>
            </w:pPr>
            <w:r>
              <w:t>1 MW below lowest MW in Energy Offer Curve (if more than LSL)</w:t>
            </w:r>
          </w:p>
        </w:tc>
        <w:tc>
          <w:tcPr>
            <w:tcW w:w="2630" w:type="dxa"/>
          </w:tcPr>
          <w:p w14:paraId="0ED997A0" w14:textId="77777777" w:rsidR="001F04FD" w:rsidRDefault="001F04FD" w:rsidP="00AC4DEE">
            <w:pPr>
              <w:pStyle w:val="TableBody"/>
            </w:pPr>
            <w:r>
              <w:t>-$249.99</w:t>
            </w:r>
          </w:p>
        </w:tc>
      </w:tr>
      <w:tr w:rsidR="001F04FD" w14:paraId="314C0BAE" w14:textId="77777777" w:rsidTr="00AC4DEE">
        <w:trPr>
          <w:jc w:val="center"/>
        </w:trPr>
        <w:tc>
          <w:tcPr>
            <w:tcW w:w="3891" w:type="dxa"/>
          </w:tcPr>
          <w:p w14:paraId="5FBF2A62" w14:textId="77777777" w:rsidR="001F04FD" w:rsidRDefault="001F04FD" w:rsidP="00AC4DEE">
            <w:pPr>
              <w:pStyle w:val="TableBody"/>
            </w:pPr>
            <w:r>
              <w:t>LSL (if less than lowest MW in Energy Offer Curve)</w:t>
            </w:r>
          </w:p>
        </w:tc>
        <w:tc>
          <w:tcPr>
            <w:tcW w:w="2630" w:type="dxa"/>
          </w:tcPr>
          <w:p w14:paraId="43C9D70E" w14:textId="77777777" w:rsidR="001F04FD" w:rsidRDefault="001F04FD" w:rsidP="00AC4DEE">
            <w:pPr>
              <w:pStyle w:val="TableBody"/>
            </w:pPr>
            <w:r>
              <w:t>-$250.00</w:t>
            </w:r>
          </w:p>
        </w:tc>
      </w:tr>
    </w:tbl>
    <w:p w14:paraId="4D68D2A6" w14:textId="77777777" w:rsidR="001F04FD" w:rsidRDefault="001F04FD" w:rsidP="001F04FD">
      <w:pPr>
        <w:pStyle w:val="List"/>
        <w:spacing w:before="240"/>
      </w:pPr>
      <w:r>
        <w:lastRenderedPageBreak/>
        <w:t>(d)</w:t>
      </w:r>
      <w:r>
        <w:tab/>
        <w:t>IRRs</w:t>
      </w:r>
    </w:p>
    <w:p w14:paraId="49660C3C" w14:textId="77777777" w:rsidR="001F04FD" w:rsidRDefault="001F04FD" w:rsidP="001F04FD">
      <w:pPr>
        <w:pStyle w:val="List2"/>
      </w:pPr>
      <w:r>
        <w:t>(i)</w:t>
      </w:r>
      <w: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1F04FD" w14:paraId="03190E4D" w14:textId="77777777" w:rsidTr="00AC4DEE">
        <w:trPr>
          <w:jc w:val="center"/>
        </w:trPr>
        <w:tc>
          <w:tcPr>
            <w:tcW w:w="3870" w:type="dxa"/>
          </w:tcPr>
          <w:p w14:paraId="6AF04325" w14:textId="77777777" w:rsidR="001F04FD" w:rsidRDefault="001F04FD" w:rsidP="00AC4DEE">
            <w:pPr>
              <w:pStyle w:val="TableHead"/>
            </w:pPr>
            <w:r>
              <w:t>MW</w:t>
            </w:r>
          </w:p>
        </w:tc>
        <w:tc>
          <w:tcPr>
            <w:tcW w:w="2610" w:type="dxa"/>
          </w:tcPr>
          <w:p w14:paraId="1E4CCB1E" w14:textId="77777777" w:rsidR="001F04FD" w:rsidRDefault="001F04FD" w:rsidP="00AC4DEE">
            <w:pPr>
              <w:pStyle w:val="TableHead"/>
            </w:pPr>
            <w:r>
              <w:t>Price (per MWh)</w:t>
            </w:r>
          </w:p>
        </w:tc>
      </w:tr>
      <w:tr w:rsidR="001F04FD" w14:paraId="4D6DF7BF" w14:textId="77777777" w:rsidTr="00AC4DEE">
        <w:trPr>
          <w:jc w:val="center"/>
        </w:trPr>
        <w:tc>
          <w:tcPr>
            <w:tcW w:w="3870" w:type="dxa"/>
          </w:tcPr>
          <w:p w14:paraId="73464FA0" w14:textId="77777777" w:rsidR="001F04FD" w:rsidRDefault="001F04FD" w:rsidP="00AC4DEE">
            <w:pPr>
              <w:pStyle w:val="TableBody"/>
            </w:pPr>
            <w:r>
              <w:t>HSL</w:t>
            </w:r>
          </w:p>
        </w:tc>
        <w:tc>
          <w:tcPr>
            <w:tcW w:w="2610" w:type="dxa"/>
          </w:tcPr>
          <w:p w14:paraId="6B699B0B" w14:textId="77777777" w:rsidR="001F04FD" w:rsidRDefault="001F04FD" w:rsidP="00AC4DEE">
            <w:pPr>
              <w:pStyle w:val="TableBody"/>
            </w:pPr>
            <w:r>
              <w:t>$1,500</w:t>
            </w:r>
          </w:p>
        </w:tc>
      </w:tr>
      <w:tr w:rsidR="001F04FD" w14:paraId="1C54EE62" w14:textId="77777777" w:rsidTr="00AC4DEE">
        <w:trPr>
          <w:jc w:val="center"/>
        </w:trPr>
        <w:tc>
          <w:tcPr>
            <w:tcW w:w="3870" w:type="dxa"/>
          </w:tcPr>
          <w:p w14:paraId="0EC632E1" w14:textId="77777777" w:rsidR="001F04FD" w:rsidRDefault="001F04FD" w:rsidP="00AC4DEE">
            <w:pPr>
              <w:pStyle w:val="TableBody"/>
            </w:pPr>
            <w:r>
              <w:t>HSL minus 1 MW</w:t>
            </w:r>
          </w:p>
        </w:tc>
        <w:tc>
          <w:tcPr>
            <w:tcW w:w="2610" w:type="dxa"/>
          </w:tcPr>
          <w:p w14:paraId="649AA911" w14:textId="77777777" w:rsidR="001F04FD" w:rsidRDefault="001F04FD" w:rsidP="00AC4DEE">
            <w:pPr>
              <w:pStyle w:val="TableBody"/>
            </w:pPr>
            <w:r>
              <w:t>-$249.99</w:t>
            </w:r>
          </w:p>
        </w:tc>
      </w:tr>
      <w:tr w:rsidR="001F04FD" w14:paraId="3B703263" w14:textId="77777777" w:rsidTr="00AC4DEE">
        <w:trPr>
          <w:jc w:val="center"/>
        </w:trPr>
        <w:tc>
          <w:tcPr>
            <w:tcW w:w="3870" w:type="dxa"/>
          </w:tcPr>
          <w:p w14:paraId="0149ED16" w14:textId="77777777" w:rsidR="001F04FD" w:rsidRDefault="001F04FD" w:rsidP="00AC4DEE">
            <w:pPr>
              <w:pStyle w:val="TableBody"/>
            </w:pPr>
            <w:r>
              <w:t>LSL</w:t>
            </w:r>
          </w:p>
        </w:tc>
        <w:tc>
          <w:tcPr>
            <w:tcW w:w="2610" w:type="dxa"/>
          </w:tcPr>
          <w:p w14:paraId="0C192369" w14:textId="77777777" w:rsidR="001F04FD" w:rsidRDefault="001F04FD" w:rsidP="00AC4DEE">
            <w:pPr>
              <w:pStyle w:val="TableBody"/>
            </w:pPr>
            <w:r>
              <w:t>-$250.00</w:t>
            </w:r>
          </w:p>
        </w:tc>
      </w:tr>
    </w:tbl>
    <w:p w14:paraId="5A49CAA1" w14:textId="77777777" w:rsidR="001F04FD" w:rsidRDefault="001F04FD" w:rsidP="001F04FD">
      <w:pPr>
        <w:pStyle w:val="List2"/>
        <w:spacing w:before="240"/>
      </w:pPr>
      <w:r>
        <w:t>(ii)</w:t>
      </w:r>
      <w: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1F04FD" w14:paraId="53D73082" w14:textId="77777777" w:rsidTr="00AC4DEE">
        <w:trPr>
          <w:jc w:val="center"/>
        </w:trPr>
        <w:tc>
          <w:tcPr>
            <w:tcW w:w="3780" w:type="dxa"/>
          </w:tcPr>
          <w:p w14:paraId="5BEF6FBB" w14:textId="77777777" w:rsidR="001F04FD" w:rsidRDefault="001F04FD" w:rsidP="00AC4DEE">
            <w:pPr>
              <w:pStyle w:val="TableHead"/>
            </w:pPr>
            <w:r>
              <w:t>MW</w:t>
            </w:r>
          </w:p>
        </w:tc>
        <w:tc>
          <w:tcPr>
            <w:tcW w:w="2745" w:type="dxa"/>
          </w:tcPr>
          <w:p w14:paraId="0B9E52B2" w14:textId="77777777" w:rsidR="001F04FD" w:rsidRDefault="001F04FD" w:rsidP="00AC4DEE">
            <w:pPr>
              <w:pStyle w:val="TableHead"/>
            </w:pPr>
            <w:r>
              <w:t>Price (per MWh)</w:t>
            </w:r>
          </w:p>
        </w:tc>
      </w:tr>
      <w:tr w:rsidR="001F04FD" w14:paraId="164FCF8B" w14:textId="77777777" w:rsidTr="00AC4DEE">
        <w:trPr>
          <w:jc w:val="center"/>
        </w:trPr>
        <w:tc>
          <w:tcPr>
            <w:tcW w:w="3780" w:type="dxa"/>
          </w:tcPr>
          <w:p w14:paraId="016CCDC3" w14:textId="77777777" w:rsidR="001F04FD" w:rsidRDefault="001F04FD" w:rsidP="00AC4DEE">
            <w:pPr>
              <w:pStyle w:val="TableBody"/>
            </w:pPr>
            <w:r>
              <w:t>HSL (if more than highest MW in submitted Energy Offer Curve)</w:t>
            </w:r>
          </w:p>
        </w:tc>
        <w:tc>
          <w:tcPr>
            <w:tcW w:w="2745" w:type="dxa"/>
          </w:tcPr>
          <w:p w14:paraId="461E5FD9" w14:textId="77777777" w:rsidR="001F04FD" w:rsidRDefault="001F04FD" w:rsidP="00AC4DEE">
            <w:pPr>
              <w:pStyle w:val="TableBody"/>
            </w:pPr>
            <w:r>
              <w:t>Price associated with the highest MW in submitted Energy Offer Curve</w:t>
            </w:r>
          </w:p>
        </w:tc>
      </w:tr>
      <w:tr w:rsidR="001F04FD" w14:paraId="08C07C2A" w14:textId="77777777" w:rsidTr="00AC4DEE">
        <w:trPr>
          <w:jc w:val="center"/>
        </w:trPr>
        <w:tc>
          <w:tcPr>
            <w:tcW w:w="3780" w:type="dxa"/>
          </w:tcPr>
          <w:p w14:paraId="0ED9BFEC" w14:textId="77777777" w:rsidR="001F04FD" w:rsidRDefault="001F04FD" w:rsidP="00AC4DEE">
            <w:pPr>
              <w:pStyle w:val="TableBody"/>
            </w:pPr>
            <w:r>
              <w:t>Energy Offer Curve</w:t>
            </w:r>
          </w:p>
        </w:tc>
        <w:tc>
          <w:tcPr>
            <w:tcW w:w="2745" w:type="dxa"/>
          </w:tcPr>
          <w:p w14:paraId="52A46B98" w14:textId="77777777" w:rsidR="001F04FD" w:rsidRDefault="001F04FD" w:rsidP="00AC4DEE">
            <w:pPr>
              <w:pStyle w:val="TableBody"/>
            </w:pPr>
            <w:r>
              <w:t>Energy Offer Curve</w:t>
            </w:r>
          </w:p>
        </w:tc>
      </w:tr>
      <w:tr w:rsidR="001F04FD" w14:paraId="7AD82959" w14:textId="77777777" w:rsidTr="00AC4DEE">
        <w:trPr>
          <w:jc w:val="center"/>
        </w:trPr>
        <w:tc>
          <w:tcPr>
            <w:tcW w:w="3780" w:type="dxa"/>
          </w:tcPr>
          <w:p w14:paraId="5B6817D8" w14:textId="77777777" w:rsidR="001F04FD" w:rsidRDefault="001F04FD" w:rsidP="00AC4DEE">
            <w:pPr>
              <w:pStyle w:val="TableBody"/>
            </w:pPr>
            <w:r>
              <w:t>1 MW below lowest MW in Energy Offer Curve (if more than LSL)</w:t>
            </w:r>
          </w:p>
        </w:tc>
        <w:tc>
          <w:tcPr>
            <w:tcW w:w="2745" w:type="dxa"/>
          </w:tcPr>
          <w:p w14:paraId="4367A956" w14:textId="77777777" w:rsidR="001F04FD" w:rsidRDefault="001F04FD" w:rsidP="00AC4DEE">
            <w:pPr>
              <w:pStyle w:val="TableBody"/>
            </w:pPr>
            <w:r>
              <w:t>-$249.99</w:t>
            </w:r>
          </w:p>
        </w:tc>
      </w:tr>
      <w:tr w:rsidR="001F04FD" w14:paraId="6A42918C" w14:textId="77777777" w:rsidTr="00AC4DEE">
        <w:trPr>
          <w:jc w:val="center"/>
        </w:trPr>
        <w:tc>
          <w:tcPr>
            <w:tcW w:w="3780" w:type="dxa"/>
          </w:tcPr>
          <w:p w14:paraId="51B724C1" w14:textId="77777777" w:rsidR="001F04FD" w:rsidRDefault="001F04FD" w:rsidP="00AC4DEE">
            <w:pPr>
              <w:pStyle w:val="TableBody"/>
            </w:pPr>
            <w:r>
              <w:t>LSL (if less than lowest MW in Energy Offer Curve)</w:t>
            </w:r>
          </w:p>
        </w:tc>
        <w:tc>
          <w:tcPr>
            <w:tcW w:w="2745" w:type="dxa"/>
          </w:tcPr>
          <w:p w14:paraId="7A09EFD4" w14:textId="77777777" w:rsidR="001F04FD" w:rsidRDefault="001F04FD" w:rsidP="00AC4DEE">
            <w:pPr>
              <w:pStyle w:val="TableBody"/>
            </w:pPr>
            <w:r>
              <w:t>-$250.00</w:t>
            </w:r>
          </w:p>
        </w:tc>
      </w:tr>
    </w:tbl>
    <w:p w14:paraId="16D699AE" w14:textId="77777777" w:rsidR="001F04FD" w:rsidRPr="00844D14" w:rsidRDefault="001F04FD" w:rsidP="001F04FD">
      <w:pPr>
        <w:spacing w:before="240" w:after="240"/>
        <w:ind w:left="1440" w:hanging="720"/>
      </w:pPr>
      <w:r>
        <w:t>(e)</w:t>
      </w:r>
      <w:r>
        <w:tab/>
      </w:r>
      <w:r w:rsidRPr="00844D14">
        <w:t xml:space="preserve">RUC-committed Resources </w:t>
      </w:r>
    </w:p>
    <w:p w14:paraId="41D25851" w14:textId="77777777" w:rsidR="001F04FD" w:rsidRPr="00844D14" w:rsidRDefault="001F04FD" w:rsidP="001F04FD">
      <w:pPr>
        <w:spacing w:before="240" w:after="240"/>
        <w:ind w:left="2160" w:hanging="720"/>
      </w:pPr>
      <w:r w:rsidRPr="00844D14">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1F04FD" w:rsidRPr="00844D14" w14:paraId="34906CEA" w14:textId="77777777" w:rsidTr="00AC4DEE">
        <w:trPr>
          <w:trHeight w:val="359"/>
        </w:trPr>
        <w:tc>
          <w:tcPr>
            <w:tcW w:w="3540" w:type="dxa"/>
          </w:tcPr>
          <w:p w14:paraId="3D92E66E" w14:textId="77777777" w:rsidR="001F04FD" w:rsidRPr="00844D14" w:rsidRDefault="001F04FD" w:rsidP="00AC4DEE">
            <w:pPr>
              <w:spacing w:after="120"/>
              <w:rPr>
                <w:b/>
                <w:iCs/>
                <w:sz w:val="20"/>
              </w:rPr>
            </w:pPr>
            <w:r w:rsidRPr="00844D14">
              <w:rPr>
                <w:b/>
                <w:iCs/>
                <w:sz w:val="20"/>
              </w:rPr>
              <w:t>MW</w:t>
            </w:r>
          </w:p>
        </w:tc>
        <w:tc>
          <w:tcPr>
            <w:tcW w:w="2810" w:type="dxa"/>
          </w:tcPr>
          <w:p w14:paraId="479EDCFB" w14:textId="77777777" w:rsidR="001F04FD" w:rsidRPr="00844D14" w:rsidRDefault="001F04FD" w:rsidP="00AC4DEE">
            <w:pPr>
              <w:spacing w:after="120"/>
              <w:rPr>
                <w:b/>
                <w:iCs/>
                <w:sz w:val="20"/>
              </w:rPr>
            </w:pPr>
            <w:r w:rsidRPr="00844D14">
              <w:rPr>
                <w:b/>
                <w:iCs/>
                <w:sz w:val="20"/>
              </w:rPr>
              <w:t>Price (per MWh)</w:t>
            </w:r>
          </w:p>
        </w:tc>
      </w:tr>
      <w:tr w:rsidR="001F04FD" w:rsidRPr="00844D14" w14:paraId="43A7357C" w14:textId="77777777" w:rsidTr="00AC4DEE">
        <w:trPr>
          <w:trHeight w:val="364"/>
        </w:trPr>
        <w:tc>
          <w:tcPr>
            <w:tcW w:w="3540" w:type="dxa"/>
          </w:tcPr>
          <w:p w14:paraId="23AF1DC8" w14:textId="77777777" w:rsidR="001F04FD" w:rsidRPr="00844D14" w:rsidRDefault="001F04FD" w:rsidP="00AC4DEE">
            <w:pPr>
              <w:spacing w:after="60"/>
              <w:rPr>
                <w:iCs/>
                <w:sz w:val="20"/>
              </w:rPr>
            </w:pPr>
            <w:r w:rsidRPr="00844D14">
              <w:rPr>
                <w:iCs/>
                <w:sz w:val="20"/>
              </w:rPr>
              <w:t xml:space="preserve">HSL </w:t>
            </w:r>
          </w:p>
        </w:tc>
        <w:tc>
          <w:tcPr>
            <w:tcW w:w="2810" w:type="dxa"/>
          </w:tcPr>
          <w:p w14:paraId="10165428" w14:textId="1B4E3000" w:rsidR="001F04FD" w:rsidRPr="00844D14" w:rsidRDefault="001F04FD" w:rsidP="00AC4DEE">
            <w:pPr>
              <w:spacing w:after="60"/>
              <w:rPr>
                <w:iCs/>
                <w:sz w:val="20"/>
              </w:rPr>
            </w:pPr>
            <w:r>
              <w:rPr>
                <w:iCs/>
                <w:sz w:val="20"/>
              </w:rPr>
              <w:t>$</w:t>
            </w:r>
            <w:r w:rsidR="00090A9F">
              <w:rPr>
                <w:iCs/>
                <w:sz w:val="20"/>
              </w:rPr>
              <w:t>250</w:t>
            </w:r>
          </w:p>
        </w:tc>
      </w:tr>
      <w:tr w:rsidR="001F04FD" w:rsidRPr="00844D14" w14:paraId="4F32A838" w14:textId="77777777" w:rsidTr="00AC4DEE">
        <w:trPr>
          <w:trHeight w:val="377"/>
        </w:trPr>
        <w:tc>
          <w:tcPr>
            <w:tcW w:w="3540" w:type="dxa"/>
          </w:tcPr>
          <w:p w14:paraId="00BB9D4F" w14:textId="77777777" w:rsidR="001F04FD" w:rsidRPr="00844D14" w:rsidRDefault="001F04FD" w:rsidP="00AC4DEE">
            <w:pPr>
              <w:spacing w:after="60"/>
              <w:rPr>
                <w:iCs/>
                <w:sz w:val="20"/>
              </w:rPr>
            </w:pPr>
            <w:r w:rsidRPr="00844D14">
              <w:rPr>
                <w:iCs/>
                <w:sz w:val="20"/>
              </w:rPr>
              <w:t>Zero</w:t>
            </w:r>
          </w:p>
        </w:tc>
        <w:tc>
          <w:tcPr>
            <w:tcW w:w="2810" w:type="dxa"/>
          </w:tcPr>
          <w:p w14:paraId="388E8936" w14:textId="21943144" w:rsidR="001F04FD" w:rsidRPr="00844D14" w:rsidRDefault="001F04FD" w:rsidP="00AC4DEE">
            <w:pPr>
              <w:spacing w:after="60"/>
              <w:rPr>
                <w:iCs/>
                <w:sz w:val="20"/>
              </w:rPr>
            </w:pPr>
            <w:r>
              <w:rPr>
                <w:iCs/>
                <w:sz w:val="20"/>
              </w:rPr>
              <w:t>$</w:t>
            </w:r>
            <w:r w:rsidR="00090A9F">
              <w:rPr>
                <w:iCs/>
                <w:sz w:val="20"/>
              </w:rPr>
              <w:t>250</w:t>
            </w:r>
          </w:p>
        </w:tc>
      </w:tr>
    </w:tbl>
    <w:p w14:paraId="656C5C36" w14:textId="77777777" w:rsidR="001F04FD" w:rsidRDefault="001F04FD" w:rsidP="001F04FD">
      <w:pPr>
        <w:spacing w:before="240" w:after="240"/>
        <w:ind w:left="2160" w:hanging="720"/>
      </w:pPr>
      <w:r w:rsidRPr="00844D14">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1F04FD" w:rsidRPr="00844D14" w14:paraId="3E806E22" w14:textId="77777777" w:rsidTr="008D7D6C">
        <w:trPr>
          <w:trHeight w:val="350"/>
        </w:trPr>
        <w:tc>
          <w:tcPr>
            <w:tcW w:w="3531" w:type="dxa"/>
          </w:tcPr>
          <w:p w14:paraId="091A64BA" w14:textId="77777777" w:rsidR="001F04FD" w:rsidRPr="00844D14" w:rsidRDefault="001F04FD" w:rsidP="00AC4DEE">
            <w:pPr>
              <w:spacing w:after="120"/>
              <w:rPr>
                <w:b/>
                <w:iCs/>
                <w:sz w:val="20"/>
              </w:rPr>
            </w:pPr>
            <w:r w:rsidRPr="00844D14">
              <w:rPr>
                <w:b/>
                <w:iCs/>
                <w:sz w:val="20"/>
              </w:rPr>
              <w:t>MW</w:t>
            </w:r>
          </w:p>
        </w:tc>
        <w:tc>
          <w:tcPr>
            <w:tcW w:w="2804" w:type="dxa"/>
          </w:tcPr>
          <w:p w14:paraId="5496F6A1" w14:textId="77777777" w:rsidR="001F04FD" w:rsidRPr="00844D14" w:rsidRDefault="001F04FD" w:rsidP="00AC4DEE">
            <w:pPr>
              <w:spacing w:after="120"/>
              <w:rPr>
                <w:b/>
                <w:iCs/>
                <w:sz w:val="20"/>
              </w:rPr>
            </w:pPr>
            <w:r w:rsidRPr="00844D14">
              <w:rPr>
                <w:b/>
                <w:iCs/>
                <w:sz w:val="20"/>
              </w:rPr>
              <w:t>Price (per MWh)</w:t>
            </w:r>
          </w:p>
        </w:tc>
      </w:tr>
      <w:tr w:rsidR="001F04FD" w:rsidRPr="00844D14" w14:paraId="50ABC03F" w14:textId="77777777" w:rsidTr="008D7D6C">
        <w:trPr>
          <w:trHeight w:val="345"/>
        </w:trPr>
        <w:tc>
          <w:tcPr>
            <w:tcW w:w="3531" w:type="dxa"/>
          </w:tcPr>
          <w:p w14:paraId="600DDA8D" w14:textId="77777777" w:rsidR="001F04FD" w:rsidRPr="00844D14" w:rsidRDefault="001F04FD" w:rsidP="00AC4DEE">
            <w:pPr>
              <w:spacing w:after="60"/>
              <w:rPr>
                <w:iCs/>
                <w:sz w:val="20"/>
              </w:rPr>
            </w:pPr>
            <w:r w:rsidRPr="00844D14">
              <w:rPr>
                <w:iCs/>
                <w:sz w:val="20"/>
              </w:rPr>
              <w:t>HSL (if more than highest MW in Energy Offer Curve)</w:t>
            </w:r>
          </w:p>
        </w:tc>
        <w:tc>
          <w:tcPr>
            <w:tcW w:w="2804" w:type="dxa"/>
          </w:tcPr>
          <w:p w14:paraId="0E864903" w14:textId="4D32B932" w:rsidR="001F04FD" w:rsidRPr="00844D14" w:rsidRDefault="00E355BB" w:rsidP="00E355BB">
            <w:pPr>
              <w:spacing w:after="60"/>
              <w:rPr>
                <w:iCs/>
                <w:sz w:val="20"/>
              </w:rPr>
            </w:pPr>
            <w:r>
              <w:rPr>
                <w:iCs/>
                <w:sz w:val="20"/>
              </w:rPr>
              <w:t>Greater</w:t>
            </w:r>
            <w:r w:rsidR="001F04FD">
              <w:rPr>
                <w:iCs/>
                <w:sz w:val="20"/>
              </w:rPr>
              <w:t xml:space="preserve"> of $</w:t>
            </w:r>
            <w:r w:rsidR="00090A9F">
              <w:rPr>
                <w:iCs/>
                <w:sz w:val="20"/>
              </w:rPr>
              <w:t>250</w:t>
            </w:r>
            <w:r w:rsidR="001F04FD">
              <w:rPr>
                <w:iCs/>
                <w:sz w:val="20"/>
              </w:rPr>
              <w:t xml:space="preserve"> or price associated with the highest MW in QSE submitted Energy Offer Curve</w:t>
            </w:r>
          </w:p>
        </w:tc>
      </w:tr>
      <w:tr w:rsidR="001F04FD" w:rsidRPr="00844D14" w14:paraId="4A5A5565" w14:textId="77777777" w:rsidTr="008D7D6C">
        <w:trPr>
          <w:trHeight w:val="615"/>
        </w:trPr>
        <w:tc>
          <w:tcPr>
            <w:tcW w:w="3531" w:type="dxa"/>
          </w:tcPr>
          <w:p w14:paraId="67FB07A7" w14:textId="77777777" w:rsidR="001F04FD" w:rsidRPr="00844D14" w:rsidRDefault="001F04FD" w:rsidP="00AC4DEE">
            <w:pPr>
              <w:spacing w:after="60"/>
              <w:rPr>
                <w:iCs/>
                <w:sz w:val="20"/>
              </w:rPr>
            </w:pPr>
            <w:r w:rsidRPr="00844D14">
              <w:rPr>
                <w:iCs/>
                <w:sz w:val="20"/>
              </w:rPr>
              <w:lastRenderedPageBreak/>
              <w:t>Energy Offer Curve</w:t>
            </w:r>
          </w:p>
        </w:tc>
        <w:tc>
          <w:tcPr>
            <w:tcW w:w="2804" w:type="dxa"/>
          </w:tcPr>
          <w:p w14:paraId="2461788C" w14:textId="2DF7958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1F04FD" w:rsidRPr="00844D14" w14:paraId="68B0C409" w14:textId="77777777" w:rsidTr="008D7D6C">
        <w:trPr>
          <w:trHeight w:val="916"/>
        </w:trPr>
        <w:tc>
          <w:tcPr>
            <w:tcW w:w="3531" w:type="dxa"/>
          </w:tcPr>
          <w:p w14:paraId="068AE8EC" w14:textId="77777777" w:rsidR="001F04FD" w:rsidRPr="00844D14" w:rsidRDefault="001F04FD" w:rsidP="00AC4DEE">
            <w:pPr>
              <w:spacing w:after="60"/>
              <w:rPr>
                <w:iCs/>
                <w:sz w:val="20"/>
              </w:rPr>
            </w:pPr>
            <w:r w:rsidRPr="00844D14">
              <w:rPr>
                <w:iCs/>
                <w:sz w:val="20"/>
              </w:rPr>
              <w:t>Zero</w:t>
            </w:r>
          </w:p>
        </w:tc>
        <w:tc>
          <w:tcPr>
            <w:tcW w:w="2804" w:type="dxa"/>
          </w:tcPr>
          <w:p w14:paraId="1A16686C" w14:textId="0E30E24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first price point of the QSE submitted Energy Offer Curve</w:t>
            </w:r>
          </w:p>
        </w:tc>
      </w:tr>
    </w:tbl>
    <w:p w14:paraId="5B982E94" w14:textId="6809150A" w:rsidR="00D42541" w:rsidRPr="00844D14" w:rsidRDefault="00D42541" w:rsidP="00D42541">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D42541" w:rsidRPr="00844D14" w14:paraId="09684A6B"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783FC34C" w14:textId="77777777" w:rsidR="00D42541" w:rsidRPr="00B1003C" w:rsidRDefault="00D42541" w:rsidP="00D42541">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1342B27" w14:textId="77777777" w:rsidR="00D42541" w:rsidRPr="00B1003C" w:rsidRDefault="00D42541" w:rsidP="00D42541">
            <w:pPr>
              <w:spacing w:after="120"/>
              <w:rPr>
                <w:b/>
                <w:iCs/>
                <w:sz w:val="20"/>
              </w:rPr>
            </w:pPr>
            <w:r w:rsidRPr="00B1003C">
              <w:rPr>
                <w:b/>
                <w:iCs/>
                <w:sz w:val="20"/>
              </w:rPr>
              <w:t>Price (per MWh)</w:t>
            </w:r>
          </w:p>
        </w:tc>
      </w:tr>
      <w:tr w:rsidR="00D42541" w:rsidRPr="00844D14" w14:paraId="3EEACECC"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00FB96C9" w14:textId="77777777" w:rsidR="00D42541" w:rsidRPr="00844D14" w:rsidRDefault="00D42541" w:rsidP="00D42541">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4ED43B11" w14:textId="04662733" w:rsidR="00D42541" w:rsidRPr="00844D14" w:rsidRDefault="00D42541" w:rsidP="00D42541">
            <w:pPr>
              <w:spacing w:after="120"/>
              <w:rPr>
                <w:iCs/>
                <w:sz w:val="20"/>
              </w:rPr>
            </w:pPr>
            <w:r w:rsidRPr="00B1003C">
              <w:rPr>
                <w:iCs/>
                <w:sz w:val="20"/>
              </w:rPr>
              <w:t>$</w:t>
            </w:r>
            <w:r w:rsidR="00090A9F">
              <w:rPr>
                <w:iCs/>
                <w:sz w:val="20"/>
              </w:rPr>
              <w:t>250</w:t>
            </w:r>
          </w:p>
        </w:tc>
      </w:tr>
      <w:tr w:rsidR="00D42541" w:rsidRPr="00844D14" w14:paraId="1FD1CD1F"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510C4253" w14:textId="77777777" w:rsidR="00D42541" w:rsidRPr="00844D14" w:rsidRDefault="00D42541" w:rsidP="00D42541">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5E59384D" w14:textId="5DFA7BBC" w:rsidR="00D42541" w:rsidRPr="00844D14" w:rsidRDefault="00D42541" w:rsidP="00D42541">
            <w:pPr>
              <w:spacing w:after="120"/>
              <w:rPr>
                <w:iCs/>
                <w:sz w:val="20"/>
              </w:rPr>
            </w:pPr>
            <w:r w:rsidRPr="00B1003C">
              <w:rPr>
                <w:iCs/>
                <w:sz w:val="20"/>
              </w:rPr>
              <w:t>$</w:t>
            </w:r>
            <w:r w:rsidR="00090A9F">
              <w:rPr>
                <w:iCs/>
                <w:sz w:val="20"/>
              </w:rPr>
              <w:t>250</w:t>
            </w:r>
          </w:p>
        </w:tc>
      </w:tr>
    </w:tbl>
    <w:p w14:paraId="4EB6EE5C" w14:textId="3F79015E" w:rsidR="00D42541" w:rsidRDefault="00D42541" w:rsidP="00D42541">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D42541" w:rsidRPr="00844D14" w14:paraId="5A41A9BF" w14:textId="77777777" w:rsidTr="00D42541">
        <w:trPr>
          <w:trHeight w:val="350"/>
        </w:trPr>
        <w:tc>
          <w:tcPr>
            <w:tcW w:w="3279" w:type="dxa"/>
          </w:tcPr>
          <w:p w14:paraId="5AE31FEE" w14:textId="77777777" w:rsidR="00D42541" w:rsidRPr="00844D14" w:rsidRDefault="00D42541" w:rsidP="00D42541">
            <w:pPr>
              <w:spacing w:after="120"/>
              <w:rPr>
                <w:b/>
                <w:iCs/>
                <w:sz w:val="20"/>
              </w:rPr>
            </w:pPr>
            <w:r w:rsidRPr="00844D14">
              <w:rPr>
                <w:b/>
                <w:iCs/>
                <w:sz w:val="20"/>
              </w:rPr>
              <w:t>MW</w:t>
            </w:r>
          </w:p>
        </w:tc>
        <w:tc>
          <w:tcPr>
            <w:tcW w:w="3060" w:type="dxa"/>
          </w:tcPr>
          <w:p w14:paraId="564CC580" w14:textId="77777777" w:rsidR="00D42541" w:rsidRPr="00844D14" w:rsidRDefault="00D42541" w:rsidP="00D42541">
            <w:pPr>
              <w:spacing w:after="120"/>
              <w:rPr>
                <w:b/>
                <w:iCs/>
                <w:sz w:val="20"/>
              </w:rPr>
            </w:pPr>
            <w:r w:rsidRPr="00844D14">
              <w:rPr>
                <w:b/>
                <w:iCs/>
                <w:sz w:val="20"/>
              </w:rPr>
              <w:t>Price (per MWh)</w:t>
            </w:r>
          </w:p>
        </w:tc>
      </w:tr>
      <w:tr w:rsidR="00D42541" w:rsidRPr="00844D14" w14:paraId="223ECEB5" w14:textId="77777777" w:rsidTr="00D42541">
        <w:trPr>
          <w:trHeight w:val="345"/>
        </w:trPr>
        <w:tc>
          <w:tcPr>
            <w:tcW w:w="3279" w:type="dxa"/>
          </w:tcPr>
          <w:p w14:paraId="2419F3F5" w14:textId="77777777" w:rsidR="00D42541" w:rsidRPr="00844D14" w:rsidRDefault="00D42541" w:rsidP="00D42541">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2B0C33E" w14:textId="6D69BB94" w:rsidR="00D42541" w:rsidRPr="00844D14" w:rsidRDefault="00D42541" w:rsidP="00D42541">
            <w:pPr>
              <w:spacing w:after="60"/>
              <w:rPr>
                <w:iCs/>
                <w:sz w:val="20"/>
              </w:rPr>
            </w:pPr>
            <w:r>
              <w:rPr>
                <w:iCs/>
                <w:sz w:val="20"/>
              </w:rPr>
              <w:t>Greater of $</w:t>
            </w:r>
            <w:r w:rsidR="00090A9F">
              <w:rPr>
                <w:iCs/>
                <w:sz w:val="20"/>
              </w:rPr>
              <w:t>250</w:t>
            </w:r>
            <w:r>
              <w:rPr>
                <w:iCs/>
                <w:sz w:val="20"/>
              </w:rPr>
              <w:t xml:space="preserve"> or price associated with the highest MW in QSE submitted Energy Offer Curve</w:t>
            </w:r>
          </w:p>
        </w:tc>
      </w:tr>
      <w:tr w:rsidR="00D42541" w:rsidRPr="00844D14" w14:paraId="11C51392" w14:textId="77777777" w:rsidTr="00D42541">
        <w:trPr>
          <w:trHeight w:val="615"/>
        </w:trPr>
        <w:tc>
          <w:tcPr>
            <w:tcW w:w="3279" w:type="dxa"/>
          </w:tcPr>
          <w:p w14:paraId="5E8CBD89" w14:textId="77777777" w:rsidR="00D42541" w:rsidRPr="00844D14" w:rsidRDefault="00D42541" w:rsidP="00D42541">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8500B0F" w14:textId="0C4E0645" w:rsidR="00D42541" w:rsidRPr="00844D14" w:rsidRDefault="00D42541" w:rsidP="00D42541">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2C7EEC" w:rsidRPr="00844D14" w14:paraId="7B048E48" w14:textId="77777777" w:rsidTr="00D42541">
        <w:trPr>
          <w:trHeight w:val="615"/>
        </w:trPr>
        <w:tc>
          <w:tcPr>
            <w:tcW w:w="3279" w:type="dxa"/>
          </w:tcPr>
          <w:p w14:paraId="3BD2A7E1" w14:textId="28532EF4" w:rsidR="002C7EEC" w:rsidRPr="00844D14" w:rsidRDefault="002C7EEC" w:rsidP="002C7EEC">
            <w:pPr>
              <w:spacing w:after="60"/>
              <w:rPr>
                <w:iCs/>
                <w:sz w:val="20"/>
              </w:rPr>
            </w:pPr>
            <w:r w:rsidRPr="006D1E6E">
              <w:rPr>
                <w:iCs/>
                <w:sz w:val="20"/>
              </w:rPr>
              <w:t>HSL of QSE-committed configuration (if more than highest MW in Energy Offer Curve and price associated with highest MW in Energy Offer Curve is less than $</w:t>
            </w:r>
            <w:r w:rsidR="00090A9F">
              <w:rPr>
                <w:iCs/>
                <w:sz w:val="20"/>
              </w:rPr>
              <w:t>250</w:t>
            </w:r>
            <w:r w:rsidRPr="006D1E6E">
              <w:rPr>
                <w:iCs/>
                <w:sz w:val="20"/>
              </w:rPr>
              <w:t>)</w:t>
            </w:r>
          </w:p>
        </w:tc>
        <w:tc>
          <w:tcPr>
            <w:tcW w:w="3060" w:type="dxa"/>
          </w:tcPr>
          <w:p w14:paraId="1B7F3AEE" w14:textId="1A3D0EB9" w:rsidR="002C7EEC" w:rsidRPr="00844D14" w:rsidRDefault="002C7EEC" w:rsidP="002C7EEC">
            <w:pPr>
              <w:spacing w:after="60"/>
              <w:rPr>
                <w:iCs/>
                <w:sz w:val="20"/>
              </w:rPr>
            </w:pPr>
            <w:r w:rsidRPr="0035422B">
              <w:rPr>
                <w:iCs/>
                <w:sz w:val="20"/>
              </w:rPr>
              <w:t>$</w:t>
            </w:r>
            <w:r w:rsidR="00090A9F">
              <w:rPr>
                <w:iCs/>
                <w:sz w:val="20"/>
              </w:rPr>
              <w:t>250</w:t>
            </w:r>
          </w:p>
        </w:tc>
      </w:tr>
      <w:tr w:rsidR="00D42541" w:rsidRPr="00844D14" w14:paraId="5736C845" w14:textId="77777777" w:rsidTr="00D42541">
        <w:trPr>
          <w:trHeight w:val="368"/>
        </w:trPr>
        <w:tc>
          <w:tcPr>
            <w:tcW w:w="3279" w:type="dxa"/>
          </w:tcPr>
          <w:p w14:paraId="508C88B4" w14:textId="77777777" w:rsidR="00D42541" w:rsidRPr="00844D14" w:rsidRDefault="00D42541" w:rsidP="00D42541">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3A6531DD" w14:textId="6937737B" w:rsidR="00D42541" w:rsidRDefault="002C7EEC" w:rsidP="00D42541">
            <w:pPr>
              <w:spacing w:after="60"/>
              <w:rPr>
                <w:iCs/>
                <w:sz w:val="20"/>
              </w:rPr>
            </w:pPr>
            <w:r>
              <w:rPr>
                <w:iCs/>
                <w:sz w:val="20"/>
              </w:rPr>
              <w:t>P</w:t>
            </w:r>
            <w:r w:rsidR="00D42541" w:rsidRPr="007E2DC2">
              <w:rPr>
                <w:iCs/>
                <w:sz w:val="20"/>
              </w:rPr>
              <w:t>rice associated with the highest MW in QSE submitted Energy Offer Curve</w:t>
            </w:r>
          </w:p>
        </w:tc>
      </w:tr>
      <w:tr w:rsidR="00D42541" w:rsidRPr="00844D14" w14:paraId="58253DD1" w14:textId="77777777" w:rsidTr="00D42541">
        <w:trPr>
          <w:trHeight w:val="773"/>
        </w:trPr>
        <w:tc>
          <w:tcPr>
            <w:tcW w:w="3279" w:type="dxa"/>
          </w:tcPr>
          <w:p w14:paraId="6BADE8DD" w14:textId="77777777" w:rsidR="00D42541" w:rsidRPr="00844D14" w:rsidRDefault="00D42541" w:rsidP="00D42541">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9CB5269" w14:textId="77777777" w:rsidR="00D42541" w:rsidRPr="00844D14" w:rsidRDefault="00D42541" w:rsidP="00D42541">
            <w:pPr>
              <w:spacing w:after="60"/>
              <w:rPr>
                <w:iCs/>
                <w:sz w:val="20"/>
              </w:rPr>
            </w:pPr>
            <w:r>
              <w:rPr>
                <w:iCs/>
                <w:sz w:val="20"/>
              </w:rPr>
              <w:t>The QSE submitted Energy Offer Curve</w:t>
            </w:r>
          </w:p>
        </w:tc>
      </w:tr>
      <w:tr w:rsidR="00D42541" w:rsidRPr="00844D14" w14:paraId="4EAA1F0F" w14:textId="77777777" w:rsidTr="00D42541">
        <w:trPr>
          <w:trHeight w:val="503"/>
        </w:trPr>
        <w:tc>
          <w:tcPr>
            <w:tcW w:w="3279" w:type="dxa"/>
          </w:tcPr>
          <w:p w14:paraId="27C15331" w14:textId="77777777" w:rsidR="00D42541" w:rsidRPr="00844D14" w:rsidRDefault="00D42541" w:rsidP="00D42541">
            <w:pPr>
              <w:spacing w:after="60"/>
              <w:rPr>
                <w:iCs/>
                <w:sz w:val="20"/>
              </w:rPr>
            </w:pPr>
            <w:r w:rsidRPr="00B1003C">
              <w:rPr>
                <w:iCs/>
                <w:sz w:val="20"/>
              </w:rPr>
              <w:t>1 MW below lowest MW in Energy Offer Curve (if more than LSL)</w:t>
            </w:r>
          </w:p>
        </w:tc>
        <w:tc>
          <w:tcPr>
            <w:tcW w:w="3060" w:type="dxa"/>
          </w:tcPr>
          <w:p w14:paraId="3EA15797" w14:textId="77777777" w:rsidR="00D42541" w:rsidRDefault="00D42541" w:rsidP="00D42541">
            <w:pPr>
              <w:spacing w:after="60"/>
              <w:rPr>
                <w:iCs/>
                <w:sz w:val="20"/>
              </w:rPr>
            </w:pPr>
            <w:r w:rsidRPr="00B1003C">
              <w:rPr>
                <w:iCs/>
                <w:sz w:val="20"/>
              </w:rPr>
              <w:t>-$249.99</w:t>
            </w:r>
          </w:p>
        </w:tc>
      </w:tr>
      <w:tr w:rsidR="00D42541" w:rsidRPr="00844D14" w14:paraId="166BE193" w14:textId="77777777" w:rsidTr="00D42541">
        <w:trPr>
          <w:trHeight w:val="467"/>
        </w:trPr>
        <w:tc>
          <w:tcPr>
            <w:tcW w:w="3279" w:type="dxa"/>
          </w:tcPr>
          <w:p w14:paraId="6F766F2B" w14:textId="77777777" w:rsidR="00D42541" w:rsidRPr="00844D14" w:rsidRDefault="00D42541" w:rsidP="00D42541">
            <w:pPr>
              <w:spacing w:after="60"/>
              <w:rPr>
                <w:iCs/>
                <w:sz w:val="20"/>
              </w:rPr>
            </w:pPr>
            <w:r w:rsidRPr="00B1003C">
              <w:rPr>
                <w:iCs/>
                <w:sz w:val="20"/>
              </w:rPr>
              <w:t>LSL (if less than lowest MW in Energy Offer Curve)</w:t>
            </w:r>
          </w:p>
        </w:tc>
        <w:tc>
          <w:tcPr>
            <w:tcW w:w="3060" w:type="dxa"/>
          </w:tcPr>
          <w:p w14:paraId="2D93B3F7" w14:textId="77777777" w:rsidR="00D42541" w:rsidRDefault="00D42541" w:rsidP="00D42541">
            <w:pPr>
              <w:spacing w:after="60"/>
              <w:rPr>
                <w:iCs/>
                <w:sz w:val="20"/>
              </w:rPr>
            </w:pPr>
            <w:r w:rsidRPr="00B1003C">
              <w:rPr>
                <w:iCs/>
                <w:sz w:val="20"/>
              </w:rPr>
              <w:t>-$250.00</w:t>
            </w:r>
          </w:p>
        </w:tc>
      </w:tr>
    </w:tbl>
    <w:p w14:paraId="2319D839" w14:textId="7FE7F2CC" w:rsidR="001F04FD" w:rsidRDefault="001F04FD" w:rsidP="001F04FD">
      <w:pPr>
        <w:pStyle w:val="BodyTextNumbered"/>
        <w:spacing w:before="240"/>
      </w:pPr>
      <w:r>
        <w:lastRenderedPageBreak/>
        <w:t>(5)</w:t>
      </w:r>
      <w:r>
        <w:tab/>
        <w:t>The Entity with decision 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Del="00995694">
        <w:t xml:space="preserve"> </w:t>
      </w:r>
    </w:p>
    <w:p w14:paraId="3188B895" w14:textId="587B0B23" w:rsidR="001F04FD" w:rsidRDefault="001F04FD" w:rsidP="001F04FD">
      <w:pPr>
        <w:spacing w:after="240"/>
        <w:ind w:left="720" w:hanging="720"/>
      </w:pPr>
      <w:r w:rsidRPr="006A6281">
        <w:t>(</w:t>
      </w:r>
      <w:r>
        <w:t>6</w:t>
      </w:r>
      <w:r w:rsidRPr="006A6281">
        <w:t>)</w:t>
      </w:r>
      <w:r w:rsidRPr="006A6281">
        <w:tab/>
        <w:t xml:space="preserve">For a </w:t>
      </w:r>
      <w:r w:rsidR="00D3410D">
        <w:t>CLR</w:t>
      </w:r>
      <w:r w:rsidRPr="006A6281">
        <w:t xml:space="preserve"> whose QSE has submitted an RTM Energy Bid that does not cover the full range of the Resource’s available Demand response capability, consistent with the </w:t>
      </w:r>
      <w:r w:rsidR="00D3410D">
        <w:t>CLR</w:t>
      </w:r>
      <w:r w:rsidRPr="006A6281">
        <w:t>’s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1F04FD" w:rsidRPr="006A6281" w14:paraId="62748901" w14:textId="77777777" w:rsidTr="00AC4DEE">
        <w:trPr>
          <w:jc w:val="center"/>
        </w:trPr>
        <w:tc>
          <w:tcPr>
            <w:tcW w:w="3596" w:type="dxa"/>
          </w:tcPr>
          <w:p w14:paraId="651DF69B" w14:textId="77777777" w:rsidR="001F04FD" w:rsidRPr="006A6281" w:rsidRDefault="001F04FD" w:rsidP="00AC4DEE">
            <w:pPr>
              <w:pStyle w:val="TableHead"/>
            </w:pPr>
            <w:r w:rsidRPr="006A6281">
              <w:t>MW</w:t>
            </w:r>
          </w:p>
        </w:tc>
        <w:tc>
          <w:tcPr>
            <w:tcW w:w="2875" w:type="dxa"/>
          </w:tcPr>
          <w:p w14:paraId="498A8747" w14:textId="77777777" w:rsidR="001F04FD" w:rsidRPr="006A6281" w:rsidRDefault="001F04FD" w:rsidP="00AC4DEE">
            <w:pPr>
              <w:pStyle w:val="TableHead"/>
            </w:pPr>
            <w:r w:rsidRPr="006A6281">
              <w:t>Price (per MWh)</w:t>
            </w:r>
          </w:p>
        </w:tc>
      </w:tr>
      <w:tr w:rsidR="001F04FD" w:rsidRPr="006A6281" w14:paraId="133607C8" w14:textId="77777777" w:rsidTr="00AC4DEE">
        <w:trPr>
          <w:jc w:val="center"/>
        </w:trPr>
        <w:tc>
          <w:tcPr>
            <w:tcW w:w="3596" w:type="dxa"/>
          </w:tcPr>
          <w:p w14:paraId="2BB8DFE1" w14:textId="77777777" w:rsidR="001F04FD" w:rsidRPr="006A6281" w:rsidRDefault="001F04FD" w:rsidP="00AC4DEE">
            <w:pPr>
              <w:pStyle w:val="TableBody"/>
            </w:pPr>
            <w:r w:rsidRPr="006A6281">
              <w:t>LPC to MPC minus maximum MW of RTM Energy Bid</w:t>
            </w:r>
          </w:p>
        </w:tc>
        <w:tc>
          <w:tcPr>
            <w:tcW w:w="2875" w:type="dxa"/>
          </w:tcPr>
          <w:p w14:paraId="6E717F85" w14:textId="77777777" w:rsidR="001F04FD" w:rsidRPr="006A6281" w:rsidRDefault="001F04FD" w:rsidP="00AC4DEE">
            <w:pPr>
              <w:pStyle w:val="TableBody"/>
            </w:pPr>
            <w:r>
              <w:t>Price associated with the lowest MW in submitted RTM Energy Bid curve</w:t>
            </w:r>
          </w:p>
        </w:tc>
      </w:tr>
      <w:tr w:rsidR="001F04FD" w:rsidRPr="006A6281" w14:paraId="62102ABA" w14:textId="77777777" w:rsidTr="00AC4DEE">
        <w:trPr>
          <w:jc w:val="center"/>
        </w:trPr>
        <w:tc>
          <w:tcPr>
            <w:tcW w:w="3596" w:type="dxa"/>
          </w:tcPr>
          <w:p w14:paraId="1AD53DE1" w14:textId="77777777" w:rsidR="001F04FD" w:rsidRPr="006A6281" w:rsidRDefault="001F04FD" w:rsidP="00AC4DEE">
            <w:pPr>
              <w:pStyle w:val="TableBody"/>
            </w:pPr>
            <w:r w:rsidRPr="006A6281">
              <w:t>MPC minus maximum MW of RTM Energy Bid to MPC</w:t>
            </w:r>
          </w:p>
        </w:tc>
        <w:tc>
          <w:tcPr>
            <w:tcW w:w="2875" w:type="dxa"/>
          </w:tcPr>
          <w:p w14:paraId="01B39963" w14:textId="77777777" w:rsidR="001F04FD" w:rsidRPr="006A6281" w:rsidRDefault="001F04FD" w:rsidP="00AC4DEE">
            <w:pPr>
              <w:pStyle w:val="TableBody"/>
            </w:pPr>
            <w:r w:rsidRPr="006A6281">
              <w:t>RTM Energy Bid curve</w:t>
            </w:r>
          </w:p>
        </w:tc>
      </w:tr>
      <w:tr w:rsidR="001F04FD" w:rsidRPr="006A6281" w14:paraId="5BBEF55B" w14:textId="77777777" w:rsidTr="00AC4DEE">
        <w:trPr>
          <w:jc w:val="center"/>
        </w:trPr>
        <w:tc>
          <w:tcPr>
            <w:tcW w:w="3596" w:type="dxa"/>
          </w:tcPr>
          <w:p w14:paraId="21441185" w14:textId="77777777" w:rsidR="001F04FD" w:rsidRPr="006A6281" w:rsidRDefault="001F04FD" w:rsidP="00AC4DEE">
            <w:pPr>
              <w:pStyle w:val="TableBody"/>
            </w:pPr>
            <w:r w:rsidRPr="006A6281">
              <w:t>MPC</w:t>
            </w:r>
          </w:p>
        </w:tc>
        <w:tc>
          <w:tcPr>
            <w:tcW w:w="2875" w:type="dxa"/>
          </w:tcPr>
          <w:p w14:paraId="4B60CDAB" w14:textId="77777777" w:rsidR="001F04FD" w:rsidRPr="006A6281" w:rsidRDefault="001F04FD" w:rsidP="00AC4DEE">
            <w:pPr>
              <w:pStyle w:val="TableBody"/>
            </w:pPr>
            <w:r w:rsidRPr="006A6281">
              <w:t>Right-most point (lowest price) on RTM Energy Bid curve</w:t>
            </w:r>
          </w:p>
        </w:tc>
      </w:tr>
    </w:tbl>
    <w:p w14:paraId="47D794E7" w14:textId="230B9D60" w:rsidR="001F04FD" w:rsidRPr="00BF28AE" w:rsidRDefault="001F04FD" w:rsidP="001F04FD">
      <w:pPr>
        <w:pStyle w:val="BodyTextNumbered"/>
        <w:spacing w:before="240" w:after="0"/>
      </w:pPr>
      <w:r w:rsidRPr="006A6281">
        <w:t>(</w:t>
      </w:r>
      <w:r>
        <w:t>7</w:t>
      </w:r>
      <w:r w:rsidRPr="006A6281">
        <w:t>)</w:t>
      </w:r>
      <w:r w:rsidRPr="006A6281">
        <w:tab/>
        <w:t xml:space="preserve">ERCOT shall ensure that any RTM Energy Bid is monotonically non-increasing.  The QSE representing the </w:t>
      </w:r>
      <w:r w:rsidR="00D3410D">
        <w:t>CLR</w:t>
      </w:r>
      <w:r w:rsidRPr="006A6281">
        <w:t xml:space="preserve"> shall be responsible for all RTM Energy Bids, including bids updated by ERCOT as described above.</w:t>
      </w:r>
    </w:p>
    <w:p w14:paraId="34782A86" w14:textId="375A238A" w:rsidR="001F04FD" w:rsidRDefault="001F04FD" w:rsidP="00BA3F0D">
      <w:pPr>
        <w:pStyle w:val="BodyTextNumbered"/>
        <w:spacing w:before="240"/>
      </w:pPr>
      <w:r w:rsidRPr="006A6281">
        <w:t>(</w:t>
      </w:r>
      <w:r>
        <w:t>8</w:t>
      </w:r>
      <w:r w:rsidRPr="006A6281">
        <w:t>)</w:t>
      </w:r>
      <w:r w:rsidRPr="006A6281">
        <w:tab/>
      </w:r>
      <w:r w:rsidR="00276BD3">
        <w:t>If a</w:t>
      </w:r>
      <w:r w:rsidRPr="006A6281">
        <w:t xml:space="preserve"> </w:t>
      </w:r>
      <w:r w:rsidR="00D3410D">
        <w:t>CLR</w:t>
      </w:r>
      <w:r w:rsidRPr="006A6281">
        <w:t xml:space="preserve"> telemeter</w:t>
      </w:r>
      <w:r w:rsidR="00276BD3">
        <w:t>s</w:t>
      </w:r>
      <w:r w:rsidRPr="006A6281">
        <w:t xml:space="preserve"> </w:t>
      </w:r>
      <w:r w:rsidR="00276BD3">
        <w:t xml:space="preserve">a </w:t>
      </w:r>
      <w:r w:rsidRPr="006A6281">
        <w:t>status of OUTL</w:t>
      </w:r>
      <w:r w:rsidR="00276BD3">
        <w:t>, it</w:t>
      </w:r>
      <w:r w:rsidRPr="006A6281">
        <w:t xml:space="preserve"> is not considered as dispatchable capacity by SCED.  A QSE may use this function to inform ERCOT of instances when the </w:t>
      </w:r>
      <w:r w:rsidR="00D3410D">
        <w:t>CLR</w:t>
      </w:r>
      <w:r w:rsidRPr="006A6281">
        <w:t xml:space="preserve"> is unable to follow SCED Dispatch Instructions.  Under all telemetered statuses including OUTL, the remaining telemetry quantities submitted by the QSE shall represent the operating conditions of the </w:t>
      </w:r>
      <w:r w:rsidR="00D3410D">
        <w:t>CLR</w:t>
      </w:r>
      <w:r w:rsidRPr="006A6281">
        <w:t xml:space="preserve"> that can be verified by ERCOT.  A QSE representing a </w:t>
      </w:r>
      <w:r w:rsidR="00D3410D">
        <w:t>CLR</w:t>
      </w:r>
      <w:r w:rsidRPr="006A6281">
        <w:t xml:space="preserve"> with a telemetered status of OUTL is still obligated to provide any applicable Ancillary Service Resource Responsibilities previously awarded to that </w:t>
      </w:r>
      <w:r w:rsidR="00D3410D">
        <w:t>CLR</w:t>
      </w:r>
      <w:r w:rsidRPr="006A6281">
        <w:t>.</w:t>
      </w:r>
      <w:r w:rsidR="00276BD3">
        <w:t xml:space="preserve">  This paragraph does not apply to ESRs.</w:t>
      </w:r>
    </w:p>
    <w:p w14:paraId="010430E6" w14:textId="04F1D090" w:rsidR="001F04FD" w:rsidRDefault="001F04FD" w:rsidP="000B1D41">
      <w:pPr>
        <w:pStyle w:val="BodyTextNumbered"/>
      </w:pPr>
      <w:r w:rsidRPr="000B52AD">
        <w:t>(9)</w:t>
      </w:r>
      <w:r w:rsidRPr="000B52AD">
        <w:tab/>
        <w:t>Energy Offer Curves that were constructed in whole or in part with proxy Energy Offer Curves shall be so marked in all ERCOT postings or references to the energy offer.</w:t>
      </w:r>
    </w:p>
    <w:p w14:paraId="18D48F58" w14:textId="77777777" w:rsidR="001F04FD" w:rsidRDefault="001F04FD" w:rsidP="001F04FD">
      <w:pPr>
        <w:pStyle w:val="BodyTextNumbered"/>
        <w:spacing w:before="240"/>
      </w:pPr>
      <w:r>
        <w:t>(10)</w:t>
      </w:r>
      <w:r>
        <w:tab/>
        <w:t>The two-step SCED methodology referenced in paragraph (1) above is:</w:t>
      </w:r>
    </w:p>
    <w:p w14:paraId="2D8BE7C1" w14:textId="5D209330" w:rsidR="001F04FD" w:rsidRDefault="001F04FD" w:rsidP="001F04FD">
      <w:pPr>
        <w:pStyle w:val="List"/>
      </w:pPr>
      <w:r>
        <w:t>(a)</w:t>
      </w:r>
      <w:r>
        <w:tab/>
        <w:t xml:space="preserve">The first step is to execute the SCED process to determine Reference LMPs.  In this step, ERCOT executes SCED using the full Network Operations Model while only observing limits of Competitive Constraints.  Energy Offer Curves for all On-Line Generation Resources and RTM Energy Bids from available </w:t>
      </w:r>
      <w:r w:rsidR="00D3410D">
        <w:t>CLR</w:t>
      </w:r>
      <w:r>
        <w:t>s, whether submitted by QSEs or created by ERCOT under this Section, are used in the SCED to determine “Reference LMPs.”</w:t>
      </w:r>
    </w:p>
    <w:p w14:paraId="6B46B2B6" w14:textId="77777777" w:rsidR="001F04FD" w:rsidRDefault="001F04FD" w:rsidP="001F04FD">
      <w:pPr>
        <w:pStyle w:val="List"/>
      </w:pPr>
      <w:r>
        <w:t>(b)</w:t>
      </w:r>
      <w:r>
        <w:tab/>
        <w:t>The second step is to execute the SCED process to produce Base Points, Shadow Prices, and LMPs, subject to security constraints (including Competitive and Non-Competitive Constraints) and other Resource constraints.  The second step must:</w:t>
      </w:r>
    </w:p>
    <w:p w14:paraId="1242DF47" w14:textId="77777777" w:rsidR="001F04FD" w:rsidRDefault="001F04FD" w:rsidP="001F04FD">
      <w:pPr>
        <w:pStyle w:val="List2"/>
      </w:pPr>
      <w:r>
        <w:lastRenderedPageBreak/>
        <w:t>(i)</w:t>
      </w:r>
      <w:r>
        <w:tab/>
        <w:t>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w:t>
      </w:r>
      <w:r w:rsidR="00785038">
        <w:t xml:space="preserve"> (MOC)</w:t>
      </w:r>
      <w:r>
        <w:t xml:space="preserve"> curve at the LSL or the appropriate </w:t>
      </w:r>
      <w:r w:rsidR="00785038">
        <w:t>MOC</w:t>
      </w:r>
      <w:r>
        <w:t xml:space="preserve">; </w:t>
      </w:r>
    </w:p>
    <w:p w14:paraId="2A7C58EC" w14:textId="53C4689F" w:rsidR="001F04FD" w:rsidRDefault="001F04FD" w:rsidP="001F04FD">
      <w:pPr>
        <w:pStyle w:val="List2"/>
      </w:pPr>
      <w:r w:rsidRPr="006A6281">
        <w:t>(ii)</w:t>
      </w:r>
      <w:r w:rsidRPr="006A6281">
        <w:tab/>
        <w:t xml:space="preserve">Use RTM Energy Bid curves for all available </w:t>
      </w:r>
      <w:r w:rsidR="00D3410D">
        <w:t>CLR</w:t>
      </w:r>
      <w:r w:rsidRPr="006A6281">
        <w:t>s, whether submitted by QSEs or created by ERCOT.  There is no mitigation of RTM Energy Bids</w:t>
      </w:r>
      <w:r w:rsidR="002A0AD7">
        <w:t xml:space="preserve">.  </w:t>
      </w:r>
      <w:r w:rsidR="002A0AD7" w:rsidRPr="006979A1">
        <w:rPr>
          <w:iCs/>
        </w:rPr>
        <w:t xml:space="preserve">An RTM Energy Bid </w:t>
      </w:r>
      <w:r w:rsidR="002A0AD7">
        <w:rPr>
          <w:iCs/>
        </w:rPr>
        <w:t xml:space="preserve">from a </w:t>
      </w:r>
      <w:r w:rsidR="00D3410D">
        <w:rPr>
          <w:iCs/>
        </w:rPr>
        <w:t>CLR</w:t>
      </w:r>
      <w:r w:rsidR="002A0AD7" w:rsidRPr="006979A1">
        <w:rPr>
          <w:iCs/>
        </w:rPr>
        <w:t xml:space="preserve"> </w:t>
      </w:r>
      <w:r w:rsidR="002A0AD7">
        <w:rPr>
          <w:iCs/>
        </w:rPr>
        <w:t xml:space="preserve">represents </w:t>
      </w:r>
      <w:r w:rsidR="002A0AD7" w:rsidRPr="006979A1">
        <w:rPr>
          <w:iCs/>
        </w:rPr>
        <w:t xml:space="preserve">the bid for energy distributed across all nodes in the Load Zone in which the </w:t>
      </w:r>
      <w:r w:rsidR="00D3410D">
        <w:rPr>
          <w:iCs/>
        </w:rPr>
        <w:t>CLR</w:t>
      </w:r>
      <w:r w:rsidR="002A0AD7" w:rsidRPr="006979A1">
        <w:rPr>
          <w:iCs/>
        </w:rPr>
        <w:t xml:space="preserve"> is located.</w:t>
      </w:r>
      <w:r w:rsidR="002A0AD7">
        <w:rPr>
          <w:iCs/>
        </w:rPr>
        <w:t xml:space="preserve">  </w:t>
      </w:r>
      <w:r w:rsidR="002A0AD7" w:rsidRPr="00487AAE">
        <w:rPr>
          <w:iCs/>
        </w:rPr>
        <w:t xml:space="preserve">For </w:t>
      </w:r>
      <w:r w:rsidR="002A0AD7">
        <w:rPr>
          <w:iCs/>
        </w:rPr>
        <w:t>an ESR</w:t>
      </w:r>
      <w:r w:rsidR="002A0AD7" w:rsidRPr="00487AAE">
        <w:rPr>
          <w:iCs/>
        </w:rPr>
        <w:t xml:space="preserve">, </w:t>
      </w:r>
      <w:r w:rsidR="002A0AD7">
        <w:rPr>
          <w:iCs/>
        </w:rPr>
        <w:t>an RTM Energy Bid represents a bid for energy at the ESR’s Resource Node</w:t>
      </w:r>
      <w:r w:rsidRPr="006A6281">
        <w:t>;</w:t>
      </w:r>
      <w:r>
        <w:t xml:space="preserve"> and</w:t>
      </w:r>
    </w:p>
    <w:p w14:paraId="7F6C1D10" w14:textId="69B3BF38" w:rsidR="001F04FD" w:rsidRDefault="001F04FD" w:rsidP="000B1D41">
      <w:pPr>
        <w:pStyle w:val="List2"/>
      </w:pPr>
      <w:r>
        <w:t>(iii)</w:t>
      </w:r>
      <w:r>
        <w:tab/>
        <w:t>Observe all Competitive and Non-Competitive Constraints.</w:t>
      </w:r>
    </w:p>
    <w:p w14:paraId="71A3EC04" w14:textId="77777777" w:rsidR="001F04FD" w:rsidRDefault="001F04FD" w:rsidP="001F04FD">
      <w:pPr>
        <w:pStyle w:val="List"/>
      </w:pPr>
      <w:r w:rsidRPr="00C238D3">
        <w:t>(c)</w:t>
      </w:r>
      <w:r w:rsidRPr="00C238D3">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r>
        <w:t>.</w:t>
      </w:r>
    </w:p>
    <w:p w14:paraId="38A24360" w14:textId="6DB093EF" w:rsidR="001F04FD" w:rsidRDefault="001F04FD" w:rsidP="001F04FD">
      <w:pPr>
        <w:pStyle w:val="List"/>
        <w:ind w:left="720"/>
        <w:rPr>
          <w:iCs/>
        </w:rPr>
      </w:pPr>
      <w:r w:rsidRPr="000149E5">
        <w:rPr>
          <w:iCs/>
        </w:rPr>
        <w:t>(</w:t>
      </w:r>
      <w:r>
        <w:rPr>
          <w:iCs/>
        </w:rPr>
        <w:t>11</w:t>
      </w:r>
      <w:r w:rsidRPr="000149E5">
        <w:rPr>
          <w:iCs/>
        </w:rPr>
        <w:t>)</w:t>
      </w:r>
      <w:r w:rsidRPr="000149E5">
        <w:rPr>
          <w:iCs/>
        </w:rPr>
        <w:tab/>
        <w:t xml:space="preserve">For each SCED process, in addition to the binding Base Points and LMPs, ERCOT shall calculate a non-binding projection of the Base Points and Resource Node LMPs, </w:t>
      </w:r>
      <w:r w:rsidRPr="00193B05">
        <w:rPr>
          <w:iCs/>
        </w:rPr>
        <w:t>Real-Time Reliability Deployment Price Adders,</w:t>
      </w:r>
      <w:r>
        <w:rPr>
          <w:iCs/>
        </w:rPr>
        <w:t xml:space="preserve"> </w:t>
      </w:r>
      <w:r w:rsidRPr="0080555B">
        <w:rPr>
          <w:iCs/>
        </w:rPr>
        <w:t xml:space="preserve">Real-Time </w:t>
      </w:r>
      <w:r w:rsidRPr="0080555B">
        <w:t>On-Line Reserve Price</w:t>
      </w:r>
      <w:r w:rsidRPr="0080555B">
        <w:rPr>
          <w:iCs/>
        </w:rPr>
        <w:t xml:space="preserve"> Adders, Real-Time </w:t>
      </w:r>
      <w:r w:rsidRPr="0080555B">
        <w:t>Off-Line Reserve Price</w:t>
      </w:r>
      <w:r w:rsidRPr="0080555B">
        <w:rPr>
          <w:iCs/>
        </w:rPr>
        <w:t xml:space="preserve"> Adders,</w:t>
      </w:r>
      <w:r>
        <w:rPr>
          <w:iCs/>
        </w:rPr>
        <w:t xml:space="preserve"> </w:t>
      </w:r>
      <w:r w:rsidRPr="000149E5">
        <w:rPr>
          <w:iCs/>
        </w:rPr>
        <w:t xml:space="preserve">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w:t>
      </w:r>
      <w:r>
        <w:rPr>
          <w:iCs/>
        </w:rPr>
        <w:t>In lieu of the steps described in Section 6.5.7.3.1,</w:t>
      </w:r>
      <w:r w:rsidRPr="00AD7208">
        <w:t xml:space="preserve"> </w:t>
      </w:r>
      <w:r w:rsidRPr="00CA6C23">
        <w:t>Determination of Real-Time On-Line Reliability Deployment Price Adder</w:t>
      </w:r>
      <w:r w:rsidDel="008F055F">
        <w:rPr>
          <w:iCs/>
        </w:rPr>
        <w:t>,</w:t>
      </w:r>
      <w:r>
        <w:rPr>
          <w:iCs/>
        </w:rPr>
        <w:t xml:space="preserve"> the </w:t>
      </w:r>
      <w:r w:rsidRPr="000149E5">
        <w:rPr>
          <w:iCs/>
        </w:rPr>
        <w:t>non-binding projection</w:t>
      </w:r>
      <w:r>
        <w:rPr>
          <w:iCs/>
        </w:rPr>
        <w:t xml:space="preserve"> of</w:t>
      </w:r>
      <w:r w:rsidRPr="000149E5">
        <w:rPr>
          <w:iCs/>
        </w:rPr>
        <w:t xml:space="preserve"> </w:t>
      </w:r>
      <w:r w:rsidRPr="00193B05">
        <w:rPr>
          <w:iCs/>
        </w:rPr>
        <w:t>Real-Time Reliability Deployment Price Adders</w:t>
      </w:r>
      <w:r w:rsidRPr="000149E5">
        <w:rPr>
          <w:iCs/>
        </w:rPr>
        <w:t xml:space="preserve"> </w:t>
      </w:r>
      <w:r>
        <w:rPr>
          <w:iCs/>
        </w:rPr>
        <w:t xml:space="preserve">shall be estimated based on GTBD, </w:t>
      </w:r>
      <w:r>
        <w:t>reliability deployments MWs, and</w:t>
      </w:r>
      <w:r>
        <w:rPr>
          <w:iCs/>
        </w:rPr>
        <w:t xml:space="preserve"> aggregated offers.  The Energy Offer Curve from SCED Step 2, the virtual offers for Load Resources deployed and the power balance penalty curve will be compared against the updated GTBD to get an estimate of the System Lambda from paragraph (2)(</w:t>
      </w:r>
      <w:r w:rsidR="00172351">
        <w:rPr>
          <w:iCs/>
        </w:rPr>
        <w:t>m</w:t>
      </w:r>
      <w:r>
        <w:rPr>
          <w:iCs/>
        </w:rPr>
        <w:t>) of Section 6.5.7.3.1.</w:t>
      </w:r>
      <w:r>
        <w:t xml:space="preserve">  </w:t>
      </w:r>
      <w:r w:rsidRPr="000149E5">
        <w:rPr>
          <w:iCs/>
        </w:rPr>
        <w:t>ERCOT shall post the projected non-binding Base Points for each Resource for each interval study period on the MIS Certified Area and the projected non-binding LMPs for Resource Nodes</w:t>
      </w:r>
      <w:r w:rsidRPr="0080555B">
        <w:rPr>
          <w:iCs/>
        </w:rPr>
        <w:t xml:space="preserve">, </w:t>
      </w:r>
      <w:r w:rsidRPr="00193B05">
        <w:rPr>
          <w:iCs/>
        </w:rPr>
        <w:t xml:space="preserve">Real-Time Reliability Deployment </w:t>
      </w:r>
      <w:r w:rsidRPr="00193B05">
        <w:rPr>
          <w:iCs/>
        </w:rPr>
        <w:lastRenderedPageBreak/>
        <w:t xml:space="preserve">Price Adders, </w:t>
      </w:r>
      <w:r w:rsidRPr="0080555B">
        <w:rPr>
          <w:iCs/>
        </w:rPr>
        <w:t xml:space="preserve">Real-Time </w:t>
      </w:r>
      <w:r w:rsidRPr="0080555B">
        <w:t>On-Line Reserve Price</w:t>
      </w:r>
      <w:r w:rsidRPr="0080555B">
        <w:rPr>
          <w:iCs/>
        </w:rPr>
        <w:t xml:space="preserve"> Adder</w:t>
      </w:r>
      <w:r>
        <w:rPr>
          <w:iCs/>
        </w:rPr>
        <w:t>s</w:t>
      </w:r>
      <w:r w:rsidRPr="0080555B">
        <w:rPr>
          <w:iCs/>
        </w:rPr>
        <w:t xml:space="preserve">, Real-Time </w:t>
      </w:r>
      <w:r w:rsidRPr="0080555B">
        <w:t>Off-Line Reserve Price</w:t>
      </w:r>
      <w:r w:rsidRPr="0080555B">
        <w:rPr>
          <w:iCs/>
        </w:rPr>
        <w:t xml:space="preserve"> Adder</w:t>
      </w:r>
      <w:r>
        <w:rPr>
          <w:iCs/>
        </w:rPr>
        <w:t>s</w:t>
      </w:r>
      <w:r w:rsidRPr="000149E5">
        <w:rPr>
          <w:iCs/>
        </w:rPr>
        <w:t xml:space="preserve">, Hub LMPs and Load Zone LMPs on the </w:t>
      </w:r>
      <w:r w:rsidR="0007207E">
        <w:t>ERCOT website</w:t>
      </w:r>
      <w:r w:rsidRPr="000149E5">
        <w:rPr>
          <w:iCs/>
        </w:rPr>
        <w:t xml:space="preserve"> pursuant to Section 6.3.2, Activities for Real-Time Operations.</w:t>
      </w:r>
    </w:p>
    <w:p w14:paraId="43FF7F55" w14:textId="77777777" w:rsidR="001F04FD" w:rsidRDefault="001F04FD" w:rsidP="001F04FD">
      <w:pPr>
        <w:pStyle w:val="List"/>
        <w:ind w:left="720"/>
        <w:rPr>
          <w:color w:val="000000"/>
        </w:rPr>
      </w:pPr>
      <w:r w:rsidRPr="0080555B">
        <w:rPr>
          <w:color w:val="000000"/>
        </w:rPr>
        <w:t>(</w:t>
      </w:r>
      <w:r>
        <w:rPr>
          <w:color w:val="000000"/>
        </w:rPr>
        <w:t>12</w:t>
      </w:r>
      <w:r w:rsidRPr="0080555B">
        <w:rPr>
          <w:color w:val="000000"/>
        </w:rPr>
        <w:t>)</w:t>
      </w:r>
      <w:r w:rsidRPr="0080555B">
        <w:rPr>
          <w:color w:val="000000"/>
        </w:rPr>
        <w:tab/>
      </w:r>
      <w:r w:rsidRPr="002E4059">
        <w:rPr>
          <w:iCs/>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w:t>
      </w:r>
      <w:r>
        <w:rPr>
          <w:iCs/>
        </w:rPr>
        <w:t>5</w:t>
      </w:r>
      <w:r w:rsidRPr="002E4059">
        <w:rPr>
          <w:iCs/>
        </w:rPr>
        <w:t>, Real-Time Ancillary Service Imbalance Payment or Charge, to make Resources indifferent to the utilization of their capacity for energy or Ancillary Service reserves.</w:t>
      </w:r>
    </w:p>
    <w:p w14:paraId="3BC4C854" w14:textId="2A28170F" w:rsidR="001F04FD" w:rsidRDefault="001F04FD" w:rsidP="001F04FD">
      <w:pPr>
        <w:pStyle w:val="List"/>
        <w:ind w:left="720"/>
        <w:rPr>
          <w:szCs w:val="24"/>
        </w:rPr>
      </w:pPr>
      <w:r w:rsidRPr="00125794">
        <w:rPr>
          <w:color w:val="000000"/>
          <w:szCs w:val="24"/>
        </w:rPr>
        <w:t>(</w:t>
      </w:r>
      <w:r>
        <w:rPr>
          <w:color w:val="000000"/>
          <w:szCs w:val="24"/>
        </w:rPr>
        <w:t>13</w:t>
      </w:r>
      <w:r w:rsidRPr="00125794">
        <w:rPr>
          <w:color w:val="000000"/>
          <w:szCs w:val="24"/>
        </w:rPr>
        <w:t>)</w:t>
      </w:r>
      <w:r w:rsidRPr="00125794">
        <w:rPr>
          <w:color w:val="000000"/>
          <w:szCs w:val="24"/>
        </w:rPr>
        <w:tab/>
      </w:r>
      <w:r w:rsidRPr="008376EF">
        <w:rPr>
          <w:szCs w:val="24"/>
        </w:rPr>
        <w:t>ERCOT shall determine the methodology for i</w:t>
      </w:r>
      <w:r w:rsidRPr="00125794">
        <w:rPr>
          <w:color w:val="000000"/>
          <w:szCs w:val="24"/>
        </w:rPr>
        <w:t xml:space="preserve">mplementing the ORDC to calculate the Real-Time On-Line Reserve Price Adder and Real-Time Off-Line Reserve Price Adder.  </w:t>
      </w:r>
      <w:r w:rsidRPr="008376EF">
        <w:rPr>
          <w:szCs w:val="24"/>
        </w:rPr>
        <w:t>Following review by TAC, the ERCOT Board shall review the recommendation and approve a final methodology.</w:t>
      </w:r>
      <w:r w:rsidRPr="00125794">
        <w:rPr>
          <w:color w:val="000000"/>
          <w:szCs w:val="24"/>
        </w:rPr>
        <w:t xml:space="preserve">  </w:t>
      </w:r>
      <w:r w:rsidRPr="008376EF">
        <w:rPr>
          <w:szCs w:val="24"/>
        </w:rPr>
        <w:t xml:space="preserve">Within two Business Days following approval by the ERCOT Board, ERCOT shall post the methodology on the </w:t>
      </w:r>
      <w:r w:rsidR="0007207E">
        <w:t>ERCOT website</w:t>
      </w:r>
      <w:r w:rsidRPr="008376EF">
        <w:rPr>
          <w:szCs w:val="24"/>
        </w:rPr>
        <w:t>.</w:t>
      </w:r>
    </w:p>
    <w:p w14:paraId="0746204D" w14:textId="5F096F31" w:rsidR="001F04FD" w:rsidRDefault="001F04FD" w:rsidP="001F04FD">
      <w:pPr>
        <w:pStyle w:val="List"/>
        <w:ind w:left="720"/>
        <w:rPr>
          <w:color w:val="000000"/>
        </w:rPr>
      </w:pPr>
      <w:r w:rsidRPr="0080555B">
        <w:rPr>
          <w:color w:val="000000"/>
        </w:rPr>
        <w:t>(</w:t>
      </w:r>
      <w:r>
        <w:rPr>
          <w:color w:val="000000"/>
        </w:rPr>
        <w:t>14</w:t>
      </w:r>
      <w:r w:rsidRPr="0080555B">
        <w:rPr>
          <w:color w:val="000000"/>
        </w:rPr>
        <w:t>)</w:t>
      </w:r>
      <w:r w:rsidRPr="0080555B">
        <w:rPr>
          <w:color w:val="000000"/>
        </w:rPr>
        <w:tab/>
      </w:r>
      <w:r>
        <w:rPr>
          <w:color w:val="000000"/>
        </w:rPr>
        <w:t>At the end of e</w:t>
      </w:r>
      <w:r w:rsidRPr="0080555B">
        <w:rPr>
          <w:color w:val="000000"/>
        </w:rPr>
        <w:t xml:space="preserve">ach </w:t>
      </w:r>
      <w:r>
        <w:rPr>
          <w:color w:val="000000"/>
        </w:rPr>
        <w:t>season</w:t>
      </w:r>
      <w:r w:rsidRPr="0080555B">
        <w:rPr>
          <w:color w:val="000000"/>
        </w:rPr>
        <w:t xml:space="preserve">, ERCOT shall determine the ORDC for the </w:t>
      </w:r>
      <w:r>
        <w:rPr>
          <w:color w:val="000000"/>
        </w:rPr>
        <w:t>same season in the upcoming year,</w:t>
      </w:r>
      <w:r w:rsidRPr="0080555B">
        <w:rPr>
          <w:color w:val="000000"/>
        </w:rPr>
        <w:t xml:space="preserve"> based on historic data using the ERCOT Board-approved methodology for implementing the ORDC.  </w:t>
      </w:r>
      <w:r>
        <w:rPr>
          <w:color w:val="000000"/>
        </w:rPr>
        <w:t>Annually, ERCOT shall verify that the ORDC is adequately representative of the loss of Load probability for varying levels of reserves.  Twenty days after the end of the Season</w:t>
      </w:r>
      <w:r w:rsidRPr="0080555B">
        <w:rPr>
          <w:color w:val="000000"/>
        </w:rPr>
        <w:t xml:space="preserve">, ERCOT shall post the ORDC for the </w:t>
      </w:r>
      <w:r>
        <w:rPr>
          <w:color w:val="000000"/>
        </w:rPr>
        <w:t>same season of the upcoming year</w:t>
      </w:r>
      <w:r w:rsidRPr="0080555B">
        <w:rPr>
          <w:color w:val="000000"/>
        </w:rPr>
        <w:t xml:space="preserve"> on the </w:t>
      </w:r>
      <w:r w:rsidR="0007207E">
        <w:t>ERCOT website</w:t>
      </w:r>
      <w:r w:rsidRPr="0080555B">
        <w:rPr>
          <w:color w:val="000000"/>
        </w:rPr>
        <w:t>.</w:t>
      </w:r>
    </w:p>
    <w:p w14:paraId="2851DF06" w14:textId="7E3CE68C" w:rsidR="001F04FD" w:rsidRDefault="001F04FD" w:rsidP="00BA3F0D">
      <w:pPr>
        <w:pStyle w:val="List"/>
        <w:ind w:left="720"/>
        <w:rPr>
          <w:iCs/>
        </w:rPr>
      </w:pPr>
      <w:r w:rsidRPr="006A6281">
        <w:rPr>
          <w:iCs/>
        </w:rPr>
        <w:t>(</w:t>
      </w:r>
      <w:r>
        <w:rPr>
          <w:iCs/>
        </w:rPr>
        <w:t>15</w:t>
      </w:r>
      <w:r w:rsidRPr="006A6281">
        <w:rPr>
          <w:iCs/>
        </w:rPr>
        <w:t>)</w:t>
      </w:r>
      <w:r w:rsidRPr="006A6281">
        <w:rPr>
          <w:iCs/>
        </w:rPr>
        <w:tab/>
        <w:t xml:space="preserve">ERCOT may override one or more of a </w:t>
      </w:r>
      <w:r w:rsidR="00D3410D">
        <w:rPr>
          <w:iCs/>
        </w:rPr>
        <w:t>CLR</w:t>
      </w:r>
      <w:r w:rsidRPr="006A6281">
        <w:rPr>
          <w:iCs/>
        </w:rPr>
        <w:t xml:space="preserve">’s parameters in SCED if ERCOT determines that the </w:t>
      </w:r>
      <w:r w:rsidR="00D3410D">
        <w:rPr>
          <w:iCs/>
        </w:rPr>
        <w:t>CLR</w:t>
      </w:r>
      <w:r w:rsidRPr="006A6281">
        <w:rPr>
          <w:iCs/>
        </w:rPr>
        <w:t>’s participation is having an adverse impact on the reliability of the ERCOT System.</w:t>
      </w:r>
    </w:p>
    <w:p w14:paraId="631199A6" w14:textId="77777777" w:rsidR="002A0AD7" w:rsidRDefault="002A0AD7" w:rsidP="002A0AD7">
      <w:pPr>
        <w:pStyle w:val="List"/>
        <w:ind w:left="720"/>
      </w:pPr>
      <w:r>
        <w:rPr>
          <w:iCs/>
        </w:rPr>
        <w:t>(16)</w:t>
      </w:r>
      <w:r>
        <w:rPr>
          <w:iCs/>
        </w:rPr>
        <w:tab/>
        <w:t xml:space="preserve">The QSE representing an ESR, in order to charge the ESR, must submit RTM Energy Bids, and the ESR may withdraw energy from the ERCOT System only when dispatched by SCED to do so.  </w:t>
      </w:r>
      <w:r>
        <w:t>A</w:t>
      </w:r>
      <w:r w:rsidRPr="001111A1">
        <w:t>n ESR may telemeter a status of OUTL only if the ESR is in Outage status.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C03DD" w14:paraId="554AF5D2" w14:textId="77777777" w:rsidTr="00AE702A">
        <w:trPr>
          <w:trHeight w:val="206"/>
        </w:trPr>
        <w:tc>
          <w:tcPr>
            <w:tcW w:w="9350" w:type="dxa"/>
            <w:shd w:val="pct12" w:color="auto" w:fill="auto"/>
          </w:tcPr>
          <w:p w14:paraId="0EAF2CC3" w14:textId="1A0566B7" w:rsidR="00BC03DD" w:rsidRDefault="00BC03DD" w:rsidP="00AE702A">
            <w:pPr>
              <w:pStyle w:val="Instructions"/>
              <w:spacing w:before="120"/>
            </w:pPr>
            <w:bookmarkStart w:id="1141" w:name="_Toc422486479"/>
            <w:bookmarkStart w:id="1142" w:name="_Toc433093331"/>
            <w:bookmarkStart w:id="1143" w:name="_Toc433093489"/>
            <w:bookmarkStart w:id="1144" w:name="_Toc440874718"/>
            <w:bookmarkStart w:id="1145" w:name="_Toc448142273"/>
            <w:bookmarkStart w:id="1146" w:name="_Toc448142430"/>
            <w:bookmarkStart w:id="1147" w:name="_Toc458770266"/>
            <w:bookmarkStart w:id="1148" w:name="_Toc459294234"/>
            <w:bookmarkStart w:id="1149" w:name="_Toc463262727"/>
            <w:bookmarkStart w:id="1150" w:name="_Toc468286801"/>
            <w:bookmarkStart w:id="1151" w:name="_Toc481502847"/>
            <w:bookmarkStart w:id="1152" w:name="_Toc496080015"/>
            <w:r>
              <w:lastRenderedPageBreak/>
              <w:t xml:space="preserve">[NPRR930, NPRR1000, NPRR1010, </w:t>
            </w:r>
            <w:r w:rsidR="00122777">
              <w:t xml:space="preserve">NPRR1014, </w:t>
            </w:r>
            <w:r>
              <w:t>NPRR1019</w:t>
            </w:r>
            <w:r w:rsidR="00F726A9">
              <w:t xml:space="preserve">, </w:t>
            </w:r>
            <w:r w:rsidR="00D3410D">
              <w:t xml:space="preserve">NPRR1188, </w:t>
            </w:r>
            <w:r w:rsidR="00F726A9">
              <w:t>and NPRR1204</w:t>
            </w:r>
            <w:r>
              <w:t>:  Replace applicable portions of Section 6.5.7.3 above with the following upon system implementation for NPRR930, NPRR1000,</w:t>
            </w:r>
            <w:r w:rsidR="00122777">
              <w:t xml:space="preserve"> NPRR1014,</w:t>
            </w:r>
            <w:r>
              <w:t xml:space="preserve"> NPRR1019</w:t>
            </w:r>
            <w:r w:rsidR="00D3410D">
              <w:t>, or NPRR1188</w:t>
            </w:r>
            <w:r>
              <w:t>; or upon system implementation of the Real-Time Co-Optimization (RTC) project for NPRR1010</w:t>
            </w:r>
            <w:r w:rsidR="00F726A9">
              <w:t xml:space="preserve"> and NPRR1204</w:t>
            </w:r>
            <w:r>
              <w:t>:]</w:t>
            </w:r>
          </w:p>
          <w:p w14:paraId="0FA80618" w14:textId="77777777" w:rsidR="00BC03DD" w:rsidRPr="003161DC" w:rsidRDefault="00BC03DD" w:rsidP="00AE702A">
            <w:pPr>
              <w:keepNext/>
              <w:widowControl w:val="0"/>
              <w:tabs>
                <w:tab w:val="left" w:pos="1260"/>
              </w:tabs>
              <w:spacing w:before="240" w:after="240"/>
              <w:ind w:left="1267" w:hanging="1267"/>
              <w:outlineLvl w:val="3"/>
              <w:rPr>
                <w:b/>
                <w:bCs/>
                <w:snapToGrid w:val="0"/>
              </w:rPr>
            </w:pPr>
            <w:bookmarkStart w:id="1153" w:name="_Toc60040619"/>
            <w:bookmarkStart w:id="1154" w:name="_Toc65151679"/>
            <w:bookmarkStart w:id="1155" w:name="_Toc80174705"/>
            <w:bookmarkStart w:id="1156" w:name="_Toc108712464"/>
            <w:bookmarkStart w:id="1157" w:name="_Toc112417584"/>
            <w:bookmarkStart w:id="1158" w:name="_Toc119310253"/>
            <w:bookmarkStart w:id="1159" w:name="_Toc125966187"/>
            <w:bookmarkStart w:id="1160" w:name="_Toc135992285"/>
            <w:bookmarkStart w:id="1161" w:name="_Toc170303481"/>
            <w:bookmarkStart w:id="1162" w:name="_Toc175157385"/>
            <w:bookmarkStart w:id="1163" w:name="_Toc189044358"/>
            <w:bookmarkStart w:id="1164" w:name="_Hlk183419284"/>
            <w:r w:rsidRPr="003161DC">
              <w:rPr>
                <w:b/>
                <w:bCs/>
                <w:snapToGrid w:val="0"/>
              </w:rPr>
              <w:t>6.5.7.3</w:t>
            </w:r>
            <w:r w:rsidRPr="003161DC">
              <w:rPr>
                <w:b/>
                <w:bCs/>
                <w:snapToGrid w:val="0"/>
              </w:rPr>
              <w:tab/>
              <w:t>Security Constrained Economic Dispatch</w:t>
            </w:r>
            <w:bookmarkEnd w:id="1153"/>
            <w:bookmarkEnd w:id="1154"/>
            <w:bookmarkEnd w:id="1155"/>
            <w:bookmarkEnd w:id="1156"/>
            <w:bookmarkEnd w:id="1157"/>
            <w:bookmarkEnd w:id="1158"/>
            <w:bookmarkEnd w:id="1159"/>
            <w:bookmarkEnd w:id="1160"/>
            <w:bookmarkEnd w:id="1161"/>
            <w:bookmarkEnd w:id="1162"/>
            <w:bookmarkEnd w:id="1163"/>
          </w:p>
          <w:p w14:paraId="3BFE8955" w14:textId="25CB1C42" w:rsidR="00BC03DD" w:rsidRPr="003161DC" w:rsidRDefault="00BC03DD" w:rsidP="00BC03DD">
            <w:pPr>
              <w:spacing w:after="240"/>
              <w:ind w:left="720" w:hanging="720"/>
            </w:pPr>
            <w:r w:rsidRPr="003161DC">
              <w:rPr>
                <w:iCs/>
              </w:rPr>
              <w:t>(1)</w:t>
            </w:r>
            <w:r w:rsidRPr="003161DC">
              <w:rPr>
                <w:iCs/>
              </w:rPr>
              <w:tab/>
            </w:r>
            <w:r>
              <w:rPr>
                <w:iCs/>
              </w:rPr>
              <w:t xml:space="preserve">The SCED process is designed to simultaneously manage energy, Ancillary Services, the system power balance and network congestion through Resource Base Points, Ancillary Service awards, and the calculation of LMPs and Real-Time MCPCs approximately every five minutes, or more frequently if necessary.  The SCED process uses a two-step methodology that applies mitigation to offers for energy prospectively to resolve Non-Competitive Constraints for the current Operating Hour.  The SCED process evaluates Energy Offer Curves, </w:t>
            </w:r>
            <w:r w:rsidR="004C32A5" w:rsidRPr="00A552C3">
              <w:rPr>
                <w:iCs/>
              </w:rPr>
              <w:t>Energy Bid/Offer Curves,</w:t>
            </w:r>
            <w:r w:rsidR="004C32A5">
              <w:rPr>
                <w:iCs/>
              </w:rPr>
              <w:t xml:space="preserve"> </w:t>
            </w:r>
            <w:r>
              <w:rPr>
                <w:iCs/>
              </w:rPr>
              <w:t>Ancillary Service Offers, Output Schedules</w:t>
            </w:r>
            <w:r w:rsidR="00D3410D">
              <w:rPr>
                <w:iCs/>
              </w:rPr>
              <w:t>,</w:t>
            </w:r>
            <w:r>
              <w:rPr>
                <w:iCs/>
              </w:rPr>
              <w:t xml:space="preserve"> and Energy Bid</w:t>
            </w:r>
            <w:r w:rsidR="00D3410D">
              <w:rPr>
                <w:iCs/>
              </w:rPr>
              <w:t xml:space="preserve"> Curve</w:t>
            </w:r>
            <w:r>
              <w:rPr>
                <w:iCs/>
              </w:rPr>
              <w:t>s to determine Resource Dispatch Instructions and Ancillary Service awards by maximizing bid-based revenues minus offer-based costs, subject to power balance, Ancillary Service Demand Curves (ASDCs), and network constraints.  The SCED process uses the Resource Status provided by SCADA telemetry under Section 6.5.5.2, Operational Data Requirements, and validated by the Real-Time Sequence, instead of the Resource Status provided by the COP.</w:t>
            </w:r>
            <w:r w:rsidR="00F726A9">
              <w:rPr>
                <w:iCs/>
              </w:rPr>
              <w:t xml:space="preserve">  </w:t>
            </w:r>
            <w:r w:rsidR="00F726A9">
              <w:t xml:space="preserve">In addition, the SCED process accounts for each ESR’s State of Charge (SOC) and SOC operating limits.  This is to ensure that the SCED process will issue ESR Base Points and Ancillary Services that are feasible taking into account SCED duration requirements for energy and Ancillary Services and also that do not violate the ESR’s </w:t>
            </w:r>
            <w:r w:rsidR="001C0FF9">
              <w:t>Minimum State of Charge (</w:t>
            </w:r>
            <w:r w:rsidR="00F726A9">
              <w:t>MinSOC</w:t>
            </w:r>
            <w:r w:rsidR="001C0FF9">
              <w:t>)</w:t>
            </w:r>
            <w:r w:rsidR="00F726A9">
              <w:t xml:space="preserve"> and </w:t>
            </w:r>
            <w:r w:rsidR="001C0FF9">
              <w:t>Maximum State of Charge (</w:t>
            </w:r>
            <w:r w:rsidR="00F726A9">
              <w:t>MaxSOC</w:t>
            </w:r>
            <w:r w:rsidR="001C0FF9">
              <w:t>)</w:t>
            </w:r>
            <w:r w:rsidR="00F726A9">
              <w:t xml:space="preserve"> limits.</w:t>
            </w:r>
          </w:p>
          <w:p w14:paraId="486A2034" w14:textId="77777777" w:rsidR="00BC03DD" w:rsidRPr="003161DC" w:rsidRDefault="00BC03DD" w:rsidP="00BC03DD">
            <w:pPr>
              <w:spacing w:after="240"/>
              <w:ind w:left="720" w:hanging="720"/>
            </w:pPr>
            <w:r w:rsidRPr="003161DC">
              <w:t>(2)</w:t>
            </w:r>
            <w:r w:rsidRPr="003161DC">
              <w:tab/>
              <w:t>The SCED solution must monitor cumulative deployment of Regulation Services and ensure that Regulation Services deployment is minimized over time.</w:t>
            </w:r>
          </w:p>
          <w:p w14:paraId="2A625836" w14:textId="671D71FD" w:rsidR="00BC03DD" w:rsidRDefault="00BC03DD" w:rsidP="00BC03DD">
            <w:pPr>
              <w:spacing w:before="240" w:after="240"/>
              <w:ind w:left="720" w:hanging="720"/>
            </w:pPr>
            <w:r w:rsidRPr="003161DC">
              <w:t>(3)</w:t>
            </w:r>
            <w:r w:rsidRPr="003161DC">
              <w:tab/>
              <w:t xml:space="preserve">In the Generation To Be Dispatched (GTBD) determined by LFC, ERCOT shall subtract the sum of the telemetered net real power consumption from all </w:t>
            </w:r>
            <w:r w:rsidR="00D3410D">
              <w:t xml:space="preserve">CLRs </w:t>
            </w:r>
            <w:r w:rsidRPr="003161DC">
              <w:t>available to SCED.</w:t>
            </w:r>
          </w:p>
          <w:p w14:paraId="19DEE9FC" w14:textId="77777777" w:rsidR="00BC03DD" w:rsidRPr="003161DC" w:rsidRDefault="00BC03DD" w:rsidP="00BC03DD">
            <w:pPr>
              <w:spacing w:before="240" w:after="240"/>
              <w:ind w:left="720" w:hanging="720"/>
            </w:pPr>
            <w:r w:rsidRPr="003161DC">
              <w:t>(4)</w:t>
            </w:r>
            <w:r w:rsidRPr="003161DC">
              <w:tab/>
              <w:t>For use as SCED inputs</w:t>
            </w:r>
            <w:r>
              <w:t xml:space="preserve"> for determining energy dispatch and Ancillary Service awards</w:t>
            </w:r>
            <w:r w:rsidRPr="003161DC">
              <w:t xml:space="preserve">, ERCOT shall use the available capacity of all committed Generation Resources by creating proxy Energy Offer Curves for certain Resources as follows: </w:t>
            </w:r>
          </w:p>
          <w:p w14:paraId="17C31E46" w14:textId="2FB65800" w:rsidR="00BC03DD" w:rsidRPr="003161DC" w:rsidRDefault="00BC03DD" w:rsidP="00BC03DD">
            <w:pPr>
              <w:spacing w:after="240"/>
              <w:ind w:left="1440" w:hanging="720"/>
            </w:pPr>
            <w:r w:rsidRPr="003161DC">
              <w:t>(a)</w:t>
            </w:r>
            <w:r w:rsidRPr="003161DC">
              <w:tab/>
            </w:r>
            <w:r w:rsidRPr="0003653E">
              <w:t>Non-IRRs without Energy Offer Curves</w:t>
            </w:r>
          </w:p>
          <w:p w14:paraId="617DD6D0" w14:textId="77777777" w:rsidR="00BC03DD" w:rsidRPr="003161DC" w:rsidRDefault="00BC03DD" w:rsidP="00BC03DD">
            <w:pPr>
              <w:spacing w:before="240" w:after="240"/>
              <w:ind w:left="2160" w:hanging="720"/>
            </w:pPr>
            <w:r w:rsidRPr="003161DC">
              <w:t>(i)</w:t>
            </w:r>
            <w:r w:rsidRPr="003161DC">
              <w:tab/>
              <w:t>ERCOT shall create a monotonically increasing proxy Energy Offer Curve as described below for:</w:t>
            </w:r>
          </w:p>
          <w:p w14:paraId="24C1DD1F" w14:textId="49A150F0" w:rsidR="00BC03DD" w:rsidRDefault="00BC03DD" w:rsidP="00BC03DD">
            <w:pPr>
              <w:spacing w:after="240"/>
              <w:ind w:left="2880" w:hanging="720"/>
            </w:pPr>
            <w:r w:rsidRPr="003161DC">
              <w:t>(A)</w:t>
            </w:r>
            <w:r w:rsidRPr="003161DC">
              <w:tab/>
              <w:t>Each non-IRR for which its QSE has submitted an Output Schedule inste</w:t>
            </w:r>
            <w:r>
              <w:t>ad of an Energy Offer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BC03DD" w:rsidRPr="003161DC" w14:paraId="735CC287" w14:textId="77777777" w:rsidTr="00AE702A">
              <w:trPr>
                <w:jc w:val="center"/>
              </w:trPr>
              <w:tc>
                <w:tcPr>
                  <w:tcW w:w="3780" w:type="dxa"/>
                </w:tcPr>
                <w:p w14:paraId="1367ACB3" w14:textId="77777777" w:rsidR="00BC03DD" w:rsidRPr="003161DC" w:rsidRDefault="00BC03DD" w:rsidP="00BC03DD">
                  <w:pPr>
                    <w:spacing w:after="120"/>
                    <w:rPr>
                      <w:b/>
                      <w:iCs/>
                      <w:sz w:val="20"/>
                    </w:rPr>
                  </w:pPr>
                  <w:r w:rsidRPr="003161DC">
                    <w:rPr>
                      <w:b/>
                      <w:iCs/>
                      <w:sz w:val="20"/>
                    </w:rPr>
                    <w:lastRenderedPageBreak/>
                    <w:t>MW</w:t>
                  </w:r>
                </w:p>
              </w:tc>
              <w:tc>
                <w:tcPr>
                  <w:tcW w:w="2520" w:type="dxa"/>
                </w:tcPr>
                <w:p w14:paraId="0B5913E4" w14:textId="77777777" w:rsidR="00BC03DD" w:rsidRPr="003161DC" w:rsidRDefault="00BC03DD" w:rsidP="00BC03DD">
                  <w:pPr>
                    <w:spacing w:after="120"/>
                    <w:rPr>
                      <w:b/>
                      <w:iCs/>
                      <w:sz w:val="20"/>
                    </w:rPr>
                  </w:pPr>
                  <w:r w:rsidRPr="003161DC">
                    <w:rPr>
                      <w:b/>
                      <w:iCs/>
                      <w:sz w:val="20"/>
                    </w:rPr>
                    <w:t>Price (per MWh)</w:t>
                  </w:r>
                </w:p>
              </w:tc>
            </w:tr>
            <w:tr w:rsidR="00BC03DD" w:rsidRPr="003161DC" w14:paraId="5E674E7E" w14:textId="77777777" w:rsidTr="00AE702A">
              <w:trPr>
                <w:jc w:val="center"/>
              </w:trPr>
              <w:tc>
                <w:tcPr>
                  <w:tcW w:w="3780" w:type="dxa"/>
                </w:tcPr>
                <w:p w14:paraId="489FB7CB" w14:textId="77777777" w:rsidR="00BC03DD" w:rsidRPr="003161DC" w:rsidRDefault="00BC03DD" w:rsidP="00BC03DD">
                  <w:pPr>
                    <w:spacing w:after="60"/>
                    <w:rPr>
                      <w:iCs/>
                      <w:sz w:val="20"/>
                    </w:rPr>
                  </w:pPr>
                  <w:r w:rsidRPr="003161DC">
                    <w:rPr>
                      <w:iCs/>
                      <w:sz w:val="20"/>
                    </w:rPr>
                    <w:t>HSL</w:t>
                  </w:r>
                </w:p>
              </w:tc>
              <w:tc>
                <w:tcPr>
                  <w:tcW w:w="2520" w:type="dxa"/>
                </w:tcPr>
                <w:p w14:paraId="325ABF3D" w14:textId="77777777" w:rsidR="00BC03DD" w:rsidRPr="003161DC" w:rsidRDefault="00BC03DD" w:rsidP="00BC03DD">
                  <w:pPr>
                    <w:spacing w:after="60"/>
                    <w:rPr>
                      <w:iCs/>
                      <w:sz w:val="20"/>
                    </w:rPr>
                  </w:pPr>
                  <w:r>
                    <w:rPr>
                      <w:iCs/>
                      <w:sz w:val="20"/>
                    </w:rPr>
                    <w:t>RT</w:t>
                  </w:r>
                  <w:r w:rsidRPr="003161DC">
                    <w:rPr>
                      <w:iCs/>
                      <w:sz w:val="20"/>
                    </w:rPr>
                    <w:t>SWCAP</w:t>
                  </w:r>
                </w:p>
              </w:tc>
            </w:tr>
            <w:tr w:rsidR="00BC03DD" w:rsidRPr="003161DC" w14:paraId="3658BE85" w14:textId="77777777" w:rsidTr="00AE702A">
              <w:trPr>
                <w:jc w:val="center"/>
              </w:trPr>
              <w:tc>
                <w:tcPr>
                  <w:tcW w:w="3780" w:type="dxa"/>
                </w:tcPr>
                <w:p w14:paraId="3C3B0E9E" w14:textId="77777777" w:rsidR="00BC03DD" w:rsidRPr="003161DC" w:rsidRDefault="00BC03DD" w:rsidP="00BC03DD">
                  <w:pPr>
                    <w:spacing w:after="60"/>
                    <w:rPr>
                      <w:iCs/>
                      <w:sz w:val="20"/>
                    </w:rPr>
                  </w:pPr>
                  <w:r w:rsidRPr="003161DC">
                    <w:rPr>
                      <w:iCs/>
                      <w:sz w:val="20"/>
                    </w:rPr>
                    <w:t>Output Schedule MW plus 1 MW</w:t>
                  </w:r>
                </w:p>
              </w:tc>
              <w:tc>
                <w:tcPr>
                  <w:tcW w:w="2520" w:type="dxa"/>
                </w:tcPr>
                <w:p w14:paraId="40AC8AE1" w14:textId="77777777" w:rsidR="00BC03DD" w:rsidRPr="003161DC" w:rsidRDefault="00BC03DD" w:rsidP="00BC03DD">
                  <w:pPr>
                    <w:spacing w:after="60"/>
                    <w:rPr>
                      <w:iCs/>
                      <w:sz w:val="20"/>
                    </w:rPr>
                  </w:pPr>
                  <w:r>
                    <w:rPr>
                      <w:iCs/>
                      <w:sz w:val="20"/>
                    </w:rPr>
                    <w:t>RT</w:t>
                  </w:r>
                  <w:r w:rsidRPr="003161DC">
                    <w:rPr>
                      <w:iCs/>
                      <w:sz w:val="20"/>
                    </w:rPr>
                    <w:t>SWCAP minus $0.01</w:t>
                  </w:r>
                </w:p>
              </w:tc>
            </w:tr>
            <w:tr w:rsidR="00BC03DD" w:rsidRPr="003161DC" w14:paraId="06B61B19" w14:textId="77777777" w:rsidTr="00AE702A">
              <w:trPr>
                <w:jc w:val="center"/>
              </w:trPr>
              <w:tc>
                <w:tcPr>
                  <w:tcW w:w="3780" w:type="dxa"/>
                </w:tcPr>
                <w:p w14:paraId="0591B38F" w14:textId="77777777" w:rsidR="00BC03DD" w:rsidRPr="003161DC" w:rsidRDefault="00BC03DD" w:rsidP="00BC03DD">
                  <w:pPr>
                    <w:spacing w:after="60"/>
                    <w:rPr>
                      <w:iCs/>
                      <w:sz w:val="20"/>
                    </w:rPr>
                  </w:pPr>
                  <w:r w:rsidRPr="003161DC">
                    <w:rPr>
                      <w:iCs/>
                      <w:sz w:val="20"/>
                    </w:rPr>
                    <w:t>Output Schedule MW</w:t>
                  </w:r>
                </w:p>
              </w:tc>
              <w:tc>
                <w:tcPr>
                  <w:tcW w:w="2520" w:type="dxa"/>
                </w:tcPr>
                <w:p w14:paraId="41A2341D" w14:textId="77777777" w:rsidR="00BC03DD" w:rsidRPr="003161DC" w:rsidRDefault="00BC03DD" w:rsidP="00BC03DD">
                  <w:pPr>
                    <w:spacing w:after="60"/>
                    <w:rPr>
                      <w:iCs/>
                      <w:sz w:val="20"/>
                    </w:rPr>
                  </w:pPr>
                  <w:r w:rsidRPr="003161DC">
                    <w:rPr>
                      <w:iCs/>
                      <w:sz w:val="20"/>
                    </w:rPr>
                    <w:t>-$249.99</w:t>
                  </w:r>
                </w:p>
              </w:tc>
            </w:tr>
            <w:tr w:rsidR="00BC03DD" w:rsidRPr="003161DC" w14:paraId="7A1E683F" w14:textId="77777777" w:rsidTr="00AE702A">
              <w:trPr>
                <w:jc w:val="center"/>
              </w:trPr>
              <w:tc>
                <w:tcPr>
                  <w:tcW w:w="3780" w:type="dxa"/>
                </w:tcPr>
                <w:p w14:paraId="133A4A67" w14:textId="77777777" w:rsidR="00BC03DD" w:rsidRPr="003161DC" w:rsidRDefault="00BC03DD" w:rsidP="00BC03DD">
                  <w:pPr>
                    <w:spacing w:after="60"/>
                    <w:rPr>
                      <w:iCs/>
                      <w:sz w:val="20"/>
                    </w:rPr>
                  </w:pPr>
                  <w:r w:rsidRPr="003161DC">
                    <w:rPr>
                      <w:iCs/>
                      <w:sz w:val="20"/>
                    </w:rPr>
                    <w:t>LSL</w:t>
                  </w:r>
                </w:p>
              </w:tc>
              <w:tc>
                <w:tcPr>
                  <w:tcW w:w="2520" w:type="dxa"/>
                </w:tcPr>
                <w:p w14:paraId="3E450D5C" w14:textId="77777777" w:rsidR="00BC03DD" w:rsidRPr="003161DC" w:rsidRDefault="00BC03DD" w:rsidP="00BC03DD">
                  <w:pPr>
                    <w:spacing w:after="60"/>
                    <w:rPr>
                      <w:iCs/>
                      <w:sz w:val="20"/>
                    </w:rPr>
                  </w:pPr>
                  <w:r w:rsidRPr="003161DC">
                    <w:rPr>
                      <w:iCs/>
                      <w:sz w:val="20"/>
                    </w:rPr>
                    <w:t>-$250.00</w:t>
                  </w:r>
                </w:p>
              </w:tc>
            </w:tr>
          </w:tbl>
          <w:p w14:paraId="3EEA35D3" w14:textId="78079364" w:rsidR="00BC03DD" w:rsidRPr="003161DC" w:rsidRDefault="00BC03DD" w:rsidP="00BC03DD">
            <w:pPr>
              <w:spacing w:before="240" w:after="240"/>
              <w:ind w:left="1440" w:hanging="720"/>
            </w:pPr>
            <w:r w:rsidRPr="003161DC">
              <w:t>(</w:t>
            </w:r>
            <w:r>
              <w:t>b</w:t>
            </w:r>
            <w:r w:rsidRPr="003161DC">
              <w:t>)</w:t>
            </w:r>
            <w:r w:rsidRPr="003161DC">
              <w:tab/>
              <w:t xml:space="preserve">Non-IRRs without full-range Energy Offer Curves </w:t>
            </w:r>
          </w:p>
          <w:p w14:paraId="3A1FA4D0" w14:textId="77777777" w:rsidR="00BC03DD" w:rsidRPr="003161DC" w:rsidRDefault="00BC03DD" w:rsidP="00BC03DD">
            <w:pPr>
              <w:spacing w:after="240"/>
              <w:ind w:left="2160" w:hanging="720"/>
            </w:pPr>
            <w:r w:rsidRPr="003161DC">
              <w:t>(i)</w:t>
            </w:r>
            <w:r w:rsidRPr="003161DC">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BC03DD" w:rsidRPr="003161DC" w14:paraId="7E49D32B" w14:textId="77777777" w:rsidTr="00AE702A">
              <w:trPr>
                <w:jc w:val="center"/>
              </w:trPr>
              <w:tc>
                <w:tcPr>
                  <w:tcW w:w="3891" w:type="dxa"/>
                </w:tcPr>
                <w:p w14:paraId="6B028C23" w14:textId="77777777" w:rsidR="00BC03DD" w:rsidRPr="003161DC" w:rsidRDefault="00BC03DD" w:rsidP="00BC03DD">
                  <w:pPr>
                    <w:spacing w:after="120"/>
                    <w:rPr>
                      <w:b/>
                      <w:iCs/>
                      <w:sz w:val="20"/>
                    </w:rPr>
                  </w:pPr>
                  <w:r w:rsidRPr="003161DC">
                    <w:rPr>
                      <w:b/>
                      <w:iCs/>
                      <w:sz w:val="20"/>
                    </w:rPr>
                    <w:t>MW</w:t>
                  </w:r>
                </w:p>
              </w:tc>
              <w:tc>
                <w:tcPr>
                  <w:tcW w:w="2630" w:type="dxa"/>
                </w:tcPr>
                <w:p w14:paraId="5BC70CFB" w14:textId="77777777" w:rsidR="00BC03DD" w:rsidRPr="003161DC" w:rsidRDefault="00BC03DD" w:rsidP="00BC03DD">
                  <w:pPr>
                    <w:spacing w:after="120"/>
                    <w:rPr>
                      <w:b/>
                      <w:iCs/>
                      <w:sz w:val="20"/>
                    </w:rPr>
                  </w:pPr>
                  <w:r w:rsidRPr="003161DC">
                    <w:rPr>
                      <w:b/>
                      <w:iCs/>
                      <w:sz w:val="20"/>
                    </w:rPr>
                    <w:t>Price (per MWh)</w:t>
                  </w:r>
                </w:p>
              </w:tc>
            </w:tr>
            <w:tr w:rsidR="00BC03DD" w:rsidRPr="003161DC" w14:paraId="3705AB33" w14:textId="77777777" w:rsidTr="00AE702A">
              <w:trPr>
                <w:jc w:val="center"/>
              </w:trPr>
              <w:tc>
                <w:tcPr>
                  <w:tcW w:w="3891" w:type="dxa"/>
                </w:tcPr>
                <w:p w14:paraId="71371E97"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630" w:type="dxa"/>
                </w:tcPr>
                <w:p w14:paraId="6A9D7E5D" w14:textId="77777777" w:rsidR="00BC03DD" w:rsidRPr="003161DC" w:rsidRDefault="00BC03DD" w:rsidP="00BC03DD">
                  <w:pPr>
                    <w:spacing w:after="60"/>
                    <w:rPr>
                      <w:iCs/>
                      <w:sz w:val="20"/>
                    </w:rPr>
                  </w:pPr>
                  <w:r w:rsidRPr="003161DC">
                    <w:rPr>
                      <w:iCs/>
                      <w:sz w:val="20"/>
                    </w:rPr>
                    <w:t>Price associated with highest MW in submitted Energy Offer Curve</w:t>
                  </w:r>
                </w:p>
              </w:tc>
            </w:tr>
            <w:tr w:rsidR="00BC03DD" w:rsidRPr="003161DC" w14:paraId="6011546B" w14:textId="77777777" w:rsidTr="00AE702A">
              <w:trPr>
                <w:jc w:val="center"/>
              </w:trPr>
              <w:tc>
                <w:tcPr>
                  <w:tcW w:w="3891" w:type="dxa"/>
                </w:tcPr>
                <w:p w14:paraId="6F858F34" w14:textId="77777777" w:rsidR="00BC03DD" w:rsidRPr="003161DC" w:rsidRDefault="00BC03DD" w:rsidP="00BC03DD">
                  <w:pPr>
                    <w:spacing w:after="60"/>
                    <w:rPr>
                      <w:iCs/>
                      <w:sz w:val="20"/>
                    </w:rPr>
                  </w:pPr>
                  <w:r w:rsidRPr="003161DC">
                    <w:rPr>
                      <w:iCs/>
                      <w:sz w:val="20"/>
                    </w:rPr>
                    <w:t>Energy Offer Curve</w:t>
                  </w:r>
                </w:p>
              </w:tc>
              <w:tc>
                <w:tcPr>
                  <w:tcW w:w="2630" w:type="dxa"/>
                </w:tcPr>
                <w:p w14:paraId="71D3A943" w14:textId="77777777" w:rsidR="00BC03DD" w:rsidRPr="003161DC" w:rsidRDefault="00BC03DD" w:rsidP="00BC03DD">
                  <w:pPr>
                    <w:spacing w:after="60"/>
                    <w:rPr>
                      <w:iCs/>
                      <w:sz w:val="20"/>
                    </w:rPr>
                  </w:pPr>
                  <w:r w:rsidRPr="003161DC">
                    <w:rPr>
                      <w:iCs/>
                      <w:sz w:val="20"/>
                    </w:rPr>
                    <w:t>Energy Offer Curve</w:t>
                  </w:r>
                </w:p>
              </w:tc>
            </w:tr>
            <w:tr w:rsidR="00BC03DD" w:rsidRPr="003161DC" w14:paraId="0D9701CF" w14:textId="77777777" w:rsidTr="00AE702A">
              <w:trPr>
                <w:jc w:val="center"/>
              </w:trPr>
              <w:tc>
                <w:tcPr>
                  <w:tcW w:w="3891" w:type="dxa"/>
                </w:tcPr>
                <w:p w14:paraId="13E06810"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630" w:type="dxa"/>
                </w:tcPr>
                <w:p w14:paraId="2304E377" w14:textId="77777777" w:rsidR="00BC03DD" w:rsidRPr="003161DC" w:rsidRDefault="00BC03DD" w:rsidP="00BC03DD">
                  <w:pPr>
                    <w:spacing w:after="60"/>
                    <w:rPr>
                      <w:iCs/>
                      <w:sz w:val="20"/>
                    </w:rPr>
                  </w:pPr>
                  <w:r w:rsidRPr="003161DC">
                    <w:rPr>
                      <w:iCs/>
                      <w:sz w:val="20"/>
                    </w:rPr>
                    <w:t>-$249.99</w:t>
                  </w:r>
                </w:p>
              </w:tc>
            </w:tr>
            <w:tr w:rsidR="00BC03DD" w:rsidRPr="003161DC" w14:paraId="2C6D67E4" w14:textId="77777777" w:rsidTr="00AE702A">
              <w:trPr>
                <w:jc w:val="center"/>
              </w:trPr>
              <w:tc>
                <w:tcPr>
                  <w:tcW w:w="3891" w:type="dxa"/>
                </w:tcPr>
                <w:p w14:paraId="752D10CD" w14:textId="77777777" w:rsidR="00BC03DD" w:rsidRPr="003161DC" w:rsidRDefault="00BC03DD" w:rsidP="00BC03DD">
                  <w:pPr>
                    <w:spacing w:after="60"/>
                    <w:rPr>
                      <w:iCs/>
                      <w:sz w:val="20"/>
                    </w:rPr>
                  </w:pPr>
                  <w:r w:rsidRPr="003161DC">
                    <w:rPr>
                      <w:iCs/>
                      <w:sz w:val="20"/>
                    </w:rPr>
                    <w:t>LSL (if less than lowest MW in Energy Offer Curve)</w:t>
                  </w:r>
                </w:p>
              </w:tc>
              <w:tc>
                <w:tcPr>
                  <w:tcW w:w="2630" w:type="dxa"/>
                </w:tcPr>
                <w:p w14:paraId="5CEA87ED" w14:textId="77777777" w:rsidR="00BC03DD" w:rsidRPr="003161DC" w:rsidRDefault="00BC03DD" w:rsidP="00BC03DD">
                  <w:pPr>
                    <w:spacing w:after="60"/>
                    <w:rPr>
                      <w:iCs/>
                      <w:sz w:val="20"/>
                    </w:rPr>
                  </w:pPr>
                  <w:r w:rsidRPr="003161DC">
                    <w:rPr>
                      <w:iCs/>
                      <w:sz w:val="20"/>
                    </w:rPr>
                    <w:t>-$250.00</w:t>
                  </w:r>
                </w:p>
              </w:tc>
            </w:tr>
          </w:tbl>
          <w:p w14:paraId="7C3752AB" w14:textId="0781C055" w:rsidR="00BC03DD" w:rsidRPr="003161DC" w:rsidRDefault="00BC03DD" w:rsidP="00BC03DD">
            <w:pPr>
              <w:spacing w:before="240" w:after="240"/>
              <w:ind w:left="1440" w:hanging="720"/>
            </w:pPr>
            <w:r>
              <w:t>(c)</w:t>
            </w:r>
            <w:r w:rsidRPr="003161DC">
              <w:tab/>
              <w:t>IRRs</w:t>
            </w:r>
          </w:p>
          <w:p w14:paraId="716B56D7" w14:textId="77777777" w:rsidR="00BC03DD" w:rsidRPr="003161DC" w:rsidRDefault="00BC03DD" w:rsidP="00BC03DD">
            <w:pPr>
              <w:spacing w:after="240"/>
              <w:ind w:left="2160" w:hanging="720"/>
            </w:pPr>
            <w:r w:rsidRPr="003161DC">
              <w:t>(i)</w:t>
            </w:r>
            <w:r w:rsidRPr="003161DC">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BC03DD" w:rsidRPr="003161DC" w14:paraId="1387FC44" w14:textId="77777777" w:rsidTr="00AE702A">
              <w:trPr>
                <w:jc w:val="center"/>
              </w:trPr>
              <w:tc>
                <w:tcPr>
                  <w:tcW w:w="3870" w:type="dxa"/>
                </w:tcPr>
                <w:p w14:paraId="3DEF6586" w14:textId="77777777" w:rsidR="00BC03DD" w:rsidRPr="003161DC" w:rsidRDefault="00BC03DD" w:rsidP="00BC03DD">
                  <w:pPr>
                    <w:spacing w:after="120"/>
                    <w:rPr>
                      <w:b/>
                      <w:iCs/>
                      <w:sz w:val="20"/>
                    </w:rPr>
                  </w:pPr>
                  <w:r w:rsidRPr="003161DC">
                    <w:rPr>
                      <w:b/>
                      <w:iCs/>
                      <w:sz w:val="20"/>
                    </w:rPr>
                    <w:t>MW</w:t>
                  </w:r>
                </w:p>
              </w:tc>
              <w:tc>
                <w:tcPr>
                  <w:tcW w:w="2610" w:type="dxa"/>
                </w:tcPr>
                <w:p w14:paraId="2416A36B" w14:textId="77777777" w:rsidR="00BC03DD" w:rsidRPr="003161DC" w:rsidRDefault="00BC03DD" w:rsidP="00BC03DD">
                  <w:pPr>
                    <w:spacing w:after="120"/>
                    <w:rPr>
                      <w:b/>
                      <w:iCs/>
                      <w:sz w:val="20"/>
                    </w:rPr>
                  </w:pPr>
                  <w:r w:rsidRPr="003161DC">
                    <w:rPr>
                      <w:b/>
                      <w:iCs/>
                      <w:sz w:val="20"/>
                    </w:rPr>
                    <w:t>Price (per MWh)</w:t>
                  </w:r>
                </w:p>
              </w:tc>
            </w:tr>
            <w:tr w:rsidR="00BC03DD" w:rsidRPr="003161DC" w14:paraId="34C6CC78" w14:textId="77777777" w:rsidTr="00AE702A">
              <w:trPr>
                <w:jc w:val="center"/>
              </w:trPr>
              <w:tc>
                <w:tcPr>
                  <w:tcW w:w="3870" w:type="dxa"/>
                </w:tcPr>
                <w:p w14:paraId="62E57F9D" w14:textId="77777777" w:rsidR="00BC03DD" w:rsidRPr="003161DC" w:rsidRDefault="00BC03DD" w:rsidP="00BC03DD">
                  <w:pPr>
                    <w:spacing w:after="60"/>
                    <w:rPr>
                      <w:iCs/>
                      <w:sz w:val="20"/>
                    </w:rPr>
                  </w:pPr>
                  <w:r w:rsidRPr="003161DC">
                    <w:rPr>
                      <w:iCs/>
                      <w:sz w:val="20"/>
                    </w:rPr>
                    <w:t>HSL</w:t>
                  </w:r>
                </w:p>
              </w:tc>
              <w:tc>
                <w:tcPr>
                  <w:tcW w:w="2610" w:type="dxa"/>
                </w:tcPr>
                <w:p w14:paraId="195D8BBF" w14:textId="77777777" w:rsidR="00BC03DD" w:rsidRPr="003161DC" w:rsidRDefault="00BC03DD" w:rsidP="00BC03DD">
                  <w:pPr>
                    <w:spacing w:after="60"/>
                    <w:rPr>
                      <w:iCs/>
                      <w:sz w:val="20"/>
                    </w:rPr>
                  </w:pPr>
                  <w:r w:rsidRPr="003161DC">
                    <w:rPr>
                      <w:iCs/>
                      <w:sz w:val="20"/>
                    </w:rPr>
                    <w:t>$1,500</w:t>
                  </w:r>
                </w:p>
              </w:tc>
            </w:tr>
            <w:tr w:rsidR="00BC03DD" w:rsidRPr="003161DC" w14:paraId="19B46E52" w14:textId="77777777" w:rsidTr="00AE702A">
              <w:trPr>
                <w:jc w:val="center"/>
              </w:trPr>
              <w:tc>
                <w:tcPr>
                  <w:tcW w:w="3870" w:type="dxa"/>
                </w:tcPr>
                <w:p w14:paraId="499EE645" w14:textId="77777777" w:rsidR="00BC03DD" w:rsidRPr="003161DC" w:rsidRDefault="00BC03DD" w:rsidP="00BC03DD">
                  <w:pPr>
                    <w:spacing w:after="60"/>
                    <w:rPr>
                      <w:iCs/>
                      <w:sz w:val="20"/>
                    </w:rPr>
                  </w:pPr>
                  <w:r w:rsidRPr="003161DC">
                    <w:rPr>
                      <w:iCs/>
                      <w:sz w:val="20"/>
                    </w:rPr>
                    <w:t>HSL minus 1 MW</w:t>
                  </w:r>
                </w:p>
              </w:tc>
              <w:tc>
                <w:tcPr>
                  <w:tcW w:w="2610" w:type="dxa"/>
                </w:tcPr>
                <w:p w14:paraId="6FF4B443" w14:textId="77777777" w:rsidR="00BC03DD" w:rsidRPr="003161DC" w:rsidRDefault="00BC03DD" w:rsidP="00BC03DD">
                  <w:pPr>
                    <w:spacing w:after="60"/>
                    <w:rPr>
                      <w:iCs/>
                      <w:sz w:val="20"/>
                    </w:rPr>
                  </w:pPr>
                  <w:r w:rsidRPr="003161DC">
                    <w:rPr>
                      <w:iCs/>
                      <w:sz w:val="20"/>
                    </w:rPr>
                    <w:t>-$249.99</w:t>
                  </w:r>
                </w:p>
              </w:tc>
            </w:tr>
            <w:tr w:rsidR="00BC03DD" w:rsidRPr="003161DC" w14:paraId="63BC0BB4" w14:textId="77777777" w:rsidTr="00AE702A">
              <w:trPr>
                <w:jc w:val="center"/>
              </w:trPr>
              <w:tc>
                <w:tcPr>
                  <w:tcW w:w="3870" w:type="dxa"/>
                </w:tcPr>
                <w:p w14:paraId="39F8FC8E" w14:textId="77777777" w:rsidR="00BC03DD" w:rsidRPr="003161DC" w:rsidRDefault="00BC03DD" w:rsidP="00BC03DD">
                  <w:pPr>
                    <w:spacing w:after="60"/>
                    <w:rPr>
                      <w:iCs/>
                      <w:sz w:val="20"/>
                    </w:rPr>
                  </w:pPr>
                  <w:r w:rsidRPr="003161DC">
                    <w:rPr>
                      <w:iCs/>
                      <w:sz w:val="20"/>
                    </w:rPr>
                    <w:t>LSL</w:t>
                  </w:r>
                </w:p>
              </w:tc>
              <w:tc>
                <w:tcPr>
                  <w:tcW w:w="2610" w:type="dxa"/>
                </w:tcPr>
                <w:p w14:paraId="1FFDB957" w14:textId="77777777" w:rsidR="00BC03DD" w:rsidRPr="003161DC" w:rsidRDefault="00BC03DD" w:rsidP="00BC03DD">
                  <w:pPr>
                    <w:spacing w:after="60"/>
                    <w:rPr>
                      <w:iCs/>
                      <w:sz w:val="20"/>
                    </w:rPr>
                  </w:pPr>
                  <w:r w:rsidRPr="003161DC">
                    <w:rPr>
                      <w:iCs/>
                      <w:sz w:val="20"/>
                    </w:rPr>
                    <w:t>-$250.00</w:t>
                  </w:r>
                </w:p>
              </w:tc>
            </w:tr>
          </w:tbl>
          <w:p w14:paraId="4019F512" w14:textId="77777777" w:rsidR="00BC03DD" w:rsidRPr="003161DC" w:rsidRDefault="00BC03DD" w:rsidP="00BC03DD">
            <w:pPr>
              <w:spacing w:before="240" w:after="240"/>
              <w:ind w:left="2160" w:hanging="720"/>
            </w:pPr>
            <w:r w:rsidRPr="003161DC">
              <w:t>(ii)</w:t>
            </w:r>
            <w:r w:rsidRPr="003161DC">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BC03DD" w:rsidRPr="003161DC" w14:paraId="4B2B1D0A" w14:textId="77777777" w:rsidTr="00AE702A">
              <w:trPr>
                <w:jc w:val="center"/>
              </w:trPr>
              <w:tc>
                <w:tcPr>
                  <w:tcW w:w="3780" w:type="dxa"/>
                </w:tcPr>
                <w:p w14:paraId="3EDB96F8" w14:textId="77777777" w:rsidR="00BC03DD" w:rsidRPr="003161DC" w:rsidRDefault="00BC03DD" w:rsidP="00BC03DD">
                  <w:pPr>
                    <w:spacing w:after="120"/>
                    <w:rPr>
                      <w:b/>
                      <w:iCs/>
                      <w:sz w:val="20"/>
                    </w:rPr>
                  </w:pPr>
                  <w:r w:rsidRPr="003161DC">
                    <w:rPr>
                      <w:b/>
                      <w:iCs/>
                      <w:sz w:val="20"/>
                    </w:rPr>
                    <w:t>MW</w:t>
                  </w:r>
                </w:p>
              </w:tc>
              <w:tc>
                <w:tcPr>
                  <w:tcW w:w="2745" w:type="dxa"/>
                </w:tcPr>
                <w:p w14:paraId="093B835C" w14:textId="77777777" w:rsidR="00BC03DD" w:rsidRPr="003161DC" w:rsidRDefault="00BC03DD" w:rsidP="00BC03DD">
                  <w:pPr>
                    <w:spacing w:after="120"/>
                    <w:rPr>
                      <w:b/>
                      <w:iCs/>
                      <w:sz w:val="20"/>
                    </w:rPr>
                  </w:pPr>
                  <w:r w:rsidRPr="003161DC">
                    <w:rPr>
                      <w:b/>
                      <w:iCs/>
                      <w:sz w:val="20"/>
                    </w:rPr>
                    <w:t>Price (per MWh)</w:t>
                  </w:r>
                </w:p>
              </w:tc>
            </w:tr>
            <w:tr w:rsidR="00BC03DD" w:rsidRPr="003161DC" w14:paraId="368087D5" w14:textId="77777777" w:rsidTr="00AE702A">
              <w:trPr>
                <w:jc w:val="center"/>
              </w:trPr>
              <w:tc>
                <w:tcPr>
                  <w:tcW w:w="3780" w:type="dxa"/>
                </w:tcPr>
                <w:p w14:paraId="5005E073"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745" w:type="dxa"/>
                </w:tcPr>
                <w:p w14:paraId="0C807120" w14:textId="77777777" w:rsidR="00BC03DD" w:rsidRPr="003161DC" w:rsidRDefault="00BC03DD" w:rsidP="00BC03DD">
                  <w:pPr>
                    <w:spacing w:after="60"/>
                    <w:rPr>
                      <w:iCs/>
                      <w:sz w:val="20"/>
                    </w:rPr>
                  </w:pPr>
                  <w:r w:rsidRPr="003161DC">
                    <w:rPr>
                      <w:iCs/>
                      <w:sz w:val="20"/>
                    </w:rPr>
                    <w:t>Price associated with the highest MW in submitted Energy Offer Curve</w:t>
                  </w:r>
                </w:p>
              </w:tc>
            </w:tr>
            <w:tr w:rsidR="00BC03DD" w:rsidRPr="003161DC" w14:paraId="49946C8D" w14:textId="77777777" w:rsidTr="00AE702A">
              <w:trPr>
                <w:jc w:val="center"/>
              </w:trPr>
              <w:tc>
                <w:tcPr>
                  <w:tcW w:w="3780" w:type="dxa"/>
                </w:tcPr>
                <w:p w14:paraId="7BE7BA7C" w14:textId="77777777" w:rsidR="00BC03DD" w:rsidRPr="003161DC" w:rsidRDefault="00BC03DD" w:rsidP="00BC03DD">
                  <w:pPr>
                    <w:spacing w:after="60"/>
                    <w:rPr>
                      <w:iCs/>
                      <w:sz w:val="20"/>
                    </w:rPr>
                  </w:pPr>
                  <w:r w:rsidRPr="003161DC">
                    <w:rPr>
                      <w:iCs/>
                      <w:sz w:val="20"/>
                    </w:rPr>
                    <w:lastRenderedPageBreak/>
                    <w:t>Energy Offer Curve</w:t>
                  </w:r>
                </w:p>
              </w:tc>
              <w:tc>
                <w:tcPr>
                  <w:tcW w:w="2745" w:type="dxa"/>
                </w:tcPr>
                <w:p w14:paraId="03EA2B86" w14:textId="77777777" w:rsidR="00BC03DD" w:rsidRPr="003161DC" w:rsidRDefault="00BC03DD" w:rsidP="00BC03DD">
                  <w:pPr>
                    <w:spacing w:after="60"/>
                    <w:rPr>
                      <w:iCs/>
                      <w:sz w:val="20"/>
                    </w:rPr>
                  </w:pPr>
                  <w:r w:rsidRPr="003161DC">
                    <w:rPr>
                      <w:iCs/>
                      <w:sz w:val="20"/>
                    </w:rPr>
                    <w:t>Energy Offer Curve</w:t>
                  </w:r>
                </w:p>
              </w:tc>
            </w:tr>
            <w:tr w:rsidR="00BC03DD" w:rsidRPr="003161DC" w14:paraId="0A190DFC" w14:textId="77777777" w:rsidTr="00AE702A">
              <w:trPr>
                <w:jc w:val="center"/>
              </w:trPr>
              <w:tc>
                <w:tcPr>
                  <w:tcW w:w="3780" w:type="dxa"/>
                </w:tcPr>
                <w:p w14:paraId="5E1531E4"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745" w:type="dxa"/>
                </w:tcPr>
                <w:p w14:paraId="6E27DB68" w14:textId="77777777" w:rsidR="00BC03DD" w:rsidRPr="003161DC" w:rsidRDefault="00BC03DD" w:rsidP="00BC03DD">
                  <w:pPr>
                    <w:spacing w:after="60"/>
                    <w:rPr>
                      <w:iCs/>
                      <w:sz w:val="20"/>
                    </w:rPr>
                  </w:pPr>
                  <w:r w:rsidRPr="003161DC">
                    <w:rPr>
                      <w:iCs/>
                      <w:sz w:val="20"/>
                    </w:rPr>
                    <w:t>-$249.99</w:t>
                  </w:r>
                </w:p>
              </w:tc>
            </w:tr>
            <w:tr w:rsidR="00BC03DD" w:rsidRPr="003161DC" w14:paraId="04BFA66D" w14:textId="77777777" w:rsidTr="00AE702A">
              <w:trPr>
                <w:jc w:val="center"/>
              </w:trPr>
              <w:tc>
                <w:tcPr>
                  <w:tcW w:w="3780" w:type="dxa"/>
                </w:tcPr>
                <w:p w14:paraId="7E3A30EB" w14:textId="77777777" w:rsidR="00BC03DD" w:rsidRPr="003161DC" w:rsidRDefault="00BC03DD" w:rsidP="00BC03DD">
                  <w:pPr>
                    <w:spacing w:after="60"/>
                    <w:rPr>
                      <w:iCs/>
                      <w:sz w:val="20"/>
                    </w:rPr>
                  </w:pPr>
                  <w:r w:rsidRPr="003161DC">
                    <w:rPr>
                      <w:iCs/>
                      <w:sz w:val="20"/>
                    </w:rPr>
                    <w:t>LSL (if less than lowest MW in Energy Offer Curve)</w:t>
                  </w:r>
                </w:p>
              </w:tc>
              <w:tc>
                <w:tcPr>
                  <w:tcW w:w="2745" w:type="dxa"/>
                </w:tcPr>
                <w:p w14:paraId="1973A64D" w14:textId="77777777" w:rsidR="00BC03DD" w:rsidRPr="003161DC" w:rsidRDefault="00BC03DD" w:rsidP="00BC03DD">
                  <w:pPr>
                    <w:spacing w:after="60"/>
                    <w:rPr>
                      <w:iCs/>
                      <w:sz w:val="20"/>
                    </w:rPr>
                  </w:pPr>
                  <w:r w:rsidRPr="003161DC">
                    <w:rPr>
                      <w:iCs/>
                      <w:sz w:val="20"/>
                    </w:rPr>
                    <w:t>-$250.00</w:t>
                  </w:r>
                </w:p>
              </w:tc>
            </w:tr>
          </w:tbl>
          <w:p w14:paraId="47605DE4" w14:textId="6DD62E05" w:rsidR="00BC03DD" w:rsidRPr="003161DC" w:rsidRDefault="00BC03DD" w:rsidP="00BC03DD">
            <w:pPr>
              <w:spacing w:before="240" w:after="240"/>
              <w:ind w:left="1440" w:hanging="720"/>
            </w:pPr>
            <w:r>
              <w:t>(d</w:t>
            </w:r>
            <w:r w:rsidRPr="003161DC">
              <w:t>)</w:t>
            </w:r>
            <w:r w:rsidRPr="003161DC">
              <w:tab/>
              <w:t xml:space="preserve">RUC-committed Resources </w:t>
            </w:r>
          </w:p>
          <w:p w14:paraId="56FED9CE" w14:textId="77777777" w:rsidR="00BC03DD" w:rsidRPr="003161DC" w:rsidRDefault="00BC03DD" w:rsidP="00BC03DD">
            <w:pPr>
              <w:spacing w:before="240" w:after="240"/>
              <w:ind w:left="2160" w:hanging="720"/>
            </w:pPr>
            <w:r w:rsidRPr="003161DC">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BC03DD" w:rsidRPr="003161DC" w14:paraId="381098CA" w14:textId="77777777" w:rsidTr="00AE702A">
              <w:trPr>
                <w:trHeight w:val="359"/>
              </w:trPr>
              <w:tc>
                <w:tcPr>
                  <w:tcW w:w="3540" w:type="dxa"/>
                </w:tcPr>
                <w:p w14:paraId="09F695D9" w14:textId="77777777" w:rsidR="00BC03DD" w:rsidRPr="003161DC" w:rsidRDefault="00BC03DD" w:rsidP="00BC03DD">
                  <w:pPr>
                    <w:spacing w:after="120"/>
                    <w:rPr>
                      <w:b/>
                      <w:iCs/>
                      <w:sz w:val="20"/>
                    </w:rPr>
                  </w:pPr>
                  <w:r w:rsidRPr="003161DC">
                    <w:rPr>
                      <w:b/>
                      <w:iCs/>
                      <w:sz w:val="20"/>
                    </w:rPr>
                    <w:t>MW</w:t>
                  </w:r>
                </w:p>
              </w:tc>
              <w:tc>
                <w:tcPr>
                  <w:tcW w:w="2810" w:type="dxa"/>
                </w:tcPr>
                <w:p w14:paraId="53DF496C" w14:textId="77777777" w:rsidR="00BC03DD" w:rsidRPr="003161DC" w:rsidRDefault="00BC03DD" w:rsidP="00BC03DD">
                  <w:pPr>
                    <w:spacing w:after="120"/>
                    <w:rPr>
                      <w:b/>
                      <w:iCs/>
                      <w:sz w:val="20"/>
                    </w:rPr>
                  </w:pPr>
                  <w:r w:rsidRPr="003161DC">
                    <w:rPr>
                      <w:b/>
                      <w:iCs/>
                      <w:sz w:val="20"/>
                    </w:rPr>
                    <w:t>Price (per MWh)</w:t>
                  </w:r>
                </w:p>
              </w:tc>
            </w:tr>
            <w:tr w:rsidR="00BC03DD" w:rsidRPr="003161DC" w14:paraId="32C8A6F8" w14:textId="77777777" w:rsidTr="00AE702A">
              <w:trPr>
                <w:trHeight w:val="364"/>
              </w:trPr>
              <w:tc>
                <w:tcPr>
                  <w:tcW w:w="3540" w:type="dxa"/>
                </w:tcPr>
                <w:p w14:paraId="6FC24E14" w14:textId="77777777" w:rsidR="00BC03DD" w:rsidRPr="003161DC" w:rsidRDefault="00BC03DD" w:rsidP="00BC03DD">
                  <w:pPr>
                    <w:spacing w:after="60"/>
                    <w:rPr>
                      <w:iCs/>
                      <w:sz w:val="20"/>
                    </w:rPr>
                  </w:pPr>
                  <w:r w:rsidRPr="003161DC">
                    <w:rPr>
                      <w:iCs/>
                      <w:sz w:val="20"/>
                    </w:rPr>
                    <w:t xml:space="preserve">HSL </w:t>
                  </w:r>
                </w:p>
              </w:tc>
              <w:tc>
                <w:tcPr>
                  <w:tcW w:w="2810" w:type="dxa"/>
                </w:tcPr>
                <w:p w14:paraId="0C3A4729" w14:textId="336A9F02" w:rsidR="00BC03DD" w:rsidRPr="003161DC" w:rsidRDefault="00BC03DD" w:rsidP="00BC03DD">
                  <w:pPr>
                    <w:spacing w:after="60"/>
                    <w:rPr>
                      <w:iCs/>
                      <w:sz w:val="20"/>
                    </w:rPr>
                  </w:pPr>
                  <w:r w:rsidRPr="003161DC">
                    <w:rPr>
                      <w:iCs/>
                      <w:sz w:val="20"/>
                    </w:rPr>
                    <w:t>$</w:t>
                  </w:r>
                  <w:r w:rsidR="00090A9F">
                    <w:rPr>
                      <w:iCs/>
                      <w:sz w:val="20"/>
                    </w:rPr>
                    <w:t>250</w:t>
                  </w:r>
                </w:p>
              </w:tc>
            </w:tr>
            <w:tr w:rsidR="00BC03DD" w:rsidRPr="003161DC" w14:paraId="4D56AE30" w14:textId="77777777" w:rsidTr="00AE702A">
              <w:trPr>
                <w:trHeight w:val="377"/>
              </w:trPr>
              <w:tc>
                <w:tcPr>
                  <w:tcW w:w="3540" w:type="dxa"/>
                </w:tcPr>
                <w:p w14:paraId="56BA3EFA" w14:textId="77777777" w:rsidR="00BC03DD" w:rsidRPr="003161DC" w:rsidRDefault="00BC03DD" w:rsidP="00BC03DD">
                  <w:pPr>
                    <w:spacing w:after="60"/>
                    <w:rPr>
                      <w:iCs/>
                      <w:sz w:val="20"/>
                    </w:rPr>
                  </w:pPr>
                  <w:r w:rsidRPr="003161DC">
                    <w:rPr>
                      <w:iCs/>
                      <w:sz w:val="20"/>
                    </w:rPr>
                    <w:t>Zero</w:t>
                  </w:r>
                </w:p>
              </w:tc>
              <w:tc>
                <w:tcPr>
                  <w:tcW w:w="2810" w:type="dxa"/>
                </w:tcPr>
                <w:p w14:paraId="420ED037" w14:textId="1C62D45D" w:rsidR="00BC03DD" w:rsidRPr="003161DC" w:rsidRDefault="00BC03DD" w:rsidP="00BC03DD">
                  <w:pPr>
                    <w:spacing w:after="60"/>
                    <w:rPr>
                      <w:iCs/>
                      <w:sz w:val="20"/>
                    </w:rPr>
                  </w:pPr>
                  <w:r w:rsidRPr="003161DC">
                    <w:rPr>
                      <w:iCs/>
                      <w:sz w:val="20"/>
                    </w:rPr>
                    <w:t>$</w:t>
                  </w:r>
                  <w:r w:rsidR="00090A9F">
                    <w:rPr>
                      <w:iCs/>
                      <w:sz w:val="20"/>
                    </w:rPr>
                    <w:t>250</w:t>
                  </w:r>
                </w:p>
              </w:tc>
            </w:tr>
          </w:tbl>
          <w:p w14:paraId="116549F9" w14:textId="77777777" w:rsidR="00BC03DD" w:rsidRPr="003161DC" w:rsidRDefault="00BC03DD" w:rsidP="00BC03DD">
            <w:pPr>
              <w:spacing w:before="240" w:after="240"/>
              <w:ind w:left="2160" w:hanging="720"/>
            </w:pPr>
            <w:r w:rsidRPr="003161DC">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8405195" w14:textId="77777777" w:rsidTr="00AE702A">
              <w:trPr>
                <w:trHeight w:val="350"/>
              </w:trPr>
              <w:tc>
                <w:tcPr>
                  <w:tcW w:w="3531" w:type="dxa"/>
                </w:tcPr>
                <w:p w14:paraId="75D38376" w14:textId="77777777" w:rsidR="00BC03DD" w:rsidRPr="003161DC" w:rsidRDefault="00BC03DD" w:rsidP="00BC03DD">
                  <w:pPr>
                    <w:spacing w:after="120"/>
                    <w:rPr>
                      <w:b/>
                      <w:iCs/>
                      <w:sz w:val="20"/>
                    </w:rPr>
                  </w:pPr>
                  <w:r w:rsidRPr="003161DC">
                    <w:rPr>
                      <w:b/>
                      <w:iCs/>
                      <w:sz w:val="20"/>
                    </w:rPr>
                    <w:t>MW</w:t>
                  </w:r>
                </w:p>
              </w:tc>
              <w:tc>
                <w:tcPr>
                  <w:tcW w:w="2804" w:type="dxa"/>
                </w:tcPr>
                <w:p w14:paraId="4E6733F0" w14:textId="77777777" w:rsidR="00BC03DD" w:rsidRPr="003161DC" w:rsidRDefault="00BC03DD" w:rsidP="00BC03DD">
                  <w:pPr>
                    <w:spacing w:after="120"/>
                    <w:rPr>
                      <w:b/>
                      <w:iCs/>
                      <w:sz w:val="20"/>
                    </w:rPr>
                  </w:pPr>
                  <w:r w:rsidRPr="003161DC">
                    <w:rPr>
                      <w:b/>
                      <w:iCs/>
                      <w:sz w:val="20"/>
                    </w:rPr>
                    <w:t>Price (per MWh)</w:t>
                  </w:r>
                </w:p>
              </w:tc>
            </w:tr>
            <w:tr w:rsidR="00BC03DD" w:rsidRPr="003161DC" w14:paraId="6A567A4C" w14:textId="77777777" w:rsidTr="00AE702A">
              <w:trPr>
                <w:trHeight w:val="345"/>
              </w:trPr>
              <w:tc>
                <w:tcPr>
                  <w:tcW w:w="3531" w:type="dxa"/>
                </w:tcPr>
                <w:p w14:paraId="0686A157" w14:textId="77777777" w:rsidR="00BC03DD" w:rsidRPr="003161DC" w:rsidRDefault="00BC03DD" w:rsidP="00BC03DD">
                  <w:pPr>
                    <w:spacing w:after="60"/>
                    <w:rPr>
                      <w:iCs/>
                      <w:sz w:val="20"/>
                    </w:rPr>
                  </w:pPr>
                  <w:r w:rsidRPr="003161DC">
                    <w:rPr>
                      <w:iCs/>
                      <w:sz w:val="20"/>
                    </w:rPr>
                    <w:t>HSL (if more than highest MW in Energy Offer Curve)</w:t>
                  </w:r>
                </w:p>
              </w:tc>
              <w:tc>
                <w:tcPr>
                  <w:tcW w:w="2804" w:type="dxa"/>
                </w:tcPr>
                <w:p w14:paraId="75E842C5" w14:textId="1679B5F3"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price associated with the highest MW in QSE submitted Energy Offer Curve</w:t>
                  </w:r>
                </w:p>
              </w:tc>
            </w:tr>
            <w:tr w:rsidR="00BC03DD" w:rsidRPr="003161DC" w14:paraId="74D8976D" w14:textId="77777777" w:rsidTr="00AE702A">
              <w:trPr>
                <w:trHeight w:val="615"/>
              </w:trPr>
              <w:tc>
                <w:tcPr>
                  <w:tcW w:w="3531" w:type="dxa"/>
                </w:tcPr>
                <w:p w14:paraId="129EA3D5" w14:textId="77777777" w:rsidR="00BC03DD" w:rsidRPr="003161DC" w:rsidRDefault="00BC03DD" w:rsidP="00BC03DD">
                  <w:pPr>
                    <w:spacing w:after="60"/>
                    <w:rPr>
                      <w:iCs/>
                      <w:sz w:val="20"/>
                    </w:rPr>
                  </w:pPr>
                  <w:r w:rsidRPr="003161DC">
                    <w:rPr>
                      <w:iCs/>
                      <w:sz w:val="20"/>
                    </w:rPr>
                    <w:t>Energy Offer Curve</w:t>
                  </w:r>
                </w:p>
              </w:tc>
              <w:tc>
                <w:tcPr>
                  <w:tcW w:w="2804" w:type="dxa"/>
                </w:tcPr>
                <w:p w14:paraId="6AFFDD45" w14:textId="5645EDAA"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QSE submitted Energy Offer Curve</w:t>
                  </w:r>
                </w:p>
              </w:tc>
            </w:tr>
            <w:tr w:rsidR="00BC03DD" w:rsidRPr="003161DC" w14:paraId="199996C9" w14:textId="77777777" w:rsidTr="00AE702A">
              <w:trPr>
                <w:trHeight w:val="916"/>
              </w:trPr>
              <w:tc>
                <w:tcPr>
                  <w:tcW w:w="3531" w:type="dxa"/>
                </w:tcPr>
                <w:p w14:paraId="34361813" w14:textId="77777777" w:rsidR="00BC03DD" w:rsidRPr="003161DC" w:rsidRDefault="00BC03DD" w:rsidP="00BC03DD">
                  <w:pPr>
                    <w:spacing w:after="60"/>
                    <w:rPr>
                      <w:iCs/>
                      <w:sz w:val="20"/>
                    </w:rPr>
                  </w:pPr>
                  <w:r w:rsidRPr="003161DC">
                    <w:rPr>
                      <w:iCs/>
                      <w:sz w:val="20"/>
                    </w:rPr>
                    <w:t>Zero</w:t>
                  </w:r>
                </w:p>
              </w:tc>
              <w:tc>
                <w:tcPr>
                  <w:tcW w:w="2804" w:type="dxa"/>
                </w:tcPr>
                <w:p w14:paraId="1A4664E6" w14:textId="53BB6A0C"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first price point of the QSE submitted Energy Offer Curve</w:t>
                  </w:r>
                </w:p>
              </w:tc>
            </w:tr>
          </w:tbl>
          <w:p w14:paraId="20C514A3" w14:textId="77777777" w:rsidR="00BC03DD" w:rsidRPr="003161DC" w:rsidRDefault="00BC03DD" w:rsidP="00BC03DD">
            <w:pPr>
              <w:spacing w:before="240" w:after="240"/>
              <w:ind w:left="2160" w:hanging="720"/>
            </w:pPr>
            <w:r w:rsidRPr="003161DC">
              <w:t>(iii)</w:t>
            </w:r>
            <w:r w:rsidRPr="003161DC">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1E7C8D1" w14:textId="77777777" w:rsidTr="00AE702A">
              <w:trPr>
                <w:trHeight w:val="350"/>
              </w:trPr>
              <w:tc>
                <w:tcPr>
                  <w:tcW w:w="3531" w:type="dxa"/>
                </w:tcPr>
                <w:p w14:paraId="43B56CEF" w14:textId="77777777" w:rsidR="00BC03DD" w:rsidRPr="003161DC" w:rsidRDefault="00BC03DD" w:rsidP="00BC03DD">
                  <w:pPr>
                    <w:spacing w:after="120"/>
                    <w:rPr>
                      <w:b/>
                      <w:iCs/>
                      <w:sz w:val="20"/>
                    </w:rPr>
                  </w:pPr>
                  <w:r w:rsidRPr="003161DC">
                    <w:rPr>
                      <w:b/>
                      <w:iCs/>
                      <w:sz w:val="20"/>
                    </w:rPr>
                    <w:t>MW</w:t>
                  </w:r>
                </w:p>
              </w:tc>
              <w:tc>
                <w:tcPr>
                  <w:tcW w:w="2804" w:type="dxa"/>
                </w:tcPr>
                <w:p w14:paraId="2220DDC0" w14:textId="77777777" w:rsidR="00BC03DD" w:rsidRPr="003161DC" w:rsidRDefault="00BC03DD" w:rsidP="00BC03DD">
                  <w:pPr>
                    <w:spacing w:after="120"/>
                    <w:rPr>
                      <w:b/>
                      <w:iCs/>
                      <w:sz w:val="20"/>
                    </w:rPr>
                  </w:pPr>
                  <w:r w:rsidRPr="003161DC">
                    <w:rPr>
                      <w:b/>
                      <w:iCs/>
                      <w:sz w:val="20"/>
                    </w:rPr>
                    <w:t>Price (per MWh)</w:t>
                  </w:r>
                </w:p>
              </w:tc>
            </w:tr>
            <w:tr w:rsidR="00BC03DD" w:rsidRPr="003161DC" w14:paraId="3F7AE894" w14:textId="77777777" w:rsidTr="00AE702A">
              <w:trPr>
                <w:trHeight w:val="345"/>
              </w:trPr>
              <w:tc>
                <w:tcPr>
                  <w:tcW w:w="3531" w:type="dxa"/>
                </w:tcPr>
                <w:p w14:paraId="140FF15D" w14:textId="77777777" w:rsidR="00BC03DD" w:rsidRPr="003161DC" w:rsidRDefault="00BC03DD" w:rsidP="00BC03DD">
                  <w:pPr>
                    <w:spacing w:after="60"/>
                    <w:rPr>
                      <w:iCs/>
                      <w:sz w:val="20"/>
                    </w:rPr>
                  </w:pPr>
                  <w:r w:rsidRPr="003161DC">
                    <w:rPr>
                      <w:sz w:val="20"/>
                    </w:rPr>
                    <w:t>HSL</w:t>
                  </w:r>
                </w:p>
              </w:tc>
              <w:tc>
                <w:tcPr>
                  <w:tcW w:w="2804" w:type="dxa"/>
                </w:tcPr>
                <w:p w14:paraId="42AB44CB" w14:textId="77777777" w:rsidR="00BC03DD" w:rsidRPr="003161DC" w:rsidRDefault="00BC03DD" w:rsidP="00BC03DD">
                  <w:pPr>
                    <w:spacing w:after="60"/>
                    <w:rPr>
                      <w:iCs/>
                      <w:sz w:val="20"/>
                    </w:rPr>
                  </w:pPr>
                  <w:r w:rsidRPr="003161DC">
                    <w:rPr>
                      <w:sz w:val="20"/>
                    </w:rPr>
                    <w:t>$4,500</w:t>
                  </w:r>
                  <w:r>
                    <w:rPr>
                      <w:sz w:val="20"/>
                    </w:rPr>
                    <w:t xml:space="preserve"> or the effective Value of Lost Load (VOLL), whichever is less.</w:t>
                  </w:r>
                </w:p>
              </w:tc>
            </w:tr>
            <w:tr w:rsidR="00BC03DD" w:rsidRPr="003161DC" w14:paraId="78882D80" w14:textId="77777777" w:rsidTr="00AE702A">
              <w:trPr>
                <w:trHeight w:val="332"/>
              </w:trPr>
              <w:tc>
                <w:tcPr>
                  <w:tcW w:w="3531" w:type="dxa"/>
                </w:tcPr>
                <w:p w14:paraId="69393E85" w14:textId="77777777" w:rsidR="00BC03DD" w:rsidRPr="003161DC" w:rsidRDefault="00BC03DD" w:rsidP="00BC03DD">
                  <w:pPr>
                    <w:spacing w:after="60"/>
                    <w:rPr>
                      <w:iCs/>
                      <w:sz w:val="20"/>
                    </w:rPr>
                  </w:pPr>
                  <w:r w:rsidRPr="003161DC">
                    <w:rPr>
                      <w:sz w:val="20"/>
                    </w:rPr>
                    <w:t>Zero</w:t>
                  </w:r>
                </w:p>
              </w:tc>
              <w:tc>
                <w:tcPr>
                  <w:tcW w:w="2804" w:type="dxa"/>
                </w:tcPr>
                <w:p w14:paraId="54205C77" w14:textId="77777777" w:rsidR="00BC03DD" w:rsidRPr="003161DC" w:rsidRDefault="00BC03DD" w:rsidP="00BC03DD">
                  <w:pPr>
                    <w:spacing w:after="60"/>
                    <w:rPr>
                      <w:iCs/>
                      <w:sz w:val="20"/>
                    </w:rPr>
                  </w:pPr>
                  <w:r w:rsidRPr="003161DC">
                    <w:rPr>
                      <w:sz w:val="20"/>
                    </w:rPr>
                    <w:t>$4,500</w:t>
                  </w:r>
                  <w:r>
                    <w:rPr>
                      <w:sz w:val="20"/>
                    </w:rPr>
                    <w:t xml:space="preserve"> or the effective VOLL, whichever is less.</w:t>
                  </w:r>
                </w:p>
              </w:tc>
            </w:tr>
          </w:tbl>
          <w:p w14:paraId="75EBC286" w14:textId="4EA6770E" w:rsidR="00BC03DD" w:rsidRPr="004F0296" w:rsidRDefault="00BC03DD" w:rsidP="00BC03DD">
            <w:pPr>
              <w:spacing w:before="240" w:after="240"/>
              <w:ind w:left="2160" w:hanging="720"/>
            </w:pPr>
            <w:r>
              <w:t>(iv</w:t>
            </w:r>
            <w:r w:rsidRPr="004F0296">
              <w:t xml:space="preserve">) </w:t>
            </w:r>
            <w:r w:rsidRPr="004F0296">
              <w:tab/>
              <w:t xml:space="preserve">For each Combined Cycle Generation Resource that was RUC-committed from one On-Line configuration in order to transition to a </w:t>
            </w:r>
            <w:r w:rsidRPr="004F0296">
              <w:lastRenderedPageBreak/>
              <w:t>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9001941"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709276E7"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3DE86F3C" w14:textId="77777777" w:rsidR="00BC03DD" w:rsidRPr="004F0296" w:rsidRDefault="00BC03DD" w:rsidP="00BC03DD">
                  <w:pPr>
                    <w:spacing w:after="120"/>
                    <w:rPr>
                      <w:b/>
                      <w:iCs/>
                      <w:sz w:val="20"/>
                    </w:rPr>
                  </w:pPr>
                  <w:r w:rsidRPr="004F0296">
                    <w:rPr>
                      <w:b/>
                      <w:iCs/>
                      <w:sz w:val="20"/>
                    </w:rPr>
                    <w:t>Price (per MWh)</w:t>
                  </w:r>
                </w:p>
              </w:tc>
            </w:tr>
            <w:tr w:rsidR="00BC03DD" w:rsidRPr="004F0296" w14:paraId="3FADB9BE"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33D59EE4"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253D6739" w14:textId="57E03FA6" w:rsidR="00BC03DD" w:rsidRPr="004F0296" w:rsidRDefault="00BC03DD" w:rsidP="00BC03DD">
                  <w:pPr>
                    <w:spacing w:after="120"/>
                    <w:rPr>
                      <w:iCs/>
                      <w:sz w:val="20"/>
                    </w:rPr>
                  </w:pPr>
                  <w:r w:rsidRPr="004F0296">
                    <w:rPr>
                      <w:iCs/>
                      <w:sz w:val="20"/>
                    </w:rPr>
                    <w:t>$</w:t>
                  </w:r>
                  <w:r w:rsidR="00090A9F">
                    <w:rPr>
                      <w:iCs/>
                      <w:sz w:val="20"/>
                    </w:rPr>
                    <w:t>250</w:t>
                  </w:r>
                </w:p>
              </w:tc>
            </w:tr>
            <w:tr w:rsidR="00BC03DD" w:rsidRPr="004F0296" w14:paraId="3F5C7E54"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6BB852B"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2F07F9C" w14:textId="50F6B5B8" w:rsidR="00BC03DD" w:rsidRPr="004F0296" w:rsidRDefault="00BC03DD" w:rsidP="00BC03DD">
                  <w:pPr>
                    <w:spacing w:after="120"/>
                    <w:rPr>
                      <w:iCs/>
                      <w:sz w:val="20"/>
                    </w:rPr>
                  </w:pPr>
                  <w:r w:rsidRPr="004F0296">
                    <w:rPr>
                      <w:iCs/>
                      <w:sz w:val="20"/>
                    </w:rPr>
                    <w:t>$</w:t>
                  </w:r>
                  <w:r w:rsidR="00090A9F">
                    <w:rPr>
                      <w:iCs/>
                      <w:sz w:val="20"/>
                    </w:rPr>
                    <w:t>250</w:t>
                  </w:r>
                </w:p>
              </w:tc>
            </w:tr>
          </w:tbl>
          <w:p w14:paraId="5A67439E" w14:textId="165AF74F" w:rsidR="00BC03DD" w:rsidRPr="004F0296" w:rsidRDefault="00BC03DD" w:rsidP="00BC03DD">
            <w:pPr>
              <w:spacing w:before="240" w:after="240"/>
              <w:ind w:left="2160" w:hanging="720"/>
            </w:pPr>
            <w:r>
              <w:t>(</w:t>
            </w:r>
            <w:r w:rsidRPr="004F0296">
              <w:t xml:space="preserve">v) </w:t>
            </w:r>
            <w:r w:rsidRPr="004F0296">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156CD745" w14:textId="77777777" w:rsidTr="00AE702A">
              <w:trPr>
                <w:trHeight w:val="350"/>
              </w:trPr>
              <w:tc>
                <w:tcPr>
                  <w:tcW w:w="3279" w:type="dxa"/>
                </w:tcPr>
                <w:p w14:paraId="4699DBD7" w14:textId="77777777" w:rsidR="00BC03DD" w:rsidRPr="004F0296" w:rsidRDefault="00BC03DD" w:rsidP="00BC03DD">
                  <w:pPr>
                    <w:spacing w:after="120"/>
                    <w:rPr>
                      <w:b/>
                      <w:iCs/>
                      <w:sz w:val="20"/>
                    </w:rPr>
                  </w:pPr>
                  <w:r w:rsidRPr="004F0296">
                    <w:rPr>
                      <w:b/>
                      <w:iCs/>
                      <w:sz w:val="20"/>
                    </w:rPr>
                    <w:t>MW</w:t>
                  </w:r>
                </w:p>
              </w:tc>
              <w:tc>
                <w:tcPr>
                  <w:tcW w:w="3060" w:type="dxa"/>
                </w:tcPr>
                <w:p w14:paraId="17939FF9" w14:textId="77777777" w:rsidR="00BC03DD" w:rsidRPr="004F0296" w:rsidRDefault="00BC03DD" w:rsidP="00BC03DD">
                  <w:pPr>
                    <w:spacing w:after="120"/>
                    <w:rPr>
                      <w:b/>
                      <w:iCs/>
                      <w:sz w:val="20"/>
                    </w:rPr>
                  </w:pPr>
                  <w:r w:rsidRPr="004F0296">
                    <w:rPr>
                      <w:b/>
                      <w:iCs/>
                      <w:sz w:val="20"/>
                    </w:rPr>
                    <w:t>Price (per MWh)</w:t>
                  </w:r>
                </w:p>
              </w:tc>
            </w:tr>
            <w:tr w:rsidR="00BC03DD" w:rsidRPr="004F0296" w14:paraId="36B12279" w14:textId="77777777" w:rsidTr="00AE702A">
              <w:trPr>
                <w:trHeight w:val="345"/>
              </w:trPr>
              <w:tc>
                <w:tcPr>
                  <w:tcW w:w="3279" w:type="dxa"/>
                </w:tcPr>
                <w:p w14:paraId="0B8B344E"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76625DB0" w14:textId="23A63BB2"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price associated with the highest MW in QSE submitted Energy Offer Curve</w:t>
                  </w:r>
                </w:p>
              </w:tc>
            </w:tr>
            <w:tr w:rsidR="00BC03DD" w:rsidRPr="004F0296" w14:paraId="1F781B0A" w14:textId="77777777" w:rsidTr="00AE702A">
              <w:trPr>
                <w:trHeight w:val="615"/>
              </w:trPr>
              <w:tc>
                <w:tcPr>
                  <w:tcW w:w="3279" w:type="dxa"/>
                </w:tcPr>
                <w:p w14:paraId="44844769"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21B45D9D" w14:textId="3B4CEC10"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the QSE submitted Energy Offer Curve</w:t>
                  </w:r>
                </w:p>
              </w:tc>
            </w:tr>
            <w:tr w:rsidR="00BC03DD" w:rsidRPr="004F0296" w14:paraId="4AD704D4" w14:textId="77777777" w:rsidTr="00AE702A">
              <w:trPr>
                <w:trHeight w:val="615"/>
              </w:trPr>
              <w:tc>
                <w:tcPr>
                  <w:tcW w:w="3279" w:type="dxa"/>
                </w:tcPr>
                <w:p w14:paraId="5DB221A7" w14:textId="1108F7D5"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w:t>
                  </w:r>
                  <w:r w:rsidR="00090A9F">
                    <w:rPr>
                      <w:iCs/>
                      <w:sz w:val="20"/>
                    </w:rPr>
                    <w:t>250</w:t>
                  </w:r>
                  <w:r w:rsidRPr="004F0296">
                    <w:rPr>
                      <w:iCs/>
                      <w:sz w:val="20"/>
                    </w:rPr>
                    <w:t>)</w:t>
                  </w:r>
                </w:p>
              </w:tc>
              <w:tc>
                <w:tcPr>
                  <w:tcW w:w="3060" w:type="dxa"/>
                </w:tcPr>
                <w:p w14:paraId="15C1E767" w14:textId="20186DF0" w:rsidR="00BC03DD" w:rsidRPr="004F0296" w:rsidRDefault="00BC03DD" w:rsidP="00BC03DD">
                  <w:pPr>
                    <w:spacing w:after="60"/>
                    <w:rPr>
                      <w:iCs/>
                      <w:sz w:val="20"/>
                    </w:rPr>
                  </w:pPr>
                  <w:r w:rsidRPr="004F0296">
                    <w:rPr>
                      <w:iCs/>
                      <w:sz w:val="20"/>
                    </w:rPr>
                    <w:t>$</w:t>
                  </w:r>
                  <w:r w:rsidR="00090A9F">
                    <w:rPr>
                      <w:iCs/>
                      <w:sz w:val="20"/>
                    </w:rPr>
                    <w:t>250</w:t>
                  </w:r>
                </w:p>
              </w:tc>
            </w:tr>
            <w:tr w:rsidR="00BC03DD" w:rsidRPr="004F0296" w14:paraId="6FE88089" w14:textId="77777777" w:rsidTr="00AE702A">
              <w:trPr>
                <w:trHeight w:val="368"/>
              </w:trPr>
              <w:tc>
                <w:tcPr>
                  <w:tcW w:w="3279" w:type="dxa"/>
                </w:tcPr>
                <w:p w14:paraId="35E10B83"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158379E8" w14:textId="77777777" w:rsidR="00BC03DD" w:rsidRPr="004F0296" w:rsidRDefault="00BC03DD" w:rsidP="00BC03DD">
                  <w:pPr>
                    <w:spacing w:after="60"/>
                    <w:rPr>
                      <w:iCs/>
                      <w:sz w:val="20"/>
                    </w:rPr>
                  </w:pPr>
                  <w:r w:rsidRPr="004F0296">
                    <w:rPr>
                      <w:iCs/>
                      <w:sz w:val="20"/>
                    </w:rPr>
                    <w:t>Price associated with the highest MW in QSE submitted Energy Offer Curve</w:t>
                  </w:r>
                </w:p>
              </w:tc>
            </w:tr>
            <w:tr w:rsidR="00BC03DD" w:rsidRPr="004F0296" w14:paraId="3D4D60A9" w14:textId="77777777" w:rsidTr="00AE702A">
              <w:trPr>
                <w:trHeight w:val="773"/>
              </w:trPr>
              <w:tc>
                <w:tcPr>
                  <w:tcW w:w="3279" w:type="dxa"/>
                </w:tcPr>
                <w:p w14:paraId="4597FE02"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72F85E7A" w14:textId="77777777" w:rsidR="00BC03DD" w:rsidRPr="004F0296" w:rsidRDefault="00BC03DD" w:rsidP="00BC03DD">
                  <w:pPr>
                    <w:spacing w:after="60"/>
                    <w:rPr>
                      <w:iCs/>
                      <w:sz w:val="20"/>
                    </w:rPr>
                  </w:pPr>
                  <w:r w:rsidRPr="004F0296">
                    <w:rPr>
                      <w:iCs/>
                      <w:sz w:val="20"/>
                    </w:rPr>
                    <w:t>The QSE submitted Energy Offer Curve</w:t>
                  </w:r>
                </w:p>
              </w:tc>
            </w:tr>
            <w:tr w:rsidR="00BC03DD" w:rsidRPr="004F0296" w14:paraId="61E1F27C" w14:textId="77777777" w:rsidTr="00AE702A">
              <w:trPr>
                <w:trHeight w:val="503"/>
              </w:trPr>
              <w:tc>
                <w:tcPr>
                  <w:tcW w:w="3279" w:type="dxa"/>
                </w:tcPr>
                <w:p w14:paraId="5C82146D"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05567C0F" w14:textId="77777777" w:rsidR="00BC03DD" w:rsidRPr="004F0296" w:rsidRDefault="00BC03DD" w:rsidP="00BC03DD">
                  <w:pPr>
                    <w:spacing w:after="60"/>
                    <w:rPr>
                      <w:iCs/>
                      <w:sz w:val="20"/>
                    </w:rPr>
                  </w:pPr>
                  <w:r w:rsidRPr="004F0296">
                    <w:rPr>
                      <w:iCs/>
                      <w:sz w:val="20"/>
                    </w:rPr>
                    <w:t>-$249.99</w:t>
                  </w:r>
                </w:p>
              </w:tc>
            </w:tr>
            <w:tr w:rsidR="00BC03DD" w:rsidRPr="004F0296" w14:paraId="649B5C91" w14:textId="77777777" w:rsidTr="00AE702A">
              <w:trPr>
                <w:trHeight w:val="467"/>
              </w:trPr>
              <w:tc>
                <w:tcPr>
                  <w:tcW w:w="3279" w:type="dxa"/>
                </w:tcPr>
                <w:p w14:paraId="3420713D"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5BA5041B" w14:textId="77777777" w:rsidR="00BC03DD" w:rsidRPr="004F0296" w:rsidRDefault="00BC03DD" w:rsidP="00BC03DD">
                  <w:pPr>
                    <w:spacing w:after="60"/>
                    <w:rPr>
                      <w:iCs/>
                      <w:sz w:val="20"/>
                    </w:rPr>
                  </w:pPr>
                  <w:r w:rsidRPr="004F0296">
                    <w:rPr>
                      <w:iCs/>
                      <w:sz w:val="20"/>
                    </w:rPr>
                    <w:t>-$250.00</w:t>
                  </w:r>
                </w:p>
              </w:tc>
            </w:tr>
          </w:tbl>
          <w:p w14:paraId="7D692F74" w14:textId="3ACE482C" w:rsidR="00BC03DD" w:rsidRPr="004F0296" w:rsidRDefault="00BC03DD" w:rsidP="00BC03DD">
            <w:pPr>
              <w:spacing w:before="240" w:after="240"/>
              <w:ind w:left="2160" w:hanging="720"/>
            </w:pPr>
            <w:r w:rsidRPr="004F0296">
              <w:t>(v</w:t>
            </w:r>
            <w:r>
              <w:t>i</w:t>
            </w:r>
            <w:r w:rsidRPr="004F0296">
              <w:t>)</w:t>
            </w:r>
            <w:r w:rsidRPr="004F0296">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204AC25"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474E6143" w14:textId="77777777" w:rsidR="00BC03DD" w:rsidRPr="004F0296" w:rsidRDefault="00BC03DD" w:rsidP="00BC03DD">
                  <w:pPr>
                    <w:spacing w:after="120"/>
                    <w:rPr>
                      <w:b/>
                      <w:iCs/>
                      <w:sz w:val="20"/>
                    </w:rPr>
                  </w:pPr>
                  <w:r w:rsidRPr="004F0296">
                    <w:rPr>
                      <w:b/>
                      <w:iCs/>
                      <w:sz w:val="20"/>
                    </w:rPr>
                    <w:lastRenderedPageBreak/>
                    <w:t>MW</w:t>
                  </w:r>
                </w:p>
              </w:tc>
              <w:tc>
                <w:tcPr>
                  <w:tcW w:w="3600" w:type="dxa"/>
                  <w:tcBorders>
                    <w:top w:val="single" w:sz="4" w:space="0" w:color="auto"/>
                    <w:left w:val="single" w:sz="4" w:space="0" w:color="auto"/>
                    <w:bottom w:val="single" w:sz="4" w:space="0" w:color="auto"/>
                    <w:right w:val="single" w:sz="4" w:space="0" w:color="auto"/>
                  </w:tcBorders>
                </w:tcPr>
                <w:p w14:paraId="24F62560" w14:textId="77777777" w:rsidR="00BC03DD" w:rsidRPr="004F0296" w:rsidRDefault="00BC03DD" w:rsidP="00BC03DD">
                  <w:pPr>
                    <w:spacing w:after="120"/>
                    <w:rPr>
                      <w:b/>
                      <w:iCs/>
                      <w:sz w:val="20"/>
                    </w:rPr>
                  </w:pPr>
                  <w:r w:rsidRPr="004F0296">
                    <w:rPr>
                      <w:b/>
                      <w:iCs/>
                      <w:sz w:val="20"/>
                    </w:rPr>
                    <w:t>Price (per MWh)</w:t>
                  </w:r>
                </w:p>
              </w:tc>
            </w:tr>
            <w:tr w:rsidR="00BC03DD" w:rsidRPr="004F0296" w14:paraId="548E03EA"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84CB9DE" w14:textId="77777777" w:rsidR="00BC03DD" w:rsidRPr="004F0296" w:rsidRDefault="00BC03DD" w:rsidP="00BC03DD">
                  <w:pPr>
                    <w:spacing w:after="120"/>
                    <w:rPr>
                      <w:iCs/>
                      <w:sz w:val="20"/>
                    </w:rPr>
                  </w:pPr>
                  <w:r w:rsidRPr="004F0296">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12835CDB" w14:textId="77777777" w:rsidR="00BC03DD" w:rsidRPr="004F0296" w:rsidRDefault="00BC03DD" w:rsidP="00BC03DD">
                  <w:pPr>
                    <w:spacing w:after="120"/>
                    <w:rPr>
                      <w:iCs/>
                      <w:sz w:val="20"/>
                    </w:rPr>
                  </w:pPr>
                  <w:r w:rsidRPr="004F0296">
                    <w:rPr>
                      <w:iCs/>
                      <w:sz w:val="20"/>
                    </w:rPr>
                    <w:t>$4,500</w:t>
                  </w:r>
                  <w:r>
                    <w:rPr>
                      <w:sz w:val="20"/>
                    </w:rPr>
                    <w:t xml:space="preserve"> or the effective Value of Lost Load (VOLL), whichever is less</w:t>
                  </w:r>
                </w:p>
              </w:tc>
            </w:tr>
            <w:tr w:rsidR="00BC03DD" w:rsidRPr="004F0296" w14:paraId="36CBEBE0"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67391759"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441AE64"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4824B708" w14:textId="16B39BD9" w:rsidR="00BC03DD" w:rsidRPr="004F0296" w:rsidRDefault="00BC03DD" w:rsidP="00BC03DD">
            <w:pPr>
              <w:spacing w:before="240" w:after="240"/>
              <w:ind w:left="2160" w:hanging="720"/>
            </w:pPr>
            <w:r w:rsidRPr="004F0296">
              <w:t>(vi</w:t>
            </w:r>
            <w:r>
              <w:t>i</w:t>
            </w:r>
            <w:r w:rsidRPr="004F0296">
              <w:t>)</w:t>
            </w:r>
            <w:r w:rsidRPr="004F0296">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4F0296" w14:paraId="6FE4F2C3" w14:textId="77777777" w:rsidTr="00AE702A">
              <w:trPr>
                <w:trHeight w:val="350"/>
              </w:trPr>
              <w:tc>
                <w:tcPr>
                  <w:tcW w:w="3531" w:type="dxa"/>
                </w:tcPr>
                <w:p w14:paraId="438E92C3" w14:textId="77777777" w:rsidR="00BC03DD" w:rsidRPr="004F0296" w:rsidRDefault="00BC03DD" w:rsidP="00BC03DD">
                  <w:pPr>
                    <w:spacing w:after="120"/>
                    <w:rPr>
                      <w:b/>
                      <w:iCs/>
                      <w:sz w:val="20"/>
                    </w:rPr>
                  </w:pPr>
                  <w:r w:rsidRPr="004F0296">
                    <w:rPr>
                      <w:b/>
                      <w:iCs/>
                      <w:sz w:val="20"/>
                    </w:rPr>
                    <w:t>MW</w:t>
                  </w:r>
                </w:p>
              </w:tc>
              <w:tc>
                <w:tcPr>
                  <w:tcW w:w="2804" w:type="dxa"/>
                </w:tcPr>
                <w:p w14:paraId="4FA1090C" w14:textId="77777777" w:rsidR="00BC03DD" w:rsidRPr="004F0296" w:rsidRDefault="00BC03DD" w:rsidP="00BC03DD">
                  <w:pPr>
                    <w:spacing w:after="120"/>
                    <w:rPr>
                      <w:b/>
                      <w:iCs/>
                      <w:sz w:val="20"/>
                    </w:rPr>
                  </w:pPr>
                  <w:r w:rsidRPr="004F0296">
                    <w:rPr>
                      <w:b/>
                      <w:iCs/>
                      <w:sz w:val="20"/>
                    </w:rPr>
                    <w:t>Price (per MWh)</w:t>
                  </w:r>
                </w:p>
              </w:tc>
            </w:tr>
            <w:tr w:rsidR="00BC03DD" w:rsidRPr="004F0296" w14:paraId="698D2FF2" w14:textId="77777777" w:rsidTr="00AE702A">
              <w:trPr>
                <w:trHeight w:val="345"/>
              </w:trPr>
              <w:tc>
                <w:tcPr>
                  <w:tcW w:w="3531" w:type="dxa"/>
                </w:tcPr>
                <w:p w14:paraId="3D422823" w14:textId="77777777" w:rsidR="00BC03DD" w:rsidRPr="004F0296" w:rsidRDefault="00BC03DD" w:rsidP="00BC03DD">
                  <w:pPr>
                    <w:spacing w:after="60"/>
                    <w:rPr>
                      <w:iCs/>
                      <w:sz w:val="20"/>
                    </w:rPr>
                  </w:pPr>
                  <w:r w:rsidRPr="004F0296">
                    <w:rPr>
                      <w:iCs/>
                      <w:sz w:val="20"/>
                    </w:rPr>
                    <w:t>HSL (if more than highest MW in Energy Offer Curve)</w:t>
                  </w:r>
                </w:p>
              </w:tc>
              <w:tc>
                <w:tcPr>
                  <w:tcW w:w="2804" w:type="dxa"/>
                </w:tcPr>
                <w:p w14:paraId="2E0AA5F3"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03971733" w14:textId="77777777" w:rsidTr="00AE702A">
              <w:trPr>
                <w:trHeight w:val="615"/>
              </w:trPr>
              <w:tc>
                <w:tcPr>
                  <w:tcW w:w="3531" w:type="dxa"/>
                </w:tcPr>
                <w:p w14:paraId="68753A7E" w14:textId="77777777" w:rsidR="00BC03DD" w:rsidRPr="004F0296" w:rsidRDefault="00BC03DD" w:rsidP="00BC03DD">
                  <w:pPr>
                    <w:spacing w:after="60"/>
                    <w:rPr>
                      <w:iCs/>
                      <w:sz w:val="20"/>
                    </w:rPr>
                  </w:pPr>
                  <w:r w:rsidRPr="004F0296">
                    <w:rPr>
                      <w:iCs/>
                      <w:sz w:val="20"/>
                    </w:rPr>
                    <w:t>Energy Offer Curve</w:t>
                  </w:r>
                </w:p>
              </w:tc>
              <w:tc>
                <w:tcPr>
                  <w:tcW w:w="2804" w:type="dxa"/>
                </w:tcPr>
                <w:p w14:paraId="7451DCF8"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the QSE-submitted Energy Offer Curve</w:t>
                  </w:r>
                </w:p>
              </w:tc>
            </w:tr>
            <w:tr w:rsidR="00BC03DD" w:rsidRPr="004F0296" w14:paraId="780A3768" w14:textId="77777777" w:rsidTr="00AE702A">
              <w:trPr>
                <w:trHeight w:val="916"/>
              </w:trPr>
              <w:tc>
                <w:tcPr>
                  <w:tcW w:w="3531" w:type="dxa"/>
                </w:tcPr>
                <w:p w14:paraId="5661B1CE" w14:textId="77777777" w:rsidR="00BC03DD" w:rsidRPr="004F0296" w:rsidRDefault="00BC03DD" w:rsidP="00BC03DD">
                  <w:pPr>
                    <w:spacing w:after="60"/>
                    <w:rPr>
                      <w:iCs/>
                      <w:sz w:val="20"/>
                    </w:rPr>
                  </w:pPr>
                  <w:r w:rsidRPr="004F0296">
                    <w:rPr>
                      <w:iCs/>
                      <w:sz w:val="20"/>
                    </w:rPr>
                    <w:t>Zero</w:t>
                  </w:r>
                </w:p>
              </w:tc>
              <w:tc>
                <w:tcPr>
                  <w:tcW w:w="2804" w:type="dxa"/>
                </w:tcPr>
                <w:p w14:paraId="7CEF011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sidRPr="004F0296">
                    <w:rPr>
                      <w:iCs/>
                      <w:sz w:val="20"/>
                    </w:rPr>
                    <w:t xml:space="preserve"> </w:t>
                  </w:r>
                  <w:r>
                    <w:rPr>
                      <w:iCs/>
                      <w:sz w:val="20"/>
                    </w:rPr>
                    <w:t>and</w:t>
                  </w:r>
                  <w:r w:rsidRPr="004F0296">
                    <w:rPr>
                      <w:iCs/>
                      <w:sz w:val="20"/>
                    </w:rPr>
                    <w:t xml:space="preserve"> the first price point of the QSE-submitted Energy Offer Curve</w:t>
                  </w:r>
                </w:p>
              </w:tc>
            </w:tr>
          </w:tbl>
          <w:p w14:paraId="3AFC7F73" w14:textId="036EA1D6" w:rsidR="00BC03DD" w:rsidRPr="004F0296" w:rsidRDefault="00BC03DD" w:rsidP="00BC03DD">
            <w:pPr>
              <w:spacing w:before="240" w:after="240"/>
              <w:ind w:left="2160" w:hanging="720"/>
            </w:pPr>
            <w:r w:rsidRPr="004F0296">
              <w:t>(vi</w:t>
            </w:r>
            <w:r>
              <w:t>i</w:t>
            </w:r>
            <w:r w:rsidRPr="004F0296">
              <w:t>i)</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089A0AF8"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3B2438F"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68D68430" w14:textId="77777777" w:rsidR="00BC03DD" w:rsidRPr="004F0296" w:rsidRDefault="00BC03DD" w:rsidP="00BC03DD">
                  <w:pPr>
                    <w:spacing w:after="120"/>
                    <w:rPr>
                      <w:b/>
                      <w:iCs/>
                      <w:sz w:val="20"/>
                    </w:rPr>
                  </w:pPr>
                  <w:r w:rsidRPr="004F0296">
                    <w:rPr>
                      <w:b/>
                      <w:iCs/>
                      <w:sz w:val="20"/>
                    </w:rPr>
                    <w:t>Price (per MWh)</w:t>
                  </w:r>
                </w:p>
              </w:tc>
            </w:tr>
            <w:tr w:rsidR="00BC03DD" w:rsidRPr="004F0296" w14:paraId="0EA48F9F"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18A3844B"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416ED90"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r w:rsidR="00BC03DD" w:rsidRPr="004F0296" w14:paraId="56CEBE46"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A26863A"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2F83325"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5466673C" w14:textId="5A27C205" w:rsidR="00BC03DD" w:rsidRPr="004F0296" w:rsidRDefault="00BC03DD" w:rsidP="00BC03DD">
            <w:pPr>
              <w:spacing w:before="240" w:after="240"/>
              <w:ind w:left="2160" w:hanging="720"/>
            </w:pPr>
            <w:r>
              <w:t>(</w:t>
            </w:r>
            <w:r w:rsidRPr="004F0296">
              <w:t>i</w:t>
            </w:r>
            <w:r>
              <w:t>x)</w:t>
            </w:r>
            <w:r w:rsidRPr="004F0296">
              <w:tab/>
              <w:t xml:space="preserve">For each Combined Cycle Train configuration that includes at least one SWGR that is operating in a non-ERCOT Control Area as part of a configuration with a COP Resource Status of EMRSWGR for the </w:t>
            </w:r>
            <w:r w:rsidRPr="004F0296">
              <w:lastRenderedPageBreak/>
              <w:t>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478FA111" w14:textId="77777777" w:rsidTr="00AE702A">
              <w:trPr>
                <w:trHeight w:val="350"/>
              </w:trPr>
              <w:tc>
                <w:tcPr>
                  <w:tcW w:w="3279" w:type="dxa"/>
                </w:tcPr>
                <w:p w14:paraId="77934089" w14:textId="77777777" w:rsidR="00BC03DD" w:rsidRPr="004F0296" w:rsidRDefault="00BC03DD" w:rsidP="00BC03DD">
                  <w:pPr>
                    <w:spacing w:after="120"/>
                    <w:rPr>
                      <w:b/>
                      <w:iCs/>
                      <w:sz w:val="20"/>
                    </w:rPr>
                  </w:pPr>
                  <w:r w:rsidRPr="004F0296">
                    <w:rPr>
                      <w:b/>
                      <w:iCs/>
                      <w:sz w:val="20"/>
                    </w:rPr>
                    <w:t>MW</w:t>
                  </w:r>
                </w:p>
              </w:tc>
              <w:tc>
                <w:tcPr>
                  <w:tcW w:w="3060" w:type="dxa"/>
                </w:tcPr>
                <w:p w14:paraId="671FBC81" w14:textId="77777777" w:rsidR="00BC03DD" w:rsidRPr="004F0296" w:rsidRDefault="00BC03DD" w:rsidP="00BC03DD">
                  <w:pPr>
                    <w:spacing w:after="120"/>
                    <w:rPr>
                      <w:b/>
                      <w:iCs/>
                      <w:sz w:val="20"/>
                    </w:rPr>
                  </w:pPr>
                  <w:r w:rsidRPr="004F0296">
                    <w:rPr>
                      <w:b/>
                      <w:iCs/>
                      <w:sz w:val="20"/>
                    </w:rPr>
                    <w:t>Price (per MWh)</w:t>
                  </w:r>
                </w:p>
              </w:tc>
            </w:tr>
            <w:tr w:rsidR="00BC03DD" w:rsidRPr="004F0296" w14:paraId="7ED3A901" w14:textId="77777777" w:rsidTr="00AE702A">
              <w:trPr>
                <w:trHeight w:val="345"/>
              </w:trPr>
              <w:tc>
                <w:tcPr>
                  <w:tcW w:w="3279" w:type="dxa"/>
                </w:tcPr>
                <w:p w14:paraId="6C22DAD8"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1032903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18D8E31C" w14:textId="77777777" w:rsidTr="00AE702A">
              <w:trPr>
                <w:trHeight w:val="615"/>
              </w:trPr>
              <w:tc>
                <w:tcPr>
                  <w:tcW w:w="3279" w:type="dxa"/>
                </w:tcPr>
                <w:p w14:paraId="19078473"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5070F7A2"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Pr>
                      <w:iCs/>
                      <w:sz w:val="20"/>
                    </w:rPr>
                    <w:t xml:space="preserve"> and</w:t>
                  </w:r>
                  <w:r w:rsidRPr="004F0296">
                    <w:rPr>
                      <w:iCs/>
                      <w:sz w:val="20"/>
                    </w:rPr>
                    <w:t xml:space="preserve"> the QSE-submitted Energy Offer Curve</w:t>
                  </w:r>
                </w:p>
              </w:tc>
            </w:tr>
            <w:tr w:rsidR="00BC03DD" w:rsidRPr="004F0296" w14:paraId="6371D221" w14:textId="77777777" w:rsidTr="00AE702A">
              <w:trPr>
                <w:trHeight w:val="615"/>
              </w:trPr>
              <w:tc>
                <w:tcPr>
                  <w:tcW w:w="3279" w:type="dxa"/>
                </w:tcPr>
                <w:p w14:paraId="538D7A2B" w14:textId="77777777"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$4,500)</w:t>
                  </w:r>
                </w:p>
              </w:tc>
              <w:tc>
                <w:tcPr>
                  <w:tcW w:w="3060" w:type="dxa"/>
                </w:tcPr>
                <w:p w14:paraId="7594AB05" w14:textId="77777777" w:rsidR="00BC03DD" w:rsidRPr="004F0296" w:rsidRDefault="00BC03DD" w:rsidP="00BC03DD">
                  <w:pPr>
                    <w:spacing w:after="60"/>
                    <w:rPr>
                      <w:iCs/>
                      <w:sz w:val="20"/>
                    </w:rPr>
                  </w:pPr>
                  <w:r w:rsidRPr="004F0296">
                    <w:rPr>
                      <w:iCs/>
                      <w:sz w:val="20"/>
                    </w:rPr>
                    <w:t>$4,500</w:t>
                  </w:r>
                  <w:r>
                    <w:rPr>
                      <w:sz w:val="20"/>
                    </w:rPr>
                    <w:t xml:space="preserve"> or the effective VOLL, whichever is less</w:t>
                  </w:r>
                </w:p>
              </w:tc>
            </w:tr>
            <w:tr w:rsidR="00BC03DD" w:rsidRPr="004F0296" w14:paraId="01C205B7" w14:textId="77777777" w:rsidTr="00AE702A">
              <w:trPr>
                <w:trHeight w:val="368"/>
              </w:trPr>
              <w:tc>
                <w:tcPr>
                  <w:tcW w:w="3279" w:type="dxa"/>
                </w:tcPr>
                <w:p w14:paraId="20972ACF"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62521379" w14:textId="77777777" w:rsidR="00BC03DD" w:rsidRPr="004F0296" w:rsidRDefault="00BC03DD" w:rsidP="00BC03DD">
                  <w:pPr>
                    <w:spacing w:after="60"/>
                    <w:rPr>
                      <w:iCs/>
                      <w:sz w:val="20"/>
                    </w:rPr>
                  </w:pPr>
                  <w:r w:rsidRPr="004F0296">
                    <w:rPr>
                      <w:iCs/>
                      <w:sz w:val="20"/>
                    </w:rPr>
                    <w:t>Price associated with the highest MW in QSE-submitted Energy Offer Curve</w:t>
                  </w:r>
                </w:p>
              </w:tc>
            </w:tr>
            <w:tr w:rsidR="00BC03DD" w:rsidRPr="004F0296" w14:paraId="57341F11" w14:textId="77777777" w:rsidTr="00AE702A">
              <w:trPr>
                <w:trHeight w:val="773"/>
              </w:trPr>
              <w:tc>
                <w:tcPr>
                  <w:tcW w:w="3279" w:type="dxa"/>
                </w:tcPr>
                <w:p w14:paraId="0B620185"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49E0FC19" w14:textId="77777777" w:rsidR="00BC03DD" w:rsidRPr="004F0296" w:rsidRDefault="00BC03DD" w:rsidP="00BC03DD">
                  <w:pPr>
                    <w:spacing w:after="60"/>
                    <w:rPr>
                      <w:iCs/>
                      <w:sz w:val="20"/>
                    </w:rPr>
                  </w:pPr>
                  <w:r w:rsidRPr="004F0296">
                    <w:rPr>
                      <w:iCs/>
                      <w:sz w:val="20"/>
                    </w:rPr>
                    <w:t>The QSE-submitted Energy Offer Curve</w:t>
                  </w:r>
                </w:p>
              </w:tc>
            </w:tr>
            <w:tr w:rsidR="00BC03DD" w:rsidRPr="004F0296" w14:paraId="4A89F2A9" w14:textId="77777777" w:rsidTr="00AE702A">
              <w:trPr>
                <w:trHeight w:val="503"/>
              </w:trPr>
              <w:tc>
                <w:tcPr>
                  <w:tcW w:w="3279" w:type="dxa"/>
                </w:tcPr>
                <w:p w14:paraId="0598B17C"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4DDDA183" w14:textId="77777777" w:rsidR="00BC03DD" w:rsidRPr="004F0296" w:rsidRDefault="00BC03DD" w:rsidP="00BC03DD">
                  <w:pPr>
                    <w:spacing w:after="60"/>
                    <w:rPr>
                      <w:iCs/>
                      <w:sz w:val="20"/>
                    </w:rPr>
                  </w:pPr>
                  <w:r w:rsidRPr="004F0296">
                    <w:rPr>
                      <w:iCs/>
                      <w:sz w:val="20"/>
                    </w:rPr>
                    <w:t>-$249.99</w:t>
                  </w:r>
                </w:p>
              </w:tc>
            </w:tr>
            <w:tr w:rsidR="00BC03DD" w:rsidRPr="004F0296" w14:paraId="01AAE624" w14:textId="77777777" w:rsidTr="00AE702A">
              <w:trPr>
                <w:trHeight w:val="467"/>
              </w:trPr>
              <w:tc>
                <w:tcPr>
                  <w:tcW w:w="3279" w:type="dxa"/>
                </w:tcPr>
                <w:p w14:paraId="292F0F98"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0D75F7AA" w14:textId="77777777" w:rsidR="00BC03DD" w:rsidRPr="004F0296" w:rsidRDefault="00BC03DD" w:rsidP="00BC03DD">
                  <w:pPr>
                    <w:spacing w:after="60"/>
                    <w:rPr>
                      <w:iCs/>
                      <w:sz w:val="20"/>
                    </w:rPr>
                  </w:pPr>
                  <w:r w:rsidRPr="004F0296">
                    <w:rPr>
                      <w:iCs/>
                      <w:sz w:val="20"/>
                    </w:rPr>
                    <w:t>-$250.00</w:t>
                  </w:r>
                </w:p>
              </w:tc>
            </w:tr>
          </w:tbl>
          <w:p w14:paraId="6CFDF7F7" w14:textId="77777777" w:rsidR="00BC03DD" w:rsidRDefault="00BC03DD" w:rsidP="00BC03DD">
            <w:pPr>
              <w:spacing w:before="240" w:after="240"/>
              <w:ind w:left="720" w:hanging="720"/>
            </w:pPr>
            <w:r>
              <w:t>(5)</w:t>
            </w:r>
            <w:r>
              <w:tab/>
            </w:r>
            <w:r w:rsidRPr="003161DC">
              <w:t>For use as SCED inputs</w:t>
            </w:r>
            <w:r w:rsidRPr="00F46E89">
              <w:t xml:space="preserve"> </w:t>
            </w:r>
            <w:r>
              <w:t>for determining energy dispatch and Ancillary Service awards</w:t>
            </w:r>
            <w:r w:rsidRPr="003161DC">
              <w:t xml:space="preserve">, ERCOT shall use the available </w:t>
            </w:r>
            <w:r>
              <w:t xml:space="preserve">Ancillary Service MW </w:t>
            </w:r>
            <w:r w:rsidRPr="003161DC">
              <w:t xml:space="preserve">capacity of all Resources by creating </w:t>
            </w:r>
            <w:r>
              <w:t xml:space="preserve">a </w:t>
            </w:r>
            <w:r w:rsidRPr="003161DC">
              <w:t xml:space="preserve">proxy </w:t>
            </w:r>
            <w:r>
              <w:t>Ancillary Service</w:t>
            </w:r>
            <w:r w:rsidRPr="003161DC">
              <w:t xml:space="preserve"> Offer for </w:t>
            </w:r>
            <w:r>
              <w:t>qualified</w:t>
            </w:r>
            <w:r w:rsidRPr="003161DC">
              <w:t xml:space="preserve"> Resources as follows:</w:t>
            </w:r>
          </w:p>
          <w:p w14:paraId="661E9DAA" w14:textId="179E131A" w:rsidR="00BC03DD" w:rsidRPr="008E37B2" w:rsidRDefault="00BC03DD" w:rsidP="00BC03DD">
            <w:pPr>
              <w:spacing w:after="240"/>
              <w:ind w:left="1440" w:hanging="720"/>
            </w:pPr>
            <w:r>
              <w:t>(a)</w:t>
            </w:r>
            <w:r>
              <w:tab/>
            </w:r>
            <w:r w:rsidRPr="008E37B2">
              <w:t xml:space="preserve">The proxy </w:t>
            </w:r>
            <w:r>
              <w:t>Ancillary Service</w:t>
            </w:r>
            <w:r w:rsidRPr="003161DC">
              <w:t xml:space="preserve"> </w:t>
            </w:r>
            <w:r>
              <w:t>O</w:t>
            </w:r>
            <w:r w:rsidRPr="008E37B2">
              <w:t xml:space="preserve">ffer </w:t>
            </w:r>
            <w:r>
              <w:t>shall</w:t>
            </w:r>
            <w:r w:rsidRPr="008E37B2">
              <w:t xml:space="preserve"> be a linked A</w:t>
            </w:r>
            <w:r>
              <w:t xml:space="preserve">ncillary </w:t>
            </w:r>
            <w:r w:rsidRPr="008E37B2">
              <w:t>S</w:t>
            </w:r>
            <w:r>
              <w:t>ervice</w:t>
            </w:r>
            <w:r w:rsidRPr="008E37B2">
              <w:t xml:space="preserve"> Offer across all A</w:t>
            </w:r>
            <w:r>
              <w:t xml:space="preserve">ncillary </w:t>
            </w:r>
            <w:r w:rsidRPr="008E37B2">
              <w:t>S</w:t>
            </w:r>
            <w:r>
              <w:t>ervice</w:t>
            </w:r>
            <w:r w:rsidRPr="008E37B2">
              <w:t xml:space="preserve"> products for which a Resource is qualified to provide.  For </w:t>
            </w:r>
            <w:r>
              <w:t>Generation</w:t>
            </w:r>
            <w:r w:rsidRPr="008E37B2">
              <w:t xml:space="preserve"> Resources, the proxy </w:t>
            </w:r>
            <w:r>
              <w:t>Ancillary Service O</w:t>
            </w:r>
            <w:r w:rsidRPr="008E37B2">
              <w:t xml:space="preserve">ffer MW </w:t>
            </w:r>
            <w:r>
              <w:t>shall</w:t>
            </w:r>
            <w:r w:rsidRPr="008E37B2">
              <w:t xml:space="preserve"> be equal to the Resource’s telemetered HSL.  </w:t>
            </w:r>
            <w:r>
              <w:t xml:space="preserve">For </w:t>
            </w:r>
            <w:r w:rsidR="00AD486D">
              <w:t>ESRs</w:t>
            </w:r>
            <w:r>
              <w:t xml:space="preserve">, the proxy Ancillary Service Offer MW shall be equal to the difference between the Resource’s telemetered HSL and LSL.  </w:t>
            </w:r>
            <w:r w:rsidRPr="008E37B2">
              <w:t xml:space="preserve">For Load Resources, the proxy </w:t>
            </w:r>
            <w:r>
              <w:t>Ancillary Service O</w:t>
            </w:r>
            <w:r w:rsidRPr="008E37B2">
              <w:t xml:space="preserve">ffer MW </w:t>
            </w:r>
            <w:r>
              <w:t>shall</w:t>
            </w:r>
            <w:r w:rsidRPr="008E37B2">
              <w:t xml:space="preserve"> be equal to the Resource’s telemetered Maximum Power Consumption (MPC).</w:t>
            </w:r>
          </w:p>
          <w:p w14:paraId="3F9361FE" w14:textId="77777777" w:rsidR="00BC03DD" w:rsidRPr="00EE7C66" w:rsidRDefault="00BC03DD" w:rsidP="00BC03DD">
            <w:pPr>
              <w:spacing w:after="240"/>
              <w:ind w:left="1440" w:hanging="720"/>
            </w:pPr>
            <w:r w:rsidRPr="00EE7C66">
              <w:lastRenderedPageBreak/>
              <w:t>(b)</w:t>
            </w:r>
            <w:r w:rsidRPr="00EE7C66">
              <w:tab/>
              <w:t xml:space="preserve">For </w:t>
            </w:r>
            <w:r>
              <w:t xml:space="preserve">Resources that are not RUC-committed, </w:t>
            </w:r>
            <w:r w:rsidRPr="00EE7C66">
              <w:t>the price in the proxy Ancillary Service Offer shall be set to:</w:t>
            </w:r>
          </w:p>
          <w:p w14:paraId="142321F2" w14:textId="77777777" w:rsidR="00BC03DD" w:rsidRDefault="00BC03DD" w:rsidP="00BC03DD">
            <w:pPr>
              <w:spacing w:after="240"/>
              <w:ind w:left="2160" w:hanging="720"/>
            </w:pPr>
            <w:r w:rsidRPr="00EE7C66">
              <w:t>(i)</w:t>
            </w:r>
            <w:r w:rsidRPr="00EE7C66">
              <w:tab/>
              <w:t xml:space="preserve">For Reg-Up and RRS, the </w:t>
            </w:r>
            <w:r>
              <w:t>maximum of:</w:t>
            </w:r>
          </w:p>
          <w:p w14:paraId="22D9FE22" w14:textId="77777777" w:rsidR="00BC03DD" w:rsidRDefault="00BC03DD" w:rsidP="00BC03DD">
            <w:pPr>
              <w:spacing w:after="240"/>
              <w:ind w:left="2880" w:hanging="720"/>
            </w:pPr>
            <w:r>
              <w:t>(A)</w:t>
            </w:r>
            <w:r>
              <w:tab/>
              <w:t>The</w:t>
            </w:r>
            <w:r w:rsidRPr="00EE7C66">
              <w:t xml:space="preserve"> proxy Ancillary Service Offer price floor for </w:t>
            </w:r>
            <w:r>
              <w:t>Reg-Up or RRS, respectively;</w:t>
            </w:r>
          </w:p>
          <w:p w14:paraId="1FF72131" w14:textId="77777777" w:rsidR="00BC03DD" w:rsidRDefault="00BC03DD" w:rsidP="00BC03DD">
            <w:pPr>
              <w:spacing w:after="240"/>
              <w:ind w:left="2880" w:hanging="720"/>
            </w:pPr>
            <w:r>
              <w:t>(B)</w:t>
            </w:r>
            <w:r>
              <w:tab/>
              <w:t xml:space="preserve">The </w:t>
            </w:r>
            <w:r w:rsidRPr="00EE7C66">
              <w:t xml:space="preserve">Resource’s highest submitted Ancillary Service </w:t>
            </w:r>
            <w:r>
              <w:t>O</w:t>
            </w:r>
            <w:r w:rsidRPr="00EE7C66">
              <w:t xml:space="preserve">ffer price for </w:t>
            </w:r>
            <w:r>
              <w:t>Reg-Up or RRS, respectively;</w:t>
            </w:r>
          </w:p>
          <w:p w14:paraId="66C1092C" w14:textId="77777777" w:rsidR="00BC03DD" w:rsidRDefault="00BC03DD" w:rsidP="00BC03DD">
            <w:pPr>
              <w:spacing w:after="240"/>
              <w:ind w:left="2880" w:hanging="720"/>
            </w:pPr>
            <w:r>
              <w:t>(C)</w:t>
            </w:r>
            <w:r>
              <w:tab/>
              <w:t>T</w:t>
            </w:r>
            <w:r w:rsidRPr="00EE7C66">
              <w:t xml:space="preserve">he Resource’s highest Ancillary Service </w:t>
            </w:r>
            <w:r>
              <w:t>O</w:t>
            </w:r>
            <w:r w:rsidRPr="00EE7C66">
              <w:t xml:space="preserve">ffer </w:t>
            </w:r>
            <w:r>
              <w:t xml:space="preserve">price </w:t>
            </w:r>
            <w:r w:rsidRPr="00EE7C66">
              <w:t>for ECRS (submitted or proxy)</w:t>
            </w:r>
            <w:r>
              <w:t>; or</w:t>
            </w:r>
          </w:p>
          <w:p w14:paraId="1689DBEA" w14:textId="77777777" w:rsidR="00BC03DD" w:rsidRPr="00EE7C66" w:rsidRDefault="00BC03DD" w:rsidP="00BC03DD">
            <w:pPr>
              <w:spacing w:after="240"/>
              <w:ind w:left="2880" w:hanging="720"/>
            </w:pPr>
            <w:r>
              <w:t>(D)</w:t>
            </w:r>
            <w:r>
              <w:tab/>
              <w:t>T</w:t>
            </w:r>
            <w:r w:rsidRPr="00EE7C66">
              <w:t xml:space="preserve">he Resource’s highest Ancillary Service </w:t>
            </w:r>
            <w:r>
              <w:t>O</w:t>
            </w:r>
            <w:r w:rsidRPr="00EE7C66">
              <w:t>ffer price for Non-Spin (submitted or proxy).</w:t>
            </w:r>
          </w:p>
          <w:p w14:paraId="41C66E4F" w14:textId="77777777" w:rsidR="00BC03DD" w:rsidRDefault="00BC03DD" w:rsidP="00BC03DD">
            <w:pPr>
              <w:spacing w:after="240"/>
              <w:ind w:left="2160" w:hanging="720"/>
            </w:pPr>
            <w:r w:rsidRPr="00EE7C66">
              <w:t>(ii)</w:t>
            </w:r>
            <w:r w:rsidRPr="00EE7C66">
              <w:tab/>
              <w:t>For ECRS, the maximum of</w:t>
            </w:r>
            <w:r>
              <w:t>:</w:t>
            </w:r>
            <w:r w:rsidRPr="00EE7C66">
              <w:t xml:space="preserve"> </w:t>
            </w:r>
          </w:p>
          <w:p w14:paraId="74829F6B" w14:textId="77777777" w:rsidR="00BC03DD" w:rsidRPr="00072315" w:rsidRDefault="00BC03DD" w:rsidP="00BC03DD">
            <w:pPr>
              <w:spacing w:after="240"/>
              <w:ind w:left="2880" w:hanging="720"/>
            </w:pPr>
            <w:r w:rsidRPr="00072315">
              <w:t>(A)</w:t>
            </w:r>
            <w:r w:rsidRPr="00072315">
              <w:tab/>
              <w:t xml:space="preserve">The proxy Ancillary Service Offer price floor for ECRS; </w:t>
            </w:r>
          </w:p>
          <w:p w14:paraId="522ABA17" w14:textId="77777777" w:rsidR="00BC03DD" w:rsidRPr="00F05875" w:rsidRDefault="00BC03DD" w:rsidP="00BC03DD">
            <w:pPr>
              <w:spacing w:after="240"/>
              <w:ind w:left="2880" w:hanging="720"/>
            </w:pPr>
            <w:r w:rsidRPr="003114FC">
              <w:t>(B)</w:t>
            </w:r>
            <w:r w:rsidRPr="003114FC">
              <w:tab/>
            </w:r>
            <w:r w:rsidRPr="007F5236">
              <w:t>T</w:t>
            </w:r>
            <w:r w:rsidRPr="005560C6">
              <w:t>he Resource’s highest submitted Ancillary Service O</w:t>
            </w:r>
            <w:r w:rsidRPr="00F05875">
              <w:t>ffer price for ECRS; or</w:t>
            </w:r>
          </w:p>
          <w:p w14:paraId="4C31E5B0" w14:textId="77777777" w:rsidR="00BC03DD" w:rsidRPr="00F05875" w:rsidRDefault="00BC03DD" w:rsidP="00BC03DD">
            <w:pPr>
              <w:spacing w:after="240"/>
              <w:ind w:left="2880" w:hanging="720"/>
            </w:pPr>
            <w:r w:rsidRPr="00F05875">
              <w:t>(C)</w:t>
            </w:r>
            <w:r w:rsidRPr="00F05875">
              <w:tab/>
              <w:t>The Resource’s highest Ancillary Service Offer price for Non-Spin (submitted or proxy).</w:t>
            </w:r>
          </w:p>
          <w:p w14:paraId="314568E8" w14:textId="77777777" w:rsidR="00BC03DD" w:rsidRDefault="00BC03DD" w:rsidP="00BC03DD">
            <w:pPr>
              <w:spacing w:after="240"/>
              <w:ind w:left="2160" w:hanging="720"/>
            </w:pPr>
            <w:r w:rsidRPr="00EE7C66">
              <w:t>(iii)</w:t>
            </w:r>
            <w:r w:rsidRPr="00EE7C66">
              <w:tab/>
              <w:t>For Non-Spin, the maximum of</w:t>
            </w:r>
            <w:r>
              <w:t>:</w:t>
            </w:r>
            <w:r w:rsidRPr="00EE7C66">
              <w:t xml:space="preserve"> </w:t>
            </w:r>
          </w:p>
          <w:p w14:paraId="4ED64933" w14:textId="77777777" w:rsidR="00BC03DD" w:rsidRPr="00072315" w:rsidRDefault="00BC03DD" w:rsidP="00BC03DD">
            <w:pPr>
              <w:spacing w:after="240"/>
              <w:ind w:left="2880" w:hanging="720"/>
            </w:pPr>
            <w:r>
              <w:t>(A)</w:t>
            </w:r>
            <w:r>
              <w:tab/>
            </w:r>
            <w:r w:rsidRPr="00072315">
              <w:t>The proxy Ancillary Service Offer price floor for Non-Spin; or</w:t>
            </w:r>
          </w:p>
          <w:p w14:paraId="0DC2F6DB" w14:textId="77777777" w:rsidR="00BC03DD" w:rsidRPr="00072315" w:rsidRDefault="00BC03DD" w:rsidP="00BC03DD">
            <w:pPr>
              <w:spacing w:after="240"/>
              <w:ind w:left="2880" w:hanging="720"/>
            </w:pPr>
            <w:r>
              <w:t>(B)</w:t>
            </w:r>
            <w:r>
              <w:tab/>
            </w:r>
            <w:r w:rsidRPr="00072315">
              <w:t>The Resource’s highest submitted Ancillary Service Offer price for Non-Spin.</w:t>
            </w:r>
          </w:p>
          <w:p w14:paraId="0B84F46C" w14:textId="77777777" w:rsidR="00BC03DD" w:rsidRDefault="00BC03DD" w:rsidP="00BC03DD">
            <w:pPr>
              <w:spacing w:after="240"/>
              <w:ind w:left="2160" w:hanging="720"/>
            </w:pPr>
            <w:r w:rsidRPr="00EE7C66">
              <w:t>(iv)</w:t>
            </w:r>
            <w:r w:rsidRPr="00EE7C66">
              <w:tab/>
              <w:t>For Reg-Down, the maximum of</w:t>
            </w:r>
            <w:r>
              <w:t>:</w:t>
            </w:r>
          </w:p>
          <w:p w14:paraId="06A183F1" w14:textId="77777777" w:rsidR="00BC03DD" w:rsidRPr="00072315" w:rsidRDefault="00BC03DD" w:rsidP="00BC03DD">
            <w:pPr>
              <w:spacing w:after="240"/>
              <w:ind w:left="2880" w:hanging="720"/>
            </w:pPr>
            <w:r>
              <w:t>(A)</w:t>
            </w:r>
            <w:r>
              <w:tab/>
            </w:r>
            <w:r w:rsidRPr="00072315">
              <w:t>The proxy Ancillary Service Offer price floor for Reg-Down; or</w:t>
            </w:r>
          </w:p>
          <w:p w14:paraId="7D4F6A92" w14:textId="77777777" w:rsidR="00BC03DD" w:rsidRPr="00072315" w:rsidRDefault="00BC03DD" w:rsidP="00BC03DD">
            <w:pPr>
              <w:spacing w:after="240"/>
              <w:ind w:left="2880" w:hanging="720"/>
            </w:pPr>
            <w:r>
              <w:t>(B)</w:t>
            </w:r>
            <w:r>
              <w:tab/>
            </w:r>
            <w:r w:rsidRPr="00072315">
              <w:t>The Resource’s highest submitted Ancillary Service Offer price for Reg-Down.</w:t>
            </w:r>
          </w:p>
          <w:p w14:paraId="6AB861D1" w14:textId="77777777" w:rsidR="00BC03DD" w:rsidRDefault="00BC03DD" w:rsidP="00BC03DD">
            <w:pPr>
              <w:spacing w:after="240"/>
              <w:ind w:left="1440" w:hanging="720"/>
            </w:pPr>
            <w:r>
              <w:t>(c)</w:t>
            </w:r>
            <w:r>
              <w:tab/>
              <w:t xml:space="preserve">ERCOT systems shall be designed to allow for proxy Ancillary Service Offer price floors to differ when the same Ancillary Service product can be provided by either On-Line or Off-Line Resources, and/or an Ancillary Service product has sub-types.  </w:t>
            </w:r>
          </w:p>
          <w:p w14:paraId="3E8D75A7" w14:textId="77777777" w:rsidR="00BC03DD" w:rsidRDefault="00BC03DD" w:rsidP="00BC03DD">
            <w:pPr>
              <w:spacing w:after="240"/>
              <w:ind w:left="1440" w:hanging="720"/>
            </w:pPr>
            <w:r>
              <w:lastRenderedPageBreak/>
              <w:t>(d)</w:t>
            </w:r>
            <w:r>
              <w:tab/>
              <w:t>Proxy Ancillary Service Offer price floors shall be approved by TAC and posted on the ERCOT website</w:t>
            </w:r>
            <w:r w:rsidRPr="008E37B2">
              <w:t>.</w:t>
            </w:r>
          </w:p>
          <w:p w14:paraId="53E762A1" w14:textId="77777777" w:rsidR="00BC03DD" w:rsidRDefault="00BC03DD" w:rsidP="00BC03DD">
            <w:pPr>
              <w:spacing w:after="240"/>
              <w:ind w:left="1440" w:hanging="720"/>
            </w:pPr>
            <w:r>
              <w:t>(e)</w:t>
            </w:r>
            <w:r>
              <w:tab/>
              <w:t>For RUC-committed Resources:</w:t>
            </w:r>
          </w:p>
          <w:p w14:paraId="6EBFA7F5" w14:textId="643E5592" w:rsidR="00BC03DD" w:rsidRDefault="00BC03DD" w:rsidP="00BC03DD">
            <w:pPr>
              <w:spacing w:after="240"/>
              <w:ind w:left="2160" w:hanging="720"/>
            </w:pPr>
            <w:r>
              <w:t>(i)</w:t>
            </w:r>
            <w:r>
              <w:tab/>
              <w:t>If a RUC-committed Resource does not have an Ancillary Service Offer for an Ancillary Service product that the Resource is qualified to provide, ERCOT shall create an Ancillary Service Offer for that Ancillary Service product at a value of $</w:t>
            </w:r>
            <w:r w:rsidR="00090A9F">
              <w:t>250</w:t>
            </w:r>
            <w:r>
              <w:t xml:space="preserve">/MWh for the </w:t>
            </w:r>
            <w:r w:rsidRPr="009C1575">
              <w:t>full operating range</w:t>
            </w:r>
            <w:r>
              <w:t xml:space="preserve"> of the Resource up to its telemetered HSL.</w:t>
            </w:r>
          </w:p>
          <w:p w14:paraId="499B4A4E" w14:textId="77777777" w:rsidR="00BC03DD" w:rsidRDefault="00BC03DD" w:rsidP="00BC03DD">
            <w:pPr>
              <w:spacing w:after="240"/>
              <w:ind w:left="2160" w:hanging="720"/>
            </w:pPr>
            <w:r>
              <w:t>(ii)</w:t>
            </w:r>
            <w:r>
              <w:tab/>
              <w:t xml:space="preserve">For each Ancillary Service product for which a RUC-committed Resource has an Ancillary Service Offer, the Ancillary Service Offer used by SCED for that Ancillary Service product </w:t>
            </w:r>
            <w:r w:rsidRPr="009C1575">
              <w:t>across the full operating range</w:t>
            </w:r>
            <w:r>
              <w:t xml:space="preserve"> of the Resource</w:t>
            </w:r>
            <w:r w:rsidDel="00CE2E44">
              <w:t xml:space="preserve"> </w:t>
            </w:r>
            <w:r>
              <w:t xml:space="preserve">up to its telemetered HSL shall be the maximum of: </w:t>
            </w:r>
          </w:p>
          <w:p w14:paraId="657E662E" w14:textId="77777777" w:rsidR="00BC03DD" w:rsidRPr="00072315" w:rsidRDefault="00BC03DD" w:rsidP="00BC03DD">
            <w:pPr>
              <w:spacing w:after="240"/>
              <w:ind w:left="2880" w:hanging="720"/>
            </w:pPr>
            <w:r>
              <w:t>(A)</w:t>
            </w:r>
            <w:r>
              <w:tab/>
            </w:r>
            <w:r w:rsidRPr="00072315">
              <w:t xml:space="preserve">The Resource’s highest submitted Ancillary Service Offer price; or </w:t>
            </w:r>
          </w:p>
          <w:p w14:paraId="3D22D65E" w14:textId="4665A385" w:rsidR="00BC03DD" w:rsidRPr="00072315" w:rsidRDefault="00BC03DD" w:rsidP="00BC03DD">
            <w:pPr>
              <w:spacing w:after="240"/>
              <w:ind w:left="2880" w:hanging="720"/>
            </w:pPr>
            <w:r>
              <w:t>(B)</w:t>
            </w:r>
            <w:r>
              <w:tab/>
            </w:r>
            <w:r w:rsidRPr="00072315">
              <w:t>$</w:t>
            </w:r>
            <w:r w:rsidR="00090A9F">
              <w:t>250</w:t>
            </w:r>
            <w:r w:rsidRPr="00072315">
              <w:t>/MWh.</w:t>
            </w:r>
          </w:p>
          <w:p w14:paraId="0F511337" w14:textId="77777777" w:rsidR="004C32A5" w:rsidRPr="00A552C3" w:rsidRDefault="004C32A5" w:rsidP="004C32A5">
            <w:pPr>
              <w:spacing w:before="240" w:after="240"/>
              <w:ind w:left="720" w:hanging="720"/>
            </w:pPr>
            <w:r w:rsidRPr="00A552C3">
              <w:t>(6)</w:t>
            </w:r>
            <w:r w:rsidRPr="00A552C3">
              <w:tab/>
              <w:t xml:space="preserve">For use as SCED inputs for determining energy Dispatch and Ancillary Service awards, ERCOT shall use the available capacity of all On-Line ESRs by creating proxy Energy Bid/Offer Curves for certain Resources as follows: </w:t>
            </w:r>
          </w:p>
          <w:p w14:paraId="345AE558" w14:textId="77777777" w:rsidR="004C32A5" w:rsidRPr="00A552C3" w:rsidRDefault="004C32A5" w:rsidP="004C32A5">
            <w:pPr>
              <w:spacing w:before="240" w:after="240"/>
              <w:ind w:left="1440" w:hanging="720"/>
            </w:pPr>
            <w:r w:rsidRPr="00A552C3">
              <w:t>(a)</w:t>
            </w:r>
            <w:r w:rsidRPr="00A552C3">
              <w:tab/>
              <w:t>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Energy Bid/Offer Curve to LSL, using these prices for the corresponding MW segments: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2619"/>
              <w:gridCol w:w="2620"/>
            </w:tblGrid>
            <w:tr w:rsidR="004C32A5" w:rsidRPr="00A552C3" w14:paraId="20C6CCB0"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1E1D3BEF" w14:textId="77777777" w:rsidR="004C32A5" w:rsidRPr="00A552C3" w:rsidRDefault="004C32A5" w:rsidP="004C32A5">
                  <w:pPr>
                    <w:spacing w:after="120"/>
                    <w:rPr>
                      <w:b/>
                      <w:iCs/>
                      <w:sz w:val="20"/>
                    </w:rPr>
                  </w:pPr>
                  <w:r w:rsidRPr="00A552C3">
                    <w:rPr>
                      <w:b/>
                      <w:iCs/>
                      <w:sz w:val="20"/>
                    </w:rPr>
                    <w:t>Scenario</w:t>
                  </w:r>
                </w:p>
              </w:tc>
              <w:tc>
                <w:tcPr>
                  <w:tcW w:w="2619" w:type="dxa"/>
                  <w:tcBorders>
                    <w:top w:val="single" w:sz="4" w:space="0" w:color="auto"/>
                    <w:left w:val="single" w:sz="4" w:space="0" w:color="auto"/>
                    <w:bottom w:val="single" w:sz="4" w:space="0" w:color="auto"/>
                    <w:right w:val="single" w:sz="4" w:space="0" w:color="auto"/>
                  </w:tcBorders>
                  <w:hideMark/>
                </w:tcPr>
                <w:p w14:paraId="629106EE" w14:textId="77777777" w:rsidR="004C32A5" w:rsidRPr="00A552C3" w:rsidRDefault="004C32A5" w:rsidP="004C32A5">
                  <w:pPr>
                    <w:spacing w:after="120"/>
                    <w:rPr>
                      <w:b/>
                      <w:iCs/>
                      <w:sz w:val="20"/>
                    </w:rPr>
                  </w:pPr>
                  <w:r w:rsidRPr="00A552C3">
                    <w:rPr>
                      <w:b/>
                      <w:iCs/>
                      <w:sz w:val="20"/>
                    </w:rPr>
                    <w:t>MW Segment</w:t>
                  </w:r>
                </w:p>
              </w:tc>
              <w:tc>
                <w:tcPr>
                  <w:tcW w:w="2620" w:type="dxa"/>
                  <w:tcBorders>
                    <w:top w:val="single" w:sz="4" w:space="0" w:color="auto"/>
                    <w:left w:val="single" w:sz="4" w:space="0" w:color="auto"/>
                    <w:bottom w:val="single" w:sz="4" w:space="0" w:color="auto"/>
                    <w:right w:val="single" w:sz="4" w:space="0" w:color="auto"/>
                  </w:tcBorders>
                  <w:hideMark/>
                </w:tcPr>
                <w:p w14:paraId="70C3C0C2" w14:textId="77777777" w:rsidR="004C32A5" w:rsidRPr="00A552C3" w:rsidRDefault="004C32A5" w:rsidP="004C32A5">
                  <w:pPr>
                    <w:spacing w:after="120"/>
                    <w:rPr>
                      <w:b/>
                      <w:iCs/>
                      <w:sz w:val="20"/>
                    </w:rPr>
                  </w:pPr>
                  <w:r w:rsidRPr="00A552C3">
                    <w:rPr>
                      <w:b/>
                      <w:iCs/>
                      <w:sz w:val="20"/>
                    </w:rPr>
                    <w:t>Price (per MWh)</w:t>
                  </w:r>
                </w:p>
              </w:tc>
            </w:tr>
            <w:tr w:rsidR="004C32A5" w:rsidRPr="00A552C3" w14:paraId="2730A6A3"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05A7394F" w14:textId="77777777" w:rsidR="004C32A5" w:rsidRPr="00A552C3" w:rsidRDefault="004C32A5" w:rsidP="004C32A5">
                  <w:pPr>
                    <w:spacing w:after="60"/>
                    <w:rPr>
                      <w:iCs/>
                      <w:sz w:val="20"/>
                    </w:rPr>
                  </w:pPr>
                  <w:r w:rsidRPr="00A552C3">
                    <w:rPr>
                      <w:iCs/>
                      <w:sz w:val="20"/>
                    </w:rPr>
                    <w:t xml:space="preserve">HSL MW and the highest MW point on the Energy Bid/Offer are both greater than or equal to zero, </w:t>
                  </w:r>
                </w:p>
                <w:p w14:paraId="7B4E361B" w14:textId="77777777" w:rsidR="004C32A5" w:rsidRPr="00A552C3" w:rsidRDefault="004C32A5" w:rsidP="004C32A5">
                  <w:pPr>
                    <w:spacing w:after="60"/>
                    <w:rPr>
                      <w:iCs/>
                      <w:sz w:val="20"/>
                    </w:rPr>
                  </w:pPr>
                  <w:r w:rsidRPr="00A552C3">
                    <w:rPr>
                      <w:iCs/>
                      <w:sz w:val="20"/>
                    </w:rPr>
                    <w:t>and,</w:t>
                  </w:r>
                </w:p>
                <w:p w14:paraId="027EA2AC" w14:textId="77777777" w:rsidR="004C32A5" w:rsidRPr="00A552C3" w:rsidRDefault="004C32A5" w:rsidP="004C32A5">
                  <w:pPr>
                    <w:spacing w:after="60"/>
                    <w:rPr>
                      <w:iCs/>
                      <w:sz w:val="20"/>
                    </w:rPr>
                  </w:pPr>
                  <w:r w:rsidRPr="00A552C3">
                    <w:rPr>
                      <w:iCs/>
                      <w:sz w:val="20"/>
                    </w:rPr>
                    <w:t>HSL is greater than the highest MW in submitted Energy Bid/Offer Curve</w:t>
                  </w:r>
                </w:p>
                <w:p w14:paraId="4F335383"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F1796D0"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4701B2AE" w14:textId="77777777" w:rsidR="004C32A5" w:rsidRPr="00A552C3" w:rsidRDefault="004C32A5" w:rsidP="004C32A5">
                  <w:pPr>
                    <w:spacing w:after="60"/>
                    <w:rPr>
                      <w:iCs/>
                      <w:sz w:val="20"/>
                    </w:rPr>
                  </w:pPr>
                  <w:r w:rsidRPr="00A552C3">
                    <w:rPr>
                      <w:iCs/>
                      <w:sz w:val="20"/>
                    </w:rPr>
                    <w:t xml:space="preserve">RTSWCAP </w:t>
                  </w:r>
                </w:p>
              </w:tc>
            </w:tr>
            <w:tr w:rsidR="004C32A5" w:rsidRPr="00A552C3" w14:paraId="27C6147B" w14:textId="77777777" w:rsidTr="00477F93">
              <w:trPr>
                <w:trHeight w:val="387"/>
                <w:jc w:val="center"/>
              </w:trPr>
              <w:tc>
                <w:tcPr>
                  <w:tcW w:w="3871" w:type="dxa"/>
                  <w:tcBorders>
                    <w:top w:val="single" w:sz="4" w:space="0" w:color="auto"/>
                    <w:left w:val="single" w:sz="4" w:space="0" w:color="auto"/>
                    <w:bottom w:val="single" w:sz="4" w:space="0" w:color="auto"/>
                    <w:right w:val="single" w:sz="4" w:space="0" w:color="auto"/>
                  </w:tcBorders>
                </w:tcPr>
                <w:p w14:paraId="1075847F" w14:textId="77777777" w:rsidR="004C32A5" w:rsidRPr="00A552C3" w:rsidRDefault="004C32A5" w:rsidP="004C32A5">
                  <w:pPr>
                    <w:spacing w:after="60"/>
                    <w:rPr>
                      <w:iCs/>
                      <w:sz w:val="20"/>
                    </w:rPr>
                  </w:pPr>
                  <w:r w:rsidRPr="00A552C3">
                    <w:rPr>
                      <w:iCs/>
                      <w:sz w:val="20"/>
                    </w:rPr>
                    <w:t xml:space="preserve">HSL MW is greater than or equal to zero, </w:t>
                  </w:r>
                </w:p>
                <w:p w14:paraId="0768C858" w14:textId="77777777" w:rsidR="004C32A5" w:rsidRPr="00A552C3" w:rsidRDefault="004C32A5" w:rsidP="004C32A5">
                  <w:pPr>
                    <w:spacing w:after="60"/>
                    <w:rPr>
                      <w:iCs/>
                      <w:sz w:val="20"/>
                    </w:rPr>
                  </w:pPr>
                  <w:r w:rsidRPr="00A552C3">
                    <w:rPr>
                      <w:iCs/>
                      <w:sz w:val="20"/>
                    </w:rPr>
                    <w:t>and,</w:t>
                  </w:r>
                </w:p>
                <w:p w14:paraId="59DA8107" w14:textId="77777777" w:rsidR="004C32A5" w:rsidRPr="00A552C3" w:rsidRDefault="004C32A5" w:rsidP="004C32A5">
                  <w:pPr>
                    <w:spacing w:after="60"/>
                    <w:rPr>
                      <w:iCs/>
                      <w:sz w:val="20"/>
                    </w:rPr>
                  </w:pPr>
                  <w:r w:rsidRPr="00A552C3">
                    <w:rPr>
                      <w:iCs/>
                      <w:sz w:val="20"/>
                    </w:rPr>
                    <w:t>the highest MW point on the Energy Bid/Offer is less than zero</w:t>
                  </w:r>
                </w:p>
                <w:p w14:paraId="2E94D810"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AF3FA0" w14:textId="77777777" w:rsidR="004C32A5" w:rsidRDefault="004C32A5" w:rsidP="004C32A5">
                  <w:pPr>
                    <w:spacing w:after="60"/>
                    <w:rPr>
                      <w:iCs/>
                      <w:sz w:val="20"/>
                    </w:rPr>
                  </w:pPr>
                  <w:r w:rsidRPr="00A552C3">
                    <w:rPr>
                      <w:iCs/>
                      <w:sz w:val="20"/>
                    </w:rPr>
                    <w:t>From highest MW point on submitted Energy Bid/Offer Curve to 0 MW</w:t>
                  </w:r>
                </w:p>
                <w:p w14:paraId="0928B133" w14:textId="77777777" w:rsidR="00477F93" w:rsidRDefault="00477F93" w:rsidP="004C32A5">
                  <w:pPr>
                    <w:spacing w:after="60"/>
                    <w:rPr>
                      <w:iCs/>
                      <w:sz w:val="20"/>
                    </w:rPr>
                  </w:pPr>
                </w:p>
                <w:p w14:paraId="1F31B495" w14:textId="79229D5B" w:rsidR="00477F93" w:rsidRPr="00A552C3" w:rsidRDefault="00477F93" w:rsidP="004C32A5">
                  <w:pPr>
                    <w:spacing w:after="60"/>
                    <w:rPr>
                      <w:iCs/>
                      <w:sz w:val="20"/>
                    </w:rPr>
                  </w:pPr>
                  <w:r w:rsidRPr="00A552C3">
                    <w:rPr>
                      <w:iCs/>
                      <w:sz w:val="20"/>
                    </w:rPr>
                    <w:t>From 0 MW to HSL</w:t>
                  </w:r>
                </w:p>
              </w:tc>
              <w:tc>
                <w:tcPr>
                  <w:tcW w:w="2620" w:type="dxa"/>
                  <w:tcBorders>
                    <w:top w:val="single" w:sz="4" w:space="0" w:color="auto"/>
                    <w:left w:val="single" w:sz="4" w:space="0" w:color="auto"/>
                    <w:bottom w:val="single" w:sz="4" w:space="0" w:color="auto"/>
                    <w:right w:val="single" w:sz="4" w:space="0" w:color="auto"/>
                  </w:tcBorders>
                  <w:hideMark/>
                </w:tcPr>
                <w:p w14:paraId="002E47F1" w14:textId="77777777" w:rsidR="004C32A5" w:rsidRDefault="004C32A5" w:rsidP="004C32A5">
                  <w:pPr>
                    <w:spacing w:after="60"/>
                    <w:rPr>
                      <w:iCs/>
                      <w:sz w:val="20"/>
                    </w:rPr>
                  </w:pPr>
                  <w:r w:rsidRPr="00A552C3">
                    <w:rPr>
                      <w:iCs/>
                      <w:sz w:val="20"/>
                    </w:rPr>
                    <w:t>Price associated with the highest MW in submitted Energy Bid/Offer Curve</w:t>
                  </w:r>
                </w:p>
                <w:p w14:paraId="0A8A9BE1" w14:textId="77777777" w:rsidR="00477F93" w:rsidRDefault="00477F93" w:rsidP="004C32A5">
                  <w:pPr>
                    <w:spacing w:after="60"/>
                    <w:rPr>
                      <w:iCs/>
                      <w:sz w:val="20"/>
                    </w:rPr>
                  </w:pPr>
                </w:p>
                <w:p w14:paraId="50E978A4" w14:textId="028ACA7B" w:rsidR="00477F93" w:rsidRPr="00A552C3" w:rsidRDefault="00477F93" w:rsidP="004C32A5">
                  <w:pPr>
                    <w:spacing w:after="60"/>
                    <w:rPr>
                      <w:iCs/>
                      <w:sz w:val="20"/>
                    </w:rPr>
                  </w:pPr>
                  <w:r w:rsidRPr="00A552C3">
                    <w:rPr>
                      <w:iCs/>
                      <w:sz w:val="20"/>
                    </w:rPr>
                    <w:t>RTSWCAP</w:t>
                  </w:r>
                </w:p>
              </w:tc>
            </w:tr>
            <w:tr w:rsidR="004C32A5" w:rsidRPr="00A552C3" w14:paraId="15B73F44"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2A3DC8E9" w14:textId="77777777" w:rsidR="004C32A5" w:rsidRPr="00A552C3" w:rsidRDefault="004C32A5" w:rsidP="004C32A5">
                  <w:pPr>
                    <w:spacing w:after="60"/>
                    <w:rPr>
                      <w:iCs/>
                      <w:sz w:val="20"/>
                    </w:rPr>
                  </w:pPr>
                  <w:r w:rsidRPr="00A552C3">
                    <w:rPr>
                      <w:iCs/>
                      <w:sz w:val="20"/>
                    </w:rPr>
                    <w:lastRenderedPageBreak/>
                    <w:t>HSL is less than zero and is also greater than the highest MW in submitted Energy Bid/Offer Curve</w:t>
                  </w:r>
                </w:p>
              </w:tc>
              <w:tc>
                <w:tcPr>
                  <w:tcW w:w="2619" w:type="dxa"/>
                  <w:tcBorders>
                    <w:top w:val="single" w:sz="4" w:space="0" w:color="auto"/>
                    <w:left w:val="single" w:sz="4" w:space="0" w:color="auto"/>
                    <w:bottom w:val="single" w:sz="4" w:space="0" w:color="auto"/>
                    <w:right w:val="single" w:sz="4" w:space="0" w:color="auto"/>
                  </w:tcBorders>
                  <w:hideMark/>
                </w:tcPr>
                <w:p w14:paraId="1F51690A"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113768AC" w14:textId="77777777" w:rsidR="004C32A5" w:rsidRPr="00A552C3" w:rsidRDefault="004C32A5" w:rsidP="004C32A5">
                  <w:pPr>
                    <w:spacing w:after="60"/>
                    <w:rPr>
                      <w:iCs/>
                      <w:sz w:val="20"/>
                    </w:rPr>
                  </w:pPr>
                  <w:r w:rsidRPr="00A552C3">
                    <w:rPr>
                      <w:iCs/>
                      <w:sz w:val="20"/>
                    </w:rPr>
                    <w:t>Price associated with the highest MW in submitted Energy Bid/Offer Curve</w:t>
                  </w:r>
                </w:p>
              </w:tc>
            </w:tr>
            <w:tr w:rsidR="004C32A5" w:rsidRPr="00A552C3" w14:paraId="719CD93F"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3202D0B2" w14:textId="77777777" w:rsidR="004C32A5" w:rsidRPr="00A552C3" w:rsidRDefault="004C32A5" w:rsidP="004C32A5">
                  <w:pPr>
                    <w:spacing w:after="60"/>
                    <w:rPr>
                      <w:iCs/>
                      <w:sz w:val="20"/>
                    </w:rPr>
                  </w:pPr>
                  <w:r w:rsidRPr="00A552C3">
                    <w:rPr>
                      <w:iCs/>
                      <w:sz w:val="20"/>
                    </w:rPr>
                    <w:t>Energy Bid/Offer Curve</w:t>
                  </w:r>
                </w:p>
              </w:tc>
              <w:tc>
                <w:tcPr>
                  <w:tcW w:w="2619" w:type="dxa"/>
                  <w:tcBorders>
                    <w:top w:val="single" w:sz="4" w:space="0" w:color="auto"/>
                    <w:left w:val="single" w:sz="4" w:space="0" w:color="auto"/>
                    <w:bottom w:val="single" w:sz="4" w:space="0" w:color="auto"/>
                    <w:right w:val="single" w:sz="4" w:space="0" w:color="auto"/>
                  </w:tcBorders>
                </w:tcPr>
                <w:p w14:paraId="310D10F6" w14:textId="77777777" w:rsidR="004C32A5" w:rsidRPr="00A552C3" w:rsidRDefault="004C32A5" w:rsidP="004C32A5">
                  <w:pPr>
                    <w:spacing w:after="60"/>
                    <w:rPr>
                      <w:iCs/>
                      <w:sz w:val="20"/>
                    </w:rPr>
                  </w:pPr>
                </w:p>
              </w:tc>
              <w:tc>
                <w:tcPr>
                  <w:tcW w:w="2620" w:type="dxa"/>
                  <w:tcBorders>
                    <w:top w:val="single" w:sz="4" w:space="0" w:color="auto"/>
                    <w:left w:val="single" w:sz="4" w:space="0" w:color="auto"/>
                    <w:bottom w:val="single" w:sz="4" w:space="0" w:color="auto"/>
                    <w:right w:val="single" w:sz="4" w:space="0" w:color="auto"/>
                  </w:tcBorders>
                  <w:hideMark/>
                </w:tcPr>
                <w:p w14:paraId="5D506E1B" w14:textId="77777777" w:rsidR="004C32A5" w:rsidRPr="00A552C3" w:rsidRDefault="004C32A5" w:rsidP="004C32A5">
                  <w:pPr>
                    <w:spacing w:after="60"/>
                    <w:rPr>
                      <w:iCs/>
                      <w:sz w:val="20"/>
                    </w:rPr>
                  </w:pPr>
                  <w:r w:rsidRPr="00A552C3">
                    <w:rPr>
                      <w:iCs/>
                      <w:sz w:val="20"/>
                    </w:rPr>
                    <w:t>Energy Bid/Offer Curve</w:t>
                  </w:r>
                </w:p>
              </w:tc>
            </w:tr>
            <w:tr w:rsidR="004C32A5" w:rsidRPr="00A552C3" w14:paraId="2EDFCC98"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2947451E" w14:textId="77777777" w:rsidR="004C32A5" w:rsidRPr="00A552C3" w:rsidRDefault="004C32A5" w:rsidP="004C32A5">
                  <w:pPr>
                    <w:spacing w:after="60"/>
                    <w:rPr>
                      <w:iCs/>
                      <w:sz w:val="20"/>
                    </w:rPr>
                  </w:pPr>
                  <w:r w:rsidRPr="00A552C3">
                    <w:rPr>
                      <w:iCs/>
                      <w:sz w:val="20"/>
                    </w:rPr>
                    <w:t xml:space="preserve">LSL MW and the lowest MW point on the Energy Bid/Offer Curve are both greater than or equal to zero, </w:t>
                  </w:r>
                </w:p>
                <w:p w14:paraId="2E3353DC" w14:textId="77777777" w:rsidR="004C32A5" w:rsidRPr="00A552C3" w:rsidRDefault="004C32A5" w:rsidP="004C32A5">
                  <w:pPr>
                    <w:spacing w:after="60"/>
                    <w:rPr>
                      <w:iCs/>
                      <w:sz w:val="20"/>
                    </w:rPr>
                  </w:pPr>
                  <w:r w:rsidRPr="00A552C3">
                    <w:rPr>
                      <w:iCs/>
                      <w:sz w:val="20"/>
                    </w:rPr>
                    <w:t>and,</w:t>
                  </w:r>
                </w:p>
                <w:p w14:paraId="0224EF19" w14:textId="77777777" w:rsidR="004C32A5" w:rsidRPr="00A552C3" w:rsidRDefault="004C32A5" w:rsidP="004C32A5">
                  <w:pPr>
                    <w:spacing w:after="60"/>
                    <w:rPr>
                      <w:iCs/>
                      <w:sz w:val="20"/>
                    </w:rPr>
                  </w:pPr>
                  <w:r w:rsidRPr="00A552C3">
                    <w:rPr>
                      <w:iCs/>
                      <w:sz w:val="20"/>
                    </w:rPr>
                    <w:t>LSL is less than the lowest MW in submitted Energy Bid/Offer Curve</w:t>
                  </w:r>
                </w:p>
                <w:p w14:paraId="5DF55331"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85791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46831C41" w14:textId="77777777" w:rsidR="004C32A5" w:rsidRPr="00A552C3" w:rsidRDefault="004C32A5" w:rsidP="004C32A5">
                  <w:pPr>
                    <w:spacing w:after="60"/>
                    <w:rPr>
                      <w:iCs/>
                      <w:sz w:val="20"/>
                    </w:rPr>
                  </w:pPr>
                  <w:r w:rsidRPr="00A552C3">
                    <w:rPr>
                      <w:iCs/>
                      <w:sz w:val="20"/>
                    </w:rPr>
                    <w:t>Price associated with the lowest MW in submitted Energy Bid/Offer Curve</w:t>
                  </w:r>
                </w:p>
              </w:tc>
            </w:tr>
            <w:tr w:rsidR="004C32A5" w:rsidRPr="00A552C3" w14:paraId="0E2FC534" w14:textId="77777777" w:rsidTr="00477F93">
              <w:trPr>
                <w:trHeight w:val="304"/>
                <w:jc w:val="center"/>
              </w:trPr>
              <w:tc>
                <w:tcPr>
                  <w:tcW w:w="3871" w:type="dxa"/>
                  <w:tcBorders>
                    <w:top w:val="single" w:sz="4" w:space="0" w:color="auto"/>
                    <w:left w:val="single" w:sz="4" w:space="0" w:color="auto"/>
                    <w:bottom w:val="single" w:sz="4" w:space="0" w:color="auto"/>
                    <w:right w:val="single" w:sz="4" w:space="0" w:color="auto"/>
                  </w:tcBorders>
                  <w:hideMark/>
                </w:tcPr>
                <w:p w14:paraId="5AB8BB09" w14:textId="77777777" w:rsidR="004C32A5" w:rsidRPr="00A552C3" w:rsidRDefault="004C32A5" w:rsidP="004C32A5">
                  <w:pPr>
                    <w:spacing w:after="60"/>
                    <w:rPr>
                      <w:iCs/>
                      <w:sz w:val="20"/>
                    </w:rPr>
                  </w:pPr>
                  <w:r w:rsidRPr="00A552C3">
                    <w:rPr>
                      <w:iCs/>
                      <w:sz w:val="20"/>
                    </w:rPr>
                    <w:t>LSL MW is less than zero,</w:t>
                  </w:r>
                </w:p>
                <w:p w14:paraId="7BEC1D9C" w14:textId="77777777" w:rsidR="004C32A5" w:rsidRPr="00A552C3" w:rsidRDefault="004C32A5" w:rsidP="004C32A5">
                  <w:pPr>
                    <w:spacing w:after="60"/>
                    <w:rPr>
                      <w:iCs/>
                      <w:sz w:val="20"/>
                    </w:rPr>
                  </w:pPr>
                  <w:r w:rsidRPr="00A552C3">
                    <w:rPr>
                      <w:iCs/>
                      <w:sz w:val="20"/>
                    </w:rPr>
                    <w:t>and,</w:t>
                  </w:r>
                </w:p>
                <w:p w14:paraId="2C38E59B" w14:textId="77777777" w:rsidR="004C32A5" w:rsidRPr="00A552C3" w:rsidRDefault="004C32A5" w:rsidP="004C32A5">
                  <w:pPr>
                    <w:spacing w:after="60"/>
                    <w:rPr>
                      <w:iCs/>
                      <w:sz w:val="20"/>
                    </w:rPr>
                  </w:pPr>
                  <w:r w:rsidRPr="00A552C3">
                    <w:rPr>
                      <w:iCs/>
                      <w:sz w:val="20"/>
                    </w:rPr>
                    <w:t>the lowest MW point on the Energy Bid/Offer Curve is greater than zero</w:t>
                  </w:r>
                </w:p>
              </w:tc>
              <w:tc>
                <w:tcPr>
                  <w:tcW w:w="2619" w:type="dxa"/>
                  <w:tcBorders>
                    <w:top w:val="single" w:sz="4" w:space="0" w:color="auto"/>
                    <w:left w:val="single" w:sz="4" w:space="0" w:color="auto"/>
                    <w:bottom w:val="single" w:sz="4" w:space="0" w:color="auto"/>
                    <w:right w:val="single" w:sz="4" w:space="0" w:color="auto"/>
                  </w:tcBorders>
                  <w:hideMark/>
                </w:tcPr>
                <w:p w14:paraId="46698775" w14:textId="77777777" w:rsidR="004C32A5" w:rsidRDefault="004C32A5" w:rsidP="004C32A5">
                  <w:pPr>
                    <w:spacing w:after="60"/>
                    <w:rPr>
                      <w:iCs/>
                      <w:sz w:val="20"/>
                    </w:rPr>
                  </w:pPr>
                  <w:r w:rsidRPr="00A552C3">
                    <w:rPr>
                      <w:iCs/>
                      <w:sz w:val="20"/>
                    </w:rPr>
                    <w:t>From LSL to 0 MW</w:t>
                  </w:r>
                </w:p>
                <w:p w14:paraId="597E76DC" w14:textId="77777777" w:rsidR="00477F93" w:rsidRDefault="00477F93" w:rsidP="004C32A5">
                  <w:pPr>
                    <w:spacing w:after="60"/>
                    <w:rPr>
                      <w:iCs/>
                      <w:sz w:val="20"/>
                    </w:rPr>
                  </w:pPr>
                </w:p>
                <w:p w14:paraId="1DCD2F92" w14:textId="63A2AA37" w:rsidR="00477F93" w:rsidRPr="00A552C3" w:rsidRDefault="00477F93" w:rsidP="004C32A5">
                  <w:pPr>
                    <w:spacing w:after="60"/>
                    <w:rPr>
                      <w:iCs/>
                      <w:sz w:val="20"/>
                    </w:rPr>
                  </w:pPr>
                  <w:r w:rsidRPr="00A552C3">
                    <w:rPr>
                      <w:iCs/>
                      <w:sz w:val="20"/>
                    </w:rPr>
                    <w:t>From 0 MW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6F54D37A" w14:textId="77777777" w:rsidR="004C32A5" w:rsidRDefault="004C32A5" w:rsidP="004C32A5">
                  <w:pPr>
                    <w:spacing w:after="60"/>
                    <w:rPr>
                      <w:iCs/>
                      <w:sz w:val="20"/>
                    </w:rPr>
                  </w:pPr>
                  <w:r w:rsidRPr="00A552C3">
                    <w:rPr>
                      <w:iCs/>
                      <w:sz w:val="20"/>
                    </w:rPr>
                    <w:t>-$250.00</w:t>
                  </w:r>
                </w:p>
                <w:p w14:paraId="2441E077" w14:textId="77777777" w:rsidR="00477F93" w:rsidRDefault="00477F93" w:rsidP="004C32A5">
                  <w:pPr>
                    <w:spacing w:after="60"/>
                    <w:rPr>
                      <w:iCs/>
                      <w:sz w:val="20"/>
                    </w:rPr>
                  </w:pPr>
                </w:p>
                <w:p w14:paraId="63A6B9B8" w14:textId="0E4CF380" w:rsidR="00477F93" w:rsidRPr="00A552C3" w:rsidRDefault="00477F93" w:rsidP="004C32A5">
                  <w:pPr>
                    <w:spacing w:after="60"/>
                    <w:rPr>
                      <w:iCs/>
                      <w:sz w:val="20"/>
                    </w:rPr>
                  </w:pPr>
                  <w:r w:rsidRPr="00A552C3">
                    <w:rPr>
                      <w:iCs/>
                      <w:sz w:val="20"/>
                    </w:rPr>
                    <w:t>Price associated with the lowest MW in submitted Energy Bid/Offer Curve</w:t>
                  </w:r>
                </w:p>
              </w:tc>
            </w:tr>
            <w:tr w:rsidR="004C32A5" w:rsidRPr="00A552C3" w14:paraId="332F4F1B"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5B7B09AB" w14:textId="77777777" w:rsidR="004C32A5" w:rsidRPr="00A552C3" w:rsidRDefault="004C32A5" w:rsidP="004C32A5">
                  <w:pPr>
                    <w:spacing w:after="60"/>
                    <w:rPr>
                      <w:iCs/>
                      <w:sz w:val="20"/>
                    </w:rPr>
                  </w:pPr>
                  <w:r w:rsidRPr="00A552C3">
                    <w:rPr>
                      <w:iCs/>
                      <w:sz w:val="20"/>
                    </w:rPr>
                    <w:t>LSL and the lowest MW point on the Energy Bid/Offer Curve are both less than or equal to zero,</w:t>
                  </w:r>
                </w:p>
                <w:p w14:paraId="1A2ECB8D" w14:textId="77777777" w:rsidR="004C32A5" w:rsidRPr="00A552C3" w:rsidRDefault="004C32A5" w:rsidP="004C32A5">
                  <w:pPr>
                    <w:spacing w:after="60"/>
                    <w:rPr>
                      <w:iCs/>
                      <w:sz w:val="20"/>
                    </w:rPr>
                  </w:pPr>
                  <w:r w:rsidRPr="00A552C3">
                    <w:rPr>
                      <w:iCs/>
                      <w:sz w:val="20"/>
                    </w:rPr>
                    <w:t>and,</w:t>
                  </w:r>
                </w:p>
                <w:p w14:paraId="10439F51" w14:textId="77777777" w:rsidR="004C32A5" w:rsidRPr="00A552C3" w:rsidRDefault="004C32A5" w:rsidP="004C32A5">
                  <w:pPr>
                    <w:spacing w:after="60"/>
                    <w:rPr>
                      <w:iCs/>
                      <w:sz w:val="20"/>
                    </w:rPr>
                  </w:pPr>
                  <w:r w:rsidRPr="00A552C3">
                    <w:rPr>
                      <w:iCs/>
                      <w:sz w:val="20"/>
                    </w:rPr>
                    <w:t>LSL is less than the lowest MW point on the Energy Bid/Offer Curve</w:t>
                  </w:r>
                </w:p>
                <w:p w14:paraId="0D4397A8"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51DC87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12A08587" w14:textId="77777777" w:rsidR="004C32A5" w:rsidRPr="00A552C3" w:rsidRDefault="004C32A5" w:rsidP="004C32A5">
                  <w:pPr>
                    <w:spacing w:after="60"/>
                    <w:rPr>
                      <w:iCs/>
                      <w:sz w:val="20"/>
                    </w:rPr>
                  </w:pPr>
                  <w:r w:rsidRPr="00A552C3">
                    <w:rPr>
                      <w:iCs/>
                      <w:sz w:val="20"/>
                    </w:rPr>
                    <w:t>-$250.00</w:t>
                  </w:r>
                </w:p>
              </w:tc>
            </w:tr>
          </w:tbl>
          <w:p w14:paraId="38FA8817" w14:textId="77777777" w:rsidR="004C32A5" w:rsidRPr="00A552C3" w:rsidRDefault="004C32A5" w:rsidP="004C32A5">
            <w:pPr>
              <w:spacing w:before="240" w:after="240"/>
              <w:ind w:left="1440" w:hanging="720"/>
            </w:pPr>
            <w:r w:rsidRPr="00A552C3">
              <w:t>(b)</w:t>
            </w:r>
            <w:r w:rsidRPr="00A552C3">
              <w:tab/>
              <w:t>At the time of SCED execution, if a valid Energy Bid/Offer Curve or Output Schedule does not exist for an ESR that has a status of On-Line, then ERCOT shall notify the QSE and create a proxy Energy Bid/Offer Curve priced at -$250/MWh for the MW portion of the curve less than zero MW, and priced at the RTSWCAP for the MW portion of the curve greater than zero MW.</w:t>
            </w:r>
          </w:p>
          <w:p w14:paraId="7E43A68E" w14:textId="77777777" w:rsidR="004C32A5" w:rsidRPr="00A552C3" w:rsidRDefault="004C32A5" w:rsidP="004C32A5">
            <w:pPr>
              <w:spacing w:before="240" w:after="240"/>
              <w:ind w:left="1440" w:hanging="720"/>
            </w:pPr>
            <w:r w:rsidRPr="00A552C3">
              <w:t>(c)</w:t>
            </w:r>
            <w:r w:rsidRPr="00A552C3">
              <w:tab/>
              <w:t>At the time of SCED execution, if a QSE representing an ESR has submitted an Output Schedule instead of an Energy Bid/Offer Curve, ERCOT shall create a proxy Energy Bid/Offer Curve priced at -$250/MWh for the MW portion of the curve from its LSL to the MW amount on the Output Schedule, and priced at the RTSWCAP for the MW portion of the curve from the MW amount on the Output Schedule to its HSL.</w:t>
            </w:r>
          </w:p>
          <w:p w14:paraId="7C869DF3" w14:textId="69932A71" w:rsidR="00BC03DD" w:rsidRPr="003161DC" w:rsidRDefault="00BC03DD" w:rsidP="004C32A5">
            <w:pPr>
              <w:spacing w:before="240" w:after="240"/>
              <w:ind w:left="720" w:hanging="720"/>
            </w:pPr>
            <w:r w:rsidRPr="003161DC">
              <w:t>(</w:t>
            </w:r>
            <w:r w:rsidR="004C32A5">
              <w:t>7</w:t>
            </w:r>
            <w:r w:rsidRPr="003161DC">
              <w:t>)</w:t>
            </w:r>
            <w:r w:rsidRPr="003161DC">
              <w:tab/>
              <w:t>The Entity with decision</w:t>
            </w:r>
            <w:r>
              <w:t>-</w:t>
            </w:r>
            <w:r w:rsidRPr="003161DC">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R="004C32A5" w:rsidRPr="00A552C3">
              <w:t>, proxy Energy Bid/Offer Curve, or proxy Ancillary Service Offer</w:t>
            </w:r>
            <w:r w:rsidRPr="003161DC">
              <w:t>.</w:t>
            </w:r>
            <w:r w:rsidRPr="003161DC" w:rsidDel="00995694">
              <w:t xml:space="preserve"> </w:t>
            </w:r>
          </w:p>
          <w:p w14:paraId="53667042" w14:textId="4A2D280E" w:rsidR="00BC03DD" w:rsidRPr="003161DC" w:rsidRDefault="00BC03DD" w:rsidP="00BC03DD">
            <w:pPr>
              <w:spacing w:after="240"/>
              <w:ind w:left="720" w:hanging="720"/>
            </w:pPr>
            <w:r w:rsidRPr="003161DC">
              <w:t>(</w:t>
            </w:r>
            <w:r w:rsidR="004C32A5">
              <w:t>8</w:t>
            </w:r>
            <w:r w:rsidRPr="003161DC">
              <w:t>)</w:t>
            </w:r>
            <w:r w:rsidRPr="003161DC">
              <w:tab/>
              <w:t xml:space="preserve">For a </w:t>
            </w:r>
            <w:r w:rsidR="00D3410D">
              <w:t>CLR</w:t>
            </w:r>
            <w:r w:rsidRPr="003161DC">
              <w:t xml:space="preserve"> whose QSE has submitted an Energy Bid</w:t>
            </w:r>
            <w:r w:rsidR="00D3410D">
              <w:t xml:space="preserve"> Curve</w:t>
            </w:r>
            <w:r w:rsidRPr="003161DC">
              <w:t xml:space="preserve"> that does not cover the full range of the Resource’s available Demand response capability, consistent with the </w:t>
            </w:r>
            <w:r w:rsidR="00D3410D">
              <w:lastRenderedPageBreak/>
              <w:t>CLR</w:t>
            </w:r>
            <w:r w:rsidRPr="003161DC">
              <w:t>’s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BC03DD" w:rsidRPr="003161DC" w14:paraId="65F51C48" w14:textId="77777777" w:rsidTr="00AE702A">
              <w:trPr>
                <w:jc w:val="center"/>
              </w:trPr>
              <w:tc>
                <w:tcPr>
                  <w:tcW w:w="3596" w:type="dxa"/>
                </w:tcPr>
                <w:p w14:paraId="1BED6CEB" w14:textId="77777777" w:rsidR="00BC03DD" w:rsidRPr="003161DC" w:rsidRDefault="00BC03DD" w:rsidP="00BC03DD">
                  <w:pPr>
                    <w:spacing w:after="120"/>
                    <w:rPr>
                      <w:b/>
                      <w:iCs/>
                      <w:sz w:val="20"/>
                    </w:rPr>
                  </w:pPr>
                  <w:r w:rsidRPr="003161DC">
                    <w:rPr>
                      <w:b/>
                      <w:iCs/>
                      <w:sz w:val="20"/>
                    </w:rPr>
                    <w:t>MW</w:t>
                  </w:r>
                </w:p>
              </w:tc>
              <w:tc>
                <w:tcPr>
                  <w:tcW w:w="2875" w:type="dxa"/>
                </w:tcPr>
                <w:p w14:paraId="7E783E25" w14:textId="77777777" w:rsidR="00BC03DD" w:rsidRPr="003161DC" w:rsidRDefault="00BC03DD" w:rsidP="00BC03DD">
                  <w:pPr>
                    <w:spacing w:after="120"/>
                    <w:rPr>
                      <w:b/>
                      <w:iCs/>
                      <w:sz w:val="20"/>
                    </w:rPr>
                  </w:pPr>
                  <w:r w:rsidRPr="003161DC">
                    <w:rPr>
                      <w:b/>
                      <w:iCs/>
                      <w:sz w:val="20"/>
                    </w:rPr>
                    <w:t>Price (per MWh)</w:t>
                  </w:r>
                </w:p>
              </w:tc>
            </w:tr>
            <w:tr w:rsidR="00BC03DD" w:rsidRPr="003161DC" w14:paraId="53596281" w14:textId="77777777" w:rsidTr="00AE702A">
              <w:trPr>
                <w:jc w:val="center"/>
              </w:trPr>
              <w:tc>
                <w:tcPr>
                  <w:tcW w:w="3596" w:type="dxa"/>
                </w:tcPr>
                <w:p w14:paraId="074AE654" w14:textId="3CA88AE8" w:rsidR="00BC03DD" w:rsidRPr="003161DC" w:rsidRDefault="00BC03DD" w:rsidP="00BC03DD">
                  <w:pPr>
                    <w:spacing w:after="60"/>
                    <w:rPr>
                      <w:iCs/>
                      <w:sz w:val="20"/>
                    </w:rPr>
                  </w:pPr>
                  <w:r w:rsidRPr="003161DC">
                    <w:rPr>
                      <w:iCs/>
                      <w:sz w:val="20"/>
                    </w:rPr>
                    <w:t>LPC to MPC minus maximum MW of Energy Bid</w:t>
                  </w:r>
                  <w:r w:rsidR="00D3410D">
                    <w:rPr>
                      <w:iCs/>
                      <w:sz w:val="20"/>
                    </w:rPr>
                    <w:t xml:space="preserve"> Curve</w:t>
                  </w:r>
                </w:p>
              </w:tc>
              <w:tc>
                <w:tcPr>
                  <w:tcW w:w="2875" w:type="dxa"/>
                </w:tcPr>
                <w:p w14:paraId="5F72D4C5" w14:textId="090AB668" w:rsidR="00BC03DD" w:rsidRPr="003161DC" w:rsidRDefault="00BC03DD" w:rsidP="00BC03DD">
                  <w:pPr>
                    <w:spacing w:after="60"/>
                    <w:rPr>
                      <w:iCs/>
                      <w:sz w:val="20"/>
                    </w:rPr>
                  </w:pPr>
                  <w:r w:rsidRPr="003161DC">
                    <w:rPr>
                      <w:iCs/>
                      <w:sz w:val="20"/>
                    </w:rPr>
                    <w:t xml:space="preserve">Price associated with the lowest MW in submitted Energy Bid </w:t>
                  </w:r>
                  <w:r w:rsidR="00D3410D">
                    <w:rPr>
                      <w:iCs/>
                      <w:sz w:val="20"/>
                    </w:rPr>
                    <w:t>C</w:t>
                  </w:r>
                  <w:r w:rsidRPr="003161DC">
                    <w:rPr>
                      <w:iCs/>
                      <w:sz w:val="20"/>
                    </w:rPr>
                    <w:t>urve</w:t>
                  </w:r>
                </w:p>
              </w:tc>
            </w:tr>
            <w:tr w:rsidR="00BC03DD" w:rsidRPr="003161DC" w14:paraId="73B9AA32" w14:textId="77777777" w:rsidTr="00AE702A">
              <w:trPr>
                <w:jc w:val="center"/>
              </w:trPr>
              <w:tc>
                <w:tcPr>
                  <w:tcW w:w="3596" w:type="dxa"/>
                </w:tcPr>
                <w:p w14:paraId="2724E002" w14:textId="3C7096B3" w:rsidR="00BC03DD" w:rsidRPr="003161DC" w:rsidRDefault="00BC03DD" w:rsidP="00BC03DD">
                  <w:pPr>
                    <w:spacing w:after="60"/>
                    <w:rPr>
                      <w:iCs/>
                      <w:sz w:val="20"/>
                    </w:rPr>
                  </w:pPr>
                  <w:r w:rsidRPr="003161DC">
                    <w:rPr>
                      <w:iCs/>
                      <w:sz w:val="20"/>
                    </w:rPr>
                    <w:t xml:space="preserve">MPC minus maximum MW of Energy Bid </w:t>
                  </w:r>
                  <w:r w:rsidR="00D3410D">
                    <w:rPr>
                      <w:iCs/>
                      <w:sz w:val="20"/>
                    </w:rPr>
                    <w:t xml:space="preserve">Curve </w:t>
                  </w:r>
                  <w:r w:rsidRPr="003161DC">
                    <w:rPr>
                      <w:iCs/>
                      <w:sz w:val="20"/>
                    </w:rPr>
                    <w:t>to MPC</w:t>
                  </w:r>
                </w:p>
              </w:tc>
              <w:tc>
                <w:tcPr>
                  <w:tcW w:w="2875" w:type="dxa"/>
                </w:tcPr>
                <w:p w14:paraId="4CB26AD7" w14:textId="28F5386F" w:rsidR="00BC03DD" w:rsidRPr="003161DC" w:rsidRDefault="00BC03DD" w:rsidP="00BC03DD">
                  <w:pPr>
                    <w:spacing w:after="60"/>
                    <w:rPr>
                      <w:iCs/>
                      <w:sz w:val="20"/>
                    </w:rPr>
                  </w:pPr>
                  <w:r w:rsidRPr="003161DC">
                    <w:rPr>
                      <w:iCs/>
                      <w:sz w:val="20"/>
                    </w:rPr>
                    <w:t xml:space="preserve">Energy Bid </w:t>
                  </w:r>
                  <w:r w:rsidR="00D3410D">
                    <w:rPr>
                      <w:iCs/>
                      <w:sz w:val="20"/>
                    </w:rPr>
                    <w:t>C</w:t>
                  </w:r>
                  <w:r w:rsidRPr="003161DC">
                    <w:rPr>
                      <w:iCs/>
                      <w:sz w:val="20"/>
                    </w:rPr>
                    <w:t>urve</w:t>
                  </w:r>
                </w:p>
              </w:tc>
            </w:tr>
            <w:tr w:rsidR="00BC03DD" w:rsidRPr="003161DC" w14:paraId="30641B6C" w14:textId="77777777" w:rsidTr="00AE702A">
              <w:trPr>
                <w:jc w:val="center"/>
              </w:trPr>
              <w:tc>
                <w:tcPr>
                  <w:tcW w:w="3596" w:type="dxa"/>
                </w:tcPr>
                <w:p w14:paraId="34C3362D" w14:textId="77777777" w:rsidR="00BC03DD" w:rsidRPr="003161DC" w:rsidRDefault="00BC03DD" w:rsidP="00BC03DD">
                  <w:pPr>
                    <w:spacing w:after="60"/>
                    <w:rPr>
                      <w:iCs/>
                      <w:sz w:val="20"/>
                    </w:rPr>
                  </w:pPr>
                  <w:r w:rsidRPr="003161DC">
                    <w:rPr>
                      <w:iCs/>
                      <w:sz w:val="20"/>
                    </w:rPr>
                    <w:t>MPC</w:t>
                  </w:r>
                </w:p>
              </w:tc>
              <w:tc>
                <w:tcPr>
                  <w:tcW w:w="2875" w:type="dxa"/>
                </w:tcPr>
                <w:p w14:paraId="4002397C" w14:textId="0E2B75E7" w:rsidR="00BC03DD" w:rsidRPr="003161DC" w:rsidRDefault="00BC03DD" w:rsidP="00BC03DD">
                  <w:pPr>
                    <w:spacing w:after="60"/>
                    <w:rPr>
                      <w:iCs/>
                      <w:sz w:val="20"/>
                    </w:rPr>
                  </w:pPr>
                  <w:r w:rsidRPr="003161DC">
                    <w:rPr>
                      <w:iCs/>
                      <w:sz w:val="20"/>
                    </w:rPr>
                    <w:t xml:space="preserve">Right-most point (lowest price) on Energy Bid </w:t>
                  </w:r>
                  <w:r w:rsidR="00D3410D">
                    <w:rPr>
                      <w:iCs/>
                      <w:sz w:val="20"/>
                    </w:rPr>
                    <w:t>C</w:t>
                  </w:r>
                  <w:r w:rsidRPr="003161DC">
                    <w:rPr>
                      <w:iCs/>
                      <w:sz w:val="20"/>
                    </w:rPr>
                    <w:t>urve</w:t>
                  </w:r>
                </w:p>
              </w:tc>
            </w:tr>
          </w:tbl>
          <w:p w14:paraId="4E34C101" w14:textId="77777777" w:rsidR="00D3410D" w:rsidRPr="00812ECB" w:rsidRDefault="00D3410D" w:rsidP="00D3410D">
            <w:pPr>
              <w:spacing w:before="240" w:after="240"/>
              <w:ind w:left="720" w:hanging="720"/>
            </w:pPr>
            <w:r w:rsidRPr="00812ECB">
              <w:t>(9)</w:t>
            </w:r>
            <w:r w:rsidRPr="00812ECB">
              <w:tab/>
              <w:t>For a CLR whose QSE has not submitted an Energy Bid Curve, consistent with the CLR’s telemetered quantities, ERCOT shall create a proxy Energy Bid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D3410D" w:rsidRPr="00812ECB" w14:paraId="5AB465A5" w14:textId="77777777" w:rsidTr="00F5593C">
              <w:trPr>
                <w:jc w:val="center"/>
              </w:trPr>
              <w:tc>
                <w:tcPr>
                  <w:tcW w:w="3596" w:type="dxa"/>
                </w:tcPr>
                <w:p w14:paraId="58DD28E4" w14:textId="77777777" w:rsidR="00D3410D" w:rsidRPr="00812ECB" w:rsidRDefault="00D3410D" w:rsidP="00D3410D">
                  <w:pPr>
                    <w:spacing w:after="240"/>
                    <w:rPr>
                      <w:b/>
                      <w:iCs/>
                      <w:sz w:val="20"/>
                    </w:rPr>
                  </w:pPr>
                  <w:r w:rsidRPr="00812ECB">
                    <w:rPr>
                      <w:b/>
                      <w:iCs/>
                      <w:sz w:val="20"/>
                    </w:rPr>
                    <w:t>MW</w:t>
                  </w:r>
                </w:p>
              </w:tc>
              <w:tc>
                <w:tcPr>
                  <w:tcW w:w="2875" w:type="dxa"/>
                </w:tcPr>
                <w:p w14:paraId="37769163" w14:textId="77777777" w:rsidR="00D3410D" w:rsidRPr="00812ECB" w:rsidRDefault="00D3410D" w:rsidP="00D3410D">
                  <w:pPr>
                    <w:spacing w:after="240"/>
                    <w:rPr>
                      <w:b/>
                      <w:iCs/>
                      <w:sz w:val="20"/>
                    </w:rPr>
                  </w:pPr>
                  <w:r w:rsidRPr="00812ECB">
                    <w:rPr>
                      <w:b/>
                      <w:iCs/>
                      <w:sz w:val="20"/>
                    </w:rPr>
                    <w:t>Price (per MWh)</w:t>
                  </w:r>
                </w:p>
              </w:tc>
            </w:tr>
            <w:tr w:rsidR="00D3410D" w:rsidRPr="00812ECB" w14:paraId="2F2AF38D" w14:textId="77777777" w:rsidTr="00F5593C">
              <w:trPr>
                <w:jc w:val="center"/>
              </w:trPr>
              <w:tc>
                <w:tcPr>
                  <w:tcW w:w="3596" w:type="dxa"/>
                </w:tcPr>
                <w:p w14:paraId="55AC4D3F" w14:textId="77777777" w:rsidR="00D3410D" w:rsidRPr="00812ECB" w:rsidRDefault="00D3410D" w:rsidP="00D3410D">
                  <w:pPr>
                    <w:spacing w:after="60"/>
                    <w:rPr>
                      <w:iCs/>
                      <w:sz w:val="20"/>
                    </w:rPr>
                  </w:pPr>
                  <w:r w:rsidRPr="00812ECB">
                    <w:rPr>
                      <w:iCs/>
                      <w:sz w:val="20"/>
                    </w:rPr>
                    <w:t xml:space="preserve">LPC to MPC </w:t>
                  </w:r>
                </w:p>
              </w:tc>
              <w:tc>
                <w:tcPr>
                  <w:tcW w:w="2875" w:type="dxa"/>
                </w:tcPr>
                <w:p w14:paraId="4E1C4FB7" w14:textId="77777777" w:rsidR="00D3410D" w:rsidRPr="00812ECB" w:rsidRDefault="00D3410D" w:rsidP="00D3410D">
                  <w:pPr>
                    <w:spacing w:after="60"/>
                    <w:rPr>
                      <w:iCs/>
                      <w:sz w:val="20"/>
                    </w:rPr>
                  </w:pPr>
                  <w:r w:rsidRPr="00812ECB">
                    <w:rPr>
                      <w:iCs/>
                      <w:sz w:val="20"/>
                    </w:rPr>
                    <w:t>SWCAP</w:t>
                  </w:r>
                </w:p>
              </w:tc>
            </w:tr>
          </w:tbl>
          <w:p w14:paraId="0B7CBBC1" w14:textId="4791B37A" w:rsidR="00BC03DD" w:rsidRPr="003161DC" w:rsidRDefault="00BC03DD" w:rsidP="00BC03DD">
            <w:pPr>
              <w:spacing w:before="240" w:after="240"/>
              <w:ind w:left="720" w:hanging="720"/>
            </w:pPr>
            <w:r w:rsidRPr="003161DC">
              <w:t>(</w:t>
            </w:r>
            <w:r w:rsidR="00D3410D">
              <w:t>10</w:t>
            </w:r>
            <w:r w:rsidRPr="003161DC">
              <w:t>)</w:t>
            </w:r>
            <w:r w:rsidRPr="003161DC">
              <w:tab/>
              <w:t xml:space="preserve">ERCOT shall ensure that any Energy Bid </w:t>
            </w:r>
            <w:r w:rsidR="00D3410D">
              <w:t xml:space="preserve">Curve </w:t>
            </w:r>
            <w:r w:rsidRPr="003161DC">
              <w:t xml:space="preserve">is monotonically non-increasing.  The QSE representing the </w:t>
            </w:r>
            <w:r w:rsidR="00D3410D">
              <w:t>CLR</w:t>
            </w:r>
            <w:r w:rsidRPr="003161DC">
              <w:t xml:space="preserve"> shall be responsible for all Energy Bid</w:t>
            </w:r>
            <w:r w:rsidR="00D3410D">
              <w:t xml:space="preserve"> Curve</w:t>
            </w:r>
            <w:r w:rsidRPr="003161DC">
              <w:t xml:space="preserve">s, including </w:t>
            </w:r>
            <w:r w:rsidR="00D3410D">
              <w:t>Energy Bid Curves</w:t>
            </w:r>
            <w:r w:rsidRPr="003161DC">
              <w:t xml:space="preserve"> updated by ERCOT as described above.</w:t>
            </w:r>
          </w:p>
          <w:p w14:paraId="4B3B9376" w14:textId="542F0FA4" w:rsidR="00BC03DD" w:rsidRPr="003161DC" w:rsidRDefault="00C12262" w:rsidP="00BC03DD">
            <w:pPr>
              <w:spacing w:after="240"/>
              <w:ind w:left="720" w:hanging="720"/>
            </w:pPr>
            <w:r>
              <w:t>(1</w:t>
            </w:r>
            <w:r w:rsidR="00D3410D">
              <w:t>1</w:t>
            </w:r>
            <w:r w:rsidR="00BC03DD">
              <w:t>)</w:t>
            </w:r>
            <w:r w:rsidR="00BC03DD">
              <w:tab/>
            </w:r>
            <w:r w:rsidR="00D3410D" w:rsidRPr="00812ECB">
              <w:rPr>
                <w:iCs/>
              </w:rPr>
              <w:t xml:space="preserve">A CLR may consume energy only when dispatched by SCED to do so.  </w:t>
            </w:r>
            <w:r w:rsidR="00D3410D" w:rsidRPr="00812ECB">
              <w:t>A CLR may telemeter a status of OUTL only if the Resource is Off-Line and unavailable with its energy consumption at zero.</w:t>
            </w:r>
            <w:r w:rsidR="00BC03DD">
              <w:t xml:space="preserve"> </w:t>
            </w:r>
            <w:r w:rsidR="00D3410D">
              <w:t xml:space="preserve"> In </w:t>
            </w:r>
            <w:r w:rsidR="00BC03DD">
              <w:t xml:space="preserve">instances when the </w:t>
            </w:r>
            <w:r w:rsidR="00D3410D">
              <w:t>CLR</w:t>
            </w:r>
            <w:r w:rsidR="00BC03DD">
              <w:t xml:space="preserve"> is unable to follow SCED Dispatch Instructions</w:t>
            </w:r>
            <w:r w:rsidR="00D3410D" w:rsidRPr="00812ECB">
              <w:t xml:space="preserve"> but still consumes energy, the CLR must submit a Resource Status of ONHOLD</w:t>
            </w:r>
            <w:r w:rsidR="00BC03DD">
              <w:t>.  Under all telemetered statuses</w:t>
            </w:r>
            <w:r w:rsidR="008637F7">
              <w:t>,</w:t>
            </w:r>
            <w:r w:rsidR="00BC03DD">
              <w:t xml:space="preserve"> including OUTL, the remaining telemetry quantities submitted by the QSE shall represent the operating conditions of the </w:t>
            </w:r>
            <w:r w:rsidR="00D3410D">
              <w:t>CLR</w:t>
            </w:r>
            <w:r w:rsidR="00BC03DD">
              <w:t xml:space="preserve"> that can be verified by ERCOT.  A QSE representing a </w:t>
            </w:r>
            <w:r w:rsidR="00D3410D">
              <w:t>CLR</w:t>
            </w:r>
            <w:r w:rsidR="00BC03DD">
              <w:t xml:space="preserve"> with a telemetered status of OUTL</w:t>
            </w:r>
            <w:r w:rsidR="00D3410D">
              <w:t xml:space="preserve"> or ONHOLD</w:t>
            </w:r>
            <w:r w:rsidR="00BC03DD">
              <w:t xml:space="preserve"> is still obligated to provide any applicable Ancillary Services awarded to the Resource.  This paragraph does not apply to ESRs.  </w:t>
            </w:r>
          </w:p>
          <w:p w14:paraId="778927F5" w14:textId="35C1BA89" w:rsidR="00BC03DD" w:rsidRDefault="00BC03DD" w:rsidP="00BC03DD">
            <w:pPr>
              <w:spacing w:after="240"/>
              <w:ind w:left="720" w:hanging="720"/>
            </w:pPr>
            <w:r w:rsidRPr="003161DC">
              <w:t>(</w:t>
            </w:r>
            <w:r w:rsidR="00C12262">
              <w:t>1</w:t>
            </w:r>
            <w:r w:rsidR="00D3410D">
              <w:t>2</w:t>
            </w:r>
            <w:r w:rsidRPr="003161DC">
              <w:t>)</w:t>
            </w:r>
            <w:r w:rsidRPr="003161DC">
              <w:tab/>
              <w:t>Energy Offer Curves that were constructed in whole or in part with proxy Energy Offer Curves shall be so marked in all ERCOT postings or references to the energy offer.</w:t>
            </w:r>
          </w:p>
          <w:p w14:paraId="63CED7B7" w14:textId="1922B01A" w:rsidR="00BC03DD" w:rsidRPr="003161DC" w:rsidRDefault="00C12262" w:rsidP="00BC03DD">
            <w:pPr>
              <w:spacing w:before="240" w:after="240"/>
              <w:ind w:left="720" w:hanging="720"/>
            </w:pPr>
            <w:r>
              <w:t>(1</w:t>
            </w:r>
            <w:r w:rsidR="00D3410D">
              <w:t>3</w:t>
            </w:r>
            <w:r w:rsidR="00BC03DD" w:rsidRPr="009C1575">
              <w:t>)</w:t>
            </w:r>
            <w:r w:rsidR="00BC03DD" w:rsidRPr="009C1575">
              <w:tab/>
              <w:t xml:space="preserve">SCED will enforce Resource-specific Ancillary Service constraints to ensure that Ancillary Service awards are </w:t>
            </w:r>
            <w:r w:rsidR="00BC03DD">
              <w:t>aligned with a Resource’s qualifications and telemetered Ancillary Service capabilities</w:t>
            </w:r>
            <w:r w:rsidR="00BC03DD" w:rsidRPr="009C1575">
              <w:t>.</w:t>
            </w:r>
          </w:p>
          <w:p w14:paraId="122AF8C3" w14:textId="091985EA" w:rsidR="004C32A5" w:rsidRPr="00A552C3" w:rsidRDefault="004C32A5" w:rsidP="004C32A5">
            <w:pPr>
              <w:spacing w:before="240" w:after="240"/>
              <w:ind w:left="720" w:hanging="720"/>
            </w:pPr>
            <w:r w:rsidRPr="00A552C3">
              <w:t>(1</w:t>
            </w:r>
            <w:r w:rsidR="00D3410D">
              <w:t>4</w:t>
            </w:r>
            <w:r w:rsidRPr="00A552C3">
              <w:t>)</w:t>
            </w:r>
            <w:r w:rsidRPr="00A552C3">
              <w:tab/>
              <w:t>Energy Bid/Offer Curves that were constructed in whole or in part with proxy Energy Bid/Offer Curves shall be so marked in all ERCOT postings or references to the energy bid/offer.</w:t>
            </w:r>
          </w:p>
          <w:p w14:paraId="11366F1C" w14:textId="24B32442" w:rsidR="00BC03DD" w:rsidRPr="003161DC" w:rsidRDefault="00BC03DD" w:rsidP="004C32A5">
            <w:pPr>
              <w:spacing w:before="240" w:after="240"/>
              <w:ind w:left="720" w:hanging="720"/>
            </w:pPr>
            <w:r w:rsidRPr="003161DC">
              <w:t>(1</w:t>
            </w:r>
            <w:r w:rsidR="00D3410D">
              <w:t>5</w:t>
            </w:r>
            <w:r w:rsidRPr="003161DC">
              <w:t>)</w:t>
            </w:r>
            <w:r w:rsidRPr="003161DC">
              <w:tab/>
              <w:t>The two-step SCED methodology referenced in paragraph (1) above is:</w:t>
            </w:r>
          </w:p>
          <w:p w14:paraId="705140AA" w14:textId="0F159563" w:rsidR="00BC03DD" w:rsidRDefault="00BC03DD" w:rsidP="00BC03DD">
            <w:pPr>
              <w:spacing w:after="240"/>
              <w:ind w:left="1440" w:hanging="720"/>
            </w:pPr>
            <w:r w:rsidRPr="003161DC">
              <w:lastRenderedPageBreak/>
              <w:t>(a)</w:t>
            </w:r>
            <w:r w:rsidRPr="003161DC">
              <w:tab/>
              <w:t>The first step is to execute the SCED process to determine Reference LMPs.  In this step, ERCOT executes SCED using the full Network Operations Model while only observing limits of Competitive Constraints</w:t>
            </w:r>
            <w:r>
              <w:t xml:space="preserve"> in addition to power balance and Ancillary Service constraints</w:t>
            </w:r>
            <w:r w:rsidRPr="003161DC">
              <w:t>.  Energy Offer Curves for all On-Line Generation Resources</w:t>
            </w:r>
            <w:r w:rsidR="004C32A5" w:rsidRPr="00A552C3">
              <w:t>, Energy Bid/Offer Curves for all On-Line ESRs,</w:t>
            </w:r>
            <w:r w:rsidRPr="003161DC">
              <w:t xml:space="preserve"> and Energy Bid</w:t>
            </w:r>
            <w:r w:rsidR="00D3410D">
              <w:t xml:space="preserve"> Curve</w:t>
            </w:r>
            <w:r w:rsidRPr="003161DC">
              <w:t xml:space="preserve">s from available </w:t>
            </w:r>
            <w:r w:rsidR="00D3410D">
              <w:t>CLR</w:t>
            </w:r>
            <w:r w:rsidRPr="003161DC">
              <w:t>s, whether submitted by QSEs or created by ERCOT under this Section, are used in the SCED to determine “Reference LMPs.”</w:t>
            </w:r>
            <w:r>
              <w:t xml:space="preserve"> </w:t>
            </w:r>
          </w:p>
          <w:p w14:paraId="782A9C23" w14:textId="77777777" w:rsidR="00BC03DD" w:rsidRPr="003161DC" w:rsidRDefault="00BC03DD" w:rsidP="00BC03DD">
            <w:pPr>
              <w:spacing w:after="240"/>
              <w:ind w:left="1440" w:hanging="720"/>
            </w:pPr>
            <w:r w:rsidRPr="003161DC">
              <w:t>(b)</w:t>
            </w:r>
            <w:r w:rsidRPr="003161DC">
              <w:tab/>
              <w:t xml:space="preserve">The second step is to execute the SCED process to produce Base Points, </w:t>
            </w:r>
            <w:r>
              <w:t xml:space="preserve">Ancillary Service awards, </w:t>
            </w:r>
            <w:r w:rsidRPr="003161DC">
              <w:t xml:space="preserve">Shadow Prices, </w:t>
            </w:r>
            <w:r>
              <w:t xml:space="preserve">Real-Time MCPCs, </w:t>
            </w:r>
            <w:r w:rsidRPr="003161DC">
              <w:t>and LMPs, subject to security constraints (including Competitive and Non-Competitive Constraints) and other Resource constraints.  The second step must:</w:t>
            </w:r>
          </w:p>
          <w:p w14:paraId="15B4D797" w14:textId="77777777" w:rsidR="00BC03DD" w:rsidRPr="003161DC" w:rsidRDefault="00BC03DD" w:rsidP="00BC03DD">
            <w:pPr>
              <w:spacing w:after="240"/>
              <w:ind w:left="2160" w:hanging="720"/>
            </w:pPr>
            <w:r w:rsidRPr="003161DC">
              <w:t>(i)</w:t>
            </w:r>
            <w:r w:rsidRPr="003161DC">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7573A33A" w14:textId="3D94EB73" w:rsidR="004C32A5" w:rsidRPr="00A552C3" w:rsidRDefault="004C32A5" w:rsidP="004C32A5">
            <w:pPr>
              <w:spacing w:after="240"/>
              <w:ind w:left="2160" w:hanging="720"/>
            </w:pPr>
            <w:r w:rsidRPr="00A552C3">
              <w:t>(ii)</w:t>
            </w:r>
            <w:r w:rsidRPr="00A552C3">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MOC curve at the LSL or the appropriate MOC; </w:t>
            </w:r>
          </w:p>
          <w:p w14:paraId="55BF6C7C" w14:textId="06359D54" w:rsidR="00BC03DD" w:rsidRPr="003161DC" w:rsidRDefault="00BC03DD" w:rsidP="004C32A5">
            <w:pPr>
              <w:spacing w:after="240"/>
              <w:ind w:left="2160" w:hanging="720"/>
            </w:pPr>
            <w:r>
              <w:t>(</w:t>
            </w:r>
            <w:r w:rsidR="004C32A5">
              <w:t>i</w:t>
            </w:r>
            <w:r>
              <w:t>ii)</w:t>
            </w:r>
            <w:r>
              <w:tab/>
              <w:t xml:space="preserve">Use Energy Bid </w:t>
            </w:r>
            <w:r w:rsidR="00D3410D">
              <w:t>C</w:t>
            </w:r>
            <w:r>
              <w:t xml:space="preserve">urves for all available </w:t>
            </w:r>
            <w:r w:rsidR="00D3410D">
              <w:t>CLR</w:t>
            </w:r>
            <w:r>
              <w:t>s, whether submitted by QSEs or created by ERCOT.  There is no mitigation of Energy Bid</w:t>
            </w:r>
            <w:r w:rsidR="00D3410D">
              <w:t xml:space="preserve"> Curve</w:t>
            </w:r>
            <w:r>
              <w:t xml:space="preserve">s.  </w:t>
            </w:r>
            <w:r>
              <w:rPr>
                <w:iCs/>
              </w:rPr>
              <w:t>An Energy Bid</w:t>
            </w:r>
            <w:r w:rsidR="00D3410D">
              <w:rPr>
                <w:iCs/>
              </w:rPr>
              <w:t xml:space="preserve"> Curve</w:t>
            </w:r>
            <w:r>
              <w:rPr>
                <w:iCs/>
              </w:rPr>
              <w:t xml:space="preserve"> from a</w:t>
            </w:r>
            <w:r w:rsidR="00D3410D">
              <w:rPr>
                <w:iCs/>
              </w:rPr>
              <w:t>n</w:t>
            </w:r>
            <w:r>
              <w:rPr>
                <w:iCs/>
              </w:rPr>
              <w:t xml:space="preserve"> </w:t>
            </w:r>
            <w:r w:rsidR="00D3410D">
              <w:rPr>
                <w:iCs/>
              </w:rPr>
              <w:t>Aggregate</w:t>
            </w:r>
            <w:r>
              <w:rPr>
                <w:iCs/>
              </w:rPr>
              <w:t xml:space="preserve"> Load Resource </w:t>
            </w:r>
            <w:r w:rsidR="00D3410D">
              <w:rPr>
                <w:iCs/>
              </w:rPr>
              <w:t xml:space="preserve">(ALR) </w:t>
            </w:r>
            <w:r>
              <w:rPr>
                <w:iCs/>
              </w:rPr>
              <w:t xml:space="preserve">represents the bid for energy distributed across all nodes in the Load Zone in which the </w:t>
            </w:r>
            <w:r w:rsidR="00D3410D">
              <w:rPr>
                <w:iCs/>
              </w:rPr>
              <w:t>ALR</w:t>
            </w:r>
            <w:r>
              <w:rPr>
                <w:iCs/>
              </w:rPr>
              <w:t xml:space="preserve"> is located.  For an ESR</w:t>
            </w:r>
            <w:r w:rsidR="00D3410D" w:rsidRPr="00812ECB">
              <w:rPr>
                <w:iCs/>
              </w:rPr>
              <w:t xml:space="preserve"> or a CLR that is not an ALR</w:t>
            </w:r>
            <w:r>
              <w:rPr>
                <w:iCs/>
              </w:rPr>
              <w:t xml:space="preserve">, an Energy Bid </w:t>
            </w:r>
            <w:r w:rsidR="00D3410D">
              <w:rPr>
                <w:iCs/>
              </w:rPr>
              <w:t xml:space="preserve">Curve </w:t>
            </w:r>
            <w:r>
              <w:rPr>
                <w:iCs/>
              </w:rPr>
              <w:t xml:space="preserve">represents a bid for energy at the </w:t>
            </w:r>
            <w:r w:rsidR="00D3410D">
              <w:rPr>
                <w:iCs/>
              </w:rPr>
              <w:t>applicable</w:t>
            </w:r>
            <w:r>
              <w:rPr>
                <w:iCs/>
              </w:rPr>
              <w:t xml:space="preserve"> Resource Node</w:t>
            </w:r>
            <w:r>
              <w:t>;</w:t>
            </w:r>
            <w:r w:rsidRPr="003161DC">
              <w:t xml:space="preserve"> </w:t>
            </w:r>
          </w:p>
          <w:p w14:paraId="38A96E12" w14:textId="61142077" w:rsidR="00BC03DD" w:rsidRDefault="00C12262" w:rsidP="00BC03DD">
            <w:pPr>
              <w:spacing w:before="240" w:after="240"/>
              <w:ind w:left="2160" w:hanging="720"/>
            </w:pPr>
            <w:r>
              <w:t>(iv</w:t>
            </w:r>
            <w:r w:rsidR="00BC03DD" w:rsidRPr="003161DC">
              <w:t>)</w:t>
            </w:r>
            <w:r w:rsidR="00BC03DD" w:rsidRPr="003161DC">
              <w:tab/>
              <w:t>Observe all Competitive and Non-Competitive Constraints</w:t>
            </w:r>
            <w:r w:rsidR="00BC03DD">
              <w:t>; and</w:t>
            </w:r>
          </w:p>
          <w:p w14:paraId="56F08440" w14:textId="78263100" w:rsidR="00BC03DD" w:rsidRDefault="00C12262" w:rsidP="00BC03DD">
            <w:pPr>
              <w:spacing w:after="240"/>
              <w:ind w:left="2160" w:hanging="720"/>
            </w:pPr>
            <w:r>
              <w:lastRenderedPageBreak/>
              <w:t>(</w:t>
            </w:r>
            <w:r w:rsidR="00BC03DD">
              <w:t>v)</w:t>
            </w:r>
            <w:r w:rsidR="00BC03DD">
              <w:tab/>
              <w:t>Use Ancillary Service Offers to determine Ancillary Service awards</w:t>
            </w:r>
            <w:r w:rsidR="00BC03DD" w:rsidRPr="003161DC">
              <w:t>.</w:t>
            </w:r>
          </w:p>
          <w:p w14:paraId="640E71AD" w14:textId="77777777" w:rsidR="00BC03DD" w:rsidRDefault="00BC03DD" w:rsidP="00BC03DD">
            <w:pPr>
              <w:spacing w:after="240"/>
              <w:ind w:left="1440" w:hanging="720"/>
            </w:pPr>
            <w:r w:rsidRPr="003161DC">
              <w:t>(c)</w:t>
            </w:r>
            <w:r w:rsidRPr="003161DC">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92BDF4E" w14:textId="77777777" w:rsidR="00BC03DD" w:rsidRPr="003161DC" w:rsidRDefault="00BC03DD" w:rsidP="00BC03DD">
            <w:pPr>
              <w:spacing w:after="240"/>
              <w:ind w:left="1440" w:hanging="720"/>
            </w:pPr>
            <w:r>
              <w:t>(d)</w:t>
            </w:r>
            <w:r>
              <w:tab/>
              <w:t xml:space="preserve">The System Lambda used to determine LMPs from SCED Step 2 shall be capped at the effective VOLL.  </w:t>
            </w:r>
          </w:p>
          <w:p w14:paraId="0B1CCAE5" w14:textId="57187C6F" w:rsidR="00C12262" w:rsidRPr="00A552C3" w:rsidRDefault="00C12262" w:rsidP="00C12262">
            <w:pPr>
              <w:spacing w:after="240"/>
              <w:ind w:left="720" w:hanging="720"/>
              <w:rPr>
                <w:iCs/>
              </w:rPr>
            </w:pPr>
            <w:r w:rsidRPr="00A552C3">
              <w:rPr>
                <w:iCs/>
              </w:rPr>
              <w:t>(1</w:t>
            </w:r>
            <w:r w:rsidR="00D3410D">
              <w:rPr>
                <w:iCs/>
              </w:rPr>
              <w:t>6</w:t>
            </w:r>
            <w:r w:rsidRPr="00A552C3">
              <w:rPr>
                <w:iCs/>
              </w:rPr>
              <w:t>)</w:t>
            </w:r>
            <w:r w:rsidRPr="00A552C3">
              <w:rPr>
                <w:iCs/>
              </w:rPr>
              <w:tab/>
              <w:t>For each SCED process, in addition to the binding Base Points, Ancillary Service awards, Real-Time MCPCs, and LMPs, ERCOT shall calculate a non-binding projection of the Base Points, Ancillary Service awards, MCPCs, Resource Node LMPs, Real-Time Reliability Deployment Price Adders, 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A552C3">
              <w:t xml:space="preserve"> Determination of Real-Time Reliability Deployment Price Adders</w:t>
            </w:r>
            <w:r w:rsidRPr="00A552C3">
              <w:rPr>
                <w:iCs/>
              </w:rPr>
              <w:t xml:space="preserve">, the non-binding projection of Real-Time Reliability Deployment Price Adders shall be estimated based on GTBD, </w:t>
            </w:r>
            <w:r w:rsidRPr="00A552C3">
              <w:t>reliability deployments MWs, and</w:t>
            </w:r>
            <w:r w:rsidRPr="00A552C3">
              <w:rPr>
                <w:iCs/>
              </w:rPr>
              <w:t xml:space="preserve"> aggregated offers.  The Energy Offer Curve and Energy Bid/Offer Curves from SCED Step 2, the virtual offers for Load Resources deployed and the power balance penalty curve will be compared against the updated GTBD to get an estimate of the System Lambda from paragraph (2)(m) of Section 6.5.7.3.1.</w:t>
            </w:r>
            <w:r w:rsidRPr="00A552C3">
              <w:t xml:space="preserve">  </w:t>
            </w:r>
            <w:r w:rsidRPr="00A552C3">
              <w:rPr>
                <w:iCs/>
              </w:rPr>
              <w:t xml:space="preserve">ERCOT shall post the projected non-binding Base Points and Ancillary Service awards for each Resource for each interval study period on the MIS Certified Area and the projected non-binding LMPs for Resource Nodes, Real-Time MCPCs, Real-Time Reliability Deployment Price Adders, Hub LMPs and Load Zone LMPs on the </w:t>
            </w:r>
            <w:r w:rsidR="0007207E">
              <w:t>ERCOT website</w:t>
            </w:r>
            <w:r w:rsidRPr="00A552C3">
              <w:rPr>
                <w:iCs/>
              </w:rPr>
              <w:t xml:space="preserve"> pursuant to Section 6.3.2, Activities for Real-Time Operations.</w:t>
            </w:r>
          </w:p>
          <w:p w14:paraId="1978CF1E" w14:textId="0600AA57" w:rsidR="00BC03DD" w:rsidRDefault="00BC03DD" w:rsidP="00C12262">
            <w:pPr>
              <w:spacing w:after="240"/>
              <w:ind w:left="720" w:hanging="720"/>
              <w:rPr>
                <w:iCs/>
              </w:rPr>
            </w:pPr>
            <w:r w:rsidRPr="003161DC">
              <w:rPr>
                <w:iCs/>
              </w:rPr>
              <w:t>(1</w:t>
            </w:r>
            <w:r w:rsidR="00D3410D">
              <w:rPr>
                <w:iCs/>
              </w:rPr>
              <w:t>7</w:t>
            </w:r>
            <w:r w:rsidRPr="003161DC">
              <w:rPr>
                <w:iCs/>
              </w:rPr>
              <w:t>)</w:t>
            </w:r>
            <w:r w:rsidRPr="003161DC">
              <w:rPr>
                <w:iCs/>
              </w:rPr>
              <w:tab/>
              <w:t xml:space="preserve">ERCOT may override one or more of a </w:t>
            </w:r>
            <w:r w:rsidR="00D3410D">
              <w:rPr>
                <w:iCs/>
              </w:rPr>
              <w:t>CLR</w:t>
            </w:r>
            <w:r w:rsidRPr="003161DC">
              <w:rPr>
                <w:iCs/>
              </w:rPr>
              <w:t xml:space="preserve">’s parameters in SCED if ERCOT determines that the </w:t>
            </w:r>
            <w:r w:rsidR="00D3410D">
              <w:rPr>
                <w:iCs/>
              </w:rPr>
              <w:t>CLR</w:t>
            </w:r>
            <w:r w:rsidRPr="003161DC">
              <w:rPr>
                <w:iCs/>
              </w:rPr>
              <w:t>’s participation is having an adverse impact on the reliability of the ERCOT System.</w:t>
            </w:r>
          </w:p>
          <w:p w14:paraId="7A2AC16A" w14:textId="50A38FFB" w:rsidR="00BC03DD" w:rsidRPr="00BC03DD" w:rsidRDefault="00C12262" w:rsidP="00BE1B01">
            <w:pPr>
              <w:spacing w:after="240"/>
              <w:ind w:left="720" w:hanging="720"/>
              <w:rPr>
                <w:iCs/>
              </w:rPr>
            </w:pPr>
            <w:r>
              <w:rPr>
                <w:iCs/>
              </w:rPr>
              <w:t>(1</w:t>
            </w:r>
            <w:r w:rsidR="00D3410D">
              <w:rPr>
                <w:iCs/>
              </w:rPr>
              <w:t>8</w:t>
            </w:r>
            <w:r w:rsidR="00BC03DD">
              <w:rPr>
                <w:iCs/>
              </w:rPr>
              <w:t>)</w:t>
            </w:r>
            <w:r w:rsidR="00BC03DD">
              <w:rPr>
                <w:iCs/>
              </w:rPr>
              <w:tab/>
              <w:t xml:space="preserve">The QSE representing an ESR may withdraw energy from the ERCOT System only when dispatched by SCED to do so.  </w:t>
            </w:r>
            <w:r w:rsidR="00BC03DD">
              <w:t>An ESR may telemeter a status of OUT only if the ESR is in Outage status.</w:t>
            </w:r>
            <w:bookmarkEnd w:id="1164"/>
          </w:p>
        </w:tc>
      </w:tr>
    </w:tbl>
    <w:p w14:paraId="67E5B3BB" w14:textId="77777777" w:rsidR="001F04FD" w:rsidRDefault="001F04FD" w:rsidP="00BA3F0D">
      <w:pPr>
        <w:pStyle w:val="H5"/>
        <w:spacing w:before="480"/>
      </w:pPr>
      <w:bookmarkStart w:id="1165" w:name="_Toc189044359"/>
      <w:bookmarkEnd w:id="1140"/>
      <w:r w:rsidRPr="00A31FDB">
        <w:rPr>
          <w:i w:val="0"/>
          <w:iCs w:val="0"/>
          <w:snapToGrid w:val="0"/>
          <w:szCs w:val="20"/>
        </w:rPr>
        <w:lastRenderedPageBreak/>
        <w:t>6.5.7.3.1</w:t>
      </w:r>
      <w:r>
        <w:tab/>
      </w:r>
      <w:r w:rsidRPr="00A31FDB">
        <w:rPr>
          <w:i w:val="0"/>
          <w:iCs w:val="0"/>
          <w:snapToGrid w:val="0"/>
          <w:szCs w:val="20"/>
        </w:rPr>
        <w:t>Determination of Real-Time On-Line Reliability Deployment Price Adder</w:t>
      </w:r>
      <w:bookmarkEnd w:id="1141"/>
      <w:bookmarkEnd w:id="1142"/>
      <w:bookmarkEnd w:id="1143"/>
      <w:bookmarkEnd w:id="1144"/>
      <w:bookmarkEnd w:id="1145"/>
      <w:bookmarkEnd w:id="1146"/>
      <w:bookmarkEnd w:id="1147"/>
      <w:bookmarkEnd w:id="1148"/>
      <w:bookmarkEnd w:id="1149"/>
      <w:bookmarkEnd w:id="1150"/>
      <w:bookmarkEnd w:id="1151"/>
      <w:bookmarkEnd w:id="1152"/>
      <w:bookmarkEnd w:id="1165"/>
    </w:p>
    <w:p w14:paraId="722D02DE" w14:textId="77777777" w:rsidR="001F04FD" w:rsidRDefault="001F04FD" w:rsidP="001F04FD">
      <w:pPr>
        <w:pStyle w:val="BodyTextNumbered"/>
      </w:pPr>
      <w:r>
        <w:t>(1)</w:t>
      </w:r>
      <w:r>
        <w:tab/>
        <w:t>The following categories of reliability deployments are considered in the determination of the Real-Time On-Line Reliability Deployment Price Adder:</w:t>
      </w:r>
    </w:p>
    <w:p w14:paraId="43D3FB1B" w14:textId="443F0B38" w:rsidR="001F04FD" w:rsidRDefault="001F04FD" w:rsidP="001F04FD">
      <w:pPr>
        <w:pStyle w:val="BodyTextNumbered"/>
        <w:ind w:left="1440"/>
      </w:pPr>
      <w:r>
        <w:t>(a)</w:t>
      </w:r>
      <w:r>
        <w:tab/>
      </w:r>
      <w:r w:rsidR="00B5219D">
        <w:t xml:space="preserve">RUC-committed Resources, except for those whose QSEs have opted out of RUC Settlement </w:t>
      </w:r>
      <w:r w:rsidR="00B84541">
        <w:t>in accordance with paragraph (1</w:t>
      </w:r>
      <w:r w:rsidR="00910305">
        <w:t>4</w:t>
      </w:r>
      <w:r w:rsidR="00B5219D">
        <w:t xml:space="preserve">) of Section 5.5.2, </w:t>
      </w:r>
      <w:r w:rsidR="00B5219D" w:rsidRPr="00335075">
        <w:t>Reliability Unit Commitment (RUC) Process</w:t>
      </w:r>
      <w:r>
        <w:t>;</w:t>
      </w:r>
    </w:p>
    <w:p w14:paraId="36550969" w14:textId="6A6279CD" w:rsidR="001F04FD" w:rsidRDefault="001F04FD" w:rsidP="0031180B">
      <w:pPr>
        <w:pStyle w:val="BodyTextNumbered"/>
        <w:ind w:left="1440"/>
      </w:pPr>
      <w:r>
        <w:t>(b)</w:t>
      </w:r>
      <w:r>
        <w:tab/>
        <w:t>RMR Resources that are On-Line, including capacity secured to prevent an Emergency Condition pursuant to paragraph (</w:t>
      </w:r>
      <w:r w:rsidR="00847E53">
        <w:t>4</w:t>
      </w:r>
      <w:r>
        <w:t xml:space="preserve">) of Section 6.5.1.1, ERCOT Control Area Authority; </w:t>
      </w:r>
    </w:p>
    <w:p w14:paraId="7756C95F" w14:textId="2ED46EC4" w:rsidR="001F04FD" w:rsidRDefault="001F04FD" w:rsidP="001F04FD">
      <w:pPr>
        <w:pStyle w:val="BodyTextNumbered"/>
        <w:ind w:left="1440"/>
      </w:pPr>
      <w:r>
        <w:t>(c)</w:t>
      </w:r>
      <w:r>
        <w:tab/>
        <w:t xml:space="preserve">Deployed Load Resources other than </w:t>
      </w:r>
      <w:r w:rsidR="00192EFF">
        <w:t>CLRs</w:t>
      </w:r>
      <w:r>
        <w:t>;</w:t>
      </w:r>
    </w:p>
    <w:p w14:paraId="5778459C" w14:textId="76F92ECC" w:rsidR="001F04FD" w:rsidRDefault="001F04FD" w:rsidP="001F04FD">
      <w:pPr>
        <w:pStyle w:val="BodyTextNumbered"/>
        <w:ind w:left="1440"/>
      </w:pPr>
      <w:r>
        <w:t>(d)</w:t>
      </w:r>
      <w:r>
        <w:tab/>
        <w:t>Deployed ERS</w:t>
      </w:r>
      <w:r w:rsidR="00DB6E87">
        <w:t>;</w:t>
      </w:r>
    </w:p>
    <w:p w14:paraId="3C135481" w14:textId="77777777" w:rsidR="00DB6E87" w:rsidRDefault="00DB6E87" w:rsidP="00DB6E87">
      <w:pPr>
        <w:pStyle w:val="BodyTextNumbered"/>
        <w:ind w:left="1440"/>
      </w:pPr>
      <w:r>
        <w:t>(e)</w:t>
      </w:r>
      <w:r>
        <w:tab/>
        <w:t xml:space="preserve">Real-Time </w:t>
      </w:r>
      <w:r w:rsidRPr="00276111">
        <w:t>DC Tie imports during an EEA</w:t>
      </w:r>
      <w:r>
        <w:t xml:space="preserve"> where the total adjustment shall not exceed 1,250 MW in a single interval</w:t>
      </w:r>
      <w:r w:rsidRPr="00276111">
        <w:t xml:space="preserve">; </w:t>
      </w:r>
    </w:p>
    <w:p w14:paraId="4C9DA2BE" w14:textId="77777777" w:rsidR="00DB6E87" w:rsidRPr="00276111" w:rsidRDefault="00DB6E87" w:rsidP="00DB6E87">
      <w:pPr>
        <w:pStyle w:val="BodyTextNumbered"/>
        <w:ind w:left="1440"/>
      </w:pPr>
      <w:r>
        <w:t>(f</w:t>
      </w:r>
      <w:r w:rsidRPr="00276111">
        <w:t>)</w:t>
      </w:r>
      <w:r w:rsidRPr="00276111">
        <w:tab/>
        <w:t xml:space="preserve">Real-Time DC Tie exports to address emergency conditions in the receiving electric grid; </w:t>
      </w:r>
    </w:p>
    <w:p w14:paraId="052C4627" w14:textId="46ACE60F" w:rsidR="00DB6E87" w:rsidRDefault="00DB6E87" w:rsidP="00FB599C">
      <w:pPr>
        <w:pStyle w:val="BodyTextNumbered"/>
        <w:ind w:left="1440"/>
      </w:pPr>
      <w:r w:rsidRPr="00276111">
        <w:t>(</w:t>
      </w:r>
      <w:r>
        <w:t>g</w:t>
      </w:r>
      <w:r w:rsidRPr="00276111">
        <w:t>)</w:t>
      </w:r>
      <w:r w:rsidRPr="00276111">
        <w:tab/>
        <w:t>Energy delivered to ERCOT through registered Block Load Transfers (BLTs)</w:t>
      </w:r>
      <w:r w:rsidR="004C538F">
        <w:t xml:space="preserve"> </w:t>
      </w:r>
      <w:r w:rsidRPr="00276111">
        <w:t>during an EEA;</w:t>
      </w:r>
    </w:p>
    <w:p w14:paraId="0E8C0AA8" w14:textId="7202BA8B" w:rsidR="00DB6E87" w:rsidRDefault="00DB6E87" w:rsidP="00DB6E87">
      <w:pPr>
        <w:pStyle w:val="BodyTextNumbered"/>
        <w:ind w:left="1440"/>
      </w:pPr>
      <w:r>
        <w:t>(h)</w:t>
      </w:r>
      <w:r>
        <w:tab/>
        <w:t xml:space="preserve">Energy delivered from ERCOT to another power pool through </w:t>
      </w:r>
      <w:r w:rsidRPr="00CB681A">
        <w:t>registered</w:t>
      </w:r>
      <w:r>
        <w:t xml:space="preserve"> BLTs during emergency conditions in the receiving electric grid</w:t>
      </w:r>
      <w:r w:rsidR="00186D32">
        <w:t>; and</w:t>
      </w:r>
    </w:p>
    <w:p w14:paraId="2C207BD7" w14:textId="77777777" w:rsidR="00186D32" w:rsidRDefault="00186D32" w:rsidP="00186D32">
      <w:pPr>
        <w:pStyle w:val="BodyTextNumbered"/>
        <w:ind w:left="1440"/>
      </w:pPr>
      <w:r>
        <w:t>(i)</w:t>
      </w:r>
      <w:r>
        <w:tab/>
        <w:t>ERCOT-directed firm Load shed during EEA Level 3,</w:t>
      </w:r>
      <w:r w:rsidRPr="003054A4">
        <w:t xml:space="preserve"> </w:t>
      </w:r>
      <w:r w:rsidRPr="008D36F2">
        <w:t>as described in paragraph (3) of Section 6.5.9.4.2, EEA Levels</w:t>
      </w:r>
      <w:r>
        <w:t>.</w:t>
      </w:r>
    </w:p>
    <w:p w14:paraId="2D818342" w14:textId="2DE5A7F7" w:rsidR="001F04FD" w:rsidRDefault="001F04FD" w:rsidP="006B01C3">
      <w:pPr>
        <w:pStyle w:val="BodyTextNumbered"/>
      </w:pPr>
      <w:r>
        <w:t>(2)</w:t>
      </w:r>
      <w:r>
        <w:tab/>
        <w:t>The Real-Time On-Line Reliability Deployment Price Adder is an estimation of the impact to energy prices due to the above categories of reliability deployments.  For intervals where there are reliability deployments as described in paragraph (1) above, after the two-</w:t>
      </w:r>
      <w:r w:rsidRPr="0033475A">
        <w:t>step SCED process and also after the Real-Time On-Line Reserve Price Adder and Real-Time Off-Line Reserve Price Adder have been determined, the Real-Time On-Line Reliability</w:t>
      </w:r>
      <w:r>
        <w:t xml:space="preserve"> Deployment Price </w:t>
      </w:r>
      <w:r w:rsidR="00CC0885">
        <w:t>A</w:t>
      </w:r>
      <w:r>
        <w:t>dder is determined as follows:</w:t>
      </w:r>
    </w:p>
    <w:p w14:paraId="5C95459B" w14:textId="77777777" w:rsidR="001F04FD" w:rsidRDefault="001F04FD" w:rsidP="001F04FD">
      <w:pPr>
        <w:pStyle w:val="BodyTextNumbered"/>
        <w:ind w:left="1440"/>
      </w:pPr>
      <w:r>
        <w:t>(a)</w:t>
      </w:r>
      <w:r>
        <w:tab/>
      </w:r>
      <w:r w:rsidRPr="00844D14">
        <w:t>For RUC-committed Resources with a telemetered Resource Status of ONRUC and for RMR Resources that are On-Line,</w:t>
      </w:r>
      <w:r>
        <w:t xml:space="preserve"> set the LSL, LASL, and LDL to zero.</w:t>
      </w:r>
    </w:p>
    <w:p w14:paraId="4CDC3C7D" w14:textId="21DAE38D" w:rsidR="00D42541" w:rsidRDefault="00D42541" w:rsidP="006B01C3">
      <w:pPr>
        <w:pStyle w:val="BodyTextNumbered"/>
        <w:ind w:left="1440"/>
      </w:pPr>
      <w:r>
        <w:t>(b)</w:t>
      </w:r>
      <w:r>
        <w:tab/>
        <w:t xml:space="preserve">Notwithstanding item (a) above, for </w:t>
      </w:r>
      <w:r w:rsidRPr="00844D14">
        <w:t xml:space="preserve">RUC-committed </w:t>
      </w:r>
      <w:r>
        <w:t xml:space="preserve">Combined Cycle Generation Resources </w:t>
      </w:r>
      <w:r w:rsidRPr="00844D14">
        <w:t xml:space="preserve">with a telemetered Resource Status of ONRUC </w:t>
      </w:r>
      <w:r>
        <w:t>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2473DC6C" w14:textId="6AFCDE21" w:rsidR="001F04FD" w:rsidRDefault="001F04FD" w:rsidP="005E11C0">
      <w:pPr>
        <w:pStyle w:val="BodyTextNumbered"/>
        <w:ind w:left="1440"/>
      </w:pPr>
      <w:r>
        <w:lastRenderedPageBreak/>
        <w:t>(</w:t>
      </w:r>
      <w:r w:rsidR="00D42541">
        <w:t>c</w:t>
      </w:r>
      <w:r>
        <w:t xml:space="preserve">) </w:t>
      </w:r>
      <w:r>
        <w:tab/>
        <w:t>For all other Generation Resources excluding ones with a telemetered status of ONRUC, ONTEST, STARTUP, SHUTDOWN, and also excluding RMR Resources that are On-Line and excluding Generation Resources with a telemetered output less than 95% of LSL:</w:t>
      </w:r>
    </w:p>
    <w:p w14:paraId="0BDBE87D" w14:textId="77777777" w:rsidR="001F04FD" w:rsidRDefault="001F04FD" w:rsidP="001F04FD">
      <w:pPr>
        <w:pStyle w:val="BodyTextNumbered"/>
        <w:ind w:left="2160"/>
      </w:pPr>
      <w:r>
        <w:t xml:space="preserve">(i)  </w:t>
      </w:r>
      <w:r>
        <w:tab/>
        <w:t>Set LDL to the greater of Aggregated Resource Output - (60 minutes * SCED Down Ramp Rate), or LASL; and</w:t>
      </w:r>
    </w:p>
    <w:p w14:paraId="0E72C14E" w14:textId="77777777" w:rsidR="001F04FD" w:rsidRDefault="001F04FD" w:rsidP="001F04FD">
      <w:pPr>
        <w:pStyle w:val="BodyTextNumbered"/>
        <w:ind w:left="2160"/>
      </w:pPr>
      <w:r>
        <w:t>(ii)       Set HDL to the lesser of Aggregated Resource Output + (60 minutes*SCED Up Ramp Rate), or HASL.</w:t>
      </w:r>
    </w:p>
    <w:p w14:paraId="05D2A9E3" w14:textId="16B26BF3" w:rsidR="001F04FD" w:rsidRDefault="001F04FD" w:rsidP="00FB599C">
      <w:pPr>
        <w:pStyle w:val="BodyTextNumbered"/>
        <w:ind w:left="1440"/>
      </w:pPr>
      <w:r>
        <w:t>(</w:t>
      </w:r>
      <w:r w:rsidR="00D42541">
        <w:t>d</w:t>
      </w:r>
      <w:r>
        <w:t xml:space="preserve">) </w:t>
      </w:r>
      <w:r>
        <w:tab/>
        <w:t xml:space="preserve">For all </w:t>
      </w:r>
      <w:r w:rsidR="00192EFF">
        <w:t>CLRs</w:t>
      </w:r>
      <w:r>
        <w:t xml:space="preserve"> excluding ones with a telemetered status of OUTL:</w:t>
      </w:r>
    </w:p>
    <w:p w14:paraId="7DCC1F56" w14:textId="77777777" w:rsidR="001F04FD" w:rsidRDefault="001F04FD" w:rsidP="001F04FD">
      <w:pPr>
        <w:pStyle w:val="BodyTextNumbered"/>
        <w:ind w:left="2160"/>
      </w:pPr>
      <w:r>
        <w:t xml:space="preserve">(i)  </w:t>
      </w:r>
      <w:r>
        <w:tab/>
        <w:t>Set LDL to the greater of Aggregated Resource Output - (60 minutes * SCED Up Ramp Rate), or LASL; and</w:t>
      </w:r>
    </w:p>
    <w:p w14:paraId="1ADB1716" w14:textId="77777777" w:rsidR="001F04FD" w:rsidRDefault="001F04FD" w:rsidP="001F04FD">
      <w:pPr>
        <w:pStyle w:val="BodyTextNumbered"/>
        <w:ind w:left="2160"/>
      </w:pPr>
      <w:r>
        <w:t>(ii)       Set HDL to the lesser of Aggregated Resource Output + (60 minutes*SCED Down Ramp Rate), or HASL.</w:t>
      </w:r>
    </w:p>
    <w:p w14:paraId="2CDF0F87" w14:textId="43D8E718" w:rsidR="001F04FD" w:rsidRDefault="001F04FD" w:rsidP="00FB599C">
      <w:pPr>
        <w:pStyle w:val="BodyTextNumbered"/>
        <w:ind w:left="1440"/>
      </w:pPr>
      <w:r>
        <w:t>(</w:t>
      </w:r>
      <w:r w:rsidR="00D42541">
        <w:t>e</w:t>
      </w:r>
      <w:r>
        <w:t>)</w:t>
      </w:r>
      <w:r>
        <w:tab/>
        <w:t xml:space="preserve">Add the deployed MW from Load Resources </w:t>
      </w:r>
      <w:r w:rsidR="00A22AE4">
        <w:t>that are not</w:t>
      </w:r>
      <w:r>
        <w:t xml:space="preserve"> </w:t>
      </w:r>
      <w:r w:rsidR="00192EFF">
        <w:t>CLRs</w:t>
      </w:r>
      <w:r w:rsidR="00A22AE4" w:rsidRPr="00A22AE4">
        <w:t xml:space="preserve"> </w:t>
      </w:r>
      <w:r w:rsidR="00A22AE4">
        <w:t>and that are providing RRS</w:t>
      </w:r>
      <w:r>
        <w:t xml:space="preserve"> </w:t>
      </w:r>
      <w:r w:rsidR="00DC32AE">
        <w:t xml:space="preserve">or ECRS </w:t>
      </w:r>
      <w:r>
        <w:t xml:space="preserve">to GTBD linearly ramped over the </w:t>
      </w:r>
      <w:r w:rsidR="002F6E69">
        <w:t>ten</w:t>
      </w:r>
      <w:r>
        <w:t>-minute ramp period</w:t>
      </w:r>
      <w:r w:rsidR="00A22AE4" w:rsidRPr="00A22AE4">
        <w:t xml:space="preserve"> </w:t>
      </w:r>
      <w:r w:rsidR="00A22AE4">
        <w:t xml:space="preserve">and add the deployed MW from Load Resources that are not </w:t>
      </w:r>
      <w:r w:rsidR="00192EFF">
        <w:t>CLRs</w:t>
      </w:r>
      <w:r w:rsidR="00A22AE4">
        <w:t xml:space="preserve"> providing Non-Spin to GTBD linearly ramped over the 30-minute ramp period</w:t>
      </w:r>
      <w:r>
        <w:t xml:space="preserve">.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w:t>
      </w:r>
      <w:r w:rsidR="00A22AE4">
        <w:t xml:space="preserve">restoration period length and </w:t>
      </w:r>
      <w:r>
        <w:t>amount of MW added to GTBD during the restoration period will be determined by validated telemetry</w:t>
      </w:r>
      <w:r w:rsidR="00A22AE4" w:rsidRPr="00A22AE4">
        <w:t xml:space="preserve"> </w:t>
      </w:r>
      <w:r w:rsidR="00A22AE4">
        <w:t>and the type of Ancillary Service deployed from the Resource</w:t>
      </w:r>
      <w:r>
        <w:t xml:space="preserve">.  The TAC shall review the validity of the prices for the bid curve at least annually.  </w:t>
      </w:r>
    </w:p>
    <w:p w14:paraId="046389D6" w14:textId="7D5B1113" w:rsidR="001F04FD" w:rsidRDefault="001F04FD" w:rsidP="001F04FD">
      <w:pPr>
        <w:pStyle w:val="BodyTextNumbered"/>
        <w:ind w:left="1440"/>
      </w:pPr>
      <w:r>
        <w:t>(</w:t>
      </w:r>
      <w:r w:rsidR="00D42541">
        <w:t>f</w:t>
      </w:r>
      <w:r>
        <w:t xml:space="preserve">) </w:t>
      </w:r>
      <w:r>
        <w:tab/>
        <w:t xml:space="preserve">Add the deployed MW from ERS to GTBD. </w:t>
      </w:r>
      <w:r w:rsidR="00CC0885">
        <w:t xml:space="preserve"> </w:t>
      </w:r>
      <w:r>
        <w:t>The amount of deployed MW is determined from the XML messages and ERS contract</w:t>
      </w:r>
      <w:r w:rsidR="00E226B8">
        <w:t>ed capacities for the ERS Time Periods when ERS is deployed</w:t>
      </w:r>
      <w:r>
        <w:t xml:space="preserve">. </w:t>
      </w:r>
      <w:r w:rsidR="00E226B8">
        <w:t xml:space="preserve"> </w:t>
      </w:r>
      <w:r>
        <w:t xml:space="preserve">After recall, an approximation of the amount of un-restored ERS shall be used. </w:t>
      </w:r>
      <w:r w:rsidR="00CC0885">
        <w:t xml:space="preserve"> </w:t>
      </w:r>
      <w:r>
        <w:t xml:space="preserve">After ERCOT recalls each group, GTBD shall be adjusted to reflect restoration </w:t>
      </w:r>
      <w:r w:rsidR="00E226B8">
        <w:t>on</w:t>
      </w:r>
      <w:r>
        <w:t xml:space="preserve"> a linear curve over the </w:t>
      </w:r>
      <w:r w:rsidR="00E226B8">
        <w:t>assumed</w:t>
      </w:r>
      <w:r>
        <w:t xml:space="preserve"> restoration period</w:t>
      </w:r>
      <w:r w:rsidR="00E226B8">
        <w:t xml:space="preserve"> (“RHours”)</w:t>
      </w:r>
      <w:r>
        <w:t>.</w:t>
      </w:r>
    </w:p>
    <w:p w14:paraId="02CF09F4" w14:textId="77777777" w:rsidR="00E226B8" w:rsidRDefault="00E226B8" w:rsidP="00E226B8">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E226B8" w:rsidRPr="00BE4766" w14:paraId="606B1CDB" w14:textId="77777777" w:rsidTr="00E226B8">
        <w:trPr>
          <w:trHeight w:val="351"/>
          <w:tblHeader/>
        </w:trPr>
        <w:tc>
          <w:tcPr>
            <w:tcW w:w="1448" w:type="dxa"/>
          </w:tcPr>
          <w:p w14:paraId="5BBD933B" w14:textId="77777777" w:rsidR="00E226B8" w:rsidRPr="00BE4766" w:rsidRDefault="00E226B8" w:rsidP="00375887">
            <w:pPr>
              <w:pStyle w:val="TableHead"/>
            </w:pPr>
            <w:r>
              <w:t>Parameter</w:t>
            </w:r>
          </w:p>
        </w:tc>
        <w:tc>
          <w:tcPr>
            <w:tcW w:w="1702" w:type="dxa"/>
          </w:tcPr>
          <w:p w14:paraId="12C6241E" w14:textId="77777777" w:rsidR="00E226B8" w:rsidRPr="00BE4766" w:rsidRDefault="00E226B8" w:rsidP="00375887">
            <w:pPr>
              <w:pStyle w:val="TableHead"/>
            </w:pPr>
            <w:r w:rsidRPr="00BE4766">
              <w:t>Unit</w:t>
            </w:r>
          </w:p>
        </w:tc>
        <w:tc>
          <w:tcPr>
            <w:tcW w:w="6120" w:type="dxa"/>
          </w:tcPr>
          <w:p w14:paraId="566449AC" w14:textId="77777777" w:rsidR="00E226B8" w:rsidRPr="00BE4766" w:rsidRDefault="00E226B8" w:rsidP="00375887">
            <w:pPr>
              <w:pStyle w:val="TableHead"/>
            </w:pPr>
            <w:r>
              <w:t>Current Value*</w:t>
            </w:r>
          </w:p>
        </w:tc>
      </w:tr>
      <w:tr w:rsidR="00E226B8" w:rsidRPr="00BE4766" w14:paraId="22B31BD7" w14:textId="77777777" w:rsidTr="00E226B8">
        <w:trPr>
          <w:trHeight w:val="519"/>
        </w:trPr>
        <w:tc>
          <w:tcPr>
            <w:tcW w:w="1448" w:type="dxa"/>
          </w:tcPr>
          <w:p w14:paraId="083EE171" w14:textId="77777777" w:rsidR="00E226B8" w:rsidRPr="008571DE" w:rsidRDefault="00E226B8" w:rsidP="00375887">
            <w:pPr>
              <w:pStyle w:val="TableBody"/>
            </w:pPr>
            <w:r>
              <w:t>RH</w:t>
            </w:r>
            <w:r w:rsidRPr="008571DE">
              <w:t>ours</w:t>
            </w:r>
          </w:p>
        </w:tc>
        <w:tc>
          <w:tcPr>
            <w:tcW w:w="1702" w:type="dxa"/>
          </w:tcPr>
          <w:p w14:paraId="6F5B6465" w14:textId="77777777" w:rsidR="00E226B8" w:rsidRPr="004F59D3" w:rsidRDefault="00E226B8" w:rsidP="00375887">
            <w:pPr>
              <w:pStyle w:val="TableBody"/>
            </w:pPr>
            <w:r>
              <w:t>Hours</w:t>
            </w:r>
          </w:p>
        </w:tc>
        <w:tc>
          <w:tcPr>
            <w:tcW w:w="6120" w:type="dxa"/>
          </w:tcPr>
          <w:p w14:paraId="20276750" w14:textId="1FEE7686" w:rsidR="00E226B8" w:rsidRPr="00484E48" w:rsidRDefault="00E226B8" w:rsidP="00375887">
            <w:pPr>
              <w:pStyle w:val="TableBody"/>
            </w:pPr>
            <w:r>
              <w:t>4.5</w:t>
            </w:r>
          </w:p>
        </w:tc>
      </w:tr>
      <w:tr w:rsidR="00E226B8" w:rsidRPr="00BE4766" w14:paraId="46D9B5CA" w14:textId="77777777" w:rsidTr="00E226B8">
        <w:trPr>
          <w:trHeight w:val="519"/>
        </w:trPr>
        <w:tc>
          <w:tcPr>
            <w:tcW w:w="9270" w:type="dxa"/>
            <w:gridSpan w:val="3"/>
          </w:tcPr>
          <w:p w14:paraId="4C3FCE49" w14:textId="17C9E8F7" w:rsidR="00E226B8" w:rsidRDefault="00E226B8" w:rsidP="00E226B8">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w:t>
            </w:r>
            <w:r w:rsidRPr="00126667">
              <w:lastRenderedPageBreak/>
              <w:t>following ERCOT Board approval unless otherwise directed by the ERCOT Board.  ERCOT shall provide a Market Notice prior to implementation of a revised parameter value</w:t>
            </w:r>
            <w:r>
              <w:t xml:space="preserve">.    </w:t>
            </w:r>
          </w:p>
        </w:tc>
      </w:tr>
    </w:tbl>
    <w:p w14:paraId="79AB7768" w14:textId="4565ADD6" w:rsidR="00DB6E87" w:rsidRDefault="00DB6E87" w:rsidP="00043D95">
      <w:pPr>
        <w:pStyle w:val="BodyTextNumbered"/>
        <w:spacing w:before="240"/>
        <w:ind w:left="1440"/>
      </w:pPr>
      <w:r>
        <w:lastRenderedPageBreak/>
        <w:t>(</w:t>
      </w:r>
      <w:r w:rsidR="00D42541">
        <w:t>g</w:t>
      </w:r>
      <w:r>
        <w:t>)</w:t>
      </w:r>
      <w:r>
        <w:tab/>
        <w:t>Add the MW from Real-Time DC Tie imports during an EEA to GTBD.  The amount of MW is determined from the Dispatch Instruction and should continue over the duration of time specified by the ERCOT Operator.</w:t>
      </w:r>
    </w:p>
    <w:p w14:paraId="4210D87A" w14:textId="7267A9BA" w:rsidR="00DB6E87" w:rsidRDefault="00DB6E87" w:rsidP="00DB6E87">
      <w:pPr>
        <w:pStyle w:val="BodyTextNumbered"/>
        <w:ind w:left="1440"/>
      </w:pPr>
      <w:r>
        <w:t>(</w:t>
      </w:r>
      <w:r w:rsidR="00D42541">
        <w:t>h</w:t>
      </w:r>
      <w:r>
        <w:t>)</w:t>
      </w:r>
      <w:r>
        <w:tab/>
        <w:t xml:space="preserve">Subtract the MW from Real-Time DC Tie exports </w:t>
      </w:r>
      <w:r w:rsidRPr="0087673E">
        <w:t>to address emergency conditions</w:t>
      </w:r>
      <w:r>
        <w:t xml:space="preserve"> in the receiving electric grid from GTBD.  The amount of MW is determined from the Dispatch Instruction and should continue over the duration of time specified by the receiving grid operator.   </w:t>
      </w:r>
    </w:p>
    <w:p w14:paraId="1D03628C" w14:textId="16B1C92D" w:rsidR="00DB6E87" w:rsidRDefault="00DB6E87" w:rsidP="00FB599C">
      <w:pPr>
        <w:pStyle w:val="BodyTextNumbered"/>
        <w:ind w:left="1440"/>
      </w:pPr>
      <w:r>
        <w:t>(</w:t>
      </w:r>
      <w:r w:rsidR="00D42541">
        <w:t>i</w:t>
      </w:r>
      <w:r>
        <w:t>)</w:t>
      </w:r>
      <w:r>
        <w:tab/>
        <w:t>Add the MW from energy delivered to ERCOT through registered BLTs during an EEA to GTBD.  The amount of MW is determined from the Dispatch Instruction and should continue over the duration of time specified by the ERCOT Operator.</w:t>
      </w:r>
    </w:p>
    <w:p w14:paraId="25E8439E" w14:textId="3D7F83C9" w:rsidR="00DB6E87" w:rsidRDefault="00DB6E87" w:rsidP="00DB6E87">
      <w:pPr>
        <w:pStyle w:val="BodyTextNumbered"/>
        <w:ind w:left="1440"/>
      </w:pPr>
      <w:r>
        <w:t>(</w:t>
      </w:r>
      <w:r w:rsidR="00D42541">
        <w:t>j</w:t>
      </w:r>
      <w:r>
        <w:t>)</w:t>
      </w:r>
      <w:r>
        <w:tab/>
        <w:t xml:space="preserve">Subtract the MW from energy delivered from ERCOT to another power pool through registered BLTs </w:t>
      </w:r>
      <w:r w:rsidRPr="00525340">
        <w:t>during emergency conditions in the receiving electric grid</w:t>
      </w:r>
      <w:r>
        <w:t xml:space="preserve"> from GTBD.  The amount of MW is determined from the Dispatch Instruction and should continue over the duration of time specified by the receiving grid operator.</w:t>
      </w:r>
    </w:p>
    <w:p w14:paraId="5A76C50F" w14:textId="47C606E4" w:rsidR="001F04FD" w:rsidRDefault="001F04FD" w:rsidP="00FB599C">
      <w:pPr>
        <w:pStyle w:val="BodyTextNumbered"/>
        <w:ind w:left="1440"/>
      </w:pPr>
      <w:r>
        <w:t>(</w:t>
      </w:r>
      <w:r w:rsidR="00D42541">
        <w:t>k</w:t>
      </w:r>
      <w:r>
        <w:t>)</w:t>
      </w:r>
      <w:r>
        <w:tab/>
        <w:t>Perform a SCED with changes to the inputs in items (a)</w:t>
      </w:r>
      <w:r w:rsidR="00DB6E87" w:rsidRPr="00DB6E87">
        <w:t xml:space="preserve"> </w:t>
      </w:r>
      <w:r w:rsidR="00DB6E87" w:rsidRPr="007B0DCE">
        <w:t>through (</w:t>
      </w:r>
      <w:r w:rsidR="00D42541">
        <w:t>j</w:t>
      </w:r>
      <w:r w:rsidR="00DB6E87" w:rsidRPr="007B0DCE">
        <w:t>)</w:t>
      </w:r>
      <w:r>
        <w:t xml:space="preserve"> above, considering only Competitive Constraints and the non-mitigated Energy Offer Curves.</w:t>
      </w:r>
    </w:p>
    <w:p w14:paraId="1972C74A" w14:textId="2CFA98CD" w:rsidR="001F04FD" w:rsidRDefault="001F04FD" w:rsidP="00617070">
      <w:pPr>
        <w:pStyle w:val="BodyTextNumbered"/>
        <w:ind w:left="1440"/>
      </w:pPr>
      <w:r>
        <w:t>(</w:t>
      </w:r>
      <w:r w:rsidR="00D42541">
        <w:t>l</w:t>
      </w:r>
      <w:r>
        <w:t>)</w:t>
      </w:r>
      <w:r>
        <w:tab/>
        <w:t>Perform mitigation on the submitted Energy Offer Curves using the LMPs from the previous step as the reference LMP.</w:t>
      </w:r>
    </w:p>
    <w:p w14:paraId="63541881" w14:textId="2FADD728" w:rsidR="001F04FD" w:rsidRDefault="001F04FD" w:rsidP="001F04FD">
      <w:pPr>
        <w:pStyle w:val="BodyTextNumbered"/>
        <w:ind w:left="1440"/>
      </w:pPr>
      <w:r>
        <w:t>(</w:t>
      </w:r>
      <w:r w:rsidR="00D42541">
        <w:t>m</w:t>
      </w:r>
      <w:r>
        <w:t>)</w:t>
      </w:r>
      <w:r>
        <w:tab/>
        <w:t>Perform a SCED with the changes to the inputs in items (a)</w:t>
      </w:r>
      <w:r w:rsidR="00DB6E87" w:rsidRPr="00DB6E87">
        <w:t xml:space="preserve"> </w:t>
      </w:r>
      <w:r w:rsidR="00DB6E87">
        <w:t>through (</w:t>
      </w:r>
      <w:r w:rsidR="00D42541">
        <w:t>j</w:t>
      </w:r>
      <w:r w:rsidR="00DB6E87">
        <w:t>)</w:t>
      </w:r>
      <w:r>
        <w:t xml:space="preserve"> above, considering both Competitive and Non-Competitive Constraints and the mitigated Energy </w:t>
      </w:r>
      <w:r w:rsidR="00BD759A">
        <w:t xml:space="preserve">Offer </w:t>
      </w:r>
      <w:r>
        <w:t>Curves.</w:t>
      </w:r>
    </w:p>
    <w:p w14:paraId="2C3CF6AA" w14:textId="2927E56A" w:rsidR="001F04FD" w:rsidRDefault="001F04FD" w:rsidP="00F26F08">
      <w:pPr>
        <w:pStyle w:val="BodyTextNumbered"/>
        <w:spacing w:before="240"/>
        <w:ind w:left="1440"/>
      </w:pPr>
      <w:r>
        <w:t>(</w:t>
      </w:r>
      <w:r w:rsidR="00D42541">
        <w:t>n</w:t>
      </w:r>
      <w:r>
        <w:t>)</w:t>
      </w:r>
      <w:r>
        <w:tab/>
        <w:t>Determine the positive difference between the System Lambda from item (</w:t>
      </w:r>
      <w:r w:rsidR="00D42541">
        <w:t>m</w:t>
      </w:r>
      <w:r>
        <w:t>) above and the System Lambda of the second step in the two-step SCED process described in paragraph (</w:t>
      </w:r>
      <w:r w:rsidR="000C52C9">
        <w:t>10</w:t>
      </w:r>
      <w:r>
        <w:t>)(b) of Section 6.5.7.3, Security Constrained Economic Dispatch.</w:t>
      </w:r>
    </w:p>
    <w:p w14:paraId="39CF9D84" w14:textId="7A98D225" w:rsidR="001F04FD" w:rsidRDefault="001F04FD" w:rsidP="001F04FD">
      <w:pPr>
        <w:pStyle w:val="BodyTextNumbered"/>
        <w:ind w:left="1440"/>
      </w:pPr>
      <w:r>
        <w:t>(</w:t>
      </w:r>
      <w:r w:rsidR="00D42541">
        <w:t>o</w:t>
      </w:r>
      <w:r>
        <w:t>)</w:t>
      </w:r>
      <w:r>
        <w:tab/>
        <w:t>Determine the amount given by the Value of Lost Load (VOLL) minus the sum of the System Lambda of the second step in the two step SCED process described in paragraph (</w:t>
      </w:r>
      <w:r w:rsidR="000C52C9">
        <w:t>10</w:t>
      </w:r>
      <w:r>
        <w:t>)(b) of Section 6.5.7.3 and the Real-Time On-Line Reserve Price Adder.</w:t>
      </w:r>
    </w:p>
    <w:p w14:paraId="6CDAAEE9" w14:textId="478A85BE" w:rsidR="001F04FD" w:rsidRDefault="001F04FD" w:rsidP="001F04FD">
      <w:pPr>
        <w:pStyle w:val="BodyTextNumbered"/>
        <w:ind w:left="1440"/>
        <w:rPr>
          <w:iCs/>
        </w:rPr>
      </w:pPr>
      <w:r>
        <w:t>(</w:t>
      </w:r>
      <w:r w:rsidR="00D42541">
        <w:t>p</w:t>
      </w:r>
      <w:r>
        <w:t>)</w:t>
      </w:r>
      <w:r>
        <w:tab/>
        <w:t>The Real-Time On-Line Reliability Deployment Price Adder is the minimum of items (</w:t>
      </w:r>
      <w:r w:rsidR="00D42541">
        <w:t>n</w:t>
      </w:r>
      <w:r>
        <w:t>) and (</w:t>
      </w:r>
      <w:r w:rsidR="00D42541">
        <w:t>o</w:t>
      </w:r>
      <w:r>
        <w:t>) above</w:t>
      </w:r>
      <w:r w:rsidR="00186D32">
        <w:t xml:space="preserve"> except when ERCOT is directing firm Load shed during </w:t>
      </w:r>
      <w:r w:rsidR="00186D32">
        <w:lastRenderedPageBreak/>
        <w:t>EEA Level 3.  When ERCOT is directing firm Load shed during EEA Level 3 to</w:t>
      </w:r>
      <w:r w:rsidR="00186D32" w:rsidRPr="00A97A65">
        <w:rPr>
          <w:highlight w:val="yellow"/>
        </w:rPr>
        <w:t xml:space="preserve"> </w:t>
      </w:r>
      <w:r w:rsidR="00186D32" w:rsidRPr="008D36F2">
        <w:t>either maintain sufficient PRC or stabilize grid frequency, as described in paragraph (3) of Section 6.5.9.4.2</w:t>
      </w:r>
      <w:r w:rsidR="00186D32" w:rsidRPr="00A97A65">
        <w:t xml:space="preserve">, </w:t>
      </w:r>
      <w:r w:rsidR="00186D32" w:rsidRPr="00A97A65">
        <w:rPr>
          <w:iCs/>
        </w:rPr>
        <w:t>the</w:t>
      </w:r>
      <w:r w:rsidR="00186D32">
        <w:rPr>
          <w:iCs/>
        </w:rPr>
        <w:t xml:space="preserve"> Real-Time On-Line Reliability Deployment Price Adder is the VOLL minus the sum of the System Lambda of the second step in the two-step SCED process described in paragraph (10)(b) of Section 6.5.7.3 and the Real-Time On-Line Reserve Price Adder</w:t>
      </w:r>
      <w:r w:rsidR="00186D32">
        <w:t xml:space="preserve">.  Once ERCOT is no longer directing firm Load shed, as described above, the </w:t>
      </w:r>
      <w:r w:rsidR="00186D32" w:rsidRPr="00741C76">
        <w:t xml:space="preserve">Real-Time On-Line Reliability Deployment Price Adder </w:t>
      </w:r>
      <w:r w:rsidR="00186D32">
        <w:t>will again be set as</w:t>
      </w:r>
      <w:r w:rsidR="00186D32" w:rsidRPr="00741C76">
        <w:t xml:space="preserve"> the minimum of items (n) and (o) above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E702A" w14:paraId="14BE308C" w14:textId="77777777" w:rsidTr="00AE702A">
        <w:trPr>
          <w:trHeight w:val="206"/>
        </w:trPr>
        <w:tc>
          <w:tcPr>
            <w:tcW w:w="9350" w:type="dxa"/>
            <w:shd w:val="pct12" w:color="auto" w:fill="auto"/>
          </w:tcPr>
          <w:p w14:paraId="179B08F3" w14:textId="151AB659" w:rsidR="00AE702A" w:rsidRDefault="00AE702A" w:rsidP="00AE702A">
            <w:pPr>
              <w:pStyle w:val="Instructions"/>
              <w:spacing w:before="120"/>
            </w:pPr>
            <w:bookmarkStart w:id="1166" w:name="_Toc397504972"/>
            <w:bookmarkStart w:id="1167" w:name="_Toc402357100"/>
            <w:bookmarkStart w:id="1168" w:name="_Toc422486480"/>
            <w:bookmarkStart w:id="1169" w:name="_Toc433093332"/>
            <w:bookmarkStart w:id="1170" w:name="_Toc433093490"/>
            <w:bookmarkStart w:id="1171" w:name="_Toc440874719"/>
            <w:bookmarkStart w:id="1172" w:name="_Toc448142274"/>
            <w:bookmarkStart w:id="1173" w:name="_Toc448142431"/>
            <w:bookmarkStart w:id="1174" w:name="_Toc458770267"/>
            <w:bookmarkStart w:id="1175" w:name="_Toc459294235"/>
            <w:bookmarkStart w:id="1176" w:name="_Toc463262728"/>
            <w:bookmarkStart w:id="1177" w:name="_Toc468286802"/>
            <w:bookmarkStart w:id="1178" w:name="_Toc481502848"/>
            <w:bookmarkStart w:id="1179" w:name="_Toc496080016"/>
            <w:r>
              <w:t>[NPRR904, NPRR1006</w:t>
            </w:r>
            <w:r w:rsidR="00AB158D">
              <w:t>,</w:t>
            </w:r>
            <w:r>
              <w:t xml:space="preserve"> NPRR1010</w:t>
            </w:r>
            <w:r w:rsidR="00AB158D">
              <w:t>, NPRR1014</w:t>
            </w:r>
            <w:r w:rsidR="001C2BC4">
              <w:t xml:space="preserve">, </w:t>
            </w:r>
            <w:r w:rsidR="006B01C3">
              <w:t>NPRR1091</w:t>
            </w:r>
            <w:r w:rsidR="0064112F">
              <w:t>, NPRR1105</w:t>
            </w:r>
            <w:r w:rsidR="00192EFF">
              <w:t>, NPRR1188</w:t>
            </w:r>
            <w:r w:rsidR="00BD19E2">
              <w:t>, and NPRR1245</w:t>
            </w:r>
            <w:r>
              <w:t>:  Replace applicable portions of Section 6.5.7.3.1 above with the following upon system implementation for NPRR</w:t>
            </w:r>
            <w:r w:rsidR="00AB158D">
              <w:t>904,</w:t>
            </w:r>
            <w:r>
              <w:t xml:space="preserve"> NPRR1006</w:t>
            </w:r>
            <w:r w:rsidR="00AB158D">
              <w:t>, NPRR1014</w:t>
            </w:r>
            <w:r w:rsidR="001C2BC4">
              <w:t xml:space="preserve">, </w:t>
            </w:r>
            <w:r w:rsidR="006B01C3">
              <w:t>NPRR1091</w:t>
            </w:r>
            <w:r w:rsidR="0064112F">
              <w:t>, NPRR1105</w:t>
            </w:r>
            <w:r w:rsidR="00192EFF">
              <w:t>, or NPRR1188</w:t>
            </w:r>
            <w:r w:rsidR="00F36EFF">
              <w:t>;</w:t>
            </w:r>
            <w:r>
              <w:t xml:space="preserve"> or upon system implementation of the Real-Time Co-Optimization (RTC) project for NPRR1010</w:t>
            </w:r>
            <w:r w:rsidR="00BD19E2">
              <w:t xml:space="preserve"> and NPRR1245</w:t>
            </w:r>
            <w:r>
              <w:t>:]</w:t>
            </w:r>
          </w:p>
          <w:p w14:paraId="16FFD099" w14:textId="57974C55" w:rsidR="00AE702A" w:rsidRPr="003161DC" w:rsidRDefault="00AE702A" w:rsidP="00AB158D">
            <w:pPr>
              <w:keepNext/>
              <w:tabs>
                <w:tab w:val="left" w:pos="1620"/>
              </w:tabs>
              <w:spacing w:before="240" w:after="240"/>
              <w:ind w:left="1620" w:hanging="1620"/>
              <w:outlineLvl w:val="4"/>
              <w:rPr>
                <w:b/>
                <w:bCs/>
                <w:i/>
                <w:iCs/>
                <w:szCs w:val="26"/>
              </w:rPr>
            </w:pPr>
            <w:bookmarkStart w:id="1180" w:name="_Toc60040621"/>
            <w:bookmarkStart w:id="1181" w:name="_Toc65151681"/>
            <w:bookmarkStart w:id="1182" w:name="_Toc80174707"/>
            <w:bookmarkStart w:id="1183" w:name="_Toc108712466"/>
            <w:bookmarkStart w:id="1184" w:name="_Toc112417586"/>
            <w:bookmarkStart w:id="1185" w:name="_Toc119310255"/>
            <w:bookmarkStart w:id="1186" w:name="_Toc125966189"/>
            <w:bookmarkStart w:id="1187" w:name="_Toc135992287"/>
            <w:bookmarkStart w:id="1188" w:name="_Toc170303483"/>
            <w:bookmarkStart w:id="1189" w:name="_Toc175157387"/>
            <w:bookmarkStart w:id="1190" w:name="_Toc189044360"/>
            <w:r w:rsidRPr="003161DC">
              <w:rPr>
                <w:b/>
                <w:bCs/>
                <w:snapToGrid w:val="0"/>
              </w:rPr>
              <w:t>6.5.7.3.1</w:t>
            </w:r>
            <w:r w:rsidRPr="003161DC">
              <w:rPr>
                <w:b/>
                <w:bCs/>
                <w:i/>
                <w:iCs/>
                <w:szCs w:val="26"/>
              </w:rPr>
              <w:tab/>
            </w:r>
            <w:r w:rsidRPr="003161DC">
              <w:rPr>
                <w:b/>
                <w:bCs/>
                <w:snapToGrid w:val="0"/>
              </w:rPr>
              <w:t>Determination of Real-Time Reliability Deployment Price Adder</w:t>
            </w:r>
            <w:bookmarkEnd w:id="1180"/>
            <w:bookmarkEnd w:id="1181"/>
            <w:bookmarkEnd w:id="1182"/>
            <w:bookmarkEnd w:id="1183"/>
            <w:bookmarkEnd w:id="1184"/>
            <w:bookmarkEnd w:id="1185"/>
            <w:bookmarkEnd w:id="1186"/>
            <w:bookmarkEnd w:id="1187"/>
            <w:bookmarkEnd w:id="1188"/>
            <w:bookmarkEnd w:id="1189"/>
            <w:bookmarkEnd w:id="1190"/>
          </w:p>
          <w:p w14:paraId="6EF245A9" w14:textId="77777777" w:rsidR="00AE702A" w:rsidRPr="003161DC" w:rsidRDefault="00AE702A" w:rsidP="00AE702A">
            <w:pPr>
              <w:spacing w:after="240"/>
              <w:ind w:left="720" w:hanging="720"/>
            </w:pPr>
            <w:r w:rsidRPr="003161DC">
              <w:t>(1)</w:t>
            </w:r>
            <w:r w:rsidRPr="003161DC">
              <w:tab/>
              <w:t>The following categories of reliability deployments are considered in the determination of the Real-Time Reliability Deployment Price Adder</w:t>
            </w:r>
            <w:r>
              <w:t xml:space="preserve"> for Energy, and the Real-Time Reliability Deployment Price Adders for Ancillary Services</w:t>
            </w:r>
            <w:r w:rsidRPr="003161DC">
              <w:t>:</w:t>
            </w:r>
          </w:p>
          <w:p w14:paraId="5F675A8E" w14:textId="14B450EF" w:rsidR="00AE702A" w:rsidRPr="003161DC" w:rsidRDefault="00AE702A" w:rsidP="00AE702A">
            <w:pPr>
              <w:spacing w:after="240"/>
              <w:ind w:left="1440" w:hanging="720"/>
            </w:pPr>
            <w:r w:rsidRPr="003161DC">
              <w:t>(a)</w:t>
            </w:r>
            <w:r w:rsidRPr="003161DC">
              <w:tab/>
              <w:t>RUC-committed Resources, except for those whose QSEs have opted out of RUC Settlement in accordance with paragraph (1</w:t>
            </w:r>
            <w:r w:rsidR="00910305">
              <w:t>4</w:t>
            </w:r>
            <w:r w:rsidRPr="003161DC">
              <w:t>) of Section 5.5.2, Reliability Unit Commitment (RUC) Process;</w:t>
            </w:r>
          </w:p>
          <w:p w14:paraId="1B09E4A9" w14:textId="50852E63" w:rsidR="00AE702A" w:rsidRPr="003161DC" w:rsidRDefault="00AE702A" w:rsidP="00AE702A">
            <w:pPr>
              <w:spacing w:after="240"/>
              <w:ind w:left="1440" w:hanging="720"/>
            </w:pPr>
            <w:r w:rsidRPr="003161DC">
              <w:t>(b)</w:t>
            </w:r>
            <w:r w:rsidRPr="003161DC">
              <w:tab/>
              <w:t>RMR Resources that are On-Line, including capacity secured to prevent an Emergency Condition pursuant to paragraph (</w:t>
            </w:r>
            <w:r w:rsidR="00847E53">
              <w:t>4</w:t>
            </w:r>
            <w:r w:rsidRPr="003161DC">
              <w:t xml:space="preserve">) of Section 6.5.1.1, ERCOT Control Area Authority; </w:t>
            </w:r>
          </w:p>
          <w:p w14:paraId="6595F086" w14:textId="1138F07E" w:rsidR="00AE702A" w:rsidRPr="003161DC" w:rsidRDefault="00AE702A" w:rsidP="00AE702A">
            <w:pPr>
              <w:spacing w:after="240"/>
              <w:ind w:left="1440" w:hanging="720"/>
            </w:pPr>
            <w:r w:rsidRPr="003161DC">
              <w:t>(c)</w:t>
            </w:r>
            <w:r w:rsidRPr="003161DC">
              <w:tab/>
              <w:t xml:space="preserve">Deployed Load Resources other than </w:t>
            </w:r>
            <w:r w:rsidR="00192EFF">
              <w:t>CLRs</w:t>
            </w:r>
            <w:r w:rsidRPr="003161DC">
              <w:t>;</w:t>
            </w:r>
          </w:p>
          <w:p w14:paraId="4439294F" w14:textId="5C5828E5" w:rsidR="00AE702A" w:rsidRDefault="00AE702A" w:rsidP="00AE702A">
            <w:pPr>
              <w:spacing w:after="240"/>
              <w:ind w:left="1440" w:hanging="720"/>
            </w:pPr>
            <w:r w:rsidRPr="003161DC">
              <w:t>(d)</w:t>
            </w:r>
            <w:r w:rsidRPr="003161DC">
              <w:tab/>
              <w:t>Deployed ERS;</w:t>
            </w:r>
          </w:p>
          <w:p w14:paraId="6C96CD70" w14:textId="77777777" w:rsidR="00625EF6" w:rsidRPr="003161DC" w:rsidRDefault="00625EF6" w:rsidP="00625EF6">
            <w:pPr>
              <w:spacing w:after="240"/>
              <w:ind w:left="1440" w:hanging="720"/>
            </w:pPr>
            <w:r w:rsidRPr="003161DC">
              <w:t>(e)</w:t>
            </w:r>
            <w:r w:rsidRPr="003161DC">
              <w:tab/>
              <w:t xml:space="preserve">ERCOT-directed DC Tie imports during an EEA or transmission emergency where the total adjustment shall not exceed 1,250 MW in a single interval; </w:t>
            </w:r>
          </w:p>
          <w:p w14:paraId="70542D48" w14:textId="77777777" w:rsidR="00625EF6" w:rsidRPr="003161DC" w:rsidRDefault="00625EF6" w:rsidP="00625EF6">
            <w:pPr>
              <w:spacing w:after="240"/>
              <w:ind w:left="1440" w:hanging="720"/>
            </w:pPr>
            <w:r w:rsidRPr="003161DC">
              <w:t>(f)</w:t>
            </w:r>
            <w:r w:rsidRPr="003161DC">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685A1D10" w14:textId="77777777" w:rsidR="00625EF6" w:rsidRPr="003161DC" w:rsidRDefault="00625EF6" w:rsidP="00625EF6">
            <w:pPr>
              <w:spacing w:after="240"/>
              <w:ind w:left="1440" w:hanging="720"/>
            </w:pPr>
            <w:r w:rsidRPr="003161DC">
              <w:t>(g)</w:t>
            </w:r>
            <w:r w:rsidRPr="003161DC">
              <w:tab/>
              <w:t xml:space="preserve">ERCOT-directed curtailment of DC Tie imports below the higher of DC Tie advisory import limit as of 0600 in the Day-Ahead or subsequent advisory import limit due to an emergency action by a neighboring system operator </w:t>
            </w:r>
            <w:r w:rsidRPr="003161DC">
              <w:lastRenderedPageBreak/>
              <w:t>during an emergency that is accommodated by ERCOT where the total adjustment shall not exceed 1,250 MW in a single interval;</w:t>
            </w:r>
          </w:p>
          <w:p w14:paraId="6419DD08" w14:textId="77777777" w:rsidR="00625EF6" w:rsidRPr="003161DC" w:rsidRDefault="00625EF6" w:rsidP="00625EF6">
            <w:pPr>
              <w:spacing w:after="240"/>
              <w:ind w:left="1440" w:hanging="720"/>
            </w:pPr>
            <w:r w:rsidRPr="003161DC">
              <w:t>(h)</w:t>
            </w:r>
            <w:r w:rsidRPr="003161DC">
              <w:tab/>
              <w:t xml:space="preserve">ERCOT-directed DC Tie exports to address emergency conditions in the receiving electric grid where the total adjustment shall not exceed 1,250 MW in a single interval; </w:t>
            </w:r>
          </w:p>
          <w:p w14:paraId="2C65E11D" w14:textId="4F415D2A" w:rsidR="00625EF6" w:rsidRDefault="00625EF6" w:rsidP="00625EF6">
            <w:pPr>
              <w:spacing w:after="240"/>
              <w:ind w:left="1440" w:hanging="720"/>
            </w:pPr>
            <w:r w:rsidRPr="003161DC">
              <w:rPr>
                <w:lang w:val="x-none" w:eastAsia="x-none"/>
              </w:rPr>
              <w:t>(i)</w:t>
            </w:r>
            <w:r w:rsidRPr="003161DC">
              <w:rPr>
                <w:lang w:val="x-none" w:eastAsia="x-none"/>
              </w:rPr>
              <w:tab/>
              <w:t xml:space="preserve">ERCOT-directed curtailment of DC Tie exports below the DC Tie advisory </w:t>
            </w:r>
            <w:r w:rsidRPr="003161DC">
              <w:rPr>
                <w:lang w:eastAsia="x-none"/>
              </w:rPr>
              <w:t>export</w:t>
            </w:r>
            <w:r w:rsidRPr="003161DC">
              <w:rPr>
                <w:lang w:val="x-none" w:eastAsia="x-none"/>
              </w:rPr>
              <w:t xml:space="preserve"> limit as of </w:t>
            </w:r>
            <w:r w:rsidRPr="003161DC">
              <w:rPr>
                <w:lang w:eastAsia="x-none"/>
              </w:rPr>
              <w:t>06</w:t>
            </w:r>
            <w:r w:rsidRPr="003161DC">
              <w:rPr>
                <w:lang w:val="x-none" w:eastAsia="x-none"/>
              </w:rPr>
              <w:t xml:space="preserve">00 in the Day-Ahead </w:t>
            </w:r>
            <w:r w:rsidRPr="003161DC">
              <w:rPr>
                <w:lang w:eastAsia="x-none"/>
              </w:rPr>
              <w:t xml:space="preserve">or subsequent advisory export limit </w:t>
            </w:r>
            <w:r w:rsidRPr="003161DC">
              <w:rPr>
                <w:lang w:val="x-none" w:eastAsia="x-none"/>
              </w:rPr>
              <w:t>during EEA, a transmission emergency, or to address local transmission system limitations where the total adjustment shall not exceed 1,250 MW in a single interval;</w:t>
            </w:r>
          </w:p>
          <w:p w14:paraId="4EE31F6C" w14:textId="393CCCE8" w:rsidR="00AE702A" w:rsidRPr="003161DC" w:rsidRDefault="00625EF6" w:rsidP="00AE702A">
            <w:pPr>
              <w:spacing w:before="240" w:after="240"/>
              <w:ind w:left="1440" w:hanging="720"/>
            </w:pPr>
            <w:r>
              <w:t>(j</w:t>
            </w:r>
            <w:r w:rsidR="00AE702A" w:rsidRPr="003161DC">
              <w:t>)</w:t>
            </w:r>
            <w:r w:rsidR="00AE702A" w:rsidRPr="003161DC">
              <w:tab/>
              <w:t>Energy delivered to ERCOT through registered Block Load Transf</w:t>
            </w:r>
            <w:r>
              <w:t>ers (BLTs) during an EEA;</w:t>
            </w:r>
          </w:p>
          <w:p w14:paraId="7A394900" w14:textId="3B5E49D2" w:rsidR="00AE702A" w:rsidRDefault="00625EF6" w:rsidP="00AE702A">
            <w:pPr>
              <w:spacing w:after="240"/>
              <w:ind w:left="1440" w:hanging="720"/>
            </w:pPr>
            <w:r>
              <w:t>(k</w:t>
            </w:r>
            <w:r w:rsidR="00AE702A" w:rsidRPr="003161DC">
              <w:t>)</w:t>
            </w:r>
            <w:r w:rsidR="00AE702A" w:rsidRPr="003161DC">
              <w:tab/>
              <w:t>Energy delivered from ERCOT to another power pool through registered BLTs during emergency conditions</w:t>
            </w:r>
            <w:r>
              <w:t xml:space="preserve"> in the receiving electric grid;</w:t>
            </w:r>
          </w:p>
          <w:p w14:paraId="69E30797" w14:textId="1190C36A" w:rsidR="0064112F" w:rsidRDefault="00625EF6" w:rsidP="0064112F">
            <w:pPr>
              <w:spacing w:after="240"/>
              <w:ind w:left="1440" w:hanging="720"/>
            </w:pPr>
            <w:r>
              <w:t>(l)</w:t>
            </w:r>
            <w:r>
              <w:tab/>
              <w:t>ERCOT-directed deployment of TDSP standard offer Load management programs</w:t>
            </w:r>
            <w:r w:rsidR="0064112F">
              <w:t>;</w:t>
            </w:r>
          </w:p>
          <w:p w14:paraId="1E19F5C0" w14:textId="2FD3EA2F" w:rsidR="006B01C3" w:rsidRPr="00A96E57" w:rsidRDefault="0064112F" w:rsidP="006B01C3">
            <w:pPr>
              <w:spacing w:after="240" w:line="256" w:lineRule="auto"/>
              <w:ind w:left="1440" w:hanging="720"/>
            </w:pPr>
            <w:r>
              <w:t>(m)      ERCOT-directed deployment of distribution voltage reduction measures</w:t>
            </w:r>
            <w:r w:rsidR="006B01C3" w:rsidRPr="00A96E57">
              <w:t>;</w:t>
            </w:r>
          </w:p>
          <w:p w14:paraId="644DEB57" w14:textId="7A81A943" w:rsidR="00625EF6" w:rsidRDefault="006B01C3" w:rsidP="006B01C3">
            <w:pPr>
              <w:spacing w:after="240"/>
              <w:ind w:left="1440" w:hanging="720"/>
            </w:pPr>
            <w:r w:rsidRPr="00A96E57">
              <w:t>(</w:t>
            </w:r>
            <w:r>
              <w:t>n</w:t>
            </w:r>
            <w:r w:rsidRPr="00A96E57">
              <w:t>)</w:t>
            </w:r>
            <w:r w:rsidRPr="00A96E57">
              <w:tab/>
              <w:t>ERCOT-directed deployment of Off-Line Non-Spin</w:t>
            </w:r>
            <w:r w:rsidR="00BD19E2">
              <w:t xml:space="preserve">; </w:t>
            </w:r>
            <w:r w:rsidR="002E713A">
              <w:t>a</w:t>
            </w:r>
            <w:r w:rsidR="00BD19E2">
              <w:t>nd</w:t>
            </w:r>
          </w:p>
          <w:p w14:paraId="301E45D6" w14:textId="5B03F3A5" w:rsidR="00BD19E2" w:rsidRPr="003161DC" w:rsidRDefault="00BD19E2" w:rsidP="006B01C3">
            <w:pPr>
              <w:spacing w:after="240"/>
              <w:ind w:left="1440" w:hanging="720"/>
            </w:pPr>
            <w:r w:rsidRPr="00D476E3">
              <w:rPr>
                <w:iCs/>
              </w:rPr>
              <w:t>(o)</w:t>
            </w:r>
            <w:r w:rsidRPr="00D476E3">
              <w:rPr>
                <w:iCs/>
              </w:rPr>
              <w:tab/>
              <w:t>ERCOT-directed firm Load shed during EEA Level 3, as described in paragraph (3) of Section 6.5.9.4.2, EEA Levels.</w:t>
            </w:r>
          </w:p>
          <w:p w14:paraId="291B11FA" w14:textId="77777777" w:rsidR="00AE702A" w:rsidRPr="003161DC" w:rsidRDefault="00AE702A" w:rsidP="00625EF6">
            <w:pPr>
              <w:spacing w:after="240"/>
              <w:ind w:left="720" w:hanging="720"/>
            </w:pPr>
            <w:r w:rsidRPr="003161DC">
              <w:t>(2)</w:t>
            </w:r>
            <w:r w:rsidRPr="003161DC">
              <w:tab/>
              <w:t xml:space="preserve">The Real-Time Reliability Deployment Price Adder </w:t>
            </w:r>
            <w:r>
              <w:t>for Energy, and Real-Time Reliability Deployment Price Adders</w:t>
            </w:r>
            <w:r w:rsidRPr="003161DC">
              <w:t xml:space="preserve"> </w:t>
            </w:r>
            <w:r>
              <w:t>for Ancillary Services are</w:t>
            </w:r>
            <w:r w:rsidRPr="003161DC">
              <w:t xml:space="preserve"> estimation</w:t>
            </w:r>
            <w:r>
              <w:t>s</w:t>
            </w:r>
            <w:r w:rsidRPr="003161DC">
              <w:t xml:space="preserve"> of the impact to energy prices</w:t>
            </w:r>
            <w:r>
              <w:t xml:space="preserve"> and Real-Time MCPCs</w:t>
            </w:r>
            <w:r w:rsidRPr="003161DC">
              <w:t xml:space="preserve"> due to the above categories of reliability deployments.  For intervals where there are reliability deployments as described in paragraph (1) above, the Real-Time Reliability Deployment Price </w:t>
            </w:r>
            <w:r>
              <w:t>A</w:t>
            </w:r>
            <w:r w:rsidRPr="003161DC">
              <w:t>dder</w:t>
            </w:r>
            <w:r>
              <w:t xml:space="preserve"> for Energy and Real-Time Reliability Deployment Price Adders for Ancillary Services</w:t>
            </w:r>
            <w:r w:rsidRPr="003161DC">
              <w:t xml:space="preserve"> </w:t>
            </w:r>
            <w:r>
              <w:t>are</w:t>
            </w:r>
            <w:r w:rsidRPr="003161DC">
              <w:t xml:space="preserve"> determined as follows:</w:t>
            </w:r>
          </w:p>
          <w:p w14:paraId="0E8D67EF" w14:textId="2BDE34F0" w:rsidR="00AE702A" w:rsidRDefault="00AE702A" w:rsidP="00AE702A">
            <w:pPr>
              <w:spacing w:after="240"/>
              <w:ind w:left="1440" w:hanging="720"/>
            </w:pPr>
            <w:r w:rsidRPr="003161DC">
              <w:t>(a)</w:t>
            </w:r>
            <w:r w:rsidRPr="003161DC">
              <w:tab/>
              <w:t xml:space="preserve">For </w:t>
            </w:r>
            <w:r w:rsidR="00A11229" w:rsidRPr="00A96E57">
              <w:t xml:space="preserve">Off-Line Non-Spin Resources that are brought On-Line by ERCOT deployment instruction, </w:t>
            </w:r>
            <w:r w:rsidRPr="003161DC">
              <w:t>RUC-committed Resources with a telemetered Resource Status of ONRUC and for RMR Resources that are On-Line</w:t>
            </w:r>
            <w:r>
              <w:t>:</w:t>
            </w:r>
          </w:p>
          <w:p w14:paraId="61D8F392" w14:textId="77777777" w:rsidR="00AE702A" w:rsidRDefault="00AE702A" w:rsidP="00AE702A">
            <w:pPr>
              <w:spacing w:after="240"/>
              <w:ind w:left="2160" w:hanging="720"/>
            </w:pPr>
            <w:r>
              <w:t>(i)</w:t>
            </w:r>
            <w:r>
              <w:tab/>
              <w:t>S</w:t>
            </w:r>
            <w:r w:rsidRPr="003161DC">
              <w:t>et the LSL</w:t>
            </w:r>
            <w:r>
              <w:t xml:space="preserve"> </w:t>
            </w:r>
            <w:r w:rsidRPr="003161DC">
              <w:t>and LDL to zero</w:t>
            </w:r>
            <w:r>
              <w:t>;</w:t>
            </w:r>
          </w:p>
          <w:p w14:paraId="5B050746" w14:textId="77777777" w:rsidR="00AE702A" w:rsidRDefault="00AE702A" w:rsidP="00AE702A">
            <w:pPr>
              <w:spacing w:after="240"/>
              <w:ind w:left="2160" w:hanging="720"/>
            </w:pPr>
            <w:r>
              <w:t>(ii)</w:t>
            </w:r>
            <w:r>
              <w:tab/>
              <w:t>Remove all Ancillary Service Offers; and</w:t>
            </w:r>
          </w:p>
          <w:p w14:paraId="6AF4DD19" w14:textId="71358DBD" w:rsidR="00AE702A" w:rsidRDefault="00AE702A" w:rsidP="00AE702A">
            <w:pPr>
              <w:spacing w:after="240"/>
              <w:ind w:left="2160" w:hanging="720"/>
            </w:pPr>
            <w:r>
              <w:lastRenderedPageBreak/>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rice for all capacity between 0 MW and the HSL of the Resource.</w:t>
            </w:r>
          </w:p>
          <w:p w14:paraId="4ED2EBA9" w14:textId="77777777" w:rsidR="00AE702A" w:rsidRDefault="00AE702A" w:rsidP="00AE702A">
            <w:pPr>
              <w:spacing w:after="240"/>
              <w:ind w:left="1440" w:hanging="720"/>
            </w:pPr>
            <w:r w:rsidRPr="003161DC">
              <w:t>(b)</w:t>
            </w:r>
            <w:r w:rsidRPr="003161DC">
              <w:tab/>
              <w:t>Notwithstanding item (a) above, for RUC-committed Combined Cycle Generation Resources with a telemetered Resource Status of ONRUC that were instructed by ERCOT to transition to a different configuration to provide additional capacity</w:t>
            </w:r>
            <w:r>
              <w:t>:</w:t>
            </w:r>
          </w:p>
          <w:p w14:paraId="0CA79BAC" w14:textId="77777777" w:rsidR="00AE702A" w:rsidRDefault="00AE702A" w:rsidP="00AE702A">
            <w:pPr>
              <w:spacing w:after="240"/>
              <w:ind w:left="2160" w:hanging="720"/>
            </w:pPr>
            <w:r>
              <w:t>(i)</w:t>
            </w:r>
            <w:r>
              <w:tab/>
              <w:t>S</w:t>
            </w:r>
            <w:r w:rsidRPr="003161DC">
              <w:t>et the LSL and LDL equal to the minimum of their current value and the COP HSL of the QSE-committed configuration for the RUC hour at the snapshot time of the RUC instruction</w:t>
            </w:r>
            <w:r>
              <w:t>;</w:t>
            </w:r>
          </w:p>
          <w:p w14:paraId="150BD0D5" w14:textId="77777777" w:rsidR="00AE702A" w:rsidRDefault="00AE702A" w:rsidP="00AE702A">
            <w:pPr>
              <w:spacing w:after="240"/>
              <w:ind w:left="2160" w:hanging="720"/>
            </w:pPr>
            <w:r>
              <w:t>(ii)</w:t>
            </w:r>
            <w:r>
              <w:tab/>
              <w:t xml:space="preserve">Set the maximum Ancillary Service capabilities of the Resource equal to the minimum of their current value and COP Ancillary Service capabilities </w:t>
            </w:r>
            <w:r w:rsidRPr="003161DC">
              <w:t>of the QSE-committed configuration for the RUC hour at the snapshot time of the RUC instruction</w:t>
            </w:r>
            <w:r>
              <w:t>; and</w:t>
            </w:r>
          </w:p>
          <w:p w14:paraId="01572977" w14:textId="493AC40F" w:rsidR="00AE702A" w:rsidRPr="003161DC"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 xml:space="preserve">rice for the additional capacity of the Resource, defined as the positive difference between the Resource’s current telemetered HSL and the COP </w:t>
            </w:r>
            <w:r w:rsidRPr="003161DC">
              <w:t>HSL of the QSE-committed configuration for the RUC hour at the snapshot time of the RUC instruction</w:t>
            </w:r>
            <w:r>
              <w:t xml:space="preserve">.  </w:t>
            </w:r>
          </w:p>
          <w:p w14:paraId="64EE056A" w14:textId="07AC7853" w:rsidR="00625EF6" w:rsidRPr="003161DC" w:rsidRDefault="00625EF6" w:rsidP="00625EF6">
            <w:pPr>
              <w:spacing w:before="240" w:after="240"/>
              <w:ind w:left="1440" w:hanging="720"/>
              <w:rPr>
                <w:lang w:val="x-none" w:eastAsia="x-none"/>
              </w:rPr>
            </w:pPr>
            <w:r w:rsidRPr="003161DC">
              <w:rPr>
                <w:lang w:val="x-none" w:eastAsia="x-none"/>
              </w:rPr>
              <w:t>(</w:t>
            </w:r>
            <w:r>
              <w:rPr>
                <w:lang w:eastAsia="x-none"/>
              </w:rPr>
              <w:t>c</w:t>
            </w:r>
            <w:r w:rsidRPr="003161DC">
              <w:rPr>
                <w:lang w:val="x-none" w:eastAsia="x-none"/>
              </w:rPr>
              <w:t>)</w:t>
            </w:r>
            <w:r w:rsidRPr="003161DC">
              <w:rPr>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1A52A613" w14:textId="77777777" w:rsidR="00625EF6" w:rsidRPr="003161DC" w:rsidRDefault="00625EF6" w:rsidP="00625EF6">
            <w:pPr>
              <w:spacing w:after="240"/>
              <w:ind w:left="2160" w:hanging="720"/>
            </w:pPr>
            <w:r w:rsidRPr="003161DC">
              <w:t>(i)</w:t>
            </w:r>
            <w:r w:rsidRPr="003161DC">
              <w:tab/>
              <w:t xml:space="preserve">If the Generation Resource SCED Base Point is not at LDL, set LDL to the greater of Aggregated Resource Output - (60 minutes * </w:t>
            </w:r>
            <w:r>
              <w:t xml:space="preserve">Normal </w:t>
            </w:r>
            <w:r w:rsidRPr="003161DC">
              <w:t>Ramp Rate</w:t>
            </w:r>
            <w:r>
              <w:t xml:space="preserve"> down</w:t>
            </w:r>
            <w:r w:rsidRPr="003161DC">
              <w:t>), or LSL; and</w:t>
            </w:r>
          </w:p>
          <w:p w14:paraId="44F1E954" w14:textId="7E90C6CA" w:rsidR="00625EF6" w:rsidRDefault="00625EF6" w:rsidP="00625EF6">
            <w:pPr>
              <w:spacing w:after="240"/>
              <w:ind w:left="2160" w:hanging="720"/>
            </w:pPr>
            <w:r w:rsidRPr="003161DC">
              <w:t>(ii)</w:t>
            </w:r>
            <w:r w:rsidRPr="003161DC">
              <w:tab/>
              <w:t xml:space="preserve">If the Generation Resource SCED Base Point is not at HDL, set HDL to the lesser of Aggregated Resource Output + (60 minutes * </w:t>
            </w:r>
            <w:r>
              <w:t>Normal</w:t>
            </w:r>
            <w:r w:rsidRPr="003161DC">
              <w:t xml:space="preserve"> Ramp Rate</w:t>
            </w:r>
            <w:r>
              <w:t xml:space="preserve"> up</w:t>
            </w:r>
            <w:r w:rsidRPr="003161DC">
              <w:t xml:space="preserve">), or HSL. </w:t>
            </w:r>
          </w:p>
          <w:p w14:paraId="165C6BA7" w14:textId="13272DE5" w:rsidR="00C34705" w:rsidRPr="00A552C3" w:rsidRDefault="00C34705" w:rsidP="00C34705">
            <w:pPr>
              <w:spacing w:before="240" w:after="240"/>
              <w:ind w:left="1440" w:hanging="720"/>
            </w:pPr>
            <w:r w:rsidRPr="00A552C3">
              <w:t>(d)</w:t>
            </w:r>
            <w:r w:rsidRPr="00A552C3">
              <w:tab/>
              <w:t>For all On-Line ESRs:</w:t>
            </w:r>
          </w:p>
          <w:p w14:paraId="729A9C4A" w14:textId="77777777" w:rsidR="00C34705" w:rsidRPr="00A552C3" w:rsidRDefault="00C34705" w:rsidP="00C34705">
            <w:pPr>
              <w:spacing w:after="240"/>
              <w:ind w:left="2160" w:hanging="720"/>
            </w:pPr>
            <w:r w:rsidRPr="00A552C3">
              <w:t>(i)</w:t>
            </w:r>
            <w:r w:rsidRPr="00A552C3">
              <w:tab/>
              <w:t>If the ESR SCED Base Point is not at LDL, set LDL to the greater of Aggregated Resource Output - (60 minutes * Normal Ramp Rate down), or LSL; and</w:t>
            </w:r>
          </w:p>
          <w:p w14:paraId="306AACAF" w14:textId="77777777" w:rsidR="00C34705" w:rsidRPr="00A552C3" w:rsidRDefault="00C34705" w:rsidP="00C34705">
            <w:pPr>
              <w:spacing w:after="240"/>
              <w:ind w:left="2160" w:hanging="720"/>
            </w:pPr>
            <w:r w:rsidRPr="00A552C3">
              <w:lastRenderedPageBreak/>
              <w:t>(ii)</w:t>
            </w:r>
            <w:r w:rsidRPr="00A552C3">
              <w:tab/>
              <w:t>If the ESR SCED Base Point is not at HDL, set HDL to the lesser of Aggregated Resource Output + (60 minutes * Normal Ramp Rate up), or HSL.</w:t>
            </w:r>
          </w:p>
          <w:p w14:paraId="7374AD49" w14:textId="51677878" w:rsidR="00625EF6" w:rsidRPr="003161DC" w:rsidRDefault="00625EF6" w:rsidP="00C34705">
            <w:pPr>
              <w:spacing w:after="240"/>
              <w:ind w:left="1440" w:hanging="720"/>
            </w:pPr>
            <w:r w:rsidRPr="003161DC">
              <w:t>(</w:t>
            </w:r>
            <w:r w:rsidR="00C34705">
              <w:t>e</w:t>
            </w:r>
            <w:r w:rsidRPr="003161DC">
              <w:t>)</w:t>
            </w:r>
            <w:r w:rsidRPr="003161DC">
              <w:tab/>
              <w:t xml:space="preserve">For all </w:t>
            </w:r>
            <w:r w:rsidR="00192EFF">
              <w:t>CLRs</w:t>
            </w:r>
            <w:r w:rsidRPr="003161DC">
              <w:t xml:space="preserve"> excluding ones with a telemetered status of OUTL</w:t>
            </w:r>
            <w:r w:rsidR="00192EFF" w:rsidRPr="00812ECB">
              <w:t>, ONTEST, or ONHOLD</w:t>
            </w:r>
            <w:r w:rsidRPr="003161DC">
              <w:t>:</w:t>
            </w:r>
          </w:p>
          <w:p w14:paraId="47FF570D" w14:textId="40DED5CA" w:rsidR="00477F93" w:rsidRPr="003161DC" w:rsidRDefault="00477F93" w:rsidP="00477F93">
            <w:pPr>
              <w:spacing w:after="240"/>
              <w:ind w:left="2160" w:hanging="720"/>
            </w:pPr>
            <w:r w:rsidRPr="003161DC">
              <w:t>(i)</w:t>
            </w:r>
            <w:r w:rsidRPr="003161DC">
              <w:tab/>
              <w:t xml:space="preserve">If the </w:t>
            </w:r>
            <w:r w:rsidR="00192EFF">
              <w:t>CLR</w:t>
            </w:r>
            <w:r w:rsidRPr="003161DC">
              <w:t xml:space="preserve"> SCED Base Point is not at LDL, set LDL to the greater of Aggregated Resource Output - (60 minutes * </w:t>
            </w:r>
            <w:r>
              <w:t>Normal</w:t>
            </w:r>
            <w:r w:rsidRPr="003161DC">
              <w:t xml:space="preserve"> Ramp Rate</w:t>
            </w:r>
            <w:r>
              <w:t xml:space="preserve"> down</w:t>
            </w:r>
            <w:r w:rsidRPr="003161DC">
              <w:t>), or LSL; and</w:t>
            </w:r>
          </w:p>
          <w:p w14:paraId="29BB79C5" w14:textId="0309626F" w:rsidR="00477F93" w:rsidRDefault="00477F93" w:rsidP="00477F93">
            <w:pPr>
              <w:spacing w:after="240"/>
              <w:ind w:left="2160" w:hanging="720"/>
            </w:pPr>
            <w:r w:rsidRPr="003161DC">
              <w:t>(ii)</w:t>
            </w:r>
            <w:r w:rsidRPr="003161DC">
              <w:tab/>
              <w:t xml:space="preserve">If the </w:t>
            </w:r>
            <w:r w:rsidR="00192EFF">
              <w:t>CLR</w:t>
            </w:r>
            <w:r w:rsidRPr="003161DC">
              <w:t xml:space="preserve"> SCED Base Point is not at HDL, set HDL to the lesser of Aggregated Resource Output + (60 minutes * </w:t>
            </w:r>
            <w:r>
              <w:t>Normal</w:t>
            </w:r>
            <w:r w:rsidRPr="003161DC">
              <w:t xml:space="preserve"> Ramp Rate</w:t>
            </w:r>
            <w:r>
              <w:t xml:space="preserve"> up</w:t>
            </w:r>
            <w:r w:rsidRPr="003161DC">
              <w:t>), or HSL.</w:t>
            </w:r>
          </w:p>
          <w:p w14:paraId="0D4712AC" w14:textId="4A2EC4E3" w:rsidR="00AE702A" w:rsidRPr="003161DC" w:rsidRDefault="00AE702A" w:rsidP="00AE702A">
            <w:pPr>
              <w:spacing w:before="240" w:after="240"/>
              <w:ind w:left="1440" w:hanging="720"/>
            </w:pPr>
            <w:r w:rsidRPr="003161DC">
              <w:t>(</w:t>
            </w:r>
            <w:r w:rsidR="00C34705">
              <w:t>f</w:t>
            </w:r>
            <w:r w:rsidRPr="003161DC">
              <w:t>)</w:t>
            </w:r>
            <w:r w:rsidRPr="003161DC">
              <w:tab/>
              <w:t xml:space="preserve">Add the deployed MW from Load Resources </w:t>
            </w:r>
            <w:r w:rsidR="001C2BC4">
              <w:t>that are not</w:t>
            </w:r>
            <w:r w:rsidRPr="003161DC">
              <w:t xml:space="preserve"> </w:t>
            </w:r>
            <w:r w:rsidR="00192EFF">
              <w:t>CLRs</w:t>
            </w:r>
            <w:r w:rsidRPr="003161DC">
              <w:t xml:space="preserve"> </w:t>
            </w:r>
            <w:r w:rsidR="001C2BC4">
              <w:t>and that are providing RRS</w:t>
            </w:r>
            <w:r w:rsidR="001C2BC4" w:rsidRPr="003161DC">
              <w:t xml:space="preserve"> </w:t>
            </w:r>
            <w:r w:rsidR="00F36EFF">
              <w:t xml:space="preserve">or ECRS </w:t>
            </w:r>
            <w:r w:rsidRPr="003161DC">
              <w:t xml:space="preserve">to GTBD linearly ramped over the </w:t>
            </w:r>
            <w:r w:rsidR="002F6E69">
              <w:t>ten</w:t>
            </w:r>
            <w:r w:rsidRPr="003161DC">
              <w:t>-minute ramp period</w:t>
            </w:r>
            <w:r w:rsidR="001C2BC4">
              <w:t xml:space="preserve"> and add the deployed MW from Load Resources that are not </w:t>
            </w:r>
            <w:r w:rsidR="00192EFF">
              <w:t>CLRs</w:t>
            </w:r>
            <w:r w:rsidR="001C2BC4">
              <w:t xml:space="preserve"> providing Non-Spin to GTBD linearly ramped over the 30-minute ramp period</w:t>
            </w:r>
            <w:r w:rsidRPr="003161DC">
              <w:t>.  The amount of deployed MW is calculated from the Resource telemetry and from applicable deployment instructions in Extensible Markup Language (XML) messages.</w:t>
            </w:r>
            <w:r w:rsidR="00847E53">
              <w:t xml:space="preserve">  </w:t>
            </w:r>
            <w:r w:rsidRPr="003161DC">
              <w:t xml:space="preserve">ERCOT shall generate a linear bid curve defined by a price/quantity pair of $300/MWh for the first MW of Load Resources deployed and a price/quantity pair of $700/MWh for the last MW of Load Resources deployed in each SCED execution.  After recall instruction, the </w:t>
            </w:r>
            <w:r w:rsidR="00F82958">
              <w:t xml:space="preserve">restoration period length and </w:t>
            </w:r>
            <w:r w:rsidRPr="003161DC">
              <w:t>amount of MW added to GTBD during the restoration period will be determined by validated telemetry</w:t>
            </w:r>
            <w:r w:rsidR="00F82958">
              <w:t xml:space="preserve"> and the type of Ancillary Service deployed from the Resource</w:t>
            </w:r>
            <w:r w:rsidRPr="003161DC">
              <w:t xml:space="preserve">.  The TAC shall review the validity of the prices for the bid curve at least annually.  </w:t>
            </w:r>
          </w:p>
          <w:p w14:paraId="7AA41BB6" w14:textId="660292F3" w:rsidR="00AE702A" w:rsidRDefault="00C34705" w:rsidP="00AE702A">
            <w:pPr>
              <w:pStyle w:val="BodyTextNumbered"/>
              <w:ind w:left="1440"/>
            </w:pPr>
            <w:r>
              <w:t>(g</w:t>
            </w:r>
            <w:r w:rsidR="00AE702A" w:rsidRPr="003161DC">
              <w:t>)</w:t>
            </w:r>
            <w:r w:rsidR="00AE702A" w:rsidRPr="003161DC">
              <w:tab/>
            </w:r>
            <w:r w:rsidR="00AE702A">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04C7FD0C" w14:textId="77777777" w:rsidR="00AE702A" w:rsidRDefault="00AE702A" w:rsidP="00AE702A">
            <w:pPr>
              <w:rPr>
                <w:iCs/>
              </w:rPr>
            </w:pPr>
            <w:r>
              <w:rPr>
                <w:iCs/>
              </w:rPr>
              <w:t>The above parameter is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AE702A" w:rsidRPr="00BE4766" w14:paraId="2B3D714B" w14:textId="77777777" w:rsidTr="00AE702A">
              <w:trPr>
                <w:trHeight w:val="351"/>
                <w:tblHeader/>
              </w:trPr>
              <w:tc>
                <w:tcPr>
                  <w:tcW w:w="1448" w:type="dxa"/>
                </w:tcPr>
                <w:p w14:paraId="07436671" w14:textId="77777777" w:rsidR="00AE702A" w:rsidRPr="00BE4766" w:rsidRDefault="00AE702A" w:rsidP="00AE702A">
                  <w:pPr>
                    <w:pStyle w:val="TableHead"/>
                  </w:pPr>
                  <w:r>
                    <w:t>Parameter</w:t>
                  </w:r>
                </w:p>
              </w:tc>
              <w:tc>
                <w:tcPr>
                  <w:tcW w:w="1702" w:type="dxa"/>
                </w:tcPr>
                <w:p w14:paraId="3FBDAF8E" w14:textId="77777777" w:rsidR="00AE702A" w:rsidRPr="00BE4766" w:rsidRDefault="00AE702A" w:rsidP="00AE702A">
                  <w:pPr>
                    <w:pStyle w:val="TableHead"/>
                  </w:pPr>
                  <w:r w:rsidRPr="00BE4766">
                    <w:t>Unit</w:t>
                  </w:r>
                </w:p>
              </w:tc>
              <w:tc>
                <w:tcPr>
                  <w:tcW w:w="6120" w:type="dxa"/>
                </w:tcPr>
                <w:p w14:paraId="6B049E65" w14:textId="77777777" w:rsidR="00AE702A" w:rsidRPr="00BE4766" w:rsidRDefault="00AE702A" w:rsidP="00AE702A">
                  <w:pPr>
                    <w:pStyle w:val="TableHead"/>
                  </w:pPr>
                  <w:r>
                    <w:t>Current Value*</w:t>
                  </w:r>
                </w:p>
              </w:tc>
            </w:tr>
            <w:tr w:rsidR="00AE702A" w:rsidRPr="00BE4766" w14:paraId="0EE1F32A" w14:textId="77777777" w:rsidTr="00AE702A">
              <w:trPr>
                <w:trHeight w:val="519"/>
              </w:trPr>
              <w:tc>
                <w:tcPr>
                  <w:tcW w:w="1448" w:type="dxa"/>
                </w:tcPr>
                <w:p w14:paraId="6F301399" w14:textId="77777777" w:rsidR="00AE702A" w:rsidRPr="008571DE" w:rsidRDefault="00AE702A" w:rsidP="00AE702A">
                  <w:pPr>
                    <w:pStyle w:val="TableBody"/>
                  </w:pPr>
                  <w:r>
                    <w:t>RH</w:t>
                  </w:r>
                  <w:r w:rsidRPr="008571DE">
                    <w:t>ours</w:t>
                  </w:r>
                </w:p>
              </w:tc>
              <w:tc>
                <w:tcPr>
                  <w:tcW w:w="1702" w:type="dxa"/>
                </w:tcPr>
                <w:p w14:paraId="226CCE1E" w14:textId="77777777" w:rsidR="00AE702A" w:rsidRPr="004F59D3" w:rsidRDefault="00AE702A" w:rsidP="00AE702A">
                  <w:pPr>
                    <w:pStyle w:val="TableBody"/>
                  </w:pPr>
                  <w:r>
                    <w:t>Hours</w:t>
                  </w:r>
                </w:p>
              </w:tc>
              <w:tc>
                <w:tcPr>
                  <w:tcW w:w="6120" w:type="dxa"/>
                </w:tcPr>
                <w:p w14:paraId="432C205A" w14:textId="77777777" w:rsidR="00AE702A" w:rsidRPr="00484E48" w:rsidRDefault="00AE702A" w:rsidP="00AE702A">
                  <w:pPr>
                    <w:pStyle w:val="TableBody"/>
                  </w:pPr>
                  <w:r>
                    <w:t>4.5</w:t>
                  </w:r>
                </w:p>
              </w:tc>
            </w:tr>
            <w:tr w:rsidR="00AE702A" w:rsidRPr="00BE4766" w14:paraId="1318A65D" w14:textId="77777777" w:rsidTr="00AE702A">
              <w:trPr>
                <w:trHeight w:val="519"/>
              </w:trPr>
              <w:tc>
                <w:tcPr>
                  <w:tcW w:w="9270" w:type="dxa"/>
                  <w:gridSpan w:val="3"/>
                </w:tcPr>
                <w:p w14:paraId="0D3A5D44" w14:textId="77777777" w:rsidR="00AE702A" w:rsidRDefault="00AE702A" w:rsidP="00AE702A">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1C4E7A6E" w14:textId="55B23C19" w:rsidR="00AE702A" w:rsidRPr="003161DC" w:rsidRDefault="00C34705" w:rsidP="00625EF6">
            <w:pPr>
              <w:spacing w:before="240" w:after="240"/>
              <w:ind w:left="1440" w:hanging="720"/>
            </w:pPr>
            <w:r>
              <w:lastRenderedPageBreak/>
              <w:t>(h</w:t>
            </w:r>
            <w:r w:rsidR="00AE702A" w:rsidRPr="003161DC">
              <w:t>)</w:t>
            </w:r>
            <w:r w:rsidR="00AE702A" w:rsidRPr="003161DC">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09BB7D9E" w14:textId="0B51F468" w:rsidR="00AE702A" w:rsidRPr="003161DC" w:rsidRDefault="00C34705" w:rsidP="00AE702A">
            <w:pPr>
              <w:spacing w:after="240"/>
              <w:ind w:left="1440" w:hanging="720"/>
              <w:rPr>
                <w:lang w:eastAsia="x-none"/>
              </w:rPr>
            </w:pPr>
            <w:r>
              <w:rPr>
                <w:lang w:val="x-none" w:eastAsia="x-none"/>
              </w:rPr>
              <w:t>(i</w:t>
            </w:r>
            <w:r w:rsidR="00AE702A" w:rsidRPr="003161DC">
              <w:rPr>
                <w:lang w:val="x-none" w:eastAsia="x-none"/>
              </w:rPr>
              <w:t>)</w:t>
            </w:r>
            <w:r w:rsidR="00AE702A" w:rsidRPr="003161DC">
              <w:rPr>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AE702A" w:rsidRPr="003161DC">
              <w:rPr>
                <w:lang w:eastAsia="x-none"/>
              </w:rPr>
              <w:t xml:space="preserve">  The MW added to GTBD associated with any individual DC Tie shall not exceed the higher of DC Tie advisory limit for exports on that tie as of 06</w:t>
            </w:r>
            <w:r w:rsidR="00AE702A" w:rsidRPr="003161DC">
              <w:rPr>
                <w:lang w:val="x-none" w:eastAsia="x-none"/>
              </w:rPr>
              <w:t>00 in the Day-Ahead</w:t>
            </w:r>
            <w:r w:rsidR="00AE702A" w:rsidRPr="003161DC">
              <w:rPr>
                <w:lang w:eastAsia="x-none"/>
              </w:rPr>
              <w:t xml:space="preserve"> or subsequent advisory export limit minus the aggregate export on the DC Tie that remained scheduled following the Dispatch Instruction from the ERCOT Operator.</w:t>
            </w:r>
          </w:p>
          <w:p w14:paraId="78CEDDF4" w14:textId="1AB7EBBC" w:rsidR="00AE702A" w:rsidRPr="003161DC" w:rsidRDefault="00C34705" w:rsidP="00AE702A">
            <w:pPr>
              <w:spacing w:after="240"/>
              <w:ind w:left="1440" w:hanging="720"/>
            </w:pPr>
            <w:r>
              <w:t>(j</w:t>
            </w:r>
            <w:r w:rsidR="00AE702A" w:rsidRPr="003161DC">
              <w:t>)</w:t>
            </w:r>
            <w:r w:rsidR="00AE702A" w:rsidRPr="003161DC">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7459D7F0" w14:textId="21ED04A3" w:rsidR="00AE702A" w:rsidRPr="003161DC" w:rsidRDefault="00C34705" w:rsidP="00AE702A">
            <w:pPr>
              <w:spacing w:before="240" w:after="240"/>
              <w:ind w:left="1440" w:hanging="720"/>
            </w:pPr>
            <w:r>
              <w:t>(k</w:t>
            </w:r>
            <w:r w:rsidR="00AE702A" w:rsidRPr="003161DC">
              <w:t>)</w:t>
            </w:r>
            <w:r w:rsidR="00AE702A" w:rsidRPr="003161DC">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p w14:paraId="42BCC7C8" w14:textId="1A4FA3D9" w:rsidR="00AE702A" w:rsidRPr="003161DC" w:rsidRDefault="00C34705" w:rsidP="00AE702A">
            <w:pPr>
              <w:spacing w:before="240" w:after="240"/>
              <w:ind w:left="1440" w:hanging="720"/>
            </w:pPr>
            <w:r>
              <w:t>(l</w:t>
            </w:r>
            <w:r w:rsidR="00AE702A" w:rsidRPr="003161DC">
              <w:t>)</w:t>
            </w:r>
            <w:r w:rsidR="00AE702A" w:rsidRPr="003161DC">
              <w:tab/>
              <w:t>Add the MW from energy delivered to ERCOT through registered BLTs during an EEA to GTBD.  The amount of MW is determined from the Dispatch Instruction and should continue over the duration of time specified by the ERCOT Operator.</w:t>
            </w:r>
          </w:p>
          <w:p w14:paraId="5F49194C" w14:textId="43D0630F" w:rsidR="00AE702A" w:rsidRPr="003161DC" w:rsidRDefault="00C34705" w:rsidP="00AE702A">
            <w:pPr>
              <w:spacing w:after="240"/>
              <w:ind w:left="1440" w:hanging="720"/>
            </w:pPr>
            <w:r>
              <w:t>(m</w:t>
            </w:r>
            <w:r w:rsidR="00AE702A" w:rsidRPr="003161DC">
              <w:t>)</w:t>
            </w:r>
            <w:r w:rsidR="00AE702A" w:rsidRPr="003161DC">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7214DE1A" w14:textId="3BFB5644" w:rsidR="00AE702A" w:rsidRDefault="00C34705" w:rsidP="00AE702A">
            <w:pPr>
              <w:spacing w:after="240"/>
              <w:ind w:left="1440" w:hanging="720"/>
            </w:pPr>
            <w:r>
              <w:t>(n</w:t>
            </w:r>
            <w:r w:rsidR="00AE702A">
              <w:t>)</w:t>
            </w:r>
            <w:r w:rsidR="00AE702A">
              <w:tab/>
              <w:t xml:space="preserve">Add the deployed MWs from TDSP standard offer Load management programs to GTBD, if ERCOT instructs TDSPs to deploy their standard offer Load </w:t>
            </w:r>
            <w:r w:rsidR="00AE702A">
              <w:lastRenderedPageBreak/>
              <w:t>management programs.  The amount of deployed MW is the value ERCOT provided for all TDSP standard offer Load management programs in the most current May Report on Capacity, Demand and Reserves in the ERCOT Region</w:t>
            </w:r>
            <w:r w:rsidR="00F35A4E">
              <w:t xml:space="preserve"> (CDR)</w:t>
            </w:r>
            <w:r w:rsidR="00AE702A">
              <w:t xml:space="preserve">,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w:t>
            </w:r>
            <w:r w:rsidR="00F35A4E">
              <w:t>CDR</w:t>
            </w:r>
            <w:r w:rsidR="00AE702A">
              <w:t xml:space="preserve">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w:t>
            </w:r>
            <w:r>
              <w:t>od (“RHours”) defined by item (g</w:t>
            </w:r>
            <w:r w:rsidR="00AE702A">
              <w:t xml:space="preserve">) above. </w:t>
            </w:r>
          </w:p>
          <w:p w14:paraId="3A145FB8" w14:textId="2CF630D2" w:rsidR="00AE702A" w:rsidRPr="003161DC" w:rsidRDefault="00C34705" w:rsidP="00AE702A">
            <w:pPr>
              <w:spacing w:before="240" w:after="240"/>
              <w:ind w:left="1440" w:hanging="720"/>
            </w:pPr>
            <w:r>
              <w:t>(o</w:t>
            </w:r>
            <w:r w:rsidR="00AE702A" w:rsidRPr="003161DC">
              <w:t>)</w:t>
            </w:r>
            <w:r w:rsidR="00AE702A" w:rsidRPr="003161DC">
              <w:tab/>
              <w:t>Perform a SCED with changes to th</w:t>
            </w:r>
            <w:r>
              <w:t>e inputs in items (a) through</w:t>
            </w:r>
            <w:r w:rsidR="00201765">
              <w:t xml:space="preserve"> (m) </w:t>
            </w:r>
            <w:r w:rsidR="00AE702A" w:rsidRPr="003161DC">
              <w:t>above, considering only Competitive Constraints and the non-mitigated Energy Offer Curves.</w:t>
            </w:r>
          </w:p>
          <w:p w14:paraId="3AA8E4D2" w14:textId="087A62D5" w:rsidR="00AE702A" w:rsidRPr="003161DC" w:rsidRDefault="00C34705" w:rsidP="00AE702A">
            <w:pPr>
              <w:spacing w:after="240"/>
              <w:ind w:left="1440" w:hanging="720"/>
            </w:pPr>
            <w:r>
              <w:t>(p</w:t>
            </w:r>
            <w:r w:rsidR="00AE702A" w:rsidRPr="003161DC">
              <w:t>)</w:t>
            </w:r>
            <w:r w:rsidR="00AE702A" w:rsidRPr="003161DC">
              <w:tab/>
              <w:t>Perform mitigation on the submitted Energy Offer Curves using the LMPs from the previous step as the reference LMP.</w:t>
            </w:r>
          </w:p>
          <w:p w14:paraId="7C5F10FF" w14:textId="6CA7F0AD" w:rsidR="00AE702A" w:rsidRPr="003161DC" w:rsidRDefault="00C34705" w:rsidP="00AE702A">
            <w:pPr>
              <w:spacing w:after="240"/>
              <w:ind w:left="1440" w:hanging="720"/>
            </w:pPr>
            <w:r>
              <w:t>(q</w:t>
            </w:r>
            <w:r w:rsidR="00AE702A" w:rsidRPr="003161DC">
              <w:t>)</w:t>
            </w:r>
            <w:r w:rsidR="00AE702A" w:rsidRPr="003161DC">
              <w:tab/>
              <w:t>Perform a SCED with the changes to th</w:t>
            </w:r>
            <w:r w:rsidR="00625EF6">
              <w:t xml:space="preserve">e inputs in items (a) through </w:t>
            </w:r>
            <w:r w:rsidR="00201765">
              <w:t>(m</w:t>
            </w:r>
            <w:r w:rsidR="00201765" w:rsidRPr="003161DC">
              <w:t>)</w:t>
            </w:r>
            <w:r w:rsidR="00AE702A" w:rsidRPr="003161DC">
              <w:t xml:space="preserve"> above, considering both Competitive and Non-Competitive Constraints and the mitigated Energy </w:t>
            </w:r>
            <w:r w:rsidR="00847E53">
              <w:t>O</w:t>
            </w:r>
            <w:r w:rsidR="00AE702A" w:rsidRPr="003161DC">
              <w:t>ffer Curves.</w:t>
            </w:r>
          </w:p>
          <w:p w14:paraId="661BF621" w14:textId="422CA4BE" w:rsidR="00AE702A" w:rsidRPr="003161DC" w:rsidRDefault="00C34705" w:rsidP="00AE702A">
            <w:pPr>
              <w:spacing w:before="240" w:after="240"/>
              <w:ind w:left="1440" w:hanging="720"/>
            </w:pPr>
            <w:r>
              <w:t>(r</w:t>
            </w:r>
            <w:r w:rsidR="00AE702A" w:rsidRPr="003161DC">
              <w:t>)</w:t>
            </w:r>
            <w:r w:rsidR="00AE702A" w:rsidRPr="003161DC">
              <w:tab/>
            </w:r>
            <w:r w:rsidR="00AE702A">
              <w:t>The Real-Time Reliability Deployment Price Adder for Energy is equal to</w:t>
            </w:r>
            <w:r w:rsidR="00AE702A" w:rsidRPr="003161DC">
              <w:t xml:space="preserve"> the positive difference between the System Lambda from</w:t>
            </w:r>
            <w:r w:rsidR="00201765" w:rsidRPr="003161DC">
              <w:t xml:space="preserve"> </w:t>
            </w:r>
            <w:r w:rsidR="00201765">
              <w:t>item (q</w:t>
            </w:r>
            <w:r w:rsidR="00201765" w:rsidRPr="003161DC">
              <w:t xml:space="preserve">) </w:t>
            </w:r>
            <w:r w:rsidR="00AE702A" w:rsidRPr="003161DC">
              <w:t>above and the System Lambda of the second step in the two-step SCED process described in paragraph (10)(b) of Section 6.5.7.3, Security Constrained Economic Dispatch</w:t>
            </w:r>
            <w:r w:rsidR="00BD19E2" w:rsidRPr="00D476E3">
              <w:t>, except when ERCOT is directing firm Load shed during EEA Level 3</w:t>
            </w:r>
            <w:r w:rsidR="00AE702A" w:rsidRPr="003161DC">
              <w:t>.</w:t>
            </w:r>
            <w:r w:rsidR="00BD19E2">
              <w:t xml:space="preserve">  </w:t>
            </w:r>
            <w:r w:rsidR="00BD19E2" w:rsidRPr="00D476E3">
              <w:t>When ERCOT is directing firm Load shed during EEA Level 3 to either maintain sufficient PRC or stabilize grid frequency, as described in paragraph (3) of Section 6.5.9.4.2, the Real-Time Reliability Deployment Price Adder for Energy is the VOLL used to determine the Ancillary Service Demand Curves (ASDCs) for the Real-Time Market (RTM) minus the System Lambda of the second step in the two-step SCED process described in paragraph (10)(b) of Section 6.5.7.3.</w:t>
            </w:r>
          </w:p>
          <w:p w14:paraId="4D0D5D39" w14:textId="58A6E3AF" w:rsidR="00AE702A" w:rsidRPr="00AE702A" w:rsidRDefault="00C34705" w:rsidP="00201765">
            <w:pPr>
              <w:spacing w:after="240"/>
              <w:ind w:left="1440" w:hanging="720"/>
            </w:pPr>
            <w:r>
              <w:t>(s</w:t>
            </w:r>
            <w:r w:rsidR="00AE702A" w:rsidRPr="003161DC">
              <w:t>)</w:t>
            </w:r>
            <w:r w:rsidR="00AE702A" w:rsidRPr="003161DC">
              <w:tab/>
            </w:r>
            <w:r w:rsidR="00AE702A">
              <w:t>For each individual Ancillary Service, the Real-Time Reliability Deployment Price Adder for Ancillary Service is equal to the positive difference between the MCPC for t</w:t>
            </w:r>
            <w:r w:rsidR="00625EF6">
              <w:t>hat Ancillary Service from</w:t>
            </w:r>
            <w:r w:rsidR="00201765">
              <w:t xml:space="preserve"> item (q) </w:t>
            </w:r>
            <w:r w:rsidR="00AE702A">
              <w:t>above and the MCPC for that Ancillary Service</w:t>
            </w:r>
            <w:r w:rsidR="00BD19E2" w:rsidRPr="00D476E3">
              <w:t>, except when ERCOT is directing firm Load shed during EEA Level 3.  When ERCOT is directing firm Load shed during EEA Level 3 to</w:t>
            </w:r>
            <w:r w:rsidR="00BD19E2" w:rsidRPr="00D476E3">
              <w:rPr>
                <w:highlight w:val="yellow"/>
              </w:rPr>
              <w:t xml:space="preserve"> </w:t>
            </w:r>
            <w:r w:rsidR="00BD19E2" w:rsidRPr="00D476E3">
              <w:t xml:space="preserve">either maintain sufficient PRC or stabilize grid frequency, as described in </w:t>
            </w:r>
            <w:r w:rsidR="00BD19E2" w:rsidRPr="00D476E3">
              <w:lastRenderedPageBreak/>
              <w:t>paragraph (3) of Section 6.5.9.4.2, the Real-Time Reliability Deployment Price Adder for Ancillary Service is the maximum value on the ASDC for the Ancillary Service minus the MCPC for that Ancillary Service</w:t>
            </w:r>
            <w:r w:rsidR="00AE702A">
              <w:t xml:space="preserve">. </w:t>
            </w:r>
          </w:p>
        </w:tc>
      </w:tr>
    </w:tbl>
    <w:p w14:paraId="1C75184F" w14:textId="77777777" w:rsidR="001F04FD" w:rsidRDefault="001F04FD" w:rsidP="001F04FD">
      <w:pPr>
        <w:pStyle w:val="H4"/>
        <w:spacing w:before="480"/>
        <w:ind w:left="1267" w:hanging="1267"/>
      </w:pPr>
      <w:bookmarkStart w:id="1191" w:name="_Toc189044361"/>
      <w:r>
        <w:lastRenderedPageBreak/>
        <w:t>6.5.7.4</w:t>
      </w:r>
      <w:r>
        <w:tab/>
        <w:t>Base Points</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91"/>
    </w:p>
    <w:p w14:paraId="53324552" w14:textId="0C9E89CA" w:rsidR="001F04FD" w:rsidRDefault="001F04FD" w:rsidP="001F04FD">
      <w:pPr>
        <w:pStyle w:val="BodyTextNumbered"/>
      </w:pPr>
      <w:r>
        <w:t>(1)</w:t>
      </w:r>
      <w:r>
        <w:tab/>
        <w:t xml:space="preserve">ERCOT shall issue a Base Point for each On-Line Generation Resource and each On-Line </w:t>
      </w:r>
      <w:r w:rsidR="00192EFF">
        <w:t>CLR</w:t>
      </w:r>
      <w:r>
        <w:t xml:space="preserve"> on completion of each SCED execution.  The Base Point set by SCED must observe a Generation Resource’s and </w:t>
      </w:r>
      <w:r w:rsidR="00192EFF">
        <w:t>CLR</w:t>
      </w:r>
      <w:r>
        <w:t>’s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80E54" w14:paraId="605E0377" w14:textId="77777777" w:rsidTr="004E6E12">
        <w:trPr>
          <w:trHeight w:val="206"/>
        </w:trPr>
        <w:tc>
          <w:tcPr>
            <w:tcW w:w="9350" w:type="dxa"/>
            <w:shd w:val="pct12" w:color="auto" w:fill="auto"/>
          </w:tcPr>
          <w:p w14:paraId="7D109CFC" w14:textId="2FA57F83" w:rsidR="00B80E54" w:rsidRDefault="00B80E54" w:rsidP="004E6E12">
            <w:pPr>
              <w:pStyle w:val="Instructions"/>
              <w:spacing w:before="120"/>
            </w:pPr>
            <w:r>
              <w:t>[NPRR1246:  Replace paragraph (1) above with the following upon system implementation of the Real-Time Co-Optimization (RTC) project:]</w:t>
            </w:r>
          </w:p>
          <w:p w14:paraId="01637A78" w14:textId="6D4556F7" w:rsidR="00B80E54" w:rsidRPr="00B80E54" w:rsidRDefault="00B80E54" w:rsidP="00B80E54">
            <w:pPr>
              <w:spacing w:after="240"/>
              <w:ind w:left="720" w:hanging="720"/>
            </w:pPr>
            <w:r w:rsidRPr="0000204A">
              <w:t>(1)</w:t>
            </w:r>
            <w:r w:rsidRPr="0000204A">
              <w:tab/>
              <w:t>ERCOT shall issue a Base Point for each On-Line Generation Resource</w:t>
            </w:r>
            <w:r>
              <w:t>, each On-Line ESR,</w:t>
            </w:r>
            <w:r w:rsidRPr="0000204A">
              <w:t xml:space="preserve"> and each On-Line </w:t>
            </w:r>
            <w:r w:rsidR="00C67FF2">
              <w:t>CLR</w:t>
            </w:r>
            <w:r w:rsidRPr="0000204A">
              <w:t xml:space="preserve"> on completion of each SCED execution.  The Base Point set by SCED must observe a Resource’s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tc>
      </w:tr>
    </w:tbl>
    <w:p w14:paraId="4A9A4496" w14:textId="08A73DC9" w:rsidR="001F04FD" w:rsidRDefault="001F04FD" w:rsidP="00DD0A69">
      <w:pPr>
        <w:pStyle w:val="List"/>
        <w:spacing w:before="240"/>
      </w:pPr>
      <w:r>
        <w:t>(a)</w:t>
      </w:r>
      <w:r>
        <w:tab/>
        <w:t>Resource identifier that is the subject of the Dispatch Instruction;</w:t>
      </w:r>
    </w:p>
    <w:p w14:paraId="1B461A9E" w14:textId="2C9F4C8B" w:rsidR="001F04FD" w:rsidRDefault="001F04FD" w:rsidP="001F04FD">
      <w:pPr>
        <w:pStyle w:val="List"/>
      </w:pPr>
      <w:r>
        <w:t>(b)</w:t>
      </w:r>
      <w:r>
        <w:tab/>
        <w:t xml:space="preserve">MW output for Generation Resource and MW consumption for </w:t>
      </w:r>
      <w:r w:rsidR="00192EFF">
        <w:t>CLR</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80E54" w14:paraId="740D9CF9" w14:textId="77777777" w:rsidTr="004E6E12">
        <w:trPr>
          <w:trHeight w:val="206"/>
        </w:trPr>
        <w:tc>
          <w:tcPr>
            <w:tcW w:w="9350" w:type="dxa"/>
            <w:shd w:val="pct12" w:color="auto" w:fill="auto"/>
          </w:tcPr>
          <w:p w14:paraId="5EBFE55B" w14:textId="34EF55AA" w:rsidR="00B80E54" w:rsidRDefault="00B80E54" w:rsidP="004E6E12">
            <w:pPr>
              <w:pStyle w:val="Instructions"/>
              <w:spacing w:before="120"/>
            </w:pPr>
            <w:r>
              <w:t>[NPRR1246:  Replace paragraph (b) above with the following upon system implementation of the Real-Time Co-Optimization (RTC) project:]</w:t>
            </w:r>
          </w:p>
          <w:p w14:paraId="02CEAE0D" w14:textId="58094BF5" w:rsidR="00B80E54" w:rsidRPr="00B80E54" w:rsidRDefault="00B80E54" w:rsidP="00B80E54">
            <w:pPr>
              <w:spacing w:after="240"/>
              <w:ind w:left="1440" w:hanging="720"/>
            </w:pPr>
            <w:r w:rsidRPr="0000204A">
              <w:t>(b)</w:t>
            </w:r>
            <w:r w:rsidRPr="0000204A">
              <w:tab/>
              <w:t>MW output for Generation Resource</w:t>
            </w:r>
            <w:r>
              <w:t>, MW output or MW consumption for ESR,</w:t>
            </w:r>
            <w:r w:rsidRPr="0000204A">
              <w:t xml:space="preserve"> and MW consumption for </w:t>
            </w:r>
            <w:r w:rsidR="000E795F">
              <w:t>CLR</w:t>
            </w:r>
            <w:r w:rsidRPr="0000204A">
              <w:t>;</w:t>
            </w:r>
          </w:p>
        </w:tc>
      </w:tr>
    </w:tbl>
    <w:p w14:paraId="6B77D6FE" w14:textId="2B0D766E" w:rsidR="001F04FD" w:rsidRDefault="001F04FD" w:rsidP="00DD0A69">
      <w:pPr>
        <w:pStyle w:val="List"/>
        <w:spacing w:before="240"/>
      </w:pPr>
      <w:r>
        <w:t>(c)</w:t>
      </w:r>
      <w:r>
        <w:tab/>
        <w:t xml:space="preserve">Time of the Dispatch Instruction; </w:t>
      </w:r>
    </w:p>
    <w:p w14:paraId="23BCF93A" w14:textId="4DF7B4AE" w:rsidR="00C4333E" w:rsidRDefault="001F04FD" w:rsidP="001F04FD">
      <w:pPr>
        <w:pStyle w:val="List"/>
      </w:pPr>
      <w:r w:rsidRPr="006E1106">
        <w:t>(d)</w:t>
      </w:r>
      <w:r w:rsidRPr="006E1106">
        <w:tab/>
        <w:t>Flag indicating SCED has dispatched a Generation Resource</w:t>
      </w:r>
      <w:r>
        <w:t xml:space="preserve"> or </w:t>
      </w:r>
      <w:r w:rsidR="00192EFF">
        <w:t>CLR</w:t>
      </w:r>
      <w:r w:rsidRPr="006E1106">
        <w:t xml:space="preserve"> below HDL used by SCED</w:t>
      </w:r>
      <w:r w:rsidR="0030702F">
        <w:t xml:space="preserve"> or an IRR has been instructed not to exceed its Base Point</w:t>
      </w:r>
      <w:r w:rsidRPr="006E1106">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80E54" w14:paraId="47ED08A1" w14:textId="77777777" w:rsidTr="00B80E54">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5DE53E6" w14:textId="12CBC394" w:rsidR="00B80E54" w:rsidRDefault="00B80E54" w:rsidP="004E6E12">
            <w:pPr>
              <w:pStyle w:val="Instructions"/>
              <w:spacing w:before="120"/>
            </w:pPr>
            <w:r>
              <w:lastRenderedPageBreak/>
              <w:t>[NPRR1246:  Replace paragraph (d) above with the following upon system implementation of the Real-Time Co-Optimization (RTC) project:]</w:t>
            </w:r>
          </w:p>
          <w:p w14:paraId="5D45557A" w14:textId="2C8EAEF0" w:rsidR="00B80E54" w:rsidRPr="00B80E54" w:rsidRDefault="00B80E54" w:rsidP="00B80E54">
            <w:pPr>
              <w:spacing w:after="240"/>
              <w:ind w:left="1440" w:hanging="720"/>
            </w:pPr>
            <w:r w:rsidRPr="0000204A">
              <w:t>(d)</w:t>
            </w:r>
            <w:r w:rsidRPr="0000204A">
              <w:tab/>
              <w:t>Flag indicating SCED has dispatched a Generation Resource</w:t>
            </w:r>
            <w:r>
              <w:t>, ESR,</w:t>
            </w:r>
            <w:r w:rsidRPr="0000204A">
              <w:t xml:space="preserve"> or </w:t>
            </w:r>
            <w:r w:rsidR="00C67FF2">
              <w:t>CLR</w:t>
            </w:r>
            <w:r w:rsidRPr="0000204A">
              <w:t xml:space="preserve"> below HDL used by SCED or an IRR has been instructed not to exceed its Base Point;</w:t>
            </w:r>
          </w:p>
        </w:tc>
      </w:tr>
    </w:tbl>
    <w:p w14:paraId="49392ED6" w14:textId="77777777" w:rsidR="00B80E54" w:rsidRDefault="00B80E54"/>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F04FD" w14:paraId="39D726A1" w14:textId="77777777" w:rsidTr="00075DEB">
        <w:trPr>
          <w:trHeight w:val="206"/>
        </w:trPr>
        <w:tc>
          <w:tcPr>
            <w:tcW w:w="9350" w:type="dxa"/>
            <w:shd w:val="pct12" w:color="auto" w:fill="auto"/>
          </w:tcPr>
          <w:p w14:paraId="13D93ED0" w14:textId="491AD980" w:rsidR="001F04FD" w:rsidRDefault="001F04FD" w:rsidP="00AC4DEE">
            <w:pPr>
              <w:pStyle w:val="Instructions"/>
              <w:spacing w:before="120"/>
            </w:pPr>
            <w:r>
              <w:t>[NPRR285</w:t>
            </w:r>
            <w:r w:rsidR="00B80E54">
              <w:t xml:space="preserve"> and NPRR1246</w:t>
            </w:r>
            <w:r>
              <w:t xml:space="preserve">: </w:t>
            </w:r>
            <w:r w:rsidR="00C4333E">
              <w:t xml:space="preserve"> </w:t>
            </w:r>
            <w:r>
              <w:t xml:space="preserve">Insert </w:t>
            </w:r>
            <w:r w:rsidR="00B80E54">
              <w:t xml:space="preserve">applicable portions of </w:t>
            </w:r>
            <w:r>
              <w:t>paragraph (e) below upon system implementation</w:t>
            </w:r>
            <w:r w:rsidR="00B80E54">
              <w:t xml:space="preserve"> for NPRR285; or upon system implementation of the Real-Time Co-Optimization (RTC) project for NPRR1246,</w:t>
            </w:r>
            <w:r>
              <w:t xml:space="preserve"> and renumber accordingly:]</w:t>
            </w:r>
          </w:p>
          <w:p w14:paraId="104B7513" w14:textId="64EB721F" w:rsidR="001F04FD" w:rsidRPr="009D5C8B" w:rsidRDefault="001F04FD" w:rsidP="00AC4DEE">
            <w:pPr>
              <w:pStyle w:val="List"/>
              <w:rPr>
                <w:b/>
                <w:i/>
              </w:rPr>
            </w:pPr>
            <w:r w:rsidRPr="00503D00">
              <w:t>(e)</w:t>
            </w:r>
            <w:r w:rsidRPr="00503D00">
              <w:tab/>
              <w:t xml:space="preserve">Flag indicating SCED has dispatched a Generation Resource </w:t>
            </w:r>
            <w:r w:rsidR="00B80E54">
              <w:t xml:space="preserve">or ESR </w:t>
            </w:r>
            <w:r w:rsidRPr="00503D00">
              <w:t>away from the Output Schedule submitted for that Resource;</w:t>
            </w:r>
          </w:p>
        </w:tc>
      </w:tr>
    </w:tbl>
    <w:p w14:paraId="0DF1C855" w14:textId="77777777" w:rsidR="001F04FD" w:rsidRPr="00C14F39" w:rsidRDefault="001F04FD" w:rsidP="001F04FD">
      <w:pPr>
        <w:pStyle w:val="List"/>
        <w:spacing w:before="240"/>
      </w:pPr>
      <w:r>
        <w:t>(e)</w:t>
      </w:r>
      <w:r>
        <w:tab/>
      </w:r>
      <w:r w:rsidRPr="003464AF">
        <w:t xml:space="preserve">Flag indicating </w:t>
      </w:r>
      <w:r>
        <w:t>that the Resource is identified for mitigation pursuant to paragraph (7) of Section 3.19.4, Security-Constrained Economic Dispatch Constraint Competitiveness Test, and paragraph (10) of Section 6.5.7.3, Security Constrained Economic Dispatch; and</w:t>
      </w:r>
    </w:p>
    <w:p w14:paraId="0C3EB4A6" w14:textId="77777777" w:rsidR="00192EFF" w:rsidRDefault="001F04FD" w:rsidP="001F04FD">
      <w:pPr>
        <w:pStyle w:val="List"/>
      </w:pPr>
      <w:r w:rsidRPr="00503D00">
        <w:t>(</w:t>
      </w:r>
      <w:r>
        <w:t>f</w:t>
      </w:r>
      <w:r w:rsidRPr="00503D00">
        <w:t>)</w:t>
      </w:r>
      <w:r w:rsidRPr="00503D00">
        <w:tab/>
        <w:t>Other information relevant to that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92EFF" w14:paraId="3E15217C" w14:textId="77777777" w:rsidTr="00F5593C">
        <w:trPr>
          <w:trHeight w:val="206"/>
        </w:trPr>
        <w:tc>
          <w:tcPr>
            <w:tcW w:w="9350" w:type="dxa"/>
            <w:shd w:val="pct12" w:color="auto" w:fill="auto"/>
          </w:tcPr>
          <w:p w14:paraId="5CA4F8C1" w14:textId="1C514366" w:rsidR="00192EFF" w:rsidRDefault="00192EFF" w:rsidP="00F5593C">
            <w:pPr>
              <w:pStyle w:val="Instructions"/>
              <w:spacing w:before="120"/>
            </w:pPr>
            <w:r>
              <w:t>[NPRR1188</w:t>
            </w:r>
            <w:r w:rsidR="00B80E54">
              <w:t xml:space="preserve"> and NPRR</w:t>
            </w:r>
            <w:r w:rsidR="00C67FF2">
              <w:t>12</w:t>
            </w:r>
            <w:r w:rsidR="00B80E54">
              <w:t>46</w:t>
            </w:r>
            <w:r>
              <w:t xml:space="preserve">:  Insert </w:t>
            </w:r>
            <w:r w:rsidR="00B80E54">
              <w:t xml:space="preserve">applicable portions of </w:t>
            </w:r>
            <w:r>
              <w:t>paragraph (2) below upon system implementation</w:t>
            </w:r>
            <w:r w:rsidR="00B80E54">
              <w:t xml:space="preserve"> for NPRR1188; or upon system implementation of the Real-Time Co-Optimization (RTC) project for NPRR1246</w:t>
            </w:r>
            <w:r>
              <w:t>:]</w:t>
            </w:r>
          </w:p>
          <w:p w14:paraId="3FE7E3A6" w14:textId="7B651261" w:rsidR="00192EFF" w:rsidRPr="00192EFF" w:rsidRDefault="00192EFF" w:rsidP="00192EFF">
            <w:pPr>
              <w:spacing w:after="240"/>
              <w:ind w:left="720" w:hanging="720"/>
            </w:pPr>
            <w:r w:rsidRPr="00812ECB">
              <w:t>(2)</w:t>
            </w:r>
            <w:r w:rsidRPr="00812ECB">
              <w:tab/>
              <w:t>Each Generation Resource</w:t>
            </w:r>
            <w:r w:rsidR="00B80E54">
              <w:t>, ESR,</w:t>
            </w:r>
            <w:r w:rsidRPr="00812ECB">
              <w:t xml:space="preserve"> and CLR shall follow ERCOT-issued Updated Desired Base Points plus any Regulation Service deployments, unless otherwise instructed by ERCOT.  ERCOT-issued Updated Desired Base Points shall not include deployed Regulation Service or expected Primary Frequency Response.</w:t>
            </w:r>
          </w:p>
        </w:tc>
      </w:tr>
    </w:tbl>
    <w:p w14:paraId="75F62917" w14:textId="77777777" w:rsidR="00192EFF" w:rsidRDefault="00192EFF" w:rsidP="00192EFF">
      <w:pPr>
        <w:pStyle w:val="Lis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D47B5" w14:paraId="14A9B466" w14:textId="77777777" w:rsidTr="007C4B00">
        <w:trPr>
          <w:trHeight w:val="206"/>
        </w:trPr>
        <w:tc>
          <w:tcPr>
            <w:tcW w:w="9350" w:type="dxa"/>
            <w:shd w:val="pct12" w:color="auto" w:fill="auto"/>
          </w:tcPr>
          <w:p w14:paraId="142E120E" w14:textId="196FA180" w:rsidR="007D47B5" w:rsidRDefault="007D47B5" w:rsidP="007C4B00">
            <w:pPr>
              <w:pStyle w:val="Instructions"/>
              <w:spacing w:before="120"/>
            </w:pPr>
            <w:bookmarkStart w:id="1192" w:name="_Toc397504973"/>
            <w:bookmarkStart w:id="1193" w:name="_Toc402357101"/>
            <w:bookmarkStart w:id="1194" w:name="_Toc422486481"/>
            <w:bookmarkStart w:id="1195" w:name="_Toc433093333"/>
            <w:bookmarkStart w:id="1196" w:name="_Toc433093491"/>
            <w:bookmarkStart w:id="1197" w:name="_Toc440874720"/>
            <w:bookmarkStart w:id="1198" w:name="_Toc448142275"/>
            <w:bookmarkStart w:id="1199" w:name="_Toc448142432"/>
            <w:bookmarkStart w:id="1200" w:name="_Toc458770268"/>
            <w:bookmarkStart w:id="1201" w:name="_Toc459294236"/>
            <w:bookmarkStart w:id="1202" w:name="_Toc463262729"/>
            <w:bookmarkStart w:id="1203" w:name="_Toc468286803"/>
            <w:bookmarkStart w:id="1204" w:name="_Toc481502849"/>
            <w:bookmarkStart w:id="1205" w:name="_Toc496080017"/>
            <w:bookmarkStart w:id="1206" w:name="_Toc74137328"/>
            <w:bookmarkEnd w:id="1113"/>
            <w:r>
              <w:t>[NPRR1010</w:t>
            </w:r>
            <w:r w:rsidR="006963EB">
              <w:t xml:space="preserve"> and NPRR1246</w:t>
            </w:r>
            <w:r>
              <w:t>:  Insert Section 6.5.7.4.1 below upon system implementation of the Real-Time Co-Optimization (RTC) project:]</w:t>
            </w:r>
          </w:p>
          <w:p w14:paraId="07F0BF17" w14:textId="77777777" w:rsidR="007D47B5" w:rsidRPr="009A7BE1" w:rsidRDefault="007D47B5" w:rsidP="009A7BE1">
            <w:pPr>
              <w:pStyle w:val="H5"/>
              <w:rPr>
                <w:snapToGrid w:val="0"/>
              </w:rPr>
            </w:pPr>
            <w:bookmarkStart w:id="1207" w:name="_Toc60040623"/>
            <w:bookmarkStart w:id="1208" w:name="_Toc65151683"/>
            <w:bookmarkStart w:id="1209" w:name="_Toc80174709"/>
            <w:bookmarkStart w:id="1210" w:name="_Toc108712468"/>
            <w:bookmarkStart w:id="1211" w:name="_Toc189044362"/>
            <w:r w:rsidRPr="0014616F">
              <w:rPr>
                <w:snapToGrid w:val="0"/>
              </w:rPr>
              <w:t>6.5.7.4.1</w:t>
            </w:r>
            <w:r w:rsidRPr="0014616F">
              <w:rPr>
                <w:snapToGrid w:val="0"/>
              </w:rPr>
              <w:tab/>
            </w:r>
            <w:r w:rsidRPr="009A7BE1">
              <w:rPr>
                <w:snapToGrid w:val="0"/>
              </w:rPr>
              <w:t>Updated</w:t>
            </w:r>
            <w:r w:rsidRPr="0014616F">
              <w:rPr>
                <w:snapToGrid w:val="0"/>
              </w:rPr>
              <w:t xml:space="preserve"> Desired Set Points</w:t>
            </w:r>
            <w:bookmarkEnd w:id="1207"/>
            <w:bookmarkEnd w:id="1208"/>
            <w:bookmarkEnd w:id="1209"/>
            <w:bookmarkEnd w:id="1210"/>
            <w:bookmarkEnd w:id="1211"/>
          </w:p>
          <w:p w14:paraId="39DF8430" w14:textId="77777777" w:rsidR="007D47B5" w:rsidRDefault="007D47B5" w:rsidP="007D47B5">
            <w:pPr>
              <w:spacing w:after="240"/>
              <w:ind w:left="720" w:hanging="720"/>
            </w:pPr>
            <w:r>
              <w:t>(1)</w:t>
            </w:r>
            <w:r>
              <w:tab/>
              <w:t>Each Resource shall follow ERCOT-issued Updated Desired Set Points (UDSPs), unless otherwise instructed by ERCOT.  ERCOT-issued UDSPs shall not include expected Primary Frequency Response.</w:t>
            </w:r>
          </w:p>
          <w:p w14:paraId="4EDEED12" w14:textId="0ED70E43" w:rsidR="007D47B5" w:rsidRPr="000C355C" w:rsidRDefault="007D47B5" w:rsidP="007D47B5">
            <w:pPr>
              <w:spacing w:after="240"/>
              <w:ind w:left="720" w:hanging="720"/>
            </w:pPr>
            <w:r w:rsidRPr="00CB012C">
              <w:lastRenderedPageBreak/>
              <w:t>(2)</w:t>
            </w:r>
            <w:r w:rsidRPr="00CB012C">
              <w:tab/>
            </w:r>
            <w:r w:rsidRPr="004E5553">
              <w:t xml:space="preserve">A UDSP </w:t>
            </w:r>
            <w:r>
              <w:t>is</w:t>
            </w:r>
            <w:r w:rsidRPr="004E5553">
              <w:t xml:space="preserve"> the sum of </w:t>
            </w:r>
            <w:r>
              <w:t>a</w:t>
            </w:r>
            <w:r w:rsidRPr="004E5553">
              <w:t xml:space="preserve"> calculated MW value representing the expected MW output </w:t>
            </w:r>
            <w:r w:rsidR="006963EB">
              <w:t xml:space="preserve">(positive or negative) </w:t>
            </w:r>
            <w:r w:rsidRPr="004E5553">
              <w:t xml:space="preserve">of a Resource ramping to a </w:t>
            </w:r>
            <w:r>
              <w:t xml:space="preserve">SCED </w:t>
            </w:r>
            <w:r w:rsidRPr="004E5553">
              <w:t xml:space="preserve">Base Point and the </w:t>
            </w:r>
            <w:r w:rsidRPr="000C355C">
              <w:t xml:space="preserve">Resource-specific </w:t>
            </w:r>
            <w:r>
              <w:t>R</w:t>
            </w:r>
            <w:r w:rsidRPr="000C355C">
              <w:t xml:space="preserve">egulation </w:t>
            </w:r>
            <w:r>
              <w:t xml:space="preserve">Service instruction </w:t>
            </w:r>
            <w:r w:rsidRPr="000C355C">
              <w:t xml:space="preserve">from ERCOT. </w:t>
            </w:r>
          </w:p>
          <w:p w14:paraId="593997E4" w14:textId="77777777" w:rsidR="007D47B5" w:rsidRDefault="007D47B5" w:rsidP="007D47B5">
            <w:pPr>
              <w:spacing w:after="240"/>
              <w:ind w:left="720" w:hanging="720"/>
            </w:pPr>
            <w:r w:rsidRPr="00034E86">
              <w:t>(3)</w:t>
            </w:r>
            <w:r w:rsidRPr="00034E86">
              <w:tab/>
            </w:r>
            <w:r w:rsidRPr="004E5553">
              <w:t>LFC shall send Resource</w:t>
            </w:r>
            <w:r w:rsidRPr="000C355C">
              <w:t>-specific UDSP to QSEs every four seconds.</w:t>
            </w:r>
          </w:p>
          <w:p w14:paraId="1184E331" w14:textId="08188A5B" w:rsidR="007D47B5" w:rsidRDefault="007D47B5" w:rsidP="007D47B5">
            <w:pPr>
              <w:spacing w:after="240"/>
              <w:ind w:left="720" w:hanging="720"/>
            </w:pPr>
            <w:r>
              <w:t>(4)</w:t>
            </w:r>
            <w:r>
              <w:tab/>
              <w:t>Resources, excluding non-</w:t>
            </w:r>
            <w:r w:rsidR="00C67FF2">
              <w:t>CLRs</w:t>
            </w:r>
            <w:r>
              <w:t>, that have been awarded RRS as FFR-capable Resources or are telemetering a Resource Status of ONSC, will all have manual deployment instructions and expected deployments triggered automatically by frequency deviations included in the UDSP value provided to the QSE for the Resource.  These deployment components of UDSP will reflect the latest Ancillary Service awards and are separate from the ramping component of UDSP.</w:t>
            </w:r>
          </w:p>
          <w:p w14:paraId="491062C3" w14:textId="7576EB78" w:rsidR="007D47B5" w:rsidRPr="007D47B5" w:rsidRDefault="007D47B5" w:rsidP="007D47B5">
            <w:pPr>
              <w:spacing w:after="240"/>
              <w:ind w:left="720" w:hanging="720"/>
            </w:pPr>
            <w:r>
              <w:t>(5)</w:t>
            </w:r>
            <w:r>
              <w:tab/>
              <w:t>When ERCOT System frequency experiences a 0.05 Hz or greater deviation from scheduled frequency, and a Resource is ramping to a SCED Base Point in a manner directionally opposite to system frequency, the ramping component of the Resource’s UDSP will be temporarily held constant and flagged accordingly.</w:t>
            </w:r>
          </w:p>
        </w:tc>
      </w:tr>
    </w:tbl>
    <w:p w14:paraId="643CDAD3" w14:textId="77777777" w:rsidR="001F04FD" w:rsidRDefault="001F04FD" w:rsidP="001F04FD">
      <w:pPr>
        <w:pStyle w:val="H4"/>
        <w:spacing w:before="480"/>
        <w:ind w:left="1267" w:hanging="1267"/>
      </w:pPr>
      <w:bookmarkStart w:id="1212" w:name="_Toc189044363"/>
      <w:bookmarkStart w:id="1213" w:name="_Hlk135901819"/>
      <w:r w:rsidRPr="00E20DCD">
        <w:lastRenderedPageBreak/>
        <w:t>6.5.7.5</w:t>
      </w:r>
      <w:r>
        <w:tab/>
        <w:t>Ancillary Services Capacity Monitor</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12"/>
    </w:p>
    <w:p w14:paraId="0DA3C53F" w14:textId="605CD005" w:rsidR="000800A9" w:rsidRDefault="000800A9" w:rsidP="000800A9">
      <w:pPr>
        <w:pStyle w:val="BodyTextNumbered"/>
      </w:pPr>
      <w:r>
        <w:t>(1)</w:t>
      </w:r>
      <w:r>
        <w:tab/>
        <w:t xml:space="preserve">ERCOT shall calculate the following every ten seconds and provide Real-Time summaries to ERCOT Operators and all Market Participants using ICCP, giving updates of calculations every ten seconds, and posting on the </w:t>
      </w:r>
      <w:r w:rsidR="0007207E">
        <w:t>ERCOT website</w:t>
      </w:r>
      <w:r>
        <w:t>, giving updates of calculations every five minutes, which show the Real-Time total system amount of:</w:t>
      </w:r>
    </w:p>
    <w:p w14:paraId="5ED2A746" w14:textId="77777777" w:rsidR="000800A9" w:rsidRDefault="000800A9" w:rsidP="000800A9">
      <w:pPr>
        <w:pStyle w:val="List"/>
      </w:pPr>
      <w:r>
        <w:t>(a)</w:t>
      </w:r>
      <w:r>
        <w:tab/>
        <w:t xml:space="preserve">RRS capacity from: </w:t>
      </w:r>
    </w:p>
    <w:p w14:paraId="52681AC5" w14:textId="77777777" w:rsidR="000800A9" w:rsidRDefault="000800A9" w:rsidP="000800A9">
      <w:pPr>
        <w:pStyle w:val="List"/>
        <w:ind w:left="2160"/>
      </w:pPr>
      <w:r>
        <w:t>(i)</w:t>
      </w:r>
      <w:r>
        <w:tab/>
        <w:t>Generation Resources;</w:t>
      </w:r>
    </w:p>
    <w:p w14:paraId="7ED7D872" w14:textId="01C6DEF0" w:rsidR="000800A9" w:rsidRDefault="000800A9" w:rsidP="000800A9">
      <w:pPr>
        <w:pStyle w:val="List"/>
        <w:ind w:left="2160"/>
      </w:pPr>
      <w:r>
        <w:t>(ii)</w:t>
      </w:r>
      <w:r>
        <w:tab/>
        <w:t xml:space="preserve">Load Resources excluding </w:t>
      </w:r>
      <w:r w:rsidR="00192EFF">
        <w:t>CLRs</w:t>
      </w:r>
      <w:r>
        <w:t>;</w:t>
      </w:r>
    </w:p>
    <w:p w14:paraId="3997884C" w14:textId="5F116EDC" w:rsidR="000800A9" w:rsidRDefault="000800A9" w:rsidP="000800A9">
      <w:pPr>
        <w:pStyle w:val="List"/>
        <w:ind w:left="2160"/>
      </w:pPr>
      <w:r>
        <w:t>(iii)</w:t>
      </w:r>
      <w:r>
        <w:tab/>
      </w:r>
      <w:r w:rsidR="00192EFF">
        <w:t>CLRs</w:t>
      </w:r>
      <w:r>
        <w:t>;</w:t>
      </w:r>
      <w:r w:rsidR="00974FBE">
        <w:t xml:space="preserve"> and</w:t>
      </w:r>
    </w:p>
    <w:p w14:paraId="365F08D1" w14:textId="76E2108B" w:rsidR="00974FBE" w:rsidRDefault="00974FBE" w:rsidP="000800A9">
      <w:pPr>
        <w:pStyle w:val="List"/>
        <w:ind w:left="2160"/>
      </w:pPr>
      <w:r w:rsidRPr="0003648D">
        <w:t>(iv)</w:t>
      </w:r>
      <w:r w:rsidRPr="0003648D">
        <w:tab/>
      </w:r>
      <w:r w:rsidRPr="004E4AC5">
        <w:t>Resources capable of Fast Frequency Response (FFR)</w:t>
      </w:r>
      <w:r w:rsidRPr="0003648D">
        <w:t>;</w:t>
      </w:r>
    </w:p>
    <w:p w14:paraId="1B2DC37E" w14:textId="77777777" w:rsidR="000800A9" w:rsidRDefault="000800A9" w:rsidP="00A00430">
      <w:pPr>
        <w:spacing w:after="240"/>
        <w:ind w:left="1440" w:hanging="720"/>
      </w:pPr>
      <w:r w:rsidRPr="00E275CE">
        <w:t>(</w:t>
      </w:r>
      <w:r>
        <w:t>b</w:t>
      </w:r>
      <w:r w:rsidRPr="00E275CE">
        <w:t>)</w:t>
      </w:r>
      <w:r w:rsidRPr="00E275CE">
        <w:tab/>
        <w:t>Ancillary Service Resource Responsibility for RRS from</w:t>
      </w:r>
      <w:r>
        <w:t>:</w:t>
      </w:r>
      <w:r w:rsidRPr="00E275CE">
        <w:t xml:space="preserve"> </w:t>
      </w:r>
    </w:p>
    <w:p w14:paraId="45B189EC" w14:textId="77777777" w:rsidR="000800A9" w:rsidRPr="00E275CE" w:rsidRDefault="000800A9" w:rsidP="000800A9">
      <w:pPr>
        <w:pStyle w:val="List2"/>
      </w:pPr>
      <w:r>
        <w:t>(i)</w:t>
      </w:r>
      <w:r>
        <w:tab/>
      </w:r>
      <w:r w:rsidRPr="00E275CE">
        <w:t>Generation Resources;</w:t>
      </w:r>
    </w:p>
    <w:p w14:paraId="4704F1B5" w14:textId="4B24DA9A" w:rsidR="000800A9" w:rsidRPr="00E275CE" w:rsidRDefault="000800A9" w:rsidP="000800A9">
      <w:pPr>
        <w:pStyle w:val="List2"/>
      </w:pPr>
      <w:r w:rsidRPr="00E275CE">
        <w:t>(</w:t>
      </w:r>
      <w:r>
        <w:t>ii</w:t>
      </w:r>
      <w:r w:rsidRPr="00E275CE">
        <w:t>)</w:t>
      </w:r>
      <w:r w:rsidRPr="00E275CE">
        <w:tab/>
        <w:t xml:space="preserve">Load Resources excluding </w:t>
      </w:r>
      <w:r w:rsidR="00192EFF">
        <w:t>CLRs</w:t>
      </w:r>
      <w:r w:rsidRPr="00E275CE">
        <w:t>;</w:t>
      </w:r>
    </w:p>
    <w:p w14:paraId="23B997D4" w14:textId="61CC4F47" w:rsidR="000800A9" w:rsidRDefault="000800A9" w:rsidP="000800A9">
      <w:pPr>
        <w:pStyle w:val="List2"/>
      </w:pPr>
      <w:r w:rsidRPr="00E275CE">
        <w:t>(</w:t>
      </w:r>
      <w:r>
        <w:t>iii</w:t>
      </w:r>
      <w:r w:rsidRPr="00E275CE">
        <w:t>)</w:t>
      </w:r>
      <w:r w:rsidRPr="00E275CE">
        <w:tab/>
      </w:r>
      <w:r w:rsidR="00192EFF">
        <w:t>CLRs</w:t>
      </w:r>
      <w:r w:rsidRPr="00E275CE">
        <w:t>;</w:t>
      </w:r>
      <w:r w:rsidR="00974FBE">
        <w:t xml:space="preserve"> and</w:t>
      </w:r>
    </w:p>
    <w:p w14:paraId="4A0E71B2" w14:textId="272CA3C4" w:rsidR="00974FBE" w:rsidRDefault="00974FBE" w:rsidP="000800A9">
      <w:pPr>
        <w:pStyle w:val="List2"/>
      </w:pPr>
      <w:r w:rsidRPr="0003648D">
        <w:t>(iv)</w:t>
      </w:r>
      <w:r w:rsidRPr="0003648D">
        <w:tab/>
      </w:r>
      <w:r w:rsidRPr="004E4AC5">
        <w:t>Resources capable of FFR</w:t>
      </w:r>
      <w:r w:rsidRPr="0003648D">
        <w:t>;</w:t>
      </w:r>
    </w:p>
    <w:p w14:paraId="1E72AD58" w14:textId="77777777" w:rsidR="00DC32AE" w:rsidRPr="0003648D" w:rsidRDefault="00DC32AE" w:rsidP="00DC32AE">
      <w:pPr>
        <w:spacing w:after="240"/>
        <w:ind w:left="1440" w:hanging="720"/>
      </w:pPr>
      <w:r w:rsidRPr="0003648D">
        <w:t>(</w:t>
      </w:r>
      <w:r>
        <w:t>c</w:t>
      </w:r>
      <w:r w:rsidRPr="0003648D">
        <w:t>)</w:t>
      </w:r>
      <w:r w:rsidRPr="0003648D">
        <w:tab/>
      </w:r>
      <w:r>
        <w:t>ECRS</w:t>
      </w:r>
      <w:r w:rsidRPr="0003648D">
        <w:t xml:space="preserve"> capacity from: </w:t>
      </w:r>
    </w:p>
    <w:p w14:paraId="3070D792" w14:textId="77777777" w:rsidR="00DC32AE" w:rsidRPr="0003648D" w:rsidRDefault="00DC32AE" w:rsidP="00DC32AE">
      <w:pPr>
        <w:spacing w:after="240"/>
        <w:ind w:left="2160" w:hanging="720"/>
      </w:pPr>
      <w:r w:rsidRPr="0003648D">
        <w:lastRenderedPageBreak/>
        <w:t>(i)</w:t>
      </w:r>
      <w:r w:rsidRPr="0003648D">
        <w:tab/>
        <w:t>Generation Resources;</w:t>
      </w:r>
    </w:p>
    <w:p w14:paraId="740AC444" w14:textId="73B4FAA0" w:rsidR="00DC32AE" w:rsidRPr="0003648D" w:rsidRDefault="00DC32AE" w:rsidP="00DC32AE">
      <w:pPr>
        <w:spacing w:after="240"/>
        <w:ind w:left="2160" w:hanging="720"/>
      </w:pPr>
      <w:r w:rsidRPr="0003648D">
        <w:t>(ii)</w:t>
      </w:r>
      <w:r w:rsidRPr="0003648D">
        <w:tab/>
        <w:t xml:space="preserve">Load Resources excluding </w:t>
      </w:r>
      <w:r w:rsidR="00192EFF">
        <w:t>CLRs</w:t>
      </w:r>
      <w:r w:rsidRPr="0003648D">
        <w:t xml:space="preserve">; </w:t>
      </w:r>
    </w:p>
    <w:p w14:paraId="5C1868CD" w14:textId="3B90D155" w:rsidR="00DC32AE" w:rsidRPr="0003648D" w:rsidRDefault="00DC32AE" w:rsidP="00DC32AE">
      <w:pPr>
        <w:spacing w:after="240"/>
        <w:ind w:left="2160" w:hanging="720"/>
      </w:pPr>
      <w:r w:rsidRPr="0003648D">
        <w:t>(iii)</w:t>
      </w:r>
      <w:r w:rsidRPr="0003648D">
        <w:tab/>
      </w:r>
      <w:r w:rsidR="00192EFF">
        <w:t>CLRs</w:t>
      </w:r>
      <w:r w:rsidRPr="0003648D">
        <w:t>; and</w:t>
      </w:r>
    </w:p>
    <w:p w14:paraId="2F79634E" w14:textId="77777777" w:rsidR="00DC32AE" w:rsidRPr="0003648D" w:rsidRDefault="00DC32AE" w:rsidP="00DC32AE">
      <w:pPr>
        <w:spacing w:after="240"/>
        <w:ind w:left="2160" w:hanging="720"/>
      </w:pPr>
      <w:r w:rsidRPr="0003648D">
        <w:t>(iv)</w:t>
      </w:r>
      <w:r w:rsidRPr="0003648D">
        <w:tab/>
        <w:t>Quick Start Generation Resources (QSGRs);</w:t>
      </w:r>
    </w:p>
    <w:p w14:paraId="5EE37137" w14:textId="77777777" w:rsidR="00DC32AE" w:rsidRPr="0003648D" w:rsidRDefault="00DC32AE" w:rsidP="00DC32AE">
      <w:pPr>
        <w:spacing w:after="240"/>
        <w:ind w:left="1440" w:hanging="720"/>
      </w:pPr>
      <w:r w:rsidRPr="0003648D">
        <w:t>(</w:t>
      </w:r>
      <w:r>
        <w:t>d</w:t>
      </w:r>
      <w:r w:rsidRPr="0003648D">
        <w:t>)</w:t>
      </w:r>
      <w:r w:rsidRPr="0003648D">
        <w:tab/>
        <w:t xml:space="preserve">Ancillary Service Resource Responsibility for </w:t>
      </w:r>
      <w:r>
        <w:t>ECRS</w:t>
      </w:r>
      <w:r w:rsidRPr="0003648D">
        <w:t xml:space="preserve"> from: </w:t>
      </w:r>
    </w:p>
    <w:p w14:paraId="567B2891" w14:textId="77777777" w:rsidR="00DC32AE" w:rsidRPr="0003648D" w:rsidRDefault="00DC32AE" w:rsidP="00DC32AE">
      <w:pPr>
        <w:spacing w:after="240"/>
        <w:ind w:left="2160" w:hanging="720"/>
      </w:pPr>
      <w:r w:rsidRPr="0003648D">
        <w:t>(i)</w:t>
      </w:r>
      <w:r w:rsidRPr="0003648D">
        <w:tab/>
        <w:t>Generation Resources;</w:t>
      </w:r>
    </w:p>
    <w:p w14:paraId="4DD0177E" w14:textId="06F1987D" w:rsidR="00DC32AE" w:rsidRPr="0003648D" w:rsidRDefault="00DC32AE" w:rsidP="00DC32AE">
      <w:pPr>
        <w:spacing w:after="240"/>
        <w:ind w:left="2160" w:hanging="720"/>
      </w:pPr>
      <w:r w:rsidRPr="0003648D">
        <w:t>(ii)</w:t>
      </w:r>
      <w:r w:rsidRPr="0003648D">
        <w:tab/>
        <w:t xml:space="preserve">Load Resources excluding </w:t>
      </w:r>
      <w:r w:rsidR="00192EFF">
        <w:t>CLRs</w:t>
      </w:r>
      <w:r w:rsidRPr="0003648D">
        <w:t>; and</w:t>
      </w:r>
    </w:p>
    <w:p w14:paraId="43222E4A" w14:textId="5EBD3696" w:rsidR="00DC32AE" w:rsidRPr="0003648D" w:rsidRDefault="00DC32AE" w:rsidP="00DC32AE">
      <w:pPr>
        <w:spacing w:after="240"/>
        <w:ind w:left="2160" w:hanging="720"/>
      </w:pPr>
      <w:r w:rsidRPr="0003648D">
        <w:t>(iii)</w:t>
      </w:r>
      <w:r w:rsidRPr="0003648D">
        <w:tab/>
      </w:r>
      <w:r w:rsidR="00192EFF">
        <w:t>CLRs</w:t>
      </w:r>
      <w:r w:rsidRPr="0003648D">
        <w:t>; and</w:t>
      </w:r>
    </w:p>
    <w:p w14:paraId="1156ADD8" w14:textId="77777777" w:rsidR="00DC32AE" w:rsidRPr="0003648D" w:rsidRDefault="00DC32AE" w:rsidP="00DC32AE">
      <w:pPr>
        <w:spacing w:after="240"/>
        <w:ind w:left="2160" w:hanging="720"/>
      </w:pPr>
      <w:r w:rsidRPr="0003648D">
        <w:t>(iv)</w:t>
      </w:r>
      <w:r w:rsidRPr="0003648D">
        <w:tab/>
        <w:t>QSGRs;</w:t>
      </w:r>
    </w:p>
    <w:p w14:paraId="4373D7A9" w14:textId="5B38B2FE" w:rsidR="000800A9" w:rsidRDefault="000800A9" w:rsidP="00A00430">
      <w:pPr>
        <w:pStyle w:val="List"/>
      </w:pPr>
      <w:r w:rsidRPr="00E275CE">
        <w:t>(</w:t>
      </w:r>
      <w:r w:rsidR="00397A7F">
        <w:t>e</w:t>
      </w:r>
      <w:r w:rsidRPr="00E275CE">
        <w:t>)</w:t>
      </w:r>
      <w:r w:rsidRPr="00E275CE">
        <w:tab/>
      </w:r>
      <w:r w:rsidR="00397A7F">
        <w:t>ECRS</w:t>
      </w:r>
      <w:r w:rsidRPr="00E275CE">
        <w:t xml:space="preserve"> deployed to Generation and Load Resources;</w:t>
      </w:r>
      <w:r>
        <w:t xml:space="preserve"> </w:t>
      </w:r>
    </w:p>
    <w:p w14:paraId="7DE031B0" w14:textId="1163C0C2" w:rsidR="000800A9" w:rsidRDefault="000800A9" w:rsidP="00FB599C">
      <w:pPr>
        <w:pStyle w:val="List"/>
      </w:pPr>
      <w:r>
        <w:t>(</w:t>
      </w:r>
      <w:r w:rsidR="00397A7F">
        <w:t>f</w:t>
      </w:r>
      <w:r>
        <w:t>)</w:t>
      </w:r>
      <w:r>
        <w:tab/>
        <w:t xml:space="preserve">Non-Spin available from: </w:t>
      </w:r>
    </w:p>
    <w:p w14:paraId="1CDF32B0" w14:textId="77777777" w:rsidR="000800A9" w:rsidRDefault="000800A9" w:rsidP="000800A9">
      <w:pPr>
        <w:pStyle w:val="List"/>
        <w:ind w:left="2160"/>
      </w:pPr>
      <w:r>
        <w:t>(i)</w:t>
      </w:r>
      <w:r>
        <w:tab/>
        <w:t>On-Line Generation Resources with Energy Offer Curves;</w:t>
      </w:r>
    </w:p>
    <w:p w14:paraId="39A84641" w14:textId="77777777" w:rsidR="000800A9" w:rsidRDefault="000800A9" w:rsidP="000800A9">
      <w:pPr>
        <w:pStyle w:val="List"/>
        <w:ind w:left="2160"/>
      </w:pPr>
      <w:r>
        <w:t>(ii)</w:t>
      </w:r>
      <w:r>
        <w:tab/>
        <w:t xml:space="preserve">Undeployed Load Resources; </w:t>
      </w:r>
    </w:p>
    <w:p w14:paraId="079C0DEC" w14:textId="77777777" w:rsidR="000800A9" w:rsidRDefault="000800A9" w:rsidP="000800A9">
      <w:pPr>
        <w:pStyle w:val="List"/>
        <w:ind w:left="2160"/>
      </w:pPr>
      <w:r>
        <w:t>(iii)</w:t>
      </w:r>
      <w:r>
        <w:tab/>
        <w:t>Off-Line Generation Resources; and</w:t>
      </w:r>
    </w:p>
    <w:p w14:paraId="08CED634" w14:textId="77777777" w:rsidR="000800A9" w:rsidRDefault="000800A9" w:rsidP="000800A9">
      <w:pPr>
        <w:pStyle w:val="List"/>
        <w:ind w:left="2160"/>
      </w:pPr>
      <w:r>
        <w:t>(iv)</w:t>
      </w:r>
      <w:r>
        <w:tab/>
        <w:t>Resources with Output Schedules;</w:t>
      </w:r>
    </w:p>
    <w:p w14:paraId="01FC369A" w14:textId="18EA4BF4" w:rsidR="000800A9" w:rsidRDefault="000800A9" w:rsidP="000800A9">
      <w:pPr>
        <w:spacing w:after="240"/>
        <w:ind w:left="1440" w:hanging="720"/>
      </w:pPr>
      <w:r w:rsidRPr="00E275CE">
        <w:t>(</w:t>
      </w:r>
      <w:r w:rsidR="00397A7F">
        <w:t>g</w:t>
      </w:r>
      <w:r w:rsidRPr="00E275CE">
        <w:t>)</w:t>
      </w:r>
      <w:r w:rsidRPr="00E275CE">
        <w:tab/>
        <w:t>Ancillary Service Resource Responsibility for Non-Spin from</w:t>
      </w:r>
      <w:r>
        <w:t>:</w:t>
      </w:r>
    </w:p>
    <w:p w14:paraId="43C75DC7" w14:textId="77777777" w:rsidR="000800A9" w:rsidRPr="00E275CE" w:rsidRDefault="000800A9" w:rsidP="000800A9">
      <w:pPr>
        <w:pStyle w:val="List2"/>
      </w:pPr>
      <w:r>
        <w:t>(i)</w:t>
      </w:r>
      <w:r>
        <w:tab/>
      </w:r>
      <w:r w:rsidRPr="00E275CE">
        <w:t>On-Line Generation Resources with Energy Offer Curves;</w:t>
      </w:r>
    </w:p>
    <w:p w14:paraId="52657F19" w14:textId="77777777" w:rsidR="000800A9" w:rsidRPr="00E275CE" w:rsidRDefault="000800A9" w:rsidP="000800A9">
      <w:pPr>
        <w:pStyle w:val="List2"/>
      </w:pPr>
      <w:r w:rsidRPr="00E275CE">
        <w:t>(</w:t>
      </w:r>
      <w:r>
        <w:t>ii</w:t>
      </w:r>
      <w:r w:rsidRPr="00E275CE">
        <w:t>)</w:t>
      </w:r>
      <w:r w:rsidRPr="00E275CE">
        <w:tab/>
        <w:t>On-Line Generation Resources with Output Schedules;</w:t>
      </w:r>
    </w:p>
    <w:p w14:paraId="1AC9D0D4" w14:textId="77777777" w:rsidR="000800A9" w:rsidRPr="00E275CE" w:rsidRDefault="000800A9" w:rsidP="000800A9">
      <w:pPr>
        <w:pStyle w:val="List2"/>
      </w:pPr>
      <w:r w:rsidRPr="00E275CE">
        <w:t>(</w:t>
      </w:r>
      <w:r>
        <w:t>iii</w:t>
      </w:r>
      <w:r w:rsidRPr="00E275CE">
        <w:t>)</w:t>
      </w:r>
      <w:r w:rsidRPr="00E275CE">
        <w:tab/>
        <w:t xml:space="preserve">Load Resources; </w:t>
      </w:r>
    </w:p>
    <w:p w14:paraId="4B5D1A53" w14:textId="7881418A" w:rsidR="000800A9" w:rsidRPr="00E275CE" w:rsidRDefault="000800A9" w:rsidP="000800A9">
      <w:pPr>
        <w:pStyle w:val="List2"/>
      </w:pPr>
      <w:r w:rsidRPr="00E275CE">
        <w:t>(</w:t>
      </w:r>
      <w:r>
        <w:t>iv</w:t>
      </w:r>
      <w:r w:rsidRPr="00E275CE">
        <w:t>)</w:t>
      </w:r>
      <w:r w:rsidRPr="00E275CE">
        <w:tab/>
        <w:t xml:space="preserve">Off-Line Generation Resources excluding QSGRs; </w:t>
      </w:r>
      <w:r>
        <w:t>and</w:t>
      </w:r>
    </w:p>
    <w:p w14:paraId="4DC7BCAA" w14:textId="77777777" w:rsidR="000800A9" w:rsidRDefault="000800A9" w:rsidP="000800A9">
      <w:pPr>
        <w:pStyle w:val="List"/>
        <w:ind w:left="2160"/>
      </w:pPr>
      <w:r w:rsidRPr="00E275CE">
        <w:t>(</w:t>
      </w:r>
      <w:r>
        <w:t>v</w:t>
      </w:r>
      <w:r w:rsidRPr="00E275CE">
        <w:t>)</w:t>
      </w:r>
      <w:r w:rsidRPr="00E275CE">
        <w:tab/>
        <w:t>QSGRs;</w:t>
      </w:r>
    </w:p>
    <w:p w14:paraId="029DAFC9" w14:textId="0F8B77A2" w:rsidR="000800A9" w:rsidRDefault="000800A9" w:rsidP="000800A9">
      <w:pPr>
        <w:pStyle w:val="List"/>
      </w:pPr>
      <w:r>
        <w:t>(</w:t>
      </w:r>
      <w:r w:rsidR="00397A7F">
        <w:t>h</w:t>
      </w:r>
      <w:r>
        <w:t>)</w:t>
      </w:r>
      <w:r>
        <w:tab/>
        <w:t>Undeployed Reg-Up and Reg-Down;</w:t>
      </w:r>
    </w:p>
    <w:p w14:paraId="766D6651" w14:textId="638B4266" w:rsidR="000800A9" w:rsidRDefault="000800A9" w:rsidP="000800A9">
      <w:pPr>
        <w:pStyle w:val="List2"/>
        <w:ind w:left="1440"/>
      </w:pPr>
      <w:r w:rsidRPr="00E275CE">
        <w:t>(</w:t>
      </w:r>
      <w:r w:rsidR="00397A7F">
        <w:t>i</w:t>
      </w:r>
      <w:r w:rsidRPr="00E275CE">
        <w:t>)</w:t>
      </w:r>
      <w:r w:rsidRPr="00E275CE">
        <w:tab/>
        <w:t>Ancillary Service Resource Responsibility for Reg-Up</w:t>
      </w:r>
      <w:r>
        <w:t xml:space="preserve"> and Reg-Down</w:t>
      </w:r>
      <w:r w:rsidRPr="00E275CE">
        <w:t>;</w:t>
      </w:r>
    </w:p>
    <w:p w14:paraId="5DFB2963" w14:textId="7F31E643" w:rsidR="000800A9" w:rsidRDefault="000800A9" w:rsidP="000800A9">
      <w:pPr>
        <w:pStyle w:val="List"/>
      </w:pPr>
      <w:r w:rsidRPr="00E275CE">
        <w:t>(</w:t>
      </w:r>
      <w:r w:rsidR="00397A7F">
        <w:t>j</w:t>
      </w:r>
      <w:r w:rsidRPr="00E275CE">
        <w:t>)</w:t>
      </w:r>
      <w:r w:rsidRPr="00E275CE">
        <w:tab/>
        <w:t>Deployed Reg-Up and Reg-Down;</w:t>
      </w:r>
    </w:p>
    <w:p w14:paraId="076FA465" w14:textId="385BA44F" w:rsidR="000800A9" w:rsidRDefault="000800A9" w:rsidP="000800A9">
      <w:pPr>
        <w:pStyle w:val="List"/>
      </w:pPr>
      <w:r>
        <w:t>(</w:t>
      </w:r>
      <w:r w:rsidR="00397A7F">
        <w:t>k</w:t>
      </w:r>
      <w:r>
        <w:t>)</w:t>
      </w:r>
      <w:r>
        <w:tab/>
        <w:t>Available capacity:</w:t>
      </w:r>
    </w:p>
    <w:p w14:paraId="6102599B" w14:textId="77777777" w:rsidR="000800A9" w:rsidRDefault="000800A9" w:rsidP="000800A9">
      <w:pPr>
        <w:pStyle w:val="List"/>
        <w:ind w:left="2160"/>
      </w:pPr>
      <w:r>
        <w:lastRenderedPageBreak/>
        <w:t>(i)</w:t>
      </w:r>
      <w:r>
        <w:tab/>
        <w:t>With Energy Offer Curves in the ERCOT System that can be used to increase Generation Resource Base Points in SCED;</w:t>
      </w:r>
    </w:p>
    <w:p w14:paraId="323481E0" w14:textId="77777777" w:rsidR="000800A9" w:rsidRDefault="000800A9" w:rsidP="000800A9">
      <w:pPr>
        <w:pStyle w:val="List"/>
        <w:ind w:left="2160"/>
      </w:pPr>
      <w:r>
        <w:t>(ii)</w:t>
      </w:r>
      <w:r>
        <w:tab/>
        <w:t xml:space="preserve">With Energy Offer Curves in the ERCOT System that can be used to decrease Generation Resource Base Points in SCED; </w:t>
      </w:r>
    </w:p>
    <w:p w14:paraId="23673DCD" w14:textId="77777777" w:rsidR="000800A9" w:rsidRDefault="000800A9" w:rsidP="000800A9">
      <w:pPr>
        <w:pStyle w:val="List"/>
        <w:ind w:left="2160"/>
      </w:pPr>
      <w:r>
        <w:t>(iii)</w:t>
      </w:r>
      <w:r>
        <w:tab/>
        <w:t xml:space="preserve">Without Energy Offer Curves in the ERCOT System that can be used to increase Generation Resource Base Points in SCED; </w:t>
      </w:r>
    </w:p>
    <w:p w14:paraId="4ABAA9A1" w14:textId="77777777" w:rsidR="000800A9" w:rsidRDefault="000800A9" w:rsidP="000800A9">
      <w:pPr>
        <w:pStyle w:val="List"/>
        <w:ind w:left="2160"/>
      </w:pPr>
      <w:r>
        <w:t>(iv)</w:t>
      </w:r>
      <w:r>
        <w:tab/>
        <w:t xml:space="preserve">Without Energy Offer Curves in the ERCOT System that can be used to decrease Generation Resource Base Points in SCED; </w:t>
      </w:r>
    </w:p>
    <w:p w14:paraId="760A5C41" w14:textId="1B2F9909" w:rsidR="000800A9" w:rsidRPr="006A6281" w:rsidRDefault="000800A9" w:rsidP="000800A9">
      <w:pPr>
        <w:pStyle w:val="List"/>
        <w:ind w:left="2160"/>
      </w:pPr>
      <w:r w:rsidRPr="006A6281">
        <w:t>(v)</w:t>
      </w:r>
      <w:r w:rsidRPr="006A6281">
        <w:tab/>
        <w:t xml:space="preserve">With RTM Energy Bid curves from available </w:t>
      </w:r>
      <w:r w:rsidR="00192EFF">
        <w:t>CLRs</w:t>
      </w:r>
      <w:r w:rsidRPr="006A6281">
        <w:t xml:space="preserve"> in the ERCOT System that can be used to decrease Base Points (energy consumption) in SCED;</w:t>
      </w:r>
    </w:p>
    <w:p w14:paraId="0682107E" w14:textId="30C08571" w:rsidR="000800A9" w:rsidRDefault="000800A9" w:rsidP="000800A9">
      <w:pPr>
        <w:pStyle w:val="List"/>
        <w:ind w:left="2160"/>
      </w:pPr>
      <w:r w:rsidRPr="006A6281">
        <w:t>(vi)</w:t>
      </w:r>
      <w:r w:rsidRPr="006A6281">
        <w:tab/>
        <w:t xml:space="preserve">With RTM Energy Bid curves from available </w:t>
      </w:r>
      <w:r w:rsidR="00192EFF">
        <w:t>CLRs</w:t>
      </w:r>
      <w:r w:rsidRPr="006A6281">
        <w:t xml:space="preserve"> in the ERCOT System that can be used to increase Base Points (energy consumption) in SCED;</w:t>
      </w:r>
      <w:r>
        <w:t xml:space="preserve"> </w:t>
      </w:r>
    </w:p>
    <w:p w14:paraId="46BF7462" w14:textId="079EA0CB" w:rsidR="000800A9" w:rsidRDefault="000800A9" w:rsidP="000800A9">
      <w:pPr>
        <w:pStyle w:val="List"/>
        <w:ind w:left="2160"/>
      </w:pPr>
      <w:r>
        <w:t>(vii)</w:t>
      </w:r>
      <w:r>
        <w:tab/>
        <w:t>From Resources participating in SCED plus the Reg-Up</w:t>
      </w:r>
      <w:r w:rsidR="00397A7F">
        <w:t>, ECRS,</w:t>
      </w:r>
      <w:r>
        <w:t xml:space="preserve"> and RRS from Load Resources </w:t>
      </w:r>
      <w:r>
        <w:rPr>
          <w:bCs/>
        </w:rPr>
        <w:t>and the Net Power Consumption minus the Low Power Consumption from Load Resources with a validated Real-Time RRS</w:t>
      </w:r>
      <w:r w:rsidR="00397A7F">
        <w:rPr>
          <w:bCs/>
        </w:rPr>
        <w:t xml:space="preserve"> and ECRS</w:t>
      </w:r>
      <w:r>
        <w:rPr>
          <w:bCs/>
        </w:rPr>
        <w:t xml:space="preserve"> Schedule</w:t>
      </w:r>
      <w:r>
        <w:t>;</w:t>
      </w:r>
    </w:p>
    <w:p w14:paraId="673CA8A2" w14:textId="77777777" w:rsidR="000800A9" w:rsidRDefault="000800A9" w:rsidP="00FB599C">
      <w:pPr>
        <w:pStyle w:val="List"/>
        <w:ind w:left="2160"/>
      </w:pPr>
      <w:r>
        <w:t>(viii)</w:t>
      </w:r>
      <w:r>
        <w:tab/>
        <w:t>From Resources included in item (vii) above plus reserves from Resources that could be made available to SCED in 30 minutes;</w:t>
      </w:r>
    </w:p>
    <w:p w14:paraId="1D1E3C19" w14:textId="5D214FDF" w:rsidR="000800A9" w:rsidRDefault="000800A9" w:rsidP="000800A9">
      <w:pPr>
        <w:pStyle w:val="List"/>
        <w:ind w:left="2160"/>
      </w:pPr>
      <w:r>
        <w:t>(ix)</w:t>
      </w:r>
      <w:r>
        <w:tab/>
        <w:t>In the ERCOT System that can be used to increase Generation Resource Base Points in the next five minutes in SCED; and</w:t>
      </w:r>
    </w:p>
    <w:p w14:paraId="2BF45E7B" w14:textId="77777777" w:rsidR="000800A9" w:rsidRPr="000D24A5" w:rsidRDefault="000800A9" w:rsidP="000800A9">
      <w:pPr>
        <w:pStyle w:val="List"/>
        <w:ind w:left="2160"/>
      </w:pPr>
      <w:r>
        <w:t>(x)</w:t>
      </w:r>
      <w:r>
        <w:tab/>
        <w:t>In the ERCOT System that can be used to decrease Generation Resource Base Points in the next five minutes in SCED;</w:t>
      </w:r>
    </w:p>
    <w:p w14:paraId="58D94E87" w14:textId="31F4DC8F" w:rsidR="000800A9" w:rsidRDefault="000800A9" w:rsidP="000800A9">
      <w:pPr>
        <w:pStyle w:val="List"/>
      </w:pPr>
      <w:r>
        <w:t>(</w:t>
      </w:r>
      <w:r w:rsidR="00397A7F">
        <w:t>l</w:t>
      </w:r>
      <w:r>
        <w:t>)</w:t>
      </w:r>
      <w:r>
        <w:tab/>
        <w:t>Aggregate telemetered HSL capacity for Resources with a telemetered Resource Status of EMR;</w:t>
      </w:r>
    </w:p>
    <w:p w14:paraId="23A67393" w14:textId="690C2049" w:rsidR="000800A9" w:rsidRDefault="000800A9" w:rsidP="000800A9">
      <w:pPr>
        <w:pStyle w:val="List"/>
      </w:pPr>
      <w:r>
        <w:t>(</w:t>
      </w:r>
      <w:r w:rsidR="00397A7F">
        <w:t>m</w:t>
      </w:r>
      <w:r>
        <w:t>)</w:t>
      </w:r>
      <w:r>
        <w:tab/>
        <w:t>Aggregate telemetered HSL capacity for Resources with a telemetered Resource Status of OUT;</w:t>
      </w:r>
    </w:p>
    <w:p w14:paraId="43ACA2C6" w14:textId="604DA074" w:rsidR="000800A9" w:rsidRDefault="000800A9" w:rsidP="000800A9">
      <w:pPr>
        <w:pStyle w:val="List"/>
      </w:pPr>
      <w:r>
        <w:t>(</w:t>
      </w:r>
      <w:r w:rsidR="00397A7F">
        <w:t>n</w:t>
      </w:r>
      <w:r>
        <w:t>)</w:t>
      </w:r>
      <w:r>
        <w:tab/>
        <w:t>Aggregate net telemetered consumption for Resources with a telemetered Resource Status of OUTL; and</w:t>
      </w:r>
    </w:p>
    <w:p w14:paraId="50ED4DA3" w14:textId="0B014B4A" w:rsidR="000800A9" w:rsidRDefault="000800A9" w:rsidP="000800A9">
      <w:pPr>
        <w:pStyle w:val="List"/>
      </w:pPr>
      <w:r>
        <w:t>(</w:t>
      </w:r>
      <w:r w:rsidR="00397A7F">
        <w:t>o</w:t>
      </w:r>
      <w:r>
        <w:t>)</w:t>
      </w:r>
      <w:r>
        <w:tab/>
        <w:t>The ERCOT-wide PRC calculated as follows:</w:t>
      </w:r>
    </w:p>
    <w:p w14:paraId="24C79E4A" w14:textId="0CAC3CBD" w:rsidR="005755D9" w:rsidRDefault="005755D9" w:rsidP="00043D95">
      <w:pPr>
        <w:rPr>
          <w:b/>
          <w:position w:val="30"/>
          <w:sz w:val="20"/>
        </w:rPr>
      </w:pPr>
    </w:p>
    <w:p w14:paraId="6ADD3160" w14:textId="33DCFFAA" w:rsidR="000800A9" w:rsidRDefault="00DD0A69" w:rsidP="00F26F08">
      <w:pPr>
        <w:spacing w:after="240"/>
        <w:rPr>
          <w:b/>
          <w:position w:val="30"/>
          <w:sz w:val="20"/>
        </w:rPr>
      </w:pPr>
      <w:r>
        <w:rPr>
          <w:b/>
          <w:noProof/>
          <w:position w:val="30"/>
          <w:sz w:val="20"/>
        </w:rPr>
        <w:object w:dxaOrig="1440" w:dyaOrig="1440" w14:anchorId="762C5440">
          <v:shape id="_x0000_s4507" type="#_x0000_t75" style="position:absolute;margin-left:39.15pt;margin-top:-27.7pt;width:67.75pt;height:109.9pt;z-index:251654144" fillcolor="red" strokecolor="red">
            <v:fill opacity="13107f" color2="fill darken(118)" o:opacity2="13107f" rotate="t" method="linear sigma" focus="100%" type="gradient"/>
            <v:imagedata r:id="rId15" o:title=""/>
          </v:shape>
          <o:OLEObject Type="Embed" ProgID="Equation.3" ShapeID="_x0000_s4507" DrawAspect="Content" ObjectID="_1804653943" r:id="rId16"/>
        </w:object>
      </w:r>
      <w:r w:rsidR="000800A9">
        <w:rPr>
          <w:b/>
          <w:position w:val="30"/>
          <w:sz w:val="20"/>
        </w:rPr>
        <w:t>PRC</w:t>
      </w:r>
      <w:r w:rsidR="000800A9">
        <w:rPr>
          <w:b/>
          <w:position w:val="30"/>
          <w:sz w:val="20"/>
          <w:vertAlign w:val="subscript"/>
        </w:rPr>
        <w:t>1</w:t>
      </w:r>
      <w:r w:rsidR="000800A9">
        <w:rPr>
          <w:b/>
          <w:position w:val="30"/>
          <w:sz w:val="20"/>
        </w:rPr>
        <w:t xml:space="preserve"> =</w:t>
      </w:r>
      <w:r w:rsidR="000800A9">
        <w:rPr>
          <w:b/>
          <w:position w:val="30"/>
          <w:sz w:val="20"/>
        </w:rPr>
        <w:tab/>
      </w:r>
      <w:r w:rsidR="000800A9">
        <w:rPr>
          <w:b/>
          <w:position w:val="30"/>
          <w:sz w:val="20"/>
        </w:rPr>
        <w:tab/>
      </w:r>
      <w:r w:rsidR="000800A9">
        <w:rPr>
          <w:b/>
          <w:position w:val="30"/>
          <w:sz w:val="20"/>
        </w:rPr>
        <w:tab/>
        <w:t>Min(Max((RDF*(HSL-NFRC) – Actual Net Telemetered Output)</w:t>
      </w:r>
      <w:r w:rsidR="000800A9">
        <w:rPr>
          <w:b/>
          <w:position w:val="30"/>
          <w:sz w:val="20"/>
          <w:vertAlign w:val="subscript"/>
        </w:rPr>
        <w:t>i</w:t>
      </w:r>
      <w:r w:rsidR="000800A9">
        <w:rPr>
          <w:b/>
          <w:position w:val="30"/>
          <w:sz w:val="20"/>
        </w:rPr>
        <w:t xml:space="preserve"> , 0.0) , </w:t>
      </w:r>
      <w:r w:rsidR="000800A9">
        <w:rPr>
          <w:b/>
          <w:position w:val="30"/>
          <w:sz w:val="20"/>
        </w:rPr>
        <w:tab/>
      </w:r>
      <w:r w:rsidR="000800A9">
        <w:rPr>
          <w:b/>
          <w:position w:val="30"/>
          <w:sz w:val="20"/>
        </w:rPr>
        <w:tab/>
      </w:r>
      <w:r w:rsidR="000800A9">
        <w:rPr>
          <w:b/>
          <w:position w:val="30"/>
          <w:sz w:val="20"/>
        </w:rPr>
        <w:tab/>
      </w:r>
      <w:r w:rsidR="000800A9">
        <w:rPr>
          <w:b/>
          <w:position w:val="30"/>
          <w:sz w:val="20"/>
        </w:rPr>
        <w:tab/>
      </w:r>
      <w:r w:rsidR="000800A9">
        <w:rPr>
          <w:b/>
          <w:position w:val="30"/>
          <w:sz w:val="20"/>
        </w:rPr>
        <w:tab/>
        <w:t>0.2*RDF*(HSL-NFRC)</w:t>
      </w:r>
      <w:r w:rsidR="000800A9">
        <w:rPr>
          <w:b/>
          <w:position w:val="30"/>
          <w:sz w:val="20"/>
          <w:vertAlign w:val="subscript"/>
        </w:rPr>
        <w:t>i</w:t>
      </w:r>
      <w:r w:rsidR="000800A9">
        <w:rPr>
          <w:b/>
          <w:position w:val="30"/>
          <w:sz w:val="20"/>
        </w:rPr>
        <w:t>),</w:t>
      </w:r>
    </w:p>
    <w:p w14:paraId="04520672" w14:textId="77777777" w:rsidR="008B5755" w:rsidRDefault="008B5755" w:rsidP="000800A9">
      <w:pPr>
        <w:ind w:right="-1080"/>
      </w:pPr>
    </w:p>
    <w:p w14:paraId="4E79AF82" w14:textId="77777777" w:rsidR="008B5755" w:rsidRDefault="008B5755" w:rsidP="000800A9">
      <w:pPr>
        <w:ind w:right="-1080"/>
      </w:pPr>
    </w:p>
    <w:p w14:paraId="42BC2A3C" w14:textId="59CDFD42" w:rsidR="000800A9" w:rsidRDefault="000800A9" w:rsidP="000800A9">
      <w:pPr>
        <w:ind w:right="-1080"/>
      </w:pPr>
      <w:r>
        <w:t>where the included On-Line Generation Resources do not include WGRs, nuclear Generation</w:t>
      </w:r>
    </w:p>
    <w:p w14:paraId="47AD0B1A" w14:textId="77777777" w:rsidR="000800A9" w:rsidRDefault="000800A9" w:rsidP="000800A9">
      <w:pPr>
        <w:ind w:right="-1080"/>
      </w:pPr>
      <w:r>
        <w:t xml:space="preserve">Resources, or Generation Resources with an output less than or equal to 95% of telemetered LSL or </w:t>
      </w:r>
    </w:p>
    <w:p w14:paraId="548FACFA" w14:textId="5F6614CE" w:rsidR="000800A9" w:rsidRDefault="000800A9" w:rsidP="000800A9">
      <w:pPr>
        <w:ind w:right="-1080"/>
      </w:pPr>
      <w:r>
        <w:t xml:space="preserve">with a telemetered status of ONTEST, </w:t>
      </w:r>
      <w:r w:rsidR="004B52B4">
        <w:t xml:space="preserve">ONHOLD, </w:t>
      </w:r>
      <w:r>
        <w:t>STARTUP, or SHUTDOWN.</w:t>
      </w:r>
    </w:p>
    <w:p w14:paraId="39FE812C" w14:textId="716E0D58" w:rsidR="00B25AA4" w:rsidRDefault="00B25AA4" w:rsidP="000800A9">
      <w:pPr>
        <w:ind w:right="-1080"/>
      </w:pPr>
    </w:p>
    <w:p w14:paraId="3E1A4C73" w14:textId="79387B98" w:rsidR="000800A9" w:rsidRDefault="000800A9" w:rsidP="000800A9">
      <w:pPr>
        <w:rPr>
          <w:b/>
          <w:position w:val="30"/>
          <w:sz w:val="20"/>
        </w:rPr>
      </w:pPr>
    </w:p>
    <w:p w14:paraId="242849C4" w14:textId="2602D026" w:rsidR="00397A7F" w:rsidRDefault="00397A7F" w:rsidP="000800A9">
      <w:pPr>
        <w:rPr>
          <w:b/>
          <w:position w:val="30"/>
          <w:sz w:val="20"/>
        </w:rPr>
      </w:pPr>
      <w:r>
        <w:rPr>
          <w:noProof/>
        </w:rPr>
        <mc:AlternateContent>
          <mc:Choice Requires="wpc">
            <w:drawing>
              <wp:anchor distT="0" distB="0" distL="114300" distR="114300" simplePos="0" relativeHeight="251659264" behindDoc="0" locked="0" layoutInCell="1" allowOverlap="1" wp14:anchorId="1DA91C3E" wp14:editId="3DF312E8">
                <wp:simplePos x="0" y="0"/>
                <wp:positionH relativeFrom="column">
                  <wp:posOffset>507357</wp:posOffset>
                </wp:positionH>
                <wp:positionV relativeFrom="paragraph">
                  <wp:posOffset>-309245</wp:posOffset>
                </wp:positionV>
                <wp:extent cx="761365" cy="1394460"/>
                <wp:effectExtent l="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A99A" w14:textId="77777777" w:rsidR="00847E53" w:rsidRDefault="00847E53" w:rsidP="000800A9">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9248" w14:textId="77777777" w:rsidR="00847E53" w:rsidRDefault="00847E53" w:rsidP="000800A9">
                              <w:r>
                                <w:rPr>
                                  <w:rFonts w:ascii="Symbol" w:hAnsi="Symbol" w:cs="Symbol"/>
                                  <w:color w:val="000000"/>
                                  <w:szCs w:val="24"/>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3EDA" w14:textId="77777777" w:rsidR="00847E53" w:rsidRDefault="00847E53" w:rsidP="000800A9">
                              <w:r>
                                <w:rPr>
                                  <w:b/>
                                  <w:bCs/>
                                  <w:i/>
                                  <w:iCs/>
                                  <w:color w:val="000000"/>
                                  <w:szCs w:val="24"/>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05F0"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696B" w14:textId="77777777" w:rsidR="00847E53" w:rsidRDefault="00847E53" w:rsidP="000800A9">
                              <w:r>
                                <w:rPr>
                                  <w:b/>
                                  <w:bCs/>
                                  <w:i/>
                                  <w:iCs/>
                                  <w:color w:val="000000"/>
                                  <w:szCs w:val="24"/>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32C6" w14:textId="77777777" w:rsidR="00847E53" w:rsidRDefault="00847E53" w:rsidP="000800A9">
                              <w:r>
                                <w:rPr>
                                  <w:b/>
                                  <w:bCs/>
                                  <w:i/>
                                  <w:iCs/>
                                  <w:color w:val="000000"/>
                                  <w:szCs w:val="24"/>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56EE"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CA35" w14:textId="77777777" w:rsidR="00847E53" w:rsidRDefault="00847E53" w:rsidP="000800A9">
                              <w:r>
                                <w:rPr>
                                  <w:b/>
                                  <w:bCs/>
                                  <w:i/>
                                  <w:iCs/>
                                  <w:color w:val="000000"/>
                                  <w:szCs w:val="24"/>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DA91C3E" id="Canvas 111" o:spid="_x0000_s1424" editas="canvas" style="position:absolute;margin-left:39.95pt;margin-top:-24.35pt;width:59.95pt;height:109.8pt;z-index:25165926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">
                <v:shape id="_x0000_s1425" type="#_x0000_t75" style="position:absolute;width:7613;height:13944;visibility:visible;mso-wrap-style:square">
                  <v:fill o:detectmouseclick="t"/>
                  <v:path o:connecttype="none"/>
                </v:shape>
                <v:rect id="Rectangle 107" o:spid="_x0000_s142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D6AA99A" w14:textId="77777777" w:rsidR="00847E53" w:rsidRDefault="00847E53" w:rsidP="000800A9">
                        <w:r>
                          <w:rPr>
                            <w:rFonts w:ascii="Symbol" w:hAnsi="Symbol" w:cs="Symbol"/>
                            <w:color w:val="000000"/>
                            <w:sz w:val="32"/>
                            <w:szCs w:val="32"/>
                          </w:rPr>
                          <w:t></w:t>
                        </w:r>
                      </w:p>
                    </w:txbxContent>
                  </v:textbox>
                </v:rect>
                <v:rect id="Rectangle 108" o:spid="_x0000_s142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BA49248" w14:textId="77777777" w:rsidR="00847E53" w:rsidRDefault="00847E53" w:rsidP="000800A9">
                        <w:r>
                          <w:rPr>
                            <w:rFonts w:ascii="Symbol" w:hAnsi="Symbol" w:cs="Symbol"/>
                            <w:color w:val="000000"/>
                            <w:szCs w:val="24"/>
                          </w:rPr>
                          <w:t></w:t>
                        </w:r>
                      </w:p>
                    </w:txbxContent>
                  </v:textbox>
                </v:rect>
                <v:rect id="Rectangle 109" o:spid="_x0000_s142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6CC43EDA" w14:textId="77777777" w:rsidR="00847E53" w:rsidRDefault="00847E53" w:rsidP="000800A9">
                        <w:r>
                          <w:rPr>
                            <w:b/>
                            <w:bCs/>
                            <w:i/>
                            <w:iCs/>
                            <w:color w:val="000000"/>
                            <w:szCs w:val="24"/>
                          </w:rPr>
                          <w:t>WGRs</w:t>
                        </w:r>
                      </w:p>
                    </w:txbxContent>
                  </v:textbox>
                </v:rect>
                <v:rect id="Rectangle 110" o:spid="_x0000_s142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C1B05F0" w14:textId="77777777" w:rsidR="00847E53" w:rsidRDefault="00847E53" w:rsidP="000800A9">
                        <w:r>
                          <w:rPr>
                            <w:b/>
                            <w:bCs/>
                            <w:i/>
                            <w:iCs/>
                            <w:color w:val="000000"/>
                            <w:szCs w:val="24"/>
                          </w:rPr>
                          <w:t>online</w:t>
                        </w:r>
                      </w:p>
                    </w:txbxContent>
                  </v:textbox>
                </v:rect>
                <v:rect id="Rectangle 111" o:spid="_x0000_s143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839696B" w14:textId="77777777" w:rsidR="00847E53" w:rsidRDefault="00847E53" w:rsidP="000800A9">
                        <w:r>
                          <w:rPr>
                            <w:b/>
                            <w:bCs/>
                            <w:i/>
                            <w:iCs/>
                            <w:color w:val="000000"/>
                            <w:szCs w:val="24"/>
                          </w:rPr>
                          <w:t>All</w:t>
                        </w:r>
                      </w:p>
                    </w:txbxContent>
                  </v:textbox>
                </v:rect>
                <v:rect id="Rectangle 112" o:spid="_x0000_s143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8A032C6" w14:textId="77777777" w:rsidR="00847E53" w:rsidRDefault="00847E53" w:rsidP="000800A9">
                        <w:r>
                          <w:rPr>
                            <w:b/>
                            <w:bCs/>
                            <w:i/>
                            <w:iCs/>
                            <w:color w:val="000000"/>
                            <w:szCs w:val="24"/>
                          </w:rPr>
                          <w:t>WGR</w:t>
                        </w:r>
                      </w:p>
                    </w:txbxContent>
                  </v:textbox>
                </v:rect>
                <v:rect id="Rectangle 113" o:spid="_x0000_s143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B6356EE" w14:textId="77777777" w:rsidR="00847E53" w:rsidRDefault="00847E53" w:rsidP="000800A9">
                        <w:r>
                          <w:rPr>
                            <w:b/>
                            <w:bCs/>
                            <w:i/>
                            <w:iCs/>
                            <w:color w:val="000000"/>
                            <w:szCs w:val="24"/>
                          </w:rPr>
                          <w:t>online</w:t>
                        </w:r>
                      </w:p>
                    </w:txbxContent>
                  </v:textbox>
                </v:rect>
                <v:rect id="Rectangle 114" o:spid="_x0000_s143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F03CA35" w14:textId="77777777" w:rsidR="00847E53" w:rsidRDefault="00847E53" w:rsidP="000800A9">
                        <w:r>
                          <w:rPr>
                            <w:b/>
                            <w:bCs/>
                            <w:i/>
                            <w:iCs/>
                            <w:color w:val="000000"/>
                            <w:szCs w:val="24"/>
                          </w:rPr>
                          <w:t>i</w:t>
                        </w:r>
                      </w:p>
                    </w:txbxContent>
                  </v:textbox>
                </v:rect>
              </v:group>
            </w:pict>
          </mc:Fallback>
        </mc:AlternateContent>
      </w:r>
    </w:p>
    <w:p w14:paraId="11F39C31" w14:textId="381F4F0C" w:rsidR="000800A9" w:rsidRDefault="000800A9" w:rsidP="000800A9">
      <w:pPr>
        <w:rPr>
          <w:b/>
          <w:position w:val="30"/>
          <w:sz w:val="20"/>
        </w:rPr>
      </w:pPr>
      <w:r>
        <w:rPr>
          <w:b/>
          <w:position w:val="30"/>
          <w:sz w:val="20"/>
        </w:rPr>
        <w:t>PRC</w:t>
      </w:r>
      <w:r>
        <w:rPr>
          <w:b/>
          <w:position w:val="30"/>
          <w:sz w:val="20"/>
          <w:vertAlign w:val="subscript"/>
        </w:rPr>
        <w:t>2</w:t>
      </w:r>
      <w:r>
        <w:rPr>
          <w:b/>
          <w:position w:val="30"/>
          <w:sz w:val="20"/>
        </w:rPr>
        <w:t xml:space="preserve"> =</w:t>
      </w:r>
      <w:r>
        <w:rPr>
          <w:b/>
          <w:position w:val="30"/>
          <w:sz w:val="20"/>
        </w:rPr>
        <w:tab/>
      </w:r>
      <w:r>
        <w:rPr>
          <w:b/>
          <w:position w:val="30"/>
          <w:sz w:val="20"/>
        </w:rPr>
        <w:tab/>
      </w:r>
      <w:r>
        <w:rPr>
          <w:b/>
          <w:position w:val="30"/>
          <w:sz w:val="20"/>
        </w:rPr>
        <w:tab/>
        <w:t>Min(Max((RDF</w:t>
      </w:r>
      <w:r>
        <w:rPr>
          <w:b/>
          <w:position w:val="30"/>
          <w:sz w:val="20"/>
          <w:vertAlign w:val="subscript"/>
        </w:rPr>
        <w:t>W</w:t>
      </w:r>
      <w:r>
        <w:rPr>
          <w:b/>
          <w:position w:val="30"/>
          <w:sz w:val="20"/>
        </w:rPr>
        <w:t>*HSL – Actual Net Telemetered Output)</w:t>
      </w:r>
      <w:r>
        <w:rPr>
          <w:b/>
          <w:position w:val="30"/>
          <w:sz w:val="20"/>
          <w:vertAlign w:val="subscript"/>
        </w:rPr>
        <w:t>i</w:t>
      </w:r>
      <w:r>
        <w:rPr>
          <w:b/>
          <w:position w:val="30"/>
          <w:sz w:val="20"/>
        </w:rPr>
        <w:t xml:space="preserve"> , 0.0) , 0.2*RDF</w:t>
      </w:r>
      <w:r>
        <w:rPr>
          <w:b/>
          <w:position w:val="30"/>
          <w:sz w:val="20"/>
          <w:vertAlign w:val="subscript"/>
        </w:rPr>
        <w:t>W</w:t>
      </w:r>
      <w:r>
        <w:rPr>
          <w:b/>
          <w:position w:val="30"/>
          <w:sz w:val="20"/>
        </w:rPr>
        <w:t>*HSL</w:t>
      </w:r>
      <w:r>
        <w:rPr>
          <w:b/>
          <w:position w:val="30"/>
          <w:sz w:val="20"/>
          <w:vertAlign w:val="subscript"/>
        </w:rPr>
        <w:t>i</w:t>
      </w:r>
      <w:r>
        <w:rPr>
          <w:b/>
          <w:position w:val="30"/>
          <w:sz w:val="20"/>
        </w:rPr>
        <w:t>),</w:t>
      </w:r>
    </w:p>
    <w:p w14:paraId="49BBB10F" w14:textId="77777777" w:rsidR="000800A9" w:rsidRDefault="000800A9" w:rsidP="000800A9">
      <w:pPr>
        <w:ind w:right="-1080" w:hanging="1080"/>
        <w:rPr>
          <w:b/>
          <w:position w:val="30"/>
        </w:rPr>
      </w:pPr>
    </w:p>
    <w:p w14:paraId="40845B33" w14:textId="77777777" w:rsidR="000800A9" w:rsidRDefault="000800A9" w:rsidP="00D14D4E">
      <w:pPr>
        <w:spacing w:before="120"/>
        <w:ind w:right="-1080"/>
      </w:pPr>
      <w:r>
        <w:t>where the included On-Line WGRs only include WGRs that are Primary Frequency Response-capable.</w:t>
      </w:r>
    </w:p>
    <w:p w14:paraId="30AB89B2" w14:textId="2B727A77" w:rsidR="000800A9" w:rsidRDefault="000800A9" w:rsidP="000800A9">
      <w:pPr>
        <w:ind w:left="2160" w:hanging="2160"/>
        <w:rPr>
          <w:b/>
          <w:position w:val="30"/>
          <w:sz w:val="20"/>
        </w:rPr>
      </w:pPr>
    </w:p>
    <w:p w14:paraId="3FCE4728" w14:textId="61D0F0F5" w:rsidR="000800A9" w:rsidRDefault="00DD0A69" w:rsidP="000800A9">
      <w:pPr>
        <w:ind w:left="2160" w:hanging="2160"/>
        <w:rPr>
          <w:b/>
          <w:position w:val="30"/>
          <w:sz w:val="20"/>
        </w:rPr>
      </w:pPr>
      <w:r>
        <w:rPr>
          <w:b/>
          <w:noProof/>
          <w:position w:val="30"/>
          <w:sz w:val="20"/>
        </w:rPr>
        <w:object w:dxaOrig="1440" w:dyaOrig="1440" w14:anchorId="7BAD317D">
          <v:shape id="_x0000_s4508" type="#_x0000_t75" style="position:absolute;left:0;text-align:left;margin-left:35pt;margin-top:-17.6pt;width:67.85pt;height:110.1pt;z-index:251655168" fillcolor="red" strokecolor="red">
            <v:fill opacity="13107f" color2="fill darken(118)" o:opacity2="13107f" rotate="t" method="linear sigma" focus="100%" type="gradient"/>
            <v:imagedata r:id="rId15" o:title=""/>
          </v:shape>
          <o:OLEObject Type="Embed" ProgID="Equation.3" ShapeID="_x0000_s4508" DrawAspect="Content" ObjectID="_1804653944" r:id="rId17"/>
        </w:object>
      </w:r>
    </w:p>
    <w:p w14:paraId="678CAD09" w14:textId="0A173E1C" w:rsidR="000800A9" w:rsidRDefault="000800A9" w:rsidP="000800A9">
      <w:pPr>
        <w:ind w:left="2160" w:hanging="2160"/>
        <w:rPr>
          <w:b/>
          <w:position w:val="30"/>
          <w:sz w:val="20"/>
        </w:rPr>
      </w:pPr>
      <w:r>
        <w:rPr>
          <w:b/>
          <w:position w:val="30"/>
          <w:sz w:val="20"/>
        </w:rPr>
        <w:t>PRC</w:t>
      </w:r>
      <w:r>
        <w:rPr>
          <w:b/>
          <w:position w:val="30"/>
          <w:sz w:val="20"/>
          <w:vertAlign w:val="subscript"/>
        </w:rPr>
        <w:t>3</w:t>
      </w:r>
      <w:r>
        <w:rPr>
          <w:b/>
          <w:position w:val="30"/>
          <w:sz w:val="20"/>
        </w:rPr>
        <w:t xml:space="preserve"> =</w:t>
      </w:r>
      <w:r>
        <w:rPr>
          <w:b/>
          <w:position w:val="30"/>
          <w:sz w:val="20"/>
        </w:rPr>
        <w:tab/>
        <w:t>((</w:t>
      </w:r>
      <w:r w:rsidR="00397A7F">
        <w:rPr>
          <w:b/>
          <w:position w:val="30"/>
          <w:sz w:val="20"/>
        </w:rPr>
        <w:t>S</w:t>
      </w:r>
      <w:r>
        <w:rPr>
          <w:b/>
          <w:position w:val="30"/>
          <w:sz w:val="20"/>
        </w:rPr>
        <w:t>ynchronous condenser output)</w:t>
      </w:r>
      <w:r>
        <w:rPr>
          <w:b/>
          <w:position w:val="30"/>
          <w:sz w:val="20"/>
          <w:vertAlign w:val="subscript"/>
        </w:rPr>
        <w:t>i</w:t>
      </w:r>
      <w:r>
        <w:rPr>
          <w:b/>
          <w:position w:val="30"/>
          <w:sz w:val="20"/>
        </w:rPr>
        <w:t xml:space="preserve"> as qualified by item (8) of Operating Guide Section 2.3.1.2, Additional Operational Details for Responsive Reserve </w:t>
      </w:r>
      <w:r w:rsidR="00397A7F">
        <w:rPr>
          <w:b/>
          <w:position w:val="30"/>
          <w:sz w:val="20"/>
        </w:rPr>
        <w:t xml:space="preserve">and ERCOT Contingency Reserve Service </w:t>
      </w:r>
      <w:r>
        <w:rPr>
          <w:b/>
          <w:position w:val="30"/>
          <w:sz w:val="20"/>
        </w:rPr>
        <w:t>Providers))</w:t>
      </w:r>
    </w:p>
    <w:p w14:paraId="3B3552B8" w14:textId="77777777" w:rsidR="00B25AA4" w:rsidRDefault="00B25AA4" w:rsidP="002E4A29">
      <w:pPr>
        <w:tabs>
          <w:tab w:val="left" w:pos="2160"/>
        </w:tabs>
        <w:ind w:left="2160" w:hanging="2160"/>
        <w:rPr>
          <w:b/>
          <w:position w:val="30"/>
          <w:sz w:val="20"/>
        </w:rPr>
      </w:pPr>
    </w:p>
    <w:p w14:paraId="271C0ED1" w14:textId="4D170561" w:rsidR="000800A9" w:rsidRDefault="00512F93" w:rsidP="00D56BB3">
      <w:pPr>
        <w:tabs>
          <w:tab w:val="left" w:pos="2160"/>
        </w:tabs>
        <w:spacing w:before="480"/>
        <w:ind w:left="2160" w:hanging="2160"/>
        <w:rPr>
          <w:b/>
          <w:position w:val="30"/>
          <w:sz w:val="20"/>
          <w:vertAlign w:val="subscript"/>
        </w:rPr>
      </w:pPr>
      <w:r>
        <w:rPr>
          <w:noProof/>
        </w:rPr>
        <mc:AlternateContent>
          <mc:Choice Requires="wpc">
            <w:drawing>
              <wp:anchor distT="0" distB="0" distL="114300" distR="114300" simplePos="0" relativeHeight="251657216" behindDoc="0" locked="0" layoutInCell="1" allowOverlap="1" wp14:anchorId="77FA8D60" wp14:editId="0649A788">
                <wp:simplePos x="0" y="0"/>
                <wp:positionH relativeFrom="column">
                  <wp:posOffset>480060</wp:posOffset>
                </wp:positionH>
                <wp:positionV relativeFrom="paragraph">
                  <wp:posOffset>1311910</wp:posOffset>
                </wp:positionV>
                <wp:extent cx="737235" cy="1543685"/>
                <wp:effectExtent l="0" t="0" r="0" b="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8197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105408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16DE"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55374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24CB"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69850" y="38730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D95"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25526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343E"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9144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9E05"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33668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1D0C"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20268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C12E"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106868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6C2B"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106868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4F6B"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7FA8D60" id="Canvas 91" o:spid="_x0000_s1434" editas="canvas" style="position:absolute;left:0;text-align:left;margin-left:37.8pt;margin-top:103.3pt;width:58.05pt;height:121.55pt;z-index:251657216" coordsize="7372,1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">
                <v:shape id="_x0000_s1435" type="#_x0000_t75" style="position:absolute;width:7372;height:15436;visibility:visible;mso-wrap-style:square">
                  <v:fill o:detectmouseclick="t"/>
                  <v:path o:connecttype="none"/>
                </v:shape>
                <v:rect id="Rectangle 83" o:spid="_x0000_s1436" style="position:absolute;left:1714;top:8197;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84" o:spid="_x0000_s1437" style="position:absolute;left:1016;top:1054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5C116DE" w14:textId="77777777" w:rsidR="00847E53" w:rsidRDefault="00847E53" w:rsidP="000800A9">
                        <w:r>
                          <w:rPr>
                            <w:rFonts w:ascii="Symbol" w:hAnsi="Symbol" w:cs="Symbol"/>
                            <w:color w:val="000000"/>
                          </w:rPr>
                          <w:t></w:t>
                        </w:r>
                      </w:p>
                    </w:txbxContent>
                  </v:textbox>
                </v:rect>
                <v:rect id="Rectangle 85" o:spid="_x0000_s1438" style="position:absolute;left:356;top:5537;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B6124CB" w14:textId="77777777" w:rsidR="00847E53" w:rsidRPr="00B34B0A" w:rsidRDefault="00847E53" w:rsidP="000800A9">
                        <w:pPr>
                          <w:rPr>
                            <w:b/>
                          </w:rPr>
                        </w:pPr>
                        <w:r w:rsidRPr="00B34B0A">
                          <w:rPr>
                            <w:b/>
                            <w:i/>
                            <w:iCs/>
                            <w:color w:val="000000"/>
                          </w:rPr>
                          <w:t>resources</w:t>
                        </w:r>
                      </w:p>
                    </w:txbxContent>
                  </v:textbox>
                </v:rect>
                <v:rect id="Rectangle 86" o:spid="_x0000_s1439" style="position:absolute;left:698;top:3873;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AA78D95" w14:textId="77777777" w:rsidR="00847E53" w:rsidRPr="00B34B0A" w:rsidRDefault="00847E53" w:rsidP="000800A9">
                        <w:pPr>
                          <w:rPr>
                            <w:b/>
                          </w:rPr>
                        </w:pPr>
                        <w:r w:rsidRPr="00B34B0A">
                          <w:rPr>
                            <w:b/>
                            <w:i/>
                            <w:iCs/>
                            <w:color w:val="000000"/>
                          </w:rPr>
                          <w:t>load</w:t>
                        </w:r>
                      </w:p>
                    </w:txbxContent>
                  </v:textbox>
                </v:rect>
                <v:rect id="Rectangle 87" o:spid="_x0000_s1440" style="position:absolute;left:337;top:2552;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265343E" w14:textId="77777777" w:rsidR="00847E53" w:rsidRPr="00B34B0A" w:rsidRDefault="00847E53" w:rsidP="000800A9">
                        <w:pPr>
                          <w:rPr>
                            <w:b/>
                          </w:rPr>
                        </w:pPr>
                        <w:r w:rsidRPr="00B34B0A">
                          <w:rPr>
                            <w:b/>
                            <w:i/>
                            <w:iCs/>
                            <w:color w:val="000000"/>
                          </w:rPr>
                          <w:t>online</w:t>
                        </w:r>
                      </w:p>
                    </w:txbxContent>
                  </v:textbox>
                </v:rect>
                <v:rect id="Rectangle 88" o:spid="_x0000_s1441" style="position:absolute;left:457;top:914;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E8E9E05" w14:textId="77777777" w:rsidR="00847E53" w:rsidRPr="00B34B0A" w:rsidRDefault="00847E53" w:rsidP="000800A9">
                        <w:pPr>
                          <w:rPr>
                            <w:b/>
                          </w:rPr>
                        </w:pPr>
                        <w:r w:rsidRPr="00B34B0A">
                          <w:rPr>
                            <w:b/>
                            <w:i/>
                            <w:iCs/>
                            <w:color w:val="000000"/>
                          </w:rPr>
                          <w:t>All</w:t>
                        </w:r>
                      </w:p>
                    </w:txbxContent>
                  </v:textbox>
                </v:rect>
                <v:rect id="Rectangle 89" o:spid="_x0000_s1442" style="position:absolute;left:629;top:13366;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ED41D0C" w14:textId="77777777" w:rsidR="00847E53" w:rsidRPr="00B34B0A" w:rsidRDefault="00847E53" w:rsidP="000800A9">
                        <w:pPr>
                          <w:rPr>
                            <w:b/>
                          </w:rPr>
                        </w:pPr>
                        <w:r w:rsidRPr="00B34B0A">
                          <w:rPr>
                            <w:b/>
                            <w:i/>
                            <w:iCs/>
                            <w:color w:val="000000"/>
                          </w:rPr>
                          <w:t>resource</w:t>
                        </w:r>
                      </w:p>
                    </w:txbxContent>
                  </v:textbox>
                </v:rect>
                <v:rect id="Rectangle 90" o:spid="_x0000_s1443" style="position:absolute;left:584;top:12026;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B0C12E" w14:textId="77777777" w:rsidR="00847E53" w:rsidRPr="00B34B0A" w:rsidRDefault="00847E53" w:rsidP="000800A9">
                        <w:pPr>
                          <w:rPr>
                            <w:b/>
                          </w:rPr>
                        </w:pPr>
                        <w:r w:rsidRPr="00B34B0A">
                          <w:rPr>
                            <w:b/>
                            <w:i/>
                            <w:iCs/>
                            <w:color w:val="000000"/>
                          </w:rPr>
                          <w:t>load</w:t>
                        </w:r>
                      </w:p>
                    </w:txbxContent>
                  </v:textbox>
                </v:rect>
                <v:rect id="Rectangle 91" o:spid="_x0000_s1444" style="position:absolute;left:1746;top:10686;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EA96C2B" w14:textId="77777777" w:rsidR="00847E53" w:rsidRPr="00B34B0A" w:rsidRDefault="00847E53" w:rsidP="000800A9">
                        <w:pPr>
                          <w:rPr>
                            <w:b/>
                          </w:rPr>
                        </w:pPr>
                        <w:r w:rsidRPr="00B34B0A">
                          <w:rPr>
                            <w:b/>
                            <w:i/>
                            <w:iCs/>
                            <w:color w:val="000000"/>
                          </w:rPr>
                          <w:t>online</w:t>
                        </w:r>
                      </w:p>
                    </w:txbxContent>
                  </v:textbox>
                </v:rect>
                <v:rect id="Rectangle 92" o:spid="_x0000_s1445" style="position:absolute;left:584;top:10686;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9AE4F6B" w14:textId="77777777" w:rsidR="00847E53" w:rsidRPr="00B34B0A" w:rsidRDefault="00847E53" w:rsidP="000800A9">
                        <w:pPr>
                          <w:rPr>
                            <w:b/>
                          </w:rPr>
                        </w:pPr>
                        <w:r w:rsidRPr="00B34B0A">
                          <w:rPr>
                            <w:b/>
                            <w:i/>
                            <w:iCs/>
                            <w:color w:val="000000"/>
                          </w:rPr>
                          <w:t>i</w:t>
                        </w:r>
                      </w:p>
                    </w:txbxContent>
                  </v:textbox>
                </v:rect>
              </v:group>
            </w:pict>
          </mc:Fallback>
        </mc:AlternateContent>
      </w:r>
      <w:r w:rsidR="00A94020">
        <w:rPr>
          <w:noProof/>
        </w:rPr>
        <mc:AlternateContent>
          <mc:Choice Requires="wpc">
            <w:drawing>
              <wp:anchor distT="0" distB="0" distL="114300" distR="114300" simplePos="0" relativeHeight="251656192" behindDoc="0" locked="0" layoutInCell="1" allowOverlap="1" wp14:anchorId="324DE417" wp14:editId="0D8A160E">
                <wp:simplePos x="0" y="0"/>
                <wp:positionH relativeFrom="column">
                  <wp:posOffset>503963</wp:posOffset>
                </wp:positionH>
                <wp:positionV relativeFrom="paragraph">
                  <wp:posOffset>-242680</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ECAF"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8E08"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7DED"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F819"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1A2E"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363D"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DB"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B1B0"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180"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24DE417" id="Canvas 102" o:spid="_x0000_s1446" editas="canvas" style="position:absolute;left:0;text-align:left;margin-left:39.7pt;margin-top:-19.1pt;width:56.8pt;height:107.8pt;z-index:25165619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">
                <v:shape id="_x0000_s1447" type="#_x0000_t75" style="position:absolute;width:7213;height:13690;visibility:visible;mso-wrap-style:square">
                  <v:fill o:detectmouseclick="t"/>
                  <v:path o:connecttype="none"/>
                </v:shape>
                <v:rect id="Rectangle 71" o:spid="_x0000_s1448"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72" o:spid="_x0000_s1449"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247ECAF" w14:textId="77777777" w:rsidR="00847E53" w:rsidRDefault="00847E53" w:rsidP="000800A9">
                        <w:r>
                          <w:rPr>
                            <w:rFonts w:ascii="Symbol" w:hAnsi="Symbol" w:cs="Symbol"/>
                            <w:color w:val="000000"/>
                          </w:rPr>
                          <w:t></w:t>
                        </w:r>
                      </w:p>
                    </w:txbxContent>
                  </v:textbox>
                </v:rect>
                <v:rect id="Rectangle 73" o:spid="_x0000_s1450"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C3C8E08" w14:textId="77777777" w:rsidR="00847E53" w:rsidRPr="00B34B0A" w:rsidRDefault="00847E53" w:rsidP="000800A9">
                        <w:pPr>
                          <w:rPr>
                            <w:b/>
                          </w:rPr>
                        </w:pPr>
                        <w:r w:rsidRPr="00B34B0A">
                          <w:rPr>
                            <w:b/>
                            <w:i/>
                            <w:iCs/>
                            <w:color w:val="000000"/>
                          </w:rPr>
                          <w:t>resources</w:t>
                        </w:r>
                      </w:p>
                    </w:txbxContent>
                  </v:textbox>
                </v:rect>
                <v:rect id="Rectangle 74" o:spid="_x0000_s1451"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587DED" w14:textId="77777777" w:rsidR="00847E53" w:rsidRPr="00B34B0A" w:rsidRDefault="00847E53" w:rsidP="000800A9">
                        <w:pPr>
                          <w:rPr>
                            <w:b/>
                          </w:rPr>
                        </w:pPr>
                        <w:r w:rsidRPr="00B34B0A">
                          <w:rPr>
                            <w:b/>
                            <w:i/>
                            <w:iCs/>
                            <w:color w:val="000000"/>
                          </w:rPr>
                          <w:t>load</w:t>
                        </w:r>
                      </w:p>
                    </w:txbxContent>
                  </v:textbox>
                </v:rect>
                <v:rect id="Rectangle 75" o:spid="_x0000_s1452"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670F819" w14:textId="77777777" w:rsidR="00847E53" w:rsidRPr="00B34B0A" w:rsidRDefault="00847E53" w:rsidP="000800A9">
                        <w:pPr>
                          <w:rPr>
                            <w:b/>
                          </w:rPr>
                        </w:pPr>
                        <w:r w:rsidRPr="00B34B0A">
                          <w:rPr>
                            <w:b/>
                            <w:i/>
                            <w:iCs/>
                            <w:color w:val="000000"/>
                          </w:rPr>
                          <w:t>online</w:t>
                        </w:r>
                      </w:p>
                    </w:txbxContent>
                  </v:textbox>
                </v:rect>
                <v:rect id="Rectangle 76" o:spid="_x0000_s1453"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123F1A2E" w14:textId="77777777" w:rsidR="00847E53" w:rsidRPr="00B34B0A" w:rsidRDefault="00847E53" w:rsidP="000800A9">
                        <w:pPr>
                          <w:rPr>
                            <w:b/>
                          </w:rPr>
                        </w:pPr>
                        <w:r w:rsidRPr="00B34B0A">
                          <w:rPr>
                            <w:b/>
                            <w:i/>
                            <w:iCs/>
                            <w:color w:val="000000"/>
                          </w:rPr>
                          <w:t>All</w:t>
                        </w:r>
                      </w:p>
                    </w:txbxContent>
                  </v:textbox>
                </v:rect>
                <v:rect id="Rectangle 77" o:spid="_x0000_s1454"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ACA363D" w14:textId="77777777" w:rsidR="00847E53" w:rsidRPr="00B34B0A" w:rsidRDefault="00847E53" w:rsidP="000800A9">
                        <w:pPr>
                          <w:rPr>
                            <w:b/>
                          </w:rPr>
                        </w:pPr>
                        <w:r w:rsidRPr="00B34B0A">
                          <w:rPr>
                            <w:b/>
                            <w:i/>
                            <w:iCs/>
                            <w:color w:val="000000"/>
                          </w:rPr>
                          <w:t>resource</w:t>
                        </w:r>
                      </w:p>
                    </w:txbxContent>
                  </v:textbox>
                </v:rect>
                <v:rect id="Rectangle 78" o:spid="_x0000_s1455"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046F5DB" w14:textId="77777777" w:rsidR="00847E53" w:rsidRPr="00B34B0A" w:rsidRDefault="00847E53" w:rsidP="000800A9">
                        <w:pPr>
                          <w:rPr>
                            <w:b/>
                          </w:rPr>
                        </w:pPr>
                        <w:r w:rsidRPr="00B34B0A">
                          <w:rPr>
                            <w:b/>
                            <w:i/>
                            <w:iCs/>
                            <w:color w:val="000000"/>
                          </w:rPr>
                          <w:t>load</w:t>
                        </w:r>
                      </w:p>
                    </w:txbxContent>
                  </v:textbox>
                </v:rect>
                <v:rect id="Rectangle 79" o:spid="_x0000_s1456"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81CB1B0" w14:textId="77777777" w:rsidR="00847E53" w:rsidRPr="00B34B0A" w:rsidRDefault="00847E53" w:rsidP="000800A9">
                        <w:pPr>
                          <w:rPr>
                            <w:b/>
                          </w:rPr>
                        </w:pPr>
                        <w:r w:rsidRPr="00B34B0A">
                          <w:rPr>
                            <w:b/>
                            <w:i/>
                            <w:iCs/>
                            <w:color w:val="000000"/>
                          </w:rPr>
                          <w:t>online</w:t>
                        </w:r>
                      </w:p>
                    </w:txbxContent>
                  </v:textbox>
                </v:rect>
                <v:rect id="Rectangle 80" o:spid="_x0000_s1457"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02C8180"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3321">
        <w:rPr>
          <w:b/>
          <w:position w:val="30"/>
          <w:sz w:val="20"/>
        </w:rPr>
        <w:t>PRC</w:t>
      </w:r>
      <w:r w:rsidR="000800A9">
        <w:rPr>
          <w:b/>
          <w:position w:val="30"/>
          <w:sz w:val="20"/>
          <w:vertAlign w:val="subscript"/>
        </w:rPr>
        <w:t>4</w:t>
      </w:r>
      <w:r w:rsidR="000800A9" w:rsidRPr="006A3321">
        <w:rPr>
          <w:b/>
          <w:position w:val="30"/>
          <w:sz w:val="20"/>
        </w:rPr>
        <w:t xml:space="preserve"> =</w:t>
      </w:r>
      <w:r w:rsidR="000800A9" w:rsidRPr="006A3321">
        <w:rPr>
          <w:b/>
          <w:position w:val="30"/>
          <w:sz w:val="20"/>
        </w:rPr>
        <w:tab/>
      </w:r>
      <w:r w:rsidR="000800A9">
        <w:rPr>
          <w:b/>
          <w:position w:val="30"/>
          <w:sz w:val="20"/>
        </w:rPr>
        <w:t>(Min(Max</w:t>
      </w:r>
      <w:r w:rsidR="000800A9" w:rsidRPr="00293F88">
        <w:rPr>
          <w:b/>
          <w:position w:val="30"/>
          <w:sz w:val="20"/>
        </w:rPr>
        <w:t>(</w:t>
      </w:r>
      <w:r w:rsidR="00AE33E4">
        <w:rPr>
          <w:b/>
          <w:position w:val="30"/>
          <w:sz w:val="20"/>
        </w:rPr>
        <w:t>(</w:t>
      </w:r>
      <w:r w:rsidR="000800A9" w:rsidRPr="00F76C40">
        <w:rPr>
          <w:b/>
          <w:position w:val="30"/>
          <w:sz w:val="20"/>
        </w:rPr>
        <w:t>Actual</w:t>
      </w:r>
      <w:r w:rsidR="000800A9">
        <w:rPr>
          <w:b/>
          <w:position w:val="30"/>
          <w:sz w:val="20"/>
        </w:rPr>
        <w:t xml:space="preserve"> Net Telemetered Consumption – LPC), 0.0), </w:t>
      </w:r>
      <w:r w:rsidR="00397A7F">
        <w:rPr>
          <w:b/>
          <w:position w:val="30"/>
          <w:sz w:val="20"/>
        </w:rPr>
        <w:t xml:space="preserve">ECRS and </w:t>
      </w:r>
      <w:r w:rsidR="000800A9">
        <w:rPr>
          <w:b/>
          <w:position w:val="30"/>
          <w:sz w:val="20"/>
        </w:rPr>
        <w:t xml:space="preserve">RRS Ancillary Service Resource </w:t>
      </w:r>
      <w:r w:rsidR="000800A9" w:rsidRPr="00F76C40">
        <w:rPr>
          <w:b/>
          <w:position w:val="30"/>
          <w:sz w:val="20"/>
        </w:rPr>
        <w:t xml:space="preserve">Responsibility * 1.5) from all Load Resources controlled by high-set under frequency relays carrying </w:t>
      </w:r>
      <w:r w:rsidR="00397A7F">
        <w:rPr>
          <w:b/>
          <w:position w:val="30"/>
          <w:sz w:val="20"/>
        </w:rPr>
        <w:t xml:space="preserve">an ECRS and/or </w:t>
      </w:r>
      <w:r w:rsidR="000800A9" w:rsidRPr="00F76C40">
        <w:rPr>
          <w:b/>
          <w:position w:val="30"/>
          <w:sz w:val="20"/>
        </w:rPr>
        <w:t>RRS Ancillary Service Resource Responsibility</w:t>
      </w:r>
      <w:r w:rsidR="000800A9" w:rsidRPr="00293F88">
        <w:rPr>
          <w:b/>
          <w:position w:val="30"/>
          <w:sz w:val="20"/>
        </w:rPr>
        <w:t>)</w:t>
      </w:r>
      <w:r w:rsidR="000800A9" w:rsidRPr="00293F88">
        <w:rPr>
          <w:b/>
          <w:position w:val="30"/>
          <w:sz w:val="20"/>
          <w:vertAlign w:val="subscript"/>
        </w:rPr>
        <w:t>i</w:t>
      </w:r>
    </w:p>
    <w:p w14:paraId="4A079EBA" w14:textId="77777777" w:rsidR="00512F93" w:rsidRDefault="00512F93" w:rsidP="00512F93">
      <w:pPr>
        <w:tabs>
          <w:tab w:val="left" w:pos="2160"/>
        </w:tabs>
        <w:ind w:left="2160" w:hanging="2160"/>
        <w:rPr>
          <w:b/>
          <w:position w:val="30"/>
          <w:sz w:val="20"/>
        </w:rPr>
      </w:pPr>
    </w:p>
    <w:p w14:paraId="567C9885" w14:textId="5A999594" w:rsidR="000800A9" w:rsidRDefault="000800A9" w:rsidP="00512F93">
      <w:pPr>
        <w:tabs>
          <w:tab w:val="left" w:pos="2160"/>
        </w:tabs>
        <w:ind w:left="2160" w:hanging="2160"/>
        <w:rPr>
          <w:b/>
          <w:position w:val="30"/>
          <w:sz w:val="20"/>
        </w:rPr>
      </w:pPr>
      <w:r w:rsidRPr="006A6281">
        <w:rPr>
          <w:b/>
          <w:position w:val="30"/>
          <w:sz w:val="20"/>
        </w:rPr>
        <w:t>PRC</w:t>
      </w:r>
      <w:r>
        <w:rPr>
          <w:b/>
          <w:position w:val="30"/>
          <w:sz w:val="20"/>
          <w:vertAlign w:val="subscript"/>
        </w:rPr>
        <w:t>5</w:t>
      </w:r>
      <w:r w:rsidRPr="006A6281">
        <w:rPr>
          <w:b/>
          <w:position w:val="30"/>
          <w:sz w:val="20"/>
        </w:rPr>
        <w:t xml:space="preserve"> =</w:t>
      </w:r>
      <w:r w:rsidRPr="006A6281">
        <w:rPr>
          <w:b/>
          <w:position w:val="30"/>
          <w:sz w:val="20"/>
        </w:rPr>
        <w:tab/>
        <w:t>Min(Max((LRDF_1*Actual Net Telemetered Consumption – LPC)</w:t>
      </w:r>
      <w:r w:rsidRPr="006A6281">
        <w:rPr>
          <w:b/>
          <w:position w:val="30"/>
          <w:sz w:val="20"/>
          <w:vertAlign w:val="subscript"/>
        </w:rPr>
        <w:t>i</w:t>
      </w:r>
      <w:r w:rsidRPr="006A6281">
        <w:rPr>
          <w:b/>
          <w:position w:val="30"/>
          <w:sz w:val="20"/>
        </w:rPr>
        <w:t xml:space="preserve">, 0.0), (0.2 * LRDF_1 * Actual Net Telemetered Consumption)) from all </w:t>
      </w:r>
      <w:r w:rsidR="00192EFF">
        <w:rPr>
          <w:b/>
          <w:position w:val="30"/>
          <w:sz w:val="20"/>
        </w:rPr>
        <w:t>CLRs</w:t>
      </w:r>
      <w:r w:rsidRPr="006A6281">
        <w:rPr>
          <w:b/>
          <w:position w:val="30"/>
          <w:sz w:val="20"/>
        </w:rPr>
        <w:t xml:space="preserve"> active in SCED and carrying Ancillary Service Resource Responsibility</w:t>
      </w:r>
    </w:p>
    <w:p w14:paraId="04F4040E" w14:textId="0A10D4CF" w:rsidR="000800A9" w:rsidRDefault="000800A9" w:rsidP="000800A9">
      <w:pPr>
        <w:tabs>
          <w:tab w:val="left" w:pos="2160"/>
        </w:tabs>
        <w:ind w:left="2160" w:hanging="2160"/>
        <w:rPr>
          <w:b/>
          <w:position w:val="30"/>
          <w:sz w:val="20"/>
        </w:rPr>
      </w:pPr>
    </w:p>
    <w:p w14:paraId="204C497B" w14:textId="4D32D780" w:rsidR="000800A9" w:rsidRDefault="00512F93" w:rsidP="000800A9">
      <w:pPr>
        <w:tabs>
          <w:tab w:val="left" w:pos="2160"/>
        </w:tabs>
        <w:ind w:left="2160" w:hanging="2160"/>
        <w:rPr>
          <w:b/>
          <w:position w:val="30"/>
          <w:sz w:val="20"/>
        </w:rPr>
      </w:pPr>
      <w:r>
        <w:rPr>
          <w:noProof/>
        </w:rPr>
        <w:lastRenderedPageBreak/>
        <mc:AlternateContent>
          <mc:Choice Requires="wpc">
            <w:drawing>
              <wp:anchor distT="0" distB="0" distL="114300" distR="114300" simplePos="0" relativeHeight="251658240" behindDoc="0" locked="0" layoutInCell="1" allowOverlap="1" wp14:anchorId="620E9A21" wp14:editId="3630223D">
                <wp:simplePos x="0" y="0"/>
                <wp:positionH relativeFrom="column">
                  <wp:posOffset>490220</wp:posOffset>
                </wp:positionH>
                <wp:positionV relativeFrom="paragraph">
                  <wp:posOffset>-203200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EDCB"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10CC"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18D9"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1BBC"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7FE0"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A694"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B4E2"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CEF7"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2369"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20E9A21" id="Canvas 80" o:spid="_x0000_s1458" editas="canvas" style="position:absolute;left:0;text-align:left;margin-left:38.6pt;margin-top:-16pt;width:58.1pt;height:105.4pt;z-index:25165824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">
                <v:shape id="_x0000_s1459" type="#_x0000_t75" style="position:absolute;width:7378;height:13385;visibility:visible;mso-wrap-style:square">
                  <v:fill o:detectmouseclick="t"/>
                  <v:path o:connecttype="none"/>
                </v:shape>
                <v:rect id="Rectangle 95" o:spid="_x0000_s146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96" o:spid="_x0000_s146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02CEDCB" w14:textId="77777777" w:rsidR="00847E53" w:rsidRDefault="00847E53" w:rsidP="000800A9">
                        <w:r>
                          <w:rPr>
                            <w:rFonts w:ascii="Symbol" w:hAnsi="Symbol" w:cs="Symbol"/>
                            <w:color w:val="000000"/>
                          </w:rPr>
                          <w:t></w:t>
                        </w:r>
                      </w:p>
                    </w:txbxContent>
                  </v:textbox>
                </v:rect>
                <v:rect id="Rectangle 97" o:spid="_x0000_s146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A3E10CC" w14:textId="77777777" w:rsidR="00847E53" w:rsidRPr="00B34B0A" w:rsidRDefault="00847E53" w:rsidP="000800A9">
                        <w:pPr>
                          <w:rPr>
                            <w:b/>
                          </w:rPr>
                        </w:pPr>
                        <w:r w:rsidRPr="00B34B0A">
                          <w:rPr>
                            <w:b/>
                            <w:i/>
                            <w:iCs/>
                            <w:color w:val="000000"/>
                          </w:rPr>
                          <w:t>resources</w:t>
                        </w:r>
                      </w:p>
                    </w:txbxContent>
                  </v:textbox>
                </v:rect>
                <v:rect id="Rectangle 98" o:spid="_x0000_s146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9F618D9" w14:textId="77777777" w:rsidR="00847E53" w:rsidRPr="00B34B0A" w:rsidRDefault="00847E53" w:rsidP="000800A9">
                        <w:pPr>
                          <w:rPr>
                            <w:b/>
                          </w:rPr>
                        </w:pPr>
                        <w:r w:rsidRPr="00B34B0A">
                          <w:rPr>
                            <w:b/>
                            <w:i/>
                            <w:iCs/>
                            <w:color w:val="000000"/>
                          </w:rPr>
                          <w:t>load</w:t>
                        </w:r>
                      </w:p>
                    </w:txbxContent>
                  </v:textbox>
                </v:rect>
                <v:rect id="Rectangle 99" o:spid="_x0000_s146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7C1BBC" w14:textId="77777777" w:rsidR="00847E53" w:rsidRPr="00B34B0A" w:rsidRDefault="00847E53" w:rsidP="000800A9">
                        <w:pPr>
                          <w:rPr>
                            <w:b/>
                          </w:rPr>
                        </w:pPr>
                        <w:r w:rsidRPr="00B34B0A">
                          <w:rPr>
                            <w:b/>
                            <w:i/>
                            <w:iCs/>
                            <w:color w:val="000000"/>
                          </w:rPr>
                          <w:t>online</w:t>
                        </w:r>
                      </w:p>
                    </w:txbxContent>
                  </v:textbox>
                </v:rect>
                <v:rect id="Rectangle 100" o:spid="_x0000_s146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1EFB7FE0" w14:textId="77777777" w:rsidR="00847E53" w:rsidRPr="00B34B0A" w:rsidRDefault="00847E53" w:rsidP="000800A9">
                        <w:pPr>
                          <w:rPr>
                            <w:b/>
                          </w:rPr>
                        </w:pPr>
                        <w:r w:rsidRPr="00B34B0A">
                          <w:rPr>
                            <w:b/>
                            <w:i/>
                            <w:iCs/>
                            <w:color w:val="000000"/>
                          </w:rPr>
                          <w:t>All</w:t>
                        </w:r>
                      </w:p>
                    </w:txbxContent>
                  </v:textbox>
                </v:rect>
                <v:rect id="Rectangle 101" o:spid="_x0000_s146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A6AA694" w14:textId="77777777" w:rsidR="00847E53" w:rsidRPr="00B34B0A" w:rsidRDefault="00847E53" w:rsidP="000800A9">
                        <w:pPr>
                          <w:rPr>
                            <w:b/>
                          </w:rPr>
                        </w:pPr>
                        <w:r w:rsidRPr="00B34B0A">
                          <w:rPr>
                            <w:b/>
                            <w:i/>
                            <w:iCs/>
                            <w:color w:val="000000"/>
                          </w:rPr>
                          <w:t>resource</w:t>
                        </w:r>
                      </w:p>
                    </w:txbxContent>
                  </v:textbox>
                </v:rect>
                <v:rect id="Rectangle 102" o:spid="_x0000_s146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7F3B4E2" w14:textId="77777777" w:rsidR="00847E53" w:rsidRPr="00B34B0A" w:rsidRDefault="00847E53" w:rsidP="000800A9">
                        <w:pPr>
                          <w:rPr>
                            <w:b/>
                          </w:rPr>
                        </w:pPr>
                        <w:r w:rsidRPr="00B34B0A">
                          <w:rPr>
                            <w:b/>
                            <w:i/>
                            <w:iCs/>
                            <w:color w:val="000000"/>
                          </w:rPr>
                          <w:t>load</w:t>
                        </w:r>
                      </w:p>
                    </w:txbxContent>
                  </v:textbox>
                </v:rect>
                <v:rect id="Rectangle 103" o:spid="_x0000_s146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ABCEF7" w14:textId="77777777" w:rsidR="00847E53" w:rsidRPr="00B34B0A" w:rsidRDefault="00847E53" w:rsidP="000800A9">
                        <w:pPr>
                          <w:rPr>
                            <w:b/>
                          </w:rPr>
                        </w:pPr>
                        <w:r w:rsidRPr="00B34B0A">
                          <w:rPr>
                            <w:b/>
                            <w:i/>
                            <w:iCs/>
                            <w:color w:val="000000"/>
                          </w:rPr>
                          <w:t>online</w:t>
                        </w:r>
                      </w:p>
                    </w:txbxContent>
                  </v:textbox>
                </v:rect>
                <v:rect id="Rectangle 104" o:spid="_x0000_s146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6312369"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6281">
        <w:rPr>
          <w:b/>
          <w:position w:val="30"/>
          <w:sz w:val="20"/>
        </w:rPr>
        <w:t>PRC</w:t>
      </w:r>
      <w:r w:rsidR="000800A9">
        <w:rPr>
          <w:b/>
          <w:position w:val="30"/>
          <w:sz w:val="20"/>
          <w:vertAlign w:val="subscript"/>
        </w:rPr>
        <w:t>6</w:t>
      </w:r>
      <w:r w:rsidR="000800A9">
        <w:rPr>
          <w:b/>
          <w:position w:val="30"/>
          <w:sz w:val="20"/>
        </w:rPr>
        <w:t xml:space="preserve"> =</w:t>
      </w:r>
      <w:r w:rsidR="000800A9">
        <w:rPr>
          <w:b/>
          <w:position w:val="30"/>
          <w:sz w:val="20"/>
        </w:rPr>
        <w:tab/>
        <w:t xml:space="preserve">Min(Max((LRDF_2 * </w:t>
      </w:r>
      <w:r w:rsidR="000800A9" w:rsidRPr="006A6281">
        <w:rPr>
          <w:b/>
          <w:position w:val="30"/>
          <w:sz w:val="20"/>
        </w:rPr>
        <w:t>Actual Net Telemetered Consumption – LPC)</w:t>
      </w:r>
      <w:r w:rsidR="000800A9" w:rsidRPr="006A6281">
        <w:rPr>
          <w:b/>
          <w:position w:val="30"/>
          <w:sz w:val="20"/>
          <w:vertAlign w:val="subscript"/>
        </w:rPr>
        <w:t>i</w:t>
      </w:r>
      <w:r w:rsidR="000800A9" w:rsidRPr="006A6281">
        <w:rPr>
          <w:b/>
          <w:position w:val="30"/>
          <w:sz w:val="20"/>
        </w:rPr>
        <w:t xml:space="preserve">, 0.0), (0.2 * LRDF_2 * Actual Net Telemetered Consumption)) from all </w:t>
      </w:r>
      <w:r w:rsidR="00192EFF">
        <w:rPr>
          <w:b/>
          <w:position w:val="30"/>
          <w:sz w:val="20"/>
        </w:rPr>
        <w:t>CLRs</w:t>
      </w:r>
      <w:r w:rsidR="000800A9" w:rsidRPr="006A6281">
        <w:rPr>
          <w:b/>
          <w:position w:val="30"/>
          <w:sz w:val="20"/>
        </w:rPr>
        <w:t xml:space="preserve"> active in SCED and not carrying Ancillary Service Resource Responsibility</w:t>
      </w:r>
    </w:p>
    <w:p w14:paraId="1BFC2FA5" w14:textId="176779EA" w:rsidR="00832D19" w:rsidRDefault="00832D19" w:rsidP="000800A9">
      <w:pPr>
        <w:tabs>
          <w:tab w:val="left" w:pos="2160"/>
        </w:tabs>
        <w:ind w:left="2160" w:hanging="2160"/>
        <w:rPr>
          <w:b/>
          <w:position w:val="30"/>
          <w:sz w:val="20"/>
        </w:rPr>
      </w:pPr>
    </w:p>
    <w:p w14:paraId="407764F2" w14:textId="77BCC9D1" w:rsidR="00832D19" w:rsidRDefault="00397A7F" w:rsidP="00832D19">
      <w:pPr>
        <w:tabs>
          <w:tab w:val="left" w:pos="2160"/>
        </w:tabs>
        <w:ind w:left="2160" w:hanging="2160"/>
        <w:rPr>
          <w:b/>
          <w:position w:val="30"/>
          <w:sz w:val="20"/>
          <w:vertAlign w:val="subscript"/>
        </w:rPr>
      </w:pPr>
      <w:r>
        <w:rPr>
          <w:noProof/>
        </w:rPr>
        <mc:AlternateContent>
          <mc:Choice Requires="wpc">
            <w:drawing>
              <wp:anchor distT="0" distB="0" distL="114300" distR="114300" simplePos="0" relativeHeight="251666432" behindDoc="0" locked="0" layoutInCell="1" allowOverlap="1" wp14:anchorId="0217E9BE" wp14:editId="359ACA38">
                <wp:simplePos x="0" y="0"/>
                <wp:positionH relativeFrom="column">
                  <wp:posOffset>576580</wp:posOffset>
                </wp:positionH>
                <wp:positionV relativeFrom="paragraph">
                  <wp:posOffset>-360680</wp:posOffset>
                </wp:positionV>
                <wp:extent cx="737235" cy="1338580"/>
                <wp:effectExtent l="0" t="635" r="0" b="3810"/>
                <wp:wrapNone/>
                <wp:docPr id="3289"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79" name="Rectangle 71"/>
                        <wps:cNvSpPr>
                          <a:spLocks noChangeArrowheads="1"/>
                        </wps:cNvSpPr>
                        <wps:spPr bwMode="auto">
                          <a:xfrm>
                            <a:off x="17140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4FEB" w14:textId="77777777" w:rsidR="00847E53" w:rsidRDefault="00847E53" w:rsidP="00832D19">
                              <w:r>
                                <w:rPr>
                                  <w:rFonts w:ascii="Symbol" w:hAnsi="Symbol" w:cs="Symbol"/>
                                  <w:color w:val="000000"/>
                                  <w:sz w:val="54"/>
                                  <w:szCs w:val="54"/>
                                </w:rPr>
                                <w:t></w:t>
                              </w:r>
                            </w:p>
                          </w:txbxContent>
                        </wps:txbx>
                        <wps:bodyPr rot="0" vert="horz" wrap="none" lIns="0" tIns="0" rIns="0" bIns="0" anchor="t" anchorCtr="0" upright="1">
                          <a:spAutoFit/>
                        </wps:bodyPr>
                      </wps:wsp>
                      <wps:wsp>
                        <wps:cNvPr id="3280" name="Rectangle 72"/>
                        <wps:cNvSpPr>
                          <a:spLocks noChangeArrowheads="1"/>
                        </wps:cNvSpPr>
                        <wps:spPr bwMode="auto">
                          <a:xfrm>
                            <a:off x="101605"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80BA" w14:textId="77777777" w:rsidR="00847E53" w:rsidRDefault="00847E53" w:rsidP="00832D19">
                              <w:r>
                                <w:rPr>
                                  <w:rFonts w:ascii="Symbol" w:hAnsi="Symbol" w:cs="Symbol"/>
                                  <w:color w:val="000000"/>
                                </w:rPr>
                                <w:t></w:t>
                              </w:r>
                            </w:p>
                          </w:txbxContent>
                        </wps:txbx>
                        <wps:bodyPr rot="0" vert="horz" wrap="none" lIns="0" tIns="0" rIns="0" bIns="0" anchor="t" anchorCtr="0" upright="1">
                          <a:spAutoFit/>
                        </wps:bodyPr>
                      </wps:wsp>
                      <wps:wsp>
                        <wps:cNvPr id="3281" name="Rectangle 73"/>
                        <wps:cNvSpPr>
                          <a:spLocks noChangeArrowheads="1"/>
                        </wps:cNvSpPr>
                        <wps:spPr bwMode="auto">
                          <a:xfrm>
                            <a:off x="35602"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6918" w14:textId="77777777" w:rsidR="00847E53" w:rsidRPr="00B34B0A" w:rsidRDefault="00847E53" w:rsidP="00832D19">
                              <w:pPr>
                                <w:rPr>
                                  <w:b/>
                                </w:rPr>
                              </w:pPr>
                              <w:r w:rsidRPr="00B34B0A">
                                <w:rPr>
                                  <w:b/>
                                  <w:i/>
                                  <w:iCs/>
                                  <w:color w:val="000000"/>
                                </w:rPr>
                                <w:t>resources</w:t>
                              </w:r>
                            </w:p>
                          </w:txbxContent>
                        </wps:txbx>
                        <wps:bodyPr rot="0" vert="horz" wrap="none" lIns="0" tIns="0" rIns="0" bIns="0" anchor="t" anchorCtr="0" upright="1">
                          <a:spAutoFit/>
                        </wps:bodyPr>
                      </wps:wsp>
                      <wps:wsp>
                        <wps:cNvPr id="3282" name="Rectangle 74"/>
                        <wps:cNvSpPr>
                          <a:spLocks noChangeArrowheads="1"/>
                        </wps:cNvSpPr>
                        <wps:spPr bwMode="auto">
                          <a:xfrm>
                            <a:off x="31702"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A6A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3" name="Rectangle 75"/>
                        <wps:cNvSpPr>
                          <a:spLocks noChangeArrowheads="1"/>
                        </wps:cNvSpPr>
                        <wps:spPr bwMode="auto">
                          <a:xfrm>
                            <a:off x="33702"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DAE8"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4" name="Rectangle 76"/>
                        <wps:cNvSpPr>
                          <a:spLocks noChangeArrowheads="1"/>
                        </wps:cNvSpPr>
                        <wps:spPr bwMode="auto">
                          <a:xfrm>
                            <a:off x="45702"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58C7" w14:textId="77777777" w:rsidR="00847E53" w:rsidRPr="00B34B0A" w:rsidRDefault="00847E53" w:rsidP="00832D19">
                              <w:pPr>
                                <w:rPr>
                                  <w:b/>
                                </w:rPr>
                              </w:pPr>
                              <w:r w:rsidRPr="00B34B0A">
                                <w:rPr>
                                  <w:b/>
                                  <w:i/>
                                  <w:iCs/>
                                  <w:color w:val="000000"/>
                                </w:rPr>
                                <w:t>All</w:t>
                              </w:r>
                            </w:p>
                          </w:txbxContent>
                        </wps:txbx>
                        <wps:bodyPr rot="0" vert="horz" wrap="square" lIns="0" tIns="0" rIns="0" bIns="0" anchor="t" anchorCtr="0" upright="1">
                          <a:spAutoFit/>
                        </wps:bodyPr>
                      </wps:wsp>
                      <wps:wsp>
                        <wps:cNvPr id="3285" name="Rectangle 77"/>
                        <wps:cNvSpPr>
                          <a:spLocks noChangeArrowheads="1"/>
                        </wps:cNvSpPr>
                        <wps:spPr bwMode="auto">
                          <a:xfrm>
                            <a:off x="62903"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484D" w14:textId="77777777" w:rsidR="00847E53" w:rsidRPr="00B34B0A" w:rsidRDefault="00847E53" w:rsidP="00832D19">
                              <w:pPr>
                                <w:rPr>
                                  <w:b/>
                                </w:rPr>
                              </w:pPr>
                              <w:r w:rsidRPr="00B34B0A">
                                <w:rPr>
                                  <w:b/>
                                  <w:i/>
                                  <w:iCs/>
                                  <w:color w:val="000000"/>
                                </w:rPr>
                                <w:t>resource</w:t>
                              </w:r>
                            </w:p>
                          </w:txbxContent>
                        </wps:txbx>
                        <wps:bodyPr rot="0" vert="horz" wrap="none" lIns="0" tIns="0" rIns="0" bIns="0" anchor="t" anchorCtr="0" upright="1">
                          <a:spAutoFit/>
                        </wps:bodyPr>
                      </wps:wsp>
                      <wps:wsp>
                        <wps:cNvPr id="3286" name="Rectangle 78"/>
                        <wps:cNvSpPr>
                          <a:spLocks noChangeArrowheads="1"/>
                        </wps:cNvSpPr>
                        <wps:spPr bwMode="auto">
                          <a:xfrm>
                            <a:off x="58403"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BE8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7" name="Rectangle 79"/>
                        <wps:cNvSpPr>
                          <a:spLocks noChangeArrowheads="1"/>
                        </wps:cNvSpPr>
                        <wps:spPr bwMode="auto">
                          <a:xfrm>
                            <a:off x="174608"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F52"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8" name="Rectangle 80"/>
                        <wps:cNvSpPr>
                          <a:spLocks noChangeArrowheads="1"/>
                        </wps:cNvSpPr>
                        <wps:spPr bwMode="auto">
                          <a:xfrm>
                            <a:off x="58403"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4D5E" w14:textId="77777777" w:rsidR="00847E53" w:rsidRPr="00B34B0A" w:rsidRDefault="00847E53" w:rsidP="00832D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17E9BE" id="Canvas 52" o:spid="_x0000_s1470" editas="canvas" style="position:absolute;left:0;text-align:left;margin-left:45.4pt;margin-top:-28.4pt;width:58.05pt;height:105.4pt;z-index:251666432" coordsize="737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">
                <v:shape id="_x0000_s1471" type="#_x0000_t75" style="position:absolute;width:7372;height:13385;visibility:visible;mso-wrap-style:square">
                  <v:fill o:detectmouseclick="t"/>
                  <v:path o:connecttype="none"/>
                </v:shape>
                <v:rect id="Rectangle 71" o:spid="_x0000_s1472" style="position:absolute;left:1714;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17E94FEB" w14:textId="77777777" w:rsidR="00847E53" w:rsidRDefault="00847E53" w:rsidP="00832D19">
                        <w:r>
                          <w:rPr>
                            <w:rFonts w:ascii="Symbol" w:hAnsi="Symbol" w:cs="Symbol"/>
                            <w:color w:val="000000"/>
                            <w:sz w:val="54"/>
                            <w:szCs w:val="54"/>
                          </w:rPr>
                          <w:t></w:t>
                        </w:r>
                      </w:p>
                    </w:txbxContent>
                  </v:textbox>
                </v:rect>
                <v:rect id="Rectangle 72" o:spid="_x0000_s1473" style="position:absolute;left:1016;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117F80BA" w14:textId="77777777" w:rsidR="00847E53" w:rsidRDefault="00847E53" w:rsidP="00832D19">
                        <w:r>
                          <w:rPr>
                            <w:rFonts w:ascii="Symbol" w:hAnsi="Symbol" w:cs="Symbol"/>
                            <w:color w:val="000000"/>
                          </w:rPr>
                          <w:t></w:t>
                        </w:r>
                      </w:p>
                    </w:txbxContent>
                  </v:textbox>
                </v:rect>
                <v:rect id="Rectangle 73" o:spid="_x0000_s1474" style="position:absolute;left:356;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5FA66918" w14:textId="77777777" w:rsidR="00847E53" w:rsidRPr="00B34B0A" w:rsidRDefault="00847E53" w:rsidP="00832D19">
                        <w:pPr>
                          <w:rPr>
                            <w:b/>
                          </w:rPr>
                        </w:pPr>
                        <w:r w:rsidRPr="00B34B0A">
                          <w:rPr>
                            <w:b/>
                            <w:i/>
                            <w:iCs/>
                            <w:color w:val="000000"/>
                          </w:rPr>
                          <w:t>resources</w:t>
                        </w:r>
                      </w:p>
                    </w:txbxContent>
                  </v:textbox>
                </v:rect>
                <v:rect id="Rectangle 74" o:spid="_x0000_s1475" style="position:absolute;left:317;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31B8A6A2" w14:textId="77777777" w:rsidR="00847E53" w:rsidRPr="00B34B0A" w:rsidRDefault="00847E53" w:rsidP="00832D19">
                        <w:pPr>
                          <w:rPr>
                            <w:b/>
                          </w:rPr>
                        </w:pPr>
                        <w:r>
                          <w:rPr>
                            <w:b/>
                            <w:i/>
                            <w:iCs/>
                            <w:color w:val="000000"/>
                          </w:rPr>
                          <w:t>FFR</w:t>
                        </w:r>
                      </w:p>
                    </w:txbxContent>
                  </v:textbox>
                </v:rect>
                <v:rect id="Rectangle 75" o:spid="_x0000_s1476" style="position:absolute;left:337;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2FCCDAE8" w14:textId="77777777" w:rsidR="00847E53" w:rsidRPr="00B34B0A" w:rsidRDefault="00847E53" w:rsidP="00832D19">
                        <w:pPr>
                          <w:rPr>
                            <w:b/>
                          </w:rPr>
                        </w:pPr>
                        <w:r w:rsidRPr="00B34B0A">
                          <w:rPr>
                            <w:b/>
                            <w:i/>
                            <w:iCs/>
                            <w:color w:val="000000"/>
                          </w:rPr>
                          <w:t>online</w:t>
                        </w:r>
                      </w:p>
                    </w:txbxContent>
                  </v:textbox>
                </v:rect>
                <v:rect id="Rectangle 76" o:spid="_x0000_s1477" style="position:absolute;left:457;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" filled="f" stroked="f">
                  <v:textbox style="mso-fit-shape-to-text:t" inset="0,0,0,0">
                    <w:txbxContent>
                      <w:p w14:paraId="760E58C7" w14:textId="77777777" w:rsidR="00847E53" w:rsidRPr="00B34B0A" w:rsidRDefault="00847E53" w:rsidP="00832D19">
                        <w:pPr>
                          <w:rPr>
                            <w:b/>
                          </w:rPr>
                        </w:pPr>
                        <w:r w:rsidRPr="00B34B0A">
                          <w:rPr>
                            <w:b/>
                            <w:i/>
                            <w:iCs/>
                            <w:color w:val="000000"/>
                          </w:rPr>
                          <w:t>All</w:t>
                        </w:r>
                      </w:p>
                    </w:txbxContent>
                  </v:textbox>
                </v:rect>
                <v:rect id="Rectangle 77" o:spid="_x0000_s1478" style="position:absolute;left:629;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4401484D" w14:textId="77777777" w:rsidR="00847E53" w:rsidRPr="00B34B0A" w:rsidRDefault="00847E53" w:rsidP="00832D19">
                        <w:pPr>
                          <w:rPr>
                            <w:b/>
                          </w:rPr>
                        </w:pPr>
                        <w:r w:rsidRPr="00B34B0A">
                          <w:rPr>
                            <w:b/>
                            <w:i/>
                            <w:iCs/>
                            <w:color w:val="000000"/>
                          </w:rPr>
                          <w:t>resource</w:t>
                        </w:r>
                      </w:p>
                    </w:txbxContent>
                  </v:textbox>
                </v:rect>
                <v:rect id="Rectangle 78" o:spid="_x0000_s1479" style="position:absolute;left:584;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1DE9BE82" w14:textId="77777777" w:rsidR="00847E53" w:rsidRPr="00B34B0A" w:rsidRDefault="00847E53" w:rsidP="00832D19">
                        <w:pPr>
                          <w:rPr>
                            <w:b/>
                          </w:rPr>
                        </w:pPr>
                        <w:r>
                          <w:rPr>
                            <w:b/>
                            <w:i/>
                            <w:iCs/>
                            <w:color w:val="000000"/>
                          </w:rPr>
                          <w:t>FFR</w:t>
                        </w:r>
                      </w:p>
                    </w:txbxContent>
                  </v:textbox>
                </v:rect>
                <v:rect id="Rectangle 79" o:spid="_x0000_s1480" style="position:absolute;left:1746;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0F167F52" w14:textId="77777777" w:rsidR="00847E53" w:rsidRPr="00B34B0A" w:rsidRDefault="00847E53" w:rsidP="00832D19">
                        <w:pPr>
                          <w:rPr>
                            <w:b/>
                          </w:rPr>
                        </w:pPr>
                        <w:r w:rsidRPr="00B34B0A">
                          <w:rPr>
                            <w:b/>
                            <w:i/>
                            <w:iCs/>
                            <w:color w:val="000000"/>
                          </w:rPr>
                          <w:t>online</w:t>
                        </w:r>
                      </w:p>
                    </w:txbxContent>
                  </v:textbox>
                </v:rect>
                <v:rect id="Rectangle 80" o:spid="_x0000_s1481" style="position:absolute;left:584;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5D314D5E" w14:textId="77777777" w:rsidR="00847E53" w:rsidRPr="00B34B0A" w:rsidRDefault="00847E53" w:rsidP="00832D19">
                        <w:pPr>
                          <w:rPr>
                            <w:b/>
                          </w:rPr>
                        </w:pPr>
                        <w:r w:rsidRPr="00B34B0A">
                          <w:rPr>
                            <w:b/>
                            <w:i/>
                            <w:iCs/>
                            <w:color w:val="000000"/>
                          </w:rPr>
                          <w:t>i</w:t>
                        </w:r>
                      </w:p>
                    </w:txbxContent>
                  </v:textbox>
                </v:rect>
              </v:group>
            </w:pict>
          </mc:Fallback>
        </mc:AlternateContent>
      </w:r>
      <w:r w:rsidR="00832D19" w:rsidRPr="0003648D">
        <w:rPr>
          <w:b/>
          <w:position w:val="30"/>
          <w:sz w:val="20"/>
        </w:rPr>
        <w:t>PRC</w:t>
      </w:r>
      <w:r w:rsidR="00832D19" w:rsidRPr="0003648D">
        <w:rPr>
          <w:b/>
          <w:position w:val="30"/>
          <w:sz w:val="20"/>
          <w:vertAlign w:val="subscript"/>
        </w:rPr>
        <w:t>7</w:t>
      </w:r>
      <w:r w:rsidR="00832D19" w:rsidRPr="0003648D">
        <w:rPr>
          <w:b/>
          <w:position w:val="30"/>
          <w:sz w:val="20"/>
        </w:rPr>
        <w:t xml:space="preserve"> =</w:t>
      </w:r>
      <w:r w:rsidR="00832D19" w:rsidRPr="0003648D">
        <w:rPr>
          <w:b/>
          <w:position w:val="30"/>
          <w:sz w:val="20"/>
        </w:rPr>
        <w:tab/>
        <w:t>(Capacity from Resources capable of providing FFR)</w:t>
      </w:r>
      <w:r w:rsidR="00832D19" w:rsidRPr="0003648D">
        <w:rPr>
          <w:b/>
          <w:position w:val="30"/>
          <w:sz w:val="20"/>
          <w:vertAlign w:val="subscript"/>
        </w:rPr>
        <w:t>i</w:t>
      </w:r>
    </w:p>
    <w:p w14:paraId="28BC67F5" w14:textId="77777777" w:rsidR="00BA3F0D" w:rsidRDefault="00BA3F0D" w:rsidP="00D56BB3">
      <w:pPr>
        <w:pStyle w:val="List"/>
        <w:spacing w:before="480" w:after="0"/>
        <w:ind w:left="720"/>
        <w:rPr>
          <w:b/>
          <w:position w:val="30"/>
          <w:sz w:val="20"/>
        </w:rPr>
      </w:pPr>
    </w:p>
    <w:p w14:paraId="71E3DFE5" w14:textId="77777777" w:rsidR="00DE2B6B" w:rsidRDefault="00DE2B6B" w:rsidP="00DE2B6B">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5104" behindDoc="0" locked="0" layoutInCell="1" allowOverlap="1" wp14:anchorId="0783D39A" wp14:editId="67596401">
                <wp:simplePos x="0" y="0"/>
                <wp:positionH relativeFrom="column">
                  <wp:posOffset>483870</wp:posOffset>
                </wp:positionH>
                <wp:positionV relativeFrom="paragraph">
                  <wp:posOffset>43815</wp:posOffset>
                </wp:positionV>
                <wp:extent cx="960755" cy="1369060"/>
                <wp:effectExtent l="0" t="0" r="10795" b="2540"/>
                <wp:wrapNone/>
                <wp:docPr id="8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52"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F4E7" w14:textId="77777777" w:rsidR="00DE2B6B" w:rsidRDefault="00DE2B6B" w:rsidP="00DE2B6B">
                              <w:r>
                                <w:rPr>
                                  <w:rFonts w:ascii="Symbol" w:hAnsi="Symbol" w:cs="Symbol"/>
                                  <w:color w:val="000000"/>
                                </w:rPr>
                                <w:t></w:t>
                              </w:r>
                            </w:p>
                          </w:txbxContent>
                        </wps:txbx>
                        <wps:bodyPr rot="0" vert="horz" wrap="none" lIns="0" tIns="0" rIns="0" bIns="0" anchor="t" anchorCtr="0" upright="1">
                          <a:spAutoFit/>
                        </wps:bodyPr>
                      </wps:wsp>
                      <wps:wsp>
                        <wps:cNvPr id="53"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ED07" w14:textId="77777777" w:rsidR="00DE2B6B" w:rsidRPr="00B34B0A" w:rsidRDefault="00DE2B6B" w:rsidP="00DE2B6B">
                              <w:pPr>
                                <w:rPr>
                                  <w:b/>
                                </w:rPr>
                              </w:pPr>
                              <w:r>
                                <w:rPr>
                                  <w:b/>
                                  <w:i/>
                                  <w:iCs/>
                                  <w:color w:val="000000"/>
                                </w:rPr>
                                <w:t>ESR</w:t>
                              </w:r>
                            </w:p>
                          </w:txbxContent>
                        </wps:txbx>
                        <wps:bodyPr rot="0" vert="horz" wrap="square" lIns="0" tIns="0" rIns="0" bIns="0" anchor="t" anchorCtr="0" upright="1">
                          <a:spAutoFit/>
                        </wps:bodyPr>
                      </wps:wsp>
                      <wps:wsp>
                        <wps:cNvPr id="54"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7969" w14:textId="77777777" w:rsidR="00DE2B6B" w:rsidRPr="00B34B0A" w:rsidRDefault="00DE2B6B" w:rsidP="00DE2B6B">
                              <w:pPr>
                                <w:rPr>
                                  <w:b/>
                                </w:rPr>
                              </w:pPr>
                            </w:p>
                          </w:txbxContent>
                        </wps:txbx>
                        <wps:bodyPr rot="0" vert="horz" wrap="none" lIns="0" tIns="0" rIns="0" bIns="0" anchor="t" anchorCtr="0" upright="1">
                          <a:spAutoFit/>
                        </wps:bodyPr>
                      </wps:wsp>
                      <wps:wsp>
                        <wps:cNvPr id="55"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35DF"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9AAB2" w14:textId="77777777" w:rsidR="00DE2B6B" w:rsidRPr="00B34B0A" w:rsidRDefault="00DE2B6B" w:rsidP="00DE2B6B">
                              <w:pPr>
                                <w:rPr>
                                  <w:b/>
                                </w:rPr>
                              </w:pPr>
                              <w:r w:rsidRPr="00B34B0A">
                                <w:rPr>
                                  <w:b/>
                                  <w:i/>
                                  <w:iCs/>
                                  <w:color w:val="000000"/>
                                </w:rPr>
                                <w:t>All</w:t>
                              </w:r>
                            </w:p>
                          </w:txbxContent>
                        </wps:txbx>
                        <wps:bodyPr rot="0" vert="horz" wrap="square" lIns="0" tIns="0" rIns="0" bIns="0" anchor="t" anchorCtr="0" upright="1">
                          <a:spAutoFit/>
                        </wps:bodyPr>
                      </wps:wsp>
                      <wps:wsp>
                        <wps:cNvPr id="8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6003" w14:textId="77777777" w:rsidR="00DE2B6B" w:rsidRPr="00B34B0A" w:rsidRDefault="00DE2B6B" w:rsidP="00DE2B6B">
                              <w:pPr>
                                <w:rPr>
                                  <w:b/>
                                </w:rPr>
                              </w:pPr>
                            </w:p>
                          </w:txbxContent>
                        </wps:txbx>
                        <wps:bodyPr rot="0" vert="horz" wrap="none" lIns="0" tIns="0" rIns="0" bIns="0" anchor="t" anchorCtr="0" upright="1">
                          <a:spAutoFit/>
                        </wps:bodyPr>
                      </wps:wsp>
                      <wps:wsp>
                        <wps:cNvPr id="8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0E61" w14:textId="77777777" w:rsidR="00DE2B6B" w:rsidRPr="00B34B0A" w:rsidRDefault="00DE2B6B" w:rsidP="00DE2B6B">
                              <w:pPr>
                                <w:rPr>
                                  <w:b/>
                                </w:rPr>
                              </w:pPr>
                              <w:r>
                                <w:rPr>
                                  <w:b/>
                                  <w:i/>
                                  <w:iCs/>
                                  <w:color w:val="000000"/>
                                </w:rPr>
                                <w:t>ESR</w:t>
                              </w:r>
                            </w:p>
                          </w:txbxContent>
                        </wps:txbx>
                        <wps:bodyPr rot="0" vert="horz" wrap="none" lIns="0" tIns="0" rIns="0" bIns="0" anchor="t" anchorCtr="0" upright="1">
                          <a:spAutoFit/>
                        </wps:bodyPr>
                      </wps:wsp>
                      <wps:wsp>
                        <wps:cNvPr id="8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2960"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616F" w14:textId="77777777" w:rsidR="00DE2B6B" w:rsidRPr="00B34B0A" w:rsidRDefault="00DE2B6B" w:rsidP="00DE2B6B">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783D39A" id="_x0000_s1482" editas="canvas" style="position:absolute;left:0;text-align:left;margin-left:38.1pt;margin-top:3.45pt;width:75.65pt;height:107.8pt;z-index:251695104"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">
                <v:shape id="_x0000_s1483" type="#_x0000_t75" style="position:absolute;width:9607;height:13690;visibility:visible;mso-wrap-style:square">
                  <v:fill o:detectmouseclick="t"/>
                  <v:path o:connecttype="none"/>
                </v:shape>
                <v:rect id="Rectangle 71" o:spid="_x0000_s148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v:textbox>
                </v:rect>
                <v:rect id="Rectangle 72" o:spid="_x0000_s148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4DEF4E7" w14:textId="77777777" w:rsidR="00DE2B6B" w:rsidRDefault="00DE2B6B" w:rsidP="00DE2B6B">
                        <w:r>
                          <w:rPr>
                            <w:rFonts w:ascii="Symbol" w:hAnsi="Symbol" w:cs="Symbol"/>
                            <w:color w:val="000000"/>
                          </w:rPr>
                          <w:t></w:t>
                        </w:r>
                      </w:p>
                    </w:txbxContent>
                  </v:textbox>
                </v:rect>
                <v:rect id="Rectangle 73" o:spid="_x0000_s148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F/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AzrIF/xQAAANsAAAAP&#10;AAAAAAAAAAAAAAAAAAcCAABkcnMvZG93bnJldi54bWxQSwUGAAAAAAMAAwC3AAAA+QIAAAAA&#10;" filled="f" stroked="f">
                  <v:textbox style="mso-fit-shape-to-text:t" inset="0,0,0,0">
                    <w:txbxContent>
                      <w:p w14:paraId="7875ED07" w14:textId="77777777" w:rsidR="00DE2B6B" w:rsidRPr="00B34B0A" w:rsidRDefault="00DE2B6B" w:rsidP="00DE2B6B">
                        <w:pPr>
                          <w:rPr>
                            <w:b/>
                          </w:rPr>
                        </w:pPr>
                        <w:r>
                          <w:rPr>
                            <w:b/>
                            <w:i/>
                            <w:iCs/>
                            <w:color w:val="000000"/>
                          </w:rPr>
                          <w:t>ESR</w:t>
                        </w:r>
                      </w:p>
                    </w:txbxContent>
                  </v:textbox>
                </v:rect>
                <v:rect id="Rectangle 74" o:spid="_x0000_s148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A967969" w14:textId="77777777" w:rsidR="00DE2B6B" w:rsidRPr="00B34B0A" w:rsidRDefault="00DE2B6B" w:rsidP="00DE2B6B">
                        <w:pPr>
                          <w:rPr>
                            <w:b/>
                          </w:rPr>
                        </w:pPr>
                      </w:p>
                    </w:txbxContent>
                  </v:textbox>
                </v:rect>
                <v:rect id="Rectangle 75" o:spid="_x0000_s148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41535DF" w14:textId="77777777" w:rsidR="00DE2B6B" w:rsidRPr="00B34B0A" w:rsidRDefault="00DE2B6B" w:rsidP="00DE2B6B">
                        <w:pPr>
                          <w:rPr>
                            <w:b/>
                          </w:rPr>
                        </w:pPr>
                        <w:r w:rsidRPr="00B34B0A">
                          <w:rPr>
                            <w:b/>
                            <w:i/>
                            <w:iCs/>
                            <w:color w:val="000000"/>
                          </w:rPr>
                          <w:t>online</w:t>
                        </w:r>
                      </w:p>
                    </w:txbxContent>
                  </v:textbox>
                </v:rect>
                <v:rect id="Rectangle 76" o:spid="_x0000_s148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" filled="f" stroked="f">
                  <v:textbox style="mso-fit-shape-to-text:t" inset="0,0,0,0">
                    <w:txbxContent>
                      <w:p w14:paraId="13E9AAB2" w14:textId="77777777" w:rsidR="00DE2B6B" w:rsidRPr="00B34B0A" w:rsidRDefault="00DE2B6B" w:rsidP="00DE2B6B">
                        <w:pPr>
                          <w:rPr>
                            <w:b/>
                          </w:rPr>
                        </w:pPr>
                        <w:r w:rsidRPr="00B34B0A">
                          <w:rPr>
                            <w:b/>
                            <w:i/>
                            <w:iCs/>
                            <w:color w:val="000000"/>
                          </w:rPr>
                          <w:t>All</w:t>
                        </w:r>
                      </w:p>
                    </w:txbxContent>
                  </v:textbox>
                </v:rect>
                <v:rect id="Rectangle 77" o:spid="_x0000_s149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A456003" w14:textId="77777777" w:rsidR="00DE2B6B" w:rsidRPr="00B34B0A" w:rsidRDefault="00DE2B6B" w:rsidP="00DE2B6B">
                        <w:pPr>
                          <w:rPr>
                            <w:b/>
                          </w:rPr>
                        </w:pPr>
                      </w:p>
                    </w:txbxContent>
                  </v:textbox>
                </v:rect>
                <v:rect id="Rectangle 78" o:spid="_x0000_s149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EB70E61" w14:textId="77777777" w:rsidR="00DE2B6B" w:rsidRPr="00B34B0A" w:rsidRDefault="00DE2B6B" w:rsidP="00DE2B6B">
                        <w:pPr>
                          <w:rPr>
                            <w:b/>
                          </w:rPr>
                        </w:pPr>
                        <w:r>
                          <w:rPr>
                            <w:b/>
                            <w:i/>
                            <w:iCs/>
                            <w:color w:val="000000"/>
                          </w:rPr>
                          <w:t>ESR</w:t>
                        </w:r>
                      </w:p>
                    </w:txbxContent>
                  </v:textbox>
                </v:rect>
                <v:rect id="Rectangle 79" o:spid="_x0000_s149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6B12960" w14:textId="77777777" w:rsidR="00DE2B6B" w:rsidRPr="00B34B0A" w:rsidRDefault="00DE2B6B" w:rsidP="00DE2B6B">
                        <w:pPr>
                          <w:rPr>
                            <w:b/>
                          </w:rPr>
                        </w:pPr>
                        <w:r w:rsidRPr="00B34B0A">
                          <w:rPr>
                            <w:b/>
                            <w:i/>
                            <w:iCs/>
                            <w:color w:val="000000"/>
                          </w:rPr>
                          <w:t>online</w:t>
                        </w:r>
                      </w:p>
                    </w:txbxContent>
                  </v:textbox>
                </v:rect>
                <v:rect id="Rectangle 80" o:spid="_x0000_s149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F00616F" w14:textId="77777777" w:rsidR="00DE2B6B" w:rsidRPr="00B34B0A" w:rsidRDefault="00DE2B6B" w:rsidP="00DE2B6B">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4E1144A9" w14:textId="06A1CC85" w:rsidR="00DE2B6B" w:rsidRDefault="00DE2B6B" w:rsidP="00DE2B6B">
      <w:pPr>
        <w:ind w:left="720" w:hanging="720"/>
        <w:rPr>
          <w:b/>
          <w:position w:val="30"/>
          <w:sz w:val="20"/>
        </w:rPr>
      </w:pPr>
      <w:r>
        <w:rPr>
          <w:b/>
          <w:position w:val="30"/>
          <w:sz w:val="20"/>
        </w:rPr>
        <w:t>Excludes ESR capacity used to provide FFR</w:t>
      </w:r>
      <w:r w:rsidR="00BD759A">
        <w:rPr>
          <w:b/>
          <w:position w:val="30"/>
          <w:sz w:val="20"/>
        </w:rPr>
        <w:t>.</w:t>
      </w:r>
      <w:r w:rsidRPr="003161DC">
        <w:rPr>
          <w:b/>
          <w:position w:val="30"/>
          <w:sz w:val="20"/>
        </w:rPr>
        <w:t xml:space="preserve"> </w:t>
      </w:r>
    </w:p>
    <w:p w14:paraId="44674B11" w14:textId="3D79F789" w:rsidR="000800A9" w:rsidRPr="00FF5BB6" w:rsidRDefault="000800A9" w:rsidP="002E4A29">
      <w:pPr>
        <w:pStyle w:val="List"/>
        <w:spacing w:after="0"/>
        <w:ind w:left="72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00283DFC" w:rsidRPr="006A6281">
        <w:rPr>
          <w:b/>
          <w:position w:val="30"/>
          <w:sz w:val="20"/>
        </w:rPr>
        <w:t xml:space="preserve"> </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sidR="00832D19">
        <w:rPr>
          <w:b/>
          <w:position w:val="30"/>
          <w:sz w:val="20"/>
        </w:rPr>
        <w:t xml:space="preserve"> + PRC</w:t>
      </w:r>
      <w:r w:rsidR="00832D19">
        <w:rPr>
          <w:b/>
          <w:position w:val="30"/>
          <w:sz w:val="20"/>
          <w:vertAlign w:val="subscript"/>
        </w:rPr>
        <w:t>7</w:t>
      </w:r>
      <w:r w:rsidR="00DE2B6B">
        <w:rPr>
          <w:b/>
          <w:position w:val="30"/>
          <w:sz w:val="20"/>
        </w:rPr>
        <w:t xml:space="preserve"> + PRC</w:t>
      </w:r>
      <w:r w:rsidR="00DE2B6B">
        <w:rPr>
          <w:b/>
          <w:position w:val="30"/>
          <w:sz w:val="20"/>
          <w:vertAlign w:val="subscript"/>
        </w:rPr>
        <w:t>8</w:t>
      </w:r>
    </w:p>
    <w:p w14:paraId="7E6064EA" w14:textId="77777777" w:rsidR="000800A9" w:rsidRDefault="000800A9" w:rsidP="002E4A29">
      <w:r>
        <w:t>The above variables are defined as follows:</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52"/>
        <w:gridCol w:w="1281"/>
        <w:gridCol w:w="7188"/>
      </w:tblGrid>
      <w:tr w:rsidR="000800A9" w:rsidRPr="001846F1" w14:paraId="483C139A" w14:textId="77777777" w:rsidTr="00832D19">
        <w:tc>
          <w:tcPr>
            <w:tcW w:w="1852" w:type="dxa"/>
          </w:tcPr>
          <w:p w14:paraId="530C66B5" w14:textId="77777777" w:rsidR="000800A9" w:rsidRPr="001846F1" w:rsidRDefault="000800A9" w:rsidP="007169E1">
            <w:pPr>
              <w:pStyle w:val="TableHead"/>
            </w:pPr>
            <w:r w:rsidRPr="001846F1">
              <w:t>Variable</w:t>
            </w:r>
          </w:p>
        </w:tc>
        <w:tc>
          <w:tcPr>
            <w:tcW w:w="1281" w:type="dxa"/>
          </w:tcPr>
          <w:p w14:paraId="1DCD17C8" w14:textId="77777777" w:rsidR="000800A9" w:rsidRPr="001846F1" w:rsidRDefault="000800A9" w:rsidP="007169E1">
            <w:pPr>
              <w:pStyle w:val="TableHead"/>
            </w:pPr>
            <w:r w:rsidRPr="00D661BC">
              <w:t>Unit</w:t>
            </w:r>
          </w:p>
        </w:tc>
        <w:tc>
          <w:tcPr>
            <w:tcW w:w="7188" w:type="dxa"/>
          </w:tcPr>
          <w:p w14:paraId="601607F4" w14:textId="77777777" w:rsidR="000800A9" w:rsidRPr="001846F1" w:rsidRDefault="000800A9" w:rsidP="007169E1">
            <w:pPr>
              <w:pStyle w:val="TableHead"/>
            </w:pPr>
            <w:r w:rsidRPr="00D661BC">
              <w:t>Description</w:t>
            </w:r>
          </w:p>
        </w:tc>
      </w:tr>
      <w:tr w:rsidR="000800A9" w:rsidRPr="001846F1" w14:paraId="167E6774" w14:textId="77777777" w:rsidTr="00832D19">
        <w:tc>
          <w:tcPr>
            <w:tcW w:w="1852" w:type="dxa"/>
          </w:tcPr>
          <w:p w14:paraId="43C8CD5E" w14:textId="77777777" w:rsidR="000800A9" w:rsidRPr="001846F1" w:rsidRDefault="000800A9" w:rsidP="007169E1">
            <w:pPr>
              <w:pStyle w:val="TableBody"/>
            </w:pPr>
            <w:r w:rsidRPr="00D661BC">
              <w:t>PRC</w:t>
            </w:r>
            <w:r w:rsidRPr="00D661BC">
              <w:rPr>
                <w:vertAlign w:val="subscript"/>
              </w:rPr>
              <w:t>1</w:t>
            </w:r>
          </w:p>
        </w:tc>
        <w:tc>
          <w:tcPr>
            <w:tcW w:w="1281" w:type="dxa"/>
          </w:tcPr>
          <w:p w14:paraId="097B6180" w14:textId="77777777" w:rsidR="000800A9" w:rsidRPr="001846F1" w:rsidRDefault="000800A9" w:rsidP="007169E1">
            <w:pPr>
              <w:pStyle w:val="TableBody"/>
            </w:pPr>
            <w:r w:rsidRPr="00D661BC">
              <w:t>MW</w:t>
            </w:r>
          </w:p>
        </w:tc>
        <w:tc>
          <w:tcPr>
            <w:tcW w:w="7188" w:type="dxa"/>
          </w:tcPr>
          <w:p w14:paraId="5D581083" w14:textId="77777777" w:rsidR="000800A9" w:rsidRPr="001846F1" w:rsidRDefault="000800A9" w:rsidP="007169E1">
            <w:pPr>
              <w:pStyle w:val="TableBody"/>
            </w:pPr>
            <w:r w:rsidRPr="00D661BC">
              <w:t>Generation On-Line greater than 0 MW</w:t>
            </w:r>
          </w:p>
        </w:tc>
      </w:tr>
      <w:tr w:rsidR="000800A9" w:rsidRPr="001846F1" w14:paraId="7183C981" w14:textId="77777777" w:rsidTr="00832D19">
        <w:tc>
          <w:tcPr>
            <w:tcW w:w="1852" w:type="dxa"/>
          </w:tcPr>
          <w:p w14:paraId="0A539C45" w14:textId="77777777" w:rsidR="000800A9" w:rsidRPr="006D4BBD" w:rsidRDefault="000800A9" w:rsidP="007169E1">
            <w:pPr>
              <w:pStyle w:val="TableBody"/>
            </w:pPr>
            <w:r>
              <w:t>PRC</w:t>
            </w:r>
            <w:r>
              <w:rPr>
                <w:vertAlign w:val="subscript"/>
              </w:rPr>
              <w:t>2</w:t>
            </w:r>
          </w:p>
        </w:tc>
        <w:tc>
          <w:tcPr>
            <w:tcW w:w="1281" w:type="dxa"/>
          </w:tcPr>
          <w:p w14:paraId="449EAF59" w14:textId="77777777" w:rsidR="000800A9" w:rsidRPr="00D661BC" w:rsidRDefault="000800A9" w:rsidP="007169E1">
            <w:pPr>
              <w:pStyle w:val="TableBody"/>
            </w:pPr>
            <w:r>
              <w:t>MW</w:t>
            </w:r>
          </w:p>
        </w:tc>
        <w:tc>
          <w:tcPr>
            <w:tcW w:w="7188" w:type="dxa"/>
          </w:tcPr>
          <w:p w14:paraId="16B9D096" w14:textId="77777777" w:rsidR="000800A9" w:rsidRPr="00D661BC" w:rsidRDefault="000800A9" w:rsidP="007169E1">
            <w:pPr>
              <w:pStyle w:val="TableBody"/>
            </w:pPr>
            <w:r>
              <w:t>WGRs On-Line greater than 0 MW</w:t>
            </w:r>
          </w:p>
        </w:tc>
      </w:tr>
      <w:tr w:rsidR="000800A9" w:rsidRPr="001846F1" w14:paraId="3548BA42" w14:textId="77777777" w:rsidTr="00832D19">
        <w:tc>
          <w:tcPr>
            <w:tcW w:w="1852" w:type="dxa"/>
          </w:tcPr>
          <w:p w14:paraId="67D650D9" w14:textId="77777777" w:rsidR="000800A9" w:rsidRPr="001846F1" w:rsidRDefault="000800A9" w:rsidP="007169E1">
            <w:pPr>
              <w:pStyle w:val="TableBody"/>
            </w:pPr>
            <w:r w:rsidRPr="00D661BC">
              <w:t>PRC</w:t>
            </w:r>
            <w:r>
              <w:rPr>
                <w:vertAlign w:val="subscript"/>
              </w:rPr>
              <w:t>3</w:t>
            </w:r>
          </w:p>
        </w:tc>
        <w:tc>
          <w:tcPr>
            <w:tcW w:w="1281" w:type="dxa"/>
          </w:tcPr>
          <w:p w14:paraId="23E87FC2" w14:textId="77777777" w:rsidR="000800A9" w:rsidRPr="001846F1" w:rsidRDefault="000800A9" w:rsidP="007169E1">
            <w:pPr>
              <w:pStyle w:val="TableBody"/>
            </w:pPr>
            <w:r w:rsidRPr="00D661BC">
              <w:t>MW</w:t>
            </w:r>
          </w:p>
        </w:tc>
        <w:tc>
          <w:tcPr>
            <w:tcW w:w="7188" w:type="dxa"/>
          </w:tcPr>
          <w:p w14:paraId="2979F0AC" w14:textId="1FC95B94" w:rsidR="00C874A1" w:rsidRPr="001846F1" w:rsidRDefault="00614A3C" w:rsidP="007169E1">
            <w:pPr>
              <w:pStyle w:val="TableBody"/>
            </w:pPr>
            <w:r>
              <w:t>S</w:t>
            </w:r>
            <w:r w:rsidR="000800A9" w:rsidRPr="00D661BC">
              <w:t>ynchronous condenser output</w:t>
            </w:r>
          </w:p>
          <w:p w14:paraId="2CCC50E9" w14:textId="77777777" w:rsidR="000800A9" w:rsidRPr="001846F1" w:rsidRDefault="000800A9" w:rsidP="007169E1">
            <w:pPr>
              <w:pStyle w:val="TableBody"/>
            </w:pPr>
          </w:p>
        </w:tc>
      </w:tr>
      <w:tr w:rsidR="000800A9" w:rsidRPr="001846F1" w14:paraId="783AD951" w14:textId="77777777" w:rsidTr="00832D19">
        <w:tc>
          <w:tcPr>
            <w:tcW w:w="1852" w:type="dxa"/>
          </w:tcPr>
          <w:p w14:paraId="421E57FC" w14:textId="77777777" w:rsidR="000800A9" w:rsidRDefault="000800A9" w:rsidP="007169E1">
            <w:pPr>
              <w:pStyle w:val="TableBody"/>
            </w:pPr>
            <w:r>
              <w:t>PRC</w:t>
            </w:r>
            <w:r>
              <w:rPr>
                <w:vertAlign w:val="subscript"/>
              </w:rPr>
              <w:t>4</w:t>
            </w:r>
          </w:p>
        </w:tc>
        <w:tc>
          <w:tcPr>
            <w:tcW w:w="1281" w:type="dxa"/>
          </w:tcPr>
          <w:p w14:paraId="21222881" w14:textId="77777777" w:rsidR="000800A9" w:rsidRDefault="000800A9" w:rsidP="007169E1">
            <w:pPr>
              <w:pStyle w:val="TableBody"/>
            </w:pPr>
            <w:r>
              <w:t>MW</w:t>
            </w:r>
          </w:p>
        </w:tc>
        <w:tc>
          <w:tcPr>
            <w:tcW w:w="7188" w:type="dxa"/>
          </w:tcPr>
          <w:p w14:paraId="36789B0E" w14:textId="165BD8BA" w:rsidR="00BB6E06" w:rsidRDefault="000800A9" w:rsidP="007169E1">
            <w:pPr>
              <w:pStyle w:val="TableBody"/>
              <w:tabs>
                <w:tab w:val="left" w:pos="1080"/>
              </w:tabs>
            </w:pPr>
            <w:r>
              <w:t xml:space="preserve">Capacity from Load Resources carrying </w:t>
            </w:r>
            <w:r w:rsidR="00585019">
              <w:t xml:space="preserve">ECRS </w:t>
            </w:r>
            <w:r>
              <w:t>Ancillary Service Resource Responsibility</w:t>
            </w:r>
          </w:p>
          <w:p w14:paraId="2D0D747E" w14:textId="77777777" w:rsidR="000800A9" w:rsidRDefault="000800A9" w:rsidP="007169E1">
            <w:pPr>
              <w:pStyle w:val="TableBody"/>
              <w:tabs>
                <w:tab w:val="left" w:pos="1080"/>
              </w:tabs>
            </w:pPr>
          </w:p>
        </w:tc>
      </w:tr>
      <w:tr w:rsidR="000800A9" w:rsidRPr="001846F1" w14:paraId="224331D0" w14:textId="77777777" w:rsidTr="00832D19">
        <w:tc>
          <w:tcPr>
            <w:tcW w:w="1852" w:type="dxa"/>
          </w:tcPr>
          <w:p w14:paraId="04AFE693" w14:textId="77777777" w:rsidR="000800A9" w:rsidRPr="00D661BC" w:rsidRDefault="000800A9" w:rsidP="007169E1">
            <w:pPr>
              <w:pStyle w:val="TableBody"/>
            </w:pPr>
            <w:r w:rsidRPr="006A6281">
              <w:t>PRC</w:t>
            </w:r>
            <w:r>
              <w:rPr>
                <w:vertAlign w:val="subscript"/>
              </w:rPr>
              <w:t>5</w:t>
            </w:r>
          </w:p>
        </w:tc>
        <w:tc>
          <w:tcPr>
            <w:tcW w:w="1281" w:type="dxa"/>
          </w:tcPr>
          <w:p w14:paraId="6B2D497A" w14:textId="77777777" w:rsidR="000800A9" w:rsidRPr="001846F1" w:rsidRDefault="000800A9" w:rsidP="007169E1">
            <w:pPr>
              <w:pStyle w:val="TableBody"/>
            </w:pPr>
            <w:r w:rsidRPr="006A6281">
              <w:t>MW</w:t>
            </w:r>
          </w:p>
        </w:tc>
        <w:tc>
          <w:tcPr>
            <w:tcW w:w="7188" w:type="dxa"/>
          </w:tcPr>
          <w:p w14:paraId="4368B060" w14:textId="40C66D8A" w:rsidR="000800A9" w:rsidRPr="00D661BC" w:rsidRDefault="000800A9" w:rsidP="007169E1">
            <w:pPr>
              <w:pStyle w:val="TableBody"/>
              <w:tabs>
                <w:tab w:val="left" w:pos="1080"/>
              </w:tabs>
            </w:pPr>
            <w:r w:rsidRPr="006A6281">
              <w:t xml:space="preserve">Capacity from </w:t>
            </w:r>
            <w:r w:rsidR="00192EFF">
              <w:t>CLRs</w:t>
            </w:r>
            <w:r w:rsidRPr="006A6281">
              <w:t xml:space="preserve"> active in SCED and carrying Ancillary Service Resource Responsibility</w:t>
            </w:r>
          </w:p>
        </w:tc>
      </w:tr>
      <w:tr w:rsidR="000800A9" w:rsidRPr="001846F1" w14:paraId="7D42A630" w14:textId="77777777" w:rsidTr="005755D9">
        <w:tc>
          <w:tcPr>
            <w:tcW w:w="1852" w:type="dxa"/>
            <w:tcBorders>
              <w:bottom w:val="single" w:sz="4" w:space="0" w:color="auto"/>
            </w:tcBorders>
          </w:tcPr>
          <w:p w14:paraId="06DAB15D" w14:textId="77777777" w:rsidR="000800A9" w:rsidRPr="00D661BC" w:rsidRDefault="000800A9" w:rsidP="007169E1">
            <w:pPr>
              <w:pStyle w:val="TableBody"/>
            </w:pPr>
            <w:r w:rsidRPr="006A6281">
              <w:t>PRC</w:t>
            </w:r>
            <w:r>
              <w:rPr>
                <w:vertAlign w:val="subscript"/>
              </w:rPr>
              <w:t>6</w:t>
            </w:r>
          </w:p>
        </w:tc>
        <w:tc>
          <w:tcPr>
            <w:tcW w:w="1281" w:type="dxa"/>
            <w:tcBorders>
              <w:bottom w:val="single" w:sz="4" w:space="0" w:color="auto"/>
            </w:tcBorders>
          </w:tcPr>
          <w:p w14:paraId="0ED2E420" w14:textId="77777777" w:rsidR="000800A9" w:rsidRPr="001846F1" w:rsidRDefault="000800A9" w:rsidP="007169E1">
            <w:pPr>
              <w:pStyle w:val="TableBody"/>
            </w:pPr>
            <w:r w:rsidRPr="006A6281">
              <w:t>MW</w:t>
            </w:r>
          </w:p>
        </w:tc>
        <w:tc>
          <w:tcPr>
            <w:tcW w:w="7188" w:type="dxa"/>
            <w:tcBorders>
              <w:bottom w:val="single" w:sz="4" w:space="0" w:color="auto"/>
            </w:tcBorders>
          </w:tcPr>
          <w:p w14:paraId="4B8660F6" w14:textId="36F2E318" w:rsidR="000800A9" w:rsidRPr="00D661BC" w:rsidRDefault="000800A9" w:rsidP="007169E1">
            <w:pPr>
              <w:pStyle w:val="TableBody"/>
              <w:tabs>
                <w:tab w:val="left" w:pos="1080"/>
              </w:tabs>
            </w:pPr>
            <w:r w:rsidRPr="006A6281">
              <w:t xml:space="preserve">Capacity from </w:t>
            </w:r>
            <w:r w:rsidR="00192EFF">
              <w:t>CLRs</w:t>
            </w:r>
            <w:r w:rsidRPr="006A6281">
              <w:t xml:space="preserve"> active in SCED and not carrying Ancillary Service Resource Responsibility</w:t>
            </w:r>
          </w:p>
        </w:tc>
      </w:tr>
      <w:tr w:rsidR="00832D19" w:rsidRPr="001846F1" w14:paraId="5DBC027F" w14:textId="77777777" w:rsidTr="005755D9">
        <w:tc>
          <w:tcPr>
            <w:tcW w:w="1852" w:type="dxa"/>
            <w:tcBorders>
              <w:top w:val="single" w:sz="4" w:space="0" w:color="auto"/>
              <w:left w:val="single" w:sz="4" w:space="0" w:color="auto"/>
              <w:bottom w:val="single" w:sz="4" w:space="0" w:color="auto"/>
              <w:right w:val="single" w:sz="4" w:space="0" w:color="auto"/>
            </w:tcBorders>
          </w:tcPr>
          <w:p w14:paraId="7D00074E" w14:textId="4DC0FF5B" w:rsidR="00832D19" w:rsidRPr="006A6281" w:rsidRDefault="00832D19" w:rsidP="00832D19">
            <w:pPr>
              <w:pStyle w:val="TableBody"/>
            </w:pPr>
            <w:r w:rsidRPr="002F73A4">
              <w:t>PRC</w:t>
            </w:r>
            <w:r w:rsidRPr="002F73A4">
              <w:rPr>
                <w:vertAlign w:val="subscript"/>
              </w:rPr>
              <w:t>7</w:t>
            </w:r>
          </w:p>
        </w:tc>
        <w:tc>
          <w:tcPr>
            <w:tcW w:w="1281" w:type="dxa"/>
            <w:tcBorders>
              <w:top w:val="single" w:sz="4" w:space="0" w:color="auto"/>
              <w:left w:val="single" w:sz="4" w:space="0" w:color="auto"/>
              <w:bottom w:val="single" w:sz="4" w:space="0" w:color="auto"/>
              <w:right w:val="single" w:sz="4" w:space="0" w:color="auto"/>
            </w:tcBorders>
          </w:tcPr>
          <w:p w14:paraId="0525304E" w14:textId="00112D50" w:rsidR="00832D19" w:rsidRPr="006A6281" w:rsidRDefault="00832D19"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7EBAC246" w14:textId="2E041514" w:rsidR="00832D19" w:rsidRPr="006A6281" w:rsidRDefault="00832D19" w:rsidP="00832D19">
            <w:pPr>
              <w:pStyle w:val="TableBody"/>
              <w:tabs>
                <w:tab w:val="left" w:pos="1080"/>
              </w:tabs>
            </w:pPr>
            <w:r w:rsidRPr="002F73A4">
              <w:t>Capacity from Resources capable of providing FFR</w:t>
            </w:r>
          </w:p>
        </w:tc>
      </w:tr>
      <w:tr w:rsidR="00DE2B6B" w:rsidRPr="001846F1" w14:paraId="69ED6C9E" w14:textId="77777777" w:rsidTr="005755D9">
        <w:tc>
          <w:tcPr>
            <w:tcW w:w="1852" w:type="dxa"/>
            <w:tcBorders>
              <w:top w:val="single" w:sz="4" w:space="0" w:color="auto"/>
              <w:left w:val="single" w:sz="4" w:space="0" w:color="auto"/>
              <w:bottom w:val="single" w:sz="4" w:space="0" w:color="auto"/>
              <w:right w:val="single" w:sz="4" w:space="0" w:color="auto"/>
            </w:tcBorders>
          </w:tcPr>
          <w:p w14:paraId="1650149C" w14:textId="1EE21ED6" w:rsidR="00DE2B6B" w:rsidRPr="002F73A4" w:rsidRDefault="00DE2B6B" w:rsidP="00832D19">
            <w:pPr>
              <w:pStyle w:val="TableBody"/>
            </w:pPr>
            <w:r w:rsidRPr="002F73A4">
              <w:t>PRC</w:t>
            </w:r>
            <w:r>
              <w:rPr>
                <w:vertAlign w:val="subscript"/>
              </w:rPr>
              <w:t>8</w:t>
            </w:r>
          </w:p>
        </w:tc>
        <w:tc>
          <w:tcPr>
            <w:tcW w:w="1281" w:type="dxa"/>
            <w:tcBorders>
              <w:top w:val="single" w:sz="4" w:space="0" w:color="auto"/>
              <w:left w:val="single" w:sz="4" w:space="0" w:color="auto"/>
              <w:bottom w:val="single" w:sz="4" w:space="0" w:color="auto"/>
              <w:right w:val="single" w:sz="4" w:space="0" w:color="auto"/>
            </w:tcBorders>
          </w:tcPr>
          <w:p w14:paraId="19335DB2" w14:textId="467F7AFD" w:rsidR="00DE2B6B" w:rsidRPr="0003648D" w:rsidRDefault="00DE2B6B"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629E31E8" w14:textId="65B50137" w:rsidR="00DE2B6B" w:rsidRPr="002F73A4" w:rsidRDefault="00DE2B6B" w:rsidP="00832D19">
            <w:pPr>
              <w:pStyle w:val="TableBody"/>
              <w:tabs>
                <w:tab w:val="left" w:pos="1080"/>
              </w:tabs>
            </w:pPr>
            <w:r>
              <w:t>ESR c</w:t>
            </w:r>
            <w:r w:rsidRPr="00D220AB">
              <w:t>apacity capable of providing P</w:t>
            </w:r>
            <w:r>
              <w:t xml:space="preserve">rimary </w:t>
            </w:r>
            <w:r w:rsidRPr="00D220AB">
              <w:t>F</w:t>
            </w:r>
            <w:r>
              <w:t xml:space="preserve">requency </w:t>
            </w:r>
            <w:r w:rsidRPr="00D220AB">
              <w:t>R</w:t>
            </w:r>
            <w:r>
              <w:t>esponse</w:t>
            </w:r>
          </w:p>
        </w:tc>
      </w:tr>
      <w:tr w:rsidR="000800A9" w:rsidRPr="001846F1" w14:paraId="7A116FFA" w14:textId="77777777" w:rsidTr="009A53FA">
        <w:trPr>
          <w:trHeight w:val="108"/>
        </w:trPr>
        <w:tc>
          <w:tcPr>
            <w:tcW w:w="1852" w:type="dxa"/>
            <w:tcBorders>
              <w:top w:val="nil"/>
            </w:tcBorders>
          </w:tcPr>
          <w:p w14:paraId="0DFD50D9" w14:textId="77777777" w:rsidR="000800A9" w:rsidRPr="001846F1" w:rsidRDefault="000800A9" w:rsidP="007169E1">
            <w:pPr>
              <w:pStyle w:val="TableBody"/>
            </w:pPr>
            <w:r w:rsidRPr="00D661BC">
              <w:t>PRC</w:t>
            </w:r>
          </w:p>
        </w:tc>
        <w:tc>
          <w:tcPr>
            <w:tcW w:w="1281" w:type="dxa"/>
            <w:tcBorders>
              <w:top w:val="nil"/>
            </w:tcBorders>
          </w:tcPr>
          <w:p w14:paraId="4A1346F6" w14:textId="77777777" w:rsidR="000800A9" w:rsidRPr="001846F1" w:rsidRDefault="000800A9" w:rsidP="007169E1">
            <w:pPr>
              <w:pStyle w:val="TableBody"/>
            </w:pPr>
            <w:r w:rsidRPr="001846F1">
              <w:t>MW</w:t>
            </w:r>
          </w:p>
        </w:tc>
        <w:tc>
          <w:tcPr>
            <w:tcW w:w="7188" w:type="dxa"/>
            <w:tcBorders>
              <w:top w:val="nil"/>
            </w:tcBorders>
          </w:tcPr>
          <w:p w14:paraId="60961E33" w14:textId="77777777" w:rsidR="000800A9" w:rsidRPr="001846F1" w:rsidRDefault="000800A9" w:rsidP="007169E1">
            <w:pPr>
              <w:pStyle w:val="TableBody"/>
              <w:tabs>
                <w:tab w:val="left" w:pos="1080"/>
              </w:tabs>
            </w:pPr>
            <w:r w:rsidRPr="00D661BC">
              <w:t>Physical Responsive Capability</w:t>
            </w:r>
          </w:p>
        </w:tc>
      </w:tr>
      <w:tr w:rsidR="00DE2B6B" w:rsidRPr="001846F1" w14:paraId="69D4105E" w14:textId="77777777" w:rsidTr="009A53FA">
        <w:trPr>
          <w:trHeight w:val="108"/>
        </w:trPr>
        <w:tc>
          <w:tcPr>
            <w:tcW w:w="1852" w:type="dxa"/>
            <w:tcBorders>
              <w:top w:val="nil"/>
            </w:tcBorders>
          </w:tcPr>
          <w:p w14:paraId="7A350505" w14:textId="0784E468" w:rsidR="00DE2B6B" w:rsidRPr="00D661BC" w:rsidRDefault="00DE2B6B" w:rsidP="007169E1">
            <w:pPr>
              <w:pStyle w:val="TableBody"/>
            </w:pPr>
            <w:r>
              <w:t>X</w:t>
            </w:r>
          </w:p>
        </w:tc>
        <w:tc>
          <w:tcPr>
            <w:tcW w:w="1281" w:type="dxa"/>
            <w:tcBorders>
              <w:top w:val="nil"/>
            </w:tcBorders>
          </w:tcPr>
          <w:p w14:paraId="5F0E839B" w14:textId="3C583989" w:rsidR="00DE2B6B" w:rsidRPr="001846F1" w:rsidRDefault="00DE2B6B" w:rsidP="007169E1">
            <w:pPr>
              <w:pStyle w:val="TableBody"/>
            </w:pPr>
            <w:r>
              <w:t>Percentage</w:t>
            </w:r>
          </w:p>
        </w:tc>
        <w:tc>
          <w:tcPr>
            <w:tcW w:w="7188" w:type="dxa"/>
            <w:tcBorders>
              <w:top w:val="nil"/>
            </w:tcBorders>
          </w:tcPr>
          <w:p w14:paraId="4ADBB5A3" w14:textId="7BCC0753" w:rsidR="00DE2B6B" w:rsidRPr="00D661BC" w:rsidRDefault="00DE2B6B" w:rsidP="007169E1">
            <w:pPr>
              <w:pStyle w:val="TableBody"/>
              <w:tabs>
                <w:tab w:val="left" w:pos="1080"/>
              </w:tabs>
            </w:pPr>
            <w:r w:rsidRPr="00D220AB">
              <w:t>Percent threshold based on the Governor droop setting of ESR</w:t>
            </w:r>
            <w:r>
              <w:t>s</w:t>
            </w:r>
          </w:p>
        </w:tc>
      </w:tr>
      <w:tr w:rsidR="000800A9" w:rsidRPr="001846F1" w14:paraId="4451E187" w14:textId="77777777" w:rsidTr="00832D19">
        <w:tc>
          <w:tcPr>
            <w:tcW w:w="1852" w:type="dxa"/>
          </w:tcPr>
          <w:p w14:paraId="0A01C7C7" w14:textId="77777777" w:rsidR="000800A9" w:rsidRPr="001846F1" w:rsidRDefault="000800A9" w:rsidP="007169E1">
            <w:pPr>
              <w:pStyle w:val="TableBody"/>
            </w:pPr>
            <w:r w:rsidRPr="00D661BC">
              <w:t>RDF</w:t>
            </w:r>
          </w:p>
        </w:tc>
        <w:tc>
          <w:tcPr>
            <w:tcW w:w="1281" w:type="dxa"/>
          </w:tcPr>
          <w:p w14:paraId="0159DDCF" w14:textId="77777777" w:rsidR="000800A9" w:rsidRPr="001846F1" w:rsidRDefault="000800A9" w:rsidP="007169E1">
            <w:pPr>
              <w:pStyle w:val="TableBody"/>
            </w:pPr>
          </w:p>
        </w:tc>
        <w:tc>
          <w:tcPr>
            <w:tcW w:w="7188" w:type="dxa"/>
          </w:tcPr>
          <w:p w14:paraId="6F9F10BC" w14:textId="77777777" w:rsidR="000800A9" w:rsidRPr="001846F1" w:rsidRDefault="000800A9" w:rsidP="007169E1">
            <w:pPr>
              <w:pStyle w:val="TableBody"/>
            </w:pPr>
            <w:r w:rsidRPr="00D661BC">
              <w:t>The currently approved</w:t>
            </w:r>
            <w:r w:rsidRPr="001846F1">
              <w:rPr>
                <w:rFonts w:ascii="Times New Roman Bold" w:hAnsi="Times New Roman Bold"/>
              </w:rPr>
              <w:t xml:space="preserve"> </w:t>
            </w:r>
            <w:r w:rsidRPr="00D661BC">
              <w:t>Reserve Discount Factor</w:t>
            </w:r>
            <w:r>
              <w:tab/>
            </w:r>
          </w:p>
        </w:tc>
      </w:tr>
      <w:tr w:rsidR="000800A9" w:rsidRPr="001846F1" w14:paraId="60E0A5C9" w14:textId="77777777" w:rsidTr="00832D19">
        <w:tc>
          <w:tcPr>
            <w:tcW w:w="1852" w:type="dxa"/>
          </w:tcPr>
          <w:p w14:paraId="1445C659" w14:textId="77777777" w:rsidR="000800A9" w:rsidRPr="006D4BBD" w:rsidRDefault="000800A9" w:rsidP="007169E1">
            <w:pPr>
              <w:pStyle w:val="TableBody"/>
            </w:pPr>
            <w:r>
              <w:t>RDF</w:t>
            </w:r>
            <w:r>
              <w:rPr>
                <w:vertAlign w:val="subscript"/>
              </w:rPr>
              <w:t>W</w:t>
            </w:r>
          </w:p>
        </w:tc>
        <w:tc>
          <w:tcPr>
            <w:tcW w:w="1281" w:type="dxa"/>
          </w:tcPr>
          <w:p w14:paraId="53D6F0B0" w14:textId="77777777" w:rsidR="000800A9" w:rsidRPr="001846F1" w:rsidRDefault="000800A9" w:rsidP="007169E1">
            <w:pPr>
              <w:pStyle w:val="TableBody"/>
            </w:pPr>
          </w:p>
        </w:tc>
        <w:tc>
          <w:tcPr>
            <w:tcW w:w="7188" w:type="dxa"/>
          </w:tcPr>
          <w:p w14:paraId="77DC7E27" w14:textId="77777777" w:rsidR="000800A9" w:rsidRPr="006A6281" w:rsidRDefault="000800A9" w:rsidP="007169E1">
            <w:pPr>
              <w:pStyle w:val="TableBody"/>
            </w:pPr>
            <w:r>
              <w:t>The currently approved Reserve Discount Factor for WGRs</w:t>
            </w:r>
          </w:p>
        </w:tc>
      </w:tr>
      <w:tr w:rsidR="000800A9" w:rsidRPr="001846F1" w14:paraId="1199BD32" w14:textId="77777777" w:rsidTr="00832D19">
        <w:tc>
          <w:tcPr>
            <w:tcW w:w="1852" w:type="dxa"/>
          </w:tcPr>
          <w:p w14:paraId="25450788" w14:textId="77777777" w:rsidR="000800A9" w:rsidRPr="00D661BC" w:rsidRDefault="000800A9" w:rsidP="007169E1">
            <w:pPr>
              <w:pStyle w:val="TableBody"/>
            </w:pPr>
            <w:r w:rsidRPr="006A6281">
              <w:t>LRDF_1</w:t>
            </w:r>
          </w:p>
        </w:tc>
        <w:tc>
          <w:tcPr>
            <w:tcW w:w="1281" w:type="dxa"/>
          </w:tcPr>
          <w:p w14:paraId="643EBB61" w14:textId="77777777" w:rsidR="000800A9" w:rsidRPr="001846F1" w:rsidRDefault="000800A9" w:rsidP="007169E1">
            <w:pPr>
              <w:pStyle w:val="TableBody"/>
            </w:pPr>
          </w:p>
        </w:tc>
        <w:tc>
          <w:tcPr>
            <w:tcW w:w="7188" w:type="dxa"/>
          </w:tcPr>
          <w:p w14:paraId="55A7634F" w14:textId="537F4DE1"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 xml:space="preserve">Reserve Discount Factor for </w:t>
            </w:r>
            <w:r w:rsidR="00192EFF">
              <w:t>CLRs</w:t>
            </w:r>
            <w:r w:rsidRPr="006A6281">
              <w:t xml:space="preserve"> carrying Ancillary Service Resource Responsibility</w:t>
            </w:r>
          </w:p>
        </w:tc>
      </w:tr>
      <w:tr w:rsidR="000800A9" w:rsidRPr="001846F1" w14:paraId="7301BE00" w14:textId="77777777" w:rsidTr="00832D19">
        <w:tc>
          <w:tcPr>
            <w:tcW w:w="1852" w:type="dxa"/>
          </w:tcPr>
          <w:p w14:paraId="51FBE56E" w14:textId="77777777" w:rsidR="000800A9" w:rsidRPr="00D661BC" w:rsidRDefault="000800A9" w:rsidP="007169E1">
            <w:pPr>
              <w:pStyle w:val="TableBody"/>
            </w:pPr>
            <w:r w:rsidRPr="006A6281">
              <w:lastRenderedPageBreak/>
              <w:t>LRDF_2</w:t>
            </w:r>
          </w:p>
        </w:tc>
        <w:tc>
          <w:tcPr>
            <w:tcW w:w="1281" w:type="dxa"/>
          </w:tcPr>
          <w:p w14:paraId="479D84A0" w14:textId="77777777" w:rsidR="000800A9" w:rsidRPr="001846F1" w:rsidRDefault="000800A9" w:rsidP="007169E1">
            <w:pPr>
              <w:pStyle w:val="TableBody"/>
            </w:pPr>
          </w:p>
        </w:tc>
        <w:tc>
          <w:tcPr>
            <w:tcW w:w="7188" w:type="dxa"/>
          </w:tcPr>
          <w:p w14:paraId="00F5DBE6" w14:textId="6742AF29"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 xml:space="preserve">Reserve Discount Factor for </w:t>
            </w:r>
            <w:r w:rsidR="00192EFF">
              <w:t>CLRs</w:t>
            </w:r>
            <w:r w:rsidRPr="006A6281">
              <w:t xml:space="preserve"> not carrying Ancillary Service Resource Responsibility</w:t>
            </w:r>
          </w:p>
        </w:tc>
      </w:tr>
      <w:tr w:rsidR="000800A9" w:rsidRPr="001846F1" w14:paraId="5F851AD6" w14:textId="77777777" w:rsidTr="00832D19">
        <w:tc>
          <w:tcPr>
            <w:tcW w:w="1852" w:type="dxa"/>
          </w:tcPr>
          <w:p w14:paraId="24E2EFBA" w14:textId="77777777" w:rsidR="000800A9" w:rsidRPr="006A6281" w:rsidRDefault="000800A9" w:rsidP="007169E1">
            <w:pPr>
              <w:pStyle w:val="TableBody"/>
            </w:pPr>
            <w:r>
              <w:t>NFRC</w:t>
            </w:r>
          </w:p>
        </w:tc>
        <w:tc>
          <w:tcPr>
            <w:tcW w:w="1281" w:type="dxa"/>
          </w:tcPr>
          <w:p w14:paraId="31137CFA" w14:textId="77777777" w:rsidR="000800A9" w:rsidRPr="001846F1" w:rsidRDefault="000800A9" w:rsidP="007169E1">
            <w:pPr>
              <w:pStyle w:val="TableBody"/>
            </w:pPr>
            <w:r>
              <w:t>MW</w:t>
            </w:r>
          </w:p>
        </w:tc>
        <w:tc>
          <w:tcPr>
            <w:tcW w:w="7188" w:type="dxa"/>
          </w:tcPr>
          <w:p w14:paraId="53AE4475" w14:textId="77777777" w:rsidR="000800A9" w:rsidRPr="006A6281" w:rsidRDefault="000800A9" w:rsidP="007169E1">
            <w:pPr>
              <w:pStyle w:val="TableBody"/>
            </w:pPr>
            <w:r w:rsidRPr="009A2EE3">
              <w:t>Non-Frequency Responsive Capacity</w:t>
            </w:r>
          </w:p>
        </w:tc>
      </w:tr>
    </w:tbl>
    <w:p w14:paraId="106377E2" w14:textId="77777777" w:rsidR="001F04FD" w:rsidRDefault="001F04FD" w:rsidP="001F04FD">
      <w:pPr>
        <w:pStyle w:val="BodyTextNumbered"/>
        <w:spacing w:before="240"/>
      </w:pPr>
      <w:r>
        <w:t>(2)</w:t>
      </w:r>
      <w: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52FAE168" w14:textId="61628083" w:rsidR="001F04FD" w:rsidRDefault="001F04FD" w:rsidP="001F04FD">
      <w:pPr>
        <w:pStyle w:val="BodyTextNumbered"/>
      </w:pPr>
      <w:r w:rsidRPr="006A6281">
        <w:t>(3)</w:t>
      </w:r>
      <w:r w:rsidRPr="006A6281">
        <w:tab/>
        <w:t>The Load Resource</w:t>
      </w:r>
      <w:r w:rsidRPr="006A6281">
        <w:rPr>
          <w:rFonts w:ascii="Times New Roman Bold" w:hAnsi="Times New Roman Bold"/>
        </w:rPr>
        <w:t xml:space="preserve"> </w:t>
      </w:r>
      <w:r w:rsidRPr="006A6281">
        <w:t>Reserve Discount Factors</w:t>
      </w:r>
      <w:r>
        <w:t xml:space="preserve"> (RDFs)</w:t>
      </w:r>
      <w:r w:rsidRPr="006A6281">
        <w:t xml:space="preserve"> for </w:t>
      </w:r>
      <w:r w:rsidR="00192EFF">
        <w:t>CLRs</w:t>
      </w:r>
      <w:r w:rsidRPr="006A6281">
        <w:t xml:space="preserve"> (LRDF_1 and LRDF_2) shall be subject to review and approval by TAC.</w:t>
      </w:r>
    </w:p>
    <w:p w14:paraId="7DA6377B" w14:textId="0B1A1F63" w:rsidR="001F04FD" w:rsidRDefault="001F04FD" w:rsidP="00FB599C">
      <w:pPr>
        <w:pStyle w:val="BodyTextNumbered"/>
      </w:pPr>
      <w:r>
        <w:t>(4)</w:t>
      </w:r>
      <w:r>
        <w:tab/>
        <w:t xml:space="preserve">The RDFs used in the PRC calculation </w:t>
      </w:r>
      <w:r w:rsidRPr="00F50732">
        <w:t xml:space="preserve">shall be posted to the </w:t>
      </w:r>
      <w:r w:rsidR="0007207E">
        <w:t>ERCOT website</w:t>
      </w:r>
      <w:r>
        <w:t xml:space="preserve"> no later than three Business Days after approval.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779F5" w14:paraId="318F8F6E" w14:textId="77777777" w:rsidTr="007C4B00">
        <w:trPr>
          <w:trHeight w:val="206"/>
        </w:trPr>
        <w:tc>
          <w:tcPr>
            <w:tcW w:w="9350" w:type="dxa"/>
            <w:shd w:val="pct12" w:color="auto" w:fill="auto"/>
          </w:tcPr>
          <w:p w14:paraId="6E63A26C" w14:textId="34024CCC" w:rsidR="003779F5" w:rsidRDefault="003779F5" w:rsidP="007C4B00">
            <w:pPr>
              <w:pStyle w:val="Instructions"/>
              <w:spacing w:before="120"/>
            </w:pPr>
            <w:bookmarkStart w:id="1214" w:name="_Toc397504974"/>
            <w:bookmarkStart w:id="1215" w:name="_Toc402357102"/>
            <w:bookmarkStart w:id="1216" w:name="_Toc422486482"/>
            <w:bookmarkStart w:id="1217" w:name="_Toc433093334"/>
            <w:bookmarkStart w:id="1218" w:name="_Toc433093492"/>
            <w:bookmarkStart w:id="1219" w:name="_Toc440874721"/>
            <w:bookmarkStart w:id="1220" w:name="_Toc448142276"/>
            <w:bookmarkStart w:id="1221" w:name="_Toc448142433"/>
            <w:bookmarkStart w:id="1222" w:name="_Toc458770269"/>
            <w:bookmarkStart w:id="1223" w:name="_Toc459294237"/>
            <w:bookmarkStart w:id="1224" w:name="_Toc463262730"/>
            <w:bookmarkStart w:id="1225" w:name="_Toc468286804"/>
            <w:bookmarkStart w:id="1226" w:name="_Toc481502850"/>
            <w:bookmarkStart w:id="1227" w:name="_Toc496080018"/>
            <w:bookmarkEnd w:id="1213"/>
            <w:r>
              <w:t>[</w:t>
            </w:r>
            <w:r w:rsidR="00075DEB">
              <w:t>N</w:t>
            </w:r>
            <w:r>
              <w:t>PRR1010</w:t>
            </w:r>
            <w:r w:rsidR="00402051">
              <w:t>,</w:t>
            </w:r>
            <w:r w:rsidR="00075DEB">
              <w:t xml:space="preserve"> NPRR1014</w:t>
            </w:r>
            <w:r w:rsidR="00402051">
              <w:t>,</w:t>
            </w:r>
            <w:r w:rsidR="00DC32AE">
              <w:t xml:space="preserve"> </w:t>
            </w:r>
            <w:r w:rsidR="00402051">
              <w:t>NPRR1029</w:t>
            </w:r>
            <w:r w:rsidR="00F726A9">
              <w:t xml:space="preserve">, </w:t>
            </w:r>
            <w:r w:rsidR="00192EFF">
              <w:t>NPRR1188,</w:t>
            </w:r>
            <w:r w:rsidR="00F726A9">
              <w:t xml:space="preserve"> NPRR1204</w:t>
            </w:r>
            <w:r w:rsidR="004D2827">
              <w:t>, and NPRR1244</w:t>
            </w:r>
            <w:r>
              <w:t xml:space="preserve">:  Replace applicable portions of Section 6.5.7.5 above with the following upon system implementation for </w:t>
            </w:r>
            <w:r w:rsidR="00075DEB">
              <w:t>NPRR1014</w:t>
            </w:r>
            <w:r w:rsidR="00192EFF">
              <w:t>,</w:t>
            </w:r>
            <w:r w:rsidR="00DC32AE">
              <w:t xml:space="preserve"> </w:t>
            </w:r>
            <w:r w:rsidR="00402051">
              <w:t>NPRR1029</w:t>
            </w:r>
            <w:r w:rsidR="00192EFF">
              <w:t>, NPRR1188</w:t>
            </w:r>
            <w:r w:rsidR="004D2827">
              <w:t>, or NPRR1224</w:t>
            </w:r>
            <w:r>
              <w:t>; or upon system implementation of the Real-Time Co-Optimization (RTC) project for NPRR1010</w:t>
            </w:r>
            <w:r w:rsidR="00F726A9">
              <w:t xml:space="preserve"> and NPRR1204</w:t>
            </w:r>
            <w:r>
              <w:t>:]</w:t>
            </w:r>
          </w:p>
          <w:p w14:paraId="13427795" w14:textId="1ECCE2FD" w:rsidR="00194E91" w:rsidRPr="003161DC" w:rsidRDefault="00194E91" w:rsidP="00402051">
            <w:pPr>
              <w:keepNext/>
              <w:widowControl w:val="0"/>
              <w:tabs>
                <w:tab w:val="left" w:pos="1260"/>
              </w:tabs>
              <w:spacing w:before="240" w:after="240"/>
              <w:outlineLvl w:val="3"/>
              <w:rPr>
                <w:b/>
                <w:bCs/>
                <w:snapToGrid w:val="0"/>
              </w:rPr>
            </w:pPr>
            <w:bookmarkStart w:id="1228" w:name="_Toc60040625"/>
            <w:bookmarkStart w:id="1229" w:name="_Toc65151685"/>
            <w:bookmarkStart w:id="1230" w:name="_Toc80174711"/>
            <w:bookmarkStart w:id="1231" w:name="_Toc108712470"/>
            <w:bookmarkStart w:id="1232" w:name="_Toc112417590"/>
            <w:bookmarkStart w:id="1233" w:name="_Toc119310259"/>
            <w:bookmarkStart w:id="1234" w:name="_Toc125966193"/>
            <w:bookmarkStart w:id="1235" w:name="_Toc135992291"/>
            <w:bookmarkStart w:id="1236" w:name="_Toc170303487"/>
            <w:bookmarkStart w:id="1237" w:name="_Toc175157391"/>
            <w:bookmarkStart w:id="1238" w:name="_Toc189044364"/>
            <w:r w:rsidRPr="003161DC">
              <w:rPr>
                <w:b/>
                <w:bCs/>
                <w:snapToGrid w:val="0"/>
              </w:rPr>
              <w:t>6.5.7.5</w:t>
            </w:r>
            <w:r w:rsidRPr="003161DC">
              <w:rPr>
                <w:b/>
                <w:bCs/>
                <w:snapToGrid w:val="0"/>
              </w:rPr>
              <w:tab/>
              <w:t>Ancillary Services Capacity Monitor</w:t>
            </w:r>
            <w:bookmarkEnd w:id="1228"/>
            <w:bookmarkEnd w:id="1229"/>
            <w:bookmarkEnd w:id="1230"/>
            <w:bookmarkEnd w:id="1231"/>
            <w:bookmarkEnd w:id="1232"/>
            <w:bookmarkEnd w:id="1233"/>
            <w:bookmarkEnd w:id="1234"/>
            <w:bookmarkEnd w:id="1235"/>
            <w:bookmarkEnd w:id="1236"/>
            <w:bookmarkEnd w:id="1237"/>
            <w:bookmarkEnd w:id="1238"/>
          </w:p>
          <w:p w14:paraId="77F243F3" w14:textId="35B47237" w:rsidR="00194E91" w:rsidRPr="003161DC" w:rsidRDefault="00194E91" w:rsidP="00194E91">
            <w:pPr>
              <w:spacing w:after="240"/>
              <w:ind w:left="720" w:hanging="720"/>
            </w:pPr>
            <w:r w:rsidRPr="003161DC">
              <w:t>(1)</w:t>
            </w:r>
            <w:r w:rsidRPr="003161DC">
              <w:tab/>
            </w:r>
            <w:r>
              <w:t xml:space="preserve">Every ten seconds, </w:t>
            </w:r>
            <w:r w:rsidRPr="003161DC">
              <w:t>ERCOT shall calculate the following and provide Real-Time summaries to ERCOT Operators and all Market Participants using ICCP</w:t>
            </w:r>
            <w:r>
              <w:t xml:space="preserve"> and postings on the ERCOT website </w:t>
            </w:r>
            <w:r w:rsidRPr="003161DC">
              <w:t>sho</w:t>
            </w:r>
            <w:r w:rsidR="00201765" w:rsidRPr="003161DC">
              <w:t>w</w:t>
            </w:r>
            <w:r w:rsidR="00201765">
              <w:t>ing</w:t>
            </w:r>
            <w:r w:rsidR="00201765" w:rsidRPr="003161DC">
              <w:t xml:space="preserve"> </w:t>
            </w:r>
            <w:r w:rsidRPr="003161DC">
              <w:t>the Real-Time total system amount of:</w:t>
            </w:r>
          </w:p>
          <w:p w14:paraId="2425C3A8" w14:textId="77777777" w:rsidR="00194E91" w:rsidRPr="003161DC" w:rsidRDefault="00194E91" w:rsidP="00194E91">
            <w:pPr>
              <w:spacing w:after="240"/>
              <w:ind w:left="1440" w:hanging="720"/>
            </w:pPr>
            <w:r w:rsidRPr="003161DC">
              <w:t>(a)</w:t>
            </w:r>
            <w:r w:rsidRPr="003161DC">
              <w:tab/>
              <w:t xml:space="preserve">RRS </w:t>
            </w:r>
            <w:r>
              <w:t>capability</w:t>
            </w:r>
            <w:r w:rsidRPr="003161DC">
              <w:t xml:space="preserve"> from: </w:t>
            </w:r>
          </w:p>
          <w:p w14:paraId="57CFB99B" w14:textId="04AA6D69" w:rsidR="00194E91" w:rsidRPr="003161DC" w:rsidRDefault="00194E91" w:rsidP="00194E91">
            <w:pPr>
              <w:spacing w:after="240"/>
              <w:ind w:left="2160" w:hanging="720"/>
            </w:pPr>
            <w:r w:rsidRPr="003161DC">
              <w:t>(i)</w:t>
            </w:r>
            <w:r w:rsidRPr="003161DC">
              <w:tab/>
              <w:t>Generation Resources</w:t>
            </w:r>
            <w:r w:rsidR="00344B1B" w:rsidRPr="00A552C3">
              <w:t xml:space="preserve"> and ESRs</w:t>
            </w:r>
            <w:r>
              <w:t xml:space="preserve"> in the form of PFR</w:t>
            </w:r>
            <w:r w:rsidR="00F726A9">
              <w:t xml:space="preserve"> that can be sustained for the SCED duration requirements of PFR</w:t>
            </w:r>
            <w:r w:rsidRPr="003161DC">
              <w:t>;</w:t>
            </w:r>
          </w:p>
          <w:p w14:paraId="57104447" w14:textId="60C13EC2" w:rsidR="00194E91" w:rsidRPr="003161DC" w:rsidRDefault="00194E91" w:rsidP="00194E91">
            <w:pPr>
              <w:spacing w:after="240"/>
              <w:ind w:left="2160" w:hanging="720"/>
            </w:pPr>
            <w:r w:rsidRPr="003161DC">
              <w:t>(ii)</w:t>
            </w:r>
            <w:r w:rsidRPr="003161DC">
              <w:tab/>
              <w:t>Load Resources</w:t>
            </w:r>
            <w:r>
              <w:t>,</w:t>
            </w:r>
            <w:r w:rsidRPr="003161DC">
              <w:t xml:space="preserve"> excluding </w:t>
            </w:r>
            <w:r w:rsidR="0069524B">
              <w:t>CLRs</w:t>
            </w:r>
            <w:r>
              <w:t>, capable of responding via under-frequency relay;</w:t>
            </w:r>
          </w:p>
          <w:p w14:paraId="261830E2" w14:textId="5EF0F286" w:rsidR="00194E91" w:rsidRDefault="00194E91" w:rsidP="00194E91">
            <w:pPr>
              <w:spacing w:after="240"/>
              <w:ind w:left="2160" w:hanging="720"/>
            </w:pPr>
            <w:r w:rsidRPr="003161DC">
              <w:t>(iii)</w:t>
            </w:r>
            <w:r w:rsidRPr="003161DC">
              <w:tab/>
            </w:r>
            <w:r w:rsidR="0069524B">
              <w:t>CLRs</w:t>
            </w:r>
            <w:r>
              <w:t xml:space="preserve"> in the form of PFR</w:t>
            </w:r>
            <w:r w:rsidRPr="003161DC">
              <w:t>;</w:t>
            </w:r>
          </w:p>
          <w:p w14:paraId="7A1A2330" w14:textId="40B18DA8" w:rsidR="00F726A9" w:rsidRDefault="00194E91" w:rsidP="00F726A9">
            <w:pPr>
              <w:spacing w:after="240"/>
              <w:ind w:left="2160" w:hanging="720"/>
            </w:pPr>
            <w:r w:rsidRPr="003161DC">
              <w:t>(iv)</w:t>
            </w:r>
            <w:r w:rsidRPr="003161DC">
              <w:tab/>
              <w:t>Resources</w:t>
            </w:r>
            <w:r w:rsidR="00F726A9">
              <w:t>, other than ESRs,</w:t>
            </w:r>
            <w:r w:rsidRPr="003161DC">
              <w:t xml:space="preserve"> capable of Fast Frequency Response (FFR);</w:t>
            </w:r>
            <w:r w:rsidR="00F726A9">
              <w:t xml:space="preserve"> and</w:t>
            </w:r>
          </w:p>
          <w:p w14:paraId="24F870BE" w14:textId="77777777" w:rsidR="0069524B" w:rsidRDefault="00F726A9" w:rsidP="0069524B">
            <w:pPr>
              <w:spacing w:after="240"/>
              <w:ind w:left="2160" w:hanging="720"/>
            </w:pPr>
            <w:r>
              <w:lastRenderedPageBreak/>
              <w:t>(v)</w:t>
            </w:r>
            <w:r>
              <w:tab/>
              <w:t>ESRs, in the form of FFR, that can be sustained for the SCED duration requirements of FFR;</w:t>
            </w:r>
          </w:p>
          <w:p w14:paraId="7E95FC29" w14:textId="5EB6C6E0" w:rsidR="00194E91" w:rsidRPr="003161DC" w:rsidRDefault="00194E91" w:rsidP="00194E91">
            <w:pPr>
              <w:spacing w:before="240" w:after="240"/>
              <w:ind w:left="1440" w:hanging="720"/>
            </w:pPr>
            <w:r w:rsidRPr="003161DC">
              <w:t>(b)</w:t>
            </w:r>
            <w:r w:rsidRPr="003161DC">
              <w:tab/>
              <w:t xml:space="preserve">Ancillary Service Resource </w:t>
            </w:r>
            <w:r>
              <w:t>awards</w:t>
            </w:r>
            <w:r w:rsidRPr="003161DC">
              <w:t xml:space="preserve"> for RRS </w:t>
            </w:r>
            <w:r>
              <w:t>to</w:t>
            </w:r>
            <w:r w:rsidRPr="003161DC">
              <w:t xml:space="preserve">: </w:t>
            </w:r>
          </w:p>
          <w:p w14:paraId="5AF7A1BC" w14:textId="45A844A3" w:rsidR="00194E91" w:rsidRPr="003161DC" w:rsidRDefault="00194E91" w:rsidP="00194E91">
            <w:pPr>
              <w:spacing w:after="240"/>
              <w:ind w:left="2160" w:hanging="720"/>
            </w:pPr>
            <w:r w:rsidRPr="003161DC">
              <w:t>(i)</w:t>
            </w:r>
            <w:r w:rsidRPr="003161DC">
              <w:tab/>
              <w:t>Generation Resources</w:t>
            </w:r>
            <w:r w:rsidR="00344B1B">
              <w:t xml:space="preserve"> and ESRs</w:t>
            </w:r>
            <w:r>
              <w:t xml:space="preserve"> in the form of PFR</w:t>
            </w:r>
            <w:r w:rsidRPr="003161DC">
              <w:t>;</w:t>
            </w:r>
          </w:p>
          <w:p w14:paraId="6904986A" w14:textId="5362C0C2" w:rsidR="00194E91" w:rsidRPr="003161DC" w:rsidRDefault="00194E91" w:rsidP="00194E91">
            <w:pPr>
              <w:spacing w:after="240"/>
              <w:ind w:left="2160" w:hanging="720"/>
            </w:pPr>
            <w:r w:rsidRPr="003161DC">
              <w:t>(ii)</w:t>
            </w:r>
            <w:r w:rsidRPr="003161DC">
              <w:tab/>
              <w:t>Load Resources</w:t>
            </w:r>
            <w:r>
              <w:t>,</w:t>
            </w:r>
            <w:r w:rsidRPr="003161DC">
              <w:t xml:space="preserve"> excluding </w:t>
            </w:r>
            <w:r w:rsidR="0069524B">
              <w:t>CLRs</w:t>
            </w:r>
            <w:r>
              <w:t>, capable of responding by under-frequency relay;</w:t>
            </w:r>
          </w:p>
          <w:p w14:paraId="705802A8" w14:textId="1B22487B" w:rsidR="00194E91" w:rsidRDefault="00194E91" w:rsidP="00194E91">
            <w:pPr>
              <w:spacing w:after="240"/>
              <w:ind w:left="2160" w:hanging="720"/>
            </w:pPr>
            <w:r w:rsidRPr="003161DC">
              <w:t>(iii)</w:t>
            </w:r>
            <w:r w:rsidRPr="003161DC">
              <w:tab/>
            </w:r>
            <w:r w:rsidR="0069524B">
              <w:t>CLRs</w:t>
            </w:r>
            <w:r>
              <w:t xml:space="preserve"> in the form of PFR</w:t>
            </w:r>
            <w:r w:rsidRPr="003161DC">
              <w:t>;</w:t>
            </w:r>
            <w:r>
              <w:t xml:space="preserve"> and</w:t>
            </w:r>
          </w:p>
          <w:p w14:paraId="7B6AD34D" w14:textId="77777777" w:rsidR="00194E91" w:rsidRPr="003161DC" w:rsidRDefault="00194E91" w:rsidP="00194E91">
            <w:pPr>
              <w:spacing w:after="240"/>
              <w:ind w:left="2160" w:hanging="720"/>
            </w:pPr>
            <w:r w:rsidRPr="003161DC">
              <w:t>(iv)</w:t>
            </w:r>
            <w:r w:rsidRPr="003161DC">
              <w:tab/>
              <w:t xml:space="preserve">Resources </w:t>
            </w:r>
            <w:r>
              <w:t>providing</w:t>
            </w:r>
            <w:r w:rsidRPr="003161DC">
              <w:t xml:space="preserve"> FFR;</w:t>
            </w:r>
          </w:p>
          <w:p w14:paraId="1F130D77" w14:textId="77777777" w:rsidR="00147C3B" w:rsidRPr="003161DC" w:rsidRDefault="00147C3B" w:rsidP="00147C3B">
            <w:pPr>
              <w:spacing w:after="240"/>
              <w:ind w:left="1440" w:hanging="720"/>
            </w:pPr>
            <w:r w:rsidRPr="003161DC">
              <w:t>(c)</w:t>
            </w:r>
            <w:r w:rsidRPr="003161DC">
              <w:tab/>
              <w:t xml:space="preserve">ECRS </w:t>
            </w:r>
            <w:r>
              <w:t>capability</w:t>
            </w:r>
            <w:r w:rsidRPr="003161DC">
              <w:t xml:space="preserve"> from: </w:t>
            </w:r>
          </w:p>
          <w:p w14:paraId="38F85484" w14:textId="77777777" w:rsidR="00147C3B" w:rsidRPr="003161DC" w:rsidRDefault="00147C3B" w:rsidP="00147C3B">
            <w:pPr>
              <w:spacing w:after="240"/>
              <w:ind w:left="2160" w:hanging="720"/>
            </w:pPr>
            <w:r w:rsidRPr="003161DC">
              <w:t>(i)</w:t>
            </w:r>
            <w:r w:rsidRPr="003161DC">
              <w:tab/>
              <w:t>Generation Resources;</w:t>
            </w:r>
          </w:p>
          <w:p w14:paraId="29CF0DF7" w14:textId="0558DBB5" w:rsidR="00147C3B" w:rsidRPr="003161DC" w:rsidRDefault="00147C3B" w:rsidP="00147C3B">
            <w:pPr>
              <w:spacing w:after="240"/>
              <w:ind w:left="2160" w:hanging="720"/>
            </w:pPr>
            <w:r w:rsidRPr="003161DC">
              <w:t>(ii)</w:t>
            </w:r>
            <w:r w:rsidRPr="003161DC">
              <w:tab/>
              <w:t xml:space="preserve">Load Resources excluding </w:t>
            </w:r>
            <w:r w:rsidR="0069524B">
              <w:t>CLRs</w:t>
            </w:r>
            <w:r w:rsidRPr="003161DC">
              <w:t xml:space="preserve">; </w:t>
            </w:r>
          </w:p>
          <w:p w14:paraId="0757978C" w14:textId="06CAC212" w:rsidR="00147C3B" w:rsidRPr="003161DC" w:rsidRDefault="00147C3B" w:rsidP="00147C3B">
            <w:pPr>
              <w:spacing w:after="240"/>
              <w:ind w:left="2160" w:hanging="720"/>
            </w:pPr>
            <w:r w:rsidRPr="003161DC">
              <w:t>(iii)</w:t>
            </w:r>
            <w:r w:rsidRPr="003161DC">
              <w:tab/>
            </w:r>
            <w:r w:rsidR="0069524B">
              <w:t>CLRs</w:t>
            </w:r>
            <w:r w:rsidR="00344B1B">
              <w:t>;</w:t>
            </w:r>
          </w:p>
          <w:p w14:paraId="465D8F08" w14:textId="77777777" w:rsidR="00147C3B" w:rsidRDefault="00147C3B" w:rsidP="00147C3B">
            <w:pPr>
              <w:spacing w:after="240"/>
              <w:ind w:left="2160" w:hanging="720"/>
            </w:pPr>
            <w:r w:rsidRPr="003161DC">
              <w:t>(iv)</w:t>
            </w:r>
            <w:r w:rsidRPr="003161DC">
              <w:tab/>
              <w:t>Quick Start Generation Resources (QSGRs);</w:t>
            </w:r>
            <w:r w:rsidR="00344B1B">
              <w:t xml:space="preserve"> and</w:t>
            </w:r>
          </w:p>
          <w:p w14:paraId="635DEE64" w14:textId="5272F241" w:rsidR="00344B1B" w:rsidRPr="003161DC" w:rsidRDefault="00344B1B" w:rsidP="00147C3B">
            <w:pPr>
              <w:spacing w:after="240"/>
              <w:ind w:left="2160" w:hanging="720"/>
            </w:pPr>
            <w:r>
              <w:t>(v)</w:t>
            </w:r>
            <w:r w:rsidRPr="003161DC">
              <w:t xml:space="preserve"> </w:t>
            </w:r>
            <w:r w:rsidRPr="003161DC">
              <w:tab/>
            </w:r>
            <w:r>
              <w:t>ESRs</w:t>
            </w:r>
            <w:r w:rsidR="00F726A9">
              <w:t xml:space="preserve"> that can be sustained for the SCED duration requirements of ECRS</w:t>
            </w:r>
            <w:r>
              <w:t>.</w:t>
            </w:r>
          </w:p>
          <w:p w14:paraId="0E44F017" w14:textId="77777777" w:rsidR="00147C3B" w:rsidRPr="003161DC" w:rsidRDefault="00147C3B" w:rsidP="00147C3B">
            <w:pPr>
              <w:spacing w:after="240"/>
              <w:ind w:left="1440" w:hanging="720"/>
            </w:pPr>
            <w:r w:rsidRPr="003161DC">
              <w:t>(d)</w:t>
            </w:r>
            <w:r w:rsidRPr="003161DC">
              <w:tab/>
              <w:t xml:space="preserve">Ancillary Service Resource </w:t>
            </w:r>
            <w:r>
              <w:t>awards</w:t>
            </w:r>
            <w:r w:rsidRPr="003161DC">
              <w:t xml:space="preserve"> for ECRS </w:t>
            </w:r>
            <w:r>
              <w:t>to</w:t>
            </w:r>
            <w:r w:rsidRPr="003161DC">
              <w:t xml:space="preserve">: </w:t>
            </w:r>
          </w:p>
          <w:p w14:paraId="05BB4F17" w14:textId="77777777" w:rsidR="00147C3B" w:rsidRPr="003161DC" w:rsidRDefault="00147C3B" w:rsidP="00147C3B">
            <w:pPr>
              <w:spacing w:after="240"/>
              <w:ind w:left="2160" w:hanging="720"/>
            </w:pPr>
            <w:r w:rsidRPr="003161DC">
              <w:t>(i)</w:t>
            </w:r>
            <w:r w:rsidRPr="003161DC">
              <w:tab/>
              <w:t>Generation Resources;</w:t>
            </w:r>
          </w:p>
          <w:p w14:paraId="7DD5E9B0" w14:textId="0AD64565" w:rsidR="00147C3B" w:rsidRPr="003161DC" w:rsidRDefault="00147C3B" w:rsidP="00147C3B">
            <w:pPr>
              <w:spacing w:after="240"/>
              <w:ind w:left="2160" w:hanging="720"/>
            </w:pPr>
            <w:r w:rsidRPr="003161DC">
              <w:t>(ii)</w:t>
            </w:r>
            <w:r w:rsidRPr="003161DC">
              <w:tab/>
              <w:t xml:space="preserve">Load Resources excluding </w:t>
            </w:r>
            <w:r w:rsidR="0069524B">
              <w:t>CLRs</w:t>
            </w:r>
            <w:r w:rsidRPr="003161DC">
              <w:t>; and</w:t>
            </w:r>
          </w:p>
          <w:p w14:paraId="1272F7F5" w14:textId="37431F47" w:rsidR="00147C3B" w:rsidRPr="003161DC" w:rsidRDefault="00147C3B" w:rsidP="00147C3B">
            <w:pPr>
              <w:spacing w:after="240"/>
              <w:ind w:left="2160" w:hanging="720"/>
            </w:pPr>
            <w:r w:rsidRPr="003161DC">
              <w:t>(iii)</w:t>
            </w:r>
            <w:r w:rsidRPr="003161DC">
              <w:tab/>
            </w:r>
            <w:r w:rsidR="0069524B">
              <w:t>CLRs</w:t>
            </w:r>
            <w:r w:rsidR="00344B1B">
              <w:t>;</w:t>
            </w:r>
          </w:p>
          <w:p w14:paraId="65280E58" w14:textId="465D84B8" w:rsidR="00344B1B" w:rsidRDefault="00147C3B" w:rsidP="00344B1B">
            <w:pPr>
              <w:spacing w:after="240"/>
              <w:ind w:left="2160" w:hanging="720"/>
            </w:pPr>
            <w:r w:rsidRPr="003161DC">
              <w:t>(iv)</w:t>
            </w:r>
            <w:r w:rsidRPr="003161DC">
              <w:tab/>
              <w:t>QSGRs;</w:t>
            </w:r>
            <w:r w:rsidR="00344B1B">
              <w:t xml:space="preserve"> and</w:t>
            </w:r>
          </w:p>
          <w:p w14:paraId="5F9F1E96" w14:textId="0CB95A78" w:rsidR="00147C3B" w:rsidRPr="003161DC" w:rsidRDefault="00344B1B" w:rsidP="00344B1B">
            <w:pPr>
              <w:spacing w:after="240"/>
              <w:ind w:left="2160" w:hanging="720"/>
            </w:pPr>
            <w:r>
              <w:t>(v)</w:t>
            </w:r>
            <w:r w:rsidRPr="003161DC">
              <w:t xml:space="preserve"> </w:t>
            </w:r>
            <w:r w:rsidRPr="003161DC">
              <w:tab/>
            </w:r>
            <w:r>
              <w:t>ESRs.</w:t>
            </w:r>
          </w:p>
          <w:p w14:paraId="24EBBB82" w14:textId="4ADD1CA8" w:rsidR="00147C3B" w:rsidRDefault="00147C3B" w:rsidP="00147C3B">
            <w:pPr>
              <w:spacing w:before="240" w:after="240"/>
              <w:ind w:left="1440" w:hanging="720"/>
            </w:pPr>
            <w:r w:rsidRPr="003161DC">
              <w:t>(e)</w:t>
            </w:r>
            <w:r w:rsidRPr="003161DC">
              <w:tab/>
              <w:t xml:space="preserve">ECRS </w:t>
            </w:r>
            <w:r>
              <w:t xml:space="preserve">manually </w:t>
            </w:r>
            <w:r w:rsidRPr="003161DC">
              <w:t xml:space="preserve">deployed </w:t>
            </w:r>
            <w:r>
              <w:t>by</w:t>
            </w:r>
            <w:r w:rsidRPr="003161DC">
              <w:t xml:space="preserve"> </w:t>
            </w:r>
            <w:r>
              <w:t>Resources with a Resource Status of ONSC</w:t>
            </w:r>
            <w:r w:rsidRPr="003161DC">
              <w:t xml:space="preserve">; </w:t>
            </w:r>
          </w:p>
          <w:p w14:paraId="0F0029B0" w14:textId="4437BA62" w:rsidR="00194E91" w:rsidRPr="003161DC" w:rsidRDefault="00147C3B" w:rsidP="00194E91">
            <w:pPr>
              <w:spacing w:before="240" w:after="240"/>
              <w:ind w:left="1440" w:hanging="720"/>
            </w:pPr>
            <w:r>
              <w:t>(f</w:t>
            </w:r>
            <w:r w:rsidR="00194E91" w:rsidRPr="003161DC">
              <w:t>)</w:t>
            </w:r>
            <w:r w:rsidR="00194E91" w:rsidRPr="003161DC">
              <w:tab/>
              <w:t xml:space="preserve">Non-Spin available from: </w:t>
            </w:r>
          </w:p>
          <w:p w14:paraId="144C102B" w14:textId="77777777" w:rsidR="00194E91" w:rsidRPr="003161DC" w:rsidRDefault="00194E91" w:rsidP="00194E91">
            <w:pPr>
              <w:spacing w:after="240"/>
              <w:ind w:left="2160" w:hanging="720"/>
            </w:pPr>
            <w:r w:rsidRPr="003161DC">
              <w:t>(i)</w:t>
            </w:r>
            <w:r w:rsidRPr="003161DC">
              <w:tab/>
              <w:t>On-Line Generation Resources with Energy Offer Curves;</w:t>
            </w:r>
          </w:p>
          <w:p w14:paraId="4515032F" w14:textId="77777777" w:rsidR="00194E91" w:rsidRPr="003161DC" w:rsidRDefault="00194E91" w:rsidP="00194E91">
            <w:pPr>
              <w:spacing w:after="240"/>
              <w:ind w:left="2160" w:hanging="720"/>
            </w:pPr>
            <w:r w:rsidRPr="003161DC">
              <w:t>(ii)</w:t>
            </w:r>
            <w:r w:rsidRPr="003161DC">
              <w:tab/>
              <w:t xml:space="preserve">Undeployed Load Resources; </w:t>
            </w:r>
          </w:p>
          <w:p w14:paraId="5227F971" w14:textId="3DF2C668" w:rsidR="00194E91" w:rsidRPr="003161DC" w:rsidRDefault="00194E91" w:rsidP="00194E91">
            <w:pPr>
              <w:spacing w:after="240"/>
              <w:ind w:left="2160" w:hanging="720"/>
            </w:pPr>
            <w:r w:rsidRPr="003161DC">
              <w:lastRenderedPageBreak/>
              <w:t>(iii)</w:t>
            </w:r>
            <w:r w:rsidRPr="003161DC">
              <w:tab/>
              <w:t>Off-Line Generation Resources</w:t>
            </w:r>
            <w:r>
              <w:t xml:space="preserve"> and On-Line Generation Resources with power augmentation</w:t>
            </w:r>
            <w:r w:rsidR="00344B1B">
              <w:t>;</w:t>
            </w:r>
          </w:p>
          <w:p w14:paraId="3DD055FB" w14:textId="3BD3D630" w:rsidR="00344B1B" w:rsidRDefault="00194E91" w:rsidP="00344B1B">
            <w:pPr>
              <w:spacing w:after="240"/>
              <w:ind w:left="2160" w:hanging="720"/>
            </w:pPr>
            <w:r w:rsidRPr="003161DC">
              <w:t>(iv)</w:t>
            </w:r>
            <w:r w:rsidRPr="003161DC">
              <w:tab/>
              <w:t>Resources with Output Schedules;</w:t>
            </w:r>
            <w:r w:rsidR="00344B1B">
              <w:t xml:space="preserve"> and</w:t>
            </w:r>
          </w:p>
          <w:p w14:paraId="629935F2" w14:textId="0F358839" w:rsidR="00194E91" w:rsidRPr="003161DC" w:rsidRDefault="00344B1B" w:rsidP="00344B1B">
            <w:pPr>
              <w:spacing w:after="240"/>
              <w:ind w:left="2160" w:hanging="720"/>
            </w:pPr>
            <w:r>
              <w:t>(v)</w:t>
            </w:r>
            <w:r w:rsidRPr="003161DC">
              <w:t xml:space="preserve"> </w:t>
            </w:r>
            <w:r w:rsidRPr="003161DC">
              <w:tab/>
            </w:r>
            <w:r>
              <w:t>ESRs</w:t>
            </w:r>
            <w:r w:rsidR="00F726A9">
              <w:t xml:space="preserve"> that can be sustained for the SCED duration requirements of Non-Spin</w:t>
            </w:r>
            <w:r>
              <w:t>.</w:t>
            </w:r>
          </w:p>
          <w:p w14:paraId="2AB77336" w14:textId="0481CFFC" w:rsidR="00194E91" w:rsidRPr="003161DC" w:rsidRDefault="00147C3B" w:rsidP="00194E91">
            <w:pPr>
              <w:spacing w:after="240"/>
              <w:ind w:left="1440" w:hanging="720"/>
            </w:pPr>
            <w:r>
              <w:t>(g</w:t>
            </w:r>
            <w:r w:rsidR="00194E91" w:rsidRPr="003161DC">
              <w:t>)</w:t>
            </w:r>
            <w:r w:rsidR="00194E91" w:rsidRPr="003161DC">
              <w:tab/>
              <w:t xml:space="preserve">Ancillary Service Resource </w:t>
            </w:r>
            <w:r w:rsidR="00194E91">
              <w:t>awards</w:t>
            </w:r>
            <w:r w:rsidR="00194E91" w:rsidRPr="003161DC">
              <w:t xml:space="preserve"> for Non-Spin </w:t>
            </w:r>
            <w:r w:rsidR="00194E91">
              <w:t>to</w:t>
            </w:r>
            <w:r w:rsidR="00194E91" w:rsidRPr="003161DC">
              <w:t>:</w:t>
            </w:r>
          </w:p>
          <w:p w14:paraId="5ACBA07A" w14:textId="77777777" w:rsidR="00194E91" w:rsidRPr="003161DC" w:rsidRDefault="00194E91" w:rsidP="00194E91">
            <w:pPr>
              <w:spacing w:after="240"/>
              <w:ind w:left="2160" w:hanging="720"/>
            </w:pPr>
            <w:r w:rsidRPr="003161DC">
              <w:t>(i)</w:t>
            </w:r>
            <w:r w:rsidRPr="003161DC">
              <w:tab/>
              <w:t>On-Line Generation Resources with Energy Offer Curves;</w:t>
            </w:r>
          </w:p>
          <w:p w14:paraId="50D85B8F" w14:textId="77777777" w:rsidR="00194E91" w:rsidRPr="003161DC" w:rsidRDefault="00194E91" w:rsidP="00194E91">
            <w:pPr>
              <w:spacing w:after="240"/>
              <w:ind w:left="2160" w:hanging="720"/>
            </w:pPr>
            <w:r w:rsidRPr="003161DC">
              <w:t>(ii)</w:t>
            </w:r>
            <w:r w:rsidRPr="003161DC">
              <w:tab/>
              <w:t>On-Line Generation Resources with Output Schedules;</w:t>
            </w:r>
          </w:p>
          <w:p w14:paraId="173D64BA" w14:textId="77777777" w:rsidR="00194E91" w:rsidRPr="003161DC" w:rsidRDefault="00194E91" w:rsidP="00194E91">
            <w:pPr>
              <w:spacing w:after="240"/>
              <w:ind w:left="2160" w:hanging="720"/>
            </w:pPr>
            <w:r w:rsidRPr="003161DC">
              <w:t>(iii)</w:t>
            </w:r>
            <w:r w:rsidRPr="003161DC">
              <w:tab/>
              <w:t xml:space="preserve">Load Resources; </w:t>
            </w:r>
          </w:p>
          <w:p w14:paraId="294DFD00" w14:textId="46907081" w:rsidR="00194E91" w:rsidRPr="003161DC" w:rsidRDefault="00194E91" w:rsidP="00194E91">
            <w:pPr>
              <w:spacing w:after="240"/>
              <w:ind w:left="2160" w:hanging="720"/>
            </w:pPr>
            <w:r w:rsidRPr="003161DC">
              <w:t>(iv)</w:t>
            </w:r>
            <w:r w:rsidRPr="003161DC">
              <w:tab/>
              <w:t>Off-Line Generation Resources excluding Quick Start Generation Resources (QSGRs)</w:t>
            </w:r>
            <w:r>
              <w:t>, including Non-Spin awards on power augmentation capacity that is not active on On-Line Generation Resources</w:t>
            </w:r>
            <w:r w:rsidR="00344B1B">
              <w:t>;</w:t>
            </w:r>
          </w:p>
          <w:p w14:paraId="2E38D377" w14:textId="2BF0409B" w:rsidR="00344B1B" w:rsidRDefault="00194E91" w:rsidP="00344B1B">
            <w:pPr>
              <w:spacing w:after="240"/>
              <w:ind w:left="2160" w:hanging="720"/>
            </w:pPr>
            <w:r w:rsidRPr="003161DC">
              <w:t>(v)</w:t>
            </w:r>
            <w:r w:rsidRPr="003161DC">
              <w:tab/>
              <w:t>QSGRs;</w:t>
            </w:r>
            <w:r w:rsidR="00344B1B">
              <w:t xml:space="preserve"> and</w:t>
            </w:r>
          </w:p>
          <w:p w14:paraId="2FEFC324" w14:textId="11FB1DAF" w:rsidR="00194E91" w:rsidRPr="003161DC" w:rsidRDefault="00344B1B" w:rsidP="00344B1B">
            <w:pPr>
              <w:spacing w:after="240"/>
              <w:ind w:left="2160" w:hanging="720"/>
            </w:pPr>
            <w:r>
              <w:t>(vi)</w:t>
            </w:r>
            <w:r w:rsidRPr="003161DC">
              <w:tab/>
            </w:r>
            <w:r>
              <w:t>ESRs.</w:t>
            </w:r>
          </w:p>
          <w:p w14:paraId="1C1E0343" w14:textId="67D0BEB7" w:rsidR="00194E91" w:rsidRDefault="00194E91" w:rsidP="00194E91">
            <w:pPr>
              <w:spacing w:after="240"/>
              <w:ind w:left="1440" w:hanging="720"/>
            </w:pPr>
            <w:r w:rsidRPr="003161DC">
              <w:t>(</w:t>
            </w:r>
            <w:r w:rsidR="00147C3B">
              <w:t>h</w:t>
            </w:r>
            <w:r w:rsidRPr="003161DC">
              <w:t>)</w:t>
            </w:r>
            <w:r w:rsidRPr="003161DC">
              <w:tab/>
            </w:r>
            <w:r>
              <w:t>Reg-Up and Reg-Down</w:t>
            </w:r>
            <w:r w:rsidRPr="003161DC">
              <w:t xml:space="preserve"> </w:t>
            </w:r>
            <w:r>
              <w:t>capability</w:t>
            </w:r>
            <w:r w:rsidR="00F726A9">
              <w:t xml:space="preserve"> (for ESRs, the SCED duration requirements of Reg-Up and Reg-Down are considered)</w:t>
            </w:r>
            <w:r>
              <w:t>;</w:t>
            </w:r>
          </w:p>
          <w:p w14:paraId="466FEA3F" w14:textId="4C5BE9CF" w:rsidR="00194E91" w:rsidRPr="003161DC" w:rsidRDefault="00194E91" w:rsidP="00194E91">
            <w:pPr>
              <w:spacing w:after="240"/>
              <w:ind w:left="1440" w:hanging="720"/>
            </w:pPr>
            <w:r w:rsidRPr="003161DC">
              <w:t>(</w:t>
            </w:r>
            <w:r w:rsidR="00147C3B">
              <w:t>i</w:t>
            </w:r>
            <w:r w:rsidRPr="003161DC">
              <w:t>)</w:t>
            </w:r>
            <w:r w:rsidRPr="003161DC">
              <w:tab/>
              <w:t>Undeployed Reg-Up and Reg-Down;</w:t>
            </w:r>
          </w:p>
          <w:p w14:paraId="4E7A429C" w14:textId="2269EF44" w:rsidR="00194E91" w:rsidRPr="003161DC" w:rsidRDefault="00194E91" w:rsidP="00194E91">
            <w:pPr>
              <w:spacing w:after="240"/>
              <w:ind w:left="1440" w:hanging="720"/>
            </w:pPr>
            <w:r w:rsidRPr="003161DC">
              <w:t>(</w:t>
            </w:r>
            <w:r w:rsidR="00147C3B">
              <w:t>j</w:t>
            </w:r>
            <w:r w:rsidRPr="003161DC">
              <w:t>)</w:t>
            </w:r>
            <w:r w:rsidRPr="003161DC">
              <w:tab/>
              <w:t xml:space="preserve">Ancillary Service Resource </w:t>
            </w:r>
            <w:r>
              <w:t>awards</w:t>
            </w:r>
            <w:r w:rsidRPr="003161DC">
              <w:t xml:space="preserve"> for Reg-Up and Reg-Down;</w:t>
            </w:r>
          </w:p>
          <w:p w14:paraId="435A3EB4" w14:textId="655D600D" w:rsidR="00194E91" w:rsidRPr="003161DC" w:rsidRDefault="00194E91" w:rsidP="00194E91">
            <w:pPr>
              <w:spacing w:after="240"/>
              <w:ind w:left="1440" w:hanging="720"/>
            </w:pPr>
            <w:r w:rsidRPr="003161DC">
              <w:t>(</w:t>
            </w:r>
            <w:r w:rsidR="00147C3B">
              <w:t>k</w:t>
            </w:r>
            <w:r w:rsidRPr="003161DC">
              <w:t>)</w:t>
            </w:r>
            <w:r w:rsidRPr="003161DC">
              <w:tab/>
              <w:t>Deployed Reg-Up and Reg-Down;</w:t>
            </w:r>
          </w:p>
          <w:p w14:paraId="782445AC" w14:textId="4B64BAAB" w:rsidR="00194E91" w:rsidRPr="003161DC" w:rsidRDefault="00194E91" w:rsidP="00194E91">
            <w:pPr>
              <w:spacing w:after="240"/>
              <w:ind w:left="1440" w:hanging="720"/>
            </w:pPr>
            <w:r w:rsidRPr="003161DC">
              <w:t>(</w:t>
            </w:r>
            <w:r w:rsidR="00147C3B">
              <w:t>l</w:t>
            </w:r>
            <w:r w:rsidRPr="003161DC">
              <w:t>)</w:t>
            </w:r>
            <w:r w:rsidRPr="003161DC">
              <w:tab/>
              <w:t>Available capacity:</w:t>
            </w:r>
          </w:p>
          <w:p w14:paraId="2291BFDD" w14:textId="77777777" w:rsidR="00194E91" w:rsidRPr="003161DC" w:rsidRDefault="00194E91" w:rsidP="00194E91">
            <w:pPr>
              <w:spacing w:after="240"/>
              <w:ind w:left="2160" w:hanging="720"/>
            </w:pPr>
            <w:r w:rsidRPr="003161DC">
              <w:t>(i)</w:t>
            </w:r>
            <w:r w:rsidRPr="003161DC">
              <w:tab/>
              <w:t>With Energy Offer Curves in the ERCOT System that can be used to increase Generation Resource Base Points in SCED;</w:t>
            </w:r>
          </w:p>
          <w:p w14:paraId="4C7A35CF" w14:textId="77777777" w:rsidR="00194E91" w:rsidRPr="003161DC" w:rsidRDefault="00194E91" w:rsidP="00194E91">
            <w:pPr>
              <w:spacing w:after="240"/>
              <w:ind w:left="2160" w:hanging="720"/>
            </w:pPr>
            <w:r w:rsidRPr="003161DC">
              <w:t>(ii)</w:t>
            </w:r>
            <w:r w:rsidRPr="003161DC">
              <w:tab/>
              <w:t xml:space="preserve">With Energy Offer Curves in the ERCOT System that can be used to decrease Generation Resource Base Points in SCED; </w:t>
            </w:r>
          </w:p>
          <w:p w14:paraId="076F2CB4" w14:textId="77777777" w:rsidR="00194E91" w:rsidRPr="003161DC" w:rsidRDefault="00194E91" w:rsidP="00194E91">
            <w:pPr>
              <w:spacing w:after="240"/>
              <w:ind w:left="2160" w:hanging="720"/>
            </w:pPr>
            <w:r w:rsidRPr="003161DC">
              <w:t>(iii)</w:t>
            </w:r>
            <w:r w:rsidRPr="003161DC">
              <w:tab/>
              <w:t xml:space="preserve">Without Energy Offer Curves in the ERCOT System that can be used to increase Generation Resource Base Points in SCED; </w:t>
            </w:r>
          </w:p>
          <w:p w14:paraId="4F12BB73" w14:textId="77777777" w:rsidR="00194E91" w:rsidRPr="003161DC" w:rsidRDefault="00194E91" w:rsidP="00194E91">
            <w:pPr>
              <w:spacing w:after="240"/>
              <w:ind w:left="2160" w:hanging="720"/>
            </w:pPr>
            <w:r w:rsidRPr="003161DC">
              <w:t>(iv)</w:t>
            </w:r>
            <w:r w:rsidRPr="003161DC">
              <w:tab/>
              <w:t xml:space="preserve">Without Energy Offer Curves in the ERCOT System that can be used to decrease Generation Resource Base Points in SCED; </w:t>
            </w:r>
          </w:p>
          <w:p w14:paraId="1CADFE40" w14:textId="0D60CC36" w:rsidR="00194E91" w:rsidRPr="003161DC" w:rsidRDefault="00194E91" w:rsidP="00194E91">
            <w:pPr>
              <w:spacing w:after="240"/>
              <w:ind w:left="2160" w:hanging="720"/>
            </w:pPr>
            <w:r w:rsidRPr="003161DC">
              <w:lastRenderedPageBreak/>
              <w:t>(v)</w:t>
            </w:r>
            <w:r w:rsidRPr="003161DC">
              <w:tab/>
              <w:t xml:space="preserve">With Energy Bid </w:t>
            </w:r>
            <w:r w:rsidR="0069524B">
              <w:t>C</w:t>
            </w:r>
            <w:r w:rsidRPr="003161DC">
              <w:t xml:space="preserve">urves from available </w:t>
            </w:r>
            <w:r w:rsidR="0069524B">
              <w:t>CLRs</w:t>
            </w:r>
            <w:r w:rsidRPr="003161DC">
              <w:t xml:space="preserve"> in the ERCOT System that can be used to decrease Base Points (energy consumption) in SCED;</w:t>
            </w:r>
          </w:p>
          <w:p w14:paraId="59FF9E10" w14:textId="2AFF6681" w:rsidR="00194E91" w:rsidRPr="003161DC" w:rsidRDefault="00194E91" w:rsidP="00194E91">
            <w:pPr>
              <w:spacing w:after="240"/>
              <w:ind w:left="2160" w:hanging="720"/>
            </w:pPr>
            <w:r w:rsidRPr="003161DC">
              <w:t>(vi)</w:t>
            </w:r>
            <w:r w:rsidRPr="003161DC">
              <w:tab/>
              <w:t xml:space="preserve">With Energy Bid </w:t>
            </w:r>
            <w:r w:rsidR="0069524B">
              <w:t>C</w:t>
            </w:r>
            <w:r w:rsidRPr="003161DC">
              <w:t xml:space="preserve">urves from available </w:t>
            </w:r>
            <w:r w:rsidR="0069524B">
              <w:t>CLRs</w:t>
            </w:r>
            <w:r w:rsidRPr="003161DC">
              <w:t xml:space="preserve"> in the ERCOT System that can be used to increase Base Points (energy consumption) in SCED; </w:t>
            </w:r>
          </w:p>
          <w:p w14:paraId="3E5FAA39" w14:textId="0432D091" w:rsidR="00194E91" w:rsidRPr="003161DC" w:rsidRDefault="00194E91" w:rsidP="00194E91">
            <w:pPr>
              <w:spacing w:after="240"/>
              <w:ind w:left="2160" w:hanging="720"/>
            </w:pPr>
            <w:r w:rsidRPr="003161DC">
              <w:t>(vii)</w:t>
            </w:r>
            <w:r w:rsidRPr="003161DC">
              <w:tab/>
            </w:r>
            <w:r w:rsidR="00147C3B" w:rsidRPr="003161DC">
              <w:t xml:space="preserve">From Resources participating in SCED plus the Reg-Up, RRS, and ECRS from Load Resources </w:t>
            </w:r>
            <w:r w:rsidR="00147C3B" w:rsidRPr="003161DC">
              <w:rPr>
                <w:bCs/>
              </w:rPr>
              <w:t xml:space="preserve">and the Net Power Consumption minus the Low Power Consumption from Load Resources with a validated Real-Time RRS and ECRS </w:t>
            </w:r>
            <w:r w:rsidR="00147C3B">
              <w:rPr>
                <w:bCs/>
              </w:rPr>
              <w:t>awards</w:t>
            </w:r>
            <w:r w:rsidR="00147C3B" w:rsidRPr="003161DC">
              <w:t>;</w:t>
            </w:r>
          </w:p>
          <w:p w14:paraId="2118D937" w14:textId="59378596" w:rsidR="00344B1B" w:rsidRPr="00A552C3" w:rsidRDefault="00344B1B" w:rsidP="00344B1B">
            <w:pPr>
              <w:spacing w:after="240"/>
              <w:ind w:left="2160" w:hanging="720"/>
            </w:pPr>
            <w:r w:rsidRPr="00A552C3">
              <w:t>(vi</w:t>
            </w:r>
            <w:r>
              <w:t>i</w:t>
            </w:r>
            <w:r w:rsidRPr="00A552C3">
              <w:t>i)</w:t>
            </w:r>
            <w:r w:rsidRPr="00A552C3">
              <w:tab/>
              <w:t>With Energy Bid/Offer Curves for ESRs in the ERCOT System that can be used to increase ESR Base Points in SCED</w:t>
            </w:r>
            <w:r w:rsidR="00F726A9">
              <w:t xml:space="preserve"> while respecting SCED duration requirements for ESR Base Points in SCED</w:t>
            </w:r>
            <w:r w:rsidRPr="00A552C3">
              <w:t>;</w:t>
            </w:r>
          </w:p>
          <w:p w14:paraId="5151DC56" w14:textId="0729992D" w:rsidR="00344B1B" w:rsidRPr="00A552C3" w:rsidRDefault="00344B1B" w:rsidP="00344B1B">
            <w:pPr>
              <w:spacing w:after="240"/>
              <w:ind w:left="2160" w:hanging="720"/>
            </w:pPr>
            <w:r>
              <w:t>(</w:t>
            </w:r>
            <w:r w:rsidRPr="00A552C3">
              <w:t>i</w:t>
            </w:r>
            <w:r>
              <w:t>x</w:t>
            </w:r>
            <w:r w:rsidRPr="00A552C3">
              <w:t>)</w:t>
            </w:r>
            <w:r w:rsidRPr="00A552C3">
              <w:tab/>
              <w:t>With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7EA26A" w14:textId="1A089ADC" w:rsidR="00344B1B" w:rsidRPr="00A552C3" w:rsidRDefault="00344B1B" w:rsidP="00344B1B">
            <w:pPr>
              <w:spacing w:after="240"/>
              <w:ind w:left="2160" w:hanging="720"/>
            </w:pPr>
            <w:r>
              <w:t>(</w:t>
            </w:r>
            <w:r w:rsidRPr="00A552C3">
              <w:t>x)</w:t>
            </w:r>
            <w:r w:rsidRPr="00A552C3">
              <w:tab/>
              <w:t>Without Energy Bid/Offer Curves for ESRs in the ERCOT System that can be used to increase ESR Base Points in SCED</w:t>
            </w:r>
            <w:r w:rsidR="00F726A9">
              <w:t xml:space="preserve"> while respecting SCED duration requirements for ESR Base Points in SCED</w:t>
            </w:r>
            <w:r w:rsidRPr="00A552C3">
              <w:t xml:space="preserve">; </w:t>
            </w:r>
          </w:p>
          <w:p w14:paraId="312987D0" w14:textId="2197C152" w:rsidR="00344B1B" w:rsidRPr="00A552C3" w:rsidRDefault="00344B1B" w:rsidP="00344B1B">
            <w:pPr>
              <w:spacing w:after="240"/>
              <w:ind w:left="2160" w:hanging="720"/>
            </w:pPr>
            <w:r w:rsidRPr="00A552C3">
              <w:t>(x</w:t>
            </w:r>
            <w:r>
              <w:t>i</w:t>
            </w:r>
            <w:r w:rsidRPr="00A552C3">
              <w:t>)</w:t>
            </w:r>
            <w:r w:rsidRPr="00A552C3">
              <w:tab/>
              <w:t>Without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C9CE4A" w14:textId="4D59D382" w:rsidR="00194E91" w:rsidRPr="003161DC" w:rsidRDefault="00344B1B" w:rsidP="00344B1B">
            <w:pPr>
              <w:spacing w:after="240"/>
              <w:ind w:left="2160" w:hanging="720"/>
            </w:pPr>
            <w:r>
              <w:t>(x</w:t>
            </w:r>
            <w:r w:rsidR="00194E91" w:rsidRPr="003161DC">
              <w:t>ii)</w:t>
            </w:r>
            <w:r w:rsidR="00194E91" w:rsidRPr="003161DC">
              <w:tab/>
              <w:t>From Resources included in item (vii) above plus reserves from Resources that could be made available to SCED in 30 minutes;</w:t>
            </w:r>
          </w:p>
          <w:p w14:paraId="74FBB9D5" w14:textId="1F83AFA2" w:rsidR="00194E91" w:rsidRPr="003161DC" w:rsidRDefault="006F7954" w:rsidP="00194E91">
            <w:pPr>
              <w:spacing w:after="240"/>
              <w:ind w:left="2160" w:hanging="720"/>
            </w:pPr>
            <w:r>
              <w:t>(</w:t>
            </w:r>
            <w:r w:rsidR="00194E91" w:rsidRPr="003161DC">
              <w:t>x</w:t>
            </w:r>
            <w:r>
              <w:t>iii</w:t>
            </w:r>
            <w:r w:rsidR="00194E91" w:rsidRPr="003161DC">
              <w:t xml:space="preserve">) </w:t>
            </w:r>
            <w:r w:rsidR="00194E91" w:rsidRPr="003161DC">
              <w:tab/>
              <w:t>In the ERCOT System that can be used to increase Generation Resource Base Points in the next five minutes in SCED; and</w:t>
            </w:r>
          </w:p>
          <w:p w14:paraId="78150F1F" w14:textId="19F59DAA" w:rsidR="00194E91" w:rsidRPr="003161DC" w:rsidRDefault="00194E91" w:rsidP="00194E91">
            <w:pPr>
              <w:spacing w:after="240"/>
              <w:ind w:left="2160" w:hanging="720"/>
            </w:pPr>
            <w:r w:rsidRPr="003161DC">
              <w:t>(x</w:t>
            </w:r>
            <w:r w:rsidR="006F7954">
              <w:t>iv</w:t>
            </w:r>
            <w:r w:rsidRPr="003161DC">
              <w:t>)</w:t>
            </w:r>
            <w:r w:rsidRPr="003161DC">
              <w:tab/>
              <w:t>In the ERCOT System that can be used to decrease Generation Resource Base Points in the next five minutes in SCED;</w:t>
            </w:r>
          </w:p>
          <w:p w14:paraId="5AF20415" w14:textId="7E99B3FD" w:rsidR="00194E91" w:rsidRDefault="00194E91" w:rsidP="00194E91">
            <w:pPr>
              <w:spacing w:after="240"/>
              <w:ind w:left="2160" w:hanging="720"/>
            </w:pPr>
            <w:r>
              <w:t>(x</w:t>
            </w:r>
            <w:r w:rsidR="006F7954">
              <w:t>v</w:t>
            </w:r>
            <w:r>
              <w:t>)</w:t>
            </w:r>
            <w:r>
              <w:tab/>
              <w:t>The total capability of Resources available to provide the following combinations of Ancillary Services, based on the Resource telemetry from the QSE and capped by the limits of the Resource:</w:t>
            </w:r>
          </w:p>
          <w:p w14:paraId="11938228" w14:textId="77777777" w:rsidR="00194E91" w:rsidRDefault="00194E91" w:rsidP="00194E91">
            <w:pPr>
              <w:spacing w:after="240"/>
              <w:ind w:left="2880" w:hanging="720"/>
            </w:pPr>
            <w:r>
              <w:t>(A)</w:t>
            </w:r>
            <w:r>
              <w:tab/>
            </w:r>
            <w:r w:rsidRPr="009A1E1F">
              <w:t>Capacit</w:t>
            </w:r>
            <w:r>
              <w:t>y to provide Reg-Up,</w:t>
            </w:r>
            <w:r w:rsidRPr="009A1E1F">
              <w:t xml:space="preserve"> RRS</w:t>
            </w:r>
            <w:r>
              <w:t>,</w:t>
            </w:r>
            <w:r w:rsidRPr="009A1E1F">
              <w:t xml:space="preserve"> or both, irrespective of whether it is capabl</w:t>
            </w:r>
            <w:r>
              <w:t>e of providing ECRS or Non-Spin;</w:t>
            </w:r>
          </w:p>
          <w:p w14:paraId="62F4FAEA" w14:textId="77777777" w:rsidR="00194E91" w:rsidRDefault="00194E91" w:rsidP="00194E91">
            <w:pPr>
              <w:spacing w:after="240"/>
              <w:ind w:left="2880" w:hanging="720"/>
            </w:pPr>
            <w:r>
              <w:t>(B)</w:t>
            </w:r>
            <w:r>
              <w:tab/>
            </w:r>
            <w:r w:rsidRPr="009A1E1F">
              <w:t xml:space="preserve">Capacity </w:t>
            </w:r>
            <w:r>
              <w:t>to provide</w:t>
            </w:r>
            <w:r w:rsidRPr="009A1E1F">
              <w:t xml:space="preserve"> Reg-Up</w:t>
            </w:r>
            <w:r>
              <w:t>,</w:t>
            </w:r>
            <w:r w:rsidRPr="009A1E1F">
              <w:t xml:space="preserve"> RRS</w:t>
            </w:r>
            <w:r>
              <w:t>,</w:t>
            </w:r>
            <w:r w:rsidRPr="009A1E1F">
              <w:t xml:space="preserve"> ECRS</w:t>
            </w:r>
            <w:r>
              <w:t>,</w:t>
            </w:r>
            <w:r w:rsidRPr="009A1E1F">
              <w:t xml:space="preserve"> or any combination, irrespective of whether it is capable of providing Non-Spin</w:t>
            </w:r>
            <w:r>
              <w:t>; and</w:t>
            </w:r>
          </w:p>
          <w:p w14:paraId="6B4AE0A9" w14:textId="77777777" w:rsidR="00194E91" w:rsidRDefault="00194E91" w:rsidP="00194E91">
            <w:pPr>
              <w:spacing w:after="240"/>
              <w:ind w:left="2880" w:hanging="720"/>
            </w:pPr>
            <w:r>
              <w:lastRenderedPageBreak/>
              <w:t>(C)</w:t>
            </w:r>
            <w:r>
              <w:tab/>
            </w:r>
            <w:r>
              <w:rPr>
                <w:color w:val="000000"/>
              </w:rPr>
              <w:t>Capacity to provide Reg-Up, RRS, ECRS, or Non-Spin, in any combination</w:t>
            </w:r>
            <w:r>
              <w:t>;</w:t>
            </w:r>
          </w:p>
          <w:p w14:paraId="3299A4B0" w14:textId="0572580F" w:rsidR="00194E91" w:rsidRPr="003161DC" w:rsidRDefault="00194E91" w:rsidP="00194E91">
            <w:pPr>
              <w:spacing w:after="240"/>
              <w:ind w:left="1440" w:hanging="720"/>
            </w:pPr>
            <w:r w:rsidRPr="003161DC">
              <w:t>(</w:t>
            </w:r>
            <w:r w:rsidR="00147C3B">
              <w:t>m</w:t>
            </w:r>
            <w:r w:rsidRPr="003161DC">
              <w:t>)</w:t>
            </w:r>
            <w:r w:rsidRPr="003161DC">
              <w:tab/>
              <w:t>Aggregate telemetered HSL capacity for Resources with a telemetered Resource Status of EMR;</w:t>
            </w:r>
          </w:p>
          <w:p w14:paraId="4B4FBFFD" w14:textId="7FB6E9DF" w:rsidR="00194E91" w:rsidRPr="003161DC" w:rsidRDefault="00194E91" w:rsidP="00194E91">
            <w:pPr>
              <w:spacing w:after="240"/>
              <w:ind w:left="1440" w:hanging="720"/>
            </w:pPr>
            <w:r w:rsidRPr="003161DC">
              <w:t>(</w:t>
            </w:r>
            <w:r w:rsidR="00147C3B">
              <w:t>n</w:t>
            </w:r>
            <w:r w:rsidRPr="003161DC">
              <w:t>)</w:t>
            </w:r>
            <w:r w:rsidRPr="003161DC">
              <w:tab/>
              <w:t>Aggregate telemetered HSL capacity for Resources with a telemetered Resource Status of OUT;</w:t>
            </w:r>
          </w:p>
          <w:p w14:paraId="4D8534C3" w14:textId="069E1DEC" w:rsidR="00194E91" w:rsidRPr="003161DC" w:rsidRDefault="00194E91" w:rsidP="00194E91">
            <w:pPr>
              <w:spacing w:after="240"/>
              <w:ind w:left="1440" w:hanging="720"/>
            </w:pPr>
            <w:r w:rsidRPr="003161DC">
              <w:t>(</w:t>
            </w:r>
            <w:r w:rsidR="00147C3B">
              <w:t>o</w:t>
            </w:r>
            <w:r w:rsidRPr="003161DC">
              <w:t>)</w:t>
            </w:r>
            <w:r w:rsidRPr="003161DC">
              <w:tab/>
              <w:t>Aggregate net telemetered consumption for Resources with a telemetered Resource Status of OUTL; and</w:t>
            </w:r>
          </w:p>
          <w:p w14:paraId="0A45ED3E" w14:textId="2CB35168" w:rsidR="00194E91" w:rsidRPr="003161DC" w:rsidRDefault="00194E91" w:rsidP="00194E91">
            <w:pPr>
              <w:spacing w:after="240"/>
              <w:ind w:left="1440" w:hanging="720"/>
            </w:pPr>
            <w:r w:rsidRPr="003161DC">
              <w:t>(</w:t>
            </w:r>
            <w:r w:rsidR="00147C3B">
              <w:t>p</w:t>
            </w:r>
            <w:r w:rsidRPr="003161DC">
              <w:t>)</w:t>
            </w:r>
            <w:r w:rsidRPr="003161DC">
              <w:tab/>
              <w:t>The ERCOT-wide PRC calculated as follows:</w:t>
            </w:r>
          </w:p>
          <w:p w14:paraId="37AB132E" w14:textId="77777777" w:rsidR="00194E91" w:rsidRPr="003161DC" w:rsidRDefault="00194E91" w:rsidP="00194E91">
            <w:pPr>
              <w:rPr>
                <w:b/>
                <w:position w:val="30"/>
                <w:sz w:val="20"/>
              </w:rPr>
            </w:pPr>
          </w:p>
          <w:p w14:paraId="390B9345" w14:textId="77777777" w:rsidR="00194E91" w:rsidRPr="003161DC" w:rsidRDefault="00194E91" w:rsidP="00194E91">
            <w:pPr>
              <w:rPr>
                <w:b/>
                <w:position w:val="30"/>
                <w:sz w:val="20"/>
              </w:rPr>
            </w:pPr>
          </w:p>
          <w:p w14:paraId="0C1D8374" w14:textId="2C608D66" w:rsidR="00194E91" w:rsidRPr="003161DC" w:rsidRDefault="00DD0A69" w:rsidP="00194E91">
            <w:pPr>
              <w:spacing w:after="240"/>
              <w:rPr>
                <w:b/>
                <w:position w:val="30"/>
                <w:sz w:val="20"/>
              </w:rPr>
            </w:pPr>
            <w:r>
              <w:rPr>
                <w:b/>
                <w:noProof/>
                <w:position w:val="30"/>
                <w:sz w:val="20"/>
              </w:rPr>
              <w:object w:dxaOrig="1440" w:dyaOrig="1440" w14:anchorId="622818FC">
                <v:shape id="_x0000_s5120" type="#_x0000_t75" style="position:absolute;margin-left:33.75pt;margin-top:-42.55pt;width:67.75pt;height:109.9pt;z-index:251676672" fillcolor="red" strokecolor="red">
                  <v:fill opacity="13107f" color2="fill darken(118)" o:opacity2="13107f" rotate="t" method="linear sigma" focus="100%" type="gradient"/>
                  <v:imagedata r:id="rId15" o:title=""/>
                </v:shape>
                <o:OLEObject Type="Embed" ProgID="Equation.3" ShapeID="_x0000_s5120" DrawAspect="Content" ObjectID="_1804653945" r:id="rId18"/>
              </w:object>
            </w:r>
            <w:r w:rsidR="00194E91" w:rsidRPr="003161DC">
              <w:rPr>
                <w:b/>
                <w:position w:val="30"/>
                <w:sz w:val="20"/>
              </w:rPr>
              <w:t>PRC</w:t>
            </w:r>
            <w:r w:rsidR="00194E91" w:rsidRPr="003161DC">
              <w:rPr>
                <w:b/>
                <w:position w:val="30"/>
                <w:sz w:val="20"/>
                <w:vertAlign w:val="subscript"/>
              </w:rPr>
              <w:t>1</w:t>
            </w:r>
            <w:r w:rsidR="00194E91" w:rsidRPr="003161DC">
              <w:rPr>
                <w:b/>
                <w:position w:val="30"/>
                <w:sz w:val="20"/>
              </w:rPr>
              <w:t xml:space="preserve"> =</w:t>
            </w:r>
            <w:r w:rsidR="00194E91" w:rsidRPr="003161DC">
              <w:rPr>
                <w:b/>
                <w:position w:val="30"/>
                <w:sz w:val="20"/>
              </w:rPr>
              <w:tab/>
            </w:r>
            <w:r w:rsidR="00194E91" w:rsidRPr="003161DC">
              <w:rPr>
                <w:b/>
                <w:position w:val="30"/>
                <w:sz w:val="20"/>
              </w:rPr>
              <w:tab/>
            </w:r>
            <w:r w:rsidR="00194E91" w:rsidRPr="003161DC">
              <w:rPr>
                <w:b/>
                <w:position w:val="30"/>
                <w:sz w:val="20"/>
              </w:rPr>
              <w:tab/>
              <w:t>Min(Max((RDF*FRC</w:t>
            </w:r>
            <w:r w:rsidR="00194E91">
              <w:rPr>
                <w:b/>
                <w:position w:val="30"/>
                <w:sz w:val="20"/>
              </w:rPr>
              <w:t>HL</w:t>
            </w:r>
            <w:r w:rsidR="00194E91" w:rsidRPr="003161DC">
              <w:rPr>
                <w:b/>
                <w:position w:val="30"/>
                <w:sz w:val="20"/>
              </w:rPr>
              <w:t xml:space="preserve"> – </w:t>
            </w:r>
            <w:r w:rsidR="00194E91">
              <w:rPr>
                <w:b/>
                <w:position w:val="30"/>
                <w:sz w:val="20"/>
              </w:rPr>
              <w:t>FRCO</w:t>
            </w:r>
            <w:r w:rsidR="00194E91" w:rsidRPr="003161DC">
              <w:rPr>
                <w:b/>
                <w:position w:val="30"/>
                <w:sz w:val="20"/>
              </w:rPr>
              <w:t>)</w:t>
            </w:r>
            <w:r w:rsidR="00194E91" w:rsidRPr="003161DC">
              <w:rPr>
                <w:b/>
                <w:position w:val="30"/>
                <w:sz w:val="20"/>
                <w:vertAlign w:val="subscript"/>
              </w:rPr>
              <w:t>i</w:t>
            </w:r>
            <w:r w:rsidR="00194E91" w:rsidRPr="003161DC">
              <w:rPr>
                <w:b/>
                <w:position w:val="30"/>
                <w:sz w:val="20"/>
              </w:rPr>
              <w:t xml:space="preserve"> , 0.0) , 0.2*RDF*</w:t>
            </w:r>
            <w:r w:rsidR="00194E91">
              <w:rPr>
                <w:b/>
                <w:position w:val="30"/>
                <w:sz w:val="20"/>
              </w:rPr>
              <w:t>FRCHL</w:t>
            </w:r>
            <w:r w:rsidR="00194E91" w:rsidRPr="003161DC">
              <w:rPr>
                <w:b/>
                <w:position w:val="30"/>
                <w:sz w:val="20"/>
                <w:vertAlign w:val="subscript"/>
              </w:rPr>
              <w:t>i</w:t>
            </w:r>
            <w:r w:rsidR="00194E91" w:rsidRPr="003161DC">
              <w:rPr>
                <w:b/>
                <w:position w:val="30"/>
                <w:sz w:val="20"/>
              </w:rPr>
              <w:t>),</w:t>
            </w:r>
          </w:p>
          <w:p w14:paraId="0F1D54EE" w14:textId="77777777" w:rsidR="00147C3B" w:rsidRDefault="00147C3B" w:rsidP="00194E91">
            <w:pPr>
              <w:ind w:right="-1080"/>
            </w:pPr>
          </w:p>
          <w:p w14:paraId="734FDDE3" w14:textId="77777777" w:rsidR="00147C3B" w:rsidRDefault="00147C3B" w:rsidP="00194E91">
            <w:pPr>
              <w:ind w:right="-1080"/>
            </w:pPr>
          </w:p>
          <w:p w14:paraId="6348B442" w14:textId="77777777" w:rsidR="00194E91" w:rsidRPr="003161DC" w:rsidRDefault="00194E91" w:rsidP="00194E91">
            <w:pPr>
              <w:ind w:right="-1080"/>
            </w:pPr>
            <w:r w:rsidRPr="003161DC">
              <w:t>where the included On-Line Generation Resources do not include WGRs, nuclear Generation</w:t>
            </w:r>
          </w:p>
          <w:p w14:paraId="77382DE0" w14:textId="77777777" w:rsidR="00194E91" w:rsidRPr="003161DC" w:rsidRDefault="00194E91" w:rsidP="00194E91">
            <w:pPr>
              <w:ind w:right="-1080"/>
            </w:pPr>
            <w:r w:rsidRPr="003161DC">
              <w:t xml:space="preserve">Resources, or Generation Resources with an output less than or equal to 95% of telemetered LSL or </w:t>
            </w:r>
          </w:p>
          <w:p w14:paraId="4144EBC7" w14:textId="68F0921E" w:rsidR="00194E91" w:rsidRPr="003161DC" w:rsidRDefault="00194E91" w:rsidP="00194E91">
            <w:pPr>
              <w:ind w:right="-1080"/>
            </w:pPr>
            <w:r w:rsidRPr="003161DC">
              <w:t xml:space="preserve">with a telemetered status of ONTEST, </w:t>
            </w:r>
            <w:r>
              <w:t xml:space="preserve">ONHOLD, </w:t>
            </w:r>
            <w:r w:rsidRPr="003161DC">
              <w:t>STARTUP, or SHUTDOWN.</w:t>
            </w:r>
          </w:p>
          <w:p w14:paraId="42F57D33" w14:textId="4799CF7B" w:rsidR="00194E91" w:rsidRPr="003161DC" w:rsidRDefault="00147C3B" w:rsidP="002E4A29">
            <w:pPr>
              <w:ind w:right="-1080"/>
              <w:rPr>
                <w:b/>
                <w:position w:val="30"/>
                <w:sz w:val="20"/>
              </w:rPr>
            </w:pPr>
            <w:r w:rsidRPr="003161DC">
              <w:rPr>
                <w:noProof/>
              </w:rPr>
              <mc:AlternateContent>
                <mc:Choice Requires="wpc">
                  <w:drawing>
                    <wp:anchor distT="0" distB="0" distL="114300" distR="114300" simplePos="0" relativeHeight="251681792" behindDoc="0" locked="0" layoutInCell="1" allowOverlap="1" wp14:anchorId="56AFDDBB" wp14:editId="05D4AED1">
                      <wp:simplePos x="0" y="0"/>
                      <wp:positionH relativeFrom="column">
                        <wp:posOffset>478047</wp:posOffset>
                      </wp:positionH>
                      <wp:positionV relativeFrom="paragraph">
                        <wp:posOffset>-71240</wp:posOffset>
                      </wp:positionV>
                      <wp:extent cx="761365" cy="1394460"/>
                      <wp:effectExtent l="1270" t="0" r="0" b="0"/>
                      <wp:wrapNone/>
                      <wp:docPr id="3856"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8"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72CE" w14:textId="77777777" w:rsidR="00847E53" w:rsidRDefault="00847E53" w:rsidP="00194E91">
                                    <w:r>
                                      <w:rPr>
                                        <w:rFonts w:ascii="Symbol" w:hAnsi="Symbol" w:cs="Symbol"/>
                                        <w:color w:val="000000"/>
                                        <w:sz w:val="32"/>
                                        <w:szCs w:val="32"/>
                                      </w:rPr>
                                      <w:t></w:t>
                                    </w:r>
                                  </w:p>
                                </w:txbxContent>
                              </wps:txbx>
                              <wps:bodyPr rot="0" vert="horz" wrap="square" lIns="0" tIns="0" rIns="0" bIns="0" anchor="t" anchorCtr="0" upright="1">
                                <a:noAutofit/>
                              </wps:bodyPr>
                            </wps:wsp>
                            <wps:wsp>
                              <wps:cNvPr id="3469"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D4A"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0"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FDFD" w14:textId="77777777" w:rsidR="00847E53" w:rsidRDefault="00847E53" w:rsidP="00194E91">
                                    <w:r>
                                      <w:rPr>
                                        <w:b/>
                                        <w:bCs/>
                                        <w:i/>
                                        <w:iCs/>
                                        <w:color w:val="000000"/>
                                      </w:rPr>
                                      <w:t>WGRs</w:t>
                                    </w:r>
                                  </w:p>
                                </w:txbxContent>
                              </wps:txbx>
                              <wps:bodyPr rot="0" vert="horz" wrap="none" lIns="0" tIns="0" rIns="0" bIns="0" anchor="t" anchorCtr="0" upright="1">
                                <a:spAutoFit/>
                              </wps:bodyPr>
                            </wps:wsp>
                            <wps:wsp>
                              <wps:cNvPr id="3471"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19B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2"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642B" w14:textId="77777777" w:rsidR="00847E53" w:rsidRDefault="00847E53" w:rsidP="00194E91">
                                    <w:r>
                                      <w:rPr>
                                        <w:b/>
                                        <w:bCs/>
                                        <w:i/>
                                        <w:iCs/>
                                        <w:color w:val="000000"/>
                                      </w:rPr>
                                      <w:t>All</w:t>
                                    </w:r>
                                  </w:p>
                                </w:txbxContent>
                              </wps:txbx>
                              <wps:bodyPr rot="0" vert="horz" wrap="none" lIns="0" tIns="0" rIns="0" bIns="0" anchor="t" anchorCtr="0" upright="1">
                                <a:spAutoFit/>
                              </wps:bodyPr>
                            </wps:wsp>
                            <wps:wsp>
                              <wps:cNvPr id="3473"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9DC6" w14:textId="77777777" w:rsidR="00847E53" w:rsidRDefault="00847E53" w:rsidP="00194E91">
                                    <w:r>
                                      <w:rPr>
                                        <w:b/>
                                        <w:bCs/>
                                        <w:i/>
                                        <w:iCs/>
                                        <w:color w:val="000000"/>
                                      </w:rPr>
                                      <w:t>WGR</w:t>
                                    </w:r>
                                  </w:p>
                                </w:txbxContent>
                              </wps:txbx>
                              <wps:bodyPr rot="0" vert="horz" wrap="none" lIns="0" tIns="0" rIns="0" bIns="0" anchor="t" anchorCtr="0" upright="1">
                                <a:spAutoFit/>
                              </wps:bodyPr>
                            </wps:wsp>
                            <wps:wsp>
                              <wps:cNvPr id="3474"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042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5"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F7D1" w14:textId="77777777" w:rsidR="00847E53" w:rsidRDefault="00847E53" w:rsidP="00194E91">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AFDDBB" id="_x0000_s1494" editas="canvas" style="position:absolute;margin-left:37.65pt;margin-top:-5.6pt;width:59.95pt;height:109.8pt;z-index:251681792"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">
                      <v:shape id="_x0000_s1495" type="#_x0000_t75" style="position:absolute;width:7613;height:13944;visibility:visible;mso-wrap-style:square">
                        <v:fill o:detectmouseclick="t"/>
                        <v:path o:connecttype="none"/>
                      </v:shape>
                      <v:rect id="Rectangle 107" o:spid="_x0000_s149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114A72CE" w14:textId="77777777" w:rsidR="00847E53" w:rsidRDefault="00847E53" w:rsidP="00194E91">
                              <w:r>
                                <w:rPr>
                                  <w:rFonts w:ascii="Symbol" w:hAnsi="Symbol" w:cs="Symbol"/>
                                  <w:color w:val="000000"/>
                                  <w:sz w:val="32"/>
                                  <w:szCs w:val="32"/>
                                </w:rPr>
                                <w:t></w:t>
                              </w:r>
                            </w:p>
                          </w:txbxContent>
                        </v:textbox>
                      </v:rect>
                      <v:rect id="Rectangle 108" o:spid="_x0000_s149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NwwAAAN0AAAAPAAAAZHJzL2Rvd25yZXYueG1sRI/dagIx&#10;FITvC75DOIJ3NVsr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BBXaTcMAAADdAAAADwAA&#10;AAAAAAAAAAAAAAAHAgAAZHJzL2Rvd25yZXYueG1sUEsFBgAAAAADAAMAtwAAAPcCAAAAAA==&#10;" filled="f" stroked="f">
                        <v:textbox style="mso-fit-shape-to-text:t" inset="0,0,0,0">
                          <w:txbxContent>
                            <w:p w14:paraId="0A614D4A" w14:textId="77777777" w:rsidR="00847E53" w:rsidRDefault="00847E53" w:rsidP="00194E91">
                              <w:r>
                                <w:rPr>
                                  <w:rFonts w:ascii="Symbol" w:hAnsi="Symbol" w:cs="Symbol"/>
                                  <w:color w:val="000000"/>
                                </w:rPr>
                                <w:t></w:t>
                              </w:r>
                            </w:p>
                          </w:txbxContent>
                        </v:textbox>
                      </v:rect>
                      <v:rect id="Rectangle 109" o:spid="_x0000_s149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" filled="f" stroked="f">
                        <v:textbox style="mso-fit-shape-to-text:t" inset="0,0,0,0">
                          <w:txbxContent>
                            <w:p w14:paraId="68F0FDFD" w14:textId="77777777" w:rsidR="00847E53" w:rsidRDefault="00847E53" w:rsidP="00194E91">
                              <w:r>
                                <w:rPr>
                                  <w:b/>
                                  <w:bCs/>
                                  <w:i/>
                                  <w:iCs/>
                                  <w:color w:val="000000"/>
                                </w:rPr>
                                <w:t>WGRs</w:t>
                              </w:r>
                            </w:p>
                          </w:txbxContent>
                        </v:textbox>
                      </v:rect>
                      <v:rect id="Rectangle 110" o:spid="_x0000_s149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WwwAAAN0AAAAPAAAAZHJzL2Rvd25yZXYueG1sRI/dagIx&#10;FITvC75DOIJ3NasW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f7pAlsMAAADdAAAADwAA&#10;AAAAAAAAAAAAAAAHAgAAZHJzL2Rvd25yZXYueG1sUEsFBgAAAAADAAMAtwAAAPcCAAAAAA==&#10;" filled="f" stroked="f">
                        <v:textbox style="mso-fit-shape-to-text:t" inset="0,0,0,0">
                          <w:txbxContent>
                            <w:p w14:paraId="1D8E19BF" w14:textId="77777777" w:rsidR="00847E53" w:rsidRDefault="00847E53" w:rsidP="00194E91">
                              <w:r>
                                <w:rPr>
                                  <w:b/>
                                  <w:bCs/>
                                  <w:i/>
                                  <w:iCs/>
                                  <w:color w:val="000000"/>
                                </w:rPr>
                                <w:t>online</w:t>
                              </w:r>
                            </w:p>
                          </w:txbxContent>
                        </v:textbox>
                      </v:rect>
                      <v:rect id="Rectangle 111" o:spid="_x0000_s150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hwwAAAN0AAAAPAAAAZHJzL2Rvd25yZXYueG1sRI/dagIx&#10;FITvC75DOIJ3Nesq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j2je4cMAAADdAAAADwAA&#10;AAAAAAAAAAAAAAAHAgAAZHJzL2Rvd25yZXYueG1sUEsFBgAAAAADAAMAtwAAAPcCAAAAAA==&#10;" filled="f" stroked="f">
                        <v:textbox style="mso-fit-shape-to-text:t" inset="0,0,0,0">
                          <w:txbxContent>
                            <w:p w14:paraId="5FD6642B" w14:textId="77777777" w:rsidR="00847E53" w:rsidRDefault="00847E53" w:rsidP="00194E91">
                              <w:r>
                                <w:rPr>
                                  <w:b/>
                                  <w:bCs/>
                                  <w:i/>
                                  <w:iCs/>
                                  <w:color w:val="000000"/>
                                </w:rPr>
                                <w:t>All</w:t>
                              </w:r>
                            </w:p>
                          </w:txbxContent>
                        </v:textbox>
                      </v:rect>
                      <v:rect id="Rectangle 112" o:spid="_x0000_s150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6xAAAAN0AAAAPAAAAZHJzL2Rvd25yZXYueG1sRI/dagIx&#10;FITvBd8hHKF3mq2W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OAke3rEAAAA3QAAAA8A&#10;AAAAAAAAAAAAAAAABwIAAGRycy9kb3ducmV2LnhtbFBLBQYAAAAAAwADALcAAAD4AgAAAAA=&#10;" filled="f" stroked="f">
                        <v:textbox style="mso-fit-shape-to-text:t" inset="0,0,0,0">
                          <w:txbxContent>
                            <w:p w14:paraId="74B29DC6" w14:textId="77777777" w:rsidR="00847E53" w:rsidRDefault="00847E53" w:rsidP="00194E91">
                              <w:r>
                                <w:rPr>
                                  <w:b/>
                                  <w:bCs/>
                                  <w:i/>
                                  <w:iCs/>
                                  <w:color w:val="000000"/>
                                </w:rPr>
                                <w:t>WGR</w:t>
                              </w:r>
                            </w:p>
                          </w:txbxContent>
                        </v:textbox>
                      </v:rect>
                      <v:rect id="Rectangle 113" o:spid="_x0000_s150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OwwAAAN0AAAAPAAAAZHJzL2Rvd25yZXYueG1sRI/dagIx&#10;FITvC75DOIJ3NVsr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b83jDsMAAADdAAAADwAA&#10;AAAAAAAAAAAAAAAHAgAAZHJzL2Rvd25yZXYueG1sUEsFBgAAAAADAAMAtwAAAPcCAAAAAA==&#10;" filled="f" stroked="f">
                        <v:textbox style="mso-fit-shape-to-text:t" inset="0,0,0,0">
                          <w:txbxContent>
                            <w:p w14:paraId="6E13042F" w14:textId="77777777" w:rsidR="00847E53" w:rsidRDefault="00847E53" w:rsidP="00194E91">
                              <w:r>
                                <w:rPr>
                                  <w:b/>
                                  <w:bCs/>
                                  <w:i/>
                                  <w:iCs/>
                                  <w:color w:val="000000"/>
                                </w:rPr>
                                <w:t>online</w:t>
                              </w:r>
                            </w:p>
                          </w:txbxContent>
                        </v:textbox>
                      </v:rect>
                      <v:rect id="Rectangle 114" o:spid="_x0000_s150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VxAAAAN0AAAAPAAAAZHJzL2Rvd25yZXYueG1sRI/dagIx&#10;FITvBd8hHKF3mtW2VrZ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ACBRpXEAAAA3QAAAA8A&#10;AAAAAAAAAAAAAAAABwIAAGRycy9kb3ducmV2LnhtbFBLBQYAAAAAAwADALcAAAD4AgAAAAA=&#10;" filled="f" stroked="f">
                        <v:textbox style="mso-fit-shape-to-text:t" inset="0,0,0,0">
                          <w:txbxContent>
                            <w:p w14:paraId="5DF1F7D1" w14:textId="77777777" w:rsidR="00847E53" w:rsidRDefault="00847E53" w:rsidP="00194E91">
                              <w:r>
                                <w:rPr>
                                  <w:b/>
                                  <w:bCs/>
                                  <w:i/>
                                  <w:iCs/>
                                  <w:color w:val="000000"/>
                                </w:rPr>
                                <w:t>i</w:t>
                              </w:r>
                            </w:p>
                          </w:txbxContent>
                        </v:textbox>
                      </v:rect>
                    </v:group>
                  </w:pict>
                </mc:Fallback>
              </mc:AlternateContent>
            </w:r>
          </w:p>
          <w:p w14:paraId="5ED0DDA0" w14:textId="08E84C40" w:rsidR="00194E91" w:rsidRPr="003161DC" w:rsidRDefault="00194E91" w:rsidP="00194E91">
            <w:pPr>
              <w:rPr>
                <w:b/>
                <w:position w:val="30"/>
                <w:sz w:val="20"/>
              </w:rPr>
            </w:pPr>
            <w:r w:rsidRPr="003161DC">
              <w:rPr>
                <w:b/>
                <w:position w:val="30"/>
                <w:sz w:val="20"/>
              </w:rPr>
              <w:t>PRC</w:t>
            </w:r>
            <w:r w:rsidRPr="003161DC">
              <w:rPr>
                <w:b/>
                <w:position w:val="30"/>
                <w:sz w:val="20"/>
                <w:vertAlign w:val="subscript"/>
              </w:rPr>
              <w:t>2</w:t>
            </w:r>
            <w:r w:rsidRPr="003161DC">
              <w:rPr>
                <w:b/>
                <w:position w:val="30"/>
                <w:sz w:val="20"/>
              </w:rPr>
              <w:t xml:space="preserve"> =</w:t>
            </w:r>
            <w:r w:rsidRPr="003161DC">
              <w:rPr>
                <w:b/>
                <w:position w:val="30"/>
                <w:sz w:val="20"/>
              </w:rPr>
              <w:tab/>
            </w:r>
            <w:r w:rsidRPr="003161DC">
              <w:rPr>
                <w:b/>
                <w:position w:val="30"/>
                <w:sz w:val="20"/>
              </w:rPr>
              <w:tab/>
            </w:r>
            <w:r w:rsidRPr="003161DC">
              <w:rPr>
                <w:b/>
                <w:position w:val="30"/>
                <w:sz w:val="20"/>
              </w:rPr>
              <w:tab/>
              <w:t>Min(Max((RDF</w:t>
            </w:r>
            <w:r w:rsidRPr="003161DC">
              <w:rPr>
                <w:b/>
                <w:position w:val="30"/>
                <w:sz w:val="20"/>
                <w:vertAlign w:val="subscript"/>
              </w:rPr>
              <w:t>W</w:t>
            </w:r>
            <w:r w:rsidRPr="003161DC">
              <w:rPr>
                <w:b/>
                <w:position w:val="30"/>
                <w:sz w:val="20"/>
              </w:rPr>
              <w:t>*HSL – Actual Net Telemetered Output)</w:t>
            </w:r>
            <w:r w:rsidRPr="003161DC">
              <w:rPr>
                <w:b/>
                <w:position w:val="30"/>
                <w:sz w:val="20"/>
                <w:vertAlign w:val="subscript"/>
              </w:rPr>
              <w:t>i</w:t>
            </w:r>
            <w:r w:rsidRPr="003161DC">
              <w:rPr>
                <w:b/>
                <w:position w:val="30"/>
                <w:sz w:val="20"/>
              </w:rPr>
              <w:t xml:space="preserve"> , 0.0) , </w:t>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Pr="003161DC">
              <w:rPr>
                <w:b/>
                <w:position w:val="30"/>
                <w:sz w:val="20"/>
              </w:rPr>
              <w:t>0.2*RDF</w:t>
            </w:r>
            <w:r w:rsidRPr="003161DC">
              <w:rPr>
                <w:b/>
                <w:position w:val="30"/>
                <w:sz w:val="20"/>
                <w:vertAlign w:val="subscript"/>
              </w:rPr>
              <w:t>W</w:t>
            </w:r>
            <w:r w:rsidRPr="003161DC">
              <w:rPr>
                <w:b/>
                <w:position w:val="30"/>
                <w:sz w:val="20"/>
              </w:rPr>
              <w:t>*HSL</w:t>
            </w:r>
            <w:r w:rsidRPr="003161DC">
              <w:rPr>
                <w:b/>
                <w:position w:val="30"/>
                <w:sz w:val="20"/>
                <w:vertAlign w:val="subscript"/>
              </w:rPr>
              <w:t>i</w:t>
            </w:r>
            <w:r w:rsidRPr="003161DC">
              <w:rPr>
                <w:b/>
                <w:position w:val="30"/>
                <w:sz w:val="20"/>
              </w:rPr>
              <w:t>),</w:t>
            </w:r>
          </w:p>
          <w:p w14:paraId="0DD323A3" w14:textId="77777777" w:rsidR="00194E91" w:rsidRPr="003161DC" w:rsidRDefault="00194E91" w:rsidP="00194E91">
            <w:pPr>
              <w:ind w:right="-1080" w:hanging="1080"/>
              <w:rPr>
                <w:b/>
                <w:position w:val="30"/>
              </w:rPr>
            </w:pPr>
          </w:p>
          <w:p w14:paraId="780AD5E4" w14:textId="77777777" w:rsidR="00194E91" w:rsidRPr="003161DC" w:rsidRDefault="00194E91" w:rsidP="002E4A29">
            <w:pPr>
              <w:spacing w:before="120"/>
            </w:pPr>
            <w:r w:rsidRPr="003161DC">
              <w:t>where the included On-Line WGRs only include WGRs that are Primary Frequency Response-capable.</w:t>
            </w:r>
          </w:p>
          <w:p w14:paraId="6AA6F4EE" w14:textId="3B42B7F4" w:rsidR="00194E91" w:rsidRPr="003161DC" w:rsidRDefault="00DD0A69" w:rsidP="00194E91">
            <w:pPr>
              <w:ind w:left="2160" w:hanging="2160"/>
              <w:rPr>
                <w:b/>
                <w:position w:val="30"/>
                <w:sz w:val="20"/>
              </w:rPr>
            </w:pPr>
            <w:r>
              <w:rPr>
                <w:b/>
                <w:noProof/>
                <w:position w:val="30"/>
                <w:sz w:val="20"/>
              </w:rPr>
              <w:object w:dxaOrig="1440" w:dyaOrig="1440" w14:anchorId="37536CFD">
                <v:shape id="_x0000_s5121" type="#_x0000_t75" style="position:absolute;left:0;text-align:left;margin-left:34.1pt;margin-top:-1.7pt;width:67.85pt;height:110.1pt;z-index:251677696" fillcolor="red" strokecolor="red">
                  <v:fill opacity="13107f" color2="fill darken(118)" o:opacity2="13107f" rotate="t" method="linear sigma" focus="100%" type="gradient"/>
                  <v:imagedata r:id="rId15" o:title=""/>
                </v:shape>
                <o:OLEObject Type="Embed" ProgID="Equation.3" ShapeID="_x0000_s5121" DrawAspect="Content" ObjectID="_1804653946" r:id="rId19"/>
              </w:object>
            </w:r>
            <w:r w:rsidR="00194E91" w:rsidRPr="003161DC">
              <w:rPr>
                <w:b/>
                <w:position w:val="30"/>
                <w:sz w:val="20"/>
              </w:rPr>
              <w:t>PRC</w:t>
            </w:r>
            <w:r w:rsidR="00194E91" w:rsidRPr="003161DC">
              <w:rPr>
                <w:b/>
                <w:position w:val="30"/>
                <w:sz w:val="20"/>
                <w:vertAlign w:val="subscript"/>
              </w:rPr>
              <w:t>3</w:t>
            </w:r>
            <w:r w:rsidR="00194E91" w:rsidRPr="003161DC">
              <w:rPr>
                <w:b/>
                <w:position w:val="30"/>
                <w:sz w:val="20"/>
              </w:rPr>
              <w:t xml:space="preserve"> =</w:t>
            </w:r>
            <w:r w:rsidR="00194E91" w:rsidRPr="003161DC">
              <w:rPr>
                <w:b/>
                <w:position w:val="30"/>
                <w:sz w:val="20"/>
              </w:rPr>
              <w:tab/>
            </w:r>
            <w:r w:rsidR="00147C3B" w:rsidRPr="003161DC">
              <w:rPr>
                <w:b/>
                <w:position w:val="30"/>
                <w:sz w:val="20"/>
              </w:rPr>
              <w:t>((Synchronous condenser output)</w:t>
            </w:r>
            <w:r w:rsidR="00147C3B" w:rsidRPr="003161DC">
              <w:rPr>
                <w:b/>
                <w:position w:val="30"/>
                <w:sz w:val="20"/>
                <w:vertAlign w:val="subscript"/>
              </w:rPr>
              <w:t>i</w:t>
            </w:r>
            <w:r w:rsidR="00147C3B" w:rsidRPr="003161DC">
              <w:rPr>
                <w:b/>
                <w:position w:val="30"/>
                <w:sz w:val="20"/>
              </w:rPr>
              <w:t xml:space="preserve"> as qualified by item (8) of Operating Guide Section 2.3.1.2, Additional Operational Details for Responsive Reserve and ERCOT Contingency Reserve Service Providers))</w:t>
            </w:r>
          </w:p>
          <w:p w14:paraId="251D1C68" w14:textId="77777777" w:rsidR="00CB3F90" w:rsidRDefault="00CB3F90" w:rsidP="00194E91">
            <w:pPr>
              <w:tabs>
                <w:tab w:val="left" w:pos="2160"/>
              </w:tabs>
              <w:spacing w:before="480"/>
              <w:ind w:left="2160" w:hanging="2160"/>
              <w:rPr>
                <w:b/>
                <w:position w:val="30"/>
                <w:sz w:val="20"/>
              </w:rPr>
            </w:pPr>
          </w:p>
          <w:p w14:paraId="6759EC89" w14:textId="0997F19F" w:rsidR="00194E91" w:rsidRPr="003161DC" w:rsidRDefault="00194E91" w:rsidP="00194E91">
            <w:pPr>
              <w:tabs>
                <w:tab w:val="left" w:pos="2160"/>
              </w:tabs>
              <w:spacing w:before="480"/>
              <w:ind w:left="2160" w:hanging="2160"/>
              <w:rPr>
                <w:b/>
                <w:position w:val="30"/>
                <w:sz w:val="20"/>
                <w:vertAlign w:val="subscript"/>
              </w:rPr>
            </w:pPr>
            <w:r w:rsidRPr="003161DC">
              <w:rPr>
                <w:noProof/>
              </w:rPr>
              <w:lastRenderedPageBreak/>
              <mc:AlternateContent>
                <mc:Choice Requires="wpc">
                  <w:drawing>
                    <wp:anchor distT="0" distB="0" distL="114300" distR="114300" simplePos="0" relativeHeight="251678720" behindDoc="0" locked="0" layoutInCell="1" allowOverlap="1" wp14:anchorId="562C8524" wp14:editId="04FC90E5">
                      <wp:simplePos x="0" y="0"/>
                      <wp:positionH relativeFrom="column">
                        <wp:posOffset>483870</wp:posOffset>
                      </wp:positionH>
                      <wp:positionV relativeFrom="paragraph">
                        <wp:posOffset>43815</wp:posOffset>
                      </wp:positionV>
                      <wp:extent cx="721360" cy="1369060"/>
                      <wp:effectExtent l="0" t="0" r="4445" b="0"/>
                      <wp:wrapNone/>
                      <wp:docPr id="385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76"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477"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3C45"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8"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E7D8"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479"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A0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0"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E43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1"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99F8"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482"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8AAA"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483"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C6ED"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4"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62F6"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5"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EA7E"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2C8524" id="_x0000_s1504" editas="canvas" style="position:absolute;left:0;text-align:left;margin-left:38.1pt;margin-top:3.45pt;width:56.8pt;height:107.8pt;z-index:25167872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I29zDN6AwAA/xcAAA4AAAAAAAAAAAAAAAAALgIAAGRycy9lMm9Eb2Mu&#10;eG1sUEsBAi0AFAAGAAgAAAAhADkVWNfeAAAACAEAAA8AAAAAAAAAAAAAAAAA1AUAAGRycy9kb3du&#10;cmV2LnhtbFBLBQYAAAAABAAEAPMAAADfBgAAAAA=&#10;">
                      <v:shape id="_x0000_s1505" type="#_x0000_t75" style="position:absolute;width:7213;height:13690;visibility:visible;mso-wrap-style:square">
                        <v:fill o:detectmouseclick="t"/>
                        <v:path o:connecttype="none"/>
                      </v:shape>
                      <v:rect id="Rectangle 71" o:spid="_x0000_s1506"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" filled="f" stroked="f">
                        <v:textbox style="mso-fit-shape-to-text:t" inset="0,0,0,0">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0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" filled="f" stroked="f">
                        <v:textbox style="mso-fit-shape-to-text:t" inset="0,0,0,0">
                          <w:txbxContent>
                            <w:p w14:paraId="098F3C45" w14:textId="77777777" w:rsidR="00847E53" w:rsidRDefault="00847E53" w:rsidP="00194E91">
                              <w:r>
                                <w:rPr>
                                  <w:rFonts w:ascii="Symbol" w:hAnsi="Symbol" w:cs="Symbol"/>
                                  <w:color w:val="000000"/>
                                </w:rPr>
                                <w:t></w:t>
                              </w:r>
                            </w:p>
                          </w:txbxContent>
                        </v:textbox>
                      </v:rect>
                      <v:rect id="Rectangle 73" o:spid="_x0000_s1508"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" filled="f" stroked="f">
                        <v:textbox style="mso-fit-shape-to-text:t" inset="0,0,0,0">
                          <w:txbxContent>
                            <w:p w14:paraId="6533E7D8" w14:textId="77777777" w:rsidR="00847E53" w:rsidRPr="00B34B0A" w:rsidRDefault="00847E53" w:rsidP="00194E91">
                              <w:pPr>
                                <w:rPr>
                                  <w:b/>
                                </w:rPr>
                              </w:pPr>
                              <w:r w:rsidRPr="00B34B0A">
                                <w:rPr>
                                  <w:b/>
                                  <w:i/>
                                  <w:iCs/>
                                  <w:color w:val="000000"/>
                                </w:rPr>
                                <w:t>resources</w:t>
                              </w:r>
                            </w:p>
                          </w:txbxContent>
                        </v:textbox>
                      </v:rect>
                      <v:rect id="Rectangle 74" o:spid="_x0000_s1509"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" filled="f" stroked="f">
                        <v:textbox style="mso-fit-shape-to-text:t" inset="0,0,0,0">
                          <w:txbxContent>
                            <w:p w14:paraId="53CAA0B8" w14:textId="77777777" w:rsidR="00847E53" w:rsidRPr="00B34B0A" w:rsidRDefault="00847E53" w:rsidP="00194E91">
                              <w:pPr>
                                <w:rPr>
                                  <w:b/>
                                </w:rPr>
                              </w:pPr>
                              <w:r w:rsidRPr="00B34B0A">
                                <w:rPr>
                                  <w:b/>
                                  <w:i/>
                                  <w:iCs/>
                                  <w:color w:val="000000"/>
                                </w:rPr>
                                <w:t>load</w:t>
                              </w:r>
                            </w:p>
                          </w:txbxContent>
                        </v:textbox>
                      </v:rect>
                      <v:rect id="Rectangle 75" o:spid="_x0000_s1510"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" filled="f" stroked="f">
                        <v:textbox style="mso-fit-shape-to-text:t" inset="0,0,0,0">
                          <w:txbxContent>
                            <w:p w14:paraId="3E20E433" w14:textId="77777777" w:rsidR="00847E53" w:rsidRPr="00B34B0A" w:rsidRDefault="00847E53" w:rsidP="00194E91">
                              <w:pPr>
                                <w:rPr>
                                  <w:b/>
                                </w:rPr>
                              </w:pPr>
                              <w:r w:rsidRPr="00B34B0A">
                                <w:rPr>
                                  <w:b/>
                                  <w:i/>
                                  <w:iCs/>
                                  <w:color w:val="000000"/>
                                </w:rPr>
                                <w:t>online</w:t>
                              </w:r>
                            </w:p>
                          </w:txbxContent>
                        </v:textbox>
                      </v:rect>
                      <v:rect id="Rectangle 76" o:spid="_x0000_s1511"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27B299F8" w14:textId="77777777" w:rsidR="00847E53" w:rsidRPr="00B34B0A" w:rsidRDefault="00847E53" w:rsidP="00194E91">
                              <w:pPr>
                                <w:rPr>
                                  <w:b/>
                                </w:rPr>
                              </w:pPr>
                              <w:r w:rsidRPr="00B34B0A">
                                <w:rPr>
                                  <w:b/>
                                  <w:i/>
                                  <w:iCs/>
                                  <w:color w:val="000000"/>
                                </w:rPr>
                                <w:t>All</w:t>
                              </w:r>
                            </w:p>
                          </w:txbxContent>
                        </v:textbox>
                      </v:rect>
                      <v:rect id="Rectangle 77" o:spid="_x0000_s1512"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" filled="f" stroked="f">
                        <v:textbox style="mso-fit-shape-to-text:t" inset="0,0,0,0">
                          <w:txbxContent>
                            <w:p w14:paraId="14958AAA" w14:textId="77777777" w:rsidR="00847E53" w:rsidRPr="00B34B0A" w:rsidRDefault="00847E53" w:rsidP="00194E91">
                              <w:pPr>
                                <w:rPr>
                                  <w:b/>
                                </w:rPr>
                              </w:pPr>
                              <w:r w:rsidRPr="00B34B0A">
                                <w:rPr>
                                  <w:b/>
                                  <w:i/>
                                  <w:iCs/>
                                  <w:color w:val="000000"/>
                                </w:rPr>
                                <w:t>resource</w:t>
                              </w:r>
                            </w:p>
                          </w:txbxContent>
                        </v:textbox>
                      </v:rect>
                      <v:rect id="Rectangle 78" o:spid="_x0000_s1513"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" filled="f" stroked="f">
                        <v:textbox style="mso-fit-shape-to-text:t" inset="0,0,0,0">
                          <w:txbxContent>
                            <w:p w14:paraId="2B51C6ED" w14:textId="77777777" w:rsidR="00847E53" w:rsidRPr="00B34B0A" w:rsidRDefault="00847E53" w:rsidP="00194E91">
                              <w:pPr>
                                <w:rPr>
                                  <w:b/>
                                </w:rPr>
                              </w:pPr>
                              <w:r w:rsidRPr="00B34B0A">
                                <w:rPr>
                                  <w:b/>
                                  <w:i/>
                                  <w:iCs/>
                                  <w:color w:val="000000"/>
                                </w:rPr>
                                <w:t>load</w:t>
                              </w:r>
                            </w:p>
                          </w:txbxContent>
                        </v:textbox>
                      </v:rect>
                      <v:rect id="Rectangle 79" o:spid="_x0000_s151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40D162F6" w14:textId="77777777" w:rsidR="00847E53" w:rsidRPr="00B34B0A" w:rsidRDefault="00847E53" w:rsidP="00194E91">
                              <w:pPr>
                                <w:rPr>
                                  <w:b/>
                                </w:rPr>
                              </w:pPr>
                              <w:r w:rsidRPr="00B34B0A">
                                <w:rPr>
                                  <w:b/>
                                  <w:i/>
                                  <w:iCs/>
                                  <w:color w:val="000000"/>
                                </w:rPr>
                                <w:t>online</w:t>
                              </w:r>
                            </w:p>
                          </w:txbxContent>
                        </v:textbox>
                      </v:rect>
                      <v:rect id="Rectangle 80" o:spid="_x0000_s151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" filled="f" stroked="f">
                        <v:textbox style="mso-fit-shape-to-text:t" inset="0,0,0,0">
                          <w:txbxContent>
                            <w:p w14:paraId="7586EA7E"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4</w:t>
            </w:r>
            <w:r w:rsidRPr="003161DC">
              <w:rPr>
                <w:b/>
                <w:position w:val="30"/>
                <w:sz w:val="20"/>
              </w:rPr>
              <w:t xml:space="preserve"> =</w:t>
            </w:r>
            <w:r w:rsidRPr="003161DC">
              <w:rPr>
                <w:b/>
                <w:position w:val="30"/>
                <w:sz w:val="20"/>
              </w:rPr>
              <w:tab/>
            </w:r>
            <w:r w:rsidR="00147C3B" w:rsidRPr="003161DC">
              <w:rPr>
                <w:b/>
                <w:position w:val="30"/>
                <w:sz w:val="20"/>
              </w:rPr>
              <w:t xml:space="preserve">(Min(Max((Actual Net Telemetered Consumption – LPC), 0.0), ECRS and RRS Ancillary Service Resource </w:t>
            </w:r>
            <w:r w:rsidR="00147C3B">
              <w:rPr>
                <w:b/>
                <w:position w:val="30"/>
                <w:sz w:val="20"/>
              </w:rPr>
              <w:t>award</w:t>
            </w:r>
            <w:r w:rsidR="00147C3B" w:rsidRPr="003161DC">
              <w:rPr>
                <w:b/>
                <w:position w:val="30"/>
                <w:sz w:val="20"/>
              </w:rPr>
              <w:t xml:space="preserve"> * 1.5) from all Load Resources controlled by high-set under</w:t>
            </w:r>
            <w:r w:rsidR="00147C3B">
              <w:rPr>
                <w:b/>
                <w:position w:val="30"/>
                <w:sz w:val="20"/>
              </w:rPr>
              <w:t>-</w:t>
            </w:r>
            <w:r w:rsidR="00147C3B" w:rsidRPr="003161DC">
              <w:rPr>
                <w:b/>
                <w:position w:val="30"/>
                <w:sz w:val="20"/>
              </w:rPr>
              <w:t xml:space="preserve">frequency relays </w:t>
            </w:r>
            <w:r w:rsidR="00147C3B">
              <w:rPr>
                <w:b/>
                <w:position w:val="30"/>
                <w:sz w:val="20"/>
              </w:rPr>
              <w:t>with</w:t>
            </w:r>
            <w:r w:rsidR="00147C3B" w:rsidRPr="003161DC">
              <w:rPr>
                <w:b/>
                <w:position w:val="30"/>
                <w:sz w:val="20"/>
              </w:rPr>
              <w:t xml:space="preserve"> an ECRS and/or RRS Ancillary Service Resource </w:t>
            </w:r>
            <w:r w:rsidR="00147C3B">
              <w:rPr>
                <w:b/>
                <w:position w:val="30"/>
                <w:sz w:val="20"/>
              </w:rPr>
              <w:t>award</w:t>
            </w:r>
            <w:r w:rsidR="00147C3B" w:rsidRPr="003161DC">
              <w:rPr>
                <w:b/>
                <w:position w:val="30"/>
                <w:sz w:val="20"/>
              </w:rPr>
              <w:t>)</w:t>
            </w:r>
            <w:r w:rsidR="00147C3B" w:rsidRPr="003161DC">
              <w:rPr>
                <w:b/>
                <w:position w:val="30"/>
                <w:sz w:val="20"/>
                <w:vertAlign w:val="subscript"/>
              </w:rPr>
              <w:t>i</w:t>
            </w:r>
          </w:p>
          <w:p w14:paraId="748F7931" w14:textId="289B5A94" w:rsidR="00194E91" w:rsidRPr="003161DC" w:rsidRDefault="00194E91" w:rsidP="00194E91">
            <w:pPr>
              <w:tabs>
                <w:tab w:val="left" w:pos="2160"/>
              </w:tabs>
              <w:spacing w:before="480"/>
              <w:ind w:left="2160" w:hanging="2160"/>
              <w:rPr>
                <w:b/>
                <w:position w:val="30"/>
                <w:sz w:val="20"/>
              </w:rPr>
            </w:pPr>
            <w:r w:rsidRPr="003161DC">
              <w:rPr>
                <w:noProof/>
              </w:rPr>
              <mc:AlternateContent>
                <mc:Choice Requires="wpc">
                  <w:drawing>
                    <wp:anchor distT="0" distB="0" distL="114300" distR="114300" simplePos="0" relativeHeight="251679744" behindDoc="0" locked="0" layoutInCell="1" allowOverlap="1" wp14:anchorId="0D1CB5D4" wp14:editId="21784A5A">
                      <wp:simplePos x="0" y="0"/>
                      <wp:positionH relativeFrom="column">
                        <wp:posOffset>494072</wp:posOffset>
                      </wp:positionH>
                      <wp:positionV relativeFrom="paragraph">
                        <wp:posOffset>31363</wp:posOffset>
                      </wp:positionV>
                      <wp:extent cx="737235" cy="1360805"/>
                      <wp:effectExtent l="0" t="0" r="0" b="1270"/>
                      <wp:wrapNone/>
                      <wp:docPr id="3859"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0"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561"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FE13"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56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0876"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56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C1A"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5"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743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596"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F972"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597"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5EA1"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598"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402C"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9"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E9D0"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0"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C6F8"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1CB5D4" id="_x0000_s1516" editas="canvas" style="position:absolute;left:0;text-align:left;margin-left:38.9pt;margin-top:2.45pt;width:58.05pt;height:107.15pt;z-index:251679744"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">
                      <v:shape id="_x0000_s1517" type="#_x0000_t75" style="position:absolute;width:7372;height:13608;visibility:visible;mso-wrap-style:square">
                        <v:fill o:detectmouseclick="t"/>
                        <v:path o:connecttype="none"/>
                      </v:shape>
                      <v:rect id="Rectangle 83" o:spid="_x0000_s1518"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84" o:spid="_x0000_s1519"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17C5FE13" w14:textId="77777777" w:rsidR="00847E53" w:rsidRDefault="00847E53" w:rsidP="00194E91">
                              <w:r>
                                <w:rPr>
                                  <w:rFonts w:ascii="Symbol" w:hAnsi="Symbol" w:cs="Symbol"/>
                                  <w:color w:val="000000"/>
                                </w:rPr>
                                <w:t></w:t>
                              </w:r>
                            </w:p>
                          </w:txbxContent>
                        </v:textbox>
                      </v:rect>
                      <v:rect id="Rectangle 85" o:spid="_x0000_s1520"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19FC0876" w14:textId="77777777" w:rsidR="00847E53" w:rsidRPr="00B34B0A" w:rsidRDefault="00847E53" w:rsidP="00194E91">
                              <w:pPr>
                                <w:rPr>
                                  <w:b/>
                                </w:rPr>
                              </w:pPr>
                              <w:r w:rsidRPr="00B34B0A">
                                <w:rPr>
                                  <w:b/>
                                  <w:i/>
                                  <w:iCs/>
                                  <w:color w:val="000000"/>
                                </w:rPr>
                                <w:t>resources</w:t>
                              </w:r>
                            </w:p>
                          </w:txbxContent>
                        </v:textbox>
                      </v:rect>
                      <v:rect id="Rectangle 86" o:spid="_x0000_s1521"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6A850C1A" w14:textId="77777777" w:rsidR="00847E53" w:rsidRPr="00B34B0A" w:rsidRDefault="00847E53" w:rsidP="00194E91">
                              <w:pPr>
                                <w:rPr>
                                  <w:b/>
                                </w:rPr>
                              </w:pPr>
                              <w:r w:rsidRPr="00B34B0A">
                                <w:rPr>
                                  <w:b/>
                                  <w:i/>
                                  <w:iCs/>
                                  <w:color w:val="000000"/>
                                </w:rPr>
                                <w:t>load</w:t>
                              </w:r>
                            </w:p>
                          </w:txbxContent>
                        </v:textbox>
                      </v:rect>
                      <v:rect id="Rectangle 87" o:spid="_x0000_s1522"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ywwAAAN0AAAAPAAAAZHJzL2Rvd25yZXYueG1sRI/dagIx&#10;FITvC75DOIJ3NVuL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xmyv8sMAAADdAAAADwAA&#10;AAAAAAAAAAAAAAAHAgAAZHJzL2Rvd25yZXYueG1sUEsFBgAAAAADAAMAtwAAAPcCAAAAAA==&#10;" filled="f" stroked="f">
                        <v:textbox style="mso-fit-shape-to-text:t" inset="0,0,0,0">
                          <w:txbxContent>
                            <w:p w14:paraId="3F5D7439" w14:textId="77777777" w:rsidR="00847E53" w:rsidRPr="00B34B0A" w:rsidRDefault="00847E53" w:rsidP="00194E91">
                              <w:pPr>
                                <w:rPr>
                                  <w:b/>
                                </w:rPr>
                              </w:pPr>
                              <w:r w:rsidRPr="00B34B0A">
                                <w:rPr>
                                  <w:b/>
                                  <w:i/>
                                  <w:iCs/>
                                  <w:color w:val="000000"/>
                                </w:rPr>
                                <w:t>online</w:t>
                              </w:r>
                            </w:p>
                          </w:txbxContent>
                        </v:textbox>
                      </v:rect>
                      <v:rect id="Rectangle 88" o:spid="_x0000_s1523"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J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Jfw/yY+AZn/AQAA//8DAFBLAQItABQABgAIAAAAIQDb4fbL7gAAAIUBAAATAAAAAAAA&#10;AAAAAAAAAAAAAABbQ29udGVudF9UeXBlc10ueG1sUEsBAi0AFAAGAAgAAAAhAFr0LFu/AAAAFQEA&#10;AAsAAAAAAAAAAAAAAAAAHwEAAF9yZWxzLy5yZWxzUEsBAi0AFAAGAAgAAAAhACOESknHAAAA3QAA&#10;AA8AAAAAAAAAAAAAAAAABwIAAGRycy9kb3ducmV2LnhtbFBLBQYAAAAAAwADALcAAAD7AgAAAAA=&#10;" filled="f" stroked="f">
                        <v:textbox style="mso-fit-shape-to-text:t" inset="0,0,0,0">
                          <w:txbxContent>
                            <w:p w14:paraId="6955F972" w14:textId="77777777" w:rsidR="00847E53" w:rsidRPr="00B34B0A" w:rsidRDefault="00847E53" w:rsidP="00194E91">
                              <w:pPr>
                                <w:rPr>
                                  <w:b/>
                                </w:rPr>
                              </w:pPr>
                              <w:r w:rsidRPr="00B34B0A">
                                <w:rPr>
                                  <w:b/>
                                  <w:i/>
                                  <w:iCs/>
                                  <w:color w:val="000000"/>
                                </w:rPr>
                                <w:t>All</w:t>
                              </w:r>
                            </w:p>
                          </w:txbxContent>
                        </v:textbox>
                      </v:rect>
                      <v:rect id="Rectangle 89" o:spid="_x0000_s1524"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QexAAAAN0AAAAPAAAAZHJzL2Rvd25yZXYueG1sRI/dagIx&#10;FITvBd8hHKF3mtXS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FnylB7EAAAA3QAAAA8A&#10;AAAAAAAAAAAAAAAABwIAAGRycy9kb3ducmV2LnhtbFBLBQYAAAAAAwADALcAAAD4AgAAAAA=&#10;" filled="f" stroked="f">
                        <v:textbox style="mso-fit-shape-to-text:t" inset="0,0,0,0">
                          <w:txbxContent>
                            <w:p w14:paraId="5B2D5EA1" w14:textId="77777777" w:rsidR="00847E53" w:rsidRPr="00B34B0A" w:rsidRDefault="00847E53" w:rsidP="00194E91">
                              <w:pPr>
                                <w:rPr>
                                  <w:b/>
                                </w:rPr>
                              </w:pPr>
                              <w:r w:rsidRPr="00B34B0A">
                                <w:rPr>
                                  <w:b/>
                                  <w:i/>
                                  <w:iCs/>
                                  <w:color w:val="000000"/>
                                </w:rPr>
                                <w:t>resource</w:t>
                              </w:r>
                            </w:p>
                          </w:txbxContent>
                        </v:textbox>
                      </v:rect>
                      <v:rect id="Rectangle 90" o:spid="_x0000_s1525"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BswAAAAN0AAAAPAAAAZHJzL2Rvd25yZXYueG1sRE/LisIw&#10;FN0L8w/hDsxOUx0U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KG0AbMAAAADdAAAADwAAAAAA&#10;AAAAAAAAAAAHAgAAZHJzL2Rvd25yZXYueG1sUEsFBgAAAAADAAMAtwAAAPQCAAAAAA==&#10;" filled="f" stroked="f">
                        <v:textbox style="mso-fit-shape-to-text:t" inset="0,0,0,0">
                          <w:txbxContent>
                            <w:p w14:paraId="2C5B402C" w14:textId="77777777" w:rsidR="00847E53" w:rsidRPr="00B34B0A" w:rsidRDefault="00847E53" w:rsidP="00194E91">
                              <w:pPr>
                                <w:rPr>
                                  <w:b/>
                                </w:rPr>
                              </w:pPr>
                              <w:r w:rsidRPr="00B34B0A">
                                <w:rPr>
                                  <w:b/>
                                  <w:i/>
                                  <w:iCs/>
                                  <w:color w:val="000000"/>
                                </w:rPr>
                                <w:t>load</w:t>
                              </w:r>
                            </w:p>
                          </w:txbxContent>
                        </v:textbox>
                      </v:rect>
                      <v:rect id="Rectangle 91" o:spid="_x0000_s1526"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X3wwAAAN0AAAAPAAAAZHJzL2Rvd25yZXYueG1sRI/dagIx&#10;FITvC75DOIJ3NatS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RyGl98MAAADdAAAADwAA&#10;AAAAAAAAAAAAAAAHAgAAZHJzL2Rvd25yZXYueG1sUEsFBgAAAAADAAMAtwAAAPcCAAAAAA==&#10;" filled="f" stroked="f">
                        <v:textbox style="mso-fit-shape-to-text:t" inset="0,0,0,0">
                          <w:txbxContent>
                            <w:p w14:paraId="420AE9D0" w14:textId="77777777" w:rsidR="00847E53" w:rsidRPr="00B34B0A" w:rsidRDefault="00847E53" w:rsidP="00194E91">
                              <w:pPr>
                                <w:rPr>
                                  <w:b/>
                                </w:rPr>
                              </w:pPr>
                              <w:r w:rsidRPr="00B34B0A">
                                <w:rPr>
                                  <w:b/>
                                  <w:i/>
                                  <w:iCs/>
                                  <w:color w:val="000000"/>
                                </w:rPr>
                                <w:t>online</w:t>
                              </w:r>
                            </w:p>
                          </w:txbxContent>
                        </v:textbox>
                      </v:rect>
                      <v:rect id="Rectangle 92" o:spid="_x0000_s1527"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" filled="f" stroked="f">
                        <v:textbox style="mso-fit-shape-to-text:t" inset="0,0,0,0">
                          <w:txbxContent>
                            <w:p w14:paraId="4217C6F8"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5</w:t>
            </w:r>
            <w:r w:rsidRPr="003161DC">
              <w:rPr>
                <w:b/>
                <w:position w:val="30"/>
                <w:sz w:val="20"/>
              </w:rPr>
              <w:t xml:space="preserve"> =</w:t>
            </w:r>
            <w:r w:rsidRPr="003161DC">
              <w:rPr>
                <w:b/>
                <w:position w:val="30"/>
                <w:sz w:val="20"/>
              </w:rPr>
              <w:tab/>
              <w:t>Min(Max((LRDF_1*Actual Net Telemetered Consumption – LPC)</w:t>
            </w:r>
            <w:r w:rsidRPr="003161DC">
              <w:rPr>
                <w:b/>
                <w:position w:val="30"/>
                <w:sz w:val="20"/>
                <w:vertAlign w:val="subscript"/>
              </w:rPr>
              <w:t>i</w:t>
            </w:r>
            <w:r w:rsidRPr="003161DC">
              <w:rPr>
                <w:b/>
                <w:position w:val="30"/>
                <w:sz w:val="20"/>
              </w:rPr>
              <w:t xml:space="preserve">, 0.0), (0.2 * LRDF_1 * Actual Net Telemetered Consumption)) from all </w:t>
            </w:r>
            <w:r w:rsidR="0069524B">
              <w:rPr>
                <w:b/>
                <w:position w:val="30"/>
                <w:sz w:val="20"/>
              </w:rPr>
              <w:t>CLRs</w:t>
            </w:r>
            <w:r w:rsidRPr="003161DC">
              <w:rPr>
                <w:b/>
                <w:position w:val="30"/>
                <w:sz w:val="20"/>
              </w:rPr>
              <w:t xml:space="preserve"> active in SCED</w:t>
            </w:r>
            <w:r w:rsidR="00016A30">
              <w:rPr>
                <w:b/>
                <w:position w:val="30"/>
                <w:sz w:val="20"/>
              </w:rPr>
              <w:t xml:space="preserve"> </w:t>
            </w:r>
            <w:r w:rsidR="004D2827">
              <w:rPr>
                <w:b/>
                <w:position w:val="30"/>
                <w:sz w:val="20"/>
              </w:rPr>
              <w:t xml:space="preserve">and qualified for Regulation Service and/or RRS </w:t>
            </w:r>
            <w:r>
              <w:rPr>
                <w:b/>
                <w:position w:val="30"/>
                <w:sz w:val="20"/>
              </w:rPr>
              <w:t xml:space="preserve">with an </w:t>
            </w:r>
            <w:r w:rsidRPr="003161DC">
              <w:rPr>
                <w:b/>
                <w:position w:val="30"/>
                <w:sz w:val="20"/>
              </w:rPr>
              <w:t xml:space="preserve">Ancillary Service Resource </w:t>
            </w:r>
            <w:r>
              <w:rPr>
                <w:b/>
                <w:position w:val="30"/>
                <w:sz w:val="20"/>
              </w:rPr>
              <w:t>award</w:t>
            </w:r>
          </w:p>
          <w:p w14:paraId="3F294D27" w14:textId="0609DF07" w:rsidR="00194E91" w:rsidRPr="003161DC" w:rsidRDefault="00194E91" w:rsidP="00194E91">
            <w:pPr>
              <w:tabs>
                <w:tab w:val="left" w:pos="2160"/>
              </w:tabs>
              <w:ind w:left="2160" w:hanging="2160"/>
              <w:rPr>
                <w:b/>
                <w:position w:val="30"/>
                <w:sz w:val="20"/>
              </w:rPr>
            </w:pPr>
          </w:p>
          <w:p w14:paraId="2E81B0DA" w14:textId="405F082B" w:rsidR="00194E91" w:rsidRPr="003161DC" w:rsidRDefault="00147C3B" w:rsidP="00194E91">
            <w:pPr>
              <w:tabs>
                <w:tab w:val="left" w:pos="2160"/>
              </w:tabs>
              <w:ind w:left="2160" w:hanging="2160"/>
              <w:rPr>
                <w:b/>
                <w:position w:val="30"/>
                <w:sz w:val="20"/>
              </w:rPr>
            </w:pPr>
            <w:r w:rsidRPr="003161DC">
              <w:rPr>
                <w:noProof/>
              </w:rPr>
              <mc:AlternateContent>
                <mc:Choice Requires="wpc">
                  <w:drawing>
                    <wp:anchor distT="0" distB="0" distL="114300" distR="114300" simplePos="0" relativeHeight="251680768" behindDoc="0" locked="0" layoutInCell="1" allowOverlap="1" wp14:anchorId="1EC92B59" wp14:editId="3FFF5EEB">
                      <wp:simplePos x="0" y="0"/>
                      <wp:positionH relativeFrom="column">
                        <wp:posOffset>520526</wp:posOffset>
                      </wp:positionH>
                      <wp:positionV relativeFrom="paragraph">
                        <wp:posOffset>-95885</wp:posOffset>
                      </wp:positionV>
                      <wp:extent cx="737870" cy="1338580"/>
                      <wp:effectExtent l="0" t="2540" r="0" b="1905"/>
                      <wp:wrapNone/>
                      <wp:docPr id="386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1"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602"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32C"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03"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5AD29"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604"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BAB4"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5"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1B8"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6"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E629"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607"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F3D5"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608"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32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9"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09C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10"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A435"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C92B59" id="_x0000_s1528" editas="canvas" style="position:absolute;left:0;text-align:left;margin-left:41pt;margin-top:-7.55pt;width:58.1pt;height:105.4pt;z-index:251680768"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">
                      <v:shape id="_x0000_s1529" type="#_x0000_t75" style="position:absolute;width:7378;height:13385;visibility:visible;mso-wrap-style:square">
                        <v:fill o:detectmouseclick="t"/>
                        <v:path o:connecttype="none"/>
                      </v:shape>
                      <v:rect id="Rectangle 95" o:spid="_x0000_s153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" filled="f" stroked="f">
                        <v:textbox style="mso-fit-shape-to-text:t" inset="0,0,0,0">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96" o:spid="_x0000_s153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" filled="f" stroked="f">
                        <v:textbox style="mso-fit-shape-to-text:t" inset="0,0,0,0">
                          <w:txbxContent>
                            <w:p w14:paraId="0D7B832C" w14:textId="77777777" w:rsidR="00847E53" w:rsidRDefault="00847E53" w:rsidP="00194E91">
                              <w:r>
                                <w:rPr>
                                  <w:rFonts w:ascii="Symbol" w:hAnsi="Symbol" w:cs="Symbol"/>
                                  <w:color w:val="000000"/>
                                </w:rPr>
                                <w:t></w:t>
                              </w:r>
                            </w:p>
                          </w:txbxContent>
                        </v:textbox>
                      </v:rect>
                      <v:rect id="Rectangle 97" o:spid="_x0000_s153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mwgAAAN0AAAAPAAAAZHJzL2Rvd25yZXYueG1sRI/dagIx&#10;FITvhb5DOAXvNKmC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V5mbmwgAAAN0AAAAPAAAA&#10;AAAAAAAAAAAAAAcCAABkcnMvZG93bnJldi54bWxQSwUGAAAAAAMAAwC3AAAA9gIAAAAA&#10;" filled="f" stroked="f">
                        <v:textbox style="mso-fit-shape-to-text:t" inset="0,0,0,0">
                          <w:txbxContent>
                            <w:p w14:paraId="4F55AD29" w14:textId="77777777" w:rsidR="00847E53" w:rsidRPr="00B34B0A" w:rsidRDefault="00847E53" w:rsidP="00194E91">
                              <w:pPr>
                                <w:rPr>
                                  <w:b/>
                                </w:rPr>
                              </w:pPr>
                              <w:r w:rsidRPr="00B34B0A">
                                <w:rPr>
                                  <w:b/>
                                  <w:i/>
                                  <w:iCs/>
                                  <w:color w:val="000000"/>
                                </w:rPr>
                                <w:t>resources</w:t>
                              </w:r>
                            </w:p>
                          </w:txbxContent>
                        </v:textbox>
                      </v:rect>
                      <v:rect id="Rectangle 98" o:spid="_x0000_s153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SwwAAAN0AAAAPAAAAZHJzL2Rvd25yZXYueG1sRI/dagIx&#10;FITvhb5DOIXeaVIt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mg/+ksMAAADdAAAADwAA&#10;AAAAAAAAAAAAAAAHAgAAZHJzL2Rvd25yZXYueG1sUEsFBgAAAAADAAMAtwAAAPcCAAAAAA==&#10;" filled="f" stroked="f">
                        <v:textbox style="mso-fit-shape-to-text:t" inset="0,0,0,0">
                          <w:txbxContent>
                            <w:p w14:paraId="6361BAB4" w14:textId="77777777" w:rsidR="00847E53" w:rsidRPr="00B34B0A" w:rsidRDefault="00847E53" w:rsidP="00194E91">
                              <w:pPr>
                                <w:rPr>
                                  <w:b/>
                                </w:rPr>
                              </w:pPr>
                              <w:r w:rsidRPr="00B34B0A">
                                <w:rPr>
                                  <w:b/>
                                  <w:i/>
                                  <w:iCs/>
                                  <w:color w:val="000000"/>
                                </w:rPr>
                                <w:t>load</w:t>
                              </w:r>
                            </w:p>
                          </w:txbxContent>
                        </v:textbox>
                      </v:rect>
                      <v:rect id="Rectangle 99" o:spid="_x0000_s153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JwwAAAN0AAAAPAAAAZHJzL2Rvd25yZXYueG1sRI/dagIx&#10;FITvhb5DOIXeaVKl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9UNbCcMAAADdAAAADwAA&#10;AAAAAAAAAAAAAAAHAgAAZHJzL2Rvd25yZXYueG1sUEsFBgAAAAADAAMAtwAAAPcCAAAAAA==&#10;" filled="f" stroked="f">
                        <v:textbox style="mso-fit-shape-to-text:t" inset="0,0,0,0">
                          <w:txbxContent>
                            <w:p w14:paraId="5AD1A1B8" w14:textId="77777777" w:rsidR="00847E53" w:rsidRPr="00B34B0A" w:rsidRDefault="00847E53" w:rsidP="00194E91">
                              <w:pPr>
                                <w:rPr>
                                  <w:b/>
                                </w:rPr>
                              </w:pPr>
                              <w:r w:rsidRPr="00B34B0A">
                                <w:rPr>
                                  <w:b/>
                                  <w:i/>
                                  <w:iCs/>
                                  <w:color w:val="000000"/>
                                </w:rPr>
                                <w:t>online</w:t>
                              </w:r>
                            </w:p>
                          </w:txbxContent>
                        </v:textbox>
                      </v:rect>
                      <v:rect id="Rectangle 100" o:spid="_x0000_s153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" filled="f" stroked="f">
                        <v:textbox style="mso-fit-shape-to-text:t" inset="0,0,0,0">
                          <w:txbxContent>
                            <w:p w14:paraId="2B32E629" w14:textId="77777777" w:rsidR="00847E53" w:rsidRPr="00B34B0A" w:rsidRDefault="00847E53" w:rsidP="00194E91">
                              <w:pPr>
                                <w:rPr>
                                  <w:b/>
                                </w:rPr>
                              </w:pPr>
                              <w:r w:rsidRPr="00B34B0A">
                                <w:rPr>
                                  <w:b/>
                                  <w:i/>
                                  <w:iCs/>
                                  <w:color w:val="000000"/>
                                </w:rPr>
                                <w:t>All</w:t>
                              </w:r>
                            </w:p>
                          </w:txbxContent>
                        </v:textbox>
                      </v:rect>
                      <v:rect id="Rectangle 101" o:spid="_x0000_s153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" filled="f" stroked="f">
                        <v:textbox style="mso-fit-shape-to-text:t" inset="0,0,0,0">
                          <w:txbxContent>
                            <w:p w14:paraId="5948F3D5" w14:textId="77777777" w:rsidR="00847E53" w:rsidRPr="00B34B0A" w:rsidRDefault="00847E53" w:rsidP="00194E91">
                              <w:pPr>
                                <w:rPr>
                                  <w:b/>
                                </w:rPr>
                              </w:pPr>
                              <w:r w:rsidRPr="00B34B0A">
                                <w:rPr>
                                  <w:b/>
                                  <w:i/>
                                  <w:iCs/>
                                  <w:color w:val="000000"/>
                                </w:rPr>
                                <w:t>resource</w:t>
                              </w:r>
                            </w:p>
                          </w:txbxContent>
                        </v:textbox>
                      </v:rect>
                      <v:rect id="Rectangle 102" o:spid="_x0000_s153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" filled="f" stroked="f">
                        <v:textbox style="mso-fit-shape-to-text:t" inset="0,0,0,0">
                          <w:txbxContent>
                            <w:p w14:paraId="64FC32B8" w14:textId="77777777" w:rsidR="00847E53" w:rsidRPr="00B34B0A" w:rsidRDefault="00847E53" w:rsidP="00194E91">
                              <w:pPr>
                                <w:rPr>
                                  <w:b/>
                                </w:rPr>
                              </w:pPr>
                              <w:r w:rsidRPr="00B34B0A">
                                <w:rPr>
                                  <w:b/>
                                  <w:i/>
                                  <w:iCs/>
                                  <w:color w:val="000000"/>
                                </w:rPr>
                                <w:t>load</w:t>
                              </w:r>
                            </w:p>
                          </w:txbxContent>
                        </v:textbox>
                      </v:rect>
                      <v:rect id="Rectangle 103" o:spid="_x0000_s153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" filled="f" stroked="f">
                        <v:textbox style="mso-fit-shape-to-text:t" inset="0,0,0,0">
                          <w:txbxContent>
                            <w:p w14:paraId="41C009C3" w14:textId="77777777" w:rsidR="00847E53" w:rsidRPr="00B34B0A" w:rsidRDefault="00847E53" w:rsidP="00194E91">
                              <w:pPr>
                                <w:rPr>
                                  <w:b/>
                                </w:rPr>
                              </w:pPr>
                              <w:r w:rsidRPr="00B34B0A">
                                <w:rPr>
                                  <w:b/>
                                  <w:i/>
                                  <w:iCs/>
                                  <w:color w:val="000000"/>
                                </w:rPr>
                                <w:t>online</w:t>
                              </w:r>
                            </w:p>
                          </w:txbxContent>
                        </v:textbox>
                      </v:rect>
                      <v:rect id="Rectangle 104" o:spid="_x0000_s153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" filled="f" stroked="f">
                        <v:textbox style="mso-fit-shape-to-text:t" inset="0,0,0,0">
                          <w:txbxContent>
                            <w:p w14:paraId="57EEA435" w14:textId="77777777" w:rsidR="00847E53" w:rsidRPr="00B34B0A" w:rsidRDefault="00847E53" w:rsidP="00194E91">
                              <w:pPr>
                                <w:rPr>
                                  <w:b/>
                                </w:rPr>
                              </w:pPr>
                              <w:r w:rsidRPr="00B34B0A">
                                <w:rPr>
                                  <w:b/>
                                  <w:i/>
                                  <w:iCs/>
                                  <w:color w:val="000000"/>
                                </w:rPr>
                                <w:t>i</w:t>
                              </w:r>
                            </w:p>
                          </w:txbxContent>
                        </v:textbox>
                      </v:rect>
                    </v:group>
                  </w:pict>
                </mc:Fallback>
              </mc:AlternateContent>
            </w:r>
            <w:r w:rsidR="00194E91" w:rsidRPr="003161DC">
              <w:rPr>
                <w:b/>
                <w:position w:val="30"/>
                <w:sz w:val="20"/>
              </w:rPr>
              <w:t>PRC</w:t>
            </w:r>
            <w:r w:rsidR="00194E91" w:rsidRPr="003161DC">
              <w:rPr>
                <w:b/>
                <w:position w:val="30"/>
                <w:sz w:val="20"/>
                <w:vertAlign w:val="subscript"/>
              </w:rPr>
              <w:t>6</w:t>
            </w:r>
            <w:r w:rsidR="00194E91" w:rsidRPr="003161DC">
              <w:rPr>
                <w:b/>
                <w:position w:val="30"/>
                <w:sz w:val="20"/>
              </w:rPr>
              <w:t xml:space="preserve"> =</w:t>
            </w:r>
            <w:r w:rsidR="00194E91" w:rsidRPr="003161DC">
              <w:rPr>
                <w:b/>
                <w:position w:val="30"/>
                <w:sz w:val="20"/>
              </w:rPr>
              <w:tab/>
              <w:t>Min(Max((LRDF_2 * Actual Net Telemetered Consumption – LPC)</w:t>
            </w:r>
            <w:r w:rsidR="00194E91" w:rsidRPr="003161DC">
              <w:rPr>
                <w:b/>
                <w:position w:val="30"/>
                <w:sz w:val="20"/>
                <w:vertAlign w:val="subscript"/>
              </w:rPr>
              <w:t>i</w:t>
            </w:r>
            <w:r w:rsidR="00194E91" w:rsidRPr="003161DC">
              <w:rPr>
                <w:b/>
                <w:position w:val="30"/>
                <w:sz w:val="20"/>
              </w:rPr>
              <w:t xml:space="preserve">, 0.0), (0.2 * LRDF_2 * Actual Net Telemetered Consumption)) from all </w:t>
            </w:r>
            <w:r w:rsidR="0069524B">
              <w:rPr>
                <w:b/>
                <w:position w:val="30"/>
                <w:sz w:val="20"/>
              </w:rPr>
              <w:t>CLRs</w:t>
            </w:r>
            <w:r w:rsidR="00194E91" w:rsidRPr="003161DC">
              <w:rPr>
                <w:b/>
                <w:position w:val="30"/>
                <w:sz w:val="20"/>
              </w:rPr>
              <w:t xml:space="preserve"> active in SCED</w:t>
            </w:r>
            <w:r w:rsidR="00194E91">
              <w:rPr>
                <w:b/>
                <w:position w:val="30"/>
                <w:sz w:val="20"/>
              </w:rPr>
              <w:t xml:space="preserve"> </w:t>
            </w:r>
            <w:r w:rsidR="004D2827" w:rsidRPr="00272BE5">
              <w:rPr>
                <w:b/>
                <w:position w:val="30"/>
                <w:sz w:val="20"/>
              </w:rPr>
              <w:t xml:space="preserve">and </w:t>
            </w:r>
            <w:r w:rsidR="004D2827">
              <w:rPr>
                <w:b/>
                <w:position w:val="30"/>
                <w:sz w:val="20"/>
              </w:rPr>
              <w:t xml:space="preserve">qualified for Regulation Service and/or RRS </w:t>
            </w:r>
            <w:r w:rsidR="00194E91">
              <w:rPr>
                <w:b/>
                <w:position w:val="30"/>
                <w:sz w:val="20"/>
              </w:rPr>
              <w:t>without an</w:t>
            </w:r>
            <w:r w:rsidR="00194E91" w:rsidRPr="003161DC">
              <w:rPr>
                <w:b/>
                <w:position w:val="30"/>
                <w:sz w:val="20"/>
              </w:rPr>
              <w:t xml:space="preserve"> Ancillary Service Resource </w:t>
            </w:r>
            <w:r w:rsidR="00194E91">
              <w:rPr>
                <w:b/>
                <w:position w:val="30"/>
                <w:sz w:val="20"/>
              </w:rPr>
              <w:t>award</w:t>
            </w:r>
          </w:p>
          <w:p w14:paraId="406A7350" w14:textId="77777777" w:rsidR="00194E91" w:rsidRDefault="00194E91" w:rsidP="00194E91">
            <w:pPr>
              <w:tabs>
                <w:tab w:val="left" w:pos="2160"/>
              </w:tabs>
              <w:ind w:left="2160" w:hanging="2160"/>
              <w:rPr>
                <w:b/>
                <w:position w:val="30"/>
                <w:sz w:val="20"/>
              </w:rPr>
            </w:pPr>
          </w:p>
          <w:p w14:paraId="63191EBD" w14:textId="77777777" w:rsidR="002E4A29" w:rsidRDefault="002E4A29" w:rsidP="00194E91">
            <w:pPr>
              <w:tabs>
                <w:tab w:val="left" w:pos="2160"/>
              </w:tabs>
              <w:ind w:left="2160" w:hanging="2160"/>
              <w:rPr>
                <w:b/>
                <w:position w:val="30"/>
                <w:sz w:val="20"/>
              </w:rPr>
            </w:pPr>
          </w:p>
          <w:p w14:paraId="4ED68EEA" w14:textId="77777777" w:rsidR="00194E91" w:rsidRDefault="00194E91" w:rsidP="00194E91">
            <w:pPr>
              <w:tabs>
                <w:tab w:val="left" w:pos="2160"/>
              </w:tabs>
              <w:ind w:left="2160" w:hanging="2160"/>
              <w:rPr>
                <w:b/>
                <w:position w:val="30"/>
                <w:sz w:val="20"/>
                <w:vertAlign w:val="subscript"/>
              </w:rPr>
            </w:pPr>
            <w:r>
              <w:rPr>
                <w:noProof/>
              </w:rPr>
              <mc:AlternateContent>
                <mc:Choice Requires="wpg">
                  <w:drawing>
                    <wp:anchor distT="0" distB="0" distL="114300" distR="114300" simplePos="0" relativeHeight="251684864" behindDoc="0" locked="0" layoutInCell="1" allowOverlap="1" wp14:anchorId="1B5D48B0" wp14:editId="64BA3A96">
                      <wp:simplePos x="0" y="0"/>
                      <wp:positionH relativeFrom="column">
                        <wp:posOffset>556895</wp:posOffset>
                      </wp:positionH>
                      <wp:positionV relativeFrom="paragraph">
                        <wp:posOffset>-265430</wp:posOffset>
                      </wp:positionV>
                      <wp:extent cx="2176193" cy="9305290"/>
                      <wp:effectExtent l="0" t="0" r="0" b="0"/>
                      <wp:wrapNone/>
                      <wp:docPr id="3611" name="Group 361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3612" name="Rectangle 3612"/>
                              <wps:cNvSpPr/>
                              <wps:spPr>
                                <a:xfrm>
                                  <a:off x="1438958" y="7966710"/>
                                  <a:ext cx="737235" cy="1338580"/>
                                </a:xfrm>
                                <a:prstGeom prst="rect">
                                  <a:avLst/>
                                </a:prstGeom>
                                <a:noFill/>
                              </wps:spPr>
                              <wps:bodyPr/>
                            </wps:wsp>
                            <wps:wsp>
                              <wps:cNvPr id="3613" name="Rectangle 3613"/>
                              <wps:cNvSpPr>
                                <a:spLocks noChangeArrowheads="1"/>
                              </wps:cNvSpPr>
                              <wps:spPr bwMode="auto">
                                <a:xfrm>
                                  <a:off x="13968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ED65" w14:textId="77777777" w:rsidR="00847E53" w:rsidRDefault="00847E53" w:rsidP="00194E91">
                                    <w:r>
                                      <w:rPr>
                                        <w:rFonts w:ascii="Symbol" w:hAnsi="Symbol" w:cs="Symbol"/>
                                        <w:color w:val="000000"/>
                                        <w:sz w:val="54"/>
                                        <w:szCs w:val="54"/>
                                      </w:rPr>
                                      <w:t></w:t>
                                    </w:r>
                                  </w:p>
                                </w:txbxContent>
                              </wps:txbx>
                              <wps:bodyPr rot="0" vert="horz" wrap="none" lIns="0" tIns="0" rIns="0" bIns="0" anchor="t" anchorCtr="0" upright="1">
                                <a:spAutoFit/>
                              </wps:bodyPr>
                            </wps:wsp>
                            <wps:wsp>
                              <wps:cNvPr id="3614" name="Rectangle 3614"/>
                              <wps:cNvSpPr>
                                <a:spLocks noChangeArrowheads="1"/>
                              </wps:cNvSpPr>
                              <wps:spPr bwMode="auto">
                                <a:xfrm>
                                  <a:off x="69891"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96CF"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15" name="Rectangle 3615"/>
                              <wps:cNvSpPr>
                                <a:spLocks noChangeArrowheads="1"/>
                              </wps:cNvSpPr>
                              <wps:spPr bwMode="auto">
                                <a:xfrm>
                                  <a:off x="3900"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3EB5" w14:textId="77777777" w:rsidR="00847E53" w:rsidRDefault="00847E53" w:rsidP="00194E91">
                                    <w:pPr>
                                      <w:rPr>
                                        <w:b/>
                                      </w:rPr>
                                    </w:pPr>
                                    <w:r>
                                      <w:rPr>
                                        <w:b/>
                                        <w:i/>
                                        <w:iCs/>
                                        <w:color w:val="000000"/>
                                      </w:rPr>
                                      <w:t>resources</w:t>
                                    </w:r>
                                  </w:p>
                                </w:txbxContent>
                              </wps:txbx>
                              <wps:bodyPr rot="0" vert="horz" wrap="none" lIns="0" tIns="0" rIns="0" bIns="0" anchor="t" anchorCtr="0" upright="1">
                                <a:spAutoFit/>
                              </wps:bodyPr>
                            </wps:wsp>
                            <wps:wsp>
                              <wps:cNvPr id="3744" name="Rectangle 3744"/>
                              <wps:cNvSpPr>
                                <a:spLocks noChangeArrowheads="1"/>
                              </wps:cNvSpPr>
                              <wps:spPr bwMode="auto">
                                <a:xfrm>
                                  <a:off x="0"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215"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5" name="Rectangle 3745"/>
                              <wps:cNvSpPr>
                                <a:spLocks noChangeArrowheads="1"/>
                              </wps:cNvSpPr>
                              <wps:spPr bwMode="auto">
                                <a:xfrm>
                                  <a:off x="2000"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349C"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46" name="Rectangle 3746"/>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32ED" w14:textId="77777777" w:rsidR="00847E53" w:rsidRDefault="00847E53" w:rsidP="00194E91">
                                    <w:pPr>
                                      <w:rPr>
                                        <w:b/>
                                      </w:rPr>
                                    </w:pPr>
                                    <w:r>
                                      <w:rPr>
                                        <w:b/>
                                        <w:i/>
                                        <w:iCs/>
                                        <w:color w:val="000000"/>
                                      </w:rPr>
                                      <w:t>All</w:t>
                                    </w:r>
                                  </w:p>
                                </w:txbxContent>
                              </wps:txbx>
                              <wps:bodyPr rot="0" vert="horz" wrap="square" lIns="0" tIns="0" rIns="0" bIns="0" anchor="t" anchorCtr="0" upright="1">
                                <a:spAutoFit/>
                              </wps:bodyPr>
                            </wps:wsp>
                            <wps:wsp>
                              <wps:cNvPr id="3747" name="Rectangle 3747"/>
                              <wps:cNvSpPr>
                                <a:spLocks noChangeArrowheads="1"/>
                              </wps:cNvSpPr>
                              <wps:spPr bwMode="auto">
                                <a:xfrm>
                                  <a:off x="31182"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5F8" w14:textId="77777777" w:rsidR="00847E53" w:rsidRDefault="00847E53" w:rsidP="00194E91">
                                    <w:pPr>
                                      <w:rPr>
                                        <w:b/>
                                      </w:rPr>
                                    </w:pPr>
                                    <w:r>
                                      <w:rPr>
                                        <w:b/>
                                        <w:i/>
                                        <w:iCs/>
                                        <w:color w:val="000000"/>
                                      </w:rPr>
                                      <w:t>resource</w:t>
                                    </w:r>
                                  </w:p>
                                </w:txbxContent>
                              </wps:txbx>
                              <wps:bodyPr rot="0" vert="horz" wrap="none" lIns="0" tIns="0" rIns="0" bIns="0" anchor="t" anchorCtr="0" upright="1">
                                <a:spAutoFit/>
                              </wps:bodyPr>
                            </wps:wsp>
                            <wps:wsp>
                              <wps:cNvPr id="3748" name="Rectangle 3748"/>
                              <wps:cNvSpPr>
                                <a:spLocks noChangeArrowheads="1"/>
                              </wps:cNvSpPr>
                              <wps:spPr bwMode="auto">
                                <a:xfrm>
                                  <a:off x="26682"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E6"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9" name="Rectangle 3749"/>
                              <wps:cNvSpPr>
                                <a:spLocks noChangeArrowheads="1"/>
                              </wps:cNvSpPr>
                              <wps:spPr bwMode="auto">
                                <a:xfrm>
                                  <a:off x="142849"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774A"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50" name="Rectangle 3750"/>
                              <wps:cNvSpPr>
                                <a:spLocks noChangeArrowheads="1"/>
                              </wps:cNvSpPr>
                              <wps:spPr bwMode="auto">
                                <a:xfrm>
                                  <a:off x="26682"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D2EF" w14:textId="77777777" w:rsidR="00847E53" w:rsidRDefault="00847E53" w:rsidP="00194E91">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D48B0" id="Group 3611" o:spid="_x0000_s1540" style="position:absolute;left:0;text-align:left;margin-left:43.85pt;margin-top:-20.9pt;width:171.35pt;height:732.7pt;z-index:251684864"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">
                      <v:rect id="Rectangle 3612" o:spid="_x0000_s1541"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" filled="f" stroked="f"/>
                      <v:rect id="Rectangle 3613" o:spid="_x0000_s1542" style="position:absolute;left:1396;top:4698;width:2445;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" filled="f" stroked="f">
                        <v:textbox style="mso-fit-shape-to-text:t" inset="0,0,0,0">
                          <w:txbxContent>
                            <w:p w14:paraId="1D32ED65" w14:textId="77777777" w:rsidR="00847E53" w:rsidRDefault="00847E53" w:rsidP="00194E91">
                              <w:r>
                                <w:rPr>
                                  <w:rFonts w:ascii="Symbol" w:hAnsi="Symbol" w:cs="Symbol"/>
                                  <w:color w:val="000000"/>
                                  <w:sz w:val="54"/>
                                  <w:szCs w:val="54"/>
                                </w:rPr>
                                <w:t></w:t>
                              </w:r>
                            </w:p>
                          </w:txbxContent>
                        </v:textbox>
                      </v:rect>
                      <v:rect id="Rectangle 3614" o:spid="_x0000_s1543" style="position:absolute;left:698;top:8489;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PwwAAAN0AAAAPAAAAZHJzL2Rvd25yZXYueG1sRI/NigIx&#10;EITvC75DaMHbmlEX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H9ZoT8MAAADdAAAADwAA&#10;AAAAAAAAAAAAAAAHAgAAZHJzL2Rvd25yZXYueG1sUEsFBgAAAAADAAMAtwAAAPcCAAAAAA==&#10;" filled="f" stroked="f">
                        <v:textbox style="mso-fit-shape-to-text:t" inset="0,0,0,0">
                          <w:txbxContent>
                            <w:p w14:paraId="6EDD96CF" w14:textId="77777777" w:rsidR="00847E53" w:rsidRDefault="00847E53" w:rsidP="00194E91">
                              <w:r>
                                <w:rPr>
                                  <w:rFonts w:ascii="Symbol" w:hAnsi="Symbol" w:cs="Symbol"/>
                                  <w:color w:val="000000"/>
                                </w:rPr>
                                <w:t></w:t>
                              </w:r>
                            </w:p>
                          </w:txbxContent>
                        </v:textbox>
                      </v:rect>
                      <v:rect id="Rectangle 3615" o:spid="_x0000_s1544"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3UwwAAAN0AAAAPAAAAZHJzL2Rvd25yZXYueG1sRI/NigIx&#10;EITvC75DaMHbmlFZ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cJrN1MMAAADdAAAADwAA&#10;AAAAAAAAAAAAAAAHAgAAZHJzL2Rvd25yZXYueG1sUEsFBgAAAAADAAMAtwAAAPcCAAAAAA==&#10;" filled="f" stroked="f">
                        <v:textbox style="mso-fit-shape-to-text:t" inset="0,0,0,0">
                          <w:txbxContent>
                            <w:p w14:paraId="0D383EB5" w14:textId="77777777" w:rsidR="00847E53" w:rsidRDefault="00847E53" w:rsidP="00194E91">
                              <w:pPr>
                                <w:rPr>
                                  <w:b/>
                                </w:rPr>
                              </w:pPr>
                              <w:r>
                                <w:rPr>
                                  <w:b/>
                                  <w:i/>
                                  <w:iCs/>
                                  <w:color w:val="000000"/>
                                </w:rPr>
                                <w:t>resources</w:t>
                              </w:r>
                            </w:p>
                          </w:txbxContent>
                        </v:textbox>
                      </v:rect>
                      <v:rect id="Rectangle 3744" o:spid="_x0000_s1545"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fit-shape-to-text:t" inset="0,0,0,0">
                          <w:txbxContent>
                            <w:p w14:paraId="0BD95215" w14:textId="77777777" w:rsidR="00847E53" w:rsidRDefault="00847E53" w:rsidP="00194E91">
                              <w:pPr>
                                <w:rPr>
                                  <w:b/>
                                </w:rPr>
                              </w:pPr>
                              <w:r>
                                <w:rPr>
                                  <w:b/>
                                  <w:i/>
                                  <w:iCs/>
                                  <w:color w:val="000000"/>
                                </w:rPr>
                                <w:t>FFR</w:t>
                              </w:r>
                            </w:p>
                          </w:txbxContent>
                        </v:textbox>
                      </v:rect>
                      <v:rect id="Rectangle 3745" o:spid="_x0000_s1546"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UxAAAAN0AAAAPAAAAZHJzL2Rvd25yZXYueG1sRI/dagIx&#10;FITvBd8hHKF3mtW2VrZ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BXI7VTEAAAA3QAAAA8A&#10;AAAAAAAAAAAAAAAABwIAAGRycy9kb3ducmV2LnhtbFBLBQYAAAAAAwADALcAAAD4AgAAAAA=&#10;" filled="f" stroked="f">
                        <v:textbox style="mso-fit-shape-to-text:t" inset="0,0,0,0">
                          <w:txbxContent>
                            <w:p w14:paraId="3731349C" w14:textId="77777777" w:rsidR="00847E53" w:rsidRDefault="00847E53" w:rsidP="00194E91">
                              <w:pPr>
                                <w:rPr>
                                  <w:b/>
                                </w:rPr>
                              </w:pPr>
                              <w:r>
                                <w:rPr>
                                  <w:b/>
                                  <w:i/>
                                  <w:iCs/>
                                  <w:color w:val="000000"/>
                                </w:rPr>
                                <w:t>online</w:t>
                              </w:r>
                            </w:p>
                          </w:txbxContent>
                        </v:textbox>
                      </v:rect>
                      <v:rect id="Rectangle 3746" o:spid="_x0000_s1547"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" filled="f" stroked="f">
                        <v:textbox style="mso-fit-shape-to-text:t" inset="0,0,0,0">
                          <w:txbxContent>
                            <w:p w14:paraId="4D7832ED" w14:textId="77777777" w:rsidR="00847E53" w:rsidRDefault="00847E53" w:rsidP="00194E91">
                              <w:pPr>
                                <w:rPr>
                                  <w:b/>
                                </w:rPr>
                              </w:pPr>
                              <w:r>
                                <w:rPr>
                                  <w:b/>
                                  <w:i/>
                                  <w:iCs/>
                                  <w:color w:val="000000"/>
                                </w:rPr>
                                <w:t>All</w:t>
                              </w:r>
                            </w:p>
                          </w:txbxContent>
                        </v:textbox>
                      </v:rect>
                      <v:rect id="Rectangle 3747" o:spid="_x0000_s1548"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4wwAAAN0AAAAPAAAAZHJzL2Rvd25yZXYueG1sRI/dagIx&#10;FITvC75DOIJ3NasW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ilbWuMMAAADdAAAADwAA&#10;AAAAAAAAAAAAAAAHAgAAZHJzL2Rvd25yZXYueG1sUEsFBgAAAAADAAMAtwAAAPcCAAAAAA==&#10;" filled="f" stroked="f">
                        <v:textbox style="mso-fit-shape-to-text:t" inset="0,0,0,0">
                          <w:txbxContent>
                            <w:p w14:paraId="064765F8" w14:textId="77777777" w:rsidR="00847E53" w:rsidRDefault="00847E53" w:rsidP="00194E91">
                              <w:pPr>
                                <w:rPr>
                                  <w:b/>
                                </w:rPr>
                              </w:pPr>
                              <w:r>
                                <w:rPr>
                                  <w:b/>
                                  <w:i/>
                                  <w:iCs/>
                                  <w:color w:val="000000"/>
                                </w:rPr>
                                <w:t>resource</w:t>
                              </w:r>
                            </w:p>
                          </w:txbxContent>
                        </v:textbox>
                      </v:rect>
                      <v:rect id="Rectangle 3748" o:spid="_x0000_s1549" style="position:absolute;left:266;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" filled="f" stroked="f">
                        <v:textbox style="mso-fit-shape-to-text:t" inset="0,0,0,0">
                          <w:txbxContent>
                            <w:p w14:paraId="61D586E6" w14:textId="77777777" w:rsidR="00847E53" w:rsidRDefault="00847E53" w:rsidP="00194E91">
                              <w:pPr>
                                <w:rPr>
                                  <w:b/>
                                </w:rPr>
                              </w:pPr>
                              <w:r>
                                <w:rPr>
                                  <w:b/>
                                  <w:i/>
                                  <w:iCs/>
                                  <w:color w:val="000000"/>
                                </w:rPr>
                                <w:t>FFR</w:t>
                              </w:r>
                            </w:p>
                          </w:txbxContent>
                        </v:textbox>
                      </v:rect>
                      <v:rect id="Rectangle 3749" o:spid="_x0000_s1550" style="position:absolute;left:1428;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RxAAAAN0AAAAPAAAAZHJzL2Rvd25yZXYueG1sRI/dagIx&#10;FITvBd8hHKF3mtWW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JSF51HEAAAA3QAAAA8A&#10;AAAAAAAAAAAAAAAABwIAAGRycy9kb3ducmV2LnhtbFBLBQYAAAAAAwADALcAAAD4AgAAAAA=&#10;" filled="f" stroked="f">
                        <v:textbox style="mso-fit-shape-to-text:t" inset="0,0,0,0">
                          <w:txbxContent>
                            <w:p w14:paraId="72AF774A" w14:textId="77777777" w:rsidR="00847E53" w:rsidRDefault="00847E53" w:rsidP="00194E91">
                              <w:pPr>
                                <w:rPr>
                                  <w:b/>
                                </w:rPr>
                              </w:pPr>
                              <w:r>
                                <w:rPr>
                                  <w:b/>
                                  <w:i/>
                                  <w:iCs/>
                                  <w:color w:val="000000"/>
                                </w:rPr>
                                <w:t>online</w:t>
                              </w:r>
                            </w:p>
                          </w:txbxContent>
                        </v:textbox>
                      </v:rect>
                      <v:rect id="Rectangle 3750" o:spid="_x0000_s1551"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gRwAAAAN0AAAAPAAAAZHJzL2Rvd25yZXYueG1sRE/LisIw&#10;FN0L8w/hDsxOUx1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gGbYEcAAAADdAAAADwAAAAAA&#10;AAAAAAAAAAAHAgAAZHJzL2Rvd25yZXYueG1sUEsFBgAAAAADAAMAtwAAAPQCAAAAAA==&#10;" filled="f" stroked="f">
                        <v:textbox style="mso-fit-shape-to-text:t" inset="0,0,0,0">
                          <w:txbxContent>
                            <w:p w14:paraId="6219D2EF" w14:textId="77777777" w:rsidR="00847E53" w:rsidRDefault="00847E53" w:rsidP="00194E91">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8359275" w14:textId="77777777" w:rsidR="00194E91" w:rsidRDefault="00194E91" w:rsidP="00194E91">
            <w:pPr>
              <w:spacing w:before="480"/>
              <w:ind w:left="720" w:hanging="720"/>
              <w:rPr>
                <w:b/>
                <w:position w:val="30"/>
                <w:sz w:val="20"/>
              </w:rPr>
            </w:pPr>
          </w:p>
          <w:p w14:paraId="5A40581C" w14:textId="77777777" w:rsidR="00194E91" w:rsidRDefault="00194E91" w:rsidP="00194E91">
            <w:pPr>
              <w:ind w:left="720" w:hanging="720"/>
              <w:rPr>
                <w:b/>
                <w:position w:val="30"/>
                <w:sz w:val="20"/>
              </w:rPr>
            </w:pPr>
          </w:p>
          <w:p w14:paraId="3C570DD9" w14:textId="77777777" w:rsidR="00194E91" w:rsidRDefault="00194E91" w:rsidP="00194E91">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7936" behindDoc="0" locked="0" layoutInCell="1" allowOverlap="1" wp14:anchorId="0DF279E2" wp14:editId="2A3A9CC2">
                      <wp:simplePos x="0" y="0"/>
                      <wp:positionH relativeFrom="column">
                        <wp:posOffset>483870</wp:posOffset>
                      </wp:positionH>
                      <wp:positionV relativeFrom="paragraph">
                        <wp:posOffset>43815</wp:posOffset>
                      </wp:positionV>
                      <wp:extent cx="960755" cy="1369060"/>
                      <wp:effectExtent l="0" t="0" r="10795" b="2540"/>
                      <wp:wrapNone/>
                      <wp:docPr id="387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62"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63"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F298"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864"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390B" w14:textId="77777777" w:rsidR="00847E53" w:rsidRPr="00B34B0A" w:rsidRDefault="00847E53" w:rsidP="00194E91">
                                    <w:pPr>
                                      <w:rPr>
                                        <w:b/>
                                      </w:rPr>
                                    </w:pPr>
                                    <w:r>
                                      <w:rPr>
                                        <w:b/>
                                        <w:i/>
                                        <w:iCs/>
                                        <w:color w:val="000000"/>
                                      </w:rPr>
                                      <w:t>ESR</w:t>
                                    </w:r>
                                  </w:p>
                                </w:txbxContent>
                              </wps:txbx>
                              <wps:bodyPr rot="0" vert="horz" wrap="square" lIns="0" tIns="0" rIns="0" bIns="0" anchor="t" anchorCtr="0" upright="1">
                                <a:spAutoFit/>
                              </wps:bodyPr>
                            </wps:wsp>
                            <wps:wsp>
                              <wps:cNvPr id="3865"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0CE7" w14:textId="77777777" w:rsidR="00847E53" w:rsidRPr="00B34B0A" w:rsidRDefault="00847E53" w:rsidP="00194E91">
                                    <w:pPr>
                                      <w:rPr>
                                        <w:b/>
                                      </w:rPr>
                                    </w:pPr>
                                  </w:p>
                                </w:txbxContent>
                              </wps:txbx>
                              <wps:bodyPr rot="0" vert="horz" wrap="none" lIns="0" tIns="0" rIns="0" bIns="0" anchor="t" anchorCtr="0" upright="1">
                                <a:spAutoFit/>
                              </wps:bodyPr>
                            </wps:wsp>
                            <wps:wsp>
                              <wps:cNvPr id="3866"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AD5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67"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9AF1"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868"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0633" w14:textId="77777777" w:rsidR="00847E53" w:rsidRPr="00B34B0A" w:rsidRDefault="00847E53" w:rsidP="00194E91">
                                    <w:pPr>
                                      <w:rPr>
                                        <w:b/>
                                      </w:rPr>
                                    </w:pPr>
                                  </w:p>
                                </w:txbxContent>
                              </wps:txbx>
                              <wps:bodyPr rot="0" vert="horz" wrap="none" lIns="0" tIns="0" rIns="0" bIns="0" anchor="t" anchorCtr="0" upright="1">
                                <a:spAutoFit/>
                              </wps:bodyPr>
                            </wps:wsp>
                            <wps:wsp>
                              <wps:cNvPr id="3869"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EEA1" w14:textId="77777777" w:rsidR="00847E53" w:rsidRPr="00B34B0A" w:rsidRDefault="00847E53" w:rsidP="00194E91">
                                    <w:pPr>
                                      <w:rPr>
                                        <w:b/>
                                      </w:rPr>
                                    </w:pPr>
                                    <w:r>
                                      <w:rPr>
                                        <w:b/>
                                        <w:i/>
                                        <w:iCs/>
                                        <w:color w:val="000000"/>
                                      </w:rPr>
                                      <w:t>ESR</w:t>
                                    </w:r>
                                  </w:p>
                                </w:txbxContent>
                              </wps:txbx>
                              <wps:bodyPr rot="0" vert="horz" wrap="none" lIns="0" tIns="0" rIns="0" bIns="0" anchor="t" anchorCtr="0" upright="1">
                                <a:spAutoFit/>
                              </wps:bodyPr>
                            </wps:wsp>
                            <wps:wsp>
                              <wps:cNvPr id="3870"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565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71"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DDD"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F279E2" id="_x0000_s1552" editas="canvas" style="position:absolute;left:0;text-align:left;margin-left:38.1pt;margin-top:3.45pt;width:75.65pt;height:107.8pt;z-index:25168793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">
                      <v:shape id="_x0000_s1553" type="#_x0000_t75" style="position:absolute;width:9607;height:13690;visibility:visible;mso-wrap-style:square">
                        <v:fill o:detectmouseclick="t"/>
                        <v:path o:connecttype="none"/>
                      </v:shape>
                      <v:rect id="Rectangle 71" o:spid="_x0000_s155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" filled="f" stroked="f">
                        <v:textbox style="mso-fit-shape-to-text:t" inset="0,0,0,0">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5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NwgAAAN0AAAAPAAAAZHJzL2Rvd25yZXYueG1sRI/disIw&#10;FITvF3yHcATv1lQF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BIbBiNwgAAAN0AAAAPAAAA&#10;AAAAAAAAAAAAAAcCAABkcnMvZG93bnJldi54bWxQSwUGAAAAAAMAAwC3AAAA9gIAAAAA&#10;" filled="f" stroked="f">
                        <v:textbox style="mso-fit-shape-to-text:t" inset="0,0,0,0">
                          <w:txbxContent>
                            <w:p w14:paraId="3411F298" w14:textId="77777777" w:rsidR="00847E53" w:rsidRDefault="00847E53" w:rsidP="00194E91">
                              <w:r>
                                <w:rPr>
                                  <w:rFonts w:ascii="Symbol" w:hAnsi="Symbol" w:cs="Symbol"/>
                                  <w:color w:val="000000"/>
                                </w:rPr>
                                <w:t></w:t>
                              </w:r>
                            </w:p>
                          </w:txbxContent>
                        </v:textbox>
                      </v:rect>
                      <v:rect id="Rectangle 73" o:spid="_x0000_s155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" filled="f" stroked="f">
                        <v:textbox style="mso-fit-shape-to-text:t" inset="0,0,0,0">
                          <w:txbxContent>
                            <w:p w14:paraId="6FE1390B" w14:textId="77777777" w:rsidR="00847E53" w:rsidRPr="00B34B0A" w:rsidRDefault="00847E53" w:rsidP="00194E91">
                              <w:pPr>
                                <w:rPr>
                                  <w:b/>
                                </w:rPr>
                              </w:pPr>
                              <w:r>
                                <w:rPr>
                                  <w:b/>
                                  <w:i/>
                                  <w:iCs/>
                                  <w:color w:val="000000"/>
                                </w:rPr>
                                <w:t>ESR</w:t>
                              </w:r>
                            </w:p>
                          </w:txbxContent>
                        </v:textbox>
                      </v:rect>
                      <v:rect id="Rectangle 74" o:spid="_x0000_s155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iwwAAAN0AAAAPAAAAZHJzL2Rvd25yZXYueG1sRI/dagIx&#10;FITvBd8hHME7zWpR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qMklYsMAAADdAAAADwAA&#10;AAAAAAAAAAAAAAAHAgAAZHJzL2Rvd25yZXYueG1sUEsFBgAAAAADAAMAtwAAAPcCAAAAAA==&#10;" filled="f" stroked="f">
                        <v:textbox style="mso-fit-shape-to-text:t" inset="0,0,0,0">
                          <w:txbxContent>
                            <w:p w14:paraId="3E830CE7" w14:textId="77777777" w:rsidR="00847E53" w:rsidRPr="00B34B0A" w:rsidRDefault="00847E53" w:rsidP="00194E91">
                              <w:pPr>
                                <w:rPr>
                                  <w:b/>
                                </w:rPr>
                              </w:pPr>
                            </w:p>
                          </w:txbxContent>
                        </v:textbox>
                      </v:rect>
                      <v:rect id="Rectangle 75" o:spid="_x0000_s155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sVwwAAAN0AAAAPAAAAZHJzL2Rvd25yZXYueG1sRI/dagIx&#10;FITvBd8hnELvNFsL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WBu7FcMAAADdAAAADwAA&#10;AAAAAAAAAAAAAAAHAgAAZHJzL2Rvd25yZXYueG1sUEsFBgAAAAADAAMAtwAAAPcCAAAAAA==&#10;" filled="f" stroked="f">
                        <v:textbox style="mso-fit-shape-to-text:t" inset="0,0,0,0">
                          <w:txbxContent>
                            <w:p w14:paraId="4FA1AD59" w14:textId="77777777" w:rsidR="00847E53" w:rsidRPr="00B34B0A" w:rsidRDefault="00847E53" w:rsidP="00194E91">
                              <w:pPr>
                                <w:rPr>
                                  <w:b/>
                                </w:rPr>
                              </w:pPr>
                              <w:r w:rsidRPr="00B34B0A">
                                <w:rPr>
                                  <w:b/>
                                  <w:i/>
                                  <w:iCs/>
                                  <w:color w:val="000000"/>
                                </w:rPr>
                                <w:t>online</w:t>
                              </w:r>
                            </w:p>
                          </w:txbxContent>
                        </v:textbox>
                      </v:rect>
                      <v:rect id="Rectangle 76" o:spid="_x0000_s155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C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Zq9wfROfgFxcAAAA//8DAFBLAQItABQABgAIAAAAIQDb4fbL7gAAAIUBAAATAAAAAAAA&#10;AAAAAAAAAAAAAABbQ29udGVudF9UeXBlc10ueG1sUEsBAi0AFAAGAAgAAAAhAFr0LFu/AAAAFQEA&#10;AAsAAAAAAAAAAAAAAAAAHwEAAF9yZWxzLy5yZWxzUEsBAi0AFAAGAAgAAAAhACJtZULHAAAA3QAA&#10;AA8AAAAAAAAAAAAAAAAABwIAAGRycy9kb3ducmV2LnhtbFBLBQYAAAAAAwADALcAAAD7AgAAAAA=&#10;" filled="f" stroked="f">
                        <v:textbox style="mso-fit-shape-to-text:t" inset="0,0,0,0">
                          <w:txbxContent>
                            <w:p w14:paraId="4B4F9AF1" w14:textId="77777777" w:rsidR="00847E53" w:rsidRPr="00B34B0A" w:rsidRDefault="00847E53" w:rsidP="00194E91">
                              <w:pPr>
                                <w:rPr>
                                  <w:b/>
                                </w:rPr>
                              </w:pPr>
                              <w:r w:rsidRPr="00B34B0A">
                                <w:rPr>
                                  <w:b/>
                                  <w:i/>
                                  <w:iCs/>
                                  <w:color w:val="000000"/>
                                </w:rPr>
                                <w:t>All</w:t>
                              </w:r>
                            </w:p>
                          </w:txbxContent>
                        </v:textbox>
                      </v:rect>
                      <v:rect id="Rectangle 77" o:spid="_x0000_s156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r8vwAAAN0AAAAPAAAAZHJzL2Rvd25yZXYueG1sRE/LisIw&#10;FN0L/kO4wuxsOgp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GyIr8vwAAAN0AAAAPAAAAAAAA&#10;AAAAAAAAAAcCAABkcnMvZG93bnJldi54bWxQSwUGAAAAAAMAAwC3AAAA8wIAAAAA&#10;" filled="f" stroked="f">
                        <v:textbox style="mso-fit-shape-to-text:t" inset="0,0,0,0">
                          <w:txbxContent>
                            <w:p w14:paraId="0DDE0633" w14:textId="77777777" w:rsidR="00847E53" w:rsidRPr="00B34B0A" w:rsidRDefault="00847E53" w:rsidP="00194E91">
                              <w:pPr>
                                <w:rPr>
                                  <w:b/>
                                </w:rPr>
                              </w:pPr>
                            </w:p>
                          </w:txbxContent>
                        </v:textbox>
                      </v:rect>
                      <v:rect id="Rectangle 78" o:spid="_x0000_s156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9nwwAAAN0AAAAPAAAAZHJzL2Rvd25yZXYueG1sRI/dagIx&#10;FITvBd8hHME7zVZB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KYQvZ8MAAADdAAAADwAA&#10;AAAAAAAAAAAAAAAHAgAAZHJzL2Rvd25yZXYueG1sUEsFBgAAAAADAAMAtwAAAPcCAAAAAA==&#10;" filled="f" stroked="f">
                        <v:textbox style="mso-fit-shape-to-text:t" inset="0,0,0,0">
                          <w:txbxContent>
                            <w:p w14:paraId="4049EEA1" w14:textId="77777777" w:rsidR="00847E53" w:rsidRPr="00B34B0A" w:rsidRDefault="00847E53" w:rsidP="00194E91">
                              <w:pPr>
                                <w:rPr>
                                  <w:b/>
                                </w:rPr>
                              </w:pPr>
                              <w:r>
                                <w:rPr>
                                  <w:b/>
                                  <w:i/>
                                  <w:iCs/>
                                  <w:color w:val="000000"/>
                                </w:rPr>
                                <w:t>ESR</w:t>
                              </w:r>
                            </w:p>
                          </w:txbxContent>
                        </v:textbox>
                      </v:rect>
                      <v:rect id="Rectangle 79" o:spid="_x0000_s156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nwAAAAN0AAAAPAAAAZHJzL2Rvd25yZXYueG1sRE/LisIw&#10;FN0P+A/hCu7GVIW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PWcQJ8AAAADdAAAADwAAAAAA&#10;AAAAAAAAAAAHAgAAZHJzL2Rvd25yZXYueG1sUEsFBgAAAAADAAMAtwAAAPQCAAAAAA==&#10;" filled="f" stroked="f">
                        <v:textbox style="mso-fit-shape-to-text:t" inset="0,0,0,0">
                          <w:txbxContent>
                            <w:p w14:paraId="12C85653" w14:textId="77777777" w:rsidR="00847E53" w:rsidRPr="00B34B0A" w:rsidRDefault="00847E53" w:rsidP="00194E91">
                              <w:pPr>
                                <w:rPr>
                                  <w:b/>
                                </w:rPr>
                              </w:pPr>
                              <w:r w:rsidRPr="00B34B0A">
                                <w:rPr>
                                  <w:b/>
                                  <w:i/>
                                  <w:iCs/>
                                  <w:color w:val="000000"/>
                                </w:rPr>
                                <w:t>online</w:t>
                              </w:r>
                            </w:p>
                          </w:txbxContent>
                        </v:textbox>
                      </v:rect>
                      <v:rect id="Rectangle 80" o:spid="_x0000_s156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F5EEDDD" w14:textId="77777777" w:rsidR="00847E53" w:rsidRPr="00B34B0A" w:rsidRDefault="00847E53" w:rsidP="00194E9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w:t>
            </w:r>
            <w:r>
              <w:rPr>
                <w:b/>
                <w:position w:val="30"/>
                <w:sz w:val="20"/>
              </w:rPr>
              <w:lastRenderedPageBreak/>
              <w:t xml:space="preserve">capacity that can be sustained for 15 minutes per the State of Charge – LSL(ESR “charging”))) </w:t>
            </w:r>
          </w:p>
          <w:p w14:paraId="348F909F" w14:textId="097A6EC2" w:rsidR="00147C3B" w:rsidRDefault="00194E91" w:rsidP="00147C3B">
            <w:pPr>
              <w:ind w:left="720" w:hanging="720"/>
              <w:rPr>
                <w:b/>
                <w:position w:val="30"/>
                <w:sz w:val="20"/>
              </w:rPr>
            </w:pPr>
            <w:r>
              <w:rPr>
                <w:b/>
                <w:position w:val="30"/>
                <w:sz w:val="20"/>
              </w:rPr>
              <w:t>Excludes ESR capacity used to provide FFR</w:t>
            </w:r>
            <w:r w:rsidR="0069524B">
              <w:rPr>
                <w:b/>
                <w:position w:val="30"/>
                <w:sz w:val="20"/>
              </w:rPr>
              <w:t>.</w:t>
            </w:r>
            <w:r w:rsidRPr="003161DC">
              <w:rPr>
                <w:b/>
                <w:position w:val="30"/>
                <w:sz w:val="20"/>
              </w:rPr>
              <w:t xml:space="preserve"> </w:t>
            </w:r>
          </w:p>
          <w:p w14:paraId="79AB4C98" w14:textId="67E26E6F" w:rsidR="00C952ED" w:rsidRDefault="00C952ED" w:rsidP="00C952E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3056" behindDoc="0" locked="0" layoutInCell="1" allowOverlap="1" wp14:anchorId="781BC52B" wp14:editId="5C6807B1">
                      <wp:simplePos x="0" y="0"/>
                      <wp:positionH relativeFrom="column">
                        <wp:posOffset>437183</wp:posOffset>
                      </wp:positionH>
                      <wp:positionV relativeFrom="paragraph">
                        <wp:posOffset>63389</wp:posOffset>
                      </wp:positionV>
                      <wp:extent cx="960755" cy="1369060"/>
                      <wp:effectExtent l="0" t="0" r="10795" b="2540"/>
                      <wp:wrapNone/>
                      <wp:docPr id="389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7" name="Rectangle 71"/>
                              <wps:cNvSpPr>
                                <a:spLocks noChangeArrowheads="1"/>
                              </wps:cNvSpPr>
                              <wps:spPr bwMode="auto">
                                <a:xfrm>
                                  <a:off x="136182" y="675861"/>
                                  <a:ext cx="178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88"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CEE7" w14:textId="77777777" w:rsidR="00847E53" w:rsidRDefault="00847E53" w:rsidP="00C952ED">
                                    <w:r>
                                      <w:rPr>
                                        <w:rFonts w:ascii="Symbol" w:hAnsi="Symbol" w:cs="Symbol"/>
                                        <w:color w:val="000000"/>
                                      </w:rPr>
                                      <w:t></w:t>
                                    </w:r>
                                  </w:p>
                                </w:txbxContent>
                              </wps:txbx>
                              <wps:bodyPr rot="0" vert="horz" wrap="none" lIns="0" tIns="0" rIns="0" bIns="0" anchor="t" anchorCtr="0" upright="1">
                                <a:spAutoFit/>
                              </wps:bodyPr>
                            </wps:wsp>
                            <wps:wsp>
                              <wps:cNvPr id="3889" name="Rectangle 73"/>
                              <wps:cNvSpPr>
                                <a:spLocks noChangeArrowheads="1"/>
                              </wps:cNvSpPr>
                              <wps:spPr bwMode="auto">
                                <a:xfrm>
                                  <a:off x="35596" y="372754"/>
                                  <a:ext cx="9251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3999" w14:textId="77777777" w:rsidR="00847E53" w:rsidRPr="00B34B0A" w:rsidRDefault="00847E53" w:rsidP="00C952ED">
                                    <w:pPr>
                                      <w:rPr>
                                        <w:b/>
                                      </w:rPr>
                                    </w:pPr>
                                    <w:r>
                                      <w:rPr>
                                        <w:b/>
                                        <w:i/>
                                        <w:iCs/>
                                        <w:color w:val="000000"/>
                                      </w:rPr>
                                      <w:t>DC-Coupled Resources</w:t>
                                    </w:r>
                                  </w:p>
                                </w:txbxContent>
                              </wps:txbx>
                              <wps:bodyPr rot="0" vert="horz" wrap="square" lIns="0" tIns="0" rIns="0" bIns="0" anchor="t" anchorCtr="0" upright="1">
                                <a:spAutoFit/>
                              </wps:bodyPr>
                            </wps:wsp>
                            <wps:wsp>
                              <wps:cNvPr id="3890"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9FF1" w14:textId="77777777" w:rsidR="00847E53" w:rsidRPr="00B34B0A" w:rsidRDefault="00847E53" w:rsidP="00C952ED">
                                    <w:pPr>
                                      <w:rPr>
                                        <w:b/>
                                      </w:rPr>
                                    </w:pPr>
                                  </w:p>
                                </w:txbxContent>
                              </wps:txbx>
                              <wps:bodyPr rot="0" vert="horz" wrap="none" lIns="0" tIns="0" rIns="0" bIns="0" anchor="t" anchorCtr="0" upright="1">
                                <a:spAutoFit/>
                              </wps:bodyPr>
                            </wps:wsp>
                            <wps:wsp>
                              <wps:cNvPr id="3891"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09D8"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1BC7" w14:textId="77777777" w:rsidR="00847E53" w:rsidRPr="00B34B0A" w:rsidRDefault="00847E53" w:rsidP="00C952ED">
                                    <w:pPr>
                                      <w:rPr>
                                        <w:b/>
                                      </w:rPr>
                                    </w:pPr>
                                    <w:r w:rsidRPr="00B34B0A">
                                      <w:rPr>
                                        <w:b/>
                                        <w:i/>
                                        <w:iCs/>
                                        <w:color w:val="000000"/>
                                      </w:rPr>
                                      <w:t>All</w:t>
                                    </w:r>
                                  </w:p>
                                </w:txbxContent>
                              </wps:txbx>
                              <wps:bodyPr rot="0" vert="horz" wrap="square" lIns="0" tIns="0" rIns="0" bIns="0" anchor="t" anchorCtr="0" upright="1">
                                <a:spAutoFit/>
                              </wps:bodyPr>
                            </wps:wsp>
                            <wps:wsp>
                              <wps:cNvPr id="389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97E1" w14:textId="77777777" w:rsidR="00847E53" w:rsidRPr="00B34B0A" w:rsidRDefault="00847E53" w:rsidP="00C952ED">
                                    <w:pPr>
                                      <w:rPr>
                                        <w:b/>
                                      </w:rPr>
                                    </w:pPr>
                                  </w:p>
                                </w:txbxContent>
                              </wps:txbx>
                              <wps:bodyPr rot="0" vert="horz" wrap="none" lIns="0" tIns="0" rIns="0" bIns="0" anchor="t" anchorCtr="0" upright="1">
                                <a:spAutoFit/>
                              </wps:bodyPr>
                            </wps:wsp>
                            <wps:wsp>
                              <wps:cNvPr id="389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F0B8" w14:textId="77777777" w:rsidR="00847E53" w:rsidRPr="00B34B0A" w:rsidRDefault="00847E53" w:rsidP="00C952ED">
                                    <w:pPr>
                                      <w:rPr>
                                        <w:b/>
                                      </w:rPr>
                                    </w:pPr>
                                    <w:r>
                                      <w:rPr>
                                        <w:b/>
                                        <w:i/>
                                        <w:iCs/>
                                        <w:color w:val="000000"/>
                                      </w:rPr>
                                      <w:t>ESR</w:t>
                                    </w:r>
                                  </w:p>
                                </w:txbxContent>
                              </wps:txbx>
                              <wps:bodyPr rot="0" vert="horz" wrap="none" lIns="0" tIns="0" rIns="0" bIns="0" anchor="t" anchorCtr="0" upright="1">
                                <a:spAutoFit/>
                              </wps:bodyPr>
                            </wps:wsp>
                            <wps:wsp>
                              <wps:cNvPr id="389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E707"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E676" w14:textId="77777777" w:rsidR="00847E53" w:rsidRPr="00B34B0A" w:rsidRDefault="00847E53" w:rsidP="00C952ED">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81BC52B" id="_x0000_s1564" editas="canvas" style="position:absolute;left:0;text-align:left;margin-left:34.4pt;margin-top:5pt;width:75.65pt;height:107.8pt;z-index:25169305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">
                      <v:shape id="_x0000_s1565" type="#_x0000_t75" style="position:absolute;width:9607;height:13690;visibility:visible;mso-wrap-style:square">
                        <v:fill o:detectmouseclick="t"/>
                        <v:path o:connecttype="none"/>
                      </v:shape>
                      <v:rect id="Rectangle 71" o:spid="_x0000_s1566" style="position:absolute;left:1361;top:6758;width:178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" filled="f" stroked="f">
                        <v:textbox style="mso-fit-shape-to-text:t" inset="0,0,0,0">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v:textbox>
                      </v:rect>
                      <v:rect id="Rectangle 72" o:spid="_x0000_s156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218ACEE7" w14:textId="77777777" w:rsidR="00847E53" w:rsidRDefault="00847E53" w:rsidP="00C952ED">
                              <w:r>
                                <w:rPr>
                                  <w:rFonts w:ascii="Symbol" w:hAnsi="Symbol" w:cs="Symbol"/>
                                  <w:color w:val="000000"/>
                                </w:rPr>
                                <w:t></w:t>
                              </w:r>
                            </w:p>
                          </w:txbxContent>
                        </v:textbox>
                      </v:rect>
                      <v:rect id="Rectangle 73" o:spid="_x0000_s1568" style="position:absolute;left:355;top:3727;width:92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" filled="f" stroked="f">
                        <v:textbox style="mso-fit-shape-to-text:t" inset="0,0,0,0">
                          <w:txbxContent>
                            <w:p w14:paraId="65303999" w14:textId="77777777" w:rsidR="00847E53" w:rsidRPr="00B34B0A" w:rsidRDefault="00847E53" w:rsidP="00C952ED">
                              <w:pPr>
                                <w:rPr>
                                  <w:b/>
                                </w:rPr>
                              </w:pPr>
                              <w:r>
                                <w:rPr>
                                  <w:b/>
                                  <w:i/>
                                  <w:iCs/>
                                  <w:color w:val="000000"/>
                                </w:rPr>
                                <w:t>DC-Coupled Resources</w:t>
                              </w:r>
                            </w:p>
                          </w:txbxContent>
                        </v:textbox>
                      </v:rect>
                      <v:rect id="Rectangle 74" o:spid="_x0000_s1569"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061E9FF1" w14:textId="77777777" w:rsidR="00847E53" w:rsidRPr="00B34B0A" w:rsidRDefault="00847E53" w:rsidP="00C952ED">
                              <w:pPr>
                                <w:rPr>
                                  <w:b/>
                                </w:rPr>
                              </w:pPr>
                            </w:p>
                          </w:txbxContent>
                        </v:textbox>
                      </v:rect>
                      <v:rect id="Rectangle 75" o:spid="_x0000_s1570"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449409D8" w14:textId="77777777" w:rsidR="00847E53" w:rsidRPr="00B34B0A" w:rsidRDefault="00847E53" w:rsidP="00C952ED">
                              <w:pPr>
                                <w:rPr>
                                  <w:b/>
                                </w:rPr>
                              </w:pPr>
                              <w:r w:rsidRPr="00B34B0A">
                                <w:rPr>
                                  <w:b/>
                                  <w:i/>
                                  <w:iCs/>
                                  <w:color w:val="000000"/>
                                </w:rPr>
                                <w:t>online</w:t>
                              </w:r>
                            </w:p>
                          </w:txbxContent>
                        </v:textbox>
                      </v:rect>
                      <v:rect id="Rectangle 76" o:spid="_x0000_s1571"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" filled="f" stroked="f">
                        <v:textbox style="mso-fit-shape-to-text:t" inset="0,0,0,0">
                          <w:txbxContent>
                            <w:p w14:paraId="0C961BC7" w14:textId="77777777" w:rsidR="00847E53" w:rsidRPr="00B34B0A" w:rsidRDefault="00847E53" w:rsidP="00C952ED">
                              <w:pPr>
                                <w:rPr>
                                  <w:b/>
                                </w:rPr>
                              </w:pPr>
                              <w:r w:rsidRPr="00B34B0A">
                                <w:rPr>
                                  <w:b/>
                                  <w:i/>
                                  <w:iCs/>
                                  <w:color w:val="000000"/>
                                </w:rPr>
                                <w:t>All</w:t>
                              </w:r>
                            </w:p>
                          </w:txbxContent>
                        </v:textbox>
                      </v:rect>
                      <v:rect id="Rectangle 77" o:spid="_x0000_s1572"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226F97E1" w14:textId="77777777" w:rsidR="00847E53" w:rsidRPr="00B34B0A" w:rsidRDefault="00847E53" w:rsidP="00C952ED">
                              <w:pPr>
                                <w:rPr>
                                  <w:b/>
                                </w:rPr>
                              </w:pPr>
                            </w:p>
                          </w:txbxContent>
                        </v:textbox>
                      </v:rect>
                      <v:rect id="Rectangle 78" o:spid="_x0000_s1573"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750BF0B8" w14:textId="77777777" w:rsidR="00847E53" w:rsidRPr="00B34B0A" w:rsidRDefault="00847E53" w:rsidP="00C952ED">
                              <w:pPr>
                                <w:rPr>
                                  <w:b/>
                                </w:rPr>
                              </w:pPr>
                              <w:r>
                                <w:rPr>
                                  <w:b/>
                                  <w:i/>
                                  <w:iCs/>
                                  <w:color w:val="000000"/>
                                </w:rPr>
                                <w:t>ESR</w:t>
                              </w:r>
                            </w:p>
                          </w:txbxContent>
                        </v:textbox>
                      </v:rect>
                      <v:rect id="Rectangle 79" o:spid="_x0000_s157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40D7E707" w14:textId="77777777" w:rsidR="00847E53" w:rsidRPr="00B34B0A" w:rsidRDefault="00847E53" w:rsidP="00C952ED">
                              <w:pPr>
                                <w:rPr>
                                  <w:b/>
                                </w:rPr>
                              </w:pPr>
                              <w:r w:rsidRPr="00B34B0A">
                                <w:rPr>
                                  <w:b/>
                                  <w:i/>
                                  <w:iCs/>
                                  <w:color w:val="000000"/>
                                </w:rPr>
                                <w:t>online</w:t>
                              </w:r>
                            </w:p>
                          </w:txbxContent>
                        </v:textbox>
                      </v:rect>
                      <v:rect id="Rectangle 80" o:spid="_x0000_s157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2541E676" w14:textId="77777777" w:rsidR="00847E53" w:rsidRPr="00B34B0A" w:rsidRDefault="00847E53" w:rsidP="00C952ED">
                              <w:pPr>
                                <w:rPr>
                                  <w:b/>
                                </w:rPr>
                              </w:pPr>
                              <w:r w:rsidRPr="00B34B0A">
                                <w:rPr>
                                  <w:b/>
                                  <w:i/>
                                  <w:iCs/>
                                  <w:color w:val="000000"/>
                                </w:rPr>
                                <w:t>i</w:t>
                              </w:r>
                            </w:p>
                          </w:txbxContent>
                        </v:textbox>
                      </v:rect>
                    </v:group>
                  </w:pict>
                </mc:Fallback>
              </mc:AlternateContent>
            </w:r>
            <w:r w:rsidRPr="006A3321">
              <w:rPr>
                <w:b/>
                <w:position w:val="30"/>
                <w:sz w:val="20"/>
              </w:rPr>
              <w:t>PRC</w:t>
            </w:r>
            <w:r>
              <w:rPr>
                <w:rFonts w:ascii="Times New Roman Bold" w:hAnsi="Times New Roman Bold"/>
                <w:b/>
                <w:position w:val="30"/>
                <w:sz w:val="20"/>
                <w:vertAlign w:val="subscript"/>
              </w:rPr>
              <w:t>9</w:t>
            </w:r>
            <w:r w:rsidRPr="006A3321">
              <w:rPr>
                <w:b/>
                <w:position w:val="30"/>
                <w:sz w:val="20"/>
              </w:rPr>
              <w:t xml:space="preserve"> =</w:t>
            </w:r>
            <w:r w:rsidRPr="006A3321">
              <w:rPr>
                <w:b/>
                <w:position w:val="30"/>
                <w:sz w:val="20"/>
              </w:rPr>
              <w:tab/>
            </w:r>
            <w:r>
              <w:rPr>
                <w:b/>
                <w:position w:val="30"/>
                <w:sz w:val="20"/>
              </w:rPr>
              <w:t>(If discharging or idle, Min(X% of HSL based on droop, HSL-Gen</w:t>
            </w:r>
            <w:r w:rsidRPr="00E96BFC">
              <w:rPr>
                <w:b/>
                <w:position w:val="30"/>
                <w:sz w:val="20"/>
              </w:rPr>
              <w:t xml:space="preserve"> “injection”, the sum of the MW headroom available from the intermittent renewable generation component and the MW capacity that can be sustained for 15 minutes per the ESS State of Charge), else Min(X% of Real-Time Total Capacity based on droop, the sum of the MW headroom available from the intermittent renewable generation component and the MW capacity that can be sustained for 15 minutes per the ESS State of Charge))</w:t>
            </w:r>
          </w:p>
          <w:p w14:paraId="3BA65BC7" w14:textId="13BBE49E" w:rsidR="00C952ED" w:rsidRPr="00890B88" w:rsidRDefault="00C952ED" w:rsidP="00C952ED">
            <w:pPr>
              <w:tabs>
                <w:tab w:val="left" w:pos="2160"/>
              </w:tabs>
              <w:spacing w:after="240"/>
              <w:ind w:left="2160" w:hanging="2160"/>
              <w:rPr>
                <w:b/>
                <w:position w:val="30"/>
                <w:sz w:val="20"/>
              </w:rPr>
            </w:pPr>
            <w:r>
              <w:rPr>
                <w:b/>
                <w:position w:val="30"/>
                <w:sz w:val="20"/>
              </w:rPr>
              <w:t>Excludes DC-Coupled Resource capacity used to provide FFR</w:t>
            </w:r>
            <w:r w:rsidR="0069524B">
              <w:rPr>
                <w:b/>
                <w:position w:val="30"/>
                <w:sz w:val="20"/>
              </w:rPr>
              <w:t>.</w:t>
            </w:r>
          </w:p>
          <w:p w14:paraId="48CCD2A1" w14:textId="26958D3E" w:rsidR="00194E91" w:rsidRPr="003161DC" w:rsidRDefault="00194E91" w:rsidP="002E4A29">
            <w:pPr>
              <w:ind w:left="720" w:hanging="720"/>
              <w:rPr>
                <w:b/>
                <w:position w:val="30"/>
                <w:sz w:val="20"/>
              </w:rPr>
            </w:pPr>
            <w:r w:rsidRPr="003161DC">
              <w:rPr>
                <w:b/>
                <w:position w:val="30"/>
                <w:sz w:val="20"/>
              </w:rPr>
              <w:t>PRC =</w:t>
            </w:r>
            <w:r w:rsidRPr="003161DC">
              <w:rPr>
                <w:b/>
                <w:position w:val="30"/>
                <w:sz w:val="20"/>
              </w:rPr>
              <w:tab/>
              <w:t>PRC</w:t>
            </w:r>
            <w:r w:rsidRPr="003161DC">
              <w:rPr>
                <w:b/>
                <w:position w:val="30"/>
                <w:sz w:val="20"/>
                <w:vertAlign w:val="subscript"/>
              </w:rPr>
              <w:t>1</w:t>
            </w:r>
            <w:r w:rsidRPr="003161DC">
              <w:rPr>
                <w:b/>
                <w:position w:val="30"/>
                <w:sz w:val="20"/>
              </w:rPr>
              <w:t xml:space="preserve"> + PRC</w:t>
            </w:r>
            <w:r w:rsidRPr="003161DC">
              <w:rPr>
                <w:b/>
                <w:position w:val="30"/>
                <w:sz w:val="20"/>
                <w:vertAlign w:val="subscript"/>
              </w:rPr>
              <w:t>2</w:t>
            </w:r>
            <w:r w:rsidRPr="003161DC">
              <w:rPr>
                <w:b/>
                <w:position w:val="30"/>
                <w:sz w:val="20"/>
              </w:rPr>
              <w:t xml:space="preserve"> + PRC</w:t>
            </w:r>
            <w:r w:rsidRPr="003161DC">
              <w:rPr>
                <w:b/>
                <w:position w:val="30"/>
                <w:sz w:val="20"/>
                <w:vertAlign w:val="subscript"/>
              </w:rPr>
              <w:t>3</w:t>
            </w:r>
            <w:r w:rsidRPr="003161DC">
              <w:rPr>
                <w:b/>
                <w:position w:val="30"/>
                <w:sz w:val="20"/>
              </w:rPr>
              <w:t>+ PRC</w:t>
            </w:r>
            <w:r w:rsidRPr="003161DC">
              <w:rPr>
                <w:b/>
                <w:position w:val="30"/>
                <w:sz w:val="20"/>
                <w:vertAlign w:val="subscript"/>
              </w:rPr>
              <w:t>4</w:t>
            </w:r>
            <w:r w:rsidRPr="003161DC">
              <w:rPr>
                <w:b/>
                <w:position w:val="30"/>
                <w:sz w:val="20"/>
              </w:rPr>
              <w:t xml:space="preserve"> + PRC</w:t>
            </w:r>
            <w:r w:rsidRPr="003161DC">
              <w:rPr>
                <w:b/>
                <w:position w:val="30"/>
                <w:sz w:val="20"/>
                <w:vertAlign w:val="subscript"/>
              </w:rPr>
              <w:t>5</w:t>
            </w:r>
            <w:r w:rsidRPr="003161DC">
              <w:rPr>
                <w:b/>
                <w:position w:val="30"/>
                <w:sz w:val="20"/>
              </w:rPr>
              <w:t xml:space="preserve"> + PRC</w:t>
            </w:r>
            <w:r w:rsidRPr="003161DC">
              <w:rPr>
                <w:b/>
                <w:position w:val="30"/>
                <w:sz w:val="20"/>
                <w:vertAlign w:val="subscript"/>
              </w:rPr>
              <w:t>6</w:t>
            </w:r>
            <w:r w:rsidRPr="003161DC">
              <w:rPr>
                <w:b/>
                <w:position w:val="30"/>
                <w:sz w:val="20"/>
              </w:rPr>
              <w:t xml:space="preserve"> + PRC</w:t>
            </w:r>
            <w:r>
              <w:rPr>
                <w:b/>
                <w:position w:val="30"/>
                <w:sz w:val="20"/>
                <w:vertAlign w:val="subscript"/>
              </w:rPr>
              <w:t>7</w:t>
            </w:r>
            <w:r w:rsidRPr="006955CA">
              <w:rPr>
                <w:b/>
                <w:position w:val="30"/>
                <w:sz w:val="20"/>
              </w:rPr>
              <w:t xml:space="preserve"> + PRC</w:t>
            </w:r>
            <w:r>
              <w:rPr>
                <w:b/>
                <w:position w:val="30"/>
                <w:sz w:val="20"/>
                <w:vertAlign w:val="subscript"/>
              </w:rPr>
              <w:t>8</w:t>
            </w:r>
            <w:r w:rsidR="00C952ED" w:rsidRPr="006955CA">
              <w:rPr>
                <w:b/>
                <w:position w:val="30"/>
                <w:sz w:val="20"/>
              </w:rPr>
              <w:t xml:space="preserve"> + PRC</w:t>
            </w:r>
            <w:r w:rsidR="00C952ED">
              <w:rPr>
                <w:b/>
                <w:position w:val="30"/>
                <w:sz w:val="20"/>
                <w:vertAlign w:val="subscript"/>
              </w:rPr>
              <w:t>9</w:t>
            </w:r>
          </w:p>
          <w:p w14:paraId="1DDA9977" w14:textId="77777777" w:rsidR="00194E91" w:rsidRPr="00460591" w:rsidRDefault="00194E91" w:rsidP="00194E91">
            <w:r w:rsidRPr="003161DC">
              <w:t xml:space="preserve">The above variables are defined </w:t>
            </w:r>
            <w:r>
              <w:t xml:space="preserve">as follows: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1151"/>
              <w:gridCol w:w="6004"/>
            </w:tblGrid>
            <w:tr w:rsidR="00194E91" w:rsidRPr="003161DC" w14:paraId="3D86CE0E" w14:textId="77777777" w:rsidTr="00194E91">
              <w:tc>
                <w:tcPr>
                  <w:tcW w:w="2050" w:type="dxa"/>
                </w:tcPr>
                <w:p w14:paraId="663E2BB7" w14:textId="77777777" w:rsidR="00194E91" w:rsidRPr="003161DC" w:rsidRDefault="00194E91" w:rsidP="00194E91">
                  <w:pPr>
                    <w:spacing w:after="120"/>
                    <w:rPr>
                      <w:b/>
                      <w:iCs/>
                      <w:sz w:val="20"/>
                    </w:rPr>
                  </w:pPr>
                  <w:r w:rsidRPr="003161DC">
                    <w:rPr>
                      <w:b/>
                      <w:iCs/>
                      <w:sz w:val="20"/>
                    </w:rPr>
                    <w:t>Variable</w:t>
                  </w:r>
                </w:p>
              </w:tc>
              <w:tc>
                <w:tcPr>
                  <w:tcW w:w="1151" w:type="dxa"/>
                </w:tcPr>
                <w:p w14:paraId="7A20023D" w14:textId="77777777" w:rsidR="00194E91" w:rsidRPr="003161DC" w:rsidRDefault="00194E91" w:rsidP="00194E91">
                  <w:pPr>
                    <w:spacing w:after="120"/>
                    <w:rPr>
                      <w:b/>
                      <w:iCs/>
                      <w:sz w:val="20"/>
                    </w:rPr>
                  </w:pPr>
                  <w:r w:rsidRPr="003161DC">
                    <w:rPr>
                      <w:b/>
                      <w:iCs/>
                      <w:sz w:val="20"/>
                    </w:rPr>
                    <w:t>Unit</w:t>
                  </w:r>
                </w:p>
              </w:tc>
              <w:tc>
                <w:tcPr>
                  <w:tcW w:w="6004" w:type="dxa"/>
                </w:tcPr>
                <w:p w14:paraId="3902DA8B" w14:textId="77777777" w:rsidR="00194E91" w:rsidRPr="003161DC" w:rsidRDefault="00194E91" w:rsidP="00194E91">
                  <w:pPr>
                    <w:spacing w:after="120"/>
                    <w:rPr>
                      <w:b/>
                      <w:iCs/>
                      <w:sz w:val="20"/>
                    </w:rPr>
                  </w:pPr>
                  <w:r w:rsidRPr="003161DC">
                    <w:rPr>
                      <w:b/>
                      <w:iCs/>
                      <w:sz w:val="20"/>
                    </w:rPr>
                    <w:t>Description</w:t>
                  </w:r>
                </w:p>
              </w:tc>
            </w:tr>
            <w:tr w:rsidR="00194E91" w:rsidRPr="003161DC" w14:paraId="1429A8BF" w14:textId="77777777" w:rsidTr="00194E91">
              <w:tc>
                <w:tcPr>
                  <w:tcW w:w="2050" w:type="dxa"/>
                </w:tcPr>
                <w:p w14:paraId="779BB477" w14:textId="77777777" w:rsidR="00194E91" w:rsidRPr="003161DC" w:rsidRDefault="00194E91" w:rsidP="00194E91">
                  <w:pPr>
                    <w:spacing w:after="60"/>
                    <w:rPr>
                      <w:iCs/>
                      <w:sz w:val="20"/>
                    </w:rPr>
                  </w:pPr>
                  <w:r w:rsidRPr="003161DC">
                    <w:rPr>
                      <w:iCs/>
                      <w:sz w:val="20"/>
                    </w:rPr>
                    <w:t>PRC</w:t>
                  </w:r>
                  <w:r w:rsidRPr="003161DC">
                    <w:rPr>
                      <w:iCs/>
                      <w:sz w:val="20"/>
                      <w:vertAlign w:val="subscript"/>
                    </w:rPr>
                    <w:t>1</w:t>
                  </w:r>
                </w:p>
              </w:tc>
              <w:tc>
                <w:tcPr>
                  <w:tcW w:w="1151" w:type="dxa"/>
                </w:tcPr>
                <w:p w14:paraId="2B674114" w14:textId="77777777" w:rsidR="00194E91" w:rsidRPr="003161DC" w:rsidRDefault="00194E91" w:rsidP="00194E91">
                  <w:pPr>
                    <w:spacing w:after="60"/>
                    <w:rPr>
                      <w:iCs/>
                      <w:sz w:val="20"/>
                    </w:rPr>
                  </w:pPr>
                  <w:r w:rsidRPr="003161DC">
                    <w:rPr>
                      <w:iCs/>
                      <w:sz w:val="20"/>
                    </w:rPr>
                    <w:t>MW</w:t>
                  </w:r>
                </w:p>
              </w:tc>
              <w:tc>
                <w:tcPr>
                  <w:tcW w:w="6004" w:type="dxa"/>
                </w:tcPr>
                <w:p w14:paraId="33385BE1" w14:textId="77777777" w:rsidR="00194E91" w:rsidRPr="003161DC" w:rsidRDefault="00194E91" w:rsidP="00194E91">
                  <w:pPr>
                    <w:spacing w:after="60"/>
                    <w:rPr>
                      <w:iCs/>
                      <w:sz w:val="20"/>
                    </w:rPr>
                  </w:pPr>
                  <w:r w:rsidRPr="003161DC">
                    <w:rPr>
                      <w:iCs/>
                      <w:sz w:val="20"/>
                    </w:rPr>
                    <w:t>Generation On-Line greater than 0 MW</w:t>
                  </w:r>
                </w:p>
              </w:tc>
            </w:tr>
            <w:tr w:rsidR="00194E91" w:rsidRPr="003161DC" w14:paraId="64E7A6BF" w14:textId="77777777" w:rsidTr="00194E91">
              <w:tc>
                <w:tcPr>
                  <w:tcW w:w="2050" w:type="dxa"/>
                </w:tcPr>
                <w:p w14:paraId="1D3B7158" w14:textId="77777777" w:rsidR="00194E91" w:rsidRPr="003161DC" w:rsidRDefault="00194E91" w:rsidP="00194E91">
                  <w:pPr>
                    <w:spacing w:after="60"/>
                    <w:rPr>
                      <w:iCs/>
                      <w:sz w:val="20"/>
                    </w:rPr>
                  </w:pPr>
                  <w:r w:rsidRPr="003161DC">
                    <w:rPr>
                      <w:iCs/>
                      <w:sz w:val="20"/>
                    </w:rPr>
                    <w:t>PRC</w:t>
                  </w:r>
                  <w:r w:rsidRPr="003161DC">
                    <w:rPr>
                      <w:iCs/>
                      <w:sz w:val="20"/>
                      <w:vertAlign w:val="subscript"/>
                    </w:rPr>
                    <w:t>2</w:t>
                  </w:r>
                </w:p>
              </w:tc>
              <w:tc>
                <w:tcPr>
                  <w:tcW w:w="1151" w:type="dxa"/>
                </w:tcPr>
                <w:p w14:paraId="0C77FB2A" w14:textId="77777777" w:rsidR="00194E91" w:rsidRPr="003161DC" w:rsidRDefault="00194E91" w:rsidP="00194E91">
                  <w:pPr>
                    <w:spacing w:after="60"/>
                    <w:rPr>
                      <w:iCs/>
                      <w:sz w:val="20"/>
                    </w:rPr>
                  </w:pPr>
                  <w:r w:rsidRPr="003161DC">
                    <w:rPr>
                      <w:iCs/>
                      <w:sz w:val="20"/>
                    </w:rPr>
                    <w:t>MW</w:t>
                  </w:r>
                </w:p>
              </w:tc>
              <w:tc>
                <w:tcPr>
                  <w:tcW w:w="6004" w:type="dxa"/>
                </w:tcPr>
                <w:p w14:paraId="71EB2497" w14:textId="77777777" w:rsidR="00194E91" w:rsidRPr="003161DC" w:rsidRDefault="00194E91" w:rsidP="00194E91">
                  <w:pPr>
                    <w:spacing w:after="60"/>
                    <w:rPr>
                      <w:iCs/>
                      <w:sz w:val="20"/>
                    </w:rPr>
                  </w:pPr>
                  <w:r w:rsidRPr="003161DC">
                    <w:rPr>
                      <w:iCs/>
                      <w:sz w:val="20"/>
                    </w:rPr>
                    <w:t>WGRs On-Line greater than 0 MW</w:t>
                  </w:r>
                </w:p>
              </w:tc>
            </w:tr>
            <w:tr w:rsidR="00194E91" w:rsidRPr="003161DC" w14:paraId="7A6FD78B" w14:textId="77777777" w:rsidTr="00194E91">
              <w:tc>
                <w:tcPr>
                  <w:tcW w:w="2050" w:type="dxa"/>
                </w:tcPr>
                <w:p w14:paraId="25F4CAD3" w14:textId="77777777" w:rsidR="00194E91" w:rsidRPr="003161DC" w:rsidRDefault="00194E91" w:rsidP="00194E91">
                  <w:pPr>
                    <w:spacing w:after="60"/>
                    <w:rPr>
                      <w:iCs/>
                      <w:sz w:val="20"/>
                    </w:rPr>
                  </w:pPr>
                  <w:r w:rsidRPr="003161DC">
                    <w:rPr>
                      <w:iCs/>
                      <w:sz w:val="20"/>
                    </w:rPr>
                    <w:t>PRC</w:t>
                  </w:r>
                  <w:r w:rsidRPr="003161DC">
                    <w:rPr>
                      <w:iCs/>
                      <w:sz w:val="20"/>
                      <w:vertAlign w:val="subscript"/>
                    </w:rPr>
                    <w:t>3</w:t>
                  </w:r>
                </w:p>
              </w:tc>
              <w:tc>
                <w:tcPr>
                  <w:tcW w:w="1151" w:type="dxa"/>
                </w:tcPr>
                <w:p w14:paraId="3B15C789" w14:textId="77777777" w:rsidR="00194E91" w:rsidRPr="003161DC" w:rsidRDefault="00194E91" w:rsidP="00194E91">
                  <w:pPr>
                    <w:spacing w:after="60"/>
                    <w:rPr>
                      <w:iCs/>
                      <w:sz w:val="20"/>
                    </w:rPr>
                  </w:pPr>
                  <w:r w:rsidRPr="003161DC">
                    <w:rPr>
                      <w:iCs/>
                      <w:sz w:val="20"/>
                    </w:rPr>
                    <w:t>MW</w:t>
                  </w:r>
                </w:p>
              </w:tc>
              <w:tc>
                <w:tcPr>
                  <w:tcW w:w="6004" w:type="dxa"/>
                </w:tcPr>
                <w:p w14:paraId="0F9FA454" w14:textId="2F0319E1" w:rsidR="00194E91" w:rsidRPr="003161DC" w:rsidRDefault="00194E91" w:rsidP="00194E91">
                  <w:pPr>
                    <w:spacing w:after="60"/>
                    <w:rPr>
                      <w:iCs/>
                      <w:sz w:val="20"/>
                    </w:rPr>
                  </w:pPr>
                  <w:r>
                    <w:rPr>
                      <w:iCs/>
                      <w:sz w:val="20"/>
                    </w:rPr>
                    <w:t>Synchronous condenser output</w:t>
                  </w:r>
                </w:p>
              </w:tc>
            </w:tr>
            <w:tr w:rsidR="00194E91" w:rsidRPr="003161DC" w14:paraId="11CF5E6D" w14:textId="77777777" w:rsidTr="00194E91">
              <w:tc>
                <w:tcPr>
                  <w:tcW w:w="2050" w:type="dxa"/>
                </w:tcPr>
                <w:p w14:paraId="2FACF612" w14:textId="77777777" w:rsidR="00194E91" w:rsidRPr="003161DC" w:rsidRDefault="00194E91" w:rsidP="00194E91">
                  <w:pPr>
                    <w:spacing w:after="60"/>
                    <w:rPr>
                      <w:iCs/>
                      <w:sz w:val="20"/>
                    </w:rPr>
                  </w:pPr>
                  <w:r w:rsidRPr="003161DC">
                    <w:rPr>
                      <w:iCs/>
                      <w:sz w:val="20"/>
                    </w:rPr>
                    <w:t>PRC</w:t>
                  </w:r>
                  <w:r w:rsidRPr="003161DC">
                    <w:rPr>
                      <w:iCs/>
                      <w:sz w:val="20"/>
                      <w:vertAlign w:val="subscript"/>
                    </w:rPr>
                    <w:t>4</w:t>
                  </w:r>
                </w:p>
              </w:tc>
              <w:tc>
                <w:tcPr>
                  <w:tcW w:w="1151" w:type="dxa"/>
                </w:tcPr>
                <w:p w14:paraId="1968CCB6" w14:textId="77777777" w:rsidR="00194E91" w:rsidRPr="003161DC" w:rsidRDefault="00194E91" w:rsidP="00194E91">
                  <w:pPr>
                    <w:spacing w:after="60"/>
                    <w:rPr>
                      <w:iCs/>
                      <w:sz w:val="20"/>
                    </w:rPr>
                  </w:pPr>
                  <w:r w:rsidRPr="003161DC">
                    <w:rPr>
                      <w:iCs/>
                      <w:sz w:val="20"/>
                    </w:rPr>
                    <w:t>MW</w:t>
                  </w:r>
                </w:p>
              </w:tc>
              <w:tc>
                <w:tcPr>
                  <w:tcW w:w="6004" w:type="dxa"/>
                </w:tcPr>
                <w:p w14:paraId="605AADEE" w14:textId="2E733873" w:rsidR="00194E91" w:rsidRPr="003161DC" w:rsidRDefault="00194E91" w:rsidP="00194E91">
                  <w:pPr>
                    <w:tabs>
                      <w:tab w:val="left" w:pos="1080"/>
                    </w:tabs>
                    <w:spacing w:after="60"/>
                    <w:rPr>
                      <w:iCs/>
                      <w:sz w:val="20"/>
                    </w:rPr>
                  </w:pPr>
                  <w:r w:rsidRPr="003161DC">
                    <w:rPr>
                      <w:sz w:val="20"/>
                    </w:rPr>
                    <w:t xml:space="preserve">Capacity from Load Resources </w:t>
                  </w:r>
                  <w:r>
                    <w:rPr>
                      <w:sz w:val="20"/>
                    </w:rPr>
                    <w:t>with an</w:t>
                  </w:r>
                  <w:r w:rsidRPr="003161DC">
                    <w:rPr>
                      <w:sz w:val="20"/>
                    </w:rPr>
                    <w:t xml:space="preserve"> ECRS Ancillary Service Resource </w:t>
                  </w:r>
                  <w:r>
                    <w:rPr>
                      <w:sz w:val="20"/>
                    </w:rPr>
                    <w:t>award</w:t>
                  </w:r>
                </w:p>
              </w:tc>
            </w:tr>
            <w:tr w:rsidR="00194E91" w:rsidRPr="003161DC" w14:paraId="04B6142D" w14:textId="77777777" w:rsidTr="00194E91">
              <w:tc>
                <w:tcPr>
                  <w:tcW w:w="2050" w:type="dxa"/>
                </w:tcPr>
                <w:p w14:paraId="5B6642B4" w14:textId="77777777" w:rsidR="00194E91" w:rsidRPr="003161DC" w:rsidRDefault="00194E91" w:rsidP="00194E91">
                  <w:pPr>
                    <w:spacing w:after="60"/>
                    <w:rPr>
                      <w:iCs/>
                      <w:sz w:val="20"/>
                    </w:rPr>
                  </w:pPr>
                  <w:r w:rsidRPr="003161DC">
                    <w:rPr>
                      <w:iCs/>
                      <w:sz w:val="20"/>
                    </w:rPr>
                    <w:t>PRC</w:t>
                  </w:r>
                  <w:r w:rsidRPr="003161DC">
                    <w:rPr>
                      <w:iCs/>
                      <w:sz w:val="20"/>
                      <w:vertAlign w:val="subscript"/>
                    </w:rPr>
                    <w:t>5</w:t>
                  </w:r>
                </w:p>
              </w:tc>
              <w:tc>
                <w:tcPr>
                  <w:tcW w:w="1151" w:type="dxa"/>
                </w:tcPr>
                <w:p w14:paraId="7D19DBB0" w14:textId="77777777" w:rsidR="00194E91" w:rsidRPr="003161DC" w:rsidRDefault="00194E91" w:rsidP="00194E91">
                  <w:pPr>
                    <w:spacing w:after="60"/>
                    <w:rPr>
                      <w:iCs/>
                      <w:sz w:val="20"/>
                    </w:rPr>
                  </w:pPr>
                  <w:r w:rsidRPr="003161DC">
                    <w:rPr>
                      <w:iCs/>
                      <w:sz w:val="20"/>
                    </w:rPr>
                    <w:t>MW</w:t>
                  </w:r>
                </w:p>
              </w:tc>
              <w:tc>
                <w:tcPr>
                  <w:tcW w:w="6004" w:type="dxa"/>
                </w:tcPr>
                <w:p w14:paraId="640DE925" w14:textId="5C8D2F1B" w:rsidR="00194E91" w:rsidRPr="003161DC" w:rsidRDefault="00194E91" w:rsidP="00194E91">
                  <w:pPr>
                    <w:tabs>
                      <w:tab w:val="left" w:pos="1080"/>
                    </w:tabs>
                    <w:spacing w:after="60"/>
                    <w:rPr>
                      <w:iCs/>
                      <w:sz w:val="20"/>
                    </w:rPr>
                  </w:pPr>
                  <w:r w:rsidRPr="003161DC">
                    <w:rPr>
                      <w:iCs/>
                      <w:sz w:val="20"/>
                    </w:rPr>
                    <w:t xml:space="preserve">Capacity from </w:t>
                  </w:r>
                  <w:r w:rsidR="0069524B">
                    <w:rPr>
                      <w:iCs/>
                      <w:sz w:val="20"/>
                    </w:rPr>
                    <w:t>CLRs</w:t>
                  </w:r>
                  <w:r w:rsidRPr="003161DC">
                    <w:rPr>
                      <w:iCs/>
                      <w:sz w:val="20"/>
                    </w:rPr>
                    <w:t xml:space="preserve"> active in SCED</w:t>
                  </w:r>
                  <w:r w:rsidR="004D2827" w:rsidRPr="006E6395">
                    <w:rPr>
                      <w:iCs/>
                      <w:sz w:val="20"/>
                    </w:rPr>
                    <w:t xml:space="preserve"> and </w:t>
                  </w:r>
                  <w:r w:rsidR="004D2827">
                    <w:rPr>
                      <w:iCs/>
                      <w:sz w:val="20"/>
                    </w:rPr>
                    <w:t>qualified for Regulation Service and/or RRS</w:t>
                  </w:r>
                  <w:r>
                    <w:rPr>
                      <w:iCs/>
                      <w:sz w:val="20"/>
                    </w:rPr>
                    <w:t xml:space="preserve"> with an </w:t>
                  </w:r>
                  <w:r w:rsidRPr="003161DC">
                    <w:rPr>
                      <w:iCs/>
                      <w:sz w:val="20"/>
                    </w:rPr>
                    <w:t xml:space="preserve">Ancillary Service Resource </w:t>
                  </w:r>
                  <w:r>
                    <w:rPr>
                      <w:iCs/>
                      <w:sz w:val="20"/>
                    </w:rPr>
                    <w:t>award</w:t>
                  </w:r>
                </w:p>
              </w:tc>
            </w:tr>
            <w:tr w:rsidR="00194E91" w:rsidRPr="003161DC" w14:paraId="4F04B830" w14:textId="77777777" w:rsidTr="00194E91">
              <w:tc>
                <w:tcPr>
                  <w:tcW w:w="2050" w:type="dxa"/>
                </w:tcPr>
                <w:p w14:paraId="5830ACC2" w14:textId="77777777" w:rsidR="00194E91" w:rsidRPr="003161DC" w:rsidRDefault="00194E91" w:rsidP="00194E91">
                  <w:pPr>
                    <w:spacing w:after="60"/>
                    <w:rPr>
                      <w:iCs/>
                      <w:sz w:val="20"/>
                    </w:rPr>
                  </w:pPr>
                  <w:r w:rsidRPr="003161DC">
                    <w:rPr>
                      <w:iCs/>
                      <w:sz w:val="20"/>
                    </w:rPr>
                    <w:t>PRC</w:t>
                  </w:r>
                  <w:r w:rsidRPr="003161DC">
                    <w:rPr>
                      <w:iCs/>
                      <w:sz w:val="20"/>
                      <w:vertAlign w:val="subscript"/>
                    </w:rPr>
                    <w:t>6</w:t>
                  </w:r>
                </w:p>
              </w:tc>
              <w:tc>
                <w:tcPr>
                  <w:tcW w:w="1151" w:type="dxa"/>
                </w:tcPr>
                <w:p w14:paraId="5E6060F9" w14:textId="77777777" w:rsidR="00194E91" w:rsidRPr="003161DC" w:rsidRDefault="00194E91" w:rsidP="00194E91">
                  <w:pPr>
                    <w:spacing w:after="60"/>
                    <w:rPr>
                      <w:iCs/>
                      <w:sz w:val="20"/>
                    </w:rPr>
                  </w:pPr>
                  <w:r w:rsidRPr="003161DC">
                    <w:rPr>
                      <w:iCs/>
                      <w:sz w:val="20"/>
                    </w:rPr>
                    <w:t>MW</w:t>
                  </w:r>
                </w:p>
              </w:tc>
              <w:tc>
                <w:tcPr>
                  <w:tcW w:w="6004" w:type="dxa"/>
                </w:tcPr>
                <w:p w14:paraId="327509C6" w14:textId="7DD96088" w:rsidR="00194E91" w:rsidRPr="003161DC" w:rsidRDefault="00194E91" w:rsidP="00194E91">
                  <w:pPr>
                    <w:tabs>
                      <w:tab w:val="left" w:pos="1080"/>
                    </w:tabs>
                    <w:spacing w:after="60"/>
                    <w:rPr>
                      <w:iCs/>
                      <w:sz w:val="20"/>
                    </w:rPr>
                  </w:pPr>
                  <w:r w:rsidRPr="003161DC">
                    <w:rPr>
                      <w:iCs/>
                      <w:sz w:val="20"/>
                    </w:rPr>
                    <w:t xml:space="preserve">Capacity from </w:t>
                  </w:r>
                  <w:r w:rsidR="0069524B">
                    <w:rPr>
                      <w:iCs/>
                      <w:sz w:val="20"/>
                    </w:rPr>
                    <w:t>CLRs</w:t>
                  </w:r>
                  <w:r w:rsidRPr="003161DC">
                    <w:rPr>
                      <w:iCs/>
                      <w:sz w:val="20"/>
                    </w:rPr>
                    <w:t xml:space="preserve"> active in SCED</w:t>
                  </w:r>
                  <w:r>
                    <w:rPr>
                      <w:iCs/>
                      <w:sz w:val="20"/>
                    </w:rPr>
                    <w:t xml:space="preserve"> </w:t>
                  </w:r>
                  <w:r w:rsidR="004D2827" w:rsidRPr="006E6395">
                    <w:rPr>
                      <w:iCs/>
                      <w:sz w:val="20"/>
                    </w:rPr>
                    <w:t xml:space="preserve">and </w:t>
                  </w:r>
                  <w:r w:rsidR="004D2827">
                    <w:rPr>
                      <w:iCs/>
                      <w:sz w:val="20"/>
                    </w:rPr>
                    <w:t xml:space="preserve">qualified for Regulation Service and/or RRS </w:t>
                  </w:r>
                  <w:r>
                    <w:rPr>
                      <w:iCs/>
                      <w:sz w:val="20"/>
                    </w:rPr>
                    <w:t>without an</w:t>
                  </w:r>
                  <w:r w:rsidRPr="003161DC">
                    <w:rPr>
                      <w:iCs/>
                      <w:sz w:val="20"/>
                    </w:rPr>
                    <w:t xml:space="preserve"> Ancillary Service Resource </w:t>
                  </w:r>
                  <w:r>
                    <w:rPr>
                      <w:iCs/>
                      <w:sz w:val="20"/>
                    </w:rPr>
                    <w:t>award</w:t>
                  </w:r>
                </w:p>
              </w:tc>
            </w:tr>
            <w:tr w:rsidR="00194E91" w:rsidRPr="003161DC" w14:paraId="58229005" w14:textId="77777777" w:rsidTr="00194E91">
              <w:tc>
                <w:tcPr>
                  <w:tcW w:w="2050" w:type="dxa"/>
                </w:tcPr>
                <w:p w14:paraId="031AD951" w14:textId="77777777" w:rsidR="00194E91" w:rsidRPr="003161DC" w:rsidRDefault="00194E91" w:rsidP="00194E91">
                  <w:pPr>
                    <w:spacing w:after="60"/>
                    <w:rPr>
                      <w:iCs/>
                      <w:sz w:val="20"/>
                    </w:rPr>
                  </w:pPr>
                  <w:r w:rsidRPr="003161DC">
                    <w:rPr>
                      <w:iCs/>
                      <w:sz w:val="20"/>
                    </w:rPr>
                    <w:t>PRC</w:t>
                  </w:r>
                  <w:r w:rsidRPr="003161DC">
                    <w:rPr>
                      <w:iCs/>
                      <w:sz w:val="20"/>
                      <w:vertAlign w:val="subscript"/>
                    </w:rPr>
                    <w:t>7</w:t>
                  </w:r>
                </w:p>
              </w:tc>
              <w:tc>
                <w:tcPr>
                  <w:tcW w:w="1151" w:type="dxa"/>
                </w:tcPr>
                <w:p w14:paraId="380F9DAA" w14:textId="77777777" w:rsidR="00194E91" w:rsidRPr="003161DC" w:rsidRDefault="00194E91" w:rsidP="00194E91">
                  <w:pPr>
                    <w:spacing w:after="60"/>
                    <w:rPr>
                      <w:iCs/>
                      <w:sz w:val="20"/>
                    </w:rPr>
                  </w:pPr>
                  <w:r w:rsidRPr="003161DC">
                    <w:rPr>
                      <w:iCs/>
                      <w:sz w:val="20"/>
                    </w:rPr>
                    <w:t>MW</w:t>
                  </w:r>
                </w:p>
              </w:tc>
              <w:tc>
                <w:tcPr>
                  <w:tcW w:w="6004" w:type="dxa"/>
                </w:tcPr>
                <w:p w14:paraId="4A20672A" w14:textId="77777777" w:rsidR="00194E91" w:rsidRPr="003161DC" w:rsidRDefault="00194E91" w:rsidP="00194E91">
                  <w:pPr>
                    <w:tabs>
                      <w:tab w:val="left" w:pos="1080"/>
                    </w:tabs>
                    <w:spacing w:after="60"/>
                    <w:rPr>
                      <w:iCs/>
                      <w:sz w:val="20"/>
                    </w:rPr>
                  </w:pPr>
                  <w:r w:rsidRPr="003161DC">
                    <w:rPr>
                      <w:iCs/>
                      <w:sz w:val="20"/>
                    </w:rPr>
                    <w:t>Capacity from Resources capable of providing FFR</w:t>
                  </w:r>
                </w:p>
              </w:tc>
            </w:tr>
            <w:tr w:rsidR="00194E91" w:rsidRPr="003161DC" w14:paraId="65DEEC09" w14:textId="77777777" w:rsidTr="00194E91">
              <w:tc>
                <w:tcPr>
                  <w:tcW w:w="2050" w:type="dxa"/>
                </w:tcPr>
                <w:p w14:paraId="4999F25E" w14:textId="75F2251F" w:rsidR="00194E91" w:rsidRPr="00194E91" w:rsidRDefault="00194E91" w:rsidP="00194E91">
                  <w:pPr>
                    <w:spacing w:after="60"/>
                    <w:rPr>
                      <w:iCs/>
                      <w:sz w:val="20"/>
                    </w:rPr>
                  </w:pPr>
                  <w:r w:rsidRPr="00194E91">
                    <w:rPr>
                      <w:sz w:val="20"/>
                    </w:rPr>
                    <w:t>PRC</w:t>
                  </w:r>
                  <w:r w:rsidRPr="00194E91">
                    <w:rPr>
                      <w:sz w:val="20"/>
                      <w:vertAlign w:val="subscript"/>
                    </w:rPr>
                    <w:t>8</w:t>
                  </w:r>
                </w:p>
              </w:tc>
              <w:tc>
                <w:tcPr>
                  <w:tcW w:w="1151" w:type="dxa"/>
                </w:tcPr>
                <w:p w14:paraId="31F3E1DB" w14:textId="65871B1C" w:rsidR="00194E91" w:rsidRPr="00194E91" w:rsidRDefault="00194E91" w:rsidP="00194E91">
                  <w:pPr>
                    <w:spacing w:after="60"/>
                    <w:rPr>
                      <w:iCs/>
                      <w:sz w:val="20"/>
                    </w:rPr>
                  </w:pPr>
                  <w:r w:rsidRPr="00194E91">
                    <w:rPr>
                      <w:sz w:val="20"/>
                    </w:rPr>
                    <w:t>MW</w:t>
                  </w:r>
                </w:p>
              </w:tc>
              <w:tc>
                <w:tcPr>
                  <w:tcW w:w="6004" w:type="dxa"/>
                </w:tcPr>
                <w:p w14:paraId="742C6300" w14:textId="0B27DCF6" w:rsidR="00194E91" w:rsidRPr="00194E91" w:rsidRDefault="00194E91" w:rsidP="00194E91">
                  <w:pPr>
                    <w:tabs>
                      <w:tab w:val="left" w:pos="1080"/>
                    </w:tabs>
                    <w:spacing w:after="60"/>
                    <w:rPr>
                      <w:iCs/>
                      <w:sz w:val="20"/>
                    </w:rPr>
                  </w:pPr>
                  <w:r w:rsidRPr="00194E91">
                    <w:rPr>
                      <w:sz w:val="20"/>
                    </w:rPr>
                    <w:t>ESR capacity capable of providing Primary Frequency Response</w:t>
                  </w:r>
                </w:p>
              </w:tc>
            </w:tr>
            <w:tr w:rsidR="00C952ED" w:rsidRPr="003161DC" w14:paraId="180E8EE6" w14:textId="77777777" w:rsidTr="00194E91">
              <w:tc>
                <w:tcPr>
                  <w:tcW w:w="2050" w:type="dxa"/>
                </w:tcPr>
                <w:p w14:paraId="34DE953E" w14:textId="52FDDAA2" w:rsidR="00C952ED" w:rsidRPr="00C952ED" w:rsidRDefault="00C952ED" w:rsidP="00C952ED">
                  <w:pPr>
                    <w:spacing w:after="60"/>
                    <w:rPr>
                      <w:iCs/>
                      <w:sz w:val="20"/>
                    </w:rPr>
                  </w:pPr>
                  <w:r w:rsidRPr="00C952ED">
                    <w:rPr>
                      <w:sz w:val="20"/>
                    </w:rPr>
                    <w:t>PRC</w:t>
                  </w:r>
                  <w:r>
                    <w:rPr>
                      <w:sz w:val="20"/>
                      <w:vertAlign w:val="subscript"/>
                    </w:rPr>
                    <w:t>9</w:t>
                  </w:r>
                </w:p>
              </w:tc>
              <w:tc>
                <w:tcPr>
                  <w:tcW w:w="1151" w:type="dxa"/>
                </w:tcPr>
                <w:p w14:paraId="5A102943" w14:textId="23C3CA84" w:rsidR="00C952ED" w:rsidRPr="00C952ED" w:rsidRDefault="00C952ED" w:rsidP="00C952ED">
                  <w:pPr>
                    <w:spacing w:after="60"/>
                    <w:rPr>
                      <w:iCs/>
                      <w:sz w:val="20"/>
                    </w:rPr>
                  </w:pPr>
                  <w:r w:rsidRPr="00C952ED">
                    <w:rPr>
                      <w:sz w:val="20"/>
                    </w:rPr>
                    <w:t>MW</w:t>
                  </w:r>
                </w:p>
              </w:tc>
              <w:tc>
                <w:tcPr>
                  <w:tcW w:w="6004" w:type="dxa"/>
                </w:tcPr>
                <w:p w14:paraId="390BE2F4" w14:textId="293D00CC" w:rsidR="00C952ED" w:rsidRPr="00C952ED" w:rsidRDefault="00C952ED" w:rsidP="00C952ED">
                  <w:pPr>
                    <w:tabs>
                      <w:tab w:val="left" w:pos="1080"/>
                    </w:tabs>
                    <w:spacing w:after="60"/>
                    <w:rPr>
                      <w:iCs/>
                      <w:sz w:val="20"/>
                    </w:rPr>
                  </w:pPr>
                  <w:r w:rsidRPr="00C952ED">
                    <w:rPr>
                      <w:sz w:val="20"/>
                    </w:rPr>
                    <w:t>Capacity from DC-Coupled Resources capable of providing Primary Frequency Response</w:t>
                  </w:r>
                </w:p>
              </w:tc>
            </w:tr>
            <w:tr w:rsidR="00194E91" w:rsidRPr="003161DC" w14:paraId="5FE0AC1B" w14:textId="77777777" w:rsidTr="00194E91">
              <w:tc>
                <w:tcPr>
                  <w:tcW w:w="2050" w:type="dxa"/>
                </w:tcPr>
                <w:p w14:paraId="29094CE6" w14:textId="77777777" w:rsidR="00194E91" w:rsidRPr="003161DC" w:rsidRDefault="00194E91" w:rsidP="00194E91">
                  <w:pPr>
                    <w:spacing w:after="60"/>
                    <w:rPr>
                      <w:iCs/>
                      <w:sz w:val="20"/>
                    </w:rPr>
                  </w:pPr>
                  <w:r w:rsidRPr="003161DC">
                    <w:rPr>
                      <w:iCs/>
                      <w:sz w:val="20"/>
                    </w:rPr>
                    <w:t>PRC</w:t>
                  </w:r>
                </w:p>
              </w:tc>
              <w:tc>
                <w:tcPr>
                  <w:tcW w:w="1151" w:type="dxa"/>
                </w:tcPr>
                <w:p w14:paraId="64D7E11B" w14:textId="77777777" w:rsidR="00194E91" w:rsidRPr="003161DC" w:rsidRDefault="00194E91" w:rsidP="00194E91">
                  <w:pPr>
                    <w:spacing w:after="60"/>
                    <w:rPr>
                      <w:iCs/>
                      <w:sz w:val="20"/>
                    </w:rPr>
                  </w:pPr>
                  <w:r w:rsidRPr="003161DC">
                    <w:rPr>
                      <w:iCs/>
                      <w:sz w:val="20"/>
                    </w:rPr>
                    <w:t>MW</w:t>
                  </w:r>
                </w:p>
              </w:tc>
              <w:tc>
                <w:tcPr>
                  <w:tcW w:w="6004" w:type="dxa"/>
                </w:tcPr>
                <w:p w14:paraId="48E3A293" w14:textId="77777777" w:rsidR="00194E91" w:rsidRPr="003161DC" w:rsidRDefault="00194E91" w:rsidP="00194E91">
                  <w:pPr>
                    <w:tabs>
                      <w:tab w:val="left" w:pos="1080"/>
                    </w:tabs>
                    <w:spacing w:after="60"/>
                    <w:rPr>
                      <w:iCs/>
                      <w:sz w:val="20"/>
                    </w:rPr>
                  </w:pPr>
                  <w:r w:rsidRPr="003161DC">
                    <w:rPr>
                      <w:iCs/>
                      <w:sz w:val="20"/>
                    </w:rPr>
                    <w:t>Physical Responsive Capability</w:t>
                  </w:r>
                </w:p>
              </w:tc>
            </w:tr>
            <w:tr w:rsidR="00194E91" w:rsidRPr="003161DC" w14:paraId="445A6ADE" w14:textId="77777777" w:rsidTr="00194E91">
              <w:tc>
                <w:tcPr>
                  <w:tcW w:w="2050" w:type="dxa"/>
                </w:tcPr>
                <w:p w14:paraId="0305E39A" w14:textId="2D254936" w:rsidR="00194E91" w:rsidRPr="00194E91" w:rsidRDefault="00194E91" w:rsidP="00194E91">
                  <w:pPr>
                    <w:spacing w:after="60"/>
                    <w:rPr>
                      <w:iCs/>
                      <w:sz w:val="20"/>
                    </w:rPr>
                  </w:pPr>
                  <w:r w:rsidRPr="00194E91">
                    <w:rPr>
                      <w:sz w:val="20"/>
                    </w:rPr>
                    <w:t>X</w:t>
                  </w:r>
                </w:p>
              </w:tc>
              <w:tc>
                <w:tcPr>
                  <w:tcW w:w="1151" w:type="dxa"/>
                </w:tcPr>
                <w:p w14:paraId="13F92F37" w14:textId="0A766FF1" w:rsidR="00194E91" w:rsidRPr="00194E91" w:rsidRDefault="00194E91" w:rsidP="00194E91">
                  <w:pPr>
                    <w:spacing w:after="60"/>
                    <w:rPr>
                      <w:iCs/>
                      <w:sz w:val="20"/>
                    </w:rPr>
                  </w:pPr>
                  <w:r w:rsidRPr="00194E91">
                    <w:rPr>
                      <w:sz w:val="20"/>
                    </w:rPr>
                    <w:t>Percentage</w:t>
                  </w:r>
                </w:p>
              </w:tc>
              <w:tc>
                <w:tcPr>
                  <w:tcW w:w="6004" w:type="dxa"/>
                </w:tcPr>
                <w:p w14:paraId="59950129" w14:textId="7CB1236C" w:rsidR="00194E91" w:rsidRPr="00194E91" w:rsidRDefault="00194E91" w:rsidP="00194E91">
                  <w:pPr>
                    <w:spacing w:after="60"/>
                    <w:rPr>
                      <w:iCs/>
                      <w:sz w:val="20"/>
                    </w:rPr>
                  </w:pPr>
                  <w:r w:rsidRPr="00194E91">
                    <w:rPr>
                      <w:sz w:val="20"/>
                    </w:rPr>
                    <w:t>Percent threshold based on the Governor droop setting of ESRs</w:t>
                  </w:r>
                </w:p>
              </w:tc>
            </w:tr>
            <w:tr w:rsidR="00194E91" w:rsidRPr="003161DC" w14:paraId="41A609F4" w14:textId="77777777" w:rsidTr="00194E91">
              <w:tc>
                <w:tcPr>
                  <w:tcW w:w="2050" w:type="dxa"/>
                </w:tcPr>
                <w:p w14:paraId="1542E513" w14:textId="77777777" w:rsidR="00194E91" w:rsidRPr="003161DC" w:rsidRDefault="00194E91" w:rsidP="00194E91">
                  <w:pPr>
                    <w:spacing w:after="60"/>
                    <w:rPr>
                      <w:iCs/>
                      <w:sz w:val="20"/>
                    </w:rPr>
                  </w:pPr>
                  <w:r w:rsidRPr="003161DC">
                    <w:rPr>
                      <w:iCs/>
                      <w:sz w:val="20"/>
                    </w:rPr>
                    <w:t>RDF</w:t>
                  </w:r>
                </w:p>
              </w:tc>
              <w:tc>
                <w:tcPr>
                  <w:tcW w:w="1151" w:type="dxa"/>
                </w:tcPr>
                <w:p w14:paraId="425AD2E3" w14:textId="77777777" w:rsidR="00194E91" w:rsidRPr="003161DC" w:rsidRDefault="00194E91" w:rsidP="00194E91">
                  <w:pPr>
                    <w:spacing w:after="60"/>
                    <w:rPr>
                      <w:iCs/>
                      <w:sz w:val="20"/>
                    </w:rPr>
                  </w:pPr>
                </w:p>
              </w:tc>
              <w:tc>
                <w:tcPr>
                  <w:tcW w:w="6004" w:type="dxa"/>
                </w:tcPr>
                <w:p w14:paraId="315915CC" w14:textId="77777777" w:rsidR="00194E91" w:rsidRPr="003161DC" w:rsidRDefault="00194E91" w:rsidP="00194E91">
                  <w:pPr>
                    <w:spacing w:after="60"/>
                    <w:rPr>
                      <w:iCs/>
                      <w:sz w:val="20"/>
                    </w:rPr>
                  </w:pPr>
                  <w:r w:rsidRPr="003161DC">
                    <w:rPr>
                      <w:iCs/>
                      <w:sz w:val="20"/>
                    </w:rPr>
                    <w:t>The currently approved</w:t>
                  </w:r>
                  <w:r w:rsidRPr="003161DC">
                    <w:rPr>
                      <w:rFonts w:ascii="Times New Roman Bold" w:hAnsi="Times New Roman Bold"/>
                      <w:iCs/>
                      <w:sz w:val="20"/>
                    </w:rPr>
                    <w:t xml:space="preserve"> </w:t>
                  </w:r>
                  <w:r w:rsidRPr="003161DC">
                    <w:rPr>
                      <w:iCs/>
                      <w:sz w:val="20"/>
                    </w:rPr>
                    <w:t>Reserve Discount Factor</w:t>
                  </w:r>
                  <w:r w:rsidRPr="003161DC">
                    <w:rPr>
                      <w:iCs/>
                      <w:sz w:val="20"/>
                    </w:rPr>
                    <w:tab/>
                  </w:r>
                </w:p>
              </w:tc>
            </w:tr>
            <w:tr w:rsidR="00194E91" w:rsidRPr="003161DC" w14:paraId="5ED8FF53" w14:textId="77777777" w:rsidTr="00194E91">
              <w:tc>
                <w:tcPr>
                  <w:tcW w:w="2050" w:type="dxa"/>
                </w:tcPr>
                <w:p w14:paraId="19D89D20" w14:textId="77777777" w:rsidR="00194E91" w:rsidRPr="003161DC" w:rsidRDefault="00194E91" w:rsidP="00194E91">
                  <w:pPr>
                    <w:spacing w:after="60"/>
                    <w:rPr>
                      <w:iCs/>
                      <w:sz w:val="20"/>
                    </w:rPr>
                  </w:pPr>
                  <w:r w:rsidRPr="003161DC">
                    <w:rPr>
                      <w:iCs/>
                      <w:sz w:val="20"/>
                    </w:rPr>
                    <w:t>RDF</w:t>
                  </w:r>
                  <w:r w:rsidRPr="003161DC">
                    <w:rPr>
                      <w:iCs/>
                      <w:sz w:val="20"/>
                      <w:vertAlign w:val="subscript"/>
                    </w:rPr>
                    <w:t>W</w:t>
                  </w:r>
                </w:p>
              </w:tc>
              <w:tc>
                <w:tcPr>
                  <w:tcW w:w="1151" w:type="dxa"/>
                </w:tcPr>
                <w:p w14:paraId="2610930B" w14:textId="77777777" w:rsidR="00194E91" w:rsidRPr="003161DC" w:rsidRDefault="00194E91" w:rsidP="00194E91">
                  <w:pPr>
                    <w:spacing w:after="60"/>
                    <w:rPr>
                      <w:iCs/>
                      <w:sz w:val="20"/>
                    </w:rPr>
                  </w:pPr>
                </w:p>
              </w:tc>
              <w:tc>
                <w:tcPr>
                  <w:tcW w:w="6004" w:type="dxa"/>
                </w:tcPr>
                <w:p w14:paraId="64E5CC3C" w14:textId="77777777" w:rsidR="00194E91" w:rsidRPr="003161DC" w:rsidRDefault="00194E91" w:rsidP="00194E91">
                  <w:pPr>
                    <w:spacing w:after="60"/>
                    <w:rPr>
                      <w:iCs/>
                      <w:sz w:val="20"/>
                    </w:rPr>
                  </w:pPr>
                  <w:r w:rsidRPr="003161DC">
                    <w:rPr>
                      <w:iCs/>
                      <w:sz w:val="20"/>
                    </w:rPr>
                    <w:t>The currently approved Reserve Discount Factor for WGRs</w:t>
                  </w:r>
                </w:p>
              </w:tc>
            </w:tr>
            <w:tr w:rsidR="00194E91" w:rsidRPr="003161DC" w14:paraId="715D0955" w14:textId="77777777" w:rsidTr="00194E91">
              <w:tc>
                <w:tcPr>
                  <w:tcW w:w="2050" w:type="dxa"/>
                </w:tcPr>
                <w:p w14:paraId="45C7F1B6" w14:textId="77777777" w:rsidR="00194E91" w:rsidRPr="003161DC" w:rsidRDefault="00194E91" w:rsidP="00194E91">
                  <w:pPr>
                    <w:spacing w:after="60"/>
                    <w:rPr>
                      <w:iCs/>
                      <w:sz w:val="20"/>
                    </w:rPr>
                  </w:pPr>
                  <w:r w:rsidRPr="003161DC">
                    <w:rPr>
                      <w:iCs/>
                      <w:sz w:val="20"/>
                    </w:rPr>
                    <w:t>LRDF_1</w:t>
                  </w:r>
                </w:p>
              </w:tc>
              <w:tc>
                <w:tcPr>
                  <w:tcW w:w="1151" w:type="dxa"/>
                </w:tcPr>
                <w:p w14:paraId="2290B5CD" w14:textId="77777777" w:rsidR="00194E91" w:rsidRPr="003161DC" w:rsidRDefault="00194E91" w:rsidP="00194E91">
                  <w:pPr>
                    <w:spacing w:after="60"/>
                    <w:rPr>
                      <w:iCs/>
                      <w:sz w:val="20"/>
                    </w:rPr>
                  </w:pPr>
                </w:p>
              </w:tc>
              <w:tc>
                <w:tcPr>
                  <w:tcW w:w="6004" w:type="dxa"/>
                </w:tcPr>
                <w:p w14:paraId="249B356B" w14:textId="6745809C"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w:t>
                  </w:r>
                  <w:r w:rsidR="0069524B">
                    <w:rPr>
                      <w:iCs/>
                      <w:sz w:val="20"/>
                    </w:rPr>
                    <w:t>CLRs</w:t>
                  </w:r>
                  <w:r w:rsidRPr="003161DC">
                    <w:rPr>
                      <w:iCs/>
                      <w:sz w:val="20"/>
                    </w:rPr>
                    <w:t xml:space="preserve"> </w:t>
                  </w:r>
                  <w:r>
                    <w:rPr>
                      <w:iCs/>
                      <w:sz w:val="20"/>
                    </w:rPr>
                    <w:t>awarded an</w:t>
                  </w:r>
                  <w:r w:rsidRPr="003161DC">
                    <w:rPr>
                      <w:iCs/>
                      <w:sz w:val="20"/>
                    </w:rPr>
                    <w:t xml:space="preserve"> Ancillary Service Resource </w:t>
                  </w:r>
                  <w:r>
                    <w:rPr>
                      <w:iCs/>
                      <w:sz w:val="20"/>
                    </w:rPr>
                    <w:t>award</w:t>
                  </w:r>
                </w:p>
              </w:tc>
            </w:tr>
            <w:tr w:rsidR="00194E91" w:rsidRPr="003161DC" w14:paraId="47E1622E" w14:textId="77777777" w:rsidTr="00194E91">
              <w:tc>
                <w:tcPr>
                  <w:tcW w:w="2050" w:type="dxa"/>
                </w:tcPr>
                <w:p w14:paraId="193BFC50" w14:textId="77777777" w:rsidR="00194E91" w:rsidRPr="003161DC" w:rsidRDefault="00194E91" w:rsidP="00194E91">
                  <w:pPr>
                    <w:spacing w:after="60"/>
                    <w:rPr>
                      <w:iCs/>
                      <w:sz w:val="20"/>
                    </w:rPr>
                  </w:pPr>
                  <w:r w:rsidRPr="003161DC">
                    <w:rPr>
                      <w:iCs/>
                      <w:sz w:val="20"/>
                    </w:rPr>
                    <w:lastRenderedPageBreak/>
                    <w:t>LRDF_2</w:t>
                  </w:r>
                </w:p>
              </w:tc>
              <w:tc>
                <w:tcPr>
                  <w:tcW w:w="1151" w:type="dxa"/>
                </w:tcPr>
                <w:p w14:paraId="2D4B5B69" w14:textId="77777777" w:rsidR="00194E91" w:rsidRPr="003161DC" w:rsidRDefault="00194E91" w:rsidP="00194E91">
                  <w:pPr>
                    <w:spacing w:after="60"/>
                    <w:rPr>
                      <w:iCs/>
                      <w:sz w:val="20"/>
                    </w:rPr>
                  </w:pPr>
                </w:p>
              </w:tc>
              <w:tc>
                <w:tcPr>
                  <w:tcW w:w="6004" w:type="dxa"/>
                </w:tcPr>
                <w:p w14:paraId="3EFE9686" w14:textId="6B23F91C"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w:t>
                  </w:r>
                  <w:r w:rsidR="0069524B">
                    <w:rPr>
                      <w:iCs/>
                      <w:sz w:val="20"/>
                    </w:rPr>
                    <w:t>CLRs</w:t>
                  </w:r>
                  <w:r w:rsidRPr="003161DC">
                    <w:rPr>
                      <w:iCs/>
                      <w:sz w:val="20"/>
                    </w:rPr>
                    <w:t xml:space="preserve"> not </w:t>
                  </w:r>
                  <w:r>
                    <w:rPr>
                      <w:iCs/>
                      <w:sz w:val="20"/>
                    </w:rPr>
                    <w:t>awarded an</w:t>
                  </w:r>
                  <w:r w:rsidRPr="003161DC">
                    <w:rPr>
                      <w:iCs/>
                      <w:sz w:val="20"/>
                    </w:rPr>
                    <w:t xml:space="preserve"> Ancillary Service Resource </w:t>
                  </w:r>
                  <w:r>
                    <w:rPr>
                      <w:iCs/>
                      <w:sz w:val="20"/>
                    </w:rPr>
                    <w:t>award</w:t>
                  </w:r>
                </w:p>
              </w:tc>
            </w:tr>
            <w:tr w:rsidR="00194E91" w:rsidRPr="003161DC" w14:paraId="3A73515C" w14:textId="77777777" w:rsidTr="00194E91">
              <w:tc>
                <w:tcPr>
                  <w:tcW w:w="2050" w:type="dxa"/>
                </w:tcPr>
                <w:p w14:paraId="2C804DD6" w14:textId="77777777" w:rsidR="00194E91" w:rsidRPr="003161DC" w:rsidRDefault="00194E91" w:rsidP="00194E91">
                  <w:pPr>
                    <w:spacing w:after="60"/>
                    <w:rPr>
                      <w:iCs/>
                      <w:sz w:val="20"/>
                    </w:rPr>
                  </w:pPr>
                  <w:r w:rsidRPr="003161DC">
                    <w:rPr>
                      <w:iCs/>
                      <w:sz w:val="20"/>
                    </w:rPr>
                    <w:t>FRC</w:t>
                  </w:r>
                  <w:r>
                    <w:rPr>
                      <w:iCs/>
                      <w:sz w:val="20"/>
                    </w:rPr>
                    <w:t>HL</w:t>
                  </w:r>
                </w:p>
              </w:tc>
              <w:tc>
                <w:tcPr>
                  <w:tcW w:w="1151" w:type="dxa"/>
                </w:tcPr>
                <w:p w14:paraId="5136DD63" w14:textId="77777777" w:rsidR="00194E91" w:rsidRPr="003161DC" w:rsidRDefault="00194E91" w:rsidP="00194E91">
                  <w:pPr>
                    <w:spacing w:after="60"/>
                    <w:rPr>
                      <w:iCs/>
                      <w:sz w:val="20"/>
                    </w:rPr>
                  </w:pPr>
                  <w:r w:rsidRPr="003161DC">
                    <w:rPr>
                      <w:iCs/>
                      <w:sz w:val="20"/>
                    </w:rPr>
                    <w:t>MW</w:t>
                  </w:r>
                </w:p>
              </w:tc>
              <w:tc>
                <w:tcPr>
                  <w:tcW w:w="6004" w:type="dxa"/>
                </w:tcPr>
                <w:p w14:paraId="40D80637" w14:textId="77777777" w:rsidR="00194E91" w:rsidRPr="003161DC" w:rsidRDefault="00194E91" w:rsidP="00194E91">
                  <w:pPr>
                    <w:spacing w:after="60"/>
                    <w:rPr>
                      <w:iCs/>
                      <w:sz w:val="20"/>
                    </w:rPr>
                  </w:pPr>
                  <w:r>
                    <w:rPr>
                      <w:iCs/>
                      <w:sz w:val="20"/>
                    </w:rPr>
                    <w:t>Telemetered High limit of the FRC for the Resource</w:t>
                  </w:r>
                </w:p>
              </w:tc>
            </w:tr>
            <w:tr w:rsidR="00194E91" w:rsidRPr="003161DC" w14:paraId="098C3BD8" w14:textId="77777777" w:rsidTr="00194E91">
              <w:tc>
                <w:tcPr>
                  <w:tcW w:w="2050" w:type="dxa"/>
                </w:tcPr>
                <w:p w14:paraId="7505070B" w14:textId="77777777" w:rsidR="00194E91" w:rsidRPr="003161DC" w:rsidDel="001616A9" w:rsidRDefault="00194E91" w:rsidP="00194E91">
                  <w:pPr>
                    <w:spacing w:after="60"/>
                    <w:rPr>
                      <w:iCs/>
                      <w:sz w:val="20"/>
                    </w:rPr>
                  </w:pPr>
                  <w:r>
                    <w:rPr>
                      <w:iCs/>
                      <w:sz w:val="20"/>
                    </w:rPr>
                    <w:t>FRCO</w:t>
                  </w:r>
                </w:p>
              </w:tc>
              <w:tc>
                <w:tcPr>
                  <w:tcW w:w="1151" w:type="dxa"/>
                </w:tcPr>
                <w:p w14:paraId="5CEC1BEB" w14:textId="77777777" w:rsidR="00194E91" w:rsidRPr="003161DC" w:rsidRDefault="00194E91" w:rsidP="00194E91">
                  <w:pPr>
                    <w:spacing w:after="60"/>
                    <w:rPr>
                      <w:iCs/>
                      <w:sz w:val="20"/>
                    </w:rPr>
                  </w:pPr>
                  <w:r>
                    <w:rPr>
                      <w:iCs/>
                      <w:sz w:val="20"/>
                    </w:rPr>
                    <w:t>MW</w:t>
                  </w:r>
                </w:p>
              </w:tc>
              <w:tc>
                <w:tcPr>
                  <w:tcW w:w="6004" w:type="dxa"/>
                </w:tcPr>
                <w:p w14:paraId="68F7E800" w14:textId="77777777" w:rsidR="00194E91" w:rsidRDefault="00194E91" w:rsidP="00194E91">
                  <w:pPr>
                    <w:spacing w:after="60"/>
                    <w:rPr>
                      <w:iCs/>
                      <w:sz w:val="20"/>
                    </w:rPr>
                  </w:pPr>
                  <w:r w:rsidRPr="00BA6B11">
                    <w:rPr>
                      <w:iCs/>
                      <w:sz w:val="20"/>
                    </w:rPr>
                    <w:t>Telemetered output of FRC portion of the Resource</w:t>
                  </w:r>
                </w:p>
              </w:tc>
            </w:tr>
          </w:tbl>
          <w:p w14:paraId="63E079E6" w14:textId="47D3621D" w:rsidR="00194E91" w:rsidRPr="003161DC" w:rsidRDefault="00194E91" w:rsidP="00194E91">
            <w:pPr>
              <w:spacing w:before="240" w:after="240"/>
              <w:ind w:left="720" w:hanging="720"/>
            </w:pPr>
            <w:r w:rsidRPr="003161DC">
              <w:t>(</w:t>
            </w:r>
            <w:r>
              <w:t>2</w:t>
            </w:r>
            <w:r w:rsidRPr="003161DC">
              <w:t>)</w:t>
            </w:r>
            <w:r w:rsidRPr="003161DC">
              <w:tab/>
              <w:t>The Load Resource</w:t>
            </w:r>
            <w:r w:rsidRPr="003161DC">
              <w:rPr>
                <w:rFonts w:ascii="Times New Roman Bold" w:hAnsi="Times New Roman Bold"/>
              </w:rPr>
              <w:t xml:space="preserve"> </w:t>
            </w:r>
            <w:r w:rsidRPr="003161DC">
              <w:t xml:space="preserve">Reserve Discount Factors (RDFs) for </w:t>
            </w:r>
            <w:r w:rsidR="0069524B">
              <w:t>CLRs</w:t>
            </w:r>
            <w:r w:rsidRPr="003161DC">
              <w:t xml:space="preserve"> (LRDF_1 and LRDF_2) shall be subject to review and approval by TAC.</w:t>
            </w:r>
          </w:p>
          <w:p w14:paraId="35B161BE" w14:textId="26AD56F8" w:rsidR="00194E91" w:rsidRDefault="00194E91" w:rsidP="00194E91">
            <w:pPr>
              <w:ind w:left="720" w:hanging="720"/>
            </w:pPr>
            <w:r w:rsidRPr="003161DC">
              <w:t>(</w:t>
            </w:r>
            <w:r>
              <w:t>3</w:t>
            </w:r>
            <w:r w:rsidRPr="003161DC">
              <w:t xml:space="preserve">) </w:t>
            </w:r>
            <w:r w:rsidRPr="003161DC">
              <w:tab/>
              <w:t xml:space="preserve">The RDFs used in the PRC calculation shall be posted to the </w:t>
            </w:r>
            <w:r w:rsidR="0007207E">
              <w:t>ERCOT website</w:t>
            </w:r>
            <w:r w:rsidRPr="003161DC">
              <w:t xml:space="preserve"> no later than three Business Days after approval.</w:t>
            </w:r>
          </w:p>
          <w:p w14:paraId="70FF9328" w14:textId="77777777" w:rsidR="00194E91" w:rsidRDefault="00194E91" w:rsidP="00194E91">
            <w:pPr>
              <w:ind w:left="720" w:hanging="720"/>
            </w:pPr>
          </w:p>
          <w:p w14:paraId="1F378FAC" w14:textId="617D8500" w:rsidR="003779F5" w:rsidRPr="00AE702A" w:rsidRDefault="00194E91" w:rsidP="00194E91">
            <w:pPr>
              <w:spacing w:after="240"/>
              <w:ind w:left="720" w:hanging="720"/>
            </w:pPr>
            <w:r>
              <w:t>(4)</w:t>
            </w:r>
            <w:r>
              <w:tab/>
              <w:t>ERCOT shall display on the E</w:t>
            </w:r>
            <w:r w:rsidR="006F7954">
              <w:t>RCOT website and update every ten</w:t>
            </w:r>
            <w:r>
              <w:t xml:space="preserve"> seconds a rolling view of the </w:t>
            </w:r>
            <w:r w:rsidRPr="00EB2CE4">
              <w:t>ERCOT-wide PRC</w:t>
            </w:r>
            <w:r>
              <w:t>, as defined in paragraph (1)(</w:t>
            </w:r>
            <w:r w:rsidR="00201765">
              <w:t>p</w:t>
            </w:r>
            <w:r>
              <w:t>) above, for the current Operating Day.</w:t>
            </w:r>
          </w:p>
        </w:tc>
      </w:tr>
    </w:tbl>
    <w:p w14:paraId="6CAB6EAE" w14:textId="77777777" w:rsidR="001F04FD" w:rsidRDefault="001F04FD" w:rsidP="001F04FD">
      <w:pPr>
        <w:pStyle w:val="H4"/>
        <w:spacing w:before="480"/>
        <w:ind w:left="1267" w:hanging="1267"/>
      </w:pPr>
      <w:bookmarkStart w:id="1239" w:name="_Toc189044365"/>
      <w:r>
        <w:lastRenderedPageBreak/>
        <w:t>6.5.7.6</w:t>
      </w:r>
      <w:r>
        <w:tab/>
        <w:t>Load Frequency Control</w:t>
      </w:r>
      <w:bookmarkEnd w:id="1206"/>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39"/>
    </w:p>
    <w:p w14:paraId="07C1F2F0" w14:textId="37C89DE6" w:rsidR="001F04FD" w:rsidRDefault="001F04FD" w:rsidP="001F04FD">
      <w:pPr>
        <w:pStyle w:val="BodyTextNumbered"/>
      </w:pPr>
      <w:bookmarkStart w:id="1240" w:name="_Hlk135902426"/>
      <w:r>
        <w:t>(1)</w:t>
      </w:r>
      <w:r>
        <w:tab/>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w:t>
      </w:r>
      <w:r w:rsidR="00397A7F">
        <w:t>,</w:t>
      </w:r>
      <w:r>
        <w:t xml:space="preserve"> RRS</w:t>
      </w:r>
      <w:r w:rsidR="00397A7F">
        <w:t>, and ECRS</w:t>
      </w:r>
      <w:r>
        <w:t>.</w:t>
      </w:r>
    </w:p>
    <w:p w14:paraId="189791BE" w14:textId="77777777" w:rsidR="001F04FD" w:rsidRDefault="001F04FD" w:rsidP="00F969DB">
      <w:pPr>
        <w:pStyle w:val="H5"/>
        <w:ind w:left="1627" w:hanging="1627"/>
      </w:pPr>
      <w:bookmarkStart w:id="1241" w:name="_Toc73216013"/>
      <w:bookmarkStart w:id="1242" w:name="_Toc397504975"/>
      <w:bookmarkStart w:id="1243" w:name="_Toc402357103"/>
      <w:bookmarkStart w:id="1244" w:name="_Toc422486483"/>
      <w:bookmarkStart w:id="1245" w:name="_Toc433093335"/>
      <w:bookmarkStart w:id="1246" w:name="_Toc433093493"/>
      <w:bookmarkStart w:id="1247" w:name="_Toc440874722"/>
      <w:bookmarkStart w:id="1248" w:name="_Toc448142277"/>
      <w:bookmarkStart w:id="1249" w:name="_Toc448142434"/>
      <w:bookmarkStart w:id="1250" w:name="_Toc458770270"/>
      <w:bookmarkStart w:id="1251" w:name="_Toc459294238"/>
      <w:bookmarkStart w:id="1252" w:name="_Toc463262731"/>
      <w:bookmarkStart w:id="1253" w:name="_Toc468286805"/>
      <w:bookmarkStart w:id="1254" w:name="_Toc481502851"/>
      <w:bookmarkStart w:id="1255" w:name="_Toc496080019"/>
      <w:bookmarkStart w:id="1256" w:name="_Toc189044366"/>
      <w:bookmarkStart w:id="1257" w:name="_Toc73216014"/>
      <w:bookmarkEnd w:id="1240"/>
      <w:r>
        <w:t>6.5.7.6.1</w:t>
      </w:r>
      <w:r>
        <w:tab/>
        <w:t>LFC Process Description</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09BEF394" w14:textId="77777777" w:rsidR="001F04FD" w:rsidRDefault="001F04FD" w:rsidP="001F04FD">
      <w:pPr>
        <w:pStyle w:val="BodyTextNumbered"/>
      </w:pPr>
      <w:r>
        <w:t>(1)</w:t>
      </w:r>
      <w:r>
        <w:tab/>
        <w:t>The LFC system corrects system frequency based on the Area Control Error (ACE) algorithm and Good Utility Practice.</w:t>
      </w:r>
    </w:p>
    <w:p w14:paraId="7D93282A" w14:textId="77777777" w:rsidR="001F04FD" w:rsidRDefault="001F04FD" w:rsidP="001F04FD">
      <w:pPr>
        <w:pStyle w:val="BodyTextNumbered"/>
      </w:pPr>
      <w:r>
        <w:t>(2)</w:t>
      </w:r>
      <w:r>
        <w:tab/>
        <w:t>The ACE algorithm subtracts the actual frequency in Hz from the scheduled system frequency (normally 60 Hz), and multiplies the result by the frequency bias constant of MW/0.1 Hz.  The ACE algorithm then takes that product and subtracts</w:t>
      </w:r>
      <w:r w:rsidRPr="00562F25">
        <w:t xml:space="preserve"> </w:t>
      </w:r>
      <w:r>
        <w:t xml:space="preserve">a configurable portion of the sum of the difference between the Updated Desired Base Point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1178C454" w14:textId="252B5BB2" w:rsidR="001F04FD" w:rsidRDefault="001F04FD" w:rsidP="001F04FD">
      <w:pPr>
        <w:pStyle w:val="BodyTextNumbered"/>
      </w:pPr>
      <w:r>
        <w:t>(3)</w:t>
      </w:r>
      <w:r>
        <w:tab/>
        <w:t xml:space="preserve">The LFC module receives inputs from Real-Time telemetry that includes Resource output and actual system frequency.  The LFC uses actual Resource information calculated from SCADA to determine available Resource capacity providing Regulation </w:t>
      </w:r>
      <w:r w:rsidR="00397A7F">
        <w:t xml:space="preserve">Service, </w:t>
      </w:r>
      <w:r>
        <w:t>RRS</w:t>
      </w:r>
      <w:r w:rsidR="00397A7F">
        <w:t>, and ECRS</w:t>
      </w:r>
      <w:r>
        <w:t>.</w:t>
      </w:r>
    </w:p>
    <w:p w14:paraId="032FCBB4" w14:textId="2F7D011C" w:rsidR="001F04FD" w:rsidRDefault="001F04FD" w:rsidP="00FB599C">
      <w:pPr>
        <w:pStyle w:val="BodyTextNumbered"/>
      </w:pPr>
      <w:r>
        <w:t>(4)</w:t>
      </w:r>
      <w:r>
        <w:tab/>
        <w:t>Based on the ACE MW correction, the LFC issues a set of control signals every four seconds to each QSE providing Regulation and, if required, each QSE providing RRS</w:t>
      </w:r>
      <w:r w:rsidR="00397A7F">
        <w:t xml:space="preserve"> and ECRS</w:t>
      </w:r>
      <w:r>
        <w:t xml:space="preserve">.  Control must be proportional to the QSE’s share of each of the services that it is providing, respecting the QSE’s Resources’ capability to provide regulation control.  </w:t>
      </w:r>
      <w:r>
        <w:lastRenderedPageBreak/>
        <w:t xml:space="preserve">Control signals are provided to the QSE using the ICCP data link.  QSEs shall receive an Updated Desired Base Point updated every four seconds by LFC.  ERCOT will provide an Operations Notice of any methodology change to the determination of the Updated Desired Base Point within 60 minutes of the change.  </w:t>
      </w:r>
    </w:p>
    <w:p w14:paraId="40AE23B2" w14:textId="31CE5ACC" w:rsidR="001F04FD" w:rsidRDefault="001F04FD" w:rsidP="00FB599C">
      <w:pPr>
        <w:pStyle w:val="BodyTextNumbered"/>
      </w:pPr>
      <w:r>
        <w:t>(5)</w:t>
      </w:r>
      <w:r>
        <w:tab/>
      </w:r>
      <w:r w:rsidR="00C552D9" w:rsidRPr="00EA71DD">
        <w:rPr>
          <w:iCs/>
        </w:rPr>
        <w: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that has successfully opted out of RUC Settlement.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t>
      </w:r>
    </w:p>
    <w:p w14:paraId="739C2F90" w14:textId="75C4D8DA" w:rsidR="001F04FD" w:rsidRDefault="001F04FD" w:rsidP="00EF74C5">
      <w:pPr>
        <w:pStyle w:val="BodyTextNumbered"/>
      </w:pPr>
      <w:r>
        <w:t>(6)</w:t>
      </w:r>
      <w:r>
        <w:tab/>
        <w:t xml:space="preserve">If all Reg-Up capacity has been deployed, ERCOT shall use the LFC system to deploy </w:t>
      </w:r>
      <w:r w:rsidR="00397A7F">
        <w:t>ECRS</w:t>
      </w:r>
      <w:r>
        <w:t xml:space="preserve"> on Generation Resources and Controllable Load Resources.  Such </w:t>
      </w:r>
      <w:r w:rsidR="000E20D3">
        <w:t>ECRS</w:t>
      </w:r>
      <w:r>
        <w:t xml:space="preserve"> deployments by ERCOT must be deployed as specified in Section </w:t>
      </w:r>
      <w:r w:rsidR="000E20D3" w:rsidRPr="000E20D3">
        <w:t>6.5.7.6.2.</w:t>
      </w:r>
      <w:r w:rsidR="0072151E">
        <w:t>4</w:t>
      </w:r>
      <w:r w:rsidR="000E20D3" w:rsidRPr="000E20D3">
        <w:t>, Deployment and Recall of ERCOT Contingency Reserve Service</w:t>
      </w:r>
      <w:r>
        <w:t>.</w:t>
      </w:r>
    </w:p>
    <w:p w14:paraId="1764F162" w14:textId="5D521AC0" w:rsidR="001F04FD" w:rsidRDefault="001F04FD" w:rsidP="00FB599C">
      <w:pPr>
        <w:pStyle w:val="BodyTextNumbered"/>
      </w:pPr>
      <w:r>
        <w:t>(7)</w:t>
      </w:r>
      <w:r>
        <w:tab/>
        <w:t xml:space="preserve">ERCOT shall settle energy that results from LFC deployment at the Settlement Point Price for the point of injection.  When a QSE deploys </w:t>
      </w:r>
      <w:r w:rsidR="000E20D3">
        <w:t>RRS or ECRS</w:t>
      </w:r>
      <w:r>
        <w:t xml:space="preserve">, the QSE shall deploy units consistent with the performance criteria in Sections 8.1.1.3.2, Responsive Reserve Capacity Monitoring Criteria, </w:t>
      </w:r>
      <w:r w:rsidR="000E20D3" w:rsidRPr="00213847">
        <w:t>8.1.1.3.</w:t>
      </w:r>
      <w:r w:rsidR="000E20D3">
        <w:t>4</w:t>
      </w:r>
      <w:r w:rsidR="000E20D3" w:rsidRPr="00213847">
        <w:t xml:space="preserve">, </w:t>
      </w:r>
      <w:r w:rsidR="000E20D3">
        <w:t xml:space="preserve">ERCOT Contingency </w:t>
      </w:r>
      <w:r w:rsidR="000E20D3" w:rsidRPr="00213847">
        <w:t>Reserve Service Capacity Monitoring Criteria</w:t>
      </w:r>
      <w:r w:rsidR="000E20D3">
        <w:t>,</w:t>
      </w:r>
      <w:r>
        <w:t xml:space="preserve"> 8.1.1.4.2, Responsive Reserve Energy Deployment Criteria</w:t>
      </w:r>
      <w:r w:rsidR="000E20D3">
        <w:t xml:space="preserve">, and </w:t>
      </w:r>
      <w:r w:rsidR="000E20D3" w:rsidRPr="00213847">
        <w:t>8.1.1.4.</w:t>
      </w:r>
      <w:r w:rsidR="000E20D3">
        <w:t>4</w:t>
      </w:r>
      <w:r w:rsidR="000E20D3" w:rsidRPr="00213847">
        <w:t xml:space="preserve">, </w:t>
      </w:r>
      <w:r w:rsidR="000E20D3">
        <w:t>ERCOT Contingency</w:t>
      </w:r>
      <w:r w:rsidR="000E20D3" w:rsidRPr="00213847">
        <w:t xml:space="preserve"> Reserve Service Energy Deployment Criteria</w:t>
      </w:r>
      <w:r>
        <w:t>.</w:t>
      </w:r>
    </w:p>
    <w:p w14:paraId="5DCA24B5" w14:textId="77777777" w:rsidR="001F04FD" w:rsidRDefault="001F04FD" w:rsidP="00FB599C">
      <w:pPr>
        <w:pStyle w:val="BodyTextNumbered"/>
      </w:pPr>
      <w:r>
        <w:t>(8)</w:t>
      </w:r>
      <w:r>
        <w:tab/>
        <w:t>The inputs for LFC include:</w:t>
      </w:r>
    </w:p>
    <w:p w14:paraId="2EEF2F2A" w14:textId="77777777" w:rsidR="001F04FD" w:rsidRDefault="001F04FD" w:rsidP="001F04FD">
      <w:pPr>
        <w:pStyle w:val="List"/>
      </w:pPr>
      <w:r>
        <w:t>(a)</w:t>
      </w:r>
      <w:r>
        <w:tab/>
        <w:t>Actual system frequency;</w:t>
      </w:r>
    </w:p>
    <w:p w14:paraId="28F117F4" w14:textId="77777777" w:rsidR="001F04FD" w:rsidRDefault="001F04FD" w:rsidP="001F04FD">
      <w:pPr>
        <w:pStyle w:val="List"/>
      </w:pPr>
      <w:r>
        <w:t>(b)</w:t>
      </w:r>
      <w:r>
        <w:tab/>
        <w:t>Scheduled system frequency;</w:t>
      </w:r>
    </w:p>
    <w:p w14:paraId="4430C03C" w14:textId="77777777" w:rsidR="001F04FD" w:rsidRDefault="001F04FD" w:rsidP="001F04FD">
      <w:pPr>
        <w:pStyle w:val="List"/>
      </w:pPr>
      <w:r>
        <w:t>(c)</w:t>
      </w:r>
      <w:r>
        <w:tab/>
        <w:t>Capacity available for Regulation by QSE;</w:t>
      </w:r>
    </w:p>
    <w:p w14:paraId="1D4B9A69" w14:textId="77777777" w:rsidR="001F04FD" w:rsidRDefault="001F04FD" w:rsidP="001F04FD">
      <w:pPr>
        <w:pStyle w:val="List"/>
      </w:pPr>
      <w:r>
        <w:t>(d)</w:t>
      </w:r>
      <w:r>
        <w:tab/>
        <w:t>Telemetered high and low Regulation availability status indications for each Resource available for Regulation deployments for ERCOT information;</w:t>
      </w:r>
    </w:p>
    <w:p w14:paraId="786F7519" w14:textId="77777777" w:rsidR="001F04FD" w:rsidRDefault="001F04FD" w:rsidP="001F04FD">
      <w:pPr>
        <w:pStyle w:val="List"/>
      </w:pPr>
      <w:r>
        <w:t>(e)</w:t>
      </w:r>
      <w:r>
        <w:tab/>
        <w:t>Resource limits calculated by ERCOT as described Section 6.5.7.2, Resource Limit Calculator;</w:t>
      </w:r>
    </w:p>
    <w:p w14:paraId="66EC40CF" w14:textId="77777777" w:rsidR="001F04FD" w:rsidRDefault="001F04FD" w:rsidP="001F04FD">
      <w:pPr>
        <w:pStyle w:val="List"/>
      </w:pPr>
      <w:r>
        <w:t>(f)</w:t>
      </w:r>
      <w:r>
        <w:tab/>
        <w:t>Resource Regulation participation factor;</w:t>
      </w:r>
    </w:p>
    <w:p w14:paraId="107F2170" w14:textId="088B7570" w:rsidR="001F04FD" w:rsidRDefault="001F04FD" w:rsidP="001F04FD">
      <w:pPr>
        <w:pStyle w:val="List"/>
      </w:pPr>
      <w:r>
        <w:t>(g)</w:t>
      </w:r>
      <w:r>
        <w:tab/>
        <w:t>Capacity available for RRS</w:t>
      </w:r>
      <w:r w:rsidR="000E20D3">
        <w:t xml:space="preserve"> and ECRS</w:t>
      </w:r>
      <w:r>
        <w:t xml:space="preserve"> by QSE;</w:t>
      </w:r>
    </w:p>
    <w:p w14:paraId="67F7778A" w14:textId="77777777" w:rsidR="001F04FD" w:rsidRDefault="001F04FD" w:rsidP="00FB599C">
      <w:pPr>
        <w:pStyle w:val="List"/>
      </w:pPr>
      <w:r>
        <w:lastRenderedPageBreak/>
        <w:t>(h)</w:t>
      </w:r>
      <w:r>
        <w:tab/>
        <w:t>ERCOT System frequency bias; and</w:t>
      </w:r>
    </w:p>
    <w:p w14:paraId="1BB1D029" w14:textId="77777777" w:rsidR="001F04FD" w:rsidRDefault="001F04FD" w:rsidP="001F04FD">
      <w:pPr>
        <w:pStyle w:val="List"/>
      </w:pPr>
      <w:r>
        <w:t>(i)</w:t>
      </w:r>
      <w:r>
        <w:tab/>
        <w:t>Telemetered Resource output.</w:t>
      </w:r>
    </w:p>
    <w:p w14:paraId="0F8B855F" w14:textId="77777777" w:rsidR="001F04FD" w:rsidRDefault="001F04FD" w:rsidP="001F04FD">
      <w:pPr>
        <w:pStyle w:val="List"/>
        <w:ind w:left="720"/>
      </w:pPr>
      <w:r>
        <w:t>(9)</w:t>
      </w:r>
      <w:r>
        <w:tab/>
        <w: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47949" w14:paraId="45FEB384" w14:textId="77777777" w:rsidTr="007C4B00">
        <w:trPr>
          <w:trHeight w:val="206"/>
        </w:trPr>
        <w:tc>
          <w:tcPr>
            <w:tcW w:w="9350" w:type="dxa"/>
            <w:shd w:val="pct12" w:color="auto" w:fill="auto"/>
          </w:tcPr>
          <w:p w14:paraId="26FE2729" w14:textId="480D10C5" w:rsidR="00F47949" w:rsidRDefault="00F47949" w:rsidP="007C4B00">
            <w:pPr>
              <w:pStyle w:val="Instructions"/>
              <w:spacing w:before="120"/>
            </w:pPr>
            <w:bookmarkStart w:id="1258" w:name="_Toc397504976"/>
            <w:bookmarkStart w:id="1259" w:name="_Toc402357104"/>
            <w:bookmarkStart w:id="1260" w:name="_Toc422486484"/>
            <w:bookmarkStart w:id="1261" w:name="_Toc433093336"/>
            <w:bookmarkStart w:id="1262" w:name="_Toc433093494"/>
            <w:bookmarkStart w:id="1263" w:name="_Toc440874723"/>
            <w:bookmarkStart w:id="1264" w:name="_Toc448142278"/>
            <w:bookmarkStart w:id="1265" w:name="_Toc448142435"/>
            <w:bookmarkStart w:id="1266" w:name="_Toc458770271"/>
            <w:bookmarkStart w:id="1267" w:name="_Toc459294239"/>
            <w:bookmarkStart w:id="1268" w:name="_Toc463262732"/>
            <w:bookmarkStart w:id="1269" w:name="_Toc468286806"/>
            <w:bookmarkStart w:id="1270" w:name="_Toc481502852"/>
            <w:bookmarkStart w:id="1271" w:name="_Toc496080020"/>
            <w:r>
              <w:t>[NPRR1010:  Replace Section 6.5.7.6.1 above with the following upon system implementation of the Real-Time Co-Optimization (RTC) project:]</w:t>
            </w:r>
          </w:p>
          <w:p w14:paraId="7DF91BF8" w14:textId="77777777" w:rsidR="00F47949" w:rsidRPr="003161DC" w:rsidRDefault="00F47949" w:rsidP="00F47949">
            <w:pPr>
              <w:keepNext/>
              <w:tabs>
                <w:tab w:val="left" w:pos="1620"/>
              </w:tabs>
              <w:spacing w:before="480" w:after="240"/>
              <w:ind w:left="1627" w:hanging="1627"/>
              <w:outlineLvl w:val="4"/>
              <w:rPr>
                <w:b/>
                <w:bCs/>
                <w:i/>
                <w:iCs/>
                <w:szCs w:val="26"/>
              </w:rPr>
            </w:pPr>
            <w:r>
              <w:t xml:space="preserve"> </w:t>
            </w:r>
            <w:bookmarkStart w:id="1272" w:name="_Toc60040628"/>
            <w:bookmarkStart w:id="1273" w:name="_Toc65151688"/>
            <w:bookmarkStart w:id="1274" w:name="_Toc80174714"/>
            <w:bookmarkStart w:id="1275" w:name="_Toc108712473"/>
            <w:bookmarkStart w:id="1276" w:name="_Toc112417593"/>
            <w:bookmarkStart w:id="1277" w:name="_Toc119310262"/>
            <w:bookmarkStart w:id="1278" w:name="_Toc125966196"/>
            <w:bookmarkStart w:id="1279" w:name="_Toc135992294"/>
            <w:bookmarkStart w:id="1280" w:name="_Toc175157394"/>
            <w:bookmarkStart w:id="1281" w:name="_Toc189044367"/>
            <w:r w:rsidRPr="003161DC">
              <w:rPr>
                <w:b/>
                <w:bCs/>
                <w:i/>
                <w:iCs/>
                <w:szCs w:val="26"/>
              </w:rPr>
              <w:t>6.5.7.6.1</w:t>
            </w:r>
            <w:r w:rsidRPr="003161DC">
              <w:rPr>
                <w:b/>
                <w:bCs/>
                <w:i/>
                <w:iCs/>
                <w:szCs w:val="26"/>
              </w:rPr>
              <w:tab/>
              <w:t>LFC Process Description</w:t>
            </w:r>
            <w:bookmarkEnd w:id="1272"/>
            <w:bookmarkEnd w:id="1273"/>
            <w:bookmarkEnd w:id="1274"/>
            <w:bookmarkEnd w:id="1275"/>
            <w:bookmarkEnd w:id="1276"/>
            <w:bookmarkEnd w:id="1277"/>
            <w:bookmarkEnd w:id="1278"/>
            <w:bookmarkEnd w:id="1279"/>
            <w:bookmarkEnd w:id="1280"/>
            <w:bookmarkEnd w:id="1281"/>
          </w:p>
          <w:p w14:paraId="58B2F7DF" w14:textId="77777777" w:rsidR="00F47949" w:rsidRPr="003161DC" w:rsidRDefault="00F47949" w:rsidP="00F47949">
            <w:pPr>
              <w:spacing w:after="240"/>
              <w:ind w:left="720" w:hanging="720"/>
            </w:pPr>
            <w:r w:rsidRPr="003161DC">
              <w:t>(1)</w:t>
            </w:r>
            <w:r w:rsidRPr="003161DC">
              <w:tab/>
              <w:t>The LFC system corrects system frequency based on the Area Control Error (ACE) algorithm and Good Utility Practice.</w:t>
            </w:r>
          </w:p>
          <w:p w14:paraId="64DC0CBD" w14:textId="77777777" w:rsidR="00F47949" w:rsidRPr="003161DC" w:rsidRDefault="00F47949" w:rsidP="00F47949">
            <w:pPr>
              <w:spacing w:after="240"/>
              <w:ind w:left="720" w:hanging="720"/>
            </w:pPr>
            <w:r w:rsidRPr="003161DC">
              <w:t>(2)</w:t>
            </w:r>
            <w:r w:rsidRPr="003161DC">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r>
              <w:t>Set</w:t>
            </w:r>
            <w:r w:rsidRPr="003161DC">
              <w:t xml:space="preserve"> Point</w:t>
            </w:r>
            <w:r>
              <w:t xml:space="preserve"> (UDSP)</w:t>
            </w:r>
            <w:r w:rsidRPr="003161DC">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68E1899F" w14:textId="56A2A47D" w:rsidR="00F47949" w:rsidRPr="003161DC" w:rsidRDefault="00F47949" w:rsidP="00F47949">
            <w:pPr>
              <w:spacing w:after="240"/>
              <w:ind w:left="720" w:hanging="720"/>
            </w:pPr>
            <w:r w:rsidRPr="003161DC">
              <w:t>(3)</w:t>
            </w:r>
            <w:r w:rsidRPr="003161DC">
              <w:tab/>
              <w:t>The LFC module receives inputs from Real-Time telemetry that includes Resource output and actual system frequency.  The LFC uses actual Resource information calculated from SCADA to determine available Resource capacity providing Regulation Service, RRS, and ECRS.</w:t>
            </w:r>
          </w:p>
          <w:p w14:paraId="31CCDDCF" w14:textId="516989DA" w:rsidR="00F47949" w:rsidRPr="003161DC" w:rsidRDefault="00F47949" w:rsidP="00F47949">
            <w:pPr>
              <w:spacing w:after="240"/>
              <w:ind w:left="720" w:hanging="720"/>
            </w:pPr>
            <w:r w:rsidRPr="003161DC">
              <w:t>(4)</w:t>
            </w:r>
            <w:r w:rsidRPr="003161DC">
              <w:tab/>
              <w:t xml:space="preserve">Based on the ACE MW correction, the LFC issues a set of control signals every four seconds </w:t>
            </w:r>
            <w:r>
              <w:t>for</w:t>
            </w:r>
            <w:r w:rsidRPr="003161DC">
              <w:t xml:space="preserve"> each </w:t>
            </w:r>
            <w:r>
              <w:t>Resource</w:t>
            </w:r>
            <w:r w:rsidRPr="003161DC">
              <w:t xml:space="preserve"> providing Regulation and, if required, each </w:t>
            </w:r>
            <w:r>
              <w:t>Resource</w:t>
            </w:r>
            <w:r w:rsidRPr="003161DC">
              <w:t xml:space="preserve"> providing RRS or ECRS.  Control signals </w:t>
            </w:r>
            <w:r>
              <w:t xml:space="preserve">to each Resource </w:t>
            </w:r>
            <w:r w:rsidRPr="003161DC">
              <w:t xml:space="preserve">are provided to the QSE using the ICCP data link.  QSEs shall receive a </w:t>
            </w:r>
            <w:r>
              <w:t>UDSP</w:t>
            </w:r>
            <w:r w:rsidRPr="003161DC">
              <w:t xml:space="preserve"> updated every four seconds by LFC.  ERCOT will provide an </w:t>
            </w:r>
            <w:r>
              <w:t>o</w:t>
            </w:r>
            <w:r w:rsidRPr="003161DC">
              <w:t xml:space="preserve">perations </w:t>
            </w:r>
            <w:r>
              <w:t>n</w:t>
            </w:r>
            <w:r w:rsidRPr="003161DC">
              <w:t xml:space="preserve">otice of any methodology change to the determination of the </w:t>
            </w:r>
            <w:r>
              <w:t>UDSP</w:t>
            </w:r>
            <w:r w:rsidRPr="003161DC">
              <w:t xml:space="preserve"> within 60 minutes of the change.  </w:t>
            </w:r>
          </w:p>
          <w:p w14:paraId="6D113936" w14:textId="5EBD6531" w:rsidR="00F47949" w:rsidRPr="003161DC" w:rsidRDefault="00F47949" w:rsidP="00F47949">
            <w:pPr>
              <w:spacing w:after="240"/>
              <w:ind w:left="720" w:hanging="720"/>
            </w:pPr>
            <w:r w:rsidRPr="003161DC">
              <w:t>(</w:t>
            </w:r>
            <w:r>
              <w:t>5</w:t>
            </w:r>
            <w:r w:rsidRPr="003161DC">
              <w:t>)</w:t>
            </w:r>
            <w:r w:rsidRPr="003161DC">
              <w:tab/>
              <w:t xml:space="preserve">If all Reg-Up capacity has been deployed, ERCOT shall </w:t>
            </w:r>
            <w:r>
              <w:t xml:space="preserve">run off-cycle SCED executions or </w:t>
            </w:r>
            <w:r w:rsidRPr="003161DC">
              <w:t>use the LFC system</w:t>
            </w:r>
            <w:r>
              <w:t xml:space="preserve"> </w:t>
            </w:r>
            <w:r w:rsidRPr="003161DC">
              <w:t xml:space="preserve">to deploy ECRS on </w:t>
            </w:r>
            <w:r>
              <w:t>Resources providing FFR or with an ONSC Resource Status</w:t>
            </w:r>
            <w:r w:rsidRPr="003161DC">
              <w:t>.  Such ECRS deployments by ERCOT must be deployed as specified in Section 6.5.7.6.2.4, Deployment and Recall of ERCOT Contingency Reserve Service.</w:t>
            </w:r>
          </w:p>
          <w:p w14:paraId="66EA2F11" w14:textId="6E5ED34A" w:rsidR="00F47949" w:rsidRPr="003161DC" w:rsidRDefault="00F47949" w:rsidP="00F47949">
            <w:pPr>
              <w:spacing w:after="240"/>
              <w:ind w:left="720" w:hanging="720"/>
            </w:pPr>
            <w:r w:rsidRPr="003161DC">
              <w:t>(</w:t>
            </w:r>
            <w:r>
              <w:t>6</w:t>
            </w:r>
            <w:r w:rsidRPr="003161DC">
              <w:t>)</w:t>
            </w:r>
            <w:r w:rsidRPr="003161DC">
              <w:tab/>
              <w:t xml:space="preserve">ERCOT shall settle energy that results from LFC deployment at the Settlement Point Price for the point of injection.  When a QSE deploys RRS or ECRS, the QSE shall </w:t>
            </w:r>
            <w:r w:rsidRPr="003161DC">
              <w:lastRenderedPageBreak/>
              <w:t>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p w14:paraId="56643165" w14:textId="77777777" w:rsidR="00F47949" w:rsidRPr="003161DC" w:rsidRDefault="00F47949" w:rsidP="00F47949">
            <w:pPr>
              <w:spacing w:after="240"/>
              <w:ind w:left="720" w:hanging="720"/>
            </w:pPr>
            <w:r w:rsidRPr="003161DC">
              <w:t>(</w:t>
            </w:r>
            <w:r>
              <w:t>7</w:t>
            </w:r>
            <w:r w:rsidRPr="003161DC">
              <w:t>)</w:t>
            </w:r>
            <w:r w:rsidRPr="003161DC">
              <w:tab/>
              <w:t>The inputs for LFC include:</w:t>
            </w:r>
          </w:p>
          <w:p w14:paraId="5CC7E3D4" w14:textId="77777777" w:rsidR="00F47949" w:rsidRPr="003161DC" w:rsidRDefault="00F47949" w:rsidP="00F47949">
            <w:pPr>
              <w:spacing w:after="240"/>
              <w:ind w:left="1440" w:hanging="720"/>
            </w:pPr>
            <w:r w:rsidRPr="003161DC">
              <w:t>(a)</w:t>
            </w:r>
            <w:r w:rsidRPr="003161DC">
              <w:tab/>
              <w:t>Actual system frequency;</w:t>
            </w:r>
          </w:p>
          <w:p w14:paraId="7B7C2AAE" w14:textId="77777777" w:rsidR="00F47949" w:rsidRPr="003161DC" w:rsidRDefault="00F47949" w:rsidP="00F47949">
            <w:pPr>
              <w:spacing w:after="240"/>
              <w:ind w:left="1440" w:hanging="720"/>
            </w:pPr>
            <w:r w:rsidRPr="003161DC">
              <w:t>(b)</w:t>
            </w:r>
            <w:r w:rsidRPr="003161DC">
              <w:tab/>
              <w:t>Scheduled system frequency;</w:t>
            </w:r>
          </w:p>
          <w:p w14:paraId="657E6047" w14:textId="77777777" w:rsidR="00F47949" w:rsidRPr="003161DC" w:rsidRDefault="00F47949" w:rsidP="00F47949">
            <w:pPr>
              <w:spacing w:after="240"/>
              <w:ind w:left="1440" w:hanging="720"/>
            </w:pPr>
            <w:r w:rsidRPr="003161DC">
              <w:t>(c)</w:t>
            </w:r>
            <w:r w:rsidRPr="003161DC">
              <w:tab/>
              <w:t xml:space="preserve">Capacity </w:t>
            </w:r>
            <w:r>
              <w:t>awarded</w:t>
            </w:r>
            <w:r w:rsidRPr="003161DC">
              <w:t xml:space="preserve"> for Regulation </w:t>
            </w:r>
            <w:r>
              <w:t>Service to</w:t>
            </w:r>
            <w:r w:rsidRPr="003161DC">
              <w:t xml:space="preserve"> </w:t>
            </w:r>
            <w:r>
              <w:t>Resources</w:t>
            </w:r>
            <w:r w:rsidRPr="003161DC">
              <w:t>;</w:t>
            </w:r>
          </w:p>
          <w:p w14:paraId="3C40626E" w14:textId="77777777" w:rsidR="00F47949" w:rsidRPr="003161DC" w:rsidRDefault="00F47949" w:rsidP="00F47949">
            <w:pPr>
              <w:spacing w:after="240"/>
              <w:ind w:left="1440" w:hanging="720"/>
            </w:pPr>
            <w:r w:rsidRPr="003161DC">
              <w:t>(d)</w:t>
            </w:r>
            <w:r w:rsidRPr="003161DC">
              <w:tab/>
            </w:r>
            <w:r>
              <w:t>For Resources awarded Regulation Service, t</w:t>
            </w:r>
            <w:r w:rsidRPr="003161DC">
              <w:t xml:space="preserve">elemetered </w:t>
            </w:r>
            <w:r>
              <w:t>HSL or MPC, and LSL or LPC</w:t>
            </w:r>
            <w:r w:rsidRPr="003161DC">
              <w:t>;</w:t>
            </w:r>
          </w:p>
          <w:p w14:paraId="0D0CD940" w14:textId="58DA496F" w:rsidR="00F47949" w:rsidRPr="003161DC" w:rsidRDefault="00F47949" w:rsidP="00F47949">
            <w:pPr>
              <w:spacing w:after="240"/>
              <w:ind w:left="1440" w:hanging="720"/>
            </w:pPr>
            <w:r w:rsidRPr="003161DC">
              <w:t>(e)</w:t>
            </w:r>
            <w:r w:rsidRPr="003161DC">
              <w:tab/>
              <w:t xml:space="preserve">Resource limits calculated by ERCOT as described </w:t>
            </w:r>
            <w:r w:rsidR="00201765">
              <w:t xml:space="preserve">in </w:t>
            </w:r>
            <w:r w:rsidRPr="003161DC">
              <w:t>Section 6.5.7.2, Resource Limit Calculator;</w:t>
            </w:r>
          </w:p>
          <w:p w14:paraId="40F72412" w14:textId="67023839" w:rsidR="00F47949" w:rsidRPr="003161DC" w:rsidRDefault="00F47949" w:rsidP="00F47949">
            <w:pPr>
              <w:spacing w:after="240"/>
              <w:ind w:left="1440" w:hanging="720"/>
            </w:pPr>
            <w:r w:rsidRPr="003161DC">
              <w:t>(</w:t>
            </w:r>
            <w:r>
              <w:t>f</w:t>
            </w:r>
            <w:r w:rsidRPr="003161DC">
              <w:t>)</w:t>
            </w:r>
            <w:r w:rsidRPr="003161DC">
              <w:tab/>
              <w:t xml:space="preserve">Capacity </w:t>
            </w:r>
            <w:r>
              <w:t>awarded</w:t>
            </w:r>
            <w:r w:rsidRPr="003161DC">
              <w:t xml:space="preserve"> for RRS and ECRS </w:t>
            </w:r>
            <w:r>
              <w:t>to</w:t>
            </w:r>
            <w:r w:rsidRPr="003161DC">
              <w:t xml:space="preserve"> </w:t>
            </w:r>
            <w:r>
              <w:t>Resources</w:t>
            </w:r>
            <w:r w:rsidRPr="003161DC">
              <w:t>;</w:t>
            </w:r>
          </w:p>
          <w:p w14:paraId="5C89D6F3" w14:textId="77777777" w:rsidR="00F47949" w:rsidRPr="003161DC" w:rsidRDefault="00F47949" w:rsidP="00F47949">
            <w:pPr>
              <w:spacing w:before="240" w:after="240"/>
              <w:ind w:left="1440" w:hanging="720"/>
            </w:pPr>
            <w:r w:rsidRPr="003161DC">
              <w:t>(</w:t>
            </w:r>
            <w:r>
              <w:t>g</w:t>
            </w:r>
            <w:r w:rsidRPr="003161DC">
              <w:t>)</w:t>
            </w:r>
            <w:r w:rsidRPr="003161DC">
              <w:tab/>
              <w:t>ERCOT System frequency bias; and</w:t>
            </w:r>
          </w:p>
          <w:p w14:paraId="6D508B58" w14:textId="5EF0B8AC" w:rsidR="00F47949" w:rsidRPr="00AE702A" w:rsidRDefault="00F47949" w:rsidP="00F47949">
            <w:pPr>
              <w:spacing w:after="240"/>
              <w:ind w:left="1440" w:hanging="720"/>
            </w:pPr>
            <w:r w:rsidRPr="003161DC">
              <w:t>(</w:t>
            </w:r>
            <w:r>
              <w:t>h</w:t>
            </w:r>
            <w:r w:rsidRPr="003161DC">
              <w:t>)</w:t>
            </w:r>
            <w:r w:rsidRPr="003161DC">
              <w:tab/>
              <w:t>Telemetered Resource output.</w:t>
            </w:r>
          </w:p>
        </w:tc>
      </w:tr>
    </w:tbl>
    <w:p w14:paraId="76884422" w14:textId="77777777" w:rsidR="001F04FD" w:rsidRDefault="001F04FD" w:rsidP="001F04FD">
      <w:pPr>
        <w:pStyle w:val="H5"/>
        <w:spacing w:before="480"/>
        <w:ind w:left="1627" w:hanging="1627"/>
      </w:pPr>
      <w:bookmarkStart w:id="1282" w:name="_Toc189044368"/>
      <w:r>
        <w:lastRenderedPageBreak/>
        <w:t>6.5.7.6.2</w:t>
      </w:r>
      <w:r>
        <w:tab/>
        <w:t>LFC Deployment</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82"/>
    </w:p>
    <w:p w14:paraId="64AAB626" w14:textId="59BB107D" w:rsidR="001F04FD" w:rsidRDefault="001F04FD" w:rsidP="001F04FD">
      <w:pPr>
        <w:pStyle w:val="BodyTextNumbered"/>
      </w:pPr>
      <w:r>
        <w:t>(1)</w:t>
      </w:r>
      <w:r>
        <w:tab/>
        <w:t>ERCOT may deploy Regulation</w:t>
      </w:r>
      <w:r w:rsidR="00F47949">
        <w:t xml:space="preserve"> Service</w:t>
      </w:r>
      <w:r>
        <w:t xml:space="preserve">, </w:t>
      </w:r>
      <w:r w:rsidR="005755D9">
        <w:t>RRS</w:t>
      </w:r>
      <w:r>
        <w:t>,</w:t>
      </w:r>
      <w:r w:rsidR="000E20D3">
        <w:t xml:space="preserve"> ECRS,</w:t>
      </w:r>
      <w:r>
        <w:t xml:space="preserve">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7949" w14:paraId="0E61CEF5" w14:textId="77777777" w:rsidTr="007C4B00">
        <w:trPr>
          <w:trHeight w:val="206"/>
        </w:trPr>
        <w:tc>
          <w:tcPr>
            <w:tcW w:w="5000" w:type="pct"/>
            <w:shd w:val="pct12" w:color="auto" w:fill="auto"/>
          </w:tcPr>
          <w:p w14:paraId="3EC3C8BA" w14:textId="584FF792" w:rsidR="00F47949" w:rsidRDefault="00F47949" w:rsidP="007C4B00">
            <w:pPr>
              <w:pStyle w:val="Instructions"/>
              <w:spacing w:before="120"/>
            </w:pPr>
            <w:r>
              <w:t>[NPRR1010:  Insert paragraph (2) below upon system implementation of the Real-Time Co-Optimization (RTC) project:]</w:t>
            </w:r>
          </w:p>
          <w:p w14:paraId="77F85F02" w14:textId="4D73003A" w:rsidR="00F47949" w:rsidRPr="00C3334D" w:rsidRDefault="00F47949" w:rsidP="00F47949">
            <w:pPr>
              <w:spacing w:before="240" w:after="240"/>
              <w:ind w:left="720" w:hanging="720"/>
            </w:pPr>
            <w:r>
              <w:t>(2)</w:t>
            </w:r>
            <w:r>
              <w:tab/>
              <w:t xml:space="preserve">LFC will send UDSP deployment signals for each Resource, as specified in Section 6.5.7.4.1, </w:t>
            </w:r>
            <w:r w:rsidRPr="00E40E6B">
              <w:t>Updated Desired Set Points</w:t>
            </w:r>
            <w:r>
              <w:t>.</w:t>
            </w:r>
          </w:p>
        </w:tc>
      </w:tr>
    </w:tbl>
    <w:p w14:paraId="72F6E54C" w14:textId="77777777" w:rsidR="001F04FD" w:rsidRDefault="001F04FD" w:rsidP="00D56BB3">
      <w:pPr>
        <w:pStyle w:val="H6"/>
        <w:spacing w:before="480"/>
      </w:pPr>
      <w:r>
        <w:t>6.5.7.6.2.1</w:t>
      </w:r>
      <w:r>
        <w:tab/>
        <w:t>Deployment of Regulation Service</w:t>
      </w:r>
    </w:p>
    <w:p w14:paraId="04C77772" w14:textId="77777777" w:rsidR="001F04FD" w:rsidRDefault="001F04FD" w:rsidP="001F04FD">
      <w:pPr>
        <w:pStyle w:val="BodyTextNumbered"/>
      </w:pPr>
      <w:r>
        <w:t>(1)</w:t>
      </w:r>
      <w:r>
        <w:tab/>
        <w:t>ERCOT shall deploy Reg-Up and Reg-Down necessary to maintain ERCOT System frequency to meet NERC Control Area and other Control Area performance criteria as specified in these Protocols and the Operating Guides.</w:t>
      </w:r>
    </w:p>
    <w:p w14:paraId="733DF401" w14:textId="77777777" w:rsidR="001F04FD" w:rsidRDefault="001F04FD" w:rsidP="001F04FD">
      <w:pPr>
        <w:pStyle w:val="BodyTextNumbered"/>
      </w:pPr>
      <w:r>
        <w:lastRenderedPageBreak/>
        <w:t>(2)</w:t>
      </w:r>
      <w: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2AC6AEEB" w14:textId="77777777" w:rsidR="001F04FD" w:rsidRDefault="001F04FD" w:rsidP="001F04FD">
      <w:pPr>
        <w:pStyle w:val="BodyTextNumbered"/>
      </w:pPr>
      <w:r>
        <w:t>(3)</w:t>
      </w:r>
      <w: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23313E39" w14:textId="77777777" w:rsidR="001F04FD" w:rsidRDefault="001F04FD" w:rsidP="001F04FD">
      <w:pPr>
        <w:pStyle w:val="BodyTextNumbered"/>
      </w:pPr>
      <w:r>
        <w:t>(4)</w:t>
      </w:r>
      <w:r>
        <w:tab/>
        <w:t>These requirements also apply to the deployment or recall of a deployment of Reg-Up and Reg-Down:</w:t>
      </w:r>
    </w:p>
    <w:p w14:paraId="332CC3CF" w14:textId="77777777" w:rsidR="001F04FD" w:rsidRDefault="001F04FD" w:rsidP="001F04FD">
      <w:pPr>
        <w:pStyle w:val="List"/>
      </w:pPr>
      <w:r>
        <w:t>(a)</w:t>
      </w:r>
      <w:r>
        <w:tab/>
        <w:t>Deployment or recall of a deployment must be accomplished through use of an automatic signal from ERCOT to each QSE provider of Reg-Up and Reg-Down.</w:t>
      </w:r>
    </w:p>
    <w:p w14:paraId="5760B164" w14:textId="77777777" w:rsidR="001F04FD" w:rsidRDefault="001F04FD" w:rsidP="001F04FD">
      <w:pPr>
        <w:pStyle w:val="List"/>
      </w:pPr>
      <w:r>
        <w:t>(b)</w:t>
      </w:r>
      <w:r>
        <w:tab/>
        <w:t xml:space="preserve">ERCOT shall minimize Reg-Up and Reg-Down energy as much as practicable in each SCED cycle.  </w:t>
      </w:r>
    </w:p>
    <w:p w14:paraId="33823753" w14:textId="77777777" w:rsidR="001F04FD" w:rsidRDefault="001F04FD" w:rsidP="001F04FD">
      <w:pPr>
        <w:pStyle w:val="List"/>
      </w:pPr>
      <w:r>
        <w:t>(c)</w:t>
      </w:r>
      <w:r>
        <w:tab/>
        <w:t>ERCOT shall settle energy provided by Reg-Up and Reg-Down at the Resource’s Settlement Point Price.</w:t>
      </w:r>
    </w:p>
    <w:p w14:paraId="25913782" w14:textId="77777777" w:rsidR="001F04FD" w:rsidRDefault="001F04FD" w:rsidP="001F04FD">
      <w:pPr>
        <w:pStyle w:val="List"/>
      </w:pPr>
      <w:r>
        <w:t>(d)</w:t>
      </w:r>
      <w:r>
        <w:tab/>
        <w:t>ERCOT shall integrate the control signal sent to providers of Reg-Up and shall calculate the amount of energy deployed by Reg-Up in each Settlement Interval.</w:t>
      </w:r>
    </w:p>
    <w:p w14:paraId="4F0B2D39" w14:textId="77777777" w:rsidR="001F04FD" w:rsidRDefault="001F04FD" w:rsidP="001F04FD">
      <w:pPr>
        <w:pStyle w:val="List"/>
      </w:pPr>
      <w:r>
        <w:t>(e)</w:t>
      </w:r>
      <w:r>
        <w:tab/>
        <w:t>ERCOT shall integrate the control signal sent to providers of Reg-Down and shall calculate the amount of energy deployed by Reg-Down in each Settlement Interval.</w:t>
      </w:r>
    </w:p>
    <w:p w14:paraId="7AD2C9FB" w14:textId="77777777" w:rsidR="001F04FD" w:rsidRDefault="001F04FD" w:rsidP="001F04FD">
      <w:pPr>
        <w:pStyle w:val="List"/>
        <w:rPr>
          <w:color w:val="000000"/>
        </w:rPr>
      </w:pPr>
      <w:r>
        <w:rPr>
          <w:color w:val="000000"/>
        </w:rPr>
        <w:t>(f)</w:t>
      </w:r>
      <w:r>
        <w:rPr>
          <w:color w:val="00000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039BA011" w14:textId="77777777" w:rsidR="001F04FD" w:rsidRDefault="001F04FD" w:rsidP="001F04FD">
      <w:pPr>
        <w:pStyle w:val="BodyTextNumbered"/>
      </w:pPr>
      <w:r>
        <w:t>(5)</w:t>
      </w:r>
      <w:r>
        <w:tab/>
        <w:t>Every day, ERCOT shall post to the MIS Secure Area the total amount of deployed Reg-Up and Reg-Down energy in each Settlement Interval of the previous day.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C4DE5" w14:paraId="2BEBE2A2" w14:textId="77777777" w:rsidTr="00AC4DE5">
        <w:trPr>
          <w:trHeight w:val="206"/>
        </w:trPr>
        <w:tc>
          <w:tcPr>
            <w:tcW w:w="9445" w:type="dxa"/>
            <w:shd w:val="pct12" w:color="auto" w:fill="auto"/>
          </w:tcPr>
          <w:p w14:paraId="6A808C3A" w14:textId="77777777" w:rsidR="00AC4DE5" w:rsidRDefault="00AC4DE5" w:rsidP="00AE5CE8">
            <w:pPr>
              <w:pStyle w:val="Instructions"/>
              <w:spacing w:before="120"/>
            </w:pPr>
            <w:r>
              <w:t>[NPRR1239:  Replace paragraph (5) above with the following upon system implementation:]</w:t>
            </w:r>
          </w:p>
          <w:p w14:paraId="0D2DAA53" w14:textId="604AC793" w:rsidR="00AC4DE5" w:rsidRPr="00A4149C" w:rsidRDefault="00AC4DE5" w:rsidP="00AC4DE5">
            <w:pPr>
              <w:spacing w:after="240"/>
              <w:ind w:left="720" w:hanging="720"/>
            </w:pPr>
            <w:r w:rsidRPr="00E62DE9">
              <w:t>(5)</w:t>
            </w:r>
            <w:r w:rsidRPr="00E62DE9">
              <w:tab/>
              <w:t xml:space="preserve">Every day, ERCOT shall post to the </w:t>
            </w:r>
            <w:r>
              <w:t>ERCOT website</w:t>
            </w:r>
            <w:r w:rsidRPr="00E62DE9">
              <w:t xml:space="preserve"> the total amount of deployed Reg-Up and Reg-Down energy in each Settlement Interval of the previous day</w:t>
            </w:r>
            <w:r>
              <w:t>.</w:t>
            </w:r>
          </w:p>
        </w:tc>
      </w:tr>
    </w:tbl>
    <w:p w14:paraId="045865A6" w14:textId="655A583C" w:rsidR="001F04FD" w:rsidRDefault="001F04FD" w:rsidP="00952F33">
      <w:pPr>
        <w:pStyle w:val="BodyTextNumbered"/>
        <w:spacing w:before="240"/>
      </w:pPr>
      <w:r>
        <w:t>(6)</w:t>
      </w:r>
      <w:r>
        <w:tab/>
        <w:t>For each Resource providing Reg-Up or Reg-Down, the implied ramp rate in MW per minute is the total amount of Regulation Service awarded divided by five.</w:t>
      </w:r>
    </w:p>
    <w:p w14:paraId="4E4050FE" w14:textId="77777777" w:rsidR="001F04FD" w:rsidRDefault="001F04FD" w:rsidP="001F04FD">
      <w:pPr>
        <w:pStyle w:val="BodyTextNumbered"/>
      </w:pPr>
      <w:r>
        <w:lastRenderedPageBreak/>
        <w:t>(7)</w:t>
      </w:r>
      <w:r>
        <w:tab/>
        <w:t>Each QSE providing Reg-Up or Reg-Down and ERCOT shall meet the deployment performance requirements specified in Section 8, Performance Monitoring.</w:t>
      </w:r>
    </w:p>
    <w:p w14:paraId="14700940" w14:textId="77777777" w:rsidR="001F04FD" w:rsidRDefault="001F04FD" w:rsidP="001F04FD">
      <w:pPr>
        <w:pStyle w:val="BodyTextNumbered"/>
      </w:pPr>
      <w:r>
        <w:t>(8)</w:t>
      </w:r>
      <w:r>
        <w:tab/>
        <w:t>ERCOT shall issue Reg-Up and Reg-Down deployment Dispatch Instructions over ICCP.  Those Dispatch Instructions must contain the change in MW output requested of the QSE assuming all Resources are at their Updated Desired Base Point issued by LFC.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C4B00" w14:paraId="1C3F24D0" w14:textId="77777777" w:rsidTr="007C4B00">
        <w:trPr>
          <w:trHeight w:val="206"/>
        </w:trPr>
        <w:tc>
          <w:tcPr>
            <w:tcW w:w="5000" w:type="pct"/>
            <w:shd w:val="pct12" w:color="auto" w:fill="auto"/>
          </w:tcPr>
          <w:p w14:paraId="480BDA24" w14:textId="16C0C3F1" w:rsidR="007C4B00" w:rsidRDefault="007C4B00" w:rsidP="007C4B00">
            <w:pPr>
              <w:pStyle w:val="Instructions"/>
              <w:spacing w:before="120"/>
            </w:pPr>
            <w:r>
              <w:t>[NPRR1010:  Replace paragraph (8) above with the following upon system implementation of the Real-Time Co-Optimization (RTC) project:]</w:t>
            </w:r>
          </w:p>
          <w:p w14:paraId="7B7177F1" w14:textId="77777777" w:rsidR="007C4B00" w:rsidRDefault="007C4B00" w:rsidP="007C4B00">
            <w:pPr>
              <w:spacing w:after="240"/>
              <w:ind w:left="720" w:hanging="720"/>
            </w:pPr>
            <w:r w:rsidRPr="003161DC">
              <w:t>(8)</w:t>
            </w:r>
            <w:r w:rsidRPr="003161DC">
              <w:tab/>
              <w:t xml:space="preserve">ERCOT shall issue Reg-Up and Reg-Down deployment Dispatch Instructions over ICCP.  Those Dispatch Instructions must contain the change in MW output requested of the </w:t>
            </w:r>
            <w:r>
              <w:t>Resource</w:t>
            </w:r>
            <w:r w:rsidRPr="003161DC">
              <w:t>.</w:t>
            </w:r>
            <w:r>
              <w:t xml:space="preserve">  </w:t>
            </w:r>
          </w:p>
          <w:p w14:paraId="4B135C46" w14:textId="77777777" w:rsidR="007C4B00" w:rsidRDefault="007C4B00" w:rsidP="007C4B00">
            <w:pPr>
              <w:spacing w:after="240"/>
              <w:ind w:left="720" w:hanging="720"/>
            </w:pPr>
            <w:r>
              <w:t>(9)</w:t>
            </w:r>
            <w:r>
              <w:tab/>
              <w:t>Reg-Up and Reg-Down Dispatch Instructions shall be included as a component of a Resource’s UDSP.</w:t>
            </w:r>
            <w:r w:rsidRPr="0089123F">
              <w:t xml:space="preserve"> </w:t>
            </w:r>
          </w:p>
          <w:p w14:paraId="09BC6A1A" w14:textId="4C7DEA03" w:rsidR="007C4B00" w:rsidRPr="00C3334D" w:rsidRDefault="007C4B00" w:rsidP="0028663E">
            <w:pPr>
              <w:spacing w:after="240"/>
              <w:ind w:left="720" w:hanging="720"/>
            </w:pPr>
            <w:r>
              <w:t>(10)</w:t>
            </w:r>
            <w:r>
              <w:tab/>
              <w:t>U</w:t>
            </w:r>
            <w:r w:rsidRPr="00250E29">
              <w:t>pon the receipt of new Base Points and A</w:t>
            </w:r>
            <w:r>
              <w:t xml:space="preserve">ncillary </w:t>
            </w:r>
            <w:r w:rsidRPr="00250E29">
              <w:t>S</w:t>
            </w:r>
            <w:r>
              <w:t>ervice awards from SCED</w:t>
            </w:r>
            <w:r w:rsidRPr="00250E29">
              <w:t>, LFC will reset Regulation Service instructions to zero</w:t>
            </w:r>
            <w:r>
              <w:t>.</w:t>
            </w:r>
          </w:p>
        </w:tc>
      </w:tr>
    </w:tbl>
    <w:p w14:paraId="291FA216" w14:textId="77777777" w:rsidR="001F04FD" w:rsidRDefault="001F04FD" w:rsidP="001F04FD">
      <w:pPr>
        <w:pStyle w:val="H6"/>
        <w:spacing w:before="480"/>
      </w:pPr>
      <w:bookmarkStart w:id="1283" w:name="_Hlk135902803"/>
      <w:r>
        <w:t>6.5.7.6.2.2</w:t>
      </w:r>
      <w:r>
        <w:tab/>
        <w:t xml:space="preserve">Deployment of Responsive Reserve </w:t>
      </w:r>
      <w:r w:rsidR="00A2264F">
        <w:t>(RRS)</w:t>
      </w:r>
    </w:p>
    <w:p w14:paraId="3D99E48F" w14:textId="77777777" w:rsidR="001F04FD" w:rsidRDefault="001F04FD" w:rsidP="001F04FD">
      <w:pPr>
        <w:pStyle w:val="BodyTextNumbered"/>
      </w:pPr>
      <w:r>
        <w:t>(1)</w:t>
      </w:r>
      <w:r>
        <w:tab/>
        <w:t>RRS is intended to:</w:t>
      </w:r>
    </w:p>
    <w:p w14:paraId="53E20F20" w14:textId="16C6729E" w:rsidR="001F04FD" w:rsidRDefault="001F04FD" w:rsidP="001F04FD">
      <w:pPr>
        <w:pStyle w:val="List"/>
      </w:pPr>
      <w:r>
        <w:t>(a)</w:t>
      </w:r>
      <w:r>
        <w:tab/>
        <w:t>Help restore the frequency within the first few seconds of a significant frequency deviation of the interconnected transmission system;</w:t>
      </w:r>
      <w:r w:rsidR="00C36150">
        <w:t xml:space="preserve"> and</w:t>
      </w:r>
    </w:p>
    <w:p w14:paraId="021A98F5" w14:textId="2D64191C" w:rsidR="001F04FD" w:rsidRDefault="001F04FD" w:rsidP="00C36150">
      <w:pPr>
        <w:pStyle w:val="List"/>
      </w:pPr>
      <w:r>
        <w:t>(b)</w:t>
      </w:r>
      <w:r>
        <w:tab/>
        <w:t>Provide energy during the implementation of an EEA</w:t>
      </w:r>
      <w:r w:rsidR="00C36150">
        <w:t>.</w:t>
      </w:r>
    </w:p>
    <w:p w14:paraId="73E1F2D3" w14:textId="77777777" w:rsidR="001F04FD" w:rsidRDefault="001F04FD" w:rsidP="00FB599C">
      <w:pPr>
        <w:pStyle w:val="BodyTextNumbered"/>
      </w:pPr>
      <w:r>
        <w:t>(2)</w:t>
      </w:r>
      <w:r>
        <w:tab/>
        <w:t>ERCOT shall deploy RRS to meet NERC Control Performance Standards and other performance criteria as specified in these Protocols and the Operating Guides, by one or more of the following:</w:t>
      </w:r>
    </w:p>
    <w:p w14:paraId="3E2D7D2B" w14:textId="79FD87F5" w:rsidR="001F04FD" w:rsidRDefault="001F04FD" w:rsidP="001F04FD">
      <w:pPr>
        <w:pStyle w:val="List"/>
      </w:pPr>
      <w:r>
        <w:t>(a)</w:t>
      </w:r>
      <w:r>
        <w:tab/>
      </w:r>
      <w:r w:rsidR="00832D19">
        <w:t>RRS</w:t>
      </w:r>
      <w:r w:rsidR="00832D19" w:rsidRPr="0003648D">
        <w:t xml:space="preserve"> energy deployment by automatic Governor response as a result of frequency deviation;</w:t>
      </w:r>
    </w:p>
    <w:p w14:paraId="30F21741" w14:textId="307F6B90" w:rsidR="001F04FD" w:rsidRDefault="001F04FD" w:rsidP="00BA3F0D">
      <w:pPr>
        <w:pStyle w:val="List"/>
      </w:pPr>
      <w:r>
        <w:t>(b)</w:t>
      </w:r>
      <w:r>
        <w:tab/>
      </w:r>
      <w:r w:rsidR="00832D19" w:rsidRPr="0003648D">
        <w:t xml:space="preserve">Through use of an automatic Dispatch Instruction signal to deploy </w:t>
      </w:r>
      <w:r w:rsidR="00832D19">
        <w:t>RRS</w:t>
      </w:r>
      <w:r w:rsidR="00832D19" w:rsidRPr="0003648D">
        <w:t xml:space="preserve"> capacity from Generation Resources </w:t>
      </w:r>
      <w:r w:rsidR="00832D19">
        <w:t xml:space="preserve">providing Primary Frequency Response </w:t>
      </w:r>
      <w:r w:rsidR="00832D19" w:rsidRPr="0003648D">
        <w:t xml:space="preserve">or </w:t>
      </w:r>
      <w:r w:rsidR="00C67FF2">
        <w:t>CLR</w:t>
      </w:r>
      <w:r w:rsidR="00832D19" w:rsidRPr="0003648D">
        <w:t>s</w:t>
      </w:r>
      <w:r w:rsidR="00832D19">
        <w:t xml:space="preserve"> providing Primary Frequency Response</w:t>
      </w:r>
      <w:r>
        <w:t xml:space="preserve">; </w:t>
      </w:r>
    </w:p>
    <w:p w14:paraId="42671CA8" w14:textId="188E3F8D" w:rsidR="001F04FD" w:rsidRDefault="001F04FD" w:rsidP="00BA3F0D">
      <w:pPr>
        <w:pStyle w:val="List"/>
      </w:pPr>
      <w:r>
        <w:t>(c)</w:t>
      </w:r>
      <w:r>
        <w:tab/>
        <w:t xml:space="preserve">By Dispatch Instructions for deployment of RRS energy from a Load Resource, excluding </w:t>
      </w:r>
      <w:r w:rsidR="00C67FF2">
        <w:t>CLR</w:t>
      </w:r>
      <w:r>
        <w:t>s, by an electronic Messaging System; and</w:t>
      </w:r>
    </w:p>
    <w:p w14:paraId="08C343A8" w14:textId="77777777" w:rsidR="001F04FD" w:rsidRDefault="001F04FD" w:rsidP="001F04FD">
      <w:pPr>
        <w:pStyle w:val="List"/>
      </w:pPr>
      <w:r>
        <w:t>(d)</w:t>
      </w:r>
      <w:r>
        <w:tab/>
        <w:t>RRS energy deployment by automatic action of high-set under-frequency relays as a result of a significant frequency deviation.</w:t>
      </w:r>
    </w:p>
    <w:p w14:paraId="460749B7" w14:textId="256A6B61" w:rsidR="001F04FD" w:rsidRDefault="001F04FD" w:rsidP="001F04FD">
      <w:pPr>
        <w:pStyle w:val="BodyTextNumbered"/>
      </w:pPr>
      <w:r>
        <w:lastRenderedPageBreak/>
        <w:t>(3)</w:t>
      </w:r>
      <w:r>
        <w:tab/>
        <w:t xml:space="preserve">ERCOT shall deploy RRS to respond to a frequency deviation when the power requirement to restore frequency to normal ACE in ten minutes exceeds the Reg-Up ramping capability.  Deployment of RRS on Load Resources, excluding </w:t>
      </w:r>
      <w:r w:rsidR="00C67FF2">
        <w:t>CLR</w:t>
      </w:r>
      <w:r>
        <w:t>s, must be as described in Section 6.5.9.4, Energy Emergency Alert.</w:t>
      </w:r>
    </w:p>
    <w:p w14:paraId="20A3C879" w14:textId="77777777" w:rsidR="001F04FD" w:rsidRDefault="001F04FD" w:rsidP="001F04FD">
      <w:pPr>
        <w:pStyle w:val="BodyTextNumbered"/>
      </w:pPr>
      <w:r>
        <w:t>(4)</w:t>
      </w:r>
      <w:r>
        <w:tab/>
        <w:t>ERCOT may deploy RRS in response to system disturbance requirements as specified in the Operating Guides if no additional energy is available to be dispatched from SCED as determined by the Ancillary Service Capacity Monitor.</w:t>
      </w:r>
    </w:p>
    <w:p w14:paraId="464E9F60" w14:textId="77777777" w:rsidR="001F04FD" w:rsidRDefault="001F04FD" w:rsidP="001F04FD">
      <w:pPr>
        <w:pStyle w:val="BodyTextNumbered"/>
      </w:pPr>
      <w:r>
        <w:t>(5)</w:t>
      </w:r>
      <w:r>
        <w:tab/>
        <w:t>Energy from RRS Resources may also be deployed by ERCOT under Section 6.5.9, Emergency Operations.</w:t>
      </w:r>
    </w:p>
    <w:p w14:paraId="51450269" w14:textId="77777777" w:rsidR="001F04FD" w:rsidRDefault="001F04FD" w:rsidP="001F04FD">
      <w:pPr>
        <w:pStyle w:val="BodyTextNumbered"/>
      </w:pPr>
      <w:r>
        <w:t>(6)</w:t>
      </w:r>
      <w:r>
        <w:tab/>
        <w:t xml:space="preserve">ERCOT shall allocate the deployment of RRS proportionally among QSEs that provide RRS using Resources that are not on high-set under-frequency relays.  </w:t>
      </w:r>
    </w:p>
    <w:p w14:paraId="5F7A5C7F" w14:textId="61800F7B" w:rsidR="001F04FD" w:rsidRDefault="001F04FD" w:rsidP="001F04FD">
      <w:pPr>
        <w:pStyle w:val="BodyTextNumbered"/>
      </w:pPr>
      <w:r>
        <w:t>(7)</w:t>
      </w:r>
      <w:r>
        <w:tab/>
        <w:t>ERCOT shall use the SCED</w:t>
      </w:r>
      <w:r w:rsidR="00C36150">
        <w:t>, ECRS,</w:t>
      </w:r>
      <w:r>
        <w:t xml:space="preserve"> and Non-Spin as soon as practicable to minimize the prolonged use of RRS energy.</w:t>
      </w:r>
    </w:p>
    <w:p w14:paraId="39CA7E0E" w14:textId="77777777" w:rsidR="001F04FD" w:rsidRDefault="001F04FD" w:rsidP="00FB599C">
      <w:pPr>
        <w:pStyle w:val="BodyTextNumbered"/>
      </w:pPr>
      <w:r>
        <w:t>(8)</w:t>
      </w:r>
      <w:r>
        <w:tab/>
        <w:t>Once RRS is deployed, the QSE’s obligation to deliver RRS remains in effect until specifically instructed by ERCOT to stop providing RRS.  However, except in an Emergency Condition, the QSE’s obligation to deliver RRS may not exceed the period for which the service was committed.</w:t>
      </w:r>
    </w:p>
    <w:p w14:paraId="2852B6AE" w14:textId="77777777" w:rsidR="001F04FD" w:rsidRDefault="001F04FD" w:rsidP="001F04FD">
      <w:pPr>
        <w:pStyle w:val="BodyTextNumbered"/>
      </w:pPr>
      <w:r>
        <w:t>(9)</w:t>
      </w:r>
      <w:r>
        <w:tab/>
        <w: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t>
      </w:r>
    </w:p>
    <w:p w14:paraId="0836F1A7" w14:textId="77777777" w:rsidR="001F04FD" w:rsidRDefault="001F04FD" w:rsidP="001F04FD">
      <w:pPr>
        <w:pStyle w:val="BodyTextNumbered"/>
      </w:pPr>
      <w:r>
        <w:t>(10)</w:t>
      </w:r>
      <w:r>
        <w:tab/>
        <w:t>QSEs providing RRS and ERCOT shall meet the deployment performance requirements specified in Section 8, Performance Monitoring.</w:t>
      </w:r>
    </w:p>
    <w:p w14:paraId="3EE14F3D" w14:textId="1A25F7EB" w:rsidR="001F04FD" w:rsidRDefault="001F04FD" w:rsidP="001F04FD">
      <w:pPr>
        <w:pStyle w:val="BodyTextNumbered"/>
      </w:pPr>
      <w:r>
        <w:t>(11)</w:t>
      </w:r>
      <w:r>
        <w:tab/>
      </w:r>
      <w:r w:rsidR="00C36150" w:rsidRPr="0003648D">
        <w:t xml:space="preserve">For </w:t>
      </w:r>
      <w:r w:rsidR="00C36150">
        <w:t>RRS</w:t>
      </w:r>
      <w:r w:rsidR="00C36150" w:rsidRPr="0003648D">
        <w:t xml:space="preserve"> deployment that is not automatic in response to frequency deviation, </w:t>
      </w:r>
      <w:r>
        <w:t xml:space="preserve">ERCOT shall issue RRS deployment Dispatch Instructions over ICCP for Generation Resources and </w:t>
      </w:r>
      <w:r w:rsidR="00C67FF2">
        <w:t>CLR</w:t>
      </w:r>
      <w:r>
        <w:t xml:space="preserve">s and XML for all other Load Resources.  Those Dispatch Instructions must contain the MW output requested.  For Generation Resources and </w:t>
      </w:r>
      <w:r w:rsidR="00C67FF2">
        <w:t>CLR</w:t>
      </w:r>
      <w:r>
        <w:t>s from which RRS capacity was deployed, ERCOT shall use SCED to dispatch RRS energy.  The Base Points for those Resources includes RRS energy as well as any other energy dispatched by SCED.</w:t>
      </w:r>
    </w:p>
    <w:p w14:paraId="54DA22C1" w14:textId="069AF1E4" w:rsidR="001F04FD" w:rsidRDefault="001F04FD" w:rsidP="00FB599C">
      <w:pPr>
        <w:pStyle w:val="BodyTextNumbered"/>
      </w:pPr>
      <w:r>
        <w:t xml:space="preserve">(12) </w:t>
      </w:r>
      <w:r>
        <w:tab/>
        <w:t xml:space="preserve">To the extent that ERCOT deploys a Load Resource that is not a </w:t>
      </w:r>
      <w:r w:rsidR="00C67FF2">
        <w:t>CLR</w:t>
      </w:r>
      <w:r>
        <w:t xml:space="preserve"> and that has chosen a block deployment option, ERCOT shall either deploy the entire responsibility or, if only partial deployment is possible, skip the Load Resource with the block deployment option and proceed to deploy the next available Resource.</w:t>
      </w:r>
    </w:p>
    <w:p w14:paraId="4F743827" w14:textId="447E905B" w:rsidR="001F04FD" w:rsidRDefault="001F04FD" w:rsidP="001F04FD">
      <w:pPr>
        <w:pStyle w:val="BodyTextNumbered"/>
      </w:pPr>
      <w:r>
        <w:t>(13)</w:t>
      </w:r>
      <w:r>
        <w:tab/>
      </w:r>
      <w:r w:rsidR="00832D19">
        <w:t>RRS provided from a Generation Resource shall be responsive to frequency deviations as defined in Section 8.5.1.1, Governor in Service.  Generation Resources providing RRS must have a Governor droop setting that is not greater than 5.0%</w:t>
      </w:r>
      <w:r>
        <w:t>.</w:t>
      </w:r>
    </w:p>
    <w:p w14:paraId="56D8624E" w14:textId="77777777" w:rsidR="00832D19" w:rsidRDefault="00832D19" w:rsidP="00832D19">
      <w:pPr>
        <w:pStyle w:val="BodyTextNumbered"/>
      </w:pPr>
      <w:r>
        <w:lastRenderedPageBreak/>
        <w:t>(14)</w:t>
      </w:r>
      <w:r>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46402839" w14:textId="77777777" w:rsidR="00832D19" w:rsidRDefault="00832D19" w:rsidP="00832D19">
      <w:pPr>
        <w:pStyle w:val="BodyTextNumbered"/>
      </w:pPr>
      <w:r>
        <w:t>(15)</w:t>
      </w:r>
      <w:r>
        <w:tab/>
        <w:t>RRS provided by interruptible Load shall have automatic under-frequency relay setting set at no lower than 59.70 Hz</w:t>
      </w:r>
    </w:p>
    <w:p w14:paraId="2653DD0A" w14:textId="77777777" w:rsidR="00832D19" w:rsidRDefault="00832D19" w:rsidP="00832D19">
      <w:pPr>
        <w:pStyle w:val="BodyTextNumbered"/>
      </w:pPr>
      <w:r>
        <w:t xml:space="preserve">(16) </w:t>
      </w:r>
      <w:r>
        <w:tab/>
        <w:t>ERCOT shall deploy RRS to meet NERC Control Performance Standards and other performance criteria as specified in these Protocols and the Operating Guides by one or more of the following:</w:t>
      </w:r>
    </w:p>
    <w:p w14:paraId="7A53834C" w14:textId="77777777" w:rsidR="00832D19" w:rsidRPr="0038280D" w:rsidRDefault="00832D19" w:rsidP="00832D19">
      <w:pPr>
        <w:spacing w:after="240"/>
        <w:ind w:left="1440" w:hanging="720"/>
        <w:rPr>
          <w:iCs/>
        </w:rPr>
      </w:pPr>
      <w:r w:rsidRPr="0038280D">
        <w:rPr>
          <w:iCs/>
        </w:rPr>
        <w:t>(a)</w:t>
      </w:r>
      <w:r w:rsidRPr="0038280D">
        <w:rPr>
          <w:iCs/>
        </w:rPr>
        <w:tab/>
        <w:t xml:space="preserve">RRS energy deployment during an EEA; </w:t>
      </w:r>
    </w:p>
    <w:p w14:paraId="70E1036D" w14:textId="37AD03E9" w:rsidR="00832D19" w:rsidRPr="0038280D" w:rsidRDefault="00832D19" w:rsidP="00832D19">
      <w:pPr>
        <w:spacing w:after="240"/>
        <w:ind w:left="1440" w:hanging="720"/>
        <w:rPr>
          <w:iCs/>
        </w:rPr>
      </w:pPr>
      <w:r w:rsidRPr="0038280D">
        <w:rPr>
          <w:iCs/>
        </w:rPr>
        <w:t>(b)</w:t>
      </w:r>
      <w:r w:rsidRPr="0038280D">
        <w:rPr>
          <w:iCs/>
        </w:rPr>
        <w:tab/>
        <w:t xml:space="preserve">By Dispatch Instructions for deployment of RRS energy from a Load Resource, excluding </w:t>
      </w:r>
      <w:r w:rsidR="00C67FF2">
        <w:rPr>
          <w:iCs/>
        </w:rPr>
        <w:t>CLR</w:t>
      </w:r>
      <w:r w:rsidRPr="0038280D">
        <w:rPr>
          <w:iCs/>
        </w:rPr>
        <w:t>s, by an electronic Messaging System; and</w:t>
      </w:r>
    </w:p>
    <w:p w14:paraId="57E3BD0C" w14:textId="034D6084" w:rsidR="00832D19" w:rsidRDefault="00832D19" w:rsidP="00832D19">
      <w:pPr>
        <w:spacing w:after="240"/>
        <w:ind w:left="1440" w:hanging="720"/>
      </w:pPr>
      <w:r w:rsidRPr="0038280D">
        <w:rPr>
          <w:iCs/>
        </w:rPr>
        <w:t>(c)</w:t>
      </w:r>
      <w:r w:rsidRPr="0038280D">
        <w:rPr>
          <w:iCs/>
        </w:rPr>
        <w:tab/>
        <w:t>RRS energy deployment from Load Resources and Generation Resources operating in synchronous condenser fast-response mode by automatic action of high-set under-frequency relays as a result of a significant frequency deviation.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101A0" w14:paraId="56EB4A5C" w14:textId="77777777" w:rsidTr="00EC5231">
        <w:trPr>
          <w:trHeight w:val="206"/>
        </w:trPr>
        <w:tc>
          <w:tcPr>
            <w:tcW w:w="9350" w:type="dxa"/>
            <w:shd w:val="pct12" w:color="auto" w:fill="auto"/>
          </w:tcPr>
          <w:p w14:paraId="4B63682A" w14:textId="24B02AE2" w:rsidR="000101A0" w:rsidRDefault="000101A0" w:rsidP="00EC5231">
            <w:pPr>
              <w:pStyle w:val="Instructions"/>
              <w:spacing w:before="120"/>
            </w:pPr>
            <w:bookmarkStart w:id="1284" w:name="_Toc85611621"/>
            <w:bookmarkEnd w:id="1283"/>
            <w:r>
              <w:t>[NPRR1010</w:t>
            </w:r>
            <w:r w:rsidR="006963EB">
              <w:t xml:space="preserve"> and NPRR1246</w:t>
            </w:r>
            <w:r>
              <w:t>:  Replace Section 6.5.7.6.2.2 above with the following upon system implementation of the Real-Time Co-Optimization (RTC) project:]</w:t>
            </w:r>
          </w:p>
          <w:p w14:paraId="3E673E19" w14:textId="77777777" w:rsidR="000101A0" w:rsidRPr="003161DC" w:rsidRDefault="000101A0" w:rsidP="000101A0">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t>Deployment of Responsive Reserve (RRS)</w:t>
            </w:r>
          </w:p>
          <w:p w14:paraId="19C61435" w14:textId="77777777" w:rsidR="000101A0" w:rsidRPr="003161DC" w:rsidRDefault="000101A0" w:rsidP="000101A0">
            <w:pPr>
              <w:spacing w:after="240"/>
              <w:ind w:left="720" w:hanging="720"/>
            </w:pPr>
            <w:r w:rsidRPr="003161DC">
              <w:t>(1)</w:t>
            </w:r>
            <w:r w:rsidRPr="003161DC">
              <w:tab/>
              <w:t>RRS is intended to:</w:t>
            </w:r>
          </w:p>
          <w:p w14:paraId="5F0207E6" w14:textId="79DA1764" w:rsidR="000101A0" w:rsidRPr="003161DC" w:rsidRDefault="000101A0" w:rsidP="000101A0">
            <w:pPr>
              <w:spacing w:after="240"/>
              <w:ind w:left="1440" w:hanging="720"/>
            </w:pPr>
            <w:r w:rsidRPr="003161DC">
              <w:t>(a)</w:t>
            </w:r>
            <w:r w:rsidRPr="003161DC">
              <w:tab/>
              <w:t>Help restore the frequency within the first few seconds of a significant frequency deviation of the interconnected transmission system;</w:t>
            </w:r>
            <w:r>
              <w:t xml:space="preserve"> and</w:t>
            </w:r>
          </w:p>
          <w:p w14:paraId="54176937" w14:textId="270805FA" w:rsidR="000101A0" w:rsidRPr="003161DC" w:rsidRDefault="000101A0" w:rsidP="000101A0">
            <w:pPr>
              <w:spacing w:after="240"/>
              <w:ind w:left="1440" w:hanging="720"/>
            </w:pPr>
            <w:r w:rsidRPr="003161DC">
              <w:t>(b)</w:t>
            </w:r>
            <w:r w:rsidRPr="003161DC">
              <w:tab/>
              <w:t>Provide energy during the implementation of an EEA</w:t>
            </w:r>
            <w:r>
              <w:t>.</w:t>
            </w:r>
          </w:p>
          <w:p w14:paraId="7796E118" w14:textId="77777777" w:rsidR="000101A0" w:rsidRPr="003161DC" w:rsidRDefault="000101A0" w:rsidP="000101A0">
            <w:pPr>
              <w:spacing w:before="240" w:after="240"/>
              <w:ind w:left="720" w:hanging="720"/>
            </w:pPr>
            <w:r w:rsidRPr="003161DC">
              <w:t>(2)</w:t>
            </w:r>
            <w:r w:rsidRPr="003161DC">
              <w:tab/>
              <w:t>ERCOT shall deploy RRS to meet NERC Control Performance Standards and other performance criteria as specified in these Protocols and the Operating Guides, by one or more of the following:</w:t>
            </w:r>
          </w:p>
          <w:p w14:paraId="724642F6" w14:textId="77777777" w:rsidR="000101A0" w:rsidRPr="003161DC" w:rsidRDefault="000101A0" w:rsidP="000101A0">
            <w:pPr>
              <w:spacing w:after="240"/>
              <w:ind w:left="1440" w:hanging="720"/>
            </w:pPr>
            <w:r w:rsidRPr="003161DC">
              <w:t>(a)</w:t>
            </w:r>
            <w:r w:rsidRPr="003161DC">
              <w:tab/>
            </w:r>
            <w:r>
              <w:t>RRS energy deployment by automatic Governor response as a result of frequency deviation</w:t>
            </w:r>
            <w:r w:rsidRPr="003161DC">
              <w:t>;</w:t>
            </w:r>
          </w:p>
          <w:p w14:paraId="380058A6" w14:textId="4CA6FED4" w:rsidR="000101A0" w:rsidRPr="003161DC" w:rsidRDefault="000101A0" w:rsidP="000101A0">
            <w:pPr>
              <w:spacing w:before="240" w:after="240"/>
              <w:ind w:left="1440" w:hanging="720"/>
            </w:pPr>
            <w:r w:rsidRPr="003161DC">
              <w:t>(</w:t>
            </w:r>
            <w:r>
              <w:t>b</w:t>
            </w:r>
            <w:r w:rsidRPr="003161DC">
              <w:t>)</w:t>
            </w:r>
            <w:r w:rsidRPr="003161DC">
              <w:tab/>
              <w:t xml:space="preserve">By Dispatch Instruction for deployment of RRS energy from a Load Resource, excluding </w:t>
            </w:r>
            <w:r w:rsidR="00C67FF2">
              <w:t>CLR</w:t>
            </w:r>
            <w:r w:rsidRPr="003161DC">
              <w:t>s, by an electronic Messaging System;</w:t>
            </w:r>
          </w:p>
          <w:p w14:paraId="0055B991" w14:textId="77777777" w:rsidR="000101A0" w:rsidRDefault="000101A0" w:rsidP="000101A0">
            <w:pPr>
              <w:spacing w:after="240"/>
              <w:ind w:left="1440" w:hanging="720"/>
            </w:pPr>
            <w:r w:rsidRPr="003161DC">
              <w:t>(</w:t>
            </w:r>
            <w:r>
              <w:t>c</w:t>
            </w:r>
            <w:r w:rsidRPr="003161DC">
              <w:t>)</w:t>
            </w:r>
            <w:r w:rsidRPr="003161DC">
              <w:tab/>
              <w:t>RRS energy deployment by automatic action of high-set under-frequency relays as a result of a significant frequency deviation</w:t>
            </w:r>
            <w:r>
              <w:t>; and</w:t>
            </w:r>
          </w:p>
          <w:p w14:paraId="73BC9A4F" w14:textId="77777777" w:rsidR="000101A0" w:rsidRPr="003161DC" w:rsidRDefault="000101A0" w:rsidP="000101A0">
            <w:pPr>
              <w:spacing w:after="240"/>
              <w:ind w:left="1440" w:hanging="720"/>
            </w:pPr>
            <w:r>
              <w:lastRenderedPageBreak/>
              <w:t>(d)</w:t>
            </w:r>
            <w:r>
              <w:tab/>
            </w:r>
            <w:r w:rsidRPr="003161DC">
              <w:t xml:space="preserve">By Dispatch Instruction for </w:t>
            </w:r>
            <w:r>
              <w:t>deployment of RRS from Resources with a Resource Status of ONSC or Resources providing FFR.</w:t>
            </w:r>
          </w:p>
          <w:p w14:paraId="2578B01B" w14:textId="3C193504" w:rsidR="000101A0" w:rsidRPr="003161DC" w:rsidRDefault="000101A0" w:rsidP="000101A0">
            <w:pPr>
              <w:spacing w:after="240"/>
              <w:ind w:left="720" w:hanging="720"/>
            </w:pPr>
            <w:r w:rsidRPr="003161DC">
              <w:t>(3)</w:t>
            </w:r>
            <w:r w:rsidRPr="003161DC">
              <w:tab/>
              <w:t xml:space="preserve">ERCOT shall deploy RRS to respond to a frequency deviation when the power requirement to restore frequency to normal ACE in ten minutes exceeds the Reg-Up ramping capability.  Deployment of RRS on Load Resources, excluding </w:t>
            </w:r>
            <w:r w:rsidR="00C67FF2">
              <w:t>CLR</w:t>
            </w:r>
            <w:r w:rsidRPr="003161DC">
              <w:t>s, must be as described in Section 6.5.9.4, Energy Emergency Alert.</w:t>
            </w:r>
          </w:p>
          <w:p w14:paraId="2208B0C9" w14:textId="77777777" w:rsidR="000101A0" w:rsidRPr="003161DC" w:rsidRDefault="000101A0" w:rsidP="000101A0">
            <w:pPr>
              <w:spacing w:after="240"/>
              <w:ind w:left="720" w:hanging="720"/>
            </w:pPr>
            <w:r w:rsidRPr="003161DC">
              <w:t>(</w:t>
            </w:r>
            <w:r>
              <w:t>4</w:t>
            </w:r>
            <w:r w:rsidRPr="003161DC">
              <w:t>)</w:t>
            </w:r>
            <w:r w:rsidRPr="003161DC">
              <w:tab/>
              <w:t>Energy from RRS Resources may also be deployed by ERCOT under Section 6.5.9, Emergency Operations.</w:t>
            </w:r>
          </w:p>
          <w:p w14:paraId="4272D29B" w14:textId="460BDAC2" w:rsidR="000101A0" w:rsidRDefault="000101A0" w:rsidP="000101A0">
            <w:pPr>
              <w:spacing w:after="240"/>
              <w:ind w:left="720" w:hanging="720"/>
            </w:pPr>
            <w:r>
              <w:t>(5)</w:t>
            </w:r>
            <w:r>
              <w:tab/>
              <w:t xml:space="preserve">For Resources providing RRS with a Resource Status of ONSC, ERCOT shall deploy RRS as described in Section 6.5.9.4.2, EEA Levels, and Nodal Operating Guide Section 2.3.1.2, Additional Operational Details for Responsive Reserve Providers.  </w:t>
            </w:r>
          </w:p>
          <w:p w14:paraId="4A065801" w14:textId="77777777" w:rsidR="000101A0" w:rsidRDefault="000101A0" w:rsidP="000101A0">
            <w:pPr>
              <w:spacing w:after="240"/>
              <w:ind w:left="720" w:hanging="720"/>
            </w:pPr>
            <w:r>
              <w:t>(6)</w:t>
            </w:r>
            <w:r>
              <w:tab/>
              <w:t>For Resources providing RRS with FFR, ERCOT may manually deploy the FFR RRS in an attempt to recover frequency to meet NERC Performance Control Standards after utilizing Reg-Up and the SCED process which includes off-cycle SCED executions.</w:t>
            </w:r>
          </w:p>
          <w:p w14:paraId="706AF414" w14:textId="7049BC48" w:rsidR="000101A0" w:rsidRPr="003161DC" w:rsidRDefault="000101A0" w:rsidP="000101A0">
            <w:pPr>
              <w:spacing w:after="240"/>
              <w:ind w:left="720" w:hanging="720"/>
            </w:pPr>
            <w:r w:rsidRPr="003161DC">
              <w:t>(</w:t>
            </w:r>
            <w:r>
              <w:t>7</w:t>
            </w:r>
            <w:r w:rsidRPr="003161DC">
              <w:t>)</w:t>
            </w:r>
            <w:r w:rsidRPr="003161DC">
              <w:tab/>
              <w:t>ERCOT shall use the SCED, ECRS, and Non-Spin as soon as practicable to minimize the prolonged use of RRS energy.</w:t>
            </w:r>
          </w:p>
          <w:p w14:paraId="73BE01BE" w14:textId="77777777" w:rsidR="000101A0" w:rsidRPr="003161DC" w:rsidRDefault="000101A0" w:rsidP="000101A0">
            <w:pPr>
              <w:spacing w:after="240"/>
              <w:ind w:left="720" w:hanging="720"/>
            </w:pPr>
            <w:r>
              <w:t>(8)</w:t>
            </w:r>
            <w:r>
              <w:tab/>
              <w:t xml:space="preserve">Once RRS is manually deployed on Load Resources controlled by under-frequency relays or Resources telemetering a Resource Status of ONSC, the Resource’s obligation to deliver RRS remains in effect until recalled by ERCOT.  </w:t>
            </w:r>
          </w:p>
          <w:p w14:paraId="5B55DD7E" w14:textId="77777777" w:rsidR="000101A0" w:rsidRPr="003161DC" w:rsidRDefault="000101A0" w:rsidP="000101A0">
            <w:pPr>
              <w:spacing w:after="240"/>
              <w:ind w:left="720" w:hanging="720"/>
            </w:pPr>
            <w:r w:rsidRPr="003161DC">
              <w:t>(</w:t>
            </w:r>
            <w:r>
              <w:t>9</w:t>
            </w:r>
            <w:r w:rsidRPr="003161DC">
              <w:t>)</w:t>
            </w:r>
            <w:r w:rsidRPr="003161DC">
              <w:tab/>
            </w:r>
            <w:r>
              <w:t>Resources</w:t>
            </w:r>
            <w:r w:rsidRPr="003161DC">
              <w:t xml:space="preserve"> providing RRS and ERCOT shall meet the deployment performance requirements specified in Section 8, Performance Monitoring.</w:t>
            </w:r>
          </w:p>
          <w:p w14:paraId="081F1434" w14:textId="7C32C0F1" w:rsidR="000101A0" w:rsidRPr="003161DC" w:rsidRDefault="000101A0" w:rsidP="000101A0">
            <w:pPr>
              <w:spacing w:after="240"/>
              <w:ind w:left="720" w:hanging="720"/>
            </w:pPr>
            <w:r w:rsidRPr="003161DC">
              <w:t>(</w:t>
            </w:r>
            <w:r>
              <w:t>10</w:t>
            </w:r>
            <w:r w:rsidRPr="003161DC">
              <w:t>)</w:t>
            </w:r>
            <w:r w:rsidRPr="003161DC">
              <w:tab/>
              <w:t xml:space="preserve">ERCOT shall issue RRS deployment Dispatch Instructions over ICCP for Generation Resources </w:t>
            </w:r>
            <w:r>
              <w:t xml:space="preserve">awarded RRS with a Resource Status of ONSC, and SCED-dispatchable Resources providing FFR. </w:t>
            </w:r>
            <w:r w:rsidR="00201765">
              <w:t xml:space="preserve"> </w:t>
            </w:r>
            <w:r w:rsidRPr="003161DC">
              <w:t>Dispatch Instructions must contain the MW output requested.</w:t>
            </w:r>
            <w:r w:rsidRPr="00ED4129">
              <w:t xml:space="preserve">  </w:t>
            </w:r>
            <w:r>
              <w:t>UDSPs</w:t>
            </w:r>
            <w:r w:rsidRPr="003161DC">
              <w:t xml:space="preserve"> for those Resources includes RRS energy </w:t>
            </w:r>
            <w:r>
              <w:t xml:space="preserve">deployments </w:t>
            </w:r>
            <w:r w:rsidRPr="003161DC">
              <w:t>as well as any other energy dispatched by SCED</w:t>
            </w:r>
            <w:r>
              <w:t>.</w:t>
            </w:r>
          </w:p>
          <w:p w14:paraId="39513AA0" w14:textId="7B9C4B17" w:rsidR="000101A0" w:rsidRDefault="000101A0" w:rsidP="000101A0">
            <w:pPr>
              <w:spacing w:after="240"/>
              <w:ind w:left="720" w:hanging="720"/>
            </w:pPr>
            <w:r>
              <w:t>(11)</w:t>
            </w:r>
            <w:r>
              <w:tab/>
            </w:r>
            <w:r w:rsidRPr="003161DC">
              <w:t>ERCOT shall issue RRS deployment Dispatch Instructions</w:t>
            </w:r>
            <w:r>
              <w:t>, specifying the required MW output, through</w:t>
            </w:r>
            <w:r w:rsidRPr="003161DC">
              <w:t xml:space="preserve"> Extensible Markup Language (XML) for </w:t>
            </w:r>
            <w:r>
              <w:t>non-</w:t>
            </w:r>
            <w:r w:rsidR="00C67FF2">
              <w:t>CLR</w:t>
            </w:r>
            <w:r w:rsidRPr="003161DC">
              <w:t>s</w:t>
            </w:r>
            <w:r>
              <w:t>.</w:t>
            </w:r>
          </w:p>
          <w:p w14:paraId="7C42E2E3" w14:textId="2205D685" w:rsidR="000101A0" w:rsidRPr="003161DC" w:rsidRDefault="000101A0" w:rsidP="000101A0">
            <w:pPr>
              <w:spacing w:before="240" w:after="240"/>
              <w:ind w:left="720" w:hanging="720"/>
            </w:pPr>
            <w:r w:rsidRPr="003161DC">
              <w:t>(</w:t>
            </w:r>
            <w:r>
              <w:t>12</w:t>
            </w:r>
            <w:r w:rsidRPr="003161DC">
              <w:t xml:space="preserve">) </w:t>
            </w:r>
            <w:r w:rsidRPr="003161DC">
              <w:tab/>
              <w:t xml:space="preserve">To the extent that ERCOT deploys a Load Resource that is not a </w:t>
            </w:r>
            <w:r w:rsidR="00C67FF2">
              <w:t>CLR</w:t>
            </w:r>
            <w:r w:rsidRPr="003161DC">
              <w:t xml:space="preserve"> and that has chosen a block deployment option, ERCOT shall either deploy the entire </w:t>
            </w:r>
            <w:r>
              <w:t xml:space="preserve">award </w:t>
            </w:r>
            <w:r w:rsidRPr="003161DC">
              <w:t xml:space="preserve">or, if only partial deployment is </w:t>
            </w:r>
            <w:r>
              <w:t>needed</w:t>
            </w:r>
            <w:r w:rsidRPr="003161DC">
              <w:t>, skip the Load Resource with the block deployment option and proceed to deploy the next available Resource.</w:t>
            </w:r>
          </w:p>
          <w:p w14:paraId="2D072BB5" w14:textId="4637EB42" w:rsidR="000101A0" w:rsidRPr="003161DC" w:rsidRDefault="000101A0" w:rsidP="000101A0">
            <w:pPr>
              <w:spacing w:after="240"/>
              <w:ind w:left="720" w:hanging="720"/>
            </w:pPr>
            <w:r w:rsidRPr="003161DC">
              <w:t>(</w:t>
            </w:r>
            <w:r>
              <w:t>13</w:t>
            </w:r>
            <w:r w:rsidRPr="003161DC">
              <w:t>)</w:t>
            </w:r>
            <w:r w:rsidRPr="003161DC">
              <w:tab/>
              <w:t>RRS provided from a Generation Resource</w:t>
            </w:r>
            <w:r w:rsidR="006963EB">
              <w:t xml:space="preserve"> or ESR</w:t>
            </w:r>
            <w:r w:rsidRPr="003161DC">
              <w:t xml:space="preserve"> shall be responsive to frequency deviations as defined in Section 8.5.1.1, Governor in Service.  Generation Resources </w:t>
            </w:r>
            <w:r w:rsidR="006963EB">
              <w:lastRenderedPageBreak/>
              <w:t xml:space="preserve">and ESRs </w:t>
            </w:r>
            <w:r w:rsidRPr="003161DC">
              <w:t>providing RRS must have a Governor droop setting that is not greater than 5.0%.</w:t>
            </w:r>
          </w:p>
          <w:p w14:paraId="0724815E" w14:textId="68529D9A" w:rsidR="000101A0" w:rsidRPr="003161DC" w:rsidRDefault="000101A0" w:rsidP="000101A0">
            <w:pPr>
              <w:spacing w:after="240"/>
              <w:ind w:left="720" w:hanging="720"/>
            </w:pPr>
            <w:r w:rsidRPr="003161DC">
              <w:t>(</w:t>
            </w:r>
            <w:r>
              <w:t>14</w:t>
            </w:r>
            <w:r w:rsidRPr="003161DC">
              <w:t>)</w:t>
            </w:r>
            <w:r w:rsidRPr="003161DC">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1E83B8FC" w14:textId="7E72AEB0" w:rsidR="000101A0" w:rsidRPr="003161DC" w:rsidRDefault="000101A0" w:rsidP="000101A0">
            <w:pPr>
              <w:spacing w:after="240"/>
              <w:ind w:left="720" w:hanging="720"/>
            </w:pPr>
            <w:r w:rsidRPr="003161DC">
              <w:t>(</w:t>
            </w:r>
            <w:r>
              <w:t>15</w:t>
            </w:r>
            <w:r w:rsidRPr="003161DC">
              <w:t>)</w:t>
            </w:r>
            <w:r w:rsidRPr="003161DC">
              <w:tab/>
              <w:t>RRS provided by interruptible Load shall have automatic under-frequency relay setting set at no lower than 59.70 Hz</w:t>
            </w:r>
            <w:r w:rsidR="00201765">
              <w:t>.</w:t>
            </w:r>
          </w:p>
          <w:p w14:paraId="3E5C5A1D" w14:textId="77777777" w:rsidR="000101A0" w:rsidRPr="003161DC" w:rsidRDefault="000101A0" w:rsidP="000101A0">
            <w:pPr>
              <w:spacing w:after="240"/>
              <w:ind w:left="720" w:hanging="720"/>
            </w:pPr>
            <w:r w:rsidRPr="003161DC">
              <w:t>(</w:t>
            </w:r>
            <w:r>
              <w:t>16</w:t>
            </w:r>
            <w:r w:rsidRPr="003161DC">
              <w:t xml:space="preserve">) </w:t>
            </w:r>
            <w:r w:rsidRPr="003161DC">
              <w:tab/>
              <w:t>ERCOT shall deploy RRS to meet NERC Control Performance Standards and other performance criteria as specified in these Protocols and the Operating Guides by one or more of the following:</w:t>
            </w:r>
          </w:p>
          <w:p w14:paraId="77F9D7B5" w14:textId="77777777" w:rsidR="000101A0" w:rsidRPr="003161DC" w:rsidRDefault="000101A0" w:rsidP="000101A0">
            <w:pPr>
              <w:spacing w:after="240"/>
              <w:ind w:left="1440" w:hanging="720"/>
              <w:rPr>
                <w:iCs/>
              </w:rPr>
            </w:pPr>
            <w:r w:rsidRPr="003161DC">
              <w:rPr>
                <w:iCs/>
              </w:rPr>
              <w:t>(a)</w:t>
            </w:r>
            <w:r w:rsidRPr="003161DC">
              <w:rPr>
                <w:iCs/>
              </w:rPr>
              <w:tab/>
              <w:t xml:space="preserve">RRS energy deployment during an EEA; </w:t>
            </w:r>
          </w:p>
          <w:p w14:paraId="46D53E67" w14:textId="2D7F99E2" w:rsidR="000101A0" w:rsidRPr="003161DC" w:rsidRDefault="000101A0" w:rsidP="000101A0">
            <w:pPr>
              <w:spacing w:after="240"/>
              <w:ind w:left="1440" w:hanging="720"/>
              <w:rPr>
                <w:iCs/>
              </w:rPr>
            </w:pPr>
            <w:r w:rsidRPr="003161DC">
              <w:rPr>
                <w:iCs/>
              </w:rPr>
              <w:t>(b)</w:t>
            </w:r>
            <w:r w:rsidRPr="003161DC">
              <w:rPr>
                <w:iCs/>
              </w:rPr>
              <w:tab/>
              <w:t xml:space="preserve">By Dispatch Instructions for deployment of RRS energy from a Load Resource, excluding </w:t>
            </w:r>
            <w:r w:rsidR="00C67FF2">
              <w:rPr>
                <w:iCs/>
              </w:rPr>
              <w:t>CLR</w:t>
            </w:r>
            <w:r w:rsidRPr="003161DC">
              <w:rPr>
                <w:iCs/>
              </w:rPr>
              <w:t>s, by an electronic Messaging System; and</w:t>
            </w:r>
          </w:p>
          <w:p w14:paraId="7F50B98D" w14:textId="763B9F13" w:rsidR="000101A0" w:rsidRPr="00AE702A" w:rsidRDefault="000101A0" w:rsidP="000101A0">
            <w:pPr>
              <w:spacing w:after="240"/>
              <w:ind w:left="1440" w:hanging="720"/>
            </w:pPr>
            <w:r w:rsidRPr="003161DC">
              <w:rPr>
                <w:iCs/>
              </w:rPr>
              <w:t>(c)</w:t>
            </w:r>
            <w:r w:rsidRPr="003161DC">
              <w:rPr>
                <w:iCs/>
              </w:rPr>
              <w:tab/>
              <w:t>RRS energy deployment from Load Resources and Generation Resources operating in synchronous condenser fast-response mode by automatic action of high-set under-frequency relays as a result of a significant frequency deviation.</w:t>
            </w:r>
          </w:p>
        </w:tc>
      </w:tr>
    </w:tbl>
    <w:p w14:paraId="0EE60624" w14:textId="77777777" w:rsidR="001F04FD" w:rsidRDefault="001F04FD" w:rsidP="00FB599C">
      <w:pPr>
        <w:pStyle w:val="H6"/>
        <w:spacing w:before="480"/>
      </w:pPr>
      <w:bookmarkStart w:id="1285" w:name="_Hlk174605232"/>
      <w:r>
        <w:lastRenderedPageBreak/>
        <w:t>6.5.7.6.2.3</w:t>
      </w:r>
      <w:r>
        <w:tab/>
        <w:t>Non-Spinning Reserve Service Deployment</w:t>
      </w:r>
      <w:bookmarkEnd w:id="1284"/>
      <w:r>
        <w:t xml:space="preserve"> </w:t>
      </w:r>
    </w:p>
    <w:p w14:paraId="298653E5" w14:textId="71580960" w:rsidR="001F04FD" w:rsidRDefault="001F04FD" w:rsidP="001F04FD">
      <w:pPr>
        <w:pStyle w:val="BodyTextNumbered"/>
      </w:pPr>
      <w:r>
        <w:t>(1)</w:t>
      </w:r>
      <w:r>
        <w:tab/>
        <w:t>ERCOT shall deploy Non-Spin Service by operator Dispatch Instruction for the portion of On-Line Generation Resources that is only available through power augmentation and participating as Off-Line Non-Spin, Off-Line Generation Resources</w:t>
      </w:r>
      <w:r w:rsidR="00A46896">
        <w:t>,</w:t>
      </w:r>
      <w:r>
        <w:t xml:space="preserve"> and Load Resources</w:t>
      </w:r>
      <w:r w:rsidR="00A46896">
        <w:t xml:space="preserve"> that are not </w:t>
      </w:r>
      <w:r w:rsidR="00C67FF2">
        <w:t>CLR</w:t>
      </w:r>
      <w:r w:rsidR="00A46896">
        <w:t>s</w:t>
      </w:r>
      <w:r>
        <w:t>.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w:t>
      </w:r>
      <w:r w:rsidR="008611B7">
        <w:t>, ECRS,</w:t>
      </w:r>
      <w:r>
        <w:t xml:space="preserve"> or when other Emergency Conditions exist.  The deployment of Non-Spin must always be 100% of that scheduled on an individual Resource.</w:t>
      </w:r>
    </w:p>
    <w:p w14:paraId="11ECCA50" w14:textId="77777777" w:rsidR="001F04FD" w:rsidRDefault="001F04FD" w:rsidP="00FB599C">
      <w:pPr>
        <w:pStyle w:val="BodyTextNumbered"/>
      </w:pPr>
      <w:r>
        <w:t>(2)</w:t>
      </w:r>
      <w:r>
        <w:tab/>
        <w:t>Once Non-Spin capacity from Off-Line Generation Resources providing Non-Spin is deployed and the Generation Resources are On-Line, ERCOT shall use SCED to determine the amount of energy to be dispatched from those Resources.</w:t>
      </w:r>
    </w:p>
    <w:p w14:paraId="441A13D0" w14:textId="77777777" w:rsidR="001F04FD" w:rsidRDefault="001F04FD" w:rsidP="001F04FD">
      <w:pPr>
        <w:pStyle w:val="BodyTextNumbered"/>
      </w:pPr>
      <w:r>
        <w:t>(3)</w:t>
      </w:r>
      <w:r>
        <w:tab/>
        <w:t xml:space="preserve">Off-Line Generation Resources providing Non-Spin (OFFNS Resource Status) are required to provide an Energy Offer Curve for use by SCED. </w:t>
      </w:r>
    </w:p>
    <w:p w14:paraId="0B71C8E1" w14:textId="36043F35" w:rsidR="0098796C" w:rsidRPr="00210F92" w:rsidRDefault="0098796C" w:rsidP="00F468C2">
      <w:pPr>
        <w:pStyle w:val="BodyTextNumbered"/>
      </w:pPr>
      <w:r w:rsidRPr="006A6281">
        <w:t>(4)</w:t>
      </w:r>
      <w:r w:rsidRPr="006A6281">
        <w:tab/>
      </w:r>
      <w:r w:rsidRPr="0031442A">
        <w:t xml:space="preserve">Non-Spin can be provided by </w:t>
      </w:r>
      <w:r w:rsidR="00C67FF2">
        <w:t>CLR</w:t>
      </w:r>
      <w:r w:rsidRPr="0031442A">
        <w:t xml:space="preserve">s that are SCED qualified or by Load Resources that are not </w:t>
      </w:r>
      <w:r w:rsidR="00C67FF2">
        <w:t>CLR</w:t>
      </w:r>
      <w:r>
        <w:t xml:space="preserve">s </w:t>
      </w:r>
      <w:r w:rsidRPr="0031442A">
        <w:t xml:space="preserve">but do not have an under-frequency relay or the under-frequency relay is </w:t>
      </w:r>
      <w:r w:rsidRPr="0031442A">
        <w:lastRenderedPageBreak/>
        <w:t>not armed.</w:t>
      </w:r>
      <w:r w:rsidR="00F705CD">
        <w:t xml:space="preserve">  </w:t>
      </w:r>
      <w:r>
        <w:t>A Load Resource</w:t>
      </w:r>
      <w:r w:rsidRPr="00113081">
        <w:t xml:space="preserve"> </w:t>
      </w:r>
      <w:r>
        <w:t xml:space="preserve">that is not a </w:t>
      </w:r>
      <w:r w:rsidR="00C67FF2">
        <w:t>CLR</w:t>
      </w:r>
      <w:r>
        <w:t xml:space="preserve"> shall be capable of being Dispatched to its Non-Spin </w:t>
      </w:r>
      <w:r w:rsidRPr="006A6281">
        <w:t>Ancillary Service Resource Responsibility within 30 minutes of a deployment instruction for capacity</w:t>
      </w:r>
      <w:r>
        <w:t xml:space="preserve">.  </w:t>
      </w:r>
      <w:r w:rsidRPr="000149E5">
        <w:t xml:space="preserve">Following a deployment instruction, the QSE </w:t>
      </w:r>
      <w:r w:rsidRPr="00210F92">
        <w:t>shall reduce the Non-Spin Ancillary Service Schedule by the amount of the deployment.</w:t>
      </w:r>
    </w:p>
    <w:p w14:paraId="27342520" w14:textId="17BEFBA2" w:rsidR="0098796C" w:rsidRDefault="0098796C" w:rsidP="0098796C">
      <w:pPr>
        <w:pStyle w:val="BodyTextNumbered"/>
      </w:pPr>
      <w:r>
        <w:t>(5)</w:t>
      </w:r>
      <w:r w:rsidRPr="00113081">
        <w:tab/>
        <w:t xml:space="preserve">ERCOT shall post </w:t>
      </w:r>
      <w:r w:rsidRPr="00C3318D">
        <w:t xml:space="preserve">a list of </w:t>
      </w:r>
      <w:r>
        <w:t xml:space="preserve">Off-Line Generation Resources and </w:t>
      </w:r>
      <w:r w:rsidRPr="00624167">
        <w:t>Load Resources</w:t>
      </w:r>
      <w:r>
        <w:t xml:space="preserve"> that are not </w:t>
      </w:r>
      <w:r w:rsidR="00C67FF2">
        <w:t>CLR</w:t>
      </w:r>
      <w:r>
        <w:t>s</w:t>
      </w:r>
      <w:r w:rsidRPr="00113081">
        <w:t xml:space="preserve"> on the MIS Certified Area immediately following the </w:t>
      </w:r>
      <w:r w:rsidR="00283DFC">
        <w:t>Day-Ahead Reliability Unit Commitment (</w:t>
      </w:r>
      <w:r w:rsidRPr="00113081">
        <w:t>DRUC</w:t>
      </w:r>
      <w:r w:rsidR="00283DFC">
        <w:t>)</w:t>
      </w:r>
      <w:r w:rsidRPr="00113081">
        <w:t xml:space="preserve"> for each QSE with a Load Resource N</w:t>
      </w:r>
      <w:r>
        <w:t>on-Spin</w:t>
      </w:r>
      <w:r w:rsidRPr="00210F92">
        <w:t xml:space="preserve"> award.  The list will be broken into groups of approximately 500 MW increments.  ERCOT shall develop a process for determining which individual Resource to place in each group based on a random sampling of individual Load Resources</w:t>
      </w:r>
      <w:r>
        <w:t xml:space="preserve"> that are not </w:t>
      </w:r>
      <w:r w:rsidR="00C67FF2">
        <w:t>CLR</w:t>
      </w:r>
      <w:r>
        <w:t>s awarded Non-Spin and Generation Resources carrying Off-Line Non-Spin</w:t>
      </w:r>
      <w:r w:rsidRPr="00210F92">
        <w:t>.  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16810EBD" w14:textId="77777777" w:rsidR="0098796C" w:rsidRDefault="0098796C" w:rsidP="0098796C">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5DCCB2C" w14:textId="4D48AD93" w:rsidR="00A22AE4" w:rsidRPr="00A22AE4" w:rsidRDefault="0098796C" w:rsidP="00C02A98">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w:t>
      </w:r>
      <w:r w:rsidR="00C67FF2">
        <w:t>CLR</w:t>
      </w:r>
      <w:r>
        <w:t xml:space="preserve"> providing Non-Spin in Real-Time that did not previously receive group assignment will be automatically considered in Group 1.  ERCOT may assign a Generation Resource providing Off-Line Non-Spin or a Load Resource that is not a </w:t>
      </w:r>
      <w:r w:rsidR="00C67FF2">
        <w:t>CLR</w:t>
      </w:r>
      <w:r>
        <w:t xml:space="preserve"> to another group if that Resource did not previously receive group assignment and, in ERCOT’s reasonable judgment, Group 1 is too large.</w:t>
      </w:r>
    </w:p>
    <w:p w14:paraId="67A0055D" w14:textId="205DC806" w:rsidR="001F04FD" w:rsidRPr="000149E5" w:rsidRDefault="001F04FD" w:rsidP="00C02A98">
      <w:pPr>
        <w:pStyle w:val="BodyTextNumbered"/>
        <w:rPr>
          <w:iCs/>
        </w:rPr>
      </w:pPr>
      <w:r w:rsidRPr="000149E5">
        <w:rPr>
          <w:iCs/>
        </w:rPr>
        <w:t>(</w:t>
      </w:r>
      <w:r w:rsidR="0098796C">
        <w:rPr>
          <w:iCs/>
        </w:rPr>
        <w:t>6</w:t>
      </w:r>
      <w:r w:rsidRPr="000149E5">
        <w:rPr>
          <w:iCs/>
        </w:rPr>
        <w:t>)</w:t>
      </w:r>
      <w:r w:rsidRPr="000149E5">
        <w:rPr>
          <w:iCs/>
        </w:rPr>
        <w:tab/>
        <w:t xml:space="preserve">Subject to the exceptions described in paragraphs (a) and (b) below, On-Line Generation Resources </w:t>
      </w:r>
      <w:r w:rsidR="00A46896">
        <w:rPr>
          <w:iCs/>
        </w:rPr>
        <w:t xml:space="preserve">and </w:t>
      </w:r>
      <w:r w:rsidR="00C67FF2">
        <w:rPr>
          <w:iCs/>
        </w:rPr>
        <w:t>CLR</w:t>
      </w:r>
      <w:r w:rsidR="00A46896">
        <w:rPr>
          <w:iCs/>
        </w:rPr>
        <w:t xml:space="preserve">s </w:t>
      </w:r>
      <w:r w:rsidRPr="000149E5">
        <w:t xml:space="preserve">that are assigned Non-Spin Ancillary Service Resource Responsibility 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Resources assigned Non-Spin Ancillary Service Resource Responsibility effective at the top-of-hour by adjusting the Non-Spin Ancillary Service Schedule telemetry. </w:t>
      </w:r>
      <w:r>
        <w:t xml:space="preserve"> </w:t>
      </w:r>
      <w:r w:rsidR="00A46896">
        <w:t>For a Generation Resource, t</w:t>
      </w:r>
      <w:r>
        <w:t xml:space="preserve">he </w:t>
      </w:r>
      <w:r w:rsidRPr="000149E5">
        <w:t xml:space="preserve">QSE shall set the Non-Spin Ancillary Service Schedule telemetry equal to the portion </w:t>
      </w:r>
      <w:r>
        <w:t xml:space="preserve">of Non-Spin </w:t>
      </w:r>
      <w:r w:rsidRPr="000149E5">
        <w:t>being provided from power augmentation if the portion being provided from power augmentation is participating as Off-Line Non-Spin</w:t>
      </w:r>
      <w:r>
        <w:t>,</w:t>
      </w:r>
      <w:r w:rsidRPr="000149E5">
        <w:t xml:space="preserve"> otherwise it shall be set to 0.</w:t>
      </w:r>
      <w:r w:rsidRPr="000149E5">
        <w:rPr>
          <w:iCs/>
        </w:rPr>
        <w:t xml:space="preserve">  </w:t>
      </w:r>
      <w:r w:rsidR="00A46896">
        <w:rPr>
          <w:iCs/>
        </w:rPr>
        <w:t xml:space="preserve">For a </w:t>
      </w:r>
      <w:r w:rsidR="00C67FF2">
        <w:rPr>
          <w:iCs/>
        </w:rPr>
        <w:t>CLR</w:t>
      </w:r>
      <w:r w:rsidR="00A46896">
        <w:rPr>
          <w:iCs/>
        </w:rPr>
        <w:t xml:space="preserve">, the QSE shall set the Non-Spin Ancillary Service Schedule telemetry equal to 0.  </w:t>
      </w:r>
      <w:r w:rsidRPr="000149E5">
        <w:rPr>
          <w:iCs/>
        </w:rPr>
        <w:t xml:space="preserve">As described in Section 6.5.7.2, Resource Limit Calculator, ERCOT shall adjust the HASL and LASL based on the QSE’s telemetered Non-Spin Ancillary Service Schedule to account for such deployment </w:t>
      </w:r>
      <w:r w:rsidRPr="000149E5">
        <w:t>and to make the energy from the full amount of the Non-Spin Ancillary Service Resource Responsibility available to SCED</w:t>
      </w:r>
      <w:r w:rsidRPr="000149E5">
        <w:rPr>
          <w:iCs/>
        </w:rPr>
        <w:t xml:space="preserve">.  </w:t>
      </w:r>
      <w:r w:rsidRPr="000149E5">
        <w:t xml:space="preserve">A Non-Spin deployment Dispatch </w:t>
      </w:r>
      <w:r w:rsidRPr="000149E5">
        <w:lastRenderedPageBreak/>
        <w:t xml:space="preserve">Instruction from ERCOT is not required and </w:t>
      </w:r>
      <w:r w:rsidRPr="000149E5">
        <w:rPr>
          <w:iCs/>
        </w:rPr>
        <w:t>these Resources must be able to Dispatch their Non-Spin Ancillary Service Resource Responsibility in response to a SCED Base Point deployment instruction.  The provisions of this paragraph (5) do not apply to:</w:t>
      </w:r>
    </w:p>
    <w:p w14:paraId="00FABBBF" w14:textId="77777777" w:rsidR="001F04FD" w:rsidRDefault="001F04FD" w:rsidP="001F04FD">
      <w:pPr>
        <w:spacing w:after="240"/>
        <w:ind w:left="1440" w:hanging="720"/>
        <w:rPr>
          <w:iCs/>
        </w:rPr>
      </w:pPr>
      <w:r>
        <w:rPr>
          <w:iCs/>
        </w:rPr>
        <w:t>(a)</w:t>
      </w:r>
      <w:r>
        <w:rPr>
          <w:iCs/>
        </w:rPr>
        <w:tab/>
        <w:t>QSGRs assigned Off-Line Non-Spin Ancillary Service Resource Responsibility and provided to SCED for deployment, which must follow the provisions of Section 3.8.3, Quick Start Generation Resources; or</w:t>
      </w:r>
    </w:p>
    <w:p w14:paraId="2E0144A3" w14:textId="77777777" w:rsidR="001F04FD" w:rsidRDefault="001F04FD" w:rsidP="001F04FD">
      <w:pPr>
        <w:pStyle w:val="BodyTextNumbered"/>
        <w:ind w:left="1440"/>
      </w:pPr>
      <w:r w:rsidRPr="000149E5">
        <w:t>(b)</w:t>
      </w:r>
      <w:r w:rsidRPr="000149E5">
        <w:tab/>
        <w:t>The portion of On-Line Generation Resources that is only available through power augmentation if participating as Off-Line Non</w:t>
      </w:r>
      <w:r>
        <w:t>-</w:t>
      </w:r>
      <w:r w:rsidRPr="000149E5">
        <w:t>Spin.</w:t>
      </w:r>
    </w:p>
    <w:p w14:paraId="01B2E82D" w14:textId="5621ACB2" w:rsidR="001F04FD" w:rsidRDefault="001F04FD" w:rsidP="001F04FD">
      <w:pPr>
        <w:pStyle w:val="BodyTextNumbered"/>
        <w:spacing w:after="0"/>
      </w:pPr>
      <w:r w:rsidRPr="000149E5">
        <w:rPr>
          <w:iCs/>
        </w:rPr>
        <w:t>(</w:t>
      </w:r>
      <w:r w:rsidR="0098796C">
        <w:rPr>
          <w:iCs/>
        </w:rPr>
        <w:t>7</w:t>
      </w:r>
      <w:r w:rsidRPr="000149E5">
        <w:rPr>
          <w:iCs/>
        </w:rPr>
        <w:t>)</w:t>
      </w:r>
      <w:r w:rsidRPr="000149E5">
        <w:rPr>
          <w:iCs/>
        </w:rPr>
        <w:tab/>
        <w:t xml:space="preserve">Off-Line Generation Resources providing Non-Spin, while Off-Line and before the receipt of any deployment instruction, shall be capable of being dispatched to their Non-Spin Resource Responsibility within 30 minutes of a deployment instruction.  Following a deployment instruction, the QSE </w:t>
      </w:r>
      <w:r w:rsidRPr="000149E5">
        <w:rPr>
          <w:bCs/>
          <w:iCs/>
          <w:szCs w:val="22"/>
        </w:rPr>
        <w:t xml:space="preserve">shall reduce the Non-Spin Ancillary Service Schedule by the amount of the deployment. </w:t>
      </w:r>
      <w:r w:rsidRPr="000149E5">
        <w:rPr>
          <w:iCs/>
        </w:rPr>
        <w:t xml:space="preserve"> An Off-Line Generation Resource providing Non-Spin must also be brought On-Line with an Energy Offer Curve at an output level greater than or equal to P1 multiplied by LSL</w:t>
      </w:r>
      <w:r w:rsidRPr="000149E5">
        <w:rPr>
          <w:bCs/>
          <w:iCs/>
          <w:szCs w:val="22"/>
        </w:rPr>
        <w:t xml:space="preserve"> where P1 is defined in the “ERCOT and QSE Operations Business Practices During the Operating Hour.”</w:t>
      </w:r>
      <w:r w:rsidRPr="000149E5">
        <w:rPr>
          <w:iCs/>
        </w:rPr>
        <w: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t>
      </w:r>
      <w:r>
        <w:rPr>
          <w:bCs/>
          <w:iCs/>
          <w:szCs w:val="22"/>
        </w:rPr>
        <w:t>in paragraph (5</w:t>
      </w:r>
      <w:r w:rsidRPr="000149E5">
        <w:rPr>
          <w:bCs/>
          <w:iCs/>
          <w:szCs w:val="22"/>
        </w:rPr>
        <w:t>)(b)(i) of Section 3.9.1, Current Operating Plan (COP) Criteria.</w:t>
      </w:r>
    </w:p>
    <w:p w14:paraId="4781C5D9" w14:textId="64EB19BB" w:rsidR="001F04FD" w:rsidRDefault="001F04FD" w:rsidP="001F04FD">
      <w:pPr>
        <w:pStyle w:val="BodyTextNumbered"/>
        <w:spacing w:before="240"/>
      </w:pPr>
      <w:r>
        <w:t>(</w:t>
      </w:r>
      <w:r w:rsidR="0098796C">
        <w:t>8</w:t>
      </w:r>
      <w:r>
        <w:t>)</w:t>
      </w:r>
      <w:r>
        <w:tab/>
        <w: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t>
      </w:r>
    </w:p>
    <w:p w14:paraId="58900092" w14:textId="3EF330ED" w:rsidR="001F04FD" w:rsidRDefault="001F04FD" w:rsidP="00FB599C">
      <w:pPr>
        <w:pStyle w:val="BodyTextNumbered"/>
      </w:pPr>
      <w:r>
        <w:t>(</w:t>
      </w:r>
      <w:r w:rsidR="0098796C">
        <w:t>9</w:t>
      </w:r>
      <w:r>
        <w:t>)</w:t>
      </w:r>
      <w:r>
        <w:tab/>
      </w:r>
      <w:r w:rsidR="00317CFB">
        <w:t>Base Points f</w:t>
      </w:r>
      <w:r>
        <w:t>or On-Line Generation Resources</w:t>
      </w:r>
      <w:r w:rsidR="00317CFB">
        <w:t xml:space="preserve"> and </w:t>
      </w:r>
      <w:r w:rsidR="00C67FF2">
        <w:t>CLR</w:t>
      </w:r>
      <w:r w:rsidR="00317CFB">
        <w:t>s</w:t>
      </w:r>
      <w:r>
        <w:t xml:space="preserve"> providing Non-Spin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w:t>
      </w:r>
      <w:r w:rsidR="00317CFB">
        <w:t xml:space="preserve"> of a Generation Resource</w:t>
      </w:r>
      <w:r>
        <w:t xml:space="preserve"> participating as Off-Line, SCED </w:t>
      </w:r>
      <w:r w:rsidRPr="006624C0">
        <w:t xml:space="preserve">should be able to be dispatch it within 30 minutes of the </w:t>
      </w:r>
      <w:r>
        <w:t>Non-</w:t>
      </w:r>
      <w:r w:rsidRPr="006624C0">
        <w:t xml:space="preserve">Spin deployment </w:t>
      </w:r>
      <w:r>
        <w:t>i</w:t>
      </w:r>
      <w:r w:rsidRPr="006624C0">
        <w:t>nstruction.</w:t>
      </w:r>
      <w:r>
        <w:t xml:space="preserve"> </w:t>
      </w:r>
    </w:p>
    <w:p w14:paraId="2772B4F6" w14:textId="7FB5FB43" w:rsidR="001F04FD" w:rsidRDefault="001F04FD" w:rsidP="001F04FD">
      <w:pPr>
        <w:pStyle w:val="BodyTextNumbered"/>
      </w:pPr>
      <w:r>
        <w:t>(</w:t>
      </w:r>
      <w:r w:rsidR="0098796C">
        <w:t>10</w:t>
      </w:r>
      <w:r>
        <w:t>)</w:t>
      </w:r>
      <w:r>
        <w:tab/>
        <w:t xml:space="preserve">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w:t>
      </w:r>
      <w:r>
        <w:lastRenderedPageBreak/>
        <w:t>Resource Responsibility for hours in the Adjustment Period through the end of the Operating Day.</w:t>
      </w:r>
    </w:p>
    <w:p w14:paraId="769505A0" w14:textId="03752EFB" w:rsidR="001F04FD" w:rsidRDefault="001F04FD" w:rsidP="001F04FD">
      <w:pPr>
        <w:pStyle w:val="BodyTextNumbered"/>
      </w:pPr>
      <w:r>
        <w:t>(1</w:t>
      </w:r>
      <w:r w:rsidR="0098796C">
        <w:t>1</w:t>
      </w:r>
      <w:r>
        <w:t>)</w:t>
      </w:r>
      <w:r>
        <w:tab/>
        <w:t>ERCOT may deploy Non-Spin at any time in a Settlement Interval.</w:t>
      </w:r>
    </w:p>
    <w:p w14:paraId="4E05B72C" w14:textId="41980D8E" w:rsidR="001F04FD" w:rsidRDefault="001F04FD" w:rsidP="001F04FD">
      <w:pPr>
        <w:pStyle w:val="BodyTextNumbered"/>
      </w:pPr>
      <w:r>
        <w:t>(1</w:t>
      </w:r>
      <w:r w:rsidR="0098796C">
        <w:t>2</w:t>
      </w:r>
      <w:r>
        <w:t>)</w:t>
      </w:r>
      <w:r>
        <w:tab/>
        <w:t>ERCOT’s Non-Spin deployment Dispatch Instructions must include:</w:t>
      </w:r>
    </w:p>
    <w:p w14:paraId="4C50EA20" w14:textId="77777777" w:rsidR="001F04FD" w:rsidRDefault="001F04FD" w:rsidP="001F04FD">
      <w:pPr>
        <w:pStyle w:val="List"/>
      </w:pPr>
      <w:r>
        <w:t>(a)</w:t>
      </w:r>
      <w:r>
        <w:tab/>
        <w:t>The Resource name;</w:t>
      </w:r>
    </w:p>
    <w:p w14:paraId="5732B0FB" w14:textId="41343179" w:rsidR="001F04FD" w:rsidRDefault="001F04FD" w:rsidP="001F04FD">
      <w:pPr>
        <w:pStyle w:val="List"/>
      </w:pPr>
      <w:r>
        <w:t>(b)</w:t>
      </w:r>
      <w:r>
        <w:tab/>
        <w:t>A MW level of capacity deployment for Generation Resources with Energy Offer Curve, a MW level of energy for Generation Resources with Output Schedules, and a Dispatch Instruction for Load Resources equal to their awarded Non-Spin Ancillary Service Resource Responsibility; and</w:t>
      </w:r>
    </w:p>
    <w:p w14:paraId="4EBC617A" w14:textId="77777777" w:rsidR="001F04FD" w:rsidRDefault="001F04FD" w:rsidP="001F04FD">
      <w:pPr>
        <w:pStyle w:val="List"/>
      </w:pPr>
      <w:r>
        <w:t>(c)</w:t>
      </w:r>
      <w:r>
        <w:tab/>
        <w:t>The anticipated duration of deployment.</w:t>
      </w:r>
    </w:p>
    <w:p w14:paraId="2BF46C6C" w14:textId="014CC72C" w:rsidR="001F04FD" w:rsidRDefault="001F04FD" w:rsidP="001F04FD">
      <w:pPr>
        <w:pStyle w:val="List"/>
        <w:ind w:left="720"/>
      </w:pPr>
      <w:r>
        <w:rPr>
          <w:iCs/>
        </w:rPr>
        <w:t>(1</w:t>
      </w:r>
      <w:r w:rsidR="0098796C">
        <w:rPr>
          <w:iCs/>
        </w:rPr>
        <w:t>3</w:t>
      </w:r>
      <w:r w:rsidRPr="000149E5">
        <w:rPr>
          <w:iCs/>
        </w:rPr>
        <w:t>)</w:t>
      </w:r>
      <w:r w:rsidRPr="000149E5">
        <w:rPr>
          <w:iCs/>
        </w:rPr>
        <w:tab/>
        <w:t>ERCOT shall provide a signal via ICCP to the QSE of a deployed Generation or Load Resource indicating that its Non-Spin capacity has been deployed.</w:t>
      </w:r>
    </w:p>
    <w:p w14:paraId="5AF042AD" w14:textId="79819A81" w:rsidR="001F04FD" w:rsidRDefault="001F04FD" w:rsidP="001F04FD">
      <w:pPr>
        <w:pStyle w:val="BodyTextNumbered"/>
      </w:pPr>
      <w:r>
        <w:t>(1</w:t>
      </w:r>
      <w:r w:rsidR="0098796C">
        <w:t>4</w:t>
      </w:r>
      <w:r>
        <w:t>)</w:t>
      </w:r>
      <w: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3D98AC5C" w14:textId="7C11378E" w:rsidR="00F61076" w:rsidRDefault="001F04FD" w:rsidP="001F04FD">
      <w:pPr>
        <w:pStyle w:val="BodyTextNumbered"/>
        <w:rPr>
          <w:iCs/>
        </w:rPr>
      </w:pPr>
      <w:r>
        <w:rPr>
          <w:iCs/>
        </w:rPr>
        <w:t>(1</w:t>
      </w:r>
      <w:r w:rsidR="0098796C">
        <w:rPr>
          <w:iCs/>
        </w:rPr>
        <w:t>5</w:t>
      </w:r>
      <w:r w:rsidRPr="000149E5">
        <w:rPr>
          <w:iCs/>
        </w:rPr>
        <w:t>)</w:t>
      </w:r>
      <w:r w:rsidRPr="000149E5">
        <w:rPr>
          <w:iCs/>
        </w:rPr>
        <w:tab/>
        <w:t xml:space="preserve">ERCOT shall provide a notification to all QSEs via the </w:t>
      </w:r>
      <w:r w:rsidR="0007207E">
        <w:t>ERCOT website</w:t>
      </w:r>
      <w:r w:rsidRPr="000149E5">
        <w:rPr>
          <w:iCs/>
        </w:rPr>
        <w:t xml:space="preserve"> when any Non-Spin capacity is deployed on the ERCOT System showing the time, MW quantity and the anticipated duration of the deployment.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1076" w14:paraId="561ABF42" w14:textId="77777777" w:rsidTr="00EC5231">
        <w:trPr>
          <w:trHeight w:val="206"/>
        </w:trPr>
        <w:tc>
          <w:tcPr>
            <w:tcW w:w="9350" w:type="dxa"/>
            <w:shd w:val="pct12" w:color="auto" w:fill="auto"/>
          </w:tcPr>
          <w:bookmarkEnd w:id="1285"/>
          <w:p w14:paraId="2519167F" w14:textId="1C9C91E7" w:rsidR="00F61076" w:rsidRDefault="00F61076" w:rsidP="00EC5231">
            <w:pPr>
              <w:pStyle w:val="Instructions"/>
              <w:spacing w:before="120"/>
            </w:pPr>
            <w:r>
              <w:t>[NPRR1000</w:t>
            </w:r>
            <w:r w:rsidR="0069524B">
              <w:t>,</w:t>
            </w:r>
            <w:r>
              <w:t xml:space="preserve"> NPRR1010</w:t>
            </w:r>
            <w:r w:rsidR="0069524B">
              <w:t>, NPRR1188</w:t>
            </w:r>
            <w:r w:rsidR="006963EB">
              <w:t>, and NPRR1246</w:t>
            </w:r>
            <w:r>
              <w:t>:  Replace applicable portions of Section 6.5.7.6.2.3 above with the following upon system implementation for NPRR1000</w:t>
            </w:r>
            <w:r w:rsidR="0069524B">
              <w:t xml:space="preserve"> or NPRR1188</w:t>
            </w:r>
            <w:r>
              <w:t>; or upon system implementation of the Real-Time Co-Optimization (RTC) project for NPRR1010</w:t>
            </w:r>
            <w:r w:rsidR="006963EB">
              <w:t xml:space="preserve"> and NPRR1246</w:t>
            </w:r>
            <w:r>
              <w:t>:]</w:t>
            </w:r>
          </w:p>
          <w:p w14:paraId="54FC5346" w14:textId="77777777" w:rsidR="00F61076" w:rsidRPr="003161DC" w:rsidRDefault="00F61076" w:rsidP="00F61076">
            <w:pPr>
              <w:keepNext/>
              <w:tabs>
                <w:tab w:val="left" w:pos="1800"/>
              </w:tabs>
              <w:spacing w:before="240" w:after="240"/>
              <w:ind w:left="1800" w:hanging="1800"/>
              <w:outlineLvl w:val="5"/>
              <w:rPr>
                <w:b/>
                <w:bCs/>
                <w:szCs w:val="22"/>
              </w:rPr>
            </w:pPr>
            <w:r w:rsidRPr="003161DC">
              <w:rPr>
                <w:b/>
                <w:bCs/>
                <w:szCs w:val="22"/>
              </w:rPr>
              <w:t>6.5.7.6.2.3</w:t>
            </w:r>
            <w:r w:rsidRPr="003161DC">
              <w:rPr>
                <w:b/>
                <w:bCs/>
                <w:szCs w:val="22"/>
              </w:rPr>
              <w:tab/>
              <w:t xml:space="preserve">Non-Spinning Reserve Service Deployment </w:t>
            </w:r>
          </w:p>
          <w:p w14:paraId="6F137F77" w14:textId="386AD5AE" w:rsidR="00F61076" w:rsidRPr="003161DC" w:rsidRDefault="00F61076" w:rsidP="00F61076">
            <w:pPr>
              <w:spacing w:after="240"/>
              <w:ind w:left="720" w:hanging="720"/>
            </w:pPr>
            <w:r w:rsidRPr="003161DC">
              <w:t>(1)</w:t>
            </w:r>
            <w:r w:rsidRPr="003161DC">
              <w:tab/>
              <w:t xml:space="preserve">ERCOT shall deploy Non-Spin Service by operator Dispatch Instruction for the portion of On-Line Generation Resources that is only available through power augmentation and participating as Off-Line Non-Spin </w:t>
            </w:r>
            <w:r>
              <w:t xml:space="preserve">and </w:t>
            </w:r>
            <w:r w:rsidRPr="003161DC">
              <w:t>Off-Line Generation Resources.  ERCOT shall develop a procedure approved by TAC to deploy Resources providing Non-Spin Service.  ERCOT Operators shall implement the deployment procedure when a specified threshold(s) in MW of capability available to SCED to increase generation is</w:t>
            </w:r>
            <w:r>
              <w:t xml:space="preserve"> </w:t>
            </w:r>
            <w:r w:rsidRPr="003161DC">
              <w:t xml:space="preserve">reached.  ERCOT Operators may implement the deployment procedure to recover deployed RRS, ECRS, or when other Emergency Conditions exist.  The deployment of Non-Spin must always be 100% of that </w:t>
            </w:r>
            <w:r>
              <w:t>awarded</w:t>
            </w:r>
            <w:r w:rsidRPr="003161DC">
              <w:t xml:space="preserve"> on an individual Resource.</w:t>
            </w:r>
          </w:p>
          <w:p w14:paraId="50C671B7" w14:textId="77777777" w:rsidR="00F61076" w:rsidRPr="003161DC" w:rsidRDefault="00F61076" w:rsidP="00F61076">
            <w:pPr>
              <w:spacing w:after="240"/>
              <w:ind w:left="720" w:hanging="720"/>
            </w:pPr>
            <w:r w:rsidRPr="003161DC">
              <w:lastRenderedPageBreak/>
              <w:t>(2)</w:t>
            </w:r>
            <w:r w:rsidRPr="003161DC">
              <w:tab/>
              <w:t xml:space="preserve">Once Non-Spin capacity from Off-Line Generation Resources </w:t>
            </w:r>
            <w:r>
              <w:t xml:space="preserve">awarded </w:t>
            </w:r>
            <w:r w:rsidRPr="003161DC">
              <w:t>Non-Spin is deployed and the Generation Resources are On-Line, ERCOT shall use SCED to determine the amount of energy to be dispatched from those Resources.</w:t>
            </w:r>
          </w:p>
          <w:p w14:paraId="680555CA" w14:textId="77777777" w:rsidR="00F61076" w:rsidRPr="003161DC" w:rsidRDefault="00F61076" w:rsidP="00F61076">
            <w:pPr>
              <w:spacing w:after="240"/>
              <w:ind w:left="720" w:hanging="720"/>
            </w:pPr>
            <w:r w:rsidRPr="003161DC">
              <w:t>(3)</w:t>
            </w:r>
            <w:r w:rsidRPr="003161DC">
              <w:tab/>
              <w:t xml:space="preserve">Off-Line Generation Resources </w:t>
            </w:r>
            <w:r>
              <w:t xml:space="preserve">offering to </w:t>
            </w:r>
            <w:r w:rsidRPr="003161DC">
              <w:t>provid</w:t>
            </w:r>
            <w:r>
              <w:t>e</w:t>
            </w:r>
            <w:r w:rsidRPr="003161DC">
              <w:t xml:space="preserve"> Non-Spin </w:t>
            </w:r>
            <w:r>
              <w:t>must</w:t>
            </w:r>
            <w:r w:rsidRPr="003161DC">
              <w:t xml:space="preserve"> provide an Energy Offer Curve for use by SCED. </w:t>
            </w:r>
          </w:p>
          <w:p w14:paraId="1F184BED" w14:textId="2183F83B" w:rsidR="00C75A66" w:rsidRDefault="00F61076" w:rsidP="00C75A66">
            <w:pPr>
              <w:spacing w:after="240"/>
              <w:ind w:left="720" w:hanging="720"/>
              <w:rPr>
                <w:iCs/>
              </w:rPr>
            </w:pPr>
            <w:r w:rsidRPr="003161DC">
              <w:rPr>
                <w:iCs/>
              </w:rPr>
              <w:t>(4)</w:t>
            </w:r>
            <w:r w:rsidRPr="003161DC">
              <w:rPr>
                <w:iCs/>
              </w:rPr>
              <w:tab/>
            </w:r>
            <w:r w:rsidR="00C75A66">
              <w:rPr>
                <w:iCs/>
              </w:rPr>
              <w:t xml:space="preserve">Non-Spin can be provided by </w:t>
            </w:r>
            <w:r w:rsidR="0069524B">
              <w:rPr>
                <w:iCs/>
              </w:rPr>
              <w:t>CLRs</w:t>
            </w:r>
            <w:r w:rsidR="00C75A66">
              <w:rPr>
                <w:iCs/>
              </w:rPr>
              <w:t xml:space="preserve"> that are SCED qualified or by Load Resources that are not </w:t>
            </w:r>
            <w:r w:rsidR="0069524B">
              <w:rPr>
                <w:iCs/>
              </w:rPr>
              <w:t>CLRs</w:t>
            </w:r>
            <w:r w:rsidR="00C75A66">
              <w:rPr>
                <w:iCs/>
              </w:rPr>
              <w:t xml:space="preserve"> but do not have an under-frequency relay or the under-frequency relay is unarmed.</w:t>
            </w:r>
          </w:p>
          <w:p w14:paraId="2FB91E32" w14:textId="7FAA18FC" w:rsidR="00F61076" w:rsidRDefault="00C75A66" w:rsidP="00C75A66">
            <w:pPr>
              <w:spacing w:after="240"/>
              <w:ind w:left="1415" w:hanging="720"/>
              <w:rPr>
                <w:iCs/>
              </w:rPr>
            </w:pPr>
            <w:r>
              <w:rPr>
                <w:iCs/>
              </w:rPr>
              <w:t>(a)</w:t>
            </w:r>
            <w:r w:rsidRPr="003161DC">
              <w:tab/>
            </w:r>
            <w:r w:rsidR="0069524B">
              <w:t>CLRs</w:t>
            </w:r>
            <w:r w:rsidR="00F61076" w:rsidRPr="003161DC">
              <w:rPr>
                <w:iCs/>
              </w:rPr>
              <w:t xml:space="preserve"> </w:t>
            </w:r>
            <w:r w:rsidR="00F61076">
              <w:rPr>
                <w:iCs/>
              </w:rPr>
              <w:t>awarded</w:t>
            </w:r>
            <w:r w:rsidR="00F61076" w:rsidRPr="003161DC">
              <w:rPr>
                <w:iCs/>
              </w:rPr>
              <w:t xml:space="preserve"> Non-Spin shall have an Energy Bid </w:t>
            </w:r>
            <w:r w:rsidR="0069524B">
              <w:rPr>
                <w:iCs/>
              </w:rPr>
              <w:t xml:space="preserve">Curve </w:t>
            </w:r>
            <w:r w:rsidR="00F61076" w:rsidRPr="003161DC">
              <w:rPr>
                <w:iCs/>
              </w:rPr>
              <w:t>for SCED and shall be capable of being Dispatched to its Non-Spin Ancillary Service</w:t>
            </w:r>
            <w:r w:rsidR="00F61076">
              <w:rPr>
                <w:iCs/>
              </w:rPr>
              <w:t xml:space="preserve"> award within 30 minutes</w:t>
            </w:r>
            <w:r w:rsidR="00F61076" w:rsidRPr="003161DC">
              <w:rPr>
                <w:iCs/>
              </w:rPr>
              <w:t xml:space="preserve">, using the Resource’s Normal Ramp Rate curve.  An Aggregate Load Resource </w:t>
            </w:r>
            <w:r w:rsidR="005F406D">
              <w:rPr>
                <w:iCs/>
              </w:rPr>
              <w:t xml:space="preserve">(ALR) </w:t>
            </w:r>
            <w:r w:rsidR="00F61076" w:rsidRPr="003161DC">
              <w:rPr>
                <w:iCs/>
              </w:rPr>
              <w:t xml:space="preserve">must comply with all requirements in </w:t>
            </w:r>
            <w:r w:rsidR="008652B1">
              <w:rPr>
                <w:szCs w:val="24"/>
              </w:rPr>
              <w:t>Section 22, Attachment O,</w:t>
            </w:r>
            <w:r w:rsidR="00F61076" w:rsidRPr="003161DC">
              <w:rPr>
                <w:iCs/>
              </w:rPr>
              <w:t xml:space="preserve"> Requirements for Aggregate Load Resource Participation in the ERCOT Markets.</w:t>
            </w:r>
          </w:p>
          <w:p w14:paraId="612BD42C" w14:textId="13F110CD" w:rsidR="00C75A66" w:rsidRPr="003161DC" w:rsidRDefault="00C75A66" w:rsidP="00C75A66">
            <w:pPr>
              <w:spacing w:after="240"/>
              <w:ind w:left="1410" w:hanging="720"/>
              <w:rPr>
                <w:iCs/>
              </w:rPr>
            </w:pPr>
            <w:r>
              <w:rPr>
                <w:iCs/>
              </w:rPr>
              <w:t>(b)</w:t>
            </w:r>
            <w:r w:rsidRPr="003161DC">
              <w:tab/>
            </w:r>
            <w:r w:rsidRPr="0077774D">
              <w:rPr>
                <w:iCs/>
              </w:rPr>
              <w:t xml:space="preserve">A Load Resource that is not a </w:t>
            </w:r>
            <w:r w:rsidR="0069524B">
              <w:rPr>
                <w:iCs/>
              </w:rPr>
              <w:t>CLR</w:t>
            </w:r>
            <w:r w:rsidRPr="0077774D">
              <w:rPr>
                <w:iCs/>
              </w:rPr>
              <w:t xml:space="preserve"> shall be capable of being Dispatched to its Non-Spin Ancillary Service Resource Responsibility within 30 minutes of a deployment instruction for capacity.</w:t>
            </w:r>
          </w:p>
          <w:p w14:paraId="6BC828A5" w14:textId="77777777" w:rsidR="00F61076" w:rsidRPr="003161DC" w:rsidRDefault="00F61076" w:rsidP="00F61076">
            <w:pPr>
              <w:spacing w:after="240"/>
              <w:ind w:left="720" w:hanging="720"/>
            </w:pPr>
            <w:r w:rsidRPr="003161DC">
              <w:rPr>
                <w:iCs/>
              </w:rPr>
              <w:t>(</w:t>
            </w:r>
            <w:r>
              <w:rPr>
                <w:iCs/>
              </w:rPr>
              <w:t>5</w:t>
            </w:r>
            <w:r w:rsidRPr="003161DC">
              <w:rPr>
                <w:iCs/>
              </w:rPr>
              <w:t>)</w:t>
            </w:r>
            <w:r w:rsidRPr="003161DC">
              <w:rPr>
                <w:iCs/>
              </w:rPr>
              <w:tab/>
              <w:t xml:space="preserve">Off-Line Generation Resources </w:t>
            </w:r>
            <w:r>
              <w:rPr>
                <w:iCs/>
              </w:rPr>
              <w:t>awarded</w:t>
            </w:r>
            <w:r w:rsidRPr="003161DC">
              <w:rPr>
                <w:iCs/>
              </w:rPr>
              <w:t xml:space="preserve"> Non-Spin, while Off-Line and before the receipt of any deployment instruction, shall be capable of being dispatched to their Non-Spin </w:t>
            </w:r>
            <w:r>
              <w:rPr>
                <w:iCs/>
              </w:rPr>
              <w:t>award</w:t>
            </w:r>
            <w:r w:rsidRPr="003161DC">
              <w:rPr>
                <w:iCs/>
              </w:rPr>
              <w:t xml:space="preserve"> within 30 minutes of a </w:t>
            </w:r>
            <w:r>
              <w:rPr>
                <w:iCs/>
              </w:rPr>
              <w:t>Dispatch</w:t>
            </w:r>
            <w:r w:rsidRPr="003161DC">
              <w:rPr>
                <w:iCs/>
              </w:rPr>
              <w:t xml:space="preserve"> </w:t>
            </w:r>
            <w:r>
              <w:rPr>
                <w:iCs/>
              </w:rPr>
              <w:t>I</w:t>
            </w:r>
            <w:r w:rsidRPr="003161DC">
              <w:rPr>
                <w:iCs/>
              </w:rPr>
              <w:t xml:space="preserve">nstruction.  </w:t>
            </w:r>
            <w:r w:rsidRPr="00006D35">
              <w:rPr>
                <w:iCs/>
              </w:rPr>
              <w:t>On-Line Generation Resources awarded Non-Spin on the power augmentation capacity shall be capable of being dispatched to their Non-Spin award within 30 minutes of a Dispatch Instruction.</w:t>
            </w:r>
          </w:p>
          <w:p w14:paraId="78CC42E4" w14:textId="77777777" w:rsidR="00F61076" w:rsidRPr="003161DC" w:rsidRDefault="00F61076" w:rsidP="00F61076">
            <w:pPr>
              <w:spacing w:after="240"/>
              <w:ind w:left="720" w:hanging="720"/>
            </w:pPr>
            <w:r w:rsidRPr="003161DC">
              <w:t>(</w:t>
            </w:r>
            <w:r>
              <w:t>6</w:t>
            </w:r>
            <w:r w:rsidRPr="003161DC">
              <w:t>)</w:t>
            </w:r>
            <w:r w:rsidRPr="003161DC">
              <w:tab/>
              <w:t>ERCOT may deploy Non-Spin at any time in a Settlement Interval.</w:t>
            </w:r>
          </w:p>
          <w:p w14:paraId="20B55C42" w14:textId="3531EC97" w:rsidR="00C75A66" w:rsidRDefault="00C75A66" w:rsidP="00C75A66">
            <w:pPr>
              <w:pStyle w:val="BodyTextNumbered"/>
            </w:pPr>
            <w:r>
              <w:t xml:space="preserve">(7)       </w:t>
            </w:r>
            <w:r w:rsidRPr="00CA3EEC">
              <w:t>ERCOT shall develop a process</w:t>
            </w:r>
            <w:r>
              <w:t xml:space="preserve"> to</w:t>
            </w:r>
            <w:r w:rsidRPr="00CA3EEC">
              <w:t xml:space="preserve"> place</w:t>
            </w:r>
            <w:r>
              <w:t xml:space="preserve"> Off-Line Generation Resources and </w:t>
            </w:r>
            <w:r w:rsidRPr="00624167">
              <w:t>Load Resources</w:t>
            </w:r>
            <w:r>
              <w:t xml:space="preserve"> that are not </w:t>
            </w:r>
            <w:r w:rsidR="0069524B">
              <w:t>CLRs</w:t>
            </w:r>
            <w:r w:rsidRPr="00113081">
              <w:t xml:space="preserve"> </w:t>
            </w:r>
            <w:r>
              <w:t>with Non-Spin award in a</w:t>
            </w:r>
            <w:r w:rsidRPr="00CA3EEC">
              <w:t xml:space="preserve"> group based on a random sampling</w:t>
            </w:r>
            <w:r>
              <w:t xml:space="preserve"> for the purpose of deploying these Resources manually. </w:t>
            </w:r>
            <w:r w:rsidRPr="00CA3EEC">
              <w:t xml:space="preserve"> </w:t>
            </w:r>
            <w:r w:rsidRPr="00210F92">
              <w:t>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68A119C7" w14:textId="77777777" w:rsidR="00C75A66" w:rsidRDefault="00C75A66" w:rsidP="00C75A66">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766E447" w14:textId="3D24BC3D" w:rsidR="00C75A66" w:rsidRPr="003161DC" w:rsidRDefault="00C75A66" w:rsidP="00C75A66">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w:t>
            </w:r>
            <w:r w:rsidR="0069524B">
              <w:t>CLR</w:t>
            </w:r>
            <w:r>
              <w:t xml:space="preserve"> providing Non-Spin in Real-Time that did not previously receive group assignment will be automatically considered in Group 1.  ERCOT may assign a Generation Resource providing Off-Line Non-Spin or a Load Resource that is not a </w:t>
            </w:r>
            <w:r w:rsidR="0069524B">
              <w:t>CLR</w:t>
            </w:r>
            <w:r>
              <w:t xml:space="preserve"> to another group if that Resource did not </w:t>
            </w:r>
            <w:r>
              <w:lastRenderedPageBreak/>
              <w:t>previously receive group assignment and, in ERCOT’s reasonable judgment, Group 1 is too large.</w:t>
            </w:r>
          </w:p>
          <w:p w14:paraId="4F2F15E5" w14:textId="03833AE8" w:rsidR="00F61076" w:rsidRPr="003161DC" w:rsidRDefault="00F61076" w:rsidP="00F61076">
            <w:pPr>
              <w:spacing w:after="240"/>
              <w:ind w:left="720" w:hanging="720"/>
            </w:pPr>
            <w:r w:rsidRPr="003161DC">
              <w:t>(</w:t>
            </w:r>
            <w:r w:rsidR="00C75A66">
              <w:t>8</w:t>
            </w:r>
            <w:r w:rsidRPr="003161DC">
              <w:t>)</w:t>
            </w:r>
            <w:r w:rsidRPr="003161DC">
              <w:tab/>
              <w:t>ERCOT’s Non-Spin deployment Dispatch Instructions must include:</w:t>
            </w:r>
          </w:p>
          <w:p w14:paraId="5C67CFC7" w14:textId="77777777" w:rsidR="00F61076" w:rsidRPr="003161DC" w:rsidRDefault="00F61076" w:rsidP="00F61076">
            <w:pPr>
              <w:spacing w:after="240"/>
              <w:ind w:left="1440" w:hanging="720"/>
            </w:pPr>
            <w:r w:rsidRPr="003161DC">
              <w:t>(a)</w:t>
            </w:r>
            <w:r w:rsidRPr="003161DC">
              <w:tab/>
              <w:t>The Resource name;</w:t>
            </w:r>
          </w:p>
          <w:p w14:paraId="159ADA1D" w14:textId="1D68C86B" w:rsidR="00F61076" w:rsidRPr="003161DC" w:rsidRDefault="00F61076" w:rsidP="00F61076">
            <w:pPr>
              <w:spacing w:after="240"/>
              <w:ind w:left="1440" w:hanging="720"/>
            </w:pPr>
            <w:r w:rsidRPr="003161DC">
              <w:t>(b)</w:t>
            </w:r>
            <w:r w:rsidRPr="003161DC">
              <w:tab/>
              <w:t>A MW level of capacity deployment for Generation Resources with Energy Offer Curve</w:t>
            </w:r>
            <w:r w:rsidR="006963EB">
              <w:t>, a MW level for ESRs with Energy Bid/Offer Curve,</w:t>
            </w:r>
            <w:r w:rsidRPr="003161DC">
              <w:t xml:space="preserve"> </w:t>
            </w:r>
            <w:r w:rsidR="007F5C35" w:rsidRPr="00F468C2">
              <w:t>and</w:t>
            </w:r>
            <w:r w:rsidR="007F5C35">
              <w:t xml:space="preserve"> </w:t>
            </w:r>
            <w:r w:rsidRPr="003161DC">
              <w:t>a MW level of energy for Generation Resources with Output Schedules and a Dispatch Instruction for Load Resources</w:t>
            </w:r>
            <w:r w:rsidR="007F5C35" w:rsidRPr="00F468C2">
              <w:t xml:space="preserve">, excluding </w:t>
            </w:r>
            <w:r w:rsidR="0069524B">
              <w:t>CLRs</w:t>
            </w:r>
            <w:r w:rsidR="007F5C35" w:rsidRPr="00F468C2">
              <w:t>, at a minimum</w:t>
            </w:r>
            <w:r w:rsidRPr="003161DC">
              <w:t xml:space="preserve"> equal to their awarded Non-Spin Ancillary Service</w:t>
            </w:r>
            <w:r>
              <w:t xml:space="preserve"> amount</w:t>
            </w:r>
            <w:r w:rsidRPr="003161DC">
              <w:t>; and</w:t>
            </w:r>
          </w:p>
          <w:p w14:paraId="70AE55B0" w14:textId="77777777" w:rsidR="00F61076" w:rsidRPr="003161DC" w:rsidRDefault="00F61076" w:rsidP="00F61076">
            <w:pPr>
              <w:spacing w:after="240"/>
              <w:ind w:left="1440" w:hanging="720"/>
            </w:pPr>
            <w:r w:rsidRPr="003161DC">
              <w:t>(c)</w:t>
            </w:r>
            <w:r w:rsidRPr="003161DC">
              <w:tab/>
              <w:t>The anticipated duration of deployment.</w:t>
            </w:r>
          </w:p>
          <w:p w14:paraId="6B1A21E4" w14:textId="1C41BE2E" w:rsidR="00F61076" w:rsidRPr="003161DC" w:rsidRDefault="00F61076" w:rsidP="00F61076">
            <w:pPr>
              <w:spacing w:after="240"/>
              <w:ind w:left="720" w:hanging="720"/>
            </w:pPr>
            <w:r>
              <w:rPr>
                <w:iCs/>
              </w:rPr>
              <w:t>(</w:t>
            </w:r>
            <w:r w:rsidR="00C75A66">
              <w:rPr>
                <w:iCs/>
              </w:rPr>
              <w:t>9</w:t>
            </w:r>
            <w:r>
              <w:rPr>
                <w:iCs/>
              </w:rPr>
              <w:t>)</w:t>
            </w:r>
            <w:r>
              <w:rPr>
                <w:iCs/>
              </w:rPr>
              <w:tab/>
            </w:r>
            <w:r w:rsidRPr="003161DC">
              <w:rPr>
                <w:iCs/>
              </w:rPr>
              <w:t>ERCOT shall provide a signal via ICCP to the QSE of a deployed Resource indicating that its Non-Spin capacity has been deployed.</w:t>
            </w:r>
          </w:p>
          <w:p w14:paraId="649329D4" w14:textId="735F4CF4" w:rsidR="00F61076" w:rsidRPr="003161DC" w:rsidRDefault="00F61076" w:rsidP="00F61076">
            <w:pPr>
              <w:spacing w:after="240"/>
              <w:ind w:left="720" w:hanging="720"/>
            </w:pPr>
            <w:r w:rsidRPr="003161DC">
              <w:t>(</w:t>
            </w:r>
            <w:r w:rsidR="00C75A66">
              <w:t>10</w:t>
            </w:r>
            <w:r w:rsidRPr="003161DC">
              <w:t>)</w:t>
            </w:r>
            <w:r w:rsidRPr="003161DC">
              <w:tab/>
              <w:t xml:space="preserve">ERCOT shall, as part of its TAC-approved Non-Spin deployment procedure, provide for the recall of Non-Spin </w:t>
            </w:r>
            <w:r>
              <w:t xml:space="preserve">from </w:t>
            </w:r>
            <w:r w:rsidRPr="00006D35">
              <w:t>On-Line Resources that were previously Off-Line Resources providing Non-Spin capacity and from On-Line Resources providing Non-Spin through power augmentation</w:t>
            </w:r>
            <w:r w:rsidRPr="003161DC">
              <w:t>.</w:t>
            </w:r>
          </w:p>
          <w:p w14:paraId="4BE9742D" w14:textId="2A181C5C" w:rsidR="00F61076" w:rsidRPr="00F61076" w:rsidRDefault="00F61076" w:rsidP="0007207E">
            <w:pPr>
              <w:spacing w:after="240"/>
              <w:ind w:left="720" w:hanging="720"/>
              <w:rPr>
                <w:iCs/>
              </w:rPr>
            </w:pPr>
            <w:r w:rsidRPr="003161DC">
              <w:rPr>
                <w:iCs/>
              </w:rPr>
              <w:t>(1</w:t>
            </w:r>
            <w:r w:rsidR="00C75A66">
              <w:rPr>
                <w:iCs/>
              </w:rPr>
              <w:t>1</w:t>
            </w:r>
            <w:r w:rsidRPr="003161DC">
              <w:rPr>
                <w:iCs/>
              </w:rPr>
              <w:t>)</w:t>
            </w:r>
            <w:r w:rsidRPr="003161DC">
              <w:rPr>
                <w:iCs/>
              </w:rPr>
              <w:tab/>
              <w:t xml:space="preserve">ERCOT shall provide a notification to all QSEs via the </w:t>
            </w:r>
            <w:r w:rsidR="0007207E">
              <w:t>ERCOT website</w:t>
            </w:r>
            <w:r w:rsidRPr="003161DC">
              <w:rPr>
                <w:iCs/>
              </w:rPr>
              <w:t xml:space="preserve"> when any Non-Spin capacity is deployed on the ERCOT System showing the time, MW quantity and the anticipated duration of the deployment.</w:t>
            </w:r>
          </w:p>
        </w:tc>
      </w:tr>
    </w:tbl>
    <w:p w14:paraId="35AC8A24" w14:textId="77777777" w:rsidR="008611B7" w:rsidRPr="008611B7" w:rsidRDefault="008611B7" w:rsidP="008611B7">
      <w:pPr>
        <w:pStyle w:val="H6"/>
        <w:spacing w:before="480"/>
      </w:pPr>
      <w:bookmarkStart w:id="1286" w:name="_Hlk135903085"/>
      <w:r w:rsidRPr="003161DC">
        <w:lastRenderedPageBreak/>
        <w:t>6.5.7.6.2.4</w:t>
      </w:r>
      <w:r w:rsidRPr="008611B7">
        <w:tab/>
      </w:r>
      <w:r w:rsidRPr="003161DC">
        <w:t>Deployment and Recall of ERCOT Contingency Reserve Service</w:t>
      </w:r>
    </w:p>
    <w:p w14:paraId="373C63B1" w14:textId="77777777" w:rsidR="008611B7" w:rsidRPr="003161DC" w:rsidRDefault="008611B7" w:rsidP="008611B7">
      <w:pPr>
        <w:spacing w:after="240"/>
        <w:ind w:left="720" w:hanging="720"/>
      </w:pPr>
      <w:r w:rsidRPr="003161DC">
        <w:t>(1)</w:t>
      </w:r>
      <w:r w:rsidRPr="003161DC">
        <w:tab/>
        <w:t>ECRS is intended to:</w:t>
      </w:r>
    </w:p>
    <w:p w14:paraId="22C94443" w14:textId="77777777" w:rsidR="008611B7" w:rsidRPr="003161DC" w:rsidRDefault="008611B7" w:rsidP="008611B7">
      <w:pPr>
        <w:spacing w:after="240"/>
        <w:ind w:left="1440" w:hanging="720"/>
      </w:pPr>
      <w:r w:rsidRPr="003161DC">
        <w:t>(a)</w:t>
      </w:r>
      <w:r w:rsidRPr="003161DC">
        <w:tab/>
        <w:t>Help restore the frequency to 60 Hz within ten minutes of a significant frequency deviation;</w:t>
      </w:r>
    </w:p>
    <w:p w14:paraId="1E4C7258" w14:textId="241D7282" w:rsidR="008611B7" w:rsidRPr="003161DC" w:rsidRDefault="008611B7" w:rsidP="008611B7">
      <w:pPr>
        <w:spacing w:after="240"/>
        <w:ind w:left="1440" w:hanging="720"/>
      </w:pPr>
      <w:r w:rsidRPr="003161DC">
        <w:t>(b)</w:t>
      </w:r>
      <w:r w:rsidRPr="003161DC">
        <w:tab/>
        <w:t>Provide energy to avoid</w:t>
      </w:r>
      <w:r w:rsidR="00243207">
        <w:t>,</w:t>
      </w:r>
      <w:r w:rsidRPr="003161DC">
        <w:t xml:space="preserve"> or during the implementation of</w:t>
      </w:r>
      <w:r w:rsidR="00243207">
        <w:t>,</w:t>
      </w:r>
      <w:r w:rsidRPr="003161DC">
        <w:t xml:space="preserve"> an EEA;</w:t>
      </w:r>
    </w:p>
    <w:p w14:paraId="75CB4FB0" w14:textId="478EBC2E" w:rsidR="008611B7" w:rsidRDefault="008611B7" w:rsidP="008611B7">
      <w:pPr>
        <w:spacing w:after="240"/>
        <w:ind w:left="1440" w:hanging="720"/>
      </w:pPr>
      <w:r w:rsidRPr="003161DC">
        <w:t>(c)</w:t>
      </w:r>
      <w:r w:rsidRPr="003161DC">
        <w:tab/>
        <w:t>Provide backup to Reg-Up</w:t>
      </w:r>
      <w:r>
        <w:t>; and</w:t>
      </w:r>
    </w:p>
    <w:p w14:paraId="4B9CBB6C" w14:textId="301EBF84" w:rsidR="008611B7" w:rsidRPr="003161DC" w:rsidRDefault="008611B7" w:rsidP="008611B7">
      <w:pPr>
        <w:spacing w:after="240"/>
        <w:ind w:left="1440" w:hanging="720"/>
      </w:pPr>
      <w:r>
        <w:t>(d)</w:t>
      </w:r>
      <w:r>
        <w:tab/>
        <w:t>Provide energy upon detection of insufficient available capacity for net load    ramps.</w:t>
      </w:r>
    </w:p>
    <w:p w14:paraId="13BD1C36" w14:textId="2439E46A" w:rsidR="008611B7" w:rsidRPr="003161DC" w:rsidRDefault="008611B7" w:rsidP="008611B7">
      <w:pPr>
        <w:spacing w:after="240"/>
        <w:ind w:left="720" w:hanging="720"/>
      </w:pPr>
      <w:r w:rsidRPr="003161DC">
        <w:t>(2)</w:t>
      </w:r>
      <w:r w:rsidRPr="003161DC">
        <w:tab/>
        <w:t xml:space="preserve">ERCOT shall deploy ECRS to meet NERC Standards and other performance criteria as specified in these Protocols and the Operating Guides by </w:t>
      </w:r>
      <w:r w:rsidR="00F87A8D">
        <w:t xml:space="preserve">taking </w:t>
      </w:r>
      <w:r w:rsidRPr="003161DC">
        <w:t>one or more of the following</w:t>
      </w:r>
      <w:r w:rsidR="00F87A8D">
        <w:t xml:space="preserve"> actions</w:t>
      </w:r>
      <w:r w:rsidRPr="003161DC">
        <w:t>:</w:t>
      </w:r>
    </w:p>
    <w:p w14:paraId="58EFEE1A" w14:textId="40AA2328" w:rsidR="008611B7" w:rsidRDefault="008611B7" w:rsidP="008611B7">
      <w:pPr>
        <w:spacing w:after="240"/>
        <w:ind w:left="1440" w:hanging="720"/>
        <w:rPr>
          <w:rStyle w:val="CommentReference"/>
        </w:rPr>
      </w:pPr>
      <w:r w:rsidRPr="003161DC">
        <w:lastRenderedPageBreak/>
        <w:t>(a)</w:t>
      </w:r>
      <w:r w:rsidRPr="003161DC">
        <w:tab/>
        <w:t xml:space="preserve">Automatic Dispatch Instruction signal to release ECRS capacity from Generation Resources and </w:t>
      </w:r>
      <w:r w:rsidR="00C67FF2">
        <w:t>CLR</w:t>
      </w:r>
      <w:r w:rsidRPr="003161DC">
        <w:t>s to SCED; and/or</w:t>
      </w:r>
    </w:p>
    <w:p w14:paraId="078E34EA" w14:textId="00F199FC" w:rsidR="008611B7" w:rsidRPr="003161DC" w:rsidRDefault="008611B7" w:rsidP="008611B7">
      <w:pPr>
        <w:spacing w:after="240"/>
        <w:ind w:left="1440" w:hanging="720"/>
      </w:pPr>
      <w:r w:rsidRPr="003161DC">
        <w:t>(b)</w:t>
      </w:r>
      <w:r w:rsidRPr="003161DC">
        <w:tab/>
        <w:t xml:space="preserve">Dispatch Instruction for deployment of energy </w:t>
      </w:r>
      <w:r w:rsidR="00F87A8D">
        <w:t>from Load Resources</w:t>
      </w:r>
      <w:r w:rsidR="00F87A8D" w:rsidRPr="003161DC">
        <w:t xml:space="preserve"> </w:t>
      </w:r>
      <w:r w:rsidRPr="003161DC">
        <w:t>via electronic Messaging System.</w:t>
      </w:r>
    </w:p>
    <w:p w14:paraId="7590A3D6" w14:textId="372202CD" w:rsidR="008611B7" w:rsidRPr="003161DC" w:rsidRDefault="008611B7" w:rsidP="008611B7">
      <w:pPr>
        <w:spacing w:after="240"/>
        <w:ind w:left="720" w:hanging="720"/>
      </w:pPr>
      <w:r w:rsidRPr="003161DC">
        <w:t>(3)</w:t>
      </w:r>
      <w:r w:rsidRPr="003161DC">
        <w:tab/>
        <w:t xml:space="preserve">ERCOT shall release ECRS from Generation Resources and </w:t>
      </w:r>
      <w:r w:rsidR="00C67FF2">
        <w:t>CLR</w:t>
      </w:r>
      <w:r w:rsidRPr="003161DC">
        <w:t>s to SCED when frequency drops below 59.91 Hz and available Reg-Up is not sufficient to restore frequency.  Upon deployment of Off-Line ECRS from</w:t>
      </w:r>
      <w:r w:rsidRPr="003161DC">
        <w:rPr>
          <w:iCs/>
        </w:rPr>
        <w:t xml:space="preserve"> a QSGR providing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t>
      </w:r>
    </w:p>
    <w:p w14:paraId="48EA36BD" w14:textId="77777777" w:rsidR="008611B7" w:rsidRPr="003161DC" w:rsidRDefault="008611B7" w:rsidP="008611B7">
      <w:pPr>
        <w:spacing w:after="240"/>
        <w:ind w:left="720" w:hanging="720"/>
      </w:pPr>
      <w:r w:rsidRPr="003161DC">
        <w:t>(4)</w:t>
      </w:r>
      <w:r w:rsidRPr="003161DC">
        <w:tab/>
        <w:t>Energy from Resources providing ECRS may also be manually deployed by ERCOT pursuant to Section 6.5.9, Emergency Operations.</w:t>
      </w:r>
    </w:p>
    <w:p w14:paraId="5C42BD03" w14:textId="515D1E60" w:rsidR="008611B7" w:rsidRPr="003161DC" w:rsidRDefault="008611B7" w:rsidP="008611B7">
      <w:pPr>
        <w:spacing w:after="240"/>
        <w:ind w:left="720" w:hanging="720"/>
      </w:pPr>
      <w:r w:rsidRPr="003161DC">
        <w:t>(5)</w:t>
      </w:r>
      <w:r w:rsidRPr="003161DC">
        <w:tab/>
        <w:t>ERCOT shall use SCED and Non-Spin as soon as practicable to recover ECRS reserves.</w:t>
      </w:r>
    </w:p>
    <w:p w14:paraId="0759F974" w14:textId="4C387291" w:rsidR="008611B7" w:rsidRDefault="008611B7" w:rsidP="008611B7">
      <w:pPr>
        <w:spacing w:after="240"/>
        <w:ind w:left="720" w:hanging="720"/>
      </w:pPr>
      <w:r>
        <w:t>(6)</w:t>
      </w:r>
      <w:r>
        <w:tab/>
        <w:t>Following an ECRS deployment</w:t>
      </w:r>
      <w:r w:rsidR="00243207">
        <w:t xml:space="preserve"> to SCED-dispatchable Resources</w:t>
      </w:r>
      <w:r>
        <w:t>, the QSE’s obligation to deliver ECRS remains in effect until ERCOT issues a recall instruction or its ECRS obligation expires, whichever occurs first.</w:t>
      </w:r>
      <w:r w:rsidR="00243207">
        <w:t xml:space="preserve">  Following an ECRS deployment to Load Resources, excluding </w:t>
      </w:r>
      <w:r w:rsidR="00C67FF2">
        <w:t>CLR</w:t>
      </w:r>
      <w:r w:rsidR="00243207">
        <w:t>s, or Resources operating in synchronous condenser fast-response mode, the QSE’s obligation to deliver ECRS remains in effect until ERCOT issues a recall instruction.</w:t>
      </w:r>
    </w:p>
    <w:p w14:paraId="21C3970E" w14:textId="0094F9FF" w:rsidR="008611B7" w:rsidRPr="003161DC" w:rsidRDefault="008611B7" w:rsidP="008611B7">
      <w:pPr>
        <w:spacing w:after="240"/>
        <w:ind w:left="720" w:hanging="720"/>
      </w:pPr>
      <w:r w:rsidRPr="003161DC">
        <w:t>(7)</w:t>
      </w:r>
      <w:r w:rsidRPr="003161DC">
        <w:tab/>
        <w:t>Following a deployment or recall Dispatch Instruction of ECRS, a QSE shall adjust the telemetered ECRS Ancillary Service Schedule for the Resource providing the service and ERCOT shall adjust the HASL based on the QSE’s telemetered Ancillary Service Schedule for ECRS</w:t>
      </w:r>
      <w:r w:rsidR="00243207">
        <w:t>,</w:t>
      </w:r>
      <w:r w:rsidRPr="003161DC">
        <w:t xml:space="preserve"> as described in Section 6.5.7.2, Resource Limit Calculator, to account for such deployment.</w:t>
      </w:r>
    </w:p>
    <w:p w14:paraId="6786CB9A" w14:textId="3E084A04" w:rsidR="008611B7" w:rsidRPr="003161DC" w:rsidRDefault="008611B7" w:rsidP="008611B7">
      <w:pPr>
        <w:spacing w:after="240"/>
        <w:ind w:left="720" w:hanging="720"/>
      </w:pPr>
      <w:r w:rsidRPr="003161DC">
        <w:t>(8)</w:t>
      </w:r>
      <w:r w:rsidRPr="003161DC">
        <w:tab/>
        <w:t xml:space="preserve">For Generation Resources and </w:t>
      </w:r>
      <w:r w:rsidR="00C67FF2">
        <w:t>CLR</w:t>
      </w:r>
      <w:r w:rsidRPr="003161DC">
        <w:t xml:space="preserve">s providing ECRS, Base Points include ECRS energy as well as any other energy dispatched by SCED.  A Resource must be able to be fully dispatched by SCED to its ECRS Ancillary Service Resource Responsibility within the ten-minute time frame according to its telemetered Emergency Ramp Rate. </w:t>
      </w:r>
    </w:p>
    <w:p w14:paraId="393DB2C8" w14:textId="56C37A98" w:rsidR="008611B7" w:rsidRPr="003161DC" w:rsidRDefault="008611B7" w:rsidP="008611B7">
      <w:pPr>
        <w:spacing w:after="240"/>
        <w:ind w:left="720" w:hanging="720"/>
      </w:pPr>
      <w:r w:rsidRPr="003161DC">
        <w:t>(9)</w:t>
      </w:r>
      <w:r w:rsidRPr="003161DC">
        <w:tab/>
        <w:t>Each QSE providing ECRS shall meet the deployment performance requirements specified in Section 8.1.1.4.2, Responsive Reserve Energy Deployment Criteria.</w:t>
      </w:r>
    </w:p>
    <w:p w14:paraId="0F006259" w14:textId="50FEAC14" w:rsidR="008611B7" w:rsidRPr="003161DC" w:rsidRDefault="008611B7" w:rsidP="008611B7">
      <w:pPr>
        <w:spacing w:after="240"/>
        <w:ind w:left="720" w:hanging="720"/>
      </w:pPr>
      <w:r w:rsidRPr="003161DC">
        <w:t>(10)</w:t>
      </w:r>
      <w:r w:rsidRPr="003161DC">
        <w:tab/>
        <w:t xml:space="preserve">ERCOT shall issue instructions to release ECRS capacity provided from Generation Resources and </w:t>
      </w:r>
      <w:r w:rsidR="00C67FF2">
        <w:t>CLR</w:t>
      </w:r>
      <w:r w:rsidRPr="003161DC">
        <w:t xml:space="preserve">s to SCED over ICCP and shall issue deployment instructions for Load Resources providing ECRS via XML.  Such instructions shall contain the MW requested.  </w:t>
      </w:r>
    </w:p>
    <w:p w14:paraId="1CC9B2F2" w14:textId="3FC0CA8D" w:rsidR="008611B7" w:rsidRPr="003161DC" w:rsidRDefault="008611B7" w:rsidP="008611B7">
      <w:pPr>
        <w:spacing w:after="240"/>
        <w:ind w:left="720" w:hanging="720"/>
      </w:pPr>
      <w:r w:rsidRPr="003161DC">
        <w:t>(11)</w:t>
      </w:r>
      <w:r w:rsidRPr="003161DC">
        <w:tab/>
        <w:t xml:space="preserve">To the extent that ERCOT deploys a Load Resource that is not a </w:t>
      </w:r>
      <w:r w:rsidR="00C67FF2">
        <w:t>CLR</w:t>
      </w:r>
      <w:r w:rsidRPr="003161DC">
        <w:t xml:space="preserve"> and that has chosen a block deployment option, ERCOT shall either deploy the entire Ancillary </w:t>
      </w:r>
      <w:r w:rsidRPr="003161DC">
        <w:lastRenderedPageBreak/>
        <w:t>Service Resource Responsibility or, if only partial deployment is possible, skip the Load Resource with the block deployment option and proceed to deploy the next available Resource.</w:t>
      </w:r>
    </w:p>
    <w:p w14:paraId="00E2B3C0" w14:textId="12A7930B" w:rsidR="008611B7" w:rsidRPr="003161DC" w:rsidRDefault="008611B7" w:rsidP="008611B7">
      <w:pPr>
        <w:spacing w:after="240"/>
        <w:ind w:left="720" w:hanging="720"/>
      </w:pPr>
      <w:r w:rsidRPr="003161DC">
        <w:t>(12)</w:t>
      </w:r>
      <w:r w:rsidRPr="003161DC">
        <w:tab/>
        <w:t xml:space="preserve">ERCOT shall recall automatically deployed ECRS capacity once system frequency recovers above </w:t>
      </w:r>
      <w:r>
        <w:t>59.97</w:t>
      </w:r>
      <w:r w:rsidRPr="003161DC">
        <w:t xml:space="preserve"> Hz. </w:t>
      </w:r>
    </w:p>
    <w:p w14:paraId="5F2144E8" w14:textId="62B2E606" w:rsidR="00F61076" w:rsidRDefault="008611B7" w:rsidP="008611B7">
      <w:pPr>
        <w:pStyle w:val="BodyTextNumbered"/>
      </w:pPr>
      <w:r w:rsidRPr="003161DC">
        <w:t>(13)</w:t>
      </w:r>
      <w:r w:rsidRPr="003161DC">
        <w:tab/>
        <w:t xml:space="preserve">ERCOT shall recall ECRS deployment provided from </w:t>
      </w:r>
      <w:r w:rsidR="00C0477D">
        <w:t xml:space="preserve">a </w:t>
      </w:r>
      <w:r w:rsidRPr="003161DC">
        <w:t xml:space="preserve">Load Resource that is not a </w:t>
      </w:r>
      <w:r w:rsidR="00C67FF2">
        <w:t>CLR</w:t>
      </w:r>
      <w:r w:rsidRPr="003161DC">
        <w:t xml:space="preserve"> once PRC is above a pre-defined threshold, as described in the Operating Guides.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8280D" w14:paraId="7132A5B6" w14:textId="77777777" w:rsidTr="0058435E">
        <w:trPr>
          <w:trHeight w:val="206"/>
        </w:trPr>
        <w:tc>
          <w:tcPr>
            <w:tcW w:w="5000" w:type="pct"/>
            <w:shd w:val="pct12" w:color="auto" w:fill="auto"/>
          </w:tcPr>
          <w:p w14:paraId="3ED9934A" w14:textId="5CC9803F" w:rsidR="0038280D" w:rsidRDefault="0038280D" w:rsidP="0058435E">
            <w:pPr>
              <w:pStyle w:val="Instructions"/>
              <w:spacing w:before="120"/>
            </w:pPr>
            <w:bookmarkStart w:id="1287" w:name="_Toc397504977"/>
            <w:bookmarkStart w:id="1288" w:name="_Toc402357105"/>
            <w:bookmarkStart w:id="1289" w:name="_Toc422486485"/>
            <w:bookmarkStart w:id="1290" w:name="_Toc433093337"/>
            <w:bookmarkStart w:id="1291" w:name="_Toc433093495"/>
            <w:bookmarkStart w:id="1292" w:name="_Toc440874724"/>
            <w:bookmarkStart w:id="1293" w:name="_Toc448142279"/>
            <w:bookmarkStart w:id="1294" w:name="_Toc448142436"/>
            <w:bookmarkStart w:id="1295" w:name="_Toc458770272"/>
            <w:bookmarkStart w:id="1296" w:name="_Toc459294240"/>
            <w:bookmarkStart w:id="1297" w:name="_Toc463262733"/>
            <w:bookmarkStart w:id="1298" w:name="_Toc468286807"/>
            <w:bookmarkStart w:id="1299" w:name="_Toc481502853"/>
            <w:bookmarkStart w:id="1300" w:name="_Toc496080021"/>
            <w:bookmarkEnd w:id="1286"/>
            <w:r>
              <w:t>[</w:t>
            </w:r>
            <w:r w:rsidR="00F61076">
              <w:t>NPRR1010</w:t>
            </w:r>
            <w:r w:rsidR="006963EB">
              <w:t xml:space="preserve"> and NPRR1246</w:t>
            </w:r>
            <w:r>
              <w:t xml:space="preserve">:  </w:t>
            </w:r>
            <w:r w:rsidR="008611B7">
              <w:t>Replace</w:t>
            </w:r>
            <w:r w:rsidR="00F61076">
              <w:t xml:space="preserve"> </w:t>
            </w:r>
            <w:r>
              <w:t xml:space="preserve">Section 6.5.7.6.2.4 </w:t>
            </w:r>
            <w:r w:rsidR="008611B7">
              <w:t>above with the following</w:t>
            </w:r>
            <w:r w:rsidR="00F61076">
              <w:t xml:space="preserve"> upon system implementation of the Real-Time Co-Optimization (RTC) project</w:t>
            </w:r>
            <w:r>
              <w:t>:]</w:t>
            </w:r>
          </w:p>
          <w:p w14:paraId="3BF4667C" w14:textId="77777777" w:rsidR="0038280D" w:rsidRPr="0038280D" w:rsidRDefault="0038280D" w:rsidP="0038280D">
            <w:pPr>
              <w:keepNext/>
              <w:tabs>
                <w:tab w:val="left" w:pos="1800"/>
              </w:tabs>
              <w:spacing w:before="240" w:after="240"/>
              <w:ind w:left="1800" w:hanging="1800"/>
              <w:outlineLvl w:val="5"/>
              <w:rPr>
                <w:b/>
                <w:bCs/>
                <w:i/>
                <w:szCs w:val="22"/>
              </w:rPr>
            </w:pPr>
            <w:r w:rsidRPr="0038280D">
              <w:rPr>
                <w:b/>
                <w:bCs/>
                <w:szCs w:val="22"/>
              </w:rPr>
              <w:t>6.5.7.6.2.</w:t>
            </w:r>
            <w:r>
              <w:rPr>
                <w:b/>
                <w:bCs/>
                <w:szCs w:val="22"/>
              </w:rPr>
              <w:t>4</w:t>
            </w:r>
            <w:r w:rsidRPr="0038280D">
              <w:rPr>
                <w:b/>
                <w:bCs/>
                <w:i/>
                <w:szCs w:val="22"/>
              </w:rPr>
              <w:tab/>
            </w:r>
            <w:r w:rsidRPr="00885B78">
              <w:rPr>
                <w:b/>
                <w:bCs/>
                <w:szCs w:val="22"/>
              </w:rPr>
              <w:t>Deployment and Recall of ERCOT Contingency Reserve Service</w:t>
            </w:r>
          </w:p>
          <w:p w14:paraId="2A0C6C67" w14:textId="77777777" w:rsidR="0038280D" w:rsidRPr="0038280D" w:rsidRDefault="0038280D" w:rsidP="0038280D">
            <w:pPr>
              <w:spacing w:after="240"/>
              <w:ind w:left="720" w:hanging="720"/>
            </w:pPr>
            <w:r w:rsidRPr="0038280D">
              <w:t>(1)</w:t>
            </w:r>
            <w:r w:rsidRPr="0038280D">
              <w:tab/>
              <w:t>ECRS is intended to:</w:t>
            </w:r>
          </w:p>
          <w:p w14:paraId="39A77E97" w14:textId="77777777" w:rsidR="0038280D" w:rsidRPr="0038280D" w:rsidRDefault="0038280D" w:rsidP="0038280D">
            <w:pPr>
              <w:spacing w:after="240"/>
              <w:ind w:left="1440" w:hanging="720"/>
            </w:pPr>
            <w:r w:rsidRPr="0038280D">
              <w:t>(a)</w:t>
            </w:r>
            <w:r w:rsidRPr="0038280D">
              <w:tab/>
              <w:t>Help restore the frequency to 60 Hz within ten minutes of a significant frequency deviation;</w:t>
            </w:r>
          </w:p>
          <w:p w14:paraId="69B03228" w14:textId="2DBBF5FA" w:rsidR="0038280D" w:rsidRPr="0038280D" w:rsidRDefault="0038280D" w:rsidP="0038280D">
            <w:pPr>
              <w:spacing w:after="240"/>
              <w:ind w:left="1440" w:hanging="720"/>
            </w:pPr>
            <w:r w:rsidRPr="0038280D">
              <w:t>(b)</w:t>
            </w:r>
            <w:r w:rsidRPr="0038280D">
              <w:tab/>
              <w:t>Provide energy to avoid</w:t>
            </w:r>
            <w:r w:rsidR="00243207">
              <w:t>,</w:t>
            </w:r>
            <w:r w:rsidRPr="0038280D">
              <w:t xml:space="preserve"> or during the implementation of</w:t>
            </w:r>
            <w:r w:rsidR="00243207">
              <w:t>,</w:t>
            </w:r>
            <w:r w:rsidRPr="0038280D">
              <w:t xml:space="preserve"> an EEA;</w:t>
            </w:r>
          </w:p>
          <w:p w14:paraId="2781176D" w14:textId="78F95874" w:rsidR="0038280D" w:rsidRDefault="0038280D" w:rsidP="0038280D">
            <w:pPr>
              <w:spacing w:after="240"/>
              <w:ind w:left="1440" w:hanging="720"/>
            </w:pPr>
            <w:r w:rsidRPr="0038280D">
              <w:t>(c)</w:t>
            </w:r>
            <w:r w:rsidRPr="0038280D">
              <w:tab/>
              <w:t>Provide backup to Reg-Up</w:t>
            </w:r>
            <w:r w:rsidR="00F36EFF">
              <w:t>; and</w:t>
            </w:r>
          </w:p>
          <w:p w14:paraId="5A6FDF4E" w14:textId="1E08B145" w:rsidR="00F36EFF" w:rsidRPr="0038280D" w:rsidRDefault="00F36EFF" w:rsidP="0038280D">
            <w:pPr>
              <w:spacing w:after="240"/>
              <w:ind w:left="1440" w:hanging="720"/>
            </w:pPr>
            <w:r>
              <w:t>(d)</w:t>
            </w:r>
            <w:r w:rsidRPr="0038280D">
              <w:tab/>
            </w:r>
            <w:r>
              <w:t>Provide energy upon detection of insufficient available capacity for net load    ramps.</w:t>
            </w:r>
          </w:p>
          <w:p w14:paraId="1E6C83D8" w14:textId="083A5AD8" w:rsidR="0038280D" w:rsidRPr="0038280D" w:rsidRDefault="0038280D" w:rsidP="0038280D">
            <w:pPr>
              <w:spacing w:after="240"/>
              <w:ind w:left="720" w:hanging="720"/>
            </w:pPr>
            <w:r w:rsidRPr="0038280D">
              <w:t>(2)</w:t>
            </w:r>
            <w:r w:rsidRPr="0038280D">
              <w:tab/>
              <w:t xml:space="preserve">ERCOT shall deploy ECRS to meet NERC Standards and other performance criteria as specified in these Protocols and the Operating Guides by </w:t>
            </w:r>
            <w:r w:rsidR="00F87A8D">
              <w:t xml:space="preserve">taking </w:t>
            </w:r>
            <w:r w:rsidRPr="0038280D">
              <w:t>one or more of the following</w:t>
            </w:r>
            <w:r w:rsidR="00F87A8D">
              <w:t xml:space="preserve"> actions</w:t>
            </w:r>
            <w:r w:rsidRPr="0038280D">
              <w:t>:</w:t>
            </w:r>
          </w:p>
          <w:p w14:paraId="440AC7BD" w14:textId="276C5A24" w:rsidR="0038280D" w:rsidRPr="0038280D" w:rsidRDefault="0038280D" w:rsidP="0038280D">
            <w:pPr>
              <w:spacing w:after="240"/>
              <w:ind w:left="1440" w:hanging="720"/>
            </w:pPr>
            <w:r w:rsidRPr="0038280D">
              <w:t>(a)</w:t>
            </w:r>
            <w:r w:rsidRPr="0038280D">
              <w:tab/>
            </w:r>
            <w:r w:rsidR="00935574" w:rsidRPr="003161DC">
              <w:t xml:space="preserve">ERCOT shall issue </w:t>
            </w:r>
            <w:r w:rsidR="00935574">
              <w:t xml:space="preserve">ECRS </w:t>
            </w:r>
            <w:r w:rsidR="00935574" w:rsidRPr="003161DC">
              <w:t>deployment Dispatch Instructions</w:t>
            </w:r>
            <w:r w:rsidR="00935574">
              <w:t xml:space="preserve">, specifying the required MW output, </w:t>
            </w:r>
            <w:r w:rsidR="00935574" w:rsidRPr="003161DC">
              <w:t xml:space="preserve">over ICCP for Resources </w:t>
            </w:r>
            <w:r w:rsidR="00935574">
              <w:t>awarded ECRS with a Resource Status of ONSC.</w:t>
            </w:r>
          </w:p>
          <w:p w14:paraId="6C9D886E" w14:textId="3BEE7E38" w:rsidR="0038280D" w:rsidRPr="0038280D" w:rsidRDefault="0038280D" w:rsidP="0038280D">
            <w:pPr>
              <w:spacing w:after="240"/>
              <w:ind w:left="1440" w:hanging="720"/>
            </w:pPr>
            <w:r w:rsidRPr="0038280D">
              <w:t>(b)</w:t>
            </w:r>
            <w:r w:rsidRPr="0038280D">
              <w:tab/>
              <w:t xml:space="preserve">Dispatch Instruction for deployment of energy </w:t>
            </w:r>
            <w:r w:rsidR="00F87A8D">
              <w:t xml:space="preserve">from Load Resources </w:t>
            </w:r>
            <w:r w:rsidRPr="0038280D">
              <w:t>via electronic Messaging System.</w:t>
            </w:r>
          </w:p>
          <w:p w14:paraId="615A5BA9" w14:textId="6809FF5E" w:rsidR="0038280D" w:rsidRPr="0038280D" w:rsidRDefault="0038280D" w:rsidP="0038280D">
            <w:pPr>
              <w:spacing w:after="240"/>
              <w:ind w:left="720" w:hanging="720"/>
            </w:pPr>
            <w:r w:rsidRPr="0038280D">
              <w:t>(</w:t>
            </w:r>
            <w:r w:rsidR="00935574">
              <w:t>3</w:t>
            </w:r>
            <w:r w:rsidRPr="0038280D">
              <w:t>)</w:t>
            </w:r>
            <w:r w:rsidRPr="0038280D">
              <w:tab/>
              <w:t>Energy from Resources providing ECRS may also be manually deployed by ERCOT pursuant to Section 6.5.9, Emergency Operations.</w:t>
            </w:r>
          </w:p>
          <w:p w14:paraId="627B5F00" w14:textId="62969802" w:rsidR="0038280D" w:rsidRPr="0038280D" w:rsidRDefault="0038280D" w:rsidP="0038280D">
            <w:pPr>
              <w:spacing w:after="240"/>
              <w:ind w:left="720" w:hanging="720"/>
            </w:pPr>
            <w:r w:rsidRPr="0038280D">
              <w:t>(</w:t>
            </w:r>
            <w:r w:rsidR="00935574">
              <w:t>4</w:t>
            </w:r>
            <w:r w:rsidRPr="0038280D">
              <w:t>)</w:t>
            </w:r>
            <w:r w:rsidRPr="0038280D">
              <w:tab/>
              <w:t>ERCOT shall use SCED and Non-Spin as soon as practicable to recover ECRS reserves.</w:t>
            </w:r>
          </w:p>
          <w:p w14:paraId="31F85F76" w14:textId="1263C7A5" w:rsidR="0038280D" w:rsidRPr="0038280D" w:rsidRDefault="0038280D" w:rsidP="0038280D">
            <w:pPr>
              <w:spacing w:after="240"/>
              <w:ind w:left="720" w:hanging="720"/>
            </w:pPr>
            <w:r w:rsidRPr="0038280D">
              <w:t>(</w:t>
            </w:r>
            <w:r w:rsidR="00935574">
              <w:t>5</w:t>
            </w:r>
            <w:r w:rsidRPr="0038280D">
              <w:t>)</w:t>
            </w:r>
            <w:r w:rsidRPr="0038280D">
              <w:tab/>
              <w:t xml:space="preserve">Following a </w:t>
            </w:r>
            <w:r w:rsidR="00935574">
              <w:t xml:space="preserve">manual </w:t>
            </w:r>
            <w:r w:rsidRPr="0038280D">
              <w:t>ECRS deployment</w:t>
            </w:r>
            <w:r w:rsidR="00935574">
              <w:t xml:space="preserve"> to Load Resources, excluding </w:t>
            </w:r>
            <w:r w:rsidR="00C67FF2">
              <w:t>CLR</w:t>
            </w:r>
            <w:r w:rsidR="00935574">
              <w:t>s, or Resources telemetering a Resource Status of ONSC</w:t>
            </w:r>
            <w:r w:rsidRPr="0038280D">
              <w:t>, the QSE’s obligation to deliver ECRS remains in effect until ERCOT issues a recall instruction</w:t>
            </w:r>
            <w:r w:rsidRPr="0038280D">
              <w:rPr>
                <w:szCs w:val="24"/>
              </w:rPr>
              <w:t>.</w:t>
            </w:r>
          </w:p>
          <w:p w14:paraId="7969A6DA" w14:textId="47C2F017" w:rsidR="0038280D" w:rsidRPr="0038280D" w:rsidRDefault="0038280D" w:rsidP="0038280D">
            <w:pPr>
              <w:spacing w:after="240"/>
              <w:ind w:left="720" w:hanging="720"/>
            </w:pPr>
            <w:r w:rsidRPr="0038280D">
              <w:lastRenderedPageBreak/>
              <w:t>(</w:t>
            </w:r>
            <w:r w:rsidR="00935574">
              <w:t>6</w:t>
            </w:r>
            <w:r w:rsidRPr="0038280D">
              <w:t>)</w:t>
            </w:r>
            <w:r w:rsidRPr="0038280D">
              <w:tab/>
              <w:t>For Generation Resources</w:t>
            </w:r>
            <w:r w:rsidR="006963EB">
              <w:t>, ESRs,</w:t>
            </w:r>
            <w:r w:rsidRPr="0038280D">
              <w:t xml:space="preserve"> and </w:t>
            </w:r>
            <w:r w:rsidR="00C67FF2">
              <w:t>CLR</w:t>
            </w:r>
            <w:r w:rsidRPr="0038280D">
              <w:t xml:space="preserve">s providing ECRS, Base Points include ECRS energy as well as any other energy dispatched by SCED.  A Resource must be able to be fully dispatched by SCED to its ECRS Ancillary Service </w:t>
            </w:r>
            <w:r w:rsidR="00935574">
              <w:t>award</w:t>
            </w:r>
            <w:r w:rsidRPr="0038280D">
              <w:t xml:space="preserve"> within the ten-minute time frame according to its telemetered </w:t>
            </w:r>
            <w:r w:rsidR="00935574">
              <w:t>ramp rate that reflects the Resource’s capability of providing ECRS</w:t>
            </w:r>
            <w:r w:rsidRPr="0038280D">
              <w:t xml:space="preserve">. </w:t>
            </w:r>
          </w:p>
          <w:p w14:paraId="6532FAE5" w14:textId="52DE112C" w:rsidR="0038280D" w:rsidRPr="0038280D" w:rsidRDefault="0038280D" w:rsidP="0038280D">
            <w:pPr>
              <w:spacing w:after="240"/>
              <w:ind w:left="720" w:hanging="720"/>
            </w:pPr>
            <w:r w:rsidRPr="0038280D">
              <w:t>(</w:t>
            </w:r>
            <w:r w:rsidR="00935574">
              <w:t>7</w:t>
            </w:r>
            <w:r w:rsidRPr="0038280D">
              <w:t>)</w:t>
            </w:r>
            <w:r w:rsidRPr="0038280D">
              <w:tab/>
              <w:t xml:space="preserve">Each </w:t>
            </w:r>
            <w:r w:rsidR="00935574">
              <w:t>Resource</w:t>
            </w:r>
            <w:r w:rsidRPr="0038280D">
              <w:t xml:space="preserve"> providing ECRS shall meet the deployment performance requirements specified in Section 8.1.1.4.2, Responsive Reserve Energy Deployment Criteria.</w:t>
            </w:r>
          </w:p>
          <w:p w14:paraId="6FD00D36" w14:textId="3E1DBE2A" w:rsidR="0038280D" w:rsidRPr="0038280D" w:rsidRDefault="0038280D" w:rsidP="0038280D">
            <w:pPr>
              <w:spacing w:after="240"/>
              <w:ind w:left="720" w:hanging="720"/>
            </w:pPr>
            <w:r w:rsidRPr="0038280D">
              <w:t>(</w:t>
            </w:r>
            <w:r w:rsidR="00935574">
              <w:t>8</w:t>
            </w:r>
            <w:r w:rsidRPr="0038280D">
              <w:t>)</w:t>
            </w:r>
            <w:r w:rsidRPr="0038280D">
              <w:tab/>
              <w:t xml:space="preserve">ERCOT shall issue deployment instructions for Load Resources providing ECRS via XML.  Such instructions shall contain the MW requested.  </w:t>
            </w:r>
          </w:p>
          <w:p w14:paraId="1B97D1A5" w14:textId="7B2FBC8F" w:rsidR="0038280D" w:rsidRPr="0038280D" w:rsidRDefault="0038280D" w:rsidP="0038280D">
            <w:pPr>
              <w:spacing w:after="240"/>
              <w:ind w:left="720" w:hanging="720"/>
            </w:pPr>
            <w:r w:rsidRPr="0038280D">
              <w:t>(</w:t>
            </w:r>
            <w:r w:rsidR="00935574">
              <w:t>9</w:t>
            </w:r>
            <w:r w:rsidRPr="0038280D">
              <w:t xml:space="preserve">) </w:t>
            </w:r>
            <w:r w:rsidRPr="0038280D">
              <w:tab/>
              <w:t xml:space="preserve">To the extent that ERCOT deploys a Load Resource that is not a </w:t>
            </w:r>
            <w:r w:rsidR="00C67FF2">
              <w:t>CLR</w:t>
            </w:r>
            <w:r w:rsidRPr="0038280D">
              <w:t xml:space="preserve"> and that has chosen a block deployment option, ERCOT shall either deploy the entire Ancillary Service </w:t>
            </w:r>
            <w:r w:rsidR="00935574">
              <w:t>award</w:t>
            </w:r>
            <w:r w:rsidRPr="0038280D">
              <w:t xml:space="preserve"> or, if only partial deployment is possible, skip the Load Resource with the block deployment option and proceed to deploy the next available Resource.</w:t>
            </w:r>
          </w:p>
          <w:p w14:paraId="2A5278B1" w14:textId="52BC2EA5" w:rsidR="0038280D" w:rsidRPr="0038280D" w:rsidRDefault="0038280D" w:rsidP="0038280D">
            <w:pPr>
              <w:spacing w:after="240"/>
              <w:ind w:left="720" w:hanging="720"/>
            </w:pPr>
            <w:r w:rsidRPr="0038280D">
              <w:t>(1</w:t>
            </w:r>
            <w:r w:rsidR="00935574">
              <w:t>0</w:t>
            </w:r>
            <w:r w:rsidRPr="0038280D">
              <w:t>)</w:t>
            </w:r>
            <w:r w:rsidRPr="0038280D">
              <w:tab/>
              <w:t xml:space="preserve">ERCOT shall recall </w:t>
            </w:r>
            <w:r w:rsidR="00935574">
              <w:t>deployed ECRS capacity provided from Resource telemetering Resource Status of ONSC</w:t>
            </w:r>
            <w:r w:rsidR="00935574" w:rsidRPr="0038280D">
              <w:t xml:space="preserve"> </w:t>
            </w:r>
            <w:r w:rsidRPr="0038280D">
              <w:t>once system frequency recovers above 59.9</w:t>
            </w:r>
            <w:r w:rsidR="00935574">
              <w:t>8</w:t>
            </w:r>
            <w:r w:rsidRPr="0038280D">
              <w:t xml:space="preserve"> Hz. </w:t>
            </w:r>
          </w:p>
          <w:p w14:paraId="38ECD84C" w14:textId="68DCCB41" w:rsidR="0038280D" w:rsidRPr="00C3334D" w:rsidRDefault="0038280D" w:rsidP="0038280D">
            <w:pPr>
              <w:spacing w:after="240"/>
              <w:ind w:left="720" w:hanging="720"/>
            </w:pPr>
            <w:r w:rsidRPr="0038280D">
              <w:t>(1</w:t>
            </w:r>
            <w:r w:rsidR="00935574">
              <w:t>1</w:t>
            </w:r>
            <w:r w:rsidRPr="0038280D">
              <w:t>)</w:t>
            </w:r>
            <w:r w:rsidRPr="0038280D">
              <w:tab/>
              <w:t xml:space="preserve">ERCOT shall recall ECRS deployment provided from </w:t>
            </w:r>
            <w:r w:rsidR="00243207">
              <w:t xml:space="preserve">a </w:t>
            </w:r>
            <w:r w:rsidRPr="0038280D">
              <w:t xml:space="preserve">Load Resource that is not a </w:t>
            </w:r>
            <w:r w:rsidR="00C67FF2">
              <w:t>CLR</w:t>
            </w:r>
            <w:r w:rsidRPr="0038280D">
              <w:t xml:space="preserve"> once PRC is above a pre-defined threshold, as described in the Operating Guides.</w:t>
            </w:r>
          </w:p>
        </w:tc>
      </w:tr>
    </w:tbl>
    <w:p w14:paraId="3F0C299C" w14:textId="77777777" w:rsidR="001F04FD" w:rsidRDefault="001F04FD" w:rsidP="001F04FD">
      <w:pPr>
        <w:pStyle w:val="H4"/>
        <w:spacing w:before="480"/>
        <w:ind w:left="1267" w:hanging="1267"/>
      </w:pPr>
      <w:bookmarkStart w:id="1301" w:name="_Toc189044369"/>
      <w:r>
        <w:lastRenderedPageBreak/>
        <w:t>6.5.7.7</w:t>
      </w:r>
      <w:r>
        <w:tab/>
        <w:t>Voltage Support Service</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50A50E20" w14:textId="77777777" w:rsidR="00A02B41" w:rsidRDefault="00A02B41" w:rsidP="00A02B41">
      <w:pPr>
        <w:pStyle w:val="BodyTextNumbered"/>
      </w:pPr>
      <w:r>
        <w:t>(1)</w:t>
      </w:r>
      <w:r>
        <w:tab/>
        <w:t>ERCOT shall coordinate with TSPs the creation and maintenance of Voltage Profiles as described in Section 3.15, Voltage Support.</w:t>
      </w:r>
    </w:p>
    <w:p w14:paraId="671BD443" w14:textId="710CA58B" w:rsidR="00A02B41" w:rsidRDefault="00A02B41" w:rsidP="00A02B41">
      <w:pPr>
        <w:pStyle w:val="BodyTextNumbered"/>
      </w:pPr>
      <w:r>
        <w:t>(2)</w:t>
      </w:r>
      <w:r>
        <w:tab/>
      </w:r>
      <w:r w:rsidR="008D0217" w:rsidRPr="00742ABD">
        <w:t xml:space="preserve">ERCOT shall instruct </w:t>
      </w:r>
      <w:r w:rsidR="008D0217" w:rsidRPr="00742ABD">
        <w:rPr>
          <w:color w:val="000000"/>
        </w:rPr>
        <w:t>the interconnecting TSP, or the TSP’s agent,</w:t>
      </w:r>
      <w:r w:rsidR="008D0217" w:rsidRPr="00742ABD">
        <w:t xml:space="preserve"> to make Voltage Set Point adjustments, as necessary, within the Generation Resource’s </w:t>
      </w:r>
      <w:r w:rsidR="008D0217" w:rsidRPr="000649FA">
        <w:t xml:space="preserve">or </w:t>
      </w:r>
      <w:r w:rsidR="008D0217">
        <w:t>ESR’s Corrected</w:t>
      </w:r>
      <w:r w:rsidR="008D0217" w:rsidRPr="00742ABD">
        <w:t xml:space="preserve"> Unit Reactive Limit (</w:t>
      </w:r>
      <w:r w:rsidR="008D0217">
        <w:t>C</w:t>
      </w:r>
      <w:r w:rsidR="008D0217" w:rsidRPr="00742ABD">
        <w:t xml:space="preserve">URL) provided to ERCOT.  </w:t>
      </w:r>
      <w:r w:rsidR="008D0217" w:rsidRPr="00742ABD">
        <w:rPr>
          <w:color w:val="000000"/>
        </w:rPr>
        <w:t>The interconnecting TSP, or the TSP’s agent, shall instruct any QSE or Resource Entity representing a Generation Resource</w:t>
      </w:r>
      <w:r w:rsidR="008D0217">
        <w:rPr>
          <w:color w:val="000000"/>
        </w:rPr>
        <w:t xml:space="preserve"> </w:t>
      </w:r>
      <w:r w:rsidR="008D0217" w:rsidRPr="000649FA">
        <w:t>or ESR</w:t>
      </w:r>
      <w:r w:rsidR="008D0217" w:rsidRPr="00742ABD">
        <w:rPr>
          <w:color w:val="000000"/>
        </w:rPr>
        <w:t xml:space="preserve"> to make the Voltage Set Point adjustments instructed by ERCOT, or as the TSP determines to be necessary.  </w:t>
      </w:r>
      <w:r w:rsidR="008D0217" w:rsidRPr="00742ABD">
        <w:t>If ERCOT determines that a Generation Resource</w:t>
      </w:r>
      <w:r w:rsidR="008D0217">
        <w:t xml:space="preserve"> </w:t>
      </w:r>
      <w:r w:rsidR="008D0217" w:rsidRPr="000649FA">
        <w:t>or ESR</w:t>
      </w:r>
      <w:r w:rsidR="008D0217" w:rsidRPr="00742ABD">
        <w:t xml:space="preserve"> should be instructed to provide additional MVAr beyond its URL or that a Generation Resource’s </w:t>
      </w:r>
      <w:r w:rsidR="008D0217" w:rsidRPr="000649FA">
        <w:t>or ESR</w:t>
      </w:r>
      <w:r w:rsidR="008D0217">
        <w:t>’s</w:t>
      </w:r>
      <w:r w:rsidR="008D0217" w:rsidRPr="00742ABD">
        <w:t xml:space="preserve"> real power output should be decreased to allow the Generation Resource</w:t>
      </w:r>
      <w:r w:rsidR="008D0217">
        <w:t xml:space="preserve"> </w:t>
      </w:r>
      <w:r w:rsidR="008D0217" w:rsidRPr="000649FA">
        <w:t>or ESR</w:t>
      </w:r>
      <w:r w:rsidR="008D0217" w:rsidRPr="00742ABD">
        <w:t xml:space="preserve"> to provide additional Reactive Power beyond the URL, ERCOT shall issue a Resource-specific Dispatch Instruction requiring any change in Reactive Power and/or real power output, except that ERCOT may not require a Generation Resource</w:t>
      </w:r>
      <w:r w:rsidR="008D0217">
        <w:t xml:space="preserve"> </w:t>
      </w:r>
      <w:r w:rsidR="008D0217" w:rsidRPr="000649FA">
        <w:t>or ESR</w:t>
      </w:r>
      <w:r w:rsidR="008D0217" w:rsidRPr="00742ABD">
        <w:t xml:space="preserve"> to exceed its </w:t>
      </w:r>
      <w:r w:rsidR="008D0217">
        <w:t>operational</w:t>
      </w:r>
      <w:r w:rsidR="008D0217" w:rsidRPr="00742ABD">
        <w:t xml:space="preserve"> limits.</w:t>
      </w:r>
    </w:p>
    <w:p w14:paraId="31AB0B19" w14:textId="083FED90" w:rsidR="00A02B41" w:rsidRDefault="00A02B41" w:rsidP="001E4447">
      <w:pPr>
        <w:pStyle w:val="BodyTextNumbered"/>
      </w:pPr>
      <w:r>
        <w:t>(3)</w:t>
      </w:r>
      <w:r>
        <w:tab/>
      </w:r>
      <w:r w:rsidR="008D0217" w:rsidRPr="00742ABD">
        <w:t xml:space="preserve">ERCOT and TSPs shall develop procedures for the operation of transmission-controlled reactive </w:t>
      </w:r>
      <w:r w:rsidR="008D0217">
        <w:t>equipment</w:t>
      </w:r>
      <w:r w:rsidR="008D0217" w:rsidRPr="00742ABD">
        <w:t xml:space="preserve"> in order to minimize the dependence on </w:t>
      </w:r>
      <w:r w:rsidR="008D0217" w:rsidRPr="000649FA">
        <w:t>Reactive Power supplied by Generation Resources and ESRs</w:t>
      </w:r>
      <w:r w:rsidR="008D0217" w:rsidRPr="00742ABD">
        <w:t>.  For Generation Resources</w:t>
      </w:r>
      <w:r w:rsidR="008D0217">
        <w:t xml:space="preserve"> and ESRs</w:t>
      </w:r>
      <w:r w:rsidR="008D0217" w:rsidRPr="00742ABD">
        <w:t xml:space="preserve"> required to provide Voltage Support Service (VSS), GSU transformer tap settings must be managed </w:t>
      </w:r>
      <w:r w:rsidR="008D0217" w:rsidRPr="00742ABD">
        <w:lastRenderedPageBreak/>
        <w:t>to maximize the use of the ERCOT System for all Market Participants while maintaining adequate reliability.</w:t>
      </w:r>
    </w:p>
    <w:p w14:paraId="09D5821F" w14:textId="3D75DF54" w:rsidR="00A02B41" w:rsidRDefault="00A02B41" w:rsidP="001E4447">
      <w:pPr>
        <w:pStyle w:val="BodyTextNumbered"/>
      </w:pPr>
      <w:r>
        <w:t>(4)</w:t>
      </w:r>
      <w:r>
        <w:tab/>
      </w:r>
      <w:r w:rsidR="008D0217" w:rsidRPr="00742ABD">
        <w:t xml:space="preserve">Each TSP, under ERCOT’s direction, is responsible for monitoring and ensuring that all Generation Resources </w:t>
      </w:r>
      <w:r w:rsidR="008D0217">
        <w:t>and ESRs</w:t>
      </w:r>
      <w:r w:rsidR="008D0217" w:rsidRPr="00742ABD">
        <w:t xml:space="preserve"> required to provide VSS have their dynamic reactive capability deployed in approximate proportion to their respective capability requirements.</w:t>
      </w:r>
    </w:p>
    <w:p w14:paraId="5EED900A" w14:textId="1FDA41A6" w:rsidR="001F04FD" w:rsidRDefault="00A02B41" w:rsidP="001E4447">
      <w:pPr>
        <w:pStyle w:val="BodyTextNumbered"/>
      </w:pPr>
      <w:r>
        <w:t>(5)</w:t>
      </w:r>
      <w:r>
        <w:tab/>
      </w:r>
      <w:r w:rsidR="008D0217" w:rsidRPr="00742ABD">
        <w:t>Each Generation Resource</w:t>
      </w:r>
      <w:r w:rsidR="008D0217">
        <w:t xml:space="preserve"> and ESR</w:t>
      </w:r>
      <w:r w:rsidR="008D0217" w:rsidRPr="00742ABD">
        <w:t xml:space="preserve"> required to provide VSS shall follow its Voltage Set Point as directed by ERCOT,</w:t>
      </w:r>
      <w:r w:rsidR="008D0217" w:rsidRPr="00742ABD">
        <w:rPr>
          <w:iCs/>
        </w:rPr>
        <w:t xml:space="preserve"> the interconnecting TSP, or the TSP’s agent</w:t>
      </w:r>
      <w:r w:rsidR="008D0217" w:rsidRPr="00742ABD">
        <w:t>, within the operating Reactive Power capability of the Generation Resource</w:t>
      </w:r>
      <w:r w:rsidR="008D0217">
        <w:t xml:space="preserve"> or ESR</w:t>
      </w:r>
      <w:r w:rsidR="008D0217" w:rsidRPr="00742ABD">
        <w:t>.</w:t>
      </w:r>
    </w:p>
    <w:p w14:paraId="5ABBB2FD" w14:textId="25D6D0FB" w:rsidR="00DE310B" w:rsidRDefault="00DE310B" w:rsidP="001E4447">
      <w:pPr>
        <w:pStyle w:val="BodyTextNumbered"/>
      </w:pPr>
      <w:r>
        <w:rPr>
          <w:color w:val="000000"/>
        </w:rPr>
        <w:t>(6)</w:t>
      </w:r>
      <w:r>
        <w:tab/>
      </w:r>
      <w:r w:rsidR="008D0217" w:rsidRPr="00742ABD">
        <w:rPr>
          <w:color w:val="000000"/>
        </w:rPr>
        <w:t>Each interconnecting TSP, or the TSP’s agent, shall telemeter via ICCP the Real-Time Voltage Set Point to ERCOT at the Point of Interconnection</w:t>
      </w:r>
      <w:r w:rsidR="008D0217">
        <w:rPr>
          <w:color w:val="000000"/>
        </w:rPr>
        <w:t xml:space="preserve"> Bus</w:t>
      </w:r>
      <w:r w:rsidR="008D0217" w:rsidRPr="00742ABD">
        <w:rPr>
          <w:color w:val="000000"/>
        </w:rPr>
        <w:t xml:space="preserve"> (POI</w:t>
      </w:r>
      <w:r w:rsidR="008D0217">
        <w:rPr>
          <w:color w:val="000000"/>
        </w:rPr>
        <w:t>B</w:t>
      </w:r>
      <w:r w:rsidR="008D0217" w:rsidRPr="00742ABD">
        <w:rPr>
          <w:color w:val="000000"/>
        </w:rPr>
        <w:t>) for each Generation Resource</w:t>
      </w:r>
      <w:r w:rsidR="008D0217">
        <w:rPr>
          <w:color w:val="000000"/>
        </w:rPr>
        <w:t xml:space="preserve"> </w:t>
      </w:r>
      <w:r w:rsidR="008D0217">
        <w:t>and ESRs</w:t>
      </w:r>
      <w:r w:rsidR="008D0217" w:rsidRPr="00742ABD">
        <w:rPr>
          <w:color w:val="000000"/>
        </w:rPr>
        <w:t xml:space="preserve"> interconnected to the TSP’s system</w:t>
      </w:r>
      <w:r w:rsidR="008D0217">
        <w:rPr>
          <w:color w:val="000000"/>
        </w:rPr>
        <w:t xml:space="preserve"> required to provide VSS</w:t>
      </w:r>
      <w:r w:rsidR="008D0217" w:rsidRPr="00742ABD">
        <w:rPr>
          <w:color w:val="000000"/>
        </w:rPr>
        <w:t>.  Each interconnecting TSP, or the TSP’s agent shall modify the telemetered Voltage Set Point to match any verbal Voltage Set Point instructions as soon as practicable.  ERCOT shall telemeter the Real-Time desired Voltage Set Point and the TSP-designated POI</w:t>
      </w:r>
      <w:r w:rsidR="008D0217">
        <w:rPr>
          <w:color w:val="000000"/>
        </w:rPr>
        <w:t>B</w:t>
      </w:r>
      <w:r w:rsidR="008D0217" w:rsidRPr="00742ABD">
        <w:rPr>
          <w:color w:val="000000"/>
        </w:rPr>
        <w:t xml:space="preserve"> kV measurement via ICCP to each QSE representing a Generation Resource</w:t>
      </w:r>
      <w:r w:rsidR="008D0217" w:rsidRPr="00F66E50">
        <w:t xml:space="preserve"> </w:t>
      </w:r>
      <w:r w:rsidR="008D0217">
        <w:t>or an ESR</w:t>
      </w:r>
      <w:r w:rsidR="008D0217" w:rsidRPr="00742ABD">
        <w:rPr>
          <w:color w:val="000000"/>
        </w:rPr>
        <w:t xml:space="preserve">.  Each QSE representing a Generation Resource </w:t>
      </w:r>
      <w:r w:rsidR="008D0217">
        <w:t>or an ESR</w:t>
      </w:r>
      <w:r w:rsidR="008D0217" w:rsidRPr="00742ABD">
        <w:t xml:space="preserve"> </w:t>
      </w:r>
      <w:r w:rsidR="008D0217" w:rsidRPr="00742ABD">
        <w:rPr>
          <w:color w:val="000000"/>
        </w:rPr>
        <w:t>shall provide in Real-Time the desired Voltage Set Point and the associated POI</w:t>
      </w:r>
      <w:r w:rsidR="008D0217">
        <w:rPr>
          <w:color w:val="000000"/>
        </w:rPr>
        <w:t>B</w:t>
      </w:r>
      <w:r w:rsidR="008D0217" w:rsidRPr="00742ABD">
        <w:rPr>
          <w:color w:val="000000"/>
        </w:rPr>
        <w:t xml:space="preserve"> kV measurement provided by ERCOT to the Resource Entity for that Generation Resource</w:t>
      </w:r>
      <w:r w:rsidR="008D0217">
        <w:rPr>
          <w:color w:val="000000"/>
        </w:rPr>
        <w:t xml:space="preserve"> </w:t>
      </w:r>
      <w:r w:rsidR="008D0217">
        <w:t>or ESR</w:t>
      </w:r>
      <w:r w:rsidR="008D0217" w:rsidRPr="00742ABD">
        <w:rPr>
          <w:color w:val="000000"/>
        </w:rPr>
        <w:t>.</w:t>
      </w:r>
    </w:p>
    <w:p w14:paraId="6DCE6834" w14:textId="77777777" w:rsidR="001F04FD" w:rsidRDefault="001F04FD" w:rsidP="001E4447">
      <w:pPr>
        <w:pStyle w:val="H4"/>
        <w:ind w:left="1267" w:hanging="1267"/>
      </w:pPr>
      <w:bookmarkStart w:id="1302" w:name="_Toc73216018"/>
      <w:bookmarkStart w:id="1303" w:name="_Toc397504978"/>
      <w:bookmarkStart w:id="1304" w:name="_Toc402357106"/>
      <w:bookmarkStart w:id="1305" w:name="_Toc422486486"/>
      <w:bookmarkStart w:id="1306" w:name="_Toc433093338"/>
      <w:bookmarkStart w:id="1307" w:name="_Toc433093496"/>
      <w:bookmarkStart w:id="1308" w:name="_Toc440874725"/>
      <w:bookmarkStart w:id="1309" w:name="_Toc448142280"/>
      <w:bookmarkStart w:id="1310" w:name="_Toc448142437"/>
      <w:bookmarkStart w:id="1311" w:name="_Toc458770274"/>
      <w:bookmarkStart w:id="1312" w:name="_Toc459294242"/>
      <w:bookmarkStart w:id="1313" w:name="_Toc463262735"/>
      <w:bookmarkStart w:id="1314" w:name="_Toc468286808"/>
      <w:bookmarkStart w:id="1315" w:name="_Toc481502854"/>
      <w:bookmarkStart w:id="1316" w:name="_Toc496080022"/>
      <w:bookmarkStart w:id="1317" w:name="_Toc189044370"/>
      <w:r>
        <w:t>6.5.7.8</w:t>
      </w:r>
      <w:r>
        <w:tab/>
        <w:t>Dispatch Procedures</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228079FE" w14:textId="77777777" w:rsidR="001F04FD" w:rsidRPr="000149E5" w:rsidRDefault="001F04FD" w:rsidP="001F04FD">
      <w:pPr>
        <w:pStyle w:val="BodyTextNumbered"/>
        <w:rPr>
          <w:iCs/>
        </w:rPr>
      </w:pPr>
      <w:r w:rsidRPr="000149E5">
        <w:rPr>
          <w:iCs/>
        </w:rPr>
        <w:t>(1)</w:t>
      </w:r>
      <w:r w:rsidRPr="000149E5">
        <w:rPr>
          <w:iCs/>
        </w:rPr>
        <w:tab/>
        <w:t xml:space="preserve">ERCOT shall issue all Resource Dispatch Instructions to the QSE that represents the affected Resource.  </w:t>
      </w:r>
      <w:r>
        <w:rPr>
          <w:iCs/>
        </w:rPr>
        <w:t xml:space="preserve">ERCOT and QSEs are responsible for complying with Dispatch Instructions as prescribed in the Nodal Operating Guides.  </w:t>
      </w:r>
      <w:r w:rsidRPr="000149E5">
        <w:t xml:space="preserve">A QSE may provide a Resource Status of ONTEST for a Generation Resource not providing Ancillary Services to indicate that the Resource is currently undergoing unit testing and is blocked from SCED Dispatch.  A QSE may provide a Resource Status of STARTUP for a Generation Resource not providing Ancillary Services to indicate that the Resource is currently undergoing a start-up sequence which requires manual control below or above its telemetered LSL to stabilize the Resource prior to its availability for SCED Dispatch.  Generation Resources with a Resource Status of ONTEST will be provided a Base Point equal to the net real power telemetry at the time of the SCED execution.  </w:t>
      </w:r>
      <w:r w:rsidRPr="000149E5">
        <w:rPr>
          <w:iCs/>
        </w:rPr>
        <w:t>ERCOT may not issue Dispatch Instructions to the QSE for Generation Resources with a Resource Status of ONTEST except: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0257BDA6"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6E7A82C7" w14:textId="1C5112D8" w:rsidR="006963EB" w:rsidRDefault="006963EB" w:rsidP="004E6E12">
            <w:pPr>
              <w:pStyle w:val="Instructions"/>
              <w:spacing w:before="120"/>
            </w:pPr>
            <w:r>
              <w:t>[NPRR1246:  Replace paragraph (1) above with the following upon system implementation of the Real-Time Co-Optimization (RTC) project:]</w:t>
            </w:r>
          </w:p>
          <w:p w14:paraId="6CF807FF" w14:textId="2CC8CC13" w:rsidR="006963EB" w:rsidRPr="006963EB" w:rsidRDefault="006963EB" w:rsidP="006963EB">
            <w:pPr>
              <w:spacing w:after="240"/>
              <w:ind w:left="720" w:hanging="720"/>
              <w:rPr>
                <w:iCs/>
              </w:rPr>
            </w:pPr>
            <w:r w:rsidRPr="00452178">
              <w:rPr>
                <w:iCs/>
              </w:rPr>
              <w:t>(1)</w:t>
            </w:r>
            <w:r w:rsidRPr="00452178">
              <w:rPr>
                <w:iCs/>
              </w:rPr>
              <w:tab/>
              <w:t xml:space="preserve">ERCOT shall issue all Resource Dispatch Instructions to the QSE that represents the affected Resource.  ERCOT and QSEs are responsible for complying with Dispatch Instructions as prescribed in the Nodal Operating Guides.  </w:t>
            </w:r>
            <w:r w:rsidRPr="00452178">
              <w:t xml:space="preserve">A QSE may provide a Resource Status of ONTEST for a Generation Resource </w:t>
            </w:r>
            <w:r>
              <w:t xml:space="preserve">or ESR </w:t>
            </w:r>
            <w:r w:rsidRPr="00452178">
              <w:t xml:space="preserve">not providing </w:t>
            </w:r>
            <w:r w:rsidRPr="00452178">
              <w:lastRenderedPageBreak/>
              <w:t xml:space="preserve">Ancillary Services to indicate that the Resource is currently undergoing unit testing and is blocked from SCED Dispatch.  A QSE may provide a Resource Status of STARTUP for a Generation Resource </w:t>
            </w:r>
            <w:r>
              <w:t>or ESR</w:t>
            </w:r>
            <w:r w:rsidRPr="00452178">
              <w:t xml:space="preserve"> not providing Ancillary Services to indicate that the Resource is currently undergoing a start-up sequence which requires manual control below or above its telemetered LSL to stabilize the Resource prior to its availability for SCED Dispatch.  Generation Resources </w:t>
            </w:r>
            <w:r>
              <w:t>and ESRs</w:t>
            </w:r>
            <w:r w:rsidRPr="00452178">
              <w:t xml:space="preserve"> with a Resource Status of ONTEST will be provided a Base Point equal to the net real power telemetry at the time of the SCED execution.  </w:t>
            </w:r>
            <w:r w:rsidRPr="00452178">
              <w:rPr>
                <w:iCs/>
              </w:rPr>
              <w:t xml:space="preserve">ERCOT may not issue Dispatch Instructions to the QSE for Generation Resources </w:t>
            </w:r>
            <w:r>
              <w:t>or ESRs</w:t>
            </w:r>
            <w:r w:rsidRPr="00452178">
              <w:rPr>
                <w:iCs/>
              </w:rPr>
              <w:t xml:space="preserve"> with a Resource Status of ONTEST except:</w:t>
            </w:r>
          </w:p>
        </w:tc>
      </w:tr>
    </w:tbl>
    <w:p w14:paraId="35D4DCB7" w14:textId="650695FC" w:rsidR="001F04FD" w:rsidRDefault="001F04FD" w:rsidP="00DD0A69">
      <w:pPr>
        <w:pStyle w:val="List"/>
        <w:spacing w:before="240"/>
      </w:pPr>
      <w:r>
        <w:lastRenderedPageBreak/>
        <w:t>(a)</w:t>
      </w:r>
      <w:r>
        <w:tab/>
        <w:t>For Dispatch Instructions that are a part of testing; or</w:t>
      </w:r>
    </w:p>
    <w:p w14:paraId="42243158" w14:textId="77777777" w:rsidR="001F04FD" w:rsidRDefault="001F04FD" w:rsidP="001F04FD">
      <w:pPr>
        <w:pStyle w:val="List"/>
      </w:pPr>
      <w:r>
        <w:t>(b)</w:t>
      </w:r>
      <w:r>
        <w:tab/>
        <w:t>During conditions when the Resource is the only alternative for solving a transmission constraint; or</w:t>
      </w:r>
    </w:p>
    <w:p w14:paraId="0185E725" w14:textId="77777777" w:rsidR="001F04FD" w:rsidRDefault="001F04FD" w:rsidP="001F04FD">
      <w:pPr>
        <w:pStyle w:val="List"/>
      </w:pPr>
      <w:r>
        <w:t>(c)</w:t>
      </w:r>
      <w:r>
        <w:tab/>
        <w:t>During Force Majeure Events that threaten the reliability of the ERCOT System.</w:t>
      </w:r>
    </w:p>
    <w:p w14:paraId="090138AF" w14:textId="77777777" w:rsidR="001F04FD" w:rsidRDefault="001F04FD" w:rsidP="001F04FD">
      <w:pPr>
        <w:pStyle w:val="BodyTextNumbered"/>
      </w:pPr>
      <w:r>
        <w:t>(2)</w:t>
      </w:r>
      <w:r>
        <w:tab/>
        <w:t>Each QSE shall immediately forward any valid Dispatch Instruction to the appropriate Resource or group of Resources or identify a reason for non-compliance with the Dispatch Instruction to ERCOT in accordance with Section 6.5.7.9, Compliance with Dispatch Instructions.</w:t>
      </w:r>
    </w:p>
    <w:p w14:paraId="0EE83492" w14:textId="77777777" w:rsidR="001F04FD" w:rsidRDefault="001F04FD" w:rsidP="001F04FD">
      <w:pPr>
        <w:pStyle w:val="BodyTextNumbered"/>
      </w:pPr>
      <w:r>
        <w:t>(3)</w:t>
      </w:r>
      <w:r>
        <w:tab/>
        <w:t>If ERCOT believes that a Resource has inadequately responded to a Dispatch Instruction, ERCOT shall notify the QSE representing the Resource as soon as practicable.</w:t>
      </w:r>
    </w:p>
    <w:p w14:paraId="7D357D58" w14:textId="77777777" w:rsidR="001F04FD" w:rsidRDefault="001F04FD" w:rsidP="001F04FD">
      <w:pPr>
        <w:pStyle w:val="BodyTextNumbered"/>
      </w:pPr>
      <w:r>
        <w:t>(4)</w:t>
      </w:r>
      <w:r>
        <w:tab/>
        <w:t>ERCOT shall record all voice conversations that occur in the communication of Verbal Dispatch Instructions (VDIs).</w:t>
      </w:r>
    </w:p>
    <w:p w14:paraId="0816994A" w14:textId="14C844B6" w:rsidR="001F04FD" w:rsidRDefault="001F04FD" w:rsidP="001F04FD">
      <w:pPr>
        <w:pStyle w:val="BodyTextNumbered"/>
      </w:pPr>
      <w:r>
        <w:t>(5)</w:t>
      </w:r>
      <w:r>
        <w:tab/>
        <w:t xml:space="preserve">By mutual agreement of the TSP and ERCOT, Dispatch Instructions to the TSP may be provided to the TSP’s </w:t>
      </w:r>
      <w:r w:rsidR="00E4388D">
        <w:t>TO</w:t>
      </w:r>
      <w:r>
        <w:t xml:space="preserve">.  In that case, issuance of the Dispatch Instruction to the </w:t>
      </w:r>
      <w:r w:rsidR="00E4388D">
        <w:t>TO</w:t>
      </w:r>
      <w:r>
        <w:t xml:space="preserve"> is considered issuance to the TSP, and the TSP must comply with the Dispatch Instruction exactly as if it had been issued directly to the TSP, whether or not the </w:t>
      </w:r>
      <w:r w:rsidR="00E4388D">
        <w:t>TO</w:t>
      </w:r>
      <w:r>
        <w:t xml:space="preserve"> accurately conveys the Dispatch Instruction to the TSP.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FE8B099" w14:textId="77777777" w:rsidTr="004510FA">
        <w:trPr>
          <w:trHeight w:val="926"/>
        </w:trPr>
        <w:tc>
          <w:tcPr>
            <w:tcW w:w="9576" w:type="dxa"/>
            <w:shd w:val="pct12" w:color="auto" w:fill="auto"/>
          </w:tcPr>
          <w:p w14:paraId="66034E93" w14:textId="11CDE0D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7EA3B11" w14:textId="5A2F0BF2" w:rsidR="00094CCC" w:rsidRPr="00B37C4B" w:rsidRDefault="00094CCC" w:rsidP="00E4388D">
            <w:pPr>
              <w:spacing w:after="240"/>
              <w:ind w:left="720" w:hanging="720"/>
            </w:pPr>
            <w:r w:rsidRPr="00E55E72">
              <w:t>(5)</w:t>
            </w:r>
            <w:r w:rsidRPr="00E55E72">
              <w:tab/>
              <w:t xml:space="preserve">By mutual agreement of the TSP, DCTO, and ERCOT, Dispatch Instructions to the TSP or DCTO may be provided to the TSP’s or DCTO’s </w:t>
            </w:r>
            <w:r w:rsidR="00E4388D">
              <w:t>Transmission Operator (TO)</w:t>
            </w:r>
            <w:r w:rsidRPr="00E55E72">
              <w:t xml:space="preserve">.  In that case, issuance of the Dispatch Instruction to the </w:t>
            </w:r>
            <w:r w:rsidR="00E4388D">
              <w:t>TO</w:t>
            </w:r>
            <w:r w:rsidRPr="00E55E72">
              <w:t xml:space="preserve"> is considered issuance to </w:t>
            </w:r>
            <w:r w:rsidRPr="00E55E72">
              <w:lastRenderedPageBreak/>
              <w:t xml:space="preserve">the TSP or DCTO, and the TSP or DCTO must comply with the Dispatch Instruction exactly as if it had been issued directly to the TSP or DCTO, whether or not the </w:t>
            </w:r>
            <w:r w:rsidR="00E4388D">
              <w:t>TO</w:t>
            </w:r>
            <w:r w:rsidRPr="00E55E72">
              <w:t xml:space="preserve"> accurately conveys the Dispatch Instruction to the TSP or DCTO</w:t>
            </w:r>
            <w:r>
              <w:t>.</w:t>
            </w:r>
          </w:p>
        </w:tc>
      </w:tr>
    </w:tbl>
    <w:p w14:paraId="7CCBCAF9" w14:textId="77777777" w:rsidR="001F04FD" w:rsidRDefault="001F04FD" w:rsidP="0099247E">
      <w:pPr>
        <w:pStyle w:val="BodyTextNumbered"/>
        <w:spacing w:before="240"/>
      </w:pPr>
      <w:r w:rsidRPr="00812C88">
        <w:rPr>
          <w:iCs/>
        </w:rPr>
        <w:lastRenderedPageBreak/>
        <w:t>(</w:t>
      </w:r>
      <w:r>
        <w:rPr>
          <w:iCs/>
        </w:rPr>
        <w:t>6</w:t>
      </w:r>
      <w:r w:rsidRPr="00812C88">
        <w:rPr>
          <w:iCs/>
        </w:rPr>
        <w:t>)</w:t>
      </w:r>
      <w:r w:rsidRPr="00812C88">
        <w:rPr>
          <w:iCs/>
        </w:rPr>
        <w:tab/>
        <w:t xml:space="preserve">ERCOT </w:t>
      </w:r>
      <w:r>
        <w:rPr>
          <w:iCs/>
        </w:rPr>
        <w:t>shall</w:t>
      </w:r>
      <w:r w:rsidRPr="00812C88">
        <w:rPr>
          <w:iCs/>
        </w:rPr>
        <w:t xml:space="preserve"> direct </w:t>
      </w:r>
      <w:r>
        <w:rPr>
          <w:iCs/>
        </w:rPr>
        <w:t xml:space="preserve">VDIs </w:t>
      </w:r>
      <w:r w:rsidRPr="00812C88">
        <w:rPr>
          <w:iCs/>
        </w:rPr>
        <w:t>to the Master QSE of a Generation Resource that has been split to function as two or more Split Generation Resources as deemed necessary by ERCOT to effectuate actions for the total Generation Resource</w:t>
      </w:r>
      <w:r>
        <w:rPr>
          <w:iCs/>
        </w:rPr>
        <w:t xml:space="preserve"> for </w:t>
      </w:r>
      <w:r w:rsidRPr="00657A59">
        <w:rPr>
          <w:iCs/>
        </w:rPr>
        <w:t xml:space="preserve">instances </w:t>
      </w:r>
      <w:r w:rsidRPr="008E254D">
        <w:rPr>
          <w:iCs/>
        </w:rPr>
        <w:t>in which</w:t>
      </w:r>
      <w:r>
        <w:rPr>
          <w:iCs/>
        </w:rPr>
        <w:t xml:space="preserve"> </w:t>
      </w:r>
      <w:r w:rsidRPr="00657A59">
        <w:rPr>
          <w:iCs/>
        </w:rPr>
        <w:t xml:space="preserve">electronic </w:t>
      </w:r>
      <w:r>
        <w:rPr>
          <w:iCs/>
        </w:rPr>
        <w:t>i</w:t>
      </w:r>
      <w:r w:rsidRPr="00657A59">
        <w:rPr>
          <w:iCs/>
        </w:rPr>
        <w:t>nstructions are not feasible</w:t>
      </w:r>
      <w:r w:rsidRPr="00812C88">
        <w:rPr>
          <w:iCs/>
        </w:rPr>
        <w:t>.</w:t>
      </w:r>
    </w:p>
    <w:p w14:paraId="3136BA27" w14:textId="77777777" w:rsidR="001F04FD" w:rsidRDefault="001F04FD" w:rsidP="001F04FD">
      <w:pPr>
        <w:pStyle w:val="H4"/>
        <w:spacing w:before="480"/>
        <w:ind w:left="1267" w:hanging="1267"/>
      </w:pPr>
      <w:bookmarkStart w:id="1318" w:name="_Toc73216019"/>
      <w:bookmarkStart w:id="1319" w:name="_Toc397504979"/>
      <w:bookmarkStart w:id="1320" w:name="_Toc402357107"/>
      <w:bookmarkStart w:id="1321" w:name="_Toc422486487"/>
      <w:bookmarkStart w:id="1322" w:name="_Toc433093339"/>
      <w:bookmarkStart w:id="1323" w:name="_Toc433093497"/>
      <w:bookmarkStart w:id="1324" w:name="_Toc440874726"/>
      <w:bookmarkStart w:id="1325" w:name="_Toc448142281"/>
      <w:bookmarkStart w:id="1326" w:name="_Toc448142438"/>
      <w:bookmarkStart w:id="1327" w:name="_Toc458770275"/>
      <w:bookmarkStart w:id="1328" w:name="_Toc459294243"/>
      <w:bookmarkStart w:id="1329" w:name="_Toc463262736"/>
      <w:bookmarkStart w:id="1330" w:name="_Toc468286809"/>
      <w:bookmarkStart w:id="1331" w:name="_Toc481502855"/>
      <w:bookmarkStart w:id="1332" w:name="_Toc496080023"/>
      <w:bookmarkStart w:id="1333" w:name="_Toc189044371"/>
      <w:r>
        <w:t>6.5.7.9</w:t>
      </w:r>
      <w:r>
        <w:tab/>
        <w:t>Compliance with Dispatch Instructions</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1B904236" w14:textId="77777777" w:rsidR="001F04FD" w:rsidRDefault="001F04FD" w:rsidP="001F04FD">
      <w:pPr>
        <w:pStyle w:val="BodyTextNumbered"/>
      </w:pPr>
      <w:r>
        <w:t>(1)</w:t>
      </w:r>
      <w:r>
        <w:tab/>
        <w:t>Except as otherwise specified in this Section, each TSP and each QSE shall comply fully and promptly with a Dispatch Instruction issued to it, unless in the sole and reasonable judgment of the TSP or QSE, such compliance would create an undue threat to safety, undue risk of bodily harm or undue damage to equipment, or the Dispatch Instruction is otherwise not in compliance with these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B9E9AC5" w14:textId="77777777" w:rsidTr="004510FA">
        <w:trPr>
          <w:trHeight w:val="926"/>
        </w:trPr>
        <w:tc>
          <w:tcPr>
            <w:tcW w:w="9576" w:type="dxa"/>
            <w:shd w:val="pct12" w:color="auto" w:fill="auto"/>
          </w:tcPr>
          <w:p w14:paraId="0848D582" w14:textId="18B28DEA"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D337F11" w14:textId="77777777" w:rsidR="00094CCC" w:rsidRPr="00B37C4B" w:rsidRDefault="00094CCC" w:rsidP="00094CCC">
            <w:pPr>
              <w:spacing w:after="240"/>
              <w:ind w:left="720" w:hanging="720"/>
            </w:pPr>
            <w:r w:rsidRPr="00E55E72">
              <w:t>(1)</w:t>
            </w:r>
            <w:r w:rsidRPr="00E55E72">
              <w:tab/>
              <w:t>Except as otherwise specified in this Section, each TSP, DCTO, and QSE shall comply fully and promptly with a Dispatch Instruction issued to it, unless in the sole and reasonable judgment of the TSP, DCTO, or QSE, such compliance would create an undue threat to safety, undue risk of bodily harm or undue damage to equipment, or the Dispatch Instruction is otherwise not in compliance with t</w:t>
            </w:r>
            <w:r>
              <w:t>hese Protocols.</w:t>
            </w:r>
          </w:p>
        </w:tc>
      </w:tr>
    </w:tbl>
    <w:p w14:paraId="3EA4717A" w14:textId="77777777" w:rsidR="001F04FD" w:rsidRDefault="001F04FD" w:rsidP="0099247E">
      <w:pPr>
        <w:pStyle w:val="BodyTextNumbered"/>
        <w:spacing w:before="240"/>
      </w:pPr>
      <w:r>
        <w:t>(2)</w:t>
      </w:r>
      <w:r>
        <w:tab/>
        <w:t>If the recipient of a Dispatch Instruction does not comply because in the sole and reasonable judgment of the TSP or QSE, such compliance would create an undue threat to safety, undue risk of bodily harm, or undue damage to equipment, then the TSP or QSE must immediately notify ERCOT and provide the reason for non-compliance.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990934E" w14:textId="77777777" w:rsidTr="004510FA">
        <w:trPr>
          <w:trHeight w:val="926"/>
        </w:trPr>
        <w:tc>
          <w:tcPr>
            <w:tcW w:w="9576" w:type="dxa"/>
            <w:shd w:val="pct12" w:color="auto" w:fill="auto"/>
          </w:tcPr>
          <w:p w14:paraId="45A21D2D" w14:textId="7D20211A" w:rsidR="00094CCC" w:rsidRDefault="00094CC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w:t>
            </w:r>
            <w:r w:rsidR="004A5B0B" w:rsidRPr="00ED2B32">
              <w:lastRenderedPageBreak/>
              <w:t>interconnection; and (b) The financial security required to fund the interconnection facilities</w:t>
            </w:r>
            <w:r>
              <w:t>:]</w:t>
            </w:r>
          </w:p>
          <w:p w14:paraId="7746289A" w14:textId="77777777" w:rsidR="00094CCC" w:rsidRPr="00B37C4B" w:rsidRDefault="00094CCC" w:rsidP="00094CCC">
            <w:pPr>
              <w:spacing w:after="240"/>
              <w:ind w:left="720" w:hanging="720"/>
            </w:pPr>
            <w:r w:rsidRPr="00E55E72">
              <w:t>(2)</w:t>
            </w:r>
            <w:r w:rsidRPr="00E55E72">
              <w:tab/>
              <w:t>If the recipient of a Dispatch Instruction does not comply because in the sole and reasonable judgment of the TSP, DCTO, or QSE, such compliance would create an undue threat to safety, undue risk of bodily harm, or undue damage to equipment, then the TSP, DCTO, or QSE must immediately notify ERCOT and provide</w:t>
            </w:r>
            <w:r>
              <w:t xml:space="preserve"> the reason for non-compliance.</w:t>
            </w:r>
          </w:p>
        </w:tc>
      </w:tr>
    </w:tbl>
    <w:p w14:paraId="1A6FFED1" w14:textId="77777777" w:rsidR="001F04FD" w:rsidRDefault="001F04FD" w:rsidP="0099247E">
      <w:pPr>
        <w:pStyle w:val="BodyTextNumbered"/>
        <w:spacing w:before="240"/>
      </w:pPr>
      <w:r>
        <w:lastRenderedPageBreak/>
        <w:t>(3)</w:t>
      </w:r>
      <w:r>
        <w:tab/>
        <w:t>If the recipient of a Dispatch Instruction recognizes that the Dispatch Instruction conflicts with other valid instructions or is invalid, the recipient shall immediately notify ERCOT of the conflict and request resolution.  ERCOT shall resolve the conflict by issuing another Dispatch Instruction.</w:t>
      </w:r>
    </w:p>
    <w:p w14:paraId="558F457B" w14:textId="77777777" w:rsidR="001F04FD" w:rsidRDefault="001F04FD" w:rsidP="001F04FD">
      <w:pPr>
        <w:pStyle w:val="BodyTextNumbered"/>
      </w:pPr>
      <w:r>
        <w:t>(4)</w:t>
      </w:r>
      <w:r>
        <w:tab/>
        <w:t>ERCOT’s final Dispatch Instruction to a QSE in effect applies for all Protocol-related processes.  If the QSE does not comply after receiving the final Dispatch Instruction, the QSE remains liable for failure to meet its obligations under the Protocols and remains liable for any charges resulting from such failure.</w:t>
      </w:r>
    </w:p>
    <w:p w14:paraId="74696A4E" w14:textId="77777777" w:rsidR="001F04FD" w:rsidRDefault="001F04FD" w:rsidP="001F04FD">
      <w:pPr>
        <w:pStyle w:val="BodyTextNumbered"/>
      </w:pPr>
      <w:r>
        <w:t>(5)</w:t>
      </w:r>
      <w:r>
        <w:tab/>
        <w:t>ERCOT’s final Dispatch Instruction to a TSP in effect applies for all Protocol-related processes.  If the TSP does not comply after receiving the final Dispatch Instruction, the TSP remains liable for such failure under these Protocols under the TSP’s Agreement with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E6A9860" w14:textId="77777777" w:rsidTr="004510FA">
        <w:trPr>
          <w:trHeight w:val="926"/>
        </w:trPr>
        <w:tc>
          <w:tcPr>
            <w:tcW w:w="9576" w:type="dxa"/>
            <w:shd w:val="pct12" w:color="auto" w:fill="auto"/>
          </w:tcPr>
          <w:p w14:paraId="0B201E63" w14:textId="0700761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A3A6CBE" w14:textId="77777777" w:rsidR="00094CCC" w:rsidRPr="00B37C4B" w:rsidRDefault="00094CCC" w:rsidP="00094CCC">
            <w:pPr>
              <w:spacing w:after="240"/>
              <w:ind w:left="720" w:hanging="720"/>
            </w:pPr>
            <w:r w:rsidRPr="00E55E72">
              <w:t>(5)</w:t>
            </w:r>
            <w:r w:rsidRPr="00E55E72">
              <w:tab/>
              <w:t>ERCOT’s final Dispatch Instruction to a TSP or DCTO in effect applies for all Protocol-related processes.  If the TSP or DCTO does not comply after receiving the final Dispatch Instruction, the TSP or DCTO remains liable for such failure under these Protocols under the TSP’s or DCTO’s Agre</w:t>
            </w:r>
            <w:r>
              <w:t>ement with ERCOT.</w:t>
            </w:r>
          </w:p>
        </w:tc>
      </w:tr>
    </w:tbl>
    <w:p w14:paraId="3A649589" w14:textId="2ACCF0A2" w:rsidR="001F04FD" w:rsidRDefault="001F04FD" w:rsidP="0099247E">
      <w:pPr>
        <w:pStyle w:val="BodyTextNumbered"/>
        <w:spacing w:before="240"/>
      </w:pPr>
      <w:r>
        <w:t>(6)</w:t>
      </w:r>
      <w:r>
        <w:tab/>
        <w:t>In all cases in which compliance with a Dispatch Instruction is disputed, both ERCOT and the QSE or TSP shall document their communications, agreements, disagreements, and reasons for their actions, to enable resolution of the dispute through the Alternative Dispute Resolution (ADR) process in Section 20, Alternative Dispute Resolution Procedure</w:t>
      </w:r>
      <w:r w:rsidR="00992E7F">
        <w:t xml:space="preserve"> and Procedure for Return of Settlement Funds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0B8B3FC" w14:textId="77777777" w:rsidTr="00094CCC">
        <w:trPr>
          <w:trHeight w:val="206"/>
        </w:trPr>
        <w:tc>
          <w:tcPr>
            <w:tcW w:w="9576" w:type="dxa"/>
            <w:shd w:val="pct12" w:color="auto" w:fill="auto"/>
          </w:tcPr>
          <w:p w14:paraId="3FC96982" w14:textId="33D80D03" w:rsidR="00094CCC" w:rsidRDefault="00094CCC" w:rsidP="004510FA">
            <w:pPr>
              <w:pStyle w:val="Instructions"/>
              <w:spacing w:before="120"/>
            </w:pPr>
            <w:r>
              <w:lastRenderedPageBreak/>
              <w:t>[NPRR857:  Replace paragraph (6)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CE177AB" w14:textId="3CFF64C9" w:rsidR="00094CCC" w:rsidRPr="00B37C4B" w:rsidRDefault="00094CCC" w:rsidP="00B17C2D">
            <w:pPr>
              <w:spacing w:after="240"/>
              <w:ind w:left="720" w:hanging="720"/>
            </w:pPr>
            <w:r w:rsidRPr="00E55E72">
              <w:t>(6)</w:t>
            </w:r>
            <w:r w:rsidRPr="00E55E72">
              <w:tab/>
              <w:t xml:space="preserve">In all cases in which compliance with a Dispatch Instruction is disputed, both ERCOT and the QSE, TSP, or DCTO shall document their communications, agreements, disagreements, and reasons for their actions, to enable resolution of the dispute through the Alternative Dispute Resolution (ADR) process in Section 20, Alternative Dispute </w:t>
            </w:r>
            <w:r>
              <w:t>Resolution Procedure</w:t>
            </w:r>
            <w:r w:rsidR="00992E7F">
              <w:t xml:space="preserve"> and Procedure for Return of Settlement Funds</w:t>
            </w:r>
            <w:r>
              <w:t>.</w:t>
            </w:r>
          </w:p>
        </w:tc>
      </w:tr>
    </w:tbl>
    <w:p w14:paraId="28DDB4B9" w14:textId="0CA841F0" w:rsidR="001F04FD" w:rsidRDefault="001F04FD" w:rsidP="0099247E">
      <w:pPr>
        <w:pStyle w:val="BodyTextNumbered"/>
        <w:spacing w:before="240"/>
      </w:pPr>
      <w:r w:rsidRPr="003D5836">
        <w:rPr>
          <w:iCs/>
        </w:rPr>
        <w:t>(7)</w:t>
      </w:r>
      <w:r w:rsidRPr="003D5836">
        <w:rPr>
          <w:iCs/>
        </w:rPr>
        <w:tab/>
        <w:t>An Intermittent Renewable Resource (IRR) must comply with Dispatch Instructions when receiving a flag signifying that the IRR has received a Base Point below the HDL used by SCED</w:t>
      </w:r>
      <w:r w:rsidR="0030702F" w:rsidRPr="0030702F">
        <w:t xml:space="preserve"> </w:t>
      </w:r>
      <w:r w:rsidR="0030702F">
        <w:t>or the IRR has been instructed not to exceed its Base Point</w:t>
      </w:r>
      <w:r w:rsidRPr="003D5836">
        <w:rPr>
          <w:iCs/>
        </w:rPr>
        <w:t>.</w:t>
      </w:r>
    </w:p>
    <w:p w14:paraId="5C6ADF71" w14:textId="77777777" w:rsidR="001F04FD" w:rsidRPr="00431FA1" w:rsidRDefault="001F04FD" w:rsidP="003B77DB">
      <w:pPr>
        <w:pStyle w:val="H4"/>
        <w:ind w:left="1267" w:hanging="1267"/>
        <w:rPr>
          <w:bCs w:val="0"/>
        </w:rPr>
      </w:pPr>
      <w:bookmarkStart w:id="1334" w:name="_Toc397504980"/>
      <w:bookmarkStart w:id="1335" w:name="_Toc402357108"/>
      <w:bookmarkStart w:id="1336" w:name="_Toc422486488"/>
      <w:bookmarkStart w:id="1337" w:name="_Toc433093340"/>
      <w:bookmarkStart w:id="1338" w:name="_Toc433093498"/>
      <w:bookmarkStart w:id="1339" w:name="_Toc440874727"/>
      <w:bookmarkStart w:id="1340" w:name="_Toc448142282"/>
      <w:bookmarkStart w:id="1341" w:name="_Toc448142439"/>
      <w:bookmarkStart w:id="1342" w:name="_Toc458770276"/>
      <w:bookmarkStart w:id="1343" w:name="_Toc459294244"/>
      <w:bookmarkStart w:id="1344" w:name="_Toc463262737"/>
      <w:bookmarkStart w:id="1345" w:name="_Toc468286810"/>
      <w:bookmarkStart w:id="1346" w:name="_Toc481502856"/>
      <w:bookmarkStart w:id="1347" w:name="_Toc496080024"/>
      <w:bookmarkStart w:id="1348" w:name="_Toc189044372"/>
      <w:r w:rsidRPr="00431FA1">
        <w:rPr>
          <w:bCs w:val="0"/>
        </w:rPr>
        <w:t>6.5.7.10</w:t>
      </w:r>
      <w:r w:rsidRPr="00431FA1">
        <w:rPr>
          <w:bCs w:val="0"/>
        </w:rPr>
        <w:tab/>
      </w:r>
      <w:r>
        <w:rPr>
          <w:bCs w:val="0"/>
        </w:rPr>
        <w:t>IRR</w:t>
      </w:r>
      <w:r w:rsidRPr="00431FA1">
        <w:rPr>
          <w:bCs w:val="0"/>
        </w:rPr>
        <w:t xml:space="preserve"> Ramp Rate Limitations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0B0AE1C6" w14:textId="77777777" w:rsidR="001F04FD" w:rsidRPr="009E6F67" w:rsidRDefault="001F04FD" w:rsidP="001F04FD">
      <w:pPr>
        <w:spacing w:after="240"/>
        <w:ind w:left="720" w:hanging="720"/>
        <w:rPr>
          <w:iCs/>
        </w:rPr>
      </w:pPr>
      <w:r w:rsidRPr="009E6F67">
        <w:rPr>
          <w:iCs/>
        </w:rPr>
        <w:t>(1)</w:t>
      </w:r>
      <w:r w:rsidRPr="009E6F67">
        <w:rPr>
          <w:iCs/>
        </w:rPr>
        <w:tab/>
        <w:t xml:space="preserve">Each </w:t>
      </w:r>
      <w:r>
        <w:rPr>
          <w:iCs/>
        </w:rPr>
        <w:t>IRR</w:t>
      </w:r>
      <w:r w:rsidRPr="009E6F67">
        <w:rPr>
          <w:iCs/>
        </w:rPr>
        <w:t xml:space="preserve"> that is part of a </w:t>
      </w:r>
      <w:r>
        <w:rPr>
          <w:iCs/>
        </w:rPr>
        <w:t xml:space="preserve">Standard Generation </w:t>
      </w:r>
      <w:r w:rsidRPr="009E6F67">
        <w:rPr>
          <w:iCs/>
        </w:rPr>
        <w:t>Interconnection Agreement</w:t>
      </w:r>
      <w:r>
        <w:rPr>
          <w:iCs/>
        </w:rPr>
        <w:t xml:space="preserve"> (SGIA)</w:t>
      </w:r>
      <w:r w:rsidRPr="009E6F67">
        <w:rPr>
          <w:iCs/>
        </w:rPr>
        <w:t xml:space="preserve"> signed on or after January 1, 2009 shall limit its ramp rate to </w:t>
      </w:r>
      <w:r>
        <w:rPr>
          <w:iCs/>
        </w:rPr>
        <w:t xml:space="preserve">20% </w:t>
      </w:r>
      <w:r w:rsidRPr="009E6F67">
        <w:rPr>
          <w:iCs/>
        </w:rPr>
        <w:t xml:space="preserve">per minute of its nameplate rating (MWs) as registered with ERCOT when responding to or released from an ERCOT deployment.  </w:t>
      </w:r>
    </w:p>
    <w:p w14:paraId="3B8415BD" w14:textId="77777777" w:rsidR="001F04FD" w:rsidRPr="009E6F67" w:rsidRDefault="001F04FD" w:rsidP="001F04FD">
      <w:pPr>
        <w:spacing w:after="240"/>
        <w:ind w:left="720" w:hanging="720"/>
        <w:rPr>
          <w:iCs/>
        </w:rPr>
      </w:pPr>
      <w:r w:rsidRPr="009E6F67">
        <w:rPr>
          <w:iCs/>
        </w:rPr>
        <w:t>(2)</w:t>
      </w:r>
      <w:r w:rsidRPr="009E6F67">
        <w:rPr>
          <w:iCs/>
        </w:rPr>
        <w:tab/>
        <w:t>The requirement of par</w:t>
      </w:r>
      <w:r>
        <w:rPr>
          <w:iCs/>
        </w:rPr>
        <w:t>a</w:t>
      </w:r>
      <w:r w:rsidRPr="009E6F67">
        <w:rPr>
          <w:iCs/>
        </w:rPr>
        <w:t xml:space="preserve">graph (1) above does not apply during a Force Majeure Event or during intervals in which a decremental deployment instruction coincides with a demonstrated decrease in the available </w:t>
      </w:r>
      <w:r>
        <w:rPr>
          <w:iCs/>
        </w:rPr>
        <w:t>IRR</w:t>
      </w:r>
      <w:r w:rsidRPr="009E6F67">
        <w:rPr>
          <w:iCs/>
        </w:rPr>
        <w:t>.</w:t>
      </w:r>
    </w:p>
    <w:p w14:paraId="5542BEF6" w14:textId="77777777" w:rsidR="001F04FD" w:rsidRPr="009E6F67" w:rsidRDefault="001F04FD" w:rsidP="001F04FD">
      <w:pPr>
        <w:spacing w:after="240"/>
        <w:ind w:left="720" w:hanging="720"/>
        <w:rPr>
          <w:iCs/>
        </w:rPr>
      </w:pPr>
      <w:r w:rsidRPr="009E6F67">
        <w:rPr>
          <w:iCs/>
        </w:rPr>
        <w:t>(3)</w:t>
      </w:r>
      <w:r w:rsidRPr="009E6F67">
        <w:rPr>
          <w:iCs/>
        </w:rPr>
        <w:tab/>
        <w:t xml:space="preserve">Each </w:t>
      </w:r>
      <w:r>
        <w:rPr>
          <w:iCs/>
        </w:rPr>
        <w:t>IRR</w:t>
      </w:r>
      <w:r w:rsidRPr="009E6F67">
        <w:rPr>
          <w:iCs/>
        </w:rPr>
        <w:t xml:space="preserve"> that is part of an </w:t>
      </w:r>
      <w:r>
        <w:rPr>
          <w:iCs/>
        </w:rPr>
        <w:t xml:space="preserve">SGIA </w:t>
      </w:r>
      <w:r w:rsidRPr="009E6F67">
        <w:rPr>
          <w:iCs/>
        </w:rPr>
        <w:t xml:space="preserve">signed on or before December 31, 2008 and that controls power output by means other than turbine stoppage shall limit its ramp rate to </w:t>
      </w:r>
      <w:r>
        <w:rPr>
          <w:iCs/>
        </w:rPr>
        <w:t xml:space="preserve">20% </w:t>
      </w:r>
      <w:r w:rsidRPr="009E6F67">
        <w:rPr>
          <w:iCs/>
        </w:rPr>
        <w:t>per minute of its nameplate rating (MWs) as registered with ERCOT when responding to or released from an ERCOT deployment.</w:t>
      </w:r>
    </w:p>
    <w:p w14:paraId="7CA4D242" w14:textId="77777777" w:rsidR="001F04FD" w:rsidRPr="009E6F67" w:rsidRDefault="001F04FD" w:rsidP="001F04FD">
      <w:pPr>
        <w:spacing w:after="240"/>
        <w:ind w:left="720" w:hanging="720"/>
        <w:rPr>
          <w:iCs/>
        </w:rPr>
      </w:pPr>
      <w:r w:rsidRPr="009E6F67">
        <w:rPr>
          <w:iCs/>
        </w:rPr>
        <w:t>(4)</w:t>
      </w:r>
      <w:r w:rsidRPr="009E6F67">
        <w:rPr>
          <w:iCs/>
        </w:rPr>
        <w:tab/>
        <w:t xml:space="preserve">The requirement of paragraph (3) above does not apply during a Force Majeure Event, during intervals in which a decremental deployment instruction coincides with a demonstrated decrease in the available </w:t>
      </w:r>
      <w:r>
        <w:rPr>
          <w:iCs/>
        </w:rPr>
        <w:t>IRR</w:t>
      </w:r>
      <w:r w:rsidRPr="009E6F67">
        <w:rPr>
          <w:iCs/>
        </w:rPr>
        <w:t>, or during unit start up and shut down mode.</w:t>
      </w:r>
    </w:p>
    <w:p w14:paraId="5A232795" w14:textId="77777777" w:rsidR="001F04FD" w:rsidRDefault="001F04FD" w:rsidP="001F04FD">
      <w:pPr>
        <w:spacing w:after="240"/>
        <w:ind w:left="720" w:hanging="720"/>
        <w:rPr>
          <w:iCs/>
        </w:rPr>
      </w:pPr>
      <w:r w:rsidRPr="009E6F67">
        <w:rPr>
          <w:iCs/>
        </w:rPr>
        <w:t>(5)</w:t>
      </w:r>
      <w:r w:rsidRPr="009E6F67">
        <w:rPr>
          <w:iCs/>
        </w:rPr>
        <w:tab/>
      </w:r>
      <w:r>
        <w:rPr>
          <w:iCs/>
        </w:rPr>
        <w:t>The ramp rate requirement of paragraph (3) above shall not apply to an IRR during a limited compliance transition period if the IRR:</w:t>
      </w:r>
    </w:p>
    <w:p w14:paraId="11B277D7" w14:textId="77777777" w:rsidR="001F04FD" w:rsidRDefault="001F04FD" w:rsidP="001F04FD">
      <w:pPr>
        <w:pStyle w:val="List"/>
        <w:rPr>
          <w:iCs/>
        </w:rPr>
      </w:pPr>
      <w:r>
        <w:rPr>
          <w:iCs/>
        </w:rPr>
        <w:t>(a)</w:t>
      </w:r>
      <w:r>
        <w:rPr>
          <w:iCs/>
        </w:rPr>
        <w:tab/>
        <w:t>M</w:t>
      </w:r>
      <w:r w:rsidRPr="009E6F67">
        <w:rPr>
          <w:iCs/>
        </w:rPr>
        <w:t>eet</w:t>
      </w:r>
      <w:r>
        <w:rPr>
          <w:iCs/>
        </w:rPr>
        <w:t>s</w:t>
      </w:r>
      <w:r w:rsidRPr="009E6F67">
        <w:rPr>
          <w:iCs/>
        </w:rPr>
        <w:t xml:space="preserve"> the technical specifications of paragraph (3) above </w:t>
      </w:r>
      <w:r>
        <w:rPr>
          <w:iCs/>
        </w:rPr>
        <w:t>but does</w:t>
      </w:r>
      <w:r w:rsidRPr="009E6F67">
        <w:rPr>
          <w:iCs/>
        </w:rPr>
        <w:t xml:space="preserve"> not comply with </w:t>
      </w:r>
      <w:r>
        <w:rPr>
          <w:iCs/>
        </w:rPr>
        <w:t>the</w:t>
      </w:r>
      <w:r w:rsidRPr="009E6F67">
        <w:rPr>
          <w:iCs/>
        </w:rPr>
        <w:t xml:space="preserve"> ramp rate requirement</w:t>
      </w:r>
      <w:r>
        <w:rPr>
          <w:iCs/>
        </w:rPr>
        <w:t>; and</w:t>
      </w:r>
    </w:p>
    <w:p w14:paraId="06AC3E7D"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 compliance plan to ERCOT on or before June 1, 2009 </w:t>
      </w:r>
      <w:r>
        <w:rPr>
          <w:iCs/>
        </w:rPr>
        <w:t>that</w:t>
      </w:r>
      <w:r w:rsidRPr="009E6F67">
        <w:rPr>
          <w:iCs/>
        </w:rPr>
        <w:t xml:space="preserve"> details the technical limitations leading to non-compliance, a work plan to achieve </w:t>
      </w:r>
      <w:r w:rsidRPr="009E6F67">
        <w:rPr>
          <w:iCs/>
        </w:rPr>
        <w:lastRenderedPageBreak/>
        <w:t xml:space="preserve">compliance by a reasonable date, and a ramp rate mitigation plan describing the </w:t>
      </w:r>
      <w:r>
        <w:rPr>
          <w:iCs/>
        </w:rPr>
        <w:t>IRR</w:t>
      </w:r>
      <w:r w:rsidRPr="009E6F67">
        <w:rPr>
          <w:iCs/>
        </w:rPr>
        <w:t xml:space="preserve">’s best efforts to adhere to the </w:t>
      </w:r>
      <w:r>
        <w:rPr>
          <w:iCs/>
        </w:rPr>
        <w:t>IRR</w:t>
      </w:r>
      <w:r w:rsidRPr="009E6F67">
        <w:rPr>
          <w:iCs/>
        </w:rPr>
        <w:t xml:space="preserve"> ramp rate limitation during the applicable compliance transition period.</w:t>
      </w:r>
    </w:p>
    <w:p w14:paraId="18E5EA8C" w14:textId="77777777" w:rsidR="001F04FD" w:rsidRDefault="001F04FD" w:rsidP="001F04FD">
      <w:pPr>
        <w:spacing w:after="240"/>
        <w:ind w:left="720" w:hanging="720"/>
        <w:rPr>
          <w:iCs/>
        </w:rPr>
      </w:pPr>
      <w:r w:rsidRPr="009E6F67">
        <w:rPr>
          <w:iCs/>
        </w:rPr>
        <w:t>(6)</w:t>
      </w:r>
      <w:r w:rsidRPr="009E6F67">
        <w:rPr>
          <w:iCs/>
        </w:rPr>
        <w:tab/>
      </w:r>
      <w:r>
        <w:rPr>
          <w:iCs/>
        </w:rPr>
        <w:t>The ramp rate requirement of paragraph (3) above shall not apply to an IRR</w:t>
      </w:r>
      <w:r w:rsidRPr="009E6F67">
        <w:rPr>
          <w:iCs/>
        </w:rPr>
        <w:t xml:space="preserve"> that</w:t>
      </w:r>
      <w:r>
        <w:rPr>
          <w:iCs/>
        </w:rPr>
        <w:t>:</w:t>
      </w:r>
    </w:p>
    <w:p w14:paraId="4763CBFC" w14:textId="77777777" w:rsidR="001F04FD" w:rsidRDefault="001F04FD" w:rsidP="001F04FD">
      <w:pPr>
        <w:pStyle w:val="List"/>
        <w:rPr>
          <w:iCs/>
        </w:rPr>
      </w:pPr>
      <w:r>
        <w:rPr>
          <w:iCs/>
        </w:rPr>
        <w:t>(a)</w:t>
      </w:r>
      <w:r>
        <w:rPr>
          <w:iCs/>
        </w:rPr>
        <w:tab/>
        <w:t>D</w:t>
      </w:r>
      <w:r w:rsidRPr="009E6F67">
        <w:rPr>
          <w:iCs/>
        </w:rPr>
        <w:t>o</w:t>
      </w:r>
      <w:r>
        <w:rPr>
          <w:iCs/>
        </w:rPr>
        <w:t>es</w:t>
      </w:r>
      <w:r w:rsidRPr="009E6F67">
        <w:rPr>
          <w:iCs/>
        </w:rPr>
        <w:t xml:space="preserve"> not meet the technical specifications of paragraph (3) above</w:t>
      </w:r>
      <w:r>
        <w:rPr>
          <w:iCs/>
        </w:rPr>
        <w:t>; and</w:t>
      </w:r>
    </w:p>
    <w:p w14:paraId="5A955531"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an operations plan to ERCOT on or before June 1, 2009 describing the </w:t>
      </w:r>
      <w:r>
        <w:rPr>
          <w:iCs/>
        </w:rPr>
        <w:t>IRR</w:t>
      </w:r>
      <w:r w:rsidRPr="009E6F67">
        <w:rPr>
          <w:iCs/>
        </w:rPr>
        <w:t xml:space="preserve">’s best efforts to adhere to the </w:t>
      </w:r>
      <w:r>
        <w:rPr>
          <w:iCs/>
        </w:rPr>
        <w:t>IRR</w:t>
      </w:r>
      <w:r w:rsidRPr="009E6F67">
        <w:rPr>
          <w:iCs/>
        </w:rPr>
        <w:t xml:space="preserve"> ramp rate limitation.</w:t>
      </w:r>
    </w:p>
    <w:p w14:paraId="2DF2200E" w14:textId="77777777" w:rsidR="001F04FD" w:rsidRPr="009E6F67" w:rsidRDefault="001F04FD" w:rsidP="001F04FD">
      <w:pPr>
        <w:spacing w:after="240"/>
        <w:ind w:left="720" w:hanging="720"/>
        <w:rPr>
          <w:iCs/>
        </w:rPr>
      </w:pPr>
      <w:r w:rsidRPr="009E6F67">
        <w:rPr>
          <w:iCs/>
        </w:rPr>
        <w:t>(7)</w:t>
      </w:r>
      <w:r w:rsidRPr="009E6F67">
        <w:rPr>
          <w:iCs/>
        </w:rPr>
        <w:tab/>
      </w:r>
      <w:r>
        <w:rPr>
          <w:iCs/>
        </w:rPr>
        <w:t>IRR</w:t>
      </w:r>
      <w:r w:rsidRPr="009E6F67">
        <w:rPr>
          <w:iCs/>
        </w:rPr>
        <w:t xml:space="preserve">s subject to the ramp rate limitations of paragraphs (1) and (3) above are exempt from the requirements of the applicable </w:t>
      </w:r>
      <w:r>
        <w:rPr>
          <w:iCs/>
        </w:rPr>
        <w:t>paragraph</w:t>
      </w:r>
      <w:r w:rsidRPr="009E6F67">
        <w:rPr>
          <w:iCs/>
        </w:rPr>
        <w:t xml:space="preserve"> upon receipt of a valid Dispatch Instruction from ERCOT to exceed the applicable ramp rate limitation when necessary to protect </w:t>
      </w:r>
      <w:r>
        <w:rPr>
          <w:iCs/>
        </w:rPr>
        <w:t>ERCOT S</w:t>
      </w:r>
      <w:r w:rsidRPr="009E6F67">
        <w:rPr>
          <w:iCs/>
        </w:rPr>
        <w:t>ystem reliability.</w:t>
      </w:r>
    </w:p>
    <w:p w14:paraId="3CC4781A" w14:textId="77777777" w:rsidR="001F04FD" w:rsidRPr="009E6F67" w:rsidRDefault="001F04FD" w:rsidP="001F04FD">
      <w:pPr>
        <w:spacing w:after="240"/>
        <w:ind w:left="720" w:hanging="720"/>
        <w:rPr>
          <w:iCs/>
        </w:rPr>
      </w:pPr>
      <w:r w:rsidRPr="009E6F67">
        <w:rPr>
          <w:iCs/>
        </w:rPr>
        <w:t>(8)</w:t>
      </w:r>
      <w:r w:rsidRPr="009E6F67">
        <w:rPr>
          <w:iCs/>
        </w:rPr>
        <w:tab/>
      </w:r>
      <w:r w:rsidR="004B6E53">
        <w:rPr>
          <w:iCs/>
        </w:rPr>
        <w:t>IRRs that operate under a RAS are exempt from the ramp rate limitations of paragraphs (1) and (3) above when decreasing unit output to avoid RAS activation.</w:t>
      </w:r>
    </w:p>
    <w:p w14:paraId="58404E11" w14:textId="77777777" w:rsidR="001F04FD" w:rsidRDefault="001F04FD" w:rsidP="006635FE">
      <w:pPr>
        <w:pStyle w:val="BodyTextNumbered"/>
      </w:pPr>
      <w:r w:rsidRPr="009E6F67">
        <w:rPr>
          <w:iCs/>
        </w:rPr>
        <w:t>(9)</w:t>
      </w:r>
      <w:r w:rsidRPr="009E6F67">
        <w:rPr>
          <w:iCs/>
        </w:rPr>
        <w:tab/>
      </w:r>
      <w:r>
        <w:rPr>
          <w:iCs/>
        </w:rPr>
        <w:t>IRR</w:t>
      </w:r>
      <w:r w:rsidRPr="009E6F67">
        <w:rPr>
          <w:iCs/>
        </w:rPr>
        <w:t>s that meet the requirements of paragraphs (1) and (3) above are compliant with</w:t>
      </w:r>
      <w:r>
        <w:rPr>
          <w:iCs/>
        </w:rPr>
        <w:t xml:space="preserve"> the</w:t>
      </w:r>
      <w:r w:rsidRPr="009E6F67">
        <w:rPr>
          <w:iCs/>
        </w:rPr>
        <w:t xml:space="preserve"> ramp rate limitation requirements when the number of </w:t>
      </w:r>
      <w:r>
        <w:rPr>
          <w:iCs/>
        </w:rPr>
        <w:t>eligible one</w:t>
      </w:r>
      <w:r w:rsidRPr="009E6F67">
        <w:rPr>
          <w:iCs/>
        </w:rPr>
        <w:t xml:space="preserve">-minute intervals </w:t>
      </w:r>
      <w:r>
        <w:rPr>
          <w:iCs/>
        </w:rPr>
        <w:t xml:space="preserve">with an average ramp rate of 25% or less </w:t>
      </w:r>
      <w:r w:rsidRPr="009E6F67">
        <w:rPr>
          <w:iCs/>
        </w:rPr>
        <w:t>of nameplate capacity is equal to or greater than 90% of</w:t>
      </w:r>
      <w:r>
        <w:rPr>
          <w:iCs/>
        </w:rPr>
        <w:t xml:space="preserve"> the</w:t>
      </w:r>
      <w:r w:rsidRPr="009E6F67">
        <w:rPr>
          <w:iCs/>
        </w:rPr>
        <w:t xml:space="preserve"> eligible </w:t>
      </w:r>
      <w:r>
        <w:rPr>
          <w:iCs/>
        </w:rPr>
        <w:t xml:space="preserve">one-minute </w:t>
      </w:r>
      <w:r w:rsidRPr="009E6F67">
        <w:rPr>
          <w:iCs/>
        </w:rPr>
        <w:t>intervals</w:t>
      </w:r>
      <w:r>
        <w:rPr>
          <w:iCs/>
        </w:rPr>
        <w:t xml:space="preserve"> in any one of three consecutive months.</w:t>
      </w:r>
      <w:r w:rsidRPr="009E6F67">
        <w:rPr>
          <w:iCs/>
        </w:rPr>
        <w:t xml:space="preserve">  Intervals where paragraphs (2), (4), (7) or (8) above apply shall be excluded as eligible intervals for this performance metric.  ERCOT shall initiate a review process with the </w:t>
      </w:r>
      <w:r>
        <w:rPr>
          <w:iCs/>
        </w:rPr>
        <w:t>IRR</w:t>
      </w:r>
      <w:r w:rsidRPr="009E6F67">
        <w:rPr>
          <w:iCs/>
        </w:rPr>
        <w:t xml:space="preserve"> where the </w:t>
      </w:r>
      <w:r>
        <w:rPr>
          <w:iCs/>
        </w:rPr>
        <w:t>IRR</w:t>
      </w:r>
      <w:r w:rsidRPr="009E6F67">
        <w:rPr>
          <w:iCs/>
        </w:rPr>
        <w:t xml:space="preserve">’s score is less than 90%.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952ED" w14:paraId="0008010D" w14:textId="77777777" w:rsidTr="00C952ED">
        <w:trPr>
          <w:trHeight w:val="206"/>
        </w:trPr>
        <w:tc>
          <w:tcPr>
            <w:tcW w:w="9350" w:type="dxa"/>
            <w:shd w:val="pct12" w:color="auto" w:fill="auto"/>
          </w:tcPr>
          <w:p w14:paraId="65AD4502" w14:textId="33A5E408" w:rsidR="00C952ED" w:rsidRDefault="00C952ED" w:rsidP="00C952ED">
            <w:pPr>
              <w:pStyle w:val="Instructions"/>
              <w:spacing w:before="120"/>
            </w:pPr>
            <w:bookmarkStart w:id="1349" w:name="_Toc73216020"/>
            <w:bookmarkStart w:id="1350" w:name="_Toc397504982"/>
            <w:bookmarkStart w:id="1351" w:name="_Toc402357110"/>
            <w:bookmarkStart w:id="1352" w:name="_Toc422486490"/>
            <w:bookmarkStart w:id="1353" w:name="_Toc433093342"/>
            <w:bookmarkStart w:id="1354" w:name="_Toc433093500"/>
            <w:bookmarkStart w:id="1355" w:name="_Toc440874728"/>
            <w:bookmarkStart w:id="1356" w:name="_Toc448142283"/>
            <w:bookmarkStart w:id="1357" w:name="_Toc448142440"/>
            <w:bookmarkStart w:id="1358" w:name="_Toc458770277"/>
            <w:bookmarkStart w:id="1359" w:name="_Toc459294245"/>
            <w:bookmarkStart w:id="1360" w:name="_Toc463262738"/>
            <w:bookmarkStart w:id="1361" w:name="_Toc468286811"/>
            <w:bookmarkStart w:id="1362" w:name="_Toc481502857"/>
            <w:bookmarkStart w:id="1363" w:name="_Toc496080025"/>
            <w:r>
              <w:t>[NPRR1029:  Insert Section 6.5.7.11 below upon system implementation:]</w:t>
            </w:r>
          </w:p>
          <w:p w14:paraId="7E0F1510" w14:textId="77777777" w:rsidR="00C952ED" w:rsidRPr="00112447" w:rsidRDefault="00C952ED" w:rsidP="00C952ED">
            <w:pPr>
              <w:keepNext/>
              <w:widowControl w:val="0"/>
              <w:tabs>
                <w:tab w:val="left" w:pos="1260"/>
              </w:tabs>
              <w:spacing w:before="240" w:after="240"/>
              <w:ind w:left="1267" w:hanging="1267"/>
              <w:outlineLvl w:val="3"/>
              <w:rPr>
                <w:b/>
                <w:snapToGrid w:val="0"/>
              </w:rPr>
            </w:pPr>
            <w:bookmarkStart w:id="1364" w:name="_Toc189044373"/>
            <w:r w:rsidRPr="00112447">
              <w:rPr>
                <w:b/>
                <w:snapToGrid w:val="0"/>
              </w:rPr>
              <w:t>6.5.7.11</w:t>
            </w:r>
            <w:r w:rsidRPr="00112447">
              <w:rPr>
                <w:b/>
                <w:snapToGrid w:val="0"/>
              </w:rPr>
              <w:tab/>
              <w:t>DC-Coupled Resource Ramp Rate Limitations</w:t>
            </w:r>
            <w:bookmarkEnd w:id="1364"/>
          </w:p>
          <w:p w14:paraId="0911842A" w14:textId="7D815475" w:rsidR="00C952ED" w:rsidRPr="00C952ED" w:rsidRDefault="00C952ED" w:rsidP="00C952ED">
            <w:pPr>
              <w:spacing w:after="240"/>
              <w:ind w:left="720" w:hanging="720"/>
              <w:rPr>
                <w:snapToGrid w:val="0"/>
              </w:rPr>
            </w:pPr>
            <w:r w:rsidRPr="001A011D">
              <w:rPr>
                <w:iCs/>
              </w:rPr>
              <w:t>(1)</w:t>
            </w:r>
            <w:r w:rsidRPr="001A011D">
              <w:rPr>
                <w:iCs/>
              </w:rPr>
              <w:tab/>
            </w:r>
            <w:r>
              <w:rPr>
                <w:iCs/>
              </w:rPr>
              <w:t>A</w:t>
            </w:r>
            <w:r w:rsidRPr="00F2679B">
              <w:rPr>
                <w:iCs/>
              </w:rPr>
              <w:t xml:space="preserve"> DC-Coupled Resource that does not meet any of the conditions in paragraph (1)</w:t>
            </w:r>
            <w:r>
              <w:rPr>
                <w:iCs/>
              </w:rPr>
              <w:t xml:space="preserve"> of Section 3.8.7, DC-Coupled Resources,</w:t>
            </w:r>
            <w:r w:rsidRPr="00C77CF2">
              <w:rPr>
                <w:snapToGrid w:val="0"/>
              </w:rPr>
              <w:t xml:space="preserve"> shall adhere to</w:t>
            </w:r>
            <w:r>
              <w:rPr>
                <w:snapToGrid w:val="0"/>
              </w:rPr>
              <w:t xml:space="preserve"> the</w:t>
            </w:r>
            <w:r w:rsidRPr="00C77CF2">
              <w:rPr>
                <w:snapToGrid w:val="0"/>
              </w:rPr>
              <w:t xml:space="preserve"> ramp rate restrictions established in Section 6.5.7.1</w:t>
            </w:r>
            <w:r w:rsidRPr="001A011D">
              <w:rPr>
                <w:snapToGrid w:val="0"/>
              </w:rPr>
              <w:t>0</w:t>
            </w:r>
            <w:r>
              <w:rPr>
                <w:snapToGrid w:val="0"/>
              </w:rPr>
              <w:t xml:space="preserve">, </w:t>
            </w:r>
            <w:r w:rsidRPr="003F1E9B">
              <w:rPr>
                <w:snapToGrid w:val="0"/>
              </w:rPr>
              <w:t>IRR Ramp Rate Limitations</w:t>
            </w:r>
            <w:r w:rsidRPr="001A011D">
              <w:rPr>
                <w:snapToGrid w:val="0"/>
              </w:rPr>
              <w:t>.</w:t>
            </w:r>
          </w:p>
        </w:tc>
      </w:tr>
    </w:tbl>
    <w:p w14:paraId="35FFCD19" w14:textId="77777777" w:rsidR="001F04FD" w:rsidRDefault="001F04FD" w:rsidP="001F04FD">
      <w:pPr>
        <w:pStyle w:val="H3"/>
        <w:spacing w:before="480"/>
      </w:pPr>
      <w:bookmarkStart w:id="1365" w:name="_Toc189044374"/>
      <w:r>
        <w:t>6.5.8</w:t>
      </w:r>
      <w:r>
        <w:tab/>
      </w:r>
      <w:bookmarkEnd w:id="1349"/>
      <w:r>
        <w:t>Verbal Dispatch Instruction</w:t>
      </w:r>
      <w:bookmarkEnd w:id="1350"/>
      <w:bookmarkEnd w:id="1351"/>
      <w:bookmarkEnd w:id="1352"/>
      <w:bookmarkEnd w:id="1353"/>
      <w:bookmarkEnd w:id="1354"/>
      <w:bookmarkEnd w:id="1355"/>
      <w:bookmarkEnd w:id="1356"/>
      <w:bookmarkEnd w:id="1357"/>
      <w:r>
        <w:t xml:space="preserve"> Confirmation</w:t>
      </w:r>
      <w:bookmarkEnd w:id="1358"/>
      <w:bookmarkEnd w:id="1359"/>
      <w:bookmarkEnd w:id="1360"/>
      <w:bookmarkEnd w:id="1361"/>
      <w:bookmarkEnd w:id="1362"/>
      <w:bookmarkEnd w:id="1363"/>
      <w:bookmarkEnd w:id="1365"/>
    </w:p>
    <w:p w14:paraId="316C19A4" w14:textId="77777777" w:rsidR="001F04FD" w:rsidRPr="00370F09" w:rsidRDefault="001F04FD" w:rsidP="001F04FD">
      <w:pPr>
        <w:spacing w:after="240"/>
        <w:ind w:left="720" w:hanging="720"/>
      </w:pPr>
      <w:r w:rsidRPr="002665C0">
        <w:t>(1)</w:t>
      </w:r>
      <w:r w:rsidRPr="002665C0">
        <w:tab/>
      </w:r>
      <w:r>
        <w:t>Following the issuance of a VDI by ERCOT to a QSE for a Generation Resource, ERCOT will provide the QSE with an electronic confirmation of the VDI for Settlement purposes.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2DEB5E5E"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342CBDA" w14:textId="77777777" w:rsidR="006963EB" w:rsidRDefault="006963EB" w:rsidP="004E6E12">
            <w:pPr>
              <w:pStyle w:val="Instructions"/>
              <w:spacing w:before="120"/>
            </w:pPr>
            <w:r>
              <w:t>[NPRR1246:  Replace paragraph (1) above with the following upon system implementation of the Real-Time Co-Optimization (RTC) project:]</w:t>
            </w:r>
          </w:p>
          <w:p w14:paraId="549331D3" w14:textId="715304A5" w:rsidR="006963EB" w:rsidRPr="006963EB" w:rsidRDefault="006963EB" w:rsidP="006963EB">
            <w:pPr>
              <w:spacing w:after="240"/>
              <w:ind w:left="720" w:hanging="720"/>
            </w:pPr>
            <w:r w:rsidRPr="007F5C96">
              <w:lastRenderedPageBreak/>
              <w:t>(1)</w:t>
            </w:r>
            <w:r w:rsidRPr="007F5C96">
              <w:tab/>
              <w:t>Following the issuance of a VDI by ERCOT to a QSE for a Generation Resource</w:t>
            </w:r>
            <w:r w:rsidRPr="00304957">
              <w:t xml:space="preserve"> </w:t>
            </w:r>
            <w:r>
              <w:t>or ESR</w:t>
            </w:r>
            <w:r w:rsidRPr="007F5C96">
              <w:t>, ERCOT will provide the QSE with an electronic confirmation of the VDI for Settlement purposes.</w:t>
            </w:r>
          </w:p>
        </w:tc>
      </w:tr>
    </w:tbl>
    <w:p w14:paraId="1B206F17" w14:textId="280FA71D" w:rsidR="001F04FD" w:rsidRDefault="001F04FD" w:rsidP="00DD0A69">
      <w:pPr>
        <w:pStyle w:val="BodyText"/>
        <w:spacing w:before="240"/>
      </w:pPr>
      <w:r>
        <w:lastRenderedPageBreak/>
        <w:t>(2)</w:t>
      </w:r>
      <w:r>
        <w:tab/>
        <w:t>A VDI confirmation shall contain the following information:</w:t>
      </w:r>
    </w:p>
    <w:p w14:paraId="465275E9" w14:textId="77777777" w:rsidR="001F04FD" w:rsidRDefault="001F04FD" w:rsidP="001F04FD">
      <w:pPr>
        <w:tabs>
          <w:tab w:val="left" w:pos="720"/>
        </w:tabs>
        <w:spacing w:after="240"/>
        <w:ind w:left="1440" w:hanging="720"/>
      </w:pPr>
      <w:r>
        <w:t>(a)</w:t>
      </w:r>
      <w:r>
        <w:tab/>
        <w:t>Operating Day and time ERCOT issued the VDI;</w:t>
      </w:r>
    </w:p>
    <w:p w14:paraId="64823A18" w14:textId="77777777" w:rsidR="001F04FD" w:rsidRDefault="001F04FD" w:rsidP="001F04FD">
      <w:pPr>
        <w:pStyle w:val="List"/>
        <w:tabs>
          <w:tab w:val="left" w:pos="720"/>
        </w:tabs>
      </w:pPr>
      <w:r>
        <w:t>(b)</w:t>
      </w:r>
      <w:r>
        <w:tab/>
        <w:t xml:space="preserve">Identification of the QSE for the Resource(s) subject to the VDI, and instructing authority (including the names of the ERCOT Operator and individual that received the VDI); </w:t>
      </w:r>
    </w:p>
    <w:p w14:paraId="72FB8B60" w14:textId="77777777" w:rsidR="001F04FD" w:rsidRDefault="001F04FD" w:rsidP="001F04FD">
      <w:pPr>
        <w:pStyle w:val="List"/>
        <w:tabs>
          <w:tab w:val="left" w:pos="720"/>
        </w:tabs>
      </w:pPr>
      <w:r>
        <w:t>(c)</w:t>
      </w:r>
      <w:r>
        <w:tab/>
        <w:t>Identification of the specific Resource(s) subject to the VDI;</w:t>
      </w:r>
    </w:p>
    <w:p w14:paraId="371EC7DA" w14:textId="77777777" w:rsidR="001F04FD" w:rsidRDefault="001F04FD" w:rsidP="001F04FD">
      <w:pPr>
        <w:pStyle w:val="List"/>
        <w:tabs>
          <w:tab w:val="left" w:pos="720"/>
        </w:tabs>
      </w:pPr>
      <w:r>
        <w:t>(d)</w:t>
      </w:r>
      <w:r>
        <w:tab/>
        <w:t>Specific actions required of the Resource(s);</w:t>
      </w:r>
    </w:p>
    <w:p w14:paraId="32E5D847" w14:textId="77777777" w:rsidR="001F04FD" w:rsidRDefault="001F04FD" w:rsidP="001F04FD">
      <w:pPr>
        <w:pStyle w:val="List"/>
        <w:tabs>
          <w:tab w:val="left" w:pos="720"/>
        </w:tabs>
      </w:pPr>
      <w:r>
        <w:t>(e)</w:t>
      </w:r>
      <w:r>
        <w:tab/>
        <w:t>Beginning operating level or state of the Resource(s);</w:t>
      </w:r>
    </w:p>
    <w:p w14:paraId="36A6ECB7" w14:textId="77777777" w:rsidR="001F04FD" w:rsidRDefault="001F04FD" w:rsidP="001F04FD">
      <w:pPr>
        <w:pStyle w:val="List"/>
        <w:tabs>
          <w:tab w:val="left" w:pos="720"/>
        </w:tabs>
      </w:pPr>
      <w:r>
        <w:t>(f)</w:t>
      </w:r>
      <w:r>
        <w:tab/>
        <w:t>Instructed operating level or state of the Resource(s);</w:t>
      </w:r>
    </w:p>
    <w:p w14:paraId="3CD408EA" w14:textId="77777777" w:rsidR="001F04FD" w:rsidRDefault="001F04FD" w:rsidP="001F04FD">
      <w:pPr>
        <w:pStyle w:val="List"/>
        <w:tabs>
          <w:tab w:val="left" w:pos="720"/>
        </w:tabs>
      </w:pPr>
      <w:r>
        <w:t>(g)</w:t>
      </w:r>
      <w:r>
        <w:tab/>
        <w:t>Time at which the Resource(s) was required to initiate actions;</w:t>
      </w:r>
    </w:p>
    <w:p w14:paraId="2D66CA15" w14:textId="77777777" w:rsidR="001F04FD" w:rsidRDefault="001F04FD" w:rsidP="001F04FD">
      <w:pPr>
        <w:pStyle w:val="List"/>
        <w:tabs>
          <w:tab w:val="left" w:pos="720"/>
        </w:tabs>
      </w:pPr>
      <w:r>
        <w:t>(h)</w:t>
      </w:r>
      <w:r>
        <w:tab/>
        <w:t>Time by which the Resource(s) was required to complete actions; and</w:t>
      </w:r>
    </w:p>
    <w:p w14:paraId="5B634FA2" w14:textId="77777777" w:rsidR="001F04FD" w:rsidRDefault="001F04FD" w:rsidP="001F04FD">
      <w:pPr>
        <w:pStyle w:val="List"/>
        <w:tabs>
          <w:tab w:val="left" w:pos="720"/>
        </w:tabs>
      </w:pPr>
      <w:r>
        <w:t>(i)</w:t>
      </w:r>
      <w:r>
        <w:tab/>
        <w:t>Other information relevant to that Dispatch Instruction.</w:t>
      </w:r>
    </w:p>
    <w:p w14:paraId="0BF2E90C" w14:textId="77777777" w:rsidR="001F04FD" w:rsidRDefault="001F04FD" w:rsidP="001F04FD">
      <w:pPr>
        <w:spacing w:after="240"/>
        <w:ind w:left="720" w:hanging="720"/>
        <w:rPr>
          <w:b/>
          <w:bCs/>
          <w:i/>
        </w:rPr>
      </w:pPr>
      <w:bookmarkStart w:id="1366" w:name="_Toc73216023"/>
      <w:bookmarkStart w:id="1367" w:name="_Toc397504983"/>
      <w:bookmarkStart w:id="1368" w:name="_Toc402357111"/>
      <w:bookmarkStart w:id="1369" w:name="_Toc422486491"/>
      <w:bookmarkStart w:id="1370" w:name="_Toc433093343"/>
      <w:bookmarkStart w:id="1371" w:name="_Toc433093501"/>
      <w:bookmarkStart w:id="1372" w:name="_Toc440874729"/>
      <w:bookmarkStart w:id="1373" w:name="_Toc448142284"/>
      <w:bookmarkStart w:id="1374" w:name="_Toc448142441"/>
      <w:r w:rsidRPr="00D82B61">
        <w:t>(3)</w:t>
      </w:r>
      <w:r w:rsidRPr="00D82B61">
        <w:tab/>
        <w:t>Following receipt by the QSE of the VDI confirmation issued by ERCOT, the QSE shall provide ERCOT with electronic acknowledgement of the VDI confirmation.</w:t>
      </w:r>
    </w:p>
    <w:p w14:paraId="00E33A1E" w14:textId="77777777" w:rsidR="001F04FD" w:rsidRDefault="001F04FD" w:rsidP="001F04FD">
      <w:pPr>
        <w:pStyle w:val="H3"/>
        <w:spacing w:before="480"/>
      </w:pPr>
      <w:bookmarkStart w:id="1375" w:name="_Toc458770278"/>
      <w:bookmarkStart w:id="1376" w:name="_Toc459294246"/>
      <w:bookmarkStart w:id="1377" w:name="_Toc463262739"/>
      <w:bookmarkStart w:id="1378" w:name="_Toc468286812"/>
      <w:bookmarkStart w:id="1379" w:name="_Toc481502858"/>
      <w:bookmarkStart w:id="1380" w:name="_Toc496080026"/>
      <w:bookmarkStart w:id="1381" w:name="_Toc189044375"/>
      <w:r>
        <w:t>6.5.9</w:t>
      </w:r>
      <w:r>
        <w:tab/>
        <w:t>Emergency Operations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283952B0" w14:textId="77777777" w:rsidR="001F04FD" w:rsidRDefault="001F04FD" w:rsidP="001F04FD">
      <w:pPr>
        <w:pStyle w:val="BodyTextNumbered"/>
      </w:pPr>
      <w:r>
        <w:t>(1)</w:t>
      </w:r>
      <w:r>
        <w:tab/>
        <w:t xml:space="preserve">ERCOT, based on ERCOT System reliability needs, may issue a Dispatch Instruction requiring a Resource to move to a specific output level (“Emergency Base Point”).  </w:t>
      </w:r>
    </w:p>
    <w:p w14:paraId="3A25EFD9" w14:textId="77777777" w:rsidR="001F04FD" w:rsidRDefault="001F04FD" w:rsidP="001F04FD">
      <w:pPr>
        <w:pStyle w:val="BodyTextNumbered"/>
      </w:pPr>
      <w:r>
        <w:t>(2)</w:t>
      </w:r>
      <w:r>
        <w:tab/>
        <w:t>A QF may only be ordered Off-Line in the case of an ERCOT-declared Emergency Condition with imminent threat to the reliability of the ERCOT System.  ERCOT may only Dispatch a QF below its LSL when ERCOT has declared an Emergency Condition and the QF is the only Resource that can provide the necessary relief.</w:t>
      </w:r>
    </w:p>
    <w:p w14:paraId="5C6F28DE" w14:textId="77777777" w:rsidR="001F04FD" w:rsidRDefault="001F04FD" w:rsidP="001F04FD">
      <w:pPr>
        <w:pStyle w:val="BodyTextNumbered"/>
      </w:pPr>
      <w:r>
        <w:t>(3)</w:t>
      </w:r>
      <w:r>
        <w:tab/>
        <w:t xml:space="preserve">ERCOT shall honor all Resource operating parameters in Dispatch Instructions under normal conditions and Emergency Conditions.  During Emergency Conditions, ERCOT may verbally request QSEs to operate its Resources outside normal operating parameters.  If such request is received by a QSE, the QSE shall discuss the request with ERCOT in good faith and may choose to comply with the request.  </w:t>
      </w:r>
    </w:p>
    <w:p w14:paraId="2F7FA451" w14:textId="77777777" w:rsidR="001F04FD" w:rsidRDefault="001F04FD" w:rsidP="001F04FD">
      <w:pPr>
        <w:pStyle w:val="BodyTextNumbered"/>
      </w:pPr>
      <w:r>
        <w:lastRenderedPageBreak/>
        <w:t>(4)</w:t>
      </w:r>
      <w:r>
        <w:tab/>
        <w:t>A QSE may not self-arrange for Ancillary Services procured in response to Emergency Conditions.</w:t>
      </w:r>
    </w:p>
    <w:p w14:paraId="4ECF7ED5" w14:textId="77777777" w:rsidR="001F04FD" w:rsidRDefault="001F04FD" w:rsidP="001F04FD">
      <w:pPr>
        <w:pStyle w:val="H4"/>
        <w:spacing w:before="480"/>
        <w:ind w:left="1267" w:hanging="1267"/>
      </w:pPr>
      <w:bookmarkStart w:id="1382" w:name="_Toc73216024"/>
      <w:bookmarkStart w:id="1383" w:name="_Toc397504984"/>
      <w:bookmarkStart w:id="1384" w:name="_Toc402357112"/>
      <w:bookmarkStart w:id="1385" w:name="_Toc422486492"/>
      <w:bookmarkStart w:id="1386" w:name="_Toc433093344"/>
      <w:bookmarkStart w:id="1387" w:name="_Toc433093502"/>
      <w:bookmarkStart w:id="1388" w:name="_Toc440874730"/>
      <w:bookmarkStart w:id="1389" w:name="_Toc448142285"/>
      <w:bookmarkStart w:id="1390" w:name="_Toc448142442"/>
      <w:bookmarkStart w:id="1391" w:name="_Toc458770279"/>
      <w:bookmarkStart w:id="1392" w:name="_Toc459294247"/>
      <w:bookmarkStart w:id="1393" w:name="_Toc463262740"/>
      <w:bookmarkStart w:id="1394" w:name="_Toc468286813"/>
      <w:bookmarkStart w:id="1395" w:name="_Toc481502859"/>
      <w:bookmarkStart w:id="1396" w:name="_Toc496080027"/>
      <w:bookmarkStart w:id="1397" w:name="_Toc189044376"/>
      <w:r>
        <w:t>6.5.9.1</w:t>
      </w:r>
      <w:r>
        <w:tab/>
        <w:t>Emergency and Short Supply Operation</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09418F31" w14:textId="42256625" w:rsidR="001F04FD" w:rsidRDefault="001F04FD" w:rsidP="001F04FD">
      <w:pPr>
        <w:pStyle w:val="BodyTextNumbered"/>
      </w:pPr>
      <w:r>
        <w:t>(1)</w:t>
      </w:r>
      <w:r>
        <w:tab/>
        <w:t>ERCOT is responsible for maintaining reliability in normal and Emergency Conditions.  The Operating Guides are intended to ensure that minimum standards for reliability are maintained.  Minimum standards for reliability are defined by the Operating Guides and the NERC Reliability Standards and include, but are not limited to:</w:t>
      </w:r>
    </w:p>
    <w:p w14:paraId="331F0E2A" w14:textId="77777777" w:rsidR="001F04FD" w:rsidRDefault="001F04FD" w:rsidP="001F04FD">
      <w:pPr>
        <w:pStyle w:val="List"/>
      </w:pPr>
      <w:r>
        <w:t>(a)</w:t>
      </w:r>
      <w:r>
        <w:tab/>
        <w:t>Minimum operating reserve levels;</w:t>
      </w:r>
    </w:p>
    <w:p w14:paraId="496F200C" w14:textId="77777777" w:rsidR="001F04FD" w:rsidRDefault="001F04FD" w:rsidP="001F04FD">
      <w:pPr>
        <w:pStyle w:val="List"/>
      </w:pPr>
      <w:r>
        <w:t>(b)</w:t>
      </w:r>
      <w:r>
        <w:tab/>
        <w:t>Criteria for determining acceptable operation of the frequency control system;</w:t>
      </w:r>
    </w:p>
    <w:p w14:paraId="472D4E71" w14:textId="77777777" w:rsidR="001F04FD" w:rsidRDefault="001F04FD" w:rsidP="001F04FD">
      <w:pPr>
        <w:pStyle w:val="List"/>
      </w:pPr>
      <w:r>
        <w:t>(c)</w:t>
      </w:r>
      <w:r>
        <w:tab/>
        <w:t>Criteria for determining and maintaining system voltages within acceptable limits;</w:t>
      </w:r>
    </w:p>
    <w:p w14:paraId="302715FA" w14:textId="77777777" w:rsidR="001F04FD" w:rsidRDefault="001F04FD" w:rsidP="001F04FD">
      <w:pPr>
        <w:pStyle w:val="List"/>
      </w:pPr>
      <w:r>
        <w:t>(d)</w:t>
      </w:r>
      <w:r>
        <w:tab/>
        <w:t>Criteria for maximum acceptable transmission equipment loading levels; and</w:t>
      </w:r>
    </w:p>
    <w:p w14:paraId="6682D1E3" w14:textId="77777777" w:rsidR="001F04FD" w:rsidRDefault="001F04FD" w:rsidP="001F04FD">
      <w:pPr>
        <w:pStyle w:val="List"/>
      </w:pPr>
      <w:r>
        <w:t>(e)</w:t>
      </w:r>
      <w:r>
        <w:tab/>
        <w:t>Criteria for determining when ERCOT is subject to unacceptable risk of widespread cascading Outages.</w:t>
      </w:r>
    </w:p>
    <w:p w14:paraId="43BAE8E7" w14:textId="77777777" w:rsidR="001F04FD" w:rsidRDefault="001F04FD" w:rsidP="001F04FD">
      <w:pPr>
        <w:pStyle w:val="BodyTextNumbered"/>
      </w:pPr>
      <w:r>
        <w:t>(2)</w:t>
      </w:r>
      <w:r>
        <w:tab/>
        <w:t>ERCOT shall, to the fullest extent practicable, utilize the Day-Ahead process, the Adjustment Period process, and the Real-Time process before ordering Resources to specific output levels with Emergency Base Point instructions.  It is anticipated that, with effective and timely communication, the market-based tools available to ERCOT will avert most threats to the reliability of the ERCOT System.  However, these Protocols do not preclude ERCOT from taking any action to preserve the integrity of the ERCOT System.</w:t>
      </w:r>
    </w:p>
    <w:p w14:paraId="7485ADEC" w14:textId="77777777" w:rsidR="001F04FD" w:rsidRDefault="001F04FD" w:rsidP="001F04FD">
      <w:pPr>
        <w:pStyle w:val="H4"/>
        <w:spacing w:before="480"/>
        <w:ind w:left="1267" w:hanging="1267"/>
      </w:pPr>
      <w:bookmarkStart w:id="1398" w:name="_Toc73216025"/>
      <w:bookmarkStart w:id="1399" w:name="_Toc397504985"/>
      <w:bookmarkStart w:id="1400" w:name="_Toc402357113"/>
      <w:bookmarkStart w:id="1401" w:name="_Toc422486493"/>
      <w:bookmarkStart w:id="1402" w:name="_Toc433093345"/>
      <w:bookmarkStart w:id="1403" w:name="_Toc433093503"/>
      <w:bookmarkStart w:id="1404" w:name="_Toc440874731"/>
      <w:bookmarkStart w:id="1405" w:name="_Toc448142286"/>
      <w:bookmarkStart w:id="1406" w:name="_Toc448142443"/>
      <w:bookmarkStart w:id="1407" w:name="_Toc458770280"/>
      <w:bookmarkStart w:id="1408" w:name="_Toc459294248"/>
      <w:bookmarkStart w:id="1409" w:name="_Toc463262741"/>
      <w:bookmarkStart w:id="1410" w:name="_Toc468286814"/>
      <w:bookmarkStart w:id="1411" w:name="_Toc481502860"/>
      <w:bookmarkStart w:id="1412" w:name="_Toc496080028"/>
      <w:bookmarkStart w:id="1413" w:name="_Toc189044377"/>
      <w:r>
        <w:t>6.5.9.2</w:t>
      </w:r>
      <w:r>
        <w:tab/>
        <w:t>Failure of the SCED Process</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476E25EE" w14:textId="77777777" w:rsidR="001F04FD" w:rsidRDefault="001F04FD" w:rsidP="001F04FD">
      <w:pPr>
        <w:pStyle w:val="BodyTextNumbered"/>
      </w:pPr>
      <w:r>
        <w:t>(1)</w:t>
      </w:r>
      <w:r>
        <w:tab/>
        <w:t>When the SCED process is not able to reach a solution, ERCOT shall issue a Watch.</w:t>
      </w:r>
    </w:p>
    <w:p w14:paraId="67B1E437" w14:textId="53832AE7" w:rsidR="001F04FD" w:rsidRDefault="001F04FD" w:rsidP="001F04FD">
      <w:pPr>
        <w:pStyle w:val="BodyTextNumbered"/>
      </w:pPr>
      <w:r>
        <w:t>(2)</w:t>
      </w:r>
      <w:r>
        <w:tab/>
        <w:t>For intervals that the SCED process fails to reach a solution,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interval for which no solution was reached are equal to the LMPs</w:t>
      </w:r>
      <w:r w:rsidRPr="0080555B">
        <w:t xml:space="preserve">, </w:t>
      </w:r>
      <w:r w:rsidRPr="00193B05">
        <w:t xml:space="preserve">Real-Time On-Line Reliability Deployment Price Adders, </w:t>
      </w:r>
      <w:r w:rsidRPr="0080555B">
        <w:t>Real-Time On-Line Reserve Price Adders and Real-Time Off-Line Reserve Price Adders</w:t>
      </w:r>
      <w:r>
        <w:t xml:space="preserve"> in the most recently solved interval.  For Settlement Intervals that the Real-Time Settlement Point Prices are identified as erroneous and ERCOT sets the SCED intervals as failed in accordance with Section 6.3, Adjustment Period and Real-Time Operations Timeline,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failed SCED intervals are equal to the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in the most recently solved SCED interval that is not set as </w:t>
      </w:r>
      <w:r>
        <w:lastRenderedPageBreak/>
        <w:t xml:space="preserve">failed.  ERCOT shall notify the market of the failure by posting on the </w:t>
      </w:r>
      <w:r w:rsidR="0007207E">
        <w:t>ERCOT website</w:t>
      </w:r>
      <w:r>
        <w:t>.  For intervals covering the first 15 minutes of SCED process execution following a failure, ERCOT shall set the LMPs</w:t>
      </w:r>
      <w:r w:rsidRPr="0080555B">
        <w:t xml:space="preserve">, </w:t>
      </w:r>
      <w:r w:rsidRPr="00193B05">
        <w:t>Real-Time On-Line Reliability Deployment Price Adders,</w:t>
      </w:r>
      <w:r>
        <w:t xml:space="preserve"> </w:t>
      </w:r>
      <w:r w:rsidRPr="0080555B">
        <w:t>Real-Time On-Line Reserve Price Adders and Real-Ti</w:t>
      </w:r>
      <w:r>
        <w:t>me Off-Line Reserve Price Adders equal to the LMPs</w:t>
      </w:r>
      <w:r w:rsidRPr="0080555B">
        <w:t>, Real-Time On-Line Reserve Price Adders and Real-Time Off-Line Reserve Price Adders</w:t>
      </w:r>
      <w:r>
        <w:t xml:space="preserve"> in the most recently solved SCED interval prior to the SCED process failure.  ERCOT shall notify the market of this price correction by posting on the </w:t>
      </w:r>
      <w:r w:rsidR="0007207E">
        <w:t>ERCOT website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2383947A" w14:textId="77777777" w:rsidTr="00EC5231">
        <w:trPr>
          <w:trHeight w:val="206"/>
        </w:trPr>
        <w:tc>
          <w:tcPr>
            <w:tcW w:w="9576" w:type="dxa"/>
            <w:shd w:val="pct12" w:color="auto" w:fill="auto"/>
          </w:tcPr>
          <w:p w14:paraId="436141B7" w14:textId="26BC28C6" w:rsidR="00935574" w:rsidRDefault="00935574" w:rsidP="00EC5231">
            <w:pPr>
              <w:pStyle w:val="Instructions"/>
              <w:spacing w:before="120"/>
            </w:pPr>
            <w:r>
              <w:t>[NPRR1010:  Replace paragraph (2) above with the following upon system implementation of the Real-Time Co-Optimization (RTC) project:]</w:t>
            </w:r>
          </w:p>
          <w:p w14:paraId="0522CF9E" w14:textId="0BCC7D9E" w:rsidR="00935574" w:rsidRPr="00B37C4B" w:rsidRDefault="00935574" w:rsidP="0007207E">
            <w:pPr>
              <w:spacing w:after="240"/>
              <w:ind w:left="720" w:hanging="720"/>
            </w:pPr>
            <w:r w:rsidRPr="003161DC">
              <w:t>(2)</w:t>
            </w:r>
            <w:r w:rsidRPr="003161DC">
              <w:tab/>
              <w:t xml:space="preserve">For intervals that the SCED process fails to reach a solution, then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for the interval for which no solution was reached are equal to the LMPs, </w:t>
            </w:r>
            <w:r>
              <w:t xml:space="preserve">Real-Time MCPCs, </w:t>
            </w:r>
            <w:r w:rsidRPr="003161DC">
              <w:t>Real-Time Reliability Deployment Price Adders</w:t>
            </w:r>
            <w:r>
              <w:t xml:space="preserve"> for Energy</w:t>
            </w:r>
            <w:r w:rsidRPr="003161DC">
              <w:t xml:space="preserve">, </w:t>
            </w:r>
            <w:r>
              <w:t>and Real-Time Reliability Deployment Price Adders for Ancillary Service</w:t>
            </w:r>
            <w:r w:rsidRPr="003161DC" w:rsidDel="00235893">
              <w:t xml:space="preserve"> </w:t>
            </w:r>
            <w:r w:rsidRPr="003161DC">
              <w:t>in the most recently solved interval.  For Settlement Intervals that the Real-Time Settlement Point Prices are identified as erroneous</w:t>
            </w:r>
            <w:r>
              <w:t>,</w:t>
            </w:r>
            <w:r w:rsidRPr="003161DC">
              <w:t xml:space="preserve"> and ERCOT sets the SCED intervals as failed in accordance with Section 6.3, Adjustment Period and Real-Time Operations Timeline, then the LMPs, </w:t>
            </w:r>
            <w:r>
              <w:t xml:space="preserve">Real-Time MCPCs, </w:t>
            </w:r>
            <w:r w:rsidRPr="003161DC">
              <w:t>Real-Time Reliability Deployment Price Adders</w:t>
            </w:r>
            <w:r>
              <w:t xml:space="preserve"> for Energy</w:t>
            </w:r>
            <w:r w:rsidRPr="003161DC">
              <w:t xml:space="preserve">, </w:t>
            </w:r>
            <w:r>
              <w:t>and Real-Time Reliability Deployment Price Adders</w:t>
            </w:r>
            <w:r w:rsidRPr="003161DC" w:rsidDel="00235893">
              <w:t xml:space="preserve"> </w:t>
            </w:r>
            <w:r>
              <w:t>for Ancillary Service,</w:t>
            </w:r>
            <w:r w:rsidRPr="003161DC" w:rsidDel="00235893">
              <w:t xml:space="preserve"> </w:t>
            </w:r>
            <w:r w:rsidRPr="003161DC">
              <w:t xml:space="preserve">for the failed SCED intervals are equal to the LMPs, </w:t>
            </w:r>
            <w:r>
              <w:t xml:space="preserve">Real-Time MCPCs, </w:t>
            </w:r>
            <w:r w:rsidRPr="003161DC">
              <w:t>Real-Time Reliability Deployment Price Adders</w:t>
            </w:r>
            <w:r>
              <w:t xml:space="preserve"> for Energy, and Real-Time Reliability Deployment Price Adders</w:t>
            </w:r>
            <w:r w:rsidRPr="003161DC">
              <w:t xml:space="preserve"> </w:t>
            </w:r>
            <w:r>
              <w:t xml:space="preserve">for Ancillary Service, </w:t>
            </w:r>
            <w:r w:rsidRPr="003161DC">
              <w:t xml:space="preserve">in the most recently solved SCED interval that is not set as failed.  ERCOT shall notify the market of the failure by posting on the </w:t>
            </w:r>
            <w:r w:rsidR="0007207E">
              <w:t>ERCOT website</w:t>
            </w:r>
            <w:r w:rsidRPr="003161DC">
              <w:t xml:space="preserve">.  For intervals covering the first 15 minutes of SCED process execution following a failure, ERCOT shall set the LMPs, </w:t>
            </w:r>
            <w:r>
              <w:t xml:space="preserve">Real-Time MCPCs, </w:t>
            </w:r>
            <w:r w:rsidRPr="003161DC">
              <w:t>Real-Time Reliability Deployment Price Adders</w:t>
            </w:r>
            <w:r>
              <w:t xml:space="preserve"> for Energy, and Real-Time Reliability Deployment Price Adders</w:t>
            </w:r>
            <w:r w:rsidRPr="003161DC">
              <w:t xml:space="preserve"> </w:t>
            </w:r>
            <w:r>
              <w:t>for Ancillary Service,</w:t>
            </w:r>
            <w:r w:rsidRPr="003161DC">
              <w:t xml:space="preserve"> equal to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in the most recently solved SCED interval prior to the SCED process failure.  ERCOT shall notify the market of this price correction by </w:t>
            </w:r>
            <w:r>
              <w:t xml:space="preserve">posting on the </w:t>
            </w:r>
            <w:r w:rsidR="0007207E">
              <w:t>ERCOT website</w:t>
            </w:r>
            <w:r>
              <w:t>.</w:t>
            </w:r>
          </w:p>
        </w:tc>
      </w:tr>
    </w:tbl>
    <w:p w14:paraId="2E8CFA22" w14:textId="02A356E1" w:rsidR="00882A2C" w:rsidRDefault="00882A2C" w:rsidP="00FB599C">
      <w:pPr>
        <w:spacing w:before="240" w:after="240"/>
        <w:ind w:left="720" w:hanging="720"/>
      </w:pPr>
      <w:r>
        <w:t>(3)</w:t>
      </w:r>
      <w: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7164B042" w14:textId="77777777" w:rsidR="001F04FD" w:rsidRDefault="001F04FD" w:rsidP="00882A2C">
      <w:pPr>
        <w:pStyle w:val="BodyTextNumbered"/>
      </w:pPr>
      <w:r>
        <w:t>(</w:t>
      </w:r>
      <w:r w:rsidR="00882A2C">
        <w:t>4</w:t>
      </w:r>
      <w:r>
        <w:t>)</w:t>
      </w:r>
      <w:r>
        <w:tab/>
        <w:t>Once ERCOT issues a Watch for a SCED process failure, ERCOT may use any of the following measures:</w:t>
      </w:r>
    </w:p>
    <w:p w14:paraId="3ECABFE0" w14:textId="77777777" w:rsidR="001F04FD" w:rsidRDefault="001F04FD" w:rsidP="001F04FD">
      <w:pPr>
        <w:pStyle w:val="List"/>
      </w:pPr>
      <w:r>
        <w:lastRenderedPageBreak/>
        <w:t>(a)</w:t>
      </w:r>
      <w:r>
        <w:tab/>
        <w:t>ERCOT may direct the SCED process to relax the active transmission constraints and/or the HASLs and LASLs for specific Resources and resume calculation of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by reducing the Ancillary Service Schedules for the affected Resource, if sufficient supply exists to manage total system needs;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1BF57280" w14:textId="77777777" w:rsidTr="00935574">
        <w:trPr>
          <w:trHeight w:val="206"/>
        </w:trPr>
        <w:tc>
          <w:tcPr>
            <w:tcW w:w="9350" w:type="dxa"/>
            <w:shd w:val="pct12" w:color="auto" w:fill="auto"/>
          </w:tcPr>
          <w:p w14:paraId="7144A023" w14:textId="18478B9B" w:rsidR="00935574" w:rsidRDefault="00935574" w:rsidP="00EC5231">
            <w:pPr>
              <w:pStyle w:val="Instructions"/>
              <w:spacing w:before="120"/>
            </w:pPr>
            <w:r>
              <w:t>[NPRR1010:  Replace paragraph (a) above with the following upon system implementation of the Real-Time Co-Optimization (RTC) project:]</w:t>
            </w:r>
          </w:p>
          <w:p w14:paraId="70C04A76" w14:textId="75BB44AA" w:rsidR="00935574" w:rsidRPr="00B37C4B" w:rsidRDefault="00935574" w:rsidP="00935574">
            <w:pPr>
              <w:spacing w:after="240"/>
              <w:ind w:left="1440" w:hanging="720"/>
            </w:pPr>
            <w:r w:rsidRPr="003161DC">
              <w:t>(a)</w:t>
            </w:r>
            <w:r w:rsidRPr="003161DC">
              <w:tab/>
              <w:t>ERCOT may direct the SCED process to relax the active transmission constraints</w:t>
            </w:r>
            <w:r>
              <w:t>;</w:t>
            </w:r>
          </w:p>
        </w:tc>
      </w:tr>
    </w:tbl>
    <w:p w14:paraId="032FBD6F" w14:textId="6BF5DA7C" w:rsidR="001F04FD" w:rsidRDefault="001F04FD" w:rsidP="00FB599C">
      <w:pPr>
        <w:pStyle w:val="List"/>
        <w:spacing w:before="240"/>
      </w:pPr>
      <w:r>
        <w:t>(b)</w:t>
      </w:r>
      <w:r>
        <w:tab/>
        <w:t>ERCOT may issue Emergency Base Points for Resources;</w:t>
      </w:r>
    </w:p>
    <w:p w14:paraId="5983029F" w14:textId="77777777" w:rsidR="001F04FD" w:rsidRDefault="001F04FD" w:rsidP="001F04FD">
      <w:pPr>
        <w:pStyle w:val="List"/>
      </w:pPr>
      <w:r>
        <w:t>(c)</w:t>
      </w:r>
      <w:r>
        <w:tab/>
        <w:t>ERCOT may manually issue Emergency Base Points for a Resource and must communicate the Resource name, MW output requested, and start time and duration of the Dispatch Instruction to the QSE representing the Resource;</w:t>
      </w:r>
    </w:p>
    <w:p w14:paraId="1208698E" w14:textId="77777777" w:rsidR="001F04FD" w:rsidRDefault="001F04FD" w:rsidP="001F04FD">
      <w:pPr>
        <w:pStyle w:val="List"/>
      </w:pPr>
      <w:r>
        <w:t>(d)</w:t>
      </w:r>
      <w:r>
        <w:tab/>
        <w:t>ERCOT may issue an instruction to hold the previous interval; and</w:t>
      </w:r>
    </w:p>
    <w:p w14:paraId="67C62441" w14:textId="77777777" w:rsidR="001F04FD" w:rsidRDefault="001F04FD" w:rsidP="001F04FD">
      <w:pPr>
        <w:pStyle w:val="List"/>
      </w:pPr>
      <w:r>
        <w:t>(e)</w:t>
      </w:r>
      <w:r>
        <w:tab/>
        <w:t>A QF, a hydro Generation Resource, or a nuclear-powered Resource may be instructed by ERCOT to operate below its LSL only after all other Resource options have been exhausted.</w:t>
      </w:r>
    </w:p>
    <w:p w14:paraId="3769D03E" w14:textId="77777777" w:rsidR="001F04FD" w:rsidRDefault="001F04FD" w:rsidP="001F04FD">
      <w:pPr>
        <w:pStyle w:val="BodyTextNumbered"/>
      </w:pPr>
      <w:r>
        <w:t>(</w:t>
      </w:r>
      <w:r w:rsidR="00882A2C">
        <w:t>5</w:t>
      </w:r>
      <w:r>
        <w:t>)</w:t>
      </w:r>
      <w:r>
        <w:tab/>
        <w:t>The Watch continues until the SCED process can reach a solution without using the measures in paragraph (</w:t>
      </w:r>
      <w:r w:rsidR="00882A2C">
        <w:t>4</w:t>
      </w:r>
      <w:r>
        <w:t>) above.</w:t>
      </w:r>
    </w:p>
    <w:p w14:paraId="7166B350" w14:textId="6A11BE2D" w:rsidR="001F04FD" w:rsidRDefault="001F04FD" w:rsidP="001F04FD">
      <w:pPr>
        <w:pStyle w:val="H4"/>
        <w:spacing w:before="480"/>
        <w:ind w:left="1267" w:hanging="1267"/>
      </w:pPr>
      <w:bookmarkStart w:id="1414" w:name="_Toc73216029"/>
      <w:bookmarkStart w:id="1415" w:name="_Toc397504986"/>
      <w:bookmarkStart w:id="1416" w:name="_Toc402357114"/>
      <w:bookmarkStart w:id="1417" w:name="_Toc422486494"/>
      <w:bookmarkStart w:id="1418" w:name="_Toc433093346"/>
      <w:bookmarkStart w:id="1419" w:name="_Toc433093504"/>
      <w:bookmarkStart w:id="1420" w:name="_Toc440874732"/>
      <w:bookmarkStart w:id="1421" w:name="_Toc448142287"/>
      <w:bookmarkStart w:id="1422" w:name="_Toc448142444"/>
      <w:bookmarkStart w:id="1423" w:name="_Toc458770281"/>
      <w:bookmarkStart w:id="1424" w:name="_Toc459294249"/>
      <w:bookmarkStart w:id="1425" w:name="_Toc463262742"/>
      <w:bookmarkStart w:id="1426" w:name="_Toc468286815"/>
      <w:bookmarkStart w:id="1427" w:name="_Toc481502861"/>
      <w:bookmarkStart w:id="1428" w:name="_Toc496080029"/>
      <w:bookmarkStart w:id="1429" w:name="_Toc189044378"/>
      <w:r>
        <w:t>6.5.9.3</w:t>
      </w:r>
      <w:r>
        <w:tab/>
        <w:t xml:space="preserve">Communication </w:t>
      </w:r>
      <w:r w:rsidR="002D28ED">
        <w:t>Prior to and During</w:t>
      </w:r>
      <w:r>
        <w:t xml:space="preserve"> Emergency Conditions</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0BF9E745" w14:textId="77777777" w:rsidR="001F04FD" w:rsidRDefault="001F04FD" w:rsidP="001F04FD">
      <w:pPr>
        <w:pStyle w:val="BodyTextNumbered"/>
      </w:pPr>
      <w:r>
        <w:t>(1)</w:t>
      </w:r>
      <w:r>
        <w:tab/>
        <w:t>Effective, accurate, and timely communication between ERCOT, TSPs, and QSEs is essential.  Each QSE must be provided adequate information to make informed decisions and must receive the information with sufficient advance notice to facilitate Resource and Load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1D133276" w14:textId="77777777" w:rsidTr="004510FA">
        <w:trPr>
          <w:trHeight w:val="206"/>
        </w:trPr>
        <w:tc>
          <w:tcPr>
            <w:tcW w:w="9576" w:type="dxa"/>
            <w:shd w:val="pct12" w:color="auto" w:fill="auto"/>
          </w:tcPr>
          <w:p w14:paraId="0D2A086D" w14:textId="4FED3FA0"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0920694" w14:textId="77777777" w:rsidR="00094CCC" w:rsidRPr="00B37C4B" w:rsidRDefault="00094CCC" w:rsidP="00094CCC">
            <w:pPr>
              <w:spacing w:after="240"/>
              <w:ind w:left="720" w:hanging="720"/>
            </w:pPr>
            <w:r w:rsidRPr="00E55E72">
              <w:lastRenderedPageBreak/>
              <w:t>(1)</w:t>
            </w:r>
            <w:r w:rsidRPr="00E55E72">
              <w:tab/>
              <w:t>Effective, accurate, and timely communication between ERCOT, TSPs, DCTOs, and QSEs is essential.  Each QSE must be provided adequate information to make informed decisions and must receive the information with sufficient advance notice to facilita</w:t>
            </w:r>
            <w:r>
              <w:t>te Resource and Load responses.</w:t>
            </w:r>
          </w:p>
        </w:tc>
      </w:tr>
    </w:tbl>
    <w:p w14:paraId="0483926B" w14:textId="77777777" w:rsidR="001F04FD" w:rsidRDefault="001F04FD" w:rsidP="0099247E">
      <w:pPr>
        <w:pStyle w:val="BodyTextNumbered"/>
        <w:spacing w:before="240"/>
      </w:pPr>
      <w:r>
        <w:lastRenderedPageBreak/>
        <w:t>(2)</w:t>
      </w:r>
      <w:r>
        <w:tab/>
        <w:t>The type of communication ERCOT issues is determined primarily on the basis of the time available for the market to respond before an Emergency Condition occurs.  The timing of these communications could range from days in advance to immediate.  If there is insufficient time to allow the market to react, ERCOT may bypass one or more of the communication steps.</w:t>
      </w:r>
    </w:p>
    <w:p w14:paraId="4694B32A" w14:textId="45B9B185" w:rsidR="001F04FD" w:rsidRDefault="001F04FD" w:rsidP="001F04FD">
      <w:pPr>
        <w:pStyle w:val="BodyTextNumbered"/>
      </w:pPr>
      <w:r>
        <w:t>(3)</w:t>
      </w:r>
      <w:r>
        <w:tab/>
        <w:t xml:space="preserve">ERCOT shall consider the severity of the potential Emergency Condition as it determines which of the communications </w:t>
      </w:r>
      <w:r w:rsidR="002D28ED">
        <w:t xml:space="preserve">to use as </w:t>
      </w:r>
      <w:r>
        <w:t xml:space="preserve">set forth in </w:t>
      </w:r>
      <w:r w:rsidR="002D28ED">
        <w:t>the following subsections</w:t>
      </w:r>
      <w:r>
        <w:t xml:space="preserve">.  The severity of the Emergency Condition could be limited to an isolated local area, or the condition might cover large areas affecting several </w:t>
      </w:r>
      <w:r>
        <w:rPr>
          <w:iCs/>
        </w:rPr>
        <w:t>entities</w:t>
      </w:r>
      <w:r>
        <w:t>, or the condition might be an ERCOT-wide condition potentially affecting the entire ERCOT System.</w:t>
      </w:r>
    </w:p>
    <w:p w14:paraId="51AA371C" w14:textId="77777777" w:rsidR="001F04FD" w:rsidRDefault="001F04FD" w:rsidP="001F04FD">
      <w:pPr>
        <w:pStyle w:val="BodyTextNumbered"/>
      </w:pPr>
      <w:r>
        <w:t>(4)</w:t>
      </w:r>
      <w:r>
        <w:tab/>
        <w:t>The following Sections describe the types of communications that will be issued by ERCOT to inform all QSEs and TSPs of the operating situation.  These communications may relate to transmission, distribution, or Generation or Load Resources.  The communications must specify the severity of the situation, the area affected, the areas potentially affected, and the anticipated duration of the Emergency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4A60ADE5" w14:textId="77777777" w:rsidTr="0098659C">
        <w:trPr>
          <w:trHeight w:val="296"/>
        </w:trPr>
        <w:tc>
          <w:tcPr>
            <w:tcW w:w="9576" w:type="dxa"/>
            <w:shd w:val="pct12" w:color="auto" w:fill="auto"/>
          </w:tcPr>
          <w:p w14:paraId="0A1119BF" w14:textId="5AB09341" w:rsidR="0098659C" w:rsidRDefault="0098659C" w:rsidP="004510FA">
            <w:pPr>
              <w:pStyle w:val="Instructions"/>
              <w:spacing w:before="120"/>
            </w:pPr>
            <w:bookmarkStart w:id="1430" w:name="_Toc482720113"/>
            <w:bookmarkStart w:id="1431" w:name="_Toc74137360"/>
            <w:bookmarkStart w:id="1432" w:name="_Toc397504987"/>
            <w:bookmarkStart w:id="1433" w:name="_Toc402357115"/>
            <w:bookmarkStart w:id="1434" w:name="_Toc422486495"/>
            <w:bookmarkStart w:id="1435" w:name="_Toc433093347"/>
            <w:bookmarkStart w:id="1436" w:name="_Toc433093505"/>
            <w:bookmarkStart w:id="1437" w:name="_Toc440874733"/>
            <w:bookmarkStart w:id="1438" w:name="_Toc448142288"/>
            <w:bookmarkStart w:id="1439" w:name="_Toc448142445"/>
            <w:bookmarkStart w:id="1440" w:name="_Toc458770282"/>
            <w:bookmarkStart w:id="1441" w:name="_Toc459294250"/>
            <w:bookmarkStart w:id="1442" w:name="_Toc463262743"/>
            <w:bookmarkStart w:id="1443" w:name="_Toc468286816"/>
            <w:bookmarkStart w:id="1444" w:name="_Toc481502862"/>
            <w:bookmarkStart w:id="1445" w:name="_Toc496080030"/>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D156F6E" w14:textId="77777777" w:rsidR="0098659C" w:rsidRPr="00B37C4B" w:rsidRDefault="0098659C" w:rsidP="0098659C">
            <w:pPr>
              <w:spacing w:after="240"/>
              <w:ind w:left="720" w:hanging="720"/>
            </w:pPr>
            <w:r w:rsidRPr="00E55E72">
              <w:t>(4)</w:t>
            </w:r>
            <w:r w:rsidRPr="00E55E72">
              <w:tab/>
              <w:t xml:space="preserve">The following Sections describe the types of communications that will be issued by ERCOT to inform all QSEs, TSPs, and DCTOs of the operating situation.  These communications may relate to transmission, distribution, or Generation or Load Resources.  The communications must specify the severity of the situation, the area affected, the areas potentially affected, and the anticipated duration of the Emergency </w:t>
            </w:r>
            <w:r>
              <w:t>Condition.</w:t>
            </w:r>
          </w:p>
        </w:tc>
      </w:tr>
    </w:tbl>
    <w:p w14:paraId="79FC0959" w14:textId="77777777" w:rsidR="001F04FD" w:rsidRDefault="001F04FD" w:rsidP="001F04FD">
      <w:pPr>
        <w:pStyle w:val="H5"/>
        <w:spacing w:before="480"/>
        <w:ind w:left="1627" w:hanging="1627"/>
      </w:pPr>
      <w:bookmarkStart w:id="1446" w:name="_Toc189044379"/>
      <w:r>
        <w:t>6.5.9.3.1</w:t>
      </w:r>
      <w:r>
        <w:tab/>
      </w:r>
      <w:bookmarkEnd w:id="1430"/>
      <w:bookmarkEnd w:id="1431"/>
      <w:r>
        <w:t>Operating Condition Notice</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54FF8F65" w14:textId="6F833910" w:rsidR="001F04FD" w:rsidRDefault="001F04FD" w:rsidP="001F04FD">
      <w:pPr>
        <w:pStyle w:val="BodyTextNumbered"/>
      </w:pPr>
      <w:r>
        <w:t>(1)</w:t>
      </w:r>
      <w:r>
        <w:tab/>
        <w:t xml:space="preserve">ERCOT will issue an Operating Condition Notice (OCN) to inform </w:t>
      </w:r>
      <w:r w:rsidR="001C0FEC">
        <w:t>Market Participants</w:t>
      </w:r>
      <w:r>
        <w:t xml:space="preserve"> of a possible future need for more Resources due to conditions that could affect ERCOT System reliability.  OCNs are for informational purposes only, and ERCOT exercises no </w:t>
      </w:r>
      <w:r>
        <w:lastRenderedPageBreak/>
        <w:t xml:space="preserve">additional operational authority with the issuance of this type of notice, but may solicit additional information from QSEs in order to determine whether the issuance of an Advisory, Watch, or Emergency Notice is warranted.  The OCN is the first of </w:t>
      </w:r>
      <w:r w:rsidR="002D28ED">
        <w:t>three</w:t>
      </w:r>
      <w:r>
        <w:t xml:space="preserve"> levels of communication issued by ERCOT in anticipation of a possible Emergency Condition. </w:t>
      </w:r>
    </w:p>
    <w:p w14:paraId="6B2CFD77" w14:textId="18310703" w:rsidR="001F04FD" w:rsidRDefault="001F04FD" w:rsidP="001F04FD">
      <w:pPr>
        <w:pStyle w:val="BodyTextNumbered"/>
      </w:pPr>
      <w:r>
        <w:t>(2)</w:t>
      </w:r>
      <w:r>
        <w:tab/>
        <w:t xml:space="preserve">When time permits, ERCOT will issue an OCN before issuing an Advisory, Watch, or Emergency Notice.  However, issuance of an OCN may not require action on the part of any Market Participant, but rather serves as a </w:t>
      </w:r>
      <w:r w:rsidR="001C0FEC">
        <w:t>notice to Market Participants</w:t>
      </w:r>
      <w:r>
        <w:t xml:space="preserve"> that some attention to the changing conditions may be warranted.  OCNs serve to communicate to QSEs the need to take extra precautions to be prepared to serve the Load during times when contingencies are most likely to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BBA6EF9" w14:textId="77777777" w:rsidTr="004510FA">
        <w:trPr>
          <w:trHeight w:val="296"/>
        </w:trPr>
        <w:tc>
          <w:tcPr>
            <w:tcW w:w="9576" w:type="dxa"/>
            <w:shd w:val="pct12" w:color="auto" w:fill="auto"/>
          </w:tcPr>
          <w:p w14:paraId="3804AE06" w14:textId="0DE9D728" w:rsidR="0098659C" w:rsidRDefault="0098659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94F652" w14:textId="4DE04635" w:rsidR="0098659C" w:rsidRPr="00B37C4B" w:rsidRDefault="0098659C" w:rsidP="0098659C">
            <w:pPr>
              <w:spacing w:after="240"/>
              <w:ind w:left="720" w:hanging="720"/>
            </w:pPr>
            <w:r w:rsidRPr="00E55E72">
              <w:t>(2)</w:t>
            </w:r>
            <w:r w:rsidRPr="00E55E72">
              <w:tab/>
              <w:t xml:space="preserve">When time permits, ERCOT will issue an OCN before issuing an Advisory, Watch, or Emergency Notice.  However, issuance of an OCN may not require action on the part of any Market Participant, but rather serves as </w:t>
            </w:r>
            <w:r w:rsidR="001C0FEC">
              <w:t>notice to Market Participants</w:t>
            </w:r>
            <w:r w:rsidRPr="00E55E72">
              <w:t xml:space="preserve"> that some attention to the changing conditions may be warranted.  OCNs serve to communicate to QSEs the need to take extra precautions to be prepared to serve the Load during times when continge</w:t>
            </w:r>
            <w:r>
              <w:t>ncies are most likely to arise.</w:t>
            </w:r>
          </w:p>
        </w:tc>
      </w:tr>
    </w:tbl>
    <w:p w14:paraId="7A400F5C" w14:textId="12921AA9" w:rsidR="001F04FD" w:rsidRDefault="001F04FD" w:rsidP="0099247E">
      <w:pPr>
        <w:pStyle w:val="BodyTextNumbered"/>
        <w:spacing w:before="240"/>
      </w:pPr>
      <w:r>
        <w:t>(3)</w:t>
      </w:r>
      <w:r>
        <w:tab/>
        <w:t xml:space="preserve">Reasons for OCNs include, but are not limited to, unplanned transmission Outages, </w:t>
      </w:r>
      <w:r w:rsidR="002D28ED">
        <w:t xml:space="preserve">insufficient Resources to meet forecasted conditions, </w:t>
      </w:r>
      <w:r>
        <w:t>and weather-related concerns such as anticipated freezing temperatures, hurricanes, wet weather, and ice storms.</w:t>
      </w:r>
    </w:p>
    <w:p w14:paraId="069A3283" w14:textId="77777777" w:rsidR="001F04FD" w:rsidRDefault="001F04FD" w:rsidP="001F04FD">
      <w:pPr>
        <w:pStyle w:val="BodyTextNumbered"/>
      </w:pPr>
      <w:r>
        <w:t>(4)</w:t>
      </w:r>
      <w:r>
        <w:tab/>
        <w:t>ERCOT will monitor actual and forecasted weather for the ERCOT Region and adjacent NERC regions.  When adverse weather conditions are expected, ERCOT may confer with TSPs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12F1F5A" w14:textId="77777777" w:rsidTr="004510FA">
        <w:trPr>
          <w:trHeight w:val="296"/>
        </w:trPr>
        <w:tc>
          <w:tcPr>
            <w:tcW w:w="9576" w:type="dxa"/>
            <w:shd w:val="pct12" w:color="auto" w:fill="auto"/>
          </w:tcPr>
          <w:p w14:paraId="64908941" w14:textId="31BDCA35" w:rsidR="0098659C" w:rsidRDefault="0098659C"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(1) Southern Cross provides ERCOT with funds to </w:t>
            </w:r>
            <w:r w:rsidR="004A5B0B" w:rsidRPr="00ED2B32">
              <w:lastRenderedPageBreak/>
              <w:t>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7EE6F43" w14:textId="77777777" w:rsidR="0098659C" w:rsidRPr="00B37C4B" w:rsidRDefault="0098659C" w:rsidP="0098659C">
            <w:pPr>
              <w:spacing w:after="240"/>
              <w:ind w:left="720" w:hanging="720"/>
            </w:pPr>
            <w:r w:rsidRPr="00E55E72">
              <w:t>(4)</w:t>
            </w:r>
            <w:r w:rsidRPr="00E55E72">
              <w:tab/>
              <w:t>ERCOT will monitor actual and forecasted weather for the ERCOT Region and adjacent NERC regions.  When adverse weather conditions are expected, ERCOT may confer with TSPs, DCTOs,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w:t>
            </w:r>
            <w:r>
              <w:t>COT at the time of the request.</w:t>
            </w:r>
          </w:p>
        </w:tc>
      </w:tr>
    </w:tbl>
    <w:p w14:paraId="77D29A81" w14:textId="77777777" w:rsidR="001F04FD" w:rsidRDefault="001F04FD" w:rsidP="0099247E">
      <w:pPr>
        <w:pStyle w:val="BodyTextNumbered"/>
        <w:spacing w:before="240"/>
      </w:pPr>
      <w:r>
        <w:lastRenderedPageBreak/>
        <w:t>(5)</w:t>
      </w:r>
      <w:r>
        <w:tab/>
        <w:t>QSEs and TSPs are expected to establish and maintain internal procedures for monitoring actual and forecasted weather and for implementing appropriate measures when the potential for adverse weather or other conditions (which could threaten ERCOT System reliability)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580B35C8" w14:textId="77777777" w:rsidTr="00FB1DA3">
        <w:trPr>
          <w:trHeight w:val="296"/>
        </w:trPr>
        <w:tc>
          <w:tcPr>
            <w:tcW w:w="9350" w:type="dxa"/>
            <w:shd w:val="pct12" w:color="auto" w:fill="auto"/>
          </w:tcPr>
          <w:p w14:paraId="657E4CC2" w14:textId="6A13C152" w:rsidR="0098659C" w:rsidRDefault="0098659C" w:rsidP="004510FA">
            <w:pPr>
              <w:pStyle w:val="Instructions"/>
              <w:spacing w:before="120"/>
            </w:pPr>
            <w:bookmarkStart w:id="1447" w:name="_Toc397504988"/>
            <w:bookmarkStart w:id="1448" w:name="_Toc402357116"/>
            <w:bookmarkStart w:id="1449" w:name="_Toc422486496"/>
            <w:bookmarkStart w:id="1450" w:name="_Toc433093348"/>
            <w:bookmarkStart w:id="1451" w:name="_Toc433093506"/>
            <w:bookmarkStart w:id="1452" w:name="_Toc440874734"/>
            <w:bookmarkStart w:id="1453" w:name="_Toc448142289"/>
            <w:bookmarkStart w:id="1454" w:name="_Toc448142446"/>
            <w:bookmarkStart w:id="1455" w:name="_Toc458770283"/>
            <w:bookmarkStart w:id="1456" w:name="_Toc459294251"/>
            <w:bookmarkStart w:id="1457" w:name="_Toc463262744"/>
            <w:bookmarkStart w:id="1458" w:name="_Toc468286817"/>
            <w:bookmarkStart w:id="1459" w:name="_Toc481502863"/>
            <w:bookmarkStart w:id="1460" w:name="_Toc496080031"/>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39539F18" w14:textId="77777777" w:rsidR="0098659C" w:rsidRPr="00B37C4B" w:rsidRDefault="0098659C" w:rsidP="0098659C">
            <w:pPr>
              <w:spacing w:after="240"/>
              <w:ind w:left="720" w:hanging="720"/>
            </w:pPr>
            <w:r w:rsidRPr="00E55E72">
              <w:t>(5)</w:t>
            </w:r>
            <w:r w:rsidRPr="00E55E72">
              <w:tab/>
              <w:t>QSEs, TSPs, and DCTOs are expected to establish and maintain internal procedures for monitoring actual and forecasted weather and for implementing appropriate measures when the potential for adverse weather or other conditions (which could threaten E</w:t>
            </w:r>
            <w:r>
              <w:t>RCOT System reliability) arise.</w:t>
            </w:r>
          </w:p>
        </w:tc>
      </w:tr>
    </w:tbl>
    <w:p w14:paraId="0E8BB6CB" w14:textId="77777777" w:rsidR="00FB1DA3" w:rsidRPr="00F057BA" w:rsidRDefault="00FB1DA3" w:rsidP="00FB1DA3">
      <w:pPr>
        <w:pStyle w:val="H4"/>
        <w:tabs>
          <w:tab w:val="clear" w:pos="1260"/>
          <w:tab w:val="left" w:pos="1620"/>
        </w:tabs>
        <w:spacing w:before="480"/>
        <w:ind w:left="1627" w:hanging="1627"/>
        <w:outlineLvl w:val="4"/>
        <w:rPr>
          <w:b w:val="0"/>
          <w:bCs w:val="0"/>
          <w:iCs/>
        </w:rPr>
      </w:pPr>
      <w:bookmarkStart w:id="1461" w:name="_Toc189044380"/>
      <w:r w:rsidRPr="00F057BA">
        <w:rPr>
          <w:iCs/>
        </w:rPr>
        <w:t>6.5.9.3.1.1</w:t>
      </w:r>
      <w:r w:rsidRPr="00F057BA">
        <w:rPr>
          <w:iCs/>
        </w:rPr>
        <w:tab/>
        <w:t>Advance Action Notice</w:t>
      </w:r>
      <w:bookmarkEnd w:id="1461"/>
    </w:p>
    <w:p w14:paraId="20F04EFB" w14:textId="77777777" w:rsidR="00FB1DA3" w:rsidRPr="00F057BA" w:rsidRDefault="00FB1DA3" w:rsidP="00FB1DA3">
      <w:pPr>
        <w:pStyle w:val="BodyTextNumbered"/>
      </w:pPr>
      <w:r w:rsidRPr="00F057BA">
        <w:t xml:space="preserve">(1) </w:t>
      </w:r>
      <w:r w:rsidRPr="00F057BA">
        <w:tab/>
        <w:t>ERCOT may issue an AAN in anticipation of a possible Emergency Condition.  Any AAN will identify actions ERCOT expects to take to address the possible Emergency Condition unless the need for ERCOT action is alleviated by QSE and/or TSP actions taken, or by other system developments that occur, before a time stated in the AAN.</w:t>
      </w:r>
    </w:p>
    <w:p w14:paraId="3E12C6BB" w14:textId="77777777" w:rsidR="00FB1DA3" w:rsidRPr="00F057BA" w:rsidRDefault="00FB1DA3" w:rsidP="00FB1DA3">
      <w:pPr>
        <w:pStyle w:val="BodyTextNumbered"/>
      </w:pPr>
      <w:r w:rsidRPr="00F057BA">
        <w:lastRenderedPageBreak/>
        <w:t>(2)</w:t>
      </w:r>
      <w:r w:rsidRPr="00F057BA">
        <w:tab/>
        <w:t xml:space="preserve">An AAN may not require action on the part of any Market Participant but may include additional information so that Market Participants can modify their plans in such a way that mitigates the need for ERCOT to take additional actions.  </w:t>
      </w:r>
    </w:p>
    <w:p w14:paraId="411B203C" w14:textId="715EBBB6" w:rsidR="009676E9" w:rsidRPr="009676E9" w:rsidRDefault="00FB1DA3" w:rsidP="00FB1DA3">
      <w:pPr>
        <w:pStyle w:val="BodyTextNumbered"/>
      </w:pPr>
      <w:r w:rsidRPr="00F057BA">
        <w:t xml:space="preserve">(3) </w:t>
      </w:r>
      <w:r w:rsidRPr="00F057BA">
        <w:tab/>
        <w:t>An AAN will be canceled if ERCOT determines that the possible Emergency Condition has been alleviated by QSE or TSP action, by ERCOT action, or by other system developments.</w:t>
      </w:r>
    </w:p>
    <w:p w14:paraId="695C36A4" w14:textId="77777777" w:rsidR="001F04FD" w:rsidRDefault="001F04FD" w:rsidP="001B11AD">
      <w:pPr>
        <w:pStyle w:val="H5"/>
        <w:ind w:left="1627" w:hanging="1627"/>
      </w:pPr>
      <w:bookmarkStart w:id="1462" w:name="_Toc189044381"/>
      <w:r>
        <w:t>6.5.9.3.2</w:t>
      </w:r>
      <w:r>
        <w:tab/>
        <w:t>Advisory</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2"/>
    </w:p>
    <w:p w14:paraId="11A91922" w14:textId="3721E85A" w:rsidR="001F04FD" w:rsidRDefault="001F04FD" w:rsidP="001F04FD">
      <w:pPr>
        <w:pStyle w:val="BodyTextNumbered"/>
      </w:pPr>
      <w:r>
        <w:t>(1)</w:t>
      </w:r>
      <w:r>
        <w:tab/>
        <w:t xml:space="preserve">An Advisory is the second of </w:t>
      </w:r>
      <w:r w:rsidR="002D28ED">
        <w:t>three</w:t>
      </w:r>
      <w:r>
        <w:t xml:space="preserve"> levels of communication issued by ERCOT in anticipation of a possible Emergency Condition. </w:t>
      </w:r>
    </w:p>
    <w:p w14:paraId="1F35E1E1" w14:textId="77777777" w:rsidR="001F04FD" w:rsidRDefault="001F04FD" w:rsidP="001F04FD">
      <w:pPr>
        <w:pStyle w:val="BodyTextNumbered"/>
      </w:pPr>
      <w:r>
        <w:t>(2)</w:t>
      </w:r>
      <w:r>
        <w:tab/>
        <w:t>ERCOT shall issue an Advisory for reasons such as, but not limited to, the following:</w:t>
      </w:r>
    </w:p>
    <w:p w14:paraId="712734E0" w14:textId="77777777" w:rsidR="001F04FD" w:rsidRDefault="001F04FD" w:rsidP="001F04FD">
      <w:pPr>
        <w:pStyle w:val="List"/>
      </w:pPr>
      <w:r>
        <w:t>(a)</w:t>
      </w:r>
      <w:r>
        <w:tab/>
        <w:t>When it recognizes that conditions are developing or have changed and more Ancillary Services will be needed to maintain current or near-term operating reliability;</w:t>
      </w:r>
    </w:p>
    <w:p w14:paraId="082461CD" w14:textId="77777777" w:rsidR="001F04FD" w:rsidRDefault="001F04FD" w:rsidP="001F04FD">
      <w:pPr>
        <w:pStyle w:val="List"/>
      </w:pPr>
      <w:r>
        <w:t>(b)</w:t>
      </w:r>
      <w:r>
        <w:tab/>
        <w:t>When weather or ERCOT System conditions require more lead-time than the normal DAM allows;</w:t>
      </w:r>
    </w:p>
    <w:p w14:paraId="76C8A2A7" w14:textId="77777777" w:rsidR="001F04FD" w:rsidRDefault="001F04FD" w:rsidP="001F04FD">
      <w:pPr>
        <w:pStyle w:val="List"/>
      </w:pPr>
      <w:r>
        <w:t>(c)</w:t>
      </w:r>
      <w:r>
        <w:tab/>
        <w:t>When communications or other controls are significantly limited; or</w:t>
      </w:r>
    </w:p>
    <w:p w14:paraId="0A14CED1" w14:textId="77777777" w:rsidR="001F04FD" w:rsidRDefault="001F04FD" w:rsidP="001F04FD">
      <w:pPr>
        <w:pStyle w:val="List"/>
      </w:pPr>
      <w:r>
        <w:t>(d)</w:t>
      </w:r>
      <w:r>
        <w:tab/>
        <w:t>When ERCOT Transmission Grid conditions are such that operations within security criteria as defined in the Operating Guides are not likely or possible because of Forced Outages or other conditions unless a Constraint Management Plan (CMP) exists.</w:t>
      </w:r>
    </w:p>
    <w:p w14:paraId="5B4EDC00" w14:textId="77777777" w:rsidR="001F04FD" w:rsidRDefault="001F04FD" w:rsidP="001F04FD">
      <w:pPr>
        <w:pStyle w:val="BodyTextNumbered"/>
      </w:pPr>
      <w:r>
        <w:t>(3)</w:t>
      </w:r>
      <w:r>
        <w:tab/>
        <w:t>The Advisory must communicate existing constraints.  ERCOT shall notify TSPs and QSEs of the Advisory, and QSEs shall notify appropriate Resources and Load Serving Entities (LSEs).  ERCOT shall communicate with TSPs as needed to confirm their understanding of the condition and to determine the availability of Transmission Facilities.  For the purposes of verifying submitted information, ERCOT may communicate with QSEs.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7E677E4E" w14:textId="77777777" w:rsidTr="004510FA">
        <w:trPr>
          <w:trHeight w:val="296"/>
        </w:trPr>
        <w:tc>
          <w:tcPr>
            <w:tcW w:w="9576" w:type="dxa"/>
            <w:shd w:val="pct12" w:color="auto" w:fill="auto"/>
          </w:tcPr>
          <w:p w14:paraId="7B5ACF0D" w14:textId="0E04E051" w:rsidR="00634C84" w:rsidRDefault="00634C84" w:rsidP="004510FA">
            <w:pPr>
              <w:pStyle w:val="Instructions"/>
              <w:spacing w:before="120"/>
            </w:pPr>
            <w:r>
              <w:t>[NPRR857:  Replace paragraph (3)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5C62ADE" w14:textId="77777777" w:rsidR="00634C84" w:rsidRPr="00B37C4B" w:rsidRDefault="00634C84" w:rsidP="00634C84">
            <w:pPr>
              <w:spacing w:after="240"/>
              <w:ind w:left="720" w:hanging="720"/>
            </w:pPr>
            <w:r w:rsidRPr="00E55E72">
              <w:t>(3)</w:t>
            </w:r>
            <w:r w:rsidRPr="00E55E72">
              <w:tab/>
              <w:t xml:space="preserve">The Advisory must communicate existing constraints.  ERCOT shall notify TSPs, DCTOs, and QSEs of the Advisory, and QSEs shall notify appropriate Resources and Load Serving Entities (LSEs).  ERCOT shall communicate with TSPs and DCTOs as </w:t>
            </w:r>
            <w:r w:rsidRPr="00E55E72">
              <w:lastRenderedPageBreak/>
              <w:t>needed to confirm their understanding of the condition and to determine the availability of Transmission Facilities.  For the purposes of verifying submitted information, E</w:t>
            </w:r>
            <w:r>
              <w:t>RCOT may communicate with QSEs.</w:t>
            </w:r>
          </w:p>
        </w:tc>
      </w:tr>
    </w:tbl>
    <w:p w14:paraId="6365799C" w14:textId="77777777" w:rsidR="001F04FD" w:rsidRDefault="001F04FD" w:rsidP="0099247E">
      <w:pPr>
        <w:pStyle w:val="BodyTextNumbered"/>
        <w:spacing w:before="240"/>
      </w:pPr>
      <w:r>
        <w:lastRenderedPageBreak/>
        <w:t>(4)</w:t>
      </w:r>
      <w:r>
        <w:tab/>
        <w:t>Although an Advisory is for information purposes, ERCOT may exercise its authority, in such circumstances, to increase Ancillary Service requirements above the quantities originally specified in the Day-Ahead in accordance with procedures.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  QSEs representing Resources shall provide the requested information in a timely manner, as defined by ERCOT at the time of the request.</w:t>
      </w:r>
    </w:p>
    <w:p w14:paraId="084B6BC5" w14:textId="77777777" w:rsidR="001F04FD" w:rsidRDefault="001F04FD" w:rsidP="001F04FD">
      <w:pPr>
        <w:pStyle w:val="H5"/>
        <w:spacing w:before="480"/>
        <w:ind w:left="1627" w:hanging="1627"/>
      </w:pPr>
      <w:bookmarkStart w:id="1463" w:name="_Toc397504989"/>
      <w:bookmarkStart w:id="1464" w:name="_Toc402357117"/>
      <w:bookmarkStart w:id="1465" w:name="_Toc422486497"/>
      <w:bookmarkStart w:id="1466" w:name="_Toc433093349"/>
      <w:bookmarkStart w:id="1467" w:name="_Toc433093507"/>
      <w:bookmarkStart w:id="1468" w:name="_Toc440874735"/>
      <w:bookmarkStart w:id="1469" w:name="_Toc448142290"/>
      <w:bookmarkStart w:id="1470" w:name="_Toc448142447"/>
      <w:bookmarkStart w:id="1471" w:name="_Toc458770284"/>
      <w:bookmarkStart w:id="1472" w:name="_Toc459294252"/>
      <w:bookmarkStart w:id="1473" w:name="_Toc463262745"/>
      <w:bookmarkStart w:id="1474" w:name="_Toc468286818"/>
      <w:bookmarkStart w:id="1475" w:name="_Toc481502864"/>
      <w:bookmarkStart w:id="1476" w:name="_Toc496080032"/>
      <w:bookmarkStart w:id="1477" w:name="_Toc189044382"/>
      <w:r>
        <w:t>6.5.9.3.3</w:t>
      </w:r>
      <w:r>
        <w:tab/>
        <w:t>Watch</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507214BF" w14:textId="2ADBA6EE" w:rsidR="001F04FD" w:rsidRDefault="001F04FD" w:rsidP="001F04FD">
      <w:pPr>
        <w:pStyle w:val="BodyTextNumbered"/>
      </w:pPr>
      <w:r>
        <w:t>(1)</w:t>
      </w:r>
      <w:r>
        <w:tab/>
        <w:t xml:space="preserve">A Watch is the third of </w:t>
      </w:r>
      <w:r w:rsidR="002D28ED">
        <w:t>three</w:t>
      </w:r>
      <w:r>
        <w:t xml:space="preserve"> levels of communication issued by ERCOT in anticipation of a possible Emergency Condition. </w:t>
      </w:r>
    </w:p>
    <w:p w14:paraId="4392B55C" w14:textId="77777777" w:rsidR="001F04FD" w:rsidRDefault="001F04FD" w:rsidP="001F04FD">
      <w:pPr>
        <w:pStyle w:val="BodyTextNumbered"/>
      </w:pPr>
      <w:r>
        <w:t>(2)</w:t>
      </w:r>
      <w:r>
        <w:tab/>
        <w:t>ERCOT shall issue a Watch when ERCOT determines that:</w:t>
      </w:r>
    </w:p>
    <w:p w14:paraId="6E445952" w14:textId="77777777" w:rsidR="001F04FD" w:rsidRDefault="001F04FD" w:rsidP="001F04FD">
      <w:pPr>
        <w:pStyle w:val="List"/>
      </w:pPr>
      <w:r>
        <w:t>(a)</w:t>
      </w:r>
      <w:r>
        <w:tab/>
        <w:t>Conditions have developed such that additional Ancillary Services are needed in the current Operating Period;</w:t>
      </w:r>
    </w:p>
    <w:p w14:paraId="4F2382E5" w14:textId="77777777" w:rsidR="001F04FD" w:rsidRDefault="001F04FD" w:rsidP="001F04FD">
      <w:pPr>
        <w:pStyle w:val="List"/>
      </w:pPr>
      <w:r>
        <w:t>(b)</w:t>
      </w:r>
      <w:r>
        <w:tab/>
        <w:t>There are insufficient Ancillary Services or Energy Offers in the DAM;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9C1DBAB" w14:textId="77777777" w:rsidTr="00EC5231">
        <w:trPr>
          <w:trHeight w:val="206"/>
        </w:trPr>
        <w:tc>
          <w:tcPr>
            <w:tcW w:w="9350" w:type="dxa"/>
            <w:shd w:val="pct12" w:color="auto" w:fill="auto"/>
          </w:tcPr>
          <w:p w14:paraId="2AB12AC0" w14:textId="6AAE04B8" w:rsidR="002D5C44" w:rsidRPr="00B37C4B" w:rsidRDefault="002D5C44" w:rsidP="000932C9">
            <w:pPr>
              <w:pStyle w:val="Instructions"/>
              <w:spacing w:before="120"/>
            </w:pPr>
            <w:r>
              <w:t>[NPRR1010:  Delete paragraphs (a) and (b) above upon system implementation of the Real-Time Co-Optimization (RTC) project and renumber accordingly</w:t>
            </w:r>
            <w:r w:rsidR="000932C9">
              <w:t>.</w:t>
            </w:r>
            <w:r>
              <w:t>]</w:t>
            </w:r>
          </w:p>
        </w:tc>
      </w:tr>
    </w:tbl>
    <w:p w14:paraId="20615872" w14:textId="3D897A12" w:rsidR="001F04FD" w:rsidRDefault="001F04FD" w:rsidP="00FB599C">
      <w:pPr>
        <w:pStyle w:val="List"/>
        <w:spacing w:before="240"/>
      </w:pPr>
      <w:r>
        <w:t>(c)</w:t>
      </w:r>
      <w:r>
        <w:tab/>
        <w:t>Market-based congestion management techniques embedded in SCED as specified in these Protocols will not be adequate to resolve transmission security violations;</w:t>
      </w:r>
    </w:p>
    <w:p w14:paraId="518ACB4E" w14:textId="77777777" w:rsidR="001F04FD" w:rsidRDefault="001F04FD" w:rsidP="001F04FD">
      <w:pPr>
        <w:pStyle w:val="List"/>
      </w:pPr>
      <w:r>
        <w:t>(d)</w:t>
      </w:r>
      <w:r>
        <w:tab/>
        <w:t>Forced Outages or other abnormal operating conditions have occurred, or may occur that require operations with active violations of security criteria as defined in the Operating Guides unless a CMP exists;</w:t>
      </w:r>
    </w:p>
    <w:p w14:paraId="54A64A86" w14:textId="77777777" w:rsidR="001F04FD" w:rsidRPr="001F61D4" w:rsidRDefault="001F04FD" w:rsidP="001F04FD">
      <w:pPr>
        <w:spacing w:after="240"/>
        <w:ind w:left="1440" w:hanging="720"/>
      </w:pPr>
      <w:r w:rsidRPr="001F61D4">
        <w:t>(e)</w:t>
      </w:r>
      <w:r w:rsidRPr="001F61D4">
        <w:tab/>
        <w:t>ERCOT varies from timing requirements or omits one or more Day-Ahead or Adjustment Period and Real-Time procedures;</w:t>
      </w:r>
    </w:p>
    <w:p w14:paraId="0A85D2B2" w14:textId="77777777" w:rsidR="001F04FD" w:rsidRPr="001F61D4" w:rsidRDefault="001F04FD" w:rsidP="001F04FD">
      <w:pPr>
        <w:spacing w:after="240"/>
        <w:ind w:left="1440" w:hanging="720"/>
      </w:pPr>
      <w:r w:rsidRPr="001F61D4">
        <w:t>(f)</w:t>
      </w:r>
      <w:r w:rsidRPr="001F61D4">
        <w:tab/>
        <w:t>ERCOT varies from timing requirements or omits one or more scheduling procedures in the Real-Time process; or</w:t>
      </w:r>
    </w:p>
    <w:p w14:paraId="4AF0AC3D" w14:textId="77777777" w:rsidR="001F04FD" w:rsidRDefault="001F04FD" w:rsidP="001F04FD">
      <w:pPr>
        <w:pStyle w:val="List"/>
      </w:pPr>
      <w:r w:rsidRPr="001F61D4">
        <w:lastRenderedPageBreak/>
        <w:t>(g)</w:t>
      </w:r>
      <w:r w:rsidRPr="001F61D4">
        <w:tab/>
        <w:t>The SCED process fails to reach a solution, whether or not ERCOT is using one of the measures specified in paragraph (</w:t>
      </w:r>
      <w:r w:rsidR="00882A2C">
        <w:t>4</w:t>
      </w:r>
      <w:r w:rsidRPr="001F61D4">
        <w:t>) of Section 6.5.9.2, Failure of the SCED Process.</w:t>
      </w:r>
    </w:p>
    <w:p w14:paraId="0E0C7522" w14:textId="77777777" w:rsidR="001F04FD" w:rsidRDefault="001F04FD" w:rsidP="001F04FD">
      <w:pPr>
        <w:pStyle w:val="BodyTextNumbered"/>
      </w:pPr>
      <w:r>
        <w:t>(3)</w:t>
      </w:r>
      <w:r>
        <w:tab/>
        <w:t>With the issuance of a Watch pursuant to paragraph (2)(a) above, ERCOT may exercise its authority to immediately procure the following services from existing offers:</w:t>
      </w:r>
    </w:p>
    <w:p w14:paraId="0EF64C15" w14:textId="77777777" w:rsidR="001F04FD" w:rsidRDefault="001F04FD" w:rsidP="001F04FD">
      <w:pPr>
        <w:pStyle w:val="List"/>
      </w:pPr>
      <w:r>
        <w:t>(a)</w:t>
      </w:r>
      <w:r>
        <w:tab/>
        <w:t>Regulation Services;</w:t>
      </w:r>
    </w:p>
    <w:p w14:paraId="19D173FC" w14:textId="19CCE64E" w:rsidR="001F04FD" w:rsidRDefault="001F04FD" w:rsidP="004B3525">
      <w:pPr>
        <w:pStyle w:val="List"/>
        <w:spacing w:before="240"/>
      </w:pPr>
      <w:r>
        <w:t>(b)</w:t>
      </w:r>
      <w:r>
        <w:tab/>
        <w:t>RRS services;</w:t>
      </w:r>
    </w:p>
    <w:p w14:paraId="32390926" w14:textId="32E13673" w:rsidR="008611B7" w:rsidRDefault="008611B7" w:rsidP="004B3525">
      <w:pPr>
        <w:pStyle w:val="List"/>
        <w:spacing w:before="240"/>
      </w:pPr>
      <w:r w:rsidRPr="0003648D">
        <w:rPr>
          <w:iCs/>
        </w:rPr>
        <w:t>(c)</w:t>
      </w:r>
      <w:r w:rsidRPr="0003648D">
        <w:rPr>
          <w:iCs/>
        </w:rPr>
        <w:tab/>
      </w:r>
      <w:r>
        <w:rPr>
          <w:iCs/>
        </w:rPr>
        <w:t>ECRS</w:t>
      </w:r>
      <w:r w:rsidRPr="0003648D">
        <w:rPr>
          <w:iCs/>
        </w:rPr>
        <w:t xml:space="preserve"> services; and</w:t>
      </w:r>
    </w:p>
    <w:p w14:paraId="4FE62835" w14:textId="3CEAFC3F" w:rsidR="001F04FD" w:rsidRDefault="001F04FD" w:rsidP="00F969DB">
      <w:pPr>
        <w:pStyle w:val="List"/>
      </w:pPr>
      <w:r>
        <w:t>(</w:t>
      </w:r>
      <w:r w:rsidR="008611B7">
        <w:t>d</w:t>
      </w:r>
      <w:r>
        <w:t>)</w:t>
      </w:r>
      <w:r>
        <w:tab/>
        <w:t>Non-Spin services.</w:t>
      </w:r>
    </w:p>
    <w:p w14:paraId="4BA14767" w14:textId="77777777" w:rsidR="001F04FD" w:rsidRPr="00292125" w:rsidRDefault="001F04FD" w:rsidP="001F04FD">
      <w:pPr>
        <w:pStyle w:val="BodyTextNumbered"/>
      </w:pPr>
      <w:r>
        <w:t>(4)</w:t>
      </w:r>
      <w:r>
        <w:tab/>
      </w:r>
      <w:r w:rsidRPr="00292125">
        <w: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w:t>
      </w:r>
      <w:r>
        <w:t xml:space="preserve"> </w:t>
      </w:r>
      <w:r w:rsidRPr="00292125">
        <w:t>as follows:</w:t>
      </w:r>
    </w:p>
    <w:p w14:paraId="053D2592" w14:textId="77777777" w:rsidR="001F04FD" w:rsidRPr="00292125" w:rsidRDefault="001F04FD" w:rsidP="001F04FD">
      <w:pPr>
        <w:pStyle w:val="BodyTextNumbered"/>
        <w:ind w:left="1440"/>
        <w:rPr>
          <w:iCs/>
        </w:rPr>
      </w:pPr>
      <w:r w:rsidRPr="00292125">
        <w:rPr>
          <w:iCs/>
        </w:rPr>
        <w:t>(a)</w:t>
      </w:r>
      <w:r w:rsidRPr="00292125">
        <w:rPr>
          <w:iCs/>
        </w:rPr>
        <w:tab/>
        <w:t>The SASM process shall be conducted in accordance with Section 6.4.9.2.2, SASM Clearing Process.  If the SASM process is not sufficient, then;</w:t>
      </w:r>
    </w:p>
    <w:p w14:paraId="15D6FBC7" w14:textId="77777777" w:rsidR="001F04FD" w:rsidRPr="00292125" w:rsidRDefault="001F04FD" w:rsidP="001F04FD">
      <w:pPr>
        <w:pStyle w:val="BodyTextNumbered"/>
        <w:ind w:left="1440"/>
        <w:rPr>
          <w:iCs/>
        </w:rPr>
      </w:pPr>
      <w:r w:rsidRPr="00292125">
        <w:rPr>
          <w:iCs/>
        </w:rPr>
        <w:t>(b)</w:t>
      </w:r>
      <w:r w:rsidRPr="00292125">
        <w:rPr>
          <w:iCs/>
        </w:rPr>
        <w:tab/>
        <w:t>The HRUC process shall be conducted to commit planned Off-Line Resources qualified to provide the Ancillary Service(s) that are insufficient in accordance with Section 5.2.2.2</w:t>
      </w:r>
      <w:r>
        <w:rPr>
          <w:iCs/>
        </w:rPr>
        <w:t>,</w:t>
      </w:r>
      <w:r w:rsidRPr="00292125">
        <w:rPr>
          <w:iCs/>
        </w:rPr>
        <w:t xml:space="preserve"> RUC Process Timeline After an Aborted Day-Ahead Market.  If the HRUC process is not sufficient, then;</w:t>
      </w:r>
    </w:p>
    <w:p w14:paraId="7385BB6F" w14:textId="77777777" w:rsidR="001F04FD" w:rsidRPr="00292125" w:rsidRDefault="001F04FD" w:rsidP="001F04FD">
      <w:pPr>
        <w:pStyle w:val="BodyTextNumbered"/>
        <w:ind w:left="1440"/>
        <w:rPr>
          <w:iCs/>
        </w:rPr>
      </w:pPr>
      <w:r w:rsidRPr="00292125">
        <w:rPr>
          <w:iCs/>
        </w:rPr>
        <w:t>(c)</w:t>
      </w:r>
      <w:r w:rsidRPr="00292125">
        <w:rPr>
          <w:iCs/>
        </w:rPr>
        <w:tab/>
        <w:t xml:space="preserve">If the insufficiency arose due to </w:t>
      </w:r>
      <w:r w:rsidRPr="00292125">
        <w:t>insufficient Ancillary Service Offers received in the DAM or ERCOT needs to increase the Ancillary Service requirements after DAM clearing,</w:t>
      </w:r>
      <w:r w:rsidRPr="00292125">
        <w:rPr>
          <w:iCs/>
        </w:rPr>
        <w: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t>
      </w:r>
    </w:p>
    <w:p w14:paraId="6C748FBA" w14:textId="77777777" w:rsidR="00F97FFD" w:rsidRDefault="001F04FD" w:rsidP="00EC46C4">
      <w:pPr>
        <w:pStyle w:val="BodyTextNumbered"/>
        <w:ind w:left="1440"/>
      </w:pPr>
      <w:r w:rsidRPr="00292125">
        <w:rPr>
          <w:iCs/>
        </w:rPr>
        <w:t>(d)</w:t>
      </w:r>
      <w:r w:rsidRPr="00292125">
        <w:rPr>
          <w:iCs/>
        </w:rPr>
        <w:tab/>
        <w:t xml:space="preserve">A QSE may </w:t>
      </w:r>
      <w:r w:rsidRPr="00292125">
        <w:t xml:space="preserve">request cancellation of </w:t>
      </w:r>
      <w:r w:rsidRPr="00292125">
        <w:rPr>
          <w:iCs/>
        </w:rPr>
        <w:t xml:space="preserve">the assignment of Ancillary Services to its On-Line Resources if there are equipment or Resource control issues which limit the ability of the Resources to provide the Ancillary Services.  </w:t>
      </w:r>
      <w:r w:rsidRPr="0068419D">
        <w:rPr>
          <w:szCs w:val="24"/>
        </w:rPr>
        <w:t xml:space="preserve">If </w:t>
      </w:r>
      <w:r w:rsidRPr="00F86B0E">
        <w:rPr>
          <w:szCs w:val="24"/>
        </w:rPr>
        <w:t>ERCOT accepts the cancellation, ERCOT may require QSEs to submit supporting information describing the Resource control issues.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DDB6AD7" w14:textId="77777777" w:rsidTr="00EC5231">
        <w:trPr>
          <w:trHeight w:val="206"/>
        </w:trPr>
        <w:tc>
          <w:tcPr>
            <w:tcW w:w="9350" w:type="dxa"/>
            <w:shd w:val="pct12" w:color="auto" w:fill="auto"/>
          </w:tcPr>
          <w:p w14:paraId="4DB8993C" w14:textId="52005B30" w:rsidR="002D5C44" w:rsidRPr="00B37C4B" w:rsidRDefault="002D5C44" w:rsidP="000932C9">
            <w:pPr>
              <w:pStyle w:val="Instructions"/>
              <w:spacing w:before="120"/>
            </w:pPr>
            <w:r>
              <w:t>[NPRR1010:  Delete paragraphs (3) and (4) above upon system implementation of the Real-Time Co-Optimization (RTC) project and renumber accordingly</w:t>
            </w:r>
            <w:r w:rsidR="000932C9">
              <w:t>.</w:t>
            </w:r>
            <w:r>
              <w:t>]</w:t>
            </w:r>
          </w:p>
        </w:tc>
      </w:tr>
    </w:tbl>
    <w:p w14:paraId="4EBABCE5" w14:textId="2FF23C8A" w:rsidR="001F04FD" w:rsidRDefault="00F97FFD" w:rsidP="00FB599C">
      <w:pPr>
        <w:pStyle w:val="BodyTextNumbered"/>
        <w:spacing w:before="240"/>
      </w:pPr>
      <w:r>
        <w:lastRenderedPageBreak/>
        <w:t>(</w:t>
      </w:r>
      <w:r w:rsidR="00C43DEB">
        <w:t>5</w:t>
      </w:r>
      <w:r>
        <w:t>)</w:t>
      </w:r>
      <w:r>
        <w:tab/>
      </w:r>
      <w:r w:rsidR="001F04FD">
        <w:t xml:space="preserve">ERCOT shall post the Watch message electronically to the </w:t>
      </w:r>
      <w:r w:rsidR="0007207E">
        <w:t>ERCOT website</w:t>
      </w:r>
      <w:r w:rsidR="001F04FD">
        <w:t xml:space="preserve"> and shall provide verbal notice via the </w:t>
      </w:r>
      <w:r w:rsidR="001C0FEC">
        <w:t xml:space="preserve">TO </w:t>
      </w:r>
      <w:r w:rsidR="001F04FD">
        <w:t>Hotline</w:t>
      </w:r>
      <w:r w:rsidR="001C0FEC" w:rsidRPr="001C0FEC">
        <w:t xml:space="preserve"> </w:t>
      </w:r>
      <w:r w:rsidR="001C0FEC">
        <w:t>and the QSE Hotline</w:t>
      </w:r>
      <w:r w:rsidR="001F04FD">
        <w:t>.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2D0" w14:paraId="00EAF84E" w14:textId="77777777" w:rsidTr="004510FA">
        <w:trPr>
          <w:trHeight w:val="296"/>
        </w:trPr>
        <w:tc>
          <w:tcPr>
            <w:tcW w:w="9576" w:type="dxa"/>
            <w:shd w:val="pct12" w:color="auto" w:fill="auto"/>
          </w:tcPr>
          <w:p w14:paraId="6CED6D70" w14:textId="371DD6E3" w:rsidR="003302D0" w:rsidRDefault="003302D0" w:rsidP="004510FA">
            <w:pPr>
              <w:pStyle w:val="Instructions"/>
              <w:spacing w:before="120"/>
            </w:pPr>
            <w:bookmarkStart w:id="1478" w:name="_Toc397504990"/>
            <w:bookmarkStart w:id="1479" w:name="_Toc402357118"/>
            <w:bookmarkStart w:id="1480" w:name="_Toc422486498"/>
            <w:bookmarkStart w:id="1481" w:name="_Toc433093350"/>
            <w:bookmarkStart w:id="1482" w:name="_Toc433093508"/>
            <w:bookmarkStart w:id="1483" w:name="_Toc440874736"/>
            <w:bookmarkStart w:id="1484" w:name="_Toc448142291"/>
            <w:bookmarkStart w:id="1485" w:name="_Toc448142448"/>
            <w:bookmarkStart w:id="1486" w:name="_Toc458770285"/>
            <w:bookmarkStart w:id="1487" w:name="_Toc459294253"/>
            <w:bookmarkStart w:id="1488" w:name="_Toc463262746"/>
            <w:bookmarkStart w:id="1489" w:name="_Toc468286819"/>
            <w:bookmarkStart w:id="1490" w:name="_Toc481502865"/>
            <w:bookmarkStart w:id="1491" w:name="_Toc496080033"/>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B8C5021" w14:textId="7B095970" w:rsidR="003302D0" w:rsidRPr="00B37C4B" w:rsidRDefault="003302D0" w:rsidP="0007207E">
            <w:pPr>
              <w:spacing w:before="240" w:after="240"/>
              <w:ind w:left="720" w:hanging="720"/>
            </w:pPr>
            <w:r w:rsidRPr="00E55E72">
              <w:t>(</w:t>
            </w:r>
            <w:r>
              <w:t>5</w:t>
            </w:r>
            <w:r w:rsidRPr="00E55E72">
              <w:t>)</w:t>
            </w:r>
            <w:r w:rsidRPr="00E55E72">
              <w:tab/>
              <w:t xml:space="preserve">ERCOT shall post the Watch message electronically to the </w:t>
            </w:r>
            <w:r w:rsidR="0007207E">
              <w:t>ERCOT website</w:t>
            </w:r>
            <w:r w:rsidRPr="00E55E72">
              <w:t xml:space="preserve"> and shall provide verbal notice via the </w:t>
            </w:r>
            <w:r w:rsidR="001C0FEC">
              <w:t xml:space="preserve">TO </w:t>
            </w:r>
            <w:r w:rsidRPr="00E55E72">
              <w:t>Hotline</w:t>
            </w:r>
            <w:r w:rsidR="001C0FEC">
              <w:t xml:space="preserve"> and the QSE Hotline</w:t>
            </w:r>
            <w:r w:rsidRPr="00E55E72">
              <w:t>.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w:t>
            </w:r>
            <w:r>
              <w:t>e request.</w:t>
            </w:r>
          </w:p>
        </w:tc>
      </w:tr>
    </w:tbl>
    <w:p w14:paraId="5144749E" w14:textId="77777777" w:rsidR="001F04FD" w:rsidRDefault="001F04FD" w:rsidP="001F04FD">
      <w:pPr>
        <w:pStyle w:val="H5"/>
        <w:spacing w:before="480"/>
        <w:ind w:left="1627" w:hanging="1627"/>
      </w:pPr>
      <w:bookmarkStart w:id="1492" w:name="_Toc189044383"/>
      <w:r>
        <w:lastRenderedPageBreak/>
        <w:t>6.5.9.3.4</w:t>
      </w:r>
      <w:r>
        <w:tab/>
        <w:t>Emergency Notice</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4A3AB8A7" w14:textId="48A072FC" w:rsidR="001F04FD" w:rsidRDefault="001F04FD" w:rsidP="001F04FD">
      <w:pPr>
        <w:pStyle w:val="BodyTextNumbered"/>
      </w:pPr>
      <w:bookmarkStart w:id="1493" w:name="_Toc73216031"/>
      <w:r>
        <w:t>(1)</w:t>
      </w:r>
      <w:r>
        <w:tab/>
        <w:t>Emergency Notice is the communication issued by ERCOT when operating in an Emergency Condition.</w:t>
      </w:r>
    </w:p>
    <w:p w14:paraId="49CAA925" w14:textId="77777777" w:rsidR="001F04FD" w:rsidRDefault="001F04FD" w:rsidP="001F04FD">
      <w:pPr>
        <w:pStyle w:val="BodyTextNumbered"/>
      </w:pPr>
      <w:r>
        <w:t>(2)</w:t>
      </w:r>
      <w:r>
        <w:tab/>
        <w:t>ERCOT shall issue an Emergency Notice for one or both of the following reasons:</w:t>
      </w:r>
    </w:p>
    <w:p w14:paraId="7EC7DF68" w14:textId="77777777" w:rsidR="001F04FD" w:rsidRDefault="001F04FD" w:rsidP="001F04FD">
      <w:pPr>
        <w:pStyle w:val="List"/>
      </w:pPr>
      <w:r>
        <w:t>(a)</w:t>
      </w:r>
      <w:r>
        <w:tab/>
        <w:t>ERCOT cannot maintain minimum reliability standards (for reasons including fuel shortages) during the Operating Period using every Resource practicably obtainable from the market; or</w:t>
      </w:r>
    </w:p>
    <w:p w14:paraId="54D2995B" w14:textId="77777777" w:rsidR="001F04FD" w:rsidRDefault="001F04FD" w:rsidP="001F04FD">
      <w:pPr>
        <w:pStyle w:val="List"/>
      </w:pPr>
      <w:r>
        <w:t>(b)</w:t>
      </w:r>
      <w:r>
        <w:tab/>
        <w:t>Immediate action cannot be taken to avoid or relieve a Transmission Element operating above its Emergency Rating.</w:t>
      </w:r>
    </w:p>
    <w:p w14:paraId="2E522C93" w14:textId="77777777" w:rsidR="001F04FD" w:rsidRDefault="001F04FD" w:rsidP="001F04FD">
      <w:pPr>
        <w:pStyle w:val="BodyTextNumbered"/>
      </w:pPr>
      <w:r>
        <w:t>(3)</w:t>
      </w:r>
      <w:r>
        <w:tab/>
        <w:t>The actions ERCOT takes during an Emergency Condition depend on the nature and severity of the situation.</w:t>
      </w:r>
    </w:p>
    <w:p w14:paraId="2184C830" w14:textId="77777777" w:rsidR="001F04FD" w:rsidRDefault="001F04FD" w:rsidP="001F04FD">
      <w:pPr>
        <w:pStyle w:val="BodyTextNumbered"/>
      </w:pPr>
      <w:r>
        <w:t>(4)</w:t>
      </w:r>
      <w: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7E00A988" w14:textId="28DE8F45" w:rsidR="001F04FD" w:rsidRDefault="001F04FD" w:rsidP="001F04FD">
      <w:pPr>
        <w:pStyle w:val="BodyTextNumbered"/>
      </w:pPr>
      <w:r>
        <w:t>(5)</w:t>
      </w:r>
      <w:r>
        <w:tab/>
      </w:r>
      <w:r w:rsidR="00C43DEB" w:rsidRPr="00D51F51">
        <w:t xml:space="preserve">If the Emergency Condition is the result of a transmission problem, ERCOT shall act immediately to return the ERCOT System to a reliable condition, including instructing </w:t>
      </w:r>
      <w:r w:rsidR="00C52BB8">
        <w:t>any QSE representing a</w:t>
      </w:r>
      <w:r w:rsidR="00C52BB8" w:rsidRPr="00D51F51">
        <w:t xml:space="preserve"> </w:t>
      </w:r>
      <w:r w:rsidR="00C43DEB" w:rsidRPr="00D51F51">
        <w:t xml:space="preserve">Resource to change </w:t>
      </w:r>
      <w:r w:rsidR="00C52BB8">
        <w:t xml:space="preserve">the Resource’s </w:t>
      </w:r>
      <w:r w:rsidR="00C43DEB" w:rsidRPr="00D51F51">
        <w:t>output, curtailing any remaining DC Tie Load, and instructing TSPs or DS</w:t>
      </w:r>
      <w:r w:rsidR="00C43DEB">
        <w:t>Ps to drop Load.</w:t>
      </w:r>
      <w:r w:rsidR="00C52BB8">
        <w:t xml:space="preserve">  In addition, ERCOT may instruct any QSE representing an ESR to suspend ESR charging if ERCOT determines that a Load reduction by the ESR is capable of mitigating the transmission problem.</w:t>
      </w:r>
      <w:r w:rsidR="00C52BB8" w:rsidRPr="00224629">
        <w:t xml:space="preserve"> </w:t>
      </w:r>
      <w:r w:rsidR="00C52BB8">
        <w:t xml:space="preserve"> An ESR co-located behind a Point of Interconnection (POI) with onsite generation that is incapable of exporting additional power to the ERCOT System may continue to charge as long as maximum output to the ERCOT System is maintained.</w:t>
      </w:r>
    </w:p>
    <w:p w14:paraId="7145225C" w14:textId="720C962E" w:rsidR="00EE372C" w:rsidRDefault="00F22728" w:rsidP="008658D0">
      <w:pPr>
        <w:pStyle w:val="BodyTextNumbered"/>
      </w:pPr>
      <w:r>
        <w:t>(6)</w:t>
      </w:r>
      <w:r>
        <w:tab/>
      </w:r>
      <w:r w:rsidRPr="008D2A83">
        <w:t xml:space="preserve">In the event </w:t>
      </w:r>
      <w:r>
        <w:t>that Load is curtailed or Load Resource(s) or ERS Resource(s) are deployed due to a transmission problem as described in paragraph (5) above</w:t>
      </w:r>
      <w:r w:rsidRPr="008D2A83">
        <w:t xml:space="preserve">, ERCOT shall </w:t>
      </w:r>
      <w:r>
        <w:t>post within one day an operations message</w:t>
      </w:r>
      <w:r w:rsidRPr="00FB4C4D">
        <w:t xml:space="preserve"> to the </w:t>
      </w:r>
      <w:r w:rsidRPr="00E25238">
        <w:t>ERCOT website</w:t>
      </w:r>
      <w:r w:rsidRPr="00FB4C4D">
        <w:t xml:space="preserve"> </w:t>
      </w:r>
      <w:r>
        <w:t>listing the event’s date, start and end time, MW quantity of Load curtailment or deployment instruction, and the substation(s) or geographic area in which the event occurred.</w:t>
      </w:r>
    </w:p>
    <w:p w14:paraId="7A74CD46" w14:textId="2202A882" w:rsidR="001F04FD" w:rsidRDefault="001F04FD" w:rsidP="00057024">
      <w:pPr>
        <w:pStyle w:val="BodyTextNumbered"/>
      </w:pPr>
      <w:r>
        <w:t>(</w:t>
      </w:r>
      <w:r w:rsidR="00F22728">
        <w:t>7</w:t>
      </w:r>
      <w:r>
        <w:t>)</w:t>
      </w:r>
      <w:r>
        <w:tab/>
        <w:t>If the Emergency Condition is the result of an Ancillary Service insufficiency, then ERCOT shall follow the EEA procedures.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627966B" w14:textId="77777777" w:rsidTr="00EC5231">
        <w:trPr>
          <w:trHeight w:val="206"/>
        </w:trPr>
        <w:tc>
          <w:tcPr>
            <w:tcW w:w="9350" w:type="dxa"/>
            <w:shd w:val="pct12" w:color="auto" w:fill="auto"/>
          </w:tcPr>
          <w:p w14:paraId="6823880F" w14:textId="5B074CA8" w:rsidR="002D5C44" w:rsidRPr="00B37C4B" w:rsidRDefault="002D5C44" w:rsidP="000932C9">
            <w:pPr>
              <w:pStyle w:val="Instructions"/>
              <w:spacing w:before="120"/>
            </w:pPr>
            <w:bookmarkStart w:id="1494" w:name="_Toc397504991"/>
            <w:bookmarkStart w:id="1495" w:name="_Toc402357119"/>
            <w:bookmarkStart w:id="1496" w:name="_Toc422486499"/>
            <w:bookmarkStart w:id="1497" w:name="_Toc433093351"/>
            <w:bookmarkStart w:id="1498" w:name="_Toc433093509"/>
            <w:bookmarkStart w:id="1499" w:name="_Toc440874737"/>
            <w:bookmarkStart w:id="1500" w:name="_Toc448142292"/>
            <w:bookmarkStart w:id="1501" w:name="_Toc448142449"/>
            <w:bookmarkStart w:id="1502" w:name="_Toc458770286"/>
            <w:bookmarkStart w:id="1503" w:name="_Toc459294254"/>
            <w:bookmarkStart w:id="1504" w:name="_Toc463262747"/>
            <w:bookmarkStart w:id="1505" w:name="_Toc468286820"/>
            <w:bookmarkStart w:id="1506" w:name="_Toc481502866"/>
            <w:bookmarkStart w:id="1507" w:name="_Toc496080034"/>
            <w:r>
              <w:t>[NPRR1010:  Delete paragraph (</w:t>
            </w:r>
            <w:r w:rsidR="00F22728">
              <w:t>7</w:t>
            </w:r>
            <w:r>
              <w:t>) above upon system implementation of the Real-Time Co-Optimization (RTC) project</w:t>
            </w:r>
            <w:r w:rsidR="000932C9">
              <w:t>.</w:t>
            </w:r>
            <w:r>
              <w:t>]</w:t>
            </w:r>
          </w:p>
        </w:tc>
      </w:tr>
    </w:tbl>
    <w:p w14:paraId="6DF3F4D5" w14:textId="77777777" w:rsidR="001F04FD" w:rsidRDefault="001F04FD" w:rsidP="001F04FD">
      <w:pPr>
        <w:pStyle w:val="H4"/>
        <w:spacing w:before="480"/>
        <w:ind w:left="1267" w:hanging="1267"/>
      </w:pPr>
      <w:bookmarkStart w:id="1508" w:name="_Toc189044384"/>
      <w:r>
        <w:lastRenderedPageBreak/>
        <w:t>6.5.9.4</w:t>
      </w:r>
      <w:r>
        <w:tab/>
        <w:t>Energy Emergency Alert</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430479B4" w14:textId="77777777" w:rsidR="001F04FD" w:rsidRDefault="001F04FD" w:rsidP="001F04FD">
      <w:pPr>
        <w:pStyle w:val="BodyTextNumbered"/>
      </w:pPr>
      <w:r>
        <w:t>(1)</w:t>
      </w:r>
      <w: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1DBDBEA4" w14:textId="77777777" w:rsidR="001F04FD" w:rsidRDefault="001F04FD" w:rsidP="001F04FD">
      <w:pPr>
        <w:pStyle w:val="BodyTextNumbered"/>
      </w:pPr>
      <w:r>
        <w:t>(2)</w:t>
      </w:r>
      <w:r>
        <w:tab/>
        <w:t>The goal of the EEA is to provide for maximum possible continuity of service while maintaining the integrity of the ERCOT System to reduce the chance of cascading Outages.</w:t>
      </w:r>
    </w:p>
    <w:p w14:paraId="134761AA" w14:textId="77777777" w:rsidR="001F04FD" w:rsidRDefault="001F04FD" w:rsidP="001F04FD">
      <w:pPr>
        <w:pStyle w:val="BodyTextNumbered"/>
      </w:pPr>
      <w:r>
        <w:t>(3)</w:t>
      </w:r>
      <w:r>
        <w:tab/>
        <w:t xml:space="preserve">ERCOT’s operating procedures must meet the following goals: </w:t>
      </w:r>
    </w:p>
    <w:p w14:paraId="347A6032" w14:textId="77777777" w:rsidR="001F04FD" w:rsidRDefault="001F04FD" w:rsidP="001F04FD">
      <w:pPr>
        <w:pStyle w:val="List"/>
      </w:pPr>
      <w:r>
        <w:t>(a)</w:t>
      </w:r>
      <w:r>
        <w:tab/>
        <w:t>Use of market processes to the fullest extent practicable without jeopardizing the reliability of the ERCOT System;</w:t>
      </w:r>
    </w:p>
    <w:p w14:paraId="55C922CC" w14:textId="0F94CA77" w:rsidR="001F04FD" w:rsidRDefault="001F04FD" w:rsidP="001F04FD">
      <w:pPr>
        <w:pStyle w:val="List"/>
      </w:pPr>
      <w:r>
        <w:t>(b)</w:t>
      </w:r>
      <w:r>
        <w:tab/>
        <w:t xml:space="preserve">Use of RRS, </w:t>
      </w:r>
      <w:r w:rsidR="008611B7">
        <w:t xml:space="preserve">ECRS, </w:t>
      </w:r>
      <w:r>
        <w:t>other Ancillary Services, and ERS to the extent permitted by ERCOT System conditions;</w:t>
      </w:r>
    </w:p>
    <w:p w14:paraId="63F55916" w14:textId="77777777" w:rsidR="001F04FD" w:rsidRDefault="001F04FD" w:rsidP="00F969DB">
      <w:pPr>
        <w:pStyle w:val="List"/>
      </w:pPr>
      <w:r>
        <w:t>(c)</w:t>
      </w:r>
      <w:r>
        <w:tab/>
        <w:t>Maximum use of ERCOT System capability;</w:t>
      </w:r>
    </w:p>
    <w:p w14:paraId="56679368" w14:textId="77777777" w:rsidR="001F04FD" w:rsidRDefault="001F04FD" w:rsidP="001F04FD">
      <w:pPr>
        <w:pStyle w:val="List"/>
      </w:pPr>
      <w:r>
        <w:t>(d)</w:t>
      </w:r>
      <w:r>
        <w:tab/>
        <w:t>Maintenance of station service for nuclear-powered Generation Resources;</w:t>
      </w:r>
    </w:p>
    <w:p w14:paraId="5E8EE4A1" w14:textId="77777777" w:rsidR="001F04FD" w:rsidRDefault="001F04FD" w:rsidP="001F04FD">
      <w:pPr>
        <w:pStyle w:val="List"/>
      </w:pPr>
      <w:r>
        <w:t>(e)</w:t>
      </w:r>
      <w:r>
        <w:tab/>
        <w:t>Securing startup power for Generation Resources;</w:t>
      </w:r>
    </w:p>
    <w:p w14:paraId="2AE5EB40" w14:textId="77777777" w:rsidR="001F04FD" w:rsidRDefault="001F04FD" w:rsidP="001F04FD">
      <w:pPr>
        <w:pStyle w:val="List"/>
      </w:pPr>
      <w:r>
        <w:t>(f)</w:t>
      </w:r>
      <w:r>
        <w:tab/>
        <w:t>Operation of Generation Resources during loss of communication with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20AB7DAC"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7CA0383C" w14:textId="1F457E28" w:rsidR="006963EB" w:rsidRDefault="006963EB" w:rsidP="004E6E12">
            <w:pPr>
              <w:pStyle w:val="Instructions"/>
              <w:spacing w:before="120"/>
            </w:pPr>
            <w:r>
              <w:t>[NPRR1246:  Replace paragraph (f) above with the following upon system implementation of the Real-Time Co-Optimization (RTC) project:]</w:t>
            </w:r>
          </w:p>
          <w:p w14:paraId="299A5494" w14:textId="2209CC44" w:rsidR="006963EB" w:rsidRPr="006963EB" w:rsidRDefault="006963EB" w:rsidP="006963EB">
            <w:pPr>
              <w:spacing w:after="240"/>
              <w:ind w:left="1440" w:hanging="720"/>
            </w:pPr>
            <w:r w:rsidRPr="007F5C96">
              <w:t>(f)</w:t>
            </w:r>
            <w:r w:rsidRPr="007F5C96">
              <w:tab/>
              <w:t>Operation of Generation Resources</w:t>
            </w:r>
            <w:r>
              <w:t xml:space="preserve"> and ESRs</w:t>
            </w:r>
            <w:r w:rsidRPr="007F5C96">
              <w:t xml:space="preserve"> during loss of communication with ERCOT;</w:t>
            </w:r>
          </w:p>
        </w:tc>
      </w:tr>
    </w:tbl>
    <w:p w14:paraId="517ECC44" w14:textId="14C53AF7" w:rsidR="001F04FD" w:rsidRDefault="001F04FD" w:rsidP="00DD0A69">
      <w:pPr>
        <w:pStyle w:val="List"/>
        <w:spacing w:before="240"/>
      </w:pPr>
      <w:r>
        <w:t>(g)</w:t>
      </w:r>
      <w:r>
        <w:tab/>
        <w:t>Restoration of service to Loads in the manner defined in the Operating Guides; and</w:t>
      </w:r>
    </w:p>
    <w:p w14:paraId="086F3AA0" w14:textId="77777777" w:rsidR="001F04FD" w:rsidRDefault="001F04FD" w:rsidP="001F04FD">
      <w:pPr>
        <w:pStyle w:val="List"/>
      </w:pPr>
      <w:r>
        <w:t>(h)</w:t>
      </w:r>
      <w:r>
        <w:tab/>
      </w:r>
      <w:r w:rsidRPr="000C1590">
        <w:t>Management of Interconnection Reliability Operating Limits (IROLs) shall not change.</w:t>
      </w:r>
    </w:p>
    <w:p w14:paraId="2E28D183" w14:textId="30B91FB0" w:rsidR="001F04FD" w:rsidRDefault="001F04FD" w:rsidP="001F04FD">
      <w:pPr>
        <w:pStyle w:val="BodyTextNumbered"/>
      </w:pPr>
      <w:r>
        <w:t>(4)</w:t>
      </w:r>
      <w:r>
        <w:tab/>
        <w:t xml:space="preserve">ERCOT is responsible for coordinating with QSEs, TSPs, and DSPs to monitor ERCOT System conditions, initiating the EEA levels, notifying </w:t>
      </w:r>
      <w:r w:rsidR="001C0FEC">
        <w:t>Market Participants</w:t>
      </w:r>
      <w:r>
        <w:t>, and coordinating the implementation of the EEA levels while maintaining transmission security limits.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1A31" w14:paraId="4AD62A12" w14:textId="77777777" w:rsidTr="00D326C6">
        <w:trPr>
          <w:trHeight w:val="296"/>
        </w:trPr>
        <w:tc>
          <w:tcPr>
            <w:tcW w:w="9350" w:type="dxa"/>
            <w:shd w:val="pct12" w:color="auto" w:fill="auto"/>
          </w:tcPr>
          <w:p w14:paraId="6EFA49B5" w14:textId="0A04EE96" w:rsidR="00D31A31" w:rsidRDefault="00D31A31" w:rsidP="004510FA">
            <w:pPr>
              <w:pStyle w:val="Instructions"/>
              <w:spacing w:before="120"/>
            </w:pPr>
            <w:r>
              <w:lastRenderedPageBreak/>
              <w:t>[NPRR857:  Replace paragraph (4)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w:t>
            </w:r>
            <w:r w:rsidR="00874902">
              <w:t xml:space="preserve"> </w:t>
            </w:r>
            <w:r w:rsidR="004A5B0B" w:rsidRPr="00ED2B3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2EA8AA9" w14:textId="49018279" w:rsidR="00D31A31" w:rsidRPr="00B37C4B" w:rsidRDefault="00D31A31" w:rsidP="00D31A31">
            <w:pPr>
              <w:spacing w:after="240"/>
              <w:ind w:left="720" w:hanging="720"/>
            </w:pPr>
            <w:r w:rsidRPr="00E55E72">
              <w:t>(4)</w:t>
            </w:r>
            <w:r w:rsidRPr="00E55E72">
              <w:tab/>
              <w:t xml:space="preserve">ERCOT is responsible for coordinating with QSEs, DCTOs, TSPs, and DSPs to monitor ERCOT System conditions, initiating the EEA levels, notifying </w:t>
            </w:r>
            <w:r w:rsidR="001C0FEC">
              <w:t>Market Participants</w:t>
            </w:r>
            <w:r w:rsidRPr="00E55E72">
              <w:t>, and coordinating the implementation of the EEA levels while maintainin</w:t>
            </w:r>
            <w:r>
              <w:t>g transmission security limits.</w:t>
            </w:r>
          </w:p>
        </w:tc>
      </w:tr>
    </w:tbl>
    <w:p w14:paraId="1518C29E" w14:textId="77777777" w:rsidR="001F04FD" w:rsidRDefault="001F04FD" w:rsidP="0099247E">
      <w:pPr>
        <w:pStyle w:val="BodyTextNumbered"/>
        <w:spacing w:before="240"/>
      </w:pPr>
      <w:r>
        <w:t>(5)</w:t>
      </w:r>
      <w:r>
        <w:tab/>
        <w:t>ERCOT, at management’s discretion, may at any time issue an ERCOT-wide appeal through the public news media for voluntary energy conservation.</w:t>
      </w:r>
    </w:p>
    <w:p w14:paraId="71EEE536" w14:textId="43576EAB" w:rsidR="001F04FD" w:rsidRDefault="001F04FD" w:rsidP="001F04FD">
      <w:pPr>
        <w:pStyle w:val="BodyTextNumbered"/>
      </w:pPr>
      <w:r>
        <w:t>(6)</w:t>
      </w:r>
      <w:r>
        <w:tab/>
        <w:t xml:space="preserve">During the EEA, ERCOT has the authority to obtain energy from non-ERCOT Control Areas using the DC Ties or by using BLTs to move load to non-ERCOT Control Areas.  ERCOT maintains the authority to curtail energy schedules flowing into or out of the ERCOT System across the DC Ties in accordance with NERC scheduling guidelines.   </w:t>
      </w:r>
    </w:p>
    <w:p w14:paraId="74DC4332" w14:textId="77777777" w:rsidR="001F04FD" w:rsidRDefault="001F04FD" w:rsidP="001F04FD">
      <w:pPr>
        <w:pStyle w:val="BodyTextNumbered"/>
      </w:pPr>
      <w:r>
        <w:t>(7)</w:t>
      </w:r>
      <w:r>
        <w:tab/>
        <w:t>Some of the EEA steps are not applicable if transmission security violations exist.  There may be insufficient time to implement all EEA levels in sequence, however, to the extent practicable, ERCOT shall use Ancillary Services that QSEs have made available in the market to maintain or restore reliability.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41B783AD" w14:textId="77777777" w:rsidTr="00EC5231">
        <w:trPr>
          <w:trHeight w:val="206"/>
        </w:trPr>
        <w:tc>
          <w:tcPr>
            <w:tcW w:w="9350" w:type="dxa"/>
            <w:shd w:val="pct12" w:color="auto" w:fill="auto"/>
          </w:tcPr>
          <w:p w14:paraId="550112E1" w14:textId="77777777" w:rsidR="002D5C44" w:rsidRDefault="002D5C44" w:rsidP="002D5C44">
            <w:pPr>
              <w:pStyle w:val="Instructions"/>
              <w:spacing w:before="120"/>
            </w:pPr>
            <w:r>
              <w:t>[NPRR1010:  Replace paragraph (7) above with the following upon system implementation of the Real-Time Co-Optimization (RTC) project:]</w:t>
            </w:r>
          </w:p>
          <w:p w14:paraId="0B226634" w14:textId="3EA3414A" w:rsidR="002D5C44" w:rsidRPr="00B37C4B" w:rsidRDefault="002D5C44" w:rsidP="002D5C44">
            <w:pPr>
              <w:spacing w:after="240"/>
              <w:ind w:left="720" w:hanging="720"/>
            </w:pPr>
            <w:r w:rsidRPr="003161DC">
              <w:t>(7)</w:t>
            </w:r>
            <w:r w:rsidRPr="003161DC">
              <w:tab/>
              <w:t>Some of the EEA steps are not applicable if transmission security violations exist.  There may be insufficient time to implement all EEA levels in sequence, however, to the extent practicable, ERCOT shall use Ancillary Service</w:t>
            </w:r>
            <w:r>
              <w:t xml:space="preserve"> capabilities of Resource</w:t>
            </w:r>
            <w:r w:rsidRPr="003161DC">
              <w:t>s in the market to m</w:t>
            </w:r>
            <w:r>
              <w:t>aintain or restore reliability.</w:t>
            </w:r>
          </w:p>
        </w:tc>
      </w:tr>
    </w:tbl>
    <w:p w14:paraId="410ADBA9" w14:textId="75BECB4A" w:rsidR="001F04FD" w:rsidRDefault="001F04FD" w:rsidP="00FB599C">
      <w:pPr>
        <w:pStyle w:val="BodyTextNumbered"/>
        <w:spacing w:before="240"/>
      </w:pPr>
      <w:r>
        <w:t>(8)</w:t>
      </w:r>
      <w:r>
        <w:tab/>
      </w:r>
      <w:r w:rsidR="008C7E79">
        <w:t xml:space="preserve">ERCOT may immediately implement EEA Level 2 when clock-minute average system frequency falls below 59.91 Hz for 15 consecutive minutes.  </w:t>
      </w:r>
      <w:r>
        <w:t xml:space="preserve">ERCOT may immediately implement EEA Level 3 any time the </w:t>
      </w:r>
      <w:r w:rsidR="00D67C9C">
        <w:rPr>
          <w:iCs/>
        </w:rPr>
        <w:t>cloc</w:t>
      </w:r>
      <w:r w:rsidR="00D67C9C" w:rsidRPr="00D46D2F">
        <w:rPr>
          <w:iCs/>
        </w:rPr>
        <w:t>k-minute average</w:t>
      </w:r>
      <w:r>
        <w:t xml:space="preserve"> system frequency </w:t>
      </w:r>
      <w:r w:rsidR="00D67C9C">
        <w:t>falls</w:t>
      </w:r>
      <w:r>
        <w:t xml:space="preserve"> below 59.</w:t>
      </w:r>
      <w:r w:rsidR="00D67C9C">
        <w:t>91</w:t>
      </w:r>
      <w:r>
        <w:t xml:space="preserve"> Hz </w:t>
      </w:r>
      <w:r w:rsidR="00D67C9C" w:rsidRPr="00D46D2F">
        <w:t>for 20 consecutive minu</w:t>
      </w:r>
      <w:r w:rsidR="00D67C9C">
        <w:t xml:space="preserve">tes </w:t>
      </w:r>
      <w:r w:rsidR="008C7E79">
        <w:t>or when steady-state frequency falls below 59.8 Hz for any duration of time.</w:t>
      </w:r>
      <w:r>
        <w:t xml:space="preserve"> </w:t>
      </w:r>
      <w:r w:rsidR="008C7E79">
        <w:t xml:space="preserve"> ERCOT </w:t>
      </w:r>
      <w:r>
        <w:t>shall immediately implement EEA Level 3 any time the steady-state frequency is below 59.5 Hz</w:t>
      </w:r>
      <w:r w:rsidR="00D67C9C">
        <w:t xml:space="preserve"> for any duration</w:t>
      </w:r>
      <w:r>
        <w:t>.</w:t>
      </w:r>
    </w:p>
    <w:p w14:paraId="5899BE08" w14:textId="77777777" w:rsidR="001F04FD" w:rsidRDefault="001F04FD" w:rsidP="001F04FD">
      <w:pPr>
        <w:pStyle w:val="BodyTextNumbered"/>
      </w:pPr>
      <w:r>
        <w:t>(9)</w:t>
      </w:r>
      <w:r>
        <w:tab/>
        <w:t>Percentages for EEA Level 3 Load shedding will be based on the previous year’s TSP peak Loads, as reported to ERCOT, and must be reviewed by ERCOT and modified annually as required.</w:t>
      </w:r>
    </w:p>
    <w:p w14:paraId="1D1C185E" w14:textId="20DFC645" w:rsidR="001F04FD" w:rsidRPr="000C1590" w:rsidRDefault="001F04FD" w:rsidP="001F04FD">
      <w:pPr>
        <w:spacing w:after="240"/>
        <w:ind w:left="720" w:hanging="720"/>
      </w:pPr>
      <w:r w:rsidRPr="000C1590">
        <w:lastRenderedPageBreak/>
        <w:t>(10)</w:t>
      </w:r>
      <w:r w:rsidRPr="000C1590">
        <w:tab/>
        <w:t>During EEA Level 2 or 3, for those constraints that meet the criteria identified in paragraph (</w:t>
      </w:r>
      <w:r w:rsidR="008C7E79">
        <w:t>3</w:t>
      </w:r>
      <w:r w:rsidRPr="000C1590">
        <w:t>)(a) of Section 6.5.9.</w:t>
      </w:r>
      <w:r w:rsidR="008C7E79">
        <w:t>4</w:t>
      </w:r>
      <w:r w:rsidRPr="000C1590">
        <w:t>.</w:t>
      </w:r>
      <w:r w:rsidR="008C7E79">
        <w:t>1</w:t>
      </w:r>
      <w:r w:rsidRPr="000C1590">
        <w:t xml:space="preserve">, </w:t>
      </w:r>
      <w:r w:rsidR="008C7E79" w:rsidRPr="0063514E">
        <w:t>General Procedures Prior to EEA Operat</w:t>
      </w:r>
      <w:r w:rsidR="008C7E79">
        <w:t>i</w:t>
      </w:r>
      <w:r w:rsidR="008C7E79" w:rsidRPr="0063514E">
        <w:t>ons</w:t>
      </w:r>
      <w:r w:rsidRPr="000C1590">
        <w:t xml:space="preserve">, ERCOT may control the post-contingency flow to within the 15-Minute Rating in SCED.   After PRC is restored to at least 3,000 MW or the </w:t>
      </w:r>
      <w:r w:rsidR="002D28ED">
        <w:t>E</w:t>
      </w:r>
      <w:r w:rsidRPr="000C1590">
        <w:t xml:space="preserve">mergency </w:t>
      </w:r>
      <w:r w:rsidR="002D28ED">
        <w:t>C</w:t>
      </w:r>
      <w:r w:rsidRPr="000C1590">
        <w:t xml:space="preserve">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9DF915C" w14:textId="79A312B2" w:rsidR="001F04FD" w:rsidRDefault="001F04FD" w:rsidP="001F04FD">
      <w:pPr>
        <w:spacing w:after="240"/>
        <w:ind w:left="720" w:hanging="720"/>
      </w:pPr>
      <w:r w:rsidRPr="000C1590">
        <w:t>(11)</w:t>
      </w:r>
      <w:r w:rsidRPr="000C1590">
        <w:tab/>
        <w:t>During EEA Level 2 or 3, for those constraints that meet the criteria identified in paragraph (</w:t>
      </w:r>
      <w:r w:rsidR="008C7E79">
        <w:t>3</w:t>
      </w:r>
      <w:r w:rsidRPr="000C1590">
        <w:t>)(b) of Section 6.5.9.</w:t>
      </w:r>
      <w:r w:rsidR="008C7E79">
        <w:t>4</w:t>
      </w:r>
      <w:r w:rsidRPr="000C1590">
        <w:t>.</w:t>
      </w:r>
      <w:r w:rsidR="008C7E79">
        <w:t>1</w:t>
      </w:r>
      <w:r w:rsidRPr="000C1590">
        <w:t>, ERCOT shall continue to enforce constraints associated with double-circuit contingencies throughout an EEA if the double-circuit failures are determined to be at high risk of occurring, due to system conditions.  For all other double-circuit contingencies identified in paragraph (</w:t>
      </w:r>
      <w:r w:rsidR="008C7E79">
        <w:t>3</w:t>
      </w:r>
      <w:r w:rsidRPr="000C1590">
        <w:t>)(b) of Section 6.5.9.</w:t>
      </w:r>
      <w:r w:rsidR="008C7E79">
        <w:t>4</w:t>
      </w:r>
      <w:r w:rsidRPr="000C1590">
        <w:t>.</w:t>
      </w:r>
      <w:r w:rsidR="008C7E79">
        <w:t>1</w:t>
      </w:r>
      <w:r w:rsidRPr="000C1590">
        <w:t>,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70D84DA3" w14:textId="77777777" w:rsidR="001F04FD" w:rsidRDefault="001F04FD" w:rsidP="001F04FD">
      <w:pPr>
        <w:pStyle w:val="H5"/>
        <w:spacing w:before="480"/>
        <w:ind w:left="1627" w:hanging="1627"/>
      </w:pPr>
      <w:bookmarkStart w:id="1509" w:name="_Toc397504992"/>
      <w:bookmarkStart w:id="1510" w:name="_Toc402357120"/>
      <w:bookmarkStart w:id="1511" w:name="_Toc422486500"/>
      <w:bookmarkStart w:id="1512" w:name="_Toc433093352"/>
      <w:bookmarkStart w:id="1513" w:name="_Toc433093510"/>
      <w:bookmarkStart w:id="1514" w:name="_Toc440874738"/>
      <w:bookmarkStart w:id="1515" w:name="_Toc448142293"/>
      <w:bookmarkStart w:id="1516" w:name="_Toc448142450"/>
      <w:bookmarkStart w:id="1517" w:name="_Toc458770287"/>
      <w:bookmarkStart w:id="1518" w:name="_Toc459294255"/>
      <w:bookmarkStart w:id="1519" w:name="_Toc463262748"/>
      <w:bookmarkStart w:id="1520" w:name="_Toc468286821"/>
      <w:bookmarkStart w:id="1521" w:name="_Toc481502867"/>
      <w:bookmarkStart w:id="1522" w:name="_Toc496080035"/>
      <w:bookmarkStart w:id="1523" w:name="_Toc189044385"/>
      <w:bookmarkStart w:id="1524" w:name="_Toc87951781"/>
      <w:bookmarkEnd w:id="673"/>
      <w:r>
        <w:t>6.5.9.4.1</w:t>
      </w:r>
      <w:r>
        <w:tab/>
        <w:t>General Procedures Prior to EEA Operations</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t xml:space="preserve"> </w:t>
      </w:r>
    </w:p>
    <w:p w14:paraId="3527508A" w14:textId="77777777" w:rsidR="001F04FD" w:rsidRDefault="001F04FD" w:rsidP="001F04FD">
      <w:pPr>
        <w:pStyle w:val="BodyTextNumbered"/>
      </w:pPr>
      <w:r>
        <w:t>(1)</w:t>
      </w:r>
      <w:r>
        <w:tab/>
        <w:t>Prior to declaring EEA Level 1 detailed in Section 6.5.9.4.2, EEA Levels, ERCOT may perform the following operations consistent with Good Utility Practice:</w:t>
      </w:r>
    </w:p>
    <w:p w14:paraId="40498E62" w14:textId="09B1A78F" w:rsidR="001F04FD" w:rsidRDefault="001F04FD" w:rsidP="001F04FD">
      <w:pPr>
        <w:pStyle w:val="List"/>
      </w:pPr>
      <w:r>
        <w:t>(a)</w:t>
      </w:r>
      <w:r>
        <w:tab/>
      </w:r>
      <w:r w:rsidR="00832D19">
        <w:t>Provide Dispatch Instructions to QSEs for specific Resources to operate at an Emergency Base Point to maximize Resource deployment so as to increase PRC levels on other Resources</w:t>
      </w:r>
      <w:r>
        <w:t>;</w:t>
      </w:r>
    </w:p>
    <w:p w14:paraId="3BC2E0C1" w14:textId="77777777" w:rsidR="001F04FD" w:rsidRDefault="001F04FD" w:rsidP="00BA3F0D">
      <w:pPr>
        <w:pStyle w:val="List"/>
      </w:pPr>
      <w:r>
        <w:t>(b)</w:t>
      </w:r>
      <w:r>
        <w:tab/>
        <w:t>Commit specific available Resources as necessary that can respond in the timeframe of the emergency.  Such commitments will be settled using the HRUC process;</w:t>
      </w:r>
    </w:p>
    <w:p w14:paraId="3E350E80" w14:textId="77777777" w:rsidR="001F04FD" w:rsidRDefault="001F04FD" w:rsidP="001F04FD">
      <w:pPr>
        <w:pStyle w:val="List"/>
      </w:pPr>
      <w:r>
        <w:t>(c)</w:t>
      </w:r>
      <w:r>
        <w:tab/>
        <w:t>Start RMR Units available in the time frame of the emergency.  RMR Units should be loaded to full capability;</w:t>
      </w:r>
    </w:p>
    <w:p w14:paraId="147A1BCB" w14:textId="5CDD946E" w:rsidR="001F04FD" w:rsidRDefault="001F04FD" w:rsidP="001F04FD">
      <w:pPr>
        <w:pStyle w:val="List"/>
      </w:pPr>
      <w:r>
        <w:t>(d)</w:t>
      </w:r>
      <w:r>
        <w:tab/>
        <w:t xml:space="preserve">Utilize available Resources providing </w:t>
      </w:r>
      <w:r w:rsidR="00832D19">
        <w:t>RRS</w:t>
      </w:r>
      <w:r w:rsidR="008611B7">
        <w:t>, ECRS,</w:t>
      </w:r>
      <w:r w:rsidR="00832D19">
        <w:t xml:space="preserve"> and </w:t>
      </w:r>
      <w:r>
        <w:t>Non-Spin services as required;</w:t>
      </w:r>
    </w:p>
    <w:p w14:paraId="189AB732" w14:textId="77777777" w:rsidR="0064112F" w:rsidRDefault="0064112F" w:rsidP="00F969DB">
      <w:pPr>
        <w:pStyle w:val="List"/>
      </w:pPr>
      <w:r>
        <w:t>(e)</w:t>
      </w:r>
      <w:r>
        <w:tab/>
      </w:r>
      <w:r w:rsidRPr="00AE3BC9">
        <w:t xml:space="preserve">Instruct TSPs and DSPs or their agents to reduce Customer Load by using </w:t>
      </w:r>
      <w:r>
        <w:t xml:space="preserve">existing, in-service </w:t>
      </w:r>
      <w:r w:rsidRPr="00AE3BC9">
        <w:t xml:space="preserve">distribution voltage reduction measures if </w:t>
      </w:r>
      <w:r>
        <w:t xml:space="preserve">ERCOT determines that the implementation of these measures could help avoid entering into EEA and ERCOT does not expect to need to use these measures to reduce the amount of Load shedding that may be needed in EEA Level 3.  A TSP, DSP, or their agent shall implement these instructions if distribution voltage reduction measures are </w:t>
      </w:r>
      <w:r>
        <w:lastRenderedPageBreak/>
        <w:t xml:space="preserve">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 and </w:t>
      </w:r>
    </w:p>
    <w:p w14:paraId="444F9F7E" w14:textId="46CEEC61" w:rsidR="00A3515A" w:rsidRDefault="001F04FD" w:rsidP="00A3515A">
      <w:pPr>
        <w:pStyle w:val="List"/>
        <w:spacing w:before="240"/>
      </w:pPr>
      <w:r>
        <w:t>(</w:t>
      </w:r>
      <w:r w:rsidR="0064112F">
        <w:t>f</w:t>
      </w:r>
      <w:r>
        <w:t>)</w:t>
      </w:r>
      <w:r>
        <w:tab/>
        <w:t xml:space="preserve">ERCOT shall use the PRC </w:t>
      </w:r>
      <w:r w:rsidR="00D67C9C">
        <w:t xml:space="preserve">and system frequency </w:t>
      </w:r>
      <w:r>
        <w:t xml:space="preserve">to determine the appropriate Emergency Notice and EEA levels. </w:t>
      </w:r>
    </w:p>
    <w:p w14:paraId="0080865D" w14:textId="796D5859" w:rsidR="00A3515A" w:rsidRPr="005D778F" w:rsidRDefault="00A3515A" w:rsidP="00A3515A">
      <w:pPr>
        <w:spacing w:before="240" w:after="240"/>
        <w:ind w:left="720" w:hanging="720"/>
      </w:pPr>
      <w:r w:rsidRPr="00D866C9">
        <w:t>(2)</w:t>
      </w:r>
      <w:r w:rsidRPr="00D866C9">
        <w:tab/>
        <w:t xml:space="preserve">When PRC falls below 3,000 MW and is not projected to be recovered above 3,000 MW within 30 minutes following the deployment of Non-Spin, ERCOT may deploy available contracted ERS-10 and ERS-30 via an XML message.  </w:t>
      </w:r>
      <w:r w:rsidR="0050458F">
        <w:t>The deployment time within the ERCOT XML deployment message shall represent</w:t>
      </w:r>
      <w:r w:rsidR="0050458F" w:rsidRPr="00D866C9">
        <w:t xml:space="preserve"> </w:t>
      </w:r>
      <w:r w:rsidR="0050458F">
        <w:t>t</w:t>
      </w:r>
      <w:r w:rsidRPr="00D866C9">
        <w:t xml:space="preserve">he </w:t>
      </w:r>
      <w:r w:rsidR="0050458F">
        <w:t xml:space="preserve">beginning of the </w:t>
      </w:r>
      <w:r w:rsidRPr="00D866C9">
        <w:t>ERS-10 and ERS-30 ramp periods.</w:t>
      </w:r>
    </w:p>
    <w:p w14:paraId="5DAF438C" w14:textId="77777777" w:rsidR="00A3515A" w:rsidRPr="005D778F" w:rsidRDefault="00A3515A" w:rsidP="00A3515A">
      <w:pPr>
        <w:spacing w:before="240" w:after="240"/>
        <w:ind w:left="1440" w:hanging="720"/>
      </w:pPr>
      <w:r w:rsidRPr="005D778F">
        <w:t>(</w:t>
      </w:r>
      <w:r>
        <w:t>a</w:t>
      </w:r>
      <w:r w:rsidRPr="005D778F">
        <w:t>)</w:t>
      </w:r>
      <w:r w:rsidRPr="005D778F">
        <w:tab/>
        <w:t>ERS-10 and ERS-30 may be deployed at any time in a Settlement Interval.  ERS-10 and ERS-30 may be deployed either simultaneously or separately, and in any order, at the discretion of ERCOT operators.</w:t>
      </w:r>
    </w:p>
    <w:p w14:paraId="27BF40AE" w14:textId="0BFC044A" w:rsidR="00A3515A" w:rsidRPr="005D778F" w:rsidRDefault="00A3515A" w:rsidP="00A3515A">
      <w:pPr>
        <w:spacing w:before="240" w:after="240"/>
        <w:ind w:left="1440" w:hanging="720"/>
      </w:pPr>
      <w:r w:rsidRPr="005D778F">
        <w:t>(</w:t>
      </w:r>
      <w:r>
        <w:t>b</w:t>
      </w:r>
      <w:r w:rsidRPr="005D778F">
        <w:t>)</w:t>
      </w:r>
      <w:r w:rsidRPr="005D778F">
        <w:tab/>
        <w:t>Upon deployment, QSEs shall instruct their ERS Resources in ERS-10 and ERS-30 to perform at contracted levels consistent with the criteria described in Section 8.1.3.1.4, Event Performance Criteria for Emergency Response Service Resources, until either ERCOT releases the ERS-10 and ERS-30 deployment or the ERS-10 and ERS-30 Resources have reached their maximum deployment time.</w:t>
      </w:r>
    </w:p>
    <w:p w14:paraId="6F212AF3" w14:textId="0CDD11DC" w:rsidR="00A3515A" w:rsidRPr="005D778F" w:rsidRDefault="00A3515A" w:rsidP="00A3515A">
      <w:pPr>
        <w:spacing w:before="240" w:after="240"/>
        <w:ind w:left="1440" w:hanging="720"/>
      </w:pPr>
      <w:r w:rsidRPr="005D778F">
        <w:t>(</w:t>
      </w:r>
      <w:r>
        <w:t>c</w:t>
      </w:r>
      <w:r w:rsidRPr="005D778F">
        <w:t>)</w:t>
      </w:r>
      <w:r w:rsidRPr="005D778F">
        <w:tab/>
        <w:t xml:space="preserve">ERCOT shall notify QSEs of the </w:t>
      </w:r>
      <w:r w:rsidR="0050458F">
        <w:t>recall</w:t>
      </w:r>
      <w:r w:rsidRPr="005D778F">
        <w:t xml:space="preserve"> of ERS-10 and ERS-30 via an XML message.  The </w:t>
      </w:r>
      <w:r w:rsidR="0050458F">
        <w:t>recall time within the ERCOT XML message</w:t>
      </w:r>
      <w:r w:rsidRPr="005D778F">
        <w:t xml:space="preserve"> shall represent the official notice of ERS-10 and ERS-30 </w:t>
      </w:r>
      <w:r w:rsidR="0050458F">
        <w:t>recall</w:t>
      </w:r>
      <w:r w:rsidRPr="005D778F">
        <w:t>.</w:t>
      </w:r>
    </w:p>
    <w:p w14:paraId="373F7A2E" w14:textId="6679A103" w:rsidR="001F04FD" w:rsidRDefault="00A3515A" w:rsidP="00A3515A">
      <w:pPr>
        <w:pStyle w:val="List"/>
        <w:spacing w:before="240"/>
      </w:pPr>
      <w:r w:rsidRPr="005D778F">
        <w:t>(</w:t>
      </w:r>
      <w:r>
        <w:t>d</w:t>
      </w:r>
      <w:r w:rsidRPr="005D778F">
        <w:t>)</w:t>
      </w:r>
      <w:r w:rsidRPr="005D778F">
        <w:tab/>
        <w:t>Upon release, an ERS Resource shall return to a condition such that it is capable of meeting its ERS performance requirements as soon as practical, but no later than ten hours following the release.</w:t>
      </w:r>
    </w:p>
    <w:p w14:paraId="1D3D2DED" w14:textId="77777777" w:rsidR="008C7E79" w:rsidRPr="00975E64" w:rsidDel="00004772" w:rsidRDefault="008C7E79" w:rsidP="008C7E79">
      <w:pPr>
        <w:pStyle w:val="BodyTextNumbered"/>
        <w:shd w:val="clear" w:color="auto" w:fill="FFFFFF"/>
      </w:pPr>
      <w:bookmarkStart w:id="1525" w:name="_Toc397504993"/>
      <w:bookmarkStart w:id="1526" w:name="_Toc402357121"/>
      <w:bookmarkStart w:id="1527" w:name="_Toc422486501"/>
      <w:bookmarkStart w:id="1528" w:name="_Toc433093353"/>
      <w:bookmarkStart w:id="1529" w:name="_Toc433093511"/>
      <w:bookmarkStart w:id="1530" w:name="_Toc440874739"/>
      <w:bookmarkStart w:id="1531" w:name="_Toc448142294"/>
      <w:bookmarkStart w:id="1532" w:name="_Toc448142451"/>
      <w:bookmarkStart w:id="1533" w:name="_Toc458770288"/>
      <w:bookmarkStart w:id="1534" w:name="_Toc459294256"/>
      <w:bookmarkStart w:id="1535" w:name="_Toc463262749"/>
      <w:bookmarkStart w:id="1536" w:name="_Toc468286822"/>
      <w:bookmarkStart w:id="1537" w:name="_Toc481502868"/>
      <w:bookmarkStart w:id="1538" w:name="_Toc496080036"/>
      <w:r w:rsidRPr="00975E64" w:rsidDel="00004772">
        <w:t>(</w:t>
      </w:r>
      <w:r>
        <w:t>3</w:t>
      </w:r>
      <w:r w:rsidRPr="00975E64" w:rsidDel="00004772">
        <w:t>)</w:t>
      </w:r>
      <w:r w:rsidRPr="00975E64" w:rsidDel="00004772">
        <w:tab/>
        <w:t xml:space="preserve">When </w:t>
      </w:r>
      <w:r>
        <w:t>a Watch</w:t>
      </w:r>
      <w:r w:rsidRPr="00975E64" w:rsidDel="00004772">
        <w:t xml:space="preserve"> is issued for PRC below 3,000 MW and ERCOT expects system conditions to deteriorate to the extent that an EEA Level 2 or 3 may be experienced, ERCOT shall evaluate constraints active in SCED and determine which constraints have the potential to limit generation output.  </w:t>
      </w:r>
    </w:p>
    <w:p w14:paraId="4F1799B7" w14:textId="77777777" w:rsidR="008C7E79" w:rsidRPr="00975E64" w:rsidDel="00004772" w:rsidRDefault="008C7E79" w:rsidP="008C7E79">
      <w:pPr>
        <w:pStyle w:val="BodyTextNumbered"/>
        <w:ind w:left="1440"/>
      </w:pPr>
      <w:r w:rsidRPr="00975E64" w:rsidDel="00004772">
        <w:t>(a)</w:t>
      </w:r>
      <w:r w:rsidRPr="00975E64" w:rsidDel="00004772">
        <w:tab/>
        <w:t>Upon identification of such constraints, ERCOT shall coordinate with the TSPs that own or operate the overloaded Transmission Facilities associated with those constraints, as well as the Resource Entities whose generation output may be limited, to determine whether: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C7E79" w:rsidRPr="00975E64" w:rsidDel="00004772" w14:paraId="6A1D1F35" w14:textId="77777777" w:rsidTr="0061655D">
        <w:trPr>
          <w:trHeight w:val="296"/>
        </w:trPr>
        <w:tc>
          <w:tcPr>
            <w:tcW w:w="9576" w:type="dxa"/>
            <w:shd w:val="pct12" w:color="auto" w:fill="auto"/>
          </w:tcPr>
          <w:p w14:paraId="5770D94C" w14:textId="63C16B65" w:rsidR="008C7E79" w:rsidRPr="00975E64" w:rsidDel="00004772" w:rsidRDefault="008C7E79" w:rsidP="0061655D">
            <w:pPr>
              <w:pStyle w:val="Instructions"/>
              <w:spacing w:before="120"/>
            </w:pPr>
            <w:r w:rsidRPr="00975E64" w:rsidDel="00004772">
              <w:t xml:space="preserve">[NPRR857:  Replace paragraph (a) above with the following upon system implementation </w:t>
            </w:r>
            <w:r w:rsidRPr="00975E64" w:rsidDel="00004772">
              <w:rPr>
                <w:bCs/>
                <w:iCs w:val="0"/>
              </w:rPr>
              <w:t xml:space="preserve">and </w:t>
            </w:r>
            <w:r w:rsidRPr="00975E64" w:rsidDel="00004772">
              <w:t xml:space="preserve">satisfying the following conditions: </w:t>
            </w:r>
            <w:r w:rsidR="00186863">
              <w:t xml:space="preserve"> </w:t>
            </w:r>
            <w:r w:rsidRPr="00975E64" w:rsidDel="00004772">
              <w:t xml:space="preserve">(1) Southern Cross provides ERCOT with funds to cover the entire estimated cost of the project; and (2) Southern Cross has signed an </w:t>
            </w:r>
            <w:r w:rsidRPr="00975E64" w:rsidDel="00004772">
              <w:lastRenderedPageBreak/>
              <w:t>interconnection agreement with a TSP and the TSP gives ERCOT written notice that Southern Cross has provided it with:  (a) Notice to proceed with the construction of the interconnection; and (b) The financial security required to fund the interconnection facilities:]</w:t>
            </w:r>
          </w:p>
          <w:p w14:paraId="1F4D0DF4" w14:textId="77777777" w:rsidR="008C7E79" w:rsidRPr="00975E64" w:rsidDel="00004772" w:rsidRDefault="008C7E79" w:rsidP="0061655D">
            <w:pPr>
              <w:pStyle w:val="BodyTextNumbered"/>
              <w:ind w:left="1440"/>
            </w:pPr>
            <w:r w:rsidRPr="00975E64" w:rsidDel="00004772">
              <w:t>(a)</w:t>
            </w:r>
            <w:r w:rsidRPr="00975E64" w:rsidDel="00004772">
              <w:tab/>
              <w:t>Upon identification of such constraints, ERCOT shall coordinate with the TSPs and DCTOs that own or operate the overloaded Transmission Facilities associated with those constraints, as well as the Resource Entities whose generation output may be limited, to determine whether:</w:t>
            </w:r>
          </w:p>
        </w:tc>
      </w:tr>
    </w:tbl>
    <w:p w14:paraId="7A431EB9" w14:textId="77777777" w:rsidR="008C7E79" w:rsidRPr="00975E64" w:rsidDel="00004772" w:rsidRDefault="008C7E79" w:rsidP="008C7E79">
      <w:pPr>
        <w:pStyle w:val="BodyTextNumbered"/>
        <w:shd w:val="clear" w:color="auto" w:fill="FFFFFF"/>
        <w:spacing w:before="240"/>
        <w:ind w:left="2160"/>
      </w:pPr>
      <w:r w:rsidRPr="00975E64" w:rsidDel="00004772">
        <w:lastRenderedPageBreak/>
        <w:t>(i)</w:t>
      </w:r>
      <w:r w:rsidRPr="00975E64" w:rsidDel="00004772">
        <w:tab/>
        <w:t xml:space="preserve">A 15-Minute Rating is available to allow for additional transmission capacity for use in congestion management, if an EEA Level 2 or 3 is declared, and post-contingency actions can be taken within 15 minutes to return the flow to within the Emergency Rating.  Such actions may include, but are not limited to, reducing the generation that increased output as a result of enforcing the 15-Minute Rating rather than the Emergency Rating; </w:t>
      </w:r>
    </w:p>
    <w:p w14:paraId="7BFEA3AD" w14:textId="77777777" w:rsidR="008C7E79" w:rsidRPr="00975E64" w:rsidDel="00004772" w:rsidRDefault="008C7E79" w:rsidP="008C7E79">
      <w:pPr>
        <w:pStyle w:val="BodyTextNumbered"/>
        <w:shd w:val="clear" w:color="auto" w:fill="FFFFFF"/>
        <w:ind w:left="2160"/>
      </w:pPr>
      <w:r w:rsidRPr="00975E64" w:rsidDel="00004772">
        <w:t>(ii)</w:t>
      </w:r>
      <w:r w:rsidRPr="00975E64" w:rsidDel="00004772">
        <w:tab/>
        <w:t xml:space="preserve">Post-contingency loading of the Transmission Facilities is expected to be at or below Normal Rating within two hours; or </w:t>
      </w:r>
    </w:p>
    <w:p w14:paraId="72DA2971" w14:textId="77777777" w:rsidR="008C7E79" w:rsidRPr="00975E64" w:rsidDel="00004772" w:rsidRDefault="008C7E79" w:rsidP="008C7E79">
      <w:pPr>
        <w:pStyle w:val="BodyTextNumbered"/>
        <w:shd w:val="clear" w:color="auto" w:fill="FFFFFF"/>
        <w:ind w:left="2160"/>
      </w:pPr>
      <w:r w:rsidRPr="00975E64" w:rsidDel="00004772">
        <w:t>(iii)</w:t>
      </w:r>
      <w:r w:rsidRPr="00975E64" w:rsidDel="00004772">
        <w:tab/>
        <w:t xml:space="preserve">Additional transmission capacity could allow for additional output from a limited Generation Resource by taking one of the following actions: </w:t>
      </w:r>
    </w:p>
    <w:p w14:paraId="3674CF29" w14:textId="77777777" w:rsidR="008C7E79" w:rsidRPr="00975E64" w:rsidDel="00004772" w:rsidRDefault="008C7E79" w:rsidP="008C7E79">
      <w:pPr>
        <w:pStyle w:val="BodyTextNumbered"/>
        <w:shd w:val="clear" w:color="auto" w:fill="FFFFFF"/>
        <w:ind w:left="2880"/>
      </w:pPr>
      <w:r w:rsidRPr="00975E64" w:rsidDel="00004772">
        <w:t>(A)</w:t>
      </w:r>
      <w:r w:rsidRPr="00975E64" w:rsidDel="00004772">
        <w:tab/>
        <w:t xml:space="preserve">Restoring Transmission Elements that are out of service; </w:t>
      </w:r>
    </w:p>
    <w:p w14:paraId="3A3C1C28" w14:textId="5F93E87C" w:rsidR="008C7E79" w:rsidRPr="00975E64" w:rsidDel="00004772" w:rsidRDefault="008C7E79" w:rsidP="008C7E79">
      <w:pPr>
        <w:pStyle w:val="BodyTextNumbered"/>
        <w:shd w:val="clear" w:color="auto" w:fill="FFFFFF"/>
        <w:ind w:left="2880"/>
      </w:pPr>
      <w:r w:rsidRPr="00975E64" w:rsidDel="00004772">
        <w:t>(B)</w:t>
      </w:r>
      <w:r w:rsidRPr="00975E64" w:rsidDel="00004772">
        <w:tab/>
        <w:t>Reconfiguring the transmission system; or</w:t>
      </w:r>
    </w:p>
    <w:p w14:paraId="2F10F037" w14:textId="77777777" w:rsidR="008C7E79" w:rsidRPr="00975E64" w:rsidDel="00004772" w:rsidRDefault="008C7E79" w:rsidP="008C7E79">
      <w:pPr>
        <w:pStyle w:val="BodyTextNumbered"/>
        <w:shd w:val="clear" w:color="auto" w:fill="FFFFFF"/>
        <w:ind w:left="2880"/>
      </w:pPr>
      <w:r w:rsidRPr="00975E64" w:rsidDel="00004772">
        <w:t>(C)</w:t>
      </w:r>
      <w:r w:rsidRPr="00975E64" w:rsidDel="00004772">
        <w:tab/>
        <w:t>Making adjustments to phase angle regulator tap positions.</w:t>
      </w:r>
    </w:p>
    <w:p w14:paraId="37DC44F9" w14:textId="69B06A01" w:rsidR="008C7E79" w:rsidRPr="00975E64" w:rsidDel="00004772" w:rsidRDefault="008C7E79" w:rsidP="008C7E79">
      <w:pPr>
        <w:pStyle w:val="BodyTextNumbered"/>
        <w:shd w:val="clear" w:color="auto" w:fill="FFFFFF"/>
        <w:ind w:left="1440" w:firstLine="0"/>
      </w:pPr>
      <w:r w:rsidRPr="00975E64" w:rsidDel="00004772">
        <w:t xml:space="preserve">If ERCOT determines that one of the above-mentioned actions allows for additional output from a limited Generation Resource, ERCOT may instruct the TSPs to take the action(s) during the </w:t>
      </w:r>
      <w:r w:rsidR="0050458F">
        <w:t>Watch</w:t>
      </w:r>
      <w:r w:rsidRPr="00975E64" w:rsidDel="00004772">
        <w:t xml:space="preserve"> to allow for additional output from the limited Generation Resource.</w:t>
      </w:r>
    </w:p>
    <w:p w14:paraId="184ED9E1" w14:textId="31542F19" w:rsidR="008C7E79" w:rsidRPr="00975E64" w:rsidDel="00004772" w:rsidRDefault="008C7E79" w:rsidP="008C7E79">
      <w:pPr>
        <w:pStyle w:val="BodyTextNumbered"/>
        <w:ind w:left="1440"/>
      </w:pPr>
      <w:r w:rsidRPr="00975E64" w:rsidDel="00004772">
        <w:t>(b)</w:t>
      </w:r>
      <w:r w:rsidRPr="00975E64" w:rsidDel="00004772">
        <w:tab/>
        <w:t xml:space="preserve">ERCOT shall also coordinate with TSPs who own and operate the Transmission Facilities associated with the double-circuit contingencies for the constraints identified above to determine whether the double-circuit failures are at a high risk of occurring due to system conditions, which may include: </w:t>
      </w:r>
      <w:r w:rsidR="00186863">
        <w:t xml:space="preserve"> </w:t>
      </w:r>
      <w:r w:rsidRPr="00975E64" w:rsidDel="00004772">
        <w:t xml:space="preserve">severe weather conditions forecasted by ERCOT in the vicinity of the double circuit, weather conditions that indicate a high risk of insulator flashover on the double circuit, repeated Forced Outages of the individual circuits that are part of the double circuit in the preceding 48 hours, or fire in progress in the right of way of the double circuit. </w:t>
      </w:r>
    </w:p>
    <w:p w14:paraId="240942EA" w14:textId="77777777" w:rsidR="008C7E79" w:rsidRPr="00975E64" w:rsidDel="00004772" w:rsidRDefault="008C7E79" w:rsidP="008C7E79">
      <w:pPr>
        <w:pStyle w:val="BodyTextNumbered"/>
        <w:spacing w:before="240"/>
        <w:ind w:left="1440"/>
      </w:pPr>
      <w:r w:rsidRPr="00975E64" w:rsidDel="00004772">
        <w:lastRenderedPageBreak/>
        <w:t>(c)</w:t>
      </w:r>
      <w:r w:rsidRPr="00975E64" w:rsidDel="00004772">
        <w:tab/>
        <w:t>The actions detailed in this Section shall be supplemental to the development and maintenance of CMPs as otherwise directed by the Protocols or Operating Guides.</w:t>
      </w:r>
    </w:p>
    <w:p w14:paraId="1258CB00" w14:textId="395F360A" w:rsidR="008C7E79" w:rsidRDefault="008C7E79" w:rsidP="008C7E79">
      <w:pPr>
        <w:spacing w:before="240" w:after="240"/>
        <w:ind w:left="720" w:hanging="720"/>
      </w:pPr>
      <w:r w:rsidRPr="00975E64">
        <w:t>(4)</w:t>
      </w:r>
      <w:r w:rsidRPr="00975E64">
        <w:tab/>
        <w:t>When a Watch is issued for PRC below 3,000 MW, QSEs shall suspend any ongoing ERCOT-required Resource performance testing.</w:t>
      </w:r>
    </w:p>
    <w:p w14:paraId="193F0CBB" w14:textId="77777777" w:rsidR="001F04FD" w:rsidRDefault="001F04FD" w:rsidP="001F04FD">
      <w:pPr>
        <w:pStyle w:val="H5"/>
        <w:spacing w:before="480"/>
        <w:ind w:left="1627" w:hanging="1627"/>
      </w:pPr>
      <w:bookmarkStart w:id="1539" w:name="_Toc189044386"/>
      <w:r>
        <w:t>6.5.9.4.2</w:t>
      </w:r>
      <w:r>
        <w:tab/>
        <w:t>EEA Levels</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22D8297E" w14:textId="551D1D6E" w:rsidR="001F04FD" w:rsidRDefault="001F04FD" w:rsidP="001F04FD">
      <w:pPr>
        <w:pStyle w:val="BodyTextNumbered"/>
      </w:pPr>
      <w:r>
        <w:t>(1)</w:t>
      </w:r>
      <w:r>
        <w:tab/>
        <w:t>ERCOT will declare an EEA Level 1 when PRC falls below 2,</w:t>
      </w:r>
      <w:r w:rsidR="008C7E79">
        <w:t>5</w:t>
      </w:r>
      <w:r>
        <w:t>00 MW and is not projected to be recovered above 2,</w:t>
      </w:r>
      <w:r w:rsidR="008C7E79">
        <w:t>5</w:t>
      </w:r>
      <w:r>
        <w:t xml:space="preserve">00 MW within 30 minutes without the use of the following actions that are prescribed for EEA Level 1: </w:t>
      </w:r>
    </w:p>
    <w:p w14:paraId="59BC8C28" w14:textId="44FEC5E5" w:rsidR="001F04FD" w:rsidRDefault="001F04FD" w:rsidP="001F04FD">
      <w:pPr>
        <w:pStyle w:val="List"/>
      </w:pPr>
      <w:r>
        <w:t>(a)</w:t>
      </w:r>
      <w:r>
        <w:tab/>
        <w:t>ERCOT shall</w:t>
      </w:r>
      <w:r w:rsidRPr="007F5A4E">
        <w:t xml:space="preserve"> </w:t>
      </w:r>
      <w:r>
        <w:t xml:space="preserve">take the following steps to maintain steady state system frequency near 60 Hz and maintain PRC above </w:t>
      </w:r>
      <w:r w:rsidR="008C7E79">
        <w:t>2</w:t>
      </w:r>
      <w:r>
        <w:t>,</w:t>
      </w:r>
      <w:r w:rsidR="008C7E79">
        <w:t>00</w:t>
      </w:r>
      <w:r>
        <w:t>0 MW:</w:t>
      </w:r>
    </w:p>
    <w:p w14:paraId="3159BC04" w14:textId="77777777" w:rsidR="001F04FD" w:rsidRDefault="001F04FD" w:rsidP="001F04FD">
      <w:pPr>
        <w:pStyle w:val="List2"/>
      </w:pPr>
      <w:r>
        <w:t>(i)</w:t>
      </w:r>
      <w:r>
        <w:tab/>
        <w:t xml:space="preserve">Request available Generation Resources that can perform within the expected timeframe of the emergency to come On-Line by initiating manual HRUC or through Dispatch Instructions;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07DEC46F"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73D4EAF" w14:textId="72CCF11D" w:rsidR="006963EB" w:rsidRDefault="006963EB" w:rsidP="004E6E12">
            <w:pPr>
              <w:pStyle w:val="Instructions"/>
              <w:spacing w:before="120"/>
            </w:pPr>
            <w:r>
              <w:t>[NPRR1246:  Replace paragraph (i) above with the following upon system implementation of the Real-Time Co-Optimization (RTC) project:]</w:t>
            </w:r>
          </w:p>
          <w:p w14:paraId="760062E4" w14:textId="07D98301" w:rsidR="006963EB" w:rsidRPr="006963EB" w:rsidRDefault="006963EB" w:rsidP="006963EB">
            <w:pPr>
              <w:spacing w:after="240"/>
              <w:ind w:left="2160" w:hanging="720"/>
            </w:pPr>
            <w:r w:rsidRPr="007F5C96">
              <w:t>(i)</w:t>
            </w:r>
            <w:r w:rsidRPr="007F5C96">
              <w:tab/>
              <w:t>Request available Generation Resources that can perform within the expected timeframe of the emergency to come On-Line by initiating manual HRUC or through Dispatch Instructions</w:t>
            </w:r>
            <w:r>
              <w:t>, and request available ESRs that can perform within the expected timeframe of the emergency to come On-Line through Dispatch Instructions</w:t>
            </w:r>
            <w:r w:rsidRPr="007F5C96">
              <w:t>;</w:t>
            </w:r>
          </w:p>
        </w:tc>
      </w:tr>
    </w:tbl>
    <w:p w14:paraId="5A8EA4FE" w14:textId="4923F7CB" w:rsidR="001F04FD" w:rsidRDefault="001F04FD" w:rsidP="00DD0A69">
      <w:pPr>
        <w:pStyle w:val="List2"/>
        <w:spacing w:before="240"/>
      </w:pPr>
      <w:r>
        <w:t>(ii)</w:t>
      </w:r>
      <w:r>
        <w:tab/>
        <w:t xml:space="preserve">Use available DC Tie import capacity that is not already being used; </w:t>
      </w:r>
    </w:p>
    <w:p w14:paraId="2D5C7F50" w14:textId="77777777" w:rsidR="001F04FD" w:rsidRDefault="001F04FD" w:rsidP="001F04FD">
      <w:pPr>
        <w:pStyle w:val="List2"/>
      </w:pPr>
      <w:r>
        <w:t>(iii)</w:t>
      </w:r>
      <w:r>
        <w:tab/>
        <w:t>Issue a Dispatch Instruction for Resources to remain On-Line which, before start of emergency, were scheduled to come Off-Line; and</w:t>
      </w:r>
    </w:p>
    <w:p w14:paraId="7032B171" w14:textId="2DF37B7D" w:rsidR="001F04FD" w:rsidRPr="00A0746D" w:rsidRDefault="001F04FD" w:rsidP="000D6728">
      <w:pPr>
        <w:pStyle w:val="List2"/>
      </w:pPr>
      <w:r w:rsidRPr="00500837">
        <w:t>(</w:t>
      </w:r>
      <w:r>
        <w:t>i</w:t>
      </w:r>
      <w:r w:rsidRPr="00500837">
        <w:t>v)</w:t>
      </w:r>
      <w:r w:rsidRPr="00500837">
        <w:tab/>
      </w:r>
      <w:r w:rsidR="00A3515A" w:rsidRPr="00975D86">
        <w:t>Instruct QSEs to</w:t>
      </w:r>
      <w:r w:rsidR="00A3515A" w:rsidRPr="00500837">
        <w:t xml:space="preserve"> </w:t>
      </w:r>
      <w:r w:rsidRPr="00500837">
        <w:t xml:space="preserve">deploy </w:t>
      </w:r>
      <w:r w:rsidR="00A3515A">
        <w:t>undeployed</w:t>
      </w:r>
      <w:r w:rsidRPr="00500837">
        <w:t xml:space="preserve"> </w:t>
      </w:r>
      <w:r w:rsidR="00A3515A" w:rsidRPr="00975D86">
        <w:t>ERS-10</w:t>
      </w:r>
      <w:r w:rsidR="00A3515A">
        <w:t xml:space="preserve"> and</w:t>
      </w:r>
      <w:r w:rsidR="00A3515A" w:rsidRPr="00500837">
        <w:t xml:space="preserve"> </w:t>
      </w:r>
      <w:r w:rsidRPr="00500837">
        <w:t>ERS-30.</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2098D99F" w14:textId="77777777" w:rsidTr="00EC5231">
        <w:trPr>
          <w:trHeight w:val="206"/>
        </w:trPr>
        <w:tc>
          <w:tcPr>
            <w:tcW w:w="9350" w:type="dxa"/>
            <w:shd w:val="pct12" w:color="auto" w:fill="auto"/>
          </w:tcPr>
          <w:p w14:paraId="2FB5B9A2" w14:textId="17941B1B" w:rsidR="002D5C44" w:rsidRDefault="002D5C44" w:rsidP="00EC5231">
            <w:pPr>
              <w:pStyle w:val="Instructions"/>
              <w:spacing w:before="120"/>
            </w:pPr>
            <w:r>
              <w:t>[NPRR1010:  Insert paragraph (v) below upon system implementation of the Real-Time Co-Optimization (RTC) project:]</w:t>
            </w:r>
          </w:p>
          <w:p w14:paraId="699F5550" w14:textId="2D69B030" w:rsidR="002D5C44" w:rsidRPr="00B37C4B" w:rsidRDefault="002D5C44" w:rsidP="002D5C44">
            <w:pPr>
              <w:spacing w:after="240"/>
              <w:ind w:left="2160" w:hanging="720"/>
            </w:pPr>
            <w:r>
              <w:t>(v)</w:t>
            </w:r>
            <w:r>
              <w:tab/>
              <w:t xml:space="preserve">At ERCOT’s discretion, manually deploy, </w:t>
            </w:r>
            <w:r>
              <w:rPr>
                <w:iCs/>
              </w:rPr>
              <w:t xml:space="preserve">through ICCP, </w:t>
            </w:r>
            <w:r>
              <w:t xml:space="preserve">available RRS and ECRS </w:t>
            </w:r>
            <w:r>
              <w:rPr>
                <w:iCs/>
              </w:rPr>
              <w:t xml:space="preserve">capacity from </w:t>
            </w:r>
            <w:r>
              <w:t>Generation Resources having a Resource Status of ONSC and awarded RRS or ECRS.</w:t>
            </w:r>
          </w:p>
        </w:tc>
      </w:tr>
    </w:tbl>
    <w:p w14:paraId="63CE39A1" w14:textId="3DA19F0B" w:rsidR="001F04FD" w:rsidRDefault="001F04FD" w:rsidP="00FB599C">
      <w:pPr>
        <w:pStyle w:val="List"/>
        <w:spacing w:before="240"/>
      </w:pPr>
      <w:r>
        <w:t>(b)</w:t>
      </w:r>
      <w:r>
        <w:tab/>
        <w:t>QSEs shall:</w:t>
      </w:r>
    </w:p>
    <w:p w14:paraId="7985BFCF" w14:textId="6280047C" w:rsidR="001F04FD" w:rsidRDefault="001F04FD" w:rsidP="001F04FD">
      <w:pPr>
        <w:pStyle w:val="List"/>
        <w:ind w:left="2160"/>
      </w:pPr>
      <w:r>
        <w:lastRenderedPageBreak/>
        <w:t>(i)</w:t>
      </w:r>
      <w:r>
        <w:tab/>
        <w:t>Ensure COPs</w:t>
      </w:r>
      <w:r w:rsidR="008C7E79">
        <w:t>,</w:t>
      </w:r>
      <w:r>
        <w:t xml:space="preserve"> telemetered </w:t>
      </w:r>
      <w:r w:rsidR="008C7E79">
        <w:t xml:space="preserve">status, and telemetered </w:t>
      </w:r>
      <w:r>
        <w:t>HSLs are updated and reflect all Resource delays and limitations;</w:t>
      </w:r>
      <w:r w:rsidR="008C7E79">
        <w:t xml:space="preserve">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1C3C5BC" w14:textId="77777777" w:rsidTr="00EC5231">
        <w:trPr>
          <w:trHeight w:val="206"/>
        </w:trPr>
        <w:tc>
          <w:tcPr>
            <w:tcW w:w="9350" w:type="dxa"/>
            <w:shd w:val="pct12" w:color="auto" w:fill="auto"/>
          </w:tcPr>
          <w:p w14:paraId="72628364" w14:textId="00DE756A" w:rsidR="002D5C44" w:rsidRDefault="002D5C44" w:rsidP="00EC5231">
            <w:pPr>
              <w:pStyle w:val="Instructions"/>
              <w:spacing w:before="120"/>
            </w:pPr>
            <w:r>
              <w:t>[NPRR1010:  Replace paragraph (i) above with the following upon system implementation of the Real-Time Co-Optimization (RTC) project:]</w:t>
            </w:r>
          </w:p>
          <w:p w14:paraId="48578CDD" w14:textId="2324BD16" w:rsidR="002D5C44" w:rsidRPr="00B37C4B" w:rsidRDefault="002D5C44" w:rsidP="002D5C44">
            <w:pPr>
              <w:spacing w:after="240"/>
              <w:ind w:left="2160" w:hanging="720"/>
            </w:pPr>
            <w:r w:rsidRPr="003161DC">
              <w:t>(i)</w:t>
            </w:r>
            <w:r w:rsidRPr="003161DC">
              <w:tab/>
              <w:t>Ensure COPs</w:t>
            </w:r>
            <w:r w:rsidR="008C7E79">
              <w:t>,</w:t>
            </w:r>
            <w:r w:rsidRPr="003161DC">
              <w:t xml:space="preserve"> telemetered </w:t>
            </w:r>
            <w:r w:rsidR="008C7E79">
              <w:t xml:space="preserve">status, </w:t>
            </w:r>
            <w:r w:rsidR="008C7E79" w:rsidRPr="003161DC">
              <w:t xml:space="preserve">telemetered </w:t>
            </w:r>
            <w:r w:rsidRPr="003161DC">
              <w:t>HSLs</w:t>
            </w:r>
            <w:r>
              <w:t>, Normal Ramp Rates, Emergency Ramp Rates, and Ancillary Service capabilities</w:t>
            </w:r>
            <w:r w:rsidRPr="003161DC">
              <w:t xml:space="preserve"> are updated and reflect all Resource delays and limitations;</w:t>
            </w:r>
            <w:r w:rsidR="008C7E79">
              <w:t xml:space="preserve"> and</w:t>
            </w:r>
          </w:p>
        </w:tc>
      </w:tr>
    </w:tbl>
    <w:p w14:paraId="79F9FED1" w14:textId="02D5A821" w:rsidR="00C52BB8" w:rsidRDefault="00C52BB8" w:rsidP="00A27C4B">
      <w:pPr>
        <w:pStyle w:val="List"/>
        <w:spacing w:before="240"/>
        <w:ind w:left="2160"/>
      </w:pPr>
      <w:r>
        <w:t>(ii)</w:t>
      </w:r>
      <w:r>
        <w:tab/>
        <w:t>Ensure that each of its ESRs suspends charging until the EEA is recalled, except under the following circumstances:</w:t>
      </w:r>
    </w:p>
    <w:p w14:paraId="06B18A6C" w14:textId="1E5C3C21" w:rsidR="00C52BB8" w:rsidRDefault="00C52BB8" w:rsidP="00C52BB8">
      <w:pPr>
        <w:pStyle w:val="List"/>
        <w:ind w:left="2880"/>
      </w:pPr>
      <w:r>
        <w:t>(A)</w:t>
      </w:r>
      <w:r>
        <w:tab/>
        <w:t xml:space="preserve">The ESR has a current SCED Base Point Instruction, </w:t>
      </w:r>
      <w:r w:rsidR="00283DFC">
        <w:t xml:space="preserve">LFC </w:t>
      </w:r>
      <w:r>
        <w:t xml:space="preserve">Dispatch Instruction, or manual Dispatch Instruction to charge the ESR; </w:t>
      </w:r>
    </w:p>
    <w:p w14:paraId="6417F353" w14:textId="77777777" w:rsidR="00C52BB8" w:rsidRDefault="00C52BB8" w:rsidP="00C52BB8">
      <w:pPr>
        <w:pStyle w:val="List"/>
        <w:ind w:left="2880"/>
      </w:pPr>
      <w:r>
        <w:t>(B)</w:t>
      </w:r>
      <w:r>
        <w:tab/>
        <w:t xml:space="preserve">The ESR is actively providing Primary Frequency Response; or </w:t>
      </w:r>
    </w:p>
    <w:p w14:paraId="1B1C5EBD" w14:textId="41AB74AE" w:rsidR="001F04FD" w:rsidRDefault="00C52BB8" w:rsidP="00C52BB8">
      <w:pPr>
        <w:pStyle w:val="List"/>
        <w:ind w:left="2880"/>
      </w:pPr>
      <w:r>
        <w:t>(C)</w:t>
      </w:r>
      <w:r>
        <w:tab/>
        <w:t>The ESR is co-located behind a POI with onsite generation that is incapable of exporting additional power to the ERCOT System, in which case the ESR may continue to charge as long as maximum output to the ERCOT System is maintained</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3128767" w14:textId="77777777" w:rsidTr="005C5A9B">
        <w:trPr>
          <w:trHeight w:val="206"/>
        </w:trPr>
        <w:tc>
          <w:tcPr>
            <w:tcW w:w="9576" w:type="dxa"/>
            <w:shd w:val="pct12" w:color="auto" w:fill="auto"/>
          </w:tcPr>
          <w:p w14:paraId="5E3D7AC0" w14:textId="3CA964E8" w:rsidR="007A07FE" w:rsidRDefault="007A07FE" w:rsidP="005C5A9B">
            <w:pPr>
              <w:pStyle w:val="Instructions"/>
              <w:spacing w:before="120"/>
            </w:pPr>
            <w:r>
              <w:t>[</w:t>
            </w:r>
            <w:r w:rsidR="002F1AE6">
              <w:t>NPRR995</w:t>
            </w:r>
            <w:r>
              <w:t xml:space="preserve">:  </w:t>
            </w:r>
            <w:r w:rsidR="00C52BB8">
              <w:t>Replace</w:t>
            </w:r>
            <w:r w:rsidR="002F1AE6">
              <w:t xml:space="preserve"> </w:t>
            </w:r>
            <w:r>
              <w:t xml:space="preserve">paragraph (ii) </w:t>
            </w:r>
            <w:r w:rsidR="00C52BB8">
              <w:t>above with the following</w:t>
            </w:r>
            <w:r>
              <w:t xml:space="preserve"> upon system implementation:]</w:t>
            </w:r>
          </w:p>
          <w:p w14:paraId="2F5994B8" w14:textId="5BD57A3E" w:rsidR="007A07FE" w:rsidRDefault="007A07FE" w:rsidP="007A07FE">
            <w:pPr>
              <w:pStyle w:val="List"/>
              <w:ind w:left="2160"/>
            </w:pPr>
            <w:r>
              <w:t>(ii)</w:t>
            </w:r>
            <w:r>
              <w:tab/>
              <w:t>Ensure that each of its ESRs</w:t>
            </w:r>
            <w:r w:rsidR="002F1AE6">
              <w:t xml:space="preserve"> and SOESSs</w:t>
            </w:r>
            <w:r>
              <w:t xml:space="preserve"> suspends charging until the EEA is recalled, except under the following circumstances:</w:t>
            </w:r>
          </w:p>
          <w:p w14:paraId="1AAB1436" w14:textId="099DB1B0" w:rsidR="007A07FE" w:rsidRDefault="007A07FE" w:rsidP="007A07FE">
            <w:pPr>
              <w:pStyle w:val="List"/>
              <w:ind w:left="2880"/>
            </w:pPr>
            <w:r>
              <w:t>(A)</w:t>
            </w:r>
            <w:r>
              <w:tab/>
              <w:t xml:space="preserve">The ESR has a current SCED Base Point Instruction, </w:t>
            </w:r>
            <w:r w:rsidR="00283DFC">
              <w:t>LFC</w:t>
            </w:r>
            <w:r>
              <w:t xml:space="preserve"> Dispatch Instruction, or manual Dispatch Instruction to charge the ESR; </w:t>
            </w:r>
          </w:p>
          <w:p w14:paraId="30332C64" w14:textId="753DE1B6" w:rsidR="007A07FE" w:rsidRDefault="007A07FE" w:rsidP="007A07FE">
            <w:pPr>
              <w:pStyle w:val="List"/>
              <w:ind w:left="2880"/>
            </w:pPr>
            <w:r>
              <w:t>(B)</w:t>
            </w:r>
            <w:r>
              <w:tab/>
              <w:t xml:space="preserve">The ESR </w:t>
            </w:r>
            <w:r w:rsidR="002F1AE6">
              <w:t xml:space="preserve">or SOESS </w:t>
            </w:r>
            <w:r>
              <w:t xml:space="preserve">is actively providing Primary Frequency Response; or </w:t>
            </w:r>
          </w:p>
          <w:p w14:paraId="779B121B" w14:textId="7CDF7C1F" w:rsidR="007A07FE" w:rsidRPr="008F39F7" w:rsidRDefault="007A07FE" w:rsidP="00B84F08">
            <w:pPr>
              <w:pStyle w:val="List"/>
              <w:ind w:left="2880"/>
            </w:pPr>
            <w:r>
              <w:t>(C)</w:t>
            </w:r>
            <w:r>
              <w:tab/>
              <w:t>The ESR</w:t>
            </w:r>
            <w:r w:rsidR="002F1AE6">
              <w:t xml:space="preserve"> or SOESS</w:t>
            </w:r>
            <w:r>
              <w:t xml:space="preserve">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2A6B39ED" w14:textId="7A540301" w:rsidR="001F04FD" w:rsidRDefault="001F04FD" w:rsidP="003A5AC3">
      <w:pPr>
        <w:pStyle w:val="BodyTextNumbered"/>
        <w:spacing w:before="240"/>
      </w:pPr>
      <w:r>
        <w:t>(2)</w:t>
      </w:r>
      <w:r>
        <w:tab/>
        <w:t xml:space="preserve">ERCOT </w:t>
      </w:r>
      <w:r w:rsidR="00D67C9C">
        <w:t>may</w:t>
      </w:r>
      <w:r>
        <w:t xml:space="preserve"> declare an EEA Level 2 when </w:t>
      </w:r>
      <w:r w:rsidR="00D67C9C" w:rsidRPr="00D46D2F">
        <w:t xml:space="preserve">the </w:t>
      </w:r>
      <w:r w:rsidR="00D67C9C" w:rsidRPr="00D46D2F">
        <w:rPr>
          <w:iCs/>
        </w:rPr>
        <w:t>clock-min</w:t>
      </w:r>
      <w:r w:rsidR="00D67C9C">
        <w:rPr>
          <w:iCs/>
        </w:rPr>
        <w:t>ute average</w:t>
      </w:r>
      <w:r>
        <w:t xml:space="preserve"> system frequency </w:t>
      </w:r>
      <w:r w:rsidR="00D67C9C">
        <w:t>falls below</w:t>
      </w:r>
      <w:r>
        <w:t xml:space="preserve"> 59.91 Hz </w:t>
      </w:r>
      <w:r w:rsidR="00D67C9C">
        <w:t>for 15 consecutive minutes.  ERCOT will declare an EEA Level 2</w:t>
      </w:r>
      <w:r>
        <w:t xml:space="preserve"> when PRC falls below </w:t>
      </w:r>
      <w:r w:rsidR="008C7E79">
        <w:t>2</w:t>
      </w:r>
      <w:r>
        <w:t>,</w:t>
      </w:r>
      <w:r w:rsidR="008C7E79">
        <w:t>00</w:t>
      </w:r>
      <w:r>
        <w:t xml:space="preserve">0 MW and is not projected to be recovered above </w:t>
      </w:r>
      <w:r w:rsidR="008C7E79">
        <w:t>2</w:t>
      </w:r>
      <w:r>
        <w:t>,</w:t>
      </w:r>
      <w:r w:rsidR="008C7E79">
        <w:t>00</w:t>
      </w:r>
      <w:r>
        <w:t xml:space="preserve">0 MW </w:t>
      </w:r>
      <w:r>
        <w:lastRenderedPageBreak/>
        <w:t xml:space="preserve">within 30 minutes without the use of the following actions that are prescribed for EEA Level 2: </w:t>
      </w:r>
    </w:p>
    <w:p w14:paraId="6E99F497" w14:textId="009DD984" w:rsidR="001F04FD" w:rsidRDefault="001F04FD" w:rsidP="001F04FD">
      <w:pPr>
        <w:pStyle w:val="List"/>
      </w:pPr>
      <w:r>
        <w:t>(a)</w:t>
      </w:r>
      <w:r>
        <w:tab/>
        <w:t>In addition to the measures associated with EEA Level 1, ERCOT shall take the following steps</w:t>
      </w:r>
      <w:r w:rsidRPr="007F5A4E">
        <w:t xml:space="preserve"> </w:t>
      </w:r>
      <w:r>
        <w:t xml:space="preserve">to maintain steady state system frequency at a minimum of 59.91 Hz and maintain PRC above </w:t>
      </w:r>
      <w:r w:rsidR="00947C1C">
        <w:t>1,</w:t>
      </w:r>
      <w:r w:rsidR="008C7E79">
        <w:t>50</w:t>
      </w:r>
      <w:r w:rsidR="00947C1C">
        <w:t>0</w:t>
      </w:r>
      <w:r>
        <w:t xml:space="preserve"> MW:</w:t>
      </w:r>
    </w:p>
    <w:p w14:paraId="2349273D" w14:textId="3F88A9DB" w:rsidR="001F04FD" w:rsidRDefault="001F04FD" w:rsidP="001F04FD">
      <w:pPr>
        <w:pStyle w:val="List2"/>
      </w:pPr>
      <w:r>
        <w:t>(i)</w:t>
      </w:r>
      <w:r>
        <w:tab/>
        <w:t xml:space="preserve">Instruct TSPs and DSPs or their agents to reduce Customer Load by using </w:t>
      </w:r>
      <w:r w:rsidR="0064112F">
        <w:t xml:space="preserve">existing, in-service </w:t>
      </w:r>
      <w:r>
        <w:t>distribution voltage reduction measures</w:t>
      </w:r>
      <w:r w:rsidR="0064112F" w:rsidRPr="0064112F">
        <w:t xml:space="preserve"> </w:t>
      </w:r>
      <w:r w:rsidR="0064112F">
        <w:t>that have not already been implemented.  A</w:t>
      </w:r>
      <w:r>
        <w:t xml:space="preserve"> TSP, DSP, or their agent</w:t>
      </w:r>
      <w:r w:rsidR="0064112F">
        <w:t xml:space="preserve">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w:t>
      </w:r>
      <w:r>
        <w:t>.</w:t>
      </w:r>
    </w:p>
    <w:p w14:paraId="487315AB" w14:textId="77777777" w:rsidR="001F04FD" w:rsidRDefault="001F04FD" w:rsidP="001F04FD">
      <w:pPr>
        <w:pStyle w:val="List2"/>
      </w:pPr>
      <w:r w:rsidRPr="005456FD">
        <w:t>(ii)</w:t>
      </w:r>
      <w:r>
        <w:tab/>
        <w:t>Instruct TSPs and DSPs to implement any available Load management plans to reduce Customer Load.</w:t>
      </w:r>
    </w:p>
    <w:p w14:paraId="0213180B" w14:textId="1FC32B93" w:rsidR="001F04FD" w:rsidRDefault="001F04FD" w:rsidP="001F04FD">
      <w:pPr>
        <w:pStyle w:val="List2"/>
      </w:pPr>
      <w:bookmarkStart w:id="1540" w:name="_Hlk135903532"/>
      <w:r w:rsidRPr="005456FD">
        <w:t>(ii</w:t>
      </w:r>
      <w:r>
        <w:t>i</w:t>
      </w:r>
      <w:r w:rsidRPr="005456FD">
        <w:t>)</w:t>
      </w:r>
      <w:r w:rsidRPr="005456FD">
        <w:tab/>
        <w:t xml:space="preserve">Instruct QSEs to deploy </w:t>
      </w:r>
      <w:r w:rsidR="008611B7">
        <w:t xml:space="preserve">ECRS or </w:t>
      </w:r>
      <w:r w:rsidRPr="005456FD">
        <w:t xml:space="preserve">RRS </w:t>
      </w:r>
      <w:r w:rsidR="008611B7" w:rsidRPr="0003648D">
        <w:t>(controlled by high-set under-frequency relays)</w:t>
      </w:r>
      <w:r w:rsidR="008611B7">
        <w:t xml:space="preserve"> </w:t>
      </w:r>
      <w:r w:rsidRPr="005456FD">
        <w:t xml:space="preserve">supplied from Load Resources.  </w:t>
      </w:r>
      <w:r w:rsidR="007D1FB3">
        <w:t xml:space="preserve">ERCOT may deploy ECRS or RRS simultaneously or separately, and in any order.  </w:t>
      </w:r>
      <w:r w:rsidRPr="005456FD">
        <w:t>ERCOT shall issue such Dispatch Instructions in accordance with the deployment methodologies described in paragraph (i</w:t>
      </w:r>
      <w:r>
        <w:t>v</w:t>
      </w:r>
      <w:r w:rsidRPr="005456FD">
        <w:t>) below</w:t>
      </w:r>
      <w:r>
        <w:t xml:space="preserve">. </w:t>
      </w:r>
    </w:p>
    <w:p w14:paraId="6B0D9147" w14:textId="175A4E46" w:rsidR="001F04FD" w:rsidRDefault="001F04FD" w:rsidP="00F969DB">
      <w:pPr>
        <w:spacing w:after="240"/>
        <w:ind w:left="2160" w:hanging="720"/>
      </w:pPr>
      <w:bookmarkStart w:id="1541" w:name="_Hlk135903540"/>
      <w:bookmarkEnd w:id="1540"/>
      <w:r w:rsidRPr="00FA1244">
        <w:t>(</w:t>
      </w:r>
      <w:r w:rsidR="002B72E7">
        <w:t>i</w:t>
      </w:r>
      <w:r w:rsidRPr="00FA1244">
        <w:t>v)</w:t>
      </w:r>
      <w:r w:rsidRPr="00FA1244">
        <w:tab/>
      </w:r>
      <w:r w:rsidR="008611B7">
        <w:t xml:space="preserve">Load Resources providing ECRS that are not controlled by high-set under-frequency relays shall be deployed prior to Group 1 deployment.  </w:t>
      </w:r>
      <w:r w:rsidRPr="00FA1244">
        <w:t xml:space="preserve">ERCOT shall deploy </w:t>
      </w:r>
      <w:r w:rsidR="008611B7">
        <w:t xml:space="preserve">ECRS and </w:t>
      </w:r>
      <w:r w:rsidRPr="00FA1244">
        <w:t>RRS capacity supplied by Load Resources (controlled by high-set under-frequency relays) in accordance with the following:</w:t>
      </w:r>
    </w:p>
    <w:p w14:paraId="30CA97F7" w14:textId="3C070C68" w:rsidR="001F04FD" w:rsidRDefault="001F04FD" w:rsidP="00F969DB">
      <w:pPr>
        <w:pStyle w:val="List3"/>
        <w:rPr>
          <w:sz w:val="20"/>
        </w:rPr>
      </w:pPr>
      <w:bookmarkStart w:id="1542" w:name="_Hlk135903548"/>
      <w:bookmarkEnd w:id="1541"/>
      <w:r>
        <w:t>(A)</w:t>
      </w:r>
      <w:r>
        <w:tab/>
      </w:r>
      <w:r w:rsidR="008611B7">
        <w:t>Instruct QSEs to deploy RRS with a Group 1 designation and all of the ECRS that is supplied from Load Resources (controlled by high-set under-frequency relays) by instructing the QSE representing the specific Load Resources to interrupt Group 1 Load Resources providing ECRS and RRS</w:t>
      </w:r>
      <w:r>
        <w:t xml:space="preserve">.  </w:t>
      </w:r>
      <w:r>
        <w:rPr>
          <w:szCs w:val="24"/>
        </w:rPr>
        <w:t xml:space="preserve">QSEs shall deploy Load Resources according to the group designation and will be given some discretion to deploy additional Load Resources from </w:t>
      </w:r>
      <w:r w:rsidR="001A290D">
        <w:t>any of the groups not designated for deployment</w:t>
      </w:r>
      <w:r>
        <w:rPr>
          <w:szCs w:val="24"/>
        </w:rPr>
        <w:t xml:space="preserve"> if Load Resource operational considerations require such.  ERCOT shall issue notification of the deployment via XML message.  </w:t>
      </w:r>
      <w:r w:rsidR="0050458F">
        <w:rPr>
          <w:szCs w:val="24"/>
        </w:rPr>
        <w:t xml:space="preserve">The deployment time within the ERCOT XML deployment message </w:t>
      </w:r>
      <w:r>
        <w:rPr>
          <w:szCs w:val="24"/>
        </w:rPr>
        <w:t xml:space="preserve">shall initiate the ten-minute deployment period;  </w:t>
      </w:r>
    </w:p>
    <w:bookmarkEnd w:id="1542"/>
    <w:p w14:paraId="79CE9F13" w14:textId="06012B0D" w:rsidR="001F04FD" w:rsidRDefault="001F04FD" w:rsidP="00F969DB">
      <w:pPr>
        <w:pStyle w:val="List3"/>
      </w:pPr>
      <w:r>
        <w:t>(B)</w:t>
      </w:r>
      <w:r>
        <w:tab/>
      </w:r>
      <w:r w:rsidR="001A290D" w:rsidRPr="00C9332E">
        <w:t xml:space="preserve">At the discretion of the ERCOT Operator, instruct QSEs to deploy RRS that is supplied from Load Resources (controlled by high-set </w:t>
      </w:r>
      <w:r w:rsidR="001A290D" w:rsidRPr="00C9332E">
        <w:lastRenderedPageBreak/>
        <w:t xml:space="preserve">under-frequency relays) by instructing the QSE representing the specific Load Resource to interrupt </w:t>
      </w:r>
      <w:r w:rsidR="001A290D">
        <w:t>additional</w:t>
      </w:r>
      <w:r w:rsidR="001A290D" w:rsidRPr="00C9332E">
        <w:t xml:space="preserve"> Load Resources providing RRS</w:t>
      </w:r>
      <w:r w:rsidR="001A290D">
        <w:t xml:space="preserve"> based on their group designation</w:t>
      </w:r>
      <w:r w:rsidR="001A290D" w:rsidRPr="00C9332E">
        <w:t xml:space="preserve">. </w:t>
      </w:r>
      <w:r w:rsidR="001A290D">
        <w:t xml:space="preserve"> </w:t>
      </w:r>
      <w:r w:rsidR="001A290D" w:rsidRPr="00C9332E">
        <w:t xml:space="preserve">ERCOT shall issue notification of the deployment via XML message.  </w:t>
      </w:r>
      <w:r w:rsidR="0050458F">
        <w:t>The deployment time within the ERCOT XML deployment message</w:t>
      </w:r>
      <w:r w:rsidR="001A290D" w:rsidRPr="00C9332E">
        <w:t xml:space="preserve"> shall initiate the ten-minute deployment period;</w:t>
      </w:r>
      <w:r w:rsidR="001A290D" w:rsidDel="001A290D">
        <w:t xml:space="preserve"> </w:t>
      </w:r>
      <w:r>
        <w:t xml:space="preserve">   </w:t>
      </w:r>
    </w:p>
    <w:p w14:paraId="79F10456" w14:textId="46CDD147" w:rsidR="001F04FD" w:rsidRDefault="001F04FD" w:rsidP="00C02A98">
      <w:pPr>
        <w:pStyle w:val="List3"/>
      </w:pPr>
      <w:bookmarkStart w:id="1543" w:name="_Hlk135903555"/>
      <w:r>
        <w:t>(C)</w:t>
      </w:r>
      <w:r>
        <w:tab/>
        <w:t xml:space="preserve">The ERCOT Operator may deploy </w:t>
      </w:r>
      <w:r w:rsidR="008611B7" w:rsidRPr="006C4989">
        <w:t>Load Resources providing only ECRS (not controlled by high-set under-frequency relays) and</w:t>
      </w:r>
      <w:r w:rsidR="008611B7">
        <w:t xml:space="preserve"> </w:t>
      </w:r>
      <w:r w:rsidR="001A290D">
        <w:t>all</w:t>
      </w:r>
      <w:r>
        <w:t xml:space="preserve"> groups of Load Resources providing </w:t>
      </w:r>
      <w:r w:rsidR="00442A63">
        <w:t>RRS</w:t>
      </w:r>
      <w:r w:rsidR="008611B7">
        <w:t xml:space="preserve"> and ECRS</w:t>
      </w:r>
      <w:r>
        <w:t xml:space="preserve"> at the same time.  </w:t>
      </w:r>
      <w:r>
        <w:rPr>
          <w:szCs w:val="24"/>
        </w:rPr>
        <w:t xml:space="preserve">ERCOT shall issue notification of the deployment via XML message.  </w:t>
      </w:r>
      <w:r w:rsidR="0050458F">
        <w:rPr>
          <w:szCs w:val="24"/>
        </w:rPr>
        <w:t>The deployment time within the ERCOT XML deployment message</w:t>
      </w:r>
      <w:r>
        <w:rPr>
          <w:szCs w:val="24"/>
        </w:rPr>
        <w:t xml:space="preserve"> shall initiate the ten-minute deployment period</w:t>
      </w:r>
      <w:r>
        <w:t>; and</w:t>
      </w:r>
    </w:p>
    <w:bookmarkEnd w:id="1543"/>
    <w:p w14:paraId="54342714" w14:textId="6D2768C4" w:rsidR="001F04FD" w:rsidRDefault="001F04FD" w:rsidP="00F969DB">
      <w:pPr>
        <w:pStyle w:val="List3"/>
      </w:pPr>
      <w:r>
        <w:t>(D)</w:t>
      </w:r>
      <w:r>
        <w:tab/>
        <w:t xml:space="preserve">ERCOT shall post a list of Load Resources on the MIS Certified Area immediately following the DRUC for each QSE with a Load Resource obligation which may be deployed to interrupt under paragraph (A) and paragraph (B).  ERCOT shall develop a process for determining which individual Load Resource to place in </w:t>
      </w:r>
      <w:r w:rsidR="001A290D">
        <w:t>each g</w:t>
      </w:r>
      <w:r>
        <w:t xml:space="preserve">roup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2BD0A3B2" w14:textId="77777777" w:rsidTr="00B416A8">
        <w:trPr>
          <w:trHeight w:val="206"/>
        </w:trPr>
        <w:tc>
          <w:tcPr>
            <w:tcW w:w="5000" w:type="pct"/>
            <w:shd w:val="pct12" w:color="auto" w:fill="auto"/>
          </w:tcPr>
          <w:p w14:paraId="6FCC03BA" w14:textId="3F5E999A" w:rsidR="00CE5CFC" w:rsidRDefault="00CE5CFC" w:rsidP="00B416A8">
            <w:pPr>
              <w:pStyle w:val="Instructions"/>
              <w:spacing w:before="120"/>
            </w:pPr>
            <w:r>
              <w:t>[</w:t>
            </w:r>
            <w:r w:rsidR="002D5C44">
              <w:t>NPRR1010</w:t>
            </w:r>
            <w:r>
              <w:t xml:space="preserve">:  Replace paragraph (D) above with the following </w:t>
            </w:r>
            <w:r w:rsidR="002D5C44">
              <w:t>upon system implementation of the Real-Time Co-Optimization (RTC) project</w:t>
            </w:r>
            <w:r>
              <w:t>:]</w:t>
            </w:r>
          </w:p>
          <w:p w14:paraId="00B7F222" w14:textId="6D3A3AC4" w:rsidR="00CE5CFC" w:rsidRPr="00C3334D" w:rsidRDefault="00CE5CFC" w:rsidP="009F4394">
            <w:pPr>
              <w:spacing w:before="240" w:after="240"/>
              <w:ind w:left="2880" w:hanging="720"/>
            </w:pPr>
            <w:r w:rsidRPr="00C9332E">
              <w:t>(D)</w:t>
            </w:r>
            <w:r w:rsidRPr="00C9332E">
              <w:tab/>
              <w:t xml:space="preserve">ERCOT shall post a list of Load Resources on the MIS Certified Area immediately following the DRUC for each QSE with a Load Resource </w:t>
            </w:r>
            <w:r w:rsidR="002D5C44">
              <w:t>RRS or ECRS award,</w:t>
            </w:r>
            <w:r w:rsidRPr="00C9332E">
              <w:t xml:space="preserve"> which may be deployed to interrupt under paragraph (A</w:t>
            </w:r>
            <w:r>
              <w:t>)</w:t>
            </w:r>
            <w:r w:rsidRPr="00C9332E">
              <w:t xml:space="preserve"> and paragraph (B</w:t>
            </w:r>
            <w:r>
              <w:t>)</w:t>
            </w:r>
            <w:r w:rsidRPr="00C9332E">
              <w:t xml:space="preserve">.  ERCOT shall develop a process for determining which individual Load Resource to place in </w:t>
            </w:r>
            <w:r>
              <w:t>each g</w:t>
            </w:r>
            <w:r w:rsidRPr="00C9332E">
              <w:t>roup</w:t>
            </w:r>
            <w:r>
              <w:t xml:space="preserve"> </w:t>
            </w:r>
            <w:r w:rsidRPr="00C9332E">
              <w:t>based on a random sampling of individual Load Resources.  At ERCOT’s discretion, ERCOT may deploy all Load Resources at any given time during EEA Level 2.</w:t>
            </w:r>
          </w:p>
        </w:tc>
      </w:tr>
    </w:tbl>
    <w:p w14:paraId="7E24B6FB" w14:textId="0CB5E5EF" w:rsidR="001F04FD" w:rsidRPr="00500837" w:rsidRDefault="001F04FD" w:rsidP="0015372B">
      <w:pPr>
        <w:spacing w:before="240" w:after="240"/>
        <w:ind w:left="2160" w:hanging="720"/>
      </w:pPr>
      <w:r w:rsidRPr="00500837">
        <w:t>(v)</w:t>
      </w:r>
      <w:r w:rsidRPr="00500837">
        <w:tab/>
        <w:t>Unless a media appeal is already in effect, ERCOT shall issue an appeal through the public news media fo</w:t>
      </w:r>
      <w:r>
        <w:t>r voluntary energy conservation; and</w:t>
      </w:r>
    </w:p>
    <w:p w14:paraId="618CC649" w14:textId="3942B24E" w:rsidR="001F04FD" w:rsidRDefault="001F04FD" w:rsidP="001F04FD">
      <w:pPr>
        <w:pStyle w:val="List3"/>
        <w:ind w:left="2160"/>
      </w:pPr>
      <w:r w:rsidRPr="00500837">
        <w:t>(vi)</w:t>
      </w:r>
      <w:r w:rsidRPr="00500837">
        <w:tab/>
        <w:t xml:space="preserve">With the approval of the affected non-ERCOT Control Area, TSPs, DSPs, or their agents may implement </w:t>
      </w:r>
      <w:r w:rsidR="00517106">
        <w:t xml:space="preserve">transmission voltage level </w:t>
      </w:r>
      <w:r w:rsidRPr="00500837">
        <w:t>BLTs, which transfer Load from the ERCOT Control Area to non-ERCOT Control Areas in accordance with BLTs as defined in the Operating Guides.</w:t>
      </w:r>
    </w:p>
    <w:p w14:paraId="709FD3EE" w14:textId="77777777" w:rsidR="001F04FD" w:rsidRDefault="001F04FD" w:rsidP="001F04FD">
      <w:pPr>
        <w:pStyle w:val="List"/>
      </w:pPr>
      <w:r>
        <w:lastRenderedPageBreak/>
        <w:t>(b)</w:t>
      </w:r>
      <w:r>
        <w:tab/>
        <w:t>Confidentiality requirements regarding transmission operations and system capacity information will be lifted, as needed to restore reliability.</w:t>
      </w:r>
    </w:p>
    <w:p w14:paraId="3E924381" w14:textId="63BEB546" w:rsidR="00D67C9C" w:rsidRDefault="001F04FD" w:rsidP="001F04FD">
      <w:pPr>
        <w:pStyle w:val="BodyTextNumbered"/>
      </w:pPr>
      <w:r>
        <w:t>(3)</w:t>
      </w:r>
      <w:r>
        <w:tab/>
      </w:r>
      <w:r w:rsidR="00D67C9C" w:rsidRPr="00800225">
        <w:t xml:space="preserve">ERCOT </w:t>
      </w:r>
      <w:r w:rsidR="00D67C9C">
        <w:t>may</w:t>
      </w:r>
      <w:r w:rsidR="00D67C9C" w:rsidRPr="00800225">
        <w:t xml:space="preserve"> declare an EEA Level </w:t>
      </w:r>
      <w:r w:rsidR="00D67C9C">
        <w:t>3</w:t>
      </w:r>
      <w:r w:rsidR="00D67C9C" w:rsidRPr="00800225">
        <w:t xml:space="preserve"> wh</w:t>
      </w:r>
      <w:r w:rsidR="00D67C9C" w:rsidRPr="00D46D2F">
        <w:t xml:space="preserve">en the </w:t>
      </w:r>
      <w:r w:rsidR="00D67C9C" w:rsidRPr="00D46D2F">
        <w:rPr>
          <w:iCs/>
        </w:rPr>
        <w:t>clock</w:t>
      </w:r>
      <w:r w:rsidR="00D67C9C">
        <w:rPr>
          <w:iCs/>
        </w:rPr>
        <w:t>-minute average</w:t>
      </w:r>
      <w:r w:rsidR="00D67C9C" w:rsidRPr="00800225">
        <w:t xml:space="preserve"> system frequency </w:t>
      </w:r>
      <w:r w:rsidR="00D67C9C">
        <w:t>falls below</w:t>
      </w:r>
      <w:r w:rsidR="00D67C9C" w:rsidRPr="00800225">
        <w:t xml:space="preserve"> 59.91 Hz </w:t>
      </w:r>
      <w:r w:rsidR="00D67C9C">
        <w:t>for 20 consecutive minutes</w:t>
      </w:r>
      <w:r w:rsidR="008C7E79" w:rsidRPr="008C7E79">
        <w:t xml:space="preserve"> </w:t>
      </w:r>
      <w:r w:rsidR="008C7E79">
        <w:t>or when steady-state frequency falls below 59.8 Hz</w:t>
      </w:r>
      <w:r w:rsidR="00D67C9C">
        <w:t xml:space="preserve">.  </w:t>
      </w:r>
      <w:r>
        <w:t xml:space="preserve">ERCOT will declare an EEA Level 3 when </w:t>
      </w:r>
      <w:r w:rsidR="00D67C9C">
        <w:t xml:space="preserve">PRC cannot be maintained above </w:t>
      </w:r>
      <w:r w:rsidR="00947C1C">
        <w:t>1,</w:t>
      </w:r>
      <w:r w:rsidR="008C7E79">
        <w:t>50</w:t>
      </w:r>
      <w:r w:rsidR="00947C1C">
        <w:t>0</w:t>
      </w:r>
      <w:r w:rsidR="00D67C9C">
        <w:t xml:space="preserve"> MW or when the </w:t>
      </w:r>
      <w:r w:rsidR="00D67C9C">
        <w:rPr>
          <w:iCs/>
        </w:rPr>
        <w:t>clock-minute average</w:t>
      </w:r>
      <w:r>
        <w:t xml:space="preserve"> system frequency </w:t>
      </w:r>
      <w:r w:rsidR="00D67C9C">
        <w:t>falls below</w:t>
      </w:r>
      <w:r>
        <w:t xml:space="preserve"> 59.</w:t>
      </w:r>
      <w:r w:rsidR="00D67C9C">
        <w:t>91</w:t>
      </w:r>
      <w:r>
        <w:t xml:space="preserve"> Hz </w:t>
      </w:r>
      <w:r w:rsidR="00D67C9C">
        <w:t xml:space="preserve">for 25 consecutive minutes.  Upon declaration of an EEA Level 3, </w:t>
      </w:r>
      <w:r w:rsidR="008C7E79">
        <w:t>ERCOT shall take any of the following measures as necessary to recover frequency or PRC to the minimum required levels:</w:t>
      </w:r>
    </w:p>
    <w:p w14:paraId="2FB36F21" w14:textId="77F2587F" w:rsidR="00C52BB8" w:rsidRDefault="00C52BB8" w:rsidP="00C52BB8">
      <w:pPr>
        <w:spacing w:after="240"/>
        <w:ind w:left="1440" w:hanging="720"/>
      </w:pPr>
      <w:bookmarkStart w:id="1544" w:name="_Hlk116467776"/>
      <w:r w:rsidRPr="00125334">
        <w:t>(a)</w:t>
      </w:r>
      <w:r>
        <w:tab/>
      </w:r>
      <w:r w:rsidR="008C7E79">
        <w:t>I</w:t>
      </w:r>
      <w:r w:rsidRPr="00125334">
        <w:t>nstruct ESRs to suspend charging</w:t>
      </w:r>
      <w:r w:rsidR="00A43298">
        <w:t>.</w:t>
      </w:r>
      <w:r w:rsidR="00A43298" w:rsidRPr="004C5AF9">
        <w:t xml:space="preserve"> </w:t>
      </w:r>
      <w:r w:rsidR="00A43298">
        <w:t xml:space="preserve"> For ESRs, ERCOT shall issue the suspension instruction</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A43298">
        <w:t>,</w:t>
      </w:r>
      <w:r>
        <w:t xml:space="preserve"> </w:t>
      </w:r>
      <w:r w:rsidR="00A43298">
        <w:t>has received a charging instruction via SCED Base Point, or is carrying Reg-Down and has received</w:t>
      </w:r>
      <w:r>
        <w:t xml:space="preserve"> a charging instruction </w:t>
      </w:r>
      <w:r w:rsidR="00A43298">
        <w:t>from LFC</w:t>
      </w:r>
      <w:r>
        <w:t>.</w:t>
      </w:r>
      <w:r w:rsidRPr="00424F65">
        <w:t xml:space="preserve"> </w:t>
      </w:r>
      <w:r>
        <w:t xml:space="preserve"> However, an ESR co-located behind a POI with onsite generation that is incapable of exporting additional power to the ERCOT System may continue to charge as long as maximum output to the ERCOT System is maintained</w:t>
      </w:r>
      <w:r w:rsidRPr="00E779DA">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7DAB8EB7" w14:textId="77777777" w:rsidTr="005C5A9B">
        <w:trPr>
          <w:trHeight w:val="206"/>
        </w:trPr>
        <w:tc>
          <w:tcPr>
            <w:tcW w:w="9576" w:type="dxa"/>
            <w:shd w:val="pct12" w:color="auto" w:fill="auto"/>
          </w:tcPr>
          <w:bookmarkEnd w:id="1544"/>
          <w:p w14:paraId="4412504F" w14:textId="60187A21" w:rsidR="007A07FE" w:rsidRDefault="007A07FE" w:rsidP="005C5A9B">
            <w:pPr>
              <w:pStyle w:val="Instructions"/>
              <w:spacing w:before="120"/>
            </w:pPr>
            <w:r>
              <w:t>[</w:t>
            </w:r>
            <w:r w:rsidR="00B44DD8">
              <w:t>NPRR995</w:t>
            </w:r>
            <w:r>
              <w:t xml:space="preserve">:  </w:t>
            </w:r>
            <w:r w:rsidR="00C52BB8">
              <w:t>Replace</w:t>
            </w:r>
            <w:r w:rsidR="00B44DD8">
              <w:t xml:space="preserve"> </w:t>
            </w:r>
            <w:r>
              <w:t xml:space="preserve">paragraph (a) </w:t>
            </w:r>
            <w:r w:rsidR="00C52BB8">
              <w:t>above with the following</w:t>
            </w:r>
            <w:r>
              <w:t xml:space="preserve"> upon system implementation:]</w:t>
            </w:r>
          </w:p>
          <w:p w14:paraId="6E5994BA" w14:textId="0108B7FA" w:rsidR="007A07FE" w:rsidRPr="008F39F7" w:rsidRDefault="007A07FE" w:rsidP="001F3516">
            <w:pPr>
              <w:spacing w:after="240"/>
              <w:ind w:left="1440" w:hanging="720"/>
            </w:pPr>
            <w:r w:rsidRPr="00125334">
              <w:t>(a)</w:t>
            </w:r>
            <w:r>
              <w:tab/>
            </w:r>
            <w:r w:rsidR="008C7E79">
              <w:t>I</w:t>
            </w:r>
            <w:r w:rsidR="002F1AE6">
              <w:t>nstruct</w:t>
            </w:r>
            <w:r>
              <w:t xml:space="preserve"> </w:t>
            </w:r>
            <w:r w:rsidR="00A43298">
              <w:t xml:space="preserve">ESRs to suspend charging.  For ESRs, the suspension instruction </w:t>
            </w:r>
            <w:r w:rsidR="008C7E79">
              <w:t xml:space="preserve">shall be issued </w:t>
            </w:r>
            <w:r>
              <w:t>via a SCED Base Point,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347D2D">
              <w:t>,</w:t>
            </w:r>
            <w:r>
              <w:t xml:space="preserve"> </w:t>
            </w:r>
            <w:r w:rsidR="00347D2D">
              <w:t>has received a charging instruction via SCED Base Point, or is carrying Reg-Down and has received a charging instruction from</w:t>
            </w:r>
            <w:r>
              <w:t xml:space="preserve"> LFC.</w:t>
            </w:r>
            <w:r w:rsidRPr="00424F65">
              <w:t xml:space="preserve"> </w:t>
            </w:r>
            <w:r>
              <w:t xml:space="preserve"> </w:t>
            </w:r>
            <w:r w:rsidR="00347D2D">
              <w:t xml:space="preserve">An SOESS shall suspend charging unless it is providing Primary Frequency Response.  </w:t>
            </w:r>
            <w:r>
              <w:t xml:space="preserve">However, an ESR </w:t>
            </w:r>
            <w:r w:rsidR="00B44DD8">
              <w:t xml:space="preserve">or SOESS </w:t>
            </w:r>
            <w:r>
              <w:t>co-located behind a POI with onsite generation that is incapable of exporting additional power to the ERCOT System may continue to charge as long as maximum output to the ERCOT System is maintained</w:t>
            </w:r>
            <w:r w:rsidRPr="00E779DA">
              <w:t>.</w:t>
            </w:r>
          </w:p>
        </w:tc>
      </w:tr>
    </w:tbl>
    <w:p w14:paraId="0C347107" w14:textId="23E410E6" w:rsidR="001F04FD" w:rsidRDefault="00D67C9C" w:rsidP="003A5AC3">
      <w:pPr>
        <w:pStyle w:val="List"/>
        <w:spacing w:before="240"/>
      </w:pPr>
      <w:r>
        <w:t>(</w:t>
      </w:r>
      <w:r w:rsidR="00DB1DD2">
        <w:t>b</w:t>
      </w:r>
      <w:r>
        <w:t>)</w:t>
      </w:r>
      <w:r>
        <w:tab/>
      </w:r>
      <w:r w:rsidR="003B64E5">
        <w:t>D</w:t>
      </w:r>
      <w:r w:rsidR="001F04FD">
        <w:t xml:space="preserve">irect all </w:t>
      </w:r>
      <w:r w:rsidR="008530F9">
        <w:t>TOs</w:t>
      </w:r>
      <w:r w:rsidR="001F04FD">
        <w:t xml:space="preserve"> to shed firm Load, in 100 MW blocks, distributed as documented in the Operating Guides in order to maintain a steady state system frequency at a minimum of 59.</w:t>
      </w:r>
      <w:r w:rsidR="004E0395">
        <w:t>91</w:t>
      </w:r>
      <w:r w:rsidR="001F04FD">
        <w:t xml:space="preserve"> Hz and to recover 1,</w:t>
      </w:r>
      <w:r w:rsidR="003B64E5">
        <w:t>5</w:t>
      </w:r>
      <w:r w:rsidR="001F04FD">
        <w:t xml:space="preserve">00 MW of PRC within 30 minutes. </w:t>
      </w:r>
    </w:p>
    <w:p w14:paraId="2BEAF21F" w14:textId="77777777" w:rsidR="00F03916" w:rsidRDefault="001F04FD" w:rsidP="003B64E5">
      <w:pPr>
        <w:pStyle w:val="List"/>
        <w:ind w:left="2160"/>
      </w:pPr>
      <w:r>
        <w:t>(</w:t>
      </w:r>
      <w:r w:rsidR="003B64E5">
        <w:t>i</w:t>
      </w:r>
      <w:r>
        <w:t>)</w:t>
      </w:r>
      <w:r>
        <w:tab/>
      </w:r>
      <w:r w:rsidR="008530F9">
        <w:t>TOs and TDSPs may</w:t>
      </w:r>
      <w:r w:rsidR="00F03916">
        <w:t>:</w:t>
      </w:r>
    </w:p>
    <w:p w14:paraId="52E0BFC1" w14:textId="10D1CFDB" w:rsidR="001F04FD" w:rsidRDefault="00F03916" w:rsidP="00F03916">
      <w:pPr>
        <w:pStyle w:val="List3"/>
      </w:pPr>
      <w:r>
        <w:t>(A)</w:t>
      </w:r>
      <w:r>
        <w:tab/>
        <w:t>Manually</w:t>
      </w:r>
      <w:r w:rsidR="008530F9">
        <w:t xml:space="preserve"> shed Load connected to under-frequency relays </w:t>
      </w:r>
      <w:r>
        <w:t xml:space="preserve">and/or under-voltage relays </w:t>
      </w:r>
      <w:r w:rsidR="008530F9">
        <w:t>pursuant to an ERCOT Load shed directive issued during EEA Level 3 so long as</w:t>
      </w:r>
      <w:r w:rsidRPr="00F03916">
        <w:t xml:space="preserve"> </w:t>
      </w:r>
      <w:r>
        <w:t>the TO has determined that system conditions warrant utilizing Load connected to under-frequency and/or under-voltage relays and</w:t>
      </w:r>
      <w:r w:rsidR="008530F9">
        <w:t xml:space="preserve"> each affected TO </w:t>
      </w:r>
      <w:r w:rsidR="008530F9">
        <w:lastRenderedPageBreak/>
        <w:t>continues to comply with its Under-Frequency Load Shed (UFLS) obligation as described in Nodal Operating Guide Section 2.6.1, Automatic Firm Load Shedding, and its Load shed obligation as described in Nodal Operating Guide Section 4.5.3.4, Load Shed Obligation</w:t>
      </w:r>
      <w:r w:rsidR="001F04FD">
        <w:t>.</w:t>
      </w:r>
    </w:p>
    <w:p w14:paraId="03A9524B" w14:textId="7677765F" w:rsidR="00F03916" w:rsidRDefault="00F03916" w:rsidP="00F03916">
      <w:pPr>
        <w:pStyle w:val="List"/>
        <w:ind w:left="2880"/>
      </w:pPr>
      <w:r>
        <w:t>(B)</w:t>
      </w:r>
      <w:r>
        <w:tab/>
      </w:r>
      <w:bookmarkStart w:id="1545" w:name="_Hlk158609489"/>
      <w:r>
        <w:t>Manually shed Load that is armed to deploy as part of the 58.5 Hz, 58.7 Hz, and anti-stall UFLS stages, such that the UFLS Load falls below the TO’s 25% Load relief obligation, as described in Nodal Operating Guide Section 2.6.1, in order to meet ERCOT operating instructions for manual Load shed if all Load identified for manual Load shed and the Load identified in paragraph (A) above has been shed.</w:t>
      </w:r>
      <w:bookmarkEnd w:id="1545"/>
    </w:p>
    <w:p w14:paraId="6CEC2D70" w14:textId="77777777" w:rsidR="003B64E5" w:rsidRDefault="003B64E5" w:rsidP="003B64E5">
      <w:pPr>
        <w:spacing w:after="240"/>
        <w:ind w:left="1440" w:hanging="720"/>
      </w:pPr>
      <w:r>
        <w:t>(c)</w:t>
      </w:r>
      <w:r>
        <w:tab/>
        <w:t>Implement any appropriate measures associated with EEA Levels 1 and 2 that have not already been implemented.</w:t>
      </w:r>
    </w:p>
    <w:p w14:paraId="13294162" w14:textId="77777777" w:rsidR="001F04FD" w:rsidRDefault="001F04FD" w:rsidP="001F04FD">
      <w:pPr>
        <w:pStyle w:val="H5"/>
        <w:spacing w:before="480"/>
        <w:ind w:left="1627" w:hanging="1627"/>
      </w:pPr>
      <w:bookmarkStart w:id="1546" w:name="_Toc397504994"/>
      <w:bookmarkStart w:id="1547" w:name="_Toc402357122"/>
      <w:bookmarkStart w:id="1548" w:name="_Toc422486502"/>
      <w:bookmarkStart w:id="1549" w:name="_Toc433093354"/>
      <w:bookmarkStart w:id="1550" w:name="_Toc433093512"/>
      <w:bookmarkStart w:id="1551" w:name="_Toc440874740"/>
      <w:bookmarkStart w:id="1552" w:name="_Toc448142295"/>
      <w:bookmarkStart w:id="1553" w:name="_Toc448142452"/>
      <w:bookmarkStart w:id="1554" w:name="_Toc458770289"/>
      <w:bookmarkStart w:id="1555" w:name="_Toc459294257"/>
      <w:bookmarkStart w:id="1556" w:name="_Toc463262750"/>
      <w:bookmarkStart w:id="1557" w:name="_Toc468286823"/>
      <w:bookmarkStart w:id="1558" w:name="_Toc481502869"/>
      <w:bookmarkStart w:id="1559" w:name="_Toc496080037"/>
      <w:bookmarkStart w:id="1560" w:name="_Toc189044387"/>
      <w:r>
        <w:t>6.5.9.4.3</w:t>
      </w:r>
      <w:r>
        <w:tab/>
        <w:t>Restoration of Market Operations</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30BE0027" w14:textId="1C3A4F28" w:rsidR="001F04FD" w:rsidRDefault="001F04FD" w:rsidP="001F04FD">
      <w:pPr>
        <w:pStyle w:val="BodyTextNumbered"/>
      </w:pPr>
      <w:r>
        <w:t>(1)</w:t>
      </w:r>
      <w:r>
        <w:tab/>
        <w:t>ERCOT shall continue the EEA until sufficient offers are received and deployed by ERCOT to eliminate the conditions requiring the EEA and normal SCED operations are restored.  After restoring RRS, ERCOT shall restore curtailed DC Tie Load.  Intermittent solutions of SCED do not set new LMPs until ERCOT declares that the EEA is no longer needed.</w:t>
      </w:r>
    </w:p>
    <w:p w14:paraId="0418B0D0" w14:textId="77777777" w:rsidR="001F04FD" w:rsidRDefault="001F04FD" w:rsidP="001F04FD">
      <w:pPr>
        <w:pStyle w:val="H4"/>
        <w:spacing w:before="480"/>
        <w:ind w:left="1267" w:hanging="1267"/>
      </w:pPr>
      <w:bookmarkStart w:id="1561" w:name="_Toc73216032"/>
      <w:bookmarkStart w:id="1562" w:name="_Toc397504995"/>
      <w:bookmarkStart w:id="1563" w:name="_Toc402357123"/>
      <w:bookmarkStart w:id="1564" w:name="_Toc422486503"/>
      <w:bookmarkStart w:id="1565" w:name="_Toc433093355"/>
      <w:bookmarkStart w:id="1566" w:name="_Toc433093513"/>
      <w:bookmarkStart w:id="1567" w:name="_Toc440874741"/>
      <w:bookmarkStart w:id="1568" w:name="_Toc448142296"/>
      <w:bookmarkStart w:id="1569" w:name="_Toc448142453"/>
      <w:bookmarkStart w:id="1570" w:name="_Toc458770290"/>
      <w:bookmarkStart w:id="1571" w:name="_Toc459294258"/>
      <w:bookmarkStart w:id="1572" w:name="_Toc463262751"/>
      <w:bookmarkStart w:id="1573" w:name="_Toc468286824"/>
      <w:bookmarkStart w:id="1574" w:name="_Toc481502870"/>
      <w:bookmarkStart w:id="1575" w:name="_Toc496080038"/>
      <w:bookmarkStart w:id="1576" w:name="_Toc189044388"/>
      <w:r>
        <w:t>6.5.9.5</w:t>
      </w:r>
      <w:r>
        <w:tab/>
        <w:t>Block Load Transfers between ERCOT and Non-ERCOT Control Areas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4243CA78" w14:textId="77777777" w:rsidR="001F04FD" w:rsidRDefault="001F04FD" w:rsidP="001F04FD">
      <w:pPr>
        <w:pStyle w:val="BodyTextNumbered"/>
      </w:pPr>
      <w:r>
        <w:t>(1)</w:t>
      </w:r>
      <w:r>
        <w:tab/>
        <w:t>BLTs are procedures that transfer Loads normally located in the ERCOT Control Area to a non-ERCOT Control Area.  Similarly, when a non-ERCOT Control Area experiences certain transmission contingencies or short-supply conditions, ERCOT may agree to the implementation of BLT procedures that transfer Loads normally located in a non-ERCOT Control Area to the ERCOT Control Area.  BLTs are restricted to the following conditions:</w:t>
      </w:r>
    </w:p>
    <w:p w14:paraId="3DBB2C32" w14:textId="19D1C0E1" w:rsidR="001F04FD" w:rsidRDefault="001F04FD" w:rsidP="001F04FD">
      <w:pPr>
        <w:pStyle w:val="List"/>
      </w:pPr>
      <w:r>
        <w:t>(a)</w:t>
      </w:r>
      <w:r>
        <w:tab/>
      </w:r>
      <w:r w:rsidR="00C830CE">
        <w:t xml:space="preserve">All modeled </w:t>
      </w:r>
      <w:r>
        <w:t xml:space="preserve">BLTs shall </w:t>
      </w:r>
      <w:r w:rsidR="00C830CE">
        <w:t>be implemented</w:t>
      </w:r>
      <w:r>
        <w:t xml:space="preserve"> only with approval from ERCOT, unless a governmental order is issued requiring the </w:t>
      </w:r>
      <w:r w:rsidR="00C830CE">
        <w:t xml:space="preserve">use of the </w:t>
      </w:r>
      <w:r>
        <w:t xml:space="preserve">BLT.  </w:t>
      </w:r>
    </w:p>
    <w:p w14:paraId="509B4265" w14:textId="77777777" w:rsidR="001F04FD" w:rsidRDefault="001F04FD" w:rsidP="009A754D">
      <w:pPr>
        <w:pStyle w:val="List"/>
        <w:ind w:left="2160"/>
      </w:pPr>
      <w:r>
        <w:t>(i)</w:t>
      </w:r>
      <w:r>
        <w:tab/>
        <w:t>BLTs shall be registered with ERCOT.  Such registration shall be subject to ERCOT approval.</w:t>
      </w:r>
    </w:p>
    <w:p w14:paraId="6F4EFA6D" w14:textId="77777777" w:rsidR="001F04FD" w:rsidRDefault="001F04FD" w:rsidP="001F04FD">
      <w:pPr>
        <w:pStyle w:val="List"/>
        <w:ind w:left="2160"/>
      </w:pPr>
      <w:r>
        <w:t>(ii)</w:t>
      </w:r>
      <w:r>
        <w:tab/>
        <w:t>For all BLTs</w:t>
      </w:r>
      <w:r w:rsidRPr="008958CB">
        <w:t>, the TSP in the ERCOT Control Area responsible for implementing the BLT shall coordinate with ERCOT in the implementation and execution of BLTs to ensure the reliability of the ERCOT System is not jeopardized and to ensure sufficient generation capacity is available prior to serving additional Load.</w:t>
      </w:r>
    </w:p>
    <w:p w14:paraId="43EA0A5A" w14:textId="77777777" w:rsidR="001F04FD" w:rsidRDefault="001F04FD" w:rsidP="001F04FD">
      <w:pPr>
        <w:pStyle w:val="List"/>
      </w:pPr>
      <w:r>
        <w:lastRenderedPageBreak/>
        <w:t>(b)</w:t>
      </w:r>
      <w:r>
        <w:tab/>
        <w:t>BLTs that are comprised of looped systems may be tied to the non-ERCOT Control Area’s electrical system(s) through multiple interconnection points at the same time.  Transfers of looped configurations are permitted only if all interconnection points are registered and netted under a single Electric Service Identifier (ESI ID) and represented by a singled TSP or DSP or netted behind the Non-Opt-In Entity (NOIE) metering points.</w:t>
      </w:r>
    </w:p>
    <w:p w14:paraId="049C0820" w14:textId="77777777" w:rsidR="001F04FD" w:rsidRDefault="001F04FD" w:rsidP="001F04FD">
      <w:pPr>
        <w:pStyle w:val="List"/>
      </w:pPr>
      <w:r>
        <w:t>(c)</w:t>
      </w:r>
      <w:r>
        <w:tab/>
        <w:t xml:space="preserve">BLTs of Load to the ERCOT Control Area are: </w:t>
      </w:r>
    </w:p>
    <w:p w14:paraId="70F0568A" w14:textId="77777777" w:rsidR="001F04FD" w:rsidRDefault="001F04FD" w:rsidP="001F04FD">
      <w:pPr>
        <w:pStyle w:val="List"/>
        <w:ind w:left="2160"/>
      </w:pPr>
      <w:r>
        <w:t>(i)</w:t>
      </w:r>
      <w:r>
        <w:tab/>
        <w:t xml:space="preserve">Treated as non-competitive wholesale Load in the Load Zone containing the ERCOT breaker or switch that initiated the BLT; </w:t>
      </w:r>
    </w:p>
    <w:p w14:paraId="4F34DEB3" w14:textId="77777777" w:rsidR="001F04FD" w:rsidRDefault="001F04FD" w:rsidP="001F04FD">
      <w:pPr>
        <w:pStyle w:val="List"/>
        <w:ind w:left="2160"/>
      </w:pPr>
      <w:r>
        <w:t>(ii)</w:t>
      </w:r>
      <w:r>
        <w:tab/>
        <w:t xml:space="preserve">Registered in accordance with Section 6.5.9.5.1, Registration and Posting of BLT Points, by the TSP in the ERCOT Control Area responsible for implementing the BLT;  </w:t>
      </w:r>
    </w:p>
    <w:p w14:paraId="3A504887" w14:textId="77777777" w:rsidR="001F04FD" w:rsidRDefault="001F04FD" w:rsidP="001F04FD">
      <w:pPr>
        <w:pStyle w:val="List"/>
        <w:ind w:left="2160"/>
      </w:pPr>
      <w:r>
        <w:t>(iii)</w:t>
      </w:r>
      <w:r>
        <w:tab/>
        <w:t xml:space="preserve">Responsible for Unaccounted For Energy (UFE) allocations and Transmission Losses consistent with similarly situated NOIE metering points; and </w:t>
      </w:r>
    </w:p>
    <w:p w14:paraId="34FB322B" w14:textId="77777777" w:rsidR="001F04FD" w:rsidRDefault="001F04FD" w:rsidP="001F04FD">
      <w:pPr>
        <w:pStyle w:val="List"/>
        <w:ind w:left="2160"/>
      </w:pPr>
      <w:r>
        <w:t>(iv)</w:t>
      </w:r>
      <w:r>
        <w:tab/>
        <w:t>Permitted only if the BLT will not jeopardize the reliability of the ERCOT System.  Under an Emergency Notice, BLTs that have been implemented may be curtailed or terminated by ERCOT to maintain the reliability of the ERCOT System.</w:t>
      </w:r>
    </w:p>
    <w:p w14:paraId="23C06E45" w14:textId="77777777" w:rsidR="001F04FD" w:rsidRDefault="001F04FD" w:rsidP="001F04FD">
      <w:pPr>
        <w:pStyle w:val="List"/>
      </w:pPr>
      <w:r>
        <w:t>(d)</w:t>
      </w:r>
      <w:r>
        <w:tab/>
        <w:t>BLTs of Load from the ERCOT Control Area are:</w:t>
      </w:r>
    </w:p>
    <w:p w14:paraId="28530DF5" w14:textId="68639971" w:rsidR="001F04FD" w:rsidRDefault="001F04FD" w:rsidP="001F04FD">
      <w:pPr>
        <w:pStyle w:val="List"/>
        <w:ind w:left="2160"/>
      </w:pPr>
      <w:r>
        <w:t>(i)</w:t>
      </w:r>
      <w:r>
        <w:tab/>
        <w:t xml:space="preserve">Treated as </w:t>
      </w:r>
      <w:r w:rsidR="00C830CE">
        <w:t>generation</w:t>
      </w:r>
      <w:r>
        <w:t xml:space="preserve"> </w:t>
      </w:r>
      <w:r w:rsidR="00C830CE">
        <w:t xml:space="preserve">and Load </w:t>
      </w:r>
      <w:r>
        <w:t xml:space="preserve">in the ERCOT Settlement system </w:t>
      </w:r>
      <w:r w:rsidR="00C830CE">
        <w:t>unless the Load is in a NOIE territory and the NOIE has opted for the Load transfer to be treated as a NOIE Load reduction by not submitting a Settlement Block Load Transfer Registration Form.  BLTs</w:t>
      </w:r>
      <w:r>
        <w:t xml:space="preserve"> may only be instructed with the permission of the affected non-ERCOT Control Area.  Under an </w:t>
      </w:r>
      <w:r w:rsidR="00C830CE">
        <w:t>e</w:t>
      </w:r>
      <w:r>
        <w:t xml:space="preserve">mergency </w:t>
      </w:r>
      <w:r w:rsidR="00C830CE">
        <w:t>c</w:t>
      </w:r>
      <w:r>
        <w:t>ondition</w:t>
      </w:r>
      <w:r w:rsidR="00C830CE" w:rsidRPr="00C830CE">
        <w:t xml:space="preserve"> </w:t>
      </w:r>
      <w:r w:rsidR="00C830CE">
        <w:t>in a non-ERCOT Control Area</w:t>
      </w:r>
      <w:r>
        <w:t>, BLTs that have been implemented may be curtailed or terminated by the non-ERCOT Control Area to maintain the reliability of the non-ERCOT system;</w:t>
      </w:r>
    </w:p>
    <w:p w14:paraId="154B2F06" w14:textId="77777777" w:rsidR="001F04FD" w:rsidRDefault="001F04FD" w:rsidP="001F04FD">
      <w:pPr>
        <w:pStyle w:val="List"/>
        <w:ind w:left="2160"/>
      </w:pPr>
      <w:r>
        <w:t>(ii)</w:t>
      </w:r>
      <w:r>
        <w:tab/>
        <w:t>Registered in accordance with Section 6.5.9.5.1 by the TSP in the ERCOT Control Area responsible for implementing the BLT; and</w:t>
      </w:r>
    </w:p>
    <w:p w14:paraId="0057A372" w14:textId="77777777" w:rsidR="001F04FD" w:rsidRDefault="001F04FD" w:rsidP="001F04FD">
      <w:pPr>
        <w:pStyle w:val="List"/>
        <w:ind w:left="2160"/>
      </w:pPr>
      <w:r>
        <w:t>(iii)</w:t>
      </w:r>
      <w:r>
        <w:tab/>
        <w:t>Permitted only if the BLT will not jeopardize the reliability of the ERCOT System.</w:t>
      </w:r>
    </w:p>
    <w:p w14:paraId="3D25EA9C" w14:textId="77777777" w:rsidR="001F04FD" w:rsidRDefault="001F04FD" w:rsidP="001F04FD">
      <w:pPr>
        <w:pStyle w:val="List"/>
      </w:pPr>
      <w:r>
        <w:t>(e)</w:t>
      </w:r>
      <w:r>
        <w:tab/>
        <w:t>BLTs specifically exclude transfers of Load between ERCOT and non-ERCOT Control Areas that occur behind a retail Settlement Meter.</w:t>
      </w:r>
    </w:p>
    <w:p w14:paraId="72A6443A" w14:textId="77777777" w:rsidR="001F04FD" w:rsidRDefault="001F04FD" w:rsidP="001F04FD">
      <w:pPr>
        <w:pStyle w:val="List"/>
      </w:pPr>
      <w:r>
        <w:t>(f)</w:t>
      </w:r>
      <w:r>
        <w:tab/>
        <w:t>BLTs may be used in the restoration of service to Customers if the transfers will not jeopardize the reliability of the ERCOT System.</w:t>
      </w:r>
    </w:p>
    <w:p w14:paraId="6F946053" w14:textId="58CBE2CE" w:rsidR="001F04FD" w:rsidRDefault="001F04FD" w:rsidP="001F04FD">
      <w:pPr>
        <w:pStyle w:val="List"/>
      </w:pPr>
      <w:r>
        <w:lastRenderedPageBreak/>
        <w:t>(g)</w:t>
      </w:r>
      <w:r>
        <w:tab/>
      </w:r>
      <w:r w:rsidR="00C830CE">
        <w:t xml:space="preserve">For any BLT established in a </w:t>
      </w:r>
      <w:r w:rsidR="00C830CE" w:rsidRPr="00B13BC7">
        <w:t>TDSP</w:t>
      </w:r>
      <w:r w:rsidR="00C830CE">
        <w:t xml:space="preserve"> area that is open to Customer Choice, the </w:t>
      </w:r>
      <w:r w:rsidR="00C830CE" w:rsidRPr="00B13BC7">
        <w:t>TDSP</w:t>
      </w:r>
      <w:r w:rsidR="00C830CE">
        <w:t xml:space="preserve"> must register the BLT metering point for Settlement.  For any BLT established in a NOIE territory, the NOIE may either register the BLT for Settlement or may forgo registration and have the L</w:t>
      </w:r>
      <w:r w:rsidR="00C830CE" w:rsidRPr="00B13BC7">
        <w:t>oad</w:t>
      </w:r>
      <w:r w:rsidR="00C830CE">
        <w:t xml:space="preserve"> transfer settled as a L</w:t>
      </w:r>
      <w:r w:rsidR="00C830CE" w:rsidRPr="00B13BC7">
        <w:t>oad</w:t>
      </w:r>
      <w:r w:rsidR="00C830CE">
        <w:t xml:space="preserve"> increase or reduction.  </w:t>
      </w:r>
      <w:r w:rsidR="00C830CE" w:rsidRPr="00997836">
        <w:t xml:space="preserve">As a condition for Settlement, </w:t>
      </w:r>
      <w:r w:rsidR="00C830CE" w:rsidRPr="00A83548">
        <w:t xml:space="preserve">a BLT must be registered using </w:t>
      </w:r>
      <w:r w:rsidR="00C830CE">
        <w:t>the</w:t>
      </w:r>
      <w:r w:rsidR="00C830CE" w:rsidRPr="00A83548">
        <w:t xml:space="preserve"> Settlement Block Load Transfer Registration Form</w:t>
      </w:r>
      <w:r w:rsidR="00C830CE">
        <w:t xml:space="preserve"> found on the ERCOT website, and each BLT metering point must use revenue quality, 15-minute Interval Data Recorder (IDR) Meters.  </w:t>
      </w:r>
      <w:r>
        <w:t xml:space="preserve">  ERCOT may impose additional metering requirements it considers necessary to ensure ERCOT System reliability and integrity.</w:t>
      </w:r>
    </w:p>
    <w:p w14:paraId="2A4048B7" w14:textId="77777777" w:rsidR="001F04FD" w:rsidRDefault="001F04FD" w:rsidP="001F04FD">
      <w:pPr>
        <w:pStyle w:val="List"/>
        <w:spacing w:after="480"/>
      </w:pPr>
      <w:r>
        <w:t>(h)</w:t>
      </w:r>
      <w:r>
        <w:tab/>
        <w:t>SCADA telemetry on switching devices at BLT points that are deemed necessary by ERCOT to be modeled in the Network Operations Model must be provided by the TSP registering the BLT.</w:t>
      </w:r>
    </w:p>
    <w:p w14:paraId="7F3251FE" w14:textId="77777777" w:rsidR="001F04FD" w:rsidRDefault="001F04FD" w:rsidP="001F04FD">
      <w:pPr>
        <w:pStyle w:val="H5"/>
      </w:pPr>
      <w:bookmarkStart w:id="1577" w:name="_Toc74137369"/>
      <w:bookmarkStart w:id="1578" w:name="_Toc397504996"/>
      <w:bookmarkStart w:id="1579" w:name="_Toc402357124"/>
      <w:bookmarkStart w:id="1580" w:name="_Toc422486504"/>
      <w:bookmarkStart w:id="1581" w:name="_Toc433093356"/>
      <w:bookmarkStart w:id="1582" w:name="_Toc433093514"/>
      <w:bookmarkStart w:id="1583" w:name="_Toc440874742"/>
      <w:bookmarkStart w:id="1584" w:name="_Toc448142297"/>
      <w:bookmarkStart w:id="1585" w:name="_Toc448142454"/>
      <w:bookmarkStart w:id="1586" w:name="_Toc458770291"/>
      <w:bookmarkStart w:id="1587" w:name="_Toc459294259"/>
      <w:bookmarkStart w:id="1588" w:name="_Toc463262752"/>
      <w:bookmarkStart w:id="1589" w:name="_Toc468286825"/>
      <w:bookmarkStart w:id="1590" w:name="_Toc481502871"/>
      <w:bookmarkStart w:id="1591" w:name="_Toc496080039"/>
      <w:bookmarkStart w:id="1592" w:name="_Toc189044389"/>
      <w:r>
        <w:t>6.5.9.5.1</w:t>
      </w:r>
      <w:r>
        <w:tab/>
        <w:t>Registration and Posting of BLT Points</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48808259" w14:textId="77777777" w:rsidR="001F04FD" w:rsidRDefault="001F04FD" w:rsidP="001F04FD">
      <w:pPr>
        <w:pStyle w:val="BodyTextNumbered"/>
      </w:pPr>
      <w:r>
        <w:t>(1)</w:t>
      </w:r>
      <w:r>
        <w:tab/>
        <w:t>The necessary Market Participant registration, agreements, metering, and ERCOT Settlement systems, as applicable, must be in place before implementation of any BLT.  At its sole discretion, ERCOT may exclude a BLT of ten MW or less from the Network Operations Model and associated telemetry requirements.</w:t>
      </w:r>
    </w:p>
    <w:p w14:paraId="05155A97" w14:textId="77777777" w:rsidR="001F04FD" w:rsidRDefault="001F04FD" w:rsidP="001F04FD">
      <w:pPr>
        <w:pStyle w:val="BodyTextNumbered"/>
      </w:pPr>
      <w:r>
        <w:t>(2)</w:t>
      </w:r>
      <w:r>
        <w:tab/>
        <w:t>ERCOT may require any size of BLT that has been deployed in accordance with Section 6.5.9.5.2, Scheduling and Operation of BLTs, to be in the Network Operations Model with required telemetry if ERCOT determines it is warranted due to the length of time deployed.</w:t>
      </w:r>
    </w:p>
    <w:p w14:paraId="1F41068F" w14:textId="5F3AECF5" w:rsidR="001F04FD" w:rsidRDefault="001F04FD" w:rsidP="001F04FD">
      <w:pPr>
        <w:pStyle w:val="BodyTextNumbered"/>
      </w:pPr>
      <w:r>
        <w:t>(3)</w:t>
      </w:r>
      <w:r>
        <w:tab/>
        <w:t xml:space="preserve">BLTs that transfer Load from the ERCOT Control Area to a non-ERCOT Control Area are treated as </w:t>
      </w:r>
      <w:r w:rsidR="00C830CE">
        <w:t>generation</w:t>
      </w:r>
      <w:r>
        <w:t xml:space="preserve"> </w:t>
      </w:r>
      <w:r w:rsidR="00C830CE">
        <w:t xml:space="preserve">and Load </w:t>
      </w:r>
      <w:r>
        <w:t xml:space="preserve">by ERCOT and assigned a Resource ID </w:t>
      </w:r>
      <w:r w:rsidR="00C830CE">
        <w:t xml:space="preserve">and, if in a NOIE territory, an ESI ID </w:t>
      </w:r>
      <w:r>
        <w:t xml:space="preserve">unless </w:t>
      </w:r>
      <w:r w:rsidR="00C830CE">
        <w:t>the Load is in a NOIE territory and the NOIE has not registered the BLT for Settlement pursuant to paragraph (1)(g) of Section 6.5.9.5, Block Load Transfers between ERCOT and Non-ERCOT Control Areas</w:t>
      </w:r>
      <w:r>
        <w:t xml:space="preserve">.  The ERCOT Control Area TSP or DSP associated with the BLT Point has the responsibility for registering the BLT and the creation and maintenance of BLT Resource IDs for Settlement purposes.  For </w:t>
      </w:r>
      <w:r w:rsidR="00C830CE">
        <w:t xml:space="preserve">any </w:t>
      </w:r>
      <w:r>
        <w:t xml:space="preserve">BLT </w:t>
      </w:r>
      <w:r w:rsidR="00C830CE">
        <w:t xml:space="preserve">that a </w:t>
      </w:r>
      <w:r>
        <w:t xml:space="preserve">NOIE </w:t>
      </w:r>
      <w:r w:rsidR="00C830CE">
        <w:t>has registered for Settlement</w:t>
      </w:r>
      <w:r>
        <w:t xml:space="preserve">, the NOIE </w:t>
      </w:r>
      <w:r w:rsidR="00C830CE">
        <w:t>shall</w:t>
      </w:r>
      <w:r>
        <w:t xml:space="preserve"> designate NOIE metering point(s), a Resource Entity, and a QSE for Settlement purposes.  For BLTs occurring on TSP or DSP systems open to Customer Choice, the non-ERCOT Control Area Entity receiving the transferred Load shall designate a registered Resource Entity and acknowledge a QSE for Settlement purposes in accordance with Section 16.5, Registration of a Resource Entity.  The ERCOT Control Area TSP or DSP must complete the applicable BLT registration form.  This BLT registration form along with the metering design and data documentation is the basis for establishing the ERCOT data model of the BLT and associated metering points for Settlement as applicable.</w:t>
      </w:r>
    </w:p>
    <w:p w14:paraId="1CA55C2A" w14:textId="319D365C" w:rsidR="001F04FD" w:rsidRDefault="001F04FD" w:rsidP="001F04FD">
      <w:pPr>
        <w:pStyle w:val="BodyTextNumbered"/>
      </w:pPr>
      <w:r>
        <w:t>(4)</w:t>
      </w:r>
      <w:r>
        <w:tab/>
        <w:t xml:space="preserve">BLTs that transfer Load from a non-ERCOT Control Area to the ERCOT Control Area are treated as a non-competitive wholesale Load by ERCOT and assigned an ESI ID </w:t>
      </w:r>
      <w:r w:rsidR="00C830CE">
        <w:lastRenderedPageBreak/>
        <w:t>unless the BLT is in a NOIE territory and the NOIE has not registered the BLT for Settlement</w:t>
      </w:r>
      <w:r>
        <w:t xml:space="preserve">.  The ERCOT Control Area TSP or DSP associated with the BLT Point has the responsibility for registering the BLT and the creation and maintenance of BLT ESI IDs.  Customers connected to the ERCOT System do not require an ESI ID separate from the assigned BLT ESI ID.  The TSP or DSP that registers the BLT Point shall provide the ESI ID associated with the BLT to ERCOT.  For BLTs occurring on NOIE TSP or DSP systems, the NOIE may designate NOIE metering point(s), an LSE, and a QSE for Settlement purposes.  Load associated with NOIE BLTs that do not have an LSE or QSE for Settlement purposes will be reflected in the NOIE’s </w:t>
      </w:r>
      <w:r w:rsidRPr="007D7894">
        <w:t xml:space="preserve">4-Coincident Peak </w:t>
      </w:r>
      <w:r>
        <w:t>(4-CP) calculation.  For BLTs occurring on TSP or DSP systems open to Customer Choice, the non-ERCOT Control Area Entity shall designate a registered ERCOT LSE and acknowledge a QSE for Settlement purposes in accordance with Section 16.3, Registration of Load Serving Entities.</w:t>
      </w:r>
    </w:p>
    <w:p w14:paraId="0ECD844A" w14:textId="77777777" w:rsidR="001F04FD" w:rsidRDefault="001F04FD" w:rsidP="001F04FD">
      <w:pPr>
        <w:pStyle w:val="BodyTextNumbered"/>
      </w:pPr>
      <w:r>
        <w:t>(5)</w:t>
      </w:r>
      <w:r>
        <w:tab/>
        <w:t>A “BLT Point” is the metering point for a BLT Resource ID or for a BLT ESI ID.</w:t>
      </w:r>
    </w:p>
    <w:p w14:paraId="7D58B3DD" w14:textId="77777777" w:rsidR="001F04FD" w:rsidRDefault="001F04FD" w:rsidP="00AC4DE5">
      <w:pPr>
        <w:pStyle w:val="BodyTextNumbered"/>
      </w:pPr>
      <w:r>
        <w:t>(6)</w:t>
      </w:r>
      <w:r>
        <w:tab/>
        <w:t>ERCOT shall post the registration details of all registered BLTs to the MIS Secure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C4DE5" w14:paraId="505F752E" w14:textId="77777777" w:rsidTr="00AE5CE8">
        <w:trPr>
          <w:trHeight w:val="206"/>
        </w:trPr>
        <w:tc>
          <w:tcPr>
            <w:tcW w:w="9445" w:type="dxa"/>
            <w:shd w:val="pct12" w:color="auto" w:fill="auto"/>
          </w:tcPr>
          <w:p w14:paraId="12BA5EB5" w14:textId="62608F6B" w:rsidR="00AC4DE5" w:rsidRDefault="00AC4DE5" w:rsidP="00AE5CE8">
            <w:pPr>
              <w:pStyle w:val="Instructions"/>
              <w:spacing w:before="120"/>
            </w:pPr>
            <w:bookmarkStart w:id="1593" w:name="_Toc397504997"/>
            <w:bookmarkStart w:id="1594" w:name="_Toc402357125"/>
            <w:bookmarkStart w:id="1595" w:name="_Toc422486505"/>
            <w:bookmarkStart w:id="1596" w:name="_Toc433093357"/>
            <w:bookmarkStart w:id="1597" w:name="_Toc433093515"/>
            <w:bookmarkStart w:id="1598" w:name="_Toc440874743"/>
            <w:bookmarkStart w:id="1599" w:name="_Toc448142298"/>
            <w:bookmarkStart w:id="1600" w:name="_Toc448142455"/>
            <w:bookmarkStart w:id="1601" w:name="_Toc458770292"/>
            <w:bookmarkStart w:id="1602" w:name="_Toc459294260"/>
            <w:bookmarkStart w:id="1603" w:name="_Toc463262753"/>
            <w:bookmarkStart w:id="1604" w:name="_Toc468286826"/>
            <w:bookmarkStart w:id="1605" w:name="_Toc481502872"/>
            <w:bookmarkStart w:id="1606" w:name="_Toc496080040"/>
            <w:r>
              <w:t>[NPRR1239:  Replace paragraph (6) above with the following upon system implementation:]</w:t>
            </w:r>
          </w:p>
          <w:p w14:paraId="12CFFE67" w14:textId="05726D43" w:rsidR="00AC4DE5" w:rsidRPr="00AC4DE5" w:rsidRDefault="00AC4DE5" w:rsidP="00AC4DE5">
            <w:pPr>
              <w:pStyle w:val="BodyTextNumbered"/>
              <w:rPr>
                <w:iCs/>
              </w:rPr>
            </w:pPr>
            <w:r w:rsidRPr="00E62DE9">
              <w:t>(6)</w:t>
            </w:r>
            <w:r w:rsidRPr="00E62DE9">
              <w:tab/>
              <w:t xml:space="preserve">ERCOT shall post the registration details of all registered BLTs to the </w:t>
            </w:r>
            <w:r>
              <w:t>ERCOT website</w:t>
            </w:r>
            <w:r w:rsidRPr="00E62DE9">
              <w:t>.</w:t>
            </w:r>
          </w:p>
        </w:tc>
      </w:tr>
    </w:tbl>
    <w:p w14:paraId="4EF93333" w14:textId="77777777" w:rsidR="001F04FD" w:rsidRDefault="001F04FD" w:rsidP="00952F33">
      <w:pPr>
        <w:pStyle w:val="H5"/>
        <w:spacing w:before="480"/>
      </w:pPr>
      <w:bookmarkStart w:id="1607" w:name="_Toc189044390"/>
      <w:r>
        <w:t>6.5.9.5.2</w:t>
      </w:r>
      <w:r>
        <w:tab/>
        <w:t>Scheduling and Operation of BLTs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492E0691" w14:textId="5694FF4E" w:rsidR="001F04FD" w:rsidRDefault="001F04FD" w:rsidP="001F04FD">
      <w:pPr>
        <w:pStyle w:val="BodyTextNumbered"/>
      </w:pPr>
      <w:r>
        <w:t>(1)</w:t>
      </w:r>
      <w:r>
        <w:tab/>
        <w:t>For BLTs that are deployed in an emergency and are not modeled in the Network Operations Model, the responsible TSP shall notify ERCOT as soon as practicable after deployment.</w:t>
      </w:r>
    </w:p>
    <w:p w14:paraId="5608960D" w14:textId="77777777" w:rsidR="00C830CE" w:rsidRDefault="00C830CE" w:rsidP="00C830CE">
      <w:pPr>
        <w:pStyle w:val="BodyTextNumbered"/>
      </w:pPr>
      <w:r>
        <w:t>(2)</w:t>
      </w:r>
      <w:r>
        <w:tab/>
        <w:t>For BLTs that transfer Load to a non-ERCOT Control Area, ERCOT shall confirm the BLT’s availability with the non-ERCOT Control Area before implementation.</w:t>
      </w:r>
    </w:p>
    <w:p w14:paraId="05BEB6C1" w14:textId="2D13477A" w:rsidR="001F04FD" w:rsidRDefault="001F04FD" w:rsidP="00C830CE">
      <w:pPr>
        <w:pStyle w:val="BodyTextNumbered"/>
      </w:pPr>
      <w:r>
        <w:t>(</w:t>
      </w:r>
      <w:r w:rsidR="00C830CE">
        <w:t>3</w:t>
      </w:r>
      <w:r>
        <w:t>)</w:t>
      </w:r>
      <w:r>
        <w:tab/>
        <w:t>Any energy associated with the non-ERCOT Control Area Load BLT Point is treated as a Load obligation of the QSE representing the LSE with the BLT ESI ID as registered for Settlement purposes in accordance with Section 6.5.9.5.1</w:t>
      </w:r>
      <w:r w:rsidR="005755D9">
        <w:t xml:space="preserve">, </w:t>
      </w:r>
      <w:r w:rsidR="005755D9" w:rsidRPr="0009513E">
        <w:t>Registration and Posting of BLT Points</w:t>
      </w:r>
      <w:r>
        <w:t>.</w:t>
      </w:r>
    </w:p>
    <w:p w14:paraId="4183C9AE" w14:textId="77777777" w:rsidR="001F04FD" w:rsidRDefault="001F04FD" w:rsidP="001F04FD">
      <w:pPr>
        <w:pStyle w:val="H4"/>
      </w:pPr>
      <w:bookmarkStart w:id="1608" w:name="_Toc397504998"/>
      <w:bookmarkStart w:id="1609" w:name="_Toc402357126"/>
      <w:bookmarkStart w:id="1610" w:name="_Toc422486506"/>
      <w:bookmarkStart w:id="1611" w:name="_Toc433093358"/>
      <w:bookmarkStart w:id="1612" w:name="_Toc433093516"/>
      <w:bookmarkStart w:id="1613" w:name="_Toc440874744"/>
      <w:bookmarkStart w:id="1614" w:name="_Toc448142299"/>
      <w:bookmarkStart w:id="1615" w:name="_Toc448142456"/>
      <w:bookmarkStart w:id="1616" w:name="_Toc458770293"/>
      <w:bookmarkStart w:id="1617" w:name="_Toc459294261"/>
      <w:bookmarkStart w:id="1618" w:name="_Toc463262754"/>
      <w:bookmarkStart w:id="1619" w:name="_Toc468286827"/>
      <w:bookmarkStart w:id="1620" w:name="_Toc481502873"/>
      <w:bookmarkStart w:id="1621" w:name="_Toc496080041"/>
      <w:bookmarkStart w:id="1622" w:name="_Toc189044391"/>
      <w:bookmarkStart w:id="1623" w:name="_Toc73216033"/>
      <w:r>
        <w:t>6.5.9.6</w:t>
      </w:r>
      <w:r>
        <w:tab/>
        <w:t>Black Start</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77DCF858" w14:textId="77777777" w:rsidR="001F04FD" w:rsidRDefault="001F04FD" w:rsidP="001F04FD">
      <w:pPr>
        <w:pStyle w:val="BodyTextNumbered"/>
      </w:pPr>
      <w:r>
        <w:t>(1)</w:t>
      </w:r>
      <w:r>
        <w:tab/>
        <w:t xml:space="preserve">Black Start Service (BSS) is obtained by ERCOT through Black Start Agreements with QSEs for Generation Resources capable of self-starting or Generation Resources within close proximity of a non-ERCOT Control Area that are capable of starting from that non-ERCOT Control Area under a firm standby power supply contract, without support from the ERCOT System, or transmission equipment in the ERCOT System.  Generation Resources that can be started with a minimum of pre-coordinated switching operations </w:t>
      </w:r>
      <w:r>
        <w:lastRenderedPageBreak/>
        <w:t>using ERCOT transmission equipment within the ERCOT System may be considered for BSS only where switching may be accomplished within one hour or less.</w:t>
      </w:r>
    </w:p>
    <w:p w14:paraId="73302EFE" w14:textId="77777777" w:rsidR="001F04FD" w:rsidRDefault="001F04FD" w:rsidP="001F04FD">
      <w:pPr>
        <w:pStyle w:val="BodyTextNumbered"/>
        <w:spacing w:after="480"/>
      </w:pPr>
      <w:r>
        <w:t>(2)</w:t>
      </w:r>
      <w:r>
        <w:tab/>
        <w:t xml:space="preserve">ERCOT may Dispatch BSS pursuant to an emergency restoration plan to begin restoration of the ERCOT System to a secure operating state after a Blackout.  General restoration actions for all Market Participants are described in the Operating Guides.  </w:t>
      </w:r>
    </w:p>
    <w:p w14:paraId="1A87BD30" w14:textId="77777777" w:rsidR="001F04FD" w:rsidRDefault="001F04FD" w:rsidP="001F04FD">
      <w:pPr>
        <w:pStyle w:val="H2"/>
        <w:spacing w:after="480"/>
        <w:ind w:left="907" w:hanging="907"/>
      </w:pPr>
      <w:bookmarkStart w:id="1624" w:name="_Toc397504999"/>
      <w:bookmarkStart w:id="1625" w:name="_Toc402357127"/>
      <w:bookmarkStart w:id="1626" w:name="_Toc422486507"/>
      <w:bookmarkStart w:id="1627" w:name="_Toc433093359"/>
      <w:bookmarkStart w:id="1628" w:name="_Toc433093517"/>
      <w:bookmarkStart w:id="1629" w:name="_Toc440874745"/>
      <w:bookmarkStart w:id="1630" w:name="_Toc448142300"/>
      <w:bookmarkStart w:id="1631" w:name="_Toc448142457"/>
      <w:bookmarkStart w:id="1632" w:name="_Toc458770294"/>
      <w:bookmarkStart w:id="1633" w:name="_Toc459294262"/>
      <w:bookmarkStart w:id="1634" w:name="_Toc463262755"/>
      <w:bookmarkStart w:id="1635" w:name="_Toc468286828"/>
      <w:bookmarkStart w:id="1636" w:name="_Toc481502874"/>
      <w:bookmarkStart w:id="1637" w:name="_Toc496080042"/>
      <w:bookmarkStart w:id="1638" w:name="_Toc189044392"/>
      <w:bookmarkEnd w:id="1623"/>
      <w:r>
        <w:t>6.6</w:t>
      </w:r>
      <w:r>
        <w:tab/>
        <w:t>Settlement Calculations for the Real-Time Energy Operations</w:t>
      </w:r>
      <w:bookmarkEnd w:id="1524"/>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6471981A" w14:textId="77777777" w:rsidR="001F04FD" w:rsidRPr="00CE28CE" w:rsidRDefault="001F04FD" w:rsidP="001F04FD">
      <w:pPr>
        <w:spacing w:before="240" w:after="240"/>
        <w:outlineLvl w:val="2"/>
      </w:pPr>
      <w:bookmarkStart w:id="1639" w:name="_Toc397505000"/>
      <w:bookmarkStart w:id="1640" w:name="_Toc402357128"/>
      <w:bookmarkStart w:id="1641" w:name="_Toc422486508"/>
      <w:bookmarkStart w:id="1642" w:name="_Toc433093360"/>
      <w:bookmarkStart w:id="1643" w:name="_Toc433093518"/>
      <w:bookmarkStart w:id="1644" w:name="_Toc440874746"/>
      <w:bookmarkStart w:id="1645" w:name="_Toc448142301"/>
      <w:bookmarkStart w:id="1646" w:name="_Toc448142458"/>
      <w:bookmarkStart w:id="1647" w:name="_Toc458770295"/>
      <w:bookmarkStart w:id="1648" w:name="_Toc459294263"/>
      <w:bookmarkStart w:id="1649" w:name="_Toc463262756"/>
      <w:bookmarkStart w:id="1650" w:name="_Toc468286829"/>
      <w:bookmarkStart w:id="1651" w:name="_Toc481502875"/>
      <w:bookmarkStart w:id="1652" w:name="_Toc496080043"/>
      <w:bookmarkStart w:id="1653" w:name="_Toc189044393"/>
      <w:bookmarkStart w:id="1654" w:name="_Toc87951783"/>
      <w:bookmarkStart w:id="1655" w:name="_Toc109009380"/>
      <w:r w:rsidRPr="00C659E1">
        <w:rPr>
          <w:b/>
          <w:i/>
        </w:rPr>
        <w:t>6.6.1</w:t>
      </w:r>
      <w:r w:rsidRPr="00C659E1">
        <w:rPr>
          <w:b/>
          <w:i/>
        </w:rPr>
        <w:tab/>
        <w:t>Real-Time Settlement Point Prices</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bookmarkEnd w:id="1654"/>
    <w:bookmarkEnd w:id="1655"/>
    <w:p w14:paraId="74E50A17" w14:textId="77777777" w:rsidR="001F04FD" w:rsidRDefault="001F04FD" w:rsidP="001F04FD">
      <w:pPr>
        <w:spacing w:after="240"/>
        <w:ind w:left="720" w:hanging="720"/>
      </w:pPr>
      <w:r>
        <w:t>(1)</w:t>
      </w:r>
      <w: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t>
      </w:r>
      <w:r w:rsidRPr="007813F6">
        <w:t xml:space="preserve">will be applied </w:t>
      </w:r>
      <w:r>
        <w:t>to Real-Time Settlement Point Prices after</w:t>
      </w:r>
      <w:r w:rsidRPr="007813F6">
        <w:t xml:space="preserve"> adding the </w:t>
      </w:r>
      <w:r>
        <w:t>sum of</w:t>
      </w:r>
      <w:r w:rsidRPr="00036467">
        <w:t xml:space="preserve"> </w:t>
      </w:r>
      <w:r>
        <w:t xml:space="preserve">the </w:t>
      </w:r>
      <w:r w:rsidRPr="00036467">
        <w:t>Real-Time On-Line Reliability Deployment Price Adders</w:t>
      </w:r>
      <w:r>
        <w:t xml:space="preserve"> and the</w:t>
      </w:r>
      <w:r w:rsidRPr="007813F6">
        <w:t xml:space="preserve"> Real-Time On-Line Reserve Price Adder</w:t>
      </w:r>
      <w:r>
        <w:t xml:space="preserve">.  ERCOT shall assign an </w:t>
      </w:r>
      <w:r w:rsidRPr="00AD7DC0">
        <w:t xml:space="preserve">LMP to de-energized Electrical Buses for use in the calculation of the </w:t>
      </w:r>
      <w:r>
        <w:t>Real-Time</w:t>
      </w:r>
      <w:r w:rsidRPr="00AD7DC0">
        <w:t xml:space="preserve"> Settlement Point Prices</w:t>
      </w:r>
      <w:r>
        <w:t xml:space="preserve"> by using heuristic rules applied in the following order: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E071B" w14:paraId="757AD40D" w14:textId="77777777" w:rsidTr="00EC5231">
        <w:trPr>
          <w:trHeight w:val="206"/>
        </w:trPr>
        <w:tc>
          <w:tcPr>
            <w:tcW w:w="9350" w:type="dxa"/>
            <w:shd w:val="pct12" w:color="auto" w:fill="auto"/>
          </w:tcPr>
          <w:p w14:paraId="07940361" w14:textId="57AB2CC1" w:rsidR="004E071B" w:rsidRDefault="004E071B" w:rsidP="00EC5231">
            <w:pPr>
              <w:pStyle w:val="Instructions"/>
              <w:spacing w:before="120"/>
            </w:pPr>
            <w:r>
              <w:t>[NPRR1010:  Replace paragraph (1) above with the following upon system implementation of the Real-Time Co-Optimization (RTC) project:]</w:t>
            </w:r>
          </w:p>
          <w:p w14:paraId="5452545A" w14:textId="6083433B" w:rsidR="004E071B" w:rsidRPr="00B37C4B" w:rsidRDefault="004E071B" w:rsidP="004E071B">
            <w:pPr>
              <w:spacing w:after="240"/>
              <w:ind w:left="720" w:hanging="720"/>
            </w:pPr>
            <w:r w:rsidRPr="003161DC">
              <w:t>(1)</w:t>
            </w:r>
            <w:r w:rsidRPr="003161DC">
              <w:tab/>
              <w:t>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Real-Time Reliability Deployment Price Adders</w:t>
            </w:r>
            <w:r>
              <w:t xml:space="preserve"> for Energy</w:t>
            </w:r>
            <w:r w:rsidRPr="003161DC">
              <w:t xml:space="preserve">.  ERCOT shall assign an LMP to de-energized Electrical Buses for use in the calculation of the Real-Time Settlement Point Prices by using heuristic rules </w:t>
            </w:r>
            <w:r>
              <w:t>applied in the following order:</w:t>
            </w:r>
          </w:p>
        </w:tc>
      </w:tr>
    </w:tbl>
    <w:p w14:paraId="11C0FCBC" w14:textId="3D0EEFFC" w:rsidR="001F04FD" w:rsidRPr="00A6179D" w:rsidRDefault="001F04FD" w:rsidP="00FB599C">
      <w:pPr>
        <w:pStyle w:val="BodyTextNumbered"/>
        <w:spacing w:before="240"/>
        <w:ind w:left="1440"/>
      </w:pPr>
      <w:r w:rsidRPr="00A6179D">
        <w:t>(a)</w:t>
      </w:r>
      <w:r w:rsidRPr="00A6179D">
        <w:tab/>
        <w:t>Use an appropriate LMP predetermined by ERCOT as applicable to a specific Electrical Bus; or if not so specified</w:t>
      </w:r>
    </w:p>
    <w:p w14:paraId="33AC6CD3" w14:textId="77777777" w:rsidR="001F04FD" w:rsidRPr="00A61738" w:rsidRDefault="001F04FD" w:rsidP="001F04FD">
      <w:pPr>
        <w:pStyle w:val="BodyTextNumbered"/>
        <w:ind w:left="1440"/>
      </w:pPr>
      <w:r w:rsidRPr="00A6179D">
        <w:t>(b)</w:t>
      </w:r>
      <w:r w:rsidRPr="00A6179D">
        <w:tab/>
        <w:t>Use the following rules in order:</w:t>
      </w:r>
    </w:p>
    <w:p w14:paraId="78D79ACA" w14:textId="77777777" w:rsidR="001F04FD" w:rsidRDefault="001F04FD" w:rsidP="001F04FD">
      <w:pPr>
        <w:pStyle w:val="List"/>
        <w:ind w:left="2160"/>
      </w:pPr>
      <w:r>
        <w:t>(i)</w:t>
      </w:r>
      <w:r>
        <w:tab/>
        <w:t>Use average LMP for Electrical Buses within the same station having the same voltage level as the de-energized Electrical Bus, if any exist.</w:t>
      </w:r>
    </w:p>
    <w:p w14:paraId="025A23CF" w14:textId="77777777" w:rsidR="001F04FD" w:rsidRDefault="001F04FD" w:rsidP="001F04FD">
      <w:pPr>
        <w:pStyle w:val="BodyText"/>
        <w:ind w:left="2160" w:hanging="720"/>
      </w:pPr>
      <w:r>
        <w:t>(ii)</w:t>
      </w:r>
      <w:r>
        <w:tab/>
        <w:t>Use average LMP for all Electrical Buses within the same station, if any exist.</w:t>
      </w:r>
    </w:p>
    <w:p w14:paraId="571C6961" w14:textId="77777777" w:rsidR="001F04FD" w:rsidRDefault="001F04FD" w:rsidP="001F04FD">
      <w:pPr>
        <w:pStyle w:val="BodyText"/>
        <w:ind w:left="1440"/>
      </w:pPr>
      <w:r>
        <w:lastRenderedPageBreak/>
        <w:t>(iii)</w:t>
      </w:r>
      <w:r>
        <w:tab/>
        <w:t>Use System Lambda.</w:t>
      </w:r>
    </w:p>
    <w:p w14:paraId="78039C62" w14:textId="77777777" w:rsidR="001F04FD" w:rsidRDefault="001F04FD" w:rsidP="001F04FD">
      <w:pPr>
        <w:pStyle w:val="H4"/>
        <w:ind w:left="1267" w:hanging="1267"/>
      </w:pPr>
      <w:bookmarkStart w:id="1656" w:name="_Toc103653332"/>
      <w:bookmarkStart w:id="1657" w:name="_Toc109009381"/>
      <w:bookmarkStart w:id="1658" w:name="_Toc397505002"/>
      <w:bookmarkStart w:id="1659" w:name="_Toc402357130"/>
      <w:bookmarkStart w:id="1660" w:name="_Toc422486509"/>
      <w:bookmarkStart w:id="1661" w:name="_Toc433093361"/>
      <w:bookmarkStart w:id="1662" w:name="_Toc433093519"/>
      <w:bookmarkStart w:id="1663" w:name="_Toc440874747"/>
      <w:bookmarkStart w:id="1664" w:name="_Toc448142302"/>
      <w:bookmarkStart w:id="1665" w:name="_Toc448142459"/>
      <w:bookmarkStart w:id="1666" w:name="_Toc458770296"/>
      <w:bookmarkStart w:id="1667" w:name="_Toc459294264"/>
      <w:bookmarkStart w:id="1668" w:name="_Toc463262757"/>
      <w:bookmarkStart w:id="1669" w:name="_Toc468286830"/>
      <w:bookmarkStart w:id="1670" w:name="_Toc481502876"/>
      <w:bookmarkStart w:id="1671" w:name="_Toc496080044"/>
      <w:bookmarkStart w:id="1672" w:name="_Toc189044394"/>
      <w:r>
        <w:t>6.6.1.1</w:t>
      </w:r>
      <w:r>
        <w:tab/>
        <w:t>Real-Time Settlement Point Price for a Resource Node</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3D934CE5" w14:textId="77777777" w:rsidR="001F04FD" w:rsidRDefault="001F04FD" w:rsidP="001F04FD">
      <w:pPr>
        <w:pStyle w:val="BodyTextNumbered"/>
        <w:rPr>
          <w:b/>
          <w:i/>
          <w:iCs/>
          <w:szCs w:val="24"/>
        </w:rPr>
      </w:pPr>
      <w:r>
        <w:t>(1)</w:t>
      </w:r>
      <w:r>
        <w:tab/>
      </w:r>
      <w:r w:rsidR="00CC16D4">
        <w:t>T</w:t>
      </w:r>
      <w:r>
        <w:t>he Real-Time Settlement Point Price for a Resource Node Settlement Point is the time-weighted average of the sum of the Real-Time LMPs</w:t>
      </w:r>
      <w:r w:rsidRPr="00193B05">
        <w:t xml:space="preserve">, Real-Time On-Line Reliability Deployment Price Adders, </w:t>
      </w:r>
      <w:r>
        <w:t>and the Real-Time On-Line Reserve Price Adders.  The Real-Time Settlement Point Price for a 15-minute Settlement Interval is calculated as follows:</w:t>
      </w:r>
    </w:p>
    <w:p w14:paraId="56F9B93E" w14:textId="77777777" w:rsidR="001F04FD" w:rsidRDefault="001F04FD" w:rsidP="001F04FD">
      <w:pPr>
        <w:pStyle w:val="FormulaBold"/>
      </w:pPr>
      <w:r>
        <w:t>RTSPP</w:t>
      </w:r>
      <w:r>
        <w:tab/>
        <w:t>=</w:t>
      </w:r>
      <w:r>
        <w:tab/>
        <w:t>Max (-$251, (</w:t>
      </w:r>
      <w:r w:rsidRPr="006F784F">
        <w:rPr>
          <w:position w:val="-22"/>
        </w:rPr>
        <w:object w:dxaOrig="225" w:dyaOrig="465" w14:anchorId="404FFB4A">
          <v:shape id="_x0000_i1029" type="#_x0000_t75" style="width:12pt;height:18pt" o:ole="">
            <v:imagedata r:id="rId20" o:title=""/>
          </v:shape>
          <o:OLEObject Type="Embed" ProgID="Equation.3" ShapeID="_x0000_i1029" DrawAspect="Content" ObjectID="_1804653514" r:id="rId21"/>
        </w:object>
      </w:r>
      <w:r>
        <w:t>(RNWF</w:t>
      </w:r>
      <w:r w:rsidR="00611796">
        <w:t xml:space="preserve"> </w:t>
      </w:r>
      <w:r>
        <w:rPr>
          <w:i/>
          <w:vertAlign w:val="subscript"/>
        </w:rPr>
        <w:t>y</w:t>
      </w:r>
      <w:r>
        <w:t xml:space="preserve"> * (RTLMP</w:t>
      </w:r>
      <w:r w:rsidR="00611796">
        <w:t xml:space="preserve"> </w:t>
      </w:r>
      <w:r>
        <w:rPr>
          <w:i/>
          <w:vertAlign w:val="subscript"/>
        </w:rPr>
        <w:t>y</w:t>
      </w:r>
      <w:r>
        <w:t xml:space="preserve"> </w:t>
      </w:r>
      <w:r w:rsidRPr="0080555B">
        <w:t>+ RTORPA</w:t>
      </w:r>
      <w:r w:rsidRPr="0080555B">
        <w:rPr>
          <w:i/>
          <w:vertAlign w:val="subscript"/>
        </w:rPr>
        <w:t xml:space="preserve"> y</w:t>
      </w:r>
      <w:r>
        <w:rPr>
          <w:i/>
          <w:vertAlign w:val="subscript"/>
        </w:rPr>
        <w:t xml:space="preserve"> </w:t>
      </w:r>
      <w:r w:rsidRPr="00193B05">
        <w:t>+ RTORDPA</w:t>
      </w:r>
      <w:r w:rsidRPr="00193B05">
        <w:rPr>
          <w:i/>
          <w:vertAlign w:val="subscript"/>
        </w:rPr>
        <w:t xml:space="preserve"> y</w:t>
      </w:r>
      <w:r w:rsidRPr="0080555B">
        <w:t>)</w:t>
      </w:r>
      <w:r>
        <w:t>))</w:t>
      </w:r>
      <w:r w:rsidRPr="0080555B">
        <w:t>)</w:t>
      </w:r>
    </w:p>
    <w:p w14:paraId="45446760" w14:textId="77777777" w:rsidR="001F04FD" w:rsidRDefault="001F04FD" w:rsidP="001F04FD">
      <w:pPr>
        <w:pStyle w:val="BodyText"/>
        <w:ind w:firstLine="720"/>
      </w:pPr>
      <w:r>
        <w:t xml:space="preserve">Where the Resource Node weighting </w:t>
      </w:r>
      <w:r w:rsidRPr="004976A1">
        <w:t>factor</w:t>
      </w:r>
      <w:r>
        <w:t xml:space="preserve"> is:</w:t>
      </w:r>
    </w:p>
    <w:p w14:paraId="6C3E9E45" w14:textId="77777777" w:rsidR="001F04FD" w:rsidRDefault="001F04FD" w:rsidP="001F04FD">
      <w:pPr>
        <w:pStyle w:val="Formula"/>
        <w:ind w:left="2888" w:hanging="2168"/>
        <w:rPr>
          <w:b/>
        </w:rPr>
      </w:pPr>
      <w:r>
        <w:rPr>
          <w:b/>
        </w:rPr>
        <w:t>RNWF</w:t>
      </w:r>
      <w:r w:rsidR="00611796">
        <w:rPr>
          <w:b/>
        </w:rPr>
        <w:t xml:space="preserve"> </w:t>
      </w:r>
      <w:r>
        <w:rPr>
          <w:b/>
          <w:i/>
          <w:vertAlign w:val="subscript"/>
        </w:rPr>
        <w:t>y</w:t>
      </w:r>
      <w:r>
        <w:rPr>
          <w:b/>
          <w:vertAlign w:val="subscript"/>
        </w:rPr>
        <w:tab/>
      </w:r>
      <w:r>
        <w:rPr>
          <w:b/>
        </w:rPr>
        <w:t>=</w:t>
      </w:r>
      <w:r>
        <w:rPr>
          <w:b/>
        </w:rPr>
        <w:tab/>
        <w:t>TLMP</w:t>
      </w:r>
      <w:r w:rsidR="00611796">
        <w:rPr>
          <w:b/>
        </w:rPr>
        <w:t xml:space="preserve"> </w:t>
      </w:r>
      <w:r>
        <w:rPr>
          <w:b/>
          <w:i/>
          <w:vertAlign w:val="subscript"/>
        </w:rPr>
        <w:t>y</w:t>
      </w:r>
      <w:r w:rsidRPr="004976A1">
        <w:rPr>
          <w:b/>
        </w:rPr>
        <w:t xml:space="preserve"> </w:t>
      </w:r>
      <w:r>
        <w:rPr>
          <w:b/>
          <w:color w:val="000000"/>
          <w:sz w:val="32"/>
          <w:szCs w:val="32"/>
        </w:rPr>
        <w:t>/</w:t>
      </w:r>
      <w:r w:rsidRPr="004976A1">
        <w:rPr>
          <w:b/>
          <w:color w:val="000000"/>
        </w:rPr>
        <w:t xml:space="preserve"> </w:t>
      </w:r>
      <w:r w:rsidRPr="006F784F">
        <w:rPr>
          <w:b/>
          <w:position w:val="-22"/>
        </w:rPr>
        <w:object w:dxaOrig="225" w:dyaOrig="465" w14:anchorId="57682C9C">
          <v:shape id="_x0000_i1030" type="#_x0000_t75" style="width:12pt;height:18pt" o:ole="">
            <v:imagedata r:id="rId22" o:title=""/>
          </v:shape>
          <o:OLEObject Type="Embed" ProgID="Equation.3" ShapeID="_x0000_i1030" DrawAspect="Content" ObjectID="_1804653515" r:id="rId23"/>
        </w:object>
      </w:r>
      <w:r>
        <w:rPr>
          <w:b/>
        </w:rPr>
        <w:t>TLMP</w:t>
      </w:r>
      <w:r w:rsidR="00611796">
        <w:rPr>
          <w:b/>
        </w:rPr>
        <w:t xml:space="preserve"> </w:t>
      </w:r>
      <w:r>
        <w:rPr>
          <w:b/>
          <w:i/>
          <w:vertAlign w:val="subscript"/>
        </w:rPr>
        <w:t>y</w:t>
      </w:r>
    </w:p>
    <w:p w14:paraId="394AB973" w14:textId="77777777" w:rsidR="001F04FD" w:rsidRDefault="001F04FD" w:rsidP="001F04FD">
      <w: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1F04FD" w14:paraId="6994C636" w14:textId="77777777" w:rsidTr="00142F7A">
        <w:tc>
          <w:tcPr>
            <w:tcW w:w="1284" w:type="dxa"/>
          </w:tcPr>
          <w:p w14:paraId="02B93857" w14:textId="77777777" w:rsidR="001F04FD" w:rsidRDefault="001F04FD" w:rsidP="00AC4DEE">
            <w:pPr>
              <w:pStyle w:val="TableHead"/>
            </w:pPr>
            <w:r>
              <w:t>Variable</w:t>
            </w:r>
          </w:p>
        </w:tc>
        <w:tc>
          <w:tcPr>
            <w:tcW w:w="900" w:type="dxa"/>
          </w:tcPr>
          <w:p w14:paraId="16B300A1" w14:textId="77777777" w:rsidR="001F04FD" w:rsidRDefault="001F04FD" w:rsidP="00AC4DEE">
            <w:pPr>
              <w:pStyle w:val="TableHead"/>
            </w:pPr>
            <w:r>
              <w:t>Unit</w:t>
            </w:r>
          </w:p>
        </w:tc>
        <w:tc>
          <w:tcPr>
            <w:tcW w:w="7166" w:type="dxa"/>
          </w:tcPr>
          <w:p w14:paraId="6C2BDB9B" w14:textId="77777777" w:rsidR="001F04FD" w:rsidRDefault="001F04FD" w:rsidP="00AC4DEE">
            <w:pPr>
              <w:pStyle w:val="TableHead"/>
            </w:pPr>
            <w:r>
              <w:t>Description</w:t>
            </w:r>
          </w:p>
        </w:tc>
      </w:tr>
      <w:tr w:rsidR="001F04FD" w14:paraId="4967D39D" w14:textId="77777777" w:rsidTr="00142F7A">
        <w:tc>
          <w:tcPr>
            <w:tcW w:w="1284" w:type="dxa"/>
          </w:tcPr>
          <w:p w14:paraId="0B84FE08" w14:textId="77777777" w:rsidR="001F04FD" w:rsidRDefault="001F04FD" w:rsidP="00AC4DEE">
            <w:pPr>
              <w:pStyle w:val="TableBody"/>
            </w:pPr>
            <w:r>
              <w:t>RTSPP</w:t>
            </w:r>
          </w:p>
        </w:tc>
        <w:tc>
          <w:tcPr>
            <w:tcW w:w="900" w:type="dxa"/>
          </w:tcPr>
          <w:p w14:paraId="0812286A" w14:textId="77777777" w:rsidR="001F04FD" w:rsidRDefault="001F04FD" w:rsidP="00AC4DEE">
            <w:pPr>
              <w:pStyle w:val="TableBody"/>
            </w:pPr>
            <w:r>
              <w:t>$/MWh</w:t>
            </w:r>
          </w:p>
        </w:tc>
        <w:tc>
          <w:tcPr>
            <w:tcW w:w="7166" w:type="dxa"/>
          </w:tcPr>
          <w:p w14:paraId="3BA52421"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654735A1" w14:textId="77777777" w:rsidTr="00142F7A">
        <w:tc>
          <w:tcPr>
            <w:tcW w:w="1284" w:type="dxa"/>
          </w:tcPr>
          <w:p w14:paraId="2F2E0EC5" w14:textId="77777777" w:rsidR="001F04FD" w:rsidRDefault="001F04FD" w:rsidP="00AC4DEE">
            <w:pPr>
              <w:pStyle w:val="TableBody"/>
            </w:pPr>
            <w:r w:rsidRPr="00CE4C14">
              <w:t>RTORPA</w:t>
            </w:r>
            <w:r>
              <w:t xml:space="preserve"> </w:t>
            </w:r>
            <w:r w:rsidRPr="00CE4C14">
              <w:rPr>
                <w:i/>
                <w:vertAlign w:val="subscript"/>
              </w:rPr>
              <w:t>y</w:t>
            </w:r>
          </w:p>
        </w:tc>
        <w:tc>
          <w:tcPr>
            <w:tcW w:w="900" w:type="dxa"/>
          </w:tcPr>
          <w:p w14:paraId="14F96227" w14:textId="77777777" w:rsidR="001F04FD" w:rsidRDefault="001F04FD" w:rsidP="00AC4DEE">
            <w:pPr>
              <w:pStyle w:val="TableBody"/>
            </w:pPr>
            <w:r w:rsidRPr="00CE4C14">
              <w:t>$/MWh</w:t>
            </w:r>
          </w:p>
        </w:tc>
        <w:tc>
          <w:tcPr>
            <w:tcW w:w="7166" w:type="dxa"/>
          </w:tcPr>
          <w:p w14:paraId="3E3729B1" w14:textId="77777777"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On-Line Reserve Price Adder for the SCED interval </w:t>
            </w:r>
            <w:r w:rsidRPr="00CE4C14">
              <w:rPr>
                <w:i/>
              </w:rPr>
              <w:t>y</w:t>
            </w:r>
            <w:r w:rsidRPr="00CE4C14">
              <w:t>.</w:t>
            </w:r>
          </w:p>
        </w:tc>
      </w:tr>
      <w:tr w:rsidR="001F04FD" w14:paraId="36CCD773" w14:textId="77777777" w:rsidTr="00142F7A">
        <w:tc>
          <w:tcPr>
            <w:tcW w:w="1284" w:type="dxa"/>
          </w:tcPr>
          <w:p w14:paraId="77E14284" w14:textId="77777777" w:rsidR="001F04FD" w:rsidRDefault="001F04FD" w:rsidP="00AC4DEE">
            <w:pPr>
              <w:pStyle w:val="TableBody"/>
            </w:pPr>
            <w:r>
              <w:t xml:space="preserve">RTLMP </w:t>
            </w:r>
            <w:r w:rsidRPr="00D661BC">
              <w:rPr>
                <w:i/>
                <w:vertAlign w:val="subscript"/>
              </w:rPr>
              <w:t>y</w:t>
            </w:r>
          </w:p>
        </w:tc>
        <w:tc>
          <w:tcPr>
            <w:tcW w:w="900" w:type="dxa"/>
          </w:tcPr>
          <w:p w14:paraId="17C1CAC6" w14:textId="77777777" w:rsidR="001F04FD" w:rsidRDefault="001F04FD" w:rsidP="00AC4DEE">
            <w:pPr>
              <w:pStyle w:val="TableBody"/>
            </w:pPr>
            <w:r>
              <w:t>$/MWh</w:t>
            </w:r>
          </w:p>
        </w:tc>
        <w:tc>
          <w:tcPr>
            <w:tcW w:w="7166" w:type="dxa"/>
          </w:tcPr>
          <w:p w14:paraId="008CDB7C" w14:textId="77777777" w:rsidR="001F04FD" w:rsidRDefault="001F04FD" w:rsidP="00AC4DEE">
            <w:pPr>
              <w:pStyle w:val="TableBody"/>
            </w:pPr>
            <w:r>
              <w:rPr>
                <w:i/>
              </w:rPr>
              <w:t>Real-Time Locational Marginal Price per interval</w:t>
            </w:r>
            <w:r>
              <w:sym w:font="Symbol" w:char="F0BE"/>
            </w:r>
            <w:r>
              <w:t xml:space="preserve">The Real-Time LMP at the Settlement Point for the SCED interval </w:t>
            </w:r>
            <w:r>
              <w:rPr>
                <w:i/>
              </w:rPr>
              <w:t>y</w:t>
            </w:r>
            <w:r>
              <w:t>.</w:t>
            </w:r>
          </w:p>
        </w:tc>
      </w:tr>
      <w:tr w:rsidR="001F04FD" w14:paraId="6D7E7EDE" w14:textId="77777777" w:rsidTr="00142F7A">
        <w:tc>
          <w:tcPr>
            <w:tcW w:w="1284" w:type="dxa"/>
          </w:tcPr>
          <w:p w14:paraId="6B72217B" w14:textId="77777777" w:rsidR="001F04FD" w:rsidRPr="00193B05" w:rsidRDefault="001F04FD" w:rsidP="00AC4DEE">
            <w:pPr>
              <w:pStyle w:val="TableBody"/>
            </w:pPr>
            <w:r w:rsidRPr="00193B05">
              <w:t>RTORDPA</w:t>
            </w:r>
            <w:r w:rsidRPr="00193B05">
              <w:rPr>
                <w:vertAlign w:val="subscript"/>
              </w:rPr>
              <w:t xml:space="preserve"> </w:t>
            </w:r>
            <w:r w:rsidRPr="00611796">
              <w:rPr>
                <w:i/>
                <w:vertAlign w:val="subscript"/>
              </w:rPr>
              <w:t>y</w:t>
            </w:r>
          </w:p>
        </w:tc>
        <w:tc>
          <w:tcPr>
            <w:tcW w:w="900" w:type="dxa"/>
          </w:tcPr>
          <w:p w14:paraId="147B54A9" w14:textId="77777777" w:rsidR="001F04FD" w:rsidRPr="00193B05" w:rsidRDefault="001F04FD" w:rsidP="00AC4DEE">
            <w:pPr>
              <w:pStyle w:val="TableBody"/>
            </w:pPr>
            <w:r w:rsidRPr="00193B05">
              <w:t>$/MWh</w:t>
            </w:r>
          </w:p>
        </w:tc>
        <w:tc>
          <w:tcPr>
            <w:tcW w:w="7166" w:type="dxa"/>
          </w:tcPr>
          <w:p w14:paraId="5A6B9D4D" w14:textId="77777777"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1003FE55" w14:textId="77777777" w:rsidTr="00142F7A">
        <w:tc>
          <w:tcPr>
            <w:tcW w:w="1284" w:type="dxa"/>
          </w:tcPr>
          <w:p w14:paraId="28D5FA12" w14:textId="77777777" w:rsidR="001F04FD" w:rsidRDefault="001F04FD" w:rsidP="00611796">
            <w:pPr>
              <w:pStyle w:val="TableBody"/>
            </w:pPr>
            <w:r>
              <w:t>RNWF</w:t>
            </w:r>
            <w:r w:rsidR="00611796">
              <w:t xml:space="preserve"> </w:t>
            </w:r>
            <w:r w:rsidRPr="00D661BC">
              <w:rPr>
                <w:i/>
                <w:vertAlign w:val="subscript"/>
              </w:rPr>
              <w:t>y</w:t>
            </w:r>
          </w:p>
        </w:tc>
        <w:tc>
          <w:tcPr>
            <w:tcW w:w="900" w:type="dxa"/>
          </w:tcPr>
          <w:p w14:paraId="33E73BEA" w14:textId="77777777" w:rsidR="001F04FD" w:rsidRDefault="001F04FD" w:rsidP="00AC4DEE">
            <w:pPr>
              <w:pStyle w:val="TableBody"/>
            </w:pPr>
            <w:r>
              <w:t>none</w:t>
            </w:r>
          </w:p>
        </w:tc>
        <w:tc>
          <w:tcPr>
            <w:tcW w:w="7166" w:type="dxa"/>
          </w:tcPr>
          <w:p w14:paraId="48F23C66" w14:textId="77777777" w:rsidR="001F04FD" w:rsidRDefault="001F04FD" w:rsidP="00AC4DEE">
            <w:pPr>
              <w:pStyle w:val="TableBody"/>
            </w:pPr>
            <w:r>
              <w:rPr>
                <w:i/>
              </w:rPr>
              <w:t>Resource Node Weighting Factor per interval</w:t>
            </w:r>
            <w:r>
              <w:sym w:font="Symbol" w:char="F0BE"/>
            </w:r>
            <w:r>
              <w:t xml:space="preserve">The weight used in the Resource Node Settlement Point Price calculation for the portion of the SCED interval </w:t>
            </w:r>
            <w:r w:rsidRPr="009F599E">
              <w:rPr>
                <w:i/>
              </w:rPr>
              <w:t>y</w:t>
            </w:r>
            <w:r>
              <w:t xml:space="preserve"> within the Settlement Interval.</w:t>
            </w:r>
          </w:p>
        </w:tc>
      </w:tr>
      <w:tr w:rsidR="001F04FD" w14:paraId="6535C8AA" w14:textId="77777777" w:rsidTr="00142F7A">
        <w:tc>
          <w:tcPr>
            <w:tcW w:w="1284" w:type="dxa"/>
          </w:tcPr>
          <w:p w14:paraId="0440BE3A" w14:textId="77777777" w:rsidR="001F04FD" w:rsidRDefault="001F04FD" w:rsidP="00AC4DEE">
            <w:pPr>
              <w:pStyle w:val="TableBody"/>
            </w:pPr>
            <w:r>
              <w:t xml:space="preserve">TLMP </w:t>
            </w:r>
            <w:r w:rsidRPr="00D661BC">
              <w:rPr>
                <w:i/>
                <w:vertAlign w:val="subscript"/>
              </w:rPr>
              <w:t>y</w:t>
            </w:r>
          </w:p>
        </w:tc>
        <w:tc>
          <w:tcPr>
            <w:tcW w:w="900" w:type="dxa"/>
          </w:tcPr>
          <w:p w14:paraId="42CE6527" w14:textId="77777777" w:rsidR="001F04FD" w:rsidRDefault="001F04FD" w:rsidP="00AC4DEE">
            <w:pPr>
              <w:pStyle w:val="TableBody"/>
              <w:rPr>
                <w:iCs w:val="0"/>
              </w:rPr>
            </w:pPr>
            <w:r>
              <w:t>second</w:t>
            </w:r>
          </w:p>
        </w:tc>
        <w:tc>
          <w:tcPr>
            <w:tcW w:w="7166" w:type="dxa"/>
          </w:tcPr>
          <w:p w14:paraId="030B57D9" w14:textId="77777777" w:rsidR="001F04FD" w:rsidRDefault="001F04FD" w:rsidP="00AC4DEE">
            <w:pPr>
              <w:pStyle w:val="TableBody"/>
            </w:pPr>
            <w:r>
              <w:rPr>
                <w:i/>
                <w:iCs w:val="0"/>
              </w:rPr>
              <w:t>Duration of SCED interval per interval</w:t>
            </w:r>
            <w:r>
              <w:sym w:font="Symbol" w:char="F0BE"/>
            </w:r>
            <w:r>
              <w:t xml:space="preserve">The duration of the portion of the SCED interval </w:t>
            </w:r>
            <w:r>
              <w:rPr>
                <w:i/>
                <w:iCs w:val="0"/>
              </w:rPr>
              <w:t>y</w:t>
            </w:r>
            <w:r>
              <w:rPr>
                <w:iCs w:val="0"/>
              </w:rPr>
              <w:t xml:space="preserve"> within the Settlement Interval</w:t>
            </w:r>
            <w:r>
              <w:t>.</w:t>
            </w:r>
          </w:p>
        </w:tc>
      </w:tr>
      <w:tr w:rsidR="001F04FD" w14:paraId="73E4213A" w14:textId="77777777" w:rsidTr="00142F7A">
        <w:tc>
          <w:tcPr>
            <w:tcW w:w="1284" w:type="dxa"/>
          </w:tcPr>
          <w:p w14:paraId="5B6021BC" w14:textId="77777777" w:rsidR="001F04FD" w:rsidRPr="002958DA" w:rsidRDefault="001F04FD" w:rsidP="00AC4DEE">
            <w:pPr>
              <w:pStyle w:val="TableBody"/>
              <w:rPr>
                <w:i/>
              </w:rPr>
            </w:pPr>
            <w:r w:rsidRPr="00D661BC">
              <w:rPr>
                <w:i/>
              </w:rPr>
              <w:t>y</w:t>
            </w:r>
          </w:p>
        </w:tc>
        <w:tc>
          <w:tcPr>
            <w:tcW w:w="900" w:type="dxa"/>
          </w:tcPr>
          <w:p w14:paraId="11FB236F" w14:textId="77777777" w:rsidR="001F04FD" w:rsidRDefault="001F04FD" w:rsidP="00AC4DEE">
            <w:pPr>
              <w:pStyle w:val="TableBody"/>
            </w:pPr>
            <w:r>
              <w:t>none</w:t>
            </w:r>
          </w:p>
        </w:tc>
        <w:tc>
          <w:tcPr>
            <w:tcW w:w="7166" w:type="dxa"/>
          </w:tcPr>
          <w:p w14:paraId="6A8B0FA5" w14:textId="77777777" w:rsidR="001F04FD" w:rsidRDefault="001F04FD" w:rsidP="00AC4DEE">
            <w:pPr>
              <w:pStyle w:val="TableBody"/>
            </w:pPr>
            <w:r>
              <w:t xml:space="preserve">A SCED interval in the 15-minute Settlement Interval.  The summation is over the total number of SCED runs that cover the 15-minute Settlement Interval.  </w:t>
            </w:r>
          </w:p>
        </w:tc>
      </w:tr>
    </w:tbl>
    <w:p w14:paraId="32CAE1D0" w14:textId="77777777" w:rsidR="00BB7F40" w:rsidRDefault="00BB7F40" w:rsidP="00BB7F40">
      <w:pPr>
        <w:ind w:left="720" w:hanging="720"/>
        <w:rPr>
          <w:iCs/>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7F40" w14:paraId="2388C9F1" w14:textId="77777777" w:rsidTr="00EC5231">
        <w:trPr>
          <w:trHeight w:val="206"/>
        </w:trPr>
        <w:tc>
          <w:tcPr>
            <w:tcW w:w="9350" w:type="dxa"/>
            <w:shd w:val="pct12" w:color="auto" w:fill="auto"/>
          </w:tcPr>
          <w:p w14:paraId="2C45AE66" w14:textId="77777777" w:rsidR="00BB7F40" w:rsidRDefault="00BB7F40" w:rsidP="00EC5231">
            <w:pPr>
              <w:pStyle w:val="Instructions"/>
              <w:spacing w:before="120"/>
            </w:pPr>
            <w:r>
              <w:t>[NPRR1010:  Replace paragraph (1) above with the following upon system implementation of the Real-Time Co-Optimization (RTC) project:]</w:t>
            </w:r>
          </w:p>
          <w:p w14:paraId="14ABF9D0" w14:textId="77777777" w:rsidR="003F739B" w:rsidRPr="003161DC" w:rsidRDefault="003F739B" w:rsidP="003F739B">
            <w:pPr>
              <w:spacing w:after="240"/>
              <w:ind w:left="720" w:hanging="720"/>
              <w:rPr>
                <w:b/>
                <w:i/>
                <w:iCs/>
              </w:rPr>
            </w:pPr>
            <w:r w:rsidRPr="003161DC">
              <w:t>(1)</w:t>
            </w:r>
            <w:r w:rsidRPr="003161DC">
              <w:tab/>
              <w:t>The Real-Time Settlement Point Price for a Resource Node Settlement Point is the time-weighted average of the sum of the Real-Time LMPs</w:t>
            </w:r>
            <w:r>
              <w:t xml:space="preserve"> and</w:t>
            </w:r>
            <w:r w:rsidRPr="003161DC">
              <w:t xml:space="preserve"> </w:t>
            </w:r>
            <w:r>
              <w:t xml:space="preserve">the </w:t>
            </w:r>
            <w:r w:rsidRPr="003161DC">
              <w:t>Real-Time Reliability Deployment Price Adder</w:t>
            </w:r>
            <w:r>
              <w:t xml:space="preserve"> for Energy</w:t>
            </w:r>
            <w:r w:rsidRPr="003161DC">
              <w:t>.  The Real-Time Settlement Point Price for a 15-minute Settlement Interval is calculated as follows:</w:t>
            </w:r>
          </w:p>
          <w:p w14:paraId="249B5ADC" w14:textId="4E1A02F4" w:rsidR="003F739B" w:rsidRPr="003161DC" w:rsidRDefault="003F739B" w:rsidP="003F739B">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152EC096">
                <v:shape id="_x0000_i1031" type="#_x0000_t75" style="width:24pt;height:18pt" o:ole="">
                  <v:imagedata r:id="rId20" o:title=""/>
                </v:shape>
                <o:OLEObject Type="Embed" ProgID="Equation.3" ShapeID="_x0000_i1031" DrawAspect="Content" ObjectID="_1804653516" r:id="rId24"/>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 xml:space="preserve">y </w:t>
            </w:r>
            <w:r w:rsidRPr="003161DC">
              <w:rPr>
                <w:b/>
                <w:bCs/>
              </w:rPr>
              <w:t>+ RTRDPA</w:t>
            </w:r>
            <w:r w:rsidRPr="003161DC">
              <w:rPr>
                <w:b/>
                <w:bCs/>
                <w:i/>
                <w:vertAlign w:val="subscript"/>
              </w:rPr>
              <w:t xml:space="preserve"> y</w:t>
            </w:r>
            <w:r w:rsidRPr="003161DC">
              <w:rPr>
                <w:b/>
                <w:bCs/>
              </w:rPr>
              <w:t>))))</w:t>
            </w:r>
          </w:p>
          <w:p w14:paraId="76F96988" w14:textId="77777777" w:rsidR="003F739B" w:rsidRPr="003161DC" w:rsidRDefault="003F739B" w:rsidP="003F739B">
            <w:pPr>
              <w:spacing w:after="240"/>
              <w:ind w:firstLine="720"/>
              <w:rPr>
                <w:iCs/>
              </w:rPr>
            </w:pPr>
            <w:r w:rsidRPr="003161DC">
              <w:rPr>
                <w:iCs/>
              </w:rPr>
              <w:lastRenderedPageBreak/>
              <w:t>Where the Resource Node weighting factor is:</w:t>
            </w:r>
          </w:p>
          <w:p w14:paraId="59528EC6" w14:textId="59494B19" w:rsidR="003F739B" w:rsidRPr="003161DC" w:rsidRDefault="003F739B" w:rsidP="003F739B">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3D9EEB0C">
                <v:shape id="_x0000_i1032" type="#_x0000_t75" style="width:24pt;height:18pt" o:ole="">
                  <v:imagedata r:id="rId22" o:title=""/>
                </v:shape>
                <o:OLEObject Type="Embed" ProgID="Equation.3" ShapeID="_x0000_i1032" DrawAspect="Content" ObjectID="_1804653517" r:id="rId25"/>
              </w:object>
            </w:r>
            <w:r w:rsidRPr="003161DC">
              <w:rPr>
                <w:b/>
                <w:bCs/>
              </w:rPr>
              <w:t xml:space="preserve">TLMP </w:t>
            </w:r>
            <w:r w:rsidRPr="003161DC">
              <w:rPr>
                <w:b/>
                <w:bCs/>
                <w:i/>
                <w:vertAlign w:val="subscript"/>
              </w:rPr>
              <w:t>y</w:t>
            </w:r>
          </w:p>
          <w:p w14:paraId="4F3C323F" w14:textId="77777777" w:rsidR="003F739B" w:rsidRPr="003161DC" w:rsidRDefault="003F739B" w:rsidP="003F739B">
            <w:r w:rsidRPr="003161DC">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74"/>
              <w:gridCol w:w="898"/>
              <w:gridCol w:w="6938"/>
            </w:tblGrid>
            <w:tr w:rsidR="003F739B" w:rsidRPr="003161DC" w14:paraId="172FA03B" w14:textId="77777777" w:rsidTr="00EC5231">
              <w:tc>
                <w:tcPr>
                  <w:tcW w:w="1284" w:type="dxa"/>
                </w:tcPr>
                <w:p w14:paraId="53607F71" w14:textId="77777777" w:rsidR="003F739B" w:rsidRPr="003161DC" w:rsidRDefault="003F739B" w:rsidP="003F739B">
                  <w:pPr>
                    <w:spacing w:after="120"/>
                    <w:rPr>
                      <w:b/>
                      <w:iCs/>
                      <w:sz w:val="20"/>
                    </w:rPr>
                  </w:pPr>
                  <w:r w:rsidRPr="003161DC">
                    <w:rPr>
                      <w:b/>
                      <w:iCs/>
                      <w:sz w:val="20"/>
                    </w:rPr>
                    <w:t>Variable</w:t>
                  </w:r>
                </w:p>
              </w:tc>
              <w:tc>
                <w:tcPr>
                  <w:tcW w:w="900" w:type="dxa"/>
                </w:tcPr>
                <w:p w14:paraId="3805E2C0" w14:textId="77777777" w:rsidR="003F739B" w:rsidRPr="003161DC" w:rsidRDefault="003F739B" w:rsidP="003F739B">
                  <w:pPr>
                    <w:spacing w:after="120"/>
                    <w:rPr>
                      <w:b/>
                      <w:iCs/>
                      <w:sz w:val="20"/>
                    </w:rPr>
                  </w:pPr>
                  <w:r w:rsidRPr="003161DC">
                    <w:rPr>
                      <w:b/>
                      <w:iCs/>
                      <w:sz w:val="20"/>
                    </w:rPr>
                    <w:t>Unit</w:t>
                  </w:r>
                </w:p>
              </w:tc>
              <w:tc>
                <w:tcPr>
                  <w:tcW w:w="7166" w:type="dxa"/>
                </w:tcPr>
                <w:p w14:paraId="54D8AB47" w14:textId="77777777" w:rsidR="003F739B" w:rsidRPr="003161DC" w:rsidRDefault="003F739B" w:rsidP="003F739B">
                  <w:pPr>
                    <w:spacing w:after="120"/>
                    <w:rPr>
                      <w:b/>
                      <w:iCs/>
                      <w:sz w:val="20"/>
                    </w:rPr>
                  </w:pPr>
                  <w:r w:rsidRPr="003161DC">
                    <w:rPr>
                      <w:b/>
                      <w:iCs/>
                      <w:sz w:val="20"/>
                    </w:rPr>
                    <w:t>Description</w:t>
                  </w:r>
                </w:p>
              </w:tc>
            </w:tr>
            <w:tr w:rsidR="003F739B" w:rsidRPr="003161DC" w14:paraId="09A0BEAC" w14:textId="77777777" w:rsidTr="00EC5231">
              <w:tc>
                <w:tcPr>
                  <w:tcW w:w="1284" w:type="dxa"/>
                </w:tcPr>
                <w:p w14:paraId="1922BE52" w14:textId="77777777" w:rsidR="003F739B" w:rsidRPr="003161DC" w:rsidRDefault="003F739B" w:rsidP="003F739B">
                  <w:pPr>
                    <w:spacing w:after="60"/>
                    <w:rPr>
                      <w:iCs/>
                      <w:sz w:val="20"/>
                    </w:rPr>
                  </w:pPr>
                  <w:r w:rsidRPr="003161DC">
                    <w:rPr>
                      <w:iCs/>
                      <w:sz w:val="20"/>
                    </w:rPr>
                    <w:t>RTSPP</w:t>
                  </w:r>
                </w:p>
              </w:tc>
              <w:tc>
                <w:tcPr>
                  <w:tcW w:w="900" w:type="dxa"/>
                </w:tcPr>
                <w:p w14:paraId="64EBFCD2" w14:textId="77777777" w:rsidR="003F739B" w:rsidRPr="003161DC" w:rsidRDefault="003F739B" w:rsidP="003F739B">
                  <w:pPr>
                    <w:spacing w:after="60"/>
                    <w:rPr>
                      <w:iCs/>
                      <w:sz w:val="20"/>
                    </w:rPr>
                  </w:pPr>
                  <w:r w:rsidRPr="003161DC">
                    <w:rPr>
                      <w:iCs/>
                      <w:sz w:val="20"/>
                    </w:rPr>
                    <w:t>$/MWh</w:t>
                  </w:r>
                </w:p>
              </w:tc>
              <w:tc>
                <w:tcPr>
                  <w:tcW w:w="7166" w:type="dxa"/>
                </w:tcPr>
                <w:p w14:paraId="4C4EE47F"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52E4EC79" w14:textId="77777777" w:rsidTr="00EC5231">
              <w:tc>
                <w:tcPr>
                  <w:tcW w:w="1284" w:type="dxa"/>
                </w:tcPr>
                <w:p w14:paraId="76BF7A7D"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y</w:t>
                  </w:r>
                </w:p>
              </w:tc>
              <w:tc>
                <w:tcPr>
                  <w:tcW w:w="900" w:type="dxa"/>
                </w:tcPr>
                <w:p w14:paraId="2ACAFB7B" w14:textId="77777777" w:rsidR="003F739B" w:rsidRPr="003161DC" w:rsidRDefault="003F739B" w:rsidP="003F739B">
                  <w:pPr>
                    <w:spacing w:after="60"/>
                    <w:rPr>
                      <w:iCs/>
                      <w:sz w:val="20"/>
                    </w:rPr>
                  </w:pPr>
                  <w:r w:rsidRPr="003161DC">
                    <w:rPr>
                      <w:iCs/>
                      <w:sz w:val="20"/>
                    </w:rPr>
                    <w:t>$/MWh</w:t>
                  </w:r>
                </w:p>
              </w:tc>
              <w:tc>
                <w:tcPr>
                  <w:tcW w:w="7166" w:type="dxa"/>
                </w:tcPr>
                <w:p w14:paraId="481E7114" w14:textId="77777777" w:rsidR="003F739B" w:rsidRPr="003161DC" w:rsidRDefault="003F739B" w:rsidP="003F739B">
                  <w:pPr>
                    <w:spacing w:after="60"/>
                    <w:rPr>
                      <w:iCs/>
                      <w:sz w:val="20"/>
                    </w:rPr>
                  </w:pPr>
                  <w:r w:rsidRPr="003161DC">
                    <w:rPr>
                      <w:i/>
                      <w:iCs/>
                      <w:sz w:val="20"/>
                    </w:rPr>
                    <w:t>Real-Time Locational Marginal Price per interval</w:t>
                  </w:r>
                  <w:r w:rsidRPr="003161DC">
                    <w:rPr>
                      <w:iCs/>
                      <w:sz w:val="20"/>
                    </w:rPr>
                    <w:sym w:font="Symbol" w:char="F0BE"/>
                  </w:r>
                  <w:r w:rsidRPr="003161DC">
                    <w:rPr>
                      <w:iCs/>
                      <w:sz w:val="20"/>
                    </w:rPr>
                    <w:t xml:space="preserve">The Real-Time LMP at the Settlement Point for the SCED interval </w:t>
                  </w:r>
                  <w:r w:rsidRPr="003161DC">
                    <w:rPr>
                      <w:i/>
                      <w:iCs/>
                      <w:sz w:val="20"/>
                    </w:rPr>
                    <w:t>y</w:t>
                  </w:r>
                  <w:r w:rsidRPr="003161DC">
                    <w:rPr>
                      <w:iCs/>
                      <w:sz w:val="20"/>
                    </w:rPr>
                    <w:t>.</w:t>
                  </w:r>
                </w:p>
              </w:tc>
            </w:tr>
            <w:tr w:rsidR="003F739B" w:rsidRPr="003161DC" w14:paraId="72108A1A" w14:textId="77777777" w:rsidTr="00EC5231">
              <w:tc>
                <w:tcPr>
                  <w:tcW w:w="1284" w:type="dxa"/>
                </w:tcPr>
                <w:p w14:paraId="3350C07D"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900" w:type="dxa"/>
                </w:tcPr>
                <w:p w14:paraId="3BF54FC8" w14:textId="77777777" w:rsidR="003F739B" w:rsidRPr="003161DC" w:rsidRDefault="003F739B" w:rsidP="003F739B">
                  <w:pPr>
                    <w:spacing w:after="60"/>
                    <w:rPr>
                      <w:iCs/>
                      <w:sz w:val="20"/>
                    </w:rPr>
                  </w:pPr>
                  <w:r w:rsidRPr="003161DC">
                    <w:rPr>
                      <w:iCs/>
                      <w:sz w:val="20"/>
                    </w:rPr>
                    <w:t>$/MWh</w:t>
                  </w:r>
                </w:p>
              </w:tc>
              <w:tc>
                <w:tcPr>
                  <w:tcW w:w="7166" w:type="dxa"/>
                </w:tcPr>
                <w:p w14:paraId="4D02735D" w14:textId="77777777"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7BAAD9FA" w14:textId="77777777" w:rsidTr="00EC5231">
              <w:tc>
                <w:tcPr>
                  <w:tcW w:w="1284" w:type="dxa"/>
                </w:tcPr>
                <w:p w14:paraId="7F8F070B"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900" w:type="dxa"/>
                </w:tcPr>
                <w:p w14:paraId="2D0E3E16" w14:textId="77777777" w:rsidR="003F739B" w:rsidRPr="003161DC" w:rsidRDefault="003F739B" w:rsidP="003F739B">
                  <w:pPr>
                    <w:spacing w:after="60"/>
                    <w:rPr>
                      <w:iCs/>
                      <w:sz w:val="20"/>
                    </w:rPr>
                  </w:pPr>
                  <w:r w:rsidRPr="003161DC">
                    <w:rPr>
                      <w:iCs/>
                      <w:sz w:val="20"/>
                    </w:rPr>
                    <w:t>none</w:t>
                  </w:r>
                </w:p>
              </w:tc>
              <w:tc>
                <w:tcPr>
                  <w:tcW w:w="7166" w:type="dxa"/>
                </w:tcPr>
                <w:p w14:paraId="1670AD08" w14:textId="77777777" w:rsidR="003F739B" w:rsidRPr="003161DC" w:rsidRDefault="003F739B" w:rsidP="003F739B">
                  <w:pPr>
                    <w:spacing w:after="60"/>
                    <w:rPr>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364C0D97" w14:textId="77777777" w:rsidTr="00EC5231">
              <w:tc>
                <w:tcPr>
                  <w:tcW w:w="1284" w:type="dxa"/>
                </w:tcPr>
                <w:p w14:paraId="6479565C"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900" w:type="dxa"/>
                </w:tcPr>
                <w:p w14:paraId="1DF30215" w14:textId="77777777" w:rsidR="003F739B" w:rsidRPr="003161DC" w:rsidRDefault="003F739B" w:rsidP="003F739B">
                  <w:pPr>
                    <w:spacing w:after="60"/>
                    <w:rPr>
                      <w:sz w:val="20"/>
                    </w:rPr>
                  </w:pPr>
                  <w:r w:rsidRPr="003161DC">
                    <w:rPr>
                      <w:iCs/>
                      <w:sz w:val="20"/>
                    </w:rPr>
                    <w:t>second</w:t>
                  </w:r>
                </w:p>
              </w:tc>
              <w:tc>
                <w:tcPr>
                  <w:tcW w:w="7166" w:type="dxa"/>
                </w:tcPr>
                <w:p w14:paraId="0EA3A05F" w14:textId="77777777" w:rsidR="003F739B" w:rsidRPr="003161DC" w:rsidRDefault="003F739B" w:rsidP="003F739B">
                  <w:pPr>
                    <w:spacing w:after="60"/>
                    <w:rPr>
                      <w:iCs/>
                      <w:sz w:val="20"/>
                    </w:rPr>
                  </w:pPr>
                  <w:r w:rsidRPr="003161DC">
                    <w:rPr>
                      <w:i/>
                      <w:sz w:val="20"/>
                    </w:rPr>
                    <w:t>Duration of SCED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sz w:val="20"/>
                    </w:rPr>
                    <w:t xml:space="preserve"> within the Settlement Interval</w:t>
                  </w:r>
                  <w:r w:rsidRPr="003161DC">
                    <w:rPr>
                      <w:iCs/>
                      <w:sz w:val="20"/>
                    </w:rPr>
                    <w:t>.</w:t>
                  </w:r>
                </w:p>
              </w:tc>
            </w:tr>
            <w:tr w:rsidR="003F739B" w:rsidRPr="003161DC" w14:paraId="70E13B70" w14:textId="77777777" w:rsidTr="00EC5231">
              <w:tc>
                <w:tcPr>
                  <w:tcW w:w="1284" w:type="dxa"/>
                </w:tcPr>
                <w:p w14:paraId="1EB232B9" w14:textId="77777777" w:rsidR="003F739B" w:rsidRPr="003161DC" w:rsidRDefault="003F739B" w:rsidP="003F739B">
                  <w:pPr>
                    <w:spacing w:after="60"/>
                    <w:rPr>
                      <w:i/>
                      <w:iCs/>
                      <w:sz w:val="20"/>
                    </w:rPr>
                  </w:pPr>
                  <w:r w:rsidRPr="003161DC">
                    <w:rPr>
                      <w:i/>
                      <w:iCs/>
                      <w:sz w:val="20"/>
                    </w:rPr>
                    <w:t>y</w:t>
                  </w:r>
                </w:p>
              </w:tc>
              <w:tc>
                <w:tcPr>
                  <w:tcW w:w="900" w:type="dxa"/>
                </w:tcPr>
                <w:p w14:paraId="3550A705" w14:textId="77777777" w:rsidR="003F739B" w:rsidRPr="003161DC" w:rsidRDefault="003F739B" w:rsidP="003F739B">
                  <w:pPr>
                    <w:spacing w:after="60"/>
                    <w:rPr>
                      <w:iCs/>
                      <w:sz w:val="20"/>
                    </w:rPr>
                  </w:pPr>
                  <w:r w:rsidRPr="003161DC">
                    <w:rPr>
                      <w:iCs/>
                      <w:sz w:val="20"/>
                    </w:rPr>
                    <w:t>none</w:t>
                  </w:r>
                </w:p>
              </w:tc>
              <w:tc>
                <w:tcPr>
                  <w:tcW w:w="7166" w:type="dxa"/>
                </w:tcPr>
                <w:p w14:paraId="72242D0D" w14:textId="77777777" w:rsidR="003F739B" w:rsidRPr="003161DC" w:rsidRDefault="003F739B" w:rsidP="003F739B">
                  <w:pPr>
                    <w:spacing w:after="60"/>
                    <w:rPr>
                      <w:iCs/>
                      <w:sz w:val="20"/>
                    </w:rPr>
                  </w:pPr>
                  <w:r w:rsidRPr="003161DC">
                    <w:rPr>
                      <w:iCs/>
                      <w:sz w:val="20"/>
                    </w:rPr>
                    <w:t xml:space="preserve">A SCED interval in the 15-minute Settlement Interval.  The summation is over the total number of SCED runs that cover the 15-minute Settlement Interval.  </w:t>
                  </w:r>
                </w:p>
              </w:tc>
            </w:tr>
          </w:tbl>
          <w:p w14:paraId="08403DA0" w14:textId="115E9188" w:rsidR="00BB7F40" w:rsidRPr="00B37C4B" w:rsidRDefault="00BB7F40" w:rsidP="00EC5231">
            <w:pPr>
              <w:spacing w:after="240"/>
              <w:ind w:left="720" w:hanging="720"/>
            </w:pPr>
          </w:p>
        </w:tc>
      </w:tr>
    </w:tbl>
    <w:p w14:paraId="2A4909DF" w14:textId="151ED645" w:rsidR="00142F7A" w:rsidRPr="00510E47" w:rsidRDefault="00142F7A" w:rsidP="00142F7A">
      <w:pPr>
        <w:spacing w:before="240" w:after="240"/>
        <w:ind w:left="720" w:hanging="720"/>
      </w:pPr>
      <w:r w:rsidRPr="00510E47">
        <w:rPr>
          <w:iCs/>
        </w:rPr>
        <w:lastRenderedPageBreak/>
        <w:t>(2)</w:t>
      </w:r>
      <w:r w:rsidRPr="00510E47">
        <w:rPr>
          <w:iCs/>
        </w:rPr>
        <w:tab/>
        <w:t>The Real-Time Settlement Point Price at the logical Resource Node for a Combined Cycle Train shall be determined in accordance with paragraph (1) above using a Real-Time LMP calculated for the logical Resource Node in each SCED Interval as follows:</w:t>
      </w:r>
    </w:p>
    <w:p w14:paraId="4F0C7C23" w14:textId="77777777" w:rsidR="00142F7A" w:rsidRPr="00510E47" w:rsidRDefault="00142F7A" w:rsidP="00142F7A">
      <w:pPr>
        <w:spacing w:after="240"/>
        <w:ind w:left="1440" w:hanging="720"/>
        <w:rPr>
          <w:iCs/>
          <w:szCs w:val="24"/>
        </w:rPr>
      </w:pPr>
      <w:r w:rsidRPr="00510E47">
        <w:rPr>
          <w:iCs/>
          <w:szCs w:val="24"/>
        </w:rPr>
        <w:t>(a)</w:t>
      </w:r>
      <w:r w:rsidRPr="00510E47">
        <w:rPr>
          <w:iCs/>
          <w:szCs w:val="24"/>
        </w:rPr>
        <w:tab/>
      </w:r>
      <w:r w:rsidRPr="00510E47">
        <w:rPr>
          <w:szCs w:val="24"/>
        </w:rPr>
        <w:t>The</w:t>
      </w:r>
      <w:r w:rsidRPr="00510E47">
        <w:rPr>
          <w:iCs/>
          <w:szCs w:val="24"/>
        </w:rPr>
        <w:t xml:space="preserve"> Real-Time LMP for the logical Resource Node of a Combined Cycle Train for each SCED interval is calculated as follows:</w:t>
      </w:r>
    </w:p>
    <w:p w14:paraId="2D033989" w14:textId="77777777" w:rsidR="00142F7A" w:rsidRPr="00510E47" w:rsidRDefault="00142F7A" w:rsidP="00142F7A">
      <w:pPr>
        <w:spacing w:after="240"/>
        <w:ind w:left="1440"/>
        <w:rPr>
          <w:iCs/>
          <w:szCs w:val="24"/>
        </w:rPr>
      </w:pPr>
      <w:r w:rsidRPr="00510E47">
        <w:rPr>
          <w:iCs/>
          <w:szCs w:val="24"/>
        </w:rPr>
        <w:t>For a Combined Cycle Train that is On-Line in the SCED interval:</w:t>
      </w:r>
    </w:p>
    <w:p w14:paraId="6FC3090B"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CCGR_PhyR</w:t>
      </w:r>
      <w:r w:rsidRPr="00510E47">
        <w:rPr>
          <w:b/>
        </w:rPr>
        <w:t xml:space="preserve"> RTLMP </w:t>
      </w:r>
      <w:r w:rsidRPr="00510E47">
        <w:rPr>
          <w:b/>
          <w:i/>
          <w:vertAlign w:val="subscript"/>
        </w:rPr>
        <w:t>CCGR_PhyR, y</w:t>
      </w:r>
      <w:r w:rsidRPr="00510E47">
        <w:rPr>
          <w:b/>
        </w:rPr>
        <w:t xml:space="preserve"> * RTONCCGRWF </w:t>
      </w:r>
      <w:r w:rsidRPr="00510E47">
        <w:rPr>
          <w:b/>
          <w:i/>
          <w:vertAlign w:val="subscript"/>
        </w:rPr>
        <w:t>CCGR_PhyR</w:t>
      </w:r>
    </w:p>
    <w:p w14:paraId="283EE7C1" w14:textId="77777777" w:rsidR="00142F7A" w:rsidRPr="00510E47" w:rsidRDefault="00142F7A" w:rsidP="00142F7A">
      <w:pPr>
        <w:spacing w:after="240"/>
        <w:ind w:left="1440"/>
        <w:rPr>
          <w:iCs/>
          <w:szCs w:val="24"/>
        </w:rPr>
      </w:pPr>
      <w:r w:rsidRPr="00510E47">
        <w:rPr>
          <w:iCs/>
          <w:szCs w:val="24"/>
        </w:rPr>
        <w:t xml:space="preserve">For a Combined Cycle Train that is Off-Line in the SCED interval: </w:t>
      </w:r>
    </w:p>
    <w:p w14:paraId="104D9B3A"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CCT_PhyR</w:t>
      </w:r>
      <w:r w:rsidRPr="00510E47">
        <w:rPr>
          <w:b/>
        </w:rPr>
        <w:t xml:space="preserve"> RTLMP </w:t>
      </w:r>
      <w:r w:rsidRPr="00510E47">
        <w:rPr>
          <w:b/>
          <w:i/>
          <w:vertAlign w:val="subscript"/>
        </w:rPr>
        <w:t>CCT_PhyR, y</w:t>
      </w:r>
      <w:r w:rsidRPr="00510E47">
        <w:rPr>
          <w:b/>
        </w:rPr>
        <w:t xml:space="preserve"> * RTOFFCCGRWF </w:t>
      </w:r>
      <w:r w:rsidRPr="00510E47">
        <w:rPr>
          <w:b/>
          <w:i/>
          <w:vertAlign w:val="subscript"/>
        </w:rPr>
        <w:t>CCT_PhyR</w:t>
      </w:r>
    </w:p>
    <w:p w14:paraId="0C48B7D2" w14:textId="77777777" w:rsidR="00142F7A" w:rsidRPr="00510E47" w:rsidRDefault="00142F7A" w:rsidP="00142F7A">
      <w:pPr>
        <w:rPr>
          <w:b/>
          <w:szCs w:val="24"/>
        </w:rPr>
      </w:pPr>
      <w:r w:rsidRPr="00510E47">
        <w:rPr>
          <w:szCs w:val="24"/>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142F7A" w:rsidRPr="00D67E3B" w14:paraId="393C2C07" w14:textId="77777777" w:rsidTr="00F12CF4">
        <w:tc>
          <w:tcPr>
            <w:tcW w:w="2535" w:type="dxa"/>
          </w:tcPr>
          <w:p w14:paraId="5CC0AC29" w14:textId="77777777" w:rsidR="00142F7A" w:rsidRDefault="00142F7A" w:rsidP="00F12CF4">
            <w:pPr>
              <w:spacing w:after="120"/>
              <w:rPr>
                <w:b/>
              </w:rPr>
            </w:pPr>
            <w:r w:rsidRPr="00314B3D">
              <w:rPr>
                <w:b/>
                <w:iCs/>
                <w:sz w:val="20"/>
              </w:rPr>
              <w:t>Variable</w:t>
            </w:r>
          </w:p>
        </w:tc>
        <w:tc>
          <w:tcPr>
            <w:tcW w:w="839" w:type="dxa"/>
          </w:tcPr>
          <w:p w14:paraId="66997590" w14:textId="77777777" w:rsidR="00142F7A" w:rsidRDefault="00142F7A" w:rsidP="00F12CF4">
            <w:pPr>
              <w:spacing w:after="120"/>
              <w:rPr>
                <w:b/>
              </w:rPr>
            </w:pPr>
            <w:r w:rsidRPr="007A7509">
              <w:rPr>
                <w:b/>
                <w:iCs/>
                <w:sz w:val="20"/>
              </w:rPr>
              <w:t>Unit</w:t>
            </w:r>
          </w:p>
        </w:tc>
        <w:tc>
          <w:tcPr>
            <w:tcW w:w="6202" w:type="dxa"/>
          </w:tcPr>
          <w:p w14:paraId="283FF8E5" w14:textId="77777777" w:rsidR="00142F7A" w:rsidRDefault="00142F7A" w:rsidP="00F12CF4">
            <w:pPr>
              <w:spacing w:after="120"/>
              <w:rPr>
                <w:b/>
              </w:rPr>
            </w:pPr>
            <w:r w:rsidRPr="00314B3D">
              <w:rPr>
                <w:b/>
                <w:iCs/>
                <w:sz w:val="20"/>
              </w:rPr>
              <w:t>Definition</w:t>
            </w:r>
          </w:p>
        </w:tc>
      </w:tr>
      <w:tr w:rsidR="00142F7A" w:rsidRPr="00D67E3B" w14:paraId="4B9CF9F2" w14:textId="77777777" w:rsidTr="00F12CF4">
        <w:tc>
          <w:tcPr>
            <w:tcW w:w="2535" w:type="dxa"/>
          </w:tcPr>
          <w:p w14:paraId="5471E348" w14:textId="77777777" w:rsidR="00142F7A" w:rsidRPr="007A7509" w:rsidRDefault="00142F7A" w:rsidP="00F12CF4">
            <w:pPr>
              <w:rPr>
                <w:sz w:val="20"/>
              </w:rPr>
            </w:pPr>
            <w:r w:rsidRPr="00314B3D">
              <w:rPr>
                <w:sz w:val="20"/>
              </w:rPr>
              <w:t>RTLMP</w:t>
            </w:r>
            <w:r>
              <w:rPr>
                <w:sz w:val="20"/>
              </w:rPr>
              <w:t xml:space="preserve"> </w:t>
            </w:r>
            <w:r w:rsidRPr="00CC16D4">
              <w:rPr>
                <w:i/>
                <w:sz w:val="20"/>
                <w:vertAlign w:val="subscript"/>
              </w:rPr>
              <w:t>y</w:t>
            </w:r>
          </w:p>
        </w:tc>
        <w:tc>
          <w:tcPr>
            <w:tcW w:w="839" w:type="dxa"/>
          </w:tcPr>
          <w:p w14:paraId="302919B9" w14:textId="77777777" w:rsidR="00142F7A" w:rsidRPr="007A7509" w:rsidRDefault="00142F7A" w:rsidP="00F12CF4">
            <w:pPr>
              <w:rPr>
                <w:sz w:val="20"/>
              </w:rPr>
            </w:pPr>
            <w:r w:rsidRPr="00314B3D">
              <w:rPr>
                <w:sz w:val="20"/>
              </w:rPr>
              <w:t>$/MWh</w:t>
            </w:r>
          </w:p>
        </w:tc>
        <w:tc>
          <w:tcPr>
            <w:tcW w:w="6202" w:type="dxa"/>
          </w:tcPr>
          <w:p w14:paraId="33CC9C82" w14:textId="77777777" w:rsidR="00142F7A" w:rsidRPr="007A7509" w:rsidRDefault="00142F7A" w:rsidP="00C43DB8">
            <w:pPr>
              <w:spacing w:after="60"/>
              <w:rPr>
                <w:sz w:val="20"/>
              </w:rPr>
            </w:pPr>
            <w:r w:rsidRPr="00314B3D">
              <w:rPr>
                <w:i/>
                <w:sz w:val="20"/>
              </w:rPr>
              <w:t>Real-Time Locational Marginal Price at a logical Resource Node for a Combined Cycle Train</w:t>
            </w:r>
            <w:r w:rsidRPr="008C1469">
              <w:rPr>
                <w:iCs/>
                <w:sz w:val="20"/>
              </w:rPr>
              <w:sym w:font="Symbol" w:char="F0BE"/>
            </w:r>
            <w:r w:rsidRPr="00314B3D">
              <w:rPr>
                <w:sz w:val="20"/>
              </w:rPr>
              <w:t xml:space="preserve">The </w:t>
            </w:r>
            <w:r>
              <w:rPr>
                <w:sz w:val="20"/>
              </w:rPr>
              <w:t xml:space="preserve">Real-Time </w:t>
            </w:r>
            <w:r w:rsidRPr="00314B3D">
              <w:rPr>
                <w:sz w:val="20"/>
              </w:rPr>
              <w:t>LMP</w:t>
            </w:r>
            <w:r>
              <w:rPr>
                <w:sz w:val="20"/>
              </w:rPr>
              <w:t xml:space="preserve"> </w:t>
            </w:r>
            <w:r w:rsidRPr="00314B3D">
              <w:rPr>
                <w:sz w:val="20"/>
              </w:rPr>
              <w:t xml:space="preserve">at the Combined Cycle Generation Resource logical Resource Node for a SCED </w:t>
            </w:r>
            <w:r>
              <w:rPr>
                <w:sz w:val="20"/>
              </w:rPr>
              <w:t>i</w:t>
            </w:r>
            <w:r w:rsidRPr="00314B3D">
              <w:rPr>
                <w:sz w:val="20"/>
              </w:rPr>
              <w:t>nterval</w:t>
            </w:r>
            <w:r w:rsidRPr="00E955E4">
              <w:rPr>
                <w:sz w:val="20"/>
              </w:rPr>
              <w:t xml:space="preserve"> </w:t>
            </w:r>
            <w:r w:rsidRPr="00E955E4">
              <w:rPr>
                <w:i/>
                <w:sz w:val="20"/>
              </w:rPr>
              <w:t>y</w:t>
            </w:r>
            <w:r w:rsidRPr="00314B3D">
              <w:rPr>
                <w:sz w:val="20"/>
              </w:rPr>
              <w:t>.</w:t>
            </w:r>
          </w:p>
        </w:tc>
      </w:tr>
      <w:tr w:rsidR="00142F7A" w:rsidRPr="00D67E3B" w:rsidDel="008E5215" w14:paraId="53E01885" w14:textId="77777777" w:rsidTr="00F12CF4">
        <w:tc>
          <w:tcPr>
            <w:tcW w:w="2535" w:type="dxa"/>
          </w:tcPr>
          <w:p w14:paraId="602DA722" w14:textId="77777777" w:rsidR="00142F7A" w:rsidRPr="00E955E4" w:rsidDel="008E5215" w:rsidRDefault="00142F7A" w:rsidP="00F12CF4">
            <w:pPr>
              <w:rPr>
                <w:sz w:val="20"/>
              </w:rPr>
            </w:pPr>
            <w:r w:rsidRPr="00314B3D">
              <w:rPr>
                <w:sz w:val="20"/>
              </w:rPr>
              <w:t>RTLMP</w:t>
            </w:r>
            <w:r>
              <w:rPr>
                <w:sz w:val="20"/>
              </w:rPr>
              <w:t xml:space="preserve"> </w:t>
            </w:r>
            <w:r w:rsidRPr="00314B3D">
              <w:rPr>
                <w:i/>
                <w:sz w:val="20"/>
                <w:vertAlign w:val="subscript"/>
              </w:rPr>
              <w:t>CC</w:t>
            </w:r>
            <w:r>
              <w:rPr>
                <w:i/>
                <w:sz w:val="20"/>
                <w:vertAlign w:val="subscript"/>
              </w:rPr>
              <w:t>GR</w:t>
            </w:r>
            <w:r w:rsidRPr="00314B3D">
              <w:rPr>
                <w:i/>
                <w:sz w:val="20"/>
                <w:vertAlign w:val="subscript"/>
              </w:rPr>
              <w:t>_PhyR</w:t>
            </w:r>
            <w:r>
              <w:rPr>
                <w:i/>
                <w:sz w:val="20"/>
                <w:vertAlign w:val="subscript"/>
              </w:rPr>
              <w:t>, y</w:t>
            </w:r>
          </w:p>
        </w:tc>
        <w:tc>
          <w:tcPr>
            <w:tcW w:w="839" w:type="dxa"/>
          </w:tcPr>
          <w:p w14:paraId="5271A49C" w14:textId="77777777" w:rsidR="00142F7A" w:rsidRPr="00E955E4" w:rsidDel="008E5215" w:rsidRDefault="00142F7A" w:rsidP="00F12CF4">
            <w:pPr>
              <w:rPr>
                <w:sz w:val="20"/>
              </w:rPr>
            </w:pPr>
            <w:r w:rsidRPr="00314B3D">
              <w:rPr>
                <w:sz w:val="20"/>
              </w:rPr>
              <w:t>$/MWh</w:t>
            </w:r>
          </w:p>
        </w:tc>
        <w:tc>
          <w:tcPr>
            <w:tcW w:w="6202" w:type="dxa"/>
          </w:tcPr>
          <w:p w14:paraId="6CC4C5AB" w14:textId="77777777" w:rsidR="00142F7A" w:rsidRPr="00E955E4" w:rsidDel="008E5215" w:rsidRDefault="00142F7A" w:rsidP="00C43DB8">
            <w:pPr>
              <w:spacing w:after="60"/>
              <w:rPr>
                <w:i/>
                <w:sz w:val="20"/>
              </w:rPr>
            </w:pPr>
            <w:r w:rsidRPr="00314B3D">
              <w:rPr>
                <w:i/>
                <w:sz w:val="20"/>
              </w:rPr>
              <w:t xml:space="preserve">Real-Time Locational Marginal Price at a generation unit Resource Node </w:t>
            </w:r>
            <w:r>
              <w:rPr>
                <w:i/>
                <w:sz w:val="20"/>
              </w:rPr>
              <w:t xml:space="preserve">designated in a </w:t>
            </w:r>
            <w:r w:rsidRPr="00314B3D">
              <w:rPr>
                <w:i/>
                <w:sz w:val="20"/>
              </w:rPr>
              <w:t xml:space="preserve">Combined Cycle </w:t>
            </w:r>
            <w:r>
              <w:rPr>
                <w:i/>
                <w:sz w:val="20"/>
              </w:rPr>
              <w:t>Train registration for the On-Line Combined Cycle Generation Resource</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w:t>
            </w:r>
            <w:r>
              <w:rPr>
                <w:sz w:val="20"/>
              </w:rPr>
              <w:t xml:space="preserve">On-Line </w:t>
            </w:r>
            <w:r w:rsidRPr="00314B3D">
              <w:rPr>
                <w:sz w:val="20"/>
              </w:rPr>
              <w:t>Combined Cycle Generation Resource</w:t>
            </w:r>
            <w:r>
              <w:rPr>
                <w:sz w:val="20"/>
              </w:rPr>
              <w:t xml:space="preserve"> </w:t>
            </w:r>
            <w:r w:rsidRPr="00314B3D">
              <w:rPr>
                <w:sz w:val="20"/>
              </w:rPr>
              <w:t>for the SCED interval</w:t>
            </w:r>
            <w:r w:rsidRPr="00E955E4">
              <w:rPr>
                <w:i/>
                <w:sz w:val="20"/>
              </w:rPr>
              <w:t xml:space="preserve"> y</w:t>
            </w:r>
            <w:r w:rsidRPr="00314B3D">
              <w:rPr>
                <w:sz w:val="20"/>
              </w:rPr>
              <w:t>.</w:t>
            </w:r>
          </w:p>
        </w:tc>
      </w:tr>
      <w:tr w:rsidR="00142F7A" w:rsidRPr="00D67E3B" w14:paraId="581E8152" w14:textId="77777777" w:rsidTr="00F12CF4">
        <w:tc>
          <w:tcPr>
            <w:tcW w:w="2535" w:type="dxa"/>
          </w:tcPr>
          <w:p w14:paraId="571999A1" w14:textId="77777777" w:rsidR="00142F7A" w:rsidRPr="007A7509" w:rsidRDefault="00142F7A" w:rsidP="00F12CF4">
            <w:pPr>
              <w:rPr>
                <w:i/>
                <w:sz w:val="20"/>
                <w:vertAlign w:val="subscript"/>
              </w:rPr>
            </w:pPr>
            <w:r w:rsidRPr="00314B3D">
              <w:rPr>
                <w:sz w:val="20"/>
              </w:rPr>
              <w:lastRenderedPageBreak/>
              <w:t>RTLMP</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C27A43C" w14:textId="77777777" w:rsidR="00142F7A" w:rsidRPr="007A7509" w:rsidRDefault="00142F7A" w:rsidP="00F12CF4">
            <w:pPr>
              <w:rPr>
                <w:sz w:val="20"/>
              </w:rPr>
            </w:pPr>
            <w:r w:rsidRPr="00314B3D">
              <w:rPr>
                <w:sz w:val="20"/>
              </w:rPr>
              <w:t>$/MWh</w:t>
            </w:r>
          </w:p>
        </w:tc>
        <w:tc>
          <w:tcPr>
            <w:tcW w:w="6202" w:type="dxa"/>
          </w:tcPr>
          <w:p w14:paraId="67D4571A" w14:textId="77777777" w:rsidR="00142F7A" w:rsidRPr="007A7509" w:rsidRDefault="00142F7A" w:rsidP="00C43DB8">
            <w:pPr>
              <w:spacing w:after="60"/>
              <w:rPr>
                <w:sz w:val="20"/>
              </w:rPr>
            </w:pPr>
            <w:r w:rsidRPr="00314B3D">
              <w:rPr>
                <w:i/>
                <w:sz w:val="20"/>
              </w:rPr>
              <w:t xml:space="preserve">Real-Time Locational Marginal Price at a generation unit Resource Node registered to the Combined Cycle </w:t>
            </w:r>
            <w:r>
              <w:rPr>
                <w:i/>
                <w:sz w:val="20"/>
              </w:rPr>
              <w:t>Train</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SCED interval</w:t>
            </w:r>
            <w:r w:rsidRPr="00E955E4">
              <w:rPr>
                <w:i/>
                <w:sz w:val="20"/>
              </w:rPr>
              <w:t xml:space="preserve"> y</w:t>
            </w:r>
            <w:r w:rsidRPr="00314B3D">
              <w:rPr>
                <w:sz w:val="20"/>
              </w:rPr>
              <w:t>.</w:t>
            </w:r>
          </w:p>
        </w:tc>
      </w:tr>
      <w:tr w:rsidR="00142F7A" w:rsidRPr="00D67E3B" w14:paraId="0A65B28C" w14:textId="77777777" w:rsidTr="00F12CF4">
        <w:tc>
          <w:tcPr>
            <w:tcW w:w="2535" w:type="dxa"/>
          </w:tcPr>
          <w:p w14:paraId="255410D1" w14:textId="77777777" w:rsidR="00142F7A" w:rsidRPr="007A7509" w:rsidRDefault="00142F7A" w:rsidP="00F12CF4">
            <w:pPr>
              <w:rPr>
                <w:i/>
                <w:sz w:val="20"/>
                <w:vertAlign w:val="subscript"/>
              </w:rPr>
            </w:pPr>
            <w:r w:rsidRPr="00314B3D">
              <w:rPr>
                <w:sz w:val="20"/>
              </w:rPr>
              <w:t>RT</w:t>
            </w:r>
            <w:r>
              <w:rPr>
                <w:sz w:val="20"/>
              </w:rPr>
              <w:t>ON</w:t>
            </w:r>
            <w:r w:rsidRPr="00314B3D">
              <w:rPr>
                <w:sz w:val="20"/>
              </w:rPr>
              <w:t>CCGRWF</w:t>
            </w:r>
            <w:r>
              <w:rPr>
                <w:sz w:val="20"/>
              </w:rPr>
              <w:t xml:space="preserve"> </w:t>
            </w:r>
            <w:r w:rsidRPr="00314B3D">
              <w:rPr>
                <w:i/>
                <w:sz w:val="20"/>
                <w:vertAlign w:val="subscript"/>
              </w:rPr>
              <w:t>CCGR_PhyR</w:t>
            </w:r>
            <w:r>
              <w:rPr>
                <w:i/>
                <w:sz w:val="20"/>
                <w:vertAlign w:val="subscript"/>
              </w:rPr>
              <w:t>, y</w:t>
            </w:r>
          </w:p>
        </w:tc>
        <w:tc>
          <w:tcPr>
            <w:tcW w:w="839" w:type="dxa"/>
          </w:tcPr>
          <w:p w14:paraId="2515D63A" w14:textId="77777777" w:rsidR="00142F7A" w:rsidRPr="007A7509" w:rsidRDefault="00142F7A" w:rsidP="00F12CF4">
            <w:pPr>
              <w:rPr>
                <w:sz w:val="20"/>
              </w:rPr>
            </w:pPr>
            <w:r w:rsidRPr="00314B3D">
              <w:rPr>
                <w:sz w:val="20"/>
              </w:rPr>
              <w:t>none</w:t>
            </w:r>
          </w:p>
        </w:tc>
        <w:tc>
          <w:tcPr>
            <w:tcW w:w="6202" w:type="dxa"/>
          </w:tcPr>
          <w:p w14:paraId="51C840AB" w14:textId="77777777" w:rsidR="00142F7A" w:rsidRPr="007A7509" w:rsidRDefault="00142F7A" w:rsidP="00C43DB8">
            <w:pPr>
              <w:spacing w:after="60"/>
              <w:rPr>
                <w:sz w:val="20"/>
              </w:rPr>
            </w:pPr>
            <w:r w:rsidRPr="00314B3D">
              <w:rPr>
                <w:i/>
                <w:sz w:val="20"/>
              </w:rPr>
              <w:t xml:space="preserve">Real-Time </w:t>
            </w:r>
            <w:r>
              <w:rPr>
                <w:i/>
                <w:sz w:val="20"/>
              </w:rPr>
              <w:t xml:space="preserve">On-Line </w:t>
            </w:r>
            <w:r w:rsidRPr="00314B3D">
              <w:rPr>
                <w:i/>
                <w:sz w:val="20"/>
              </w:rPr>
              <w:t>Combined Cycle Generation Resource Weighting Factor</w:t>
            </w:r>
            <w:r w:rsidRPr="008C1469">
              <w:rPr>
                <w:iCs/>
                <w:sz w:val="20"/>
              </w:rPr>
              <w:sym w:font="Symbol" w:char="F0BE"/>
            </w:r>
            <w:r w:rsidRPr="00314B3D">
              <w:rPr>
                <w:sz w:val="20"/>
              </w:rPr>
              <w:t xml:space="preserve">The Real Time </w:t>
            </w:r>
            <w:r>
              <w:rPr>
                <w:sz w:val="20"/>
              </w:rPr>
              <w:t>Combined Cycle Generation Resource</w:t>
            </w:r>
            <w:r w:rsidRPr="00314B3D">
              <w:rPr>
                <w:sz w:val="20"/>
              </w:rPr>
              <w:t xml:space="preserve"> weighting factor for a </w:t>
            </w:r>
            <w:r>
              <w:rPr>
                <w:sz w:val="20"/>
              </w:rPr>
              <w:t>g</w:t>
            </w:r>
            <w:r w:rsidRPr="00314B3D">
              <w:rPr>
                <w:sz w:val="20"/>
              </w:rPr>
              <w:t xml:space="preserve">eneration unit designated in a Combined Cycle Train registration for the </w:t>
            </w:r>
            <w:r>
              <w:rPr>
                <w:sz w:val="20"/>
              </w:rPr>
              <w:t xml:space="preserve">On-Line </w:t>
            </w:r>
            <w:r w:rsidRPr="00314B3D">
              <w:rPr>
                <w:sz w:val="20"/>
              </w:rPr>
              <w:t>Combined Cycle Generation Resource</w:t>
            </w:r>
            <w:r>
              <w:rPr>
                <w:sz w:val="20"/>
              </w:rPr>
              <w:t xml:space="preserve"> for the SCED interval </w:t>
            </w:r>
            <w:r w:rsidRPr="00CC16D4">
              <w:rPr>
                <w:i/>
                <w:sz w:val="20"/>
              </w:rPr>
              <w:t>y</w:t>
            </w:r>
            <w:r w:rsidRPr="00314B3D">
              <w:rPr>
                <w:sz w:val="20"/>
              </w:rPr>
              <w:t>.</w:t>
            </w:r>
          </w:p>
        </w:tc>
      </w:tr>
      <w:tr w:rsidR="00142F7A" w:rsidRPr="00D67E3B" w14:paraId="44C590BF" w14:textId="77777777" w:rsidTr="00F12CF4">
        <w:tc>
          <w:tcPr>
            <w:tcW w:w="2535" w:type="dxa"/>
          </w:tcPr>
          <w:p w14:paraId="7A7F50D7" w14:textId="77777777" w:rsidR="00142F7A" w:rsidRPr="00314B3D" w:rsidRDefault="00142F7A" w:rsidP="00F12CF4">
            <w:pPr>
              <w:rPr>
                <w:sz w:val="20"/>
              </w:rPr>
            </w:pPr>
            <w:r w:rsidRPr="00314B3D">
              <w:rPr>
                <w:sz w:val="20"/>
              </w:rPr>
              <w:t>RT</w:t>
            </w:r>
            <w:r>
              <w:rPr>
                <w:sz w:val="20"/>
              </w:rPr>
              <w:t>OFF</w:t>
            </w:r>
            <w:r w:rsidRPr="00314B3D">
              <w:rPr>
                <w:sz w:val="20"/>
              </w:rPr>
              <w:t>CCGRWF</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14D39DA" w14:textId="77777777" w:rsidR="00142F7A" w:rsidRPr="00314B3D" w:rsidRDefault="00142F7A" w:rsidP="00F12CF4">
            <w:pPr>
              <w:rPr>
                <w:sz w:val="20"/>
              </w:rPr>
            </w:pPr>
            <w:r w:rsidRPr="00314B3D">
              <w:rPr>
                <w:sz w:val="20"/>
              </w:rPr>
              <w:t>none</w:t>
            </w:r>
          </w:p>
        </w:tc>
        <w:tc>
          <w:tcPr>
            <w:tcW w:w="6202" w:type="dxa"/>
          </w:tcPr>
          <w:p w14:paraId="0AB1097C" w14:textId="77777777" w:rsidR="00142F7A" w:rsidRPr="00314B3D" w:rsidRDefault="00142F7A" w:rsidP="00C43DB8">
            <w:pPr>
              <w:spacing w:after="60"/>
              <w:rPr>
                <w:i/>
                <w:sz w:val="20"/>
              </w:rPr>
            </w:pPr>
            <w:r w:rsidRPr="00314B3D">
              <w:rPr>
                <w:i/>
                <w:sz w:val="20"/>
              </w:rPr>
              <w:t xml:space="preserve">Real-Time </w:t>
            </w:r>
            <w:r>
              <w:rPr>
                <w:i/>
                <w:sz w:val="20"/>
              </w:rPr>
              <w:t xml:space="preserve">Off-Line </w:t>
            </w:r>
            <w:r w:rsidRPr="00314B3D">
              <w:rPr>
                <w:i/>
                <w:sz w:val="20"/>
              </w:rPr>
              <w:t>Combined Cycle Generation Resource Weighting Factor</w:t>
            </w:r>
            <w:r w:rsidRPr="008C1469">
              <w:rPr>
                <w:iCs/>
                <w:sz w:val="20"/>
              </w:rPr>
              <w:sym w:font="Symbol" w:char="F0BE"/>
            </w:r>
            <w:r>
              <w:rPr>
                <w:sz w:val="20"/>
              </w:rPr>
              <w:t>The Real-</w:t>
            </w:r>
            <w:r w:rsidRPr="00314B3D">
              <w:rPr>
                <w:sz w:val="20"/>
              </w:rPr>
              <w:t xml:space="preserve">Time </w:t>
            </w:r>
            <w:r w:rsidRPr="00C47DCB">
              <w:rPr>
                <w:sz w:val="20"/>
              </w:rPr>
              <w:t xml:space="preserve">Combined Cycle Generation Resource </w:t>
            </w:r>
            <w:r w:rsidRPr="00314B3D">
              <w:rPr>
                <w:sz w:val="20"/>
              </w:rPr>
              <w:t xml:space="preserve">weighting factor for a </w:t>
            </w:r>
            <w:r>
              <w:rPr>
                <w:sz w:val="20"/>
              </w:rPr>
              <w:t>g</w:t>
            </w:r>
            <w:r w:rsidRPr="00314B3D">
              <w:rPr>
                <w:sz w:val="20"/>
              </w:rPr>
              <w:t xml:space="preserve">eneration unit designated in a Combined Cycle Train registration </w:t>
            </w:r>
            <w:r>
              <w:rPr>
                <w:sz w:val="20"/>
              </w:rPr>
              <w:t>when the whole Combined Cycle Train is Off-Line</w:t>
            </w:r>
            <w:r w:rsidRPr="00B456AC">
              <w:rPr>
                <w:sz w:val="20"/>
              </w:rPr>
              <w:t xml:space="preserve"> for the SCED interval</w:t>
            </w:r>
            <w:r w:rsidRPr="00316DEE">
              <w:rPr>
                <w:i/>
                <w:sz w:val="20"/>
              </w:rPr>
              <w:t xml:space="preserve"> y</w:t>
            </w:r>
            <w:r w:rsidRPr="00314B3D">
              <w:rPr>
                <w:sz w:val="20"/>
              </w:rPr>
              <w:t>.</w:t>
            </w:r>
          </w:p>
        </w:tc>
      </w:tr>
      <w:tr w:rsidR="00142F7A" w:rsidRPr="00D67E3B" w14:paraId="53B73C1B" w14:textId="77777777" w:rsidTr="00F12CF4">
        <w:tc>
          <w:tcPr>
            <w:tcW w:w="2535" w:type="dxa"/>
          </w:tcPr>
          <w:p w14:paraId="6A4EC54A" w14:textId="77777777" w:rsidR="00142F7A" w:rsidRPr="007A7509" w:rsidRDefault="00142F7A" w:rsidP="00F12CF4">
            <w:pPr>
              <w:rPr>
                <w:sz w:val="20"/>
              </w:rPr>
            </w:pPr>
            <w:r w:rsidRPr="00314B3D">
              <w:rPr>
                <w:i/>
                <w:sz w:val="20"/>
              </w:rPr>
              <w:t>CCGR_PhyR</w:t>
            </w:r>
          </w:p>
        </w:tc>
        <w:tc>
          <w:tcPr>
            <w:tcW w:w="839" w:type="dxa"/>
          </w:tcPr>
          <w:p w14:paraId="6AF39E91" w14:textId="77777777" w:rsidR="00142F7A" w:rsidRPr="007A7509" w:rsidRDefault="00142F7A" w:rsidP="00F12CF4">
            <w:pPr>
              <w:rPr>
                <w:sz w:val="20"/>
              </w:rPr>
            </w:pPr>
            <w:r w:rsidRPr="00314B3D">
              <w:rPr>
                <w:sz w:val="20"/>
              </w:rPr>
              <w:t>none</w:t>
            </w:r>
          </w:p>
        </w:tc>
        <w:tc>
          <w:tcPr>
            <w:tcW w:w="6202" w:type="dxa"/>
          </w:tcPr>
          <w:p w14:paraId="1F171617" w14:textId="77777777" w:rsidR="00142F7A" w:rsidRPr="007A7509" w:rsidRDefault="00142F7A" w:rsidP="00C43DB8">
            <w:pPr>
              <w:spacing w:after="60"/>
              <w:rPr>
                <w:sz w:val="20"/>
              </w:rPr>
            </w:pPr>
            <w:r w:rsidRPr="00314B3D">
              <w:rPr>
                <w:sz w:val="20"/>
              </w:rPr>
              <w:t xml:space="preserve">A generation unit designated in a Combine Cycle Train registration for </w:t>
            </w:r>
            <w:r>
              <w:rPr>
                <w:sz w:val="20"/>
              </w:rPr>
              <w:t>the On-Line</w:t>
            </w:r>
            <w:r w:rsidRPr="00314B3D">
              <w:rPr>
                <w:sz w:val="20"/>
              </w:rPr>
              <w:t xml:space="preserve"> Combined Cycle Generation Resource.</w:t>
            </w:r>
          </w:p>
        </w:tc>
      </w:tr>
      <w:tr w:rsidR="00142F7A" w:rsidRPr="00D67E3B" w14:paraId="68F3D625" w14:textId="77777777" w:rsidTr="00F12CF4">
        <w:tc>
          <w:tcPr>
            <w:tcW w:w="2535" w:type="dxa"/>
          </w:tcPr>
          <w:p w14:paraId="3789CA26" w14:textId="77777777" w:rsidR="00142F7A" w:rsidRPr="00314B3D" w:rsidRDefault="00142F7A" w:rsidP="00F12CF4">
            <w:pPr>
              <w:rPr>
                <w:i/>
                <w:sz w:val="20"/>
              </w:rPr>
            </w:pPr>
            <w:r>
              <w:rPr>
                <w:i/>
                <w:sz w:val="20"/>
              </w:rPr>
              <w:t>CCT</w:t>
            </w:r>
            <w:r w:rsidRPr="000E2D59">
              <w:rPr>
                <w:i/>
                <w:sz w:val="20"/>
              </w:rPr>
              <w:t>_PhyR</w:t>
            </w:r>
          </w:p>
        </w:tc>
        <w:tc>
          <w:tcPr>
            <w:tcW w:w="839" w:type="dxa"/>
          </w:tcPr>
          <w:p w14:paraId="3C1CF4B0" w14:textId="77777777" w:rsidR="00142F7A" w:rsidRPr="00314B3D" w:rsidRDefault="00142F7A" w:rsidP="00F12CF4">
            <w:pPr>
              <w:rPr>
                <w:sz w:val="20"/>
              </w:rPr>
            </w:pPr>
            <w:r w:rsidRPr="000E2D59">
              <w:rPr>
                <w:sz w:val="20"/>
              </w:rPr>
              <w:t>none</w:t>
            </w:r>
          </w:p>
        </w:tc>
        <w:tc>
          <w:tcPr>
            <w:tcW w:w="6202" w:type="dxa"/>
          </w:tcPr>
          <w:p w14:paraId="3DE3D875" w14:textId="77777777" w:rsidR="00142F7A" w:rsidRPr="00314B3D" w:rsidRDefault="00142F7A" w:rsidP="00C43DB8">
            <w:pPr>
              <w:spacing w:after="60"/>
              <w:rPr>
                <w:sz w:val="20"/>
              </w:rPr>
            </w:pPr>
            <w:r w:rsidRPr="000E2D59">
              <w:rPr>
                <w:sz w:val="20"/>
              </w:rPr>
              <w:t xml:space="preserve">A generation unit designated in a Combine Cycle Train registration </w:t>
            </w:r>
          </w:p>
        </w:tc>
      </w:tr>
      <w:tr w:rsidR="00142F7A" w:rsidRPr="00D67E3B" w14:paraId="3016BBC0" w14:textId="77777777" w:rsidTr="00F12CF4">
        <w:tc>
          <w:tcPr>
            <w:tcW w:w="2535" w:type="dxa"/>
          </w:tcPr>
          <w:p w14:paraId="6D6B3AE1" w14:textId="77777777" w:rsidR="00142F7A" w:rsidRPr="00314B3D" w:rsidRDefault="00142F7A" w:rsidP="00F12CF4">
            <w:pPr>
              <w:rPr>
                <w:i/>
                <w:sz w:val="20"/>
              </w:rPr>
            </w:pPr>
            <w:r w:rsidRPr="005829EB">
              <w:rPr>
                <w:i/>
                <w:sz w:val="20"/>
              </w:rPr>
              <w:t>c</w:t>
            </w:r>
          </w:p>
        </w:tc>
        <w:tc>
          <w:tcPr>
            <w:tcW w:w="839" w:type="dxa"/>
          </w:tcPr>
          <w:p w14:paraId="45BECA17" w14:textId="77777777" w:rsidR="00142F7A" w:rsidRPr="00314B3D" w:rsidRDefault="00142F7A" w:rsidP="00F12CF4">
            <w:pPr>
              <w:rPr>
                <w:sz w:val="20"/>
              </w:rPr>
            </w:pPr>
            <w:r w:rsidRPr="005829EB">
              <w:rPr>
                <w:sz w:val="20"/>
              </w:rPr>
              <w:t>none</w:t>
            </w:r>
          </w:p>
        </w:tc>
        <w:tc>
          <w:tcPr>
            <w:tcW w:w="6202" w:type="dxa"/>
          </w:tcPr>
          <w:p w14:paraId="435BB40A" w14:textId="77777777" w:rsidR="00142F7A" w:rsidRPr="00314B3D" w:rsidRDefault="00142F7A" w:rsidP="00C43DB8">
            <w:pPr>
              <w:spacing w:after="60"/>
              <w:rPr>
                <w:sz w:val="20"/>
              </w:rPr>
            </w:pPr>
            <w:r w:rsidRPr="005829EB">
              <w:rPr>
                <w:sz w:val="20"/>
              </w:rPr>
              <w:t xml:space="preserve">A </w:t>
            </w:r>
            <w:r>
              <w:rPr>
                <w:sz w:val="20"/>
              </w:rPr>
              <w:t xml:space="preserve">binding transmission </w:t>
            </w:r>
            <w:r w:rsidRPr="005829EB">
              <w:rPr>
                <w:sz w:val="20"/>
              </w:rPr>
              <w:t>constraint</w:t>
            </w:r>
            <w:r>
              <w:rPr>
                <w:sz w:val="20"/>
              </w:rPr>
              <w:t xml:space="preserve"> for the SCED interval </w:t>
            </w:r>
            <w:r w:rsidRPr="00316DEE">
              <w:rPr>
                <w:i/>
                <w:sz w:val="20"/>
              </w:rPr>
              <w:t>y</w:t>
            </w:r>
            <w:r w:rsidRPr="00314B3D">
              <w:rPr>
                <w:sz w:val="20"/>
              </w:rPr>
              <w:t>.</w:t>
            </w:r>
          </w:p>
        </w:tc>
      </w:tr>
      <w:tr w:rsidR="00142F7A" w:rsidRPr="00D67E3B" w14:paraId="345313BD" w14:textId="77777777" w:rsidTr="00F12CF4">
        <w:tc>
          <w:tcPr>
            <w:tcW w:w="2535" w:type="dxa"/>
          </w:tcPr>
          <w:p w14:paraId="732D7F9A" w14:textId="77777777" w:rsidR="00142F7A" w:rsidRPr="00314B3D" w:rsidRDefault="00142F7A" w:rsidP="00F12CF4">
            <w:pPr>
              <w:rPr>
                <w:i/>
                <w:sz w:val="20"/>
              </w:rPr>
            </w:pPr>
            <w:r w:rsidRPr="005829EB">
              <w:rPr>
                <w:i/>
                <w:sz w:val="20"/>
              </w:rPr>
              <w:t>y</w:t>
            </w:r>
          </w:p>
        </w:tc>
        <w:tc>
          <w:tcPr>
            <w:tcW w:w="839" w:type="dxa"/>
          </w:tcPr>
          <w:p w14:paraId="33852265" w14:textId="77777777" w:rsidR="00142F7A" w:rsidRPr="00314B3D" w:rsidRDefault="00142F7A" w:rsidP="00F12CF4">
            <w:pPr>
              <w:rPr>
                <w:sz w:val="20"/>
              </w:rPr>
            </w:pPr>
            <w:r w:rsidRPr="005829EB">
              <w:rPr>
                <w:sz w:val="20"/>
              </w:rPr>
              <w:t>none</w:t>
            </w:r>
          </w:p>
        </w:tc>
        <w:tc>
          <w:tcPr>
            <w:tcW w:w="6202" w:type="dxa"/>
          </w:tcPr>
          <w:p w14:paraId="15854274" w14:textId="77777777" w:rsidR="00142F7A" w:rsidRPr="00314B3D" w:rsidRDefault="00142F7A" w:rsidP="00C43DB8">
            <w:pPr>
              <w:spacing w:after="60"/>
              <w:rPr>
                <w:sz w:val="20"/>
              </w:rPr>
            </w:pPr>
            <w:r w:rsidRPr="005829EB">
              <w:rPr>
                <w:sz w:val="20"/>
              </w:rPr>
              <w:t xml:space="preserve">A SCED interval in the 15-minute Settlement Interval.  </w:t>
            </w:r>
          </w:p>
        </w:tc>
      </w:tr>
    </w:tbl>
    <w:p w14:paraId="72290AF4" w14:textId="77777777" w:rsidR="00142F7A" w:rsidRDefault="00142F7A" w:rsidP="00142F7A">
      <w:pPr>
        <w:pStyle w:val="List"/>
        <w:spacing w:before="240"/>
        <w:rPr>
          <w:iCs/>
        </w:rPr>
      </w:pPr>
      <w:r>
        <w:rPr>
          <w:iCs/>
        </w:rPr>
        <w:t>(b)</w:t>
      </w:r>
      <w:r>
        <w:rPr>
          <w:iCs/>
        </w:rPr>
        <w:tab/>
      </w:r>
      <w:r w:rsidRPr="00392666">
        <w:rPr>
          <w:iCs/>
        </w:rPr>
        <w:t>For a</w:t>
      </w:r>
      <w:r>
        <w:rPr>
          <w:iCs/>
        </w:rPr>
        <w:t>n</w:t>
      </w:r>
      <w:r w:rsidRPr="00392666">
        <w:rPr>
          <w:iCs/>
        </w:rPr>
        <w:t xml:space="preserve"> O</w:t>
      </w:r>
      <w:r>
        <w:rPr>
          <w:iCs/>
        </w:rPr>
        <w:t>n</w:t>
      </w:r>
      <w:r w:rsidRPr="00392666">
        <w:rPr>
          <w:iCs/>
        </w:rPr>
        <w:t xml:space="preserve">-Line Combined Cycle Train, </w:t>
      </w:r>
      <w:r>
        <w:rPr>
          <w:iCs/>
        </w:rPr>
        <w:t>t</w:t>
      </w:r>
      <w:r w:rsidRPr="00FB5182">
        <w:rPr>
          <w:iCs/>
        </w:rPr>
        <w:t>he weight factor for each generation unit registered in a</w:t>
      </w:r>
      <w:r>
        <w:rPr>
          <w:iCs/>
        </w:rPr>
        <w:t>n On-Line</w:t>
      </w:r>
      <w:r w:rsidRPr="00FB5182">
        <w:rPr>
          <w:iCs/>
        </w:rPr>
        <w:t xml:space="preserve"> Combined Cycle Generation Resource shall be the Real</w:t>
      </w:r>
      <w:r>
        <w:rPr>
          <w:iCs/>
        </w:rPr>
        <w:t>-</w:t>
      </w:r>
      <w:r w:rsidRPr="00FB5182">
        <w:rPr>
          <w:iCs/>
        </w:rPr>
        <w:t>Time power output telemetry in each SCED interval for each generation unit registered in the Combined Cycle Generation Resource divided by the total Real</w:t>
      </w:r>
      <w:r>
        <w:rPr>
          <w:iCs/>
        </w:rPr>
        <w:t>-</w:t>
      </w:r>
      <w:r w:rsidRPr="00FB5182">
        <w:rPr>
          <w:iCs/>
        </w:rPr>
        <w:t>Time power output telemetry for all of the generation units registered in the Combined Cycle Generation Resource.</w:t>
      </w:r>
      <w:r w:rsidRPr="00392666">
        <w:rPr>
          <w:iCs/>
        </w:rPr>
        <w:t xml:space="preserve">  For a</w:t>
      </w:r>
      <w:r>
        <w:rPr>
          <w:iCs/>
        </w:rPr>
        <w:t>n</w:t>
      </w:r>
      <w:r w:rsidRPr="00392666">
        <w:rPr>
          <w:iCs/>
        </w:rPr>
        <w:t xml:space="preserve">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2B9635EB" w14:textId="77777777" w:rsidR="00142F7A" w:rsidRDefault="00142F7A" w:rsidP="00142F7A">
      <w:pPr>
        <w:pStyle w:val="BodyText"/>
        <w:ind w:left="1440"/>
      </w:pPr>
      <w:r w:rsidRPr="00CA515C">
        <w:rPr>
          <w:iCs w:val="0"/>
        </w:rPr>
        <w:t>Where</w:t>
      </w:r>
      <w:r>
        <w:rPr>
          <w:iCs w:val="0"/>
        </w:rPr>
        <w:t>:</w:t>
      </w:r>
    </w:p>
    <w:p w14:paraId="3C9F34D7" w14:textId="77777777" w:rsidR="00142F7A" w:rsidRPr="00D51499" w:rsidRDefault="00142F7A" w:rsidP="00142F7A">
      <w:pPr>
        <w:spacing w:after="240"/>
        <w:ind w:left="720" w:firstLine="720"/>
        <w:rPr>
          <w:b/>
        </w:rPr>
      </w:pPr>
      <w:r w:rsidRPr="009F599E">
        <w:rPr>
          <w:b/>
        </w:rPr>
        <w:t>RT</w:t>
      </w:r>
      <w:r>
        <w:rPr>
          <w:b/>
        </w:rPr>
        <w:t>ON</w:t>
      </w:r>
      <w:r w:rsidRPr="009F599E">
        <w:rPr>
          <w:b/>
        </w:rPr>
        <w:t>CCGRWF</w:t>
      </w:r>
      <w:r>
        <w:rPr>
          <w:b/>
        </w:rPr>
        <w:t xml:space="preserve"> </w:t>
      </w:r>
      <w:r w:rsidRPr="009F599E">
        <w:rPr>
          <w:b/>
          <w:i/>
          <w:vertAlign w:val="subscript"/>
        </w:rPr>
        <w:t>CCGR_PhyR</w:t>
      </w:r>
      <w:r>
        <w:rPr>
          <w:b/>
          <w:i/>
          <w:vertAlign w:val="subscript"/>
        </w:rPr>
        <w:t>, y</w:t>
      </w:r>
      <w:r w:rsidRPr="009F599E">
        <w:rPr>
          <w:b/>
        </w:rPr>
        <w:t xml:space="preserve"> = TG</w:t>
      </w:r>
      <w:r>
        <w:rPr>
          <w:b/>
        </w:rPr>
        <w:t xml:space="preserve"> </w:t>
      </w:r>
      <w:r w:rsidRPr="009F599E">
        <w:rPr>
          <w:b/>
          <w:i/>
          <w:vertAlign w:val="subscript"/>
        </w:rPr>
        <w:t>CCGR_PhyR</w:t>
      </w:r>
      <w:r w:rsidRPr="009F599E">
        <w:rPr>
          <w:b/>
        </w:rPr>
        <w:t xml:space="preserve"> / ∑</w:t>
      </w:r>
      <w:r w:rsidRPr="009F599E">
        <w:rPr>
          <w:b/>
          <w:i/>
          <w:vertAlign w:val="subscript"/>
        </w:rPr>
        <w:t>CCGR_PhyR</w:t>
      </w:r>
      <w:r w:rsidRPr="009F599E">
        <w:rPr>
          <w:b/>
        </w:rPr>
        <w:t xml:space="preserve"> TG</w:t>
      </w:r>
      <w:r>
        <w:rPr>
          <w:b/>
        </w:rPr>
        <w:t xml:space="preserve"> </w:t>
      </w:r>
      <w:r w:rsidRPr="009F599E">
        <w:rPr>
          <w:b/>
          <w:i/>
          <w:vertAlign w:val="subscript"/>
        </w:rPr>
        <w:t>CCGR_PhyR</w:t>
      </w:r>
    </w:p>
    <w:p w14:paraId="42BAE5FC" w14:textId="77777777" w:rsidR="00142F7A" w:rsidRPr="00D51499" w:rsidRDefault="00142F7A" w:rsidP="00142F7A">
      <w:pPr>
        <w:spacing w:after="240"/>
        <w:ind w:left="720" w:firstLine="720"/>
        <w:rPr>
          <w:b/>
        </w:rPr>
      </w:pPr>
      <w:r w:rsidRPr="009F599E">
        <w:rPr>
          <w:b/>
        </w:rPr>
        <w:t>RT</w:t>
      </w:r>
      <w:r>
        <w:rPr>
          <w:b/>
        </w:rPr>
        <w:t>OFF</w:t>
      </w:r>
      <w:r w:rsidRPr="009F599E">
        <w:rPr>
          <w:b/>
        </w:rPr>
        <w:t>CCGRWF</w:t>
      </w:r>
      <w:r>
        <w:rPr>
          <w:b/>
        </w:rPr>
        <w:t xml:space="preserve"> </w:t>
      </w:r>
      <w:r w:rsidRPr="009F599E">
        <w:rPr>
          <w:b/>
          <w:i/>
          <w:vertAlign w:val="subscript"/>
        </w:rPr>
        <w:t>CC</w:t>
      </w:r>
      <w:r>
        <w:rPr>
          <w:b/>
          <w:i/>
          <w:vertAlign w:val="subscript"/>
        </w:rPr>
        <w:t>T</w:t>
      </w:r>
      <w:r w:rsidRPr="009F599E">
        <w:rPr>
          <w:b/>
          <w:i/>
          <w:vertAlign w:val="subscript"/>
        </w:rPr>
        <w:t>_PhyR</w:t>
      </w:r>
      <w:r>
        <w:rPr>
          <w:b/>
          <w:i/>
          <w:vertAlign w:val="subscript"/>
        </w:rPr>
        <w:t>, y</w:t>
      </w:r>
      <w:r>
        <w:rPr>
          <w:b/>
        </w:rPr>
        <w:t xml:space="preserve"> = HRL </w:t>
      </w:r>
      <w:r w:rsidRPr="009F599E">
        <w:rPr>
          <w:b/>
          <w:i/>
          <w:vertAlign w:val="subscript"/>
        </w:rPr>
        <w:t>CC</w:t>
      </w:r>
      <w:r>
        <w:rPr>
          <w:b/>
          <w:i/>
          <w:vertAlign w:val="subscript"/>
        </w:rPr>
        <w:t>T</w:t>
      </w:r>
      <w:r w:rsidRPr="009F599E">
        <w:rPr>
          <w:b/>
          <w:i/>
          <w:vertAlign w:val="subscript"/>
        </w:rPr>
        <w:t>_PhyR</w:t>
      </w:r>
      <w:r w:rsidRPr="009F599E">
        <w:rPr>
          <w:b/>
        </w:rPr>
        <w:t xml:space="preserve"> / ∑</w:t>
      </w:r>
      <w:r w:rsidRPr="009F599E">
        <w:rPr>
          <w:b/>
          <w:i/>
          <w:vertAlign w:val="subscript"/>
        </w:rPr>
        <w:t>CC</w:t>
      </w:r>
      <w:r>
        <w:rPr>
          <w:b/>
          <w:i/>
          <w:vertAlign w:val="subscript"/>
        </w:rPr>
        <w:t>T</w:t>
      </w:r>
      <w:r w:rsidRPr="009F599E">
        <w:rPr>
          <w:b/>
          <w:i/>
          <w:vertAlign w:val="subscript"/>
        </w:rPr>
        <w:t>_PhyR</w:t>
      </w:r>
      <w:r>
        <w:rPr>
          <w:b/>
        </w:rPr>
        <w:t xml:space="preserve"> HRL </w:t>
      </w:r>
      <w:r w:rsidRPr="009F599E">
        <w:rPr>
          <w:b/>
          <w:i/>
          <w:vertAlign w:val="subscript"/>
        </w:rPr>
        <w:t>CC</w:t>
      </w:r>
      <w:r>
        <w:rPr>
          <w:b/>
          <w:i/>
          <w:vertAlign w:val="subscript"/>
        </w:rPr>
        <w:t>T</w:t>
      </w:r>
      <w:r w:rsidRPr="009F599E">
        <w:rPr>
          <w:b/>
          <w:i/>
          <w:vertAlign w:val="subscript"/>
        </w:rPr>
        <w:t>_PhyR</w:t>
      </w:r>
    </w:p>
    <w:p w14:paraId="1715D223" w14:textId="77777777" w:rsidR="00142F7A" w:rsidRDefault="00142F7A" w:rsidP="00142F7A">
      <w:pPr>
        <w:rPr>
          <w:b/>
        </w:rPr>
      </w:pPr>
      <w:r w:rsidRPr="008C1469">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142F7A" w:rsidRPr="00D67E3B" w14:paraId="5075B2F9" w14:textId="77777777" w:rsidTr="00142F7A">
        <w:tc>
          <w:tcPr>
            <w:tcW w:w="2505" w:type="dxa"/>
          </w:tcPr>
          <w:p w14:paraId="3B2B372C" w14:textId="77777777" w:rsidR="00142F7A" w:rsidRDefault="00142F7A" w:rsidP="00F12CF4">
            <w:pPr>
              <w:spacing w:after="120"/>
              <w:rPr>
                <w:b/>
              </w:rPr>
            </w:pPr>
            <w:r w:rsidRPr="00D661BC">
              <w:rPr>
                <w:b/>
                <w:iCs/>
                <w:sz w:val="20"/>
              </w:rPr>
              <w:t>Variable</w:t>
            </w:r>
          </w:p>
        </w:tc>
        <w:tc>
          <w:tcPr>
            <w:tcW w:w="820" w:type="dxa"/>
          </w:tcPr>
          <w:p w14:paraId="03F05E24" w14:textId="77777777" w:rsidR="00142F7A" w:rsidRDefault="00142F7A" w:rsidP="00F12CF4">
            <w:pPr>
              <w:spacing w:after="120"/>
              <w:rPr>
                <w:b/>
              </w:rPr>
            </w:pPr>
            <w:r w:rsidRPr="007A7509">
              <w:rPr>
                <w:b/>
                <w:iCs/>
                <w:sz w:val="20"/>
              </w:rPr>
              <w:t>Unit</w:t>
            </w:r>
          </w:p>
        </w:tc>
        <w:tc>
          <w:tcPr>
            <w:tcW w:w="6025" w:type="dxa"/>
          </w:tcPr>
          <w:p w14:paraId="375845AC" w14:textId="77777777" w:rsidR="00142F7A" w:rsidRDefault="00142F7A" w:rsidP="00F12CF4">
            <w:pPr>
              <w:spacing w:after="120"/>
              <w:rPr>
                <w:b/>
              </w:rPr>
            </w:pPr>
            <w:r w:rsidRPr="00D661BC">
              <w:rPr>
                <w:b/>
                <w:iCs/>
                <w:sz w:val="20"/>
              </w:rPr>
              <w:t>Definition</w:t>
            </w:r>
          </w:p>
        </w:tc>
      </w:tr>
      <w:tr w:rsidR="00142F7A" w:rsidRPr="00D67E3B" w14:paraId="5874FA94" w14:textId="77777777" w:rsidTr="00142F7A">
        <w:tc>
          <w:tcPr>
            <w:tcW w:w="2505" w:type="dxa"/>
            <w:tcBorders>
              <w:bottom w:val="single" w:sz="4" w:space="0" w:color="auto"/>
            </w:tcBorders>
          </w:tcPr>
          <w:p w14:paraId="4E5FCBFA" w14:textId="77777777" w:rsidR="00142F7A" w:rsidRPr="0040745A" w:rsidRDefault="00142F7A" w:rsidP="00F12CF4">
            <w:pPr>
              <w:rPr>
                <w:i/>
                <w:sz w:val="20"/>
                <w:vertAlign w:val="subscript"/>
              </w:rPr>
            </w:pPr>
            <w:r w:rsidRPr="00D661BC">
              <w:rPr>
                <w:sz w:val="20"/>
              </w:rPr>
              <w:t>RT</w:t>
            </w:r>
            <w:r>
              <w:rPr>
                <w:sz w:val="20"/>
              </w:rPr>
              <w:t>ON</w:t>
            </w:r>
            <w:r w:rsidRPr="00D661BC">
              <w:rPr>
                <w:sz w:val="20"/>
              </w:rPr>
              <w:t>CCGRWF</w:t>
            </w:r>
            <w:r>
              <w:rPr>
                <w:sz w:val="20"/>
              </w:rPr>
              <w:t xml:space="preserve"> </w:t>
            </w:r>
            <w:r w:rsidRPr="00D661BC">
              <w:rPr>
                <w:i/>
                <w:sz w:val="20"/>
                <w:vertAlign w:val="subscript"/>
              </w:rPr>
              <w:t>CCGR_PhyR</w:t>
            </w:r>
            <w:r>
              <w:rPr>
                <w:i/>
                <w:sz w:val="20"/>
                <w:vertAlign w:val="subscript"/>
              </w:rPr>
              <w:t>, y</w:t>
            </w:r>
          </w:p>
        </w:tc>
        <w:tc>
          <w:tcPr>
            <w:tcW w:w="820" w:type="dxa"/>
            <w:tcBorders>
              <w:bottom w:val="single" w:sz="4" w:space="0" w:color="auto"/>
            </w:tcBorders>
          </w:tcPr>
          <w:p w14:paraId="4C2127A3" w14:textId="77777777" w:rsidR="00142F7A" w:rsidRPr="0040745A" w:rsidRDefault="00142F7A" w:rsidP="00F12CF4">
            <w:pPr>
              <w:rPr>
                <w:sz w:val="20"/>
              </w:rPr>
            </w:pPr>
            <w:r w:rsidRPr="00D661BC">
              <w:rPr>
                <w:sz w:val="20"/>
              </w:rPr>
              <w:t>none</w:t>
            </w:r>
          </w:p>
        </w:tc>
        <w:tc>
          <w:tcPr>
            <w:tcW w:w="6025" w:type="dxa"/>
            <w:tcBorders>
              <w:bottom w:val="single" w:sz="4" w:space="0" w:color="auto"/>
            </w:tcBorders>
          </w:tcPr>
          <w:p w14:paraId="2EFA6EAF" w14:textId="77777777" w:rsidR="00142F7A" w:rsidRPr="0040745A" w:rsidRDefault="00142F7A" w:rsidP="00C43DB8">
            <w:pPr>
              <w:spacing w:after="60"/>
              <w:rPr>
                <w:sz w:val="20"/>
              </w:rPr>
            </w:pPr>
            <w:r w:rsidRPr="00D661BC">
              <w:rPr>
                <w:i/>
                <w:sz w:val="20"/>
              </w:rPr>
              <w:t xml:space="preserve">Real-Time </w:t>
            </w:r>
            <w:r>
              <w:rPr>
                <w:i/>
                <w:sz w:val="20"/>
              </w:rPr>
              <w:t xml:space="preserve">On-Line </w:t>
            </w:r>
            <w:r w:rsidRPr="00D661BC">
              <w:rPr>
                <w:i/>
                <w:sz w:val="20"/>
              </w:rPr>
              <w:t>Combined Cycle Generation Resource Weighting Factor</w:t>
            </w:r>
            <w:r w:rsidRPr="008C1469">
              <w:rPr>
                <w:iCs/>
                <w:sz w:val="20"/>
              </w:rPr>
              <w:sym w:font="Symbol" w:char="F0BE"/>
            </w:r>
            <w:r w:rsidRPr="00D661BC">
              <w:rPr>
                <w:sz w:val="20"/>
              </w:rPr>
              <w:t xml:space="preserve">The Real Time </w:t>
            </w:r>
            <w:r>
              <w:rPr>
                <w:sz w:val="20"/>
              </w:rPr>
              <w:t>Combined Cycle Generation Resource</w:t>
            </w:r>
            <w:r w:rsidRPr="00D661BC">
              <w:rPr>
                <w:sz w:val="20"/>
              </w:rPr>
              <w:t xml:space="preserve"> weighting factor for a </w:t>
            </w:r>
            <w:r>
              <w:rPr>
                <w:sz w:val="20"/>
              </w:rPr>
              <w:t>g</w:t>
            </w:r>
            <w:r w:rsidRPr="00D661BC">
              <w:rPr>
                <w:sz w:val="20"/>
              </w:rPr>
              <w:t xml:space="preserve">eneration unit designated in a Combined Cycle Train registration for the </w:t>
            </w:r>
            <w:r>
              <w:rPr>
                <w:sz w:val="20"/>
              </w:rPr>
              <w:t xml:space="preserve">On-Line </w:t>
            </w:r>
            <w:r w:rsidRPr="00D661BC">
              <w:rPr>
                <w:sz w:val="20"/>
              </w:rPr>
              <w:t>Combined Cycle Generation Resource</w:t>
            </w:r>
            <w:r w:rsidRPr="00B82FAA">
              <w:rPr>
                <w:sz w:val="20"/>
              </w:rPr>
              <w:t xml:space="preserve"> for the SCED interval</w:t>
            </w:r>
            <w:r w:rsidRPr="00316DEE">
              <w:rPr>
                <w:i/>
                <w:sz w:val="20"/>
              </w:rPr>
              <w:t xml:space="preserve"> y</w:t>
            </w:r>
            <w:r w:rsidRPr="00D661BC">
              <w:rPr>
                <w:sz w:val="20"/>
              </w:rPr>
              <w:t>.</w:t>
            </w:r>
          </w:p>
        </w:tc>
      </w:tr>
      <w:tr w:rsidR="00142F7A" w:rsidRPr="00D67E3B" w14:paraId="20841154"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ABDD2CA" w14:textId="77777777" w:rsidR="00142F7A" w:rsidRPr="0040745A" w:rsidRDefault="00142F7A" w:rsidP="00F12CF4">
            <w:pPr>
              <w:rPr>
                <w:i/>
                <w:sz w:val="20"/>
                <w:vertAlign w:val="subscript"/>
              </w:rPr>
            </w:pPr>
            <w:r w:rsidRPr="00D661BC">
              <w:rPr>
                <w:sz w:val="20"/>
              </w:rPr>
              <w:t>TG</w:t>
            </w:r>
            <w:r>
              <w:rPr>
                <w:sz w:val="20"/>
              </w:rPr>
              <w:t xml:space="preserve"> </w:t>
            </w:r>
            <w:r w:rsidRPr="00D661BC">
              <w:rPr>
                <w:i/>
                <w:sz w:val="20"/>
                <w:vertAlign w:val="subscript"/>
              </w:rPr>
              <w:t>CCGR_PhyR</w:t>
            </w:r>
            <w:r>
              <w:rPr>
                <w:i/>
                <w:sz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7F4C4CBF" w14:textId="77777777" w:rsidR="00142F7A" w:rsidRPr="0040745A" w:rsidRDefault="00142F7A" w:rsidP="00F12CF4">
            <w:pPr>
              <w:rPr>
                <w:sz w:val="20"/>
              </w:rPr>
            </w:pPr>
            <w:r w:rsidRPr="00D661BC">
              <w:rPr>
                <w:sz w:val="20"/>
              </w:rPr>
              <w:t>MW</w:t>
            </w:r>
          </w:p>
        </w:tc>
        <w:tc>
          <w:tcPr>
            <w:tcW w:w="6025" w:type="dxa"/>
            <w:tcBorders>
              <w:top w:val="single" w:sz="4" w:space="0" w:color="auto"/>
              <w:left w:val="single" w:sz="4" w:space="0" w:color="auto"/>
              <w:bottom w:val="single" w:sz="4" w:space="0" w:color="auto"/>
              <w:right w:val="single" w:sz="4" w:space="0" w:color="auto"/>
            </w:tcBorders>
          </w:tcPr>
          <w:p w14:paraId="2D293286" w14:textId="77777777" w:rsidR="00142F7A" w:rsidRPr="0040745A" w:rsidRDefault="00142F7A" w:rsidP="00C43DB8">
            <w:pPr>
              <w:spacing w:after="60"/>
              <w:rPr>
                <w:sz w:val="20"/>
              </w:rPr>
            </w:pPr>
            <w:r w:rsidRPr="00D661BC">
              <w:rPr>
                <w:i/>
                <w:sz w:val="20"/>
              </w:rPr>
              <w:t xml:space="preserve">Telemetered Generation for a </w:t>
            </w:r>
            <w:r w:rsidRPr="00CD6FB7">
              <w:rPr>
                <w:i/>
                <w:sz w:val="20"/>
              </w:rPr>
              <w:t>Combined Cycle Generation Resource</w:t>
            </w:r>
            <w:r w:rsidRPr="00D661BC">
              <w:rPr>
                <w:i/>
                <w:sz w:val="20"/>
              </w:rPr>
              <w:t xml:space="preserve"> generation unit</w:t>
            </w:r>
            <w:r w:rsidRPr="008C1469">
              <w:rPr>
                <w:iCs/>
                <w:sz w:val="20"/>
              </w:rPr>
              <w:sym w:font="Symbol" w:char="F0BE"/>
            </w:r>
            <w:r w:rsidRPr="00D661BC">
              <w:rPr>
                <w:sz w:val="20"/>
              </w:rPr>
              <w:t xml:space="preserve">The telemetered </w:t>
            </w:r>
            <w:r>
              <w:rPr>
                <w:sz w:val="20"/>
              </w:rPr>
              <w:t xml:space="preserve">Real-Time power </w:t>
            </w:r>
            <w:r w:rsidRPr="00D661BC">
              <w:rPr>
                <w:sz w:val="20"/>
              </w:rPr>
              <w:t xml:space="preserve">generation </w:t>
            </w:r>
            <w:r>
              <w:rPr>
                <w:sz w:val="20"/>
              </w:rPr>
              <w:t>for</w:t>
            </w:r>
            <w:r w:rsidRPr="00D661BC">
              <w:rPr>
                <w:sz w:val="20"/>
              </w:rPr>
              <w:t xml:space="preserve"> a generation unit designated in a Combined Cycle Train registration for the </w:t>
            </w:r>
            <w:r>
              <w:rPr>
                <w:sz w:val="20"/>
              </w:rPr>
              <w:t xml:space="preserve">On-Line </w:t>
            </w:r>
            <w:r w:rsidRPr="00D661BC">
              <w:rPr>
                <w:sz w:val="20"/>
              </w:rPr>
              <w:t>Combined Cycle Generation Resource</w:t>
            </w:r>
            <w:r w:rsidRPr="00B456AC">
              <w:rPr>
                <w:sz w:val="20"/>
              </w:rPr>
              <w:t xml:space="preserve"> </w:t>
            </w:r>
            <w:r>
              <w:rPr>
                <w:sz w:val="20"/>
              </w:rPr>
              <w:t xml:space="preserve">at the time of State Estimator execution </w:t>
            </w:r>
            <w:r w:rsidRPr="00B456AC">
              <w:rPr>
                <w:sz w:val="20"/>
              </w:rPr>
              <w:t>for the SCED interval</w:t>
            </w:r>
            <w:r w:rsidRPr="00B456AC">
              <w:rPr>
                <w:i/>
                <w:sz w:val="20"/>
              </w:rPr>
              <w:t xml:space="preserve"> y</w:t>
            </w:r>
            <w:r>
              <w:rPr>
                <w:sz w:val="20"/>
              </w:rPr>
              <w:t>.</w:t>
            </w:r>
          </w:p>
        </w:tc>
      </w:tr>
      <w:tr w:rsidR="00142F7A" w:rsidRPr="00D67E3B" w14:paraId="20D912D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5998468" w14:textId="467DEAD3" w:rsidR="00142F7A" w:rsidRPr="00D661BC" w:rsidRDefault="00142F7A" w:rsidP="00F12CF4">
            <w:pPr>
              <w:rPr>
                <w:sz w:val="20"/>
              </w:rPr>
            </w:pPr>
            <w:r w:rsidRPr="007D3723">
              <w:rPr>
                <w:sz w:val="20"/>
              </w:rPr>
              <w:lastRenderedPageBreak/>
              <w:t>RTOFFCCGRWF</w:t>
            </w:r>
            <w:r>
              <w:rPr>
                <w:sz w:val="20"/>
              </w:rPr>
              <w:t xml:space="preserve"> </w:t>
            </w:r>
            <w:r w:rsidRPr="007D3723">
              <w:rPr>
                <w:i/>
                <w:sz w:val="20"/>
                <w:vertAlign w:val="subscript"/>
              </w:rPr>
              <w:t>CC</w:t>
            </w:r>
            <w:r>
              <w:rPr>
                <w:i/>
                <w:sz w:val="20"/>
                <w:vertAlign w:val="subscript"/>
              </w:rPr>
              <w:t>T</w:t>
            </w:r>
            <w:r w:rsidRPr="007D3723">
              <w:rPr>
                <w:i/>
                <w:sz w:val="20"/>
                <w:vertAlign w:val="subscript"/>
              </w:rPr>
              <w:t>_PhyR,</w:t>
            </w:r>
            <w:r>
              <w:rPr>
                <w:i/>
                <w:sz w:val="20"/>
                <w:vertAlign w:val="subscript"/>
              </w:rPr>
              <w:t xml:space="preserve"> </w:t>
            </w:r>
            <w:r w:rsidRPr="007D3723">
              <w:rPr>
                <w:i/>
                <w:sz w:val="20"/>
                <w:vertAlign w:val="subscript"/>
              </w:rPr>
              <w:t>y</w:t>
            </w:r>
          </w:p>
        </w:tc>
        <w:tc>
          <w:tcPr>
            <w:tcW w:w="820" w:type="dxa"/>
            <w:tcBorders>
              <w:top w:val="single" w:sz="4" w:space="0" w:color="auto"/>
              <w:left w:val="single" w:sz="4" w:space="0" w:color="auto"/>
              <w:bottom w:val="single" w:sz="4" w:space="0" w:color="auto"/>
              <w:right w:val="single" w:sz="4" w:space="0" w:color="auto"/>
            </w:tcBorders>
          </w:tcPr>
          <w:p w14:paraId="6D7948CB"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60EA8ABB" w14:textId="77777777" w:rsidR="00142F7A" w:rsidRPr="00D661BC" w:rsidRDefault="00142F7A" w:rsidP="00C43DB8">
            <w:pPr>
              <w:spacing w:after="60"/>
              <w:rPr>
                <w:i/>
                <w:sz w:val="20"/>
              </w:rPr>
            </w:pPr>
            <w:r w:rsidRPr="007D3723">
              <w:rPr>
                <w:i/>
                <w:sz w:val="20"/>
              </w:rPr>
              <w:t xml:space="preserve">Real-Time Off-Line Combined Cycle Generation </w:t>
            </w:r>
            <w:r>
              <w:rPr>
                <w:i/>
                <w:sz w:val="20"/>
              </w:rPr>
              <w:t xml:space="preserve">Resource </w:t>
            </w:r>
            <w:r w:rsidRPr="007D3723">
              <w:rPr>
                <w:i/>
                <w:sz w:val="20"/>
              </w:rPr>
              <w:t>Weighting Factor</w:t>
            </w:r>
            <w:r w:rsidRPr="007D3723">
              <w:rPr>
                <w:iCs/>
                <w:sz w:val="20"/>
              </w:rPr>
              <w:sym w:font="Symbol" w:char="F0BE"/>
            </w:r>
            <w:r w:rsidRPr="007D3723">
              <w:rPr>
                <w:sz w:val="20"/>
              </w:rPr>
              <w:t>The Real Time Combined Cycle Generation Resource weighting factor for a generation unit designated in a Combined Cycle Train registration when the whole Combined Cycle Train is Off-Line</w:t>
            </w:r>
            <w:r w:rsidRPr="00185F74">
              <w:rPr>
                <w:sz w:val="20"/>
              </w:rPr>
              <w:t xml:space="preserve"> for the SCED interval</w:t>
            </w:r>
            <w:r w:rsidRPr="00185F74">
              <w:rPr>
                <w:i/>
                <w:sz w:val="20"/>
              </w:rPr>
              <w:t xml:space="preserve"> y</w:t>
            </w:r>
            <w:r w:rsidRPr="00185F74">
              <w:rPr>
                <w:sz w:val="20"/>
              </w:rPr>
              <w:t>.</w:t>
            </w:r>
          </w:p>
        </w:tc>
      </w:tr>
      <w:tr w:rsidR="00142F7A" w:rsidRPr="00D67E3B" w14:paraId="54353B7A"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2B53D1E" w14:textId="77777777" w:rsidR="00142F7A" w:rsidRPr="00D661BC" w:rsidRDefault="00142F7A" w:rsidP="00F12CF4">
            <w:pPr>
              <w:rPr>
                <w:sz w:val="20"/>
              </w:rPr>
            </w:pPr>
            <w:r>
              <w:rPr>
                <w:sz w:val="20"/>
              </w:rPr>
              <w:t xml:space="preserve">HRL </w:t>
            </w:r>
            <w:r w:rsidRPr="001621EC">
              <w:rPr>
                <w:i/>
                <w:sz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F66E68" w14:textId="77777777" w:rsidR="00142F7A" w:rsidRPr="00D661BC" w:rsidRDefault="00142F7A" w:rsidP="00F12CF4">
            <w:pPr>
              <w:rPr>
                <w:sz w:val="20"/>
              </w:rPr>
            </w:pPr>
            <w:r w:rsidRPr="007D3723">
              <w:rPr>
                <w:sz w:val="20"/>
              </w:rPr>
              <w:t>MW</w:t>
            </w:r>
          </w:p>
        </w:tc>
        <w:tc>
          <w:tcPr>
            <w:tcW w:w="6025" w:type="dxa"/>
            <w:tcBorders>
              <w:top w:val="single" w:sz="4" w:space="0" w:color="auto"/>
              <w:left w:val="single" w:sz="4" w:space="0" w:color="auto"/>
              <w:bottom w:val="single" w:sz="4" w:space="0" w:color="auto"/>
              <w:right w:val="single" w:sz="4" w:space="0" w:color="auto"/>
            </w:tcBorders>
          </w:tcPr>
          <w:p w14:paraId="31F662B3" w14:textId="77777777" w:rsidR="00142F7A" w:rsidRPr="00D661BC" w:rsidRDefault="00142F7A" w:rsidP="00C43DB8">
            <w:pPr>
              <w:spacing w:after="60"/>
              <w:rPr>
                <w:i/>
                <w:sz w:val="20"/>
              </w:rPr>
            </w:pPr>
            <w:r w:rsidRPr="007D3723">
              <w:rPr>
                <w:i/>
                <w:sz w:val="20"/>
              </w:rPr>
              <w:t>High Reasonability Limit</w:t>
            </w:r>
            <w:r w:rsidRPr="007D3723">
              <w:rPr>
                <w:sz w:val="20"/>
              </w:rPr>
              <w:t>—The HRL as specified in the ERCOT-approved Resource Registration data for a generation unit designated in a Combined Cycle Train registration.</w:t>
            </w:r>
          </w:p>
        </w:tc>
      </w:tr>
      <w:tr w:rsidR="00142F7A" w:rsidRPr="00D67E3B" w14:paraId="7A969BD9"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93797FB" w14:textId="77777777" w:rsidR="00142F7A" w:rsidRPr="0040745A" w:rsidRDefault="00142F7A" w:rsidP="00F12CF4">
            <w:pPr>
              <w:rPr>
                <w:sz w:val="20"/>
              </w:rPr>
            </w:pPr>
            <w:r w:rsidRPr="00D661BC">
              <w:rPr>
                <w:i/>
                <w:sz w:val="20"/>
              </w:rPr>
              <w:t>CCGR_PhyR</w:t>
            </w:r>
          </w:p>
        </w:tc>
        <w:tc>
          <w:tcPr>
            <w:tcW w:w="820" w:type="dxa"/>
            <w:tcBorders>
              <w:top w:val="single" w:sz="4" w:space="0" w:color="auto"/>
              <w:left w:val="single" w:sz="4" w:space="0" w:color="auto"/>
              <w:bottom w:val="single" w:sz="4" w:space="0" w:color="auto"/>
              <w:right w:val="single" w:sz="4" w:space="0" w:color="auto"/>
            </w:tcBorders>
          </w:tcPr>
          <w:p w14:paraId="04CE37CD" w14:textId="77777777" w:rsidR="00142F7A" w:rsidRPr="0040745A" w:rsidRDefault="00142F7A" w:rsidP="00F12CF4">
            <w:pPr>
              <w:rPr>
                <w:sz w:val="20"/>
              </w:rPr>
            </w:pPr>
            <w:r w:rsidRPr="00D661BC">
              <w:rPr>
                <w:sz w:val="20"/>
              </w:rPr>
              <w:t>none</w:t>
            </w:r>
          </w:p>
        </w:tc>
        <w:tc>
          <w:tcPr>
            <w:tcW w:w="6025" w:type="dxa"/>
            <w:tcBorders>
              <w:top w:val="single" w:sz="4" w:space="0" w:color="auto"/>
              <w:left w:val="single" w:sz="4" w:space="0" w:color="auto"/>
              <w:bottom w:val="single" w:sz="4" w:space="0" w:color="auto"/>
              <w:right w:val="single" w:sz="4" w:space="0" w:color="auto"/>
            </w:tcBorders>
          </w:tcPr>
          <w:p w14:paraId="763F6F1D" w14:textId="77777777" w:rsidR="00142F7A" w:rsidRPr="0040745A" w:rsidRDefault="00142F7A" w:rsidP="00C43DB8">
            <w:pPr>
              <w:spacing w:after="60"/>
              <w:rPr>
                <w:sz w:val="20"/>
              </w:rPr>
            </w:pPr>
            <w:r w:rsidRPr="00D661BC">
              <w:rPr>
                <w:sz w:val="20"/>
              </w:rPr>
              <w:t xml:space="preserve">A generation unit designated in a Combine Cycle Train registration for </w:t>
            </w:r>
            <w:r>
              <w:rPr>
                <w:sz w:val="20"/>
              </w:rPr>
              <w:t>the On-Line</w:t>
            </w:r>
            <w:r w:rsidRPr="00D661BC">
              <w:rPr>
                <w:sz w:val="20"/>
              </w:rPr>
              <w:t xml:space="preserve"> Combined Cycle Generation Resource.</w:t>
            </w:r>
          </w:p>
        </w:tc>
      </w:tr>
      <w:tr w:rsidR="00142F7A" w:rsidRPr="00D67E3B" w14:paraId="56F2CEB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7EE5DED2" w14:textId="77777777" w:rsidR="00142F7A" w:rsidRPr="00D661BC" w:rsidRDefault="00142F7A" w:rsidP="00F12CF4">
            <w:pPr>
              <w:rPr>
                <w:i/>
                <w:sz w:val="20"/>
              </w:rPr>
            </w:pPr>
            <w:r>
              <w:rPr>
                <w:i/>
                <w:sz w:val="20"/>
              </w:rPr>
              <w:t>CCT</w:t>
            </w:r>
            <w:r w:rsidRPr="000E2D59">
              <w:rPr>
                <w:i/>
                <w:sz w:val="20"/>
              </w:rPr>
              <w:t>_PhyR</w:t>
            </w:r>
          </w:p>
        </w:tc>
        <w:tc>
          <w:tcPr>
            <w:tcW w:w="820" w:type="dxa"/>
            <w:tcBorders>
              <w:top w:val="single" w:sz="4" w:space="0" w:color="auto"/>
              <w:left w:val="single" w:sz="4" w:space="0" w:color="auto"/>
              <w:bottom w:val="single" w:sz="4" w:space="0" w:color="auto"/>
              <w:right w:val="single" w:sz="4" w:space="0" w:color="auto"/>
            </w:tcBorders>
          </w:tcPr>
          <w:p w14:paraId="53A21C64" w14:textId="77777777" w:rsidR="00142F7A" w:rsidRPr="00D661BC" w:rsidRDefault="00142F7A" w:rsidP="00F12CF4">
            <w:pPr>
              <w:rPr>
                <w:sz w:val="20"/>
              </w:rPr>
            </w:pPr>
            <w:r w:rsidRPr="000E2D59">
              <w:rPr>
                <w:sz w:val="20"/>
              </w:rPr>
              <w:t>none</w:t>
            </w:r>
          </w:p>
        </w:tc>
        <w:tc>
          <w:tcPr>
            <w:tcW w:w="6025" w:type="dxa"/>
            <w:tcBorders>
              <w:top w:val="single" w:sz="4" w:space="0" w:color="auto"/>
              <w:left w:val="single" w:sz="4" w:space="0" w:color="auto"/>
              <w:bottom w:val="single" w:sz="4" w:space="0" w:color="auto"/>
              <w:right w:val="single" w:sz="4" w:space="0" w:color="auto"/>
            </w:tcBorders>
          </w:tcPr>
          <w:p w14:paraId="0D281D25" w14:textId="77777777" w:rsidR="00142F7A" w:rsidRPr="00D661BC" w:rsidRDefault="00142F7A" w:rsidP="00C43DB8">
            <w:pPr>
              <w:spacing w:after="60"/>
              <w:rPr>
                <w:sz w:val="20"/>
              </w:rPr>
            </w:pPr>
            <w:r w:rsidRPr="000E2D59">
              <w:rPr>
                <w:sz w:val="20"/>
              </w:rPr>
              <w:t>A generation unit designated in a Combine Cycle Train registration</w:t>
            </w:r>
            <w:r>
              <w:rPr>
                <w:sz w:val="20"/>
              </w:rPr>
              <w:t>.</w:t>
            </w:r>
            <w:r w:rsidRPr="000E2D59">
              <w:rPr>
                <w:sz w:val="20"/>
              </w:rPr>
              <w:t xml:space="preserve"> </w:t>
            </w:r>
          </w:p>
        </w:tc>
      </w:tr>
      <w:tr w:rsidR="00142F7A" w:rsidRPr="00D67E3B" w14:paraId="2105A122"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BF1E846" w14:textId="77777777" w:rsidR="00142F7A" w:rsidRPr="00D661BC" w:rsidRDefault="00142F7A" w:rsidP="00F12CF4">
            <w:pPr>
              <w:rPr>
                <w:i/>
                <w:sz w:val="20"/>
              </w:rPr>
            </w:pPr>
            <w:r>
              <w:rPr>
                <w:i/>
                <w:sz w:val="20"/>
              </w:rPr>
              <w:t>y</w:t>
            </w:r>
          </w:p>
        </w:tc>
        <w:tc>
          <w:tcPr>
            <w:tcW w:w="820" w:type="dxa"/>
            <w:tcBorders>
              <w:top w:val="single" w:sz="4" w:space="0" w:color="auto"/>
              <w:left w:val="single" w:sz="4" w:space="0" w:color="auto"/>
              <w:bottom w:val="single" w:sz="4" w:space="0" w:color="auto"/>
              <w:right w:val="single" w:sz="4" w:space="0" w:color="auto"/>
            </w:tcBorders>
          </w:tcPr>
          <w:p w14:paraId="4A68A770"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2BEC3DA5" w14:textId="77777777" w:rsidR="00142F7A" w:rsidRPr="00D661BC" w:rsidRDefault="00142F7A" w:rsidP="00C43DB8">
            <w:pPr>
              <w:spacing w:after="60"/>
              <w:rPr>
                <w:sz w:val="20"/>
              </w:rPr>
            </w:pPr>
            <w:r w:rsidRPr="007D3723">
              <w:rPr>
                <w:sz w:val="20"/>
              </w:rPr>
              <w:t>A SCED interval in the 15-minute Settlement Interval</w:t>
            </w:r>
            <w:r>
              <w:rPr>
                <w:sz w:val="20"/>
              </w:rPr>
              <w:t>.</w:t>
            </w:r>
            <w:r w:rsidRPr="007D3723">
              <w:rPr>
                <w:sz w:val="20"/>
              </w:rPr>
              <w:t xml:space="preserve"> </w:t>
            </w:r>
          </w:p>
        </w:tc>
      </w:tr>
    </w:tbl>
    <w:p w14:paraId="7149AC09" w14:textId="77777777" w:rsidR="001F04FD" w:rsidRDefault="001F04FD" w:rsidP="001F04FD">
      <w:pPr>
        <w:pStyle w:val="H4"/>
        <w:spacing w:before="480"/>
        <w:ind w:left="1267" w:hanging="1267"/>
      </w:pPr>
      <w:bookmarkStart w:id="1673" w:name="_Toc397505003"/>
      <w:bookmarkStart w:id="1674" w:name="_Toc402357131"/>
      <w:bookmarkStart w:id="1675" w:name="_Toc422486510"/>
      <w:bookmarkStart w:id="1676" w:name="_Toc433093362"/>
      <w:bookmarkStart w:id="1677" w:name="_Toc433093520"/>
      <w:bookmarkStart w:id="1678" w:name="_Toc440874748"/>
      <w:bookmarkStart w:id="1679" w:name="_Toc448142303"/>
      <w:bookmarkStart w:id="1680" w:name="_Toc448142460"/>
      <w:bookmarkStart w:id="1681" w:name="_Toc458770297"/>
      <w:bookmarkStart w:id="1682" w:name="_Toc459294265"/>
      <w:bookmarkStart w:id="1683" w:name="_Toc463262758"/>
      <w:bookmarkStart w:id="1684" w:name="_Toc468286831"/>
      <w:bookmarkStart w:id="1685" w:name="_Toc481502877"/>
      <w:bookmarkStart w:id="1686" w:name="_Toc496080045"/>
      <w:bookmarkStart w:id="1687" w:name="_Toc189044395"/>
      <w:bookmarkStart w:id="1688" w:name="_Toc103653333"/>
      <w:bookmarkStart w:id="1689" w:name="_Toc109009382"/>
      <w:r>
        <w:t>6.6.1.2</w:t>
      </w:r>
      <w:r>
        <w:tab/>
        <w:t>Real-Time Settlement Point Price for a Load Zone</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3259B9F9" w14:textId="77777777" w:rsidR="001F04FD" w:rsidRDefault="001F04FD" w:rsidP="001F04FD">
      <w:pPr>
        <w:pStyle w:val="BodyText"/>
        <w:ind w:left="720" w:hanging="720"/>
      </w:pPr>
      <w:r>
        <w:t>(1)</w:t>
      </w:r>
      <w: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37406418" w14:textId="77777777" w:rsidR="001F04FD" w:rsidRPr="008F62DE" w:rsidRDefault="001F04FD" w:rsidP="001F04FD">
      <w:pPr>
        <w:pStyle w:val="FormulaBold"/>
        <w:rPr>
          <w:lang w:val="es-MX"/>
        </w:rPr>
      </w:pPr>
      <w:r w:rsidRPr="008F62DE">
        <w:rPr>
          <w:lang w:val="es-MX"/>
        </w:rPr>
        <w:t>RTSPP</w:t>
      </w:r>
      <w:r w:rsidRPr="008F62DE">
        <w:rPr>
          <w:lang w:val="es-MX"/>
        </w:rPr>
        <w:tab/>
        <w:t>=</w:t>
      </w:r>
      <w:r w:rsidRPr="008F62DE">
        <w:rPr>
          <w:lang w:val="es-MX"/>
        </w:rPr>
        <w:tab/>
      </w:r>
      <w:r>
        <w:t>Max (-$251, (</w:t>
      </w:r>
      <w:r w:rsidRPr="008F62DE">
        <w:rPr>
          <w:lang w:val="es-MX"/>
        </w:rPr>
        <w:t>(</w:t>
      </w:r>
      <w:r w:rsidRPr="008F62DE">
        <w:rPr>
          <w:position w:val="-22"/>
        </w:rPr>
        <w:object w:dxaOrig="225" w:dyaOrig="450" w14:anchorId="6CBF4516">
          <v:shape id="_x0000_i1033" type="#_x0000_t75" style="width:12pt;height:24pt" o:ole="">
            <v:imagedata r:id="rId26" o:title=""/>
          </v:shape>
          <o:OLEObject Type="Embed" ProgID="Equation.3" ShapeID="_x0000_i1033" DrawAspect="Content" ObjectID="_1804653518" r:id="rId27"/>
        </w:object>
      </w:r>
      <w:r w:rsidRPr="008F62DE">
        <w:rPr>
          <w:lang w:val="es-MX"/>
        </w:rPr>
        <w:t xml:space="preserve">TLMP </w:t>
      </w:r>
      <w:r w:rsidRPr="008F62DE">
        <w:rPr>
          <w:i/>
          <w:vertAlign w:val="subscript"/>
          <w:lang w:val="es-MX"/>
        </w:rPr>
        <w:t>y</w:t>
      </w:r>
      <w:r w:rsidRPr="008F62DE">
        <w:rPr>
          <w:lang w:val="es-MX"/>
        </w:rPr>
        <w:t xml:space="preserve"> * LZLMP</w:t>
      </w:r>
      <w:r w:rsidR="001E2376">
        <w:rPr>
          <w:lang w:val="es-MX"/>
        </w:rPr>
        <w:t xml:space="preserve"> </w:t>
      </w:r>
      <w:r w:rsidRPr="008F62DE">
        <w:rPr>
          <w:i/>
          <w:vertAlign w:val="subscript"/>
          <w:lang w:val="es-MX"/>
        </w:rPr>
        <w:t>y</w:t>
      </w:r>
      <w:r w:rsidRPr="008F62DE">
        <w:rPr>
          <w:lang w:val="es-MX"/>
        </w:rPr>
        <w:t xml:space="preserve">) / </w:t>
      </w:r>
      <w:r w:rsidRPr="008F62DE">
        <w:rPr>
          <w:position w:val="-22"/>
        </w:rPr>
        <w:object w:dxaOrig="225" w:dyaOrig="450" w14:anchorId="00CA5734">
          <v:shape id="_x0000_i1034" type="#_x0000_t75" style="width:12pt;height:24pt" o:ole="">
            <v:imagedata r:id="rId28" o:title=""/>
          </v:shape>
          <o:OLEObject Type="Embed" ProgID="Equation.3" ShapeID="_x0000_i1034" DrawAspect="Content" ObjectID="_1804653519" r:id="rId29"/>
        </w:object>
      </w:r>
      <w:r w:rsidRPr="008F62DE">
        <w:rPr>
          <w:lang w:val="es-MX"/>
        </w:rPr>
        <w:t>TLMP</w:t>
      </w:r>
      <w:r w:rsidRPr="008F62DE">
        <w:rPr>
          <w:vertAlign w:val="subscript"/>
          <w:lang w:val="es-MX"/>
        </w:rPr>
        <w:t xml:space="preserve"> </w:t>
      </w:r>
      <w:r w:rsidRPr="008F62DE">
        <w:rPr>
          <w:i/>
          <w:vertAlign w:val="subscript"/>
          <w:lang w:val="es-MX"/>
        </w:rPr>
        <w:t>y</w:t>
      </w:r>
      <w:r w:rsidRPr="0080555B">
        <w:t>) + RTRSVPOR</w:t>
      </w:r>
      <w:r>
        <w:t xml:space="preserve"> </w:t>
      </w:r>
      <w:r w:rsidRPr="00193B05">
        <w:t>+ RTRDP</w:t>
      </w:r>
      <w:r>
        <w:t>)</w:t>
      </w:r>
      <w:r w:rsidRPr="008F62DE">
        <w:rPr>
          <w:lang w:val="es-MX"/>
        </w:rPr>
        <w:t xml:space="preserve"> </w:t>
      </w:r>
    </w:p>
    <w:p w14:paraId="3C4CB001" w14:textId="77777777" w:rsidR="001F04FD" w:rsidRDefault="001F04FD" w:rsidP="001F04FD">
      <w:pPr>
        <w:pStyle w:val="BodyText"/>
        <w:ind w:left="720" w:hanging="720"/>
      </w:pPr>
      <w:r>
        <w:t xml:space="preserve">For all Load Zones except Direct Current Tie (DC Tie) Load Zones: </w:t>
      </w:r>
    </w:p>
    <w:p w14:paraId="6508F48C"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01A43">
        <w:rPr>
          <w:i/>
          <w:vertAlign w:val="subscript"/>
          <w:lang w:val="es-MX"/>
        </w:rPr>
        <w:t>y</w:t>
      </w:r>
      <w:r w:rsidRPr="0037433F">
        <w:rPr>
          <w:lang w:val="es-MX"/>
        </w:rPr>
        <w:tab/>
        <w:t>=</w:t>
      </w:r>
      <w:r w:rsidRPr="0037433F">
        <w:rPr>
          <w:lang w:val="es-MX"/>
        </w:rPr>
        <w:tab/>
      </w:r>
      <w:r w:rsidRPr="0037433F">
        <w:rPr>
          <w:position w:val="-20"/>
        </w:rPr>
        <w:object w:dxaOrig="225" w:dyaOrig="420" w14:anchorId="6D802341">
          <v:shape id="_x0000_i1035" type="#_x0000_t75" style="width:12pt;height:24pt" o:ole="">
            <v:imagedata r:id="rId30" o:title=""/>
          </v:shape>
          <o:OLEObject Type="Embed" ProgID="Equation.3" ShapeID="_x0000_i1035" DrawAspect="Content" ObjectID="_1804653520" r:id="rId31"/>
        </w:object>
      </w:r>
      <w:r w:rsidRPr="0037433F">
        <w:rPr>
          <w:lang w:val="es-MX"/>
        </w:rPr>
        <w:t xml:space="preserve"> </w:t>
      </w:r>
      <w:r>
        <w:rPr>
          <w:lang w:val="es-MX"/>
        </w:rPr>
        <w:t>(R</w:t>
      </w:r>
      <w:r w:rsidRPr="0037433F">
        <w:rPr>
          <w:lang w:val="es-MX"/>
        </w:rPr>
        <w:t xml:space="preserve">TLMP </w:t>
      </w:r>
      <w:r>
        <w:rPr>
          <w:i/>
          <w:vertAlign w:val="subscript"/>
          <w:lang w:val="es-MX"/>
        </w:rPr>
        <w:t>b, y</w:t>
      </w:r>
      <w:r w:rsidRPr="0037433F">
        <w:rPr>
          <w:lang w:val="es-MX"/>
        </w:rPr>
        <w:t xml:space="preserve"> </w:t>
      </w:r>
      <w:r>
        <w:rPr>
          <w:lang w:val="es-MX"/>
        </w:rPr>
        <w:t>*</w:t>
      </w:r>
      <w:r w:rsidRPr="0037433F">
        <w:rPr>
          <w:lang w:val="es-MX"/>
        </w:rPr>
        <w:t xml:space="preserve"> </w:t>
      </w:r>
      <w:r>
        <w:rPr>
          <w:lang w:val="es-MX"/>
        </w:rPr>
        <w:t>SEL</w:t>
      </w:r>
      <w:r>
        <w:rPr>
          <w:i/>
          <w:vertAlign w:val="subscript"/>
          <w:lang w:val="es-MX"/>
        </w:rPr>
        <w:t xml:space="preserve"> b, y</w:t>
      </w:r>
      <w:r>
        <w:rPr>
          <w:lang w:val="es-MX"/>
        </w:rPr>
        <w:t xml:space="preserve">) / </w:t>
      </w:r>
      <w:r w:rsidRPr="0037433F">
        <w:rPr>
          <w:position w:val="-20"/>
        </w:rPr>
        <w:object w:dxaOrig="225" w:dyaOrig="420" w14:anchorId="67D56BC0">
          <v:shape id="_x0000_i1036" type="#_x0000_t75" style="width:12pt;height:24pt" o:ole="">
            <v:imagedata r:id="rId32" o:title=""/>
          </v:shape>
          <o:OLEObject Type="Embed" ProgID="Equation.3" ShapeID="_x0000_i1036" DrawAspect="Content" ObjectID="_1804653521" r:id="rId33"/>
        </w:object>
      </w:r>
      <w:r>
        <w:rPr>
          <w:lang w:val="es-MX"/>
        </w:rPr>
        <w:t>SEL</w:t>
      </w:r>
      <w:r>
        <w:rPr>
          <w:vertAlign w:val="subscript"/>
          <w:lang w:val="es-MX"/>
        </w:rPr>
        <w:t xml:space="preserve"> </w:t>
      </w:r>
      <w:r>
        <w:rPr>
          <w:i/>
          <w:vertAlign w:val="subscript"/>
          <w:lang w:val="es-MX"/>
        </w:rPr>
        <w:t>b, y</w:t>
      </w:r>
    </w:p>
    <w:p w14:paraId="239A8510" w14:textId="77777777" w:rsidR="001F04FD" w:rsidRDefault="001F04FD" w:rsidP="001F04FD">
      <w:pPr>
        <w:pStyle w:val="BodyText"/>
      </w:pPr>
      <w:r>
        <w:t xml:space="preserve">For a DC Tie Load Zone: </w:t>
      </w:r>
    </w:p>
    <w:p w14:paraId="79EF875B"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93B6D">
        <w:rPr>
          <w:i/>
          <w:vertAlign w:val="subscript"/>
          <w:lang w:val="es-MX"/>
        </w:rPr>
        <w:t>y</w:t>
      </w:r>
      <w:r w:rsidRPr="0037433F">
        <w:rPr>
          <w:lang w:val="es-MX"/>
        </w:rPr>
        <w:tab/>
        <w:t>=</w:t>
      </w:r>
      <w:r w:rsidRPr="0037433F">
        <w:rPr>
          <w:lang w:val="es-MX"/>
        </w:rPr>
        <w:tab/>
      </w:r>
      <w:r>
        <w:rPr>
          <w:lang w:val="es-MX"/>
        </w:rPr>
        <w:t>RTLMP</w:t>
      </w:r>
      <w:r>
        <w:rPr>
          <w:i/>
          <w:vertAlign w:val="subscript"/>
          <w:lang w:val="es-MX"/>
        </w:rPr>
        <w:t xml:space="preserve"> b, y</w:t>
      </w:r>
      <w:r>
        <w:rPr>
          <w:lang w:val="es-MX"/>
        </w:rPr>
        <w:t xml:space="preserve"> </w:t>
      </w:r>
    </w:p>
    <w:p w14:paraId="7528B860" w14:textId="77777777" w:rsidR="001F04FD" w:rsidRPr="0080555B" w:rsidRDefault="001F04FD" w:rsidP="001F04FD">
      <w:pPr>
        <w:pStyle w:val="BodyText"/>
      </w:pPr>
      <w:r w:rsidRPr="0080555B">
        <w:t>Where:</w:t>
      </w:r>
    </w:p>
    <w:p w14:paraId="363620B4" w14:textId="0A49C8D9"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019382CA" wp14:editId="27ABF103">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55916D89" w14:textId="77777777" w:rsidR="001F04FD" w:rsidRPr="0080555B" w:rsidRDefault="001F04FD" w:rsidP="001F04FD">
      <w:pPr>
        <w:spacing w:after="240"/>
        <w:ind w:left="720"/>
      </w:pPr>
      <w:r w:rsidRPr="00193B05">
        <w:t>RTRDP =</w:t>
      </w:r>
      <w:r w:rsidRPr="00193B05">
        <w:tab/>
      </w:r>
      <w:r w:rsidRPr="00193B05">
        <w:rPr>
          <w:position w:val="-22"/>
        </w:rPr>
        <w:object w:dxaOrig="225" w:dyaOrig="465" w14:anchorId="130D314A">
          <v:shape id="_x0000_i1037" type="#_x0000_t75" style="width:12pt;height:18pt" o:ole="">
            <v:imagedata r:id="rId22" o:title=""/>
          </v:shape>
          <o:OLEObject Type="Embed" ProgID="Equation.3" ShapeID="_x0000_i1037" DrawAspect="Content" ObjectID="_1804653522" r:id="rId35"/>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w:t>
      </w:r>
    </w:p>
    <w:p w14:paraId="4723F9EF" w14:textId="77777777" w:rsidR="001F04FD" w:rsidRDefault="001F04FD" w:rsidP="001F04FD">
      <w:pPr>
        <w:pStyle w:val="Formula"/>
        <w:ind w:left="2880" w:hanging="2160"/>
        <w:rPr>
          <w:lang w:val="es-MX"/>
        </w:rPr>
      </w:pPr>
      <w:r w:rsidRPr="0080555B">
        <w:t xml:space="preserve">RNWF </w:t>
      </w:r>
      <w:r w:rsidRPr="0080555B">
        <w:rPr>
          <w:i/>
          <w:vertAlign w:val="subscript"/>
        </w:rPr>
        <w:t>y</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7C28964F">
          <v:shape id="_x0000_i1038" type="#_x0000_t75" style="width:12pt;height:18pt" o:ole="">
            <v:imagedata r:id="rId22" o:title=""/>
          </v:shape>
          <o:OLEObject Type="Embed" ProgID="Equation.3" ShapeID="_x0000_i1038" DrawAspect="Content" ObjectID="_1804653523" r:id="rId36"/>
        </w:object>
      </w:r>
      <w:r w:rsidRPr="0080555B">
        <w:t xml:space="preserve">TLMP </w:t>
      </w:r>
      <w:r w:rsidRPr="0080555B">
        <w:rPr>
          <w:i/>
          <w:vertAlign w:val="subscript"/>
        </w:rPr>
        <w: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1AAA0DC9" w14:textId="77777777" w:rsidTr="00EC5231">
        <w:trPr>
          <w:trHeight w:val="206"/>
        </w:trPr>
        <w:tc>
          <w:tcPr>
            <w:tcW w:w="9350" w:type="dxa"/>
            <w:shd w:val="pct12" w:color="auto" w:fill="auto"/>
          </w:tcPr>
          <w:p w14:paraId="7349119D" w14:textId="77777777" w:rsidR="003F739B" w:rsidRDefault="003F739B" w:rsidP="00EC5231">
            <w:pPr>
              <w:pStyle w:val="Instructions"/>
              <w:spacing w:before="120"/>
            </w:pPr>
            <w:r>
              <w:t>[NPRR1010:  Replace paragraph (1) above with the following upon system implementation of the Real-Time Co-Optimization (RTC) project:]</w:t>
            </w:r>
          </w:p>
          <w:p w14:paraId="4BAA097B" w14:textId="77777777" w:rsidR="003F739B" w:rsidRPr="003161DC" w:rsidRDefault="003F739B" w:rsidP="003F739B">
            <w:pPr>
              <w:spacing w:after="240"/>
              <w:ind w:left="720" w:hanging="720"/>
              <w:rPr>
                <w:iCs/>
              </w:rPr>
            </w:pPr>
            <w:r w:rsidRPr="003161DC">
              <w:rPr>
                <w:iCs/>
              </w:rPr>
              <w:lastRenderedPageBreak/>
              <w:t>(1)</w:t>
            </w:r>
            <w:r w:rsidRPr="003161DC">
              <w:rPr>
                <w:iCs/>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53A9278" w14:textId="77777777" w:rsidR="003F739B" w:rsidRPr="003161DC" w:rsidRDefault="003F739B" w:rsidP="003F739B">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2DD166CC">
                <v:shape id="_x0000_i1039" type="#_x0000_t75" style="width:12pt;height:24pt" o:ole="">
                  <v:imagedata r:id="rId26" o:title=""/>
                </v:shape>
                <o:OLEObject Type="Embed" ProgID="Equation.3" ShapeID="_x0000_i1039" DrawAspect="Content" ObjectID="_1804653524" r:id="rId37"/>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5616950">
                <v:shape id="_x0000_i1040" type="#_x0000_t75" style="width:12pt;height:24pt" o:ole="">
                  <v:imagedata r:id="rId28" o:title=""/>
                </v:shape>
                <o:OLEObject Type="Embed" ProgID="Equation.3" ShapeID="_x0000_i1040" DrawAspect="Content" ObjectID="_1804653525"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 RTRDP)</w:t>
            </w:r>
            <w:r w:rsidRPr="003161DC">
              <w:rPr>
                <w:b/>
                <w:bCs/>
                <w:lang w:val="es-MX"/>
              </w:rPr>
              <w:t xml:space="preserve"> </w:t>
            </w:r>
          </w:p>
          <w:p w14:paraId="4311D6D1" w14:textId="77777777" w:rsidR="003F739B" w:rsidRPr="003161DC" w:rsidRDefault="003F739B" w:rsidP="003F739B">
            <w:pPr>
              <w:spacing w:after="240"/>
              <w:ind w:left="720" w:hanging="720"/>
              <w:rPr>
                <w:iCs/>
              </w:rPr>
            </w:pPr>
            <w:r w:rsidRPr="003161DC">
              <w:rPr>
                <w:iCs/>
              </w:rPr>
              <w:t xml:space="preserve">For all Load Zones except Direct Current Tie (DC Tie) Load Zones: </w:t>
            </w:r>
          </w:p>
          <w:p w14:paraId="1E6AE5DF"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15120DAA">
                <v:shape id="_x0000_i1041" type="#_x0000_t75" style="width:12pt;height:30pt" o:ole="">
                  <v:imagedata r:id="rId30" o:title=""/>
                </v:shape>
                <o:OLEObject Type="Embed" ProgID="Equation.3" ShapeID="_x0000_i1041" DrawAspect="Content" ObjectID="_1804653526"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70A2DFF0">
                <v:shape id="_x0000_i1042" type="#_x0000_t75" style="width:12pt;height:30pt" o:ole="">
                  <v:imagedata r:id="rId32" o:title=""/>
                </v:shape>
                <o:OLEObject Type="Embed" ProgID="Equation.3" ShapeID="_x0000_i1042" DrawAspect="Content" ObjectID="_1804653527"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06015C9B" w14:textId="77777777" w:rsidR="003F739B" w:rsidRPr="003161DC" w:rsidRDefault="003F739B" w:rsidP="003F739B">
            <w:pPr>
              <w:spacing w:after="240"/>
              <w:rPr>
                <w:iCs/>
              </w:rPr>
            </w:pPr>
            <w:r w:rsidRPr="003161DC">
              <w:rPr>
                <w:iCs/>
              </w:rPr>
              <w:t xml:space="preserve">For a DC Tie Load Zone: </w:t>
            </w:r>
          </w:p>
          <w:p w14:paraId="7D4A4972"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25F0A1E3" w14:textId="77777777" w:rsidR="003F739B" w:rsidRPr="003161DC" w:rsidRDefault="003F739B" w:rsidP="003F739B">
            <w:pPr>
              <w:spacing w:after="240"/>
              <w:rPr>
                <w:iCs/>
              </w:rPr>
            </w:pPr>
            <w:r w:rsidRPr="003161DC">
              <w:rPr>
                <w:iCs/>
              </w:rPr>
              <w:t>Where:</w:t>
            </w:r>
          </w:p>
          <w:p w14:paraId="1B7F4487" w14:textId="554F1369" w:rsidR="003F739B" w:rsidRPr="003161DC" w:rsidRDefault="003F739B" w:rsidP="003F739B">
            <w:pPr>
              <w:spacing w:after="240"/>
              <w:ind w:left="720"/>
            </w:pPr>
            <w:r w:rsidRPr="003161DC">
              <w:t>RTRDP =</w:t>
            </w:r>
            <w:r w:rsidRPr="003161DC">
              <w:tab/>
            </w:r>
            <w:r w:rsidR="000932C9" w:rsidRPr="003161DC">
              <w:rPr>
                <w:position w:val="-22"/>
              </w:rPr>
              <w:object w:dxaOrig="225" w:dyaOrig="465" w14:anchorId="3375E855">
                <v:shape id="_x0000_i1043" type="#_x0000_t75" style="width:24pt;height:18pt" o:ole="">
                  <v:imagedata r:id="rId22" o:title=""/>
                </v:shape>
                <o:OLEObject Type="Embed" ProgID="Equation.3" ShapeID="_x0000_i1043" DrawAspect="Content" ObjectID="_1804653528" r:id="rId41"/>
              </w:object>
            </w:r>
            <w:r w:rsidRPr="003161DC">
              <w:t xml:space="preserve">(RNWF </w:t>
            </w:r>
            <w:r w:rsidRPr="003161DC">
              <w:rPr>
                <w:i/>
                <w:iCs/>
                <w:vertAlign w:val="subscript"/>
              </w:rPr>
              <w:t xml:space="preserve">y </w:t>
            </w:r>
            <w:r w:rsidRPr="003161DC">
              <w:t>* RTRDPA</w:t>
            </w:r>
            <w:r w:rsidRPr="003161DC">
              <w:rPr>
                <w:i/>
                <w:iCs/>
                <w:vertAlign w:val="subscript"/>
              </w:rPr>
              <w:t xml:space="preserve"> y</w:t>
            </w:r>
            <w:r w:rsidRPr="003161DC">
              <w:t>)</w:t>
            </w:r>
          </w:p>
          <w:p w14:paraId="51EA0AB8" w14:textId="52CD5B13" w:rsidR="003F739B" w:rsidRPr="003F739B" w:rsidRDefault="003F739B" w:rsidP="003F739B">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4D5EDF51">
                <v:shape id="_x0000_i1044" type="#_x0000_t75" style="width:24pt;height:18pt" o:ole="">
                  <v:imagedata r:id="rId22" o:title=""/>
                </v:shape>
                <o:OLEObject Type="Embed" ProgID="Equation.3" ShapeID="_x0000_i1044" DrawAspect="Content" ObjectID="_1804653529" r:id="rId42"/>
              </w:object>
            </w:r>
            <w:r w:rsidRPr="003161DC">
              <w:rPr>
                <w:bCs/>
              </w:rPr>
              <w:t xml:space="preserve">TLMP </w:t>
            </w:r>
            <w:r w:rsidRPr="003161DC">
              <w:rPr>
                <w:bCs/>
                <w:i/>
                <w:vertAlign w:val="subscript"/>
              </w:rPr>
              <w:t>y</w:t>
            </w:r>
          </w:p>
        </w:tc>
      </w:tr>
    </w:tbl>
    <w:p w14:paraId="4A382582" w14:textId="06755098" w:rsidR="001F04FD" w:rsidRDefault="001F04FD" w:rsidP="00FB599C">
      <w:pPr>
        <w:pStyle w:val="BodyText"/>
        <w:spacing w:before="240"/>
        <w:ind w:left="720" w:hanging="720"/>
      </w:pPr>
      <w:r>
        <w:lastRenderedPageBreak/>
        <w:t>(2)</w:t>
      </w:r>
      <w:r>
        <w:tab/>
        <w:t>For all S</w:t>
      </w:r>
      <w:r w:rsidRPr="003669B3">
        <w:t xml:space="preserve">ettlement calculations in which a </w:t>
      </w:r>
      <w:r>
        <w:t xml:space="preserve">15-minute Real-Time Settlement Point Price </w:t>
      </w:r>
      <w:r w:rsidRPr="00D43A29">
        <w:t xml:space="preserve">for a Load Zone </w:t>
      </w:r>
      <w:r w:rsidRPr="003669B3">
        <w:t xml:space="preserve">is required </w:t>
      </w:r>
      <w:r>
        <w:t xml:space="preserve">in order to perform Settlement </w:t>
      </w:r>
      <w:r w:rsidRPr="003669B3">
        <w:t xml:space="preserve">for a </w:t>
      </w:r>
      <w:r>
        <w:t xml:space="preserve">15-minute </w:t>
      </w:r>
      <w:r w:rsidRPr="003669B3">
        <w:t>quanti</w:t>
      </w:r>
      <w:r w:rsidRPr="00D43A29">
        <w:t>t</w:t>
      </w:r>
      <w:r w:rsidRPr="003669B3">
        <w:t xml:space="preserve">y </w:t>
      </w:r>
      <w:r>
        <w:t xml:space="preserve">that is represented as one value (the integrated value for the 15-minute interval) but </w:t>
      </w:r>
      <w:r w:rsidRPr="00C659E1">
        <w:t>varies with each SCED interval within the 15-minute Settlement Interval, an energy-weighted Real-Time Settlement Point Price shall be used and is calculated as follows:</w:t>
      </w:r>
      <w:r>
        <w:t xml:space="preserve"> </w:t>
      </w:r>
    </w:p>
    <w:p w14:paraId="6703C457" w14:textId="77777777" w:rsidR="001F04FD" w:rsidRPr="00C659E1" w:rsidRDefault="001F04FD" w:rsidP="001F04FD">
      <w:pPr>
        <w:pStyle w:val="BodyText"/>
        <w:ind w:left="3960" w:hanging="3240"/>
        <w:rPr>
          <w:b/>
          <w:lang w:val="es-MX"/>
        </w:rPr>
      </w:pPr>
      <w:r w:rsidRPr="00C659E1">
        <w:rPr>
          <w:b/>
          <w:lang w:val="es-MX"/>
        </w:rPr>
        <w:t>RTSPPEW</w:t>
      </w:r>
      <w:r>
        <w:rPr>
          <w:b/>
          <w:lang w:val="es-MX"/>
        </w:rPr>
        <w:t xml:space="preserve">              </w:t>
      </w:r>
      <w:r w:rsidRPr="00C659E1">
        <w:rPr>
          <w:b/>
          <w:lang w:val="es-MX"/>
        </w:rPr>
        <w:t>=</w:t>
      </w:r>
      <w:r>
        <w:rPr>
          <w:b/>
          <w:lang w:val="es-MX"/>
        </w:rPr>
        <w:tab/>
      </w:r>
      <w:r w:rsidRPr="00C659E1">
        <w:rPr>
          <w:b/>
        </w:rPr>
        <w:t>Max [-$251, (</w:t>
      </w:r>
      <w:r w:rsidRPr="00A33C4E">
        <w:rPr>
          <w:b/>
          <w:position w:val="-22"/>
        </w:rPr>
        <w:object w:dxaOrig="225" w:dyaOrig="450" w14:anchorId="3C1B4368">
          <v:shape id="_x0000_i1045" type="#_x0000_t75" style="width:12pt;height:24pt" o:ole="">
            <v:imagedata r:id="rId26" o:title=""/>
          </v:shape>
          <o:OLEObject Type="Embed" ProgID="Equation.3" ShapeID="_x0000_i1045" DrawAspect="Content" ObjectID="_1804653530" r:id="rId43"/>
        </w:object>
      </w:r>
      <w:r w:rsidRPr="00A33C4E">
        <w:rPr>
          <w:b/>
          <w:position w:val="-20"/>
        </w:rPr>
        <w:object w:dxaOrig="225" w:dyaOrig="420" w14:anchorId="7CF5C1D2">
          <v:shape id="_x0000_i1046" type="#_x0000_t75" style="width:12pt;height:24pt" o:ole="">
            <v:imagedata r:id="rId44" o:title=""/>
          </v:shape>
          <o:OLEObject Type="Embed" ProgID="Equation.3" ShapeID="_x0000_i1046" DrawAspect="Content" ObjectID="_1804653531" r:id="rId45"/>
        </w:object>
      </w:r>
      <w:r w:rsidRPr="00C659E1">
        <w:rPr>
          <w:b/>
          <w:lang w:val="es-MX"/>
        </w:rPr>
        <w:t>(RTLMP</w:t>
      </w:r>
      <w:r w:rsidRPr="00C659E1">
        <w:rPr>
          <w:b/>
          <w:vertAlign w:val="subscript"/>
          <w:lang w:val="es-MX"/>
        </w:rPr>
        <w:t xml:space="preserve"> </w:t>
      </w:r>
      <w:r w:rsidRPr="00C659E1">
        <w:rPr>
          <w:b/>
          <w:i/>
          <w:vertAlign w:val="subscript"/>
          <w:lang w:val="es-MX"/>
        </w:rPr>
        <w:t>b, y</w:t>
      </w:r>
      <w:r w:rsidRPr="00C659E1">
        <w:rPr>
          <w:b/>
          <w:lang w:val="es-MX"/>
        </w:rPr>
        <w:t xml:space="preserve"> * LZWF</w:t>
      </w:r>
      <w:r w:rsidRPr="00C659E1">
        <w:rPr>
          <w:b/>
          <w:i/>
          <w:vertAlign w:val="subscript"/>
          <w:lang w:val="es-MX"/>
        </w:rPr>
        <w:t xml:space="preserve"> b, y</w:t>
      </w:r>
      <w:r w:rsidRPr="00C659E1">
        <w:rPr>
          <w:b/>
          <w:lang w:val="es-MX"/>
        </w:rPr>
        <w:t xml:space="preserve">) </w:t>
      </w:r>
      <w:r w:rsidRPr="00C659E1">
        <w:rPr>
          <w:b/>
        </w:rPr>
        <w:t>+ RTRSVPOR</w:t>
      </w:r>
      <w:r>
        <w:rPr>
          <w:b/>
        </w:rPr>
        <w:t xml:space="preserve"> </w:t>
      </w:r>
      <w:r w:rsidRPr="00695338">
        <w:rPr>
          <w:b/>
        </w:rPr>
        <w:t>+</w:t>
      </w:r>
      <w:r>
        <w:rPr>
          <w:b/>
        </w:rPr>
        <w:t xml:space="preserve"> </w:t>
      </w:r>
      <w:r w:rsidRPr="00695338">
        <w:rPr>
          <w:b/>
        </w:rPr>
        <w:t>RTRDP</w:t>
      </w:r>
      <w:r w:rsidRPr="00C659E1">
        <w:rPr>
          <w:b/>
        </w:rPr>
        <w:t>)]</w:t>
      </w:r>
    </w:p>
    <w:p w14:paraId="16902ED3" w14:textId="77777777" w:rsidR="001F04FD" w:rsidRDefault="001F04FD" w:rsidP="001F04FD">
      <w:pPr>
        <w:pStyle w:val="BodyText"/>
      </w:pPr>
      <w:r>
        <w:t>For all Load Zones except DC Tie Load Zones:</w:t>
      </w:r>
    </w:p>
    <w:p w14:paraId="346119BD"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7B199BB5">
          <v:shape id="_x0000_i1047" type="#_x0000_t75" style="width:12pt;height:24pt" o:ole="">
            <v:imagedata r:id="rId28" o:title=""/>
          </v:shape>
          <o:OLEObject Type="Embed" ProgID="Equation.3" ShapeID="_x0000_i1047" DrawAspect="Content" ObjectID="_1804653532" r:id="rId46"/>
        </w:object>
      </w:r>
      <w:r w:rsidRPr="006F784F">
        <w:rPr>
          <w:position w:val="-20"/>
        </w:rPr>
        <w:object w:dxaOrig="225" w:dyaOrig="420" w14:anchorId="207769DD">
          <v:shape id="_x0000_i1048" type="#_x0000_t75" style="width:12pt;height:24pt" o:ole="">
            <v:imagedata r:id="rId32" o:title=""/>
          </v:shape>
          <o:OLEObject Type="Embed" ProgID="Equation.3" ShapeID="_x0000_i1048" DrawAspect="Content" ObjectID="_1804653533" r:id="rId47"/>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0C252D46" w14:textId="77777777" w:rsidR="001F04FD" w:rsidRDefault="001F04FD" w:rsidP="001F04FD">
      <w:pPr>
        <w:pStyle w:val="BodyText"/>
      </w:pPr>
      <w:r>
        <w:t xml:space="preserve">For a DC Tie Load Zone: </w:t>
      </w:r>
    </w:p>
    <w:p w14:paraId="09468018"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2025078C">
          <v:shape id="_x0000_i1049" type="#_x0000_t75" style="width:12pt;height:24pt" o:ole="">
            <v:imagedata r:id="rId28" o:title=""/>
          </v:shape>
          <o:OLEObject Type="Embed" ProgID="Equation.3" ShapeID="_x0000_i1049" DrawAspect="Content" ObjectID="_1804653534" r:id="rId48"/>
        </w:object>
      </w:r>
      <w:r w:rsidRPr="006F784F">
        <w:rPr>
          <w:position w:val="-20"/>
        </w:rPr>
        <w:object w:dxaOrig="225" w:dyaOrig="420" w14:anchorId="479F4B8B">
          <v:shape id="_x0000_i1050" type="#_x0000_t75" style="width:12pt;height:24pt" o:ole="">
            <v:imagedata r:id="rId32" o:title=""/>
          </v:shape>
          <o:OLEObject Type="Embed" ProgID="Equation.3" ShapeID="_x0000_i1050" DrawAspect="Content" ObjectID="_1804653535" r:id="rId49"/>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70ACCBE4" w14:textId="77777777" w:rsidR="001F04FD" w:rsidRDefault="001F04FD" w:rsidP="001F04FD">
      <w:pPr>
        <w:pStyle w:val="Formula"/>
        <w:ind w:left="2880" w:hanging="2160"/>
        <w:rPr>
          <w:lang w:val="es-MX"/>
        </w:rPr>
      </w:pPr>
      <w:r>
        <w:rPr>
          <w:lang w:val="es-MX"/>
        </w:rPr>
        <w:t>SEL</w:t>
      </w:r>
      <w:r>
        <w:rPr>
          <w:vertAlign w:val="subscript"/>
          <w:lang w:val="es-MX"/>
        </w:rPr>
        <w:t xml:space="preserve"> </w:t>
      </w:r>
      <w:r>
        <w:rPr>
          <w:i/>
          <w:vertAlign w:val="subscript"/>
          <w:lang w:val="es-MX"/>
        </w:rPr>
        <w:t>b, y</w:t>
      </w:r>
      <w:r>
        <w:rPr>
          <w:i/>
          <w:vertAlign w:val="subscript"/>
          <w:lang w:val="es-MX"/>
        </w:rPr>
        <w:tab/>
      </w:r>
      <w:r>
        <w:rPr>
          <w:lang w:val="es-MX"/>
        </w:rPr>
        <w:t>=</w:t>
      </w:r>
      <w:r>
        <w:rPr>
          <w:lang w:val="es-MX"/>
        </w:rPr>
        <w:tab/>
        <w:t>1</w:t>
      </w:r>
    </w:p>
    <w:p w14:paraId="3016EC5B" w14:textId="77777777" w:rsidR="001F04FD" w:rsidRDefault="001F04FD" w:rsidP="001F04FD">
      <w:pPr>
        <w:pStyle w:val="Formula"/>
        <w:ind w:leftChars="31" w:left="374" w:hangingChars="125" w:hanging="300"/>
      </w:pPr>
      <w:r w:rsidRPr="0080555B">
        <w:lastRenderedPageBreak/>
        <w:t>Where:</w:t>
      </w:r>
    </w:p>
    <w:p w14:paraId="7A7622B7" w14:textId="1F7B99FF"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4521EA7D" wp14:editId="706CF839">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211EC782" w14:textId="77777777" w:rsidR="001F04FD" w:rsidRPr="00193B05" w:rsidRDefault="001F04FD" w:rsidP="001F04FD">
      <w:pPr>
        <w:pStyle w:val="Formula"/>
        <w:ind w:left="2880" w:hanging="2160"/>
      </w:pPr>
      <w:r w:rsidRPr="00193B05">
        <w:t>RTRDP =</w:t>
      </w:r>
      <w:r w:rsidRPr="00193B05">
        <w:tab/>
      </w:r>
      <w:r w:rsidRPr="00193B05">
        <w:rPr>
          <w:position w:val="-22"/>
        </w:rPr>
        <w:object w:dxaOrig="225" w:dyaOrig="465" w14:anchorId="412D92D4">
          <v:shape id="_x0000_i1051" type="#_x0000_t75" style="width:12pt;height:18pt" o:ole="">
            <v:imagedata r:id="rId22" o:title=""/>
          </v:shape>
          <o:OLEObject Type="Embed" ProgID="Equation.3" ShapeID="_x0000_i1051" DrawAspect="Content" ObjectID="_1804653536" r:id="rId50"/>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 xml:space="preserve">) </w:t>
      </w:r>
    </w:p>
    <w:p w14:paraId="34D897F9" w14:textId="77777777" w:rsidR="001F04FD" w:rsidRDefault="001F04FD" w:rsidP="001F04FD">
      <w:pPr>
        <w:spacing w:after="240"/>
        <w:ind w:left="720"/>
      </w:pPr>
      <w:r>
        <w:t>RNWF</w:t>
      </w:r>
      <w:r w:rsidRPr="0080555B">
        <w:rPr>
          <w:i/>
          <w:vertAlign w:val="subscript"/>
        </w:rPr>
        <w:t xml:space="preserve"> y</w:t>
      </w:r>
      <w:r>
        <w:rPr>
          <w:i/>
          <w:vertAlign w:val="subscript"/>
        </w:rPr>
        <w:tab/>
      </w:r>
      <w:r>
        <w:t>=</w:t>
      </w:r>
      <w:r>
        <w:tab/>
      </w:r>
      <w:r w:rsidRPr="0080555B">
        <w:t xml:space="preserve">TLMP </w:t>
      </w:r>
      <w:r w:rsidRPr="0080555B">
        <w:rPr>
          <w:i/>
          <w:vertAlign w:val="subscript"/>
        </w:rPr>
        <w:t>y</w:t>
      </w:r>
      <w:r w:rsidRPr="0080555B">
        <w:t xml:space="preserve"> </w:t>
      </w:r>
      <w:r w:rsidRPr="0080555B">
        <w:rPr>
          <w:color w:val="000000"/>
          <w:sz w:val="32"/>
          <w:szCs w:val="32"/>
        </w:rPr>
        <w:t>/</w:t>
      </w:r>
      <w:r w:rsidRPr="0080555B">
        <w:rPr>
          <w:position w:val="-22"/>
        </w:rPr>
        <w:object w:dxaOrig="225" w:dyaOrig="465" w14:anchorId="0C66AB8E">
          <v:shape id="_x0000_i1052" type="#_x0000_t75" style="width:12pt;height:18pt" o:ole="">
            <v:imagedata r:id="rId22" o:title=""/>
          </v:shape>
          <o:OLEObject Type="Embed" ProgID="Equation.3" ShapeID="_x0000_i1052" DrawAspect="Content" ObjectID="_1804653537" r:id="rId51"/>
        </w:object>
      </w:r>
      <w:r w:rsidRPr="0080555B">
        <w:t xml:space="preserve">TLMP </w:t>
      </w:r>
      <w:r w:rsidRPr="0080555B">
        <w:rPr>
          <w:i/>
          <w:vertAlign w:val="subscript"/>
        </w:rPr>
        <w:t>y</w:t>
      </w:r>
    </w:p>
    <w:p w14:paraId="744B0BD0"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1F04FD" w14:paraId="5F27B0AF" w14:textId="77777777" w:rsidTr="00AC4DEE">
        <w:tc>
          <w:tcPr>
            <w:tcW w:w="1264" w:type="dxa"/>
          </w:tcPr>
          <w:p w14:paraId="7E111B07" w14:textId="77777777" w:rsidR="001F04FD" w:rsidRDefault="001F04FD" w:rsidP="00AC4DEE">
            <w:pPr>
              <w:pStyle w:val="TableHead"/>
            </w:pPr>
            <w:r>
              <w:t>Variable</w:t>
            </w:r>
          </w:p>
        </w:tc>
        <w:tc>
          <w:tcPr>
            <w:tcW w:w="899" w:type="dxa"/>
          </w:tcPr>
          <w:p w14:paraId="7146CE1B" w14:textId="77777777" w:rsidR="001F04FD" w:rsidRDefault="001F04FD" w:rsidP="00AC4DEE">
            <w:pPr>
              <w:pStyle w:val="TableHead"/>
            </w:pPr>
            <w:r>
              <w:t>Unit</w:t>
            </w:r>
          </w:p>
        </w:tc>
        <w:tc>
          <w:tcPr>
            <w:tcW w:w="7107" w:type="dxa"/>
          </w:tcPr>
          <w:p w14:paraId="445DD7AC" w14:textId="77777777" w:rsidR="001F04FD" w:rsidRDefault="001F04FD" w:rsidP="00AC4DEE">
            <w:pPr>
              <w:pStyle w:val="TableHead"/>
            </w:pPr>
            <w:r>
              <w:t>Description</w:t>
            </w:r>
          </w:p>
        </w:tc>
      </w:tr>
      <w:tr w:rsidR="001F04FD" w14:paraId="7ACB2C0F" w14:textId="77777777" w:rsidTr="00AC4DEE">
        <w:tc>
          <w:tcPr>
            <w:tcW w:w="1264" w:type="dxa"/>
          </w:tcPr>
          <w:p w14:paraId="10B20331" w14:textId="77777777" w:rsidR="001F04FD" w:rsidRDefault="001F04FD" w:rsidP="00AC4DEE">
            <w:pPr>
              <w:pStyle w:val="TableBody"/>
            </w:pPr>
            <w:r>
              <w:t>RTSPP</w:t>
            </w:r>
          </w:p>
        </w:tc>
        <w:tc>
          <w:tcPr>
            <w:tcW w:w="899" w:type="dxa"/>
          </w:tcPr>
          <w:p w14:paraId="18312B92" w14:textId="77777777" w:rsidR="001F04FD" w:rsidRDefault="001F04FD" w:rsidP="00AC4DEE">
            <w:pPr>
              <w:pStyle w:val="TableBody"/>
              <w:rPr>
                <w:i/>
              </w:rPr>
            </w:pPr>
            <w:r>
              <w:t>$/MWh</w:t>
            </w:r>
          </w:p>
        </w:tc>
        <w:tc>
          <w:tcPr>
            <w:tcW w:w="7107" w:type="dxa"/>
          </w:tcPr>
          <w:p w14:paraId="31613F6E"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7569247B" w14:textId="77777777" w:rsidTr="00AC4DEE">
        <w:tc>
          <w:tcPr>
            <w:tcW w:w="1264" w:type="dxa"/>
          </w:tcPr>
          <w:p w14:paraId="5F663821" w14:textId="77777777" w:rsidR="001F04FD" w:rsidRDefault="001F04FD" w:rsidP="00AC4DEE">
            <w:pPr>
              <w:pStyle w:val="TableBody"/>
            </w:pPr>
            <w:r>
              <w:t>RTSPPEW</w:t>
            </w:r>
          </w:p>
        </w:tc>
        <w:tc>
          <w:tcPr>
            <w:tcW w:w="899" w:type="dxa"/>
          </w:tcPr>
          <w:p w14:paraId="6F842D6A" w14:textId="77777777" w:rsidR="001F04FD" w:rsidRDefault="001F04FD" w:rsidP="00AC4DEE">
            <w:pPr>
              <w:pStyle w:val="TableBody"/>
            </w:pPr>
            <w:r>
              <w:t>$/MWh</w:t>
            </w:r>
          </w:p>
        </w:tc>
        <w:tc>
          <w:tcPr>
            <w:tcW w:w="7107" w:type="dxa"/>
          </w:tcPr>
          <w:p w14:paraId="3CCF3D22"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state-estimated Load of the Load Zone of each SCED interval within the 15-minute Settlement Interval.</w:t>
            </w:r>
          </w:p>
        </w:tc>
      </w:tr>
      <w:tr w:rsidR="001F04FD" w14:paraId="6E295E3C" w14:textId="77777777" w:rsidTr="00AC4DEE">
        <w:tc>
          <w:tcPr>
            <w:tcW w:w="1264" w:type="dxa"/>
          </w:tcPr>
          <w:p w14:paraId="5DA9686F" w14:textId="77777777" w:rsidR="001F04FD" w:rsidRDefault="001F04FD" w:rsidP="00AC4DEE">
            <w:pPr>
              <w:pStyle w:val="TableBody"/>
            </w:pPr>
            <w:r>
              <w:t xml:space="preserve">RTLMP </w:t>
            </w:r>
            <w:r w:rsidRPr="00107CC2">
              <w:rPr>
                <w:i/>
                <w:vertAlign w:val="subscript"/>
              </w:rPr>
              <w:t>b, y</w:t>
            </w:r>
          </w:p>
        </w:tc>
        <w:tc>
          <w:tcPr>
            <w:tcW w:w="899" w:type="dxa"/>
          </w:tcPr>
          <w:p w14:paraId="47185DF0" w14:textId="77777777" w:rsidR="001F04FD" w:rsidRDefault="001F04FD" w:rsidP="00AC4DEE">
            <w:pPr>
              <w:pStyle w:val="TableBody"/>
            </w:pPr>
            <w:r>
              <w:t>$/MWh</w:t>
            </w:r>
          </w:p>
        </w:tc>
        <w:tc>
          <w:tcPr>
            <w:tcW w:w="7107" w:type="dxa"/>
          </w:tcPr>
          <w:p w14:paraId="0CD8A472" w14:textId="77777777" w:rsidR="001F04FD" w:rsidRDefault="001F04FD" w:rsidP="00AC4DEE">
            <w:pPr>
              <w:pStyle w:val="TableBody"/>
            </w:pPr>
            <w:r>
              <w:rPr>
                <w:i/>
              </w:rPr>
              <w:t>Real-Time Locational Marginal Price at bus per interval</w:t>
            </w:r>
            <w:r>
              <w:sym w:font="Symbol" w:char="F0BE"/>
            </w:r>
            <w:r>
              <w:t xml:space="preserve">The Real-Time LMP at Electrical Bus </w:t>
            </w:r>
            <w:r>
              <w:rPr>
                <w:i/>
              </w:rPr>
              <w:t>b</w:t>
            </w:r>
            <w:r>
              <w:t xml:space="preserve"> in the Load Zone, for the SCED interval </w:t>
            </w:r>
            <w:r>
              <w:rPr>
                <w:i/>
              </w:rPr>
              <w:t>y</w:t>
            </w:r>
            <w:r>
              <w:t>.</w:t>
            </w:r>
          </w:p>
        </w:tc>
      </w:tr>
      <w:tr w:rsidR="001F04FD" w14:paraId="1A48057C" w14:textId="77777777" w:rsidTr="00AC4DEE">
        <w:tc>
          <w:tcPr>
            <w:tcW w:w="1264" w:type="dxa"/>
          </w:tcPr>
          <w:p w14:paraId="4411262C" w14:textId="77777777" w:rsidR="001F04FD" w:rsidRDefault="001F04FD" w:rsidP="00AC4DEE">
            <w:pPr>
              <w:pStyle w:val="TableBody"/>
            </w:pPr>
            <w:r w:rsidRPr="00CE4C14">
              <w:t>RTRSVPOR</w:t>
            </w:r>
          </w:p>
        </w:tc>
        <w:tc>
          <w:tcPr>
            <w:tcW w:w="899" w:type="dxa"/>
          </w:tcPr>
          <w:p w14:paraId="60F241EB" w14:textId="77777777" w:rsidR="001F04FD" w:rsidRDefault="001F04FD" w:rsidP="00AC4DEE">
            <w:pPr>
              <w:pStyle w:val="TableBody"/>
            </w:pPr>
            <w:r w:rsidRPr="00CE4C14">
              <w:t>$/MWh</w:t>
            </w:r>
          </w:p>
        </w:tc>
        <w:tc>
          <w:tcPr>
            <w:tcW w:w="7107" w:type="dxa"/>
          </w:tcPr>
          <w:p w14:paraId="48D7CFB4" w14:textId="77777777" w:rsidR="001F04FD" w:rsidRDefault="001F04FD" w:rsidP="00AC4DEE">
            <w:pPr>
              <w:pStyle w:val="TableBody"/>
              <w:rPr>
                <w:i/>
              </w:rPr>
            </w:pPr>
            <w:r w:rsidRPr="00CE4C14">
              <w:rPr>
                <w:i/>
              </w:rPr>
              <w:t>Real-Time Reserve Price for On-Line Reserves</w:t>
            </w:r>
            <w:r w:rsidRPr="00CE4C14">
              <w:sym w:font="Symbol" w:char="F0BE"/>
            </w:r>
            <w:r w:rsidRPr="00CE4C14">
              <w:t>The Real-Time Reserve Price for On-Line Reserves for the 15-minute Settlement Interval.</w:t>
            </w:r>
          </w:p>
        </w:tc>
      </w:tr>
      <w:tr w:rsidR="001F04FD" w14:paraId="3A3AB82D" w14:textId="77777777" w:rsidTr="00AC4DEE">
        <w:tc>
          <w:tcPr>
            <w:tcW w:w="1264" w:type="dxa"/>
          </w:tcPr>
          <w:p w14:paraId="58071866" w14:textId="77777777" w:rsidR="001F04FD" w:rsidRDefault="001F04FD" w:rsidP="00AC4DEE">
            <w:pPr>
              <w:pStyle w:val="TableBody"/>
            </w:pPr>
            <w:r w:rsidRPr="00CE4C14">
              <w:t>RTORPA</w:t>
            </w:r>
            <w:r w:rsidRPr="00CE4C14">
              <w:rPr>
                <w:vertAlign w:val="subscript"/>
              </w:rPr>
              <w:t xml:space="preserve"> </w:t>
            </w:r>
            <w:r w:rsidRPr="00107CC2">
              <w:rPr>
                <w:i/>
                <w:vertAlign w:val="subscript"/>
              </w:rPr>
              <w:t>y</w:t>
            </w:r>
          </w:p>
        </w:tc>
        <w:tc>
          <w:tcPr>
            <w:tcW w:w="899" w:type="dxa"/>
          </w:tcPr>
          <w:p w14:paraId="233FDD4B" w14:textId="77777777" w:rsidR="001F04FD" w:rsidRDefault="001F04FD" w:rsidP="00AC4DEE">
            <w:pPr>
              <w:pStyle w:val="TableBody"/>
            </w:pPr>
            <w:r w:rsidRPr="00CE4C14">
              <w:t>$/MWh</w:t>
            </w:r>
          </w:p>
        </w:tc>
        <w:tc>
          <w:tcPr>
            <w:tcW w:w="7107" w:type="dxa"/>
          </w:tcPr>
          <w:p w14:paraId="641950B9" w14:textId="69B0B36B"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Price Adder for On-Line Reserves for the SCED interval </w:t>
            </w:r>
            <w:r w:rsidRPr="00CE4C14">
              <w:rPr>
                <w:i/>
              </w:rPr>
              <w:t>y</w:t>
            </w:r>
            <w:r w:rsidRPr="00CE4C14">
              <w:t>.</w:t>
            </w:r>
          </w:p>
        </w:tc>
      </w:tr>
      <w:tr w:rsidR="001F04FD" w14:paraId="167D5D6D" w14:textId="77777777" w:rsidTr="00AC4DEE">
        <w:tc>
          <w:tcPr>
            <w:tcW w:w="1264" w:type="dxa"/>
          </w:tcPr>
          <w:p w14:paraId="79B8708F" w14:textId="77777777" w:rsidR="001F04FD" w:rsidRPr="00193B05" w:rsidRDefault="001F04FD" w:rsidP="00AC4DEE">
            <w:pPr>
              <w:pStyle w:val="TableBody"/>
            </w:pPr>
            <w:r w:rsidRPr="00193B05">
              <w:t>RTRDP</w:t>
            </w:r>
          </w:p>
        </w:tc>
        <w:tc>
          <w:tcPr>
            <w:tcW w:w="899" w:type="dxa"/>
          </w:tcPr>
          <w:p w14:paraId="33C31277" w14:textId="77777777" w:rsidR="001F04FD" w:rsidRPr="00193B05" w:rsidRDefault="001F04FD" w:rsidP="00AC4DEE">
            <w:pPr>
              <w:pStyle w:val="TableBody"/>
            </w:pPr>
            <w:r w:rsidRPr="00193B05">
              <w:t>$/MWh</w:t>
            </w:r>
          </w:p>
        </w:tc>
        <w:tc>
          <w:tcPr>
            <w:tcW w:w="7107" w:type="dxa"/>
          </w:tcPr>
          <w:p w14:paraId="5DA82417" w14:textId="6200AAAB" w:rsidR="001F04FD" w:rsidRPr="00193B05" w:rsidRDefault="001F04FD" w:rsidP="00AC4DEE">
            <w:pPr>
              <w:pStyle w:val="TableBody"/>
              <w:rPr>
                <w:i/>
              </w:rPr>
            </w:pPr>
            <w:r w:rsidRPr="00193B05">
              <w:rPr>
                <w:i/>
              </w:rPr>
              <w:t>Real-Time On-Line Reliability Deployment Price</w:t>
            </w:r>
            <w:r w:rsidRPr="00193B05">
              <w:sym w:font="Symbol" w:char="F0BE"/>
            </w:r>
            <w:r w:rsidRPr="00193B05">
              <w:t xml:space="preserve">The Real-Time price for the 15-minute Settlement Interval, reflecting the impact of reliability deployments on energy prices that is calculated </w:t>
            </w:r>
            <w:r w:rsidRPr="00193B05">
              <w:rPr>
                <w:bCs/>
              </w:rPr>
              <w:t>from the Real-</w:t>
            </w:r>
            <w:r w:rsidR="00235D03">
              <w:rPr>
                <w:bCs/>
              </w:rPr>
              <w:t>T</w:t>
            </w:r>
            <w:r w:rsidRPr="00193B05">
              <w:rPr>
                <w:bCs/>
              </w:rPr>
              <w:t>ime On-Line Reliability Deployment Price Adder</w:t>
            </w:r>
            <w:r w:rsidRPr="00193B05">
              <w:t>.</w:t>
            </w:r>
          </w:p>
        </w:tc>
      </w:tr>
      <w:tr w:rsidR="001F04FD" w14:paraId="4864D4DD" w14:textId="77777777" w:rsidTr="00AC4DEE">
        <w:tc>
          <w:tcPr>
            <w:tcW w:w="1264" w:type="dxa"/>
          </w:tcPr>
          <w:p w14:paraId="6275D49F" w14:textId="77777777" w:rsidR="001F04FD" w:rsidRPr="00193B05" w:rsidRDefault="001F04FD" w:rsidP="00AC4DEE">
            <w:pPr>
              <w:pStyle w:val="TableBody"/>
            </w:pPr>
            <w:r w:rsidRPr="00193B05">
              <w:t>RTORDPA</w:t>
            </w:r>
            <w:r w:rsidRPr="00193B05">
              <w:rPr>
                <w:vertAlign w:val="subscript"/>
              </w:rPr>
              <w:t xml:space="preserve"> </w:t>
            </w:r>
            <w:r w:rsidRPr="00107CC2">
              <w:rPr>
                <w:i/>
                <w:vertAlign w:val="subscript"/>
              </w:rPr>
              <w:t>y</w:t>
            </w:r>
          </w:p>
        </w:tc>
        <w:tc>
          <w:tcPr>
            <w:tcW w:w="899" w:type="dxa"/>
          </w:tcPr>
          <w:p w14:paraId="5D6AB02D" w14:textId="77777777" w:rsidR="001F04FD" w:rsidRPr="00193B05" w:rsidRDefault="001F04FD" w:rsidP="00AC4DEE">
            <w:pPr>
              <w:pStyle w:val="TableBody"/>
            </w:pPr>
            <w:r w:rsidRPr="00193B05">
              <w:t>$/MWh</w:t>
            </w:r>
          </w:p>
        </w:tc>
        <w:tc>
          <w:tcPr>
            <w:tcW w:w="7107" w:type="dxa"/>
          </w:tcPr>
          <w:p w14:paraId="60F59513" w14:textId="634DFC3F"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56033D59" w14:textId="77777777" w:rsidTr="00AC4DEE">
        <w:tc>
          <w:tcPr>
            <w:tcW w:w="1264" w:type="dxa"/>
          </w:tcPr>
          <w:p w14:paraId="5F470FC1" w14:textId="77777777" w:rsidR="001F04FD" w:rsidRDefault="001F04FD" w:rsidP="00AC4DEE">
            <w:pPr>
              <w:pStyle w:val="TableBody"/>
            </w:pPr>
            <w:r w:rsidRPr="00CE4C14">
              <w:t xml:space="preserve">RNWF </w:t>
            </w:r>
            <w:r w:rsidRPr="00107CC2">
              <w:rPr>
                <w:i/>
                <w:vertAlign w:val="subscript"/>
              </w:rPr>
              <w:t>y</w:t>
            </w:r>
          </w:p>
        </w:tc>
        <w:tc>
          <w:tcPr>
            <w:tcW w:w="899" w:type="dxa"/>
          </w:tcPr>
          <w:p w14:paraId="4434476A" w14:textId="77777777" w:rsidR="001F04FD" w:rsidRDefault="001F04FD" w:rsidP="00AC4DEE">
            <w:pPr>
              <w:pStyle w:val="TableBody"/>
            </w:pPr>
            <w:r w:rsidRPr="00CE4C14">
              <w:t>none</w:t>
            </w:r>
          </w:p>
        </w:tc>
        <w:tc>
          <w:tcPr>
            <w:tcW w:w="7107" w:type="dxa"/>
          </w:tcPr>
          <w:p w14:paraId="24A4815B" w14:textId="77777777" w:rsidR="001F04FD" w:rsidRDefault="001F04FD" w:rsidP="00AC4DEE">
            <w:pPr>
              <w:pStyle w:val="TableBody"/>
              <w:rPr>
                <w:i/>
              </w:rPr>
            </w:pPr>
            <w:r w:rsidRPr="00CE4C14">
              <w:rPr>
                <w:i/>
              </w:rPr>
              <w:t>Resource Node Weighting Factor per interval</w:t>
            </w:r>
            <w:r w:rsidRPr="00CE4C14">
              <w:sym w:font="Symbol" w:char="F0BE"/>
            </w:r>
            <w:r w:rsidRPr="00CE4C14">
              <w:t xml:space="preserve">The weight used in the Resource Node Settlement Point Price calculation for the portion of the SCED interval </w:t>
            </w:r>
            <w:r w:rsidRPr="00CE4C14">
              <w:rPr>
                <w:i/>
              </w:rPr>
              <w:t>y</w:t>
            </w:r>
            <w:r w:rsidRPr="00CE4C14">
              <w:t xml:space="preserve"> within the Settlement Interval.</w:t>
            </w:r>
          </w:p>
        </w:tc>
      </w:tr>
      <w:tr w:rsidR="001F04FD" w14:paraId="149BB5E3" w14:textId="77777777" w:rsidTr="00AC4DEE">
        <w:tc>
          <w:tcPr>
            <w:tcW w:w="1264" w:type="dxa"/>
          </w:tcPr>
          <w:p w14:paraId="55556F80" w14:textId="77777777" w:rsidR="001F04FD" w:rsidRDefault="001F04FD" w:rsidP="00AC4DEE">
            <w:pPr>
              <w:pStyle w:val="TableBody"/>
            </w:pPr>
            <w:r>
              <w:t>LZWF</w:t>
            </w:r>
            <w:r>
              <w:rPr>
                <w:i/>
                <w:vertAlign w:val="subscript"/>
              </w:rPr>
              <w:t xml:space="preserve"> </w:t>
            </w:r>
            <w:r w:rsidRPr="00107CC2">
              <w:rPr>
                <w:i/>
                <w:vertAlign w:val="subscript"/>
              </w:rPr>
              <w:t>b, y</w:t>
            </w:r>
          </w:p>
        </w:tc>
        <w:tc>
          <w:tcPr>
            <w:tcW w:w="899" w:type="dxa"/>
          </w:tcPr>
          <w:p w14:paraId="49A3581E" w14:textId="77777777" w:rsidR="001F04FD" w:rsidRDefault="001F04FD" w:rsidP="00AC4DEE">
            <w:pPr>
              <w:pStyle w:val="TableBody"/>
            </w:pPr>
            <w:r>
              <w:t>none</w:t>
            </w:r>
          </w:p>
        </w:tc>
        <w:tc>
          <w:tcPr>
            <w:tcW w:w="7107" w:type="dxa"/>
          </w:tcPr>
          <w:p w14:paraId="1A784FD7" w14:textId="77777777" w:rsidR="001F04FD" w:rsidRDefault="001F04FD" w:rsidP="00AC4DEE">
            <w:pPr>
              <w:pStyle w:val="TableBody"/>
              <w:rPr>
                <w:i/>
              </w:rPr>
            </w:pPr>
            <w:r>
              <w:rPr>
                <w:i/>
              </w:rPr>
              <w:t>Load Zone Weighting Factor per bus per interval</w:t>
            </w:r>
            <w:r>
              <w:sym w:font="Symbol" w:char="F0BE"/>
            </w:r>
            <w:r>
              <w:t xml:space="preserve">The weight used in the Load Zone Settlement Point Price calculation for Electrical Bus </w:t>
            </w:r>
            <w:r>
              <w:rPr>
                <w:i/>
              </w:rPr>
              <w:t>b</w:t>
            </w:r>
            <w:r>
              <w:t xml:space="preserve">, for the portion of the SCED interval </w:t>
            </w:r>
            <w:r>
              <w:rPr>
                <w:i/>
              </w:rPr>
              <w:t>y</w:t>
            </w:r>
            <w:r>
              <w:t xml:space="preserve"> within the 15-minute Settlement Interval.</w:t>
            </w:r>
          </w:p>
        </w:tc>
      </w:tr>
      <w:tr w:rsidR="001F04FD" w14:paraId="32B45D1A" w14:textId="77777777" w:rsidTr="00AC4DEE">
        <w:tc>
          <w:tcPr>
            <w:tcW w:w="1264" w:type="dxa"/>
          </w:tcPr>
          <w:p w14:paraId="349D8395"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899" w:type="dxa"/>
          </w:tcPr>
          <w:p w14:paraId="19CDB4DC" w14:textId="77777777" w:rsidR="001F04FD" w:rsidRDefault="001F04FD" w:rsidP="00AC4DEE">
            <w:pPr>
              <w:pStyle w:val="TableBody"/>
            </w:pPr>
            <w:r>
              <w:t>$/MWh</w:t>
            </w:r>
          </w:p>
        </w:tc>
        <w:tc>
          <w:tcPr>
            <w:tcW w:w="7107" w:type="dxa"/>
          </w:tcPr>
          <w:p w14:paraId="03A02B93" w14:textId="4EA056EF" w:rsidR="001F04FD" w:rsidRDefault="001F04FD" w:rsidP="00AC4DEE">
            <w:pPr>
              <w:pStyle w:val="TableBody"/>
              <w:rPr>
                <w:i/>
              </w:rPr>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216FA349" w14:textId="77777777" w:rsidTr="00AC4DEE">
        <w:tc>
          <w:tcPr>
            <w:tcW w:w="1264" w:type="dxa"/>
          </w:tcPr>
          <w:p w14:paraId="4C6478D9" w14:textId="77777777" w:rsidR="001F04FD" w:rsidRDefault="001F04FD" w:rsidP="00AC4DEE">
            <w:pPr>
              <w:pStyle w:val="TableBody"/>
            </w:pPr>
            <w:r>
              <w:t xml:space="preserve">SEL </w:t>
            </w:r>
            <w:r w:rsidRPr="00107CC2">
              <w:rPr>
                <w:i/>
                <w:vertAlign w:val="subscript"/>
              </w:rPr>
              <w:t>b, y</w:t>
            </w:r>
          </w:p>
        </w:tc>
        <w:tc>
          <w:tcPr>
            <w:tcW w:w="899" w:type="dxa"/>
          </w:tcPr>
          <w:p w14:paraId="457D04D5" w14:textId="77777777" w:rsidR="001F04FD" w:rsidRDefault="001F04FD" w:rsidP="00AC4DEE">
            <w:pPr>
              <w:pStyle w:val="TableBody"/>
            </w:pPr>
            <w:r>
              <w:t>MW</w:t>
            </w:r>
          </w:p>
        </w:tc>
        <w:tc>
          <w:tcPr>
            <w:tcW w:w="7107" w:type="dxa"/>
          </w:tcPr>
          <w:p w14:paraId="775F6341" w14:textId="152E3758" w:rsidR="001F04FD" w:rsidRDefault="001F04FD" w:rsidP="00B0521F">
            <w:pPr>
              <w:pStyle w:val="TableBody"/>
            </w:pPr>
            <w:r>
              <w:rPr>
                <w:i/>
              </w:rPr>
              <w:t>State Estimator Load at bus per interval</w:t>
            </w:r>
            <w:r>
              <w:sym w:font="Symbol" w:char="F0BE"/>
            </w:r>
            <w:r>
              <w:t xml:space="preserve">The Load </w:t>
            </w:r>
            <w:r w:rsidR="00DC3C3E">
              <w:t xml:space="preserve">value </w:t>
            </w:r>
            <w:r>
              <w:t>from State Estimator</w:t>
            </w:r>
            <w:r w:rsidR="00E62A42">
              <w:t>, including a calculated net Load value at each Private Use Network</w:t>
            </w:r>
            <w:r w:rsidR="00DC3C3E">
              <w:t xml:space="preserve"> and adjustments to</w:t>
            </w:r>
            <w:r w:rsidR="00235D03">
              <w:t xml:space="preserve"> account for Distribution Generation Resource (DGR) and Distribution Energy Storage Resource (DESR) injections and withdrawals that are settled at a Resource Node</w:t>
            </w:r>
            <w:r w:rsidR="00E62A42">
              <w:t>,</w:t>
            </w:r>
            <w:r>
              <w:t xml:space="preserve"> excluding Wholesale Storage Load (WSL) </w:t>
            </w:r>
            <w:r w:rsidR="002A0AD7">
              <w:t xml:space="preserve">and Non-WSL </w:t>
            </w:r>
            <w:r w:rsidR="00B0521F">
              <w:t xml:space="preserve">Energy Storage Resource (ESR) </w:t>
            </w:r>
            <w:r w:rsidR="002A0AD7">
              <w:t xml:space="preserve">Charging Load </w:t>
            </w:r>
            <w:r>
              <w:t xml:space="preserve">for Electrical Bus </w:t>
            </w:r>
            <w:r>
              <w:rPr>
                <w:i/>
              </w:rPr>
              <w:t>b</w:t>
            </w:r>
            <w:r>
              <w:t xml:space="preserve"> in the Load Zone, for the SCED interval </w:t>
            </w:r>
            <w:r>
              <w:rPr>
                <w:i/>
              </w:rPr>
              <w:t>y</w:t>
            </w:r>
            <w:r>
              <w:t>.</w:t>
            </w:r>
          </w:p>
        </w:tc>
      </w:tr>
      <w:tr w:rsidR="001F04FD" w14:paraId="6D2E782F" w14:textId="77777777" w:rsidTr="00AC4DEE">
        <w:tc>
          <w:tcPr>
            <w:tcW w:w="1264" w:type="dxa"/>
          </w:tcPr>
          <w:p w14:paraId="52D7E5EF" w14:textId="77777777" w:rsidR="001F04FD" w:rsidRDefault="001F04FD" w:rsidP="00AC4DEE">
            <w:pPr>
              <w:pStyle w:val="TableBody"/>
            </w:pPr>
            <w:r>
              <w:t xml:space="preserve">TLMP </w:t>
            </w:r>
            <w:r w:rsidRPr="00107CC2">
              <w:rPr>
                <w:i/>
                <w:vertAlign w:val="subscript"/>
              </w:rPr>
              <w:t>y</w:t>
            </w:r>
          </w:p>
        </w:tc>
        <w:tc>
          <w:tcPr>
            <w:tcW w:w="899" w:type="dxa"/>
          </w:tcPr>
          <w:p w14:paraId="3F9CE76D" w14:textId="77777777" w:rsidR="001F04FD" w:rsidRDefault="001F04FD" w:rsidP="00AC4DEE">
            <w:pPr>
              <w:pStyle w:val="TableBody"/>
              <w:rPr>
                <w:iCs w:val="0"/>
              </w:rPr>
            </w:pPr>
            <w:r>
              <w:t>second</w:t>
            </w:r>
          </w:p>
        </w:tc>
        <w:tc>
          <w:tcPr>
            <w:tcW w:w="7107" w:type="dxa"/>
          </w:tcPr>
          <w:p w14:paraId="01672621" w14:textId="77777777" w:rsidR="001F04FD" w:rsidRDefault="001F04FD" w:rsidP="00AC4DEE">
            <w:pPr>
              <w:pStyle w:val="TableBody"/>
            </w:pPr>
            <w:r>
              <w:rPr>
                <w:i/>
                <w:iCs w:val="0"/>
              </w:rPr>
              <w:t xml:space="preserve">Duration of </w:t>
            </w:r>
            <w:r>
              <w:rPr>
                <w:i/>
              </w:rPr>
              <w:t>SCED</w:t>
            </w:r>
            <w:r>
              <w:rPr>
                <w:i/>
                <w:iCs w:val="0"/>
              </w:rPr>
              <w:t xml:space="preserve"> interval per interval</w:t>
            </w:r>
            <w:r>
              <w:sym w:font="Symbol" w:char="F0BE"/>
            </w:r>
            <w:r>
              <w:t xml:space="preserve">The duration of the portion of the SCED interval </w:t>
            </w:r>
            <w:r>
              <w:rPr>
                <w:i/>
                <w:iCs w:val="0"/>
              </w:rPr>
              <w:t>y</w:t>
            </w:r>
            <w:r>
              <w:t xml:space="preserve"> within the Settlement Interval.</w:t>
            </w:r>
          </w:p>
        </w:tc>
      </w:tr>
      <w:tr w:rsidR="001F04FD" w14:paraId="2C4C914D" w14:textId="77777777" w:rsidTr="00AC4DEE">
        <w:tc>
          <w:tcPr>
            <w:tcW w:w="1264" w:type="dxa"/>
          </w:tcPr>
          <w:p w14:paraId="2AC585C2" w14:textId="77777777" w:rsidR="001F04FD" w:rsidRPr="00107CC2" w:rsidRDefault="001F04FD" w:rsidP="00AC4DEE">
            <w:pPr>
              <w:pStyle w:val="TableBody"/>
              <w:rPr>
                <w:i/>
              </w:rPr>
            </w:pPr>
            <w:r w:rsidRPr="00107CC2">
              <w:rPr>
                <w:i/>
              </w:rPr>
              <w:lastRenderedPageBreak/>
              <w:t>y</w:t>
            </w:r>
          </w:p>
        </w:tc>
        <w:tc>
          <w:tcPr>
            <w:tcW w:w="899" w:type="dxa"/>
          </w:tcPr>
          <w:p w14:paraId="76A92B08" w14:textId="77777777" w:rsidR="001F04FD" w:rsidRDefault="001F04FD" w:rsidP="00AC4DEE">
            <w:pPr>
              <w:pStyle w:val="TableBody"/>
            </w:pPr>
            <w:r>
              <w:t>none</w:t>
            </w:r>
          </w:p>
        </w:tc>
        <w:tc>
          <w:tcPr>
            <w:tcW w:w="7107" w:type="dxa"/>
          </w:tcPr>
          <w:p w14:paraId="52E4BDA7" w14:textId="77777777" w:rsidR="001F04FD" w:rsidRDefault="001F04FD" w:rsidP="00AC4DEE">
            <w:pPr>
              <w:pStyle w:val="TableBody"/>
            </w:pPr>
            <w:r>
              <w:t>A SCED interval in the 15-minute Settlement Interval.  The summation is over the total number of SCED runs that cover the 15-minute Settlement Interval.</w:t>
            </w:r>
          </w:p>
        </w:tc>
      </w:tr>
      <w:tr w:rsidR="001F04FD" w14:paraId="68BB5E34" w14:textId="77777777" w:rsidTr="00AC4DEE">
        <w:tc>
          <w:tcPr>
            <w:tcW w:w="1264" w:type="dxa"/>
          </w:tcPr>
          <w:p w14:paraId="106F0474" w14:textId="77777777" w:rsidR="001F04FD" w:rsidRPr="00107CC2" w:rsidRDefault="001F04FD" w:rsidP="00AC4DEE">
            <w:pPr>
              <w:pStyle w:val="TableBody"/>
              <w:rPr>
                <w:i/>
              </w:rPr>
            </w:pPr>
            <w:r w:rsidRPr="00107CC2">
              <w:rPr>
                <w:i/>
              </w:rPr>
              <w:t>b</w:t>
            </w:r>
          </w:p>
        </w:tc>
        <w:tc>
          <w:tcPr>
            <w:tcW w:w="899" w:type="dxa"/>
          </w:tcPr>
          <w:p w14:paraId="0E0A8294" w14:textId="77777777" w:rsidR="001F04FD" w:rsidRDefault="001F04FD" w:rsidP="00AC4DEE">
            <w:pPr>
              <w:pStyle w:val="TableBody"/>
            </w:pPr>
            <w:r>
              <w:t>none</w:t>
            </w:r>
          </w:p>
        </w:tc>
        <w:tc>
          <w:tcPr>
            <w:tcW w:w="7107" w:type="dxa"/>
          </w:tcPr>
          <w:p w14:paraId="4440103A" w14:textId="77777777" w:rsidR="001F04FD" w:rsidRDefault="001F04FD" w:rsidP="00AC4DEE">
            <w:pPr>
              <w:pStyle w:val="TableBody"/>
            </w:pPr>
            <w:r>
              <w:t>An Electrical Bus in the Load Zone.  The summation is over all of the Electrical Buses in the Load Zone.</w:t>
            </w:r>
          </w:p>
        </w:tc>
      </w:tr>
    </w:tbl>
    <w:p w14:paraId="5AC16A24" w14:textId="77777777" w:rsidR="003F739B" w:rsidRPr="003F739B" w:rsidRDefault="003F739B" w:rsidP="003F739B">
      <w:pPr>
        <w:pStyle w:val="BodyText"/>
        <w:spacing w:after="0"/>
      </w:pPr>
      <w:bookmarkStart w:id="1690" w:name="_Toc109009383"/>
      <w:bookmarkStart w:id="1691" w:name="_Toc397505005"/>
      <w:bookmarkStart w:id="1692" w:name="_Toc402357133"/>
      <w:bookmarkStart w:id="1693" w:name="_Toc422486511"/>
      <w:bookmarkStart w:id="1694" w:name="_Toc433093363"/>
      <w:bookmarkStart w:id="1695" w:name="_Toc433093521"/>
      <w:bookmarkStart w:id="1696" w:name="_Toc440874749"/>
      <w:bookmarkStart w:id="1697" w:name="_Toc448142304"/>
      <w:bookmarkStart w:id="1698" w:name="_Toc448142461"/>
      <w:bookmarkStart w:id="1699" w:name="_Toc458770298"/>
      <w:bookmarkStart w:id="1700" w:name="_Toc459294266"/>
      <w:bookmarkStart w:id="1701" w:name="_Toc463262759"/>
      <w:bookmarkStart w:id="1702" w:name="_Toc468286832"/>
      <w:bookmarkStart w:id="1703" w:name="_Toc481502878"/>
      <w:bookmarkStart w:id="1704" w:name="_Toc496080046"/>
      <w:bookmarkStart w:id="1705" w:name="_Toc87951784"/>
      <w:bookmarkEnd w:id="1688"/>
      <w:bookmarkEnd w:id="168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F739B" w14:paraId="59D4FB81" w14:textId="77777777" w:rsidTr="00EC5231">
        <w:trPr>
          <w:trHeight w:val="206"/>
        </w:trPr>
        <w:tc>
          <w:tcPr>
            <w:tcW w:w="9350" w:type="dxa"/>
            <w:shd w:val="pct12" w:color="auto" w:fill="auto"/>
          </w:tcPr>
          <w:p w14:paraId="4CBD6383" w14:textId="3CB60A72" w:rsidR="003F739B" w:rsidRDefault="003F739B" w:rsidP="00EC5231">
            <w:pPr>
              <w:pStyle w:val="Instructions"/>
              <w:spacing w:before="120"/>
            </w:pPr>
            <w:r>
              <w:t>[NPRR1010</w:t>
            </w:r>
            <w:r w:rsidR="009F7A6D">
              <w:t xml:space="preserve"> and NPRR1188</w:t>
            </w:r>
            <w:r>
              <w:t xml:space="preserve">:  Replace </w:t>
            </w:r>
            <w:r w:rsidR="009F7A6D">
              <w:t xml:space="preserve">applicable portions of </w:t>
            </w:r>
            <w:r>
              <w:t>paragraph (2) above with the following upon system implementation</w:t>
            </w:r>
            <w:r w:rsidR="00AF7FAD">
              <w:t xml:space="preserve"> of the Real-Time Co-Optimization (RTC) project</w:t>
            </w:r>
            <w:r w:rsidR="009F7A6D">
              <w:t xml:space="preserve"> for NPRR1010; or upon system implementation for NPRR1188</w:t>
            </w:r>
            <w:r>
              <w:t>:]</w:t>
            </w:r>
          </w:p>
          <w:p w14:paraId="01129BC5" w14:textId="77777777" w:rsidR="003F739B" w:rsidRPr="003161DC" w:rsidRDefault="003F739B" w:rsidP="003F739B">
            <w:pPr>
              <w:spacing w:after="240"/>
              <w:ind w:left="720" w:hanging="720"/>
              <w:rPr>
                <w:iCs/>
              </w:rPr>
            </w:pPr>
            <w:r w:rsidRPr="003161DC">
              <w:rPr>
                <w:iCs/>
              </w:rPr>
              <w:t>(2)</w:t>
            </w:r>
            <w:r w:rsidRPr="003161DC">
              <w:rPr>
                <w:iCs/>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41EE8A11" w14:textId="71B31E2B" w:rsidR="003F739B" w:rsidRPr="003161DC" w:rsidRDefault="003F739B" w:rsidP="003F739B">
            <w:pPr>
              <w:spacing w:after="240"/>
              <w:ind w:left="3960" w:hanging="3240"/>
              <w:rPr>
                <w:b/>
                <w:iCs/>
                <w:lang w:val="es-MX"/>
              </w:rPr>
            </w:pPr>
            <w:r w:rsidRPr="003161DC">
              <w:rPr>
                <w:b/>
                <w:iCs/>
                <w:lang w:val="es-MX"/>
              </w:rPr>
              <w:t>RTSPPEW              =</w:t>
            </w:r>
            <w:r w:rsidRPr="003161DC">
              <w:rPr>
                <w:b/>
                <w:iCs/>
                <w:lang w:val="es-MX"/>
              </w:rPr>
              <w:tab/>
            </w:r>
            <w:r w:rsidRPr="003161DC">
              <w:rPr>
                <w:b/>
                <w:iCs/>
              </w:rPr>
              <w:t>Max [-$251, (</w:t>
            </w:r>
            <w:r w:rsidRPr="003161DC">
              <w:rPr>
                <w:b/>
                <w:iCs/>
                <w:position w:val="-22"/>
              </w:rPr>
              <w:object w:dxaOrig="225" w:dyaOrig="450" w14:anchorId="5894B769">
                <v:shape id="_x0000_i1053" type="#_x0000_t75" style="width:12pt;height:30pt" o:ole="">
                  <v:imagedata r:id="rId26" o:title=""/>
                </v:shape>
                <o:OLEObject Type="Embed" ProgID="Equation.3" ShapeID="_x0000_i1053" DrawAspect="Content" ObjectID="_1804653538" r:id="rId52"/>
              </w:object>
            </w:r>
            <w:r w:rsidRPr="003161DC">
              <w:rPr>
                <w:b/>
                <w:iCs/>
                <w:position w:val="-20"/>
              </w:rPr>
              <w:object w:dxaOrig="225" w:dyaOrig="420" w14:anchorId="5C4D1075">
                <v:shape id="_x0000_i1054" type="#_x0000_t75" style="width:12pt;height:30pt" o:ole="">
                  <v:imagedata r:id="rId44" o:title=""/>
                </v:shape>
                <o:OLEObject Type="Embed" ProgID="Equation.3" ShapeID="_x0000_i1054" DrawAspect="Content" ObjectID="_1804653539" r:id="rId53"/>
              </w:object>
            </w:r>
            <w:r w:rsidRPr="003161DC">
              <w:rPr>
                <w:b/>
                <w:iCs/>
                <w:lang w:val="es-MX"/>
              </w:rPr>
              <w:t>(RTLMP</w:t>
            </w:r>
            <w:r w:rsidRPr="003161DC">
              <w:rPr>
                <w:b/>
                <w:iCs/>
                <w:vertAlign w:val="subscript"/>
                <w:lang w:val="es-MX"/>
              </w:rPr>
              <w:t xml:space="preserve"> </w:t>
            </w:r>
            <w:r w:rsidRPr="003161DC">
              <w:rPr>
                <w:b/>
                <w:i/>
                <w:iCs/>
                <w:vertAlign w:val="subscript"/>
                <w:lang w:val="es-MX"/>
              </w:rPr>
              <w:t>b, y</w:t>
            </w:r>
            <w:r w:rsidRPr="003161DC">
              <w:rPr>
                <w:b/>
                <w:iCs/>
                <w:lang w:val="es-MX"/>
              </w:rPr>
              <w:t xml:space="preserve"> * LZWF</w:t>
            </w:r>
            <w:r w:rsidRPr="003161DC">
              <w:rPr>
                <w:b/>
                <w:i/>
                <w:iCs/>
                <w:vertAlign w:val="subscript"/>
                <w:lang w:val="es-MX"/>
              </w:rPr>
              <w:t xml:space="preserve"> b, y</w:t>
            </w:r>
            <w:r w:rsidRPr="003161DC">
              <w:rPr>
                <w:b/>
                <w:iCs/>
                <w:lang w:val="es-MX"/>
              </w:rPr>
              <w:t xml:space="preserve">) </w:t>
            </w:r>
            <w:r w:rsidRPr="003161DC">
              <w:rPr>
                <w:b/>
                <w:iCs/>
              </w:rPr>
              <w:t>+ RTRDP)]</w:t>
            </w:r>
          </w:p>
          <w:p w14:paraId="77337C2D" w14:textId="77777777" w:rsidR="003F739B" w:rsidRPr="003161DC" w:rsidRDefault="003F739B" w:rsidP="003F739B">
            <w:pPr>
              <w:spacing w:after="240"/>
              <w:rPr>
                <w:iCs/>
              </w:rPr>
            </w:pPr>
            <w:r w:rsidRPr="003161DC">
              <w:rPr>
                <w:iCs/>
              </w:rPr>
              <w:t>For all Load Zones except DC Tie Load Zones:</w:t>
            </w:r>
          </w:p>
          <w:p w14:paraId="0D2FB307"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37D4621">
                <v:shape id="_x0000_i1055" type="#_x0000_t75" style="width:12pt;height:24pt" o:ole="">
                  <v:imagedata r:id="rId28" o:title=""/>
                </v:shape>
                <o:OLEObject Type="Embed" ProgID="Equation.3" ShapeID="_x0000_i1055" DrawAspect="Content" ObjectID="_1804653540" r:id="rId54"/>
              </w:object>
            </w:r>
            <w:r w:rsidRPr="003161DC">
              <w:rPr>
                <w:bCs/>
                <w:position w:val="-20"/>
              </w:rPr>
              <w:object w:dxaOrig="225" w:dyaOrig="420" w14:anchorId="47F80980">
                <v:shape id="_x0000_i1056" type="#_x0000_t75" style="width:12pt;height:30pt" o:ole="">
                  <v:imagedata r:id="rId32" o:title=""/>
                </v:shape>
                <o:OLEObject Type="Embed" ProgID="Equation.3" ShapeID="_x0000_i1056" DrawAspect="Content" ObjectID="_1804653541" r:id="rId55"/>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79F3BD93" w14:textId="77777777" w:rsidR="003F739B" w:rsidRPr="003161DC" w:rsidRDefault="003F739B" w:rsidP="003F739B">
            <w:pPr>
              <w:spacing w:after="240"/>
              <w:rPr>
                <w:iCs/>
              </w:rPr>
            </w:pPr>
            <w:r w:rsidRPr="003161DC">
              <w:rPr>
                <w:iCs/>
              </w:rPr>
              <w:t xml:space="preserve">For a DC Tie Load Zone: </w:t>
            </w:r>
          </w:p>
          <w:p w14:paraId="16BCACC9" w14:textId="1566AED1"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1913F1B">
                <v:shape id="_x0000_i1057" type="#_x0000_t75" style="width:24pt;height:30pt" o:ole="">
                  <v:imagedata r:id="rId28" o:title=""/>
                </v:shape>
                <o:OLEObject Type="Embed" ProgID="Equation.3" ShapeID="_x0000_i1057" DrawAspect="Content" ObjectID="_1804653542" r:id="rId56"/>
              </w:object>
            </w:r>
            <w:r w:rsidRPr="003161DC">
              <w:rPr>
                <w:bCs/>
                <w:position w:val="-20"/>
              </w:rPr>
              <w:object w:dxaOrig="225" w:dyaOrig="420" w14:anchorId="0C2EACDA">
                <v:shape id="_x0000_i1058" type="#_x0000_t75" style="width:12pt;height:30pt" o:ole="">
                  <v:imagedata r:id="rId32" o:title=""/>
                </v:shape>
                <o:OLEObject Type="Embed" ProgID="Equation.3" ShapeID="_x0000_i1058" DrawAspect="Content" ObjectID="_1804653543" r:id="rId57"/>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F3D6293"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0FB8D26" w14:textId="77777777" w:rsidR="003F739B" w:rsidRPr="003161DC" w:rsidRDefault="003F739B" w:rsidP="003F739B">
            <w:pPr>
              <w:tabs>
                <w:tab w:val="left" w:pos="2160"/>
                <w:tab w:val="left" w:pos="2880"/>
              </w:tabs>
              <w:spacing w:after="240"/>
              <w:ind w:leftChars="31" w:left="374" w:hangingChars="125" w:hanging="300"/>
              <w:rPr>
                <w:bCs/>
              </w:rPr>
            </w:pPr>
            <w:r w:rsidRPr="003161DC">
              <w:rPr>
                <w:bCs/>
              </w:rPr>
              <w:t>Where:</w:t>
            </w:r>
          </w:p>
          <w:p w14:paraId="5D62CC49" w14:textId="77777777" w:rsidR="003F739B" w:rsidRPr="003161DC" w:rsidRDefault="003F739B" w:rsidP="003F739B">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75A9E9F4">
                <v:shape id="_x0000_i1059" type="#_x0000_t75" style="width:12pt;height:12pt" o:ole="">
                  <v:imagedata r:id="rId22" o:title=""/>
                </v:shape>
                <o:OLEObject Type="Embed" ProgID="Equation.3" ShapeID="_x0000_i1059" DrawAspect="Content" ObjectID="_1804653544" r:id="rId58"/>
              </w:object>
            </w:r>
            <w:r w:rsidRPr="003161DC">
              <w:rPr>
                <w:bCs/>
              </w:rPr>
              <w:t xml:space="preserve">(RNWF </w:t>
            </w:r>
            <w:r w:rsidRPr="003161DC">
              <w:rPr>
                <w:bCs/>
                <w:i/>
                <w:iCs/>
                <w:vertAlign w:val="subscript"/>
              </w:rPr>
              <w:t xml:space="preserve">y </w:t>
            </w:r>
            <w:r w:rsidRPr="003161DC">
              <w:rPr>
                <w:bCs/>
              </w:rPr>
              <w:t>* RTRDPA</w:t>
            </w:r>
            <w:r w:rsidRPr="003161DC">
              <w:rPr>
                <w:bCs/>
                <w:i/>
                <w:iCs/>
                <w:vertAlign w:val="subscript"/>
              </w:rPr>
              <w:t xml:space="preserve"> y</w:t>
            </w:r>
            <w:r w:rsidRPr="003161DC">
              <w:rPr>
                <w:bCs/>
              </w:rPr>
              <w:t xml:space="preserve">) </w:t>
            </w:r>
          </w:p>
          <w:p w14:paraId="3243F26C" w14:textId="1FD716F2" w:rsidR="003F739B" w:rsidRPr="003161DC" w:rsidRDefault="003F739B" w:rsidP="003F739B">
            <w:pPr>
              <w:spacing w:after="240"/>
              <w:ind w:left="720"/>
            </w:pPr>
            <w:r w:rsidRPr="003161DC">
              <w:t>RNWF</w:t>
            </w:r>
            <w:r w:rsidRPr="003161DC">
              <w:rPr>
                <w:i/>
                <w:vertAlign w:val="subscript"/>
              </w:rPr>
              <w:t xml:space="preserve"> 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position w:val="-22"/>
              </w:rPr>
              <w:object w:dxaOrig="225" w:dyaOrig="465" w14:anchorId="12812FC7">
                <v:shape id="_x0000_i1060" type="#_x0000_t75" style="width:30pt;height:30pt" o:ole="">
                  <v:imagedata r:id="rId22" o:title=""/>
                </v:shape>
                <o:OLEObject Type="Embed" ProgID="Equation.3" ShapeID="_x0000_i1060" DrawAspect="Content" ObjectID="_1804653545" r:id="rId59"/>
              </w:object>
            </w:r>
            <w:r w:rsidRPr="003161DC">
              <w:t xml:space="preserve">TLMP </w:t>
            </w:r>
            <w:r w:rsidRPr="003161DC">
              <w:rPr>
                <w:i/>
                <w:vertAlign w:val="subscript"/>
              </w:rPr>
              <w:t>y</w:t>
            </w:r>
          </w:p>
          <w:p w14:paraId="73B7F445" w14:textId="77777777" w:rsidR="003F739B" w:rsidRPr="003161DC" w:rsidRDefault="003F739B" w:rsidP="003F739B">
            <w:r w:rsidRPr="003161DC">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F739B" w:rsidRPr="003161DC" w14:paraId="16CB8FC5" w14:textId="77777777" w:rsidTr="00EC5231">
              <w:tc>
                <w:tcPr>
                  <w:tcW w:w="1264" w:type="dxa"/>
                </w:tcPr>
                <w:p w14:paraId="7322EF81" w14:textId="77777777" w:rsidR="003F739B" w:rsidRPr="003161DC" w:rsidRDefault="003F739B" w:rsidP="003F739B">
                  <w:pPr>
                    <w:spacing w:after="120"/>
                    <w:rPr>
                      <w:b/>
                      <w:iCs/>
                      <w:sz w:val="20"/>
                    </w:rPr>
                  </w:pPr>
                  <w:r w:rsidRPr="003161DC">
                    <w:rPr>
                      <w:b/>
                      <w:iCs/>
                      <w:sz w:val="20"/>
                    </w:rPr>
                    <w:t>Variable</w:t>
                  </w:r>
                </w:p>
              </w:tc>
              <w:tc>
                <w:tcPr>
                  <w:tcW w:w="899" w:type="dxa"/>
                </w:tcPr>
                <w:p w14:paraId="1E4B0C32" w14:textId="77777777" w:rsidR="003F739B" w:rsidRPr="003161DC" w:rsidRDefault="003F739B" w:rsidP="003F739B">
                  <w:pPr>
                    <w:spacing w:after="120"/>
                    <w:rPr>
                      <w:b/>
                      <w:iCs/>
                      <w:sz w:val="20"/>
                    </w:rPr>
                  </w:pPr>
                  <w:r w:rsidRPr="003161DC">
                    <w:rPr>
                      <w:b/>
                      <w:iCs/>
                      <w:sz w:val="20"/>
                    </w:rPr>
                    <w:t>Unit</w:t>
                  </w:r>
                </w:p>
              </w:tc>
              <w:tc>
                <w:tcPr>
                  <w:tcW w:w="7107" w:type="dxa"/>
                </w:tcPr>
                <w:p w14:paraId="401F9608" w14:textId="77777777" w:rsidR="003F739B" w:rsidRPr="003161DC" w:rsidRDefault="003F739B" w:rsidP="003F739B">
                  <w:pPr>
                    <w:spacing w:after="120"/>
                    <w:rPr>
                      <w:b/>
                      <w:iCs/>
                      <w:sz w:val="20"/>
                    </w:rPr>
                  </w:pPr>
                  <w:r w:rsidRPr="003161DC">
                    <w:rPr>
                      <w:b/>
                      <w:iCs/>
                      <w:sz w:val="20"/>
                    </w:rPr>
                    <w:t>Description</w:t>
                  </w:r>
                </w:p>
              </w:tc>
            </w:tr>
            <w:tr w:rsidR="003F739B" w:rsidRPr="003161DC" w14:paraId="7CCBCB5A" w14:textId="77777777" w:rsidTr="00EC5231">
              <w:tc>
                <w:tcPr>
                  <w:tcW w:w="1264" w:type="dxa"/>
                </w:tcPr>
                <w:p w14:paraId="1A572A65" w14:textId="77777777" w:rsidR="003F739B" w:rsidRPr="003161DC" w:rsidRDefault="003F739B" w:rsidP="003F739B">
                  <w:pPr>
                    <w:spacing w:after="60"/>
                    <w:rPr>
                      <w:iCs/>
                      <w:sz w:val="20"/>
                    </w:rPr>
                  </w:pPr>
                  <w:r w:rsidRPr="003161DC">
                    <w:rPr>
                      <w:iCs/>
                      <w:sz w:val="20"/>
                    </w:rPr>
                    <w:t>RTSPP</w:t>
                  </w:r>
                </w:p>
              </w:tc>
              <w:tc>
                <w:tcPr>
                  <w:tcW w:w="899" w:type="dxa"/>
                </w:tcPr>
                <w:p w14:paraId="1D023684" w14:textId="77777777" w:rsidR="003F739B" w:rsidRPr="003161DC" w:rsidRDefault="003F739B" w:rsidP="003F739B">
                  <w:pPr>
                    <w:spacing w:after="60"/>
                    <w:rPr>
                      <w:i/>
                      <w:iCs/>
                      <w:sz w:val="20"/>
                    </w:rPr>
                  </w:pPr>
                  <w:r w:rsidRPr="003161DC">
                    <w:rPr>
                      <w:iCs/>
                      <w:sz w:val="20"/>
                    </w:rPr>
                    <w:t>$/MWh</w:t>
                  </w:r>
                </w:p>
              </w:tc>
              <w:tc>
                <w:tcPr>
                  <w:tcW w:w="7107" w:type="dxa"/>
                </w:tcPr>
                <w:p w14:paraId="78F226EA"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33B45D4C" w14:textId="77777777" w:rsidTr="00EC5231">
              <w:tc>
                <w:tcPr>
                  <w:tcW w:w="1264" w:type="dxa"/>
                </w:tcPr>
                <w:p w14:paraId="31452EB6" w14:textId="77777777" w:rsidR="003F739B" w:rsidRPr="003161DC" w:rsidRDefault="003F739B" w:rsidP="003F739B">
                  <w:pPr>
                    <w:spacing w:after="60"/>
                    <w:rPr>
                      <w:iCs/>
                      <w:sz w:val="20"/>
                    </w:rPr>
                  </w:pPr>
                  <w:r w:rsidRPr="003161DC">
                    <w:rPr>
                      <w:iCs/>
                      <w:sz w:val="20"/>
                    </w:rPr>
                    <w:t>RTSPPEW</w:t>
                  </w:r>
                </w:p>
              </w:tc>
              <w:tc>
                <w:tcPr>
                  <w:tcW w:w="899" w:type="dxa"/>
                </w:tcPr>
                <w:p w14:paraId="461DCF10" w14:textId="77777777" w:rsidR="003F739B" w:rsidRPr="003161DC" w:rsidRDefault="003F739B" w:rsidP="003F739B">
                  <w:pPr>
                    <w:spacing w:after="60"/>
                    <w:rPr>
                      <w:iCs/>
                      <w:sz w:val="20"/>
                    </w:rPr>
                  </w:pPr>
                  <w:r w:rsidRPr="003161DC">
                    <w:rPr>
                      <w:iCs/>
                      <w:sz w:val="20"/>
                    </w:rPr>
                    <w:t>$/MWh</w:t>
                  </w:r>
                </w:p>
              </w:tc>
              <w:tc>
                <w:tcPr>
                  <w:tcW w:w="7107" w:type="dxa"/>
                </w:tcPr>
                <w:p w14:paraId="009D7594" w14:textId="77777777" w:rsidR="003F739B" w:rsidRPr="003161DC" w:rsidRDefault="003F739B" w:rsidP="003F739B">
                  <w:pPr>
                    <w:spacing w:after="60"/>
                    <w:rPr>
                      <w:i/>
                      <w:iCs/>
                      <w:sz w:val="20"/>
                    </w:rPr>
                  </w:pPr>
                  <w:r w:rsidRPr="003161DC">
                    <w:rPr>
                      <w:i/>
                      <w:iCs/>
                      <w:sz w:val="20"/>
                    </w:rPr>
                    <w:t>Real-Time Settlement Point Price Energy-Weighted</w:t>
                  </w:r>
                  <w:r w:rsidRPr="003161DC">
                    <w:rPr>
                      <w:iCs/>
                      <w:sz w:val="20"/>
                    </w:rPr>
                    <w:sym w:font="Symbol" w:char="F0BE"/>
                  </w:r>
                  <w:r w:rsidRPr="003161DC">
                    <w:rPr>
                      <w:iCs/>
                      <w:sz w:val="20"/>
                    </w:rPr>
                    <w:t xml:space="preserve">The Real-Time Settlement Point Price at the Settlement Point </w:t>
                  </w:r>
                  <w:r w:rsidRPr="003161DC">
                    <w:rPr>
                      <w:i/>
                      <w:iCs/>
                      <w:sz w:val="20"/>
                    </w:rPr>
                    <w:t>p</w:t>
                  </w:r>
                  <w:r w:rsidRPr="003161DC">
                    <w:rPr>
                      <w:iCs/>
                      <w:sz w:val="20"/>
                    </w:rPr>
                    <w:t xml:space="preserve">, for the 15-minute Settlement Interval that is </w:t>
                  </w:r>
                  <w:r w:rsidRPr="003161DC">
                    <w:rPr>
                      <w:iCs/>
                      <w:sz w:val="20"/>
                    </w:rPr>
                    <w:lastRenderedPageBreak/>
                    <w:t>weighted by the state-estimated Load of the Load Zone of each SCED interval within the 15-minute Settlement Interval.</w:t>
                  </w:r>
                </w:p>
              </w:tc>
            </w:tr>
            <w:tr w:rsidR="003F739B" w:rsidRPr="003161DC" w14:paraId="0AA06D2F" w14:textId="77777777" w:rsidTr="00EC5231">
              <w:tc>
                <w:tcPr>
                  <w:tcW w:w="1264" w:type="dxa"/>
                </w:tcPr>
                <w:p w14:paraId="296BFEBC" w14:textId="77777777" w:rsidR="003F739B" w:rsidRPr="003161DC" w:rsidRDefault="003F739B" w:rsidP="003F739B">
                  <w:pPr>
                    <w:spacing w:after="60"/>
                    <w:rPr>
                      <w:iCs/>
                      <w:sz w:val="20"/>
                    </w:rPr>
                  </w:pPr>
                  <w:r w:rsidRPr="003161DC">
                    <w:rPr>
                      <w:iCs/>
                      <w:sz w:val="20"/>
                    </w:rPr>
                    <w:lastRenderedPageBreak/>
                    <w:t xml:space="preserve">RTLMP </w:t>
                  </w:r>
                  <w:r w:rsidRPr="003161DC">
                    <w:rPr>
                      <w:i/>
                      <w:iCs/>
                      <w:sz w:val="20"/>
                      <w:vertAlign w:val="subscript"/>
                    </w:rPr>
                    <w:t>b, y</w:t>
                  </w:r>
                </w:p>
              </w:tc>
              <w:tc>
                <w:tcPr>
                  <w:tcW w:w="899" w:type="dxa"/>
                </w:tcPr>
                <w:p w14:paraId="2F183446" w14:textId="77777777" w:rsidR="003F739B" w:rsidRPr="003161DC" w:rsidRDefault="003F739B" w:rsidP="003F739B">
                  <w:pPr>
                    <w:spacing w:after="60"/>
                    <w:rPr>
                      <w:iCs/>
                      <w:sz w:val="20"/>
                    </w:rPr>
                  </w:pPr>
                  <w:r w:rsidRPr="003161DC">
                    <w:rPr>
                      <w:iCs/>
                      <w:sz w:val="20"/>
                    </w:rPr>
                    <w:t>$/MWh</w:t>
                  </w:r>
                </w:p>
              </w:tc>
              <w:tc>
                <w:tcPr>
                  <w:tcW w:w="7107" w:type="dxa"/>
                </w:tcPr>
                <w:p w14:paraId="4E9A2594" w14:textId="77777777" w:rsidR="003F739B" w:rsidRPr="003161DC" w:rsidRDefault="003F739B" w:rsidP="003F739B">
                  <w:pPr>
                    <w:spacing w:after="60"/>
                    <w:rPr>
                      <w:iCs/>
                      <w:sz w:val="20"/>
                    </w:rPr>
                  </w:pPr>
                  <w:r w:rsidRPr="003161DC">
                    <w:rPr>
                      <w:i/>
                      <w:iCs/>
                      <w:sz w:val="20"/>
                    </w:rPr>
                    <w:t>Real-Time Locational Marginal Price at bus per interval</w:t>
                  </w:r>
                  <w:r w:rsidRPr="003161DC">
                    <w:rPr>
                      <w:iCs/>
                      <w:sz w:val="20"/>
                    </w:rPr>
                    <w:sym w:font="Symbol" w:char="F0BE"/>
                  </w:r>
                  <w:r w:rsidRPr="003161DC">
                    <w:rPr>
                      <w:iCs/>
                      <w:sz w:val="20"/>
                    </w:rPr>
                    <w:t xml:space="preserve">The Real-Time LMP at Electrical Bus </w:t>
                  </w:r>
                  <w:r w:rsidRPr="003161DC">
                    <w:rPr>
                      <w:i/>
                      <w:iCs/>
                      <w:sz w:val="20"/>
                    </w:rPr>
                    <w:t>b</w:t>
                  </w:r>
                  <w:r w:rsidRPr="003161DC">
                    <w:rPr>
                      <w:iCs/>
                      <w:sz w:val="20"/>
                    </w:rPr>
                    <w:t xml:space="preserve"> in the Load Zone, for the SCED interval </w:t>
                  </w:r>
                  <w:r w:rsidRPr="003161DC">
                    <w:rPr>
                      <w:i/>
                      <w:iCs/>
                      <w:sz w:val="20"/>
                    </w:rPr>
                    <w:t>y</w:t>
                  </w:r>
                  <w:r w:rsidRPr="003161DC">
                    <w:rPr>
                      <w:iCs/>
                      <w:sz w:val="20"/>
                    </w:rPr>
                    <w:t>.</w:t>
                  </w:r>
                </w:p>
              </w:tc>
            </w:tr>
            <w:tr w:rsidR="003F739B" w:rsidRPr="003161DC" w14:paraId="1592FEB9" w14:textId="77777777" w:rsidTr="00EC5231">
              <w:tc>
                <w:tcPr>
                  <w:tcW w:w="1264" w:type="dxa"/>
                </w:tcPr>
                <w:p w14:paraId="478947BD" w14:textId="77777777" w:rsidR="003F739B" w:rsidRPr="003161DC" w:rsidRDefault="003F739B" w:rsidP="003F739B">
                  <w:pPr>
                    <w:spacing w:after="60"/>
                    <w:rPr>
                      <w:iCs/>
                      <w:sz w:val="20"/>
                    </w:rPr>
                  </w:pPr>
                  <w:r w:rsidRPr="003161DC">
                    <w:rPr>
                      <w:iCs/>
                      <w:sz w:val="20"/>
                    </w:rPr>
                    <w:t>RTRDP</w:t>
                  </w:r>
                </w:p>
              </w:tc>
              <w:tc>
                <w:tcPr>
                  <w:tcW w:w="899" w:type="dxa"/>
                </w:tcPr>
                <w:p w14:paraId="7892092E" w14:textId="77777777" w:rsidR="003F739B" w:rsidRPr="003161DC" w:rsidRDefault="003F739B" w:rsidP="003F739B">
                  <w:pPr>
                    <w:spacing w:after="60"/>
                    <w:rPr>
                      <w:iCs/>
                      <w:sz w:val="20"/>
                    </w:rPr>
                  </w:pPr>
                  <w:r w:rsidRPr="003161DC">
                    <w:rPr>
                      <w:iCs/>
                      <w:sz w:val="20"/>
                    </w:rPr>
                    <w:t>$/MWh</w:t>
                  </w:r>
                </w:p>
              </w:tc>
              <w:tc>
                <w:tcPr>
                  <w:tcW w:w="7107" w:type="dxa"/>
                </w:tcPr>
                <w:p w14:paraId="15771CA7" w14:textId="77777777" w:rsidR="003F739B" w:rsidRPr="003161DC" w:rsidRDefault="003F739B" w:rsidP="003F739B">
                  <w:pPr>
                    <w:spacing w:after="60"/>
                    <w:rPr>
                      <w:i/>
                      <w:iCs/>
                      <w:sz w:val="20"/>
                    </w:rPr>
                  </w:pPr>
                  <w:r w:rsidRPr="003161DC">
                    <w:rPr>
                      <w:i/>
                      <w:iCs/>
                      <w:sz w:val="20"/>
                    </w:rPr>
                    <w:t xml:space="preserve">Real-Time Reliability Deployment Price </w:t>
                  </w:r>
                  <w:r>
                    <w:rPr>
                      <w:i/>
                      <w:iCs/>
                      <w:sz w:val="20"/>
                    </w:rPr>
                    <w:t>for Energy</w:t>
                  </w:r>
                  <w:r w:rsidRPr="003161DC">
                    <w:rPr>
                      <w:iCs/>
                      <w:sz w:val="20"/>
                    </w:rPr>
                    <w:sym w:font="Symbol" w:char="F0BE"/>
                  </w:r>
                  <w:r w:rsidRPr="003161DC">
                    <w:rPr>
                      <w:iCs/>
                      <w:sz w:val="20"/>
                    </w:rPr>
                    <w:t xml:space="preserve">The Real-Time price for the 15-minute Settlement Interval, reflecting the impact of reliability deployments on energy prices that is calculated </w:t>
                  </w:r>
                  <w:r w:rsidRPr="003161DC">
                    <w:rPr>
                      <w:bCs/>
                      <w:iCs/>
                      <w:sz w:val="20"/>
                    </w:rPr>
                    <w:t>from the Real-</w:t>
                  </w:r>
                  <w:r>
                    <w:rPr>
                      <w:bCs/>
                      <w:iCs/>
                      <w:sz w:val="20"/>
                    </w:rPr>
                    <w:t>T</w:t>
                  </w:r>
                  <w:r w:rsidRPr="003161DC">
                    <w:rPr>
                      <w:bCs/>
                      <w:iCs/>
                      <w:sz w:val="20"/>
                    </w:rPr>
                    <w:t>ime Reliability Deployment Price Adder</w:t>
                  </w:r>
                  <w:r>
                    <w:rPr>
                      <w:bCs/>
                      <w:iCs/>
                      <w:sz w:val="20"/>
                    </w:rPr>
                    <w:t xml:space="preserve"> for Energy</w:t>
                  </w:r>
                  <w:r w:rsidRPr="003161DC">
                    <w:rPr>
                      <w:iCs/>
                      <w:sz w:val="20"/>
                    </w:rPr>
                    <w:t>.</w:t>
                  </w:r>
                </w:p>
              </w:tc>
            </w:tr>
            <w:tr w:rsidR="003F739B" w:rsidRPr="003161DC" w14:paraId="250F06F0" w14:textId="77777777" w:rsidTr="00EC5231">
              <w:tc>
                <w:tcPr>
                  <w:tcW w:w="1264" w:type="dxa"/>
                </w:tcPr>
                <w:p w14:paraId="4342C0B2"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899" w:type="dxa"/>
                </w:tcPr>
                <w:p w14:paraId="72E73D0F" w14:textId="77777777" w:rsidR="003F739B" w:rsidRPr="003161DC" w:rsidRDefault="003F739B" w:rsidP="003F739B">
                  <w:pPr>
                    <w:spacing w:after="60"/>
                    <w:rPr>
                      <w:iCs/>
                      <w:sz w:val="20"/>
                    </w:rPr>
                  </w:pPr>
                  <w:r w:rsidRPr="003161DC">
                    <w:rPr>
                      <w:iCs/>
                      <w:sz w:val="20"/>
                    </w:rPr>
                    <w:t>$/MWh</w:t>
                  </w:r>
                </w:p>
              </w:tc>
              <w:tc>
                <w:tcPr>
                  <w:tcW w:w="7107" w:type="dxa"/>
                </w:tcPr>
                <w:p w14:paraId="2C1E64D5" w14:textId="290DE9C3"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26802762" w14:textId="77777777" w:rsidTr="00EC5231">
              <w:tc>
                <w:tcPr>
                  <w:tcW w:w="1264" w:type="dxa"/>
                </w:tcPr>
                <w:p w14:paraId="4C89EA92"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899" w:type="dxa"/>
                </w:tcPr>
                <w:p w14:paraId="61F8C485" w14:textId="77777777" w:rsidR="003F739B" w:rsidRPr="003161DC" w:rsidRDefault="003F739B" w:rsidP="003F739B">
                  <w:pPr>
                    <w:spacing w:after="60"/>
                    <w:rPr>
                      <w:iCs/>
                      <w:sz w:val="20"/>
                    </w:rPr>
                  </w:pPr>
                  <w:r w:rsidRPr="003161DC">
                    <w:rPr>
                      <w:iCs/>
                      <w:sz w:val="20"/>
                    </w:rPr>
                    <w:t>none</w:t>
                  </w:r>
                </w:p>
              </w:tc>
              <w:tc>
                <w:tcPr>
                  <w:tcW w:w="7107" w:type="dxa"/>
                </w:tcPr>
                <w:p w14:paraId="1F980839" w14:textId="77777777" w:rsidR="003F739B" w:rsidRPr="003161DC" w:rsidRDefault="003F739B" w:rsidP="003F739B">
                  <w:pPr>
                    <w:spacing w:after="60"/>
                    <w:rPr>
                      <w:i/>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4DBDD9F9" w14:textId="77777777" w:rsidTr="00EC5231">
              <w:tc>
                <w:tcPr>
                  <w:tcW w:w="1264" w:type="dxa"/>
                </w:tcPr>
                <w:p w14:paraId="1D73A8AE" w14:textId="77777777" w:rsidR="003F739B" w:rsidRPr="003161DC" w:rsidRDefault="003F739B" w:rsidP="003F739B">
                  <w:pPr>
                    <w:spacing w:after="60"/>
                    <w:rPr>
                      <w:iCs/>
                      <w:sz w:val="20"/>
                    </w:rPr>
                  </w:pPr>
                  <w:r w:rsidRPr="003161DC">
                    <w:rPr>
                      <w:iCs/>
                      <w:sz w:val="20"/>
                    </w:rPr>
                    <w:t>LZWF</w:t>
                  </w:r>
                  <w:r w:rsidRPr="003161DC">
                    <w:rPr>
                      <w:i/>
                      <w:iCs/>
                      <w:sz w:val="20"/>
                      <w:vertAlign w:val="subscript"/>
                    </w:rPr>
                    <w:t xml:space="preserve"> b, y</w:t>
                  </w:r>
                </w:p>
              </w:tc>
              <w:tc>
                <w:tcPr>
                  <w:tcW w:w="899" w:type="dxa"/>
                </w:tcPr>
                <w:p w14:paraId="791AD906" w14:textId="77777777" w:rsidR="003F739B" w:rsidRPr="003161DC" w:rsidRDefault="003F739B" w:rsidP="003F739B">
                  <w:pPr>
                    <w:spacing w:after="60"/>
                    <w:rPr>
                      <w:iCs/>
                      <w:sz w:val="20"/>
                    </w:rPr>
                  </w:pPr>
                  <w:r w:rsidRPr="003161DC">
                    <w:rPr>
                      <w:iCs/>
                      <w:sz w:val="20"/>
                    </w:rPr>
                    <w:t>none</w:t>
                  </w:r>
                </w:p>
              </w:tc>
              <w:tc>
                <w:tcPr>
                  <w:tcW w:w="7107" w:type="dxa"/>
                </w:tcPr>
                <w:p w14:paraId="1604B5C4" w14:textId="77777777" w:rsidR="003F739B" w:rsidRPr="003161DC" w:rsidRDefault="003F739B" w:rsidP="003F739B">
                  <w:pPr>
                    <w:spacing w:after="60"/>
                    <w:rPr>
                      <w:i/>
                      <w:iCs/>
                      <w:sz w:val="20"/>
                    </w:rPr>
                  </w:pPr>
                  <w:r w:rsidRPr="003161DC">
                    <w:rPr>
                      <w:i/>
                      <w:iCs/>
                      <w:sz w:val="20"/>
                    </w:rPr>
                    <w:t>Load Zone Weighting Factor per bus per interval</w:t>
                  </w:r>
                  <w:r w:rsidRPr="003161DC">
                    <w:rPr>
                      <w:iCs/>
                      <w:sz w:val="20"/>
                    </w:rPr>
                    <w:sym w:font="Symbol" w:char="F0BE"/>
                  </w:r>
                  <w:r w:rsidRPr="003161DC">
                    <w:rPr>
                      <w:iCs/>
                      <w:sz w:val="20"/>
                    </w:rPr>
                    <w:t xml:space="preserve">The weight used in the Load Zone Settlement Point Price calculation for Electrical Bus </w:t>
                  </w:r>
                  <w:r w:rsidRPr="003161DC">
                    <w:rPr>
                      <w:i/>
                      <w:iCs/>
                      <w:sz w:val="20"/>
                    </w:rPr>
                    <w:t>b</w:t>
                  </w:r>
                  <w:r w:rsidRPr="003161DC">
                    <w:rPr>
                      <w:iCs/>
                      <w:sz w:val="20"/>
                    </w:rPr>
                    <w:t xml:space="preserve">, for the portion of the SCED interval </w:t>
                  </w:r>
                  <w:r w:rsidRPr="003161DC">
                    <w:rPr>
                      <w:i/>
                      <w:iCs/>
                      <w:sz w:val="20"/>
                    </w:rPr>
                    <w:t>y</w:t>
                  </w:r>
                  <w:r w:rsidRPr="003161DC">
                    <w:rPr>
                      <w:iCs/>
                      <w:sz w:val="20"/>
                    </w:rPr>
                    <w:t xml:space="preserve"> within the 15-minute Settlement Interval.</w:t>
                  </w:r>
                </w:p>
              </w:tc>
            </w:tr>
            <w:tr w:rsidR="003F739B" w:rsidRPr="003161DC" w14:paraId="41FFCCC0" w14:textId="77777777" w:rsidTr="00EC5231">
              <w:tc>
                <w:tcPr>
                  <w:tcW w:w="1264" w:type="dxa"/>
                </w:tcPr>
                <w:p w14:paraId="07600106" w14:textId="77777777" w:rsidR="003F739B" w:rsidRPr="003161DC" w:rsidRDefault="003F739B" w:rsidP="003F739B">
                  <w:pPr>
                    <w:spacing w:after="60"/>
                    <w:rPr>
                      <w:iCs/>
                      <w:sz w:val="20"/>
                    </w:rPr>
                  </w:pPr>
                  <w:r w:rsidRPr="003161DC">
                    <w:rPr>
                      <w:iCs/>
                      <w:sz w:val="20"/>
                    </w:rPr>
                    <w:t>LZLMP</w:t>
                  </w:r>
                  <w:r w:rsidRPr="003161DC">
                    <w:rPr>
                      <w:i/>
                      <w:iCs/>
                      <w:sz w:val="20"/>
                      <w:vertAlign w:val="subscript"/>
                      <w:lang w:val="es-MX"/>
                    </w:rPr>
                    <w:t xml:space="preserve"> y</w:t>
                  </w:r>
                </w:p>
              </w:tc>
              <w:tc>
                <w:tcPr>
                  <w:tcW w:w="899" w:type="dxa"/>
                </w:tcPr>
                <w:p w14:paraId="0913F54F" w14:textId="77777777" w:rsidR="003F739B" w:rsidRPr="003161DC" w:rsidRDefault="003F739B" w:rsidP="003F739B">
                  <w:pPr>
                    <w:spacing w:after="60"/>
                    <w:rPr>
                      <w:iCs/>
                      <w:sz w:val="20"/>
                    </w:rPr>
                  </w:pPr>
                  <w:r w:rsidRPr="003161DC">
                    <w:rPr>
                      <w:iCs/>
                      <w:sz w:val="20"/>
                    </w:rPr>
                    <w:t>$/MWh</w:t>
                  </w:r>
                </w:p>
              </w:tc>
              <w:tc>
                <w:tcPr>
                  <w:tcW w:w="7107" w:type="dxa"/>
                </w:tcPr>
                <w:p w14:paraId="5DB69F08" w14:textId="47984BA1" w:rsidR="003F739B" w:rsidRPr="003161DC" w:rsidRDefault="003F739B" w:rsidP="003F739B">
                  <w:pPr>
                    <w:spacing w:after="60"/>
                    <w:rPr>
                      <w:i/>
                      <w:iCs/>
                      <w:sz w:val="20"/>
                    </w:rPr>
                  </w:pPr>
                  <w:r w:rsidRPr="003161DC">
                    <w:rPr>
                      <w:i/>
                      <w:iCs/>
                      <w:sz w:val="20"/>
                    </w:rPr>
                    <w:t>Load Zone Locational Marginal Price</w:t>
                  </w:r>
                  <w:r w:rsidRPr="003161DC">
                    <w:rPr>
                      <w:iCs/>
                      <w:sz w:val="20"/>
                    </w:rPr>
                    <w:sym w:font="Symbol" w:char="F0BE"/>
                  </w:r>
                  <w:r w:rsidRPr="003161DC">
                    <w:rPr>
                      <w:iCs/>
                      <w:sz w:val="20"/>
                    </w:rPr>
                    <w:t xml:space="preserve">The Load Zone LMP for the Load Zone for the SCED </w:t>
                  </w:r>
                  <w:r w:rsidR="00235D03">
                    <w:rPr>
                      <w:iCs/>
                      <w:sz w:val="20"/>
                    </w:rPr>
                    <w:t>i</w:t>
                  </w:r>
                  <w:r w:rsidRPr="003161DC">
                    <w:rPr>
                      <w:iCs/>
                      <w:sz w:val="20"/>
                    </w:rPr>
                    <w:t xml:space="preserve">nterval </w:t>
                  </w:r>
                  <w:r w:rsidRPr="003161DC">
                    <w:rPr>
                      <w:i/>
                      <w:iCs/>
                      <w:sz w:val="20"/>
                    </w:rPr>
                    <w:t>y</w:t>
                  </w:r>
                  <w:r w:rsidRPr="003161DC">
                    <w:rPr>
                      <w:iCs/>
                      <w:sz w:val="20"/>
                    </w:rPr>
                    <w:t>.</w:t>
                  </w:r>
                </w:p>
              </w:tc>
            </w:tr>
            <w:tr w:rsidR="003F739B" w:rsidRPr="003161DC" w14:paraId="36971892" w14:textId="77777777" w:rsidTr="00EC5231">
              <w:tc>
                <w:tcPr>
                  <w:tcW w:w="1264" w:type="dxa"/>
                </w:tcPr>
                <w:p w14:paraId="0D5EA93C" w14:textId="77777777" w:rsidR="003F739B" w:rsidRPr="003161DC" w:rsidRDefault="003F739B" w:rsidP="003F739B">
                  <w:pPr>
                    <w:spacing w:after="60"/>
                    <w:rPr>
                      <w:iCs/>
                      <w:sz w:val="20"/>
                    </w:rPr>
                  </w:pPr>
                  <w:r w:rsidRPr="003161DC">
                    <w:rPr>
                      <w:iCs/>
                      <w:sz w:val="20"/>
                    </w:rPr>
                    <w:t xml:space="preserve">SEL </w:t>
                  </w:r>
                  <w:r w:rsidRPr="003161DC">
                    <w:rPr>
                      <w:i/>
                      <w:iCs/>
                      <w:sz w:val="20"/>
                      <w:vertAlign w:val="subscript"/>
                    </w:rPr>
                    <w:t>b, y</w:t>
                  </w:r>
                </w:p>
              </w:tc>
              <w:tc>
                <w:tcPr>
                  <w:tcW w:w="899" w:type="dxa"/>
                </w:tcPr>
                <w:p w14:paraId="038F2137" w14:textId="77777777" w:rsidR="003F739B" w:rsidRPr="003161DC" w:rsidRDefault="003F739B" w:rsidP="003F739B">
                  <w:pPr>
                    <w:spacing w:after="60"/>
                    <w:rPr>
                      <w:iCs/>
                      <w:sz w:val="20"/>
                    </w:rPr>
                  </w:pPr>
                  <w:r w:rsidRPr="003161DC">
                    <w:rPr>
                      <w:iCs/>
                      <w:sz w:val="20"/>
                    </w:rPr>
                    <w:t>MW</w:t>
                  </w:r>
                </w:p>
              </w:tc>
              <w:tc>
                <w:tcPr>
                  <w:tcW w:w="7107" w:type="dxa"/>
                </w:tcPr>
                <w:p w14:paraId="25011BE0" w14:textId="0662B8BE" w:rsidR="00EC50FF" w:rsidRPr="003161DC" w:rsidRDefault="00EC50FF" w:rsidP="003F739B">
                  <w:pPr>
                    <w:spacing w:after="60"/>
                    <w:rPr>
                      <w:iCs/>
                      <w:sz w:val="20"/>
                    </w:rPr>
                  </w:pPr>
                  <w:r w:rsidRPr="00EC50FF">
                    <w:rPr>
                      <w:i/>
                      <w:sz w:val="20"/>
                      <w:szCs w:val="24"/>
                    </w:rPr>
                    <w:t>State Estimator Load at bus per interval</w:t>
                  </w:r>
                  <w:r w:rsidRPr="00EC50FF">
                    <w:rPr>
                      <w:sz w:val="20"/>
                      <w:szCs w:val="24"/>
                    </w:rPr>
                    <w:sym w:font="Symbol" w:char="F0BE"/>
                  </w:r>
                  <w:r w:rsidRPr="00EC50FF">
                    <w:rPr>
                      <w:sz w:val="20"/>
                      <w:szCs w:val="24"/>
                    </w:rPr>
                    <w:t>The Load value from State Estimator, including a calculated net Load value at each Private Use Network and adjustments to account for Distribution Generation Resource (DGR) and Distribution Energy Storage Resource (DESR) injections and withdrawals that are settled at a Resource Node, excluding</w:t>
                  </w:r>
                  <w:r w:rsidR="009F7A6D" w:rsidRPr="00812ECB">
                    <w:rPr>
                      <w:iCs/>
                      <w:sz w:val="20"/>
                    </w:rPr>
                    <w:t xml:space="preserve"> Controllable Load Resource (CLR) Load that is not an </w:t>
                  </w:r>
                  <w:r w:rsidR="008637F7">
                    <w:rPr>
                      <w:iCs/>
                      <w:sz w:val="20"/>
                    </w:rPr>
                    <w:t>Aggregate Load Resource (</w:t>
                  </w:r>
                  <w:r w:rsidR="009F7A6D" w:rsidRPr="00812ECB">
                    <w:rPr>
                      <w:iCs/>
                      <w:sz w:val="20"/>
                    </w:rPr>
                    <w:t>ALR</w:t>
                  </w:r>
                  <w:r w:rsidR="008637F7">
                    <w:rPr>
                      <w:iCs/>
                      <w:sz w:val="20"/>
                    </w:rPr>
                    <w:t>)</w:t>
                  </w:r>
                  <w:r w:rsidR="009F7A6D" w:rsidRPr="00812ECB">
                    <w:rPr>
                      <w:iCs/>
                      <w:sz w:val="20"/>
                    </w:rPr>
                    <w:t>,</w:t>
                  </w:r>
                  <w:r w:rsidRPr="00EC50FF">
                    <w:rPr>
                      <w:sz w:val="20"/>
                      <w:szCs w:val="24"/>
                    </w:rPr>
                    <w:t xml:space="preserve"> Wholesale Storage Load (WSL) </w:t>
                  </w:r>
                  <w:r w:rsidRPr="00EC50FF">
                    <w:rPr>
                      <w:sz w:val="20"/>
                    </w:rPr>
                    <w:t xml:space="preserve">and Non-WSL </w:t>
                  </w:r>
                  <w:r w:rsidR="00235D03">
                    <w:rPr>
                      <w:sz w:val="20"/>
                    </w:rPr>
                    <w:t>Energy Storage Resource (</w:t>
                  </w:r>
                  <w:r w:rsidRPr="00EC50FF">
                    <w:rPr>
                      <w:sz w:val="20"/>
                    </w:rPr>
                    <w:t>ESR</w:t>
                  </w:r>
                  <w:r w:rsidR="00235D03">
                    <w:rPr>
                      <w:sz w:val="20"/>
                    </w:rPr>
                    <w:t>)</w:t>
                  </w:r>
                  <w:r w:rsidRPr="00EC50FF">
                    <w:rPr>
                      <w:sz w:val="20"/>
                    </w:rPr>
                    <w:t xml:space="preserve"> Charging Load, </w:t>
                  </w:r>
                  <w:r w:rsidRPr="00EC50FF">
                    <w:rPr>
                      <w:sz w:val="20"/>
                      <w:szCs w:val="24"/>
                    </w:rPr>
                    <w:t xml:space="preserve">for Electrical Bus </w:t>
                  </w:r>
                  <w:r w:rsidRPr="00EC50FF">
                    <w:rPr>
                      <w:i/>
                      <w:sz w:val="20"/>
                      <w:szCs w:val="24"/>
                    </w:rPr>
                    <w:t>b</w:t>
                  </w:r>
                  <w:r w:rsidRPr="00EC50FF">
                    <w:rPr>
                      <w:sz w:val="20"/>
                      <w:szCs w:val="24"/>
                    </w:rPr>
                    <w:t xml:space="preserve"> in the Load Zone, for the SCED interval </w:t>
                  </w:r>
                  <w:r w:rsidRPr="00EC50FF">
                    <w:rPr>
                      <w:i/>
                      <w:sz w:val="20"/>
                      <w:szCs w:val="24"/>
                    </w:rPr>
                    <w:t>y</w:t>
                  </w:r>
                  <w:r w:rsidRPr="00EC50FF">
                    <w:rPr>
                      <w:sz w:val="20"/>
                      <w:szCs w:val="24"/>
                    </w:rPr>
                    <w:t>.</w:t>
                  </w:r>
                </w:p>
              </w:tc>
            </w:tr>
            <w:tr w:rsidR="003F739B" w:rsidRPr="003161DC" w14:paraId="747D39FE" w14:textId="77777777" w:rsidTr="00EC5231">
              <w:tc>
                <w:tcPr>
                  <w:tcW w:w="1264" w:type="dxa"/>
                </w:tcPr>
                <w:p w14:paraId="5D967BB8"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899" w:type="dxa"/>
                </w:tcPr>
                <w:p w14:paraId="71152426" w14:textId="77777777" w:rsidR="003F739B" w:rsidRPr="003161DC" w:rsidRDefault="003F739B" w:rsidP="003F739B">
                  <w:pPr>
                    <w:spacing w:after="60"/>
                    <w:rPr>
                      <w:sz w:val="20"/>
                    </w:rPr>
                  </w:pPr>
                  <w:r w:rsidRPr="003161DC">
                    <w:rPr>
                      <w:iCs/>
                      <w:sz w:val="20"/>
                    </w:rPr>
                    <w:t>second</w:t>
                  </w:r>
                </w:p>
              </w:tc>
              <w:tc>
                <w:tcPr>
                  <w:tcW w:w="7107" w:type="dxa"/>
                </w:tcPr>
                <w:p w14:paraId="5318ABA2" w14:textId="77777777" w:rsidR="003F739B" w:rsidRPr="003161DC" w:rsidRDefault="003F739B" w:rsidP="003F739B">
                  <w:pPr>
                    <w:spacing w:after="60"/>
                    <w:rPr>
                      <w:iCs/>
                      <w:sz w:val="20"/>
                    </w:rPr>
                  </w:pPr>
                  <w:r w:rsidRPr="003161DC">
                    <w:rPr>
                      <w:i/>
                      <w:sz w:val="20"/>
                    </w:rPr>
                    <w:t xml:space="preserve">Duration of </w:t>
                  </w:r>
                  <w:r w:rsidRPr="003161DC">
                    <w:rPr>
                      <w:i/>
                      <w:iCs/>
                      <w:sz w:val="20"/>
                    </w:rPr>
                    <w:t>SCED</w:t>
                  </w:r>
                  <w:r w:rsidRPr="003161DC">
                    <w:rPr>
                      <w:i/>
                      <w:sz w:val="20"/>
                    </w:rPr>
                    <w:t xml:space="preserve">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iCs/>
                      <w:sz w:val="20"/>
                    </w:rPr>
                    <w:t xml:space="preserve"> within the Settlement Interval.</w:t>
                  </w:r>
                </w:p>
              </w:tc>
            </w:tr>
            <w:tr w:rsidR="003F739B" w:rsidRPr="003161DC" w14:paraId="6AA27FEF" w14:textId="77777777" w:rsidTr="00EC5231">
              <w:tc>
                <w:tcPr>
                  <w:tcW w:w="1264" w:type="dxa"/>
                </w:tcPr>
                <w:p w14:paraId="0326C4CE" w14:textId="77777777" w:rsidR="003F739B" w:rsidRPr="003161DC" w:rsidRDefault="003F739B" w:rsidP="003F739B">
                  <w:pPr>
                    <w:spacing w:after="60"/>
                    <w:rPr>
                      <w:i/>
                      <w:iCs/>
                      <w:sz w:val="20"/>
                    </w:rPr>
                  </w:pPr>
                  <w:r w:rsidRPr="003161DC">
                    <w:rPr>
                      <w:i/>
                      <w:iCs/>
                      <w:sz w:val="20"/>
                    </w:rPr>
                    <w:t>y</w:t>
                  </w:r>
                </w:p>
              </w:tc>
              <w:tc>
                <w:tcPr>
                  <w:tcW w:w="899" w:type="dxa"/>
                </w:tcPr>
                <w:p w14:paraId="0158CC4F" w14:textId="77777777" w:rsidR="003F739B" w:rsidRPr="003161DC" w:rsidRDefault="003F739B" w:rsidP="003F739B">
                  <w:pPr>
                    <w:spacing w:after="60"/>
                    <w:rPr>
                      <w:iCs/>
                      <w:sz w:val="20"/>
                    </w:rPr>
                  </w:pPr>
                  <w:r w:rsidRPr="003161DC">
                    <w:rPr>
                      <w:iCs/>
                      <w:sz w:val="20"/>
                    </w:rPr>
                    <w:t>none</w:t>
                  </w:r>
                </w:p>
              </w:tc>
              <w:tc>
                <w:tcPr>
                  <w:tcW w:w="7107" w:type="dxa"/>
                </w:tcPr>
                <w:p w14:paraId="46A2B264" w14:textId="77777777" w:rsidR="003F739B" w:rsidRPr="003161DC" w:rsidRDefault="003F739B" w:rsidP="003F739B">
                  <w:pPr>
                    <w:spacing w:after="60"/>
                    <w:rPr>
                      <w:iCs/>
                      <w:sz w:val="20"/>
                    </w:rPr>
                  </w:pPr>
                  <w:r w:rsidRPr="003161DC">
                    <w:rPr>
                      <w:iCs/>
                      <w:sz w:val="20"/>
                    </w:rPr>
                    <w:t>A SCED interval in the 15-minute Settlement Interval.  The summation is over the total number of SCED runs that cover the 15-minute Settlement Interval.</w:t>
                  </w:r>
                </w:p>
              </w:tc>
            </w:tr>
            <w:tr w:rsidR="003F739B" w:rsidRPr="003161DC" w14:paraId="3DEC4D0C" w14:textId="77777777" w:rsidTr="00EC5231">
              <w:tc>
                <w:tcPr>
                  <w:tcW w:w="1264" w:type="dxa"/>
                </w:tcPr>
                <w:p w14:paraId="7712EA35" w14:textId="77777777" w:rsidR="003F739B" w:rsidRPr="003161DC" w:rsidRDefault="003F739B" w:rsidP="003F739B">
                  <w:pPr>
                    <w:spacing w:after="60"/>
                    <w:rPr>
                      <w:i/>
                      <w:iCs/>
                      <w:sz w:val="20"/>
                    </w:rPr>
                  </w:pPr>
                  <w:r w:rsidRPr="003161DC">
                    <w:rPr>
                      <w:i/>
                      <w:iCs/>
                      <w:sz w:val="20"/>
                    </w:rPr>
                    <w:t>b</w:t>
                  </w:r>
                </w:p>
              </w:tc>
              <w:tc>
                <w:tcPr>
                  <w:tcW w:w="899" w:type="dxa"/>
                </w:tcPr>
                <w:p w14:paraId="2BAFF328" w14:textId="77777777" w:rsidR="003F739B" w:rsidRPr="003161DC" w:rsidRDefault="003F739B" w:rsidP="003F739B">
                  <w:pPr>
                    <w:spacing w:after="60"/>
                    <w:rPr>
                      <w:iCs/>
                      <w:sz w:val="20"/>
                    </w:rPr>
                  </w:pPr>
                  <w:r w:rsidRPr="003161DC">
                    <w:rPr>
                      <w:iCs/>
                      <w:sz w:val="20"/>
                    </w:rPr>
                    <w:t>none</w:t>
                  </w:r>
                </w:p>
              </w:tc>
              <w:tc>
                <w:tcPr>
                  <w:tcW w:w="7107" w:type="dxa"/>
                </w:tcPr>
                <w:p w14:paraId="181021C5" w14:textId="77777777" w:rsidR="003F739B" w:rsidRPr="003161DC" w:rsidRDefault="003F739B" w:rsidP="003F739B">
                  <w:pPr>
                    <w:spacing w:after="60"/>
                    <w:rPr>
                      <w:iCs/>
                      <w:sz w:val="20"/>
                    </w:rPr>
                  </w:pPr>
                  <w:r w:rsidRPr="003161DC">
                    <w:rPr>
                      <w:iCs/>
                      <w:sz w:val="20"/>
                    </w:rPr>
                    <w:t>An Electrical Bus in the Load Zone.  The summation is over all of the Electrical Buses in the Load Zone.</w:t>
                  </w:r>
                </w:p>
              </w:tc>
            </w:tr>
          </w:tbl>
          <w:p w14:paraId="550FCA69" w14:textId="435615F2" w:rsidR="003F739B" w:rsidRPr="003F739B" w:rsidRDefault="003F739B" w:rsidP="00EC5231">
            <w:pPr>
              <w:tabs>
                <w:tab w:val="left" w:pos="2160"/>
                <w:tab w:val="left" w:pos="2880"/>
              </w:tabs>
              <w:spacing w:after="240"/>
              <w:ind w:leftChars="300" w:left="2880" w:hangingChars="900" w:hanging="2160"/>
              <w:rPr>
                <w:bCs/>
                <w:lang w:val="es-MX"/>
              </w:rPr>
            </w:pPr>
          </w:p>
        </w:tc>
      </w:tr>
    </w:tbl>
    <w:p w14:paraId="7719E89F" w14:textId="6C703255" w:rsidR="001F04FD" w:rsidRDefault="001F04FD" w:rsidP="001F04FD">
      <w:pPr>
        <w:pStyle w:val="H4"/>
        <w:spacing w:before="480"/>
        <w:ind w:left="1267" w:hanging="1267"/>
      </w:pPr>
      <w:bookmarkStart w:id="1706" w:name="_Toc189044396"/>
      <w:r>
        <w:lastRenderedPageBreak/>
        <w:t>6.6.1.3</w:t>
      </w:r>
      <w:r>
        <w:tab/>
        <w:t>Real-Time Settlement Point Price for a Hub</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6"/>
    </w:p>
    <w:p w14:paraId="37FE2601" w14:textId="71B27BC6" w:rsidR="001F04FD" w:rsidRDefault="001F04FD" w:rsidP="001F04FD">
      <w:pPr>
        <w:pStyle w:val="BodyText"/>
        <w:ind w:left="720" w:hanging="720"/>
      </w:pPr>
      <w:r>
        <w:t>(1)</w:t>
      </w:r>
      <w:r>
        <w:tab/>
        <w:t>The Real-Time S</w:t>
      </w:r>
      <w:r w:rsidR="00082248">
        <w:t xml:space="preserve">ettlement </w:t>
      </w:r>
      <w:r>
        <w:t>P</w:t>
      </w:r>
      <w:r w:rsidR="00082248">
        <w:t xml:space="preserve">oint </w:t>
      </w:r>
      <w:r>
        <w:t>P</w:t>
      </w:r>
      <w:r w:rsidR="00082248">
        <w:t>rice</w:t>
      </w:r>
      <w:r>
        <w:t xml:space="preserve"> at a Hub is determined according to the methodology included in the definition of that Hub in Section 3.5.2, Hub Definitions.</w:t>
      </w:r>
    </w:p>
    <w:p w14:paraId="2C04D326" w14:textId="77777777" w:rsidR="001F04FD" w:rsidRDefault="001F04FD" w:rsidP="001F04FD">
      <w:pPr>
        <w:pStyle w:val="H4"/>
      </w:pPr>
      <w:bookmarkStart w:id="1707" w:name="_Toc397505006"/>
      <w:bookmarkStart w:id="1708" w:name="_Toc402357134"/>
      <w:bookmarkStart w:id="1709" w:name="_Toc422486512"/>
      <w:bookmarkStart w:id="1710" w:name="_Toc433093364"/>
      <w:bookmarkStart w:id="1711" w:name="_Toc433093522"/>
      <w:bookmarkStart w:id="1712" w:name="_Toc440874750"/>
      <w:bookmarkStart w:id="1713" w:name="_Toc448142305"/>
      <w:bookmarkStart w:id="1714" w:name="_Toc448142462"/>
      <w:bookmarkStart w:id="1715" w:name="_Toc458770299"/>
      <w:bookmarkStart w:id="1716" w:name="_Toc459294267"/>
      <w:bookmarkStart w:id="1717" w:name="_Toc463262760"/>
      <w:bookmarkStart w:id="1718" w:name="_Toc468286833"/>
      <w:bookmarkStart w:id="1719" w:name="_Toc481502879"/>
      <w:bookmarkStart w:id="1720" w:name="_Toc496080047"/>
      <w:bookmarkStart w:id="1721" w:name="_Toc189044397"/>
      <w:r>
        <w:t>6.6.1.4</w:t>
      </w:r>
      <w:r>
        <w:tab/>
        <w:t>Load Zone LMPs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50252A07" w14:textId="389A3A01" w:rsidR="001F04FD" w:rsidRDefault="001F04FD" w:rsidP="001F04FD">
      <w:pPr>
        <w:pStyle w:val="BodyText"/>
        <w:ind w:left="720" w:hanging="720"/>
      </w:pPr>
      <w:r>
        <w:t>(1)</w:t>
      </w:r>
      <w:r>
        <w:tab/>
        <w:t xml:space="preserve">The Load Zone LMPs shall be posted on the </w:t>
      </w:r>
      <w:r w:rsidR="0007207E">
        <w:t>ERCOT website</w:t>
      </w:r>
      <w:r>
        <w:t xml:space="preserve">.  The Load Zone LMP is based on the state-estimated Loads in MW and the Real-Time LMPs at the Electrical Buses included in the Load Zone.  The Load Zone LMP for a Load Zone for a SCED </w:t>
      </w:r>
      <w:r w:rsidR="00235D03">
        <w:t>i</w:t>
      </w:r>
      <w:r>
        <w:t>nterval is calculated as follows:</w:t>
      </w:r>
    </w:p>
    <w:p w14:paraId="3CCA247C" w14:textId="77777777" w:rsidR="001F04FD" w:rsidRDefault="001F04FD" w:rsidP="001F04FD">
      <w:pPr>
        <w:pStyle w:val="FormulaBold"/>
        <w:rPr>
          <w:lang w:val="es-MX"/>
        </w:rPr>
      </w:pPr>
      <w:r>
        <w:rPr>
          <w:lang w:val="es-MX"/>
        </w:rPr>
        <w:t>LZLMP</w:t>
      </w:r>
      <w:r>
        <w:rPr>
          <w:i/>
          <w:vertAlign w:val="subscript"/>
          <w:lang w:val="es-MX"/>
        </w:rPr>
        <w:t xml:space="preserve"> y</w:t>
      </w:r>
      <w:r>
        <w:rPr>
          <w:lang w:val="es-MX"/>
        </w:rPr>
        <w:tab/>
        <w:t>=</w:t>
      </w:r>
      <w:r>
        <w:rPr>
          <w:lang w:val="es-MX"/>
        </w:rPr>
        <w:tab/>
      </w:r>
      <w:r w:rsidRPr="00160702">
        <w:rPr>
          <w:position w:val="-20"/>
        </w:rPr>
        <w:object w:dxaOrig="225" w:dyaOrig="435" w14:anchorId="3C7B9194">
          <v:shape id="_x0000_i1061" type="#_x0000_t75" style="width:12pt;height:18pt" o:ole="">
            <v:imagedata r:id="rId44" o:title=""/>
          </v:shape>
          <o:OLEObject Type="Embed" ProgID="Equation.3" ShapeID="_x0000_i1061" DrawAspect="Content" ObjectID="_1804653546" r:id="rId60"/>
        </w:object>
      </w:r>
      <w:r>
        <w:rPr>
          <w:lang w:val="es-MX"/>
        </w:rPr>
        <w:t xml:space="preserve"> (RTLMP</w:t>
      </w:r>
      <w:r>
        <w:rPr>
          <w:vertAlign w:val="subscript"/>
          <w:lang w:val="es-MX"/>
        </w:rPr>
        <w:t xml:space="preserve"> </w:t>
      </w:r>
      <w:r>
        <w:rPr>
          <w:i/>
          <w:vertAlign w:val="subscript"/>
          <w:lang w:val="es-MX"/>
        </w:rPr>
        <w:t>b, y</w:t>
      </w:r>
      <w:r>
        <w:rPr>
          <w:lang w:val="es-MX"/>
        </w:rPr>
        <w:t xml:space="preserve"> * LZWF</w:t>
      </w:r>
      <w:r>
        <w:rPr>
          <w:i/>
          <w:vertAlign w:val="subscript"/>
          <w:lang w:val="es-MX"/>
        </w:rPr>
        <w:t xml:space="preserve"> b, y</w:t>
      </w:r>
      <w:r>
        <w:rPr>
          <w:lang w:val="es-MX"/>
        </w:rPr>
        <w:t>)</w:t>
      </w:r>
    </w:p>
    <w:p w14:paraId="31E69000" w14:textId="77777777" w:rsidR="001F04FD" w:rsidRDefault="001F04FD" w:rsidP="001F04FD">
      <w:pPr>
        <w:pStyle w:val="BodyText"/>
      </w:pPr>
      <w:r>
        <w:lastRenderedPageBreak/>
        <w:t xml:space="preserve">For all Load Zones except DC Tie Load Zones: </w:t>
      </w:r>
    </w:p>
    <w:p w14:paraId="752F1980"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w:t>
      </w:r>
      <w:r>
        <w:rPr>
          <w:b w:val="0"/>
          <w:sz w:val="32"/>
          <w:szCs w:val="32"/>
          <w:lang w:val="es-MX"/>
        </w:rPr>
        <w:t>/</w:t>
      </w:r>
      <w:r>
        <w:rPr>
          <w:lang w:val="es-MX"/>
        </w:rPr>
        <w:t xml:space="preserve"> (</w:t>
      </w:r>
      <w:r w:rsidRPr="00160702">
        <w:rPr>
          <w:position w:val="-20"/>
        </w:rPr>
        <w:object w:dxaOrig="225" w:dyaOrig="435" w14:anchorId="6B8CB4C1">
          <v:shape id="_x0000_i1062" type="#_x0000_t75" style="width:12pt;height:18pt" o:ole="">
            <v:imagedata r:id="rId32" o:title=""/>
          </v:shape>
          <o:OLEObject Type="Embed" ProgID="Equation.3" ShapeID="_x0000_i1062" DrawAspect="Content" ObjectID="_1804653547" r:id="rId61"/>
        </w:object>
      </w:r>
      <w:r>
        <w:rPr>
          <w:lang w:val="es-MX"/>
        </w:rPr>
        <w:t>SEL</w:t>
      </w:r>
      <w:r>
        <w:rPr>
          <w:vertAlign w:val="subscript"/>
          <w:lang w:val="es-MX"/>
        </w:rPr>
        <w:t xml:space="preserve"> </w:t>
      </w:r>
      <w:r>
        <w:rPr>
          <w:i/>
          <w:vertAlign w:val="subscript"/>
          <w:lang w:val="es-MX"/>
        </w:rPr>
        <w:t>b, y</w:t>
      </w:r>
      <w:r>
        <w:rPr>
          <w:lang w:val="es-MX"/>
        </w:rPr>
        <w:t>)</w:t>
      </w:r>
    </w:p>
    <w:p w14:paraId="2AF24AF9" w14:textId="77777777" w:rsidR="001F04FD" w:rsidRDefault="001F04FD" w:rsidP="001F04FD">
      <w:pPr>
        <w:pStyle w:val="BodyText"/>
      </w:pPr>
      <w:r>
        <w:t>For a DC Tie Load Zone:</w:t>
      </w:r>
    </w:p>
    <w:p w14:paraId="2C32F585"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[Max (0.001, SEL</w:t>
      </w:r>
      <w:r>
        <w:rPr>
          <w:vertAlign w:val="subscript"/>
          <w:lang w:val="es-MX"/>
        </w:rPr>
        <w:t xml:space="preserve"> b, y</w:t>
      </w:r>
      <w:r>
        <w:rPr>
          <w:lang w:val="es-MX"/>
        </w:rPr>
        <w:t xml:space="preserve">)]  </w:t>
      </w:r>
      <w:r>
        <w:rPr>
          <w:sz w:val="32"/>
          <w:szCs w:val="32"/>
          <w:lang w:val="es-MX"/>
        </w:rPr>
        <w:t>/</w:t>
      </w:r>
      <w:r>
        <w:rPr>
          <w:lang w:val="es-MX"/>
        </w:rPr>
        <w:t xml:space="preserve">  [Max (0.001, SEL</w:t>
      </w:r>
      <w:r>
        <w:rPr>
          <w:vertAlign w:val="subscript"/>
          <w:lang w:val="es-MX"/>
        </w:rPr>
        <w:t xml:space="preserve"> b, y</w:t>
      </w:r>
      <w:r>
        <w:rPr>
          <w:lang w:val="es-MX"/>
        </w:rPr>
        <w:t>)]</w:t>
      </w:r>
    </w:p>
    <w:p w14:paraId="3A01B899"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95"/>
        <w:gridCol w:w="900"/>
        <w:gridCol w:w="7175"/>
      </w:tblGrid>
      <w:tr w:rsidR="001F04FD" w14:paraId="73DEB3CE" w14:textId="77777777" w:rsidTr="00AC4DEE">
        <w:tc>
          <w:tcPr>
            <w:tcW w:w="1195" w:type="dxa"/>
          </w:tcPr>
          <w:p w14:paraId="6F1391C8" w14:textId="77777777" w:rsidR="001F04FD" w:rsidRDefault="001F04FD" w:rsidP="00AC4DEE">
            <w:pPr>
              <w:pStyle w:val="TableHead"/>
            </w:pPr>
            <w:r>
              <w:t>Variable</w:t>
            </w:r>
          </w:p>
        </w:tc>
        <w:tc>
          <w:tcPr>
            <w:tcW w:w="900" w:type="dxa"/>
          </w:tcPr>
          <w:p w14:paraId="5CCC9B71" w14:textId="77777777" w:rsidR="001F04FD" w:rsidRDefault="001F04FD" w:rsidP="00AC4DEE">
            <w:pPr>
              <w:pStyle w:val="TableHead"/>
            </w:pPr>
            <w:r>
              <w:t>Unit</w:t>
            </w:r>
          </w:p>
        </w:tc>
        <w:tc>
          <w:tcPr>
            <w:tcW w:w="7175" w:type="dxa"/>
          </w:tcPr>
          <w:p w14:paraId="30742C92" w14:textId="77777777" w:rsidR="001F04FD" w:rsidRDefault="001F04FD" w:rsidP="00AC4DEE">
            <w:pPr>
              <w:pStyle w:val="TableHead"/>
            </w:pPr>
            <w:r>
              <w:t>Description</w:t>
            </w:r>
          </w:p>
        </w:tc>
      </w:tr>
      <w:tr w:rsidR="001F04FD" w14:paraId="17E00F27" w14:textId="77777777" w:rsidTr="00AC4DEE">
        <w:tc>
          <w:tcPr>
            <w:tcW w:w="1195" w:type="dxa"/>
          </w:tcPr>
          <w:p w14:paraId="41A4CCB6"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900" w:type="dxa"/>
          </w:tcPr>
          <w:p w14:paraId="6A4E4B17" w14:textId="77777777" w:rsidR="001F04FD" w:rsidRDefault="001F04FD" w:rsidP="00AC4DEE">
            <w:pPr>
              <w:pStyle w:val="TableBody"/>
              <w:rPr>
                <w:i/>
              </w:rPr>
            </w:pPr>
            <w:r>
              <w:t>$/MWh</w:t>
            </w:r>
          </w:p>
        </w:tc>
        <w:tc>
          <w:tcPr>
            <w:tcW w:w="7175" w:type="dxa"/>
          </w:tcPr>
          <w:p w14:paraId="58A39D8D" w14:textId="0FAFFC07" w:rsidR="001F04FD" w:rsidRDefault="001F04FD" w:rsidP="00AC4DEE">
            <w:pPr>
              <w:pStyle w:val="TableBody"/>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1ED69260" w14:textId="77777777" w:rsidTr="00AC4DEE">
        <w:tc>
          <w:tcPr>
            <w:tcW w:w="1195" w:type="dxa"/>
          </w:tcPr>
          <w:p w14:paraId="09B21859" w14:textId="77777777" w:rsidR="001F04FD" w:rsidRDefault="001F04FD" w:rsidP="00AC4DEE">
            <w:pPr>
              <w:pStyle w:val="TableBody"/>
            </w:pPr>
            <w:r>
              <w:t xml:space="preserve">RTLMP </w:t>
            </w:r>
            <w:r w:rsidRPr="00107CC2">
              <w:rPr>
                <w:i/>
                <w:vertAlign w:val="subscript"/>
              </w:rPr>
              <w:t>b, y</w:t>
            </w:r>
          </w:p>
        </w:tc>
        <w:tc>
          <w:tcPr>
            <w:tcW w:w="900" w:type="dxa"/>
          </w:tcPr>
          <w:p w14:paraId="105CC542" w14:textId="77777777" w:rsidR="001F04FD" w:rsidRDefault="001F04FD" w:rsidP="00AC4DEE">
            <w:pPr>
              <w:pStyle w:val="TableBody"/>
            </w:pPr>
            <w:r>
              <w:t>$/MWh</w:t>
            </w:r>
          </w:p>
        </w:tc>
        <w:tc>
          <w:tcPr>
            <w:tcW w:w="7175" w:type="dxa"/>
          </w:tcPr>
          <w:p w14:paraId="52082DEC" w14:textId="168B8C9C" w:rsidR="001F04FD" w:rsidRDefault="001F04FD" w:rsidP="00AC4DEE">
            <w:pPr>
              <w:pStyle w:val="TableBody"/>
            </w:pPr>
            <w:r>
              <w:rPr>
                <w:i/>
              </w:rPr>
              <w:t>Real-Time Locational Marginal Price at bus per SCED interval</w:t>
            </w:r>
            <w:r>
              <w:sym w:font="Symbol" w:char="F0BE"/>
            </w:r>
            <w:r>
              <w:t xml:space="preserve">The Real-Time LMP at Electrical Bus </w:t>
            </w:r>
            <w:r>
              <w:rPr>
                <w:i/>
              </w:rPr>
              <w:t>b</w:t>
            </w:r>
            <w:r>
              <w:t xml:space="preserve"> in the Load Zone, for the SCED interval </w:t>
            </w:r>
            <w:r>
              <w:rPr>
                <w:i/>
              </w:rPr>
              <w:t>y</w:t>
            </w:r>
            <w:r>
              <w:t>.</w:t>
            </w:r>
          </w:p>
        </w:tc>
      </w:tr>
      <w:tr w:rsidR="001F04FD" w14:paraId="649FAC90" w14:textId="77777777" w:rsidTr="00AC4DEE">
        <w:tc>
          <w:tcPr>
            <w:tcW w:w="1195" w:type="dxa"/>
          </w:tcPr>
          <w:p w14:paraId="28BA25F9" w14:textId="77777777" w:rsidR="001F04FD" w:rsidRDefault="001F04FD" w:rsidP="00AC4DEE">
            <w:pPr>
              <w:pStyle w:val="TableBody"/>
            </w:pPr>
            <w:r>
              <w:t>LZWF</w:t>
            </w:r>
            <w:r>
              <w:rPr>
                <w:i/>
                <w:vertAlign w:val="subscript"/>
              </w:rPr>
              <w:t xml:space="preserve"> </w:t>
            </w:r>
            <w:r w:rsidRPr="00107CC2">
              <w:rPr>
                <w:i/>
                <w:vertAlign w:val="subscript"/>
              </w:rPr>
              <w:t>b, y</w:t>
            </w:r>
          </w:p>
        </w:tc>
        <w:tc>
          <w:tcPr>
            <w:tcW w:w="900" w:type="dxa"/>
          </w:tcPr>
          <w:p w14:paraId="084F84AC" w14:textId="77777777" w:rsidR="001F04FD" w:rsidRDefault="001F04FD" w:rsidP="00AC4DEE">
            <w:pPr>
              <w:pStyle w:val="TableBody"/>
            </w:pPr>
            <w:r>
              <w:t>None</w:t>
            </w:r>
          </w:p>
        </w:tc>
        <w:tc>
          <w:tcPr>
            <w:tcW w:w="7175" w:type="dxa"/>
          </w:tcPr>
          <w:p w14:paraId="6DA16B56" w14:textId="77777777" w:rsidR="001F04FD" w:rsidRDefault="001F04FD" w:rsidP="00AC4DEE">
            <w:pPr>
              <w:pStyle w:val="TableBody"/>
              <w:rPr>
                <w:i/>
              </w:rPr>
            </w:pPr>
            <w:r>
              <w:rPr>
                <w:i/>
              </w:rPr>
              <w:t>Load Zone State Estimator Load Weighting Factor per bus per SCED interval</w:t>
            </w:r>
            <w:r>
              <w:sym w:font="Symbol" w:char="F0BE"/>
            </w:r>
            <w:r>
              <w:t xml:space="preserve">The weight used in the Load Zone LMP calculation for Electrical Bus </w:t>
            </w:r>
            <w:r>
              <w:rPr>
                <w:i/>
              </w:rPr>
              <w:t>b</w:t>
            </w:r>
            <w:r>
              <w:t xml:space="preserve"> for the SCED interval </w:t>
            </w:r>
            <w:r>
              <w:rPr>
                <w:i/>
              </w:rPr>
              <w:t>y</w:t>
            </w:r>
            <w:r>
              <w:t>.</w:t>
            </w:r>
          </w:p>
        </w:tc>
      </w:tr>
      <w:tr w:rsidR="001F04FD" w14:paraId="3914943A" w14:textId="77777777" w:rsidTr="00AC4DEE">
        <w:tc>
          <w:tcPr>
            <w:tcW w:w="1195" w:type="dxa"/>
          </w:tcPr>
          <w:p w14:paraId="5CAC06EC" w14:textId="77777777" w:rsidR="001F04FD" w:rsidRDefault="001F04FD" w:rsidP="00AC4DEE">
            <w:pPr>
              <w:pStyle w:val="TableBody"/>
            </w:pPr>
            <w:r>
              <w:t xml:space="preserve">SEL </w:t>
            </w:r>
            <w:r w:rsidRPr="00107CC2">
              <w:rPr>
                <w:i/>
                <w:vertAlign w:val="subscript"/>
              </w:rPr>
              <w:t>b, y</w:t>
            </w:r>
          </w:p>
        </w:tc>
        <w:tc>
          <w:tcPr>
            <w:tcW w:w="900" w:type="dxa"/>
          </w:tcPr>
          <w:p w14:paraId="4E927A2E" w14:textId="77777777" w:rsidR="001F04FD" w:rsidRDefault="001F04FD" w:rsidP="00AC4DEE">
            <w:pPr>
              <w:pStyle w:val="TableBody"/>
            </w:pPr>
            <w:r>
              <w:t>MW</w:t>
            </w:r>
          </w:p>
        </w:tc>
        <w:tc>
          <w:tcPr>
            <w:tcW w:w="7175" w:type="dxa"/>
          </w:tcPr>
          <w:p w14:paraId="332170DE" w14:textId="23809DF4" w:rsidR="005C5A9B" w:rsidRDefault="001F04FD" w:rsidP="00AC4DEE">
            <w:pPr>
              <w:pStyle w:val="TableBody"/>
            </w:pPr>
            <w:r>
              <w:rPr>
                <w:i/>
              </w:rPr>
              <w:t>State Estimator Load at bus per SCED interval</w:t>
            </w:r>
            <w:r>
              <w:sym w:font="Symbol" w:char="F0BE"/>
            </w:r>
            <w:r>
              <w:t>The Load from the State Estimator</w:t>
            </w:r>
            <w:r w:rsidR="002A0AD7">
              <w:t>, including a calculated net Load value at each Private Use Network</w:t>
            </w:r>
            <w:r w:rsidR="004D1724">
              <w:t xml:space="preserve"> and adjustments to account for DGR and DESR injections and withdrawals that are settled at a Resource Node, excluding WSL and Non-WSL ESR Charging Load for Electrical Bus </w:t>
            </w:r>
            <w:r w:rsidR="004D1724">
              <w:rPr>
                <w:i/>
              </w:rPr>
              <w:t>b</w:t>
            </w:r>
            <w:r w:rsidR="004D1724">
              <w:t xml:space="preserve"> in the Load Zone, for the SCED interval </w:t>
            </w:r>
            <w:r w:rsidR="004D1724">
              <w:rPr>
                <w:i/>
              </w:rPr>
              <w:t>y</w:t>
            </w:r>
            <w:r w:rsidR="004D172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6826"/>
            </w:tblGrid>
            <w:tr w:rsidR="009F7A6D" w14:paraId="3ABB7EEB" w14:textId="77777777" w:rsidTr="00F5593C">
              <w:trPr>
                <w:trHeight w:val="206"/>
              </w:trPr>
              <w:tc>
                <w:tcPr>
                  <w:tcW w:w="6826" w:type="dxa"/>
                  <w:shd w:val="pct12" w:color="auto" w:fill="auto"/>
                </w:tcPr>
                <w:p w14:paraId="2912DAA0" w14:textId="43E477F5" w:rsidR="009F7A6D" w:rsidRDefault="009F7A6D" w:rsidP="009F7A6D">
                  <w:pPr>
                    <w:pStyle w:val="Instructions"/>
                    <w:spacing w:before="120"/>
                  </w:pPr>
                  <w:r>
                    <w:t>[NPRR1188:  Replace the description above with the following upon system implementation:]</w:t>
                  </w:r>
                </w:p>
                <w:p w14:paraId="5359E538" w14:textId="4E52C81E" w:rsidR="009F7A6D" w:rsidRPr="008F39F7" w:rsidRDefault="009F7A6D" w:rsidP="009F7A6D">
                  <w:pPr>
                    <w:pStyle w:val="TableBody"/>
                  </w:pPr>
                  <w:r w:rsidRPr="00812ECB">
                    <w:rPr>
                      <w:i/>
                    </w:rPr>
                    <w:t>State Estimator Load at bus per SCED interval</w:t>
                  </w:r>
                  <w:r w:rsidRPr="00812ECB">
                    <w:sym w:font="Symbol" w:char="F0BE"/>
                  </w:r>
                  <w:r w:rsidRPr="00812ECB">
                    <w:t xml:space="preserve">The Load from the State Estimator, including a calculated net Load value at each Private Use Network and adjustments to account for DGR and DESR injections and withdrawals that are settled at a Resource Node, excluding CLR Load that is not an ALR, WSL and Non-WSL ESR Charging Load for Electrical Bus </w:t>
                  </w:r>
                  <w:r w:rsidRPr="00812ECB">
                    <w:rPr>
                      <w:i/>
                    </w:rPr>
                    <w:t>b</w:t>
                  </w:r>
                  <w:r w:rsidRPr="00812ECB">
                    <w:t xml:space="preserve"> in the Load Zone, for the SCED interval </w:t>
                  </w:r>
                  <w:r w:rsidRPr="00812ECB">
                    <w:rPr>
                      <w:i/>
                    </w:rPr>
                    <w:t>y</w:t>
                  </w:r>
                  <w:r w:rsidRPr="00812ECB">
                    <w:t>.</w:t>
                  </w:r>
                </w:p>
              </w:tc>
            </w:tr>
          </w:tbl>
          <w:p w14:paraId="64660682" w14:textId="5157DF61" w:rsidR="001F04FD" w:rsidRDefault="001F04FD" w:rsidP="00AC4DEE">
            <w:pPr>
              <w:pStyle w:val="TableBody"/>
            </w:pPr>
          </w:p>
        </w:tc>
      </w:tr>
      <w:tr w:rsidR="001F04FD" w14:paraId="6B4FCE13" w14:textId="77777777" w:rsidTr="00AC4DEE">
        <w:tc>
          <w:tcPr>
            <w:tcW w:w="1195" w:type="dxa"/>
          </w:tcPr>
          <w:p w14:paraId="6587373B" w14:textId="77777777" w:rsidR="001F04FD" w:rsidRPr="004F1FE8" w:rsidRDefault="001F04FD" w:rsidP="00AC4DEE">
            <w:pPr>
              <w:pStyle w:val="TableBody"/>
              <w:rPr>
                <w:i/>
              </w:rPr>
            </w:pPr>
            <w:r w:rsidRPr="00A61E91">
              <w:rPr>
                <w:i/>
              </w:rPr>
              <w:t xml:space="preserve">y </w:t>
            </w:r>
          </w:p>
        </w:tc>
        <w:tc>
          <w:tcPr>
            <w:tcW w:w="900" w:type="dxa"/>
          </w:tcPr>
          <w:p w14:paraId="0F5EBB30" w14:textId="77777777" w:rsidR="001F04FD" w:rsidRDefault="001F04FD" w:rsidP="00AC4DEE">
            <w:pPr>
              <w:pStyle w:val="TableBody"/>
            </w:pPr>
            <w:r>
              <w:t>None</w:t>
            </w:r>
          </w:p>
        </w:tc>
        <w:tc>
          <w:tcPr>
            <w:tcW w:w="7175" w:type="dxa"/>
          </w:tcPr>
          <w:p w14:paraId="403FD15E" w14:textId="77777777" w:rsidR="001F04FD" w:rsidRDefault="001F04FD" w:rsidP="00AC4DEE">
            <w:pPr>
              <w:pStyle w:val="TableBody"/>
            </w:pPr>
            <w:r>
              <w:t>A SCED interval.</w:t>
            </w:r>
          </w:p>
        </w:tc>
      </w:tr>
      <w:tr w:rsidR="001F04FD" w14:paraId="7BD36394" w14:textId="77777777" w:rsidTr="00AC4DEE">
        <w:tc>
          <w:tcPr>
            <w:tcW w:w="1195" w:type="dxa"/>
          </w:tcPr>
          <w:p w14:paraId="6FA1A151" w14:textId="77777777" w:rsidR="001F04FD" w:rsidRPr="004F1FE8" w:rsidRDefault="001F04FD" w:rsidP="00AC4DEE">
            <w:pPr>
              <w:pStyle w:val="TableBody"/>
              <w:rPr>
                <w:i/>
              </w:rPr>
            </w:pPr>
            <w:r w:rsidRPr="00A61E91">
              <w:rPr>
                <w:i/>
              </w:rPr>
              <w:t>b</w:t>
            </w:r>
          </w:p>
        </w:tc>
        <w:tc>
          <w:tcPr>
            <w:tcW w:w="900" w:type="dxa"/>
          </w:tcPr>
          <w:p w14:paraId="26B6885A" w14:textId="77777777" w:rsidR="001F04FD" w:rsidRDefault="001F04FD" w:rsidP="00AC4DEE">
            <w:pPr>
              <w:pStyle w:val="TableBody"/>
            </w:pPr>
            <w:r>
              <w:t>None</w:t>
            </w:r>
          </w:p>
        </w:tc>
        <w:tc>
          <w:tcPr>
            <w:tcW w:w="7175" w:type="dxa"/>
          </w:tcPr>
          <w:p w14:paraId="4399BC23" w14:textId="77777777" w:rsidR="001F04FD" w:rsidRDefault="001F04FD" w:rsidP="00AC4DEE">
            <w:pPr>
              <w:pStyle w:val="TableBody"/>
            </w:pPr>
            <w:r>
              <w:t>An Electrical Bus in the Load Zone.  The summation is over all of the Electrical Buses in the Load Zone.</w:t>
            </w:r>
          </w:p>
        </w:tc>
      </w:tr>
    </w:tbl>
    <w:p w14:paraId="77A00EF0" w14:textId="77777777" w:rsidR="001F04FD" w:rsidRDefault="001F04FD" w:rsidP="001F04FD">
      <w:pPr>
        <w:pStyle w:val="H4"/>
        <w:tabs>
          <w:tab w:val="clear" w:pos="1260"/>
        </w:tabs>
        <w:spacing w:before="480"/>
        <w:ind w:left="0" w:firstLine="0"/>
      </w:pPr>
      <w:bookmarkStart w:id="1722" w:name="_Toc397505007"/>
      <w:bookmarkStart w:id="1723" w:name="_Toc402357135"/>
      <w:bookmarkStart w:id="1724" w:name="_Toc422486513"/>
      <w:bookmarkStart w:id="1725" w:name="_Toc433093365"/>
      <w:bookmarkStart w:id="1726" w:name="_Toc433093523"/>
      <w:bookmarkStart w:id="1727" w:name="_Toc440874751"/>
      <w:bookmarkStart w:id="1728" w:name="_Toc448142306"/>
      <w:bookmarkStart w:id="1729" w:name="_Toc448142463"/>
      <w:bookmarkStart w:id="1730" w:name="_Toc458770300"/>
      <w:bookmarkStart w:id="1731" w:name="_Toc459294268"/>
      <w:bookmarkStart w:id="1732" w:name="_Toc463262761"/>
      <w:bookmarkStart w:id="1733" w:name="_Toc468286834"/>
      <w:bookmarkStart w:id="1734" w:name="_Toc481502880"/>
      <w:bookmarkStart w:id="1735" w:name="_Toc496080048"/>
      <w:bookmarkStart w:id="1736" w:name="_Toc189044398"/>
      <w:r>
        <w:t>6.6.1.5</w:t>
      </w:r>
      <w:r>
        <w:tab/>
      </w:r>
      <w:r>
        <w:tab/>
        <w:t>Hub LMPs</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5269F5DD" w14:textId="464495A3" w:rsidR="001F04FD" w:rsidRDefault="000468AC" w:rsidP="001F04FD">
      <w:pPr>
        <w:pStyle w:val="BodyText"/>
      </w:pPr>
      <w:r>
        <w:t>(1)</w:t>
      </w:r>
      <w:r>
        <w:tab/>
      </w:r>
      <w:r w:rsidR="001F04FD">
        <w:t xml:space="preserve">The Hub LMPs shall be posted on the </w:t>
      </w:r>
      <w:r w:rsidR="0007207E">
        <w:t>ERCOT website</w:t>
      </w:r>
      <w:r w:rsidR="001F04FD">
        <w:t>.</w:t>
      </w:r>
    </w:p>
    <w:p w14:paraId="4609EFAF" w14:textId="77777777" w:rsidR="001F04FD" w:rsidRDefault="000468AC" w:rsidP="008E724B">
      <w:pPr>
        <w:pStyle w:val="BodyText"/>
        <w:ind w:left="720" w:hanging="720"/>
      </w:pPr>
      <w:r>
        <w:t>(2)</w:t>
      </w:r>
      <w:r>
        <w:tab/>
      </w:r>
      <w:r w:rsidR="001F04FD">
        <w:t>For each defined Hub except for the ERCOT Hub Average 345 kV Hub, the Hub LMP is the arithmetic average of the Real-Time LMPs of the Hub Buses included in the Hub.  The Hub LMP for a SCED Interval is calculated as follows:</w:t>
      </w:r>
    </w:p>
    <w:p w14:paraId="063CE299" w14:textId="77777777" w:rsidR="001F04FD" w:rsidRPr="00042023" w:rsidRDefault="001F04FD" w:rsidP="001F04FD">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0FFF2FBA">
          <v:shape id="_x0000_i1063" type="#_x0000_t75" style="width:12pt;height:18pt" o:ole="">
            <v:imagedata r:id="rId62" o:title=""/>
          </v:shape>
          <o:OLEObject Type="Embed" ProgID="Equation.3" ShapeID="_x0000_i1063" DrawAspect="Content" ObjectID="_1804653548" r:id="rId63"/>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68CDA8C6" w14:textId="77777777" w:rsidR="001F04FD" w:rsidRDefault="001F04FD" w:rsidP="001F04FD">
      <w:pPr>
        <w:pStyle w:val="FormulaBold"/>
      </w:pPr>
      <w:r>
        <w:lastRenderedPageBreak/>
        <w:t xml:space="preserve">HUBLMP </w:t>
      </w:r>
      <w:r>
        <w:rPr>
          <w:b w:val="0"/>
          <w:i/>
          <w:vertAlign w:val="subscript"/>
        </w:rPr>
        <w:t>Hub, y</w:t>
      </w:r>
      <w:r>
        <w:tab/>
        <w:t>=</w:t>
      </w:r>
      <w:r>
        <w:tab/>
        <w:t>HUBLMP</w:t>
      </w:r>
      <w:r>
        <w:rPr>
          <w:b w:val="0"/>
          <w:i/>
          <w:vertAlign w:val="subscript"/>
        </w:rPr>
        <w:t>ERCOT345Bus</w:t>
      </w:r>
      <w:r>
        <w:t>, if HB</w:t>
      </w:r>
      <w:r>
        <w:rPr>
          <w:vertAlign w:val="subscript"/>
        </w:rPr>
        <w:t xml:space="preserve"> </w:t>
      </w:r>
      <w:r>
        <w:rPr>
          <w:b w:val="0"/>
          <w:i/>
          <w:vertAlign w:val="subscript"/>
        </w:rPr>
        <w:t>Hub</w:t>
      </w:r>
      <w:r>
        <w:t xml:space="preserve"> = 0</w:t>
      </w:r>
    </w:p>
    <w:p w14:paraId="34D09FAD" w14:textId="77777777" w:rsidR="001F04FD" w:rsidRDefault="001F04FD" w:rsidP="000468AC">
      <w:pPr>
        <w:pStyle w:val="BodyText"/>
      </w:pPr>
      <w:r>
        <w:t>Where:</w:t>
      </w:r>
    </w:p>
    <w:p w14:paraId="428A9154" w14:textId="77777777" w:rsidR="001F04FD" w:rsidRDefault="001F04FD" w:rsidP="001F04FD">
      <w:pPr>
        <w:pStyle w:val="Formula"/>
        <w:ind w:left="2880" w:hanging="2160"/>
      </w:pPr>
      <w:r>
        <w:t xml:space="preserve">RTHBP </w:t>
      </w:r>
      <w:r>
        <w:rPr>
          <w:i/>
          <w:vertAlign w:val="subscript"/>
        </w:rPr>
        <w:t>hb, Hub, y</w:t>
      </w:r>
      <w:r>
        <w:tab/>
        <w:t>=</w:t>
      </w:r>
      <w:r>
        <w:tab/>
      </w:r>
      <w:r w:rsidRPr="00160702">
        <w:rPr>
          <w:position w:val="-20"/>
        </w:rPr>
        <w:object w:dxaOrig="225" w:dyaOrig="435" w14:anchorId="4BD69D5B">
          <v:shape id="_x0000_i1064" type="#_x0000_t75" style="width:12pt;height:18pt" o:ole="">
            <v:imagedata r:id="rId64" o:title=""/>
          </v:shape>
          <o:OLEObject Type="Embed" ProgID="Equation.3" ShapeID="_x0000_i1064" DrawAspect="Content" ObjectID="_1804653549" r:id="rId65"/>
        </w:object>
      </w:r>
      <w:r>
        <w:t xml:space="preserve">(HBDF </w:t>
      </w:r>
      <w:r>
        <w:rPr>
          <w:i/>
          <w:vertAlign w:val="subscript"/>
        </w:rPr>
        <w:t>b, hb, Hub</w:t>
      </w:r>
      <w:r>
        <w:t xml:space="preserve"> * RTLMP </w:t>
      </w:r>
      <w:r>
        <w:rPr>
          <w:i/>
          <w:vertAlign w:val="subscript"/>
        </w:rPr>
        <w:t>b, hb, Hub, y</w:t>
      </w:r>
      <w:r>
        <w:t>)</w:t>
      </w:r>
    </w:p>
    <w:p w14:paraId="58F6296B" w14:textId="77777777" w:rsidR="001F04FD" w:rsidRDefault="001F04FD" w:rsidP="001F04FD">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769FC8E8" w14:textId="77777777" w:rsidR="001F04FD" w:rsidRDefault="001F04FD" w:rsidP="001F04FD">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6AEB60B8" w14:textId="77777777" w:rsidR="001F04FD" w:rsidRDefault="001F04FD" w:rsidP="001F04FD">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62EA572C" w14:textId="77777777" w:rsidR="001F04FD" w:rsidRPr="00C97C66" w:rsidRDefault="001F04FD" w:rsidP="001F04FD">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531F1537" w14:textId="77777777" w:rsidR="001F04FD" w:rsidRDefault="001F04FD" w:rsidP="001F04FD">
      <w:r>
        <w:t>The above variables are defined as follows: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3"/>
        <w:gridCol w:w="937"/>
        <w:gridCol w:w="6668"/>
      </w:tblGrid>
      <w:tr w:rsidR="001F04FD" w:rsidRPr="008C3CC8" w14:paraId="2D14E54A" w14:textId="77777777" w:rsidTr="00AC4DEE">
        <w:tc>
          <w:tcPr>
            <w:tcW w:w="884" w:type="pct"/>
          </w:tcPr>
          <w:p w14:paraId="6A7DBDD6" w14:textId="77777777" w:rsidR="001F04FD" w:rsidRPr="008C3CC8" w:rsidRDefault="001F04FD" w:rsidP="00AC4DEE">
            <w:pPr>
              <w:pStyle w:val="TableHead"/>
            </w:pPr>
            <w:r w:rsidRPr="008C3CC8">
              <w:t>Variable</w:t>
            </w:r>
          </w:p>
        </w:tc>
        <w:tc>
          <w:tcPr>
            <w:tcW w:w="507" w:type="pct"/>
          </w:tcPr>
          <w:p w14:paraId="74E8B94B" w14:textId="77777777" w:rsidR="001F04FD" w:rsidRPr="008C3CC8" w:rsidRDefault="001F04FD" w:rsidP="00AC4DEE">
            <w:pPr>
              <w:pStyle w:val="TableHead"/>
            </w:pPr>
            <w:r w:rsidRPr="008C3CC8">
              <w:t>Unit</w:t>
            </w:r>
          </w:p>
        </w:tc>
        <w:tc>
          <w:tcPr>
            <w:tcW w:w="3609" w:type="pct"/>
          </w:tcPr>
          <w:p w14:paraId="1F196A6F" w14:textId="77777777" w:rsidR="001F04FD" w:rsidRPr="008C3CC8" w:rsidRDefault="001F04FD" w:rsidP="00AC4DEE">
            <w:pPr>
              <w:pStyle w:val="TableHead"/>
            </w:pPr>
            <w:r w:rsidRPr="008C3CC8">
              <w:t>Description</w:t>
            </w:r>
          </w:p>
        </w:tc>
      </w:tr>
      <w:tr w:rsidR="001F04FD" w:rsidRPr="008C3CC8" w14:paraId="1263667C" w14:textId="77777777" w:rsidTr="00AC4DEE">
        <w:tc>
          <w:tcPr>
            <w:tcW w:w="884" w:type="pct"/>
          </w:tcPr>
          <w:p w14:paraId="15AD0DDE" w14:textId="77777777" w:rsidR="001F04FD" w:rsidRPr="008C3CC8" w:rsidRDefault="001F04FD" w:rsidP="00AC4DEE">
            <w:pPr>
              <w:pStyle w:val="TableBody"/>
            </w:pPr>
            <w:r w:rsidRPr="008C3CC8">
              <w:t>HUBLMP</w:t>
            </w:r>
            <w:r w:rsidRPr="008C3CC8">
              <w:rPr>
                <w:b/>
                <w:vertAlign w:val="subscript"/>
              </w:rPr>
              <w:t xml:space="preserve"> </w:t>
            </w:r>
            <w:r w:rsidRPr="00107CC2">
              <w:rPr>
                <w:i/>
                <w:vertAlign w:val="subscript"/>
              </w:rPr>
              <w:t>Hub, y</w:t>
            </w:r>
          </w:p>
        </w:tc>
        <w:tc>
          <w:tcPr>
            <w:tcW w:w="507" w:type="pct"/>
          </w:tcPr>
          <w:p w14:paraId="2AF9CA27" w14:textId="77777777" w:rsidR="001F04FD" w:rsidRPr="008C3CC8" w:rsidRDefault="001F04FD" w:rsidP="00AC4DEE">
            <w:pPr>
              <w:pStyle w:val="TableBody"/>
            </w:pPr>
            <w:r w:rsidRPr="008C3CC8">
              <w:t>$/MWh</w:t>
            </w:r>
          </w:p>
        </w:tc>
        <w:tc>
          <w:tcPr>
            <w:tcW w:w="3609" w:type="pct"/>
          </w:tcPr>
          <w:p w14:paraId="4BCCFF1A" w14:textId="77777777" w:rsidR="001F04FD" w:rsidRPr="008C3CC8" w:rsidRDefault="001F04FD" w:rsidP="00AC4DEE">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1F04FD" w:rsidRPr="008C3CC8" w14:paraId="58D207F5" w14:textId="77777777" w:rsidTr="00AC4DEE">
        <w:tc>
          <w:tcPr>
            <w:tcW w:w="884" w:type="pct"/>
          </w:tcPr>
          <w:p w14:paraId="0A5F54F4" w14:textId="77777777" w:rsidR="001F04FD" w:rsidRPr="008C3CC8" w:rsidRDefault="001F04FD" w:rsidP="00AC4DEE">
            <w:pPr>
              <w:pStyle w:val="TableBody"/>
            </w:pPr>
            <w:r w:rsidRPr="008C3CC8">
              <w:t xml:space="preserve">RTHBP </w:t>
            </w:r>
            <w:r w:rsidRPr="00107CC2">
              <w:rPr>
                <w:i/>
                <w:vertAlign w:val="subscript"/>
              </w:rPr>
              <w:t>hb, Hub, y</w:t>
            </w:r>
          </w:p>
        </w:tc>
        <w:tc>
          <w:tcPr>
            <w:tcW w:w="507" w:type="pct"/>
          </w:tcPr>
          <w:p w14:paraId="064AC712" w14:textId="77777777" w:rsidR="001F04FD" w:rsidRPr="008C3CC8" w:rsidRDefault="001F04FD" w:rsidP="00AC4DEE">
            <w:pPr>
              <w:pStyle w:val="TableBody"/>
            </w:pPr>
            <w:r w:rsidRPr="008C3CC8">
              <w:t>$/MWh</w:t>
            </w:r>
          </w:p>
        </w:tc>
        <w:tc>
          <w:tcPr>
            <w:tcW w:w="3609" w:type="pct"/>
          </w:tcPr>
          <w:p w14:paraId="7DC3BA61" w14:textId="77777777" w:rsidR="001F04FD" w:rsidRPr="008C3CC8" w:rsidRDefault="001F04FD" w:rsidP="00AC4DEE">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1F04FD" w:rsidRPr="008C3CC8" w14:paraId="3378C137" w14:textId="77777777" w:rsidTr="00AC4DEE">
        <w:tc>
          <w:tcPr>
            <w:tcW w:w="884" w:type="pct"/>
          </w:tcPr>
          <w:p w14:paraId="0C88316D" w14:textId="77777777" w:rsidR="001F04FD" w:rsidRPr="008C3CC8" w:rsidRDefault="001F04FD" w:rsidP="00AC4DEE">
            <w:pPr>
              <w:pStyle w:val="TableBody"/>
              <w:rPr>
                <w:lang w:val="fr-FR"/>
              </w:rPr>
            </w:pPr>
            <w:r w:rsidRPr="008C3CC8">
              <w:rPr>
                <w:lang w:val="fr-FR"/>
              </w:rPr>
              <w:t xml:space="preserve">RTLMP </w:t>
            </w:r>
            <w:r w:rsidRPr="00107CC2">
              <w:rPr>
                <w:i/>
                <w:vertAlign w:val="subscript"/>
                <w:lang w:val="fr-FR"/>
              </w:rPr>
              <w:t>b, hb, Hub, y</w:t>
            </w:r>
          </w:p>
        </w:tc>
        <w:tc>
          <w:tcPr>
            <w:tcW w:w="507" w:type="pct"/>
          </w:tcPr>
          <w:p w14:paraId="5FDCD9E5" w14:textId="77777777" w:rsidR="001F04FD" w:rsidRPr="008C3CC8" w:rsidRDefault="001F04FD" w:rsidP="00AC4DEE">
            <w:pPr>
              <w:pStyle w:val="TableBody"/>
            </w:pPr>
            <w:r w:rsidRPr="008C3CC8">
              <w:t>$/MWh</w:t>
            </w:r>
          </w:p>
        </w:tc>
        <w:tc>
          <w:tcPr>
            <w:tcW w:w="3609" w:type="pct"/>
          </w:tcPr>
          <w:p w14:paraId="36A001FB" w14:textId="77777777" w:rsidR="001F04FD" w:rsidRPr="008C3CC8" w:rsidRDefault="001F04FD" w:rsidP="00AC4DEE">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1F04FD" w:rsidRPr="008C3CC8" w14:paraId="5754A7FA" w14:textId="77777777" w:rsidTr="00AC4DEE">
        <w:tc>
          <w:tcPr>
            <w:tcW w:w="884" w:type="pct"/>
          </w:tcPr>
          <w:p w14:paraId="3A993C50" w14:textId="77777777" w:rsidR="001F04FD" w:rsidRPr="008C3CC8" w:rsidRDefault="001F04FD" w:rsidP="00AC4DEE">
            <w:pPr>
              <w:pStyle w:val="TableBody"/>
            </w:pPr>
            <w:r w:rsidRPr="008C3CC8">
              <w:t xml:space="preserve">HUBDF </w:t>
            </w:r>
            <w:r w:rsidRPr="00107CC2">
              <w:rPr>
                <w:i/>
                <w:vertAlign w:val="subscript"/>
              </w:rPr>
              <w:t>hb, Hub</w:t>
            </w:r>
          </w:p>
        </w:tc>
        <w:tc>
          <w:tcPr>
            <w:tcW w:w="507" w:type="pct"/>
          </w:tcPr>
          <w:p w14:paraId="23ABA108" w14:textId="77777777" w:rsidR="001F04FD" w:rsidRPr="008C3CC8" w:rsidRDefault="001F04FD" w:rsidP="00AC4DEE">
            <w:pPr>
              <w:pStyle w:val="TableBody"/>
            </w:pPr>
            <w:r w:rsidRPr="008C3CC8">
              <w:t>none</w:t>
            </w:r>
          </w:p>
        </w:tc>
        <w:tc>
          <w:tcPr>
            <w:tcW w:w="3609" w:type="pct"/>
          </w:tcPr>
          <w:p w14:paraId="0A4D6CD4" w14:textId="77777777" w:rsidR="001F04FD" w:rsidRPr="008C3CC8" w:rsidRDefault="001F04FD" w:rsidP="00AC4DEE">
            <w:pPr>
              <w:pStyle w:val="TableBody"/>
              <w:rPr>
                <w:iCs w:val="0"/>
              </w:rPr>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1F04FD" w:rsidRPr="008C3CC8" w14:paraId="4CEDDCF1" w14:textId="77777777" w:rsidTr="00AC4DEE">
        <w:tc>
          <w:tcPr>
            <w:tcW w:w="884" w:type="pct"/>
          </w:tcPr>
          <w:p w14:paraId="65BD0D0A" w14:textId="77777777" w:rsidR="001F04FD" w:rsidRPr="008C3CC8" w:rsidRDefault="001F04FD" w:rsidP="00AC4DEE">
            <w:pPr>
              <w:pStyle w:val="TableBody"/>
            </w:pPr>
            <w:r w:rsidRPr="008C3CC8">
              <w:t xml:space="preserve">HBDF </w:t>
            </w:r>
            <w:r w:rsidRPr="00107CC2">
              <w:rPr>
                <w:i/>
                <w:vertAlign w:val="subscript"/>
              </w:rPr>
              <w:t>b, hb, Hub</w:t>
            </w:r>
          </w:p>
        </w:tc>
        <w:tc>
          <w:tcPr>
            <w:tcW w:w="507" w:type="pct"/>
          </w:tcPr>
          <w:p w14:paraId="20AA3611" w14:textId="77777777" w:rsidR="001F04FD" w:rsidRPr="008C3CC8" w:rsidRDefault="001F04FD" w:rsidP="00AC4DEE">
            <w:pPr>
              <w:pStyle w:val="TableBody"/>
            </w:pPr>
            <w:r w:rsidRPr="008C3CC8">
              <w:t>none</w:t>
            </w:r>
          </w:p>
        </w:tc>
        <w:tc>
          <w:tcPr>
            <w:tcW w:w="3609" w:type="pct"/>
          </w:tcPr>
          <w:p w14:paraId="3CE8E033" w14:textId="77777777" w:rsidR="001F04FD" w:rsidRPr="008C3CC8" w:rsidRDefault="001F04FD" w:rsidP="00AC4DEE">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1F04FD" w:rsidRPr="008C3CC8" w14:paraId="6FCEAF6D" w14:textId="77777777" w:rsidTr="00AC4DEE">
        <w:tc>
          <w:tcPr>
            <w:tcW w:w="884" w:type="pct"/>
          </w:tcPr>
          <w:p w14:paraId="5C41F047" w14:textId="77777777" w:rsidR="001F04FD" w:rsidRPr="008C3CC8" w:rsidRDefault="001F04FD" w:rsidP="00AC4DEE">
            <w:pPr>
              <w:pStyle w:val="TableBody"/>
            </w:pPr>
            <w:r w:rsidRPr="008C3CC8">
              <w:t xml:space="preserve">B </w:t>
            </w:r>
            <w:r w:rsidRPr="00107CC2">
              <w:rPr>
                <w:i/>
                <w:vertAlign w:val="subscript"/>
              </w:rPr>
              <w:t>hb, Hub</w:t>
            </w:r>
          </w:p>
        </w:tc>
        <w:tc>
          <w:tcPr>
            <w:tcW w:w="507" w:type="pct"/>
          </w:tcPr>
          <w:p w14:paraId="68ABAEC1" w14:textId="77777777" w:rsidR="001F04FD" w:rsidRPr="008C3CC8" w:rsidRDefault="001F04FD" w:rsidP="00AC4DEE">
            <w:pPr>
              <w:pStyle w:val="TableBody"/>
            </w:pPr>
            <w:r w:rsidRPr="008C3CC8">
              <w:t>none</w:t>
            </w:r>
          </w:p>
        </w:tc>
        <w:tc>
          <w:tcPr>
            <w:tcW w:w="3609" w:type="pct"/>
          </w:tcPr>
          <w:p w14:paraId="1D5C0F96" w14:textId="77777777" w:rsidR="001F04FD" w:rsidRPr="008C3CC8" w:rsidRDefault="001F04FD" w:rsidP="00AC4DEE">
            <w:pPr>
              <w:pStyle w:val="TableBody"/>
            </w:pPr>
            <w:r w:rsidRPr="008C3CC8">
              <w:t xml:space="preserve">The total number of energized Electrical Buses in Hub Bus </w:t>
            </w:r>
            <w:r w:rsidRPr="00042023">
              <w:rPr>
                <w:i/>
              </w:rPr>
              <w:t>hb</w:t>
            </w:r>
            <w:r w:rsidRPr="008C3CC8">
              <w:t>.</w:t>
            </w:r>
          </w:p>
        </w:tc>
      </w:tr>
      <w:tr w:rsidR="001F04FD" w:rsidRPr="008C3CC8" w14:paraId="53524946" w14:textId="77777777" w:rsidTr="00AC4DEE">
        <w:tc>
          <w:tcPr>
            <w:tcW w:w="884" w:type="pct"/>
          </w:tcPr>
          <w:p w14:paraId="672CE2CE" w14:textId="77777777" w:rsidR="001F04FD" w:rsidRPr="008C3CC8" w:rsidRDefault="001F04FD" w:rsidP="00AC4DEE">
            <w:pPr>
              <w:pStyle w:val="TableBody"/>
            </w:pPr>
            <w:r w:rsidRPr="008C3CC8">
              <w:t>HB</w:t>
            </w:r>
            <w:r w:rsidRPr="008C3CC8">
              <w:rPr>
                <w:vertAlign w:val="subscript"/>
              </w:rPr>
              <w:t xml:space="preserve"> </w:t>
            </w:r>
            <w:r w:rsidRPr="00107CC2">
              <w:rPr>
                <w:i/>
                <w:vertAlign w:val="subscript"/>
              </w:rPr>
              <w:t>Hub</w:t>
            </w:r>
          </w:p>
        </w:tc>
        <w:tc>
          <w:tcPr>
            <w:tcW w:w="507" w:type="pct"/>
          </w:tcPr>
          <w:p w14:paraId="4005DC91" w14:textId="77777777" w:rsidR="001F04FD" w:rsidRPr="008C3CC8" w:rsidRDefault="001F04FD" w:rsidP="00AC4DEE">
            <w:pPr>
              <w:pStyle w:val="TableBody"/>
            </w:pPr>
            <w:r w:rsidRPr="008C3CC8">
              <w:t>none</w:t>
            </w:r>
          </w:p>
        </w:tc>
        <w:tc>
          <w:tcPr>
            <w:tcW w:w="3609" w:type="pct"/>
          </w:tcPr>
          <w:p w14:paraId="3BEB7773" w14:textId="77777777" w:rsidR="001F04FD" w:rsidRPr="008C3CC8" w:rsidRDefault="001F04FD" w:rsidP="00AC4DEE">
            <w:pPr>
              <w:pStyle w:val="TableBody"/>
            </w:pPr>
            <w:r w:rsidRPr="008C3CC8">
              <w:t>The total number of Hub Buses in the Hub with at least one energized component in each Hub Bus.</w:t>
            </w:r>
          </w:p>
        </w:tc>
      </w:tr>
      <w:tr w:rsidR="001F04FD" w:rsidRPr="008C3CC8" w14:paraId="6E253F87" w14:textId="77777777" w:rsidTr="00AC4DEE">
        <w:tc>
          <w:tcPr>
            <w:tcW w:w="884" w:type="pct"/>
          </w:tcPr>
          <w:p w14:paraId="16D1DBBF" w14:textId="77777777" w:rsidR="001F04FD" w:rsidRPr="00107CC2" w:rsidRDefault="001F04FD" w:rsidP="00AC4DEE">
            <w:pPr>
              <w:pStyle w:val="TableBody"/>
              <w:rPr>
                <w:i/>
              </w:rPr>
            </w:pPr>
            <w:r w:rsidRPr="00107CC2">
              <w:rPr>
                <w:i/>
              </w:rPr>
              <w:t>Hub</w:t>
            </w:r>
          </w:p>
        </w:tc>
        <w:tc>
          <w:tcPr>
            <w:tcW w:w="507" w:type="pct"/>
          </w:tcPr>
          <w:p w14:paraId="0BE7F5A6" w14:textId="77777777" w:rsidR="001F04FD" w:rsidRPr="008C3CC8" w:rsidRDefault="001F04FD" w:rsidP="00AC4DEE">
            <w:pPr>
              <w:pStyle w:val="TableBody"/>
            </w:pPr>
            <w:r w:rsidRPr="008C3CC8">
              <w:t>none</w:t>
            </w:r>
          </w:p>
        </w:tc>
        <w:tc>
          <w:tcPr>
            <w:tcW w:w="3609" w:type="pct"/>
          </w:tcPr>
          <w:p w14:paraId="5CC78AD0" w14:textId="77777777" w:rsidR="001F04FD" w:rsidRPr="008C3CC8" w:rsidRDefault="001F04FD" w:rsidP="00AC4DEE">
            <w:pPr>
              <w:pStyle w:val="TableBody"/>
            </w:pPr>
            <w:r w:rsidRPr="008C3CC8">
              <w:t>One of the following Hubs: ERCOT Bus Average 345 kV Hub, North 345 kV Hub, South 345 kV Hub, Houston 345 kV Hub, or the West 345 kV Hub</w:t>
            </w:r>
          </w:p>
        </w:tc>
      </w:tr>
      <w:tr w:rsidR="001F04FD" w:rsidRPr="008C3CC8" w14:paraId="1E32CF9B" w14:textId="77777777" w:rsidTr="00AC4DEE">
        <w:tc>
          <w:tcPr>
            <w:tcW w:w="884" w:type="pct"/>
          </w:tcPr>
          <w:p w14:paraId="26030273" w14:textId="77777777" w:rsidR="001F04FD" w:rsidRPr="004F1FE8" w:rsidRDefault="001F04FD" w:rsidP="00AC4DEE">
            <w:pPr>
              <w:pStyle w:val="TableBody"/>
              <w:rPr>
                <w:i/>
              </w:rPr>
            </w:pPr>
            <w:r w:rsidRPr="00A61E91">
              <w:rPr>
                <w:i/>
              </w:rPr>
              <w:t>hb</w:t>
            </w:r>
          </w:p>
        </w:tc>
        <w:tc>
          <w:tcPr>
            <w:tcW w:w="507" w:type="pct"/>
          </w:tcPr>
          <w:p w14:paraId="5C81B889" w14:textId="77777777" w:rsidR="001F04FD" w:rsidRPr="008C3CC8" w:rsidRDefault="001F04FD" w:rsidP="00AC4DEE">
            <w:pPr>
              <w:pStyle w:val="TableBody"/>
            </w:pPr>
            <w:r w:rsidRPr="008C3CC8">
              <w:t>none</w:t>
            </w:r>
          </w:p>
        </w:tc>
        <w:tc>
          <w:tcPr>
            <w:tcW w:w="3609" w:type="pct"/>
          </w:tcPr>
          <w:p w14:paraId="779159E6" w14:textId="77777777" w:rsidR="001F04FD" w:rsidRPr="008C3CC8" w:rsidRDefault="001F04FD" w:rsidP="00AC4DEE">
            <w:pPr>
              <w:pStyle w:val="TableBody"/>
            </w:pPr>
            <w:r w:rsidRPr="008C3CC8">
              <w:t>A Hub Bus that is a component of the Hub.</w:t>
            </w:r>
          </w:p>
        </w:tc>
      </w:tr>
      <w:tr w:rsidR="001F04FD" w:rsidRPr="008C3CC8" w14:paraId="609BCF61" w14:textId="77777777" w:rsidTr="00AC4DEE">
        <w:tc>
          <w:tcPr>
            <w:tcW w:w="884" w:type="pct"/>
          </w:tcPr>
          <w:p w14:paraId="1E533B50" w14:textId="77777777" w:rsidR="001F04FD" w:rsidRPr="004F1FE8" w:rsidRDefault="001F04FD" w:rsidP="00AC4DEE">
            <w:pPr>
              <w:pStyle w:val="TableBody"/>
              <w:rPr>
                <w:i/>
              </w:rPr>
            </w:pPr>
            <w:r w:rsidRPr="00A61E91">
              <w:rPr>
                <w:i/>
              </w:rPr>
              <w:t>y</w:t>
            </w:r>
          </w:p>
        </w:tc>
        <w:tc>
          <w:tcPr>
            <w:tcW w:w="507" w:type="pct"/>
          </w:tcPr>
          <w:p w14:paraId="7A1722E8" w14:textId="77777777" w:rsidR="001F04FD" w:rsidRPr="008C3CC8" w:rsidRDefault="001F04FD" w:rsidP="00AC4DEE">
            <w:pPr>
              <w:pStyle w:val="TableBody"/>
            </w:pPr>
            <w:r w:rsidRPr="008C3CC8">
              <w:t>none</w:t>
            </w:r>
          </w:p>
        </w:tc>
        <w:tc>
          <w:tcPr>
            <w:tcW w:w="3609" w:type="pct"/>
          </w:tcPr>
          <w:p w14:paraId="64A31CFC" w14:textId="77777777" w:rsidR="001F04FD" w:rsidRPr="008C3CC8" w:rsidRDefault="001F04FD" w:rsidP="00AC4DEE">
            <w:pPr>
              <w:pStyle w:val="TableBody"/>
            </w:pPr>
            <w:r w:rsidRPr="008C3CC8">
              <w:t>A SCED interval.</w:t>
            </w:r>
          </w:p>
        </w:tc>
      </w:tr>
      <w:tr w:rsidR="001F04FD" w:rsidRPr="008C3CC8" w14:paraId="65ADDB0A" w14:textId="77777777" w:rsidTr="00AC4DEE">
        <w:tc>
          <w:tcPr>
            <w:tcW w:w="884" w:type="pct"/>
          </w:tcPr>
          <w:p w14:paraId="546FA24A" w14:textId="77777777" w:rsidR="001F04FD" w:rsidRPr="004F1FE8" w:rsidRDefault="001F04FD" w:rsidP="00AC4DEE">
            <w:pPr>
              <w:pStyle w:val="TableBody"/>
              <w:rPr>
                <w:i/>
              </w:rPr>
            </w:pPr>
            <w:r w:rsidRPr="00A61E91">
              <w:rPr>
                <w:i/>
              </w:rPr>
              <w:t>b</w:t>
            </w:r>
          </w:p>
        </w:tc>
        <w:tc>
          <w:tcPr>
            <w:tcW w:w="507" w:type="pct"/>
          </w:tcPr>
          <w:p w14:paraId="59B1D9DB" w14:textId="77777777" w:rsidR="001F04FD" w:rsidRPr="008C3CC8" w:rsidRDefault="001F04FD" w:rsidP="00AC4DEE">
            <w:pPr>
              <w:pStyle w:val="TableBody"/>
            </w:pPr>
            <w:r w:rsidRPr="008C3CC8">
              <w:t>none</w:t>
            </w:r>
          </w:p>
        </w:tc>
        <w:tc>
          <w:tcPr>
            <w:tcW w:w="3609" w:type="pct"/>
          </w:tcPr>
          <w:p w14:paraId="16FF92C2" w14:textId="77777777" w:rsidR="001F04FD" w:rsidRPr="008C3CC8" w:rsidRDefault="001F04FD" w:rsidP="00AC4DEE">
            <w:pPr>
              <w:pStyle w:val="TableBody"/>
            </w:pPr>
            <w:r w:rsidRPr="008C3CC8">
              <w:t>An energized Electrical Bus that is a component of a Hub Bus.</w:t>
            </w:r>
          </w:p>
        </w:tc>
      </w:tr>
    </w:tbl>
    <w:p w14:paraId="59B9022C" w14:textId="77777777" w:rsidR="001F04FD" w:rsidRDefault="001F04FD" w:rsidP="001F04FD">
      <w:pPr>
        <w:pStyle w:val="BodyText"/>
        <w:spacing w:after="0"/>
      </w:pPr>
    </w:p>
    <w:p w14:paraId="29952F46" w14:textId="77777777" w:rsidR="001F04FD" w:rsidRDefault="000468AC" w:rsidP="008E724B">
      <w:pPr>
        <w:pStyle w:val="BodyText"/>
        <w:ind w:left="720" w:hanging="720"/>
      </w:pPr>
      <w:r>
        <w:t>(3)</w:t>
      </w:r>
      <w:r>
        <w:tab/>
      </w:r>
      <w:r w:rsidR="001F04FD">
        <w:t xml:space="preserve">The Hub LMP for the ERCOT Hub Average 345 kV Hub (ERCOT 345) for a SCED Interval is calculated as follows: </w:t>
      </w:r>
    </w:p>
    <w:p w14:paraId="5B434960" w14:textId="77777777" w:rsidR="001F04FD" w:rsidRDefault="001F04FD" w:rsidP="001F04FD">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3F62C383"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35"/>
        <w:gridCol w:w="1080"/>
        <w:gridCol w:w="6155"/>
      </w:tblGrid>
      <w:tr w:rsidR="001F04FD" w:rsidRPr="008C3CC8" w14:paraId="755946F4" w14:textId="77777777" w:rsidTr="00AC4DEE">
        <w:tc>
          <w:tcPr>
            <w:tcW w:w="2035" w:type="dxa"/>
          </w:tcPr>
          <w:p w14:paraId="4AF3580C" w14:textId="77777777" w:rsidR="001F04FD" w:rsidRPr="008C3CC8" w:rsidRDefault="001F04FD" w:rsidP="00AC4DEE">
            <w:pPr>
              <w:pStyle w:val="TableHead"/>
            </w:pPr>
            <w:r w:rsidRPr="008C3CC8">
              <w:t>Variable</w:t>
            </w:r>
          </w:p>
        </w:tc>
        <w:tc>
          <w:tcPr>
            <w:tcW w:w="1080" w:type="dxa"/>
          </w:tcPr>
          <w:p w14:paraId="7485ADEE" w14:textId="77777777" w:rsidR="001F04FD" w:rsidRPr="008C3CC8" w:rsidRDefault="001F04FD" w:rsidP="00AC4DEE">
            <w:pPr>
              <w:pStyle w:val="TableHead"/>
            </w:pPr>
            <w:r w:rsidRPr="008C3CC8">
              <w:t>Unit</w:t>
            </w:r>
          </w:p>
        </w:tc>
        <w:tc>
          <w:tcPr>
            <w:tcW w:w="6155" w:type="dxa"/>
          </w:tcPr>
          <w:p w14:paraId="476E810A" w14:textId="77777777" w:rsidR="001F04FD" w:rsidRPr="008C3CC8" w:rsidRDefault="001F04FD" w:rsidP="00AC4DEE">
            <w:pPr>
              <w:pStyle w:val="TableHead"/>
            </w:pPr>
            <w:r w:rsidRPr="008C3CC8">
              <w:t>Description</w:t>
            </w:r>
          </w:p>
        </w:tc>
      </w:tr>
      <w:tr w:rsidR="001F04FD" w:rsidRPr="008C3CC8" w14:paraId="457D3F50" w14:textId="77777777" w:rsidTr="00AC4DEE">
        <w:tc>
          <w:tcPr>
            <w:tcW w:w="2035" w:type="dxa"/>
          </w:tcPr>
          <w:p w14:paraId="7D03F52C" w14:textId="77777777" w:rsidR="001F04FD" w:rsidRPr="008C3CC8" w:rsidRDefault="001F04FD" w:rsidP="00AC4DEE">
            <w:pPr>
              <w:pStyle w:val="TableBody"/>
            </w:pPr>
            <w:r w:rsidRPr="008C3CC8">
              <w:t>HUBLMP</w:t>
            </w:r>
            <w:r w:rsidRPr="00107CC2">
              <w:rPr>
                <w:i/>
                <w:vertAlign w:val="subscript"/>
              </w:rPr>
              <w:t>ERCOT345, y</w:t>
            </w:r>
          </w:p>
        </w:tc>
        <w:tc>
          <w:tcPr>
            <w:tcW w:w="1080" w:type="dxa"/>
          </w:tcPr>
          <w:p w14:paraId="1BE1A6FA" w14:textId="77777777" w:rsidR="001F04FD" w:rsidRPr="008C3CC8" w:rsidRDefault="001F04FD" w:rsidP="00AC4DEE">
            <w:pPr>
              <w:pStyle w:val="TableBody"/>
            </w:pPr>
            <w:r w:rsidRPr="008C3CC8">
              <w:t>$/MWh</w:t>
            </w:r>
          </w:p>
        </w:tc>
        <w:tc>
          <w:tcPr>
            <w:tcW w:w="6155" w:type="dxa"/>
          </w:tcPr>
          <w:p w14:paraId="3ACF8064" w14:textId="77777777" w:rsidR="001F04FD" w:rsidRPr="008C3CC8" w:rsidRDefault="001F04FD" w:rsidP="00AC4DEE">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1F04FD" w:rsidRPr="008C3CC8" w14:paraId="46925D42" w14:textId="77777777" w:rsidTr="00AC4DEE">
        <w:tc>
          <w:tcPr>
            <w:tcW w:w="2035" w:type="dxa"/>
          </w:tcPr>
          <w:p w14:paraId="70F2C8BC" w14:textId="77777777" w:rsidR="001F04FD" w:rsidRPr="008C3CC8" w:rsidRDefault="001F04FD" w:rsidP="00AC4DEE">
            <w:pPr>
              <w:pStyle w:val="TableBody"/>
            </w:pPr>
            <w:r w:rsidRPr="008C3CC8">
              <w:lastRenderedPageBreak/>
              <w:t>HUBLMP</w:t>
            </w:r>
            <w:r w:rsidRPr="00107CC2">
              <w:rPr>
                <w:i/>
                <w:vertAlign w:val="subscript"/>
              </w:rPr>
              <w:t>NORTH345, y</w:t>
            </w:r>
          </w:p>
        </w:tc>
        <w:tc>
          <w:tcPr>
            <w:tcW w:w="1080" w:type="dxa"/>
          </w:tcPr>
          <w:p w14:paraId="2D0BCAFC" w14:textId="77777777" w:rsidR="001F04FD" w:rsidRPr="008C3CC8" w:rsidRDefault="001F04FD" w:rsidP="00AC4DEE">
            <w:pPr>
              <w:pStyle w:val="TableBody"/>
            </w:pPr>
            <w:r w:rsidRPr="008C3CC8">
              <w:t>$/MWh</w:t>
            </w:r>
          </w:p>
        </w:tc>
        <w:tc>
          <w:tcPr>
            <w:tcW w:w="6155" w:type="dxa"/>
          </w:tcPr>
          <w:p w14:paraId="3876F499" w14:textId="77777777" w:rsidR="001F04FD" w:rsidRPr="008C3CC8" w:rsidRDefault="001F04FD" w:rsidP="00AC4DEE">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1F04FD" w:rsidRPr="008C3CC8" w14:paraId="05D77522" w14:textId="77777777" w:rsidTr="00AC4DEE">
        <w:tc>
          <w:tcPr>
            <w:tcW w:w="2035" w:type="dxa"/>
          </w:tcPr>
          <w:p w14:paraId="78109859" w14:textId="77777777" w:rsidR="001F04FD" w:rsidRPr="008C3CC8" w:rsidRDefault="001F04FD" w:rsidP="00AC4DEE">
            <w:pPr>
              <w:pStyle w:val="TableBody"/>
            </w:pPr>
            <w:r w:rsidRPr="008C3CC8">
              <w:t>HUBLMP</w:t>
            </w:r>
            <w:r w:rsidRPr="00107CC2">
              <w:rPr>
                <w:i/>
                <w:vertAlign w:val="subscript"/>
              </w:rPr>
              <w:t>SOUTH345, y</w:t>
            </w:r>
          </w:p>
        </w:tc>
        <w:tc>
          <w:tcPr>
            <w:tcW w:w="1080" w:type="dxa"/>
          </w:tcPr>
          <w:p w14:paraId="2FB17356" w14:textId="77777777" w:rsidR="001F04FD" w:rsidRPr="008C3CC8" w:rsidRDefault="001F04FD" w:rsidP="00AC4DEE">
            <w:pPr>
              <w:pStyle w:val="TableBody"/>
            </w:pPr>
            <w:r w:rsidRPr="008C3CC8">
              <w:t>$/MWh</w:t>
            </w:r>
          </w:p>
        </w:tc>
        <w:tc>
          <w:tcPr>
            <w:tcW w:w="6155" w:type="dxa"/>
          </w:tcPr>
          <w:p w14:paraId="45A27E63" w14:textId="77777777" w:rsidR="001F04FD" w:rsidRPr="008C3CC8" w:rsidRDefault="001F04FD" w:rsidP="00AC4DEE">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1F04FD" w:rsidRPr="008C3CC8" w14:paraId="4AB9CB8E" w14:textId="77777777" w:rsidTr="00AC4DEE">
        <w:tc>
          <w:tcPr>
            <w:tcW w:w="2035" w:type="dxa"/>
          </w:tcPr>
          <w:p w14:paraId="35B552AC" w14:textId="77777777" w:rsidR="001F04FD" w:rsidRPr="008C3CC8" w:rsidRDefault="001F04FD" w:rsidP="00AC4DEE">
            <w:pPr>
              <w:pStyle w:val="TableBody"/>
            </w:pPr>
            <w:r w:rsidRPr="008C3CC8">
              <w:t>HUBLMP</w:t>
            </w:r>
            <w:r w:rsidRPr="00107CC2">
              <w:rPr>
                <w:i/>
                <w:vertAlign w:val="subscript"/>
              </w:rPr>
              <w:t>HOUSTON345, y</w:t>
            </w:r>
          </w:p>
        </w:tc>
        <w:tc>
          <w:tcPr>
            <w:tcW w:w="1080" w:type="dxa"/>
          </w:tcPr>
          <w:p w14:paraId="0831689B" w14:textId="77777777" w:rsidR="001F04FD" w:rsidRPr="008C3CC8" w:rsidRDefault="001F04FD" w:rsidP="00AC4DEE">
            <w:pPr>
              <w:pStyle w:val="TableBody"/>
            </w:pPr>
            <w:r w:rsidRPr="008C3CC8">
              <w:t>$/MWh</w:t>
            </w:r>
          </w:p>
        </w:tc>
        <w:tc>
          <w:tcPr>
            <w:tcW w:w="6155" w:type="dxa"/>
          </w:tcPr>
          <w:p w14:paraId="6A86A6CC" w14:textId="77777777" w:rsidR="001F04FD" w:rsidRPr="008C3CC8" w:rsidRDefault="001F04FD" w:rsidP="00AC4DEE">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1F04FD" w:rsidRPr="008C3CC8" w14:paraId="714B96CC" w14:textId="77777777" w:rsidTr="00AC4DEE">
        <w:tc>
          <w:tcPr>
            <w:tcW w:w="2035" w:type="dxa"/>
          </w:tcPr>
          <w:p w14:paraId="54C2F28F" w14:textId="77777777" w:rsidR="001F04FD" w:rsidRPr="008C3CC8" w:rsidRDefault="001F04FD" w:rsidP="00AC4DEE">
            <w:pPr>
              <w:pStyle w:val="TableBody"/>
            </w:pPr>
            <w:r w:rsidRPr="008C3CC8">
              <w:t>HUBLMP</w:t>
            </w:r>
            <w:r w:rsidRPr="00107CC2">
              <w:rPr>
                <w:i/>
                <w:vertAlign w:val="subscript"/>
              </w:rPr>
              <w:t>WEST345, y</w:t>
            </w:r>
          </w:p>
        </w:tc>
        <w:tc>
          <w:tcPr>
            <w:tcW w:w="1080" w:type="dxa"/>
          </w:tcPr>
          <w:p w14:paraId="55E027F9" w14:textId="77777777" w:rsidR="001F04FD" w:rsidRPr="008C3CC8" w:rsidRDefault="001F04FD" w:rsidP="00AC4DEE">
            <w:pPr>
              <w:pStyle w:val="TableBody"/>
            </w:pPr>
            <w:r w:rsidRPr="008C3CC8">
              <w:t>$/MWh</w:t>
            </w:r>
          </w:p>
        </w:tc>
        <w:tc>
          <w:tcPr>
            <w:tcW w:w="6155" w:type="dxa"/>
          </w:tcPr>
          <w:p w14:paraId="136A5500" w14:textId="77777777" w:rsidR="001F04FD" w:rsidRPr="008C3CC8" w:rsidRDefault="001F04FD" w:rsidP="00AC4DEE">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A01922B" w14:textId="77777777" w:rsidR="003F739B" w:rsidRDefault="003F739B" w:rsidP="003F739B">
      <w:pPr>
        <w:pStyle w:val="BodyText"/>
        <w:spacing w:after="0"/>
      </w:pPr>
      <w:bookmarkStart w:id="1737" w:name="_Toc109009384"/>
      <w:bookmarkStart w:id="1738" w:name="_Toc397505008"/>
      <w:bookmarkStart w:id="1739" w:name="_Toc402357136"/>
      <w:bookmarkStart w:id="1740" w:name="_Toc422486514"/>
      <w:bookmarkStart w:id="1741" w:name="_Toc433093366"/>
      <w:bookmarkStart w:id="1742" w:name="_Toc433093524"/>
      <w:bookmarkStart w:id="1743" w:name="_Toc440874752"/>
      <w:bookmarkStart w:id="1744" w:name="_Toc448142307"/>
      <w:bookmarkStart w:id="1745" w:name="_Toc448142464"/>
      <w:bookmarkStart w:id="1746" w:name="_Toc458770301"/>
      <w:bookmarkStart w:id="1747" w:name="_Toc459294269"/>
      <w:bookmarkStart w:id="1748" w:name="_Toc463262762"/>
      <w:bookmarkStart w:id="1749" w:name="_Toc468286835"/>
      <w:bookmarkStart w:id="1750" w:name="_Toc481502881"/>
      <w:bookmarkStart w:id="1751" w:name="_Toc496080049"/>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776199" w14:paraId="3EB1795C" w14:textId="77777777" w:rsidTr="00776199">
        <w:trPr>
          <w:trHeight w:val="8540"/>
        </w:trPr>
        <w:tc>
          <w:tcPr>
            <w:tcW w:w="9540" w:type="dxa"/>
            <w:tcBorders>
              <w:top w:val="single" w:sz="4" w:space="0" w:color="auto"/>
              <w:left w:val="single" w:sz="4" w:space="0" w:color="auto"/>
              <w:bottom w:val="single" w:sz="4" w:space="0" w:color="auto"/>
              <w:right w:val="single" w:sz="4" w:space="0" w:color="auto"/>
            </w:tcBorders>
            <w:shd w:val="clear" w:color="auto" w:fill="D9D9D9"/>
          </w:tcPr>
          <w:p w14:paraId="352ADF61" w14:textId="5E253879" w:rsidR="00776199" w:rsidRDefault="00776199" w:rsidP="00776199">
            <w:pPr>
              <w:spacing w:before="120" w:after="240"/>
              <w:rPr>
                <w:b/>
                <w:i/>
              </w:rPr>
            </w:pPr>
            <w:r>
              <w:rPr>
                <w:b/>
                <w:i/>
              </w:rPr>
              <w:t>[NPRR1057</w:t>
            </w:r>
            <w:r w:rsidRPr="004B0726">
              <w:rPr>
                <w:b/>
                <w:i/>
              </w:rPr>
              <w:t xml:space="preserve">: </w:t>
            </w:r>
            <w:r>
              <w:rPr>
                <w:b/>
                <w:i/>
              </w:rPr>
              <w:t xml:space="preserve"> Replace </w:t>
            </w:r>
            <w:r w:rsidR="002B516C">
              <w:rPr>
                <w:b/>
                <w:i/>
              </w:rPr>
              <w:t xml:space="preserve">applicable portions of </w:t>
            </w:r>
            <w:r>
              <w:rPr>
                <w:b/>
                <w:i/>
              </w:rPr>
              <w:t xml:space="preserve">Section 6.6.1.5 above </w:t>
            </w:r>
            <w:r w:rsidR="00E75154">
              <w:rPr>
                <w:b/>
                <w:i/>
              </w:rPr>
              <w:t xml:space="preserve">with the following </w:t>
            </w:r>
            <w:r>
              <w:rPr>
                <w:b/>
                <w:i/>
              </w:rPr>
              <w:t>upon system implementation of NPRR941</w:t>
            </w:r>
            <w:r w:rsidR="002B516C">
              <w:rPr>
                <w:b/>
                <w:i/>
              </w:rPr>
              <w:t xml:space="preserve"> or NPRR1057</w:t>
            </w:r>
            <w:r>
              <w:rPr>
                <w:b/>
                <w:i/>
              </w:rPr>
              <w:t>:</w:t>
            </w:r>
            <w:r w:rsidRPr="004B0726">
              <w:rPr>
                <w:b/>
                <w:i/>
              </w:rPr>
              <w:t>]</w:t>
            </w:r>
          </w:p>
          <w:p w14:paraId="48C86806" w14:textId="77777777" w:rsidR="00776199" w:rsidRDefault="00776199" w:rsidP="002B516C">
            <w:pPr>
              <w:pStyle w:val="H4"/>
              <w:tabs>
                <w:tab w:val="clear" w:pos="1260"/>
              </w:tabs>
              <w:ind w:left="0" w:firstLine="0"/>
            </w:pPr>
            <w:bookmarkStart w:id="1752" w:name="_Toc80174746"/>
            <w:bookmarkStart w:id="1753" w:name="_Toc108712505"/>
            <w:bookmarkStart w:id="1754" w:name="_Toc112417625"/>
            <w:bookmarkStart w:id="1755" w:name="_Toc119310294"/>
            <w:bookmarkStart w:id="1756" w:name="_Toc125966228"/>
            <w:bookmarkStart w:id="1757" w:name="_Toc135992326"/>
            <w:bookmarkStart w:id="1758" w:name="_Toc170303522"/>
            <w:bookmarkStart w:id="1759" w:name="_Toc175157426"/>
            <w:bookmarkStart w:id="1760" w:name="_Toc189044399"/>
            <w:r>
              <w:t>6.6.1.5</w:t>
            </w:r>
            <w:r>
              <w:tab/>
            </w:r>
            <w:r>
              <w:tab/>
              <w:t>Hub LMPs</w:t>
            </w:r>
            <w:bookmarkEnd w:id="1752"/>
            <w:bookmarkEnd w:id="1753"/>
            <w:bookmarkEnd w:id="1754"/>
            <w:bookmarkEnd w:id="1755"/>
            <w:bookmarkEnd w:id="1756"/>
            <w:bookmarkEnd w:id="1757"/>
            <w:bookmarkEnd w:id="1758"/>
            <w:bookmarkEnd w:id="1759"/>
            <w:bookmarkEnd w:id="1760"/>
          </w:p>
          <w:p w14:paraId="4B4B9B93" w14:textId="77777777" w:rsidR="00776199" w:rsidRDefault="00776199" w:rsidP="00776199">
            <w:pPr>
              <w:pStyle w:val="BodyText"/>
            </w:pPr>
            <w:r>
              <w:t>(1)</w:t>
            </w:r>
            <w:r>
              <w:tab/>
              <w:t>The Hub LMPs shall be posted on the ERCOT website.</w:t>
            </w:r>
          </w:p>
          <w:p w14:paraId="2E9C37BC" w14:textId="77777777" w:rsidR="00776199" w:rsidRDefault="00776199" w:rsidP="00776199">
            <w:pPr>
              <w:pStyle w:val="BodyText"/>
              <w:ind w:left="720" w:hanging="720"/>
            </w:pPr>
            <w:r>
              <w:t>(2)</w:t>
            </w:r>
            <w:r>
              <w:tab/>
              <w:t>For each defined Hub except for the ERCOT Hub Average 345 kV Hub and the ERCOT Bus Average 345 kV Hub, the Hub LMP is the arithmetic average of the Real-Time LMPs of the Hub Buses included in the Hub.  The Hub LMP for a SCED Interval is calculated as follows:</w:t>
            </w:r>
          </w:p>
          <w:p w14:paraId="3A12FF43" w14:textId="77777777" w:rsidR="00776199" w:rsidRPr="00042023" w:rsidRDefault="00776199" w:rsidP="00776199">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166A0FCE">
                <v:shape id="_x0000_i1065" type="#_x0000_t75" style="width:12pt;height:18pt" o:ole="">
                  <v:imagedata r:id="rId62" o:title=""/>
                </v:shape>
                <o:OLEObject Type="Embed" ProgID="Equation.3" ShapeID="_x0000_i1065" DrawAspect="Content" ObjectID="_1804653550" r:id="rId66"/>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05D790A0" w14:textId="77777777" w:rsidR="00776199" w:rsidRDefault="00776199" w:rsidP="00776199">
            <w:pPr>
              <w:pStyle w:val="FormulaBold"/>
            </w:pPr>
            <w:r>
              <w:t xml:space="preserve">HUBLMP </w:t>
            </w:r>
            <w:r>
              <w:rPr>
                <w:b w:val="0"/>
                <w:i/>
                <w:vertAlign w:val="subscript"/>
              </w:rPr>
              <w:t>Hub, y</w:t>
            </w:r>
            <w:r>
              <w:tab/>
              <w:t>=</w:t>
            </w:r>
            <w:r>
              <w:tab/>
              <w:t>HUBLMP</w:t>
            </w:r>
            <w:r>
              <w:rPr>
                <w:b w:val="0"/>
                <w:i/>
                <w:vertAlign w:val="subscript"/>
              </w:rPr>
              <w:t>ERCOT345Bus,y</w:t>
            </w:r>
            <w:r>
              <w:t>, if HB</w:t>
            </w:r>
            <w:r>
              <w:rPr>
                <w:vertAlign w:val="subscript"/>
              </w:rPr>
              <w:t xml:space="preserve"> </w:t>
            </w:r>
            <w:r>
              <w:rPr>
                <w:b w:val="0"/>
                <w:i/>
                <w:vertAlign w:val="subscript"/>
              </w:rPr>
              <w:t>Hub</w:t>
            </w:r>
            <w:r>
              <w:t xml:space="preserve"> = 0</w:t>
            </w:r>
          </w:p>
          <w:p w14:paraId="39D3F117" w14:textId="77777777" w:rsidR="00776199" w:rsidRDefault="00776199" w:rsidP="00776199">
            <w:pPr>
              <w:pStyle w:val="BodyText"/>
            </w:pPr>
            <w:r>
              <w:t>Where:</w:t>
            </w:r>
          </w:p>
          <w:p w14:paraId="12D4C438" w14:textId="77777777" w:rsidR="00776199" w:rsidRDefault="00776199" w:rsidP="00776199">
            <w:pPr>
              <w:pStyle w:val="Formula"/>
              <w:ind w:left="2880" w:hanging="2160"/>
            </w:pPr>
            <w:r>
              <w:t xml:space="preserve">RTHBP </w:t>
            </w:r>
            <w:r>
              <w:rPr>
                <w:i/>
                <w:vertAlign w:val="subscript"/>
              </w:rPr>
              <w:t>hb, Hub, y</w:t>
            </w:r>
            <w:r>
              <w:tab/>
              <w:t>=</w:t>
            </w:r>
            <w:r>
              <w:tab/>
            </w:r>
            <w:r w:rsidRPr="00160702">
              <w:rPr>
                <w:position w:val="-20"/>
              </w:rPr>
              <w:object w:dxaOrig="225" w:dyaOrig="435" w14:anchorId="7DED0EAD">
                <v:shape id="_x0000_i1066" type="#_x0000_t75" style="width:12pt;height:18pt" o:ole="">
                  <v:imagedata r:id="rId64" o:title=""/>
                </v:shape>
                <o:OLEObject Type="Embed" ProgID="Equation.3" ShapeID="_x0000_i1066" DrawAspect="Content" ObjectID="_1804653551" r:id="rId67"/>
              </w:object>
            </w:r>
            <w:r>
              <w:t xml:space="preserve">(HBDF </w:t>
            </w:r>
            <w:r>
              <w:rPr>
                <w:i/>
                <w:vertAlign w:val="subscript"/>
              </w:rPr>
              <w:t>b, hb, Hub</w:t>
            </w:r>
            <w:r>
              <w:t xml:space="preserve"> * RTLMP </w:t>
            </w:r>
            <w:r>
              <w:rPr>
                <w:i/>
                <w:vertAlign w:val="subscript"/>
              </w:rPr>
              <w:t>b, hb, Hub, y</w:t>
            </w:r>
            <w:r>
              <w:t>)</w:t>
            </w:r>
          </w:p>
          <w:p w14:paraId="0778490D" w14:textId="77777777" w:rsidR="00776199" w:rsidRDefault="00776199" w:rsidP="00776199">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2C972DBF" w14:textId="77777777" w:rsidR="00776199" w:rsidRDefault="00776199" w:rsidP="00776199">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3EC2D0CD" w14:textId="77777777" w:rsidR="00776199" w:rsidRDefault="00776199" w:rsidP="00776199">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52D12F33" w14:textId="77777777" w:rsidR="00776199" w:rsidRPr="00C97C66" w:rsidRDefault="00776199" w:rsidP="00776199">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3E0C927E"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B311BB" w:rsidRPr="008C3CC8" w14:paraId="2D500E69" w14:textId="77777777" w:rsidTr="00745852">
              <w:tc>
                <w:tcPr>
                  <w:tcW w:w="2035" w:type="dxa"/>
                </w:tcPr>
                <w:p w14:paraId="32FB88FC" w14:textId="77777777" w:rsidR="00B311BB" w:rsidRPr="008C3CC8" w:rsidRDefault="00B311BB" w:rsidP="00B311BB">
                  <w:pPr>
                    <w:pStyle w:val="TableHead"/>
                  </w:pPr>
                  <w:r w:rsidRPr="008C3CC8">
                    <w:t>Variable</w:t>
                  </w:r>
                </w:p>
              </w:tc>
              <w:tc>
                <w:tcPr>
                  <w:tcW w:w="1080" w:type="dxa"/>
                </w:tcPr>
                <w:p w14:paraId="76C2FEB7" w14:textId="77777777" w:rsidR="00B311BB" w:rsidRPr="008C3CC8" w:rsidRDefault="00B311BB" w:rsidP="00B311BB">
                  <w:pPr>
                    <w:pStyle w:val="TableHead"/>
                  </w:pPr>
                  <w:r w:rsidRPr="008C3CC8">
                    <w:t>Unit</w:t>
                  </w:r>
                </w:p>
              </w:tc>
              <w:tc>
                <w:tcPr>
                  <w:tcW w:w="6155" w:type="dxa"/>
                </w:tcPr>
                <w:p w14:paraId="31B2A426" w14:textId="77777777" w:rsidR="00B311BB" w:rsidRPr="008C3CC8" w:rsidRDefault="00B311BB" w:rsidP="00B311BB">
                  <w:pPr>
                    <w:pStyle w:val="TableHead"/>
                  </w:pPr>
                  <w:r w:rsidRPr="008C3CC8">
                    <w:t>Description</w:t>
                  </w:r>
                </w:p>
              </w:tc>
            </w:tr>
            <w:tr w:rsidR="00B311BB" w:rsidRPr="008C3CC8" w14:paraId="261AE869" w14:textId="77777777" w:rsidTr="00745852">
              <w:tc>
                <w:tcPr>
                  <w:tcW w:w="2035" w:type="dxa"/>
                </w:tcPr>
                <w:p w14:paraId="7345AC5B" w14:textId="28B725CB" w:rsidR="00B311BB" w:rsidRPr="008C3CC8" w:rsidRDefault="00B311BB" w:rsidP="00B311BB">
                  <w:pPr>
                    <w:pStyle w:val="TableBody"/>
                  </w:pPr>
                  <w:r w:rsidRPr="008C3CC8">
                    <w:t>HUBLMP</w:t>
                  </w:r>
                  <w:r w:rsidRPr="008C3CC8">
                    <w:rPr>
                      <w:b/>
                      <w:vertAlign w:val="subscript"/>
                    </w:rPr>
                    <w:t xml:space="preserve"> </w:t>
                  </w:r>
                  <w:r w:rsidRPr="00107CC2">
                    <w:rPr>
                      <w:i/>
                      <w:vertAlign w:val="subscript"/>
                    </w:rPr>
                    <w:t>Hub, y</w:t>
                  </w:r>
                </w:p>
              </w:tc>
              <w:tc>
                <w:tcPr>
                  <w:tcW w:w="1080" w:type="dxa"/>
                </w:tcPr>
                <w:p w14:paraId="52F21392" w14:textId="1531997A" w:rsidR="00B311BB" w:rsidRPr="008C3CC8" w:rsidRDefault="00B311BB" w:rsidP="00B311BB">
                  <w:pPr>
                    <w:pStyle w:val="TableBody"/>
                  </w:pPr>
                  <w:r w:rsidRPr="008C3CC8">
                    <w:t>$/MWh</w:t>
                  </w:r>
                </w:p>
              </w:tc>
              <w:tc>
                <w:tcPr>
                  <w:tcW w:w="6155" w:type="dxa"/>
                </w:tcPr>
                <w:p w14:paraId="2BE5B343" w14:textId="2AD9AC69" w:rsidR="00B311BB" w:rsidRPr="008C3CC8" w:rsidRDefault="00B311BB" w:rsidP="00B311BB">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B311BB" w:rsidRPr="008C3CC8" w14:paraId="686EB099" w14:textId="77777777" w:rsidTr="00745852">
              <w:tc>
                <w:tcPr>
                  <w:tcW w:w="2035" w:type="dxa"/>
                </w:tcPr>
                <w:p w14:paraId="7152BA2A" w14:textId="7BB7F41F" w:rsidR="00B311BB" w:rsidRPr="008C3CC8" w:rsidRDefault="00B311BB" w:rsidP="00B311BB">
                  <w:pPr>
                    <w:pStyle w:val="TableBody"/>
                  </w:pPr>
                  <w:r w:rsidRPr="008C3CC8">
                    <w:t xml:space="preserve">RTHBP </w:t>
                  </w:r>
                  <w:r w:rsidRPr="00107CC2">
                    <w:rPr>
                      <w:i/>
                      <w:vertAlign w:val="subscript"/>
                    </w:rPr>
                    <w:t>hb, Hub, y</w:t>
                  </w:r>
                </w:p>
              </w:tc>
              <w:tc>
                <w:tcPr>
                  <w:tcW w:w="1080" w:type="dxa"/>
                </w:tcPr>
                <w:p w14:paraId="0DBCDC0A" w14:textId="5B1D45C1" w:rsidR="00B311BB" w:rsidRPr="008C3CC8" w:rsidRDefault="00B311BB" w:rsidP="00B311BB">
                  <w:pPr>
                    <w:pStyle w:val="TableBody"/>
                  </w:pPr>
                  <w:r w:rsidRPr="008C3CC8">
                    <w:t>$/MWh</w:t>
                  </w:r>
                </w:p>
              </w:tc>
              <w:tc>
                <w:tcPr>
                  <w:tcW w:w="6155" w:type="dxa"/>
                </w:tcPr>
                <w:p w14:paraId="21522C00" w14:textId="0D09E258" w:rsidR="00B311BB" w:rsidRPr="008C3CC8" w:rsidRDefault="00B311BB" w:rsidP="00B311BB">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B311BB" w:rsidRPr="008C3CC8" w14:paraId="4A00A443" w14:textId="77777777" w:rsidTr="00745852">
              <w:tc>
                <w:tcPr>
                  <w:tcW w:w="2035" w:type="dxa"/>
                </w:tcPr>
                <w:p w14:paraId="7F7F6048" w14:textId="4F3D0CA8" w:rsidR="00B311BB" w:rsidRPr="008C3CC8" w:rsidRDefault="00B311BB" w:rsidP="00B311BB">
                  <w:pPr>
                    <w:pStyle w:val="TableBody"/>
                  </w:pPr>
                  <w:r>
                    <w:t>HUBLMP</w:t>
                  </w:r>
                  <w:r>
                    <w:rPr>
                      <w:i/>
                      <w:vertAlign w:val="subscript"/>
                    </w:rPr>
                    <w:t xml:space="preserve"> </w:t>
                  </w:r>
                  <w:r w:rsidRPr="008B7A91">
                    <w:rPr>
                      <w:i/>
                      <w:vertAlign w:val="subscript"/>
                    </w:rPr>
                    <w:t>ERCOT345Bus</w:t>
                  </w:r>
                  <w:r>
                    <w:rPr>
                      <w:i/>
                      <w:vertAlign w:val="subscript"/>
                    </w:rPr>
                    <w:t>,y</w:t>
                  </w:r>
                </w:p>
              </w:tc>
              <w:tc>
                <w:tcPr>
                  <w:tcW w:w="1080" w:type="dxa"/>
                </w:tcPr>
                <w:p w14:paraId="549DB1B3" w14:textId="741B55D4" w:rsidR="00B311BB" w:rsidRPr="008C3CC8" w:rsidRDefault="00B311BB" w:rsidP="00B311BB">
                  <w:pPr>
                    <w:pStyle w:val="TableBody"/>
                  </w:pPr>
                  <w:r>
                    <w:t>$/MWh</w:t>
                  </w:r>
                </w:p>
              </w:tc>
              <w:tc>
                <w:tcPr>
                  <w:tcW w:w="6155" w:type="dxa"/>
                </w:tcPr>
                <w:p w14:paraId="40B7107F" w14:textId="57B8AD2F" w:rsidR="00B311BB" w:rsidRPr="008C3CC8" w:rsidRDefault="00B311BB" w:rsidP="00B311BB">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B311BB" w:rsidRPr="008C3CC8" w14:paraId="14A02917" w14:textId="77777777" w:rsidTr="00745852">
              <w:tc>
                <w:tcPr>
                  <w:tcW w:w="2035" w:type="dxa"/>
                </w:tcPr>
                <w:p w14:paraId="4DF3AA97" w14:textId="62D8D7FD" w:rsidR="00B311BB" w:rsidRPr="008C3CC8" w:rsidRDefault="00B311BB" w:rsidP="00B311BB">
                  <w:pPr>
                    <w:pStyle w:val="TableBody"/>
                  </w:pPr>
                  <w:r w:rsidRPr="008C3CC8">
                    <w:rPr>
                      <w:lang w:val="fr-FR"/>
                    </w:rPr>
                    <w:lastRenderedPageBreak/>
                    <w:t xml:space="preserve">RTLMP </w:t>
                  </w:r>
                  <w:r w:rsidRPr="00107CC2">
                    <w:rPr>
                      <w:i/>
                      <w:vertAlign w:val="subscript"/>
                      <w:lang w:val="fr-FR"/>
                    </w:rPr>
                    <w:t>b, hb, Hub, y</w:t>
                  </w:r>
                </w:p>
              </w:tc>
              <w:tc>
                <w:tcPr>
                  <w:tcW w:w="1080" w:type="dxa"/>
                </w:tcPr>
                <w:p w14:paraId="17E441DE" w14:textId="33E2DEAD" w:rsidR="00B311BB" w:rsidRPr="008C3CC8" w:rsidRDefault="00B311BB" w:rsidP="00B311BB">
                  <w:pPr>
                    <w:pStyle w:val="TableBody"/>
                  </w:pPr>
                  <w:r w:rsidRPr="008C3CC8">
                    <w:t>$/MWh</w:t>
                  </w:r>
                </w:p>
              </w:tc>
              <w:tc>
                <w:tcPr>
                  <w:tcW w:w="6155" w:type="dxa"/>
                </w:tcPr>
                <w:p w14:paraId="2ABFA16A" w14:textId="21855D8E" w:rsidR="00B311BB" w:rsidRPr="008C3CC8" w:rsidRDefault="00B311BB" w:rsidP="00B311BB">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B311BB" w:rsidRPr="008C3CC8" w14:paraId="46C05FEB" w14:textId="77777777" w:rsidTr="00745852">
              <w:tc>
                <w:tcPr>
                  <w:tcW w:w="2035" w:type="dxa"/>
                </w:tcPr>
                <w:p w14:paraId="37A78A76" w14:textId="1462C7BC" w:rsidR="00B311BB" w:rsidRPr="008C3CC8" w:rsidRDefault="00B311BB" w:rsidP="00B311BB">
                  <w:pPr>
                    <w:pStyle w:val="TableBody"/>
                  </w:pPr>
                  <w:r w:rsidRPr="008C3CC8">
                    <w:t xml:space="preserve">HUBDF </w:t>
                  </w:r>
                  <w:r w:rsidRPr="00107CC2">
                    <w:rPr>
                      <w:i/>
                      <w:vertAlign w:val="subscript"/>
                    </w:rPr>
                    <w:t>hb, Hub</w:t>
                  </w:r>
                </w:p>
              </w:tc>
              <w:tc>
                <w:tcPr>
                  <w:tcW w:w="1080" w:type="dxa"/>
                </w:tcPr>
                <w:p w14:paraId="31779E6B" w14:textId="2C954526" w:rsidR="00B311BB" w:rsidRPr="008C3CC8" w:rsidRDefault="00B311BB" w:rsidP="00B311BB">
                  <w:pPr>
                    <w:pStyle w:val="TableBody"/>
                  </w:pPr>
                  <w:r w:rsidRPr="008C3CC8">
                    <w:t>none</w:t>
                  </w:r>
                </w:p>
              </w:tc>
              <w:tc>
                <w:tcPr>
                  <w:tcW w:w="6155" w:type="dxa"/>
                </w:tcPr>
                <w:p w14:paraId="550548A2" w14:textId="758A9213" w:rsidR="00B311BB" w:rsidRPr="008C3CC8" w:rsidRDefault="00B311BB" w:rsidP="00B311BB">
                  <w:pPr>
                    <w:pStyle w:val="TableBody"/>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B311BB" w:rsidRPr="008C3CC8" w14:paraId="29AAC628" w14:textId="77777777" w:rsidTr="00745852">
              <w:tc>
                <w:tcPr>
                  <w:tcW w:w="2035" w:type="dxa"/>
                </w:tcPr>
                <w:p w14:paraId="13AC939A" w14:textId="6012E9D9" w:rsidR="00B311BB" w:rsidRPr="008C3CC8" w:rsidRDefault="00B311BB" w:rsidP="00B311BB">
                  <w:pPr>
                    <w:pStyle w:val="TableBody"/>
                  </w:pPr>
                  <w:r w:rsidRPr="008C3CC8">
                    <w:t xml:space="preserve">HBDF </w:t>
                  </w:r>
                  <w:r w:rsidRPr="00107CC2">
                    <w:rPr>
                      <w:i/>
                      <w:vertAlign w:val="subscript"/>
                    </w:rPr>
                    <w:t>b, hb, Hub</w:t>
                  </w:r>
                </w:p>
              </w:tc>
              <w:tc>
                <w:tcPr>
                  <w:tcW w:w="1080" w:type="dxa"/>
                </w:tcPr>
                <w:p w14:paraId="5EA72B59" w14:textId="50A208EA" w:rsidR="00B311BB" w:rsidRPr="008C3CC8" w:rsidRDefault="00B311BB" w:rsidP="00B311BB">
                  <w:pPr>
                    <w:pStyle w:val="TableBody"/>
                  </w:pPr>
                  <w:r w:rsidRPr="008C3CC8">
                    <w:t>none</w:t>
                  </w:r>
                </w:p>
              </w:tc>
              <w:tc>
                <w:tcPr>
                  <w:tcW w:w="6155" w:type="dxa"/>
                </w:tcPr>
                <w:p w14:paraId="4E36DC35" w14:textId="733CE61A" w:rsidR="00B311BB" w:rsidRPr="008C3CC8" w:rsidRDefault="00B311BB" w:rsidP="00B311BB">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B311BB" w:rsidRPr="008C3CC8" w14:paraId="69C15A76" w14:textId="77777777" w:rsidTr="00745852">
              <w:tc>
                <w:tcPr>
                  <w:tcW w:w="2035" w:type="dxa"/>
                </w:tcPr>
                <w:p w14:paraId="55F11E31" w14:textId="02545F45" w:rsidR="00B311BB" w:rsidRPr="008C3CC8" w:rsidRDefault="00B311BB" w:rsidP="00B311BB">
                  <w:pPr>
                    <w:pStyle w:val="TableBody"/>
                  </w:pPr>
                  <w:r w:rsidRPr="008C3CC8">
                    <w:t xml:space="preserve">B </w:t>
                  </w:r>
                  <w:r w:rsidRPr="00107CC2">
                    <w:rPr>
                      <w:i/>
                      <w:vertAlign w:val="subscript"/>
                    </w:rPr>
                    <w:t>hb, Hub</w:t>
                  </w:r>
                </w:p>
              </w:tc>
              <w:tc>
                <w:tcPr>
                  <w:tcW w:w="1080" w:type="dxa"/>
                </w:tcPr>
                <w:p w14:paraId="1E202C53" w14:textId="79D79C3A" w:rsidR="00B311BB" w:rsidRPr="008C3CC8" w:rsidRDefault="00B311BB" w:rsidP="00B311BB">
                  <w:pPr>
                    <w:pStyle w:val="TableBody"/>
                  </w:pPr>
                  <w:r w:rsidRPr="008C3CC8">
                    <w:t>none</w:t>
                  </w:r>
                </w:p>
              </w:tc>
              <w:tc>
                <w:tcPr>
                  <w:tcW w:w="6155" w:type="dxa"/>
                </w:tcPr>
                <w:p w14:paraId="53511C8E" w14:textId="5F9145D2" w:rsidR="00B311BB" w:rsidRPr="008C3CC8" w:rsidRDefault="00B311BB" w:rsidP="00B311BB">
                  <w:pPr>
                    <w:pStyle w:val="TableBody"/>
                  </w:pPr>
                  <w:r w:rsidRPr="008C3CC8">
                    <w:t xml:space="preserve">The total number of energized Electrical Buses in Hub Bus </w:t>
                  </w:r>
                  <w:r w:rsidRPr="00042023">
                    <w:rPr>
                      <w:i/>
                    </w:rPr>
                    <w:t>hb</w:t>
                  </w:r>
                  <w:r w:rsidRPr="008C3CC8">
                    <w:t>.</w:t>
                  </w:r>
                </w:p>
              </w:tc>
            </w:tr>
            <w:tr w:rsidR="00B311BB" w:rsidRPr="008C3CC8" w14:paraId="308E11B9" w14:textId="77777777" w:rsidTr="00745852">
              <w:tc>
                <w:tcPr>
                  <w:tcW w:w="2035" w:type="dxa"/>
                </w:tcPr>
                <w:p w14:paraId="4A275DA6" w14:textId="633077A8" w:rsidR="00B311BB" w:rsidRPr="008C3CC8" w:rsidRDefault="00B311BB" w:rsidP="00B311BB">
                  <w:pPr>
                    <w:pStyle w:val="TableBody"/>
                  </w:pPr>
                  <w:r w:rsidRPr="008C3CC8">
                    <w:t>HB</w:t>
                  </w:r>
                  <w:r w:rsidRPr="008C3CC8">
                    <w:rPr>
                      <w:vertAlign w:val="subscript"/>
                    </w:rPr>
                    <w:t xml:space="preserve"> </w:t>
                  </w:r>
                  <w:r w:rsidRPr="00107CC2">
                    <w:rPr>
                      <w:i/>
                      <w:vertAlign w:val="subscript"/>
                    </w:rPr>
                    <w:t>Hub</w:t>
                  </w:r>
                </w:p>
              </w:tc>
              <w:tc>
                <w:tcPr>
                  <w:tcW w:w="1080" w:type="dxa"/>
                </w:tcPr>
                <w:p w14:paraId="634080BF" w14:textId="556B5739" w:rsidR="00B311BB" w:rsidRPr="008C3CC8" w:rsidRDefault="00B311BB" w:rsidP="00B311BB">
                  <w:pPr>
                    <w:pStyle w:val="TableBody"/>
                  </w:pPr>
                  <w:r w:rsidRPr="008C3CC8">
                    <w:t>none</w:t>
                  </w:r>
                </w:p>
              </w:tc>
              <w:tc>
                <w:tcPr>
                  <w:tcW w:w="6155" w:type="dxa"/>
                </w:tcPr>
                <w:p w14:paraId="3C980F41" w14:textId="11FE14D4" w:rsidR="00B311BB" w:rsidRPr="008C3CC8" w:rsidRDefault="00B311BB" w:rsidP="00B311BB">
                  <w:pPr>
                    <w:pStyle w:val="TableBody"/>
                  </w:pPr>
                  <w:r w:rsidRPr="008C3CC8">
                    <w:t>The total number of Hub Buses in the Hub with at least one energized component in each Hub Bus.</w:t>
                  </w:r>
                </w:p>
              </w:tc>
            </w:tr>
            <w:tr w:rsidR="00B311BB" w:rsidRPr="008C3CC8" w14:paraId="7C7CC138" w14:textId="77777777" w:rsidTr="00745852">
              <w:tc>
                <w:tcPr>
                  <w:tcW w:w="2035" w:type="dxa"/>
                </w:tcPr>
                <w:p w14:paraId="65006CCD" w14:textId="5B71CACD" w:rsidR="00B311BB" w:rsidRPr="008C3CC8" w:rsidRDefault="00B311BB" w:rsidP="00B311BB">
                  <w:pPr>
                    <w:pStyle w:val="TableBody"/>
                  </w:pPr>
                  <w:r w:rsidRPr="00107CC2">
                    <w:rPr>
                      <w:i/>
                    </w:rPr>
                    <w:t>Hub</w:t>
                  </w:r>
                </w:p>
              </w:tc>
              <w:tc>
                <w:tcPr>
                  <w:tcW w:w="1080" w:type="dxa"/>
                </w:tcPr>
                <w:p w14:paraId="5C5AD6DA" w14:textId="377E06BF" w:rsidR="00B311BB" w:rsidRPr="008C3CC8" w:rsidRDefault="00B311BB" w:rsidP="00B311BB">
                  <w:pPr>
                    <w:pStyle w:val="TableBody"/>
                  </w:pPr>
                  <w:r w:rsidRPr="008C3CC8">
                    <w:t>none</w:t>
                  </w:r>
                </w:p>
              </w:tc>
              <w:tc>
                <w:tcPr>
                  <w:tcW w:w="6155" w:type="dxa"/>
                </w:tcPr>
                <w:p w14:paraId="23F155FE" w14:textId="78D592EB" w:rsidR="00B311BB" w:rsidRPr="008C3CC8" w:rsidRDefault="00B311BB" w:rsidP="00B311BB">
                  <w:pPr>
                    <w:pStyle w:val="TableBody"/>
                  </w:pPr>
                  <w:r w:rsidRPr="008C3CC8">
                    <w:t>One of the following Hubs: North 345 kV Hub, South 345 kV Hub, Houston 345 kV Hub, West 345 kV Hub</w:t>
                  </w:r>
                  <w:r>
                    <w:t xml:space="preserve">, the Panhandle 345 kV Hub, or the </w:t>
                  </w:r>
                  <w:r w:rsidRPr="005D7AE8">
                    <w:t>Lower Rio Grande Valley</w:t>
                  </w:r>
                  <w:r>
                    <w:t xml:space="preserve"> 138/</w:t>
                  </w:r>
                  <w:r w:rsidRPr="00754830">
                    <w:t>345 kV Hub</w:t>
                  </w:r>
                  <w:r>
                    <w:t>.</w:t>
                  </w:r>
                </w:p>
              </w:tc>
            </w:tr>
            <w:tr w:rsidR="00B311BB" w:rsidRPr="008C3CC8" w14:paraId="6AF845D5" w14:textId="77777777" w:rsidTr="00745852">
              <w:tc>
                <w:tcPr>
                  <w:tcW w:w="2035" w:type="dxa"/>
                </w:tcPr>
                <w:p w14:paraId="7979CB0D" w14:textId="347230CA" w:rsidR="00B311BB" w:rsidRPr="008C3CC8" w:rsidRDefault="00B311BB" w:rsidP="00B311BB">
                  <w:pPr>
                    <w:pStyle w:val="TableBody"/>
                  </w:pPr>
                  <w:r w:rsidRPr="00A61E91">
                    <w:rPr>
                      <w:i/>
                    </w:rPr>
                    <w:t>hb</w:t>
                  </w:r>
                </w:p>
              </w:tc>
              <w:tc>
                <w:tcPr>
                  <w:tcW w:w="1080" w:type="dxa"/>
                </w:tcPr>
                <w:p w14:paraId="506F9A06" w14:textId="1BC6931F" w:rsidR="00B311BB" w:rsidRPr="008C3CC8" w:rsidRDefault="00B311BB" w:rsidP="00B311BB">
                  <w:pPr>
                    <w:pStyle w:val="TableBody"/>
                  </w:pPr>
                  <w:r w:rsidRPr="008C3CC8">
                    <w:t>none</w:t>
                  </w:r>
                </w:p>
              </w:tc>
              <w:tc>
                <w:tcPr>
                  <w:tcW w:w="6155" w:type="dxa"/>
                </w:tcPr>
                <w:p w14:paraId="6474AC06" w14:textId="2C06C8A8" w:rsidR="00B311BB" w:rsidRPr="008C3CC8" w:rsidRDefault="00B311BB" w:rsidP="00B311BB">
                  <w:pPr>
                    <w:pStyle w:val="TableBody"/>
                  </w:pPr>
                  <w:r w:rsidRPr="008C3CC8">
                    <w:t>A Hub Bus that is a component of the Hub</w:t>
                  </w:r>
                  <w:r>
                    <w:t xml:space="preserve"> with at least one energized component</w:t>
                  </w:r>
                  <w:r w:rsidRPr="008C3CC8">
                    <w:t>.</w:t>
                  </w:r>
                </w:p>
              </w:tc>
            </w:tr>
            <w:tr w:rsidR="00B311BB" w:rsidRPr="008C3CC8" w14:paraId="22D7F103" w14:textId="77777777" w:rsidTr="00745852">
              <w:tc>
                <w:tcPr>
                  <w:tcW w:w="2035" w:type="dxa"/>
                </w:tcPr>
                <w:p w14:paraId="519BEC8C" w14:textId="1B4C97F2" w:rsidR="00B311BB" w:rsidRPr="008C3CC8" w:rsidRDefault="00B311BB" w:rsidP="00B311BB">
                  <w:pPr>
                    <w:pStyle w:val="TableBody"/>
                  </w:pPr>
                  <w:r w:rsidRPr="00A61E91">
                    <w:rPr>
                      <w:i/>
                    </w:rPr>
                    <w:t>y</w:t>
                  </w:r>
                </w:p>
              </w:tc>
              <w:tc>
                <w:tcPr>
                  <w:tcW w:w="1080" w:type="dxa"/>
                </w:tcPr>
                <w:p w14:paraId="65CE8D8D" w14:textId="646DDA41" w:rsidR="00B311BB" w:rsidRPr="008C3CC8" w:rsidRDefault="00B311BB" w:rsidP="00B311BB">
                  <w:pPr>
                    <w:pStyle w:val="TableBody"/>
                  </w:pPr>
                  <w:r w:rsidRPr="008C3CC8">
                    <w:t>none</w:t>
                  </w:r>
                </w:p>
              </w:tc>
              <w:tc>
                <w:tcPr>
                  <w:tcW w:w="6155" w:type="dxa"/>
                </w:tcPr>
                <w:p w14:paraId="40193A22" w14:textId="655AEA6B" w:rsidR="00B311BB" w:rsidRPr="008C3CC8" w:rsidRDefault="00B311BB" w:rsidP="00B311BB">
                  <w:pPr>
                    <w:pStyle w:val="TableBody"/>
                  </w:pPr>
                  <w:r w:rsidRPr="008C3CC8">
                    <w:t>A SCED interval.</w:t>
                  </w:r>
                </w:p>
              </w:tc>
            </w:tr>
            <w:tr w:rsidR="00B311BB" w:rsidRPr="008C3CC8" w14:paraId="1228133E" w14:textId="77777777" w:rsidTr="00745852">
              <w:tc>
                <w:tcPr>
                  <w:tcW w:w="2035" w:type="dxa"/>
                </w:tcPr>
                <w:p w14:paraId="5145BE94" w14:textId="6BDFFFE8" w:rsidR="00B311BB" w:rsidRPr="008C3CC8" w:rsidRDefault="00B311BB" w:rsidP="00B311BB">
                  <w:pPr>
                    <w:pStyle w:val="TableBody"/>
                  </w:pPr>
                  <w:r w:rsidRPr="00A61E91">
                    <w:rPr>
                      <w:i/>
                    </w:rPr>
                    <w:t>b</w:t>
                  </w:r>
                </w:p>
              </w:tc>
              <w:tc>
                <w:tcPr>
                  <w:tcW w:w="1080" w:type="dxa"/>
                </w:tcPr>
                <w:p w14:paraId="7BAD2055" w14:textId="0B695CD9" w:rsidR="00B311BB" w:rsidRPr="008C3CC8" w:rsidRDefault="00B311BB" w:rsidP="00B311BB">
                  <w:pPr>
                    <w:pStyle w:val="TableBody"/>
                  </w:pPr>
                  <w:r w:rsidRPr="008C3CC8">
                    <w:t>none</w:t>
                  </w:r>
                </w:p>
              </w:tc>
              <w:tc>
                <w:tcPr>
                  <w:tcW w:w="6155" w:type="dxa"/>
                </w:tcPr>
                <w:p w14:paraId="3BBE64A6" w14:textId="641BA428" w:rsidR="00B311BB" w:rsidRPr="008C3CC8" w:rsidRDefault="00B311BB" w:rsidP="00B311BB">
                  <w:pPr>
                    <w:pStyle w:val="TableBody"/>
                  </w:pPr>
                  <w:r w:rsidRPr="008C3CC8">
                    <w:t>An energized Electrical Bus that is a component of a Hub Bus.</w:t>
                  </w:r>
                </w:p>
              </w:tc>
            </w:tr>
          </w:tbl>
          <w:p w14:paraId="134AC816" w14:textId="77777777" w:rsidR="00776199" w:rsidRDefault="00776199" w:rsidP="00776199">
            <w:pPr>
              <w:pStyle w:val="BodyText"/>
              <w:spacing w:before="240"/>
              <w:ind w:left="720" w:hanging="720"/>
            </w:pPr>
            <w:r>
              <w:t>(3)</w:t>
            </w:r>
            <w:r>
              <w:tab/>
              <w:t xml:space="preserve">The Hub LMP for the ERCOT Hub Average 345 kV Hub (ERCOT 345) for a SCED Interval is calculated as follows: </w:t>
            </w:r>
          </w:p>
          <w:p w14:paraId="36EA9EC7" w14:textId="77777777" w:rsidR="00776199" w:rsidRDefault="00776199" w:rsidP="00776199">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61DA0744"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03D17CED" w14:textId="77777777" w:rsidTr="00745852">
              <w:tc>
                <w:tcPr>
                  <w:tcW w:w="2035" w:type="dxa"/>
                </w:tcPr>
                <w:p w14:paraId="27F63A70" w14:textId="77777777" w:rsidR="002B516C" w:rsidRPr="008C3CC8" w:rsidRDefault="002B516C" w:rsidP="002B516C">
                  <w:pPr>
                    <w:pStyle w:val="TableHead"/>
                  </w:pPr>
                  <w:r w:rsidRPr="008C3CC8">
                    <w:t>Variable</w:t>
                  </w:r>
                </w:p>
              </w:tc>
              <w:tc>
                <w:tcPr>
                  <w:tcW w:w="1080" w:type="dxa"/>
                </w:tcPr>
                <w:p w14:paraId="2C2C9F40" w14:textId="77777777" w:rsidR="002B516C" w:rsidRPr="008C3CC8" w:rsidRDefault="002B516C" w:rsidP="002B516C">
                  <w:pPr>
                    <w:pStyle w:val="TableHead"/>
                  </w:pPr>
                  <w:r w:rsidRPr="008C3CC8">
                    <w:t>Unit</w:t>
                  </w:r>
                </w:p>
              </w:tc>
              <w:tc>
                <w:tcPr>
                  <w:tcW w:w="6155" w:type="dxa"/>
                </w:tcPr>
                <w:p w14:paraId="46E61571" w14:textId="77777777" w:rsidR="002B516C" w:rsidRPr="008C3CC8" w:rsidRDefault="002B516C" w:rsidP="002B516C">
                  <w:pPr>
                    <w:pStyle w:val="TableHead"/>
                  </w:pPr>
                  <w:r w:rsidRPr="008C3CC8">
                    <w:t>Description</w:t>
                  </w:r>
                </w:p>
              </w:tc>
            </w:tr>
            <w:tr w:rsidR="002B516C" w:rsidRPr="008C3CC8" w14:paraId="21FC2D91" w14:textId="77777777" w:rsidTr="00745852">
              <w:tc>
                <w:tcPr>
                  <w:tcW w:w="2035" w:type="dxa"/>
                </w:tcPr>
                <w:p w14:paraId="16B240A7" w14:textId="59948D3F" w:rsidR="002B516C" w:rsidRPr="008C3CC8" w:rsidRDefault="002B516C" w:rsidP="002B516C">
                  <w:pPr>
                    <w:pStyle w:val="TableBody"/>
                  </w:pPr>
                  <w:r w:rsidRPr="008C3CC8">
                    <w:t>HUBLMP</w:t>
                  </w:r>
                  <w:r w:rsidRPr="00107CC2">
                    <w:rPr>
                      <w:i/>
                      <w:vertAlign w:val="subscript"/>
                    </w:rPr>
                    <w:t>ERCOT345, y</w:t>
                  </w:r>
                </w:p>
              </w:tc>
              <w:tc>
                <w:tcPr>
                  <w:tcW w:w="1080" w:type="dxa"/>
                </w:tcPr>
                <w:p w14:paraId="4F67151E" w14:textId="32FB7D6F" w:rsidR="002B516C" w:rsidRPr="008C3CC8" w:rsidRDefault="002B516C" w:rsidP="002B516C">
                  <w:pPr>
                    <w:pStyle w:val="TableBody"/>
                  </w:pPr>
                  <w:r w:rsidRPr="008C3CC8">
                    <w:t>$/MWh</w:t>
                  </w:r>
                </w:p>
              </w:tc>
              <w:tc>
                <w:tcPr>
                  <w:tcW w:w="6155" w:type="dxa"/>
                </w:tcPr>
                <w:p w14:paraId="40A2008E" w14:textId="7507D31A" w:rsidR="002B516C" w:rsidRPr="008C3CC8" w:rsidRDefault="002B516C" w:rsidP="002B516C">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2B516C" w:rsidRPr="008C3CC8" w14:paraId="1E86BD77" w14:textId="77777777" w:rsidTr="00745852">
              <w:tc>
                <w:tcPr>
                  <w:tcW w:w="2035" w:type="dxa"/>
                </w:tcPr>
                <w:p w14:paraId="626CCF51" w14:textId="483A8D19" w:rsidR="002B516C" w:rsidRPr="008C3CC8" w:rsidRDefault="002B516C" w:rsidP="002B516C">
                  <w:pPr>
                    <w:pStyle w:val="TableBody"/>
                  </w:pPr>
                  <w:r w:rsidRPr="008C3CC8">
                    <w:t>HUBLMP</w:t>
                  </w:r>
                  <w:r w:rsidRPr="00107CC2">
                    <w:rPr>
                      <w:i/>
                      <w:vertAlign w:val="subscript"/>
                    </w:rPr>
                    <w:t>NORTH345, y</w:t>
                  </w:r>
                </w:p>
              </w:tc>
              <w:tc>
                <w:tcPr>
                  <w:tcW w:w="1080" w:type="dxa"/>
                </w:tcPr>
                <w:p w14:paraId="035A46BF" w14:textId="0943CD47" w:rsidR="002B516C" w:rsidRPr="008C3CC8" w:rsidRDefault="002B516C" w:rsidP="002B516C">
                  <w:pPr>
                    <w:pStyle w:val="TableBody"/>
                  </w:pPr>
                  <w:r w:rsidRPr="008C3CC8">
                    <w:t>$/MWh</w:t>
                  </w:r>
                </w:p>
              </w:tc>
              <w:tc>
                <w:tcPr>
                  <w:tcW w:w="6155" w:type="dxa"/>
                </w:tcPr>
                <w:p w14:paraId="3958CB94" w14:textId="0926E46E" w:rsidR="002B516C" w:rsidRPr="008C3CC8" w:rsidRDefault="002B516C" w:rsidP="002B516C">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2B516C" w:rsidRPr="008C3CC8" w14:paraId="467E2D60" w14:textId="77777777" w:rsidTr="00745852">
              <w:tc>
                <w:tcPr>
                  <w:tcW w:w="2035" w:type="dxa"/>
                </w:tcPr>
                <w:p w14:paraId="321F49C2" w14:textId="3415F5F3" w:rsidR="002B516C" w:rsidRPr="008C3CC8" w:rsidRDefault="002B516C" w:rsidP="002B516C">
                  <w:pPr>
                    <w:pStyle w:val="TableBody"/>
                  </w:pPr>
                  <w:r w:rsidRPr="008C3CC8">
                    <w:t>HUBLMP</w:t>
                  </w:r>
                  <w:r w:rsidRPr="00107CC2">
                    <w:rPr>
                      <w:i/>
                      <w:vertAlign w:val="subscript"/>
                    </w:rPr>
                    <w:t>SOUTH345, y</w:t>
                  </w:r>
                </w:p>
              </w:tc>
              <w:tc>
                <w:tcPr>
                  <w:tcW w:w="1080" w:type="dxa"/>
                </w:tcPr>
                <w:p w14:paraId="755D74E9" w14:textId="498948A3" w:rsidR="002B516C" w:rsidRPr="008C3CC8" w:rsidRDefault="002B516C" w:rsidP="002B516C">
                  <w:pPr>
                    <w:pStyle w:val="TableBody"/>
                  </w:pPr>
                  <w:r w:rsidRPr="008C3CC8">
                    <w:t>$/MWh</w:t>
                  </w:r>
                </w:p>
              </w:tc>
              <w:tc>
                <w:tcPr>
                  <w:tcW w:w="6155" w:type="dxa"/>
                </w:tcPr>
                <w:p w14:paraId="1D5AFBE4" w14:textId="32B47B7E" w:rsidR="002B516C" w:rsidRPr="008C3CC8" w:rsidRDefault="002B516C" w:rsidP="002B516C">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2B516C" w:rsidRPr="008C3CC8" w14:paraId="1A427F2E" w14:textId="77777777" w:rsidTr="00745852">
              <w:tc>
                <w:tcPr>
                  <w:tcW w:w="2035" w:type="dxa"/>
                </w:tcPr>
                <w:p w14:paraId="719F83A7" w14:textId="50F2684A" w:rsidR="002B516C" w:rsidRPr="008C3CC8" w:rsidRDefault="002B516C" w:rsidP="002B516C">
                  <w:pPr>
                    <w:pStyle w:val="TableBody"/>
                  </w:pPr>
                  <w:r w:rsidRPr="008C3CC8">
                    <w:t>HUBLMP</w:t>
                  </w:r>
                  <w:r w:rsidRPr="00107CC2">
                    <w:rPr>
                      <w:i/>
                      <w:vertAlign w:val="subscript"/>
                    </w:rPr>
                    <w:t>HOUSTON345, y</w:t>
                  </w:r>
                </w:p>
              </w:tc>
              <w:tc>
                <w:tcPr>
                  <w:tcW w:w="1080" w:type="dxa"/>
                </w:tcPr>
                <w:p w14:paraId="0F8A9E53" w14:textId="7E97BEB6" w:rsidR="002B516C" w:rsidRPr="008C3CC8" w:rsidRDefault="002B516C" w:rsidP="002B516C">
                  <w:pPr>
                    <w:pStyle w:val="TableBody"/>
                  </w:pPr>
                  <w:r w:rsidRPr="008C3CC8">
                    <w:t>$/MWh</w:t>
                  </w:r>
                </w:p>
              </w:tc>
              <w:tc>
                <w:tcPr>
                  <w:tcW w:w="6155" w:type="dxa"/>
                </w:tcPr>
                <w:p w14:paraId="53E884FB" w14:textId="1E7C5889" w:rsidR="002B516C" w:rsidRPr="008C3CC8" w:rsidRDefault="002B516C" w:rsidP="002B516C">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2B516C" w:rsidRPr="008C3CC8" w14:paraId="345F66DB" w14:textId="77777777" w:rsidTr="00745852">
              <w:tc>
                <w:tcPr>
                  <w:tcW w:w="2035" w:type="dxa"/>
                </w:tcPr>
                <w:p w14:paraId="0415D411" w14:textId="235D4288" w:rsidR="002B516C" w:rsidRPr="008C3CC8" w:rsidRDefault="002B516C" w:rsidP="002B516C">
                  <w:pPr>
                    <w:pStyle w:val="TableBody"/>
                  </w:pPr>
                  <w:r w:rsidRPr="008C3CC8">
                    <w:t>HUBLMP</w:t>
                  </w:r>
                  <w:r w:rsidRPr="00107CC2">
                    <w:rPr>
                      <w:i/>
                      <w:vertAlign w:val="subscript"/>
                    </w:rPr>
                    <w:t>WEST345, y</w:t>
                  </w:r>
                </w:p>
              </w:tc>
              <w:tc>
                <w:tcPr>
                  <w:tcW w:w="1080" w:type="dxa"/>
                </w:tcPr>
                <w:p w14:paraId="5475472C" w14:textId="4BCE2F2D" w:rsidR="002B516C" w:rsidRPr="008C3CC8" w:rsidRDefault="002B516C" w:rsidP="002B516C">
                  <w:pPr>
                    <w:pStyle w:val="TableBody"/>
                  </w:pPr>
                  <w:r w:rsidRPr="008C3CC8">
                    <w:t>$/MWh</w:t>
                  </w:r>
                </w:p>
              </w:tc>
              <w:tc>
                <w:tcPr>
                  <w:tcW w:w="6155" w:type="dxa"/>
                </w:tcPr>
                <w:p w14:paraId="32384943" w14:textId="3FF4AE09" w:rsidR="002B516C" w:rsidRPr="008C3CC8" w:rsidRDefault="002B516C" w:rsidP="002B516C">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1D97CEB" w14:textId="77777777" w:rsidR="00776199" w:rsidRDefault="00776199" w:rsidP="00776199">
            <w:pPr>
              <w:pStyle w:val="BodyText"/>
              <w:spacing w:before="240"/>
              <w:ind w:left="720" w:hanging="720"/>
            </w:pPr>
            <w:r>
              <w:t>(4)</w:t>
            </w:r>
            <w:r>
              <w:tab/>
              <w:t xml:space="preserve">The Hub LMP for the ERCOT Bus Average 345 kV Hub (ERCOT 345 Bus) for a SCED Interval is calculated as follows: </w:t>
            </w:r>
          </w:p>
          <w:p w14:paraId="4F9A14D1" w14:textId="77777777" w:rsidR="00776199" w:rsidRPr="00042023" w:rsidRDefault="00776199" w:rsidP="00776199">
            <w:pPr>
              <w:pStyle w:val="FormulaBold"/>
              <w:rPr>
                <w:b w:val="0"/>
                <w:i/>
              </w:rPr>
            </w:pPr>
            <w:r>
              <w:t>HUBLMP</w:t>
            </w:r>
            <w:r>
              <w:rPr>
                <w:b w:val="0"/>
                <w:i/>
                <w:vertAlign w:val="subscript"/>
              </w:rPr>
              <w:t xml:space="preserve"> ERCOT345Bus, y</w:t>
            </w:r>
            <w:r>
              <w:tab/>
            </w:r>
            <w:r>
              <w:tab/>
              <w:t>=</w:t>
            </w:r>
            <w:r w:rsidRPr="00160702">
              <w:rPr>
                <w:position w:val="-20"/>
              </w:rPr>
              <w:object w:dxaOrig="225" w:dyaOrig="435" w14:anchorId="0A58EF92">
                <v:shape id="_x0000_i1067" type="#_x0000_t75" style="width:12pt;height:24pt" o:ole="">
                  <v:imagedata r:id="rId62" o:title=""/>
                </v:shape>
                <o:OLEObject Type="Embed" ProgID="Equation.3" ShapeID="_x0000_i1067" DrawAspect="Content" ObjectID="_1804653552" r:id="rId68"/>
              </w:object>
            </w:r>
            <w:r>
              <w:t xml:space="preserve">(HUBDF </w:t>
            </w:r>
            <w:r>
              <w:rPr>
                <w:b w:val="0"/>
                <w:i/>
                <w:vertAlign w:val="subscript"/>
              </w:rPr>
              <w:t>hb,ERCOT345Bus</w:t>
            </w:r>
            <w:r>
              <w:rPr>
                <w:b w:val="0"/>
              </w:rPr>
              <w:t xml:space="preserve"> </w:t>
            </w:r>
            <w:r>
              <w:t xml:space="preserve">* RTHBP </w:t>
            </w:r>
            <w:r>
              <w:rPr>
                <w:b w:val="0"/>
                <w:i/>
                <w:vertAlign w:val="subscript"/>
              </w:rPr>
              <w:t>hb, ERCOT345Bus, y</w:t>
            </w:r>
            <w:r w:rsidRPr="00042023">
              <w:t>)</w:t>
            </w:r>
            <w:r>
              <w:t>, if HB</w:t>
            </w:r>
            <w:r>
              <w:rPr>
                <w:vertAlign w:val="subscript"/>
              </w:rPr>
              <w:t xml:space="preserve"> </w:t>
            </w:r>
            <w:r>
              <w:rPr>
                <w:b w:val="0"/>
                <w:i/>
                <w:vertAlign w:val="subscript"/>
              </w:rPr>
              <w:t>ERCOT345Bus</w:t>
            </w:r>
            <w:r>
              <w:t xml:space="preserve"> ≠ 0</w:t>
            </w:r>
          </w:p>
          <w:p w14:paraId="651D80C6" w14:textId="77777777" w:rsidR="00776199" w:rsidRDefault="00776199" w:rsidP="00776199">
            <w:pPr>
              <w:pStyle w:val="FormulaBold"/>
            </w:pPr>
            <w:r>
              <w:t xml:space="preserve">HUBLMP </w:t>
            </w:r>
            <w:r>
              <w:rPr>
                <w:b w:val="0"/>
                <w:i/>
                <w:vertAlign w:val="subscript"/>
              </w:rPr>
              <w:t>ERCOT345Bus, y</w:t>
            </w:r>
            <w:r>
              <w:tab/>
              <w:t>=</w:t>
            </w:r>
            <w:r>
              <w:tab/>
              <w:t>0, if HB</w:t>
            </w:r>
            <w:r>
              <w:rPr>
                <w:vertAlign w:val="subscript"/>
              </w:rPr>
              <w:t xml:space="preserve"> </w:t>
            </w:r>
            <w:r>
              <w:rPr>
                <w:b w:val="0"/>
                <w:i/>
                <w:vertAlign w:val="subscript"/>
              </w:rPr>
              <w:t>ERCOT345Bus</w:t>
            </w:r>
            <w:r>
              <w:t xml:space="preserve"> = 0</w:t>
            </w:r>
          </w:p>
          <w:p w14:paraId="37E20685" w14:textId="77777777" w:rsidR="00776199" w:rsidRDefault="00776199" w:rsidP="00776199">
            <w:pPr>
              <w:pStyle w:val="BodyText"/>
            </w:pPr>
            <w:r>
              <w:lastRenderedPageBreak/>
              <w:t>Where:</w:t>
            </w:r>
          </w:p>
          <w:p w14:paraId="7520E6F1" w14:textId="77777777" w:rsidR="00776199" w:rsidRDefault="00776199" w:rsidP="00776199">
            <w:pPr>
              <w:pStyle w:val="Formula"/>
              <w:ind w:left="2880" w:hanging="2160"/>
            </w:pPr>
            <w:r>
              <w:t xml:space="preserve">RTHBP </w:t>
            </w:r>
            <w:r w:rsidRPr="00C16CDC">
              <w:rPr>
                <w:i/>
                <w:vertAlign w:val="subscript"/>
              </w:rPr>
              <w:t>hb, ERCOT345Bus, y</w:t>
            </w:r>
            <w:r>
              <w:tab/>
              <w:t>=</w:t>
            </w:r>
            <w:r>
              <w:tab/>
            </w:r>
            <w:r w:rsidRPr="00CB13B2">
              <w:rPr>
                <w:position w:val="-20"/>
              </w:rPr>
              <w:object w:dxaOrig="225" w:dyaOrig="420" w14:anchorId="10EB7D19">
                <v:shape id="_x0000_i1068" type="#_x0000_t75" style="width:12pt;height:24pt" o:ole="">
                  <v:imagedata r:id="rId64" o:title=""/>
                </v:shape>
                <o:OLEObject Type="Embed" ProgID="Equation.3" ShapeID="_x0000_i1068" DrawAspect="Content" ObjectID="_1804653553" r:id="rId69"/>
              </w:object>
            </w:r>
            <w:r>
              <w:t xml:space="preserve">(HBDF </w:t>
            </w:r>
            <w:r w:rsidRPr="00C16CDC">
              <w:rPr>
                <w:i/>
                <w:vertAlign w:val="subscript"/>
              </w:rPr>
              <w:t>b, hb, ERCOT345Bus</w:t>
            </w:r>
            <w:r>
              <w:t xml:space="preserve"> * RTLMP </w:t>
            </w:r>
            <w:r w:rsidRPr="00C16CDC">
              <w:rPr>
                <w:i/>
                <w:vertAlign w:val="subscript"/>
              </w:rPr>
              <w:t>b, hb, ERCOT345Bus, y</w:t>
            </w:r>
            <w:r>
              <w:t>)</w:t>
            </w:r>
          </w:p>
          <w:p w14:paraId="0A48A876" w14:textId="77777777" w:rsidR="00776199" w:rsidRPr="004E1A4A" w:rsidRDefault="00776199" w:rsidP="00776199">
            <w:pPr>
              <w:tabs>
                <w:tab w:val="left" w:pos="2340"/>
                <w:tab w:val="left" w:pos="3420"/>
              </w:tabs>
              <w:spacing w:after="240"/>
              <w:ind w:left="4147" w:hanging="3427"/>
              <w:rPr>
                <w:bCs/>
                <w:i/>
              </w:rPr>
            </w:pPr>
            <w:r w:rsidRPr="004E1A4A">
              <w:rPr>
                <w:bCs/>
              </w:rPr>
              <w:t>HUBDF</w:t>
            </w:r>
            <w:r w:rsidRPr="004E1A4A">
              <w:rPr>
                <w:bCs/>
                <w:i/>
              </w:rPr>
              <w:t xml:space="preserve"> </w:t>
            </w:r>
            <w:r w:rsidRPr="004E1A4A">
              <w:rPr>
                <w:bCs/>
                <w:i/>
                <w:vertAlign w:val="subscript"/>
              </w:rPr>
              <w:t>hb, ERCOT345Busc</w:t>
            </w:r>
            <w:r w:rsidRPr="004E1A4A">
              <w:rPr>
                <w:bCs/>
                <w:i/>
              </w:rPr>
              <w:tab/>
              <w:t>=</w:t>
            </w:r>
            <w:r w:rsidRPr="004E1A4A">
              <w:rPr>
                <w:bCs/>
                <w:i/>
                <w:color w:val="000000"/>
              </w:rPr>
              <w:tab/>
            </w:r>
            <w:r w:rsidRPr="004E1A4A">
              <w:rPr>
                <w:bCs/>
                <w:color w:val="000000"/>
              </w:rPr>
              <w:t>IF(HB</w:t>
            </w:r>
            <w:r w:rsidRPr="004E1A4A">
              <w:rPr>
                <w:bCs/>
                <w:vertAlign w:val="subscript"/>
              </w:rPr>
              <w:t xml:space="preserve"> </w:t>
            </w:r>
            <w:r w:rsidRPr="004E1A4A">
              <w:rPr>
                <w:bCs/>
                <w:i/>
                <w:vertAlign w:val="subscript"/>
              </w:rPr>
              <w:t>ERCOT345Bu</w:t>
            </w:r>
            <w:r>
              <w:rPr>
                <w:bCs/>
                <w:i/>
                <w:vertAlign w:val="subscript"/>
              </w:rPr>
              <w:t xml:space="preserve">s </w:t>
            </w:r>
            <w:r w:rsidRPr="004E1A4A">
              <w:rPr>
                <w:bCs/>
                <w:color w:val="000000"/>
              </w:rPr>
              <w:t xml:space="preserve">=0, 0, 1 </w:t>
            </w:r>
            <w:r w:rsidRPr="004E1A4A">
              <w:rPr>
                <w:b/>
                <w:bCs/>
                <w:color w:val="000000"/>
                <w:sz w:val="32"/>
                <w:szCs w:val="32"/>
              </w:rPr>
              <w:t>/</w:t>
            </w:r>
            <w:r w:rsidRPr="004E1A4A">
              <w:rPr>
                <w:bCs/>
                <w:color w:val="000000"/>
              </w:rPr>
              <w:t xml:space="preserve"> HB</w:t>
            </w:r>
            <w:r w:rsidRPr="004E1A4A">
              <w:rPr>
                <w:bCs/>
              </w:rPr>
              <w:t xml:space="preserve"> </w:t>
            </w:r>
            <w:r w:rsidRPr="004E1A4A">
              <w:rPr>
                <w:bCs/>
                <w:i/>
                <w:vertAlign w:val="subscript"/>
              </w:rPr>
              <w:t>ERCOT345Bus</w:t>
            </w:r>
            <w:r w:rsidRPr="004E1A4A">
              <w:rPr>
                <w:bCs/>
              </w:rPr>
              <w:t>)</w:t>
            </w:r>
          </w:p>
          <w:p w14:paraId="2073628D" w14:textId="77777777" w:rsidR="00776199" w:rsidRPr="004E1A4A" w:rsidRDefault="00776199" w:rsidP="00776199">
            <w:pPr>
              <w:tabs>
                <w:tab w:val="left" w:pos="2340"/>
                <w:tab w:val="left" w:pos="3420"/>
              </w:tabs>
              <w:spacing w:after="240"/>
              <w:ind w:left="4147" w:hanging="3427"/>
              <w:rPr>
                <w:bCs/>
                <w:i/>
              </w:rPr>
            </w:pPr>
            <w:r w:rsidRPr="004E1A4A">
              <w:rPr>
                <w:bCs/>
              </w:rPr>
              <w:t>HBDF</w:t>
            </w:r>
            <w:r w:rsidRPr="004E1A4A">
              <w:rPr>
                <w:bCs/>
                <w:i/>
              </w:rPr>
              <w:t xml:space="preserve"> </w:t>
            </w:r>
            <w:r w:rsidRPr="004E1A4A">
              <w:rPr>
                <w:bCs/>
                <w:i/>
                <w:vertAlign w:val="subscript"/>
              </w:rPr>
              <w:t>b, hb, ERCOT345Bus</w:t>
            </w:r>
            <w:r w:rsidRPr="004E1A4A">
              <w:rPr>
                <w:bCs/>
                <w:i/>
              </w:rPr>
              <w:tab/>
              <w:t>=</w:t>
            </w:r>
            <w:r w:rsidRPr="004E1A4A">
              <w:rPr>
                <w:bCs/>
                <w:i/>
              </w:rPr>
              <w:tab/>
            </w:r>
            <w:r>
              <w:rPr>
                <w:bCs/>
              </w:rPr>
              <w:t>IF(</w:t>
            </w:r>
            <w:r w:rsidRPr="004E1A4A">
              <w:rPr>
                <w:bCs/>
              </w:rPr>
              <w:t>B</w:t>
            </w:r>
            <w:r w:rsidRPr="004E1A4A">
              <w:rPr>
                <w:bCs/>
                <w:vertAlign w:val="subscript"/>
              </w:rPr>
              <w:t xml:space="preserve"> </w:t>
            </w:r>
            <w:r>
              <w:rPr>
                <w:bCs/>
                <w:i/>
                <w:vertAlign w:val="subscript"/>
              </w:rPr>
              <w:t xml:space="preserve">hb, ERCOT345Bus </w:t>
            </w:r>
            <w:r w:rsidRPr="004E1A4A">
              <w:rPr>
                <w:bCs/>
              </w:rPr>
              <w:t xml:space="preserve">=0, 0, 1 </w:t>
            </w:r>
            <w:r w:rsidRPr="004E1A4A">
              <w:rPr>
                <w:b/>
                <w:bCs/>
                <w:sz w:val="32"/>
                <w:szCs w:val="32"/>
              </w:rPr>
              <w:t xml:space="preserve">/ </w:t>
            </w:r>
            <w:r w:rsidRPr="004E1A4A">
              <w:rPr>
                <w:bCs/>
              </w:rPr>
              <w:t xml:space="preserve">B </w:t>
            </w:r>
            <w:r>
              <w:rPr>
                <w:bCs/>
                <w:i/>
                <w:vertAlign w:val="subscript"/>
              </w:rPr>
              <w:t>hb, ERCOT345Bus</w:t>
            </w:r>
            <w:r w:rsidRPr="004E1A4A">
              <w:rPr>
                <w:bCs/>
              </w:rPr>
              <w:t>)</w:t>
            </w:r>
          </w:p>
          <w:p w14:paraId="05989118" w14:textId="77777777" w:rsidR="00776199" w:rsidRPr="006733F3" w:rsidRDefault="00776199" w:rsidP="00776199"/>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5A83384A" w14:textId="77777777" w:rsidTr="00745852">
              <w:tc>
                <w:tcPr>
                  <w:tcW w:w="2035" w:type="dxa"/>
                </w:tcPr>
                <w:p w14:paraId="36C7B7DF" w14:textId="77777777" w:rsidR="002B516C" w:rsidRPr="008C3CC8" w:rsidRDefault="002B516C" w:rsidP="002B516C">
                  <w:pPr>
                    <w:pStyle w:val="TableHead"/>
                  </w:pPr>
                  <w:r w:rsidRPr="008C3CC8">
                    <w:t>Variable</w:t>
                  </w:r>
                </w:p>
              </w:tc>
              <w:tc>
                <w:tcPr>
                  <w:tcW w:w="1080" w:type="dxa"/>
                </w:tcPr>
                <w:p w14:paraId="26E5C5D9" w14:textId="77777777" w:rsidR="002B516C" w:rsidRPr="008C3CC8" w:rsidRDefault="002B516C" w:rsidP="002B516C">
                  <w:pPr>
                    <w:pStyle w:val="TableHead"/>
                  </w:pPr>
                  <w:r w:rsidRPr="008C3CC8">
                    <w:t>Unit</w:t>
                  </w:r>
                </w:p>
              </w:tc>
              <w:tc>
                <w:tcPr>
                  <w:tcW w:w="6155" w:type="dxa"/>
                </w:tcPr>
                <w:p w14:paraId="57E3D585" w14:textId="77777777" w:rsidR="002B516C" w:rsidRPr="008C3CC8" w:rsidRDefault="002B516C" w:rsidP="002B516C">
                  <w:pPr>
                    <w:pStyle w:val="TableHead"/>
                  </w:pPr>
                  <w:r w:rsidRPr="008C3CC8">
                    <w:t>Description</w:t>
                  </w:r>
                </w:p>
              </w:tc>
            </w:tr>
            <w:tr w:rsidR="002B516C" w:rsidRPr="008C3CC8" w14:paraId="7EE4D0C2" w14:textId="77777777" w:rsidTr="00745852">
              <w:tc>
                <w:tcPr>
                  <w:tcW w:w="2035" w:type="dxa"/>
                </w:tcPr>
                <w:p w14:paraId="77135B14" w14:textId="74920B09" w:rsidR="002B516C" w:rsidRPr="008C3CC8" w:rsidRDefault="002B516C" w:rsidP="002B516C">
                  <w:pPr>
                    <w:pStyle w:val="TableBody"/>
                  </w:pPr>
                  <w:r>
                    <w:t>HUBLMP</w:t>
                  </w:r>
                  <w:r>
                    <w:rPr>
                      <w:i/>
                      <w:vertAlign w:val="subscript"/>
                    </w:rPr>
                    <w:t xml:space="preserve"> </w:t>
                  </w:r>
                  <w:r w:rsidRPr="008B7A91">
                    <w:rPr>
                      <w:i/>
                      <w:vertAlign w:val="subscript"/>
                    </w:rPr>
                    <w:t>ERCOT345Bus</w:t>
                  </w:r>
                  <w:r>
                    <w:rPr>
                      <w:i/>
                      <w:vertAlign w:val="subscript"/>
                    </w:rPr>
                    <w:t>, y</w:t>
                  </w:r>
                </w:p>
              </w:tc>
              <w:tc>
                <w:tcPr>
                  <w:tcW w:w="1080" w:type="dxa"/>
                </w:tcPr>
                <w:p w14:paraId="3C99F332" w14:textId="21BE540E" w:rsidR="002B516C" w:rsidRPr="008C3CC8" w:rsidRDefault="002B516C" w:rsidP="002B516C">
                  <w:pPr>
                    <w:pStyle w:val="TableBody"/>
                  </w:pPr>
                  <w:r>
                    <w:t>$/MWh</w:t>
                  </w:r>
                </w:p>
              </w:tc>
              <w:tc>
                <w:tcPr>
                  <w:tcW w:w="6155" w:type="dxa"/>
                </w:tcPr>
                <w:p w14:paraId="79139269" w14:textId="1DAB5343" w:rsidR="002B516C" w:rsidRPr="008C3CC8" w:rsidRDefault="002B516C" w:rsidP="002B516C">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2B516C" w:rsidRPr="008C3CC8" w14:paraId="22BC0719" w14:textId="77777777" w:rsidTr="00745852">
              <w:tc>
                <w:tcPr>
                  <w:tcW w:w="2035" w:type="dxa"/>
                </w:tcPr>
                <w:p w14:paraId="2B29A42E" w14:textId="50A5F154" w:rsidR="002B516C" w:rsidRPr="008C3CC8" w:rsidRDefault="002B516C" w:rsidP="002B516C">
                  <w:pPr>
                    <w:pStyle w:val="TableBody"/>
                  </w:pPr>
                  <w:r w:rsidRPr="008C3CC8">
                    <w:t xml:space="preserve">RTHBP </w:t>
                  </w:r>
                  <w:r w:rsidRPr="00107CC2">
                    <w:rPr>
                      <w:i/>
                      <w:vertAlign w:val="subscript"/>
                    </w:rPr>
                    <w:t xml:space="preserve">hb, </w:t>
                  </w:r>
                  <w:r>
                    <w:rPr>
                      <w:i/>
                      <w:vertAlign w:val="subscript"/>
                    </w:rPr>
                    <w:t>ERCOT345Bus</w:t>
                  </w:r>
                  <w:r w:rsidRPr="00107CC2">
                    <w:rPr>
                      <w:i/>
                      <w:vertAlign w:val="subscript"/>
                    </w:rPr>
                    <w:t>, y</w:t>
                  </w:r>
                </w:p>
              </w:tc>
              <w:tc>
                <w:tcPr>
                  <w:tcW w:w="1080" w:type="dxa"/>
                </w:tcPr>
                <w:p w14:paraId="778C3C5E" w14:textId="09280201" w:rsidR="002B516C" w:rsidRPr="008C3CC8" w:rsidRDefault="002B516C" w:rsidP="002B516C">
                  <w:pPr>
                    <w:pStyle w:val="TableBody"/>
                  </w:pPr>
                  <w:r w:rsidRPr="008C3CC8">
                    <w:t>$/MWh</w:t>
                  </w:r>
                </w:p>
              </w:tc>
              <w:tc>
                <w:tcPr>
                  <w:tcW w:w="6155" w:type="dxa"/>
                </w:tcPr>
                <w:p w14:paraId="59F4E32C" w14:textId="5EE195B6" w:rsidR="002B516C" w:rsidRPr="008C3CC8" w:rsidRDefault="002B516C" w:rsidP="002B516C">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w:t>
                  </w:r>
                  <w:r>
                    <w:t>in ERCOT 345 Bus, f</w:t>
                  </w:r>
                  <w:r w:rsidRPr="008C3CC8">
                    <w:t xml:space="preserve">or the SCED interval </w:t>
                  </w:r>
                  <w:r w:rsidRPr="00042023">
                    <w:rPr>
                      <w:i/>
                    </w:rPr>
                    <w:t>y</w:t>
                  </w:r>
                  <w:r w:rsidRPr="008C3CC8">
                    <w:t>.</w:t>
                  </w:r>
                </w:p>
              </w:tc>
            </w:tr>
            <w:tr w:rsidR="002B516C" w:rsidRPr="008C3CC8" w14:paraId="581E2908" w14:textId="77777777" w:rsidTr="00745852">
              <w:tc>
                <w:tcPr>
                  <w:tcW w:w="2035" w:type="dxa"/>
                </w:tcPr>
                <w:p w14:paraId="22690414" w14:textId="0F394D8C" w:rsidR="002B516C" w:rsidRPr="008C3CC8" w:rsidRDefault="002B516C" w:rsidP="002B516C">
                  <w:pPr>
                    <w:pStyle w:val="TableBody"/>
                  </w:pPr>
                  <w:r>
                    <w:t xml:space="preserve">RTLMP </w:t>
                  </w:r>
                  <w:r w:rsidRPr="008B7A91">
                    <w:rPr>
                      <w:i/>
                      <w:vertAlign w:val="subscript"/>
                    </w:rPr>
                    <w:t>b, hb, ERCOT345Bus, y</w:t>
                  </w:r>
                </w:p>
              </w:tc>
              <w:tc>
                <w:tcPr>
                  <w:tcW w:w="1080" w:type="dxa"/>
                </w:tcPr>
                <w:p w14:paraId="31CE3D5F" w14:textId="2460B2F3" w:rsidR="002B516C" w:rsidRPr="008C3CC8" w:rsidRDefault="002B516C" w:rsidP="002B516C">
                  <w:pPr>
                    <w:pStyle w:val="TableBody"/>
                  </w:pPr>
                  <w:r>
                    <w:t>$/MWh</w:t>
                  </w:r>
                </w:p>
              </w:tc>
              <w:tc>
                <w:tcPr>
                  <w:tcW w:w="6155" w:type="dxa"/>
                </w:tcPr>
                <w:p w14:paraId="501531A3" w14:textId="2CBDEBDF" w:rsidR="002B516C" w:rsidRPr="008C3CC8" w:rsidRDefault="002B516C" w:rsidP="002B516C">
                  <w:pPr>
                    <w:pStyle w:val="TableBody"/>
                  </w:pPr>
                  <w:r>
                    <w:rPr>
                      <w:i/>
                    </w:rPr>
                    <w:t>Real-Time Locational Marginal Price at Electrical Bus of Hub Bus per interval</w:t>
                  </w:r>
                  <w:r>
                    <w:sym w:font="Symbol" w:char="F0BE"/>
                  </w:r>
                  <w:r>
                    <w:t xml:space="preserve">The Real-Time LMP at Electrical Bus </w:t>
                  </w:r>
                  <w:r>
                    <w:rPr>
                      <w:i/>
                    </w:rPr>
                    <w:t>b</w:t>
                  </w:r>
                  <w:r>
                    <w:t xml:space="preserve"> that is a component of Hub Bus </w:t>
                  </w:r>
                  <w:r>
                    <w:rPr>
                      <w:i/>
                    </w:rPr>
                    <w:t>hb</w:t>
                  </w:r>
                  <w:r>
                    <w:t xml:space="preserve"> in ERCOT 345 Bus, for the SCED interval </w:t>
                  </w:r>
                  <w:r>
                    <w:rPr>
                      <w:i/>
                    </w:rPr>
                    <w:t>y</w:t>
                  </w:r>
                  <w:r>
                    <w:t>.</w:t>
                  </w:r>
                </w:p>
              </w:tc>
            </w:tr>
            <w:tr w:rsidR="002B516C" w:rsidRPr="008C3CC8" w14:paraId="439FDF72" w14:textId="77777777" w:rsidTr="00745852">
              <w:tc>
                <w:tcPr>
                  <w:tcW w:w="2035" w:type="dxa"/>
                </w:tcPr>
                <w:p w14:paraId="18190A8D" w14:textId="0D0E8A74" w:rsidR="002B516C" w:rsidRPr="008C3CC8" w:rsidRDefault="002B516C" w:rsidP="002B516C">
                  <w:pPr>
                    <w:pStyle w:val="TableBody"/>
                  </w:pPr>
                  <w:r>
                    <w:t xml:space="preserve">HUBDF </w:t>
                  </w:r>
                  <w:r w:rsidRPr="008B7A91">
                    <w:rPr>
                      <w:i/>
                      <w:vertAlign w:val="subscript"/>
                    </w:rPr>
                    <w:t>hb, ERCOT345Bus</w:t>
                  </w:r>
                </w:p>
              </w:tc>
              <w:tc>
                <w:tcPr>
                  <w:tcW w:w="1080" w:type="dxa"/>
                </w:tcPr>
                <w:p w14:paraId="13B67341" w14:textId="01E23FB6" w:rsidR="002B516C" w:rsidRPr="008C3CC8" w:rsidRDefault="002B516C" w:rsidP="002B516C">
                  <w:pPr>
                    <w:pStyle w:val="TableBody"/>
                  </w:pPr>
                  <w:r>
                    <w:t>none</w:t>
                  </w:r>
                </w:p>
              </w:tc>
              <w:tc>
                <w:tcPr>
                  <w:tcW w:w="6155" w:type="dxa"/>
                </w:tcPr>
                <w:p w14:paraId="597048A6" w14:textId="5FB2EC1A" w:rsidR="002B516C" w:rsidRPr="008C3CC8" w:rsidRDefault="002B516C" w:rsidP="002B516C">
                  <w:pPr>
                    <w:pStyle w:val="TableBody"/>
                  </w:pPr>
                  <w:r>
                    <w:rPr>
                      <w:i/>
                    </w:rPr>
                    <w:t>Hub Distribution Factor per Hub Bus</w:t>
                  </w:r>
                  <w:r>
                    <w:sym w:font="Symbol" w:char="F0BE"/>
                  </w:r>
                  <w:r>
                    <w:t xml:space="preserve">The distribution factor of Hub Bus </w:t>
                  </w:r>
                  <w:r>
                    <w:rPr>
                      <w:i/>
                    </w:rPr>
                    <w:t>hb</w:t>
                  </w:r>
                  <w:r>
                    <w:t xml:space="preserve">.  </w:t>
                  </w:r>
                </w:p>
              </w:tc>
            </w:tr>
            <w:tr w:rsidR="002B516C" w:rsidRPr="008C3CC8" w14:paraId="0A5A88A0" w14:textId="77777777" w:rsidTr="00745852">
              <w:tc>
                <w:tcPr>
                  <w:tcW w:w="2035" w:type="dxa"/>
                </w:tcPr>
                <w:p w14:paraId="674BFBC4" w14:textId="6E188A1F" w:rsidR="002B516C" w:rsidRPr="008C3CC8" w:rsidRDefault="002B516C" w:rsidP="002B516C">
                  <w:pPr>
                    <w:pStyle w:val="TableBody"/>
                  </w:pPr>
                  <w:r>
                    <w:t xml:space="preserve">HBDF </w:t>
                  </w:r>
                  <w:r w:rsidRPr="008B7A91">
                    <w:rPr>
                      <w:i/>
                      <w:vertAlign w:val="subscript"/>
                    </w:rPr>
                    <w:t>b, hb, ERCOT345Bus</w:t>
                  </w:r>
                </w:p>
              </w:tc>
              <w:tc>
                <w:tcPr>
                  <w:tcW w:w="1080" w:type="dxa"/>
                </w:tcPr>
                <w:p w14:paraId="690688DC" w14:textId="3E77AE97" w:rsidR="002B516C" w:rsidRPr="008C3CC8" w:rsidRDefault="002B516C" w:rsidP="002B516C">
                  <w:pPr>
                    <w:pStyle w:val="TableBody"/>
                  </w:pPr>
                  <w:r>
                    <w:t>none</w:t>
                  </w:r>
                </w:p>
              </w:tc>
              <w:tc>
                <w:tcPr>
                  <w:tcW w:w="6155" w:type="dxa"/>
                </w:tcPr>
                <w:p w14:paraId="3ABD4706" w14:textId="10719CEB" w:rsidR="002B516C" w:rsidRPr="008C3CC8" w:rsidRDefault="002B516C" w:rsidP="002B516C">
                  <w:pPr>
                    <w:pStyle w:val="TableBody"/>
                  </w:pPr>
                  <w:r>
                    <w:rPr>
                      <w:i/>
                    </w:rPr>
                    <w:t>Hub Bus Distribution Factor per Electrical Bus of Hub Bus</w:t>
                  </w:r>
                  <w:r>
                    <w:sym w:font="Symbol" w:char="F0BE"/>
                  </w:r>
                  <w:r>
                    <w:t xml:space="preserve">The distribution factor of Electrical Bus </w:t>
                  </w:r>
                  <w:r>
                    <w:rPr>
                      <w:i/>
                    </w:rPr>
                    <w:t>b</w:t>
                  </w:r>
                  <w:r>
                    <w:t xml:space="preserve"> that is a component of Hub Bus </w:t>
                  </w:r>
                  <w:r>
                    <w:rPr>
                      <w:i/>
                    </w:rPr>
                    <w:t>hb</w:t>
                  </w:r>
                  <w:r>
                    <w:t xml:space="preserve">.  </w:t>
                  </w:r>
                </w:p>
              </w:tc>
            </w:tr>
            <w:tr w:rsidR="002B516C" w:rsidRPr="008C3CC8" w14:paraId="0933E4FA" w14:textId="77777777" w:rsidTr="00745852">
              <w:tc>
                <w:tcPr>
                  <w:tcW w:w="2035" w:type="dxa"/>
                </w:tcPr>
                <w:p w14:paraId="4E3814A0" w14:textId="719D907A" w:rsidR="002B516C" w:rsidRPr="008C3CC8" w:rsidRDefault="002B516C" w:rsidP="002B516C">
                  <w:pPr>
                    <w:pStyle w:val="TableBody"/>
                  </w:pPr>
                  <w:r w:rsidRPr="008C3CC8">
                    <w:t>HB</w:t>
                  </w:r>
                  <w:r w:rsidRPr="008C3CC8">
                    <w:rPr>
                      <w:vertAlign w:val="subscript"/>
                    </w:rPr>
                    <w:t xml:space="preserve"> </w:t>
                  </w:r>
                  <w:r>
                    <w:rPr>
                      <w:i/>
                      <w:vertAlign w:val="subscript"/>
                    </w:rPr>
                    <w:t>ERCOT345Bus</w:t>
                  </w:r>
                </w:p>
              </w:tc>
              <w:tc>
                <w:tcPr>
                  <w:tcW w:w="1080" w:type="dxa"/>
                </w:tcPr>
                <w:p w14:paraId="587C284C" w14:textId="44BC7F7F" w:rsidR="002B516C" w:rsidRPr="008C3CC8" w:rsidRDefault="002B516C" w:rsidP="002B516C">
                  <w:pPr>
                    <w:pStyle w:val="TableBody"/>
                  </w:pPr>
                  <w:r w:rsidRPr="008C3CC8">
                    <w:t>none</w:t>
                  </w:r>
                </w:p>
              </w:tc>
              <w:tc>
                <w:tcPr>
                  <w:tcW w:w="6155" w:type="dxa"/>
                </w:tcPr>
                <w:p w14:paraId="2E22D436" w14:textId="0E7409A0" w:rsidR="002B516C" w:rsidRPr="008C3CC8" w:rsidRDefault="002B516C" w:rsidP="002B516C">
                  <w:pPr>
                    <w:pStyle w:val="TableBody"/>
                  </w:pPr>
                  <w:r>
                    <w:t xml:space="preserve">The total number of Hub Buses in </w:t>
                  </w:r>
                  <w:r w:rsidRPr="00DA5173">
                    <w:t>the ERCOT Bus Average 345 kV Hub (ERCOT 345 Bus)</w:t>
                  </w:r>
                  <w:r>
                    <w:t xml:space="preserve"> with at least one energized component in each Hub Bus . The Hub “ERCOT 345 Bus” includes any Hub Bus defined in the Hub “North 345”, “South 345”, “Houston 345” and “West 345”.</w:t>
                  </w:r>
                </w:p>
              </w:tc>
            </w:tr>
            <w:tr w:rsidR="002B516C" w:rsidRPr="008C3CC8" w14:paraId="3A68B10A" w14:textId="77777777" w:rsidTr="00745852">
              <w:tc>
                <w:tcPr>
                  <w:tcW w:w="2035" w:type="dxa"/>
                </w:tcPr>
                <w:p w14:paraId="26E3F7A1" w14:textId="14A1F47A" w:rsidR="002B516C" w:rsidRPr="008C3CC8" w:rsidRDefault="002B516C" w:rsidP="002B516C">
                  <w:pPr>
                    <w:pStyle w:val="TableBody"/>
                  </w:pPr>
                  <w:r>
                    <w:t xml:space="preserve">B </w:t>
                  </w:r>
                  <w:r w:rsidRPr="008B7A91">
                    <w:rPr>
                      <w:i/>
                      <w:vertAlign w:val="subscript"/>
                    </w:rPr>
                    <w:t xml:space="preserve">hb, </w:t>
                  </w:r>
                  <w:r>
                    <w:rPr>
                      <w:i/>
                      <w:vertAlign w:val="subscript"/>
                    </w:rPr>
                    <w:t>ERCOT</w:t>
                  </w:r>
                  <w:r w:rsidRPr="008B7A91">
                    <w:rPr>
                      <w:i/>
                      <w:vertAlign w:val="subscript"/>
                    </w:rPr>
                    <w:t>345</w:t>
                  </w:r>
                  <w:r>
                    <w:rPr>
                      <w:i/>
                      <w:vertAlign w:val="subscript"/>
                    </w:rPr>
                    <w:t>Bus</w:t>
                  </w:r>
                </w:p>
              </w:tc>
              <w:tc>
                <w:tcPr>
                  <w:tcW w:w="1080" w:type="dxa"/>
                </w:tcPr>
                <w:p w14:paraId="129FA6CB" w14:textId="242CAC63" w:rsidR="002B516C" w:rsidRPr="008C3CC8" w:rsidRDefault="002B516C" w:rsidP="002B516C">
                  <w:pPr>
                    <w:pStyle w:val="TableBody"/>
                  </w:pPr>
                  <w:r>
                    <w:t>none</w:t>
                  </w:r>
                </w:p>
              </w:tc>
              <w:tc>
                <w:tcPr>
                  <w:tcW w:w="6155" w:type="dxa"/>
                </w:tcPr>
                <w:p w14:paraId="11CE8248" w14:textId="60DE110E" w:rsidR="002B516C" w:rsidRPr="008C3CC8" w:rsidRDefault="002B516C" w:rsidP="002B516C">
                  <w:pPr>
                    <w:pStyle w:val="TableBody"/>
                  </w:pPr>
                  <w:r>
                    <w:t xml:space="preserve">The total number of energized Electrical Buses in Hub Bus </w:t>
                  </w:r>
                  <w:r>
                    <w:rPr>
                      <w:i/>
                    </w:rPr>
                    <w:t>hb</w:t>
                  </w:r>
                  <w:r>
                    <w:t xml:space="preserve"> that is a component of “ERCOT 345 Bus”.</w:t>
                  </w:r>
                </w:p>
              </w:tc>
            </w:tr>
            <w:tr w:rsidR="002B516C" w:rsidRPr="008C3CC8" w14:paraId="1FAA5F7C" w14:textId="77777777" w:rsidTr="00745852">
              <w:tc>
                <w:tcPr>
                  <w:tcW w:w="2035" w:type="dxa"/>
                </w:tcPr>
                <w:p w14:paraId="5D5C9EE7" w14:textId="42411DAD" w:rsidR="002B516C" w:rsidRPr="008C3CC8" w:rsidRDefault="002B516C" w:rsidP="002B516C">
                  <w:pPr>
                    <w:pStyle w:val="TableBody"/>
                  </w:pPr>
                  <w:r>
                    <w:rPr>
                      <w:i/>
                    </w:rPr>
                    <w:t>h</w:t>
                  </w:r>
                  <w:r w:rsidRPr="008B7A91">
                    <w:rPr>
                      <w:i/>
                    </w:rPr>
                    <w:t>b</w:t>
                  </w:r>
                </w:p>
              </w:tc>
              <w:tc>
                <w:tcPr>
                  <w:tcW w:w="1080" w:type="dxa"/>
                </w:tcPr>
                <w:p w14:paraId="4548EEB1" w14:textId="571C5CA6" w:rsidR="002B516C" w:rsidRPr="008C3CC8" w:rsidRDefault="002B516C" w:rsidP="002B516C">
                  <w:pPr>
                    <w:pStyle w:val="TableBody"/>
                  </w:pPr>
                  <w:r>
                    <w:t>none</w:t>
                  </w:r>
                </w:p>
              </w:tc>
              <w:tc>
                <w:tcPr>
                  <w:tcW w:w="6155" w:type="dxa"/>
                </w:tcPr>
                <w:p w14:paraId="19F9CFEC" w14:textId="761B2E3C" w:rsidR="002B516C" w:rsidRPr="008C3CC8" w:rsidRDefault="002B516C" w:rsidP="002B516C">
                  <w:pPr>
                    <w:pStyle w:val="TableBody"/>
                  </w:pPr>
                  <w:r>
                    <w:t xml:space="preserve">A Hub Bus that is a component of the </w:t>
                  </w:r>
                  <w:r w:rsidRPr="00363A57">
                    <w:t>ERCOT Bus Average 345 kV Hub (ERCOT 345 Bus)</w:t>
                  </w:r>
                  <w:r>
                    <w:t xml:space="preserve"> with at least one energized component. The Hub “ERCOT 345 Bus” includes any Hub Bus defined in the Hub “North 345”, “South 345”, “Houston 345” and “West 345”.</w:t>
                  </w:r>
                </w:p>
              </w:tc>
            </w:tr>
            <w:tr w:rsidR="002B516C" w:rsidRPr="008C3CC8" w14:paraId="1A39F31A" w14:textId="77777777" w:rsidTr="00745852">
              <w:tc>
                <w:tcPr>
                  <w:tcW w:w="2035" w:type="dxa"/>
                </w:tcPr>
                <w:p w14:paraId="661DEE36" w14:textId="0BC99D26" w:rsidR="002B516C" w:rsidRPr="008C3CC8" w:rsidRDefault="002B516C" w:rsidP="002B516C">
                  <w:pPr>
                    <w:pStyle w:val="TableBody"/>
                  </w:pPr>
                  <w:r w:rsidRPr="008B7A91">
                    <w:rPr>
                      <w:i/>
                    </w:rPr>
                    <w:t>y</w:t>
                  </w:r>
                </w:p>
              </w:tc>
              <w:tc>
                <w:tcPr>
                  <w:tcW w:w="1080" w:type="dxa"/>
                </w:tcPr>
                <w:p w14:paraId="2548897A" w14:textId="509E7D44" w:rsidR="002B516C" w:rsidRPr="008C3CC8" w:rsidRDefault="002B516C" w:rsidP="002B516C">
                  <w:pPr>
                    <w:pStyle w:val="TableBody"/>
                  </w:pPr>
                  <w:r>
                    <w:t>none</w:t>
                  </w:r>
                </w:p>
              </w:tc>
              <w:tc>
                <w:tcPr>
                  <w:tcW w:w="6155" w:type="dxa"/>
                </w:tcPr>
                <w:p w14:paraId="6ACECA76" w14:textId="6B3877F6" w:rsidR="002B516C" w:rsidRPr="008C3CC8" w:rsidRDefault="002B516C" w:rsidP="002B516C">
                  <w:pPr>
                    <w:pStyle w:val="TableBody"/>
                  </w:pPr>
                  <w:r>
                    <w:t>A SCED interval in the 15-minute Settlement Interval.  The summation is over the total number of SCED runs that cover the 15-minute Settlement Interval.</w:t>
                  </w:r>
                </w:p>
              </w:tc>
            </w:tr>
            <w:tr w:rsidR="002B516C" w:rsidRPr="008C3CC8" w14:paraId="69D648FF" w14:textId="77777777" w:rsidTr="00745852">
              <w:tc>
                <w:tcPr>
                  <w:tcW w:w="2035" w:type="dxa"/>
                </w:tcPr>
                <w:p w14:paraId="3C2FE504" w14:textId="705F0589" w:rsidR="002B516C" w:rsidRPr="008C3CC8" w:rsidRDefault="002B516C" w:rsidP="002B516C">
                  <w:pPr>
                    <w:pStyle w:val="TableBody"/>
                  </w:pPr>
                  <w:r>
                    <w:rPr>
                      <w:i/>
                    </w:rPr>
                    <w:t>b</w:t>
                  </w:r>
                </w:p>
              </w:tc>
              <w:tc>
                <w:tcPr>
                  <w:tcW w:w="1080" w:type="dxa"/>
                </w:tcPr>
                <w:p w14:paraId="1471A99D" w14:textId="08644BA3" w:rsidR="002B516C" w:rsidRPr="008C3CC8" w:rsidRDefault="002B516C" w:rsidP="002B516C">
                  <w:pPr>
                    <w:pStyle w:val="TableBody"/>
                  </w:pPr>
                  <w:r>
                    <w:t>none</w:t>
                  </w:r>
                </w:p>
              </w:tc>
              <w:tc>
                <w:tcPr>
                  <w:tcW w:w="6155" w:type="dxa"/>
                </w:tcPr>
                <w:p w14:paraId="6784B9BC" w14:textId="0AB6713A" w:rsidR="002B516C" w:rsidRPr="008C3CC8" w:rsidRDefault="002B516C" w:rsidP="002B516C">
                  <w:pPr>
                    <w:pStyle w:val="TableBody"/>
                  </w:pPr>
                  <w:r>
                    <w:t>An energized Electrical Bus that is a component of a Hub Bus.</w:t>
                  </w:r>
                </w:p>
              </w:tc>
            </w:tr>
          </w:tbl>
          <w:p w14:paraId="72659928" w14:textId="77777777" w:rsidR="00776199" w:rsidRPr="00DD7476" w:rsidRDefault="00776199" w:rsidP="00776199">
            <w:pPr>
              <w:pStyle w:val="BodyTextNumbered"/>
              <w:ind w:left="0" w:firstLine="0"/>
            </w:pPr>
          </w:p>
        </w:tc>
      </w:tr>
    </w:tbl>
    <w:p w14:paraId="304E1768" w14:textId="77777777" w:rsidR="00776199" w:rsidRPr="003F739B" w:rsidRDefault="00776199" w:rsidP="003F739B">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31EEA802" w14:textId="77777777" w:rsidTr="00954FBC">
        <w:trPr>
          <w:trHeight w:val="206"/>
        </w:trPr>
        <w:tc>
          <w:tcPr>
            <w:tcW w:w="9350" w:type="dxa"/>
            <w:shd w:val="pct12" w:color="auto" w:fill="auto"/>
          </w:tcPr>
          <w:p w14:paraId="7916B636" w14:textId="528D074A" w:rsidR="003F739B" w:rsidRDefault="003F739B" w:rsidP="00EC5231">
            <w:pPr>
              <w:pStyle w:val="Instructions"/>
              <w:spacing w:before="120"/>
            </w:pPr>
            <w:r>
              <w:t>[NPRR1010:  Insert Section 6.6.1.6 below upon system implementation of the Real-Time Co-Optimization (RTC) project:]</w:t>
            </w:r>
          </w:p>
          <w:p w14:paraId="76A5827C" w14:textId="77777777" w:rsidR="00954FBC" w:rsidRDefault="00954FBC" w:rsidP="00954FBC">
            <w:pPr>
              <w:keepNext/>
              <w:widowControl w:val="0"/>
              <w:spacing w:before="240" w:after="240"/>
              <w:outlineLvl w:val="3"/>
              <w:rPr>
                <w:b/>
                <w:bCs/>
                <w:snapToGrid w:val="0"/>
              </w:rPr>
            </w:pPr>
            <w:bookmarkStart w:id="1761" w:name="_Toc189044400"/>
            <w:r w:rsidRPr="003161DC">
              <w:rPr>
                <w:b/>
                <w:bCs/>
                <w:snapToGrid w:val="0"/>
              </w:rPr>
              <w:t>6.6.1.</w:t>
            </w:r>
            <w:r>
              <w:rPr>
                <w:b/>
                <w:bCs/>
                <w:snapToGrid w:val="0"/>
              </w:rPr>
              <w:t>6</w:t>
            </w:r>
            <w:r w:rsidRPr="003161DC">
              <w:rPr>
                <w:b/>
                <w:bCs/>
                <w:snapToGrid w:val="0"/>
              </w:rPr>
              <w:tab/>
            </w:r>
            <w:r w:rsidRPr="003161DC">
              <w:rPr>
                <w:b/>
                <w:bCs/>
                <w:snapToGrid w:val="0"/>
              </w:rPr>
              <w:tab/>
            </w:r>
            <w:r>
              <w:rPr>
                <w:b/>
                <w:bCs/>
                <w:snapToGrid w:val="0"/>
              </w:rPr>
              <w:t>Real-Time Market Clearing Prices for Ancillary Services</w:t>
            </w:r>
            <w:bookmarkEnd w:id="1761"/>
          </w:p>
          <w:p w14:paraId="468BBF84" w14:textId="77777777" w:rsidR="00954FBC" w:rsidRDefault="00954FBC" w:rsidP="00954FBC">
            <w:pPr>
              <w:spacing w:after="240"/>
              <w:ind w:left="720" w:hanging="720"/>
            </w:pPr>
            <w:r w:rsidRPr="003161DC">
              <w:t>(1)</w:t>
            </w:r>
            <w:r w:rsidRPr="003161DC">
              <w:tab/>
              <w:t xml:space="preserve">The Real-Time </w:t>
            </w:r>
            <w:r>
              <w:t>Market Clearing Price for Capacity (MCPC) for Reg-Up</w:t>
            </w:r>
            <w:r w:rsidRPr="003161DC">
              <w:t xml:space="preserve"> is the time-weighted average of the sum of the Real-Time </w:t>
            </w:r>
            <w:r>
              <w:t xml:space="preserve">MCPCs for Reg-Up and </w:t>
            </w:r>
            <w:r w:rsidRPr="003161DC">
              <w:t xml:space="preserve">Real-Time </w:t>
            </w:r>
            <w:r w:rsidRPr="003161DC">
              <w:lastRenderedPageBreak/>
              <w:t>Reliability Deployment Price Adder</w:t>
            </w:r>
            <w:r>
              <w:t xml:space="preserve"> for Ancillary Service for Reg-Up of each SCED interval in the 15-minute Settlement Interval</w:t>
            </w:r>
            <w:r w:rsidRPr="003161DC">
              <w:t xml:space="preserve">.  The Real-Time </w:t>
            </w:r>
            <w:r>
              <w:t>MCPC for Reg-Up</w:t>
            </w:r>
            <w:r w:rsidRPr="003161DC">
              <w:t xml:space="preserve"> for a 15-minute Settlement Interval is calculated as follows:</w:t>
            </w:r>
          </w:p>
          <w:p w14:paraId="7A3EF727" w14:textId="4B253295" w:rsidR="00954FBC" w:rsidRPr="00C3449C" w:rsidRDefault="00954FBC" w:rsidP="00954FBC">
            <w:pPr>
              <w:pStyle w:val="FormulaBold"/>
              <w:rPr>
                <w:i/>
                <w:vertAlign w:val="subscript"/>
              </w:rPr>
            </w:pPr>
            <w:r w:rsidRPr="00C3449C">
              <w:t xml:space="preserve">RTMCPCRU  =   </w:t>
            </w:r>
            <w:r w:rsidRPr="00C3449C">
              <w:rPr>
                <w:position w:val="-22"/>
              </w:rPr>
              <w:object w:dxaOrig="225" w:dyaOrig="465" w14:anchorId="35FF8C73">
                <v:shape id="_x0000_i1069" type="#_x0000_t75" style="width:24pt;height:18pt" o:ole="">
                  <v:imagedata r:id="rId22" o:title=""/>
                </v:shape>
                <o:OLEObject Type="Embed" ProgID="Equation.3" ShapeID="_x0000_i1069" DrawAspect="Content" ObjectID="_1804653554" r:id="rId70"/>
              </w:object>
            </w:r>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rsidRPr="00D8145C">
              <w:t>)</w:t>
            </w:r>
            <w:r>
              <w:t>)</w:t>
            </w:r>
          </w:p>
          <w:p w14:paraId="5C9C88F4" w14:textId="77777777" w:rsidR="00954FBC" w:rsidRDefault="00954FBC" w:rsidP="00954FBC">
            <w:pPr>
              <w:pStyle w:val="BodyTextNumbered"/>
              <w:ind w:left="0" w:firstLine="0"/>
            </w:pPr>
            <w:r>
              <w:t>Where:</w:t>
            </w:r>
          </w:p>
          <w:p w14:paraId="7C3EE728" w14:textId="73163EA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27BBD7B1">
                <v:shape id="_x0000_i1070" type="#_x0000_t75" style="width:24pt;height:18pt" o:ole="">
                  <v:imagedata r:id="rId22" o:title=""/>
                </v:shape>
                <o:OLEObject Type="Embed" ProgID="Equation.3" ShapeID="_x0000_i1070" DrawAspect="Content" ObjectID="_1804653555" r:id="rId71"/>
              </w:object>
            </w:r>
            <w:r>
              <w:t xml:space="preserve">TLMP </w:t>
            </w:r>
            <w:r>
              <w:rPr>
                <w:i/>
                <w:vertAlign w:val="subscript"/>
              </w:rPr>
              <w:t>y</w:t>
            </w:r>
          </w:p>
          <w:p w14:paraId="1436E6AA"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6589E775"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93BC86C"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2584A7B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D22A7BD" w14:textId="77777777" w:rsidR="00954FBC" w:rsidRDefault="00954FBC" w:rsidP="00954FBC">
                  <w:pPr>
                    <w:pStyle w:val="TableHead"/>
                  </w:pPr>
                  <w:r>
                    <w:t>Description</w:t>
                  </w:r>
                </w:p>
              </w:tc>
            </w:tr>
            <w:tr w:rsidR="00954FBC" w14:paraId="2F6AAF89"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815F9F" w14:textId="77777777" w:rsidR="00954FBC" w:rsidRDefault="00954FBC" w:rsidP="00954FBC">
                  <w:pPr>
                    <w:pStyle w:val="tablebody0"/>
                  </w:pPr>
                  <w:r>
                    <w:t xml:space="preserve">RTMCPCRU </w:t>
                  </w:r>
                </w:p>
              </w:tc>
              <w:tc>
                <w:tcPr>
                  <w:tcW w:w="631" w:type="pct"/>
                  <w:tcBorders>
                    <w:top w:val="single" w:sz="4" w:space="0" w:color="auto"/>
                    <w:left w:val="single" w:sz="4" w:space="0" w:color="auto"/>
                    <w:bottom w:val="single" w:sz="4" w:space="0" w:color="auto"/>
                    <w:right w:val="single" w:sz="4" w:space="0" w:color="auto"/>
                  </w:tcBorders>
                  <w:hideMark/>
                </w:tcPr>
                <w:p w14:paraId="5C3E5B15"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F392C70" w14:textId="77777777" w:rsidR="00954FBC" w:rsidRDefault="00954FBC" w:rsidP="00954FBC">
                  <w:pPr>
                    <w:pStyle w:val="tablebody0"/>
                    <w:rPr>
                      <w:i/>
                    </w:rPr>
                  </w:pPr>
                  <w:r>
                    <w:rPr>
                      <w:i/>
                      <w:szCs w:val="18"/>
                    </w:rPr>
                    <w:t>Real-Time Market Clearing Price for Capacity for Reg-Up -</w:t>
                  </w:r>
                  <w:r>
                    <w:t xml:space="preserve"> The Real-Time MCPC for Reg-Up for the 15-minute Settlement Interval.</w:t>
                  </w:r>
                </w:p>
              </w:tc>
            </w:tr>
            <w:tr w:rsidR="00954FBC" w14:paraId="592704C0"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ADCF55C" w14:textId="77777777" w:rsidR="00954FBC" w:rsidRDefault="00954FBC" w:rsidP="00954FBC">
                  <w:pPr>
                    <w:pStyle w:val="tablebody0"/>
                  </w:pPr>
                  <w:r>
                    <w:t>RTMCPCRUS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9BD950C"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90BEA43" w14:textId="77777777" w:rsidR="00954FBC" w:rsidRDefault="00954FBC" w:rsidP="00954FBC">
                  <w:pPr>
                    <w:pStyle w:val="tablebody0"/>
                    <w:rPr>
                      <w:i/>
                      <w:szCs w:val="18"/>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954FBC" w:rsidRPr="00234E94" w14:paraId="50164B14" w14:textId="77777777" w:rsidTr="00F12B75">
              <w:trPr>
                <w:cantSplit/>
              </w:trPr>
              <w:tc>
                <w:tcPr>
                  <w:tcW w:w="1295" w:type="pct"/>
                </w:tcPr>
                <w:p w14:paraId="48EE0FB1" w14:textId="77777777" w:rsidR="00954FBC" w:rsidRPr="00234E94" w:rsidRDefault="00954FBC" w:rsidP="00954FBC">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6FDCE040" w14:textId="77777777" w:rsidR="00954FBC" w:rsidRPr="00234E94" w:rsidRDefault="00954FBC" w:rsidP="00954FBC">
                  <w:pPr>
                    <w:pStyle w:val="tablebody0"/>
                  </w:pPr>
                  <w:r w:rsidRPr="00536A53">
                    <w:t>$/MW</w:t>
                  </w:r>
                </w:p>
              </w:tc>
              <w:tc>
                <w:tcPr>
                  <w:tcW w:w="3074" w:type="pct"/>
                </w:tcPr>
                <w:p w14:paraId="0793E71F" w14:textId="77777777" w:rsidR="00954FBC" w:rsidRPr="00234E94" w:rsidRDefault="00954FBC" w:rsidP="00954FBC">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954FBC" w:rsidRPr="00234E94" w14:paraId="0F75302B" w14:textId="77777777" w:rsidTr="00F12B75">
              <w:trPr>
                <w:cantSplit/>
              </w:trPr>
              <w:tc>
                <w:tcPr>
                  <w:tcW w:w="1295" w:type="pct"/>
                </w:tcPr>
                <w:p w14:paraId="024B2EAA" w14:textId="77777777" w:rsidR="00954FBC" w:rsidRPr="000C2EDA" w:rsidRDefault="00954FBC" w:rsidP="00954FBC">
                  <w:pPr>
                    <w:pStyle w:val="tablebody0"/>
                  </w:pPr>
                  <w:r w:rsidRPr="003161DC">
                    <w:rPr>
                      <w:iCs/>
                    </w:rPr>
                    <w:t xml:space="preserve">RNWF </w:t>
                  </w:r>
                  <w:r w:rsidRPr="003161DC">
                    <w:rPr>
                      <w:i/>
                      <w:iCs/>
                      <w:vertAlign w:val="subscript"/>
                    </w:rPr>
                    <w:t>y</w:t>
                  </w:r>
                </w:p>
              </w:tc>
              <w:tc>
                <w:tcPr>
                  <w:tcW w:w="631" w:type="pct"/>
                </w:tcPr>
                <w:p w14:paraId="1949CE8E" w14:textId="77777777" w:rsidR="00954FBC" w:rsidRPr="00536A53" w:rsidRDefault="00954FBC" w:rsidP="00954FBC">
                  <w:pPr>
                    <w:pStyle w:val="tablebody0"/>
                  </w:pPr>
                  <w:r w:rsidRPr="003161DC">
                    <w:rPr>
                      <w:iCs/>
                    </w:rPr>
                    <w:t>none</w:t>
                  </w:r>
                </w:p>
              </w:tc>
              <w:tc>
                <w:tcPr>
                  <w:tcW w:w="3074" w:type="pct"/>
                </w:tcPr>
                <w:p w14:paraId="3F85EA2A" w14:textId="77777777" w:rsidR="00954FBC" w:rsidRPr="00691E57"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4B5A14C2" w14:textId="77777777" w:rsidTr="00F12B75">
              <w:trPr>
                <w:cantSplit/>
              </w:trPr>
              <w:tc>
                <w:tcPr>
                  <w:tcW w:w="1295" w:type="pct"/>
                </w:tcPr>
                <w:p w14:paraId="1DC58C1C" w14:textId="77777777" w:rsidR="00954FBC" w:rsidRPr="000C2EDA" w:rsidRDefault="00954FBC" w:rsidP="00954FBC">
                  <w:pPr>
                    <w:pStyle w:val="tablebody0"/>
                  </w:pPr>
                  <w:r w:rsidRPr="003161DC">
                    <w:rPr>
                      <w:iCs/>
                    </w:rPr>
                    <w:t xml:space="preserve">TLMP </w:t>
                  </w:r>
                  <w:r w:rsidRPr="003161DC">
                    <w:rPr>
                      <w:i/>
                      <w:iCs/>
                      <w:vertAlign w:val="subscript"/>
                    </w:rPr>
                    <w:t>y</w:t>
                  </w:r>
                </w:p>
              </w:tc>
              <w:tc>
                <w:tcPr>
                  <w:tcW w:w="631" w:type="pct"/>
                </w:tcPr>
                <w:p w14:paraId="3E9CC146" w14:textId="77777777" w:rsidR="00954FBC" w:rsidRPr="00536A53" w:rsidRDefault="00954FBC" w:rsidP="00954FBC">
                  <w:pPr>
                    <w:pStyle w:val="tablebody0"/>
                  </w:pPr>
                  <w:r w:rsidRPr="003161DC">
                    <w:rPr>
                      <w:iCs/>
                    </w:rPr>
                    <w:t>second</w:t>
                  </w:r>
                </w:p>
              </w:tc>
              <w:tc>
                <w:tcPr>
                  <w:tcW w:w="3074" w:type="pct"/>
                </w:tcPr>
                <w:p w14:paraId="1EAF6FA0" w14:textId="77777777" w:rsidR="00954FBC" w:rsidRPr="00691E57"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224F10B0" w14:textId="77777777" w:rsidTr="00F12B75">
              <w:trPr>
                <w:cantSplit/>
              </w:trPr>
              <w:tc>
                <w:tcPr>
                  <w:tcW w:w="1295" w:type="pct"/>
                </w:tcPr>
                <w:p w14:paraId="59DB22D4" w14:textId="77777777" w:rsidR="00954FBC" w:rsidRPr="00234E94" w:rsidRDefault="00954FBC" w:rsidP="00954FBC">
                  <w:pPr>
                    <w:pStyle w:val="tablebody0"/>
                    <w:rPr>
                      <w:i/>
                    </w:rPr>
                  </w:pPr>
                  <w:r w:rsidRPr="00234E94">
                    <w:rPr>
                      <w:i/>
                    </w:rPr>
                    <w:t>y</w:t>
                  </w:r>
                </w:p>
              </w:tc>
              <w:tc>
                <w:tcPr>
                  <w:tcW w:w="631" w:type="pct"/>
                </w:tcPr>
                <w:p w14:paraId="46D3FC60" w14:textId="77777777" w:rsidR="00954FBC" w:rsidRPr="00234E94" w:rsidRDefault="00954FBC" w:rsidP="00954FBC">
                  <w:pPr>
                    <w:pStyle w:val="tablebody0"/>
                  </w:pPr>
                  <w:r w:rsidRPr="00234E94">
                    <w:t>none</w:t>
                  </w:r>
                </w:p>
              </w:tc>
              <w:tc>
                <w:tcPr>
                  <w:tcW w:w="3074" w:type="pct"/>
                </w:tcPr>
                <w:p w14:paraId="4D85D527" w14:textId="77777777" w:rsidR="00954FBC" w:rsidRPr="00234E94" w:rsidRDefault="00954FBC" w:rsidP="00954FBC">
                  <w:pPr>
                    <w:pStyle w:val="tablebody0"/>
                  </w:pPr>
                  <w:r w:rsidRPr="00234E94">
                    <w:t>A SCED interval in the 15-minute Settlement Interval.</w:t>
                  </w:r>
                </w:p>
              </w:tc>
            </w:tr>
          </w:tbl>
          <w:p w14:paraId="4E3FE968" w14:textId="77777777" w:rsidR="00954FBC" w:rsidRDefault="00954FBC" w:rsidP="00954FBC">
            <w:pPr>
              <w:spacing w:before="240" w:after="240"/>
              <w:ind w:left="720" w:hanging="720"/>
            </w:pPr>
            <w:r>
              <w:rPr>
                <w:bCs/>
                <w:snapToGrid w:val="0"/>
              </w:rPr>
              <w:t>(2)</w:t>
            </w:r>
            <w:r>
              <w:t xml:space="preserve"> </w:t>
            </w:r>
            <w:r>
              <w:tab/>
              <w:t>The Real-Time MCPC for Reg-Down is the time-weighted average of the sum of the Real-Time MCPCs for Reg-Down and Real-Time Reliability Deployment Price Adder for Ancillary Service for Reg-Down of each SCED interval in the 15-minute Settlement Interval.  The Real-Time MCPC for Reg-Down for a 15-minute Settlement Interval is calculated as follows:</w:t>
            </w:r>
          </w:p>
          <w:p w14:paraId="04EA20D6" w14:textId="47D11FF7" w:rsidR="00954FBC" w:rsidRPr="00C3449C" w:rsidRDefault="00954FBC" w:rsidP="00954FBC">
            <w:pPr>
              <w:pStyle w:val="FormulaBold"/>
              <w:rPr>
                <w:i/>
                <w:vertAlign w:val="subscript"/>
              </w:rPr>
            </w:pPr>
            <w:r w:rsidRPr="00C3449C">
              <w:t>RTMCPCR</w:t>
            </w:r>
            <w:r>
              <w:t>D</w:t>
            </w:r>
            <w:r w:rsidRPr="00C3449C">
              <w:t xml:space="preserve">  =   </w:t>
            </w:r>
            <w:r w:rsidRPr="00C3449C">
              <w:rPr>
                <w:position w:val="-22"/>
              </w:rPr>
              <w:object w:dxaOrig="225" w:dyaOrig="465" w14:anchorId="6C4E78D1">
                <v:shape id="_x0000_i1071" type="#_x0000_t75" style="width:24pt;height:18pt" o:ole="">
                  <v:imagedata r:id="rId22" o:title=""/>
                </v:shape>
                <o:OLEObject Type="Embed" ProgID="Equation.3" ShapeID="_x0000_i1071" DrawAspect="Content" ObjectID="_1804653556" r:id="rId72"/>
              </w:object>
            </w:r>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r>
              <w:t>D</w:t>
            </w:r>
            <w:r w:rsidRPr="00BE2778">
              <w:t>PA</w:t>
            </w:r>
            <w:r>
              <w:t xml:space="preserve">RDS </w:t>
            </w:r>
            <w:r w:rsidRPr="000C2EDA">
              <w:rPr>
                <w:i/>
                <w:vertAlign w:val="subscript"/>
              </w:rPr>
              <w:t>y</w:t>
            </w:r>
            <w:r w:rsidRPr="00D8145C">
              <w:t>)</w:t>
            </w:r>
            <w:r w:rsidRPr="00C3449C">
              <w:t>)</w:t>
            </w:r>
          </w:p>
          <w:p w14:paraId="24FA745B" w14:textId="77777777" w:rsidR="00954FBC" w:rsidRDefault="00954FBC" w:rsidP="00954FBC">
            <w:pPr>
              <w:pStyle w:val="BodyTextNumbered"/>
              <w:ind w:left="0" w:firstLine="0"/>
            </w:pPr>
            <w:r>
              <w:t>Where:</w:t>
            </w:r>
          </w:p>
          <w:p w14:paraId="374E8CE5" w14:textId="7865DA10"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197DC9C3">
                <v:shape id="_x0000_i1072" type="#_x0000_t75" style="width:24pt;height:18pt" o:ole="">
                  <v:imagedata r:id="rId22" o:title=""/>
                </v:shape>
                <o:OLEObject Type="Embed" ProgID="Equation.3" ShapeID="_x0000_i1072" DrawAspect="Content" ObjectID="_1804653557" r:id="rId73"/>
              </w:object>
            </w:r>
            <w:r>
              <w:t xml:space="preserve">TLMP </w:t>
            </w:r>
            <w:r>
              <w:rPr>
                <w:i/>
                <w:vertAlign w:val="subscript"/>
              </w:rPr>
              <w:t>y</w:t>
            </w:r>
          </w:p>
          <w:p w14:paraId="5B7FEBC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0EFC09EB"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5843EA7" w14:textId="77777777" w:rsidR="00954FBC" w:rsidRDefault="00954FBC" w:rsidP="00954FBC">
                  <w:pPr>
                    <w:pStyle w:val="TableHead"/>
                  </w:pPr>
                  <w:r>
                    <w:lastRenderedPageBreak/>
                    <w:t>Variable</w:t>
                  </w:r>
                </w:p>
              </w:tc>
              <w:tc>
                <w:tcPr>
                  <w:tcW w:w="631" w:type="pct"/>
                  <w:tcBorders>
                    <w:top w:val="single" w:sz="4" w:space="0" w:color="auto"/>
                    <w:left w:val="single" w:sz="4" w:space="0" w:color="auto"/>
                    <w:bottom w:val="single" w:sz="4" w:space="0" w:color="auto"/>
                    <w:right w:val="single" w:sz="4" w:space="0" w:color="auto"/>
                  </w:tcBorders>
                  <w:hideMark/>
                </w:tcPr>
                <w:p w14:paraId="4D6469F4"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204194F4" w14:textId="77777777" w:rsidR="00954FBC" w:rsidRDefault="00954FBC" w:rsidP="00954FBC">
                  <w:pPr>
                    <w:pStyle w:val="TableHead"/>
                  </w:pPr>
                  <w:r>
                    <w:t>Description</w:t>
                  </w:r>
                </w:p>
              </w:tc>
            </w:tr>
            <w:tr w:rsidR="00954FBC" w14:paraId="453211EB"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153577" w14:textId="77777777" w:rsidR="00954FBC" w:rsidRDefault="00954FBC" w:rsidP="00954FBC">
                  <w:pPr>
                    <w:pStyle w:val="tablebody0"/>
                  </w:pPr>
                  <w:r>
                    <w:t xml:space="preserve">RTMCPCRD </w:t>
                  </w:r>
                </w:p>
              </w:tc>
              <w:tc>
                <w:tcPr>
                  <w:tcW w:w="631" w:type="pct"/>
                  <w:tcBorders>
                    <w:top w:val="single" w:sz="4" w:space="0" w:color="auto"/>
                    <w:left w:val="single" w:sz="4" w:space="0" w:color="auto"/>
                    <w:bottom w:val="single" w:sz="4" w:space="0" w:color="auto"/>
                    <w:right w:val="single" w:sz="4" w:space="0" w:color="auto"/>
                  </w:tcBorders>
                  <w:hideMark/>
                </w:tcPr>
                <w:p w14:paraId="26B0FFC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6F525920" w14:textId="77777777" w:rsidR="00954FBC" w:rsidRDefault="00954FBC" w:rsidP="00954FBC">
                  <w:pPr>
                    <w:pStyle w:val="tablebody0"/>
                    <w:rPr>
                      <w:i/>
                    </w:rPr>
                  </w:pPr>
                  <w:r>
                    <w:rPr>
                      <w:i/>
                      <w:szCs w:val="18"/>
                    </w:rPr>
                    <w:t>Real-Time Market Clearing Price for Capacity for Reg-Down -</w:t>
                  </w:r>
                  <w:r>
                    <w:t xml:space="preserve"> The Real-Time MCPC for Reg-Down for the 15-minute Settlement Interval.</w:t>
                  </w:r>
                </w:p>
              </w:tc>
            </w:tr>
            <w:tr w:rsidR="00954FBC" w14:paraId="06EEFD5A"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CE6306D" w14:textId="77777777" w:rsidR="00954FBC" w:rsidRDefault="00954FBC" w:rsidP="00954FBC">
                  <w:pPr>
                    <w:pStyle w:val="tablebody0"/>
                  </w:pPr>
                  <w:r>
                    <w:t>RTMCPCRDS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5DC8716"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8372764" w14:textId="77777777" w:rsidR="00954FBC" w:rsidRDefault="00954FBC" w:rsidP="00954FBC">
                  <w:pPr>
                    <w:pStyle w:val="tablebody0"/>
                    <w:rPr>
                      <w:i/>
                      <w:szCs w:val="18"/>
                    </w:rPr>
                  </w:pPr>
                  <w:r>
                    <w:rPr>
                      <w:i/>
                      <w:szCs w:val="18"/>
                    </w:rPr>
                    <w:t xml:space="preserve">Real-Time Market Clearing Price for Capacity for Reg-Down </w:t>
                  </w:r>
                  <w:r>
                    <w:rPr>
                      <w:i/>
                    </w:rPr>
                    <w:t xml:space="preserve">per SCED interval </w:t>
                  </w:r>
                  <w:r>
                    <w:rPr>
                      <w:i/>
                      <w:szCs w:val="18"/>
                    </w:rPr>
                    <w:t>-</w:t>
                  </w:r>
                  <w:r>
                    <w:t xml:space="preserve"> The Real-Time MCPC for Reg-Down for the SCED interval </w:t>
                  </w:r>
                  <w:r>
                    <w:rPr>
                      <w:i/>
                    </w:rPr>
                    <w:t>y.</w:t>
                  </w:r>
                </w:p>
              </w:tc>
            </w:tr>
            <w:tr w:rsidR="00954FBC" w:rsidRPr="00234E94" w14:paraId="63C1A80F" w14:textId="77777777" w:rsidTr="00F12B75">
              <w:trPr>
                <w:cantSplit/>
              </w:trPr>
              <w:tc>
                <w:tcPr>
                  <w:tcW w:w="1295" w:type="pct"/>
                </w:tcPr>
                <w:p w14:paraId="197A06E4" w14:textId="77777777" w:rsidR="00954FBC" w:rsidRPr="00234E94" w:rsidRDefault="00954FBC" w:rsidP="00954FBC">
                  <w:pPr>
                    <w:pStyle w:val="tablebody0"/>
                    <w:rPr>
                      <w:i/>
                    </w:rPr>
                  </w:pPr>
                  <w:r w:rsidRPr="004D72AD">
                    <w:t>RTR</w:t>
                  </w:r>
                  <w:r>
                    <w:t>D</w:t>
                  </w:r>
                  <w:r w:rsidRPr="004D72AD">
                    <w:t>PA</w:t>
                  </w:r>
                  <w:r>
                    <w:t xml:space="preserve">RDS </w:t>
                  </w:r>
                  <w:r w:rsidRPr="000C2EDA">
                    <w:rPr>
                      <w:i/>
                    </w:rPr>
                    <w:t>y</w:t>
                  </w:r>
                </w:p>
              </w:tc>
              <w:tc>
                <w:tcPr>
                  <w:tcW w:w="631" w:type="pct"/>
                </w:tcPr>
                <w:p w14:paraId="79671E35" w14:textId="77777777" w:rsidR="00954FBC" w:rsidRPr="00234E94" w:rsidRDefault="00954FBC" w:rsidP="00954FBC">
                  <w:pPr>
                    <w:pStyle w:val="tablebody0"/>
                  </w:pPr>
                  <w:r w:rsidRPr="004D72AD">
                    <w:t>$/MW</w:t>
                  </w:r>
                </w:p>
              </w:tc>
              <w:tc>
                <w:tcPr>
                  <w:tcW w:w="3074" w:type="pct"/>
                </w:tcPr>
                <w:p w14:paraId="03FEDF1A" w14:textId="77777777" w:rsidR="00954FBC" w:rsidRPr="00234E94" w:rsidRDefault="00954FBC" w:rsidP="00954FBC">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954FBC" w:rsidRPr="00234E94" w14:paraId="3C68D826" w14:textId="77777777" w:rsidTr="00F12B75">
              <w:trPr>
                <w:cantSplit/>
              </w:trPr>
              <w:tc>
                <w:tcPr>
                  <w:tcW w:w="1295" w:type="pct"/>
                </w:tcPr>
                <w:p w14:paraId="17592975" w14:textId="77777777" w:rsidR="00954FBC" w:rsidRPr="004D72AD" w:rsidRDefault="00954FBC" w:rsidP="00954FBC">
                  <w:pPr>
                    <w:pStyle w:val="tablebody0"/>
                  </w:pPr>
                  <w:r w:rsidRPr="003161DC">
                    <w:rPr>
                      <w:iCs/>
                    </w:rPr>
                    <w:t xml:space="preserve">RNWF </w:t>
                  </w:r>
                  <w:r w:rsidRPr="003161DC">
                    <w:rPr>
                      <w:i/>
                      <w:iCs/>
                      <w:vertAlign w:val="subscript"/>
                    </w:rPr>
                    <w:t>y</w:t>
                  </w:r>
                </w:p>
              </w:tc>
              <w:tc>
                <w:tcPr>
                  <w:tcW w:w="631" w:type="pct"/>
                </w:tcPr>
                <w:p w14:paraId="52983775" w14:textId="77777777" w:rsidR="00954FBC" w:rsidRPr="004D72AD" w:rsidRDefault="00954FBC" w:rsidP="00954FBC">
                  <w:pPr>
                    <w:pStyle w:val="tablebody0"/>
                  </w:pPr>
                  <w:r w:rsidRPr="003161DC">
                    <w:rPr>
                      <w:iCs/>
                    </w:rPr>
                    <w:t>none</w:t>
                  </w:r>
                </w:p>
              </w:tc>
              <w:tc>
                <w:tcPr>
                  <w:tcW w:w="3074" w:type="pct"/>
                </w:tcPr>
                <w:p w14:paraId="3494680F" w14:textId="77777777" w:rsidR="00954FBC" w:rsidRPr="0091078E"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3A325F18" w14:textId="77777777" w:rsidTr="00F12B75">
              <w:trPr>
                <w:cantSplit/>
              </w:trPr>
              <w:tc>
                <w:tcPr>
                  <w:tcW w:w="1295" w:type="pct"/>
                </w:tcPr>
                <w:p w14:paraId="1D38F556" w14:textId="77777777" w:rsidR="00954FBC" w:rsidRPr="004D72AD" w:rsidRDefault="00954FBC" w:rsidP="00954FBC">
                  <w:pPr>
                    <w:pStyle w:val="tablebody0"/>
                  </w:pPr>
                  <w:r w:rsidRPr="003161DC">
                    <w:rPr>
                      <w:iCs/>
                    </w:rPr>
                    <w:t xml:space="preserve">TLMP </w:t>
                  </w:r>
                  <w:r w:rsidRPr="003161DC">
                    <w:rPr>
                      <w:i/>
                      <w:iCs/>
                      <w:vertAlign w:val="subscript"/>
                    </w:rPr>
                    <w:t>y</w:t>
                  </w:r>
                </w:p>
              </w:tc>
              <w:tc>
                <w:tcPr>
                  <w:tcW w:w="631" w:type="pct"/>
                </w:tcPr>
                <w:p w14:paraId="2D289B51" w14:textId="77777777" w:rsidR="00954FBC" w:rsidRPr="004D72AD" w:rsidRDefault="00954FBC" w:rsidP="00954FBC">
                  <w:pPr>
                    <w:pStyle w:val="tablebody0"/>
                  </w:pPr>
                  <w:r w:rsidRPr="003161DC">
                    <w:rPr>
                      <w:iCs/>
                    </w:rPr>
                    <w:t>second</w:t>
                  </w:r>
                </w:p>
              </w:tc>
              <w:tc>
                <w:tcPr>
                  <w:tcW w:w="3074" w:type="pct"/>
                </w:tcPr>
                <w:p w14:paraId="09DB3950" w14:textId="77777777" w:rsidR="00954FBC" w:rsidRPr="0091078E"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68B60A2" w14:textId="77777777" w:rsidTr="00F12B75">
              <w:trPr>
                <w:cantSplit/>
              </w:trPr>
              <w:tc>
                <w:tcPr>
                  <w:tcW w:w="1295" w:type="pct"/>
                </w:tcPr>
                <w:p w14:paraId="3976FBED" w14:textId="77777777" w:rsidR="00954FBC" w:rsidRPr="00234E94" w:rsidRDefault="00954FBC" w:rsidP="00954FBC">
                  <w:pPr>
                    <w:pStyle w:val="tablebody0"/>
                    <w:rPr>
                      <w:i/>
                    </w:rPr>
                  </w:pPr>
                  <w:r w:rsidRPr="00234E94">
                    <w:rPr>
                      <w:i/>
                    </w:rPr>
                    <w:t>y</w:t>
                  </w:r>
                </w:p>
              </w:tc>
              <w:tc>
                <w:tcPr>
                  <w:tcW w:w="631" w:type="pct"/>
                </w:tcPr>
                <w:p w14:paraId="24AB95A1" w14:textId="77777777" w:rsidR="00954FBC" w:rsidRPr="00234E94" w:rsidRDefault="00954FBC" w:rsidP="00954FBC">
                  <w:pPr>
                    <w:pStyle w:val="tablebody0"/>
                  </w:pPr>
                  <w:r w:rsidRPr="00234E94">
                    <w:t>none</w:t>
                  </w:r>
                </w:p>
              </w:tc>
              <w:tc>
                <w:tcPr>
                  <w:tcW w:w="3074" w:type="pct"/>
                </w:tcPr>
                <w:p w14:paraId="659815DB" w14:textId="77777777" w:rsidR="00954FBC" w:rsidRPr="00234E94" w:rsidRDefault="00954FBC" w:rsidP="00954FBC">
                  <w:pPr>
                    <w:pStyle w:val="tablebody0"/>
                  </w:pPr>
                  <w:r w:rsidRPr="00234E94">
                    <w:t>A SCED interval in the 15-minute Settlement Interval.</w:t>
                  </w:r>
                </w:p>
              </w:tc>
            </w:tr>
          </w:tbl>
          <w:p w14:paraId="7C06D3CE" w14:textId="77777777" w:rsidR="00954FBC" w:rsidRDefault="00954FBC" w:rsidP="00954FBC">
            <w:pPr>
              <w:spacing w:before="240" w:after="240"/>
              <w:ind w:left="720" w:hanging="720"/>
            </w:pPr>
            <w:r>
              <w:rPr>
                <w:bCs/>
                <w:snapToGrid w:val="0"/>
              </w:rPr>
              <w:t>(3)</w:t>
            </w:r>
            <w:r>
              <w:t xml:space="preserve"> </w:t>
            </w:r>
            <w:r>
              <w:tab/>
              <w:t>The Real-Time MCPC for RRS is the time-weighted average of the sum of the Real-Time MCPCs for RRS and Real-Time Reliability Deployment Price Adder for Ancillary Service for RRS of each SCED interval in the 15-minute Settlement Interval</w:t>
            </w:r>
            <w:r w:rsidRPr="003161DC">
              <w:t xml:space="preserve">.  The Real-Time </w:t>
            </w:r>
            <w:r>
              <w:t>MCPC for RRS</w:t>
            </w:r>
            <w:r w:rsidRPr="003161DC">
              <w:t xml:space="preserve"> for a 15-minute Settlement Interval is calculated as follows:</w:t>
            </w:r>
          </w:p>
          <w:p w14:paraId="2CF88571" w14:textId="65FAEDEB" w:rsidR="00954FBC" w:rsidRPr="00C3449C" w:rsidRDefault="00954FBC" w:rsidP="00954FBC">
            <w:pPr>
              <w:pStyle w:val="FormulaBold"/>
              <w:rPr>
                <w:i/>
                <w:vertAlign w:val="subscript"/>
              </w:rPr>
            </w:pPr>
            <w:r w:rsidRPr="00C3449C">
              <w:t>RTMCPCR</w:t>
            </w:r>
            <w:r>
              <w:t>R</w:t>
            </w:r>
            <w:r w:rsidRPr="00C3449C">
              <w:t xml:space="preserve">  =   </w:t>
            </w:r>
            <w:r w:rsidRPr="00C3449C">
              <w:rPr>
                <w:position w:val="-22"/>
              </w:rPr>
              <w:object w:dxaOrig="225" w:dyaOrig="465" w14:anchorId="09B1FD9C">
                <v:shape id="_x0000_i1073" type="#_x0000_t75" style="width:24pt;height:18pt" o:ole="">
                  <v:imagedata r:id="rId22" o:title=""/>
                </v:shape>
                <o:OLEObject Type="Embed" ProgID="Equation.3" ShapeID="_x0000_i1073" DrawAspect="Content" ObjectID="_1804653558" r:id="rId74"/>
              </w:object>
            </w:r>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r>
              <w:t xml:space="preserve"> + </w:t>
            </w:r>
            <w:r w:rsidRPr="00BE2778">
              <w:t>RTR</w:t>
            </w:r>
            <w:r>
              <w:t>D</w:t>
            </w:r>
            <w:r w:rsidRPr="00BE2778">
              <w:t>PA</w:t>
            </w:r>
            <w:r>
              <w:t xml:space="preserve">RRS </w:t>
            </w:r>
            <w:r w:rsidRPr="000C2EDA">
              <w:rPr>
                <w:i/>
                <w:vertAlign w:val="subscript"/>
              </w:rPr>
              <w:t>y</w:t>
            </w:r>
            <w:r w:rsidRPr="00C3449C">
              <w:t>)</w:t>
            </w:r>
            <w:r>
              <w:t>)</w:t>
            </w:r>
          </w:p>
          <w:p w14:paraId="5524006A" w14:textId="77777777" w:rsidR="00954FBC" w:rsidRDefault="00954FBC" w:rsidP="00954FBC">
            <w:pPr>
              <w:pStyle w:val="BodyTextNumbered"/>
              <w:ind w:left="0" w:firstLine="0"/>
            </w:pPr>
            <w:r>
              <w:t>Where:</w:t>
            </w:r>
          </w:p>
          <w:p w14:paraId="6130BD78" w14:textId="7777777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0C5AECE4">
                <v:shape id="_x0000_i1074" type="#_x0000_t75" style="width:12pt;height:12pt" o:ole="">
                  <v:imagedata r:id="rId22" o:title=""/>
                </v:shape>
                <o:OLEObject Type="Embed" ProgID="Equation.3" ShapeID="_x0000_i1074" DrawAspect="Content" ObjectID="_1804653559" r:id="rId75"/>
              </w:object>
            </w:r>
            <w:r>
              <w:t xml:space="preserve">TLMP </w:t>
            </w:r>
            <w:r>
              <w:rPr>
                <w:i/>
                <w:vertAlign w:val="subscript"/>
              </w:rPr>
              <w:t>y</w:t>
            </w:r>
          </w:p>
          <w:p w14:paraId="25E1921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D479AFE"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9AD581D"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A1A2461"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7F280E6" w14:textId="77777777" w:rsidR="00954FBC" w:rsidRDefault="00954FBC" w:rsidP="00954FBC">
                  <w:pPr>
                    <w:pStyle w:val="TableHead"/>
                  </w:pPr>
                  <w:r>
                    <w:t>Description</w:t>
                  </w:r>
                </w:p>
              </w:tc>
            </w:tr>
            <w:tr w:rsidR="00954FBC" w14:paraId="58331F43"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F11FF41" w14:textId="77777777" w:rsidR="00954FBC" w:rsidRDefault="00954FBC" w:rsidP="00954FBC">
                  <w:pPr>
                    <w:pStyle w:val="tablebody0"/>
                  </w:pPr>
                  <w:r>
                    <w:t xml:space="preserve">RTMCPCRR </w:t>
                  </w:r>
                </w:p>
              </w:tc>
              <w:tc>
                <w:tcPr>
                  <w:tcW w:w="631" w:type="pct"/>
                  <w:tcBorders>
                    <w:top w:val="single" w:sz="4" w:space="0" w:color="auto"/>
                    <w:left w:val="single" w:sz="4" w:space="0" w:color="auto"/>
                    <w:bottom w:val="single" w:sz="4" w:space="0" w:color="auto"/>
                    <w:right w:val="single" w:sz="4" w:space="0" w:color="auto"/>
                  </w:tcBorders>
                  <w:hideMark/>
                </w:tcPr>
                <w:p w14:paraId="307A398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BFEC75D" w14:textId="77777777" w:rsidR="00954FBC" w:rsidRDefault="00954FBC" w:rsidP="00954FBC">
                  <w:pPr>
                    <w:pStyle w:val="tablebody0"/>
                    <w:rPr>
                      <w:i/>
                    </w:rPr>
                  </w:pPr>
                  <w:r>
                    <w:rPr>
                      <w:i/>
                      <w:szCs w:val="18"/>
                    </w:rPr>
                    <w:t>Real-Time Market Clearing Price for Capacity for Responsive Reserve -</w:t>
                  </w:r>
                  <w:r>
                    <w:t xml:space="preserve"> The Real-Time MCPC for RRS for the 15-minute Settlement Interval.</w:t>
                  </w:r>
                </w:p>
              </w:tc>
            </w:tr>
            <w:tr w:rsidR="00954FBC" w14:paraId="408BFBD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C433D6F" w14:textId="77777777" w:rsidR="00954FBC" w:rsidRDefault="00954FBC" w:rsidP="00954FBC">
                  <w:pPr>
                    <w:pStyle w:val="tablebody0"/>
                  </w:pPr>
                  <w:r>
                    <w:t>RTMCPCRRS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A989AF8"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B7E1F85" w14:textId="77777777" w:rsidR="00954FBC" w:rsidRDefault="00954FBC" w:rsidP="00954FBC">
                  <w:pPr>
                    <w:pStyle w:val="tablebody0"/>
                    <w:rPr>
                      <w:i/>
                      <w:szCs w:val="18"/>
                    </w:rPr>
                  </w:pPr>
                  <w:r>
                    <w:rPr>
                      <w:i/>
                      <w:szCs w:val="18"/>
                    </w:rPr>
                    <w:t xml:space="preserve">Real-Time Market Clearing Price for Capacity for Responsive Reserve </w:t>
                  </w:r>
                  <w:r>
                    <w:rPr>
                      <w:i/>
                    </w:rPr>
                    <w:t xml:space="preserve">per SCED interval </w:t>
                  </w:r>
                  <w:r>
                    <w:rPr>
                      <w:i/>
                      <w:szCs w:val="18"/>
                    </w:rPr>
                    <w:t>-</w:t>
                  </w:r>
                  <w:r>
                    <w:t xml:space="preserve"> The Real-Time MCPC for RRS for the SCED interval </w:t>
                  </w:r>
                  <w:r>
                    <w:rPr>
                      <w:i/>
                    </w:rPr>
                    <w:t>y.</w:t>
                  </w:r>
                </w:p>
              </w:tc>
            </w:tr>
            <w:tr w:rsidR="00954FBC" w:rsidRPr="00234E94" w14:paraId="1BFAE315" w14:textId="77777777" w:rsidTr="00F12B75">
              <w:trPr>
                <w:cantSplit/>
              </w:trPr>
              <w:tc>
                <w:tcPr>
                  <w:tcW w:w="1295" w:type="pct"/>
                </w:tcPr>
                <w:p w14:paraId="554A6996" w14:textId="77777777" w:rsidR="00954FBC" w:rsidRPr="00234E94" w:rsidRDefault="00954FBC" w:rsidP="00954FBC">
                  <w:pPr>
                    <w:pStyle w:val="tablebody0"/>
                    <w:rPr>
                      <w:i/>
                    </w:rPr>
                  </w:pPr>
                  <w:r w:rsidRPr="004654BF">
                    <w:t>RTR</w:t>
                  </w:r>
                  <w:r>
                    <w:t>D</w:t>
                  </w:r>
                  <w:r w:rsidRPr="004654BF">
                    <w:t>PA</w:t>
                  </w:r>
                  <w:r>
                    <w:t xml:space="preserve">RRS </w:t>
                  </w:r>
                  <w:r w:rsidRPr="000C2EDA">
                    <w:rPr>
                      <w:i/>
                    </w:rPr>
                    <w:t>y</w:t>
                  </w:r>
                </w:p>
              </w:tc>
              <w:tc>
                <w:tcPr>
                  <w:tcW w:w="631" w:type="pct"/>
                </w:tcPr>
                <w:p w14:paraId="22C17596" w14:textId="77777777" w:rsidR="00954FBC" w:rsidRPr="00234E94" w:rsidRDefault="00954FBC" w:rsidP="00954FBC">
                  <w:pPr>
                    <w:pStyle w:val="tablebody0"/>
                  </w:pPr>
                  <w:r w:rsidRPr="004654BF">
                    <w:t>$/MW</w:t>
                  </w:r>
                </w:p>
              </w:tc>
              <w:tc>
                <w:tcPr>
                  <w:tcW w:w="3074" w:type="pct"/>
                </w:tcPr>
                <w:p w14:paraId="72C8CA04"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954FBC" w:rsidRPr="00234E94" w14:paraId="01B4D109" w14:textId="77777777" w:rsidTr="00F12B75">
              <w:trPr>
                <w:cantSplit/>
              </w:trPr>
              <w:tc>
                <w:tcPr>
                  <w:tcW w:w="1295" w:type="pct"/>
                </w:tcPr>
                <w:p w14:paraId="02E65833"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59D25F83" w14:textId="77777777" w:rsidR="00954FBC" w:rsidRPr="004654BF" w:rsidRDefault="00954FBC" w:rsidP="00954FBC">
                  <w:pPr>
                    <w:pStyle w:val="tablebody0"/>
                  </w:pPr>
                  <w:r w:rsidRPr="003161DC">
                    <w:rPr>
                      <w:iCs/>
                    </w:rPr>
                    <w:t>none</w:t>
                  </w:r>
                </w:p>
              </w:tc>
              <w:tc>
                <w:tcPr>
                  <w:tcW w:w="3074" w:type="pct"/>
                </w:tcPr>
                <w:p w14:paraId="76A70D4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E4B1719" w14:textId="77777777" w:rsidTr="00F12B75">
              <w:trPr>
                <w:cantSplit/>
              </w:trPr>
              <w:tc>
                <w:tcPr>
                  <w:tcW w:w="1295" w:type="pct"/>
                </w:tcPr>
                <w:p w14:paraId="10C3E5F8"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465A0834" w14:textId="77777777" w:rsidR="00954FBC" w:rsidRPr="004654BF" w:rsidRDefault="00954FBC" w:rsidP="00954FBC">
                  <w:pPr>
                    <w:pStyle w:val="tablebody0"/>
                  </w:pPr>
                  <w:r w:rsidRPr="003161DC">
                    <w:rPr>
                      <w:iCs/>
                    </w:rPr>
                    <w:t>second</w:t>
                  </w:r>
                </w:p>
              </w:tc>
              <w:tc>
                <w:tcPr>
                  <w:tcW w:w="3074" w:type="pct"/>
                </w:tcPr>
                <w:p w14:paraId="06F98AB6"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50D83A8" w14:textId="77777777" w:rsidTr="00F12B75">
              <w:trPr>
                <w:cantSplit/>
              </w:trPr>
              <w:tc>
                <w:tcPr>
                  <w:tcW w:w="1295" w:type="pct"/>
                </w:tcPr>
                <w:p w14:paraId="11C1EFA7" w14:textId="6FB21018" w:rsidR="00954FBC" w:rsidRPr="00234E94" w:rsidRDefault="00F12B75" w:rsidP="00954FBC">
                  <w:pPr>
                    <w:pStyle w:val="tablebody0"/>
                    <w:rPr>
                      <w:i/>
                    </w:rPr>
                  </w:pPr>
                  <w:r>
                    <w:rPr>
                      <w:i/>
                    </w:rPr>
                    <w:lastRenderedPageBreak/>
                    <w:t>y</w:t>
                  </w:r>
                </w:p>
              </w:tc>
              <w:tc>
                <w:tcPr>
                  <w:tcW w:w="631" w:type="pct"/>
                </w:tcPr>
                <w:p w14:paraId="58139DC7" w14:textId="77777777" w:rsidR="00954FBC" w:rsidRPr="00234E94" w:rsidRDefault="00954FBC" w:rsidP="00954FBC">
                  <w:pPr>
                    <w:pStyle w:val="tablebody0"/>
                  </w:pPr>
                  <w:r w:rsidRPr="00234E94">
                    <w:t>none</w:t>
                  </w:r>
                </w:p>
              </w:tc>
              <w:tc>
                <w:tcPr>
                  <w:tcW w:w="3074" w:type="pct"/>
                </w:tcPr>
                <w:p w14:paraId="0398B968" w14:textId="77777777" w:rsidR="00954FBC" w:rsidRPr="00234E94" w:rsidRDefault="00954FBC" w:rsidP="00954FBC">
                  <w:pPr>
                    <w:pStyle w:val="tablebody0"/>
                  </w:pPr>
                  <w:r w:rsidRPr="00234E94">
                    <w:t>A SCED interval in the 15-minute Settlement Interval.</w:t>
                  </w:r>
                </w:p>
              </w:tc>
            </w:tr>
          </w:tbl>
          <w:p w14:paraId="42807256" w14:textId="77777777" w:rsidR="00954FBC" w:rsidRDefault="00954FBC" w:rsidP="00954FBC">
            <w:pPr>
              <w:spacing w:before="240" w:after="240"/>
              <w:ind w:left="720" w:hanging="720"/>
            </w:pPr>
            <w:r>
              <w:rPr>
                <w:bCs/>
                <w:snapToGrid w:val="0"/>
              </w:rPr>
              <w:t>(4</w:t>
            </w:r>
            <w:r w:rsidRPr="000C2EDA">
              <w:rPr>
                <w:bCs/>
                <w:snapToGrid w:val="0"/>
              </w:rPr>
              <w:t>)</w:t>
            </w:r>
            <w:r w:rsidRPr="00F26DA0">
              <w:t xml:space="preserve"> </w:t>
            </w:r>
            <w:r w:rsidRPr="003161DC">
              <w:tab/>
            </w:r>
            <w:r>
              <w:t>The Real-Time MCPC for ECRS is the time-weighted average of the sum of the Real-Time MCPC for ECRS and Real-Time Reliability Deployment Price Adder for Ancillary Service for ECRS of each SCED interval in the 15-minute Settlement Interval.  The Real-Time MCPC for ECRS for a 15-minute Settlement Interval is calculated as follows</w:t>
            </w:r>
            <w:r w:rsidRPr="003161DC">
              <w:t>:</w:t>
            </w:r>
          </w:p>
          <w:p w14:paraId="54AF30D2" w14:textId="19743A9D" w:rsidR="00954FBC" w:rsidRPr="00C3449C" w:rsidRDefault="00954FBC" w:rsidP="00954FBC">
            <w:pPr>
              <w:pStyle w:val="FormulaBold"/>
              <w:rPr>
                <w:i/>
                <w:vertAlign w:val="subscript"/>
              </w:rPr>
            </w:pPr>
            <w:r w:rsidRPr="00C3449C">
              <w:t>RTMCPC</w:t>
            </w:r>
            <w:r>
              <w:t>EC</w:t>
            </w:r>
            <w:r w:rsidRPr="00C3449C">
              <w:t xml:space="preserve">R  =   </w:t>
            </w:r>
            <w:r w:rsidRPr="00C3449C">
              <w:rPr>
                <w:position w:val="-22"/>
              </w:rPr>
              <w:object w:dxaOrig="225" w:dyaOrig="465" w14:anchorId="173EA88B">
                <v:shape id="_x0000_i1075" type="#_x0000_t75" style="width:24pt;height:18pt" o:ole="">
                  <v:imagedata r:id="rId22" o:title=""/>
                </v:shape>
                <o:OLEObject Type="Embed" ProgID="Equation.3" ShapeID="_x0000_i1075" DrawAspect="Content" ObjectID="_1804653560" r:id="rId76"/>
              </w:object>
            </w:r>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p>
          <w:p w14:paraId="5FF0D17D" w14:textId="77777777" w:rsidR="00954FBC" w:rsidRDefault="00954FBC" w:rsidP="00954FBC">
            <w:pPr>
              <w:pStyle w:val="BodyTextNumbered"/>
              <w:ind w:left="0" w:firstLine="0"/>
            </w:pPr>
            <w:r>
              <w:t>Where:</w:t>
            </w:r>
          </w:p>
          <w:p w14:paraId="34A18326" w14:textId="5CA42261"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9D49B6F">
                <v:shape id="_x0000_i1076" type="#_x0000_t75" style="width:24pt;height:18pt" o:ole="">
                  <v:imagedata r:id="rId22" o:title=""/>
                </v:shape>
                <o:OLEObject Type="Embed" ProgID="Equation.3" ShapeID="_x0000_i1076" DrawAspect="Content" ObjectID="_1804653561" r:id="rId77"/>
              </w:object>
            </w:r>
            <w:r>
              <w:t xml:space="preserve">TLMP </w:t>
            </w:r>
            <w:r>
              <w:rPr>
                <w:i/>
                <w:vertAlign w:val="subscript"/>
              </w:rPr>
              <w:t>y</w:t>
            </w:r>
          </w:p>
          <w:p w14:paraId="3331215F"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5ED3AD2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7EDA07C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0D6A8949"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B217D60" w14:textId="77777777" w:rsidR="00954FBC" w:rsidRDefault="00954FBC" w:rsidP="00954FBC">
                  <w:pPr>
                    <w:pStyle w:val="TableHead"/>
                  </w:pPr>
                  <w:r>
                    <w:t>Description</w:t>
                  </w:r>
                </w:p>
              </w:tc>
            </w:tr>
            <w:tr w:rsidR="00954FBC" w14:paraId="7D5E83A1"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9A5C259" w14:textId="77777777" w:rsidR="00954FBC" w:rsidRDefault="00954FBC" w:rsidP="00954FBC">
                  <w:pPr>
                    <w:pStyle w:val="tablebody0"/>
                  </w:pPr>
                  <w:r>
                    <w:t xml:space="preserve">RTMCPCECR </w:t>
                  </w:r>
                </w:p>
              </w:tc>
              <w:tc>
                <w:tcPr>
                  <w:tcW w:w="631" w:type="pct"/>
                  <w:tcBorders>
                    <w:top w:val="single" w:sz="4" w:space="0" w:color="auto"/>
                    <w:left w:val="single" w:sz="4" w:space="0" w:color="auto"/>
                    <w:bottom w:val="single" w:sz="4" w:space="0" w:color="auto"/>
                    <w:right w:val="single" w:sz="4" w:space="0" w:color="auto"/>
                  </w:tcBorders>
                  <w:hideMark/>
                </w:tcPr>
                <w:p w14:paraId="671DB7BB"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A1E743F" w14:textId="77777777" w:rsidR="00954FBC" w:rsidRDefault="00954FBC" w:rsidP="00954FBC">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MCPC for ECRS for the 15-minute Settlement Interval.</w:t>
                  </w:r>
                </w:p>
              </w:tc>
            </w:tr>
            <w:tr w:rsidR="00954FBC" w14:paraId="4B634CC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DECA350" w14:textId="77777777" w:rsidR="00954FBC" w:rsidRDefault="00954FBC" w:rsidP="00954FBC">
                  <w:pPr>
                    <w:pStyle w:val="tablebody0"/>
                  </w:pPr>
                  <w:r>
                    <w:t>RTMCPCECRS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6A41F639"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F8FD174"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r>
                    <w:t xml:space="preserve">S for the SCED interval </w:t>
                  </w:r>
                  <w:r>
                    <w:rPr>
                      <w:i/>
                    </w:rPr>
                    <w:t>y.</w:t>
                  </w:r>
                </w:p>
              </w:tc>
            </w:tr>
            <w:tr w:rsidR="00954FBC" w:rsidRPr="00234E94" w14:paraId="1A443333" w14:textId="77777777" w:rsidTr="00F12B75">
              <w:trPr>
                <w:cantSplit/>
              </w:trPr>
              <w:tc>
                <w:tcPr>
                  <w:tcW w:w="1295" w:type="pct"/>
                </w:tcPr>
                <w:p w14:paraId="3B85F91D" w14:textId="77777777" w:rsidR="00954FBC" w:rsidRPr="00234E94" w:rsidRDefault="00954FBC" w:rsidP="00954FBC">
                  <w:pPr>
                    <w:pStyle w:val="tablebody0"/>
                    <w:rPr>
                      <w:i/>
                    </w:rPr>
                  </w:pPr>
                  <w:r w:rsidRPr="004654BF">
                    <w:t>RTR</w:t>
                  </w:r>
                  <w:r>
                    <w:t>D</w:t>
                  </w:r>
                  <w:r w:rsidRPr="004654BF">
                    <w:t>PA</w:t>
                  </w:r>
                  <w:r>
                    <w:t xml:space="preserve">ECRS </w:t>
                  </w:r>
                  <w:r w:rsidRPr="000C2EDA">
                    <w:rPr>
                      <w:i/>
                    </w:rPr>
                    <w:t>y</w:t>
                  </w:r>
                </w:p>
              </w:tc>
              <w:tc>
                <w:tcPr>
                  <w:tcW w:w="631" w:type="pct"/>
                </w:tcPr>
                <w:p w14:paraId="1DB2A08F" w14:textId="77777777" w:rsidR="00954FBC" w:rsidRPr="00234E94" w:rsidRDefault="00954FBC" w:rsidP="00954FBC">
                  <w:pPr>
                    <w:pStyle w:val="tablebody0"/>
                  </w:pPr>
                  <w:r w:rsidRPr="004654BF">
                    <w:t>$/MW</w:t>
                  </w:r>
                </w:p>
              </w:tc>
              <w:tc>
                <w:tcPr>
                  <w:tcW w:w="3074" w:type="pct"/>
                </w:tcPr>
                <w:p w14:paraId="68C64B50"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954FBC" w:rsidRPr="00234E94" w14:paraId="6EC31290" w14:textId="77777777" w:rsidTr="00F12B75">
              <w:trPr>
                <w:cantSplit/>
              </w:trPr>
              <w:tc>
                <w:tcPr>
                  <w:tcW w:w="1295" w:type="pct"/>
                </w:tcPr>
                <w:p w14:paraId="456CFE06"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015A0580" w14:textId="77777777" w:rsidR="00954FBC" w:rsidRPr="004654BF" w:rsidRDefault="00954FBC" w:rsidP="00954FBC">
                  <w:pPr>
                    <w:pStyle w:val="tablebody0"/>
                  </w:pPr>
                  <w:r w:rsidRPr="003161DC">
                    <w:rPr>
                      <w:iCs/>
                    </w:rPr>
                    <w:t>none</w:t>
                  </w:r>
                </w:p>
              </w:tc>
              <w:tc>
                <w:tcPr>
                  <w:tcW w:w="3074" w:type="pct"/>
                </w:tcPr>
                <w:p w14:paraId="7591A06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1BB816C6" w14:textId="77777777" w:rsidTr="00F12B75">
              <w:trPr>
                <w:cantSplit/>
              </w:trPr>
              <w:tc>
                <w:tcPr>
                  <w:tcW w:w="1295" w:type="pct"/>
                </w:tcPr>
                <w:p w14:paraId="4CAC1BD1"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01B4045C" w14:textId="77777777" w:rsidR="00954FBC" w:rsidRPr="004654BF" w:rsidRDefault="00954FBC" w:rsidP="00954FBC">
                  <w:pPr>
                    <w:pStyle w:val="tablebody0"/>
                  </w:pPr>
                  <w:r w:rsidRPr="003161DC">
                    <w:rPr>
                      <w:iCs/>
                    </w:rPr>
                    <w:t>second</w:t>
                  </w:r>
                </w:p>
              </w:tc>
              <w:tc>
                <w:tcPr>
                  <w:tcW w:w="3074" w:type="pct"/>
                </w:tcPr>
                <w:p w14:paraId="7217F252"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08DE15CC" w14:textId="77777777" w:rsidTr="00F12B75">
              <w:trPr>
                <w:cantSplit/>
              </w:trPr>
              <w:tc>
                <w:tcPr>
                  <w:tcW w:w="1295" w:type="pct"/>
                </w:tcPr>
                <w:p w14:paraId="004E7264" w14:textId="77777777" w:rsidR="00954FBC" w:rsidRPr="00234E94" w:rsidRDefault="00954FBC" w:rsidP="00954FBC">
                  <w:pPr>
                    <w:pStyle w:val="tablebody0"/>
                    <w:rPr>
                      <w:i/>
                    </w:rPr>
                  </w:pPr>
                  <w:r w:rsidRPr="00234E94">
                    <w:rPr>
                      <w:i/>
                    </w:rPr>
                    <w:t>y</w:t>
                  </w:r>
                </w:p>
              </w:tc>
              <w:tc>
                <w:tcPr>
                  <w:tcW w:w="631" w:type="pct"/>
                </w:tcPr>
                <w:p w14:paraId="5C870C3E" w14:textId="77777777" w:rsidR="00954FBC" w:rsidRPr="00234E94" w:rsidRDefault="00954FBC" w:rsidP="00954FBC">
                  <w:pPr>
                    <w:pStyle w:val="tablebody0"/>
                  </w:pPr>
                  <w:r w:rsidRPr="00234E94">
                    <w:t>none</w:t>
                  </w:r>
                </w:p>
              </w:tc>
              <w:tc>
                <w:tcPr>
                  <w:tcW w:w="3074" w:type="pct"/>
                </w:tcPr>
                <w:p w14:paraId="43ED7CEB" w14:textId="77777777" w:rsidR="00954FBC" w:rsidRPr="00234E94" w:rsidRDefault="00954FBC" w:rsidP="00954FBC">
                  <w:pPr>
                    <w:pStyle w:val="tablebody0"/>
                  </w:pPr>
                  <w:r w:rsidRPr="00234E94">
                    <w:t>A SCED interval in the 15-minute Settlement Interval.</w:t>
                  </w:r>
                </w:p>
              </w:tc>
            </w:tr>
          </w:tbl>
          <w:p w14:paraId="4AF6DF18" w14:textId="77777777" w:rsidR="00954FBC" w:rsidRDefault="00954FBC" w:rsidP="00954FBC">
            <w:pPr>
              <w:spacing w:before="240" w:after="240"/>
              <w:ind w:left="720" w:hanging="720"/>
            </w:pPr>
            <w:r>
              <w:rPr>
                <w:bCs/>
                <w:snapToGrid w:val="0"/>
              </w:rPr>
              <w:t>(5</w:t>
            </w:r>
            <w:r w:rsidRPr="000C2EDA">
              <w:rPr>
                <w:bCs/>
                <w:snapToGrid w:val="0"/>
              </w:rPr>
              <w:t>)</w:t>
            </w:r>
            <w:r w:rsidRPr="00F26DA0">
              <w:t xml:space="preserve"> </w:t>
            </w:r>
            <w:r w:rsidRPr="003161DC">
              <w:tab/>
            </w:r>
            <w:r>
              <w:t>The Real-Time MCPC for Non-Spin is the time-weighted average of the sum of the Real-Time MCPC for Non-Spin and Real-Time Reliability Deployment Price Adders for Ancillary Service for Non-Spin of each SCED interval in the 15-minute Settlement Interval.  The Real-Time MCPC for Non-Spin for a 15-minute Settlement Interval is calculated as follows</w:t>
            </w:r>
            <w:r w:rsidRPr="003161DC">
              <w:t>:</w:t>
            </w:r>
          </w:p>
          <w:p w14:paraId="7BD96718" w14:textId="4E56E6CC" w:rsidR="00954FBC" w:rsidRPr="00C3449C" w:rsidRDefault="00954FBC" w:rsidP="00954FBC">
            <w:pPr>
              <w:pStyle w:val="FormulaBold"/>
              <w:rPr>
                <w:i/>
                <w:vertAlign w:val="subscript"/>
              </w:rPr>
            </w:pPr>
            <w:r w:rsidRPr="00C3449C">
              <w:t>RTMCPC</w:t>
            </w:r>
            <w:r>
              <w:t>NS</w:t>
            </w:r>
            <w:r w:rsidRPr="00C3449C">
              <w:t xml:space="preserve">  =   </w:t>
            </w:r>
            <w:r w:rsidRPr="00C3449C">
              <w:rPr>
                <w:position w:val="-22"/>
              </w:rPr>
              <w:object w:dxaOrig="225" w:dyaOrig="465" w14:anchorId="4C5BE157">
                <v:shape id="_x0000_i1077" type="#_x0000_t75" style="width:24pt;height:18pt" o:ole="">
                  <v:imagedata r:id="rId22" o:title=""/>
                </v:shape>
                <o:OLEObject Type="Embed" ProgID="Equation.3" ShapeID="_x0000_i1077" DrawAspect="Content" ObjectID="_1804653562" r:id="rId78"/>
              </w:object>
            </w:r>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p>
          <w:p w14:paraId="5E54F994" w14:textId="77777777" w:rsidR="00954FBC" w:rsidRDefault="00954FBC" w:rsidP="00954FBC">
            <w:pPr>
              <w:pStyle w:val="BodyTextNumbered"/>
              <w:ind w:left="0" w:firstLine="0"/>
            </w:pPr>
            <w:r>
              <w:t>Where:</w:t>
            </w:r>
          </w:p>
          <w:p w14:paraId="7CF79853" w14:textId="3AE5992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BE0B5A5">
                <v:shape id="_x0000_i1078" type="#_x0000_t75" style="width:24pt;height:18pt" o:ole="">
                  <v:imagedata r:id="rId22" o:title=""/>
                </v:shape>
                <o:OLEObject Type="Embed" ProgID="Equation.3" ShapeID="_x0000_i1078" DrawAspect="Content" ObjectID="_1804653563" r:id="rId79"/>
              </w:object>
            </w:r>
            <w:r>
              <w:t xml:space="preserve">TLMP </w:t>
            </w:r>
            <w:r>
              <w:rPr>
                <w:i/>
                <w:vertAlign w:val="subscript"/>
              </w:rPr>
              <w:t>y</w:t>
            </w:r>
          </w:p>
          <w:p w14:paraId="419BA821" w14:textId="77777777" w:rsidR="00954FBC" w:rsidRDefault="00954FBC" w:rsidP="00954FBC">
            <w:pPr>
              <w:pStyle w:val="Instructions"/>
              <w:spacing w:after="0"/>
              <w:ind w:left="720" w:hanging="720"/>
              <w:rPr>
                <w:b w:val="0"/>
                <w:i w:val="0"/>
              </w:rPr>
            </w:pPr>
            <w:r>
              <w:rPr>
                <w:b w:val="0"/>
                <w:i w:val="0"/>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E22D7E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B8DDD1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5C68ADA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6DAACC5" w14:textId="77777777" w:rsidR="00954FBC" w:rsidRDefault="00954FBC" w:rsidP="00954FBC">
                  <w:pPr>
                    <w:pStyle w:val="TableHead"/>
                  </w:pPr>
                  <w:r>
                    <w:t>Description</w:t>
                  </w:r>
                </w:p>
              </w:tc>
            </w:tr>
            <w:tr w:rsidR="00954FBC" w14:paraId="38CF262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9C0DC89" w14:textId="77777777" w:rsidR="00954FBC" w:rsidRDefault="00954FBC" w:rsidP="00954FBC">
                  <w:pPr>
                    <w:pStyle w:val="tablebody0"/>
                  </w:pPr>
                  <w:r>
                    <w:t xml:space="preserve">RTMCPCNS </w:t>
                  </w:r>
                </w:p>
              </w:tc>
              <w:tc>
                <w:tcPr>
                  <w:tcW w:w="631" w:type="pct"/>
                  <w:tcBorders>
                    <w:top w:val="single" w:sz="4" w:space="0" w:color="auto"/>
                    <w:left w:val="single" w:sz="4" w:space="0" w:color="auto"/>
                    <w:bottom w:val="single" w:sz="4" w:space="0" w:color="auto"/>
                    <w:right w:val="single" w:sz="4" w:space="0" w:color="auto"/>
                  </w:tcBorders>
                  <w:hideMark/>
                </w:tcPr>
                <w:p w14:paraId="16D928BF"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3FCEAF9" w14:textId="77777777" w:rsidR="00954FBC" w:rsidRDefault="00954FBC" w:rsidP="00954FBC">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MCPC for Non-Spin for the 15-minute Settlement Interval.</w:t>
                  </w:r>
                </w:p>
              </w:tc>
            </w:tr>
            <w:tr w:rsidR="00954FBC" w14:paraId="0C47F05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DF77BE2" w14:textId="77777777" w:rsidR="00954FBC" w:rsidRDefault="00954FBC" w:rsidP="00954FBC">
                  <w:pPr>
                    <w:pStyle w:val="tablebody0"/>
                  </w:pPr>
                  <w:r>
                    <w:t>RTMCPCNSS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A588584"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106C888"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p>
              </w:tc>
            </w:tr>
            <w:tr w:rsidR="00954FBC" w:rsidRPr="00234E94" w14:paraId="0AC667B6" w14:textId="77777777" w:rsidTr="00F12B75">
              <w:trPr>
                <w:cantSplit/>
              </w:trPr>
              <w:tc>
                <w:tcPr>
                  <w:tcW w:w="1295" w:type="pct"/>
                </w:tcPr>
                <w:p w14:paraId="3EDCC2ED" w14:textId="77777777" w:rsidR="00954FBC" w:rsidRPr="00234E94" w:rsidRDefault="00954FBC" w:rsidP="00954FBC">
                  <w:pPr>
                    <w:pStyle w:val="tablebody0"/>
                    <w:rPr>
                      <w:i/>
                    </w:rPr>
                  </w:pPr>
                  <w:r w:rsidRPr="004654BF">
                    <w:t>RTR</w:t>
                  </w:r>
                  <w:r>
                    <w:t>D</w:t>
                  </w:r>
                  <w:r w:rsidRPr="004654BF">
                    <w:t>PA</w:t>
                  </w:r>
                  <w:r>
                    <w:t xml:space="preserve">NSS </w:t>
                  </w:r>
                  <w:r w:rsidRPr="000C2EDA">
                    <w:rPr>
                      <w:i/>
                    </w:rPr>
                    <w:t>y</w:t>
                  </w:r>
                </w:p>
              </w:tc>
              <w:tc>
                <w:tcPr>
                  <w:tcW w:w="631" w:type="pct"/>
                </w:tcPr>
                <w:p w14:paraId="362EDF35" w14:textId="77777777" w:rsidR="00954FBC" w:rsidRPr="00234E94" w:rsidRDefault="00954FBC" w:rsidP="00954FBC">
                  <w:pPr>
                    <w:pStyle w:val="tablebody0"/>
                  </w:pPr>
                  <w:r w:rsidRPr="004654BF">
                    <w:t>$/MW</w:t>
                  </w:r>
                </w:p>
              </w:tc>
              <w:tc>
                <w:tcPr>
                  <w:tcW w:w="3074" w:type="pct"/>
                </w:tcPr>
                <w:p w14:paraId="3F35B751"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954FBC" w:rsidRPr="00234E94" w14:paraId="1865EDAB" w14:textId="77777777" w:rsidTr="00F12B75">
              <w:trPr>
                <w:cantSplit/>
              </w:trPr>
              <w:tc>
                <w:tcPr>
                  <w:tcW w:w="1295" w:type="pct"/>
                </w:tcPr>
                <w:p w14:paraId="788556F4"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2E65C46E" w14:textId="77777777" w:rsidR="00954FBC" w:rsidRPr="004654BF" w:rsidRDefault="00954FBC" w:rsidP="00954FBC">
                  <w:pPr>
                    <w:pStyle w:val="tablebody0"/>
                  </w:pPr>
                  <w:r w:rsidRPr="003161DC">
                    <w:rPr>
                      <w:iCs/>
                    </w:rPr>
                    <w:t>none</w:t>
                  </w:r>
                </w:p>
              </w:tc>
              <w:tc>
                <w:tcPr>
                  <w:tcW w:w="3074" w:type="pct"/>
                </w:tcPr>
                <w:p w14:paraId="112D781F"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DC765DF" w14:textId="77777777" w:rsidTr="00F12B75">
              <w:trPr>
                <w:cantSplit/>
              </w:trPr>
              <w:tc>
                <w:tcPr>
                  <w:tcW w:w="1295" w:type="pct"/>
                </w:tcPr>
                <w:p w14:paraId="195B79A3"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655624C0" w14:textId="77777777" w:rsidR="00954FBC" w:rsidRPr="004654BF" w:rsidRDefault="00954FBC" w:rsidP="00954FBC">
                  <w:pPr>
                    <w:pStyle w:val="tablebody0"/>
                  </w:pPr>
                  <w:r w:rsidRPr="003161DC">
                    <w:rPr>
                      <w:iCs/>
                    </w:rPr>
                    <w:t>second</w:t>
                  </w:r>
                </w:p>
              </w:tc>
              <w:tc>
                <w:tcPr>
                  <w:tcW w:w="3074" w:type="pct"/>
                </w:tcPr>
                <w:p w14:paraId="34CCBEFB"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771AD593" w14:textId="77777777" w:rsidTr="00F12B75">
              <w:trPr>
                <w:cantSplit/>
              </w:trPr>
              <w:tc>
                <w:tcPr>
                  <w:tcW w:w="1295" w:type="pct"/>
                </w:tcPr>
                <w:p w14:paraId="559BE8D0" w14:textId="77777777" w:rsidR="00954FBC" w:rsidRPr="00234E94" w:rsidRDefault="00954FBC" w:rsidP="00954FBC">
                  <w:pPr>
                    <w:pStyle w:val="tablebody0"/>
                    <w:rPr>
                      <w:i/>
                    </w:rPr>
                  </w:pPr>
                  <w:r w:rsidRPr="00234E94">
                    <w:rPr>
                      <w:i/>
                    </w:rPr>
                    <w:t>y</w:t>
                  </w:r>
                </w:p>
              </w:tc>
              <w:tc>
                <w:tcPr>
                  <w:tcW w:w="631" w:type="pct"/>
                </w:tcPr>
                <w:p w14:paraId="593F545E" w14:textId="77777777" w:rsidR="00954FBC" w:rsidRPr="00234E94" w:rsidRDefault="00954FBC" w:rsidP="00954FBC">
                  <w:pPr>
                    <w:pStyle w:val="tablebody0"/>
                  </w:pPr>
                  <w:r w:rsidRPr="00234E94">
                    <w:t>none</w:t>
                  </w:r>
                </w:p>
              </w:tc>
              <w:tc>
                <w:tcPr>
                  <w:tcW w:w="3074" w:type="pct"/>
                </w:tcPr>
                <w:p w14:paraId="6D948E0F" w14:textId="77777777" w:rsidR="00954FBC" w:rsidRPr="00234E94" w:rsidRDefault="00954FBC" w:rsidP="00954FBC">
                  <w:pPr>
                    <w:pStyle w:val="tablebody0"/>
                  </w:pPr>
                  <w:r w:rsidRPr="00234E94">
                    <w:t>A SCED interval in the 15-minute Settlement Interval.</w:t>
                  </w:r>
                </w:p>
              </w:tc>
            </w:tr>
          </w:tbl>
          <w:p w14:paraId="77592508" w14:textId="0B8D6252" w:rsidR="003F739B" w:rsidRPr="00B37C4B" w:rsidRDefault="003F739B" w:rsidP="00EC5231">
            <w:pPr>
              <w:spacing w:after="240"/>
              <w:ind w:left="720" w:hanging="720"/>
            </w:pPr>
          </w:p>
        </w:tc>
      </w:tr>
    </w:tbl>
    <w:p w14:paraId="202A81E3" w14:textId="77777777" w:rsidR="00954FBC" w:rsidRPr="003F739B" w:rsidRDefault="00954FBC" w:rsidP="00954FBC">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54FBC" w14:paraId="5B632629" w14:textId="77777777" w:rsidTr="00EC5231">
        <w:trPr>
          <w:trHeight w:val="206"/>
        </w:trPr>
        <w:tc>
          <w:tcPr>
            <w:tcW w:w="9576" w:type="dxa"/>
            <w:shd w:val="pct12" w:color="auto" w:fill="auto"/>
          </w:tcPr>
          <w:p w14:paraId="19C596AB" w14:textId="2A8DE884" w:rsidR="00954FBC" w:rsidRDefault="00954FBC" w:rsidP="00EC5231">
            <w:pPr>
              <w:pStyle w:val="Instructions"/>
              <w:spacing w:before="120"/>
            </w:pPr>
            <w:r>
              <w:t>[NPRR1010:  Insert Section 6.6.1.7 below upon system implementation of the Real-Time Co-Optimization (RTC) project:]</w:t>
            </w:r>
          </w:p>
          <w:p w14:paraId="111443F9" w14:textId="77777777" w:rsidR="007022F8" w:rsidRDefault="007022F8" w:rsidP="007022F8">
            <w:pPr>
              <w:keepNext/>
              <w:widowControl w:val="0"/>
              <w:spacing w:before="240" w:after="240"/>
              <w:outlineLvl w:val="3"/>
              <w:rPr>
                <w:b/>
                <w:bCs/>
                <w:snapToGrid w:val="0"/>
              </w:rPr>
            </w:pPr>
            <w:bookmarkStart w:id="1762" w:name="_Toc189044401"/>
            <w:r w:rsidRPr="003161DC">
              <w:rPr>
                <w:b/>
                <w:bCs/>
                <w:snapToGrid w:val="0"/>
              </w:rPr>
              <w:t>6.6.1.</w:t>
            </w:r>
            <w:r>
              <w:rPr>
                <w:b/>
                <w:bCs/>
                <w:snapToGrid w:val="0"/>
              </w:rPr>
              <w:t>7</w:t>
            </w:r>
            <w:r w:rsidRPr="003161DC">
              <w:rPr>
                <w:b/>
                <w:bCs/>
                <w:snapToGrid w:val="0"/>
              </w:rPr>
              <w:tab/>
            </w:r>
            <w:r w:rsidRPr="003161DC">
              <w:rPr>
                <w:b/>
                <w:bCs/>
                <w:snapToGrid w:val="0"/>
              </w:rPr>
              <w:tab/>
            </w:r>
            <w:r>
              <w:rPr>
                <w:b/>
                <w:bCs/>
                <w:snapToGrid w:val="0"/>
              </w:rPr>
              <w:t>Real-Time Reliability Deployment Prices for Ancillary Services</w:t>
            </w:r>
            <w:bookmarkEnd w:id="1762"/>
          </w:p>
          <w:p w14:paraId="51805696" w14:textId="77777777" w:rsidR="007022F8" w:rsidRDefault="007022F8" w:rsidP="007022F8">
            <w:pPr>
              <w:spacing w:after="240"/>
              <w:ind w:left="720" w:hanging="720"/>
            </w:pPr>
            <w:r w:rsidRPr="003161DC">
              <w:t>(1)</w:t>
            </w:r>
            <w:r w:rsidRPr="003161DC">
              <w:tab/>
            </w:r>
            <w:r>
              <w:t>The Real-Time Reliability Deployment Price for Ancillary Service for Reg-Up (RTRDPRU) is the time-weighted average of the sum of the Real-Time Reliability Deployment Price Adders for Ancillary Service for Reg-Up per SCED interval.  The Real-Time Reliability Deployment Price for Ancillary Service for Reg-Up for a 15-minute Settlement Interval is calculated as follows:</w:t>
            </w:r>
          </w:p>
          <w:p w14:paraId="43869BFF" w14:textId="06AA7B6E" w:rsidR="007022F8" w:rsidRPr="00C3449C" w:rsidRDefault="007022F8" w:rsidP="007022F8">
            <w:pPr>
              <w:pStyle w:val="FormulaBold"/>
              <w:rPr>
                <w:i/>
                <w:vertAlign w:val="subscript"/>
              </w:rPr>
            </w:pPr>
            <w:r>
              <w:t>RTRDPRU</w:t>
            </w:r>
            <w:r w:rsidRPr="00C3449C">
              <w:t xml:space="preserve">  =   </w:t>
            </w:r>
            <w:r w:rsidRPr="00C3449C">
              <w:rPr>
                <w:position w:val="-22"/>
              </w:rPr>
              <w:object w:dxaOrig="225" w:dyaOrig="465" w14:anchorId="6058CF26">
                <v:shape id="_x0000_i1079" type="#_x0000_t75" style="width:24pt;height:18pt" o:ole="">
                  <v:imagedata r:id="rId22" o:title=""/>
                </v:shape>
                <o:OLEObject Type="Embed" ProgID="Equation.3" ShapeID="_x0000_i1079" DrawAspect="Content" ObjectID="_1804653564" r:id="rId80"/>
              </w:object>
            </w:r>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t>)</w:t>
            </w:r>
          </w:p>
          <w:p w14:paraId="1E1B67DF" w14:textId="77777777" w:rsidR="007022F8" w:rsidRDefault="007022F8" w:rsidP="007022F8">
            <w:pPr>
              <w:pStyle w:val="BodyTextNumbered"/>
              <w:ind w:left="0" w:firstLine="0"/>
            </w:pPr>
            <w:r>
              <w:t>Where:</w:t>
            </w:r>
          </w:p>
          <w:p w14:paraId="1C6C8E83" w14:textId="598449A8"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4A0FBDAB">
                <v:shape id="_x0000_i1080" type="#_x0000_t75" style="width:24pt;height:18pt" o:ole="">
                  <v:imagedata r:id="rId22" o:title=""/>
                </v:shape>
                <o:OLEObject Type="Embed" ProgID="Equation.3" ShapeID="_x0000_i1080" DrawAspect="Content" ObjectID="_1804653565" r:id="rId81"/>
              </w:object>
            </w:r>
            <w:r>
              <w:t xml:space="preserve">TLMP </w:t>
            </w:r>
            <w:r>
              <w:rPr>
                <w:i/>
                <w:vertAlign w:val="subscript"/>
              </w:rPr>
              <w:t>y</w:t>
            </w:r>
          </w:p>
          <w:p w14:paraId="0BA3E96C"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05888C76"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2A3E7FB2"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AB590A1"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27A3678" w14:textId="77777777" w:rsidR="007022F8" w:rsidRDefault="007022F8" w:rsidP="007022F8">
                  <w:pPr>
                    <w:pStyle w:val="TableHead"/>
                  </w:pPr>
                  <w:r>
                    <w:t>Description</w:t>
                  </w:r>
                </w:p>
              </w:tc>
            </w:tr>
            <w:tr w:rsidR="007022F8" w:rsidRPr="00234E94" w14:paraId="3E653290" w14:textId="77777777" w:rsidTr="00F12B75">
              <w:trPr>
                <w:cantSplit/>
              </w:trPr>
              <w:tc>
                <w:tcPr>
                  <w:tcW w:w="1295" w:type="pct"/>
                </w:tcPr>
                <w:p w14:paraId="62814FCD" w14:textId="77777777" w:rsidR="007022F8" w:rsidRPr="000C2EDA" w:rsidRDefault="007022F8" w:rsidP="007022F8">
                  <w:pPr>
                    <w:pStyle w:val="tablebody0"/>
                  </w:pPr>
                  <w:r>
                    <w:t>RTRDPRU</w:t>
                  </w:r>
                </w:p>
              </w:tc>
              <w:tc>
                <w:tcPr>
                  <w:tcW w:w="631" w:type="pct"/>
                </w:tcPr>
                <w:p w14:paraId="15DF4983" w14:textId="77777777" w:rsidR="007022F8" w:rsidRPr="00536A53" w:rsidRDefault="007022F8" w:rsidP="007022F8">
                  <w:pPr>
                    <w:pStyle w:val="tablebody0"/>
                  </w:pPr>
                  <w:r w:rsidRPr="00536A53">
                    <w:t>$/MW</w:t>
                  </w:r>
                </w:p>
              </w:tc>
              <w:tc>
                <w:tcPr>
                  <w:tcW w:w="3074" w:type="pct"/>
                </w:tcPr>
                <w:p w14:paraId="3213D87E" w14:textId="77777777" w:rsidR="007022F8" w:rsidRPr="00691E57" w:rsidRDefault="007022F8" w:rsidP="007022F8">
                  <w:pPr>
                    <w:pStyle w:val="tablebody0"/>
                    <w:rPr>
                      <w:i/>
                      <w:szCs w:val="18"/>
                    </w:rPr>
                  </w:pPr>
                  <w:r>
                    <w:rPr>
                      <w:i/>
                      <w:szCs w:val="18"/>
                    </w:rPr>
                    <w:t>Real-Time Reliability Deployment Price for Ancillary Service for Reg-Up -</w:t>
                  </w:r>
                  <w:r>
                    <w:t xml:space="preserve"> The Real-Time Reliability Deployment Price for Ancillary Service for Reg-Up for the 15-minute Settlement Interval.</w:t>
                  </w:r>
                </w:p>
              </w:tc>
            </w:tr>
            <w:tr w:rsidR="007022F8" w:rsidRPr="00234E94" w14:paraId="660BD5B5" w14:textId="77777777" w:rsidTr="00F12B75">
              <w:trPr>
                <w:cantSplit/>
              </w:trPr>
              <w:tc>
                <w:tcPr>
                  <w:tcW w:w="1295" w:type="pct"/>
                </w:tcPr>
                <w:p w14:paraId="4B51A184" w14:textId="77777777" w:rsidR="007022F8" w:rsidRPr="00234E94" w:rsidRDefault="007022F8" w:rsidP="007022F8">
                  <w:pPr>
                    <w:pStyle w:val="tablebody0"/>
                    <w:rPr>
                      <w:i/>
                    </w:rPr>
                  </w:pPr>
                  <w:r w:rsidRPr="000C2EDA">
                    <w:lastRenderedPageBreak/>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15AE31AD" w14:textId="77777777" w:rsidR="007022F8" w:rsidRPr="00234E94" w:rsidRDefault="007022F8" w:rsidP="007022F8">
                  <w:pPr>
                    <w:pStyle w:val="tablebody0"/>
                  </w:pPr>
                  <w:r w:rsidRPr="00536A53">
                    <w:t>$/MW</w:t>
                  </w:r>
                </w:p>
              </w:tc>
              <w:tc>
                <w:tcPr>
                  <w:tcW w:w="3074" w:type="pct"/>
                </w:tcPr>
                <w:p w14:paraId="56B482D4" w14:textId="77777777" w:rsidR="007022F8" w:rsidRPr="00234E94" w:rsidRDefault="007022F8" w:rsidP="007022F8">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7022F8" w:rsidRPr="00234E94" w14:paraId="2EC000DD" w14:textId="77777777" w:rsidTr="00F12B75">
              <w:trPr>
                <w:cantSplit/>
              </w:trPr>
              <w:tc>
                <w:tcPr>
                  <w:tcW w:w="1295" w:type="pct"/>
                </w:tcPr>
                <w:p w14:paraId="6F1260A9" w14:textId="77777777" w:rsidR="007022F8" w:rsidRPr="000C2EDA" w:rsidRDefault="007022F8" w:rsidP="007022F8">
                  <w:pPr>
                    <w:pStyle w:val="tablebody0"/>
                  </w:pPr>
                  <w:r w:rsidRPr="003161DC">
                    <w:rPr>
                      <w:iCs/>
                    </w:rPr>
                    <w:t xml:space="preserve">RNWF </w:t>
                  </w:r>
                  <w:r w:rsidRPr="003161DC">
                    <w:rPr>
                      <w:i/>
                      <w:iCs/>
                      <w:vertAlign w:val="subscript"/>
                    </w:rPr>
                    <w:t>y</w:t>
                  </w:r>
                </w:p>
              </w:tc>
              <w:tc>
                <w:tcPr>
                  <w:tcW w:w="631" w:type="pct"/>
                </w:tcPr>
                <w:p w14:paraId="2F13206B" w14:textId="77777777" w:rsidR="007022F8" w:rsidRPr="00536A53" w:rsidRDefault="007022F8" w:rsidP="007022F8">
                  <w:pPr>
                    <w:pStyle w:val="tablebody0"/>
                  </w:pPr>
                  <w:r w:rsidRPr="003161DC">
                    <w:rPr>
                      <w:iCs/>
                    </w:rPr>
                    <w:t>none</w:t>
                  </w:r>
                </w:p>
              </w:tc>
              <w:tc>
                <w:tcPr>
                  <w:tcW w:w="3074" w:type="pct"/>
                </w:tcPr>
                <w:p w14:paraId="0BCF6771" w14:textId="77777777" w:rsidR="007022F8" w:rsidRPr="00691E57"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CC27D8D" w14:textId="77777777" w:rsidTr="00F12B75">
              <w:trPr>
                <w:cantSplit/>
              </w:trPr>
              <w:tc>
                <w:tcPr>
                  <w:tcW w:w="1295" w:type="pct"/>
                </w:tcPr>
                <w:p w14:paraId="16EDFB93" w14:textId="77777777" w:rsidR="007022F8" w:rsidRPr="000C2EDA" w:rsidRDefault="007022F8" w:rsidP="007022F8">
                  <w:pPr>
                    <w:pStyle w:val="tablebody0"/>
                  </w:pPr>
                  <w:r w:rsidRPr="003161DC">
                    <w:rPr>
                      <w:iCs/>
                    </w:rPr>
                    <w:t xml:space="preserve">TLMP </w:t>
                  </w:r>
                  <w:r w:rsidRPr="003161DC">
                    <w:rPr>
                      <w:i/>
                      <w:iCs/>
                      <w:vertAlign w:val="subscript"/>
                    </w:rPr>
                    <w:t>y</w:t>
                  </w:r>
                </w:p>
              </w:tc>
              <w:tc>
                <w:tcPr>
                  <w:tcW w:w="631" w:type="pct"/>
                </w:tcPr>
                <w:p w14:paraId="42D8EF59" w14:textId="77777777" w:rsidR="007022F8" w:rsidRPr="00536A53" w:rsidRDefault="007022F8" w:rsidP="007022F8">
                  <w:pPr>
                    <w:pStyle w:val="tablebody0"/>
                  </w:pPr>
                  <w:r w:rsidRPr="003161DC">
                    <w:rPr>
                      <w:iCs/>
                    </w:rPr>
                    <w:t>second</w:t>
                  </w:r>
                </w:p>
              </w:tc>
              <w:tc>
                <w:tcPr>
                  <w:tcW w:w="3074" w:type="pct"/>
                </w:tcPr>
                <w:p w14:paraId="176304F9" w14:textId="77777777" w:rsidR="007022F8" w:rsidRPr="00691E57"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57D87A7E" w14:textId="77777777" w:rsidTr="00F12B75">
              <w:trPr>
                <w:cantSplit/>
              </w:trPr>
              <w:tc>
                <w:tcPr>
                  <w:tcW w:w="1295" w:type="pct"/>
                </w:tcPr>
                <w:p w14:paraId="5C5773CC" w14:textId="77777777" w:rsidR="007022F8" w:rsidRPr="00234E94" w:rsidRDefault="007022F8" w:rsidP="007022F8">
                  <w:pPr>
                    <w:pStyle w:val="tablebody0"/>
                    <w:rPr>
                      <w:i/>
                    </w:rPr>
                  </w:pPr>
                  <w:r w:rsidRPr="00234E94">
                    <w:rPr>
                      <w:i/>
                    </w:rPr>
                    <w:t>y</w:t>
                  </w:r>
                </w:p>
              </w:tc>
              <w:tc>
                <w:tcPr>
                  <w:tcW w:w="631" w:type="pct"/>
                </w:tcPr>
                <w:p w14:paraId="22023054" w14:textId="77777777" w:rsidR="007022F8" w:rsidRPr="00234E94" w:rsidRDefault="007022F8" w:rsidP="007022F8">
                  <w:pPr>
                    <w:pStyle w:val="tablebody0"/>
                  </w:pPr>
                  <w:r w:rsidRPr="00234E94">
                    <w:t>none</w:t>
                  </w:r>
                </w:p>
              </w:tc>
              <w:tc>
                <w:tcPr>
                  <w:tcW w:w="3074" w:type="pct"/>
                </w:tcPr>
                <w:p w14:paraId="4904CA7A" w14:textId="77777777" w:rsidR="007022F8" w:rsidRPr="00234E94" w:rsidRDefault="007022F8" w:rsidP="007022F8">
                  <w:pPr>
                    <w:pStyle w:val="tablebody0"/>
                  </w:pPr>
                  <w:r w:rsidRPr="00234E94">
                    <w:t>A SCED interval in the 15-minute Settlement Interval.</w:t>
                  </w:r>
                </w:p>
              </w:tc>
            </w:tr>
          </w:tbl>
          <w:p w14:paraId="26E01B40" w14:textId="77777777" w:rsidR="007022F8" w:rsidRDefault="007022F8" w:rsidP="007022F8">
            <w:pPr>
              <w:spacing w:before="240" w:after="240"/>
              <w:ind w:left="720" w:hanging="720"/>
            </w:pPr>
            <w:r w:rsidRPr="00D422B9">
              <w:rPr>
                <w:bCs/>
                <w:snapToGrid w:val="0"/>
              </w:rPr>
              <w:t>(2)</w:t>
            </w:r>
            <w:r w:rsidRPr="00F26DA0">
              <w:t xml:space="preserve"> </w:t>
            </w:r>
            <w:r w:rsidRPr="003161DC">
              <w:tab/>
            </w:r>
            <w:r>
              <w:t>The Real-Time Reliability Deployment Price for Ancillary Service for Reg-Down (RTRDPRD) is the time-weighted average of the sum of the Real-Time Reliability Deployment Price Adders for Ancillary Service for Reg-Down per SCED interval.  The Real-Time Reliability Deployment Price for Ancillary Service for Reg-Down for a 15-minute Settlement Interval is calculated as follows</w:t>
            </w:r>
            <w:r w:rsidRPr="003161DC">
              <w:t>:</w:t>
            </w:r>
          </w:p>
          <w:p w14:paraId="7E823A2B" w14:textId="59765C0B" w:rsidR="007022F8" w:rsidRPr="00C3449C" w:rsidRDefault="007022F8" w:rsidP="007022F8">
            <w:pPr>
              <w:pStyle w:val="FormulaBold"/>
              <w:rPr>
                <w:i/>
                <w:vertAlign w:val="subscript"/>
              </w:rPr>
            </w:pPr>
            <w:r w:rsidRPr="00C3449C">
              <w:t>RT</w:t>
            </w:r>
            <w:r>
              <w:t>RDPRD</w:t>
            </w:r>
            <w:r w:rsidRPr="00C3449C">
              <w:t xml:space="preserve">  =   </w:t>
            </w:r>
            <w:r w:rsidRPr="00C3449C">
              <w:rPr>
                <w:position w:val="-22"/>
              </w:rPr>
              <w:object w:dxaOrig="225" w:dyaOrig="465" w14:anchorId="58EC334B">
                <v:shape id="_x0000_i1081" type="#_x0000_t75" style="width:24pt;height:18pt" o:ole="">
                  <v:imagedata r:id="rId22" o:title=""/>
                </v:shape>
                <o:OLEObject Type="Embed" ProgID="Equation.3" ShapeID="_x0000_i1081" DrawAspect="Content" ObjectID="_1804653566" r:id="rId82"/>
              </w:object>
            </w:r>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p>
          <w:p w14:paraId="64FE6E3E" w14:textId="77777777" w:rsidR="007022F8" w:rsidRDefault="007022F8" w:rsidP="007022F8">
            <w:pPr>
              <w:pStyle w:val="BodyTextNumbered"/>
              <w:ind w:left="0" w:firstLine="0"/>
            </w:pPr>
            <w:r>
              <w:t>Where:</w:t>
            </w:r>
          </w:p>
          <w:p w14:paraId="0FD82CA6" w14:textId="4854440C"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878ACD8">
                <v:shape id="_x0000_i1082" type="#_x0000_t75" style="width:24pt;height:18pt" o:ole="">
                  <v:imagedata r:id="rId22" o:title=""/>
                </v:shape>
                <o:OLEObject Type="Embed" ProgID="Equation.3" ShapeID="_x0000_i1082" DrawAspect="Content" ObjectID="_1804653567" r:id="rId83"/>
              </w:object>
            </w:r>
            <w:r>
              <w:t xml:space="preserve">TLMP </w:t>
            </w:r>
            <w:r>
              <w:rPr>
                <w:i/>
                <w:vertAlign w:val="subscript"/>
              </w:rPr>
              <w:t>y</w:t>
            </w:r>
          </w:p>
          <w:p w14:paraId="733593E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33BCD82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977D63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561D8F8"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5CD6588" w14:textId="77777777" w:rsidR="007022F8" w:rsidRDefault="007022F8" w:rsidP="007022F8">
                  <w:pPr>
                    <w:pStyle w:val="TableHead"/>
                  </w:pPr>
                  <w:r>
                    <w:t>Description</w:t>
                  </w:r>
                </w:p>
              </w:tc>
            </w:tr>
            <w:tr w:rsidR="007022F8" w14:paraId="7F9FF02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6EBDA137" w14:textId="77777777" w:rsidR="007022F8" w:rsidRDefault="007022F8" w:rsidP="007022F8">
                  <w:pPr>
                    <w:pStyle w:val="tablebody0"/>
                  </w:pPr>
                  <w:r>
                    <w:t>RTRDPRD</w:t>
                  </w:r>
                </w:p>
              </w:tc>
              <w:tc>
                <w:tcPr>
                  <w:tcW w:w="631" w:type="pct"/>
                  <w:tcBorders>
                    <w:top w:val="single" w:sz="4" w:space="0" w:color="auto"/>
                    <w:left w:val="single" w:sz="4" w:space="0" w:color="auto"/>
                    <w:bottom w:val="single" w:sz="4" w:space="0" w:color="auto"/>
                    <w:right w:val="single" w:sz="4" w:space="0" w:color="auto"/>
                  </w:tcBorders>
                  <w:hideMark/>
                </w:tcPr>
                <w:p w14:paraId="7BDEB2A3" w14:textId="77777777" w:rsidR="007022F8" w:rsidRDefault="007022F8" w:rsidP="007022F8">
                  <w:pPr>
                    <w:pStyle w:val="tablebody0"/>
                  </w:pPr>
                  <w:r w:rsidRPr="00536A53">
                    <w:t>$/MW</w:t>
                  </w:r>
                </w:p>
              </w:tc>
              <w:tc>
                <w:tcPr>
                  <w:tcW w:w="3074" w:type="pct"/>
                  <w:tcBorders>
                    <w:top w:val="single" w:sz="4" w:space="0" w:color="auto"/>
                    <w:left w:val="single" w:sz="4" w:space="0" w:color="auto"/>
                    <w:bottom w:val="single" w:sz="4" w:space="0" w:color="auto"/>
                    <w:right w:val="single" w:sz="4" w:space="0" w:color="auto"/>
                  </w:tcBorders>
                  <w:hideMark/>
                </w:tcPr>
                <w:p w14:paraId="29781A91" w14:textId="77777777" w:rsidR="007022F8" w:rsidRDefault="007022F8" w:rsidP="007022F8">
                  <w:pPr>
                    <w:pStyle w:val="tablebody0"/>
                    <w:rPr>
                      <w:i/>
                    </w:rPr>
                  </w:pPr>
                  <w:r>
                    <w:rPr>
                      <w:i/>
                      <w:szCs w:val="18"/>
                    </w:rPr>
                    <w:t>Real-Time Reliability Deployment Price for Ancillary Service for Reg-Down -</w:t>
                  </w:r>
                  <w:r>
                    <w:t xml:space="preserve"> The Real-Time Reliability Deployment Price for Ancillary Service for Reg-Down for the 15-minute Settlement Interval.</w:t>
                  </w:r>
                </w:p>
              </w:tc>
            </w:tr>
            <w:tr w:rsidR="007022F8" w:rsidRPr="00234E94" w14:paraId="6FDE0880" w14:textId="77777777" w:rsidTr="00F12B75">
              <w:trPr>
                <w:cantSplit/>
              </w:trPr>
              <w:tc>
                <w:tcPr>
                  <w:tcW w:w="1295" w:type="pct"/>
                </w:tcPr>
                <w:p w14:paraId="35CE2E2A" w14:textId="77777777" w:rsidR="007022F8" w:rsidRPr="00234E94" w:rsidRDefault="007022F8" w:rsidP="007022F8">
                  <w:pPr>
                    <w:pStyle w:val="tablebody0"/>
                    <w:rPr>
                      <w:i/>
                    </w:rPr>
                  </w:pPr>
                  <w:r w:rsidRPr="004D72AD">
                    <w:t>RTR</w:t>
                  </w:r>
                  <w:r>
                    <w:t>D</w:t>
                  </w:r>
                  <w:r w:rsidRPr="004D72AD">
                    <w:t>PA</w:t>
                  </w:r>
                  <w:r>
                    <w:t xml:space="preserve">RDS </w:t>
                  </w:r>
                  <w:r w:rsidRPr="000C2EDA">
                    <w:rPr>
                      <w:i/>
                    </w:rPr>
                    <w:t>y</w:t>
                  </w:r>
                </w:p>
              </w:tc>
              <w:tc>
                <w:tcPr>
                  <w:tcW w:w="631" w:type="pct"/>
                </w:tcPr>
                <w:p w14:paraId="41CDDB19" w14:textId="77777777" w:rsidR="007022F8" w:rsidRPr="00234E94" w:rsidRDefault="007022F8" w:rsidP="007022F8">
                  <w:pPr>
                    <w:pStyle w:val="tablebody0"/>
                  </w:pPr>
                  <w:r w:rsidRPr="004D72AD">
                    <w:t>$/MW</w:t>
                  </w:r>
                </w:p>
              </w:tc>
              <w:tc>
                <w:tcPr>
                  <w:tcW w:w="3074" w:type="pct"/>
                </w:tcPr>
                <w:p w14:paraId="115B1FC2" w14:textId="77777777" w:rsidR="007022F8" w:rsidRPr="00234E94" w:rsidRDefault="007022F8" w:rsidP="007022F8">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7022F8" w:rsidRPr="00234E94" w14:paraId="1AEEBDD7" w14:textId="77777777" w:rsidTr="00F12B75">
              <w:trPr>
                <w:cantSplit/>
              </w:trPr>
              <w:tc>
                <w:tcPr>
                  <w:tcW w:w="1295" w:type="pct"/>
                </w:tcPr>
                <w:p w14:paraId="33F90B17" w14:textId="77777777" w:rsidR="007022F8" w:rsidRPr="004D72AD" w:rsidRDefault="007022F8" w:rsidP="007022F8">
                  <w:pPr>
                    <w:pStyle w:val="tablebody0"/>
                  </w:pPr>
                  <w:r w:rsidRPr="003161DC">
                    <w:rPr>
                      <w:iCs/>
                    </w:rPr>
                    <w:t xml:space="preserve">RNWF </w:t>
                  </w:r>
                  <w:r w:rsidRPr="003161DC">
                    <w:rPr>
                      <w:i/>
                      <w:iCs/>
                      <w:vertAlign w:val="subscript"/>
                    </w:rPr>
                    <w:t>y</w:t>
                  </w:r>
                </w:p>
              </w:tc>
              <w:tc>
                <w:tcPr>
                  <w:tcW w:w="631" w:type="pct"/>
                </w:tcPr>
                <w:p w14:paraId="742B3D1B" w14:textId="77777777" w:rsidR="007022F8" w:rsidRPr="004D72AD" w:rsidRDefault="007022F8" w:rsidP="007022F8">
                  <w:pPr>
                    <w:pStyle w:val="tablebody0"/>
                  </w:pPr>
                  <w:r w:rsidRPr="003161DC">
                    <w:rPr>
                      <w:iCs/>
                    </w:rPr>
                    <w:t>none</w:t>
                  </w:r>
                </w:p>
              </w:tc>
              <w:tc>
                <w:tcPr>
                  <w:tcW w:w="3074" w:type="pct"/>
                </w:tcPr>
                <w:p w14:paraId="39D42726" w14:textId="77777777" w:rsidR="007022F8" w:rsidRPr="0091078E"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42491D4" w14:textId="77777777" w:rsidTr="00F12B75">
              <w:trPr>
                <w:cantSplit/>
              </w:trPr>
              <w:tc>
                <w:tcPr>
                  <w:tcW w:w="1295" w:type="pct"/>
                </w:tcPr>
                <w:p w14:paraId="53F59D32" w14:textId="77777777" w:rsidR="007022F8" w:rsidRPr="004D72AD" w:rsidRDefault="007022F8" w:rsidP="007022F8">
                  <w:pPr>
                    <w:pStyle w:val="tablebody0"/>
                  </w:pPr>
                  <w:r w:rsidRPr="003161DC">
                    <w:rPr>
                      <w:iCs/>
                    </w:rPr>
                    <w:t xml:space="preserve">TLMP </w:t>
                  </w:r>
                  <w:r w:rsidRPr="003161DC">
                    <w:rPr>
                      <w:i/>
                      <w:iCs/>
                      <w:vertAlign w:val="subscript"/>
                    </w:rPr>
                    <w:t>y</w:t>
                  </w:r>
                </w:p>
              </w:tc>
              <w:tc>
                <w:tcPr>
                  <w:tcW w:w="631" w:type="pct"/>
                </w:tcPr>
                <w:p w14:paraId="109C7AEE" w14:textId="77777777" w:rsidR="007022F8" w:rsidRPr="004D72AD" w:rsidRDefault="007022F8" w:rsidP="007022F8">
                  <w:pPr>
                    <w:pStyle w:val="tablebody0"/>
                  </w:pPr>
                  <w:r w:rsidRPr="003161DC">
                    <w:rPr>
                      <w:iCs/>
                    </w:rPr>
                    <w:t>second</w:t>
                  </w:r>
                </w:p>
              </w:tc>
              <w:tc>
                <w:tcPr>
                  <w:tcW w:w="3074" w:type="pct"/>
                </w:tcPr>
                <w:p w14:paraId="5E24C849" w14:textId="77777777" w:rsidR="007022F8" w:rsidRPr="0091078E"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657A06C9" w14:textId="77777777" w:rsidTr="00F12B75">
              <w:trPr>
                <w:cantSplit/>
              </w:trPr>
              <w:tc>
                <w:tcPr>
                  <w:tcW w:w="1295" w:type="pct"/>
                </w:tcPr>
                <w:p w14:paraId="49FB4EC7" w14:textId="77777777" w:rsidR="007022F8" w:rsidRPr="00234E94" w:rsidRDefault="007022F8" w:rsidP="007022F8">
                  <w:pPr>
                    <w:pStyle w:val="tablebody0"/>
                    <w:rPr>
                      <w:i/>
                    </w:rPr>
                  </w:pPr>
                  <w:r w:rsidRPr="00234E94">
                    <w:rPr>
                      <w:i/>
                    </w:rPr>
                    <w:t>y</w:t>
                  </w:r>
                </w:p>
              </w:tc>
              <w:tc>
                <w:tcPr>
                  <w:tcW w:w="631" w:type="pct"/>
                </w:tcPr>
                <w:p w14:paraId="4909FD30" w14:textId="77777777" w:rsidR="007022F8" w:rsidRPr="00234E94" w:rsidRDefault="007022F8" w:rsidP="007022F8">
                  <w:pPr>
                    <w:pStyle w:val="tablebody0"/>
                  </w:pPr>
                  <w:r w:rsidRPr="00234E94">
                    <w:t>none</w:t>
                  </w:r>
                </w:p>
              </w:tc>
              <w:tc>
                <w:tcPr>
                  <w:tcW w:w="3074" w:type="pct"/>
                </w:tcPr>
                <w:p w14:paraId="1F42EC90" w14:textId="77777777" w:rsidR="007022F8" w:rsidRPr="00234E94" w:rsidRDefault="007022F8" w:rsidP="007022F8">
                  <w:pPr>
                    <w:pStyle w:val="tablebody0"/>
                  </w:pPr>
                  <w:r w:rsidRPr="00234E94">
                    <w:t>A SCED interval in the 15-minute Settlement Interval.</w:t>
                  </w:r>
                </w:p>
              </w:tc>
            </w:tr>
          </w:tbl>
          <w:p w14:paraId="156328E2" w14:textId="77777777" w:rsidR="007022F8" w:rsidRDefault="007022F8" w:rsidP="007022F8">
            <w:pPr>
              <w:spacing w:before="240" w:after="240"/>
              <w:ind w:left="720" w:hanging="720"/>
            </w:pPr>
            <w:r>
              <w:rPr>
                <w:bCs/>
                <w:snapToGrid w:val="0"/>
              </w:rPr>
              <w:t>(3</w:t>
            </w:r>
            <w:r w:rsidRPr="000C2EDA">
              <w:rPr>
                <w:bCs/>
                <w:snapToGrid w:val="0"/>
              </w:rPr>
              <w:t>)</w:t>
            </w:r>
            <w:r w:rsidRPr="00F26DA0">
              <w:t xml:space="preserve"> </w:t>
            </w:r>
            <w:r w:rsidRPr="003161DC">
              <w:tab/>
            </w:r>
            <w:r>
              <w:t>The Real-Time Reliability Deployment Price for Ancillary Service for Responsive Reserve (RTRDPRRS) is the time-weighted average of the sum of the Real-Time Reliability Deployment Price Adders for Ancillary Service for Responsive Reserve per SCED interval.  The Real-Time Reliability Deployment Price for Ancillary Service for Responsive Reserve for a 15-minute Settlement Interval is calculated as follows</w:t>
            </w:r>
            <w:r w:rsidRPr="003161DC">
              <w:t>:</w:t>
            </w:r>
          </w:p>
          <w:p w14:paraId="1824341B" w14:textId="6286BBCC" w:rsidR="007022F8" w:rsidRPr="00C3449C" w:rsidRDefault="007022F8" w:rsidP="007022F8">
            <w:pPr>
              <w:spacing w:before="240" w:after="240"/>
              <w:ind w:left="720" w:hanging="720"/>
              <w:rPr>
                <w:i/>
                <w:vertAlign w:val="subscript"/>
              </w:rPr>
            </w:pPr>
            <w:r w:rsidRPr="00C3449C">
              <w:lastRenderedPageBreak/>
              <w:t>RT</w:t>
            </w:r>
            <w:r>
              <w:t>RDP</w:t>
            </w:r>
            <w:r w:rsidRPr="00C3449C">
              <w:t>R</w:t>
            </w:r>
            <w:r>
              <w:t>RS</w:t>
            </w:r>
            <w:r w:rsidRPr="00C3449C">
              <w:t xml:space="preserve">  =   </w:t>
            </w:r>
            <w:r w:rsidRPr="00C3449C">
              <w:rPr>
                <w:position w:val="-22"/>
              </w:rPr>
              <w:object w:dxaOrig="225" w:dyaOrig="465" w14:anchorId="488BCA30">
                <v:shape id="_x0000_i1083" type="#_x0000_t75" style="width:24pt;height:18pt" o:ole="">
                  <v:imagedata r:id="rId22" o:title=""/>
                </v:shape>
                <o:OLEObject Type="Embed" ProgID="Equation.3" ShapeID="_x0000_i1083" DrawAspect="Content" ObjectID="_1804653568" r:id="rId84"/>
              </w:object>
            </w:r>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p>
          <w:p w14:paraId="3FEFA6A8" w14:textId="77777777" w:rsidR="007022F8" w:rsidRDefault="007022F8" w:rsidP="007022F8">
            <w:pPr>
              <w:pStyle w:val="BodyTextNumbered"/>
              <w:ind w:left="0" w:firstLine="0"/>
            </w:pPr>
            <w:r>
              <w:t>Where:</w:t>
            </w:r>
          </w:p>
          <w:p w14:paraId="67D9535F" w14:textId="3E42BA8B"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35D866AF">
                <v:shape id="_x0000_i1084" type="#_x0000_t75" style="width:24pt;height:18pt" o:ole="">
                  <v:imagedata r:id="rId22" o:title=""/>
                </v:shape>
                <o:OLEObject Type="Embed" ProgID="Equation.3" ShapeID="_x0000_i1084" DrawAspect="Content" ObjectID="_1804653569" r:id="rId85"/>
              </w:object>
            </w:r>
            <w:r>
              <w:t xml:space="preserve">TLMP </w:t>
            </w:r>
            <w:r>
              <w:rPr>
                <w:i/>
                <w:vertAlign w:val="subscript"/>
              </w:rPr>
              <w:t>y</w:t>
            </w:r>
          </w:p>
          <w:p w14:paraId="1760434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2781153"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3018D26"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90D7E6"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8B77E60" w14:textId="77777777" w:rsidR="007022F8" w:rsidRDefault="007022F8" w:rsidP="007022F8">
                  <w:pPr>
                    <w:pStyle w:val="TableHead"/>
                  </w:pPr>
                  <w:r>
                    <w:t>Description</w:t>
                  </w:r>
                </w:p>
              </w:tc>
            </w:tr>
            <w:tr w:rsidR="007022F8" w14:paraId="144A340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33D7EF0" w14:textId="77777777" w:rsidR="007022F8" w:rsidRDefault="007022F8" w:rsidP="007022F8">
                  <w:pPr>
                    <w:pStyle w:val="tablebody0"/>
                  </w:pPr>
                  <w:r>
                    <w:t xml:space="preserve">RTRDPRRS </w:t>
                  </w:r>
                </w:p>
              </w:tc>
              <w:tc>
                <w:tcPr>
                  <w:tcW w:w="631" w:type="pct"/>
                  <w:tcBorders>
                    <w:top w:val="single" w:sz="4" w:space="0" w:color="auto"/>
                    <w:left w:val="single" w:sz="4" w:space="0" w:color="auto"/>
                    <w:bottom w:val="single" w:sz="4" w:space="0" w:color="auto"/>
                    <w:right w:val="single" w:sz="4" w:space="0" w:color="auto"/>
                  </w:tcBorders>
                  <w:hideMark/>
                </w:tcPr>
                <w:p w14:paraId="393B723D"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89A58B7" w14:textId="77777777" w:rsidR="007022F8" w:rsidRDefault="007022F8" w:rsidP="007022F8">
                  <w:pPr>
                    <w:pStyle w:val="tablebody0"/>
                    <w:rPr>
                      <w:i/>
                    </w:rPr>
                  </w:pPr>
                  <w:r>
                    <w:rPr>
                      <w:i/>
                      <w:szCs w:val="18"/>
                    </w:rPr>
                    <w:t xml:space="preserve">Real-Time </w:t>
                  </w:r>
                  <w:r w:rsidRPr="000C2EDA">
                    <w:rPr>
                      <w:i/>
                    </w:rPr>
                    <w:t xml:space="preserve">Reliability </w:t>
                  </w:r>
                  <w:r>
                    <w:rPr>
                      <w:i/>
                    </w:rPr>
                    <w:t xml:space="preserve">Deployment </w:t>
                  </w:r>
                  <w:r w:rsidRPr="000C2EDA">
                    <w:rPr>
                      <w:i/>
                    </w:rPr>
                    <w:t xml:space="preserve">Price </w:t>
                  </w:r>
                  <w:r>
                    <w:rPr>
                      <w:i/>
                    </w:rPr>
                    <w:t xml:space="preserve">for Ancillary Service </w:t>
                  </w:r>
                  <w:r>
                    <w:rPr>
                      <w:i/>
                      <w:szCs w:val="18"/>
                    </w:rPr>
                    <w:t>for Responsive Reserve -</w:t>
                  </w:r>
                  <w:r>
                    <w:t xml:space="preserve"> The Real-Time Reliability Deployment Price for Ancillary Service for RRS for the 15-minute Settlement Interval.</w:t>
                  </w:r>
                </w:p>
              </w:tc>
            </w:tr>
            <w:tr w:rsidR="007022F8" w:rsidRPr="00234E94" w14:paraId="2730EC18" w14:textId="77777777" w:rsidTr="00F12B75">
              <w:trPr>
                <w:cantSplit/>
              </w:trPr>
              <w:tc>
                <w:tcPr>
                  <w:tcW w:w="1295" w:type="pct"/>
                </w:tcPr>
                <w:p w14:paraId="7DBBD32D" w14:textId="77777777" w:rsidR="007022F8" w:rsidRPr="00234E94" w:rsidRDefault="007022F8" w:rsidP="007022F8">
                  <w:pPr>
                    <w:pStyle w:val="tablebody0"/>
                    <w:rPr>
                      <w:i/>
                    </w:rPr>
                  </w:pPr>
                  <w:r w:rsidRPr="004654BF">
                    <w:t>RTR</w:t>
                  </w:r>
                  <w:r>
                    <w:t>D</w:t>
                  </w:r>
                  <w:r w:rsidRPr="004654BF">
                    <w:t>PA</w:t>
                  </w:r>
                  <w:r>
                    <w:t xml:space="preserve">RRS </w:t>
                  </w:r>
                  <w:r w:rsidRPr="000C2EDA">
                    <w:rPr>
                      <w:i/>
                    </w:rPr>
                    <w:t>y</w:t>
                  </w:r>
                </w:p>
              </w:tc>
              <w:tc>
                <w:tcPr>
                  <w:tcW w:w="631" w:type="pct"/>
                </w:tcPr>
                <w:p w14:paraId="29A15A3D" w14:textId="77777777" w:rsidR="007022F8" w:rsidRPr="00234E94" w:rsidRDefault="007022F8" w:rsidP="007022F8">
                  <w:pPr>
                    <w:pStyle w:val="tablebody0"/>
                  </w:pPr>
                  <w:r w:rsidRPr="004654BF">
                    <w:t>$/MW</w:t>
                  </w:r>
                </w:p>
              </w:tc>
              <w:tc>
                <w:tcPr>
                  <w:tcW w:w="3074" w:type="pct"/>
                </w:tcPr>
                <w:p w14:paraId="2E0F976D"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7022F8" w:rsidRPr="00234E94" w14:paraId="641C2BB1" w14:textId="77777777" w:rsidTr="00F12B75">
              <w:trPr>
                <w:cantSplit/>
              </w:trPr>
              <w:tc>
                <w:tcPr>
                  <w:tcW w:w="1295" w:type="pct"/>
                </w:tcPr>
                <w:p w14:paraId="1ADE10BD"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434E918" w14:textId="77777777" w:rsidR="007022F8" w:rsidRPr="004654BF" w:rsidRDefault="007022F8" w:rsidP="007022F8">
                  <w:pPr>
                    <w:pStyle w:val="tablebody0"/>
                  </w:pPr>
                  <w:r w:rsidRPr="003161DC">
                    <w:rPr>
                      <w:iCs/>
                    </w:rPr>
                    <w:t>none</w:t>
                  </w:r>
                </w:p>
              </w:tc>
              <w:tc>
                <w:tcPr>
                  <w:tcW w:w="3074" w:type="pct"/>
                </w:tcPr>
                <w:p w14:paraId="0CDF0DAC"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AA948BE" w14:textId="77777777" w:rsidTr="00F12B75">
              <w:trPr>
                <w:cantSplit/>
              </w:trPr>
              <w:tc>
                <w:tcPr>
                  <w:tcW w:w="1295" w:type="pct"/>
                </w:tcPr>
                <w:p w14:paraId="27C5059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4C740EA1" w14:textId="77777777" w:rsidR="007022F8" w:rsidRPr="004654BF" w:rsidRDefault="007022F8" w:rsidP="007022F8">
                  <w:pPr>
                    <w:pStyle w:val="tablebody0"/>
                  </w:pPr>
                  <w:r w:rsidRPr="003161DC">
                    <w:rPr>
                      <w:iCs/>
                    </w:rPr>
                    <w:t>second</w:t>
                  </w:r>
                </w:p>
              </w:tc>
              <w:tc>
                <w:tcPr>
                  <w:tcW w:w="3074" w:type="pct"/>
                </w:tcPr>
                <w:p w14:paraId="1B6206BD"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75194EBE" w14:textId="77777777" w:rsidTr="00F12B75">
              <w:trPr>
                <w:cantSplit/>
              </w:trPr>
              <w:tc>
                <w:tcPr>
                  <w:tcW w:w="1295" w:type="pct"/>
                </w:tcPr>
                <w:p w14:paraId="6B5870D2" w14:textId="77777777" w:rsidR="007022F8" w:rsidRPr="00234E94" w:rsidRDefault="007022F8" w:rsidP="007022F8">
                  <w:pPr>
                    <w:pStyle w:val="tablebody0"/>
                    <w:rPr>
                      <w:i/>
                    </w:rPr>
                  </w:pPr>
                  <w:r w:rsidRPr="00234E94">
                    <w:rPr>
                      <w:i/>
                    </w:rPr>
                    <w:t>y</w:t>
                  </w:r>
                </w:p>
              </w:tc>
              <w:tc>
                <w:tcPr>
                  <w:tcW w:w="631" w:type="pct"/>
                </w:tcPr>
                <w:p w14:paraId="3AED134A" w14:textId="77777777" w:rsidR="007022F8" w:rsidRPr="00234E94" w:rsidRDefault="007022F8" w:rsidP="007022F8">
                  <w:pPr>
                    <w:pStyle w:val="tablebody0"/>
                  </w:pPr>
                  <w:r w:rsidRPr="00234E94">
                    <w:t>none</w:t>
                  </w:r>
                </w:p>
              </w:tc>
              <w:tc>
                <w:tcPr>
                  <w:tcW w:w="3074" w:type="pct"/>
                </w:tcPr>
                <w:p w14:paraId="3409C00C" w14:textId="77777777" w:rsidR="007022F8" w:rsidRPr="00234E94" w:rsidRDefault="007022F8" w:rsidP="007022F8">
                  <w:pPr>
                    <w:pStyle w:val="tablebody0"/>
                  </w:pPr>
                  <w:r w:rsidRPr="00234E94">
                    <w:t>A SCED interval in the 15-minute Settlement Interval.</w:t>
                  </w:r>
                </w:p>
              </w:tc>
            </w:tr>
          </w:tbl>
          <w:p w14:paraId="66EECCAD" w14:textId="77777777" w:rsidR="007022F8" w:rsidRDefault="007022F8" w:rsidP="007022F8">
            <w:pPr>
              <w:spacing w:before="240" w:after="240"/>
              <w:ind w:left="720" w:hanging="720"/>
            </w:pPr>
            <w:r>
              <w:rPr>
                <w:bCs/>
                <w:snapToGrid w:val="0"/>
              </w:rPr>
              <w:t>(4</w:t>
            </w:r>
            <w:r w:rsidRPr="000C2EDA">
              <w:rPr>
                <w:bCs/>
                <w:snapToGrid w:val="0"/>
              </w:rPr>
              <w:t>)</w:t>
            </w:r>
            <w:r w:rsidRPr="00F26DA0">
              <w:t xml:space="preserve"> </w:t>
            </w:r>
            <w:r w:rsidRPr="003161DC">
              <w:tab/>
            </w:r>
            <w:r>
              <w:t>The Real-Time Reliability Deployment Price for Ancillary Service for ERCOT Contingency Reserve (RTRDPECR) is the time-weighted average of the sum of the Real-Time Reliability Deployment Price Adders for Ancillary Service for ERCOT Contingency Reserve per SCED interval.  The Real-Time Reliability Deployment Price for Ancillary Service for ERCOT Contingency Reserve for a 15-minute Settlement Interval is calculated as follows</w:t>
            </w:r>
            <w:r w:rsidRPr="003161DC">
              <w:t>:</w:t>
            </w:r>
          </w:p>
          <w:p w14:paraId="722EFA36" w14:textId="495FED33" w:rsidR="007022F8" w:rsidRPr="00C3449C" w:rsidRDefault="007022F8" w:rsidP="007022F8">
            <w:pPr>
              <w:spacing w:before="240" w:after="240"/>
              <w:ind w:left="720" w:hanging="720"/>
              <w:rPr>
                <w:i/>
                <w:vertAlign w:val="subscript"/>
              </w:rPr>
            </w:pPr>
            <w:r w:rsidRPr="00C3449C">
              <w:t>RT</w:t>
            </w:r>
            <w:r>
              <w:t>RDPEC</w:t>
            </w:r>
            <w:r w:rsidRPr="00C3449C">
              <w:t xml:space="preserve">R  =   </w:t>
            </w:r>
            <w:r w:rsidRPr="00C3449C">
              <w:rPr>
                <w:position w:val="-22"/>
              </w:rPr>
              <w:object w:dxaOrig="225" w:dyaOrig="465" w14:anchorId="49E819D8">
                <v:shape id="_x0000_i1085" type="#_x0000_t75" style="width:24pt;height:18pt" o:ole="">
                  <v:imagedata r:id="rId22" o:title=""/>
                </v:shape>
                <o:OLEObject Type="Embed" ProgID="Equation.3" ShapeID="_x0000_i1085" DrawAspect="Content" ObjectID="_1804653570" r:id="rId86"/>
              </w:object>
            </w:r>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p>
          <w:p w14:paraId="0F41E301" w14:textId="77777777" w:rsidR="007022F8" w:rsidRDefault="007022F8" w:rsidP="007022F8">
            <w:pPr>
              <w:pStyle w:val="BodyTextNumbered"/>
              <w:ind w:left="0" w:firstLine="0"/>
            </w:pPr>
            <w:r>
              <w:t>Where:</w:t>
            </w:r>
          </w:p>
          <w:p w14:paraId="6DAE5ABA" w14:textId="44450F61"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68345E3D">
                <v:shape id="_x0000_i1086" type="#_x0000_t75" style="width:24pt;height:18pt" o:ole="">
                  <v:imagedata r:id="rId22" o:title=""/>
                </v:shape>
                <o:OLEObject Type="Embed" ProgID="Equation.3" ShapeID="_x0000_i1086" DrawAspect="Content" ObjectID="_1804653571" r:id="rId87"/>
              </w:object>
            </w:r>
            <w:r>
              <w:t xml:space="preserve">TLMP </w:t>
            </w:r>
            <w:r>
              <w:rPr>
                <w:i/>
                <w:vertAlign w:val="subscript"/>
              </w:rPr>
              <w:t>y</w:t>
            </w:r>
          </w:p>
          <w:p w14:paraId="54DB88B5"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F8FD01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5185A6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1250E24F"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406AFB7" w14:textId="77777777" w:rsidR="007022F8" w:rsidRDefault="007022F8" w:rsidP="007022F8">
                  <w:pPr>
                    <w:pStyle w:val="TableHead"/>
                  </w:pPr>
                  <w:r>
                    <w:t>Description</w:t>
                  </w:r>
                </w:p>
              </w:tc>
            </w:tr>
            <w:tr w:rsidR="007022F8" w14:paraId="492D3E42"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B2F605E" w14:textId="77777777" w:rsidR="007022F8" w:rsidRDefault="007022F8" w:rsidP="007022F8">
                  <w:pPr>
                    <w:pStyle w:val="tablebody0"/>
                  </w:pPr>
                  <w:r>
                    <w:t>RTRDPECR</w:t>
                  </w:r>
                </w:p>
              </w:tc>
              <w:tc>
                <w:tcPr>
                  <w:tcW w:w="631" w:type="pct"/>
                  <w:tcBorders>
                    <w:top w:val="single" w:sz="4" w:space="0" w:color="auto"/>
                    <w:left w:val="single" w:sz="4" w:space="0" w:color="auto"/>
                    <w:bottom w:val="single" w:sz="4" w:space="0" w:color="auto"/>
                    <w:right w:val="single" w:sz="4" w:space="0" w:color="auto"/>
                  </w:tcBorders>
                  <w:hideMark/>
                </w:tcPr>
                <w:p w14:paraId="4390D7B5"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6B00143" w14:textId="77777777" w:rsidR="007022F8" w:rsidRDefault="007022F8" w:rsidP="007022F8">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Reliability Deployment Price for Ancillary Service for ECRS for the 15-minute Settlement Interval.</w:t>
                  </w:r>
                </w:p>
              </w:tc>
            </w:tr>
            <w:tr w:rsidR="007022F8" w:rsidRPr="00234E94" w14:paraId="1DBF37F0" w14:textId="77777777" w:rsidTr="00F12B75">
              <w:trPr>
                <w:cantSplit/>
              </w:trPr>
              <w:tc>
                <w:tcPr>
                  <w:tcW w:w="1295" w:type="pct"/>
                </w:tcPr>
                <w:p w14:paraId="67BA386D" w14:textId="77777777" w:rsidR="007022F8" w:rsidRPr="00234E94" w:rsidRDefault="007022F8" w:rsidP="007022F8">
                  <w:pPr>
                    <w:pStyle w:val="tablebody0"/>
                    <w:rPr>
                      <w:i/>
                    </w:rPr>
                  </w:pPr>
                  <w:r w:rsidRPr="004654BF">
                    <w:lastRenderedPageBreak/>
                    <w:t>RTR</w:t>
                  </w:r>
                  <w:r>
                    <w:t>D</w:t>
                  </w:r>
                  <w:r w:rsidRPr="004654BF">
                    <w:t>PA</w:t>
                  </w:r>
                  <w:r>
                    <w:t xml:space="preserve">ECRS </w:t>
                  </w:r>
                  <w:r w:rsidRPr="000C2EDA">
                    <w:rPr>
                      <w:i/>
                    </w:rPr>
                    <w:t>y</w:t>
                  </w:r>
                </w:p>
              </w:tc>
              <w:tc>
                <w:tcPr>
                  <w:tcW w:w="631" w:type="pct"/>
                </w:tcPr>
                <w:p w14:paraId="6E138E41" w14:textId="77777777" w:rsidR="007022F8" w:rsidRPr="00234E94" w:rsidRDefault="007022F8" w:rsidP="007022F8">
                  <w:pPr>
                    <w:pStyle w:val="tablebody0"/>
                  </w:pPr>
                  <w:r w:rsidRPr="004654BF">
                    <w:t>$/MW</w:t>
                  </w:r>
                </w:p>
              </w:tc>
              <w:tc>
                <w:tcPr>
                  <w:tcW w:w="3074" w:type="pct"/>
                </w:tcPr>
                <w:p w14:paraId="7F453996"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Price Adder</w:t>
                  </w:r>
                  <w:r>
                    <w:rPr>
                      <w:i/>
                    </w:rPr>
                    <w:t xml:space="preserve"> 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7022F8" w:rsidRPr="00234E94" w14:paraId="3143B7D0" w14:textId="77777777" w:rsidTr="00F12B75">
              <w:trPr>
                <w:cantSplit/>
              </w:trPr>
              <w:tc>
                <w:tcPr>
                  <w:tcW w:w="1295" w:type="pct"/>
                </w:tcPr>
                <w:p w14:paraId="4BD1C32F"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4939C97A" w14:textId="77777777" w:rsidR="007022F8" w:rsidRPr="004654BF" w:rsidRDefault="007022F8" w:rsidP="007022F8">
                  <w:pPr>
                    <w:pStyle w:val="tablebody0"/>
                  </w:pPr>
                  <w:r w:rsidRPr="003161DC">
                    <w:rPr>
                      <w:iCs/>
                    </w:rPr>
                    <w:t>none</w:t>
                  </w:r>
                </w:p>
              </w:tc>
              <w:tc>
                <w:tcPr>
                  <w:tcW w:w="3074" w:type="pct"/>
                </w:tcPr>
                <w:p w14:paraId="48F31A45"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59625E0D" w14:textId="77777777" w:rsidTr="00F12B75">
              <w:trPr>
                <w:cantSplit/>
              </w:trPr>
              <w:tc>
                <w:tcPr>
                  <w:tcW w:w="1295" w:type="pct"/>
                </w:tcPr>
                <w:p w14:paraId="0DEF6BE0"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350A2487" w14:textId="77777777" w:rsidR="007022F8" w:rsidRPr="004654BF" w:rsidRDefault="007022F8" w:rsidP="007022F8">
                  <w:pPr>
                    <w:pStyle w:val="tablebody0"/>
                  </w:pPr>
                  <w:r w:rsidRPr="003161DC">
                    <w:rPr>
                      <w:iCs/>
                    </w:rPr>
                    <w:t>second</w:t>
                  </w:r>
                </w:p>
              </w:tc>
              <w:tc>
                <w:tcPr>
                  <w:tcW w:w="3074" w:type="pct"/>
                </w:tcPr>
                <w:p w14:paraId="612812B4"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42EE69ED" w14:textId="77777777" w:rsidTr="00F12B75">
              <w:trPr>
                <w:cantSplit/>
              </w:trPr>
              <w:tc>
                <w:tcPr>
                  <w:tcW w:w="1295" w:type="pct"/>
                </w:tcPr>
                <w:p w14:paraId="2DBF10AF" w14:textId="77777777" w:rsidR="007022F8" w:rsidRPr="00234E94" w:rsidRDefault="007022F8" w:rsidP="007022F8">
                  <w:pPr>
                    <w:pStyle w:val="tablebody0"/>
                    <w:rPr>
                      <w:i/>
                    </w:rPr>
                  </w:pPr>
                  <w:r w:rsidRPr="00234E94">
                    <w:rPr>
                      <w:i/>
                    </w:rPr>
                    <w:t>y</w:t>
                  </w:r>
                </w:p>
              </w:tc>
              <w:tc>
                <w:tcPr>
                  <w:tcW w:w="631" w:type="pct"/>
                </w:tcPr>
                <w:p w14:paraId="15EFDC00" w14:textId="77777777" w:rsidR="007022F8" w:rsidRPr="00234E94" w:rsidRDefault="007022F8" w:rsidP="007022F8">
                  <w:pPr>
                    <w:pStyle w:val="tablebody0"/>
                  </w:pPr>
                  <w:r w:rsidRPr="00234E94">
                    <w:t>none</w:t>
                  </w:r>
                </w:p>
              </w:tc>
              <w:tc>
                <w:tcPr>
                  <w:tcW w:w="3074" w:type="pct"/>
                </w:tcPr>
                <w:p w14:paraId="2DD797FC" w14:textId="77777777" w:rsidR="007022F8" w:rsidRPr="00234E94" w:rsidRDefault="007022F8" w:rsidP="007022F8">
                  <w:pPr>
                    <w:pStyle w:val="tablebody0"/>
                  </w:pPr>
                  <w:r w:rsidRPr="00234E94">
                    <w:t>A SCED interval in the 15-minute Settlement Interval.</w:t>
                  </w:r>
                </w:p>
              </w:tc>
            </w:tr>
          </w:tbl>
          <w:p w14:paraId="4F627899" w14:textId="77777777" w:rsidR="007022F8" w:rsidRDefault="007022F8" w:rsidP="007022F8">
            <w:pPr>
              <w:spacing w:before="240" w:after="240"/>
              <w:ind w:left="720" w:hanging="720"/>
            </w:pPr>
            <w:r>
              <w:rPr>
                <w:bCs/>
                <w:snapToGrid w:val="0"/>
              </w:rPr>
              <w:t>(5</w:t>
            </w:r>
            <w:r w:rsidRPr="000C2EDA">
              <w:rPr>
                <w:bCs/>
                <w:snapToGrid w:val="0"/>
              </w:rPr>
              <w:t>)</w:t>
            </w:r>
            <w:r w:rsidRPr="00F26DA0">
              <w:t xml:space="preserve"> </w:t>
            </w:r>
            <w:r w:rsidRPr="003161DC">
              <w:tab/>
            </w:r>
            <w:r>
              <w:t>The Real-Time Reliability Deployment Price for Ancillary Service for ERCOT Non-Spin (RTRDPNS) is the time-weighted average of the sum of the Real-Time Reliability Deployment Price Adders for Ancillary Service for Non-Spin per SCED interval.  The Real-Time Reliability Deployment Price for Ancillary Service for Non-Spin for a 15-minute Settlement Interval is calculated as follows</w:t>
            </w:r>
            <w:r w:rsidRPr="003161DC">
              <w:t>:</w:t>
            </w:r>
          </w:p>
          <w:p w14:paraId="0FB954B6" w14:textId="4CFC9C60" w:rsidR="007022F8" w:rsidRPr="00C3449C" w:rsidRDefault="007022F8" w:rsidP="007022F8">
            <w:pPr>
              <w:spacing w:before="240" w:after="240"/>
              <w:ind w:left="720" w:hanging="720"/>
              <w:rPr>
                <w:i/>
                <w:vertAlign w:val="subscript"/>
              </w:rPr>
            </w:pPr>
            <w:r>
              <w:t>RTRDPNS</w:t>
            </w:r>
            <w:r w:rsidRPr="00C3449C">
              <w:t xml:space="preserve">  =   </w:t>
            </w:r>
            <w:r w:rsidRPr="00C3449C">
              <w:rPr>
                <w:position w:val="-22"/>
              </w:rPr>
              <w:object w:dxaOrig="225" w:dyaOrig="465" w14:anchorId="3C104425">
                <v:shape id="_x0000_i1087" type="#_x0000_t75" style="width:24pt;height:18pt" o:ole="">
                  <v:imagedata r:id="rId22" o:title=""/>
                </v:shape>
                <o:OLEObject Type="Embed" ProgID="Equation.3" ShapeID="_x0000_i1087" DrawAspect="Content" ObjectID="_1804653572" r:id="rId88"/>
              </w:object>
            </w:r>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p>
          <w:p w14:paraId="53F37666" w14:textId="77777777" w:rsidR="007022F8" w:rsidRDefault="007022F8" w:rsidP="007022F8">
            <w:pPr>
              <w:pStyle w:val="BodyTextNumbered"/>
              <w:ind w:left="0" w:firstLine="0"/>
            </w:pPr>
            <w:r>
              <w:t>Where:</w:t>
            </w:r>
          </w:p>
          <w:p w14:paraId="3E120E4E" w14:textId="71DBEDBD"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7130E31">
                <v:shape id="_x0000_i1088" type="#_x0000_t75" style="width:24pt;height:18pt" o:ole="">
                  <v:imagedata r:id="rId22" o:title=""/>
                </v:shape>
                <o:OLEObject Type="Embed" ProgID="Equation.3" ShapeID="_x0000_i1088" DrawAspect="Content" ObjectID="_1804653573" r:id="rId89"/>
              </w:object>
            </w:r>
            <w:r>
              <w:t xml:space="preserve">TLMP </w:t>
            </w:r>
            <w:r>
              <w:rPr>
                <w:i/>
                <w:vertAlign w:val="subscript"/>
              </w:rPr>
              <w:t>y</w:t>
            </w:r>
          </w:p>
          <w:p w14:paraId="55BBABB7"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6CD5BD42"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BB75C1B"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4553C5E"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4F9C3B5" w14:textId="77777777" w:rsidR="007022F8" w:rsidRDefault="007022F8" w:rsidP="007022F8">
                  <w:pPr>
                    <w:pStyle w:val="TableHead"/>
                  </w:pPr>
                  <w:r>
                    <w:t>Description</w:t>
                  </w:r>
                </w:p>
              </w:tc>
            </w:tr>
            <w:tr w:rsidR="007022F8" w14:paraId="72B7B59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ECA8A41" w14:textId="77777777" w:rsidR="007022F8" w:rsidRDefault="007022F8" w:rsidP="007022F8">
                  <w:pPr>
                    <w:pStyle w:val="tablebody0"/>
                  </w:pPr>
                  <w:r>
                    <w:t>RTRDPNS</w:t>
                  </w:r>
                </w:p>
              </w:tc>
              <w:tc>
                <w:tcPr>
                  <w:tcW w:w="631" w:type="pct"/>
                  <w:tcBorders>
                    <w:top w:val="single" w:sz="4" w:space="0" w:color="auto"/>
                    <w:left w:val="single" w:sz="4" w:space="0" w:color="auto"/>
                    <w:bottom w:val="single" w:sz="4" w:space="0" w:color="auto"/>
                    <w:right w:val="single" w:sz="4" w:space="0" w:color="auto"/>
                  </w:tcBorders>
                  <w:hideMark/>
                </w:tcPr>
                <w:p w14:paraId="1B26D46E"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BB03A41" w14:textId="77777777" w:rsidR="007022F8" w:rsidRDefault="007022F8" w:rsidP="007022F8">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Reliability Deployment Price for Ancillary Service for ECRS for the 15-minute Settlement Interval.</w:t>
                  </w:r>
                </w:p>
              </w:tc>
            </w:tr>
            <w:tr w:rsidR="007022F8" w:rsidRPr="00234E94" w14:paraId="27BB9C54" w14:textId="77777777" w:rsidTr="00F12B75">
              <w:trPr>
                <w:cantSplit/>
              </w:trPr>
              <w:tc>
                <w:tcPr>
                  <w:tcW w:w="1295" w:type="pct"/>
                </w:tcPr>
                <w:p w14:paraId="0CBE43DD" w14:textId="77777777" w:rsidR="007022F8" w:rsidRPr="00234E94" w:rsidRDefault="007022F8" w:rsidP="007022F8">
                  <w:pPr>
                    <w:pStyle w:val="tablebody0"/>
                    <w:rPr>
                      <w:i/>
                    </w:rPr>
                  </w:pPr>
                  <w:r w:rsidRPr="004654BF">
                    <w:t>RTR</w:t>
                  </w:r>
                  <w:r>
                    <w:t>D</w:t>
                  </w:r>
                  <w:r w:rsidRPr="004654BF">
                    <w:t>PA</w:t>
                  </w:r>
                  <w:r>
                    <w:t xml:space="preserve">NSS </w:t>
                  </w:r>
                  <w:r w:rsidRPr="000C2EDA">
                    <w:rPr>
                      <w:i/>
                    </w:rPr>
                    <w:t>y</w:t>
                  </w:r>
                </w:p>
              </w:tc>
              <w:tc>
                <w:tcPr>
                  <w:tcW w:w="631" w:type="pct"/>
                </w:tcPr>
                <w:p w14:paraId="7A3E3F3C" w14:textId="77777777" w:rsidR="007022F8" w:rsidRPr="00234E94" w:rsidRDefault="007022F8" w:rsidP="007022F8">
                  <w:pPr>
                    <w:pStyle w:val="tablebody0"/>
                  </w:pPr>
                  <w:r w:rsidRPr="004654BF">
                    <w:t>$/MW</w:t>
                  </w:r>
                </w:p>
              </w:tc>
              <w:tc>
                <w:tcPr>
                  <w:tcW w:w="3074" w:type="pct"/>
                </w:tcPr>
                <w:p w14:paraId="410CEBB7"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7022F8" w:rsidRPr="00234E94" w14:paraId="77E5505C" w14:textId="77777777" w:rsidTr="00F12B75">
              <w:trPr>
                <w:cantSplit/>
              </w:trPr>
              <w:tc>
                <w:tcPr>
                  <w:tcW w:w="1295" w:type="pct"/>
                </w:tcPr>
                <w:p w14:paraId="63691BFA"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2634160" w14:textId="77777777" w:rsidR="007022F8" w:rsidRPr="004654BF" w:rsidRDefault="007022F8" w:rsidP="007022F8">
                  <w:pPr>
                    <w:pStyle w:val="tablebody0"/>
                  </w:pPr>
                  <w:r w:rsidRPr="003161DC">
                    <w:rPr>
                      <w:iCs/>
                    </w:rPr>
                    <w:t>none</w:t>
                  </w:r>
                </w:p>
              </w:tc>
              <w:tc>
                <w:tcPr>
                  <w:tcW w:w="3074" w:type="pct"/>
                </w:tcPr>
                <w:p w14:paraId="44CFEDDF"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70E090A" w14:textId="77777777" w:rsidTr="00F12B75">
              <w:trPr>
                <w:cantSplit/>
              </w:trPr>
              <w:tc>
                <w:tcPr>
                  <w:tcW w:w="1295" w:type="pct"/>
                </w:tcPr>
                <w:p w14:paraId="3348DD2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0D58BADF" w14:textId="77777777" w:rsidR="007022F8" w:rsidRPr="004654BF" w:rsidRDefault="007022F8" w:rsidP="007022F8">
                  <w:pPr>
                    <w:pStyle w:val="tablebody0"/>
                  </w:pPr>
                  <w:r w:rsidRPr="003161DC">
                    <w:rPr>
                      <w:iCs/>
                    </w:rPr>
                    <w:t>second</w:t>
                  </w:r>
                </w:p>
              </w:tc>
              <w:tc>
                <w:tcPr>
                  <w:tcW w:w="3074" w:type="pct"/>
                </w:tcPr>
                <w:p w14:paraId="2005BC1B"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381CA73A" w14:textId="77777777" w:rsidTr="00F12B75">
              <w:trPr>
                <w:cantSplit/>
              </w:trPr>
              <w:tc>
                <w:tcPr>
                  <w:tcW w:w="1295" w:type="pct"/>
                </w:tcPr>
                <w:p w14:paraId="107D8513" w14:textId="77777777" w:rsidR="007022F8" w:rsidRPr="00234E94" w:rsidRDefault="007022F8" w:rsidP="007022F8">
                  <w:pPr>
                    <w:pStyle w:val="tablebody0"/>
                    <w:rPr>
                      <w:i/>
                    </w:rPr>
                  </w:pPr>
                  <w:r w:rsidRPr="00234E94">
                    <w:rPr>
                      <w:i/>
                    </w:rPr>
                    <w:t>y</w:t>
                  </w:r>
                </w:p>
              </w:tc>
              <w:tc>
                <w:tcPr>
                  <w:tcW w:w="631" w:type="pct"/>
                </w:tcPr>
                <w:p w14:paraId="3A66E579" w14:textId="77777777" w:rsidR="007022F8" w:rsidRPr="00234E94" w:rsidRDefault="007022F8" w:rsidP="007022F8">
                  <w:pPr>
                    <w:pStyle w:val="tablebody0"/>
                  </w:pPr>
                  <w:r w:rsidRPr="00234E94">
                    <w:t>none</w:t>
                  </w:r>
                </w:p>
              </w:tc>
              <w:tc>
                <w:tcPr>
                  <w:tcW w:w="3074" w:type="pct"/>
                </w:tcPr>
                <w:p w14:paraId="187E15F2" w14:textId="77777777" w:rsidR="007022F8" w:rsidRPr="00234E94" w:rsidRDefault="007022F8" w:rsidP="007022F8">
                  <w:pPr>
                    <w:pStyle w:val="tablebody0"/>
                  </w:pPr>
                  <w:r w:rsidRPr="00234E94">
                    <w:t>A SCED interval in the 15-minute Settlement Interval.</w:t>
                  </w:r>
                </w:p>
              </w:tc>
            </w:tr>
          </w:tbl>
          <w:p w14:paraId="5451A63C" w14:textId="211DC7A1" w:rsidR="00954FBC" w:rsidRPr="00B37C4B" w:rsidRDefault="00954FBC" w:rsidP="003451DD">
            <w:pPr>
              <w:spacing w:after="240"/>
            </w:pPr>
          </w:p>
        </w:tc>
      </w:tr>
    </w:tbl>
    <w:p w14:paraId="7BE4F9FB" w14:textId="2798F0D6" w:rsidR="001F04FD" w:rsidRDefault="001F04FD" w:rsidP="006B72E9">
      <w:pPr>
        <w:pStyle w:val="H3"/>
        <w:spacing w:before="480" w:after="480"/>
      </w:pPr>
      <w:bookmarkStart w:id="1763" w:name="_Toc189044402"/>
      <w:r>
        <w:lastRenderedPageBreak/>
        <w:t>6.6.2</w:t>
      </w:r>
      <w:r>
        <w:tab/>
        <w:t>Load Ratio Share</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63"/>
    </w:p>
    <w:p w14:paraId="1A57055A" w14:textId="77777777" w:rsidR="001F04FD" w:rsidRDefault="001F04FD" w:rsidP="001F04FD">
      <w:pPr>
        <w:pStyle w:val="H4"/>
      </w:pPr>
      <w:bookmarkStart w:id="1764" w:name="_Toc103653335"/>
      <w:bookmarkStart w:id="1765" w:name="_Toc109009385"/>
      <w:bookmarkStart w:id="1766" w:name="_Toc397505009"/>
      <w:bookmarkStart w:id="1767" w:name="_Toc402357137"/>
      <w:bookmarkStart w:id="1768" w:name="_Toc422486515"/>
      <w:bookmarkStart w:id="1769" w:name="_Toc433093367"/>
      <w:bookmarkStart w:id="1770" w:name="_Toc433093525"/>
      <w:bookmarkStart w:id="1771" w:name="_Toc440874753"/>
      <w:bookmarkStart w:id="1772" w:name="_Toc448142308"/>
      <w:bookmarkStart w:id="1773" w:name="_Toc448142465"/>
      <w:bookmarkStart w:id="1774" w:name="_Toc458770302"/>
      <w:bookmarkStart w:id="1775" w:name="_Toc459294270"/>
      <w:bookmarkStart w:id="1776" w:name="_Toc463262763"/>
      <w:bookmarkStart w:id="1777" w:name="_Toc468286836"/>
      <w:bookmarkStart w:id="1778" w:name="_Toc481502882"/>
      <w:bookmarkStart w:id="1779" w:name="_Toc496080050"/>
      <w:bookmarkStart w:id="1780" w:name="_Toc189044403"/>
      <w:r>
        <w:t>6.6.2.1</w:t>
      </w:r>
      <w:r>
        <w:tab/>
        <w:t>ERCOT Total Adjusted Metered Load</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r w:rsidR="003C2BD5" w:rsidRPr="003C2BD5">
        <w:t xml:space="preserve"> </w:t>
      </w:r>
      <w:r w:rsidR="003C2BD5">
        <w:t>for a 15-Minute Settlement Interval</w:t>
      </w:r>
      <w:bookmarkEnd w:id="1778"/>
      <w:bookmarkEnd w:id="1779"/>
      <w:bookmarkEnd w:id="1780"/>
    </w:p>
    <w:p w14:paraId="17750838" w14:textId="10C35F11" w:rsidR="001F04FD" w:rsidRDefault="001F04FD" w:rsidP="001F04FD">
      <w:pPr>
        <w:pStyle w:val="BodyText"/>
        <w:ind w:left="720" w:hanging="720"/>
      </w:pPr>
      <w:r>
        <w:t>(1)</w:t>
      </w:r>
      <w:r>
        <w:tab/>
        <w:t>ERCOT total Adjusted Metered Load (AML) for a 15-minute Settlement Interval is calculated as follows:</w:t>
      </w:r>
    </w:p>
    <w:p w14:paraId="7FC8FA7F" w14:textId="77777777" w:rsidR="001F04FD" w:rsidRDefault="001F04FD" w:rsidP="006B72E9">
      <w:pPr>
        <w:pStyle w:val="FormulaBold"/>
      </w:pPr>
      <w:r>
        <w:lastRenderedPageBreak/>
        <w:t>RTAMLTOT</w:t>
      </w:r>
      <w:r>
        <w:tab/>
        <w:t>=</w:t>
      </w:r>
      <w:r>
        <w:tab/>
      </w:r>
      <w:r w:rsidRPr="006F784F">
        <w:rPr>
          <w:position w:val="-22"/>
        </w:rPr>
        <w:object w:dxaOrig="225" w:dyaOrig="465" w14:anchorId="035F7B09">
          <v:shape id="_x0000_i1089" type="#_x0000_t75" style="width:12pt;height:18pt" o:ole="">
            <v:imagedata r:id="rId90" o:title=""/>
          </v:shape>
          <o:OLEObject Type="Embed" ProgID="Equation.3" ShapeID="_x0000_i1089" DrawAspect="Content" ObjectID="_1804653574" r:id="rId91"/>
        </w:object>
      </w:r>
      <w:r w:rsidR="003C2BD5" w:rsidRPr="00103433">
        <w:rPr>
          <w:bCs w:val="0"/>
        </w:rPr>
        <w:t>(max(0,</w:t>
      </w:r>
      <w:r w:rsidRPr="006F784F">
        <w:rPr>
          <w:position w:val="-22"/>
        </w:rPr>
        <w:object w:dxaOrig="225" w:dyaOrig="465" w14:anchorId="00FFCCFC">
          <v:shape id="_x0000_i1090" type="#_x0000_t75" style="width:12pt;height:18pt" o:ole="">
            <v:imagedata r:id="rId92" o:title=""/>
          </v:shape>
          <o:OLEObject Type="Embed" ProgID="Equation.3" ShapeID="_x0000_i1090" DrawAspect="Content" ObjectID="_1804653575" r:id="rId93"/>
        </w:object>
      </w:r>
      <w:r>
        <w:t xml:space="preserve">RTAML </w:t>
      </w:r>
      <w:r>
        <w:rPr>
          <w:i/>
          <w:vertAlign w:val="subscript"/>
        </w:rPr>
        <w:t>q, p</w:t>
      </w:r>
      <w:r w:rsidR="003C2BD5" w:rsidRPr="00103433">
        <w:rPr>
          <w:bCs w:val="0"/>
        </w:rPr>
        <w:t>))</w:t>
      </w:r>
    </w:p>
    <w:p w14:paraId="5C3ED624" w14:textId="77777777" w:rsidR="001F04FD" w:rsidRDefault="001F04FD" w:rsidP="001F04FD">
      <w:r>
        <w:t>The above variables are defined as follows:</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42"/>
        <w:gridCol w:w="697"/>
        <w:gridCol w:w="7347"/>
      </w:tblGrid>
      <w:tr w:rsidR="001F04FD" w14:paraId="68008401" w14:textId="77777777" w:rsidTr="00AC4DEE">
        <w:tc>
          <w:tcPr>
            <w:tcW w:w="2042" w:type="dxa"/>
          </w:tcPr>
          <w:p w14:paraId="71AA1497" w14:textId="77777777" w:rsidR="001F04FD" w:rsidRDefault="001F04FD" w:rsidP="00AC4DEE">
            <w:pPr>
              <w:pStyle w:val="TableHead"/>
            </w:pPr>
            <w:r>
              <w:t>Variable</w:t>
            </w:r>
          </w:p>
        </w:tc>
        <w:tc>
          <w:tcPr>
            <w:tcW w:w="0" w:type="auto"/>
          </w:tcPr>
          <w:p w14:paraId="24E4EC2E" w14:textId="77777777" w:rsidR="001F04FD" w:rsidRDefault="001F04FD" w:rsidP="00AC4DEE">
            <w:pPr>
              <w:pStyle w:val="TableHead"/>
            </w:pPr>
            <w:r>
              <w:t>Unit</w:t>
            </w:r>
          </w:p>
        </w:tc>
        <w:tc>
          <w:tcPr>
            <w:tcW w:w="0" w:type="auto"/>
          </w:tcPr>
          <w:p w14:paraId="7D4555FB" w14:textId="77777777" w:rsidR="001F04FD" w:rsidRDefault="001F04FD" w:rsidP="00AC4DEE">
            <w:pPr>
              <w:pStyle w:val="TableHead"/>
            </w:pPr>
            <w:r>
              <w:t>Description</w:t>
            </w:r>
          </w:p>
        </w:tc>
      </w:tr>
      <w:tr w:rsidR="001F04FD" w14:paraId="7932CB57" w14:textId="77777777" w:rsidTr="00AC4DEE">
        <w:tc>
          <w:tcPr>
            <w:tcW w:w="2042" w:type="dxa"/>
          </w:tcPr>
          <w:p w14:paraId="76D50416" w14:textId="77777777" w:rsidR="001F04FD" w:rsidRDefault="001F04FD" w:rsidP="00AC4DEE">
            <w:pPr>
              <w:pStyle w:val="TableBody"/>
            </w:pPr>
            <w:r>
              <w:t>RTAMLTOT</w:t>
            </w:r>
          </w:p>
        </w:tc>
        <w:tc>
          <w:tcPr>
            <w:tcW w:w="0" w:type="auto"/>
          </w:tcPr>
          <w:p w14:paraId="650AA525" w14:textId="77777777" w:rsidR="001F04FD" w:rsidRDefault="001F04FD" w:rsidP="00AC4DEE">
            <w:pPr>
              <w:pStyle w:val="TableBody"/>
              <w:rPr>
                <w:i/>
              </w:rPr>
            </w:pPr>
            <w:r>
              <w:t>MWh</w:t>
            </w:r>
          </w:p>
        </w:tc>
        <w:tc>
          <w:tcPr>
            <w:tcW w:w="0" w:type="auto"/>
          </w:tcPr>
          <w:p w14:paraId="646E5EAC" w14:textId="77777777" w:rsidR="001F04FD" w:rsidRDefault="001F04FD" w:rsidP="00AC4DEE">
            <w:pPr>
              <w:pStyle w:val="TableBody"/>
            </w:pPr>
            <w:r>
              <w:rPr>
                <w:i/>
              </w:rPr>
              <w:t>Real-Time Adjusted Metered Load Total</w:t>
            </w:r>
            <w:r>
              <w:t>—The total AML in ERCOT, for the 15-minute Settlement Interval.</w:t>
            </w:r>
          </w:p>
        </w:tc>
      </w:tr>
      <w:tr w:rsidR="001F04FD" w14:paraId="66D26512" w14:textId="77777777" w:rsidTr="00AC4DEE">
        <w:tc>
          <w:tcPr>
            <w:tcW w:w="2042" w:type="dxa"/>
          </w:tcPr>
          <w:p w14:paraId="2CAFC729" w14:textId="77777777" w:rsidR="001F04FD" w:rsidRDefault="001F04FD" w:rsidP="00AC4DEE">
            <w:pPr>
              <w:pStyle w:val="TableBody"/>
            </w:pPr>
            <w:r>
              <w:t xml:space="preserve">RTAML </w:t>
            </w:r>
            <w:r w:rsidRPr="00107CC2">
              <w:rPr>
                <w:i/>
                <w:vertAlign w:val="subscript"/>
              </w:rPr>
              <w:t>q, p</w:t>
            </w:r>
          </w:p>
        </w:tc>
        <w:tc>
          <w:tcPr>
            <w:tcW w:w="0" w:type="auto"/>
          </w:tcPr>
          <w:p w14:paraId="6E7841CA" w14:textId="77777777" w:rsidR="001F04FD" w:rsidRDefault="001F04FD" w:rsidP="00AC4DEE">
            <w:pPr>
              <w:pStyle w:val="TableBody"/>
            </w:pPr>
            <w:r>
              <w:t>MWh</w:t>
            </w:r>
          </w:p>
        </w:tc>
        <w:tc>
          <w:tcPr>
            <w:tcW w:w="0" w:type="auto"/>
          </w:tcPr>
          <w:p w14:paraId="1680D0AE" w14:textId="088C9759" w:rsidR="001F04FD" w:rsidRDefault="001F04FD" w:rsidP="00AC4DEE">
            <w:pPr>
              <w:pStyle w:val="TableBody"/>
            </w:pPr>
            <w:r>
              <w:rPr>
                <w:i/>
              </w:rPr>
              <w:t xml:space="preserve">Real-Time Adjusted Metered Load per </w:t>
            </w:r>
            <w:r w:rsidR="001335E7">
              <w:rPr>
                <w:i/>
              </w:rPr>
              <w:t>Qualified Scheduling Entity (</w:t>
            </w:r>
            <w:r>
              <w:rPr>
                <w:i/>
              </w:rPr>
              <w:t>QSE</w:t>
            </w:r>
            <w:r w:rsidR="001335E7">
              <w:rPr>
                <w:i/>
              </w:rPr>
              <w:t>)</w:t>
            </w:r>
            <w:r>
              <w:rPr>
                <w:i/>
              </w:rPr>
              <w:t xml:space="preserve"> per Settlement Point</w:t>
            </w:r>
            <w:r>
              <w:t xml:space="preserve">—The sum of the AML at the Electrical Buses that are included in Settlement Point </w:t>
            </w:r>
            <w:r>
              <w:rPr>
                <w:i/>
              </w:rPr>
              <w:t>p</w:t>
            </w:r>
            <w:r>
              <w:t xml:space="preserve">, represented by </w:t>
            </w:r>
            <w:r w:rsidR="00F510E2">
              <w:t>Qualified Scheduling Entity (</w:t>
            </w:r>
            <w:r>
              <w:t>QSE</w:t>
            </w:r>
            <w:r w:rsidR="00F510E2">
              <w:t>)</w:t>
            </w:r>
            <w:r>
              <w:t xml:space="preserve"> </w:t>
            </w:r>
            <w:r>
              <w:rPr>
                <w:i/>
              </w:rPr>
              <w:t>q</w:t>
            </w:r>
            <w:r>
              <w:t>, for the 15-minute Settlement Interval.</w:t>
            </w:r>
          </w:p>
        </w:tc>
      </w:tr>
      <w:tr w:rsidR="001F04FD" w14:paraId="598F6B3B" w14:textId="77777777" w:rsidTr="00AC4DEE">
        <w:tc>
          <w:tcPr>
            <w:tcW w:w="2042" w:type="dxa"/>
          </w:tcPr>
          <w:p w14:paraId="307C56C8" w14:textId="77777777" w:rsidR="001F04FD" w:rsidRPr="001355C5" w:rsidRDefault="001F04FD" w:rsidP="00AC4DEE">
            <w:pPr>
              <w:pStyle w:val="TableBody"/>
              <w:rPr>
                <w:i/>
              </w:rPr>
            </w:pPr>
            <w:r w:rsidRPr="00A61E91">
              <w:rPr>
                <w:i/>
              </w:rPr>
              <w:t>q</w:t>
            </w:r>
          </w:p>
        </w:tc>
        <w:tc>
          <w:tcPr>
            <w:tcW w:w="0" w:type="auto"/>
          </w:tcPr>
          <w:p w14:paraId="2D19F812" w14:textId="77777777" w:rsidR="001F04FD" w:rsidRDefault="001F04FD" w:rsidP="00AC4DEE">
            <w:pPr>
              <w:pStyle w:val="TableBody"/>
            </w:pPr>
            <w:r>
              <w:t>none</w:t>
            </w:r>
          </w:p>
        </w:tc>
        <w:tc>
          <w:tcPr>
            <w:tcW w:w="0" w:type="auto"/>
          </w:tcPr>
          <w:p w14:paraId="584E93F8" w14:textId="77777777" w:rsidR="001F04FD" w:rsidRDefault="001F04FD" w:rsidP="00AC4DEE">
            <w:pPr>
              <w:pStyle w:val="TableBody"/>
            </w:pPr>
            <w:r>
              <w:t>A QSE.  The summation is over all of the QSEs with metered readings in that interval.</w:t>
            </w:r>
          </w:p>
        </w:tc>
      </w:tr>
      <w:tr w:rsidR="001F04FD" w14:paraId="4A57022A" w14:textId="77777777" w:rsidTr="00AC4DEE">
        <w:tc>
          <w:tcPr>
            <w:tcW w:w="2042" w:type="dxa"/>
          </w:tcPr>
          <w:p w14:paraId="6E11A3FA" w14:textId="77777777" w:rsidR="001F04FD" w:rsidRPr="001355C5" w:rsidRDefault="001F04FD" w:rsidP="00AC4DEE">
            <w:pPr>
              <w:pStyle w:val="TableBody"/>
              <w:rPr>
                <w:i/>
              </w:rPr>
            </w:pPr>
            <w:r w:rsidRPr="00A61E91">
              <w:rPr>
                <w:i/>
              </w:rPr>
              <w:t>p</w:t>
            </w:r>
          </w:p>
        </w:tc>
        <w:tc>
          <w:tcPr>
            <w:tcW w:w="0" w:type="auto"/>
          </w:tcPr>
          <w:p w14:paraId="35CC9D17" w14:textId="77777777" w:rsidR="001F04FD" w:rsidRDefault="001F04FD" w:rsidP="00AC4DEE">
            <w:pPr>
              <w:pStyle w:val="TableBody"/>
            </w:pPr>
            <w:r>
              <w:t>none</w:t>
            </w:r>
          </w:p>
        </w:tc>
        <w:tc>
          <w:tcPr>
            <w:tcW w:w="0" w:type="auto"/>
          </w:tcPr>
          <w:p w14:paraId="05B34B28" w14:textId="77777777" w:rsidR="001F04FD" w:rsidRDefault="001F04FD" w:rsidP="00AC4DEE">
            <w:pPr>
              <w:pStyle w:val="TableBody"/>
            </w:pPr>
            <w:r>
              <w:t>A Settlement Point.  The summation is over all of the Settlement Points.</w:t>
            </w:r>
          </w:p>
        </w:tc>
      </w:tr>
    </w:tbl>
    <w:p w14:paraId="06FAEDC9" w14:textId="77777777" w:rsidR="001F04FD" w:rsidRDefault="001F04FD" w:rsidP="00BB44BE">
      <w:pPr>
        <w:pStyle w:val="H4"/>
        <w:spacing w:before="480"/>
      </w:pPr>
      <w:bookmarkStart w:id="1781" w:name="_Toc103653336"/>
      <w:bookmarkStart w:id="1782" w:name="_Toc109009386"/>
      <w:bookmarkStart w:id="1783" w:name="_Toc397505010"/>
      <w:bookmarkStart w:id="1784" w:name="_Toc402357138"/>
      <w:bookmarkStart w:id="1785" w:name="_Toc422486516"/>
      <w:bookmarkStart w:id="1786" w:name="_Toc433093368"/>
      <w:bookmarkStart w:id="1787" w:name="_Toc433093526"/>
      <w:bookmarkStart w:id="1788" w:name="_Toc440874754"/>
      <w:bookmarkStart w:id="1789" w:name="_Toc448142309"/>
      <w:bookmarkStart w:id="1790" w:name="_Toc448142466"/>
      <w:bookmarkStart w:id="1791" w:name="_Toc458770304"/>
      <w:bookmarkStart w:id="1792" w:name="_Toc459294272"/>
      <w:bookmarkStart w:id="1793" w:name="_Toc463262765"/>
      <w:bookmarkStart w:id="1794" w:name="_Toc468286838"/>
      <w:bookmarkStart w:id="1795" w:name="_Toc481502883"/>
      <w:bookmarkStart w:id="1796" w:name="_Toc496080051"/>
      <w:bookmarkStart w:id="1797" w:name="_Toc189044404"/>
      <w:r>
        <w:t>6.6.2.2</w:t>
      </w:r>
      <w:r>
        <w:tab/>
        <w:t>QSE Load Ratio Share for a 15-Minute Settlement Interval</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6380FA67" w14:textId="77777777" w:rsidR="001F04FD" w:rsidRDefault="001F04FD" w:rsidP="001F04FD">
      <w:pPr>
        <w:pStyle w:val="BodyText"/>
        <w:ind w:left="720" w:hanging="720"/>
      </w:pPr>
      <w:r>
        <w:t>(1)</w:t>
      </w:r>
      <w:r>
        <w:tab/>
        <w:t>Each QSE’s Load Ratio Share (LRS) for a 15-minute Settlement Interval is calculated as follows:</w:t>
      </w:r>
    </w:p>
    <w:p w14:paraId="66133F12" w14:textId="77777777" w:rsidR="001F04FD" w:rsidRDefault="001F04FD" w:rsidP="001F04FD">
      <w:pPr>
        <w:pStyle w:val="FormulaBold"/>
      </w:pPr>
      <w:r>
        <w:t>LRS</w:t>
      </w:r>
      <w:r>
        <w:rPr>
          <w:i/>
          <w:vertAlign w:val="subscript"/>
        </w:rPr>
        <w:t xml:space="preserve"> q</w:t>
      </w:r>
      <w:r>
        <w:tab/>
        <w:t>=</w:t>
      </w:r>
      <w:r>
        <w:tab/>
        <w:t>(</w:t>
      </w:r>
      <w:r w:rsidR="003C2BD5" w:rsidRPr="00103433">
        <w:rPr>
          <w:bCs w:val="0"/>
        </w:rPr>
        <w:t>max(0,</w:t>
      </w:r>
      <w:r w:rsidRPr="006F784F">
        <w:rPr>
          <w:position w:val="-22"/>
        </w:rPr>
        <w:object w:dxaOrig="225" w:dyaOrig="465" w14:anchorId="70678250">
          <v:shape id="_x0000_i1091" type="#_x0000_t75" style="width:12pt;height:18pt" o:ole="">
            <v:imagedata r:id="rId92" o:title=""/>
          </v:shape>
          <o:OLEObject Type="Embed" ProgID="Equation.3" ShapeID="_x0000_i1091" DrawAspect="Content" ObjectID="_1804653576" r:id="rId94"/>
        </w:object>
      </w:r>
      <w:r>
        <w:t xml:space="preserve">RTAML </w:t>
      </w:r>
      <w:r>
        <w:rPr>
          <w:i/>
          <w:vertAlign w:val="subscript"/>
        </w:rPr>
        <w:t>q, p</w:t>
      </w:r>
      <w:r>
        <w:t>)</w:t>
      </w:r>
      <w:r w:rsidR="003C2BD5">
        <w:t>)</w:t>
      </w:r>
      <w:r>
        <w:t xml:space="preserve"> / RTAMLTOT</w:t>
      </w:r>
    </w:p>
    <w:p w14:paraId="0B6786D6"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3"/>
        <w:gridCol w:w="697"/>
        <w:gridCol w:w="7080"/>
      </w:tblGrid>
      <w:tr w:rsidR="001F04FD" w14:paraId="5CDD9675" w14:textId="77777777" w:rsidTr="00B039ED">
        <w:tc>
          <w:tcPr>
            <w:tcW w:w="2063" w:type="dxa"/>
          </w:tcPr>
          <w:p w14:paraId="1DAC656F" w14:textId="77777777" w:rsidR="001F04FD" w:rsidRDefault="001F04FD" w:rsidP="00AC4DEE">
            <w:pPr>
              <w:pStyle w:val="TableHead"/>
            </w:pPr>
            <w:r>
              <w:t>Variable</w:t>
            </w:r>
          </w:p>
        </w:tc>
        <w:tc>
          <w:tcPr>
            <w:tcW w:w="0" w:type="auto"/>
          </w:tcPr>
          <w:p w14:paraId="79BC14CF" w14:textId="77777777" w:rsidR="001F04FD" w:rsidRDefault="001F04FD" w:rsidP="00AC4DEE">
            <w:pPr>
              <w:pStyle w:val="TableHead"/>
            </w:pPr>
            <w:r>
              <w:t>Unit</w:t>
            </w:r>
          </w:p>
        </w:tc>
        <w:tc>
          <w:tcPr>
            <w:tcW w:w="0" w:type="auto"/>
          </w:tcPr>
          <w:p w14:paraId="3F773FF6" w14:textId="77777777" w:rsidR="001F04FD" w:rsidRDefault="001F04FD" w:rsidP="00AC4DEE">
            <w:pPr>
              <w:pStyle w:val="TableHead"/>
            </w:pPr>
            <w:r>
              <w:t>Description</w:t>
            </w:r>
          </w:p>
        </w:tc>
      </w:tr>
      <w:tr w:rsidR="001F04FD" w14:paraId="28007685" w14:textId="77777777" w:rsidTr="00B039ED">
        <w:tc>
          <w:tcPr>
            <w:tcW w:w="2063" w:type="dxa"/>
          </w:tcPr>
          <w:p w14:paraId="3BE1FB65" w14:textId="77777777" w:rsidR="001F04FD" w:rsidRDefault="001F04FD" w:rsidP="00AC4DEE">
            <w:pPr>
              <w:pStyle w:val="TableBody"/>
            </w:pPr>
            <w:r>
              <w:t>LRS</w:t>
            </w:r>
            <w:r>
              <w:rPr>
                <w:i/>
                <w:vertAlign w:val="subscript"/>
              </w:rPr>
              <w:t xml:space="preserve"> q</w:t>
            </w:r>
          </w:p>
        </w:tc>
        <w:tc>
          <w:tcPr>
            <w:tcW w:w="0" w:type="auto"/>
          </w:tcPr>
          <w:p w14:paraId="677612F4" w14:textId="77777777" w:rsidR="001F04FD" w:rsidRDefault="001F04FD" w:rsidP="00AC4DEE">
            <w:pPr>
              <w:pStyle w:val="TableBody"/>
            </w:pPr>
            <w:r>
              <w:t>none</w:t>
            </w:r>
          </w:p>
        </w:tc>
        <w:tc>
          <w:tcPr>
            <w:tcW w:w="0" w:type="auto"/>
          </w:tcPr>
          <w:p w14:paraId="37C1FC7F" w14:textId="77777777" w:rsidR="001F04FD" w:rsidRDefault="001F04FD" w:rsidP="00AC4DEE">
            <w:pPr>
              <w:pStyle w:val="TableBody"/>
              <w:rPr>
                <w:i/>
              </w:rPr>
            </w:pPr>
            <w:r>
              <w:rPr>
                <w:i/>
              </w:rPr>
              <w:t>Load Ratio Share per QSE</w:t>
            </w:r>
            <w:r>
              <w:t xml:space="preserve">—The LRS as defined in Section 2, Definitions and Acronyms, for QSE </w:t>
            </w:r>
            <w:r>
              <w:rPr>
                <w:i/>
              </w:rPr>
              <w:t>q</w:t>
            </w:r>
            <w:r>
              <w:t xml:space="preserve">, for the 15-minute Settlement Interval. </w:t>
            </w:r>
          </w:p>
        </w:tc>
      </w:tr>
      <w:tr w:rsidR="001F04FD" w14:paraId="14CD95DE" w14:textId="77777777" w:rsidTr="00B039ED">
        <w:tc>
          <w:tcPr>
            <w:tcW w:w="2063" w:type="dxa"/>
          </w:tcPr>
          <w:p w14:paraId="34CF92C0" w14:textId="77777777" w:rsidR="001F04FD" w:rsidRDefault="001F04FD" w:rsidP="00AC4DEE">
            <w:pPr>
              <w:pStyle w:val="TableBody"/>
            </w:pPr>
            <w:r>
              <w:t xml:space="preserve">RTAML </w:t>
            </w:r>
            <w:r w:rsidRPr="00107CC2">
              <w:rPr>
                <w:i/>
                <w:vertAlign w:val="subscript"/>
              </w:rPr>
              <w:t>q, p</w:t>
            </w:r>
          </w:p>
        </w:tc>
        <w:tc>
          <w:tcPr>
            <w:tcW w:w="0" w:type="auto"/>
          </w:tcPr>
          <w:p w14:paraId="1A3D9FB3" w14:textId="77777777" w:rsidR="001F04FD" w:rsidRDefault="001F04FD" w:rsidP="00AC4DEE">
            <w:pPr>
              <w:pStyle w:val="TableBody"/>
              <w:rPr>
                <w:i/>
              </w:rPr>
            </w:pPr>
            <w:r>
              <w:t>MWh</w:t>
            </w:r>
          </w:p>
        </w:tc>
        <w:tc>
          <w:tcPr>
            <w:tcW w:w="0" w:type="auto"/>
          </w:tcPr>
          <w:p w14:paraId="49246899" w14:textId="77777777" w:rsidR="001F04FD" w:rsidRDefault="001F04FD" w:rsidP="00E91BBF">
            <w:pPr>
              <w:pStyle w:val="TableBody"/>
            </w:pPr>
            <w:r>
              <w:rPr>
                <w:i/>
              </w:rPr>
              <w:t>Real-Time Adjusted Metered Load per Settlement Point per QSE</w:t>
            </w:r>
            <w:r>
              <w:t xml:space="preserve">—The sum of the </w:t>
            </w:r>
            <w:r w:rsidR="00E91BBF">
              <w:t>AML</w:t>
            </w:r>
            <w:r>
              <w:t xml:space="preserve"> at the Electrical Buses that are included in Settlement Point </w:t>
            </w:r>
            <w:r>
              <w:rPr>
                <w:i/>
              </w:rPr>
              <w:t>p</w:t>
            </w:r>
            <w:r>
              <w:t xml:space="preserve">, represented by QSE </w:t>
            </w:r>
            <w:r>
              <w:rPr>
                <w:i/>
              </w:rPr>
              <w:t>q</w:t>
            </w:r>
            <w:r>
              <w:t>, for the 15-minute Settlement Interval.</w:t>
            </w:r>
          </w:p>
        </w:tc>
      </w:tr>
      <w:tr w:rsidR="001F04FD" w14:paraId="4E63339A" w14:textId="77777777" w:rsidTr="00B039ED">
        <w:tc>
          <w:tcPr>
            <w:tcW w:w="2063" w:type="dxa"/>
          </w:tcPr>
          <w:p w14:paraId="2DFB28C9" w14:textId="77777777" w:rsidR="001F04FD" w:rsidRDefault="001F04FD" w:rsidP="00AC4DEE">
            <w:pPr>
              <w:pStyle w:val="TableBody"/>
            </w:pPr>
            <w:r>
              <w:t>RTAMLTOT</w:t>
            </w:r>
          </w:p>
        </w:tc>
        <w:tc>
          <w:tcPr>
            <w:tcW w:w="0" w:type="auto"/>
          </w:tcPr>
          <w:p w14:paraId="17587745" w14:textId="77777777" w:rsidR="001F04FD" w:rsidRDefault="001F04FD" w:rsidP="00AC4DEE">
            <w:pPr>
              <w:pStyle w:val="TableBody"/>
              <w:rPr>
                <w:i/>
              </w:rPr>
            </w:pPr>
            <w:r>
              <w:t>MWh</w:t>
            </w:r>
          </w:p>
        </w:tc>
        <w:tc>
          <w:tcPr>
            <w:tcW w:w="0" w:type="auto"/>
          </w:tcPr>
          <w:p w14:paraId="37E45A26" w14:textId="77777777" w:rsidR="001F04FD" w:rsidRDefault="001F04FD" w:rsidP="00E91BBF">
            <w:pPr>
              <w:pStyle w:val="TableBody"/>
            </w:pPr>
            <w:r>
              <w:rPr>
                <w:i/>
              </w:rPr>
              <w:t>Real-Time Adjusted Metered Load Total</w:t>
            </w:r>
            <w:r>
              <w:t xml:space="preserve">—The total </w:t>
            </w:r>
            <w:r w:rsidR="00E91BBF">
              <w:t>AML</w:t>
            </w:r>
            <w:r>
              <w:t xml:space="preserve"> in ERCOT, for the 15-minute Settlement Interval.</w:t>
            </w:r>
          </w:p>
        </w:tc>
      </w:tr>
      <w:tr w:rsidR="009F62BA" w14:paraId="4C900C50" w14:textId="77777777" w:rsidTr="00B039ED">
        <w:tc>
          <w:tcPr>
            <w:tcW w:w="2063" w:type="dxa"/>
          </w:tcPr>
          <w:p w14:paraId="39CA26D4" w14:textId="7DDC018A" w:rsidR="009F62BA" w:rsidRDefault="009F62BA" w:rsidP="009F62BA">
            <w:pPr>
              <w:pStyle w:val="TableBody"/>
            </w:pPr>
            <w:r>
              <w:rPr>
                <w:i/>
              </w:rPr>
              <w:t>q</w:t>
            </w:r>
          </w:p>
        </w:tc>
        <w:tc>
          <w:tcPr>
            <w:tcW w:w="0" w:type="auto"/>
          </w:tcPr>
          <w:p w14:paraId="1B405C13" w14:textId="7C3416A5" w:rsidR="009F62BA" w:rsidRDefault="009F62BA" w:rsidP="009F62BA">
            <w:pPr>
              <w:pStyle w:val="TableBody"/>
            </w:pPr>
            <w:r>
              <w:t>none</w:t>
            </w:r>
          </w:p>
        </w:tc>
        <w:tc>
          <w:tcPr>
            <w:tcW w:w="0" w:type="auto"/>
          </w:tcPr>
          <w:p w14:paraId="0F18FC34" w14:textId="7555C088" w:rsidR="009F62BA" w:rsidRDefault="009F62BA" w:rsidP="009F62BA">
            <w:pPr>
              <w:pStyle w:val="TableBody"/>
              <w:rPr>
                <w:i/>
              </w:rPr>
            </w:pPr>
            <w:r>
              <w:t>A QSE.</w:t>
            </w:r>
          </w:p>
        </w:tc>
      </w:tr>
      <w:tr w:rsidR="001F04FD" w14:paraId="141649F6" w14:textId="77777777" w:rsidTr="00B039ED">
        <w:tc>
          <w:tcPr>
            <w:tcW w:w="2063" w:type="dxa"/>
          </w:tcPr>
          <w:p w14:paraId="4EBF85F1" w14:textId="77777777" w:rsidR="001F04FD" w:rsidRPr="00476A8D" w:rsidRDefault="001F04FD" w:rsidP="00AC4DEE">
            <w:pPr>
              <w:pStyle w:val="TableBody"/>
              <w:rPr>
                <w:i/>
              </w:rPr>
            </w:pPr>
            <w:r w:rsidRPr="00A61E91">
              <w:rPr>
                <w:i/>
              </w:rPr>
              <w:t>p</w:t>
            </w:r>
          </w:p>
        </w:tc>
        <w:tc>
          <w:tcPr>
            <w:tcW w:w="0" w:type="auto"/>
          </w:tcPr>
          <w:p w14:paraId="24825714" w14:textId="77777777" w:rsidR="001F04FD" w:rsidRDefault="001F04FD" w:rsidP="00AC4DEE">
            <w:pPr>
              <w:pStyle w:val="TableBody"/>
            </w:pPr>
            <w:r>
              <w:t>none</w:t>
            </w:r>
          </w:p>
        </w:tc>
        <w:tc>
          <w:tcPr>
            <w:tcW w:w="0" w:type="auto"/>
          </w:tcPr>
          <w:p w14:paraId="37535CA7" w14:textId="77777777" w:rsidR="001F04FD" w:rsidRDefault="001F04FD" w:rsidP="00AC4DEE">
            <w:pPr>
              <w:pStyle w:val="TableBody"/>
            </w:pPr>
            <w:r>
              <w:t>A Settlement Point.  The summation is over all of the Settlement Points.</w:t>
            </w:r>
          </w:p>
        </w:tc>
      </w:tr>
    </w:tbl>
    <w:p w14:paraId="1BBEB590" w14:textId="77777777" w:rsidR="00222B2B" w:rsidRDefault="00222B2B" w:rsidP="00222B2B">
      <w:pPr>
        <w:keepNext/>
        <w:widowControl w:val="0"/>
        <w:tabs>
          <w:tab w:val="left" w:pos="1260"/>
        </w:tabs>
        <w:ind w:left="1260" w:hanging="1260"/>
        <w:outlineLvl w:val="3"/>
        <w:rPr>
          <w:b/>
          <w:bCs/>
          <w:snapToGrid w:val="0"/>
        </w:rPr>
      </w:pPr>
      <w:bookmarkStart w:id="1798" w:name="_Toc481502884"/>
      <w:bookmarkStart w:id="1799" w:name="_Toc496080052"/>
      <w:bookmarkStart w:id="1800" w:name="_Toc103653337"/>
      <w:bookmarkStart w:id="1801" w:name="_Toc109009387"/>
      <w:bookmarkStart w:id="1802" w:name="_Toc397505011"/>
      <w:bookmarkStart w:id="1803" w:name="_Toc402357139"/>
      <w:bookmarkStart w:id="1804" w:name="_Toc422486517"/>
      <w:bookmarkStart w:id="1805" w:name="_Toc433093369"/>
      <w:bookmarkStart w:id="1806" w:name="_Toc433093527"/>
      <w:bookmarkStart w:id="1807" w:name="_Toc440874755"/>
      <w:bookmarkStart w:id="1808" w:name="_Toc448142310"/>
      <w:bookmarkStart w:id="1809" w:name="_Toc44814246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22B2B" w14:paraId="6939547A" w14:textId="77777777" w:rsidTr="00316CC9">
        <w:trPr>
          <w:trHeight w:val="206"/>
        </w:trPr>
        <w:tc>
          <w:tcPr>
            <w:tcW w:w="9576" w:type="dxa"/>
            <w:shd w:val="pct12" w:color="auto" w:fill="auto"/>
          </w:tcPr>
          <w:p w14:paraId="5662DC74" w14:textId="3C9CA742" w:rsidR="00222B2B" w:rsidRDefault="00222B2B" w:rsidP="00316CC9">
            <w:pPr>
              <w:pStyle w:val="Instructions"/>
              <w:spacing w:before="120"/>
            </w:pPr>
            <w:r>
              <w:t>[NPRR1030:  Insert paragraphs (2)-(4) below upon system implementation:]</w:t>
            </w:r>
          </w:p>
          <w:p w14:paraId="2657FB0B" w14:textId="77777777" w:rsidR="00222B2B" w:rsidRPr="00E7254B" w:rsidRDefault="00222B2B" w:rsidP="00850957">
            <w:pPr>
              <w:pStyle w:val="BodyText"/>
              <w:ind w:left="720" w:hanging="720"/>
              <w:rPr>
                <w:bCs/>
                <w:snapToGrid w:val="0"/>
              </w:rPr>
            </w:pPr>
            <w:bookmarkStart w:id="1810" w:name="_Toc60040665"/>
            <w:r w:rsidRPr="00E7254B">
              <w:rPr>
                <w:bCs/>
                <w:snapToGrid w:val="0"/>
              </w:rPr>
              <w:t>(2)</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w:t>
            </w:r>
            <w:r w:rsidRPr="00E7254B">
              <w:rPr>
                <w:bCs/>
                <w:snapToGrid w:val="0"/>
              </w:rPr>
              <w:t xml:space="preserve"> </w:t>
            </w:r>
            <w:r w:rsidRPr="00850957">
              <w:t>excluding</w:t>
            </w:r>
            <w:r w:rsidRPr="00E7254B">
              <w:rPr>
                <w:bCs/>
                <w:snapToGrid w:val="0"/>
              </w:rPr>
              <w:t xml:space="preserve"> DC Tie exports </w:t>
            </w:r>
            <w:r>
              <w:rPr>
                <w:bCs/>
                <w:snapToGrid w:val="0"/>
              </w:rPr>
              <w:t xml:space="preserve">included in RTAML, </w:t>
            </w:r>
            <w:r w:rsidRPr="00E7254B">
              <w:rPr>
                <w:bCs/>
                <w:snapToGrid w:val="0"/>
              </w:rPr>
              <w:t>for ERCOT’s peak</w:t>
            </w:r>
            <w:r>
              <w:rPr>
                <w:bCs/>
                <w:snapToGrid w:val="0"/>
              </w:rPr>
              <w:t xml:space="preserve"> Load</w:t>
            </w:r>
            <w:r w:rsidRPr="00E7254B">
              <w:rPr>
                <w:bCs/>
                <w:snapToGrid w:val="0"/>
              </w:rPr>
              <w:t xml:space="preserve"> 15-minute Settlement In</w:t>
            </w:r>
            <w:r>
              <w:rPr>
                <w:bCs/>
                <w:snapToGrid w:val="0"/>
              </w:rPr>
              <w:t>terval</w:t>
            </w:r>
            <w:r w:rsidRPr="00E7254B">
              <w:rPr>
                <w:bCs/>
                <w:snapToGrid w:val="0"/>
              </w:rPr>
              <w:t xml:space="preserve"> </w:t>
            </w:r>
            <w:r>
              <w:rPr>
                <w:bCs/>
                <w:snapToGrid w:val="0"/>
              </w:rPr>
              <w:t xml:space="preserve">in the calendar month </w:t>
            </w:r>
            <w:r w:rsidRPr="00E7254B">
              <w:rPr>
                <w:bCs/>
                <w:snapToGrid w:val="0"/>
              </w:rPr>
              <w:t>is calculated as follows:</w:t>
            </w:r>
            <w:bookmarkEnd w:id="1810"/>
            <w:r w:rsidRPr="00E7254B">
              <w:rPr>
                <w:bCs/>
                <w:snapToGrid w:val="0"/>
              </w:rPr>
              <w:t xml:space="preserve"> </w:t>
            </w:r>
          </w:p>
          <w:p w14:paraId="18468D0C" w14:textId="77777777" w:rsidR="00222B2B" w:rsidRDefault="00222B2B" w:rsidP="00222B2B">
            <w:pPr>
              <w:pStyle w:val="FormulaBold"/>
            </w:pPr>
            <w:r>
              <w:t>MLRS</w:t>
            </w:r>
            <w:r>
              <w:rPr>
                <w:i/>
                <w:vertAlign w:val="subscript"/>
              </w:rPr>
              <w:t xml:space="preserve"> q</w:t>
            </w:r>
            <w:r>
              <w:tab/>
              <w:t>=</w:t>
            </w:r>
            <w:r>
              <w:tab/>
            </w:r>
            <w:r w:rsidRPr="00103433">
              <w:t>max(0,</w:t>
            </w:r>
            <w:r w:rsidRPr="006F784F">
              <w:rPr>
                <w:position w:val="-22"/>
              </w:rPr>
              <w:object w:dxaOrig="225" w:dyaOrig="465" w14:anchorId="44DB08E5">
                <v:shape id="_x0000_i1092" type="#_x0000_t75" style="width:12pt;height:18pt" o:ole="">
                  <v:imagedata r:id="rId92" o:title=""/>
                </v:shape>
                <o:OLEObject Type="Embed" ProgID="Equation.3" ShapeID="_x0000_i1092" DrawAspect="Content" ObjectID="_1804653577" r:id="rId95"/>
              </w:object>
            </w:r>
            <w:r>
              <w:t xml:space="preserve">(RTAML </w:t>
            </w:r>
            <w:r>
              <w:rPr>
                <w:i/>
                <w:vertAlign w:val="subscript"/>
              </w:rPr>
              <w:t xml:space="preserve">q, p </w:t>
            </w:r>
            <w:r w:rsidRPr="00A468E1">
              <w:rPr>
                <w:rFonts w:ascii="Times New Roman Bold" w:hAnsi="Times New Roman Bold"/>
                <w:i/>
              </w:rPr>
              <w:t xml:space="preserve">- </w:t>
            </w:r>
            <w:r>
              <w:t>RTAMLDC</w:t>
            </w:r>
            <w:r>
              <w:rPr>
                <w:lang w:val="sv-SE"/>
              </w:rPr>
              <w:t xml:space="preserve"> </w:t>
            </w:r>
            <w:r>
              <w:rPr>
                <w:i/>
                <w:vertAlign w:val="subscript"/>
              </w:rPr>
              <w:t>q, p</w:t>
            </w:r>
            <w:r>
              <w:t xml:space="preserve">)) / (RTAMLTOT - </w:t>
            </w:r>
            <w:r w:rsidRPr="00FC2DA7">
              <w:rPr>
                <w:position w:val="-22"/>
              </w:rPr>
              <w:object w:dxaOrig="225" w:dyaOrig="465" w14:anchorId="21F1259D">
                <v:shape id="_x0000_i1093" type="#_x0000_t75" style="width:12pt;height:18pt" o:ole="">
                  <v:imagedata r:id="rId96" o:title=""/>
                </v:shape>
                <o:OLEObject Type="Embed" ProgID="Equation.3" ShapeID="_x0000_i1093" DrawAspect="Content" ObjectID="_1804653578" r:id="rId97"/>
              </w:object>
            </w:r>
            <w:r w:rsidRPr="006F784F">
              <w:rPr>
                <w:position w:val="-22"/>
              </w:rPr>
              <w:object w:dxaOrig="225" w:dyaOrig="465" w14:anchorId="3B3CCB82">
                <v:shape id="_x0000_i1094" type="#_x0000_t75" style="width:12pt;height:18pt" o:ole="">
                  <v:imagedata r:id="rId98" o:title=""/>
                </v:shape>
                <o:OLEObject Type="Embed" ProgID="Equation.3" ShapeID="_x0000_i1094" DrawAspect="Content" ObjectID="_1804653579" r:id="rId99"/>
              </w:object>
            </w:r>
            <w:r w:rsidRPr="009910B0">
              <w:t xml:space="preserve"> </w:t>
            </w:r>
            <w:r>
              <w:t>RTAMLDC</w:t>
            </w:r>
            <w:r>
              <w:rPr>
                <w:lang w:val="sv-SE"/>
              </w:rPr>
              <w:t xml:space="preserve"> </w:t>
            </w:r>
            <w:r>
              <w:rPr>
                <w:i/>
                <w:vertAlign w:val="subscript"/>
              </w:rPr>
              <w:t>q, p</w:t>
            </w:r>
            <w:r>
              <w:t xml:space="preserve">) </w:t>
            </w:r>
          </w:p>
          <w:p w14:paraId="659DB3BD"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26"/>
              <w:gridCol w:w="697"/>
              <w:gridCol w:w="7117"/>
            </w:tblGrid>
            <w:tr w:rsidR="00222B2B" w14:paraId="4AC7E1CD" w14:textId="77777777" w:rsidTr="00316CC9">
              <w:tc>
                <w:tcPr>
                  <w:tcW w:w="2026" w:type="dxa"/>
                </w:tcPr>
                <w:p w14:paraId="7A422AB4" w14:textId="77777777" w:rsidR="00222B2B" w:rsidRDefault="00222B2B" w:rsidP="00222B2B">
                  <w:pPr>
                    <w:pStyle w:val="TableHead"/>
                  </w:pPr>
                  <w:r>
                    <w:t>Variable</w:t>
                  </w:r>
                </w:p>
              </w:tc>
              <w:tc>
                <w:tcPr>
                  <w:tcW w:w="0" w:type="auto"/>
                </w:tcPr>
                <w:p w14:paraId="576D4628" w14:textId="77777777" w:rsidR="00222B2B" w:rsidRDefault="00222B2B" w:rsidP="00222B2B">
                  <w:pPr>
                    <w:pStyle w:val="TableHead"/>
                  </w:pPr>
                  <w:r>
                    <w:t>Unit</w:t>
                  </w:r>
                </w:p>
              </w:tc>
              <w:tc>
                <w:tcPr>
                  <w:tcW w:w="0" w:type="auto"/>
                </w:tcPr>
                <w:p w14:paraId="162955A9" w14:textId="77777777" w:rsidR="00222B2B" w:rsidRDefault="00222B2B" w:rsidP="00222B2B">
                  <w:pPr>
                    <w:pStyle w:val="TableHead"/>
                  </w:pPr>
                  <w:r>
                    <w:t>Description</w:t>
                  </w:r>
                </w:p>
              </w:tc>
            </w:tr>
            <w:tr w:rsidR="00222B2B" w14:paraId="564F2FDE" w14:textId="77777777" w:rsidTr="00316CC9">
              <w:tc>
                <w:tcPr>
                  <w:tcW w:w="2026" w:type="dxa"/>
                </w:tcPr>
                <w:p w14:paraId="712E5228" w14:textId="77777777" w:rsidR="00222B2B" w:rsidRDefault="00222B2B" w:rsidP="00222B2B">
                  <w:pPr>
                    <w:pStyle w:val="TableBody"/>
                  </w:pPr>
                  <w:r>
                    <w:lastRenderedPageBreak/>
                    <w:t>MLRS</w:t>
                  </w:r>
                  <w:r>
                    <w:rPr>
                      <w:i/>
                      <w:vertAlign w:val="subscript"/>
                    </w:rPr>
                    <w:t xml:space="preserve"> q</w:t>
                  </w:r>
                </w:p>
              </w:tc>
              <w:tc>
                <w:tcPr>
                  <w:tcW w:w="0" w:type="auto"/>
                </w:tcPr>
                <w:p w14:paraId="1912BCD3" w14:textId="77777777" w:rsidR="00222B2B" w:rsidRDefault="00222B2B" w:rsidP="00222B2B">
                  <w:pPr>
                    <w:pStyle w:val="TableBody"/>
                  </w:pPr>
                  <w:r>
                    <w:t>none</w:t>
                  </w:r>
                </w:p>
              </w:tc>
              <w:tc>
                <w:tcPr>
                  <w:tcW w:w="0" w:type="auto"/>
                </w:tcPr>
                <w:p w14:paraId="7EE29A87" w14:textId="77777777" w:rsidR="00222B2B" w:rsidRDefault="00222B2B" w:rsidP="00222B2B">
                  <w:pPr>
                    <w:pStyle w:val="TableBody"/>
                    <w:rPr>
                      <w:i/>
                    </w:rPr>
                  </w:pPr>
                  <w:r>
                    <w:rPr>
                      <w:i/>
                    </w:rPr>
                    <w:t>Monthly Load Ratio Share per QSE</w:t>
                  </w:r>
                  <w:r>
                    <w:t xml:space="preserve">—The ratio share of Loads excluding DC Tie Exports for QSE </w:t>
                  </w:r>
                  <w:r>
                    <w:rPr>
                      <w:i/>
                    </w:rPr>
                    <w:t>q</w:t>
                  </w:r>
                  <w:r>
                    <w:t xml:space="preserve">, for the peak Load 15-minute Settlement Interval. </w:t>
                  </w:r>
                </w:p>
              </w:tc>
            </w:tr>
            <w:tr w:rsidR="00222B2B" w14:paraId="1022AA74" w14:textId="77777777" w:rsidTr="00316CC9">
              <w:tc>
                <w:tcPr>
                  <w:tcW w:w="2026" w:type="dxa"/>
                </w:tcPr>
                <w:p w14:paraId="36EC372F" w14:textId="77777777" w:rsidR="00222B2B" w:rsidRDefault="00222B2B" w:rsidP="00222B2B">
                  <w:pPr>
                    <w:pStyle w:val="TableBody"/>
                  </w:pPr>
                  <w:r>
                    <w:t xml:space="preserve">RTAML </w:t>
                  </w:r>
                  <w:r w:rsidRPr="00107CC2">
                    <w:rPr>
                      <w:i/>
                      <w:vertAlign w:val="subscript"/>
                    </w:rPr>
                    <w:t>q, p</w:t>
                  </w:r>
                </w:p>
              </w:tc>
              <w:tc>
                <w:tcPr>
                  <w:tcW w:w="0" w:type="auto"/>
                </w:tcPr>
                <w:p w14:paraId="1F0DD041" w14:textId="77777777" w:rsidR="00222B2B" w:rsidRDefault="00222B2B" w:rsidP="00222B2B">
                  <w:pPr>
                    <w:pStyle w:val="TableBody"/>
                    <w:rPr>
                      <w:i/>
                    </w:rPr>
                  </w:pPr>
                  <w:r>
                    <w:t>MWh</w:t>
                  </w:r>
                </w:p>
              </w:tc>
              <w:tc>
                <w:tcPr>
                  <w:tcW w:w="0" w:type="auto"/>
                </w:tcPr>
                <w:p w14:paraId="6FFB20B5"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4ABD25D1" w14:textId="77777777" w:rsidTr="00316CC9">
              <w:tc>
                <w:tcPr>
                  <w:tcW w:w="2026" w:type="dxa"/>
                </w:tcPr>
                <w:p w14:paraId="1CF1F0CB" w14:textId="77777777" w:rsidR="00222B2B" w:rsidRDefault="00222B2B" w:rsidP="00222B2B">
                  <w:pPr>
                    <w:pStyle w:val="TableBody"/>
                  </w:pPr>
                  <w:r>
                    <w:rPr>
                      <w:lang w:val="sv-SE"/>
                    </w:rPr>
                    <w:t xml:space="preserve">RTAMLDC </w:t>
                  </w:r>
                  <w:r>
                    <w:rPr>
                      <w:i/>
                      <w:vertAlign w:val="subscript"/>
                      <w:lang w:val="sv-SE"/>
                    </w:rPr>
                    <w:t>q,p</w:t>
                  </w:r>
                </w:p>
              </w:tc>
              <w:tc>
                <w:tcPr>
                  <w:tcW w:w="0" w:type="auto"/>
                </w:tcPr>
                <w:p w14:paraId="08AF6E9F" w14:textId="77777777" w:rsidR="00222B2B" w:rsidRDefault="00222B2B" w:rsidP="00222B2B">
                  <w:pPr>
                    <w:pStyle w:val="TableBody"/>
                  </w:pPr>
                  <w:r>
                    <w:t>MWh</w:t>
                  </w:r>
                </w:p>
              </w:tc>
              <w:tc>
                <w:tcPr>
                  <w:tcW w:w="0" w:type="auto"/>
                </w:tcPr>
                <w:p w14:paraId="4D337931"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xml:space="preserve">, for the 15-minute Settlement Interval. </w:t>
                  </w:r>
                </w:p>
              </w:tc>
            </w:tr>
            <w:tr w:rsidR="00222B2B" w14:paraId="7CE3959A" w14:textId="77777777" w:rsidTr="00316CC9">
              <w:tc>
                <w:tcPr>
                  <w:tcW w:w="2026" w:type="dxa"/>
                </w:tcPr>
                <w:p w14:paraId="556094AC" w14:textId="77777777" w:rsidR="00222B2B" w:rsidRDefault="00222B2B" w:rsidP="00222B2B">
                  <w:pPr>
                    <w:pStyle w:val="TableBody"/>
                  </w:pPr>
                  <w:r>
                    <w:t>RTAMLTOT</w:t>
                  </w:r>
                </w:p>
              </w:tc>
              <w:tc>
                <w:tcPr>
                  <w:tcW w:w="0" w:type="auto"/>
                </w:tcPr>
                <w:p w14:paraId="75346AD7" w14:textId="77777777" w:rsidR="00222B2B" w:rsidRDefault="00222B2B" w:rsidP="00222B2B">
                  <w:pPr>
                    <w:pStyle w:val="TableBody"/>
                    <w:rPr>
                      <w:i/>
                    </w:rPr>
                  </w:pPr>
                  <w:r>
                    <w:t>MWh</w:t>
                  </w:r>
                </w:p>
              </w:tc>
              <w:tc>
                <w:tcPr>
                  <w:tcW w:w="0" w:type="auto"/>
                </w:tcPr>
                <w:p w14:paraId="76F3AA92" w14:textId="77777777" w:rsidR="00222B2B" w:rsidRDefault="00222B2B" w:rsidP="00222B2B">
                  <w:pPr>
                    <w:pStyle w:val="TableBody"/>
                  </w:pPr>
                  <w:r>
                    <w:rPr>
                      <w:i/>
                    </w:rPr>
                    <w:t>Real-Time Adjusted Metered Load Total</w:t>
                  </w:r>
                  <w:r>
                    <w:t>—The total AML in ERCOT, for the 15-minute Settlement Interval.</w:t>
                  </w:r>
                </w:p>
              </w:tc>
            </w:tr>
            <w:tr w:rsidR="00222B2B" w14:paraId="3ED42340" w14:textId="77777777" w:rsidTr="00316CC9">
              <w:tc>
                <w:tcPr>
                  <w:tcW w:w="2026" w:type="dxa"/>
                </w:tcPr>
                <w:p w14:paraId="41EF2ACF" w14:textId="77777777" w:rsidR="00222B2B" w:rsidRPr="00A61E91" w:rsidRDefault="00222B2B" w:rsidP="00222B2B">
                  <w:pPr>
                    <w:pStyle w:val="TableBody"/>
                    <w:rPr>
                      <w:i/>
                    </w:rPr>
                  </w:pPr>
                  <w:r w:rsidRPr="00FC2DA7">
                    <w:rPr>
                      <w:i/>
                      <w:iCs w:val="0"/>
                    </w:rPr>
                    <w:t>q</w:t>
                  </w:r>
                </w:p>
              </w:tc>
              <w:tc>
                <w:tcPr>
                  <w:tcW w:w="0" w:type="auto"/>
                </w:tcPr>
                <w:p w14:paraId="0F4A1667" w14:textId="77777777" w:rsidR="00222B2B" w:rsidRDefault="00222B2B" w:rsidP="00222B2B">
                  <w:pPr>
                    <w:pStyle w:val="TableBody"/>
                  </w:pPr>
                  <w:r w:rsidRPr="00FC2DA7">
                    <w:rPr>
                      <w:iCs w:val="0"/>
                    </w:rPr>
                    <w:t>none</w:t>
                  </w:r>
                </w:p>
              </w:tc>
              <w:tc>
                <w:tcPr>
                  <w:tcW w:w="0" w:type="auto"/>
                </w:tcPr>
                <w:p w14:paraId="284A20AC" w14:textId="77777777" w:rsidR="00222B2B" w:rsidRDefault="00222B2B" w:rsidP="00222B2B">
                  <w:pPr>
                    <w:pStyle w:val="TableBody"/>
                  </w:pPr>
                  <w:r w:rsidRPr="00FC2DA7">
                    <w:rPr>
                      <w:iCs w:val="0"/>
                    </w:rPr>
                    <w:t xml:space="preserve">A QSE.  </w:t>
                  </w:r>
                </w:p>
              </w:tc>
            </w:tr>
            <w:tr w:rsidR="00222B2B" w14:paraId="419AAC29" w14:textId="77777777" w:rsidTr="00316CC9">
              <w:tc>
                <w:tcPr>
                  <w:tcW w:w="2026" w:type="dxa"/>
                </w:tcPr>
                <w:p w14:paraId="6B593400" w14:textId="77777777" w:rsidR="00222B2B" w:rsidRPr="00476A8D" w:rsidRDefault="00222B2B" w:rsidP="00222B2B">
                  <w:pPr>
                    <w:pStyle w:val="TableBody"/>
                    <w:rPr>
                      <w:i/>
                    </w:rPr>
                  </w:pPr>
                  <w:r w:rsidRPr="00A61E91">
                    <w:rPr>
                      <w:i/>
                    </w:rPr>
                    <w:t>p</w:t>
                  </w:r>
                </w:p>
              </w:tc>
              <w:tc>
                <w:tcPr>
                  <w:tcW w:w="0" w:type="auto"/>
                </w:tcPr>
                <w:p w14:paraId="582CD777" w14:textId="77777777" w:rsidR="00222B2B" w:rsidRDefault="00222B2B" w:rsidP="00222B2B">
                  <w:pPr>
                    <w:pStyle w:val="TableBody"/>
                  </w:pPr>
                  <w:r>
                    <w:t>none</w:t>
                  </w:r>
                </w:p>
              </w:tc>
              <w:tc>
                <w:tcPr>
                  <w:tcW w:w="0" w:type="auto"/>
                </w:tcPr>
                <w:p w14:paraId="4B52C69F" w14:textId="77777777" w:rsidR="00222B2B" w:rsidRDefault="00222B2B" w:rsidP="00222B2B">
                  <w:pPr>
                    <w:pStyle w:val="TableBody"/>
                  </w:pPr>
                  <w:r>
                    <w:t>A Settlement Point.  The summation is over all of the Settlement Points.</w:t>
                  </w:r>
                </w:p>
              </w:tc>
            </w:tr>
          </w:tbl>
          <w:p w14:paraId="0083A5C6" w14:textId="77777777" w:rsidR="00222B2B" w:rsidRPr="00FC2DA7" w:rsidRDefault="00222B2B" w:rsidP="00222B2B">
            <w:pPr>
              <w:spacing w:before="240" w:after="240"/>
              <w:ind w:left="720" w:hanging="720"/>
              <w:rPr>
                <w:iCs/>
              </w:rPr>
            </w:pPr>
            <w:r>
              <w:rPr>
                <w:iCs/>
              </w:rPr>
              <w:t>(3)</w:t>
            </w:r>
            <w:r>
              <w:rPr>
                <w:iCs/>
              </w:rPr>
              <w:tab/>
            </w:r>
            <w:r w:rsidRPr="00FC2DA7">
              <w:rPr>
                <w:iCs/>
              </w:rPr>
              <w:t xml:space="preserve">ERCOT total </w:t>
            </w:r>
            <w:r>
              <w:rPr>
                <w:iCs/>
              </w:rPr>
              <w:t xml:space="preserve">AML per Congestion Management Zone (CMZ) </w:t>
            </w:r>
            <w:r w:rsidRPr="00E7254B">
              <w:rPr>
                <w:bCs/>
                <w:snapToGrid w:val="0"/>
              </w:rPr>
              <w:t>excluding DC Tie exports</w:t>
            </w:r>
            <w:r>
              <w:rPr>
                <w:bCs/>
                <w:snapToGrid w:val="0"/>
              </w:rPr>
              <w:t xml:space="preserve"> included in RTAML</w:t>
            </w:r>
            <w:r w:rsidRPr="00FC2DA7">
              <w:rPr>
                <w:iCs/>
              </w:rPr>
              <w:t xml:space="preserve"> </w:t>
            </w:r>
            <w:r w:rsidRPr="00E7254B">
              <w:rPr>
                <w:bCs/>
                <w:snapToGrid w:val="0"/>
              </w:rPr>
              <w:t>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FC2DA7">
              <w:rPr>
                <w:iCs/>
              </w:rPr>
              <w:t>is calculated as follows:</w:t>
            </w:r>
          </w:p>
          <w:p w14:paraId="557B5A5F" w14:textId="77777777" w:rsidR="00222B2B" w:rsidRPr="00FC2DA7" w:rsidRDefault="00222B2B" w:rsidP="00222B2B">
            <w:pPr>
              <w:tabs>
                <w:tab w:val="left" w:pos="2250"/>
                <w:tab w:val="left" w:pos="3150"/>
                <w:tab w:val="left" w:pos="3960"/>
              </w:tabs>
              <w:spacing w:after="240"/>
              <w:ind w:left="3960" w:hanging="3240"/>
              <w:rPr>
                <w:b/>
                <w:bCs/>
              </w:rPr>
            </w:pPr>
            <w:r w:rsidRPr="00FC2DA7">
              <w:rPr>
                <w:b/>
                <w:bCs/>
              </w:rPr>
              <w:t>RTAML</w:t>
            </w:r>
            <w:r>
              <w:rPr>
                <w:b/>
                <w:bCs/>
              </w:rPr>
              <w:t>LZ</w:t>
            </w:r>
            <w:r w:rsidRPr="00FC2DA7">
              <w:rPr>
                <w:b/>
                <w:bCs/>
              </w:rPr>
              <w:t>TOT</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11F70542">
                <v:shape id="_x0000_i1095" type="#_x0000_t75" style="width:12pt;height:18pt" o:ole="">
                  <v:imagedata r:id="rId96" o:title=""/>
                </v:shape>
                <o:OLEObject Type="Embed" ProgID="Equation.3" ShapeID="_x0000_i1095" DrawAspect="Content" ObjectID="_1804653580" r:id="rId100"/>
              </w:object>
            </w:r>
            <w:r>
              <w:rPr>
                <w:b/>
                <w:bCs/>
              </w:rPr>
              <w:t xml:space="preserve"> (max(0,</w:t>
            </w:r>
            <w:r w:rsidRPr="002F4893">
              <w:rPr>
                <w:b/>
                <w:bCs/>
                <w:sz w:val="12"/>
                <w:szCs w:val="12"/>
              </w:rPr>
              <w:t xml:space="preserve"> </w:t>
            </w:r>
            <w:r w:rsidRPr="006F784F">
              <w:rPr>
                <w:position w:val="-22"/>
              </w:rPr>
              <w:object w:dxaOrig="225" w:dyaOrig="465" w14:anchorId="4C9162AF">
                <v:shape id="_x0000_i1096" type="#_x0000_t75" style="width:12pt;height:18pt" o:ole="">
                  <v:imagedata r:id="rId98" o:title=""/>
                </v:shape>
                <o:OLEObject Type="Embed" ProgID="Equation.3" ShapeID="_x0000_i1096" DrawAspect="Content" ObjectID="_1804653581" r:id="rId101"/>
              </w:object>
            </w:r>
            <w:r>
              <w:t>(</w:t>
            </w:r>
            <w:r w:rsidRPr="00FC2DA7">
              <w:rPr>
                <w:b/>
                <w:bCs/>
              </w:rPr>
              <w:t xml:space="preserve">RTAML </w:t>
            </w:r>
            <w:r w:rsidRPr="00FC2DA7">
              <w:rPr>
                <w:b/>
                <w:bCs/>
                <w:i/>
                <w:vertAlign w:val="subscript"/>
              </w:rPr>
              <w:t>q, p</w:t>
            </w:r>
            <w:r>
              <w:rPr>
                <w:b/>
                <w:bCs/>
                <w:i/>
                <w:vertAlign w:val="subscript"/>
              </w:rPr>
              <w:t xml:space="preserve"> </w:t>
            </w:r>
            <w:r>
              <w:rPr>
                <w:rFonts w:ascii="Times New Roman Bold" w:hAnsi="Times New Roman Bold"/>
                <w:b/>
                <w:bCs/>
                <w:i/>
              </w:rPr>
              <w:t>–</w:t>
            </w:r>
            <w:r w:rsidRPr="00BD5AF3">
              <w:rPr>
                <w:rFonts w:ascii="Times New Roman Bold" w:hAnsi="Times New Roman Bold"/>
                <w:b/>
                <w:bCs/>
                <w:i/>
              </w:rPr>
              <w:t xml:space="preserve"> </w:t>
            </w:r>
            <w:r w:rsidRPr="00BD5AF3">
              <w:rPr>
                <w:rFonts w:ascii="Times New Roman Bold" w:hAnsi="Times New Roman Bold"/>
                <w:b/>
                <w:bCs/>
              </w:rPr>
              <w:t>RTAMLDC</w:t>
            </w:r>
            <w:r>
              <w:rPr>
                <w:rFonts w:ascii="Times New Roman Bold" w:hAnsi="Times New Roman Bold"/>
                <w:bCs/>
              </w:rPr>
              <w:t xml:space="preserve"> </w:t>
            </w:r>
            <w:r w:rsidRPr="00FC2DA7">
              <w:rPr>
                <w:b/>
                <w:bCs/>
                <w:i/>
                <w:vertAlign w:val="subscript"/>
              </w:rPr>
              <w:t>q, p</w:t>
            </w:r>
            <w:r>
              <w:rPr>
                <w:b/>
                <w:bCs/>
                <w:i/>
                <w:vertAlign w:val="subscript"/>
              </w:rPr>
              <w:t xml:space="preserve"> </w:t>
            </w:r>
            <w:r w:rsidRPr="00BD5AF3">
              <w:rPr>
                <w:b/>
                <w:bCs/>
              </w:rPr>
              <w:t>)</w:t>
            </w:r>
            <w:r w:rsidRPr="00FC2DA7">
              <w:rPr>
                <w:b/>
                <w:bCs/>
              </w:rPr>
              <w:t>))</w:t>
            </w:r>
          </w:p>
          <w:p w14:paraId="7846C640" w14:textId="77777777" w:rsidR="00222B2B" w:rsidRPr="00FC2DA7" w:rsidRDefault="00222B2B" w:rsidP="00222B2B">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222B2B" w:rsidRPr="00FC2DA7" w14:paraId="5DF6AD13" w14:textId="77777777" w:rsidTr="00316CC9">
              <w:tc>
                <w:tcPr>
                  <w:tcW w:w="2003" w:type="dxa"/>
                </w:tcPr>
                <w:p w14:paraId="5FFD5D9D" w14:textId="77777777" w:rsidR="00222B2B" w:rsidRPr="00FC2DA7" w:rsidRDefault="00222B2B" w:rsidP="00222B2B">
                  <w:pPr>
                    <w:spacing w:after="120"/>
                    <w:rPr>
                      <w:b/>
                      <w:iCs/>
                      <w:sz w:val="20"/>
                    </w:rPr>
                  </w:pPr>
                  <w:r w:rsidRPr="00FC2DA7">
                    <w:rPr>
                      <w:b/>
                      <w:iCs/>
                      <w:sz w:val="20"/>
                    </w:rPr>
                    <w:t>Variable</w:t>
                  </w:r>
                </w:p>
              </w:tc>
              <w:tc>
                <w:tcPr>
                  <w:tcW w:w="697" w:type="dxa"/>
                </w:tcPr>
                <w:p w14:paraId="15FD45C0" w14:textId="77777777" w:rsidR="00222B2B" w:rsidRPr="00FC2DA7" w:rsidRDefault="00222B2B" w:rsidP="00222B2B">
                  <w:pPr>
                    <w:spacing w:after="120"/>
                    <w:rPr>
                      <w:b/>
                      <w:iCs/>
                      <w:sz w:val="20"/>
                    </w:rPr>
                  </w:pPr>
                  <w:r w:rsidRPr="00FC2DA7">
                    <w:rPr>
                      <w:b/>
                      <w:iCs/>
                      <w:sz w:val="20"/>
                    </w:rPr>
                    <w:t>Unit</w:t>
                  </w:r>
                </w:p>
              </w:tc>
              <w:tc>
                <w:tcPr>
                  <w:tcW w:w="6655" w:type="dxa"/>
                </w:tcPr>
                <w:p w14:paraId="306997F0" w14:textId="77777777" w:rsidR="00222B2B" w:rsidRPr="00FC2DA7" w:rsidRDefault="00222B2B" w:rsidP="00222B2B">
                  <w:pPr>
                    <w:spacing w:after="120"/>
                    <w:rPr>
                      <w:b/>
                      <w:iCs/>
                      <w:sz w:val="20"/>
                    </w:rPr>
                  </w:pPr>
                  <w:r w:rsidRPr="00FC2DA7">
                    <w:rPr>
                      <w:b/>
                      <w:iCs/>
                      <w:sz w:val="20"/>
                    </w:rPr>
                    <w:t>Description</w:t>
                  </w:r>
                </w:p>
              </w:tc>
            </w:tr>
            <w:tr w:rsidR="00222B2B" w:rsidRPr="00FC2DA7" w14:paraId="1F195895" w14:textId="77777777" w:rsidTr="00316CC9">
              <w:tc>
                <w:tcPr>
                  <w:tcW w:w="2003" w:type="dxa"/>
                </w:tcPr>
                <w:p w14:paraId="5B5A9867" w14:textId="77777777" w:rsidR="00222B2B" w:rsidRPr="00884687" w:rsidRDefault="00222B2B" w:rsidP="00222B2B">
                  <w:pPr>
                    <w:spacing w:after="60"/>
                    <w:rPr>
                      <w:iCs/>
                      <w:sz w:val="20"/>
                      <w:vertAlign w:val="subscript"/>
                    </w:rPr>
                  </w:pPr>
                  <w:r w:rsidRPr="00FC2DA7">
                    <w:rPr>
                      <w:iCs/>
                      <w:sz w:val="20"/>
                    </w:rPr>
                    <w:t>RTAML</w:t>
                  </w:r>
                  <w:r>
                    <w:rPr>
                      <w:iCs/>
                      <w:sz w:val="20"/>
                    </w:rPr>
                    <w:t>LZ</w:t>
                  </w:r>
                  <w:r w:rsidRPr="00FC2DA7">
                    <w:rPr>
                      <w:iCs/>
                      <w:sz w:val="20"/>
                    </w:rPr>
                    <w:t>TOT</w:t>
                  </w:r>
                  <w:r>
                    <w:rPr>
                      <w:iCs/>
                      <w:sz w:val="20"/>
                      <w:vertAlign w:val="subscript"/>
                    </w:rPr>
                    <w:t>z</w:t>
                  </w:r>
                </w:p>
              </w:tc>
              <w:tc>
                <w:tcPr>
                  <w:tcW w:w="697" w:type="dxa"/>
                </w:tcPr>
                <w:p w14:paraId="3D9593D7" w14:textId="77777777" w:rsidR="00222B2B" w:rsidRPr="00FC2DA7" w:rsidRDefault="00222B2B" w:rsidP="00222B2B">
                  <w:pPr>
                    <w:spacing w:after="60"/>
                    <w:rPr>
                      <w:i/>
                      <w:iCs/>
                      <w:sz w:val="20"/>
                    </w:rPr>
                  </w:pPr>
                  <w:r w:rsidRPr="00FC2DA7">
                    <w:rPr>
                      <w:iCs/>
                      <w:sz w:val="20"/>
                    </w:rPr>
                    <w:t>MWh</w:t>
                  </w:r>
                </w:p>
              </w:tc>
              <w:tc>
                <w:tcPr>
                  <w:tcW w:w="6655" w:type="dxa"/>
                </w:tcPr>
                <w:p w14:paraId="2E557294" w14:textId="77777777" w:rsidR="00222B2B" w:rsidRPr="00FC2DA7" w:rsidRDefault="00222B2B" w:rsidP="00222B2B">
                  <w:pPr>
                    <w:spacing w:after="60"/>
                    <w:rPr>
                      <w:iCs/>
                      <w:sz w:val="20"/>
                    </w:rPr>
                  </w:pP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w:t>
                  </w:r>
                  <w:r>
                    <w:rPr>
                      <w:iCs/>
                      <w:sz w:val="20"/>
                    </w:rPr>
                    <w:t xml:space="preserve">excluding DC Tie exports </w:t>
                  </w:r>
                  <w:r w:rsidRPr="00FC2DA7">
                    <w:rPr>
                      <w:iCs/>
                      <w:sz w:val="20"/>
                    </w:rPr>
                    <w:t xml:space="preserve">in </w:t>
                  </w:r>
                  <w:r>
                    <w:rPr>
                      <w:iCs/>
                      <w:sz w:val="20"/>
                    </w:rPr>
                    <w:t>CMZ z</w:t>
                  </w:r>
                  <w:r w:rsidRPr="00FC2DA7">
                    <w:rPr>
                      <w:iCs/>
                      <w:sz w:val="20"/>
                    </w:rPr>
                    <w:t xml:space="preserve">, </w:t>
                  </w:r>
                  <w:r>
                    <w:rPr>
                      <w:iCs/>
                      <w:sz w:val="20"/>
                    </w:rPr>
                    <w:t xml:space="preserve">for the </w:t>
                  </w:r>
                  <w:r w:rsidRPr="00BD5AF3">
                    <w:rPr>
                      <w:iCs/>
                      <w:sz w:val="20"/>
                    </w:rPr>
                    <w:t xml:space="preserve">peak Load 15-minute Settlement </w:t>
                  </w:r>
                  <w:r>
                    <w:rPr>
                      <w:iCs/>
                      <w:sz w:val="20"/>
                    </w:rPr>
                    <w:t>Interval</w:t>
                  </w:r>
                  <w:r w:rsidRPr="00BD5AF3">
                    <w:rPr>
                      <w:iCs/>
                      <w:sz w:val="20"/>
                    </w:rPr>
                    <w:t xml:space="preserve"> in the calendar month</w:t>
                  </w:r>
                  <w:r>
                    <w:rPr>
                      <w:iCs/>
                      <w:sz w:val="20"/>
                    </w:rPr>
                    <w:t>.</w:t>
                  </w:r>
                </w:p>
              </w:tc>
            </w:tr>
            <w:tr w:rsidR="00222B2B" w:rsidRPr="00FC2DA7" w14:paraId="23D66E26" w14:textId="77777777" w:rsidTr="00316CC9">
              <w:tc>
                <w:tcPr>
                  <w:tcW w:w="2003" w:type="dxa"/>
                </w:tcPr>
                <w:p w14:paraId="2A68042D" w14:textId="77777777" w:rsidR="00222B2B" w:rsidRPr="00FC2DA7" w:rsidRDefault="00222B2B" w:rsidP="00222B2B">
                  <w:pPr>
                    <w:spacing w:after="60"/>
                    <w:rPr>
                      <w:iCs/>
                      <w:sz w:val="20"/>
                    </w:rPr>
                  </w:pPr>
                  <w:r w:rsidRPr="00FC2DA7">
                    <w:rPr>
                      <w:iCs/>
                      <w:sz w:val="20"/>
                    </w:rPr>
                    <w:t xml:space="preserve">RTAML </w:t>
                  </w:r>
                  <w:r w:rsidRPr="00FC2DA7">
                    <w:rPr>
                      <w:i/>
                      <w:iCs/>
                      <w:sz w:val="20"/>
                      <w:vertAlign w:val="subscript"/>
                    </w:rPr>
                    <w:t>q, p</w:t>
                  </w:r>
                </w:p>
              </w:tc>
              <w:tc>
                <w:tcPr>
                  <w:tcW w:w="697" w:type="dxa"/>
                </w:tcPr>
                <w:p w14:paraId="73750717" w14:textId="77777777" w:rsidR="00222B2B" w:rsidRPr="00FC2DA7" w:rsidRDefault="00222B2B" w:rsidP="00222B2B">
                  <w:pPr>
                    <w:spacing w:after="60"/>
                    <w:rPr>
                      <w:iCs/>
                      <w:sz w:val="20"/>
                    </w:rPr>
                  </w:pPr>
                  <w:r w:rsidRPr="00FC2DA7">
                    <w:rPr>
                      <w:iCs/>
                      <w:sz w:val="20"/>
                    </w:rPr>
                    <w:t>MWh</w:t>
                  </w:r>
                </w:p>
              </w:tc>
              <w:tc>
                <w:tcPr>
                  <w:tcW w:w="6655" w:type="dxa"/>
                </w:tcPr>
                <w:p w14:paraId="6B9DE7E7" w14:textId="7CEB24BA" w:rsidR="00222B2B" w:rsidRPr="00A77BD2" w:rsidRDefault="00222B2B" w:rsidP="00DC7F34">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15-minute Settlement Interval</w:t>
                  </w:r>
                  <w:r>
                    <w:rPr>
                      <w:i/>
                      <w:iCs/>
                      <w:sz w:val="20"/>
                    </w:rPr>
                    <w:t xml:space="preserve">. </w:t>
                  </w:r>
                </w:p>
              </w:tc>
            </w:tr>
            <w:tr w:rsidR="00222B2B" w:rsidRPr="00FC2DA7" w14:paraId="0028ED1E" w14:textId="77777777" w:rsidTr="00316CC9">
              <w:tc>
                <w:tcPr>
                  <w:tcW w:w="2003" w:type="dxa"/>
                </w:tcPr>
                <w:p w14:paraId="744C6A90" w14:textId="77777777" w:rsidR="00222B2B" w:rsidRPr="00B86309" w:rsidRDefault="00222B2B" w:rsidP="00222B2B">
                  <w:pPr>
                    <w:spacing w:after="60"/>
                    <w:rPr>
                      <w:i/>
                      <w:iCs/>
                      <w:sz w:val="20"/>
                    </w:rPr>
                  </w:pPr>
                  <w:r w:rsidRPr="00BD5AF3">
                    <w:rPr>
                      <w:sz w:val="20"/>
                      <w:lang w:val="sv-SE"/>
                    </w:rPr>
                    <w:t xml:space="preserve">RTAMLDC </w:t>
                  </w:r>
                  <w:r w:rsidRPr="00BD5AF3">
                    <w:rPr>
                      <w:i/>
                      <w:sz w:val="20"/>
                      <w:vertAlign w:val="subscript"/>
                      <w:lang w:val="sv-SE"/>
                    </w:rPr>
                    <w:t>q,</w:t>
                  </w:r>
                  <w:r>
                    <w:rPr>
                      <w:i/>
                      <w:sz w:val="20"/>
                      <w:vertAlign w:val="subscript"/>
                      <w:lang w:val="sv-SE"/>
                    </w:rPr>
                    <w:t xml:space="preserve"> </w:t>
                  </w:r>
                  <w:r w:rsidRPr="00BD5AF3">
                    <w:rPr>
                      <w:i/>
                      <w:sz w:val="20"/>
                      <w:vertAlign w:val="subscript"/>
                      <w:lang w:val="sv-SE"/>
                    </w:rPr>
                    <w:t>p</w:t>
                  </w:r>
                </w:p>
              </w:tc>
              <w:tc>
                <w:tcPr>
                  <w:tcW w:w="697" w:type="dxa"/>
                </w:tcPr>
                <w:p w14:paraId="32A11072" w14:textId="77777777" w:rsidR="00222B2B" w:rsidRPr="00B86309" w:rsidRDefault="00222B2B" w:rsidP="00222B2B">
                  <w:pPr>
                    <w:spacing w:after="60"/>
                    <w:rPr>
                      <w:iCs/>
                      <w:sz w:val="20"/>
                    </w:rPr>
                  </w:pPr>
                  <w:r w:rsidRPr="00BD5AF3">
                    <w:rPr>
                      <w:sz w:val="20"/>
                    </w:rPr>
                    <w:t>MWh</w:t>
                  </w:r>
                </w:p>
              </w:tc>
              <w:tc>
                <w:tcPr>
                  <w:tcW w:w="6655" w:type="dxa"/>
                </w:tcPr>
                <w:p w14:paraId="6800C240" w14:textId="77777777" w:rsidR="00222B2B" w:rsidRPr="00B86309" w:rsidRDefault="00222B2B" w:rsidP="00222B2B">
                  <w:pPr>
                    <w:spacing w:after="60"/>
                    <w:rPr>
                      <w:iCs/>
                      <w:sz w:val="20"/>
                    </w:rPr>
                  </w:pPr>
                  <w:r w:rsidRPr="00BD5AF3">
                    <w:rPr>
                      <w:i/>
                      <w:sz w:val="20"/>
                    </w:rPr>
                    <w:t>Real-Time Adjusted Metered Load for DC Ties per Settlement Point per QSE</w:t>
                  </w:r>
                  <w:r w:rsidRPr="00BD5AF3">
                    <w:rPr>
                      <w:sz w:val="20"/>
                    </w:rPr>
                    <w:t xml:space="preserve">—The sum of the DC Tie AML at the Electrical Buses that are included in Settlement Point </w:t>
                  </w:r>
                  <w:r w:rsidRPr="00BD5AF3">
                    <w:rPr>
                      <w:i/>
                      <w:sz w:val="20"/>
                    </w:rPr>
                    <w:t>p</w:t>
                  </w:r>
                  <w:r w:rsidRPr="00BD5AF3">
                    <w:rPr>
                      <w:sz w:val="20"/>
                    </w:rPr>
                    <w:t xml:space="preserve">, represented by QSE </w:t>
                  </w:r>
                  <w:r w:rsidRPr="00BD5AF3">
                    <w:rPr>
                      <w:i/>
                      <w:sz w:val="20"/>
                    </w:rPr>
                    <w:t>q</w:t>
                  </w:r>
                  <w:r w:rsidRPr="00BD5AF3">
                    <w:rPr>
                      <w:sz w:val="20"/>
                    </w:rPr>
                    <w:t>, for the 15-minute Settlement Interval.</w:t>
                  </w:r>
                </w:p>
              </w:tc>
            </w:tr>
            <w:tr w:rsidR="00222B2B" w:rsidRPr="00FC2DA7" w14:paraId="03D11B9D" w14:textId="77777777" w:rsidTr="00316CC9">
              <w:tc>
                <w:tcPr>
                  <w:tcW w:w="2003" w:type="dxa"/>
                </w:tcPr>
                <w:p w14:paraId="3D1D3F89" w14:textId="77777777" w:rsidR="00222B2B" w:rsidRPr="00FC2DA7" w:rsidRDefault="00222B2B" w:rsidP="00222B2B">
                  <w:pPr>
                    <w:spacing w:after="60"/>
                    <w:rPr>
                      <w:i/>
                      <w:iCs/>
                      <w:sz w:val="20"/>
                    </w:rPr>
                  </w:pPr>
                  <w:r>
                    <w:rPr>
                      <w:i/>
                      <w:iCs/>
                      <w:sz w:val="20"/>
                    </w:rPr>
                    <w:t>q</w:t>
                  </w:r>
                </w:p>
              </w:tc>
              <w:tc>
                <w:tcPr>
                  <w:tcW w:w="697" w:type="dxa"/>
                </w:tcPr>
                <w:p w14:paraId="261B47FC" w14:textId="77777777" w:rsidR="00222B2B" w:rsidRPr="00FC2DA7" w:rsidRDefault="00222B2B" w:rsidP="00222B2B">
                  <w:pPr>
                    <w:spacing w:after="60"/>
                    <w:rPr>
                      <w:iCs/>
                      <w:sz w:val="20"/>
                    </w:rPr>
                  </w:pPr>
                  <w:r w:rsidRPr="00FC2DA7">
                    <w:rPr>
                      <w:iCs/>
                      <w:sz w:val="20"/>
                    </w:rPr>
                    <w:t>none</w:t>
                  </w:r>
                </w:p>
              </w:tc>
              <w:tc>
                <w:tcPr>
                  <w:tcW w:w="6655" w:type="dxa"/>
                </w:tcPr>
                <w:p w14:paraId="7FA54EE8" w14:textId="77777777" w:rsidR="00222B2B" w:rsidRPr="00FC2DA7" w:rsidRDefault="00222B2B" w:rsidP="00222B2B">
                  <w:pPr>
                    <w:spacing w:after="60"/>
                    <w:rPr>
                      <w:iCs/>
                      <w:sz w:val="20"/>
                    </w:rPr>
                  </w:pPr>
                  <w:r w:rsidRPr="00FC2DA7">
                    <w:rPr>
                      <w:iCs/>
                      <w:sz w:val="20"/>
                    </w:rPr>
                    <w:t xml:space="preserve">A QSE.  </w:t>
                  </w:r>
                </w:p>
              </w:tc>
            </w:tr>
            <w:tr w:rsidR="00222B2B" w:rsidRPr="00FC2DA7" w14:paraId="773810DF" w14:textId="77777777" w:rsidTr="00316CC9">
              <w:tc>
                <w:tcPr>
                  <w:tcW w:w="2003" w:type="dxa"/>
                </w:tcPr>
                <w:p w14:paraId="081CF6EF" w14:textId="77777777" w:rsidR="00222B2B" w:rsidRPr="00FC2DA7" w:rsidRDefault="00222B2B" w:rsidP="00222B2B">
                  <w:pPr>
                    <w:spacing w:after="60"/>
                    <w:rPr>
                      <w:i/>
                      <w:iCs/>
                      <w:sz w:val="20"/>
                    </w:rPr>
                  </w:pPr>
                  <w:r w:rsidRPr="00FC2DA7">
                    <w:rPr>
                      <w:i/>
                      <w:iCs/>
                      <w:sz w:val="20"/>
                    </w:rPr>
                    <w:t>p</w:t>
                  </w:r>
                </w:p>
              </w:tc>
              <w:tc>
                <w:tcPr>
                  <w:tcW w:w="697" w:type="dxa"/>
                </w:tcPr>
                <w:p w14:paraId="5A39D855" w14:textId="77777777" w:rsidR="00222B2B" w:rsidRPr="00FC2DA7" w:rsidRDefault="00222B2B" w:rsidP="00222B2B">
                  <w:pPr>
                    <w:spacing w:after="60"/>
                    <w:rPr>
                      <w:iCs/>
                      <w:sz w:val="20"/>
                    </w:rPr>
                  </w:pPr>
                  <w:r w:rsidRPr="00FC2DA7">
                    <w:rPr>
                      <w:iCs/>
                      <w:sz w:val="20"/>
                    </w:rPr>
                    <w:t>none</w:t>
                  </w:r>
                </w:p>
              </w:tc>
              <w:tc>
                <w:tcPr>
                  <w:tcW w:w="6655" w:type="dxa"/>
                </w:tcPr>
                <w:p w14:paraId="782D26D7" w14:textId="77777777" w:rsidR="00222B2B" w:rsidRPr="00FC2DA7" w:rsidRDefault="00222B2B" w:rsidP="00222B2B">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222B2B" w:rsidRPr="00FC2DA7" w14:paraId="6DD8471C" w14:textId="77777777" w:rsidTr="00316CC9">
              <w:trPr>
                <w:cantSplit/>
              </w:trPr>
              <w:tc>
                <w:tcPr>
                  <w:tcW w:w="2003" w:type="dxa"/>
                </w:tcPr>
                <w:p w14:paraId="3CEC2423" w14:textId="77777777" w:rsidR="00222B2B" w:rsidRDefault="00222B2B" w:rsidP="00222B2B">
                  <w:pPr>
                    <w:spacing w:after="60"/>
                    <w:rPr>
                      <w:i/>
                      <w:iCs/>
                      <w:sz w:val="20"/>
                    </w:rPr>
                  </w:pPr>
                  <w:r>
                    <w:rPr>
                      <w:i/>
                      <w:iCs/>
                      <w:sz w:val="20"/>
                    </w:rPr>
                    <w:t>z</w:t>
                  </w:r>
                </w:p>
              </w:tc>
              <w:tc>
                <w:tcPr>
                  <w:tcW w:w="697" w:type="dxa"/>
                </w:tcPr>
                <w:p w14:paraId="4A33268F" w14:textId="77777777" w:rsidR="00222B2B" w:rsidRPr="00FC2DA7" w:rsidRDefault="00222B2B" w:rsidP="00222B2B">
                  <w:pPr>
                    <w:spacing w:after="60"/>
                    <w:rPr>
                      <w:iCs/>
                      <w:sz w:val="20"/>
                    </w:rPr>
                  </w:pPr>
                  <w:r>
                    <w:rPr>
                      <w:iCs/>
                      <w:sz w:val="20"/>
                    </w:rPr>
                    <w:t>none</w:t>
                  </w:r>
                </w:p>
              </w:tc>
              <w:tc>
                <w:tcPr>
                  <w:tcW w:w="6655" w:type="dxa"/>
                </w:tcPr>
                <w:p w14:paraId="275B1F9B" w14:textId="77777777" w:rsidR="00222B2B" w:rsidRPr="001F3F48" w:rsidRDefault="00222B2B" w:rsidP="00222B2B">
                  <w:pPr>
                    <w:spacing w:after="60"/>
                    <w:rPr>
                      <w:iCs/>
                      <w:sz w:val="20"/>
                    </w:rPr>
                  </w:pPr>
                  <w:r w:rsidRPr="006D64A7">
                    <w:rPr>
                      <w:sz w:val="20"/>
                    </w:rPr>
                    <w:t>A 2003 ERCOT CMZ.</w:t>
                  </w:r>
                </w:p>
              </w:tc>
            </w:tr>
          </w:tbl>
          <w:p w14:paraId="2D095304" w14:textId="77777777" w:rsidR="00222B2B" w:rsidRPr="00E7254B" w:rsidRDefault="00222B2B" w:rsidP="00850957">
            <w:pPr>
              <w:pStyle w:val="BodyText"/>
              <w:spacing w:before="240"/>
              <w:ind w:left="720" w:hanging="720"/>
              <w:rPr>
                <w:bCs/>
                <w:snapToGrid w:val="0"/>
              </w:rPr>
            </w:pPr>
            <w:bookmarkStart w:id="1811" w:name="_Toc60040666"/>
            <w:r w:rsidRPr="00E7254B">
              <w:rPr>
                <w:bCs/>
                <w:snapToGrid w:val="0"/>
              </w:rPr>
              <w:t>(</w:t>
            </w:r>
            <w:r>
              <w:rPr>
                <w:bCs/>
                <w:snapToGrid w:val="0"/>
              </w:rPr>
              <w:t>4</w:t>
            </w:r>
            <w:r w:rsidRPr="00E7254B">
              <w:rPr>
                <w:bCs/>
                <w:snapToGrid w:val="0"/>
              </w:rPr>
              <w:t>)</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Z,</w:t>
            </w:r>
            <w:r w:rsidRPr="00E7254B">
              <w:rPr>
                <w:bCs/>
                <w:snapToGrid w:val="0"/>
              </w:rPr>
              <w:t xml:space="preserve"> excluding DC Tie exports </w:t>
            </w:r>
            <w:r>
              <w:rPr>
                <w:bCs/>
                <w:snapToGrid w:val="0"/>
              </w:rPr>
              <w:t xml:space="preserve">included in RTAML, </w:t>
            </w:r>
            <w:r w:rsidRPr="00E7254B">
              <w:rPr>
                <w:bCs/>
                <w:snapToGrid w:val="0"/>
              </w:rPr>
              <w:t>by C</w:t>
            </w:r>
            <w:r>
              <w:rPr>
                <w:bCs/>
                <w:snapToGrid w:val="0"/>
              </w:rPr>
              <w:t>MZ</w:t>
            </w:r>
            <w:r w:rsidRPr="00E7254B">
              <w:rPr>
                <w:bCs/>
                <w:snapToGrid w:val="0"/>
              </w:rPr>
              <w:t xml:space="preserve"> 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E7254B">
              <w:rPr>
                <w:bCs/>
                <w:snapToGrid w:val="0"/>
              </w:rPr>
              <w:t>is calculated as follows:</w:t>
            </w:r>
            <w:bookmarkEnd w:id="1811"/>
            <w:r w:rsidRPr="00E7254B">
              <w:rPr>
                <w:bCs/>
                <w:snapToGrid w:val="0"/>
              </w:rPr>
              <w:t xml:space="preserve"> </w:t>
            </w:r>
          </w:p>
          <w:p w14:paraId="59C283BD" w14:textId="77777777" w:rsidR="00222B2B" w:rsidRDefault="00222B2B" w:rsidP="00222B2B">
            <w:pPr>
              <w:pStyle w:val="FormulaBold"/>
            </w:pPr>
            <w:r>
              <w:t>MLRSZ</w:t>
            </w:r>
            <w:r>
              <w:rPr>
                <w:i/>
                <w:vertAlign w:val="subscript"/>
              </w:rPr>
              <w:t xml:space="preserve"> q,z</w:t>
            </w:r>
            <w:r>
              <w:tab/>
              <w:t>=</w:t>
            </w:r>
            <w:r>
              <w:tab/>
            </w:r>
            <w:r w:rsidRPr="00103433">
              <w:t>max(0,</w:t>
            </w:r>
            <w:r w:rsidRPr="00DC298E">
              <w:rPr>
                <w:noProof/>
                <w:position w:val="-28"/>
                <w:sz w:val="4"/>
                <w:szCs w:val="4"/>
              </w:rPr>
              <w:t xml:space="preserve"> </w:t>
            </w:r>
            <w:r w:rsidRPr="006F784F">
              <w:rPr>
                <w:position w:val="-22"/>
              </w:rPr>
              <w:object w:dxaOrig="225" w:dyaOrig="465" w14:anchorId="63541DD5">
                <v:shape id="_x0000_i1097" type="#_x0000_t75" style="width:12pt;height:18pt" o:ole="">
                  <v:imagedata r:id="rId98" o:title=""/>
                </v:shape>
                <o:OLEObject Type="Embed" ProgID="Equation.3" ShapeID="_x0000_i1097" DrawAspect="Content" ObjectID="_1804653582" r:id="rId102"/>
              </w:object>
            </w:r>
            <w:r>
              <w:t xml:space="preserve">(RTAML </w:t>
            </w:r>
            <w:r>
              <w:rPr>
                <w:i/>
                <w:vertAlign w:val="subscript"/>
              </w:rPr>
              <w:t xml:space="preserve">q, p </w:t>
            </w:r>
            <w:r w:rsidRPr="008B423D">
              <w:rPr>
                <w:rFonts w:ascii="Times New Roman Bold" w:hAnsi="Times New Roman Bold"/>
                <w:i/>
              </w:rPr>
              <w:t>-</w:t>
            </w:r>
            <w:r>
              <w:rPr>
                <w:rFonts w:ascii="Times New Roman Bold" w:hAnsi="Times New Roman Bold"/>
                <w:i/>
              </w:rPr>
              <w:t xml:space="preserve"> </w:t>
            </w:r>
            <w:r>
              <w:t>RTAMLDC</w:t>
            </w:r>
            <w:r>
              <w:rPr>
                <w:lang w:val="sv-SE"/>
              </w:rPr>
              <w:t xml:space="preserve"> </w:t>
            </w:r>
            <w:r>
              <w:rPr>
                <w:i/>
                <w:vertAlign w:val="subscript"/>
              </w:rPr>
              <w:t>q, p</w:t>
            </w:r>
            <w:r w:rsidRPr="008B423D">
              <w:rPr>
                <w:rFonts w:ascii="Times New Roman Bold" w:hAnsi="Times New Roman Bold"/>
              </w:rPr>
              <w:t>)</w:t>
            </w:r>
            <w:r>
              <w:rPr>
                <w:rFonts w:ascii="Times New Roman Bold" w:hAnsi="Times New Roman Bold"/>
              </w:rPr>
              <w:t>)</w:t>
            </w:r>
            <w:r w:rsidRPr="00F9440F">
              <w:rPr>
                <w:rFonts w:ascii="Times New Roman Bold" w:hAnsi="Times New Roman Bold"/>
              </w:rPr>
              <w:t xml:space="preserve"> / </w:t>
            </w:r>
            <w:r w:rsidRPr="008B423D">
              <w:t>RTAMLLZTOT</w:t>
            </w:r>
            <w:r w:rsidRPr="008B423D">
              <w:rPr>
                <w:rFonts w:ascii="Times New Roman Bold" w:hAnsi="Times New Roman Bold"/>
                <w:vertAlign w:val="subscript"/>
              </w:rPr>
              <w:t>z</w:t>
            </w:r>
            <w:r w:rsidRPr="006F784F" w:rsidDel="00F9440F">
              <w:t xml:space="preserve"> </w:t>
            </w:r>
          </w:p>
          <w:p w14:paraId="1644C7D9"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6"/>
              <w:gridCol w:w="8"/>
              <w:gridCol w:w="711"/>
              <w:gridCol w:w="7345"/>
            </w:tblGrid>
            <w:tr w:rsidR="00222B2B" w14:paraId="7AC458D6" w14:textId="77777777" w:rsidTr="00316CC9">
              <w:tc>
                <w:tcPr>
                  <w:tcW w:w="1969" w:type="dxa"/>
                </w:tcPr>
                <w:p w14:paraId="73245B8C" w14:textId="77777777" w:rsidR="00222B2B" w:rsidRDefault="00222B2B" w:rsidP="00222B2B">
                  <w:pPr>
                    <w:pStyle w:val="TableHead"/>
                  </w:pPr>
                  <w:r>
                    <w:t>Variable</w:t>
                  </w:r>
                </w:p>
              </w:tc>
              <w:tc>
                <w:tcPr>
                  <w:tcW w:w="737" w:type="dxa"/>
                  <w:gridSpan w:val="2"/>
                </w:tcPr>
                <w:p w14:paraId="54D90903" w14:textId="77777777" w:rsidR="00222B2B" w:rsidRDefault="00222B2B" w:rsidP="00222B2B">
                  <w:pPr>
                    <w:pStyle w:val="TableHead"/>
                  </w:pPr>
                  <w:r>
                    <w:t>Unit</w:t>
                  </w:r>
                </w:p>
              </w:tc>
              <w:tc>
                <w:tcPr>
                  <w:tcW w:w="7134" w:type="dxa"/>
                </w:tcPr>
                <w:p w14:paraId="253B9B5F" w14:textId="77777777" w:rsidR="00222B2B" w:rsidRDefault="00222B2B" w:rsidP="00222B2B">
                  <w:pPr>
                    <w:pStyle w:val="TableHead"/>
                  </w:pPr>
                  <w:r>
                    <w:t>Description</w:t>
                  </w:r>
                </w:p>
              </w:tc>
            </w:tr>
            <w:tr w:rsidR="00222B2B" w14:paraId="430C2E71" w14:textId="77777777" w:rsidTr="00316CC9">
              <w:tc>
                <w:tcPr>
                  <w:tcW w:w="1969" w:type="dxa"/>
                </w:tcPr>
                <w:p w14:paraId="5990F4F7" w14:textId="77777777" w:rsidR="00222B2B" w:rsidRDefault="00222B2B" w:rsidP="00222B2B">
                  <w:pPr>
                    <w:pStyle w:val="TableBody"/>
                  </w:pPr>
                  <w:r>
                    <w:t>MLRSZ</w:t>
                  </w:r>
                  <w:r>
                    <w:rPr>
                      <w:i/>
                      <w:vertAlign w:val="subscript"/>
                    </w:rPr>
                    <w:t xml:space="preserve"> q,z</w:t>
                  </w:r>
                </w:p>
              </w:tc>
              <w:tc>
                <w:tcPr>
                  <w:tcW w:w="737" w:type="dxa"/>
                  <w:gridSpan w:val="2"/>
                </w:tcPr>
                <w:p w14:paraId="29127EE0" w14:textId="77777777" w:rsidR="00222B2B" w:rsidRDefault="00222B2B" w:rsidP="00222B2B">
                  <w:pPr>
                    <w:pStyle w:val="TableBody"/>
                  </w:pPr>
                  <w:r>
                    <w:t>none</w:t>
                  </w:r>
                </w:p>
              </w:tc>
              <w:tc>
                <w:tcPr>
                  <w:tcW w:w="7134" w:type="dxa"/>
                </w:tcPr>
                <w:p w14:paraId="459A145E" w14:textId="77777777" w:rsidR="00222B2B" w:rsidRDefault="00222B2B" w:rsidP="00222B2B">
                  <w:pPr>
                    <w:pStyle w:val="TableBody"/>
                    <w:rPr>
                      <w:i/>
                    </w:rPr>
                  </w:pPr>
                  <w:r w:rsidRPr="00887C6A">
                    <w:rPr>
                      <w:i/>
                    </w:rPr>
                    <w:t>Monthly Load Ratio Share Zonal per QSE per zone</w:t>
                  </w:r>
                  <w:r w:rsidRPr="00887C6A">
                    <w:t xml:space="preserve">—The </w:t>
                  </w:r>
                  <w:r>
                    <w:t>ratio share</w:t>
                  </w:r>
                  <w:r w:rsidRPr="00887C6A">
                    <w:t xml:space="preserve"> of QSE </w:t>
                  </w:r>
                  <w:r w:rsidRPr="00887C6A">
                    <w:rPr>
                      <w:i/>
                    </w:rPr>
                    <w:t>q</w:t>
                  </w:r>
                  <w:r w:rsidRPr="00887C6A">
                    <w:t xml:space="preserve"> for its Load </w:t>
                  </w:r>
                  <w:r>
                    <w:t xml:space="preserve">excluding DC Tie Exports </w:t>
                  </w:r>
                  <w:r w:rsidRPr="00887C6A">
                    <w:t xml:space="preserve">in CMZ </w:t>
                  </w:r>
                  <w:r w:rsidRPr="00887C6A">
                    <w:rPr>
                      <w:i/>
                    </w:rPr>
                    <w:t>z</w:t>
                  </w:r>
                  <w:r w:rsidRPr="00887C6A">
                    <w:t xml:space="preserve">, for the </w:t>
                  </w:r>
                  <w:r>
                    <w:t xml:space="preserve">peak Load 15-minute Settlement Interval in the </w:t>
                  </w:r>
                  <w:r w:rsidRPr="00887C6A">
                    <w:t>month.</w:t>
                  </w:r>
                </w:p>
              </w:tc>
            </w:tr>
            <w:tr w:rsidR="00222B2B" w14:paraId="11D749F2" w14:textId="77777777" w:rsidTr="00316CC9">
              <w:tc>
                <w:tcPr>
                  <w:tcW w:w="1969" w:type="dxa"/>
                </w:tcPr>
                <w:p w14:paraId="455E8C27" w14:textId="77777777" w:rsidR="00222B2B" w:rsidRDefault="00222B2B" w:rsidP="00222B2B">
                  <w:pPr>
                    <w:pStyle w:val="TableBody"/>
                  </w:pPr>
                  <w:r>
                    <w:lastRenderedPageBreak/>
                    <w:t xml:space="preserve">RTAML </w:t>
                  </w:r>
                  <w:r w:rsidRPr="00107CC2">
                    <w:rPr>
                      <w:i/>
                      <w:vertAlign w:val="subscript"/>
                    </w:rPr>
                    <w:t>q, p</w:t>
                  </w:r>
                </w:p>
              </w:tc>
              <w:tc>
                <w:tcPr>
                  <w:tcW w:w="737" w:type="dxa"/>
                  <w:gridSpan w:val="2"/>
                </w:tcPr>
                <w:p w14:paraId="57338B9C" w14:textId="77777777" w:rsidR="00222B2B" w:rsidRDefault="00222B2B" w:rsidP="00222B2B">
                  <w:pPr>
                    <w:pStyle w:val="TableBody"/>
                    <w:rPr>
                      <w:i/>
                    </w:rPr>
                  </w:pPr>
                  <w:r>
                    <w:t>MWh</w:t>
                  </w:r>
                </w:p>
              </w:tc>
              <w:tc>
                <w:tcPr>
                  <w:tcW w:w="7134" w:type="dxa"/>
                </w:tcPr>
                <w:p w14:paraId="6F7FB889"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12FBD1B4" w14:textId="77777777" w:rsidTr="00316CC9">
              <w:tc>
                <w:tcPr>
                  <w:tcW w:w="1969" w:type="dxa"/>
                </w:tcPr>
                <w:p w14:paraId="0B3C8B3B" w14:textId="77777777" w:rsidR="00222B2B" w:rsidRDefault="00222B2B" w:rsidP="00222B2B">
                  <w:pPr>
                    <w:pStyle w:val="TableBody"/>
                  </w:pPr>
                  <w:r>
                    <w:rPr>
                      <w:lang w:val="sv-SE"/>
                    </w:rPr>
                    <w:t xml:space="preserve">RTAMLDC </w:t>
                  </w:r>
                  <w:r>
                    <w:rPr>
                      <w:i/>
                      <w:vertAlign w:val="subscript"/>
                      <w:lang w:val="sv-SE"/>
                    </w:rPr>
                    <w:t>q,p</w:t>
                  </w:r>
                </w:p>
              </w:tc>
              <w:tc>
                <w:tcPr>
                  <w:tcW w:w="737" w:type="dxa"/>
                  <w:gridSpan w:val="2"/>
                </w:tcPr>
                <w:p w14:paraId="2CB60065" w14:textId="77777777" w:rsidR="00222B2B" w:rsidRDefault="00222B2B" w:rsidP="00222B2B">
                  <w:pPr>
                    <w:pStyle w:val="TableBody"/>
                  </w:pPr>
                  <w:r>
                    <w:t>MWh</w:t>
                  </w:r>
                </w:p>
              </w:tc>
              <w:tc>
                <w:tcPr>
                  <w:tcW w:w="7134" w:type="dxa"/>
                </w:tcPr>
                <w:p w14:paraId="5D39F1BD"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for the 15-minute Settlement Interval.</w:t>
                  </w:r>
                </w:p>
              </w:tc>
            </w:tr>
            <w:tr w:rsidR="00222B2B" w:rsidDel="00666312" w14:paraId="3468FC62" w14:textId="77777777" w:rsidTr="00316CC9">
              <w:tc>
                <w:tcPr>
                  <w:tcW w:w="1979" w:type="dxa"/>
                  <w:gridSpan w:val="2"/>
                </w:tcPr>
                <w:p w14:paraId="61A8AB66" w14:textId="77777777" w:rsidR="00222B2B" w:rsidDel="00666312" w:rsidRDefault="00222B2B" w:rsidP="00222B2B">
                  <w:pPr>
                    <w:pStyle w:val="TableBody"/>
                    <w:rPr>
                      <w:lang w:val="sv-SE"/>
                    </w:rPr>
                  </w:pPr>
                  <w:r w:rsidRPr="00FC2DA7">
                    <w:rPr>
                      <w:iCs w:val="0"/>
                    </w:rPr>
                    <w:t>RTAML</w:t>
                  </w:r>
                  <w:r>
                    <w:rPr>
                      <w:iCs w:val="0"/>
                    </w:rPr>
                    <w:t>LZ</w:t>
                  </w:r>
                  <w:r w:rsidRPr="00FC2DA7">
                    <w:rPr>
                      <w:iCs w:val="0"/>
                    </w:rPr>
                    <w:t>TOT</w:t>
                  </w:r>
                  <w:r>
                    <w:rPr>
                      <w:iCs w:val="0"/>
                      <w:vertAlign w:val="subscript"/>
                    </w:rPr>
                    <w:t>z</w:t>
                  </w:r>
                </w:p>
              </w:tc>
              <w:tc>
                <w:tcPr>
                  <w:tcW w:w="0" w:type="auto"/>
                </w:tcPr>
                <w:p w14:paraId="1EC44D0F" w14:textId="77777777" w:rsidR="00222B2B" w:rsidDel="00666312" w:rsidRDefault="00222B2B" w:rsidP="00222B2B">
                  <w:pPr>
                    <w:pStyle w:val="TableBody"/>
                  </w:pPr>
                  <w:r w:rsidRPr="00FC2DA7">
                    <w:rPr>
                      <w:iCs w:val="0"/>
                    </w:rPr>
                    <w:t>MWh</w:t>
                  </w:r>
                </w:p>
              </w:tc>
              <w:tc>
                <w:tcPr>
                  <w:tcW w:w="0" w:type="auto"/>
                </w:tcPr>
                <w:p w14:paraId="6BCD0C97" w14:textId="77777777" w:rsidR="00222B2B" w:rsidDel="00666312" w:rsidRDefault="00222B2B" w:rsidP="00222B2B">
                  <w:pPr>
                    <w:pStyle w:val="TableBody"/>
                    <w:rPr>
                      <w:i/>
                    </w:rPr>
                  </w:pP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w:t>
                  </w:r>
                  <w:r>
                    <w:rPr>
                      <w:iCs w:val="0"/>
                    </w:rPr>
                    <w:t xml:space="preserve">excluding DC Tie exports </w:t>
                  </w:r>
                  <w:r w:rsidRPr="00FC2DA7">
                    <w:rPr>
                      <w:iCs w:val="0"/>
                    </w:rPr>
                    <w:t xml:space="preserve">in </w:t>
                  </w:r>
                  <w:r>
                    <w:rPr>
                      <w:iCs w:val="0"/>
                    </w:rPr>
                    <w:t>CMZ z</w:t>
                  </w:r>
                  <w:r w:rsidRPr="00FC2DA7">
                    <w:rPr>
                      <w:iCs w:val="0"/>
                    </w:rPr>
                    <w:t xml:space="preserve">, </w:t>
                  </w:r>
                  <w:r>
                    <w:rPr>
                      <w:iCs w:val="0"/>
                    </w:rPr>
                    <w:t xml:space="preserve">for the </w:t>
                  </w:r>
                  <w:r w:rsidRPr="00796449">
                    <w:rPr>
                      <w:iCs w:val="0"/>
                    </w:rPr>
                    <w:t xml:space="preserve">peak Load 15-minute Settlement </w:t>
                  </w:r>
                  <w:r>
                    <w:rPr>
                      <w:iCs w:val="0"/>
                    </w:rPr>
                    <w:t>Interval</w:t>
                  </w:r>
                  <w:r w:rsidRPr="00796449">
                    <w:rPr>
                      <w:iCs w:val="0"/>
                    </w:rPr>
                    <w:t xml:space="preserve"> in the calendar month</w:t>
                  </w:r>
                  <w:r>
                    <w:rPr>
                      <w:iCs w:val="0"/>
                    </w:rPr>
                    <w:t>.</w:t>
                  </w:r>
                </w:p>
              </w:tc>
            </w:tr>
            <w:tr w:rsidR="00222B2B" w14:paraId="042CFF08" w14:textId="77777777" w:rsidTr="00316CC9">
              <w:tc>
                <w:tcPr>
                  <w:tcW w:w="1969" w:type="dxa"/>
                </w:tcPr>
                <w:p w14:paraId="3AA71B6F" w14:textId="77777777" w:rsidR="00222B2B" w:rsidRPr="00A61E91" w:rsidRDefault="00222B2B" w:rsidP="00222B2B">
                  <w:pPr>
                    <w:pStyle w:val="TableBody"/>
                    <w:rPr>
                      <w:i/>
                    </w:rPr>
                  </w:pPr>
                  <w:r w:rsidRPr="00FC2DA7">
                    <w:rPr>
                      <w:i/>
                      <w:iCs w:val="0"/>
                    </w:rPr>
                    <w:t>q</w:t>
                  </w:r>
                </w:p>
              </w:tc>
              <w:tc>
                <w:tcPr>
                  <w:tcW w:w="737" w:type="dxa"/>
                  <w:gridSpan w:val="2"/>
                </w:tcPr>
                <w:p w14:paraId="37D45761" w14:textId="77777777" w:rsidR="00222B2B" w:rsidRDefault="00222B2B" w:rsidP="00222B2B">
                  <w:pPr>
                    <w:pStyle w:val="TableBody"/>
                  </w:pPr>
                  <w:r w:rsidRPr="00FC2DA7">
                    <w:rPr>
                      <w:iCs w:val="0"/>
                    </w:rPr>
                    <w:t>none</w:t>
                  </w:r>
                </w:p>
              </w:tc>
              <w:tc>
                <w:tcPr>
                  <w:tcW w:w="7134" w:type="dxa"/>
                </w:tcPr>
                <w:p w14:paraId="6828E6D9" w14:textId="77777777" w:rsidR="00222B2B" w:rsidRDefault="00222B2B" w:rsidP="00222B2B">
                  <w:pPr>
                    <w:pStyle w:val="TableBody"/>
                  </w:pPr>
                  <w:r w:rsidRPr="00FC2DA7">
                    <w:rPr>
                      <w:iCs w:val="0"/>
                    </w:rPr>
                    <w:t xml:space="preserve">A QSE.  </w:t>
                  </w:r>
                </w:p>
              </w:tc>
            </w:tr>
            <w:tr w:rsidR="00222B2B" w14:paraId="7FA8D885" w14:textId="77777777" w:rsidTr="00316CC9">
              <w:tc>
                <w:tcPr>
                  <w:tcW w:w="1969" w:type="dxa"/>
                </w:tcPr>
                <w:p w14:paraId="4D409479" w14:textId="77777777" w:rsidR="00222B2B" w:rsidRPr="00476A8D" w:rsidRDefault="00222B2B" w:rsidP="00222B2B">
                  <w:pPr>
                    <w:pStyle w:val="TableBody"/>
                    <w:rPr>
                      <w:i/>
                    </w:rPr>
                  </w:pPr>
                  <w:r w:rsidRPr="00A61E91">
                    <w:rPr>
                      <w:i/>
                    </w:rPr>
                    <w:t>p</w:t>
                  </w:r>
                </w:p>
              </w:tc>
              <w:tc>
                <w:tcPr>
                  <w:tcW w:w="737" w:type="dxa"/>
                  <w:gridSpan w:val="2"/>
                </w:tcPr>
                <w:p w14:paraId="418CB322" w14:textId="77777777" w:rsidR="00222B2B" w:rsidRDefault="00222B2B" w:rsidP="00222B2B">
                  <w:pPr>
                    <w:pStyle w:val="TableBody"/>
                  </w:pPr>
                  <w:r>
                    <w:t>none</w:t>
                  </w:r>
                </w:p>
              </w:tc>
              <w:tc>
                <w:tcPr>
                  <w:tcW w:w="7134" w:type="dxa"/>
                </w:tcPr>
                <w:p w14:paraId="4DC0FCA3" w14:textId="77777777" w:rsidR="00222B2B" w:rsidRDefault="00222B2B" w:rsidP="00222B2B">
                  <w:pPr>
                    <w:pStyle w:val="TableBody"/>
                  </w:pPr>
                  <w:r>
                    <w:t>A Settlement Point</w:t>
                  </w:r>
                  <w:r>
                    <w:rPr>
                      <w:iCs w:val="0"/>
                    </w:rPr>
                    <w:t xml:space="preserve"> in the 2003 ERCOT CMZ</w:t>
                  </w:r>
                  <w:r>
                    <w:t>.</w:t>
                  </w:r>
                </w:p>
              </w:tc>
            </w:tr>
            <w:tr w:rsidR="00222B2B" w14:paraId="50F712F4" w14:textId="77777777" w:rsidTr="00316CC9">
              <w:tc>
                <w:tcPr>
                  <w:tcW w:w="1979" w:type="dxa"/>
                  <w:gridSpan w:val="2"/>
                </w:tcPr>
                <w:p w14:paraId="0B876852" w14:textId="77777777" w:rsidR="00222B2B" w:rsidRPr="00A61E91" w:rsidRDefault="00222B2B" w:rsidP="00222B2B">
                  <w:pPr>
                    <w:pStyle w:val="TableBody"/>
                    <w:rPr>
                      <w:i/>
                    </w:rPr>
                  </w:pPr>
                  <w:r>
                    <w:rPr>
                      <w:i/>
                      <w:iCs w:val="0"/>
                    </w:rPr>
                    <w:t>z</w:t>
                  </w:r>
                </w:p>
              </w:tc>
              <w:tc>
                <w:tcPr>
                  <w:tcW w:w="0" w:type="auto"/>
                </w:tcPr>
                <w:p w14:paraId="64B9CAF5" w14:textId="77777777" w:rsidR="00222B2B" w:rsidRDefault="00222B2B" w:rsidP="00222B2B">
                  <w:pPr>
                    <w:pStyle w:val="TableBody"/>
                  </w:pPr>
                  <w:r>
                    <w:rPr>
                      <w:iCs w:val="0"/>
                    </w:rPr>
                    <w:t>none</w:t>
                  </w:r>
                </w:p>
              </w:tc>
              <w:tc>
                <w:tcPr>
                  <w:tcW w:w="0" w:type="auto"/>
                </w:tcPr>
                <w:p w14:paraId="46AC098C" w14:textId="77777777" w:rsidR="00222B2B" w:rsidRDefault="00222B2B" w:rsidP="00222B2B">
                  <w:pPr>
                    <w:pStyle w:val="TableBody"/>
                  </w:pPr>
                  <w:r w:rsidRPr="006D64A7">
                    <w:t>A 2003 ERCOT CMZ.</w:t>
                  </w:r>
                </w:p>
              </w:tc>
            </w:tr>
          </w:tbl>
          <w:p w14:paraId="29B03DA3" w14:textId="2C9DF0A4" w:rsidR="00222B2B" w:rsidRPr="008F39F7" w:rsidRDefault="00222B2B" w:rsidP="00316CC9">
            <w:pPr>
              <w:pStyle w:val="BodyTextNumbered"/>
            </w:pPr>
          </w:p>
        </w:tc>
      </w:tr>
    </w:tbl>
    <w:p w14:paraId="36202D4C" w14:textId="0E25FC6C" w:rsidR="003C2BD5" w:rsidRPr="00FC2DA7" w:rsidRDefault="003C2BD5" w:rsidP="00BB44BE">
      <w:pPr>
        <w:keepNext/>
        <w:widowControl w:val="0"/>
        <w:tabs>
          <w:tab w:val="left" w:pos="1260"/>
        </w:tabs>
        <w:spacing w:before="480" w:after="240"/>
        <w:ind w:left="1260" w:hanging="1260"/>
        <w:outlineLvl w:val="3"/>
        <w:rPr>
          <w:b/>
          <w:bCs/>
          <w:snapToGrid w:val="0"/>
        </w:rPr>
      </w:pPr>
      <w:bookmarkStart w:id="1812" w:name="_Toc189044405"/>
      <w:r>
        <w:rPr>
          <w:b/>
          <w:bCs/>
          <w:snapToGrid w:val="0"/>
        </w:rPr>
        <w:lastRenderedPageBreak/>
        <w:t>6.6.2.3</w:t>
      </w:r>
      <w:r w:rsidRPr="00FC2DA7">
        <w:rPr>
          <w:b/>
          <w:bCs/>
          <w:snapToGrid w:val="0"/>
        </w:rPr>
        <w:tab/>
        <w:t>ERCOT Total Adjusted Metered Load</w:t>
      </w:r>
      <w:r>
        <w:rPr>
          <w:b/>
          <w:bCs/>
          <w:snapToGrid w:val="0"/>
        </w:rPr>
        <w:t xml:space="preserve"> </w:t>
      </w:r>
      <w:r w:rsidRPr="00FC2DA7">
        <w:rPr>
          <w:b/>
          <w:bCs/>
          <w:snapToGrid w:val="0"/>
        </w:rPr>
        <w:t>for a</w:t>
      </w:r>
      <w:r>
        <w:rPr>
          <w:b/>
          <w:bCs/>
          <w:snapToGrid w:val="0"/>
        </w:rPr>
        <w:t>n</w:t>
      </w:r>
      <w:r w:rsidRPr="00FC2DA7">
        <w:rPr>
          <w:b/>
          <w:bCs/>
          <w:snapToGrid w:val="0"/>
        </w:rPr>
        <w:t xml:space="preserve"> </w:t>
      </w:r>
      <w:r>
        <w:rPr>
          <w:b/>
          <w:bCs/>
          <w:snapToGrid w:val="0"/>
        </w:rPr>
        <w:t>Operating Hour</w:t>
      </w:r>
      <w:bookmarkEnd w:id="1798"/>
      <w:bookmarkEnd w:id="1799"/>
      <w:bookmarkEnd w:id="1812"/>
    </w:p>
    <w:p w14:paraId="0B7688AA" w14:textId="3222CBA5" w:rsidR="003C2BD5" w:rsidRPr="00FC2DA7" w:rsidRDefault="003C2BD5" w:rsidP="003C2BD5">
      <w:pPr>
        <w:spacing w:after="240"/>
        <w:ind w:left="720" w:hanging="720"/>
        <w:rPr>
          <w:iCs/>
        </w:rPr>
      </w:pPr>
      <w:r>
        <w:rPr>
          <w:iCs/>
        </w:rPr>
        <w:t>(1)</w:t>
      </w:r>
      <w:r>
        <w:rPr>
          <w:iCs/>
        </w:rPr>
        <w:tab/>
      </w:r>
      <w:r w:rsidRPr="00FC2DA7">
        <w:rPr>
          <w:iCs/>
        </w:rPr>
        <w:t>ERCOT total AML for a</w:t>
      </w:r>
      <w:r>
        <w:rPr>
          <w:iCs/>
        </w:rPr>
        <w:t xml:space="preserve">n Operating Hour </w:t>
      </w:r>
      <w:r w:rsidRPr="00FC2DA7">
        <w:rPr>
          <w:iCs/>
        </w:rPr>
        <w:t>is calculated as follows:</w:t>
      </w:r>
    </w:p>
    <w:p w14:paraId="5D65A33E" w14:textId="77777777" w:rsidR="003C2BD5" w:rsidRPr="00FC2DA7" w:rsidRDefault="003C2BD5" w:rsidP="006B72E9">
      <w:pPr>
        <w:tabs>
          <w:tab w:val="left" w:pos="2250"/>
          <w:tab w:val="left" w:pos="3150"/>
          <w:tab w:val="left" w:pos="3960"/>
        </w:tabs>
        <w:spacing w:after="240"/>
        <w:ind w:left="3960" w:hanging="3240"/>
        <w:rPr>
          <w:b/>
          <w:bCs/>
        </w:rPr>
      </w:pPr>
      <w:r>
        <w:rPr>
          <w:b/>
          <w:bCs/>
        </w:rPr>
        <w:t>H</w:t>
      </w:r>
      <w:r w:rsidRPr="00FC2DA7">
        <w:rPr>
          <w:b/>
          <w:bCs/>
        </w:rPr>
        <w:t>RTAMLTOT</w:t>
      </w:r>
      <w:r w:rsidRPr="00FC2DA7">
        <w:rPr>
          <w:b/>
          <w:bCs/>
        </w:rPr>
        <w:tab/>
        <w:t>=</w:t>
      </w:r>
      <w:r w:rsidRPr="00FC2DA7">
        <w:rPr>
          <w:b/>
          <w:bCs/>
        </w:rPr>
        <w:tab/>
      </w:r>
      <w:r w:rsidRPr="00FC2DA7">
        <w:rPr>
          <w:b/>
          <w:bCs/>
          <w:position w:val="-22"/>
        </w:rPr>
        <w:object w:dxaOrig="225" w:dyaOrig="465" w14:anchorId="4DFF1BB1">
          <v:shape id="_x0000_i1098" type="#_x0000_t75" style="width:12pt;height:18pt" o:ole="">
            <v:imagedata r:id="rId90" o:title=""/>
          </v:shape>
          <o:OLEObject Type="Embed" ProgID="Equation.3" ShapeID="_x0000_i1098" DrawAspect="Content" ObjectID="_1804653583" r:id="rId103"/>
        </w:object>
      </w:r>
      <w:r>
        <w:rPr>
          <w:b/>
          <w:bCs/>
        </w:rPr>
        <w:t>(max(0,</w:t>
      </w:r>
      <w:r w:rsidRPr="00C85A50">
        <w:rPr>
          <w:b/>
          <w:bCs/>
        </w:rPr>
        <w:t xml:space="preserve"> </w:t>
      </w:r>
      <w:r w:rsidRPr="00FC2DA7">
        <w:rPr>
          <w:b/>
          <w:bCs/>
          <w:position w:val="-20"/>
        </w:rPr>
        <w:object w:dxaOrig="255" w:dyaOrig="585" w14:anchorId="4ED63895">
          <v:shape id="_x0000_i1099" type="#_x0000_t75" style="width:12pt;height:30pt" o:ole="">
            <v:imagedata r:id="rId104" o:title=""/>
          </v:shape>
          <o:OLEObject Type="Embed" ProgID="Equation.3" ShapeID="_x0000_i1099" DrawAspect="Content" ObjectID="_1804653584" r:id="rId105"/>
        </w:object>
      </w:r>
      <w:r w:rsidRPr="00FC2DA7">
        <w:rPr>
          <w:b/>
          <w:bCs/>
          <w:position w:val="-22"/>
        </w:rPr>
        <w:object w:dxaOrig="225" w:dyaOrig="465" w14:anchorId="0B457975">
          <v:shape id="_x0000_i1100" type="#_x0000_t75" style="width:12pt;height:18pt" o:ole="">
            <v:imagedata r:id="rId92" o:title=""/>
          </v:shape>
          <o:OLEObject Type="Embed" ProgID="Equation.3" ShapeID="_x0000_i1100" DrawAspect="Content" ObjectID="_1804653585" r:id="rId106"/>
        </w:object>
      </w:r>
      <w:r w:rsidRPr="00FC2DA7">
        <w:rPr>
          <w:b/>
          <w:bCs/>
        </w:rPr>
        <w:t xml:space="preserve">RTAML </w:t>
      </w:r>
      <w:r w:rsidRPr="00FC2DA7">
        <w:rPr>
          <w:b/>
          <w:bCs/>
          <w:i/>
          <w:vertAlign w:val="subscript"/>
        </w:rPr>
        <w:t>q, p</w:t>
      </w:r>
      <w:r w:rsidRPr="00FC2DA7">
        <w:rPr>
          <w:b/>
          <w:bCs/>
        </w:rPr>
        <w:t>)</w:t>
      </w:r>
      <w:r w:rsidRPr="00F95DA0">
        <w:rPr>
          <w:iCs/>
        </w:rPr>
        <w:t xml:space="preserve"> </w:t>
      </w:r>
      <w:r w:rsidRPr="00FC2DA7">
        <w:rPr>
          <w:b/>
          <w:bCs/>
        </w:rPr>
        <w:t>)</w:t>
      </w:r>
    </w:p>
    <w:p w14:paraId="1F347849" w14:textId="77777777" w:rsidR="003C2BD5" w:rsidRPr="00FC2DA7" w:rsidRDefault="003C2BD5" w:rsidP="003C2BD5">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3C2BD5" w:rsidRPr="00FC2DA7" w14:paraId="7B7A0D0D" w14:textId="77777777" w:rsidTr="008C2590">
        <w:tc>
          <w:tcPr>
            <w:tcW w:w="2003" w:type="dxa"/>
          </w:tcPr>
          <w:p w14:paraId="3AF75E8A" w14:textId="77777777" w:rsidR="003C2BD5" w:rsidRPr="00FC2DA7" w:rsidRDefault="003C2BD5" w:rsidP="008C2590">
            <w:pPr>
              <w:spacing w:after="120"/>
              <w:rPr>
                <w:b/>
                <w:iCs/>
                <w:sz w:val="20"/>
              </w:rPr>
            </w:pPr>
            <w:r w:rsidRPr="00FC2DA7">
              <w:rPr>
                <w:b/>
                <w:iCs/>
                <w:sz w:val="20"/>
              </w:rPr>
              <w:t>Variable</w:t>
            </w:r>
          </w:p>
        </w:tc>
        <w:tc>
          <w:tcPr>
            <w:tcW w:w="697" w:type="dxa"/>
          </w:tcPr>
          <w:p w14:paraId="3EF29BB1" w14:textId="77777777" w:rsidR="003C2BD5" w:rsidRPr="00FC2DA7" w:rsidRDefault="003C2BD5" w:rsidP="008C2590">
            <w:pPr>
              <w:spacing w:after="120"/>
              <w:rPr>
                <w:b/>
                <w:iCs/>
                <w:sz w:val="20"/>
              </w:rPr>
            </w:pPr>
            <w:r w:rsidRPr="00FC2DA7">
              <w:rPr>
                <w:b/>
                <w:iCs/>
                <w:sz w:val="20"/>
              </w:rPr>
              <w:t>Unit</w:t>
            </w:r>
          </w:p>
        </w:tc>
        <w:tc>
          <w:tcPr>
            <w:tcW w:w="6655" w:type="dxa"/>
          </w:tcPr>
          <w:p w14:paraId="7C4B9AAE" w14:textId="77777777" w:rsidR="003C2BD5" w:rsidRPr="00FC2DA7" w:rsidRDefault="003C2BD5" w:rsidP="008C2590">
            <w:pPr>
              <w:spacing w:after="120"/>
              <w:rPr>
                <w:b/>
                <w:iCs/>
                <w:sz w:val="20"/>
              </w:rPr>
            </w:pPr>
            <w:r w:rsidRPr="00FC2DA7">
              <w:rPr>
                <w:b/>
                <w:iCs/>
                <w:sz w:val="20"/>
              </w:rPr>
              <w:t>Description</w:t>
            </w:r>
          </w:p>
        </w:tc>
      </w:tr>
      <w:tr w:rsidR="003C2BD5" w:rsidRPr="00FC2DA7" w14:paraId="6F08E9F7" w14:textId="77777777" w:rsidTr="008C2590">
        <w:tc>
          <w:tcPr>
            <w:tcW w:w="2003" w:type="dxa"/>
          </w:tcPr>
          <w:p w14:paraId="1453B811" w14:textId="77777777" w:rsidR="003C2BD5" w:rsidRPr="00FC2DA7" w:rsidRDefault="003C2BD5" w:rsidP="008C2590">
            <w:pPr>
              <w:spacing w:after="60"/>
              <w:rPr>
                <w:iCs/>
                <w:sz w:val="20"/>
              </w:rPr>
            </w:pPr>
            <w:r>
              <w:rPr>
                <w:iCs/>
                <w:sz w:val="20"/>
              </w:rPr>
              <w:t>H</w:t>
            </w:r>
            <w:r w:rsidRPr="00FC2DA7">
              <w:rPr>
                <w:iCs/>
                <w:sz w:val="20"/>
              </w:rPr>
              <w:t>RTAMLTOT</w:t>
            </w:r>
          </w:p>
        </w:tc>
        <w:tc>
          <w:tcPr>
            <w:tcW w:w="697" w:type="dxa"/>
          </w:tcPr>
          <w:p w14:paraId="6AC91FE4" w14:textId="77777777" w:rsidR="003C2BD5" w:rsidRPr="00FC2DA7" w:rsidRDefault="003C2BD5" w:rsidP="008C2590">
            <w:pPr>
              <w:spacing w:after="60"/>
              <w:rPr>
                <w:i/>
                <w:iCs/>
                <w:sz w:val="20"/>
              </w:rPr>
            </w:pPr>
            <w:r w:rsidRPr="00FC2DA7">
              <w:rPr>
                <w:iCs/>
                <w:sz w:val="20"/>
              </w:rPr>
              <w:t>MWh</w:t>
            </w:r>
          </w:p>
        </w:tc>
        <w:tc>
          <w:tcPr>
            <w:tcW w:w="6655" w:type="dxa"/>
          </w:tcPr>
          <w:p w14:paraId="40D9651D" w14:textId="77777777" w:rsidR="003C2BD5" w:rsidRPr="00FC2DA7" w:rsidRDefault="003C2BD5" w:rsidP="008C2590">
            <w:pPr>
              <w:spacing w:after="60"/>
              <w:rPr>
                <w:iCs/>
                <w:sz w:val="20"/>
              </w:rPr>
            </w:pP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Operating Hour.</w:t>
            </w:r>
          </w:p>
        </w:tc>
      </w:tr>
      <w:tr w:rsidR="003C2BD5" w:rsidRPr="00FC2DA7" w14:paraId="19E86C54" w14:textId="77777777" w:rsidTr="008C2590">
        <w:tc>
          <w:tcPr>
            <w:tcW w:w="2003" w:type="dxa"/>
          </w:tcPr>
          <w:p w14:paraId="4404A02B" w14:textId="77777777" w:rsidR="003C2BD5" w:rsidRPr="00FC2DA7" w:rsidRDefault="003C2BD5" w:rsidP="008C2590">
            <w:pPr>
              <w:spacing w:after="60"/>
              <w:rPr>
                <w:iCs/>
                <w:sz w:val="20"/>
              </w:rPr>
            </w:pPr>
            <w:r w:rsidRPr="00FC2DA7">
              <w:rPr>
                <w:iCs/>
                <w:sz w:val="20"/>
              </w:rPr>
              <w:t xml:space="preserve">RTAML </w:t>
            </w:r>
            <w:r w:rsidRPr="00FC2DA7">
              <w:rPr>
                <w:i/>
                <w:iCs/>
                <w:sz w:val="20"/>
                <w:vertAlign w:val="subscript"/>
              </w:rPr>
              <w:t>q, p</w:t>
            </w:r>
          </w:p>
        </w:tc>
        <w:tc>
          <w:tcPr>
            <w:tcW w:w="697" w:type="dxa"/>
          </w:tcPr>
          <w:p w14:paraId="008159C8" w14:textId="77777777" w:rsidR="003C2BD5" w:rsidRPr="00FC2DA7" w:rsidRDefault="003C2BD5" w:rsidP="008C2590">
            <w:pPr>
              <w:spacing w:after="60"/>
              <w:rPr>
                <w:iCs/>
                <w:sz w:val="20"/>
              </w:rPr>
            </w:pPr>
            <w:r w:rsidRPr="00FC2DA7">
              <w:rPr>
                <w:iCs/>
                <w:sz w:val="20"/>
              </w:rPr>
              <w:t>MWh</w:t>
            </w:r>
          </w:p>
        </w:tc>
        <w:tc>
          <w:tcPr>
            <w:tcW w:w="6655" w:type="dxa"/>
          </w:tcPr>
          <w:p w14:paraId="7D5DFE0E" w14:textId="77777777" w:rsidR="003C2BD5" w:rsidRPr="00FC2DA7" w:rsidRDefault="003C2BD5" w:rsidP="008C2590">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 15-minute Settlement Interval.</w:t>
            </w:r>
          </w:p>
        </w:tc>
      </w:tr>
      <w:tr w:rsidR="003C2BD5" w:rsidRPr="00FC2DA7" w14:paraId="4427D1BF" w14:textId="77777777" w:rsidTr="008C2590">
        <w:tc>
          <w:tcPr>
            <w:tcW w:w="2003" w:type="dxa"/>
          </w:tcPr>
          <w:p w14:paraId="0490A0AB" w14:textId="77777777" w:rsidR="003C2BD5" w:rsidRPr="00FC2DA7" w:rsidRDefault="003C2BD5" w:rsidP="008C2590">
            <w:pPr>
              <w:spacing w:after="60"/>
              <w:rPr>
                <w:i/>
                <w:iCs/>
                <w:sz w:val="20"/>
              </w:rPr>
            </w:pPr>
            <w:r w:rsidRPr="00FC2DA7">
              <w:rPr>
                <w:i/>
                <w:iCs/>
                <w:sz w:val="20"/>
              </w:rPr>
              <w:t>q</w:t>
            </w:r>
          </w:p>
        </w:tc>
        <w:tc>
          <w:tcPr>
            <w:tcW w:w="697" w:type="dxa"/>
          </w:tcPr>
          <w:p w14:paraId="3B7084E8" w14:textId="77777777" w:rsidR="003C2BD5" w:rsidRPr="00FC2DA7" w:rsidRDefault="003C2BD5" w:rsidP="008C2590">
            <w:pPr>
              <w:spacing w:after="60"/>
              <w:rPr>
                <w:iCs/>
                <w:sz w:val="20"/>
              </w:rPr>
            </w:pPr>
            <w:r w:rsidRPr="00FC2DA7">
              <w:rPr>
                <w:iCs/>
                <w:sz w:val="20"/>
              </w:rPr>
              <w:t>none</w:t>
            </w:r>
          </w:p>
        </w:tc>
        <w:tc>
          <w:tcPr>
            <w:tcW w:w="6655" w:type="dxa"/>
          </w:tcPr>
          <w:p w14:paraId="66A78861" w14:textId="77777777" w:rsidR="003C2BD5" w:rsidRPr="00FC2DA7" w:rsidRDefault="003C2BD5" w:rsidP="008C2590">
            <w:pPr>
              <w:spacing w:after="60"/>
              <w:rPr>
                <w:iCs/>
                <w:sz w:val="20"/>
              </w:rPr>
            </w:pPr>
            <w:r w:rsidRPr="00FC2DA7">
              <w:rPr>
                <w:iCs/>
                <w:sz w:val="20"/>
              </w:rPr>
              <w:t>A QSE.  The summation is over all of the QSEs with metered readings in that interval.</w:t>
            </w:r>
          </w:p>
        </w:tc>
      </w:tr>
      <w:tr w:rsidR="003C2BD5" w:rsidRPr="00FC2DA7" w14:paraId="61F105F1" w14:textId="77777777" w:rsidTr="008C2590">
        <w:tc>
          <w:tcPr>
            <w:tcW w:w="2003" w:type="dxa"/>
          </w:tcPr>
          <w:p w14:paraId="46A6646D" w14:textId="77777777" w:rsidR="003C2BD5" w:rsidRPr="00FC2DA7" w:rsidRDefault="003C2BD5" w:rsidP="008C2590">
            <w:pPr>
              <w:spacing w:after="60"/>
              <w:rPr>
                <w:i/>
                <w:iCs/>
                <w:sz w:val="20"/>
              </w:rPr>
            </w:pPr>
            <w:r w:rsidRPr="00FC2DA7">
              <w:rPr>
                <w:i/>
                <w:iCs/>
                <w:sz w:val="20"/>
              </w:rPr>
              <w:t>p</w:t>
            </w:r>
          </w:p>
        </w:tc>
        <w:tc>
          <w:tcPr>
            <w:tcW w:w="697" w:type="dxa"/>
          </w:tcPr>
          <w:p w14:paraId="786793D8" w14:textId="77777777" w:rsidR="003C2BD5" w:rsidRPr="00FC2DA7" w:rsidRDefault="003C2BD5" w:rsidP="008C2590">
            <w:pPr>
              <w:spacing w:after="60"/>
              <w:rPr>
                <w:iCs/>
                <w:sz w:val="20"/>
              </w:rPr>
            </w:pPr>
            <w:r w:rsidRPr="00FC2DA7">
              <w:rPr>
                <w:iCs/>
                <w:sz w:val="20"/>
              </w:rPr>
              <w:t>none</w:t>
            </w:r>
          </w:p>
        </w:tc>
        <w:tc>
          <w:tcPr>
            <w:tcW w:w="6655" w:type="dxa"/>
          </w:tcPr>
          <w:p w14:paraId="389FB50A" w14:textId="77777777" w:rsidR="003C2BD5" w:rsidRPr="00FC2DA7" w:rsidRDefault="003C2BD5" w:rsidP="008C2590">
            <w:pPr>
              <w:spacing w:after="60"/>
              <w:rPr>
                <w:iCs/>
                <w:sz w:val="20"/>
              </w:rPr>
            </w:pPr>
            <w:r w:rsidRPr="00FC2DA7">
              <w:rPr>
                <w:iCs/>
                <w:sz w:val="20"/>
              </w:rPr>
              <w:t>A Settlement Point.  The summation is over all of the Settlement Points.</w:t>
            </w:r>
          </w:p>
        </w:tc>
      </w:tr>
      <w:tr w:rsidR="003C2BD5" w:rsidRPr="00FC2DA7" w14:paraId="634DF73F" w14:textId="77777777" w:rsidTr="008C2590">
        <w:trPr>
          <w:cantSplit/>
        </w:trPr>
        <w:tc>
          <w:tcPr>
            <w:tcW w:w="2003" w:type="dxa"/>
          </w:tcPr>
          <w:p w14:paraId="767DC910" w14:textId="77777777" w:rsidR="003C2BD5" w:rsidRPr="00FC2DA7" w:rsidRDefault="003C2BD5" w:rsidP="008C2590">
            <w:pPr>
              <w:spacing w:after="60"/>
              <w:rPr>
                <w:i/>
                <w:iCs/>
                <w:sz w:val="20"/>
              </w:rPr>
            </w:pPr>
            <w:r w:rsidRPr="00FC2DA7">
              <w:rPr>
                <w:i/>
                <w:iCs/>
                <w:sz w:val="20"/>
              </w:rPr>
              <w:t>i</w:t>
            </w:r>
          </w:p>
        </w:tc>
        <w:tc>
          <w:tcPr>
            <w:tcW w:w="697" w:type="dxa"/>
          </w:tcPr>
          <w:p w14:paraId="529754D6" w14:textId="77777777" w:rsidR="003C2BD5" w:rsidRPr="00FC2DA7" w:rsidRDefault="003C2BD5" w:rsidP="008C2590">
            <w:pPr>
              <w:spacing w:after="60"/>
              <w:rPr>
                <w:iCs/>
                <w:sz w:val="20"/>
              </w:rPr>
            </w:pPr>
            <w:r w:rsidRPr="00FC2DA7">
              <w:rPr>
                <w:iCs/>
                <w:sz w:val="20"/>
              </w:rPr>
              <w:t>none</w:t>
            </w:r>
          </w:p>
        </w:tc>
        <w:tc>
          <w:tcPr>
            <w:tcW w:w="6655" w:type="dxa"/>
          </w:tcPr>
          <w:p w14:paraId="129E707C" w14:textId="77777777" w:rsidR="003C2BD5" w:rsidRPr="00FC2DA7" w:rsidRDefault="003C2BD5" w:rsidP="008C2590">
            <w:pPr>
              <w:spacing w:after="60"/>
              <w:rPr>
                <w:iCs/>
                <w:sz w:val="20"/>
              </w:rPr>
            </w:pPr>
            <w:r w:rsidRPr="00FC2DA7">
              <w:rPr>
                <w:iCs/>
                <w:sz w:val="20"/>
              </w:rPr>
              <w:t xml:space="preserve">A 15-minute Settlement Interval in the Operating Hour.  The summation </w:t>
            </w:r>
            <w:r>
              <w:rPr>
                <w:iCs/>
                <w:sz w:val="20"/>
              </w:rPr>
              <w:t xml:space="preserve">is </w:t>
            </w:r>
            <w:r w:rsidRPr="00FC2DA7">
              <w:rPr>
                <w:iCs/>
                <w:sz w:val="20"/>
              </w:rPr>
              <w:t>over all of the Settlement Intervals of the Operating Hour.</w:t>
            </w:r>
          </w:p>
        </w:tc>
      </w:tr>
    </w:tbl>
    <w:p w14:paraId="4113208D" w14:textId="77777777" w:rsidR="001F04FD" w:rsidRDefault="001F04FD" w:rsidP="001F04FD">
      <w:pPr>
        <w:pStyle w:val="H4"/>
        <w:spacing w:before="480"/>
        <w:ind w:left="1267" w:hanging="1267"/>
      </w:pPr>
      <w:bookmarkStart w:id="1813" w:name="_Toc458770307"/>
      <w:bookmarkStart w:id="1814" w:name="_Toc459294275"/>
      <w:bookmarkStart w:id="1815" w:name="_Toc463262768"/>
      <w:bookmarkStart w:id="1816" w:name="_Toc468286841"/>
      <w:bookmarkStart w:id="1817" w:name="_Toc481502885"/>
      <w:bookmarkStart w:id="1818" w:name="_Toc496080053"/>
      <w:bookmarkStart w:id="1819" w:name="_Toc189044406"/>
      <w:r>
        <w:t>6.6.2.</w:t>
      </w:r>
      <w:r w:rsidR="003C2BD5">
        <w:t>4</w:t>
      </w:r>
      <w:r>
        <w:tab/>
        <w:t>QSE Load Ratio Share for an Operating Hour</w:t>
      </w:r>
      <w:bookmarkEnd w:id="1800"/>
      <w:bookmarkEnd w:id="1801"/>
      <w:bookmarkEnd w:id="1802"/>
      <w:bookmarkEnd w:id="1803"/>
      <w:bookmarkEnd w:id="1804"/>
      <w:bookmarkEnd w:id="1805"/>
      <w:bookmarkEnd w:id="1806"/>
      <w:bookmarkEnd w:id="1807"/>
      <w:bookmarkEnd w:id="1808"/>
      <w:bookmarkEnd w:id="1809"/>
      <w:bookmarkEnd w:id="1813"/>
      <w:bookmarkEnd w:id="1814"/>
      <w:bookmarkEnd w:id="1815"/>
      <w:bookmarkEnd w:id="1816"/>
      <w:bookmarkEnd w:id="1817"/>
      <w:bookmarkEnd w:id="1818"/>
      <w:bookmarkEnd w:id="1819"/>
    </w:p>
    <w:p w14:paraId="15D493F2" w14:textId="77777777" w:rsidR="001F04FD" w:rsidRDefault="001F04FD" w:rsidP="001F04FD">
      <w:pPr>
        <w:pStyle w:val="BodyText"/>
      </w:pPr>
      <w:r>
        <w:t>(1)</w:t>
      </w:r>
      <w:r>
        <w:tab/>
        <w:t>Each QSE’s LRS for an Operating Hour is calculated as follows:</w:t>
      </w:r>
    </w:p>
    <w:p w14:paraId="173C72C6" w14:textId="77777777" w:rsidR="001F04FD" w:rsidRDefault="001F04FD" w:rsidP="001F04FD">
      <w:pPr>
        <w:pStyle w:val="FormulaBold"/>
        <w:rPr>
          <w:lang w:val="sv-SE"/>
        </w:rPr>
      </w:pPr>
      <w:r>
        <w:rPr>
          <w:lang w:val="sv-SE"/>
        </w:rPr>
        <w:t>HLRS</w:t>
      </w:r>
      <w:r>
        <w:rPr>
          <w:i/>
          <w:vertAlign w:val="subscript"/>
          <w:lang w:val="sv-SE"/>
        </w:rPr>
        <w:t xml:space="preserve"> q</w:t>
      </w:r>
      <w:r>
        <w:rPr>
          <w:lang w:val="sv-SE"/>
        </w:rPr>
        <w:tab/>
        <w:t>=</w:t>
      </w:r>
      <w:r>
        <w:rPr>
          <w:lang w:val="sv-SE"/>
        </w:rPr>
        <w:tab/>
        <w:t>(</w:t>
      </w:r>
      <w:r w:rsidR="003C2BD5" w:rsidRPr="00103433">
        <w:rPr>
          <w:bCs w:val="0"/>
        </w:rPr>
        <w:t>max(0,</w:t>
      </w:r>
      <w:r w:rsidRPr="006F784F">
        <w:rPr>
          <w:position w:val="-20"/>
        </w:rPr>
        <w:object w:dxaOrig="255" w:dyaOrig="585" w14:anchorId="0351425E">
          <v:shape id="_x0000_i1101" type="#_x0000_t75" style="width:12pt;height:30pt" o:ole="">
            <v:imagedata r:id="rId104" o:title=""/>
          </v:shape>
          <o:OLEObject Type="Embed" ProgID="Equation.3" ShapeID="_x0000_i1101" DrawAspect="Content" ObjectID="_1804653586" r:id="rId107"/>
        </w:object>
      </w:r>
      <w:r w:rsidRPr="006F784F">
        <w:rPr>
          <w:position w:val="-22"/>
        </w:rPr>
        <w:object w:dxaOrig="225" w:dyaOrig="465" w14:anchorId="5F6BC0DA">
          <v:shape id="_x0000_i1102" type="#_x0000_t75" style="width:12pt;height:18pt" o:ole="">
            <v:imagedata r:id="rId92" o:title=""/>
          </v:shape>
          <o:OLEObject Type="Embed" ProgID="Equation.3" ShapeID="_x0000_i1102" DrawAspect="Content" ObjectID="_1804653587" r:id="rId108"/>
        </w:object>
      </w:r>
      <w:r>
        <w:rPr>
          <w:lang w:val="sv-SE"/>
        </w:rPr>
        <w:t xml:space="preserve">RTAML </w:t>
      </w:r>
      <w:r>
        <w:rPr>
          <w:i/>
          <w:vertAlign w:val="subscript"/>
          <w:lang w:val="sv-SE"/>
        </w:rPr>
        <w:t>q, p, i</w:t>
      </w:r>
      <w:r>
        <w:rPr>
          <w:lang w:val="sv-SE"/>
        </w:rPr>
        <w:t>)</w:t>
      </w:r>
      <w:r w:rsidR="003C2BD5">
        <w:rPr>
          <w:lang w:val="sv-SE"/>
        </w:rPr>
        <w:t>)</w:t>
      </w:r>
      <w:r>
        <w:rPr>
          <w:lang w:val="sv-SE"/>
        </w:rPr>
        <w:t xml:space="preserve"> / (</w:t>
      </w:r>
      <w:r w:rsidR="003C2BD5">
        <w:t>H</w:t>
      </w:r>
      <w:r>
        <w:rPr>
          <w:lang w:val="sv-SE"/>
        </w:rPr>
        <w:t xml:space="preserve">RTAMLTOT)  </w:t>
      </w:r>
    </w:p>
    <w:p w14:paraId="050BD0D4" w14:textId="77777777" w:rsidR="001F04FD" w:rsidRDefault="001F04FD" w:rsidP="001F04FD">
      <w:r>
        <w:t>The above variables are defined as follows:</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1"/>
        <w:gridCol w:w="900"/>
        <w:gridCol w:w="7225"/>
      </w:tblGrid>
      <w:tr w:rsidR="001F04FD" w14:paraId="2E2FDE36" w14:textId="77777777" w:rsidTr="00316CC9">
        <w:trPr>
          <w:cantSplit/>
        </w:trPr>
        <w:tc>
          <w:tcPr>
            <w:tcW w:w="2161" w:type="dxa"/>
          </w:tcPr>
          <w:p w14:paraId="3156FFA7" w14:textId="77777777" w:rsidR="001F04FD" w:rsidRDefault="001F04FD" w:rsidP="00AC4DEE">
            <w:pPr>
              <w:pStyle w:val="TableHead"/>
            </w:pPr>
            <w:r>
              <w:t>Variable</w:t>
            </w:r>
          </w:p>
        </w:tc>
        <w:tc>
          <w:tcPr>
            <w:tcW w:w="900" w:type="dxa"/>
          </w:tcPr>
          <w:p w14:paraId="719A6AB4" w14:textId="77777777" w:rsidR="001F04FD" w:rsidRDefault="001F04FD" w:rsidP="00AC4DEE">
            <w:pPr>
              <w:pStyle w:val="TableHead"/>
            </w:pPr>
            <w:r>
              <w:t>Unit</w:t>
            </w:r>
          </w:p>
        </w:tc>
        <w:tc>
          <w:tcPr>
            <w:tcW w:w="7225" w:type="dxa"/>
          </w:tcPr>
          <w:p w14:paraId="4BFC6EB4" w14:textId="77777777" w:rsidR="001F04FD" w:rsidRDefault="001F04FD" w:rsidP="00AC4DEE">
            <w:pPr>
              <w:pStyle w:val="TableHead"/>
            </w:pPr>
            <w:r>
              <w:t>Description</w:t>
            </w:r>
          </w:p>
        </w:tc>
      </w:tr>
      <w:tr w:rsidR="001F04FD" w14:paraId="1C1CC40F" w14:textId="77777777" w:rsidTr="00316CC9">
        <w:trPr>
          <w:cantSplit/>
        </w:trPr>
        <w:tc>
          <w:tcPr>
            <w:tcW w:w="2161" w:type="dxa"/>
          </w:tcPr>
          <w:p w14:paraId="7D6C89E4" w14:textId="77777777" w:rsidR="001F04FD" w:rsidRDefault="001F04FD" w:rsidP="00AC4DEE">
            <w:pPr>
              <w:pStyle w:val="TableBody"/>
            </w:pPr>
            <w:r>
              <w:t>HLRS</w:t>
            </w:r>
            <w:r>
              <w:rPr>
                <w:i/>
                <w:vertAlign w:val="subscript"/>
              </w:rPr>
              <w:t xml:space="preserve"> q</w:t>
            </w:r>
          </w:p>
        </w:tc>
        <w:tc>
          <w:tcPr>
            <w:tcW w:w="900" w:type="dxa"/>
          </w:tcPr>
          <w:p w14:paraId="47F2EC95" w14:textId="77777777" w:rsidR="001F04FD" w:rsidRDefault="001F04FD" w:rsidP="00AC4DEE">
            <w:pPr>
              <w:pStyle w:val="TableBody"/>
            </w:pPr>
            <w:r>
              <w:t>none</w:t>
            </w:r>
          </w:p>
        </w:tc>
        <w:tc>
          <w:tcPr>
            <w:tcW w:w="7225" w:type="dxa"/>
          </w:tcPr>
          <w:p w14:paraId="4D6AFA9A" w14:textId="77777777" w:rsidR="001F04FD" w:rsidRDefault="001F04FD" w:rsidP="00AC4DEE">
            <w:pPr>
              <w:pStyle w:val="TableBody"/>
              <w:rPr>
                <w:i/>
              </w:rPr>
            </w:pPr>
            <w:r>
              <w:rPr>
                <w:i/>
              </w:rPr>
              <w:t>Hourly Load Ratio Share per QSE</w:t>
            </w:r>
            <w:r>
              <w:t xml:space="preserve">—The LRS as defined in Section 2, Definitions and Acronyms, for QSE </w:t>
            </w:r>
            <w:r>
              <w:rPr>
                <w:i/>
              </w:rPr>
              <w:t>q</w:t>
            </w:r>
            <w:r>
              <w:t>, for the hour.</w:t>
            </w:r>
          </w:p>
        </w:tc>
      </w:tr>
      <w:tr w:rsidR="001F04FD" w14:paraId="5466B4D4" w14:textId="77777777" w:rsidTr="00316CC9">
        <w:trPr>
          <w:cantSplit/>
        </w:trPr>
        <w:tc>
          <w:tcPr>
            <w:tcW w:w="2161" w:type="dxa"/>
          </w:tcPr>
          <w:p w14:paraId="169A2C53" w14:textId="77777777" w:rsidR="001F04FD" w:rsidRDefault="001F04FD" w:rsidP="00AC4DEE">
            <w:pPr>
              <w:pStyle w:val="TableBody"/>
            </w:pPr>
            <w:r>
              <w:lastRenderedPageBreak/>
              <w:t xml:space="preserve">RTAML </w:t>
            </w:r>
            <w:r w:rsidRPr="00107CC2">
              <w:rPr>
                <w:i/>
                <w:vertAlign w:val="subscript"/>
              </w:rPr>
              <w:t>q, p, i</w:t>
            </w:r>
          </w:p>
        </w:tc>
        <w:tc>
          <w:tcPr>
            <w:tcW w:w="900" w:type="dxa"/>
          </w:tcPr>
          <w:p w14:paraId="33A31A76" w14:textId="77777777" w:rsidR="001F04FD" w:rsidRDefault="001F04FD" w:rsidP="00AC4DEE">
            <w:pPr>
              <w:pStyle w:val="TableBody"/>
            </w:pPr>
            <w:r>
              <w:t>MWh</w:t>
            </w:r>
          </w:p>
        </w:tc>
        <w:tc>
          <w:tcPr>
            <w:tcW w:w="7225" w:type="dxa"/>
          </w:tcPr>
          <w:p w14:paraId="133ADE16" w14:textId="77777777" w:rsidR="001F04FD" w:rsidRDefault="001F04FD" w:rsidP="00E91BBF">
            <w:pPr>
              <w:pStyle w:val="TableBody"/>
            </w:pPr>
            <w:r>
              <w:rPr>
                <w:i/>
              </w:rPr>
              <w:t>Real-Time Adjusted Metered Load per Settlement Point per QSE by interval</w:t>
            </w:r>
            <w:r>
              <w:t xml:space="preserve">—The sum of the </w:t>
            </w:r>
            <w:r w:rsidR="00E91BBF">
              <w:t>AML</w:t>
            </w:r>
            <w:r>
              <w:t xml:space="preserve"> at the Electrical Buses that are included in the Settlement Point </w:t>
            </w:r>
            <w:r>
              <w:rPr>
                <w:i/>
              </w:rPr>
              <w:t>p</w:t>
            </w:r>
            <w:r>
              <w:t xml:space="preserve">, represented by QSE </w:t>
            </w:r>
            <w:r>
              <w:rPr>
                <w:i/>
              </w:rPr>
              <w:t>q</w:t>
            </w:r>
            <w:r>
              <w:t xml:space="preserve"> for the 15-minute Settlement Interval </w:t>
            </w:r>
            <w:r>
              <w:rPr>
                <w:i/>
              </w:rPr>
              <w:t>i</w:t>
            </w:r>
            <w:r>
              <w:t>.</w:t>
            </w:r>
          </w:p>
        </w:tc>
      </w:tr>
      <w:tr w:rsidR="001F04FD" w14:paraId="4E813B50" w14:textId="77777777" w:rsidTr="00316CC9">
        <w:trPr>
          <w:cantSplit/>
        </w:trPr>
        <w:tc>
          <w:tcPr>
            <w:tcW w:w="2161" w:type="dxa"/>
          </w:tcPr>
          <w:p w14:paraId="033403C2" w14:textId="77777777" w:rsidR="001F04FD" w:rsidRDefault="003C2BD5" w:rsidP="00AC4DEE">
            <w:pPr>
              <w:pStyle w:val="TableBody"/>
            </w:pPr>
            <w:r>
              <w:t>H</w:t>
            </w:r>
            <w:r w:rsidR="001F04FD">
              <w:t>RTAMLTOT</w:t>
            </w:r>
          </w:p>
        </w:tc>
        <w:tc>
          <w:tcPr>
            <w:tcW w:w="900" w:type="dxa"/>
          </w:tcPr>
          <w:p w14:paraId="7D80DBAD" w14:textId="77777777" w:rsidR="001F04FD" w:rsidRDefault="001F04FD" w:rsidP="00AC4DEE">
            <w:pPr>
              <w:pStyle w:val="TableBody"/>
            </w:pPr>
            <w:r>
              <w:t>MWh</w:t>
            </w:r>
          </w:p>
        </w:tc>
        <w:tc>
          <w:tcPr>
            <w:tcW w:w="7225" w:type="dxa"/>
          </w:tcPr>
          <w:p w14:paraId="53787083" w14:textId="77777777" w:rsidR="001F04FD" w:rsidRDefault="001F04FD" w:rsidP="00E91BBF">
            <w:pPr>
              <w:pStyle w:val="TableBody"/>
            </w:pPr>
            <w:r>
              <w:rPr>
                <w:i/>
              </w:rPr>
              <w:t>Real-Time Adjusted Metered Load Total</w:t>
            </w:r>
            <w:r>
              <w:t xml:space="preserve">—The total </w:t>
            </w:r>
            <w:r w:rsidR="00E91BBF">
              <w:t>AML</w:t>
            </w:r>
            <w:r>
              <w:t xml:space="preserve"> in ERCOT, for the </w:t>
            </w:r>
            <w:r w:rsidR="003C2BD5">
              <w:t>Operating Hour</w:t>
            </w:r>
            <w:r>
              <w:t>.</w:t>
            </w:r>
          </w:p>
        </w:tc>
      </w:tr>
      <w:tr w:rsidR="001F04FD" w14:paraId="22345FBB" w14:textId="77777777" w:rsidTr="00316CC9">
        <w:trPr>
          <w:cantSplit/>
        </w:trPr>
        <w:tc>
          <w:tcPr>
            <w:tcW w:w="2161" w:type="dxa"/>
          </w:tcPr>
          <w:p w14:paraId="4ECD5137" w14:textId="77777777" w:rsidR="001F04FD" w:rsidRPr="00993F9F" w:rsidRDefault="001F04FD" w:rsidP="00AC4DEE">
            <w:pPr>
              <w:pStyle w:val="TableBody"/>
              <w:rPr>
                <w:i/>
              </w:rPr>
            </w:pPr>
            <w:r w:rsidRPr="00A61E91">
              <w:rPr>
                <w:i/>
              </w:rPr>
              <w:t>p</w:t>
            </w:r>
          </w:p>
        </w:tc>
        <w:tc>
          <w:tcPr>
            <w:tcW w:w="900" w:type="dxa"/>
          </w:tcPr>
          <w:p w14:paraId="35B18D10" w14:textId="77777777" w:rsidR="001F04FD" w:rsidRDefault="001F04FD" w:rsidP="00AC4DEE">
            <w:pPr>
              <w:pStyle w:val="TableBody"/>
            </w:pPr>
            <w:r>
              <w:t>none</w:t>
            </w:r>
          </w:p>
        </w:tc>
        <w:tc>
          <w:tcPr>
            <w:tcW w:w="7225" w:type="dxa"/>
          </w:tcPr>
          <w:p w14:paraId="777D6FBB" w14:textId="77777777" w:rsidR="001F04FD" w:rsidRDefault="001F04FD" w:rsidP="00AC4DEE">
            <w:pPr>
              <w:pStyle w:val="TableBody"/>
            </w:pPr>
            <w:r>
              <w:t>A Settlement Point.  The summation is over all of the Settlement Points.</w:t>
            </w:r>
          </w:p>
        </w:tc>
      </w:tr>
      <w:tr w:rsidR="001F04FD" w14:paraId="65648205" w14:textId="77777777" w:rsidTr="00316CC9">
        <w:trPr>
          <w:cantSplit/>
        </w:trPr>
        <w:tc>
          <w:tcPr>
            <w:tcW w:w="2161" w:type="dxa"/>
          </w:tcPr>
          <w:p w14:paraId="4E495A15" w14:textId="77777777" w:rsidR="001F04FD" w:rsidRPr="00993F9F" w:rsidRDefault="001F04FD" w:rsidP="00AC4DEE">
            <w:pPr>
              <w:pStyle w:val="TableBody"/>
              <w:rPr>
                <w:i/>
              </w:rPr>
            </w:pPr>
            <w:r w:rsidRPr="00A61E91">
              <w:rPr>
                <w:i/>
              </w:rPr>
              <w:t>i</w:t>
            </w:r>
          </w:p>
        </w:tc>
        <w:tc>
          <w:tcPr>
            <w:tcW w:w="900" w:type="dxa"/>
          </w:tcPr>
          <w:p w14:paraId="6F11A69A" w14:textId="77777777" w:rsidR="001F04FD" w:rsidRDefault="001F04FD" w:rsidP="00AC4DEE">
            <w:pPr>
              <w:pStyle w:val="TableBody"/>
            </w:pPr>
            <w:r>
              <w:t>none</w:t>
            </w:r>
          </w:p>
        </w:tc>
        <w:tc>
          <w:tcPr>
            <w:tcW w:w="7225" w:type="dxa"/>
          </w:tcPr>
          <w:p w14:paraId="13314D05" w14:textId="77777777" w:rsidR="001F04FD" w:rsidRDefault="001F04FD" w:rsidP="00E91BBF">
            <w:pPr>
              <w:pStyle w:val="TableBody"/>
            </w:pPr>
            <w:r>
              <w:t xml:space="preserve">A 15-minute Settlement Interval in the Operating Hour.  The summation </w:t>
            </w:r>
            <w:r w:rsidR="00E91BBF">
              <w:t xml:space="preserve">is </w:t>
            </w:r>
            <w:r>
              <w:t>over all of the Settlement Intervals of the Operating Hour.</w:t>
            </w:r>
          </w:p>
        </w:tc>
      </w:tr>
    </w:tbl>
    <w:p w14:paraId="71DEAB93" w14:textId="77777777" w:rsidR="00316CC9" w:rsidRDefault="00316CC9"/>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316CC9" w14:paraId="6DC3213A" w14:textId="77777777" w:rsidTr="00316CC9">
        <w:trPr>
          <w:trHeight w:val="206"/>
        </w:trPr>
        <w:tc>
          <w:tcPr>
            <w:tcW w:w="10080" w:type="dxa"/>
            <w:shd w:val="pct12" w:color="auto" w:fill="auto"/>
          </w:tcPr>
          <w:p w14:paraId="24AFC55E" w14:textId="755BA881" w:rsidR="00316CC9" w:rsidRDefault="00316CC9" w:rsidP="00316CC9">
            <w:pPr>
              <w:pStyle w:val="Instructions"/>
              <w:spacing w:before="120"/>
            </w:pPr>
            <w:bookmarkStart w:id="1820" w:name="_Toc109009388"/>
            <w:bookmarkStart w:id="1821" w:name="_Toc397505012"/>
            <w:bookmarkStart w:id="1822" w:name="_Toc402357140"/>
            <w:bookmarkStart w:id="1823" w:name="_Toc422486518"/>
            <w:bookmarkStart w:id="1824" w:name="_Toc433093370"/>
            <w:bookmarkStart w:id="1825" w:name="_Toc433093528"/>
            <w:bookmarkStart w:id="1826" w:name="_Toc440874756"/>
            <w:bookmarkStart w:id="1827" w:name="_Toc448142311"/>
            <w:bookmarkStart w:id="1828" w:name="_Toc448142468"/>
            <w:bookmarkStart w:id="1829" w:name="_Toc458770309"/>
            <w:bookmarkStart w:id="1830" w:name="_Toc459294277"/>
            <w:bookmarkStart w:id="1831" w:name="_Toc463262770"/>
            <w:bookmarkStart w:id="1832" w:name="_Toc468286843"/>
            <w:bookmarkStart w:id="1833" w:name="_Toc481502886"/>
            <w:bookmarkStart w:id="1834" w:name="_Toc496080054"/>
            <w:r>
              <w:t>[NPRR1030:  Insert Section 6.6.2.5 below upon system implementation:]</w:t>
            </w:r>
          </w:p>
          <w:p w14:paraId="054AC84E" w14:textId="77777777" w:rsidR="00694BD2" w:rsidRPr="00FC2DA7" w:rsidRDefault="00694BD2" w:rsidP="00694BD2">
            <w:pPr>
              <w:keepNext/>
              <w:widowControl w:val="0"/>
              <w:tabs>
                <w:tab w:val="left" w:pos="1260"/>
              </w:tabs>
              <w:spacing w:before="480" w:after="240"/>
              <w:outlineLvl w:val="3"/>
              <w:rPr>
                <w:b/>
                <w:bCs/>
                <w:snapToGrid w:val="0"/>
              </w:rPr>
            </w:pPr>
            <w:bookmarkStart w:id="1835" w:name="_Toc189044407"/>
            <w:r>
              <w:rPr>
                <w:b/>
                <w:bCs/>
                <w:snapToGrid w:val="0"/>
              </w:rPr>
              <w:t>6.6.2.5</w:t>
            </w:r>
            <w:r w:rsidRPr="00FC2DA7">
              <w:rPr>
                <w:b/>
                <w:bCs/>
                <w:snapToGrid w:val="0"/>
              </w:rPr>
              <w:tab/>
              <w:t>ERCOT Total Adjusted Metered Load</w:t>
            </w:r>
            <w:r>
              <w:rPr>
                <w:b/>
                <w:bCs/>
                <w:snapToGrid w:val="0"/>
              </w:rPr>
              <w:t xml:space="preserve"> </w:t>
            </w:r>
            <w:r w:rsidRPr="00FC2DA7">
              <w:rPr>
                <w:b/>
                <w:bCs/>
                <w:snapToGrid w:val="0"/>
              </w:rPr>
              <w:t xml:space="preserve">for </w:t>
            </w:r>
            <w:r>
              <w:rPr>
                <w:b/>
                <w:bCs/>
                <w:snapToGrid w:val="0"/>
              </w:rPr>
              <w:t>a Month</w:t>
            </w:r>
            <w:bookmarkEnd w:id="1835"/>
          </w:p>
          <w:p w14:paraId="20F311A9" w14:textId="77777777" w:rsidR="00694BD2" w:rsidRPr="00FC2DA7" w:rsidRDefault="00694BD2" w:rsidP="00694BD2">
            <w:pPr>
              <w:spacing w:after="240"/>
              <w:ind w:left="720" w:hanging="720"/>
              <w:rPr>
                <w:iCs/>
              </w:rPr>
            </w:pPr>
            <w:r>
              <w:rPr>
                <w:iCs/>
              </w:rPr>
              <w:t>(1)</w:t>
            </w:r>
            <w:r>
              <w:rPr>
                <w:iCs/>
              </w:rPr>
              <w:tab/>
            </w:r>
            <w:r w:rsidRPr="00FC2DA7">
              <w:rPr>
                <w:iCs/>
              </w:rPr>
              <w:t>ERCOT total AML for a</w:t>
            </w:r>
            <w:r>
              <w:rPr>
                <w:iCs/>
              </w:rPr>
              <w:t xml:space="preserve"> calendar month </w:t>
            </w:r>
            <w:r w:rsidRPr="00FC2DA7">
              <w:rPr>
                <w:iCs/>
              </w:rPr>
              <w:t>is calculated as follows:</w:t>
            </w:r>
          </w:p>
          <w:p w14:paraId="27F93226" w14:textId="77777777"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RTAMLTOT</w:t>
            </w:r>
            <w:r w:rsidRPr="00FC2DA7">
              <w:rPr>
                <w:b/>
                <w:bCs/>
              </w:rPr>
              <w:tab/>
              <w:t>=</w:t>
            </w:r>
            <w:r w:rsidRPr="00FC2DA7">
              <w:rPr>
                <w:b/>
                <w:bCs/>
              </w:rPr>
              <w:tab/>
            </w:r>
            <w:r w:rsidRPr="00FC2DA7">
              <w:rPr>
                <w:b/>
                <w:bCs/>
                <w:position w:val="-22"/>
              </w:rPr>
              <w:object w:dxaOrig="225" w:dyaOrig="465" w14:anchorId="7AF000B6">
                <v:shape id="_x0000_i1103" type="#_x0000_t75" style="width:12pt;height:18pt" o:ole="">
                  <v:imagedata r:id="rId96" o:title=""/>
                </v:shape>
                <o:OLEObject Type="Embed" ProgID="Equation.3" ShapeID="_x0000_i1103" DrawAspect="Content" ObjectID="_1804653588" r:id="rId109"/>
              </w:object>
            </w:r>
            <w:r>
              <w:rPr>
                <w:b/>
                <w:bCs/>
              </w:rPr>
              <w:t>(max(0,</w:t>
            </w:r>
            <w:r w:rsidRPr="002F4893">
              <w:rPr>
                <w:b/>
                <w:bCs/>
                <w:sz w:val="12"/>
                <w:szCs w:val="12"/>
              </w:rPr>
              <w:t xml:space="preserve"> </w:t>
            </w:r>
            <w:r w:rsidRPr="00F80C33">
              <w:rPr>
                <w:position w:val="-20"/>
              </w:rPr>
              <w:object w:dxaOrig="220" w:dyaOrig="440" w14:anchorId="64585321">
                <v:shape id="_x0000_i1104" type="#_x0000_t75" style="width:6pt;height:24pt" o:ole="">
                  <v:imagedata r:id="rId110" o:title=""/>
                </v:shape>
                <o:OLEObject Type="Embed" ProgID="Equation.3" ShapeID="_x0000_i1104" DrawAspect="Content" ObjectID="_1804653589" r:id="rId111"/>
              </w:object>
            </w:r>
            <w:r w:rsidRPr="00FC2DA7">
              <w:rPr>
                <w:b/>
                <w:bCs/>
                <w:position w:val="-22"/>
              </w:rPr>
              <w:object w:dxaOrig="225" w:dyaOrig="465" w14:anchorId="2B7A137F">
                <v:shape id="_x0000_i1105" type="#_x0000_t75" style="width:12pt;height:18pt" o:ole="">
                  <v:imagedata r:id="rId98" o:title=""/>
                </v:shape>
                <o:OLEObject Type="Embed" ProgID="Equation.3" ShapeID="_x0000_i1105" DrawAspect="Content" ObjectID="_1804653590" r:id="rId112"/>
              </w:object>
            </w:r>
            <w:r w:rsidRPr="00FC2DA7">
              <w:rPr>
                <w:b/>
                <w:bCs/>
              </w:rPr>
              <w:t xml:space="preserve">RTAML </w:t>
            </w:r>
            <w:r w:rsidRPr="00FC2DA7">
              <w:rPr>
                <w:b/>
                <w:bCs/>
                <w:i/>
                <w:vertAlign w:val="subscript"/>
              </w:rPr>
              <w:t>q, p</w:t>
            </w:r>
            <w:r>
              <w:rPr>
                <w:b/>
                <w:bCs/>
                <w:i/>
                <w:vertAlign w:val="subscript"/>
              </w:rPr>
              <w:t>,i</w:t>
            </w:r>
            <w:r w:rsidRPr="00FC2DA7">
              <w:rPr>
                <w:b/>
                <w:bCs/>
              </w:rPr>
              <w:t>))</w:t>
            </w:r>
          </w:p>
          <w:p w14:paraId="1E05A6A9"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22EEC2FE" w14:textId="77777777" w:rsidTr="00663874">
              <w:tc>
                <w:tcPr>
                  <w:tcW w:w="2003" w:type="dxa"/>
                </w:tcPr>
                <w:p w14:paraId="4EC06680" w14:textId="77777777" w:rsidR="00694BD2" w:rsidRPr="00FC2DA7" w:rsidRDefault="00694BD2" w:rsidP="00694BD2">
                  <w:pPr>
                    <w:spacing w:after="120"/>
                    <w:rPr>
                      <w:b/>
                      <w:iCs/>
                      <w:sz w:val="20"/>
                    </w:rPr>
                  </w:pPr>
                  <w:r w:rsidRPr="00FC2DA7">
                    <w:rPr>
                      <w:b/>
                      <w:iCs/>
                      <w:sz w:val="20"/>
                    </w:rPr>
                    <w:t>Variable</w:t>
                  </w:r>
                </w:p>
              </w:tc>
              <w:tc>
                <w:tcPr>
                  <w:tcW w:w="697" w:type="dxa"/>
                </w:tcPr>
                <w:p w14:paraId="46292A58" w14:textId="77777777" w:rsidR="00694BD2" w:rsidRPr="00FC2DA7" w:rsidRDefault="00694BD2" w:rsidP="00694BD2">
                  <w:pPr>
                    <w:spacing w:after="120"/>
                    <w:rPr>
                      <w:b/>
                      <w:iCs/>
                      <w:sz w:val="20"/>
                    </w:rPr>
                  </w:pPr>
                  <w:r w:rsidRPr="00FC2DA7">
                    <w:rPr>
                      <w:b/>
                      <w:iCs/>
                      <w:sz w:val="20"/>
                    </w:rPr>
                    <w:t>Unit</w:t>
                  </w:r>
                </w:p>
              </w:tc>
              <w:tc>
                <w:tcPr>
                  <w:tcW w:w="6655" w:type="dxa"/>
                </w:tcPr>
                <w:p w14:paraId="344A56C0" w14:textId="77777777" w:rsidR="00694BD2" w:rsidRPr="00FC2DA7" w:rsidRDefault="00694BD2" w:rsidP="00694BD2">
                  <w:pPr>
                    <w:spacing w:after="120"/>
                    <w:rPr>
                      <w:b/>
                      <w:iCs/>
                      <w:sz w:val="20"/>
                    </w:rPr>
                  </w:pPr>
                  <w:r w:rsidRPr="00FC2DA7">
                    <w:rPr>
                      <w:b/>
                      <w:iCs/>
                      <w:sz w:val="20"/>
                    </w:rPr>
                    <w:t>Description</w:t>
                  </w:r>
                </w:p>
              </w:tc>
            </w:tr>
            <w:tr w:rsidR="00694BD2" w:rsidRPr="00FC2DA7" w14:paraId="35D4500F" w14:textId="77777777" w:rsidTr="00663874">
              <w:tc>
                <w:tcPr>
                  <w:tcW w:w="2003" w:type="dxa"/>
                </w:tcPr>
                <w:p w14:paraId="3CBB4970" w14:textId="77777777" w:rsidR="00694BD2" w:rsidRPr="00FC2DA7" w:rsidRDefault="00694BD2" w:rsidP="00694BD2">
                  <w:pPr>
                    <w:spacing w:after="60"/>
                    <w:rPr>
                      <w:iCs/>
                      <w:sz w:val="20"/>
                    </w:rPr>
                  </w:pPr>
                  <w:r>
                    <w:rPr>
                      <w:iCs/>
                      <w:sz w:val="20"/>
                    </w:rPr>
                    <w:t>M</w:t>
                  </w:r>
                  <w:r w:rsidRPr="00FC2DA7">
                    <w:rPr>
                      <w:iCs/>
                      <w:sz w:val="20"/>
                    </w:rPr>
                    <w:t>RTAMLTOT</w:t>
                  </w:r>
                </w:p>
              </w:tc>
              <w:tc>
                <w:tcPr>
                  <w:tcW w:w="697" w:type="dxa"/>
                </w:tcPr>
                <w:p w14:paraId="77FD2C3E" w14:textId="77777777" w:rsidR="00694BD2" w:rsidRPr="00FC2DA7" w:rsidRDefault="00694BD2" w:rsidP="00694BD2">
                  <w:pPr>
                    <w:spacing w:after="60"/>
                    <w:rPr>
                      <w:i/>
                      <w:iCs/>
                      <w:sz w:val="20"/>
                    </w:rPr>
                  </w:pPr>
                  <w:r w:rsidRPr="00FC2DA7">
                    <w:rPr>
                      <w:iCs/>
                      <w:sz w:val="20"/>
                    </w:rPr>
                    <w:t>MWh</w:t>
                  </w:r>
                </w:p>
              </w:tc>
              <w:tc>
                <w:tcPr>
                  <w:tcW w:w="6655" w:type="dxa"/>
                </w:tcPr>
                <w:p w14:paraId="46974F91" w14:textId="77777777" w:rsidR="00694BD2" w:rsidRPr="00FC2DA7" w:rsidRDefault="00694BD2" w:rsidP="00694BD2">
                  <w:pPr>
                    <w:spacing w:after="60"/>
                    <w:rPr>
                      <w:iCs/>
                      <w:sz w:val="20"/>
                    </w:rPr>
                  </w:pPr>
                  <w:r>
                    <w:rPr>
                      <w:i/>
                      <w:iCs/>
                      <w:sz w:val="20"/>
                    </w:rPr>
                    <w:t xml:space="preserve">Monthly </w:t>
                  </w: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calendar month.</w:t>
                  </w:r>
                </w:p>
              </w:tc>
            </w:tr>
            <w:tr w:rsidR="00694BD2" w:rsidRPr="00FC2DA7" w14:paraId="0188B588" w14:textId="77777777" w:rsidTr="00663874">
              <w:tc>
                <w:tcPr>
                  <w:tcW w:w="2003" w:type="dxa"/>
                </w:tcPr>
                <w:p w14:paraId="2D1015E2"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5D244F0C" w14:textId="77777777" w:rsidR="00694BD2" w:rsidRPr="00FC2DA7" w:rsidRDefault="00694BD2" w:rsidP="00694BD2">
                  <w:pPr>
                    <w:spacing w:after="60"/>
                    <w:rPr>
                      <w:iCs/>
                      <w:sz w:val="20"/>
                    </w:rPr>
                  </w:pPr>
                  <w:r w:rsidRPr="00FC2DA7">
                    <w:rPr>
                      <w:iCs/>
                      <w:sz w:val="20"/>
                    </w:rPr>
                    <w:t>MWh</w:t>
                  </w:r>
                </w:p>
              </w:tc>
              <w:tc>
                <w:tcPr>
                  <w:tcW w:w="6655" w:type="dxa"/>
                </w:tcPr>
                <w:p w14:paraId="54F9784B" w14:textId="77777777" w:rsidR="00694BD2" w:rsidRPr="00FC2DA7" w:rsidRDefault="00694BD2" w:rsidP="00694BD2">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w:t>
                  </w:r>
                  <w:r>
                    <w:rPr>
                      <w:iCs/>
                      <w:sz w:val="20"/>
                    </w:rPr>
                    <w:t xml:space="preserve"> 15-minute Settlement Interval </w:t>
                  </w:r>
                  <w:r>
                    <w:rPr>
                      <w:i/>
                      <w:iCs/>
                      <w:sz w:val="20"/>
                    </w:rPr>
                    <w:t>i</w:t>
                  </w:r>
                  <w:r w:rsidRPr="00FC2DA7">
                    <w:rPr>
                      <w:iCs/>
                      <w:sz w:val="20"/>
                    </w:rPr>
                    <w:t>.</w:t>
                  </w:r>
                </w:p>
              </w:tc>
            </w:tr>
            <w:tr w:rsidR="00694BD2" w:rsidRPr="00FC2DA7" w14:paraId="18E2FF59" w14:textId="77777777" w:rsidTr="00663874">
              <w:tc>
                <w:tcPr>
                  <w:tcW w:w="2003" w:type="dxa"/>
                </w:tcPr>
                <w:p w14:paraId="74A8E58A" w14:textId="77777777" w:rsidR="00694BD2" w:rsidRPr="00FC2DA7" w:rsidRDefault="00694BD2" w:rsidP="00694BD2">
                  <w:pPr>
                    <w:spacing w:after="60"/>
                    <w:rPr>
                      <w:i/>
                      <w:iCs/>
                      <w:sz w:val="20"/>
                    </w:rPr>
                  </w:pPr>
                  <w:r w:rsidRPr="00FC2DA7">
                    <w:rPr>
                      <w:i/>
                      <w:iCs/>
                      <w:sz w:val="20"/>
                    </w:rPr>
                    <w:t>q</w:t>
                  </w:r>
                </w:p>
              </w:tc>
              <w:tc>
                <w:tcPr>
                  <w:tcW w:w="697" w:type="dxa"/>
                </w:tcPr>
                <w:p w14:paraId="0E7AD5C0" w14:textId="77777777" w:rsidR="00694BD2" w:rsidRPr="00FC2DA7" w:rsidRDefault="00694BD2" w:rsidP="00694BD2">
                  <w:pPr>
                    <w:spacing w:after="60"/>
                    <w:rPr>
                      <w:iCs/>
                      <w:sz w:val="20"/>
                    </w:rPr>
                  </w:pPr>
                  <w:r w:rsidRPr="00FC2DA7">
                    <w:rPr>
                      <w:iCs/>
                      <w:sz w:val="20"/>
                    </w:rPr>
                    <w:t>none</w:t>
                  </w:r>
                </w:p>
              </w:tc>
              <w:tc>
                <w:tcPr>
                  <w:tcW w:w="6655" w:type="dxa"/>
                </w:tcPr>
                <w:p w14:paraId="1966D416" w14:textId="77777777" w:rsidR="00694BD2" w:rsidRPr="00FC2DA7" w:rsidRDefault="00694BD2" w:rsidP="00694BD2">
                  <w:pPr>
                    <w:spacing w:after="60"/>
                    <w:rPr>
                      <w:iCs/>
                      <w:sz w:val="20"/>
                    </w:rPr>
                  </w:pPr>
                  <w:r w:rsidRPr="00FC2DA7">
                    <w:rPr>
                      <w:iCs/>
                      <w:sz w:val="20"/>
                    </w:rPr>
                    <w:t xml:space="preserve">A QSE.  </w:t>
                  </w:r>
                </w:p>
              </w:tc>
            </w:tr>
            <w:tr w:rsidR="00694BD2" w:rsidRPr="00FC2DA7" w14:paraId="4681265F" w14:textId="77777777" w:rsidTr="00663874">
              <w:tc>
                <w:tcPr>
                  <w:tcW w:w="2003" w:type="dxa"/>
                </w:tcPr>
                <w:p w14:paraId="576ACB61" w14:textId="77777777" w:rsidR="00694BD2" w:rsidRPr="00FC2DA7" w:rsidRDefault="00694BD2" w:rsidP="00694BD2">
                  <w:pPr>
                    <w:spacing w:after="60"/>
                    <w:rPr>
                      <w:i/>
                      <w:iCs/>
                      <w:sz w:val="20"/>
                    </w:rPr>
                  </w:pPr>
                  <w:r w:rsidRPr="00FC2DA7">
                    <w:rPr>
                      <w:i/>
                      <w:iCs/>
                      <w:sz w:val="20"/>
                    </w:rPr>
                    <w:t>p</w:t>
                  </w:r>
                </w:p>
              </w:tc>
              <w:tc>
                <w:tcPr>
                  <w:tcW w:w="697" w:type="dxa"/>
                </w:tcPr>
                <w:p w14:paraId="37091E1B" w14:textId="77777777" w:rsidR="00694BD2" w:rsidRPr="00FC2DA7" w:rsidRDefault="00694BD2" w:rsidP="00694BD2">
                  <w:pPr>
                    <w:spacing w:after="60"/>
                    <w:rPr>
                      <w:iCs/>
                      <w:sz w:val="20"/>
                    </w:rPr>
                  </w:pPr>
                  <w:r w:rsidRPr="00FC2DA7">
                    <w:rPr>
                      <w:iCs/>
                      <w:sz w:val="20"/>
                    </w:rPr>
                    <w:t>none</w:t>
                  </w:r>
                </w:p>
              </w:tc>
              <w:tc>
                <w:tcPr>
                  <w:tcW w:w="6655" w:type="dxa"/>
                </w:tcPr>
                <w:p w14:paraId="73D4D1CA" w14:textId="77777777" w:rsidR="00694BD2" w:rsidRPr="00FC2DA7" w:rsidRDefault="00694BD2" w:rsidP="00694BD2">
                  <w:pPr>
                    <w:spacing w:after="60"/>
                    <w:rPr>
                      <w:iCs/>
                      <w:sz w:val="20"/>
                    </w:rPr>
                  </w:pPr>
                  <w:r w:rsidRPr="00FC2DA7">
                    <w:rPr>
                      <w:iCs/>
                      <w:sz w:val="20"/>
                    </w:rPr>
                    <w:t xml:space="preserve">A Settlement Point.  </w:t>
                  </w:r>
                </w:p>
              </w:tc>
            </w:tr>
            <w:tr w:rsidR="00694BD2" w:rsidRPr="00FC2DA7" w14:paraId="207FD404" w14:textId="77777777" w:rsidTr="00663874">
              <w:trPr>
                <w:cantSplit/>
              </w:trPr>
              <w:tc>
                <w:tcPr>
                  <w:tcW w:w="2003" w:type="dxa"/>
                </w:tcPr>
                <w:p w14:paraId="63A9EB3E" w14:textId="77777777" w:rsidR="00694BD2" w:rsidRPr="001D568D" w:rsidRDefault="00694BD2" w:rsidP="00694BD2">
                  <w:pPr>
                    <w:spacing w:after="60"/>
                    <w:rPr>
                      <w:i/>
                      <w:iCs/>
                      <w:sz w:val="20"/>
                    </w:rPr>
                  </w:pPr>
                  <w:r w:rsidRPr="00A77BD2">
                    <w:rPr>
                      <w:i/>
                      <w:sz w:val="20"/>
                    </w:rPr>
                    <w:t>i</w:t>
                  </w:r>
                </w:p>
              </w:tc>
              <w:tc>
                <w:tcPr>
                  <w:tcW w:w="697" w:type="dxa"/>
                </w:tcPr>
                <w:p w14:paraId="08B29679" w14:textId="77777777" w:rsidR="00694BD2" w:rsidRPr="001D568D" w:rsidRDefault="00694BD2" w:rsidP="00694BD2">
                  <w:pPr>
                    <w:spacing w:after="60"/>
                    <w:rPr>
                      <w:iCs/>
                      <w:sz w:val="20"/>
                    </w:rPr>
                  </w:pPr>
                  <w:r w:rsidRPr="00A77BD2">
                    <w:rPr>
                      <w:sz w:val="20"/>
                    </w:rPr>
                    <w:t>none</w:t>
                  </w:r>
                </w:p>
              </w:tc>
              <w:tc>
                <w:tcPr>
                  <w:tcW w:w="6655" w:type="dxa"/>
                </w:tcPr>
                <w:p w14:paraId="4643577B" w14:textId="77777777" w:rsidR="00694BD2" w:rsidRPr="001D568D" w:rsidRDefault="00694BD2" w:rsidP="00694BD2">
                  <w:pPr>
                    <w:spacing w:after="60"/>
                    <w:rPr>
                      <w:iCs/>
                      <w:sz w:val="20"/>
                    </w:rPr>
                  </w:pPr>
                  <w:r w:rsidRPr="00A77BD2">
                    <w:rPr>
                      <w:sz w:val="20"/>
                    </w:rPr>
                    <w:t>A 15-minute Settlement Interval</w:t>
                  </w:r>
                  <w:r w:rsidRPr="001D568D">
                    <w:rPr>
                      <w:sz w:val="20"/>
                    </w:rPr>
                    <w:t xml:space="preserve">. </w:t>
                  </w:r>
                </w:p>
              </w:tc>
            </w:tr>
          </w:tbl>
          <w:p w14:paraId="6F9978FB" w14:textId="77777777" w:rsidR="00316CC9" w:rsidRPr="008F39F7" w:rsidRDefault="00316CC9" w:rsidP="00316CC9">
            <w:pPr>
              <w:pStyle w:val="BodyTextNumbered"/>
            </w:pPr>
          </w:p>
        </w:tc>
      </w:tr>
    </w:tbl>
    <w:p w14:paraId="5725B48A"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304DB027"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4343D4D5" w14:textId="48581945" w:rsidR="006930B7" w:rsidRDefault="006930B7" w:rsidP="00663874">
            <w:pPr>
              <w:pStyle w:val="Instructions"/>
              <w:spacing w:before="120"/>
            </w:pPr>
            <w:r>
              <w:t>[NPRR1030</w:t>
            </w:r>
            <w:r w:rsidR="001335E7">
              <w:t xml:space="preserve"> </w:t>
            </w:r>
            <w:r>
              <w:t>:  Insert</w:t>
            </w:r>
            <w:r w:rsidR="001335E7">
              <w:t xml:space="preserve"> </w:t>
            </w:r>
            <w:r>
              <w:t>Section 6.6.2.6 below upon system implementation:]</w:t>
            </w:r>
          </w:p>
          <w:p w14:paraId="440A81C3" w14:textId="77777777" w:rsidR="00694BD2" w:rsidRDefault="00694BD2" w:rsidP="00694BD2">
            <w:pPr>
              <w:pStyle w:val="H4"/>
              <w:spacing w:before="480"/>
              <w:ind w:left="1267" w:hanging="1267"/>
            </w:pPr>
            <w:bookmarkStart w:id="1836" w:name="_Toc189044408"/>
            <w:r>
              <w:t>6.6.2.6</w:t>
            </w:r>
            <w:r>
              <w:tab/>
              <w:t>QSE DC Tie Export Load Ratio Share for a Month</w:t>
            </w:r>
            <w:bookmarkEnd w:id="1836"/>
          </w:p>
          <w:p w14:paraId="6220F526" w14:textId="77777777" w:rsidR="00694BD2" w:rsidRDefault="00694BD2" w:rsidP="00694BD2">
            <w:pPr>
              <w:pStyle w:val="BodyText"/>
            </w:pPr>
            <w:r>
              <w:t>(1)</w:t>
            </w:r>
            <w:r>
              <w:tab/>
              <w:t>Each QSE’s DC Tie Export DCMLRS for a calendar month is calculated as follows:</w:t>
            </w:r>
          </w:p>
          <w:p w14:paraId="25698E72" w14:textId="0B598038" w:rsidR="00694BD2" w:rsidRDefault="00694BD2" w:rsidP="00694BD2">
            <w:pPr>
              <w:pStyle w:val="FormulaBold"/>
              <w:rPr>
                <w:lang w:val="sv-SE"/>
              </w:rPr>
            </w:pPr>
            <w:r>
              <w:rPr>
                <w:lang w:val="sv-SE"/>
              </w:rPr>
              <w:t>DCMLRS</w:t>
            </w:r>
            <w:r>
              <w:rPr>
                <w:i/>
                <w:vertAlign w:val="subscript"/>
                <w:lang w:val="sv-SE"/>
              </w:rPr>
              <w:t xml:space="preserve"> q  </w:t>
            </w:r>
            <w:r>
              <w:rPr>
                <w:lang w:val="sv-SE"/>
              </w:rPr>
              <w:t xml:space="preserve">=  </w:t>
            </w:r>
            <w:r w:rsidRPr="00103433">
              <w:t>max(0,</w:t>
            </w:r>
            <w:r w:rsidRPr="00DC298E">
              <w:rPr>
                <w:noProof/>
                <w:position w:val="-28"/>
                <w:sz w:val="4"/>
                <w:szCs w:val="4"/>
              </w:rPr>
              <w:t xml:space="preserve"> </w:t>
            </w:r>
            <w:r>
              <w:rPr>
                <w:noProof/>
                <w:position w:val="-28"/>
                <w:sz w:val="4"/>
                <w:szCs w:val="4"/>
              </w:rPr>
              <w:t xml:space="preserve">  </w:t>
            </w:r>
            <w:r w:rsidRPr="00F80C33">
              <w:rPr>
                <w:position w:val="-20"/>
              </w:rPr>
              <w:object w:dxaOrig="220" w:dyaOrig="440" w14:anchorId="61FA0098">
                <v:shape id="_x0000_i1106" type="#_x0000_t75" style="width:6pt;height:24pt" o:ole="">
                  <v:imagedata r:id="rId110" o:title=""/>
                </v:shape>
                <o:OLEObject Type="Embed" ProgID="Equation.3" ShapeID="_x0000_i1106" DrawAspect="Content" ObjectID="_1804653591" r:id="rId113"/>
              </w:object>
            </w:r>
            <w:r w:rsidRPr="006F784F">
              <w:rPr>
                <w:position w:val="-22"/>
              </w:rPr>
              <w:object w:dxaOrig="225" w:dyaOrig="465" w14:anchorId="4EF5BAC2">
                <v:shape id="_x0000_i1107" type="#_x0000_t75" style="width:12pt;height:18pt" o:ole="">
                  <v:imagedata r:id="rId98" o:title=""/>
                </v:shape>
                <o:OLEObject Type="Embed" ProgID="Equation.3" ShapeID="_x0000_i1107" DrawAspect="Content" ObjectID="_1804653592" r:id="rId114"/>
              </w:object>
            </w:r>
            <w:r>
              <w:t>RTAMLDC</w:t>
            </w:r>
            <w:r>
              <w:rPr>
                <w:lang w:val="sv-SE"/>
              </w:rPr>
              <w:t xml:space="preserve"> </w:t>
            </w:r>
            <w:r>
              <w:rPr>
                <w:i/>
                <w:vertAlign w:val="subscript"/>
                <w:lang w:val="sv-SE"/>
              </w:rPr>
              <w:t>q,</w:t>
            </w:r>
            <w:r w:rsidR="007F053D">
              <w:rPr>
                <w:i/>
                <w:vertAlign w:val="subscript"/>
                <w:lang w:val="sv-SE"/>
              </w:rPr>
              <w:t xml:space="preserve"> </w:t>
            </w:r>
            <w:r>
              <w:rPr>
                <w:i/>
                <w:vertAlign w:val="subscript"/>
                <w:lang w:val="sv-SE"/>
              </w:rPr>
              <w:t>p,</w:t>
            </w:r>
            <w:r w:rsidR="007F053D">
              <w:rPr>
                <w:i/>
                <w:vertAlign w:val="subscript"/>
                <w:lang w:val="sv-SE"/>
              </w:rPr>
              <w:t xml:space="preserve"> </w:t>
            </w:r>
            <w:r>
              <w:rPr>
                <w:i/>
                <w:vertAlign w:val="subscript"/>
                <w:lang w:val="sv-SE"/>
              </w:rPr>
              <w:t>i</w:t>
            </w:r>
            <w:r>
              <w:rPr>
                <w:lang w:val="sv-SE"/>
              </w:rPr>
              <w:t xml:space="preserve"> ) / </w:t>
            </w:r>
            <w:r>
              <w:t>M</w:t>
            </w:r>
            <w:r>
              <w:rPr>
                <w:lang w:val="sv-SE"/>
              </w:rPr>
              <w:t xml:space="preserve">RTAMLTOT  </w:t>
            </w:r>
          </w:p>
          <w:p w14:paraId="5D8A6482"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8DAA962" w14:textId="77777777" w:rsidTr="00082248">
              <w:trPr>
                <w:cantSplit/>
              </w:trPr>
              <w:tc>
                <w:tcPr>
                  <w:tcW w:w="1050" w:type="pct"/>
                </w:tcPr>
                <w:p w14:paraId="0D0983A3" w14:textId="77777777" w:rsidR="00694BD2" w:rsidRDefault="00694BD2" w:rsidP="00694BD2">
                  <w:pPr>
                    <w:pStyle w:val="TableHead"/>
                  </w:pPr>
                  <w:r>
                    <w:t>Variable</w:t>
                  </w:r>
                </w:p>
              </w:tc>
              <w:tc>
                <w:tcPr>
                  <w:tcW w:w="437" w:type="pct"/>
                </w:tcPr>
                <w:p w14:paraId="410BB6A4" w14:textId="77777777" w:rsidR="00694BD2" w:rsidRDefault="00694BD2" w:rsidP="00694BD2">
                  <w:pPr>
                    <w:pStyle w:val="TableHead"/>
                  </w:pPr>
                  <w:r>
                    <w:t>Unit</w:t>
                  </w:r>
                </w:p>
              </w:tc>
              <w:tc>
                <w:tcPr>
                  <w:tcW w:w="3512" w:type="pct"/>
                </w:tcPr>
                <w:p w14:paraId="796A94C8" w14:textId="77777777" w:rsidR="00694BD2" w:rsidRDefault="00694BD2" w:rsidP="00694BD2">
                  <w:pPr>
                    <w:pStyle w:val="TableHead"/>
                  </w:pPr>
                  <w:r>
                    <w:t>Description</w:t>
                  </w:r>
                </w:p>
              </w:tc>
            </w:tr>
            <w:tr w:rsidR="00694BD2" w14:paraId="4E5696A5" w14:textId="77777777" w:rsidTr="00082248">
              <w:trPr>
                <w:cantSplit/>
              </w:trPr>
              <w:tc>
                <w:tcPr>
                  <w:tcW w:w="1050" w:type="pct"/>
                </w:tcPr>
                <w:p w14:paraId="47A0B74B" w14:textId="77777777" w:rsidR="00694BD2" w:rsidRDefault="00694BD2" w:rsidP="00694BD2">
                  <w:pPr>
                    <w:pStyle w:val="TableBody"/>
                  </w:pPr>
                  <w:r>
                    <w:t>DCMLRS</w:t>
                  </w:r>
                  <w:r>
                    <w:rPr>
                      <w:i/>
                      <w:vertAlign w:val="subscript"/>
                    </w:rPr>
                    <w:t xml:space="preserve"> q</w:t>
                  </w:r>
                </w:p>
              </w:tc>
              <w:tc>
                <w:tcPr>
                  <w:tcW w:w="437" w:type="pct"/>
                </w:tcPr>
                <w:p w14:paraId="7BA495E7" w14:textId="77777777" w:rsidR="00694BD2" w:rsidRDefault="00694BD2" w:rsidP="00694BD2">
                  <w:pPr>
                    <w:pStyle w:val="TableBody"/>
                  </w:pPr>
                  <w:r>
                    <w:t>none</w:t>
                  </w:r>
                </w:p>
              </w:tc>
              <w:tc>
                <w:tcPr>
                  <w:tcW w:w="3512" w:type="pct"/>
                </w:tcPr>
                <w:p w14:paraId="7417C111" w14:textId="0C3D70A3" w:rsidR="00694BD2" w:rsidRDefault="00694BD2"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694BD2" w14:paraId="72149BD7" w14:textId="77777777" w:rsidTr="00082248">
              <w:trPr>
                <w:cantSplit/>
              </w:trPr>
              <w:tc>
                <w:tcPr>
                  <w:tcW w:w="1050" w:type="pct"/>
                </w:tcPr>
                <w:p w14:paraId="6ADE2050" w14:textId="267B80DA" w:rsidR="00694BD2" w:rsidRDefault="00694BD2" w:rsidP="00694BD2">
                  <w:pPr>
                    <w:pStyle w:val="TableBody"/>
                  </w:pPr>
                  <w:r>
                    <w:rPr>
                      <w:lang w:val="sv-SE"/>
                    </w:rPr>
                    <w:lastRenderedPageBreak/>
                    <w:t xml:space="preserve">RTAMLDC </w:t>
                  </w:r>
                  <w:r>
                    <w:rPr>
                      <w:i/>
                      <w:vertAlign w:val="subscript"/>
                      <w:lang w:val="sv-SE"/>
                    </w:rPr>
                    <w:t>q,</w:t>
                  </w:r>
                  <w:r w:rsidR="00E9412A">
                    <w:rPr>
                      <w:i/>
                      <w:vertAlign w:val="subscript"/>
                      <w:lang w:val="sv-SE"/>
                    </w:rPr>
                    <w:t xml:space="preserve"> </w:t>
                  </w:r>
                  <w:r>
                    <w:rPr>
                      <w:i/>
                      <w:vertAlign w:val="subscript"/>
                      <w:lang w:val="sv-SE"/>
                    </w:rPr>
                    <w:t>p,</w:t>
                  </w:r>
                  <w:r w:rsidR="00E9412A">
                    <w:rPr>
                      <w:i/>
                      <w:vertAlign w:val="subscript"/>
                      <w:lang w:val="sv-SE"/>
                    </w:rPr>
                    <w:t xml:space="preserve"> </w:t>
                  </w:r>
                  <w:r>
                    <w:rPr>
                      <w:i/>
                      <w:vertAlign w:val="subscript"/>
                      <w:lang w:val="sv-SE"/>
                    </w:rPr>
                    <w:t xml:space="preserve">i  </w:t>
                  </w:r>
                </w:p>
              </w:tc>
              <w:tc>
                <w:tcPr>
                  <w:tcW w:w="437" w:type="pct"/>
                </w:tcPr>
                <w:p w14:paraId="668A9E3D" w14:textId="77777777" w:rsidR="00694BD2" w:rsidRDefault="00694BD2" w:rsidP="00694BD2">
                  <w:pPr>
                    <w:pStyle w:val="TableBody"/>
                  </w:pPr>
                  <w:r>
                    <w:t>MWh</w:t>
                  </w:r>
                </w:p>
              </w:tc>
              <w:tc>
                <w:tcPr>
                  <w:tcW w:w="3512" w:type="pct"/>
                </w:tcPr>
                <w:p w14:paraId="6EE569B1" w14:textId="20F37854" w:rsidR="00694BD2" w:rsidRPr="00E7254B" w:rsidRDefault="00694BD2" w:rsidP="00694BD2">
                  <w:pPr>
                    <w:pStyle w:val="TableBody"/>
                  </w:pPr>
                  <w:r>
                    <w:rPr>
                      <w:i/>
                    </w:rPr>
                    <w:t>Real-Time Adjusted Metered Load for DC Ties per Settlement Point per QSE</w:t>
                  </w:r>
                  <w:r>
                    <w:t xml:space="preserve">—The sum of the DC Tie AML at the Electrical Buses that are included in Settlement </w:t>
                  </w:r>
                  <w:r w:rsidR="00AA1FD1">
                    <w:br/>
                  </w:r>
                  <w:r>
                    <w:t xml:space="preserve">Point </w:t>
                  </w:r>
                  <w:r>
                    <w:rPr>
                      <w:i/>
                    </w:rPr>
                    <w:t>p</w:t>
                  </w:r>
                  <w:r>
                    <w:t xml:space="preserve">, represented by QSE </w:t>
                  </w:r>
                  <w:r>
                    <w:rPr>
                      <w:i/>
                    </w:rPr>
                    <w:t>q</w:t>
                  </w:r>
                  <w:r>
                    <w:t xml:space="preserve">, for the 15-minute Settlement Interval </w:t>
                  </w:r>
                  <w:r w:rsidRPr="00BB2A0D">
                    <w:rPr>
                      <w:i/>
                    </w:rPr>
                    <w:t>i</w:t>
                  </w:r>
                  <w:r>
                    <w:t xml:space="preserve">. </w:t>
                  </w:r>
                </w:p>
              </w:tc>
            </w:tr>
            <w:tr w:rsidR="00694BD2" w14:paraId="68647030" w14:textId="77777777" w:rsidTr="00082248">
              <w:trPr>
                <w:cantSplit/>
              </w:trPr>
              <w:tc>
                <w:tcPr>
                  <w:tcW w:w="1050" w:type="pct"/>
                </w:tcPr>
                <w:p w14:paraId="1BAB80B7" w14:textId="77777777" w:rsidR="00694BD2" w:rsidRDefault="00694BD2" w:rsidP="00694BD2">
                  <w:pPr>
                    <w:pStyle w:val="TableBody"/>
                  </w:pPr>
                  <w:r>
                    <w:t>MRTAMLTOT</w:t>
                  </w:r>
                </w:p>
              </w:tc>
              <w:tc>
                <w:tcPr>
                  <w:tcW w:w="437" w:type="pct"/>
                </w:tcPr>
                <w:p w14:paraId="1D75BED4" w14:textId="77777777" w:rsidR="00694BD2" w:rsidRDefault="00694BD2" w:rsidP="00694BD2">
                  <w:pPr>
                    <w:pStyle w:val="TableBody"/>
                  </w:pPr>
                  <w:r>
                    <w:t>MWh</w:t>
                  </w:r>
                </w:p>
              </w:tc>
              <w:tc>
                <w:tcPr>
                  <w:tcW w:w="3512" w:type="pct"/>
                </w:tcPr>
                <w:p w14:paraId="49269665" w14:textId="74CBB3B8" w:rsidR="00694BD2" w:rsidRDefault="00694BD2" w:rsidP="00694BD2">
                  <w:pPr>
                    <w:pStyle w:val="TableBody"/>
                  </w:pPr>
                  <w:r>
                    <w:rPr>
                      <w:i/>
                    </w:rPr>
                    <w:t>Monthly Real-Time Adjusted Metered Load Total</w:t>
                  </w:r>
                  <w:r>
                    <w:t xml:space="preserve">—The total AML in ERCOT, for </w:t>
                  </w:r>
                  <w:r w:rsidR="00E42D8B">
                    <w:br/>
                  </w:r>
                  <w:r>
                    <w:t>the calendar month.</w:t>
                  </w:r>
                </w:p>
              </w:tc>
            </w:tr>
            <w:tr w:rsidR="00694BD2" w14:paraId="09F7D6AF" w14:textId="77777777" w:rsidTr="00082248">
              <w:trPr>
                <w:cantSplit/>
              </w:trPr>
              <w:tc>
                <w:tcPr>
                  <w:tcW w:w="1050" w:type="pct"/>
                </w:tcPr>
                <w:p w14:paraId="7030D6EC" w14:textId="77777777" w:rsidR="00694BD2" w:rsidRPr="00A61E91" w:rsidRDefault="00694BD2" w:rsidP="00694BD2">
                  <w:pPr>
                    <w:pStyle w:val="TableBody"/>
                    <w:rPr>
                      <w:i/>
                    </w:rPr>
                  </w:pPr>
                  <w:r w:rsidRPr="00FC2DA7">
                    <w:rPr>
                      <w:i/>
                      <w:iCs w:val="0"/>
                    </w:rPr>
                    <w:t>q</w:t>
                  </w:r>
                </w:p>
              </w:tc>
              <w:tc>
                <w:tcPr>
                  <w:tcW w:w="437" w:type="pct"/>
                </w:tcPr>
                <w:p w14:paraId="1CB214BF" w14:textId="77777777" w:rsidR="00694BD2" w:rsidRDefault="00694BD2" w:rsidP="00694BD2">
                  <w:pPr>
                    <w:pStyle w:val="TableBody"/>
                  </w:pPr>
                  <w:r w:rsidRPr="00FC2DA7">
                    <w:rPr>
                      <w:iCs w:val="0"/>
                    </w:rPr>
                    <w:t>none</w:t>
                  </w:r>
                </w:p>
              </w:tc>
              <w:tc>
                <w:tcPr>
                  <w:tcW w:w="3512" w:type="pct"/>
                </w:tcPr>
                <w:p w14:paraId="76D2A459" w14:textId="77777777" w:rsidR="00694BD2" w:rsidRDefault="00694BD2" w:rsidP="00694BD2">
                  <w:pPr>
                    <w:pStyle w:val="TableBody"/>
                  </w:pPr>
                  <w:r w:rsidRPr="00FC2DA7">
                    <w:rPr>
                      <w:iCs w:val="0"/>
                    </w:rPr>
                    <w:t xml:space="preserve">A QSE.  </w:t>
                  </w:r>
                </w:p>
              </w:tc>
            </w:tr>
            <w:tr w:rsidR="00694BD2" w14:paraId="1AD1972B" w14:textId="77777777" w:rsidTr="00082248">
              <w:trPr>
                <w:cantSplit/>
              </w:trPr>
              <w:tc>
                <w:tcPr>
                  <w:tcW w:w="1050" w:type="pct"/>
                </w:tcPr>
                <w:p w14:paraId="03F39DDE" w14:textId="77777777" w:rsidR="00694BD2" w:rsidRPr="00993F9F" w:rsidRDefault="00694BD2" w:rsidP="00694BD2">
                  <w:pPr>
                    <w:pStyle w:val="TableBody"/>
                    <w:rPr>
                      <w:i/>
                    </w:rPr>
                  </w:pPr>
                  <w:r w:rsidRPr="00A61E91">
                    <w:rPr>
                      <w:i/>
                    </w:rPr>
                    <w:t>p</w:t>
                  </w:r>
                </w:p>
              </w:tc>
              <w:tc>
                <w:tcPr>
                  <w:tcW w:w="437" w:type="pct"/>
                </w:tcPr>
                <w:p w14:paraId="33FBFA28" w14:textId="77777777" w:rsidR="00694BD2" w:rsidRDefault="00694BD2" w:rsidP="00694BD2">
                  <w:pPr>
                    <w:pStyle w:val="TableBody"/>
                  </w:pPr>
                  <w:r>
                    <w:t>none</w:t>
                  </w:r>
                </w:p>
              </w:tc>
              <w:tc>
                <w:tcPr>
                  <w:tcW w:w="3512" w:type="pct"/>
                </w:tcPr>
                <w:p w14:paraId="64B8A652" w14:textId="77777777" w:rsidR="00694BD2" w:rsidRDefault="00694BD2" w:rsidP="00694BD2">
                  <w:pPr>
                    <w:pStyle w:val="TableBody"/>
                  </w:pPr>
                  <w:r>
                    <w:t xml:space="preserve">A Settlement Point.  </w:t>
                  </w:r>
                </w:p>
              </w:tc>
            </w:tr>
            <w:tr w:rsidR="00694BD2" w:rsidDel="00590517" w14:paraId="5F7515BF" w14:textId="77777777" w:rsidTr="00082248">
              <w:trPr>
                <w:cantSplit/>
              </w:trPr>
              <w:tc>
                <w:tcPr>
                  <w:tcW w:w="1050" w:type="pct"/>
                </w:tcPr>
                <w:p w14:paraId="75A11E5D" w14:textId="77777777" w:rsidR="00694BD2" w:rsidDel="00590517" w:rsidRDefault="00694BD2" w:rsidP="00694BD2">
                  <w:pPr>
                    <w:pStyle w:val="TableBody"/>
                    <w:rPr>
                      <w:i/>
                    </w:rPr>
                  </w:pPr>
                  <w:r w:rsidRPr="00B77C4C">
                    <w:rPr>
                      <w:i/>
                    </w:rPr>
                    <w:t>i</w:t>
                  </w:r>
                </w:p>
              </w:tc>
              <w:tc>
                <w:tcPr>
                  <w:tcW w:w="437" w:type="pct"/>
                </w:tcPr>
                <w:p w14:paraId="4116DC82" w14:textId="77777777" w:rsidR="00694BD2" w:rsidDel="00590517" w:rsidRDefault="00694BD2" w:rsidP="00694BD2">
                  <w:pPr>
                    <w:pStyle w:val="TableBody"/>
                  </w:pPr>
                  <w:r w:rsidRPr="00B77C4C">
                    <w:t>none</w:t>
                  </w:r>
                </w:p>
              </w:tc>
              <w:tc>
                <w:tcPr>
                  <w:tcW w:w="3512" w:type="pct"/>
                </w:tcPr>
                <w:p w14:paraId="2516317C" w14:textId="77777777" w:rsidR="00694BD2" w:rsidDel="00590517" w:rsidRDefault="00694BD2" w:rsidP="00694BD2">
                  <w:pPr>
                    <w:pStyle w:val="TableBody"/>
                  </w:pPr>
                  <w:r w:rsidRPr="00B77C4C">
                    <w:t xml:space="preserve">A 15-minute Settlement Interval. </w:t>
                  </w:r>
                </w:p>
              </w:tc>
            </w:tr>
          </w:tbl>
          <w:p w14:paraId="1C48CF84" w14:textId="77777777" w:rsidR="006930B7" w:rsidRPr="008F39F7" w:rsidRDefault="006930B7" w:rsidP="006930B7">
            <w:pPr>
              <w:pStyle w:val="Instructions"/>
              <w:spacing w:before="120"/>
            </w:pPr>
          </w:p>
        </w:tc>
      </w:tr>
    </w:tbl>
    <w:p w14:paraId="5C8BF7A9"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1F533BB1" w14:textId="77777777" w:rsidTr="006930B7">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307CC86A" w14:textId="58246D16" w:rsidR="006930B7" w:rsidRDefault="006930B7" w:rsidP="00663874">
            <w:pPr>
              <w:pStyle w:val="Instructions"/>
              <w:spacing w:before="120"/>
            </w:pPr>
            <w:r>
              <w:t>[NPRR1030:  Insert Section 6.6.2.7 below upon system implementation:]</w:t>
            </w:r>
          </w:p>
          <w:p w14:paraId="4B8A72D4" w14:textId="77777777" w:rsidR="00694BD2" w:rsidRPr="00FC2DA7" w:rsidRDefault="00694BD2" w:rsidP="00694BD2">
            <w:pPr>
              <w:keepNext/>
              <w:widowControl w:val="0"/>
              <w:tabs>
                <w:tab w:val="left" w:pos="1260"/>
              </w:tabs>
              <w:spacing w:before="480" w:after="240"/>
              <w:ind w:left="1260" w:hanging="1260"/>
              <w:outlineLvl w:val="3"/>
              <w:rPr>
                <w:b/>
                <w:bCs/>
                <w:snapToGrid w:val="0"/>
              </w:rPr>
            </w:pPr>
            <w:bookmarkStart w:id="1837" w:name="_Toc189044409"/>
            <w:r>
              <w:rPr>
                <w:b/>
                <w:bCs/>
                <w:snapToGrid w:val="0"/>
              </w:rPr>
              <w:t>6.6.2.7</w:t>
            </w:r>
            <w:r w:rsidRPr="00FC2DA7">
              <w:rPr>
                <w:b/>
                <w:bCs/>
                <w:snapToGrid w:val="0"/>
              </w:rPr>
              <w:tab/>
              <w:t>ERCOT Adjusted Metered Load</w:t>
            </w:r>
            <w:r>
              <w:rPr>
                <w:b/>
                <w:bCs/>
                <w:snapToGrid w:val="0"/>
              </w:rPr>
              <w:t xml:space="preserve"> by Congestion Management Zone </w:t>
            </w:r>
            <w:r w:rsidRPr="00FC2DA7">
              <w:rPr>
                <w:b/>
                <w:bCs/>
                <w:snapToGrid w:val="0"/>
              </w:rPr>
              <w:t xml:space="preserve">for </w:t>
            </w:r>
            <w:r>
              <w:rPr>
                <w:b/>
                <w:bCs/>
                <w:snapToGrid w:val="0"/>
              </w:rPr>
              <w:t>a Month</w:t>
            </w:r>
            <w:bookmarkEnd w:id="1837"/>
          </w:p>
          <w:p w14:paraId="19641AD7" w14:textId="77777777" w:rsidR="00694BD2" w:rsidRPr="00FC2DA7" w:rsidRDefault="00694BD2" w:rsidP="00694BD2">
            <w:pPr>
              <w:spacing w:after="240"/>
              <w:ind w:left="720" w:hanging="720"/>
              <w:rPr>
                <w:iCs/>
              </w:rPr>
            </w:pPr>
            <w:r>
              <w:rPr>
                <w:iCs/>
              </w:rPr>
              <w:t>(1)</w:t>
            </w:r>
            <w:r>
              <w:rPr>
                <w:iCs/>
              </w:rPr>
              <w:tab/>
            </w:r>
            <w:r w:rsidRPr="00FC2DA7">
              <w:rPr>
                <w:iCs/>
              </w:rPr>
              <w:t xml:space="preserve">ERCOT total AML </w:t>
            </w:r>
            <w:r>
              <w:rPr>
                <w:iCs/>
              </w:rPr>
              <w:t xml:space="preserve">per CMZ </w:t>
            </w:r>
            <w:r w:rsidRPr="00FC2DA7">
              <w:rPr>
                <w:iCs/>
              </w:rPr>
              <w:t>for a</w:t>
            </w:r>
            <w:r>
              <w:rPr>
                <w:iCs/>
              </w:rPr>
              <w:t xml:space="preserve"> calendar month </w:t>
            </w:r>
            <w:r w:rsidRPr="00FC2DA7">
              <w:rPr>
                <w:iCs/>
              </w:rPr>
              <w:t>is calculated as follows:</w:t>
            </w:r>
          </w:p>
          <w:p w14:paraId="30666C32" w14:textId="12F059E2"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w:t>
            </w:r>
            <w:r>
              <w:rPr>
                <w:b/>
                <w:bCs/>
              </w:rPr>
              <w:t>LZ</w:t>
            </w:r>
            <w:r w:rsidRPr="00FC2DA7">
              <w:rPr>
                <w:b/>
                <w:bCs/>
              </w:rPr>
              <w:t>TOT</w:t>
            </w:r>
            <w:r w:rsidR="00EC0374">
              <w:rPr>
                <w:b/>
                <w:bCs/>
              </w:rPr>
              <w:t xml:space="preserve"> </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0263F72C">
                <v:shape id="_x0000_i1108" type="#_x0000_t75" style="width:12pt;height:18pt" o:ole="">
                  <v:imagedata r:id="rId96" o:title=""/>
                </v:shape>
                <o:OLEObject Type="Embed" ProgID="Equation.3" ShapeID="_x0000_i1108" DrawAspect="Content" ObjectID="_1804653593" r:id="rId115"/>
              </w:object>
            </w:r>
            <w:r>
              <w:rPr>
                <w:b/>
                <w:bCs/>
              </w:rPr>
              <w:t xml:space="preserve"> (max(0,</w:t>
            </w:r>
            <w:r w:rsidRPr="002F4893">
              <w:rPr>
                <w:b/>
                <w:bCs/>
                <w:sz w:val="12"/>
                <w:szCs w:val="12"/>
              </w:rPr>
              <w:t xml:space="preserve"> </w:t>
            </w:r>
            <w:r w:rsidRPr="00F80C33">
              <w:rPr>
                <w:position w:val="-20"/>
              </w:rPr>
              <w:object w:dxaOrig="220" w:dyaOrig="440" w14:anchorId="500DF72D">
                <v:shape id="_x0000_i1109" type="#_x0000_t75" style="width:6pt;height:24pt" o:ole="">
                  <v:imagedata r:id="rId110" o:title=""/>
                </v:shape>
                <o:OLEObject Type="Embed" ProgID="Equation.3" ShapeID="_x0000_i1109" DrawAspect="Content" ObjectID="_1804653594" r:id="rId116"/>
              </w:object>
            </w:r>
            <w:r w:rsidRPr="006F784F">
              <w:rPr>
                <w:position w:val="-22"/>
              </w:rPr>
              <w:object w:dxaOrig="225" w:dyaOrig="465" w14:anchorId="42D048ED">
                <v:shape id="_x0000_i1110" type="#_x0000_t75" style="width:12pt;height:18pt" o:ole="">
                  <v:imagedata r:id="rId98" o:title=""/>
                </v:shape>
                <o:OLEObject Type="Embed" ProgID="Equation.3" ShapeID="_x0000_i1110" DrawAspect="Content" ObjectID="_1804653595" r:id="rId117"/>
              </w:object>
            </w:r>
            <w:r w:rsidRPr="00FC2DA7">
              <w:rPr>
                <w:b/>
                <w:bCs/>
              </w:rPr>
              <w:t xml:space="preserve">RTAML </w:t>
            </w:r>
            <w:r w:rsidRPr="00FC2DA7">
              <w:rPr>
                <w:b/>
                <w:bCs/>
                <w:i/>
                <w:vertAlign w:val="subscript"/>
              </w:rPr>
              <w:t>q, p</w:t>
            </w:r>
            <w:r>
              <w:rPr>
                <w:b/>
                <w:bCs/>
                <w:i/>
                <w:vertAlign w:val="subscript"/>
              </w:rPr>
              <w:t>,i</w:t>
            </w:r>
            <w:r w:rsidRPr="00FC2DA7">
              <w:rPr>
                <w:b/>
                <w:bCs/>
              </w:rPr>
              <w:t>))</w:t>
            </w:r>
          </w:p>
          <w:p w14:paraId="64517595"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4B9C0926" w14:textId="77777777" w:rsidTr="00663874">
              <w:tc>
                <w:tcPr>
                  <w:tcW w:w="2003" w:type="dxa"/>
                </w:tcPr>
                <w:p w14:paraId="271B2EA7" w14:textId="77777777" w:rsidR="00694BD2" w:rsidRPr="00FC2DA7" w:rsidRDefault="00694BD2" w:rsidP="00694BD2">
                  <w:pPr>
                    <w:spacing w:after="120"/>
                    <w:rPr>
                      <w:b/>
                      <w:iCs/>
                      <w:sz w:val="20"/>
                    </w:rPr>
                  </w:pPr>
                  <w:r w:rsidRPr="00FC2DA7">
                    <w:rPr>
                      <w:b/>
                      <w:iCs/>
                      <w:sz w:val="20"/>
                    </w:rPr>
                    <w:t>Variable</w:t>
                  </w:r>
                </w:p>
              </w:tc>
              <w:tc>
                <w:tcPr>
                  <w:tcW w:w="697" w:type="dxa"/>
                </w:tcPr>
                <w:p w14:paraId="58D97995" w14:textId="77777777" w:rsidR="00694BD2" w:rsidRPr="00FC2DA7" w:rsidRDefault="00694BD2" w:rsidP="00694BD2">
                  <w:pPr>
                    <w:spacing w:after="120"/>
                    <w:rPr>
                      <w:b/>
                      <w:iCs/>
                      <w:sz w:val="20"/>
                    </w:rPr>
                  </w:pPr>
                  <w:r w:rsidRPr="00FC2DA7">
                    <w:rPr>
                      <w:b/>
                      <w:iCs/>
                      <w:sz w:val="20"/>
                    </w:rPr>
                    <w:t>Unit</w:t>
                  </w:r>
                </w:p>
              </w:tc>
              <w:tc>
                <w:tcPr>
                  <w:tcW w:w="6655" w:type="dxa"/>
                </w:tcPr>
                <w:p w14:paraId="2A1A3CD2" w14:textId="77777777" w:rsidR="00694BD2" w:rsidRPr="00FC2DA7" w:rsidRDefault="00694BD2" w:rsidP="00694BD2">
                  <w:pPr>
                    <w:spacing w:after="120"/>
                    <w:rPr>
                      <w:b/>
                      <w:iCs/>
                      <w:sz w:val="20"/>
                    </w:rPr>
                  </w:pPr>
                  <w:r w:rsidRPr="00FC2DA7">
                    <w:rPr>
                      <w:b/>
                      <w:iCs/>
                      <w:sz w:val="20"/>
                    </w:rPr>
                    <w:t>Description</w:t>
                  </w:r>
                </w:p>
              </w:tc>
            </w:tr>
            <w:tr w:rsidR="00694BD2" w:rsidRPr="00FC2DA7" w14:paraId="579C9F52" w14:textId="77777777" w:rsidTr="00663874">
              <w:tc>
                <w:tcPr>
                  <w:tcW w:w="2003" w:type="dxa"/>
                </w:tcPr>
                <w:p w14:paraId="3C17CDDF" w14:textId="77777777" w:rsidR="00694BD2" w:rsidRPr="00884687" w:rsidRDefault="00694BD2" w:rsidP="00694BD2">
                  <w:pPr>
                    <w:spacing w:after="60"/>
                    <w:rPr>
                      <w:iCs/>
                      <w:sz w:val="20"/>
                      <w:vertAlign w:val="subscript"/>
                    </w:rPr>
                  </w:pPr>
                  <w:r>
                    <w:rPr>
                      <w:iCs/>
                      <w:sz w:val="20"/>
                    </w:rPr>
                    <w:t>M</w:t>
                  </w:r>
                  <w:r w:rsidRPr="00FC2DA7">
                    <w:rPr>
                      <w:iCs/>
                      <w:sz w:val="20"/>
                    </w:rPr>
                    <w:t>RTAML</w:t>
                  </w:r>
                  <w:r>
                    <w:rPr>
                      <w:iCs/>
                      <w:sz w:val="20"/>
                    </w:rPr>
                    <w:t>LZ</w:t>
                  </w:r>
                  <w:r w:rsidRPr="00FC2DA7">
                    <w:rPr>
                      <w:iCs/>
                      <w:sz w:val="20"/>
                    </w:rPr>
                    <w:t>TOT</w:t>
                  </w:r>
                  <w:r>
                    <w:rPr>
                      <w:iCs/>
                      <w:sz w:val="20"/>
                      <w:vertAlign w:val="subscript"/>
                    </w:rPr>
                    <w:t>z</w:t>
                  </w:r>
                </w:p>
              </w:tc>
              <w:tc>
                <w:tcPr>
                  <w:tcW w:w="697" w:type="dxa"/>
                </w:tcPr>
                <w:p w14:paraId="7841C065" w14:textId="77777777" w:rsidR="00694BD2" w:rsidRPr="00FC2DA7" w:rsidRDefault="00694BD2" w:rsidP="00694BD2">
                  <w:pPr>
                    <w:spacing w:after="60"/>
                    <w:rPr>
                      <w:i/>
                      <w:iCs/>
                      <w:sz w:val="20"/>
                    </w:rPr>
                  </w:pPr>
                  <w:r w:rsidRPr="00FC2DA7">
                    <w:rPr>
                      <w:iCs/>
                      <w:sz w:val="20"/>
                    </w:rPr>
                    <w:t>MWh</w:t>
                  </w:r>
                </w:p>
              </w:tc>
              <w:tc>
                <w:tcPr>
                  <w:tcW w:w="6655" w:type="dxa"/>
                </w:tcPr>
                <w:p w14:paraId="0D7EE179" w14:textId="77777777" w:rsidR="00694BD2" w:rsidRPr="00FC2DA7" w:rsidRDefault="00694BD2" w:rsidP="00694BD2">
                  <w:pPr>
                    <w:spacing w:after="60"/>
                    <w:rPr>
                      <w:iCs/>
                      <w:sz w:val="20"/>
                    </w:rPr>
                  </w:pPr>
                  <w:r>
                    <w:rPr>
                      <w:i/>
                      <w:iCs/>
                      <w:sz w:val="20"/>
                    </w:rPr>
                    <w:t xml:space="preserve">Monthly </w:t>
                  </w: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in </w:t>
                  </w:r>
                  <w:r>
                    <w:rPr>
                      <w:iCs/>
                      <w:sz w:val="20"/>
                    </w:rPr>
                    <w:t>CMZ z</w:t>
                  </w:r>
                  <w:r w:rsidRPr="00FC2DA7">
                    <w:rPr>
                      <w:iCs/>
                      <w:sz w:val="20"/>
                    </w:rPr>
                    <w:t>, for th</w:t>
                  </w:r>
                  <w:r>
                    <w:rPr>
                      <w:iCs/>
                      <w:sz w:val="20"/>
                    </w:rPr>
                    <w:t>e calendar month.</w:t>
                  </w:r>
                </w:p>
              </w:tc>
            </w:tr>
            <w:tr w:rsidR="00694BD2" w:rsidRPr="00FC2DA7" w14:paraId="078337CA" w14:textId="77777777" w:rsidTr="00663874">
              <w:tc>
                <w:tcPr>
                  <w:tcW w:w="2003" w:type="dxa"/>
                </w:tcPr>
                <w:p w14:paraId="2E98E7C1"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3AFF9E39" w14:textId="77777777" w:rsidR="00694BD2" w:rsidRPr="00FC2DA7" w:rsidRDefault="00694BD2" w:rsidP="00694BD2">
                  <w:pPr>
                    <w:spacing w:after="60"/>
                    <w:rPr>
                      <w:iCs/>
                      <w:sz w:val="20"/>
                    </w:rPr>
                  </w:pPr>
                  <w:r w:rsidRPr="00FC2DA7">
                    <w:rPr>
                      <w:iCs/>
                      <w:sz w:val="20"/>
                    </w:rPr>
                    <w:t>MWh</w:t>
                  </w:r>
                </w:p>
              </w:tc>
              <w:tc>
                <w:tcPr>
                  <w:tcW w:w="6655" w:type="dxa"/>
                </w:tcPr>
                <w:p w14:paraId="7B65B2A4" w14:textId="77777777" w:rsidR="00694BD2" w:rsidRPr="00A77BD2" w:rsidRDefault="00694BD2" w:rsidP="00694BD2">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 xml:space="preserve">15-minute Settlement Interval </w:t>
                  </w:r>
                  <w:r>
                    <w:rPr>
                      <w:i/>
                      <w:iCs/>
                      <w:sz w:val="20"/>
                    </w:rPr>
                    <w:t xml:space="preserve">i. </w:t>
                  </w:r>
                </w:p>
              </w:tc>
            </w:tr>
            <w:tr w:rsidR="00694BD2" w:rsidRPr="00FC2DA7" w14:paraId="5E5E39A9" w14:textId="77777777" w:rsidTr="00663874">
              <w:tc>
                <w:tcPr>
                  <w:tcW w:w="2003" w:type="dxa"/>
                </w:tcPr>
                <w:p w14:paraId="4FFFFDC0" w14:textId="77777777" w:rsidR="00694BD2" w:rsidRPr="00FC2DA7" w:rsidRDefault="00694BD2" w:rsidP="00694BD2">
                  <w:pPr>
                    <w:spacing w:after="60"/>
                    <w:rPr>
                      <w:i/>
                      <w:iCs/>
                      <w:sz w:val="20"/>
                    </w:rPr>
                  </w:pPr>
                  <w:r w:rsidRPr="00FC2DA7">
                    <w:rPr>
                      <w:i/>
                      <w:iCs/>
                      <w:sz w:val="20"/>
                    </w:rPr>
                    <w:t>q</w:t>
                  </w:r>
                </w:p>
              </w:tc>
              <w:tc>
                <w:tcPr>
                  <w:tcW w:w="697" w:type="dxa"/>
                </w:tcPr>
                <w:p w14:paraId="2AB67F86" w14:textId="77777777" w:rsidR="00694BD2" w:rsidRPr="00FC2DA7" w:rsidRDefault="00694BD2" w:rsidP="00694BD2">
                  <w:pPr>
                    <w:spacing w:after="60"/>
                    <w:rPr>
                      <w:iCs/>
                      <w:sz w:val="20"/>
                    </w:rPr>
                  </w:pPr>
                  <w:r w:rsidRPr="00FC2DA7">
                    <w:rPr>
                      <w:iCs/>
                      <w:sz w:val="20"/>
                    </w:rPr>
                    <w:t>none</w:t>
                  </w:r>
                </w:p>
              </w:tc>
              <w:tc>
                <w:tcPr>
                  <w:tcW w:w="6655" w:type="dxa"/>
                </w:tcPr>
                <w:p w14:paraId="36470A2D" w14:textId="77777777" w:rsidR="00694BD2" w:rsidRPr="00FC2DA7" w:rsidRDefault="00694BD2" w:rsidP="00694BD2">
                  <w:pPr>
                    <w:spacing w:after="60"/>
                    <w:rPr>
                      <w:iCs/>
                      <w:sz w:val="20"/>
                    </w:rPr>
                  </w:pPr>
                  <w:r w:rsidRPr="00FC2DA7">
                    <w:rPr>
                      <w:iCs/>
                      <w:sz w:val="20"/>
                    </w:rPr>
                    <w:t xml:space="preserve">A QSE.  </w:t>
                  </w:r>
                </w:p>
              </w:tc>
            </w:tr>
            <w:tr w:rsidR="00694BD2" w:rsidRPr="00FC2DA7" w14:paraId="44453C4D" w14:textId="77777777" w:rsidTr="00663874">
              <w:tc>
                <w:tcPr>
                  <w:tcW w:w="2003" w:type="dxa"/>
                </w:tcPr>
                <w:p w14:paraId="5FD6F603" w14:textId="77777777" w:rsidR="00694BD2" w:rsidRPr="00FC2DA7" w:rsidRDefault="00694BD2" w:rsidP="00694BD2">
                  <w:pPr>
                    <w:spacing w:after="60"/>
                    <w:rPr>
                      <w:i/>
                      <w:iCs/>
                      <w:sz w:val="20"/>
                    </w:rPr>
                  </w:pPr>
                  <w:r w:rsidRPr="00FC2DA7">
                    <w:rPr>
                      <w:i/>
                      <w:iCs/>
                      <w:sz w:val="20"/>
                    </w:rPr>
                    <w:t>p</w:t>
                  </w:r>
                </w:p>
              </w:tc>
              <w:tc>
                <w:tcPr>
                  <w:tcW w:w="697" w:type="dxa"/>
                </w:tcPr>
                <w:p w14:paraId="54A8C753" w14:textId="77777777" w:rsidR="00694BD2" w:rsidRPr="00FC2DA7" w:rsidRDefault="00694BD2" w:rsidP="00694BD2">
                  <w:pPr>
                    <w:spacing w:after="60"/>
                    <w:rPr>
                      <w:iCs/>
                      <w:sz w:val="20"/>
                    </w:rPr>
                  </w:pPr>
                  <w:r w:rsidRPr="00FC2DA7">
                    <w:rPr>
                      <w:iCs/>
                      <w:sz w:val="20"/>
                    </w:rPr>
                    <w:t>none</w:t>
                  </w:r>
                </w:p>
              </w:tc>
              <w:tc>
                <w:tcPr>
                  <w:tcW w:w="6655" w:type="dxa"/>
                </w:tcPr>
                <w:p w14:paraId="69F3AD1E" w14:textId="77777777" w:rsidR="00694BD2" w:rsidRPr="00FC2DA7" w:rsidRDefault="00694BD2" w:rsidP="00694BD2">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694BD2" w:rsidRPr="00FC2DA7" w:rsidDel="00590517" w14:paraId="288B9407" w14:textId="77777777" w:rsidTr="00663874">
              <w:trPr>
                <w:cantSplit/>
              </w:trPr>
              <w:tc>
                <w:tcPr>
                  <w:tcW w:w="2003" w:type="dxa"/>
                </w:tcPr>
                <w:p w14:paraId="2F273F19" w14:textId="77777777" w:rsidR="00694BD2" w:rsidDel="00590517" w:rsidRDefault="00694BD2" w:rsidP="00694BD2">
                  <w:pPr>
                    <w:spacing w:after="60"/>
                    <w:rPr>
                      <w:i/>
                      <w:iCs/>
                      <w:sz w:val="20"/>
                    </w:rPr>
                  </w:pPr>
                  <w:r w:rsidRPr="00B77C4C">
                    <w:rPr>
                      <w:i/>
                      <w:sz w:val="20"/>
                    </w:rPr>
                    <w:t>i</w:t>
                  </w:r>
                </w:p>
              </w:tc>
              <w:tc>
                <w:tcPr>
                  <w:tcW w:w="697" w:type="dxa"/>
                </w:tcPr>
                <w:p w14:paraId="0FAC75DB" w14:textId="77777777" w:rsidR="00694BD2" w:rsidRPr="00FC2DA7" w:rsidDel="00590517" w:rsidRDefault="00694BD2" w:rsidP="00694BD2">
                  <w:pPr>
                    <w:spacing w:after="60"/>
                    <w:rPr>
                      <w:iCs/>
                      <w:sz w:val="20"/>
                    </w:rPr>
                  </w:pPr>
                  <w:r w:rsidRPr="00B77C4C">
                    <w:rPr>
                      <w:sz w:val="20"/>
                    </w:rPr>
                    <w:t>none</w:t>
                  </w:r>
                </w:p>
              </w:tc>
              <w:tc>
                <w:tcPr>
                  <w:tcW w:w="6655" w:type="dxa"/>
                </w:tcPr>
                <w:p w14:paraId="663208E1" w14:textId="77777777" w:rsidR="00694BD2" w:rsidDel="00590517" w:rsidRDefault="00694BD2" w:rsidP="00694BD2">
                  <w:pPr>
                    <w:spacing w:after="60"/>
                    <w:rPr>
                      <w:iCs/>
                      <w:sz w:val="20"/>
                    </w:rPr>
                  </w:pPr>
                  <w:r w:rsidRPr="00B77C4C">
                    <w:rPr>
                      <w:sz w:val="20"/>
                    </w:rPr>
                    <w:t xml:space="preserve">A 15-minute Settlement Interval. </w:t>
                  </w:r>
                </w:p>
              </w:tc>
            </w:tr>
            <w:tr w:rsidR="00694BD2" w:rsidRPr="00FC2DA7" w14:paraId="586615C8" w14:textId="77777777" w:rsidTr="00663874">
              <w:trPr>
                <w:cantSplit/>
              </w:trPr>
              <w:tc>
                <w:tcPr>
                  <w:tcW w:w="2003" w:type="dxa"/>
                </w:tcPr>
                <w:p w14:paraId="0DBAA6CA" w14:textId="77777777" w:rsidR="00694BD2" w:rsidRDefault="00694BD2" w:rsidP="00694BD2">
                  <w:pPr>
                    <w:spacing w:after="60"/>
                    <w:rPr>
                      <w:i/>
                      <w:iCs/>
                      <w:sz w:val="20"/>
                    </w:rPr>
                  </w:pPr>
                  <w:r>
                    <w:rPr>
                      <w:i/>
                      <w:iCs/>
                      <w:sz w:val="20"/>
                    </w:rPr>
                    <w:t>z</w:t>
                  </w:r>
                </w:p>
              </w:tc>
              <w:tc>
                <w:tcPr>
                  <w:tcW w:w="697" w:type="dxa"/>
                </w:tcPr>
                <w:p w14:paraId="4C9D497B" w14:textId="77777777" w:rsidR="00694BD2" w:rsidRPr="00FC2DA7" w:rsidRDefault="00694BD2" w:rsidP="00694BD2">
                  <w:pPr>
                    <w:spacing w:after="60"/>
                    <w:rPr>
                      <w:iCs/>
                      <w:sz w:val="20"/>
                    </w:rPr>
                  </w:pPr>
                  <w:r>
                    <w:rPr>
                      <w:iCs/>
                      <w:sz w:val="20"/>
                    </w:rPr>
                    <w:t>none</w:t>
                  </w:r>
                </w:p>
              </w:tc>
              <w:tc>
                <w:tcPr>
                  <w:tcW w:w="6655" w:type="dxa"/>
                </w:tcPr>
                <w:p w14:paraId="4918D311" w14:textId="77777777" w:rsidR="00694BD2" w:rsidRPr="001F3F48" w:rsidRDefault="00694BD2" w:rsidP="00694BD2">
                  <w:pPr>
                    <w:spacing w:after="60"/>
                    <w:rPr>
                      <w:iCs/>
                      <w:sz w:val="20"/>
                    </w:rPr>
                  </w:pPr>
                  <w:r w:rsidRPr="006D64A7">
                    <w:rPr>
                      <w:sz w:val="20"/>
                    </w:rPr>
                    <w:t>A 2003 ERCOT CMZ.</w:t>
                  </w:r>
                </w:p>
              </w:tc>
            </w:tr>
          </w:tbl>
          <w:p w14:paraId="3E2151FD" w14:textId="77777777" w:rsidR="006930B7" w:rsidRPr="008F39F7" w:rsidRDefault="006930B7" w:rsidP="006930B7">
            <w:pPr>
              <w:pStyle w:val="Instructions"/>
              <w:spacing w:before="120"/>
            </w:pPr>
          </w:p>
        </w:tc>
      </w:tr>
    </w:tbl>
    <w:p w14:paraId="66794B84" w14:textId="77777777" w:rsidR="006930B7" w:rsidRDefault="006930B7" w:rsidP="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0251E9FC"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565303EF" w14:textId="61349446" w:rsidR="006930B7" w:rsidRDefault="006930B7" w:rsidP="00663874">
            <w:pPr>
              <w:pStyle w:val="Instructions"/>
              <w:spacing w:before="120"/>
            </w:pPr>
            <w:r>
              <w:t>[NPRR1030:  Insert Section 6.6.2.8 below upon system implementation:]</w:t>
            </w:r>
          </w:p>
          <w:p w14:paraId="73276DAC" w14:textId="77777777" w:rsidR="00694BD2" w:rsidRDefault="00694BD2" w:rsidP="00694BD2">
            <w:pPr>
              <w:pStyle w:val="H4"/>
              <w:spacing w:before="480"/>
              <w:ind w:left="1267" w:hanging="1267"/>
            </w:pPr>
            <w:bookmarkStart w:id="1838" w:name="_Toc189044410"/>
            <w:r>
              <w:t>6.6.2.8</w:t>
            </w:r>
            <w:r>
              <w:tab/>
              <w:t>QSE DC Tie Export Load Ratio Share by Congestion Management Zone for a Month</w:t>
            </w:r>
            <w:bookmarkEnd w:id="1838"/>
          </w:p>
          <w:p w14:paraId="4AA7447D" w14:textId="77777777" w:rsidR="00694BD2" w:rsidRDefault="00694BD2" w:rsidP="00694BD2">
            <w:pPr>
              <w:pStyle w:val="BodyText"/>
              <w:ind w:left="720" w:hanging="720"/>
            </w:pPr>
            <w:r>
              <w:t>(1)</w:t>
            </w:r>
            <w:r>
              <w:tab/>
              <w:t>Each QSE’s DC Tie Export DCMLRSZ by CMZ for a calendar month is calculated as follows:</w:t>
            </w:r>
          </w:p>
          <w:p w14:paraId="0DFB438F" w14:textId="60859562" w:rsidR="00694BD2" w:rsidRDefault="00694BD2" w:rsidP="00694BD2">
            <w:pPr>
              <w:pStyle w:val="FormulaBold"/>
              <w:rPr>
                <w:lang w:val="sv-SE"/>
              </w:rPr>
            </w:pPr>
            <w:r>
              <w:rPr>
                <w:lang w:val="sv-SE"/>
              </w:rPr>
              <w:t xml:space="preserve">DCMLRSZ </w:t>
            </w:r>
            <w:r w:rsidRPr="006D64A7">
              <w:rPr>
                <w:rFonts w:ascii="Times New Roman Bold" w:hAnsi="Times New Roman Bold"/>
                <w:vertAlign w:val="subscript"/>
                <w:lang w:val="sv-SE"/>
              </w:rPr>
              <w:t>q,</w:t>
            </w:r>
            <w:r w:rsidR="00FB52E4">
              <w:rPr>
                <w:rFonts w:ascii="Times New Roman Bold" w:hAnsi="Times New Roman Bold"/>
                <w:vertAlign w:val="subscript"/>
                <w:lang w:val="sv-SE"/>
              </w:rPr>
              <w:t xml:space="preserve"> </w:t>
            </w:r>
            <w:r w:rsidRPr="006D64A7">
              <w:rPr>
                <w:rFonts w:ascii="Times New Roman Bold" w:hAnsi="Times New Roman Bold"/>
                <w:vertAlign w:val="subscript"/>
                <w:lang w:val="sv-SE"/>
              </w:rPr>
              <w:t>z</w:t>
            </w:r>
            <w:r>
              <w:rPr>
                <w:lang w:val="sv-SE"/>
              </w:rPr>
              <w:tab/>
              <w:t>=</w:t>
            </w:r>
            <w:r>
              <w:rPr>
                <w:lang w:val="sv-SE"/>
              </w:rPr>
              <w:tab/>
            </w:r>
            <w:r w:rsidRPr="00103433">
              <w:t>max(0,</w:t>
            </w:r>
            <w:r w:rsidRPr="00DC298E">
              <w:rPr>
                <w:noProof/>
                <w:position w:val="-28"/>
                <w:sz w:val="4"/>
                <w:szCs w:val="4"/>
              </w:rPr>
              <w:t xml:space="preserve"> </w:t>
            </w:r>
            <w:r w:rsidRPr="00F80C33">
              <w:rPr>
                <w:position w:val="-20"/>
              </w:rPr>
              <w:object w:dxaOrig="220" w:dyaOrig="440" w14:anchorId="22584CD4">
                <v:shape id="_x0000_i1111" type="#_x0000_t75" style="width:6pt;height:24pt" o:ole="">
                  <v:imagedata r:id="rId110" o:title=""/>
                </v:shape>
                <o:OLEObject Type="Embed" ProgID="Equation.3" ShapeID="_x0000_i1111" DrawAspect="Content" ObjectID="_1804653596" r:id="rId118"/>
              </w:object>
            </w:r>
            <w:r w:rsidRPr="006F784F">
              <w:rPr>
                <w:position w:val="-22"/>
              </w:rPr>
              <w:object w:dxaOrig="225" w:dyaOrig="465" w14:anchorId="30882CB2">
                <v:shape id="_x0000_i1112" type="#_x0000_t75" style="width:12pt;height:18pt" o:ole="">
                  <v:imagedata r:id="rId98" o:title=""/>
                </v:shape>
                <o:OLEObject Type="Embed" ProgID="Equation.3" ShapeID="_x0000_i1112" DrawAspect="Content" ObjectID="_1804653597" r:id="rId119"/>
              </w:object>
            </w:r>
            <w:r>
              <w:t>RTAMLDC</w:t>
            </w:r>
            <w:r>
              <w:rPr>
                <w:lang w:val="sv-SE"/>
              </w:rPr>
              <w:t xml:space="preserve"> </w:t>
            </w:r>
            <w:r>
              <w:rPr>
                <w:i/>
                <w:vertAlign w:val="subscript"/>
                <w:lang w:val="sv-SE"/>
              </w:rPr>
              <w:t>q, p,</w:t>
            </w:r>
            <w:r w:rsidR="00467363">
              <w:rPr>
                <w:i/>
                <w:vertAlign w:val="subscript"/>
                <w:lang w:val="sv-SE"/>
              </w:rPr>
              <w:t xml:space="preserve"> </w:t>
            </w:r>
            <w:r>
              <w:rPr>
                <w:i/>
                <w:vertAlign w:val="subscript"/>
                <w:lang w:val="sv-SE"/>
              </w:rPr>
              <w:t xml:space="preserve">i </w:t>
            </w:r>
            <w:r>
              <w:rPr>
                <w:lang w:val="sv-SE"/>
              </w:rPr>
              <w:t>) / MRTAMLLZTOT</w:t>
            </w:r>
            <w:r w:rsidRPr="00A77BD2">
              <w:rPr>
                <w:rFonts w:ascii="Times New Roman Bold" w:hAnsi="Times New Roman Bold"/>
                <w:i/>
                <w:vertAlign w:val="subscript"/>
                <w:lang w:val="sv-SE"/>
              </w:rPr>
              <w:t>z</w:t>
            </w:r>
          </w:p>
          <w:p w14:paraId="7B5B77BF"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CFFA154" w14:textId="77777777" w:rsidTr="00082248">
              <w:trPr>
                <w:cantSplit/>
              </w:trPr>
              <w:tc>
                <w:tcPr>
                  <w:tcW w:w="1050" w:type="pct"/>
                </w:tcPr>
                <w:p w14:paraId="4004868E" w14:textId="77777777" w:rsidR="00694BD2" w:rsidRDefault="00694BD2" w:rsidP="00694BD2">
                  <w:pPr>
                    <w:pStyle w:val="TableHead"/>
                  </w:pPr>
                  <w:r>
                    <w:t>Variable</w:t>
                  </w:r>
                </w:p>
              </w:tc>
              <w:tc>
                <w:tcPr>
                  <w:tcW w:w="437" w:type="pct"/>
                </w:tcPr>
                <w:p w14:paraId="08AAC53D" w14:textId="77777777" w:rsidR="00694BD2" w:rsidRDefault="00694BD2" w:rsidP="00694BD2">
                  <w:pPr>
                    <w:pStyle w:val="TableHead"/>
                  </w:pPr>
                  <w:r>
                    <w:t>Unit</w:t>
                  </w:r>
                </w:p>
              </w:tc>
              <w:tc>
                <w:tcPr>
                  <w:tcW w:w="3512" w:type="pct"/>
                </w:tcPr>
                <w:p w14:paraId="1A5D6BDC" w14:textId="77777777" w:rsidR="00694BD2" w:rsidRDefault="00694BD2" w:rsidP="00694BD2">
                  <w:pPr>
                    <w:pStyle w:val="TableHead"/>
                  </w:pPr>
                  <w:r>
                    <w:t>Description</w:t>
                  </w:r>
                </w:p>
              </w:tc>
            </w:tr>
            <w:tr w:rsidR="00694BD2" w14:paraId="09A4C4E3" w14:textId="77777777" w:rsidTr="00082248">
              <w:trPr>
                <w:cantSplit/>
              </w:trPr>
              <w:tc>
                <w:tcPr>
                  <w:tcW w:w="1050" w:type="pct"/>
                </w:tcPr>
                <w:p w14:paraId="45DCD527" w14:textId="47D01122" w:rsidR="00694BD2" w:rsidRDefault="00694BD2" w:rsidP="00694BD2">
                  <w:pPr>
                    <w:pStyle w:val="TableBody"/>
                  </w:pPr>
                  <w:r>
                    <w:lastRenderedPageBreak/>
                    <w:t>DCMLRSZ</w:t>
                  </w:r>
                  <w:r>
                    <w:rPr>
                      <w:i/>
                      <w:vertAlign w:val="subscript"/>
                    </w:rPr>
                    <w:t xml:space="preserve"> q,</w:t>
                  </w:r>
                  <w:r w:rsidR="009E3281">
                    <w:rPr>
                      <w:i/>
                      <w:vertAlign w:val="subscript"/>
                    </w:rPr>
                    <w:t xml:space="preserve"> </w:t>
                  </w:r>
                  <w:r>
                    <w:rPr>
                      <w:i/>
                      <w:vertAlign w:val="subscript"/>
                    </w:rPr>
                    <w:t>z</w:t>
                  </w:r>
                </w:p>
              </w:tc>
              <w:tc>
                <w:tcPr>
                  <w:tcW w:w="437" w:type="pct"/>
                </w:tcPr>
                <w:p w14:paraId="43EA1781" w14:textId="77777777" w:rsidR="00694BD2" w:rsidRDefault="00694BD2" w:rsidP="00694BD2">
                  <w:pPr>
                    <w:pStyle w:val="TableBody"/>
                  </w:pPr>
                  <w:r>
                    <w:t>none</w:t>
                  </w:r>
                </w:p>
              </w:tc>
              <w:tc>
                <w:tcPr>
                  <w:tcW w:w="3512" w:type="pct"/>
                </w:tcPr>
                <w:p w14:paraId="06947DA5" w14:textId="2C16E0E0" w:rsidR="00694BD2" w:rsidRDefault="00694BD2" w:rsidP="001335E7">
                  <w:pPr>
                    <w:pStyle w:val="TableBody"/>
                    <w:rPr>
                      <w:i/>
                    </w:rPr>
                  </w:pPr>
                  <w:r>
                    <w:rPr>
                      <w:i/>
                    </w:rPr>
                    <w:t>DC Tie Exports Monthly Load Ratio Share Zonal per QSE</w:t>
                  </w:r>
                  <w:r>
                    <w:t xml:space="preserve">—The ratio share </w:t>
                  </w:r>
                  <w:r w:rsidR="00DA1E33">
                    <w:br/>
                  </w:r>
                  <w:r>
                    <w:t xml:space="preserve">calculated for QSE </w:t>
                  </w:r>
                  <w:r>
                    <w:rPr>
                      <w:i/>
                    </w:rPr>
                    <w:t>q</w:t>
                  </w:r>
                  <w:r>
                    <w:t xml:space="preserve"> with DC Tie exports by CMZ </w:t>
                  </w:r>
                  <w:r>
                    <w:rPr>
                      <w:i/>
                    </w:rPr>
                    <w:t xml:space="preserve">z </w:t>
                  </w:r>
                  <w:r>
                    <w:t>for the calendar month.</w:t>
                  </w:r>
                </w:p>
              </w:tc>
            </w:tr>
            <w:tr w:rsidR="00694BD2" w14:paraId="4E078CB5" w14:textId="77777777" w:rsidTr="00082248">
              <w:trPr>
                <w:cantSplit/>
              </w:trPr>
              <w:tc>
                <w:tcPr>
                  <w:tcW w:w="1050" w:type="pct"/>
                </w:tcPr>
                <w:p w14:paraId="1121F6CF" w14:textId="0E175749" w:rsidR="00694BD2" w:rsidRDefault="00694BD2" w:rsidP="00694BD2">
                  <w:pPr>
                    <w:pStyle w:val="TableBody"/>
                  </w:pPr>
                  <w:r>
                    <w:rPr>
                      <w:lang w:val="sv-SE"/>
                    </w:rPr>
                    <w:t xml:space="preserve">RTAMLDC </w:t>
                  </w:r>
                  <w:r>
                    <w:rPr>
                      <w:i/>
                      <w:vertAlign w:val="subscript"/>
                      <w:lang w:val="sv-SE"/>
                    </w:rPr>
                    <w:t>q,</w:t>
                  </w:r>
                  <w:r w:rsidR="002B5070">
                    <w:rPr>
                      <w:i/>
                      <w:vertAlign w:val="subscript"/>
                      <w:lang w:val="sv-SE"/>
                    </w:rPr>
                    <w:t xml:space="preserve"> </w:t>
                  </w:r>
                  <w:r>
                    <w:rPr>
                      <w:i/>
                      <w:vertAlign w:val="subscript"/>
                      <w:lang w:val="sv-SE"/>
                    </w:rPr>
                    <w:t>p,</w:t>
                  </w:r>
                  <w:r w:rsidR="002B5070">
                    <w:rPr>
                      <w:i/>
                      <w:vertAlign w:val="subscript"/>
                      <w:lang w:val="sv-SE"/>
                    </w:rPr>
                    <w:t xml:space="preserve"> </w:t>
                  </w:r>
                  <w:r>
                    <w:rPr>
                      <w:i/>
                      <w:vertAlign w:val="subscript"/>
                      <w:lang w:val="sv-SE"/>
                    </w:rPr>
                    <w:t xml:space="preserve">i  </w:t>
                  </w:r>
                </w:p>
              </w:tc>
              <w:tc>
                <w:tcPr>
                  <w:tcW w:w="437" w:type="pct"/>
                </w:tcPr>
                <w:p w14:paraId="5F061B78" w14:textId="77777777" w:rsidR="00694BD2" w:rsidRDefault="00694BD2" w:rsidP="00694BD2">
                  <w:pPr>
                    <w:pStyle w:val="TableBody"/>
                  </w:pPr>
                  <w:r>
                    <w:t>MWh</w:t>
                  </w:r>
                </w:p>
              </w:tc>
              <w:tc>
                <w:tcPr>
                  <w:tcW w:w="3512" w:type="pct"/>
                </w:tcPr>
                <w:p w14:paraId="0858B43F" w14:textId="372391CA" w:rsidR="00694BD2" w:rsidRDefault="00694BD2" w:rsidP="00694BD2">
                  <w:pPr>
                    <w:pStyle w:val="TableBody"/>
                    <w:rPr>
                      <w:i/>
                    </w:rPr>
                  </w:pPr>
                  <w:r>
                    <w:rPr>
                      <w:i/>
                    </w:rPr>
                    <w:t>Real-Time Adjusted Metered Load for DC Ties per Settlement Point per QSE</w:t>
                  </w:r>
                  <w:r>
                    <w:t xml:space="preserve">—The sum of the DC Tie AML at the Electrical Buses that are included in Settlement </w:t>
                  </w:r>
                  <w:r w:rsidR="00DA1E33">
                    <w:br/>
                  </w:r>
                  <w:r>
                    <w:t xml:space="preserve">Point </w:t>
                  </w:r>
                  <w:r>
                    <w:rPr>
                      <w:i/>
                    </w:rPr>
                    <w:t>p</w:t>
                  </w:r>
                  <w:r>
                    <w:t xml:space="preserve">, represented by QSE </w:t>
                  </w:r>
                  <w:r>
                    <w:rPr>
                      <w:i/>
                    </w:rPr>
                    <w:t>q</w:t>
                  </w:r>
                  <w:r>
                    <w:t xml:space="preserve">, for the 15-minute Settlement Interval </w:t>
                  </w:r>
                  <w:r w:rsidRPr="008B5147">
                    <w:rPr>
                      <w:i/>
                    </w:rPr>
                    <w:t>i</w:t>
                  </w:r>
                  <w:r>
                    <w:t xml:space="preserve">. </w:t>
                  </w:r>
                </w:p>
              </w:tc>
            </w:tr>
            <w:tr w:rsidR="00694BD2" w14:paraId="4EE8D906" w14:textId="77777777" w:rsidTr="00082248">
              <w:trPr>
                <w:cantSplit/>
              </w:trPr>
              <w:tc>
                <w:tcPr>
                  <w:tcW w:w="1050" w:type="pct"/>
                </w:tcPr>
                <w:p w14:paraId="12ADE1F6" w14:textId="77777777" w:rsidR="00694BD2" w:rsidRDefault="00694BD2" w:rsidP="00694BD2">
                  <w:pPr>
                    <w:pStyle w:val="TableBody"/>
                  </w:pPr>
                  <w:r>
                    <w:t>MRTAMLLZTOT</w:t>
                  </w:r>
                  <w:r w:rsidRPr="006D64A7">
                    <w:rPr>
                      <w:rFonts w:ascii="Times New Roman Bold" w:hAnsi="Times New Roman Bold"/>
                      <w:vertAlign w:val="subscript"/>
                      <w:lang w:val="sv-SE"/>
                    </w:rPr>
                    <w:t xml:space="preserve"> </w:t>
                  </w:r>
                  <w:r>
                    <w:rPr>
                      <w:i/>
                      <w:vertAlign w:val="subscript"/>
                    </w:rPr>
                    <w:t>z</w:t>
                  </w:r>
                </w:p>
              </w:tc>
              <w:tc>
                <w:tcPr>
                  <w:tcW w:w="437" w:type="pct"/>
                </w:tcPr>
                <w:p w14:paraId="33C2448E" w14:textId="77777777" w:rsidR="00694BD2" w:rsidRDefault="00694BD2" w:rsidP="00694BD2">
                  <w:pPr>
                    <w:pStyle w:val="TableBody"/>
                  </w:pPr>
                  <w:r>
                    <w:t>MWh</w:t>
                  </w:r>
                </w:p>
              </w:tc>
              <w:tc>
                <w:tcPr>
                  <w:tcW w:w="3512" w:type="pct"/>
                </w:tcPr>
                <w:p w14:paraId="3ECCB92D" w14:textId="77777777" w:rsidR="00694BD2" w:rsidRDefault="00694BD2" w:rsidP="00694BD2">
                  <w:pPr>
                    <w:pStyle w:val="TableBody"/>
                  </w:pPr>
                  <w:r>
                    <w:rPr>
                      <w:i/>
                      <w:iCs w:val="0"/>
                    </w:rPr>
                    <w:t xml:space="preserve">Monthly </w:t>
                  </w: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in </w:t>
                  </w:r>
                  <w:r>
                    <w:rPr>
                      <w:iCs w:val="0"/>
                    </w:rPr>
                    <w:t>CMZ z</w:t>
                  </w:r>
                  <w:r w:rsidRPr="00FC2DA7">
                    <w:rPr>
                      <w:iCs w:val="0"/>
                    </w:rPr>
                    <w:t>, for th</w:t>
                  </w:r>
                  <w:r>
                    <w:rPr>
                      <w:iCs w:val="0"/>
                    </w:rPr>
                    <w:t>e calendar month.</w:t>
                  </w:r>
                </w:p>
              </w:tc>
            </w:tr>
            <w:tr w:rsidR="00694BD2" w14:paraId="0C370F31" w14:textId="77777777" w:rsidTr="00082248">
              <w:trPr>
                <w:cantSplit/>
              </w:trPr>
              <w:tc>
                <w:tcPr>
                  <w:tcW w:w="1050" w:type="pct"/>
                </w:tcPr>
                <w:p w14:paraId="55DAA7AD" w14:textId="77777777" w:rsidR="00694BD2" w:rsidRPr="00A61E91" w:rsidRDefault="00694BD2" w:rsidP="00694BD2">
                  <w:pPr>
                    <w:pStyle w:val="TableBody"/>
                    <w:rPr>
                      <w:i/>
                    </w:rPr>
                  </w:pPr>
                  <w:r w:rsidRPr="00FC2DA7">
                    <w:rPr>
                      <w:i/>
                      <w:iCs w:val="0"/>
                    </w:rPr>
                    <w:t>q</w:t>
                  </w:r>
                </w:p>
              </w:tc>
              <w:tc>
                <w:tcPr>
                  <w:tcW w:w="437" w:type="pct"/>
                </w:tcPr>
                <w:p w14:paraId="405F7249" w14:textId="77777777" w:rsidR="00694BD2" w:rsidRDefault="00694BD2" w:rsidP="00694BD2">
                  <w:pPr>
                    <w:pStyle w:val="TableBody"/>
                  </w:pPr>
                  <w:r w:rsidRPr="00FC2DA7">
                    <w:rPr>
                      <w:iCs w:val="0"/>
                    </w:rPr>
                    <w:t>none</w:t>
                  </w:r>
                </w:p>
              </w:tc>
              <w:tc>
                <w:tcPr>
                  <w:tcW w:w="3512" w:type="pct"/>
                </w:tcPr>
                <w:p w14:paraId="28B03D94" w14:textId="77777777" w:rsidR="00694BD2" w:rsidRDefault="00694BD2" w:rsidP="00694BD2">
                  <w:pPr>
                    <w:pStyle w:val="TableBody"/>
                  </w:pPr>
                  <w:r w:rsidRPr="00FC2DA7">
                    <w:rPr>
                      <w:iCs w:val="0"/>
                    </w:rPr>
                    <w:t xml:space="preserve">A QSE.  </w:t>
                  </w:r>
                </w:p>
              </w:tc>
            </w:tr>
            <w:tr w:rsidR="00694BD2" w14:paraId="2A9A23AC" w14:textId="77777777" w:rsidTr="00082248">
              <w:trPr>
                <w:cantSplit/>
              </w:trPr>
              <w:tc>
                <w:tcPr>
                  <w:tcW w:w="1050" w:type="pct"/>
                </w:tcPr>
                <w:p w14:paraId="374E75A9" w14:textId="77777777" w:rsidR="00694BD2" w:rsidRPr="00993F9F" w:rsidRDefault="00694BD2" w:rsidP="00694BD2">
                  <w:pPr>
                    <w:pStyle w:val="TableBody"/>
                    <w:rPr>
                      <w:i/>
                    </w:rPr>
                  </w:pPr>
                  <w:r w:rsidRPr="00A61E91">
                    <w:rPr>
                      <w:i/>
                    </w:rPr>
                    <w:t>p</w:t>
                  </w:r>
                </w:p>
              </w:tc>
              <w:tc>
                <w:tcPr>
                  <w:tcW w:w="437" w:type="pct"/>
                </w:tcPr>
                <w:p w14:paraId="5804AA56" w14:textId="77777777" w:rsidR="00694BD2" w:rsidRDefault="00694BD2" w:rsidP="00694BD2">
                  <w:pPr>
                    <w:pStyle w:val="TableBody"/>
                  </w:pPr>
                  <w:r>
                    <w:t>none</w:t>
                  </w:r>
                </w:p>
              </w:tc>
              <w:tc>
                <w:tcPr>
                  <w:tcW w:w="3512" w:type="pct"/>
                </w:tcPr>
                <w:p w14:paraId="46078C32" w14:textId="77777777" w:rsidR="00694BD2" w:rsidRDefault="00694BD2" w:rsidP="00694BD2">
                  <w:pPr>
                    <w:pStyle w:val="TableBody"/>
                  </w:pPr>
                  <w:r>
                    <w:t>A Settlement Point</w:t>
                  </w:r>
                  <w:r>
                    <w:rPr>
                      <w:iCs w:val="0"/>
                    </w:rPr>
                    <w:t xml:space="preserve"> in the 2003 ERCOT CMZ</w:t>
                  </w:r>
                  <w:r>
                    <w:t>.</w:t>
                  </w:r>
                </w:p>
              </w:tc>
            </w:tr>
            <w:tr w:rsidR="00694BD2" w14:paraId="66D0A3F1" w14:textId="77777777" w:rsidTr="00082248">
              <w:trPr>
                <w:cantSplit/>
              </w:trPr>
              <w:tc>
                <w:tcPr>
                  <w:tcW w:w="1050" w:type="pct"/>
                </w:tcPr>
                <w:p w14:paraId="7657383A" w14:textId="77777777" w:rsidR="00694BD2" w:rsidRPr="00A61E91" w:rsidRDefault="00694BD2" w:rsidP="00694BD2">
                  <w:pPr>
                    <w:pStyle w:val="TableBody"/>
                    <w:rPr>
                      <w:i/>
                    </w:rPr>
                  </w:pPr>
                  <w:r w:rsidRPr="00B77C4C">
                    <w:rPr>
                      <w:i/>
                    </w:rPr>
                    <w:t>i</w:t>
                  </w:r>
                </w:p>
              </w:tc>
              <w:tc>
                <w:tcPr>
                  <w:tcW w:w="437" w:type="pct"/>
                </w:tcPr>
                <w:p w14:paraId="0B14F27F" w14:textId="77777777" w:rsidR="00694BD2" w:rsidRDefault="00694BD2" w:rsidP="00694BD2">
                  <w:pPr>
                    <w:pStyle w:val="TableBody"/>
                  </w:pPr>
                  <w:r w:rsidRPr="00B77C4C">
                    <w:t>none</w:t>
                  </w:r>
                </w:p>
              </w:tc>
              <w:tc>
                <w:tcPr>
                  <w:tcW w:w="3512" w:type="pct"/>
                </w:tcPr>
                <w:p w14:paraId="3DA7BB7E" w14:textId="77777777" w:rsidR="00694BD2" w:rsidRDefault="00694BD2" w:rsidP="00694BD2">
                  <w:pPr>
                    <w:pStyle w:val="TableBody"/>
                  </w:pPr>
                  <w:r w:rsidRPr="00B77C4C">
                    <w:t xml:space="preserve">A 15-minute Settlement Interval. </w:t>
                  </w:r>
                </w:p>
              </w:tc>
            </w:tr>
            <w:tr w:rsidR="00694BD2" w14:paraId="1189E409" w14:textId="77777777" w:rsidTr="00082248">
              <w:trPr>
                <w:cantSplit/>
              </w:trPr>
              <w:tc>
                <w:tcPr>
                  <w:tcW w:w="1050" w:type="pct"/>
                </w:tcPr>
                <w:p w14:paraId="6D2E4637" w14:textId="77777777" w:rsidR="00694BD2" w:rsidRDefault="00694BD2" w:rsidP="00694BD2">
                  <w:pPr>
                    <w:pStyle w:val="TableBody"/>
                    <w:rPr>
                      <w:i/>
                    </w:rPr>
                  </w:pPr>
                  <w:r>
                    <w:rPr>
                      <w:i/>
                    </w:rPr>
                    <w:t>z</w:t>
                  </w:r>
                </w:p>
              </w:tc>
              <w:tc>
                <w:tcPr>
                  <w:tcW w:w="437" w:type="pct"/>
                </w:tcPr>
                <w:p w14:paraId="23489AE0" w14:textId="77777777" w:rsidR="00694BD2" w:rsidRDefault="00694BD2" w:rsidP="00694BD2">
                  <w:pPr>
                    <w:pStyle w:val="TableBody"/>
                  </w:pPr>
                  <w:r>
                    <w:t>none</w:t>
                  </w:r>
                </w:p>
              </w:tc>
              <w:tc>
                <w:tcPr>
                  <w:tcW w:w="3512" w:type="pct"/>
                </w:tcPr>
                <w:p w14:paraId="336A569F" w14:textId="77777777" w:rsidR="00694BD2" w:rsidRDefault="00694BD2" w:rsidP="00694BD2">
                  <w:pPr>
                    <w:pStyle w:val="TableBody"/>
                  </w:pPr>
                  <w:r w:rsidRPr="006D64A7">
                    <w:t>A 2003 ERCOT CMZ.</w:t>
                  </w:r>
                </w:p>
              </w:tc>
            </w:tr>
          </w:tbl>
          <w:p w14:paraId="49CAC0C4" w14:textId="77777777" w:rsidR="006930B7" w:rsidRPr="008F39F7" w:rsidRDefault="006930B7" w:rsidP="00663874">
            <w:pPr>
              <w:pStyle w:val="Instructions"/>
              <w:spacing w:before="120"/>
            </w:pPr>
          </w:p>
        </w:tc>
      </w:tr>
    </w:tbl>
    <w:p w14:paraId="5BDCE569" w14:textId="77777777" w:rsidR="001F04FD" w:rsidRDefault="001F04FD" w:rsidP="001F04FD">
      <w:pPr>
        <w:pStyle w:val="H3"/>
        <w:spacing w:before="480"/>
      </w:pPr>
      <w:bookmarkStart w:id="1839" w:name="_Toc189044411"/>
      <w:r>
        <w:lastRenderedPageBreak/>
        <w:t>6.6.3</w:t>
      </w:r>
      <w:r>
        <w:tab/>
        <w:t>Real-Time Energy Charges and Payments</w:t>
      </w:r>
      <w:bookmarkEnd w:id="1705"/>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9"/>
      <w:r>
        <w:t xml:space="preserve"> </w:t>
      </w:r>
    </w:p>
    <w:p w14:paraId="4459E70E" w14:textId="77777777" w:rsidR="001F04FD" w:rsidRDefault="001F04FD" w:rsidP="001F04FD">
      <w:pPr>
        <w:pStyle w:val="H4"/>
        <w:spacing w:before="480"/>
        <w:ind w:left="1267" w:hanging="1267"/>
      </w:pPr>
      <w:bookmarkStart w:id="1840" w:name="_Toc87951785"/>
      <w:bookmarkStart w:id="1841" w:name="_Toc109009389"/>
      <w:bookmarkStart w:id="1842" w:name="_Toc397505013"/>
      <w:bookmarkStart w:id="1843" w:name="_Toc402357141"/>
      <w:bookmarkStart w:id="1844" w:name="_Toc422486519"/>
      <w:bookmarkStart w:id="1845" w:name="_Toc433093371"/>
      <w:bookmarkStart w:id="1846" w:name="_Toc433093529"/>
      <w:bookmarkStart w:id="1847" w:name="_Toc440874757"/>
      <w:bookmarkStart w:id="1848" w:name="_Toc448142312"/>
      <w:bookmarkStart w:id="1849" w:name="_Toc448142469"/>
      <w:bookmarkStart w:id="1850" w:name="_Toc458770310"/>
      <w:bookmarkStart w:id="1851" w:name="_Toc459294278"/>
      <w:bookmarkStart w:id="1852" w:name="_Toc463262771"/>
      <w:bookmarkStart w:id="1853" w:name="_Toc468286844"/>
      <w:bookmarkStart w:id="1854" w:name="_Toc481502887"/>
      <w:bookmarkStart w:id="1855" w:name="_Toc496080055"/>
      <w:bookmarkStart w:id="1856" w:name="_Toc189044412"/>
      <w:r>
        <w:t>6.6.3.1</w:t>
      </w:r>
      <w:r>
        <w:tab/>
        <w:t xml:space="preserve">Real-Time Energy </w:t>
      </w:r>
      <w:bookmarkEnd w:id="1840"/>
      <w:bookmarkEnd w:id="1841"/>
      <w:r>
        <w:t>Imbalance Payment or Charge at a Resource Node</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4801CBDE" w14:textId="77777777" w:rsidR="001F04FD" w:rsidRDefault="001F04FD" w:rsidP="001F04FD">
      <w:pPr>
        <w:pStyle w:val="BodyTextNumbered"/>
      </w:pPr>
      <w:bookmarkStart w:id="1857" w:name="_Toc118199816"/>
      <w:bookmarkStart w:id="1858" w:name="_Toc118200328"/>
      <w:bookmarkStart w:id="1859" w:name="_Toc118908571"/>
      <w:bookmarkStart w:id="1860" w:name="_Toc119180742"/>
      <w:bookmarkStart w:id="1861" w:name="_Toc87951786"/>
      <w:bookmarkStart w:id="1862" w:name="_Toc109009390"/>
      <w:r>
        <w:t>(1)</w:t>
      </w:r>
      <w:r>
        <w:tab/>
        <w:t>The payment or charge to each QSE for Energy Imbalance Service is calculated based on the Real-Time Settlement Point Price for the following amounts at a particular Resource Node Settlement Point:</w:t>
      </w:r>
    </w:p>
    <w:p w14:paraId="07F6DDF1" w14:textId="588ECA5F" w:rsidR="001F04FD" w:rsidRDefault="001F04FD" w:rsidP="001F04FD">
      <w:pPr>
        <w:pStyle w:val="List"/>
      </w:pPr>
      <w:r>
        <w:t>(a)</w:t>
      </w:r>
      <w:r>
        <w:tab/>
        <w:t>The energy produced by all its Generation Resources</w:t>
      </w:r>
      <w:r w:rsidR="002A0AD7">
        <w:t>,</w:t>
      </w:r>
      <w:r>
        <w:t xml:space="preserve"> consumed as WSL</w:t>
      </w:r>
      <w:r w:rsidR="002A0AD7">
        <w:t>, or consumed as Non-WSL ESR Charging Load</w:t>
      </w:r>
      <w:r>
        <w:t xml:space="preserve"> at the Settlement Point; plus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6C5B5E" w14:paraId="3D03F256" w14:textId="77777777" w:rsidTr="006C5B5E">
        <w:trPr>
          <w:trHeight w:val="206"/>
        </w:trPr>
        <w:tc>
          <w:tcPr>
            <w:tcW w:w="9576" w:type="dxa"/>
            <w:shd w:val="pct12" w:color="auto" w:fill="auto"/>
          </w:tcPr>
          <w:p w14:paraId="6FC12799" w14:textId="2A5F01B6" w:rsidR="006C5B5E" w:rsidRDefault="006C5B5E" w:rsidP="00F5593C">
            <w:pPr>
              <w:pStyle w:val="Instructions"/>
              <w:spacing w:before="120"/>
            </w:pPr>
            <w:r>
              <w:t>[NPRR1188:  Replace item (a) above with the following upon system implementation:]</w:t>
            </w:r>
          </w:p>
          <w:p w14:paraId="6019133D" w14:textId="1AC9546A" w:rsidR="006C5B5E" w:rsidRPr="006C5B5E" w:rsidRDefault="006C5B5E" w:rsidP="006C5B5E">
            <w:pPr>
              <w:spacing w:after="240"/>
              <w:ind w:left="1440" w:hanging="720"/>
            </w:pPr>
            <w:r w:rsidRPr="00812ECB">
              <w:t>(a)</w:t>
            </w:r>
            <w:r w:rsidRPr="00812ECB">
              <w:tab/>
            </w:r>
            <w:bookmarkStart w:id="1863" w:name="_Hlk115958550"/>
            <w:r w:rsidRPr="00812ECB">
              <w:t>The energy produced or consumed at the Settlement Point by all its Generation Resources, ESR Charging Load with WSL treatment, ESR Charging Load with Non-WSL treatment, or CLRs that are not ALRs; plus</w:t>
            </w:r>
            <w:bookmarkEnd w:id="1863"/>
          </w:p>
        </w:tc>
      </w:tr>
    </w:tbl>
    <w:p w14:paraId="24AD154F" w14:textId="1E044226" w:rsidR="001F04FD" w:rsidRDefault="001F04FD" w:rsidP="004116AE">
      <w:pPr>
        <w:pStyle w:val="List"/>
        <w:spacing w:before="240"/>
      </w:pPr>
      <w:r>
        <w:t>(b)</w:t>
      </w:r>
      <w:r>
        <w:tab/>
        <w:t>The amount of its Self-Schedules with sink specified at the Settlement Point; plus</w:t>
      </w:r>
    </w:p>
    <w:p w14:paraId="1F17385D" w14:textId="77777777" w:rsidR="001F04FD" w:rsidRDefault="001F04FD" w:rsidP="001F04FD">
      <w:pPr>
        <w:pStyle w:val="List"/>
      </w:pPr>
      <w:r>
        <w:t>(c)</w:t>
      </w:r>
      <w:r>
        <w:tab/>
        <w:t>The amount of its Day-Ahead Market (DAM) Energy Bids cleared in the DAM at the Settlement Point; plus</w:t>
      </w:r>
    </w:p>
    <w:p w14:paraId="58DA1842" w14:textId="77777777" w:rsidR="001F04FD" w:rsidRDefault="001F04FD" w:rsidP="001F04FD">
      <w:pPr>
        <w:pStyle w:val="List"/>
      </w:pPr>
      <w:r>
        <w:t>(d)</w:t>
      </w:r>
      <w:r>
        <w:tab/>
        <w:t>The amount of its Energy Trades at the Settlement Point where the QSE is the buyer; minus</w:t>
      </w:r>
    </w:p>
    <w:p w14:paraId="41E178F6" w14:textId="77777777" w:rsidR="001F04FD" w:rsidRDefault="001F04FD" w:rsidP="001F04FD">
      <w:pPr>
        <w:pStyle w:val="List"/>
      </w:pPr>
      <w:r>
        <w:t>(e)</w:t>
      </w:r>
      <w:r>
        <w:tab/>
        <w:t>The amount of its Self-Schedules with source specified at the Settlement Point; minus</w:t>
      </w:r>
    </w:p>
    <w:p w14:paraId="01EA5F2C" w14:textId="77777777" w:rsidR="001F04FD" w:rsidRDefault="001F04FD" w:rsidP="001F04FD">
      <w:pPr>
        <w:pStyle w:val="List"/>
      </w:pPr>
      <w:r>
        <w:t>(f)</w:t>
      </w:r>
      <w:r>
        <w:tab/>
        <w:t xml:space="preserve">The amount of its energy offers cleared in the DAM at the Settlement Point; minus </w:t>
      </w:r>
    </w:p>
    <w:p w14:paraId="1751BA62" w14:textId="77777777" w:rsidR="001F04FD" w:rsidRDefault="001F04FD" w:rsidP="001F04FD">
      <w:pPr>
        <w:pStyle w:val="List"/>
      </w:pPr>
      <w:r>
        <w:lastRenderedPageBreak/>
        <w:t>(g)</w:t>
      </w:r>
      <w:r>
        <w:tab/>
        <w:t xml:space="preserve">The amount of its Energy Trades at the Settlement Point where the QSE is the seller. </w:t>
      </w:r>
    </w:p>
    <w:p w14:paraId="3567F934"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Resource Node Settlement Point for a given 15-minute Settlement Interval is calculated as follows:</w:t>
      </w:r>
    </w:p>
    <w:p w14:paraId="70D001D3" w14:textId="77B4DD2D" w:rsidR="001F04FD" w:rsidRDefault="001F04FD" w:rsidP="001F04FD">
      <w:pPr>
        <w:pStyle w:val="FormulaBold"/>
        <w:ind w:left="3150" w:hanging="2430"/>
        <w:rPr>
          <w:sz w:val="32"/>
        </w:rPr>
      </w:pPr>
      <w:r>
        <w:t xml:space="preserve">RTEIAMT </w:t>
      </w:r>
      <w:r>
        <w:rPr>
          <w:i/>
          <w:vertAlign w:val="subscript"/>
        </w:rPr>
        <w:t>q, p</w:t>
      </w:r>
      <w:r>
        <w:tab/>
      </w:r>
      <w:r>
        <w:tab/>
      </w:r>
      <w:r w:rsidR="004E4B05">
        <w:t>= (-1) * {</w:t>
      </w:r>
      <w:r w:rsidR="004E4B05" w:rsidRPr="006F784F">
        <w:rPr>
          <w:position w:val="-22"/>
        </w:rPr>
        <w:object w:dxaOrig="285" w:dyaOrig="450" w14:anchorId="32A221F2">
          <v:shape id="_x0000_i1113" type="#_x0000_t75" style="width:12pt;height:24pt" o:ole="">
            <v:imagedata r:id="rId120" o:title=""/>
          </v:shape>
          <o:OLEObject Type="Embed" ProgID="Equation.3" ShapeID="_x0000_i1113" DrawAspect="Content" ObjectID="_1804653598" r:id="rId121"/>
        </w:object>
      </w:r>
      <w:r w:rsidR="004E4B05">
        <w:rPr>
          <w:rFonts w:ascii="Times New Roman Bold" w:hAnsi="Times New Roman Bold"/>
        </w:rPr>
        <w:t>(</w:t>
      </w:r>
      <w:r w:rsidR="004E4B05" w:rsidRPr="006F784F">
        <w:rPr>
          <w:position w:val="-18"/>
        </w:rPr>
        <w:object w:dxaOrig="225" w:dyaOrig="420" w14:anchorId="10FCFCC9">
          <v:shape id="_x0000_i1114" type="#_x0000_t75" style="width:12pt;height:24pt" o:ole="">
            <v:imagedata r:id="rId122" o:title=""/>
          </v:shape>
          <o:OLEObject Type="Embed" ProgID="Equation.3" ShapeID="_x0000_i1114" DrawAspect="Content" ObjectID="_1804653599" r:id="rId123"/>
        </w:object>
      </w:r>
      <w:r w:rsidR="004E4B05">
        <w:t>(RESREV</w:t>
      </w:r>
      <w:r w:rsidR="004E4B05" w:rsidRPr="003209BD">
        <w:rPr>
          <w:i/>
          <w:vertAlign w:val="subscript"/>
        </w:rPr>
        <w:t xml:space="preserve"> </w:t>
      </w:r>
      <w:r w:rsidR="004E4B05">
        <w:rPr>
          <w:i/>
          <w:vertAlign w:val="subscript"/>
        </w:rPr>
        <w:t>q, r, gsc, p</w:t>
      </w:r>
      <w:r w:rsidR="004E4B05">
        <w:t xml:space="preserve">)) </w:t>
      </w:r>
      <w:r w:rsidR="004E4B05" w:rsidRPr="00524CAD">
        <w:t>+ (</w:t>
      </w:r>
      <w:r w:rsidR="004E4B05" w:rsidRPr="00524CAD">
        <w:rPr>
          <w:position w:val="-18"/>
        </w:rPr>
        <w:object w:dxaOrig="225" w:dyaOrig="420" w14:anchorId="547A6384">
          <v:shape id="_x0000_i1115" type="#_x0000_t75" style="width:12pt;height:24pt" o:ole="">
            <v:imagedata r:id="rId122" o:title=""/>
          </v:shape>
          <o:OLEObject Type="Embed" ProgID="Equation.3" ShapeID="_x0000_i1115" DrawAspect="Content" ObjectID="_1804653600" r:id="rId124"/>
        </w:objec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w:t>
      </w:r>
      <w:r w:rsidR="004E4B05" w:rsidRPr="00524CAD">
        <w:t>+ (</w:t>
      </w:r>
      <w:r w:rsidR="004E4B05" w:rsidRPr="00524CAD">
        <w:rPr>
          <w:position w:val="-18"/>
        </w:rPr>
        <w:object w:dxaOrig="225" w:dyaOrig="420" w14:anchorId="76489724">
          <v:shape id="_x0000_i1116" type="#_x0000_t75" style="width:12pt;height:24pt" o:ole="">
            <v:imagedata r:id="rId122" o:title=""/>
          </v:shape>
          <o:OLEObject Type="Embed" ProgID="Equation.3" ShapeID="_x0000_i1116" DrawAspect="Content" ObjectID="_1804653601" r:id="rId125"/>
        </w:object>
      </w:r>
      <w:r w:rsidR="004E4B05">
        <w:t>ESRN</w: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 RTSPP </w:t>
      </w:r>
      <w:r w:rsidR="004E4B05">
        <w:rPr>
          <w:i/>
          <w:vertAlign w:val="subscript"/>
        </w:rPr>
        <w:t>p</w:t>
      </w:r>
      <w:r w:rsidR="004E4B05">
        <w:t xml:space="preserve"> * [(SSSK </w:t>
      </w:r>
      <w:r w:rsidR="004E4B05">
        <w:rPr>
          <w:i/>
          <w:vertAlign w:val="subscript"/>
        </w:rPr>
        <w:t>q, p</w:t>
      </w:r>
      <w:r w:rsidR="004E4B05">
        <w:t xml:space="preserve"> * ¼) + (DAEP </w:t>
      </w:r>
      <w:r w:rsidR="004E4B05">
        <w:rPr>
          <w:i/>
          <w:vertAlign w:val="subscript"/>
        </w:rPr>
        <w:t>q, p</w:t>
      </w:r>
      <w:r w:rsidR="004E4B05">
        <w:t xml:space="preserve"> * ¼) + (RTQQEP </w:t>
      </w:r>
      <w:r w:rsidR="004E4B05">
        <w:rPr>
          <w:i/>
          <w:vertAlign w:val="subscript"/>
        </w:rPr>
        <w:t>q, p</w:t>
      </w:r>
      <w:r w:rsidR="004E4B05">
        <w:t xml:space="preserve"> * ¼) – (SSSR </w:t>
      </w:r>
      <w:r w:rsidR="004E4B05">
        <w:rPr>
          <w:i/>
          <w:vertAlign w:val="subscript"/>
        </w:rPr>
        <w:t>q, p</w:t>
      </w:r>
      <w:r w:rsidR="004E4B05">
        <w:t xml:space="preserve"> * ¼) – (DAES </w:t>
      </w:r>
      <w:r w:rsidR="004E4B05">
        <w:rPr>
          <w:i/>
          <w:vertAlign w:val="subscript"/>
        </w:rPr>
        <w:t>q, p</w:t>
      </w:r>
      <w:r w:rsidR="004E4B05">
        <w:t xml:space="preserve"> * ¼) – (RTQQES </w:t>
      </w:r>
      <w:r w:rsidR="004E4B05">
        <w:rPr>
          <w:i/>
          <w:vertAlign w:val="subscript"/>
        </w:rPr>
        <w:t>q, p</w:t>
      </w:r>
      <w:r w:rsidR="004E4B05">
        <w:t xml:space="preserve"> * ¼)]</w:t>
      </w:r>
      <w:r w:rsidR="004E4B05">
        <w:rPr>
          <w:sz w:val="32"/>
        </w:rPr>
        <w:t>}</w:t>
      </w:r>
    </w:p>
    <w:p w14:paraId="76E2F5DB" w14:textId="77777777" w:rsidR="001F04FD" w:rsidRPr="007710BD" w:rsidRDefault="001F04FD" w:rsidP="00FB599C">
      <w:pPr>
        <w:pStyle w:val="FormulaBold"/>
        <w:rPr>
          <w:b w:val="0"/>
        </w:rPr>
      </w:pPr>
      <w:r w:rsidRPr="007710BD">
        <w:rPr>
          <w:b w:val="0"/>
        </w:rPr>
        <w:t>Where:</w:t>
      </w:r>
    </w:p>
    <w:p w14:paraId="7BFEDCA6" w14:textId="77777777" w:rsidR="001F04FD" w:rsidRPr="00AD486D" w:rsidRDefault="001F04FD" w:rsidP="001F04FD">
      <w:pPr>
        <w:pStyle w:val="FormulaBold"/>
        <w:ind w:left="3150" w:hanging="2430"/>
        <w:rPr>
          <w:b w:val="0"/>
          <w:i/>
          <w:sz w:val="28"/>
          <w:szCs w:val="28"/>
          <w:vertAlign w:val="subscript"/>
        </w:rPr>
      </w:pPr>
      <w:r w:rsidRPr="00AD486D">
        <w:rPr>
          <w:b w:val="0"/>
        </w:rPr>
        <w:t>RESREV</w:t>
      </w:r>
      <w:r w:rsidRPr="00B15E7C">
        <w:rPr>
          <w:b w:val="0"/>
          <w:i/>
          <w:vertAlign w:val="subscript"/>
        </w:rPr>
        <w:t xml:space="preserve"> q</w:t>
      </w:r>
      <w:r w:rsidRPr="00AD486D">
        <w:rPr>
          <w:b w:val="0"/>
          <w:i/>
          <w:vertAlign w:val="subscript"/>
        </w:rPr>
        <w:t>, r, gsc, p</w:t>
      </w:r>
      <w:r w:rsidRPr="00AD486D">
        <w:rPr>
          <w:b w:val="0"/>
        </w:rPr>
        <w:tab/>
        <w:t xml:space="preserve">= GSPLITPER </w:t>
      </w:r>
      <w:r w:rsidRPr="00B15E7C">
        <w:rPr>
          <w:b w:val="0"/>
          <w:i/>
          <w:vertAlign w:val="subscript"/>
        </w:rPr>
        <w:t>q</w:t>
      </w:r>
      <w:r w:rsidRPr="00AD486D">
        <w:rPr>
          <w:b w:val="0"/>
          <w:i/>
          <w:vertAlign w:val="subscript"/>
        </w:rPr>
        <w:t>, r, gsc, p</w:t>
      </w:r>
      <w:r w:rsidRPr="00AD486D">
        <w:rPr>
          <w:b w:val="0"/>
        </w:rPr>
        <w:t xml:space="preserve"> * NMSAMTTOT </w:t>
      </w:r>
      <w:r w:rsidRPr="00AD486D">
        <w:rPr>
          <w:b w:val="0"/>
          <w:i/>
          <w:szCs w:val="28"/>
          <w:vertAlign w:val="subscript"/>
        </w:rPr>
        <w:t>gsc</w:t>
      </w:r>
    </w:p>
    <w:p w14:paraId="7B63C383" w14:textId="77777777" w:rsidR="001F04FD" w:rsidRPr="00AD486D" w:rsidRDefault="001F04FD" w:rsidP="001F04FD">
      <w:pPr>
        <w:pStyle w:val="FormulaBold"/>
        <w:ind w:left="3150" w:hanging="2430"/>
        <w:rPr>
          <w:b w:val="0"/>
          <w:i/>
          <w:vertAlign w:val="subscript"/>
        </w:rPr>
      </w:pPr>
      <w:r w:rsidRPr="00AD486D">
        <w:rPr>
          <w:b w:val="0"/>
        </w:rPr>
        <w:t>RESMEB</w:t>
      </w:r>
      <w:r w:rsidRPr="00B15E7C">
        <w:rPr>
          <w:b w:val="0"/>
          <w:i/>
          <w:vertAlign w:val="subscript"/>
        </w:rPr>
        <w:t xml:space="preserve"> q</w:t>
      </w:r>
      <w:r w:rsidRPr="00AD486D">
        <w:rPr>
          <w:b w:val="0"/>
          <w:i/>
          <w:vertAlign w:val="subscript"/>
        </w:rPr>
        <w:t>, r, gsc, p</w:t>
      </w:r>
      <w:r w:rsidRPr="00AD486D">
        <w:rPr>
          <w:b w:val="0"/>
          <w:i/>
          <w:vertAlign w:val="subscript"/>
        </w:rPr>
        <w:tab/>
      </w:r>
      <w:r w:rsidRPr="00AD486D">
        <w:rPr>
          <w:b w:val="0"/>
        </w:rPr>
        <w:t xml:space="preserve">= GSPLITPER </w:t>
      </w:r>
      <w:r w:rsidRPr="00B15E7C">
        <w:rPr>
          <w:b w:val="0"/>
          <w:i/>
          <w:vertAlign w:val="subscript"/>
        </w:rPr>
        <w:t>q</w:t>
      </w:r>
      <w:r w:rsidRPr="00AD486D">
        <w:rPr>
          <w:b w:val="0"/>
          <w:i/>
          <w:vertAlign w:val="subscript"/>
        </w:rPr>
        <w:t>, r, gsc, p</w:t>
      </w:r>
      <w:r w:rsidRPr="00AD486D">
        <w:rPr>
          <w:b w:val="0"/>
        </w:rPr>
        <w:t xml:space="preserve"> * NMRTETOT</w:t>
      </w:r>
      <w:r w:rsidRPr="00AD486D">
        <w:rPr>
          <w:b w:val="0"/>
          <w:i/>
          <w:vertAlign w:val="subscript"/>
        </w:rPr>
        <w:t xml:space="preserve"> gsc</w:t>
      </w:r>
    </w:p>
    <w:p w14:paraId="3D50787E" w14:textId="49ECB987" w:rsidR="001F04FD" w:rsidRPr="00B15E7C" w:rsidRDefault="001F04FD" w:rsidP="001F04FD">
      <w:pPr>
        <w:pStyle w:val="FormulaBold"/>
        <w:ind w:left="3150" w:hanging="2430"/>
        <w:rPr>
          <w:b w:val="0"/>
          <w:bCs w:val="0"/>
          <w:i/>
        </w:rPr>
      </w:pPr>
      <w:r w:rsidRPr="00AD486D">
        <w:rPr>
          <w:b w:val="0"/>
          <w:bCs w:val="0"/>
        </w:rPr>
        <w:t>WSLTOT</w:t>
      </w:r>
      <w:r w:rsidRPr="00AD486D">
        <w:rPr>
          <w:b w:val="0"/>
          <w:bCs w:val="0"/>
          <w:i/>
          <w:vertAlign w:val="subscript"/>
        </w:rPr>
        <w:t xml:space="preserve"> q, p</w:t>
      </w:r>
      <w:r w:rsidRPr="00AD486D">
        <w:rPr>
          <w:b w:val="0"/>
          <w:i/>
          <w:vertAlign w:val="subscript"/>
        </w:rPr>
        <w:tab/>
      </w:r>
      <w:r w:rsidRPr="00AD486D">
        <w:rPr>
          <w:b w:val="0"/>
          <w:vertAlign w:val="subscript"/>
        </w:rPr>
        <w:tab/>
      </w:r>
      <w:r w:rsidRPr="00B15E7C">
        <w:rPr>
          <w:b w:val="0"/>
          <w:bCs w:val="0"/>
        </w:rPr>
        <w:t xml:space="preserve">= </w:t>
      </w:r>
      <w:r w:rsidRPr="00AD486D">
        <w:rPr>
          <w:b w:val="0"/>
          <w:position w:val="-18"/>
        </w:rPr>
        <w:object w:dxaOrig="225" w:dyaOrig="420" w14:anchorId="70364040">
          <v:shape id="_x0000_i1117" type="#_x0000_t75" style="width:12pt;height:24pt" o:ole="">
            <v:imagedata r:id="rId122" o:title=""/>
          </v:shape>
          <o:OLEObject Type="Embed" ProgID="Equation.3" ShapeID="_x0000_i1117" DrawAspect="Content" ObjectID="_1804653602" r:id="rId126"/>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6C4BD294">
          <v:shape id="_x0000_i1118" type="#_x0000_t75" style="width:12pt;height:18pt" o:ole="">
            <v:imagedata r:id="rId127" o:title=""/>
          </v:shape>
          <o:OLEObject Type="Embed" ProgID="Equation.3" ShapeID="_x0000_i1118" DrawAspect="Content" ObjectID="_1804653603" r:id="rId128"/>
        </w:object>
      </w:r>
      <w:r w:rsidRPr="00B15E7C">
        <w:rPr>
          <w:b w:val="0"/>
          <w:bCs w:val="0"/>
        </w:rPr>
        <w:t xml:space="preserve"> </w:t>
      </w:r>
      <w:r w:rsidRPr="00AD486D">
        <w:rPr>
          <w:b w:val="0"/>
        </w:rPr>
        <w:t>MEBL</w:t>
      </w:r>
      <w:r w:rsidRPr="00AD486D">
        <w:rPr>
          <w:b w:val="0"/>
          <w:bCs w:val="0"/>
        </w:rPr>
        <w:t xml:space="preserve"> </w:t>
      </w:r>
      <w:r w:rsidRPr="00AD486D">
        <w:rPr>
          <w:b w:val="0"/>
          <w:bCs w:val="0"/>
          <w:i/>
          <w:vertAlign w:val="subscript"/>
        </w:rPr>
        <w:t>q,</w:t>
      </w:r>
      <w:r w:rsidR="004E4B05" w:rsidRPr="00AD486D">
        <w:rPr>
          <w:b w:val="0"/>
          <w:bCs w:val="0"/>
          <w:i/>
          <w:vertAlign w:val="subscript"/>
        </w:rPr>
        <w:t xml:space="preserve"> </w:t>
      </w:r>
      <w:r w:rsidRPr="00AD486D">
        <w:rPr>
          <w:b w:val="0"/>
          <w:bCs w:val="0"/>
          <w:i/>
          <w:vertAlign w:val="subscript"/>
        </w:rPr>
        <w:t>r,</w:t>
      </w:r>
      <w:r w:rsidR="004E4B05" w:rsidRPr="00AD486D">
        <w:rPr>
          <w:b w:val="0"/>
          <w:bCs w:val="0"/>
          <w:i/>
          <w:vertAlign w:val="subscript"/>
        </w:rPr>
        <w:t xml:space="preserve"> </w:t>
      </w:r>
      <w:r w:rsidRPr="00AD486D">
        <w:rPr>
          <w:b w:val="0"/>
          <w:bCs w:val="0"/>
          <w:i/>
          <w:vertAlign w:val="subscript"/>
        </w:rPr>
        <w:t>b</w:t>
      </w:r>
      <w:r w:rsidRPr="00AD486D">
        <w:rPr>
          <w:b w:val="0"/>
        </w:rPr>
        <w:t>)</w:t>
      </w:r>
    </w:p>
    <w:p w14:paraId="2C50634C" w14:textId="77777777" w:rsidR="004E4B05" w:rsidRPr="00AD486D" w:rsidRDefault="004E4B05" w:rsidP="004E4B05">
      <w:pPr>
        <w:pStyle w:val="FormulaBold"/>
        <w:rPr>
          <w:b w:val="0"/>
          <w:i/>
        </w:rPr>
      </w:pPr>
      <w:r w:rsidRPr="00AD486D">
        <w:rPr>
          <w:b w:val="0"/>
        </w:rPr>
        <w:t>ESRNWSLTOT</w:t>
      </w:r>
      <w:r w:rsidRPr="00AD486D">
        <w:rPr>
          <w:b w:val="0"/>
          <w:i/>
          <w:vertAlign w:val="subscript"/>
        </w:rPr>
        <w:t xml:space="preserve"> q, p</w:t>
      </w:r>
      <w:r w:rsidRPr="00AD486D">
        <w:rPr>
          <w:b w:val="0"/>
          <w:i/>
          <w:vertAlign w:val="subscript"/>
        </w:rPr>
        <w:tab/>
      </w:r>
      <w:r w:rsidRPr="00AD486D">
        <w:rPr>
          <w:b w:val="0"/>
        </w:rPr>
        <w:t xml:space="preserve">= </w:t>
      </w:r>
      <w:r w:rsidRPr="00AD486D">
        <w:rPr>
          <w:b w:val="0"/>
          <w:position w:val="-18"/>
        </w:rPr>
        <w:object w:dxaOrig="225" w:dyaOrig="420" w14:anchorId="38B6B809">
          <v:shape id="_x0000_i1119" type="#_x0000_t75" style="width:12pt;height:24pt" o:ole="">
            <v:imagedata r:id="rId122" o:title=""/>
          </v:shape>
          <o:OLEObject Type="Embed" ProgID="Equation.3" ShapeID="_x0000_i1119" DrawAspect="Content" ObjectID="_1804653604" r:id="rId129"/>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54BEF96D">
          <v:shape id="_x0000_i1120" type="#_x0000_t75" style="width:12pt;height:18pt" o:ole="">
            <v:imagedata r:id="rId127" o:title=""/>
          </v:shape>
          <o:OLEObject Type="Embed" ProgID="Equation.3" ShapeID="_x0000_i1120" DrawAspect="Content" ObjectID="_1804653605" r:id="rId130"/>
        </w:object>
      </w:r>
      <w:r w:rsidRPr="00AD486D">
        <w:rPr>
          <w:b w:val="0"/>
        </w:rPr>
        <w:t xml:space="preserve"> MEBR </w:t>
      </w:r>
      <w:r w:rsidRPr="00AD486D">
        <w:rPr>
          <w:b w:val="0"/>
          <w:i/>
          <w:vertAlign w:val="subscript"/>
        </w:rPr>
        <w:t>q, r, b</w:t>
      </w:r>
      <w:r w:rsidRPr="00AD486D">
        <w:rPr>
          <w:b w:val="0"/>
        </w:rPr>
        <w:t>)</w:t>
      </w:r>
    </w:p>
    <w:p w14:paraId="6A6DD2A1" w14:textId="57B3B952" w:rsidR="00B15E7C" w:rsidRPr="00B15E7C" w:rsidRDefault="004E4B05" w:rsidP="00AD486D">
      <w:pPr>
        <w:ind w:left="2880" w:hanging="2160"/>
      </w:pPr>
      <w:r w:rsidRPr="00B15E7C">
        <w:t>RNIMBAL</w:t>
      </w:r>
      <w:r w:rsidRPr="00B15E7C">
        <w:rPr>
          <w:i/>
          <w:vertAlign w:val="subscript"/>
        </w:rPr>
        <w:t xml:space="preserve"> q, p</w:t>
      </w:r>
      <w:r w:rsidRPr="00B15E7C">
        <w:rPr>
          <w:i/>
          <w:vertAlign w:val="subscript"/>
        </w:rPr>
        <w:tab/>
      </w:r>
      <w:r w:rsidRPr="00B15E7C">
        <w:rPr>
          <w:i/>
        </w:rPr>
        <w:t xml:space="preserve">= </w:t>
      </w:r>
      <w:r w:rsidRPr="00B15E7C">
        <w:rPr>
          <w:position w:val="-22"/>
        </w:rPr>
        <w:object w:dxaOrig="285" w:dyaOrig="450" w14:anchorId="3D73A15D">
          <v:shape id="_x0000_i1121" type="#_x0000_t75" style="width:12pt;height:24pt" o:ole="">
            <v:imagedata r:id="rId120" o:title=""/>
          </v:shape>
          <o:OLEObject Type="Embed" ProgID="Equation.3" ShapeID="_x0000_i1121" DrawAspect="Content" ObjectID="_1804653606" r:id="rId131"/>
        </w:object>
      </w:r>
      <w:r w:rsidRPr="00B15E7C">
        <w:rPr>
          <w:rFonts w:ascii="Times New Roman Bold" w:hAnsi="Times New Roman Bold"/>
        </w:rPr>
        <w:t>(</w:t>
      </w:r>
      <w:r w:rsidRPr="00B15E7C">
        <w:rPr>
          <w:position w:val="-18"/>
        </w:rPr>
        <w:object w:dxaOrig="225" w:dyaOrig="420" w14:anchorId="180253AA">
          <v:shape id="_x0000_i1122" type="#_x0000_t75" style="width:12pt;height:24pt" o:ole="">
            <v:imagedata r:id="rId122" o:title=""/>
          </v:shape>
          <o:OLEObject Type="Embed" ProgID="Equation.3" ShapeID="_x0000_i1122" DrawAspect="Content" ObjectID="_1804653607" r:id="rId132"/>
        </w:object>
      </w:r>
      <w:r w:rsidRPr="00B15E7C">
        <w:t>RESMEB</w:t>
      </w:r>
      <w:r w:rsidRPr="00B15E7C">
        <w:rPr>
          <w:i/>
          <w:vertAlign w:val="subscript"/>
        </w:rPr>
        <w:t xml:space="preserve"> q, r, gsc, p</w:t>
      </w:r>
      <w:r w:rsidRPr="00B15E7C">
        <w:t>) + WSLTOT</w:t>
      </w:r>
      <w:r w:rsidRPr="00B15E7C">
        <w:rPr>
          <w:i/>
          <w:vertAlign w:val="subscript"/>
        </w:rPr>
        <w:t xml:space="preserve"> q, p</w:t>
      </w:r>
      <w:r w:rsidRPr="00B15E7C">
        <w:t xml:space="preserve"> + ESRNWSLTOT</w:t>
      </w:r>
      <w:r w:rsidRPr="00B15E7C">
        <w:rPr>
          <w:i/>
          <w:vertAlign w:val="subscript"/>
        </w:rPr>
        <w:t xml:space="preserve"> q, p</w:t>
      </w:r>
      <w:r w:rsidRPr="00B15E7C">
        <w:t xml:space="preserve"> + (SSSK </w:t>
      </w:r>
      <w:r w:rsidRPr="00B15E7C">
        <w:rPr>
          <w:i/>
          <w:vertAlign w:val="subscript"/>
        </w:rPr>
        <w:t>q, p</w:t>
      </w:r>
      <w:r w:rsidRPr="00B15E7C">
        <w:t xml:space="preserve"> * ¼) + (DAEP </w:t>
      </w:r>
      <w:r w:rsidRPr="00B15E7C">
        <w:rPr>
          <w:i/>
          <w:vertAlign w:val="subscript"/>
        </w:rPr>
        <w:t>q, p</w:t>
      </w:r>
      <w:r w:rsidRPr="00B15E7C">
        <w:t xml:space="preserve"> * ¼) + (RTQQEP </w:t>
      </w:r>
      <w:r w:rsidRPr="00B15E7C">
        <w:rPr>
          <w:i/>
          <w:vertAlign w:val="subscript"/>
        </w:rPr>
        <w:t>q, p</w:t>
      </w:r>
      <w:r w:rsidRPr="00B15E7C">
        <w:t xml:space="preserve"> * ¼) – (SSSR </w:t>
      </w:r>
      <w:r w:rsidRPr="00B15E7C">
        <w:rPr>
          <w:i/>
          <w:vertAlign w:val="subscript"/>
        </w:rPr>
        <w:t>q, p</w:t>
      </w:r>
      <w:r w:rsidRPr="00B15E7C">
        <w:t xml:space="preserve"> * ¼) – (DAES </w:t>
      </w:r>
      <w:r w:rsidRPr="00B15E7C">
        <w:rPr>
          <w:i/>
          <w:vertAlign w:val="subscript"/>
        </w:rPr>
        <w:t>q, p</w:t>
      </w:r>
      <w:r w:rsidRPr="00B15E7C">
        <w:t xml:space="preserve"> * ¼) – (RTQQES </w:t>
      </w:r>
      <w:r w:rsidRPr="00B15E7C">
        <w:rPr>
          <w:i/>
          <w:vertAlign w:val="subscript"/>
        </w:rPr>
        <w:t>q, p</w:t>
      </w:r>
      <w:r w:rsidRPr="00B15E7C">
        <w:t xml:space="preserve"> * ¼)</w:t>
      </w:r>
    </w:p>
    <w:p w14:paraId="062A0D1C" w14:textId="77777777" w:rsidR="00B15E7C" w:rsidRDefault="00B15E7C" w:rsidP="00FB599C"/>
    <w:p w14:paraId="408F7B92" w14:textId="77777777" w:rsidR="001F04FD" w:rsidRDefault="001F04FD" w:rsidP="00FB599C">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7"/>
        <w:gridCol w:w="853"/>
        <w:gridCol w:w="6145"/>
      </w:tblGrid>
      <w:tr w:rsidR="001F04FD" w14:paraId="6C5E066E" w14:textId="77777777" w:rsidTr="00AD486D">
        <w:trPr>
          <w:cantSplit/>
          <w:tblHeader/>
        </w:trPr>
        <w:tc>
          <w:tcPr>
            <w:tcW w:w="2357" w:type="dxa"/>
          </w:tcPr>
          <w:p w14:paraId="5B8458A5" w14:textId="77777777" w:rsidR="001F04FD" w:rsidRDefault="001F04FD" w:rsidP="00AC4DEE">
            <w:pPr>
              <w:pStyle w:val="TableHead"/>
            </w:pPr>
            <w:r>
              <w:t>Variable</w:t>
            </w:r>
          </w:p>
        </w:tc>
        <w:tc>
          <w:tcPr>
            <w:tcW w:w="0" w:type="auto"/>
          </w:tcPr>
          <w:p w14:paraId="7F498C27" w14:textId="77777777" w:rsidR="001F04FD" w:rsidRDefault="001F04FD" w:rsidP="00AC4DEE">
            <w:pPr>
              <w:pStyle w:val="TableHead"/>
            </w:pPr>
            <w:r>
              <w:t>Unit</w:t>
            </w:r>
          </w:p>
        </w:tc>
        <w:tc>
          <w:tcPr>
            <w:tcW w:w="6145" w:type="dxa"/>
          </w:tcPr>
          <w:p w14:paraId="4392A8AE" w14:textId="77777777" w:rsidR="001F04FD" w:rsidRDefault="001F04FD" w:rsidP="00AC4DEE">
            <w:pPr>
              <w:pStyle w:val="TableHead"/>
            </w:pPr>
            <w:r>
              <w:t>Description</w:t>
            </w:r>
          </w:p>
        </w:tc>
      </w:tr>
      <w:tr w:rsidR="001F04FD" w14:paraId="25147A92" w14:textId="77777777" w:rsidTr="00AD486D">
        <w:trPr>
          <w:cantSplit/>
        </w:trPr>
        <w:tc>
          <w:tcPr>
            <w:tcW w:w="2357" w:type="dxa"/>
          </w:tcPr>
          <w:p w14:paraId="6E29A763" w14:textId="77777777" w:rsidR="001F04FD" w:rsidRDefault="001F04FD" w:rsidP="00AC4DEE">
            <w:pPr>
              <w:pStyle w:val="TableBody"/>
            </w:pPr>
            <w:r>
              <w:t xml:space="preserve">RTEIAMT </w:t>
            </w:r>
            <w:r w:rsidRPr="00107CC2">
              <w:rPr>
                <w:i/>
                <w:vertAlign w:val="subscript"/>
              </w:rPr>
              <w:t>q, p</w:t>
            </w:r>
          </w:p>
        </w:tc>
        <w:tc>
          <w:tcPr>
            <w:tcW w:w="0" w:type="auto"/>
          </w:tcPr>
          <w:p w14:paraId="4F0783DD" w14:textId="77777777" w:rsidR="001F04FD" w:rsidRDefault="001F04FD" w:rsidP="00AC4DEE">
            <w:pPr>
              <w:pStyle w:val="TableBody"/>
            </w:pPr>
            <w:r>
              <w:t>$</w:t>
            </w:r>
          </w:p>
        </w:tc>
        <w:tc>
          <w:tcPr>
            <w:tcW w:w="6145" w:type="dxa"/>
          </w:tcPr>
          <w:p w14:paraId="6E5A9BB6"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79C27E50" w14:textId="77777777" w:rsidTr="00AD486D">
        <w:trPr>
          <w:cantSplit/>
        </w:trPr>
        <w:tc>
          <w:tcPr>
            <w:tcW w:w="2357" w:type="dxa"/>
          </w:tcPr>
          <w:p w14:paraId="1DAF0AC8" w14:textId="77777777" w:rsidR="001F04FD" w:rsidRDefault="001F04FD" w:rsidP="00AC4DEE">
            <w:pPr>
              <w:pStyle w:val="TableBody"/>
            </w:pPr>
            <w:r>
              <w:t>RNIMBAL</w:t>
            </w:r>
            <w:r w:rsidRPr="00D17F07">
              <w:rPr>
                <w:i/>
                <w:vertAlign w:val="subscript"/>
              </w:rPr>
              <w:t xml:space="preserve"> </w:t>
            </w:r>
            <w:r w:rsidRPr="00107CC2">
              <w:rPr>
                <w:i/>
                <w:vertAlign w:val="subscript"/>
              </w:rPr>
              <w:t>q, p</w:t>
            </w:r>
          </w:p>
        </w:tc>
        <w:tc>
          <w:tcPr>
            <w:tcW w:w="0" w:type="auto"/>
          </w:tcPr>
          <w:p w14:paraId="5F3D6908" w14:textId="77777777" w:rsidR="001F04FD" w:rsidRDefault="001F04FD" w:rsidP="00AC4DEE">
            <w:pPr>
              <w:pStyle w:val="TableBody"/>
            </w:pPr>
            <w:r>
              <w:t>MWh</w:t>
            </w:r>
          </w:p>
        </w:tc>
        <w:tc>
          <w:tcPr>
            <w:tcW w:w="6145" w:type="dxa"/>
          </w:tcPr>
          <w:p w14:paraId="51F33198" w14:textId="77777777" w:rsidR="001F04FD" w:rsidRDefault="001F04FD" w:rsidP="00AC4DEE">
            <w:pPr>
              <w:pStyle w:val="TableBody"/>
              <w:rPr>
                <w:i/>
              </w:rPr>
            </w:pPr>
            <w:r>
              <w:rPr>
                <w:i/>
              </w:rPr>
              <w:t>Resource Node Energy Imbalance per QSE per Settlement Point</w:t>
            </w:r>
            <w:r>
              <w:t xml:space="preserve">—The Resource Node volumetric imbalance for QSE </w:t>
            </w:r>
            <w:r>
              <w:rPr>
                <w:i/>
              </w:rPr>
              <w:t>q</w:t>
            </w:r>
            <w:r>
              <w:t xml:space="preserve"> for Real-Time Energy Imbalance Service at Settlement Point </w:t>
            </w:r>
            <w:r>
              <w:rPr>
                <w:i/>
              </w:rPr>
              <w:t>p</w:t>
            </w:r>
            <w:r>
              <w:t>, for the 15-minute Settlement Interval.</w:t>
            </w:r>
          </w:p>
        </w:tc>
      </w:tr>
      <w:tr w:rsidR="001F04FD" w14:paraId="00552AE9" w14:textId="77777777" w:rsidTr="00AD486D">
        <w:trPr>
          <w:cantSplit/>
        </w:trPr>
        <w:tc>
          <w:tcPr>
            <w:tcW w:w="2357" w:type="dxa"/>
          </w:tcPr>
          <w:p w14:paraId="3574CB0F" w14:textId="77777777" w:rsidR="001F04FD" w:rsidRDefault="001F04FD" w:rsidP="00AC4DEE">
            <w:pPr>
              <w:pStyle w:val="TableBody"/>
            </w:pPr>
            <w:r>
              <w:t xml:space="preserve">RTSPP </w:t>
            </w:r>
            <w:r w:rsidRPr="00107CC2">
              <w:rPr>
                <w:i/>
                <w:vertAlign w:val="subscript"/>
              </w:rPr>
              <w:t>p</w:t>
            </w:r>
          </w:p>
        </w:tc>
        <w:tc>
          <w:tcPr>
            <w:tcW w:w="0" w:type="auto"/>
          </w:tcPr>
          <w:p w14:paraId="5C9ECC00" w14:textId="77777777" w:rsidR="001F04FD" w:rsidRDefault="001F04FD" w:rsidP="00AC4DEE">
            <w:pPr>
              <w:pStyle w:val="TableBody"/>
            </w:pPr>
            <w:r>
              <w:t>$/MWh</w:t>
            </w:r>
          </w:p>
        </w:tc>
        <w:tc>
          <w:tcPr>
            <w:tcW w:w="6145" w:type="dxa"/>
          </w:tcPr>
          <w:p w14:paraId="5304F5C3"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4661154F" w14:textId="77777777" w:rsidTr="00AD486D">
        <w:trPr>
          <w:cantSplit/>
        </w:trPr>
        <w:tc>
          <w:tcPr>
            <w:tcW w:w="2357" w:type="dxa"/>
          </w:tcPr>
          <w:p w14:paraId="5E5BE3CA" w14:textId="77777777" w:rsidR="001F04FD" w:rsidRDefault="001F04FD" w:rsidP="00AC4DEE">
            <w:pPr>
              <w:pStyle w:val="TableBody"/>
            </w:pPr>
            <w:r>
              <w:t xml:space="preserve">SSSK </w:t>
            </w:r>
            <w:r w:rsidRPr="00107CC2">
              <w:rPr>
                <w:i/>
                <w:vertAlign w:val="subscript"/>
              </w:rPr>
              <w:t>q, p</w:t>
            </w:r>
          </w:p>
        </w:tc>
        <w:tc>
          <w:tcPr>
            <w:tcW w:w="0" w:type="auto"/>
          </w:tcPr>
          <w:p w14:paraId="063EB09A" w14:textId="77777777" w:rsidR="001F04FD" w:rsidRDefault="001F04FD" w:rsidP="00AC4DEE">
            <w:pPr>
              <w:pStyle w:val="TableBody"/>
            </w:pPr>
            <w:r>
              <w:t>MW</w:t>
            </w:r>
          </w:p>
        </w:tc>
        <w:tc>
          <w:tcPr>
            <w:tcW w:w="6145" w:type="dxa"/>
          </w:tcPr>
          <w:p w14:paraId="2E09BB3E" w14:textId="77777777" w:rsidR="001F04FD" w:rsidRDefault="001F04FD" w:rsidP="00AC4DEE">
            <w:pPr>
              <w:pStyle w:val="TableBody"/>
              <w:rPr>
                <w:i/>
              </w:rPr>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22D56838" w14:textId="77777777" w:rsidTr="00AD486D">
        <w:trPr>
          <w:cantSplit/>
        </w:trPr>
        <w:tc>
          <w:tcPr>
            <w:tcW w:w="2357" w:type="dxa"/>
          </w:tcPr>
          <w:p w14:paraId="157B6519" w14:textId="77777777" w:rsidR="001F04FD" w:rsidRDefault="001F04FD" w:rsidP="00AC4DEE">
            <w:pPr>
              <w:pStyle w:val="TableBody"/>
            </w:pPr>
            <w:r>
              <w:t xml:space="preserve">DAEP </w:t>
            </w:r>
            <w:r w:rsidRPr="00107CC2">
              <w:rPr>
                <w:i/>
                <w:vertAlign w:val="subscript"/>
              </w:rPr>
              <w:t>q, p</w:t>
            </w:r>
          </w:p>
        </w:tc>
        <w:tc>
          <w:tcPr>
            <w:tcW w:w="0" w:type="auto"/>
          </w:tcPr>
          <w:p w14:paraId="39E22B0D" w14:textId="77777777" w:rsidR="001F04FD" w:rsidRDefault="001F04FD" w:rsidP="00AC4DEE">
            <w:pPr>
              <w:pStyle w:val="TableBody"/>
            </w:pPr>
            <w:r>
              <w:t>MW</w:t>
            </w:r>
          </w:p>
        </w:tc>
        <w:tc>
          <w:tcPr>
            <w:tcW w:w="6145" w:type="dxa"/>
          </w:tcPr>
          <w:p w14:paraId="349A69B1"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1135A088" w14:textId="77777777" w:rsidTr="00AD486D">
        <w:trPr>
          <w:cantSplit/>
        </w:trPr>
        <w:tc>
          <w:tcPr>
            <w:tcW w:w="2357" w:type="dxa"/>
          </w:tcPr>
          <w:p w14:paraId="700BF9AB" w14:textId="77777777" w:rsidR="001F04FD" w:rsidRDefault="001F04FD" w:rsidP="00AC4DEE">
            <w:pPr>
              <w:pStyle w:val="TableBody"/>
            </w:pPr>
            <w:r>
              <w:lastRenderedPageBreak/>
              <w:t xml:space="preserve">RTQQEP </w:t>
            </w:r>
            <w:r w:rsidRPr="00107CC2">
              <w:rPr>
                <w:i/>
                <w:vertAlign w:val="subscript"/>
              </w:rPr>
              <w:t>q, p</w:t>
            </w:r>
            <w:r>
              <w:t xml:space="preserve"> </w:t>
            </w:r>
          </w:p>
        </w:tc>
        <w:tc>
          <w:tcPr>
            <w:tcW w:w="0" w:type="auto"/>
          </w:tcPr>
          <w:p w14:paraId="16760059" w14:textId="77777777" w:rsidR="001F04FD" w:rsidRDefault="001F04FD" w:rsidP="00AC4DEE">
            <w:pPr>
              <w:pStyle w:val="TableBody"/>
            </w:pPr>
            <w:r>
              <w:t>MW</w:t>
            </w:r>
          </w:p>
        </w:tc>
        <w:tc>
          <w:tcPr>
            <w:tcW w:w="6145" w:type="dxa"/>
          </w:tcPr>
          <w:p w14:paraId="47F8071C"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3081A503" w14:textId="77777777" w:rsidTr="00AD486D">
        <w:trPr>
          <w:cantSplit/>
        </w:trPr>
        <w:tc>
          <w:tcPr>
            <w:tcW w:w="2357" w:type="dxa"/>
          </w:tcPr>
          <w:p w14:paraId="515C2F56" w14:textId="77777777" w:rsidR="001F04FD" w:rsidRDefault="001F04FD" w:rsidP="00AC4DEE">
            <w:pPr>
              <w:pStyle w:val="TableBody"/>
            </w:pPr>
            <w:r>
              <w:t xml:space="preserve">SSSR </w:t>
            </w:r>
            <w:r w:rsidRPr="00107CC2">
              <w:rPr>
                <w:i/>
                <w:vertAlign w:val="subscript"/>
              </w:rPr>
              <w:t>q, p</w:t>
            </w:r>
          </w:p>
        </w:tc>
        <w:tc>
          <w:tcPr>
            <w:tcW w:w="0" w:type="auto"/>
          </w:tcPr>
          <w:p w14:paraId="5890DD58" w14:textId="77777777" w:rsidR="001F04FD" w:rsidRDefault="001F04FD" w:rsidP="00AC4DEE">
            <w:pPr>
              <w:pStyle w:val="TableBody"/>
            </w:pPr>
            <w:r>
              <w:t>MW</w:t>
            </w:r>
          </w:p>
        </w:tc>
        <w:tc>
          <w:tcPr>
            <w:tcW w:w="6145" w:type="dxa"/>
          </w:tcPr>
          <w:p w14:paraId="48885069"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B4A45A2" w14:textId="77777777" w:rsidTr="00AD486D">
        <w:trPr>
          <w:cantSplit/>
        </w:trPr>
        <w:tc>
          <w:tcPr>
            <w:tcW w:w="2357" w:type="dxa"/>
          </w:tcPr>
          <w:p w14:paraId="78A427E6" w14:textId="77777777" w:rsidR="001F04FD" w:rsidRDefault="001F04FD" w:rsidP="00AC4DEE">
            <w:pPr>
              <w:pStyle w:val="TableBody"/>
            </w:pPr>
            <w:r>
              <w:t xml:space="preserve">DAES </w:t>
            </w:r>
            <w:r w:rsidRPr="00107CC2">
              <w:rPr>
                <w:i/>
                <w:vertAlign w:val="subscript"/>
              </w:rPr>
              <w:t>q, p</w:t>
            </w:r>
          </w:p>
        </w:tc>
        <w:tc>
          <w:tcPr>
            <w:tcW w:w="0" w:type="auto"/>
          </w:tcPr>
          <w:p w14:paraId="4C9B8B27" w14:textId="77777777" w:rsidR="001F04FD" w:rsidRDefault="001F04FD" w:rsidP="00AC4DEE">
            <w:pPr>
              <w:pStyle w:val="TableBody"/>
            </w:pPr>
            <w:r>
              <w:t>MW</w:t>
            </w:r>
          </w:p>
        </w:tc>
        <w:tc>
          <w:tcPr>
            <w:tcW w:w="6145" w:type="dxa"/>
          </w:tcPr>
          <w:p w14:paraId="063646E4"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3DCB866E" w14:textId="77777777" w:rsidTr="00AD486D">
        <w:trPr>
          <w:cantSplit/>
        </w:trPr>
        <w:tc>
          <w:tcPr>
            <w:tcW w:w="2357" w:type="dxa"/>
          </w:tcPr>
          <w:p w14:paraId="1B5E4985" w14:textId="77777777" w:rsidR="001F04FD" w:rsidRDefault="001F04FD" w:rsidP="00AC4DEE">
            <w:pPr>
              <w:pStyle w:val="TableBody"/>
            </w:pPr>
            <w:r>
              <w:t xml:space="preserve">RTQQES </w:t>
            </w:r>
            <w:r w:rsidRPr="00107CC2">
              <w:rPr>
                <w:i/>
                <w:vertAlign w:val="subscript"/>
              </w:rPr>
              <w:t>q, p</w:t>
            </w:r>
            <w:r>
              <w:t xml:space="preserve"> </w:t>
            </w:r>
          </w:p>
        </w:tc>
        <w:tc>
          <w:tcPr>
            <w:tcW w:w="0" w:type="auto"/>
          </w:tcPr>
          <w:p w14:paraId="0B373BED" w14:textId="77777777" w:rsidR="001F04FD" w:rsidRDefault="001F04FD" w:rsidP="00AC4DEE">
            <w:pPr>
              <w:pStyle w:val="TableBody"/>
            </w:pPr>
            <w:r>
              <w:t>MW</w:t>
            </w:r>
          </w:p>
        </w:tc>
        <w:tc>
          <w:tcPr>
            <w:tcW w:w="6145" w:type="dxa"/>
          </w:tcPr>
          <w:p w14:paraId="6102A6F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140D6DA1" w14:textId="77777777" w:rsidTr="00AD486D">
        <w:trPr>
          <w:cantSplit/>
        </w:trPr>
        <w:tc>
          <w:tcPr>
            <w:tcW w:w="2357" w:type="dxa"/>
          </w:tcPr>
          <w:p w14:paraId="43F0EEBF" w14:textId="77777777" w:rsidR="001F04FD" w:rsidRDefault="001F04FD" w:rsidP="00AC4DEE">
            <w:pPr>
              <w:pStyle w:val="TableBody"/>
            </w:pPr>
            <w:r>
              <w:t xml:space="preserve">RESREV </w:t>
            </w:r>
            <w:r w:rsidRPr="00107CC2">
              <w:rPr>
                <w:i/>
                <w:vertAlign w:val="subscript"/>
              </w:rPr>
              <w:t>q, r, gsc, p</w:t>
            </w:r>
          </w:p>
        </w:tc>
        <w:tc>
          <w:tcPr>
            <w:tcW w:w="0" w:type="auto"/>
          </w:tcPr>
          <w:p w14:paraId="0D03E57D" w14:textId="77777777" w:rsidR="001F04FD" w:rsidRDefault="001F04FD" w:rsidP="00AC4DEE">
            <w:pPr>
              <w:pStyle w:val="TableBody"/>
            </w:pPr>
            <w:r>
              <w:t>$</w:t>
            </w:r>
          </w:p>
        </w:tc>
        <w:tc>
          <w:tcPr>
            <w:tcW w:w="6145" w:type="dxa"/>
          </w:tcPr>
          <w:p w14:paraId="6987A68D" w14:textId="77777777" w:rsidR="001F04FD" w:rsidRDefault="001F04FD" w:rsidP="00AC4DEE">
            <w:pPr>
              <w:pStyle w:val="TableBody"/>
              <w:rPr>
                <w:i/>
              </w:rPr>
            </w:pPr>
            <w:r>
              <w:rPr>
                <w:i/>
              </w:rPr>
              <w:t>Resource Share Revenue Settlement Payment</w:t>
            </w:r>
            <w:r>
              <w:t xml:space="preserve">—The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42CF0D5" w14:textId="77777777" w:rsidTr="00AD486D">
        <w:trPr>
          <w:cantSplit/>
        </w:trPr>
        <w:tc>
          <w:tcPr>
            <w:tcW w:w="2357" w:type="dxa"/>
          </w:tcPr>
          <w:p w14:paraId="62337D5F" w14:textId="77777777" w:rsidR="001F04FD" w:rsidRDefault="001F04FD" w:rsidP="00AC4DEE">
            <w:pPr>
              <w:pStyle w:val="TableBody"/>
            </w:pPr>
            <w:r>
              <w:t xml:space="preserve">RESMEB </w:t>
            </w:r>
            <w:r w:rsidRPr="00107CC2">
              <w:rPr>
                <w:i/>
                <w:vertAlign w:val="subscript"/>
              </w:rPr>
              <w:t>q, r, gsc, p</w:t>
            </w:r>
          </w:p>
        </w:tc>
        <w:tc>
          <w:tcPr>
            <w:tcW w:w="0" w:type="auto"/>
          </w:tcPr>
          <w:p w14:paraId="6C5D9514" w14:textId="77777777" w:rsidR="001F04FD" w:rsidRDefault="001F04FD" w:rsidP="00AC4DEE">
            <w:pPr>
              <w:pStyle w:val="TableBody"/>
            </w:pPr>
            <w:r>
              <w:t>MWh</w:t>
            </w:r>
          </w:p>
        </w:tc>
        <w:tc>
          <w:tcPr>
            <w:tcW w:w="6145" w:type="dxa"/>
          </w:tcPr>
          <w:p w14:paraId="5D2D0BDC" w14:textId="77777777" w:rsidR="001F04FD" w:rsidRDefault="001F04FD" w:rsidP="00AC4DEE">
            <w:pPr>
              <w:pStyle w:val="TableBody"/>
              <w:rPr>
                <w:i/>
              </w:rPr>
            </w:pPr>
            <w:r>
              <w:rPr>
                <w:i/>
              </w:rPr>
              <w:t>Resource Share Net Meter Real-Time Energy Total</w:t>
            </w:r>
            <w:r>
              <w:t xml:space="preserve">—The Resource share of the net sum for all Settlement Meters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w:t>
            </w:r>
          </w:p>
        </w:tc>
      </w:tr>
      <w:tr w:rsidR="001F04FD" w14:paraId="07B424B4" w14:textId="77777777" w:rsidTr="00AD486D">
        <w:trPr>
          <w:cantSplit/>
        </w:trPr>
        <w:tc>
          <w:tcPr>
            <w:tcW w:w="2357" w:type="dxa"/>
          </w:tcPr>
          <w:p w14:paraId="6B1FE328" w14:textId="77777777" w:rsidR="001F04FD" w:rsidRDefault="001F04FD" w:rsidP="00AC4DEE">
            <w:pPr>
              <w:pStyle w:val="TableBody"/>
            </w:pPr>
            <w:r w:rsidRPr="00F93ADF">
              <w:t>WSLTOT</w:t>
            </w:r>
            <w:r w:rsidRPr="005B2B51">
              <w:t xml:space="preserve"> </w:t>
            </w:r>
            <w:r w:rsidRPr="00107CC2">
              <w:rPr>
                <w:i/>
                <w:vertAlign w:val="subscript"/>
              </w:rPr>
              <w:t>q, p</w:t>
            </w:r>
          </w:p>
        </w:tc>
        <w:tc>
          <w:tcPr>
            <w:tcW w:w="0" w:type="auto"/>
          </w:tcPr>
          <w:p w14:paraId="415A762F" w14:textId="77777777" w:rsidR="001F04FD" w:rsidRDefault="001F04FD" w:rsidP="00AC4DEE">
            <w:pPr>
              <w:pStyle w:val="TableBody"/>
            </w:pPr>
            <w:r w:rsidRPr="00725C1B">
              <w:t>MWh</w:t>
            </w:r>
          </w:p>
        </w:tc>
        <w:tc>
          <w:tcPr>
            <w:tcW w:w="6145" w:type="dxa"/>
          </w:tcPr>
          <w:p w14:paraId="4674BE45" w14:textId="77777777" w:rsidR="001F04FD" w:rsidRDefault="001F04FD" w:rsidP="00AC4DEE">
            <w:pPr>
              <w:pStyle w:val="TableBody"/>
              <w:rPr>
                <w:i/>
              </w:rPr>
            </w:pPr>
            <w:r w:rsidRPr="00B4196C">
              <w:rPr>
                <w:i/>
              </w:rPr>
              <w:t>WSL Total</w:t>
            </w:r>
            <w:r w:rsidRPr="00B4196C">
              <w:t xml:space="preserve">—The </w:t>
            </w:r>
            <w:r w:rsidRPr="00B35E2C">
              <w:t xml:space="preserve">total </w:t>
            </w:r>
            <w:r w:rsidRPr="007045B8">
              <w:t>WSL</w:t>
            </w:r>
            <w:r w:rsidRPr="0031111F">
              <w:t xml:space="preserve"> energy metered by the </w:t>
            </w:r>
            <w:r w:rsidRPr="0007572F">
              <w:t xml:space="preserve">Settlement Meters which measure WSL for the QSE </w:t>
            </w:r>
            <w:r w:rsidRPr="0007572F">
              <w:rPr>
                <w:i/>
              </w:rPr>
              <w:t>q</w:t>
            </w:r>
            <w:r w:rsidRPr="0007572F">
              <w:t xml:space="preserve"> at Settlement Point </w:t>
            </w:r>
            <w:r w:rsidRPr="0007572F">
              <w:rPr>
                <w:i/>
              </w:rPr>
              <w:t>p</w:t>
            </w:r>
            <w:r w:rsidRPr="0007572F">
              <w:t xml:space="preserve">.  </w:t>
            </w:r>
          </w:p>
        </w:tc>
      </w:tr>
      <w:tr w:rsidR="004E4B05" w14:paraId="66C4F771" w14:textId="77777777" w:rsidTr="00AD486D">
        <w:trPr>
          <w:cantSplit/>
        </w:trPr>
        <w:tc>
          <w:tcPr>
            <w:tcW w:w="2357" w:type="dxa"/>
          </w:tcPr>
          <w:p w14:paraId="6FD45FDE" w14:textId="3458EE42" w:rsidR="004E4B05" w:rsidRPr="00F93ADF" w:rsidRDefault="004E4B05" w:rsidP="004E4B05">
            <w:pPr>
              <w:pStyle w:val="TableBody"/>
            </w:pPr>
            <w:r>
              <w:t>ESRNWSL</w:t>
            </w:r>
            <w:r w:rsidRPr="007C315C">
              <w:t xml:space="preserve">TOT </w:t>
            </w:r>
            <w:r w:rsidRPr="005106EC">
              <w:rPr>
                <w:i/>
                <w:vertAlign w:val="subscript"/>
              </w:rPr>
              <w:t>q, p</w:t>
            </w:r>
          </w:p>
        </w:tc>
        <w:tc>
          <w:tcPr>
            <w:tcW w:w="0" w:type="auto"/>
          </w:tcPr>
          <w:p w14:paraId="416ECB99" w14:textId="52B92030" w:rsidR="004E4B05" w:rsidRPr="00725C1B" w:rsidRDefault="004E4B05" w:rsidP="004E4B05">
            <w:pPr>
              <w:pStyle w:val="TableBody"/>
            </w:pPr>
            <w:r w:rsidRPr="007C315C">
              <w:t>MWh</w:t>
            </w:r>
          </w:p>
        </w:tc>
        <w:tc>
          <w:tcPr>
            <w:tcW w:w="6145" w:type="dxa"/>
          </w:tcPr>
          <w:p w14:paraId="5285817A" w14:textId="2314A37C" w:rsidR="004E4B05" w:rsidRPr="00B4196C" w:rsidRDefault="004E4B05" w:rsidP="004E4B05">
            <w:pPr>
              <w:pStyle w:val="TableBody"/>
              <w:rPr>
                <w:i/>
              </w:rPr>
            </w:pPr>
            <w:r w:rsidRPr="005106EC">
              <w:rPr>
                <w:i/>
              </w:rPr>
              <w:t>ESR</w:t>
            </w:r>
            <w:r>
              <w:rPr>
                <w:i/>
              </w:rPr>
              <w:t xml:space="preserve"> Non-WSL</w:t>
            </w:r>
            <w:r w:rsidRPr="005106EC">
              <w:rPr>
                <w:i/>
              </w:rPr>
              <w:t xml:space="preserve"> Total</w:t>
            </w:r>
            <w:r w:rsidRPr="007C315C">
              <w:t xml:space="preserve">—The total energy metered by the Settlement Meters </w:t>
            </w:r>
            <w:r w:rsidRPr="0007572F">
              <w:t>which measure</w:t>
            </w:r>
            <w:r>
              <w:t xml:space="preserve">s Non-WSL ESR Charging Load </w:t>
            </w:r>
            <w:r w:rsidRPr="007C315C">
              <w:t xml:space="preserve">for the QSE </w:t>
            </w:r>
            <w:r w:rsidRPr="00985D33">
              <w:rPr>
                <w:i/>
              </w:rPr>
              <w:t>q</w:t>
            </w:r>
            <w:r w:rsidRPr="007C315C">
              <w:t xml:space="preserve"> at Settlement Point </w:t>
            </w:r>
            <w:r w:rsidRPr="00985D33">
              <w:rPr>
                <w:i/>
              </w:rPr>
              <w:t>p.</w:t>
            </w:r>
            <w:r w:rsidRPr="007C315C">
              <w:t xml:space="preserve">  </w:t>
            </w:r>
          </w:p>
        </w:tc>
      </w:tr>
      <w:tr w:rsidR="001F04FD" w14:paraId="32E00B70" w14:textId="77777777" w:rsidTr="00AD486D">
        <w:trPr>
          <w:cantSplit/>
        </w:trPr>
        <w:tc>
          <w:tcPr>
            <w:tcW w:w="2357" w:type="dxa"/>
          </w:tcPr>
          <w:p w14:paraId="24F0B362" w14:textId="77777777" w:rsidR="001F04FD" w:rsidRDefault="001F04FD" w:rsidP="00AC4DEE">
            <w:pPr>
              <w:pStyle w:val="TableBody"/>
            </w:pPr>
            <w:r w:rsidRPr="00F93ADF">
              <w:rPr>
                <w:bCs/>
              </w:rPr>
              <w:t>MEBL</w:t>
            </w:r>
            <w:r w:rsidRPr="005B2B51">
              <w:rPr>
                <w:bCs/>
              </w:rPr>
              <w:t xml:space="preserve"> </w:t>
            </w:r>
            <w:r w:rsidRPr="00107CC2">
              <w:rPr>
                <w:bCs/>
                <w:i/>
                <w:vertAlign w:val="subscript"/>
              </w:rPr>
              <w:t>q,r,b</w:t>
            </w:r>
          </w:p>
        </w:tc>
        <w:tc>
          <w:tcPr>
            <w:tcW w:w="0" w:type="auto"/>
          </w:tcPr>
          <w:p w14:paraId="411E6D99" w14:textId="77777777" w:rsidR="001F04FD" w:rsidRDefault="001F04FD" w:rsidP="00AC4DEE">
            <w:pPr>
              <w:pStyle w:val="TableBody"/>
            </w:pPr>
            <w:r w:rsidRPr="00F93ADF">
              <w:t>MWh</w:t>
            </w:r>
          </w:p>
        </w:tc>
        <w:tc>
          <w:tcPr>
            <w:tcW w:w="6145" w:type="dxa"/>
          </w:tcPr>
          <w:p w14:paraId="475F6CDC" w14:textId="77777777" w:rsidR="001F04FD" w:rsidRDefault="001F04FD" w:rsidP="00AC4DEE">
            <w:pPr>
              <w:pStyle w:val="TableBody"/>
              <w:rPr>
                <w:i/>
              </w:rPr>
            </w:pPr>
            <w:r w:rsidRPr="00B3121D">
              <w:rPr>
                <w:i/>
              </w:rPr>
              <w:t xml:space="preserve">Metered Energy for Wholesale </w:t>
            </w:r>
            <w:r>
              <w:rPr>
                <w:i/>
              </w:rPr>
              <w:t xml:space="preserve">Storage </w:t>
            </w:r>
            <w:r w:rsidRPr="00B3121D">
              <w:rPr>
                <w:i/>
              </w:rPr>
              <w:t>Load at bus</w:t>
            </w:r>
            <w:r w:rsidRPr="00B3121D">
              <w:sym w:font="Symbol" w:char="F0BE"/>
            </w:r>
            <w:r w:rsidRPr="00B3121D">
              <w:t xml:space="preserve">The WSL energy metered by the Settlement Meter which measures WSL 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p>
        </w:tc>
      </w:tr>
      <w:tr w:rsidR="004E4B05" w14:paraId="2D80091B" w14:textId="77777777" w:rsidTr="00AD486D">
        <w:trPr>
          <w:cantSplit/>
        </w:trPr>
        <w:tc>
          <w:tcPr>
            <w:tcW w:w="2357" w:type="dxa"/>
          </w:tcPr>
          <w:p w14:paraId="0CFD7B78" w14:textId="42C6DD24" w:rsidR="004E4B05" w:rsidRPr="00F93ADF" w:rsidRDefault="004E4B05" w:rsidP="004E4B05">
            <w:pPr>
              <w:pStyle w:val="TableBody"/>
              <w:rPr>
                <w:bCs/>
              </w:rPr>
            </w:pPr>
            <w:r w:rsidRPr="00067E90">
              <w:t>MEB</w:t>
            </w:r>
            <w:r>
              <w:t>R</w:t>
            </w:r>
            <w:r w:rsidRPr="00067E90">
              <w:t xml:space="preserve"> </w:t>
            </w:r>
            <w:r w:rsidRPr="00985D33">
              <w:rPr>
                <w:i/>
                <w:vertAlign w:val="subscript"/>
              </w:rPr>
              <w:t>q,</w:t>
            </w:r>
            <w:r>
              <w:rPr>
                <w:i/>
                <w:vertAlign w:val="subscript"/>
              </w:rPr>
              <w:t xml:space="preserve"> </w:t>
            </w:r>
            <w:r w:rsidRPr="00985D33">
              <w:rPr>
                <w:i/>
                <w:vertAlign w:val="subscript"/>
              </w:rPr>
              <w:t>r,</w:t>
            </w:r>
            <w:r>
              <w:rPr>
                <w:i/>
                <w:vertAlign w:val="subscript"/>
              </w:rPr>
              <w:t xml:space="preserve"> </w:t>
            </w:r>
            <w:r w:rsidRPr="00985D33">
              <w:rPr>
                <w:i/>
                <w:vertAlign w:val="subscript"/>
              </w:rPr>
              <w:t>b</w:t>
            </w:r>
          </w:p>
        </w:tc>
        <w:tc>
          <w:tcPr>
            <w:tcW w:w="0" w:type="auto"/>
          </w:tcPr>
          <w:p w14:paraId="7376621D" w14:textId="621E8C43" w:rsidR="004E4B05" w:rsidRPr="00F93ADF" w:rsidRDefault="004E4B05" w:rsidP="004E4B05">
            <w:pPr>
              <w:pStyle w:val="TableBody"/>
            </w:pPr>
            <w:r w:rsidRPr="00067E90">
              <w:t>MWh</w:t>
            </w:r>
          </w:p>
        </w:tc>
        <w:tc>
          <w:tcPr>
            <w:tcW w:w="6145" w:type="dxa"/>
          </w:tcPr>
          <w:p w14:paraId="1F9EE33B" w14:textId="46EEB152" w:rsidR="004E4B05" w:rsidRPr="00B3121D" w:rsidRDefault="004E4B05" w:rsidP="004E4B05">
            <w:pPr>
              <w:pStyle w:val="TableBody"/>
              <w:rPr>
                <w:i/>
              </w:rPr>
            </w:pPr>
            <w:r w:rsidRPr="004615F6">
              <w:rPr>
                <w:i/>
              </w:rPr>
              <w:t xml:space="preserve">Metered Energy for </w:t>
            </w:r>
            <w:r w:rsidRPr="00157CEA">
              <w:rPr>
                <w:i/>
              </w:rPr>
              <w:t xml:space="preserve">Energy Storage Resource </w:t>
            </w:r>
            <w:r>
              <w:rPr>
                <w:i/>
              </w:rPr>
              <w:t>Load at Bus</w:t>
            </w:r>
            <w:r w:rsidRPr="004368B4">
              <w:t>—</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1F04FD" w14:paraId="632EEB88" w14:textId="77777777" w:rsidTr="00AD486D">
        <w:trPr>
          <w:cantSplit/>
        </w:trPr>
        <w:tc>
          <w:tcPr>
            <w:tcW w:w="2357" w:type="dxa"/>
          </w:tcPr>
          <w:p w14:paraId="5823A785" w14:textId="77777777" w:rsidR="001F04FD" w:rsidRDefault="001F04FD" w:rsidP="00AC4DEE">
            <w:pPr>
              <w:pStyle w:val="TableBody"/>
            </w:pPr>
            <w:r>
              <w:t xml:space="preserve">NMSAMTTOT </w:t>
            </w:r>
            <w:r w:rsidRPr="00107CC2">
              <w:rPr>
                <w:i/>
                <w:vertAlign w:val="subscript"/>
              </w:rPr>
              <w:t>gsc</w:t>
            </w:r>
          </w:p>
        </w:tc>
        <w:tc>
          <w:tcPr>
            <w:tcW w:w="0" w:type="auto"/>
          </w:tcPr>
          <w:p w14:paraId="6ADE7F5E" w14:textId="77777777" w:rsidR="001F04FD" w:rsidRDefault="001F04FD" w:rsidP="00AC4DEE">
            <w:pPr>
              <w:pStyle w:val="TableBody"/>
            </w:pPr>
            <w:r>
              <w:t>$</w:t>
            </w:r>
          </w:p>
        </w:tc>
        <w:tc>
          <w:tcPr>
            <w:tcW w:w="6145" w:type="dxa"/>
          </w:tcPr>
          <w:p w14:paraId="74C9221F" w14:textId="77777777" w:rsidR="001F04FD" w:rsidRDefault="001F04FD" w:rsidP="00AC4DEE">
            <w:pPr>
              <w:pStyle w:val="TableBody"/>
            </w:pPr>
            <w:r>
              <w:rPr>
                <w:i/>
              </w:rPr>
              <w:t>Net Metering Settlement</w:t>
            </w:r>
            <w:r>
              <w:t>—The total payment or charge to a generation site with a net metering arrangement.</w:t>
            </w:r>
          </w:p>
        </w:tc>
      </w:tr>
      <w:tr w:rsidR="001F04FD" w14:paraId="750847E6" w14:textId="77777777" w:rsidTr="00AD486D">
        <w:trPr>
          <w:cantSplit/>
        </w:trPr>
        <w:tc>
          <w:tcPr>
            <w:tcW w:w="2357" w:type="dxa"/>
          </w:tcPr>
          <w:p w14:paraId="1A0EAC61" w14:textId="77777777" w:rsidR="001F04FD" w:rsidRPr="00600AFF" w:rsidRDefault="001F04FD" w:rsidP="00AC4DEE">
            <w:pPr>
              <w:pStyle w:val="TableBody"/>
            </w:pPr>
            <w:r w:rsidRPr="006E32D6">
              <w:t>WSLAMTTOT</w:t>
            </w:r>
            <w:r w:rsidRPr="005B2B51">
              <w:rPr>
                <w:vertAlign w:val="subscript"/>
              </w:rPr>
              <w:t xml:space="preserve"> </w:t>
            </w:r>
            <w:r w:rsidRPr="00107CC2">
              <w:rPr>
                <w:i/>
                <w:vertAlign w:val="subscript"/>
              </w:rPr>
              <w:t>q, r, p</w:t>
            </w:r>
            <w:r w:rsidRPr="005B2B51">
              <w:rPr>
                <w:vertAlign w:val="subscript"/>
              </w:rPr>
              <w:t xml:space="preserve">  </w:t>
            </w:r>
          </w:p>
        </w:tc>
        <w:tc>
          <w:tcPr>
            <w:tcW w:w="0" w:type="auto"/>
          </w:tcPr>
          <w:p w14:paraId="3FF7D543" w14:textId="77777777" w:rsidR="001F04FD" w:rsidRDefault="001F04FD" w:rsidP="00AC4DEE">
            <w:pPr>
              <w:pStyle w:val="TableBody"/>
            </w:pPr>
            <w:r w:rsidRPr="006E32D6">
              <w:t>$</w:t>
            </w:r>
          </w:p>
        </w:tc>
        <w:tc>
          <w:tcPr>
            <w:tcW w:w="6145" w:type="dxa"/>
          </w:tcPr>
          <w:p w14:paraId="21BD44E2" w14:textId="77777777" w:rsidR="001F04FD" w:rsidRDefault="001F04FD" w:rsidP="00AC4DEE">
            <w:pPr>
              <w:pStyle w:val="TableBody"/>
              <w:rPr>
                <w:i/>
              </w:rPr>
            </w:pPr>
            <w:r w:rsidRPr="009D7C29">
              <w:rPr>
                <w:i/>
              </w:rPr>
              <w:t>Wholesale Storage Load Settlement</w:t>
            </w:r>
            <w:r w:rsidRPr="006E32D6">
              <w:t>—</w:t>
            </w:r>
            <w:r w:rsidRPr="006E32D6">
              <w:rPr>
                <w:iCs w:val="0"/>
              </w:rPr>
              <w:t xml:space="preserve">The total payment or charge to QSE </w:t>
            </w:r>
            <w:r w:rsidRPr="0000116F">
              <w:rPr>
                <w:i/>
                <w:iCs w:val="0"/>
              </w:rPr>
              <w:t>q</w:t>
            </w:r>
            <w:r w:rsidRPr="006E32D6">
              <w:rPr>
                <w:iCs w:val="0"/>
              </w:rPr>
              <w:t>, R</w:t>
            </w:r>
            <w:r>
              <w:rPr>
                <w:iCs w:val="0"/>
              </w:rPr>
              <w:t>esource</w:t>
            </w:r>
            <w:r w:rsidRPr="006E32D6">
              <w:rPr>
                <w:iCs w:val="0"/>
              </w:rPr>
              <w:t xml:space="preserve"> </w:t>
            </w:r>
            <w:r w:rsidRPr="0000116F">
              <w:rPr>
                <w:i/>
                <w:iCs w:val="0"/>
              </w:rPr>
              <w:t>r</w:t>
            </w:r>
            <w:r w:rsidRPr="006E32D6">
              <w:rPr>
                <w:iCs w:val="0"/>
              </w:rPr>
              <w:t xml:space="preserve">, at Settlement Point </w:t>
            </w:r>
            <w:r w:rsidRPr="0000116F">
              <w:rPr>
                <w:i/>
                <w:iCs w:val="0"/>
              </w:rPr>
              <w:t>p</w:t>
            </w:r>
            <w:r w:rsidRPr="006E32D6">
              <w:rPr>
                <w:iCs w:val="0"/>
              </w:rPr>
              <w:t xml:space="preserve">, </w:t>
            </w:r>
            <w:r w:rsidRPr="006E32D6">
              <w:t>for WSL</w:t>
            </w:r>
            <w:r w:rsidRPr="0063384D">
              <w:t xml:space="preserve"> </w:t>
            </w:r>
            <w:r w:rsidRPr="00FE1533">
              <w:rPr>
                <w:iCs w:val="0"/>
              </w:rPr>
              <w:t>for each 15-minute Settlement Interval.</w:t>
            </w:r>
          </w:p>
        </w:tc>
      </w:tr>
      <w:tr w:rsidR="004E4B05" w14:paraId="20AB977E" w14:textId="77777777" w:rsidTr="00AD486D">
        <w:trPr>
          <w:cantSplit/>
        </w:trPr>
        <w:tc>
          <w:tcPr>
            <w:tcW w:w="2357" w:type="dxa"/>
          </w:tcPr>
          <w:p w14:paraId="13558624" w14:textId="7CC6EFEF" w:rsidR="004E4B05" w:rsidRPr="006E32D6" w:rsidRDefault="004E4B05" w:rsidP="004E4B05">
            <w:pPr>
              <w:pStyle w:val="TableBody"/>
            </w:pPr>
            <w:r>
              <w:t>ESRNWSL</w:t>
            </w:r>
            <w:r w:rsidRPr="004368B4">
              <w:t>AMTTOT</w:t>
            </w:r>
            <w:r w:rsidRPr="004368B4">
              <w:rPr>
                <w:vertAlign w:val="subscript"/>
              </w:rPr>
              <w:t xml:space="preserve"> </w:t>
            </w:r>
            <w:r w:rsidRPr="00107CC2">
              <w:rPr>
                <w:i/>
                <w:vertAlign w:val="subscript"/>
              </w:rPr>
              <w:t>q, r, p</w:t>
            </w:r>
          </w:p>
        </w:tc>
        <w:tc>
          <w:tcPr>
            <w:tcW w:w="0" w:type="auto"/>
          </w:tcPr>
          <w:p w14:paraId="5307C727" w14:textId="76EFB166" w:rsidR="004E4B05" w:rsidRPr="006E32D6" w:rsidRDefault="004E4B05" w:rsidP="004E4B05">
            <w:pPr>
              <w:pStyle w:val="TableBody"/>
            </w:pPr>
            <w:r w:rsidRPr="004368B4">
              <w:t>$</w:t>
            </w:r>
          </w:p>
        </w:tc>
        <w:tc>
          <w:tcPr>
            <w:tcW w:w="6145" w:type="dxa"/>
          </w:tcPr>
          <w:p w14:paraId="6C700639" w14:textId="64758B2A" w:rsidR="004E4B05" w:rsidRPr="009D7C29" w:rsidRDefault="004E4B05" w:rsidP="004E4B05">
            <w:pPr>
              <w:pStyle w:val="TableBody"/>
              <w:rPr>
                <w:i/>
              </w:rPr>
            </w:pPr>
            <w:r>
              <w:rPr>
                <w:i/>
              </w:rPr>
              <w:t xml:space="preserve">Energy Storage Resource Non-WSL </w:t>
            </w:r>
            <w:r w:rsidRPr="004368B4">
              <w:rPr>
                <w:i/>
              </w:rPr>
              <w:t>Settlement</w:t>
            </w:r>
            <w:r w:rsidRPr="004368B4">
              <w:t>—</w:t>
            </w:r>
            <w:r w:rsidRPr="00997DBF">
              <w:t xml:space="preserve">The total payment or charge to QSE </w:t>
            </w:r>
            <w:r w:rsidRPr="00672F2C">
              <w:rPr>
                <w:i/>
              </w:rPr>
              <w:t>q</w:t>
            </w:r>
            <w:r w:rsidRPr="00997DBF">
              <w:t>, R</w:t>
            </w:r>
            <w:r>
              <w:t>esource</w:t>
            </w:r>
            <w:r w:rsidRPr="00997DBF">
              <w:t xml:space="preserve"> </w:t>
            </w:r>
            <w:r w:rsidRPr="00672F2C">
              <w:rPr>
                <w:i/>
              </w:rPr>
              <w:t>r</w:t>
            </w:r>
            <w:r w:rsidRPr="00997DBF">
              <w:t xml:space="preserve">, at Settlement Point </w:t>
            </w:r>
            <w:r w:rsidRPr="00672F2C">
              <w:rPr>
                <w:i/>
              </w:rPr>
              <w:t>p</w:t>
            </w:r>
            <w:r w:rsidRPr="00997DBF">
              <w:t xml:space="preserve">, for </w:t>
            </w:r>
            <w:r>
              <w:t xml:space="preserve">Non-WSL ESR Charging Load </w:t>
            </w:r>
            <w:r w:rsidRPr="00997DBF">
              <w:t>for each 15-minute Settlement Interval.</w:t>
            </w:r>
          </w:p>
        </w:tc>
      </w:tr>
      <w:tr w:rsidR="001F04FD" w14:paraId="185426DC" w14:textId="77777777" w:rsidTr="00AD486D">
        <w:trPr>
          <w:cantSplit/>
        </w:trPr>
        <w:tc>
          <w:tcPr>
            <w:tcW w:w="2357" w:type="dxa"/>
          </w:tcPr>
          <w:p w14:paraId="59BB2C6D" w14:textId="77777777" w:rsidR="001F04FD" w:rsidRDefault="001F04FD" w:rsidP="00AC4DEE">
            <w:pPr>
              <w:pStyle w:val="TableBody"/>
            </w:pPr>
            <w:r w:rsidRPr="00600AFF">
              <w:t xml:space="preserve">NMRTETOT </w:t>
            </w:r>
            <w:r w:rsidRPr="00107CC2">
              <w:rPr>
                <w:i/>
                <w:vertAlign w:val="subscript"/>
              </w:rPr>
              <w:t>gsc</w:t>
            </w:r>
          </w:p>
        </w:tc>
        <w:tc>
          <w:tcPr>
            <w:tcW w:w="0" w:type="auto"/>
          </w:tcPr>
          <w:p w14:paraId="7CA444C2" w14:textId="77777777" w:rsidR="001F04FD" w:rsidRDefault="001F04FD" w:rsidP="00AC4DEE">
            <w:pPr>
              <w:pStyle w:val="TableBody"/>
            </w:pPr>
            <w:r>
              <w:t>MWh</w:t>
            </w:r>
          </w:p>
        </w:tc>
        <w:tc>
          <w:tcPr>
            <w:tcW w:w="6145" w:type="dxa"/>
          </w:tcPr>
          <w:p w14:paraId="44EECDA6" w14:textId="77777777" w:rsidR="001F04FD" w:rsidRDefault="001F04FD" w:rsidP="00AC4DEE">
            <w:pPr>
              <w:pStyle w:val="TableBody"/>
              <w:rPr>
                <w:i/>
              </w:rPr>
            </w:pPr>
            <w:r>
              <w:rPr>
                <w:i/>
              </w:rPr>
              <w:t>Net Meter Real-Time Energy Total</w:t>
            </w:r>
            <w:r>
              <w:t xml:space="preserve">—The net sum for all Settlement Meters included in generation site code </w:t>
            </w:r>
            <w:r>
              <w:rPr>
                <w:i/>
              </w:rPr>
              <w:t>gsc</w:t>
            </w:r>
            <w:r>
              <w:t>.  A positive value indicates an injection of power to the ERCOT System.</w:t>
            </w:r>
          </w:p>
        </w:tc>
      </w:tr>
      <w:tr w:rsidR="001F04FD" w14:paraId="0DBEDA43" w14:textId="77777777" w:rsidTr="00AD486D">
        <w:trPr>
          <w:cantSplit/>
        </w:trPr>
        <w:tc>
          <w:tcPr>
            <w:tcW w:w="2357" w:type="dxa"/>
          </w:tcPr>
          <w:p w14:paraId="6F637952" w14:textId="77777777" w:rsidR="001F04FD" w:rsidRDefault="001F04FD" w:rsidP="00AC4DEE">
            <w:pPr>
              <w:pStyle w:val="TableBody"/>
            </w:pPr>
            <w:r>
              <w:lastRenderedPageBreak/>
              <w:t xml:space="preserve">GSPLITPER </w:t>
            </w:r>
            <w:r w:rsidRPr="00107CC2">
              <w:rPr>
                <w:i/>
                <w:vertAlign w:val="subscript"/>
              </w:rPr>
              <w:t>q, r, gsc, p</w:t>
            </w:r>
          </w:p>
        </w:tc>
        <w:tc>
          <w:tcPr>
            <w:tcW w:w="0" w:type="auto"/>
          </w:tcPr>
          <w:p w14:paraId="56322FDB" w14:textId="77777777" w:rsidR="001F04FD" w:rsidRDefault="001F04FD" w:rsidP="00AC4DEE">
            <w:pPr>
              <w:pStyle w:val="TableBody"/>
            </w:pPr>
            <w:r>
              <w:t>none</w:t>
            </w:r>
          </w:p>
        </w:tc>
        <w:tc>
          <w:tcPr>
            <w:tcW w:w="6145" w:type="dxa"/>
          </w:tcPr>
          <w:p w14:paraId="5E62C224"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net metering arrangement.  GSPLITPER is calculated by taking the Supervisory Control and Data Acquisition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35EBF280" w14:textId="77777777" w:rsidTr="00AD486D">
        <w:trPr>
          <w:cantSplit/>
        </w:trPr>
        <w:tc>
          <w:tcPr>
            <w:tcW w:w="2357" w:type="dxa"/>
          </w:tcPr>
          <w:p w14:paraId="6DC8077E" w14:textId="77777777" w:rsidR="001F04FD" w:rsidRPr="00D87CFB" w:rsidRDefault="001F04FD" w:rsidP="00AC4DEE">
            <w:pPr>
              <w:pStyle w:val="TableBody"/>
              <w:rPr>
                <w:i/>
              </w:rPr>
            </w:pPr>
            <w:r w:rsidRPr="00D661BC">
              <w:rPr>
                <w:i/>
              </w:rPr>
              <w:t>q</w:t>
            </w:r>
          </w:p>
        </w:tc>
        <w:tc>
          <w:tcPr>
            <w:tcW w:w="0" w:type="auto"/>
          </w:tcPr>
          <w:p w14:paraId="2DD44DBB" w14:textId="77777777" w:rsidR="001F04FD" w:rsidRDefault="001F04FD" w:rsidP="00AC4DEE">
            <w:pPr>
              <w:pStyle w:val="TableBody"/>
            </w:pPr>
            <w:r>
              <w:t>none</w:t>
            </w:r>
          </w:p>
        </w:tc>
        <w:tc>
          <w:tcPr>
            <w:tcW w:w="6145" w:type="dxa"/>
          </w:tcPr>
          <w:p w14:paraId="44B6DA92" w14:textId="77777777" w:rsidR="001F04FD" w:rsidRDefault="001F04FD" w:rsidP="00AC4DEE">
            <w:pPr>
              <w:pStyle w:val="TableBody"/>
            </w:pPr>
            <w:r>
              <w:t>A QSE.</w:t>
            </w:r>
          </w:p>
        </w:tc>
      </w:tr>
      <w:tr w:rsidR="001F04FD" w14:paraId="27FE5211" w14:textId="77777777" w:rsidTr="00AD486D">
        <w:trPr>
          <w:cantSplit/>
        </w:trPr>
        <w:tc>
          <w:tcPr>
            <w:tcW w:w="2357" w:type="dxa"/>
          </w:tcPr>
          <w:p w14:paraId="37C2DBB6" w14:textId="77777777" w:rsidR="001F04FD" w:rsidRPr="00D87CFB" w:rsidRDefault="001F04FD" w:rsidP="00AC4DEE">
            <w:pPr>
              <w:pStyle w:val="TableBody"/>
              <w:rPr>
                <w:i/>
              </w:rPr>
            </w:pPr>
            <w:r w:rsidRPr="00D661BC">
              <w:rPr>
                <w:i/>
              </w:rPr>
              <w:t>p</w:t>
            </w:r>
          </w:p>
        </w:tc>
        <w:tc>
          <w:tcPr>
            <w:tcW w:w="0" w:type="auto"/>
          </w:tcPr>
          <w:p w14:paraId="4973AC55" w14:textId="77777777" w:rsidR="001F04FD" w:rsidRDefault="001F04FD" w:rsidP="00AC4DEE">
            <w:pPr>
              <w:pStyle w:val="TableBody"/>
            </w:pPr>
            <w:r>
              <w:t>none</w:t>
            </w:r>
          </w:p>
        </w:tc>
        <w:tc>
          <w:tcPr>
            <w:tcW w:w="6145" w:type="dxa"/>
          </w:tcPr>
          <w:p w14:paraId="75A72333" w14:textId="77777777" w:rsidR="001F04FD" w:rsidRDefault="001F04FD" w:rsidP="00AC4DEE">
            <w:pPr>
              <w:pStyle w:val="TableBody"/>
            </w:pPr>
            <w:r>
              <w:t>A Resource Node Settlement Point.</w:t>
            </w:r>
          </w:p>
        </w:tc>
      </w:tr>
      <w:tr w:rsidR="001F04FD" w14:paraId="2A51892C" w14:textId="77777777" w:rsidTr="00AD486D">
        <w:trPr>
          <w:cantSplit/>
        </w:trPr>
        <w:tc>
          <w:tcPr>
            <w:tcW w:w="2357" w:type="dxa"/>
          </w:tcPr>
          <w:p w14:paraId="629F1770" w14:textId="77777777" w:rsidR="001F04FD" w:rsidRPr="00D87CFB" w:rsidRDefault="001F04FD" w:rsidP="00AC4DEE">
            <w:pPr>
              <w:pStyle w:val="TableBody"/>
              <w:rPr>
                <w:i/>
              </w:rPr>
            </w:pPr>
            <w:r w:rsidRPr="00D661BC">
              <w:rPr>
                <w:i/>
              </w:rPr>
              <w:t>r</w:t>
            </w:r>
          </w:p>
        </w:tc>
        <w:tc>
          <w:tcPr>
            <w:tcW w:w="0" w:type="auto"/>
          </w:tcPr>
          <w:p w14:paraId="0C53058C" w14:textId="77777777" w:rsidR="001F04FD" w:rsidRDefault="001F04FD" w:rsidP="00AC4DEE">
            <w:pPr>
              <w:pStyle w:val="TableBody"/>
            </w:pPr>
            <w:r>
              <w:t>none</w:t>
            </w:r>
          </w:p>
        </w:tc>
        <w:tc>
          <w:tcPr>
            <w:tcW w:w="6145" w:type="dxa"/>
          </w:tcPr>
          <w:p w14:paraId="680887E0" w14:textId="32A1E20E" w:rsidR="001F04FD" w:rsidRDefault="004E4B05" w:rsidP="00AC4DEE">
            <w:pPr>
              <w:pStyle w:val="TableBody"/>
            </w:pPr>
            <w:r w:rsidRPr="00423D31">
              <w:t>A Generation Resource or a Controllable L</w:t>
            </w:r>
            <w:r>
              <w:t>oad Resource</w:t>
            </w:r>
            <w:r w:rsidR="00C67FF2">
              <w:t xml:space="preserve"> (CLR)</w:t>
            </w:r>
            <w:r>
              <w:t xml:space="preserve"> that is part of an</w:t>
            </w:r>
            <w:r w:rsidRPr="00423D31">
              <w:t xml:space="preserve"> </w:t>
            </w:r>
            <w:r>
              <w:t>ESR</w:t>
            </w:r>
            <w:r w:rsidRPr="00423D31">
              <w:t xml:space="preserve"> that is located at the Facility with net metering.</w:t>
            </w:r>
          </w:p>
        </w:tc>
      </w:tr>
      <w:tr w:rsidR="001F04FD" w14:paraId="0ABACB09" w14:textId="77777777" w:rsidTr="00AD486D">
        <w:trPr>
          <w:cantSplit/>
        </w:trPr>
        <w:tc>
          <w:tcPr>
            <w:tcW w:w="2357" w:type="dxa"/>
          </w:tcPr>
          <w:p w14:paraId="15082CF0" w14:textId="77777777" w:rsidR="001F04FD" w:rsidRPr="00D87CFB" w:rsidRDefault="001F04FD" w:rsidP="00AC4DEE">
            <w:pPr>
              <w:pStyle w:val="TableBody"/>
              <w:rPr>
                <w:i/>
              </w:rPr>
            </w:pPr>
            <w:r w:rsidRPr="00D661BC">
              <w:rPr>
                <w:i/>
              </w:rPr>
              <w:t>gsc</w:t>
            </w:r>
          </w:p>
        </w:tc>
        <w:tc>
          <w:tcPr>
            <w:tcW w:w="0" w:type="auto"/>
          </w:tcPr>
          <w:p w14:paraId="75B09F64" w14:textId="77777777" w:rsidR="001F04FD" w:rsidRDefault="001F04FD" w:rsidP="00AC4DEE">
            <w:pPr>
              <w:pStyle w:val="TableBody"/>
            </w:pPr>
            <w:r>
              <w:t>none</w:t>
            </w:r>
          </w:p>
        </w:tc>
        <w:tc>
          <w:tcPr>
            <w:tcW w:w="6145" w:type="dxa"/>
          </w:tcPr>
          <w:p w14:paraId="13DFC5FA" w14:textId="77777777" w:rsidR="001F04FD" w:rsidRDefault="001F04FD" w:rsidP="00AC4DEE">
            <w:pPr>
              <w:pStyle w:val="TableBody"/>
            </w:pPr>
            <w:r>
              <w:t>A generation site code.</w:t>
            </w:r>
          </w:p>
        </w:tc>
      </w:tr>
      <w:tr w:rsidR="001F04FD" w14:paraId="2393773C" w14:textId="77777777" w:rsidTr="00AD486D">
        <w:trPr>
          <w:cantSplit/>
        </w:trPr>
        <w:tc>
          <w:tcPr>
            <w:tcW w:w="2357" w:type="dxa"/>
          </w:tcPr>
          <w:p w14:paraId="3B0BC920" w14:textId="77777777" w:rsidR="001F04FD" w:rsidRPr="00D661BC" w:rsidRDefault="001F04FD" w:rsidP="00AC4DEE">
            <w:pPr>
              <w:pStyle w:val="TableBody"/>
              <w:rPr>
                <w:i/>
              </w:rPr>
            </w:pPr>
            <w:r>
              <w:rPr>
                <w:i/>
              </w:rPr>
              <w:t>b</w:t>
            </w:r>
          </w:p>
        </w:tc>
        <w:tc>
          <w:tcPr>
            <w:tcW w:w="0" w:type="auto"/>
          </w:tcPr>
          <w:p w14:paraId="4E2F9496" w14:textId="77777777" w:rsidR="001F04FD" w:rsidRDefault="001F04FD" w:rsidP="00AC4DEE">
            <w:pPr>
              <w:pStyle w:val="TableBody"/>
            </w:pPr>
            <w:r>
              <w:t>none</w:t>
            </w:r>
          </w:p>
        </w:tc>
        <w:tc>
          <w:tcPr>
            <w:tcW w:w="6145" w:type="dxa"/>
          </w:tcPr>
          <w:p w14:paraId="12640EAB" w14:textId="77777777" w:rsidR="001F04FD" w:rsidRDefault="001F04FD" w:rsidP="00AC4DEE">
            <w:pPr>
              <w:pStyle w:val="TableBody"/>
            </w:pPr>
            <w:r>
              <w:t>An Electrical Bus.</w:t>
            </w:r>
          </w:p>
        </w:tc>
      </w:tr>
    </w:tbl>
    <w:p w14:paraId="600AA494" w14:textId="77777777" w:rsidR="006F7954" w:rsidRDefault="006F7954" w:rsidP="006F7954">
      <w:pPr>
        <w:ind w:left="720" w:hanging="720"/>
      </w:pPr>
    </w:p>
    <w:tbl>
      <w:tblPr>
        <w:tblW w:w="50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6F7954" w14:paraId="089AC7D4" w14:textId="77777777" w:rsidTr="004E4B05">
        <w:trPr>
          <w:trHeight w:val="206"/>
        </w:trPr>
        <w:tc>
          <w:tcPr>
            <w:tcW w:w="5000" w:type="pct"/>
            <w:shd w:val="pct12" w:color="auto" w:fill="auto"/>
          </w:tcPr>
          <w:p w14:paraId="3C128463" w14:textId="2511E0AF" w:rsidR="006F7954" w:rsidRDefault="00EC50FF" w:rsidP="009E7633">
            <w:pPr>
              <w:pStyle w:val="Instructions"/>
              <w:spacing w:before="120"/>
            </w:pPr>
            <w:r>
              <w:t>[</w:t>
            </w:r>
            <w:r w:rsidR="006F7954">
              <w:t>NPRR1014</w:t>
            </w:r>
            <w:r w:rsidR="006C5B5E">
              <w:t xml:space="preserve"> and NPRR1188</w:t>
            </w:r>
            <w:r w:rsidR="006F7954">
              <w:t xml:space="preserve">:  Replace </w:t>
            </w:r>
            <w:r w:rsidR="006C5B5E">
              <w:t xml:space="preserve">applicable portions of </w:t>
            </w:r>
            <w:r w:rsidR="006F7954">
              <w:t>paragraph (2) above with the following upon system implementation:]</w:t>
            </w:r>
          </w:p>
          <w:p w14:paraId="25FA0F32" w14:textId="77777777" w:rsidR="00F713DF" w:rsidRPr="00A552C3" w:rsidRDefault="00F713DF" w:rsidP="00F713DF">
            <w:pPr>
              <w:spacing w:after="240"/>
              <w:ind w:left="720" w:hanging="720"/>
              <w:rPr>
                <w:iCs/>
              </w:rPr>
            </w:pPr>
            <w:bookmarkStart w:id="1864" w:name="_Hlk183420047"/>
            <w:r w:rsidRPr="00A552C3">
              <w:rPr>
                <w:iCs/>
              </w:rPr>
              <w:t>(2)</w:t>
            </w:r>
            <w:r w:rsidRPr="00A552C3">
              <w:rPr>
                <w:iCs/>
              </w:rPr>
              <w:tab/>
              <w:t>The payment or charge to each QSE for Energy Imbalance Service at a Resource Node Settlement Point for a given 15-minute Settlement Interval is calculated as follows:</w:t>
            </w:r>
          </w:p>
          <w:p w14:paraId="0525B6A0" w14:textId="5F3875E6" w:rsidR="00F713DF" w:rsidRPr="00A552C3" w:rsidRDefault="00F713DF" w:rsidP="00F713DF">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2E9D0F0">
                <v:shape id="_x0000_i1123" type="#_x0000_t75" style="width:12pt;height:30pt" o:ole="">
                  <v:imagedata r:id="rId120" o:title=""/>
                </v:shape>
                <o:OLEObject Type="Embed" ProgID="Equation.3" ShapeID="_x0000_i1123" DrawAspect="Content" ObjectID="_1804653608" r:id="rId133"/>
              </w:object>
            </w:r>
            <w:r w:rsidRPr="00A552C3">
              <w:rPr>
                <w:rFonts w:ascii="Times New Roman Bold" w:hAnsi="Times New Roman Bold"/>
                <w:b/>
                <w:bCs/>
              </w:rPr>
              <w:t>(</w:t>
            </w:r>
            <w:r w:rsidRPr="00A552C3">
              <w:rPr>
                <w:b/>
                <w:bCs/>
                <w:position w:val="-18"/>
              </w:rPr>
              <w:object w:dxaOrig="255" w:dyaOrig="495" w14:anchorId="6F0159FB">
                <v:shape id="_x0000_i1124" type="#_x0000_t75" style="width:12pt;height:30pt" o:ole="">
                  <v:imagedata r:id="rId122" o:title=""/>
                </v:shape>
                <o:OLEObject Type="Embed" ProgID="Equation.3" ShapeID="_x0000_i1124" DrawAspect="Content" ObjectID="_1804653609" r:id="rId134"/>
              </w:object>
            </w:r>
            <w:r w:rsidRPr="00A552C3">
              <w:rPr>
                <w:b/>
                <w:bCs/>
              </w:rPr>
              <w:t>(RESREV</w:t>
            </w:r>
            <w:r w:rsidRPr="00A552C3">
              <w:rPr>
                <w:b/>
                <w:bCs/>
                <w:i/>
                <w:vertAlign w:val="subscript"/>
              </w:rPr>
              <w:t xml:space="preserve"> q, r, gsc, p</w:t>
            </w:r>
            <w:r w:rsidRPr="00A552C3">
              <w:rPr>
                <w:b/>
                <w:bCs/>
              </w:rPr>
              <w:t>)) + (</w:t>
            </w:r>
            <w:r w:rsidRPr="00A552C3">
              <w:rPr>
                <w:b/>
                <w:bCs/>
                <w:position w:val="-18"/>
              </w:rPr>
              <w:object w:dxaOrig="255" w:dyaOrig="495" w14:anchorId="21E5E760">
                <v:shape id="_x0000_i1125" type="#_x0000_t75" style="width:12pt;height:30pt" o:ole="">
                  <v:imagedata r:id="rId122" o:title=""/>
                </v:shape>
                <o:OLEObject Type="Embed" ProgID="Equation.3" ShapeID="_x0000_i1125" DrawAspect="Content" ObjectID="_1804653610" r:id="rId135"/>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xml:space="preserve">) </w:t>
            </w:r>
            <w:r w:rsidR="006C5B5E" w:rsidRPr="00812ECB">
              <w:rPr>
                <w:b/>
                <w:bCs/>
              </w:rPr>
              <w:t>+ (</w:t>
            </w:r>
            <w:r w:rsidR="006C5B5E" w:rsidRPr="00812ECB">
              <w:rPr>
                <w:b/>
                <w:bCs/>
                <w:noProof/>
                <w:position w:val="-18"/>
              </w:rPr>
              <w:drawing>
                <wp:inline distT="0" distB="0" distL="0" distR="0" wp14:anchorId="140FEE6B" wp14:editId="423A4DFF">
                  <wp:extent cx="180975" cy="276225"/>
                  <wp:effectExtent l="0" t="0" r="0" b="0"/>
                  <wp:docPr id="290772224" name="Picture 29077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6C5B5E" w:rsidRPr="00812ECB">
              <w:rPr>
                <w:b/>
                <w:bCs/>
              </w:rPr>
              <w:t>CLRAMTTOT</w:t>
            </w:r>
            <w:r w:rsidR="006C5B5E" w:rsidRPr="00812ECB">
              <w:rPr>
                <w:b/>
                <w:bCs/>
                <w:i/>
                <w:sz w:val="28"/>
                <w:szCs w:val="28"/>
                <w:vertAlign w:val="subscript"/>
              </w:rPr>
              <w:t xml:space="preserve"> </w:t>
            </w:r>
            <w:r w:rsidR="006C5B5E" w:rsidRPr="00812ECB">
              <w:rPr>
                <w:b/>
                <w:bCs/>
                <w:i/>
                <w:vertAlign w:val="subscript"/>
              </w:rPr>
              <w:t>q, r, p</w:t>
            </w:r>
            <w:r w:rsidR="006C5B5E" w:rsidRPr="00812ECB">
              <w:rPr>
                <w:b/>
                <w:bCs/>
              </w:rPr>
              <w:t xml:space="preserve">) </w:t>
            </w:r>
            <w:r w:rsidRPr="00A552C3">
              <w:rPr>
                <w:b/>
                <w:bCs/>
              </w:rPr>
              <w:t>+ (</w:t>
            </w:r>
            <w:r w:rsidRPr="00A552C3">
              <w:rPr>
                <w:b/>
                <w:bCs/>
                <w:position w:val="-18"/>
              </w:rPr>
              <w:object w:dxaOrig="255" w:dyaOrig="495" w14:anchorId="0BEA04A7">
                <v:shape id="_x0000_i1126" type="#_x0000_t75" style="width:12pt;height:30pt" o:ole="">
                  <v:imagedata r:id="rId122" o:title=""/>
                </v:shape>
                <o:OLEObject Type="Embed" ProgID="Equation.3" ShapeID="_x0000_i1126" DrawAspect="Content" ObjectID="_1804653611" r:id="rId137"/>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p w14:paraId="76979D25" w14:textId="77777777" w:rsidR="00F713DF" w:rsidRPr="00A552C3" w:rsidRDefault="00F713DF" w:rsidP="00F713DF">
            <w:pPr>
              <w:tabs>
                <w:tab w:val="left" w:pos="2250"/>
                <w:tab w:val="left" w:pos="3150"/>
                <w:tab w:val="left" w:pos="3960"/>
              </w:tabs>
              <w:spacing w:before="240" w:after="240"/>
              <w:ind w:left="3960" w:hanging="3240"/>
              <w:rPr>
                <w:bCs/>
              </w:rPr>
            </w:pPr>
            <w:r w:rsidRPr="00A552C3">
              <w:rPr>
                <w:bCs/>
              </w:rPr>
              <w:t>Where:</w:t>
            </w:r>
          </w:p>
          <w:p w14:paraId="31748A61" w14:textId="77777777" w:rsidR="00F713DF" w:rsidRPr="00AD486D" w:rsidRDefault="00F713DF" w:rsidP="00F713DF">
            <w:pPr>
              <w:tabs>
                <w:tab w:val="left" w:pos="2250"/>
                <w:tab w:val="left" w:pos="3150"/>
                <w:tab w:val="left" w:pos="3960"/>
              </w:tabs>
              <w:spacing w:after="240"/>
              <w:ind w:left="3150" w:hanging="2430"/>
              <w:rPr>
                <w:bCs/>
                <w:i/>
                <w:sz w:val="28"/>
                <w:szCs w:val="28"/>
                <w:vertAlign w:val="subscript"/>
              </w:rPr>
            </w:pPr>
            <w:r w:rsidRPr="00AD486D">
              <w:rPr>
                <w:bCs/>
              </w:rPr>
              <w:t>RESREV</w:t>
            </w:r>
            <w:r w:rsidRPr="00B15E7C">
              <w:rPr>
                <w:bCs/>
                <w:i/>
                <w:vertAlign w:val="subscript"/>
              </w:rPr>
              <w:t xml:space="preserve"> q</w:t>
            </w:r>
            <w:r w:rsidRPr="00AD486D">
              <w:rPr>
                <w:bCs/>
                <w:i/>
                <w:vertAlign w:val="subscript"/>
              </w:rPr>
              <w:t>, r, gsc, p</w:t>
            </w:r>
            <w:r w:rsidRPr="00AD486D">
              <w:rPr>
                <w:bCs/>
              </w:rPr>
              <w:tab/>
              <w:t xml:space="preserve">= GSPLITPER </w:t>
            </w:r>
            <w:r w:rsidRPr="00B15E7C">
              <w:rPr>
                <w:bCs/>
                <w:i/>
                <w:vertAlign w:val="subscript"/>
              </w:rPr>
              <w:t>q</w:t>
            </w:r>
            <w:r w:rsidRPr="00AD486D">
              <w:rPr>
                <w:bCs/>
                <w:i/>
                <w:vertAlign w:val="subscript"/>
              </w:rPr>
              <w:t>, r, gsc, p</w:t>
            </w:r>
            <w:r w:rsidRPr="00AD486D">
              <w:rPr>
                <w:bCs/>
              </w:rPr>
              <w:t xml:space="preserve"> * NMSAMTTOT </w:t>
            </w:r>
            <w:r w:rsidRPr="00AD486D">
              <w:rPr>
                <w:bCs/>
                <w:i/>
                <w:szCs w:val="28"/>
                <w:vertAlign w:val="subscript"/>
              </w:rPr>
              <w:t>gsc</w:t>
            </w:r>
          </w:p>
          <w:p w14:paraId="5EED817B" w14:textId="77777777" w:rsidR="00F713DF" w:rsidRPr="00AD486D" w:rsidRDefault="00F713DF" w:rsidP="00F713DF">
            <w:pPr>
              <w:tabs>
                <w:tab w:val="left" w:pos="2250"/>
                <w:tab w:val="left" w:pos="3150"/>
                <w:tab w:val="left" w:pos="3960"/>
              </w:tabs>
              <w:spacing w:after="240"/>
              <w:ind w:left="3150" w:hanging="2430"/>
              <w:rPr>
                <w:bCs/>
                <w:i/>
                <w:vertAlign w:val="subscript"/>
              </w:rPr>
            </w:pPr>
            <w:r w:rsidRPr="00AD486D">
              <w:rPr>
                <w:bCs/>
              </w:rPr>
              <w:t>RESMEB</w:t>
            </w:r>
            <w:r w:rsidRPr="00B15E7C">
              <w:rPr>
                <w:bCs/>
                <w:i/>
                <w:vertAlign w:val="subscript"/>
              </w:rPr>
              <w:t xml:space="preserve"> q</w:t>
            </w:r>
            <w:r w:rsidRPr="00AD486D">
              <w:rPr>
                <w:bCs/>
                <w:i/>
                <w:vertAlign w:val="subscript"/>
              </w:rPr>
              <w:t>, r, gsc, p</w:t>
            </w:r>
            <w:r w:rsidRPr="00AD486D">
              <w:rPr>
                <w:bCs/>
                <w:i/>
                <w:vertAlign w:val="subscript"/>
              </w:rPr>
              <w:tab/>
            </w:r>
            <w:r w:rsidRPr="00AD486D">
              <w:rPr>
                <w:bCs/>
              </w:rPr>
              <w:t xml:space="preserve">= GSPLITPER </w:t>
            </w:r>
            <w:r w:rsidRPr="00B15E7C">
              <w:rPr>
                <w:bCs/>
                <w:i/>
                <w:vertAlign w:val="subscript"/>
              </w:rPr>
              <w:t>q</w:t>
            </w:r>
            <w:r w:rsidRPr="00AD486D">
              <w:rPr>
                <w:bCs/>
                <w:i/>
                <w:vertAlign w:val="subscript"/>
              </w:rPr>
              <w:t>, r, gsc, p</w:t>
            </w:r>
            <w:r w:rsidRPr="00AD486D">
              <w:rPr>
                <w:bCs/>
              </w:rPr>
              <w:t xml:space="preserve"> * NMRTETOT</w:t>
            </w:r>
            <w:r w:rsidRPr="00AD486D">
              <w:rPr>
                <w:bCs/>
                <w:i/>
                <w:vertAlign w:val="subscript"/>
              </w:rPr>
              <w:t xml:space="preserve"> gsc</w:t>
            </w:r>
          </w:p>
          <w:p w14:paraId="588D2825" w14:textId="77777777" w:rsidR="00F713DF" w:rsidRPr="00B15E7C" w:rsidRDefault="00F713DF" w:rsidP="00F713DF">
            <w:pPr>
              <w:tabs>
                <w:tab w:val="left" w:pos="2250"/>
                <w:tab w:val="left" w:pos="3150"/>
                <w:tab w:val="left" w:pos="3960"/>
              </w:tabs>
              <w:spacing w:after="240"/>
              <w:ind w:left="3150" w:hanging="2430"/>
              <w:rPr>
                <w:i/>
              </w:rPr>
            </w:pPr>
            <w:r w:rsidRPr="00AD486D">
              <w:t>WSLTOT</w:t>
            </w:r>
            <w:r w:rsidRPr="00AD486D">
              <w:rPr>
                <w:i/>
                <w:vertAlign w:val="subscript"/>
              </w:rPr>
              <w:t xml:space="preserve"> q, p</w:t>
            </w:r>
            <w:r w:rsidRPr="00AD486D">
              <w:rPr>
                <w:bCs/>
                <w:i/>
                <w:vertAlign w:val="subscript"/>
              </w:rPr>
              <w:tab/>
            </w:r>
            <w:r w:rsidRPr="00AD486D">
              <w:rPr>
                <w:bCs/>
                <w:vertAlign w:val="subscript"/>
              </w:rPr>
              <w:tab/>
            </w:r>
            <w:r w:rsidRPr="00B15E7C">
              <w:t xml:space="preserve">= </w:t>
            </w:r>
            <w:r w:rsidRPr="007E0BFA">
              <w:rPr>
                <w:bCs/>
                <w:position w:val="-18"/>
              </w:rPr>
              <w:object w:dxaOrig="255" w:dyaOrig="495" w14:anchorId="24A0CE63">
                <v:shape id="_x0000_i1127" type="#_x0000_t75" style="width:12pt;height:30pt" o:ole="">
                  <v:imagedata r:id="rId122" o:title=""/>
                </v:shape>
                <o:OLEObject Type="Embed" ProgID="Equation.3" ShapeID="_x0000_i1127" DrawAspect="Content" ObjectID="_1804653612" r:id="rId138"/>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481A741F">
                <v:shape id="_x0000_i1128" type="#_x0000_t75" style="width:12pt;height:30pt" o:ole="">
                  <v:imagedata r:id="rId127" o:title=""/>
                </v:shape>
                <o:OLEObject Type="Embed" ProgID="Equation.3" ShapeID="_x0000_i1128" DrawAspect="Content" ObjectID="_1804653613" r:id="rId139"/>
              </w:object>
            </w:r>
            <w:r w:rsidRPr="00B15E7C">
              <w:t xml:space="preserve"> </w:t>
            </w:r>
            <w:r w:rsidRPr="00AD486D">
              <w:rPr>
                <w:bCs/>
              </w:rPr>
              <w:t>MEBL</w:t>
            </w:r>
            <w:r w:rsidRPr="00B15E7C">
              <w:t xml:space="preserve"> </w:t>
            </w:r>
            <w:r w:rsidRPr="00B15E7C">
              <w:rPr>
                <w:i/>
                <w:vertAlign w:val="subscript"/>
              </w:rPr>
              <w:t>q,r,b</w:t>
            </w:r>
            <w:r w:rsidRPr="00AD486D">
              <w:rPr>
                <w:bCs/>
              </w:rPr>
              <w:t>)</w:t>
            </w:r>
          </w:p>
          <w:p w14:paraId="13C87725" w14:textId="6F558A12" w:rsidR="006C5B5E" w:rsidRPr="00812ECB" w:rsidRDefault="006C5B5E" w:rsidP="006C5B5E">
            <w:pPr>
              <w:tabs>
                <w:tab w:val="left" w:pos="2250"/>
                <w:tab w:val="left" w:pos="3150"/>
                <w:tab w:val="left" w:pos="3960"/>
              </w:tabs>
              <w:spacing w:after="240"/>
              <w:ind w:left="3150" w:hanging="2430"/>
              <w:rPr>
                <w:b/>
              </w:rPr>
            </w:pPr>
            <w:r w:rsidRPr="00812ECB">
              <w:t>CLRTOT</w:t>
            </w:r>
            <w:r w:rsidRPr="00812ECB">
              <w:rPr>
                <w:i/>
                <w:vertAlign w:val="subscript"/>
              </w:rPr>
              <w:t xml:space="preserve"> q, p</w:t>
            </w:r>
            <w:r w:rsidRPr="00812ECB">
              <w:rPr>
                <w:i/>
                <w:vertAlign w:val="subscript"/>
              </w:rPr>
              <w:tab/>
            </w:r>
            <w:r w:rsidRPr="00812ECB">
              <w:rPr>
                <w:i/>
                <w:vertAlign w:val="subscript"/>
              </w:rPr>
              <w:tab/>
            </w:r>
            <w:r w:rsidRPr="00812ECB">
              <w:t xml:space="preserve">= </w:t>
            </w:r>
            <w:r w:rsidRPr="00812ECB">
              <w:rPr>
                <w:noProof/>
                <w:position w:val="-18"/>
              </w:rPr>
              <w:drawing>
                <wp:inline distT="0" distB="0" distL="0" distR="0" wp14:anchorId="0C8F7024" wp14:editId="75CDDEEB">
                  <wp:extent cx="198120" cy="293370"/>
                  <wp:effectExtent l="0" t="0" r="0" b="0"/>
                  <wp:docPr id="589911426" name="Picture 5899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8120" cy="293370"/>
                          </a:xfrm>
                          <a:prstGeom prst="rect">
                            <a:avLst/>
                          </a:prstGeom>
                          <a:noFill/>
                          <a:ln>
                            <a:noFill/>
                          </a:ln>
                        </pic:spPr>
                      </pic:pic>
                    </a:graphicData>
                  </a:graphic>
                </wp:inline>
              </w:drawing>
            </w:r>
            <w:r w:rsidRPr="00812ECB">
              <w:rPr>
                <w:rFonts w:ascii="Times New Roman Bold" w:hAnsi="Times New Roman Bold"/>
              </w:rPr>
              <w:t>(</w:t>
            </w:r>
            <w:r w:rsidRPr="00812ECB">
              <w:rPr>
                <w:noProof/>
                <w:position w:val="-20"/>
              </w:rPr>
              <w:drawing>
                <wp:inline distT="0" distB="0" distL="0" distR="0" wp14:anchorId="75EDCAA7" wp14:editId="3E8452D7">
                  <wp:extent cx="224155" cy="293370"/>
                  <wp:effectExtent l="0" t="0" r="0" b="0"/>
                  <wp:docPr id="1782355677" name="Picture 178235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4155" cy="293370"/>
                          </a:xfrm>
                          <a:prstGeom prst="rect">
                            <a:avLst/>
                          </a:prstGeom>
                          <a:noFill/>
                          <a:ln>
                            <a:noFill/>
                          </a:ln>
                        </pic:spPr>
                      </pic:pic>
                    </a:graphicData>
                  </a:graphic>
                </wp:inline>
              </w:drawing>
            </w:r>
            <w:r w:rsidRPr="00812ECB">
              <w:t xml:space="preserve">MEBCL </w:t>
            </w:r>
            <w:r w:rsidRPr="00812ECB">
              <w:rPr>
                <w:i/>
                <w:vertAlign w:val="subscript"/>
              </w:rPr>
              <w:t>q, r, b</w:t>
            </w:r>
            <w:r w:rsidRPr="00812ECB">
              <w:t>)</w:t>
            </w:r>
          </w:p>
          <w:p w14:paraId="693FF307" w14:textId="77777777" w:rsidR="00F713DF" w:rsidRPr="00AD486D" w:rsidRDefault="00F713DF" w:rsidP="00F713DF">
            <w:pPr>
              <w:tabs>
                <w:tab w:val="left" w:pos="2340"/>
                <w:tab w:val="left" w:pos="3420"/>
              </w:tabs>
              <w:spacing w:before="240" w:after="240"/>
              <w:ind w:left="3420" w:hanging="2700"/>
              <w:rPr>
                <w:bCs/>
                <w:i/>
              </w:rPr>
            </w:pPr>
            <w:r w:rsidRPr="00AD486D">
              <w:rPr>
                <w:bCs/>
              </w:rPr>
              <w:t>ESRNWSLTOT</w:t>
            </w:r>
            <w:r w:rsidRPr="00AD486D">
              <w:rPr>
                <w:bCs/>
                <w:i/>
                <w:vertAlign w:val="subscript"/>
              </w:rPr>
              <w:t xml:space="preserve"> q, p</w:t>
            </w:r>
            <w:r w:rsidRPr="00AD486D">
              <w:rPr>
                <w:bCs/>
                <w:i/>
                <w:vertAlign w:val="subscript"/>
              </w:rPr>
              <w:tab/>
            </w:r>
            <w:r w:rsidRPr="00AD486D">
              <w:rPr>
                <w:bCs/>
              </w:rPr>
              <w:t xml:space="preserve">= </w:t>
            </w:r>
            <w:r w:rsidRPr="007E0BFA">
              <w:rPr>
                <w:bCs/>
                <w:position w:val="-18"/>
              </w:rPr>
              <w:object w:dxaOrig="255" w:dyaOrig="495" w14:anchorId="050D83B8">
                <v:shape id="_x0000_i1129" type="#_x0000_t75" style="width:12pt;height:30pt" o:ole="">
                  <v:imagedata r:id="rId122" o:title=""/>
                </v:shape>
                <o:OLEObject Type="Embed" ProgID="Equation.3" ShapeID="_x0000_i1129" DrawAspect="Content" ObjectID="_1804653614" r:id="rId141"/>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7282E51C">
                <v:shape id="_x0000_i1130" type="#_x0000_t75" style="width:12pt;height:30pt" o:ole="">
                  <v:imagedata r:id="rId127" o:title=""/>
                </v:shape>
                <o:OLEObject Type="Embed" ProgID="Equation.3" ShapeID="_x0000_i1130" DrawAspect="Content" ObjectID="_1804653615" r:id="rId142"/>
              </w:object>
            </w:r>
            <w:r w:rsidRPr="00AD486D">
              <w:rPr>
                <w:bCs/>
              </w:rPr>
              <w:t xml:space="preserve"> MEBR </w:t>
            </w:r>
            <w:r w:rsidRPr="00AD486D">
              <w:rPr>
                <w:bCs/>
                <w:i/>
                <w:vertAlign w:val="subscript"/>
              </w:rPr>
              <w:t>q, r, b</w:t>
            </w:r>
            <w:r w:rsidRPr="00AD486D">
              <w:rPr>
                <w:bCs/>
              </w:rPr>
              <w:t>)</w:t>
            </w:r>
          </w:p>
          <w:p w14:paraId="3A49F2D3" w14:textId="05A17022" w:rsidR="00F713DF" w:rsidRPr="00AD486D" w:rsidRDefault="00F713DF" w:rsidP="00F713DF">
            <w:pPr>
              <w:tabs>
                <w:tab w:val="left" w:pos="2250"/>
                <w:tab w:val="left" w:pos="3150"/>
              </w:tabs>
              <w:spacing w:after="240"/>
              <w:ind w:left="3150" w:hanging="2430"/>
              <w:rPr>
                <w:bCs/>
                <w:sz w:val="32"/>
              </w:rPr>
            </w:pPr>
            <w:r w:rsidRPr="00AD486D">
              <w:rPr>
                <w:bCs/>
              </w:rPr>
              <w:lastRenderedPageBreak/>
              <w:t>RNIMBAL</w:t>
            </w:r>
            <w:r w:rsidRPr="00AD486D">
              <w:rPr>
                <w:bCs/>
                <w:i/>
                <w:vertAlign w:val="subscript"/>
              </w:rPr>
              <w:t xml:space="preserve"> q, p</w:t>
            </w:r>
            <w:r w:rsidRPr="00AD486D">
              <w:rPr>
                <w:bCs/>
                <w:i/>
                <w:vertAlign w:val="subscript"/>
              </w:rPr>
              <w:tab/>
            </w:r>
            <w:r w:rsidRPr="00AD486D">
              <w:rPr>
                <w:bCs/>
                <w:i/>
                <w:vertAlign w:val="subscript"/>
              </w:rPr>
              <w:tab/>
            </w:r>
            <w:r w:rsidRPr="00AD486D">
              <w:rPr>
                <w:bCs/>
                <w:i/>
              </w:rPr>
              <w:t xml:space="preserve">= </w:t>
            </w:r>
            <w:r w:rsidRPr="007E0BFA">
              <w:rPr>
                <w:bCs/>
                <w:position w:val="-22"/>
              </w:rPr>
              <w:object w:dxaOrig="255" w:dyaOrig="495" w14:anchorId="229C5703">
                <v:shape id="_x0000_i1131" type="#_x0000_t75" style="width:12pt;height:30pt" o:ole="">
                  <v:imagedata r:id="rId120" o:title=""/>
                </v:shape>
                <o:OLEObject Type="Embed" ProgID="Equation.3" ShapeID="_x0000_i1131" DrawAspect="Content" ObjectID="_1804653616" r:id="rId143"/>
              </w:object>
            </w:r>
            <w:r w:rsidRPr="00AD486D">
              <w:rPr>
                <w:rFonts w:ascii="Times New Roman Bold" w:hAnsi="Times New Roman Bold"/>
                <w:bCs/>
              </w:rPr>
              <w:t>(</w:t>
            </w:r>
            <w:r w:rsidRPr="007E0BFA">
              <w:rPr>
                <w:bCs/>
                <w:position w:val="-18"/>
              </w:rPr>
              <w:object w:dxaOrig="255" w:dyaOrig="495" w14:anchorId="62C2E109">
                <v:shape id="_x0000_i1132" type="#_x0000_t75" style="width:12pt;height:30pt" o:ole="">
                  <v:imagedata r:id="rId122" o:title=""/>
                </v:shape>
                <o:OLEObject Type="Embed" ProgID="Equation.3" ShapeID="_x0000_i1132" DrawAspect="Content" ObjectID="_1804653617" r:id="rId144"/>
              </w:object>
            </w:r>
            <w:r w:rsidRPr="00AD486D">
              <w:rPr>
                <w:bCs/>
              </w:rPr>
              <w:t>RESMEB</w:t>
            </w:r>
            <w:r w:rsidRPr="00AD486D">
              <w:rPr>
                <w:bCs/>
                <w:i/>
                <w:vertAlign w:val="subscript"/>
              </w:rPr>
              <w:t xml:space="preserve"> q, r, gsc, p</w:t>
            </w:r>
            <w:r w:rsidRPr="00AD486D">
              <w:rPr>
                <w:bCs/>
              </w:rPr>
              <w:t>) + WSLTOT</w:t>
            </w:r>
            <w:r w:rsidRPr="00AD486D">
              <w:rPr>
                <w:bCs/>
                <w:i/>
                <w:vertAlign w:val="subscript"/>
              </w:rPr>
              <w:t xml:space="preserve"> q, p</w:t>
            </w:r>
            <w:r w:rsidRPr="00AD486D">
              <w:rPr>
                <w:bCs/>
              </w:rPr>
              <w:t xml:space="preserve"> </w:t>
            </w:r>
            <w:r w:rsidR="006C5B5E" w:rsidRPr="00812ECB">
              <w:rPr>
                <w:bCs/>
              </w:rPr>
              <w:t>+ CLRTOT</w:t>
            </w:r>
            <w:r w:rsidR="006C5B5E" w:rsidRPr="00812ECB">
              <w:rPr>
                <w:bCs/>
                <w:i/>
                <w:vertAlign w:val="subscript"/>
              </w:rPr>
              <w:t xml:space="preserve"> q, p</w:t>
            </w:r>
            <w:r w:rsidR="006C5B5E" w:rsidRPr="00812ECB">
              <w:rPr>
                <w:bCs/>
              </w:rPr>
              <w:t xml:space="preserve"> </w:t>
            </w:r>
            <w:r w:rsidRPr="00AD486D">
              <w:rPr>
                <w:bCs/>
              </w:rPr>
              <w:t>+ ESRNWSLTOT</w:t>
            </w:r>
            <w:r w:rsidRPr="00AD486D">
              <w:rPr>
                <w:bCs/>
                <w:i/>
                <w:vertAlign w:val="subscript"/>
              </w:rPr>
              <w:t xml:space="preserve"> q, p</w:t>
            </w:r>
            <w:r w:rsidRPr="00AD486D">
              <w:rPr>
                <w:bCs/>
              </w:rPr>
              <w:t xml:space="preserve"> + (SSSK </w:t>
            </w:r>
            <w:r w:rsidRPr="00AD486D">
              <w:rPr>
                <w:bCs/>
                <w:i/>
                <w:vertAlign w:val="subscript"/>
              </w:rPr>
              <w:t>q, p</w:t>
            </w:r>
            <w:r w:rsidRPr="00AD486D">
              <w:rPr>
                <w:bCs/>
              </w:rPr>
              <w:t xml:space="preserve"> * ¼) + (DAEP </w:t>
            </w:r>
            <w:r w:rsidRPr="00AD486D">
              <w:rPr>
                <w:bCs/>
                <w:i/>
                <w:vertAlign w:val="subscript"/>
              </w:rPr>
              <w:t>q, p</w:t>
            </w:r>
            <w:r w:rsidRPr="00AD486D">
              <w:rPr>
                <w:bCs/>
              </w:rPr>
              <w:t xml:space="preserve"> * ¼) + (RTQQEP </w:t>
            </w:r>
            <w:r w:rsidRPr="00AD486D">
              <w:rPr>
                <w:bCs/>
                <w:i/>
                <w:vertAlign w:val="subscript"/>
              </w:rPr>
              <w:t>q, p</w:t>
            </w:r>
            <w:r w:rsidRPr="00AD486D">
              <w:rPr>
                <w:bCs/>
              </w:rPr>
              <w:t xml:space="preserve"> * ¼) – (SSSR </w:t>
            </w:r>
            <w:r w:rsidRPr="00AD486D">
              <w:rPr>
                <w:bCs/>
                <w:i/>
                <w:vertAlign w:val="subscript"/>
              </w:rPr>
              <w:t>q, p</w:t>
            </w:r>
            <w:r w:rsidRPr="00AD486D">
              <w:rPr>
                <w:bCs/>
              </w:rPr>
              <w:t xml:space="preserve"> * ¼) – (DAES </w:t>
            </w:r>
            <w:r w:rsidRPr="00AD486D">
              <w:rPr>
                <w:bCs/>
                <w:i/>
                <w:vertAlign w:val="subscript"/>
              </w:rPr>
              <w:t>q, p</w:t>
            </w:r>
            <w:r w:rsidRPr="00AD486D">
              <w:rPr>
                <w:bCs/>
              </w:rPr>
              <w:t xml:space="preserve"> * ¼) – (RTQQES </w:t>
            </w:r>
            <w:r w:rsidRPr="00AD486D">
              <w:rPr>
                <w:bCs/>
                <w:i/>
                <w:vertAlign w:val="subscript"/>
              </w:rPr>
              <w:t>q, p</w:t>
            </w:r>
            <w:r w:rsidRPr="00AD486D">
              <w:rPr>
                <w:bCs/>
              </w:rPr>
              <w:t xml:space="preserve"> * ¼)</w:t>
            </w:r>
          </w:p>
          <w:p w14:paraId="1A92977B" w14:textId="77777777" w:rsidR="00F713DF" w:rsidRPr="00A552C3" w:rsidRDefault="00F713DF" w:rsidP="00F713DF">
            <w:pPr>
              <w:spacing w:before="240"/>
            </w:pPr>
            <w:r w:rsidRPr="00A552C3">
              <w:t>The above variables are defined as follows:</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97"/>
              <w:gridCol w:w="853"/>
              <w:gridCol w:w="6355"/>
            </w:tblGrid>
            <w:tr w:rsidR="00F713DF" w:rsidRPr="00A552C3" w14:paraId="2E20323B" w14:textId="77777777" w:rsidTr="00F713DF">
              <w:trPr>
                <w:cantSplit/>
                <w:tblHeader/>
              </w:trPr>
              <w:tc>
                <w:tcPr>
                  <w:tcW w:w="1997" w:type="dxa"/>
                  <w:tcBorders>
                    <w:top w:val="single" w:sz="4" w:space="0" w:color="auto"/>
                    <w:left w:val="single" w:sz="4" w:space="0" w:color="auto"/>
                    <w:bottom w:val="single" w:sz="4" w:space="0" w:color="auto"/>
                    <w:right w:val="single" w:sz="4" w:space="0" w:color="auto"/>
                  </w:tcBorders>
                  <w:hideMark/>
                </w:tcPr>
                <w:p w14:paraId="04CA13A4" w14:textId="77777777" w:rsidR="00F713DF" w:rsidRPr="00A552C3" w:rsidRDefault="00F713DF" w:rsidP="00F713DF">
                  <w:pPr>
                    <w:spacing w:after="120"/>
                    <w:rPr>
                      <w:b/>
                      <w:iCs/>
                      <w:sz w:val="20"/>
                    </w:rPr>
                  </w:pPr>
                  <w:r w:rsidRPr="00A552C3">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576038C4" w14:textId="77777777" w:rsidR="00F713DF" w:rsidRPr="00A552C3" w:rsidRDefault="00F713DF" w:rsidP="00F713DF">
                  <w:pPr>
                    <w:spacing w:after="120"/>
                    <w:rPr>
                      <w:b/>
                      <w:iCs/>
                      <w:sz w:val="20"/>
                    </w:rPr>
                  </w:pPr>
                  <w:r w:rsidRPr="00A552C3">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216EAE44" w14:textId="77777777" w:rsidR="00F713DF" w:rsidRPr="00A552C3" w:rsidRDefault="00F713DF" w:rsidP="00F713DF">
                  <w:pPr>
                    <w:spacing w:after="120"/>
                    <w:rPr>
                      <w:b/>
                      <w:iCs/>
                      <w:sz w:val="20"/>
                    </w:rPr>
                  </w:pPr>
                  <w:r w:rsidRPr="00A552C3">
                    <w:rPr>
                      <w:b/>
                      <w:iCs/>
                      <w:sz w:val="20"/>
                    </w:rPr>
                    <w:t>Description</w:t>
                  </w:r>
                </w:p>
              </w:tc>
            </w:tr>
            <w:tr w:rsidR="00F713DF" w:rsidRPr="00A552C3" w14:paraId="2F803DC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433DEDF" w14:textId="77777777" w:rsidR="00F713DF" w:rsidRPr="00A552C3" w:rsidRDefault="00F713DF" w:rsidP="00F713DF">
                  <w:pPr>
                    <w:spacing w:after="60"/>
                    <w:rPr>
                      <w:iCs/>
                      <w:sz w:val="20"/>
                    </w:rPr>
                  </w:pPr>
                  <w:r w:rsidRPr="00A552C3">
                    <w:rPr>
                      <w:iCs/>
                      <w:sz w:val="20"/>
                    </w:rPr>
                    <w:t xml:space="preserve">RTEIAMT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4F9D7E4"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2FDC3F97" w14:textId="77777777" w:rsidR="00F713DF" w:rsidRPr="00A552C3" w:rsidRDefault="00F713DF" w:rsidP="00F713DF">
                  <w:pPr>
                    <w:spacing w:after="60"/>
                    <w:rPr>
                      <w:iCs/>
                      <w:sz w:val="20"/>
                    </w:rPr>
                  </w:pPr>
                  <w:r w:rsidRPr="00A552C3">
                    <w:rPr>
                      <w:i/>
                      <w:iCs/>
                      <w:sz w:val="20"/>
                    </w:rPr>
                    <w:t>Real-Time Energy Imbalance Amount per QSE per Settlement Point</w:t>
                  </w:r>
                  <w:r w:rsidRPr="00A552C3">
                    <w:rPr>
                      <w:iCs/>
                      <w:sz w:val="20"/>
                    </w:rPr>
                    <w:t xml:space="preserve">—The payment or charge to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456D07D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CEBE6D" w14:textId="77777777" w:rsidR="00F713DF" w:rsidRPr="00A552C3" w:rsidRDefault="00F713DF" w:rsidP="00F713DF">
                  <w:pPr>
                    <w:spacing w:after="60"/>
                    <w:rPr>
                      <w:iCs/>
                      <w:sz w:val="20"/>
                    </w:rPr>
                  </w:pPr>
                  <w:r w:rsidRPr="00A552C3">
                    <w:rPr>
                      <w:iCs/>
                      <w:sz w:val="20"/>
                    </w:rPr>
                    <w:t>RNIMBAL</w:t>
                  </w:r>
                  <w:r w:rsidRPr="00A552C3">
                    <w:rPr>
                      <w:i/>
                      <w:iCs/>
                      <w:sz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476C5236"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219AA9B3" w14:textId="77777777" w:rsidR="00F713DF" w:rsidRPr="00A552C3" w:rsidRDefault="00F713DF" w:rsidP="00F713DF">
                  <w:pPr>
                    <w:spacing w:after="60"/>
                    <w:rPr>
                      <w:i/>
                      <w:iCs/>
                      <w:sz w:val="20"/>
                    </w:rPr>
                  </w:pPr>
                  <w:r w:rsidRPr="00A552C3">
                    <w:rPr>
                      <w:i/>
                      <w:iCs/>
                      <w:sz w:val="20"/>
                    </w:rPr>
                    <w:t>Resource Node Energy Imbalance per QSE per Settlement Point</w:t>
                  </w:r>
                  <w:r w:rsidRPr="00A552C3">
                    <w:rPr>
                      <w:iCs/>
                      <w:sz w:val="20"/>
                    </w:rPr>
                    <w:t xml:space="preserve">—The Resource Node volumetric imbalance for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331F928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2D214A7" w14:textId="77777777" w:rsidR="00F713DF" w:rsidRPr="00A552C3" w:rsidRDefault="00F713DF" w:rsidP="00F713DF">
                  <w:pPr>
                    <w:spacing w:after="60"/>
                    <w:rPr>
                      <w:iCs/>
                      <w:sz w:val="20"/>
                    </w:rPr>
                  </w:pPr>
                  <w:r w:rsidRPr="00A552C3">
                    <w:rPr>
                      <w:iCs/>
                      <w:sz w:val="20"/>
                    </w:rPr>
                    <w:t xml:space="preserve">RTSPP </w:t>
                  </w:r>
                  <w:r w:rsidRPr="00A552C3">
                    <w:rPr>
                      <w:i/>
                      <w:iCs/>
                      <w:sz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06F0CD4"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F4C09C4" w14:textId="77777777" w:rsidR="00F713DF" w:rsidRPr="00A552C3" w:rsidRDefault="00F713DF" w:rsidP="00F713DF">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F713DF" w:rsidRPr="00A552C3" w14:paraId="69264E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D43FA5C" w14:textId="77777777" w:rsidR="00F713DF" w:rsidRPr="00A552C3" w:rsidRDefault="00F713DF" w:rsidP="00F713DF">
                  <w:pPr>
                    <w:spacing w:after="60"/>
                    <w:rPr>
                      <w:iCs/>
                      <w:sz w:val="20"/>
                    </w:rPr>
                  </w:pPr>
                  <w:r w:rsidRPr="00A552C3">
                    <w:rPr>
                      <w:iCs/>
                      <w:sz w:val="20"/>
                    </w:rPr>
                    <w:t xml:space="preserve">SSSK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E88EAA"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BB5D12B" w14:textId="77777777" w:rsidR="00F713DF" w:rsidRPr="00A552C3" w:rsidRDefault="00F713DF" w:rsidP="00F713DF">
                  <w:pPr>
                    <w:spacing w:after="60"/>
                    <w:rPr>
                      <w:i/>
                      <w:iCs/>
                      <w:sz w:val="20"/>
                    </w:rPr>
                  </w:pPr>
                  <w:r w:rsidRPr="00A552C3">
                    <w:rPr>
                      <w:i/>
                      <w:iCs/>
                      <w:sz w:val="20"/>
                    </w:rPr>
                    <w:t>Self-Schedule with Sink at Settlement Point per QSE per Settlement Point</w:t>
                  </w:r>
                  <w:r w:rsidRPr="00A552C3">
                    <w:rPr>
                      <w:iCs/>
                      <w:sz w:val="20"/>
                    </w:rPr>
                    <w:t xml:space="preserve">—The QSE </w:t>
                  </w:r>
                  <w:r w:rsidRPr="00A552C3">
                    <w:rPr>
                      <w:i/>
                      <w:iCs/>
                      <w:sz w:val="20"/>
                    </w:rPr>
                    <w:t>q</w:t>
                  </w:r>
                  <w:r w:rsidRPr="00A552C3">
                    <w:rPr>
                      <w:iCs/>
                      <w:sz w:val="20"/>
                    </w:rPr>
                    <w:t xml:space="preserve">’s Self-Schedule with sink at Settlement Point </w:t>
                  </w:r>
                  <w:r w:rsidRPr="00A552C3">
                    <w:rPr>
                      <w:i/>
                      <w:iCs/>
                      <w:sz w:val="20"/>
                    </w:rPr>
                    <w:t>p</w:t>
                  </w:r>
                  <w:r w:rsidRPr="00A552C3">
                    <w:rPr>
                      <w:iCs/>
                      <w:sz w:val="20"/>
                    </w:rPr>
                    <w:t>, for the 15-minute Settlement Interval.</w:t>
                  </w:r>
                </w:p>
              </w:tc>
            </w:tr>
            <w:tr w:rsidR="00F713DF" w:rsidRPr="00A552C3" w14:paraId="491C1F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D9B12A5" w14:textId="77777777" w:rsidR="00F713DF" w:rsidRPr="00A552C3" w:rsidRDefault="00F713DF" w:rsidP="00F713DF">
                  <w:pPr>
                    <w:spacing w:after="60"/>
                    <w:rPr>
                      <w:iCs/>
                      <w:sz w:val="20"/>
                    </w:rPr>
                  </w:pPr>
                  <w:r w:rsidRPr="00A552C3">
                    <w:rPr>
                      <w:iCs/>
                      <w:sz w:val="20"/>
                    </w:rPr>
                    <w:t xml:space="preserve">DAEP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127317D"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7A25178" w14:textId="2180CCE0" w:rsidR="00F713DF" w:rsidRPr="00A552C3" w:rsidRDefault="00F713DF" w:rsidP="00F713DF">
                  <w:pPr>
                    <w:spacing w:after="60"/>
                    <w:rPr>
                      <w:iCs/>
                      <w:sz w:val="20"/>
                    </w:rPr>
                  </w:pPr>
                  <w:r w:rsidRPr="00A552C3">
                    <w:rPr>
                      <w:i/>
                      <w:iCs/>
                      <w:sz w:val="20"/>
                    </w:rPr>
                    <w:t>Day-Ahead Energy Purchase per QSE per Settlement Point</w:t>
                  </w:r>
                  <w:r w:rsidRPr="00A552C3">
                    <w:rPr>
                      <w:iCs/>
                      <w:sz w:val="20"/>
                    </w:rPr>
                    <w:t xml:space="preserve">—The QSE </w:t>
                  </w:r>
                  <w:r w:rsidRPr="00A552C3">
                    <w:rPr>
                      <w:i/>
                      <w:iCs/>
                      <w:sz w:val="20"/>
                    </w:rPr>
                    <w:t>q</w:t>
                  </w:r>
                  <w:r w:rsidRPr="00A552C3">
                    <w:rPr>
                      <w:iCs/>
                      <w:sz w:val="20"/>
                    </w:rPr>
                    <w:t>’s DAM Energy Bids</w:t>
                  </w:r>
                  <w:r w:rsidR="006C5B5E" w:rsidRPr="00812ECB">
                    <w:rPr>
                      <w:iCs/>
                      <w:sz w:val="20"/>
                    </w:rPr>
                    <w:t>, Energy Bid Curves, and bid portion of Energy Bid/Offer Curves</w:t>
                  </w:r>
                  <w:r w:rsidRPr="00A552C3">
                    <w:rPr>
                      <w:iCs/>
                      <w:sz w:val="20"/>
                    </w:rPr>
                    <w:t xml:space="preserve"> at Settlement Point </w:t>
                  </w:r>
                  <w:r w:rsidRPr="00A552C3">
                    <w:rPr>
                      <w:i/>
                      <w:iCs/>
                      <w:sz w:val="20"/>
                    </w:rPr>
                    <w:t>p</w:t>
                  </w:r>
                  <w:r w:rsidR="006C5B5E" w:rsidRPr="00A552C3">
                    <w:rPr>
                      <w:iCs/>
                      <w:sz w:val="20"/>
                    </w:rPr>
                    <w:t>,</w:t>
                  </w:r>
                  <w:r w:rsidRPr="00A552C3">
                    <w:rPr>
                      <w:iCs/>
                      <w:sz w:val="20"/>
                    </w:rPr>
                    <w:t xml:space="preserve"> cleared in the DAM, for the hour that includes the 15-minute Settlement Interval.</w:t>
                  </w:r>
                </w:p>
              </w:tc>
            </w:tr>
            <w:tr w:rsidR="00F713DF" w:rsidRPr="00A552C3" w14:paraId="2CDD5F3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700499D" w14:textId="77777777" w:rsidR="00F713DF" w:rsidRPr="00A552C3" w:rsidRDefault="00F713DF" w:rsidP="00F713DF">
                  <w:pPr>
                    <w:spacing w:after="60"/>
                    <w:rPr>
                      <w:iCs/>
                      <w:sz w:val="20"/>
                    </w:rPr>
                  </w:pPr>
                  <w:r w:rsidRPr="00A552C3">
                    <w:rPr>
                      <w:iCs/>
                      <w:sz w:val="20"/>
                    </w:rPr>
                    <w:t xml:space="preserve">RTQQEP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114F96E"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CB1D24B" w14:textId="77777777" w:rsidR="00F713DF" w:rsidRPr="00A552C3" w:rsidRDefault="00F713DF" w:rsidP="00F713DF">
                  <w:pPr>
                    <w:spacing w:after="60"/>
                    <w:rPr>
                      <w:iCs/>
                      <w:sz w:val="20"/>
                    </w:rPr>
                  </w:pPr>
                  <w:r w:rsidRPr="00A552C3">
                    <w:rPr>
                      <w:i/>
                      <w:iCs/>
                      <w:sz w:val="20"/>
                    </w:rPr>
                    <w:t>Real-Time QSE-to-QSE Energy Purchase per QSE per Settlement Point</w:t>
                  </w:r>
                  <w:r w:rsidRPr="00A552C3">
                    <w:rPr>
                      <w:iCs/>
                      <w:sz w:val="20"/>
                    </w:rPr>
                    <w:sym w:font="Symbol" w:char="F0BE"/>
                  </w:r>
                  <w:r w:rsidRPr="00A552C3">
                    <w:rPr>
                      <w:iCs/>
                      <w:sz w:val="20"/>
                    </w:rPr>
                    <w:t xml:space="preserve">The amount of MW bought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B2B636E"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39A7DE6" w14:textId="77777777" w:rsidR="00F713DF" w:rsidRPr="00A552C3" w:rsidRDefault="00F713DF" w:rsidP="00F713DF">
                  <w:pPr>
                    <w:spacing w:after="60"/>
                    <w:rPr>
                      <w:iCs/>
                      <w:sz w:val="20"/>
                    </w:rPr>
                  </w:pPr>
                  <w:r w:rsidRPr="00A552C3">
                    <w:rPr>
                      <w:iCs/>
                      <w:sz w:val="20"/>
                    </w:rPr>
                    <w:t xml:space="preserve">SSSR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8DCADE2"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65077BF5" w14:textId="77777777" w:rsidR="00F713DF" w:rsidRPr="00A552C3" w:rsidRDefault="00F713DF" w:rsidP="00F713DF">
                  <w:pPr>
                    <w:spacing w:after="60"/>
                    <w:rPr>
                      <w:iCs/>
                      <w:sz w:val="20"/>
                    </w:rPr>
                  </w:pPr>
                  <w:r w:rsidRPr="00A552C3">
                    <w:rPr>
                      <w:i/>
                      <w:iCs/>
                      <w:sz w:val="20"/>
                    </w:rPr>
                    <w:t>Self-Schedule with Source at Settlement Point per QSE per Settlement Point</w:t>
                  </w:r>
                  <w:r w:rsidRPr="00A552C3">
                    <w:rPr>
                      <w:iCs/>
                      <w:sz w:val="20"/>
                    </w:rPr>
                    <w:t xml:space="preserve">—The QSE </w:t>
                  </w:r>
                  <w:r w:rsidRPr="00A552C3">
                    <w:rPr>
                      <w:i/>
                      <w:iCs/>
                      <w:sz w:val="20"/>
                    </w:rPr>
                    <w:t>q</w:t>
                  </w:r>
                  <w:r w:rsidRPr="00A552C3">
                    <w:rPr>
                      <w:iCs/>
                      <w:sz w:val="20"/>
                    </w:rPr>
                    <w:t xml:space="preserve">’s Self-Schedule with source at Settlement Point </w:t>
                  </w:r>
                  <w:r w:rsidRPr="00A552C3">
                    <w:rPr>
                      <w:i/>
                      <w:iCs/>
                      <w:sz w:val="20"/>
                    </w:rPr>
                    <w:t>p</w:t>
                  </w:r>
                  <w:r w:rsidRPr="00A552C3">
                    <w:rPr>
                      <w:iCs/>
                      <w:sz w:val="20"/>
                    </w:rPr>
                    <w:t>, for the 15-minute Settlement Interval.</w:t>
                  </w:r>
                </w:p>
              </w:tc>
            </w:tr>
            <w:tr w:rsidR="00F713DF" w:rsidRPr="00A552C3" w14:paraId="670C3C1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A9275B5" w14:textId="77777777" w:rsidR="00F713DF" w:rsidRPr="00A552C3" w:rsidRDefault="00F713DF" w:rsidP="00F713DF">
                  <w:pPr>
                    <w:spacing w:after="60"/>
                    <w:rPr>
                      <w:iCs/>
                      <w:sz w:val="20"/>
                    </w:rPr>
                  </w:pPr>
                  <w:r w:rsidRPr="00A552C3">
                    <w:rPr>
                      <w:iCs/>
                      <w:sz w:val="20"/>
                    </w:rPr>
                    <w:t xml:space="preserve">DAES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FBA9F9B"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589EB15" w14:textId="77777777" w:rsidR="00F713DF" w:rsidRPr="00A552C3" w:rsidRDefault="00F713DF" w:rsidP="00F713DF">
                  <w:pPr>
                    <w:spacing w:after="60"/>
                    <w:rPr>
                      <w:iCs/>
                      <w:sz w:val="20"/>
                    </w:rPr>
                  </w:pPr>
                  <w:r w:rsidRPr="00A552C3">
                    <w:rPr>
                      <w:i/>
                      <w:iCs/>
                      <w:sz w:val="20"/>
                    </w:rPr>
                    <w:t>Day-Ahead Energy Sale per QSE per Settlement Point</w:t>
                  </w:r>
                  <w:r w:rsidRPr="00A552C3">
                    <w:rPr>
                      <w:iCs/>
                      <w:sz w:val="20"/>
                    </w:rPr>
                    <w:t xml:space="preserve">—The QSE </w:t>
                  </w:r>
                  <w:r w:rsidRPr="00A552C3">
                    <w:rPr>
                      <w:i/>
                      <w:iCs/>
                      <w:sz w:val="20"/>
                    </w:rPr>
                    <w:t>q</w:t>
                  </w:r>
                  <w:r w:rsidRPr="00A552C3">
                    <w:rPr>
                      <w:iCs/>
                      <w:sz w:val="20"/>
                    </w:rPr>
                    <w:t xml:space="preserve">’s energy offers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40D906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B698EA0" w14:textId="77777777" w:rsidR="00F713DF" w:rsidRPr="00A552C3" w:rsidRDefault="00F713DF" w:rsidP="00F713DF">
                  <w:pPr>
                    <w:spacing w:after="60"/>
                    <w:rPr>
                      <w:iCs/>
                      <w:sz w:val="20"/>
                    </w:rPr>
                  </w:pPr>
                  <w:r w:rsidRPr="00A552C3">
                    <w:rPr>
                      <w:iCs/>
                      <w:sz w:val="20"/>
                    </w:rPr>
                    <w:t xml:space="preserve">RTQQES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917546"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64D06E1" w14:textId="77777777" w:rsidR="00F713DF" w:rsidRPr="00A552C3" w:rsidRDefault="00F713DF" w:rsidP="00F713DF">
                  <w:pPr>
                    <w:spacing w:after="60"/>
                    <w:rPr>
                      <w:iCs/>
                      <w:sz w:val="20"/>
                    </w:rPr>
                  </w:pPr>
                  <w:r w:rsidRPr="00A552C3">
                    <w:rPr>
                      <w:i/>
                      <w:iCs/>
                      <w:sz w:val="20"/>
                    </w:rPr>
                    <w:t>Real-Time QSE-to-QSE Energy Sale per QSE per Settlement Point</w:t>
                  </w:r>
                  <w:r w:rsidRPr="00A552C3">
                    <w:rPr>
                      <w:iCs/>
                      <w:sz w:val="20"/>
                    </w:rPr>
                    <w:sym w:font="Symbol" w:char="F0BE"/>
                  </w:r>
                  <w:r w:rsidRPr="00A552C3">
                    <w:rPr>
                      <w:iCs/>
                      <w:sz w:val="20"/>
                    </w:rPr>
                    <w:t xml:space="preserve">The amount of MW sold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450400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376873EA" w14:textId="77777777" w:rsidR="00F713DF" w:rsidRPr="00A552C3" w:rsidRDefault="00F713DF" w:rsidP="00F713DF">
                  <w:pPr>
                    <w:spacing w:after="60"/>
                    <w:rPr>
                      <w:iCs/>
                      <w:sz w:val="20"/>
                    </w:rPr>
                  </w:pPr>
                  <w:r w:rsidRPr="00A552C3">
                    <w:rPr>
                      <w:iCs/>
                      <w:sz w:val="20"/>
                    </w:rPr>
                    <w:t xml:space="preserve">RESREV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3D33A4F6"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014C39C1" w14:textId="77777777" w:rsidR="00F713DF" w:rsidRPr="00A552C3" w:rsidRDefault="00F713DF" w:rsidP="00F713DF">
                  <w:pPr>
                    <w:spacing w:after="60"/>
                    <w:rPr>
                      <w:i/>
                      <w:iCs/>
                      <w:sz w:val="20"/>
                    </w:rPr>
                  </w:pPr>
                  <w:r w:rsidRPr="00A552C3">
                    <w:rPr>
                      <w:i/>
                      <w:iCs/>
                      <w:sz w:val="20"/>
                    </w:rPr>
                    <w:t>Resource Share Revenue Settlement Payment</w:t>
                  </w:r>
                  <w:r w:rsidRPr="00A552C3">
                    <w:rPr>
                      <w:iCs/>
                      <w:sz w:val="20"/>
                    </w:rPr>
                    <w:t xml:space="preserve">—The Resource share of the total payment to the entire Facility with a net metering arrangement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w:t>
                  </w:r>
                </w:p>
              </w:tc>
            </w:tr>
            <w:tr w:rsidR="00F713DF" w:rsidRPr="00A552C3" w14:paraId="2E40E53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5B659F6" w14:textId="77777777" w:rsidR="00F713DF" w:rsidRPr="00A552C3" w:rsidRDefault="00F713DF" w:rsidP="00F713DF">
                  <w:pPr>
                    <w:spacing w:after="60"/>
                    <w:rPr>
                      <w:iCs/>
                      <w:sz w:val="20"/>
                    </w:rPr>
                  </w:pPr>
                  <w:r w:rsidRPr="00A552C3">
                    <w:rPr>
                      <w:iCs/>
                      <w:sz w:val="20"/>
                    </w:rPr>
                    <w:t xml:space="preserve">RESMEB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6FA627DA"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5453CF34" w14:textId="77777777" w:rsidR="00F713DF" w:rsidRPr="00A552C3" w:rsidRDefault="00F713DF" w:rsidP="00F713DF">
                  <w:pPr>
                    <w:spacing w:after="60"/>
                    <w:rPr>
                      <w:i/>
                      <w:iCs/>
                      <w:sz w:val="20"/>
                    </w:rPr>
                  </w:pPr>
                  <w:r w:rsidRPr="00A552C3">
                    <w:rPr>
                      <w:i/>
                      <w:iCs/>
                      <w:sz w:val="20"/>
                    </w:rPr>
                    <w:t>Resource Share Net Meter Real-Time Energy Total</w:t>
                  </w:r>
                  <w:r w:rsidRPr="00A552C3">
                    <w:rPr>
                      <w:iCs/>
                      <w:sz w:val="20"/>
                    </w:rPr>
                    <w:t xml:space="preserve">—The Resource share of the net sum for all Settlement Meters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000819C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AA65B55" w14:textId="77777777" w:rsidR="00F713DF" w:rsidRPr="00A552C3" w:rsidRDefault="00F713DF" w:rsidP="00F713DF">
                  <w:pPr>
                    <w:spacing w:after="60"/>
                    <w:rPr>
                      <w:iCs/>
                      <w:sz w:val="20"/>
                    </w:rPr>
                  </w:pPr>
                  <w:r w:rsidRPr="00A552C3">
                    <w:rPr>
                      <w:iCs/>
                      <w:sz w:val="20"/>
                    </w:rPr>
                    <w:t xml:space="preserve">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2B0A7205"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C4EEC0" w14:textId="77777777" w:rsidR="00F713DF" w:rsidRPr="00A552C3" w:rsidRDefault="00F713DF" w:rsidP="00F713DF">
                  <w:pPr>
                    <w:spacing w:after="60"/>
                    <w:rPr>
                      <w:i/>
                      <w:iCs/>
                      <w:sz w:val="20"/>
                    </w:rPr>
                  </w:pPr>
                  <w:r w:rsidRPr="00A552C3">
                    <w:rPr>
                      <w:i/>
                      <w:iCs/>
                      <w:sz w:val="20"/>
                    </w:rPr>
                    <w:t>WSL Total</w:t>
                  </w:r>
                  <w:r w:rsidRPr="00A552C3">
                    <w:rPr>
                      <w:iCs/>
                      <w:sz w:val="20"/>
                    </w:rPr>
                    <w:t xml:space="preserve">—The total WSL energy metered by the Settlement Meters which measure WSL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46C820DB"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54D33C96" w14:textId="77777777" w:rsidR="00F713DF" w:rsidRPr="00A552C3" w:rsidRDefault="00F713DF" w:rsidP="00F713DF">
                  <w:pPr>
                    <w:spacing w:after="60"/>
                    <w:rPr>
                      <w:i/>
                      <w:iCs/>
                      <w:sz w:val="20"/>
                    </w:rPr>
                  </w:pPr>
                </w:p>
              </w:tc>
            </w:tr>
            <w:tr w:rsidR="006C5B5E" w:rsidRPr="00A552C3" w14:paraId="3F735A9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390295AC" w14:textId="5952FE07" w:rsidR="006C5B5E" w:rsidRPr="00A552C3" w:rsidRDefault="006C5B5E" w:rsidP="006C5B5E">
                  <w:pPr>
                    <w:spacing w:after="60"/>
                    <w:rPr>
                      <w:iCs/>
                      <w:sz w:val="20"/>
                    </w:rPr>
                  </w:pPr>
                  <w:r w:rsidRPr="00812ECB">
                    <w:rPr>
                      <w:sz w:val="20"/>
                    </w:rPr>
                    <w:t xml:space="preserve">CLRTOT </w:t>
                  </w:r>
                  <w:r w:rsidRPr="00812ECB">
                    <w:rPr>
                      <w:i/>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3334BB7B" w14:textId="5FE8470E" w:rsidR="006C5B5E" w:rsidRPr="00A552C3" w:rsidRDefault="006C5B5E" w:rsidP="006C5B5E">
                  <w:pPr>
                    <w:spacing w:after="60"/>
                    <w:rPr>
                      <w:iCs/>
                      <w:sz w:val="20"/>
                    </w:rPr>
                  </w:pPr>
                  <w:r w:rsidRPr="00812ECB">
                    <w:rPr>
                      <w:sz w:val="20"/>
                    </w:rPr>
                    <w:t>MWh</w:t>
                  </w:r>
                </w:p>
              </w:tc>
              <w:tc>
                <w:tcPr>
                  <w:tcW w:w="0" w:type="auto"/>
                  <w:tcBorders>
                    <w:top w:val="single" w:sz="4" w:space="0" w:color="auto"/>
                    <w:left w:val="single" w:sz="4" w:space="0" w:color="auto"/>
                    <w:bottom w:val="single" w:sz="4" w:space="0" w:color="auto"/>
                    <w:right w:val="single" w:sz="4" w:space="0" w:color="auto"/>
                  </w:tcBorders>
                </w:tcPr>
                <w:p w14:paraId="090928EA" w14:textId="6CFACF3B" w:rsidR="006C5B5E" w:rsidRPr="00EC50FF" w:rsidRDefault="006C5B5E" w:rsidP="006C5B5E">
                  <w:pPr>
                    <w:spacing w:after="60"/>
                    <w:rPr>
                      <w:i/>
                      <w:sz w:val="20"/>
                    </w:rPr>
                  </w:pPr>
                  <w:r w:rsidRPr="00812ECB">
                    <w:rPr>
                      <w:i/>
                      <w:sz w:val="20"/>
                    </w:rPr>
                    <w:t>CLR Load Total</w:t>
                  </w:r>
                  <w:r w:rsidRPr="00812ECB">
                    <w:rPr>
                      <w:sz w:val="20"/>
                    </w:rPr>
                    <w:t xml:space="preserve">—The total energy metered by the Settlement Meters which measures CLR Load for the QSE </w:t>
                  </w:r>
                  <w:r w:rsidRPr="00812ECB">
                    <w:rPr>
                      <w:i/>
                      <w:sz w:val="20"/>
                    </w:rPr>
                    <w:t>q</w:t>
                  </w:r>
                  <w:r w:rsidRPr="00812ECB">
                    <w:rPr>
                      <w:sz w:val="20"/>
                    </w:rPr>
                    <w:t xml:space="preserve"> at Settlement Point </w:t>
                  </w:r>
                  <w:r w:rsidRPr="00812ECB">
                    <w:rPr>
                      <w:i/>
                      <w:sz w:val="20"/>
                    </w:rPr>
                    <w:t>p.</w:t>
                  </w:r>
                  <w:r w:rsidRPr="00812ECB">
                    <w:rPr>
                      <w:sz w:val="20"/>
                    </w:rPr>
                    <w:t xml:space="preserve">  </w:t>
                  </w:r>
                </w:p>
              </w:tc>
            </w:tr>
            <w:tr w:rsidR="00F713DF" w:rsidRPr="00A552C3" w14:paraId="04D64E8C"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20449D9" w14:textId="05616346" w:rsidR="00F713DF" w:rsidRPr="00A552C3" w:rsidRDefault="00F713DF" w:rsidP="00F713DF">
                  <w:pPr>
                    <w:spacing w:after="60"/>
                    <w:rPr>
                      <w:bCs/>
                      <w:iCs/>
                      <w:sz w:val="20"/>
                    </w:rPr>
                  </w:pPr>
                  <w:r w:rsidRPr="00A552C3">
                    <w:rPr>
                      <w:iCs/>
                      <w:sz w:val="20"/>
                    </w:rPr>
                    <w:lastRenderedPageBreak/>
                    <w:t xml:space="preserve">ESRNWSLTOT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4991BC2F" w14:textId="042A21EA"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76ED334F" w14:textId="799C2247" w:rsidR="00F713DF" w:rsidRPr="00A552C3" w:rsidRDefault="00EC50FF" w:rsidP="00F713DF">
                  <w:pPr>
                    <w:spacing w:after="60"/>
                    <w:rPr>
                      <w:i/>
                      <w:iCs/>
                      <w:sz w:val="20"/>
                    </w:rPr>
                  </w:pPr>
                  <w:r w:rsidRPr="00EC50FF">
                    <w:rPr>
                      <w:i/>
                      <w:sz w:val="20"/>
                    </w:rPr>
                    <w:t>ESR Non-WSL Total</w:t>
                  </w:r>
                  <w:r w:rsidRPr="00EC50FF">
                    <w:rPr>
                      <w:sz w:val="20"/>
                    </w:rPr>
                    <w:t xml:space="preserve">—The total energy metered by the Settlement Meters which measure Non-WSL ESR Charging Load for the QSE </w:t>
                  </w:r>
                  <w:r w:rsidRPr="00EC50FF">
                    <w:rPr>
                      <w:i/>
                      <w:sz w:val="20"/>
                    </w:rPr>
                    <w:t>q</w:t>
                  </w:r>
                  <w:r w:rsidRPr="00EC50FF">
                    <w:rPr>
                      <w:sz w:val="20"/>
                    </w:rPr>
                    <w:t xml:space="preserve"> at Settlement Point </w:t>
                  </w:r>
                  <w:r w:rsidRPr="00EC50FF">
                    <w:rPr>
                      <w:i/>
                      <w:sz w:val="20"/>
                    </w:rPr>
                    <w:t>p.</w:t>
                  </w:r>
                  <w:r w:rsidRPr="00EC50FF">
                    <w:rPr>
                      <w:sz w:val="20"/>
                    </w:rPr>
                    <w:t xml:space="preserve">  </w:t>
                  </w:r>
                </w:p>
              </w:tc>
            </w:tr>
            <w:tr w:rsidR="00F713DF" w:rsidRPr="00A552C3" w14:paraId="4A3ECAC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6A14DA6" w14:textId="77777777" w:rsidR="00F713DF" w:rsidRPr="00A552C3" w:rsidRDefault="00F713DF" w:rsidP="00F713DF">
                  <w:pPr>
                    <w:spacing w:after="60"/>
                    <w:rPr>
                      <w:iCs/>
                      <w:sz w:val="20"/>
                    </w:rPr>
                  </w:pPr>
                  <w:r w:rsidRPr="00A552C3">
                    <w:rPr>
                      <w:bCs/>
                      <w:iCs/>
                      <w:sz w:val="20"/>
                    </w:rPr>
                    <w:t xml:space="preserve">MEBL </w:t>
                  </w:r>
                  <w:r w:rsidRPr="00A552C3">
                    <w:rPr>
                      <w:bCs/>
                      <w:i/>
                      <w:iCs/>
                      <w:sz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752C95D8"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7D76AE" w14:textId="77777777" w:rsidR="00F713DF" w:rsidRPr="00A552C3" w:rsidRDefault="00F713DF" w:rsidP="00F713DF">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F713DF" w:rsidRPr="00A552C3" w14:paraId="10370020"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63ECD868" w14:textId="77777777" w:rsidR="00F713DF" w:rsidRPr="00A552C3" w:rsidRDefault="00F713DF" w:rsidP="00F713DF">
                  <w:pPr>
                    <w:spacing w:after="60"/>
                    <w:rPr>
                      <w:i/>
                      <w:iCs/>
                      <w:sz w:val="20"/>
                    </w:rPr>
                  </w:pPr>
                </w:p>
              </w:tc>
            </w:tr>
            <w:tr w:rsidR="006C5B5E" w:rsidRPr="00A552C3" w14:paraId="76C7C456"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4383EAE6" w14:textId="694312B5" w:rsidR="006C5B5E" w:rsidRPr="00A552C3" w:rsidRDefault="006C5B5E" w:rsidP="006C5B5E">
                  <w:pPr>
                    <w:spacing w:after="60"/>
                    <w:rPr>
                      <w:iCs/>
                      <w:sz w:val="20"/>
                    </w:rPr>
                  </w:pPr>
                  <w:r w:rsidRPr="00812ECB">
                    <w:rPr>
                      <w:sz w:val="20"/>
                    </w:rPr>
                    <w:t xml:space="preserve">MEBCL </w:t>
                  </w:r>
                  <w:r w:rsidRPr="00812ECB">
                    <w:rPr>
                      <w:i/>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36D763BB" w14:textId="4D31A4A3" w:rsidR="006C5B5E" w:rsidRPr="00A552C3" w:rsidRDefault="006C5B5E" w:rsidP="006C5B5E">
                  <w:pPr>
                    <w:spacing w:after="60"/>
                    <w:rPr>
                      <w:iCs/>
                      <w:sz w:val="20"/>
                    </w:rPr>
                  </w:pPr>
                  <w:r w:rsidRPr="00812ECB">
                    <w:rPr>
                      <w:sz w:val="20"/>
                    </w:rPr>
                    <w:t>MWh</w:t>
                  </w:r>
                </w:p>
              </w:tc>
              <w:tc>
                <w:tcPr>
                  <w:tcW w:w="0" w:type="auto"/>
                  <w:tcBorders>
                    <w:top w:val="single" w:sz="4" w:space="0" w:color="auto"/>
                    <w:left w:val="single" w:sz="4" w:space="0" w:color="auto"/>
                    <w:bottom w:val="single" w:sz="4" w:space="0" w:color="auto"/>
                    <w:right w:val="single" w:sz="4" w:space="0" w:color="auto"/>
                  </w:tcBorders>
                </w:tcPr>
                <w:p w14:paraId="0019BF2D" w14:textId="0485D6DD" w:rsidR="006C5B5E" w:rsidRPr="00EC50FF" w:rsidRDefault="006C5B5E" w:rsidP="006C5B5E">
                  <w:pPr>
                    <w:spacing w:after="60"/>
                    <w:rPr>
                      <w:i/>
                      <w:iCs/>
                      <w:sz w:val="20"/>
                    </w:rPr>
                  </w:pPr>
                  <w:r w:rsidRPr="00812ECB">
                    <w:rPr>
                      <w:i/>
                      <w:sz w:val="20"/>
                    </w:rPr>
                    <w:t>Calculated Metered Energy for CLR Load at Bus</w:t>
                  </w:r>
                  <w:r w:rsidRPr="00812ECB">
                    <w:rPr>
                      <w:sz w:val="20"/>
                    </w:rPr>
                    <w:t xml:space="preserve">—The calculated CLR Load, adjusted for Unaccounted For Energy (UFE), for the 15-minute Settlement Interval represented as a negative value, for the QSE </w:t>
                  </w:r>
                  <w:r w:rsidRPr="00812ECB">
                    <w:rPr>
                      <w:i/>
                      <w:sz w:val="20"/>
                    </w:rPr>
                    <w:t>q</w:t>
                  </w:r>
                  <w:r w:rsidRPr="00812ECB">
                    <w:rPr>
                      <w:sz w:val="20"/>
                    </w:rPr>
                    <w:t xml:space="preserve">, Resource </w:t>
                  </w:r>
                  <w:r w:rsidRPr="00812ECB">
                    <w:rPr>
                      <w:i/>
                      <w:sz w:val="20"/>
                    </w:rPr>
                    <w:t>r</w:t>
                  </w:r>
                  <w:r w:rsidRPr="00812ECB">
                    <w:rPr>
                      <w:sz w:val="20"/>
                    </w:rPr>
                    <w:t xml:space="preserve">, at bus </w:t>
                  </w:r>
                  <w:r w:rsidRPr="00812ECB">
                    <w:rPr>
                      <w:i/>
                      <w:sz w:val="20"/>
                    </w:rPr>
                    <w:t>b</w:t>
                  </w:r>
                  <w:r w:rsidRPr="00812ECB">
                    <w:rPr>
                      <w:sz w:val="20"/>
                    </w:rPr>
                    <w:t>.</w:t>
                  </w:r>
                </w:p>
              </w:tc>
            </w:tr>
            <w:tr w:rsidR="00F713DF" w:rsidRPr="00A552C3" w14:paraId="6E39DC7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29D51903" w14:textId="5C54C6CD" w:rsidR="00F713DF" w:rsidRPr="00A552C3" w:rsidRDefault="00F713DF" w:rsidP="00F713DF">
                  <w:pPr>
                    <w:spacing w:after="60"/>
                    <w:rPr>
                      <w:iCs/>
                      <w:sz w:val="20"/>
                    </w:rPr>
                  </w:pPr>
                  <w:r w:rsidRPr="00A552C3">
                    <w:rPr>
                      <w:iCs/>
                      <w:sz w:val="20"/>
                    </w:rPr>
                    <w:t xml:space="preserve">MEBR </w:t>
                  </w:r>
                  <w:r w:rsidRPr="00A552C3">
                    <w:rPr>
                      <w:i/>
                      <w:iCs/>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6F2D58A3" w14:textId="3B5B98E4"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39AE492B" w14:textId="4859E54C" w:rsidR="00F713DF" w:rsidRPr="00A552C3" w:rsidRDefault="006C5B5E" w:rsidP="00B54D66">
                  <w:pPr>
                    <w:spacing w:after="60"/>
                    <w:rPr>
                      <w:i/>
                      <w:iCs/>
                      <w:sz w:val="20"/>
                    </w:rPr>
                  </w:pPr>
                  <w:r>
                    <w:rPr>
                      <w:i/>
                      <w:iCs/>
                      <w:sz w:val="20"/>
                    </w:rPr>
                    <w:t xml:space="preserve">Calculated </w:t>
                  </w:r>
                  <w:r w:rsidR="00EC50FF" w:rsidRPr="00EC50FF">
                    <w:rPr>
                      <w:i/>
                      <w:iCs/>
                      <w:sz w:val="20"/>
                    </w:rPr>
                    <w:t xml:space="preserve">Metered Energy for Energy Storage Resource Load at Bus - </w:t>
                  </w:r>
                  <w:r w:rsidR="00EC50FF" w:rsidRPr="00EC50FF">
                    <w:rPr>
                      <w:iCs/>
                      <w:sz w:val="20"/>
                    </w:rPr>
                    <w:t xml:space="preserve">The </w:t>
                  </w:r>
                  <w:r>
                    <w:rPr>
                      <w:iCs/>
                      <w:sz w:val="20"/>
                    </w:rPr>
                    <w:t>calculated</w:t>
                  </w:r>
                  <w:r w:rsidR="00EC50FF" w:rsidRPr="00EC50FF">
                    <w:rPr>
                      <w:iCs/>
                      <w:sz w:val="20"/>
                    </w:rPr>
                    <w:t xml:space="preserve"> Non-WSL ESR Charging Load</w:t>
                  </w:r>
                  <w:r w:rsidRPr="00812ECB">
                    <w:rPr>
                      <w:iCs/>
                      <w:sz w:val="20"/>
                    </w:rPr>
                    <w:t>, adjusted for UFE,</w:t>
                  </w:r>
                  <w:r w:rsidR="00EC50FF" w:rsidRPr="00EC50FF">
                    <w:rPr>
                      <w:iCs/>
                      <w:sz w:val="20"/>
                    </w:rPr>
                    <w:t xml:space="preserve"> for the 15-minute Settlement Interval represented as a negative value, for the QSE </w:t>
                  </w:r>
                  <w:r w:rsidR="00EC50FF" w:rsidRPr="000932C9">
                    <w:rPr>
                      <w:i/>
                      <w:iCs/>
                      <w:sz w:val="20"/>
                    </w:rPr>
                    <w:t>q</w:t>
                  </w:r>
                  <w:r w:rsidR="00EC50FF" w:rsidRPr="00EC50FF">
                    <w:rPr>
                      <w:iCs/>
                      <w:sz w:val="20"/>
                    </w:rPr>
                    <w:t xml:space="preserve">, Resource </w:t>
                  </w:r>
                  <w:r w:rsidR="00EC50FF" w:rsidRPr="000932C9">
                    <w:rPr>
                      <w:i/>
                      <w:iCs/>
                      <w:sz w:val="20"/>
                    </w:rPr>
                    <w:t>r</w:t>
                  </w:r>
                  <w:r w:rsidR="00EC50FF" w:rsidRPr="00EC50FF">
                    <w:rPr>
                      <w:iCs/>
                      <w:sz w:val="20"/>
                    </w:rPr>
                    <w:t xml:space="preserve">, at bus </w:t>
                  </w:r>
                  <w:r w:rsidR="00EC50FF" w:rsidRPr="000932C9">
                    <w:rPr>
                      <w:i/>
                      <w:iCs/>
                      <w:sz w:val="20"/>
                    </w:rPr>
                    <w:t>b</w:t>
                  </w:r>
                  <w:r w:rsidR="00EC50FF" w:rsidRPr="00EC50FF">
                    <w:rPr>
                      <w:iCs/>
                      <w:sz w:val="20"/>
                    </w:rPr>
                    <w:t>.</w:t>
                  </w:r>
                  <w:r w:rsidR="00EC50FF" w:rsidRPr="00EC50FF">
                    <w:rPr>
                      <w:i/>
                      <w:iCs/>
                      <w:sz w:val="20"/>
                    </w:rPr>
                    <w:t xml:space="preserve">   </w:t>
                  </w:r>
                </w:p>
              </w:tc>
            </w:tr>
            <w:tr w:rsidR="00F713DF" w:rsidRPr="00A552C3" w14:paraId="172B7A2C"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0C8625" w14:textId="77777777" w:rsidR="00F713DF" w:rsidRPr="00A552C3" w:rsidRDefault="00F713DF" w:rsidP="00F713DF">
                  <w:pPr>
                    <w:spacing w:after="60"/>
                    <w:rPr>
                      <w:iCs/>
                      <w:sz w:val="20"/>
                    </w:rPr>
                  </w:pPr>
                  <w:r w:rsidRPr="00A552C3">
                    <w:rPr>
                      <w:iCs/>
                      <w:sz w:val="20"/>
                    </w:rPr>
                    <w:t xml:space="preserve">NMSAMTTOT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60830DF5"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1EBB6C03" w14:textId="77777777" w:rsidR="00F713DF" w:rsidRPr="00A552C3" w:rsidRDefault="00F713DF" w:rsidP="00F713DF">
                  <w:pPr>
                    <w:spacing w:after="60"/>
                    <w:rPr>
                      <w:iCs/>
                      <w:sz w:val="20"/>
                    </w:rPr>
                  </w:pPr>
                  <w:r w:rsidRPr="00A552C3">
                    <w:rPr>
                      <w:i/>
                      <w:iCs/>
                      <w:sz w:val="20"/>
                    </w:rPr>
                    <w:t>Net Metering Settlement</w:t>
                  </w:r>
                  <w:r w:rsidRPr="00A552C3">
                    <w:rPr>
                      <w:iCs/>
                      <w:sz w:val="20"/>
                    </w:rPr>
                    <w:t>—The total payment or charge to a generation site with a net metering arrangement.</w:t>
                  </w:r>
                </w:p>
              </w:tc>
            </w:tr>
            <w:tr w:rsidR="006C5B5E" w:rsidRPr="00A552C3" w14:paraId="5BFB23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18F6B62" w14:textId="70A3CCC4" w:rsidR="006C5B5E" w:rsidRPr="00A552C3" w:rsidRDefault="006C5B5E" w:rsidP="006C5B5E">
                  <w:pPr>
                    <w:spacing w:after="60"/>
                    <w:rPr>
                      <w:iCs/>
                      <w:sz w:val="20"/>
                    </w:rPr>
                  </w:pPr>
                  <w:r w:rsidRPr="00812ECB">
                    <w:rPr>
                      <w:sz w:val="20"/>
                    </w:rPr>
                    <w:t>CLRAMTTOT</w:t>
                  </w:r>
                  <w:r w:rsidRPr="00812ECB">
                    <w:rPr>
                      <w:sz w:val="20"/>
                      <w:vertAlign w:val="subscript"/>
                    </w:rPr>
                    <w:t xml:space="preserve"> </w:t>
                  </w:r>
                  <w:r w:rsidRPr="00812ECB">
                    <w:rPr>
                      <w:i/>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6174DD7" w14:textId="56F36467" w:rsidR="006C5B5E" w:rsidRPr="00A552C3" w:rsidRDefault="006C5B5E" w:rsidP="006C5B5E">
                  <w:pPr>
                    <w:spacing w:after="60"/>
                    <w:rPr>
                      <w:iCs/>
                      <w:sz w:val="20"/>
                    </w:rPr>
                  </w:pPr>
                  <w:r w:rsidRPr="00812ECB">
                    <w:rPr>
                      <w:sz w:val="20"/>
                    </w:rPr>
                    <w:t>$</w:t>
                  </w:r>
                </w:p>
              </w:tc>
              <w:tc>
                <w:tcPr>
                  <w:tcW w:w="0" w:type="auto"/>
                  <w:tcBorders>
                    <w:top w:val="single" w:sz="4" w:space="0" w:color="auto"/>
                    <w:left w:val="single" w:sz="4" w:space="0" w:color="auto"/>
                    <w:bottom w:val="single" w:sz="4" w:space="0" w:color="auto"/>
                    <w:right w:val="single" w:sz="4" w:space="0" w:color="auto"/>
                  </w:tcBorders>
                </w:tcPr>
                <w:p w14:paraId="071216A3" w14:textId="525F9E28" w:rsidR="006C5B5E" w:rsidRPr="00A552C3" w:rsidRDefault="006C5B5E" w:rsidP="006C5B5E">
                  <w:pPr>
                    <w:spacing w:after="60"/>
                    <w:rPr>
                      <w:i/>
                      <w:iCs/>
                      <w:sz w:val="20"/>
                    </w:rPr>
                  </w:pPr>
                  <w:r w:rsidRPr="00812ECB">
                    <w:rPr>
                      <w:i/>
                      <w:sz w:val="20"/>
                    </w:rPr>
                    <w:t>CLR Load Settlement</w:t>
                  </w:r>
                  <w:r w:rsidRPr="00812ECB">
                    <w:rPr>
                      <w:sz w:val="20"/>
                    </w:rPr>
                    <w:t xml:space="preserve">—The total payment or charge to QSE </w:t>
                  </w:r>
                  <w:r w:rsidRPr="00812ECB">
                    <w:rPr>
                      <w:i/>
                      <w:sz w:val="20"/>
                    </w:rPr>
                    <w:t>q</w:t>
                  </w:r>
                  <w:r w:rsidRPr="00812ECB">
                    <w:rPr>
                      <w:sz w:val="20"/>
                    </w:rPr>
                    <w:t xml:space="preserve">, Resource </w:t>
                  </w:r>
                  <w:r w:rsidRPr="00812ECB">
                    <w:rPr>
                      <w:i/>
                      <w:sz w:val="20"/>
                    </w:rPr>
                    <w:t>r</w:t>
                  </w:r>
                  <w:r w:rsidRPr="00812ECB">
                    <w:rPr>
                      <w:sz w:val="20"/>
                    </w:rPr>
                    <w:t xml:space="preserve">, at Settlement Point </w:t>
                  </w:r>
                  <w:r w:rsidRPr="00812ECB">
                    <w:rPr>
                      <w:i/>
                      <w:sz w:val="20"/>
                    </w:rPr>
                    <w:t>p</w:t>
                  </w:r>
                  <w:r w:rsidRPr="00812ECB">
                    <w:rPr>
                      <w:sz w:val="20"/>
                    </w:rPr>
                    <w:t>, for CLR Load for each 15-minute Settlement Interval.</w:t>
                  </w:r>
                </w:p>
              </w:tc>
            </w:tr>
            <w:tr w:rsidR="00F713DF" w:rsidRPr="00A552C3" w14:paraId="59F11F4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9FA9D9B" w14:textId="77777777" w:rsidR="00F713DF" w:rsidRPr="00A552C3" w:rsidRDefault="00F713DF" w:rsidP="00F713DF">
                  <w:pPr>
                    <w:spacing w:after="60"/>
                    <w:rPr>
                      <w:iCs/>
                      <w:sz w:val="20"/>
                    </w:rPr>
                  </w:pPr>
                  <w:r w:rsidRPr="00A552C3">
                    <w:rPr>
                      <w:iCs/>
                      <w:sz w:val="20"/>
                    </w:rPr>
                    <w:t>WSLAMTTOT</w:t>
                  </w:r>
                  <w:r w:rsidRPr="00A552C3">
                    <w:rPr>
                      <w:iCs/>
                      <w:sz w:val="20"/>
                      <w:vertAlign w:val="subscript"/>
                    </w:rPr>
                    <w:t xml:space="preserve"> </w:t>
                  </w:r>
                  <w:r w:rsidRPr="00A552C3">
                    <w:rPr>
                      <w:i/>
                      <w:iCs/>
                      <w:sz w:val="20"/>
                      <w:vertAlign w:val="subscript"/>
                    </w:rPr>
                    <w:t>q, r, p</w:t>
                  </w:r>
                  <w:r w:rsidRPr="00A552C3">
                    <w:rPr>
                      <w:iCs/>
                      <w:sz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E7D4948"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771204E" w14:textId="77777777" w:rsidR="00F713DF" w:rsidRPr="00A552C3" w:rsidRDefault="00F713DF" w:rsidP="00F713DF">
                  <w:pPr>
                    <w:spacing w:after="60"/>
                    <w:rPr>
                      <w:i/>
                      <w:iCs/>
                      <w:sz w:val="20"/>
                    </w:rPr>
                  </w:pPr>
                  <w:r w:rsidRPr="00A552C3">
                    <w:rPr>
                      <w:i/>
                      <w:iCs/>
                      <w:sz w:val="20"/>
                    </w:rPr>
                    <w:t>Wholesale Storage Load Settlement</w:t>
                  </w:r>
                  <w:r w:rsidRPr="00A552C3">
                    <w:rPr>
                      <w:iCs/>
                      <w:sz w:val="20"/>
                    </w:rPr>
                    <w:t>—</w:t>
                  </w:r>
                  <w:r w:rsidRPr="00A552C3">
                    <w:rPr>
                      <w:sz w:val="20"/>
                    </w:rPr>
                    <w:t xml:space="preserve">The total payment or charge to QSE </w:t>
                  </w:r>
                  <w:r w:rsidRPr="00A552C3">
                    <w:rPr>
                      <w:i/>
                      <w:sz w:val="20"/>
                    </w:rPr>
                    <w:t>q</w:t>
                  </w:r>
                  <w:r w:rsidRPr="00A552C3">
                    <w:rPr>
                      <w:sz w:val="20"/>
                    </w:rPr>
                    <w:t xml:space="preserve">, Resource </w:t>
                  </w:r>
                  <w:r w:rsidRPr="00A552C3">
                    <w:rPr>
                      <w:i/>
                      <w:sz w:val="20"/>
                    </w:rPr>
                    <w:t>r</w:t>
                  </w:r>
                  <w:r w:rsidRPr="00A552C3">
                    <w:rPr>
                      <w:sz w:val="20"/>
                    </w:rPr>
                    <w:t xml:space="preserve">, at Settlement Point </w:t>
                  </w:r>
                  <w:r w:rsidRPr="00A552C3">
                    <w:rPr>
                      <w:i/>
                      <w:sz w:val="20"/>
                    </w:rPr>
                    <w:t>p</w:t>
                  </w:r>
                  <w:r w:rsidRPr="00A552C3">
                    <w:rPr>
                      <w:sz w:val="20"/>
                    </w:rPr>
                    <w:t xml:space="preserve">, </w:t>
                  </w:r>
                  <w:r w:rsidRPr="00A552C3">
                    <w:rPr>
                      <w:iCs/>
                      <w:sz w:val="20"/>
                    </w:rPr>
                    <w:t xml:space="preserve">for WSL </w:t>
                  </w:r>
                  <w:r w:rsidRPr="00A552C3">
                    <w:rPr>
                      <w:sz w:val="20"/>
                    </w:rPr>
                    <w:t>for each 15-minute Settlement Interval.</w:t>
                  </w:r>
                </w:p>
              </w:tc>
            </w:tr>
            <w:tr w:rsidR="00F713DF" w:rsidRPr="00A552C3" w14:paraId="799F0D05"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0778D2FE" w14:textId="6B925094" w:rsidR="00F713DF" w:rsidRPr="00A552C3" w:rsidRDefault="00F713DF" w:rsidP="00F713DF">
                  <w:pPr>
                    <w:spacing w:after="60"/>
                    <w:rPr>
                      <w:iCs/>
                      <w:sz w:val="20"/>
                    </w:rPr>
                  </w:pPr>
                  <w:r w:rsidRPr="00A552C3">
                    <w:rPr>
                      <w:iCs/>
                      <w:sz w:val="20"/>
                    </w:rPr>
                    <w:t>ESRNWSLAMTTOT</w:t>
                  </w:r>
                  <w:r w:rsidRPr="00A552C3">
                    <w:rPr>
                      <w:iCs/>
                      <w:sz w:val="20"/>
                      <w:vertAlign w:val="subscript"/>
                    </w:rPr>
                    <w:t xml:space="preserve"> </w:t>
                  </w:r>
                  <w:r w:rsidRPr="00A552C3">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1430283" w14:textId="672A37F9"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tcPr>
                <w:p w14:paraId="42C423D2" w14:textId="1EB4A6CC" w:rsidR="00F713DF" w:rsidRPr="00A552C3" w:rsidRDefault="00EC50FF" w:rsidP="00F713DF">
                  <w:pPr>
                    <w:spacing w:after="60"/>
                    <w:rPr>
                      <w:i/>
                      <w:iCs/>
                      <w:sz w:val="20"/>
                    </w:rPr>
                  </w:pPr>
                  <w:r w:rsidRPr="00EC50FF">
                    <w:rPr>
                      <w:i/>
                      <w:sz w:val="20"/>
                    </w:rPr>
                    <w:t>Energy Storage Resource Non-WSL Settlement</w:t>
                  </w:r>
                  <w:r w:rsidRPr="00EC50FF">
                    <w:rPr>
                      <w:sz w:val="20"/>
                    </w:rPr>
                    <w:t xml:space="preserve">—The total payment or charge to QSE </w:t>
                  </w:r>
                  <w:r w:rsidRPr="00EC50FF">
                    <w:rPr>
                      <w:i/>
                      <w:sz w:val="20"/>
                    </w:rPr>
                    <w:t>q</w:t>
                  </w:r>
                  <w:r w:rsidRPr="00EC50FF">
                    <w:rPr>
                      <w:sz w:val="20"/>
                    </w:rPr>
                    <w:t xml:space="preserve">, Resource </w:t>
                  </w:r>
                  <w:r w:rsidRPr="00EC50FF">
                    <w:rPr>
                      <w:i/>
                      <w:sz w:val="20"/>
                    </w:rPr>
                    <w:t>r</w:t>
                  </w:r>
                  <w:r w:rsidRPr="00EC50FF">
                    <w:rPr>
                      <w:sz w:val="20"/>
                    </w:rPr>
                    <w:t xml:space="preserve">, at Settlement Point </w:t>
                  </w:r>
                  <w:r w:rsidRPr="00EC50FF">
                    <w:rPr>
                      <w:i/>
                      <w:sz w:val="20"/>
                    </w:rPr>
                    <w:t>p</w:t>
                  </w:r>
                  <w:r w:rsidRPr="00EC50FF">
                    <w:rPr>
                      <w:sz w:val="20"/>
                    </w:rPr>
                    <w:t>, for Non-WSL ESR Charging Load for each 15-minute Settlement Interval.</w:t>
                  </w:r>
                </w:p>
              </w:tc>
            </w:tr>
            <w:tr w:rsidR="00F713DF" w:rsidRPr="00A552C3" w14:paraId="370B428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CAADE55" w14:textId="77777777" w:rsidR="00F713DF" w:rsidRPr="00A552C3" w:rsidRDefault="00F713DF" w:rsidP="00F713DF">
                  <w:pPr>
                    <w:spacing w:after="60"/>
                    <w:rPr>
                      <w:iCs/>
                      <w:sz w:val="20"/>
                    </w:rPr>
                  </w:pPr>
                  <w:r w:rsidRPr="00A552C3">
                    <w:rPr>
                      <w:iCs/>
                      <w:sz w:val="20"/>
                    </w:rPr>
                    <w:t xml:space="preserve">NMRTETOT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42206A6D"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709FA1B3" w14:textId="77777777" w:rsidR="00F713DF" w:rsidRPr="00A552C3" w:rsidRDefault="00F713DF" w:rsidP="00F713DF">
                  <w:pPr>
                    <w:spacing w:after="60"/>
                    <w:rPr>
                      <w:i/>
                      <w:iCs/>
                      <w:sz w:val="20"/>
                    </w:rPr>
                  </w:pPr>
                  <w:r w:rsidRPr="00A552C3">
                    <w:rPr>
                      <w:i/>
                      <w:iCs/>
                      <w:sz w:val="20"/>
                    </w:rPr>
                    <w:t>Net Meter Real-Time Energy Total</w:t>
                  </w:r>
                  <w:r w:rsidRPr="00A552C3">
                    <w:rPr>
                      <w:iCs/>
                      <w:sz w:val="20"/>
                    </w:rPr>
                    <w:t xml:space="preserve">—The net sum for all Settlement Meters included in generation site code </w:t>
                  </w:r>
                  <w:r w:rsidRPr="00A552C3">
                    <w:rPr>
                      <w:i/>
                      <w:iCs/>
                      <w:sz w:val="20"/>
                    </w:rPr>
                    <w:t>gsc</w:t>
                  </w:r>
                  <w:r w:rsidRPr="00A552C3">
                    <w:rPr>
                      <w:iCs/>
                      <w:sz w:val="20"/>
                    </w:rPr>
                    <w:t>.  A positive value indicates an injection of power to the ERCOT System.</w:t>
                  </w:r>
                </w:p>
              </w:tc>
            </w:tr>
            <w:tr w:rsidR="00F713DF" w:rsidRPr="00A552C3" w14:paraId="0DBE975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603B0C6" w14:textId="77777777" w:rsidR="00F713DF" w:rsidRPr="00A552C3" w:rsidRDefault="00F713DF" w:rsidP="00F713DF">
                  <w:pPr>
                    <w:spacing w:after="60"/>
                    <w:rPr>
                      <w:iCs/>
                      <w:sz w:val="20"/>
                    </w:rPr>
                  </w:pPr>
                  <w:r w:rsidRPr="00A552C3">
                    <w:rPr>
                      <w:iCs/>
                      <w:sz w:val="20"/>
                    </w:rPr>
                    <w:t xml:space="preserve">GSPLITPER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6A1683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9278FA5" w14:textId="77777777" w:rsidR="00F713DF" w:rsidRPr="00A552C3" w:rsidRDefault="00F713DF" w:rsidP="00F713DF">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net metering arrangement.  GSPLITPER is calculated by taking the Supervisory Control and Data Acquisition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F713DF" w:rsidRPr="00A552C3" w14:paraId="36F4BC9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3C0BBBF" w14:textId="77777777" w:rsidR="00F713DF" w:rsidRPr="00A552C3" w:rsidRDefault="00F713DF" w:rsidP="00F713DF">
                  <w:pPr>
                    <w:spacing w:after="60"/>
                    <w:rPr>
                      <w:i/>
                      <w:iCs/>
                      <w:sz w:val="20"/>
                    </w:rPr>
                  </w:pPr>
                  <w:r w:rsidRPr="00A552C3">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73EF71B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3EB5A51" w14:textId="77777777" w:rsidR="00F713DF" w:rsidRPr="00A552C3" w:rsidRDefault="00F713DF" w:rsidP="00F713DF">
                  <w:pPr>
                    <w:spacing w:after="60"/>
                    <w:rPr>
                      <w:iCs/>
                      <w:sz w:val="20"/>
                    </w:rPr>
                  </w:pPr>
                  <w:r w:rsidRPr="00A552C3">
                    <w:rPr>
                      <w:iCs/>
                      <w:sz w:val="20"/>
                    </w:rPr>
                    <w:t>A QSE.</w:t>
                  </w:r>
                </w:p>
              </w:tc>
            </w:tr>
            <w:tr w:rsidR="00F713DF" w:rsidRPr="00A552C3" w14:paraId="76F180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F43E5A" w14:textId="77777777" w:rsidR="00F713DF" w:rsidRPr="00A552C3" w:rsidRDefault="00F713DF" w:rsidP="00F713DF">
                  <w:pPr>
                    <w:spacing w:after="60"/>
                    <w:rPr>
                      <w:i/>
                      <w:iCs/>
                      <w:sz w:val="20"/>
                    </w:rPr>
                  </w:pPr>
                  <w:r w:rsidRPr="00A552C3">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6608FDC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1FD8C06" w14:textId="77777777" w:rsidR="00F713DF" w:rsidRPr="00A552C3" w:rsidRDefault="00F713DF" w:rsidP="00F713DF">
                  <w:pPr>
                    <w:spacing w:after="60"/>
                    <w:rPr>
                      <w:iCs/>
                      <w:sz w:val="20"/>
                    </w:rPr>
                  </w:pPr>
                  <w:r w:rsidRPr="00A552C3">
                    <w:rPr>
                      <w:iCs/>
                      <w:sz w:val="20"/>
                    </w:rPr>
                    <w:t>A Resource Node Settlement Point.</w:t>
                  </w:r>
                </w:p>
              </w:tc>
            </w:tr>
            <w:tr w:rsidR="00F713DF" w:rsidRPr="00A552C3" w14:paraId="11F9585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EAAC4F" w14:textId="77777777" w:rsidR="00F713DF" w:rsidRPr="00A552C3" w:rsidRDefault="00F713DF" w:rsidP="00F713DF">
                  <w:pPr>
                    <w:spacing w:after="60"/>
                    <w:rPr>
                      <w:i/>
                      <w:iCs/>
                      <w:sz w:val="20"/>
                    </w:rPr>
                  </w:pPr>
                  <w:r w:rsidRPr="00A552C3">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2AE1187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71457DD5" w14:textId="742218B0" w:rsidR="00F713DF" w:rsidRPr="00A552C3" w:rsidRDefault="00F713DF" w:rsidP="00F713DF">
                  <w:pPr>
                    <w:spacing w:after="60"/>
                    <w:rPr>
                      <w:iCs/>
                      <w:sz w:val="20"/>
                    </w:rPr>
                  </w:pPr>
                  <w:r w:rsidRPr="00A552C3">
                    <w:rPr>
                      <w:iCs/>
                      <w:sz w:val="20"/>
                    </w:rPr>
                    <w:t>A Generation Resource</w:t>
                  </w:r>
                  <w:r w:rsidR="006C5B5E" w:rsidRPr="00812ECB">
                    <w:rPr>
                      <w:iCs/>
                      <w:sz w:val="20"/>
                    </w:rPr>
                    <w:t>, a CLR that is not an ALR,</w:t>
                  </w:r>
                  <w:r w:rsidRPr="00A552C3">
                    <w:rPr>
                      <w:iCs/>
                      <w:sz w:val="20"/>
                    </w:rPr>
                    <w:t xml:space="preserve"> or </w:t>
                  </w:r>
                  <w:r>
                    <w:rPr>
                      <w:iCs/>
                      <w:sz w:val="20"/>
                    </w:rPr>
                    <w:t>ESR</w:t>
                  </w:r>
                  <w:r w:rsidRPr="00A552C3">
                    <w:rPr>
                      <w:iCs/>
                      <w:sz w:val="20"/>
                    </w:rPr>
                    <w:t xml:space="preserve"> that is located at </w:t>
                  </w:r>
                  <w:r>
                    <w:rPr>
                      <w:iCs/>
                      <w:sz w:val="20"/>
                    </w:rPr>
                    <w:t>the Facility with net metering.</w:t>
                  </w:r>
                </w:p>
              </w:tc>
            </w:tr>
            <w:tr w:rsidR="00F713DF" w:rsidRPr="00A552C3" w14:paraId="41C0AFF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5BE6369" w14:textId="77777777" w:rsidR="00F713DF" w:rsidRPr="00A552C3" w:rsidRDefault="00F713DF" w:rsidP="00F713DF">
                  <w:pPr>
                    <w:spacing w:after="60"/>
                    <w:rPr>
                      <w:i/>
                      <w:iCs/>
                      <w:sz w:val="20"/>
                    </w:rPr>
                  </w:pPr>
                  <w:r w:rsidRPr="00A552C3">
                    <w:rPr>
                      <w:i/>
                      <w:iCs/>
                      <w:sz w:val="20"/>
                    </w:rPr>
                    <w:t>gsc</w:t>
                  </w:r>
                </w:p>
              </w:tc>
              <w:tc>
                <w:tcPr>
                  <w:tcW w:w="0" w:type="auto"/>
                  <w:tcBorders>
                    <w:top w:val="single" w:sz="4" w:space="0" w:color="auto"/>
                    <w:left w:val="single" w:sz="4" w:space="0" w:color="auto"/>
                    <w:bottom w:val="single" w:sz="4" w:space="0" w:color="auto"/>
                    <w:right w:val="single" w:sz="4" w:space="0" w:color="auto"/>
                  </w:tcBorders>
                  <w:hideMark/>
                </w:tcPr>
                <w:p w14:paraId="13F88545"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01D5E8A" w14:textId="77777777" w:rsidR="00F713DF" w:rsidRPr="00A552C3" w:rsidRDefault="00F713DF" w:rsidP="00F713DF">
                  <w:pPr>
                    <w:spacing w:after="60"/>
                    <w:rPr>
                      <w:iCs/>
                      <w:sz w:val="20"/>
                    </w:rPr>
                  </w:pPr>
                  <w:r w:rsidRPr="00A552C3">
                    <w:rPr>
                      <w:iCs/>
                      <w:sz w:val="20"/>
                    </w:rPr>
                    <w:t>A generation site code.</w:t>
                  </w:r>
                </w:p>
              </w:tc>
            </w:tr>
            <w:tr w:rsidR="00F713DF" w:rsidRPr="00A552C3" w14:paraId="1B383CF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182C97A4" w14:textId="77777777" w:rsidR="00F713DF" w:rsidRPr="00A552C3" w:rsidRDefault="00F713DF" w:rsidP="00F713DF">
                  <w:pPr>
                    <w:spacing w:after="60"/>
                    <w:rPr>
                      <w:i/>
                      <w:iCs/>
                      <w:sz w:val="20"/>
                    </w:rPr>
                  </w:pPr>
                  <w:r w:rsidRPr="00A552C3">
                    <w:rPr>
                      <w:i/>
                      <w:iCs/>
                      <w:sz w:val="20"/>
                    </w:rPr>
                    <w:t>b</w:t>
                  </w:r>
                </w:p>
              </w:tc>
              <w:tc>
                <w:tcPr>
                  <w:tcW w:w="0" w:type="auto"/>
                  <w:tcBorders>
                    <w:top w:val="single" w:sz="4" w:space="0" w:color="auto"/>
                    <w:left w:val="single" w:sz="4" w:space="0" w:color="auto"/>
                    <w:bottom w:val="single" w:sz="4" w:space="0" w:color="auto"/>
                    <w:right w:val="single" w:sz="4" w:space="0" w:color="auto"/>
                  </w:tcBorders>
                  <w:hideMark/>
                </w:tcPr>
                <w:p w14:paraId="01C2256E"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0229EF1" w14:textId="77777777" w:rsidR="00F713DF" w:rsidRPr="00A552C3" w:rsidRDefault="00F713DF" w:rsidP="00F713DF">
                  <w:pPr>
                    <w:spacing w:after="60"/>
                    <w:rPr>
                      <w:iCs/>
                      <w:sz w:val="20"/>
                    </w:rPr>
                  </w:pPr>
                  <w:r w:rsidRPr="00A552C3">
                    <w:rPr>
                      <w:iCs/>
                      <w:sz w:val="20"/>
                    </w:rPr>
                    <w:t>An Electrical Bus.</w:t>
                  </w:r>
                </w:p>
              </w:tc>
            </w:tr>
            <w:bookmarkEnd w:id="1864"/>
          </w:tbl>
          <w:p w14:paraId="7004F0E7" w14:textId="77777777" w:rsidR="006F7954" w:rsidRPr="00B50DCB" w:rsidRDefault="006F7954" w:rsidP="009E7633">
            <w:pPr>
              <w:pStyle w:val="FormulaBold"/>
              <w:ind w:left="0" w:firstLine="0"/>
            </w:pPr>
          </w:p>
        </w:tc>
      </w:tr>
    </w:tbl>
    <w:p w14:paraId="594D224D" w14:textId="77777777" w:rsidR="004E4B05" w:rsidRDefault="004E4B05" w:rsidP="004E4B05">
      <w:pPr>
        <w:spacing w:before="240" w:after="240"/>
        <w:ind w:left="720" w:hanging="720"/>
        <w:rPr>
          <w:b/>
          <w:i/>
          <w:iCs/>
        </w:rPr>
      </w:pPr>
      <w:r>
        <w:lastRenderedPageBreak/>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F29CD65" w14:textId="77777777" w:rsidR="004E4B05" w:rsidRDefault="004E4B05" w:rsidP="004E4B05">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01B98B57" w14:textId="77777777" w:rsidR="004E4B05" w:rsidRDefault="004E4B05" w:rsidP="004E4B05">
      <w:pPr>
        <w:tabs>
          <w:tab w:val="left" w:pos="2340"/>
          <w:tab w:val="left" w:pos="2880"/>
        </w:tabs>
        <w:spacing w:after="240"/>
        <w:ind w:left="2880" w:hanging="2160"/>
        <w:rPr>
          <w:b/>
          <w:bCs/>
        </w:rPr>
      </w:pPr>
      <w:r>
        <w:rPr>
          <w:b/>
          <w:bCs/>
        </w:rPr>
        <w:lastRenderedPageBreak/>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684807D9">
          <v:shape id="_x0000_i1133" type="#_x0000_t75" style="width:12pt;height:18pt" o:ole="">
            <v:imagedata r:id="rId145" o:title=""/>
          </v:shape>
          <o:OLEObject Type="Embed" ProgID="Equation.3" ShapeID="_x0000_i1133" DrawAspect="Content" ObjectID="_1804653618" r:id="rId146"/>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46232E98" w14:textId="77777777" w:rsidR="004E4B05" w:rsidRDefault="004E4B05" w:rsidP="004E4B05">
      <w:pPr>
        <w:spacing w:after="240"/>
        <w:ind w:left="720"/>
        <w:rPr>
          <w:iCs/>
        </w:rPr>
      </w:pPr>
      <w:r w:rsidRPr="004368B4">
        <w:rPr>
          <w:iCs/>
        </w:rPr>
        <w:t xml:space="preserve">The </w:t>
      </w:r>
      <w:r>
        <w:t>Non-WSL ESR Charging Load</w:t>
      </w:r>
      <w:r w:rsidRPr="004368B4">
        <w:rPr>
          <w:iCs/>
        </w:rPr>
        <w:t xml:space="preserve"> is settled as follows</w:t>
      </w:r>
      <w:r>
        <w:rPr>
          <w:iCs/>
        </w:rPr>
        <w:t>:</w:t>
      </w:r>
      <w:r w:rsidRPr="004368B4">
        <w:rPr>
          <w:iCs/>
        </w:rPr>
        <w:t xml:space="preserve"> </w:t>
      </w:r>
    </w:p>
    <w:p w14:paraId="4EBF5A95" w14:textId="77777777" w:rsidR="004E4B05" w:rsidRDefault="004E4B05" w:rsidP="004E4B05">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2E61FDC1">
          <v:shape id="_x0000_i1134" type="#_x0000_t75" style="width:12pt;height:18pt" o:ole="">
            <v:imagedata r:id="rId145" o:title=""/>
          </v:shape>
          <o:OLEObject Type="Embed" ProgID="Equation.3" ShapeID="_x0000_i1134" DrawAspect="Content" ObjectID="_1804653619" r:id="rId147"/>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1E02DD0C" w14:textId="77777777" w:rsidR="004E4B05" w:rsidRDefault="004E4B05" w:rsidP="004E4B05">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6EE6E3CF" w14:textId="77777777" w:rsidR="004E4B05" w:rsidRDefault="004E4B05" w:rsidP="004E4B05">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sidRPr="003C613A">
        <w:rPr>
          <w:rFonts w:ascii="Times New Roman Bold" w:hAnsi="Times New Roman Bold"/>
          <w:b/>
          <w:noProof/>
          <w:position w:val="-18"/>
        </w:rPr>
        <w:drawing>
          <wp:inline distT="0" distB="0" distL="0" distR="0" wp14:anchorId="719577EB" wp14:editId="0E2667B6">
            <wp:extent cx="142875" cy="295275"/>
            <wp:effectExtent l="0" t="0" r="9525" b="9525"/>
            <wp:docPr id="41"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lang w:val="es-ES"/>
        </w:rPr>
        <w:t xml:space="preserve"> </w:t>
      </w:r>
      <w:r w:rsidRPr="00BB1533">
        <w:rPr>
          <w:b/>
        </w:rPr>
        <w:t>+ RTRSVPOR</w:t>
      </w:r>
      <w:r>
        <w:rPr>
          <w:b/>
        </w:rPr>
        <w:t xml:space="preserve"> + RTRDP</w:t>
      </w:r>
      <w:r w:rsidRPr="00BB1533">
        <w:rPr>
          <w:b/>
        </w:rPr>
        <w:t>)</w:t>
      </w:r>
      <w:r>
        <w:rPr>
          <w:b/>
        </w:rPr>
        <w:t>]</w:t>
      </w:r>
    </w:p>
    <w:p w14:paraId="2ABE5CDC" w14:textId="77777777" w:rsidR="004E4B05" w:rsidRDefault="004E4B05" w:rsidP="004E4B05">
      <w:pPr>
        <w:spacing w:after="240"/>
        <w:ind w:firstLine="720"/>
      </w:pPr>
      <w:r w:rsidRPr="004368B4">
        <w:t xml:space="preserve">Where the weighting factor for the </w:t>
      </w:r>
      <w:r>
        <w:t>Electrical B</w:t>
      </w:r>
      <w:r w:rsidRPr="004368B4">
        <w:t>us associated with the meter is:</w:t>
      </w:r>
    </w:p>
    <w:p w14:paraId="63FD23AF" w14:textId="77777777" w:rsidR="004E4B05" w:rsidRDefault="004E4B05" w:rsidP="004E4B05">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xml:space="preserve">= [Max (0.001, </w:t>
      </w:r>
      <w:r w:rsidRPr="003C613A">
        <w:rPr>
          <w:noProof/>
          <w:position w:val="-18"/>
        </w:rPr>
        <w:drawing>
          <wp:inline distT="0" distB="0" distL="0" distR="0" wp14:anchorId="726575F9" wp14:editId="396BCEE3">
            <wp:extent cx="142875" cy="266700"/>
            <wp:effectExtent l="0" t="0" r="9525" b="0"/>
            <wp:docPr id="42"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14EE085" w14:textId="77777777" w:rsidR="004E4B05" w:rsidRDefault="004E4B05" w:rsidP="004E4B05">
      <w:pPr>
        <w:spacing w:after="240"/>
        <w:ind w:firstLine="720"/>
        <w:rPr>
          <w:b/>
          <w:lang w:val="es-ES"/>
        </w:rPr>
      </w:pPr>
      <w:r>
        <w:rPr>
          <w:b/>
          <w:lang w:val="es-ES"/>
        </w:rPr>
        <w:tab/>
      </w:r>
      <w:r>
        <w:rPr>
          <w:b/>
          <w:lang w:val="es-ES"/>
        </w:rPr>
        <w:tab/>
      </w:r>
      <w:r>
        <w:rPr>
          <w:b/>
          <w:lang w:val="es-ES"/>
        </w:rPr>
        <w:tab/>
      </w:r>
      <w:r w:rsidRPr="00351F0F">
        <w:rPr>
          <w:b/>
          <w:lang w:val="es-ES"/>
        </w:rPr>
        <w:t>[</w:t>
      </w:r>
      <w:r w:rsidRPr="003C613A">
        <w:rPr>
          <w:rFonts w:ascii="Times New Roman Bold" w:hAnsi="Times New Roman Bold"/>
          <w:b/>
          <w:noProof/>
          <w:position w:val="-18"/>
        </w:rPr>
        <w:drawing>
          <wp:inline distT="0" distB="0" distL="0" distR="0" wp14:anchorId="77ECB700" wp14:editId="4F35615A">
            <wp:extent cx="142875" cy="295275"/>
            <wp:effectExtent l="0" t="0" r="9525" b="9525"/>
            <wp:docPr id="43"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D15B1">
        <w:rPr>
          <w:b/>
          <w:lang w:val="es-ES"/>
        </w:rPr>
        <w:t xml:space="preserve">Max (0.001, </w:t>
      </w:r>
      <w:r w:rsidRPr="003C613A">
        <w:rPr>
          <w:noProof/>
          <w:position w:val="-18"/>
        </w:rPr>
        <w:drawing>
          <wp:inline distT="0" distB="0" distL="0" distR="0" wp14:anchorId="4DE49854" wp14:editId="55B4B82A">
            <wp:extent cx="142875" cy="266700"/>
            <wp:effectExtent l="0" t="0" r="9525" b="0"/>
            <wp:docPr id="44"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0D15B1">
        <w:rPr>
          <w:b/>
          <w:lang w:val="es-ES"/>
        </w:rPr>
        <w:t xml:space="preserve">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Pr="00351F0F">
        <w:rPr>
          <w:b/>
          <w:lang w:val="es-ES"/>
        </w:rPr>
        <w:t xml:space="preserve"> * TLMP </w:t>
      </w:r>
      <w:r w:rsidRPr="00351F0F">
        <w:rPr>
          <w:b/>
          <w:i/>
          <w:iCs/>
          <w:vertAlign w:val="subscript"/>
          <w:lang w:val="es-ES"/>
        </w:rPr>
        <w:t>y</w:t>
      </w:r>
      <w:r w:rsidRPr="00351F0F">
        <w:rPr>
          <w:b/>
          <w:lang w:val="es-ES"/>
        </w:rPr>
        <w:t>]</w:t>
      </w:r>
    </w:p>
    <w:p w14:paraId="4A081007" w14:textId="77777777" w:rsidR="004E4B05" w:rsidRPr="0080555B" w:rsidRDefault="004E4B05" w:rsidP="004E4B05">
      <w:pPr>
        <w:spacing w:after="240"/>
      </w:pPr>
      <w:r w:rsidRPr="0080555B">
        <w:t>Where:</w:t>
      </w:r>
    </w:p>
    <w:p w14:paraId="325BC1D9" w14:textId="77777777" w:rsidR="004E4B05" w:rsidRDefault="004E4B05" w:rsidP="004E4B05">
      <w:pPr>
        <w:spacing w:after="240"/>
        <w:ind w:left="720"/>
      </w:pPr>
      <w:r w:rsidRPr="0080555B">
        <w:t>RTRSVPOR =</w:t>
      </w:r>
      <w:r w:rsidRPr="0080555B">
        <w:tab/>
      </w:r>
      <w:r w:rsidRPr="0080555B">
        <w:tab/>
      </w:r>
      <w:r w:rsidRPr="003C613A">
        <w:rPr>
          <w:rFonts w:ascii="Times New Roman Bold" w:hAnsi="Times New Roman Bold"/>
          <w:noProof/>
          <w:position w:val="-18"/>
        </w:rPr>
        <w:drawing>
          <wp:inline distT="0" distB="0" distL="0" distR="0" wp14:anchorId="110A0172" wp14:editId="47E63241">
            <wp:extent cx="142875" cy="295275"/>
            <wp:effectExtent l="0" t="0" r="9525" b="9525"/>
            <wp:docPr id="45"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 y </w:t>
      </w:r>
      <w:r w:rsidRPr="0080555B">
        <w:t>* RTORPA</w:t>
      </w:r>
      <w:r w:rsidRPr="0080555B">
        <w:rPr>
          <w:i/>
          <w:iCs/>
          <w:vertAlign w:val="subscript"/>
        </w:rPr>
        <w:t xml:space="preserve"> y</w:t>
      </w:r>
      <w:r w:rsidRPr="0080555B">
        <w:t>)</w:t>
      </w:r>
    </w:p>
    <w:p w14:paraId="052876F4" w14:textId="77777777" w:rsidR="004E4B05" w:rsidRPr="0080555B" w:rsidRDefault="004E4B05" w:rsidP="004E4B05">
      <w:pPr>
        <w:spacing w:after="240"/>
        <w:ind w:left="720"/>
      </w:pPr>
      <w:r w:rsidRPr="00193B05">
        <w:t>RTRDP =</w:t>
      </w:r>
      <w:r w:rsidRPr="00193B05">
        <w:tab/>
      </w:r>
      <w:r>
        <w:tab/>
      </w:r>
      <w:r w:rsidRPr="00193B05">
        <w:rPr>
          <w:position w:val="-22"/>
        </w:rPr>
        <w:object w:dxaOrig="225" w:dyaOrig="465" w14:anchorId="00509A80">
          <v:shape id="_x0000_i1135" type="#_x0000_t75" style="width:12pt;height:18pt" o:ole="">
            <v:imagedata r:id="rId22" o:title=""/>
          </v:shape>
          <o:OLEObject Type="Embed" ProgID="Equation.3" ShapeID="_x0000_i1135" DrawAspect="Content" ObjectID="_1804653620" r:id="rId149"/>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7C682F4D" w14:textId="77777777" w:rsidR="004E4B05" w:rsidRPr="003C650E" w:rsidRDefault="004E4B05" w:rsidP="004E4B05">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F43DB9F">
          <v:shape id="_x0000_i1136" type="#_x0000_t75" style="width:12pt;height:18pt" o:ole="">
            <v:imagedata r:id="rId22" o:title=""/>
          </v:shape>
          <o:OLEObject Type="Embed" ProgID="Equation.3" ShapeID="_x0000_i1136" DrawAspect="Content" ObjectID="_1804653621" r:id="rId150"/>
        </w:object>
      </w:r>
      <w:r w:rsidRPr="0080555B">
        <w:t xml:space="preserve">TLMP </w:t>
      </w:r>
      <w:r w:rsidRPr="0080555B">
        <w:rPr>
          <w:i/>
          <w:vertAlign w:val="subscript"/>
        </w:rPr>
        <w:t>y</w:t>
      </w:r>
    </w:p>
    <w:p w14:paraId="43EB93CF" w14:textId="77777777" w:rsidR="004E4B05" w:rsidRDefault="004E4B05" w:rsidP="004E4B05">
      <w:pPr>
        <w:pStyle w:val="BodyTextNumbered"/>
        <w:spacing w:before="120"/>
        <w:ind w:firstLine="0"/>
      </w:pPr>
      <w:r w:rsidRPr="00351F0F">
        <w:t xml:space="preserve">The summation is over all </w:t>
      </w:r>
      <w:r>
        <w:t>ESR Load</w:t>
      </w:r>
      <w:r w:rsidRPr="00351F0F">
        <w:t xml:space="preserve"> </w:t>
      </w:r>
      <w:r w:rsidRPr="00351F0F">
        <w:rPr>
          <w:i/>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3F924956" w14:textId="77777777" w:rsidR="004E4B05" w:rsidRDefault="004E4B05" w:rsidP="004E4B05">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68"/>
        <w:gridCol w:w="1006"/>
        <w:gridCol w:w="5576"/>
      </w:tblGrid>
      <w:tr w:rsidR="004E4B05" w14:paraId="3AD28719" w14:textId="77777777" w:rsidTr="00806724">
        <w:trPr>
          <w:cantSplit/>
          <w:tblHeader/>
        </w:trPr>
        <w:tc>
          <w:tcPr>
            <w:tcW w:w="1480" w:type="pct"/>
          </w:tcPr>
          <w:p w14:paraId="6A14399D" w14:textId="77777777" w:rsidR="004E4B05" w:rsidRDefault="004E4B05" w:rsidP="004E4B05">
            <w:pPr>
              <w:pStyle w:val="TableHead"/>
            </w:pPr>
            <w:r>
              <w:t>Variable</w:t>
            </w:r>
          </w:p>
        </w:tc>
        <w:tc>
          <w:tcPr>
            <w:tcW w:w="538" w:type="pct"/>
          </w:tcPr>
          <w:p w14:paraId="24F31FEB" w14:textId="77777777" w:rsidR="004E4B05" w:rsidRDefault="004E4B05" w:rsidP="004E4B05">
            <w:pPr>
              <w:pStyle w:val="TableHead"/>
            </w:pPr>
            <w:r>
              <w:t>Unit</w:t>
            </w:r>
          </w:p>
        </w:tc>
        <w:tc>
          <w:tcPr>
            <w:tcW w:w="2982" w:type="pct"/>
          </w:tcPr>
          <w:p w14:paraId="1E1C32B8" w14:textId="77777777" w:rsidR="004E4B05" w:rsidRDefault="004E4B05" w:rsidP="004E4B05">
            <w:pPr>
              <w:pStyle w:val="TableHead"/>
            </w:pPr>
            <w:r>
              <w:t>Description</w:t>
            </w:r>
          </w:p>
        </w:tc>
      </w:tr>
      <w:tr w:rsidR="004E4B05" w14:paraId="1392BFD2" w14:textId="77777777" w:rsidTr="00806724">
        <w:trPr>
          <w:cantSplit/>
        </w:trPr>
        <w:tc>
          <w:tcPr>
            <w:tcW w:w="1480" w:type="pct"/>
          </w:tcPr>
          <w:p w14:paraId="3995A426" w14:textId="77777777" w:rsidR="004E4B05" w:rsidRDefault="004E4B05" w:rsidP="004E4B05">
            <w:pPr>
              <w:pStyle w:val="tablebody0"/>
            </w:pPr>
            <w:r>
              <w:t xml:space="preserve">RTLMP </w:t>
            </w:r>
            <w:r w:rsidRPr="00107CC2">
              <w:rPr>
                <w:i/>
                <w:vertAlign w:val="subscript"/>
              </w:rPr>
              <w:t>b, y</w:t>
            </w:r>
          </w:p>
        </w:tc>
        <w:tc>
          <w:tcPr>
            <w:tcW w:w="538" w:type="pct"/>
          </w:tcPr>
          <w:p w14:paraId="3CC70605" w14:textId="77777777" w:rsidR="004E4B05" w:rsidRDefault="004E4B05" w:rsidP="004E4B05">
            <w:pPr>
              <w:pStyle w:val="tablebody0"/>
            </w:pPr>
            <w:r>
              <w:t>$/MWh</w:t>
            </w:r>
          </w:p>
        </w:tc>
        <w:tc>
          <w:tcPr>
            <w:tcW w:w="2982" w:type="pct"/>
          </w:tcPr>
          <w:p w14:paraId="3A3EBAD8" w14:textId="77777777" w:rsidR="004E4B05" w:rsidRDefault="004E4B05" w:rsidP="004E4B05">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4E4B05" w14:paraId="63FE5A67" w14:textId="77777777" w:rsidTr="00806724">
        <w:trPr>
          <w:cantSplit/>
        </w:trPr>
        <w:tc>
          <w:tcPr>
            <w:tcW w:w="1480" w:type="pct"/>
          </w:tcPr>
          <w:p w14:paraId="7FD59C79" w14:textId="77777777" w:rsidR="004E4B05" w:rsidRDefault="004E4B05" w:rsidP="004E4B05">
            <w:pPr>
              <w:pStyle w:val="tablebody0"/>
            </w:pPr>
            <w:r>
              <w:t xml:space="preserve">TLMP </w:t>
            </w:r>
            <w:r w:rsidRPr="00107CC2">
              <w:rPr>
                <w:i/>
                <w:vertAlign w:val="subscript"/>
              </w:rPr>
              <w:t>y</w:t>
            </w:r>
          </w:p>
        </w:tc>
        <w:tc>
          <w:tcPr>
            <w:tcW w:w="538" w:type="pct"/>
          </w:tcPr>
          <w:p w14:paraId="40E0CF35" w14:textId="77777777" w:rsidR="004E4B05" w:rsidRDefault="004E4B05" w:rsidP="004E4B05">
            <w:pPr>
              <w:pStyle w:val="tablebody0"/>
              <w:rPr>
                <w:iCs/>
              </w:rPr>
            </w:pPr>
            <w:r>
              <w:t>second</w:t>
            </w:r>
          </w:p>
        </w:tc>
        <w:tc>
          <w:tcPr>
            <w:tcW w:w="2982" w:type="pct"/>
          </w:tcPr>
          <w:p w14:paraId="0B7A0AD6" w14:textId="77777777" w:rsidR="004E4B05" w:rsidRDefault="004E4B05" w:rsidP="004E4B05">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4E4B05" w14:paraId="741E3F51" w14:textId="77777777" w:rsidTr="00806724">
        <w:trPr>
          <w:cantSplit/>
        </w:trPr>
        <w:tc>
          <w:tcPr>
            <w:tcW w:w="1480" w:type="pct"/>
          </w:tcPr>
          <w:p w14:paraId="2FDF1722" w14:textId="77777777" w:rsidR="004E4B05" w:rsidRPr="004368B4" w:rsidRDefault="004E4B05" w:rsidP="004E4B05">
            <w:pPr>
              <w:pStyle w:val="tablebody0"/>
            </w:pPr>
            <w:r w:rsidRPr="0080555B">
              <w:t>RTRSVPOR</w:t>
            </w:r>
          </w:p>
        </w:tc>
        <w:tc>
          <w:tcPr>
            <w:tcW w:w="538" w:type="pct"/>
          </w:tcPr>
          <w:p w14:paraId="1C87348B" w14:textId="77777777" w:rsidR="004E4B05" w:rsidRPr="004368B4" w:rsidRDefault="004E4B05" w:rsidP="004E4B05">
            <w:pPr>
              <w:pStyle w:val="tablebody0"/>
            </w:pPr>
            <w:r w:rsidRPr="0080555B">
              <w:t>$/MWh</w:t>
            </w:r>
          </w:p>
        </w:tc>
        <w:tc>
          <w:tcPr>
            <w:tcW w:w="2982" w:type="pct"/>
          </w:tcPr>
          <w:p w14:paraId="09F76D06" w14:textId="77777777" w:rsidR="004E4B05" w:rsidRPr="00351F0F" w:rsidRDefault="004E4B05" w:rsidP="004E4B05">
            <w:pPr>
              <w:pStyle w:val="tablebody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4E4B05" w14:paraId="4AD1D91B" w14:textId="77777777" w:rsidTr="00806724">
        <w:trPr>
          <w:cantSplit/>
        </w:trPr>
        <w:tc>
          <w:tcPr>
            <w:tcW w:w="1480" w:type="pct"/>
          </w:tcPr>
          <w:p w14:paraId="476FF2D9" w14:textId="77777777" w:rsidR="004E4B05" w:rsidRPr="004368B4" w:rsidRDefault="004E4B05" w:rsidP="004E4B05">
            <w:pPr>
              <w:pStyle w:val="tablebody0"/>
            </w:pPr>
            <w:r w:rsidRPr="0080555B">
              <w:t>RTORPA</w:t>
            </w:r>
            <w:r w:rsidRPr="0080555B">
              <w:rPr>
                <w:vertAlign w:val="subscript"/>
              </w:rPr>
              <w:t xml:space="preserve"> </w:t>
            </w:r>
            <w:r w:rsidRPr="00107CC2">
              <w:rPr>
                <w:i/>
                <w:vertAlign w:val="subscript"/>
              </w:rPr>
              <w:t>y</w:t>
            </w:r>
          </w:p>
        </w:tc>
        <w:tc>
          <w:tcPr>
            <w:tcW w:w="538" w:type="pct"/>
          </w:tcPr>
          <w:p w14:paraId="2CC44261" w14:textId="77777777" w:rsidR="004E4B05" w:rsidRPr="004368B4" w:rsidRDefault="004E4B05" w:rsidP="004E4B05">
            <w:pPr>
              <w:pStyle w:val="tablebody0"/>
            </w:pPr>
            <w:r w:rsidRPr="0080555B">
              <w:t>$/MWh</w:t>
            </w:r>
          </w:p>
        </w:tc>
        <w:tc>
          <w:tcPr>
            <w:tcW w:w="2982" w:type="pct"/>
          </w:tcPr>
          <w:p w14:paraId="00334B06" w14:textId="77777777" w:rsidR="004E4B05" w:rsidRPr="00351F0F" w:rsidRDefault="004E4B05" w:rsidP="004E4B05">
            <w:pPr>
              <w:pStyle w:val="tablebody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4E4B05" w14:paraId="29691EF3" w14:textId="77777777" w:rsidTr="00806724">
        <w:trPr>
          <w:cantSplit/>
        </w:trPr>
        <w:tc>
          <w:tcPr>
            <w:tcW w:w="1480" w:type="pct"/>
          </w:tcPr>
          <w:p w14:paraId="6F82B5ED" w14:textId="77777777" w:rsidR="004E4B05" w:rsidRPr="0080555B" w:rsidRDefault="004E4B05" w:rsidP="004E4B05">
            <w:pPr>
              <w:pStyle w:val="tablebody0"/>
            </w:pPr>
            <w:r>
              <w:lastRenderedPageBreak/>
              <w:t>RTRDP</w:t>
            </w:r>
          </w:p>
        </w:tc>
        <w:tc>
          <w:tcPr>
            <w:tcW w:w="538" w:type="pct"/>
          </w:tcPr>
          <w:p w14:paraId="048A3A84" w14:textId="77777777" w:rsidR="004E4B05" w:rsidRPr="0080555B" w:rsidRDefault="004E4B05" w:rsidP="004E4B05">
            <w:pPr>
              <w:pStyle w:val="tablebody0"/>
            </w:pPr>
            <w:r>
              <w:t>$/MWh</w:t>
            </w:r>
          </w:p>
        </w:tc>
        <w:tc>
          <w:tcPr>
            <w:tcW w:w="2982" w:type="pct"/>
          </w:tcPr>
          <w:p w14:paraId="45F37F58" w14:textId="11C3CFD3" w:rsidR="004E4B05" w:rsidRPr="0080555B" w:rsidRDefault="004E4B05" w:rsidP="004E4B05">
            <w:pPr>
              <w:pStyle w:val="tablebody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4E4B05" w14:paraId="5F5D896E" w14:textId="77777777" w:rsidTr="00806724">
        <w:trPr>
          <w:cantSplit/>
        </w:trPr>
        <w:tc>
          <w:tcPr>
            <w:tcW w:w="1480" w:type="pct"/>
          </w:tcPr>
          <w:p w14:paraId="40D50ACC" w14:textId="77777777" w:rsidR="004E4B05" w:rsidRPr="0080555B" w:rsidRDefault="004E4B05" w:rsidP="004E4B05">
            <w:pPr>
              <w:pStyle w:val="tablebody0"/>
            </w:pPr>
            <w:r>
              <w:t>RTORDPA</w:t>
            </w:r>
            <w:r w:rsidRPr="00CE4C14">
              <w:rPr>
                <w:vertAlign w:val="subscript"/>
              </w:rPr>
              <w:t xml:space="preserve"> </w:t>
            </w:r>
            <w:r w:rsidRPr="00107CC2">
              <w:rPr>
                <w:i/>
                <w:vertAlign w:val="subscript"/>
              </w:rPr>
              <w:t>y</w:t>
            </w:r>
          </w:p>
        </w:tc>
        <w:tc>
          <w:tcPr>
            <w:tcW w:w="538" w:type="pct"/>
          </w:tcPr>
          <w:p w14:paraId="480C08A1" w14:textId="77777777" w:rsidR="004E4B05" w:rsidRPr="0080555B" w:rsidRDefault="004E4B05" w:rsidP="004E4B05">
            <w:pPr>
              <w:pStyle w:val="tablebody0"/>
            </w:pPr>
            <w:r>
              <w:t>$/MWh</w:t>
            </w:r>
          </w:p>
        </w:tc>
        <w:tc>
          <w:tcPr>
            <w:tcW w:w="2982" w:type="pct"/>
          </w:tcPr>
          <w:p w14:paraId="10B3DE22" w14:textId="77777777" w:rsidR="004E4B05" w:rsidRPr="0080555B" w:rsidRDefault="004E4B05" w:rsidP="004E4B05">
            <w:pPr>
              <w:pStyle w:val="tablebody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4E4B05" w14:paraId="40D38A16" w14:textId="77777777" w:rsidTr="00806724">
        <w:trPr>
          <w:cantSplit/>
        </w:trPr>
        <w:tc>
          <w:tcPr>
            <w:tcW w:w="1480" w:type="pct"/>
          </w:tcPr>
          <w:p w14:paraId="226E1AF4" w14:textId="77777777" w:rsidR="004E4B05" w:rsidRPr="004368B4" w:rsidRDefault="004E4B05" w:rsidP="004E4B05">
            <w:pPr>
              <w:pStyle w:val="tablebody0"/>
            </w:pPr>
            <w:r w:rsidRPr="0080555B">
              <w:t xml:space="preserve">RNWF </w:t>
            </w:r>
            <w:r w:rsidRPr="00107CC2">
              <w:rPr>
                <w:i/>
                <w:vertAlign w:val="subscript"/>
              </w:rPr>
              <w:t>y</w:t>
            </w:r>
          </w:p>
        </w:tc>
        <w:tc>
          <w:tcPr>
            <w:tcW w:w="538" w:type="pct"/>
          </w:tcPr>
          <w:p w14:paraId="750CBBE2" w14:textId="77777777" w:rsidR="004E4B05" w:rsidRPr="004368B4" w:rsidRDefault="004E4B05" w:rsidP="004E4B05">
            <w:pPr>
              <w:pStyle w:val="tablebody0"/>
            </w:pPr>
            <w:r w:rsidRPr="0080555B">
              <w:t>none</w:t>
            </w:r>
          </w:p>
        </w:tc>
        <w:tc>
          <w:tcPr>
            <w:tcW w:w="2982" w:type="pct"/>
          </w:tcPr>
          <w:p w14:paraId="0490C49E" w14:textId="77777777" w:rsidR="004E4B05" w:rsidRPr="00351F0F" w:rsidRDefault="004E4B05" w:rsidP="004E4B05">
            <w:pPr>
              <w:pStyle w:val="tablebody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4E4B05" w14:paraId="7F7DD46F" w14:textId="77777777" w:rsidTr="00806724">
        <w:trPr>
          <w:cantSplit/>
        </w:trPr>
        <w:tc>
          <w:tcPr>
            <w:tcW w:w="1480" w:type="pct"/>
          </w:tcPr>
          <w:p w14:paraId="0E6539AC" w14:textId="77777777" w:rsidR="004E4B05" w:rsidRDefault="004E4B05" w:rsidP="004E4B05">
            <w:pPr>
              <w:pStyle w:val="tablebody0"/>
            </w:pPr>
            <w:r w:rsidRPr="004368B4">
              <w:t>MEBL</w:t>
            </w:r>
            <w:r w:rsidRPr="004368B4">
              <w:rPr>
                <w:vertAlign w:val="subscript"/>
              </w:rPr>
              <w:t xml:space="preserve"> </w:t>
            </w:r>
            <w:r w:rsidRPr="00107CC2">
              <w:rPr>
                <w:i/>
                <w:vertAlign w:val="subscript"/>
              </w:rPr>
              <w:t>q,r,b</w:t>
            </w:r>
          </w:p>
        </w:tc>
        <w:tc>
          <w:tcPr>
            <w:tcW w:w="538" w:type="pct"/>
          </w:tcPr>
          <w:p w14:paraId="5C62407E" w14:textId="77777777" w:rsidR="004E4B05" w:rsidRDefault="004E4B05" w:rsidP="004E4B05">
            <w:pPr>
              <w:pStyle w:val="tablebody0"/>
            </w:pPr>
            <w:r w:rsidRPr="004368B4">
              <w:t>MWh</w:t>
            </w:r>
          </w:p>
        </w:tc>
        <w:tc>
          <w:tcPr>
            <w:tcW w:w="2982" w:type="pct"/>
          </w:tcPr>
          <w:p w14:paraId="405106C7" w14:textId="77777777" w:rsidR="004E4B05" w:rsidRDefault="004E4B05" w:rsidP="004E4B05">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4E4B05" w14:paraId="42E3F632" w14:textId="77777777" w:rsidTr="00806724">
        <w:trPr>
          <w:cantSplit/>
        </w:trPr>
        <w:tc>
          <w:tcPr>
            <w:tcW w:w="1480" w:type="pct"/>
          </w:tcPr>
          <w:p w14:paraId="194BA5DB" w14:textId="77777777" w:rsidR="004E4B05" w:rsidRPr="004368B4" w:rsidRDefault="004E4B05" w:rsidP="004E4B05">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538" w:type="pct"/>
          </w:tcPr>
          <w:p w14:paraId="06267C08" w14:textId="77777777" w:rsidR="004E4B05" w:rsidRPr="004368B4" w:rsidRDefault="004E4B05" w:rsidP="004E4B05">
            <w:pPr>
              <w:pStyle w:val="tablebody0"/>
            </w:pPr>
            <w:r w:rsidRPr="00067E90">
              <w:t>MWh</w:t>
            </w:r>
          </w:p>
        </w:tc>
        <w:tc>
          <w:tcPr>
            <w:tcW w:w="2982" w:type="pct"/>
          </w:tcPr>
          <w:p w14:paraId="0D70FE99" w14:textId="77777777" w:rsidR="004E4B05" w:rsidRPr="00351F0F" w:rsidRDefault="004E4B05" w:rsidP="004E4B05">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4E4B05" w14:paraId="7AA4EB7A" w14:textId="77777777" w:rsidTr="00806724">
        <w:trPr>
          <w:cantSplit/>
        </w:trPr>
        <w:tc>
          <w:tcPr>
            <w:tcW w:w="1480" w:type="pct"/>
          </w:tcPr>
          <w:p w14:paraId="3E68A1FF" w14:textId="77777777" w:rsidR="004E4B05" w:rsidRPr="00D661BC" w:rsidRDefault="004E4B05" w:rsidP="004E4B05">
            <w:pPr>
              <w:pStyle w:val="tablebody0"/>
              <w:rPr>
                <w:i/>
              </w:rPr>
            </w:pPr>
            <w:r>
              <w:t>WSL</w:t>
            </w:r>
            <w:r w:rsidRPr="004368B4">
              <w:t>AMTTOT</w:t>
            </w:r>
            <w:r w:rsidRPr="004368B4">
              <w:rPr>
                <w:vertAlign w:val="subscript"/>
              </w:rPr>
              <w:t xml:space="preserve"> </w:t>
            </w:r>
            <w:r w:rsidRPr="00107CC2">
              <w:rPr>
                <w:i/>
                <w:vertAlign w:val="subscript"/>
              </w:rPr>
              <w:t>q, r, p</w:t>
            </w:r>
          </w:p>
        </w:tc>
        <w:tc>
          <w:tcPr>
            <w:tcW w:w="538" w:type="pct"/>
          </w:tcPr>
          <w:p w14:paraId="4F1B9891" w14:textId="77777777" w:rsidR="004E4B05" w:rsidRDefault="004E4B05" w:rsidP="004E4B05">
            <w:pPr>
              <w:pStyle w:val="tablebody0"/>
            </w:pPr>
            <w:r w:rsidRPr="004368B4">
              <w:t>$</w:t>
            </w:r>
          </w:p>
        </w:tc>
        <w:tc>
          <w:tcPr>
            <w:tcW w:w="2982" w:type="pct"/>
          </w:tcPr>
          <w:p w14:paraId="70B8BFD9" w14:textId="77777777" w:rsidR="004E4B05" w:rsidRDefault="004E4B05" w:rsidP="004E4B05">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4E4B05" w14:paraId="1A6ACA1E" w14:textId="77777777" w:rsidTr="00806724">
        <w:trPr>
          <w:cantSplit/>
        </w:trPr>
        <w:tc>
          <w:tcPr>
            <w:tcW w:w="1480" w:type="pct"/>
          </w:tcPr>
          <w:p w14:paraId="23EAAD12" w14:textId="77777777" w:rsidR="004E4B05" w:rsidRDefault="004E4B05" w:rsidP="004E4B05">
            <w:pPr>
              <w:pStyle w:val="tablebody0"/>
            </w:pPr>
            <w:r>
              <w:t>ESRNWSL</w:t>
            </w:r>
            <w:r w:rsidRPr="004368B4">
              <w:t>AMTTOT</w:t>
            </w:r>
            <w:r w:rsidRPr="004368B4">
              <w:rPr>
                <w:vertAlign w:val="subscript"/>
              </w:rPr>
              <w:t xml:space="preserve"> </w:t>
            </w:r>
            <w:r w:rsidRPr="00107CC2">
              <w:rPr>
                <w:i/>
                <w:vertAlign w:val="subscript"/>
              </w:rPr>
              <w:t>q, r, p</w:t>
            </w:r>
          </w:p>
        </w:tc>
        <w:tc>
          <w:tcPr>
            <w:tcW w:w="538" w:type="pct"/>
          </w:tcPr>
          <w:p w14:paraId="7CFE47DA" w14:textId="77777777" w:rsidR="004E4B05" w:rsidRPr="004368B4" w:rsidRDefault="004E4B05" w:rsidP="004E4B05">
            <w:pPr>
              <w:pStyle w:val="tablebody0"/>
            </w:pPr>
            <w:r w:rsidRPr="004368B4">
              <w:t>$</w:t>
            </w:r>
          </w:p>
        </w:tc>
        <w:tc>
          <w:tcPr>
            <w:tcW w:w="2982" w:type="pct"/>
          </w:tcPr>
          <w:p w14:paraId="42177EDD" w14:textId="77777777" w:rsidR="004E4B05" w:rsidRDefault="004E4B05" w:rsidP="004E4B05">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 xml:space="preserve">Non-WSL ESR Charging Load </w:t>
            </w:r>
            <w:r w:rsidRPr="00997DBF">
              <w:rPr>
                <w:iCs/>
              </w:rPr>
              <w:t>for each 15-minute Settlement Interval.</w:t>
            </w:r>
          </w:p>
        </w:tc>
      </w:tr>
      <w:tr w:rsidR="004E4B05" w14:paraId="1C7F01DD" w14:textId="77777777" w:rsidTr="00806724">
        <w:trPr>
          <w:cantSplit/>
        </w:trPr>
        <w:tc>
          <w:tcPr>
            <w:tcW w:w="1480" w:type="pct"/>
          </w:tcPr>
          <w:p w14:paraId="0DD88E9C" w14:textId="77777777" w:rsidR="004E4B05" w:rsidRPr="00D661BC" w:rsidRDefault="004E4B05" w:rsidP="004E4B05">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538" w:type="pct"/>
          </w:tcPr>
          <w:p w14:paraId="47E3A281" w14:textId="77777777" w:rsidR="004E4B05" w:rsidRDefault="004E4B05" w:rsidP="004E4B05">
            <w:pPr>
              <w:pStyle w:val="tablebody0"/>
            </w:pPr>
            <w:r w:rsidRPr="006F7536">
              <w:t>none</w:t>
            </w:r>
          </w:p>
        </w:tc>
        <w:tc>
          <w:tcPr>
            <w:tcW w:w="2982" w:type="pct"/>
          </w:tcPr>
          <w:p w14:paraId="02DE12AC" w14:textId="77777777" w:rsidR="004E4B05" w:rsidRDefault="004E4B05" w:rsidP="004E4B05">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4E4B05" w14:paraId="0D37F2A4" w14:textId="77777777" w:rsidTr="00806724">
        <w:trPr>
          <w:cantSplit/>
        </w:trPr>
        <w:tc>
          <w:tcPr>
            <w:tcW w:w="1480" w:type="pct"/>
          </w:tcPr>
          <w:p w14:paraId="4F7749A9" w14:textId="77777777" w:rsidR="004E4B05" w:rsidRPr="00D661BC" w:rsidRDefault="004E4B05" w:rsidP="004E4B05">
            <w:pPr>
              <w:pStyle w:val="tablebody0"/>
              <w:rPr>
                <w:i/>
              </w:rPr>
            </w:pPr>
            <w:r w:rsidRPr="004368B4">
              <w:t>RTRMPR</w:t>
            </w:r>
            <w:r>
              <w:t>ESR</w:t>
            </w:r>
            <w:r w:rsidRPr="004368B4">
              <w:rPr>
                <w:vertAlign w:val="subscript"/>
              </w:rPr>
              <w:t xml:space="preserve"> </w:t>
            </w:r>
            <w:r w:rsidRPr="00107CC2">
              <w:rPr>
                <w:i/>
                <w:vertAlign w:val="subscript"/>
              </w:rPr>
              <w:t>b</w:t>
            </w:r>
          </w:p>
        </w:tc>
        <w:tc>
          <w:tcPr>
            <w:tcW w:w="538" w:type="pct"/>
          </w:tcPr>
          <w:p w14:paraId="2E51C917" w14:textId="77777777" w:rsidR="004E4B05" w:rsidRDefault="004E4B05" w:rsidP="004E4B05">
            <w:pPr>
              <w:pStyle w:val="tablebody0"/>
            </w:pPr>
            <w:r w:rsidRPr="004368B4">
              <w:t>$/MWh</w:t>
            </w:r>
          </w:p>
        </w:tc>
        <w:tc>
          <w:tcPr>
            <w:tcW w:w="2982" w:type="pct"/>
          </w:tcPr>
          <w:p w14:paraId="129C3207" w14:textId="77777777" w:rsidR="004E4B05" w:rsidRDefault="004E4B05" w:rsidP="004E4B05">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ESR Load</w:t>
            </w:r>
            <w:r w:rsidRPr="00351F0F">
              <w:t xml:space="preserve"> at Electrical Bus </w:t>
            </w:r>
            <w:r w:rsidRPr="00351F0F">
              <w:rPr>
                <w:i/>
              </w:rPr>
              <w:t>b</w:t>
            </w:r>
            <w:r w:rsidRPr="00351F0F">
              <w:t>, for the 15-minute Settlement Interval.</w:t>
            </w:r>
          </w:p>
        </w:tc>
      </w:tr>
      <w:tr w:rsidR="004E4B05" w14:paraId="1F831F37" w14:textId="77777777" w:rsidTr="00806724">
        <w:trPr>
          <w:cantSplit/>
        </w:trPr>
        <w:tc>
          <w:tcPr>
            <w:tcW w:w="1480" w:type="pct"/>
          </w:tcPr>
          <w:p w14:paraId="3664249E" w14:textId="77777777" w:rsidR="004E4B05" w:rsidRPr="004368B4" w:rsidRDefault="004E4B05" w:rsidP="004E4B05">
            <w:pPr>
              <w:pStyle w:val="tablebody0"/>
              <w:rPr>
                <w:lang w:val="es-ES"/>
              </w:rPr>
            </w:pPr>
            <w:r w:rsidRPr="008B71ED">
              <w:t xml:space="preserve">BP </w:t>
            </w:r>
            <w:r w:rsidRPr="00985D33">
              <w:rPr>
                <w:i/>
                <w:vertAlign w:val="subscript"/>
              </w:rPr>
              <w:t>r, y</w:t>
            </w:r>
          </w:p>
        </w:tc>
        <w:tc>
          <w:tcPr>
            <w:tcW w:w="538" w:type="pct"/>
          </w:tcPr>
          <w:p w14:paraId="3ADD8D3A" w14:textId="77777777" w:rsidR="004E4B05" w:rsidRPr="004368B4" w:rsidRDefault="004E4B05" w:rsidP="004E4B05">
            <w:pPr>
              <w:pStyle w:val="tablebody0"/>
            </w:pPr>
            <w:r w:rsidRPr="00D15DC0">
              <w:t>MW</w:t>
            </w:r>
          </w:p>
        </w:tc>
        <w:tc>
          <w:tcPr>
            <w:tcW w:w="2982" w:type="pct"/>
          </w:tcPr>
          <w:p w14:paraId="607FBD04" w14:textId="77777777" w:rsidR="004E4B05" w:rsidRPr="004368B4" w:rsidRDefault="004E4B05" w:rsidP="004E4B05">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4E4B05" w14:paraId="54216451" w14:textId="77777777" w:rsidTr="00806724">
        <w:trPr>
          <w:cantSplit/>
        </w:trPr>
        <w:tc>
          <w:tcPr>
            <w:tcW w:w="1480" w:type="pct"/>
          </w:tcPr>
          <w:p w14:paraId="045155E1" w14:textId="77777777" w:rsidR="004E4B05" w:rsidRPr="00D661BC" w:rsidRDefault="004E4B05" w:rsidP="004E4B05">
            <w:pPr>
              <w:pStyle w:val="tablebody0"/>
              <w:rPr>
                <w:i/>
              </w:rPr>
            </w:pPr>
            <w:r w:rsidRPr="00D661BC">
              <w:rPr>
                <w:i/>
              </w:rPr>
              <w:t>q</w:t>
            </w:r>
          </w:p>
        </w:tc>
        <w:tc>
          <w:tcPr>
            <w:tcW w:w="538" w:type="pct"/>
          </w:tcPr>
          <w:p w14:paraId="3F58447F" w14:textId="77777777" w:rsidR="004E4B05" w:rsidRDefault="004E4B05" w:rsidP="004E4B05">
            <w:pPr>
              <w:pStyle w:val="tablebody0"/>
            </w:pPr>
            <w:r>
              <w:t>none</w:t>
            </w:r>
          </w:p>
        </w:tc>
        <w:tc>
          <w:tcPr>
            <w:tcW w:w="2982" w:type="pct"/>
          </w:tcPr>
          <w:p w14:paraId="384898F9" w14:textId="77777777" w:rsidR="004E4B05" w:rsidRDefault="004E4B05" w:rsidP="004E4B05">
            <w:pPr>
              <w:pStyle w:val="tablebody0"/>
            </w:pPr>
            <w:r>
              <w:t>A QSE.</w:t>
            </w:r>
          </w:p>
        </w:tc>
      </w:tr>
      <w:tr w:rsidR="004E4B05" w14:paraId="0098D9C9" w14:textId="77777777" w:rsidTr="00806724">
        <w:trPr>
          <w:cantSplit/>
        </w:trPr>
        <w:tc>
          <w:tcPr>
            <w:tcW w:w="1480" w:type="pct"/>
          </w:tcPr>
          <w:p w14:paraId="20126BCB" w14:textId="77777777" w:rsidR="004E4B05" w:rsidRPr="00851EF1" w:rsidRDefault="004E4B05" w:rsidP="004E4B05">
            <w:pPr>
              <w:pStyle w:val="tablebody0"/>
              <w:rPr>
                <w:i/>
              </w:rPr>
            </w:pPr>
            <w:r w:rsidRPr="00D661BC">
              <w:rPr>
                <w:i/>
              </w:rPr>
              <w:t>gsc</w:t>
            </w:r>
          </w:p>
        </w:tc>
        <w:tc>
          <w:tcPr>
            <w:tcW w:w="538" w:type="pct"/>
          </w:tcPr>
          <w:p w14:paraId="7DBE0197" w14:textId="77777777" w:rsidR="004E4B05" w:rsidRDefault="004E4B05" w:rsidP="004E4B05">
            <w:pPr>
              <w:pStyle w:val="tablebody0"/>
            </w:pPr>
            <w:r>
              <w:t>none</w:t>
            </w:r>
          </w:p>
        </w:tc>
        <w:tc>
          <w:tcPr>
            <w:tcW w:w="2982" w:type="pct"/>
          </w:tcPr>
          <w:p w14:paraId="7D4FFC8E" w14:textId="77777777" w:rsidR="004E4B05" w:rsidRDefault="004E4B05" w:rsidP="004E4B05">
            <w:pPr>
              <w:pStyle w:val="tablebody0"/>
            </w:pPr>
            <w:r>
              <w:t>A generation site code.</w:t>
            </w:r>
          </w:p>
        </w:tc>
      </w:tr>
      <w:tr w:rsidR="004E4B05" w14:paraId="7FD83F7A" w14:textId="77777777" w:rsidTr="00806724">
        <w:trPr>
          <w:cantSplit/>
        </w:trPr>
        <w:tc>
          <w:tcPr>
            <w:tcW w:w="1480" w:type="pct"/>
          </w:tcPr>
          <w:p w14:paraId="02E7B3CA" w14:textId="77777777" w:rsidR="004E4B05" w:rsidRPr="00851EF1" w:rsidRDefault="004E4B05" w:rsidP="004E4B05">
            <w:pPr>
              <w:pStyle w:val="tablebody0"/>
              <w:rPr>
                <w:i/>
              </w:rPr>
            </w:pPr>
            <w:r w:rsidRPr="00D661BC">
              <w:rPr>
                <w:i/>
              </w:rPr>
              <w:t>r</w:t>
            </w:r>
          </w:p>
        </w:tc>
        <w:tc>
          <w:tcPr>
            <w:tcW w:w="538" w:type="pct"/>
          </w:tcPr>
          <w:p w14:paraId="0DE8EF9B" w14:textId="77777777" w:rsidR="004E4B05" w:rsidRDefault="004E4B05" w:rsidP="004E4B05">
            <w:pPr>
              <w:pStyle w:val="tablebody0"/>
            </w:pPr>
            <w:r>
              <w:t>none</w:t>
            </w:r>
          </w:p>
        </w:tc>
        <w:tc>
          <w:tcPr>
            <w:tcW w:w="2982" w:type="pct"/>
          </w:tcPr>
          <w:p w14:paraId="3C3CB428" w14:textId="77116C22" w:rsidR="004E4B05" w:rsidRDefault="004E4B05" w:rsidP="004E4B05">
            <w:pPr>
              <w:pStyle w:val="tablebody0"/>
            </w:pPr>
            <w:r>
              <w:t xml:space="preserve">The </w:t>
            </w:r>
            <w:r w:rsidR="00C67FF2">
              <w:t>CLR</w:t>
            </w:r>
            <w:r>
              <w:t xml:space="preserve"> that is part of an ESR.  </w:t>
            </w:r>
          </w:p>
        </w:tc>
      </w:tr>
      <w:tr w:rsidR="004E4B05" w14:paraId="54CDB6F4" w14:textId="77777777" w:rsidTr="00806724">
        <w:trPr>
          <w:cantSplit/>
        </w:trPr>
        <w:tc>
          <w:tcPr>
            <w:tcW w:w="1480" w:type="pct"/>
          </w:tcPr>
          <w:p w14:paraId="260824DB" w14:textId="77777777" w:rsidR="004E4B05" w:rsidRPr="00D661BC" w:rsidRDefault="004E4B05" w:rsidP="004E4B05">
            <w:pPr>
              <w:pStyle w:val="tablebody0"/>
              <w:rPr>
                <w:i/>
              </w:rPr>
            </w:pPr>
            <w:r w:rsidRPr="00D661BC">
              <w:rPr>
                <w:i/>
              </w:rPr>
              <w:t>p</w:t>
            </w:r>
          </w:p>
        </w:tc>
        <w:tc>
          <w:tcPr>
            <w:tcW w:w="538" w:type="pct"/>
          </w:tcPr>
          <w:p w14:paraId="217AB103" w14:textId="77777777" w:rsidR="004E4B05" w:rsidRDefault="004E4B05" w:rsidP="004E4B05">
            <w:pPr>
              <w:pStyle w:val="tablebody0"/>
            </w:pPr>
            <w:r>
              <w:t>none</w:t>
            </w:r>
          </w:p>
        </w:tc>
        <w:tc>
          <w:tcPr>
            <w:tcW w:w="2982" w:type="pct"/>
          </w:tcPr>
          <w:p w14:paraId="7AE5968E" w14:textId="77777777" w:rsidR="004E4B05" w:rsidRDefault="004E4B05" w:rsidP="004E4B05">
            <w:pPr>
              <w:pStyle w:val="tablebody0"/>
            </w:pPr>
            <w:r>
              <w:t>A Resource Node Settlement Point.</w:t>
            </w:r>
          </w:p>
        </w:tc>
      </w:tr>
      <w:tr w:rsidR="004E4B05" w14:paraId="180CCBC2" w14:textId="77777777" w:rsidTr="00806724">
        <w:trPr>
          <w:cantSplit/>
        </w:trPr>
        <w:tc>
          <w:tcPr>
            <w:tcW w:w="1480" w:type="pct"/>
          </w:tcPr>
          <w:p w14:paraId="72F081BC" w14:textId="77777777" w:rsidR="004E4B05" w:rsidRPr="00851EF1" w:rsidRDefault="004E4B05" w:rsidP="004E4B05">
            <w:pPr>
              <w:pStyle w:val="tablebody0"/>
              <w:rPr>
                <w:i/>
              </w:rPr>
            </w:pPr>
            <w:r w:rsidRPr="00D661BC">
              <w:rPr>
                <w:i/>
              </w:rPr>
              <w:t>y</w:t>
            </w:r>
          </w:p>
        </w:tc>
        <w:tc>
          <w:tcPr>
            <w:tcW w:w="538" w:type="pct"/>
          </w:tcPr>
          <w:p w14:paraId="0FADF3FF" w14:textId="77777777" w:rsidR="004E4B05" w:rsidRDefault="004E4B05" w:rsidP="004E4B05">
            <w:pPr>
              <w:pStyle w:val="tablebody0"/>
            </w:pPr>
            <w:r>
              <w:t>none</w:t>
            </w:r>
          </w:p>
        </w:tc>
        <w:tc>
          <w:tcPr>
            <w:tcW w:w="2982" w:type="pct"/>
          </w:tcPr>
          <w:p w14:paraId="1F764A4A" w14:textId="77777777" w:rsidR="004E4B05" w:rsidRDefault="004E4B05" w:rsidP="004E4B05">
            <w:pPr>
              <w:pStyle w:val="tablebody0"/>
            </w:pPr>
            <w:r>
              <w:t>A SCED interval in the 15-minute Settlement Interval.  The summation is over the total number of SCED runs that cover the 15-minute Settlement Interval.</w:t>
            </w:r>
          </w:p>
        </w:tc>
      </w:tr>
      <w:tr w:rsidR="00AD486D" w14:paraId="53CBC2F2" w14:textId="77777777" w:rsidTr="00806724">
        <w:trPr>
          <w:cantSplit/>
        </w:trPr>
        <w:tc>
          <w:tcPr>
            <w:tcW w:w="1480" w:type="pct"/>
          </w:tcPr>
          <w:p w14:paraId="28C23377" w14:textId="35B11738" w:rsidR="00AD486D" w:rsidRPr="00D661BC" w:rsidRDefault="00AD486D" w:rsidP="00AD486D">
            <w:pPr>
              <w:pStyle w:val="tablebody0"/>
              <w:rPr>
                <w:i/>
              </w:rPr>
            </w:pPr>
            <w:r w:rsidRPr="00D661BC">
              <w:rPr>
                <w:i/>
              </w:rPr>
              <w:t>b</w:t>
            </w:r>
          </w:p>
        </w:tc>
        <w:tc>
          <w:tcPr>
            <w:tcW w:w="538" w:type="pct"/>
          </w:tcPr>
          <w:p w14:paraId="3D3D1C12" w14:textId="65D482F7" w:rsidR="00AD486D" w:rsidRDefault="00AD486D" w:rsidP="00AD486D">
            <w:pPr>
              <w:pStyle w:val="tablebody0"/>
            </w:pPr>
            <w:r>
              <w:t>none</w:t>
            </w:r>
          </w:p>
        </w:tc>
        <w:tc>
          <w:tcPr>
            <w:tcW w:w="2982" w:type="pct"/>
          </w:tcPr>
          <w:p w14:paraId="6C6AAF16" w14:textId="24B12821" w:rsidR="00AD486D" w:rsidRDefault="00AD486D" w:rsidP="00AD486D">
            <w:pPr>
              <w:pStyle w:val="tablebody0"/>
            </w:pPr>
            <w:r>
              <w:t>An Electrical Bus.</w:t>
            </w:r>
          </w:p>
        </w:tc>
      </w:tr>
    </w:tbl>
    <w:p w14:paraId="6458BC5B" w14:textId="77777777" w:rsidR="00806724" w:rsidRDefault="008067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350"/>
      </w:tblGrid>
      <w:tr w:rsidR="00423D31" w14:paraId="4C364206" w14:textId="77777777" w:rsidTr="00806724">
        <w:trPr>
          <w:trHeight w:val="206"/>
        </w:trPr>
        <w:tc>
          <w:tcPr>
            <w:tcW w:w="5000" w:type="pct"/>
            <w:shd w:val="pct12" w:color="auto" w:fill="auto"/>
          </w:tcPr>
          <w:p w14:paraId="43045223" w14:textId="6AAA9E47" w:rsidR="00423D31" w:rsidRDefault="00423D31" w:rsidP="009E7262">
            <w:pPr>
              <w:pStyle w:val="Instructions"/>
              <w:spacing w:before="120"/>
            </w:pPr>
            <w:r>
              <w:lastRenderedPageBreak/>
              <w:t>[</w:t>
            </w:r>
            <w:r w:rsidR="00EC5231">
              <w:t>NPRR1010</w:t>
            </w:r>
            <w:r w:rsidR="006C5B5E">
              <w:t>,</w:t>
            </w:r>
            <w:r w:rsidR="006F7954">
              <w:t xml:space="preserve"> NPRR1014</w:t>
            </w:r>
            <w:r w:rsidR="006C5B5E">
              <w:t>, and NPRR1188</w:t>
            </w:r>
            <w:r>
              <w:t xml:space="preserve">:  Replace </w:t>
            </w:r>
            <w:r w:rsidR="006F7954">
              <w:t xml:space="preserve">applicable portions of </w:t>
            </w:r>
            <w:r>
              <w:t>paragraph (3) above with the following upon system implementation</w:t>
            </w:r>
            <w:r w:rsidR="00EC5231">
              <w:t xml:space="preserve"> </w:t>
            </w:r>
            <w:r w:rsidR="00B15E7C">
              <w:t>of the Real-Time Co-Optimization (RTC) project for NPRR1010;</w:t>
            </w:r>
            <w:r w:rsidR="00EC5231">
              <w:t xml:space="preserve"> or upon system implementation</w:t>
            </w:r>
            <w:r w:rsidR="00B15E7C">
              <w:t xml:space="preserve"> for NPRR1014</w:t>
            </w:r>
            <w:r w:rsidR="006C5B5E">
              <w:t xml:space="preserve"> or NPRR1188</w:t>
            </w:r>
            <w:r>
              <w:t>:]</w:t>
            </w:r>
          </w:p>
          <w:p w14:paraId="78734BB8" w14:textId="13850EBE" w:rsidR="00423D31" w:rsidRDefault="00423D31" w:rsidP="00423D31">
            <w:pPr>
              <w:spacing w:before="240" w:after="240"/>
              <w:ind w:left="720" w:hanging="720"/>
              <w:rPr>
                <w:b/>
                <w:i/>
                <w:iCs/>
              </w:rPr>
            </w:pPr>
            <w:r>
              <w:t>(3)</w:t>
            </w:r>
            <w:r>
              <w:tab/>
              <w:t xml:space="preserve">For a facility with Settlement Meters that measure </w:t>
            </w:r>
            <w:r w:rsidR="006C5B5E" w:rsidRPr="00812ECB">
              <w:t>CLR (that is not an ALR) or</w:t>
            </w:r>
            <w:r w:rsidR="006C5B5E">
              <w:t xml:space="preserve"> </w:t>
            </w:r>
            <w:r>
              <w:t>ESR Load, t</w:t>
            </w:r>
            <w:r>
              <w:rPr>
                <w:iCs/>
              </w:rPr>
              <w:t xml:space="preserve">he total payment or charge </w:t>
            </w:r>
            <w:r>
              <w:t xml:space="preserve">for </w:t>
            </w:r>
            <w:r w:rsidR="006C5B5E" w:rsidRPr="00812ECB">
              <w:t>CLR (that is not an ALR) or</w:t>
            </w:r>
            <w:r w:rsidR="006C5B5E">
              <w:t xml:space="preserve"> </w:t>
            </w:r>
            <w:r>
              <w:t xml:space="preserve">ESR Load is </w:t>
            </w:r>
            <w:r>
              <w:rPr>
                <w:iCs/>
              </w:rPr>
              <w:t>calculated for a</w:t>
            </w:r>
            <w:r w:rsidRPr="004368B4">
              <w:rPr>
                <w:iCs/>
              </w:rPr>
              <w:t xml:space="preserve"> QSE</w:t>
            </w:r>
            <w:r>
              <w:rPr>
                <w:iCs/>
              </w:rPr>
              <w:t xml:space="preserve">, </w:t>
            </w:r>
            <w:r w:rsidR="006C5B5E" w:rsidRPr="00812ECB">
              <w:t>CLR (that is not an ALR) or</w:t>
            </w:r>
            <w:r w:rsidR="006C5B5E">
              <w:rPr>
                <w:iCs/>
              </w:rPr>
              <w:t xml:space="preserve"> </w:t>
            </w:r>
            <w:r>
              <w:rPr>
                <w:iCs/>
              </w:rPr>
              <w:t>ESR, and Settlement Point</w:t>
            </w:r>
            <w:r w:rsidRPr="004368B4">
              <w:rPr>
                <w:iCs/>
              </w:rPr>
              <w:t xml:space="preserve"> </w:t>
            </w:r>
            <w:r>
              <w:rPr>
                <w:iCs/>
              </w:rPr>
              <w:t xml:space="preserve">for </w:t>
            </w:r>
            <w:r w:rsidRPr="004368B4">
              <w:rPr>
                <w:iCs/>
              </w:rPr>
              <w:t>each 15-minute Settlement Interval</w:t>
            </w:r>
            <w:r>
              <w:rPr>
                <w:iCs/>
              </w:rPr>
              <w:t>.</w:t>
            </w:r>
          </w:p>
          <w:p w14:paraId="7A2CBE1D" w14:textId="77777777" w:rsidR="00423D31" w:rsidRDefault="00423D31" w:rsidP="00423D31">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21864A82" w14:textId="77777777" w:rsidR="00423D31" w:rsidRDefault="00423D31" w:rsidP="00423D31">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54664DCD">
                <v:shape id="_x0000_i1137" type="#_x0000_t75" style="width:12pt;height:18pt" o:ole="">
                  <v:imagedata r:id="rId145" o:title=""/>
                </v:shape>
                <o:OLEObject Type="Embed" ProgID="Equation.3" ShapeID="_x0000_i1137" DrawAspect="Content" ObjectID="_1804653622" r:id="rId151"/>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37E52D53" w14:textId="5E0303CC" w:rsidR="00423D31" w:rsidRDefault="00423D31" w:rsidP="00423D31">
            <w:pPr>
              <w:spacing w:after="240"/>
              <w:ind w:left="720"/>
              <w:rPr>
                <w:iCs/>
              </w:rPr>
            </w:pPr>
            <w:r w:rsidRPr="004368B4">
              <w:rPr>
                <w:iCs/>
              </w:rPr>
              <w:t xml:space="preserve">The </w:t>
            </w:r>
            <w:r w:rsidR="00674579">
              <w:t>Non-WSL ESR Charging Load</w:t>
            </w:r>
            <w:r w:rsidRPr="004368B4">
              <w:rPr>
                <w:iCs/>
              </w:rPr>
              <w:t xml:space="preserve"> is settled as follows</w:t>
            </w:r>
            <w:r>
              <w:rPr>
                <w:iCs/>
              </w:rPr>
              <w:t>:</w:t>
            </w:r>
            <w:r w:rsidRPr="004368B4">
              <w:rPr>
                <w:iCs/>
              </w:rPr>
              <w:t xml:space="preserve"> </w:t>
            </w:r>
          </w:p>
          <w:p w14:paraId="6E08A9A8" w14:textId="77777777" w:rsidR="00423D31" w:rsidRDefault="00423D31" w:rsidP="00423D31">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73C39FD7">
                <v:shape id="_x0000_i1138" type="#_x0000_t75" style="width:12pt;height:18pt" o:ole="">
                  <v:imagedata r:id="rId145" o:title=""/>
                </v:shape>
                <o:OLEObject Type="Embed" ProgID="Equation.3" ShapeID="_x0000_i1138" DrawAspect="Content" ObjectID="_1804653623" r:id="rId152"/>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72B99C02" w14:textId="77777777" w:rsidR="006C5B5E" w:rsidRPr="00812ECB" w:rsidRDefault="006C5B5E" w:rsidP="006C5B5E">
            <w:pPr>
              <w:tabs>
                <w:tab w:val="left" w:pos="2340"/>
                <w:tab w:val="left" w:pos="2880"/>
              </w:tabs>
              <w:spacing w:after="240"/>
              <w:ind w:left="2880" w:hanging="2160"/>
              <w:rPr>
                <w:b/>
                <w:bCs/>
              </w:rPr>
            </w:pPr>
            <w:r w:rsidRPr="00812ECB">
              <w:rPr>
                <w:b/>
                <w:bCs/>
              </w:rPr>
              <w:t xml:space="preserve">Where: </w:t>
            </w:r>
          </w:p>
          <w:p w14:paraId="55A2DF87" w14:textId="0C5E312D" w:rsidR="006C5B5E" w:rsidRPr="00812ECB" w:rsidRDefault="006C5B5E" w:rsidP="006C5B5E">
            <w:pPr>
              <w:tabs>
                <w:tab w:val="left" w:pos="1230"/>
                <w:tab w:val="left" w:pos="2340"/>
              </w:tabs>
              <w:spacing w:before="240" w:after="240"/>
              <w:ind w:left="3600" w:hanging="2430"/>
            </w:pPr>
            <w:r w:rsidRPr="00812ECB">
              <w:t>MEBR</w:t>
            </w:r>
            <w:r w:rsidRPr="00812ECB">
              <w:rPr>
                <w:vertAlign w:val="subscript"/>
              </w:rPr>
              <w:t xml:space="preserve"> </w:t>
            </w:r>
            <w:r w:rsidRPr="00812ECB">
              <w:rPr>
                <w:i/>
                <w:iCs/>
                <w:vertAlign w:val="subscript"/>
              </w:rPr>
              <w:t>q, r, b</w:t>
            </w:r>
            <w:r w:rsidRPr="00812ECB">
              <w:tab/>
              <w:t>=</w:t>
            </w:r>
            <w:r w:rsidRPr="00812ECB">
              <w:tab/>
              <w:t>MEBRFG</w:t>
            </w:r>
            <w:r w:rsidRPr="00812ECB">
              <w:rPr>
                <w:vertAlign w:val="subscript"/>
              </w:rPr>
              <w:t xml:space="preserve"> </w:t>
            </w:r>
            <w:r w:rsidRPr="00812ECB">
              <w:rPr>
                <w:i/>
                <w:iCs/>
                <w:vertAlign w:val="subscript"/>
              </w:rPr>
              <w:t>q, r, b</w:t>
            </w:r>
            <w:r w:rsidRPr="00812ECB">
              <w:t xml:space="preserve"> + MEBRSG</w:t>
            </w:r>
            <w:r w:rsidRPr="00812ECB">
              <w:rPr>
                <w:vertAlign w:val="subscript"/>
              </w:rPr>
              <w:t xml:space="preserve"> </w:t>
            </w:r>
            <w:r w:rsidRPr="00812ECB">
              <w:rPr>
                <w:i/>
                <w:iCs/>
                <w:vertAlign w:val="subscript"/>
              </w:rPr>
              <w:t>q, r, b</w:t>
            </w:r>
            <w:r w:rsidRPr="00812ECB">
              <w:rPr>
                <w:vertAlign w:val="subscript"/>
              </w:rPr>
              <w:t xml:space="preserve"> </w:t>
            </w:r>
            <w:r w:rsidRPr="00812ECB">
              <w:t xml:space="preserve"> </w:t>
            </w:r>
          </w:p>
          <w:p w14:paraId="64661FF9" w14:textId="77777777" w:rsidR="006C5B5E" w:rsidRPr="00812ECB" w:rsidRDefault="006C5B5E" w:rsidP="004116AE">
            <w:pPr>
              <w:tabs>
                <w:tab w:val="left" w:pos="1230"/>
                <w:tab w:val="left" w:pos="2340"/>
              </w:tabs>
              <w:spacing w:before="240" w:after="240"/>
              <w:ind w:left="720"/>
            </w:pPr>
            <w:r w:rsidRPr="00812ECB">
              <w:t>The total Non-WSL ESR Charging Load is included in the Real-Time Adjusted Meter Load (AML) per QSE.</w:t>
            </w:r>
          </w:p>
          <w:p w14:paraId="5D61906F" w14:textId="77777777" w:rsidR="00423D31" w:rsidRDefault="00423D31" w:rsidP="00423D31">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02EEDCA7" w14:textId="32F48FDF" w:rsidR="00423D31" w:rsidRDefault="00423D31" w:rsidP="00423D31">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Pr>
                <w:rFonts w:ascii="Times New Roman Bold" w:hAnsi="Times New Roman Bold"/>
                <w:b/>
                <w:noProof/>
                <w:position w:val="-18"/>
              </w:rPr>
              <w:drawing>
                <wp:inline distT="0" distB="0" distL="0" distR="0" wp14:anchorId="2F3DC2CF" wp14:editId="6F674927">
                  <wp:extent cx="142875" cy="294005"/>
                  <wp:effectExtent l="0" t="0" r="9525" b="0"/>
                  <wp:docPr id="2089"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rPr>
              <w:t xml:space="preserve"> + RTRDP</w:t>
            </w:r>
            <w:r w:rsidRPr="00BB1533">
              <w:rPr>
                <w:b/>
              </w:rPr>
              <w:t>)</w:t>
            </w:r>
            <w:r>
              <w:rPr>
                <w:b/>
              </w:rPr>
              <w:t>]</w:t>
            </w:r>
          </w:p>
          <w:p w14:paraId="5AAB63E3" w14:textId="77777777" w:rsidR="006C5B5E" w:rsidRPr="00812ECB" w:rsidRDefault="006C5B5E" w:rsidP="006C5B5E">
            <w:pPr>
              <w:spacing w:after="240"/>
              <w:ind w:left="720"/>
              <w:rPr>
                <w:iCs/>
              </w:rPr>
            </w:pPr>
            <w:r w:rsidRPr="00812ECB">
              <w:rPr>
                <w:iCs/>
              </w:rPr>
              <w:t xml:space="preserve">The </w:t>
            </w:r>
            <w:r w:rsidRPr="00812ECB">
              <w:t>CLR Load</w:t>
            </w:r>
            <w:r w:rsidRPr="00812ECB">
              <w:rPr>
                <w:iCs/>
              </w:rPr>
              <w:t xml:space="preserve"> is settled as follows: </w:t>
            </w:r>
          </w:p>
          <w:p w14:paraId="7C23F49F" w14:textId="77777777" w:rsidR="006C5B5E" w:rsidRPr="00812ECB" w:rsidRDefault="006C5B5E" w:rsidP="006C5B5E">
            <w:pPr>
              <w:tabs>
                <w:tab w:val="left" w:pos="2340"/>
                <w:tab w:val="left" w:pos="2880"/>
              </w:tabs>
              <w:spacing w:after="240"/>
              <w:ind w:left="2880" w:hanging="2160"/>
              <w:rPr>
                <w:b/>
                <w:bCs/>
              </w:rPr>
            </w:pPr>
            <w:r w:rsidRPr="00812ECB">
              <w:rPr>
                <w:b/>
                <w:bCs/>
              </w:rPr>
              <w:t xml:space="preserve">CLRAMTTOT </w:t>
            </w:r>
            <w:r w:rsidRPr="00812ECB">
              <w:rPr>
                <w:b/>
                <w:bCs/>
                <w:i/>
                <w:vertAlign w:val="subscript"/>
              </w:rPr>
              <w:t>q, r, p</w:t>
            </w:r>
            <w:r w:rsidRPr="00812ECB">
              <w:rPr>
                <w:b/>
                <w:bCs/>
                <w:i/>
                <w:iCs/>
                <w:vertAlign w:val="subscript"/>
                <w:lang w:val="es-ES"/>
              </w:rPr>
              <w:tab/>
            </w:r>
            <w:r w:rsidRPr="00812ECB">
              <w:rPr>
                <w:b/>
                <w:bCs/>
                <w:lang w:val="es-ES"/>
              </w:rPr>
              <w:t xml:space="preserve">= </w:t>
            </w:r>
            <w:r w:rsidRPr="00812ECB">
              <w:rPr>
                <w:noProof/>
                <w:position w:val="-20"/>
              </w:rPr>
              <w:drawing>
                <wp:inline distT="0" distB="0" distL="0" distR="0" wp14:anchorId="3696D135" wp14:editId="52E4B911">
                  <wp:extent cx="180975" cy="2590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975" cy="259080"/>
                          </a:xfrm>
                          <a:prstGeom prst="rect">
                            <a:avLst/>
                          </a:prstGeom>
                          <a:noFill/>
                          <a:ln>
                            <a:noFill/>
                          </a:ln>
                        </pic:spPr>
                      </pic:pic>
                    </a:graphicData>
                  </a:graphic>
                </wp:inline>
              </w:drawing>
            </w:r>
            <w:r w:rsidRPr="00812ECB">
              <w:rPr>
                <w:b/>
                <w:bCs/>
              </w:rPr>
              <w:t xml:space="preserve"> (RTRMPRCLR</w:t>
            </w:r>
            <w:r w:rsidRPr="00812ECB">
              <w:rPr>
                <w:b/>
                <w:bCs/>
                <w:i/>
                <w:vertAlign w:val="subscript"/>
              </w:rPr>
              <w:t xml:space="preserve"> b </w:t>
            </w:r>
            <w:r w:rsidRPr="00812ECB">
              <w:rPr>
                <w:b/>
                <w:bCs/>
              </w:rPr>
              <w:t>* MEBCL</w:t>
            </w:r>
            <w:r w:rsidRPr="00812ECB">
              <w:rPr>
                <w:bCs/>
              </w:rPr>
              <w:t xml:space="preserve"> </w:t>
            </w:r>
            <w:r w:rsidRPr="00812ECB">
              <w:rPr>
                <w:b/>
                <w:bCs/>
                <w:i/>
                <w:vertAlign w:val="subscript"/>
              </w:rPr>
              <w:t>q, r, b</w:t>
            </w:r>
            <w:r w:rsidRPr="00812ECB">
              <w:rPr>
                <w:b/>
                <w:bCs/>
              </w:rPr>
              <w:t>)</w:t>
            </w:r>
          </w:p>
          <w:p w14:paraId="0A6C6CF4" w14:textId="77777777" w:rsidR="006C5B5E" w:rsidRPr="00812ECB" w:rsidRDefault="006C5B5E" w:rsidP="006C5B5E">
            <w:pPr>
              <w:tabs>
                <w:tab w:val="left" w:pos="2340"/>
                <w:tab w:val="left" w:pos="2880"/>
              </w:tabs>
              <w:spacing w:after="240"/>
              <w:ind w:left="2880" w:hanging="2160"/>
              <w:rPr>
                <w:b/>
                <w:bCs/>
              </w:rPr>
            </w:pPr>
            <w:r w:rsidRPr="00812ECB">
              <w:rPr>
                <w:b/>
                <w:bCs/>
              </w:rPr>
              <w:t xml:space="preserve">Where: </w:t>
            </w:r>
          </w:p>
          <w:p w14:paraId="7C9C8369" w14:textId="77777777" w:rsidR="006C5B5E" w:rsidRPr="00812ECB" w:rsidRDefault="006C5B5E" w:rsidP="006C5B5E">
            <w:pPr>
              <w:tabs>
                <w:tab w:val="left" w:pos="1230"/>
                <w:tab w:val="left" w:pos="2340"/>
              </w:tabs>
              <w:spacing w:before="240" w:after="240"/>
              <w:ind w:left="3600" w:hanging="2430"/>
            </w:pPr>
            <w:r w:rsidRPr="00812ECB">
              <w:t>MEBCL</w:t>
            </w:r>
            <w:r w:rsidRPr="00812ECB">
              <w:rPr>
                <w:vertAlign w:val="subscript"/>
              </w:rPr>
              <w:t xml:space="preserve"> </w:t>
            </w:r>
            <w:r w:rsidRPr="00812ECB">
              <w:rPr>
                <w:i/>
                <w:iCs/>
                <w:vertAlign w:val="subscript"/>
              </w:rPr>
              <w:t>q, r, b</w:t>
            </w:r>
            <w:r w:rsidRPr="00812ECB">
              <w:tab/>
              <w:t>=</w:t>
            </w:r>
            <w:r w:rsidRPr="00812ECB">
              <w:tab/>
              <w:t>MEBCLFG</w:t>
            </w:r>
            <w:r w:rsidRPr="00812ECB">
              <w:rPr>
                <w:vertAlign w:val="subscript"/>
              </w:rPr>
              <w:t xml:space="preserve"> </w:t>
            </w:r>
            <w:r w:rsidRPr="00812ECB">
              <w:rPr>
                <w:i/>
                <w:iCs/>
                <w:vertAlign w:val="subscript"/>
              </w:rPr>
              <w:t>q, r, b</w:t>
            </w:r>
            <w:r w:rsidRPr="00812ECB">
              <w:t xml:space="preserve"> + MEBCLSG</w:t>
            </w:r>
            <w:r w:rsidRPr="00812ECB">
              <w:rPr>
                <w:vertAlign w:val="subscript"/>
              </w:rPr>
              <w:t xml:space="preserve"> </w:t>
            </w:r>
            <w:r w:rsidRPr="00812ECB">
              <w:rPr>
                <w:i/>
                <w:iCs/>
                <w:vertAlign w:val="subscript"/>
              </w:rPr>
              <w:t>q, r, b</w:t>
            </w:r>
            <w:r w:rsidRPr="00812ECB">
              <w:rPr>
                <w:vertAlign w:val="subscript"/>
              </w:rPr>
              <w:t xml:space="preserve"> </w:t>
            </w:r>
            <w:r w:rsidRPr="00812ECB">
              <w:t xml:space="preserve"> </w:t>
            </w:r>
          </w:p>
          <w:p w14:paraId="1B6A4AE2" w14:textId="77777777" w:rsidR="006C5B5E" w:rsidRPr="00812ECB" w:rsidRDefault="006C5B5E" w:rsidP="006C5B5E">
            <w:pPr>
              <w:tabs>
                <w:tab w:val="left" w:pos="2340"/>
                <w:tab w:val="left" w:pos="3420"/>
              </w:tabs>
              <w:spacing w:after="240"/>
              <w:ind w:left="3420" w:hanging="2700"/>
              <w:rPr>
                <w:bCs/>
              </w:rPr>
            </w:pPr>
            <w:r w:rsidRPr="00812ECB">
              <w:t>The total CLR Load is included in the Real-Time AML per QSE.</w:t>
            </w:r>
          </w:p>
          <w:p w14:paraId="57C77DC4" w14:textId="77777777" w:rsidR="006C5B5E" w:rsidRPr="00812ECB" w:rsidRDefault="006C5B5E" w:rsidP="006C5B5E">
            <w:pPr>
              <w:tabs>
                <w:tab w:val="left" w:pos="2340"/>
                <w:tab w:val="left" w:pos="3420"/>
              </w:tabs>
              <w:spacing w:after="240"/>
              <w:ind w:left="3420" w:hanging="2700"/>
              <w:rPr>
                <w:b/>
                <w:bCs/>
              </w:rPr>
            </w:pPr>
            <w:r w:rsidRPr="00812ECB">
              <w:rPr>
                <w:bCs/>
              </w:rPr>
              <w:t>Where</w:t>
            </w:r>
            <w:r w:rsidRPr="00812ECB">
              <w:rPr>
                <w:bCs/>
                <w:iCs/>
              </w:rPr>
              <w:t xml:space="preserve"> the price for Settlement Meter is determined as follows:</w:t>
            </w:r>
          </w:p>
          <w:p w14:paraId="1B30B4DA" w14:textId="77777777" w:rsidR="006C5B5E" w:rsidRPr="00812ECB" w:rsidRDefault="006C5B5E" w:rsidP="006C5B5E">
            <w:pPr>
              <w:spacing w:after="240"/>
              <w:ind w:left="2880" w:hanging="2160"/>
              <w:rPr>
                <w:b/>
                <w:lang w:val="es-ES"/>
              </w:rPr>
            </w:pPr>
            <w:r w:rsidRPr="00812ECB">
              <w:rPr>
                <w:b/>
                <w:lang w:val="es-ES"/>
              </w:rPr>
              <w:t>RTRMPRCLR</w:t>
            </w:r>
            <w:r w:rsidRPr="00812ECB">
              <w:rPr>
                <w:b/>
                <w:i/>
                <w:iCs/>
                <w:vertAlign w:val="subscript"/>
                <w:lang w:val="es-ES"/>
              </w:rPr>
              <w:t xml:space="preserve"> b</w:t>
            </w:r>
            <w:r w:rsidRPr="00812ECB">
              <w:rPr>
                <w:b/>
                <w:lang w:val="es-ES"/>
              </w:rPr>
              <w:t xml:space="preserve"> </w:t>
            </w:r>
            <w:r w:rsidRPr="00812ECB">
              <w:rPr>
                <w:b/>
                <w:lang w:val="es-ES"/>
              </w:rPr>
              <w:tab/>
              <w:t xml:space="preserve">= </w:t>
            </w:r>
            <w:r w:rsidRPr="00812ECB">
              <w:rPr>
                <w:b/>
              </w:rPr>
              <w:t>Max [-$251, (</w:t>
            </w:r>
            <w:r w:rsidRPr="00812ECB">
              <w:rPr>
                <w:rFonts w:ascii="Times New Roman Bold" w:hAnsi="Times New Roman Bold"/>
                <w:b/>
                <w:noProof/>
                <w:position w:val="-18"/>
              </w:rPr>
              <w:drawing>
                <wp:inline distT="0" distB="0" distL="0" distR="0" wp14:anchorId="2B9CA0B6" wp14:editId="32CE304C">
                  <wp:extent cx="146685" cy="293370"/>
                  <wp:effectExtent l="0" t="0" r="0" b="0"/>
                  <wp:docPr id="90" name="Picture 13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sidRPr="00812ECB">
              <w:rPr>
                <w:b/>
                <w:lang w:val="es-ES"/>
              </w:rPr>
              <w:t xml:space="preserve">(RNWFL </w:t>
            </w:r>
            <w:r w:rsidRPr="00812ECB">
              <w:rPr>
                <w:b/>
                <w:i/>
                <w:iCs/>
                <w:vertAlign w:val="subscript"/>
                <w:lang w:val="es-ES"/>
              </w:rPr>
              <w:t xml:space="preserve">b, y </w:t>
            </w:r>
            <w:r w:rsidRPr="00812ECB">
              <w:rPr>
                <w:b/>
                <w:lang w:val="es-ES"/>
              </w:rPr>
              <w:t xml:space="preserve">* RTLMP </w:t>
            </w:r>
            <w:r w:rsidRPr="00812ECB">
              <w:rPr>
                <w:b/>
                <w:i/>
                <w:vertAlign w:val="subscript"/>
                <w:lang w:val="es-ES"/>
              </w:rPr>
              <w:t>b</w:t>
            </w:r>
            <w:r w:rsidRPr="00812ECB">
              <w:rPr>
                <w:b/>
                <w:i/>
                <w:iCs/>
                <w:vertAlign w:val="subscript"/>
                <w:lang w:val="es-ES"/>
              </w:rPr>
              <w:t>, y</w:t>
            </w:r>
            <w:r w:rsidRPr="00812ECB">
              <w:rPr>
                <w:b/>
                <w:lang w:val="es-ES"/>
              </w:rPr>
              <w:t xml:space="preserve">) </w:t>
            </w:r>
            <w:r w:rsidRPr="00812ECB">
              <w:rPr>
                <w:b/>
              </w:rPr>
              <w:t>+ RTRDP)]</w:t>
            </w:r>
          </w:p>
          <w:p w14:paraId="20939C7B" w14:textId="77777777" w:rsidR="00423D31" w:rsidRDefault="00423D31" w:rsidP="00423D31">
            <w:pPr>
              <w:spacing w:after="240"/>
              <w:ind w:firstLine="720"/>
            </w:pPr>
            <w:r w:rsidRPr="004368B4">
              <w:t xml:space="preserve">Where the weighting factor for the </w:t>
            </w:r>
            <w:r>
              <w:t>Electrical B</w:t>
            </w:r>
            <w:r w:rsidRPr="004368B4">
              <w:t>us associated with the meter is:</w:t>
            </w:r>
          </w:p>
          <w:p w14:paraId="59E6DBCC" w14:textId="3A46ECE1" w:rsidR="00423D31" w:rsidRDefault="00423D31" w:rsidP="00423D31">
            <w:pPr>
              <w:spacing w:after="240"/>
              <w:ind w:firstLine="720"/>
              <w:rPr>
                <w:b/>
                <w:lang w:val="es-ES"/>
              </w:rPr>
            </w:pPr>
            <w:r w:rsidRPr="000D15B1">
              <w:rPr>
                <w:b/>
                <w:lang w:val="es-ES"/>
              </w:rPr>
              <w:lastRenderedPageBreak/>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[Max (0.001,</w:t>
            </w:r>
            <w:r w:rsidR="006F7954" w:rsidRPr="00A552C3">
              <w:rPr>
                <w:b/>
                <w:lang w:val="es-ES"/>
              </w:rPr>
              <w:t xml:space="preserve"> ABS(</w:t>
            </w:r>
            <w:r w:rsidRPr="00351F0F">
              <w:rPr>
                <w:b/>
                <w:lang w:val="es-ES"/>
              </w:rPr>
              <w:t xml:space="preserve"> </w:t>
            </w:r>
            <w:r>
              <w:rPr>
                <w:noProof/>
                <w:position w:val="-18"/>
              </w:rPr>
              <w:drawing>
                <wp:inline distT="0" distB="0" distL="0" distR="0" wp14:anchorId="686E41B8" wp14:editId="68DC270D">
                  <wp:extent cx="142875" cy="270510"/>
                  <wp:effectExtent l="0" t="0" r="9525" b="0"/>
                  <wp:docPr id="2090"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006F7954" w:rsidRPr="00A552C3">
              <w:rPr>
                <w:b/>
                <w:lang w:val="es-ES"/>
              </w:rPr>
              <w:t xml:space="preserve">Min(0, </w:t>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w:t>
            </w:r>
            <w:r w:rsidR="006F7954">
              <w:rPr>
                <w:b/>
                <w:lang w:val="es-ES"/>
              </w:rPr>
              <w:t>))</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88B0C09" w14:textId="4DFA51FF" w:rsidR="00423D31" w:rsidRDefault="00423D31" w:rsidP="00423D31">
            <w:pPr>
              <w:spacing w:after="240"/>
              <w:ind w:firstLine="720"/>
              <w:rPr>
                <w:b/>
                <w:lang w:val="es-ES"/>
              </w:rPr>
            </w:pPr>
            <w:r>
              <w:rPr>
                <w:b/>
                <w:lang w:val="es-ES"/>
              </w:rPr>
              <w:tab/>
            </w:r>
            <w:r>
              <w:rPr>
                <w:b/>
                <w:lang w:val="es-ES"/>
              </w:rPr>
              <w:tab/>
            </w:r>
            <w:r>
              <w:rPr>
                <w:b/>
                <w:lang w:val="es-ES"/>
              </w:rPr>
              <w:tab/>
            </w:r>
            <w:r w:rsidRPr="00351F0F">
              <w:rPr>
                <w:b/>
                <w:lang w:val="es-ES"/>
              </w:rPr>
              <w:t>[</w:t>
            </w:r>
            <w:r>
              <w:rPr>
                <w:rFonts w:ascii="Times New Roman Bold" w:hAnsi="Times New Roman Bold"/>
                <w:b/>
                <w:noProof/>
                <w:position w:val="-18"/>
              </w:rPr>
              <w:drawing>
                <wp:inline distT="0" distB="0" distL="0" distR="0" wp14:anchorId="60D31D8C" wp14:editId="1E217F6B">
                  <wp:extent cx="142875" cy="294005"/>
                  <wp:effectExtent l="0" t="0" r="9525" b="0"/>
                  <wp:docPr id="2091"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0D15B1">
              <w:rPr>
                <w:b/>
                <w:lang w:val="es-ES"/>
              </w:rPr>
              <w:t>Max (0.001,</w:t>
            </w:r>
            <w:r w:rsidR="006F7954" w:rsidRPr="00A552C3">
              <w:rPr>
                <w:b/>
                <w:lang w:val="es-ES"/>
              </w:rPr>
              <w:t xml:space="preserve"> ABS(</w:t>
            </w:r>
            <w:r w:rsidRPr="000D15B1">
              <w:rPr>
                <w:b/>
                <w:lang w:val="es-ES"/>
              </w:rPr>
              <w:t xml:space="preserve"> </w:t>
            </w:r>
            <w:r>
              <w:rPr>
                <w:noProof/>
                <w:position w:val="-18"/>
              </w:rPr>
              <w:drawing>
                <wp:inline distT="0" distB="0" distL="0" distR="0" wp14:anchorId="0621F382" wp14:editId="5F876837">
                  <wp:extent cx="142875" cy="270510"/>
                  <wp:effectExtent l="0" t="0" r="9525" b="0"/>
                  <wp:docPr id="2093"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0D15B1">
              <w:rPr>
                <w:b/>
                <w:lang w:val="es-ES"/>
              </w:rPr>
              <w:t xml:space="preserve"> </w:t>
            </w:r>
            <w:r w:rsidR="006F7954" w:rsidRPr="00A552C3">
              <w:rPr>
                <w:b/>
                <w:lang w:val="es-ES"/>
              </w:rPr>
              <w:t xml:space="preserve">Min(0,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006F7954">
              <w:rPr>
                <w:b/>
                <w:lang w:val="es-ES"/>
              </w:rPr>
              <w:t>))</w:t>
            </w:r>
            <w:r w:rsidRPr="00351F0F">
              <w:rPr>
                <w:b/>
                <w:lang w:val="es-ES"/>
              </w:rPr>
              <w:t xml:space="preserve"> * TLMP </w:t>
            </w:r>
            <w:r w:rsidRPr="00351F0F">
              <w:rPr>
                <w:b/>
                <w:i/>
                <w:iCs/>
                <w:vertAlign w:val="subscript"/>
                <w:lang w:val="es-ES"/>
              </w:rPr>
              <w:t>y</w:t>
            </w:r>
            <w:r w:rsidRPr="00351F0F">
              <w:rPr>
                <w:b/>
                <w:lang w:val="es-ES"/>
              </w:rPr>
              <w:t>]</w:t>
            </w:r>
          </w:p>
          <w:p w14:paraId="59597076" w14:textId="77777777" w:rsidR="00423D31" w:rsidRPr="0080555B" w:rsidRDefault="00423D31" w:rsidP="00423D31">
            <w:pPr>
              <w:spacing w:after="240"/>
            </w:pPr>
            <w:r w:rsidRPr="0080555B">
              <w:t>Where:</w:t>
            </w:r>
          </w:p>
          <w:p w14:paraId="3F326894" w14:textId="769D3A00" w:rsidR="00423D31" w:rsidRPr="0080555B" w:rsidRDefault="00423D31" w:rsidP="00423D31">
            <w:pPr>
              <w:spacing w:after="240"/>
              <w:ind w:left="720"/>
            </w:pPr>
            <w:r w:rsidRPr="00193B05">
              <w:t>RTRDP =</w:t>
            </w:r>
            <w:r w:rsidRPr="00193B05">
              <w:tab/>
            </w:r>
            <w:r>
              <w:tab/>
            </w:r>
            <w:r w:rsidRPr="00193B05">
              <w:rPr>
                <w:position w:val="-22"/>
              </w:rPr>
              <w:object w:dxaOrig="225" w:dyaOrig="465" w14:anchorId="32D7EA4D">
                <v:shape id="_x0000_i1139" type="#_x0000_t75" style="width:12pt;height:18pt" o:ole="">
                  <v:imagedata r:id="rId22" o:title=""/>
                </v:shape>
                <o:OLEObject Type="Embed" ProgID="Equation.3" ShapeID="_x0000_i1139" DrawAspect="Content" ObjectID="_1804653624" r:id="rId154"/>
              </w:object>
            </w:r>
            <w:r w:rsidRPr="00193B05">
              <w:t xml:space="preserve">(RNWF </w:t>
            </w:r>
            <w:r w:rsidRPr="00193B05">
              <w:rPr>
                <w:i/>
                <w:iCs/>
                <w:vertAlign w:val="subscript"/>
              </w:rPr>
              <w:t xml:space="preserve"> y </w:t>
            </w:r>
            <w:r w:rsidRPr="00193B05">
              <w:t>* RTRDPA</w:t>
            </w:r>
            <w:r w:rsidRPr="00193B05">
              <w:rPr>
                <w:i/>
                <w:iCs/>
                <w:vertAlign w:val="subscript"/>
              </w:rPr>
              <w:t xml:space="preserve"> y</w:t>
            </w:r>
            <w:r w:rsidRPr="00193B05">
              <w:t>)</w:t>
            </w:r>
          </w:p>
          <w:p w14:paraId="0BE2C438" w14:textId="77777777" w:rsidR="00423D31" w:rsidRPr="003C650E" w:rsidRDefault="00423D31" w:rsidP="00423D31">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04454BB">
                <v:shape id="_x0000_i1140" type="#_x0000_t75" style="width:12pt;height:18pt" o:ole="">
                  <v:imagedata r:id="rId22" o:title=""/>
                </v:shape>
                <o:OLEObject Type="Embed" ProgID="Equation.3" ShapeID="_x0000_i1140" DrawAspect="Content" ObjectID="_1804653625" r:id="rId155"/>
              </w:object>
            </w:r>
            <w:r w:rsidRPr="0080555B">
              <w:t xml:space="preserve">TLMP </w:t>
            </w:r>
            <w:r w:rsidRPr="0080555B">
              <w:rPr>
                <w:i/>
                <w:vertAlign w:val="subscript"/>
              </w:rPr>
              <w:t>y</w:t>
            </w:r>
          </w:p>
          <w:p w14:paraId="158E52A4" w14:textId="43C73740" w:rsidR="00423D31" w:rsidRDefault="00423D31" w:rsidP="00423D31">
            <w:pPr>
              <w:pStyle w:val="BodyTextNumbered"/>
              <w:spacing w:before="120"/>
              <w:ind w:firstLine="0"/>
            </w:pPr>
            <w:r w:rsidRPr="00351F0F">
              <w:t xml:space="preserve">The summation is over all </w:t>
            </w:r>
            <w:r w:rsidR="00632873" w:rsidRPr="00812ECB">
              <w:t xml:space="preserve">CLR (that is not an ALR) or </w:t>
            </w:r>
            <w:r>
              <w:t>ESR Load</w:t>
            </w:r>
            <w:r w:rsidRPr="00351F0F">
              <w:t xml:space="preserve"> </w:t>
            </w:r>
            <w:r w:rsidRPr="00351F0F">
              <w:rPr>
                <w:i/>
                <w:iCs/>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10051D32" w14:textId="77777777" w:rsidR="00423D31" w:rsidRDefault="00423D31" w:rsidP="00423D31">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6"/>
              <w:gridCol w:w="1231"/>
              <w:gridCol w:w="5791"/>
            </w:tblGrid>
            <w:tr w:rsidR="008050FF" w14:paraId="5A268B01" w14:textId="77777777" w:rsidTr="00806724">
              <w:trPr>
                <w:cantSplit/>
                <w:tblHeader/>
              </w:trPr>
              <w:tc>
                <w:tcPr>
                  <w:tcW w:w="1145" w:type="pct"/>
                </w:tcPr>
                <w:p w14:paraId="1EF42B87" w14:textId="77777777" w:rsidR="008050FF" w:rsidRDefault="008050FF" w:rsidP="008050FF">
                  <w:pPr>
                    <w:pStyle w:val="TableHead"/>
                  </w:pPr>
                  <w:r>
                    <w:t>Variable</w:t>
                  </w:r>
                </w:p>
              </w:tc>
              <w:tc>
                <w:tcPr>
                  <w:tcW w:w="676" w:type="pct"/>
                </w:tcPr>
                <w:p w14:paraId="18368F18" w14:textId="77777777" w:rsidR="008050FF" w:rsidRDefault="008050FF" w:rsidP="008050FF">
                  <w:pPr>
                    <w:pStyle w:val="TableHead"/>
                  </w:pPr>
                  <w:r>
                    <w:t>Unit</w:t>
                  </w:r>
                </w:p>
              </w:tc>
              <w:tc>
                <w:tcPr>
                  <w:tcW w:w="3179" w:type="pct"/>
                </w:tcPr>
                <w:p w14:paraId="001C5647" w14:textId="77777777" w:rsidR="008050FF" w:rsidRDefault="008050FF" w:rsidP="008050FF">
                  <w:pPr>
                    <w:pStyle w:val="TableHead"/>
                  </w:pPr>
                  <w:r>
                    <w:t>Description</w:t>
                  </w:r>
                </w:p>
              </w:tc>
            </w:tr>
            <w:tr w:rsidR="008050FF" w14:paraId="2BBF187D" w14:textId="77777777" w:rsidTr="00806724">
              <w:trPr>
                <w:cantSplit/>
              </w:trPr>
              <w:tc>
                <w:tcPr>
                  <w:tcW w:w="1145" w:type="pct"/>
                </w:tcPr>
                <w:p w14:paraId="13AF7B76" w14:textId="77777777" w:rsidR="008050FF" w:rsidRDefault="008050FF" w:rsidP="008050FF">
                  <w:pPr>
                    <w:pStyle w:val="tablebody0"/>
                  </w:pPr>
                  <w:r>
                    <w:t xml:space="preserve">RTLMP </w:t>
                  </w:r>
                  <w:r w:rsidRPr="00107CC2">
                    <w:rPr>
                      <w:i/>
                      <w:vertAlign w:val="subscript"/>
                    </w:rPr>
                    <w:t>b, y</w:t>
                  </w:r>
                </w:p>
              </w:tc>
              <w:tc>
                <w:tcPr>
                  <w:tcW w:w="676" w:type="pct"/>
                </w:tcPr>
                <w:p w14:paraId="4E20146A" w14:textId="77777777" w:rsidR="008050FF" w:rsidRDefault="008050FF" w:rsidP="008050FF">
                  <w:pPr>
                    <w:pStyle w:val="tablebody0"/>
                  </w:pPr>
                  <w:r>
                    <w:t>$/MWh</w:t>
                  </w:r>
                </w:p>
              </w:tc>
              <w:tc>
                <w:tcPr>
                  <w:tcW w:w="3179" w:type="pct"/>
                </w:tcPr>
                <w:p w14:paraId="3FBC0957" w14:textId="77777777" w:rsidR="008050FF" w:rsidRDefault="008050FF" w:rsidP="008050FF">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8050FF" w14:paraId="3417003F" w14:textId="77777777" w:rsidTr="00806724">
              <w:trPr>
                <w:cantSplit/>
              </w:trPr>
              <w:tc>
                <w:tcPr>
                  <w:tcW w:w="1145" w:type="pct"/>
                </w:tcPr>
                <w:p w14:paraId="5D1B2AA2" w14:textId="77777777" w:rsidR="008050FF" w:rsidRDefault="008050FF" w:rsidP="008050FF">
                  <w:pPr>
                    <w:pStyle w:val="tablebody0"/>
                  </w:pPr>
                  <w:r>
                    <w:t xml:space="preserve">TLMP </w:t>
                  </w:r>
                  <w:r w:rsidRPr="00107CC2">
                    <w:rPr>
                      <w:i/>
                      <w:vertAlign w:val="subscript"/>
                    </w:rPr>
                    <w:t>y</w:t>
                  </w:r>
                </w:p>
              </w:tc>
              <w:tc>
                <w:tcPr>
                  <w:tcW w:w="676" w:type="pct"/>
                </w:tcPr>
                <w:p w14:paraId="763F5DAB" w14:textId="77777777" w:rsidR="008050FF" w:rsidRDefault="008050FF" w:rsidP="008050FF">
                  <w:pPr>
                    <w:pStyle w:val="tablebody0"/>
                    <w:rPr>
                      <w:iCs/>
                    </w:rPr>
                  </w:pPr>
                  <w:r>
                    <w:t>second</w:t>
                  </w:r>
                </w:p>
              </w:tc>
              <w:tc>
                <w:tcPr>
                  <w:tcW w:w="3179" w:type="pct"/>
                </w:tcPr>
                <w:p w14:paraId="77F95AA2" w14:textId="77777777" w:rsidR="008050FF" w:rsidRDefault="008050FF" w:rsidP="008050FF">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8050FF" w14:paraId="2CCD175C" w14:textId="77777777" w:rsidTr="00806724">
              <w:trPr>
                <w:cantSplit/>
              </w:trPr>
              <w:tc>
                <w:tcPr>
                  <w:tcW w:w="1145" w:type="pct"/>
                </w:tcPr>
                <w:p w14:paraId="5E463421" w14:textId="77777777" w:rsidR="008050FF" w:rsidRPr="0080555B" w:rsidRDefault="008050FF" w:rsidP="008050FF">
                  <w:pPr>
                    <w:pStyle w:val="tablebody0"/>
                  </w:pPr>
                  <w:r>
                    <w:t>RTRDP</w:t>
                  </w:r>
                </w:p>
              </w:tc>
              <w:tc>
                <w:tcPr>
                  <w:tcW w:w="676" w:type="pct"/>
                </w:tcPr>
                <w:p w14:paraId="464AAC61" w14:textId="77777777" w:rsidR="008050FF" w:rsidRPr="0080555B" w:rsidRDefault="008050FF" w:rsidP="008050FF">
                  <w:pPr>
                    <w:pStyle w:val="tablebody0"/>
                  </w:pPr>
                  <w:r>
                    <w:t>$/MWh</w:t>
                  </w:r>
                </w:p>
              </w:tc>
              <w:tc>
                <w:tcPr>
                  <w:tcW w:w="3179" w:type="pct"/>
                </w:tcPr>
                <w:p w14:paraId="39C3EFA3" w14:textId="142E5814" w:rsidR="008050FF" w:rsidRPr="0080555B" w:rsidRDefault="008050FF" w:rsidP="00EC5231">
                  <w:pPr>
                    <w:pStyle w:val="tablebody0"/>
                    <w:rPr>
                      <w:i/>
                    </w:rPr>
                  </w:pPr>
                  <w:r>
                    <w:rPr>
                      <w:i/>
                    </w:rPr>
                    <w:t>Real-Time Reliability Deployment Price</w:t>
                  </w:r>
                  <w:r w:rsidR="00EC5231">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EC5231">
                    <w:rPr>
                      <w:bCs/>
                    </w:rPr>
                    <w:t>T</w:t>
                  </w:r>
                  <w:r>
                    <w:rPr>
                      <w:bCs/>
                    </w:rPr>
                    <w:t>ime Reliability Deployment Price Adder</w:t>
                  </w:r>
                  <w:r w:rsidR="00EC5231">
                    <w:rPr>
                      <w:bCs/>
                    </w:rPr>
                    <w:t xml:space="preserve"> for Energy</w:t>
                  </w:r>
                  <w:r w:rsidRPr="0080555B">
                    <w:t>.</w:t>
                  </w:r>
                </w:p>
              </w:tc>
            </w:tr>
            <w:tr w:rsidR="008050FF" w14:paraId="6363ECD8" w14:textId="77777777" w:rsidTr="00806724">
              <w:trPr>
                <w:cantSplit/>
              </w:trPr>
              <w:tc>
                <w:tcPr>
                  <w:tcW w:w="1145" w:type="pct"/>
                </w:tcPr>
                <w:p w14:paraId="5305E16A" w14:textId="50F5A6FF" w:rsidR="008050FF" w:rsidRPr="0080555B" w:rsidRDefault="008050FF" w:rsidP="008050FF">
                  <w:pPr>
                    <w:pStyle w:val="tablebody0"/>
                  </w:pPr>
                  <w:r>
                    <w:t>RTRDPA</w:t>
                  </w:r>
                  <w:r w:rsidRPr="00CE4C14">
                    <w:rPr>
                      <w:vertAlign w:val="subscript"/>
                    </w:rPr>
                    <w:t xml:space="preserve"> </w:t>
                  </w:r>
                  <w:r w:rsidRPr="00107CC2">
                    <w:rPr>
                      <w:i/>
                      <w:vertAlign w:val="subscript"/>
                    </w:rPr>
                    <w:t>y</w:t>
                  </w:r>
                </w:p>
              </w:tc>
              <w:tc>
                <w:tcPr>
                  <w:tcW w:w="676" w:type="pct"/>
                </w:tcPr>
                <w:p w14:paraId="23A573CE" w14:textId="77777777" w:rsidR="008050FF" w:rsidRPr="0080555B" w:rsidRDefault="008050FF" w:rsidP="008050FF">
                  <w:pPr>
                    <w:pStyle w:val="tablebody0"/>
                  </w:pPr>
                  <w:r>
                    <w:t>$/MWh</w:t>
                  </w:r>
                </w:p>
              </w:tc>
              <w:tc>
                <w:tcPr>
                  <w:tcW w:w="3179" w:type="pct"/>
                </w:tcPr>
                <w:p w14:paraId="1D586694" w14:textId="5610573F" w:rsidR="008050FF" w:rsidRPr="0080555B" w:rsidRDefault="008050FF" w:rsidP="00EC5231">
                  <w:pPr>
                    <w:pStyle w:val="tablebody0"/>
                    <w:rPr>
                      <w:i/>
                    </w:rPr>
                  </w:pPr>
                  <w:r>
                    <w:rPr>
                      <w:i/>
                    </w:rPr>
                    <w:t>Real-Time Reliability Deployment Price Adder</w:t>
                  </w:r>
                  <w:r w:rsidR="00EC5231">
                    <w:rPr>
                      <w:i/>
                    </w:rPr>
                    <w:t xml:space="preserve"> for Energy</w:t>
                  </w:r>
                  <w:r>
                    <w:rPr>
                      <w:i/>
                    </w:rPr>
                    <w:t xml:space="preserve"> </w:t>
                  </w:r>
                  <w:r w:rsidRPr="00CE4C14">
                    <w:sym w:font="Symbol" w:char="F0BE"/>
                  </w:r>
                  <w:r>
                    <w:t xml:space="preserve">The Real-Time </w:t>
                  </w:r>
                  <w:r w:rsidR="00EC5231">
                    <w:t>p</w:t>
                  </w:r>
                  <w:r>
                    <w:t xml:space="preserve">rice </w:t>
                  </w:r>
                  <w:r w:rsidR="00EC5231">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8050FF" w14:paraId="7CD1A681" w14:textId="77777777" w:rsidTr="00806724">
              <w:trPr>
                <w:cantSplit/>
              </w:trPr>
              <w:tc>
                <w:tcPr>
                  <w:tcW w:w="1145" w:type="pct"/>
                </w:tcPr>
                <w:p w14:paraId="0B81F356" w14:textId="77777777" w:rsidR="008050FF" w:rsidRPr="004368B4" w:rsidRDefault="008050FF" w:rsidP="008050FF">
                  <w:pPr>
                    <w:pStyle w:val="tablebody0"/>
                  </w:pPr>
                  <w:r w:rsidRPr="0080555B">
                    <w:t xml:space="preserve">RNWF </w:t>
                  </w:r>
                  <w:r w:rsidRPr="00107CC2">
                    <w:rPr>
                      <w:i/>
                      <w:vertAlign w:val="subscript"/>
                    </w:rPr>
                    <w:t>y</w:t>
                  </w:r>
                </w:p>
              </w:tc>
              <w:tc>
                <w:tcPr>
                  <w:tcW w:w="676" w:type="pct"/>
                </w:tcPr>
                <w:p w14:paraId="1360EE0E" w14:textId="77777777" w:rsidR="008050FF" w:rsidRPr="004368B4" w:rsidRDefault="008050FF" w:rsidP="008050FF">
                  <w:pPr>
                    <w:pStyle w:val="tablebody0"/>
                  </w:pPr>
                  <w:r w:rsidRPr="0080555B">
                    <w:t>none</w:t>
                  </w:r>
                </w:p>
              </w:tc>
              <w:tc>
                <w:tcPr>
                  <w:tcW w:w="3179" w:type="pct"/>
                </w:tcPr>
                <w:p w14:paraId="08995154" w14:textId="4BEFF53C" w:rsidR="008050FF" w:rsidRPr="00351F0F" w:rsidRDefault="008050FF" w:rsidP="008050FF">
                  <w:pPr>
                    <w:pStyle w:val="tablebody0"/>
                    <w:rPr>
                      <w:i/>
                    </w:rPr>
                  </w:pPr>
                  <w:r w:rsidRPr="0080555B">
                    <w:rPr>
                      <w:i/>
                    </w:rPr>
                    <w:t>Resource Node Weighting Factor per interval</w:t>
                  </w:r>
                  <w:r w:rsidRPr="0080555B">
                    <w:sym w:font="Symbol" w:char="F0BE"/>
                  </w:r>
                  <w:r w:rsidRPr="0080555B">
                    <w:t xml:space="preserve">The weight used in the </w:t>
                  </w:r>
                  <w:r w:rsidR="006F7954" w:rsidRPr="00A552C3">
                    <w:t>Real-Time Reliability Deployment price</w:t>
                  </w:r>
                  <w:r w:rsidRPr="0080555B">
                    <w:t xml:space="preserve"> calculation for the portion of the SCED interval </w:t>
                  </w:r>
                  <w:r w:rsidRPr="0080555B">
                    <w:rPr>
                      <w:i/>
                    </w:rPr>
                    <w:t>y</w:t>
                  </w:r>
                  <w:r w:rsidRPr="0080555B">
                    <w:t xml:space="preserve"> within the Settlement Interval.</w:t>
                  </w:r>
                </w:p>
              </w:tc>
            </w:tr>
            <w:tr w:rsidR="008050FF" w14:paraId="413EA4AB" w14:textId="77777777" w:rsidTr="00806724">
              <w:trPr>
                <w:cantSplit/>
              </w:trPr>
              <w:tc>
                <w:tcPr>
                  <w:tcW w:w="1145" w:type="pct"/>
                </w:tcPr>
                <w:p w14:paraId="11ED9C66" w14:textId="77777777" w:rsidR="008050FF" w:rsidRDefault="008050FF" w:rsidP="008050FF">
                  <w:pPr>
                    <w:pStyle w:val="tablebody0"/>
                  </w:pPr>
                  <w:r w:rsidRPr="004368B4">
                    <w:t>MEBL</w:t>
                  </w:r>
                  <w:r w:rsidRPr="004368B4">
                    <w:rPr>
                      <w:vertAlign w:val="subscript"/>
                    </w:rPr>
                    <w:t xml:space="preserve"> </w:t>
                  </w:r>
                  <w:r w:rsidRPr="00107CC2">
                    <w:rPr>
                      <w:i/>
                      <w:vertAlign w:val="subscript"/>
                    </w:rPr>
                    <w:t>q,r,b</w:t>
                  </w:r>
                </w:p>
              </w:tc>
              <w:tc>
                <w:tcPr>
                  <w:tcW w:w="676" w:type="pct"/>
                </w:tcPr>
                <w:p w14:paraId="6395C081" w14:textId="77777777" w:rsidR="008050FF" w:rsidRDefault="008050FF" w:rsidP="008050FF">
                  <w:pPr>
                    <w:pStyle w:val="tablebody0"/>
                  </w:pPr>
                  <w:r w:rsidRPr="004368B4">
                    <w:t>MWh</w:t>
                  </w:r>
                </w:p>
              </w:tc>
              <w:tc>
                <w:tcPr>
                  <w:tcW w:w="3179" w:type="pct"/>
                </w:tcPr>
                <w:p w14:paraId="030711B3" w14:textId="7FFA5CCF" w:rsidR="008050FF" w:rsidRDefault="008050FF" w:rsidP="008050FF">
                  <w:pPr>
                    <w:pStyle w:val="tablebody0"/>
                    <w:rPr>
                      <w:i/>
                      <w:iCs/>
                    </w:rPr>
                  </w:pPr>
                  <w:r w:rsidRPr="00351F0F">
                    <w:rPr>
                      <w:i/>
                    </w:rPr>
                    <w:t xml:space="preserve">Metered Energy for Wholesale </w:t>
                  </w:r>
                  <w:r>
                    <w:rPr>
                      <w:i/>
                    </w:rPr>
                    <w:t xml:space="preserve">Storage </w:t>
                  </w:r>
                  <w:r w:rsidRPr="00351F0F">
                    <w:rPr>
                      <w:i/>
                    </w:rPr>
                    <w:t xml:space="preserve">Load at </w:t>
                  </w:r>
                  <w:r w:rsidR="00632873">
                    <w:rPr>
                      <w:i/>
                    </w:rPr>
                    <w:t>B</w:t>
                  </w:r>
                  <w:r w:rsidRPr="00351F0F">
                    <w:rPr>
                      <w:i/>
                    </w:rPr>
                    <w:t>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632873" w14:paraId="706DA1C8" w14:textId="77777777" w:rsidTr="00806724">
              <w:trPr>
                <w:cantSplit/>
              </w:trPr>
              <w:tc>
                <w:tcPr>
                  <w:tcW w:w="1145" w:type="pct"/>
                </w:tcPr>
                <w:p w14:paraId="0E2C68CD" w14:textId="30052DF0" w:rsidR="00632873" w:rsidRPr="00067E90" w:rsidRDefault="00632873" w:rsidP="00632873">
                  <w:pPr>
                    <w:pStyle w:val="tablebody0"/>
                  </w:pPr>
                  <w:r w:rsidRPr="00812ECB">
                    <w:t xml:space="preserve">MEBCL </w:t>
                  </w:r>
                  <w:r w:rsidRPr="00812ECB">
                    <w:rPr>
                      <w:i/>
                      <w:vertAlign w:val="subscript"/>
                    </w:rPr>
                    <w:t>q, r, b</w:t>
                  </w:r>
                </w:p>
              </w:tc>
              <w:tc>
                <w:tcPr>
                  <w:tcW w:w="676" w:type="pct"/>
                </w:tcPr>
                <w:p w14:paraId="58BD2629" w14:textId="51C023A8" w:rsidR="00632873" w:rsidRPr="00067E90" w:rsidRDefault="00632873" w:rsidP="00632873">
                  <w:pPr>
                    <w:pStyle w:val="tablebody0"/>
                  </w:pPr>
                  <w:r w:rsidRPr="00812ECB">
                    <w:t>MWh</w:t>
                  </w:r>
                </w:p>
              </w:tc>
              <w:tc>
                <w:tcPr>
                  <w:tcW w:w="3179" w:type="pct"/>
                </w:tcPr>
                <w:p w14:paraId="6B6DDABE" w14:textId="5324CB35" w:rsidR="00632873" w:rsidRPr="004615F6" w:rsidRDefault="00632873" w:rsidP="00632873">
                  <w:pPr>
                    <w:pStyle w:val="tablebody0"/>
                    <w:rPr>
                      <w:i/>
                    </w:rPr>
                  </w:pPr>
                  <w:r w:rsidRPr="00812ECB">
                    <w:rPr>
                      <w:i/>
                    </w:rPr>
                    <w:t xml:space="preserve">Calculated Metered Energy for CLR Load at Bus </w:t>
                  </w:r>
                  <w:r w:rsidRPr="00812ECB">
                    <w:t xml:space="preserve">- The calculated CLR Load, adjusted for UFE,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 xml:space="preserve">.  </w:t>
                  </w:r>
                  <w:r w:rsidRPr="00812ECB">
                    <w:rPr>
                      <w:i/>
                    </w:rPr>
                    <w:t xml:space="preserve"> </w:t>
                  </w:r>
                </w:p>
              </w:tc>
            </w:tr>
            <w:tr w:rsidR="00632873" w14:paraId="2C6A28A7" w14:textId="77777777" w:rsidTr="00806724">
              <w:trPr>
                <w:cantSplit/>
              </w:trPr>
              <w:tc>
                <w:tcPr>
                  <w:tcW w:w="1145" w:type="pct"/>
                </w:tcPr>
                <w:p w14:paraId="38E4721D" w14:textId="45948EAA" w:rsidR="00632873" w:rsidRPr="00067E90" w:rsidRDefault="00632873" w:rsidP="00632873">
                  <w:pPr>
                    <w:pStyle w:val="tablebody0"/>
                  </w:pPr>
                  <w:r w:rsidRPr="00812ECB">
                    <w:t xml:space="preserve">MEBCLFG </w:t>
                  </w:r>
                  <w:r w:rsidRPr="00812ECB">
                    <w:rPr>
                      <w:i/>
                      <w:vertAlign w:val="subscript"/>
                    </w:rPr>
                    <w:t>q, r, b</w:t>
                  </w:r>
                </w:p>
              </w:tc>
              <w:tc>
                <w:tcPr>
                  <w:tcW w:w="676" w:type="pct"/>
                </w:tcPr>
                <w:p w14:paraId="2EFA9123" w14:textId="6F31E480" w:rsidR="00632873" w:rsidRPr="00067E90" w:rsidRDefault="00632873" w:rsidP="00632873">
                  <w:pPr>
                    <w:pStyle w:val="tablebody0"/>
                  </w:pPr>
                  <w:r w:rsidRPr="00812ECB">
                    <w:t>MWh</w:t>
                  </w:r>
                </w:p>
              </w:tc>
              <w:tc>
                <w:tcPr>
                  <w:tcW w:w="3179" w:type="pct"/>
                </w:tcPr>
                <w:p w14:paraId="5D9EB3F2" w14:textId="6817ED0C" w:rsidR="00632873" w:rsidRPr="004615F6" w:rsidRDefault="00632873" w:rsidP="00632873">
                  <w:pPr>
                    <w:pStyle w:val="tablebody0"/>
                    <w:rPr>
                      <w:i/>
                    </w:rPr>
                  </w:pPr>
                  <w:r w:rsidRPr="00812ECB">
                    <w:rPr>
                      <w:i/>
                    </w:rPr>
                    <w:t>Adjusted Metered Energy for CLR Load supplied from the grid at Bus (Calculated)</w:t>
                  </w:r>
                  <w:r w:rsidRPr="00812ECB">
                    <w:t xml:space="preserve">—The portion of energy metered by the Settlement Meter which measures CLR Load supplied from the grid that is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632873" w14:paraId="01149654" w14:textId="77777777" w:rsidTr="00806724">
              <w:trPr>
                <w:cantSplit/>
              </w:trPr>
              <w:tc>
                <w:tcPr>
                  <w:tcW w:w="1145" w:type="pct"/>
                </w:tcPr>
                <w:p w14:paraId="7FA64B0E" w14:textId="78EDCA96" w:rsidR="00632873" w:rsidRPr="00067E90" w:rsidRDefault="00632873" w:rsidP="00632873">
                  <w:pPr>
                    <w:pStyle w:val="tablebody0"/>
                  </w:pPr>
                  <w:r w:rsidRPr="00812ECB">
                    <w:lastRenderedPageBreak/>
                    <w:t xml:space="preserve">MEBCLSG </w:t>
                  </w:r>
                  <w:r w:rsidRPr="00812ECB">
                    <w:rPr>
                      <w:i/>
                      <w:vertAlign w:val="subscript"/>
                    </w:rPr>
                    <w:t>q, r, b</w:t>
                  </w:r>
                </w:p>
              </w:tc>
              <w:tc>
                <w:tcPr>
                  <w:tcW w:w="676" w:type="pct"/>
                </w:tcPr>
                <w:p w14:paraId="299A67BA" w14:textId="5581C58A" w:rsidR="00632873" w:rsidRPr="00067E90" w:rsidRDefault="00632873" w:rsidP="00632873">
                  <w:pPr>
                    <w:pStyle w:val="tablebody0"/>
                  </w:pPr>
                  <w:r w:rsidRPr="00812ECB">
                    <w:t>MWh</w:t>
                  </w:r>
                </w:p>
              </w:tc>
              <w:tc>
                <w:tcPr>
                  <w:tcW w:w="3179" w:type="pct"/>
                </w:tcPr>
                <w:p w14:paraId="238A05FE" w14:textId="6E843272" w:rsidR="00632873" w:rsidRPr="004615F6" w:rsidRDefault="00632873" w:rsidP="00632873">
                  <w:pPr>
                    <w:pStyle w:val="tablebody0"/>
                    <w:rPr>
                      <w:i/>
                    </w:rPr>
                  </w:pPr>
                  <w:r w:rsidRPr="00812ECB">
                    <w:rPr>
                      <w:i/>
                    </w:rPr>
                    <w:t xml:space="preserve">Metered Energy for CLR Load supplied from co-located generation with Net Metering arrangement, at Bus (Calculated) </w:t>
                  </w:r>
                  <w:r w:rsidRPr="00812ECB">
                    <w:t xml:space="preserve">—The portion of energy metered by the Settlement Meter which measures CLR Load supplied from the co-located generation with Net Metering arrangement. This is not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8050FF" w14:paraId="05682B65" w14:textId="77777777" w:rsidTr="00806724">
              <w:trPr>
                <w:cantSplit/>
              </w:trPr>
              <w:tc>
                <w:tcPr>
                  <w:tcW w:w="1145" w:type="pct"/>
                </w:tcPr>
                <w:p w14:paraId="1B400726" w14:textId="77777777" w:rsidR="008050FF" w:rsidRPr="004368B4" w:rsidRDefault="008050FF" w:rsidP="008050FF">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676" w:type="pct"/>
                </w:tcPr>
                <w:p w14:paraId="025EEAD1" w14:textId="77777777" w:rsidR="008050FF" w:rsidRPr="004368B4" w:rsidRDefault="008050FF" w:rsidP="008050FF">
                  <w:pPr>
                    <w:pStyle w:val="tablebody0"/>
                  </w:pPr>
                  <w:r w:rsidRPr="00067E90">
                    <w:t>MWh</w:t>
                  </w:r>
                </w:p>
              </w:tc>
              <w:tc>
                <w:tcPr>
                  <w:tcW w:w="3179" w:type="pct"/>
                </w:tcPr>
                <w:p w14:paraId="0E62F546" w14:textId="5A4D3779" w:rsidR="008050FF" w:rsidRPr="00351F0F" w:rsidRDefault="00632873" w:rsidP="00674579">
                  <w:pPr>
                    <w:pStyle w:val="tablebody0"/>
                    <w:rPr>
                      <w:i/>
                    </w:rPr>
                  </w:pPr>
                  <w:r>
                    <w:rPr>
                      <w:i/>
                    </w:rPr>
                    <w:t xml:space="preserve">Calculated </w:t>
                  </w:r>
                  <w:r w:rsidR="008050FF" w:rsidRPr="004615F6">
                    <w:rPr>
                      <w:i/>
                    </w:rPr>
                    <w:t xml:space="preserve">Metered Energy for </w:t>
                  </w:r>
                  <w:r w:rsidR="008050FF" w:rsidRPr="00157CEA">
                    <w:rPr>
                      <w:i/>
                    </w:rPr>
                    <w:t xml:space="preserve">Energy Storage Resource </w:t>
                  </w:r>
                  <w:r w:rsidR="008050FF">
                    <w:rPr>
                      <w:i/>
                    </w:rPr>
                    <w:t xml:space="preserve">Load </w:t>
                  </w:r>
                  <w:r w:rsidR="008050FF" w:rsidRPr="004615F6">
                    <w:rPr>
                      <w:i/>
                    </w:rPr>
                    <w:t xml:space="preserve">at Bus </w:t>
                  </w:r>
                  <w:r w:rsidR="008050FF" w:rsidRPr="00157CEA">
                    <w:t xml:space="preserve">- </w:t>
                  </w:r>
                  <w:r w:rsidR="008050FF" w:rsidRPr="00B3121D">
                    <w:t xml:space="preserve">The </w:t>
                  </w:r>
                  <w:r>
                    <w:t>calculated</w:t>
                  </w:r>
                  <w:r w:rsidR="008050FF" w:rsidRPr="00B3121D">
                    <w:t xml:space="preserve"> </w:t>
                  </w:r>
                  <w:r w:rsidR="00674579">
                    <w:t>Non-WSL ESR Charging Load</w:t>
                  </w:r>
                  <w:r w:rsidRPr="00812ECB">
                    <w:t>, adjusted for UFE,</w:t>
                  </w:r>
                  <w:r w:rsidR="008050FF">
                    <w:t xml:space="preserve"> </w:t>
                  </w:r>
                  <w:r w:rsidR="008050FF" w:rsidRPr="00B3121D">
                    <w:t xml:space="preserve">for the 15-minute Settlement </w:t>
                  </w:r>
                  <w:r w:rsidR="008050FF" w:rsidRPr="00B4196C">
                    <w:t xml:space="preserve">Interval represented as a negative value, for the QSE </w:t>
                  </w:r>
                  <w:r w:rsidR="008050FF" w:rsidRPr="00E26485">
                    <w:rPr>
                      <w:i/>
                    </w:rPr>
                    <w:t>q</w:t>
                  </w:r>
                  <w:r w:rsidR="008050FF" w:rsidRPr="00B35E2C">
                    <w:t xml:space="preserve">, Resource </w:t>
                  </w:r>
                  <w:r w:rsidR="008050FF" w:rsidRPr="007045B8">
                    <w:rPr>
                      <w:i/>
                    </w:rPr>
                    <w:t>r</w:t>
                  </w:r>
                  <w:r w:rsidR="008050FF" w:rsidRPr="0031111F">
                    <w:t xml:space="preserve">, at bus </w:t>
                  </w:r>
                  <w:r w:rsidR="008050FF" w:rsidRPr="0007572F">
                    <w:rPr>
                      <w:i/>
                    </w:rPr>
                    <w:t>b</w:t>
                  </w:r>
                  <w:r w:rsidR="008050FF" w:rsidRPr="0007572F">
                    <w:t xml:space="preserve">.  </w:t>
                  </w:r>
                  <w:r w:rsidR="008050FF" w:rsidRPr="00067E90">
                    <w:rPr>
                      <w:i/>
                    </w:rPr>
                    <w:t xml:space="preserve"> </w:t>
                  </w:r>
                </w:p>
              </w:tc>
            </w:tr>
            <w:tr w:rsidR="00632873" w14:paraId="46C35888" w14:textId="77777777" w:rsidTr="00806724">
              <w:trPr>
                <w:cantSplit/>
              </w:trPr>
              <w:tc>
                <w:tcPr>
                  <w:tcW w:w="1145" w:type="pct"/>
                </w:tcPr>
                <w:p w14:paraId="38CAE539" w14:textId="4DAA9259" w:rsidR="00632873" w:rsidRDefault="00632873" w:rsidP="00632873">
                  <w:pPr>
                    <w:pStyle w:val="tablebody0"/>
                  </w:pPr>
                  <w:r w:rsidRPr="00812ECB">
                    <w:t xml:space="preserve">MEBRFG </w:t>
                  </w:r>
                  <w:r w:rsidRPr="00812ECB">
                    <w:rPr>
                      <w:i/>
                      <w:vertAlign w:val="subscript"/>
                    </w:rPr>
                    <w:t>q, r, b</w:t>
                  </w:r>
                </w:p>
              </w:tc>
              <w:tc>
                <w:tcPr>
                  <w:tcW w:w="676" w:type="pct"/>
                </w:tcPr>
                <w:p w14:paraId="5AC87C5E" w14:textId="23BD5080" w:rsidR="00632873" w:rsidRPr="004368B4" w:rsidRDefault="00632873" w:rsidP="00632873">
                  <w:pPr>
                    <w:pStyle w:val="tablebody0"/>
                  </w:pPr>
                  <w:r w:rsidRPr="00812ECB">
                    <w:t>MWh</w:t>
                  </w:r>
                </w:p>
              </w:tc>
              <w:tc>
                <w:tcPr>
                  <w:tcW w:w="3179" w:type="pct"/>
                </w:tcPr>
                <w:p w14:paraId="585818FC" w14:textId="30C6151E" w:rsidR="00632873" w:rsidRDefault="00632873" w:rsidP="00632873">
                  <w:pPr>
                    <w:pStyle w:val="tablebody0"/>
                    <w:rPr>
                      <w:i/>
                    </w:rPr>
                  </w:pPr>
                  <w:r w:rsidRPr="00812ECB">
                    <w:rPr>
                      <w:i/>
                    </w:rPr>
                    <w:t xml:space="preserve">Adjusted Metered Energy for Energy Storage Resource Load supplied from the grid at Bus (Calculated) </w:t>
                  </w:r>
                  <w:r w:rsidRPr="00812ECB">
                    <w:t xml:space="preserve">—The portion of energy metered by the Settlement Meter which measures Non-WSL ESR Charging Load supplied from the grid that is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632873" w14:paraId="396B2F05" w14:textId="77777777" w:rsidTr="00806724">
              <w:trPr>
                <w:cantSplit/>
              </w:trPr>
              <w:tc>
                <w:tcPr>
                  <w:tcW w:w="1145" w:type="pct"/>
                </w:tcPr>
                <w:p w14:paraId="4F284334" w14:textId="3A24F8D7" w:rsidR="00632873" w:rsidRDefault="00632873" w:rsidP="00632873">
                  <w:pPr>
                    <w:pStyle w:val="tablebody0"/>
                  </w:pPr>
                  <w:r w:rsidRPr="00812ECB">
                    <w:t xml:space="preserve">MEBRSG </w:t>
                  </w:r>
                  <w:r w:rsidRPr="00812ECB">
                    <w:rPr>
                      <w:i/>
                      <w:vertAlign w:val="subscript"/>
                    </w:rPr>
                    <w:t>q, r, b</w:t>
                  </w:r>
                </w:p>
              </w:tc>
              <w:tc>
                <w:tcPr>
                  <w:tcW w:w="676" w:type="pct"/>
                </w:tcPr>
                <w:p w14:paraId="56A70E03" w14:textId="376B1AE2" w:rsidR="00632873" w:rsidRPr="004368B4" w:rsidRDefault="00632873" w:rsidP="00632873">
                  <w:pPr>
                    <w:pStyle w:val="tablebody0"/>
                  </w:pPr>
                  <w:r w:rsidRPr="00812ECB">
                    <w:t>MWh</w:t>
                  </w:r>
                </w:p>
              </w:tc>
              <w:tc>
                <w:tcPr>
                  <w:tcW w:w="3179" w:type="pct"/>
                </w:tcPr>
                <w:p w14:paraId="61D1670C" w14:textId="22F33495" w:rsidR="00632873" w:rsidRDefault="00632873" w:rsidP="00632873">
                  <w:pPr>
                    <w:pStyle w:val="tablebody0"/>
                    <w:rPr>
                      <w:i/>
                    </w:rPr>
                  </w:pPr>
                  <w:r w:rsidRPr="00812ECB">
                    <w:rPr>
                      <w:i/>
                    </w:rPr>
                    <w:t xml:space="preserve">Metered Energy for Energy Storage Resource Load supplied from co-located generation with Net Metering arrangement, at Bus (Calculated) </w:t>
                  </w:r>
                  <w:r w:rsidRPr="00812ECB">
                    <w:t xml:space="preserve">—The portion of energy metered by the Settlement Meter which measures Non-WSL ESR Charging Load supplied from the co-located generation with Net Metering arrangement.  This is not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8050FF" w14:paraId="1B546241" w14:textId="77777777" w:rsidTr="00806724">
              <w:trPr>
                <w:cantSplit/>
              </w:trPr>
              <w:tc>
                <w:tcPr>
                  <w:tcW w:w="1145" w:type="pct"/>
                </w:tcPr>
                <w:p w14:paraId="08556536" w14:textId="77777777" w:rsidR="008050FF" w:rsidRPr="00D661BC" w:rsidRDefault="008050FF" w:rsidP="008050FF">
                  <w:pPr>
                    <w:pStyle w:val="tablebody0"/>
                    <w:rPr>
                      <w:i/>
                    </w:rPr>
                  </w:pPr>
                  <w:r>
                    <w:t>WSL</w:t>
                  </w:r>
                  <w:r w:rsidRPr="004368B4">
                    <w:t>AMTTOT</w:t>
                  </w:r>
                  <w:r w:rsidRPr="004368B4">
                    <w:rPr>
                      <w:vertAlign w:val="subscript"/>
                    </w:rPr>
                    <w:t xml:space="preserve"> </w:t>
                  </w:r>
                  <w:r w:rsidRPr="00107CC2">
                    <w:rPr>
                      <w:i/>
                      <w:vertAlign w:val="subscript"/>
                    </w:rPr>
                    <w:t>q, r, p</w:t>
                  </w:r>
                </w:p>
              </w:tc>
              <w:tc>
                <w:tcPr>
                  <w:tcW w:w="676" w:type="pct"/>
                </w:tcPr>
                <w:p w14:paraId="4F187FD7" w14:textId="77777777" w:rsidR="008050FF" w:rsidRDefault="008050FF" w:rsidP="008050FF">
                  <w:pPr>
                    <w:pStyle w:val="tablebody0"/>
                  </w:pPr>
                  <w:r w:rsidRPr="004368B4">
                    <w:t>$</w:t>
                  </w:r>
                </w:p>
              </w:tc>
              <w:tc>
                <w:tcPr>
                  <w:tcW w:w="3179" w:type="pct"/>
                </w:tcPr>
                <w:p w14:paraId="79ED2FEC" w14:textId="77777777" w:rsidR="008050FF" w:rsidRDefault="008050FF" w:rsidP="008050FF">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632873" w14:paraId="184227D9" w14:textId="77777777" w:rsidTr="00806724">
              <w:trPr>
                <w:cantSplit/>
              </w:trPr>
              <w:tc>
                <w:tcPr>
                  <w:tcW w:w="1145" w:type="pct"/>
                </w:tcPr>
                <w:p w14:paraId="3AAA069B" w14:textId="00AE2F8C" w:rsidR="00632873" w:rsidRDefault="00632873" w:rsidP="00632873">
                  <w:pPr>
                    <w:pStyle w:val="tablebody0"/>
                  </w:pPr>
                  <w:r w:rsidRPr="00812ECB">
                    <w:t>CLRAMTTOT</w:t>
                  </w:r>
                  <w:r w:rsidRPr="00812ECB">
                    <w:rPr>
                      <w:vertAlign w:val="subscript"/>
                    </w:rPr>
                    <w:t xml:space="preserve"> </w:t>
                  </w:r>
                  <w:r w:rsidRPr="00812ECB">
                    <w:rPr>
                      <w:i/>
                      <w:vertAlign w:val="subscript"/>
                    </w:rPr>
                    <w:t>q, r, p</w:t>
                  </w:r>
                </w:p>
              </w:tc>
              <w:tc>
                <w:tcPr>
                  <w:tcW w:w="676" w:type="pct"/>
                </w:tcPr>
                <w:p w14:paraId="27CC3509" w14:textId="3562C6CE" w:rsidR="00632873" w:rsidRPr="004368B4" w:rsidRDefault="00632873" w:rsidP="00632873">
                  <w:pPr>
                    <w:pStyle w:val="tablebody0"/>
                  </w:pPr>
                  <w:r w:rsidRPr="00812ECB">
                    <w:t>$</w:t>
                  </w:r>
                </w:p>
              </w:tc>
              <w:tc>
                <w:tcPr>
                  <w:tcW w:w="3179" w:type="pct"/>
                </w:tcPr>
                <w:p w14:paraId="601B741B" w14:textId="2971A87A" w:rsidR="00632873" w:rsidRDefault="00632873" w:rsidP="00632873">
                  <w:pPr>
                    <w:pStyle w:val="tablebody0"/>
                    <w:rPr>
                      <w:i/>
                    </w:rPr>
                  </w:pPr>
                  <w:r w:rsidRPr="00812ECB">
                    <w:rPr>
                      <w:i/>
                    </w:rPr>
                    <w:t>CLR Load Settlement</w:t>
                  </w:r>
                  <w:r w:rsidRPr="00812ECB">
                    <w:t>—</w:t>
                  </w:r>
                  <w:r w:rsidRPr="00812ECB">
                    <w:rPr>
                      <w:iCs/>
                    </w:rPr>
                    <w:t xml:space="preserve">The total payment or charge to QSE </w:t>
                  </w:r>
                  <w:r w:rsidRPr="00812ECB">
                    <w:rPr>
                      <w:i/>
                      <w:iCs/>
                    </w:rPr>
                    <w:t>q</w:t>
                  </w:r>
                  <w:r w:rsidRPr="00812ECB">
                    <w:rPr>
                      <w:iCs/>
                    </w:rPr>
                    <w:t xml:space="preserve">, Resource </w:t>
                  </w:r>
                  <w:r w:rsidRPr="00812ECB">
                    <w:rPr>
                      <w:i/>
                      <w:iCs/>
                    </w:rPr>
                    <w:t>r</w:t>
                  </w:r>
                  <w:r w:rsidRPr="00812ECB">
                    <w:rPr>
                      <w:iCs/>
                    </w:rPr>
                    <w:t xml:space="preserve">, at Settlement Point </w:t>
                  </w:r>
                  <w:r w:rsidRPr="00812ECB">
                    <w:rPr>
                      <w:i/>
                      <w:iCs/>
                    </w:rPr>
                    <w:t>p</w:t>
                  </w:r>
                  <w:r w:rsidRPr="00812ECB">
                    <w:rPr>
                      <w:iCs/>
                    </w:rPr>
                    <w:t xml:space="preserve">, </w:t>
                  </w:r>
                  <w:r w:rsidRPr="00812ECB">
                    <w:t xml:space="preserve">for CLR Load </w:t>
                  </w:r>
                  <w:r w:rsidRPr="00812ECB">
                    <w:rPr>
                      <w:iCs/>
                    </w:rPr>
                    <w:t>for each 15-minute Settlement Interval.</w:t>
                  </w:r>
                </w:p>
              </w:tc>
            </w:tr>
            <w:tr w:rsidR="008050FF" w14:paraId="6FDC7E83" w14:textId="77777777" w:rsidTr="00806724">
              <w:trPr>
                <w:cantSplit/>
              </w:trPr>
              <w:tc>
                <w:tcPr>
                  <w:tcW w:w="1145" w:type="pct"/>
                </w:tcPr>
                <w:p w14:paraId="0F4A1249" w14:textId="77777777" w:rsidR="008050FF" w:rsidRDefault="008050FF" w:rsidP="008050FF">
                  <w:pPr>
                    <w:pStyle w:val="tablebody0"/>
                  </w:pPr>
                  <w:r>
                    <w:t>ESRNWSL</w:t>
                  </w:r>
                  <w:r w:rsidRPr="004368B4">
                    <w:t>AMTTOT</w:t>
                  </w:r>
                  <w:r w:rsidRPr="004368B4">
                    <w:rPr>
                      <w:vertAlign w:val="subscript"/>
                    </w:rPr>
                    <w:t xml:space="preserve"> </w:t>
                  </w:r>
                  <w:r w:rsidRPr="00107CC2">
                    <w:rPr>
                      <w:i/>
                      <w:vertAlign w:val="subscript"/>
                    </w:rPr>
                    <w:t>q, r, p</w:t>
                  </w:r>
                </w:p>
              </w:tc>
              <w:tc>
                <w:tcPr>
                  <w:tcW w:w="676" w:type="pct"/>
                </w:tcPr>
                <w:p w14:paraId="27AC369D" w14:textId="77777777" w:rsidR="008050FF" w:rsidRPr="004368B4" w:rsidRDefault="008050FF" w:rsidP="008050FF">
                  <w:pPr>
                    <w:pStyle w:val="tablebody0"/>
                  </w:pPr>
                  <w:r w:rsidRPr="004368B4">
                    <w:t>$</w:t>
                  </w:r>
                </w:p>
              </w:tc>
              <w:tc>
                <w:tcPr>
                  <w:tcW w:w="3179" w:type="pct"/>
                </w:tcPr>
                <w:p w14:paraId="14B7F270" w14:textId="1856B720" w:rsidR="008050FF" w:rsidRDefault="008050FF" w:rsidP="00674579">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rsidR="00674579">
                    <w:t>Non-WSL ESR Charging Load</w:t>
                  </w:r>
                  <w:r>
                    <w:t xml:space="preserve"> </w:t>
                  </w:r>
                  <w:r w:rsidRPr="00997DBF">
                    <w:rPr>
                      <w:iCs/>
                    </w:rPr>
                    <w:t>for each 15-minute Settlement Interval.</w:t>
                  </w:r>
                </w:p>
              </w:tc>
            </w:tr>
            <w:tr w:rsidR="008050FF" w14:paraId="431951BF" w14:textId="77777777" w:rsidTr="00806724">
              <w:trPr>
                <w:cantSplit/>
              </w:trPr>
              <w:tc>
                <w:tcPr>
                  <w:tcW w:w="1145" w:type="pct"/>
                </w:tcPr>
                <w:p w14:paraId="78EE60E5" w14:textId="77777777" w:rsidR="008050FF" w:rsidRPr="00D661BC" w:rsidRDefault="008050FF" w:rsidP="008050FF">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676" w:type="pct"/>
                </w:tcPr>
                <w:p w14:paraId="6C083463" w14:textId="77777777" w:rsidR="008050FF" w:rsidRDefault="008050FF" w:rsidP="008050FF">
                  <w:pPr>
                    <w:pStyle w:val="tablebody0"/>
                  </w:pPr>
                  <w:r w:rsidRPr="006F7536">
                    <w:t>none</w:t>
                  </w:r>
                </w:p>
              </w:tc>
              <w:tc>
                <w:tcPr>
                  <w:tcW w:w="3179" w:type="pct"/>
                </w:tcPr>
                <w:p w14:paraId="11CEBC45" w14:textId="0D4EFE6C" w:rsidR="008050FF" w:rsidRDefault="008050FF" w:rsidP="008050FF">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00632873">
                    <w:rPr>
                      <w:i/>
                    </w:rPr>
                    <w:t xml:space="preserve"> or CLR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00632873" w:rsidRPr="00812ECB">
                    <w:t xml:space="preserve"> or for the CLR Load associated with a CLR that is not an ALR</w:t>
                  </w:r>
                  <w:r w:rsidRPr="00E91C02">
                    <w:t>.  The weighting factor used in the net meter price calculation shall not be recalculated after the fact due to revisions in the association of Resources to Settlement Meters.</w:t>
                  </w:r>
                </w:p>
              </w:tc>
            </w:tr>
            <w:tr w:rsidR="008050FF" w14:paraId="10800B91" w14:textId="77777777" w:rsidTr="00806724">
              <w:trPr>
                <w:cantSplit/>
              </w:trPr>
              <w:tc>
                <w:tcPr>
                  <w:tcW w:w="1145" w:type="pct"/>
                </w:tcPr>
                <w:p w14:paraId="3D61EC72" w14:textId="77777777" w:rsidR="008050FF" w:rsidRPr="00D661BC" w:rsidRDefault="008050FF" w:rsidP="008050FF">
                  <w:pPr>
                    <w:pStyle w:val="tablebody0"/>
                    <w:rPr>
                      <w:i/>
                    </w:rPr>
                  </w:pPr>
                  <w:r w:rsidRPr="004368B4">
                    <w:t>RTRMPR</w:t>
                  </w:r>
                  <w:r>
                    <w:t>ESR</w:t>
                  </w:r>
                  <w:r w:rsidRPr="004368B4">
                    <w:rPr>
                      <w:vertAlign w:val="subscript"/>
                    </w:rPr>
                    <w:t xml:space="preserve"> </w:t>
                  </w:r>
                  <w:r w:rsidRPr="00107CC2">
                    <w:rPr>
                      <w:i/>
                      <w:vertAlign w:val="subscript"/>
                    </w:rPr>
                    <w:t>b</w:t>
                  </w:r>
                </w:p>
              </w:tc>
              <w:tc>
                <w:tcPr>
                  <w:tcW w:w="676" w:type="pct"/>
                </w:tcPr>
                <w:p w14:paraId="70B8A601" w14:textId="77777777" w:rsidR="008050FF" w:rsidRDefault="008050FF" w:rsidP="008050FF">
                  <w:pPr>
                    <w:pStyle w:val="tablebody0"/>
                  </w:pPr>
                  <w:r w:rsidRPr="004368B4">
                    <w:t>$/MWh</w:t>
                  </w:r>
                </w:p>
              </w:tc>
              <w:tc>
                <w:tcPr>
                  <w:tcW w:w="3179" w:type="pct"/>
                </w:tcPr>
                <w:p w14:paraId="76C57756" w14:textId="5E9238F3" w:rsidR="008050FF" w:rsidRDefault="008050FF" w:rsidP="008050FF">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w:t>
                  </w:r>
                  <w:r w:rsidR="005755D9">
                    <w:t>SR L</w:t>
                  </w:r>
                  <w:r>
                    <w:t>oad</w:t>
                  </w:r>
                  <w:r w:rsidRPr="00351F0F">
                    <w:t xml:space="preserve"> at Electrical Bus </w:t>
                  </w:r>
                  <w:r w:rsidRPr="00351F0F">
                    <w:rPr>
                      <w:i/>
                    </w:rPr>
                    <w:t>b</w:t>
                  </w:r>
                  <w:r w:rsidRPr="00351F0F">
                    <w:t>, for the 15-minute Settlement Interval.</w:t>
                  </w:r>
                </w:p>
              </w:tc>
            </w:tr>
            <w:tr w:rsidR="00632873" w14:paraId="7F0DCB9A" w14:textId="77777777" w:rsidTr="00806724">
              <w:trPr>
                <w:cantSplit/>
              </w:trPr>
              <w:tc>
                <w:tcPr>
                  <w:tcW w:w="1145" w:type="pct"/>
                </w:tcPr>
                <w:p w14:paraId="2949F603" w14:textId="5CB31754" w:rsidR="00632873" w:rsidRPr="008B71ED" w:rsidRDefault="00632873" w:rsidP="00632873">
                  <w:pPr>
                    <w:pStyle w:val="tablebody0"/>
                  </w:pPr>
                  <w:r w:rsidRPr="00812ECB">
                    <w:t>RTRMPRCLR</w:t>
                  </w:r>
                  <w:r w:rsidRPr="00812ECB">
                    <w:rPr>
                      <w:vertAlign w:val="subscript"/>
                    </w:rPr>
                    <w:t xml:space="preserve"> </w:t>
                  </w:r>
                  <w:r w:rsidRPr="00812ECB">
                    <w:rPr>
                      <w:i/>
                      <w:vertAlign w:val="subscript"/>
                    </w:rPr>
                    <w:t>b</w:t>
                  </w:r>
                </w:p>
              </w:tc>
              <w:tc>
                <w:tcPr>
                  <w:tcW w:w="676" w:type="pct"/>
                </w:tcPr>
                <w:p w14:paraId="156F925B" w14:textId="5D92CAE7" w:rsidR="00632873" w:rsidRPr="00D15DC0" w:rsidRDefault="00632873" w:rsidP="00632873">
                  <w:pPr>
                    <w:pStyle w:val="tablebody0"/>
                  </w:pPr>
                  <w:r w:rsidRPr="00812ECB">
                    <w:t>$/MWh</w:t>
                  </w:r>
                </w:p>
              </w:tc>
              <w:tc>
                <w:tcPr>
                  <w:tcW w:w="3179" w:type="pct"/>
                </w:tcPr>
                <w:p w14:paraId="744E688C" w14:textId="637EF481" w:rsidR="00632873" w:rsidRPr="004615F6" w:rsidRDefault="00632873" w:rsidP="00632873">
                  <w:pPr>
                    <w:pStyle w:val="tablebody0"/>
                    <w:rPr>
                      <w:i/>
                    </w:rPr>
                  </w:pPr>
                  <w:r w:rsidRPr="00812ECB">
                    <w:rPr>
                      <w:i/>
                    </w:rPr>
                    <w:t>Real-Time Price for the CLR Energy Metered at bus</w:t>
                  </w:r>
                  <w:r w:rsidRPr="00812ECB">
                    <w:sym w:font="Symbol" w:char="F0BE"/>
                  </w:r>
                  <w:r w:rsidRPr="00812ECB">
                    <w:t xml:space="preserve">The Real-Time price for the Settlement Meter which measures CLR Load at Electrical Bus </w:t>
                  </w:r>
                  <w:r w:rsidRPr="00812ECB">
                    <w:rPr>
                      <w:i/>
                    </w:rPr>
                    <w:t>b</w:t>
                  </w:r>
                  <w:r w:rsidRPr="00812ECB">
                    <w:t>, for the 15-minute Settlement Interval.</w:t>
                  </w:r>
                </w:p>
              </w:tc>
            </w:tr>
            <w:tr w:rsidR="008050FF" w14:paraId="596556FC" w14:textId="77777777" w:rsidTr="00806724">
              <w:trPr>
                <w:cantSplit/>
              </w:trPr>
              <w:tc>
                <w:tcPr>
                  <w:tcW w:w="1145" w:type="pct"/>
                </w:tcPr>
                <w:p w14:paraId="1B486DC1" w14:textId="77777777" w:rsidR="008050FF" w:rsidRPr="004368B4" w:rsidRDefault="008050FF" w:rsidP="008050FF">
                  <w:pPr>
                    <w:pStyle w:val="tablebody0"/>
                    <w:rPr>
                      <w:lang w:val="es-ES"/>
                    </w:rPr>
                  </w:pPr>
                  <w:r w:rsidRPr="008B71ED">
                    <w:t xml:space="preserve">BP </w:t>
                  </w:r>
                  <w:r w:rsidRPr="00985D33">
                    <w:rPr>
                      <w:i/>
                      <w:vertAlign w:val="subscript"/>
                    </w:rPr>
                    <w:t>r, y</w:t>
                  </w:r>
                </w:p>
              </w:tc>
              <w:tc>
                <w:tcPr>
                  <w:tcW w:w="676" w:type="pct"/>
                </w:tcPr>
                <w:p w14:paraId="44A741CE" w14:textId="77777777" w:rsidR="008050FF" w:rsidRPr="004368B4" w:rsidRDefault="008050FF" w:rsidP="008050FF">
                  <w:pPr>
                    <w:pStyle w:val="tablebody0"/>
                  </w:pPr>
                  <w:r w:rsidRPr="00D15DC0">
                    <w:t>MW</w:t>
                  </w:r>
                </w:p>
              </w:tc>
              <w:tc>
                <w:tcPr>
                  <w:tcW w:w="3179" w:type="pct"/>
                </w:tcPr>
                <w:p w14:paraId="5F945A9E" w14:textId="77777777" w:rsidR="008050FF" w:rsidRPr="004368B4" w:rsidRDefault="008050FF" w:rsidP="008050FF">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8050FF" w14:paraId="1B8D91FE" w14:textId="77777777" w:rsidTr="00806724">
              <w:trPr>
                <w:cantSplit/>
              </w:trPr>
              <w:tc>
                <w:tcPr>
                  <w:tcW w:w="1145" w:type="pct"/>
                </w:tcPr>
                <w:p w14:paraId="1FC6D77E" w14:textId="77777777" w:rsidR="008050FF" w:rsidRPr="00D661BC" w:rsidRDefault="008050FF" w:rsidP="008050FF">
                  <w:pPr>
                    <w:pStyle w:val="tablebody0"/>
                    <w:rPr>
                      <w:i/>
                    </w:rPr>
                  </w:pPr>
                  <w:r w:rsidRPr="00D661BC">
                    <w:rPr>
                      <w:i/>
                    </w:rPr>
                    <w:t>q</w:t>
                  </w:r>
                </w:p>
              </w:tc>
              <w:tc>
                <w:tcPr>
                  <w:tcW w:w="676" w:type="pct"/>
                </w:tcPr>
                <w:p w14:paraId="2A45BD5D" w14:textId="77777777" w:rsidR="008050FF" w:rsidRDefault="008050FF" w:rsidP="008050FF">
                  <w:pPr>
                    <w:pStyle w:val="tablebody0"/>
                  </w:pPr>
                  <w:r>
                    <w:t>none</w:t>
                  </w:r>
                </w:p>
              </w:tc>
              <w:tc>
                <w:tcPr>
                  <w:tcW w:w="3179" w:type="pct"/>
                </w:tcPr>
                <w:p w14:paraId="507E624A" w14:textId="77777777" w:rsidR="008050FF" w:rsidRDefault="008050FF" w:rsidP="008050FF">
                  <w:pPr>
                    <w:pStyle w:val="tablebody0"/>
                  </w:pPr>
                  <w:r>
                    <w:t>A QSE.</w:t>
                  </w:r>
                </w:p>
              </w:tc>
            </w:tr>
            <w:tr w:rsidR="008050FF" w14:paraId="20449987" w14:textId="77777777" w:rsidTr="00806724">
              <w:trPr>
                <w:cantSplit/>
              </w:trPr>
              <w:tc>
                <w:tcPr>
                  <w:tcW w:w="1145" w:type="pct"/>
                </w:tcPr>
                <w:p w14:paraId="21268056" w14:textId="77777777" w:rsidR="008050FF" w:rsidRPr="00851EF1" w:rsidRDefault="008050FF" w:rsidP="008050FF">
                  <w:pPr>
                    <w:pStyle w:val="tablebody0"/>
                    <w:rPr>
                      <w:i/>
                    </w:rPr>
                  </w:pPr>
                  <w:r w:rsidRPr="00D661BC">
                    <w:rPr>
                      <w:i/>
                    </w:rPr>
                    <w:lastRenderedPageBreak/>
                    <w:t>gsc</w:t>
                  </w:r>
                </w:p>
              </w:tc>
              <w:tc>
                <w:tcPr>
                  <w:tcW w:w="676" w:type="pct"/>
                </w:tcPr>
                <w:p w14:paraId="5D162C85" w14:textId="77777777" w:rsidR="008050FF" w:rsidRDefault="008050FF" w:rsidP="008050FF">
                  <w:pPr>
                    <w:pStyle w:val="tablebody0"/>
                  </w:pPr>
                  <w:r>
                    <w:t>none</w:t>
                  </w:r>
                </w:p>
              </w:tc>
              <w:tc>
                <w:tcPr>
                  <w:tcW w:w="3179" w:type="pct"/>
                </w:tcPr>
                <w:p w14:paraId="36B6DCE2" w14:textId="77777777" w:rsidR="008050FF" w:rsidRDefault="008050FF" w:rsidP="008050FF">
                  <w:pPr>
                    <w:pStyle w:val="tablebody0"/>
                  </w:pPr>
                  <w:r>
                    <w:t>A generation site code.</w:t>
                  </w:r>
                </w:p>
              </w:tc>
            </w:tr>
            <w:tr w:rsidR="008050FF" w14:paraId="0B9F442B" w14:textId="77777777" w:rsidTr="00806724">
              <w:trPr>
                <w:cantSplit/>
              </w:trPr>
              <w:tc>
                <w:tcPr>
                  <w:tcW w:w="1145" w:type="pct"/>
                </w:tcPr>
                <w:p w14:paraId="02C29834" w14:textId="77777777" w:rsidR="008050FF" w:rsidRPr="00851EF1" w:rsidRDefault="008050FF" w:rsidP="008050FF">
                  <w:pPr>
                    <w:pStyle w:val="tablebody0"/>
                    <w:rPr>
                      <w:i/>
                    </w:rPr>
                  </w:pPr>
                  <w:r w:rsidRPr="00D661BC">
                    <w:rPr>
                      <w:i/>
                    </w:rPr>
                    <w:t>r</w:t>
                  </w:r>
                </w:p>
              </w:tc>
              <w:tc>
                <w:tcPr>
                  <w:tcW w:w="676" w:type="pct"/>
                </w:tcPr>
                <w:p w14:paraId="7E55B34A" w14:textId="77777777" w:rsidR="008050FF" w:rsidRDefault="008050FF" w:rsidP="008050FF">
                  <w:pPr>
                    <w:pStyle w:val="tablebody0"/>
                  </w:pPr>
                  <w:r>
                    <w:t>none</w:t>
                  </w:r>
                </w:p>
              </w:tc>
              <w:tc>
                <w:tcPr>
                  <w:tcW w:w="3179" w:type="pct"/>
                </w:tcPr>
                <w:p w14:paraId="38CC2B20" w14:textId="33108617" w:rsidR="008050FF" w:rsidRDefault="006F7954" w:rsidP="006F7954">
                  <w:pPr>
                    <w:pStyle w:val="tablebody0"/>
                  </w:pPr>
                  <w:r>
                    <w:t>A</w:t>
                  </w:r>
                  <w:r w:rsidR="008050FF">
                    <w:t xml:space="preserve"> </w:t>
                  </w:r>
                  <w:r w:rsidR="00632873" w:rsidRPr="00812ECB">
                    <w:t>CLR (that is not an ALR) or an</w:t>
                  </w:r>
                  <w:r w:rsidR="00632873">
                    <w:t xml:space="preserve"> </w:t>
                  </w:r>
                  <w:r w:rsidR="008050FF">
                    <w:t xml:space="preserve">ESR.  </w:t>
                  </w:r>
                </w:p>
              </w:tc>
            </w:tr>
            <w:tr w:rsidR="008050FF" w14:paraId="09C69740" w14:textId="77777777" w:rsidTr="00806724">
              <w:trPr>
                <w:cantSplit/>
              </w:trPr>
              <w:tc>
                <w:tcPr>
                  <w:tcW w:w="1145" w:type="pct"/>
                </w:tcPr>
                <w:p w14:paraId="7806DB6B" w14:textId="77777777" w:rsidR="008050FF" w:rsidRPr="00D661BC" w:rsidRDefault="008050FF" w:rsidP="008050FF">
                  <w:pPr>
                    <w:pStyle w:val="tablebody0"/>
                    <w:rPr>
                      <w:i/>
                    </w:rPr>
                  </w:pPr>
                  <w:r w:rsidRPr="00D661BC">
                    <w:rPr>
                      <w:i/>
                    </w:rPr>
                    <w:t>p</w:t>
                  </w:r>
                </w:p>
              </w:tc>
              <w:tc>
                <w:tcPr>
                  <w:tcW w:w="676" w:type="pct"/>
                </w:tcPr>
                <w:p w14:paraId="3A1C81BF" w14:textId="77777777" w:rsidR="008050FF" w:rsidRDefault="008050FF" w:rsidP="008050FF">
                  <w:pPr>
                    <w:pStyle w:val="tablebody0"/>
                  </w:pPr>
                  <w:r>
                    <w:t>none</w:t>
                  </w:r>
                </w:p>
              </w:tc>
              <w:tc>
                <w:tcPr>
                  <w:tcW w:w="3179" w:type="pct"/>
                </w:tcPr>
                <w:p w14:paraId="72AA492F" w14:textId="77777777" w:rsidR="008050FF" w:rsidRDefault="008050FF" w:rsidP="008050FF">
                  <w:pPr>
                    <w:pStyle w:val="tablebody0"/>
                  </w:pPr>
                  <w:r>
                    <w:t>A Resource Node Settlement Point.</w:t>
                  </w:r>
                </w:p>
              </w:tc>
            </w:tr>
            <w:tr w:rsidR="008050FF" w14:paraId="3C4AE6FB" w14:textId="77777777" w:rsidTr="00806724">
              <w:trPr>
                <w:cantSplit/>
              </w:trPr>
              <w:tc>
                <w:tcPr>
                  <w:tcW w:w="1145" w:type="pct"/>
                </w:tcPr>
                <w:p w14:paraId="22A51971" w14:textId="77777777" w:rsidR="008050FF" w:rsidRPr="00851EF1" w:rsidRDefault="008050FF" w:rsidP="008050FF">
                  <w:pPr>
                    <w:pStyle w:val="tablebody0"/>
                    <w:rPr>
                      <w:i/>
                    </w:rPr>
                  </w:pPr>
                  <w:r w:rsidRPr="00D661BC">
                    <w:rPr>
                      <w:i/>
                    </w:rPr>
                    <w:t>y</w:t>
                  </w:r>
                </w:p>
              </w:tc>
              <w:tc>
                <w:tcPr>
                  <w:tcW w:w="676" w:type="pct"/>
                </w:tcPr>
                <w:p w14:paraId="32CDB774" w14:textId="77777777" w:rsidR="008050FF" w:rsidRDefault="008050FF" w:rsidP="008050FF">
                  <w:pPr>
                    <w:pStyle w:val="tablebody0"/>
                  </w:pPr>
                  <w:r>
                    <w:t>none</w:t>
                  </w:r>
                </w:p>
              </w:tc>
              <w:tc>
                <w:tcPr>
                  <w:tcW w:w="3179" w:type="pct"/>
                </w:tcPr>
                <w:p w14:paraId="1903A7D9" w14:textId="77777777" w:rsidR="008050FF" w:rsidRDefault="008050FF" w:rsidP="008050FF">
                  <w:pPr>
                    <w:pStyle w:val="tablebody0"/>
                  </w:pPr>
                  <w:r>
                    <w:t>A SCED interval in the 15-minute Settlement Interval.  The summation is over the total number of SCED runs that cover the 15-minute Settlement Interval.</w:t>
                  </w:r>
                </w:p>
              </w:tc>
            </w:tr>
            <w:tr w:rsidR="008050FF" w14:paraId="3915E447" w14:textId="77777777" w:rsidTr="00806724">
              <w:trPr>
                <w:cantSplit/>
              </w:trPr>
              <w:tc>
                <w:tcPr>
                  <w:tcW w:w="1145" w:type="pct"/>
                </w:tcPr>
                <w:p w14:paraId="208BF909" w14:textId="77777777" w:rsidR="008050FF" w:rsidRPr="00851EF1" w:rsidRDefault="008050FF" w:rsidP="008050FF">
                  <w:pPr>
                    <w:pStyle w:val="tablebody0"/>
                    <w:rPr>
                      <w:i/>
                    </w:rPr>
                  </w:pPr>
                  <w:r w:rsidRPr="00D661BC">
                    <w:rPr>
                      <w:i/>
                    </w:rPr>
                    <w:t>b</w:t>
                  </w:r>
                </w:p>
              </w:tc>
              <w:tc>
                <w:tcPr>
                  <w:tcW w:w="676" w:type="pct"/>
                </w:tcPr>
                <w:p w14:paraId="34DD9D8B" w14:textId="77777777" w:rsidR="008050FF" w:rsidRDefault="008050FF" w:rsidP="008050FF">
                  <w:pPr>
                    <w:pStyle w:val="tablebody0"/>
                  </w:pPr>
                  <w:r>
                    <w:t>none</w:t>
                  </w:r>
                </w:p>
              </w:tc>
              <w:tc>
                <w:tcPr>
                  <w:tcW w:w="3179" w:type="pct"/>
                </w:tcPr>
                <w:p w14:paraId="34F1BE14" w14:textId="77777777" w:rsidR="008050FF" w:rsidRDefault="008050FF" w:rsidP="008050FF">
                  <w:pPr>
                    <w:pStyle w:val="tablebody0"/>
                  </w:pPr>
                  <w:r>
                    <w:t>An Electrical Bus.</w:t>
                  </w:r>
                </w:p>
              </w:tc>
            </w:tr>
          </w:tbl>
          <w:p w14:paraId="1DD9EBC2" w14:textId="36509CCC" w:rsidR="00423D31" w:rsidRPr="00B50DCB" w:rsidRDefault="00423D31" w:rsidP="00423D31">
            <w:pPr>
              <w:pStyle w:val="FormulaBold"/>
              <w:ind w:left="0" w:firstLine="0"/>
            </w:pPr>
          </w:p>
        </w:tc>
      </w:tr>
    </w:tbl>
    <w:p w14:paraId="44101D10" w14:textId="1E643208" w:rsidR="001F04FD" w:rsidRDefault="001F04FD" w:rsidP="00BA3F0D">
      <w:pPr>
        <w:pStyle w:val="BodyTextNumbered"/>
        <w:widowControl w:val="0"/>
        <w:spacing w:before="240"/>
      </w:pPr>
      <w:r>
        <w:lastRenderedPageBreak/>
        <w:t>(4)</w:t>
      </w:r>
      <w:r>
        <w:tab/>
        <w:t>The total payment or charge to a Facility with a net metering arrangement for each 15-minute Settlement Interval shall be calculated as follows:</w:t>
      </w:r>
    </w:p>
    <w:p w14:paraId="3937C535" w14:textId="77777777" w:rsidR="001F04FD" w:rsidRPr="00993F9F" w:rsidRDefault="001F04FD" w:rsidP="001F04FD">
      <w:pPr>
        <w:pStyle w:val="BodyTextNumbered"/>
        <w:widowControl w:val="0"/>
        <w:ind w:firstLine="0"/>
        <w:rPr>
          <w:b/>
        </w:rPr>
      </w:pPr>
      <w:r w:rsidRPr="00993F9F">
        <w:rPr>
          <w:b/>
        </w:rPr>
        <w:t>NMRTETOT</w:t>
      </w:r>
      <w:r w:rsidRPr="00993F9F">
        <w:rPr>
          <w:b/>
          <w:i/>
          <w:vertAlign w:val="subscript"/>
        </w:rPr>
        <w:t xml:space="preserve"> gsc</w:t>
      </w:r>
      <w:r w:rsidRPr="00993F9F">
        <w:rPr>
          <w:b/>
        </w:rPr>
        <w:t xml:space="preserve"> </w:t>
      </w:r>
      <w:r>
        <w:rPr>
          <w:b/>
        </w:rPr>
        <w:tab/>
      </w:r>
      <w:r w:rsidRPr="00993F9F">
        <w:rPr>
          <w:b/>
        </w:rPr>
        <w:t xml:space="preserve">= </w:t>
      </w:r>
      <w:r>
        <w:rPr>
          <w:b/>
        </w:rPr>
        <w:tab/>
        <w:t>Max (0, (</w:t>
      </w:r>
      <w:r w:rsidRPr="000F5587">
        <w:rPr>
          <w:b/>
          <w:position w:val="-20"/>
        </w:rPr>
        <w:object w:dxaOrig="225" w:dyaOrig="435" w14:anchorId="6E9FEBFB">
          <v:shape id="_x0000_i1141" type="#_x0000_t75" style="width:12pt;height:18pt" o:ole="">
            <v:imagedata r:id="rId156" o:title=""/>
          </v:shape>
          <o:OLEObject Type="Embed" ProgID="Equation.3" ShapeID="_x0000_i1141" DrawAspect="Content" ObjectID="_1804653626" r:id="rId157"/>
        </w:object>
      </w:r>
      <w:r>
        <w:rPr>
          <w:b/>
          <w:position w:val="-20"/>
        </w:rPr>
        <w:t xml:space="preserve"> </w:t>
      </w:r>
      <w:r>
        <w:rPr>
          <w:b/>
        </w:rPr>
        <w:t>(</w:t>
      </w:r>
      <w:r w:rsidRPr="00993F9F">
        <w:rPr>
          <w:b/>
        </w:rPr>
        <w:t xml:space="preserve">MEB </w:t>
      </w:r>
      <w:r w:rsidRPr="00993F9F">
        <w:rPr>
          <w:b/>
          <w:i/>
          <w:vertAlign w:val="subscript"/>
        </w:rPr>
        <w:t xml:space="preserve">gsc, b </w:t>
      </w:r>
      <w:r w:rsidRPr="00213702">
        <w:rPr>
          <w:b/>
          <w:i/>
        </w:rPr>
        <w:t>+</w:t>
      </w:r>
      <w:r w:rsidRPr="00213702">
        <w:rPr>
          <w:b/>
        </w:rPr>
        <w:t xml:space="preserve"> MEBC </w:t>
      </w:r>
      <w:r w:rsidRPr="00213702">
        <w:rPr>
          <w:b/>
          <w:i/>
          <w:vertAlign w:val="subscript"/>
        </w:rPr>
        <w:t>gsc,</w:t>
      </w:r>
      <w:r>
        <w:rPr>
          <w:b/>
          <w:i/>
          <w:vertAlign w:val="subscript"/>
        </w:rPr>
        <w:t xml:space="preserve"> </w:t>
      </w:r>
      <w:r w:rsidRPr="00213702">
        <w:rPr>
          <w:b/>
          <w:i/>
          <w:vertAlign w:val="subscript"/>
        </w:rPr>
        <w:t>b</w:t>
      </w:r>
      <w:r w:rsidRPr="005E3DF9">
        <w:rPr>
          <w:b/>
        </w:rPr>
        <w:t>)))</w:t>
      </w:r>
    </w:p>
    <w:p w14:paraId="2B95464A" w14:textId="77777777" w:rsidR="001F04FD" w:rsidRDefault="001F04FD" w:rsidP="001F04FD">
      <w:pPr>
        <w:pStyle w:val="BodyTextNumbered"/>
        <w:widowControl w:val="0"/>
        <w:ind w:firstLine="0"/>
      </w:pPr>
      <w:r>
        <w:t>If NMRTETOT</w:t>
      </w:r>
      <w:r w:rsidRPr="00993F9F">
        <w:rPr>
          <w:i/>
          <w:vertAlign w:val="subscript"/>
        </w:rPr>
        <w:t xml:space="preserve"> gsc</w:t>
      </w:r>
      <w:r>
        <w:t xml:space="preserve"> = 0 for a 15-minute Settlement Interval, then</w:t>
      </w:r>
    </w:p>
    <w:p w14:paraId="18B65C07" w14:textId="54611469" w:rsidR="001F04FD" w:rsidRDefault="001F04FD" w:rsidP="001F04FD">
      <w:pPr>
        <w:pStyle w:val="BodyTextNumbered"/>
        <w:widowControl w:val="0"/>
        <w:ind w:firstLine="0"/>
      </w:pPr>
      <w:r>
        <w:t>The Load that is not WSL is included in the Real-Time AML per QSE.</w:t>
      </w:r>
    </w:p>
    <w:p w14:paraId="26F53589" w14:textId="77777777" w:rsidR="001F04FD" w:rsidRDefault="001F04FD" w:rsidP="00FB599C">
      <w:pPr>
        <w:pStyle w:val="BodyTextNumbered"/>
        <w:widowControl w:val="0"/>
        <w:ind w:firstLine="0"/>
      </w:pPr>
      <w:r>
        <w:t>Otherwise, when NMRTETOT</w:t>
      </w:r>
      <w:r w:rsidRPr="00993F9F">
        <w:rPr>
          <w:i/>
          <w:vertAlign w:val="subscript"/>
        </w:rPr>
        <w:t xml:space="preserve"> gsc</w:t>
      </w:r>
      <w:r>
        <w:rPr>
          <w:i/>
          <w:vertAlign w:val="subscript"/>
        </w:rPr>
        <w:t xml:space="preserve"> </w:t>
      </w:r>
      <w:r w:rsidRPr="00230E33">
        <w:rPr>
          <w:b/>
        </w:rPr>
        <w:t>&gt;</w:t>
      </w:r>
      <w:r w:rsidRPr="00230E33">
        <w:t xml:space="preserve"> 0 for a 15-minute Settlement Interval, then</w:t>
      </w:r>
    </w:p>
    <w:p w14:paraId="28139D11" w14:textId="77777777" w:rsidR="001F04FD" w:rsidRDefault="001F04FD" w:rsidP="001F04FD">
      <w:pPr>
        <w:pStyle w:val="FormulaBold"/>
        <w:widowControl w:val="0"/>
      </w:pPr>
      <w:r>
        <w:t xml:space="preserve">NMSAMTTOT </w:t>
      </w:r>
      <w:r w:rsidRPr="00993F9F">
        <w:rPr>
          <w:b w:val="0"/>
          <w:i/>
          <w:sz w:val="28"/>
          <w:szCs w:val="28"/>
          <w:vertAlign w:val="subscript"/>
        </w:rPr>
        <w:t>gsc</w:t>
      </w:r>
      <w:r>
        <w:tab/>
        <w:t>=</w:t>
      </w:r>
      <w:r>
        <w:tab/>
      </w:r>
      <w:r w:rsidRPr="00993F9F">
        <w:rPr>
          <w:position w:val="-20"/>
        </w:rPr>
        <w:object w:dxaOrig="225" w:dyaOrig="435" w14:anchorId="082CE0AB">
          <v:shape id="_x0000_i1142" type="#_x0000_t75" style="width:12pt;height:18pt" o:ole="">
            <v:imagedata r:id="rId145" o:title=""/>
          </v:shape>
          <o:OLEObject Type="Embed" ProgID="Equation.3" ShapeID="_x0000_i1142" DrawAspect="Content" ObjectID="_1804653627" r:id="rId158"/>
        </w:object>
      </w:r>
      <w:r>
        <w:t xml:space="preserve"> [(RTRMPR</w:t>
      </w:r>
      <w:r w:rsidRPr="00993F9F">
        <w:rPr>
          <w:i/>
          <w:vertAlign w:val="subscript"/>
        </w:rPr>
        <w:t xml:space="preserve"> b</w:t>
      </w:r>
      <w:r>
        <w:t xml:space="preserve"> * MEB </w:t>
      </w:r>
      <w:r w:rsidRPr="00993F9F">
        <w:rPr>
          <w:i/>
          <w:vertAlign w:val="subscript"/>
        </w:rPr>
        <w:t>gsc, b</w:t>
      </w:r>
      <w:r>
        <w:t xml:space="preserve">) + </w:t>
      </w:r>
      <w:r w:rsidRPr="004368B4">
        <w:t>(RTRMPR</w:t>
      </w:r>
      <w:r>
        <w:t xml:space="preserve"> </w:t>
      </w:r>
      <w:r>
        <w:rPr>
          <w:i/>
          <w:vertAlign w:val="subscript"/>
        </w:rPr>
        <w:t>b</w:t>
      </w:r>
      <w:r w:rsidRPr="004368B4">
        <w:t xml:space="preserve"> * MEB</w:t>
      </w:r>
      <w:r>
        <w:t xml:space="preserve">C </w:t>
      </w:r>
      <w:r w:rsidRPr="004368B4">
        <w:rPr>
          <w:i/>
          <w:vertAlign w:val="subscript"/>
        </w:rPr>
        <w:t>gsc,</w:t>
      </w:r>
      <w:r>
        <w:rPr>
          <w:i/>
          <w:vertAlign w:val="subscript"/>
        </w:rPr>
        <w:t xml:space="preserve"> b</w:t>
      </w:r>
      <w:r w:rsidRPr="004368B4">
        <w:rPr>
          <w:lang w:val="es-ES"/>
        </w:rPr>
        <w:t>)</w:t>
      </w:r>
      <w:r>
        <w:rPr>
          <w:lang w:val="es-ES"/>
        </w:rPr>
        <w:t>]</w:t>
      </w:r>
      <w:r>
        <w:t xml:space="preserve">  </w:t>
      </w:r>
    </w:p>
    <w:p w14:paraId="137D55EB" w14:textId="77777777" w:rsidR="001F04FD" w:rsidRDefault="001F04FD" w:rsidP="001F04FD">
      <w:pPr>
        <w:pStyle w:val="FormulaBold"/>
        <w:widowControl w:val="0"/>
        <w:ind w:left="2882" w:hanging="2162"/>
        <w:rPr>
          <w:b w:val="0"/>
          <w:iCs/>
        </w:rPr>
      </w:pPr>
      <w:r w:rsidRPr="00993F9F">
        <w:rPr>
          <w:rStyle w:val="BodyTextChar"/>
          <w:b w:val="0"/>
          <w:iCs/>
        </w:rPr>
        <w:t>Where</w:t>
      </w:r>
      <w:r w:rsidRPr="00993F9F">
        <w:rPr>
          <w:rStyle w:val="BodyTextChar"/>
          <w:b w:val="0"/>
        </w:rPr>
        <w:t xml:space="preserve"> the price for Settlement Meter is determined as follows</w:t>
      </w:r>
      <w:r>
        <w:rPr>
          <w:rStyle w:val="BodyTextChar"/>
        </w:rPr>
        <w:t>:</w:t>
      </w:r>
    </w:p>
    <w:p w14:paraId="4A55C973" w14:textId="1B31EBF0" w:rsidR="001F04FD" w:rsidRPr="00C659E1" w:rsidRDefault="001F04FD" w:rsidP="001F04FD">
      <w:pPr>
        <w:pStyle w:val="FormulaBold"/>
        <w:rPr>
          <w:b w:val="0"/>
        </w:rPr>
      </w:pPr>
      <w:r w:rsidRPr="000275BF">
        <w:rPr>
          <w:lang w:val="es-ES"/>
        </w:rPr>
        <w:t>RTRMPR</w:t>
      </w:r>
      <w:r w:rsidRPr="000275BF">
        <w:rPr>
          <w:i/>
          <w:iCs/>
          <w:vertAlign w:val="subscript"/>
          <w:lang w:val="es-ES"/>
        </w:rPr>
        <w:t xml:space="preserve"> b</w:t>
      </w:r>
      <w:r w:rsidRPr="00993F9F">
        <w:rPr>
          <w:b w:val="0"/>
          <w:lang w:val="es-ES"/>
        </w:rPr>
        <w:t xml:space="preserve"> </w:t>
      </w:r>
      <w:r>
        <w:rPr>
          <w:b w:val="0"/>
          <w:lang w:val="es-ES"/>
        </w:rPr>
        <w:tab/>
      </w:r>
      <w:r>
        <w:rPr>
          <w:b w:val="0"/>
          <w:lang w:val="es-ES"/>
        </w:rPr>
        <w:tab/>
      </w:r>
      <w:r w:rsidRPr="00993F9F">
        <w:rPr>
          <w:b w:val="0"/>
          <w:lang w:val="es-ES"/>
        </w:rPr>
        <w:t>=</w:t>
      </w:r>
      <w:r>
        <w:rPr>
          <w:b w:val="0"/>
          <w:lang w:val="es-ES"/>
        </w:rPr>
        <w:tab/>
      </w:r>
      <w:r w:rsidRPr="00774155">
        <w:t>Max [-$251, (</w:t>
      </w:r>
      <w:r w:rsidR="00A94020">
        <w:rPr>
          <w:rFonts w:ascii="Times New Roman Bold" w:hAnsi="Times New Roman Bold"/>
          <w:noProof/>
          <w:position w:val="-18"/>
        </w:rPr>
        <w:drawing>
          <wp:inline distT="0" distB="0" distL="0" distR="0" wp14:anchorId="3CB3A390" wp14:editId="67FACA5B">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lang w:val="es-ES"/>
        </w:rPr>
        <w:t xml:space="preserve">(RNWF </w:t>
      </w:r>
      <w:r w:rsidRPr="000275BF">
        <w:rPr>
          <w:i/>
          <w:iCs/>
          <w:vertAlign w:val="subscript"/>
          <w:lang w:val="es-ES"/>
        </w:rPr>
        <w:t xml:space="preserve">b, y </w:t>
      </w:r>
      <w:r w:rsidRPr="000275BF">
        <w:rPr>
          <w:lang w:val="es-ES"/>
        </w:rPr>
        <w:t xml:space="preserve">* RTLMP </w:t>
      </w:r>
      <w:r w:rsidRPr="000275BF">
        <w:rPr>
          <w:i/>
          <w:iCs/>
          <w:vertAlign w:val="subscript"/>
          <w:lang w:val="es-ES"/>
        </w:rPr>
        <w:t>b, y</w:t>
      </w:r>
      <w:r w:rsidRPr="000275BF">
        <w:rPr>
          <w:lang w:val="es-ES"/>
        </w:rPr>
        <w:t xml:space="preserve">) </w:t>
      </w:r>
      <w:r w:rsidRPr="00774155">
        <w:t>+</w:t>
      </w:r>
      <w:r w:rsidRPr="00CE4C14">
        <w:t xml:space="preserve"> RTRSVPOR</w:t>
      </w:r>
      <w:r>
        <w:t xml:space="preserve"> </w:t>
      </w:r>
      <w:r w:rsidRPr="00193B05">
        <w:t>+</w:t>
      </w:r>
      <w:r>
        <w:t xml:space="preserve"> </w:t>
      </w:r>
      <w:r w:rsidRPr="00193B05">
        <w:t>RTRDP</w:t>
      </w:r>
      <w:r w:rsidRPr="00CE4C14">
        <w:t>)</w:t>
      </w:r>
      <w:r>
        <w:t>]</w:t>
      </w:r>
    </w:p>
    <w:p w14:paraId="581E19A4" w14:textId="77777777" w:rsidR="001F04FD" w:rsidRDefault="001F04FD" w:rsidP="001F04FD">
      <w:pPr>
        <w:pStyle w:val="formula0"/>
        <w:widowControl w:val="0"/>
        <w:spacing w:after="240"/>
        <w:ind w:left="0" w:firstLine="720"/>
      </w:pPr>
      <w:r>
        <w:t>Where the weighting factor for the Electrical Bus associated with the meter is:</w:t>
      </w:r>
    </w:p>
    <w:p w14:paraId="15CA92C1" w14:textId="77777777" w:rsidR="001F04FD" w:rsidRPr="00993F9F" w:rsidRDefault="001F04FD" w:rsidP="001F04FD">
      <w:pPr>
        <w:pStyle w:val="formula0"/>
        <w:widowControl w:val="0"/>
        <w:spacing w:after="240"/>
        <w:ind w:firstLine="0"/>
        <w:rPr>
          <w:b/>
          <w:shd w:val="clear" w:color="auto" w:fill="FFFF00"/>
          <w:lang w:val="es-ES"/>
        </w:rPr>
      </w:pPr>
      <w:r w:rsidRPr="00993F9F">
        <w:rPr>
          <w:b/>
          <w:lang w:val="es-ES"/>
        </w:rPr>
        <w:t xml:space="preserve">RNWF </w:t>
      </w:r>
      <w:r w:rsidRPr="00993F9F">
        <w:rPr>
          <w:b/>
          <w:i/>
          <w:iCs/>
          <w:vertAlign w:val="subscript"/>
          <w:lang w:val="es-ES"/>
        </w:rPr>
        <w:t xml:space="preserve">b, y </w:t>
      </w:r>
      <w:r>
        <w:rPr>
          <w:b/>
          <w:i/>
          <w:iCs/>
          <w:vertAlign w:val="subscript"/>
          <w:lang w:val="es-ES"/>
        </w:rPr>
        <w:tab/>
      </w:r>
      <w:r>
        <w:rPr>
          <w:b/>
          <w:i/>
          <w:iCs/>
          <w:vertAlign w:val="subscript"/>
          <w:lang w:val="es-ES"/>
        </w:rPr>
        <w:tab/>
      </w:r>
      <w:r w:rsidRPr="00993F9F">
        <w:rPr>
          <w:b/>
          <w:lang w:val="es-ES"/>
        </w:rPr>
        <w:t>= [Max</w:t>
      </w:r>
      <w:r>
        <w:rPr>
          <w:b/>
          <w:lang w:val="es-ES"/>
        </w:rPr>
        <w:t xml:space="preserve"> </w:t>
      </w:r>
      <w:r w:rsidRPr="00993F9F">
        <w:rPr>
          <w:b/>
          <w:lang w:val="es-ES"/>
        </w:rPr>
        <w:t xml:space="preserve">(0.001, </w:t>
      </w:r>
      <w:r w:rsidRPr="00993F9F">
        <w:rPr>
          <w:position w:val="-18"/>
        </w:rPr>
        <w:object w:dxaOrig="225" w:dyaOrig="420" w14:anchorId="5296A1EE">
          <v:shape id="_x0000_i1143" type="#_x0000_t75" style="width:12pt;height:24pt" o:ole="">
            <v:imagedata r:id="rId159" o:title=""/>
          </v:shape>
          <o:OLEObject Type="Embed" ProgID="Equation.3" ShapeID="_x0000_i1143" DrawAspect="Content" ObjectID="_1804653628" r:id="rId160"/>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 /</w:t>
      </w:r>
      <w:r w:rsidRPr="00993F9F">
        <w:rPr>
          <w:b/>
          <w:shd w:val="clear" w:color="auto" w:fill="FFFF00"/>
          <w:lang w:val="es-ES"/>
        </w:rPr>
        <w:t xml:space="preserve"> </w:t>
      </w:r>
    </w:p>
    <w:p w14:paraId="176CB85A" w14:textId="272BA696" w:rsidR="001F04FD" w:rsidRDefault="001F04FD" w:rsidP="001F04FD">
      <w:pPr>
        <w:pStyle w:val="formula0"/>
        <w:widowControl w:val="0"/>
        <w:spacing w:after="240"/>
        <w:ind w:left="2700" w:firstLine="0"/>
        <w:rPr>
          <w:b/>
          <w:lang w:val="es-ES"/>
        </w:rPr>
      </w:pPr>
      <w:r>
        <w:rPr>
          <w:b/>
          <w:lang w:val="es-ES"/>
        </w:rPr>
        <w:tab/>
      </w:r>
      <w:r>
        <w:rPr>
          <w:b/>
          <w:lang w:val="es-ES"/>
        </w:rPr>
        <w:tab/>
      </w:r>
      <w:r w:rsidRPr="00993F9F">
        <w:rPr>
          <w:b/>
          <w:lang w:val="es-ES"/>
        </w:rPr>
        <w:t>[</w:t>
      </w:r>
      <w:r w:rsidR="00A94020">
        <w:rPr>
          <w:rFonts w:ascii="Times New Roman Bold" w:hAnsi="Times New Roman Bold"/>
          <w:b/>
          <w:noProof/>
          <w:position w:val="-18"/>
        </w:rPr>
        <w:drawing>
          <wp:inline distT="0" distB="0" distL="0" distR="0" wp14:anchorId="77CF0066" wp14:editId="0A2421A6">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993F9F">
        <w:rPr>
          <w:b/>
          <w:lang w:val="es-ES"/>
        </w:rPr>
        <w:t>Max</w:t>
      </w:r>
      <w:r>
        <w:rPr>
          <w:b/>
          <w:lang w:val="es-ES"/>
        </w:rPr>
        <w:t xml:space="preserve"> </w:t>
      </w:r>
      <w:r w:rsidRPr="00993F9F">
        <w:rPr>
          <w:b/>
          <w:lang w:val="es-ES"/>
        </w:rPr>
        <w:t xml:space="preserve">(0.001, </w:t>
      </w:r>
      <w:r w:rsidRPr="00993F9F">
        <w:rPr>
          <w:position w:val="-18"/>
        </w:rPr>
        <w:object w:dxaOrig="225" w:dyaOrig="420" w14:anchorId="5B4F3A32">
          <v:shape id="_x0000_i1144" type="#_x0000_t75" style="width:12pt;height:24pt" o:ole="">
            <v:imagedata r:id="rId159" o:title=""/>
          </v:shape>
          <o:OLEObject Type="Embed" ProgID="Equation.3" ShapeID="_x0000_i1144" DrawAspect="Content" ObjectID="_1804653629" r:id="rId161"/>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w:t>
      </w:r>
    </w:p>
    <w:p w14:paraId="40E91E0D" w14:textId="77777777" w:rsidR="001F04FD" w:rsidRPr="000275BF" w:rsidRDefault="001F04FD" w:rsidP="001F04FD">
      <w:pPr>
        <w:pStyle w:val="Char3"/>
        <w:widowControl w:val="0"/>
        <w:rPr>
          <w:szCs w:val="24"/>
        </w:rPr>
      </w:pPr>
      <w:r w:rsidRPr="000275BF">
        <w:rPr>
          <w:rFonts w:ascii="Times New Roman" w:hAnsi="Times New Roman"/>
          <w:sz w:val="24"/>
          <w:szCs w:val="24"/>
        </w:rPr>
        <w:t>Where:</w:t>
      </w:r>
    </w:p>
    <w:p w14:paraId="4A32ABE5" w14:textId="2C4D07CE" w:rsidR="001F04FD" w:rsidRDefault="001F04FD" w:rsidP="001F04FD">
      <w:pPr>
        <w:spacing w:after="240"/>
        <w:ind w:left="720"/>
      </w:pPr>
      <w:r w:rsidRPr="00C659E1">
        <w:tab/>
        <w:t xml:space="preserve">RTRSVPOR </w:t>
      </w:r>
      <w:r w:rsidRPr="00C659E1">
        <w:tab/>
      </w:r>
      <w:r w:rsidRPr="00C659E1">
        <w:tab/>
        <w:t>=</w:t>
      </w:r>
      <w:r w:rsidRPr="00C659E1">
        <w:tab/>
      </w:r>
      <w:r w:rsidRPr="00C659E1">
        <w:tab/>
      </w:r>
      <w:r w:rsidR="00A94020">
        <w:rPr>
          <w:rFonts w:ascii="Times New Roman Bold" w:hAnsi="Times New Roman Bold"/>
          <w:noProof/>
          <w:position w:val="-18"/>
        </w:rPr>
        <w:drawing>
          <wp:inline distT="0" distB="0" distL="0" distR="0" wp14:anchorId="097874CC" wp14:editId="13D6A38D">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C659E1">
        <w:t xml:space="preserve">(RNWF </w:t>
      </w:r>
      <w:r w:rsidRPr="00C659E1">
        <w:rPr>
          <w:i/>
          <w:iCs/>
          <w:vertAlign w:val="subscript"/>
        </w:rPr>
        <w:t xml:space="preserve"> y </w:t>
      </w:r>
      <w:r w:rsidRPr="00C659E1">
        <w:t>* RTORPA</w:t>
      </w:r>
      <w:r w:rsidRPr="00C659E1">
        <w:rPr>
          <w:i/>
          <w:iCs/>
          <w:vertAlign w:val="subscript"/>
        </w:rPr>
        <w:t xml:space="preserve"> y</w:t>
      </w:r>
      <w:r w:rsidRPr="00C659E1">
        <w:t>)</w:t>
      </w:r>
    </w:p>
    <w:p w14:paraId="14F93B7F" w14:textId="77777777" w:rsidR="001F04FD" w:rsidRPr="00C659E1" w:rsidRDefault="001F04FD" w:rsidP="001F04FD">
      <w:pPr>
        <w:spacing w:after="240"/>
        <w:ind w:left="1440"/>
      </w:pPr>
      <w:r w:rsidRPr="00193B05">
        <w:t xml:space="preserve">RTRDP </w:t>
      </w:r>
      <w:r w:rsidRPr="00193B05">
        <w:tab/>
      </w:r>
      <w:r w:rsidRPr="00193B05">
        <w:tab/>
        <w:t>=</w:t>
      </w:r>
      <w:r w:rsidRPr="00193B05">
        <w:tab/>
      </w:r>
      <w:r>
        <w:tab/>
      </w:r>
      <w:r w:rsidRPr="00193B05">
        <w:rPr>
          <w:position w:val="-22"/>
        </w:rPr>
        <w:object w:dxaOrig="225" w:dyaOrig="465" w14:anchorId="6D256769">
          <v:shape id="_x0000_i1145" type="#_x0000_t75" style="width:12pt;height:18pt" o:ole="">
            <v:imagedata r:id="rId22" o:title=""/>
          </v:shape>
          <o:OLEObject Type="Embed" ProgID="Equation.3" ShapeID="_x0000_i1145" DrawAspect="Content" ObjectID="_1804653630" r:id="rId162"/>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386C3FAB" w14:textId="77777777" w:rsidR="001F04FD" w:rsidRPr="00C659E1" w:rsidRDefault="001F04FD" w:rsidP="001F04FD">
      <w:pPr>
        <w:pStyle w:val="formula0"/>
        <w:widowControl w:val="0"/>
        <w:spacing w:after="240"/>
        <w:ind w:firstLine="0"/>
        <w:rPr>
          <w:lang w:val="es-ES"/>
        </w:rPr>
      </w:pPr>
      <w:r w:rsidRPr="00C659E1">
        <w:tab/>
        <w:t xml:space="preserve">RNWF </w:t>
      </w:r>
      <w:r w:rsidRPr="00C659E1">
        <w:rPr>
          <w:i/>
          <w:vertAlign w:val="subscript"/>
        </w:rPr>
        <w:t>y</w:t>
      </w:r>
      <w:r w:rsidRPr="00C659E1">
        <w:rPr>
          <w:i/>
          <w:vertAlign w:val="subscript"/>
        </w:rPr>
        <w:tab/>
      </w:r>
      <w:r w:rsidRPr="00C659E1">
        <w:rPr>
          <w:i/>
          <w:vertAlign w:val="subscript"/>
        </w:rPr>
        <w:tab/>
      </w:r>
      <w:r w:rsidRPr="00C659E1">
        <w:t>=</w:t>
      </w:r>
      <w:r w:rsidRPr="00C659E1">
        <w:tab/>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EFD14EA">
          <v:shape id="_x0000_i1146" type="#_x0000_t75" style="width:12pt;height:18pt" o:ole="">
            <v:imagedata r:id="rId22" o:title=""/>
          </v:shape>
          <o:OLEObject Type="Embed" ProgID="Equation.3" ShapeID="_x0000_i1146" DrawAspect="Content" ObjectID="_1804653631" r:id="rId163"/>
        </w:object>
      </w:r>
      <w:r w:rsidRPr="00C659E1">
        <w:t xml:space="preserve">TLMP </w:t>
      </w:r>
      <w:r w:rsidRPr="00C659E1">
        <w:rPr>
          <w:i/>
          <w:vertAlign w:val="subscript"/>
        </w:rPr>
        <w:t>y</w:t>
      </w:r>
    </w:p>
    <w:p w14:paraId="2BD3565E" w14:textId="77777777" w:rsidR="001F04FD" w:rsidRDefault="001F04FD" w:rsidP="001F04FD">
      <w:pPr>
        <w:pStyle w:val="formula0"/>
        <w:widowControl w:val="0"/>
        <w:spacing w:after="240"/>
        <w:ind w:firstLine="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w:t>
      </w:r>
      <w:r>
        <w:lastRenderedPageBreak/>
        <w:t xml:space="preserve">based on the normal system configuration of the generation site code, </w:t>
      </w:r>
      <w:r>
        <w:rPr>
          <w:i/>
        </w:rPr>
        <w:t>gsc</w:t>
      </w:r>
      <w:r>
        <w:t>.</w:t>
      </w:r>
    </w:p>
    <w:p w14:paraId="65A5266B" w14:textId="77777777" w:rsidR="001F04FD" w:rsidRDefault="001F04FD" w:rsidP="001F04FD">
      <w:pPr>
        <w:widowControl w:val="0"/>
      </w:pPr>
      <w:r>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0"/>
        <w:gridCol w:w="1262"/>
        <w:gridCol w:w="5864"/>
      </w:tblGrid>
      <w:tr w:rsidR="001F04FD" w14:paraId="6A5AACFA" w14:textId="77777777" w:rsidTr="00AD486D">
        <w:trPr>
          <w:cantSplit/>
          <w:tblHeader/>
        </w:trPr>
        <w:tc>
          <w:tcPr>
            <w:tcW w:w="1155" w:type="pct"/>
          </w:tcPr>
          <w:p w14:paraId="0BBFC1A6" w14:textId="77777777" w:rsidR="001F04FD" w:rsidRDefault="001F04FD" w:rsidP="00AC4DEE">
            <w:pPr>
              <w:pStyle w:val="TableHead"/>
              <w:widowControl w:val="0"/>
            </w:pPr>
            <w:r>
              <w:t>Variable</w:t>
            </w:r>
          </w:p>
        </w:tc>
        <w:tc>
          <w:tcPr>
            <w:tcW w:w="681" w:type="pct"/>
          </w:tcPr>
          <w:p w14:paraId="5674AA8F" w14:textId="77777777" w:rsidR="001F04FD" w:rsidRDefault="001F04FD" w:rsidP="00AC4DEE">
            <w:pPr>
              <w:pStyle w:val="TableHead"/>
              <w:widowControl w:val="0"/>
            </w:pPr>
            <w:r>
              <w:t>Unit</w:t>
            </w:r>
          </w:p>
        </w:tc>
        <w:tc>
          <w:tcPr>
            <w:tcW w:w="3164" w:type="pct"/>
          </w:tcPr>
          <w:p w14:paraId="54C02510" w14:textId="77777777" w:rsidR="001F04FD" w:rsidRDefault="001F04FD" w:rsidP="00AC4DEE">
            <w:pPr>
              <w:pStyle w:val="TableHead"/>
              <w:widowControl w:val="0"/>
            </w:pPr>
            <w:r>
              <w:t>Description</w:t>
            </w:r>
          </w:p>
        </w:tc>
      </w:tr>
      <w:tr w:rsidR="001F04FD" w14:paraId="3D087EF5" w14:textId="77777777" w:rsidTr="00AD486D">
        <w:trPr>
          <w:cantSplit/>
        </w:trPr>
        <w:tc>
          <w:tcPr>
            <w:tcW w:w="1155" w:type="pct"/>
          </w:tcPr>
          <w:p w14:paraId="33AAEEAE" w14:textId="77777777" w:rsidR="001F04FD" w:rsidRDefault="001F04FD" w:rsidP="00AC4DEE">
            <w:pPr>
              <w:pStyle w:val="tablebody0"/>
              <w:widowControl w:val="0"/>
              <w:rPr>
                <w:i/>
              </w:rPr>
            </w:pPr>
            <w:r>
              <w:t xml:space="preserve">NMRTETOT </w:t>
            </w:r>
            <w:r w:rsidRPr="00107CC2">
              <w:rPr>
                <w:i/>
                <w:vertAlign w:val="subscript"/>
              </w:rPr>
              <w:t>gsc</w:t>
            </w:r>
          </w:p>
        </w:tc>
        <w:tc>
          <w:tcPr>
            <w:tcW w:w="681" w:type="pct"/>
          </w:tcPr>
          <w:p w14:paraId="3F93465A" w14:textId="77777777" w:rsidR="001F04FD" w:rsidRDefault="001F04FD" w:rsidP="00AC4DEE">
            <w:pPr>
              <w:pStyle w:val="tablebody0"/>
              <w:widowControl w:val="0"/>
            </w:pPr>
            <w:r>
              <w:t>MWh</w:t>
            </w:r>
          </w:p>
        </w:tc>
        <w:tc>
          <w:tcPr>
            <w:tcW w:w="3164" w:type="pct"/>
          </w:tcPr>
          <w:p w14:paraId="0FFECCEE" w14:textId="77777777" w:rsidR="001F04FD" w:rsidRDefault="001F04FD" w:rsidP="00AC4DEE">
            <w:pPr>
              <w:pStyle w:val="tablebody0"/>
              <w:widowControl w:val="0"/>
            </w:pPr>
            <w:r>
              <w:rPr>
                <w:i/>
              </w:rPr>
              <w:t>Net Meter Real-Time Energy Total</w:t>
            </w:r>
            <w:r>
              <w:t xml:space="preserve">—The net sum for all Settlement Meters included in generation site code </w:t>
            </w:r>
            <w:r>
              <w:rPr>
                <w:i/>
              </w:rPr>
              <w:t>gsc</w:t>
            </w:r>
            <w:r>
              <w:t xml:space="preserve">.  A positive value indicates an injection of power to the ERCOT System. </w:t>
            </w:r>
          </w:p>
        </w:tc>
      </w:tr>
      <w:tr w:rsidR="001F04FD" w14:paraId="4F67C95B" w14:textId="77777777" w:rsidTr="00AD486D">
        <w:trPr>
          <w:cantSplit/>
        </w:trPr>
        <w:tc>
          <w:tcPr>
            <w:tcW w:w="1155" w:type="pct"/>
          </w:tcPr>
          <w:p w14:paraId="09FB5533" w14:textId="77777777" w:rsidR="001F04FD" w:rsidRDefault="001F04FD" w:rsidP="00AC4DEE">
            <w:pPr>
              <w:pStyle w:val="tablebody0"/>
              <w:widowControl w:val="0"/>
            </w:pPr>
            <w:r>
              <w:t>NMSAMTTOT</w:t>
            </w:r>
            <w:r>
              <w:rPr>
                <w:vertAlign w:val="subscript"/>
              </w:rPr>
              <w:t xml:space="preserve"> </w:t>
            </w:r>
            <w:r w:rsidRPr="00107CC2">
              <w:rPr>
                <w:i/>
                <w:vertAlign w:val="subscript"/>
              </w:rPr>
              <w:t>gsc</w:t>
            </w:r>
          </w:p>
        </w:tc>
        <w:tc>
          <w:tcPr>
            <w:tcW w:w="681" w:type="pct"/>
          </w:tcPr>
          <w:p w14:paraId="0A0030FD" w14:textId="77777777" w:rsidR="001F04FD" w:rsidRDefault="001F04FD" w:rsidP="00AC4DEE">
            <w:pPr>
              <w:pStyle w:val="tablebody0"/>
              <w:widowControl w:val="0"/>
            </w:pPr>
            <w:r>
              <w:t>$</w:t>
            </w:r>
          </w:p>
        </w:tc>
        <w:tc>
          <w:tcPr>
            <w:tcW w:w="3164" w:type="pct"/>
          </w:tcPr>
          <w:p w14:paraId="44641ADF" w14:textId="77777777" w:rsidR="001F04FD" w:rsidRDefault="001F04FD" w:rsidP="00AC4DEE">
            <w:pPr>
              <w:pStyle w:val="tablebody0"/>
              <w:widowControl w:val="0"/>
              <w:rPr>
                <w:i/>
              </w:rPr>
            </w:pPr>
            <w:r>
              <w:rPr>
                <w:i/>
              </w:rPr>
              <w:t>Net Metering Settlement</w:t>
            </w:r>
            <w:r>
              <w:t>—The total payment or charge to a generation site with a net metering arrangement.</w:t>
            </w:r>
          </w:p>
        </w:tc>
      </w:tr>
      <w:tr w:rsidR="001F04FD" w14:paraId="4C0218D1" w14:textId="77777777" w:rsidTr="00AD486D">
        <w:trPr>
          <w:cantSplit/>
        </w:trPr>
        <w:tc>
          <w:tcPr>
            <w:tcW w:w="1155" w:type="pct"/>
          </w:tcPr>
          <w:p w14:paraId="5BA49AEC" w14:textId="77777777" w:rsidR="001F04FD" w:rsidRDefault="001F04FD" w:rsidP="00AC4DEE">
            <w:pPr>
              <w:pStyle w:val="tablebody0"/>
              <w:widowControl w:val="0"/>
            </w:pPr>
            <w:r>
              <w:t xml:space="preserve">RTRMPR </w:t>
            </w:r>
            <w:r>
              <w:rPr>
                <w:vertAlign w:val="subscript"/>
              </w:rPr>
              <w:t xml:space="preserve"> </w:t>
            </w:r>
            <w:r w:rsidRPr="00107CC2">
              <w:rPr>
                <w:i/>
                <w:vertAlign w:val="subscript"/>
              </w:rPr>
              <w:t>b</w:t>
            </w:r>
          </w:p>
        </w:tc>
        <w:tc>
          <w:tcPr>
            <w:tcW w:w="681" w:type="pct"/>
          </w:tcPr>
          <w:p w14:paraId="54D83B08" w14:textId="77777777" w:rsidR="001F04FD" w:rsidRDefault="001F04FD" w:rsidP="00AC4DEE">
            <w:pPr>
              <w:pStyle w:val="tablebody0"/>
              <w:widowControl w:val="0"/>
              <w:rPr>
                <w:i/>
              </w:rPr>
            </w:pPr>
            <w:r>
              <w:t>$/MWh</w:t>
            </w:r>
          </w:p>
        </w:tc>
        <w:tc>
          <w:tcPr>
            <w:tcW w:w="3164" w:type="pct"/>
          </w:tcPr>
          <w:p w14:paraId="065D7FF2" w14:textId="77777777" w:rsidR="001F04FD" w:rsidRDefault="001F04FD" w:rsidP="00AC4DEE">
            <w:pPr>
              <w:pStyle w:val="tablebody0"/>
              <w:widowControl w:val="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r>
      <w:tr w:rsidR="001F04FD" w14:paraId="59F86B97" w14:textId="77777777" w:rsidTr="00AD486D">
        <w:trPr>
          <w:cantSplit/>
        </w:trPr>
        <w:tc>
          <w:tcPr>
            <w:tcW w:w="1155" w:type="pct"/>
          </w:tcPr>
          <w:p w14:paraId="077EE2B8" w14:textId="77777777" w:rsidR="001F04FD" w:rsidRDefault="001F04FD" w:rsidP="00AC4DEE">
            <w:pPr>
              <w:pStyle w:val="tablebody0"/>
              <w:widowControl w:val="0"/>
            </w:pPr>
            <w:r>
              <w:t xml:space="preserve">MEB </w:t>
            </w:r>
            <w:r w:rsidRPr="00107CC2">
              <w:rPr>
                <w:i/>
                <w:vertAlign w:val="subscript"/>
              </w:rPr>
              <w:t>gsc, b</w:t>
            </w:r>
          </w:p>
        </w:tc>
        <w:tc>
          <w:tcPr>
            <w:tcW w:w="681" w:type="pct"/>
          </w:tcPr>
          <w:p w14:paraId="29CC69B0" w14:textId="77777777" w:rsidR="001F04FD" w:rsidRDefault="001F04FD" w:rsidP="00AC4DEE">
            <w:pPr>
              <w:pStyle w:val="tablebody0"/>
              <w:widowControl w:val="0"/>
            </w:pPr>
            <w:r>
              <w:t>MWh</w:t>
            </w:r>
          </w:p>
        </w:tc>
        <w:tc>
          <w:tcPr>
            <w:tcW w:w="3164" w:type="pct"/>
          </w:tcPr>
          <w:p w14:paraId="21FF4B4C" w14:textId="3FE2A183" w:rsidR="001F04FD" w:rsidRDefault="001F04FD" w:rsidP="00AC4DEE">
            <w:pPr>
              <w:pStyle w:val="tablebody0"/>
              <w:widowControl w:val="0"/>
              <w:rPr>
                <w:i/>
              </w:rPr>
            </w:pPr>
            <w:r>
              <w:rPr>
                <w:i/>
              </w:rPr>
              <w:t>Metered Energy at bus</w:t>
            </w:r>
            <w:r>
              <w:sym w:font="Symbol" w:char="F0BE"/>
            </w:r>
            <w:r w:rsidR="003963CD">
              <w:t xml:space="preserve"> The metered energy by the Settlement Meter which is not upstream from another Settlement Meter which measures ESR Load for the 15-minute Settlement Interval.  A positive value represents energy produced, and a negative value represents energy withdrawn.</w:t>
            </w:r>
            <w:r w:rsidR="003963CD" w:rsidDel="003963CD">
              <w:t xml:space="preserve"> </w:t>
            </w:r>
          </w:p>
        </w:tc>
      </w:tr>
      <w:tr w:rsidR="001F04FD" w14:paraId="4AC6E38F" w14:textId="77777777" w:rsidTr="00AD486D">
        <w:trPr>
          <w:cantSplit/>
        </w:trPr>
        <w:tc>
          <w:tcPr>
            <w:tcW w:w="1155" w:type="pct"/>
          </w:tcPr>
          <w:p w14:paraId="2A44568D" w14:textId="77777777" w:rsidR="001F04FD" w:rsidRDefault="001F04FD" w:rsidP="00AC4DEE">
            <w:pPr>
              <w:pStyle w:val="tablebody0"/>
              <w:widowControl w:val="0"/>
            </w:pPr>
            <w:r w:rsidRPr="0080555B">
              <w:t>RTRSVPOR</w:t>
            </w:r>
          </w:p>
        </w:tc>
        <w:tc>
          <w:tcPr>
            <w:tcW w:w="681" w:type="pct"/>
          </w:tcPr>
          <w:p w14:paraId="1AB918C5" w14:textId="77777777" w:rsidR="001F04FD" w:rsidRDefault="001F04FD" w:rsidP="00AC4DEE">
            <w:pPr>
              <w:pStyle w:val="tablebody0"/>
              <w:widowControl w:val="0"/>
            </w:pPr>
            <w:r w:rsidRPr="0080555B">
              <w:t>$/MWh</w:t>
            </w:r>
          </w:p>
        </w:tc>
        <w:tc>
          <w:tcPr>
            <w:tcW w:w="3164" w:type="pct"/>
          </w:tcPr>
          <w:p w14:paraId="49F80439" w14:textId="77777777" w:rsidR="001F04FD" w:rsidRDefault="001F04FD" w:rsidP="00AC4DEE">
            <w:pPr>
              <w:pStyle w:val="tablebody0"/>
              <w:widowControl w:val="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14:paraId="73A7184F" w14:textId="77777777" w:rsidTr="00AD486D">
        <w:trPr>
          <w:cantSplit/>
        </w:trPr>
        <w:tc>
          <w:tcPr>
            <w:tcW w:w="1155" w:type="pct"/>
          </w:tcPr>
          <w:p w14:paraId="4B14D185" w14:textId="77777777" w:rsidR="001F04FD" w:rsidRDefault="001F04FD" w:rsidP="00AC4DEE">
            <w:pPr>
              <w:pStyle w:val="tablebody0"/>
              <w:widowControl w:val="0"/>
            </w:pPr>
            <w:r w:rsidRPr="0080555B">
              <w:t>RTORPA</w:t>
            </w:r>
            <w:r w:rsidRPr="0080555B">
              <w:rPr>
                <w:vertAlign w:val="subscript"/>
              </w:rPr>
              <w:t xml:space="preserve"> </w:t>
            </w:r>
            <w:r w:rsidRPr="00107CC2">
              <w:rPr>
                <w:i/>
                <w:vertAlign w:val="subscript"/>
              </w:rPr>
              <w:t>y</w:t>
            </w:r>
          </w:p>
        </w:tc>
        <w:tc>
          <w:tcPr>
            <w:tcW w:w="681" w:type="pct"/>
          </w:tcPr>
          <w:p w14:paraId="78B6BCB8" w14:textId="77777777" w:rsidR="001F04FD" w:rsidRDefault="001F04FD" w:rsidP="00AC4DEE">
            <w:pPr>
              <w:pStyle w:val="tablebody0"/>
              <w:widowControl w:val="0"/>
            </w:pPr>
            <w:r w:rsidRPr="0080555B">
              <w:t>$/MWh</w:t>
            </w:r>
          </w:p>
        </w:tc>
        <w:tc>
          <w:tcPr>
            <w:tcW w:w="3164" w:type="pct"/>
          </w:tcPr>
          <w:p w14:paraId="1572E425" w14:textId="77777777" w:rsidR="001F04FD" w:rsidRDefault="001F04FD" w:rsidP="00AC4DEE">
            <w:pPr>
              <w:pStyle w:val="tablebody0"/>
              <w:widowControl w:val="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1F04FD" w14:paraId="590393C6" w14:textId="77777777" w:rsidTr="00AD486D">
        <w:trPr>
          <w:cantSplit/>
        </w:trPr>
        <w:tc>
          <w:tcPr>
            <w:tcW w:w="1155" w:type="pct"/>
          </w:tcPr>
          <w:p w14:paraId="6C5C89BB" w14:textId="77777777" w:rsidR="001F04FD" w:rsidRPr="0080555B" w:rsidRDefault="001F04FD" w:rsidP="00AC4DEE">
            <w:pPr>
              <w:pStyle w:val="tablebody0"/>
              <w:widowControl w:val="0"/>
            </w:pPr>
            <w:r>
              <w:t>RTRDP</w:t>
            </w:r>
          </w:p>
        </w:tc>
        <w:tc>
          <w:tcPr>
            <w:tcW w:w="681" w:type="pct"/>
          </w:tcPr>
          <w:p w14:paraId="351CAEAA" w14:textId="77777777" w:rsidR="001F04FD" w:rsidRPr="0080555B" w:rsidRDefault="001F04FD" w:rsidP="00AC4DEE">
            <w:pPr>
              <w:pStyle w:val="tablebody0"/>
              <w:widowControl w:val="0"/>
            </w:pPr>
            <w:r>
              <w:t>$/MWh</w:t>
            </w:r>
          </w:p>
        </w:tc>
        <w:tc>
          <w:tcPr>
            <w:tcW w:w="3164" w:type="pct"/>
          </w:tcPr>
          <w:p w14:paraId="2865809B" w14:textId="15A3052E" w:rsidR="001F04FD" w:rsidRPr="0080555B" w:rsidRDefault="001F04FD" w:rsidP="00AC4DEE">
            <w:pPr>
              <w:pStyle w:val="tablebody0"/>
              <w:widowControl w:val="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1F04FD" w14:paraId="437756F4" w14:textId="77777777" w:rsidTr="00AD486D">
        <w:trPr>
          <w:cantSplit/>
        </w:trPr>
        <w:tc>
          <w:tcPr>
            <w:tcW w:w="1155" w:type="pct"/>
          </w:tcPr>
          <w:p w14:paraId="7948E81F" w14:textId="77777777" w:rsidR="001F04FD" w:rsidRPr="0080555B" w:rsidRDefault="001F04FD" w:rsidP="00AC4DEE">
            <w:pPr>
              <w:pStyle w:val="tablebody0"/>
              <w:widowControl w:val="0"/>
            </w:pPr>
            <w:r>
              <w:t>RTORDPA</w:t>
            </w:r>
            <w:r w:rsidRPr="00CE4C14">
              <w:rPr>
                <w:vertAlign w:val="subscript"/>
              </w:rPr>
              <w:t xml:space="preserve"> </w:t>
            </w:r>
            <w:r w:rsidRPr="00107CC2">
              <w:rPr>
                <w:i/>
                <w:vertAlign w:val="subscript"/>
              </w:rPr>
              <w:t>y</w:t>
            </w:r>
          </w:p>
        </w:tc>
        <w:tc>
          <w:tcPr>
            <w:tcW w:w="681" w:type="pct"/>
          </w:tcPr>
          <w:p w14:paraId="7CFDDB41" w14:textId="77777777" w:rsidR="001F04FD" w:rsidRPr="0080555B" w:rsidRDefault="001F04FD" w:rsidP="00AC4DEE">
            <w:pPr>
              <w:pStyle w:val="tablebody0"/>
              <w:widowControl w:val="0"/>
            </w:pPr>
            <w:r>
              <w:t>$/MWh</w:t>
            </w:r>
          </w:p>
        </w:tc>
        <w:tc>
          <w:tcPr>
            <w:tcW w:w="3164" w:type="pct"/>
          </w:tcPr>
          <w:p w14:paraId="31D13F54" w14:textId="77777777" w:rsidR="001F04FD" w:rsidRPr="0080555B" w:rsidRDefault="001F04FD" w:rsidP="00AC4DEE">
            <w:pPr>
              <w:pStyle w:val="tablebody0"/>
              <w:widowControl w:val="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1F04FD" w14:paraId="16515AB5" w14:textId="77777777" w:rsidTr="00AD486D">
        <w:trPr>
          <w:cantSplit/>
        </w:trPr>
        <w:tc>
          <w:tcPr>
            <w:tcW w:w="1155" w:type="pct"/>
          </w:tcPr>
          <w:p w14:paraId="544F9586" w14:textId="77777777" w:rsidR="001F04FD" w:rsidRDefault="001F04FD" w:rsidP="00AC4DEE">
            <w:pPr>
              <w:pStyle w:val="tablebody0"/>
              <w:widowControl w:val="0"/>
            </w:pPr>
            <w:r w:rsidRPr="0080555B">
              <w:t>RNWF</w:t>
            </w:r>
            <w:r w:rsidRPr="00107CC2">
              <w:rPr>
                <w:i/>
              </w:rPr>
              <w:t xml:space="preserve"> </w:t>
            </w:r>
            <w:r w:rsidRPr="00107CC2">
              <w:rPr>
                <w:i/>
                <w:vertAlign w:val="subscript"/>
              </w:rPr>
              <w:t>y</w:t>
            </w:r>
          </w:p>
        </w:tc>
        <w:tc>
          <w:tcPr>
            <w:tcW w:w="681" w:type="pct"/>
          </w:tcPr>
          <w:p w14:paraId="0C280914" w14:textId="77777777" w:rsidR="001F04FD" w:rsidRDefault="001F04FD" w:rsidP="00AC4DEE">
            <w:pPr>
              <w:pStyle w:val="tablebody0"/>
              <w:widowControl w:val="0"/>
            </w:pPr>
            <w:r w:rsidRPr="0080555B">
              <w:t>none</w:t>
            </w:r>
          </w:p>
        </w:tc>
        <w:tc>
          <w:tcPr>
            <w:tcW w:w="3164" w:type="pct"/>
          </w:tcPr>
          <w:p w14:paraId="76F0FE1B" w14:textId="77777777" w:rsidR="001F04FD" w:rsidRDefault="001F04FD" w:rsidP="00AC4DEE">
            <w:pPr>
              <w:pStyle w:val="tablebody0"/>
              <w:widowControl w:val="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1F04FD" w14:paraId="1EC55F28" w14:textId="77777777" w:rsidTr="00AD486D">
        <w:trPr>
          <w:cantSplit/>
        </w:trPr>
        <w:tc>
          <w:tcPr>
            <w:tcW w:w="1155" w:type="pct"/>
          </w:tcPr>
          <w:p w14:paraId="4A117FD6" w14:textId="77777777" w:rsidR="001F04FD" w:rsidRDefault="001F04FD" w:rsidP="00AC4DEE">
            <w:pPr>
              <w:pStyle w:val="tablebody0"/>
              <w:widowControl w:val="0"/>
            </w:pPr>
            <w:r>
              <w:t xml:space="preserve">RTLMP </w:t>
            </w:r>
            <w:r w:rsidRPr="00107CC2">
              <w:rPr>
                <w:i/>
                <w:vertAlign w:val="subscript"/>
              </w:rPr>
              <w:t>b, y</w:t>
            </w:r>
          </w:p>
        </w:tc>
        <w:tc>
          <w:tcPr>
            <w:tcW w:w="681" w:type="pct"/>
          </w:tcPr>
          <w:p w14:paraId="1C62036B" w14:textId="77777777" w:rsidR="001F04FD" w:rsidRDefault="001F04FD" w:rsidP="00AC4DEE">
            <w:pPr>
              <w:pStyle w:val="tablebody0"/>
              <w:widowControl w:val="0"/>
            </w:pPr>
            <w:r>
              <w:t>$/MWh</w:t>
            </w:r>
          </w:p>
        </w:tc>
        <w:tc>
          <w:tcPr>
            <w:tcW w:w="3164" w:type="pct"/>
          </w:tcPr>
          <w:p w14:paraId="7729EF11" w14:textId="77777777" w:rsidR="001F04FD" w:rsidRDefault="001F04FD" w:rsidP="00AC4DEE">
            <w:pPr>
              <w:pStyle w:val="tablebody0"/>
              <w:widowControl w:val="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1F04FD" w14:paraId="4994ADDB" w14:textId="77777777" w:rsidTr="00AD486D">
        <w:trPr>
          <w:cantSplit/>
        </w:trPr>
        <w:tc>
          <w:tcPr>
            <w:tcW w:w="1155" w:type="pct"/>
          </w:tcPr>
          <w:p w14:paraId="14E03E4D" w14:textId="77777777" w:rsidR="001F04FD" w:rsidRDefault="001F04FD" w:rsidP="00AC4DEE">
            <w:pPr>
              <w:pStyle w:val="tablebody0"/>
              <w:widowControl w:val="0"/>
            </w:pPr>
            <w:r>
              <w:t xml:space="preserve">TLMP </w:t>
            </w:r>
            <w:r w:rsidRPr="00107CC2">
              <w:rPr>
                <w:i/>
                <w:vertAlign w:val="subscript"/>
              </w:rPr>
              <w:t>y</w:t>
            </w:r>
          </w:p>
        </w:tc>
        <w:tc>
          <w:tcPr>
            <w:tcW w:w="681" w:type="pct"/>
          </w:tcPr>
          <w:p w14:paraId="79C2CF5C" w14:textId="77777777" w:rsidR="001F04FD" w:rsidRDefault="001F04FD" w:rsidP="00AC4DEE">
            <w:pPr>
              <w:pStyle w:val="tablebody0"/>
              <w:widowControl w:val="0"/>
              <w:rPr>
                <w:iCs/>
              </w:rPr>
            </w:pPr>
            <w:r>
              <w:t>second</w:t>
            </w:r>
          </w:p>
        </w:tc>
        <w:tc>
          <w:tcPr>
            <w:tcW w:w="3164" w:type="pct"/>
          </w:tcPr>
          <w:p w14:paraId="4199EFE3" w14:textId="77777777" w:rsidR="001F04FD" w:rsidRDefault="001F04FD" w:rsidP="00AC4DEE">
            <w:pPr>
              <w:pStyle w:val="tablebody0"/>
              <w:widowControl w:val="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1F04FD" w14:paraId="75E8BE67" w14:textId="77777777" w:rsidTr="00AD486D">
        <w:trPr>
          <w:cantSplit/>
        </w:trPr>
        <w:tc>
          <w:tcPr>
            <w:tcW w:w="1155" w:type="pct"/>
          </w:tcPr>
          <w:p w14:paraId="67DE94F4" w14:textId="77777777" w:rsidR="001F04FD" w:rsidRDefault="001F04FD" w:rsidP="00AC4DEE">
            <w:pPr>
              <w:pStyle w:val="tablebody0"/>
              <w:widowControl w:val="0"/>
            </w:pPr>
            <w:r>
              <w:t xml:space="preserve">RNWF </w:t>
            </w:r>
            <w:r w:rsidRPr="00107CC2">
              <w:rPr>
                <w:i/>
                <w:vertAlign w:val="subscript"/>
              </w:rPr>
              <w:t>b, y</w:t>
            </w:r>
          </w:p>
        </w:tc>
        <w:tc>
          <w:tcPr>
            <w:tcW w:w="681" w:type="pct"/>
          </w:tcPr>
          <w:p w14:paraId="61055225" w14:textId="77777777" w:rsidR="001F04FD" w:rsidRDefault="001F04FD" w:rsidP="00AC4DEE">
            <w:pPr>
              <w:pStyle w:val="tablebody0"/>
              <w:widowControl w:val="0"/>
            </w:pPr>
            <w:r>
              <w:t>none</w:t>
            </w:r>
          </w:p>
        </w:tc>
        <w:tc>
          <w:tcPr>
            <w:tcW w:w="3164" w:type="pct"/>
          </w:tcPr>
          <w:p w14:paraId="242D38CC" w14:textId="77777777" w:rsidR="001F04FD" w:rsidRDefault="001F04FD" w:rsidP="00AC4DEE">
            <w:pPr>
              <w:pStyle w:val="tablebody0"/>
              <w:widowControl w:val="0"/>
              <w:rPr>
                <w:i/>
                <w:iCs/>
              </w:rPr>
            </w:pPr>
            <w:r>
              <w:rPr>
                <w:i/>
                <w:iCs/>
              </w:rPr>
              <w:t>Net meter Weighting Factor per interval</w:t>
            </w:r>
            <w:r>
              <w:rPr>
                <w:rFonts w:ascii="Symbol" w:hAnsi="Symbol"/>
              </w:rPr>
              <w:t></w:t>
            </w:r>
            <w:r>
              <w:t xml:space="preserve">The weight factor used in net meter price calculation for meters in Electrical Bus </w:t>
            </w:r>
            <w:r>
              <w:rPr>
                <w:i/>
              </w:rPr>
              <w:t>b</w:t>
            </w:r>
            <w:r>
              <w:t xml:space="preserve">, for the SCED interval </w:t>
            </w:r>
            <w:r>
              <w:rPr>
                <w:i/>
                <w:iCs/>
              </w:rPr>
              <w:t>y</w:t>
            </w:r>
            <w:r>
              <w:t>.  The weighting factor used in the net meter price calculation shall not be recalculated after the fact due to revisions in the association of Resources to Settlement Meters.</w:t>
            </w:r>
          </w:p>
        </w:tc>
      </w:tr>
      <w:tr w:rsidR="001F04FD" w14:paraId="5F97ABA6" w14:textId="77777777" w:rsidTr="00AD486D">
        <w:trPr>
          <w:cantSplit/>
        </w:trPr>
        <w:tc>
          <w:tcPr>
            <w:tcW w:w="1155" w:type="pct"/>
          </w:tcPr>
          <w:p w14:paraId="7CDD5C84" w14:textId="77777777" w:rsidR="001F04FD" w:rsidRDefault="001F04FD" w:rsidP="00AC4DEE">
            <w:pPr>
              <w:pStyle w:val="tablebody0"/>
              <w:widowControl w:val="0"/>
            </w:pPr>
            <w:r>
              <w:t xml:space="preserve">BP </w:t>
            </w:r>
            <w:r w:rsidRPr="00107CC2">
              <w:rPr>
                <w:i/>
                <w:vertAlign w:val="subscript"/>
              </w:rPr>
              <w:t>r, y</w:t>
            </w:r>
          </w:p>
        </w:tc>
        <w:tc>
          <w:tcPr>
            <w:tcW w:w="681" w:type="pct"/>
          </w:tcPr>
          <w:p w14:paraId="533331C2" w14:textId="77777777" w:rsidR="001F04FD" w:rsidRDefault="001F04FD" w:rsidP="00AC4DEE">
            <w:pPr>
              <w:pStyle w:val="tablebody0"/>
              <w:widowControl w:val="0"/>
            </w:pPr>
            <w:r>
              <w:t>MW</w:t>
            </w:r>
          </w:p>
        </w:tc>
        <w:tc>
          <w:tcPr>
            <w:tcW w:w="3164" w:type="pct"/>
          </w:tcPr>
          <w:p w14:paraId="6E08B86A" w14:textId="77777777" w:rsidR="001F04FD" w:rsidRDefault="001F04FD" w:rsidP="00AC4DEE">
            <w:pPr>
              <w:pStyle w:val="tablebody0"/>
              <w:widowControl w:val="0"/>
              <w:rPr>
                <w:i/>
                <w:iCs/>
              </w:rPr>
            </w:pPr>
            <w:r>
              <w:rPr>
                <w:i/>
                <w:iCs/>
              </w:rPr>
              <w:t>Base Point per Resource per interval</w:t>
            </w:r>
            <w:r>
              <w:rPr>
                <w:rFonts w:ascii="Symbol" w:hAnsi="Symbol"/>
              </w:rPr>
              <w:t></w:t>
            </w:r>
            <w:r>
              <w:t xml:space="preserve">The Base Point of Resource </w:t>
            </w:r>
            <w:r>
              <w:rPr>
                <w:i/>
              </w:rPr>
              <w:t>r</w:t>
            </w:r>
            <w:r w:rsidRPr="00D661BC">
              <w:rPr>
                <w:i/>
              </w:rPr>
              <w:t>,</w:t>
            </w:r>
            <w:r>
              <w:t xml:space="preserve"> for the SCED interval </w:t>
            </w:r>
            <w:r>
              <w:rPr>
                <w:i/>
                <w:iCs/>
              </w:rPr>
              <w:t>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4B627E85" w14:textId="77777777" w:rsidTr="00AD486D">
        <w:trPr>
          <w:cantSplit/>
        </w:trPr>
        <w:tc>
          <w:tcPr>
            <w:tcW w:w="1155" w:type="pct"/>
          </w:tcPr>
          <w:p w14:paraId="58A0E3EF" w14:textId="77777777" w:rsidR="001F04FD" w:rsidRPr="00D661BC" w:rsidRDefault="001F04FD" w:rsidP="00AC4DEE">
            <w:pPr>
              <w:pStyle w:val="tablebody0"/>
              <w:widowControl w:val="0"/>
              <w:rPr>
                <w:i/>
              </w:rPr>
            </w:pPr>
            <w:r w:rsidRPr="004368B4">
              <w:t>MEB</w:t>
            </w:r>
            <w:r>
              <w:t>C</w:t>
            </w:r>
            <w:r w:rsidRPr="004368B4">
              <w:rPr>
                <w:vertAlign w:val="subscript"/>
              </w:rPr>
              <w:t xml:space="preserve"> </w:t>
            </w:r>
            <w:r w:rsidRPr="00107CC2">
              <w:rPr>
                <w:i/>
                <w:vertAlign w:val="subscript"/>
              </w:rPr>
              <w:t>gsc, b</w:t>
            </w:r>
          </w:p>
        </w:tc>
        <w:tc>
          <w:tcPr>
            <w:tcW w:w="681" w:type="pct"/>
          </w:tcPr>
          <w:p w14:paraId="2F551F7E" w14:textId="77777777" w:rsidR="001F04FD" w:rsidRDefault="001F04FD" w:rsidP="00AC4DEE">
            <w:pPr>
              <w:pStyle w:val="tablebody0"/>
              <w:widowControl w:val="0"/>
            </w:pPr>
            <w:r w:rsidRPr="004368B4">
              <w:t>MWh</w:t>
            </w:r>
          </w:p>
        </w:tc>
        <w:tc>
          <w:tcPr>
            <w:tcW w:w="3164" w:type="pct"/>
          </w:tcPr>
          <w:p w14:paraId="6FA5EC2D" w14:textId="09BF5B68" w:rsidR="001F04FD" w:rsidRDefault="001F04FD">
            <w:pPr>
              <w:pStyle w:val="tablebody0"/>
              <w:widowControl w:val="0"/>
            </w:pPr>
            <w:r w:rsidRPr="004368B4">
              <w:rPr>
                <w:i/>
              </w:rPr>
              <w:t xml:space="preserve">Metered Energy </w:t>
            </w:r>
            <w:r>
              <w:rPr>
                <w:i/>
              </w:rPr>
              <w:t>at bus (Calculated)</w:t>
            </w:r>
            <w:r w:rsidRPr="004368B4">
              <w:sym w:font="Symbol" w:char="F0BE"/>
            </w:r>
            <w:r w:rsidR="003963CD" w:rsidRPr="004368B4">
              <w:t xml:space="preserve"> The </w:t>
            </w:r>
            <w:r w:rsidR="003963CD">
              <w:t>calculated</w:t>
            </w:r>
            <w:r w:rsidR="003963CD" w:rsidRPr="004368B4">
              <w:t xml:space="preserve"> energy for the 15-minute Settlement Interval for a </w:t>
            </w:r>
            <w:r w:rsidR="003963CD">
              <w:t xml:space="preserve">Settlement Meter which is upstream from another Settlement Meter which measures ESR Load. </w:t>
            </w:r>
            <w:r w:rsidR="003963CD" w:rsidRPr="004368B4">
              <w:t xml:space="preserve"> </w:t>
            </w:r>
            <w:r w:rsidR="003963CD">
              <w:t>A positive value represents energy produced, and a negative value represents energy withdrawn.</w:t>
            </w:r>
            <w:r w:rsidR="003963CD" w:rsidRPr="004368B4" w:rsidDel="003963CD">
              <w:t xml:space="preserve"> </w:t>
            </w:r>
          </w:p>
        </w:tc>
      </w:tr>
      <w:tr w:rsidR="001F04FD" w14:paraId="7A75AD5D" w14:textId="77777777" w:rsidTr="00AD486D">
        <w:trPr>
          <w:cantSplit/>
        </w:trPr>
        <w:tc>
          <w:tcPr>
            <w:tcW w:w="1155" w:type="pct"/>
          </w:tcPr>
          <w:p w14:paraId="1C9C9E0B" w14:textId="77777777" w:rsidR="001F04FD" w:rsidRPr="00851EF1" w:rsidRDefault="001F04FD" w:rsidP="00AC4DEE">
            <w:pPr>
              <w:pStyle w:val="tablebody0"/>
              <w:widowControl w:val="0"/>
              <w:rPr>
                <w:i/>
              </w:rPr>
            </w:pPr>
            <w:r w:rsidRPr="00D661BC">
              <w:rPr>
                <w:i/>
              </w:rPr>
              <w:lastRenderedPageBreak/>
              <w:t>gsc</w:t>
            </w:r>
          </w:p>
        </w:tc>
        <w:tc>
          <w:tcPr>
            <w:tcW w:w="681" w:type="pct"/>
          </w:tcPr>
          <w:p w14:paraId="3F67CAC9" w14:textId="77777777" w:rsidR="001F04FD" w:rsidRDefault="001F04FD" w:rsidP="00AC4DEE">
            <w:pPr>
              <w:pStyle w:val="tablebody0"/>
              <w:widowControl w:val="0"/>
            </w:pPr>
            <w:r>
              <w:t>none</w:t>
            </w:r>
          </w:p>
        </w:tc>
        <w:tc>
          <w:tcPr>
            <w:tcW w:w="3164" w:type="pct"/>
          </w:tcPr>
          <w:p w14:paraId="0BDB631B" w14:textId="77777777" w:rsidR="001F04FD" w:rsidRDefault="001F04FD" w:rsidP="00AC4DEE">
            <w:pPr>
              <w:pStyle w:val="tablebody0"/>
              <w:widowControl w:val="0"/>
            </w:pPr>
            <w:r>
              <w:t>A generation site code.</w:t>
            </w:r>
          </w:p>
        </w:tc>
      </w:tr>
      <w:tr w:rsidR="001F04FD" w14:paraId="15E7CC47" w14:textId="77777777" w:rsidTr="00AD486D">
        <w:trPr>
          <w:cantSplit/>
        </w:trPr>
        <w:tc>
          <w:tcPr>
            <w:tcW w:w="1155" w:type="pct"/>
          </w:tcPr>
          <w:p w14:paraId="0F88CF96" w14:textId="77777777" w:rsidR="001F04FD" w:rsidRPr="00851EF1" w:rsidRDefault="001F04FD" w:rsidP="00AC4DEE">
            <w:pPr>
              <w:pStyle w:val="tablebody0"/>
              <w:widowControl w:val="0"/>
              <w:rPr>
                <w:i/>
              </w:rPr>
            </w:pPr>
            <w:r w:rsidRPr="00D661BC">
              <w:rPr>
                <w:i/>
              </w:rPr>
              <w:t>r</w:t>
            </w:r>
          </w:p>
        </w:tc>
        <w:tc>
          <w:tcPr>
            <w:tcW w:w="681" w:type="pct"/>
          </w:tcPr>
          <w:p w14:paraId="0E905848" w14:textId="77777777" w:rsidR="001F04FD" w:rsidRDefault="001F04FD" w:rsidP="00AC4DEE">
            <w:pPr>
              <w:pStyle w:val="tablebody0"/>
              <w:widowControl w:val="0"/>
            </w:pPr>
            <w:r>
              <w:t>none</w:t>
            </w:r>
          </w:p>
        </w:tc>
        <w:tc>
          <w:tcPr>
            <w:tcW w:w="3164" w:type="pct"/>
          </w:tcPr>
          <w:p w14:paraId="52976AC4" w14:textId="77777777" w:rsidR="001F04FD" w:rsidRDefault="001F04FD" w:rsidP="00AC4DEE">
            <w:pPr>
              <w:pStyle w:val="tablebody0"/>
              <w:widowControl w:val="0"/>
            </w:pPr>
            <w:r>
              <w:t xml:space="preserve">A Generation Resource that is located at the Facility with net metering.  </w:t>
            </w:r>
          </w:p>
        </w:tc>
      </w:tr>
      <w:tr w:rsidR="001F04FD" w14:paraId="2229CE7F" w14:textId="77777777" w:rsidTr="00AD486D">
        <w:trPr>
          <w:cantSplit/>
        </w:trPr>
        <w:tc>
          <w:tcPr>
            <w:tcW w:w="1155" w:type="pct"/>
          </w:tcPr>
          <w:p w14:paraId="789488EB" w14:textId="77777777" w:rsidR="001F04FD" w:rsidRPr="00851EF1" w:rsidRDefault="001F04FD" w:rsidP="00AC4DEE">
            <w:pPr>
              <w:pStyle w:val="tablebody0"/>
              <w:widowControl w:val="0"/>
              <w:rPr>
                <w:i/>
              </w:rPr>
            </w:pPr>
            <w:r w:rsidRPr="00D661BC">
              <w:rPr>
                <w:i/>
              </w:rPr>
              <w:t>y</w:t>
            </w:r>
          </w:p>
        </w:tc>
        <w:tc>
          <w:tcPr>
            <w:tcW w:w="681" w:type="pct"/>
          </w:tcPr>
          <w:p w14:paraId="7555AA5C" w14:textId="77777777" w:rsidR="001F04FD" w:rsidRDefault="001F04FD" w:rsidP="00AC4DEE">
            <w:pPr>
              <w:pStyle w:val="tablebody0"/>
              <w:widowControl w:val="0"/>
            </w:pPr>
            <w:r>
              <w:t>none</w:t>
            </w:r>
          </w:p>
        </w:tc>
        <w:tc>
          <w:tcPr>
            <w:tcW w:w="3164" w:type="pct"/>
          </w:tcPr>
          <w:p w14:paraId="72758986" w14:textId="77777777" w:rsidR="001F04FD" w:rsidRDefault="001F04FD" w:rsidP="00AC4DEE">
            <w:pPr>
              <w:pStyle w:val="tablebody0"/>
              <w:widowControl w:val="0"/>
            </w:pPr>
            <w:r>
              <w:t>A SCED interval in the 15-minute Settlement Interval.  The summation is over the total number of SCED runs that cover the 15-minute Settlement Interval.</w:t>
            </w:r>
          </w:p>
        </w:tc>
      </w:tr>
      <w:tr w:rsidR="001F04FD" w14:paraId="4C358E52" w14:textId="77777777" w:rsidTr="00AD486D">
        <w:trPr>
          <w:cantSplit/>
        </w:trPr>
        <w:tc>
          <w:tcPr>
            <w:tcW w:w="1155" w:type="pct"/>
          </w:tcPr>
          <w:p w14:paraId="38E39882" w14:textId="77777777" w:rsidR="001F04FD" w:rsidRPr="00851EF1" w:rsidRDefault="001F04FD" w:rsidP="00AC4DEE">
            <w:pPr>
              <w:pStyle w:val="tablebody0"/>
              <w:widowControl w:val="0"/>
              <w:rPr>
                <w:i/>
              </w:rPr>
            </w:pPr>
            <w:r w:rsidRPr="00D661BC">
              <w:rPr>
                <w:i/>
              </w:rPr>
              <w:t>b</w:t>
            </w:r>
          </w:p>
        </w:tc>
        <w:tc>
          <w:tcPr>
            <w:tcW w:w="681" w:type="pct"/>
          </w:tcPr>
          <w:p w14:paraId="0E5E79D0" w14:textId="77777777" w:rsidR="001F04FD" w:rsidRDefault="001F04FD" w:rsidP="00AC4DEE">
            <w:pPr>
              <w:pStyle w:val="tablebody0"/>
              <w:widowControl w:val="0"/>
            </w:pPr>
            <w:r>
              <w:t>none</w:t>
            </w:r>
          </w:p>
        </w:tc>
        <w:tc>
          <w:tcPr>
            <w:tcW w:w="3164" w:type="pct"/>
          </w:tcPr>
          <w:p w14:paraId="5973D815" w14:textId="77777777" w:rsidR="001F04FD" w:rsidRDefault="001F04FD" w:rsidP="00AC4DEE">
            <w:pPr>
              <w:pStyle w:val="tablebody0"/>
              <w:widowControl w:val="0"/>
            </w:pPr>
            <w:r>
              <w:t>An Electrical Bus.</w:t>
            </w:r>
          </w:p>
        </w:tc>
      </w:tr>
    </w:tbl>
    <w:p w14:paraId="392F460E" w14:textId="77777777" w:rsidR="00837DE8" w:rsidRDefault="00837DE8" w:rsidP="00F15CAD">
      <w:pPr>
        <w:pStyle w:val="BodyTextNumbered"/>
        <w:widowControl w:val="0"/>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37DE8" w14:paraId="4C508574" w14:textId="77777777" w:rsidTr="000D7680">
        <w:trPr>
          <w:trHeight w:val="206"/>
        </w:trPr>
        <w:tc>
          <w:tcPr>
            <w:tcW w:w="5000" w:type="pct"/>
            <w:shd w:val="pct12" w:color="auto" w:fill="auto"/>
          </w:tcPr>
          <w:p w14:paraId="1411EB1A" w14:textId="64F69052" w:rsidR="00837DE8" w:rsidRDefault="00F15CAD" w:rsidP="000D7680">
            <w:pPr>
              <w:pStyle w:val="Instructions"/>
              <w:spacing w:before="120"/>
            </w:pPr>
            <w:r>
              <w:t>[</w:t>
            </w:r>
            <w:r w:rsidR="00837DE8">
              <w:t>NPRR1010</w:t>
            </w:r>
            <w:r w:rsidR="00632873">
              <w:t>,</w:t>
            </w:r>
            <w:r>
              <w:t xml:space="preserve"> NPRR1014</w:t>
            </w:r>
            <w:r w:rsidR="00632873">
              <w:t>, and NPRR1188</w:t>
            </w:r>
            <w:r w:rsidR="00837DE8">
              <w:t xml:space="preserve">:  Replace </w:t>
            </w:r>
            <w:r>
              <w:t>applicable portion</w:t>
            </w:r>
            <w:r w:rsidR="00AA638D">
              <w:t>s</w:t>
            </w:r>
            <w:r>
              <w:t xml:space="preserve"> of </w:t>
            </w:r>
            <w:r w:rsidR="00837DE8">
              <w:t>paragraph (4) above with the following upon system implementation</w:t>
            </w:r>
            <w:r w:rsidR="00B15E7C">
              <w:t xml:space="preserve"> of the Real-Time Co-Optimization (RTC) project for NPRR1010</w:t>
            </w:r>
            <w:r w:rsidR="00837DE8">
              <w:t>; or upon system implementation</w:t>
            </w:r>
            <w:r w:rsidR="00B15E7C">
              <w:t xml:space="preserve"> for NPRR1014</w:t>
            </w:r>
            <w:r w:rsidR="00632873">
              <w:t xml:space="preserve"> or NPRR1188</w:t>
            </w:r>
            <w:r w:rsidR="00837DE8">
              <w:t>:]</w:t>
            </w:r>
          </w:p>
          <w:p w14:paraId="74A69FF2" w14:textId="77777777" w:rsidR="00837DE8" w:rsidRPr="003161DC" w:rsidRDefault="00837DE8" w:rsidP="00837DE8">
            <w:pPr>
              <w:widowControl w:val="0"/>
              <w:spacing w:before="240" w:after="120"/>
              <w:ind w:left="720" w:hanging="720"/>
            </w:pPr>
            <w:r w:rsidRPr="003161DC">
              <w:t>(4)</w:t>
            </w:r>
            <w:r w:rsidRPr="003161DC">
              <w:tab/>
              <w:t>The total payment or charge to a Facility with a net metering arrangement for each 15-minute Settlement Interval shall be calculated as follows:</w:t>
            </w:r>
          </w:p>
          <w:p w14:paraId="37530937" w14:textId="77777777" w:rsidR="00837DE8" w:rsidRPr="003161DC" w:rsidRDefault="00837DE8" w:rsidP="00837DE8">
            <w:pPr>
              <w:widowControl w:val="0"/>
              <w:spacing w:after="240"/>
              <w:ind w:left="720"/>
              <w:rPr>
                <w:b/>
              </w:rPr>
            </w:pPr>
            <w:r w:rsidRPr="003161DC">
              <w:rPr>
                <w:b/>
              </w:rPr>
              <w:t>NMRTETOT</w:t>
            </w:r>
            <w:r w:rsidRPr="003161DC">
              <w:rPr>
                <w:b/>
                <w:i/>
                <w:vertAlign w:val="subscript"/>
              </w:rPr>
              <w:t xml:space="preserve"> gsc</w:t>
            </w:r>
            <w:r w:rsidRPr="003161DC">
              <w:rPr>
                <w:b/>
              </w:rPr>
              <w:t xml:space="preserve"> </w:t>
            </w:r>
            <w:r w:rsidRPr="003161DC">
              <w:rPr>
                <w:b/>
              </w:rPr>
              <w:tab/>
              <w:t xml:space="preserve">= </w:t>
            </w:r>
            <w:r w:rsidRPr="003161DC">
              <w:rPr>
                <w:b/>
              </w:rPr>
              <w:tab/>
              <w:t>Max (0, (</w:t>
            </w:r>
            <w:r w:rsidRPr="003161DC">
              <w:rPr>
                <w:b/>
                <w:position w:val="-20"/>
              </w:rPr>
              <w:object w:dxaOrig="225" w:dyaOrig="435" w14:anchorId="5C097CEC">
                <v:shape id="_x0000_i1147" type="#_x0000_t75" style="width:12pt;height:30pt" o:ole="">
                  <v:imagedata r:id="rId156" o:title=""/>
                </v:shape>
                <o:OLEObject Type="Embed" ProgID="Equation.3" ShapeID="_x0000_i1147" DrawAspect="Content" ObjectID="_1804653632" r:id="rId164"/>
              </w:object>
            </w:r>
            <w:r w:rsidRPr="003161DC">
              <w:rPr>
                <w:b/>
                <w:position w:val="-20"/>
              </w:rPr>
              <w:t xml:space="preserve"> </w:t>
            </w:r>
            <w:r w:rsidRPr="003161DC">
              <w:rPr>
                <w:b/>
              </w:rPr>
              <w:t xml:space="preserve">(MEB </w:t>
            </w:r>
            <w:r w:rsidRPr="003161DC">
              <w:rPr>
                <w:b/>
                <w:i/>
                <w:vertAlign w:val="subscript"/>
              </w:rPr>
              <w:t xml:space="preserve">gsc, b </w:t>
            </w:r>
            <w:r w:rsidRPr="003161DC">
              <w:rPr>
                <w:b/>
                <w:i/>
              </w:rPr>
              <w:t>+</w:t>
            </w:r>
            <w:r w:rsidRPr="003161DC">
              <w:rPr>
                <w:b/>
              </w:rPr>
              <w:t xml:space="preserve"> MEBC </w:t>
            </w:r>
            <w:r w:rsidRPr="003161DC">
              <w:rPr>
                <w:b/>
                <w:i/>
                <w:vertAlign w:val="subscript"/>
              </w:rPr>
              <w:t>gsc, b</w:t>
            </w:r>
            <w:r w:rsidRPr="003161DC">
              <w:rPr>
                <w:b/>
              </w:rPr>
              <w:t>)))</w:t>
            </w:r>
          </w:p>
          <w:p w14:paraId="07955807" w14:textId="77777777" w:rsidR="00837DE8" w:rsidRPr="003161DC" w:rsidRDefault="00837DE8" w:rsidP="00837DE8">
            <w:pPr>
              <w:widowControl w:val="0"/>
              <w:spacing w:after="240"/>
              <w:ind w:left="720"/>
            </w:pPr>
            <w:r w:rsidRPr="003161DC">
              <w:t>If NMRTETOT</w:t>
            </w:r>
            <w:r w:rsidRPr="003161DC">
              <w:rPr>
                <w:i/>
                <w:vertAlign w:val="subscript"/>
              </w:rPr>
              <w:t xml:space="preserve"> gsc</w:t>
            </w:r>
            <w:r w:rsidRPr="003161DC">
              <w:t xml:space="preserve"> = 0 for a 15-minute Settlement Interval, then</w:t>
            </w:r>
          </w:p>
          <w:p w14:paraId="075EBE3E" w14:textId="1481368A" w:rsidR="00837DE8" w:rsidRPr="003161DC" w:rsidRDefault="00837DE8" w:rsidP="00837DE8">
            <w:pPr>
              <w:widowControl w:val="0"/>
              <w:spacing w:after="240"/>
              <w:ind w:left="720"/>
            </w:pPr>
            <w:r>
              <w:t>The Load that is not WSL is included in the Real-Time AML per QSE.</w:t>
            </w:r>
          </w:p>
          <w:p w14:paraId="61F86168" w14:textId="77777777" w:rsidR="00837DE8" w:rsidRPr="003161DC" w:rsidRDefault="00837DE8" w:rsidP="00837DE8">
            <w:pPr>
              <w:widowControl w:val="0"/>
              <w:spacing w:after="240"/>
              <w:ind w:left="720"/>
            </w:pPr>
            <w:r w:rsidRPr="003161DC">
              <w:t>Otherwise, when NMRTETOT</w:t>
            </w:r>
            <w:r w:rsidRPr="003161DC">
              <w:rPr>
                <w:i/>
                <w:vertAlign w:val="subscript"/>
              </w:rPr>
              <w:t xml:space="preserve"> gsc </w:t>
            </w:r>
            <w:r w:rsidRPr="003161DC">
              <w:rPr>
                <w:b/>
              </w:rPr>
              <w:t>&gt;</w:t>
            </w:r>
            <w:r w:rsidRPr="003161DC">
              <w:t xml:space="preserve"> 0 for a 15-minute Settlement Interval, then</w:t>
            </w:r>
          </w:p>
          <w:p w14:paraId="10BDAF05" w14:textId="77777777" w:rsidR="00837DE8" w:rsidRPr="003161DC" w:rsidRDefault="00837DE8" w:rsidP="00837DE8">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730A5614">
                <v:shape id="_x0000_i1148" type="#_x0000_t75" style="width:12pt;height:30pt" o:ole="">
                  <v:imagedata r:id="rId145" o:title=""/>
                </v:shape>
                <o:OLEObject Type="Embed" ProgID="Equation.3" ShapeID="_x0000_i1148" DrawAspect="Content" ObjectID="_1804653633" r:id="rId165"/>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7F01D4B" w14:textId="77777777" w:rsidR="00837DE8" w:rsidRPr="003161DC" w:rsidRDefault="00837DE8" w:rsidP="00837DE8">
            <w:pPr>
              <w:widowControl w:val="0"/>
              <w:tabs>
                <w:tab w:val="left" w:pos="2250"/>
                <w:tab w:val="left" w:pos="3150"/>
                <w:tab w:val="left" w:pos="3960"/>
              </w:tabs>
              <w:spacing w:after="240"/>
              <w:ind w:left="2882" w:hanging="2162"/>
              <w:rPr>
                <w:bCs/>
                <w:iCs/>
              </w:rPr>
            </w:pPr>
            <w:r w:rsidRPr="003161DC">
              <w:rPr>
                <w:bCs/>
                <w:iCs/>
              </w:rPr>
              <w:t>Where</w:t>
            </w:r>
            <w:r w:rsidRPr="003161DC">
              <w:rPr>
                <w:bCs/>
              </w:rPr>
              <w:t xml:space="preserve"> the price for Settlement Meter is determined as follows</w:t>
            </w:r>
            <w:r w:rsidRPr="003161DC">
              <w:rPr>
                <w:b/>
                <w:bCs/>
              </w:rPr>
              <w:t>:</w:t>
            </w:r>
          </w:p>
          <w:p w14:paraId="31A0B537" w14:textId="77777777" w:rsidR="00837DE8" w:rsidRPr="003161DC" w:rsidRDefault="00837DE8" w:rsidP="00837DE8">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1750F35C" wp14:editId="1794E17F">
                  <wp:extent cx="142875" cy="295275"/>
                  <wp:effectExtent l="0" t="0" r="9525" b="9525"/>
                  <wp:docPr id="3558"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r w:rsidRPr="003161DC">
              <w:rPr>
                <w:b/>
                <w:bCs/>
              </w:rPr>
              <w:t>+ RTRDP)]</w:t>
            </w:r>
          </w:p>
          <w:p w14:paraId="7D54D931" w14:textId="77777777" w:rsidR="00837DE8" w:rsidRPr="003161DC" w:rsidRDefault="00837DE8" w:rsidP="00837DE8">
            <w:pPr>
              <w:widowControl w:val="0"/>
              <w:spacing w:after="240"/>
              <w:ind w:firstLine="720"/>
            </w:pPr>
            <w:r w:rsidRPr="003161DC">
              <w:t>Where the weighting factor for the Electrical Bus associated with the meter is:</w:t>
            </w:r>
          </w:p>
          <w:p w14:paraId="3B1D2151" w14:textId="35BB941C" w:rsidR="00837DE8" w:rsidRPr="003161DC" w:rsidRDefault="00837DE8" w:rsidP="00837DE8">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E953021">
                <v:shape id="_x0000_i1149" type="#_x0000_t75" style="width:12pt;height:30pt" o:ole="">
                  <v:imagedata r:id="rId159" o:title=""/>
                </v:shape>
                <o:OLEObject Type="Embed" ProgID="Equation.3" ShapeID="_x0000_i1149" DrawAspect="Content" ObjectID="_1804653634" r:id="rId166"/>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6793E548" w14:textId="10F6703D" w:rsidR="00837DE8" w:rsidRPr="003161DC" w:rsidRDefault="00837DE8" w:rsidP="00837DE8">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459B8D25" wp14:editId="7B828D45">
                  <wp:extent cx="142875" cy="295275"/>
                  <wp:effectExtent l="0" t="0" r="9525" b="9525"/>
                  <wp:docPr id="35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6C644D5C">
                <v:shape id="_x0000_i1150" type="#_x0000_t75" style="width:12pt;height:30pt" o:ole="">
                  <v:imagedata r:id="rId159" o:title=""/>
                </v:shape>
                <o:OLEObject Type="Embed" ProgID="Equation.3" ShapeID="_x0000_i1150" DrawAspect="Content" ObjectID="_1804653635" r:id="rId167"/>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w:t>
            </w:r>
          </w:p>
          <w:p w14:paraId="2FCFF896" w14:textId="77777777" w:rsidR="00837DE8" w:rsidRPr="003161DC" w:rsidRDefault="00837DE8" w:rsidP="00837DE8">
            <w:pPr>
              <w:widowControl w:val="0"/>
              <w:spacing w:after="160" w:line="240" w:lineRule="exact"/>
              <w:rPr>
                <w:rFonts w:ascii="Verdana" w:hAnsi="Verdana"/>
                <w:sz w:val="16"/>
              </w:rPr>
            </w:pPr>
            <w:r w:rsidRPr="003161DC">
              <w:t>Where:</w:t>
            </w:r>
          </w:p>
          <w:p w14:paraId="522A8627" w14:textId="071220F9" w:rsidR="00837DE8" w:rsidRPr="003161DC" w:rsidRDefault="00837DE8" w:rsidP="00837DE8">
            <w:pPr>
              <w:spacing w:after="240"/>
              <w:ind w:left="720"/>
            </w:pPr>
            <w:r w:rsidRPr="003161DC">
              <w:lastRenderedPageBreak/>
              <w:tab/>
              <w:t xml:space="preserve">RTRDP </w:t>
            </w:r>
            <w:r w:rsidRPr="003161DC">
              <w:tab/>
            </w:r>
            <w:r w:rsidRPr="003161DC">
              <w:tab/>
              <w:t>=</w:t>
            </w:r>
            <w:r w:rsidRPr="003161DC">
              <w:tab/>
            </w:r>
            <w:r w:rsidRPr="003161DC">
              <w:tab/>
            </w:r>
            <w:r w:rsidRPr="003161DC">
              <w:rPr>
                <w:position w:val="-22"/>
              </w:rPr>
              <w:object w:dxaOrig="225" w:dyaOrig="465" w14:anchorId="5EF8A780">
                <v:shape id="_x0000_i1151" type="#_x0000_t75" style="width:24pt;height:18pt" o:ole="">
                  <v:imagedata r:id="rId22" o:title=""/>
                </v:shape>
                <o:OLEObject Type="Embed" ProgID="Equation.3" ShapeID="_x0000_i1151" DrawAspect="Content" ObjectID="_1804653636" r:id="rId168"/>
              </w:object>
            </w:r>
            <w:r w:rsidRPr="003161DC">
              <w:t xml:space="preserve">(RNWF </w:t>
            </w:r>
            <w:r w:rsidRPr="003161DC">
              <w:rPr>
                <w:i/>
                <w:iCs/>
                <w:vertAlign w:val="subscript"/>
              </w:rPr>
              <w:t xml:space="preserve"> y </w:t>
            </w:r>
            <w:r w:rsidRPr="003161DC">
              <w:t>* RTRDPA</w:t>
            </w:r>
            <w:r w:rsidRPr="003161DC">
              <w:rPr>
                <w:i/>
                <w:iCs/>
                <w:vertAlign w:val="subscript"/>
              </w:rPr>
              <w:t xml:space="preserve"> y</w:t>
            </w:r>
            <w:r w:rsidRPr="003161DC">
              <w:t>)</w:t>
            </w:r>
          </w:p>
          <w:p w14:paraId="44696CE5" w14:textId="05292B8E" w:rsidR="00837DE8" w:rsidRPr="003161DC" w:rsidRDefault="00837DE8" w:rsidP="00837DE8">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043EB4B1">
                <v:shape id="_x0000_i1152" type="#_x0000_t75" style="width:24pt;height:18pt" o:ole="">
                  <v:imagedata r:id="rId22" o:title=""/>
                </v:shape>
                <o:OLEObject Type="Embed" ProgID="Equation.3" ShapeID="_x0000_i1152" DrawAspect="Content" ObjectID="_1804653637" r:id="rId169"/>
              </w:object>
            </w:r>
            <w:r w:rsidRPr="003161DC">
              <w:t xml:space="preserve">TLMP </w:t>
            </w:r>
            <w:r w:rsidRPr="003161DC">
              <w:rPr>
                <w:i/>
                <w:vertAlign w:val="subscript"/>
              </w:rPr>
              <w:t>y</w:t>
            </w:r>
          </w:p>
          <w:p w14:paraId="1B836828" w14:textId="77777777" w:rsidR="00837DE8" w:rsidRPr="003161DC" w:rsidRDefault="00837DE8" w:rsidP="00837DE8">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1B3F8DA4" w14:textId="77777777" w:rsidR="00837DE8" w:rsidRPr="003161DC" w:rsidRDefault="00837DE8" w:rsidP="00837DE8">
            <w:pPr>
              <w:widowControl w:val="0"/>
            </w:pPr>
            <w:r w:rsidRPr="003161DC">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5"/>
              <w:gridCol w:w="1230"/>
              <w:gridCol w:w="5793"/>
            </w:tblGrid>
            <w:tr w:rsidR="00837DE8" w:rsidRPr="003161DC" w14:paraId="231D02E1" w14:textId="77777777" w:rsidTr="000D7680">
              <w:trPr>
                <w:cantSplit/>
                <w:tblHeader/>
              </w:trPr>
              <w:tc>
                <w:tcPr>
                  <w:tcW w:w="1145" w:type="pct"/>
                </w:tcPr>
                <w:p w14:paraId="70298E83" w14:textId="77777777" w:rsidR="00837DE8" w:rsidRPr="003161DC" w:rsidRDefault="00837DE8" w:rsidP="00837DE8">
                  <w:pPr>
                    <w:widowControl w:val="0"/>
                    <w:spacing w:after="120"/>
                    <w:rPr>
                      <w:b/>
                      <w:iCs/>
                      <w:sz w:val="20"/>
                    </w:rPr>
                  </w:pPr>
                  <w:r w:rsidRPr="003161DC">
                    <w:rPr>
                      <w:b/>
                      <w:iCs/>
                      <w:sz w:val="20"/>
                    </w:rPr>
                    <w:t>Variable</w:t>
                  </w:r>
                </w:p>
              </w:tc>
              <w:tc>
                <w:tcPr>
                  <w:tcW w:w="675" w:type="pct"/>
                </w:tcPr>
                <w:p w14:paraId="054D31CD" w14:textId="77777777" w:rsidR="00837DE8" w:rsidRPr="003161DC" w:rsidRDefault="00837DE8" w:rsidP="00837DE8">
                  <w:pPr>
                    <w:widowControl w:val="0"/>
                    <w:spacing w:after="120"/>
                    <w:rPr>
                      <w:b/>
                      <w:iCs/>
                      <w:sz w:val="20"/>
                    </w:rPr>
                  </w:pPr>
                  <w:r w:rsidRPr="003161DC">
                    <w:rPr>
                      <w:b/>
                      <w:iCs/>
                      <w:sz w:val="20"/>
                    </w:rPr>
                    <w:t>Unit</w:t>
                  </w:r>
                </w:p>
              </w:tc>
              <w:tc>
                <w:tcPr>
                  <w:tcW w:w="3180" w:type="pct"/>
                </w:tcPr>
                <w:p w14:paraId="7D7C42D6" w14:textId="77777777" w:rsidR="00837DE8" w:rsidRPr="003161DC" w:rsidRDefault="00837DE8" w:rsidP="00837DE8">
                  <w:pPr>
                    <w:widowControl w:val="0"/>
                    <w:spacing w:after="120"/>
                    <w:rPr>
                      <w:b/>
                      <w:iCs/>
                      <w:sz w:val="20"/>
                    </w:rPr>
                  </w:pPr>
                  <w:r w:rsidRPr="003161DC">
                    <w:rPr>
                      <w:b/>
                      <w:iCs/>
                      <w:sz w:val="20"/>
                    </w:rPr>
                    <w:t>Description</w:t>
                  </w:r>
                </w:p>
              </w:tc>
            </w:tr>
            <w:tr w:rsidR="00837DE8" w:rsidRPr="003161DC" w14:paraId="06AC4207" w14:textId="77777777" w:rsidTr="000D7680">
              <w:trPr>
                <w:cantSplit/>
              </w:trPr>
              <w:tc>
                <w:tcPr>
                  <w:tcW w:w="1145" w:type="pct"/>
                </w:tcPr>
                <w:p w14:paraId="2B044463" w14:textId="77777777" w:rsidR="00837DE8" w:rsidRPr="003161DC" w:rsidRDefault="00837DE8" w:rsidP="00837DE8">
                  <w:pPr>
                    <w:widowControl w:val="0"/>
                    <w:spacing w:after="60"/>
                    <w:rPr>
                      <w:i/>
                      <w:sz w:val="20"/>
                    </w:rPr>
                  </w:pPr>
                  <w:r w:rsidRPr="003161DC">
                    <w:rPr>
                      <w:sz w:val="20"/>
                    </w:rPr>
                    <w:t xml:space="preserve">NMRTETOT </w:t>
                  </w:r>
                  <w:r w:rsidRPr="003161DC">
                    <w:rPr>
                      <w:i/>
                      <w:sz w:val="20"/>
                      <w:vertAlign w:val="subscript"/>
                    </w:rPr>
                    <w:t>gsc</w:t>
                  </w:r>
                </w:p>
              </w:tc>
              <w:tc>
                <w:tcPr>
                  <w:tcW w:w="675" w:type="pct"/>
                </w:tcPr>
                <w:p w14:paraId="5DC04ADA" w14:textId="77777777" w:rsidR="00837DE8" w:rsidRPr="003161DC" w:rsidRDefault="00837DE8" w:rsidP="00837DE8">
                  <w:pPr>
                    <w:widowControl w:val="0"/>
                    <w:spacing w:after="60"/>
                    <w:rPr>
                      <w:sz w:val="20"/>
                    </w:rPr>
                  </w:pPr>
                  <w:r w:rsidRPr="003161DC">
                    <w:rPr>
                      <w:sz w:val="20"/>
                    </w:rPr>
                    <w:t>MWh</w:t>
                  </w:r>
                </w:p>
              </w:tc>
              <w:tc>
                <w:tcPr>
                  <w:tcW w:w="3180" w:type="pct"/>
                </w:tcPr>
                <w:p w14:paraId="35047293" w14:textId="77777777" w:rsidR="00837DE8" w:rsidRPr="003161DC" w:rsidRDefault="00837DE8" w:rsidP="00837DE8">
                  <w:pPr>
                    <w:widowControl w:val="0"/>
                    <w:spacing w:after="60"/>
                    <w:rPr>
                      <w:sz w:val="20"/>
                    </w:rPr>
                  </w:pPr>
                  <w:r w:rsidRPr="003161DC">
                    <w:rPr>
                      <w:i/>
                      <w:sz w:val="20"/>
                    </w:rPr>
                    <w:t>Net Meter Real-Time Energy Total</w:t>
                  </w:r>
                  <w:r w:rsidRPr="003161DC">
                    <w:rPr>
                      <w:sz w:val="20"/>
                    </w:rPr>
                    <w:t xml:space="preserve">—The net sum for all Settlement Meters included in generation site code </w:t>
                  </w:r>
                  <w:r w:rsidRPr="003161DC">
                    <w:rPr>
                      <w:i/>
                      <w:sz w:val="20"/>
                    </w:rPr>
                    <w:t>gsc</w:t>
                  </w:r>
                  <w:r w:rsidRPr="003161DC">
                    <w:rPr>
                      <w:sz w:val="20"/>
                    </w:rPr>
                    <w:t xml:space="preserve">.  A positive value indicates an injection of power to the ERCOT System. </w:t>
                  </w:r>
                </w:p>
              </w:tc>
            </w:tr>
            <w:tr w:rsidR="00837DE8" w:rsidRPr="003161DC" w14:paraId="0CBC33EF" w14:textId="77777777" w:rsidTr="000D7680">
              <w:trPr>
                <w:cantSplit/>
              </w:trPr>
              <w:tc>
                <w:tcPr>
                  <w:tcW w:w="1145" w:type="pct"/>
                </w:tcPr>
                <w:p w14:paraId="196DCB1B" w14:textId="77777777" w:rsidR="00837DE8" w:rsidRPr="003161DC" w:rsidRDefault="00837DE8" w:rsidP="00837DE8">
                  <w:pPr>
                    <w:widowControl w:val="0"/>
                    <w:spacing w:after="60"/>
                    <w:rPr>
                      <w:sz w:val="20"/>
                    </w:rPr>
                  </w:pPr>
                  <w:r w:rsidRPr="003161DC">
                    <w:rPr>
                      <w:sz w:val="20"/>
                    </w:rPr>
                    <w:t>NMSAMTTOT</w:t>
                  </w:r>
                  <w:r w:rsidRPr="003161DC">
                    <w:rPr>
                      <w:sz w:val="20"/>
                      <w:vertAlign w:val="subscript"/>
                    </w:rPr>
                    <w:t xml:space="preserve"> </w:t>
                  </w:r>
                  <w:r w:rsidRPr="003161DC">
                    <w:rPr>
                      <w:i/>
                      <w:sz w:val="20"/>
                      <w:vertAlign w:val="subscript"/>
                    </w:rPr>
                    <w:t>gsc</w:t>
                  </w:r>
                </w:p>
              </w:tc>
              <w:tc>
                <w:tcPr>
                  <w:tcW w:w="675" w:type="pct"/>
                </w:tcPr>
                <w:p w14:paraId="24158601" w14:textId="77777777" w:rsidR="00837DE8" w:rsidRPr="003161DC" w:rsidRDefault="00837DE8" w:rsidP="00837DE8">
                  <w:pPr>
                    <w:widowControl w:val="0"/>
                    <w:spacing w:after="60"/>
                    <w:rPr>
                      <w:sz w:val="20"/>
                    </w:rPr>
                  </w:pPr>
                  <w:r w:rsidRPr="003161DC">
                    <w:rPr>
                      <w:sz w:val="20"/>
                    </w:rPr>
                    <w:t>$</w:t>
                  </w:r>
                </w:p>
              </w:tc>
              <w:tc>
                <w:tcPr>
                  <w:tcW w:w="3180" w:type="pct"/>
                </w:tcPr>
                <w:p w14:paraId="68C29ADE" w14:textId="77777777" w:rsidR="00837DE8" w:rsidRPr="003161DC" w:rsidRDefault="00837DE8" w:rsidP="00837DE8">
                  <w:pPr>
                    <w:widowControl w:val="0"/>
                    <w:spacing w:after="60"/>
                    <w:rPr>
                      <w:i/>
                      <w:sz w:val="20"/>
                    </w:rPr>
                  </w:pPr>
                  <w:r w:rsidRPr="003161DC">
                    <w:rPr>
                      <w:i/>
                      <w:sz w:val="20"/>
                    </w:rPr>
                    <w:t>Net Metering Settlement</w:t>
                  </w:r>
                  <w:r w:rsidRPr="003161DC">
                    <w:rPr>
                      <w:sz w:val="20"/>
                    </w:rPr>
                    <w:t>—The total payment or charge to a generation site with a net metering arrangement.</w:t>
                  </w:r>
                </w:p>
              </w:tc>
            </w:tr>
            <w:tr w:rsidR="00837DE8" w:rsidRPr="003161DC" w14:paraId="75CDFD48" w14:textId="77777777" w:rsidTr="000D7680">
              <w:trPr>
                <w:cantSplit/>
              </w:trPr>
              <w:tc>
                <w:tcPr>
                  <w:tcW w:w="1145" w:type="pct"/>
                </w:tcPr>
                <w:p w14:paraId="2B20FFEA" w14:textId="77777777" w:rsidR="00837DE8" w:rsidRPr="003161DC" w:rsidRDefault="00837DE8" w:rsidP="00837DE8">
                  <w:pPr>
                    <w:widowControl w:val="0"/>
                    <w:spacing w:after="60"/>
                    <w:rPr>
                      <w:sz w:val="20"/>
                    </w:rPr>
                  </w:pPr>
                  <w:r w:rsidRPr="003161DC">
                    <w:rPr>
                      <w:sz w:val="20"/>
                    </w:rPr>
                    <w:t xml:space="preserve">RTRMPR </w:t>
                  </w:r>
                  <w:r w:rsidRPr="003161DC">
                    <w:rPr>
                      <w:sz w:val="20"/>
                      <w:vertAlign w:val="subscript"/>
                    </w:rPr>
                    <w:t xml:space="preserve"> </w:t>
                  </w:r>
                  <w:r w:rsidRPr="003161DC">
                    <w:rPr>
                      <w:i/>
                      <w:sz w:val="20"/>
                      <w:vertAlign w:val="subscript"/>
                    </w:rPr>
                    <w:t>b</w:t>
                  </w:r>
                </w:p>
              </w:tc>
              <w:tc>
                <w:tcPr>
                  <w:tcW w:w="675" w:type="pct"/>
                </w:tcPr>
                <w:p w14:paraId="2C066E4E" w14:textId="77777777" w:rsidR="00837DE8" w:rsidRPr="003161DC" w:rsidRDefault="00837DE8" w:rsidP="00837DE8">
                  <w:pPr>
                    <w:widowControl w:val="0"/>
                    <w:spacing w:after="60"/>
                    <w:rPr>
                      <w:i/>
                      <w:sz w:val="20"/>
                    </w:rPr>
                  </w:pPr>
                  <w:r w:rsidRPr="003161DC">
                    <w:rPr>
                      <w:sz w:val="20"/>
                    </w:rPr>
                    <w:t>$/MWh</w:t>
                  </w:r>
                </w:p>
              </w:tc>
              <w:tc>
                <w:tcPr>
                  <w:tcW w:w="3180" w:type="pct"/>
                </w:tcPr>
                <w:p w14:paraId="0DC265F4" w14:textId="77777777" w:rsidR="00837DE8" w:rsidRPr="003161DC" w:rsidRDefault="00837DE8" w:rsidP="00837DE8">
                  <w:pPr>
                    <w:widowControl w:val="0"/>
                    <w:spacing w:after="60"/>
                    <w:rPr>
                      <w:sz w:val="20"/>
                    </w:rPr>
                  </w:pPr>
                  <w:r w:rsidRPr="003161DC">
                    <w:rPr>
                      <w:i/>
                      <w:sz w:val="20"/>
                    </w:rPr>
                    <w:t>Real-Time Price for the Energy Metered for each Resource meter at bus</w:t>
                  </w:r>
                  <w:r w:rsidRPr="003161DC">
                    <w:rPr>
                      <w:sz w:val="20"/>
                    </w:rPr>
                    <w:sym w:font="Symbol" w:char="F0BE"/>
                  </w:r>
                  <w:r w:rsidRPr="003161DC">
                    <w:rPr>
                      <w:sz w:val="20"/>
                    </w:rPr>
                    <w:t xml:space="preserve">The Real-Time price for the Settlement Meter at Electrical Bus </w:t>
                  </w:r>
                  <w:r w:rsidRPr="003161DC">
                    <w:rPr>
                      <w:i/>
                      <w:sz w:val="20"/>
                    </w:rPr>
                    <w:t>b</w:t>
                  </w:r>
                  <w:r w:rsidRPr="003161DC">
                    <w:rPr>
                      <w:sz w:val="20"/>
                    </w:rPr>
                    <w:t>, for the 15-minute Settlement Interval.</w:t>
                  </w:r>
                </w:p>
              </w:tc>
            </w:tr>
            <w:tr w:rsidR="00837DE8" w:rsidRPr="003161DC" w14:paraId="36208135" w14:textId="77777777" w:rsidTr="000D7680">
              <w:trPr>
                <w:cantSplit/>
              </w:trPr>
              <w:tc>
                <w:tcPr>
                  <w:tcW w:w="1145" w:type="pct"/>
                </w:tcPr>
                <w:p w14:paraId="7A7AA378" w14:textId="77777777" w:rsidR="00837DE8" w:rsidRPr="003161DC" w:rsidRDefault="00837DE8" w:rsidP="00837DE8">
                  <w:pPr>
                    <w:widowControl w:val="0"/>
                    <w:spacing w:after="60"/>
                    <w:rPr>
                      <w:sz w:val="20"/>
                    </w:rPr>
                  </w:pPr>
                  <w:r w:rsidRPr="003161DC">
                    <w:rPr>
                      <w:sz w:val="20"/>
                    </w:rPr>
                    <w:t xml:space="preserve">MEB </w:t>
                  </w:r>
                  <w:r w:rsidRPr="003161DC">
                    <w:rPr>
                      <w:i/>
                      <w:sz w:val="20"/>
                      <w:vertAlign w:val="subscript"/>
                    </w:rPr>
                    <w:t>gsc, b</w:t>
                  </w:r>
                </w:p>
              </w:tc>
              <w:tc>
                <w:tcPr>
                  <w:tcW w:w="675" w:type="pct"/>
                </w:tcPr>
                <w:p w14:paraId="4DDE3D96" w14:textId="77777777" w:rsidR="00837DE8" w:rsidRPr="003161DC" w:rsidRDefault="00837DE8" w:rsidP="00837DE8">
                  <w:pPr>
                    <w:widowControl w:val="0"/>
                    <w:spacing w:after="60"/>
                    <w:rPr>
                      <w:sz w:val="20"/>
                    </w:rPr>
                  </w:pPr>
                  <w:r w:rsidRPr="003161DC">
                    <w:rPr>
                      <w:sz w:val="20"/>
                    </w:rPr>
                    <w:t>MWh</w:t>
                  </w:r>
                </w:p>
              </w:tc>
              <w:tc>
                <w:tcPr>
                  <w:tcW w:w="3180" w:type="pct"/>
                </w:tcPr>
                <w:p w14:paraId="343025A2" w14:textId="5F0EB674" w:rsidR="00837DE8" w:rsidRPr="00837DE8" w:rsidRDefault="00837DE8" w:rsidP="00837DE8">
                  <w:pPr>
                    <w:widowControl w:val="0"/>
                    <w:spacing w:after="60"/>
                    <w:rPr>
                      <w:i/>
                      <w:sz w:val="16"/>
                    </w:rPr>
                  </w:pPr>
                  <w:r w:rsidRPr="00837DE8">
                    <w:rPr>
                      <w:i/>
                      <w:sz w:val="20"/>
                    </w:rPr>
                    <w:t xml:space="preserve">Metered Energy at </w:t>
                  </w:r>
                  <w:r w:rsidR="00632873">
                    <w:rPr>
                      <w:i/>
                      <w:sz w:val="20"/>
                    </w:rPr>
                    <w:t>B</w:t>
                  </w:r>
                  <w:r w:rsidRPr="00837DE8">
                    <w:rPr>
                      <w:i/>
                      <w:sz w:val="20"/>
                    </w:rPr>
                    <w:t>us</w:t>
                  </w:r>
                  <w:r w:rsidRPr="00837DE8">
                    <w:rPr>
                      <w:sz w:val="20"/>
                    </w:rPr>
                    <w:sym w:font="Symbol" w:char="F0BE"/>
                  </w:r>
                  <w:r w:rsidRPr="00837DE8">
                    <w:rPr>
                      <w:sz w:val="20"/>
                    </w:rPr>
                    <w:t xml:space="preserve">The metered energy by the Settlement Meter which is not upstream from another Settlement Meter which measures </w:t>
                  </w:r>
                  <w:r w:rsidR="00632873" w:rsidRPr="00812ECB">
                    <w:rPr>
                      <w:sz w:val="20"/>
                    </w:rPr>
                    <w:t>CLR (that is not an ALR) or</w:t>
                  </w:r>
                  <w:r w:rsidR="00632873" w:rsidRPr="00837DE8">
                    <w:rPr>
                      <w:sz w:val="20"/>
                    </w:rPr>
                    <w:t xml:space="preserve"> </w:t>
                  </w:r>
                  <w:r w:rsidRPr="00837DE8">
                    <w:rPr>
                      <w:sz w:val="20"/>
                    </w:rPr>
                    <w:t>ESR Load for the 15-minute Settlement Interval.  A positive value represents energy produced, and a negative value represents energy withdrawn.</w:t>
                  </w:r>
                </w:p>
              </w:tc>
            </w:tr>
            <w:tr w:rsidR="00837DE8" w:rsidRPr="003161DC" w14:paraId="5FF06205" w14:textId="77777777" w:rsidTr="000D7680">
              <w:trPr>
                <w:cantSplit/>
              </w:trPr>
              <w:tc>
                <w:tcPr>
                  <w:tcW w:w="1145" w:type="pct"/>
                </w:tcPr>
                <w:p w14:paraId="1809A16D" w14:textId="77777777" w:rsidR="00837DE8" w:rsidRPr="003161DC" w:rsidRDefault="00837DE8" w:rsidP="00837DE8">
                  <w:pPr>
                    <w:widowControl w:val="0"/>
                    <w:spacing w:after="60"/>
                    <w:rPr>
                      <w:sz w:val="20"/>
                    </w:rPr>
                  </w:pPr>
                  <w:r w:rsidRPr="003161DC">
                    <w:rPr>
                      <w:sz w:val="20"/>
                    </w:rPr>
                    <w:t>RTRDP</w:t>
                  </w:r>
                </w:p>
              </w:tc>
              <w:tc>
                <w:tcPr>
                  <w:tcW w:w="675" w:type="pct"/>
                </w:tcPr>
                <w:p w14:paraId="44829DE7" w14:textId="77777777" w:rsidR="00837DE8" w:rsidRPr="003161DC" w:rsidRDefault="00837DE8" w:rsidP="00837DE8">
                  <w:pPr>
                    <w:widowControl w:val="0"/>
                    <w:spacing w:after="60"/>
                    <w:rPr>
                      <w:sz w:val="20"/>
                    </w:rPr>
                  </w:pPr>
                  <w:r w:rsidRPr="003161DC">
                    <w:rPr>
                      <w:sz w:val="20"/>
                    </w:rPr>
                    <w:t>$/MWh</w:t>
                  </w:r>
                </w:p>
              </w:tc>
              <w:tc>
                <w:tcPr>
                  <w:tcW w:w="3180" w:type="pct"/>
                </w:tcPr>
                <w:p w14:paraId="61F06F72" w14:textId="77777777" w:rsidR="00837DE8" w:rsidRPr="003161DC" w:rsidRDefault="00837DE8" w:rsidP="00837DE8">
                  <w:pPr>
                    <w:widowControl w:val="0"/>
                    <w:spacing w:after="60"/>
                    <w:rPr>
                      <w:i/>
                      <w:sz w:val="20"/>
                    </w:rPr>
                  </w:pPr>
                  <w:r w:rsidRPr="003161DC">
                    <w:rPr>
                      <w:i/>
                      <w:sz w:val="20"/>
                    </w:rPr>
                    <w:t xml:space="preserve">Real-Time Reliability Deployment Price </w:t>
                  </w:r>
                  <w:r>
                    <w:rPr>
                      <w:i/>
                      <w:sz w:val="20"/>
                    </w:rPr>
                    <w:t>for Energy</w:t>
                  </w:r>
                  <w:r w:rsidRPr="003161DC">
                    <w:rPr>
                      <w:sz w:val="20"/>
                    </w:rPr>
                    <w:sym w:font="Symbol" w:char="F0BE"/>
                  </w:r>
                  <w:r w:rsidRPr="003161DC">
                    <w:rPr>
                      <w:sz w:val="20"/>
                    </w:rPr>
                    <w:t xml:space="preserve">The Real-Time price for the 15-minute Settlement Interval, reflecting the impact of reliability deployments on energy prices that is calculated </w:t>
                  </w:r>
                  <w:r w:rsidRPr="003161DC">
                    <w:rPr>
                      <w:bCs/>
                      <w:sz w:val="20"/>
                    </w:rPr>
                    <w:t>from the Real-</w:t>
                  </w:r>
                  <w:r>
                    <w:rPr>
                      <w:bCs/>
                      <w:sz w:val="20"/>
                    </w:rPr>
                    <w:t>T</w:t>
                  </w:r>
                  <w:r w:rsidRPr="003161DC">
                    <w:rPr>
                      <w:bCs/>
                      <w:sz w:val="20"/>
                    </w:rPr>
                    <w:t>ime Reliability Deployment Price Adder</w:t>
                  </w:r>
                  <w:r>
                    <w:rPr>
                      <w:bCs/>
                      <w:sz w:val="20"/>
                    </w:rPr>
                    <w:t xml:space="preserve"> for Energy</w:t>
                  </w:r>
                  <w:r w:rsidRPr="003161DC">
                    <w:rPr>
                      <w:sz w:val="20"/>
                    </w:rPr>
                    <w:t>.</w:t>
                  </w:r>
                </w:p>
              </w:tc>
            </w:tr>
            <w:tr w:rsidR="00837DE8" w:rsidRPr="003161DC" w14:paraId="19274139" w14:textId="77777777" w:rsidTr="000D7680">
              <w:trPr>
                <w:cantSplit/>
              </w:trPr>
              <w:tc>
                <w:tcPr>
                  <w:tcW w:w="1145" w:type="pct"/>
                </w:tcPr>
                <w:p w14:paraId="23ED5274" w14:textId="77777777" w:rsidR="00837DE8" w:rsidRPr="003161DC" w:rsidRDefault="00837DE8" w:rsidP="00837DE8">
                  <w:pPr>
                    <w:widowControl w:val="0"/>
                    <w:spacing w:after="60"/>
                    <w:rPr>
                      <w:sz w:val="20"/>
                    </w:rPr>
                  </w:pPr>
                  <w:r w:rsidRPr="003161DC">
                    <w:rPr>
                      <w:sz w:val="20"/>
                    </w:rPr>
                    <w:t>RTRDPA</w:t>
                  </w:r>
                  <w:r w:rsidRPr="003161DC">
                    <w:rPr>
                      <w:sz w:val="20"/>
                      <w:vertAlign w:val="subscript"/>
                    </w:rPr>
                    <w:t xml:space="preserve"> </w:t>
                  </w:r>
                  <w:r w:rsidRPr="003161DC">
                    <w:rPr>
                      <w:i/>
                      <w:sz w:val="20"/>
                      <w:vertAlign w:val="subscript"/>
                    </w:rPr>
                    <w:t>y</w:t>
                  </w:r>
                </w:p>
              </w:tc>
              <w:tc>
                <w:tcPr>
                  <w:tcW w:w="675" w:type="pct"/>
                </w:tcPr>
                <w:p w14:paraId="6280F08C" w14:textId="77777777" w:rsidR="00837DE8" w:rsidRPr="003161DC" w:rsidRDefault="00837DE8" w:rsidP="00837DE8">
                  <w:pPr>
                    <w:widowControl w:val="0"/>
                    <w:spacing w:after="60"/>
                    <w:rPr>
                      <w:sz w:val="20"/>
                    </w:rPr>
                  </w:pPr>
                  <w:r w:rsidRPr="003161DC">
                    <w:rPr>
                      <w:sz w:val="20"/>
                    </w:rPr>
                    <w:t>$/MWh</w:t>
                  </w:r>
                </w:p>
              </w:tc>
              <w:tc>
                <w:tcPr>
                  <w:tcW w:w="3180" w:type="pct"/>
                </w:tcPr>
                <w:p w14:paraId="079924D9" w14:textId="77777777" w:rsidR="00837DE8" w:rsidRPr="003161DC" w:rsidRDefault="00837DE8" w:rsidP="00837DE8">
                  <w:pPr>
                    <w:widowControl w:val="0"/>
                    <w:spacing w:after="60"/>
                    <w:rPr>
                      <w:i/>
                      <w:sz w:val="20"/>
                    </w:rPr>
                  </w:pPr>
                  <w:r w:rsidRPr="003161DC">
                    <w:rPr>
                      <w:i/>
                      <w:sz w:val="20"/>
                    </w:rPr>
                    <w:t>Real-Time Reliability Deployment Price Adder</w:t>
                  </w:r>
                  <w:r>
                    <w:rPr>
                      <w:i/>
                      <w:sz w:val="20"/>
                    </w:rPr>
                    <w:t xml:space="preserve"> for Energy</w:t>
                  </w:r>
                  <w:r w:rsidRPr="003161DC">
                    <w:rPr>
                      <w:i/>
                      <w:sz w:val="20"/>
                    </w:rPr>
                    <w:t xml:space="preserve"> </w:t>
                  </w:r>
                  <w:r w:rsidRPr="003161DC">
                    <w:rPr>
                      <w:sz w:val="20"/>
                    </w:rPr>
                    <w:sym w:font="Symbol" w:char="F0BE"/>
                  </w:r>
                  <w:r w:rsidRPr="003161DC">
                    <w:rPr>
                      <w:sz w:val="20"/>
                    </w:rPr>
                    <w:t xml:space="preserve">The Real-Time </w:t>
                  </w:r>
                  <w:r>
                    <w:rPr>
                      <w:sz w:val="20"/>
                    </w:rPr>
                    <w:t>p</w:t>
                  </w:r>
                  <w:r w:rsidRPr="003161DC">
                    <w:rPr>
                      <w:sz w:val="20"/>
                    </w:rPr>
                    <w:t xml:space="preserve">rice </w:t>
                  </w:r>
                  <w:r>
                    <w:rPr>
                      <w:sz w:val="20"/>
                    </w:rPr>
                    <w:t>a</w:t>
                  </w:r>
                  <w:r w:rsidRPr="003161DC">
                    <w:rPr>
                      <w:sz w:val="20"/>
                    </w:rPr>
                    <w:t xml:space="preserve">dder that captures the impact of reliability deployments on energy prices for the SCED interval </w:t>
                  </w:r>
                  <w:r w:rsidRPr="003161DC">
                    <w:rPr>
                      <w:i/>
                      <w:sz w:val="20"/>
                    </w:rPr>
                    <w:t>y</w:t>
                  </w:r>
                  <w:r w:rsidRPr="003161DC">
                    <w:rPr>
                      <w:sz w:val="20"/>
                    </w:rPr>
                    <w:t>.</w:t>
                  </w:r>
                </w:p>
              </w:tc>
            </w:tr>
            <w:tr w:rsidR="00837DE8" w:rsidRPr="003161DC" w14:paraId="3D80E195" w14:textId="77777777" w:rsidTr="000D7680">
              <w:trPr>
                <w:cantSplit/>
              </w:trPr>
              <w:tc>
                <w:tcPr>
                  <w:tcW w:w="1145" w:type="pct"/>
                </w:tcPr>
                <w:p w14:paraId="11FDD784" w14:textId="77777777" w:rsidR="00837DE8" w:rsidRPr="003161DC" w:rsidRDefault="00837DE8" w:rsidP="00837DE8">
                  <w:pPr>
                    <w:widowControl w:val="0"/>
                    <w:spacing w:after="60"/>
                    <w:rPr>
                      <w:sz w:val="20"/>
                    </w:rPr>
                  </w:pPr>
                  <w:r w:rsidRPr="003161DC">
                    <w:rPr>
                      <w:sz w:val="20"/>
                    </w:rPr>
                    <w:t>RNWF</w:t>
                  </w:r>
                  <w:r w:rsidRPr="003161DC">
                    <w:rPr>
                      <w:i/>
                      <w:sz w:val="20"/>
                    </w:rPr>
                    <w:t xml:space="preserve"> </w:t>
                  </w:r>
                  <w:r w:rsidRPr="003161DC">
                    <w:rPr>
                      <w:i/>
                      <w:sz w:val="20"/>
                      <w:vertAlign w:val="subscript"/>
                    </w:rPr>
                    <w:t>y</w:t>
                  </w:r>
                </w:p>
              </w:tc>
              <w:tc>
                <w:tcPr>
                  <w:tcW w:w="675" w:type="pct"/>
                </w:tcPr>
                <w:p w14:paraId="52419215" w14:textId="77777777" w:rsidR="00837DE8" w:rsidRPr="003161DC" w:rsidRDefault="00837DE8" w:rsidP="00837DE8">
                  <w:pPr>
                    <w:widowControl w:val="0"/>
                    <w:spacing w:after="60"/>
                    <w:rPr>
                      <w:sz w:val="20"/>
                    </w:rPr>
                  </w:pPr>
                  <w:r w:rsidRPr="003161DC">
                    <w:rPr>
                      <w:sz w:val="20"/>
                    </w:rPr>
                    <w:t>none</w:t>
                  </w:r>
                </w:p>
              </w:tc>
              <w:tc>
                <w:tcPr>
                  <w:tcW w:w="3180" w:type="pct"/>
                </w:tcPr>
                <w:p w14:paraId="388E1322" w14:textId="77777777" w:rsidR="00837DE8" w:rsidRPr="003161DC" w:rsidRDefault="00837DE8" w:rsidP="00837DE8">
                  <w:pPr>
                    <w:widowControl w:val="0"/>
                    <w:spacing w:after="60"/>
                    <w:rPr>
                      <w:i/>
                      <w:sz w:val="20"/>
                    </w:rPr>
                  </w:pPr>
                  <w:r w:rsidRPr="003161DC">
                    <w:rPr>
                      <w:i/>
                      <w:sz w:val="20"/>
                    </w:rPr>
                    <w:t>Resource Node Weighting Factor per interval</w:t>
                  </w:r>
                  <w:r w:rsidRPr="003161DC">
                    <w:rPr>
                      <w:sz w:val="20"/>
                    </w:rPr>
                    <w:sym w:font="Symbol" w:char="F0BE"/>
                  </w:r>
                  <w:r w:rsidRPr="003161DC">
                    <w:rPr>
                      <w:sz w:val="20"/>
                    </w:rPr>
                    <w:t xml:space="preserve">The weight used in the Resource Node Settlement Point Price calculation for the portion of the SCED interval </w:t>
                  </w:r>
                  <w:r w:rsidRPr="003161DC">
                    <w:rPr>
                      <w:i/>
                      <w:sz w:val="20"/>
                    </w:rPr>
                    <w:t>y</w:t>
                  </w:r>
                  <w:r w:rsidRPr="003161DC">
                    <w:rPr>
                      <w:sz w:val="20"/>
                    </w:rPr>
                    <w:t xml:space="preserve"> within the Settlement Interval.</w:t>
                  </w:r>
                </w:p>
              </w:tc>
            </w:tr>
            <w:tr w:rsidR="00837DE8" w:rsidRPr="003161DC" w14:paraId="6AE69007" w14:textId="77777777" w:rsidTr="000D7680">
              <w:trPr>
                <w:cantSplit/>
              </w:trPr>
              <w:tc>
                <w:tcPr>
                  <w:tcW w:w="1145" w:type="pct"/>
                </w:tcPr>
                <w:p w14:paraId="145AEFFE" w14:textId="77777777" w:rsidR="00837DE8" w:rsidRPr="003161DC" w:rsidRDefault="00837DE8" w:rsidP="00837DE8">
                  <w:pPr>
                    <w:widowControl w:val="0"/>
                    <w:spacing w:after="60"/>
                    <w:rPr>
                      <w:sz w:val="20"/>
                    </w:rPr>
                  </w:pPr>
                  <w:r w:rsidRPr="003161DC">
                    <w:rPr>
                      <w:sz w:val="20"/>
                    </w:rPr>
                    <w:t xml:space="preserve">RTLMP </w:t>
                  </w:r>
                  <w:r w:rsidRPr="003161DC">
                    <w:rPr>
                      <w:i/>
                      <w:sz w:val="20"/>
                      <w:vertAlign w:val="subscript"/>
                    </w:rPr>
                    <w:t>b, y</w:t>
                  </w:r>
                </w:p>
              </w:tc>
              <w:tc>
                <w:tcPr>
                  <w:tcW w:w="675" w:type="pct"/>
                </w:tcPr>
                <w:p w14:paraId="7FB59519" w14:textId="77777777" w:rsidR="00837DE8" w:rsidRPr="003161DC" w:rsidRDefault="00837DE8" w:rsidP="00837DE8">
                  <w:pPr>
                    <w:widowControl w:val="0"/>
                    <w:spacing w:after="60"/>
                    <w:rPr>
                      <w:sz w:val="20"/>
                    </w:rPr>
                  </w:pPr>
                  <w:r w:rsidRPr="003161DC">
                    <w:rPr>
                      <w:sz w:val="20"/>
                    </w:rPr>
                    <w:t>$/MWh</w:t>
                  </w:r>
                </w:p>
              </w:tc>
              <w:tc>
                <w:tcPr>
                  <w:tcW w:w="3180" w:type="pct"/>
                </w:tcPr>
                <w:p w14:paraId="7425D844" w14:textId="77777777" w:rsidR="00837DE8" w:rsidRPr="003161DC" w:rsidRDefault="00837DE8" w:rsidP="00837DE8">
                  <w:pPr>
                    <w:widowControl w:val="0"/>
                    <w:spacing w:after="60"/>
                    <w:rPr>
                      <w:sz w:val="20"/>
                    </w:rPr>
                  </w:pPr>
                  <w:r w:rsidRPr="003161DC">
                    <w:rPr>
                      <w:i/>
                      <w:sz w:val="20"/>
                    </w:rPr>
                    <w:t>Real-Time Locational Marginal Price at bus per interval</w:t>
                  </w:r>
                  <w:r w:rsidRPr="003161DC">
                    <w:rPr>
                      <w:sz w:val="20"/>
                    </w:rPr>
                    <w:sym w:font="Symbol" w:char="F0BE"/>
                  </w:r>
                  <w:r w:rsidRPr="003161DC">
                    <w:rPr>
                      <w:sz w:val="20"/>
                    </w:rPr>
                    <w:t xml:space="preserve">The Real-Time LMP for the meter at Electrical Bus </w:t>
                  </w:r>
                  <w:r w:rsidRPr="003161DC">
                    <w:rPr>
                      <w:i/>
                      <w:sz w:val="20"/>
                    </w:rPr>
                    <w:t>b</w:t>
                  </w:r>
                  <w:r w:rsidRPr="003161DC">
                    <w:rPr>
                      <w:sz w:val="20"/>
                    </w:rPr>
                    <w:t xml:space="preserve">, for the SCED interval </w:t>
                  </w:r>
                  <w:r w:rsidRPr="003161DC">
                    <w:rPr>
                      <w:i/>
                      <w:sz w:val="20"/>
                    </w:rPr>
                    <w:t>y</w:t>
                  </w:r>
                  <w:r w:rsidRPr="003161DC">
                    <w:rPr>
                      <w:sz w:val="20"/>
                    </w:rPr>
                    <w:t>.</w:t>
                  </w:r>
                </w:p>
              </w:tc>
            </w:tr>
            <w:tr w:rsidR="00837DE8" w:rsidRPr="003161DC" w14:paraId="5E94F7B0" w14:textId="77777777" w:rsidTr="000D7680">
              <w:trPr>
                <w:cantSplit/>
              </w:trPr>
              <w:tc>
                <w:tcPr>
                  <w:tcW w:w="1145" w:type="pct"/>
                </w:tcPr>
                <w:p w14:paraId="2A3048F7" w14:textId="77777777" w:rsidR="00837DE8" w:rsidRPr="003161DC" w:rsidRDefault="00837DE8" w:rsidP="00837DE8">
                  <w:pPr>
                    <w:widowControl w:val="0"/>
                    <w:spacing w:after="60"/>
                    <w:rPr>
                      <w:sz w:val="20"/>
                    </w:rPr>
                  </w:pPr>
                  <w:r w:rsidRPr="003161DC">
                    <w:rPr>
                      <w:sz w:val="20"/>
                    </w:rPr>
                    <w:t xml:space="preserve">TLMP </w:t>
                  </w:r>
                  <w:r w:rsidRPr="003161DC">
                    <w:rPr>
                      <w:i/>
                      <w:sz w:val="20"/>
                      <w:vertAlign w:val="subscript"/>
                    </w:rPr>
                    <w:t>y</w:t>
                  </w:r>
                </w:p>
              </w:tc>
              <w:tc>
                <w:tcPr>
                  <w:tcW w:w="675" w:type="pct"/>
                </w:tcPr>
                <w:p w14:paraId="196BFF47" w14:textId="77777777" w:rsidR="00837DE8" w:rsidRPr="003161DC" w:rsidRDefault="00837DE8" w:rsidP="00837DE8">
                  <w:pPr>
                    <w:widowControl w:val="0"/>
                    <w:spacing w:after="60"/>
                    <w:rPr>
                      <w:iCs/>
                      <w:sz w:val="20"/>
                    </w:rPr>
                  </w:pPr>
                  <w:r w:rsidRPr="003161DC">
                    <w:rPr>
                      <w:sz w:val="20"/>
                    </w:rPr>
                    <w:t>second</w:t>
                  </w:r>
                </w:p>
              </w:tc>
              <w:tc>
                <w:tcPr>
                  <w:tcW w:w="3180" w:type="pct"/>
                </w:tcPr>
                <w:p w14:paraId="5F2D0E93" w14:textId="77777777" w:rsidR="00837DE8" w:rsidRPr="003161DC" w:rsidRDefault="00837DE8" w:rsidP="00837DE8">
                  <w:pPr>
                    <w:widowControl w:val="0"/>
                    <w:spacing w:after="60"/>
                    <w:rPr>
                      <w:sz w:val="20"/>
                    </w:rPr>
                  </w:pPr>
                  <w:r w:rsidRPr="003161DC">
                    <w:rPr>
                      <w:i/>
                      <w:iCs/>
                      <w:sz w:val="20"/>
                    </w:rPr>
                    <w:t xml:space="preserve">Duration of </w:t>
                  </w:r>
                  <w:r w:rsidRPr="003161DC">
                    <w:rPr>
                      <w:i/>
                      <w:sz w:val="20"/>
                    </w:rPr>
                    <w:t>SCED</w:t>
                  </w:r>
                  <w:r w:rsidRPr="003161DC">
                    <w:rPr>
                      <w:i/>
                      <w:iCs/>
                      <w:sz w:val="20"/>
                    </w:rPr>
                    <w:t xml:space="preserve"> interval per interval</w:t>
                  </w:r>
                  <w:r w:rsidRPr="003161DC">
                    <w:rPr>
                      <w:sz w:val="20"/>
                    </w:rPr>
                    <w:sym w:font="Symbol" w:char="F0BE"/>
                  </w:r>
                  <w:r w:rsidRPr="003161DC">
                    <w:rPr>
                      <w:sz w:val="20"/>
                    </w:rPr>
                    <w:t xml:space="preserve">The duration of the SCED interval </w:t>
                  </w:r>
                  <w:r w:rsidRPr="003161DC">
                    <w:rPr>
                      <w:i/>
                      <w:iCs/>
                      <w:sz w:val="20"/>
                    </w:rPr>
                    <w:t>y</w:t>
                  </w:r>
                  <w:r w:rsidRPr="003161DC">
                    <w:rPr>
                      <w:sz w:val="20"/>
                    </w:rPr>
                    <w:t>.</w:t>
                  </w:r>
                </w:p>
              </w:tc>
            </w:tr>
            <w:tr w:rsidR="00837DE8" w:rsidRPr="003161DC" w14:paraId="45F12687" w14:textId="77777777" w:rsidTr="000D7680">
              <w:trPr>
                <w:cantSplit/>
              </w:trPr>
              <w:tc>
                <w:tcPr>
                  <w:tcW w:w="1145" w:type="pct"/>
                </w:tcPr>
                <w:p w14:paraId="13EF166C" w14:textId="77777777" w:rsidR="00837DE8" w:rsidRPr="003161DC" w:rsidRDefault="00837DE8" w:rsidP="00837DE8">
                  <w:pPr>
                    <w:widowControl w:val="0"/>
                    <w:spacing w:after="60"/>
                    <w:rPr>
                      <w:sz w:val="20"/>
                    </w:rPr>
                  </w:pPr>
                  <w:r w:rsidRPr="003161DC">
                    <w:rPr>
                      <w:sz w:val="20"/>
                    </w:rPr>
                    <w:t xml:space="preserve">RNWF </w:t>
                  </w:r>
                  <w:r w:rsidRPr="003161DC">
                    <w:rPr>
                      <w:i/>
                      <w:sz w:val="20"/>
                      <w:vertAlign w:val="subscript"/>
                    </w:rPr>
                    <w:t>b, y</w:t>
                  </w:r>
                </w:p>
              </w:tc>
              <w:tc>
                <w:tcPr>
                  <w:tcW w:w="675" w:type="pct"/>
                </w:tcPr>
                <w:p w14:paraId="563BEDE5" w14:textId="77777777" w:rsidR="00837DE8" w:rsidRPr="003161DC" w:rsidRDefault="00837DE8" w:rsidP="00837DE8">
                  <w:pPr>
                    <w:widowControl w:val="0"/>
                    <w:spacing w:after="60"/>
                    <w:rPr>
                      <w:sz w:val="20"/>
                    </w:rPr>
                  </w:pPr>
                  <w:r w:rsidRPr="003161DC">
                    <w:rPr>
                      <w:sz w:val="20"/>
                    </w:rPr>
                    <w:t>none</w:t>
                  </w:r>
                </w:p>
              </w:tc>
              <w:tc>
                <w:tcPr>
                  <w:tcW w:w="3180" w:type="pct"/>
                </w:tcPr>
                <w:p w14:paraId="54226107" w14:textId="77777777" w:rsidR="00837DE8" w:rsidRPr="003161DC" w:rsidRDefault="00837DE8" w:rsidP="00837DE8">
                  <w:pPr>
                    <w:widowControl w:val="0"/>
                    <w:spacing w:after="60"/>
                    <w:rPr>
                      <w:i/>
                      <w:iCs/>
                      <w:sz w:val="20"/>
                    </w:rPr>
                  </w:pPr>
                  <w:r w:rsidRPr="003161DC">
                    <w:rPr>
                      <w:i/>
                      <w:iCs/>
                      <w:sz w:val="20"/>
                    </w:rPr>
                    <w:t>Net meter Weighting Factor per interval</w:t>
                  </w:r>
                  <w:r w:rsidRPr="003161DC">
                    <w:rPr>
                      <w:rFonts w:ascii="Symbol" w:hAnsi="Symbol"/>
                      <w:sz w:val="20"/>
                    </w:rPr>
                    <w:t></w:t>
                  </w:r>
                  <w:r w:rsidRPr="003161DC">
                    <w:rPr>
                      <w:sz w:val="20"/>
                    </w:rPr>
                    <w:t xml:space="preserve">The weight factor used in net meter price calculation for meters in Electrical Bus </w:t>
                  </w:r>
                  <w:r w:rsidRPr="003161DC">
                    <w:rPr>
                      <w:i/>
                      <w:sz w:val="20"/>
                    </w:rPr>
                    <w:t>b</w:t>
                  </w:r>
                  <w:r w:rsidRPr="003161DC">
                    <w:rPr>
                      <w:sz w:val="20"/>
                    </w:rPr>
                    <w:t xml:space="preserve">, for the SCED interval </w:t>
                  </w:r>
                  <w:r w:rsidRPr="003161DC">
                    <w:rPr>
                      <w:i/>
                      <w:iCs/>
                      <w:sz w:val="20"/>
                    </w:rPr>
                    <w:t>y</w:t>
                  </w:r>
                  <w:r w:rsidRPr="003161DC">
                    <w:rPr>
                      <w:sz w:val="20"/>
                    </w:rPr>
                    <w:t>.  The weighting factor used in the net meter price calculation shall not be recalculated after the fact due to revisions in the association of Resources to Settlement Meters.</w:t>
                  </w:r>
                </w:p>
              </w:tc>
            </w:tr>
            <w:tr w:rsidR="00837DE8" w:rsidRPr="003161DC" w14:paraId="2311F535" w14:textId="77777777" w:rsidTr="000D7680">
              <w:trPr>
                <w:cantSplit/>
              </w:trPr>
              <w:tc>
                <w:tcPr>
                  <w:tcW w:w="1145" w:type="pct"/>
                </w:tcPr>
                <w:p w14:paraId="4F5FF2D7" w14:textId="77777777" w:rsidR="00837DE8" w:rsidRPr="003161DC" w:rsidRDefault="00837DE8" w:rsidP="00837DE8">
                  <w:pPr>
                    <w:widowControl w:val="0"/>
                    <w:spacing w:after="60"/>
                    <w:rPr>
                      <w:sz w:val="20"/>
                    </w:rPr>
                  </w:pPr>
                  <w:r w:rsidRPr="003161DC">
                    <w:rPr>
                      <w:sz w:val="20"/>
                    </w:rPr>
                    <w:t xml:space="preserve">BP </w:t>
                  </w:r>
                  <w:r w:rsidRPr="003161DC">
                    <w:rPr>
                      <w:i/>
                      <w:sz w:val="20"/>
                      <w:vertAlign w:val="subscript"/>
                    </w:rPr>
                    <w:t>r, y</w:t>
                  </w:r>
                </w:p>
              </w:tc>
              <w:tc>
                <w:tcPr>
                  <w:tcW w:w="675" w:type="pct"/>
                </w:tcPr>
                <w:p w14:paraId="2EF40E3A" w14:textId="77777777" w:rsidR="00837DE8" w:rsidRPr="003161DC" w:rsidRDefault="00837DE8" w:rsidP="00837DE8">
                  <w:pPr>
                    <w:widowControl w:val="0"/>
                    <w:spacing w:after="60"/>
                    <w:rPr>
                      <w:sz w:val="20"/>
                    </w:rPr>
                  </w:pPr>
                  <w:r w:rsidRPr="003161DC">
                    <w:rPr>
                      <w:sz w:val="20"/>
                    </w:rPr>
                    <w:t>MW</w:t>
                  </w:r>
                </w:p>
              </w:tc>
              <w:tc>
                <w:tcPr>
                  <w:tcW w:w="3180" w:type="pct"/>
                </w:tcPr>
                <w:p w14:paraId="63D2A507" w14:textId="77777777" w:rsidR="00837DE8" w:rsidRPr="003161DC" w:rsidRDefault="00837DE8" w:rsidP="00837DE8">
                  <w:pPr>
                    <w:widowControl w:val="0"/>
                    <w:spacing w:after="60"/>
                    <w:rPr>
                      <w:i/>
                      <w:iCs/>
                      <w:sz w:val="20"/>
                    </w:rPr>
                  </w:pPr>
                  <w:r w:rsidRPr="003161DC">
                    <w:rPr>
                      <w:i/>
                      <w:iCs/>
                      <w:sz w:val="20"/>
                    </w:rPr>
                    <w:t>Base Point per Resource per interval</w:t>
                  </w:r>
                  <w:r w:rsidRPr="003161DC">
                    <w:rPr>
                      <w:rFonts w:ascii="Symbol" w:hAnsi="Symbol"/>
                      <w:sz w:val="20"/>
                    </w:rPr>
                    <w:t></w:t>
                  </w:r>
                  <w:r w:rsidRPr="003161DC">
                    <w:rPr>
                      <w:sz w:val="20"/>
                    </w:rPr>
                    <w:t xml:space="preserve">The Base Point of Resource </w:t>
                  </w:r>
                  <w:r w:rsidRPr="003161DC">
                    <w:rPr>
                      <w:i/>
                      <w:sz w:val="20"/>
                    </w:rPr>
                    <w:t>r,</w:t>
                  </w:r>
                  <w:r w:rsidRPr="003161DC">
                    <w:rPr>
                      <w:sz w:val="20"/>
                    </w:rPr>
                    <w:t xml:space="preserve"> for the SCED interval </w:t>
                  </w:r>
                  <w:r w:rsidRPr="003161DC">
                    <w:rPr>
                      <w:i/>
                      <w:iCs/>
                      <w:sz w:val="20"/>
                    </w:rPr>
                    <w:t>y</w:t>
                  </w:r>
                  <w:r w:rsidRPr="003161DC">
                    <w:rPr>
                      <w:sz w:val="20"/>
                    </w:rPr>
                    <w:t xml:space="preserve">.  Where for a Combined Cycle Train, the Resource </w:t>
                  </w:r>
                  <w:r w:rsidRPr="003161DC">
                    <w:rPr>
                      <w:i/>
                      <w:sz w:val="20"/>
                    </w:rPr>
                    <w:t xml:space="preserve">r </w:t>
                  </w:r>
                  <w:r w:rsidRPr="003161DC">
                    <w:rPr>
                      <w:sz w:val="20"/>
                    </w:rPr>
                    <w:t>is a Combined Cycle Generation Resource within the Combined Cycle Train.</w:t>
                  </w:r>
                </w:p>
              </w:tc>
            </w:tr>
            <w:tr w:rsidR="00837DE8" w:rsidRPr="003161DC" w14:paraId="1C5F72E1" w14:textId="77777777" w:rsidTr="000D7680">
              <w:trPr>
                <w:cantSplit/>
              </w:trPr>
              <w:tc>
                <w:tcPr>
                  <w:tcW w:w="1145" w:type="pct"/>
                </w:tcPr>
                <w:p w14:paraId="02F8A8CE" w14:textId="77777777" w:rsidR="00837DE8" w:rsidRPr="003161DC" w:rsidRDefault="00837DE8" w:rsidP="00837DE8">
                  <w:pPr>
                    <w:widowControl w:val="0"/>
                    <w:spacing w:after="60"/>
                    <w:rPr>
                      <w:i/>
                      <w:sz w:val="20"/>
                    </w:rPr>
                  </w:pPr>
                  <w:r w:rsidRPr="003161DC">
                    <w:rPr>
                      <w:sz w:val="20"/>
                    </w:rPr>
                    <w:lastRenderedPageBreak/>
                    <w:t>MEBC</w:t>
                  </w:r>
                  <w:r w:rsidRPr="003161DC">
                    <w:rPr>
                      <w:sz w:val="20"/>
                      <w:vertAlign w:val="subscript"/>
                    </w:rPr>
                    <w:t xml:space="preserve"> </w:t>
                  </w:r>
                  <w:r w:rsidRPr="003161DC">
                    <w:rPr>
                      <w:i/>
                      <w:sz w:val="20"/>
                      <w:vertAlign w:val="subscript"/>
                    </w:rPr>
                    <w:t>gsc, b</w:t>
                  </w:r>
                </w:p>
              </w:tc>
              <w:tc>
                <w:tcPr>
                  <w:tcW w:w="675" w:type="pct"/>
                </w:tcPr>
                <w:p w14:paraId="1870A34E" w14:textId="77777777" w:rsidR="00837DE8" w:rsidRPr="003161DC" w:rsidRDefault="00837DE8" w:rsidP="00837DE8">
                  <w:pPr>
                    <w:widowControl w:val="0"/>
                    <w:spacing w:after="60"/>
                    <w:rPr>
                      <w:sz w:val="20"/>
                    </w:rPr>
                  </w:pPr>
                  <w:r w:rsidRPr="003161DC">
                    <w:rPr>
                      <w:sz w:val="20"/>
                    </w:rPr>
                    <w:t>MWh</w:t>
                  </w:r>
                </w:p>
              </w:tc>
              <w:tc>
                <w:tcPr>
                  <w:tcW w:w="3180" w:type="pct"/>
                </w:tcPr>
                <w:p w14:paraId="45C11C17" w14:textId="744706E5" w:rsidR="00837DE8" w:rsidRPr="003161DC" w:rsidRDefault="00837DE8" w:rsidP="00837DE8">
                  <w:pPr>
                    <w:widowControl w:val="0"/>
                    <w:spacing w:after="60"/>
                    <w:rPr>
                      <w:sz w:val="20"/>
                    </w:rPr>
                  </w:pPr>
                  <w:r w:rsidRPr="00837DE8">
                    <w:rPr>
                      <w:i/>
                      <w:sz w:val="20"/>
                    </w:rPr>
                    <w:t xml:space="preserve">Metered Energy at </w:t>
                  </w:r>
                  <w:r w:rsidR="00632873">
                    <w:rPr>
                      <w:i/>
                      <w:sz w:val="20"/>
                    </w:rPr>
                    <w:t>B</w:t>
                  </w:r>
                  <w:r w:rsidRPr="00837DE8">
                    <w:rPr>
                      <w:i/>
                      <w:sz w:val="20"/>
                    </w:rPr>
                    <w:t xml:space="preserve">us (Calculated) </w:t>
                  </w:r>
                  <w:r w:rsidRPr="00837DE8">
                    <w:rPr>
                      <w:sz w:val="20"/>
                    </w:rPr>
                    <w:sym w:font="Symbol" w:char="F0BE"/>
                  </w:r>
                  <w:r w:rsidRPr="00837DE8">
                    <w:rPr>
                      <w:sz w:val="20"/>
                    </w:rPr>
                    <w:t xml:space="preserve"> The calculated energy for the 15-minute Settlement Interval for a Settlement Meter which is upstream from another Settlement Meter which measures</w:t>
                  </w:r>
                  <w:r w:rsidR="00632873" w:rsidRPr="00812ECB">
                    <w:rPr>
                      <w:sz w:val="20"/>
                    </w:rPr>
                    <w:t xml:space="preserve"> CLR (that is not an ALR) or</w:t>
                  </w:r>
                  <w:r w:rsidRPr="00837DE8">
                    <w:rPr>
                      <w:sz w:val="20"/>
                    </w:rPr>
                    <w:t xml:space="preserve"> ESR Load.  A positive value represents energy produced, and a negative value represents energy withdrawn.</w:t>
                  </w:r>
                  <w:r w:rsidR="00632873" w:rsidRPr="00812ECB">
                    <w:rPr>
                      <w:sz w:val="20"/>
                    </w:rPr>
                    <w:t xml:space="preserve"> </w:t>
                  </w:r>
                  <w:r w:rsidR="00632873">
                    <w:rPr>
                      <w:sz w:val="20"/>
                    </w:rPr>
                    <w:t xml:space="preserve"> </w:t>
                  </w:r>
                  <w:r w:rsidR="00632873" w:rsidRPr="00812ECB">
                    <w:rPr>
                      <w:sz w:val="20"/>
                    </w:rPr>
                    <w:t>This is not adjusted for losses and UFE.</w:t>
                  </w:r>
                </w:p>
              </w:tc>
            </w:tr>
            <w:tr w:rsidR="00837DE8" w:rsidRPr="003161DC" w14:paraId="2C45D252" w14:textId="77777777" w:rsidTr="000D7680">
              <w:trPr>
                <w:cantSplit/>
              </w:trPr>
              <w:tc>
                <w:tcPr>
                  <w:tcW w:w="1145" w:type="pct"/>
                </w:tcPr>
                <w:p w14:paraId="14C6D105" w14:textId="77777777" w:rsidR="00837DE8" w:rsidRPr="003161DC" w:rsidRDefault="00837DE8" w:rsidP="00837DE8">
                  <w:pPr>
                    <w:widowControl w:val="0"/>
                    <w:spacing w:after="60"/>
                    <w:rPr>
                      <w:i/>
                      <w:sz w:val="20"/>
                    </w:rPr>
                  </w:pPr>
                  <w:r w:rsidRPr="003161DC">
                    <w:rPr>
                      <w:i/>
                      <w:sz w:val="20"/>
                    </w:rPr>
                    <w:t>gsc</w:t>
                  </w:r>
                </w:p>
              </w:tc>
              <w:tc>
                <w:tcPr>
                  <w:tcW w:w="675" w:type="pct"/>
                </w:tcPr>
                <w:p w14:paraId="2A4D77E5" w14:textId="77777777" w:rsidR="00837DE8" w:rsidRPr="003161DC" w:rsidRDefault="00837DE8" w:rsidP="00837DE8">
                  <w:pPr>
                    <w:widowControl w:val="0"/>
                    <w:spacing w:after="60"/>
                    <w:rPr>
                      <w:sz w:val="20"/>
                    </w:rPr>
                  </w:pPr>
                  <w:r w:rsidRPr="003161DC">
                    <w:rPr>
                      <w:sz w:val="20"/>
                    </w:rPr>
                    <w:t>none</w:t>
                  </w:r>
                </w:p>
              </w:tc>
              <w:tc>
                <w:tcPr>
                  <w:tcW w:w="3180" w:type="pct"/>
                </w:tcPr>
                <w:p w14:paraId="78FD662D" w14:textId="77777777" w:rsidR="00837DE8" w:rsidRPr="003161DC" w:rsidRDefault="00837DE8" w:rsidP="00837DE8">
                  <w:pPr>
                    <w:widowControl w:val="0"/>
                    <w:spacing w:after="60"/>
                    <w:rPr>
                      <w:sz w:val="20"/>
                    </w:rPr>
                  </w:pPr>
                  <w:r w:rsidRPr="003161DC">
                    <w:rPr>
                      <w:sz w:val="20"/>
                    </w:rPr>
                    <w:t>A generation site code.</w:t>
                  </w:r>
                </w:p>
              </w:tc>
            </w:tr>
            <w:tr w:rsidR="00837DE8" w:rsidRPr="003161DC" w14:paraId="691DD039" w14:textId="77777777" w:rsidTr="000D7680">
              <w:trPr>
                <w:cantSplit/>
              </w:trPr>
              <w:tc>
                <w:tcPr>
                  <w:tcW w:w="1145" w:type="pct"/>
                </w:tcPr>
                <w:p w14:paraId="0DA264F1" w14:textId="77777777" w:rsidR="00837DE8" w:rsidRPr="003161DC" w:rsidRDefault="00837DE8" w:rsidP="00837DE8">
                  <w:pPr>
                    <w:widowControl w:val="0"/>
                    <w:spacing w:after="60"/>
                    <w:rPr>
                      <w:i/>
                      <w:sz w:val="20"/>
                    </w:rPr>
                  </w:pPr>
                  <w:r w:rsidRPr="003161DC">
                    <w:rPr>
                      <w:i/>
                      <w:sz w:val="20"/>
                    </w:rPr>
                    <w:t>r</w:t>
                  </w:r>
                </w:p>
              </w:tc>
              <w:tc>
                <w:tcPr>
                  <w:tcW w:w="675" w:type="pct"/>
                </w:tcPr>
                <w:p w14:paraId="2A071A2A" w14:textId="77777777" w:rsidR="00837DE8" w:rsidRPr="003161DC" w:rsidRDefault="00837DE8" w:rsidP="00837DE8">
                  <w:pPr>
                    <w:widowControl w:val="0"/>
                    <w:spacing w:after="60"/>
                    <w:rPr>
                      <w:sz w:val="20"/>
                    </w:rPr>
                  </w:pPr>
                  <w:r w:rsidRPr="003161DC">
                    <w:rPr>
                      <w:sz w:val="20"/>
                    </w:rPr>
                    <w:t>none</w:t>
                  </w:r>
                </w:p>
              </w:tc>
              <w:tc>
                <w:tcPr>
                  <w:tcW w:w="3180" w:type="pct"/>
                </w:tcPr>
                <w:p w14:paraId="6D8381F7" w14:textId="578641B4" w:rsidR="00837DE8" w:rsidRPr="003161DC" w:rsidRDefault="00837DE8" w:rsidP="00837DE8">
                  <w:pPr>
                    <w:widowControl w:val="0"/>
                    <w:spacing w:after="60"/>
                    <w:rPr>
                      <w:sz w:val="20"/>
                    </w:rPr>
                  </w:pPr>
                  <w:r w:rsidRPr="003161DC">
                    <w:rPr>
                      <w:sz w:val="20"/>
                    </w:rPr>
                    <w:t xml:space="preserve">A Generation Resource </w:t>
                  </w:r>
                  <w:r w:rsidR="00F15CAD">
                    <w:rPr>
                      <w:sz w:val="20"/>
                    </w:rPr>
                    <w:t xml:space="preserve">or ESR </w:t>
                  </w:r>
                  <w:r w:rsidRPr="003161DC">
                    <w:rPr>
                      <w:sz w:val="20"/>
                    </w:rPr>
                    <w:t xml:space="preserve">that is located at the Facility with net metering.  </w:t>
                  </w:r>
                </w:p>
              </w:tc>
            </w:tr>
            <w:tr w:rsidR="00837DE8" w:rsidRPr="003161DC" w14:paraId="2E7D7F89" w14:textId="77777777" w:rsidTr="000D7680">
              <w:trPr>
                <w:cantSplit/>
              </w:trPr>
              <w:tc>
                <w:tcPr>
                  <w:tcW w:w="1145" w:type="pct"/>
                </w:tcPr>
                <w:p w14:paraId="37C9FF56" w14:textId="77777777" w:rsidR="00837DE8" w:rsidRPr="003161DC" w:rsidRDefault="00837DE8" w:rsidP="00837DE8">
                  <w:pPr>
                    <w:widowControl w:val="0"/>
                    <w:spacing w:after="60"/>
                    <w:rPr>
                      <w:i/>
                      <w:sz w:val="20"/>
                    </w:rPr>
                  </w:pPr>
                  <w:r w:rsidRPr="003161DC">
                    <w:rPr>
                      <w:i/>
                      <w:sz w:val="20"/>
                    </w:rPr>
                    <w:t>y</w:t>
                  </w:r>
                </w:p>
              </w:tc>
              <w:tc>
                <w:tcPr>
                  <w:tcW w:w="675" w:type="pct"/>
                </w:tcPr>
                <w:p w14:paraId="5B555DE8" w14:textId="77777777" w:rsidR="00837DE8" w:rsidRPr="003161DC" w:rsidRDefault="00837DE8" w:rsidP="00837DE8">
                  <w:pPr>
                    <w:widowControl w:val="0"/>
                    <w:spacing w:after="60"/>
                    <w:rPr>
                      <w:sz w:val="20"/>
                    </w:rPr>
                  </w:pPr>
                  <w:r w:rsidRPr="003161DC">
                    <w:rPr>
                      <w:sz w:val="20"/>
                    </w:rPr>
                    <w:t>none</w:t>
                  </w:r>
                </w:p>
              </w:tc>
              <w:tc>
                <w:tcPr>
                  <w:tcW w:w="3180" w:type="pct"/>
                </w:tcPr>
                <w:p w14:paraId="75007B0C" w14:textId="77777777" w:rsidR="00837DE8" w:rsidRPr="003161DC" w:rsidRDefault="00837DE8" w:rsidP="00837DE8">
                  <w:pPr>
                    <w:widowControl w:val="0"/>
                    <w:spacing w:after="60"/>
                    <w:rPr>
                      <w:sz w:val="20"/>
                    </w:rPr>
                  </w:pPr>
                  <w:r w:rsidRPr="003161DC">
                    <w:rPr>
                      <w:sz w:val="20"/>
                    </w:rPr>
                    <w:t>A SCED interval in the 15-minute Settlement Interval.  The summation is over the total number of SCED runs that cover the 15-minute Settlement Interval.</w:t>
                  </w:r>
                </w:p>
              </w:tc>
            </w:tr>
            <w:tr w:rsidR="00837DE8" w:rsidRPr="003161DC" w14:paraId="2AC9B5D2" w14:textId="77777777" w:rsidTr="000D7680">
              <w:trPr>
                <w:cantSplit/>
              </w:trPr>
              <w:tc>
                <w:tcPr>
                  <w:tcW w:w="1145" w:type="pct"/>
                </w:tcPr>
                <w:p w14:paraId="1F926E22" w14:textId="77777777" w:rsidR="00837DE8" w:rsidRPr="003161DC" w:rsidRDefault="00837DE8" w:rsidP="00837DE8">
                  <w:pPr>
                    <w:widowControl w:val="0"/>
                    <w:spacing w:after="60"/>
                    <w:rPr>
                      <w:i/>
                      <w:sz w:val="20"/>
                    </w:rPr>
                  </w:pPr>
                  <w:r w:rsidRPr="003161DC">
                    <w:rPr>
                      <w:i/>
                      <w:sz w:val="20"/>
                    </w:rPr>
                    <w:t>b</w:t>
                  </w:r>
                </w:p>
              </w:tc>
              <w:tc>
                <w:tcPr>
                  <w:tcW w:w="675" w:type="pct"/>
                </w:tcPr>
                <w:p w14:paraId="4F97CD24" w14:textId="77777777" w:rsidR="00837DE8" w:rsidRPr="003161DC" w:rsidRDefault="00837DE8" w:rsidP="00837DE8">
                  <w:pPr>
                    <w:widowControl w:val="0"/>
                    <w:spacing w:after="60"/>
                    <w:rPr>
                      <w:sz w:val="20"/>
                    </w:rPr>
                  </w:pPr>
                  <w:r w:rsidRPr="003161DC">
                    <w:rPr>
                      <w:sz w:val="20"/>
                    </w:rPr>
                    <w:t>none</w:t>
                  </w:r>
                </w:p>
              </w:tc>
              <w:tc>
                <w:tcPr>
                  <w:tcW w:w="3180" w:type="pct"/>
                </w:tcPr>
                <w:p w14:paraId="0DA5C02A" w14:textId="77777777" w:rsidR="00837DE8" w:rsidRPr="003161DC" w:rsidRDefault="00837DE8" w:rsidP="00837DE8">
                  <w:pPr>
                    <w:widowControl w:val="0"/>
                    <w:spacing w:after="60"/>
                    <w:rPr>
                      <w:sz w:val="20"/>
                    </w:rPr>
                  </w:pPr>
                  <w:r w:rsidRPr="003161DC">
                    <w:rPr>
                      <w:sz w:val="20"/>
                    </w:rPr>
                    <w:t>An Electrical Bus.</w:t>
                  </w:r>
                </w:p>
              </w:tc>
            </w:tr>
          </w:tbl>
          <w:p w14:paraId="2976C42C" w14:textId="458A1810" w:rsidR="00837DE8" w:rsidRPr="00B50DCB" w:rsidRDefault="00837DE8" w:rsidP="00837DE8">
            <w:pPr>
              <w:spacing w:before="240" w:after="240"/>
              <w:ind w:left="720" w:hanging="720"/>
            </w:pPr>
          </w:p>
        </w:tc>
      </w:tr>
    </w:tbl>
    <w:p w14:paraId="3DA1C0D2" w14:textId="5AC064BA" w:rsidR="001F04FD" w:rsidRDefault="001F04FD" w:rsidP="00837DE8">
      <w:pPr>
        <w:pStyle w:val="BodyTextNumbered"/>
        <w:widowControl w:val="0"/>
        <w:spacing w:before="240"/>
      </w:pPr>
      <w:r>
        <w:lastRenderedPageBreak/>
        <w:t>(5)</w:t>
      </w:r>
      <w:r>
        <w:tab/>
        <w:t>The Generation Resource SCADA Splitting Percentage for each Resource within a net metering arrangement for the 15-minute Settlement Interval is calculated as follows:</w:t>
      </w:r>
    </w:p>
    <w:p w14:paraId="016F1AC0" w14:textId="77777777" w:rsidR="001F04FD" w:rsidRDefault="001F04FD" w:rsidP="001F04FD">
      <w:pPr>
        <w:spacing w:before="120" w:after="120"/>
        <w:ind w:firstLine="720"/>
        <w:jc w:val="both"/>
        <w:rPr>
          <w:b/>
          <w:vertAlign w:val="subscript"/>
          <w:lang w:val="pt-BR"/>
        </w:rPr>
      </w:pPr>
      <w:r>
        <w:rPr>
          <w:b/>
          <w:lang w:val="pt-BR"/>
        </w:rPr>
        <w:t xml:space="preserve">GSPLITPER </w:t>
      </w:r>
      <w:r>
        <w:rPr>
          <w:b/>
          <w:i/>
          <w:szCs w:val="24"/>
          <w:vertAlign w:val="subscript"/>
          <w:lang w:val="pt-BR"/>
        </w:rPr>
        <w:t>q</w:t>
      </w:r>
      <w:r>
        <w:rPr>
          <w:rFonts w:ascii="Times New Roman Bold" w:hAnsi="Times New Roman Bold"/>
          <w:b/>
          <w:i/>
          <w:szCs w:val="24"/>
          <w:vertAlign w:val="subscript"/>
          <w:lang w:val="pt-BR"/>
        </w:rPr>
        <w:t xml:space="preserve">,  </w:t>
      </w:r>
      <w:r>
        <w:rPr>
          <w:b/>
          <w:i/>
          <w:szCs w:val="24"/>
          <w:vertAlign w:val="subscript"/>
          <w:lang w:val="pt-BR"/>
        </w:rPr>
        <w:t>r, gsc, p</w:t>
      </w:r>
      <w:r>
        <w:rPr>
          <w:b/>
          <w:lang w:val="pt-BR"/>
        </w:rPr>
        <w:t xml:space="preserve"> </w:t>
      </w:r>
      <w:r>
        <w:rPr>
          <w:b/>
          <w:lang w:val="pt-BR"/>
        </w:rPr>
        <w:tab/>
        <w:t xml:space="preserve">= GSSPLITSCA </w:t>
      </w:r>
      <w:r>
        <w:rPr>
          <w:b/>
          <w:i/>
          <w:vertAlign w:val="subscript"/>
          <w:lang w:val="pt-BR"/>
        </w:rPr>
        <w:t>r</w:t>
      </w:r>
      <w:r>
        <w:rPr>
          <w:b/>
          <w:lang w:val="pt-BR"/>
        </w:rPr>
        <w:t xml:space="preserve"> / </w:t>
      </w:r>
      <w:r w:rsidRPr="006F784F">
        <w:rPr>
          <w:position w:val="-18"/>
        </w:rPr>
        <w:object w:dxaOrig="225" w:dyaOrig="420" w14:anchorId="5E1832E4">
          <v:shape id="_x0000_i1153" type="#_x0000_t75" style="width:12pt;height:24pt" o:ole="">
            <v:imagedata r:id="rId122" o:title=""/>
          </v:shape>
          <o:OLEObject Type="Embed" ProgID="Equation.3" ShapeID="_x0000_i1153" DrawAspect="Content" ObjectID="_1804653638" r:id="rId170"/>
        </w:object>
      </w:r>
      <w:r>
        <w:rPr>
          <w:b/>
          <w:lang w:val="pt-BR"/>
        </w:rPr>
        <w:t xml:space="preserve">GSSPLITSCA </w:t>
      </w:r>
      <w:r>
        <w:rPr>
          <w:b/>
          <w:i/>
          <w:vertAlign w:val="subscript"/>
          <w:lang w:val="pt-BR"/>
        </w:rPr>
        <w:t>r</w:t>
      </w:r>
    </w:p>
    <w:p w14:paraId="1E61DECA" w14:textId="77777777" w:rsidR="001F04FD" w:rsidRDefault="001F04FD" w:rsidP="001F04FD">
      <w:pPr>
        <w:spacing w:before="120"/>
      </w:pPr>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1F04FD" w14:paraId="1B168604" w14:textId="77777777" w:rsidTr="00AC4DEE">
        <w:trPr>
          <w:cantSplit/>
          <w:tblHeader/>
        </w:trPr>
        <w:tc>
          <w:tcPr>
            <w:tcW w:w="2361" w:type="dxa"/>
          </w:tcPr>
          <w:p w14:paraId="2BACB737" w14:textId="77777777" w:rsidR="001F04FD" w:rsidRDefault="001F04FD" w:rsidP="00AC4DEE">
            <w:pPr>
              <w:pStyle w:val="TableHead"/>
            </w:pPr>
            <w:r>
              <w:t>Variable</w:t>
            </w:r>
          </w:p>
        </w:tc>
        <w:tc>
          <w:tcPr>
            <w:tcW w:w="826" w:type="dxa"/>
          </w:tcPr>
          <w:p w14:paraId="1BFD7111" w14:textId="77777777" w:rsidR="001F04FD" w:rsidRDefault="001F04FD" w:rsidP="00AC4DEE">
            <w:pPr>
              <w:pStyle w:val="TableHead"/>
            </w:pPr>
            <w:r>
              <w:t>Unit</w:t>
            </w:r>
          </w:p>
        </w:tc>
        <w:tc>
          <w:tcPr>
            <w:tcW w:w="5884" w:type="dxa"/>
          </w:tcPr>
          <w:p w14:paraId="64E75E38" w14:textId="77777777" w:rsidR="001F04FD" w:rsidRDefault="001F04FD" w:rsidP="00AC4DEE">
            <w:pPr>
              <w:pStyle w:val="TableHead"/>
            </w:pPr>
            <w:r>
              <w:t>Definition</w:t>
            </w:r>
          </w:p>
        </w:tc>
      </w:tr>
      <w:tr w:rsidR="001F04FD" w14:paraId="379D0146" w14:textId="77777777" w:rsidTr="00AC4DEE">
        <w:trPr>
          <w:cantSplit/>
        </w:trPr>
        <w:tc>
          <w:tcPr>
            <w:tcW w:w="2361" w:type="dxa"/>
          </w:tcPr>
          <w:p w14:paraId="4A200665" w14:textId="77777777" w:rsidR="001F04FD" w:rsidRDefault="001F04FD" w:rsidP="00AC4DEE">
            <w:pPr>
              <w:pStyle w:val="TableBody"/>
            </w:pPr>
            <w:r>
              <w:t xml:space="preserve">GSPLITPER </w:t>
            </w:r>
            <w:r w:rsidRPr="00107CC2">
              <w:rPr>
                <w:i/>
                <w:vertAlign w:val="subscript"/>
              </w:rPr>
              <w:t>q, r, gsc, p</w:t>
            </w:r>
          </w:p>
        </w:tc>
        <w:tc>
          <w:tcPr>
            <w:tcW w:w="826" w:type="dxa"/>
          </w:tcPr>
          <w:p w14:paraId="49A21A58" w14:textId="77777777" w:rsidR="001F04FD" w:rsidRDefault="001F04FD" w:rsidP="00AC4DEE">
            <w:pPr>
              <w:pStyle w:val="TableBody"/>
            </w:pPr>
            <w:r>
              <w:t>none</w:t>
            </w:r>
          </w:p>
        </w:tc>
        <w:tc>
          <w:tcPr>
            <w:tcW w:w="5884" w:type="dxa"/>
          </w:tcPr>
          <w:p w14:paraId="6AD99103"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GSPLITPER is calculated by taking the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41A9DE5E" w14:textId="77777777" w:rsidTr="00AC4DEE">
        <w:trPr>
          <w:cantSplit/>
        </w:trPr>
        <w:tc>
          <w:tcPr>
            <w:tcW w:w="2361" w:type="dxa"/>
          </w:tcPr>
          <w:p w14:paraId="1D46A489" w14:textId="77777777" w:rsidR="001F04FD" w:rsidRDefault="001F04FD" w:rsidP="00AC4DEE">
            <w:pPr>
              <w:pStyle w:val="TableBody"/>
            </w:pPr>
            <w:r>
              <w:t xml:space="preserve">GSSPLITSCA </w:t>
            </w:r>
            <w:r w:rsidRPr="00107CC2">
              <w:rPr>
                <w:i/>
                <w:vertAlign w:val="subscript"/>
              </w:rPr>
              <w:t>r</w:t>
            </w:r>
          </w:p>
        </w:tc>
        <w:tc>
          <w:tcPr>
            <w:tcW w:w="826" w:type="dxa"/>
          </w:tcPr>
          <w:p w14:paraId="3A22E7E6" w14:textId="77777777" w:rsidR="001F04FD" w:rsidRDefault="001F04FD" w:rsidP="00AC4DEE">
            <w:pPr>
              <w:pStyle w:val="TableBody"/>
            </w:pPr>
            <w:r>
              <w:t>MWh</w:t>
            </w:r>
          </w:p>
        </w:tc>
        <w:tc>
          <w:tcPr>
            <w:tcW w:w="5884" w:type="dxa"/>
          </w:tcPr>
          <w:p w14:paraId="68272B02" w14:textId="77777777" w:rsidR="001F04FD" w:rsidRPr="008E1CE8" w:rsidRDefault="001F04FD" w:rsidP="00AC4DEE">
            <w:pPr>
              <w:pStyle w:val="TableBody"/>
            </w:pPr>
            <w:r>
              <w:rPr>
                <w:i/>
              </w:rPr>
              <w:t>Generation Resource SCADA Net Real Power provided via Telemetry</w:t>
            </w:r>
            <w:r>
              <w:t xml:space="preserve">—The net real power provided via telemetry per Resource within the net metering arrangement, integrated for the 15-minute Settlement Interval.  Where for a Combined Cycle Train, the Resource </w:t>
            </w:r>
            <w:r>
              <w:rPr>
                <w:i/>
              </w:rPr>
              <w:t>r</w:t>
            </w:r>
            <w:r>
              <w:t xml:space="preserve"> is the Combined Cycle Train.</w:t>
            </w:r>
          </w:p>
        </w:tc>
      </w:tr>
      <w:tr w:rsidR="001F04FD" w14:paraId="2F026837"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2CC4928B" w14:textId="77777777" w:rsidR="001F04FD" w:rsidRPr="008E1CE8" w:rsidRDefault="001F04FD" w:rsidP="00AC4DEE">
            <w:pPr>
              <w:pStyle w:val="TableBody"/>
              <w:rPr>
                <w:i/>
              </w:rPr>
            </w:pPr>
            <w:r w:rsidRPr="00D661BC">
              <w:rPr>
                <w:i/>
              </w:rPr>
              <w:t>gsc</w:t>
            </w:r>
          </w:p>
        </w:tc>
        <w:tc>
          <w:tcPr>
            <w:tcW w:w="826" w:type="dxa"/>
            <w:tcBorders>
              <w:top w:val="single" w:sz="4" w:space="0" w:color="auto"/>
              <w:left w:val="single" w:sz="4" w:space="0" w:color="auto"/>
              <w:bottom w:val="single" w:sz="4" w:space="0" w:color="auto"/>
              <w:right w:val="single" w:sz="4" w:space="0" w:color="auto"/>
            </w:tcBorders>
          </w:tcPr>
          <w:p w14:paraId="0C36A289"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706128D" w14:textId="77777777" w:rsidR="001F04FD" w:rsidRDefault="001F04FD" w:rsidP="00AC4DEE">
            <w:pPr>
              <w:pStyle w:val="TableBody"/>
            </w:pPr>
            <w:r>
              <w:t>A generation site code.</w:t>
            </w:r>
          </w:p>
        </w:tc>
      </w:tr>
      <w:tr w:rsidR="001F04FD" w14:paraId="37087BB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0A64DA47" w14:textId="77777777" w:rsidR="001F04FD" w:rsidRPr="008E1CE8" w:rsidRDefault="001F04FD" w:rsidP="00AC4DEE">
            <w:pPr>
              <w:pStyle w:val="TableBody"/>
              <w:rPr>
                <w:i/>
              </w:rPr>
            </w:pPr>
            <w:r w:rsidRPr="00D661BC">
              <w:rPr>
                <w:i/>
              </w:rPr>
              <w:t>r</w:t>
            </w:r>
          </w:p>
        </w:tc>
        <w:tc>
          <w:tcPr>
            <w:tcW w:w="826" w:type="dxa"/>
            <w:tcBorders>
              <w:top w:val="single" w:sz="4" w:space="0" w:color="auto"/>
              <w:left w:val="single" w:sz="4" w:space="0" w:color="auto"/>
              <w:bottom w:val="single" w:sz="4" w:space="0" w:color="auto"/>
              <w:right w:val="single" w:sz="4" w:space="0" w:color="auto"/>
            </w:tcBorders>
          </w:tcPr>
          <w:p w14:paraId="5A16968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F99B6D9" w14:textId="77777777" w:rsidR="001F04FD" w:rsidRDefault="001F04FD" w:rsidP="00AC4DEE">
            <w:pPr>
              <w:pStyle w:val="TableBody"/>
            </w:pPr>
            <w:r>
              <w:t xml:space="preserve">A Generation Resource that is located at the Facility with net metering.  </w:t>
            </w:r>
          </w:p>
        </w:tc>
      </w:tr>
      <w:tr w:rsidR="001F04FD" w14:paraId="2DC05B5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5B7E45D6" w14:textId="77777777" w:rsidR="001F04FD" w:rsidRPr="008E1CE8" w:rsidRDefault="001F04FD" w:rsidP="00AC4DEE">
            <w:pPr>
              <w:pStyle w:val="TableBody"/>
              <w:rPr>
                <w:i/>
              </w:rPr>
            </w:pPr>
            <w:r w:rsidRPr="00D661BC">
              <w:rPr>
                <w:i/>
              </w:rPr>
              <w:t>q</w:t>
            </w:r>
          </w:p>
        </w:tc>
        <w:tc>
          <w:tcPr>
            <w:tcW w:w="826" w:type="dxa"/>
            <w:tcBorders>
              <w:top w:val="single" w:sz="4" w:space="0" w:color="auto"/>
              <w:left w:val="single" w:sz="4" w:space="0" w:color="auto"/>
              <w:bottom w:val="single" w:sz="4" w:space="0" w:color="auto"/>
              <w:right w:val="single" w:sz="4" w:space="0" w:color="auto"/>
            </w:tcBorders>
          </w:tcPr>
          <w:p w14:paraId="164A0B5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31A1F853" w14:textId="77777777" w:rsidR="001F04FD" w:rsidRDefault="001F04FD" w:rsidP="00AC4DEE">
            <w:pPr>
              <w:pStyle w:val="TableBody"/>
            </w:pPr>
            <w:r>
              <w:t>A QSE.</w:t>
            </w:r>
          </w:p>
        </w:tc>
      </w:tr>
      <w:tr w:rsidR="001F04FD" w14:paraId="22A6A13A"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477C4A75" w14:textId="77777777" w:rsidR="001F04FD" w:rsidRPr="008E1CE8" w:rsidRDefault="001F04FD" w:rsidP="00AC4DEE">
            <w:pPr>
              <w:pStyle w:val="TableBody"/>
              <w:rPr>
                <w:i/>
              </w:rPr>
            </w:pPr>
            <w:r w:rsidRPr="00D661BC">
              <w:rPr>
                <w:i/>
              </w:rPr>
              <w:t>p</w:t>
            </w:r>
          </w:p>
        </w:tc>
        <w:tc>
          <w:tcPr>
            <w:tcW w:w="826" w:type="dxa"/>
            <w:tcBorders>
              <w:top w:val="single" w:sz="4" w:space="0" w:color="auto"/>
              <w:left w:val="single" w:sz="4" w:space="0" w:color="auto"/>
              <w:bottom w:val="single" w:sz="4" w:space="0" w:color="auto"/>
              <w:right w:val="single" w:sz="4" w:space="0" w:color="auto"/>
            </w:tcBorders>
          </w:tcPr>
          <w:p w14:paraId="0641330A"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0E4FB385" w14:textId="77777777" w:rsidR="001F04FD" w:rsidRDefault="001F04FD" w:rsidP="00AC4DEE">
            <w:pPr>
              <w:pStyle w:val="TableBody"/>
            </w:pPr>
            <w:r>
              <w:t>A Resource Node Settlement Point.</w:t>
            </w:r>
          </w:p>
        </w:tc>
      </w:tr>
    </w:tbl>
    <w:p w14:paraId="17806F90" w14:textId="77777777" w:rsidR="00F15CAD" w:rsidRDefault="00F15CAD" w:rsidP="00F15CAD">
      <w:pPr>
        <w:pStyle w:val="BodyTextNumbered"/>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15CAD" w14:paraId="0BE95B9A" w14:textId="77777777" w:rsidTr="009E7633">
        <w:trPr>
          <w:trHeight w:val="206"/>
        </w:trPr>
        <w:tc>
          <w:tcPr>
            <w:tcW w:w="5000" w:type="pct"/>
            <w:shd w:val="pct12" w:color="auto" w:fill="auto"/>
          </w:tcPr>
          <w:p w14:paraId="39497645" w14:textId="62E15B7B" w:rsidR="00F15CAD" w:rsidRDefault="00F15CAD" w:rsidP="009E7633">
            <w:pPr>
              <w:pStyle w:val="Instructions"/>
              <w:spacing w:before="120"/>
            </w:pPr>
            <w:r>
              <w:t>[NPRR1014:  Replace paragraph (5) above with the following upon system implementation:]</w:t>
            </w:r>
          </w:p>
          <w:p w14:paraId="414CD553" w14:textId="77777777" w:rsidR="00AA638D" w:rsidRPr="00A552C3" w:rsidRDefault="00AA638D" w:rsidP="00AA638D">
            <w:pPr>
              <w:widowControl w:val="0"/>
              <w:spacing w:before="240" w:after="120"/>
              <w:ind w:left="720" w:hanging="720"/>
            </w:pPr>
            <w:r w:rsidRPr="00A552C3">
              <w:t>(5)</w:t>
            </w:r>
            <w:r w:rsidRPr="00A552C3">
              <w:tab/>
              <w:t>The Generation Resource or ESR SCADA Splitting Percentage for each Resource within a net metering arrangement for the 15-minute Settlement Interval is calculated as follows:</w:t>
            </w:r>
          </w:p>
          <w:p w14:paraId="3BA0A466" w14:textId="77777777" w:rsidR="00AA638D" w:rsidRPr="00A552C3" w:rsidRDefault="00AA638D" w:rsidP="00AA638D">
            <w:pPr>
              <w:spacing w:before="120" w:after="120"/>
              <w:ind w:firstLine="720"/>
              <w:jc w:val="both"/>
              <w:rPr>
                <w:b/>
                <w:vertAlign w:val="subscript"/>
                <w:lang w:val="pt-BR"/>
              </w:rPr>
            </w:pPr>
            <w:r w:rsidRPr="00A552C3">
              <w:rPr>
                <w:b/>
                <w:lang w:val="pt-BR"/>
              </w:rPr>
              <w:lastRenderedPageBreak/>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lang w:val="pt-BR"/>
              </w:rPr>
              <w:t xml:space="preserve"> </w:t>
            </w:r>
            <w:r w:rsidRPr="00A552C3">
              <w:rPr>
                <w:b/>
                <w:lang w:val="pt-BR"/>
              </w:rPr>
              <w:tab/>
              <w:t xml:space="preserve">= GSSPLITSCA </w:t>
            </w:r>
            <w:r w:rsidRPr="00A552C3">
              <w:rPr>
                <w:b/>
                <w:i/>
                <w:vertAlign w:val="subscript"/>
                <w:lang w:val="pt-BR"/>
              </w:rPr>
              <w:t>r</w:t>
            </w:r>
            <w:r w:rsidRPr="00A552C3">
              <w:rPr>
                <w:b/>
                <w:lang w:val="pt-BR"/>
              </w:rPr>
              <w:t xml:space="preserve"> / </w:t>
            </w:r>
            <w:r w:rsidRPr="00A552C3">
              <w:rPr>
                <w:position w:val="-18"/>
              </w:rPr>
              <w:object w:dxaOrig="255" w:dyaOrig="495" w14:anchorId="75C27D46">
                <v:shape id="_x0000_i1154" type="#_x0000_t75" style="width:12pt;height:30pt" o:ole="">
                  <v:imagedata r:id="rId122" o:title=""/>
                </v:shape>
                <o:OLEObject Type="Embed" ProgID="Equation.3" ShapeID="_x0000_i1154" DrawAspect="Content" ObjectID="_1804653639" r:id="rId171"/>
              </w:object>
            </w:r>
            <w:r w:rsidRPr="00A552C3">
              <w:rPr>
                <w:b/>
                <w:lang w:val="pt-BR"/>
              </w:rPr>
              <w:t xml:space="preserve">GSSPLITSCA </w:t>
            </w:r>
            <w:r w:rsidRPr="00A552C3">
              <w:rPr>
                <w:b/>
                <w:i/>
                <w:vertAlign w:val="subscript"/>
                <w:lang w:val="pt-BR"/>
              </w:rPr>
              <w:t>r</w:t>
            </w:r>
          </w:p>
          <w:p w14:paraId="1CCFAF54" w14:textId="77777777" w:rsidR="00AA638D" w:rsidRPr="00A552C3" w:rsidRDefault="00AA638D" w:rsidP="00AA638D">
            <w:pPr>
              <w:spacing w:before="120"/>
            </w:pPr>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A638D" w:rsidRPr="00A552C3" w14:paraId="6229CA62" w14:textId="77777777" w:rsidTr="009E7633">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6685EDEC" w14:textId="77777777" w:rsidR="00AA638D" w:rsidRPr="00A552C3" w:rsidRDefault="00AA638D" w:rsidP="00AA638D">
                  <w:pPr>
                    <w:spacing w:after="120"/>
                    <w:rPr>
                      <w:b/>
                      <w:iCs/>
                      <w:sz w:val="20"/>
                    </w:rPr>
                  </w:pPr>
                  <w:r w:rsidRPr="00A552C3">
                    <w:rPr>
                      <w:b/>
                      <w:iCs/>
                      <w:sz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3B0570B8" w14:textId="77777777" w:rsidR="00AA638D" w:rsidRPr="00A552C3" w:rsidRDefault="00AA638D" w:rsidP="00AA638D">
                  <w:pPr>
                    <w:spacing w:after="120"/>
                    <w:rPr>
                      <w:b/>
                      <w:iCs/>
                      <w:sz w:val="20"/>
                    </w:rPr>
                  </w:pPr>
                  <w:r w:rsidRPr="00A552C3">
                    <w:rPr>
                      <w:b/>
                      <w:iCs/>
                      <w:sz w:val="20"/>
                    </w:rPr>
                    <w:t>Unit</w:t>
                  </w:r>
                </w:p>
              </w:tc>
              <w:tc>
                <w:tcPr>
                  <w:tcW w:w="5884" w:type="dxa"/>
                  <w:tcBorders>
                    <w:top w:val="single" w:sz="4" w:space="0" w:color="auto"/>
                    <w:left w:val="single" w:sz="4" w:space="0" w:color="auto"/>
                    <w:bottom w:val="single" w:sz="4" w:space="0" w:color="auto"/>
                    <w:right w:val="single" w:sz="4" w:space="0" w:color="auto"/>
                  </w:tcBorders>
                  <w:hideMark/>
                </w:tcPr>
                <w:p w14:paraId="5AC21198" w14:textId="77777777" w:rsidR="00AA638D" w:rsidRPr="00A552C3" w:rsidRDefault="00AA638D" w:rsidP="00AA638D">
                  <w:pPr>
                    <w:spacing w:after="120"/>
                    <w:rPr>
                      <w:b/>
                      <w:iCs/>
                      <w:sz w:val="20"/>
                    </w:rPr>
                  </w:pPr>
                  <w:r w:rsidRPr="00A552C3">
                    <w:rPr>
                      <w:b/>
                      <w:iCs/>
                      <w:sz w:val="20"/>
                    </w:rPr>
                    <w:t>Definition</w:t>
                  </w:r>
                </w:p>
              </w:tc>
            </w:tr>
            <w:tr w:rsidR="00AA638D" w:rsidRPr="00A552C3" w14:paraId="02F458D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8460D74" w14:textId="77777777" w:rsidR="00AA638D" w:rsidRPr="00A552C3" w:rsidRDefault="00AA638D" w:rsidP="00AA638D">
                  <w:pPr>
                    <w:spacing w:after="60"/>
                    <w:rPr>
                      <w:iCs/>
                      <w:sz w:val="20"/>
                    </w:rPr>
                  </w:pPr>
                  <w:r w:rsidRPr="00A552C3">
                    <w:rPr>
                      <w:iCs/>
                      <w:sz w:val="20"/>
                    </w:rPr>
                    <w:t xml:space="preserve">GSPLITPER </w:t>
                  </w:r>
                  <w:r w:rsidRPr="00A552C3">
                    <w:rPr>
                      <w:i/>
                      <w:iCs/>
                      <w:sz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27F2503"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2BB9FF5" w14:textId="77777777" w:rsidR="00AA638D" w:rsidRPr="00A552C3" w:rsidRDefault="00AA638D" w:rsidP="00AA638D">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GSPLITPER is calculated by taking the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AA638D" w:rsidRPr="00A552C3" w14:paraId="3E165FEF"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301EE79" w14:textId="77777777" w:rsidR="00AA638D" w:rsidRPr="00A552C3" w:rsidRDefault="00AA638D" w:rsidP="00AA638D">
                  <w:pPr>
                    <w:spacing w:after="60"/>
                    <w:rPr>
                      <w:iCs/>
                      <w:sz w:val="20"/>
                    </w:rPr>
                  </w:pPr>
                  <w:r w:rsidRPr="00A552C3">
                    <w:rPr>
                      <w:iCs/>
                      <w:sz w:val="20"/>
                    </w:rPr>
                    <w:t xml:space="preserve">GSSPLITSCA </w:t>
                  </w:r>
                  <w:r w:rsidRPr="00A552C3">
                    <w:rPr>
                      <w:i/>
                      <w:iCs/>
                      <w:sz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C269025" w14:textId="77777777" w:rsidR="00AA638D" w:rsidRPr="00A552C3" w:rsidRDefault="00AA638D" w:rsidP="00AA638D">
                  <w:pPr>
                    <w:spacing w:after="60"/>
                    <w:rPr>
                      <w:iCs/>
                      <w:sz w:val="20"/>
                    </w:rPr>
                  </w:pPr>
                  <w:r w:rsidRPr="00A552C3">
                    <w:rPr>
                      <w:iCs/>
                      <w:sz w:val="20"/>
                    </w:rPr>
                    <w:t>MWh</w:t>
                  </w:r>
                </w:p>
              </w:tc>
              <w:tc>
                <w:tcPr>
                  <w:tcW w:w="5884" w:type="dxa"/>
                  <w:tcBorders>
                    <w:top w:val="single" w:sz="4" w:space="0" w:color="auto"/>
                    <w:left w:val="single" w:sz="4" w:space="0" w:color="auto"/>
                    <w:bottom w:val="single" w:sz="4" w:space="0" w:color="auto"/>
                    <w:right w:val="single" w:sz="4" w:space="0" w:color="auto"/>
                  </w:tcBorders>
                  <w:hideMark/>
                </w:tcPr>
                <w:p w14:paraId="5E74B37B" w14:textId="77777777" w:rsidR="00AA638D" w:rsidRPr="00A552C3" w:rsidRDefault="00AA638D" w:rsidP="00AA638D">
                  <w:pPr>
                    <w:spacing w:after="60"/>
                    <w:rPr>
                      <w:iCs/>
                      <w:sz w:val="20"/>
                    </w:rPr>
                  </w:pPr>
                  <w:r w:rsidRPr="00A552C3">
                    <w:rPr>
                      <w:i/>
                      <w:iCs/>
                      <w:sz w:val="20"/>
                    </w:rPr>
                    <w:t>Generation Resource SCADA Net Real Power provided via Telemetry</w:t>
                  </w:r>
                  <w:r w:rsidRPr="00A552C3">
                    <w:rPr>
                      <w:iCs/>
                      <w:sz w:val="20"/>
                    </w:rPr>
                    <w:t xml:space="preserve">—The net real power provided via telemetry per Resource within the net metering arrangement, integrated for the 15-minute Settlement Interval.  Where for a Combined Cycle Train, the Resource </w:t>
                  </w:r>
                  <w:r w:rsidRPr="00A552C3">
                    <w:rPr>
                      <w:i/>
                      <w:iCs/>
                      <w:sz w:val="20"/>
                    </w:rPr>
                    <w:t>r</w:t>
                  </w:r>
                  <w:r w:rsidRPr="00A552C3">
                    <w:rPr>
                      <w:iCs/>
                      <w:sz w:val="20"/>
                    </w:rPr>
                    <w:t xml:space="preserve"> is the Combined Cycle Train.</w:t>
                  </w:r>
                </w:p>
              </w:tc>
            </w:tr>
            <w:tr w:rsidR="00AA638D" w:rsidRPr="00A552C3" w14:paraId="39E262E8"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B6B1D07" w14:textId="77777777" w:rsidR="00AA638D" w:rsidRPr="00A552C3" w:rsidRDefault="00AA638D" w:rsidP="00AA638D">
                  <w:pPr>
                    <w:spacing w:after="60"/>
                    <w:rPr>
                      <w:i/>
                      <w:iCs/>
                      <w:sz w:val="20"/>
                    </w:rPr>
                  </w:pPr>
                  <w:r w:rsidRPr="00A552C3">
                    <w:rPr>
                      <w:i/>
                      <w:iCs/>
                      <w:sz w:val="20"/>
                    </w:rPr>
                    <w:t>gsc</w:t>
                  </w:r>
                </w:p>
              </w:tc>
              <w:tc>
                <w:tcPr>
                  <w:tcW w:w="826" w:type="dxa"/>
                  <w:tcBorders>
                    <w:top w:val="single" w:sz="4" w:space="0" w:color="auto"/>
                    <w:left w:val="single" w:sz="4" w:space="0" w:color="auto"/>
                    <w:bottom w:val="single" w:sz="4" w:space="0" w:color="auto"/>
                    <w:right w:val="single" w:sz="4" w:space="0" w:color="auto"/>
                  </w:tcBorders>
                  <w:hideMark/>
                </w:tcPr>
                <w:p w14:paraId="57458124"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207815A0" w14:textId="77777777" w:rsidR="00AA638D" w:rsidRPr="00A552C3" w:rsidRDefault="00AA638D" w:rsidP="00AA638D">
                  <w:pPr>
                    <w:spacing w:after="60"/>
                    <w:rPr>
                      <w:iCs/>
                      <w:sz w:val="20"/>
                    </w:rPr>
                  </w:pPr>
                  <w:r w:rsidRPr="00A552C3">
                    <w:rPr>
                      <w:iCs/>
                      <w:sz w:val="20"/>
                    </w:rPr>
                    <w:t>A generation site code.</w:t>
                  </w:r>
                </w:p>
              </w:tc>
            </w:tr>
            <w:tr w:rsidR="00AA638D" w:rsidRPr="00A552C3" w14:paraId="043A6D6D"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3CF93892" w14:textId="77777777" w:rsidR="00AA638D" w:rsidRPr="00A552C3" w:rsidRDefault="00AA638D" w:rsidP="00AA638D">
                  <w:pPr>
                    <w:spacing w:after="60"/>
                    <w:rPr>
                      <w:i/>
                      <w:iCs/>
                      <w:sz w:val="20"/>
                    </w:rPr>
                  </w:pPr>
                  <w:r w:rsidRPr="00A552C3">
                    <w:rPr>
                      <w:i/>
                      <w:iCs/>
                      <w:sz w:val="20"/>
                    </w:rPr>
                    <w:t>r</w:t>
                  </w:r>
                </w:p>
              </w:tc>
              <w:tc>
                <w:tcPr>
                  <w:tcW w:w="826" w:type="dxa"/>
                  <w:tcBorders>
                    <w:top w:val="single" w:sz="4" w:space="0" w:color="auto"/>
                    <w:left w:val="single" w:sz="4" w:space="0" w:color="auto"/>
                    <w:bottom w:val="single" w:sz="4" w:space="0" w:color="auto"/>
                    <w:right w:val="single" w:sz="4" w:space="0" w:color="auto"/>
                  </w:tcBorders>
                  <w:hideMark/>
                </w:tcPr>
                <w:p w14:paraId="3FFC0E28"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3B7FB8F" w14:textId="77777777" w:rsidR="00AA638D" w:rsidRPr="00A552C3" w:rsidRDefault="00AA638D" w:rsidP="00AA638D">
                  <w:pPr>
                    <w:spacing w:after="60"/>
                    <w:rPr>
                      <w:iCs/>
                      <w:sz w:val="20"/>
                    </w:rPr>
                  </w:pPr>
                  <w:r w:rsidRPr="00A552C3">
                    <w:rPr>
                      <w:iCs/>
                      <w:sz w:val="20"/>
                    </w:rPr>
                    <w:t xml:space="preserve">A Generation Resource or ESR that is located at the Facility with net metering.  </w:t>
                  </w:r>
                </w:p>
              </w:tc>
            </w:tr>
            <w:tr w:rsidR="00AA638D" w:rsidRPr="00A552C3" w14:paraId="0B91667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5084A538" w14:textId="77777777" w:rsidR="00AA638D" w:rsidRPr="00A552C3" w:rsidRDefault="00AA638D" w:rsidP="00AA638D">
                  <w:pPr>
                    <w:spacing w:after="60"/>
                    <w:rPr>
                      <w:i/>
                      <w:iCs/>
                      <w:sz w:val="20"/>
                    </w:rPr>
                  </w:pPr>
                  <w:r w:rsidRPr="00A552C3">
                    <w:rPr>
                      <w:i/>
                      <w:iCs/>
                      <w:sz w:val="20"/>
                    </w:rPr>
                    <w:t>q</w:t>
                  </w:r>
                </w:p>
              </w:tc>
              <w:tc>
                <w:tcPr>
                  <w:tcW w:w="826" w:type="dxa"/>
                  <w:tcBorders>
                    <w:top w:val="single" w:sz="4" w:space="0" w:color="auto"/>
                    <w:left w:val="single" w:sz="4" w:space="0" w:color="auto"/>
                    <w:bottom w:val="single" w:sz="4" w:space="0" w:color="auto"/>
                    <w:right w:val="single" w:sz="4" w:space="0" w:color="auto"/>
                  </w:tcBorders>
                  <w:hideMark/>
                </w:tcPr>
                <w:p w14:paraId="0BC33F25"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C5A3433" w14:textId="77777777" w:rsidR="00AA638D" w:rsidRPr="00A552C3" w:rsidRDefault="00AA638D" w:rsidP="00AA638D">
                  <w:pPr>
                    <w:spacing w:after="60"/>
                    <w:rPr>
                      <w:iCs/>
                      <w:sz w:val="20"/>
                    </w:rPr>
                  </w:pPr>
                  <w:r w:rsidRPr="00A552C3">
                    <w:rPr>
                      <w:iCs/>
                      <w:sz w:val="20"/>
                    </w:rPr>
                    <w:t>A QSE.</w:t>
                  </w:r>
                </w:p>
              </w:tc>
            </w:tr>
            <w:tr w:rsidR="00AA638D" w:rsidRPr="00A552C3" w14:paraId="47E7B4BC"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64159AB5" w14:textId="77777777" w:rsidR="00AA638D" w:rsidRPr="00A552C3" w:rsidRDefault="00AA638D" w:rsidP="00AA638D">
                  <w:pPr>
                    <w:spacing w:after="60"/>
                    <w:rPr>
                      <w:i/>
                      <w:iCs/>
                      <w:sz w:val="20"/>
                    </w:rPr>
                  </w:pPr>
                  <w:r w:rsidRPr="00A552C3">
                    <w:rPr>
                      <w:i/>
                      <w:iCs/>
                      <w:sz w:val="20"/>
                    </w:rPr>
                    <w:t>p</w:t>
                  </w:r>
                </w:p>
              </w:tc>
              <w:tc>
                <w:tcPr>
                  <w:tcW w:w="826" w:type="dxa"/>
                  <w:tcBorders>
                    <w:top w:val="single" w:sz="4" w:space="0" w:color="auto"/>
                    <w:left w:val="single" w:sz="4" w:space="0" w:color="auto"/>
                    <w:bottom w:val="single" w:sz="4" w:space="0" w:color="auto"/>
                    <w:right w:val="single" w:sz="4" w:space="0" w:color="auto"/>
                  </w:tcBorders>
                  <w:hideMark/>
                </w:tcPr>
                <w:p w14:paraId="2BDCEEAB"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5BCD296" w14:textId="77777777" w:rsidR="00AA638D" w:rsidRPr="00A552C3" w:rsidRDefault="00AA638D" w:rsidP="00AA638D">
                  <w:pPr>
                    <w:spacing w:after="60"/>
                    <w:rPr>
                      <w:iCs/>
                      <w:sz w:val="20"/>
                    </w:rPr>
                  </w:pPr>
                  <w:r w:rsidRPr="00A552C3">
                    <w:rPr>
                      <w:iCs/>
                      <w:sz w:val="20"/>
                    </w:rPr>
                    <w:t>A Resource Node Settlement Point.</w:t>
                  </w:r>
                </w:p>
              </w:tc>
            </w:tr>
          </w:tbl>
          <w:p w14:paraId="6C942F59" w14:textId="5160484C" w:rsidR="00F15CAD" w:rsidRPr="00B50DCB" w:rsidRDefault="00F15CAD" w:rsidP="00AA638D">
            <w:pPr>
              <w:widowControl w:val="0"/>
              <w:spacing w:before="240" w:after="120"/>
              <w:ind w:left="720" w:hanging="720"/>
            </w:pPr>
          </w:p>
        </w:tc>
      </w:tr>
    </w:tbl>
    <w:p w14:paraId="6D83F27A" w14:textId="56DD4CCD" w:rsidR="001F04FD" w:rsidRDefault="001F04FD" w:rsidP="001F04FD">
      <w:pPr>
        <w:pStyle w:val="BodyTextNumbered"/>
        <w:spacing w:before="240"/>
      </w:pPr>
      <w:r>
        <w:lastRenderedPageBreak/>
        <w:t>(6)</w:t>
      </w:r>
      <w:r>
        <w:tab/>
        <w:t>The total net payments and charges to each QSE for Energy Imbalance Service at all Resource Node Settlement Points for the 15-minute Settlement Interval is calculated as follows:</w:t>
      </w:r>
    </w:p>
    <w:p w14:paraId="79FA2C4D"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61654585">
          <v:shape id="_x0000_i1155" type="#_x0000_t75" style="width:12pt;height:18pt" o:ole="">
            <v:imagedata r:id="rId172" o:title=""/>
          </v:shape>
          <o:OLEObject Type="Embed" ProgID="Equation.3" ShapeID="_x0000_i1155" DrawAspect="Content" ObjectID="_1804653640" r:id="rId173"/>
        </w:object>
      </w:r>
      <w:r>
        <w:t xml:space="preserve"> RTEIAMT </w:t>
      </w:r>
      <w:r>
        <w:rPr>
          <w:i/>
          <w:vertAlign w:val="subscript"/>
        </w:rPr>
        <w:t>q, p</w:t>
      </w:r>
    </w:p>
    <w:p w14:paraId="0D827B17"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6E4FC206" w14:textId="77777777" w:rsidTr="00AC4DEE">
        <w:trPr>
          <w:cantSplit/>
          <w:tblHeader/>
        </w:trPr>
        <w:tc>
          <w:tcPr>
            <w:tcW w:w="2165" w:type="dxa"/>
          </w:tcPr>
          <w:p w14:paraId="61B8D13C" w14:textId="77777777" w:rsidR="001F04FD" w:rsidRDefault="001F04FD" w:rsidP="00AC4DEE">
            <w:pPr>
              <w:pStyle w:val="TableHead"/>
            </w:pPr>
            <w:r>
              <w:t>Variable</w:t>
            </w:r>
          </w:p>
        </w:tc>
        <w:tc>
          <w:tcPr>
            <w:tcW w:w="832" w:type="dxa"/>
          </w:tcPr>
          <w:p w14:paraId="0A3FC743" w14:textId="77777777" w:rsidR="001F04FD" w:rsidRDefault="001F04FD" w:rsidP="00AC4DEE">
            <w:pPr>
              <w:pStyle w:val="TableHead"/>
            </w:pPr>
            <w:r>
              <w:t>Unit</w:t>
            </w:r>
          </w:p>
        </w:tc>
        <w:tc>
          <w:tcPr>
            <w:tcW w:w="6074" w:type="dxa"/>
          </w:tcPr>
          <w:p w14:paraId="4BCC0E5C" w14:textId="77777777" w:rsidR="001F04FD" w:rsidRDefault="001F04FD" w:rsidP="00AC4DEE">
            <w:pPr>
              <w:pStyle w:val="TableHead"/>
            </w:pPr>
            <w:r>
              <w:t>Definition</w:t>
            </w:r>
          </w:p>
        </w:tc>
      </w:tr>
      <w:tr w:rsidR="001F04FD" w14:paraId="4A9D5B76" w14:textId="77777777" w:rsidTr="00AC4DEE">
        <w:trPr>
          <w:cantSplit/>
        </w:trPr>
        <w:tc>
          <w:tcPr>
            <w:tcW w:w="2165" w:type="dxa"/>
          </w:tcPr>
          <w:p w14:paraId="04D361E2" w14:textId="77777777" w:rsidR="001F04FD" w:rsidRDefault="001F04FD" w:rsidP="00AC4DEE">
            <w:pPr>
              <w:pStyle w:val="TableBody"/>
            </w:pPr>
            <w:r>
              <w:t xml:space="preserve">RTEIAMTQSETOT </w:t>
            </w:r>
            <w:r w:rsidRPr="00107CC2">
              <w:rPr>
                <w:i/>
                <w:vertAlign w:val="subscript"/>
              </w:rPr>
              <w:t>q</w:t>
            </w:r>
          </w:p>
        </w:tc>
        <w:tc>
          <w:tcPr>
            <w:tcW w:w="832" w:type="dxa"/>
          </w:tcPr>
          <w:p w14:paraId="3C5EDEC3" w14:textId="77777777" w:rsidR="001F04FD" w:rsidRDefault="001F04FD" w:rsidP="00AC4DEE">
            <w:pPr>
              <w:pStyle w:val="TableBody"/>
            </w:pPr>
            <w:r>
              <w:t>$</w:t>
            </w:r>
          </w:p>
        </w:tc>
        <w:tc>
          <w:tcPr>
            <w:tcW w:w="6074" w:type="dxa"/>
          </w:tcPr>
          <w:p w14:paraId="1E94B981"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35539610" w14:textId="77777777" w:rsidTr="00AC4DEE">
        <w:trPr>
          <w:cantSplit/>
        </w:trPr>
        <w:tc>
          <w:tcPr>
            <w:tcW w:w="2165" w:type="dxa"/>
          </w:tcPr>
          <w:p w14:paraId="11CA904B" w14:textId="77777777" w:rsidR="001F04FD" w:rsidRDefault="001F04FD" w:rsidP="00AC4DEE">
            <w:pPr>
              <w:pStyle w:val="TableBody"/>
            </w:pPr>
            <w:r>
              <w:t xml:space="preserve">RTEIAMT </w:t>
            </w:r>
            <w:r w:rsidRPr="00107CC2">
              <w:rPr>
                <w:i/>
                <w:vertAlign w:val="subscript"/>
              </w:rPr>
              <w:t>q, p</w:t>
            </w:r>
          </w:p>
        </w:tc>
        <w:tc>
          <w:tcPr>
            <w:tcW w:w="832" w:type="dxa"/>
          </w:tcPr>
          <w:p w14:paraId="230E393B" w14:textId="77777777" w:rsidR="001F04FD" w:rsidRDefault="001F04FD" w:rsidP="00AC4DEE">
            <w:pPr>
              <w:pStyle w:val="TableBody"/>
            </w:pPr>
            <w:r>
              <w:t>$</w:t>
            </w:r>
          </w:p>
        </w:tc>
        <w:tc>
          <w:tcPr>
            <w:tcW w:w="6074" w:type="dxa"/>
          </w:tcPr>
          <w:p w14:paraId="73B657CF"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281BEB12"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62B0B303" w14:textId="77777777" w:rsidR="001F04FD" w:rsidRPr="008E1CE8"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FD053B5"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6280385" w14:textId="77777777" w:rsidR="001F04FD" w:rsidRDefault="001F04FD" w:rsidP="00AC4DEE">
            <w:pPr>
              <w:pStyle w:val="TableBody"/>
            </w:pPr>
            <w:r>
              <w:t>A QSE.</w:t>
            </w:r>
          </w:p>
        </w:tc>
      </w:tr>
      <w:tr w:rsidR="001F04FD" w14:paraId="6CC45A06"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5215DEA4" w14:textId="77777777" w:rsidR="001F04FD" w:rsidRPr="008E1CE8" w:rsidRDefault="001F04FD" w:rsidP="00AC4DEE">
            <w:pPr>
              <w:pStyle w:val="TableBody"/>
              <w:rPr>
                <w:i/>
              </w:rPr>
            </w:pPr>
            <w:r w:rsidRPr="00D661BC">
              <w:rPr>
                <w:i/>
              </w:rPr>
              <w:t>p</w:t>
            </w:r>
          </w:p>
        </w:tc>
        <w:tc>
          <w:tcPr>
            <w:tcW w:w="832" w:type="dxa"/>
            <w:tcBorders>
              <w:top w:val="single" w:sz="4" w:space="0" w:color="auto"/>
              <w:left w:val="single" w:sz="4" w:space="0" w:color="auto"/>
              <w:bottom w:val="single" w:sz="4" w:space="0" w:color="auto"/>
              <w:right w:val="single" w:sz="4" w:space="0" w:color="auto"/>
            </w:tcBorders>
          </w:tcPr>
          <w:p w14:paraId="2C0B0FE6"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3F6DA79F" w14:textId="77777777" w:rsidR="001F04FD" w:rsidRDefault="001F04FD" w:rsidP="00AC4DEE">
            <w:pPr>
              <w:pStyle w:val="TableBody"/>
            </w:pPr>
            <w:r>
              <w:t>A Resource Node Settlement Point.</w:t>
            </w:r>
          </w:p>
        </w:tc>
      </w:tr>
    </w:tbl>
    <w:p w14:paraId="43BE7B29" w14:textId="77777777" w:rsidR="001F04FD" w:rsidRDefault="001F04FD" w:rsidP="001F04FD">
      <w:pPr>
        <w:pStyle w:val="H4"/>
        <w:spacing w:before="480"/>
        <w:ind w:left="1267" w:hanging="1267"/>
      </w:pPr>
      <w:bookmarkStart w:id="1865" w:name="_Toc397505014"/>
      <w:bookmarkStart w:id="1866" w:name="_Toc402357142"/>
      <w:bookmarkStart w:id="1867" w:name="_Toc422486520"/>
      <w:bookmarkStart w:id="1868" w:name="_Toc433093372"/>
      <w:bookmarkStart w:id="1869" w:name="_Toc433093530"/>
      <w:bookmarkStart w:id="1870" w:name="_Toc440874758"/>
      <w:bookmarkStart w:id="1871" w:name="_Toc448142313"/>
      <w:bookmarkStart w:id="1872" w:name="_Toc448142470"/>
      <w:bookmarkStart w:id="1873" w:name="_Toc458770311"/>
      <w:bookmarkStart w:id="1874" w:name="_Toc459294279"/>
      <w:bookmarkStart w:id="1875" w:name="_Toc463262772"/>
      <w:bookmarkStart w:id="1876" w:name="_Toc468286845"/>
      <w:bookmarkStart w:id="1877" w:name="_Toc481502888"/>
      <w:bookmarkStart w:id="1878" w:name="_Toc496080056"/>
      <w:bookmarkStart w:id="1879" w:name="_Toc189044413"/>
      <w:r>
        <w:lastRenderedPageBreak/>
        <w:t>6.6.3.2</w:t>
      </w:r>
      <w:r>
        <w:tab/>
        <w:t>Real-Time Energy Imbalance Payment or Charge at a Load Zone</w:t>
      </w:r>
      <w:bookmarkEnd w:id="1857"/>
      <w:bookmarkEnd w:id="1858"/>
      <w:bookmarkEnd w:id="1859"/>
      <w:bookmarkEnd w:id="1860"/>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7D87ABC8"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Load Zone Settlement Point: </w:t>
      </w:r>
    </w:p>
    <w:p w14:paraId="58D61A54" w14:textId="77777777" w:rsidR="001F04FD" w:rsidRDefault="001F04FD" w:rsidP="001F04FD">
      <w:pPr>
        <w:pStyle w:val="BodyTextNumbered"/>
        <w:ind w:left="1440"/>
      </w:pPr>
      <w:r>
        <w:t>(a)</w:t>
      </w:r>
      <w:r>
        <w:tab/>
        <w:t xml:space="preserve">The amount of its Self-Schedules with sink specified at the Settlement Point; plus </w:t>
      </w:r>
    </w:p>
    <w:p w14:paraId="28BD0054" w14:textId="77777777" w:rsidR="001F04FD" w:rsidRDefault="001F04FD" w:rsidP="001F04FD">
      <w:pPr>
        <w:pStyle w:val="BodyTextNumbered"/>
        <w:ind w:left="1440"/>
      </w:pPr>
      <w:r>
        <w:t>(b)</w:t>
      </w:r>
      <w:r>
        <w:tab/>
        <w:t xml:space="preserve">The amount of its DAM Energy Bids cleared in the DAM at the Settlement Point; plus </w:t>
      </w:r>
    </w:p>
    <w:p w14:paraId="75C25AFF" w14:textId="77777777" w:rsidR="001F04FD" w:rsidRDefault="001F04FD" w:rsidP="001F04FD">
      <w:pPr>
        <w:pStyle w:val="BodyTextNumbered"/>
        <w:ind w:left="1440"/>
      </w:pPr>
      <w:r>
        <w:t>(c)</w:t>
      </w:r>
      <w:r>
        <w:tab/>
        <w:t xml:space="preserve">The amount of its Energy Trades at the Settlement Point where the QSE is the buyer; minus </w:t>
      </w:r>
    </w:p>
    <w:p w14:paraId="3C29E997" w14:textId="77777777" w:rsidR="001F04FD" w:rsidRDefault="001F04FD" w:rsidP="001F04FD">
      <w:pPr>
        <w:pStyle w:val="BodyTextNumbered"/>
        <w:ind w:left="1440"/>
      </w:pPr>
      <w:r>
        <w:t>(d)</w:t>
      </w:r>
      <w:r>
        <w:tab/>
        <w:t xml:space="preserve">The amount of its Self-Schedules with source specified at the Settlement Point; minus </w:t>
      </w:r>
    </w:p>
    <w:p w14:paraId="2EF3108F" w14:textId="77777777" w:rsidR="001F04FD" w:rsidRDefault="001F04FD" w:rsidP="001F04FD">
      <w:pPr>
        <w:pStyle w:val="BodyTextNumbered"/>
        <w:ind w:left="1440"/>
      </w:pPr>
      <w:r>
        <w:t>(e)</w:t>
      </w:r>
      <w:r>
        <w:tab/>
        <w:t xml:space="preserve">The amount of its energy offers cleared in the DAM at the Settlement Point; minus </w:t>
      </w:r>
    </w:p>
    <w:p w14:paraId="3DCF1B76" w14:textId="77777777" w:rsidR="001F04FD" w:rsidRDefault="001F04FD" w:rsidP="001F04FD">
      <w:pPr>
        <w:pStyle w:val="BodyTextNumbered"/>
        <w:ind w:left="1440"/>
      </w:pPr>
      <w:r>
        <w:t>(f)</w:t>
      </w:r>
      <w:r>
        <w:tab/>
        <w:t xml:space="preserve">The amount of its Energy Trades at the Settlement Point where the QSE is the seller; minus </w:t>
      </w:r>
    </w:p>
    <w:p w14:paraId="4D5D4BB8" w14:textId="11F207E0" w:rsidR="001F04FD" w:rsidRDefault="001F04FD" w:rsidP="001F04FD">
      <w:pPr>
        <w:pStyle w:val="BodyTextNumbered"/>
        <w:ind w:left="1440"/>
      </w:pPr>
      <w:r>
        <w:t>(g)</w:t>
      </w:r>
      <w:r>
        <w:tab/>
        <w:t>Its AML at the Settlement Point</w:t>
      </w:r>
      <w:r w:rsidR="003963CD" w:rsidRPr="003963CD">
        <w:t xml:space="preserve"> </w:t>
      </w:r>
      <w:r w:rsidR="003963CD">
        <w:t>excluding Non-WSL ESR Charging Load</w:t>
      </w:r>
      <w:r>
        <w: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873" w14:paraId="58F10FFE" w14:textId="77777777" w:rsidTr="00632873">
        <w:trPr>
          <w:trHeight w:val="566"/>
        </w:trPr>
        <w:tc>
          <w:tcPr>
            <w:tcW w:w="9350" w:type="dxa"/>
            <w:shd w:val="pct12" w:color="auto" w:fill="auto"/>
          </w:tcPr>
          <w:p w14:paraId="180101FD" w14:textId="33E21669" w:rsidR="00632873" w:rsidRDefault="00632873" w:rsidP="00F5593C">
            <w:pPr>
              <w:pStyle w:val="Instructions"/>
              <w:spacing w:before="60"/>
            </w:pPr>
            <w:r>
              <w:t>[NPRR1188:  Replace item (g) above with the following upon system implementation:]</w:t>
            </w:r>
          </w:p>
          <w:p w14:paraId="79B61282" w14:textId="250141B0" w:rsidR="00632873" w:rsidRPr="008E2BE2" w:rsidRDefault="00632873" w:rsidP="00632873">
            <w:pPr>
              <w:spacing w:after="240"/>
              <w:ind w:left="1440" w:hanging="720"/>
            </w:pPr>
            <w:r w:rsidRPr="00812ECB">
              <w:t>(g)</w:t>
            </w:r>
            <w:r w:rsidRPr="00812ECB">
              <w:tab/>
              <w:t>Its AML at the Settlement Point excluding Non-WSL ESR Charging Load and CLR Load of a CLR (that is not an ALR); plus</w:t>
            </w:r>
          </w:p>
        </w:tc>
      </w:tr>
    </w:tbl>
    <w:p w14:paraId="25A6A974" w14:textId="4789CAED" w:rsidR="000E55F3" w:rsidRPr="005356B7" w:rsidRDefault="001F04FD" w:rsidP="004116AE">
      <w:pPr>
        <w:spacing w:before="240" w:after="240"/>
        <w:ind w:left="1440" w:hanging="720"/>
      </w:pPr>
      <w:r>
        <w:t>(h)</w:t>
      </w:r>
      <w:r>
        <w:tab/>
      </w:r>
      <w:r w:rsidR="000E55F3" w:rsidRPr="005356B7">
        <w:t>The aggregated generation of its Settlement Only Transmission Self-Generators (SOTSGs) at the Settlement Point.  SOTSG sites will be represented as a single unit in the ERCOT Settlement system.</w:t>
      </w:r>
      <w:r w:rsidR="001C0176">
        <w:t>; plus</w:t>
      </w:r>
    </w:p>
    <w:p w14:paraId="0F2EA11F" w14:textId="0C532EC7" w:rsidR="001F04FD" w:rsidRDefault="000E55F3" w:rsidP="00776B44">
      <w:pPr>
        <w:spacing w:after="240"/>
        <w:ind w:left="1440" w:hanging="720"/>
      </w:pPr>
      <w:r w:rsidRPr="005356B7">
        <w:t>(i)        The aggregated generation of its Settlement Only Distribution Generators (SODGs) and Settlement Only Transmission Generators (SOTGs) that have elected to retain Load Zone pricing in accordance with Section 6.6.3.</w:t>
      </w:r>
      <w:r w:rsidR="00720B34">
        <w:t>8</w:t>
      </w:r>
      <w:r w:rsidRPr="005356B7">
        <w:t>, Real-Time Payment or Charge for Energy from a Settlement Only Distribution Generator (SODG) or a Settlement Only Transmission Generator (SOTG).  SODG and SOTG sites will be represented as a single unit in the ERCOT Settlement system</w:t>
      </w:r>
      <w:r w:rsidR="001C0176">
        <w:t>; plus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D13EE" w14:paraId="5B4B429D" w14:textId="77777777" w:rsidTr="00BE136C">
        <w:trPr>
          <w:trHeight w:val="566"/>
        </w:trPr>
        <w:tc>
          <w:tcPr>
            <w:tcW w:w="9350" w:type="dxa"/>
            <w:shd w:val="pct12" w:color="auto" w:fill="auto"/>
          </w:tcPr>
          <w:p w14:paraId="0AE7DC7C" w14:textId="5BFDE3CE" w:rsidR="00AD13EE" w:rsidRDefault="00AD13EE" w:rsidP="00A16AF1">
            <w:pPr>
              <w:pStyle w:val="Instructions"/>
              <w:spacing w:before="60"/>
            </w:pPr>
            <w:r>
              <w:t>[</w:t>
            </w:r>
            <w:r w:rsidR="00B44DD8">
              <w:t>NPRR995</w:t>
            </w:r>
            <w:r>
              <w:t>:  Replace</w:t>
            </w:r>
            <w:r w:rsidR="006465B2">
              <w:t xml:space="preserve"> </w:t>
            </w:r>
            <w:r w:rsidR="00BE136C">
              <w:t xml:space="preserve">paragraph </w:t>
            </w:r>
            <w:r>
              <w:t>(</w:t>
            </w:r>
            <w:r w:rsidR="00BE136C">
              <w:t>i</w:t>
            </w:r>
            <w:r>
              <w:t>) above with the following upon system implementation:]</w:t>
            </w:r>
          </w:p>
          <w:p w14:paraId="7C6C216D" w14:textId="0F9FBE71" w:rsidR="007332D0" w:rsidRPr="008E2BE2" w:rsidRDefault="00DE74B1" w:rsidP="00925E7F">
            <w:pPr>
              <w:spacing w:after="240"/>
              <w:ind w:left="1440" w:hanging="720"/>
            </w:pPr>
            <w:r>
              <w:t xml:space="preserve">(i)        </w:t>
            </w:r>
            <w:r w:rsidRPr="00612551">
              <w:t>The aggregated generation of its</w:t>
            </w:r>
            <w:r>
              <w:t xml:space="preserve"> Settlement Only Distribution Generators (</w:t>
            </w:r>
            <w:r w:rsidRPr="00E07775">
              <w:t>SODGs</w:t>
            </w:r>
            <w:r>
              <w:t>) and Settlement Only Transmission Generators (</w:t>
            </w:r>
            <w:r w:rsidRPr="00E07775">
              <w:t>SOTGs</w:t>
            </w:r>
            <w:r>
              <w:t xml:space="preserve">) that have </w:t>
            </w:r>
            <w:r>
              <w:lastRenderedPageBreak/>
              <w:t xml:space="preserve">elected to retain Load Zone pricing in accordance with </w:t>
            </w:r>
            <w:r w:rsidRPr="006F3F86">
              <w:t>Section 6.6.3.</w:t>
            </w:r>
            <w:r w:rsidR="0076227F">
              <w:t>8</w:t>
            </w:r>
            <w:r>
              <w:t xml:space="preserve">, </w:t>
            </w:r>
            <w:r w:rsidRPr="00DE74B1">
              <w:t>Real-Time Payment or Charge for Energy from a Settlement Only Distribution Generator (SODG)</w:t>
            </w:r>
            <w:r w:rsidR="00341E22">
              <w:t>,</w:t>
            </w:r>
            <w:r w:rsidRPr="00DE74B1">
              <w:t xml:space="preserve"> Settlement Only Transmission Generator (SOTG)</w:t>
            </w:r>
            <w:r w:rsidR="00341E22">
              <w:t>, Settlement Only Distribution Energy Storage System (SODESS), or Settlement Only Transmission Energy Storage System (SOTESS)</w:t>
            </w:r>
            <w:r>
              <w:t>.  SODG</w:t>
            </w:r>
            <w:r w:rsidR="00341E22">
              <w:t>,</w:t>
            </w:r>
            <w:r>
              <w:t xml:space="preserve"> SOTG</w:t>
            </w:r>
            <w:r w:rsidR="006465B2">
              <w:t>, Settlement Only Distribution Energy Storage System (SODESS), and Settlement Only Transmission Energy Storage System (SOTESS)</w:t>
            </w:r>
            <w:r>
              <w:t xml:space="preserve"> sites will be represented as a single unit in the ERCOT Settlement system</w:t>
            </w:r>
            <w:r w:rsidR="001C0176">
              <w:t>; plus</w:t>
            </w:r>
          </w:p>
        </w:tc>
      </w:tr>
    </w:tbl>
    <w:p w14:paraId="3DA9229F" w14:textId="77777777" w:rsidR="00BE136C" w:rsidRDefault="00BE136C" w:rsidP="00BE136C">
      <w:pPr>
        <w:spacing w:before="240" w:after="240"/>
        <w:ind w:left="1440" w:hanging="720"/>
      </w:pPr>
      <w:r>
        <w:lastRenderedPageBreak/>
        <w:t>(j)        The aggregated generation of its Energy Storage System (ESS) SODGs and SOTGs at sites where the ESS capacity constitutes more than 50% of the total SODG or SOTG nameplate capacity, as confirmed by an affidavit submitted by the Resource Entity for the site.  SODG and SOTG sites will be represented as a single unit in the ERCOT Settlement system.</w:t>
      </w:r>
    </w:p>
    <w:p w14:paraId="71477027" w14:textId="54AAF5EB" w:rsidR="001F04FD" w:rsidRPr="000149E5" w:rsidRDefault="001F04FD" w:rsidP="008D7D6C">
      <w:pPr>
        <w:pStyle w:val="BodyTextNumbered"/>
        <w:spacing w:before="240"/>
        <w:rPr>
          <w:iCs/>
        </w:rPr>
      </w:pPr>
      <w:r w:rsidRPr="000149E5">
        <w:rPr>
          <w:iCs/>
        </w:rPr>
        <w:t>(2)</w:t>
      </w:r>
      <w:r w:rsidRPr="000149E5">
        <w:rPr>
          <w:iCs/>
        </w:rPr>
        <w:tab/>
        <w:t>The payment or charge to each QSE for Energy Imbalance Service at a Load Zone for a given 15-minute Settlement Interval is calculated as follows:</w:t>
      </w:r>
    </w:p>
    <w:p w14:paraId="5CA67051" w14:textId="560687F6" w:rsidR="001F04FD" w:rsidRPr="00D12728" w:rsidRDefault="001F04FD" w:rsidP="001F04FD">
      <w:pPr>
        <w:pStyle w:val="FormulaBold"/>
        <w:ind w:left="3150" w:hanging="2430"/>
        <w:rPr>
          <w:sz w:val="32"/>
        </w:rPr>
      </w:pPr>
      <w:r>
        <w:t xml:space="preserve">RTEIAMT </w:t>
      </w:r>
      <w:r w:rsidRPr="00D12728">
        <w:rPr>
          <w:i/>
          <w:vertAlign w:val="subscript"/>
        </w:rPr>
        <w:t>q, p</w:t>
      </w:r>
      <w:r>
        <w:tab/>
        <w:t>=</w:t>
      </w:r>
      <w:r>
        <w:tab/>
        <w:t xml:space="preserve">(-1) * </w:t>
      </w:r>
      <w:r w:rsidRPr="00D12728">
        <w:rPr>
          <w:sz w:val="32"/>
        </w:rPr>
        <w:t>{[</w:t>
      </w:r>
      <w:r>
        <w:t xml:space="preserve">RTSPP </w:t>
      </w:r>
      <w:r w:rsidRPr="00D12728">
        <w:rPr>
          <w:i/>
          <w:vertAlign w:val="subscript"/>
        </w:rPr>
        <w:t>p</w:t>
      </w:r>
      <w:r>
        <w:t xml:space="preserve"> * [(SSSK </w:t>
      </w:r>
      <w:r w:rsidRPr="00D12728">
        <w:rPr>
          <w:i/>
          <w:vertAlign w:val="subscript"/>
        </w:rPr>
        <w:t>q, p</w:t>
      </w:r>
      <w:r>
        <w:t xml:space="preserve"> * ¼) + (DAEP </w:t>
      </w:r>
      <w:r w:rsidRPr="00D12728">
        <w:rPr>
          <w:i/>
          <w:vertAlign w:val="subscript"/>
        </w:rPr>
        <w:t>q, p</w:t>
      </w:r>
      <w:r>
        <w:t xml:space="preserve"> * ¼) + (RTQQEP </w:t>
      </w:r>
      <w:r w:rsidRPr="00D12728">
        <w:rPr>
          <w:i/>
          <w:vertAlign w:val="subscript"/>
        </w:rPr>
        <w:t>q, p</w:t>
      </w:r>
      <w:r>
        <w:t xml:space="preserve"> * ¼) – (SSSR </w:t>
      </w:r>
      <w:r w:rsidRPr="00D12728">
        <w:rPr>
          <w:i/>
          <w:vertAlign w:val="subscript"/>
        </w:rPr>
        <w:t>q, p</w:t>
      </w:r>
      <w:r>
        <w:t xml:space="preserve"> * ¼) – (DAES </w:t>
      </w:r>
      <w:r w:rsidRPr="00D12728">
        <w:rPr>
          <w:i/>
          <w:vertAlign w:val="subscript"/>
        </w:rPr>
        <w:t>q, p</w:t>
      </w:r>
      <w:r>
        <w:t xml:space="preserve"> * ¼) – (RTQQES </w:t>
      </w:r>
      <w:r w:rsidRPr="00D12728">
        <w:rPr>
          <w:i/>
          <w:vertAlign w:val="subscript"/>
        </w:rPr>
        <w:t>q, p</w:t>
      </w:r>
      <w:r>
        <w:t xml:space="preserve"> * ¼)]</w:t>
      </w:r>
      <w:r w:rsidRPr="00D12728">
        <w:rPr>
          <w:sz w:val="32"/>
          <w:szCs w:val="32"/>
        </w:rPr>
        <w:t xml:space="preserve">] </w:t>
      </w:r>
      <w:r>
        <w:t xml:space="preserve">+ </w:t>
      </w:r>
      <w:r w:rsidRPr="00D12728">
        <w:rPr>
          <w:sz w:val="32"/>
        </w:rPr>
        <w:t>[</w:t>
      </w:r>
      <w:r w:rsidRPr="003963CD">
        <w:t>RTSPPEW</w:t>
      </w:r>
      <w:r w:rsidRPr="003963CD">
        <w:rPr>
          <w:i/>
          <w:vertAlign w:val="subscript"/>
        </w:rPr>
        <w:t xml:space="preserve"> p</w:t>
      </w:r>
      <w:r w:rsidRPr="003963CD">
        <w:t xml:space="preserve"> * (RTMG</w:t>
      </w:r>
      <w:r w:rsidR="00BE136C">
        <w:t>SOGZ</w:t>
      </w:r>
      <w:r w:rsidRPr="003963CD">
        <w:t xml:space="preserve"> </w:t>
      </w:r>
      <w:r w:rsidRPr="003963CD">
        <w:rPr>
          <w:i/>
          <w:vertAlign w:val="subscript"/>
        </w:rPr>
        <w:t>q, p</w:t>
      </w:r>
      <w:r w:rsidRPr="003963CD">
        <w:t xml:space="preserve"> – </w:t>
      </w:r>
      <w:r w:rsidR="003963CD">
        <w:t>(</w:t>
      </w:r>
      <w:r w:rsidRPr="003963CD">
        <w:t xml:space="preserve">RTAML </w:t>
      </w:r>
      <w:r w:rsidRPr="003963CD">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sidRPr="003963CD">
        <w:t>)</w:t>
      </w:r>
      <w:r w:rsidRPr="003963CD">
        <w:rPr>
          <w:sz w:val="28"/>
          <w:szCs w:val="28"/>
        </w:rPr>
        <w:t>]</w:t>
      </w:r>
      <w:r w:rsidRPr="003963CD">
        <w:rPr>
          <w:sz w:val="32"/>
        </w:rPr>
        <w:t>}</w:t>
      </w:r>
      <w:r w:rsidRPr="00D12728">
        <w:rPr>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5421604C" w14:textId="77777777" w:rsidTr="008B123E">
        <w:trPr>
          <w:trHeight w:val="206"/>
        </w:trPr>
        <w:tc>
          <w:tcPr>
            <w:tcW w:w="9576" w:type="dxa"/>
            <w:shd w:val="pct12" w:color="auto" w:fill="auto"/>
          </w:tcPr>
          <w:p w14:paraId="782FBFD8" w14:textId="3E43243E" w:rsidR="007C0BC2" w:rsidRDefault="007C0BC2" w:rsidP="008B123E">
            <w:pPr>
              <w:pStyle w:val="Instructions"/>
              <w:spacing w:before="120"/>
            </w:pPr>
            <w:r>
              <w:t>[</w:t>
            </w:r>
            <w:r w:rsidR="00341E22">
              <w:t>NPRR995</w:t>
            </w:r>
            <w:r w:rsidR="001C0176">
              <w:t xml:space="preserve"> and NPRR1188</w:t>
            </w:r>
            <w:r>
              <w:t xml:space="preserve">:  Replace </w:t>
            </w:r>
            <w:r w:rsidR="001C0176">
              <w:t xml:space="preserve">applicable portions of </w:t>
            </w:r>
            <w:r>
              <w:t>the formula “</w:t>
            </w:r>
            <w:r w:rsidRPr="007C0BC2">
              <w:t xml:space="preserve">RTEIAMT </w:t>
            </w:r>
            <w:r w:rsidRPr="007C0BC2">
              <w:rPr>
                <w:vertAlign w:val="subscript"/>
              </w:rPr>
              <w:t>q, p</w:t>
            </w:r>
            <w:r>
              <w:t>” above with the following upon system implementation:]</w:t>
            </w:r>
          </w:p>
          <w:p w14:paraId="5ADFBB4D" w14:textId="7E697A82" w:rsidR="007C0BC2" w:rsidRPr="007C0BC2" w:rsidRDefault="007C0BC2" w:rsidP="007C0BC2">
            <w:pPr>
              <w:tabs>
                <w:tab w:val="left" w:pos="2250"/>
                <w:tab w:val="left" w:pos="3150"/>
                <w:tab w:val="left" w:pos="3960"/>
              </w:tabs>
              <w:spacing w:after="240"/>
              <w:ind w:left="3150" w:hanging="2430"/>
              <w:rPr>
                <w:b/>
                <w:bCs/>
                <w:sz w:val="32"/>
              </w:rPr>
            </w:pPr>
            <w:r w:rsidRPr="00FC2D6A">
              <w:rPr>
                <w:b/>
                <w:bCs/>
              </w:rPr>
              <w:t xml:space="preserve">RTEIAMT </w:t>
            </w:r>
            <w:r w:rsidRPr="00FC2D6A">
              <w:rPr>
                <w:b/>
                <w:bCs/>
                <w:i/>
                <w:vertAlign w:val="subscript"/>
              </w:rPr>
              <w:t>q, p</w:t>
            </w:r>
            <w:r w:rsidRPr="00FC2D6A">
              <w:rPr>
                <w:b/>
                <w:bCs/>
              </w:rPr>
              <w:tab/>
              <w:t>=</w:t>
            </w:r>
            <w:r w:rsidRPr="00FC2D6A">
              <w:rPr>
                <w:b/>
                <w:bCs/>
              </w:rPr>
              <w:tab/>
              <w:t xml:space="preserve">(-1) * </w:t>
            </w:r>
            <w:r w:rsidRPr="00FC2D6A">
              <w:rPr>
                <w:b/>
                <w:bCs/>
                <w:sz w:val="32"/>
              </w:rPr>
              <w:t>{[</w:t>
            </w:r>
            <w:r w:rsidRPr="00FC2D6A">
              <w:rPr>
                <w:b/>
                <w:bCs/>
              </w:rPr>
              <w:t xml:space="preserve">RTSPP </w:t>
            </w:r>
            <w:r w:rsidRPr="00FC2D6A">
              <w:rPr>
                <w:b/>
                <w:bCs/>
                <w:i/>
                <w:vertAlign w:val="subscript"/>
              </w:rPr>
              <w:t>p</w:t>
            </w:r>
            <w:r w:rsidRPr="00FC2D6A">
              <w:rPr>
                <w:b/>
                <w:bCs/>
              </w:rPr>
              <w:t xml:space="preserve"> * [(SSSK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w:t>
            </w:r>
            <w:r w:rsidRPr="00FC2D6A">
              <w:rPr>
                <w:b/>
                <w:bCs/>
                <w:sz w:val="32"/>
                <w:szCs w:val="32"/>
              </w:rPr>
              <w:t xml:space="preserve">] </w:t>
            </w:r>
            <w:r w:rsidRPr="00FC2D6A">
              <w:rPr>
                <w:b/>
                <w:bCs/>
              </w:rPr>
              <w:t xml:space="preserve">+ </w:t>
            </w:r>
            <w:r w:rsidRPr="00FC2D6A">
              <w:rPr>
                <w:b/>
                <w:bCs/>
                <w:sz w:val="32"/>
              </w:rPr>
              <w:t>[</w:t>
            </w:r>
            <w:r w:rsidRPr="00FC2D6A">
              <w:rPr>
                <w:b/>
                <w:bCs/>
              </w:rPr>
              <w:t>RTSPPEW</w:t>
            </w:r>
            <w:r w:rsidRPr="00FC2D6A">
              <w:rPr>
                <w:b/>
                <w:bCs/>
                <w:i/>
                <w:vertAlign w:val="subscript"/>
              </w:rPr>
              <w:t xml:space="preserve"> p</w:t>
            </w:r>
            <w:r w:rsidRPr="00FC2D6A">
              <w:rPr>
                <w:b/>
                <w:bCs/>
              </w:rPr>
              <w:t xml:space="preserve"> * (RTMG</w:t>
            </w:r>
            <w:r>
              <w:rPr>
                <w:b/>
                <w:bCs/>
              </w:rPr>
              <w:t>SOGZ</w:t>
            </w:r>
            <w:r w:rsidRPr="00FC2D6A">
              <w:rPr>
                <w:b/>
                <w:bCs/>
              </w:rPr>
              <w:t xml:space="preserve"> </w:t>
            </w:r>
            <w:r w:rsidRPr="00FC2D6A">
              <w:rPr>
                <w:b/>
                <w:bCs/>
                <w:i/>
                <w:vertAlign w:val="subscript"/>
              </w:rPr>
              <w:t>q, p</w:t>
            </w:r>
            <w:r w:rsidRPr="00FC2D6A">
              <w:rPr>
                <w:b/>
                <w:bCs/>
              </w:rPr>
              <w:t xml:space="preserve"> – </w:t>
            </w:r>
            <w:r w:rsidR="008050FF">
              <w:rPr>
                <w:b/>
                <w:bCs/>
              </w:rPr>
              <w:t>(</w:t>
            </w:r>
            <w:r w:rsidRPr="00FC2D6A">
              <w:rPr>
                <w:b/>
                <w:bCs/>
              </w:rPr>
              <w:t xml:space="preserve">RTAML </w:t>
            </w:r>
            <w:r w:rsidRPr="00FC2D6A">
              <w:rPr>
                <w:b/>
                <w:bCs/>
                <w:i/>
                <w:vertAlign w:val="subscript"/>
              </w:rPr>
              <w:t>q, p</w:t>
            </w:r>
            <w:r w:rsidR="008050FF">
              <w:rPr>
                <w:b/>
                <w:bCs/>
              </w:rPr>
              <w:t xml:space="preserve"> </w:t>
            </w:r>
            <w:r w:rsidR="001C0176" w:rsidRPr="00812ECB">
              <w:rPr>
                <w:b/>
                <w:bCs/>
              </w:rPr>
              <w:t xml:space="preserve">– RTAMLCLRL </w:t>
            </w:r>
            <w:r w:rsidR="001C0176" w:rsidRPr="00812ECB">
              <w:rPr>
                <w:b/>
                <w:bCs/>
                <w:i/>
                <w:vertAlign w:val="subscript"/>
              </w:rPr>
              <w:t>q, p</w:t>
            </w:r>
            <w:r w:rsidR="001C0176" w:rsidRPr="00812ECB">
              <w:rPr>
                <w:b/>
                <w:bCs/>
              </w:rPr>
              <w:t xml:space="preserve"> </w:t>
            </w:r>
            <w:r w:rsidR="008050FF" w:rsidRPr="00913E6F">
              <w:rPr>
                <w:b/>
                <w:bCs/>
              </w:rPr>
              <w:t>–</w:t>
            </w:r>
            <w:r w:rsidR="008050FF">
              <w:rPr>
                <w:b/>
                <w:bCs/>
              </w:rPr>
              <w:t xml:space="preserve"> RTAMLESRNW </w:t>
            </w:r>
            <w:r w:rsidR="008050FF" w:rsidRPr="00913E6F">
              <w:rPr>
                <w:b/>
                <w:bCs/>
                <w:i/>
                <w:vertAlign w:val="subscript"/>
              </w:rPr>
              <w:t>q, p</w:t>
            </w:r>
            <w:r w:rsidR="00341E22">
              <w:rPr>
                <w:b/>
                <w:bCs/>
              </w:rPr>
              <w:t xml:space="preserve"> – RTAMLNWSOL </w:t>
            </w:r>
            <w:r w:rsidR="00341E22">
              <w:rPr>
                <w:b/>
                <w:bCs/>
                <w:i/>
                <w:vertAlign w:val="subscript"/>
              </w:rPr>
              <w:t>q, p</w:t>
            </w:r>
            <w:r w:rsidRPr="00FC2D6A">
              <w:rPr>
                <w:b/>
                <w:bCs/>
              </w:rPr>
              <w:t>)</w:t>
            </w:r>
            <w:r w:rsidR="008050FF">
              <w:rPr>
                <w:b/>
                <w:bCs/>
              </w:rPr>
              <w:t>)</w:t>
            </w:r>
            <w:r w:rsidRPr="00FC2D6A">
              <w:rPr>
                <w:b/>
                <w:bCs/>
                <w:sz w:val="28"/>
                <w:szCs w:val="28"/>
              </w:rPr>
              <w:t>]</w:t>
            </w:r>
            <w:r>
              <w:rPr>
                <w:b/>
                <w:bCs/>
                <w:sz w:val="32"/>
              </w:rPr>
              <w:t xml:space="preserve">} </w:t>
            </w:r>
          </w:p>
        </w:tc>
      </w:tr>
    </w:tbl>
    <w:p w14:paraId="1F782FF5" w14:textId="77777777" w:rsidR="001F04FD" w:rsidRPr="00D12728" w:rsidRDefault="001F04FD" w:rsidP="004A39F9">
      <w:pPr>
        <w:pStyle w:val="FormulaBold"/>
        <w:spacing w:before="240"/>
        <w:ind w:left="3150" w:hanging="2430"/>
        <w:rPr>
          <w:b w:val="0"/>
        </w:rPr>
      </w:pPr>
      <w:r w:rsidRPr="00D12728">
        <w:rPr>
          <w:b w:val="0"/>
        </w:rPr>
        <w:t>And</w:t>
      </w:r>
    </w:p>
    <w:p w14:paraId="60D49681" w14:textId="1AFC610E" w:rsidR="001F04FD" w:rsidRDefault="001F04FD" w:rsidP="001F04FD">
      <w:pPr>
        <w:pStyle w:val="FormulaBold"/>
        <w:ind w:left="3150" w:hanging="2430"/>
        <w:rPr>
          <w:sz w:val="32"/>
        </w:rPr>
      </w:pPr>
      <w:r>
        <w:t>LZIMBAL</w:t>
      </w:r>
      <w:r w:rsidRPr="00D17F07">
        <w:rPr>
          <w:i/>
          <w:vertAlign w:val="subscript"/>
        </w:rPr>
        <w:t xml:space="preserve"> </w:t>
      </w:r>
      <w:r w:rsidR="007C0BC2">
        <w:rPr>
          <w:i/>
          <w:vertAlign w:val="subscript"/>
        </w:rPr>
        <w:t>q, p</w:t>
      </w:r>
      <w:r w:rsidR="007C0BC2">
        <w:rPr>
          <w:i/>
          <w:vertAlign w:val="subscript"/>
        </w:rPr>
        <w:tab/>
        <w:t>=</w:t>
      </w:r>
      <w:r w:rsidR="007C0BC2">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 – </w:t>
      </w:r>
      <w:r w:rsidR="003963CD">
        <w:t>(</w:t>
      </w:r>
      <w:r>
        <w:t xml:space="preserve">RTAML </w:t>
      </w:r>
      <w:r>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Pr>
          <w:sz w:val="32"/>
        </w:rPr>
        <w:t xml:space="preserve"> </w:t>
      </w:r>
      <w:r>
        <w:t>+ RTMG</w:t>
      </w:r>
      <w:r w:rsidR="00BE136C">
        <w:t>SOGZ</w:t>
      </w:r>
      <w:r>
        <w:t xml:space="preserve"> </w:t>
      </w:r>
      <w:r>
        <w:rPr>
          <w:i/>
          <w:vertAlign w:val="subscript"/>
        </w:rPr>
        <w:t>q, 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3A4D6ABA" w14:textId="77777777" w:rsidTr="008B123E">
        <w:trPr>
          <w:trHeight w:val="206"/>
        </w:trPr>
        <w:tc>
          <w:tcPr>
            <w:tcW w:w="9576" w:type="dxa"/>
            <w:shd w:val="pct12" w:color="auto" w:fill="auto"/>
          </w:tcPr>
          <w:p w14:paraId="569EBE29" w14:textId="5FE59DDC" w:rsidR="007C0BC2" w:rsidRDefault="007C0BC2" w:rsidP="008B123E">
            <w:pPr>
              <w:pStyle w:val="Instructions"/>
              <w:spacing w:before="120"/>
            </w:pPr>
            <w:r>
              <w:t>[</w:t>
            </w:r>
            <w:r w:rsidR="00341E22">
              <w:t>NPRR995</w:t>
            </w:r>
            <w:r w:rsidR="001C0176">
              <w:t xml:space="preserve"> and NPRR1188</w:t>
            </w:r>
            <w:r>
              <w:t>:  Replace</w:t>
            </w:r>
            <w:r w:rsidR="001C0176">
              <w:t xml:space="preserve"> applicable portions of</w:t>
            </w:r>
            <w:r w:rsidR="00341E22">
              <w:t xml:space="preserve"> </w:t>
            </w:r>
            <w:r>
              <w:t>the formula “</w:t>
            </w:r>
            <w:r w:rsidRPr="007C0BC2">
              <w:t>LZIMBAL</w:t>
            </w:r>
            <w:r w:rsidRPr="007C0BC2">
              <w:rPr>
                <w:vertAlign w:val="subscript"/>
              </w:rPr>
              <w:t xml:space="preserve"> q, p</w:t>
            </w:r>
            <w:r>
              <w:t>” above with the following upon system implementation:]</w:t>
            </w:r>
          </w:p>
          <w:p w14:paraId="22F208EE" w14:textId="5D762D41" w:rsidR="007C0BC2" w:rsidRPr="007C0BC2" w:rsidRDefault="007C0BC2" w:rsidP="007C0BC2">
            <w:pPr>
              <w:tabs>
                <w:tab w:val="left" w:pos="2250"/>
                <w:tab w:val="left" w:pos="3150"/>
                <w:tab w:val="left" w:pos="3960"/>
              </w:tabs>
              <w:spacing w:after="240"/>
              <w:ind w:left="3150" w:hanging="2430"/>
              <w:rPr>
                <w:b/>
                <w:bCs/>
                <w:sz w:val="32"/>
              </w:rPr>
            </w:pPr>
            <w:r w:rsidRPr="00FC2D6A">
              <w:rPr>
                <w:b/>
                <w:bCs/>
              </w:rPr>
              <w:lastRenderedPageBreak/>
              <w:t>LZIMBAL</w:t>
            </w:r>
            <w:r>
              <w:rPr>
                <w:b/>
                <w:bCs/>
                <w:i/>
                <w:vertAlign w:val="subscript"/>
              </w:rPr>
              <w:t xml:space="preserve"> q, p</w:t>
            </w:r>
            <w:r>
              <w:rPr>
                <w:b/>
                <w:bCs/>
                <w:i/>
                <w:vertAlign w:val="subscript"/>
              </w:rPr>
              <w:tab/>
              <w:t>=</w:t>
            </w:r>
            <w:r>
              <w:rPr>
                <w:b/>
                <w:bCs/>
                <w:i/>
                <w:vertAlign w:val="subscript"/>
              </w:rPr>
              <w:tab/>
            </w:r>
            <w:r w:rsidRPr="00FC2D6A">
              <w:rPr>
                <w:b/>
                <w:bCs/>
              </w:rPr>
              <w:t xml:space="preserve">(SSSK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 – </w:t>
            </w:r>
            <w:r w:rsidR="008050FF">
              <w:rPr>
                <w:b/>
                <w:bCs/>
              </w:rPr>
              <w:t>(</w:t>
            </w:r>
            <w:r w:rsidRPr="00FC2D6A">
              <w:rPr>
                <w:b/>
                <w:bCs/>
              </w:rPr>
              <w:t xml:space="preserve">RTAML </w:t>
            </w:r>
            <w:r w:rsidRPr="00FC2D6A">
              <w:rPr>
                <w:b/>
                <w:bCs/>
                <w:i/>
                <w:vertAlign w:val="subscript"/>
              </w:rPr>
              <w:t>q, p</w:t>
            </w:r>
            <w:r w:rsidRPr="00FC2D6A">
              <w:rPr>
                <w:b/>
                <w:bCs/>
                <w:sz w:val="32"/>
              </w:rPr>
              <w:t xml:space="preserve"> </w:t>
            </w:r>
            <w:r w:rsidR="001C0176" w:rsidRPr="00812ECB">
              <w:rPr>
                <w:b/>
                <w:bCs/>
              </w:rPr>
              <w:t xml:space="preserve">– RTAMLCLRL </w:t>
            </w:r>
            <w:r w:rsidR="001C0176" w:rsidRPr="00812ECB">
              <w:rPr>
                <w:b/>
                <w:bCs/>
                <w:i/>
                <w:vertAlign w:val="subscript"/>
              </w:rPr>
              <w:t>q, p</w:t>
            </w:r>
            <w:r w:rsidR="001C0176" w:rsidRPr="00812ECB">
              <w:rPr>
                <w:b/>
                <w:bCs/>
              </w:rPr>
              <w:t xml:space="preserve"> </w:t>
            </w:r>
            <w:r w:rsidR="008050FF" w:rsidRPr="00FC2D6A">
              <w:rPr>
                <w:b/>
                <w:bCs/>
              </w:rPr>
              <w:t>–</w:t>
            </w:r>
            <w:r w:rsidR="008050FF" w:rsidRPr="00850E71">
              <w:rPr>
                <w:b/>
                <w:bCs/>
                <w:i/>
              </w:rPr>
              <w:t xml:space="preserve"> </w:t>
            </w:r>
            <w:r w:rsidR="008050FF">
              <w:rPr>
                <w:b/>
                <w:bCs/>
              </w:rPr>
              <w:t xml:space="preserve">RTAMLESRNW </w:t>
            </w:r>
            <w:r w:rsidR="008050FF" w:rsidRPr="00913E6F">
              <w:rPr>
                <w:b/>
                <w:bCs/>
                <w:i/>
                <w:vertAlign w:val="subscript"/>
              </w:rPr>
              <w:t>q, p</w:t>
            </w:r>
            <w:r w:rsidR="00341E22">
              <w:rPr>
                <w:b/>
                <w:bCs/>
              </w:rPr>
              <w:t xml:space="preserve"> – RTAMLNWSOL </w:t>
            </w:r>
            <w:r w:rsidR="00341E22">
              <w:rPr>
                <w:b/>
                <w:bCs/>
                <w:i/>
                <w:vertAlign w:val="subscript"/>
              </w:rPr>
              <w:t>q, p</w:t>
            </w:r>
            <w:r w:rsidR="008050FF">
              <w:rPr>
                <w:b/>
                <w:bCs/>
              </w:rPr>
              <w:t>)</w:t>
            </w:r>
            <w:r w:rsidR="008050FF" w:rsidRPr="00FC2D6A">
              <w:rPr>
                <w:b/>
                <w:bCs/>
              </w:rPr>
              <w:t xml:space="preserve"> </w:t>
            </w:r>
            <w:r w:rsidRPr="00FC2D6A">
              <w:rPr>
                <w:b/>
                <w:bCs/>
              </w:rPr>
              <w:t>+ RTMG</w:t>
            </w:r>
            <w:r>
              <w:rPr>
                <w:b/>
                <w:bCs/>
              </w:rPr>
              <w:t>SOGZ</w:t>
            </w:r>
            <w:r w:rsidRPr="00FC2D6A">
              <w:rPr>
                <w:b/>
                <w:bCs/>
              </w:rPr>
              <w:t xml:space="preserve"> </w:t>
            </w:r>
            <w:r w:rsidRPr="00FC2D6A">
              <w:rPr>
                <w:b/>
                <w:bCs/>
                <w:i/>
                <w:vertAlign w:val="subscript"/>
              </w:rPr>
              <w:t>q, p</w:t>
            </w:r>
          </w:p>
        </w:tc>
      </w:tr>
    </w:tbl>
    <w:p w14:paraId="47043A5C" w14:textId="77777777" w:rsidR="001F04FD" w:rsidRDefault="001F04FD" w:rsidP="004A39F9">
      <w:pPr>
        <w:spacing w:before="240"/>
      </w:pPr>
      <w: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6867"/>
      </w:tblGrid>
      <w:tr w:rsidR="001F04FD" w14:paraId="6B844741" w14:textId="77777777" w:rsidTr="00341E22">
        <w:trPr>
          <w:tblHeader/>
        </w:trPr>
        <w:tc>
          <w:tcPr>
            <w:tcW w:w="872" w:type="pct"/>
          </w:tcPr>
          <w:p w14:paraId="083FBEA1" w14:textId="77777777" w:rsidR="001F04FD" w:rsidRDefault="001F04FD" w:rsidP="00AC4DEE">
            <w:pPr>
              <w:pStyle w:val="TableHead"/>
            </w:pPr>
            <w:r>
              <w:t>Variable</w:t>
            </w:r>
          </w:p>
        </w:tc>
        <w:tc>
          <w:tcPr>
            <w:tcW w:w="456" w:type="pct"/>
          </w:tcPr>
          <w:p w14:paraId="1080ECD9" w14:textId="77777777" w:rsidR="001F04FD" w:rsidRDefault="001F04FD" w:rsidP="00AC4DEE">
            <w:pPr>
              <w:pStyle w:val="TableHead"/>
            </w:pPr>
            <w:r>
              <w:t>Unit</w:t>
            </w:r>
          </w:p>
        </w:tc>
        <w:tc>
          <w:tcPr>
            <w:tcW w:w="3672" w:type="pct"/>
          </w:tcPr>
          <w:p w14:paraId="3D0B09D0" w14:textId="77777777" w:rsidR="001F04FD" w:rsidRDefault="001F04FD" w:rsidP="00AC4DEE">
            <w:pPr>
              <w:pStyle w:val="TableHead"/>
            </w:pPr>
            <w:r>
              <w:t>Description</w:t>
            </w:r>
          </w:p>
        </w:tc>
      </w:tr>
      <w:tr w:rsidR="001F04FD" w14:paraId="3341284A" w14:textId="77777777" w:rsidTr="00341E22">
        <w:tc>
          <w:tcPr>
            <w:tcW w:w="872" w:type="pct"/>
          </w:tcPr>
          <w:p w14:paraId="4CAE6885" w14:textId="77777777" w:rsidR="001F04FD" w:rsidRDefault="001F04FD" w:rsidP="00AC4DEE">
            <w:pPr>
              <w:pStyle w:val="TableBody"/>
            </w:pPr>
            <w:r>
              <w:t xml:space="preserve">RTEIAMT </w:t>
            </w:r>
            <w:r w:rsidRPr="00107CC2">
              <w:rPr>
                <w:i/>
                <w:vertAlign w:val="subscript"/>
              </w:rPr>
              <w:t>q, p</w:t>
            </w:r>
          </w:p>
        </w:tc>
        <w:tc>
          <w:tcPr>
            <w:tcW w:w="456" w:type="pct"/>
          </w:tcPr>
          <w:p w14:paraId="59ECA356" w14:textId="77777777" w:rsidR="001F04FD" w:rsidRDefault="001F04FD" w:rsidP="00AC4DEE">
            <w:pPr>
              <w:pStyle w:val="TableBody"/>
            </w:pPr>
            <w:r>
              <w:t>$</w:t>
            </w:r>
          </w:p>
        </w:tc>
        <w:tc>
          <w:tcPr>
            <w:tcW w:w="3672" w:type="pct"/>
          </w:tcPr>
          <w:p w14:paraId="6642FF18"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0295C3B2" w14:textId="77777777" w:rsidTr="00341E22">
        <w:tc>
          <w:tcPr>
            <w:tcW w:w="872" w:type="pct"/>
          </w:tcPr>
          <w:p w14:paraId="65B3804A" w14:textId="77777777" w:rsidR="001F04FD" w:rsidRDefault="001F04FD" w:rsidP="00AC4DEE">
            <w:pPr>
              <w:pStyle w:val="TableBody"/>
            </w:pPr>
            <w:r>
              <w:t xml:space="preserve">RTSPP </w:t>
            </w:r>
            <w:r w:rsidRPr="00107CC2">
              <w:rPr>
                <w:i/>
                <w:vertAlign w:val="subscript"/>
              </w:rPr>
              <w:t>p</w:t>
            </w:r>
          </w:p>
        </w:tc>
        <w:tc>
          <w:tcPr>
            <w:tcW w:w="456" w:type="pct"/>
          </w:tcPr>
          <w:p w14:paraId="324D75D1" w14:textId="77777777" w:rsidR="001F04FD" w:rsidRDefault="001F04FD" w:rsidP="00AC4DEE">
            <w:pPr>
              <w:pStyle w:val="TableBody"/>
            </w:pPr>
            <w:r>
              <w:t>$/MWh</w:t>
            </w:r>
          </w:p>
        </w:tc>
        <w:tc>
          <w:tcPr>
            <w:tcW w:w="3672" w:type="pct"/>
          </w:tcPr>
          <w:p w14:paraId="60ADB215"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320BDD1D" w14:textId="77777777" w:rsidTr="00341E22">
        <w:tc>
          <w:tcPr>
            <w:tcW w:w="872" w:type="pct"/>
          </w:tcPr>
          <w:p w14:paraId="46814500" w14:textId="77777777" w:rsidR="001F04FD" w:rsidRDefault="001F04FD" w:rsidP="00AC4DEE">
            <w:pPr>
              <w:pStyle w:val="TableBody"/>
            </w:pPr>
            <w:r>
              <w:t>LZIMBAL</w:t>
            </w:r>
            <w:r w:rsidRPr="00D17F07">
              <w:rPr>
                <w:i/>
                <w:vertAlign w:val="subscript"/>
              </w:rPr>
              <w:t xml:space="preserve"> </w:t>
            </w:r>
            <w:r>
              <w:rPr>
                <w:i/>
                <w:vertAlign w:val="subscript"/>
              </w:rPr>
              <w:t>q, p</w:t>
            </w:r>
          </w:p>
        </w:tc>
        <w:tc>
          <w:tcPr>
            <w:tcW w:w="456" w:type="pct"/>
          </w:tcPr>
          <w:p w14:paraId="6840F9D3" w14:textId="77777777" w:rsidR="001F04FD" w:rsidRDefault="001F04FD" w:rsidP="00AC4DEE">
            <w:pPr>
              <w:pStyle w:val="TableBody"/>
            </w:pPr>
            <w:r>
              <w:t>MWh</w:t>
            </w:r>
          </w:p>
        </w:tc>
        <w:tc>
          <w:tcPr>
            <w:tcW w:w="3672" w:type="pct"/>
          </w:tcPr>
          <w:p w14:paraId="1FBD08EB" w14:textId="77777777" w:rsidR="001F04FD" w:rsidRDefault="001F04FD" w:rsidP="00AC4DEE">
            <w:pPr>
              <w:pStyle w:val="TableBody"/>
              <w:rPr>
                <w:i/>
              </w:rPr>
            </w:pPr>
            <w:r>
              <w:rPr>
                <w:i/>
              </w:rPr>
              <w:t>Load Zone Energy Imbalance per QSE per Settlement Point</w:t>
            </w:r>
            <w:r>
              <w:t xml:space="preserve">—The Load Zone volumetric imbalance for QSE </w:t>
            </w:r>
            <w:r>
              <w:rPr>
                <w:i/>
              </w:rPr>
              <w:t>q</w:t>
            </w:r>
            <w:r>
              <w:t xml:space="preserve"> for Real-Time Energy Imbalance Service at Settlement Point </w:t>
            </w:r>
            <w:r>
              <w:rPr>
                <w:i/>
              </w:rPr>
              <w:t>p</w:t>
            </w:r>
            <w:r>
              <w:t>, for the 15-minute Settlement Interval.</w:t>
            </w:r>
          </w:p>
        </w:tc>
      </w:tr>
      <w:tr w:rsidR="001F04FD" w14:paraId="6984027C" w14:textId="77777777" w:rsidTr="00341E22">
        <w:tc>
          <w:tcPr>
            <w:tcW w:w="872" w:type="pct"/>
          </w:tcPr>
          <w:p w14:paraId="0C2E6ECA" w14:textId="77777777" w:rsidR="001F04FD" w:rsidRDefault="001F04FD" w:rsidP="00AC4DEE">
            <w:pPr>
              <w:pStyle w:val="TableBody"/>
            </w:pPr>
            <w:r>
              <w:t xml:space="preserve">RTSPPEW </w:t>
            </w:r>
            <w:r w:rsidRPr="00107CC2">
              <w:rPr>
                <w:i/>
                <w:vertAlign w:val="subscript"/>
              </w:rPr>
              <w:t>p</w:t>
            </w:r>
          </w:p>
        </w:tc>
        <w:tc>
          <w:tcPr>
            <w:tcW w:w="456" w:type="pct"/>
          </w:tcPr>
          <w:p w14:paraId="6C5CF945" w14:textId="77777777" w:rsidR="001F04FD" w:rsidRDefault="001F04FD" w:rsidP="00AC4DEE">
            <w:pPr>
              <w:pStyle w:val="TableBody"/>
            </w:pPr>
            <w:r>
              <w:t>$/MWh</w:t>
            </w:r>
          </w:p>
        </w:tc>
        <w:tc>
          <w:tcPr>
            <w:tcW w:w="3672" w:type="pct"/>
          </w:tcPr>
          <w:p w14:paraId="45D3CD9E"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 Estimated Load for the Load Zone of each SCED interval within the 15-minute Settlement Interval.</w:t>
            </w:r>
          </w:p>
        </w:tc>
      </w:tr>
      <w:tr w:rsidR="001F04FD" w14:paraId="062A48B9" w14:textId="77777777" w:rsidTr="00341E22">
        <w:tc>
          <w:tcPr>
            <w:tcW w:w="872" w:type="pct"/>
          </w:tcPr>
          <w:p w14:paraId="086031F5" w14:textId="77777777" w:rsidR="001F04FD" w:rsidRDefault="001F04FD" w:rsidP="00AC4DEE">
            <w:pPr>
              <w:pStyle w:val="TableBody"/>
            </w:pPr>
            <w:r>
              <w:t xml:space="preserve">RTAML </w:t>
            </w:r>
            <w:r w:rsidRPr="00107CC2">
              <w:rPr>
                <w:i/>
                <w:vertAlign w:val="subscript"/>
              </w:rPr>
              <w:t>q, p</w:t>
            </w:r>
          </w:p>
        </w:tc>
        <w:tc>
          <w:tcPr>
            <w:tcW w:w="456" w:type="pct"/>
          </w:tcPr>
          <w:p w14:paraId="6D692E7C" w14:textId="77777777" w:rsidR="001F04FD" w:rsidRDefault="001F04FD" w:rsidP="00AC4DEE">
            <w:pPr>
              <w:pStyle w:val="TableBody"/>
            </w:pPr>
            <w:r>
              <w:t>MWh</w:t>
            </w:r>
          </w:p>
        </w:tc>
        <w:tc>
          <w:tcPr>
            <w:tcW w:w="3672" w:type="pct"/>
          </w:tcPr>
          <w:p w14:paraId="77294ADF" w14:textId="77777777" w:rsidR="001F04FD" w:rsidRDefault="001F04FD" w:rsidP="00AC4DEE">
            <w:pPr>
              <w:pStyle w:val="TableBody"/>
            </w:pPr>
            <w:r>
              <w:rPr>
                <w:i/>
              </w:rPr>
              <w:t>Real-Time Adjusted Metered Load per QSE per Settlement Point</w:t>
            </w:r>
            <w:r>
              <w:t xml:space="preserve">—The sum of the AML at the Electrical Buses that are included in Settlement Point </w:t>
            </w:r>
            <w:r>
              <w:rPr>
                <w:i/>
              </w:rPr>
              <w:t>p</w:t>
            </w:r>
            <w:r>
              <w:t xml:space="preserve"> represented by QSE </w:t>
            </w:r>
            <w:r>
              <w:rPr>
                <w:i/>
              </w:rPr>
              <w:t>q</w:t>
            </w:r>
            <w:r>
              <w:t xml:space="preserve"> for the 15-minute Settlement Interval.</w:t>
            </w:r>
          </w:p>
        </w:tc>
      </w:tr>
      <w:tr w:rsidR="001C0176" w14:paraId="33241641" w14:textId="77777777" w:rsidTr="001C0176">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1C0176" w14:paraId="1BBB9949" w14:textId="77777777" w:rsidTr="00F5593C">
              <w:trPr>
                <w:trHeight w:val="566"/>
              </w:trPr>
              <w:tc>
                <w:tcPr>
                  <w:tcW w:w="9576" w:type="dxa"/>
                  <w:shd w:val="pct12" w:color="auto" w:fill="auto"/>
                </w:tcPr>
                <w:p w14:paraId="3C62E153" w14:textId="1127954B" w:rsidR="001C0176" w:rsidRDefault="001C0176" w:rsidP="001C0176">
                  <w:pPr>
                    <w:pStyle w:val="Instructions"/>
                    <w:spacing w:before="60"/>
                  </w:pPr>
                  <w:r>
                    <w:t>[NPRR1188:  Insert the variab</w:t>
                  </w:r>
                  <w:r w:rsidRPr="001C0176">
                    <w:t>le “</w:t>
                  </w:r>
                  <w:r w:rsidRPr="001C0176">
                    <w:rPr>
                      <w:bCs/>
                    </w:rPr>
                    <w:t xml:space="preserve">RTAMLCLRL </w:t>
                  </w:r>
                  <w:r w:rsidRPr="001C0176">
                    <w:rPr>
                      <w:bCs/>
                      <w:vertAlign w:val="subscript"/>
                    </w:rPr>
                    <w:t>q, p</w:t>
                  </w:r>
                  <w:r w:rsidRPr="001C0176">
                    <w:t>” be</w:t>
                  </w:r>
                  <w:r>
                    <w:t>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3"/>
                    <w:gridCol w:w="697"/>
                    <w:gridCol w:w="6530"/>
                  </w:tblGrid>
                  <w:tr w:rsidR="001C0176" w14:paraId="51C1E146" w14:textId="77777777" w:rsidTr="001C0176">
                    <w:tc>
                      <w:tcPr>
                        <w:tcW w:w="926" w:type="pct"/>
                      </w:tcPr>
                      <w:p w14:paraId="386AF04A" w14:textId="77792128" w:rsidR="001C0176" w:rsidRDefault="001C0176" w:rsidP="001C0176">
                        <w:pPr>
                          <w:pStyle w:val="TableBody"/>
                        </w:pPr>
                        <w:r w:rsidRPr="00812ECB">
                          <w:rPr>
                            <w:bCs/>
                          </w:rPr>
                          <w:t xml:space="preserve">RTAMLCLRL </w:t>
                        </w:r>
                        <w:r w:rsidRPr="00812ECB">
                          <w:rPr>
                            <w:bCs/>
                            <w:i/>
                            <w:vertAlign w:val="subscript"/>
                          </w:rPr>
                          <w:t>q, p</w:t>
                        </w:r>
                      </w:p>
                    </w:tc>
                    <w:tc>
                      <w:tcPr>
                        <w:tcW w:w="393" w:type="pct"/>
                      </w:tcPr>
                      <w:p w14:paraId="79911721" w14:textId="1CC2727A" w:rsidR="001C0176" w:rsidRDefault="001C0176" w:rsidP="001C0176">
                        <w:pPr>
                          <w:pStyle w:val="TableBody"/>
                        </w:pPr>
                        <w:r w:rsidRPr="00812ECB">
                          <w:t>MWh</w:t>
                        </w:r>
                      </w:p>
                    </w:tc>
                    <w:tc>
                      <w:tcPr>
                        <w:tcW w:w="3682" w:type="pct"/>
                      </w:tcPr>
                      <w:p w14:paraId="4E313B6F" w14:textId="128B16F7" w:rsidR="001C0176" w:rsidRDefault="001C0176" w:rsidP="001C0176">
                        <w:pPr>
                          <w:pStyle w:val="TableBody"/>
                        </w:pPr>
                        <w:r w:rsidRPr="00812ECB">
                          <w:rPr>
                            <w:i/>
                          </w:rPr>
                          <w:t>Real-Time Adjusted Metered Load for CLR Load per QSE per Settlement Point</w:t>
                        </w:r>
                        <w:r w:rsidRPr="00812ECB">
                          <w:t xml:space="preserve">—The sum of the AML for the CLR Load from CLRs (that are not ALRs) at the Electrical Buses that are included in Settlement Point </w:t>
                        </w:r>
                        <w:r w:rsidRPr="00812ECB">
                          <w:rPr>
                            <w:i/>
                          </w:rPr>
                          <w:t>p</w:t>
                        </w:r>
                        <w:r w:rsidRPr="00812ECB">
                          <w:t xml:space="preserve"> represented by QSE </w:t>
                        </w:r>
                        <w:r w:rsidRPr="00812ECB">
                          <w:rPr>
                            <w:i/>
                          </w:rPr>
                          <w:t>q</w:t>
                        </w:r>
                        <w:r w:rsidRPr="00812ECB">
                          <w:t xml:space="preserve"> for the 15-minute Settlement Interval, represented as a positive value. </w:t>
                        </w:r>
                      </w:p>
                    </w:tc>
                  </w:tr>
                </w:tbl>
                <w:p w14:paraId="15EC0D01" w14:textId="77777777" w:rsidR="001C0176" w:rsidRPr="008E2BE2" w:rsidRDefault="001C0176" w:rsidP="001C0176">
                  <w:pPr>
                    <w:pStyle w:val="TableBody"/>
                  </w:pPr>
                </w:p>
              </w:tc>
            </w:tr>
          </w:tbl>
          <w:p w14:paraId="5C834612" w14:textId="77777777" w:rsidR="001C0176" w:rsidRPr="00913E6F" w:rsidRDefault="001C0176" w:rsidP="003963CD">
            <w:pPr>
              <w:pStyle w:val="TableBody"/>
              <w:rPr>
                <w:i/>
                <w:iCs w:val="0"/>
              </w:rPr>
            </w:pPr>
          </w:p>
        </w:tc>
      </w:tr>
      <w:tr w:rsidR="003963CD" w14:paraId="079B7473" w14:textId="77777777" w:rsidTr="00341E22">
        <w:tc>
          <w:tcPr>
            <w:tcW w:w="872" w:type="pct"/>
          </w:tcPr>
          <w:p w14:paraId="2508C9DC" w14:textId="39227735" w:rsidR="003963CD" w:rsidRDefault="003963CD" w:rsidP="003963CD">
            <w:pPr>
              <w:pStyle w:val="TableBody"/>
            </w:pPr>
            <w:r w:rsidRPr="00985D33">
              <w:rPr>
                <w:bCs/>
              </w:rPr>
              <w:t>RTAML</w:t>
            </w:r>
            <w:r w:rsidRPr="00CE05DE">
              <w:rPr>
                <w:bCs/>
              </w:rPr>
              <w:t>ESRNW</w:t>
            </w:r>
            <w:r w:rsidRPr="00985D33">
              <w:rPr>
                <w:bCs/>
              </w:rPr>
              <w:t xml:space="preserve"> </w:t>
            </w:r>
            <w:r w:rsidRPr="00985D33">
              <w:rPr>
                <w:bCs/>
                <w:i/>
                <w:vertAlign w:val="subscript"/>
              </w:rPr>
              <w:t>q, p</w:t>
            </w:r>
          </w:p>
        </w:tc>
        <w:tc>
          <w:tcPr>
            <w:tcW w:w="456" w:type="pct"/>
          </w:tcPr>
          <w:p w14:paraId="5D34D303" w14:textId="7A43FD19" w:rsidR="003963CD" w:rsidRDefault="003963CD" w:rsidP="003963CD">
            <w:pPr>
              <w:pStyle w:val="TableBody"/>
            </w:pPr>
            <w:r w:rsidRPr="00913E6F">
              <w:rPr>
                <w:iCs w:val="0"/>
              </w:rPr>
              <w:t>MWh</w:t>
            </w:r>
          </w:p>
        </w:tc>
        <w:tc>
          <w:tcPr>
            <w:tcW w:w="3672" w:type="pct"/>
          </w:tcPr>
          <w:p w14:paraId="4E900EFA" w14:textId="1D51A7EA" w:rsidR="003963CD" w:rsidRDefault="003963CD" w:rsidP="003963CD">
            <w:pPr>
              <w:pStyle w:val="TableBody"/>
              <w:rPr>
                <w:i/>
              </w:rPr>
            </w:pPr>
            <w:r w:rsidRPr="00913E6F">
              <w:rPr>
                <w:i/>
                <w:iCs w:val="0"/>
              </w:rPr>
              <w:t xml:space="preserve">Real-Time Adjusted Metered Load </w:t>
            </w:r>
            <w:r>
              <w:rPr>
                <w:i/>
                <w:iCs w:val="0"/>
              </w:rPr>
              <w:t xml:space="preserve">for ESR Non-WSL </w:t>
            </w:r>
            <w:r w:rsidRPr="00913E6F">
              <w:rPr>
                <w:i/>
                <w:iCs w:val="0"/>
              </w:rPr>
              <w:t>per QSE per Settlement Point</w:t>
            </w:r>
            <w:r w:rsidRPr="00913E6F">
              <w:rPr>
                <w:iCs w:val="0"/>
              </w:rPr>
              <w:t xml:space="preserve">—The sum of the AML </w:t>
            </w:r>
            <w:r>
              <w:rPr>
                <w:iCs w:val="0"/>
              </w:rPr>
              <w:t xml:space="preserve">for the </w:t>
            </w:r>
            <w:r>
              <w:t>Non-WSL ESR Charging Load</w:t>
            </w:r>
            <w:r>
              <w:rPr>
                <w:iCs w:val="0"/>
              </w:rPr>
              <w:t xml:space="preserve"> </w:t>
            </w:r>
            <w:r w:rsidRPr="00913E6F">
              <w:rPr>
                <w:iCs w:val="0"/>
              </w:rPr>
              <w:t xml:space="preserve">at the Electrical Buses that are included in Settlement Point </w:t>
            </w:r>
            <w:r w:rsidRPr="00913E6F">
              <w:rPr>
                <w:i/>
                <w:iCs w:val="0"/>
              </w:rPr>
              <w:t>p</w:t>
            </w:r>
            <w:r w:rsidRPr="00913E6F">
              <w:rPr>
                <w:iCs w:val="0"/>
              </w:rPr>
              <w:t xml:space="preserve"> represented by QSE </w:t>
            </w:r>
            <w:r w:rsidRPr="00913E6F">
              <w:rPr>
                <w:i/>
                <w:iCs w:val="0"/>
              </w:rPr>
              <w:t>q</w:t>
            </w:r>
            <w:r w:rsidRPr="00913E6F">
              <w:rPr>
                <w:iCs w:val="0"/>
              </w:rPr>
              <w:t xml:space="preserve"> for the 15-minute Settlement Interval</w:t>
            </w:r>
            <w:r>
              <w:rPr>
                <w:iCs w:val="0"/>
              </w:rPr>
              <w:t xml:space="preserve">, represented as a positive value. </w:t>
            </w:r>
          </w:p>
        </w:tc>
      </w:tr>
      <w:tr w:rsidR="00341E22" w14:paraId="34BFCBFA" w14:textId="77777777" w:rsidTr="00341E22">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41E22" w14:paraId="73599B7C" w14:textId="77777777" w:rsidTr="00425355">
              <w:trPr>
                <w:trHeight w:val="566"/>
              </w:trPr>
              <w:tc>
                <w:tcPr>
                  <w:tcW w:w="9576" w:type="dxa"/>
                  <w:shd w:val="pct12" w:color="auto" w:fill="auto"/>
                </w:tcPr>
                <w:p w14:paraId="0982A79E" w14:textId="48E98466" w:rsidR="00341E22" w:rsidRDefault="00341E22" w:rsidP="00341E22">
                  <w:pPr>
                    <w:pStyle w:val="Instructions"/>
                    <w:spacing w:before="60"/>
                  </w:pPr>
                  <w:r>
                    <w:t xml:space="preserve">[NPRR995:  </w:t>
                  </w:r>
                  <w:r w:rsidR="00031AC3">
                    <w:t xml:space="preserve">Insert the </w:t>
                  </w:r>
                  <w:r>
                    <w:t>variable “</w:t>
                  </w:r>
                  <w:r w:rsidR="00031AC3" w:rsidRPr="00031AC3">
                    <w:t>RTAMLNWSOL</w:t>
                  </w:r>
                  <w:r w:rsidR="00031AC3" w:rsidRPr="00031AC3">
                    <w:rPr>
                      <w:vertAlign w:val="subscript"/>
                    </w:rPr>
                    <w:t xml:space="preserve"> q, p</w:t>
                  </w:r>
                  <w:r>
                    <w:t xml:space="preserve">” </w:t>
                  </w:r>
                  <w:r w:rsidR="00031AC3">
                    <w:t>below</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2"/>
                    <w:gridCol w:w="697"/>
                    <w:gridCol w:w="6531"/>
                  </w:tblGrid>
                  <w:tr w:rsidR="00031AC3" w14:paraId="5ACEC66C" w14:textId="77777777" w:rsidTr="00031AC3">
                    <w:tc>
                      <w:tcPr>
                        <w:tcW w:w="808" w:type="pct"/>
                      </w:tcPr>
                      <w:p w14:paraId="74651D68" w14:textId="490F4223" w:rsidR="00031AC3" w:rsidRDefault="00031AC3" w:rsidP="00031AC3">
                        <w:pPr>
                          <w:pStyle w:val="TableBody"/>
                        </w:pPr>
                        <w:r>
                          <w:rPr>
                            <w:bCs/>
                            <w:iCs w:val="0"/>
                          </w:rPr>
                          <w:t xml:space="preserve">RTAMLNWSOL </w:t>
                        </w:r>
                        <w:r>
                          <w:rPr>
                            <w:bCs/>
                            <w:i/>
                            <w:iCs w:val="0"/>
                            <w:vertAlign w:val="subscript"/>
                          </w:rPr>
                          <w:t>q, p</w:t>
                        </w:r>
                      </w:p>
                    </w:tc>
                    <w:tc>
                      <w:tcPr>
                        <w:tcW w:w="393" w:type="pct"/>
                      </w:tcPr>
                      <w:p w14:paraId="662603C8" w14:textId="6592561D" w:rsidR="00031AC3" w:rsidRDefault="00031AC3" w:rsidP="00031AC3">
                        <w:pPr>
                          <w:pStyle w:val="TableBody"/>
                        </w:pPr>
                        <w:r>
                          <w:t>MWh</w:t>
                        </w:r>
                      </w:p>
                    </w:tc>
                    <w:tc>
                      <w:tcPr>
                        <w:tcW w:w="3799" w:type="pct"/>
                      </w:tcPr>
                      <w:p w14:paraId="5B6C0A2A" w14:textId="1228B0D1" w:rsidR="00031AC3" w:rsidRDefault="00031AC3" w:rsidP="00031AC3">
                        <w:pPr>
                          <w:pStyle w:val="TableBody"/>
                        </w:pPr>
                        <w:r>
                          <w:rPr>
                            <w:i/>
                          </w:rPr>
                          <w:t>Real-Time Adjusted Metered Load for Non-WSL Settlement Only</w:t>
                        </w:r>
                        <w:r>
                          <w:t xml:space="preserve"> </w:t>
                        </w:r>
                        <w:r>
                          <w:rPr>
                            <w:i/>
                          </w:rPr>
                          <w:t>Charging Load per QSE per Settlement Point</w:t>
                        </w:r>
                        <w:r>
                          <w:t xml:space="preserve">—The sum of the AML for the Non-WSL Settlement Only Charging Load for the SODESS or SOTESS site that are included in Settlement Point </w:t>
                        </w:r>
                        <w:r>
                          <w:rPr>
                            <w:i/>
                          </w:rPr>
                          <w:t>p</w:t>
                        </w:r>
                        <w:r>
                          <w:t xml:space="preserve"> represented by QSE </w:t>
                        </w:r>
                        <w:r>
                          <w:rPr>
                            <w:i/>
                          </w:rPr>
                          <w:t>q</w:t>
                        </w:r>
                        <w:r>
                          <w:t xml:space="preserve"> for the 15-minute Settlement Interval, represented as a positive value. </w:t>
                        </w:r>
                      </w:p>
                    </w:tc>
                  </w:tr>
                </w:tbl>
                <w:p w14:paraId="499EFCEB" w14:textId="77777777" w:rsidR="00341E22" w:rsidRPr="008E2BE2" w:rsidRDefault="00341E22" w:rsidP="00341E22">
                  <w:pPr>
                    <w:pStyle w:val="TableBody"/>
                  </w:pPr>
                </w:p>
              </w:tc>
            </w:tr>
          </w:tbl>
          <w:p w14:paraId="1430F1FA" w14:textId="77777777" w:rsidR="00341E22" w:rsidRDefault="00341E22" w:rsidP="00AC4DEE">
            <w:pPr>
              <w:pStyle w:val="TableBody"/>
              <w:rPr>
                <w:i/>
              </w:rPr>
            </w:pPr>
          </w:p>
        </w:tc>
      </w:tr>
      <w:tr w:rsidR="001F04FD" w14:paraId="0DE84FAB" w14:textId="77777777" w:rsidTr="00341E22">
        <w:tc>
          <w:tcPr>
            <w:tcW w:w="872" w:type="pct"/>
          </w:tcPr>
          <w:p w14:paraId="1F34907D" w14:textId="77777777" w:rsidR="001F04FD" w:rsidRDefault="001F04FD" w:rsidP="00AC4DEE">
            <w:pPr>
              <w:pStyle w:val="TableBody"/>
            </w:pPr>
            <w:r>
              <w:t xml:space="preserve">SSSK </w:t>
            </w:r>
            <w:r w:rsidRPr="00107CC2">
              <w:rPr>
                <w:i/>
                <w:vertAlign w:val="subscript"/>
              </w:rPr>
              <w:t>q, p</w:t>
            </w:r>
          </w:p>
        </w:tc>
        <w:tc>
          <w:tcPr>
            <w:tcW w:w="456" w:type="pct"/>
          </w:tcPr>
          <w:p w14:paraId="3E97D67D" w14:textId="77777777" w:rsidR="001F04FD" w:rsidRDefault="001F04FD" w:rsidP="00AC4DEE">
            <w:pPr>
              <w:pStyle w:val="TableBody"/>
            </w:pPr>
            <w:r>
              <w:t>MW</w:t>
            </w:r>
          </w:p>
        </w:tc>
        <w:tc>
          <w:tcPr>
            <w:tcW w:w="3672" w:type="pct"/>
          </w:tcPr>
          <w:p w14:paraId="620C5366"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16348D12" w14:textId="77777777" w:rsidTr="00341E22">
        <w:tc>
          <w:tcPr>
            <w:tcW w:w="872" w:type="pct"/>
          </w:tcPr>
          <w:p w14:paraId="2444FDE8" w14:textId="77777777" w:rsidR="001F04FD" w:rsidRDefault="001F04FD" w:rsidP="00AC4DEE">
            <w:pPr>
              <w:pStyle w:val="TableBody"/>
            </w:pPr>
            <w:r>
              <w:lastRenderedPageBreak/>
              <w:t xml:space="preserve">DAEP </w:t>
            </w:r>
            <w:r w:rsidRPr="00107CC2">
              <w:rPr>
                <w:i/>
                <w:vertAlign w:val="subscript"/>
              </w:rPr>
              <w:t>q, p</w:t>
            </w:r>
          </w:p>
        </w:tc>
        <w:tc>
          <w:tcPr>
            <w:tcW w:w="456" w:type="pct"/>
          </w:tcPr>
          <w:p w14:paraId="05CD7C42" w14:textId="77777777" w:rsidR="001F04FD" w:rsidRDefault="001F04FD" w:rsidP="00AC4DEE">
            <w:pPr>
              <w:pStyle w:val="TableBody"/>
            </w:pPr>
            <w:r>
              <w:t>MW</w:t>
            </w:r>
          </w:p>
        </w:tc>
        <w:tc>
          <w:tcPr>
            <w:tcW w:w="3672" w:type="pct"/>
          </w:tcPr>
          <w:p w14:paraId="07176976" w14:textId="77777777" w:rsidR="001C0176"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627"/>
            </w:tblGrid>
            <w:tr w:rsidR="001C0176" w14:paraId="235CAE34" w14:textId="77777777" w:rsidTr="00F5593C">
              <w:trPr>
                <w:trHeight w:val="206"/>
              </w:trPr>
              <w:tc>
                <w:tcPr>
                  <w:tcW w:w="0" w:type="auto"/>
                  <w:shd w:val="pct12" w:color="auto" w:fill="auto"/>
                </w:tcPr>
                <w:p w14:paraId="283587DF" w14:textId="3FB0235B" w:rsidR="001C0176" w:rsidRDefault="001C0176" w:rsidP="001C0176">
                  <w:pPr>
                    <w:pStyle w:val="Instructions"/>
                    <w:spacing w:before="120"/>
                  </w:pPr>
                  <w:r>
                    <w:t>[NPRR1188:  Replace the description above with the following upon system implementation:]</w:t>
                  </w:r>
                </w:p>
                <w:p w14:paraId="28AA2BBD" w14:textId="52704B6D" w:rsidR="001C0176" w:rsidRPr="008F39F7" w:rsidRDefault="001C0176" w:rsidP="001C0176">
                  <w:pPr>
                    <w:pStyle w:val="TableBody"/>
                  </w:pPr>
                  <w:r w:rsidRPr="00812ECB">
                    <w:rPr>
                      <w:i/>
                    </w:rPr>
                    <w:t>Day-Ahead Energy Purchase per QSE per Settlement Point</w:t>
                  </w:r>
                  <w:r w:rsidRPr="00812ECB">
                    <w:t xml:space="preserve">—The QSE </w:t>
                  </w:r>
                  <w:r w:rsidRPr="00812ECB">
                    <w:rPr>
                      <w:i/>
                    </w:rPr>
                    <w:t>q</w:t>
                  </w:r>
                  <w:r w:rsidRPr="00812ECB">
                    <w:t xml:space="preserve">’s DAM Energy Bids and Energy Bid Curves at Settlement Point </w:t>
                  </w:r>
                  <w:r w:rsidRPr="00812ECB">
                    <w:rPr>
                      <w:i/>
                    </w:rPr>
                    <w:t>p</w:t>
                  </w:r>
                  <w:r w:rsidRPr="00812ECB">
                    <w:t xml:space="preserve"> cleared in the DAM, for the hour that includes the 15-minute Settlement Interval.</w:t>
                  </w:r>
                </w:p>
              </w:tc>
            </w:tr>
          </w:tbl>
          <w:p w14:paraId="3724B4B0" w14:textId="66F6047F" w:rsidR="001F04FD" w:rsidRDefault="001F04FD" w:rsidP="00AC4DEE">
            <w:pPr>
              <w:pStyle w:val="TableBody"/>
            </w:pPr>
          </w:p>
        </w:tc>
      </w:tr>
      <w:tr w:rsidR="001F04FD" w14:paraId="6B0E539E" w14:textId="77777777" w:rsidTr="00341E22">
        <w:tc>
          <w:tcPr>
            <w:tcW w:w="872" w:type="pct"/>
          </w:tcPr>
          <w:p w14:paraId="7914A9CD" w14:textId="77777777" w:rsidR="001F04FD" w:rsidRDefault="001F04FD" w:rsidP="00AC4DEE">
            <w:pPr>
              <w:pStyle w:val="TableBody"/>
            </w:pPr>
            <w:r>
              <w:t xml:space="preserve">RTQQEP </w:t>
            </w:r>
            <w:r w:rsidRPr="00107CC2">
              <w:rPr>
                <w:i/>
                <w:vertAlign w:val="subscript"/>
              </w:rPr>
              <w:t>q, p</w:t>
            </w:r>
            <w:r>
              <w:t xml:space="preserve"> </w:t>
            </w:r>
          </w:p>
        </w:tc>
        <w:tc>
          <w:tcPr>
            <w:tcW w:w="456" w:type="pct"/>
          </w:tcPr>
          <w:p w14:paraId="28C31B81" w14:textId="77777777" w:rsidR="001F04FD" w:rsidRDefault="001F04FD" w:rsidP="00AC4DEE">
            <w:pPr>
              <w:pStyle w:val="TableBody"/>
            </w:pPr>
            <w:r>
              <w:t>MW</w:t>
            </w:r>
          </w:p>
        </w:tc>
        <w:tc>
          <w:tcPr>
            <w:tcW w:w="3672" w:type="pct"/>
          </w:tcPr>
          <w:p w14:paraId="6002EB6B"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0397A95E" w14:textId="77777777" w:rsidTr="00341E22">
        <w:tc>
          <w:tcPr>
            <w:tcW w:w="872" w:type="pct"/>
          </w:tcPr>
          <w:p w14:paraId="1FAAB5E2" w14:textId="77777777" w:rsidR="001F04FD" w:rsidRDefault="001F04FD" w:rsidP="00AC4DEE">
            <w:pPr>
              <w:pStyle w:val="TableBody"/>
            </w:pPr>
            <w:r>
              <w:t xml:space="preserve">SSSR </w:t>
            </w:r>
            <w:r w:rsidRPr="00107CC2">
              <w:rPr>
                <w:i/>
                <w:vertAlign w:val="subscript"/>
              </w:rPr>
              <w:t>q, p</w:t>
            </w:r>
          </w:p>
        </w:tc>
        <w:tc>
          <w:tcPr>
            <w:tcW w:w="456" w:type="pct"/>
          </w:tcPr>
          <w:p w14:paraId="73105EB7" w14:textId="77777777" w:rsidR="001F04FD" w:rsidRDefault="001F04FD" w:rsidP="00AC4DEE">
            <w:pPr>
              <w:pStyle w:val="TableBody"/>
            </w:pPr>
            <w:r>
              <w:t>MW</w:t>
            </w:r>
          </w:p>
        </w:tc>
        <w:tc>
          <w:tcPr>
            <w:tcW w:w="3672" w:type="pct"/>
          </w:tcPr>
          <w:p w14:paraId="560E747C"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58BD197" w14:textId="77777777" w:rsidTr="00341E22">
        <w:tc>
          <w:tcPr>
            <w:tcW w:w="872" w:type="pct"/>
          </w:tcPr>
          <w:p w14:paraId="6C493956" w14:textId="77777777" w:rsidR="001F04FD" w:rsidRDefault="001F04FD" w:rsidP="00AC4DEE">
            <w:pPr>
              <w:pStyle w:val="TableBody"/>
            </w:pPr>
            <w:r>
              <w:t xml:space="preserve">DAES </w:t>
            </w:r>
            <w:r w:rsidRPr="00107CC2">
              <w:rPr>
                <w:i/>
                <w:vertAlign w:val="subscript"/>
              </w:rPr>
              <w:t>q, p</w:t>
            </w:r>
          </w:p>
        </w:tc>
        <w:tc>
          <w:tcPr>
            <w:tcW w:w="456" w:type="pct"/>
          </w:tcPr>
          <w:p w14:paraId="50298F4D" w14:textId="77777777" w:rsidR="001F04FD" w:rsidRDefault="001F04FD" w:rsidP="00AC4DEE">
            <w:pPr>
              <w:pStyle w:val="TableBody"/>
            </w:pPr>
            <w:r>
              <w:t>MW</w:t>
            </w:r>
          </w:p>
        </w:tc>
        <w:tc>
          <w:tcPr>
            <w:tcW w:w="3672" w:type="pct"/>
          </w:tcPr>
          <w:p w14:paraId="656B6EF0"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77C3B70" w14:textId="77777777" w:rsidTr="00341E22">
        <w:tc>
          <w:tcPr>
            <w:tcW w:w="872" w:type="pct"/>
          </w:tcPr>
          <w:p w14:paraId="3FF476FB" w14:textId="77777777" w:rsidR="001F04FD" w:rsidRDefault="001F04FD" w:rsidP="00AC4DEE">
            <w:pPr>
              <w:pStyle w:val="TableBody"/>
            </w:pPr>
            <w:r>
              <w:t xml:space="preserve">RTQQES </w:t>
            </w:r>
            <w:r w:rsidRPr="00107CC2">
              <w:rPr>
                <w:i/>
                <w:vertAlign w:val="subscript"/>
              </w:rPr>
              <w:t>q, p</w:t>
            </w:r>
            <w:r>
              <w:t xml:space="preserve"> </w:t>
            </w:r>
          </w:p>
        </w:tc>
        <w:tc>
          <w:tcPr>
            <w:tcW w:w="456" w:type="pct"/>
          </w:tcPr>
          <w:p w14:paraId="20854EF5" w14:textId="77777777" w:rsidR="001F04FD" w:rsidRDefault="001F04FD" w:rsidP="00AC4DEE">
            <w:pPr>
              <w:pStyle w:val="TableBody"/>
            </w:pPr>
            <w:r>
              <w:t>MW</w:t>
            </w:r>
          </w:p>
        </w:tc>
        <w:tc>
          <w:tcPr>
            <w:tcW w:w="3672" w:type="pct"/>
          </w:tcPr>
          <w:p w14:paraId="3532C354"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54BCE417" w14:textId="77777777" w:rsidTr="00341E22">
        <w:tc>
          <w:tcPr>
            <w:tcW w:w="872" w:type="pct"/>
          </w:tcPr>
          <w:p w14:paraId="7401344A" w14:textId="3269B0C6" w:rsidR="001F04FD" w:rsidRDefault="001F04FD" w:rsidP="00AC4DEE">
            <w:pPr>
              <w:pStyle w:val="TableBody"/>
            </w:pPr>
            <w:r>
              <w:t>RTMG</w:t>
            </w:r>
            <w:r w:rsidR="00BE136C">
              <w:t>SOGZ</w:t>
            </w:r>
            <w:r>
              <w:t xml:space="preserve"> </w:t>
            </w:r>
            <w:r w:rsidRPr="00107CC2">
              <w:rPr>
                <w:i/>
                <w:vertAlign w:val="subscript"/>
              </w:rPr>
              <w:t>q, p</w:t>
            </w:r>
          </w:p>
        </w:tc>
        <w:tc>
          <w:tcPr>
            <w:tcW w:w="456" w:type="pct"/>
          </w:tcPr>
          <w:p w14:paraId="6D3FFDC8" w14:textId="77777777" w:rsidR="001F04FD" w:rsidRDefault="001F04FD" w:rsidP="00AC4DEE">
            <w:pPr>
              <w:pStyle w:val="TableBody"/>
              <w:rPr>
                <w:highlight w:val="yellow"/>
              </w:rPr>
            </w:pPr>
            <w:r>
              <w:t>MWh</w:t>
            </w:r>
          </w:p>
        </w:tc>
        <w:tc>
          <w:tcPr>
            <w:tcW w:w="3672" w:type="pct"/>
          </w:tcPr>
          <w:p w14:paraId="1EC3B329" w14:textId="516B7BFD" w:rsidR="001F04FD" w:rsidRDefault="001F04FD" w:rsidP="00CE3A65">
            <w:pPr>
              <w:pStyle w:val="TableBody"/>
              <w:rPr>
                <w:i/>
              </w:rPr>
            </w:pPr>
            <w:r>
              <w:rPr>
                <w:i/>
              </w:rPr>
              <w:t xml:space="preserve">Real-Time Metered Generation from </w:t>
            </w:r>
            <w:r w:rsidR="00844FE5">
              <w:rPr>
                <w:i/>
              </w:rPr>
              <w:t>Settlement Only</w:t>
            </w:r>
            <w:r>
              <w:rPr>
                <w:i/>
              </w:rPr>
              <w:t xml:space="preserve"> </w:t>
            </w:r>
            <w:r w:rsidR="00844FE5">
              <w:rPr>
                <w:i/>
              </w:rPr>
              <w:t>G</w:t>
            </w:r>
            <w:r>
              <w:rPr>
                <w:i/>
              </w:rPr>
              <w:t xml:space="preserve">enerators </w:t>
            </w:r>
            <w:r w:rsidR="00BE136C">
              <w:rPr>
                <w:i/>
              </w:rPr>
              <w:t xml:space="preserve">Zonal </w:t>
            </w:r>
            <w:r>
              <w:rPr>
                <w:i/>
              </w:rPr>
              <w:t>per QSE per Settlement Point</w:t>
            </w:r>
            <w:r>
              <w:t xml:space="preserve">—The total Real-Time energy produced by </w:t>
            </w:r>
            <w:r w:rsidR="00844FE5">
              <w:t>SO</w:t>
            </w:r>
            <w:r w:rsidR="00BE136C">
              <w:t>TS</w:t>
            </w:r>
            <w:r w:rsidR="00844FE5">
              <w:t>Gs</w:t>
            </w:r>
            <w:r>
              <w:t xml:space="preserve"> represented by QSE </w:t>
            </w:r>
            <w:r>
              <w:rPr>
                <w:i/>
              </w:rPr>
              <w:t>q</w:t>
            </w:r>
            <w:r>
              <w:t xml:space="preserve"> in Load Zone Settlement Point </w:t>
            </w:r>
            <w:r>
              <w:rPr>
                <w:i/>
              </w:rPr>
              <w:t>p</w:t>
            </w:r>
            <w:r>
              <w:t>, for the 15-minute Settlement Interval.</w:t>
            </w:r>
            <w:r w:rsidR="00BE136C">
              <w:rPr>
                <w:iCs w:val="0"/>
              </w:rPr>
              <w:t xml:space="preserve">  </w:t>
            </w:r>
            <w:r w:rsidR="00BE136C" w:rsidRPr="006D79BF">
              <w:t xml:space="preserve">MWh quantities for </w:t>
            </w:r>
            <w:r w:rsidR="00BE136C">
              <w:t xml:space="preserve">ESS SODGs and SOTGs at sites where the ESS capacity constitutes more than 50% of the total SOG nameplate capacity </w:t>
            </w:r>
            <w:r w:rsidR="00BE136C" w:rsidRPr="006D79BF">
              <w:t>will be included in this value.</w:t>
            </w:r>
            <w:r w:rsidR="00BE136C">
              <w:t xml:space="preserve">  </w:t>
            </w:r>
            <w:r w:rsidR="00BE136C">
              <w:rPr>
                <w:iCs w:val="0"/>
              </w:rPr>
              <w:t>MWh quantities for SODGs and SOTGs that have opted out of nodal pricing pursuant to Section 6.6.3.</w:t>
            </w:r>
            <w:r w:rsidR="0076227F">
              <w:rPr>
                <w:iCs w:val="0"/>
              </w:rPr>
              <w:t>8</w:t>
            </w:r>
            <w:r w:rsidR="00CE3A65">
              <w:rPr>
                <w:iCs w:val="0"/>
              </w:rPr>
              <w:t xml:space="preserve"> </w:t>
            </w:r>
            <w:r w:rsidR="00BE136C">
              <w:rPr>
                <w:iCs w:val="0"/>
              </w:rPr>
              <w:t>will also be included in this value.</w:t>
            </w:r>
          </w:p>
        </w:tc>
      </w:tr>
      <w:tr w:rsidR="001F04FD" w14:paraId="1C4A2773" w14:textId="77777777" w:rsidTr="00341E22">
        <w:tc>
          <w:tcPr>
            <w:tcW w:w="872" w:type="pct"/>
          </w:tcPr>
          <w:p w14:paraId="5F48D79E" w14:textId="77777777" w:rsidR="001F04FD" w:rsidRPr="008A4B73" w:rsidRDefault="001F04FD" w:rsidP="00AC4DEE">
            <w:pPr>
              <w:pStyle w:val="TableBody"/>
              <w:rPr>
                <w:i/>
              </w:rPr>
            </w:pPr>
            <w:r w:rsidRPr="00A61E91">
              <w:rPr>
                <w:i/>
              </w:rPr>
              <w:t>q</w:t>
            </w:r>
          </w:p>
        </w:tc>
        <w:tc>
          <w:tcPr>
            <w:tcW w:w="456" w:type="pct"/>
          </w:tcPr>
          <w:p w14:paraId="0884AC0F" w14:textId="77777777" w:rsidR="001F04FD" w:rsidRDefault="001F04FD" w:rsidP="00AC4DEE">
            <w:pPr>
              <w:pStyle w:val="TableBody"/>
            </w:pPr>
            <w:r>
              <w:t>none</w:t>
            </w:r>
          </w:p>
        </w:tc>
        <w:tc>
          <w:tcPr>
            <w:tcW w:w="3672" w:type="pct"/>
          </w:tcPr>
          <w:p w14:paraId="64C95EE3" w14:textId="77777777" w:rsidR="001F04FD" w:rsidRDefault="001F04FD" w:rsidP="00AC4DEE">
            <w:pPr>
              <w:pStyle w:val="TableBody"/>
            </w:pPr>
            <w:r>
              <w:t>A QSE.</w:t>
            </w:r>
          </w:p>
        </w:tc>
      </w:tr>
      <w:tr w:rsidR="001F04FD" w14:paraId="25E7C483" w14:textId="77777777" w:rsidTr="00341E22">
        <w:tc>
          <w:tcPr>
            <w:tcW w:w="872" w:type="pct"/>
          </w:tcPr>
          <w:p w14:paraId="63D8195A" w14:textId="77777777" w:rsidR="001F04FD" w:rsidRPr="008A4B73" w:rsidRDefault="001F04FD" w:rsidP="00AC4DEE">
            <w:pPr>
              <w:pStyle w:val="TableBody"/>
              <w:rPr>
                <w:i/>
              </w:rPr>
            </w:pPr>
            <w:r w:rsidRPr="00A61E91">
              <w:rPr>
                <w:i/>
              </w:rPr>
              <w:t>p</w:t>
            </w:r>
          </w:p>
        </w:tc>
        <w:tc>
          <w:tcPr>
            <w:tcW w:w="456" w:type="pct"/>
          </w:tcPr>
          <w:p w14:paraId="745182D6" w14:textId="77777777" w:rsidR="001F04FD" w:rsidRDefault="001F04FD" w:rsidP="00AC4DEE">
            <w:pPr>
              <w:pStyle w:val="TableBody"/>
            </w:pPr>
            <w:r>
              <w:t>none</w:t>
            </w:r>
          </w:p>
        </w:tc>
        <w:tc>
          <w:tcPr>
            <w:tcW w:w="3672" w:type="pct"/>
          </w:tcPr>
          <w:p w14:paraId="76153038" w14:textId="77777777" w:rsidR="001F04FD" w:rsidRDefault="001F04FD" w:rsidP="00AC4DEE">
            <w:pPr>
              <w:pStyle w:val="TableBody"/>
            </w:pPr>
            <w:r>
              <w:t>A Load Zone Settlement Point.</w:t>
            </w:r>
          </w:p>
        </w:tc>
      </w:tr>
    </w:tbl>
    <w:p w14:paraId="476AAC48" w14:textId="77777777" w:rsidR="001F04FD" w:rsidRDefault="001F04FD" w:rsidP="001F04FD">
      <w:pPr>
        <w:pStyle w:val="BodyTextNumbered"/>
        <w:spacing w:before="240"/>
      </w:pPr>
      <w:r>
        <w:t>(3)</w:t>
      </w:r>
      <w:r>
        <w:tab/>
        <w:t>The total net payments and charges to each QSE for Energy Imbalance Service at all Load Zones for the 15-minute Settlement Interval is calculated as follows:</w:t>
      </w:r>
    </w:p>
    <w:p w14:paraId="62602610"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0528E05A">
          <v:shape id="_x0000_i1156" type="#_x0000_t75" style="width:12pt;height:18pt" o:ole="">
            <v:imagedata r:id="rId172" o:title=""/>
          </v:shape>
          <o:OLEObject Type="Embed" ProgID="Equation.3" ShapeID="_x0000_i1156" DrawAspect="Content" ObjectID="_1804653641" r:id="rId174"/>
        </w:object>
      </w:r>
      <w:r>
        <w:t xml:space="preserve">RTEIAMT </w:t>
      </w:r>
      <w:r>
        <w:rPr>
          <w:i/>
          <w:vertAlign w:val="subscript"/>
        </w:rPr>
        <w:t>q, p</w:t>
      </w:r>
    </w:p>
    <w:p w14:paraId="1DA120D6" w14:textId="77777777" w:rsidR="001F04FD" w:rsidRDefault="001F04FD" w:rsidP="001F04FD">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358"/>
      </w:tblGrid>
      <w:tr w:rsidR="001F04FD" w14:paraId="6E86037F" w14:textId="77777777" w:rsidTr="002401F7">
        <w:tc>
          <w:tcPr>
            <w:tcW w:w="2165" w:type="dxa"/>
          </w:tcPr>
          <w:p w14:paraId="4975703B" w14:textId="77777777" w:rsidR="001F04FD" w:rsidRDefault="001F04FD" w:rsidP="00AC4DEE">
            <w:pPr>
              <w:pStyle w:val="TableHead"/>
            </w:pPr>
            <w:r>
              <w:t>Variable</w:t>
            </w:r>
          </w:p>
        </w:tc>
        <w:tc>
          <w:tcPr>
            <w:tcW w:w="832" w:type="dxa"/>
          </w:tcPr>
          <w:p w14:paraId="395F7401" w14:textId="77777777" w:rsidR="001F04FD" w:rsidRDefault="001F04FD" w:rsidP="00AC4DEE">
            <w:pPr>
              <w:pStyle w:val="TableHead"/>
            </w:pPr>
            <w:r>
              <w:t>Unit</w:t>
            </w:r>
          </w:p>
        </w:tc>
        <w:tc>
          <w:tcPr>
            <w:tcW w:w="6358" w:type="dxa"/>
          </w:tcPr>
          <w:p w14:paraId="1DF22BC6" w14:textId="77777777" w:rsidR="001F04FD" w:rsidRDefault="001F04FD" w:rsidP="00AC4DEE">
            <w:pPr>
              <w:pStyle w:val="TableHead"/>
            </w:pPr>
            <w:r>
              <w:t>Definition</w:t>
            </w:r>
          </w:p>
        </w:tc>
      </w:tr>
      <w:tr w:rsidR="001F04FD" w14:paraId="255AE27B" w14:textId="77777777" w:rsidTr="002401F7">
        <w:tc>
          <w:tcPr>
            <w:tcW w:w="2165" w:type="dxa"/>
          </w:tcPr>
          <w:p w14:paraId="264124A9" w14:textId="77777777" w:rsidR="001F04FD" w:rsidRDefault="001F04FD" w:rsidP="00AC4DEE">
            <w:pPr>
              <w:pStyle w:val="TableBody"/>
            </w:pPr>
            <w:r>
              <w:t xml:space="preserve">RTEIAMTQSETOT </w:t>
            </w:r>
            <w:r w:rsidRPr="00107CC2">
              <w:rPr>
                <w:i/>
                <w:vertAlign w:val="subscript"/>
              </w:rPr>
              <w:t>q</w:t>
            </w:r>
          </w:p>
        </w:tc>
        <w:tc>
          <w:tcPr>
            <w:tcW w:w="832" w:type="dxa"/>
          </w:tcPr>
          <w:p w14:paraId="2C28353F" w14:textId="77777777" w:rsidR="001F04FD" w:rsidRDefault="001F04FD" w:rsidP="00AC4DEE">
            <w:pPr>
              <w:pStyle w:val="TableBody"/>
            </w:pPr>
            <w:r>
              <w:t>$</w:t>
            </w:r>
          </w:p>
        </w:tc>
        <w:tc>
          <w:tcPr>
            <w:tcW w:w="6358" w:type="dxa"/>
          </w:tcPr>
          <w:p w14:paraId="1D8F812A"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Load Zone Settlement Points for the 15-minute Settlement Interval.</w:t>
            </w:r>
          </w:p>
        </w:tc>
      </w:tr>
      <w:tr w:rsidR="001F04FD" w14:paraId="77F60E64" w14:textId="77777777" w:rsidTr="002401F7">
        <w:tc>
          <w:tcPr>
            <w:tcW w:w="2165" w:type="dxa"/>
          </w:tcPr>
          <w:p w14:paraId="2AAF4155" w14:textId="77777777" w:rsidR="001F04FD" w:rsidRDefault="001F04FD" w:rsidP="00AC4DEE">
            <w:pPr>
              <w:pStyle w:val="TableBody"/>
            </w:pPr>
            <w:r>
              <w:t xml:space="preserve">RTEIAMT </w:t>
            </w:r>
            <w:r w:rsidRPr="00107CC2">
              <w:rPr>
                <w:i/>
                <w:vertAlign w:val="subscript"/>
              </w:rPr>
              <w:t>q, p</w:t>
            </w:r>
          </w:p>
        </w:tc>
        <w:tc>
          <w:tcPr>
            <w:tcW w:w="832" w:type="dxa"/>
          </w:tcPr>
          <w:p w14:paraId="206A19A5" w14:textId="77777777" w:rsidR="001F04FD" w:rsidRDefault="001F04FD" w:rsidP="00AC4DEE">
            <w:pPr>
              <w:pStyle w:val="TableBody"/>
            </w:pPr>
            <w:r>
              <w:t>$</w:t>
            </w:r>
          </w:p>
        </w:tc>
        <w:tc>
          <w:tcPr>
            <w:tcW w:w="6358" w:type="dxa"/>
          </w:tcPr>
          <w:p w14:paraId="21669886"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Real-Time Energy Imbalance Service at Settlement Point </w:t>
            </w:r>
            <w:r>
              <w:rPr>
                <w:i/>
              </w:rPr>
              <w:t>p</w:t>
            </w:r>
            <w:r>
              <w:t>, for the 15-minute Settlement Interval.</w:t>
            </w:r>
          </w:p>
        </w:tc>
      </w:tr>
      <w:tr w:rsidR="001F04FD" w14:paraId="4E9A5F76" w14:textId="77777777" w:rsidTr="002401F7">
        <w:tc>
          <w:tcPr>
            <w:tcW w:w="2165" w:type="dxa"/>
            <w:tcBorders>
              <w:top w:val="single" w:sz="4" w:space="0" w:color="auto"/>
              <w:left w:val="single" w:sz="4" w:space="0" w:color="auto"/>
              <w:bottom w:val="single" w:sz="4" w:space="0" w:color="auto"/>
              <w:right w:val="single" w:sz="4" w:space="0" w:color="auto"/>
            </w:tcBorders>
          </w:tcPr>
          <w:p w14:paraId="3592F7A2"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6232CB81"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51B602E8" w14:textId="77777777" w:rsidR="001F04FD" w:rsidRDefault="001F04FD" w:rsidP="00AC4DEE">
            <w:pPr>
              <w:pStyle w:val="TableBody"/>
            </w:pPr>
            <w:r>
              <w:t>A QSE.</w:t>
            </w:r>
          </w:p>
        </w:tc>
      </w:tr>
      <w:tr w:rsidR="001F04FD" w14:paraId="6ABD2B2A" w14:textId="77777777" w:rsidTr="002401F7">
        <w:tc>
          <w:tcPr>
            <w:tcW w:w="2165" w:type="dxa"/>
            <w:tcBorders>
              <w:top w:val="single" w:sz="4" w:space="0" w:color="auto"/>
              <w:left w:val="single" w:sz="4" w:space="0" w:color="auto"/>
              <w:bottom w:val="single" w:sz="4" w:space="0" w:color="auto"/>
              <w:right w:val="single" w:sz="4" w:space="0" w:color="auto"/>
            </w:tcBorders>
          </w:tcPr>
          <w:p w14:paraId="134D2243" w14:textId="77777777" w:rsidR="001F04FD" w:rsidRPr="008A4B73" w:rsidRDefault="001F04FD" w:rsidP="00AC4DEE">
            <w:pPr>
              <w:pStyle w:val="TableBody"/>
              <w:rPr>
                <w:i/>
              </w:rPr>
            </w:pPr>
            <w:r w:rsidRPr="00A61E91">
              <w:rPr>
                <w:i/>
              </w:rPr>
              <w:lastRenderedPageBreak/>
              <w:t>p</w:t>
            </w:r>
          </w:p>
        </w:tc>
        <w:tc>
          <w:tcPr>
            <w:tcW w:w="832" w:type="dxa"/>
            <w:tcBorders>
              <w:top w:val="single" w:sz="4" w:space="0" w:color="auto"/>
              <w:left w:val="single" w:sz="4" w:space="0" w:color="auto"/>
              <w:bottom w:val="single" w:sz="4" w:space="0" w:color="auto"/>
              <w:right w:val="single" w:sz="4" w:space="0" w:color="auto"/>
            </w:tcBorders>
          </w:tcPr>
          <w:p w14:paraId="11282980"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4CCCE014" w14:textId="77777777" w:rsidR="001F04FD" w:rsidRDefault="001F04FD" w:rsidP="00AC4DEE">
            <w:pPr>
              <w:pStyle w:val="TableBody"/>
            </w:pPr>
            <w:r>
              <w:t>A Load Zone Settlement Point.</w:t>
            </w:r>
          </w:p>
        </w:tc>
      </w:tr>
    </w:tbl>
    <w:p w14:paraId="762DEA88" w14:textId="77777777" w:rsidR="001F04FD" w:rsidRDefault="001F04FD" w:rsidP="001F04FD">
      <w:pPr>
        <w:pStyle w:val="H4"/>
        <w:spacing w:before="480"/>
        <w:ind w:left="1267" w:hanging="1267"/>
      </w:pPr>
      <w:bookmarkStart w:id="1880" w:name="_Toc118199817"/>
      <w:bookmarkStart w:id="1881" w:name="_Toc118200329"/>
      <w:bookmarkStart w:id="1882" w:name="_Toc118908572"/>
      <w:bookmarkStart w:id="1883" w:name="_Toc119180743"/>
      <w:bookmarkStart w:id="1884" w:name="_Toc397505015"/>
      <w:bookmarkStart w:id="1885" w:name="_Toc402357143"/>
      <w:bookmarkStart w:id="1886" w:name="_Toc422486521"/>
      <w:bookmarkStart w:id="1887" w:name="_Toc433093373"/>
      <w:bookmarkStart w:id="1888" w:name="_Toc433093531"/>
      <w:bookmarkStart w:id="1889" w:name="_Toc440874759"/>
      <w:bookmarkStart w:id="1890" w:name="_Toc448142314"/>
      <w:bookmarkStart w:id="1891" w:name="_Toc448142471"/>
      <w:bookmarkStart w:id="1892" w:name="_Toc458770312"/>
      <w:bookmarkStart w:id="1893" w:name="_Toc459294280"/>
      <w:bookmarkStart w:id="1894" w:name="_Toc463262773"/>
      <w:bookmarkStart w:id="1895" w:name="_Toc468286846"/>
      <w:bookmarkStart w:id="1896" w:name="_Toc481502889"/>
      <w:bookmarkStart w:id="1897" w:name="_Toc496080057"/>
      <w:bookmarkStart w:id="1898" w:name="_Toc189044414"/>
      <w:r>
        <w:t>6.6.3.3</w:t>
      </w:r>
      <w:r>
        <w:tab/>
        <w:t>Real-Time Energy Imbalance Payment or Charge at a Hub</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5A8B6269"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Hub Settlement Point: </w:t>
      </w:r>
    </w:p>
    <w:p w14:paraId="304B2B7D" w14:textId="77777777" w:rsidR="001F04FD" w:rsidRDefault="001F04FD" w:rsidP="001F04FD">
      <w:pPr>
        <w:pStyle w:val="BodyTextNumbered"/>
        <w:ind w:left="1440"/>
      </w:pPr>
      <w:r>
        <w:t>(a)</w:t>
      </w:r>
      <w:r>
        <w:tab/>
        <w:t xml:space="preserve">The amount of its Self-Schedules with sink specified at the Settlement Point; plus </w:t>
      </w:r>
    </w:p>
    <w:p w14:paraId="4ED02FFA" w14:textId="77777777" w:rsidR="001F04FD" w:rsidRDefault="001F04FD" w:rsidP="001F04FD">
      <w:pPr>
        <w:pStyle w:val="BodyTextNumbered"/>
        <w:ind w:left="1440"/>
      </w:pPr>
      <w:r>
        <w:t>(b)</w:t>
      </w:r>
      <w:r>
        <w:tab/>
        <w:t xml:space="preserve">The amount of its DAM Energy Bids cleared in the DAM at the Settlement Point; plus </w:t>
      </w:r>
    </w:p>
    <w:p w14:paraId="23CD744C" w14:textId="77777777" w:rsidR="001F04FD" w:rsidRDefault="001F04FD" w:rsidP="001F04FD">
      <w:pPr>
        <w:pStyle w:val="BodyTextNumbered"/>
        <w:ind w:left="1440"/>
      </w:pPr>
      <w:r>
        <w:t>(c)</w:t>
      </w:r>
      <w:r>
        <w:tab/>
        <w:t xml:space="preserve">The amount of its Energy Trades at the Settlement Point where the QSE is the buyer; minus </w:t>
      </w:r>
    </w:p>
    <w:p w14:paraId="1BF33F5C" w14:textId="77777777" w:rsidR="001F04FD" w:rsidRDefault="001F04FD" w:rsidP="001F04FD">
      <w:pPr>
        <w:pStyle w:val="BodyTextNumbered"/>
        <w:ind w:left="1440"/>
      </w:pPr>
      <w:r>
        <w:t>(d)</w:t>
      </w:r>
      <w:r>
        <w:tab/>
        <w:t xml:space="preserve">The amount of its Self-Schedules with source specified at the Settlement Point; minus </w:t>
      </w:r>
    </w:p>
    <w:p w14:paraId="5DD2654A" w14:textId="77777777" w:rsidR="001F04FD" w:rsidRDefault="001F04FD" w:rsidP="001F04FD">
      <w:pPr>
        <w:pStyle w:val="BodyTextNumbered"/>
        <w:ind w:left="1440"/>
      </w:pPr>
      <w:r>
        <w:t>(e)</w:t>
      </w:r>
      <w:r>
        <w:tab/>
        <w:t xml:space="preserve">The amount of its energy offers cleared in the DAM at the Settlement Point; minus </w:t>
      </w:r>
    </w:p>
    <w:p w14:paraId="6B84C2EA" w14:textId="77777777" w:rsidR="001F04FD" w:rsidRDefault="001F04FD" w:rsidP="001F04FD">
      <w:pPr>
        <w:pStyle w:val="BodyTextNumbered"/>
        <w:ind w:left="1440"/>
      </w:pPr>
      <w:r>
        <w:t>(f)</w:t>
      </w:r>
      <w:r>
        <w:tab/>
        <w:t xml:space="preserve">The amount of its Energy Trades at the Settlement Point where the QSE is the seller. </w:t>
      </w:r>
    </w:p>
    <w:p w14:paraId="5F366E96"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Hub for a given 15-minute Settlement Interval is calculated as follows:</w:t>
      </w:r>
    </w:p>
    <w:p w14:paraId="463D59C4" w14:textId="77777777" w:rsidR="001F04FD" w:rsidRDefault="001F04FD" w:rsidP="001F04FD">
      <w:pPr>
        <w:pStyle w:val="FormulaBold"/>
        <w:ind w:left="3240" w:hanging="2520"/>
        <w:rPr>
          <w:sz w:val="32"/>
        </w:rPr>
      </w:pPr>
      <w:r>
        <w:t xml:space="preserve">RTEIAMT </w:t>
      </w:r>
      <w:r>
        <w:rPr>
          <w:i/>
          <w:vertAlign w:val="subscript"/>
        </w:rPr>
        <w:t>q, p</w:t>
      </w:r>
      <w:r>
        <w:tab/>
        <w:t>=</w:t>
      </w:r>
      <w:r>
        <w:tab/>
        <w:t xml:space="preserve">(-1) * RTSPP </w:t>
      </w:r>
      <w:r>
        <w:rPr>
          <w:i/>
          <w:vertAlign w:val="subscript"/>
        </w:rPr>
        <w:t>p</w:t>
      </w:r>
      <w:r>
        <w:t xml:space="preserve"> * </w:t>
      </w:r>
      <w:r>
        <w:rPr>
          <w:sz w:val="32"/>
        </w:rPr>
        <w:t>{</w:t>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p w14:paraId="3AA995E9" w14:textId="77777777" w:rsidR="001F04FD" w:rsidRPr="009200C6" w:rsidRDefault="001F04FD" w:rsidP="001F04FD">
      <w:pPr>
        <w:pStyle w:val="FormulaBold"/>
        <w:ind w:left="3150" w:hanging="2430"/>
        <w:rPr>
          <w:b w:val="0"/>
        </w:rPr>
      </w:pPr>
      <w:r w:rsidRPr="009200C6">
        <w:rPr>
          <w:b w:val="0"/>
        </w:rPr>
        <w:t>And</w:t>
      </w:r>
    </w:p>
    <w:p w14:paraId="16E8E017" w14:textId="77777777" w:rsidR="001F04FD" w:rsidRDefault="001F04FD" w:rsidP="001F04FD">
      <w:pPr>
        <w:pStyle w:val="FormulaBold"/>
        <w:ind w:left="3240" w:hanging="2520"/>
      </w:pPr>
      <w:r>
        <w:t>HBIMBAL</w:t>
      </w:r>
      <w:r w:rsidRPr="00D17F07">
        <w:rPr>
          <w:i/>
          <w:vertAlign w:val="subscript"/>
        </w:rPr>
        <w:t xml:space="preserve"> </w:t>
      </w:r>
      <w:r>
        <w:rPr>
          <w:i/>
          <w:vertAlign w:val="subscript"/>
        </w:rPr>
        <w:t>q, p</w:t>
      </w:r>
      <w:r>
        <w:rPr>
          <w:i/>
          <w:vertAlign w:val="subscript"/>
        </w:rPr>
        <w:tab/>
        <w:t>=</w:t>
      </w:r>
      <w:r>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p w14:paraId="7EE9A107"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234B116E" w14:textId="77777777" w:rsidTr="00AC4DEE">
        <w:trPr>
          <w:tblHeader/>
        </w:trPr>
        <w:tc>
          <w:tcPr>
            <w:tcW w:w="1630" w:type="dxa"/>
          </w:tcPr>
          <w:p w14:paraId="63D37F1B" w14:textId="77777777" w:rsidR="001F04FD" w:rsidRDefault="001F04FD" w:rsidP="00AC4DEE">
            <w:pPr>
              <w:pStyle w:val="TableHead"/>
            </w:pPr>
            <w:r>
              <w:t>Variable</w:t>
            </w:r>
          </w:p>
        </w:tc>
        <w:tc>
          <w:tcPr>
            <w:tcW w:w="0" w:type="auto"/>
          </w:tcPr>
          <w:p w14:paraId="43C0087F" w14:textId="77777777" w:rsidR="001F04FD" w:rsidRDefault="001F04FD" w:rsidP="00AC4DEE">
            <w:pPr>
              <w:pStyle w:val="TableHead"/>
            </w:pPr>
            <w:r>
              <w:t>Unit</w:t>
            </w:r>
          </w:p>
        </w:tc>
        <w:tc>
          <w:tcPr>
            <w:tcW w:w="0" w:type="auto"/>
          </w:tcPr>
          <w:p w14:paraId="3912DA3C" w14:textId="77777777" w:rsidR="001F04FD" w:rsidRDefault="001F04FD" w:rsidP="00AC4DEE">
            <w:pPr>
              <w:pStyle w:val="TableHead"/>
            </w:pPr>
            <w:r>
              <w:t>Description</w:t>
            </w:r>
          </w:p>
        </w:tc>
      </w:tr>
      <w:tr w:rsidR="001F04FD" w14:paraId="20AF4026" w14:textId="77777777" w:rsidTr="00AC4DEE">
        <w:tc>
          <w:tcPr>
            <w:tcW w:w="1630" w:type="dxa"/>
          </w:tcPr>
          <w:p w14:paraId="11E87671" w14:textId="77777777" w:rsidR="001F04FD" w:rsidRDefault="001F04FD" w:rsidP="00AC4DEE">
            <w:pPr>
              <w:pStyle w:val="TableBody"/>
            </w:pPr>
            <w:r>
              <w:t xml:space="preserve">RTEIAMT </w:t>
            </w:r>
            <w:r w:rsidRPr="00003395">
              <w:rPr>
                <w:i/>
                <w:vertAlign w:val="subscript"/>
              </w:rPr>
              <w:t>q, p</w:t>
            </w:r>
          </w:p>
        </w:tc>
        <w:tc>
          <w:tcPr>
            <w:tcW w:w="0" w:type="auto"/>
          </w:tcPr>
          <w:p w14:paraId="1E14797C" w14:textId="77777777" w:rsidR="001F04FD" w:rsidRDefault="001F04FD" w:rsidP="00AC4DEE">
            <w:pPr>
              <w:pStyle w:val="TableBody"/>
            </w:pPr>
            <w:r>
              <w:t>$</w:t>
            </w:r>
          </w:p>
        </w:tc>
        <w:tc>
          <w:tcPr>
            <w:tcW w:w="0" w:type="auto"/>
          </w:tcPr>
          <w:p w14:paraId="128558E0"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6CC896DA" w14:textId="77777777" w:rsidTr="00AC4DEE">
        <w:tc>
          <w:tcPr>
            <w:tcW w:w="1630" w:type="dxa"/>
          </w:tcPr>
          <w:p w14:paraId="7E3CC32C" w14:textId="77777777" w:rsidR="001F04FD" w:rsidRDefault="001F04FD" w:rsidP="00AC4DEE">
            <w:pPr>
              <w:pStyle w:val="TableBody"/>
            </w:pPr>
            <w:r>
              <w:t>HBIMBAL</w:t>
            </w:r>
            <w:r w:rsidRPr="00D17F07">
              <w:rPr>
                <w:i/>
                <w:vertAlign w:val="subscript"/>
              </w:rPr>
              <w:t xml:space="preserve"> </w:t>
            </w:r>
            <w:r>
              <w:rPr>
                <w:i/>
                <w:vertAlign w:val="subscript"/>
              </w:rPr>
              <w:t>q, p</w:t>
            </w:r>
          </w:p>
        </w:tc>
        <w:tc>
          <w:tcPr>
            <w:tcW w:w="0" w:type="auto"/>
          </w:tcPr>
          <w:p w14:paraId="7C187939" w14:textId="77777777" w:rsidR="001F04FD" w:rsidRDefault="001F04FD" w:rsidP="00AC4DEE">
            <w:pPr>
              <w:pStyle w:val="TableBody"/>
            </w:pPr>
            <w:r>
              <w:t>MWh</w:t>
            </w:r>
          </w:p>
        </w:tc>
        <w:tc>
          <w:tcPr>
            <w:tcW w:w="0" w:type="auto"/>
          </w:tcPr>
          <w:p w14:paraId="51EF84DB" w14:textId="77777777" w:rsidR="001F04FD" w:rsidRDefault="001F04FD" w:rsidP="00AC4DEE">
            <w:pPr>
              <w:pStyle w:val="TableBody"/>
              <w:rPr>
                <w:i/>
              </w:rPr>
            </w:pPr>
            <w:r>
              <w:rPr>
                <w:i/>
              </w:rPr>
              <w:t>Hub Energy Imbalance per QSE per Settlement Point</w:t>
            </w:r>
            <w:r>
              <w:t xml:space="preserve">—The Hub volumetric imbalance for QSE </w:t>
            </w:r>
            <w:r>
              <w:rPr>
                <w:i/>
              </w:rPr>
              <w:t>q</w:t>
            </w:r>
            <w:r>
              <w:t xml:space="preserve"> for Real-Time Energy Imbalance Service at Settlement Point </w:t>
            </w:r>
            <w:r>
              <w:rPr>
                <w:i/>
              </w:rPr>
              <w:t>p</w:t>
            </w:r>
            <w:r>
              <w:t>, for the 15-minute Settlement Interval.</w:t>
            </w:r>
          </w:p>
        </w:tc>
      </w:tr>
      <w:tr w:rsidR="001F04FD" w14:paraId="646092E7" w14:textId="77777777" w:rsidTr="00AC4DEE">
        <w:tc>
          <w:tcPr>
            <w:tcW w:w="1630" w:type="dxa"/>
          </w:tcPr>
          <w:p w14:paraId="66502C78" w14:textId="77777777" w:rsidR="001F04FD" w:rsidRDefault="001F04FD" w:rsidP="00AC4DEE">
            <w:pPr>
              <w:pStyle w:val="TableBody"/>
            </w:pPr>
            <w:r>
              <w:t>RTSPP</w:t>
            </w:r>
            <w:r w:rsidRPr="00003395">
              <w:rPr>
                <w:i/>
              </w:rPr>
              <w:t xml:space="preserve"> </w:t>
            </w:r>
            <w:r w:rsidRPr="00003395">
              <w:rPr>
                <w:i/>
                <w:vertAlign w:val="subscript"/>
              </w:rPr>
              <w:t>p</w:t>
            </w:r>
          </w:p>
        </w:tc>
        <w:tc>
          <w:tcPr>
            <w:tcW w:w="0" w:type="auto"/>
          </w:tcPr>
          <w:p w14:paraId="2CC6DA6D" w14:textId="77777777" w:rsidR="001F04FD" w:rsidRDefault="001F04FD" w:rsidP="00AC4DEE">
            <w:pPr>
              <w:pStyle w:val="TableBody"/>
            </w:pPr>
            <w:r>
              <w:t>$/MWh</w:t>
            </w:r>
          </w:p>
        </w:tc>
        <w:tc>
          <w:tcPr>
            <w:tcW w:w="0" w:type="auto"/>
          </w:tcPr>
          <w:p w14:paraId="63B6517A"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09CCBEA0" w14:textId="77777777" w:rsidTr="00AC4DEE">
        <w:tc>
          <w:tcPr>
            <w:tcW w:w="1630" w:type="dxa"/>
          </w:tcPr>
          <w:p w14:paraId="67F0A319" w14:textId="77777777" w:rsidR="001F04FD" w:rsidRDefault="001F04FD" w:rsidP="00AC4DEE">
            <w:pPr>
              <w:pStyle w:val="TableBody"/>
            </w:pPr>
            <w:r>
              <w:lastRenderedPageBreak/>
              <w:t xml:space="preserve">SSSK </w:t>
            </w:r>
            <w:r w:rsidRPr="00003395">
              <w:rPr>
                <w:i/>
                <w:vertAlign w:val="subscript"/>
              </w:rPr>
              <w:t>q, p</w:t>
            </w:r>
          </w:p>
        </w:tc>
        <w:tc>
          <w:tcPr>
            <w:tcW w:w="0" w:type="auto"/>
          </w:tcPr>
          <w:p w14:paraId="15ADE79A" w14:textId="77777777" w:rsidR="001F04FD" w:rsidRDefault="001F04FD" w:rsidP="00AC4DEE">
            <w:pPr>
              <w:pStyle w:val="TableBody"/>
            </w:pPr>
            <w:r>
              <w:t>MW</w:t>
            </w:r>
          </w:p>
        </w:tc>
        <w:tc>
          <w:tcPr>
            <w:tcW w:w="0" w:type="auto"/>
          </w:tcPr>
          <w:p w14:paraId="4B9AB98A"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05F5471B" w14:textId="77777777" w:rsidTr="00AC4DEE">
        <w:tc>
          <w:tcPr>
            <w:tcW w:w="1630" w:type="dxa"/>
          </w:tcPr>
          <w:p w14:paraId="0EB9AB49" w14:textId="77777777" w:rsidR="001F04FD" w:rsidRDefault="001F04FD" w:rsidP="00AC4DEE">
            <w:pPr>
              <w:pStyle w:val="TableBody"/>
            </w:pPr>
            <w:r>
              <w:t xml:space="preserve">DAEP </w:t>
            </w:r>
            <w:r w:rsidRPr="00003395">
              <w:rPr>
                <w:i/>
                <w:vertAlign w:val="subscript"/>
              </w:rPr>
              <w:t>q, p</w:t>
            </w:r>
          </w:p>
        </w:tc>
        <w:tc>
          <w:tcPr>
            <w:tcW w:w="0" w:type="auto"/>
          </w:tcPr>
          <w:p w14:paraId="03ECDAFA" w14:textId="77777777" w:rsidR="001F04FD" w:rsidRDefault="001F04FD" w:rsidP="00AC4DEE">
            <w:pPr>
              <w:pStyle w:val="TableBody"/>
            </w:pPr>
            <w:r>
              <w:t>MW</w:t>
            </w:r>
          </w:p>
        </w:tc>
        <w:tc>
          <w:tcPr>
            <w:tcW w:w="0" w:type="auto"/>
          </w:tcPr>
          <w:p w14:paraId="309958ED"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48CC7493" w14:textId="77777777" w:rsidTr="00AC4DEE">
        <w:tc>
          <w:tcPr>
            <w:tcW w:w="1630" w:type="dxa"/>
          </w:tcPr>
          <w:p w14:paraId="2DB58378" w14:textId="77777777" w:rsidR="001F04FD" w:rsidRDefault="001F04FD" w:rsidP="00AC4DEE">
            <w:pPr>
              <w:pStyle w:val="TableBody"/>
            </w:pPr>
            <w:r>
              <w:t xml:space="preserve">RTQQEP </w:t>
            </w:r>
            <w:r w:rsidRPr="00003395">
              <w:rPr>
                <w:i/>
                <w:vertAlign w:val="subscript"/>
              </w:rPr>
              <w:t>q, p</w:t>
            </w:r>
            <w:r>
              <w:t xml:space="preserve"> </w:t>
            </w:r>
          </w:p>
        </w:tc>
        <w:tc>
          <w:tcPr>
            <w:tcW w:w="0" w:type="auto"/>
          </w:tcPr>
          <w:p w14:paraId="27814FF6" w14:textId="77777777" w:rsidR="001F04FD" w:rsidRDefault="001F04FD" w:rsidP="00AC4DEE">
            <w:pPr>
              <w:pStyle w:val="TableBody"/>
            </w:pPr>
            <w:r>
              <w:t>MW</w:t>
            </w:r>
          </w:p>
        </w:tc>
        <w:tc>
          <w:tcPr>
            <w:tcW w:w="0" w:type="auto"/>
          </w:tcPr>
          <w:p w14:paraId="26E56124"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466E9464" w14:textId="77777777" w:rsidTr="00AC4DEE">
        <w:tc>
          <w:tcPr>
            <w:tcW w:w="1630" w:type="dxa"/>
          </w:tcPr>
          <w:p w14:paraId="66A104B7" w14:textId="77777777" w:rsidR="001F04FD" w:rsidRDefault="001F04FD" w:rsidP="00AC4DEE">
            <w:pPr>
              <w:pStyle w:val="TableBody"/>
            </w:pPr>
            <w:r>
              <w:t xml:space="preserve">SSSR </w:t>
            </w:r>
            <w:r w:rsidRPr="00003395">
              <w:rPr>
                <w:i/>
                <w:vertAlign w:val="subscript"/>
              </w:rPr>
              <w:t>q, p</w:t>
            </w:r>
          </w:p>
        </w:tc>
        <w:tc>
          <w:tcPr>
            <w:tcW w:w="0" w:type="auto"/>
          </w:tcPr>
          <w:p w14:paraId="4A3ECE1A" w14:textId="77777777" w:rsidR="001F04FD" w:rsidRDefault="001F04FD" w:rsidP="00AC4DEE">
            <w:pPr>
              <w:pStyle w:val="TableBody"/>
            </w:pPr>
            <w:r>
              <w:t>MW</w:t>
            </w:r>
          </w:p>
        </w:tc>
        <w:tc>
          <w:tcPr>
            <w:tcW w:w="0" w:type="auto"/>
          </w:tcPr>
          <w:p w14:paraId="66758B51"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7556032D" w14:textId="77777777" w:rsidTr="00AC4DEE">
        <w:tc>
          <w:tcPr>
            <w:tcW w:w="1630" w:type="dxa"/>
          </w:tcPr>
          <w:p w14:paraId="1B3FA4BC" w14:textId="77777777" w:rsidR="001F04FD" w:rsidRDefault="001F04FD" w:rsidP="00AC4DEE">
            <w:pPr>
              <w:pStyle w:val="TableBody"/>
            </w:pPr>
            <w:r>
              <w:t xml:space="preserve">DAES </w:t>
            </w:r>
            <w:r w:rsidRPr="00003395">
              <w:rPr>
                <w:i/>
                <w:vertAlign w:val="subscript"/>
              </w:rPr>
              <w:t>q, p</w:t>
            </w:r>
          </w:p>
        </w:tc>
        <w:tc>
          <w:tcPr>
            <w:tcW w:w="0" w:type="auto"/>
          </w:tcPr>
          <w:p w14:paraId="739F830E" w14:textId="77777777" w:rsidR="001F04FD" w:rsidRDefault="001F04FD" w:rsidP="00AC4DEE">
            <w:pPr>
              <w:pStyle w:val="TableBody"/>
            </w:pPr>
            <w:r>
              <w:t>MW</w:t>
            </w:r>
          </w:p>
        </w:tc>
        <w:tc>
          <w:tcPr>
            <w:tcW w:w="0" w:type="auto"/>
          </w:tcPr>
          <w:p w14:paraId="4973AA38"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0AEB87A" w14:textId="77777777" w:rsidTr="00AC4DEE">
        <w:tc>
          <w:tcPr>
            <w:tcW w:w="1630" w:type="dxa"/>
          </w:tcPr>
          <w:p w14:paraId="7FC4D792" w14:textId="77777777" w:rsidR="001F04FD" w:rsidRDefault="001F04FD" w:rsidP="00AC4DEE">
            <w:pPr>
              <w:pStyle w:val="TableBody"/>
            </w:pPr>
            <w:r>
              <w:t xml:space="preserve">RTQQES </w:t>
            </w:r>
            <w:r w:rsidRPr="00003395">
              <w:rPr>
                <w:i/>
                <w:vertAlign w:val="subscript"/>
              </w:rPr>
              <w:t>q, p</w:t>
            </w:r>
            <w:r>
              <w:t xml:space="preserve"> </w:t>
            </w:r>
          </w:p>
        </w:tc>
        <w:tc>
          <w:tcPr>
            <w:tcW w:w="0" w:type="auto"/>
          </w:tcPr>
          <w:p w14:paraId="3D8EF08E" w14:textId="77777777" w:rsidR="001F04FD" w:rsidRDefault="001F04FD" w:rsidP="00AC4DEE">
            <w:pPr>
              <w:pStyle w:val="TableBody"/>
            </w:pPr>
            <w:r>
              <w:t>MW</w:t>
            </w:r>
          </w:p>
        </w:tc>
        <w:tc>
          <w:tcPr>
            <w:tcW w:w="0" w:type="auto"/>
          </w:tcPr>
          <w:p w14:paraId="2FAF3C7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05FC7EE0" w14:textId="77777777" w:rsidTr="00AC4DEE">
        <w:tc>
          <w:tcPr>
            <w:tcW w:w="1630" w:type="dxa"/>
          </w:tcPr>
          <w:p w14:paraId="79E82311" w14:textId="77777777" w:rsidR="001F04FD" w:rsidRPr="008A4B73" w:rsidRDefault="001F04FD" w:rsidP="00AC4DEE">
            <w:pPr>
              <w:pStyle w:val="TableBody"/>
              <w:rPr>
                <w:i/>
              </w:rPr>
            </w:pPr>
            <w:r w:rsidRPr="00A61E91">
              <w:rPr>
                <w:i/>
              </w:rPr>
              <w:t>q</w:t>
            </w:r>
          </w:p>
        </w:tc>
        <w:tc>
          <w:tcPr>
            <w:tcW w:w="0" w:type="auto"/>
          </w:tcPr>
          <w:p w14:paraId="59964207" w14:textId="77777777" w:rsidR="001F04FD" w:rsidRDefault="001F04FD" w:rsidP="00AC4DEE">
            <w:pPr>
              <w:pStyle w:val="TableBody"/>
            </w:pPr>
            <w:r>
              <w:t>none</w:t>
            </w:r>
          </w:p>
        </w:tc>
        <w:tc>
          <w:tcPr>
            <w:tcW w:w="0" w:type="auto"/>
          </w:tcPr>
          <w:p w14:paraId="746FF44F" w14:textId="77777777" w:rsidR="001F04FD" w:rsidRDefault="001F04FD" w:rsidP="00AC4DEE">
            <w:pPr>
              <w:pStyle w:val="TableBody"/>
            </w:pPr>
            <w:r>
              <w:t>A QSE.</w:t>
            </w:r>
          </w:p>
        </w:tc>
      </w:tr>
      <w:tr w:rsidR="001F04FD" w14:paraId="70942CEB" w14:textId="77777777" w:rsidTr="00AC4DEE">
        <w:tc>
          <w:tcPr>
            <w:tcW w:w="1630" w:type="dxa"/>
          </w:tcPr>
          <w:p w14:paraId="429C1ABC" w14:textId="77777777" w:rsidR="001F04FD" w:rsidRPr="008A4B73" w:rsidRDefault="001F04FD" w:rsidP="00AC4DEE">
            <w:pPr>
              <w:pStyle w:val="TableBody"/>
              <w:rPr>
                <w:i/>
              </w:rPr>
            </w:pPr>
            <w:r w:rsidRPr="00A61E91">
              <w:rPr>
                <w:i/>
              </w:rPr>
              <w:t>p</w:t>
            </w:r>
          </w:p>
        </w:tc>
        <w:tc>
          <w:tcPr>
            <w:tcW w:w="0" w:type="auto"/>
          </w:tcPr>
          <w:p w14:paraId="79BA8372" w14:textId="77777777" w:rsidR="001F04FD" w:rsidRDefault="001F04FD" w:rsidP="00AC4DEE">
            <w:pPr>
              <w:pStyle w:val="TableBody"/>
            </w:pPr>
            <w:r>
              <w:t>none</w:t>
            </w:r>
          </w:p>
        </w:tc>
        <w:tc>
          <w:tcPr>
            <w:tcW w:w="0" w:type="auto"/>
          </w:tcPr>
          <w:p w14:paraId="0351B4DD" w14:textId="77777777" w:rsidR="001F04FD" w:rsidRDefault="001F04FD" w:rsidP="00AC4DEE">
            <w:pPr>
              <w:pStyle w:val="TableBody"/>
            </w:pPr>
            <w:r>
              <w:t>A Hub Settlement Point.</w:t>
            </w:r>
          </w:p>
        </w:tc>
      </w:tr>
    </w:tbl>
    <w:p w14:paraId="7F8C1AC5" w14:textId="77777777" w:rsidR="001F04FD" w:rsidRDefault="001F04FD" w:rsidP="001F04FD">
      <w:pPr>
        <w:pStyle w:val="BodyTextNumbered"/>
        <w:spacing w:before="240"/>
      </w:pPr>
      <w:r>
        <w:t>(3)</w:t>
      </w:r>
      <w:r>
        <w:tab/>
        <w:t>The total net payments and charges to each QSE for Energy Imbalance Service at all Hubs for the 15-minute Settlement Interval is calculated as follows:</w:t>
      </w:r>
    </w:p>
    <w:p w14:paraId="3CEC01F6" w14:textId="77777777" w:rsidR="001F04FD" w:rsidRDefault="001F04FD" w:rsidP="001F04FD">
      <w:pPr>
        <w:ind w:left="720"/>
        <w:rPr>
          <w:b/>
        </w:rPr>
      </w:pPr>
      <w:r w:rsidRPr="00A61E91">
        <w:rPr>
          <w:b/>
        </w:rPr>
        <w:t xml:space="preserve">RTEIAMTQSETOT </w:t>
      </w:r>
      <w:r w:rsidRPr="00A61E91">
        <w:rPr>
          <w:b/>
          <w:i/>
          <w:vertAlign w:val="subscript"/>
        </w:rPr>
        <w:t>q</w:t>
      </w:r>
      <w:r w:rsidRPr="00A61E91">
        <w:rPr>
          <w:b/>
        </w:rPr>
        <w:tab/>
        <w:t>=</w:t>
      </w:r>
      <w:r w:rsidRPr="00A61E91">
        <w:rPr>
          <w:b/>
        </w:rPr>
        <w:tab/>
      </w:r>
      <w:r w:rsidRPr="008A4B73">
        <w:rPr>
          <w:b/>
          <w:position w:val="-22"/>
        </w:rPr>
        <w:object w:dxaOrig="225" w:dyaOrig="465" w14:anchorId="0C3398CB">
          <v:shape id="_x0000_i1157" type="#_x0000_t75" style="width:12pt;height:18pt" o:ole="">
            <v:imagedata r:id="rId172" o:title=""/>
          </v:shape>
          <o:OLEObject Type="Embed" ProgID="Equation.3" ShapeID="_x0000_i1157" DrawAspect="Content" ObjectID="_1804653642" r:id="rId175"/>
        </w:object>
      </w:r>
      <w:r w:rsidRPr="00A61E91">
        <w:rPr>
          <w:b/>
        </w:rPr>
        <w:t xml:space="preserve">RTEIAMT </w:t>
      </w:r>
      <w:r w:rsidRPr="00A61E91">
        <w:rPr>
          <w:b/>
          <w:i/>
          <w:vertAlign w:val="subscript"/>
        </w:rPr>
        <w:t>q, p</w:t>
      </w:r>
    </w:p>
    <w:p w14:paraId="451400BA"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831"/>
      </w:tblGrid>
      <w:tr w:rsidR="001F04FD" w14:paraId="779F6507" w14:textId="77777777" w:rsidTr="00AC4DEE">
        <w:tc>
          <w:tcPr>
            <w:tcW w:w="2165" w:type="dxa"/>
          </w:tcPr>
          <w:p w14:paraId="2B6CA88D" w14:textId="77777777" w:rsidR="001F04FD" w:rsidRDefault="001F04FD" w:rsidP="00AC4DEE">
            <w:pPr>
              <w:pStyle w:val="TableHead"/>
            </w:pPr>
            <w:r>
              <w:t>Variable</w:t>
            </w:r>
          </w:p>
        </w:tc>
        <w:tc>
          <w:tcPr>
            <w:tcW w:w="832" w:type="dxa"/>
          </w:tcPr>
          <w:p w14:paraId="028AFFEB" w14:textId="77777777" w:rsidR="001F04FD" w:rsidRDefault="001F04FD" w:rsidP="00AC4DEE">
            <w:pPr>
              <w:pStyle w:val="TableHead"/>
            </w:pPr>
            <w:r>
              <w:t>Unit</w:t>
            </w:r>
          </w:p>
        </w:tc>
        <w:tc>
          <w:tcPr>
            <w:tcW w:w="6831" w:type="dxa"/>
          </w:tcPr>
          <w:p w14:paraId="298893EB" w14:textId="77777777" w:rsidR="001F04FD" w:rsidRDefault="001F04FD" w:rsidP="00AC4DEE">
            <w:pPr>
              <w:pStyle w:val="TableHead"/>
            </w:pPr>
            <w:r>
              <w:t>Definition</w:t>
            </w:r>
          </w:p>
        </w:tc>
      </w:tr>
      <w:tr w:rsidR="001F04FD" w14:paraId="66966675" w14:textId="77777777" w:rsidTr="00AC4DEE">
        <w:tc>
          <w:tcPr>
            <w:tcW w:w="2165" w:type="dxa"/>
          </w:tcPr>
          <w:p w14:paraId="38F3B966" w14:textId="77777777" w:rsidR="001F04FD" w:rsidRDefault="001F04FD" w:rsidP="00AC4DEE">
            <w:pPr>
              <w:pStyle w:val="TableBody"/>
            </w:pPr>
            <w:r>
              <w:t xml:space="preserve">RTEIAMTQSETOT </w:t>
            </w:r>
            <w:r w:rsidRPr="00003395">
              <w:rPr>
                <w:i/>
                <w:vertAlign w:val="subscript"/>
              </w:rPr>
              <w:t>q</w:t>
            </w:r>
          </w:p>
        </w:tc>
        <w:tc>
          <w:tcPr>
            <w:tcW w:w="832" w:type="dxa"/>
          </w:tcPr>
          <w:p w14:paraId="791C61A2" w14:textId="77777777" w:rsidR="001F04FD" w:rsidRDefault="001F04FD" w:rsidP="00AC4DEE">
            <w:pPr>
              <w:pStyle w:val="TableBody"/>
            </w:pPr>
            <w:r>
              <w:t>$</w:t>
            </w:r>
          </w:p>
        </w:tc>
        <w:tc>
          <w:tcPr>
            <w:tcW w:w="6831" w:type="dxa"/>
          </w:tcPr>
          <w:p w14:paraId="50DA6D0D"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at all Hub Settlement Points for the 15-minute Settlement Interval.</w:t>
            </w:r>
          </w:p>
        </w:tc>
      </w:tr>
      <w:tr w:rsidR="001F04FD" w14:paraId="2D8441B1" w14:textId="77777777" w:rsidTr="00AC4DEE">
        <w:tc>
          <w:tcPr>
            <w:tcW w:w="2165" w:type="dxa"/>
          </w:tcPr>
          <w:p w14:paraId="32E5956F" w14:textId="77777777" w:rsidR="001F04FD" w:rsidRDefault="001F04FD" w:rsidP="00AC4DEE">
            <w:pPr>
              <w:pStyle w:val="TableBody"/>
            </w:pPr>
            <w:r>
              <w:t xml:space="preserve">RTEIAMT </w:t>
            </w:r>
            <w:r w:rsidRPr="00003395">
              <w:rPr>
                <w:i/>
                <w:vertAlign w:val="subscript"/>
              </w:rPr>
              <w:t>q, p</w:t>
            </w:r>
          </w:p>
        </w:tc>
        <w:tc>
          <w:tcPr>
            <w:tcW w:w="832" w:type="dxa"/>
          </w:tcPr>
          <w:p w14:paraId="2CA291A0" w14:textId="77777777" w:rsidR="001F04FD" w:rsidRDefault="001F04FD" w:rsidP="00AC4DEE">
            <w:pPr>
              <w:pStyle w:val="TableBody"/>
            </w:pPr>
            <w:r>
              <w:t>$</w:t>
            </w:r>
          </w:p>
        </w:tc>
        <w:tc>
          <w:tcPr>
            <w:tcW w:w="6831" w:type="dxa"/>
          </w:tcPr>
          <w:p w14:paraId="73B979D8"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the Real-Time Energy Imbalance at Settlement Point </w:t>
            </w:r>
            <w:r>
              <w:rPr>
                <w:i/>
              </w:rPr>
              <w:t>p</w:t>
            </w:r>
            <w:r>
              <w:t>, for the 15-minute Settlement Interval.</w:t>
            </w:r>
          </w:p>
        </w:tc>
      </w:tr>
      <w:tr w:rsidR="001F04FD" w14:paraId="3F0939C4" w14:textId="77777777" w:rsidTr="00AC4DEE">
        <w:tc>
          <w:tcPr>
            <w:tcW w:w="2165" w:type="dxa"/>
            <w:tcBorders>
              <w:top w:val="single" w:sz="4" w:space="0" w:color="auto"/>
              <w:left w:val="single" w:sz="4" w:space="0" w:color="auto"/>
              <w:bottom w:val="single" w:sz="4" w:space="0" w:color="auto"/>
              <w:right w:val="single" w:sz="4" w:space="0" w:color="auto"/>
            </w:tcBorders>
          </w:tcPr>
          <w:p w14:paraId="45D8DE45"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2BD3D509"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78A0772F" w14:textId="77777777" w:rsidR="001F04FD" w:rsidRDefault="001F04FD" w:rsidP="00AC4DEE">
            <w:pPr>
              <w:pStyle w:val="TableBody"/>
            </w:pPr>
            <w:r>
              <w:t>A QSE.</w:t>
            </w:r>
          </w:p>
        </w:tc>
      </w:tr>
      <w:tr w:rsidR="001F04FD" w14:paraId="13A0C10B" w14:textId="77777777" w:rsidTr="00AC4DEE">
        <w:tc>
          <w:tcPr>
            <w:tcW w:w="2165" w:type="dxa"/>
            <w:tcBorders>
              <w:top w:val="single" w:sz="4" w:space="0" w:color="auto"/>
              <w:left w:val="single" w:sz="4" w:space="0" w:color="auto"/>
              <w:bottom w:val="single" w:sz="4" w:space="0" w:color="auto"/>
              <w:right w:val="single" w:sz="4" w:space="0" w:color="auto"/>
            </w:tcBorders>
          </w:tcPr>
          <w:p w14:paraId="5FF9D910"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0F0911E2"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69FFC11F" w14:textId="77777777" w:rsidR="001F04FD" w:rsidRDefault="001F04FD" w:rsidP="00AC4DEE">
            <w:pPr>
              <w:pStyle w:val="TableBody"/>
            </w:pPr>
            <w:r>
              <w:t>A Hub Settlement Point.</w:t>
            </w:r>
          </w:p>
        </w:tc>
      </w:tr>
    </w:tbl>
    <w:p w14:paraId="191A835D" w14:textId="77777777" w:rsidR="001F04FD" w:rsidRDefault="001F04FD" w:rsidP="001F04FD">
      <w:pPr>
        <w:pStyle w:val="H4"/>
        <w:spacing w:before="480"/>
        <w:ind w:left="1267" w:hanging="1267"/>
      </w:pPr>
      <w:bookmarkStart w:id="1899" w:name="_Toc397505016"/>
      <w:bookmarkStart w:id="1900" w:name="_Toc402357144"/>
      <w:bookmarkStart w:id="1901" w:name="_Toc422486522"/>
      <w:bookmarkStart w:id="1902" w:name="_Toc433093374"/>
      <w:bookmarkStart w:id="1903" w:name="_Toc433093532"/>
      <w:bookmarkStart w:id="1904" w:name="_Toc440874760"/>
      <w:bookmarkStart w:id="1905" w:name="_Toc448142315"/>
      <w:bookmarkStart w:id="1906" w:name="_Toc448142472"/>
      <w:bookmarkStart w:id="1907" w:name="_Toc458770313"/>
      <w:bookmarkStart w:id="1908" w:name="_Toc459294281"/>
      <w:bookmarkStart w:id="1909" w:name="_Toc463262774"/>
      <w:bookmarkStart w:id="1910" w:name="_Toc468286847"/>
      <w:bookmarkStart w:id="1911" w:name="_Toc481502890"/>
      <w:bookmarkStart w:id="1912" w:name="_Toc496080058"/>
      <w:bookmarkStart w:id="1913" w:name="_Toc189044415"/>
      <w:bookmarkStart w:id="1914" w:name="_Toc87951788"/>
      <w:bookmarkStart w:id="1915" w:name="_Toc109009393"/>
      <w:bookmarkEnd w:id="1861"/>
      <w:bookmarkEnd w:id="1862"/>
      <w:r>
        <w:t>6.6.3.4</w:t>
      </w:r>
      <w:r>
        <w:tab/>
        <w:t>Real-Time Energy Payment for DC Tie Import</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14:paraId="292E3B63" w14:textId="77777777" w:rsidR="001F04FD" w:rsidRDefault="001F04FD" w:rsidP="001F04FD">
      <w:pPr>
        <w:pStyle w:val="BodyTextNumbered"/>
      </w:pPr>
      <w:r>
        <w:t>(1)</w:t>
      </w:r>
      <w:r>
        <w:tab/>
        <w:t>The payment to each QSE for energy imported into the ERCOT System through each DC Tie is calculated based on the Real-Time Settlement Point Price at the DC Tie Settlement Point.  The payment for a given 15-minute Settlement Interval is calculated as follows:</w:t>
      </w:r>
    </w:p>
    <w:p w14:paraId="6DA90C12" w14:textId="77777777" w:rsidR="001F04FD" w:rsidRDefault="001F04FD" w:rsidP="001F04FD">
      <w:pPr>
        <w:pStyle w:val="FormulaBold"/>
      </w:pPr>
      <w:r>
        <w:t xml:space="preserve">RTDCIMPAMT </w:t>
      </w:r>
      <w:r>
        <w:rPr>
          <w:i/>
          <w:vertAlign w:val="subscript"/>
        </w:rPr>
        <w:t>q, p</w:t>
      </w:r>
      <w:r>
        <w:tab/>
        <w:t>=</w:t>
      </w:r>
      <w:r>
        <w:tab/>
        <w:t xml:space="preserve">(-1) * RTSPP </w:t>
      </w:r>
      <w:r>
        <w:rPr>
          <w:i/>
          <w:vertAlign w:val="subscript"/>
        </w:rPr>
        <w:t>p</w:t>
      </w:r>
      <w:r>
        <w:t xml:space="preserve"> * (RTDCIMP </w:t>
      </w:r>
      <w:r>
        <w:rPr>
          <w:i/>
          <w:vertAlign w:val="subscript"/>
        </w:rPr>
        <w:t>q, p</w:t>
      </w:r>
      <w:r>
        <w:t xml:space="preserve"> * ¼)</w:t>
      </w:r>
    </w:p>
    <w:p w14:paraId="0940F6D8"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09"/>
        <w:gridCol w:w="853"/>
        <w:gridCol w:w="7066"/>
      </w:tblGrid>
      <w:tr w:rsidR="001F04FD" w14:paraId="1FB36B2F" w14:textId="77777777" w:rsidTr="00AC4DEE">
        <w:tc>
          <w:tcPr>
            <w:tcW w:w="1909" w:type="dxa"/>
          </w:tcPr>
          <w:p w14:paraId="1C4A69F4" w14:textId="77777777" w:rsidR="001F04FD" w:rsidRDefault="001F04FD" w:rsidP="00AC4DEE">
            <w:pPr>
              <w:pStyle w:val="TableHead"/>
            </w:pPr>
            <w:r>
              <w:t>Variable</w:t>
            </w:r>
          </w:p>
        </w:tc>
        <w:tc>
          <w:tcPr>
            <w:tcW w:w="0" w:type="auto"/>
          </w:tcPr>
          <w:p w14:paraId="6DCF72EE" w14:textId="77777777" w:rsidR="001F04FD" w:rsidRDefault="001F04FD" w:rsidP="00AC4DEE">
            <w:pPr>
              <w:pStyle w:val="TableHead"/>
            </w:pPr>
            <w:r>
              <w:t>Unit</w:t>
            </w:r>
          </w:p>
        </w:tc>
        <w:tc>
          <w:tcPr>
            <w:tcW w:w="0" w:type="auto"/>
          </w:tcPr>
          <w:p w14:paraId="4A7904A1" w14:textId="77777777" w:rsidR="001F04FD" w:rsidRDefault="001F04FD" w:rsidP="00AC4DEE">
            <w:pPr>
              <w:pStyle w:val="TableHead"/>
            </w:pPr>
            <w:r>
              <w:t>Description</w:t>
            </w:r>
          </w:p>
        </w:tc>
      </w:tr>
      <w:tr w:rsidR="001F04FD" w14:paraId="7151D7C7" w14:textId="77777777" w:rsidTr="00AC4DEE">
        <w:tc>
          <w:tcPr>
            <w:tcW w:w="1909" w:type="dxa"/>
          </w:tcPr>
          <w:p w14:paraId="4123A39F" w14:textId="77777777" w:rsidR="001F04FD" w:rsidRDefault="001F04FD" w:rsidP="00AC4DEE">
            <w:pPr>
              <w:pStyle w:val="TableBody"/>
            </w:pPr>
            <w:r>
              <w:lastRenderedPageBreak/>
              <w:t xml:space="preserve">RTDCIMPAMT </w:t>
            </w:r>
            <w:r w:rsidRPr="006624C0">
              <w:rPr>
                <w:i/>
                <w:vertAlign w:val="subscript"/>
              </w:rPr>
              <w:t>q, p</w:t>
            </w:r>
          </w:p>
        </w:tc>
        <w:tc>
          <w:tcPr>
            <w:tcW w:w="0" w:type="auto"/>
          </w:tcPr>
          <w:p w14:paraId="0F48D16C" w14:textId="77777777" w:rsidR="001F04FD" w:rsidRDefault="001F04FD" w:rsidP="00AC4DEE">
            <w:pPr>
              <w:pStyle w:val="TableBody"/>
            </w:pPr>
            <w:r>
              <w:t>$</w:t>
            </w:r>
          </w:p>
        </w:tc>
        <w:tc>
          <w:tcPr>
            <w:tcW w:w="0" w:type="auto"/>
          </w:tcPr>
          <w:p w14:paraId="7796DAB9"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3C85EDB5" w14:textId="77777777" w:rsidTr="00AC4DEE">
        <w:tc>
          <w:tcPr>
            <w:tcW w:w="1909" w:type="dxa"/>
          </w:tcPr>
          <w:p w14:paraId="6BCFCEC6" w14:textId="77777777" w:rsidR="001F04FD" w:rsidRDefault="001F04FD" w:rsidP="00AC4DEE">
            <w:pPr>
              <w:pStyle w:val="TableBody"/>
            </w:pPr>
            <w:r>
              <w:t xml:space="preserve">RTSPP </w:t>
            </w:r>
            <w:r w:rsidRPr="006624C0">
              <w:rPr>
                <w:i/>
                <w:vertAlign w:val="subscript"/>
              </w:rPr>
              <w:t>p</w:t>
            </w:r>
          </w:p>
        </w:tc>
        <w:tc>
          <w:tcPr>
            <w:tcW w:w="0" w:type="auto"/>
          </w:tcPr>
          <w:p w14:paraId="1E3C67E9" w14:textId="77777777" w:rsidR="001F04FD" w:rsidRDefault="001F04FD" w:rsidP="00AC4DEE">
            <w:pPr>
              <w:pStyle w:val="TableBody"/>
            </w:pPr>
            <w:r>
              <w:t>$/MWh</w:t>
            </w:r>
          </w:p>
        </w:tc>
        <w:tc>
          <w:tcPr>
            <w:tcW w:w="0" w:type="auto"/>
          </w:tcPr>
          <w:p w14:paraId="0E6B115E"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7F2EAA26" w14:textId="77777777" w:rsidTr="00AC4DEE">
        <w:tc>
          <w:tcPr>
            <w:tcW w:w="1909" w:type="dxa"/>
          </w:tcPr>
          <w:p w14:paraId="78FD192F" w14:textId="77777777" w:rsidR="001F04FD" w:rsidRDefault="001F04FD" w:rsidP="00AC4DEE">
            <w:pPr>
              <w:pStyle w:val="TableBody"/>
            </w:pPr>
            <w:r>
              <w:t xml:space="preserve">RTDCIMP </w:t>
            </w:r>
            <w:r w:rsidRPr="006624C0">
              <w:rPr>
                <w:i/>
                <w:vertAlign w:val="subscript"/>
              </w:rPr>
              <w:t>q, p</w:t>
            </w:r>
          </w:p>
        </w:tc>
        <w:tc>
          <w:tcPr>
            <w:tcW w:w="0" w:type="auto"/>
          </w:tcPr>
          <w:p w14:paraId="20BC1783" w14:textId="77777777" w:rsidR="001F04FD" w:rsidRDefault="001F04FD" w:rsidP="00AC4DEE">
            <w:pPr>
              <w:pStyle w:val="TableBody"/>
            </w:pPr>
            <w:r>
              <w:t>MW</w:t>
            </w:r>
          </w:p>
        </w:tc>
        <w:tc>
          <w:tcPr>
            <w:tcW w:w="0" w:type="auto"/>
          </w:tcPr>
          <w:p w14:paraId="2A501158" w14:textId="77777777" w:rsidR="0093699B" w:rsidRDefault="001F04FD" w:rsidP="00AC4DEE">
            <w:pPr>
              <w:pStyle w:val="TableBody"/>
            </w:pPr>
            <w:r>
              <w:rPr>
                <w:i/>
              </w:rPr>
              <w:t>Real-Time DC Import per QSE per Settlement Point</w:t>
            </w:r>
            <w:r>
              <w:t xml:space="preserve">—The aggregated DC Tie Schedule submitted by QSE </w:t>
            </w:r>
            <w:r>
              <w:rPr>
                <w:i/>
              </w:rPr>
              <w:t>q</w:t>
            </w:r>
            <w:r>
              <w:t xml:space="preserve"> as an importer into the ERCOT System through DC Tie </w:t>
            </w:r>
            <w:r>
              <w:rPr>
                <w:i/>
              </w:rPr>
              <w:t>p</w:t>
            </w:r>
            <w:r>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26"/>
            </w:tblGrid>
            <w:tr w:rsidR="0093699B" w14:paraId="0D892E4D" w14:textId="77777777" w:rsidTr="00426634">
              <w:trPr>
                <w:trHeight w:val="206"/>
              </w:trPr>
              <w:tc>
                <w:tcPr>
                  <w:tcW w:w="0" w:type="auto"/>
                  <w:shd w:val="pct12" w:color="auto" w:fill="auto"/>
                </w:tcPr>
                <w:p w14:paraId="5CB61F94" w14:textId="43BF8A4E" w:rsidR="0093699B" w:rsidRDefault="0093699B" w:rsidP="0093699B">
                  <w:pPr>
                    <w:pStyle w:val="Instructions"/>
                    <w:spacing w:before="120"/>
                  </w:pPr>
                  <w:r>
                    <w:t>[NPRR1032:  Replace the description above with the following upon system implementation:]</w:t>
                  </w:r>
                </w:p>
                <w:p w14:paraId="51E65CF6" w14:textId="6B94AFD0" w:rsidR="0093699B" w:rsidRPr="008F39F7" w:rsidRDefault="0093699B" w:rsidP="0093699B">
                  <w:pPr>
                    <w:pStyle w:val="TableBody"/>
                  </w:pPr>
                  <w:r>
                    <w:rPr>
                      <w:i/>
                    </w:rPr>
                    <w:t>Real-Time DC Import per QSE per Settlement Point</w:t>
                  </w:r>
                  <w:r>
                    <w:t xml:space="preserve">—The aggregated final, approved DC Tie Schedule submitted by QSE </w:t>
                  </w:r>
                  <w:r>
                    <w:rPr>
                      <w:i/>
                    </w:rPr>
                    <w:t>q</w:t>
                  </w:r>
                  <w:r>
                    <w:t xml:space="preserve"> as an importer into the ERCOT System through DC Tie </w:t>
                  </w:r>
                  <w:r>
                    <w:rPr>
                      <w:i/>
                    </w:rPr>
                    <w:t>p</w:t>
                  </w:r>
                  <w:r>
                    <w:t>, for the 15-minute Settlement Interval.</w:t>
                  </w:r>
                </w:p>
              </w:tc>
            </w:tr>
          </w:tbl>
          <w:p w14:paraId="6ADEC4BE" w14:textId="7E875EE2" w:rsidR="001F04FD" w:rsidRDefault="001F04FD" w:rsidP="00AC4DEE">
            <w:pPr>
              <w:pStyle w:val="TableBody"/>
            </w:pPr>
          </w:p>
        </w:tc>
      </w:tr>
      <w:tr w:rsidR="001F04FD" w14:paraId="567E9D37" w14:textId="77777777" w:rsidTr="00AC4DEE">
        <w:tc>
          <w:tcPr>
            <w:tcW w:w="1909" w:type="dxa"/>
          </w:tcPr>
          <w:p w14:paraId="3C428132" w14:textId="77777777" w:rsidR="001F04FD" w:rsidRPr="008326CB" w:rsidRDefault="001F04FD" w:rsidP="00AC4DEE">
            <w:pPr>
              <w:pStyle w:val="TableBody"/>
              <w:rPr>
                <w:i/>
              </w:rPr>
            </w:pPr>
            <w:r w:rsidRPr="00A61E91">
              <w:rPr>
                <w:i/>
              </w:rPr>
              <w:t>q</w:t>
            </w:r>
          </w:p>
        </w:tc>
        <w:tc>
          <w:tcPr>
            <w:tcW w:w="0" w:type="auto"/>
          </w:tcPr>
          <w:p w14:paraId="5E632BB6" w14:textId="77777777" w:rsidR="001F04FD" w:rsidRDefault="001F04FD" w:rsidP="00AC4DEE">
            <w:pPr>
              <w:pStyle w:val="TableBody"/>
            </w:pPr>
            <w:r>
              <w:t>none</w:t>
            </w:r>
          </w:p>
        </w:tc>
        <w:tc>
          <w:tcPr>
            <w:tcW w:w="0" w:type="auto"/>
          </w:tcPr>
          <w:p w14:paraId="1D90C913" w14:textId="77777777" w:rsidR="001F04FD" w:rsidRDefault="001F04FD" w:rsidP="00AC4DEE">
            <w:pPr>
              <w:pStyle w:val="TableBody"/>
              <w:rPr>
                <w:i/>
              </w:rPr>
            </w:pPr>
            <w:r>
              <w:t>A QSE.</w:t>
            </w:r>
          </w:p>
        </w:tc>
      </w:tr>
      <w:tr w:rsidR="001F04FD" w14:paraId="360BF231" w14:textId="77777777" w:rsidTr="00AC4DEE">
        <w:tc>
          <w:tcPr>
            <w:tcW w:w="1909" w:type="dxa"/>
          </w:tcPr>
          <w:p w14:paraId="5262337A" w14:textId="77777777" w:rsidR="001F04FD" w:rsidRPr="008326CB" w:rsidRDefault="001F04FD" w:rsidP="00AC4DEE">
            <w:pPr>
              <w:pStyle w:val="TableBody"/>
              <w:rPr>
                <w:i/>
              </w:rPr>
            </w:pPr>
            <w:r w:rsidRPr="00A61E91">
              <w:rPr>
                <w:i/>
              </w:rPr>
              <w:t>p</w:t>
            </w:r>
          </w:p>
        </w:tc>
        <w:tc>
          <w:tcPr>
            <w:tcW w:w="0" w:type="auto"/>
          </w:tcPr>
          <w:p w14:paraId="1C5DA9C3" w14:textId="77777777" w:rsidR="001F04FD" w:rsidRDefault="001F04FD" w:rsidP="00AC4DEE">
            <w:pPr>
              <w:pStyle w:val="TableBody"/>
            </w:pPr>
            <w:r>
              <w:t>none</w:t>
            </w:r>
          </w:p>
        </w:tc>
        <w:tc>
          <w:tcPr>
            <w:tcW w:w="0" w:type="auto"/>
          </w:tcPr>
          <w:p w14:paraId="50465A88" w14:textId="77777777" w:rsidR="001F04FD" w:rsidRDefault="001F04FD" w:rsidP="00AC4DEE">
            <w:pPr>
              <w:pStyle w:val="TableBody"/>
              <w:rPr>
                <w:i/>
                <w:lang w:val="fr-FR"/>
              </w:rPr>
            </w:pPr>
            <w:r>
              <w:rPr>
                <w:lang w:val="fr-FR"/>
              </w:rPr>
              <w:t>A DC Tie Settlement Point.</w:t>
            </w:r>
          </w:p>
        </w:tc>
      </w:tr>
    </w:tbl>
    <w:p w14:paraId="03571307" w14:textId="77777777" w:rsidR="001F04FD" w:rsidRDefault="001F04FD" w:rsidP="001F04FD">
      <w:pPr>
        <w:rPr>
          <w:lang w:val="fr-FR"/>
        </w:rPr>
      </w:pPr>
    </w:p>
    <w:p w14:paraId="3E81A31F" w14:textId="77777777" w:rsidR="001F04FD" w:rsidRDefault="001F04FD" w:rsidP="001F04FD">
      <w:pPr>
        <w:pStyle w:val="BodyTextNumbered"/>
      </w:pPr>
      <w:r>
        <w:t>(2)</w:t>
      </w:r>
      <w:r>
        <w:tab/>
        <w:t>ERCOT shall pay each QSE for energy imported into the ERCOT System during a declared Emergency Condition through each DC Tie in response to an ERCOT Dispatch Instruction.  The payment for a given 15-minute Settlement Interval is calculated as follows:</w:t>
      </w:r>
    </w:p>
    <w:p w14:paraId="0E5BC337" w14:textId="77777777" w:rsidR="001F04FD" w:rsidRDefault="001F04FD" w:rsidP="001F04FD">
      <w:pPr>
        <w:pStyle w:val="FormulaBold"/>
      </w:pPr>
      <w:r>
        <w:t xml:space="preserve">RTEDCIMPAMT </w:t>
      </w:r>
      <w:r>
        <w:rPr>
          <w:i/>
          <w:vertAlign w:val="subscript"/>
        </w:rPr>
        <w:t>q, p</w:t>
      </w:r>
      <w:r>
        <w:tab/>
        <w:t>=</w:t>
      </w:r>
      <w:r>
        <w:tab/>
        <w:t xml:space="preserve">(-1) * Max {RTSPP </w:t>
      </w:r>
      <w:r>
        <w:rPr>
          <w:i/>
          <w:vertAlign w:val="subscript"/>
        </w:rPr>
        <w:t>p</w:t>
      </w:r>
      <w:r>
        <w:t xml:space="preserve">, (VEEPDCTP </w:t>
      </w:r>
      <w:r>
        <w:rPr>
          <w:i/>
          <w:vertAlign w:val="subscript"/>
        </w:rPr>
        <w:t>q, p</w:t>
      </w:r>
      <w:r w:rsidRPr="006624C0">
        <w:rPr>
          <w:vertAlign w:val="subscript"/>
        </w:rPr>
        <w:t xml:space="preserve"> </w:t>
      </w:r>
      <w:r w:rsidRPr="006624C0">
        <w:t>* CAEDCT)</w:t>
      </w:r>
      <w:r>
        <w:t xml:space="preserve">}* (RTEDCIMP </w:t>
      </w:r>
      <w:r>
        <w:rPr>
          <w:i/>
          <w:vertAlign w:val="subscript"/>
        </w:rPr>
        <w:t>q, p</w:t>
      </w:r>
      <w:r>
        <w:t xml:space="preserve"> * ¼)</w:t>
      </w:r>
    </w:p>
    <w:p w14:paraId="715CDE7C"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5"/>
        <w:gridCol w:w="1080"/>
        <w:gridCol w:w="6743"/>
      </w:tblGrid>
      <w:tr w:rsidR="001F04FD" w14:paraId="5F925FB3" w14:textId="77777777" w:rsidTr="00AC4DEE">
        <w:tc>
          <w:tcPr>
            <w:tcW w:w="2005" w:type="dxa"/>
          </w:tcPr>
          <w:p w14:paraId="12D01C28" w14:textId="77777777" w:rsidR="001F04FD" w:rsidRDefault="001F04FD" w:rsidP="00AC4DEE">
            <w:pPr>
              <w:pStyle w:val="TableHead"/>
            </w:pPr>
            <w:r>
              <w:t>Variable</w:t>
            </w:r>
          </w:p>
        </w:tc>
        <w:tc>
          <w:tcPr>
            <w:tcW w:w="1080" w:type="dxa"/>
          </w:tcPr>
          <w:p w14:paraId="54D4ED97" w14:textId="77777777" w:rsidR="001F04FD" w:rsidRDefault="001F04FD" w:rsidP="00AC4DEE">
            <w:pPr>
              <w:pStyle w:val="TableHead"/>
            </w:pPr>
            <w:r>
              <w:t>Unit</w:t>
            </w:r>
          </w:p>
        </w:tc>
        <w:tc>
          <w:tcPr>
            <w:tcW w:w="6743" w:type="dxa"/>
          </w:tcPr>
          <w:p w14:paraId="07ABA981" w14:textId="77777777" w:rsidR="001F04FD" w:rsidRDefault="001F04FD" w:rsidP="00AC4DEE">
            <w:pPr>
              <w:pStyle w:val="TableHead"/>
            </w:pPr>
            <w:r>
              <w:t>Description</w:t>
            </w:r>
          </w:p>
        </w:tc>
      </w:tr>
      <w:tr w:rsidR="001F04FD" w14:paraId="58E47691" w14:textId="77777777" w:rsidTr="00AC4DEE">
        <w:tc>
          <w:tcPr>
            <w:tcW w:w="2005" w:type="dxa"/>
          </w:tcPr>
          <w:p w14:paraId="0D6E4BD1" w14:textId="77777777" w:rsidR="001F04FD" w:rsidRDefault="001F04FD" w:rsidP="00AC4DEE">
            <w:pPr>
              <w:pStyle w:val="TableBody"/>
            </w:pPr>
            <w:r>
              <w:t xml:space="preserve">RTEDCIMPAMT </w:t>
            </w:r>
            <w:r w:rsidRPr="006624C0">
              <w:rPr>
                <w:i/>
                <w:vertAlign w:val="subscript"/>
              </w:rPr>
              <w:t>q, p</w:t>
            </w:r>
          </w:p>
        </w:tc>
        <w:tc>
          <w:tcPr>
            <w:tcW w:w="1080" w:type="dxa"/>
          </w:tcPr>
          <w:p w14:paraId="5B5F5915" w14:textId="77777777" w:rsidR="001F04FD" w:rsidRDefault="001F04FD" w:rsidP="00AC4DEE">
            <w:pPr>
              <w:pStyle w:val="TableBody"/>
            </w:pPr>
            <w:r>
              <w:t>$</w:t>
            </w:r>
          </w:p>
        </w:tc>
        <w:tc>
          <w:tcPr>
            <w:tcW w:w="6743" w:type="dxa"/>
          </w:tcPr>
          <w:p w14:paraId="73E95165" w14:textId="77777777" w:rsidR="001F04FD" w:rsidRDefault="001F04FD" w:rsidP="00AC4DEE">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r>
      <w:tr w:rsidR="001F04FD" w14:paraId="52E2E123" w14:textId="77777777" w:rsidTr="00AC4DEE">
        <w:tc>
          <w:tcPr>
            <w:tcW w:w="2005" w:type="dxa"/>
          </w:tcPr>
          <w:p w14:paraId="4FA581A6" w14:textId="77777777" w:rsidR="001F04FD" w:rsidRDefault="001F04FD" w:rsidP="00AC4DEE">
            <w:pPr>
              <w:pStyle w:val="TableBody"/>
            </w:pPr>
            <w:r>
              <w:t xml:space="preserve">RTSPP </w:t>
            </w:r>
            <w:r w:rsidRPr="006624C0">
              <w:rPr>
                <w:i/>
                <w:vertAlign w:val="subscript"/>
              </w:rPr>
              <w:t>p</w:t>
            </w:r>
          </w:p>
        </w:tc>
        <w:tc>
          <w:tcPr>
            <w:tcW w:w="1080" w:type="dxa"/>
          </w:tcPr>
          <w:p w14:paraId="1B6BA981" w14:textId="77777777" w:rsidR="001F04FD" w:rsidRDefault="001F04FD" w:rsidP="00AC4DEE">
            <w:pPr>
              <w:pStyle w:val="TableBody"/>
            </w:pPr>
            <w:r>
              <w:t>$/MWh</w:t>
            </w:r>
          </w:p>
        </w:tc>
        <w:tc>
          <w:tcPr>
            <w:tcW w:w="6743" w:type="dxa"/>
          </w:tcPr>
          <w:p w14:paraId="0C52786F" w14:textId="0B6CA269"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1137C0B4" w14:textId="77777777" w:rsidTr="00AC4DEE">
        <w:tc>
          <w:tcPr>
            <w:tcW w:w="2005" w:type="dxa"/>
          </w:tcPr>
          <w:p w14:paraId="64E3D900" w14:textId="77777777" w:rsidR="001F04FD" w:rsidRDefault="001F04FD" w:rsidP="00AC4DEE">
            <w:pPr>
              <w:pStyle w:val="TableBody"/>
            </w:pPr>
            <w:r>
              <w:t>FIP</w:t>
            </w:r>
          </w:p>
        </w:tc>
        <w:tc>
          <w:tcPr>
            <w:tcW w:w="1080" w:type="dxa"/>
          </w:tcPr>
          <w:p w14:paraId="1408B450" w14:textId="77777777" w:rsidR="001F04FD" w:rsidRDefault="001F04FD" w:rsidP="00AC4DEE">
            <w:pPr>
              <w:pStyle w:val="TableBody"/>
            </w:pPr>
            <w:r>
              <w:t>$/MMBtu</w:t>
            </w:r>
          </w:p>
        </w:tc>
        <w:tc>
          <w:tcPr>
            <w:tcW w:w="6743" w:type="dxa"/>
          </w:tcPr>
          <w:p w14:paraId="2CFA1657" w14:textId="77777777" w:rsidR="001F04FD" w:rsidRDefault="001F04FD" w:rsidP="00AC4DEE">
            <w:pPr>
              <w:pStyle w:val="TableBody"/>
            </w:pPr>
            <w:r>
              <w:rPr>
                <w:i/>
              </w:rPr>
              <w:t>Fuel Index Price</w:t>
            </w:r>
            <w:r>
              <w:t>—As defined in Section 2, Definitions and Acronyms.</w:t>
            </w:r>
          </w:p>
        </w:tc>
      </w:tr>
      <w:tr w:rsidR="001F04FD" w14:paraId="71589684" w14:textId="77777777" w:rsidTr="00AC4DEE">
        <w:tc>
          <w:tcPr>
            <w:tcW w:w="2005" w:type="dxa"/>
          </w:tcPr>
          <w:p w14:paraId="22E87C9A" w14:textId="77777777" w:rsidR="001F04FD" w:rsidRDefault="001F04FD" w:rsidP="00AC4DEE">
            <w:pPr>
              <w:pStyle w:val="TableBody"/>
            </w:pPr>
            <w:r>
              <w:t xml:space="preserve">RTEDCIMP </w:t>
            </w:r>
            <w:r w:rsidRPr="006624C0">
              <w:rPr>
                <w:i/>
                <w:vertAlign w:val="subscript"/>
              </w:rPr>
              <w:t>q, p</w:t>
            </w:r>
          </w:p>
        </w:tc>
        <w:tc>
          <w:tcPr>
            <w:tcW w:w="1080" w:type="dxa"/>
          </w:tcPr>
          <w:p w14:paraId="4C00F729" w14:textId="77777777" w:rsidR="001F04FD" w:rsidRDefault="001F04FD" w:rsidP="00AC4DEE">
            <w:pPr>
              <w:pStyle w:val="TableBody"/>
            </w:pPr>
            <w:r>
              <w:t>MW</w:t>
            </w:r>
          </w:p>
        </w:tc>
        <w:tc>
          <w:tcPr>
            <w:tcW w:w="6743" w:type="dxa"/>
          </w:tcPr>
          <w:p w14:paraId="5C16CA37" w14:textId="77777777" w:rsidR="001F04FD" w:rsidRDefault="001F04FD" w:rsidP="00AC4DEE">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r>
      <w:tr w:rsidR="001F04FD" w14:paraId="6EBEC13A" w14:textId="77777777" w:rsidTr="00AC4DEE">
        <w:tc>
          <w:tcPr>
            <w:tcW w:w="2005" w:type="dxa"/>
          </w:tcPr>
          <w:p w14:paraId="6E932D6D" w14:textId="77777777" w:rsidR="001F04FD" w:rsidRDefault="001F04FD" w:rsidP="00AC4DEE">
            <w:pPr>
              <w:pStyle w:val="TableBody"/>
              <w:rPr>
                <w:b/>
                <w:i/>
                <w:vertAlign w:val="subscript"/>
              </w:rPr>
            </w:pPr>
            <w:r>
              <w:t xml:space="preserve">VEEPDCTP </w:t>
            </w:r>
            <w:r w:rsidRPr="006624C0">
              <w:rPr>
                <w:i/>
                <w:vertAlign w:val="subscript"/>
              </w:rPr>
              <w:t>q, p</w:t>
            </w:r>
          </w:p>
        </w:tc>
        <w:tc>
          <w:tcPr>
            <w:tcW w:w="1080" w:type="dxa"/>
          </w:tcPr>
          <w:p w14:paraId="1F42A8F5" w14:textId="77777777" w:rsidR="001F04FD" w:rsidRDefault="001F04FD" w:rsidP="00AC4DEE">
            <w:pPr>
              <w:pStyle w:val="TableBody"/>
            </w:pPr>
            <w:r>
              <w:t>$/MWh</w:t>
            </w:r>
          </w:p>
        </w:tc>
        <w:tc>
          <w:tcPr>
            <w:tcW w:w="6743" w:type="dxa"/>
          </w:tcPr>
          <w:p w14:paraId="5B588A4E" w14:textId="77777777" w:rsidR="001F04FD" w:rsidRDefault="001F04FD" w:rsidP="00AC4DEE">
            <w:pPr>
              <w:pStyle w:val="TableBody"/>
            </w:pPr>
            <w:r>
              <w:rPr>
                <w:i/>
              </w:rPr>
              <w:t>Verified Emergency Energy Price at DC Tie Point</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 Dispatch Instruction.</w:t>
            </w:r>
          </w:p>
        </w:tc>
      </w:tr>
      <w:tr w:rsidR="001F04FD" w14:paraId="4A37CB2A" w14:textId="77777777" w:rsidTr="00AC4DEE">
        <w:tc>
          <w:tcPr>
            <w:tcW w:w="2005" w:type="dxa"/>
          </w:tcPr>
          <w:p w14:paraId="2707C7AE" w14:textId="77777777" w:rsidR="001F04FD" w:rsidRDefault="001F04FD" w:rsidP="00AC4DEE">
            <w:pPr>
              <w:pStyle w:val="TableBody"/>
            </w:pPr>
            <w:r>
              <w:t>CAEDCT</w:t>
            </w:r>
          </w:p>
        </w:tc>
        <w:tc>
          <w:tcPr>
            <w:tcW w:w="1080" w:type="dxa"/>
          </w:tcPr>
          <w:p w14:paraId="7084308E" w14:textId="77777777" w:rsidR="001F04FD" w:rsidRDefault="001F04FD" w:rsidP="00AC4DEE">
            <w:pPr>
              <w:pStyle w:val="TableBody"/>
            </w:pPr>
            <w:r>
              <w:t>#</w:t>
            </w:r>
          </w:p>
        </w:tc>
        <w:tc>
          <w:tcPr>
            <w:tcW w:w="6743" w:type="dxa"/>
          </w:tcPr>
          <w:p w14:paraId="1A47A954" w14:textId="77777777" w:rsidR="001F04FD" w:rsidRDefault="001F04FD" w:rsidP="00AC4DEE">
            <w:pPr>
              <w:pStyle w:val="TableBody"/>
              <w:rPr>
                <w:i/>
              </w:rPr>
            </w:pPr>
            <w:r>
              <w:rPr>
                <w:i/>
              </w:rPr>
              <w:t>Cost Adder for Emergency DC Tie Import</w:t>
            </w:r>
            <w:r>
              <w:t>—A multiplier of 1.10.</w:t>
            </w:r>
          </w:p>
        </w:tc>
      </w:tr>
      <w:tr w:rsidR="001F04FD" w14:paraId="0A2EB0D0" w14:textId="77777777" w:rsidTr="00AC4DEE">
        <w:tc>
          <w:tcPr>
            <w:tcW w:w="2005" w:type="dxa"/>
          </w:tcPr>
          <w:p w14:paraId="5979E751" w14:textId="77777777" w:rsidR="001F04FD" w:rsidRPr="008326CB" w:rsidRDefault="001F04FD" w:rsidP="00AC4DEE">
            <w:pPr>
              <w:pStyle w:val="TableBody"/>
              <w:rPr>
                <w:i/>
              </w:rPr>
            </w:pPr>
            <w:r w:rsidRPr="00A61E91">
              <w:rPr>
                <w:i/>
              </w:rPr>
              <w:t>q</w:t>
            </w:r>
          </w:p>
        </w:tc>
        <w:tc>
          <w:tcPr>
            <w:tcW w:w="1080" w:type="dxa"/>
          </w:tcPr>
          <w:p w14:paraId="34ABFF32" w14:textId="77777777" w:rsidR="001F04FD" w:rsidRDefault="001F04FD" w:rsidP="00AC4DEE">
            <w:pPr>
              <w:pStyle w:val="TableBody"/>
            </w:pPr>
            <w:r>
              <w:t>none</w:t>
            </w:r>
          </w:p>
        </w:tc>
        <w:tc>
          <w:tcPr>
            <w:tcW w:w="6743" w:type="dxa"/>
          </w:tcPr>
          <w:p w14:paraId="4569E2CD" w14:textId="77777777" w:rsidR="001F04FD" w:rsidRDefault="001F04FD" w:rsidP="00AC4DEE">
            <w:pPr>
              <w:pStyle w:val="TableBody"/>
              <w:rPr>
                <w:i/>
                <w:lang w:val="fr-FR"/>
              </w:rPr>
            </w:pPr>
            <w:r>
              <w:t>A QSE.</w:t>
            </w:r>
          </w:p>
        </w:tc>
      </w:tr>
      <w:tr w:rsidR="001F04FD" w14:paraId="7775A626" w14:textId="77777777" w:rsidTr="00AC4DEE">
        <w:tc>
          <w:tcPr>
            <w:tcW w:w="2005" w:type="dxa"/>
          </w:tcPr>
          <w:p w14:paraId="3C41C2FA" w14:textId="77777777" w:rsidR="001F04FD" w:rsidRPr="008326CB" w:rsidRDefault="001F04FD" w:rsidP="00AC4DEE">
            <w:pPr>
              <w:pStyle w:val="TableBody"/>
              <w:rPr>
                <w:i/>
              </w:rPr>
            </w:pPr>
            <w:r w:rsidRPr="00A61E91">
              <w:rPr>
                <w:i/>
              </w:rPr>
              <w:t>p</w:t>
            </w:r>
          </w:p>
        </w:tc>
        <w:tc>
          <w:tcPr>
            <w:tcW w:w="1080" w:type="dxa"/>
          </w:tcPr>
          <w:p w14:paraId="41E1B920" w14:textId="77777777" w:rsidR="001F04FD" w:rsidRDefault="001F04FD" w:rsidP="00AC4DEE">
            <w:pPr>
              <w:pStyle w:val="TableBody"/>
            </w:pPr>
            <w:r>
              <w:t>none</w:t>
            </w:r>
          </w:p>
        </w:tc>
        <w:tc>
          <w:tcPr>
            <w:tcW w:w="6743" w:type="dxa"/>
          </w:tcPr>
          <w:p w14:paraId="0B87E555" w14:textId="77777777" w:rsidR="001F04FD" w:rsidRDefault="001F04FD" w:rsidP="00AC4DEE">
            <w:pPr>
              <w:pStyle w:val="TableBody"/>
              <w:rPr>
                <w:lang w:val="fr-FR"/>
              </w:rPr>
            </w:pPr>
            <w:r>
              <w:rPr>
                <w:lang w:val="fr-FR"/>
              </w:rPr>
              <w:t>A DC Tie Settlement Point.</w:t>
            </w:r>
          </w:p>
        </w:tc>
      </w:tr>
    </w:tbl>
    <w:p w14:paraId="7773E973" w14:textId="77777777" w:rsidR="001F04FD" w:rsidRDefault="001F04FD" w:rsidP="001F04FD">
      <w:pPr>
        <w:pStyle w:val="BodyTextNumbered"/>
        <w:spacing w:after="0"/>
        <w:rPr>
          <w:lang w:val="fr-FR"/>
        </w:rPr>
      </w:pPr>
    </w:p>
    <w:p w14:paraId="34CFE57A" w14:textId="77777777" w:rsidR="001F04FD" w:rsidRDefault="001F04FD" w:rsidP="001F04FD">
      <w:pPr>
        <w:pStyle w:val="BodyTextNumbered"/>
      </w:pPr>
      <w:r>
        <w:t>(3)</w:t>
      </w:r>
      <w:r>
        <w:tab/>
        <w:t>The total of the payments to each QSE for all energy imported into the ERCOT System through DC Ties for the 15-minute Settlement Interval is calculated as follows:</w:t>
      </w:r>
    </w:p>
    <w:p w14:paraId="26A3472C" w14:textId="77777777" w:rsidR="001F04FD" w:rsidRDefault="001F04FD" w:rsidP="001F04FD">
      <w:pPr>
        <w:pStyle w:val="FormulaBold"/>
      </w:pPr>
      <w:r>
        <w:lastRenderedPageBreak/>
        <w:t xml:space="preserve">RTDCIMPAMTQSETOT </w:t>
      </w:r>
      <w:r>
        <w:rPr>
          <w:i/>
          <w:vertAlign w:val="subscript"/>
        </w:rPr>
        <w:t>q, p</w:t>
      </w:r>
      <w:r>
        <w:tab/>
        <w:t>=</w:t>
      </w:r>
      <w:r>
        <w:tab/>
      </w:r>
      <w:r w:rsidRPr="006F784F">
        <w:rPr>
          <w:position w:val="-22"/>
        </w:rPr>
        <w:object w:dxaOrig="225" w:dyaOrig="465" w14:anchorId="32794AC9">
          <v:shape id="_x0000_i1158" type="#_x0000_t75" style="width:12pt;height:18pt" o:ole="">
            <v:imagedata r:id="rId172" o:title=""/>
          </v:shape>
          <o:OLEObject Type="Embed" ProgID="Equation.3" ShapeID="_x0000_i1158" DrawAspect="Content" ObjectID="_1804653643" r:id="rId176"/>
        </w:object>
      </w:r>
      <w:r>
        <w:t xml:space="preserve">(RTDCIMPAMT </w:t>
      </w:r>
      <w:r>
        <w:rPr>
          <w:i/>
          <w:vertAlign w:val="subscript"/>
        </w:rPr>
        <w:t>q, p</w:t>
      </w:r>
      <w:r>
        <w:t xml:space="preserve">+ RTEDCIMPAMT </w:t>
      </w:r>
      <w:r>
        <w:rPr>
          <w:i/>
          <w:vertAlign w:val="subscript"/>
        </w:rPr>
        <w:t>q, p</w:t>
      </w:r>
      <w:r>
        <w:t>)</w:t>
      </w:r>
    </w:p>
    <w:p w14:paraId="60EE3242"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6570"/>
      </w:tblGrid>
      <w:tr w:rsidR="001F04FD" w14:paraId="42963CEE" w14:textId="77777777" w:rsidTr="00AC4DEE">
        <w:trPr>
          <w:tblHeader/>
        </w:trPr>
        <w:tc>
          <w:tcPr>
            <w:tcW w:w="2628" w:type="dxa"/>
          </w:tcPr>
          <w:p w14:paraId="2D0AEE90" w14:textId="77777777" w:rsidR="001F04FD" w:rsidRDefault="001F04FD" w:rsidP="00AC4DEE">
            <w:pPr>
              <w:pStyle w:val="TableHead"/>
            </w:pPr>
            <w:r>
              <w:t>Variable</w:t>
            </w:r>
          </w:p>
        </w:tc>
        <w:tc>
          <w:tcPr>
            <w:tcW w:w="630" w:type="dxa"/>
          </w:tcPr>
          <w:p w14:paraId="176EC2F6" w14:textId="77777777" w:rsidR="001F04FD" w:rsidRDefault="001F04FD" w:rsidP="00AC4DEE">
            <w:pPr>
              <w:pStyle w:val="TableHead"/>
            </w:pPr>
            <w:r>
              <w:t>Unit</w:t>
            </w:r>
          </w:p>
        </w:tc>
        <w:tc>
          <w:tcPr>
            <w:tcW w:w="6570" w:type="dxa"/>
          </w:tcPr>
          <w:p w14:paraId="0F3A1722" w14:textId="77777777" w:rsidR="001F04FD" w:rsidRDefault="001F04FD" w:rsidP="00AC4DEE">
            <w:pPr>
              <w:pStyle w:val="TableHead"/>
            </w:pPr>
            <w:r>
              <w:t>Definition</w:t>
            </w:r>
          </w:p>
        </w:tc>
      </w:tr>
      <w:tr w:rsidR="001F04FD" w14:paraId="2E617BA2" w14:textId="77777777" w:rsidTr="00AC4DEE">
        <w:tc>
          <w:tcPr>
            <w:tcW w:w="2628" w:type="dxa"/>
          </w:tcPr>
          <w:p w14:paraId="18AC5E8A" w14:textId="77777777" w:rsidR="001F04FD" w:rsidRDefault="001F04FD" w:rsidP="00AC4DEE">
            <w:pPr>
              <w:pStyle w:val="TableBody"/>
            </w:pPr>
            <w:r>
              <w:t xml:space="preserve">RTDCIMPAMTQSETOT </w:t>
            </w:r>
            <w:r w:rsidRPr="006624C0">
              <w:rPr>
                <w:i/>
                <w:vertAlign w:val="subscript"/>
              </w:rPr>
              <w:t>q</w:t>
            </w:r>
            <w:r>
              <w:rPr>
                <w:i/>
                <w:vertAlign w:val="subscript"/>
              </w:rPr>
              <w:t xml:space="preserve">, </w:t>
            </w:r>
            <w:r w:rsidRPr="006624C0">
              <w:rPr>
                <w:i/>
                <w:vertAlign w:val="subscript"/>
              </w:rPr>
              <w:t>p</w:t>
            </w:r>
          </w:p>
        </w:tc>
        <w:tc>
          <w:tcPr>
            <w:tcW w:w="630" w:type="dxa"/>
          </w:tcPr>
          <w:p w14:paraId="27B39313" w14:textId="77777777" w:rsidR="001F04FD" w:rsidRDefault="001F04FD" w:rsidP="00AC4DEE">
            <w:pPr>
              <w:pStyle w:val="TableBody"/>
            </w:pPr>
            <w:r>
              <w:t>$</w:t>
            </w:r>
          </w:p>
        </w:tc>
        <w:tc>
          <w:tcPr>
            <w:tcW w:w="6570" w:type="dxa"/>
          </w:tcPr>
          <w:p w14:paraId="2F1E098F"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System through DC Ties </w:t>
            </w:r>
            <w:r>
              <w:rPr>
                <w:i/>
              </w:rPr>
              <w:t xml:space="preserve">p, </w:t>
            </w:r>
            <w:r>
              <w:t>for the 15-minute Settlement Interval.</w:t>
            </w:r>
          </w:p>
        </w:tc>
      </w:tr>
      <w:tr w:rsidR="001F04FD" w14:paraId="3DFCDE1D" w14:textId="77777777" w:rsidTr="00AC4DEE">
        <w:tc>
          <w:tcPr>
            <w:tcW w:w="2628" w:type="dxa"/>
          </w:tcPr>
          <w:p w14:paraId="6CD0B0AB" w14:textId="77777777" w:rsidR="001F04FD" w:rsidRDefault="001F04FD" w:rsidP="00AC4DEE">
            <w:pPr>
              <w:pStyle w:val="TableBody"/>
            </w:pPr>
            <w:r>
              <w:t xml:space="preserve">RTDCIMPAMT </w:t>
            </w:r>
            <w:r w:rsidRPr="006624C0">
              <w:rPr>
                <w:i/>
                <w:vertAlign w:val="subscript"/>
              </w:rPr>
              <w:t>q, p</w:t>
            </w:r>
          </w:p>
        </w:tc>
        <w:tc>
          <w:tcPr>
            <w:tcW w:w="630" w:type="dxa"/>
          </w:tcPr>
          <w:p w14:paraId="1D168084" w14:textId="77777777" w:rsidR="001F04FD" w:rsidRDefault="001F04FD" w:rsidP="00AC4DEE">
            <w:pPr>
              <w:pStyle w:val="TableBody"/>
            </w:pPr>
            <w:r>
              <w:t>$</w:t>
            </w:r>
          </w:p>
        </w:tc>
        <w:tc>
          <w:tcPr>
            <w:tcW w:w="6570" w:type="dxa"/>
          </w:tcPr>
          <w:p w14:paraId="034D0D1E"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43C02C58" w14:textId="77777777" w:rsidTr="00AC4DEE">
        <w:tc>
          <w:tcPr>
            <w:tcW w:w="2628" w:type="dxa"/>
          </w:tcPr>
          <w:p w14:paraId="28E1CA71" w14:textId="77777777" w:rsidR="001F04FD" w:rsidRDefault="001F04FD" w:rsidP="00AC4DEE">
            <w:pPr>
              <w:pStyle w:val="TableBody"/>
            </w:pPr>
            <w:r>
              <w:t xml:space="preserve">RTEDCIMPAMT </w:t>
            </w:r>
            <w:r w:rsidRPr="006624C0">
              <w:rPr>
                <w:i/>
                <w:vertAlign w:val="subscript"/>
              </w:rPr>
              <w:t>q, p</w:t>
            </w:r>
          </w:p>
        </w:tc>
        <w:tc>
          <w:tcPr>
            <w:tcW w:w="630" w:type="dxa"/>
          </w:tcPr>
          <w:p w14:paraId="79201B9A" w14:textId="77777777" w:rsidR="001F04FD" w:rsidRDefault="001F04FD" w:rsidP="00AC4DEE">
            <w:pPr>
              <w:pStyle w:val="TableBody"/>
            </w:pPr>
            <w:r>
              <w:t>$</w:t>
            </w:r>
          </w:p>
        </w:tc>
        <w:tc>
          <w:tcPr>
            <w:tcW w:w="6570" w:type="dxa"/>
          </w:tcPr>
          <w:p w14:paraId="5FCFD8E1" w14:textId="77777777" w:rsidR="001F04FD" w:rsidRDefault="001F04FD" w:rsidP="00AC4DEE">
            <w:pPr>
              <w:pStyle w:val="TableBody"/>
              <w:rPr>
                <w:i/>
              </w:rPr>
            </w:pPr>
            <w:r>
              <w:rPr>
                <w:i/>
              </w:rPr>
              <w:t>Real-Time Emergency DC Import Amount per QSE per Settlement Point</w:t>
            </w:r>
            <w:r>
              <w:sym w:font="Symbol" w:char="F0BE"/>
            </w:r>
            <w:r>
              <w:t xml:space="preserve">The payment to QSE </w:t>
            </w:r>
            <w:r>
              <w:rPr>
                <w:i/>
              </w:rPr>
              <w:t>q</w:t>
            </w:r>
            <w:r>
              <w:t xml:space="preserve"> for emergency DC Tie import through DC Tie </w:t>
            </w:r>
            <w:r>
              <w:rPr>
                <w:i/>
              </w:rPr>
              <w:t>p</w:t>
            </w:r>
            <w:r>
              <w:t>, for the 15-minute Settlement Interval.</w:t>
            </w:r>
          </w:p>
        </w:tc>
      </w:tr>
      <w:tr w:rsidR="001F04FD" w14:paraId="13FD07BE" w14:textId="77777777" w:rsidTr="00AC4DEE">
        <w:tc>
          <w:tcPr>
            <w:tcW w:w="2628" w:type="dxa"/>
            <w:tcBorders>
              <w:top w:val="single" w:sz="4" w:space="0" w:color="auto"/>
              <w:left w:val="single" w:sz="4" w:space="0" w:color="auto"/>
              <w:bottom w:val="single" w:sz="4" w:space="0" w:color="auto"/>
              <w:right w:val="single" w:sz="4" w:space="0" w:color="auto"/>
            </w:tcBorders>
          </w:tcPr>
          <w:p w14:paraId="3E72086E" w14:textId="77777777" w:rsidR="001F04FD" w:rsidRPr="008326CB" w:rsidRDefault="001F04FD" w:rsidP="00AC4DEE">
            <w:pPr>
              <w:pStyle w:val="TableBody"/>
              <w:rPr>
                <w:i/>
              </w:rPr>
            </w:pPr>
            <w:r w:rsidRPr="00A61E91">
              <w:rPr>
                <w:i/>
              </w:rPr>
              <w:t>q</w:t>
            </w:r>
          </w:p>
        </w:tc>
        <w:tc>
          <w:tcPr>
            <w:tcW w:w="630" w:type="dxa"/>
            <w:tcBorders>
              <w:top w:val="single" w:sz="4" w:space="0" w:color="auto"/>
              <w:left w:val="single" w:sz="4" w:space="0" w:color="auto"/>
              <w:bottom w:val="single" w:sz="4" w:space="0" w:color="auto"/>
              <w:right w:val="single" w:sz="4" w:space="0" w:color="auto"/>
            </w:tcBorders>
          </w:tcPr>
          <w:p w14:paraId="37BA4358"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7FB66992" w14:textId="77777777" w:rsidR="001F04FD" w:rsidRDefault="001F04FD" w:rsidP="00AC4DEE">
            <w:pPr>
              <w:pStyle w:val="TableBody"/>
            </w:pPr>
            <w:r>
              <w:t>A QSE.</w:t>
            </w:r>
          </w:p>
        </w:tc>
      </w:tr>
      <w:tr w:rsidR="001F04FD" w14:paraId="7E0C3CA3" w14:textId="77777777" w:rsidTr="00AC4DEE">
        <w:tc>
          <w:tcPr>
            <w:tcW w:w="2628" w:type="dxa"/>
            <w:tcBorders>
              <w:top w:val="single" w:sz="4" w:space="0" w:color="auto"/>
              <w:left w:val="single" w:sz="4" w:space="0" w:color="auto"/>
              <w:bottom w:val="single" w:sz="4" w:space="0" w:color="auto"/>
              <w:right w:val="single" w:sz="4" w:space="0" w:color="auto"/>
            </w:tcBorders>
          </w:tcPr>
          <w:p w14:paraId="6D1EC7AE" w14:textId="77777777" w:rsidR="001F04FD" w:rsidRPr="008326CB" w:rsidRDefault="001F04FD" w:rsidP="00AC4DEE">
            <w:pPr>
              <w:pStyle w:val="TableBody"/>
              <w:rPr>
                <w:i/>
              </w:rPr>
            </w:pPr>
            <w:r w:rsidRPr="00A61E91">
              <w:rPr>
                <w:i/>
              </w:rPr>
              <w:t>p</w:t>
            </w:r>
          </w:p>
        </w:tc>
        <w:tc>
          <w:tcPr>
            <w:tcW w:w="630" w:type="dxa"/>
            <w:tcBorders>
              <w:top w:val="single" w:sz="4" w:space="0" w:color="auto"/>
              <w:left w:val="single" w:sz="4" w:space="0" w:color="auto"/>
              <w:bottom w:val="single" w:sz="4" w:space="0" w:color="auto"/>
              <w:right w:val="single" w:sz="4" w:space="0" w:color="auto"/>
            </w:tcBorders>
          </w:tcPr>
          <w:p w14:paraId="50DF5F3D"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245578E9" w14:textId="77777777" w:rsidR="001F04FD" w:rsidRDefault="001F04FD" w:rsidP="00AC4DEE">
            <w:pPr>
              <w:pStyle w:val="TableBody"/>
              <w:rPr>
                <w:lang w:val="fr-FR"/>
              </w:rPr>
            </w:pPr>
            <w:r>
              <w:rPr>
                <w:lang w:val="fr-FR"/>
              </w:rPr>
              <w:t>A DC Tie Settlement Point.</w:t>
            </w:r>
          </w:p>
        </w:tc>
      </w:tr>
    </w:tbl>
    <w:p w14:paraId="367F29AF" w14:textId="77777777" w:rsidR="001F04FD" w:rsidRDefault="001F04FD" w:rsidP="001F04FD">
      <w:pPr>
        <w:pStyle w:val="H4"/>
        <w:spacing w:before="480"/>
        <w:ind w:left="1267" w:hanging="1267"/>
      </w:pPr>
      <w:bookmarkStart w:id="1916" w:name="_Toc397505017"/>
      <w:bookmarkStart w:id="1917" w:name="_Toc402357145"/>
      <w:bookmarkStart w:id="1918" w:name="_Toc422486523"/>
      <w:bookmarkStart w:id="1919" w:name="_Toc433093375"/>
      <w:bookmarkStart w:id="1920" w:name="_Toc433093533"/>
      <w:bookmarkStart w:id="1921" w:name="_Toc440874761"/>
      <w:bookmarkStart w:id="1922" w:name="_Toc448142316"/>
      <w:bookmarkStart w:id="1923" w:name="_Toc448142473"/>
      <w:bookmarkStart w:id="1924" w:name="_Toc458770314"/>
      <w:bookmarkStart w:id="1925" w:name="_Toc459294282"/>
      <w:bookmarkStart w:id="1926" w:name="_Toc463262775"/>
      <w:bookmarkStart w:id="1927" w:name="_Toc468286848"/>
      <w:bookmarkStart w:id="1928" w:name="_Toc481502891"/>
      <w:bookmarkStart w:id="1929" w:name="_Toc496080059"/>
      <w:bookmarkStart w:id="1930" w:name="_Toc189044416"/>
      <w:r>
        <w:t>6.6.3.5</w:t>
      </w:r>
      <w:r>
        <w:tab/>
        <w:t>Real-Time Payment for a Block Load Transfer Point</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476EEAC7" w14:textId="2E0956CE" w:rsidR="001F04FD" w:rsidRDefault="001F04FD" w:rsidP="001F04FD">
      <w:pPr>
        <w:pStyle w:val="BodyTextNumbered"/>
      </w:pPr>
      <w:r>
        <w:t>(1)</w:t>
      </w:r>
      <w:r>
        <w:tab/>
        <w:t xml:space="preserve">ERCOT shall pay each QSE for the energy delivered to an ERCOT Load through a Block Load Transfer (BLT) Point that is </w:t>
      </w:r>
      <w:r w:rsidR="00C830CE">
        <w:t xml:space="preserve">registered for Settlement when that Load is </w:t>
      </w:r>
      <w:r>
        <w:t>moved from the ERCOT Control Area to a non-ERCOT Control Area.  The payment for a given 15-minute Settlement Interval is calculated as follows:</w:t>
      </w:r>
    </w:p>
    <w:p w14:paraId="0531A3B9" w14:textId="77777777" w:rsidR="001F04FD" w:rsidRDefault="001F04FD" w:rsidP="001F04FD">
      <w:pPr>
        <w:pStyle w:val="FormulaBold"/>
        <w:ind w:left="3240" w:hanging="2520"/>
      </w:pPr>
      <w:r>
        <w:t xml:space="preserve">BLTRAMT </w:t>
      </w:r>
      <w:r>
        <w:rPr>
          <w:i/>
          <w:vertAlign w:val="subscript"/>
        </w:rPr>
        <w:t>q, bltp, p</w:t>
      </w:r>
      <w:r>
        <w:t xml:space="preserve"> = </w:t>
      </w:r>
      <w:r>
        <w:tab/>
        <w:t xml:space="preserve">(-1) * MAX {RTSPPEW </w:t>
      </w:r>
      <w:r>
        <w:rPr>
          <w:i/>
          <w:vertAlign w:val="subscript"/>
        </w:rPr>
        <w:t>p</w:t>
      </w:r>
      <w:r>
        <w:t xml:space="preserve">, (VEEPBLTP </w:t>
      </w:r>
      <w:r>
        <w:rPr>
          <w:i/>
          <w:vertAlign w:val="subscript"/>
        </w:rPr>
        <w:t>q, bltp</w:t>
      </w:r>
      <w:r>
        <w:t xml:space="preserve">) </w:t>
      </w:r>
      <w:r>
        <w:rPr>
          <w:i/>
        </w:rPr>
        <w:t>*</w:t>
      </w:r>
      <w:r w:rsidRPr="006624C0">
        <w:t xml:space="preserve"> CABLT</w:t>
      </w:r>
      <w:r>
        <w:t xml:space="preserve">} * BLTR </w:t>
      </w:r>
      <w:r>
        <w:rPr>
          <w:i/>
          <w:vertAlign w:val="subscript"/>
        </w:rPr>
        <w:t>q, p, bltp</w:t>
      </w:r>
      <w:r>
        <w:t xml:space="preserve"> </w:t>
      </w:r>
    </w:p>
    <w:p w14:paraId="5C629200" w14:textId="77777777" w:rsidR="001F04FD" w:rsidRDefault="001F04FD" w:rsidP="001F04FD">
      <w:r>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82"/>
        <w:gridCol w:w="1571"/>
        <w:gridCol w:w="5752"/>
      </w:tblGrid>
      <w:tr w:rsidR="001F04FD" w14:paraId="55D0CE7C" w14:textId="77777777" w:rsidTr="009F62BA">
        <w:tc>
          <w:tcPr>
            <w:tcW w:w="2466" w:type="dxa"/>
          </w:tcPr>
          <w:p w14:paraId="4C87E0C4" w14:textId="77777777" w:rsidR="001F04FD" w:rsidRDefault="001F04FD" w:rsidP="00AC4DEE">
            <w:pPr>
              <w:pStyle w:val="TableHead"/>
            </w:pPr>
            <w:r>
              <w:t>Variable</w:t>
            </w:r>
          </w:p>
        </w:tc>
        <w:tc>
          <w:tcPr>
            <w:tcW w:w="1639" w:type="dxa"/>
          </w:tcPr>
          <w:p w14:paraId="13C6A615" w14:textId="77777777" w:rsidR="001F04FD" w:rsidRDefault="001F04FD" w:rsidP="00AC4DEE">
            <w:pPr>
              <w:pStyle w:val="TableHead"/>
            </w:pPr>
            <w:r>
              <w:t>Unit</w:t>
            </w:r>
          </w:p>
        </w:tc>
        <w:tc>
          <w:tcPr>
            <w:tcW w:w="5700" w:type="dxa"/>
          </w:tcPr>
          <w:p w14:paraId="46DE362A" w14:textId="77777777" w:rsidR="001F04FD" w:rsidRDefault="001F04FD" w:rsidP="00AC4DEE">
            <w:pPr>
              <w:pStyle w:val="TableHead"/>
            </w:pPr>
            <w:r>
              <w:t>Definition</w:t>
            </w:r>
          </w:p>
        </w:tc>
      </w:tr>
      <w:tr w:rsidR="001F04FD" w14:paraId="65628531" w14:textId="77777777" w:rsidTr="009F62BA">
        <w:tc>
          <w:tcPr>
            <w:tcW w:w="2466" w:type="dxa"/>
          </w:tcPr>
          <w:p w14:paraId="468E5419" w14:textId="77777777" w:rsidR="001F04FD" w:rsidRDefault="001F04FD" w:rsidP="00AC4DEE">
            <w:pPr>
              <w:pStyle w:val="TableBody"/>
            </w:pPr>
            <w:r>
              <w:t xml:space="preserve">BLTRAMT </w:t>
            </w:r>
            <w:r w:rsidRPr="006624C0">
              <w:rPr>
                <w:i/>
                <w:vertAlign w:val="subscript"/>
              </w:rPr>
              <w:t>q, bltp, p</w:t>
            </w:r>
          </w:p>
        </w:tc>
        <w:tc>
          <w:tcPr>
            <w:tcW w:w="1639" w:type="dxa"/>
          </w:tcPr>
          <w:p w14:paraId="5D3D0FE2" w14:textId="77777777" w:rsidR="001F04FD" w:rsidRDefault="001F04FD" w:rsidP="00AC4DEE">
            <w:pPr>
              <w:pStyle w:val="TableBody"/>
            </w:pPr>
            <w:r>
              <w:t>$</w:t>
            </w:r>
          </w:p>
        </w:tc>
        <w:tc>
          <w:tcPr>
            <w:tcW w:w="5700" w:type="dxa"/>
          </w:tcPr>
          <w:p w14:paraId="0A9731EA" w14:textId="77777777" w:rsidR="001F04FD" w:rsidRDefault="001F04FD" w:rsidP="00AC4DEE">
            <w:pPr>
              <w:pStyle w:val="TableBody"/>
            </w:pPr>
            <w:r>
              <w:rPr>
                <w:i/>
              </w:rPr>
              <w:t>Block Load Transfer Resource Amount per QSE per Settlement Point per BLT Point</w:t>
            </w:r>
            <w:r>
              <w:sym w:font="Symbol" w:char="F0BE"/>
            </w:r>
            <w:r>
              <w:t xml:space="preserve">The payment to QSE </w:t>
            </w:r>
            <w:r>
              <w:rPr>
                <w:i/>
              </w:rPr>
              <w:t>q</w:t>
            </w:r>
            <w:r>
              <w:t xml:space="preserve"> for the BLT Resource that delivers energy to Load Zone </w:t>
            </w:r>
            <w:r>
              <w:rPr>
                <w:i/>
              </w:rPr>
              <w:t>p</w:t>
            </w:r>
            <w:r>
              <w:t xml:space="preserve"> through BLT Point </w:t>
            </w:r>
            <w:r>
              <w:rPr>
                <w:i/>
              </w:rPr>
              <w:t>bltp</w:t>
            </w:r>
            <w:r>
              <w:t>, for the 15-minute Settlement Interval.</w:t>
            </w:r>
          </w:p>
        </w:tc>
      </w:tr>
      <w:tr w:rsidR="001F04FD" w14:paraId="5CCC006A" w14:textId="77777777" w:rsidTr="009F62BA">
        <w:tc>
          <w:tcPr>
            <w:tcW w:w="2466" w:type="dxa"/>
          </w:tcPr>
          <w:p w14:paraId="0F9CA8EE" w14:textId="77777777" w:rsidR="001F04FD" w:rsidRDefault="001F04FD" w:rsidP="00AC4DEE">
            <w:pPr>
              <w:pStyle w:val="TableBody"/>
            </w:pPr>
            <w:r>
              <w:t xml:space="preserve">RTSPPEW </w:t>
            </w:r>
            <w:r w:rsidRPr="006624C0">
              <w:rPr>
                <w:i/>
                <w:vertAlign w:val="subscript"/>
              </w:rPr>
              <w:t>p</w:t>
            </w:r>
          </w:p>
        </w:tc>
        <w:tc>
          <w:tcPr>
            <w:tcW w:w="1639" w:type="dxa"/>
          </w:tcPr>
          <w:p w14:paraId="08097D2B" w14:textId="77777777" w:rsidR="001F04FD" w:rsidRDefault="001F04FD" w:rsidP="00AC4DEE">
            <w:pPr>
              <w:pStyle w:val="TableBody"/>
            </w:pPr>
            <w:r>
              <w:t>$/MWh</w:t>
            </w:r>
          </w:p>
        </w:tc>
        <w:tc>
          <w:tcPr>
            <w:tcW w:w="5700" w:type="dxa"/>
          </w:tcPr>
          <w:p w14:paraId="6F1391C4" w14:textId="77777777" w:rsidR="001F04FD" w:rsidRDefault="001F04FD" w:rsidP="00AC4DEE">
            <w:pPr>
              <w:pStyle w:val="TableBody"/>
            </w:pPr>
            <w:r>
              <w:rPr>
                <w:i/>
              </w:rPr>
              <w:t>Real-Time Settlement Point Price per Settlement Point Energy-Weighted</w:t>
            </w:r>
            <w:r>
              <w:sym w:font="Symbol" w:char="F0BE"/>
            </w:r>
            <w:r>
              <w:t xml:space="preserve">The Real-Time Settlement Point Price at Settlement Point </w:t>
            </w:r>
            <w:r>
              <w:rPr>
                <w:i/>
              </w:rPr>
              <w:t>p</w:t>
            </w:r>
            <w:r>
              <w:t>, for the 15-minute Settlement Interval, that is weighted by the state estimated Load of the Load Zone of each SCED interval within the 15-minute Settlement Internal.</w:t>
            </w:r>
          </w:p>
        </w:tc>
      </w:tr>
      <w:tr w:rsidR="001F04FD" w14:paraId="5BADFCC4" w14:textId="77777777" w:rsidTr="009F62BA">
        <w:tc>
          <w:tcPr>
            <w:tcW w:w="2466" w:type="dxa"/>
          </w:tcPr>
          <w:p w14:paraId="1938D839" w14:textId="77777777" w:rsidR="001F04FD" w:rsidRDefault="001F04FD" w:rsidP="00AC4DEE">
            <w:pPr>
              <w:pStyle w:val="TableBody"/>
            </w:pPr>
            <w:r>
              <w:t xml:space="preserve">VEEPBLTP </w:t>
            </w:r>
            <w:r w:rsidRPr="006624C0">
              <w:rPr>
                <w:i/>
                <w:vertAlign w:val="subscript"/>
              </w:rPr>
              <w:t>q, bltp</w:t>
            </w:r>
          </w:p>
        </w:tc>
        <w:tc>
          <w:tcPr>
            <w:tcW w:w="1639" w:type="dxa"/>
          </w:tcPr>
          <w:p w14:paraId="34CBC3E5" w14:textId="77777777" w:rsidR="001F04FD" w:rsidRDefault="001F04FD" w:rsidP="00AC4DEE">
            <w:pPr>
              <w:pStyle w:val="TableBody"/>
            </w:pPr>
            <w:r>
              <w:t>$/MWh</w:t>
            </w:r>
          </w:p>
        </w:tc>
        <w:tc>
          <w:tcPr>
            <w:tcW w:w="5700" w:type="dxa"/>
          </w:tcPr>
          <w:p w14:paraId="08270315" w14:textId="298D2F25" w:rsidR="001F04FD" w:rsidRDefault="001F04FD" w:rsidP="00C830CE">
            <w:pPr>
              <w:pStyle w:val="TableBody"/>
              <w:rPr>
                <w:i/>
              </w:rPr>
            </w:pPr>
            <w:r>
              <w:rPr>
                <w:i/>
              </w:rPr>
              <w:t>Verified Emergency Energy Price at BLT Point</w:t>
            </w:r>
            <w:r>
              <w:sym w:font="Symbol" w:char="F0BE"/>
            </w:r>
            <w:r>
              <w:t xml:space="preserve">The ERCOT verified cost for the energy delivered to an ERCOT Load through BLT Point </w:t>
            </w:r>
            <w:r>
              <w:rPr>
                <w:i/>
              </w:rPr>
              <w:t>bltp</w:t>
            </w:r>
            <w:r>
              <w:t>.</w:t>
            </w:r>
          </w:p>
        </w:tc>
      </w:tr>
      <w:tr w:rsidR="001F04FD" w14:paraId="6DFE5F19" w14:textId="77777777" w:rsidTr="009F62BA">
        <w:tc>
          <w:tcPr>
            <w:tcW w:w="2466" w:type="dxa"/>
          </w:tcPr>
          <w:p w14:paraId="3CC6D7A0" w14:textId="77777777" w:rsidR="001F04FD" w:rsidRDefault="001F04FD" w:rsidP="00AC4DEE">
            <w:pPr>
              <w:pStyle w:val="TableBody"/>
            </w:pPr>
            <w:r>
              <w:t>CABLT</w:t>
            </w:r>
          </w:p>
        </w:tc>
        <w:tc>
          <w:tcPr>
            <w:tcW w:w="1639" w:type="dxa"/>
          </w:tcPr>
          <w:p w14:paraId="334AE899" w14:textId="57390E8D" w:rsidR="001F04FD" w:rsidRDefault="00154FF3" w:rsidP="001A1946">
            <w:pPr>
              <w:pStyle w:val="TableBody"/>
            </w:pPr>
            <w:r>
              <w:t>none</w:t>
            </w:r>
          </w:p>
        </w:tc>
        <w:tc>
          <w:tcPr>
            <w:tcW w:w="5700" w:type="dxa"/>
          </w:tcPr>
          <w:p w14:paraId="5BC9F665" w14:textId="77777777" w:rsidR="001F04FD" w:rsidRDefault="001F04FD" w:rsidP="00AC4DEE">
            <w:pPr>
              <w:pStyle w:val="TableBody"/>
              <w:rPr>
                <w:i/>
              </w:rPr>
            </w:pPr>
            <w:r>
              <w:rPr>
                <w:i/>
              </w:rPr>
              <w:t>Cost Adder for Block Load Transfer</w:t>
            </w:r>
            <w:r>
              <w:sym w:font="Symbol" w:char="F0BE"/>
            </w:r>
            <w:r>
              <w:t>A multiplier of 1.10.</w:t>
            </w:r>
          </w:p>
        </w:tc>
      </w:tr>
      <w:tr w:rsidR="001F04FD" w14:paraId="1B02AB48" w14:textId="77777777" w:rsidTr="009F62BA">
        <w:tc>
          <w:tcPr>
            <w:tcW w:w="2602" w:type="dxa"/>
          </w:tcPr>
          <w:p w14:paraId="52933D30" w14:textId="77777777" w:rsidR="001F04FD" w:rsidRDefault="001F04FD" w:rsidP="00AC4DEE">
            <w:pPr>
              <w:pStyle w:val="TableBody"/>
            </w:pPr>
            <w:r>
              <w:t xml:space="preserve">BLTR </w:t>
            </w:r>
            <w:r>
              <w:rPr>
                <w:vertAlign w:val="subscript"/>
              </w:rPr>
              <w:t xml:space="preserve"> </w:t>
            </w:r>
            <w:r w:rsidRPr="006624C0">
              <w:rPr>
                <w:i/>
                <w:vertAlign w:val="subscript"/>
              </w:rPr>
              <w:t>q, p, bltp</w:t>
            </w:r>
          </w:p>
        </w:tc>
        <w:tc>
          <w:tcPr>
            <w:tcW w:w="1046" w:type="dxa"/>
          </w:tcPr>
          <w:p w14:paraId="759F450F" w14:textId="77777777" w:rsidR="001F04FD" w:rsidRDefault="001F04FD" w:rsidP="00AC4DEE">
            <w:pPr>
              <w:pStyle w:val="TableBody"/>
            </w:pPr>
            <w:r>
              <w:t>MWh</w:t>
            </w:r>
          </w:p>
        </w:tc>
        <w:tc>
          <w:tcPr>
            <w:tcW w:w="6157" w:type="dxa"/>
          </w:tcPr>
          <w:p w14:paraId="7A293C7E" w14:textId="77777777" w:rsidR="001F04FD" w:rsidRDefault="001F04FD" w:rsidP="00AC4DEE">
            <w:pPr>
              <w:pStyle w:val="TableBody"/>
            </w:pPr>
            <w:r>
              <w:rPr>
                <w:i/>
              </w:rPr>
              <w:t>Block Load Transfer Resource per QSE per Settlement Point per BLT Point</w:t>
            </w:r>
            <w:r>
              <w:sym w:font="Symbol" w:char="F0BE"/>
            </w:r>
            <w:r>
              <w:t xml:space="preserve">The energy delivered to an ERCOT Load in Load Zone </w:t>
            </w:r>
            <w:r>
              <w:rPr>
                <w:i/>
              </w:rPr>
              <w:t>p</w:t>
            </w:r>
            <w:r>
              <w:t xml:space="preserve"> through BLT Point </w:t>
            </w:r>
            <w:r>
              <w:rPr>
                <w:i/>
              </w:rPr>
              <w:t>bltp</w:t>
            </w:r>
            <w:r>
              <w:t xml:space="preserve"> represented by QSE </w:t>
            </w:r>
            <w:r>
              <w:rPr>
                <w:i/>
              </w:rPr>
              <w:t>q</w:t>
            </w:r>
            <w:r>
              <w:t xml:space="preserve">, for the 15-minute Settlement Interval.  </w:t>
            </w:r>
          </w:p>
        </w:tc>
      </w:tr>
      <w:tr w:rsidR="001F04FD" w14:paraId="0271F4B9" w14:textId="77777777" w:rsidTr="009F62BA">
        <w:tc>
          <w:tcPr>
            <w:tcW w:w="2602" w:type="dxa"/>
          </w:tcPr>
          <w:p w14:paraId="5071A639" w14:textId="77777777" w:rsidR="001F04FD" w:rsidRPr="00B0138B" w:rsidRDefault="001F04FD" w:rsidP="00AC4DEE">
            <w:pPr>
              <w:pStyle w:val="TableBody"/>
              <w:rPr>
                <w:i/>
              </w:rPr>
            </w:pPr>
            <w:r w:rsidRPr="00A61E91">
              <w:rPr>
                <w:i/>
              </w:rPr>
              <w:t>q</w:t>
            </w:r>
          </w:p>
        </w:tc>
        <w:tc>
          <w:tcPr>
            <w:tcW w:w="1046" w:type="dxa"/>
          </w:tcPr>
          <w:p w14:paraId="3302B3F9" w14:textId="77777777" w:rsidR="001F04FD" w:rsidRDefault="001F04FD" w:rsidP="00AC4DEE">
            <w:pPr>
              <w:pStyle w:val="TableBody"/>
            </w:pPr>
            <w:r>
              <w:t>none</w:t>
            </w:r>
          </w:p>
        </w:tc>
        <w:tc>
          <w:tcPr>
            <w:tcW w:w="6157" w:type="dxa"/>
          </w:tcPr>
          <w:p w14:paraId="09BF1414" w14:textId="77777777" w:rsidR="001F04FD" w:rsidRDefault="001F04FD" w:rsidP="00AC4DEE">
            <w:pPr>
              <w:pStyle w:val="TableBody"/>
              <w:rPr>
                <w:i/>
              </w:rPr>
            </w:pPr>
            <w:r>
              <w:t>A QSE.</w:t>
            </w:r>
          </w:p>
        </w:tc>
      </w:tr>
      <w:tr w:rsidR="001F04FD" w14:paraId="50E0F326" w14:textId="77777777" w:rsidTr="009F62BA">
        <w:tc>
          <w:tcPr>
            <w:tcW w:w="2602" w:type="dxa"/>
          </w:tcPr>
          <w:p w14:paraId="68C60C2F" w14:textId="77777777" w:rsidR="001F04FD" w:rsidRPr="00B0138B" w:rsidRDefault="001F04FD" w:rsidP="00AC4DEE">
            <w:pPr>
              <w:pStyle w:val="TableBody"/>
              <w:rPr>
                <w:i/>
              </w:rPr>
            </w:pPr>
            <w:r w:rsidRPr="00A61E91">
              <w:rPr>
                <w:i/>
              </w:rPr>
              <w:t>p</w:t>
            </w:r>
          </w:p>
        </w:tc>
        <w:tc>
          <w:tcPr>
            <w:tcW w:w="1046" w:type="dxa"/>
          </w:tcPr>
          <w:p w14:paraId="10CE6303" w14:textId="77777777" w:rsidR="001F04FD" w:rsidRDefault="001F04FD" w:rsidP="00AC4DEE">
            <w:pPr>
              <w:pStyle w:val="TableBody"/>
            </w:pPr>
            <w:r>
              <w:t>none</w:t>
            </w:r>
          </w:p>
        </w:tc>
        <w:tc>
          <w:tcPr>
            <w:tcW w:w="6157" w:type="dxa"/>
          </w:tcPr>
          <w:p w14:paraId="58B91ED7" w14:textId="77777777" w:rsidR="001F04FD" w:rsidRDefault="001F04FD" w:rsidP="00AC4DEE">
            <w:pPr>
              <w:pStyle w:val="TableBody"/>
              <w:rPr>
                <w:i/>
              </w:rPr>
            </w:pPr>
            <w:r>
              <w:t>A Load Zone Settlement Point.</w:t>
            </w:r>
          </w:p>
        </w:tc>
      </w:tr>
      <w:tr w:rsidR="001F04FD" w14:paraId="2ACB41A7" w14:textId="77777777" w:rsidTr="009F62BA">
        <w:tc>
          <w:tcPr>
            <w:tcW w:w="2602" w:type="dxa"/>
          </w:tcPr>
          <w:p w14:paraId="60DCD8DC" w14:textId="77777777" w:rsidR="001F04FD" w:rsidRPr="00B0138B" w:rsidRDefault="001F04FD" w:rsidP="00AC4DEE">
            <w:pPr>
              <w:pStyle w:val="TableBody"/>
              <w:rPr>
                <w:i/>
              </w:rPr>
            </w:pPr>
            <w:r w:rsidRPr="00A61E91">
              <w:rPr>
                <w:i/>
              </w:rPr>
              <w:lastRenderedPageBreak/>
              <w:t>bltp</w:t>
            </w:r>
          </w:p>
        </w:tc>
        <w:tc>
          <w:tcPr>
            <w:tcW w:w="1046" w:type="dxa"/>
          </w:tcPr>
          <w:p w14:paraId="13786AE2" w14:textId="77777777" w:rsidR="001F04FD" w:rsidRDefault="001F04FD" w:rsidP="00AC4DEE">
            <w:pPr>
              <w:pStyle w:val="TableBody"/>
            </w:pPr>
            <w:r>
              <w:t>none</w:t>
            </w:r>
          </w:p>
        </w:tc>
        <w:tc>
          <w:tcPr>
            <w:tcW w:w="6157" w:type="dxa"/>
          </w:tcPr>
          <w:p w14:paraId="0DA9165A" w14:textId="77777777" w:rsidR="001F04FD" w:rsidRDefault="001F04FD" w:rsidP="00AC4DEE">
            <w:pPr>
              <w:pStyle w:val="TableBody"/>
            </w:pPr>
            <w:r>
              <w:t>A BLT Point.</w:t>
            </w:r>
          </w:p>
        </w:tc>
      </w:tr>
    </w:tbl>
    <w:p w14:paraId="52A27E08" w14:textId="77777777" w:rsidR="001F04FD" w:rsidRDefault="001F04FD" w:rsidP="001F04FD">
      <w:pPr>
        <w:pStyle w:val="BodyTextNumbered"/>
        <w:spacing w:before="240"/>
      </w:pPr>
      <w:bookmarkStart w:id="1931" w:name="_Toc87951789"/>
      <w:bookmarkStart w:id="1932" w:name="_Toc109009394"/>
      <w:bookmarkEnd w:id="1914"/>
      <w:bookmarkEnd w:id="1915"/>
      <w:r>
        <w:t>(2)</w:t>
      </w:r>
      <w:r>
        <w:tab/>
        <w:t>The total of the payments to each QSE for all energy delivered to ERCOT Loads through BLT Points for the 15-minute Settlement Interval is calculated as follows:</w:t>
      </w:r>
    </w:p>
    <w:p w14:paraId="3EC9D4FE" w14:textId="77777777" w:rsidR="001F04FD" w:rsidRDefault="001F04FD" w:rsidP="001F04FD">
      <w:pPr>
        <w:pStyle w:val="FormulaBold"/>
      </w:pPr>
      <w:r>
        <w:t xml:space="preserve">BLTRAMTQSETOT </w:t>
      </w:r>
      <w:r>
        <w:rPr>
          <w:i/>
          <w:vertAlign w:val="subscript"/>
        </w:rPr>
        <w:t>q</w:t>
      </w:r>
      <w:r>
        <w:tab/>
        <w:t>=</w:t>
      </w:r>
      <w:r>
        <w:tab/>
      </w:r>
      <w:r w:rsidRPr="006F784F">
        <w:rPr>
          <w:position w:val="-22"/>
        </w:rPr>
        <w:object w:dxaOrig="225" w:dyaOrig="465" w14:anchorId="7236CCD8">
          <v:shape id="_x0000_i1159" type="#_x0000_t75" style="width:12pt;height:18pt" o:ole="">
            <v:imagedata r:id="rId172" o:title=""/>
          </v:shape>
          <o:OLEObject Type="Embed" ProgID="Equation.3" ShapeID="_x0000_i1159" DrawAspect="Content" ObjectID="_1804653644" r:id="rId177"/>
        </w:object>
      </w:r>
      <w:r w:rsidRPr="006F784F">
        <w:rPr>
          <w:position w:val="-22"/>
        </w:rPr>
        <w:object w:dxaOrig="300" w:dyaOrig="465" w14:anchorId="3B5D73C7">
          <v:shape id="_x0000_i1160" type="#_x0000_t75" style="width:12pt;height:18pt" o:ole="">
            <v:imagedata r:id="rId178" o:title=""/>
          </v:shape>
          <o:OLEObject Type="Embed" ProgID="Equation.3" ShapeID="_x0000_i1160" DrawAspect="Content" ObjectID="_1804653645" r:id="rId179"/>
        </w:object>
      </w:r>
      <w:r>
        <w:t xml:space="preserve">BLTRAMT </w:t>
      </w:r>
      <w:r w:rsidRPr="00121A09">
        <w:rPr>
          <w:i/>
          <w:vertAlign w:val="subscript"/>
        </w:rPr>
        <w:t>q, bltp, p</w:t>
      </w:r>
    </w:p>
    <w:p w14:paraId="5FFCF72D" w14:textId="77777777" w:rsidR="001F04FD" w:rsidRDefault="001F04FD" w:rsidP="001F04FD">
      <w:r>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10"/>
        <w:gridCol w:w="6300"/>
      </w:tblGrid>
      <w:tr w:rsidR="001F04FD" w14:paraId="6DC62B05" w14:textId="77777777" w:rsidTr="002401F7">
        <w:tc>
          <w:tcPr>
            <w:tcW w:w="1374" w:type="pct"/>
          </w:tcPr>
          <w:p w14:paraId="06A37090" w14:textId="77777777" w:rsidR="001F04FD" w:rsidRDefault="001F04FD" w:rsidP="00AC4DEE">
            <w:pPr>
              <w:pStyle w:val="TableHead"/>
            </w:pPr>
            <w:r>
              <w:t>Variable</w:t>
            </w:r>
          </w:p>
        </w:tc>
        <w:tc>
          <w:tcPr>
            <w:tcW w:w="413" w:type="pct"/>
          </w:tcPr>
          <w:p w14:paraId="4721F76A" w14:textId="77777777" w:rsidR="001F04FD" w:rsidRDefault="001F04FD" w:rsidP="00AC4DEE">
            <w:pPr>
              <w:pStyle w:val="TableHead"/>
            </w:pPr>
            <w:r>
              <w:t>Unit</w:t>
            </w:r>
          </w:p>
        </w:tc>
        <w:tc>
          <w:tcPr>
            <w:tcW w:w="3213" w:type="pct"/>
          </w:tcPr>
          <w:p w14:paraId="7D1D72B3" w14:textId="77777777" w:rsidR="001F04FD" w:rsidRDefault="001F04FD" w:rsidP="00AC4DEE">
            <w:pPr>
              <w:pStyle w:val="TableHead"/>
            </w:pPr>
            <w:r>
              <w:t>Definition</w:t>
            </w:r>
          </w:p>
        </w:tc>
      </w:tr>
      <w:tr w:rsidR="001F04FD" w14:paraId="72490416" w14:textId="77777777" w:rsidTr="002401F7">
        <w:tc>
          <w:tcPr>
            <w:tcW w:w="1374" w:type="pct"/>
          </w:tcPr>
          <w:p w14:paraId="666D5188" w14:textId="77777777" w:rsidR="001F04FD" w:rsidRDefault="001F04FD" w:rsidP="00AC4DEE">
            <w:pPr>
              <w:pStyle w:val="TableBody"/>
            </w:pPr>
            <w:r>
              <w:t xml:space="preserve">BLTRAMTQSETOT </w:t>
            </w:r>
            <w:r w:rsidRPr="00121A09">
              <w:rPr>
                <w:i/>
                <w:vertAlign w:val="subscript"/>
              </w:rPr>
              <w:t>q</w:t>
            </w:r>
          </w:p>
        </w:tc>
        <w:tc>
          <w:tcPr>
            <w:tcW w:w="413" w:type="pct"/>
          </w:tcPr>
          <w:p w14:paraId="0ADDABD8" w14:textId="77777777" w:rsidR="001F04FD" w:rsidRDefault="001F04FD" w:rsidP="00AC4DEE">
            <w:pPr>
              <w:pStyle w:val="TableBody"/>
            </w:pPr>
            <w:r>
              <w:t>$</w:t>
            </w:r>
          </w:p>
        </w:tc>
        <w:tc>
          <w:tcPr>
            <w:tcW w:w="3213" w:type="pct"/>
          </w:tcPr>
          <w:p w14:paraId="75164459" w14:textId="77777777" w:rsidR="001F04FD" w:rsidRDefault="001F04FD" w:rsidP="00AC4DEE">
            <w:pPr>
              <w:pStyle w:val="TableBody"/>
            </w:pPr>
            <w:r>
              <w:rPr>
                <w:i/>
              </w:rPr>
              <w:t>Block Load Transfer Resource Amount QSE Total per QSE</w:t>
            </w:r>
            <w:r>
              <w:sym w:font="Symbol" w:char="F0BE"/>
            </w:r>
            <w:r>
              <w:t xml:space="preserve">The total of the payments to QSE </w:t>
            </w:r>
            <w:r>
              <w:rPr>
                <w:i/>
              </w:rPr>
              <w:t>q</w:t>
            </w:r>
            <w:r>
              <w:t xml:space="preserve"> for energy delivered into the ERCOT System through BLT Points for the 15-minute Settlement Interval.</w:t>
            </w:r>
          </w:p>
        </w:tc>
      </w:tr>
      <w:tr w:rsidR="001F04FD" w14:paraId="766047D9" w14:textId="77777777" w:rsidTr="002401F7">
        <w:tc>
          <w:tcPr>
            <w:tcW w:w="1374" w:type="pct"/>
          </w:tcPr>
          <w:p w14:paraId="762EC6A3" w14:textId="77777777" w:rsidR="001F04FD" w:rsidRDefault="001F04FD" w:rsidP="00AC4DEE">
            <w:pPr>
              <w:pStyle w:val="TableBody"/>
            </w:pPr>
            <w:r>
              <w:t xml:space="preserve">BLTRAMT </w:t>
            </w:r>
            <w:r w:rsidRPr="00121A09">
              <w:rPr>
                <w:i/>
                <w:vertAlign w:val="subscript"/>
              </w:rPr>
              <w:t>q, bltp , p</w:t>
            </w:r>
          </w:p>
        </w:tc>
        <w:tc>
          <w:tcPr>
            <w:tcW w:w="413" w:type="pct"/>
          </w:tcPr>
          <w:p w14:paraId="7B8744C9" w14:textId="77777777" w:rsidR="001F04FD" w:rsidRDefault="001F04FD" w:rsidP="00AC4DEE">
            <w:pPr>
              <w:pStyle w:val="TableBody"/>
            </w:pPr>
            <w:r>
              <w:t>$</w:t>
            </w:r>
          </w:p>
        </w:tc>
        <w:tc>
          <w:tcPr>
            <w:tcW w:w="3213" w:type="pct"/>
          </w:tcPr>
          <w:p w14:paraId="0F66D0AD" w14:textId="77777777" w:rsidR="001F04FD" w:rsidRDefault="001F04FD" w:rsidP="00AC4DEE">
            <w:pPr>
              <w:pStyle w:val="TableBody"/>
            </w:pPr>
            <w:r>
              <w:rPr>
                <w:i/>
              </w:rPr>
              <w:t>Block Load Transfer Resource Amount per QSE per Settlement Point per BLT Point</w:t>
            </w:r>
            <w:r>
              <w:t xml:space="preserve">—The payment to QSE </w:t>
            </w:r>
            <w:r>
              <w:rPr>
                <w:i/>
              </w:rPr>
              <w:t>q</w:t>
            </w:r>
            <w:r>
              <w:t xml:space="preserve"> for the BLT Resource at BLT Point </w:t>
            </w:r>
            <w:r>
              <w:rPr>
                <w:i/>
              </w:rPr>
              <w:t>bltp</w:t>
            </w:r>
            <w:r>
              <w:t xml:space="preserve">, which delivers energy to Load Zone </w:t>
            </w:r>
            <w:r>
              <w:rPr>
                <w:i/>
              </w:rPr>
              <w:t>p</w:t>
            </w:r>
            <w:r>
              <w:t>, for the 15-minute Settlement Interval.</w:t>
            </w:r>
          </w:p>
        </w:tc>
      </w:tr>
      <w:tr w:rsidR="001F04FD" w14:paraId="15755154" w14:textId="77777777" w:rsidTr="002401F7">
        <w:tc>
          <w:tcPr>
            <w:tcW w:w="1374" w:type="pct"/>
            <w:tcBorders>
              <w:top w:val="single" w:sz="4" w:space="0" w:color="auto"/>
              <w:left w:val="single" w:sz="4" w:space="0" w:color="auto"/>
              <w:bottom w:val="single" w:sz="4" w:space="0" w:color="auto"/>
              <w:right w:val="single" w:sz="4" w:space="0" w:color="auto"/>
            </w:tcBorders>
          </w:tcPr>
          <w:p w14:paraId="66B14937" w14:textId="77777777" w:rsidR="001F04FD" w:rsidRPr="00B0138B" w:rsidRDefault="001F04FD" w:rsidP="00AC4DEE">
            <w:pPr>
              <w:pStyle w:val="TableBody"/>
              <w:rPr>
                <w:i/>
              </w:rPr>
            </w:pPr>
            <w:r w:rsidRPr="00A61E91">
              <w:rPr>
                <w:i/>
              </w:rPr>
              <w:t>q</w:t>
            </w:r>
          </w:p>
        </w:tc>
        <w:tc>
          <w:tcPr>
            <w:tcW w:w="413" w:type="pct"/>
            <w:tcBorders>
              <w:top w:val="single" w:sz="4" w:space="0" w:color="auto"/>
              <w:left w:val="single" w:sz="4" w:space="0" w:color="auto"/>
              <w:bottom w:val="single" w:sz="4" w:space="0" w:color="auto"/>
              <w:right w:val="single" w:sz="4" w:space="0" w:color="auto"/>
            </w:tcBorders>
          </w:tcPr>
          <w:p w14:paraId="3A52A6B6"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0FD264E5" w14:textId="77777777" w:rsidR="001F04FD" w:rsidRDefault="001F04FD" w:rsidP="00AC4DEE">
            <w:pPr>
              <w:pStyle w:val="TableBody"/>
            </w:pPr>
            <w:r>
              <w:t>A QSE.</w:t>
            </w:r>
          </w:p>
        </w:tc>
      </w:tr>
      <w:tr w:rsidR="001F04FD" w14:paraId="451C0D24" w14:textId="77777777" w:rsidTr="002401F7">
        <w:tc>
          <w:tcPr>
            <w:tcW w:w="1374" w:type="pct"/>
            <w:tcBorders>
              <w:top w:val="single" w:sz="4" w:space="0" w:color="auto"/>
              <w:left w:val="single" w:sz="4" w:space="0" w:color="auto"/>
              <w:bottom w:val="single" w:sz="4" w:space="0" w:color="auto"/>
              <w:right w:val="single" w:sz="4" w:space="0" w:color="auto"/>
            </w:tcBorders>
          </w:tcPr>
          <w:p w14:paraId="50BDB677" w14:textId="77777777" w:rsidR="001F04FD" w:rsidRPr="00B0138B" w:rsidRDefault="001F04FD" w:rsidP="00AC4DEE">
            <w:pPr>
              <w:pStyle w:val="TableBody"/>
              <w:rPr>
                <w:i/>
              </w:rPr>
            </w:pPr>
            <w:r w:rsidRPr="00A61E91">
              <w:rPr>
                <w:i/>
              </w:rPr>
              <w:t>p</w:t>
            </w:r>
          </w:p>
        </w:tc>
        <w:tc>
          <w:tcPr>
            <w:tcW w:w="413" w:type="pct"/>
            <w:tcBorders>
              <w:top w:val="single" w:sz="4" w:space="0" w:color="auto"/>
              <w:left w:val="single" w:sz="4" w:space="0" w:color="auto"/>
              <w:bottom w:val="single" w:sz="4" w:space="0" w:color="auto"/>
              <w:right w:val="single" w:sz="4" w:space="0" w:color="auto"/>
            </w:tcBorders>
          </w:tcPr>
          <w:p w14:paraId="190DE0DA"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477DB12" w14:textId="77777777" w:rsidR="001F04FD" w:rsidRDefault="001F04FD" w:rsidP="00AC4DEE">
            <w:pPr>
              <w:pStyle w:val="TableBody"/>
            </w:pPr>
            <w:r>
              <w:t>A Load Zone Settlement Point.</w:t>
            </w:r>
          </w:p>
        </w:tc>
      </w:tr>
      <w:tr w:rsidR="001F04FD" w14:paraId="248AD7C8" w14:textId="77777777" w:rsidTr="002401F7">
        <w:tc>
          <w:tcPr>
            <w:tcW w:w="1374" w:type="pct"/>
            <w:tcBorders>
              <w:top w:val="single" w:sz="4" w:space="0" w:color="auto"/>
              <w:left w:val="single" w:sz="4" w:space="0" w:color="auto"/>
              <w:bottom w:val="single" w:sz="4" w:space="0" w:color="auto"/>
              <w:right w:val="single" w:sz="4" w:space="0" w:color="auto"/>
            </w:tcBorders>
          </w:tcPr>
          <w:p w14:paraId="6031027B" w14:textId="77777777" w:rsidR="001F04FD" w:rsidRPr="00B0138B" w:rsidRDefault="001F04FD" w:rsidP="00AC4DEE">
            <w:pPr>
              <w:pStyle w:val="TableBody"/>
              <w:rPr>
                <w:i/>
              </w:rPr>
            </w:pPr>
            <w:r w:rsidRPr="00A61E91">
              <w:rPr>
                <w:i/>
              </w:rPr>
              <w:t>bltp</w:t>
            </w:r>
          </w:p>
        </w:tc>
        <w:tc>
          <w:tcPr>
            <w:tcW w:w="413" w:type="pct"/>
            <w:tcBorders>
              <w:top w:val="single" w:sz="4" w:space="0" w:color="auto"/>
              <w:left w:val="single" w:sz="4" w:space="0" w:color="auto"/>
              <w:bottom w:val="single" w:sz="4" w:space="0" w:color="auto"/>
              <w:right w:val="single" w:sz="4" w:space="0" w:color="auto"/>
            </w:tcBorders>
          </w:tcPr>
          <w:p w14:paraId="533911CF"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F6D05F8" w14:textId="77777777" w:rsidR="001F04FD" w:rsidRDefault="001F04FD" w:rsidP="00AC4DEE">
            <w:pPr>
              <w:pStyle w:val="TableBody"/>
            </w:pPr>
            <w:r>
              <w:t>A BLT Point.</w:t>
            </w:r>
          </w:p>
        </w:tc>
      </w:tr>
    </w:tbl>
    <w:p w14:paraId="7D84E194" w14:textId="28566374" w:rsidR="001F04FD" w:rsidRDefault="001F04FD" w:rsidP="00910734">
      <w:pPr>
        <w:pStyle w:val="BodyTextNumbered"/>
        <w:spacing w:before="240"/>
        <w:rPr>
          <w:b/>
        </w:rPr>
      </w:pPr>
      <w:bookmarkStart w:id="1933" w:name="_Toc341692791"/>
      <w:bookmarkStart w:id="1934" w:name="_Toc343592296"/>
      <w:bookmarkStart w:id="1935" w:name="_Toc348355903"/>
      <w:bookmarkStart w:id="1936" w:name="_Toc349820434"/>
      <w:bookmarkStart w:id="1937" w:name="_Toc109009398"/>
      <w:bookmarkStart w:id="1938" w:name="_Toc87951793"/>
      <w:bookmarkEnd w:id="1931"/>
      <w:bookmarkEnd w:id="1932"/>
      <w:r w:rsidRPr="00674EE4">
        <w:t>(3)</w:t>
      </w:r>
      <w:r w:rsidRPr="00674EE4">
        <w:tab/>
        <w:t xml:space="preserve">For the purpose of Settlement, ERCOT shall treat the energy associated with </w:t>
      </w:r>
      <w:r>
        <w:t xml:space="preserve">the </w:t>
      </w:r>
      <w:r w:rsidRPr="00674EE4">
        <w:t>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monthly LRS per QSE as defined in Section 7.5.7, Method for Distributing CRR Auction Revenues.  Costs associated with the Presidio Exception must be submitted to ERCOT within 90 days of the last day of the month that the costs were incurred.</w:t>
      </w:r>
      <w:bookmarkEnd w:id="1933"/>
      <w:bookmarkEnd w:id="1934"/>
      <w:bookmarkEnd w:id="1935"/>
      <w:bookmarkEnd w:id="1936"/>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4FF3" w14:paraId="76375C3B" w14:textId="77777777" w:rsidTr="00663874">
        <w:trPr>
          <w:trHeight w:val="206"/>
        </w:trPr>
        <w:tc>
          <w:tcPr>
            <w:tcW w:w="9576" w:type="dxa"/>
            <w:shd w:val="pct12" w:color="auto" w:fill="auto"/>
          </w:tcPr>
          <w:p w14:paraId="1726CC8B" w14:textId="02479159" w:rsidR="00154FF3" w:rsidRDefault="00154FF3" w:rsidP="00663874">
            <w:pPr>
              <w:pStyle w:val="Instructions"/>
              <w:spacing w:before="120"/>
            </w:pPr>
            <w:r>
              <w:t>[NPRR1030:  Replace paragraph (3) above with the following upon system implementation:]</w:t>
            </w:r>
          </w:p>
          <w:p w14:paraId="4681A22C" w14:textId="22092D38" w:rsidR="00154FF3" w:rsidRPr="00154FF3" w:rsidRDefault="00154FF3" w:rsidP="00910734">
            <w:pPr>
              <w:pStyle w:val="BodyTextNumbered"/>
              <w:spacing w:before="240"/>
              <w:rPr>
                <w:b/>
              </w:rPr>
            </w:pPr>
            <w:bookmarkStart w:id="1939" w:name="_Toc65151737"/>
            <w:r w:rsidRPr="00674EE4">
              <w:t>(3)</w:t>
            </w:r>
            <w:r w:rsidRPr="00674EE4">
              <w:tab/>
              <w:t xml:space="preserve">For the purpose of Settlement, ERCOT shall treat the energy associated with </w:t>
            </w:r>
            <w:r>
              <w:t xml:space="preserve">the </w:t>
            </w:r>
            <w:r w:rsidRPr="00674EE4">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w:t>
            </w:r>
            <w:r>
              <w:t>same methodology</w:t>
            </w:r>
            <w:r w:rsidRPr="00674EE4">
              <w:t xml:space="preserve"> as defined in Section 7.5.7, Method for Distributing CRR Auction Revenues.  Costs associated with the Presidio Exception must be submitted to ERCOT within 90 days of the last day of the month that the costs were incurred.</w:t>
            </w:r>
            <w:bookmarkEnd w:id="1939"/>
          </w:p>
        </w:tc>
      </w:tr>
    </w:tbl>
    <w:p w14:paraId="6DCEE75E" w14:textId="01E372AD" w:rsidR="001F04FD" w:rsidRPr="00F67855" w:rsidRDefault="001F04FD" w:rsidP="003A5AC3">
      <w:pPr>
        <w:pStyle w:val="List"/>
        <w:spacing w:before="240"/>
      </w:pPr>
      <w:r w:rsidRPr="00F67855">
        <w:lastRenderedPageBreak/>
        <w:t>(a)</w:t>
      </w:r>
      <w:r>
        <w:tab/>
      </w:r>
      <w:r w:rsidRPr="00F67855">
        <w:t>The monthly payment to be calculated as follows:</w:t>
      </w:r>
    </w:p>
    <w:p w14:paraId="358F040D" w14:textId="77777777" w:rsidR="001F04FD" w:rsidRPr="006940F8" w:rsidRDefault="001F04FD" w:rsidP="001F04FD">
      <w:pPr>
        <w:pStyle w:val="List"/>
        <w:rPr>
          <w:b/>
          <w:bCs/>
        </w:rPr>
      </w:pPr>
      <w:r w:rsidRPr="006940F8">
        <w:rPr>
          <w:b/>
          <w:bCs/>
        </w:rPr>
        <w:tab/>
        <w:t xml:space="preserve">MBLTAMT </w:t>
      </w:r>
      <w:r w:rsidRPr="006940F8">
        <w:rPr>
          <w:b/>
          <w:bCs/>
          <w:i/>
          <w:vertAlign w:val="subscript"/>
        </w:rPr>
        <w:t>q, p</w:t>
      </w:r>
      <w:r w:rsidRPr="006940F8">
        <w:rPr>
          <w:b/>
          <w:bCs/>
        </w:rPr>
        <w:t xml:space="preserve"> = </w:t>
      </w:r>
      <w:r w:rsidRPr="006940F8">
        <w:rPr>
          <w:b/>
          <w:bCs/>
        </w:rPr>
        <w:tab/>
        <w:t xml:space="preserve">(-1) * VMEBLTP </w:t>
      </w:r>
      <w:r w:rsidRPr="006940F8">
        <w:rPr>
          <w:b/>
          <w:i/>
          <w:iCs/>
          <w:sz w:val="20"/>
          <w:vertAlign w:val="subscript"/>
        </w:rPr>
        <w:t>q, p</w:t>
      </w:r>
      <w:r w:rsidRPr="006940F8">
        <w:rPr>
          <w:b/>
          <w:bCs/>
          <w:i/>
          <w:vertAlign w:val="subscript"/>
        </w:rPr>
        <w:t xml:space="preserve"> </w:t>
      </w:r>
      <w:r w:rsidRPr="006940F8">
        <w:rPr>
          <w:b/>
          <w:bCs/>
        </w:rPr>
        <w:t xml:space="preserve"> </w:t>
      </w:r>
      <w:r w:rsidRPr="006940F8">
        <w:rPr>
          <w:b/>
          <w:bCs/>
          <w:i/>
        </w:rPr>
        <w:t>*</w:t>
      </w:r>
      <w:r w:rsidRPr="006940F8">
        <w:rPr>
          <w:b/>
          <w:bCs/>
        </w:rPr>
        <w:t xml:space="preserve"> CABLT</w:t>
      </w:r>
    </w:p>
    <w:p w14:paraId="4A9B26C9" w14:textId="77777777" w:rsidR="001F04FD" w:rsidRPr="004429E3" w:rsidRDefault="001F04FD" w:rsidP="001F04FD">
      <w:r w:rsidRPr="004429E3">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1"/>
        <w:gridCol w:w="1146"/>
        <w:gridCol w:w="6078"/>
      </w:tblGrid>
      <w:tr w:rsidR="001F04FD" w:rsidRPr="004429E3" w14:paraId="71EC8D53" w14:textId="77777777" w:rsidTr="009B7C62">
        <w:tc>
          <w:tcPr>
            <w:tcW w:w="2581" w:type="dxa"/>
          </w:tcPr>
          <w:p w14:paraId="3D2BD279" w14:textId="77777777" w:rsidR="001F04FD" w:rsidRPr="004429E3" w:rsidRDefault="001F04FD" w:rsidP="00AC4DEE">
            <w:pPr>
              <w:spacing w:after="120"/>
              <w:rPr>
                <w:b/>
                <w:iCs/>
                <w:sz w:val="20"/>
              </w:rPr>
            </w:pPr>
            <w:r w:rsidRPr="004429E3">
              <w:rPr>
                <w:b/>
                <w:iCs/>
                <w:sz w:val="20"/>
              </w:rPr>
              <w:t>Variable</w:t>
            </w:r>
          </w:p>
        </w:tc>
        <w:tc>
          <w:tcPr>
            <w:tcW w:w="1146" w:type="dxa"/>
          </w:tcPr>
          <w:p w14:paraId="5536438C" w14:textId="77777777" w:rsidR="001F04FD" w:rsidRPr="004429E3" w:rsidRDefault="001F04FD" w:rsidP="00AC4DEE">
            <w:pPr>
              <w:spacing w:after="120"/>
              <w:rPr>
                <w:b/>
                <w:iCs/>
                <w:sz w:val="20"/>
              </w:rPr>
            </w:pPr>
            <w:r w:rsidRPr="004429E3">
              <w:rPr>
                <w:b/>
                <w:iCs/>
                <w:sz w:val="20"/>
              </w:rPr>
              <w:t>Unit</w:t>
            </w:r>
          </w:p>
        </w:tc>
        <w:tc>
          <w:tcPr>
            <w:tcW w:w="6078" w:type="dxa"/>
          </w:tcPr>
          <w:p w14:paraId="1DCA38AA" w14:textId="77777777" w:rsidR="001F04FD" w:rsidRPr="004429E3" w:rsidRDefault="001F04FD" w:rsidP="00AC4DEE">
            <w:pPr>
              <w:spacing w:after="120"/>
              <w:rPr>
                <w:b/>
                <w:iCs/>
                <w:sz w:val="20"/>
              </w:rPr>
            </w:pPr>
            <w:r w:rsidRPr="004429E3">
              <w:rPr>
                <w:b/>
                <w:iCs/>
                <w:sz w:val="20"/>
              </w:rPr>
              <w:t>Definition</w:t>
            </w:r>
          </w:p>
        </w:tc>
      </w:tr>
      <w:tr w:rsidR="001F04FD" w:rsidRPr="004429E3" w14:paraId="59EFE851" w14:textId="77777777" w:rsidTr="009B7C62">
        <w:tc>
          <w:tcPr>
            <w:tcW w:w="2581" w:type="dxa"/>
          </w:tcPr>
          <w:p w14:paraId="1AF69281" w14:textId="77777777" w:rsidR="001F04FD" w:rsidRPr="004429E3" w:rsidRDefault="001F04FD" w:rsidP="00AC4DEE">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1146" w:type="dxa"/>
          </w:tcPr>
          <w:p w14:paraId="005F2154" w14:textId="77777777" w:rsidR="001F04FD" w:rsidRPr="004429E3" w:rsidRDefault="001F04FD" w:rsidP="00AC4DEE">
            <w:pPr>
              <w:spacing w:after="60"/>
              <w:rPr>
                <w:iCs/>
                <w:sz w:val="20"/>
              </w:rPr>
            </w:pPr>
            <w:r w:rsidRPr="004429E3">
              <w:rPr>
                <w:iCs/>
                <w:sz w:val="20"/>
              </w:rPr>
              <w:t>$</w:t>
            </w:r>
          </w:p>
        </w:tc>
        <w:tc>
          <w:tcPr>
            <w:tcW w:w="6078" w:type="dxa"/>
          </w:tcPr>
          <w:p w14:paraId="5C8E4B69" w14:textId="77777777" w:rsidR="001F04FD" w:rsidRPr="00EA4F22" w:rsidRDefault="001F04FD" w:rsidP="00AC4DEE">
            <w:pPr>
              <w:spacing w:after="60"/>
              <w:rPr>
                <w:i/>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0A7C8B6" w14:textId="77777777" w:rsidTr="009B7C62">
        <w:tc>
          <w:tcPr>
            <w:tcW w:w="2581" w:type="dxa"/>
          </w:tcPr>
          <w:p w14:paraId="63B0463D" w14:textId="77777777" w:rsidR="001F04FD" w:rsidRPr="004429E3" w:rsidRDefault="001F04FD" w:rsidP="00AC4DEE">
            <w:pPr>
              <w:spacing w:after="60"/>
              <w:rPr>
                <w:iCs/>
                <w:sz w:val="20"/>
              </w:rPr>
            </w:pPr>
            <w:r>
              <w:rPr>
                <w:iCs/>
                <w:sz w:val="20"/>
              </w:rPr>
              <w:t>VMEBLTP</w:t>
            </w:r>
            <w:r w:rsidRPr="004429E3">
              <w:rPr>
                <w:iCs/>
                <w:sz w:val="20"/>
              </w:rPr>
              <w:t xml:space="preserve"> </w:t>
            </w:r>
            <w:r w:rsidRPr="004429E3">
              <w:rPr>
                <w:i/>
                <w:iCs/>
                <w:sz w:val="20"/>
                <w:vertAlign w:val="subscript"/>
              </w:rPr>
              <w:t>q, p</w:t>
            </w:r>
          </w:p>
        </w:tc>
        <w:tc>
          <w:tcPr>
            <w:tcW w:w="1146" w:type="dxa"/>
          </w:tcPr>
          <w:p w14:paraId="7C8371B1" w14:textId="77777777" w:rsidR="001F04FD" w:rsidRPr="004429E3" w:rsidRDefault="001F04FD" w:rsidP="00AC4DEE">
            <w:pPr>
              <w:spacing w:after="60"/>
              <w:rPr>
                <w:iCs/>
                <w:sz w:val="20"/>
              </w:rPr>
            </w:pPr>
            <w:r w:rsidRPr="004429E3">
              <w:rPr>
                <w:iCs/>
                <w:sz w:val="20"/>
              </w:rPr>
              <w:t>$/MWh</w:t>
            </w:r>
          </w:p>
        </w:tc>
        <w:tc>
          <w:tcPr>
            <w:tcW w:w="6078" w:type="dxa"/>
          </w:tcPr>
          <w:p w14:paraId="59AD83D8" w14:textId="77777777" w:rsidR="001F04FD" w:rsidRPr="004429E3" w:rsidRDefault="001F04FD" w:rsidP="00AC4DEE">
            <w:pPr>
              <w:spacing w:after="60"/>
              <w:rPr>
                <w:i/>
                <w:iCs/>
                <w:sz w:val="20"/>
              </w:rPr>
            </w:pPr>
            <w:r w:rsidRPr="004429E3">
              <w:rPr>
                <w:i/>
                <w:iCs/>
                <w:sz w:val="20"/>
              </w:rPr>
              <w:t xml:space="preserve">Verified </w:t>
            </w:r>
            <w:r>
              <w:rPr>
                <w:i/>
                <w:iCs/>
                <w:sz w:val="20"/>
              </w:rPr>
              <w:t xml:space="preserve">Monthly </w:t>
            </w:r>
            <w:r w:rsidRPr="004429E3">
              <w:rPr>
                <w:i/>
                <w:iCs/>
                <w:sz w:val="20"/>
              </w:rPr>
              <w:t xml:space="preserve">Energy </w:t>
            </w:r>
            <w:r>
              <w:rPr>
                <w:i/>
                <w:iCs/>
                <w:sz w:val="20"/>
              </w:rPr>
              <w:t>Cost</w:t>
            </w:r>
            <w:r w:rsidRPr="004429E3">
              <w:rPr>
                <w:iCs/>
                <w:sz w:val="20"/>
              </w:rPr>
              <w:sym w:font="Symbol" w:char="F0BE"/>
            </w:r>
            <w:r w:rsidRPr="004429E3">
              <w:rPr>
                <w:iCs/>
                <w:sz w:val="20"/>
              </w:rPr>
              <w:t xml:space="preserve">The ERCOT verified </w:t>
            </w:r>
            <w:r>
              <w:rPr>
                <w:iCs/>
                <w:sz w:val="20"/>
              </w:rPr>
              <w:t xml:space="preserve">monthly </w:t>
            </w:r>
            <w:r w:rsidRPr="004429E3">
              <w:rPr>
                <w:iCs/>
                <w:sz w:val="20"/>
              </w:rPr>
              <w:t xml:space="preserve">cost for the energy delivered to an ERCOT Load as determined by an </w:t>
            </w:r>
            <w:r>
              <w:rPr>
                <w:iCs/>
                <w:sz w:val="20"/>
              </w:rPr>
              <w:t>invoice submitted to ERCOT</w:t>
            </w:r>
            <w:r w:rsidRPr="004429E3">
              <w:rPr>
                <w:iCs/>
                <w:sz w:val="20"/>
              </w:rPr>
              <w:t>.</w:t>
            </w:r>
          </w:p>
        </w:tc>
      </w:tr>
      <w:tr w:rsidR="001F04FD" w:rsidRPr="004429E3" w14:paraId="2C630273" w14:textId="77777777" w:rsidTr="009B7C62">
        <w:tc>
          <w:tcPr>
            <w:tcW w:w="2581" w:type="dxa"/>
          </w:tcPr>
          <w:p w14:paraId="6FCBE6C0" w14:textId="77777777" w:rsidR="001F04FD" w:rsidRPr="004429E3" w:rsidRDefault="001F04FD" w:rsidP="00AC4DEE">
            <w:pPr>
              <w:spacing w:after="60"/>
              <w:rPr>
                <w:iCs/>
                <w:sz w:val="20"/>
              </w:rPr>
            </w:pPr>
            <w:r w:rsidRPr="004429E3">
              <w:rPr>
                <w:iCs/>
                <w:sz w:val="20"/>
              </w:rPr>
              <w:t>CABLT</w:t>
            </w:r>
          </w:p>
        </w:tc>
        <w:tc>
          <w:tcPr>
            <w:tcW w:w="1146" w:type="dxa"/>
          </w:tcPr>
          <w:p w14:paraId="7C603EAB" w14:textId="29C544D4" w:rsidR="001F04FD" w:rsidRPr="004429E3" w:rsidRDefault="00154FF3" w:rsidP="009B7C62">
            <w:pPr>
              <w:spacing w:after="60"/>
              <w:rPr>
                <w:iCs/>
                <w:sz w:val="20"/>
              </w:rPr>
            </w:pPr>
            <w:r>
              <w:rPr>
                <w:iCs/>
                <w:sz w:val="20"/>
              </w:rPr>
              <w:t>none</w:t>
            </w:r>
          </w:p>
        </w:tc>
        <w:tc>
          <w:tcPr>
            <w:tcW w:w="6078" w:type="dxa"/>
          </w:tcPr>
          <w:p w14:paraId="13512E1E" w14:textId="77777777" w:rsidR="001F04FD" w:rsidRPr="004429E3" w:rsidRDefault="001F04FD" w:rsidP="00AC4DEE">
            <w:pPr>
              <w:spacing w:after="60"/>
              <w:rPr>
                <w:i/>
                <w:iCs/>
                <w:sz w:val="20"/>
              </w:rPr>
            </w:pPr>
            <w:r w:rsidRPr="004429E3">
              <w:rPr>
                <w:i/>
                <w:iCs/>
                <w:sz w:val="20"/>
              </w:rPr>
              <w:t>Cost Adder for Block Load Transfer</w:t>
            </w:r>
            <w:r w:rsidRPr="004429E3">
              <w:rPr>
                <w:iCs/>
                <w:sz w:val="20"/>
              </w:rPr>
              <w:sym w:font="Symbol" w:char="F0BE"/>
            </w:r>
            <w:r w:rsidRPr="004429E3">
              <w:rPr>
                <w:iCs/>
                <w:sz w:val="20"/>
              </w:rPr>
              <w:t>A multiplier of 1.10.</w:t>
            </w:r>
          </w:p>
        </w:tc>
      </w:tr>
      <w:tr w:rsidR="001F04FD" w:rsidRPr="004429E3" w14:paraId="673A495A" w14:textId="77777777" w:rsidTr="009B7C62">
        <w:tc>
          <w:tcPr>
            <w:tcW w:w="2581" w:type="dxa"/>
          </w:tcPr>
          <w:p w14:paraId="6D61CF8A" w14:textId="77777777" w:rsidR="001F04FD" w:rsidRPr="004429E3" w:rsidRDefault="001F04FD" w:rsidP="00AC4DEE">
            <w:pPr>
              <w:spacing w:after="60"/>
              <w:rPr>
                <w:i/>
                <w:iCs/>
                <w:sz w:val="20"/>
              </w:rPr>
            </w:pPr>
            <w:r w:rsidRPr="004429E3">
              <w:rPr>
                <w:i/>
                <w:iCs/>
                <w:sz w:val="20"/>
              </w:rPr>
              <w:t>q</w:t>
            </w:r>
          </w:p>
        </w:tc>
        <w:tc>
          <w:tcPr>
            <w:tcW w:w="1146" w:type="dxa"/>
          </w:tcPr>
          <w:p w14:paraId="5C63D233" w14:textId="77777777" w:rsidR="001F04FD" w:rsidRPr="004429E3" w:rsidRDefault="001F04FD" w:rsidP="00AC4DEE">
            <w:pPr>
              <w:spacing w:after="60"/>
              <w:rPr>
                <w:iCs/>
                <w:sz w:val="20"/>
              </w:rPr>
            </w:pPr>
            <w:r w:rsidRPr="004429E3">
              <w:rPr>
                <w:iCs/>
                <w:sz w:val="20"/>
              </w:rPr>
              <w:t>none</w:t>
            </w:r>
          </w:p>
        </w:tc>
        <w:tc>
          <w:tcPr>
            <w:tcW w:w="6078" w:type="dxa"/>
          </w:tcPr>
          <w:p w14:paraId="7C83CC1C" w14:textId="77777777" w:rsidR="001F04FD" w:rsidRPr="004429E3" w:rsidRDefault="001F04FD" w:rsidP="00AC4DEE">
            <w:pPr>
              <w:spacing w:after="60"/>
              <w:rPr>
                <w:i/>
                <w:iCs/>
                <w:sz w:val="20"/>
              </w:rPr>
            </w:pPr>
            <w:r w:rsidRPr="004429E3">
              <w:rPr>
                <w:iCs/>
                <w:sz w:val="20"/>
              </w:rPr>
              <w:t>A QSE.</w:t>
            </w:r>
          </w:p>
        </w:tc>
      </w:tr>
      <w:tr w:rsidR="001F04FD" w:rsidRPr="004429E3" w14:paraId="1C5E8D6D" w14:textId="77777777" w:rsidTr="009B7C62">
        <w:tc>
          <w:tcPr>
            <w:tcW w:w="2581" w:type="dxa"/>
          </w:tcPr>
          <w:p w14:paraId="421CF336" w14:textId="77777777" w:rsidR="001F04FD" w:rsidRPr="004429E3" w:rsidRDefault="001F04FD" w:rsidP="00AC4DEE">
            <w:pPr>
              <w:spacing w:after="60"/>
              <w:rPr>
                <w:i/>
                <w:iCs/>
                <w:sz w:val="20"/>
              </w:rPr>
            </w:pPr>
            <w:r w:rsidRPr="004429E3">
              <w:rPr>
                <w:i/>
                <w:iCs/>
                <w:sz w:val="20"/>
              </w:rPr>
              <w:t>p</w:t>
            </w:r>
          </w:p>
        </w:tc>
        <w:tc>
          <w:tcPr>
            <w:tcW w:w="1146" w:type="dxa"/>
          </w:tcPr>
          <w:p w14:paraId="6BAB3F92" w14:textId="77777777" w:rsidR="001F04FD" w:rsidRPr="004429E3" w:rsidRDefault="001F04FD" w:rsidP="00AC4DEE">
            <w:pPr>
              <w:spacing w:after="60"/>
              <w:rPr>
                <w:iCs/>
                <w:sz w:val="20"/>
              </w:rPr>
            </w:pPr>
            <w:r w:rsidRPr="004429E3">
              <w:rPr>
                <w:iCs/>
                <w:sz w:val="20"/>
              </w:rPr>
              <w:t>none</w:t>
            </w:r>
          </w:p>
        </w:tc>
        <w:tc>
          <w:tcPr>
            <w:tcW w:w="6078" w:type="dxa"/>
          </w:tcPr>
          <w:p w14:paraId="23B2C5E4" w14:textId="77777777" w:rsidR="001F04FD" w:rsidRPr="004429E3" w:rsidRDefault="001F04FD" w:rsidP="00AC4DEE">
            <w:pPr>
              <w:spacing w:after="60"/>
              <w:rPr>
                <w:i/>
                <w:iCs/>
                <w:sz w:val="20"/>
              </w:rPr>
            </w:pPr>
            <w:r w:rsidRPr="004429E3">
              <w:rPr>
                <w:iCs/>
                <w:sz w:val="20"/>
              </w:rPr>
              <w:t>A Load Zone Settlement Point.</w:t>
            </w:r>
          </w:p>
        </w:tc>
      </w:tr>
    </w:tbl>
    <w:p w14:paraId="72646104" w14:textId="77777777" w:rsidR="001F04FD" w:rsidRPr="004429E3" w:rsidRDefault="001F04FD" w:rsidP="001F04FD">
      <w:pPr>
        <w:pStyle w:val="List"/>
        <w:spacing w:before="240"/>
      </w:pPr>
      <w:r>
        <w:t>(b)</w:t>
      </w:r>
      <w:r>
        <w:tab/>
      </w:r>
      <w:r w:rsidRPr="004429E3">
        <w:t>The total of the payments to each QSE for all energy delivered to ERCOT Loads through BLT Points for the 15-minute Settlement Interval is calculated as follows:</w:t>
      </w:r>
    </w:p>
    <w:p w14:paraId="0FEACF2A" w14:textId="0F194321" w:rsidR="001F04FD" w:rsidRDefault="001F04FD" w:rsidP="001F04FD">
      <w:pPr>
        <w:tabs>
          <w:tab w:val="left" w:pos="1440"/>
          <w:tab w:val="left" w:pos="3150"/>
          <w:tab w:val="left" w:pos="3960"/>
        </w:tabs>
        <w:spacing w:after="240"/>
        <w:ind w:left="3960" w:hanging="3240"/>
        <w:rPr>
          <w:position w:val="-30"/>
        </w:rPr>
      </w:pPr>
      <w:r>
        <w:rPr>
          <w:b/>
          <w:bCs/>
        </w:rPr>
        <w:tab/>
        <w:t>M</w:t>
      </w:r>
      <w:r w:rsidRPr="004429E3">
        <w:rPr>
          <w:b/>
          <w:bCs/>
        </w:rPr>
        <w:t xml:space="preserve">BLTAMTQSETOT </w:t>
      </w:r>
      <w:r w:rsidRPr="004429E3">
        <w:rPr>
          <w:b/>
          <w:bCs/>
          <w:i/>
          <w:vertAlign w:val="subscript"/>
        </w:rPr>
        <w:t>q</w:t>
      </w:r>
      <w:r w:rsidRPr="004429E3">
        <w:rPr>
          <w:b/>
          <w:bCs/>
        </w:rPr>
        <w:tab/>
        <w:t>=</w:t>
      </w:r>
      <w:r w:rsidRPr="004429E3">
        <w:rPr>
          <w:b/>
          <w:bCs/>
        </w:rPr>
        <w:tab/>
      </w:r>
      <w:r w:rsidR="00A94020">
        <w:rPr>
          <w:b/>
          <w:noProof/>
          <w:position w:val="-22"/>
        </w:rPr>
        <w:drawing>
          <wp:inline distT="0" distB="0" distL="0" distR="0" wp14:anchorId="0B2F7622" wp14:editId="0D18E516">
            <wp:extent cx="142875" cy="295275"/>
            <wp:effectExtent l="0" t="0" r="9525" b="9525"/>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E71D6">
        <w:rPr>
          <w:b/>
          <w:bCs/>
        </w:rPr>
        <w:t xml:space="preserve"> </w:t>
      </w:r>
      <w:r>
        <w:rPr>
          <w:b/>
          <w:bCs/>
        </w:rPr>
        <w:t>M</w:t>
      </w:r>
      <w:r w:rsidRPr="004429E3">
        <w:rPr>
          <w:b/>
          <w:bCs/>
        </w:rPr>
        <w:t xml:space="preserve">BLTAMT </w:t>
      </w:r>
      <w:r w:rsidRPr="004429E3">
        <w:rPr>
          <w:b/>
          <w:bCs/>
          <w:i/>
          <w:vertAlign w:val="subscript"/>
        </w:rPr>
        <w:t>q, p</w:t>
      </w:r>
      <w:r>
        <w:t> </w:t>
      </w:r>
      <w:r w:rsidRPr="00B913FA" w:rsidDel="00665566">
        <w:rPr>
          <w:position w:val="-30"/>
        </w:rPr>
        <w:t xml:space="preserve"> </w:t>
      </w:r>
    </w:p>
    <w:p w14:paraId="3E1A49B6" w14:textId="77777777" w:rsidR="001F04FD" w:rsidRPr="004429E3" w:rsidRDefault="001F04FD" w:rsidP="001F04FD">
      <w:pPr>
        <w:tabs>
          <w:tab w:val="left" w:pos="2250"/>
          <w:tab w:val="left" w:pos="3150"/>
          <w:tab w:val="left" w:pos="3960"/>
        </w:tabs>
      </w:pPr>
      <w:r w:rsidRPr="004429E3">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606"/>
        <w:gridCol w:w="6908"/>
      </w:tblGrid>
      <w:tr w:rsidR="001F04FD" w:rsidRPr="004429E3" w14:paraId="5C46C342" w14:textId="77777777" w:rsidTr="002401F7">
        <w:tc>
          <w:tcPr>
            <w:tcW w:w="1168" w:type="pct"/>
          </w:tcPr>
          <w:p w14:paraId="118AA196" w14:textId="77777777" w:rsidR="001F04FD" w:rsidRPr="004429E3" w:rsidRDefault="001F04FD" w:rsidP="00AC4DEE">
            <w:pPr>
              <w:spacing w:after="120"/>
              <w:rPr>
                <w:b/>
                <w:iCs/>
                <w:sz w:val="20"/>
              </w:rPr>
            </w:pPr>
            <w:r w:rsidRPr="004429E3">
              <w:rPr>
                <w:b/>
                <w:iCs/>
                <w:sz w:val="20"/>
              </w:rPr>
              <w:t>Variable</w:t>
            </w:r>
          </w:p>
        </w:tc>
        <w:tc>
          <w:tcPr>
            <w:tcW w:w="309" w:type="pct"/>
          </w:tcPr>
          <w:p w14:paraId="0E65C280" w14:textId="77777777" w:rsidR="001F04FD" w:rsidRPr="004429E3" w:rsidRDefault="001F04FD" w:rsidP="00AC4DEE">
            <w:pPr>
              <w:spacing w:after="120"/>
              <w:rPr>
                <w:b/>
                <w:iCs/>
                <w:sz w:val="20"/>
              </w:rPr>
            </w:pPr>
            <w:r w:rsidRPr="004429E3">
              <w:rPr>
                <w:b/>
                <w:iCs/>
                <w:sz w:val="20"/>
              </w:rPr>
              <w:t>Unit</w:t>
            </w:r>
          </w:p>
        </w:tc>
        <w:tc>
          <w:tcPr>
            <w:tcW w:w="3523" w:type="pct"/>
          </w:tcPr>
          <w:p w14:paraId="70E35528" w14:textId="77777777" w:rsidR="001F04FD" w:rsidRPr="004429E3" w:rsidRDefault="001F04FD" w:rsidP="00AC4DEE">
            <w:pPr>
              <w:spacing w:after="120"/>
              <w:rPr>
                <w:b/>
                <w:iCs/>
                <w:sz w:val="20"/>
              </w:rPr>
            </w:pPr>
            <w:r w:rsidRPr="004429E3">
              <w:rPr>
                <w:b/>
                <w:iCs/>
                <w:sz w:val="20"/>
              </w:rPr>
              <w:t>Definition</w:t>
            </w:r>
          </w:p>
        </w:tc>
      </w:tr>
      <w:tr w:rsidR="001F04FD" w:rsidRPr="004429E3" w14:paraId="1C423B2B" w14:textId="77777777" w:rsidTr="002401F7">
        <w:tc>
          <w:tcPr>
            <w:tcW w:w="1168" w:type="pct"/>
          </w:tcPr>
          <w:p w14:paraId="21BDB231" w14:textId="77777777" w:rsidR="001F04FD" w:rsidRPr="004429E3" w:rsidRDefault="001F04FD" w:rsidP="00AC4DEE">
            <w:pPr>
              <w:spacing w:after="60"/>
              <w:rPr>
                <w:iCs/>
                <w:sz w:val="20"/>
              </w:rPr>
            </w:pPr>
            <w:r>
              <w:rPr>
                <w:iCs/>
                <w:sz w:val="20"/>
              </w:rPr>
              <w:t>M</w:t>
            </w:r>
            <w:r w:rsidRPr="004429E3">
              <w:rPr>
                <w:iCs/>
                <w:sz w:val="20"/>
              </w:rPr>
              <w:t xml:space="preserve">BLTAMTQSETOT </w:t>
            </w:r>
            <w:r w:rsidRPr="004429E3">
              <w:rPr>
                <w:i/>
                <w:iCs/>
                <w:sz w:val="20"/>
                <w:vertAlign w:val="subscript"/>
              </w:rPr>
              <w:t>q</w:t>
            </w:r>
          </w:p>
        </w:tc>
        <w:tc>
          <w:tcPr>
            <w:tcW w:w="309" w:type="pct"/>
          </w:tcPr>
          <w:p w14:paraId="0569B4E8" w14:textId="77777777" w:rsidR="001F04FD" w:rsidRPr="004429E3" w:rsidRDefault="001F04FD" w:rsidP="00AC4DEE">
            <w:pPr>
              <w:spacing w:after="60"/>
              <w:rPr>
                <w:iCs/>
                <w:sz w:val="20"/>
              </w:rPr>
            </w:pPr>
            <w:r w:rsidRPr="004429E3">
              <w:rPr>
                <w:iCs/>
                <w:sz w:val="20"/>
              </w:rPr>
              <w:t>$</w:t>
            </w:r>
          </w:p>
        </w:tc>
        <w:tc>
          <w:tcPr>
            <w:tcW w:w="3523" w:type="pct"/>
          </w:tcPr>
          <w:p w14:paraId="434DD71D"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QSE Total per QSE</w:t>
            </w:r>
            <w:r w:rsidRPr="004429E3">
              <w:rPr>
                <w:iCs/>
                <w:sz w:val="20"/>
              </w:rPr>
              <w:sym w:font="Symbol" w:char="F0BE"/>
            </w:r>
            <w:r w:rsidRPr="004429E3">
              <w:rPr>
                <w:iCs/>
                <w:sz w:val="20"/>
              </w:rPr>
              <w:t xml:space="preserve">The total of the payments to QSE </w:t>
            </w:r>
            <w:r w:rsidRPr="004429E3">
              <w:rPr>
                <w:i/>
                <w:iCs/>
                <w:sz w:val="20"/>
              </w:rPr>
              <w:t>q</w:t>
            </w:r>
            <w:r w:rsidRPr="004429E3">
              <w:rPr>
                <w:iCs/>
                <w:sz w:val="20"/>
              </w:rPr>
              <w:t xml:space="preserve"> for energy delivered into the ERCOT System for the </w:t>
            </w:r>
            <w:r>
              <w:rPr>
                <w:iCs/>
                <w:sz w:val="20"/>
              </w:rPr>
              <w:t>month</w:t>
            </w:r>
            <w:r w:rsidRPr="004429E3">
              <w:rPr>
                <w:iCs/>
                <w:sz w:val="20"/>
              </w:rPr>
              <w:t>.</w:t>
            </w:r>
          </w:p>
        </w:tc>
      </w:tr>
      <w:tr w:rsidR="001F04FD" w:rsidRPr="004429E3" w14:paraId="70EAAB67" w14:textId="77777777" w:rsidTr="002401F7">
        <w:tc>
          <w:tcPr>
            <w:tcW w:w="1168" w:type="pct"/>
          </w:tcPr>
          <w:p w14:paraId="33E4ACF9" w14:textId="619F5981" w:rsidR="001F04FD" w:rsidRPr="004429E3" w:rsidRDefault="001F04FD" w:rsidP="0065571F">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309" w:type="pct"/>
          </w:tcPr>
          <w:p w14:paraId="66CCA9D1" w14:textId="77777777" w:rsidR="001F04FD" w:rsidRPr="004429E3" w:rsidRDefault="001F04FD" w:rsidP="00AC4DEE">
            <w:pPr>
              <w:spacing w:after="60"/>
              <w:rPr>
                <w:iCs/>
                <w:sz w:val="20"/>
              </w:rPr>
            </w:pPr>
            <w:r w:rsidRPr="004429E3">
              <w:rPr>
                <w:iCs/>
                <w:sz w:val="20"/>
              </w:rPr>
              <w:t>$</w:t>
            </w:r>
          </w:p>
        </w:tc>
        <w:tc>
          <w:tcPr>
            <w:tcW w:w="3523" w:type="pct"/>
          </w:tcPr>
          <w:p w14:paraId="549B9D34"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98196AF" w14:textId="77777777" w:rsidTr="002401F7">
        <w:tc>
          <w:tcPr>
            <w:tcW w:w="1168" w:type="pct"/>
            <w:tcBorders>
              <w:top w:val="single" w:sz="4" w:space="0" w:color="auto"/>
              <w:left w:val="single" w:sz="4" w:space="0" w:color="auto"/>
              <w:bottom w:val="single" w:sz="4" w:space="0" w:color="auto"/>
              <w:right w:val="single" w:sz="4" w:space="0" w:color="auto"/>
            </w:tcBorders>
          </w:tcPr>
          <w:p w14:paraId="75BE949D" w14:textId="77777777" w:rsidR="001F04FD" w:rsidRPr="004429E3" w:rsidRDefault="001F04FD" w:rsidP="00AC4DEE">
            <w:pPr>
              <w:spacing w:after="60"/>
              <w:rPr>
                <w:i/>
                <w:iCs/>
                <w:sz w:val="20"/>
              </w:rPr>
            </w:pPr>
            <w:r w:rsidRPr="004429E3">
              <w:rPr>
                <w:i/>
                <w:iCs/>
                <w:sz w:val="20"/>
              </w:rPr>
              <w:t>q</w:t>
            </w:r>
          </w:p>
        </w:tc>
        <w:tc>
          <w:tcPr>
            <w:tcW w:w="309" w:type="pct"/>
            <w:tcBorders>
              <w:top w:val="single" w:sz="4" w:space="0" w:color="auto"/>
              <w:left w:val="single" w:sz="4" w:space="0" w:color="auto"/>
              <w:bottom w:val="single" w:sz="4" w:space="0" w:color="auto"/>
              <w:right w:val="single" w:sz="4" w:space="0" w:color="auto"/>
            </w:tcBorders>
          </w:tcPr>
          <w:p w14:paraId="2B58312A"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7162E1E9" w14:textId="77777777" w:rsidR="001F04FD" w:rsidRPr="004429E3" w:rsidRDefault="001F04FD" w:rsidP="00AC4DEE">
            <w:pPr>
              <w:spacing w:after="60"/>
              <w:rPr>
                <w:iCs/>
                <w:sz w:val="20"/>
              </w:rPr>
            </w:pPr>
            <w:r w:rsidRPr="004429E3">
              <w:rPr>
                <w:iCs/>
                <w:sz w:val="20"/>
              </w:rPr>
              <w:t>A QSE.</w:t>
            </w:r>
          </w:p>
        </w:tc>
      </w:tr>
      <w:tr w:rsidR="001F04FD" w:rsidRPr="004429E3" w14:paraId="4457E886" w14:textId="77777777" w:rsidTr="002401F7">
        <w:tc>
          <w:tcPr>
            <w:tcW w:w="1168" w:type="pct"/>
            <w:tcBorders>
              <w:top w:val="single" w:sz="4" w:space="0" w:color="auto"/>
              <w:left w:val="single" w:sz="4" w:space="0" w:color="auto"/>
              <w:bottom w:val="single" w:sz="4" w:space="0" w:color="auto"/>
              <w:right w:val="single" w:sz="4" w:space="0" w:color="auto"/>
            </w:tcBorders>
          </w:tcPr>
          <w:p w14:paraId="7B7EBF44" w14:textId="77777777" w:rsidR="001F04FD" w:rsidRPr="004429E3" w:rsidRDefault="001F04FD" w:rsidP="00AC4DEE">
            <w:pPr>
              <w:spacing w:after="60"/>
              <w:rPr>
                <w:i/>
                <w:iCs/>
                <w:sz w:val="20"/>
              </w:rPr>
            </w:pPr>
            <w:r w:rsidRPr="004429E3">
              <w:rPr>
                <w:i/>
                <w:iCs/>
                <w:sz w:val="20"/>
              </w:rPr>
              <w:t>p</w:t>
            </w:r>
          </w:p>
        </w:tc>
        <w:tc>
          <w:tcPr>
            <w:tcW w:w="309" w:type="pct"/>
            <w:tcBorders>
              <w:top w:val="single" w:sz="4" w:space="0" w:color="auto"/>
              <w:left w:val="single" w:sz="4" w:space="0" w:color="auto"/>
              <w:bottom w:val="single" w:sz="4" w:space="0" w:color="auto"/>
              <w:right w:val="single" w:sz="4" w:space="0" w:color="auto"/>
            </w:tcBorders>
          </w:tcPr>
          <w:p w14:paraId="487C921B"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6DFE0021" w14:textId="77777777" w:rsidR="001F04FD" w:rsidRPr="004429E3" w:rsidRDefault="001F04FD" w:rsidP="00AC4DEE">
            <w:pPr>
              <w:spacing w:after="60"/>
              <w:rPr>
                <w:iCs/>
                <w:sz w:val="20"/>
              </w:rPr>
            </w:pPr>
            <w:r w:rsidRPr="004429E3">
              <w:rPr>
                <w:iCs/>
                <w:sz w:val="20"/>
              </w:rPr>
              <w:t>A Load Zone Settlement Point.</w:t>
            </w:r>
          </w:p>
        </w:tc>
      </w:tr>
    </w:tbl>
    <w:p w14:paraId="7B80444D" w14:textId="77777777" w:rsidR="001F04FD" w:rsidRDefault="001F04FD" w:rsidP="001F04FD">
      <w:pPr>
        <w:pStyle w:val="List"/>
        <w:spacing w:before="240"/>
      </w:pPr>
      <w:r>
        <w:t>(c)</w:t>
      </w:r>
      <w:r>
        <w:tab/>
        <w:t>ERCOT shall calculate each QSE’s monthly BLT charge as follows:</w:t>
      </w:r>
    </w:p>
    <w:p w14:paraId="02C94632" w14:textId="77777777" w:rsidR="001F04FD" w:rsidRDefault="001F04FD" w:rsidP="001F04FD">
      <w:pPr>
        <w:pStyle w:val="FormulaBold"/>
        <w:ind w:left="1440" w:hanging="720"/>
      </w:pPr>
      <w:r>
        <w:rPr>
          <w:lang w:val="pt-BR"/>
        </w:rPr>
        <w:tab/>
      </w:r>
      <w:r w:rsidRPr="00B913FA">
        <w:rPr>
          <w:lang w:val="pt-BR"/>
        </w:rPr>
        <w:t>LA</w:t>
      </w:r>
      <w:r>
        <w:rPr>
          <w:lang w:val="pt-BR"/>
        </w:rPr>
        <w:t>MBLT</w:t>
      </w:r>
      <w:r w:rsidRPr="00B913FA">
        <w:rPr>
          <w:lang w:val="pt-BR"/>
        </w:rPr>
        <w:t xml:space="preserve">AMT </w:t>
      </w:r>
      <w:r w:rsidRPr="00B913FA">
        <w:rPr>
          <w:i/>
          <w:vertAlign w:val="subscript"/>
          <w:lang w:val="pt-BR"/>
        </w:rPr>
        <w:t>q</w:t>
      </w:r>
      <w:r>
        <w:t xml:space="preserve"> = </w:t>
      </w:r>
      <w:r w:rsidRPr="00DD5850">
        <w:t xml:space="preserve">(-1) * </w:t>
      </w:r>
      <w:r>
        <w:t xml:space="preserve">MLRS </w:t>
      </w:r>
      <w:r>
        <w:rPr>
          <w:i/>
          <w:vertAlign w:val="subscript"/>
        </w:rPr>
        <w:t>q</w:t>
      </w:r>
      <w:r w:rsidRPr="00B913FA">
        <w:rPr>
          <w:vertAlign w:val="subscript"/>
        </w:rPr>
        <w:t xml:space="preserve"> </w:t>
      </w:r>
      <w:r>
        <w:t>* MBLTAMTTOT</w:t>
      </w:r>
    </w:p>
    <w:p w14:paraId="7E96A854" w14:textId="77777777" w:rsidR="001F04FD" w:rsidRPr="00AA7695" w:rsidRDefault="001F04FD" w:rsidP="001F04FD">
      <w:pPr>
        <w:pStyle w:val="FormulaBold"/>
        <w:ind w:left="1440" w:hanging="720"/>
      </w:pPr>
      <w:r>
        <w:tab/>
      </w:r>
      <w:r w:rsidRPr="00AA7695">
        <w:t>MBLTAMTTOT</w:t>
      </w:r>
      <w:r w:rsidRPr="00AA7695">
        <w:rPr>
          <w:rFonts w:ascii="Times New Roman Bold" w:hAnsi="Times New Roman Bold"/>
        </w:rPr>
        <w:t xml:space="preserve"> = </w:t>
      </w:r>
      <w:r w:rsidRPr="00AA7695">
        <w:rPr>
          <w:position w:val="-22"/>
        </w:rPr>
        <w:object w:dxaOrig="180" w:dyaOrig="465" w14:anchorId="36D3ABDA">
          <v:shape id="_x0000_i1161" type="#_x0000_t75" style="width:6pt;height:18pt" o:ole="">
            <v:imagedata r:id="rId181" o:title=""/>
          </v:shape>
          <o:OLEObject Type="Embed" ProgID="Equation.3" ShapeID="_x0000_i1161" DrawAspect="Content" ObjectID="_1804653646" r:id="rId182"/>
        </w:object>
      </w:r>
      <w:r w:rsidRPr="00AA7695">
        <w:rPr>
          <w:position w:val="-22"/>
        </w:rPr>
        <w:t xml:space="preserve"> </w:t>
      </w:r>
      <w:r w:rsidRPr="00AA7695">
        <w:t>MBLTAMTQSETOT</w:t>
      </w:r>
      <w:r w:rsidRPr="00AA7695">
        <w:rPr>
          <w:i/>
          <w:vertAlign w:val="subscript"/>
        </w:rPr>
        <w:t xml:space="preserve"> q</w:t>
      </w:r>
      <w:r w:rsidRPr="00AA7695">
        <w:t xml:space="preserve"> </w:t>
      </w:r>
    </w:p>
    <w:p w14:paraId="74C4993F" w14:textId="77777777" w:rsidR="001F04FD" w:rsidRPr="00AA7695" w:rsidRDefault="001F04FD"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F04FD" w14:paraId="05EF6954" w14:textId="77777777" w:rsidTr="00154FF3">
        <w:tc>
          <w:tcPr>
            <w:tcW w:w="1252" w:type="pct"/>
          </w:tcPr>
          <w:p w14:paraId="35380B09" w14:textId="77777777" w:rsidR="001F04FD" w:rsidRDefault="001F04FD" w:rsidP="00AC4DEE">
            <w:pPr>
              <w:pStyle w:val="TableHead"/>
            </w:pPr>
            <w:r>
              <w:t>Variable</w:t>
            </w:r>
          </w:p>
        </w:tc>
        <w:tc>
          <w:tcPr>
            <w:tcW w:w="458" w:type="pct"/>
          </w:tcPr>
          <w:p w14:paraId="420C2991" w14:textId="77777777" w:rsidR="001F04FD" w:rsidRDefault="001F04FD" w:rsidP="00AC4DEE">
            <w:pPr>
              <w:pStyle w:val="TableHead"/>
            </w:pPr>
            <w:r>
              <w:t>Unit</w:t>
            </w:r>
          </w:p>
        </w:tc>
        <w:tc>
          <w:tcPr>
            <w:tcW w:w="3290" w:type="pct"/>
          </w:tcPr>
          <w:p w14:paraId="67A37C96" w14:textId="77777777" w:rsidR="001F04FD" w:rsidRDefault="001F04FD" w:rsidP="00AC4DEE">
            <w:pPr>
              <w:pStyle w:val="TableHead"/>
            </w:pPr>
            <w:r>
              <w:t>Description</w:t>
            </w:r>
          </w:p>
        </w:tc>
      </w:tr>
      <w:tr w:rsidR="001F04FD" w14:paraId="11091B60" w14:textId="77777777" w:rsidTr="00154FF3">
        <w:trPr>
          <w:cantSplit/>
          <w:trHeight w:val="692"/>
        </w:trPr>
        <w:tc>
          <w:tcPr>
            <w:tcW w:w="1252" w:type="pct"/>
          </w:tcPr>
          <w:p w14:paraId="4CA85F08" w14:textId="77777777" w:rsidR="001F04FD" w:rsidRDefault="001F04FD" w:rsidP="00AC4DEE">
            <w:pPr>
              <w:pStyle w:val="TableBody"/>
            </w:pPr>
            <w:r>
              <w:t xml:space="preserve">MLRS </w:t>
            </w:r>
            <w:r>
              <w:rPr>
                <w:i/>
                <w:vertAlign w:val="subscript"/>
              </w:rPr>
              <w:t>q</w:t>
            </w:r>
          </w:p>
        </w:tc>
        <w:tc>
          <w:tcPr>
            <w:tcW w:w="458" w:type="pct"/>
          </w:tcPr>
          <w:p w14:paraId="7252937D" w14:textId="77777777" w:rsidR="001F04FD" w:rsidRDefault="001F04FD" w:rsidP="00AC4DEE">
            <w:pPr>
              <w:pStyle w:val="TableBody"/>
            </w:pPr>
            <w:r>
              <w:t>none</w:t>
            </w:r>
          </w:p>
        </w:tc>
        <w:tc>
          <w:tcPr>
            <w:tcW w:w="3290" w:type="pct"/>
          </w:tcPr>
          <w:p w14:paraId="64F11D97" w14:textId="77777777" w:rsidR="001F04FD" w:rsidRDefault="001F04FD" w:rsidP="00AC4DEE">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r>
      <w:tr w:rsidR="001F04FD" w:rsidDel="00F954FC" w14:paraId="56F6C99F" w14:textId="77777777" w:rsidTr="00154FF3">
        <w:trPr>
          <w:cantSplit/>
        </w:trPr>
        <w:tc>
          <w:tcPr>
            <w:tcW w:w="1252" w:type="pct"/>
          </w:tcPr>
          <w:p w14:paraId="256BEC79" w14:textId="77777777" w:rsidR="001F04FD" w:rsidDel="00F954FC" w:rsidRDefault="001F04FD" w:rsidP="00AC4DEE">
            <w:pPr>
              <w:pStyle w:val="TableBody"/>
            </w:pPr>
            <w:r>
              <w:rPr>
                <w:iCs w:val="0"/>
              </w:rPr>
              <w:t>M</w:t>
            </w:r>
            <w:r w:rsidRPr="004429E3">
              <w:rPr>
                <w:iCs w:val="0"/>
              </w:rPr>
              <w:t xml:space="preserve">BLTAMTQSETOT </w:t>
            </w:r>
            <w:r w:rsidRPr="004429E3">
              <w:rPr>
                <w:i/>
                <w:iCs w:val="0"/>
                <w:vertAlign w:val="subscript"/>
              </w:rPr>
              <w:t>q</w:t>
            </w:r>
          </w:p>
        </w:tc>
        <w:tc>
          <w:tcPr>
            <w:tcW w:w="458" w:type="pct"/>
          </w:tcPr>
          <w:p w14:paraId="385B9315" w14:textId="77777777" w:rsidR="001F04FD" w:rsidRDefault="001F04FD" w:rsidP="00AC4DEE">
            <w:pPr>
              <w:pStyle w:val="VariableDefinition"/>
              <w:spacing w:after="60"/>
              <w:ind w:left="0" w:firstLine="0"/>
              <w:rPr>
                <w:sz w:val="20"/>
              </w:rPr>
            </w:pPr>
            <w:r w:rsidRPr="004429E3">
              <w:rPr>
                <w:iCs w:val="0"/>
                <w:sz w:val="20"/>
              </w:rPr>
              <w:t>$</w:t>
            </w:r>
          </w:p>
        </w:tc>
        <w:tc>
          <w:tcPr>
            <w:tcW w:w="3290" w:type="pct"/>
          </w:tcPr>
          <w:p w14:paraId="2C265E27" w14:textId="77777777" w:rsidR="001F04FD" w:rsidDel="00F954FC" w:rsidRDefault="001F04FD" w:rsidP="00AC4DEE">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F04FD" w14:paraId="2961EF7C" w14:textId="77777777" w:rsidTr="00154FF3">
        <w:trPr>
          <w:cantSplit/>
        </w:trPr>
        <w:tc>
          <w:tcPr>
            <w:tcW w:w="1252" w:type="pct"/>
          </w:tcPr>
          <w:p w14:paraId="54A1AF3A" w14:textId="77777777" w:rsidR="001F04FD" w:rsidRDefault="001F04FD" w:rsidP="00AC4DEE">
            <w:pPr>
              <w:pStyle w:val="TableBody"/>
            </w:pPr>
            <w:r>
              <w:t xml:space="preserve">LAMBLTAMT </w:t>
            </w:r>
            <w:r w:rsidRPr="00426524">
              <w:rPr>
                <w:i/>
                <w:vertAlign w:val="subscript"/>
              </w:rPr>
              <w:t>q</w:t>
            </w:r>
          </w:p>
        </w:tc>
        <w:tc>
          <w:tcPr>
            <w:tcW w:w="458" w:type="pct"/>
          </w:tcPr>
          <w:p w14:paraId="59CC3570"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0A2ADCB6" w14:textId="77777777" w:rsidR="001F04FD" w:rsidRDefault="001F04FD" w:rsidP="00AC4DEE">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649BF">
              <w:rPr>
                <w:sz w:val="20"/>
              </w:rPr>
              <w:t>Monthly BLT</w:t>
            </w:r>
            <w:r>
              <w:rPr>
                <w:sz w:val="20"/>
              </w:rPr>
              <w:t xml:space="preserve"> charge for QSE</w:t>
            </w:r>
            <w:r>
              <w:rPr>
                <w:bCs/>
                <w:sz w:val="20"/>
              </w:rPr>
              <w:t xml:space="preserve"> </w:t>
            </w:r>
            <w:r w:rsidRPr="0037298F">
              <w:rPr>
                <w:bCs/>
                <w:i/>
                <w:sz w:val="20"/>
              </w:rPr>
              <w:t>q</w:t>
            </w:r>
            <w:r>
              <w:rPr>
                <w:sz w:val="20"/>
              </w:rPr>
              <w:t>.</w:t>
            </w:r>
          </w:p>
        </w:tc>
      </w:tr>
      <w:tr w:rsidR="001F04FD" w14:paraId="768FF47F" w14:textId="77777777" w:rsidTr="00154FF3">
        <w:trPr>
          <w:cantSplit/>
        </w:trPr>
        <w:tc>
          <w:tcPr>
            <w:tcW w:w="1252" w:type="pct"/>
          </w:tcPr>
          <w:p w14:paraId="2D2D38D2" w14:textId="77777777" w:rsidR="001F04FD" w:rsidRPr="003274F1" w:rsidRDefault="001F04FD" w:rsidP="00AC4DEE">
            <w:pPr>
              <w:pStyle w:val="TableBody"/>
            </w:pPr>
            <w:r>
              <w:lastRenderedPageBreak/>
              <w:t xml:space="preserve">MBLTAMTTOT </w:t>
            </w:r>
          </w:p>
        </w:tc>
        <w:tc>
          <w:tcPr>
            <w:tcW w:w="458" w:type="pct"/>
          </w:tcPr>
          <w:p w14:paraId="3AE9A2C9"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3016D256"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charge for all QSEs.</w:t>
            </w:r>
          </w:p>
        </w:tc>
      </w:tr>
      <w:tr w:rsidR="001F04FD" w14:paraId="349FBA1D" w14:textId="77777777" w:rsidTr="00154FF3">
        <w:trPr>
          <w:cantSplit/>
          <w:trHeight w:val="323"/>
        </w:trPr>
        <w:tc>
          <w:tcPr>
            <w:tcW w:w="1252" w:type="pct"/>
          </w:tcPr>
          <w:p w14:paraId="0BA3A261" w14:textId="77777777" w:rsidR="001F04FD" w:rsidRPr="009C7D50" w:rsidRDefault="001F04FD" w:rsidP="00AC4DEE">
            <w:pPr>
              <w:pStyle w:val="TableBody"/>
            </w:pPr>
            <w:r w:rsidRPr="009C7D50">
              <w:rPr>
                <w:i/>
              </w:rPr>
              <w:t>q</w:t>
            </w:r>
          </w:p>
        </w:tc>
        <w:tc>
          <w:tcPr>
            <w:tcW w:w="458" w:type="pct"/>
          </w:tcPr>
          <w:p w14:paraId="1F9908A1" w14:textId="77777777" w:rsidR="001F04FD" w:rsidRPr="009C7D50" w:rsidRDefault="001F04FD" w:rsidP="00AC4DEE">
            <w:pPr>
              <w:pStyle w:val="VariableDefinition"/>
              <w:tabs>
                <w:tab w:val="clear" w:pos="2160"/>
                <w:tab w:val="left" w:pos="2880"/>
              </w:tabs>
              <w:spacing w:after="60"/>
              <w:ind w:left="0" w:firstLine="0"/>
              <w:rPr>
                <w:sz w:val="20"/>
              </w:rPr>
            </w:pPr>
            <w:r w:rsidRPr="009C7D50">
              <w:rPr>
                <w:sz w:val="20"/>
              </w:rPr>
              <w:t>none</w:t>
            </w:r>
          </w:p>
        </w:tc>
        <w:tc>
          <w:tcPr>
            <w:tcW w:w="3290" w:type="pct"/>
          </w:tcPr>
          <w:p w14:paraId="4CECD477" w14:textId="77777777" w:rsidR="001F04FD" w:rsidRPr="009C7D50" w:rsidRDefault="001F04FD" w:rsidP="00AC4DEE">
            <w:pPr>
              <w:pStyle w:val="VariableDefinition"/>
              <w:tabs>
                <w:tab w:val="clear" w:pos="2160"/>
                <w:tab w:val="left" w:pos="2880"/>
              </w:tabs>
              <w:spacing w:after="60"/>
              <w:ind w:left="0" w:firstLine="0"/>
              <w:rPr>
                <w:i/>
                <w:sz w:val="20"/>
              </w:rPr>
            </w:pPr>
            <w:r w:rsidRPr="009C7D50">
              <w:rPr>
                <w:sz w:val="20"/>
              </w:rPr>
              <w:t>A QSE.</w:t>
            </w:r>
          </w:p>
        </w:tc>
      </w:tr>
    </w:tbl>
    <w:p w14:paraId="6076FF3D" w14:textId="77777777" w:rsidR="00154FF3" w:rsidRDefault="00154FF3"/>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45"/>
      </w:tblGrid>
      <w:tr w:rsidR="00154FF3" w14:paraId="3A00B29A" w14:textId="77777777" w:rsidTr="00154FF3">
        <w:trPr>
          <w:trHeight w:val="206"/>
        </w:trPr>
        <w:tc>
          <w:tcPr>
            <w:tcW w:w="5000" w:type="pct"/>
            <w:shd w:val="pct12" w:color="auto" w:fill="auto"/>
          </w:tcPr>
          <w:p w14:paraId="72A4EB4F" w14:textId="1196C33C" w:rsidR="00154FF3" w:rsidRDefault="00154FF3" w:rsidP="00663874">
            <w:pPr>
              <w:pStyle w:val="Instructions"/>
              <w:spacing w:before="120"/>
            </w:pPr>
            <w:bookmarkStart w:id="1940" w:name="_Toc397505018"/>
            <w:bookmarkStart w:id="1941" w:name="_Toc402357146"/>
            <w:bookmarkStart w:id="1942" w:name="_Toc422486524"/>
            <w:bookmarkStart w:id="1943" w:name="_Toc433093376"/>
            <w:bookmarkStart w:id="1944" w:name="_Toc433093534"/>
            <w:bookmarkStart w:id="1945" w:name="_Toc440874762"/>
            <w:bookmarkStart w:id="1946" w:name="_Toc448142317"/>
            <w:bookmarkStart w:id="1947" w:name="_Toc448142474"/>
            <w:bookmarkStart w:id="1948" w:name="_Toc458770315"/>
            <w:bookmarkStart w:id="1949" w:name="_Toc459294283"/>
            <w:bookmarkStart w:id="1950" w:name="_Toc463262776"/>
            <w:bookmarkStart w:id="1951" w:name="_Toc468286849"/>
            <w:bookmarkStart w:id="1952" w:name="_Toc481502892"/>
            <w:bookmarkStart w:id="1953" w:name="_Toc496080060"/>
            <w:r>
              <w:t>[NPRR1030:  Replace paragraph (c) above with the following upon system implementation:]</w:t>
            </w:r>
          </w:p>
          <w:p w14:paraId="684F4774" w14:textId="77777777" w:rsidR="00154FF3" w:rsidRDefault="00154FF3" w:rsidP="00154FF3">
            <w:pPr>
              <w:pStyle w:val="List"/>
              <w:spacing w:before="240"/>
            </w:pPr>
            <w:r>
              <w:t>(c)</w:t>
            </w:r>
            <w:r>
              <w:tab/>
              <w:t>ERCOT shall calculate each QSE’s monthly BLT charge as follows:</w:t>
            </w:r>
          </w:p>
          <w:p w14:paraId="447517EA" w14:textId="77777777" w:rsidR="00154FF3" w:rsidRPr="006132D1" w:rsidRDefault="00154FF3" w:rsidP="009F62BA">
            <w:pPr>
              <w:pStyle w:val="BodyText"/>
              <w:ind w:left="1440"/>
              <w:rPr>
                <w:b/>
              </w:rPr>
            </w:pPr>
            <w:r w:rsidRPr="006132D1">
              <w:rPr>
                <w:b/>
                <w:lang w:val="pt-BR"/>
              </w:rPr>
              <w:t xml:space="preserve">LAMBLTAMT </w:t>
            </w:r>
            <w:r w:rsidRPr="006132D1">
              <w:rPr>
                <w:b/>
                <w:i/>
                <w:vertAlign w:val="subscript"/>
                <w:lang w:val="pt-BR"/>
              </w:rPr>
              <w:t>q</w:t>
            </w:r>
            <w:r w:rsidRPr="006132D1">
              <w:rPr>
                <w:b/>
              </w:rPr>
              <w:t xml:space="preserve">   =   </w:t>
            </w:r>
            <w:r>
              <w:rPr>
                <w:b/>
              </w:rPr>
              <w:t>(-1) * (</w:t>
            </w:r>
            <w:r w:rsidRPr="006132D1">
              <w:rPr>
                <w:b/>
                <w:lang w:val="pt-BR"/>
              </w:rPr>
              <w:t xml:space="preserve">MBLTDC </w:t>
            </w:r>
            <w:r w:rsidRPr="006132D1">
              <w:rPr>
                <w:b/>
                <w:i/>
                <w:vertAlign w:val="subscript"/>
                <w:lang w:val="pt-BR"/>
              </w:rPr>
              <w:t>q</w:t>
            </w:r>
            <w:r w:rsidRPr="00303170">
              <w:rPr>
                <w:b/>
              </w:rPr>
              <w:t xml:space="preserve"> +</w:t>
            </w:r>
            <w:r w:rsidRPr="00DE2FF7">
              <w:rPr>
                <w:b/>
              </w:rPr>
              <w:t xml:space="preserve"> </w:t>
            </w:r>
            <w:r w:rsidRPr="006132D1">
              <w:rPr>
                <w:b/>
                <w:lang w:val="pt-BR"/>
              </w:rPr>
              <w:t xml:space="preserve">MBLTNDC </w:t>
            </w:r>
            <w:r w:rsidRPr="006132D1">
              <w:rPr>
                <w:b/>
                <w:i/>
                <w:vertAlign w:val="subscript"/>
                <w:lang w:val="pt-BR"/>
              </w:rPr>
              <w:t>q</w:t>
            </w:r>
            <w:r w:rsidRPr="006132D1">
              <w:rPr>
                <w:b/>
                <w:lang w:val="pt-BR"/>
              </w:rPr>
              <w:t>)</w:t>
            </w:r>
          </w:p>
          <w:p w14:paraId="5B233FA0" w14:textId="77777777" w:rsidR="00154FF3" w:rsidRDefault="00154FF3" w:rsidP="009F62BA">
            <w:pPr>
              <w:pStyle w:val="BodyText"/>
              <w:ind w:left="1440"/>
            </w:pPr>
            <w:r>
              <w:t>Where:</w:t>
            </w:r>
          </w:p>
          <w:p w14:paraId="724CD23C" w14:textId="77777777" w:rsidR="00154FF3" w:rsidRPr="00922065" w:rsidRDefault="00154FF3" w:rsidP="009F62BA">
            <w:pPr>
              <w:pStyle w:val="FormulaBold"/>
              <w:ind w:left="4680"/>
              <w:rPr>
                <w:b w:val="0"/>
              </w:rPr>
            </w:pPr>
            <w:r w:rsidRPr="00922065">
              <w:rPr>
                <w:b w:val="0"/>
                <w:lang w:val="pt-BR"/>
              </w:rPr>
              <w:t xml:space="preserve">MBLTNDC </w:t>
            </w:r>
            <w:r w:rsidRPr="00922065">
              <w:rPr>
                <w:b w:val="0"/>
                <w:i/>
                <w:vertAlign w:val="subscript"/>
                <w:lang w:val="pt-BR"/>
              </w:rPr>
              <w:t>q</w:t>
            </w:r>
            <w:r w:rsidRPr="00922065">
              <w:rPr>
                <w:b w:val="0"/>
              </w:rPr>
              <w:t xml:space="preserve">   =   MLRS </w:t>
            </w:r>
            <w:r w:rsidRPr="00922065">
              <w:rPr>
                <w:b w:val="0"/>
                <w:i/>
                <w:vertAlign w:val="subscript"/>
              </w:rPr>
              <w:t>q</w:t>
            </w:r>
            <w:r w:rsidRPr="00922065">
              <w:rPr>
                <w:b w:val="0"/>
                <w:vertAlign w:val="subscript"/>
              </w:rPr>
              <w:t xml:space="preserve"> </w:t>
            </w:r>
            <w:r w:rsidRPr="00922065">
              <w:rPr>
                <w:b w:val="0"/>
              </w:rPr>
              <w:t xml:space="preserve">* (MBLTAMTTOT - </w:t>
            </w:r>
            <w:r w:rsidRPr="00922065">
              <w:rPr>
                <w:b w:val="0"/>
                <w:position w:val="-22"/>
              </w:rPr>
              <w:object w:dxaOrig="225" w:dyaOrig="465" w14:anchorId="2B3428EC">
                <v:shape id="_x0000_i1162" type="#_x0000_t75" style="width:6pt;height:18pt" o:ole="">
                  <v:imagedata r:id="rId96" o:title=""/>
                </v:shape>
                <o:OLEObject Type="Embed" ProgID="Equation.3" ShapeID="_x0000_i1162" DrawAspect="Content" ObjectID="_1804653647" r:id="rId183"/>
              </w:object>
            </w:r>
            <w:r w:rsidRPr="00922065">
              <w:rPr>
                <w:b w:val="0"/>
                <w:lang w:val="pt-BR"/>
              </w:rPr>
              <w:t xml:space="preserve">MBLTDC </w:t>
            </w:r>
            <w:r w:rsidRPr="00922065">
              <w:rPr>
                <w:b w:val="0"/>
                <w:i/>
                <w:vertAlign w:val="subscript"/>
                <w:lang w:val="pt-BR"/>
              </w:rPr>
              <w:t>q</w:t>
            </w:r>
            <w:r w:rsidRPr="00922065">
              <w:rPr>
                <w:b w:val="0"/>
              </w:rPr>
              <w:t>)</w:t>
            </w:r>
          </w:p>
          <w:p w14:paraId="082A4455" w14:textId="77777777" w:rsidR="00154FF3" w:rsidRPr="00922065" w:rsidRDefault="00154FF3" w:rsidP="009F62BA">
            <w:pPr>
              <w:pStyle w:val="FormulaBold"/>
              <w:ind w:left="4680"/>
              <w:rPr>
                <w:b w:val="0"/>
              </w:rPr>
            </w:pPr>
            <w:r w:rsidRPr="00922065">
              <w:rPr>
                <w:b w:val="0"/>
                <w:lang w:val="pt-BR"/>
              </w:rPr>
              <w:t xml:space="preserve">MBLTDC </w:t>
            </w:r>
            <w:r w:rsidRPr="00922065">
              <w:rPr>
                <w:b w:val="0"/>
                <w:i/>
                <w:vertAlign w:val="subscript"/>
                <w:lang w:val="pt-BR"/>
              </w:rPr>
              <w:t>q</w:t>
            </w:r>
            <w:r w:rsidRPr="00922065">
              <w:rPr>
                <w:b w:val="0"/>
              </w:rPr>
              <w:t xml:space="preserve">      =  DCMLRS </w:t>
            </w:r>
            <w:r w:rsidRPr="00922065">
              <w:rPr>
                <w:b w:val="0"/>
                <w:i/>
                <w:vertAlign w:val="subscript"/>
              </w:rPr>
              <w:t>q</w:t>
            </w:r>
            <w:r w:rsidRPr="00922065">
              <w:rPr>
                <w:b w:val="0"/>
                <w:vertAlign w:val="subscript"/>
              </w:rPr>
              <w:t xml:space="preserve"> </w:t>
            </w:r>
            <w:r w:rsidRPr="00922065">
              <w:rPr>
                <w:b w:val="0"/>
              </w:rPr>
              <w:t>* MBLTAMTTOT</w:t>
            </w:r>
          </w:p>
          <w:p w14:paraId="588C2028" w14:textId="77777777" w:rsidR="00154FF3" w:rsidRPr="00922065" w:rsidRDefault="00154FF3" w:rsidP="009F62BA">
            <w:pPr>
              <w:pStyle w:val="FormulaBold"/>
              <w:ind w:left="4680"/>
              <w:rPr>
                <w:b w:val="0"/>
              </w:rPr>
            </w:pPr>
            <w:r w:rsidRPr="00922065">
              <w:rPr>
                <w:b w:val="0"/>
              </w:rPr>
              <w:t>MBLTAMTTOT</w:t>
            </w:r>
            <w:r w:rsidRPr="00922065">
              <w:rPr>
                <w:rFonts w:ascii="Times New Roman Bold" w:hAnsi="Times New Roman Bold"/>
                <w:b w:val="0"/>
              </w:rPr>
              <w:t xml:space="preserve">   =  </w:t>
            </w:r>
            <w:r w:rsidRPr="00922065">
              <w:rPr>
                <w:b w:val="0"/>
                <w:position w:val="-22"/>
              </w:rPr>
              <w:object w:dxaOrig="180" w:dyaOrig="465" w14:anchorId="0B12B8FC">
                <v:shape id="_x0000_i1163" type="#_x0000_t75" style="width:6pt;height:18pt" o:ole="">
                  <v:imagedata r:id="rId181" o:title=""/>
                </v:shape>
                <o:OLEObject Type="Embed" ProgID="Equation.3" ShapeID="_x0000_i1163" DrawAspect="Content" ObjectID="_1804653648" r:id="rId184"/>
              </w:object>
            </w:r>
            <w:r w:rsidRPr="00922065">
              <w:rPr>
                <w:b w:val="0"/>
                <w:position w:val="-22"/>
              </w:rPr>
              <w:t xml:space="preserve"> </w:t>
            </w:r>
            <w:r w:rsidRPr="00922065">
              <w:rPr>
                <w:b w:val="0"/>
              </w:rPr>
              <w:t>MBLTAMTQSETOT</w:t>
            </w:r>
            <w:r w:rsidRPr="00922065">
              <w:rPr>
                <w:b w:val="0"/>
                <w:i/>
                <w:vertAlign w:val="subscript"/>
              </w:rPr>
              <w:t xml:space="preserve"> q</w:t>
            </w:r>
            <w:r w:rsidRPr="00922065">
              <w:rPr>
                <w:b w:val="0"/>
              </w:rPr>
              <w:t xml:space="preserve"> </w:t>
            </w:r>
          </w:p>
          <w:p w14:paraId="12BA8FFA" w14:textId="77777777" w:rsidR="00154FF3" w:rsidRPr="00AA7695" w:rsidRDefault="00154FF3"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54FF3" w14:paraId="0456DB7A" w14:textId="77777777" w:rsidTr="00663874">
              <w:tc>
                <w:tcPr>
                  <w:tcW w:w="1252" w:type="pct"/>
                </w:tcPr>
                <w:p w14:paraId="4968A889" w14:textId="77777777" w:rsidR="00154FF3" w:rsidRDefault="00154FF3" w:rsidP="00154FF3">
                  <w:pPr>
                    <w:pStyle w:val="TableHead"/>
                  </w:pPr>
                  <w:r>
                    <w:t>Variable</w:t>
                  </w:r>
                </w:p>
              </w:tc>
              <w:tc>
                <w:tcPr>
                  <w:tcW w:w="458" w:type="pct"/>
                </w:tcPr>
                <w:p w14:paraId="4F166FE7" w14:textId="77777777" w:rsidR="00154FF3" w:rsidRDefault="00154FF3" w:rsidP="00154FF3">
                  <w:pPr>
                    <w:pStyle w:val="TableHead"/>
                  </w:pPr>
                  <w:r>
                    <w:t>Unit</w:t>
                  </w:r>
                </w:p>
              </w:tc>
              <w:tc>
                <w:tcPr>
                  <w:tcW w:w="3290" w:type="pct"/>
                </w:tcPr>
                <w:p w14:paraId="2ACFE37C" w14:textId="77777777" w:rsidR="00154FF3" w:rsidRDefault="00154FF3" w:rsidP="00154FF3">
                  <w:pPr>
                    <w:pStyle w:val="TableHead"/>
                  </w:pPr>
                  <w:r>
                    <w:t>Description</w:t>
                  </w:r>
                </w:p>
              </w:tc>
            </w:tr>
            <w:tr w:rsidR="00154FF3" w14:paraId="7E4F61CE" w14:textId="77777777" w:rsidTr="00663874">
              <w:trPr>
                <w:cantSplit/>
              </w:trPr>
              <w:tc>
                <w:tcPr>
                  <w:tcW w:w="1252" w:type="pct"/>
                </w:tcPr>
                <w:p w14:paraId="132E791E" w14:textId="77777777" w:rsidR="00154FF3" w:rsidRDefault="00154FF3" w:rsidP="00154FF3">
                  <w:pPr>
                    <w:pStyle w:val="TableBody"/>
                  </w:pPr>
                  <w:r>
                    <w:t xml:space="preserve">LAMBLTAMT </w:t>
                  </w:r>
                  <w:r w:rsidRPr="00426524">
                    <w:rPr>
                      <w:i/>
                      <w:vertAlign w:val="subscript"/>
                    </w:rPr>
                    <w:t>q</w:t>
                  </w:r>
                </w:p>
              </w:tc>
              <w:tc>
                <w:tcPr>
                  <w:tcW w:w="458" w:type="pct"/>
                </w:tcPr>
                <w:p w14:paraId="78E9244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232284DA" w14:textId="39398F04" w:rsidR="00154FF3" w:rsidRDefault="00154FF3" w:rsidP="00AA16B3">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70FCB">
                    <w:rPr>
                      <w:sz w:val="20"/>
                    </w:rPr>
                    <w:t xml:space="preserve">Sum of </w:t>
                  </w:r>
                  <w:r>
                    <w:rPr>
                      <w:sz w:val="20"/>
                    </w:rPr>
                    <w:t>the m</w:t>
                  </w:r>
                  <w:r w:rsidRPr="000649BF">
                    <w:rPr>
                      <w:sz w:val="20"/>
                    </w:rPr>
                    <w:t>onthly BLT</w:t>
                  </w:r>
                  <w:r>
                    <w:rPr>
                      <w:sz w:val="20"/>
                    </w:rPr>
                    <w:t xml:space="preserve"> charges for Loads and DC Tie exports for QSE</w:t>
                  </w:r>
                  <w:r>
                    <w:rPr>
                      <w:bCs/>
                      <w:sz w:val="20"/>
                    </w:rPr>
                    <w:t xml:space="preserve"> </w:t>
                  </w:r>
                  <w:r w:rsidRPr="0037298F">
                    <w:rPr>
                      <w:bCs/>
                      <w:i/>
                      <w:sz w:val="20"/>
                    </w:rPr>
                    <w:t>q</w:t>
                  </w:r>
                  <w:r>
                    <w:rPr>
                      <w:sz w:val="20"/>
                    </w:rPr>
                    <w:t>.</w:t>
                  </w:r>
                </w:p>
              </w:tc>
            </w:tr>
            <w:tr w:rsidR="00154FF3" w14:paraId="2FC3F1A8" w14:textId="77777777" w:rsidTr="00663874">
              <w:trPr>
                <w:cantSplit/>
                <w:trHeight w:val="692"/>
              </w:trPr>
              <w:tc>
                <w:tcPr>
                  <w:tcW w:w="1252" w:type="pct"/>
                </w:tcPr>
                <w:p w14:paraId="46680808" w14:textId="77777777" w:rsidR="00154FF3" w:rsidRDefault="00154FF3" w:rsidP="00154FF3">
                  <w:pPr>
                    <w:pStyle w:val="TableBody"/>
                  </w:pPr>
                  <w:r>
                    <w:t>DCMLRS</w:t>
                  </w:r>
                  <w:r>
                    <w:rPr>
                      <w:i/>
                      <w:vertAlign w:val="subscript"/>
                    </w:rPr>
                    <w:t xml:space="preserve"> q</w:t>
                  </w:r>
                </w:p>
              </w:tc>
              <w:tc>
                <w:tcPr>
                  <w:tcW w:w="458" w:type="pct"/>
                </w:tcPr>
                <w:p w14:paraId="2008FFD6" w14:textId="77777777" w:rsidR="00154FF3" w:rsidRDefault="00154FF3" w:rsidP="00154FF3">
                  <w:pPr>
                    <w:pStyle w:val="TableBody"/>
                  </w:pPr>
                  <w:r>
                    <w:t>none</w:t>
                  </w:r>
                </w:p>
              </w:tc>
              <w:tc>
                <w:tcPr>
                  <w:tcW w:w="3290" w:type="pct"/>
                </w:tcPr>
                <w:p w14:paraId="144B81EC" w14:textId="04BDCC0B" w:rsidR="00154FF3" w:rsidRDefault="00154FF3"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154FF3" w14:paraId="16C835C3" w14:textId="77777777" w:rsidTr="00154FF3">
              <w:trPr>
                <w:cantSplit/>
                <w:trHeight w:val="593"/>
              </w:trPr>
              <w:tc>
                <w:tcPr>
                  <w:tcW w:w="1252" w:type="pct"/>
                </w:tcPr>
                <w:p w14:paraId="0B1A9958" w14:textId="77777777" w:rsidR="00154FF3" w:rsidRDefault="00154FF3" w:rsidP="00154FF3">
                  <w:pPr>
                    <w:pStyle w:val="TableBody"/>
                  </w:pPr>
                  <w:r>
                    <w:t xml:space="preserve">MLRS </w:t>
                  </w:r>
                  <w:r>
                    <w:rPr>
                      <w:i/>
                      <w:vertAlign w:val="subscript"/>
                    </w:rPr>
                    <w:t>q</w:t>
                  </w:r>
                </w:p>
              </w:tc>
              <w:tc>
                <w:tcPr>
                  <w:tcW w:w="458" w:type="pct"/>
                </w:tcPr>
                <w:p w14:paraId="16797A3F" w14:textId="77777777" w:rsidR="00154FF3" w:rsidRDefault="00154FF3" w:rsidP="00154FF3">
                  <w:pPr>
                    <w:pStyle w:val="TableBody"/>
                  </w:pPr>
                  <w:r>
                    <w:t>none</w:t>
                  </w:r>
                </w:p>
              </w:tc>
              <w:tc>
                <w:tcPr>
                  <w:tcW w:w="3290" w:type="pct"/>
                </w:tcPr>
                <w:p w14:paraId="4D537BFB" w14:textId="4B484C4D" w:rsidR="00154FF3" w:rsidRDefault="00154FF3" w:rsidP="00154FF3">
                  <w:pPr>
                    <w:pStyle w:val="TableBody"/>
                  </w:pPr>
                  <w:r>
                    <w:rPr>
                      <w:i/>
                    </w:rPr>
                    <w:t>Monthly Load Ratio Share per QSE</w:t>
                  </w:r>
                  <w:r>
                    <w:t xml:space="preserve">—The ratio share of Loads excluding DC Tie Exports for QSE </w:t>
                  </w:r>
                  <w:r>
                    <w:rPr>
                      <w:i/>
                    </w:rPr>
                    <w:t>q,</w:t>
                  </w:r>
                  <w:r>
                    <w:t xml:space="preserve"> for the peak Load 15-minute Settlement Interval.  </w:t>
                  </w:r>
                </w:p>
              </w:tc>
            </w:tr>
            <w:tr w:rsidR="00154FF3" w:rsidDel="00F954FC" w14:paraId="04B86F3D" w14:textId="77777777" w:rsidTr="00663874">
              <w:trPr>
                <w:cantSplit/>
              </w:trPr>
              <w:tc>
                <w:tcPr>
                  <w:tcW w:w="1252" w:type="pct"/>
                </w:tcPr>
                <w:p w14:paraId="19C32AB2" w14:textId="77777777" w:rsidR="00154FF3" w:rsidDel="00F954FC" w:rsidRDefault="00154FF3" w:rsidP="00154FF3">
                  <w:pPr>
                    <w:pStyle w:val="TableBody"/>
                  </w:pPr>
                  <w:r>
                    <w:rPr>
                      <w:iCs w:val="0"/>
                    </w:rPr>
                    <w:t>M</w:t>
                  </w:r>
                  <w:r w:rsidRPr="004429E3">
                    <w:rPr>
                      <w:iCs w:val="0"/>
                    </w:rPr>
                    <w:t xml:space="preserve">BLTAMTQSETOT </w:t>
                  </w:r>
                  <w:r w:rsidRPr="004429E3">
                    <w:rPr>
                      <w:i/>
                      <w:iCs w:val="0"/>
                      <w:vertAlign w:val="subscript"/>
                    </w:rPr>
                    <w:t>q</w:t>
                  </w:r>
                </w:p>
              </w:tc>
              <w:tc>
                <w:tcPr>
                  <w:tcW w:w="458" w:type="pct"/>
                </w:tcPr>
                <w:p w14:paraId="6F49B29F" w14:textId="77777777" w:rsidR="00154FF3" w:rsidRDefault="00154FF3" w:rsidP="00154FF3">
                  <w:pPr>
                    <w:pStyle w:val="VariableDefinition"/>
                    <w:spacing w:after="60"/>
                    <w:ind w:left="0" w:firstLine="0"/>
                    <w:rPr>
                      <w:sz w:val="20"/>
                    </w:rPr>
                  </w:pPr>
                  <w:r w:rsidRPr="004429E3">
                    <w:rPr>
                      <w:iCs w:val="0"/>
                      <w:sz w:val="20"/>
                    </w:rPr>
                    <w:t>$</w:t>
                  </w:r>
                </w:p>
              </w:tc>
              <w:tc>
                <w:tcPr>
                  <w:tcW w:w="3290" w:type="pct"/>
                </w:tcPr>
                <w:p w14:paraId="7956744C" w14:textId="77777777" w:rsidR="00154FF3" w:rsidDel="00F954FC" w:rsidRDefault="00154FF3" w:rsidP="00154FF3">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54FF3" w14:paraId="20D83EAF" w14:textId="77777777" w:rsidTr="00663874">
              <w:trPr>
                <w:cantSplit/>
              </w:trPr>
              <w:tc>
                <w:tcPr>
                  <w:tcW w:w="1252" w:type="pct"/>
                </w:tcPr>
                <w:p w14:paraId="329032BB" w14:textId="77777777" w:rsidR="00154FF3" w:rsidRDefault="00154FF3" w:rsidP="00154FF3">
                  <w:pPr>
                    <w:pStyle w:val="TableBody"/>
                  </w:pPr>
                  <w:r>
                    <w:t xml:space="preserve">MBLTDC </w:t>
                  </w:r>
                  <w:r w:rsidRPr="00426524">
                    <w:rPr>
                      <w:i/>
                      <w:vertAlign w:val="subscript"/>
                    </w:rPr>
                    <w:t>q</w:t>
                  </w:r>
                </w:p>
              </w:tc>
              <w:tc>
                <w:tcPr>
                  <w:tcW w:w="458" w:type="pct"/>
                </w:tcPr>
                <w:p w14:paraId="60F6F2EB"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7CD20A0B" w14:textId="00496D3C" w:rsidR="00154FF3" w:rsidRDefault="00154FF3" w:rsidP="001335E7">
                  <w:pPr>
                    <w:pStyle w:val="VariableDefinition"/>
                    <w:tabs>
                      <w:tab w:val="clear" w:pos="2160"/>
                      <w:tab w:val="left" w:pos="2880"/>
                    </w:tabs>
                    <w:spacing w:after="60"/>
                    <w:ind w:left="0" w:firstLine="0"/>
                    <w:rPr>
                      <w:i/>
                      <w:sz w:val="20"/>
                    </w:rPr>
                  </w:pPr>
                  <w:r>
                    <w:rPr>
                      <w:i/>
                      <w:sz w:val="20"/>
                    </w:rPr>
                    <w:t>Monthly BLT</w:t>
                  </w:r>
                  <w:r w:rsidRPr="00DE1436">
                    <w:rPr>
                      <w:i/>
                      <w:sz w:val="20"/>
                    </w:rPr>
                    <w:t xml:space="preserve"> Amount</w:t>
                  </w:r>
                  <w:r>
                    <w:rPr>
                      <w:sz w:val="20"/>
                    </w:rPr>
                    <w:t xml:space="preserve"> </w:t>
                  </w:r>
                  <w:r w:rsidRPr="00922065">
                    <w:rPr>
                      <w:i/>
                      <w:sz w:val="20"/>
                    </w:rPr>
                    <w:t>for DC Tie Exports</w:t>
                  </w:r>
                  <w:r>
                    <w:rPr>
                      <w:sz w:val="20"/>
                    </w:rPr>
                    <w:t xml:space="preserve"> </w:t>
                  </w:r>
                  <w:r w:rsidRPr="00EB7831">
                    <w:rPr>
                      <w:i/>
                      <w:sz w:val="20"/>
                    </w:rPr>
                    <w:t>per QSE</w:t>
                  </w:r>
                  <w:r>
                    <w:t>—</w:t>
                  </w:r>
                  <w:r w:rsidRPr="000649BF">
                    <w:rPr>
                      <w:sz w:val="20"/>
                    </w:rPr>
                    <w:t>Monthly BLT</w:t>
                  </w:r>
                  <w:r>
                    <w:rPr>
                      <w:sz w:val="20"/>
                    </w:rPr>
                    <w:t xml:space="preserve"> amount for DC Tie exports for QSE</w:t>
                  </w:r>
                  <w:r>
                    <w:rPr>
                      <w:bCs/>
                      <w:sz w:val="20"/>
                    </w:rPr>
                    <w:t xml:space="preserve"> </w:t>
                  </w:r>
                  <w:r w:rsidRPr="0037298F">
                    <w:rPr>
                      <w:bCs/>
                      <w:i/>
                      <w:sz w:val="20"/>
                    </w:rPr>
                    <w:t>q</w:t>
                  </w:r>
                  <w:r>
                    <w:rPr>
                      <w:sz w:val="20"/>
                    </w:rPr>
                    <w:t>.</w:t>
                  </w:r>
                </w:p>
              </w:tc>
            </w:tr>
            <w:tr w:rsidR="00154FF3" w14:paraId="1408ED8D" w14:textId="77777777" w:rsidTr="00663874">
              <w:trPr>
                <w:cantSplit/>
              </w:trPr>
              <w:tc>
                <w:tcPr>
                  <w:tcW w:w="1252" w:type="pct"/>
                </w:tcPr>
                <w:p w14:paraId="22E98EA0" w14:textId="77777777" w:rsidR="00154FF3" w:rsidRDefault="00154FF3" w:rsidP="00154FF3">
                  <w:pPr>
                    <w:pStyle w:val="TableBody"/>
                  </w:pPr>
                  <w:r>
                    <w:t xml:space="preserve">MBLTNDC </w:t>
                  </w:r>
                  <w:r w:rsidRPr="00426524">
                    <w:rPr>
                      <w:i/>
                      <w:vertAlign w:val="subscript"/>
                    </w:rPr>
                    <w:t>q</w:t>
                  </w:r>
                </w:p>
              </w:tc>
              <w:tc>
                <w:tcPr>
                  <w:tcW w:w="458" w:type="pct"/>
                </w:tcPr>
                <w:p w14:paraId="75115BC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35FBB2D9" w14:textId="7AD25BC3" w:rsidR="00154FF3" w:rsidRDefault="00154FF3" w:rsidP="00154FF3">
                  <w:pPr>
                    <w:pStyle w:val="VariableDefinition"/>
                    <w:tabs>
                      <w:tab w:val="clear" w:pos="2160"/>
                      <w:tab w:val="left" w:pos="2880"/>
                    </w:tabs>
                    <w:spacing w:after="60"/>
                    <w:ind w:left="0" w:firstLine="0"/>
                    <w:rPr>
                      <w:sz w:val="20"/>
                    </w:rPr>
                  </w:pPr>
                  <w:r>
                    <w:rPr>
                      <w:i/>
                      <w:sz w:val="20"/>
                    </w:rPr>
                    <w:t>Monthly BLT</w:t>
                  </w:r>
                  <w:r w:rsidRPr="00DE1436">
                    <w:rPr>
                      <w:i/>
                      <w:sz w:val="20"/>
                    </w:rPr>
                    <w:t xml:space="preserve"> Amount</w:t>
                  </w:r>
                  <w:r>
                    <w:rPr>
                      <w:i/>
                      <w:sz w:val="20"/>
                    </w:rPr>
                    <w:t xml:space="preserve"> for Non-DC Tie Loads</w:t>
                  </w:r>
                  <w:r>
                    <w:rPr>
                      <w:sz w:val="20"/>
                    </w:rPr>
                    <w:t xml:space="preserve"> </w:t>
                  </w:r>
                  <w:r w:rsidRPr="00EB7831">
                    <w:rPr>
                      <w:i/>
                      <w:sz w:val="20"/>
                    </w:rPr>
                    <w:t>per QSE</w:t>
                  </w:r>
                  <w:r>
                    <w:t>—</w:t>
                  </w:r>
                  <w:r w:rsidRPr="000649BF">
                    <w:rPr>
                      <w:sz w:val="20"/>
                    </w:rPr>
                    <w:t>Monthly BLT</w:t>
                  </w:r>
                  <w:r>
                    <w:rPr>
                      <w:sz w:val="20"/>
                    </w:rPr>
                    <w:t xml:space="preserve"> amount for Loads (excluding DC Tie exports) for QSE</w:t>
                  </w:r>
                  <w:r>
                    <w:rPr>
                      <w:bCs/>
                      <w:sz w:val="20"/>
                    </w:rPr>
                    <w:t xml:space="preserve"> </w:t>
                  </w:r>
                  <w:r w:rsidRPr="0037298F">
                    <w:rPr>
                      <w:bCs/>
                      <w:i/>
                      <w:sz w:val="20"/>
                    </w:rPr>
                    <w:t>q</w:t>
                  </w:r>
                  <w:r>
                    <w:rPr>
                      <w:sz w:val="20"/>
                    </w:rPr>
                    <w:t>.</w:t>
                  </w:r>
                </w:p>
              </w:tc>
            </w:tr>
            <w:tr w:rsidR="00154FF3" w14:paraId="4A410B8B" w14:textId="77777777" w:rsidTr="00663874">
              <w:trPr>
                <w:cantSplit/>
              </w:trPr>
              <w:tc>
                <w:tcPr>
                  <w:tcW w:w="1252" w:type="pct"/>
                </w:tcPr>
                <w:p w14:paraId="358DEEF9" w14:textId="77777777" w:rsidR="00154FF3" w:rsidRPr="003274F1" w:rsidRDefault="00154FF3" w:rsidP="00154FF3">
                  <w:pPr>
                    <w:pStyle w:val="TableBody"/>
                  </w:pPr>
                  <w:r>
                    <w:t xml:space="preserve">MBLTAMTTOT </w:t>
                  </w:r>
                </w:p>
              </w:tc>
              <w:tc>
                <w:tcPr>
                  <w:tcW w:w="458" w:type="pct"/>
                </w:tcPr>
                <w:p w14:paraId="21159B81"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54FB5D8F" w14:textId="77777777" w:rsidR="00154FF3" w:rsidRPr="00866D8D" w:rsidRDefault="00154FF3" w:rsidP="00154FF3">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payment for all QSEs.</w:t>
                  </w:r>
                </w:p>
              </w:tc>
            </w:tr>
            <w:tr w:rsidR="00154FF3" w14:paraId="0B7965F0" w14:textId="77777777" w:rsidTr="00663874">
              <w:trPr>
                <w:cantSplit/>
                <w:trHeight w:val="323"/>
              </w:trPr>
              <w:tc>
                <w:tcPr>
                  <w:tcW w:w="1252" w:type="pct"/>
                </w:tcPr>
                <w:p w14:paraId="3C64B01C" w14:textId="77777777" w:rsidR="00154FF3" w:rsidRPr="009C7D50" w:rsidRDefault="00154FF3" w:rsidP="00154FF3">
                  <w:pPr>
                    <w:pStyle w:val="TableBody"/>
                  </w:pPr>
                  <w:r w:rsidRPr="009C7D50">
                    <w:rPr>
                      <w:i/>
                    </w:rPr>
                    <w:t>q</w:t>
                  </w:r>
                </w:p>
              </w:tc>
              <w:tc>
                <w:tcPr>
                  <w:tcW w:w="458" w:type="pct"/>
                </w:tcPr>
                <w:p w14:paraId="7DC4E920" w14:textId="77777777" w:rsidR="00154FF3" w:rsidRPr="009C7D50" w:rsidRDefault="00154FF3" w:rsidP="00154FF3">
                  <w:pPr>
                    <w:pStyle w:val="VariableDefinition"/>
                    <w:tabs>
                      <w:tab w:val="clear" w:pos="2160"/>
                      <w:tab w:val="left" w:pos="2880"/>
                    </w:tabs>
                    <w:spacing w:after="60"/>
                    <w:ind w:left="0" w:firstLine="0"/>
                    <w:rPr>
                      <w:sz w:val="20"/>
                    </w:rPr>
                  </w:pPr>
                  <w:r w:rsidRPr="009C7D50">
                    <w:rPr>
                      <w:sz w:val="20"/>
                    </w:rPr>
                    <w:t>none</w:t>
                  </w:r>
                </w:p>
              </w:tc>
              <w:tc>
                <w:tcPr>
                  <w:tcW w:w="3290" w:type="pct"/>
                </w:tcPr>
                <w:p w14:paraId="0630715B" w14:textId="77777777" w:rsidR="00154FF3" w:rsidRPr="009C7D50" w:rsidRDefault="00154FF3" w:rsidP="00154FF3">
                  <w:pPr>
                    <w:pStyle w:val="VariableDefinition"/>
                    <w:tabs>
                      <w:tab w:val="clear" w:pos="2160"/>
                      <w:tab w:val="left" w:pos="2880"/>
                    </w:tabs>
                    <w:spacing w:after="60"/>
                    <w:ind w:left="0" w:firstLine="0"/>
                    <w:rPr>
                      <w:i/>
                      <w:sz w:val="20"/>
                    </w:rPr>
                  </w:pPr>
                  <w:r w:rsidRPr="009C7D50">
                    <w:rPr>
                      <w:sz w:val="20"/>
                    </w:rPr>
                    <w:t>A QSE.</w:t>
                  </w:r>
                </w:p>
              </w:tc>
            </w:tr>
          </w:tbl>
          <w:p w14:paraId="3BE42232" w14:textId="109EF06E" w:rsidR="00154FF3" w:rsidRPr="00154FF3" w:rsidRDefault="00154FF3" w:rsidP="00663874">
            <w:pPr>
              <w:pStyle w:val="H4"/>
              <w:ind w:left="720" w:hanging="720"/>
              <w:rPr>
                <w:b w:val="0"/>
              </w:rPr>
            </w:pPr>
          </w:p>
        </w:tc>
      </w:tr>
    </w:tbl>
    <w:p w14:paraId="7129E4CA" w14:textId="6A01025F" w:rsidR="00C57701" w:rsidRPr="00D82B61" w:rsidRDefault="00C57701" w:rsidP="006B72E9">
      <w:pPr>
        <w:keepNext/>
        <w:widowControl w:val="0"/>
        <w:tabs>
          <w:tab w:val="left" w:pos="1260"/>
        </w:tabs>
        <w:spacing w:before="480" w:after="240"/>
        <w:ind w:left="1267" w:hanging="1267"/>
        <w:outlineLvl w:val="3"/>
        <w:rPr>
          <w:b/>
        </w:rPr>
      </w:pPr>
      <w:bookmarkStart w:id="1954" w:name="_Toc481502895"/>
      <w:bookmarkStart w:id="1955" w:name="_Toc496080063"/>
      <w:bookmarkStart w:id="1956" w:name="_Toc189044417"/>
      <w:bookmarkStart w:id="1957" w:name="_Toc118908577"/>
      <w:bookmarkStart w:id="1958" w:name="_Toc119180748"/>
      <w:bookmarkStart w:id="1959" w:name="_Toc397505019"/>
      <w:bookmarkStart w:id="1960" w:name="_Toc402357147"/>
      <w:bookmarkStart w:id="1961" w:name="_Toc422486527"/>
      <w:bookmarkStart w:id="1962" w:name="_Toc433093380"/>
      <w:bookmarkStart w:id="1963" w:name="_Toc433093538"/>
      <w:bookmarkStart w:id="1964" w:name="_Toc440874768"/>
      <w:bookmarkStart w:id="1965" w:name="_Toc87951794"/>
      <w:bookmarkStart w:id="1966" w:name="_Toc109009400"/>
      <w:bookmarkEnd w:id="1937"/>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38"/>
      <w:r w:rsidRPr="00D82B61">
        <w:rPr>
          <w:b/>
        </w:rPr>
        <w:t>6.6.3.</w:t>
      </w:r>
      <w:r w:rsidR="00A01A2C">
        <w:rPr>
          <w:b/>
        </w:rPr>
        <w:t>6</w:t>
      </w:r>
      <w:r w:rsidRPr="00D82B61">
        <w:rPr>
          <w:b/>
        </w:rPr>
        <w:tab/>
        <w:t>Real-Time High Dispatch Limit Override Energy Payment</w:t>
      </w:r>
      <w:bookmarkEnd w:id="1954"/>
      <w:bookmarkEnd w:id="1955"/>
      <w:bookmarkEnd w:id="1956"/>
      <w:r w:rsidRPr="00D82B61">
        <w:rPr>
          <w:b/>
        </w:rPr>
        <w:t xml:space="preserve">  </w:t>
      </w:r>
    </w:p>
    <w:p w14:paraId="6F3B1F6D" w14:textId="27A6033E" w:rsidR="00C57701" w:rsidRDefault="00C57701" w:rsidP="00C57701">
      <w:pPr>
        <w:spacing w:after="240"/>
        <w:ind w:left="720" w:hanging="720"/>
        <w:rPr>
          <w:color w:val="000000"/>
        </w:rPr>
      </w:pPr>
      <w:r w:rsidRPr="00A87F21">
        <w:rPr>
          <w:color w:val="000000"/>
        </w:rPr>
        <w:t>(1)</w:t>
      </w:r>
      <w:r w:rsidRPr="00A87F21">
        <w:rPr>
          <w:color w:val="000000"/>
        </w:rPr>
        <w:tab/>
        <w:t>If ERCOT directs a reduction in a Generation Resource’s real power output by employing a manual High Dispatch Limit (HDL) override</w:t>
      </w:r>
      <w:r w:rsidR="001B1AFA">
        <w:rPr>
          <w:color w:val="000000"/>
        </w:rPr>
        <w:t>,</w:t>
      </w:r>
      <w:r w:rsidR="001B1AFA" w:rsidRPr="001B1AFA">
        <w:rPr>
          <w:color w:val="000000"/>
        </w:rPr>
        <w:t xml:space="preserve"> </w:t>
      </w:r>
      <w:r w:rsidR="001B1AFA">
        <w:rPr>
          <w:color w:val="000000"/>
        </w:rPr>
        <w:t>or issues a Verbal Dispatch Instruction (VDI) to a Generation Resource to adjust its operation to produce the same effect,</w:t>
      </w:r>
      <w:r>
        <w:rPr>
          <w:color w:val="000000"/>
        </w:rPr>
        <w:t xml:space="preserve"> and the reduction causes the QSE to suffer a demonstrable financial loss, the QSE </w:t>
      </w:r>
      <w:r>
        <w:rPr>
          <w:color w:val="000000"/>
        </w:rPr>
        <w:lastRenderedPageBreak/>
        <w:t>may be eligible for a Real-Time High Dispatch Limit Override Energy Payment, as calculated below, upon providing documented proof of that loss.  In order to qualify for this payment the QSE must:</w:t>
      </w:r>
    </w:p>
    <w:p w14:paraId="4A319727" w14:textId="77777777" w:rsidR="00C57701" w:rsidRPr="001F5A11" w:rsidRDefault="00C57701" w:rsidP="00C57701">
      <w:pPr>
        <w:spacing w:after="240"/>
        <w:ind w:left="1440" w:hanging="720"/>
      </w:pPr>
      <w:r>
        <w:t>(a)</w:t>
      </w:r>
      <w:r>
        <w:tab/>
        <w:t>H</w:t>
      </w:r>
      <w:r w:rsidRPr="001F5A11">
        <w:t xml:space="preserve">ave complied with ERCOT </w:t>
      </w:r>
      <w:r>
        <w:t>Dispatch I</w:t>
      </w:r>
      <w:r w:rsidRPr="001F5A11">
        <w:t>nstructions to reduce real power output</w:t>
      </w:r>
      <w:r>
        <w:t>;</w:t>
      </w:r>
    </w:p>
    <w:p w14:paraId="6B808510" w14:textId="33965B6D" w:rsidR="00C57701" w:rsidRPr="001F5A11" w:rsidRDefault="00C57701" w:rsidP="00C57701">
      <w:pPr>
        <w:spacing w:after="240"/>
        <w:ind w:left="1440" w:hanging="720"/>
      </w:pPr>
      <w:r>
        <w:t>(b)</w:t>
      </w:r>
      <w:r>
        <w:tab/>
        <w:t>H</w:t>
      </w:r>
      <w:r w:rsidRPr="001F5A11">
        <w:t xml:space="preserve">ave </w:t>
      </w:r>
      <w:r w:rsidR="001B1AFA">
        <w:t xml:space="preserve">either </w:t>
      </w:r>
      <w:r w:rsidRPr="001F5A11">
        <w:t xml:space="preserve">received a SCED </w:t>
      </w:r>
      <w:r>
        <w:t>B</w:t>
      </w:r>
      <w:r w:rsidRPr="001F5A11">
        <w:t>ase</w:t>
      </w:r>
      <w:r>
        <w:t xml:space="preserve"> P</w:t>
      </w:r>
      <w:r w:rsidRPr="001F5A11">
        <w:t>oint equal to the Resource</w:t>
      </w:r>
      <w:r>
        <w:t>’</w:t>
      </w:r>
      <w:r w:rsidRPr="001F5A11">
        <w:t>s HDL override</w:t>
      </w:r>
      <w:r w:rsidR="001B1AFA" w:rsidRPr="001B1AFA">
        <w:t xml:space="preserve"> </w:t>
      </w:r>
      <w:r w:rsidR="001B1AFA">
        <w:t xml:space="preserve">value or received </w:t>
      </w:r>
      <w:r w:rsidR="001B1AFA" w:rsidRPr="001F5A11">
        <w:t xml:space="preserve">a SCED </w:t>
      </w:r>
      <w:r w:rsidR="001B1AFA">
        <w:t>B</w:t>
      </w:r>
      <w:r w:rsidR="001B1AFA" w:rsidRPr="001F5A11">
        <w:t>ase</w:t>
      </w:r>
      <w:r w:rsidR="001B1AFA">
        <w:t xml:space="preserve"> P</w:t>
      </w:r>
      <w:r w:rsidR="001B1AFA" w:rsidRPr="001F5A11">
        <w:t xml:space="preserve">oint </w:t>
      </w:r>
      <w:r w:rsidR="001B1AFA">
        <w:t xml:space="preserve">less than the Resource’s output level at the time of the instruction but greater than or </w:t>
      </w:r>
      <w:r w:rsidR="001B1AFA" w:rsidRPr="001F5A11">
        <w:t xml:space="preserve">equal to the </w:t>
      </w:r>
      <w:r w:rsidR="001B1AFA">
        <w:t>instructed operating level specified in the VDI</w:t>
      </w:r>
      <w:r w:rsidRPr="001F5A11">
        <w:t>,</w:t>
      </w:r>
      <w:r>
        <w:t xml:space="preserve"> during the 15-minute Settlement Interval;</w:t>
      </w:r>
    </w:p>
    <w:p w14:paraId="3C7DA51C" w14:textId="3FD8FE34" w:rsidR="00C57701" w:rsidRPr="001F5A11" w:rsidRDefault="00C57701" w:rsidP="00C57701">
      <w:pPr>
        <w:spacing w:after="240"/>
        <w:ind w:left="1440" w:hanging="720"/>
      </w:pPr>
      <w:r>
        <w:t>(c)</w:t>
      </w:r>
      <w:r>
        <w:tab/>
        <w:t>H</w:t>
      </w:r>
      <w:r w:rsidRPr="001F5A11">
        <w:t>ave incurred a demonstrable financial loss</w:t>
      </w:r>
      <w:r>
        <w:t xml:space="preserve"> associated with variable cost components of DAM obligations or energy purchase or sale provisions of bilateral contracts (as opposed to lost opportunity costs),</w:t>
      </w:r>
      <w:r w:rsidRPr="001F5A11">
        <w:t xml:space="preserve"> in consequence of the HDL override</w:t>
      </w:r>
      <w:r w:rsidR="001B1AFA">
        <w:t xml:space="preserve"> or VDI that had an equivalent effect</w:t>
      </w:r>
      <w:r>
        <w:t>;</w:t>
      </w:r>
      <w:r w:rsidRPr="001F5A11">
        <w:t xml:space="preserve"> and</w:t>
      </w:r>
    </w:p>
    <w:p w14:paraId="3B33E509" w14:textId="77777777" w:rsidR="00C57701" w:rsidRDefault="00C57701" w:rsidP="00C57701">
      <w:pPr>
        <w:spacing w:after="240"/>
        <w:ind w:left="1440" w:hanging="720"/>
      </w:pPr>
      <w:r>
        <w:t>(d)</w:t>
      </w:r>
      <w:r>
        <w:tab/>
        <w:t>F</w:t>
      </w:r>
      <w:r w:rsidRPr="001F5A11">
        <w:t xml:space="preserve">ile a timely </w:t>
      </w:r>
      <w:r>
        <w:t xml:space="preserve">Settlement and billing </w:t>
      </w:r>
      <w:r w:rsidRPr="001F5A11">
        <w:t>dispute</w:t>
      </w:r>
      <w:r>
        <w:t>,</w:t>
      </w:r>
      <w:r w:rsidRPr="001F5A11">
        <w:t xml:space="preserve"> includ</w:t>
      </w:r>
      <w:r>
        <w:t>ing the following items:</w:t>
      </w:r>
      <w:r w:rsidRPr="001F5A11">
        <w:t xml:space="preserve"> </w:t>
      </w:r>
    </w:p>
    <w:p w14:paraId="50E65725" w14:textId="77777777" w:rsidR="00C57701" w:rsidRDefault="00C57701" w:rsidP="00C57701">
      <w:pPr>
        <w:spacing w:after="240"/>
        <w:ind w:left="2160" w:hanging="720"/>
      </w:pPr>
      <w:r>
        <w:t>(i)</w:t>
      </w:r>
      <w:r>
        <w:tab/>
        <w:t>A</w:t>
      </w:r>
      <w:r w:rsidRPr="001F5A11">
        <w:t>n attestation signed by an officer or executive</w:t>
      </w:r>
      <w:r>
        <w:t xml:space="preserve"> with authority to bind the QSE;</w:t>
      </w:r>
    </w:p>
    <w:p w14:paraId="2FAA0E38" w14:textId="77777777" w:rsidR="00C57701" w:rsidRDefault="00C57701" w:rsidP="00C57701">
      <w:pPr>
        <w:spacing w:after="240"/>
        <w:ind w:left="2160" w:hanging="720"/>
      </w:pPr>
      <w:r>
        <w:t>(ii)</w:t>
      </w:r>
      <w:r>
        <w:tab/>
        <w:t>T</w:t>
      </w:r>
      <w:r w:rsidRPr="001F5A11">
        <w:t xml:space="preserve">he dollar amount </w:t>
      </w:r>
      <w:r>
        <w:t xml:space="preserve">and calculation </w:t>
      </w:r>
      <w:r w:rsidRPr="001F5A11">
        <w:t xml:space="preserve">of the financial loss by </w:t>
      </w:r>
      <w:r>
        <w:t>S</w:t>
      </w:r>
      <w:r w:rsidRPr="001F5A11">
        <w:t xml:space="preserve">ettlement </w:t>
      </w:r>
      <w:r>
        <w:t>Interval;</w:t>
      </w:r>
    </w:p>
    <w:p w14:paraId="29F043C6" w14:textId="75419CCB" w:rsidR="00C57701" w:rsidRDefault="00C57701" w:rsidP="00C57701">
      <w:pPr>
        <w:spacing w:after="240"/>
        <w:ind w:left="2160" w:hanging="720"/>
      </w:pPr>
      <w:r>
        <w:t>(iii)</w:t>
      </w:r>
      <w:r>
        <w:tab/>
        <w:t xml:space="preserve">An </w:t>
      </w:r>
      <w:r w:rsidRPr="001F5A11">
        <w:t>expla</w:t>
      </w:r>
      <w:r>
        <w:t>nation of</w:t>
      </w:r>
      <w:r w:rsidRPr="001F5A11">
        <w:t xml:space="preserve"> the nature of the loss</w:t>
      </w:r>
      <w:r>
        <w:t xml:space="preserve"> and</w:t>
      </w:r>
      <w:r w:rsidRPr="001F5A11">
        <w:t xml:space="preserve"> how it was a</w:t>
      </w:r>
      <w:r>
        <w:t>ttributable to the HDL override</w:t>
      </w:r>
      <w:r w:rsidR="001B1AFA">
        <w:t xml:space="preserve"> or equivalent VDI issued by ERCOT</w:t>
      </w:r>
      <w:r>
        <w:t>;</w:t>
      </w:r>
      <w:r w:rsidRPr="001F5A11">
        <w:t xml:space="preserve"> and </w:t>
      </w:r>
    </w:p>
    <w:p w14:paraId="0164DD13" w14:textId="77777777" w:rsidR="00C57701" w:rsidRPr="001F5A11" w:rsidRDefault="00C57701" w:rsidP="00C57701">
      <w:pPr>
        <w:spacing w:after="240"/>
        <w:ind w:left="2160" w:hanging="720"/>
      </w:pPr>
      <w:r>
        <w:t>(iv)</w:t>
      </w:r>
      <w:r>
        <w:tab/>
        <w:t>S</w:t>
      </w:r>
      <w:r w:rsidRPr="001F5A11">
        <w:t>ufficient documentation to support the QSE’s calculation of the amount of the financial loss.</w:t>
      </w:r>
    </w:p>
    <w:p w14:paraId="1581C2B9" w14:textId="77777777" w:rsidR="00C57701" w:rsidRDefault="00C57701" w:rsidP="00C57701">
      <w:pPr>
        <w:spacing w:after="240"/>
        <w:ind w:left="720" w:hanging="720"/>
        <w:rPr>
          <w:color w:val="000000"/>
        </w:rPr>
      </w:pPr>
      <w:r w:rsidRPr="00A87F21">
        <w:rPr>
          <w:color w:val="000000"/>
        </w:rPr>
        <w:t>(</w:t>
      </w:r>
      <w:r>
        <w:rPr>
          <w:color w:val="000000"/>
        </w:rPr>
        <w:t>2</w:t>
      </w:r>
      <w:r w:rsidRPr="00A87F21">
        <w:rPr>
          <w:color w:val="000000"/>
        </w:rPr>
        <w:t>)</w:t>
      </w:r>
      <w:r w:rsidRPr="00A87F21">
        <w:rPr>
          <w:color w:val="000000"/>
        </w:rPr>
        <w:tab/>
      </w:r>
      <w:r>
        <w:rPr>
          <w:color w:val="000000"/>
        </w:rPr>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2E17FC1D" w14:textId="67969E56" w:rsidR="00C57701" w:rsidRDefault="00C57701" w:rsidP="00C57701">
      <w:pPr>
        <w:spacing w:after="240"/>
        <w:ind w:left="720" w:hanging="720"/>
        <w:rPr>
          <w:color w:val="000000"/>
        </w:rPr>
      </w:pPr>
      <w:r>
        <w:rPr>
          <w:color w:val="000000"/>
        </w:rPr>
        <w:t>(3)</w:t>
      </w:r>
      <w:r>
        <w:rPr>
          <w:color w:val="000000"/>
        </w:rPr>
        <w:tab/>
        <w:t xml:space="preserve">The Energy Offer Curve used to calculate the Real-Time High Dispatch Limit Override Energy Payment will be the most recent valid Energy Offer Curve received by ERCOT that was effective for the disputed interval(s) when the HDL override </w:t>
      </w:r>
      <w:r w:rsidR="00D92457">
        <w:rPr>
          <w:color w:val="000000"/>
        </w:rPr>
        <w:t xml:space="preserve">or equivalent VDI </w:t>
      </w:r>
      <w:r>
        <w:rPr>
          <w:color w:val="000000"/>
        </w:rPr>
        <w:t xml:space="preserve">was issued.  If no curve exists for the interval being disputed, ERCOT will use the most recent valid Energy Offer Curve received before the HDL override </w:t>
      </w:r>
      <w:r w:rsidR="00D92457">
        <w:rPr>
          <w:color w:val="000000"/>
        </w:rPr>
        <w:t xml:space="preserve">or equivalent VDI </w:t>
      </w:r>
      <w:r>
        <w:rPr>
          <w:color w:val="000000"/>
        </w:rPr>
        <w:t>was issued for an interval prior to the disputed interval(s).</w:t>
      </w:r>
    </w:p>
    <w:p w14:paraId="692FBFC2" w14:textId="77777777" w:rsidR="00C57701" w:rsidRPr="00A87F21" w:rsidRDefault="00C57701" w:rsidP="00A27C4B">
      <w:pPr>
        <w:spacing w:after="240"/>
        <w:ind w:left="720"/>
        <w:rPr>
          <w:color w:val="000000"/>
        </w:rPr>
      </w:pPr>
      <w:r w:rsidRPr="00A87F21">
        <w:rPr>
          <w:color w:val="000000"/>
        </w:rPr>
        <w:t xml:space="preserve">The payment shall be calculated as follows:  </w:t>
      </w:r>
    </w:p>
    <w:p w14:paraId="67DC6827" w14:textId="613011F2" w:rsidR="00C57701" w:rsidRPr="00050961" w:rsidRDefault="00C57701" w:rsidP="000D7680">
      <w:pPr>
        <w:tabs>
          <w:tab w:val="left" w:pos="1440"/>
          <w:tab w:val="left" w:pos="2340"/>
        </w:tabs>
        <w:spacing w:after="240"/>
        <w:ind w:left="3420" w:hanging="2700"/>
        <w:jc w:val="both"/>
        <w:rPr>
          <w:b/>
          <w:bCs/>
          <w:lang w:val="pt-BR"/>
        </w:rPr>
      </w:pPr>
      <w:r w:rsidRPr="00050961">
        <w:rPr>
          <w:b/>
          <w:bCs/>
          <w:lang w:val="pt-BR"/>
        </w:rPr>
        <w:t xml:space="preserve">HDLOEAMT </w:t>
      </w:r>
      <w:r w:rsidRPr="00050961">
        <w:rPr>
          <w:b/>
          <w:bCs/>
          <w:i/>
          <w:vertAlign w:val="subscript"/>
          <w:lang w:val="es-ES"/>
        </w:rPr>
        <w:t xml:space="preserve">q, r, p, i </w:t>
      </w:r>
      <w:r w:rsidRPr="00050961">
        <w:rPr>
          <w:b/>
          <w:bCs/>
          <w:lang w:val="pt-BR"/>
        </w:rPr>
        <w:t xml:space="preserve">=  </w:t>
      </w:r>
      <w:r w:rsidRPr="00050961">
        <w:rPr>
          <w:b/>
          <w:bCs/>
        </w:rPr>
        <w:t>(-1) * Min {HDLOAL</w:t>
      </w:r>
      <w:r w:rsidRPr="00050961">
        <w:rPr>
          <w:b/>
          <w:bCs/>
          <w:i/>
          <w:vertAlign w:val="subscript"/>
          <w:lang w:val="pt-BR"/>
        </w:rPr>
        <w:t xml:space="preserve"> q, r, p, i</w:t>
      </w:r>
      <w:r w:rsidRPr="00A27C4B">
        <w:rPr>
          <w:b/>
          <w:bCs/>
          <w:i/>
          <w:iCs/>
          <w:vertAlign w:val="subscript"/>
        </w:rPr>
        <w:t>,</w:t>
      </w:r>
      <w:r w:rsidRPr="00050961">
        <w:rPr>
          <w:b/>
          <w:bCs/>
        </w:rPr>
        <w:t xml:space="preserve"> Max(0, ((RTSPP</w:t>
      </w:r>
      <w:r w:rsidR="002E3DBC">
        <w:rPr>
          <w:b/>
          <w:bCs/>
        </w:rPr>
        <w:t xml:space="preserve"> </w:t>
      </w:r>
      <w:r w:rsidRPr="00050961">
        <w:rPr>
          <w:b/>
          <w:bCs/>
          <w:i/>
          <w:vertAlign w:val="subscript"/>
        </w:rPr>
        <w:t>p, i</w:t>
      </w:r>
      <w:r w:rsidRPr="00050961">
        <w:rPr>
          <w:b/>
          <w:bCs/>
          <w:lang w:val="pt-BR"/>
        </w:rPr>
        <w:t xml:space="preserve"> – </w:t>
      </w:r>
      <w:r w:rsidRPr="00050961">
        <w:rPr>
          <w:b/>
          <w:bCs/>
        </w:rPr>
        <w:t>RTRSVPOR</w:t>
      </w:r>
      <w:r w:rsidRPr="00050961">
        <w:rPr>
          <w:b/>
          <w:bCs/>
          <w:i/>
          <w:vertAlign w:val="subscript"/>
        </w:rPr>
        <w:t xml:space="preserve"> i</w:t>
      </w:r>
      <w:r w:rsidRPr="00050961">
        <w:rPr>
          <w:b/>
          <w:bCs/>
        </w:rPr>
        <w:t xml:space="preserve"> </w:t>
      </w:r>
      <w:r w:rsidRPr="00050961">
        <w:rPr>
          <w:b/>
          <w:bCs/>
          <w:lang w:val="pt-BR"/>
        </w:rPr>
        <w:t xml:space="preserve">– </w:t>
      </w:r>
      <w:r w:rsidRPr="00050961">
        <w:rPr>
          <w:b/>
          <w:bCs/>
        </w:rPr>
        <w:t>RTRDP</w:t>
      </w:r>
      <w:r w:rsidRPr="00050961">
        <w:rPr>
          <w:b/>
          <w:bCs/>
          <w:i/>
          <w:vertAlign w:val="subscript"/>
        </w:rPr>
        <w:t xml:space="preserve"> i</w:t>
      </w:r>
      <w:r w:rsidRPr="00050961">
        <w:rPr>
          <w:b/>
          <w:bCs/>
          <w:lang w:val="pt-BR"/>
        </w:rPr>
        <w:t xml:space="preserve"> – </w:t>
      </w:r>
      <w:r w:rsidR="005911C2" w:rsidRPr="009716C5">
        <w:rPr>
          <w:b/>
          <w:bCs/>
          <w:lang w:val="pt-BR"/>
        </w:rPr>
        <w:t>RTEOCOST</w:t>
      </w:r>
      <w:r w:rsidR="005911C2">
        <w:rPr>
          <w:b/>
          <w:bCs/>
          <w:lang w:val="pt-BR"/>
        </w:rPr>
        <w:t xml:space="preserve"> </w:t>
      </w:r>
      <w:r w:rsidR="005911C2" w:rsidRPr="009716C5">
        <w:rPr>
          <w:b/>
          <w:bCs/>
          <w:i/>
          <w:vertAlign w:val="subscript"/>
          <w:lang w:val="pt-BR"/>
        </w:rPr>
        <w:t>q, r, i</w:t>
      </w:r>
      <w:r w:rsidRPr="00050961">
        <w:rPr>
          <w:b/>
          <w:bCs/>
          <w:lang w:val="pt-BR"/>
        </w:rPr>
        <w:t>) * HDLOQTY</w:t>
      </w:r>
      <w:r w:rsidRPr="00050961">
        <w:rPr>
          <w:b/>
          <w:bCs/>
          <w:i/>
          <w:vertAlign w:val="subscript"/>
        </w:rPr>
        <w:t xml:space="preserve"> q, r, p, i</w:t>
      </w:r>
      <w:r w:rsidRPr="00050961">
        <w:rPr>
          <w:b/>
          <w:bCs/>
          <w:lang w:val="pt-BR"/>
        </w:rPr>
        <w:t>))}</w:t>
      </w:r>
    </w:p>
    <w:p w14:paraId="0D948D44" w14:textId="77777777" w:rsidR="00C57701" w:rsidRPr="00A87F21" w:rsidRDefault="00C57701" w:rsidP="00FB599C">
      <w:pPr>
        <w:tabs>
          <w:tab w:val="left" w:pos="1440"/>
          <w:tab w:val="left" w:pos="2340"/>
        </w:tabs>
        <w:spacing w:after="240"/>
        <w:ind w:left="3420" w:hanging="2700"/>
        <w:jc w:val="both"/>
        <w:rPr>
          <w:bCs/>
          <w:lang w:val="pt-BR"/>
        </w:rPr>
      </w:pPr>
      <w:r w:rsidRPr="00A87F21">
        <w:rPr>
          <w:bCs/>
          <w:lang w:val="pt-BR"/>
        </w:rPr>
        <w:lastRenderedPageBreak/>
        <w:t>Where:</w:t>
      </w:r>
    </w:p>
    <w:p w14:paraId="16FC2F2A" w14:textId="77777777" w:rsidR="00C57701" w:rsidRPr="00A87F21" w:rsidRDefault="00C57701" w:rsidP="00C57701">
      <w:pPr>
        <w:spacing w:after="240"/>
        <w:ind w:firstLine="720"/>
        <w:rPr>
          <w:b/>
          <w:iCs/>
          <w:lang w:val="pt-BR"/>
        </w:rPr>
      </w:pPr>
      <w:r>
        <w:rPr>
          <w:iCs/>
          <w:lang w:val="pt-BR"/>
        </w:rPr>
        <w:t>HDLO</w:t>
      </w:r>
      <w:r w:rsidRPr="00A87F21">
        <w:rPr>
          <w:iCs/>
          <w:lang w:val="pt-BR"/>
        </w:rPr>
        <w:t>QTY</w:t>
      </w:r>
      <w:r w:rsidRPr="00A87F21">
        <w:rPr>
          <w:i/>
          <w:iCs/>
          <w:vertAlign w:val="subscript"/>
        </w:rPr>
        <w:t xml:space="preserve"> q, r, p, i</w:t>
      </w:r>
      <w:r w:rsidRPr="00A87F21">
        <w:rPr>
          <w:iCs/>
          <w:lang w:val="pt-BR"/>
        </w:rPr>
        <w:t xml:space="preserve">       =  Max(0, (¼ (</w:t>
      </w:r>
      <w:r>
        <w:rPr>
          <w:iCs/>
          <w:lang w:val="pt-BR"/>
        </w:rPr>
        <w:t>HDLO</w:t>
      </w:r>
      <w:r w:rsidRPr="00A87F21">
        <w:rPr>
          <w:iCs/>
        </w:rPr>
        <w:t>BRKP</w:t>
      </w:r>
      <w:r w:rsidRPr="00A87F21">
        <w:rPr>
          <w:i/>
          <w:iCs/>
          <w:vertAlign w:val="subscript"/>
        </w:rPr>
        <w:t xml:space="preserve"> q, r, p, i</w:t>
      </w:r>
      <w:r w:rsidRPr="00A87F21">
        <w:rPr>
          <w:iCs/>
          <w:lang w:val="pt-BR"/>
        </w:rPr>
        <w:t xml:space="preserve"> – </w:t>
      </w:r>
      <w:r w:rsidRPr="00A87F21">
        <w:rPr>
          <w:iCs/>
        </w:rPr>
        <w:t xml:space="preserve">AVGHDL </w:t>
      </w:r>
      <w:r w:rsidRPr="00A87F21">
        <w:rPr>
          <w:i/>
          <w:iCs/>
          <w:vertAlign w:val="subscript"/>
          <w:lang w:val="es-ES"/>
        </w:rPr>
        <w:t>q, r, p, i</w:t>
      </w:r>
      <w:r w:rsidRPr="00A87F21">
        <w:rPr>
          <w:iCs/>
          <w:lang w:val="pt-BR"/>
        </w:rPr>
        <w:t>)))</w:t>
      </w:r>
    </w:p>
    <w:p w14:paraId="63AA2058" w14:textId="41FE0FC0" w:rsidR="00C57701" w:rsidRPr="00A87F21" w:rsidRDefault="00C57701" w:rsidP="00C57701">
      <w:pPr>
        <w:tabs>
          <w:tab w:val="left" w:pos="1440"/>
          <w:tab w:val="left" w:pos="2340"/>
        </w:tabs>
        <w:spacing w:after="240"/>
        <w:ind w:left="3420" w:hanging="2700"/>
        <w:jc w:val="both"/>
        <w:rPr>
          <w:bCs/>
        </w:rPr>
      </w:pPr>
      <w:r>
        <w:rPr>
          <w:bCs/>
        </w:rPr>
        <w:t>HDLO</w:t>
      </w:r>
      <w:r w:rsidRPr="00A87F21">
        <w:rPr>
          <w:bCs/>
        </w:rPr>
        <w:t>BRKP</w:t>
      </w:r>
      <w:r w:rsidRPr="00A87F21" w:rsidDel="002F4FD3">
        <w:rPr>
          <w:bCs/>
          <w:lang w:val="pt-BR"/>
        </w:rPr>
        <w:t xml:space="preserve"> </w:t>
      </w:r>
      <w:r w:rsidRPr="00A87F21">
        <w:rPr>
          <w:bCs/>
          <w:i/>
          <w:vertAlign w:val="subscript"/>
          <w:lang w:val="es-ES"/>
        </w:rPr>
        <w:t xml:space="preserve">q, r, p, i </w:t>
      </w:r>
      <w:r w:rsidRPr="00A87F21">
        <w:rPr>
          <w:bCs/>
          <w:vertAlign w:val="subscript"/>
          <w:lang w:val="es-MX"/>
        </w:rPr>
        <w:t xml:space="preserve">     </w:t>
      </w:r>
      <w:r w:rsidRPr="00A87F21">
        <w:rPr>
          <w:bCs/>
        </w:rPr>
        <w:t>=  Min(AVGHASL</w:t>
      </w:r>
      <w:r w:rsidRPr="00A87F21">
        <w:rPr>
          <w:bCs/>
          <w:lang w:val="es-MX"/>
        </w:rPr>
        <w:t xml:space="preserve"> </w:t>
      </w:r>
      <w:r w:rsidRPr="00A87F21">
        <w:rPr>
          <w:bCs/>
          <w:i/>
          <w:vertAlign w:val="subscript"/>
          <w:lang w:val="es-ES"/>
        </w:rPr>
        <w:t>q, r, p, i</w:t>
      </w:r>
      <w:r w:rsidRPr="00A87F21">
        <w:rPr>
          <w:bCs/>
        </w:rPr>
        <w:t xml:space="preserve">, </w:t>
      </w:r>
      <w:r>
        <w:rPr>
          <w:bCs/>
        </w:rPr>
        <w:t>HDLO</w:t>
      </w:r>
      <w:r w:rsidRPr="00A87F21">
        <w:rPr>
          <w:bCs/>
        </w:rPr>
        <w:t>BRKPCP</w:t>
      </w:r>
      <w:r w:rsidRPr="00A87F21">
        <w:rPr>
          <w:bCs/>
          <w:lang w:val="es-MX"/>
        </w:rPr>
        <w:t xml:space="preserve"> </w:t>
      </w:r>
      <w:r w:rsidRPr="00A87F21">
        <w:rPr>
          <w:bCs/>
          <w:i/>
          <w:vertAlign w:val="subscript"/>
          <w:lang w:val="es-ES"/>
        </w:rPr>
        <w:t>q, r, p, i</w:t>
      </w:r>
      <w:r w:rsidRPr="00A87F21">
        <w:rPr>
          <w:bCs/>
        </w:rPr>
        <w:t>)</w:t>
      </w:r>
    </w:p>
    <w:p w14:paraId="10A7B1C1"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840"/>
        <w:gridCol w:w="6953"/>
      </w:tblGrid>
      <w:tr w:rsidR="00C57701" w:rsidRPr="00A87F21" w14:paraId="768166CE" w14:textId="77777777" w:rsidTr="00806724">
        <w:trPr>
          <w:cantSplit/>
          <w:trHeight w:val="146"/>
          <w:tblHeader/>
        </w:trPr>
        <w:tc>
          <w:tcPr>
            <w:tcW w:w="833" w:type="pct"/>
          </w:tcPr>
          <w:p w14:paraId="0C5AEE2A" w14:textId="77777777" w:rsidR="00C57701" w:rsidRPr="00A87F21" w:rsidRDefault="00C57701" w:rsidP="00EC4D68">
            <w:pPr>
              <w:spacing w:after="240"/>
              <w:rPr>
                <w:b/>
                <w:iCs/>
                <w:sz w:val="20"/>
              </w:rPr>
            </w:pPr>
            <w:r w:rsidRPr="00A87F21">
              <w:rPr>
                <w:b/>
                <w:iCs/>
                <w:sz w:val="20"/>
              </w:rPr>
              <w:t>Variable</w:t>
            </w:r>
          </w:p>
        </w:tc>
        <w:tc>
          <w:tcPr>
            <w:tcW w:w="449" w:type="pct"/>
          </w:tcPr>
          <w:p w14:paraId="176F8BD0" w14:textId="77777777" w:rsidR="00C57701" w:rsidRPr="00A87F21" w:rsidRDefault="00C57701" w:rsidP="00EC4D68">
            <w:pPr>
              <w:spacing w:after="240"/>
              <w:rPr>
                <w:b/>
                <w:iCs/>
                <w:sz w:val="20"/>
              </w:rPr>
            </w:pPr>
            <w:r w:rsidRPr="00A87F21">
              <w:rPr>
                <w:b/>
                <w:iCs/>
                <w:sz w:val="20"/>
              </w:rPr>
              <w:t>Unit</w:t>
            </w:r>
          </w:p>
        </w:tc>
        <w:tc>
          <w:tcPr>
            <w:tcW w:w="3718" w:type="pct"/>
          </w:tcPr>
          <w:p w14:paraId="2D537A23" w14:textId="77777777" w:rsidR="00C57701" w:rsidRPr="00A87F21" w:rsidRDefault="00C57701" w:rsidP="00EC4D68">
            <w:pPr>
              <w:spacing w:after="240"/>
              <w:rPr>
                <w:b/>
                <w:iCs/>
                <w:sz w:val="20"/>
              </w:rPr>
            </w:pPr>
            <w:r w:rsidRPr="00A87F21">
              <w:rPr>
                <w:b/>
                <w:iCs/>
                <w:sz w:val="20"/>
              </w:rPr>
              <w:t>Definition</w:t>
            </w:r>
          </w:p>
        </w:tc>
      </w:tr>
      <w:tr w:rsidR="00C57701" w:rsidRPr="00A87F21" w14:paraId="0F315E2E" w14:textId="77777777" w:rsidTr="00806724">
        <w:trPr>
          <w:cantSplit/>
          <w:trHeight w:val="146"/>
        </w:trPr>
        <w:tc>
          <w:tcPr>
            <w:tcW w:w="833" w:type="pct"/>
          </w:tcPr>
          <w:p w14:paraId="5D51E1B9" w14:textId="77777777" w:rsidR="00C57701" w:rsidRPr="00A87F21" w:rsidDel="00510368" w:rsidRDefault="00C57701" w:rsidP="00EC4D68">
            <w:pPr>
              <w:spacing w:after="60"/>
              <w:rPr>
                <w:iCs/>
                <w:sz w:val="20"/>
              </w:rPr>
            </w:pPr>
            <w:r w:rsidRPr="00AA2F5C">
              <w:rPr>
                <w:bCs/>
                <w:sz w:val="20"/>
              </w:rPr>
              <w:t>HDLOAL</w:t>
            </w:r>
            <w:r w:rsidRPr="00A87F21">
              <w:rPr>
                <w:b/>
                <w:i/>
                <w:iCs/>
                <w:sz w:val="20"/>
                <w:vertAlign w:val="subscript"/>
                <w:lang w:val="es-ES"/>
              </w:rPr>
              <w:t xml:space="preserve"> q, r, p, i</w:t>
            </w:r>
          </w:p>
        </w:tc>
        <w:tc>
          <w:tcPr>
            <w:tcW w:w="449" w:type="pct"/>
          </w:tcPr>
          <w:p w14:paraId="294D5DD6" w14:textId="77777777" w:rsidR="00C57701" w:rsidRPr="00A87F21" w:rsidRDefault="00C57701" w:rsidP="00EC4D68">
            <w:pPr>
              <w:spacing w:after="60"/>
              <w:rPr>
                <w:iCs/>
                <w:sz w:val="20"/>
              </w:rPr>
            </w:pPr>
            <w:r>
              <w:rPr>
                <w:iCs/>
                <w:sz w:val="20"/>
              </w:rPr>
              <w:t>$</w:t>
            </w:r>
          </w:p>
        </w:tc>
        <w:tc>
          <w:tcPr>
            <w:tcW w:w="3718" w:type="pct"/>
          </w:tcPr>
          <w:p w14:paraId="1815963D" w14:textId="232077F1" w:rsidR="00C57701" w:rsidRPr="00A87F21" w:rsidDel="0058447D" w:rsidRDefault="00C57701" w:rsidP="00EC4D68">
            <w:pPr>
              <w:spacing w:after="60"/>
              <w:rPr>
                <w:i/>
                <w:iCs/>
                <w:sz w:val="20"/>
              </w:rPr>
            </w:pPr>
            <w:r>
              <w:rPr>
                <w:i/>
                <w:iCs/>
                <w:sz w:val="20"/>
              </w:rPr>
              <w:t>High Dispatch Limit override attested losses</w:t>
            </w:r>
            <w:r w:rsidR="00683A03" w:rsidRPr="00A87F21">
              <w:rPr>
                <w:iCs/>
                <w:sz w:val="20"/>
              </w:rPr>
              <w:t>—</w:t>
            </w:r>
            <w:r w:rsidRPr="00AA2F5C">
              <w:rPr>
                <w:iCs/>
                <w:sz w:val="20"/>
              </w:rPr>
              <w:t xml:space="preserve">The financial loss to the QSE due to the </w:t>
            </w:r>
            <w:r>
              <w:rPr>
                <w:iCs/>
                <w:sz w:val="20"/>
              </w:rPr>
              <w:t>HDL</w:t>
            </w:r>
            <w:r w:rsidRPr="00AA2F5C">
              <w:rPr>
                <w:iCs/>
                <w:sz w:val="20"/>
              </w:rPr>
              <w:t xml:space="preserve"> override as attested by the QSE </w:t>
            </w:r>
            <w:r>
              <w:rPr>
                <w:iCs/>
                <w:sz w:val="20"/>
              </w:rPr>
              <w:t>in accordance with paragraph (1)(d) above</w:t>
            </w:r>
            <w:r w:rsidRPr="00AA2F5C">
              <w:rPr>
                <w:iCs/>
                <w:sz w:val="20"/>
              </w:rPr>
              <w:t>.</w:t>
            </w:r>
          </w:p>
        </w:tc>
      </w:tr>
      <w:tr w:rsidR="00C57701" w:rsidRPr="00A87F21" w14:paraId="229295B6" w14:textId="77777777" w:rsidTr="00806724">
        <w:trPr>
          <w:cantSplit/>
          <w:trHeight w:val="146"/>
        </w:trPr>
        <w:tc>
          <w:tcPr>
            <w:tcW w:w="833" w:type="pct"/>
          </w:tcPr>
          <w:p w14:paraId="73F6D124"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b/>
                <w:i/>
                <w:iCs/>
                <w:sz w:val="20"/>
                <w:vertAlign w:val="subscript"/>
                <w:lang w:val="es-ES"/>
              </w:rPr>
              <w:t>q, r, p, i</w:t>
            </w:r>
          </w:p>
        </w:tc>
        <w:tc>
          <w:tcPr>
            <w:tcW w:w="449" w:type="pct"/>
          </w:tcPr>
          <w:p w14:paraId="5EC24863" w14:textId="77777777" w:rsidR="00C57701" w:rsidRPr="00A87F21" w:rsidRDefault="00C57701" w:rsidP="00EC4D68">
            <w:pPr>
              <w:spacing w:after="60"/>
              <w:rPr>
                <w:iCs/>
                <w:sz w:val="20"/>
              </w:rPr>
            </w:pPr>
            <w:r w:rsidRPr="00A87F21">
              <w:rPr>
                <w:iCs/>
                <w:sz w:val="20"/>
              </w:rPr>
              <w:t>$</w:t>
            </w:r>
          </w:p>
        </w:tc>
        <w:tc>
          <w:tcPr>
            <w:tcW w:w="3718" w:type="pct"/>
          </w:tcPr>
          <w:p w14:paraId="5E5FF6F9" w14:textId="73056B2D"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w:t>
            </w:r>
            <w:r>
              <w:rPr>
                <w:iCs/>
                <w:sz w:val="20"/>
              </w:rPr>
              <w:t>HDL</w:t>
            </w:r>
            <w:r w:rsidRPr="00A87F21">
              <w:rPr>
                <w:iCs/>
                <w:sz w:val="20"/>
              </w:rPr>
              <w:t xml:space="preserve"> override </w:t>
            </w:r>
            <w:r w:rsidR="00D92457">
              <w:rPr>
                <w:iCs/>
                <w:sz w:val="20"/>
              </w:rPr>
              <w:t xml:space="preserve">or equivalent VDI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for the 15-minute Settlement Interval</w:t>
            </w:r>
            <w:r>
              <w:rPr>
                <w:iCs/>
                <w:sz w:val="20"/>
              </w:rPr>
              <w:t xml:space="preserve"> </w:t>
            </w:r>
            <w:r w:rsidRPr="00AA2F5C">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40C2BFDF" w14:textId="77777777" w:rsidTr="00806724">
        <w:trPr>
          <w:cantSplit/>
          <w:trHeight w:val="146"/>
        </w:trPr>
        <w:tc>
          <w:tcPr>
            <w:tcW w:w="833" w:type="pct"/>
          </w:tcPr>
          <w:p w14:paraId="6C862621" w14:textId="2FA623B5" w:rsidR="00C57701" w:rsidRPr="00A87F21" w:rsidRDefault="00C57701" w:rsidP="00EC4D68">
            <w:pPr>
              <w:spacing w:after="60"/>
              <w:rPr>
                <w:iCs/>
                <w:sz w:val="20"/>
              </w:rPr>
            </w:pPr>
            <w:r>
              <w:rPr>
                <w:iCs/>
                <w:sz w:val="20"/>
              </w:rPr>
              <w:t>HDLO</w:t>
            </w:r>
            <w:r w:rsidRPr="00A87F21">
              <w:rPr>
                <w:iCs/>
                <w:sz w:val="20"/>
              </w:rPr>
              <w:t>BRKP</w:t>
            </w:r>
            <w:r w:rsidR="002E3DBC">
              <w:rPr>
                <w:iCs/>
                <w:sz w:val="20"/>
              </w:rPr>
              <w:t xml:space="preserve"> </w:t>
            </w:r>
            <w:r w:rsidRPr="00A87F21">
              <w:rPr>
                <w:b/>
                <w:i/>
                <w:iCs/>
                <w:sz w:val="20"/>
                <w:vertAlign w:val="subscript"/>
                <w:lang w:val="es-ES"/>
              </w:rPr>
              <w:t>q, r, p, i</w:t>
            </w:r>
          </w:p>
        </w:tc>
        <w:tc>
          <w:tcPr>
            <w:tcW w:w="449" w:type="pct"/>
          </w:tcPr>
          <w:p w14:paraId="7171B6F9" w14:textId="77777777" w:rsidR="00C57701" w:rsidRPr="00A87F21" w:rsidRDefault="00C57701" w:rsidP="00EC4D68">
            <w:pPr>
              <w:spacing w:after="60"/>
              <w:rPr>
                <w:iCs/>
                <w:sz w:val="20"/>
              </w:rPr>
            </w:pPr>
            <w:r w:rsidRPr="00A87F21">
              <w:rPr>
                <w:iCs/>
                <w:sz w:val="20"/>
              </w:rPr>
              <w:t>MW</w:t>
            </w:r>
          </w:p>
        </w:tc>
        <w:tc>
          <w:tcPr>
            <w:tcW w:w="3718" w:type="pct"/>
          </w:tcPr>
          <w:p w14:paraId="32855961" w14:textId="77777777" w:rsidR="00C57701" w:rsidRPr="00A87F21" w:rsidRDefault="00C57701" w:rsidP="00EC4D68">
            <w:pPr>
              <w:spacing w:after="60"/>
              <w:rPr>
                <w:i/>
                <w:iCs/>
                <w:sz w:val="20"/>
              </w:rPr>
            </w:pPr>
            <w:r>
              <w:rPr>
                <w:i/>
                <w:iCs/>
                <w:sz w:val="20"/>
              </w:rPr>
              <w:t>High Dispatch Limit override</w:t>
            </w:r>
            <w:r w:rsidRPr="00A87F21">
              <w:rPr>
                <w:i/>
                <w:iCs/>
                <w:sz w:val="20"/>
              </w:rPr>
              <w:t xml:space="preserve"> break point per QSE per Resource</w:t>
            </w:r>
            <w:r w:rsidRPr="00A87F21">
              <w:rPr>
                <w:iCs/>
                <w:sz w:val="20"/>
              </w:rPr>
              <w:t xml:space="preserve">—The point on the Energy Offer Curve corresponding to the lesser of the AVGHASL or the interception between the RTSPP of the Generation Resource </w:t>
            </w:r>
            <w:r w:rsidRPr="00050961">
              <w:rPr>
                <w:i/>
                <w:iCs/>
                <w:sz w:val="20"/>
              </w:rPr>
              <w:t>r</w:t>
            </w:r>
            <w:r w:rsidRPr="00A87F21">
              <w:rPr>
                <w:iCs/>
                <w:sz w:val="20"/>
              </w:rPr>
              <w:t xml:space="preserve"> represented by QSE </w:t>
            </w:r>
            <w:r w:rsidRPr="00A87F21">
              <w:rPr>
                <w:i/>
                <w:iCs/>
                <w:sz w:val="20"/>
              </w:rPr>
              <w:t>q</w:t>
            </w:r>
            <w:r w:rsidRPr="00A87F21">
              <w:rPr>
                <w:iCs/>
                <w:sz w:val="20"/>
              </w:rPr>
              <w:t xml:space="preserve"> minus the Real-Time Reserve Price for On-Line Reserves and the Real-Time On-Line Reliability Deployment Price and the Energy Offer Curve of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75342166" w14:textId="77777777" w:rsidTr="00806724">
        <w:trPr>
          <w:cantSplit/>
          <w:trHeight w:val="146"/>
        </w:trPr>
        <w:tc>
          <w:tcPr>
            <w:tcW w:w="833" w:type="pct"/>
          </w:tcPr>
          <w:p w14:paraId="0A479B7E" w14:textId="1138DED3" w:rsidR="00C57701" w:rsidRPr="00A87F21" w:rsidRDefault="00C57701" w:rsidP="00EC4D68">
            <w:pPr>
              <w:spacing w:after="60"/>
              <w:rPr>
                <w:iCs/>
                <w:sz w:val="20"/>
              </w:rPr>
            </w:pPr>
            <w:r w:rsidRPr="00A87F21">
              <w:rPr>
                <w:iCs/>
                <w:sz w:val="20"/>
              </w:rPr>
              <w:t>AVGHDL</w:t>
            </w:r>
            <w:r w:rsidR="00176A26">
              <w:rPr>
                <w:iCs/>
                <w:sz w:val="20"/>
              </w:rPr>
              <w:t xml:space="preserve"> </w:t>
            </w:r>
            <w:r w:rsidRPr="00A87F21">
              <w:rPr>
                <w:b/>
                <w:i/>
                <w:iCs/>
                <w:sz w:val="20"/>
                <w:vertAlign w:val="subscript"/>
                <w:lang w:val="es-ES"/>
              </w:rPr>
              <w:t>q, r, p, i</w:t>
            </w:r>
          </w:p>
        </w:tc>
        <w:tc>
          <w:tcPr>
            <w:tcW w:w="449" w:type="pct"/>
          </w:tcPr>
          <w:p w14:paraId="7824DD34" w14:textId="77777777" w:rsidR="00C57701" w:rsidRPr="00A87F21" w:rsidRDefault="00C57701" w:rsidP="00EC4D68">
            <w:pPr>
              <w:spacing w:after="60"/>
              <w:rPr>
                <w:iCs/>
                <w:sz w:val="20"/>
              </w:rPr>
            </w:pPr>
            <w:r w:rsidRPr="00A87F21">
              <w:rPr>
                <w:iCs/>
                <w:sz w:val="20"/>
              </w:rPr>
              <w:t>MW</w:t>
            </w:r>
          </w:p>
        </w:tc>
        <w:tc>
          <w:tcPr>
            <w:tcW w:w="3718" w:type="pct"/>
          </w:tcPr>
          <w:p w14:paraId="39470914" w14:textId="0F6E9BD2" w:rsidR="00C57701" w:rsidRPr="00A87F21" w:rsidRDefault="00C57701" w:rsidP="00EC4D68">
            <w:pPr>
              <w:rPr>
                <w:color w:val="002060"/>
                <w:sz w:val="20"/>
              </w:rPr>
            </w:pPr>
            <w:r w:rsidRPr="00A87F21">
              <w:rPr>
                <w:i/>
                <w:iCs/>
                <w:color w:val="000000"/>
                <w:sz w:val="20"/>
              </w:rPr>
              <w:t>Average High Dispatch Limit per QSE per Settlement Point per Resource</w:t>
            </w:r>
            <w:r w:rsidRPr="00A87F21">
              <w:rPr>
                <w:color w:val="000000"/>
                <w:sz w:val="20"/>
              </w:rPr>
              <w:t xml:space="preserve">—The time-weighted average of all 4-second </w:t>
            </w:r>
            <w:r>
              <w:rPr>
                <w:color w:val="000000"/>
                <w:sz w:val="20"/>
              </w:rPr>
              <w:t>HDL</w:t>
            </w:r>
            <w:r w:rsidRPr="00A87F21">
              <w:rPr>
                <w:color w:val="000000"/>
                <w:sz w:val="20"/>
              </w:rPr>
              <w:t xml:space="preserve"> values calculated by the Resource Limit Calculato</w:t>
            </w:r>
            <w:r w:rsidRPr="00A87F21">
              <w:rPr>
                <w:sz w:val="20"/>
              </w:rPr>
              <w:t xml:space="preserve">r, subject to the </w:t>
            </w:r>
            <w:r w:rsidR="00D92457">
              <w:rPr>
                <w:sz w:val="20"/>
              </w:rPr>
              <w:t xml:space="preserve">maximum of the </w:t>
            </w:r>
            <w:r w:rsidRPr="00A87F21">
              <w:rPr>
                <w:sz w:val="20"/>
              </w:rPr>
              <w:t>manual HDL override</w:t>
            </w:r>
            <w:r w:rsidR="00D92457">
              <w:rPr>
                <w:sz w:val="20"/>
              </w:rPr>
              <w:t xml:space="preserve"> or equivalent VDI and the telemetered output or consumption</w:t>
            </w:r>
            <w:r w:rsidRPr="00A87F21">
              <w:rPr>
                <w:sz w:val="20"/>
              </w:rPr>
              <w:t xml:space="preserve">, for </w:t>
            </w:r>
            <w:r w:rsidRPr="00A87F21">
              <w:rPr>
                <w:color w:val="000000"/>
                <w:sz w:val="20"/>
              </w:rPr>
              <w:t xml:space="preserve">the Generation Resource or </w:t>
            </w:r>
            <w:r w:rsidR="00F144CE">
              <w:rPr>
                <w:color w:val="000000"/>
                <w:sz w:val="20"/>
              </w:rPr>
              <w:t>CLR</w:t>
            </w:r>
            <w:r w:rsidRPr="00A87F21">
              <w:rPr>
                <w:color w:val="000000"/>
                <w:sz w:val="20"/>
              </w:rPr>
              <w:t xml:space="preserve"> </w:t>
            </w:r>
            <w:r w:rsidRPr="00A87F21">
              <w:rPr>
                <w:i/>
                <w:iCs/>
                <w:color w:val="000000"/>
                <w:sz w:val="20"/>
              </w:rPr>
              <w:t>r</w:t>
            </w:r>
            <w:r w:rsidRPr="00A87F21">
              <w:rPr>
                <w:color w:val="000000"/>
                <w:sz w:val="20"/>
              </w:rPr>
              <w:t xml:space="preserve"> represented by QSE </w:t>
            </w:r>
            <w:r w:rsidRPr="00A87F21">
              <w:rPr>
                <w:i/>
                <w:iCs/>
                <w:color w:val="000000"/>
                <w:sz w:val="20"/>
              </w:rPr>
              <w:t>q</w:t>
            </w:r>
            <w:r w:rsidRPr="00A87F21">
              <w:rPr>
                <w:color w:val="000000"/>
                <w:sz w:val="20"/>
              </w:rPr>
              <w:t xml:space="preserve"> at Settlement Point </w:t>
            </w:r>
            <w:r w:rsidRPr="00A87F21">
              <w:rPr>
                <w:i/>
                <w:iCs/>
                <w:color w:val="000000"/>
                <w:sz w:val="20"/>
              </w:rPr>
              <w:t>p</w:t>
            </w:r>
            <w:r w:rsidRPr="00A87F21">
              <w:rPr>
                <w:color w:val="000000"/>
                <w:sz w:val="20"/>
              </w:rPr>
              <w:t xml:space="preserve"> within the 15-minute Settlement Interval </w:t>
            </w:r>
            <w:r w:rsidRPr="00A87F21">
              <w:rPr>
                <w:i/>
                <w:iCs/>
                <w:color w:val="000000"/>
                <w:sz w:val="20"/>
              </w:rPr>
              <w:t>i</w:t>
            </w:r>
            <w:r w:rsidRPr="00A87F21">
              <w:rPr>
                <w:color w:val="000000"/>
                <w:sz w:val="20"/>
              </w:rPr>
              <w:t>.  For a Combined</w:t>
            </w:r>
            <w:r w:rsidRPr="00A87F21">
              <w:rPr>
                <w:sz w:val="20"/>
              </w:rPr>
              <w:t xml:space="preserve"> Cycle Train, the Resource </w:t>
            </w:r>
            <w:r w:rsidRPr="00A87F21">
              <w:rPr>
                <w:i/>
                <w:sz w:val="20"/>
              </w:rPr>
              <w:t xml:space="preserve">r </w:t>
            </w:r>
            <w:r w:rsidRPr="00A87F21">
              <w:rPr>
                <w:sz w:val="20"/>
              </w:rPr>
              <w:t>is a Combined Cycle Generation Resource within the Combined Cycle Train.</w:t>
            </w:r>
            <w:r w:rsidRPr="00A87F21">
              <w:t xml:space="preserve">  </w:t>
            </w:r>
          </w:p>
        </w:tc>
      </w:tr>
      <w:tr w:rsidR="00C57701" w:rsidRPr="00A87F21" w14:paraId="211277A1" w14:textId="77777777" w:rsidTr="00806724">
        <w:trPr>
          <w:cantSplit/>
          <w:trHeight w:val="1430"/>
        </w:trPr>
        <w:tc>
          <w:tcPr>
            <w:tcW w:w="833" w:type="pct"/>
          </w:tcPr>
          <w:p w14:paraId="6BF23DCA" w14:textId="77777777" w:rsidR="00C57701" w:rsidRPr="00A87F21" w:rsidRDefault="00C57701" w:rsidP="00EC4D68">
            <w:pPr>
              <w:spacing w:after="60"/>
              <w:rPr>
                <w:iCs/>
                <w:color w:val="000000"/>
                <w:sz w:val="20"/>
                <w:lang w:val="es-MX"/>
              </w:rPr>
            </w:pPr>
            <w:r w:rsidRPr="00A87F21">
              <w:rPr>
                <w:iCs/>
                <w:color w:val="000000"/>
                <w:sz w:val="20"/>
              </w:rPr>
              <w:t xml:space="preserve">AVGHASL </w:t>
            </w:r>
            <w:r w:rsidRPr="00A87F21">
              <w:rPr>
                <w:b/>
                <w:bCs/>
                <w:i/>
                <w:color w:val="000000"/>
                <w:sz w:val="20"/>
                <w:vertAlign w:val="subscript"/>
                <w:lang w:val="es-ES"/>
              </w:rPr>
              <w:t>q, r, p, i</w:t>
            </w:r>
          </w:p>
        </w:tc>
        <w:tc>
          <w:tcPr>
            <w:tcW w:w="449" w:type="pct"/>
          </w:tcPr>
          <w:p w14:paraId="47395269" w14:textId="77777777" w:rsidR="00C57701" w:rsidRPr="00A87F21" w:rsidRDefault="00C57701" w:rsidP="00EC4D68">
            <w:pPr>
              <w:spacing w:after="60"/>
              <w:rPr>
                <w:iCs/>
                <w:color w:val="000000"/>
                <w:sz w:val="20"/>
              </w:rPr>
            </w:pPr>
            <w:r w:rsidRPr="00A87F21">
              <w:rPr>
                <w:iCs/>
                <w:color w:val="000000"/>
                <w:sz w:val="20"/>
              </w:rPr>
              <w:t>MW</w:t>
            </w:r>
          </w:p>
        </w:tc>
        <w:tc>
          <w:tcPr>
            <w:tcW w:w="3718" w:type="pct"/>
          </w:tcPr>
          <w:p w14:paraId="7D1B72DD" w14:textId="20CF2055" w:rsidR="00C57701" w:rsidRPr="00A87F21" w:rsidRDefault="00C57701" w:rsidP="00EC4D68">
            <w:pPr>
              <w:spacing w:after="60"/>
              <w:rPr>
                <w:i/>
                <w:iCs/>
                <w:color w:val="000000"/>
                <w:sz w:val="20"/>
              </w:rPr>
            </w:pPr>
            <w:r w:rsidRPr="00A87F21">
              <w:rPr>
                <w:i/>
                <w:color w:val="000000"/>
                <w:sz w:val="20"/>
              </w:rPr>
              <w:t>Average High Ancillary Service Limit per QSE per Settlement Point per Resource</w:t>
            </w:r>
            <w:r w:rsidRPr="00A87F21">
              <w:rPr>
                <w:iCs/>
                <w:color w:val="000000"/>
                <w:sz w:val="20"/>
              </w:rPr>
              <w:t xml:space="preserve">—The time-weighted average High Ancillary Service Limit </w:t>
            </w:r>
            <w:r>
              <w:rPr>
                <w:iCs/>
                <w:color w:val="000000"/>
                <w:sz w:val="20"/>
              </w:rPr>
              <w:t xml:space="preserve">(HASL) </w:t>
            </w:r>
            <w:r w:rsidRPr="00A87F21">
              <w:rPr>
                <w:iCs/>
                <w:color w:val="000000"/>
                <w:sz w:val="20"/>
              </w:rPr>
              <w:t xml:space="preserve">calculated every four seconds by the Resource Limit Calculator for the Generation Resource or </w:t>
            </w:r>
            <w:r w:rsidR="00F144CE">
              <w:rPr>
                <w:iCs/>
                <w:color w:val="000000"/>
                <w:sz w:val="20"/>
              </w:rPr>
              <w:t>CLR</w:t>
            </w:r>
            <w:r w:rsidRPr="00A87F21">
              <w:rPr>
                <w:iCs/>
                <w:color w:val="000000"/>
                <w:sz w:val="20"/>
              </w:rPr>
              <w:t xml:space="preserve"> </w:t>
            </w:r>
            <w:r w:rsidRPr="00A87F21">
              <w:rPr>
                <w:i/>
                <w:color w:val="000000"/>
                <w:sz w:val="20"/>
              </w:rPr>
              <w:t>r</w:t>
            </w:r>
            <w:r w:rsidRPr="00A87F21">
              <w:rPr>
                <w:iCs/>
                <w:color w:val="000000"/>
                <w:sz w:val="20"/>
              </w:rPr>
              <w:t xml:space="preserve"> represented by QSE </w:t>
            </w:r>
            <w:r w:rsidRPr="00A87F21">
              <w:rPr>
                <w:i/>
                <w:color w:val="000000"/>
                <w:sz w:val="20"/>
              </w:rPr>
              <w:t>q</w:t>
            </w:r>
            <w:r w:rsidRPr="00A87F21">
              <w:rPr>
                <w:iCs/>
                <w:color w:val="000000"/>
                <w:sz w:val="20"/>
              </w:rPr>
              <w:t xml:space="preserve"> at Settlement Point </w:t>
            </w:r>
            <w:r w:rsidRPr="00A87F21">
              <w:rPr>
                <w:i/>
                <w:color w:val="000000"/>
                <w:sz w:val="20"/>
              </w:rPr>
              <w:t>p</w:t>
            </w:r>
            <w:r w:rsidRPr="00A87F21">
              <w:rPr>
                <w:iCs/>
                <w:color w:val="000000"/>
                <w:sz w:val="20"/>
              </w:rPr>
              <w:t xml:space="preserve"> within the 15-minute Settlement Interval </w:t>
            </w:r>
            <w:r w:rsidRPr="00A87F21">
              <w:rPr>
                <w:i/>
                <w:color w:val="000000"/>
                <w:sz w:val="20"/>
              </w:rPr>
              <w:t>i</w:t>
            </w:r>
            <w:r w:rsidRPr="00A87F21">
              <w:rPr>
                <w:iCs/>
                <w:color w:val="000000"/>
                <w:sz w:val="20"/>
              </w:rPr>
              <w:t>.  For a Combined</w:t>
            </w:r>
            <w:r w:rsidRPr="00A87F21">
              <w:rPr>
                <w:iCs/>
                <w:sz w:val="20"/>
              </w:rPr>
              <w:t xml:space="preserve"> Cycle Train, the Resource </w:t>
            </w:r>
            <w:r w:rsidRPr="00A87F21">
              <w:rPr>
                <w:i/>
                <w:iCs/>
                <w:sz w:val="20"/>
              </w:rPr>
              <w:t xml:space="preserve">r </w:t>
            </w:r>
            <w:r w:rsidRPr="00A87F21">
              <w:rPr>
                <w:iCs/>
                <w:sz w:val="20"/>
              </w:rPr>
              <w:t xml:space="preserve">is a Combined Cycle Generation Resource within the Combined Cycle Train.  </w:t>
            </w:r>
            <w:r w:rsidR="00D92457">
              <w:rPr>
                <w:sz w:val="20"/>
              </w:rPr>
              <w:t xml:space="preserve">In the case of a VDI that is equivalent to an HDL override, this value is set equal to the HASL of </w:t>
            </w:r>
            <w:r w:rsidR="00D92457" w:rsidRPr="00A87F21">
              <w:rPr>
                <w:color w:val="000000"/>
                <w:sz w:val="20"/>
              </w:rPr>
              <w:t>Generation Resource</w:t>
            </w:r>
            <w:r w:rsidR="00D92457" w:rsidRPr="00A87F21">
              <w:rPr>
                <w:iCs/>
                <w:color w:val="000000"/>
                <w:sz w:val="20"/>
              </w:rPr>
              <w:t xml:space="preserve"> or </w:t>
            </w:r>
            <w:r w:rsidR="00F144CE">
              <w:rPr>
                <w:iCs/>
                <w:color w:val="000000"/>
                <w:sz w:val="20"/>
              </w:rPr>
              <w:t>CLR</w:t>
            </w:r>
            <w:r w:rsidR="00D92457" w:rsidRPr="00A87F21">
              <w:rPr>
                <w:color w:val="000000"/>
                <w:sz w:val="20"/>
              </w:rPr>
              <w:t xml:space="preserve"> </w:t>
            </w:r>
            <w:r w:rsidR="00D92457" w:rsidRPr="00A87F21">
              <w:rPr>
                <w:i/>
                <w:iCs/>
                <w:color w:val="000000"/>
                <w:sz w:val="20"/>
              </w:rPr>
              <w:t>r</w:t>
            </w:r>
            <w:r w:rsidR="00D92457">
              <w:rPr>
                <w:color w:val="000000"/>
                <w:sz w:val="20"/>
              </w:rPr>
              <w:t xml:space="preserve"> at the time that the VDI is issued to the QSE.</w:t>
            </w:r>
          </w:p>
        </w:tc>
      </w:tr>
      <w:tr w:rsidR="00C57701" w:rsidRPr="00A87F21" w14:paraId="4EBB5E21" w14:textId="77777777" w:rsidTr="00806724">
        <w:trPr>
          <w:cantSplit/>
          <w:trHeight w:val="1154"/>
        </w:trPr>
        <w:tc>
          <w:tcPr>
            <w:tcW w:w="833" w:type="pct"/>
            <w:tcBorders>
              <w:top w:val="single" w:sz="4" w:space="0" w:color="auto"/>
              <w:left w:val="single" w:sz="4" w:space="0" w:color="auto"/>
              <w:bottom w:val="single" w:sz="4" w:space="0" w:color="auto"/>
              <w:right w:val="single" w:sz="4" w:space="0" w:color="auto"/>
            </w:tcBorders>
            <w:hideMark/>
          </w:tcPr>
          <w:p w14:paraId="5C843254" w14:textId="77777777" w:rsidR="00C57701" w:rsidRPr="00A87F21" w:rsidRDefault="00C57701" w:rsidP="00EC4D68">
            <w:pPr>
              <w:spacing w:after="60"/>
              <w:rPr>
                <w:iCs/>
                <w:sz w:val="20"/>
              </w:rPr>
            </w:pPr>
            <w:r>
              <w:rPr>
                <w:iCs/>
                <w:sz w:val="20"/>
              </w:rPr>
              <w:t>HDLO</w:t>
            </w:r>
            <w:r w:rsidRPr="00A87F21">
              <w:rPr>
                <w:iCs/>
                <w:sz w:val="20"/>
              </w:rPr>
              <w:t>BRKPCP</w:t>
            </w:r>
            <w:r w:rsidRPr="00A87F21">
              <w:rPr>
                <w:b/>
                <w:iCs/>
                <w:sz w:val="20"/>
                <w:lang w:val="es-MX"/>
              </w:rPr>
              <w:t xml:space="preserve">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hideMark/>
          </w:tcPr>
          <w:p w14:paraId="568BAE5C" w14:textId="77777777" w:rsidR="00C57701" w:rsidRPr="00A87F21" w:rsidRDefault="00C57701" w:rsidP="00EC4D68">
            <w:pPr>
              <w:spacing w:after="60"/>
              <w:rPr>
                <w:iCs/>
                <w:sz w:val="20"/>
              </w:rPr>
            </w:pPr>
            <w:r w:rsidRPr="00A87F21">
              <w:rPr>
                <w:iCs/>
                <w:sz w:val="20"/>
              </w:rPr>
              <w:t>MW</w:t>
            </w:r>
          </w:p>
        </w:tc>
        <w:tc>
          <w:tcPr>
            <w:tcW w:w="3718" w:type="pct"/>
            <w:tcBorders>
              <w:top w:val="single" w:sz="4" w:space="0" w:color="auto"/>
              <w:left w:val="single" w:sz="4" w:space="0" w:color="auto"/>
              <w:bottom w:val="single" w:sz="4" w:space="0" w:color="auto"/>
              <w:right w:val="single" w:sz="4" w:space="0" w:color="auto"/>
            </w:tcBorders>
            <w:hideMark/>
          </w:tcPr>
          <w:p w14:paraId="47ACE433" w14:textId="77777777" w:rsidR="00C57701" w:rsidRPr="00A87F21" w:rsidRDefault="00C57701" w:rsidP="00EC4D68">
            <w:pPr>
              <w:rPr>
                <w:i/>
                <w:sz w:val="20"/>
              </w:rPr>
            </w:pPr>
            <w:r>
              <w:rPr>
                <w:i/>
                <w:sz w:val="20"/>
              </w:rPr>
              <w:t xml:space="preserve">High Dispatch Limit override </w:t>
            </w:r>
            <w:r w:rsidRPr="00A87F21">
              <w:rPr>
                <w:i/>
                <w:sz w:val="20"/>
              </w:rPr>
              <w:t>break point</w:t>
            </w:r>
            <w:r w:rsidRPr="00A87F21">
              <w:rPr>
                <w:i/>
              </w:rPr>
              <w:t xml:space="preserve"> </w:t>
            </w:r>
            <w:r w:rsidRPr="00A87F21">
              <w:rPr>
                <w:i/>
                <w:sz w:val="20"/>
              </w:rPr>
              <w:t>at clearing price per QSE per Resource</w:t>
            </w:r>
            <w:r w:rsidRPr="00A87F21">
              <w:rPr>
                <w:sz w:val="20"/>
              </w:rPr>
              <w:t xml:space="preserve">—The MW value on the Energy Offer Curve corresponding to the Real-Time Settlement Point Price of Generation Resource </w:t>
            </w:r>
            <w:r w:rsidRPr="00A87F21">
              <w:rPr>
                <w:i/>
                <w:sz w:val="20"/>
              </w:rPr>
              <w:t>r</w:t>
            </w:r>
            <w:r w:rsidRPr="00A87F21">
              <w:rPr>
                <w:sz w:val="20"/>
              </w:rPr>
              <w:t xml:space="preserve"> represented by QSE </w:t>
            </w:r>
            <w:r w:rsidRPr="00A87F21">
              <w:rPr>
                <w:i/>
                <w:sz w:val="20"/>
              </w:rPr>
              <w:t>q</w:t>
            </w:r>
            <w:r w:rsidRPr="00A87F21">
              <w:rPr>
                <w:sz w:val="20"/>
              </w:rPr>
              <w:t xml:space="preserve"> at Settlement Point </w:t>
            </w:r>
            <w:r w:rsidRPr="00A87F21">
              <w:rPr>
                <w:i/>
                <w:sz w:val="20"/>
              </w:rPr>
              <w:t>p</w:t>
            </w:r>
            <w:r w:rsidRPr="00A87F21">
              <w:rPr>
                <w:sz w:val="20"/>
              </w:rPr>
              <w:t xml:space="preserve"> minus the Real-Time Reserve Price for On-Line Reserves and the Real-Time On-Line Reliability Deployment Price.  For a combined cycle Resource, </w:t>
            </w:r>
            <w:r w:rsidRPr="00A87F21">
              <w:rPr>
                <w:i/>
                <w:sz w:val="20"/>
              </w:rPr>
              <w:t>r</w:t>
            </w:r>
            <w:r w:rsidRPr="00A87F21">
              <w:rPr>
                <w:sz w:val="20"/>
              </w:rPr>
              <w:t xml:space="preserve"> is a Combined Cycle Train.</w:t>
            </w:r>
          </w:p>
        </w:tc>
      </w:tr>
      <w:tr w:rsidR="005911C2" w:rsidRPr="00A87F21" w14:paraId="01832970" w14:textId="77777777" w:rsidTr="00AD486D">
        <w:trPr>
          <w:cantSplit/>
          <w:trHeight w:val="935"/>
        </w:trPr>
        <w:tc>
          <w:tcPr>
            <w:tcW w:w="833" w:type="pct"/>
            <w:tcBorders>
              <w:top w:val="single" w:sz="4" w:space="0" w:color="auto"/>
              <w:left w:val="single" w:sz="4" w:space="0" w:color="auto"/>
              <w:bottom w:val="single" w:sz="4" w:space="0" w:color="auto"/>
              <w:right w:val="single" w:sz="4" w:space="0" w:color="auto"/>
            </w:tcBorders>
          </w:tcPr>
          <w:p w14:paraId="5293A3BD" w14:textId="7BC9C422" w:rsidR="005911C2" w:rsidRDefault="005911C2" w:rsidP="005911C2">
            <w:pPr>
              <w:spacing w:after="60"/>
              <w:rPr>
                <w:iCs/>
                <w:noProof/>
                <w:sz w:val="20"/>
              </w:rPr>
            </w:pPr>
            <w:r w:rsidRPr="009716C5">
              <w:rPr>
                <w:sz w:val="20"/>
              </w:rPr>
              <w:t>RTEOCOST</w:t>
            </w:r>
            <w:r>
              <w:rPr>
                <w:sz w:val="20"/>
              </w:rPr>
              <w:t xml:space="preserve"> </w:t>
            </w:r>
            <w:r w:rsidRPr="00F67BF3">
              <w:rPr>
                <w:i/>
                <w:sz w:val="20"/>
                <w:vertAlign w:val="subscript"/>
              </w:rPr>
              <w:t>q, r, i</w:t>
            </w:r>
          </w:p>
        </w:tc>
        <w:tc>
          <w:tcPr>
            <w:tcW w:w="449" w:type="pct"/>
            <w:tcBorders>
              <w:top w:val="single" w:sz="4" w:space="0" w:color="auto"/>
              <w:left w:val="single" w:sz="4" w:space="0" w:color="auto"/>
              <w:bottom w:val="single" w:sz="4" w:space="0" w:color="auto"/>
              <w:right w:val="single" w:sz="4" w:space="0" w:color="auto"/>
            </w:tcBorders>
          </w:tcPr>
          <w:p w14:paraId="04FD6B26" w14:textId="06764331" w:rsidR="005911C2" w:rsidRPr="00A87F21" w:rsidRDefault="005911C2" w:rsidP="005911C2">
            <w:pPr>
              <w:spacing w:after="60"/>
              <w:rPr>
                <w:iCs/>
                <w:sz w:val="20"/>
              </w:rPr>
            </w:pPr>
            <w:r w:rsidRPr="009716C5">
              <w:rPr>
                <w:sz w:val="20"/>
              </w:rPr>
              <w:t>$/MWh</w:t>
            </w:r>
          </w:p>
        </w:tc>
        <w:tc>
          <w:tcPr>
            <w:tcW w:w="3718" w:type="pct"/>
            <w:tcBorders>
              <w:top w:val="single" w:sz="4" w:space="0" w:color="auto"/>
              <w:left w:val="single" w:sz="4" w:space="0" w:color="auto"/>
              <w:bottom w:val="single" w:sz="4" w:space="0" w:color="auto"/>
              <w:right w:val="single" w:sz="4" w:space="0" w:color="auto"/>
            </w:tcBorders>
          </w:tcPr>
          <w:p w14:paraId="09043573" w14:textId="6533C252" w:rsidR="005911C2" w:rsidRDefault="005911C2" w:rsidP="005911C2">
            <w:pPr>
              <w:spacing w:after="60"/>
              <w:rPr>
                <w:i/>
                <w:iCs/>
                <w:noProof/>
                <w:sz w:val="20"/>
              </w:rPr>
            </w:pPr>
            <w:r w:rsidRPr="009716C5">
              <w:rPr>
                <w:sz w:val="20"/>
              </w:rPr>
              <w:t>Real-Time Energy Offer Curve Cost Cap</w:t>
            </w:r>
            <w:r w:rsidR="00683A03" w:rsidRPr="00A87F21">
              <w:rPr>
                <w:iCs/>
                <w:sz w:val="20"/>
              </w:rPr>
              <w:t>—</w:t>
            </w:r>
            <w:r w:rsidRPr="009716C5">
              <w:rPr>
                <w:sz w:val="20"/>
              </w:rPr>
              <w:t xml:space="preserve">The Energy Offer Curve Cost Cap for Resource </w:t>
            </w:r>
            <w:r w:rsidRPr="00F67BF3">
              <w:rPr>
                <w:i/>
                <w:sz w:val="20"/>
              </w:rPr>
              <w:t>r</w:t>
            </w:r>
            <w:r w:rsidRPr="009716C5">
              <w:rPr>
                <w:sz w:val="20"/>
              </w:rPr>
              <w:t xml:space="preserve"> represented by QSE </w:t>
            </w:r>
            <w:r w:rsidRPr="00F67BF3">
              <w:rPr>
                <w:i/>
                <w:sz w:val="20"/>
              </w:rPr>
              <w:t>q</w:t>
            </w:r>
            <w:r w:rsidRPr="009716C5">
              <w:rPr>
                <w:sz w:val="20"/>
              </w:rPr>
              <w:t xml:space="preserve">, for the Resource’s generation above the LSL for the Settlement Interval </w:t>
            </w:r>
            <w:r w:rsidRPr="00F67BF3">
              <w:rPr>
                <w:i/>
                <w:sz w:val="20"/>
              </w:rPr>
              <w:t>i</w:t>
            </w:r>
            <w:r w:rsidRPr="009716C5">
              <w:rPr>
                <w:sz w:val="20"/>
              </w:rPr>
              <w:t xml:space="preserve">.  See Section 4.4.9.3.3, Energy Offer Curve </w:t>
            </w:r>
            <w:r w:rsidRPr="005A4F98">
              <w:rPr>
                <w:sz w:val="20"/>
              </w:rPr>
              <w:t>Cost</w:t>
            </w:r>
            <w:r w:rsidRPr="009716C5">
              <w:rPr>
                <w:sz w:val="20"/>
              </w:rPr>
              <w:t xml:space="preserve"> Caps.  Where for a Combined Cycle Train, the Resource </w:t>
            </w:r>
            <w:r w:rsidRPr="00F67BF3">
              <w:rPr>
                <w:i/>
                <w:sz w:val="20"/>
              </w:rPr>
              <w:t>r</w:t>
            </w:r>
            <w:r w:rsidRPr="009716C5">
              <w:rPr>
                <w:sz w:val="20"/>
              </w:rPr>
              <w:t xml:space="preserve"> is the Combined Cycle Train.</w:t>
            </w:r>
          </w:p>
        </w:tc>
      </w:tr>
      <w:tr w:rsidR="00C57701" w:rsidRPr="00A87F21" w14:paraId="74FFCFCC" w14:textId="77777777" w:rsidTr="00806724">
        <w:trPr>
          <w:cantSplit/>
          <w:trHeight w:val="944"/>
        </w:trPr>
        <w:tc>
          <w:tcPr>
            <w:tcW w:w="833" w:type="pct"/>
            <w:tcBorders>
              <w:top w:val="single" w:sz="4" w:space="0" w:color="auto"/>
              <w:left w:val="single" w:sz="4" w:space="0" w:color="auto"/>
              <w:bottom w:val="single" w:sz="4" w:space="0" w:color="auto"/>
              <w:right w:val="single" w:sz="4" w:space="0" w:color="auto"/>
            </w:tcBorders>
          </w:tcPr>
          <w:p w14:paraId="11DF4658" w14:textId="77777777" w:rsidR="00C57701" w:rsidRPr="00A87F21" w:rsidRDefault="00C57701" w:rsidP="00EC4D68">
            <w:pPr>
              <w:spacing w:after="60"/>
              <w:rPr>
                <w:iCs/>
                <w:sz w:val="20"/>
              </w:rPr>
            </w:pPr>
            <w:r>
              <w:rPr>
                <w:iCs/>
                <w:noProof/>
                <w:sz w:val="20"/>
              </w:rPr>
              <w:lastRenderedPageBreak/>
              <w:t>HDLO</w:t>
            </w:r>
            <w:r w:rsidRPr="00A87F21">
              <w:rPr>
                <w:iCs/>
                <w:noProof/>
                <w:sz w:val="20"/>
              </w:rPr>
              <w:t xml:space="preserve">QTY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tcPr>
          <w:p w14:paraId="3D9A4BAD"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6355FE0B" w14:textId="0DB2BCA7" w:rsidR="00C57701" w:rsidRPr="00A87F21" w:rsidRDefault="00C57701" w:rsidP="00EC4D68">
            <w:pPr>
              <w:spacing w:after="60"/>
              <w:rPr>
                <w:iCs/>
                <w:sz w:val="20"/>
              </w:rPr>
            </w:pPr>
            <w:r>
              <w:rPr>
                <w:i/>
                <w:iCs/>
                <w:noProof/>
                <w:sz w:val="20"/>
              </w:rPr>
              <w:t xml:space="preserve">High Dispatch Limit override </w:t>
            </w:r>
            <w:r>
              <w:rPr>
                <w:i/>
                <w:iCs/>
                <w:sz w:val="20"/>
              </w:rPr>
              <w:t>q</w:t>
            </w:r>
            <w:r w:rsidRPr="00A87F21">
              <w:rPr>
                <w:i/>
                <w:iCs/>
                <w:sz w:val="20"/>
              </w:rPr>
              <w:t>uantity per QSE per Generation Resource</w:t>
            </w:r>
            <w:r w:rsidRPr="00A87F21">
              <w:rPr>
                <w:i/>
                <w:iCs/>
                <w:noProof/>
                <w:sz w:val="20"/>
              </w:rPr>
              <w:t>—</w:t>
            </w:r>
            <w:r w:rsidRPr="00A87F21">
              <w:rPr>
                <w:iCs/>
                <w:sz w:val="20"/>
              </w:rPr>
              <w:t>The</w:t>
            </w:r>
            <w:r>
              <w:rPr>
                <w:iCs/>
                <w:sz w:val="20"/>
              </w:rPr>
              <w:t xml:space="preserve"> difference between the HDLO</w:t>
            </w:r>
            <w:r w:rsidRPr="00A87F21">
              <w:rPr>
                <w:iCs/>
                <w:sz w:val="20"/>
              </w:rPr>
              <w:t>BRKP</w:t>
            </w:r>
            <w:r>
              <w:rPr>
                <w:iCs/>
                <w:sz w:val="20"/>
              </w:rPr>
              <w:t xml:space="preserve"> and the </w:t>
            </w:r>
            <w:r w:rsidRPr="00EE20F3">
              <w:rPr>
                <w:iCs/>
                <w:sz w:val="20"/>
              </w:rPr>
              <w:t xml:space="preserve">AVGHDL </w:t>
            </w:r>
            <w:r w:rsidRPr="00A87F21">
              <w:rPr>
                <w:iCs/>
                <w:sz w:val="20"/>
              </w:rPr>
              <w:t xml:space="preserve">due to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23543A61" w14:textId="77777777" w:rsidTr="00AD486D">
        <w:trPr>
          <w:cantSplit/>
          <w:trHeight w:val="521"/>
        </w:trPr>
        <w:tc>
          <w:tcPr>
            <w:tcW w:w="833" w:type="pct"/>
            <w:tcBorders>
              <w:top w:val="single" w:sz="4" w:space="0" w:color="auto"/>
              <w:left w:val="single" w:sz="4" w:space="0" w:color="auto"/>
              <w:bottom w:val="single" w:sz="4" w:space="0" w:color="auto"/>
              <w:right w:val="single" w:sz="4" w:space="0" w:color="auto"/>
            </w:tcBorders>
            <w:hideMark/>
          </w:tcPr>
          <w:p w14:paraId="14D3C337" w14:textId="77777777" w:rsidR="00C57701" w:rsidRPr="00A87F21" w:rsidRDefault="00C57701" w:rsidP="00EC4D68">
            <w:pPr>
              <w:spacing w:after="60"/>
              <w:rPr>
                <w:iCs/>
                <w:sz w:val="20"/>
                <w:lang w:val="es-MX"/>
              </w:rPr>
            </w:pPr>
            <w:r w:rsidRPr="00A87F21">
              <w:rPr>
                <w:iCs/>
                <w:sz w:val="20"/>
              </w:rPr>
              <w:t xml:space="preserve">RTSPP </w:t>
            </w:r>
            <w:r w:rsidRPr="00A87F21">
              <w:rPr>
                <w:i/>
                <w:iCs/>
                <w:sz w:val="20"/>
                <w:vertAlign w:val="subscript"/>
              </w:rPr>
              <w:t>p, i</w:t>
            </w:r>
          </w:p>
        </w:tc>
        <w:tc>
          <w:tcPr>
            <w:tcW w:w="449" w:type="pct"/>
            <w:tcBorders>
              <w:top w:val="single" w:sz="4" w:space="0" w:color="auto"/>
              <w:left w:val="single" w:sz="4" w:space="0" w:color="auto"/>
              <w:bottom w:val="single" w:sz="4" w:space="0" w:color="auto"/>
              <w:right w:val="single" w:sz="4" w:space="0" w:color="auto"/>
            </w:tcBorders>
            <w:hideMark/>
          </w:tcPr>
          <w:p w14:paraId="1AF4E36F"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hideMark/>
          </w:tcPr>
          <w:p w14:paraId="3FC5D39E" w14:textId="77777777" w:rsidR="00C57701" w:rsidRPr="00A87F21" w:rsidRDefault="00C57701" w:rsidP="00EC4D68">
            <w:pPr>
              <w:spacing w:after="60"/>
              <w:rPr>
                <w:i/>
                <w:iCs/>
                <w:sz w:val="20"/>
              </w:rPr>
            </w:pPr>
            <w:r w:rsidRPr="00A87F21">
              <w:rPr>
                <w:i/>
                <w:iCs/>
                <w:sz w:val="20"/>
              </w:rPr>
              <w:t>Real-Time Settlement Point Price per Settlement Point</w:t>
            </w:r>
            <w:r w:rsidRPr="00A87F21">
              <w:rPr>
                <w:iCs/>
                <w:sz w:val="20"/>
              </w:rPr>
              <w:t xml:space="preserve">—The Real-Time Settlement Point Price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w:t>
            </w:r>
          </w:p>
        </w:tc>
      </w:tr>
      <w:tr w:rsidR="00C57701" w:rsidRPr="00A87F21" w14:paraId="2693C326" w14:textId="77777777" w:rsidTr="00806724">
        <w:trPr>
          <w:cantSplit/>
          <w:trHeight w:val="611"/>
        </w:trPr>
        <w:tc>
          <w:tcPr>
            <w:tcW w:w="833" w:type="pct"/>
            <w:tcBorders>
              <w:top w:val="single" w:sz="4" w:space="0" w:color="auto"/>
              <w:left w:val="single" w:sz="4" w:space="0" w:color="auto"/>
              <w:bottom w:val="single" w:sz="4" w:space="0" w:color="auto"/>
              <w:right w:val="single" w:sz="4" w:space="0" w:color="auto"/>
            </w:tcBorders>
          </w:tcPr>
          <w:p w14:paraId="715056E1" w14:textId="77777777" w:rsidR="00C57701" w:rsidRPr="00A87F21" w:rsidDel="008F2DD8" w:rsidRDefault="00C57701" w:rsidP="00EC4D68">
            <w:pPr>
              <w:spacing w:after="60"/>
              <w:rPr>
                <w:iCs/>
                <w:sz w:val="20"/>
              </w:rPr>
            </w:pPr>
            <w:r w:rsidRPr="00A87F21">
              <w:rPr>
                <w:iCs/>
                <w:sz w:val="20"/>
              </w:rPr>
              <w:t>RTRSVPOR</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3221E60F" w14:textId="77777777" w:rsidR="00C57701" w:rsidRPr="00A87F21" w:rsidDel="008F2DD8"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59838BB7" w14:textId="77777777" w:rsidR="00C57701" w:rsidRPr="00A87F21" w:rsidDel="008F2DD8" w:rsidRDefault="00C57701" w:rsidP="00EC4D68">
            <w:pPr>
              <w:spacing w:after="60"/>
              <w:rPr>
                <w:i/>
                <w:iCs/>
                <w:sz w:val="20"/>
              </w:rPr>
            </w:pPr>
            <w:r w:rsidRPr="00A87F21">
              <w:rPr>
                <w:i/>
                <w:iCs/>
                <w:sz w:val="20"/>
              </w:rPr>
              <w:t>Real-Time Reserve Price for On-Line Reserves</w:t>
            </w:r>
            <w:r w:rsidRPr="00A87F21">
              <w:rPr>
                <w:iCs/>
                <w:sz w:val="20"/>
              </w:rPr>
              <w:sym w:font="Symbol" w:char="F0BE"/>
            </w:r>
            <w:r w:rsidRPr="00A87F21">
              <w:rPr>
                <w:iCs/>
                <w:sz w:val="20"/>
              </w:rPr>
              <w:t xml:space="preserve">The Real-Time Reserve Price for On-Line Reserves for the 15-minute Settlement Interval </w:t>
            </w:r>
            <w:r w:rsidRPr="00A87F21">
              <w:rPr>
                <w:i/>
                <w:iCs/>
                <w:sz w:val="20"/>
              </w:rPr>
              <w:t>i</w:t>
            </w:r>
            <w:r w:rsidRPr="00A87F21">
              <w:rPr>
                <w:iCs/>
                <w:sz w:val="20"/>
              </w:rPr>
              <w:t>.</w:t>
            </w:r>
          </w:p>
        </w:tc>
      </w:tr>
      <w:tr w:rsidR="00C57701" w:rsidRPr="00A87F21" w14:paraId="5663FEF1" w14:textId="77777777" w:rsidTr="00806724">
        <w:trPr>
          <w:cantSplit/>
          <w:trHeight w:val="773"/>
        </w:trPr>
        <w:tc>
          <w:tcPr>
            <w:tcW w:w="833" w:type="pct"/>
            <w:tcBorders>
              <w:top w:val="single" w:sz="4" w:space="0" w:color="auto"/>
              <w:left w:val="single" w:sz="4" w:space="0" w:color="auto"/>
              <w:bottom w:val="single" w:sz="4" w:space="0" w:color="auto"/>
              <w:right w:val="single" w:sz="4" w:space="0" w:color="auto"/>
            </w:tcBorders>
          </w:tcPr>
          <w:p w14:paraId="0DB25037" w14:textId="77777777" w:rsidR="00C57701" w:rsidRPr="00A87F21" w:rsidRDefault="00C57701" w:rsidP="00EC4D68">
            <w:pPr>
              <w:spacing w:after="60"/>
              <w:rPr>
                <w:iCs/>
                <w:sz w:val="20"/>
              </w:rPr>
            </w:pPr>
            <w:r w:rsidRPr="00A87F21">
              <w:rPr>
                <w:iCs/>
                <w:sz w:val="20"/>
              </w:rPr>
              <w:t>RTRDP</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0CBC056E"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24291053" w14:textId="1CFC059F" w:rsidR="00C57701" w:rsidRPr="00A87F21" w:rsidRDefault="00C57701" w:rsidP="00EC4D68">
            <w:pPr>
              <w:spacing w:after="60"/>
              <w:rPr>
                <w:i/>
                <w:iCs/>
                <w:sz w:val="20"/>
              </w:rPr>
            </w:pPr>
            <w:r w:rsidRPr="00A87F21">
              <w:rPr>
                <w:i/>
                <w:iCs/>
                <w:sz w:val="20"/>
              </w:rPr>
              <w:t>Real-Time On-Line Reliability Deployment Price</w:t>
            </w:r>
            <w:r w:rsidRPr="00A87F21">
              <w:rPr>
                <w:iCs/>
                <w:sz w:val="20"/>
              </w:rPr>
              <w:sym w:font="Symbol" w:char="F0BE"/>
            </w:r>
            <w:r w:rsidRPr="00A87F21">
              <w:rPr>
                <w:iCs/>
                <w:sz w:val="20"/>
              </w:rPr>
              <w:t xml:space="preserve">The Real-Time price for the 15-minute Settlement Interval </w:t>
            </w:r>
            <w:r w:rsidRPr="00A87F21">
              <w:rPr>
                <w:i/>
                <w:iCs/>
                <w:sz w:val="20"/>
              </w:rPr>
              <w:t>i</w:t>
            </w:r>
            <w:r w:rsidRPr="00A87F21">
              <w:rPr>
                <w:iCs/>
                <w:sz w:val="20"/>
              </w:rPr>
              <w:t>, reflecting the impact of reliability deployments on energy prices that is calculated from the Real-</w:t>
            </w:r>
            <w:r>
              <w:rPr>
                <w:iCs/>
                <w:sz w:val="20"/>
              </w:rPr>
              <w:t>T</w:t>
            </w:r>
            <w:r w:rsidRPr="00A87F21">
              <w:rPr>
                <w:iCs/>
                <w:sz w:val="20"/>
              </w:rPr>
              <w:t>ime On-Line Reliability Deployment Price Adder.</w:t>
            </w:r>
          </w:p>
        </w:tc>
      </w:tr>
      <w:tr w:rsidR="00C57701" w:rsidRPr="00A87F21" w14:paraId="247304EF"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553845A2" w14:textId="77777777" w:rsidR="00C57701" w:rsidRPr="00A87F21" w:rsidRDefault="00C57701" w:rsidP="00EC4D68">
            <w:pPr>
              <w:spacing w:after="60"/>
              <w:rPr>
                <w:i/>
                <w:iCs/>
                <w:sz w:val="20"/>
              </w:rPr>
            </w:pPr>
            <w:r w:rsidRPr="00A87F21">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D428C6"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682D145C" w14:textId="77777777" w:rsidR="00C57701" w:rsidRPr="00A87F21" w:rsidRDefault="00C57701" w:rsidP="00EC4D68">
            <w:pPr>
              <w:spacing w:after="60"/>
              <w:rPr>
                <w:i/>
                <w:sz w:val="20"/>
              </w:rPr>
            </w:pPr>
            <w:r w:rsidRPr="00A87F21">
              <w:rPr>
                <w:iCs/>
                <w:sz w:val="20"/>
              </w:rPr>
              <w:t>A QSE.</w:t>
            </w:r>
          </w:p>
        </w:tc>
      </w:tr>
      <w:tr w:rsidR="00C57701" w:rsidRPr="00A87F21" w14:paraId="2FDF1764"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6B9113CC" w14:textId="77777777" w:rsidR="00C57701" w:rsidRPr="00A87F21" w:rsidRDefault="00C57701" w:rsidP="00EC4D68">
            <w:pPr>
              <w:spacing w:after="60"/>
              <w:rPr>
                <w:i/>
                <w:iCs/>
                <w:sz w:val="20"/>
              </w:rPr>
            </w:pPr>
            <w:r w:rsidRPr="00A87F21">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7B1642F"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2B5D2848" w14:textId="77777777" w:rsidR="00C57701" w:rsidRPr="00A87F21" w:rsidRDefault="00C57701" w:rsidP="00EC4D68">
            <w:pPr>
              <w:spacing w:after="60"/>
              <w:rPr>
                <w:i/>
                <w:sz w:val="20"/>
              </w:rPr>
            </w:pPr>
            <w:r w:rsidRPr="00A87F21">
              <w:rPr>
                <w:iCs/>
                <w:sz w:val="20"/>
              </w:rPr>
              <w:t>A Generation Resource.</w:t>
            </w:r>
          </w:p>
        </w:tc>
      </w:tr>
      <w:tr w:rsidR="00C57701" w:rsidRPr="00A87F21" w14:paraId="48D37868" w14:textId="77777777" w:rsidTr="00806724">
        <w:trPr>
          <w:cantSplit/>
          <w:trHeight w:val="289"/>
        </w:trPr>
        <w:tc>
          <w:tcPr>
            <w:tcW w:w="833" w:type="pct"/>
          </w:tcPr>
          <w:p w14:paraId="1C912AE0" w14:textId="77777777" w:rsidR="00C57701" w:rsidRPr="00A87F21" w:rsidRDefault="00C57701" w:rsidP="00EC4D68">
            <w:pPr>
              <w:spacing w:after="60"/>
              <w:rPr>
                <w:i/>
                <w:iCs/>
                <w:sz w:val="20"/>
              </w:rPr>
            </w:pPr>
            <w:r w:rsidRPr="00A87F21">
              <w:rPr>
                <w:i/>
                <w:iCs/>
                <w:sz w:val="20"/>
              </w:rPr>
              <w:t>p</w:t>
            </w:r>
          </w:p>
        </w:tc>
        <w:tc>
          <w:tcPr>
            <w:tcW w:w="449" w:type="pct"/>
          </w:tcPr>
          <w:p w14:paraId="08269B29" w14:textId="77777777" w:rsidR="00C57701" w:rsidRPr="00A87F21" w:rsidRDefault="00C57701" w:rsidP="00EC4D68">
            <w:pPr>
              <w:spacing w:after="60"/>
              <w:rPr>
                <w:iCs/>
                <w:sz w:val="20"/>
              </w:rPr>
            </w:pPr>
            <w:r w:rsidRPr="00A87F21">
              <w:rPr>
                <w:iCs/>
                <w:sz w:val="20"/>
              </w:rPr>
              <w:t>none</w:t>
            </w:r>
          </w:p>
        </w:tc>
        <w:tc>
          <w:tcPr>
            <w:tcW w:w="3718" w:type="pct"/>
          </w:tcPr>
          <w:p w14:paraId="4C1B27D2" w14:textId="77777777" w:rsidR="00C57701" w:rsidRPr="00A87F21" w:rsidRDefault="00C57701" w:rsidP="00EC4D68">
            <w:pPr>
              <w:spacing w:after="60"/>
              <w:rPr>
                <w:iCs/>
                <w:sz w:val="20"/>
              </w:rPr>
            </w:pPr>
            <w:r w:rsidRPr="00A87F21">
              <w:rPr>
                <w:iCs/>
                <w:sz w:val="20"/>
              </w:rPr>
              <w:t>A Resource Node Settlement Point.</w:t>
            </w:r>
          </w:p>
        </w:tc>
      </w:tr>
      <w:tr w:rsidR="00C57701" w:rsidRPr="00A87F21" w14:paraId="57667D22" w14:textId="77777777" w:rsidTr="00806724">
        <w:trPr>
          <w:cantSplit/>
          <w:trHeight w:val="242"/>
        </w:trPr>
        <w:tc>
          <w:tcPr>
            <w:tcW w:w="833" w:type="pct"/>
            <w:tcBorders>
              <w:top w:val="single" w:sz="4" w:space="0" w:color="auto"/>
              <w:left w:val="single" w:sz="4" w:space="0" w:color="auto"/>
              <w:bottom w:val="single" w:sz="4" w:space="0" w:color="auto"/>
              <w:right w:val="single" w:sz="4" w:space="0" w:color="auto"/>
            </w:tcBorders>
          </w:tcPr>
          <w:p w14:paraId="73BF14CE" w14:textId="77777777" w:rsidR="00C57701" w:rsidRPr="00A87F21" w:rsidRDefault="00C57701" w:rsidP="00EC4D68">
            <w:pPr>
              <w:spacing w:after="60"/>
              <w:rPr>
                <w:i/>
                <w:iCs/>
                <w:sz w:val="20"/>
              </w:rPr>
            </w:pPr>
            <w:r w:rsidRPr="00A87F21">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048E19AD"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5A7BB89E" w14:textId="77777777" w:rsidR="00C57701" w:rsidRPr="00A87F21" w:rsidRDefault="00C57701" w:rsidP="00EC4D68">
            <w:pPr>
              <w:spacing w:after="60"/>
              <w:rPr>
                <w:iCs/>
                <w:sz w:val="20"/>
              </w:rPr>
            </w:pPr>
            <w:r w:rsidRPr="00A87F21">
              <w:rPr>
                <w:iCs/>
                <w:sz w:val="20"/>
              </w:rPr>
              <w:t>A 15-minute Settlement Interval.</w:t>
            </w:r>
          </w:p>
        </w:tc>
      </w:tr>
    </w:tbl>
    <w:p w14:paraId="11DB653C" w14:textId="3BE55D62" w:rsidR="00C57701" w:rsidRPr="00A87F21" w:rsidRDefault="00C57701" w:rsidP="00C57701">
      <w:pPr>
        <w:spacing w:before="240" w:after="240"/>
        <w:ind w:left="720" w:hanging="720"/>
      </w:pPr>
      <w:r w:rsidRPr="00A87F21">
        <w:t>(</w:t>
      </w:r>
      <w:r w:rsidR="000932C9">
        <w:t>4</w:t>
      </w:r>
      <w:r w:rsidRPr="00A87F21">
        <w:t>)</w:t>
      </w:r>
      <w:r w:rsidRPr="00A87F21">
        <w:tab/>
        <w:t xml:space="preserve">The total compensation to each QSE for </w:t>
      </w:r>
      <w:r>
        <w:t>an HDL override</w:t>
      </w:r>
      <w:r w:rsidRPr="00A87F21">
        <w:t xml:space="preserve"> for the 15-minute Settlement Interval is calculated as follows:</w:t>
      </w:r>
    </w:p>
    <w:p w14:paraId="28C76725" w14:textId="1C379A95" w:rsidR="00C57701" w:rsidRPr="000703C1" w:rsidRDefault="00C57701" w:rsidP="00C57701">
      <w:pPr>
        <w:spacing w:after="240"/>
        <w:ind w:left="720" w:firstLine="720"/>
        <w:rPr>
          <w:b/>
          <w:i/>
          <w:vertAlign w:val="subscript"/>
          <w:lang w:val="es-ES"/>
        </w:rPr>
      </w:pPr>
      <w:r w:rsidRPr="00050961">
        <w:rPr>
          <w:b/>
        </w:rPr>
        <w:t>HDLOEAMTQSETOT</w:t>
      </w:r>
      <w:r w:rsidRPr="000703C1">
        <w:rPr>
          <w:b/>
          <w:i/>
          <w:vertAlign w:val="subscript"/>
          <w:lang w:val="es-ES"/>
        </w:rPr>
        <w:t xml:space="preserve"> </w:t>
      </w:r>
      <w:r w:rsidRPr="00050961">
        <w:rPr>
          <w:b/>
          <w:i/>
          <w:vertAlign w:val="subscript"/>
          <w:lang w:val="es-ES"/>
        </w:rPr>
        <w:t>q, i</w:t>
      </w:r>
      <w:r w:rsidRPr="000703C1">
        <w:rPr>
          <w:b/>
          <w:i/>
          <w:vertAlign w:val="subscript"/>
          <w:lang w:val="es-ES"/>
        </w:rPr>
        <w:t xml:space="preserve"> </w:t>
      </w:r>
      <w:r w:rsidRPr="000703C1">
        <w:rPr>
          <w:b/>
        </w:rPr>
        <w:t xml:space="preserve"> =  </w:t>
      </w:r>
      <w:r w:rsidR="00A94020">
        <w:rPr>
          <w:b/>
          <w:noProof/>
          <w:position w:val="-28"/>
        </w:rPr>
        <w:drawing>
          <wp:inline distT="0" distB="0" distL="0" distR="0" wp14:anchorId="20FF9361" wp14:editId="564E7DA9">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A94020">
        <w:rPr>
          <w:b/>
          <w:noProof/>
          <w:position w:val="-30"/>
        </w:rPr>
        <w:drawing>
          <wp:inline distT="0" distB="0" distL="0" distR="0" wp14:anchorId="07C5A238" wp14:editId="7B1E2094">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050961">
        <w:rPr>
          <w:b/>
        </w:rPr>
        <w:t>HDLOEAMT</w:t>
      </w:r>
      <w:r w:rsidRPr="000703C1">
        <w:rPr>
          <w:b/>
          <w:i/>
          <w:vertAlign w:val="subscript"/>
          <w:lang w:val="es-ES"/>
        </w:rPr>
        <w:t xml:space="preserve"> q, r, p, i</w:t>
      </w:r>
    </w:p>
    <w:p w14:paraId="04CCC0B3"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C57701" w:rsidRPr="00A87F21" w14:paraId="7DA854B9" w14:textId="77777777" w:rsidTr="00EC4D68">
        <w:trPr>
          <w:cantSplit/>
          <w:tblHeader/>
        </w:trPr>
        <w:tc>
          <w:tcPr>
            <w:tcW w:w="1231" w:type="pct"/>
          </w:tcPr>
          <w:p w14:paraId="3E0946BA" w14:textId="77777777" w:rsidR="00C57701" w:rsidRPr="00A87F21" w:rsidRDefault="00C57701" w:rsidP="00EC4D68">
            <w:pPr>
              <w:spacing w:after="240"/>
              <w:rPr>
                <w:b/>
                <w:iCs/>
                <w:sz w:val="20"/>
              </w:rPr>
            </w:pPr>
            <w:r w:rsidRPr="00A87F21">
              <w:rPr>
                <w:b/>
                <w:iCs/>
                <w:sz w:val="20"/>
              </w:rPr>
              <w:t>Variable</w:t>
            </w:r>
          </w:p>
        </w:tc>
        <w:tc>
          <w:tcPr>
            <w:tcW w:w="474" w:type="pct"/>
          </w:tcPr>
          <w:p w14:paraId="04EB3427" w14:textId="77777777" w:rsidR="00C57701" w:rsidRPr="00A87F21" w:rsidRDefault="00C57701" w:rsidP="00EC4D68">
            <w:pPr>
              <w:spacing w:after="240"/>
              <w:rPr>
                <w:b/>
                <w:iCs/>
                <w:sz w:val="20"/>
              </w:rPr>
            </w:pPr>
            <w:r w:rsidRPr="00A87F21">
              <w:rPr>
                <w:b/>
                <w:iCs/>
                <w:sz w:val="20"/>
              </w:rPr>
              <w:t>Unit</w:t>
            </w:r>
          </w:p>
        </w:tc>
        <w:tc>
          <w:tcPr>
            <w:tcW w:w="3295" w:type="pct"/>
          </w:tcPr>
          <w:p w14:paraId="4E3C62D5" w14:textId="77777777" w:rsidR="00C57701" w:rsidRPr="00A87F21" w:rsidRDefault="00C57701" w:rsidP="00EC4D68">
            <w:pPr>
              <w:spacing w:after="240"/>
              <w:rPr>
                <w:b/>
                <w:iCs/>
                <w:sz w:val="20"/>
              </w:rPr>
            </w:pPr>
            <w:r w:rsidRPr="00A87F21">
              <w:rPr>
                <w:b/>
                <w:iCs/>
                <w:sz w:val="20"/>
              </w:rPr>
              <w:t>Definition</w:t>
            </w:r>
          </w:p>
        </w:tc>
      </w:tr>
      <w:tr w:rsidR="00C57701" w:rsidRPr="00A87F21" w14:paraId="74B09F89" w14:textId="77777777" w:rsidTr="00EC4D68">
        <w:trPr>
          <w:cantSplit/>
        </w:trPr>
        <w:tc>
          <w:tcPr>
            <w:tcW w:w="1231" w:type="pct"/>
          </w:tcPr>
          <w:p w14:paraId="3DC74B1F"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i/>
                <w:iCs/>
                <w:sz w:val="20"/>
                <w:vertAlign w:val="subscript"/>
              </w:rPr>
              <w:t>q, r, p, i</w:t>
            </w:r>
          </w:p>
        </w:tc>
        <w:tc>
          <w:tcPr>
            <w:tcW w:w="474" w:type="pct"/>
          </w:tcPr>
          <w:p w14:paraId="2199BF4D" w14:textId="77777777" w:rsidR="00C57701" w:rsidRPr="00A87F21" w:rsidRDefault="00C57701" w:rsidP="00EC4D68">
            <w:pPr>
              <w:spacing w:after="60"/>
              <w:rPr>
                <w:iCs/>
                <w:sz w:val="20"/>
              </w:rPr>
            </w:pPr>
            <w:r w:rsidRPr="00A87F21">
              <w:rPr>
                <w:iCs/>
                <w:sz w:val="20"/>
              </w:rPr>
              <w:t>$</w:t>
            </w:r>
          </w:p>
        </w:tc>
        <w:tc>
          <w:tcPr>
            <w:tcW w:w="3295" w:type="pct"/>
          </w:tcPr>
          <w:p w14:paraId="224CBB0D" w14:textId="73BB0BD0"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 xml:space="preserve">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0B19BB42" w14:textId="77777777" w:rsidTr="00EC4D68">
        <w:trPr>
          <w:cantSplit/>
        </w:trPr>
        <w:tc>
          <w:tcPr>
            <w:tcW w:w="1231" w:type="pct"/>
          </w:tcPr>
          <w:p w14:paraId="36E5455A" w14:textId="77777777" w:rsidR="00C57701" w:rsidRPr="00A87F21" w:rsidRDefault="00C57701" w:rsidP="00EC4D68">
            <w:pPr>
              <w:spacing w:after="60"/>
              <w:rPr>
                <w:iCs/>
                <w:sz w:val="20"/>
              </w:rPr>
            </w:pPr>
            <w:r>
              <w:rPr>
                <w:iCs/>
                <w:sz w:val="20"/>
              </w:rPr>
              <w:t>HDLO</w:t>
            </w:r>
            <w:r w:rsidRPr="00A87F21">
              <w:rPr>
                <w:iCs/>
                <w:sz w:val="20"/>
              </w:rPr>
              <w:t xml:space="preserve">EAMTQSETOT </w:t>
            </w:r>
            <w:r w:rsidRPr="00A87F21">
              <w:rPr>
                <w:rFonts w:ascii="Times New Roman Bold" w:hAnsi="Times New Roman Bold"/>
                <w:i/>
                <w:iCs/>
                <w:sz w:val="20"/>
                <w:vertAlign w:val="subscript"/>
              </w:rPr>
              <w:t>q,</w:t>
            </w:r>
            <w:r w:rsidRPr="00A87F21">
              <w:rPr>
                <w:i/>
                <w:iCs/>
                <w:sz w:val="20"/>
              </w:rPr>
              <w:t xml:space="preserve"> </w:t>
            </w:r>
            <w:r w:rsidRPr="00A87F21">
              <w:rPr>
                <w:i/>
                <w:iCs/>
                <w:sz w:val="20"/>
                <w:vertAlign w:val="subscript"/>
              </w:rPr>
              <w:t>i</w:t>
            </w:r>
          </w:p>
        </w:tc>
        <w:tc>
          <w:tcPr>
            <w:tcW w:w="474" w:type="pct"/>
          </w:tcPr>
          <w:p w14:paraId="14A26DD5" w14:textId="77777777" w:rsidR="00C57701" w:rsidRPr="00A87F21" w:rsidRDefault="00C57701" w:rsidP="00EC4D68">
            <w:pPr>
              <w:spacing w:after="60"/>
              <w:rPr>
                <w:i/>
                <w:iCs/>
                <w:sz w:val="20"/>
              </w:rPr>
            </w:pPr>
            <w:r w:rsidRPr="00A87F21">
              <w:rPr>
                <w:iCs/>
                <w:sz w:val="20"/>
              </w:rPr>
              <w:t>$</w:t>
            </w:r>
          </w:p>
        </w:tc>
        <w:tc>
          <w:tcPr>
            <w:tcW w:w="3295" w:type="pct"/>
          </w:tcPr>
          <w:p w14:paraId="365C3994" w14:textId="77777777" w:rsidR="00C57701" w:rsidRPr="00A87F21" w:rsidRDefault="00C57701" w:rsidP="00EC4D68">
            <w:pPr>
              <w:spacing w:after="60"/>
              <w:rPr>
                <w:iCs/>
                <w:sz w:val="20"/>
              </w:rPr>
            </w:pPr>
            <w:r>
              <w:rPr>
                <w:i/>
                <w:iCs/>
                <w:sz w:val="20"/>
              </w:rPr>
              <w:t>High Dispatch Limit override</w:t>
            </w:r>
            <w:r w:rsidRPr="00A87F21">
              <w:rPr>
                <w:i/>
                <w:iCs/>
                <w:sz w:val="20"/>
              </w:rPr>
              <w:t xml:space="preserve"> </w:t>
            </w:r>
            <w:r>
              <w:rPr>
                <w:i/>
                <w:iCs/>
                <w:sz w:val="20"/>
              </w:rPr>
              <w:t>e</w:t>
            </w:r>
            <w:r w:rsidRPr="00A87F21">
              <w:rPr>
                <w:i/>
                <w:iCs/>
                <w:sz w:val="20"/>
              </w:rPr>
              <w:t xml:space="preserve">nergy </w:t>
            </w:r>
            <w:r>
              <w:rPr>
                <w:i/>
                <w:iCs/>
                <w:sz w:val="20"/>
              </w:rPr>
              <w:t>a</w:t>
            </w:r>
            <w:r w:rsidRPr="00A87F21">
              <w:rPr>
                <w:i/>
                <w:iCs/>
                <w:sz w:val="20"/>
              </w:rPr>
              <w:t>mount QSE total per QSE</w:t>
            </w:r>
            <w:r w:rsidRPr="00A87F21">
              <w:rPr>
                <w:iCs/>
                <w:sz w:val="20"/>
              </w:rPr>
              <w:t xml:space="preserve">—The total of the energy payments to QSE </w:t>
            </w:r>
            <w:r w:rsidRPr="00A87F21">
              <w:rPr>
                <w:i/>
                <w:iCs/>
                <w:sz w:val="20"/>
              </w:rPr>
              <w:t>q</w:t>
            </w:r>
            <w:r w:rsidRPr="00A87F21">
              <w:rPr>
                <w:iCs/>
                <w:sz w:val="20"/>
              </w:rPr>
              <w:t xml:space="preserve"> as compensation for </w:t>
            </w:r>
            <w:r>
              <w:rPr>
                <w:iCs/>
                <w:sz w:val="20"/>
              </w:rPr>
              <w:t>HDL overrides</w:t>
            </w:r>
            <w:r w:rsidRPr="00A87F21">
              <w:rPr>
                <w:iCs/>
                <w:sz w:val="20"/>
              </w:rPr>
              <w:t xml:space="preserve"> for this QSE for the 15-minute </w:t>
            </w:r>
            <w:r>
              <w:rPr>
                <w:iCs/>
                <w:sz w:val="20"/>
              </w:rPr>
              <w:t>S</w:t>
            </w:r>
            <w:r w:rsidRPr="00A87F21">
              <w:rPr>
                <w:iCs/>
                <w:sz w:val="20"/>
              </w:rPr>
              <w:t xml:space="preserve">ettlement </w:t>
            </w:r>
            <w:r>
              <w:rPr>
                <w:iCs/>
                <w:sz w:val="20"/>
              </w:rPr>
              <w:t>I</w:t>
            </w:r>
            <w:r w:rsidRPr="00A87F21">
              <w:rPr>
                <w:iCs/>
                <w:sz w:val="20"/>
              </w:rPr>
              <w:t xml:space="preserve">nterval </w:t>
            </w:r>
            <w:r w:rsidRPr="00A87F21">
              <w:rPr>
                <w:i/>
                <w:iCs/>
                <w:sz w:val="20"/>
              </w:rPr>
              <w:t>i</w:t>
            </w:r>
            <w:r w:rsidRPr="00A87F21">
              <w:rPr>
                <w:iCs/>
                <w:sz w:val="20"/>
              </w:rPr>
              <w:t>.</w:t>
            </w:r>
          </w:p>
        </w:tc>
      </w:tr>
      <w:tr w:rsidR="00C57701" w:rsidRPr="00A87F21" w14:paraId="7CCD6177"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5319A4E" w14:textId="77777777" w:rsidR="00C57701" w:rsidRPr="00A87F21" w:rsidRDefault="00C57701" w:rsidP="00EC4D68">
            <w:pPr>
              <w:spacing w:after="60"/>
              <w:rPr>
                <w:i/>
                <w:iCs/>
                <w:sz w:val="20"/>
              </w:rPr>
            </w:pPr>
            <w:r w:rsidRPr="00A87F21">
              <w:rPr>
                <w:i/>
                <w:iCs/>
                <w:sz w:val="20"/>
              </w:rPr>
              <w:t>q</w:t>
            </w:r>
          </w:p>
        </w:tc>
        <w:tc>
          <w:tcPr>
            <w:tcW w:w="474" w:type="pct"/>
            <w:tcBorders>
              <w:top w:val="single" w:sz="4" w:space="0" w:color="auto"/>
              <w:left w:val="single" w:sz="4" w:space="0" w:color="auto"/>
              <w:bottom w:val="single" w:sz="4" w:space="0" w:color="auto"/>
              <w:right w:val="single" w:sz="4" w:space="0" w:color="auto"/>
            </w:tcBorders>
          </w:tcPr>
          <w:p w14:paraId="0AF99F8B"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56A5F0E" w14:textId="77777777" w:rsidR="00C57701" w:rsidRPr="00A87F21" w:rsidRDefault="00C57701" w:rsidP="00EC4D68">
            <w:pPr>
              <w:spacing w:after="60"/>
              <w:rPr>
                <w:iCs/>
                <w:sz w:val="20"/>
              </w:rPr>
            </w:pPr>
            <w:r w:rsidRPr="00A87F21">
              <w:rPr>
                <w:iCs/>
                <w:sz w:val="20"/>
              </w:rPr>
              <w:t>A QSE.</w:t>
            </w:r>
          </w:p>
        </w:tc>
      </w:tr>
      <w:tr w:rsidR="00C57701" w:rsidRPr="00A87F21" w14:paraId="77678E35"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6E211A13" w14:textId="77777777" w:rsidR="00C57701" w:rsidRPr="00A87F21" w:rsidRDefault="00C57701" w:rsidP="00EC4D68">
            <w:pPr>
              <w:spacing w:after="60"/>
              <w:rPr>
                <w:i/>
                <w:iCs/>
                <w:sz w:val="20"/>
              </w:rPr>
            </w:pPr>
            <w:r w:rsidRPr="00A87F21">
              <w:rPr>
                <w:i/>
                <w:iCs/>
                <w:sz w:val="20"/>
              </w:rPr>
              <w:t>r</w:t>
            </w:r>
          </w:p>
        </w:tc>
        <w:tc>
          <w:tcPr>
            <w:tcW w:w="474" w:type="pct"/>
            <w:tcBorders>
              <w:top w:val="single" w:sz="4" w:space="0" w:color="auto"/>
              <w:left w:val="single" w:sz="4" w:space="0" w:color="auto"/>
              <w:bottom w:val="single" w:sz="4" w:space="0" w:color="auto"/>
              <w:right w:val="single" w:sz="4" w:space="0" w:color="auto"/>
            </w:tcBorders>
          </w:tcPr>
          <w:p w14:paraId="06F230E2"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44A09D3" w14:textId="77777777" w:rsidR="00C57701" w:rsidRPr="00A87F21" w:rsidRDefault="00C57701" w:rsidP="00EC4D68">
            <w:pPr>
              <w:spacing w:after="60"/>
              <w:rPr>
                <w:iCs/>
                <w:sz w:val="20"/>
              </w:rPr>
            </w:pPr>
            <w:r w:rsidRPr="00A87F21">
              <w:rPr>
                <w:iCs/>
                <w:sz w:val="20"/>
              </w:rPr>
              <w:t>A Generation Resource.</w:t>
            </w:r>
          </w:p>
        </w:tc>
      </w:tr>
      <w:tr w:rsidR="00C57701" w:rsidRPr="00A87F21" w14:paraId="2FD7449F"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5AC78E0C" w14:textId="77777777" w:rsidR="00C57701" w:rsidRPr="00A87F21" w:rsidRDefault="00C57701" w:rsidP="00EC4D68">
            <w:pPr>
              <w:spacing w:after="60"/>
              <w:rPr>
                <w:i/>
                <w:iCs/>
                <w:sz w:val="20"/>
              </w:rPr>
            </w:pPr>
            <w:r w:rsidRPr="00A87F21">
              <w:rPr>
                <w:i/>
                <w:iCs/>
                <w:sz w:val="20"/>
              </w:rPr>
              <w:t>p</w:t>
            </w:r>
          </w:p>
        </w:tc>
        <w:tc>
          <w:tcPr>
            <w:tcW w:w="474" w:type="pct"/>
            <w:tcBorders>
              <w:top w:val="single" w:sz="4" w:space="0" w:color="auto"/>
              <w:left w:val="single" w:sz="4" w:space="0" w:color="auto"/>
              <w:bottom w:val="single" w:sz="4" w:space="0" w:color="auto"/>
              <w:right w:val="single" w:sz="4" w:space="0" w:color="auto"/>
            </w:tcBorders>
          </w:tcPr>
          <w:p w14:paraId="34A159DF"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D018EFD" w14:textId="77777777" w:rsidR="00C57701" w:rsidRPr="00A87F21" w:rsidRDefault="00C57701" w:rsidP="00EC4D68">
            <w:pPr>
              <w:spacing w:after="60"/>
              <w:rPr>
                <w:iCs/>
                <w:sz w:val="18"/>
                <w:szCs w:val="18"/>
              </w:rPr>
            </w:pPr>
            <w:r w:rsidRPr="00A87F21">
              <w:rPr>
                <w:iCs/>
                <w:sz w:val="20"/>
              </w:rPr>
              <w:t>A Resource Node Settlement Point.</w:t>
            </w:r>
          </w:p>
        </w:tc>
      </w:tr>
      <w:tr w:rsidR="00C57701" w:rsidRPr="00A87F21" w14:paraId="1F167644"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07050E4" w14:textId="77777777" w:rsidR="00C57701" w:rsidRPr="00A87F21" w:rsidRDefault="00C57701" w:rsidP="00EC4D68">
            <w:pPr>
              <w:spacing w:after="60"/>
              <w:rPr>
                <w:i/>
                <w:iCs/>
                <w:sz w:val="20"/>
              </w:rPr>
            </w:pPr>
            <w:r w:rsidRPr="00A87F21">
              <w:rPr>
                <w:i/>
                <w:iCs/>
                <w:sz w:val="20"/>
              </w:rPr>
              <w:t>i</w:t>
            </w:r>
          </w:p>
        </w:tc>
        <w:tc>
          <w:tcPr>
            <w:tcW w:w="474" w:type="pct"/>
            <w:tcBorders>
              <w:top w:val="single" w:sz="4" w:space="0" w:color="auto"/>
              <w:left w:val="single" w:sz="4" w:space="0" w:color="auto"/>
              <w:bottom w:val="single" w:sz="4" w:space="0" w:color="auto"/>
              <w:right w:val="single" w:sz="4" w:space="0" w:color="auto"/>
            </w:tcBorders>
          </w:tcPr>
          <w:p w14:paraId="1FDC1F76"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5AAFA33E" w14:textId="77777777" w:rsidR="00C57701" w:rsidRPr="00A87F21" w:rsidRDefault="00C57701" w:rsidP="00EC4D68">
            <w:pPr>
              <w:spacing w:after="60"/>
              <w:rPr>
                <w:iCs/>
                <w:sz w:val="20"/>
              </w:rPr>
            </w:pPr>
            <w:r w:rsidRPr="00A87F21">
              <w:rPr>
                <w:iCs/>
                <w:sz w:val="20"/>
              </w:rPr>
              <w:t>A 15-minute Settlement Interval.</w:t>
            </w:r>
          </w:p>
        </w:tc>
      </w:tr>
    </w:tbl>
    <w:p w14:paraId="4FEE20F0" w14:textId="77777777" w:rsidR="00F85B9C" w:rsidRPr="00F85B9C" w:rsidRDefault="00F85B9C" w:rsidP="00F85B9C">
      <w:pPr>
        <w:pStyle w:val="BodyText"/>
        <w:spacing w:after="0"/>
      </w:pPr>
      <w:bookmarkStart w:id="1967" w:name="_Toc481502896"/>
      <w:bookmarkStart w:id="1968" w:name="_Toc49608006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85B9C" w14:paraId="1B1C47E2" w14:textId="77777777" w:rsidTr="000D7680">
        <w:trPr>
          <w:trHeight w:val="206"/>
        </w:trPr>
        <w:tc>
          <w:tcPr>
            <w:tcW w:w="5000" w:type="pct"/>
            <w:shd w:val="pct12" w:color="auto" w:fill="auto"/>
          </w:tcPr>
          <w:p w14:paraId="5ED28868" w14:textId="493F3525" w:rsidR="00F85B9C" w:rsidRDefault="00F85B9C" w:rsidP="000D7680">
            <w:pPr>
              <w:pStyle w:val="Instructions"/>
              <w:spacing w:before="120"/>
            </w:pPr>
            <w:r>
              <w:t>[NPRR1010</w:t>
            </w:r>
            <w:r w:rsidR="006963EB">
              <w:t xml:space="preserve"> and NPRR1246</w:t>
            </w:r>
            <w:r>
              <w:t>:  Replace Section 6.6.</w:t>
            </w:r>
            <w:r w:rsidR="000932C9">
              <w:t>3.</w:t>
            </w:r>
            <w:r w:rsidR="00720B34">
              <w:t>6</w:t>
            </w:r>
            <w:r>
              <w:t xml:space="preserve"> above with the followi</w:t>
            </w:r>
            <w:r w:rsidR="00BA1412">
              <w:t xml:space="preserve">ng </w:t>
            </w:r>
            <w:r>
              <w:t>upon system implementation of the Real-Time Co-Optimization (RTC) project:]</w:t>
            </w:r>
          </w:p>
          <w:p w14:paraId="6FC19DAF" w14:textId="0315FA98" w:rsidR="00F85B9C" w:rsidRDefault="00F85B9C" w:rsidP="00F85B9C">
            <w:pPr>
              <w:keepNext/>
              <w:widowControl w:val="0"/>
              <w:tabs>
                <w:tab w:val="left" w:pos="1260"/>
              </w:tabs>
              <w:spacing w:before="240" w:after="240"/>
              <w:ind w:left="1260" w:hanging="1260"/>
              <w:outlineLvl w:val="3"/>
              <w:rPr>
                <w:b/>
              </w:rPr>
            </w:pPr>
            <w:bookmarkStart w:id="1969" w:name="_Toc60040681"/>
            <w:bookmarkStart w:id="1970" w:name="_Toc65151740"/>
            <w:bookmarkStart w:id="1971" w:name="_Toc80174766"/>
            <w:bookmarkStart w:id="1972" w:name="_Toc112417645"/>
            <w:bookmarkStart w:id="1973" w:name="_Toc119310314"/>
            <w:bookmarkStart w:id="1974" w:name="_Toc125966247"/>
            <w:bookmarkStart w:id="1975" w:name="_Toc135992345"/>
            <w:bookmarkStart w:id="1976" w:name="_Toc170303541"/>
            <w:bookmarkStart w:id="1977" w:name="_Toc175157445"/>
            <w:bookmarkStart w:id="1978" w:name="_Toc189044418"/>
            <w:bookmarkStart w:id="1979" w:name="_Hlk193965638"/>
            <w:r>
              <w:rPr>
                <w:b/>
              </w:rPr>
              <w:lastRenderedPageBreak/>
              <w:t>6.6.3.</w:t>
            </w:r>
            <w:r w:rsidR="00720B34">
              <w:rPr>
                <w:b/>
              </w:rPr>
              <w:t>6</w:t>
            </w:r>
            <w:r>
              <w:rPr>
                <w:b/>
              </w:rPr>
              <w:tab/>
              <w:t>Real-Time High Dispatch Limit Override Energy Payment</w:t>
            </w:r>
            <w:bookmarkEnd w:id="1969"/>
            <w:bookmarkEnd w:id="1970"/>
            <w:bookmarkEnd w:id="1971"/>
            <w:bookmarkEnd w:id="1972"/>
            <w:bookmarkEnd w:id="1973"/>
            <w:bookmarkEnd w:id="1974"/>
            <w:bookmarkEnd w:id="1975"/>
            <w:bookmarkEnd w:id="1976"/>
            <w:bookmarkEnd w:id="1977"/>
            <w:bookmarkEnd w:id="1978"/>
            <w:r>
              <w:rPr>
                <w:b/>
              </w:rPr>
              <w:t xml:space="preserve">  </w:t>
            </w:r>
          </w:p>
          <w:p w14:paraId="71CB3164" w14:textId="5AACFEB7" w:rsidR="00F85B9C" w:rsidRDefault="00F85B9C" w:rsidP="00F85B9C">
            <w:pPr>
              <w:spacing w:after="240"/>
              <w:ind w:left="720" w:hanging="720"/>
              <w:rPr>
                <w:color w:val="000000"/>
              </w:rPr>
            </w:pPr>
            <w:r>
              <w:rPr>
                <w:color w:val="000000"/>
              </w:rPr>
              <w:t>(1)</w:t>
            </w:r>
            <w:r>
              <w:rPr>
                <w:color w:val="000000"/>
              </w:rPr>
              <w:tab/>
              <w:t xml:space="preserve">If ERCOT directs a Generation Resource </w:t>
            </w:r>
            <w:r w:rsidR="001B1A8E">
              <w:rPr>
                <w:color w:val="000000"/>
              </w:rPr>
              <w:t xml:space="preserve">or Energy Storage Resource (ESR) to reduce </w:t>
            </w:r>
            <w:r>
              <w:rPr>
                <w:color w:val="000000"/>
              </w:rPr>
              <w:t>real power output by employing a manual High Dispatch Limit (HDL) override</w:t>
            </w:r>
            <w:r w:rsidR="00D92457">
              <w:rPr>
                <w:color w:val="000000"/>
              </w:rPr>
              <w:t xml:space="preserve">, or issues a Verbal Dispatch Instruction (VDI) to a Generation Resource </w:t>
            </w:r>
            <w:r w:rsidR="001B1A8E">
              <w:rPr>
                <w:color w:val="000000"/>
              </w:rPr>
              <w:t xml:space="preserve">or ESR </w:t>
            </w:r>
            <w:r w:rsidR="00D92457">
              <w:rPr>
                <w:color w:val="000000"/>
              </w:rPr>
              <w:t>to adjust its operation to produce the same effect,</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1B32BC0C" w14:textId="77777777" w:rsidR="00F85B9C" w:rsidRDefault="00F85B9C" w:rsidP="00F85B9C">
            <w:pPr>
              <w:spacing w:after="240"/>
              <w:ind w:left="1440" w:hanging="720"/>
            </w:pPr>
            <w:r>
              <w:t>(a)</w:t>
            </w:r>
            <w:r>
              <w:tab/>
              <w:t>Have complied with ERCOT Dispatch Instructions to reduce real power output;</w:t>
            </w:r>
          </w:p>
          <w:p w14:paraId="0464CF70" w14:textId="7FDF591B" w:rsidR="00F85B9C" w:rsidRDefault="00F85B9C" w:rsidP="00F85B9C">
            <w:pPr>
              <w:spacing w:after="240"/>
              <w:ind w:left="1440" w:hanging="720"/>
            </w:pPr>
            <w:r>
              <w:t>(b)</w:t>
            </w:r>
            <w:r>
              <w:tab/>
              <w:t>Have</w:t>
            </w:r>
            <w:r w:rsidR="00D92457">
              <w:t xml:space="preserve"> either</w:t>
            </w:r>
            <w:r>
              <w:t xml:space="preserve"> received a SCED Base Point equal to the Resource’s HDL override</w:t>
            </w:r>
            <w:r w:rsidR="00D92457">
              <w:t xml:space="preserve"> value or received </w:t>
            </w:r>
            <w:r w:rsidR="00D92457" w:rsidRPr="001F5A11">
              <w:t xml:space="preserve">a SCED </w:t>
            </w:r>
            <w:r w:rsidR="00D92457">
              <w:t>B</w:t>
            </w:r>
            <w:r w:rsidR="00D92457" w:rsidRPr="001F5A11">
              <w:t>ase</w:t>
            </w:r>
            <w:r w:rsidR="00D92457">
              <w:t xml:space="preserve"> P</w:t>
            </w:r>
            <w:r w:rsidR="00D92457" w:rsidRPr="001F5A11">
              <w:t xml:space="preserve">oint </w:t>
            </w:r>
            <w:r w:rsidR="00D92457">
              <w:t xml:space="preserve">less than the Resource’s output level at the time of the instruction but greater than or </w:t>
            </w:r>
            <w:r w:rsidR="00D92457" w:rsidRPr="001F5A11">
              <w:t xml:space="preserve">equal to the </w:t>
            </w:r>
            <w:r w:rsidR="00D92457">
              <w:t>instructed operating level specified in the VDI</w:t>
            </w:r>
            <w:r>
              <w:t>, during the 15-minute Settlement Interval;</w:t>
            </w:r>
          </w:p>
          <w:p w14:paraId="2A769C35" w14:textId="20777F5A" w:rsidR="00F85B9C" w:rsidRDefault="00F85B9C" w:rsidP="00F85B9C">
            <w:pPr>
              <w:spacing w:after="240"/>
              <w:ind w:left="1440" w:hanging="720"/>
            </w:pPr>
            <w:r>
              <w:t>(c)</w:t>
            </w:r>
            <w:r>
              <w:tab/>
              <w:t>Have incurred a demonstrable financial loss associated with variable cost components of DAM obligations or energy purchase or sale provisions of bilateral contracts (as opposed to lost opportunity costs), in consequence of the HDL override</w:t>
            </w:r>
            <w:r w:rsidR="00D92457">
              <w:t xml:space="preserve"> or VDI that had an equivalent effect</w:t>
            </w:r>
            <w:r>
              <w:t>; and</w:t>
            </w:r>
          </w:p>
          <w:p w14:paraId="235370A7" w14:textId="77777777" w:rsidR="00F85B9C" w:rsidRDefault="00F85B9C" w:rsidP="00F85B9C">
            <w:pPr>
              <w:spacing w:after="240"/>
              <w:ind w:left="1440" w:hanging="720"/>
            </w:pPr>
            <w:r>
              <w:t>(d)</w:t>
            </w:r>
            <w:r>
              <w:tab/>
              <w:t xml:space="preserve">File a timely Settlement and billing dispute, including the following items: </w:t>
            </w:r>
          </w:p>
          <w:p w14:paraId="53157083" w14:textId="77777777" w:rsidR="00F85B9C" w:rsidRDefault="00F85B9C" w:rsidP="00F85B9C">
            <w:pPr>
              <w:spacing w:after="240"/>
              <w:ind w:left="2160" w:hanging="720"/>
            </w:pPr>
            <w:r>
              <w:t>(i)</w:t>
            </w:r>
            <w:r>
              <w:tab/>
              <w:t>An attestation signed by an officer or executive with authority to bind the QSE;</w:t>
            </w:r>
          </w:p>
          <w:p w14:paraId="788A341E" w14:textId="77777777" w:rsidR="00F85B9C" w:rsidRDefault="00F85B9C" w:rsidP="00F85B9C">
            <w:pPr>
              <w:spacing w:after="240"/>
              <w:ind w:left="2160" w:hanging="720"/>
            </w:pPr>
            <w:r>
              <w:t>(ii)</w:t>
            </w:r>
            <w:r>
              <w:tab/>
              <w:t>The dollar amount and calculation of the financial loss by Settlement Interval;</w:t>
            </w:r>
          </w:p>
          <w:p w14:paraId="68FE5DA1" w14:textId="4623ECF8" w:rsidR="00F85B9C" w:rsidRDefault="00F85B9C" w:rsidP="00F85B9C">
            <w:pPr>
              <w:spacing w:after="240"/>
              <w:ind w:left="2160" w:hanging="720"/>
            </w:pPr>
            <w:r>
              <w:t>(iii)</w:t>
            </w:r>
            <w:r>
              <w:tab/>
              <w:t>An explanation of the nature of the loss and how it was attributable to the HDL override</w:t>
            </w:r>
            <w:r w:rsidR="00D92457">
              <w:t xml:space="preserve"> or equivalent VDI issued by ERCOT</w:t>
            </w:r>
            <w:r>
              <w:t xml:space="preserve">; and </w:t>
            </w:r>
          </w:p>
          <w:p w14:paraId="015AD7B6" w14:textId="77777777" w:rsidR="00F85B9C" w:rsidRDefault="00F85B9C" w:rsidP="00F85B9C">
            <w:pPr>
              <w:spacing w:after="240"/>
              <w:ind w:left="2160" w:hanging="720"/>
            </w:pPr>
            <w:r>
              <w:t>(iv)</w:t>
            </w:r>
            <w:r>
              <w:tab/>
              <w:t>Sufficient documentation to support the QSE’s calculation of the amount of the financial loss.</w:t>
            </w:r>
          </w:p>
          <w:p w14:paraId="15121C04" w14:textId="1AFB07D1" w:rsidR="00F85B9C" w:rsidRDefault="00F85B9C" w:rsidP="00F85B9C">
            <w:pPr>
              <w:spacing w:after="240"/>
              <w:ind w:left="720" w:hanging="720"/>
              <w:rPr>
                <w:color w:val="000000"/>
              </w:rPr>
            </w:pPr>
            <w:r>
              <w:rPr>
                <w:color w:val="000000"/>
              </w:rPr>
              <w:t>(2)</w:t>
            </w:r>
            <w:r>
              <w:rPr>
                <w:color w:val="000000"/>
              </w:rPr>
              <w:tab/>
              <w:t xml:space="preserve">ERCOT may request additional supporting documentation or explanation with respect to the submitted materials within 15 Business Days of receipt.  Additional information requested by ERCOT must be provided by the QSE within 15 </w:t>
            </w:r>
            <w:r w:rsidR="000932C9">
              <w:rPr>
                <w:color w:val="000000"/>
              </w:rPr>
              <w:t>B</w:t>
            </w:r>
            <w:r>
              <w:rPr>
                <w:color w:val="000000"/>
              </w:rPr>
              <w:t xml:space="preserve">usiness </w:t>
            </w:r>
            <w:r w:rsidR="000932C9">
              <w:rPr>
                <w:color w:val="000000"/>
              </w:rPr>
              <w:t>D</w:t>
            </w:r>
            <w:r>
              <w:rPr>
                <w:color w:val="000000"/>
              </w:rPr>
              <w:t xml:space="preserve">ays of ERCOT’s request.  ERCOT will provide Notice of its acceptance or rejection of the claim for the High Dispatch Limit Override Energy Payment within 15 Business Days of the updated submission. </w:t>
            </w:r>
          </w:p>
          <w:p w14:paraId="72C97016" w14:textId="6444136A" w:rsidR="00F85B9C" w:rsidRDefault="00F85B9C" w:rsidP="00F85B9C">
            <w:pPr>
              <w:spacing w:after="240"/>
              <w:ind w:left="720" w:hanging="720"/>
              <w:rPr>
                <w:color w:val="000000"/>
              </w:rPr>
            </w:pPr>
            <w:r>
              <w:rPr>
                <w:color w:val="000000"/>
              </w:rPr>
              <w:t>(3)</w:t>
            </w:r>
            <w:r>
              <w:rPr>
                <w:color w:val="000000"/>
              </w:rPr>
              <w:tab/>
              <w:t>The Energy Offer Curve</w:t>
            </w:r>
            <w:r w:rsidR="001B1A8E">
              <w:rPr>
                <w:color w:val="000000"/>
              </w:rPr>
              <w:t xml:space="preserve"> or Energy Bid/Offer Curve</w:t>
            </w:r>
            <w:r>
              <w:rPr>
                <w:color w:val="000000"/>
              </w:rPr>
              <w:t xml:space="preserve"> used to calculate the Real-Time High Dispatch Limit Override Energy Payment will be the most recent valid Energy Offer Curve</w:t>
            </w:r>
            <w:r w:rsidR="001B1A8E">
              <w:rPr>
                <w:color w:val="000000"/>
              </w:rPr>
              <w:t xml:space="preserve"> or Energy Bid/Offer Curve</w:t>
            </w:r>
            <w:r>
              <w:rPr>
                <w:color w:val="000000"/>
              </w:rPr>
              <w:t xml:space="preserve"> received by ERCOT that was effective for the disputed interval(s) when the HDL override </w:t>
            </w:r>
            <w:r w:rsidR="00D92457">
              <w:rPr>
                <w:color w:val="000000"/>
              </w:rPr>
              <w:t xml:space="preserve">or equivalent VDI </w:t>
            </w:r>
            <w:r>
              <w:rPr>
                <w:color w:val="000000"/>
              </w:rPr>
              <w:t xml:space="preserve">was issued.  If no curve </w:t>
            </w:r>
            <w:r>
              <w:rPr>
                <w:color w:val="000000"/>
              </w:rPr>
              <w:lastRenderedPageBreak/>
              <w:t>exists for the interval being disputed, ERCOT will use the most recent valid Energy Offer Curve</w:t>
            </w:r>
            <w:r w:rsidR="001B1A8E">
              <w:rPr>
                <w:color w:val="000000"/>
              </w:rPr>
              <w:t xml:space="preserve"> or Energy Bid/Offer Curve</w:t>
            </w:r>
            <w:r>
              <w:rPr>
                <w:color w:val="000000"/>
              </w:rPr>
              <w:t xml:space="preserve"> received before the HDL override</w:t>
            </w:r>
            <w:r w:rsidR="00D92457">
              <w:rPr>
                <w:color w:val="000000"/>
              </w:rPr>
              <w:t xml:space="preserve"> or equivalent VDI</w:t>
            </w:r>
            <w:r>
              <w:rPr>
                <w:color w:val="000000"/>
              </w:rPr>
              <w:t xml:space="preserve"> was issued for an interval prior to the disputed interval(s).</w:t>
            </w:r>
          </w:p>
          <w:p w14:paraId="34DDEEE5" w14:textId="63D80F2D" w:rsidR="00F85B9C" w:rsidRDefault="00F85B9C" w:rsidP="00F85B9C">
            <w:pPr>
              <w:spacing w:after="240"/>
              <w:ind w:left="720" w:hanging="720"/>
              <w:rPr>
                <w:color w:val="000000"/>
              </w:rPr>
            </w:pPr>
            <w:r>
              <w:rPr>
                <w:color w:val="000000"/>
              </w:rPr>
              <w:t>(4)</w:t>
            </w:r>
            <w:r>
              <w:rPr>
                <w:color w:val="000000"/>
              </w:rPr>
              <w:tab/>
              <w:t>The amount recoverable under this section shall be offset by any Ancillary Service Imbalance revenues received by the QSE that the QSE would not have earned had ERCOT not issued an HDL override.</w:t>
            </w:r>
          </w:p>
          <w:p w14:paraId="4122A2D4" w14:textId="31DD4631" w:rsidR="00F85B9C" w:rsidRDefault="00F85B9C" w:rsidP="00F85B9C">
            <w:pPr>
              <w:spacing w:after="240"/>
              <w:ind w:left="720" w:hanging="720"/>
              <w:rPr>
                <w:color w:val="000000"/>
              </w:rPr>
            </w:pPr>
            <w:r>
              <w:rPr>
                <w:color w:val="000000"/>
              </w:rPr>
              <w:tab/>
              <w:t xml:space="preserve">The payment shall be calculated as follows:  </w:t>
            </w:r>
          </w:p>
          <w:p w14:paraId="68CD7E79" w14:textId="72ECCBB0" w:rsidR="00F85B9C" w:rsidRDefault="00F85B9C" w:rsidP="00F85B9C">
            <w:pPr>
              <w:tabs>
                <w:tab w:val="left" w:pos="1440"/>
                <w:tab w:val="left" w:pos="2340"/>
              </w:tabs>
              <w:spacing w:after="240"/>
              <w:ind w:left="3420" w:right="415" w:hanging="2700"/>
              <w:jc w:val="both"/>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sidRPr="00A27C4B">
              <w:rPr>
                <w:b/>
                <w:bCs/>
                <w:i/>
                <w:iCs/>
                <w:vertAlign w:val="subscript"/>
              </w:rPr>
              <w:t>,</w:t>
            </w:r>
            <w:r>
              <w:rPr>
                <w:b/>
                <w:bCs/>
              </w:rPr>
              <w:t xml:space="preserve"> Max(0, ((RTSPP</w:t>
            </w:r>
            <w:r w:rsidR="008C1987">
              <w:rPr>
                <w:b/>
                <w:bCs/>
              </w:rPr>
              <w:t xml:space="preserve"> </w:t>
            </w:r>
            <w:r>
              <w:rPr>
                <w:b/>
                <w:bCs/>
                <w:i/>
                <w:vertAlign w:val="subscript"/>
              </w:rPr>
              <w:t>p, i</w:t>
            </w:r>
            <w:r>
              <w:rPr>
                <w:b/>
                <w:bCs/>
                <w:lang w:val="pt-BR"/>
              </w:rPr>
              <w:t xml:space="preserve"> </w:t>
            </w:r>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q, r, i</w:t>
            </w:r>
            <w:r>
              <w:rPr>
                <w:b/>
                <w:bCs/>
                <w:lang w:val="pt-BR"/>
              </w:rPr>
              <w:t>) * HDLOQTY</w:t>
            </w:r>
            <w:r>
              <w:rPr>
                <w:b/>
                <w:bCs/>
                <w:i/>
                <w:vertAlign w:val="subscript"/>
              </w:rPr>
              <w:t xml:space="preserve"> q, r, p, i</w:t>
            </w:r>
            <w:r>
              <w:rPr>
                <w:b/>
                <w:bCs/>
                <w:lang w:val="pt-BR"/>
              </w:rPr>
              <w:t>))}</w:t>
            </w:r>
          </w:p>
          <w:p w14:paraId="5DB32F2A" w14:textId="77777777" w:rsidR="00F85B9C" w:rsidRDefault="00F85B9C" w:rsidP="00F85B9C">
            <w:pPr>
              <w:tabs>
                <w:tab w:val="left" w:pos="1440"/>
                <w:tab w:val="left" w:pos="2340"/>
              </w:tabs>
              <w:spacing w:before="240" w:after="240"/>
              <w:ind w:left="3420" w:hanging="2700"/>
              <w:jc w:val="both"/>
              <w:rPr>
                <w:bCs/>
                <w:lang w:val="pt-BR"/>
              </w:rPr>
            </w:pPr>
            <w:r>
              <w:rPr>
                <w:bCs/>
                <w:lang w:val="pt-BR"/>
              </w:rPr>
              <w:t>Where:</w:t>
            </w:r>
          </w:p>
          <w:p w14:paraId="3E2545BC" w14:textId="77777777" w:rsidR="00F85B9C" w:rsidRDefault="00F85B9C" w:rsidP="00F85B9C">
            <w:pPr>
              <w:spacing w:after="240"/>
              <w:ind w:firstLine="720"/>
              <w:rPr>
                <w:b/>
                <w:iCs/>
                <w:lang w:val="pt-BR"/>
              </w:rPr>
            </w:pPr>
            <w:r>
              <w:rPr>
                <w:iCs/>
                <w:lang w:val="pt-BR"/>
              </w:rPr>
              <w:t>HDLOQTY</w:t>
            </w:r>
            <w:r>
              <w:rPr>
                <w:i/>
                <w:iCs/>
                <w:vertAlign w:val="subscript"/>
              </w:rPr>
              <w:t xml:space="preserve"> q, r, p, i</w:t>
            </w:r>
            <w:r>
              <w:rPr>
                <w:iCs/>
                <w:lang w:val="pt-BR"/>
              </w:rPr>
              <w:t xml:space="preserve">       =  Max(0, (¼ (HDLO</w:t>
            </w:r>
            <w:r>
              <w:rPr>
                <w:iCs/>
              </w:rPr>
              <w:t>BRKP</w:t>
            </w:r>
            <w:r>
              <w:rPr>
                <w:i/>
                <w:iCs/>
                <w:vertAlign w:val="subscript"/>
              </w:rPr>
              <w:t xml:space="preserve"> q, r, p, i</w:t>
            </w:r>
            <w:r>
              <w:rPr>
                <w:iCs/>
                <w:lang w:val="pt-BR"/>
              </w:rPr>
              <w:t xml:space="preserve"> – </w:t>
            </w:r>
            <w:r>
              <w:rPr>
                <w:iCs/>
              </w:rPr>
              <w:t xml:space="preserve">AVGHDL </w:t>
            </w:r>
            <w:r>
              <w:rPr>
                <w:i/>
                <w:iCs/>
                <w:vertAlign w:val="subscript"/>
                <w:lang w:val="es-ES"/>
              </w:rPr>
              <w:t>q, r, p, i</w:t>
            </w:r>
            <w:r>
              <w:rPr>
                <w:iCs/>
                <w:lang w:val="pt-BR"/>
              </w:rPr>
              <w:t>)))</w:t>
            </w:r>
          </w:p>
          <w:p w14:paraId="36F11138" w14:textId="51485265" w:rsidR="00F85B9C" w:rsidRDefault="00F85B9C" w:rsidP="00F85B9C">
            <w:pPr>
              <w:tabs>
                <w:tab w:val="left" w:pos="1440"/>
                <w:tab w:val="left" w:pos="2340"/>
              </w:tabs>
              <w:spacing w:after="240"/>
              <w:ind w:left="3420" w:hanging="2700"/>
              <w:jc w:val="both"/>
              <w:rPr>
                <w:bCs/>
                <w:lang w:val="pt-BR"/>
              </w:rPr>
            </w:pPr>
            <w:r>
              <w:rPr>
                <w:bCs/>
              </w:rPr>
              <w:t>HDLOBRKP</w:t>
            </w:r>
            <w:r>
              <w:rPr>
                <w:bCs/>
                <w:lang w:val="pt-BR"/>
              </w:rPr>
              <w:t xml:space="preserve"> </w:t>
            </w:r>
            <w:r>
              <w:rPr>
                <w:bCs/>
                <w:i/>
                <w:vertAlign w:val="subscript"/>
                <w:lang w:val="es-ES"/>
              </w:rPr>
              <w:t xml:space="preserve">q, r, p, i </w:t>
            </w:r>
            <w:r>
              <w:rPr>
                <w:bCs/>
                <w:vertAlign w:val="subscript"/>
                <w:lang w:val="es-MX"/>
              </w:rPr>
              <w:t xml:space="preserve">     </w:t>
            </w:r>
            <w:r>
              <w:rPr>
                <w:bCs/>
              </w:rPr>
              <w:t>=  Min(AVGHSL</w:t>
            </w:r>
            <w:r>
              <w:rPr>
                <w:bCs/>
                <w:lang w:val="es-MX"/>
              </w:rPr>
              <w:t xml:space="preserve"> </w:t>
            </w:r>
            <w:r>
              <w:rPr>
                <w:bCs/>
                <w:i/>
                <w:vertAlign w:val="subscript"/>
                <w:lang w:val="es-ES"/>
              </w:rPr>
              <w:t>q, r, p, i</w:t>
            </w:r>
            <w:r>
              <w:rPr>
                <w:bCs/>
              </w:rPr>
              <w:t>, HDLOBRKPCP</w:t>
            </w:r>
            <w:r>
              <w:rPr>
                <w:bCs/>
                <w:lang w:val="es-MX"/>
              </w:rPr>
              <w:t xml:space="preserve"> </w:t>
            </w:r>
            <w:r>
              <w:rPr>
                <w:bCs/>
                <w:i/>
                <w:vertAlign w:val="subscript"/>
                <w:lang w:val="es-ES"/>
              </w:rPr>
              <w:t>q, r, p, i</w:t>
            </w:r>
            <w:r>
              <w:rPr>
                <w:bCs/>
                <w:lang w:val="pt-BR"/>
              </w:rPr>
              <w:t>)</w:t>
            </w:r>
          </w:p>
          <w:p w14:paraId="592E559A" w14:textId="77777777" w:rsidR="00F85B9C" w:rsidRDefault="00F85B9C" w:rsidP="00F85B9C">
            <w:pPr>
              <w:spacing w:before="120"/>
            </w:pPr>
            <w: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40"/>
              <w:gridCol w:w="6396"/>
            </w:tblGrid>
            <w:tr w:rsidR="00F85B9C" w14:paraId="0CC76ECD" w14:textId="77777777" w:rsidTr="00F85B9C">
              <w:trPr>
                <w:cantSplit/>
                <w:trHeight w:val="146"/>
                <w:tblHeader/>
              </w:trPr>
              <w:tc>
                <w:tcPr>
                  <w:tcW w:w="906" w:type="pct"/>
                  <w:tcBorders>
                    <w:top w:val="single" w:sz="4" w:space="0" w:color="auto"/>
                    <w:left w:val="single" w:sz="4" w:space="0" w:color="auto"/>
                    <w:bottom w:val="single" w:sz="4" w:space="0" w:color="auto"/>
                    <w:right w:val="single" w:sz="4" w:space="0" w:color="auto"/>
                  </w:tcBorders>
                  <w:hideMark/>
                </w:tcPr>
                <w:p w14:paraId="6196E0FD" w14:textId="77777777" w:rsidR="00F85B9C" w:rsidRDefault="00F85B9C" w:rsidP="00F85B9C">
                  <w:pPr>
                    <w:spacing w:after="240"/>
                    <w:rPr>
                      <w:b/>
                      <w:iCs/>
                      <w:sz w:val="20"/>
                    </w:rPr>
                  </w:pPr>
                  <w:r>
                    <w:rPr>
                      <w:b/>
                      <w:iCs/>
                      <w:sz w:val="20"/>
                    </w:rPr>
                    <w:t>Variable</w:t>
                  </w:r>
                </w:p>
              </w:tc>
              <w:tc>
                <w:tcPr>
                  <w:tcW w:w="475" w:type="pct"/>
                  <w:tcBorders>
                    <w:top w:val="single" w:sz="4" w:space="0" w:color="auto"/>
                    <w:left w:val="single" w:sz="4" w:space="0" w:color="auto"/>
                    <w:bottom w:val="single" w:sz="4" w:space="0" w:color="auto"/>
                    <w:right w:val="single" w:sz="4" w:space="0" w:color="auto"/>
                  </w:tcBorders>
                  <w:hideMark/>
                </w:tcPr>
                <w:p w14:paraId="74424743" w14:textId="77777777" w:rsidR="00F85B9C" w:rsidRDefault="00F85B9C" w:rsidP="00F85B9C">
                  <w:pPr>
                    <w:spacing w:after="240"/>
                    <w:rPr>
                      <w:b/>
                      <w:iCs/>
                      <w:sz w:val="20"/>
                    </w:rPr>
                  </w:pPr>
                  <w:r>
                    <w:rPr>
                      <w:b/>
                      <w:iCs/>
                      <w:sz w:val="20"/>
                    </w:rPr>
                    <w:t>Unit</w:t>
                  </w:r>
                </w:p>
              </w:tc>
              <w:tc>
                <w:tcPr>
                  <w:tcW w:w="3619" w:type="pct"/>
                  <w:tcBorders>
                    <w:top w:val="single" w:sz="4" w:space="0" w:color="auto"/>
                    <w:left w:val="single" w:sz="4" w:space="0" w:color="auto"/>
                    <w:bottom w:val="single" w:sz="4" w:space="0" w:color="auto"/>
                    <w:right w:val="single" w:sz="4" w:space="0" w:color="auto"/>
                  </w:tcBorders>
                  <w:hideMark/>
                </w:tcPr>
                <w:p w14:paraId="2DB4D11F" w14:textId="77777777" w:rsidR="00F85B9C" w:rsidRDefault="00F85B9C" w:rsidP="00F85B9C">
                  <w:pPr>
                    <w:spacing w:after="240"/>
                    <w:rPr>
                      <w:b/>
                      <w:iCs/>
                      <w:sz w:val="20"/>
                    </w:rPr>
                  </w:pPr>
                  <w:r>
                    <w:rPr>
                      <w:b/>
                      <w:iCs/>
                      <w:sz w:val="20"/>
                    </w:rPr>
                    <w:t>Definition</w:t>
                  </w:r>
                </w:p>
              </w:tc>
            </w:tr>
            <w:tr w:rsidR="00F85B9C" w14:paraId="3A804F35"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59F26E76" w14:textId="77777777" w:rsidR="00F85B9C" w:rsidRDefault="00F85B9C" w:rsidP="00F85B9C">
                  <w:pPr>
                    <w:spacing w:after="60"/>
                    <w:rPr>
                      <w:iCs/>
                      <w:sz w:val="20"/>
                    </w:rPr>
                  </w:pPr>
                  <w:r>
                    <w:rPr>
                      <w:bCs/>
                      <w:sz w:val="20"/>
                    </w:rPr>
                    <w:t>HDLOAL</w:t>
                  </w:r>
                  <w:r>
                    <w:rPr>
                      <w:b/>
                      <w:i/>
                      <w:iCs/>
                      <w:sz w:val="20"/>
                      <w:vertAlign w:val="subscript"/>
                      <w:lang w:val="es-ES"/>
                    </w:rPr>
                    <w:t xml:space="preserve"> q, r, p, i</w:t>
                  </w:r>
                </w:p>
              </w:tc>
              <w:tc>
                <w:tcPr>
                  <w:tcW w:w="475" w:type="pct"/>
                  <w:tcBorders>
                    <w:top w:val="single" w:sz="4" w:space="0" w:color="auto"/>
                    <w:left w:val="single" w:sz="4" w:space="0" w:color="auto"/>
                    <w:bottom w:val="single" w:sz="4" w:space="0" w:color="auto"/>
                    <w:right w:val="single" w:sz="4" w:space="0" w:color="auto"/>
                  </w:tcBorders>
                  <w:hideMark/>
                </w:tcPr>
                <w:p w14:paraId="4484835A"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2AAFEF69" w14:textId="2A468E55" w:rsidR="00F85B9C" w:rsidRDefault="00F85B9C" w:rsidP="00F85B9C">
                  <w:pPr>
                    <w:spacing w:after="60"/>
                    <w:rPr>
                      <w:i/>
                      <w:iCs/>
                      <w:sz w:val="20"/>
                    </w:rPr>
                  </w:pPr>
                  <w:r>
                    <w:rPr>
                      <w:i/>
                      <w:iCs/>
                      <w:sz w:val="20"/>
                    </w:rPr>
                    <w:t>High Dispatch Limit override attested losses</w:t>
                  </w:r>
                  <w:r w:rsidR="00683A03" w:rsidRPr="00A87F21">
                    <w:rPr>
                      <w:iCs/>
                      <w:sz w:val="20"/>
                    </w:rPr>
                    <w:t>—</w:t>
                  </w:r>
                  <w:r>
                    <w:rPr>
                      <w:iCs/>
                      <w:sz w:val="20"/>
                    </w:rPr>
                    <w:t xml:space="preserve">The financial loss to the </w:t>
                  </w:r>
                  <w:r w:rsidR="008152FC">
                    <w:rPr>
                      <w:iCs/>
                      <w:sz w:val="20"/>
                    </w:rPr>
                    <w:t xml:space="preserve">Resource </w:t>
                  </w:r>
                  <w:r w:rsidR="008152FC" w:rsidRPr="008869A2">
                    <w:rPr>
                      <w:i/>
                      <w:sz w:val="20"/>
                    </w:rPr>
                    <w:t>r</w:t>
                  </w:r>
                  <w:r w:rsidR="008152FC">
                    <w:rPr>
                      <w:iCs/>
                      <w:sz w:val="20"/>
                    </w:rPr>
                    <w:t xml:space="preserve"> represented by </w:t>
                  </w:r>
                  <w:r>
                    <w:rPr>
                      <w:iCs/>
                      <w:sz w:val="20"/>
                    </w:rPr>
                    <w:t xml:space="preserve">QSE </w:t>
                  </w:r>
                  <w:r w:rsidR="008152FC" w:rsidRPr="008152FC">
                    <w:rPr>
                      <w:i/>
                      <w:sz w:val="20"/>
                    </w:rPr>
                    <w:t>q</w:t>
                  </w:r>
                  <w:r w:rsidR="008152FC">
                    <w:rPr>
                      <w:iCs/>
                      <w:sz w:val="20"/>
                    </w:rPr>
                    <w:t xml:space="preserve"> </w:t>
                  </w:r>
                  <w:r>
                    <w:rPr>
                      <w:iCs/>
                      <w:sz w:val="20"/>
                    </w:rPr>
                    <w:t>due to the HDL override as attested by the QSE in accordance with paragraph (1)(d) above.</w:t>
                  </w:r>
                  <w:r w:rsidR="008152FC">
                    <w:rPr>
                      <w:iCs/>
                      <w:sz w:val="20"/>
                    </w:rPr>
                    <w:t xml:space="preserve"> </w:t>
                  </w:r>
                  <w:r w:rsidR="008152FC" w:rsidRPr="008869A2">
                    <w:rPr>
                      <w:iCs/>
                      <w:sz w:val="20"/>
                    </w:rPr>
                    <w:t xml:space="preserve"> For a combined cycle Resource, </w:t>
                  </w:r>
                  <w:r w:rsidR="008152FC" w:rsidRPr="008869A2">
                    <w:rPr>
                      <w:i/>
                      <w:iCs/>
                      <w:sz w:val="20"/>
                    </w:rPr>
                    <w:t>r</w:t>
                  </w:r>
                  <w:r w:rsidR="008152FC" w:rsidRPr="008869A2">
                    <w:rPr>
                      <w:iCs/>
                      <w:sz w:val="20"/>
                    </w:rPr>
                    <w:t xml:space="preserve"> is a Combined Cycle Train.</w:t>
                  </w:r>
                </w:p>
              </w:tc>
            </w:tr>
            <w:tr w:rsidR="008152FC" w14:paraId="62C6017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76B89B4" w14:textId="6EE418A4" w:rsidR="008152FC" w:rsidRDefault="008152FC" w:rsidP="008152FC">
                  <w:pPr>
                    <w:spacing w:after="60"/>
                    <w:rPr>
                      <w:iCs/>
                      <w:sz w:val="20"/>
                    </w:rPr>
                  </w:pPr>
                  <w:r w:rsidRPr="008869A2">
                    <w:rPr>
                      <w:iCs/>
                      <w:sz w:val="20"/>
                    </w:rPr>
                    <w:t xml:space="preserve">HDLOEAMT </w:t>
                  </w:r>
                  <w:r w:rsidRPr="008869A2">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38EBC59" w14:textId="6855A1B7" w:rsidR="008152FC" w:rsidRDefault="008152FC" w:rsidP="008152FC">
                  <w:pPr>
                    <w:spacing w:after="60"/>
                    <w:rPr>
                      <w:iCs/>
                      <w:sz w:val="20"/>
                    </w:rPr>
                  </w:pPr>
                  <w:r w:rsidRPr="008869A2">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35DC62C5" w14:textId="12E5F172" w:rsidR="008152FC" w:rsidRDefault="008152FC" w:rsidP="008152FC">
                  <w:pPr>
                    <w:spacing w:after="60"/>
                    <w:rPr>
                      <w:iCs/>
                      <w:sz w:val="20"/>
                    </w:rPr>
                  </w:pPr>
                  <w:r w:rsidRPr="008869A2">
                    <w:rPr>
                      <w:i/>
                      <w:iCs/>
                      <w:sz w:val="20"/>
                    </w:rPr>
                    <w:t>High Dispatch Limit override energy amount per QSE per Generation Resource</w:t>
                  </w:r>
                  <w:r w:rsidRPr="008869A2">
                    <w:rPr>
                      <w:iCs/>
                      <w:sz w:val="20"/>
                    </w:rPr>
                    <w:t xml:space="preserve">—The payment to QSE </w:t>
                  </w:r>
                  <w:r w:rsidRPr="008869A2">
                    <w:rPr>
                      <w:i/>
                      <w:iCs/>
                      <w:sz w:val="20"/>
                    </w:rPr>
                    <w:t>q</w:t>
                  </w:r>
                  <w:r w:rsidRPr="008869A2">
                    <w:rPr>
                      <w:iCs/>
                      <w:sz w:val="20"/>
                    </w:rPr>
                    <w:t xml:space="preserve"> for an ERCOT-issued HDL override or equivalent VDI for Resource </w:t>
                  </w:r>
                  <w:r w:rsidRPr="008869A2">
                    <w:rPr>
                      <w:i/>
                      <w:iCs/>
                      <w:sz w:val="20"/>
                    </w:rPr>
                    <w:t>r</w:t>
                  </w:r>
                  <w:r w:rsidRPr="008869A2">
                    <w:rPr>
                      <w:iCs/>
                      <w:sz w:val="20"/>
                    </w:rPr>
                    <w:t xml:space="preserve"> at Settlement Point </w:t>
                  </w:r>
                  <w:r w:rsidRPr="008869A2">
                    <w:rPr>
                      <w:i/>
                      <w:iCs/>
                      <w:sz w:val="20"/>
                    </w:rPr>
                    <w:t xml:space="preserve">p </w:t>
                  </w:r>
                  <w:r w:rsidRPr="008869A2">
                    <w:rPr>
                      <w:iCs/>
                      <w:sz w:val="20"/>
                    </w:rPr>
                    <w:t xml:space="preserve">for the 15-minute Settlement Interval </w:t>
                  </w:r>
                  <w:r w:rsidRPr="008869A2">
                    <w:rPr>
                      <w:i/>
                      <w:iCs/>
                      <w:sz w:val="20"/>
                    </w:rPr>
                    <w:t>i</w:t>
                  </w:r>
                  <w:r w:rsidRPr="008869A2">
                    <w:rPr>
                      <w:iCs/>
                      <w:sz w:val="20"/>
                    </w:rPr>
                    <w:t xml:space="preserve">.  For a combined cycle Resource, </w:t>
                  </w:r>
                  <w:r w:rsidRPr="008869A2">
                    <w:rPr>
                      <w:i/>
                      <w:iCs/>
                      <w:sz w:val="20"/>
                    </w:rPr>
                    <w:t>r</w:t>
                  </w:r>
                  <w:r w:rsidRPr="008869A2">
                    <w:rPr>
                      <w:iCs/>
                      <w:sz w:val="20"/>
                    </w:rPr>
                    <w:t xml:space="preserve"> is a Combined Cycle Train.</w:t>
                  </w:r>
                </w:p>
              </w:tc>
            </w:tr>
            <w:tr w:rsidR="008152FC" w14:paraId="5828A074"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1344E7C" w14:textId="4CEAB21E" w:rsidR="008152FC" w:rsidRDefault="008152FC" w:rsidP="008152FC">
                  <w:pPr>
                    <w:spacing w:after="60"/>
                    <w:rPr>
                      <w:iCs/>
                      <w:sz w:val="20"/>
                    </w:rPr>
                  </w:pPr>
                  <w:r w:rsidRPr="008869A2">
                    <w:rPr>
                      <w:iCs/>
                      <w:sz w:val="20"/>
                    </w:rPr>
                    <w:t xml:space="preserve">HDLOBRKP </w:t>
                  </w:r>
                  <w:r w:rsidRPr="008869A2">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EB3D3B9" w14:textId="7DE4DF6B" w:rsidR="008152FC" w:rsidRDefault="008152FC" w:rsidP="008152FC">
                  <w:pPr>
                    <w:spacing w:after="60"/>
                    <w:rPr>
                      <w:iCs/>
                      <w:sz w:val="20"/>
                    </w:rPr>
                  </w:pPr>
                  <w:r w:rsidRPr="008869A2">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43CE3088" w14:textId="31ADA46D" w:rsidR="008152FC" w:rsidRDefault="008152FC" w:rsidP="008152FC">
                  <w:pPr>
                    <w:spacing w:after="60"/>
                    <w:rPr>
                      <w:i/>
                      <w:iCs/>
                      <w:sz w:val="20"/>
                    </w:rPr>
                  </w:pPr>
                  <w:r w:rsidRPr="008869A2">
                    <w:rPr>
                      <w:i/>
                      <w:iCs/>
                      <w:sz w:val="20"/>
                    </w:rPr>
                    <w:t>High Dispatch Limit override break point per QSE per Resource</w:t>
                  </w:r>
                  <w:r w:rsidRPr="008869A2">
                    <w:rPr>
                      <w:iCs/>
                      <w:sz w:val="20"/>
                    </w:rPr>
                    <w:t xml:space="preserve">—The point on the Energy Offer Curve </w:t>
                  </w:r>
                  <w:r>
                    <w:rPr>
                      <w:iCs/>
                      <w:sz w:val="20"/>
                    </w:rPr>
                    <w:t xml:space="preserve">or Energy Bid/Offer Curve </w:t>
                  </w:r>
                  <w:r w:rsidRPr="008869A2">
                    <w:rPr>
                      <w:iCs/>
                      <w:sz w:val="20"/>
                    </w:rPr>
                    <w:t xml:space="preserve">corresponding to the lesser of the AVGHSL or the interception between the RTSPP of the Resource </w:t>
                  </w:r>
                  <w:r w:rsidRPr="008869A2">
                    <w:rPr>
                      <w:i/>
                      <w:iCs/>
                      <w:sz w:val="20"/>
                    </w:rPr>
                    <w:t>r</w:t>
                  </w:r>
                  <w:r w:rsidRPr="008869A2">
                    <w:rPr>
                      <w:iCs/>
                      <w:sz w:val="20"/>
                    </w:rPr>
                    <w:t xml:space="preserve"> represented by QSE </w:t>
                  </w:r>
                  <w:r w:rsidRPr="008869A2">
                    <w:rPr>
                      <w:i/>
                      <w:iCs/>
                      <w:sz w:val="20"/>
                    </w:rPr>
                    <w:t>q</w:t>
                  </w:r>
                  <w:r w:rsidRPr="008869A2">
                    <w:rPr>
                      <w:iCs/>
                      <w:sz w:val="20"/>
                    </w:rPr>
                    <w:t xml:space="preserve"> minus the Real-Time Reliability Deployment Price for Energy and the Energy Offer Curve </w:t>
                  </w:r>
                  <w:r>
                    <w:rPr>
                      <w:iCs/>
                      <w:sz w:val="20"/>
                    </w:rPr>
                    <w:t xml:space="preserve">Cost Cap </w:t>
                  </w:r>
                  <w:r w:rsidRPr="008869A2">
                    <w:rPr>
                      <w:iCs/>
                      <w:sz w:val="20"/>
                    </w:rPr>
                    <w:t xml:space="preserve">of Resource </w:t>
                  </w:r>
                  <w:r w:rsidRPr="008869A2">
                    <w:rPr>
                      <w:i/>
                      <w:iCs/>
                      <w:sz w:val="20"/>
                    </w:rPr>
                    <w:t>r</w:t>
                  </w:r>
                  <w:r w:rsidRPr="008869A2">
                    <w:rPr>
                      <w:iCs/>
                      <w:sz w:val="20"/>
                    </w:rPr>
                    <w:t xml:space="preserve"> represented by QSE </w:t>
                  </w:r>
                  <w:r w:rsidRPr="008869A2">
                    <w:rPr>
                      <w:i/>
                      <w:iCs/>
                      <w:sz w:val="20"/>
                    </w:rPr>
                    <w:t>q</w:t>
                  </w:r>
                  <w:r w:rsidRPr="008869A2">
                    <w:rPr>
                      <w:iCs/>
                      <w:sz w:val="20"/>
                    </w:rPr>
                    <w:t xml:space="preserve">, for the 15-minute Settlement Interval </w:t>
                  </w:r>
                  <w:r w:rsidRPr="008869A2">
                    <w:rPr>
                      <w:i/>
                      <w:iCs/>
                      <w:sz w:val="20"/>
                    </w:rPr>
                    <w:t>i</w:t>
                  </w:r>
                  <w:r w:rsidRPr="008869A2">
                    <w:rPr>
                      <w:iCs/>
                      <w:sz w:val="20"/>
                    </w:rPr>
                    <w:t xml:space="preserve">.  For a combined cycle Resource, </w:t>
                  </w:r>
                  <w:r w:rsidRPr="008869A2">
                    <w:rPr>
                      <w:i/>
                      <w:iCs/>
                      <w:sz w:val="20"/>
                    </w:rPr>
                    <w:t>r</w:t>
                  </w:r>
                  <w:r w:rsidRPr="008869A2">
                    <w:rPr>
                      <w:iCs/>
                      <w:sz w:val="20"/>
                    </w:rPr>
                    <w:t xml:space="preserve"> is a Combined Cycle Train.</w:t>
                  </w:r>
                </w:p>
              </w:tc>
            </w:tr>
            <w:tr w:rsidR="008152FC" w14:paraId="2B5550F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29A0742F" w14:textId="3C0FC0C4" w:rsidR="008152FC" w:rsidRDefault="008152FC" w:rsidP="008152FC">
                  <w:pPr>
                    <w:spacing w:after="60"/>
                    <w:rPr>
                      <w:iCs/>
                      <w:sz w:val="20"/>
                    </w:rPr>
                  </w:pPr>
                  <w:r w:rsidRPr="008869A2">
                    <w:rPr>
                      <w:iCs/>
                      <w:sz w:val="20"/>
                    </w:rPr>
                    <w:t xml:space="preserve">AVGHDL </w:t>
                  </w:r>
                  <w:r w:rsidRPr="008869A2">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0B95F416" w14:textId="4837FE50" w:rsidR="008152FC" w:rsidRDefault="008152FC" w:rsidP="008152FC">
                  <w:pPr>
                    <w:spacing w:after="60"/>
                    <w:rPr>
                      <w:iCs/>
                      <w:sz w:val="20"/>
                    </w:rPr>
                  </w:pPr>
                  <w:r w:rsidRPr="008869A2">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2C1AEA3" w14:textId="2E4A8E8B" w:rsidR="008152FC" w:rsidRDefault="008152FC" w:rsidP="008152FC">
                  <w:pPr>
                    <w:rPr>
                      <w:color w:val="002060"/>
                      <w:sz w:val="20"/>
                    </w:rPr>
                  </w:pPr>
                  <w:r w:rsidRPr="008869A2">
                    <w:rPr>
                      <w:i/>
                      <w:iCs/>
                      <w:color w:val="000000"/>
                      <w:sz w:val="20"/>
                    </w:rPr>
                    <w:t>Average High Dispatch Limit per QSE per Settlement Point per Resource</w:t>
                  </w:r>
                  <w:r w:rsidRPr="008869A2">
                    <w:rPr>
                      <w:color w:val="000000"/>
                      <w:sz w:val="20"/>
                    </w:rPr>
                    <w:t>—The time-weighted average of all 4-second HDL values calculated by the Resource Limit Calculato</w:t>
                  </w:r>
                  <w:r w:rsidRPr="008869A2">
                    <w:rPr>
                      <w:sz w:val="20"/>
                    </w:rPr>
                    <w:t xml:space="preserve">r, subject to the maximum of the manual HDL override or equivalent VDI and the telemetered output, for </w:t>
                  </w:r>
                  <w:r w:rsidRPr="008869A2">
                    <w:rPr>
                      <w:color w:val="000000"/>
                      <w:sz w:val="20"/>
                    </w:rPr>
                    <w:t>the Generation Resource</w:t>
                  </w:r>
                  <w:r>
                    <w:rPr>
                      <w:color w:val="000000"/>
                      <w:sz w:val="20"/>
                    </w:rPr>
                    <w:t xml:space="preserve"> or ESR</w:t>
                  </w:r>
                  <w:r>
                    <w:rPr>
                      <w:color w:val="000000"/>
                      <w:sz w:val="20"/>
                    </w:rPr>
                    <w:t xml:space="preserve"> </w:t>
                  </w:r>
                  <w:r w:rsidRPr="008869A2">
                    <w:rPr>
                      <w:i/>
                      <w:iCs/>
                      <w:color w:val="000000"/>
                      <w:sz w:val="20"/>
                    </w:rPr>
                    <w:t>r</w:t>
                  </w:r>
                  <w:r w:rsidRPr="008869A2">
                    <w:rPr>
                      <w:color w:val="000000"/>
                      <w:sz w:val="20"/>
                    </w:rPr>
                    <w:t xml:space="preserve"> represented by QSE </w:t>
                  </w:r>
                  <w:r w:rsidRPr="008869A2">
                    <w:rPr>
                      <w:i/>
                      <w:iCs/>
                      <w:color w:val="000000"/>
                      <w:sz w:val="20"/>
                    </w:rPr>
                    <w:t>q</w:t>
                  </w:r>
                  <w:r w:rsidRPr="008869A2">
                    <w:rPr>
                      <w:color w:val="000000"/>
                      <w:sz w:val="20"/>
                    </w:rPr>
                    <w:t xml:space="preserve"> at Settlement Point </w:t>
                  </w:r>
                  <w:r w:rsidRPr="008869A2">
                    <w:rPr>
                      <w:i/>
                      <w:iCs/>
                      <w:color w:val="000000"/>
                      <w:sz w:val="20"/>
                    </w:rPr>
                    <w:t>p</w:t>
                  </w:r>
                  <w:r w:rsidRPr="008869A2">
                    <w:rPr>
                      <w:color w:val="000000"/>
                      <w:sz w:val="20"/>
                    </w:rPr>
                    <w:t xml:space="preserve"> within the 15-minute Settlement Interval </w:t>
                  </w:r>
                  <w:r w:rsidRPr="008869A2">
                    <w:rPr>
                      <w:i/>
                      <w:iCs/>
                      <w:color w:val="000000"/>
                      <w:sz w:val="20"/>
                    </w:rPr>
                    <w:t>i</w:t>
                  </w:r>
                  <w:r w:rsidRPr="008869A2">
                    <w:rPr>
                      <w:color w:val="000000"/>
                      <w:sz w:val="20"/>
                    </w:rPr>
                    <w:t>.  For a Combined</w:t>
                  </w:r>
                  <w:r w:rsidRPr="008869A2">
                    <w:rPr>
                      <w:sz w:val="20"/>
                    </w:rPr>
                    <w:t xml:space="preserve"> Cycle Train, the Resource </w:t>
                  </w:r>
                  <w:r w:rsidRPr="008869A2">
                    <w:rPr>
                      <w:i/>
                      <w:sz w:val="20"/>
                    </w:rPr>
                    <w:t xml:space="preserve">r </w:t>
                  </w:r>
                  <w:r w:rsidRPr="008869A2">
                    <w:rPr>
                      <w:sz w:val="20"/>
                    </w:rPr>
                    <w:t>is a Combined Cycle Train.</w:t>
                  </w:r>
                  <w:r w:rsidRPr="008869A2">
                    <w:t xml:space="preserve">  </w:t>
                  </w:r>
                </w:p>
              </w:tc>
            </w:tr>
            <w:tr w:rsidR="008152FC" w14:paraId="25C1732A" w14:textId="77777777" w:rsidTr="00F85B9C">
              <w:trPr>
                <w:cantSplit/>
                <w:trHeight w:val="1430"/>
              </w:trPr>
              <w:tc>
                <w:tcPr>
                  <w:tcW w:w="906" w:type="pct"/>
                  <w:tcBorders>
                    <w:top w:val="single" w:sz="4" w:space="0" w:color="auto"/>
                    <w:left w:val="single" w:sz="4" w:space="0" w:color="auto"/>
                    <w:bottom w:val="single" w:sz="4" w:space="0" w:color="auto"/>
                    <w:right w:val="single" w:sz="4" w:space="0" w:color="auto"/>
                  </w:tcBorders>
                  <w:hideMark/>
                </w:tcPr>
                <w:p w14:paraId="03111FCE" w14:textId="63B19ACD" w:rsidR="008152FC" w:rsidRDefault="008152FC" w:rsidP="008152FC">
                  <w:pPr>
                    <w:spacing w:after="60"/>
                    <w:rPr>
                      <w:iCs/>
                      <w:color w:val="000000"/>
                      <w:sz w:val="20"/>
                      <w:lang w:val="es-MX"/>
                    </w:rPr>
                  </w:pPr>
                  <w:r w:rsidRPr="008869A2">
                    <w:rPr>
                      <w:iCs/>
                      <w:color w:val="000000"/>
                      <w:sz w:val="20"/>
                    </w:rPr>
                    <w:lastRenderedPageBreak/>
                    <w:t xml:space="preserve">AVGHSL </w:t>
                  </w:r>
                  <w:r w:rsidRPr="008869A2">
                    <w:rPr>
                      <w:b/>
                      <w:bCs/>
                      <w:i/>
                      <w:color w:val="000000"/>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42FDDB28" w14:textId="4034FAC6" w:rsidR="008152FC" w:rsidRDefault="008152FC" w:rsidP="008152FC">
                  <w:pPr>
                    <w:spacing w:after="60"/>
                    <w:rPr>
                      <w:iCs/>
                      <w:color w:val="000000"/>
                      <w:sz w:val="20"/>
                    </w:rPr>
                  </w:pPr>
                  <w:r w:rsidRPr="008869A2">
                    <w:rPr>
                      <w:iCs/>
                      <w:color w:val="000000"/>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FCD65A7" w14:textId="0D8B4FA1" w:rsidR="008152FC" w:rsidRDefault="008152FC" w:rsidP="008152FC">
                  <w:pPr>
                    <w:spacing w:after="60"/>
                    <w:rPr>
                      <w:i/>
                      <w:iCs/>
                      <w:color w:val="000000"/>
                      <w:sz w:val="20"/>
                    </w:rPr>
                  </w:pPr>
                  <w:r w:rsidRPr="008869A2">
                    <w:rPr>
                      <w:i/>
                      <w:color w:val="000000"/>
                      <w:sz w:val="20"/>
                    </w:rPr>
                    <w:t>Average High Sustained Limit per QSE per Settlement Point per Resource</w:t>
                  </w:r>
                  <w:r w:rsidRPr="008869A2">
                    <w:rPr>
                      <w:iCs/>
                      <w:color w:val="000000"/>
                      <w:sz w:val="20"/>
                    </w:rPr>
                    <w:t>—The time-weighted average High Sustained Limit (HSL) for the Generation Resource</w:t>
                  </w:r>
                  <w:r>
                    <w:rPr>
                      <w:iCs/>
                      <w:color w:val="000000"/>
                      <w:sz w:val="20"/>
                    </w:rPr>
                    <w:t xml:space="preserve"> or ESR</w:t>
                  </w:r>
                  <w:r w:rsidRPr="008869A2">
                    <w:rPr>
                      <w:iCs/>
                      <w:color w:val="000000"/>
                      <w:sz w:val="20"/>
                    </w:rPr>
                    <w:t xml:space="preserve"> </w:t>
                  </w:r>
                  <w:r w:rsidRPr="008869A2">
                    <w:rPr>
                      <w:i/>
                      <w:color w:val="000000"/>
                      <w:sz w:val="20"/>
                    </w:rPr>
                    <w:t>r</w:t>
                  </w:r>
                  <w:r w:rsidRPr="008869A2">
                    <w:rPr>
                      <w:iCs/>
                      <w:color w:val="000000"/>
                      <w:sz w:val="20"/>
                    </w:rPr>
                    <w:t xml:space="preserve"> represented by QSE </w:t>
                  </w:r>
                  <w:r w:rsidRPr="008869A2">
                    <w:rPr>
                      <w:i/>
                      <w:color w:val="000000"/>
                      <w:sz w:val="20"/>
                    </w:rPr>
                    <w:t>q</w:t>
                  </w:r>
                  <w:r w:rsidRPr="008869A2">
                    <w:rPr>
                      <w:iCs/>
                      <w:color w:val="000000"/>
                      <w:sz w:val="20"/>
                    </w:rPr>
                    <w:t xml:space="preserve"> at Settlement Point </w:t>
                  </w:r>
                  <w:r w:rsidRPr="008869A2">
                    <w:rPr>
                      <w:i/>
                      <w:color w:val="000000"/>
                      <w:sz w:val="20"/>
                    </w:rPr>
                    <w:t>p</w:t>
                  </w:r>
                  <w:r w:rsidRPr="008869A2">
                    <w:rPr>
                      <w:iCs/>
                      <w:color w:val="000000"/>
                      <w:sz w:val="20"/>
                    </w:rPr>
                    <w:t xml:space="preserve"> within the 15-minute Settlement Interval </w:t>
                  </w:r>
                  <w:r w:rsidRPr="008869A2">
                    <w:rPr>
                      <w:i/>
                      <w:color w:val="000000"/>
                      <w:sz w:val="20"/>
                    </w:rPr>
                    <w:t>i</w:t>
                  </w:r>
                  <w:r w:rsidRPr="008869A2">
                    <w:rPr>
                      <w:iCs/>
                      <w:color w:val="000000"/>
                      <w:sz w:val="20"/>
                    </w:rPr>
                    <w:t>.  For a Combined</w:t>
                  </w:r>
                  <w:r w:rsidRPr="008869A2">
                    <w:rPr>
                      <w:iCs/>
                      <w:sz w:val="20"/>
                    </w:rPr>
                    <w:t xml:space="preserve"> Cycle Train, the Resource </w:t>
                  </w:r>
                  <w:r w:rsidRPr="008869A2">
                    <w:rPr>
                      <w:i/>
                      <w:iCs/>
                      <w:sz w:val="20"/>
                    </w:rPr>
                    <w:t xml:space="preserve">r </w:t>
                  </w:r>
                  <w:r w:rsidRPr="008869A2">
                    <w:rPr>
                      <w:iCs/>
                      <w:sz w:val="20"/>
                    </w:rPr>
                    <w:t xml:space="preserve">is a Combined Cycle Train.  </w:t>
                  </w:r>
                  <w:r w:rsidRPr="008869A2">
                    <w:rPr>
                      <w:sz w:val="20"/>
                    </w:rPr>
                    <w:t xml:space="preserve">In the case of a VDI that is equivalent to an HDL override, this value is set equal to the HSL of </w:t>
                  </w:r>
                  <w:r w:rsidRPr="008869A2">
                    <w:rPr>
                      <w:color w:val="000000"/>
                      <w:sz w:val="20"/>
                    </w:rPr>
                    <w:t>Generation Resource</w:t>
                  </w:r>
                  <w:r>
                    <w:rPr>
                      <w:color w:val="000000"/>
                      <w:sz w:val="20"/>
                    </w:rPr>
                    <w:t>, or ESR</w:t>
                  </w:r>
                  <w:r w:rsidRPr="008869A2">
                    <w:rPr>
                      <w:color w:val="000000"/>
                      <w:sz w:val="20"/>
                    </w:rPr>
                    <w:t xml:space="preserve"> </w:t>
                  </w:r>
                  <w:r w:rsidRPr="008869A2">
                    <w:rPr>
                      <w:i/>
                      <w:iCs/>
                      <w:color w:val="000000"/>
                      <w:sz w:val="20"/>
                    </w:rPr>
                    <w:t>r</w:t>
                  </w:r>
                  <w:r w:rsidRPr="008869A2">
                    <w:rPr>
                      <w:color w:val="000000"/>
                      <w:sz w:val="20"/>
                    </w:rPr>
                    <w:t xml:space="preserve"> at the time that the VDI is issued to the QSE.</w:t>
                  </w:r>
                </w:p>
              </w:tc>
            </w:tr>
            <w:tr w:rsidR="008152FC" w14:paraId="79B2AF62" w14:textId="77777777" w:rsidTr="00F85B9C">
              <w:trPr>
                <w:cantSplit/>
                <w:trHeight w:val="1154"/>
              </w:trPr>
              <w:tc>
                <w:tcPr>
                  <w:tcW w:w="906" w:type="pct"/>
                  <w:tcBorders>
                    <w:top w:val="single" w:sz="4" w:space="0" w:color="auto"/>
                    <w:left w:val="single" w:sz="4" w:space="0" w:color="auto"/>
                    <w:bottom w:val="single" w:sz="4" w:space="0" w:color="auto"/>
                    <w:right w:val="single" w:sz="4" w:space="0" w:color="auto"/>
                  </w:tcBorders>
                  <w:hideMark/>
                </w:tcPr>
                <w:p w14:paraId="096BCE47" w14:textId="356BF529" w:rsidR="008152FC" w:rsidRDefault="008152FC" w:rsidP="008152FC">
                  <w:pPr>
                    <w:spacing w:after="60"/>
                    <w:rPr>
                      <w:iCs/>
                      <w:sz w:val="20"/>
                    </w:rPr>
                  </w:pPr>
                  <w:r w:rsidRPr="008869A2">
                    <w:rPr>
                      <w:iCs/>
                      <w:sz w:val="20"/>
                    </w:rPr>
                    <w:t>HDLOBRKPCP</w:t>
                  </w:r>
                  <w:r w:rsidRPr="008869A2">
                    <w:rPr>
                      <w:b/>
                      <w:iCs/>
                      <w:sz w:val="20"/>
                      <w:lang w:val="es-MX"/>
                    </w:rPr>
                    <w:t xml:space="preserve"> </w:t>
                  </w:r>
                  <w:r w:rsidRPr="008869A2">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07D5403B" w14:textId="2F377135" w:rsidR="008152FC" w:rsidRDefault="008152FC" w:rsidP="008152FC">
                  <w:pPr>
                    <w:spacing w:after="60"/>
                    <w:rPr>
                      <w:iCs/>
                      <w:sz w:val="20"/>
                    </w:rPr>
                  </w:pPr>
                  <w:r w:rsidRPr="008869A2">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B0DC105" w14:textId="3A851D6C" w:rsidR="008152FC" w:rsidRDefault="008152FC" w:rsidP="008152FC">
                  <w:pPr>
                    <w:rPr>
                      <w:i/>
                      <w:sz w:val="20"/>
                    </w:rPr>
                  </w:pPr>
                  <w:r w:rsidRPr="008869A2">
                    <w:rPr>
                      <w:i/>
                      <w:sz w:val="20"/>
                    </w:rPr>
                    <w:t>High Dispatch Limit override break point</w:t>
                  </w:r>
                  <w:r w:rsidRPr="008869A2">
                    <w:rPr>
                      <w:i/>
                    </w:rPr>
                    <w:t xml:space="preserve"> </w:t>
                  </w:r>
                  <w:r w:rsidRPr="008869A2">
                    <w:rPr>
                      <w:i/>
                      <w:sz w:val="20"/>
                    </w:rPr>
                    <w:t>at clearing price per QSE per Resource</w:t>
                  </w:r>
                  <w:r w:rsidRPr="008869A2">
                    <w:rPr>
                      <w:sz w:val="20"/>
                    </w:rPr>
                    <w:t xml:space="preserve">—The MW value on the Energy Offer Curve </w:t>
                  </w:r>
                  <w:r>
                    <w:rPr>
                      <w:sz w:val="20"/>
                    </w:rPr>
                    <w:t xml:space="preserve">or Energy Bid/Offer Curve </w:t>
                  </w:r>
                  <w:r w:rsidRPr="008869A2">
                    <w:rPr>
                      <w:sz w:val="20"/>
                    </w:rPr>
                    <w:t xml:space="preserve">corresponding to the Real-Time Settlement Point Price of Resource </w:t>
                  </w:r>
                  <w:r w:rsidRPr="008869A2">
                    <w:rPr>
                      <w:i/>
                      <w:sz w:val="20"/>
                    </w:rPr>
                    <w:t>r</w:t>
                  </w:r>
                  <w:r w:rsidRPr="008869A2">
                    <w:rPr>
                      <w:sz w:val="20"/>
                    </w:rPr>
                    <w:t xml:space="preserve"> represented by QSE </w:t>
                  </w:r>
                  <w:r w:rsidRPr="008869A2">
                    <w:rPr>
                      <w:i/>
                      <w:sz w:val="20"/>
                    </w:rPr>
                    <w:t>q</w:t>
                  </w:r>
                  <w:r w:rsidRPr="008869A2">
                    <w:rPr>
                      <w:sz w:val="20"/>
                    </w:rPr>
                    <w:t xml:space="preserve"> at Settlement Point </w:t>
                  </w:r>
                  <w:r w:rsidRPr="008869A2">
                    <w:rPr>
                      <w:i/>
                      <w:sz w:val="20"/>
                    </w:rPr>
                    <w:t>p</w:t>
                  </w:r>
                  <w:r w:rsidRPr="008869A2">
                    <w:rPr>
                      <w:sz w:val="20"/>
                    </w:rPr>
                    <w:t xml:space="preserve"> minus the Real-Time Reliability Deployment Price for Energy.  For a combined cycle Resource, </w:t>
                  </w:r>
                  <w:r w:rsidRPr="008869A2">
                    <w:rPr>
                      <w:i/>
                      <w:sz w:val="20"/>
                    </w:rPr>
                    <w:t>r</w:t>
                  </w:r>
                  <w:r w:rsidRPr="008869A2">
                    <w:rPr>
                      <w:sz w:val="20"/>
                    </w:rPr>
                    <w:t xml:space="preserve"> is a Combined Cycle Train.</w:t>
                  </w:r>
                </w:p>
              </w:tc>
            </w:tr>
            <w:tr w:rsidR="008152FC" w14:paraId="370DD4F4" w14:textId="77777777" w:rsidTr="00F85B9C">
              <w:trPr>
                <w:cantSplit/>
                <w:trHeight w:val="1229"/>
              </w:trPr>
              <w:tc>
                <w:tcPr>
                  <w:tcW w:w="906" w:type="pct"/>
                  <w:tcBorders>
                    <w:top w:val="single" w:sz="4" w:space="0" w:color="auto"/>
                    <w:left w:val="single" w:sz="4" w:space="0" w:color="auto"/>
                    <w:bottom w:val="single" w:sz="4" w:space="0" w:color="auto"/>
                    <w:right w:val="single" w:sz="4" w:space="0" w:color="auto"/>
                  </w:tcBorders>
                  <w:hideMark/>
                </w:tcPr>
                <w:p w14:paraId="56FF493F" w14:textId="7B6A29D1" w:rsidR="008152FC" w:rsidRDefault="008152FC" w:rsidP="008152FC">
                  <w:pPr>
                    <w:spacing w:after="60"/>
                    <w:rPr>
                      <w:iCs/>
                      <w:sz w:val="20"/>
                    </w:rPr>
                  </w:pPr>
                  <w:r w:rsidRPr="008869A2">
                    <w:rPr>
                      <w:sz w:val="20"/>
                    </w:rPr>
                    <w:t xml:space="preserve">RTEOCOST </w:t>
                  </w:r>
                  <w:r w:rsidRPr="008869A2">
                    <w:rPr>
                      <w:i/>
                      <w:sz w:val="20"/>
                      <w:vertAlign w:val="subscript"/>
                    </w:rPr>
                    <w:t>q, r, i</w:t>
                  </w:r>
                </w:p>
              </w:tc>
              <w:tc>
                <w:tcPr>
                  <w:tcW w:w="475" w:type="pct"/>
                  <w:tcBorders>
                    <w:top w:val="single" w:sz="4" w:space="0" w:color="auto"/>
                    <w:left w:val="single" w:sz="4" w:space="0" w:color="auto"/>
                    <w:bottom w:val="single" w:sz="4" w:space="0" w:color="auto"/>
                    <w:right w:val="single" w:sz="4" w:space="0" w:color="auto"/>
                  </w:tcBorders>
                  <w:hideMark/>
                </w:tcPr>
                <w:p w14:paraId="1AA9DF77" w14:textId="6B2D87C9" w:rsidR="008152FC" w:rsidRDefault="008152FC" w:rsidP="008152FC">
                  <w:pPr>
                    <w:spacing w:after="60"/>
                    <w:rPr>
                      <w:iCs/>
                      <w:sz w:val="20"/>
                    </w:rPr>
                  </w:pPr>
                  <w:r w:rsidRPr="008869A2">
                    <w:rPr>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01EE8916" w14:textId="5AFA92F1" w:rsidR="008152FC" w:rsidRDefault="008152FC" w:rsidP="008152FC">
                  <w:pPr>
                    <w:spacing w:after="60"/>
                    <w:rPr>
                      <w:iCs/>
                      <w:sz w:val="20"/>
                    </w:rPr>
                  </w:pPr>
                  <w:r w:rsidRPr="008869A2">
                    <w:rPr>
                      <w:i/>
                      <w:sz w:val="20"/>
                    </w:rPr>
                    <w:t>Real-Time Energy Offer Curve Cost Cap</w:t>
                  </w:r>
                  <w:r w:rsidRPr="008869A2">
                    <w:rPr>
                      <w:i/>
                      <w:iCs/>
                      <w:noProof/>
                      <w:sz w:val="20"/>
                    </w:rPr>
                    <w:t>—</w:t>
                  </w:r>
                  <w:r w:rsidRPr="008869A2">
                    <w:rPr>
                      <w:sz w:val="20"/>
                    </w:rPr>
                    <w:t xml:space="preserve">The Energy Offer Curve Cost Cap for Resource </w:t>
                  </w:r>
                  <w:r w:rsidRPr="008869A2">
                    <w:rPr>
                      <w:i/>
                      <w:sz w:val="20"/>
                    </w:rPr>
                    <w:t>r</w:t>
                  </w:r>
                  <w:r w:rsidRPr="008869A2">
                    <w:rPr>
                      <w:sz w:val="20"/>
                    </w:rPr>
                    <w:t xml:space="preserve"> represented by QSE </w:t>
                  </w:r>
                  <w:r w:rsidRPr="008869A2">
                    <w:rPr>
                      <w:i/>
                      <w:sz w:val="20"/>
                    </w:rPr>
                    <w:t>q</w:t>
                  </w:r>
                  <w:r w:rsidRPr="008869A2">
                    <w:rPr>
                      <w:sz w:val="20"/>
                    </w:rPr>
                    <w:t xml:space="preserve">, for the Resource’s generation above the Low Sustained Limit (LSL) for the Settlement Interval </w:t>
                  </w:r>
                  <w:r w:rsidRPr="008869A2">
                    <w:rPr>
                      <w:i/>
                      <w:sz w:val="20"/>
                    </w:rPr>
                    <w:t>i</w:t>
                  </w:r>
                  <w:r w:rsidRPr="008869A2">
                    <w:rPr>
                      <w:sz w:val="20"/>
                    </w:rPr>
                    <w:t>.  See Section 4.4.9.3.3, Energy Offer Curve Cost Caps.</w:t>
                  </w:r>
                  <w:r>
                    <w:rPr>
                      <w:sz w:val="20"/>
                    </w:rPr>
                    <w:t xml:space="preserve"> </w:t>
                  </w:r>
                  <w:r w:rsidRPr="008869A2">
                    <w:rPr>
                      <w:sz w:val="20"/>
                    </w:rPr>
                    <w:t xml:space="preserve">Where for a Combined Cycle Train, the Resource </w:t>
                  </w:r>
                  <w:r w:rsidRPr="008869A2">
                    <w:rPr>
                      <w:i/>
                      <w:sz w:val="20"/>
                    </w:rPr>
                    <w:t>r</w:t>
                  </w:r>
                  <w:r w:rsidRPr="008869A2">
                    <w:rPr>
                      <w:sz w:val="20"/>
                    </w:rPr>
                    <w:t xml:space="preserve"> is the Combined Cycle Train.</w:t>
                  </w:r>
                </w:p>
              </w:tc>
            </w:tr>
            <w:tr w:rsidR="008152FC" w14:paraId="7E4F54DB" w14:textId="77777777" w:rsidTr="00F85B9C">
              <w:trPr>
                <w:cantSplit/>
                <w:trHeight w:val="944"/>
              </w:trPr>
              <w:tc>
                <w:tcPr>
                  <w:tcW w:w="906" w:type="pct"/>
                  <w:tcBorders>
                    <w:top w:val="single" w:sz="4" w:space="0" w:color="auto"/>
                    <w:left w:val="single" w:sz="4" w:space="0" w:color="auto"/>
                    <w:bottom w:val="single" w:sz="4" w:space="0" w:color="auto"/>
                    <w:right w:val="single" w:sz="4" w:space="0" w:color="auto"/>
                  </w:tcBorders>
                  <w:hideMark/>
                </w:tcPr>
                <w:p w14:paraId="54A3997E" w14:textId="1B7AC67A" w:rsidR="008152FC" w:rsidRDefault="008152FC" w:rsidP="008152FC">
                  <w:pPr>
                    <w:spacing w:after="60"/>
                    <w:rPr>
                      <w:iCs/>
                      <w:sz w:val="20"/>
                    </w:rPr>
                  </w:pPr>
                  <w:r w:rsidRPr="008869A2">
                    <w:rPr>
                      <w:iCs/>
                      <w:noProof/>
                      <w:sz w:val="20"/>
                    </w:rPr>
                    <w:t xml:space="preserve">HDLOQTY </w:t>
                  </w:r>
                  <w:r w:rsidRPr="008869A2">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2344655F" w14:textId="019259A7" w:rsidR="008152FC" w:rsidRDefault="008152FC" w:rsidP="008152FC">
                  <w:pPr>
                    <w:spacing w:after="60"/>
                    <w:rPr>
                      <w:iCs/>
                      <w:sz w:val="20"/>
                    </w:rPr>
                  </w:pPr>
                  <w:r w:rsidRPr="008869A2">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11F1A4E3" w14:textId="1FC6851D" w:rsidR="008152FC" w:rsidRDefault="008152FC" w:rsidP="008152FC">
                  <w:pPr>
                    <w:spacing w:after="60"/>
                    <w:rPr>
                      <w:iCs/>
                      <w:sz w:val="20"/>
                    </w:rPr>
                  </w:pPr>
                  <w:r w:rsidRPr="008869A2">
                    <w:rPr>
                      <w:i/>
                      <w:iCs/>
                      <w:noProof/>
                      <w:sz w:val="20"/>
                    </w:rPr>
                    <w:t xml:space="preserve">High Dispatch Limit override </w:t>
                  </w:r>
                  <w:r w:rsidRPr="008869A2">
                    <w:rPr>
                      <w:i/>
                      <w:iCs/>
                      <w:sz w:val="20"/>
                    </w:rPr>
                    <w:t>quantity per QSE per Generation Resource</w:t>
                  </w:r>
                  <w:r w:rsidRPr="008869A2">
                    <w:rPr>
                      <w:i/>
                      <w:iCs/>
                      <w:noProof/>
                      <w:sz w:val="20"/>
                    </w:rPr>
                    <w:t>—</w:t>
                  </w:r>
                  <w:r w:rsidRPr="008869A2">
                    <w:rPr>
                      <w:iCs/>
                      <w:sz w:val="20"/>
                    </w:rPr>
                    <w:t xml:space="preserve">The difference between the HDLOBRKP and the AVGHDL due to an ERCOT-issued HDL override or equivalent VDI for Resource </w:t>
                  </w:r>
                  <w:r w:rsidRPr="008869A2">
                    <w:rPr>
                      <w:i/>
                      <w:iCs/>
                      <w:sz w:val="20"/>
                    </w:rPr>
                    <w:t>r</w:t>
                  </w:r>
                  <w:r w:rsidRPr="008869A2">
                    <w:rPr>
                      <w:iCs/>
                      <w:sz w:val="20"/>
                    </w:rPr>
                    <w:t xml:space="preserve"> represented by QSE </w:t>
                  </w:r>
                  <w:r w:rsidRPr="008869A2">
                    <w:rPr>
                      <w:i/>
                      <w:iCs/>
                      <w:sz w:val="20"/>
                    </w:rPr>
                    <w:t>q</w:t>
                  </w:r>
                  <w:r w:rsidRPr="008869A2">
                    <w:rPr>
                      <w:iCs/>
                      <w:sz w:val="20"/>
                    </w:rPr>
                    <w:t xml:space="preserve"> at Settlement Point </w:t>
                  </w:r>
                  <w:r w:rsidRPr="008869A2">
                    <w:rPr>
                      <w:i/>
                      <w:iCs/>
                      <w:sz w:val="20"/>
                    </w:rPr>
                    <w:t>p</w:t>
                  </w:r>
                  <w:r w:rsidRPr="008869A2">
                    <w:rPr>
                      <w:iCs/>
                      <w:sz w:val="20"/>
                    </w:rPr>
                    <w:t xml:space="preserve"> for the 15-minute Settlement Interval </w:t>
                  </w:r>
                  <w:r w:rsidRPr="008869A2">
                    <w:rPr>
                      <w:i/>
                      <w:iCs/>
                      <w:sz w:val="20"/>
                    </w:rPr>
                    <w:t>i</w:t>
                  </w:r>
                  <w:r w:rsidRPr="008869A2">
                    <w:rPr>
                      <w:iCs/>
                      <w:sz w:val="20"/>
                    </w:rPr>
                    <w:t xml:space="preserve">.  For a combined cycle Resource, </w:t>
                  </w:r>
                  <w:r w:rsidRPr="008869A2">
                    <w:rPr>
                      <w:i/>
                      <w:iCs/>
                      <w:sz w:val="20"/>
                    </w:rPr>
                    <w:t>r</w:t>
                  </w:r>
                  <w:r w:rsidRPr="008869A2">
                    <w:rPr>
                      <w:iCs/>
                      <w:sz w:val="20"/>
                    </w:rPr>
                    <w:t xml:space="preserve"> is a Combined Cycle Train.</w:t>
                  </w:r>
                </w:p>
              </w:tc>
            </w:tr>
            <w:tr w:rsidR="008152FC" w14:paraId="3849CC41"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44773ED5" w14:textId="10EE9722" w:rsidR="008152FC" w:rsidRDefault="008152FC" w:rsidP="008152FC">
                  <w:pPr>
                    <w:spacing w:after="60"/>
                    <w:rPr>
                      <w:iCs/>
                      <w:sz w:val="20"/>
                      <w:lang w:val="es-MX"/>
                    </w:rPr>
                  </w:pPr>
                  <w:r w:rsidRPr="008869A2">
                    <w:rPr>
                      <w:iCs/>
                      <w:sz w:val="20"/>
                    </w:rPr>
                    <w:t xml:space="preserve">RTSPP </w:t>
                  </w:r>
                  <w:r w:rsidRPr="008869A2">
                    <w:rPr>
                      <w:i/>
                      <w:iCs/>
                      <w:sz w:val="20"/>
                      <w:vertAlign w:val="subscript"/>
                    </w:rPr>
                    <w:t>p, i</w:t>
                  </w:r>
                </w:p>
              </w:tc>
              <w:tc>
                <w:tcPr>
                  <w:tcW w:w="475" w:type="pct"/>
                  <w:tcBorders>
                    <w:top w:val="single" w:sz="4" w:space="0" w:color="auto"/>
                    <w:left w:val="single" w:sz="4" w:space="0" w:color="auto"/>
                    <w:bottom w:val="single" w:sz="4" w:space="0" w:color="auto"/>
                    <w:right w:val="single" w:sz="4" w:space="0" w:color="auto"/>
                  </w:tcBorders>
                  <w:hideMark/>
                </w:tcPr>
                <w:p w14:paraId="2DB25329" w14:textId="313B462B" w:rsidR="008152FC" w:rsidRDefault="008152FC" w:rsidP="008152FC">
                  <w:pPr>
                    <w:spacing w:after="60"/>
                    <w:rPr>
                      <w:iCs/>
                      <w:sz w:val="20"/>
                    </w:rPr>
                  </w:pPr>
                  <w:r w:rsidRPr="008869A2">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2D2D274F" w14:textId="70640D97" w:rsidR="008152FC" w:rsidRDefault="008152FC" w:rsidP="008152FC">
                  <w:pPr>
                    <w:spacing w:after="60"/>
                    <w:rPr>
                      <w:i/>
                      <w:iCs/>
                      <w:sz w:val="20"/>
                    </w:rPr>
                  </w:pPr>
                  <w:r w:rsidRPr="008869A2">
                    <w:rPr>
                      <w:i/>
                      <w:iCs/>
                      <w:sz w:val="20"/>
                    </w:rPr>
                    <w:t>Real-Time Settlement Point Price per Settlement Point</w:t>
                  </w:r>
                  <w:r w:rsidRPr="008869A2">
                    <w:rPr>
                      <w:iCs/>
                      <w:sz w:val="20"/>
                    </w:rPr>
                    <w:t xml:space="preserve">—The Real-Time Settlement Point Price at Settlement Point </w:t>
                  </w:r>
                  <w:r w:rsidRPr="008869A2">
                    <w:rPr>
                      <w:i/>
                      <w:iCs/>
                      <w:sz w:val="20"/>
                    </w:rPr>
                    <w:t>p</w:t>
                  </w:r>
                  <w:r w:rsidRPr="008869A2">
                    <w:rPr>
                      <w:iCs/>
                      <w:sz w:val="20"/>
                    </w:rPr>
                    <w:t xml:space="preserve">, for the 15-minute Settlement Interval </w:t>
                  </w:r>
                  <w:r w:rsidRPr="008869A2">
                    <w:rPr>
                      <w:i/>
                      <w:iCs/>
                      <w:sz w:val="20"/>
                    </w:rPr>
                    <w:t>i</w:t>
                  </w:r>
                  <w:r w:rsidRPr="008869A2">
                    <w:rPr>
                      <w:iCs/>
                      <w:sz w:val="20"/>
                    </w:rPr>
                    <w:t>.</w:t>
                  </w:r>
                </w:p>
              </w:tc>
            </w:tr>
            <w:tr w:rsidR="008152FC" w14:paraId="2A098817"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022DA931" w14:textId="0FDFC545" w:rsidR="008152FC" w:rsidRDefault="008152FC" w:rsidP="008152FC">
                  <w:pPr>
                    <w:spacing w:after="60"/>
                    <w:rPr>
                      <w:iCs/>
                      <w:sz w:val="20"/>
                    </w:rPr>
                  </w:pPr>
                  <w:r w:rsidRPr="008869A2">
                    <w:rPr>
                      <w:iCs/>
                      <w:sz w:val="20"/>
                    </w:rPr>
                    <w:t>RTRDP</w:t>
                  </w:r>
                  <w:r w:rsidRPr="008869A2">
                    <w:rPr>
                      <w:i/>
                      <w:iCs/>
                      <w:sz w:val="20"/>
                      <w:vertAlign w:val="subscript"/>
                    </w:rPr>
                    <w:t xml:space="preserve"> i</w:t>
                  </w:r>
                </w:p>
              </w:tc>
              <w:tc>
                <w:tcPr>
                  <w:tcW w:w="475" w:type="pct"/>
                  <w:tcBorders>
                    <w:top w:val="single" w:sz="4" w:space="0" w:color="auto"/>
                    <w:left w:val="single" w:sz="4" w:space="0" w:color="auto"/>
                    <w:bottom w:val="single" w:sz="4" w:space="0" w:color="auto"/>
                    <w:right w:val="single" w:sz="4" w:space="0" w:color="auto"/>
                  </w:tcBorders>
                  <w:hideMark/>
                </w:tcPr>
                <w:p w14:paraId="2CC06C88" w14:textId="037B1C8B" w:rsidR="008152FC" w:rsidRDefault="008152FC" w:rsidP="008152FC">
                  <w:pPr>
                    <w:spacing w:after="60"/>
                    <w:rPr>
                      <w:iCs/>
                      <w:sz w:val="20"/>
                    </w:rPr>
                  </w:pPr>
                  <w:r w:rsidRPr="008869A2">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6D106BEE" w14:textId="746301C1" w:rsidR="008152FC" w:rsidRDefault="008152FC" w:rsidP="008152FC">
                  <w:pPr>
                    <w:spacing w:after="60"/>
                    <w:rPr>
                      <w:i/>
                      <w:iCs/>
                      <w:sz w:val="20"/>
                    </w:rPr>
                  </w:pPr>
                  <w:r w:rsidRPr="008869A2">
                    <w:rPr>
                      <w:i/>
                      <w:iCs/>
                      <w:sz w:val="20"/>
                    </w:rPr>
                    <w:t>Real-Time Reliability Deployment Price</w:t>
                  </w:r>
                  <w:r w:rsidRPr="008869A2">
                    <w:rPr>
                      <w:iCs/>
                      <w:sz w:val="20"/>
                    </w:rPr>
                    <w:t xml:space="preserve"> </w:t>
                  </w:r>
                  <w:r w:rsidRPr="008869A2">
                    <w:rPr>
                      <w:i/>
                      <w:iCs/>
                      <w:sz w:val="20"/>
                    </w:rPr>
                    <w:t>for Energy</w:t>
                  </w:r>
                  <w:r w:rsidRPr="008869A2">
                    <w:rPr>
                      <w:iCs/>
                      <w:sz w:val="20"/>
                    </w:rPr>
                    <w:sym w:font="Symbol" w:char="F0BE"/>
                  </w:r>
                  <w:r w:rsidRPr="008869A2">
                    <w:rPr>
                      <w:iCs/>
                      <w:sz w:val="20"/>
                    </w:rPr>
                    <w:t xml:space="preserve">The Real-Time price for the 15-minute Settlement Interval </w:t>
                  </w:r>
                  <w:r w:rsidRPr="008869A2">
                    <w:rPr>
                      <w:i/>
                      <w:iCs/>
                      <w:sz w:val="20"/>
                    </w:rPr>
                    <w:t>i</w:t>
                  </w:r>
                  <w:r w:rsidRPr="008869A2">
                    <w:rPr>
                      <w:iCs/>
                      <w:sz w:val="20"/>
                    </w:rPr>
                    <w:t>, reflecting the impact of reliability deployments on energy prices that is calculated from the Real-Time Reliability Deployment Price Adder for Energy.</w:t>
                  </w:r>
                </w:p>
              </w:tc>
            </w:tr>
            <w:tr w:rsidR="008152FC" w14:paraId="3E280E25"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4AB6B34C" w14:textId="6A0E232B" w:rsidR="008152FC" w:rsidRDefault="008152FC" w:rsidP="008152FC">
                  <w:pPr>
                    <w:spacing w:after="60"/>
                    <w:rPr>
                      <w:i/>
                      <w:iCs/>
                      <w:sz w:val="20"/>
                    </w:rPr>
                  </w:pPr>
                  <w:r>
                    <w:rPr>
                      <w:i/>
                      <w:iCs/>
                      <w:sz w:val="20"/>
                    </w:rPr>
                    <w:t>q</w:t>
                  </w:r>
                </w:p>
              </w:tc>
              <w:tc>
                <w:tcPr>
                  <w:tcW w:w="475" w:type="pct"/>
                  <w:tcBorders>
                    <w:top w:val="single" w:sz="4" w:space="0" w:color="auto"/>
                    <w:left w:val="single" w:sz="4" w:space="0" w:color="auto"/>
                    <w:bottom w:val="single" w:sz="4" w:space="0" w:color="auto"/>
                    <w:right w:val="single" w:sz="4" w:space="0" w:color="auto"/>
                  </w:tcBorders>
                  <w:hideMark/>
                </w:tcPr>
                <w:p w14:paraId="5E093563" w14:textId="249727FA"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251FB72" w14:textId="59F1F72F" w:rsidR="008152FC" w:rsidRDefault="008152FC" w:rsidP="008152FC">
                  <w:pPr>
                    <w:spacing w:after="60"/>
                    <w:rPr>
                      <w:i/>
                      <w:sz w:val="20"/>
                    </w:rPr>
                  </w:pPr>
                  <w:r w:rsidRPr="008869A2">
                    <w:rPr>
                      <w:iCs/>
                      <w:sz w:val="20"/>
                    </w:rPr>
                    <w:t>A QSE.</w:t>
                  </w:r>
                </w:p>
              </w:tc>
            </w:tr>
            <w:tr w:rsidR="008152FC" w14:paraId="72CC4881"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1B37118" w14:textId="74D914AA" w:rsidR="008152FC" w:rsidRDefault="008152FC" w:rsidP="008152FC">
                  <w:pPr>
                    <w:spacing w:after="60"/>
                    <w:rPr>
                      <w:i/>
                      <w:iCs/>
                      <w:sz w:val="20"/>
                    </w:rPr>
                  </w:pPr>
                  <w:r>
                    <w:rPr>
                      <w:i/>
                      <w:iCs/>
                      <w:sz w:val="20"/>
                    </w:rPr>
                    <w:t>r</w:t>
                  </w:r>
                </w:p>
              </w:tc>
              <w:tc>
                <w:tcPr>
                  <w:tcW w:w="475" w:type="pct"/>
                  <w:tcBorders>
                    <w:top w:val="single" w:sz="4" w:space="0" w:color="auto"/>
                    <w:left w:val="single" w:sz="4" w:space="0" w:color="auto"/>
                    <w:bottom w:val="single" w:sz="4" w:space="0" w:color="auto"/>
                    <w:right w:val="single" w:sz="4" w:space="0" w:color="auto"/>
                  </w:tcBorders>
                  <w:hideMark/>
                </w:tcPr>
                <w:p w14:paraId="7C065C6A" w14:textId="182BE806"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1B143F47" w14:textId="6FA4E62D" w:rsidR="008152FC" w:rsidRDefault="008152FC" w:rsidP="008152FC">
                  <w:pPr>
                    <w:spacing w:after="60"/>
                    <w:rPr>
                      <w:i/>
                      <w:sz w:val="20"/>
                    </w:rPr>
                  </w:pPr>
                  <w:r w:rsidRPr="008869A2">
                    <w:rPr>
                      <w:iCs/>
                      <w:sz w:val="20"/>
                    </w:rPr>
                    <w:t>A Generation Resource</w:t>
                  </w:r>
                  <w:r>
                    <w:rPr>
                      <w:iCs/>
                      <w:sz w:val="20"/>
                    </w:rPr>
                    <w:t xml:space="preserve"> or ESR</w:t>
                  </w:r>
                  <w:r w:rsidRPr="008869A2">
                    <w:rPr>
                      <w:iCs/>
                      <w:sz w:val="20"/>
                    </w:rPr>
                    <w:t>.</w:t>
                  </w:r>
                </w:p>
              </w:tc>
            </w:tr>
            <w:tr w:rsidR="008152FC" w14:paraId="53017C23"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206622B" w14:textId="5DFF8375" w:rsidR="008152FC" w:rsidRDefault="008152FC" w:rsidP="008152FC">
                  <w:pPr>
                    <w:spacing w:after="60"/>
                    <w:rPr>
                      <w:i/>
                      <w:iCs/>
                      <w:sz w:val="20"/>
                    </w:rPr>
                  </w:pPr>
                  <w:r>
                    <w:rPr>
                      <w:i/>
                      <w:iCs/>
                      <w:sz w:val="20"/>
                    </w:rPr>
                    <w:t>p</w:t>
                  </w:r>
                </w:p>
              </w:tc>
              <w:tc>
                <w:tcPr>
                  <w:tcW w:w="475" w:type="pct"/>
                  <w:tcBorders>
                    <w:top w:val="single" w:sz="4" w:space="0" w:color="auto"/>
                    <w:left w:val="single" w:sz="4" w:space="0" w:color="auto"/>
                    <w:bottom w:val="single" w:sz="4" w:space="0" w:color="auto"/>
                    <w:right w:val="single" w:sz="4" w:space="0" w:color="auto"/>
                  </w:tcBorders>
                  <w:hideMark/>
                </w:tcPr>
                <w:p w14:paraId="69F0D546" w14:textId="2669121E"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5732CD79" w14:textId="27DFD16B" w:rsidR="008152FC" w:rsidRDefault="008152FC" w:rsidP="008152FC">
                  <w:pPr>
                    <w:spacing w:after="60"/>
                    <w:rPr>
                      <w:iCs/>
                      <w:sz w:val="20"/>
                    </w:rPr>
                  </w:pPr>
                  <w:r w:rsidRPr="008869A2">
                    <w:rPr>
                      <w:iCs/>
                      <w:sz w:val="20"/>
                    </w:rPr>
                    <w:t>A Resource Node Settlement Point.</w:t>
                  </w:r>
                </w:p>
              </w:tc>
            </w:tr>
            <w:tr w:rsidR="008152FC" w14:paraId="23980F5B" w14:textId="77777777" w:rsidTr="00F85B9C">
              <w:trPr>
                <w:cantSplit/>
                <w:trHeight w:val="242"/>
              </w:trPr>
              <w:tc>
                <w:tcPr>
                  <w:tcW w:w="906" w:type="pct"/>
                  <w:tcBorders>
                    <w:top w:val="single" w:sz="4" w:space="0" w:color="auto"/>
                    <w:left w:val="single" w:sz="4" w:space="0" w:color="auto"/>
                    <w:bottom w:val="single" w:sz="4" w:space="0" w:color="auto"/>
                    <w:right w:val="single" w:sz="4" w:space="0" w:color="auto"/>
                  </w:tcBorders>
                  <w:hideMark/>
                </w:tcPr>
                <w:p w14:paraId="7B043B1B" w14:textId="35E49133" w:rsidR="008152FC" w:rsidRDefault="008152FC" w:rsidP="008152FC">
                  <w:pPr>
                    <w:spacing w:after="60"/>
                    <w:rPr>
                      <w:i/>
                      <w:iCs/>
                      <w:sz w:val="20"/>
                    </w:rPr>
                  </w:pPr>
                  <w:r w:rsidRPr="008869A2">
                    <w:rPr>
                      <w:i/>
                      <w:iCs/>
                      <w:sz w:val="20"/>
                    </w:rPr>
                    <w:t>i</w:t>
                  </w:r>
                </w:p>
              </w:tc>
              <w:tc>
                <w:tcPr>
                  <w:tcW w:w="475" w:type="pct"/>
                  <w:tcBorders>
                    <w:top w:val="single" w:sz="4" w:space="0" w:color="auto"/>
                    <w:left w:val="single" w:sz="4" w:space="0" w:color="auto"/>
                    <w:bottom w:val="single" w:sz="4" w:space="0" w:color="auto"/>
                    <w:right w:val="single" w:sz="4" w:space="0" w:color="auto"/>
                  </w:tcBorders>
                  <w:hideMark/>
                </w:tcPr>
                <w:p w14:paraId="6C5C6654" w14:textId="3A256DEF"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FCE9788" w14:textId="50534949" w:rsidR="008152FC" w:rsidRDefault="008152FC" w:rsidP="008152FC">
                  <w:pPr>
                    <w:spacing w:after="60"/>
                    <w:rPr>
                      <w:iCs/>
                      <w:sz w:val="20"/>
                    </w:rPr>
                  </w:pPr>
                  <w:r w:rsidRPr="008869A2">
                    <w:rPr>
                      <w:iCs/>
                      <w:sz w:val="20"/>
                    </w:rPr>
                    <w:t>A 15-minute Settlement Interval.</w:t>
                  </w:r>
                </w:p>
              </w:tc>
            </w:tr>
          </w:tbl>
          <w:p w14:paraId="1B91CC76" w14:textId="13B42BF0" w:rsidR="00F85B9C" w:rsidRDefault="00F85B9C" w:rsidP="00F85B9C">
            <w:pPr>
              <w:spacing w:before="240" w:after="240"/>
              <w:ind w:left="720" w:hanging="720"/>
            </w:pPr>
            <w:r>
              <w:t>(</w:t>
            </w:r>
            <w:r w:rsidR="000932C9">
              <w:t>5</w:t>
            </w:r>
            <w:r>
              <w:t>)</w:t>
            </w:r>
            <w:r>
              <w:tab/>
              <w:t>The total compensation to each QSE for an HDL override for the 15-minute Settlement Interval is calculated as follows:</w:t>
            </w:r>
          </w:p>
          <w:p w14:paraId="435D7966" w14:textId="1D64184C" w:rsidR="00F85B9C" w:rsidRDefault="00F85B9C" w:rsidP="00F85B9C">
            <w:pPr>
              <w:spacing w:after="240"/>
              <w:ind w:left="720" w:firstLine="720"/>
              <w:rPr>
                <w:b/>
                <w:i/>
                <w:vertAlign w:val="subscript"/>
                <w:lang w:val="es-ES"/>
              </w:rPr>
            </w:pPr>
            <w:r>
              <w:rPr>
                <w:b/>
              </w:rPr>
              <w:t>HDLOEAMTQSETOT</w:t>
            </w:r>
            <w:r>
              <w:rPr>
                <w:b/>
                <w:i/>
                <w:vertAlign w:val="subscript"/>
                <w:lang w:val="es-ES"/>
              </w:rPr>
              <w:t xml:space="preserve"> q, i </w:t>
            </w:r>
            <w:r>
              <w:rPr>
                <w:b/>
              </w:rPr>
              <w:t xml:space="preserve"> =  </w:t>
            </w:r>
            <w:r>
              <w:rPr>
                <w:b/>
                <w:noProof/>
                <w:position w:val="-28"/>
              </w:rPr>
              <w:drawing>
                <wp:inline distT="0" distB="0" distL="0" distR="0" wp14:anchorId="306F372A" wp14:editId="697A8C45">
                  <wp:extent cx="293370" cy="431165"/>
                  <wp:effectExtent l="0" t="0" r="0" b="698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rPr>
                <w:b/>
                <w:noProof/>
                <w:position w:val="-30"/>
              </w:rPr>
              <w:drawing>
                <wp:inline distT="0" distB="0" distL="0" distR="0" wp14:anchorId="35A400DB" wp14:editId="57B4C66D">
                  <wp:extent cx="293370" cy="4572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370" cy="457200"/>
                          </a:xfrm>
                          <a:prstGeom prst="rect">
                            <a:avLst/>
                          </a:prstGeom>
                          <a:noFill/>
                          <a:ln>
                            <a:noFill/>
                          </a:ln>
                        </pic:spPr>
                      </pic:pic>
                    </a:graphicData>
                  </a:graphic>
                </wp:inline>
              </w:drawing>
            </w:r>
            <w:r>
              <w:rPr>
                <w:b/>
              </w:rPr>
              <w:t>HDLOEAMT</w:t>
            </w:r>
            <w:r>
              <w:rPr>
                <w:b/>
                <w:i/>
                <w:vertAlign w:val="subscript"/>
                <w:lang w:val="es-ES"/>
              </w:rPr>
              <w:t xml:space="preserve"> q, r, p, i</w:t>
            </w:r>
          </w:p>
          <w:p w14:paraId="7407102C" w14:textId="77777777" w:rsidR="00F85B9C" w:rsidRDefault="00F85B9C" w:rsidP="00F85B9C">
            <w:pPr>
              <w:spacing w:before="12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F85B9C" w14:paraId="5F6BB68A" w14:textId="77777777" w:rsidTr="00F85B9C">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4E046B2F" w14:textId="77777777" w:rsidR="00F85B9C" w:rsidRDefault="00F85B9C" w:rsidP="00F85B9C">
                  <w:pPr>
                    <w:spacing w:after="240"/>
                    <w:rPr>
                      <w:b/>
                      <w:iCs/>
                      <w:sz w:val="20"/>
                    </w:rPr>
                  </w:pPr>
                  <w:r>
                    <w:rPr>
                      <w:b/>
                      <w:iCs/>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1A90C604" w14:textId="77777777" w:rsidR="00F85B9C" w:rsidRDefault="00F85B9C" w:rsidP="00F85B9C">
                  <w:pPr>
                    <w:spacing w:after="240"/>
                    <w:rPr>
                      <w:b/>
                      <w:iCs/>
                      <w:sz w:val="20"/>
                    </w:rPr>
                  </w:pPr>
                  <w:r>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3F09360F" w14:textId="77777777" w:rsidR="00F85B9C" w:rsidRDefault="00F85B9C" w:rsidP="00F85B9C">
                  <w:pPr>
                    <w:spacing w:after="240"/>
                    <w:rPr>
                      <w:b/>
                      <w:iCs/>
                      <w:sz w:val="20"/>
                    </w:rPr>
                  </w:pPr>
                  <w:r>
                    <w:rPr>
                      <w:b/>
                      <w:iCs/>
                      <w:sz w:val="20"/>
                    </w:rPr>
                    <w:t>Definition</w:t>
                  </w:r>
                </w:p>
              </w:tc>
            </w:tr>
            <w:tr w:rsidR="00F85B9C" w14:paraId="19FB4E6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4246A4D9" w14:textId="77777777" w:rsidR="00F85B9C" w:rsidRDefault="00F85B9C" w:rsidP="00F85B9C">
                  <w:pPr>
                    <w:spacing w:after="60"/>
                    <w:rPr>
                      <w:iCs/>
                      <w:sz w:val="20"/>
                    </w:rPr>
                  </w:pPr>
                  <w:r>
                    <w:rPr>
                      <w:iCs/>
                      <w:sz w:val="20"/>
                    </w:rPr>
                    <w:t xml:space="preserve">HDLOEAMT </w:t>
                  </w:r>
                  <w:r>
                    <w:rPr>
                      <w:i/>
                      <w:iCs/>
                      <w:sz w:val="20"/>
                      <w:vertAlign w:val="subscript"/>
                    </w:rPr>
                    <w:t>q, r, p, i</w:t>
                  </w:r>
                </w:p>
              </w:tc>
              <w:tc>
                <w:tcPr>
                  <w:tcW w:w="474" w:type="pct"/>
                  <w:tcBorders>
                    <w:top w:val="single" w:sz="4" w:space="0" w:color="auto"/>
                    <w:left w:val="single" w:sz="4" w:space="0" w:color="auto"/>
                    <w:bottom w:val="single" w:sz="4" w:space="0" w:color="auto"/>
                    <w:right w:val="single" w:sz="4" w:space="0" w:color="auto"/>
                  </w:tcBorders>
                  <w:hideMark/>
                </w:tcPr>
                <w:p w14:paraId="2B2EF512" w14:textId="77777777" w:rsidR="00F85B9C" w:rsidRDefault="00F85B9C" w:rsidP="00F85B9C">
                  <w:pPr>
                    <w:spacing w:after="60"/>
                    <w:rPr>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437C7E05" w14:textId="0C9CC1C9" w:rsidR="00F85B9C" w:rsidRDefault="00F85B9C" w:rsidP="00F85B9C">
                  <w:pPr>
                    <w:spacing w:after="60"/>
                    <w:rPr>
                      <w:iCs/>
                      <w:sz w:val="20"/>
                    </w:rPr>
                  </w:pPr>
                  <w:r>
                    <w:rPr>
                      <w:i/>
                      <w:iCs/>
                      <w:sz w:val="20"/>
                    </w:rPr>
                    <w:t>High Dispatch Limit override energy amount per QSE per Resource</w:t>
                  </w:r>
                  <w:r>
                    <w:rPr>
                      <w:iCs/>
                      <w:sz w:val="20"/>
                    </w:rPr>
                    <w:t xml:space="preserve">—The payment to QSE </w:t>
                  </w:r>
                  <w:r>
                    <w:rPr>
                      <w:i/>
                      <w:iCs/>
                      <w:sz w:val="20"/>
                    </w:rPr>
                    <w:t>q</w:t>
                  </w:r>
                  <w:r>
                    <w:rPr>
                      <w:iCs/>
                      <w:sz w:val="20"/>
                    </w:rPr>
                    <w:t xml:space="preserve"> for an ERCOT-issued HDL override </w:t>
                  </w:r>
                  <w:r w:rsidR="00D92457">
                    <w:rPr>
                      <w:iCs/>
                      <w:sz w:val="20"/>
                    </w:rPr>
                    <w:t xml:space="preserve">or equivalent VDI </w:t>
                  </w:r>
                  <w:r>
                    <w:rPr>
                      <w:iCs/>
                      <w:sz w:val="20"/>
                    </w:rPr>
                    <w:t xml:space="preserve">for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0E887FF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58FC5F72" w14:textId="77777777" w:rsidR="00F85B9C" w:rsidRDefault="00F85B9C" w:rsidP="00F85B9C">
                  <w:pPr>
                    <w:spacing w:after="60"/>
                    <w:rPr>
                      <w:iCs/>
                      <w:sz w:val="20"/>
                    </w:rPr>
                  </w:pPr>
                  <w:r>
                    <w:rPr>
                      <w:iCs/>
                      <w:sz w:val="20"/>
                    </w:rPr>
                    <w:lastRenderedPageBreak/>
                    <w:t xml:space="preserve">HDLOEAMTQSETOT </w:t>
                  </w:r>
                  <w:r>
                    <w:rPr>
                      <w:rFonts w:ascii="Times New Roman Bold" w:hAnsi="Times New Roman Bold"/>
                      <w:i/>
                      <w:iCs/>
                      <w:sz w:val="20"/>
                      <w:vertAlign w:val="subscript"/>
                    </w:rPr>
                    <w:t>q,</w:t>
                  </w:r>
                  <w:r>
                    <w:rPr>
                      <w:i/>
                      <w:iCs/>
                      <w:sz w:val="20"/>
                    </w:rPr>
                    <w:t xml:space="preserve"> </w:t>
                  </w:r>
                  <w:r>
                    <w:rPr>
                      <w:i/>
                      <w:iCs/>
                      <w:sz w:val="20"/>
                      <w:vertAlign w:val="subscript"/>
                    </w:rPr>
                    <w:t>i</w:t>
                  </w:r>
                </w:p>
              </w:tc>
              <w:tc>
                <w:tcPr>
                  <w:tcW w:w="474" w:type="pct"/>
                  <w:tcBorders>
                    <w:top w:val="single" w:sz="4" w:space="0" w:color="auto"/>
                    <w:left w:val="single" w:sz="4" w:space="0" w:color="auto"/>
                    <w:bottom w:val="single" w:sz="4" w:space="0" w:color="auto"/>
                    <w:right w:val="single" w:sz="4" w:space="0" w:color="auto"/>
                  </w:tcBorders>
                  <w:hideMark/>
                </w:tcPr>
                <w:p w14:paraId="64E68CED" w14:textId="77777777" w:rsidR="00F85B9C" w:rsidRDefault="00F85B9C" w:rsidP="00F85B9C">
                  <w:pPr>
                    <w:spacing w:after="60"/>
                    <w:rPr>
                      <w:i/>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7BB94B3E" w14:textId="77777777" w:rsidR="00F85B9C" w:rsidRDefault="00F85B9C" w:rsidP="00F85B9C">
                  <w:pPr>
                    <w:spacing w:after="60"/>
                    <w:rPr>
                      <w:iCs/>
                      <w:sz w:val="20"/>
                    </w:rPr>
                  </w:pPr>
                  <w:r>
                    <w:rPr>
                      <w:i/>
                      <w:iCs/>
                      <w:sz w:val="20"/>
                    </w:rPr>
                    <w:t>High Dispatch Limit override energy amount QSE total per QSE</w:t>
                  </w:r>
                  <w:r>
                    <w:rPr>
                      <w:iCs/>
                      <w:sz w:val="20"/>
                    </w:rPr>
                    <w:t xml:space="preserve">—The total of the energy payments to QSE </w:t>
                  </w:r>
                  <w:r>
                    <w:rPr>
                      <w:i/>
                      <w:iCs/>
                      <w:sz w:val="20"/>
                    </w:rPr>
                    <w:t>q</w:t>
                  </w:r>
                  <w:r>
                    <w:rPr>
                      <w:iCs/>
                      <w:sz w:val="20"/>
                    </w:rPr>
                    <w:t xml:space="preserve"> as compensation for HDL overrides for this QSE for the 15-minute Settlement Interval </w:t>
                  </w:r>
                  <w:r>
                    <w:rPr>
                      <w:i/>
                      <w:iCs/>
                      <w:sz w:val="20"/>
                    </w:rPr>
                    <w:t>i</w:t>
                  </w:r>
                  <w:r>
                    <w:rPr>
                      <w:iCs/>
                      <w:sz w:val="20"/>
                    </w:rPr>
                    <w:t>.</w:t>
                  </w:r>
                </w:p>
              </w:tc>
            </w:tr>
            <w:tr w:rsidR="00F85B9C" w14:paraId="171587DC"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5A2C722" w14:textId="77777777" w:rsidR="00F85B9C" w:rsidRDefault="00F85B9C" w:rsidP="00F85B9C">
                  <w:pPr>
                    <w:spacing w:after="60"/>
                    <w:rPr>
                      <w:i/>
                      <w:iCs/>
                      <w:sz w:val="20"/>
                    </w:rPr>
                  </w:pPr>
                  <w:r>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70BE1BFF"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4844EBC4" w14:textId="77777777" w:rsidR="00F85B9C" w:rsidRDefault="00F85B9C" w:rsidP="00F85B9C">
                  <w:pPr>
                    <w:spacing w:after="60"/>
                    <w:rPr>
                      <w:iCs/>
                      <w:sz w:val="20"/>
                    </w:rPr>
                  </w:pPr>
                  <w:r>
                    <w:rPr>
                      <w:iCs/>
                      <w:sz w:val="20"/>
                    </w:rPr>
                    <w:t>A QSE.</w:t>
                  </w:r>
                </w:p>
              </w:tc>
            </w:tr>
            <w:tr w:rsidR="00F85B9C" w14:paraId="204C24FB"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3009CB9B" w14:textId="77777777" w:rsidR="00F85B9C" w:rsidRDefault="00F85B9C" w:rsidP="00F85B9C">
                  <w:pPr>
                    <w:spacing w:after="60"/>
                    <w:rPr>
                      <w:i/>
                      <w:iCs/>
                      <w:sz w:val="20"/>
                    </w:rPr>
                  </w:pPr>
                  <w:r>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02D4B422"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350F2005" w14:textId="37BDBE0C" w:rsidR="00F85B9C" w:rsidRDefault="00F85B9C" w:rsidP="00F85B9C">
                  <w:pPr>
                    <w:spacing w:after="60"/>
                    <w:rPr>
                      <w:iCs/>
                      <w:sz w:val="20"/>
                    </w:rPr>
                  </w:pPr>
                  <w:r>
                    <w:rPr>
                      <w:iCs/>
                      <w:sz w:val="20"/>
                    </w:rPr>
                    <w:t>A Generation Resource</w:t>
                  </w:r>
                  <w:r w:rsidR="008152FC">
                    <w:rPr>
                      <w:iCs/>
                      <w:sz w:val="20"/>
                    </w:rPr>
                    <w:t xml:space="preserve"> or ESR</w:t>
                  </w:r>
                  <w:r>
                    <w:rPr>
                      <w:iCs/>
                      <w:sz w:val="20"/>
                    </w:rPr>
                    <w:t>.</w:t>
                  </w:r>
                </w:p>
              </w:tc>
            </w:tr>
            <w:tr w:rsidR="00F85B9C" w14:paraId="41DDF543"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4336E67" w14:textId="77777777" w:rsidR="00F85B9C" w:rsidRDefault="00F85B9C" w:rsidP="00F85B9C">
                  <w:pPr>
                    <w:spacing w:after="60"/>
                    <w:rPr>
                      <w:i/>
                      <w:iCs/>
                      <w:sz w:val="20"/>
                    </w:rPr>
                  </w:pPr>
                  <w:r>
                    <w:rPr>
                      <w:i/>
                      <w:iCs/>
                      <w:sz w:val="20"/>
                    </w:rPr>
                    <w:t>p</w:t>
                  </w:r>
                </w:p>
              </w:tc>
              <w:tc>
                <w:tcPr>
                  <w:tcW w:w="474" w:type="pct"/>
                  <w:tcBorders>
                    <w:top w:val="single" w:sz="4" w:space="0" w:color="auto"/>
                    <w:left w:val="single" w:sz="4" w:space="0" w:color="auto"/>
                    <w:bottom w:val="single" w:sz="4" w:space="0" w:color="auto"/>
                    <w:right w:val="single" w:sz="4" w:space="0" w:color="auto"/>
                  </w:tcBorders>
                  <w:hideMark/>
                </w:tcPr>
                <w:p w14:paraId="641F2841"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A58205B" w14:textId="77777777" w:rsidR="00F85B9C" w:rsidRDefault="00F85B9C" w:rsidP="00F85B9C">
                  <w:pPr>
                    <w:spacing w:after="60"/>
                    <w:rPr>
                      <w:iCs/>
                      <w:sz w:val="18"/>
                      <w:szCs w:val="18"/>
                    </w:rPr>
                  </w:pPr>
                  <w:r>
                    <w:rPr>
                      <w:iCs/>
                      <w:sz w:val="20"/>
                    </w:rPr>
                    <w:t>A Resource Node Settlement Point.</w:t>
                  </w:r>
                </w:p>
              </w:tc>
            </w:tr>
            <w:tr w:rsidR="00F85B9C" w14:paraId="31AD6646"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7B16D9A3" w14:textId="77777777" w:rsidR="00F85B9C" w:rsidRDefault="00F85B9C" w:rsidP="00F85B9C">
                  <w:pPr>
                    <w:spacing w:after="60"/>
                    <w:rPr>
                      <w:i/>
                      <w:iCs/>
                      <w:sz w:val="20"/>
                    </w:rPr>
                  </w:pPr>
                  <w:r>
                    <w:rPr>
                      <w:i/>
                      <w:iCs/>
                      <w:sz w:val="20"/>
                    </w:rPr>
                    <w:t>i</w:t>
                  </w:r>
                </w:p>
              </w:tc>
              <w:tc>
                <w:tcPr>
                  <w:tcW w:w="474" w:type="pct"/>
                  <w:tcBorders>
                    <w:top w:val="single" w:sz="4" w:space="0" w:color="auto"/>
                    <w:left w:val="single" w:sz="4" w:space="0" w:color="auto"/>
                    <w:bottom w:val="single" w:sz="4" w:space="0" w:color="auto"/>
                    <w:right w:val="single" w:sz="4" w:space="0" w:color="auto"/>
                  </w:tcBorders>
                  <w:hideMark/>
                </w:tcPr>
                <w:p w14:paraId="36A83B4D"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EF7C0D4" w14:textId="77777777" w:rsidR="00F85B9C" w:rsidRDefault="00F85B9C" w:rsidP="00F85B9C">
                  <w:pPr>
                    <w:spacing w:after="60"/>
                    <w:rPr>
                      <w:iCs/>
                      <w:sz w:val="20"/>
                    </w:rPr>
                  </w:pPr>
                  <w:r>
                    <w:rPr>
                      <w:iCs/>
                      <w:sz w:val="20"/>
                    </w:rPr>
                    <w:t>A 15-minute Settlement Interval.</w:t>
                  </w:r>
                </w:p>
              </w:tc>
            </w:tr>
            <w:bookmarkEnd w:id="1979"/>
          </w:tbl>
          <w:p w14:paraId="7B6CE1B8" w14:textId="77777777" w:rsidR="00F85B9C" w:rsidRPr="00B50DCB" w:rsidRDefault="00F85B9C" w:rsidP="000D7680">
            <w:pPr>
              <w:spacing w:before="240" w:after="240"/>
              <w:ind w:left="720" w:hanging="720"/>
            </w:pPr>
          </w:p>
        </w:tc>
      </w:tr>
    </w:tbl>
    <w:p w14:paraId="3BC3C208" w14:textId="43C4EF39" w:rsidR="00C57701" w:rsidRDefault="00C57701" w:rsidP="009E68BD">
      <w:pPr>
        <w:pStyle w:val="H4"/>
        <w:spacing w:before="480"/>
      </w:pPr>
      <w:bookmarkStart w:id="1980" w:name="_Toc189044419"/>
      <w:r>
        <w:lastRenderedPageBreak/>
        <w:t>6.6.3.</w:t>
      </w:r>
      <w:r w:rsidR="00720B34">
        <w:t>7</w:t>
      </w:r>
      <w:r>
        <w:tab/>
        <w:t>Real-Time High Dispatch Limit Override Energy Charge</w:t>
      </w:r>
      <w:bookmarkEnd w:id="1967"/>
      <w:bookmarkEnd w:id="1968"/>
      <w:bookmarkEnd w:id="1980"/>
      <w:r>
        <w:t xml:space="preserve"> </w:t>
      </w:r>
    </w:p>
    <w:p w14:paraId="5FF770A4" w14:textId="751A2915" w:rsidR="00C57701" w:rsidRDefault="00C57701" w:rsidP="00C57701">
      <w:pPr>
        <w:pStyle w:val="BodyTextNumbered"/>
      </w:pPr>
      <w:r>
        <w:t xml:space="preserve">(1) </w:t>
      </w:r>
      <w:r>
        <w:tab/>
      </w:r>
      <w:r w:rsidRPr="00785239">
        <w:t xml:space="preserve">ERCOT shall </w:t>
      </w:r>
      <w:r>
        <w:t>allocate to QSEs</w:t>
      </w:r>
      <w:r w:rsidRPr="00810BD7">
        <w:t xml:space="preserve"> on a</w:t>
      </w:r>
      <w:r w:rsidR="00B55F80">
        <w:t>n</w:t>
      </w:r>
      <w:r w:rsidRPr="00810BD7">
        <w:t xml:space="preserve"> LRS</w:t>
      </w:r>
      <w:r>
        <w:t xml:space="preserve"> basis the total amount of the </w:t>
      </w:r>
      <w:r w:rsidRPr="00810BD7">
        <w:t xml:space="preserve">payment </w:t>
      </w:r>
      <w:r w:rsidRPr="00310978">
        <w:t xml:space="preserve">specified in Section </w:t>
      </w:r>
      <w:r w:rsidRPr="003C6F4D">
        <w:t>6.6.3.</w:t>
      </w:r>
      <w:r w:rsidR="00720B34">
        <w:t>6</w:t>
      </w:r>
      <w:r w:rsidRPr="00785239">
        <w:t xml:space="preserve">, </w:t>
      </w:r>
      <w:r w:rsidRPr="003C6F4D">
        <w:t xml:space="preserve">Real-Time </w:t>
      </w:r>
      <w:r>
        <w:t>High Dispatch Limit Override Energy Payment</w:t>
      </w:r>
      <w:r w:rsidRPr="00810BD7">
        <w:t xml:space="preserve">. </w:t>
      </w:r>
      <w:r>
        <w:t xml:space="preserve"> </w:t>
      </w:r>
      <w:r w:rsidRPr="00810BD7">
        <w:t>The charge to each QSE for a given 15-minute Settlement Interval is calculated as follows:</w:t>
      </w:r>
    </w:p>
    <w:p w14:paraId="32A92536" w14:textId="77777777" w:rsidR="00C57701" w:rsidRPr="00F05688" w:rsidRDefault="00C57701" w:rsidP="00C57701">
      <w:pPr>
        <w:pStyle w:val="FormulaBold"/>
      </w:pPr>
      <w:r w:rsidRPr="00577C08">
        <w:t>LA</w:t>
      </w:r>
      <w:r>
        <w:t>HDLO</w:t>
      </w:r>
      <w:r w:rsidRPr="00577C08">
        <w:t>EAMT</w:t>
      </w:r>
      <w:r w:rsidRPr="00F05688">
        <w:rPr>
          <w:i/>
          <w:vertAlign w:val="subscript"/>
          <w:lang w:val="es-ES"/>
        </w:rPr>
        <w:t xml:space="preserve"> q, i </w:t>
      </w:r>
      <w:r w:rsidRPr="00F05688">
        <w:t xml:space="preserve"> </w:t>
      </w:r>
      <w:r>
        <w:t xml:space="preserve">      </w:t>
      </w:r>
      <w:r w:rsidRPr="00F05688">
        <w:t>=</w:t>
      </w:r>
      <w:r w:rsidRPr="00F05688">
        <w:tab/>
        <w:t xml:space="preserve">(-1) * </w:t>
      </w:r>
      <w:r>
        <w:t>HDLO</w:t>
      </w:r>
      <w:r w:rsidRPr="00F05688">
        <w:t xml:space="preserve">EAMTTOT * LRS </w:t>
      </w:r>
      <w:r w:rsidRPr="00F05688">
        <w:rPr>
          <w:i/>
          <w:vertAlign w:val="subscript"/>
          <w:lang w:val="es-ES"/>
        </w:rPr>
        <w:t xml:space="preserve">q, i </w:t>
      </w:r>
      <w:r w:rsidRPr="00F05688">
        <w:t xml:space="preserve"> </w:t>
      </w:r>
    </w:p>
    <w:p w14:paraId="1E055618" w14:textId="77777777" w:rsidR="00C57701" w:rsidRDefault="00C57701" w:rsidP="00C57701">
      <w:pPr>
        <w:pStyle w:val="BodyText"/>
      </w:pPr>
      <w:r>
        <w:t>Where:</w:t>
      </w:r>
    </w:p>
    <w:p w14:paraId="4DC4A984" w14:textId="77777777" w:rsidR="00C57701" w:rsidRDefault="00C57701" w:rsidP="00C57701">
      <w:pPr>
        <w:pStyle w:val="Formula"/>
        <w:ind w:left="2880" w:hanging="2160"/>
        <w:rPr>
          <w:i/>
          <w:vertAlign w:val="subscript"/>
        </w:rPr>
      </w:pPr>
      <w:r>
        <w:t>HDLOEAMTTOT</w:t>
      </w:r>
      <w:r w:rsidRPr="008A163A">
        <w:rPr>
          <w:i/>
          <w:vertAlign w:val="subscript"/>
          <w:lang w:val="es-ES"/>
        </w:rPr>
        <w:t>i</w:t>
      </w:r>
      <w:r>
        <w:t xml:space="preserve"> </w:t>
      </w:r>
      <w:r>
        <w:tab/>
        <w:t>=</w:t>
      </w:r>
      <w:r>
        <w:tab/>
      </w:r>
      <w:r w:rsidRPr="006F784F">
        <w:rPr>
          <w:position w:val="-22"/>
        </w:rPr>
        <w:object w:dxaOrig="220" w:dyaOrig="460" w14:anchorId="43ECF7BD">
          <v:shape id="_x0000_i1164" type="#_x0000_t75" style="width:6pt;height:18pt" o:ole="">
            <v:imagedata r:id="rId187" o:title=""/>
          </v:shape>
          <o:OLEObject Type="Embed" ProgID="Equation.3" ShapeID="_x0000_i1164" DrawAspect="Content" ObjectID="_1804653649" r:id="rId188"/>
        </w:object>
      </w:r>
      <w:r w:rsidRPr="00491F90">
        <w:t xml:space="preserve"> </w:t>
      </w:r>
      <w:r>
        <w:t>HDLOE</w:t>
      </w:r>
      <w:r w:rsidRPr="00D22AA0">
        <w:t>AMTQSETOT</w:t>
      </w:r>
      <w:r w:rsidRPr="008A163A">
        <w:rPr>
          <w:i/>
          <w:vertAlign w:val="subscript"/>
          <w:lang w:val="es-ES"/>
        </w:rPr>
        <w:t xml:space="preserve"> q, i</w:t>
      </w:r>
      <w:r>
        <w:rPr>
          <w:b/>
          <w:i/>
          <w:vertAlign w:val="subscript"/>
          <w:lang w:val="es-ES"/>
        </w:rPr>
        <w:t xml:space="preserve"> </w:t>
      </w:r>
      <w:r>
        <w:rPr>
          <w:b/>
        </w:rPr>
        <w:t xml:space="preserve"> </w:t>
      </w:r>
    </w:p>
    <w:p w14:paraId="0CA7FBC8" w14:textId="77777777" w:rsidR="00C57701" w:rsidRDefault="00C57701" w:rsidP="00C57701">
      <w:r>
        <w:t>The above variables are defined as follows:</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7"/>
        <w:gridCol w:w="6425"/>
      </w:tblGrid>
      <w:tr w:rsidR="00C57701" w14:paraId="08C1DC31" w14:textId="77777777" w:rsidTr="00925E7F">
        <w:trPr>
          <w:tblHeader/>
        </w:trPr>
        <w:tc>
          <w:tcPr>
            <w:tcW w:w="2414" w:type="dxa"/>
          </w:tcPr>
          <w:p w14:paraId="2372DE6E" w14:textId="77777777" w:rsidR="00C57701" w:rsidRDefault="00C57701" w:rsidP="00EC4D68">
            <w:pPr>
              <w:pStyle w:val="TableHead"/>
            </w:pPr>
            <w:r>
              <w:t>Variable</w:t>
            </w:r>
          </w:p>
        </w:tc>
        <w:tc>
          <w:tcPr>
            <w:tcW w:w="737" w:type="dxa"/>
          </w:tcPr>
          <w:p w14:paraId="08CBF356" w14:textId="77777777" w:rsidR="00C57701" w:rsidRDefault="00C57701" w:rsidP="00EC4D68">
            <w:pPr>
              <w:pStyle w:val="TableHead"/>
            </w:pPr>
            <w:r>
              <w:t>Unit</w:t>
            </w:r>
          </w:p>
        </w:tc>
        <w:tc>
          <w:tcPr>
            <w:tcW w:w="6425" w:type="dxa"/>
          </w:tcPr>
          <w:p w14:paraId="1342E7C3" w14:textId="77777777" w:rsidR="00C57701" w:rsidRDefault="00C57701" w:rsidP="00EC4D68">
            <w:pPr>
              <w:pStyle w:val="TableHead"/>
            </w:pPr>
            <w:r>
              <w:t>Definition</w:t>
            </w:r>
          </w:p>
        </w:tc>
      </w:tr>
      <w:tr w:rsidR="00C57701" w14:paraId="1DAD5DD0" w14:textId="77777777" w:rsidTr="00925E7F">
        <w:trPr>
          <w:cantSplit/>
        </w:trPr>
        <w:tc>
          <w:tcPr>
            <w:tcW w:w="2414" w:type="dxa"/>
          </w:tcPr>
          <w:p w14:paraId="1028E7B2" w14:textId="77777777" w:rsidR="00C57701" w:rsidRPr="00CE1A4E" w:rsidRDefault="00C57701" w:rsidP="00EC4D68">
            <w:pPr>
              <w:pStyle w:val="TableBody"/>
            </w:pPr>
            <w:r w:rsidRPr="00CE1A4E">
              <w:t xml:space="preserve">LAHDLOPEAMT </w:t>
            </w:r>
            <w:r w:rsidRPr="00CE1A4E">
              <w:rPr>
                <w:i/>
                <w:vertAlign w:val="subscript"/>
              </w:rPr>
              <w:t>q</w:t>
            </w:r>
            <w:r w:rsidRPr="00CE1A4E">
              <w:rPr>
                <w:vertAlign w:val="subscript"/>
              </w:rPr>
              <w:t xml:space="preserve"> </w:t>
            </w:r>
          </w:p>
        </w:tc>
        <w:tc>
          <w:tcPr>
            <w:tcW w:w="737" w:type="dxa"/>
          </w:tcPr>
          <w:p w14:paraId="0C4D4B5E" w14:textId="77777777" w:rsidR="00C57701" w:rsidRPr="00CE1A4E" w:rsidRDefault="00C57701" w:rsidP="00EC4D68">
            <w:pPr>
              <w:pStyle w:val="TableBody"/>
            </w:pPr>
            <w:r w:rsidRPr="00CE1A4E">
              <w:t>$</w:t>
            </w:r>
          </w:p>
        </w:tc>
        <w:tc>
          <w:tcPr>
            <w:tcW w:w="6425" w:type="dxa"/>
          </w:tcPr>
          <w:p w14:paraId="0C51155E" w14:textId="77777777" w:rsidR="00C57701" w:rsidRPr="00CE1A4E" w:rsidRDefault="00C57701" w:rsidP="00EC4D68">
            <w:pPr>
              <w:pStyle w:val="TableBody"/>
            </w:pPr>
            <w:r w:rsidRPr="00CE1A4E">
              <w:rPr>
                <w:i/>
              </w:rPr>
              <w:t>Load-Allocated High Dispatch Limit override energy amount per QSE</w:t>
            </w:r>
            <w:r w:rsidRPr="00CE1A4E">
              <w:t xml:space="preserve">—The charge to QSE </w:t>
            </w:r>
            <w:r w:rsidRPr="00CE1A4E">
              <w:rPr>
                <w:i/>
              </w:rPr>
              <w:t>q</w:t>
            </w:r>
            <w:r w:rsidRPr="00CE1A4E">
              <w:t xml:space="preserve"> for an HDL override, for the 15-minute Settlement Interval.</w:t>
            </w:r>
          </w:p>
        </w:tc>
      </w:tr>
      <w:tr w:rsidR="00C57701" w14:paraId="575EDF39" w14:textId="77777777" w:rsidTr="00925E7F">
        <w:trPr>
          <w:cantSplit/>
        </w:trPr>
        <w:tc>
          <w:tcPr>
            <w:tcW w:w="2414" w:type="dxa"/>
          </w:tcPr>
          <w:p w14:paraId="1EF4C3EA" w14:textId="77777777" w:rsidR="00C57701" w:rsidRPr="00CE1A4E" w:rsidRDefault="00C57701" w:rsidP="00EC4D68">
            <w:pPr>
              <w:pStyle w:val="TableBody"/>
            </w:pPr>
            <w:r w:rsidRPr="00CE1A4E">
              <w:t>HDLOEAMTTOT</w:t>
            </w:r>
            <w:r w:rsidRPr="00CE1A4E">
              <w:rPr>
                <w:i/>
                <w:vertAlign w:val="subscript"/>
                <w:lang w:val="es-ES"/>
              </w:rPr>
              <w:t xml:space="preserve"> i</w:t>
            </w:r>
            <w:r w:rsidRPr="00CE1A4E">
              <w:rPr>
                <w:b/>
                <w:i/>
                <w:vertAlign w:val="subscript"/>
                <w:lang w:val="es-ES"/>
              </w:rPr>
              <w:t xml:space="preserve"> </w:t>
            </w:r>
            <w:r w:rsidRPr="00CE1A4E">
              <w:rPr>
                <w:b/>
              </w:rPr>
              <w:t xml:space="preserve"> </w:t>
            </w:r>
          </w:p>
        </w:tc>
        <w:tc>
          <w:tcPr>
            <w:tcW w:w="737" w:type="dxa"/>
          </w:tcPr>
          <w:p w14:paraId="2F0CA932" w14:textId="77777777" w:rsidR="00C57701" w:rsidRPr="00CE1A4E" w:rsidRDefault="00C57701" w:rsidP="00EC4D68">
            <w:pPr>
              <w:pStyle w:val="TableBody"/>
            </w:pPr>
            <w:r w:rsidRPr="00CE1A4E">
              <w:t>$</w:t>
            </w:r>
          </w:p>
        </w:tc>
        <w:tc>
          <w:tcPr>
            <w:tcW w:w="6425" w:type="dxa"/>
          </w:tcPr>
          <w:p w14:paraId="13C3BE0E" w14:textId="77777777" w:rsidR="00C57701" w:rsidRPr="0041072C" w:rsidRDefault="00C57701" w:rsidP="00EC4D68">
            <w:pPr>
              <w:pStyle w:val="TableBody"/>
              <w:rPr>
                <w:i/>
              </w:rPr>
            </w:pPr>
            <w:r w:rsidRPr="00CE1A4E">
              <w:rPr>
                <w:i/>
              </w:rPr>
              <w:t>High Dispatch Limit energy amount total</w:t>
            </w:r>
            <w:r w:rsidRPr="00CE1A4E">
              <w:t xml:space="preserve">—The total of payments to all QSEs for HDL overrides, for the 15-minute Settlement Interval </w:t>
            </w:r>
            <w:r w:rsidRPr="00CE1A4E">
              <w:rPr>
                <w:i/>
              </w:rPr>
              <w:t>i</w:t>
            </w:r>
            <w:r w:rsidRPr="0041072C">
              <w:t>.</w:t>
            </w:r>
          </w:p>
        </w:tc>
      </w:tr>
      <w:tr w:rsidR="00C57701" w14:paraId="15AA135D" w14:textId="77777777" w:rsidTr="00925E7F">
        <w:trPr>
          <w:cantSplit/>
        </w:trPr>
        <w:tc>
          <w:tcPr>
            <w:tcW w:w="2414" w:type="dxa"/>
          </w:tcPr>
          <w:p w14:paraId="6DA67A20" w14:textId="77777777" w:rsidR="00C57701" w:rsidRPr="00CE1A4E" w:rsidRDefault="00C57701" w:rsidP="00EC4D68">
            <w:pPr>
              <w:pStyle w:val="TableBody"/>
            </w:pPr>
            <w:r w:rsidRPr="00CE1A4E">
              <w:t xml:space="preserve">HDLOEAMTQSETOT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6A81776" w14:textId="77777777" w:rsidR="00C57701" w:rsidRPr="00CE1A4E" w:rsidRDefault="00C57701" w:rsidP="00EC4D68">
            <w:pPr>
              <w:pStyle w:val="TableBody"/>
            </w:pPr>
            <w:r w:rsidRPr="00CE1A4E">
              <w:t>$</w:t>
            </w:r>
          </w:p>
        </w:tc>
        <w:tc>
          <w:tcPr>
            <w:tcW w:w="6425" w:type="dxa"/>
          </w:tcPr>
          <w:p w14:paraId="1998CAD5" w14:textId="77777777" w:rsidR="00C57701" w:rsidRPr="0041072C" w:rsidRDefault="00C57701" w:rsidP="00EC4D68">
            <w:pPr>
              <w:pStyle w:val="TableBody"/>
              <w:rPr>
                <w:i/>
              </w:rPr>
            </w:pPr>
            <w:r w:rsidRPr="00CE1A4E">
              <w:rPr>
                <w:i/>
              </w:rPr>
              <w:t>High Dispatch Limit override energy amount QSE total per QSE</w:t>
            </w:r>
            <w:r w:rsidRPr="00CE1A4E">
              <w:t xml:space="preserve">—The total of the energy payments to QSE </w:t>
            </w:r>
            <w:r w:rsidRPr="00CE1A4E">
              <w:rPr>
                <w:i/>
              </w:rPr>
              <w:t>q</w:t>
            </w:r>
            <w:r w:rsidRPr="00CE1A4E">
              <w:t xml:space="preserve"> as compensation for an HDL override for this QSE for the 15-minute Settlement Interval </w:t>
            </w:r>
            <w:r w:rsidRPr="0041072C">
              <w:rPr>
                <w:i/>
              </w:rPr>
              <w:t>i</w:t>
            </w:r>
            <w:r w:rsidRPr="0041072C">
              <w:t>.</w:t>
            </w:r>
          </w:p>
        </w:tc>
      </w:tr>
      <w:tr w:rsidR="00C57701" w14:paraId="2C86EAA2" w14:textId="77777777" w:rsidTr="00925E7F">
        <w:trPr>
          <w:cantSplit/>
        </w:trPr>
        <w:tc>
          <w:tcPr>
            <w:tcW w:w="2414" w:type="dxa"/>
          </w:tcPr>
          <w:p w14:paraId="38B5A34A" w14:textId="77777777" w:rsidR="00C57701" w:rsidRPr="00CE1A4E" w:rsidRDefault="00C57701" w:rsidP="00EC4D68">
            <w:pPr>
              <w:pStyle w:val="TableBody"/>
            </w:pPr>
            <w:r w:rsidRPr="00CE1A4E">
              <w:t xml:space="preserve">LRS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B4612D2" w14:textId="77777777" w:rsidR="00C57701" w:rsidRPr="00CE1A4E" w:rsidRDefault="00C57701" w:rsidP="00EC4D68">
            <w:pPr>
              <w:pStyle w:val="TableBody"/>
            </w:pPr>
            <w:r w:rsidRPr="00CE1A4E">
              <w:t>none</w:t>
            </w:r>
          </w:p>
        </w:tc>
        <w:tc>
          <w:tcPr>
            <w:tcW w:w="6425" w:type="dxa"/>
          </w:tcPr>
          <w:p w14:paraId="3A4CB9F6" w14:textId="77777777" w:rsidR="00C57701" w:rsidRPr="0041072C" w:rsidRDefault="00C57701" w:rsidP="00EC4D68">
            <w:pPr>
              <w:pStyle w:val="TableBody"/>
            </w:pPr>
            <w:r w:rsidRPr="00CE1A4E">
              <w:rPr>
                <w:i/>
              </w:rPr>
              <w:t>The Load Ratio Share</w:t>
            </w:r>
            <w:r w:rsidRPr="00CE1A4E">
              <w:t xml:space="preserve"> calculated for QSE </w:t>
            </w:r>
            <w:r w:rsidRPr="00CE1A4E">
              <w:rPr>
                <w:i/>
              </w:rPr>
              <w:t>q</w:t>
            </w:r>
            <w:r w:rsidRPr="0041072C">
              <w:t xml:space="preserve"> for the 15-minute Settlement Interval</w:t>
            </w:r>
            <w:r>
              <w:t xml:space="preserve"> </w:t>
            </w:r>
            <w:r>
              <w:rPr>
                <w:i/>
              </w:rPr>
              <w:t>i</w:t>
            </w:r>
            <w:r w:rsidRPr="0041072C">
              <w:t>.  See Section 6.6.2.2, QSE Load Ratio Share for a 15-Minute Settlement Interval.</w:t>
            </w:r>
          </w:p>
        </w:tc>
      </w:tr>
      <w:tr w:rsidR="00C57701" w14:paraId="5172CE38"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4EE421A4" w14:textId="77777777" w:rsidR="00C57701" w:rsidRPr="00CE1A4E" w:rsidRDefault="00C57701" w:rsidP="00EC4D68">
            <w:pPr>
              <w:pStyle w:val="TableBody"/>
              <w:rPr>
                <w:i/>
              </w:rPr>
            </w:pPr>
            <w:r w:rsidRPr="00CE1A4E">
              <w:rPr>
                <w:i/>
              </w:rPr>
              <w:t>q</w:t>
            </w:r>
          </w:p>
        </w:tc>
        <w:tc>
          <w:tcPr>
            <w:tcW w:w="737" w:type="dxa"/>
            <w:tcBorders>
              <w:top w:val="single" w:sz="4" w:space="0" w:color="auto"/>
              <w:left w:val="single" w:sz="4" w:space="0" w:color="auto"/>
              <w:bottom w:val="single" w:sz="4" w:space="0" w:color="auto"/>
              <w:right w:val="single" w:sz="4" w:space="0" w:color="auto"/>
            </w:tcBorders>
          </w:tcPr>
          <w:p w14:paraId="20EB73C9"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03C5AC62" w14:textId="77777777" w:rsidR="00C57701" w:rsidRPr="00CE1A4E" w:rsidRDefault="00C57701" w:rsidP="00EC4D68">
            <w:pPr>
              <w:pStyle w:val="TableBody"/>
            </w:pPr>
            <w:r w:rsidRPr="00CE1A4E">
              <w:t>A QSE.</w:t>
            </w:r>
          </w:p>
        </w:tc>
      </w:tr>
      <w:tr w:rsidR="00C57701" w14:paraId="50003014"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3C5E1109" w14:textId="77777777" w:rsidR="00C57701" w:rsidRPr="00CE1A4E" w:rsidRDefault="00C57701" w:rsidP="00EC4D68">
            <w:pPr>
              <w:pStyle w:val="TableBody"/>
            </w:pPr>
            <w:r w:rsidRPr="00CE1A4E">
              <w:rPr>
                <w:i/>
              </w:rPr>
              <w:t>i</w:t>
            </w:r>
          </w:p>
        </w:tc>
        <w:tc>
          <w:tcPr>
            <w:tcW w:w="737" w:type="dxa"/>
            <w:tcBorders>
              <w:top w:val="single" w:sz="4" w:space="0" w:color="auto"/>
              <w:left w:val="single" w:sz="4" w:space="0" w:color="auto"/>
              <w:bottom w:val="single" w:sz="4" w:space="0" w:color="auto"/>
              <w:right w:val="single" w:sz="4" w:space="0" w:color="auto"/>
            </w:tcBorders>
          </w:tcPr>
          <w:p w14:paraId="7FC0662D"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131CB95F" w14:textId="77777777" w:rsidR="00C57701" w:rsidRPr="00CE1A4E" w:rsidRDefault="00C57701" w:rsidP="00EC4D68">
            <w:pPr>
              <w:pStyle w:val="TableBody"/>
            </w:pPr>
            <w:r w:rsidRPr="00CE1A4E">
              <w:t>A 15-minute Settlement Interval.</w:t>
            </w:r>
          </w:p>
        </w:tc>
      </w:tr>
    </w:tbl>
    <w:p w14:paraId="23B56615" w14:textId="07A7007F" w:rsidR="00925E7F" w:rsidRPr="00925E7F" w:rsidRDefault="00925E7F" w:rsidP="00925E7F">
      <w:pPr>
        <w:keepNext/>
        <w:widowControl w:val="0"/>
        <w:tabs>
          <w:tab w:val="left" w:pos="1260"/>
        </w:tabs>
        <w:spacing w:before="480" w:after="240"/>
        <w:ind w:left="1260" w:hanging="1260"/>
        <w:outlineLvl w:val="3"/>
        <w:rPr>
          <w:b/>
          <w:bCs/>
          <w:snapToGrid w:val="0"/>
        </w:rPr>
      </w:pPr>
      <w:bookmarkStart w:id="1981" w:name="_Toc189044420"/>
      <w:r w:rsidRPr="00925E7F">
        <w:rPr>
          <w:b/>
          <w:bCs/>
          <w:snapToGrid w:val="0"/>
        </w:rPr>
        <w:t>6.6.3.</w:t>
      </w:r>
      <w:r w:rsidR="00720B34">
        <w:rPr>
          <w:b/>
          <w:bCs/>
          <w:snapToGrid w:val="0"/>
        </w:rPr>
        <w:t>8</w:t>
      </w:r>
      <w:r w:rsidRPr="00925E7F">
        <w:rPr>
          <w:b/>
          <w:bCs/>
          <w:snapToGrid w:val="0"/>
        </w:rPr>
        <w:tab/>
        <w:t>Real-Time Payment or Charge for Energy from a Settlement Only Distribution Generator (SODG) or a Settlement Only Transmission Generator (SOTG)</w:t>
      </w:r>
      <w:bookmarkEnd w:id="1981"/>
      <w:r w:rsidRPr="00925E7F">
        <w:rPr>
          <w:b/>
          <w:bCs/>
          <w:snapToGrid w:val="0"/>
        </w:rPr>
        <w:t xml:space="preserve"> </w:t>
      </w:r>
    </w:p>
    <w:p w14:paraId="0A67FC26" w14:textId="4FCE0B4D" w:rsidR="00925E7F" w:rsidRDefault="00925E7F" w:rsidP="00925E7F">
      <w:pPr>
        <w:widowControl w:val="0"/>
        <w:spacing w:after="240"/>
        <w:ind w:left="720" w:hanging="720"/>
      </w:pPr>
      <w:r w:rsidRPr="00925E7F">
        <w:t>(1)</w:t>
      </w:r>
      <w:r w:rsidRPr="00925E7F">
        <w:tab/>
      </w:r>
      <w:r>
        <w:t>T</w:t>
      </w:r>
      <w:r w:rsidRPr="00925E7F">
        <w:t>he payment or charge to each QSE for energy from an SODG or an SOTG shall be based on an identified nodal energy price, RTESOGPR, as described in this subsectio</w:t>
      </w:r>
      <w:r>
        <w:t>n, with the following exceptions:</w:t>
      </w:r>
    </w:p>
    <w:p w14:paraId="5240EAFC" w14:textId="77777777" w:rsidR="00925E7F" w:rsidRDefault="00925E7F" w:rsidP="00925E7F">
      <w:pPr>
        <w:pStyle w:val="List"/>
      </w:pPr>
      <w:r>
        <w:t>(a)</w:t>
      </w:r>
      <w:r>
        <w:tab/>
        <w:t xml:space="preserve">An SODG or SOTG that has opted out of nodal pricing as described in paragraph (5) below; or </w:t>
      </w:r>
    </w:p>
    <w:p w14:paraId="0119F3EC" w14:textId="42F8738B" w:rsidR="00925E7F" w:rsidRPr="00925E7F" w:rsidRDefault="00925E7F" w:rsidP="00925E7F">
      <w:pPr>
        <w:pStyle w:val="List"/>
      </w:pPr>
      <w:r>
        <w:lastRenderedPageBreak/>
        <w:t>(b)</w:t>
      </w:r>
      <w:r>
        <w:tab/>
        <w:t>Any site with one or mo</w:t>
      </w:r>
      <w:r w:rsidRPr="004A184C">
        <w:t>re ESS SODGs or SOTGs where the ESS capacity constitutes more than 50% of the site’s total SOG nameplate capacity.</w:t>
      </w:r>
    </w:p>
    <w:p w14:paraId="5BAF525D" w14:textId="07F1320B" w:rsidR="00925E7F" w:rsidRPr="00925E7F" w:rsidRDefault="00925E7F" w:rsidP="00925E7F">
      <w:pPr>
        <w:widowControl w:val="0"/>
        <w:spacing w:after="240"/>
        <w:ind w:left="720" w:hanging="720"/>
      </w:pPr>
      <w:r w:rsidRPr="00925E7F">
        <w:t>(2)</w:t>
      </w:r>
      <w:r w:rsidRPr="00925E7F">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SODG and SOTG sites will be represented as a single unit in the ERCOT Settlement system.</w:t>
      </w:r>
    </w:p>
    <w:p w14:paraId="6FF7AB60" w14:textId="77777777" w:rsidR="00925E7F" w:rsidRPr="00925E7F" w:rsidRDefault="00925E7F" w:rsidP="00925E7F">
      <w:pPr>
        <w:widowControl w:val="0"/>
        <w:spacing w:after="240"/>
        <w:ind w:left="720" w:hanging="720"/>
      </w:pPr>
      <w:r w:rsidRPr="00925E7F">
        <w:t>(3)</w:t>
      </w:r>
      <w:r w:rsidRPr="00925E7F">
        <w:tab/>
        <w:t>For an SODG or an SOTG, the total payment or charge for each 15-minute Settlement Interval shall be calculated as follows:</w:t>
      </w:r>
    </w:p>
    <w:p w14:paraId="2CE62C1E" w14:textId="77777777" w:rsidR="00925E7F" w:rsidRPr="00DA2165" w:rsidRDefault="00925E7F" w:rsidP="00925E7F">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50FD9FBE">
          <v:shape id="_x0000_i1165" type="#_x0000_t75" style="width:12pt;height:24pt" o:ole="">
            <v:imagedata r:id="rId189" o:title=""/>
          </v:shape>
          <o:OLEObject Type="Embed" ProgID="Equation.3" ShapeID="_x0000_i1165" DrawAspect="Content" ObjectID="_1804653650" r:id="rId190"/>
        </w:object>
      </w:r>
      <w:r w:rsidRPr="00DA2165">
        <w:t>MEBSOG</w:t>
      </w:r>
      <w:r w:rsidRPr="00DA2165">
        <w:rPr>
          <w:i/>
          <w:vertAlign w:val="subscript"/>
        </w:rPr>
        <w:t xml:space="preserve"> q, gsc, b</w:t>
      </w:r>
      <w:r w:rsidRPr="00DA2165">
        <w:t>)</w:t>
      </w:r>
    </w:p>
    <w:p w14:paraId="15374A8D" w14:textId="77777777" w:rsidR="00925E7F" w:rsidRPr="00DA2165" w:rsidRDefault="00925E7F" w:rsidP="00925E7F">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0533B9ED" w14:textId="77777777" w:rsidR="00925E7F" w:rsidRPr="00DA2165" w:rsidRDefault="00925E7F" w:rsidP="00925E7F">
      <w:pPr>
        <w:pStyle w:val="BodyTextNumbered"/>
        <w:widowControl w:val="0"/>
        <w:ind w:firstLine="0"/>
      </w:pPr>
      <w:r w:rsidRPr="00DA2165">
        <w:t>The Load is included in the Real-Time AML per QSE and is included in the Real-Time energy imbalance payment or charge at a Load Zone.</w:t>
      </w:r>
    </w:p>
    <w:p w14:paraId="2C705D24" w14:textId="77777777" w:rsidR="00925E7F" w:rsidRPr="00DA2165" w:rsidRDefault="00925E7F" w:rsidP="00925E7F">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0B767545" w14:textId="2531038C" w:rsidR="00925E7F" w:rsidRPr="00925E7F" w:rsidRDefault="00925E7F" w:rsidP="00925E7F">
      <w:pPr>
        <w:tabs>
          <w:tab w:val="left" w:pos="2250"/>
          <w:tab w:val="left" w:pos="3150"/>
          <w:tab w:val="left" w:pos="3960"/>
        </w:tabs>
        <w:spacing w:after="240"/>
        <w:ind w:left="3960" w:hanging="3240"/>
        <w:rPr>
          <w:b/>
          <w:bCs/>
          <w:iCs/>
        </w:rPr>
      </w:pPr>
      <w:r w:rsidRPr="00925E7F">
        <w:rPr>
          <w:b/>
          <w:bCs/>
          <w:szCs w:val="24"/>
        </w:rPr>
        <w:t xml:space="preserve">RTESOGSAMT </w:t>
      </w:r>
      <w:r w:rsidRPr="00925E7F">
        <w:rPr>
          <w:b/>
          <w:bCs/>
          <w:i/>
          <w:sz w:val="28"/>
          <w:szCs w:val="28"/>
          <w:vertAlign w:val="subscript"/>
        </w:rPr>
        <w:t>q,</w:t>
      </w:r>
      <w:r w:rsidRPr="00925E7F">
        <w:rPr>
          <w:b/>
          <w:bCs/>
          <w:szCs w:val="24"/>
        </w:rPr>
        <w:t xml:space="preserve"> </w:t>
      </w:r>
      <w:r w:rsidRPr="00925E7F">
        <w:rPr>
          <w:b/>
          <w:bCs/>
          <w:i/>
          <w:sz w:val="28"/>
          <w:szCs w:val="28"/>
          <w:vertAlign w:val="subscript"/>
        </w:rPr>
        <w:t>gsc</w:t>
      </w:r>
      <w:r w:rsidRPr="00925E7F">
        <w:rPr>
          <w:b/>
          <w:bCs/>
          <w:szCs w:val="24"/>
        </w:rPr>
        <w:tab/>
        <w:t>=</w:t>
      </w:r>
      <w:r w:rsidRPr="00925E7F">
        <w:rPr>
          <w:b/>
          <w:bCs/>
          <w:szCs w:val="24"/>
        </w:rPr>
        <w:tab/>
        <w:t>(-1) * [</w:t>
      </w:r>
      <w:r w:rsidRPr="00925E7F">
        <w:rPr>
          <w:b/>
          <w:bCs/>
          <w:position w:val="-20"/>
          <w:szCs w:val="24"/>
        </w:rPr>
        <w:object w:dxaOrig="225" w:dyaOrig="435" w14:anchorId="1E10A868">
          <v:shape id="_x0000_i1166" type="#_x0000_t75" style="width:12pt;height:30pt" o:ole="">
            <v:imagedata r:id="rId189" o:title=""/>
          </v:shape>
          <o:OLEObject Type="Embed" ProgID="Equation.3" ShapeID="_x0000_i1166" DrawAspect="Content" ObjectID="_1804653651" r:id="rId191"/>
        </w:object>
      </w:r>
      <w:r w:rsidRPr="00925E7F">
        <w:rPr>
          <w:b/>
          <w:bCs/>
          <w:szCs w:val="24"/>
        </w:rPr>
        <w:t xml:space="preserve">( RTESOGPR </w:t>
      </w:r>
      <w:r w:rsidRPr="00925E7F">
        <w:rPr>
          <w:b/>
          <w:bCs/>
          <w:i/>
          <w:szCs w:val="24"/>
          <w:vertAlign w:val="subscript"/>
        </w:rPr>
        <w:t xml:space="preserve">b </w:t>
      </w:r>
      <w:r w:rsidRPr="00925E7F">
        <w:rPr>
          <w:b/>
          <w:bCs/>
          <w:szCs w:val="24"/>
        </w:rPr>
        <w:t xml:space="preserve">* </w:t>
      </w:r>
      <w:r>
        <w:rPr>
          <w:b/>
          <w:bCs/>
          <w:szCs w:val="24"/>
        </w:rPr>
        <w:t>MEB</w:t>
      </w:r>
      <w:r w:rsidRPr="00925E7F">
        <w:rPr>
          <w:b/>
          <w:bCs/>
          <w:szCs w:val="24"/>
        </w:rPr>
        <w:t xml:space="preserve">SOG </w:t>
      </w:r>
      <w:r w:rsidRPr="00925E7F">
        <w:rPr>
          <w:b/>
          <w:bCs/>
          <w:i/>
          <w:szCs w:val="24"/>
          <w:vertAlign w:val="subscript"/>
        </w:rPr>
        <w:t>q, gsc, b</w:t>
      </w:r>
      <w:r w:rsidRPr="00925E7F">
        <w:rPr>
          <w:b/>
          <w:bCs/>
          <w:szCs w:val="24"/>
        </w:rPr>
        <w:t xml:space="preserve">)] </w:t>
      </w:r>
    </w:p>
    <w:p w14:paraId="5A7D810D" w14:textId="77777777" w:rsidR="00925E7F" w:rsidRPr="00CE3A65" w:rsidRDefault="00925E7F" w:rsidP="00925E7F">
      <w:pPr>
        <w:tabs>
          <w:tab w:val="left" w:pos="2250"/>
          <w:tab w:val="left" w:pos="3150"/>
          <w:tab w:val="left" w:pos="3960"/>
        </w:tabs>
        <w:spacing w:after="240"/>
        <w:ind w:left="3960" w:hanging="3240"/>
        <w:rPr>
          <w:iCs/>
          <w:szCs w:val="24"/>
        </w:rPr>
      </w:pPr>
      <w:r w:rsidRPr="00CE3A65">
        <w:rPr>
          <w:iCs/>
        </w:rPr>
        <w:t>Where</w:t>
      </w:r>
      <w:r w:rsidRPr="00CE3A65">
        <w:t xml:space="preserve"> the price for the SOTG or SODG is determined as follows:</w:t>
      </w:r>
    </w:p>
    <w:p w14:paraId="1BCCB747"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RTESOGPR</w:t>
      </w:r>
      <w:r w:rsidRPr="00925E7F">
        <w:rPr>
          <w:b/>
          <w:bCs/>
          <w:i/>
          <w:iCs/>
          <w:szCs w:val="24"/>
          <w:vertAlign w:val="subscript"/>
        </w:rPr>
        <w:t xml:space="preserve"> b</w:t>
      </w:r>
      <w:r w:rsidRPr="00925E7F">
        <w:rPr>
          <w:b/>
          <w:bCs/>
          <w:szCs w:val="24"/>
        </w:rPr>
        <w:t xml:space="preserve"> </w:t>
      </w:r>
      <w:r w:rsidRPr="00925E7F">
        <w:rPr>
          <w:b/>
          <w:bCs/>
          <w:szCs w:val="24"/>
        </w:rPr>
        <w:tab/>
        <w:t>=</w:t>
      </w:r>
      <w:r w:rsidRPr="00925E7F">
        <w:rPr>
          <w:b/>
          <w:bCs/>
          <w:szCs w:val="24"/>
        </w:rPr>
        <w:tab/>
        <w:t xml:space="preserve">Max [-$251, </w:t>
      </w:r>
      <w:r w:rsidRPr="00925E7F">
        <w:rPr>
          <w:b/>
          <w:bCs/>
          <w:position w:val="-22"/>
          <w:szCs w:val="24"/>
        </w:rPr>
        <w:object w:dxaOrig="225" w:dyaOrig="465" w14:anchorId="00195C93">
          <v:shape id="_x0000_i1167" type="#_x0000_t75" style="width:12pt;height:30pt" o:ole="">
            <v:imagedata r:id="rId192" o:title=""/>
          </v:shape>
          <o:OLEObject Type="Embed" ProgID="Equation.3" ShapeID="_x0000_i1167" DrawAspect="Content" ObjectID="_1804653652" r:id="rId193"/>
        </w:object>
      </w:r>
      <w:r w:rsidRPr="00925E7F">
        <w:rPr>
          <w:b/>
          <w:bCs/>
          <w:szCs w:val="24"/>
        </w:rPr>
        <w:t>((SDWF</w:t>
      </w:r>
      <w:r w:rsidRPr="00925E7F">
        <w:rPr>
          <w:b/>
          <w:bCs/>
          <w:i/>
          <w:iCs/>
          <w:szCs w:val="24"/>
          <w:vertAlign w:val="subscript"/>
        </w:rPr>
        <w:t xml:space="preserve"> y </w:t>
      </w:r>
      <w:r w:rsidRPr="00925E7F">
        <w:rPr>
          <w:b/>
          <w:bCs/>
          <w:szCs w:val="24"/>
        </w:rPr>
        <w:t xml:space="preserve">* RTLMP </w:t>
      </w:r>
      <w:r w:rsidRPr="00925E7F">
        <w:rPr>
          <w:b/>
          <w:bCs/>
          <w:i/>
          <w:iCs/>
          <w:szCs w:val="24"/>
          <w:vertAlign w:val="subscript"/>
        </w:rPr>
        <w:t>b, y</w:t>
      </w:r>
      <w:r w:rsidRPr="00925E7F">
        <w:rPr>
          <w:b/>
          <w:bCs/>
          <w:szCs w:val="24"/>
        </w:rPr>
        <w:t>) + RTRSVPOR + RTRDP)]</w:t>
      </w:r>
    </w:p>
    <w:p w14:paraId="179FD352" w14:textId="77777777" w:rsidR="00925E7F" w:rsidRPr="00925E7F" w:rsidRDefault="00925E7F" w:rsidP="00925E7F">
      <w:pPr>
        <w:widowControl w:val="0"/>
        <w:spacing w:after="240" w:line="240" w:lineRule="exact"/>
        <w:ind w:firstLine="720"/>
        <w:rPr>
          <w:rFonts w:ascii="Verdana" w:hAnsi="Verdana"/>
          <w:sz w:val="16"/>
          <w:szCs w:val="24"/>
        </w:rPr>
      </w:pPr>
      <w:r w:rsidRPr="00925E7F">
        <w:rPr>
          <w:szCs w:val="24"/>
        </w:rPr>
        <w:t>Where:</w:t>
      </w:r>
    </w:p>
    <w:p w14:paraId="697AB0ED" w14:textId="77777777" w:rsidR="00925E7F" w:rsidRPr="00925E7F" w:rsidRDefault="00925E7F" w:rsidP="00925E7F">
      <w:pPr>
        <w:spacing w:after="240"/>
        <w:ind w:left="720"/>
      </w:pPr>
      <w:r w:rsidRPr="00925E7F">
        <w:tab/>
        <w:t>RTRSVPOR</w:t>
      </w:r>
      <w:r w:rsidRPr="00925E7F">
        <w:tab/>
        <w:t>=</w:t>
      </w:r>
      <w:r w:rsidRPr="00925E7F">
        <w:tab/>
      </w:r>
      <w:r w:rsidRPr="00925E7F">
        <w:rPr>
          <w:position w:val="-22"/>
        </w:rPr>
        <w:object w:dxaOrig="225" w:dyaOrig="465" w14:anchorId="68012F1E">
          <v:shape id="_x0000_i1168" type="#_x0000_t75" style="width:12pt;height:30pt" o:ole="">
            <v:imagedata r:id="rId192" o:title=""/>
          </v:shape>
          <o:OLEObject Type="Embed" ProgID="Equation.3" ShapeID="_x0000_i1168" DrawAspect="Content" ObjectID="_1804653653" r:id="rId194"/>
        </w:object>
      </w:r>
      <w:r w:rsidRPr="00925E7F">
        <w:t>(SDWF</w:t>
      </w:r>
      <w:r w:rsidRPr="00925E7F">
        <w:rPr>
          <w:i/>
          <w:iCs/>
          <w:vertAlign w:val="subscript"/>
        </w:rPr>
        <w:t xml:space="preserve"> y </w:t>
      </w:r>
      <w:r w:rsidRPr="00925E7F">
        <w:t>* RTORPA</w:t>
      </w:r>
      <w:r w:rsidRPr="00925E7F">
        <w:rPr>
          <w:i/>
          <w:iCs/>
          <w:vertAlign w:val="subscript"/>
        </w:rPr>
        <w:t xml:space="preserve"> y</w:t>
      </w:r>
      <w:r w:rsidRPr="00925E7F">
        <w:t>)</w:t>
      </w:r>
    </w:p>
    <w:p w14:paraId="22E26085" w14:textId="77777777" w:rsidR="00925E7F" w:rsidRPr="00925E7F" w:rsidRDefault="00925E7F" w:rsidP="00925E7F">
      <w:pPr>
        <w:spacing w:after="240"/>
        <w:ind w:left="1440"/>
      </w:pPr>
      <w:r w:rsidRPr="00925E7F">
        <w:t>RTRDP</w:t>
      </w:r>
      <w:r w:rsidRPr="00925E7F">
        <w:tab/>
        <w:t>=</w:t>
      </w:r>
      <w:r w:rsidRPr="00925E7F">
        <w:tab/>
      </w:r>
      <w:r w:rsidRPr="00925E7F">
        <w:rPr>
          <w:position w:val="-22"/>
        </w:rPr>
        <w:object w:dxaOrig="225" w:dyaOrig="465" w14:anchorId="10798930">
          <v:shape id="_x0000_i1169" type="#_x0000_t75" style="width:12pt;height:30pt" o:ole="">
            <v:imagedata r:id="rId192" o:title=""/>
          </v:shape>
          <o:OLEObject Type="Embed" ProgID="Equation.3" ShapeID="_x0000_i1169" DrawAspect="Content" ObjectID="_1804653654" r:id="rId195"/>
        </w:object>
      </w:r>
      <w:r w:rsidRPr="00925E7F">
        <w:t>(SDWF</w:t>
      </w:r>
      <w:r w:rsidRPr="00925E7F">
        <w:rPr>
          <w:i/>
          <w:iCs/>
          <w:vertAlign w:val="subscript"/>
        </w:rPr>
        <w:t xml:space="preserve"> y </w:t>
      </w:r>
      <w:r w:rsidRPr="00925E7F">
        <w:t>* RTORDPA</w:t>
      </w:r>
      <w:r w:rsidRPr="00925E7F">
        <w:rPr>
          <w:i/>
          <w:iCs/>
          <w:vertAlign w:val="subscript"/>
        </w:rPr>
        <w:t xml:space="preserve"> y</w:t>
      </w:r>
      <w:r w:rsidRPr="00925E7F">
        <w:t>)</w:t>
      </w:r>
    </w:p>
    <w:p w14:paraId="619DA1C9" w14:textId="77777777" w:rsidR="00925E7F" w:rsidRPr="00925E7F" w:rsidRDefault="00925E7F" w:rsidP="00925E7F">
      <w:pPr>
        <w:widowControl w:val="0"/>
        <w:spacing w:after="240"/>
        <w:ind w:left="720"/>
        <w:rPr>
          <w:szCs w:val="24"/>
          <w:lang w:val="es-ES"/>
        </w:rPr>
      </w:pPr>
      <w:r w:rsidRPr="00925E7F">
        <w:rPr>
          <w:szCs w:val="24"/>
        </w:rPr>
        <w:tab/>
        <w:t xml:space="preserve">SDWF </w:t>
      </w:r>
      <w:r w:rsidRPr="00925E7F">
        <w:rPr>
          <w:i/>
          <w:szCs w:val="24"/>
          <w:vertAlign w:val="subscript"/>
        </w:rPr>
        <w:t>y</w:t>
      </w:r>
      <w:r w:rsidRPr="00925E7F">
        <w:rPr>
          <w:i/>
          <w:szCs w:val="24"/>
          <w:vertAlign w:val="subscript"/>
        </w:rPr>
        <w:tab/>
      </w:r>
      <w:r w:rsidRPr="00925E7F">
        <w:rPr>
          <w:szCs w:val="24"/>
        </w:rPr>
        <w:t>=</w:t>
      </w:r>
      <w:r w:rsidRPr="00925E7F">
        <w:rPr>
          <w:szCs w:val="24"/>
        </w:rPr>
        <w:tab/>
        <w:t xml:space="preserve">TLMP </w:t>
      </w:r>
      <w:r w:rsidRPr="00925E7F">
        <w:rPr>
          <w:i/>
          <w:szCs w:val="24"/>
          <w:vertAlign w:val="subscript"/>
        </w:rPr>
        <w:t>y</w:t>
      </w:r>
      <w:r w:rsidRPr="00925E7F">
        <w:rPr>
          <w:szCs w:val="24"/>
        </w:rPr>
        <w:t xml:space="preserve"> </w:t>
      </w:r>
      <w:r w:rsidRPr="00925E7F">
        <w:rPr>
          <w:color w:val="000000"/>
          <w:sz w:val="32"/>
          <w:szCs w:val="32"/>
        </w:rPr>
        <w:t>/</w:t>
      </w:r>
      <w:r w:rsidRPr="00925E7F">
        <w:rPr>
          <w:color w:val="000000"/>
          <w:szCs w:val="24"/>
        </w:rPr>
        <w:t xml:space="preserve"> </w:t>
      </w:r>
      <w:r w:rsidRPr="00925E7F">
        <w:rPr>
          <w:position w:val="-22"/>
          <w:szCs w:val="24"/>
        </w:rPr>
        <w:object w:dxaOrig="225" w:dyaOrig="465" w14:anchorId="2190BE25">
          <v:shape id="_x0000_i1170" type="#_x0000_t75" style="width:12pt;height:30pt" o:ole="">
            <v:imagedata r:id="rId192" o:title=""/>
          </v:shape>
          <o:OLEObject Type="Embed" ProgID="Equation.3" ShapeID="_x0000_i1170" DrawAspect="Content" ObjectID="_1804653655" r:id="rId196"/>
        </w:object>
      </w:r>
      <w:r w:rsidRPr="00925E7F">
        <w:rPr>
          <w:szCs w:val="24"/>
        </w:rPr>
        <w:t xml:space="preserve">TLMP </w:t>
      </w:r>
      <w:r w:rsidRPr="00925E7F">
        <w:rPr>
          <w:i/>
          <w:szCs w:val="24"/>
          <w:vertAlign w:val="subscript"/>
        </w:rPr>
        <w:t>y</w:t>
      </w:r>
    </w:p>
    <w:p w14:paraId="77548331" w14:textId="77777777" w:rsidR="00925E7F" w:rsidRPr="00925E7F" w:rsidRDefault="00925E7F" w:rsidP="00925E7F">
      <w:pPr>
        <w:widowControl w:val="0"/>
      </w:pPr>
      <w:r w:rsidRPr="00925E7F">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925E7F" w:rsidRPr="00925E7F" w14:paraId="6D09D95F" w14:textId="77777777" w:rsidTr="00CB43C2">
        <w:trPr>
          <w:cantSplit/>
          <w:tblHeader/>
        </w:trPr>
        <w:tc>
          <w:tcPr>
            <w:tcW w:w="1145" w:type="pct"/>
          </w:tcPr>
          <w:p w14:paraId="0039F394" w14:textId="77777777" w:rsidR="00925E7F" w:rsidRPr="00925E7F" w:rsidRDefault="00925E7F" w:rsidP="00925E7F">
            <w:pPr>
              <w:widowControl w:val="0"/>
              <w:spacing w:after="120"/>
              <w:rPr>
                <w:b/>
                <w:iCs/>
                <w:sz w:val="20"/>
              </w:rPr>
            </w:pPr>
            <w:r w:rsidRPr="00925E7F">
              <w:rPr>
                <w:b/>
                <w:iCs/>
                <w:sz w:val="20"/>
              </w:rPr>
              <w:lastRenderedPageBreak/>
              <w:t>Variable</w:t>
            </w:r>
          </w:p>
        </w:tc>
        <w:tc>
          <w:tcPr>
            <w:tcW w:w="675" w:type="pct"/>
          </w:tcPr>
          <w:p w14:paraId="4A422325" w14:textId="77777777" w:rsidR="00925E7F" w:rsidRPr="00925E7F" w:rsidRDefault="00925E7F" w:rsidP="00925E7F">
            <w:pPr>
              <w:widowControl w:val="0"/>
              <w:spacing w:after="120"/>
              <w:rPr>
                <w:b/>
                <w:iCs/>
                <w:sz w:val="20"/>
              </w:rPr>
            </w:pPr>
            <w:r w:rsidRPr="00925E7F">
              <w:rPr>
                <w:b/>
                <w:iCs/>
                <w:sz w:val="20"/>
              </w:rPr>
              <w:t>Unit</w:t>
            </w:r>
          </w:p>
        </w:tc>
        <w:tc>
          <w:tcPr>
            <w:tcW w:w="3180" w:type="pct"/>
          </w:tcPr>
          <w:p w14:paraId="664B2CFD" w14:textId="77777777" w:rsidR="00925E7F" w:rsidRPr="00925E7F" w:rsidRDefault="00925E7F" w:rsidP="00925E7F">
            <w:pPr>
              <w:widowControl w:val="0"/>
              <w:spacing w:after="120"/>
              <w:rPr>
                <w:b/>
                <w:iCs/>
                <w:sz w:val="20"/>
              </w:rPr>
            </w:pPr>
            <w:r w:rsidRPr="00925E7F">
              <w:rPr>
                <w:b/>
                <w:iCs/>
                <w:sz w:val="20"/>
              </w:rPr>
              <w:t>Description</w:t>
            </w:r>
          </w:p>
        </w:tc>
      </w:tr>
      <w:tr w:rsidR="00925E7F" w:rsidRPr="00925E7F" w14:paraId="444FD2A5" w14:textId="77777777" w:rsidTr="00CB43C2">
        <w:trPr>
          <w:cantSplit/>
        </w:trPr>
        <w:tc>
          <w:tcPr>
            <w:tcW w:w="1145" w:type="pct"/>
          </w:tcPr>
          <w:p w14:paraId="2DE50E32" w14:textId="77777777" w:rsidR="00925E7F" w:rsidRPr="00925E7F" w:rsidRDefault="00925E7F" w:rsidP="00925E7F">
            <w:pPr>
              <w:widowControl w:val="0"/>
              <w:spacing w:after="60"/>
              <w:rPr>
                <w:sz w:val="20"/>
              </w:rPr>
            </w:pPr>
            <w:r w:rsidRPr="00925E7F">
              <w:rPr>
                <w:sz w:val="20"/>
              </w:rPr>
              <w:t>RTESOGSAMT</w:t>
            </w:r>
            <w:r w:rsidRPr="00925E7F">
              <w:rPr>
                <w:sz w:val="20"/>
                <w:vertAlign w:val="subscript"/>
              </w:rPr>
              <w:t xml:space="preserve"> </w:t>
            </w:r>
            <w:r w:rsidRPr="00925E7F">
              <w:rPr>
                <w:i/>
                <w:sz w:val="20"/>
                <w:vertAlign w:val="subscript"/>
              </w:rPr>
              <w:t>q,</w:t>
            </w:r>
            <w:r w:rsidRPr="00925E7F">
              <w:rPr>
                <w:sz w:val="20"/>
                <w:vertAlign w:val="subscript"/>
              </w:rPr>
              <w:t xml:space="preserve"> </w:t>
            </w:r>
            <w:r w:rsidRPr="00925E7F">
              <w:rPr>
                <w:i/>
                <w:sz w:val="20"/>
                <w:vertAlign w:val="subscript"/>
              </w:rPr>
              <w:t>gsc</w:t>
            </w:r>
          </w:p>
        </w:tc>
        <w:tc>
          <w:tcPr>
            <w:tcW w:w="675" w:type="pct"/>
          </w:tcPr>
          <w:p w14:paraId="475E513B" w14:textId="77777777" w:rsidR="00925E7F" w:rsidRPr="00925E7F" w:rsidRDefault="00925E7F" w:rsidP="00925E7F">
            <w:pPr>
              <w:widowControl w:val="0"/>
              <w:spacing w:after="60"/>
              <w:rPr>
                <w:sz w:val="20"/>
              </w:rPr>
            </w:pPr>
            <w:r w:rsidRPr="00925E7F">
              <w:rPr>
                <w:sz w:val="20"/>
              </w:rPr>
              <w:t>$</w:t>
            </w:r>
          </w:p>
        </w:tc>
        <w:tc>
          <w:tcPr>
            <w:tcW w:w="3180" w:type="pct"/>
          </w:tcPr>
          <w:p w14:paraId="085F1FB3" w14:textId="77777777" w:rsidR="00925E7F" w:rsidRPr="00925E7F" w:rsidRDefault="00925E7F" w:rsidP="00925E7F">
            <w:pPr>
              <w:widowControl w:val="0"/>
              <w:spacing w:after="60"/>
              <w:rPr>
                <w:i/>
                <w:sz w:val="20"/>
              </w:rPr>
            </w:pPr>
            <w:r w:rsidRPr="00925E7F">
              <w:rPr>
                <w:i/>
                <w:sz w:val="20"/>
              </w:rPr>
              <w:t>Real-Time Energy for SODG and SOTG Site Amount</w:t>
            </w:r>
            <w:r w:rsidRPr="00925E7F" w:rsidDel="006C2DC2">
              <w:rPr>
                <w:i/>
                <w:sz w:val="20"/>
              </w:rPr>
              <w:t xml:space="preserve"> </w:t>
            </w:r>
            <w:r w:rsidRPr="00925E7F">
              <w:rPr>
                <w:sz w:val="20"/>
              </w:rPr>
              <w:t xml:space="preserve">—The total payment or charge to QSE </w:t>
            </w:r>
            <w:r w:rsidRPr="00925E7F">
              <w:rPr>
                <w:i/>
                <w:sz w:val="20"/>
              </w:rPr>
              <w:t>q</w:t>
            </w:r>
            <w:r w:rsidRPr="00925E7F">
              <w:rPr>
                <w:sz w:val="20"/>
              </w:rPr>
              <w:t xml:space="preserve"> for SODG or SOTG site</w:t>
            </w:r>
            <w:r w:rsidRPr="00925E7F">
              <w:rPr>
                <w:i/>
                <w:sz w:val="20"/>
              </w:rPr>
              <w:t xml:space="preserve"> gsc</w:t>
            </w:r>
            <w:r w:rsidRPr="00925E7F">
              <w:rPr>
                <w:sz w:val="20"/>
              </w:rPr>
              <w:t xml:space="preserve"> for the 15-minute Settlement Interval.</w:t>
            </w:r>
          </w:p>
        </w:tc>
      </w:tr>
      <w:tr w:rsidR="00925E7F" w:rsidRPr="00925E7F" w14:paraId="30D15B08" w14:textId="77777777" w:rsidTr="00CB43C2">
        <w:trPr>
          <w:cantSplit/>
        </w:trPr>
        <w:tc>
          <w:tcPr>
            <w:tcW w:w="1145" w:type="pct"/>
          </w:tcPr>
          <w:p w14:paraId="4550DBC2" w14:textId="77777777" w:rsidR="00925E7F" w:rsidRPr="00925E7F" w:rsidRDefault="00925E7F" w:rsidP="00925E7F">
            <w:pPr>
              <w:widowControl w:val="0"/>
              <w:spacing w:after="60"/>
              <w:rPr>
                <w:sz w:val="20"/>
              </w:rPr>
            </w:pPr>
            <w:r w:rsidRPr="00925E7F">
              <w:rPr>
                <w:sz w:val="20"/>
              </w:rPr>
              <w:t xml:space="preserve">RTESOGPR </w:t>
            </w:r>
            <w:r w:rsidRPr="00925E7F">
              <w:rPr>
                <w:i/>
                <w:sz w:val="20"/>
                <w:vertAlign w:val="subscript"/>
              </w:rPr>
              <w:t>b</w:t>
            </w:r>
          </w:p>
        </w:tc>
        <w:tc>
          <w:tcPr>
            <w:tcW w:w="675" w:type="pct"/>
          </w:tcPr>
          <w:p w14:paraId="4A0B76D2" w14:textId="77777777" w:rsidR="00925E7F" w:rsidRPr="00925E7F" w:rsidRDefault="00925E7F" w:rsidP="00925E7F">
            <w:pPr>
              <w:widowControl w:val="0"/>
              <w:spacing w:after="60"/>
              <w:rPr>
                <w:i/>
                <w:sz w:val="20"/>
              </w:rPr>
            </w:pPr>
            <w:r w:rsidRPr="00925E7F">
              <w:rPr>
                <w:sz w:val="20"/>
              </w:rPr>
              <w:t>$/MWh</w:t>
            </w:r>
          </w:p>
        </w:tc>
        <w:tc>
          <w:tcPr>
            <w:tcW w:w="3180" w:type="pct"/>
          </w:tcPr>
          <w:p w14:paraId="34DA2BDC" w14:textId="77777777" w:rsidR="00925E7F" w:rsidRPr="00925E7F" w:rsidRDefault="00925E7F" w:rsidP="00925E7F">
            <w:pPr>
              <w:widowControl w:val="0"/>
              <w:spacing w:after="60"/>
              <w:rPr>
                <w:sz w:val="20"/>
              </w:rPr>
            </w:pPr>
            <w:r w:rsidRPr="00925E7F">
              <w:rPr>
                <w:i/>
                <w:sz w:val="20"/>
              </w:rPr>
              <w:t xml:space="preserve">Real-Time Price for the Energy Metered for each SODG or SOTG Site </w:t>
            </w:r>
            <w:r w:rsidRPr="00925E7F">
              <w:rPr>
                <w:sz w:val="20"/>
              </w:rPr>
              <w:sym w:font="Symbol" w:char="F0BE"/>
            </w:r>
            <w:r w:rsidRPr="00925E7F">
              <w:rPr>
                <w:sz w:val="20"/>
              </w:rPr>
              <w:t xml:space="preserve">The Real-Time price at Electrical Bus </w:t>
            </w:r>
            <w:r w:rsidRPr="00925E7F">
              <w:rPr>
                <w:i/>
                <w:sz w:val="20"/>
              </w:rPr>
              <w:t>b</w:t>
            </w:r>
            <w:r w:rsidRPr="00925E7F">
              <w:rPr>
                <w:sz w:val="20"/>
              </w:rPr>
              <w:t xml:space="preserve"> for the Settlement Meter for the SODG or SOTG site for the 15-minute Settlement Interval.</w:t>
            </w:r>
          </w:p>
        </w:tc>
      </w:tr>
      <w:tr w:rsidR="00925E7F" w:rsidRPr="00925E7F" w14:paraId="5ADA3295" w14:textId="77777777" w:rsidTr="00CB43C2">
        <w:trPr>
          <w:cantSplit/>
        </w:trPr>
        <w:tc>
          <w:tcPr>
            <w:tcW w:w="1145" w:type="pct"/>
          </w:tcPr>
          <w:p w14:paraId="73AE76F1" w14:textId="1C85C06A" w:rsidR="00925E7F" w:rsidRPr="00925E7F" w:rsidRDefault="00925E7F" w:rsidP="00925E7F">
            <w:pPr>
              <w:widowControl w:val="0"/>
              <w:spacing w:after="60"/>
              <w:rPr>
                <w:sz w:val="20"/>
                <w:szCs w:val="16"/>
              </w:rPr>
            </w:pPr>
            <w:r w:rsidRPr="00925E7F">
              <w:rPr>
                <w:sz w:val="20"/>
                <w:szCs w:val="16"/>
              </w:rPr>
              <w:t>MEBSOGNET</w:t>
            </w:r>
            <w:r w:rsidRPr="00925E7F">
              <w:rPr>
                <w:i/>
                <w:sz w:val="20"/>
                <w:szCs w:val="16"/>
                <w:vertAlign w:val="subscript"/>
              </w:rPr>
              <w:t xml:space="preserve"> q, gsc</w:t>
            </w:r>
          </w:p>
        </w:tc>
        <w:tc>
          <w:tcPr>
            <w:tcW w:w="675" w:type="pct"/>
          </w:tcPr>
          <w:p w14:paraId="0715EC79" w14:textId="5233554F" w:rsidR="00925E7F" w:rsidRPr="00925E7F" w:rsidRDefault="00925E7F" w:rsidP="00925E7F">
            <w:pPr>
              <w:widowControl w:val="0"/>
              <w:spacing w:after="60"/>
              <w:rPr>
                <w:sz w:val="20"/>
                <w:szCs w:val="16"/>
              </w:rPr>
            </w:pPr>
            <w:r w:rsidRPr="00925E7F">
              <w:rPr>
                <w:sz w:val="20"/>
                <w:szCs w:val="16"/>
              </w:rPr>
              <w:t>MWh</w:t>
            </w:r>
          </w:p>
        </w:tc>
        <w:tc>
          <w:tcPr>
            <w:tcW w:w="3180" w:type="pct"/>
          </w:tcPr>
          <w:p w14:paraId="6F1D873D" w14:textId="165CA2E3" w:rsidR="00925E7F" w:rsidRPr="00925E7F" w:rsidRDefault="00925E7F" w:rsidP="00925E7F">
            <w:pPr>
              <w:widowControl w:val="0"/>
              <w:spacing w:after="60"/>
              <w:rPr>
                <w:i/>
                <w:sz w:val="20"/>
                <w:szCs w:val="16"/>
              </w:rPr>
            </w:pPr>
            <w:r w:rsidRPr="00925E7F">
              <w:rPr>
                <w:i/>
                <w:sz w:val="20"/>
                <w:szCs w:val="16"/>
              </w:rPr>
              <w:t xml:space="preserve">Net Metered energy at gsc for an SODG or SOTG Site </w:t>
            </w:r>
            <w:r w:rsidRPr="00925E7F">
              <w:rPr>
                <w:sz w:val="20"/>
                <w:szCs w:val="16"/>
              </w:rPr>
              <w:sym w:font="Symbol" w:char="F0BE"/>
            </w:r>
            <w:r w:rsidRPr="00925E7F">
              <w:rPr>
                <w:sz w:val="20"/>
                <w:szCs w:val="16"/>
              </w:rPr>
              <w:t>The net sum for all Settlement Meters for SODG or SOTG site</w:t>
            </w:r>
            <w:r w:rsidRPr="00925E7F">
              <w:rPr>
                <w:i/>
                <w:sz w:val="20"/>
                <w:szCs w:val="16"/>
              </w:rPr>
              <w:t xml:space="preserve"> gsc</w:t>
            </w:r>
            <w:r w:rsidRPr="00925E7F">
              <w:rPr>
                <w:sz w:val="20"/>
                <w:szCs w:val="16"/>
              </w:rPr>
              <w:t xml:space="preserve"> represented by QSE </w:t>
            </w:r>
            <w:r w:rsidRPr="00925E7F">
              <w:rPr>
                <w:i/>
                <w:sz w:val="20"/>
                <w:szCs w:val="16"/>
              </w:rPr>
              <w:t>q</w:t>
            </w:r>
            <w:r w:rsidRPr="00925E7F">
              <w:rPr>
                <w:sz w:val="20"/>
                <w:szCs w:val="16"/>
              </w:rPr>
              <w:t>.  A positive value indicates an injection of power to the ERCOT System.</w:t>
            </w:r>
          </w:p>
        </w:tc>
      </w:tr>
      <w:tr w:rsidR="00925E7F" w:rsidRPr="00925E7F" w14:paraId="7F5BD9E2" w14:textId="77777777" w:rsidTr="00CB43C2">
        <w:trPr>
          <w:cantSplit/>
        </w:trPr>
        <w:tc>
          <w:tcPr>
            <w:tcW w:w="1145" w:type="pct"/>
          </w:tcPr>
          <w:p w14:paraId="6A9E2004" w14:textId="14F0B4ED" w:rsidR="00925E7F" w:rsidRPr="00925E7F" w:rsidRDefault="00925E7F" w:rsidP="00925E7F">
            <w:pPr>
              <w:widowControl w:val="0"/>
              <w:spacing w:after="60"/>
              <w:rPr>
                <w:sz w:val="20"/>
              </w:rPr>
            </w:pPr>
            <w:r>
              <w:rPr>
                <w:sz w:val="20"/>
              </w:rPr>
              <w:t>MEB</w:t>
            </w:r>
            <w:r w:rsidRPr="00925E7F">
              <w:rPr>
                <w:sz w:val="20"/>
              </w:rPr>
              <w:t xml:space="preserve">SOG </w:t>
            </w:r>
            <w:r w:rsidRPr="00925E7F">
              <w:rPr>
                <w:i/>
                <w:sz w:val="20"/>
                <w:vertAlign w:val="subscript"/>
              </w:rPr>
              <w:t>q,</w:t>
            </w:r>
            <w:r w:rsidRPr="00925E7F">
              <w:rPr>
                <w:sz w:val="20"/>
              </w:rPr>
              <w:t xml:space="preserve"> </w:t>
            </w:r>
            <w:r w:rsidRPr="00925E7F">
              <w:rPr>
                <w:i/>
                <w:sz w:val="20"/>
                <w:vertAlign w:val="subscript"/>
              </w:rPr>
              <w:t>gsc, b</w:t>
            </w:r>
          </w:p>
        </w:tc>
        <w:tc>
          <w:tcPr>
            <w:tcW w:w="675" w:type="pct"/>
          </w:tcPr>
          <w:p w14:paraId="4F3F18B0" w14:textId="77777777" w:rsidR="00925E7F" w:rsidRPr="00925E7F" w:rsidRDefault="00925E7F" w:rsidP="00925E7F">
            <w:pPr>
              <w:widowControl w:val="0"/>
              <w:spacing w:after="60"/>
              <w:rPr>
                <w:sz w:val="20"/>
              </w:rPr>
            </w:pPr>
            <w:r w:rsidRPr="00925E7F">
              <w:rPr>
                <w:sz w:val="20"/>
              </w:rPr>
              <w:t>MWh</w:t>
            </w:r>
          </w:p>
        </w:tc>
        <w:tc>
          <w:tcPr>
            <w:tcW w:w="3180" w:type="pct"/>
          </w:tcPr>
          <w:p w14:paraId="42A2EC9B" w14:textId="7A53B4C4" w:rsidR="00925E7F" w:rsidRPr="00925E7F" w:rsidRDefault="00925E7F" w:rsidP="00925E7F">
            <w:pPr>
              <w:widowControl w:val="0"/>
              <w:spacing w:after="60"/>
              <w:rPr>
                <w:i/>
                <w:sz w:val="20"/>
              </w:rPr>
            </w:pPr>
            <w:r w:rsidRPr="00925E7F">
              <w:rPr>
                <w:i/>
                <w:sz w:val="20"/>
              </w:rPr>
              <w:t xml:space="preserve">Metered energy at bus for an SODG or SOTG Site  </w:t>
            </w:r>
            <w:r w:rsidRPr="00925E7F">
              <w:rPr>
                <w:sz w:val="20"/>
              </w:rPr>
              <w:sym w:font="Symbol" w:char="F0BE"/>
            </w:r>
            <w:r w:rsidRPr="00925E7F">
              <w:rPr>
                <w:sz w:val="20"/>
              </w:rPr>
              <w:t xml:space="preserve">The </w:t>
            </w:r>
            <w:r>
              <w:rPr>
                <w:sz w:val="20"/>
              </w:rPr>
              <w:t>metered energy</w:t>
            </w:r>
            <w:r w:rsidRPr="00925E7F">
              <w:rPr>
                <w:sz w:val="20"/>
              </w:rPr>
              <w:t xml:space="preserve"> by the Settlement Meter(s) at Electrical Bus </w:t>
            </w:r>
            <w:r w:rsidRPr="00925E7F">
              <w:rPr>
                <w:i/>
                <w:sz w:val="20"/>
              </w:rPr>
              <w:t>b</w:t>
            </w:r>
            <w:r w:rsidRPr="00925E7F">
              <w:rPr>
                <w:sz w:val="20"/>
              </w:rPr>
              <w:t xml:space="preserve"> for SODG or SOTG site</w:t>
            </w:r>
            <w:r w:rsidRPr="00925E7F">
              <w:rPr>
                <w:i/>
                <w:sz w:val="20"/>
              </w:rPr>
              <w:t xml:space="preserve"> gsc</w:t>
            </w:r>
            <w:r w:rsidRPr="00925E7F">
              <w:rPr>
                <w:sz w:val="20"/>
              </w:rPr>
              <w:t xml:space="preserve"> represented by QSE </w:t>
            </w:r>
            <w:r w:rsidRPr="00925E7F">
              <w:rPr>
                <w:i/>
                <w:sz w:val="20"/>
              </w:rPr>
              <w:t>q</w:t>
            </w:r>
            <w:r w:rsidRPr="00925E7F">
              <w:rPr>
                <w:sz w:val="20"/>
              </w:rPr>
              <w:t>.</w:t>
            </w:r>
            <w:r>
              <w:rPr>
                <w:sz w:val="20"/>
              </w:rPr>
              <w:t xml:space="preserve">  </w:t>
            </w:r>
            <w:r w:rsidRPr="00925E7F">
              <w:rPr>
                <w:sz w:val="20"/>
              </w:rPr>
              <w:t>A positive value represents energy produced, and a negative value represents energy consumed.</w:t>
            </w:r>
          </w:p>
        </w:tc>
      </w:tr>
      <w:tr w:rsidR="00925E7F" w:rsidRPr="00925E7F" w14:paraId="1075FCB2" w14:textId="77777777" w:rsidTr="00CB43C2">
        <w:trPr>
          <w:cantSplit/>
        </w:trPr>
        <w:tc>
          <w:tcPr>
            <w:tcW w:w="1145" w:type="pct"/>
          </w:tcPr>
          <w:p w14:paraId="01C2C2AB" w14:textId="77777777" w:rsidR="00925E7F" w:rsidRPr="00925E7F" w:rsidRDefault="00925E7F" w:rsidP="00925E7F">
            <w:pPr>
              <w:widowControl w:val="0"/>
              <w:spacing w:after="60"/>
              <w:rPr>
                <w:sz w:val="20"/>
              </w:rPr>
            </w:pPr>
            <w:r w:rsidRPr="00925E7F">
              <w:rPr>
                <w:sz w:val="20"/>
              </w:rPr>
              <w:t>RTRSVPOR</w:t>
            </w:r>
          </w:p>
        </w:tc>
        <w:tc>
          <w:tcPr>
            <w:tcW w:w="675" w:type="pct"/>
          </w:tcPr>
          <w:p w14:paraId="27B2CE7F" w14:textId="77777777" w:rsidR="00925E7F" w:rsidRPr="00925E7F" w:rsidRDefault="00925E7F" w:rsidP="00925E7F">
            <w:pPr>
              <w:widowControl w:val="0"/>
              <w:spacing w:after="60"/>
              <w:rPr>
                <w:sz w:val="20"/>
              </w:rPr>
            </w:pPr>
            <w:r w:rsidRPr="00925E7F">
              <w:rPr>
                <w:sz w:val="20"/>
              </w:rPr>
              <w:t>$/MWh</w:t>
            </w:r>
          </w:p>
        </w:tc>
        <w:tc>
          <w:tcPr>
            <w:tcW w:w="3180" w:type="pct"/>
          </w:tcPr>
          <w:p w14:paraId="11A8B6B5" w14:textId="77777777" w:rsidR="00925E7F" w:rsidRPr="00925E7F" w:rsidRDefault="00925E7F" w:rsidP="00925E7F">
            <w:pPr>
              <w:widowControl w:val="0"/>
              <w:spacing w:after="60"/>
              <w:rPr>
                <w:i/>
                <w:sz w:val="20"/>
              </w:rPr>
            </w:pPr>
            <w:r w:rsidRPr="00925E7F">
              <w:rPr>
                <w:i/>
                <w:sz w:val="20"/>
              </w:rPr>
              <w:t>Real-Time Reserve Price for On-Line Reserves</w:t>
            </w:r>
            <w:r w:rsidRPr="00925E7F">
              <w:rPr>
                <w:sz w:val="20"/>
              </w:rPr>
              <w:sym w:font="Symbol" w:char="F0BE"/>
            </w:r>
            <w:r w:rsidRPr="00925E7F">
              <w:rPr>
                <w:sz w:val="20"/>
              </w:rPr>
              <w:t>The Real-Time Reserve Price for On-Line Reserves for the 15-minute Settlement Interval.</w:t>
            </w:r>
          </w:p>
        </w:tc>
      </w:tr>
      <w:tr w:rsidR="00925E7F" w:rsidRPr="00925E7F" w14:paraId="47ADB452" w14:textId="77777777" w:rsidTr="00CB43C2">
        <w:trPr>
          <w:cantSplit/>
        </w:trPr>
        <w:tc>
          <w:tcPr>
            <w:tcW w:w="1145" w:type="pct"/>
          </w:tcPr>
          <w:p w14:paraId="196C0252" w14:textId="77777777" w:rsidR="00925E7F" w:rsidRPr="00925E7F" w:rsidRDefault="00925E7F" w:rsidP="00925E7F">
            <w:pPr>
              <w:widowControl w:val="0"/>
              <w:spacing w:after="60"/>
              <w:rPr>
                <w:sz w:val="20"/>
              </w:rPr>
            </w:pPr>
            <w:r w:rsidRPr="00925E7F">
              <w:rPr>
                <w:sz w:val="20"/>
              </w:rPr>
              <w:t>RTORPA</w:t>
            </w:r>
            <w:r w:rsidRPr="00925E7F">
              <w:rPr>
                <w:sz w:val="20"/>
                <w:vertAlign w:val="subscript"/>
              </w:rPr>
              <w:t xml:space="preserve"> </w:t>
            </w:r>
            <w:r w:rsidRPr="00925E7F">
              <w:rPr>
                <w:i/>
                <w:sz w:val="20"/>
                <w:vertAlign w:val="subscript"/>
              </w:rPr>
              <w:t>y</w:t>
            </w:r>
          </w:p>
        </w:tc>
        <w:tc>
          <w:tcPr>
            <w:tcW w:w="675" w:type="pct"/>
          </w:tcPr>
          <w:p w14:paraId="5FA1CC78" w14:textId="77777777" w:rsidR="00925E7F" w:rsidRPr="00925E7F" w:rsidRDefault="00925E7F" w:rsidP="00925E7F">
            <w:pPr>
              <w:widowControl w:val="0"/>
              <w:spacing w:after="60"/>
              <w:rPr>
                <w:sz w:val="20"/>
              </w:rPr>
            </w:pPr>
            <w:r w:rsidRPr="00925E7F">
              <w:rPr>
                <w:sz w:val="20"/>
              </w:rPr>
              <w:t>$/MWh</w:t>
            </w:r>
          </w:p>
        </w:tc>
        <w:tc>
          <w:tcPr>
            <w:tcW w:w="3180" w:type="pct"/>
          </w:tcPr>
          <w:p w14:paraId="5D2DF8C6" w14:textId="77777777" w:rsidR="00925E7F" w:rsidRPr="00925E7F" w:rsidRDefault="00925E7F" w:rsidP="00925E7F">
            <w:pPr>
              <w:widowControl w:val="0"/>
              <w:spacing w:after="60"/>
              <w:rPr>
                <w:i/>
                <w:sz w:val="20"/>
              </w:rPr>
            </w:pPr>
            <w:r w:rsidRPr="00925E7F">
              <w:rPr>
                <w:i/>
                <w:sz w:val="20"/>
              </w:rPr>
              <w:t>Real-Time On-Line Reserve Price Adder per interval</w:t>
            </w:r>
            <w:r w:rsidRPr="00925E7F">
              <w:rPr>
                <w:sz w:val="20"/>
              </w:rPr>
              <w:sym w:font="Symbol" w:char="F0BE"/>
            </w:r>
            <w:r w:rsidRPr="00925E7F">
              <w:rPr>
                <w:sz w:val="20"/>
              </w:rPr>
              <w:t xml:space="preserve">The Real-Time On-Line Reserve Price Adder for the SCED interval </w:t>
            </w:r>
            <w:r w:rsidRPr="00925E7F">
              <w:rPr>
                <w:i/>
                <w:sz w:val="20"/>
              </w:rPr>
              <w:t>y</w:t>
            </w:r>
            <w:r w:rsidRPr="00925E7F">
              <w:rPr>
                <w:sz w:val="20"/>
              </w:rPr>
              <w:t>.</w:t>
            </w:r>
          </w:p>
        </w:tc>
      </w:tr>
      <w:tr w:rsidR="00925E7F" w:rsidRPr="00925E7F" w14:paraId="5DCF5957" w14:textId="77777777" w:rsidTr="00CB43C2">
        <w:trPr>
          <w:cantSplit/>
        </w:trPr>
        <w:tc>
          <w:tcPr>
            <w:tcW w:w="1145" w:type="pct"/>
          </w:tcPr>
          <w:p w14:paraId="6DEB994F" w14:textId="77777777" w:rsidR="00925E7F" w:rsidRPr="00925E7F" w:rsidRDefault="00925E7F" w:rsidP="00925E7F">
            <w:pPr>
              <w:widowControl w:val="0"/>
              <w:spacing w:after="60"/>
              <w:rPr>
                <w:sz w:val="20"/>
              </w:rPr>
            </w:pPr>
            <w:r w:rsidRPr="00925E7F">
              <w:rPr>
                <w:sz w:val="20"/>
              </w:rPr>
              <w:t>RTRDP</w:t>
            </w:r>
          </w:p>
        </w:tc>
        <w:tc>
          <w:tcPr>
            <w:tcW w:w="675" w:type="pct"/>
          </w:tcPr>
          <w:p w14:paraId="02655EA5" w14:textId="77777777" w:rsidR="00925E7F" w:rsidRPr="00925E7F" w:rsidRDefault="00925E7F" w:rsidP="00925E7F">
            <w:pPr>
              <w:widowControl w:val="0"/>
              <w:spacing w:after="60"/>
              <w:rPr>
                <w:sz w:val="20"/>
              </w:rPr>
            </w:pPr>
            <w:r w:rsidRPr="00925E7F">
              <w:rPr>
                <w:sz w:val="20"/>
              </w:rPr>
              <w:t>$/MWh</w:t>
            </w:r>
          </w:p>
        </w:tc>
        <w:tc>
          <w:tcPr>
            <w:tcW w:w="3180" w:type="pct"/>
          </w:tcPr>
          <w:p w14:paraId="05EC85A2" w14:textId="77777777" w:rsidR="00925E7F" w:rsidRPr="00925E7F" w:rsidRDefault="00925E7F" w:rsidP="00925E7F">
            <w:pPr>
              <w:widowControl w:val="0"/>
              <w:spacing w:after="60"/>
              <w:rPr>
                <w:i/>
                <w:sz w:val="20"/>
              </w:rPr>
            </w:pPr>
            <w:r w:rsidRPr="00925E7F">
              <w:rPr>
                <w:i/>
                <w:sz w:val="20"/>
              </w:rPr>
              <w:t xml:space="preserve">Real-Time On-Line Reliability Deployment Price </w:t>
            </w:r>
            <w:r w:rsidRPr="00925E7F">
              <w:rPr>
                <w:sz w:val="20"/>
              </w:rPr>
              <w:sym w:font="Symbol" w:char="F0BE"/>
            </w:r>
            <w:r w:rsidRPr="00925E7F">
              <w:rPr>
                <w:sz w:val="20"/>
              </w:rPr>
              <w:t xml:space="preserve">The Real-Time price for the 15-minute Settlement Interval, reflecting the impact of reliability deployments on energy prices that is calculated </w:t>
            </w:r>
            <w:r w:rsidRPr="00925E7F">
              <w:rPr>
                <w:bCs/>
                <w:sz w:val="20"/>
              </w:rPr>
              <w:t>from the Real-Time On-Line Reliability Deployment Price Adder</w:t>
            </w:r>
            <w:r w:rsidRPr="00925E7F">
              <w:rPr>
                <w:sz w:val="20"/>
              </w:rPr>
              <w:t>.</w:t>
            </w:r>
          </w:p>
        </w:tc>
      </w:tr>
      <w:tr w:rsidR="00925E7F" w:rsidRPr="00925E7F" w14:paraId="64A008BD" w14:textId="77777777" w:rsidTr="00CB43C2">
        <w:trPr>
          <w:cantSplit/>
        </w:trPr>
        <w:tc>
          <w:tcPr>
            <w:tcW w:w="1145" w:type="pct"/>
          </w:tcPr>
          <w:p w14:paraId="76A345FE" w14:textId="77777777" w:rsidR="00925E7F" w:rsidRPr="00925E7F" w:rsidRDefault="00925E7F" w:rsidP="00925E7F">
            <w:pPr>
              <w:widowControl w:val="0"/>
              <w:spacing w:after="60"/>
              <w:rPr>
                <w:sz w:val="20"/>
              </w:rPr>
            </w:pPr>
            <w:r w:rsidRPr="00925E7F">
              <w:rPr>
                <w:sz w:val="20"/>
              </w:rPr>
              <w:t>RTORDPA</w:t>
            </w:r>
            <w:r w:rsidRPr="00925E7F">
              <w:rPr>
                <w:sz w:val="20"/>
                <w:vertAlign w:val="subscript"/>
              </w:rPr>
              <w:t xml:space="preserve"> </w:t>
            </w:r>
            <w:r w:rsidRPr="00925E7F">
              <w:rPr>
                <w:i/>
                <w:sz w:val="20"/>
                <w:vertAlign w:val="subscript"/>
              </w:rPr>
              <w:t>y</w:t>
            </w:r>
          </w:p>
        </w:tc>
        <w:tc>
          <w:tcPr>
            <w:tcW w:w="675" w:type="pct"/>
          </w:tcPr>
          <w:p w14:paraId="70C12BAA" w14:textId="77777777" w:rsidR="00925E7F" w:rsidRPr="00925E7F" w:rsidRDefault="00925E7F" w:rsidP="00925E7F">
            <w:pPr>
              <w:widowControl w:val="0"/>
              <w:spacing w:after="60"/>
              <w:rPr>
                <w:sz w:val="20"/>
              </w:rPr>
            </w:pPr>
            <w:r w:rsidRPr="00925E7F">
              <w:rPr>
                <w:sz w:val="20"/>
              </w:rPr>
              <w:t>$/MWh</w:t>
            </w:r>
          </w:p>
        </w:tc>
        <w:tc>
          <w:tcPr>
            <w:tcW w:w="3180" w:type="pct"/>
          </w:tcPr>
          <w:p w14:paraId="3DB5057B" w14:textId="77777777" w:rsidR="00925E7F" w:rsidRPr="00925E7F" w:rsidRDefault="00925E7F" w:rsidP="00925E7F">
            <w:pPr>
              <w:widowControl w:val="0"/>
              <w:spacing w:after="60"/>
              <w:rPr>
                <w:i/>
                <w:sz w:val="20"/>
              </w:rPr>
            </w:pPr>
            <w:r w:rsidRPr="00925E7F">
              <w:rPr>
                <w:i/>
                <w:sz w:val="20"/>
              </w:rPr>
              <w:t xml:space="preserve">Real-Time On-Line Reliability Deployment Price Adder </w:t>
            </w:r>
            <w:r w:rsidRPr="00925E7F">
              <w:rPr>
                <w:sz w:val="20"/>
              </w:rPr>
              <w:sym w:font="Symbol" w:char="F0BE"/>
            </w:r>
            <w:r w:rsidRPr="00925E7F">
              <w:rPr>
                <w:sz w:val="20"/>
              </w:rPr>
              <w:t xml:space="preserve">The Real-Time Price Adder that captures the impact of reliability deployments on energy prices for the SCED interval </w:t>
            </w:r>
            <w:r w:rsidRPr="00925E7F">
              <w:rPr>
                <w:i/>
                <w:sz w:val="20"/>
              </w:rPr>
              <w:t>y</w:t>
            </w:r>
            <w:r w:rsidRPr="00925E7F">
              <w:rPr>
                <w:sz w:val="20"/>
              </w:rPr>
              <w:t>.</w:t>
            </w:r>
          </w:p>
        </w:tc>
      </w:tr>
      <w:tr w:rsidR="00925E7F" w:rsidRPr="00925E7F" w14:paraId="68519C70" w14:textId="77777777" w:rsidTr="00CB43C2">
        <w:trPr>
          <w:cantSplit/>
        </w:trPr>
        <w:tc>
          <w:tcPr>
            <w:tcW w:w="1145" w:type="pct"/>
          </w:tcPr>
          <w:p w14:paraId="6A7C1851" w14:textId="77777777" w:rsidR="00925E7F" w:rsidRPr="00925E7F" w:rsidRDefault="00925E7F" w:rsidP="00925E7F">
            <w:pPr>
              <w:widowControl w:val="0"/>
              <w:spacing w:after="60"/>
              <w:rPr>
                <w:sz w:val="20"/>
              </w:rPr>
            </w:pPr>
            <w:r w:rsidRPr="00925E7F">
              <w:rPr>
                <w:sz w:val="20"/>
              </w:rPr>
              <w:t>SDWF</w:t>
            </w:r>
            <w:r w:rsidRPr="00925E7F">
              <w:rPr>
                <w:i/>
                <w:sz w:val="20"/>
              </w:rPr>
              <w:t xml:space="preserve"> </w:t>
            </w:r>
            <w:r w:rsidRPr="00925E7F">
              <w:rPr>
                <w:i/>
                <w:sz w:val="20"/>
                <w:vertAlign w:val="subscript"/>
              </w:rPr>
              <w:t>y</w:t>
            </w:r>
          </w:p>
        </w:tc>
        <w:tc>
          <w:tcPr>
            <w:tcW w:w="675" w:type="pct"/>
          </w:tcPr>
          <w:p w14:paraId="35BDDD94" w14:textId="77777777" w:rsidR="00925E7F" w:rsidRPr="00925E7F" w:rsidRDefault="00925E7F" w:rsidP="00925E7F">
            <w:pPr>
              <w:widowControl w:val="0"/>
              <w:spacing w:after="60"/>
              <w:rPr>
                <w:sz w:val="20"/>
              </w:rPr>
            </w:pPr>
            <w:r w:rsidRPr="00925E7F">
              <w:rPr>
                <w:sz w:val="20"/>
              </w:rPr>
              <w:t>None</w:t>
            </w:r>
          </w:p>
        </w:tc>
        <w:tc>
          <w:tcPr>
            <w:tcW w:w="3180" w:type="pct"/>
          </w:tcPr>
          <w:p w14:paraId="4FEA3DCC" w14:textId="77777777" w:rsidR="00925E7F" w:rsidRPr="00925E7F" w:rsidRDefault="00925E7F" w:rsidP="00925E7F">
            <w:pPr>
              <w:widowControl w:val="0"/>
              <w:spacing w:after="60"/>
              <w:rPr>
                <w:i/>
                <w:sz w:val="20"/>
              </w:rPr>
            </w:pPr>
            <w:r w:rsidRPr="00925E7F">
              <w:rPr>
                <w:i/>
                <w:sz w:val="20"/>
              </w:rPr>
              <w:t>SCED Duration Weighting Factor per interval</w:t>
            </w:r>
            <w:r w:rsidRPr="00925E7F">
              <w:rPr>
                <w:sz w:val="20"/>
              </w:rPr>
              <w:sym w:font="Symbol" w:char="F0BE"/>
            </w:r>
            <w:r w:rsidRPr="00925E7F">
              <w:rPr>
                <w:sz w:val="20"/>
              </w:rPr>
              <w:t xml:space="preserve">The weight used in the SODG or SOTG price calculation for the portion of the SCED interval </w:t>
            </w:r>
            <w:r w:rsidRPr="00925E7F">
              <w:rPr>
                <w:i/>
                <w:sz w:val="20"/>
              </w:rPr>
              <w:t>y</w:t>
            </w:r>
            <w:r w:rsidRPr="00925E7F">
              <w:rPr>
                <w:sz w:val="20"/>
              </w:rPr>
              <w:t xml:space="preserve"> within the Settlement Interval.</w:t>
            </w:r>
          </w:p>
        </w:tc>
      </w:tr>
      <w:tr w:rsidR="00925E7F" w:rsidRPr="00925E7F" w14:paraId="1490CEFD" w14:textId="77777777" w:rsidTr="00CB43C2">
        <w:trPr>
          <w:cantSplit/>
        </w:trPr>
        <w:tc>
          <w:tcPr>
            <w:tcW w:w="1145" w:type="pct"/>
          </w:tcPr>
          <w:p w14:paraId="1DEB7305" w14:textId="77777777" w:rsidR="00925E7F" w:rsidRPr="00925E7F" w:rsidRDefault="00925E7F" w:rsidP="00925E7F">
            <w:pPr>
              <w:widowControl w:val="0"/>
              <w:spacing w:after="60"/>
              <w:rPr>
                <w:sz w:val="20"/>
              </w:rPr>
            </w:pPr>
            <w:r w:rsidRPr="00925E7F">
              <w:rPr>
                <w:sz w:val="20"/>
              </w:rPr>
              <w:t xml:space="preserve">RTLMP </w:t>
            </w:r>
            <w:r w:rsidRPr="00925E7F">
              <w:rPr>
                <w:i/>
                <w:sz w:val="20"/>
                <w:vertAlign w:val="subscript"/>
              </w:rPr>
              <w:t>b, y</w:t>
            </w:r>
          </w:p>
        </w:tc>
        <w:tc>
          <w:tcPr>
            <w:tcW w:w="675" w:type="pct"/>
          </w:tcPr>
          <w:p w14:paraId="6CA843BB" w14:textId="77777777" w:rsidR="00925E7F" w:rsidRPr="00925E7F" w:rsidRDefault="00925E7F" w:rsidP="00925E7F">
            <w:pPr>
              <w:widowControl w:val="0"/>
              <w:spacing w:after="60"/>
              <w:rPr>
                <w:sz w:val="20"/>
              </w:rPr>
            </w:pPr>
            <w:r w:rsidRPr="00925E7F">
              <w:rPr>
                <w:sz w:val="20"/>
              </w:rPr>
              <w:t>$/MWh</w:t>
            </w:r>
          </w:p>
        </w:tc>
        <w:tc>
          <w:tcPr>
            <w:tcW w:w="3180" w:type="pct"/>
          </w:tcPr>
          <w:p w14:paraId="0E3B50A0" w14:textId="77777777" w:rsidR="00925E7F" w:rsidRPr="00925E7F" w:rsidRDefault="00925E7F" w:rsidP="00925E7F">
            <w:pPr>
              <w:widowControl w:val="0"/>
              <w:spacing w:after="60"/>
              <w:rPr>
                <w:sz w:val="20"/>
              </w:rPr>
            </w:pPr>
            <w:r w:rsidRPr="00925E7F">
              <w:rPr>
                <w:i/>
                <w:sz w:val="20"/>
              </w:rPr>
              <w:t>Real-Time Locational Marginal Price at bus per interval</w:t>
            </w:r>
            <w:r w:rsidRPr="00925E7F">
              <w:rPr>
                <w:sz w:val="20"/>
              </w:rPr>
              <w:sym w:font="Symbol" w:char="F0BE"/>
            </w:r>
            <w:r w:rsidRPr="00925E7F">
              <w:rPr>
                <w:sz w:val="20"/>
              </w:rPr>
              <w:t xml:space="preserve">The Real-Time LMP at Electrical Bus </w:t>
            </w:r>
            <w:r w:rsidRPr="00925E7F">
              <w:rPr>
                <w:i/>
                <w:sz w:val="20"/>
              </w:rPr>
              <w:t>b</w:t>
            </w:r>
            <w:r w:rsidRPr="00925E7F">
              <w:rPr>
                <w:sz w:val="20"/>
              </w:rPr>
              <w:t xml:space="preserve">, for the SCED interval </w:t>
            </w:r>
            <w:r w:rsidRPr="00925E7F">
              <w:rPr>
                <w:i/>
                <w:sz w:val="20"/>
              </w:rPr>
              <w:t>y</w:t>
            </w:r>
            <w:r w:rsidRPr="00925E7F">
              <w:rPr>
                <w:sz w:val="20"/>
              </w:rPr>
              <w:t>.</w:t>
            </w:r>
          </w:p>
        </w:tc>
      </w:tr>
      <w:tr w:rsidR="00925E7F" w:rsidRPr="00925E7F" w14:paraId="18CB3D09" w14:textId="77777777" w:rsidTr="00CB43C2">
        <w:trPr>
          <w:cantSplit/>
        </w:trPr>
        <w:tc>
          <w:tcPr>
            <w:tcW w:w="1145" w:type="pct"/>
          </w:tcPr>
          <w:p w14:paraId="1261709E" w14:textId="77777777" w:rsidR="00925E7F" w:rsidRPr="00925E7F" w:rsidRDefault="00925E7F" w:rsidP="00925E7F">
            <w:pPr>
              <w:widowControl w:val="0"/>
              <w:spacing w:after="60"/>
              <w:rPr>
                <w:sz w:val="20"/>
              </w:rPr>
            </w:pPr>
            <w:r w:rsidRPr="00925E7F">
              <w:rPr>
                <w:sz w:val="20"/>
              </w:rPr>
              <w:t xml:space="preserve">TLMP </w:t>
            </w:r>
            <w:r w:rsidRPr="00925E7F">
              <w:rPr>
                <w:i/>
                <w:sz w:val="20"/>
                <w:vertAlign w:val="subscript"/>
              </w:rPr>
              <w:t>y</w:t>
            </w:r>
          </w:p>
        </w:tc>
        <w:tc>
          <w:tcPr>
            <w:tcW w:w="675" w:type="pct"/>
          </w:tcPr>
          <w:p w14:paraId="3F2A136C" w14:textId="77777777" w:rsidR="00925E7F" w:rsidRPr="00925E7F" w:rsidRDefault="00925E7F" w:rsidP="00925E7F">
            <w:pPr>
              <w:widowControl w:val="0"/>
              <w:spacing w:after="60"/>
              <w:rPr>
                <w:iCs/>
                <w:sz w:val="20"/>
              </w:rPr>
            </w:pPr>
            <w:r w:rsidRPr="00925E7F">
              <w:rPr>
                <w:sz w:val="20"/>
              </w:rPr>
              <w:t>second</w:t>
            </w:r>
          </w:p>
        </w:tc>
        <w:tc>
          <w:tcPr>
            <w:tcW w:w="3180" w:type="pct"/>
          </w:tcPr>
          <w:p w14:paraId="4C37EEA6" w14:textId="77777777" w:rsidR="00925E7F" w:rsidRPr="00925E7F" w:rsidRDefault="00925E7F" w:rsidP="00925E7F">
            <w:pPr>
              <w:widowControl w:val="0"/>
              <w:spacing w:after="60"/>
              <w:rPr>
                <w:sz w:val="20"/>
              </w:rPr>
            </w:pPr>
            <w:r w:rsidRPr="00925E7F">
              <w:rPr>
                <w:i/>
                <w:iCs/>
                <w:sz w:val="20"/>
              </w:rPr>
              <w:t xml:space="preserve">Duration of </w:t>
            </w:r>
            <w:r w:rsidRPr="00925E7F">
              <w:rPr>
                <w:i/>
                <w:sz w:val="20"/>
              </w:rPr>
              <w:t>SCED</w:t>
            </w:r>
            <w:r w:rsidRPr="00925E7F">
              <w:rPr>
                <w:i/>
                <w:iCs/>
                <w:sz w:val="20"/>
              </w:rPr>
              <w:t xml:space="preserve"> interval per interval</w:t>
            </w:r>
            <w:r w:rsidRPr="00925E7F">
              <w:rPr>
                <w:sz w:val="20"/>
              </w:rPr>
              <w:sym w:font="Symbol" w:char="F0BE"/>
            </w:r>
            <w:r w:rsidRPr="00925E7F">
              <w:rPr>
                <w:sz w:val="20"/>
              </w:rPr>
              <w:t xml:space="preserve">The duration of the SCED interval </w:t>
            </w:r>
            <w:r w:rsidRPr="00925E7F">
              <w:rPr>
                <w:i/>
                <w:iCs/>
                <w:sz w:val="20"/>
              </w:rPr>
              <w:t xml:space="preserve">y </w:t>
            </w:r>
            <w:r w:rsidRPr="00925E7F">
              <w:rPr>
                <w:iCs/>
                <w:sz w:val="20"/>
              </w:rPr>
              <w:t>within the Settlement Interval</w:t>
            </w:r>
            <w:r w:rsidRPr="00925E7F">
              <w:rPr>
                <w:sz w:val="20"/>
              </w:rPr>
              <w:t>.</w:t>
            </w:r>
          </w:p>
        </w:tc>
      </w:tr>
      <w:tr w:rsidR="00925E7F" w:rsidRPr="00925E7F" w14:paraId="21C63360" w14:textId="77777777" w:rsidTr="00CB43C2">
        <w:trPr>
          <w:cantSplit/>
        </w:trPr>
        <w:tc>
          <w:tcPr>
            <w:tcW w:w="1145" w:type="pct"/>
          </w:tcPr>
          <w:p w14:paraId="47F136DE" w14:textId="77777777" w:rsidR="00925E7F" w:rsidRPr="00925E7F" w:rsidRDefault="00925E7F" w:rsidP="00925E7F">
            <w:pPr>
              <w:widowControl w:val="0"/>
              <w:spacing w:after="60"/>
              <w:rPr>
                <w:i/>
                <w:sz w:val="20"/>
              </w:rPr>
            </w:pPr>
            <w:r w:rsidRPr="00925E7F">
              <w:rPr>
                <w:i/>
                <w:sz w:val="20"/>
              </w:rPr>
              <w:t>gsc</w:t>
            </w:r>
          </w:p>
        </w:tc>
        <w:tc>
          <w:tcPr>
            <w:tcW w:w="675" w:type="pct"/>
          </w:tcPr>
          <w:p w14:paraId="0BD2D01F" w14:textId="77777777" w:rsidR="00925E7F" w:rsidRPr="00925E7F" w:rsidRDefault="00925E7F" w:rsidP="00925E7F">
            <w:pPr>
              <w:widowControl w:val="0"/>
              <w:spacing w:after="60"/>
              <w:rPr>
                <w:sz w:val="20"/>
              </w:rPr>
            </w:pPr>
            <w:r w:rsidRPr="00925E7F">
              <w:rPr>
                <w:sz w:val="20"/>
              </w:rPr>
              <w:t>none</w:t>
            </w:r>
          </w:p>
        </w:tc>
        <w:tc>
          <w:tcPr>
            <w:tcW w:w="3180" w:type="pct"/>
          </w:tcPr>
          <w:p w14:paraId="3186F733" w14:textId="77777777" w:rsidR="00925E7F" w:rsidRPr="00925E7F" w:rsidRDefault="00925E7F" w:rsidP="00925E7F">
            <w:pPr>
              <w:widowControl w:val="0"/>
              <w:spacing w:after="60"/>
              <w:rPr>
                <w:sz w:val="20"/>
              </w:rPr>
            </w:pPr>
            <w:r w:rsidRPr="00925E7F">
              <w:rPr>
                <w:sz w:val="20"/>
              </w:rPr>
              <w:t>A generation site code.</w:t>
            </w:r>
          </w:p>
        </w:tc>
      </w:tr>
      <w:tr w:rsidR="00925E7F" w:rsidRPr="00925E7F" w14:paraId="0CBAA8EC" w14:textId="77777777" w:rsidTr="00CB43C2">
        <w:trPr>
          <w:cantSplit/>
        </w:trPr>
        <w:tc>
          <w:tcPr>
            <w:tcW w:w="1145" w:type="pct"/>
          </w:tcPr>
          <w:p w14:paraId="4BADA72A" w14:textId="77777777" w:rsidR="00925E7F" w:rsidRPr="00925E7F" w:rsidRDefault="00925E7F" w:rsidP="00925E7F">
            <w:pPr>
              <w:widowControl w:val="0"/>
              <w:spacing w:after="60"/>
              <w:rPr>
                <w:i/>
                <w:sz w:val="20"/>
              </w:rPr>
            </w:pPr>
            <w:r w:rsidRPr="00925E7F">
              <w:rPr>
                <w:i/>
                <w:sz w:val="20"/>
              </w:rPr>
              <w:t>b</w:t>
            </w:r>
          </w:p>
        </w:tc>
        <w:tc>
          <w:tcPr>
            <w:tcW w:w="675" w:type="pct"/>
          </w:tcPr>
          <w:p w14:paraId="5FF2E66D" w14:textId="77777777" w:rsidR="00925E7F" w:rsidRPr="00925E7F" w:rsidRDefault="00925E7F" w:rsidP="00925E7F">
            <w:pPr>
              <w:widowControl w:val="0"/>
              <w:spacing w:after="60"/>
              <w:rPr>
                <w:sz w:val="20"/>
              </w:rPr>
            </w:pPr>
            <w:r w:rsidRPr="00925E7F">
              <w:rPr>
                <w:sz w:val="20"/>
              </w:rPr>
              <w:t>none</w:t>
            </w:r>
          </w:p>
        </w:tc>
        <w:tc>
          <w:tcPr>
            <w:tcW w:w="3180" w:type="pct"/>
          </w:tcPr>
          <w:p w14:paraId="047EBA38" w14:textId="77777777" w:rsidR="00925E7F" w:rsidRPr="00925E7F" w:rsidRDefault="00925E7F" w:rsidP="00925E7F">
            <w:pPr>
              <w:widowControl w:val="0"/>
              <w:spacing w:after="60"/>
              <w:rPr>
                <w:sz w:val="20"/>
              </w:rPr>
            </w:pPr>
            <w:r w:rsidRPr="00925E7F">
              <w:rPr>
                <w:sz w:val="20"/>
              </w:rPr>
              <w:t>An Electrical Bus.</w:t>
            </w:r>
          </w:p>
        </w:tc>
      </w:tr>
      <w:tr w:rsidR="00925E7F" w:rsidRPr="00925E7F" w14:paraId="22C53897" w14:textId="77777777" w:rsidTr="00CB43C2">
        <w:trPr>
          <w:cantSplit/>
        </w:trPr>
        <w:tc>
          <w:tcPr>
            <w:tcW w:w="1145" w:type="pct"/>
          </w:tcPr>
          <w:p w14:paraId="6FEF3083" w14:textId="77777777" w:rsidR="00925E7F" w:rsidRPr="00925E7F" w:rsidRDefault="00925E7F" w:rsidP="00925E7F">
            <w:pPr>
              <w:widowControl w:val="0"/>
              <w:spacing w:after="60"/>
              <w:rPr>
                <w:i/>
                <w:sz w:val="20"/>
              </w:rPr>
            </w:pPr>
            <w:r w:rsidRPr="00925E7F">
              <w:rPr>
                <w:i/>
                <w:sz w:val="20"/>
              </w:rPr>
              <w:t>y</w:t>
            </w:r>
          </w:p>
        </w:tc>
        <w:tc>
          <w:tcPr>
            <w:tcW w:w="675" w:type="pct"/>
          </w:tcPr>
          <w:p w14:paraId="4624F612" w14:textId="77777777" w:rsidR="00925E7F" w:rsidRPr="00925E7F" w:rsidRDefault="00925E7F" w:rsidP="00925E7F">
            <w:pPr>
              <w:widowControl w:val="0"/>
              <w:spacing w:after="60"/>
              <w:rPr>
                <w:sz w:val="20"/>
              </w:rPr>
            </w:pPr>
            <w:r w:rsidRPr="00925E7F">
              <w:rPr>
                <w:sz w:val="20"/>
              </w:rPr>
              <w:t>None</w:t>
            </w:r>
          </w:p>
        </w:tc>
        <w:tc>
          <w:tcPr>
            <w:tcW w:w="3180" w:type="pct"/>
          </w:tcPr>
          <w:p w14:paraId="1300DA59" w14:textId="77777777" w:rsidR="00925E7F" w:rsidRPr="00925E7F" w:rsidRDefault="00925E7F" w:rsidP="00925E7F">
            <w:pPr>
              <w:widowControl w:val="0"/>
              <w:spacing w:after="60"/>
              <w:rPr>
                <w:sz w:val="20"/>
              </w:rPr>
            </w:pPr>
            <w:r w:rsidRPr="00925E7F">
              <w:rPr>
                <w:sz w:val="20"/>
              </w:rPr>
              <w:t>A SCED interval in the 15-minute Settlement Interval.  The summation is over the total number of SCED runs that cover the 15-minute Settlement Interval.</w:t>
            </w:r>
          </w:p>
        </w:tc>
      </w:tr>
    </w:tbl>
    <w:p w14:paraId="0318AB70" w14:textId="77777777" w:rsidR="00925E7F" w:rsidRPr="00925E7F" w:rsidRDefault="00925E7F" w:rsidP="00925E7F">
      <w:pPr>
        <w:spacing w:before="240" w:after="240"/>
        <w:ind w:left="720" w:hanging="720"/>
      </w:pPr>
      <w:r w:rsidRPr="00925E7F">
        <w:t>(4)</w:t>
      </w:r>
      <w:r w:rsidRPr="00925E7F">
        <w:tab/>
        <w:t>The total net payments and charges to each QSE for energy from SODGs and SOTGs for the 15-minute Settlement Interval is calculated as follows:</w:t>
      </w:r>
    </w:p>
    <w:p w14:paraId="64758C1A"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 xml:space="preserve">RTESOGAMTQSETOT </w:t>
      </w:r>
      <w:r w:rsidRPr="00925E7F">
        <w:rPr>
          <w:b/>
          <w:bCs/>
          <w:i/>
          <w:szCs w:val="24"/>
          <w:vertAlign w:val="subscript"/>
        </w:rPr>
        <w:t>q</w:t>
      </w:r>
      <w:r w:rsidRPr="00925E7F">
        <w:rPr>
          <w:b/>
          <w:bCs/>
          <w:szCs w:val="24"/>
        </w:rPr>
        <w:tab/>
        <w:t xml:space="preserve">= </w:t>
      </w:r>
      <w:r w:rsidRPr="00925E7F">
        <w:rPr>
          <w:b/>
          <w:bCs/>
          <w:position w:val="-22"/>
          <w:szCs w:val="24"/>
        </w:rPr>
        <w:object w:dxaOrig="285" w:dyaOrig="450" w14:anchorId="48DB64C3">
          <v:shape id="_x0000_i1171" type="#_x0000_t75" style="width:12pt;height:24pt" o:ole="">
            <v:imagedata r:id="rId197" o:title=""/>
          </v:shape>
          <o:OLEObject Type="Embed" ProgID="Equation.3" ShapeID="_x0000_i1171" DrawAspect="Content" ObjectID="_1804653656" r:id="rId198"/>
        </w:object>
      </w:r>
      <w:r w:rsidRPr="00925E7F">
        <w:rPr>
          <w:b/>
          <w:bCs/>
          <w:szCs w:val="24"/>
        </w:rPr>
        <w:t xml:space="preserve">RTESOGSAMT </w:t>
      </w:r>
      <w:r w:rsidRPr="00925E7F">
        <w:rPr>
          <w:b/>
          <w:bCs/>
          <w:i/>
          <w:szCs w:val="24"/>
          <w:vertAlign w:val="subscript"/>
        </w:rPr>
        <w:t>q, gsc</w:t>
      </w:r>
    </w:p>
    <w:p w14:paraId="0C8CA5EE" w14:textId="77777777" w:rsidR="00925E7F" w:rsidRPr="00925E7F" w:rsidRDefault="00925E7F" w:rsidP="00925E7F">
      <w:r w:rsidRPr="00925E7F">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925E7F" w:rsidRPr="00925E7F" w14:paraId="78F51904" w14:textId="77777777" w:rsidTr="00CB43C2">
        <w:trPr>
          <w:cantSplit/>
          <w:tblHeader/>
        </w:trPr>
        <w:tc>
          <w:tcPr>
            <w:tcW w:w="2335" w:type="dxa"/>
          </w:tcPr>
          <w:p w14:paraId="0AC655D5" w14:textId="77777777" w:rsidR="00925E7F" w:rsidRPr="00925E7F" w:rsidRDefault="00925E7F" w:rsidP="00925E7F">
            <w:pPr>
              <w:spacing w:after="120"/>
              <w:rPr>
                <w:b/>
                <w:iCs/>
                <w:sz w:val="20"/>
              </w:rPr>
            </w:pPr>
            <w:r w:rsidRPr="00925E7F">
              <w:rPr>
                <w:b/>
                <w:iCs/>
                <w:sz w:val="20"/>
              </w:rPr>
              <w:lastRenderedPageBreak/>
              <w:t>Variable</w:t>
            </w:r>
          </w:p>
        </w:tc>
        <w:tc>
          <w:tcPr>
            <w:tcW w:w="700" w:type="dxa"/>
          </w:tcPr>
          <w:p w14:paraId="75D792F5" w14:textId="77777777" w:rsidR="00925E7F" w:rsidRPr="00925E7F" w:rsidRDefault="00925E7F" w:rsidP="00925E7F">
            <w:pPr>
              <w:spacing w:after="120"/>
              <w:rPr>
                <w:b/>
                <w:iCs/>
                <w:sz w:val="20"/>
              </w:rPr>
            </w:pPr>
            <w:r w:rsidRPr="00925E7F">
              <w:rPr>
                <w:b/>
                <w:iCs/>
                <w:sz w:val="20"/>
              </w:rPr>
              <w:t>Unit</w:t>
            </w:r>
          </w:p>
        </w:tc>
        <w:tc>
          <w:tcPr>
            <w:tcW w:w="6036" w:type="dxa"/>
          </w:tcPr>
          <w:p w14:paraId="6A2DC540" w14:textId="77777777" w:rsidR="00925E7F" w:rsidRPr="00925E7F" w:rsidRDefault="00925E7F" w:rsidP="00925E7F">
            <w:pPr>
              <w:spacing w:after="120"/>
              <w:rPr>
                <w:b/>
                <w:iCs/>
                <w:sz w:val="20"/>
              </w:rPr>
            </w:pPr>
            <w:r w:rsidRPr="00925E7F">
              <w:rPr>
                <w:b/>
                <w:iCs/>
                <w:sz w:val="20"/>
              </w:rPr>
              <w:t>Definition</w:t>
            </w:r>
          </w:p>
        </w:tc>
      </w:tr>
      <w:tr w:rsidR="00925E7F" w:rsidRPr="00925E7F" w14:paraId="56D69343" w14:textId="77777777" w:rsidTr="00CB43C2">
        <w:trPr>
          <w:cantSplit/>
        </w:trPr>
        <w:tc>
          <w:tcPr>
            <w:tcW w:w="2335" w:type="dxa"/>
          </w:tcPr>
          <w:p w14:paraId="6DCD9673" w14:textId="77777777" w:rsidR="00925E7F" w:rsidRPr="00925E7F" w:rsidRDefault="00925E7F" w:rsidP="00925E7F">
            <w:pPr>
              <w:spacing w:after="60"/>
              <w:rPr>
                <w:iCs/>
                <w:sz w:val="20"/>
              </w:rPr>
            </w:pPr>
            <w:r w:rsidRPr="00925E7F">
              <w:rPr>
                <w:iCs/>
                <w:sz w:val="20"/>
              </w:rPr>
              <w:t xml:space="preserve">RTESOGAMTQSETOT </w:t>
            </w:r>
            <w:r w:rsidRPr="00925E7F">
              <w:rPr>
                <w:i/>
                <w:iCs/>
                <w:sz w:val="20"/>
                <w:vertAlign w:val="subscript"/>
              </w:rPr>
              <w:t>q</w:t>
            </w:r>
          </w:p>
        </w:tc>
        <w:tc>
          <w:tcPr>
            <w:tcW w:w="700" w:type="dxa"/>
          </w:tcPr>
          <w:p w14:paraId="0311BE7B" w14:textId="77777777" w:rsidR="00925E7F" w:rsidRPr="00925E7F" w:rsidRDefault="00925E7F" w:rsidP="00925E7F">
            <w:pPr>
              <w:spacing w:after="60"/>
              <w:rPr>
                <w:iCs/>
                <w:sz w:val="20"/>
              </w:rPr>
            </w:pPr>
            <w:r w:rsidRPr="00925E7F">
              <w:rPr>
                <w:iCs/>
                <w:sz w:val="20"/>
              </w:rPr>
              <w:t>$</w:t>
            </w:r>
          </w:p>
        </w:tc>
        <w:tc>
          <w:tcPr>
            <w:tcW w:w="6036" w:type="dxa"/>
          </w:tcPr>
          <w:p w14:paraId="5AC51C2B" w14:textId="77777777" w:rsidR="00925E7F" w:rsidRPr="00925E7F" w:rsidRDefault="00925E7F" w:rsidP="00925E7F">
            <w:pPr>
              <w:spacing w:after="60"/>
              <w:rPr>
                <w:iCs/>
                <w:sz w:val="20"/>
              </w:rPr>
            </w:pPr>
            <w:r w:rsidRPr="00925E7F">
              <w:rPr>
                <w:i/>
                <w:iCs/>
                <w:sz w:val="20"/>
              </w:rPr>
              <w:t xml:space="preserve">Real-Time Energy Payment or Charge per QSE for Energy from SODGs and SOTGs </w:t>
            </w:r>
            <w:r w:rsidRPr="00925E7F">
              <w:rPr>
                <w:iCs/>
                <w:sz w:val="20"/>
              </w:rPr>
              <w:t xml:space="preserve">—The payment or charge to QSE </w:t>
            </w:r>
            <w:r w:rsidRPr="00925E7F">
              <w:rPr>
                <w:i/>
                <w:iCs/>
                <w:sz w:val="20"/>
              </w:rPr>
              <w:t>q</w:t>
            </w:r>
            <w:r w:rsidRPr="00925E7F">
              <w:rPr>
                <w:iCs/>
                <w:sz w:val="20"/>
              </w:rPr>
              <w:t xml:space="preserve"> for Real-Time energy from SODGs and SOTGs, for the 15-minute Settlement Interval.</w:t>
            </w:r>
          </w:p>
        </w:tc>
      </w:tr>
      <w:tr w:rsidR="00925E7F" w:rsidRPr="00925E7F" w14:paraId="18D8A7AF" w14:textId="77777777" w:rsidTr="00CB43C2">
        <w:trPr>
          <w:cantSplit/>
        </w:trPr>
        <w:tc>
          <w:tcPr>
            <w:tcW w:w="2335" w:type="dxa"/>
          </w:tcPr>
          <w:p w14:paraId="00DC4291" w14:textId="77777777" w:rsidR="00925E7F" w:rsidRPr="00925E7F" w:rsidRDefault="00925E7F" w:rsidP="00925E7F">
            <w:pPr>
              <w:spacing w:after="60"/>
              <w:rPr>
                <w:iCs/>
                <w:sz w:val="20"/>
              </w:rPr>
            </w:pPr>
            <w:r w:rsidRPr="00925E7F">
              <w:rPr>
                <w:iCs/>
                <w:sz w:val="20"/>
              </w:rPr>
              <w:t xml:space="preserve">RTESOGSAMT </w:t>
            </w:r>
            <w:r w:rsidRPr="00925E7F">
              <w:rPr>
                <w:i/>
                <w:iCs/>
                <w:sz w:val="20"/>
                <w:vertAlign w:val="subscript"/>
              </w:rPr>
              <w:t>q, gsc</w:t>
            </w:r>
          </w:p>
        </w:tc>
        <w:tc>
          <w:tcPr>
            <w:tcW w:w="700" w:type="dxa"/>
          </w:tcPr>
          <w:p w14:paraId="1CF26442" w14:textId="77777777" w:rsidR="00925E7F" w:rsidRPr="00925E7F" w:rsidRDefault="00925E7F" w:rsidP="00925E7F">
            <w:pPr>
              <w:spacing w:after="60"/>
              <w:rPr>
                <w:iCs/>
                <w:sz w:val="20"/>
              </w:rPr>
            </w:pPr>
            <w:r w:rsidRPr="00925E7F">
              <w:rPr>
                <w:iCs/>
                <w:sz w:val="20"/>
              </w:rPr>
              <w:t>$</w:t>
            </w:r>
          </w:p>
        </w:tc>
        <w:tc>
          <w:tcPr>
            <w:tcW w:w="6036" w:type="dxa"/>
          </w:tcPr>
          <w:p w14:paraId="19FCF892" w14:textId="77777777" w:rsidR="00925E7F" w:rsidRPr="00925E7F" w:rsidRDefault="00925E7F" w:rsidP="00925E7F">
            <w:pPr>
              <w:spacing w:after="60"/>
              <w:rPr>
                <w:iCs/>
                <w:sz w:val="20"/>
              </w:rPr>
            </w:pPr>
            <w:r w:rsidRPr="00925E7F">
              <w:rPr>
                <w:i/>
                <w:iCs/>
                <w:sz w:val="20"/>
              </w:rPr>
              <w:t>Real-Time Energy for SODG and SOTG Site Amount</w:t>
            </w:r>
            <w:r w:rsidRPr="00925E7F" w:rsidDel="006C2DC2">
              <w:rPr>
                <w:i/>
                <w:iCs/>
                <w:sz w:val="20"/>
              </w:rPr>
              <w:t xml:space="preserve"> </w:t>
            </w:r>
            <w:r w:rsidRPr="00925E7F">
              <w:rPr>
                <w:iCs/>
                <w:sz w:val="20"/>
              </w:rPr>
              <w:t xml:space="preserve">—The total payment or charge to QSE </w:t>
            </w:r>
            <w:r w:rsidRPr="00925E7F">
              <w:rPr>
                <w:i/>
                <w:iCs/>
                <w:sz w:val="20"/>
              </w:rPr>
              <w:t>q</w:t>
            </w:r>
            <w:r w:rsidRPr="00925E7F">
              <w:rPr>
                <w:iCs/>
                <w:sz w:val="20"/>
              </w:rPr>
              <w:t xml:space="preserve"> for an SODG or SOTG site</w:t>
            </w:r>
            <w:r w:rsidRPr="00925E7F">
              <w:rPr>
                <w:i/>
                <w:iCs/>
                <w:sz w:val="20"/>
              </w:rPr>
              <w:t xml:space="preserve"> gsc</w:t>
            </w:r>
            <w:r w:rsidRPr="00925E7F">
              <w:rPr>
                <w:iCs/>
                <w:sz w:val="20"/>
              </w:rPr>
              <w:t xml:space="preserve"> for the 15-minute Settlement Interval.</w:t>
            </w:r>
          </w:p>
        </w:tc>
      </w:tr>
      <w:tr w:rsidR="00925E7F" w:rsidRPr="00925E7F" w14:paraId="1D9D6F1A"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4AA5ADF7" w14:textId="77777777" w:rsidR="00925E7F" w:rsidRPr="00925E7F" w:rsidRDefault="00925E7F" w:rsidP="00925E7F">
            <w:pPr>
              <w:spacing w:after="60"/>
              <w:rPr>
                <w:i/>
                <w:iCs/>
                <w:sz w:val="20"/>
              </w:rPr>
            </w:pPr>
            <w:r w:rsidRPr="00925E7F">
              <w:rPr>
                <w:i/>
                <w:iCs/>
                <w:sz w:val="20"/>
              </w:rPr>
              <w:t>q</w:t>
            </w:r>
          </w:p>
        </w:tc>
        <w:tc>
          <w:tcPr>
            <w:tcW w:w="700" w:type="dxa"/>
            <w:tcBorders>
              <w:top w:val="single" w:sz="4" w:space="0" w:color="auto"/>
              <w:left w:val="single" w:sz="4" w:space="0" w:color="auto"/>
              <w:bottom w:val="single" w:sz="4" w:space="0" w:color="auto"/>
              <w:right w:val="single" w:sz="4" w:space="0" w:color="auto"/>
            </w:tcBorders>
          </w:tcPr>
          <w:p w14:paraId="510FC691"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65418523" w14:textId="77777777" w:rsidR="00925E7F" w:rsidRPr="00925E7F" w:rsidRDefault="00925E7F" w:rsidP="00925E7F">
            <w:pPr>
              <w:spacing w:after="60"/>
              <w:rPr>
                <w:iCs/>
                <w:sz w:val="20"/>
              </w:rPr>
            </w:pPr>
            <w:r w:rsidRPr="00925E7F">
              <w:rPr>
                <w:iCs/>
                <w:sz w:val="20"/>
              </w:rPr>
              <w:t>A QSE.</w:t>
            </w:r>
          </w:p>
        </w:tc>
      </w:tr>
      <w:tr w:rsidR="00925E7F" w:rsidRPr="00925E7F" w14:paraId="568DDEEF"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3BBBF4B0" w14:textId="77777777" w:rsidR="00925E7F" w:rsidRPr="00925E7F" w:rsidRDefault="00925E7F" w:rsidP="00925E7F">
            <w:pPr>
              <w:spacing w:after="60"/>
              <w:rPr>
                <w:i/>
                <w:iCs/>
                <w:sz w:val="20"/>
              </w:rPr>
            </w:pPr>
            <w:r w:rsidRPr="00925E7F">
              <w:rPr>
                <w:i/>
                <w:iCs/>
                <w:sz w:val="20"/>
              </w:rPr>
              <w:t>gsc</w:t>
            </w:r>
          </w:p>
        </w:tc>
        <w:tc>
          <w:tcPr>
            <w:tcW w:w="700" w:type="dxa"/>
            <w:tcBorders>
              <w:top w:val="single" w:sz="4" w:space="0" w:color="auto"/>
              <w:left w:val="single" w:sz="4" w:space="0" w:color="auto"/>
              <w:bottom w:val="single" w:sz="4" w:space="0" w:color="auto"/>
              <w:right w:val="single" w:sz="4" w:space="0" w:color="auto"/>
            </w:tcBorders>
          </w:tcPr>
          <w:p w14:paraId="34A6DF47"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00D06A62" w14:textId="77777777" w:rsidR="00925E7F" w:rsidRPr="00925E7F" w:rsidRDefault="00925E7F" w:rsidP="00925E7F">
            <w:pPr>
              <w:spacing w:after="60"/>
              <w:rPr>
                <w:iCs/>
                <w:sz w:val="20"/>
              </w:rPr>
            </w:pPr>
            <w:r w:rsidRPr="00925E7F">
              <w:rPr>
                <w:iCs/>
                <w:sz w:val="20"/>
              </w:rPr>
              <w:t>A generation site code.</w:t>
            </w:r>
          </w:p>
        </w:tc>
      </w:tr>
    </w:tbl>
    <w:p w14:paraId="1BAE4C8C" w14:textId="77777777" w:rsidR="00925E7F" w:rsidRPr="00925E7F" w:rsidRDefault="00925E7F" w:rsidP="00925E7F">
      <w:pPr>
        <w:widowControl w:val="0"/>
        <w:spacing w:before="240" w:after="240"/>
        <w:ind w:left="720" w:hanging="720"/>
      </w:pPr>
      <w:r w:rsidRPr="00925E7F">
        <w:rPr>
          <w:bCs/>
        </w:rPr>
        <w:t xml:space="preserve">(5) </w:t>
      </w:r>
      <w:r w:rsidRPr="00925E7F">
        <w:rPr>
          <w:bCs/>
        </w:rPr>
        <w:tab/>
        <w:t xml:space="preserve">Notwithstanding anything else in this Section except paragraphs (6) and (7) below, a Resource Entity may opt out of nodal pricing and continue Load Zone Settlement for any </w:t>
      </w:r>
      <w:r w:rsidRPr="00925E7F">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08BB4E03" w14:textId="77777777" w:rsidR="00925E7F" w:rsidRPr="00925E7F" w:rsidRDefault="00925E7F" w:rsidP="00925E7F">
      <w:pPr>
        <w:widowControl w:val="0"/>
        <w:spacing w:after="240"/>
        <w:ind w:left="720" w:hanging="720"/>
      </w:pPr>
      <w:r w:rsidRPr="00925E7F">
        <w:t>(6)</w:t>
      </w:r>
      <w:r w:rsidRPr="00925E7F">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14AC7094" w14:textId="77777777" w:rsidR="00925E7F" w:rsidRPr="00925E7F" w:rsidRDefault="00925E7F" w:rsidP="00925E7F">
      <w:pPr>
        <w:widowControl w:val="0"/>
        <w:spacing w:after="240"/>
        <w:ind w:left="720" w:hanging="720"/>
      </w:pPr>
      <w:r w:rsidRPr="00925E7F">
        <w:t>(7)</w:t>
      </w:r>
      <w:r w:rsidRPr="00925E7F">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2413C71" w14:textId="3667AD0A" w:rsidR="009058F4" w:rsidRDefault="00925E7F" w:rsidP="00925E7F">
      <w:pPr>
        <w:widowControl w:val="0"/>
        <w:spacing w:after="240"/>
        <w:ind w:left="720" w:hanging="720"/>
      </w:pPr>
      <w:r w:rsidRPr="00925E7F">
        <w:rPr>
          <w:szCs w:val="24"/>
        </w:rPr>
        <w:t>(8)</w:t>
      </w:r>
      <w:r w:rsidRPr="00925E7F">
        <w:rPr>
          <w:szCs w:val="24"/>
        </w:rPr>
        <w:tab/>
        <w:t xml:space="preserve">A Resource Entity that has opted out of nodal pricing for one or more SODGs or SOTGs pursuant to </w:t>
      </w:r>
      <w:r w:rsidRPr="00925E7F">
        <w:t>paragraph</w:t>
      </w:r>
      <w:r w:rsidRPr="00925E7F">
        <w:rPr>
          <w:szCs w:val="24"/>
        </w:rPr>
        <w:t xml:space="preserve">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925E7F">
        <w:t>pricing</w:t>
      </w:r>
      <w:r w:rsidRPr="00925E7F">
        <w:rPr>
          <w:szCs w:val="24"/>
        </w:rPr>
        <w:t xml:space="preserve"> in ERCOT Settlement systems as soon as practicable.</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9058F4" w14:paraId="1D13C691" w14:textId="77777777" w:rsidTr="009058F4">
        <w:trPr>
          <w:trHeight w:val="206"/>
        </w:trPr>
        <w:tc>
          <w:tcPr>
            <w:tcW w:w="9576" w:type="dxa"/>
            <w:shd w:val="pct12" w:color="auto" w:fill="auto"/>
          </w:tcPr>
          <w:p w14:paraId="0BB89857" w14:textId="2CCAB0F9" w:rsidR="009058F4" w:rsidRDefault="009058F4" w:rsidP="008B123E">
            <w:pPr>
              <w:pStyle w:val="Instructions"/>
              <w:spacing w:before="120"/>
            </w:pPr>
            <w:bookmarkStart w:id="1982" w:name="_Toc448142325"/>
            <w:bookmarkStart w:id="1983" w:name="_Toc448142482"/>
            <w:bookmarkStart w:id="1984" w:name="_Toc458770323"/>
            <w:bookmarkStart w:id="1985" w:name="_Toc459294291"/>
            <w:bookmarkStart w:id="1986" w:name="_Toc463262784"/>
            <w:bookmarkStart w:id="1987" w:name="_Toc468286857"/>
            <w:bookmarkStart w:id="1988" w:name="_Toc481502897"/>
            <w:bookmarkStart w:id="1989" w:name="_Toc496080065"/>
            <w:r>
              <w:lastRenderedPageBreak/>
              <w:t>[</w:t>
            </w:r>
            <w:r w:rsidR="00031AC3">
              <w:t>NPRR995</w:t>
            </w:r>
            <w:r w:rsidR="00925E7F">
              <w:t xml:space="preserve"> and</w:t>
            </w:r>
            <w:r w:rsidR="001A78EC">
              <w:t xml:space="preserve"> NPRR1010</w:t>
            </w:r>
            <w:r>
              <w:t xml:space="preserve">:  </w:t>
            </w:r>
            <w:r w:rsidR="0024071F">
              <w:t>Replace</w:t>
            </w:r>
            <w:r>
              <w:t xml:space="preserve"> </w:t>
            </w:r>
            <w:r w:rsidR="001A78EC">
              <w:t xml:space="preserve">applicable portions of </w:t>
            </w:r>
            <w:r>
              <w:t>Section 6.6.3.</w:t>
            </w:r>
            <w:r w:rsidR="00720B34">
              <w:t>8</w:t>
            </w:r>
            <w:r>
              <w:t xml:space="preserve"> </w:t>
            </w:r>
            <w:r w:rsidR="0024071F">
              <w:t>above with the following</w:t>
            </w:r>
            <w:r>
              <w:t xml:space="preserve"> upon system implementation</w:t>
            </w:r>
            <w:r w:rsidR="006465B2">
              <w:t xml:space="preserve"> for NPRR995;</w:t>
            </w:r>
            <w:r w:rsidR="001A78EC">
              <w:t xml:space="preserve"> or upon system implementation of the Real-Time Co-Optimization (RTC) project for NPRR1010</w:t>
            </w:r>
            <w:r>
              <w:t>:]</w:t>
            </w:r>
          </w:p>
          <w:p w14:paraId="43B8FA8D" w14:textId="76F41A11" w:rsidR="009058F4" w:rsidRDefault="009058F4" w:rsidP="009058F4">
            <w:pPr>
              <w:pStyle w:val="H4"/>
              <w:spacing w:before="480"/>
            </w:pPr>
            <w:bookmarkStart w:id="1990" w:name="_Toc17798734"/>
            <w:bookmarkStart w:id="1991" w:name="_Toc112417648"/>
            <w:bookmarkStart w:id="1992" w:name="_Toc119310317"/>
            <w:bookmarkStart w:id="1993" w:name="_Toc125966250"/>
            <w:bookmarkStart w:id="1994" w:name="_Toc135992348"/>
            <w:bookmarkStart w:id="1995" w:name="_Toc170303544"/>
            <w:bookmarkStart w:id="1996" w:name="_Toc175157448"/>
            <w:bookmarkStart w:id="1997" w:name="_Toc189044421"/>
            <w:r>
              <w:t>6.6.3.</w:t>
            </w:r>
            <w:r w:rsidR="00720B34">
              <w:t>8</w:t>
            </w:r>
            <w:r>
              <w:tab/>
              <w:t xml:space="preserve">Real-Time Payment or Charge </w:t>
            </w:r>
            <w:r w:rsidRPr="007D3BAF">
              <w:t xml:space="preserve">for </w:t>
            </w:r>
            <w:r>
              <w:t xml:space="preserve">Energy from a </w:t>
            </w:r>
            <w:r w:rsidRPr="00A6342E">
              <w:t>Settlement Only Distribution Generator (SODG)</w:t>
            </w:r>
            <w:r w:rsidR="00031AC3">
              <w:t>,</w:t>
            </w:r>
            <w:r>
              <w:t xml:space="preserve"> </w:t>
            </w:r>
            <w:r w:rsidRPr="00A6342E">
              <w:t>Settlement Only Transmission Generator (SOTG)</w:t>
            </w:r>
            <w:bookmarkEnd w:id="1990"/>
            <w:r w:rsidR="00031AC3" w:rsidRPr="00031AC3">
              <w:t>, Settlement Only Distribution Energy Storage System (SODESS), or Settlement Only Transmission Energy Storage System (SOTESS)</w:t>
            </w:r>
            <w:bookmarkEnd w:id="1991"/>
            <w:bookmarkEnd w:id="1992"/>
            <w:bookmarkEnd w:id="1993"/>
            <w:bookmarkEnd w:id="1994"/>
            <w:bookmarkEnd w:id="1995"/>
            <w:bookmarkEnd w:id="1996"/>
            <w:bookmarkEnd w:id="1997"/>
            <w:r>
              <w:t xml:space="preserve"> </w:t>
            </w:r>
          </w:p>
          <w:p w14:paraId="25D9D0F0" w14:textId="61E8D199" w:rsidR="007332D0" w:rsidRPr="005356B7" w:rsidRDefault="009058F4" w:rsidP="00985A9C">
            <w:pPr>
              <w:pStyle w:val="BodyTextNumbered"/>
              <w:widowControl w:val="0"/>
            </w:pPr>
            <w:r w:rsidRPr="005473AF">
              <w:t>(1)</w:t>
            </w:r>
            <w:r w:rsidRPr="005473AF">
              <w:tab/>
            </w:r>
            <w:r w:rsidR="007332D0">
              <w:t>T</w:t>
            </w:r>
            <w:r w:rsidRPr="005473AF">
              <w:t xml:space="preserve">he payment or charge to each </w:t>
            </w:r>
            <w:r w:rsidRPr="00C5632E">
              <w:t>QSE</w:t>
            </w:r>
            <w:r w:rsidRPr="005473AF">
              <w:t xml:space="preserve"> for energy from </w:t>
            </w:r>
            <w:r>
              <w:t xml:space="preserve">an </w:t>
            </w:r>
            <w:r w:rsidRPr="00A6342E">
              <w:t>SODG</w:t>
            </w:r>
            <w:r w:rsidR="00031AC3">
              <w:t>,</w:t>
            </w:r>
            <w:r>
              <w:t xml:space="preserve"> </w:t>
            </w:r>
            <w:r w:rsidRPr="00A6342E">
              <w:t>SOTG</w:t>
            </w:r>
            <w:r w:rsidR="00031AC3">
              <w:t>, SODESS, or SOTESS</w:t>
            </w:r>
            <w:r w:rsidRPr="005473AF">
              <w:t xml:space="preserve"> shall be based on a</w:t>
            </w:r>
            <w:r>
              <w:t>n identified</w:t>
            </w:r>
            <w:r w:rsidRPr="005473AF">
              <w:t xml:space="preserve"> nodal energy price</w:t>
            </w:r>
            <w:r>
              <w:t>, RTESOPR,</w:t>
            </w:r>
            <w:r w:rsidRPr="005473AF">
              <w:t xml:space="preserve"> </w:t>
            </w:r>
            <w:r>
              <w:t>as described in this subsection</w:t>
            </w:r>
            <w:r w:rsidR="007332D0">
              <w:t>, with the exception</w:t>
            </w:r>
            <w:r w:rsidR="00031AC3">
              <w:t xml:space="preserve"> of a</w:t>
            </w:r>
            <w:r w:rsidR="007332D0">
              <w:t>n SODG or SOTG that has opted out of nodal pricing as described in paragraph (</w:t>
            </w:r>
            <w:r w:rsidR="00031AC3">
              <w:t>7</w:t>
            </w:r>
            <w:r w:rsidR="007332D0">
              <w:t>) below</w:t>
            </w:r>
            <w:r w:rsidR="00031AC3">
              <w:t>.</w:t>
            </w:r>
          </w:p>
          <w:p w14:paraId="44BCAD61" w14:textId="0FB55B4B" w:rsidR="009058F4" w:rsidRPr="004A3590" w:rsidRDefault="009058F4" w:rsidP="007332D0">
            <w:pPr>
              <w:pStyle w:val="BodyTextNumbered"/>
              <w:widowControl w:val="0"/>
            </w:pPr>
            <w:r>
              <w:t>(2)</w:t>
            </w:r>
            <w:r>
              <w:tab/>
              <w:t>For an SODG</w:t>
            </w:r>
            <w:r w:rsidR="00031AC3">
              <w:t xml:space="preserve"> or an SODESS</w:t>
            </w:r>
            <w:r w:rsidRPr="00AB7A55">
              <w:t xml:space="preserve">, the </w:t>
            </w:r>
            <w:r w:rsidRPr="008065D2">
              <w:t>price</w:t>
            </w:r>
            <w:r w:rsidRPr="00AB7A55">
              <w:t xml:space="preserve"> used as the basis for the 15-minute Real-Time price calculation is the </w:t>
            </w:r>
            <w:r>
              <w:t xml:space="preserve">time-weighted </w:t>
            </w:r>
            <w:r w:rsidRPr="00AB7A55">
              <w:t>price</w:t>
            </w:r>
            <w:r w:rsidRPr="008065D2">
              <w:t xml:space="preserve"> at the</w:t>
            </w:r>
            <w:r w:rsidRPr="00AB7A55">
              <w:t xml:space="preserve"> </w:t>
            </w:r>
            <w:r>
              <w:t>E</w:t>
            </w:r>
            <w:r w:rsidRPr="00AB7A55">
              <w:t xml:space="preserve">lectrical </w:t>
            </w:r>
            <w:r>
              <w:t>B</w:t>
            </w:r>
            <w:r w:rsidRPr="00AB7A55">
              <w:t>us associated with this mapped Load in the Network Operations Model</w:t>
            </w:r>
            <w:r w:rsidRPr="008065D2">
              <w:t>.</w:t>
            </w:r>
            <w:r w:rsidRPr="00AB7A55">
              <w:t xml:space="preserve"> </w:t>
            </w:r>
            <w:r>
              <w:t xml:space="preserve"> </w:t>
            </w:r>
            <w:r w:rsidRPr="00AB7A55">
              <w:t xml:space="preserve">For </w:t>
            </w:r>
            <w:r>
              <w:t>an SOTG</w:t>
            </w:r>
            <w:r w:rsidR="00EC6A86">
              <w:t xml:space="preserve"> or an SOTESS</w:t>
            </w:r>
            <w:r w:rsidRPr="00AB7A55">
              <w:t xml:space="preserve">, the </w:t>
            </w:r>
            <w:r w:rsidRPr="008065D2">
              <w:t>price</w:t>
            </w:r>
            <w:r w:rsidRPr="00AB7A55">
              <w:t xml:space="preserve"> used as the basis for the 15-minute Real-Time price calculation is the </w:t>
            </w:r>
            <w:r>
              <w:t xml:space="preserve">time-weighted </w:t>
            </w:r>
            <w:r w:rsidRPr="008065D2">
              <w:t xml:space="preserve">price at the </w:t>
            </w:r>
            <w:r>
              <w:t>E</w:t>
            </w:r>
            <w:r w:rsidRPr="00AB7A55">
              <w:t xml:space="preserve">lectrical </w:t>
            </w:r>
            <w:r>
              <w:t>B</w:t>
            </w:r>
            <w:r w:rsidRPr="00AB7A55">
              <w:t xml:space="preserve">us as determined by ERCOT in review of the meter location of the </w:t>
            </w:r>
            <w:r>
              <w:t>SOTG</w:t>
            </w:r>
            <w:r w:rsidRPr="00AB7A55">
              <w:t xml:space="preserve"> </w:t>
            </w:r>
            <w:r w:rsidR="00EC6A86">
              <w:t xml:space="preserve">or SOTESS </w:t>
            </w:r>
            <w:r w:rsidRPr="00AB7A55">
              <w:t>in the Network Operations Model.</w:t>
            </w:r>
            <w:r>
              <w:t xml:space="preserve">  </w:t>
            </w:r>
            <w:r w:rsidR="00EC6A86">
              <w:t xml:space="preserve">Load that is not WSL will be included in the Real-Time AML per QSE.  Each </w:t>
            </w:r>
            <w:r>
              <w:t>SODG</w:t>
            </w:r>
            <w:r w:rsidR="00EC6A86">
              <w:t>,</w:t>
            </w:r>
            <w:r>
              <w:t xml:space="preserve"> SOTG</w:t>
            </w:r>
            <w:r w:rsidR="00EC6A86">
              <w:t>, SODESS, and SOTESS</w:t>
            </w:r>
            <w:r w:rsidRPr="004A3590">
              <w:t xml:space="preserve"> </w:t>
            </w:r>
            <w:r>
              <w:t>site will be represented as a single unit</w:t>
            </w:r>
            <w:r w:rsidRPr="004A3590">
              <w:t xml:space="preserve"> in the ERCOT </w:t>
            </w:r>
            <w:r>
              <w:t>S</w:t>
            </w:r>
            <w:r w:rsidRPr="004A3590">
              <w:t>ettlement system</w:t>
            </w:r>
            <w:r>
              <w:t>.</w:t>
            </w:r>
          </w:p>
          <w:p w14:paraId="15544BD1" w14:textId="3B7C166D" w:rsidR="009058F4" w:rsidRDefault="009058F4" w:rsidP="009058F4">
            <w:pPr>
              <w:pStyle w:val="BodyTextNumbered"/>
              <w:widowControl w:val="0"/>
            </w:pPr>
            <w:r>
              <w:t>(3)</w:t>
            </w:r>
            <w:r>
              <w:tab/>
              <w:t>For an SODG</w:t>
            </w:r>
            <w:r w:rsidR="00EC6A86">
              <w:t>,</w:t>
            </w:r>
            <w:r>
              <w:t xml:space="preserve"> SOTG, </w:t>
            </w:r>
            <w:r w:rsidR="00EC6A86">
              <w:t xml:space="preserve">SODESS, or SOTESS, </w:t>
            </w:r>
            <w:r>
              <w:t>the total payment or charge for each 15-minute Settlement Interval shall be calculated as follows:</w:t>
            </w:r>
          </w:p>
          <w:p w14:paraId="4B4D46C0" w14:textId="77777777" w:rsidR="009C2EEB" w:rsidRPr="00DA2165" w:rsidRDefault="009C2EEB" w:rsidP="009C2EEB">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7E317B1F">
                <v:shape id="_x0000_i1172" type="#_x0000_t75" style="width:12pt;height:24pt" o:ole="">
                  <v:imagedata r:id="rId189" o:title=""/>
                </v:shape>
                <o:OLEObject Type="Embed" ProgID="Equation.3" ShapeID="_x0000_i1172" DrawAspect="Content" ObjectID="_1804653657" r:id="rId199"/>
              </w:object>
            </w:r>
            <w:r w:rsidRPr="00DA2165">
              <w:t>MEBSOG</w:t>
            </w:r>
            <w:r w:rsidRPr="00DA2165">
              <w:rPr>
                <w:i/>
                <w:vertAlign w:val="subscript"/>
              </w:rPr>
              <w:t xml:space="preserve"> q, gsc, b</w:t>
            </w:r>
            <w:r w:rsidRPr="00DA2165">
              <w:t>)</w:t>
            </w:r>
          </w:p>
          <w:p w14:paraId="6EA02291" w14:textId="77777777" w:rsidR="009C2EEB" w:rsidRPr="00DA2165" w:rsidRDefault="009C2EEB" w:rsidP="009C2EEB">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105B0752" w14:textId="227526B2" w:rsidR="009C2EEB" w:rsidRPr="00DA2165" w:rsidRDefault="009C2EEB" w:rsidP="009C2EEB">
            <w:pPr>
              <w:pStyle w:val="BodyTextNumbered"/>
              <w:widowControl w:val="0"/>
              <w:ind w:firstLine="0"/>
            </w:pPr>
            <w:r w:rsidRPr="00DA2165">
              <w:t>The Load is included in the Real-Time AML per QSE</w:t>
            </w:r>
            <w:r w:rsidR="00EC6A86">
              <w:t>, excluding WSL</w:t>
            </w:r>
            <w:r w:rsidRPr="00DA2165">
              <w:t>.</w:t>
            </w:r>
          </w:p>
          <w:p w14:paraId="0F3484F9" w14:textId="77777777" w:rsidR="009C2EEB" w:rsidRPr="00DA2165" w:rsidRDefault="009C2EEB" w:rsidP="009C2EEB">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5DED41C7" w14:textId="18726C8B" w:rsidR="009058F4" w:rsidRDefault="009058F4" w:rsidP="009058F4">
            <w:pPr>
              <w:pStyle w:val="FormulaBold"/>
              <w:rPr>
                <w:rStyle w:val="BodyTextChar"/>
                <w:iCs/>
              </w:rPr>
            </w:pPr>
            <w:r>
              <w:t>RT</w:t>
            </w:r>
            <w:r w:rsidR="00EC6A86">
              <w:t>G</w:t>
            </w:r>
            <w:r>
              <w:t xml:space="preserve">SOAMT </w:t>
            </w:r>
            <w:r w:rsidRPr="004F3915">
              <w:rPr>
                <w:i/>
                <w:sz w:val="28"/>
                <w:szCs w:val="28"/>
                <w:vertAlign w:val="subscript"/>
              </w:rPr>
              <w:t>q,</w:t>
            </w:r>
            <w:r>
              <w:t xml:space="preserve"> </w:t>
            </w:r>
            <w:r>
              <w:rPr>
                <w:i/>
                <w:sz w:val="28"/>
                <w:szCs w:val="28"/>
                <w:vertAlign w:val="subscript"/>
              </w:rPr>
              <w:t>g</w:t>
            </w:r>
            <w:r w:rsidRPr="00993F9F">
              <w:rPr>
                <w:i/>
                <w:sz w:val="28"/>
                <w:szCs w:val="28"/>
                <w:vertAlign w:val="subscript"/>
              </w:rPr>
              <w:t>sc</w:t>
            </w:r>
            <w:r>
              <w:tab/>
              <w:t>=</w:t>
            </w:r>
            <w:r>
              <w:tab/>
              <w:t>(-1) * [</w:t>
            </w:r>
            <w:r w:rsidRPr="00351F0F">
              <w:rPr>
                <w:position w:val="-20"/>
              </w:rPr>
              <w:object w:dxaOrig="225" w:dyaOrig="435" w14:anchorId="74E8ECBE">
                <v:shape id="_x0000_i1173" type="#_x0000_t75" style="width:12pt;height:18pt" o:ole="">
                  <v:imagedata r:id="rId189" o:title=""/>
                </v:shape>
                <o:OLEObject Type="Embed" ProgID="Equation.3" ShapeID="_x0000_i1173" DrawAspect="Content" ObjectID="_1804653658" r:id="rId200"/>
              </w:object>
            </w:r>
            <w:r>
              <w:t xml:space="preserve">(RTESOPR </w:t>
            </w:r>
            <w:r>
              <w:rPr>
                <w:i/>
                <w:vertAlign w:val="subscript"/>
              </w:rPr>
              <w:t xml:space="preserve">b </w:t>
            </w:r>
            <w:r>
              <w:t xml:space="preserve">* </w:t>
            </w:r>
            <w:r w:rsidR="009C2EEB">
              <w:t>MEB</w:t>
            </w:r>
            <w:r>
              <w:t xml:space="preserve">SOG </w:t>
            </w:r>
            <w:r>
              <w:rPr>
                <w:i/>
                <w:vertAlign w:val="subscript"/>
              </w:rPr>
              <w:t>q, gsc, b</w:t>
            </w:r>
            <w:r w:rsidRPr="006C04AA">
              <w:t>)</w:t>
            </w:r>
            <w:r>
              <w:t xml:space="preserve">] </w:t>
            </w:r>
          </w:p>
          <w:p w14:paraId="226270A0" w14:textId="77777777" w:rsidR="00EC6A86" w:rsidRDefault="00EC6A86" w:rsidP="00EC6A86">
            <w:pPr>
              <w:widowControl w:val="0"/>
              <w:spacing w:after="240"/>
              <w:ind w:left="720" w:hanging="720"/>
            </w:pPr>
            <w:r>
              <w:t>(4)</w:t>
            </w:r>
            <w:r>
              <w:tab/>
              <w:t>For an SODESS or SOTESS, the total payment or charge for each 15-minute Settlement Interval shall be calculated as follows:</w:t>
            </w:r>
          </w:p>
          <w:p w14:paraId="358764B8" w14:textId="4674E49E" w:rsidR="00EC6A86" w:rsidRDefault="00EC6A86" w:rsidP="00EC6A86">
            <w:pPr>
              <w:tabs>
                <w:tab w:val="left" w:pos="2250"/>
                <w:tab w:val="left" w:pos="3150"/>
                <w:tab w:val="left" w:pos="4027"/>
              </w:tabs>
              <w:spacing w:after="240"/>
              <w:ind w:left="3960" w:hanging="3240"/>
              <w:rPr>
                <w:b/>
                <w:bCs/>
                <w:szCs w:val="24"/>
              </w:rPr>
            </w:pPr>
            <w:r>
              <w:rPr>
                <w:b/>
                <w:bCs/>
              </w:rPr>
              <w:t xml:space="preserve">RTWSLSOAMT </w:t>
            </w:r>
            <w:r>
              <w:rPr>
                <w:b/>
                <w:bCs/>
                <w:i/>
                <w:vertAlign w:val="subscript"/>
              </w:rPr>
              <w:t>q, gsc</w:t>
            </w:r>
            <w:r>
              <w:rPr>
                <w:b/>
                <w:bCs/>
              </w:rPr>
              <w:tab/>
              <w:t>=           (-1) * [</w:t>
            </w:r>
            <w:r>
              <w:rPr>
                <w:b/>
                <w:noProof/>
                <w:position w:val="-20"/>
              </w:rPr>
              <w:drawing>
                <wp:inline distT="0" distB="0" distL="0" distR="0" wp14:anchorId="68A2DEBD" wp14:editId="425C4D9E">
                  <wp:extent cx="182880" cy="270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WSOL </w:t>
            </w:r>
            <w:r>
              <w:rPr>
                <w:b/>
                <w:bCs/>
                <w:i/>
                <w:vertAlign w:val="subscript"/>
              </w:rPr>
              <w:t>q, gsc, b</w:t>
            </w:r>
            <w:r>
              <w:rPr>
                <w:b/>
                <w:bCs/>
              </w:rPr>
              <w:t>)]</w:t>
            </w:r>
          </w:p>
          <w:p w14:paraId="262FC255" w14:textId="0D735B64" w:rsidR="00EC6A86" w:rsidRDefault="00EC6A86" w:rsidP="00EC6A86">
            <w:pPr>
              <w:tabs>
                <w:tab w:val="left" w:pos="2250"/>
                <w:tab w:val="left" w:pos="3150"/>
                <w:tab w:val="left" w:pos="3960"/>
              </w:tabs>
              <w:spacing w:after="240"/>
              <w:ind w:left="3960" w:hanging="3240"/>
              <w:rPr>
                <w:b/>
                <w:bCs/>
              </w:rPr>
            </w:pPr>
            <w:r>
              <w:rPr>
                <w:b/>
                <w:bCs/>
              </w:rPr>
              <w:t xml:space="preserve">RTNWSLSOAMT </w:t>
            </w:r>
            <w:r>
              <w:rPr>
                <w:b/>
                <w:bCs/>
                <w:i/>
                <w:vertAlign w:val="subscript"/>
              </w:rPr>
              <w:t>q, gsc</w:t>
            </w:r>
            <w:r>
              <w:rPr>
                <w:b/>
                <w:bCs/>
                <w:vertAlign w:val="subscript"/>
              </w:rPr>
              <w:t xml:space="preserve">  </w:t>
            </w:r>
            <w:r>
              <w:rPr>
                <w:b/>
                <w:bCs/>
              </w:rPr>
              <w:t>=          (-1) * [</w:t>
            </w:r>
            <w:r>
              <w:rPr>
                <w:b/>
                <w:noProof/>
                <w:position w:val="-20"/>
              </w:rPr>
              <w:drawing>
                <wp:inline distT="0" distB="0" distL="0" distR="0" wp14:anchorId="4B47F3D8" wp14:editId="55BE8CBC">
                  <wp:extent cx="182880"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NWSOL </w:t>
            </w:r>
            <w:r>
              <w:rPr>
                <w:b/>
                <w:bCs/>
                <w:i/>
                <w:vertAlign w:val="subscript"/>
              </w:rPr>
              <w:t>q, gsc, b</w:t>
            </w:r>
            <w:r>
              <w:rPr>
                <w:b/>
                <w:bCs/>
              </w:rPr>
              <w:t>)]</w:t>
            </w:r>
          </w:p>
          <w:p w14:paraId="7201599D" w14:textId="7D5DFBAA" w:rsidR="009058F4" w:rsidRPr="00EC6A86" w:rsidRDefault="00EC6A86" w:rsidP="00EC6A86">
            <w:pPr>
              <w:widowControl w:val="0"/>
              <w:spacing w:after="240"/>
              <w:ind w:left="720" w:hanging="720"/>
              <w:rPr>
                <w:iCs/>
              </w:rPr>
            </w:pPr>
            <w:r w:rsidRPr="00EC6A86">
              <w:rPr>
                <w:rStyle w:val="BodyTextChar"/>
                <w:bCs/>
                <w:iCs/>
              </w:rPr>
              <w:lastRenderedPageBreak/>
              <w:t>(5)</w:t>
            </w:r>
            <w:r>
              <w:t xml:space="preserve"> </w:t>
            </w:r>
            <w:r>
              <w:tab/>
              <w:t>T</w:t>
            </w:r>
            <w:r w:rsidR="009058F4" w:rsidRPr="00EC6A86">
              <w:t>he</w:t>
            </w:r>
            <w:r w:rsidR="009058F4" w:rsidRPr="00EC6A86">
              <w:rPr>
                <w:rStyle w:val="BodyTextChar"/>
              </w:rPr>
              <w:t xml:space="preserve"> price for the SOTG</w:t>
            </w:r>
            <w:r>
              <w:rPr>
                <w:rStyle w:val="BodyTextChar"/>
              </w:rPr>
              <w:t>,</w:t>
            </w:r>
            <w:r w:rsidR="009058F4" w:rsidRPr="00EC6A86">
              <w:rPr>
                <w:rStyle w:val="BodyTextChar"/>
              </w:rPr>
              <w:t xml:space="preserve"> SODG</w:t>
            </w:r>
            <w:r>
              <w:rPr>
                <w:bCs/>
              </w:rPr>
              <w:t>, SODESS, or SOTESS</w:t>
            </w:r>
            <w:r w:rsidR="009058F4" w:rsidRPr="00EC6A86">
              <w:rPr>
                <w:rStyle w:val="BodyTextChar"/>
              </w:rPr>
              <w:t xml:space="preserve"> is determined as follows:</w:t>
            </w:r>
          </w:p>
          <w:p w14:paraId="38D7D293" w14:textId="198CB207" w:rsidR="009058F4" w:rsidRPr="002A49E2" w:rsidRDefault="009058F4" w:rsidP="009058F4">
            <w:pPr>
              <w:pStyle w:val="FormulaBold"/>
            </w:pPr>
            <w:r w:rsidRPr="002A49E2">
              <w:t>RT</w:t>
            </w:r>
            <w:r>
              <w:t>ESOPR</w:t>
            </w:r>
            <w:r w:rsidRPr="00874CDD">
              <w:rPr>
                <w:i/>
                <w:iCs/>
                <w:vertAlign w:val="subscript"/>
              </w:rPr>
              <w:t xml:space="preserve"> </w:t>
            </w:r>
            <w:r>
              <w:rPr>
                <w:i/>
                <w:iCs/>
                <w:vertAlign w:val="subscript"/>
              </w:rPr>
              <w:t>b</w:t>
            </w:r>
            <w:r w:rsidRPr="00874CDD">
              <w:t xml:space="preserve"> </w:t>
            </w:r>
            <w:r w:rsidRPr="00874CDD">
              <w:tab/>
              <w:t>=</w:t>
            </w:r>
            <w:r w:rsidRPr="00874CDD">
              <w:tab/>
              <w:t xml:space="preserve">Max [-$251, </w:t>
            </w:r>
            <w:r w:rsidRPr="00193B05">
              <w:rPr>
                <w:position w:val="-22"/>
              </w:rPr>
              <w:object w:dxaOrig="225" w:dyaOrig="465" w14:anchorId="26CF221F">
                <v:shape id="_x0000_i1174" type="#_x0000_t75" style="width:12pt;height:30pt" o:ole="">
                  <v:imagedata r:id="rId192" o:title=""/>
                </v:shape>
                <o:OLEObject Type="Embed" ProgID="Equation.3" ShapeID="_x0000_i1174" DrawAspect="Content" ObjectID="_1804653659" r:id="rId202"/>
              </w:object>
            </w:r>
            <w:r w:rsidRPr="00E27BDE">
              <w:t>((SDWF</w:t>
            </w:r>
            <w:r w:rsidRPr="00E27BDE">
              <w:rPr>
                <w:i/>
                <w:iCs/>
                <w:vertAlign w:val="subscript"/>
              </w:rPr>
              <w:t xml:space="preserve"> y </w:t>
            </w:r>
            <w:r w:rsidRPr="00E27BDE">
              <w:t xml:space="preserve">* RTLMP </w:t>
            </w:r>
            <w:r>
              <w:rPr>
                <w:i/>
                <w:iCs/>
                <w:vertAlign w:val="subscript"/>
              </w:rPr>
              <w:t>b</w:t>
            </w:r>
            <w:r w:rsidRPr="00E27BDE">
              <w:rPr>
                <w:i/>
                <w:iCs/>
                <w:vertAlign w:val="subscript"/>
              </w:rPr>
              <w:t>, y</w:t>
            </w:r>
            <w:r w:rsidRPr="00E27BDE">
              <w:t>) + RTRDP)]</w:t>
            </w:r>
          </w:p>
          <w:p w14:paraId="4AB612AA" w14:textId="77777777" w:rsidR="009058F4" w:rsidRPr="000275BF" w:rsidRDefault="009058F4" w:rsidP="009058F4">
            <w:pPr>
              <w:pStyle w:val="Char3"/>
              <w:widowControl w:val="0"/>
              <w:spacing w:after="240"/>
              <w:ind w:firstLine="720"/>
              <w:rPr>
                <w:szCs w:val="24"/>
              </w:rPr>
            </w:pPr>
            <w:r w:rsidRPr="000275BF">
              <w:rPr>
                <w:rFonts w:ascii="Times New Roman" w:hAnsi="Times New Roman"/>
                <w:sz w:val="24"/>
                <w:szCs w:val="24"/>
              </w:rPr>
              <w:t>Where:</w:t>
            </w:r>
          </w:p>
          <w:p w14:paraId="2BD39A6B" w14:textId="38D53761" w:rsidR="009058F4" w:rsidRPr="00C659E1" w:rsidRDefault="009058F4" w:rsidP="00EC6A86">
            <w:pPr>
              <w:spacing w:after="240"/>
              <w:ind w:left="720"/>
            </w:pPr>
            <w:r w:rsidRPr="00C659E1">
              <w:tab/>
            </w:r>
            <w:r w:rsidRPr="00193B05">
              <w:t>RTRDP</w:t>
            </w:r>
            <w:r w:rsidRPr="00193B05">
              <w:tab/>
              <w:t>=</w:t>
            </w:r>
            <w:r>
              <w:tab/>
            </w:r>
            <w:r w:rsidRPr="00193B05">
              <w:rPr>
                <w:position w:val="-22"/>
              </w:rPr>
              <w:object w:dxaOrig="225" w:dyaOrig="465" w14:anchorId="48F3AF4B">
                <v:shape id="_x0000_i1175" type="#_x0000_t75" style="width:12pt;height:30pt" o:ole="">
                  <v:imagedata r:id="rId192" o:title=""/>
                </v:shape>
                <o:OLEObject Type="Embed" ProgID="Equation.3" ShapeID="_x0000_i1175" DrawAspect="Content" ObjectID="_1804653660" r:id="rId203"/>
              </w:object>
            </w:r>
            <w:r>
              <w:t>(SDWF</w:t>
            </w:r>
            <w:r w:rsidRPr="00193B05">
              <w:rPr>
                <w:i/>
                <w:iCs/>
                <w:vertAlign w:val="subscript"/>
              </w:rPr>
              <w:t xml:space="preserve"> y </w:t>
            </w:r>
            <w:r w:rsidRPr="00193B05">
              <w:t>* RTRDPA</w:t>
            </w:r>
            <w:r w:rsidRPr="00193B05">
              <w:rPr>
                <w:i/>
                <w:iCs/>
                <w:vertAlign w:val="subscript"/>
              </w:rPr>
              <w:t xml:space="preserve"> y</w:t>
            </w:r>
            <w:r w:rsidRPr="00193B05">
              <w:t>)</w:t>
            </w:r>
          </w:p>
          <w:p w14:paraId="6FD7C14D" w14:textId="77777777" w:rsidR="009058F4" w:rsidRPr="00AB7A55" w:rsidRDefault="009058F4" w:rsidP="009058F4">
            <w:pPr>
              <w:pStyle w:val="formula0"/>
              <w:widowControl w:val="0"/>
              <w:spacing w:after="240"/>
              <w:ind w:firstLine="0"/>
              <w:rPr>
                <w:lang w:val="es-ES"/>
              </w:rPr>
            </w:pPr>
            <w:r>
              <w:tab/>
              <w:t>SD</w:t>
            </w:r>
            <w:r w:rsidRPr="00C659E1">
              <w:t xml:space="preserve">WF </w:t>
            </w:r>
            <w:r w:rsidRPr="00C659E1">
              <w:rPr>
                <w:i/>
                <w:vertAlign w:val="subscript"/>
              </w:rPr>
              <w:t>y</w:t>
            </w:r>
            <w:r w:rsidRPr="00C659E1">
              <w:rPr>
                <w:i/>
                <w:vertAlign w:val="subscript"/>
              </w:rPr>
              <w:tab/>
            </w:r>
            <w:r w:rsidRPr="00C659E1">
              <w:t>=</w:t>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798B22D">
                <v:shape id="_x0000_i1176" type="#_x0000_t75" style="width:12pt;height:30pt" o:ole="">
                  <v:imagedata r:id="rId192" o:title=""/>
                </v:shape>
                <o:OLEObject Type="Embed" ProgID="Equation.3" ShapeID="_x0000_i1176" DrawAspect="Content" ObjectID="_1804653661" r:id="rId204"/>
              </w:object>
            </w:r>
            <w:r w:rsidRPr="00C659E1">
              <w:t xml:space="preserve">TLMP </w:t>
            </w:r>
            <w:r w:rsidRPr="00C659E1">
              <w:rPr>
                <w:i/>
                <w:vertAlign w:val="subscript"/>
              </w:rPr>
              <w:t>y</w:t>
            </w:r>
          </w:p>
          <w:p w14:paraId="431F9D49" w14:textId="77777777" w:rsidR="009058F4" w:rsidRDefault="009058F4" w:rsidP="009058F4">
            <w:pPr>
              <w:widowControl w:val="0"/>
            </w:pPr>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760B74" w14:paraId="75EC28EE" w14:textId="77777777" w:rsidTr="008B123E">
              <w:trPr>
                <w:cantSplit/>
                <w:tblHeader/>
              </w:trPr>
              <w:tc>
                <w:tcPr>
                  <w:tcW w:w="1145" w:type="pct"/>
                </w:tcPr>
                <w:p w14:paraId="2EE1CC2B" w14:textId="77777777" w:rsidR="00760B74" w:rsidRDefault="00760B74" w:rsidP="00760B74">
                  <w:pPr>
                    <w:pStyle w:val="TableHead"/>
                    <w:widowControl w:val="0"/>
                  </w:pPr>
                  <w:r>
                    <w:t>Variable</w:t>
                  </w:r>
                </w:p>
              </w:tc>
              <w:tc>
                <w:tcPr>
                  <w:tcW w:w="675" w:type="pct"/>
                </w:tcPr>
                <w:p w14:paraId="27624E83" w14:textId="77777777" w:rsidR="00760B74" w:rsidRDefault="00760B74" w:rsidP="00760B74">
                  <w:pPr>
                    <w:pStyle w:val="TableHead"/>
                    <w:widowControl w:val="0"/>
                  </w:pPr>
                  <w:r>
                    <w:t>Unit</w:t>
                  </w:r>
                </w:p>
              </w:tc>
              <w:tc>
                <w:tcPr>
                  <w:tcW w:w="3180" w:type="pct"/>
                </w:tcPr>
                <w:p w14:paraId="016AB69C" w14:textId="77777777" w:rsidR="00760B74" w:rsidRDefault="00760B74" w:rsidP="00760B74">
                  <w:pPr>
                    <w:pStyle w:val="TableHead"/>
                    <w:widowControl w:val="0"/>
                  </w:pPr>
                  <w:r>
                    <w:t>Description</w:t>
                  </w:r>
                </w:p>
              </w:tc>
            </w:tr>
            <w:tr w:rsidR="00760B74" w14:paraId="6B740C55" w14:textId="77777777" w:rsidTr="008B123E">
              <w:trPr>
                <w:cantSplit/>
              </w:trPr>
              <w:tc>
                <w:tcPr>
                  <w:tcW w:w="1145" w:type="pct"/>
                </w:tcPr>
                <w:p w14:paraId="7FEB1D62" w14:textId="3AD4E0CB" w:rsidR="00760B74" w:rsidRDefault="00760B74" w:rsidP="00760B74">
                  <w:pPr>
                    <w:pStyle w:val="tablebody0"/>
                    <w:widowControl w:val="0"/>
                  </w:pPr>
                  <w:r>
                    <w:t>RT</w:t>
                  </w:r>
                  <w:r w:rsidR="00EC6A86">
                    <w:t>G</w:t>
                  </w:r>
                  <w:r>
                    <w:t>SOAMT</w:t>
                  </w:r>
                  <w:r>
                    <w:rPr>
                      <w:vertAlign w:val="subscript"/>
                    </w:rPr>
                    <w:t xml:space="preserve"> </w:t>
                  </w:r>
                  <w:r w:rsidRPr="004F3915">
                    <w:rPr>
                      <w:i/>
                      <w:vertAlign w:val="subscript"/>
                    </w:rPr>
                    <w:t>q,</w:t>
                  </w:r>
                  <w:r>
                    <w:rPr>
                      <w:vertAlign w:val="subscript"/>
                    </w:rPr>
                    <w:t xml:space="preserve"> </w:t>
                  </w:r>
                  <w:r w:rsidRPr="00107CC2">
                    <w:rPr>
                      <w:i/>
                      <w:vertAlign w:val="subscript"/>
                    </w:rPr>
                    <w:t>gsc</w:t>
                  </w:r>
                </w:p>
              </w:tc>
              <w:tc>
                <w:tcPr>
                  <w:tcW w:w="675" w:type="pct"/>
                </w:tcPr>
                <w:p w14:paraId="79D325C5" w14:textId="77777777" w:rsidR="00760B74" w:rsidRDefault="00760B74" w:rsidP="00760B74">
                  <w:pPr>
                    <w:pStyle w:val="tablebody0"/>
                    <w:widowControl w:val="0"/>
                  </w:pPr>
                  <w:r>
                    <w:t>$</w:t>
                  </w:r>
                </w:p>
              </w:tc>
              <w:tc>
                <w:tcPr>
                  <w:tcW w:w="3180" w:type="pct"/>
                </w:tcPr>
                <w:p w14:paraId="345CE96F" w14:textId="5632A86D" w:rsidR="00760B74" w:rsidRDefault="00760B74" w:rsidP="00760B74">
                  <w:pPr>
                    <w:pStyle w:val="tablebody0"/>
                    <w:widowControl w:val="0"/>
                    <w:rPr>
                      <w:i/>
                    </w:rPr>
                  </w:pPr>
                  <w:r>
                    <w:rPr>
                      <w:i/>
                    </w:rPr>
                    <w:t xml:space="preserve">Real-Time </w:t>
                  </w:r>
                  <w:r w:rsidR="00EC6A86">
                    <w:rPr>
                      <w:i/>
                    </w:rPr>
                    <w:t>Generation</w:t>
                  </w:r>
                  <w:r>
                    <w:rPr>
                      <w:i/>
                    </w:rPr>
                    <w:t xml:space="preserve"> for SODG</w:t>
                  </w:r>
                  <w:r w:rsidR="00EC6A86">
                    <w:rPr>
                      <w:i/>
                    </w:rPr>
                    <w:t>,</w:t>
                  </w:r>
                  <w:r>
                    <w:rPr>
                      <w:i/>
                    </w:rPr>
                    <w:t xml:space="preserve"> SOTG</w:t>
                  </w:r>
                  <w:r w:rsidR="00EC6A86">
                    <w:rPr>
                      <w:i/>
                    </w:rPr>
                    <w:t>, SODESS, or SOTESS</w:t>
                  </w:r>
                  <w:r>
                    <w:rPr>
                      <w:i/>
                    </w:rPr>
                    <w:t xml:space="preserve"> Site Amount</w:t>
                  </w:r>
                  <w:r w:rsidDel="006C2DC2">
                    <w:rPr>
                      <w:i/>
                    </w:rPr>
                    <w:t xml:space="preserve"> </w:t>
                  </w:r>
                  <w:r>
                    <w:t xml:space="preserve">—The total payment or charge </w:t>
                  </w:r>
                  <w:r w:rsidR="00EC6A86">
                    <w:t xml:space="preserve">for generation </w:t>
                  </w:r>
                  <w:r>
                    <w:t xml:space="preserve">to QSE </w:t>
                  </w:r>
                  <w:r w:rsidRPr="00BA4145">
                    <w:rPr>
                      <w:i/>
                    </w:rPr>
                    <w:t>q</w:t>
                  </w:r>
                  <w:r>
                    <w:t xml:space="preserve"> for SODG</w:t>
                  </w:r>
                  <w:r w:rsidR="00EC6A86">
                    <w:t>,</w:t>
                  </w:r>
                  <w:r>
                    <w:t xml:space="preserve"> SOTG</w:t>
                  </w:r>
                  <w:r w:rsidR="00EC6A86">
                    <w:t>, SODESS, or SOTESS</w:t>
                  </w:r>
                  <w:r>
                    <w:t xml:space="preserve"> site</w:t>
                  </w:r>
                  <w:r w:rsidRPr="00D661BC">
                    <w:rPr>
                      <w:i/>
                    </w:rPr>
                    <w:t xml:space="preserve"> gsc</w:t>
                  </w:r>
                  <w:r>
                    <w:t xml:space="preserve"> for the 15-minute Settlement Interval.</w:t>
                  </w:r>
                </w:p>
              </w:tc>
            </w:tr>
            <w:tr w:rsidR="009032F5" w14:paraId="7EB16B7B" w14:textId="77777777" w:rsidTr="008B123E">
              <w:trPr>
                <w:cantSplit/>
              </w:trPr>
              <w:tc>
                <w:tcPr>
                  <w:tcW w:w="1145" w:type="pct"/>
                </w:tcPr>
                <w:p w14:paraId="14665E48" w14:textId="08C2692C" w:rsidR="009032F5" w:rsidRDefault="009032F5" w:rsidP="009032F5">
                  <w:pPr>
                    <w:pStyle w:val="tablebody0"/>
                    <w:widowControl w:val="0"/>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363BB52B" w14:textId="25496E5D" w:rsidR="009032F5" w:rsidRDefault="009032F5" w:rsidP="009032F5">
                  <w:pPr>
                    <w:pStyle w:val="tablebody0"/>
                    <w:widowControl w:val="0"/>
                  </w:pPr>
                  <w:r>
                    <w:t>$</w:t>
                  </w:r>
                </w:p>
              </w:tc>
              <w:tc>
                <w:tcPr>
                  <w:tcW w:w="3180" w:type="pct"/>
                </w:tcPr>
                <w:p w14:paraId="2BA1F143" w14:textId="0D1BB42A" w:rsidR="009032F5" w:rsidRDefault="009032F5" w:rsidP="009032F5">
                  <w:pPr>
                    <w:pStyle w:val="tablebody0"/>
                    <w:widowControl w:val="0"/>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9032F5" w14:paraId="2F0F78D0" w14:textId="77777777" w:rsidTr="008B123E">
              <w:trPr>
                <w:cantSplit/>
              </w:trPr>
              <w:tc>
                <w:tcPr>
                  <w:tcW w:w="1145" w:type="pct"/>
                </w:tcPr>
                <w:p w14:paraId="55FCA1CD" w14:textId="7ADB6295" w:rsidR="009032F5" w:rsidRDefault="009032F5" w:rsidP="009032F5">
                  <w:pPr>
                    <w:pStyle w:val="tablebody0"/>
                    <w:widowControl w:val="0"/>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57D80B1D" w14:textId="4D61D83A" w:rsidR="009032F5" w:rsidRDefault="009032F5" w:rsidP="009032F5">
                  <w:pPr>
                    <w:pStyle w:val="tablebody0"/>
                    <w:widowControl w:val="0"/>
                  </w:pPr>
                  <w:r>
                    <w:t>$</w:t>
                  </w:r>
                </w:p>
              </w:tc>
              <w:tc>
                <w:tcPr>
                  <w:tcW w:w="3180" w:type="pct"/>
                </w:tcPr>
                <w:p w14:paraId="162F48FB" w14:textId="3DB10AB4" w:rsidR="009032F5" w:rsidRDefault="009032F5" w:rsidP="009032F5">
                  <w:pPr>
                    <w:pStyle w:val="tablebody0"/>
                    <w:widowControl w:val="0"/>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760B74" w14:paraId="0B116769" w14:textId="77777777" w:rsidTr="008B123E">
              <w:trPr>
                <w:cantSplit/>
              </w:trPr>
              <w:tc>
                <w:tcPr>
                  <w:tcW w:w="1145" w:type="pct"/>
                </w:tcPr>
                <w:p w14:paraId="5E09FDE1" w14:textId="70743AF5" w:rsidR="00760B74" w:rsidRDefault="00760B74" w:rsidP="00760B74">
                  <w:pPr>
                    <w:pStyle w:val="tablebody0"/>
                    <w:widowControl w:val="0"/>
                  </w:pPr>
                  <w:r>
                    <w:t xml:space="preserve">RTESOPR </w:t>
                  </w:r>
                  <w:r>
                    <w:rPr>
                      <w:i/>
                      <w:vertAlign w:val="subscript"/>
                    </w:rPr>
                    <w:t>b</w:t>
                  </w:r>
                </w:p>
              </w:tc>
              <w:tc>
                <w:tcPr>
                  <w:tcW w:w="675" w:type="pct"/>
                </w:tcPr>
                <w:p w14:paraId="405D9B3F" w14:textId="77777777" w:rsidR="00760B74" w:rsidRDefault="00760B74" w:rsidP="00760B74">
                  <w:pPr>
                    <w:pStyle w:val="tablebody0"/>
                    <w:widowControl w:val="0"/>
                    <w:rPr>
                      <w:i/>
                    </w:rPr>
                  </w:pPr>
                  <w:r>
                    <w:t>$/MWh</w:t>
                  </w:r>
                </w:p>
              </w:tc>
              <w:tc>
                <w:tcPr>
                  <w:tcW w:w="3180" w:type="pct"/>
                </w:tcPr>
                <w:p w14:paraId="6219990D" w14:textId="397F34C0" w:rsidR="00760B74" w:rsidRDefault="00760B74" w:rsidP="00760B74">
                  <w:pPr>
                    <w:pStyle w:val="tablebody0"/>
                    <w:widowControl w:val="0"/>
                  </w:pPr>
                  <w:r>
                    <w:rPr>
                      <w:i/>
                    </w:rPr>
                    <w:t>Real-Time Price for the Energy Metered for each SODG</w:t>
                  </w:r>
                  <w:r w:rsidR="009032F5">
                    <w:rPr>
                      <w:i/>
                    </w:rPr>
                    <w:t>,</w:t>
                  </w:r>
                  <w:r>
                    <w:rPr>
                      <w:i/>
                    </w:rPr>
                    <w:t xml:space="preserve"> SOTG</w:t>
                  </w:r>
                  <w:r w:rsidR="009032F5">
                    <w:rPr>
                      <w:i/>
                    </w:rPr>
                    <w:t>, SODESS, or SOTESS</w:t>
                  </w:r>
                  <w:r>
                    <w:rPr>
                      <w:i/>
                    </w:rPr>
                    <w:t xml:space="preserve"> Site </w:t>
                  </w:r>
                  <w:r>
                    <w:sym w:font="Symbol" w:char="F0BE"/>
                  </w:r>
                  <w:r>
                    <w:t xml:space="preserve">The Real-Time price at Electrical Bus </w:t>
                  </w:r>
                  <w:r>
                    <w:rPr>
                      <w:i/>
                    </w:rPr>
                    <w:t>b</w:t>
                  </w:r>
                  <w:r>
                    <w:t xml:space="preserve"> for the Settlement Meter for the SODG</w:t>
                  </w:r>
                  <w:r w:rsidR="009032F5">
                    <w:t>,</w:t>
                  </w:r>
                  <w:r>
                    <w:t xml:space="preserve"> SOTG</w:t>
                  </w:r>
                  <w:r w:rsidR="009032F5">
                    <w:t>, SODESS</w:t>
                  </w:r>
                  <w:r w:rsidR="009032F5">
                    <w:rPr>
                      <w:i/>
                    </w:rPr>
                    <w:t xml:space="preserve">, </w:t>
                  </w:r>
                  <w:r w:rsidR="009032F5">
                    <w:t>or SOTESS</w:t>
                  </w:r>
                  <w:r>
                    <w:t xml:space="preserve"> site for the 15-minute Settlement Interval.</w:t>
                  </w:r>
                </w:p>
              </w:tc>
            </w:tr>
            <w:tr w:rsidR="009C2EEB" w14:paraId="09241B62" w14:textId="77777777" w:rsidTr="008B123E">
              <w:trPr>
                <w:cantSplit/>
              </w:trPr>
              <w:tc>
                <w:tcPr>
                  <w:tcW w:w="1145" w:type="pct"/>
                </w:tcPr>
                <w:p w14:paraId="753B75BC" w14:textId="068BDE92" w:rsidR="009C2EEB" w:rsidRDefault="009C2EEB" w:rsidP="009C2EEB">
                  <w:pPr>
                    <w:pStyle w:val="tablebody0"/>
                    <w:widowControl w:val="0"/>
                  </w:pPr>
                  <w:r w:rsidRPr="00DA2165">
                    <w:t>MEBSOGNET</w:t>
                  </w:r>
                  <w:r w:rsidRPr="00DA2165">
                    <w:rPr>
                      <w:i/>
                      <w:vertAlign w:val="subscript"/>
                    </w:rPr>
                    <w:t xml:space="preserve"> q, gsc</w:t>
                  </w:r>
                </w:p>
              </w:tc>
              <w:tc>
                <w:tcPr>
                  <w:tcW w:w="675" w:type="pct"/>
                </w:tcPr>
                <w:p w14:paraId="05209AFF" w14:textId="3EE6374B" w:rsidR="009C2EEB" w:rsidRDefault="009C2EEB" w:rsidP="009C2EEB">
                  <w:pPr>
                    <w:pStyle w:val="tablebody0"/>
                    <w:widowControl w:val="0"/>
                  </w:pPr>
                  <w:r w:rsidRPr="00DA2165">
                    <w:t>MWh</w:t>
                  </w:r>
                </w:p>
              </w:tc>
              <w:tc>
                <w:tcPr>
                  <w:tcW w:w="3180" w:type="pct"/>
                </w:tcPr>
                <w:p w14:paraId="4EE6D91D" w14:textId="7D51955E" w:rsidR="009C2EEB" w:rsidRDefault="009C2EEB" w:rsidP="009C2EEB">
                  <w:pPr>
                    <w:pStyle w:val="tablebody0"/>
                    <w:widowControl w:val="0"/>
                    <w:rPr>
                      <w:i/>
                    </w:rPr>
                  </w:pPr>
                  <w:r w:rsidRPr="00DA2165">
                    <w:rPr>
                      <w:i/>
                    </w:rPr>
                    <w:t>Net Metered energy at gsc for an SODG</w:t>
                  </w:r>
                  <w:r w:rsidR="009032F5">
                    <w:rPr>
                      <w:i/>
                    </w:rPr>
                    <w:t>,</w:t>
                  </w:r>
                  <w:r w:rsidRPr="00DA2165">
                    <w:rPr>
                      <w:i/>
                    </w:rPr>
                    <w:t xml:space="preserve"> SOTG</w:t>
                  </w:r>
                  <w:r w:rsidR="009032F5">
                    <w:rPr>
                      <w:i/>
                    </w:rPr>
                    <w:t>, SODESS or SOTESS</w:t>
                  </w:r>
                  <w:r w:rsidRPr="00DA2165">
                    <w:rPr>
                      <w:i/>
                    </w:rPr>
                    <w:t xml:space="preserve"> Site </w:t>
                  </w:r>
                  <w:r w:rsidRPr="00DA2165">
                    <w:sym w:font="Symbol" w:char="F0BE"/>
                  </w:r>
                  <w:r w:rsidRPr="00DA2165">
                    <w:t>The net sum for all Settlement Meters for SODG</w:t>
                  </w:r>
                  <w:r w:rsidR="009032F5">
                    <w:t>,</w:t>
                  </w:r>
                  <w:r w:rsidRPr="00DA2165">
                    <w:t xml:space="preserve"> SOTG</w:t>
                  </w:r>
                  <w:r w:rsidR="009032F5">
                    <w:t>, SODESS, or SOTESS</w:t>
                  </w:r>
                  <w:r w:rsidRPr="00DA2165">
                    <w:t xml:space="preserve"> site</w:t>
                  </w:r>
                  <w:r w:rsidRPr="00DA2165">
                    <w:rPr>
                      <w:i/>
                    </w:rPr>
                    <w:t xml:space="preserve"> gsc</w:t>
                  </w:r>
                  <w:r w:rsidRPr="00DA2165">
                    <w:t xml:space="preserve"> represented by QSE </w:t>
                  </w:r>
                  <w:r w:rsidRPr="00DA2165">
                    <w:rPr>
                      <w:i/>
                    </w:rPr>
                    <w:t>q</w:t>
                  </w:r>
                  <w:r w:rsidRPr="00DA2165">
                    <w:t>.  A positive value indicates an injection of power to the ERCOT System.</w:t>
                  </w:r>
                </w:p>
              </w:tc>
            </w:tr>
            <w:tr w:rsidR="00760B74" w14:paraId="26C7840B" w14:textId="77777777" w:rsidTr="008B123E">
              <w:trPr>
                <w:cantSplit/>
              </w:trPr>
              <w:tc>
                <w:tcPr>
                  <w:tcW w:w="1145" w:type="pct"/>
                </w:tcPr>
                <w:p w14:paraId="35B8D8E6" w14:textId="35647FE2" w:rsidR="00760B74" w:rsidRDefault="009C2EEB" w:rsidP="009C2EEB">
                  <w:pPr>
                    <w:pStyle w:val="tablebody0"/>
                    <w:widowControl w:val="0"/>
                  </w:pPr>
                  <w:r>
                    <w:t>MEB</w:t>
                  </w:r>
                  <w:r w:rsidR="00760B74">
                    <w:t xml:space="preserve">SOG </w:t>
                  </w:r>
                  <w:r w:rsidR="00760B74" w:rsidRPr="004F3915">
                    <w:rPr>
                      <w:i/>
                      <w:vertAlign w:val="subscript"/>
                    </w:rPr>
                    <w:t>q,</w:t>
                  </w:r>
                  <w:r w:rsidR="00760B74">
                    <w:t xml:space="preserve"> </w:t>
                  </w:r>
                  <w:r w:rsidR="00760B74">
                    <w:rPr>
                      <w:i/>
                      <w:vertAlign w:val="subscript"/>
                    </w:rPr>
                    <w:t>g</w:t>
                  </w:r>
                  <w:r w:rsidR="00760B74" w:rsidRPr="00107CC2">
                    <w:rPr>
                      <w:i/>
                      <w:vertAlign w:val="subscript"/>
                    </w:rPr>
                    <w:t xml:space="preserve">sc, </w:t>
                  </w:r>
                  <w:r w:rsidR="00760B74">
                    <w:rPr>
                      <w:i/>
                      <w:vertAlign w:val="subscript"/>
                    </w:rPr>
                    <w:t>b</w:t>
                  </w:r>
                </w:p>
              </w:tc>
              <w:tc>
                <w:tcPr>
                  <w:tcW w:w="675" w:type="pct"/>
                </w:tcPr>
                <w:p w14:paraId="0F65BA69" w14:textId="77777777" w:rsidR="00760B74" w:rsidRDefault="00760B74" w:rsidP="00760B74">
                  <w:pPr>
                    <w:pStyle w:val="tablebody0"/>
                    <w:widowControl w:val="0"/>
                  </w:pPr>
                  <w:r>
                    <w:t>MWh</w:t>
                  </w:r>
                </w:p>
              </w:tc>
              <w:tc>
                <w:tcPr>
                  <w:tcW w:w="3180" w:type="pct"/>
                </w:tcPr>
                <w:p w14:paraId="4CAD133A" w14:textId="40D790F6" w:rsidR="00760B74" w:rsidRDefault="009C2EEB" w:rsidP="006612C7">
                  <w:pPr>
                    <w:pStyle w:val="tablebody0"/>
                    <w:widowControl w:val="0"/>
                    <w:rPr>
                      <w:i/>
                    </w:rPr>
                  </w:pPr>
                  <w:r w:rsidRPr="00DA2165">
                    <w:rPr>
                      <w:i/>
                    </w:rPr>
                    <w:t>Metered energy at bus</w:t>
                  </w:r>
                  <w:r w:rsidR="00760B74">
                    <w:rPr>
                      <w:i/>
                    </w:rPr>
                    <w:t xml:space="preserve"> for an SODG</w:t>
                  </w:r>
                  <w:r w:rsidR="009032F5">
                    <w:rPr>
                      <w:i/>
                    </w:rPr>
                    <w:t>,</w:t>
                  </w:r>
                  <w:r w:rsidR="00760B74">
                    <w:rPr>
                      <w:i/>
                    </w:rPr>
                    <w:t xml:space="preserve"> SOTG</w:t>
                  </w:r>
                  <w:r w:rsidR="009032F5">
                    <w:rPr>
                      <w:i/>
                    </w:rPr>
                    <w:t>, SODESS, or SOTESS</w:t>
                  </w:r>
                  <w:r w:rsidR="00760B74">
                    <w:rPr>
                      <w:i/>
                    </w:rPr>
                    <w:t xml:space="preserve"> Site </w:t>
                  </w:r>
                  <w:r w:rsidR="00760B74">
                    <w:sym w:font="Symbol" w:char="F0BE"/>
                  </w:r>
                  <w:r w:rsidR="00760B74">
                    <w:t xml:space="preserve">The </w:t>
                  </w:r>
                  <w:r>
                    <w:t>metered energy</w:t>
                  </w:r>
                  <w:r w:rsidR="00760B74">
                    <w:t xml:space="preserve"> by the Settlement Meter(s) at Electrical Bus </w:t>
                  </w:r>
                  <w:r w:rsidR="00760B74">
                    <w:rPr>
                      <w:i/>
                    </w:rPr>
                    <w:t>b</w:t>
                  </w:r>
                  <w:r w:rsidR="00760B74">
                    <w:t xml:space="preserve"> for SODG</w:t>
                  </w:r>
                  <w:r w:rsidR="009032F5">
                    <w:t>,</w:t>
                  </w:r>
                  <w:r w:rsidR="00760B74">
                    <w:t xml:space="preserve"> SOTG</w:t>
                  </w:r>
                  <w:r w:rsidR="00851766">
                    <w:t>, SODESS</w:t>
                  </w:r>
                  <w:r w:rsidR="00851766">
                    <w:rPr>
                      <w:i/>
                    </w:rPr>
                    <w:t xml:space="preserve">, </w:t>
                  </w:r>
                  <w:r w:rsidR="00851766">
                    <w:t>or</w:t>
                  </w:r>
                  <w:r w:rsidR="00851766">
                    <w:rPr>
                      <w:i/>
                    </w:rPr>
                    <w:t xml:space="preserve"> </w:t>
                  </w:r>
                  <w:r w:rsidR="00851766">
                    <w:t>SOTESS</w:t>
                  </w:r>
                  <w:r w:rsidR="00760B74">
                    <w:t xml:space="preserve"> site</w:t>
                  </w:r>
                  <w:r w:rsidR="00760B74" w:rsidRPr="00D661BC">
                    <w:rPr>
                      <w:i/>
                    </w:rPr>
                    <w:t xml:space="preserve"> gsc</w:t>
                  </w:r>
                  <w:r w:rsidR="00760B74">
                    <w:t xml:space="preserve"> represented by QSE </w:t>
                  </w:r>
                  <w:r w:rsidR="00760B74" w:rsidRPr="004F3915">
                    <w:rPr>
                      <w:i/>
                    </w:rPr>
                    <w:t>q</w:t>
                  </w:r>
                  <w:r w:rsidR="00851766">
                    <w:t xml:space="preserve"> for the 15-minute Settlement Interval</w:t>
                  </w:r>
                  <w:r w:rsidR="00760B74">
                    <w:t>.</w:t>
                  </w:r>
                  <w:r>
                    <w:t xml:space="preserve">  </w:t>
                  </w:r>
                  <w:r w:rsidRPr="00DA2165">
                    <w:t>A positive value represents energy produced, and a negative value represents energy consumed.</w:t>
                  </w:r>
                </w:p>
              </w:tc>
            </w:tr>
            <w:tr w:rsidR="00851766" w14:paraId="275E213C" w14:textId="77777777" w:rsidTr="008B123E">
              <w:trPr>
                <w:cantSplit/>
              </w:trPr>
              <w:tc>
                <w:tcPr>
                  <w:tcW w:w="1145" w:type="pct"/>
                </w:tcPr>
                <w:p w14:paraId="6AE6D68A" w14:textId="541D13D1" w:rsidR="00851766" w:rsidRDefault="00851766" w:rsidP="00851766">
                  <w:pPr>
                    <w:pStyle w:val="tablebody0"/>
                    <w:widowControl w:val="0"/>
                  </w:pPr>
                  <w:r>
                    <w:t xml:space="preserve">WSOL </w:t>
                  </w:r>
                  <w:r>
                    <w:rPr>
                      <w:i/>
                      <w:vertAlign w:val="subscript"/>
                    </w:rPr>
                    <w:t>q, gsc, b</w:t>
                  </w:r>
                  <w:r>
                    <w:t xml:space="preserve">  </w:t>
                  </w:r>
                </w:p>
              </w:tc>
              <w:tc>
                <w:tcPr>
                  <w:tcW w:w="675" w:type="pct"/>
                </w:tcPr>
                <w:p w14:paraId="34C14AB1" w14:textId="7A8E17C8" w:rsidR="00851766" w:rsidRDefault="00851766" w:rsidP="00851766">
                  <w:pPr>
                    <w:pStyle w:val="tablebody0"/>
                    <w:widowControl w:val="0"/>
                  </w:pPr>
                  <w:r>
                    <w:t>MWh</w:t>
                  </w:r>
                </w:p>
              </w:tc>
              <w:tc>
                <w:tcPr>
                  <w:tcW w:w="3180" w:type="pct"/>
                </w:tcPr>
                <w:p w14:paraId="765B4B21" w14:textId="435DDCE0" w:rsidR="00851766" w:rsidRPr="00DA2165" w:rsidRDefault="00851766" w:rsidP="00851766">
                  <w:pPr>
                    <w:pStyle w:val="tablebody0"/>
                    <w:widowControl w:val="0"/>
                    <w:rPr>
                      <w:i/>
                    </w:rPr>
                  </w:pPr>
                  <w:r>
                    <w:rPr>
                      <w:i/>
                    </w:rPr>
                    <w:t>WSL for an SODESS or SOTESS Site</w:t>
                  </w:r>
                  <w:r w:rsidR="006465B2" w:rsidRPr="00DA2165">
                    <w:sym w:font="Symbol" w:char="F0BE"/>
                  </w:r>
                  <w:r>
                    <w:t xml:space="preserve">The WSL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851766" w14:paraId="322D60B6" w14:textId="77777777" w:rsidTr="008B123E">
              <w:trPr>
                <w:cantSplit/>
              </w:trPr>
              <w:tc>
                <w:tcPr>
                  <w:tcW w:w="1145" w:type="pct"/>
                </w:tcPr>
                <w:p w14:paraId="677EEF37" w14:textId="23E5B384" w:rsidR="00851766" w:rsidRDefault="00851766" w:rsidP="00851766">
                  <w:pPr>
                    <w:pStyle w:val="tablebody0"/>
                    <w:widowControl w:val="0"/>
                  </w:pPr>
                  <w:r>
                    <w:t xml:space="preserve">NWSOL </w:t>
                  </w:r>
                  <w:r>
                    <w:rPr>
                      <w:i/>
                      <w:vertAlign w:val="subscript"/>
                    </w:rPr>
                    <w:t>q, gsc, b</w:t>
                  </w:r>
                  <w:r>
                    <w:t xml:space="preserve">  </w:t>
                  </w:r>
                </w:p>
              </w:tc>
              <w:tc>
                <w:tcPr>
                  <w:tcW w:w="675" w:type="pct"/>
                </w:tcPr>
                <w:p w14:paraId="0BAC09B2" w14:textId="3E2496E2" w:rsidR="00851766" w:rsidRDefault="00851766" w:rsidP="00851766">
                  <w:pPr>
                    <w:pStyle w:val="tablebody0"/>
                    <w:widowControl w:val="0"/>
                  </w:pPr>
                  <w:r>
                    <w:t>MWh</w:t>
                  </w:r>
                </w:p>
              </w:tc>
              <w:tc>
                <w:tcPr>
                  <w:tcW w:w="3180" w:type="pct"/>
                </w:tcPr>
                <w:p w14:paraId="61FC96AD" w14:textId="47CFBB2C" w:rsidR="00851766" w:rsidRPr="00DA2165" w:rsidRDefault="00851766" w:rsidP="00851766">
                  <w:pPr>
                    <w:pStyle w:val="tablebody0"/>
                    <w:widowControl w:val="0"/>
                    <w:rPr>
                      <w:i/>
                    </w:rPr>
                  </w:pPr>
                  <w:r>
                    <w:rPr>
                      <w:i/>
                    </w:rPr>
                    <w:t>Non-WSL Settlement Only Charging Load for an SODESS or SOTESS Site</w:t>
                  </w:r>
                  <w:r w:rsidR="006465B2" w:rsidRPr="00DA2165">
                    <w:sym w:font="Symbol" w:char="F0BE"/>
                  </w:r>
                  <w:r>
                    <w:t xml:space="preserve">The Non-WSL Settlement Only Charging Load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760B74" w14:paraId="1D16B6B8" w14:textId="77777777" w:rsidTr="008B123E">
              <w:trPr>
                <w:cantSplit/>
              </w:trPr>
              <w:tc>
                <w:tcPr>
                  <w:tcW w:w="1145" w:type="pct"/>
                </w:tcPr>
                <w:p w14:paraId="23AD967F" w14:textId="77777777" w:rsidR="00760B74" w:rsidRPr="0080555B" w:rsidRDefault="00760B74" w:rsidP="00760B74">
                  <w:pPr>
                    <w:pStyle w:val="tablebody0"/>
                    <w:widowControl w:val="0"/>
                  </w:pPr>
                  <w:r>
                    <w:lastRenderedPageBreak/>
                    <w:t>RTRDP</w:t>
                  </w:r>
                </w:p>
              </w:tc>
              <w:tc>
                <w:tcPr>
                  <w:tcW w:w="675" w:type="pct"/>
                </w:tcPr>
                <w:p w14:paraId="557351E3" w14:textId="77777777" w:rsidR="00760B74" w:rsidRPr="0080555B" w:rsidRDefault="00760B74" w:rsidP="00760B74">
                  <w:pPr>
                    <w:pStyle w:val="tablebody0"/>
                    <w:widowControl w:val="0"/>
                  </w:pPr>
                  <w:r>
                    <w:t>$/MWh</w:t>
                  </w:r>
                </w:p>
              </w:tc>
              <w:tc>
                <w:tcPr>
                  <w:tcW w:w="3180" w:type="pct"/>
                </w:tcPr>
                <w:p w14:paraId="441963CE" w14:textId="527F6F0B" w:rsidR="00760B74" w:rsidRPr="0080555B" w:rsidRDefault="00760B74" w:rsidP="001A78EC">
                  <w:pPr>
                    <w:pStyle w:val="tablebody0"/>
                    <w:widowControl w:val="0"/>
                    <w:rPr>
                      <w:i/>
                    </w:rPr>
                  </w:pPr>
                  <w:r>
                    <w:rPr>
                      <w:i/>
                    </w:rPr>
                    <w:t>Real-Time Reliability Deployment Price</w:t>
                  </w:r>
                  <w:r w:rsidR="001A78EC">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Reliability Deployment Price Adder</w:t>
                  </w:r>
                  <w:r w:rsidR="001A78EC">
                    <w:rPr>
                      <w:bCs/>
                    </w:rPr>
                    <w:t xml:space="preserve"> for Energy</w:t>
                  </w:r>
                  <w:r w:rsidRPr="0080555B">
                    <w:t>.</w:t>
                  </w:r>
                </w:p>
              </w:tc>
            </w:tr>
            <w:tr w:rsidR="00760B74" w14:paraId="73B76A9E" w14:textId="77777777" w:rsidTr="008B123E">
              <w:trPr>
                <w:cantSplit/>
              </w:trPr>
              <w:tc>
                <w:tcPr>
                  <w:tcW w:w="1145" w:type="pct"/>
                </w:tcPr>
                <w:p w14:paraId="0B6C855E" w14:textId="7DD3C8A4" w:rsidR="00760B74" w:rsidRPr="0080555B" w:rsidRDefault="00760B74" w:rsidP="00760B74">
                  <w:pPr>
                    <w:pStyle w:val="tablebody0"/>
                    <w:widowControl w:val="0"/>
                  </w:pPr>
                  <w:r>
                    <w:t>RTRDPA</w:t>
                  </w:r>
                  <w:r w:rsidRPr="00CE4C14">
                    <w:rPr>
                      <w:vertAlign w:val="subscript"/>
                    </w:rPr>
                    <w:t xml:space="preserve"> </w:t>
                  </w:r>
                  <w:r w:rsidRPr="00107CC2">
                    <w:rPr>
                      <w:i/>
                      <w:vertAlign w:val="subscript"/>
                    </w:rPr>
                    <w:t>y</w:t>
                  </w:r>
                </w:p>
              </w:tc>
              <w:tc>
                <w:tcPr>
                  <w:tcW w:w="675" w:type="pct"/>
                </w:tcPr>
                <w:p w14:paraId="5D45166D" w14:textId="77777777" w:rsidR="00760B74" w:rsidRPr="0080555B" w:rsidRDefault="00760B74" w:rsidP="00760B74">
                  <w:pPr>
                    <w:pStyle w:val="tablebody0"/>
                    <w:widowControl w:val="0"/>
                  </w:pPr>
                  <w:r>
                    <w:t>$/MWh</w:t>
                  </w:r>
                </w:p>
              </w:tc>
              <w:tc>
                <w:tcPr>
                  <w:tcW w:w="3180" w:type="pct"/>
                </w:tcPr>
                <w:p w14:paraId="3E7A450A" w14:textId="55E4ADF2" w:rsidR="00760B74" w:rsidRPr="0080555B" w:rsidRDefault="00760B74" w:rsidP="001A78EC">
                  <w:pPr>
                    <w:pStyle w:val="tablebody0"/>
                    <w:widowControl w:val="0"/>
                    <w:rPr>
                      <w:i/>
                    </w:rPr>
                  </w:pPr>
                  <w:r>
                    <w:rPr>
                      <w:i/>
                    </w:rPr>
                    <w:t>Real-Time Reliability Deployment Price Adder</w:t>
                  </w:r>
                  <w:r w:rsidR="001A78EC">
                    <w:rPr>
                      <w:i/>
                    </w:rPr>
                    <w:t xml:space="preserve"> for Energy</w:t>
                  </w:r>
                  <w:r>
                    <w:rPr>
                      <w:i/>
                    </w:rPr>
                    <w:t xml:space="preserve"> </w:t>
                  </w:r>
                  <w:r w:rsidRPr="00CE4C14">
                    <w:sym w:font="Symbol" w:char="F0BE"/>
                  </w:r>
                  <w:r>
                    <w:t xml:space="preserve">The Real-Time </w:t>
                  </w:r>
                  <w:r w:rsidR="001A78EC">
                    <w:t>p</w:t>
                  </w:r>
                  <w:r>
                    <w:t xml:space="preserve">rice </w:t>
                  </w:r>
                  <w:r w:rsidR="001A78EC">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760B74" w14:paraId="55CA9938" w14:textId="77777777" w:rsidTr="008B123E">
              <w:trPr>
                <w:cantSplit/>
              </w:trPr>
              <w:tc>
                <w:tcPr>
                  <w:tcW w:w="1145" w:type="pct"/>
                </w:tcPr>
                <w:p w14:paraId="5E82355E" w14:textId="77777777" w:rsidR="00760B74" w:rsidRDefault="00760B74" w:rsidP="00760B74">
                  <w:pPr>
                    <w:pStyle w:val="tablebody0"/>
                    <w:widowControl w:val="0"/>
                  </w:pPr>
                  <w:r>
                    <w:t>SD</w:t>
                  </w:r>
                  <w:r w:rsidRPr="0080555B">
                    <w:t>WF</w:t>
                  </w:r>
                  <w:r w:rsidRPr="00107CC2">
                    <w:rPr>
                      <w:i/>
                    </w:rPr>
                    <w:t xml:space="preserve"> </w:t>
                  </w:r>
                  <w:r w:rsidRPr="00107CC2">
                    <w:rPr>
                      <w:i/>
                      <w:vertAlign w:val="subscript"/>
                    </w:rPr>
                    <w:t>y</w:t>
                  </w:r>
                </w:p>
              </w:tc>
              <w:tc>
                <w:tcPr>
                  <w:tcW w:w="675" w:type="pct"/>
                </w:tcPr>
                <w:p w14:paraId="44464EA9" w14:textId="77777777" w:rsidR="00760B74" w:rsidRDefault="00C5632E" w:rsidP="00760B74">
                  <w:pPr>
                    <w:pStyle w:val="tablebody0"/>
                    <w:widowControl w:val="0"/>
                  </w:pPr>
                  <w:r w:rsidRPr="0080555B">
                    <w:t>N</w:t>
                  </w:r>
                  <w:r w:rsidR="00760B74" w:rsidRPr="0080555B">
                    <w:t>one</w:t>
                  </w:r>
                </w:p>
              </w:tc>
              <w:tc>
                <w:tcPr>
                  <w:tcW w:w="3180" w:type="pct"/>
                </w:tcPr>
                <w:p w14:paraId="5844785E" w14:textId="28E10BA1" w:rsidR="00760B74" w:rsidRDefault="00760B74" w:rsidP="00760B74">
                  <w:pPr>
                    <w:pStyle w:val="tablebody0"/>
                    <w:widowControl w:val="0"/>
                    <w:rPr>
                      <w:i/>
                    </w:rPr>
                  </w:pPr>
                  <w:r>
                    <w:rPr>
                      <w:i/>
                    </w:rPr>
                    <w:t>SCED Duration</w:t>
                  </w:r>
                  <w:r w:rsidRPr="0080555B">
                    <w:rPr>
                      <w:i/>
                    </w:rPr>
                    <w:t xml:space="preserve"> Weighting Factor per interval</w:t>
                  </w:r>
                  <w:r w:rsidR="00E87687">
                    <w:rPr>
                      <w:i/>
                    </w:rPr>
                    <w:t xml:space="preserve"> </w:t>
                  </w:r>
                  <w:r w:rsidRPr="0080555B">
                    <w:sym w:font="Symbol" w:char="F0BE"/>
                  </w:r>
                  <w:r w:rsidRPr="0080555B">
                    <w:t>The weight used in th</w:t>
                  </w:r>
                  <w:r>
                    <w:t>e SODG</w:t>
                  </w:r>
                  <w:r w:rsidR="00851766">
                    <w:t>,</w:t>
                  </w:r>
                  <w:r>
                    <w:t xml:space="preserve"> SOTG</w:t>
                  </w:r>
                  <w:r w:rsidR="00851766">
                    <w:t>, SODESS, or SOTESS</w:t>
                  </w:r>
                  <w:r w:rsidRPr="0080555B">
                    <w:t xml:space="preserve"> </w:t>
                  </w:r>
                  <w:r>
                    <w:t>p</w:t>
                  </w:r>
                  <w:r w:rsidRPr="0080555B">
                    <w:t xml:space="preserve">rice calculation for the portion of the SCED interval </w:t>
                  </w:r>
                  <w:r w:rsidRPr="0080555B">
                    <w:rPr>
                      <w:i/>
                    </w:rPr>
                    <w:t>y</w:t>
                  </w:r>
                  <w:r w:rsidRPr="0080555B">
                    <w:t xml:space="preserve"> within the Settlement Interval.</w:t>
                  </w:r>
                </w:p>
              </w:tc>
            </w:tr>
            <w:tr w:rsidR="00760B74" w14:paraId="52059E1E" w14:textId="77777777" w:rsidTr="008B123E">
              <w:trPr>
                <w:cantSplit/>
              </w:trPr>
              <w:tc>
                <w:tcPr>
                  <w:tcW w:w="1145" w:type="pct"/>
                </w:tcPr>
                <w:p w14:paraId="5864E8D6" w14:textId="77777777" w:rsidR="00760B74" w:rsidRDefault="00760B74" w:rsidP="00760B74">
                  <w:pPr>
                    <w:pStyle w:val="tablebody0"/>
                    <w:widowControl w:val="0"/>
                  </w:pPr>
                  <w:r>
                    <w:t xml:space="preserve">RTLMP </w:t>
                  </w:r>
                  <w:r w:rsidRPr="00107CC2">
                    <w:rPr>
                      <w:i/>
                      <w:vertAlign w:val="subscript"/>
                    </w:rPr>
                    <w:t>b, y</w:t>
                  </w:r>
                </w:p>
              </w:tc>
              <w:tc>
                <w:tcPr>
                  <w:tcW w:w="675" w:type="pct"/>
                </w:tcPr>
                <w:p w14:paraId="32453E5F" w14:textId="77777777" w:rsidR="00760B74" w:rsidRDefault="00760B74" w:rsidP="00760B74">
                  <w:pPr>
                    <w:pStyle w:val="tablebody0"/>
                    <w:widowControl w:val="0"/>
                  </w:pPr>
                  <w:r>
                    <w:t>$/MWh</w:t>
                  </w:r>
                </w:p>
              </w:tc>
              <w:tc>
                <w:tcPr>
                  <w:tcW w:w="3180" w:type="pct"/>
                </w:tcPr>
                <w:p w14:paraId="25769A2E" w14:textId="3ACC11EA" w:rsidR="00760B74" w:rsidRDefault="00760B74" w:rsidP="00760B74">
                  <w:pPr>
                    <w:pStyle w:val="tablebody0"/>
                    <w:widowControl w:val="0"/>
                  </w:pPr>
                  <w:r>
                    <w:rPr>
                      <w:i/>
                    </w:rPr>
                    <w:t>Real-Time Locational Marginal Price at bus per interval</w:t>
                  </w:r>
                  <w:r w:rsidR="00E87687">
                    <w:rPr>
                      <w:i/>
                    </w:rPr>
                    <w:t xml:space="preserve"> </w:t>
                  </w:r>
                  <w:r>
                    <w:sym w:font="Symbol" w:char="F0BE"/>
                  </w:r>
                  <w:r>
                    <w:t xml:space="preserve">The Real-Time </w:t>
                  </w:r>
                  <w:r w:rsidRPr="00C5632E">
                    <w:t>LMP</w:t>
                  </w:r>
                  <w:r>
                    <w:t xml:space="preserve"> at Electrical Bus </w:t>
                  </w:r>
                  <w:r>
                    <w:rPr>
                      <w:i/>
                    </w:rPr>
                    <w:t>b</w:t>
                  </w:r>
                  <w:r>
                    <w:t xml:space="preserve">, for the SCED interval </w:t>
                  </w:r>
                  <w:r>
                    <w:rPr>
                      <w:i/>
                    </w:rPr>
                    <w:t>y</w:t>
                  </w:r>
                  <w:r>
                    <w:t>.</w:t>
                  </w:r>
                </w:p>
              </w:tc>
            </w:tr>
            <w:tr w:rsidR="00760B74" w14:paraId="12933831" w14:textId="77777777" w:rsidTr="008B123E">
              <w:trPr>
                <w:cantSplit/>
              </w:trPr>
              <w:tc>
                <w:tcPr>
                  <w:tcW w:w="1145" w:type="pct"/>
                </w:tcPr>
                <w:p w14:paraId="3C8FC2B6" w14:textId="77777777" w:rsidR="00760B74" w:rsidRDefault="00760B74" w:rsidP="00760B74">
                  <w:pPr>
                    <w:pStyle w:val="tablebody0"/>
                    <w:widowControl w:val="0"/>
                  </w:pPr>
                  <w:r>
                    <w:t xml:space="preserve">TLMP </w:t>
                  </w:r>
                  <w:r w:rsidRPr="00107CC2">
                    <w:rPr>
                      <w:i/>
                      <w:vertAlign w:val="subscript"/>
                    </w:rPr>
                    <w:t>y</w:t>
                  </w:r>
                </w:p>
              </w:tc>
              <w:tc>
                <w:tcPr>
                  <w:tcW w:w="675" w:type="pct"/>
                </w:tcPr>
                <w:p w14:paraId="722D837A" w14:textId="77777777" w:rsidR="00760B74" w:rsidRDefault="00760B74" w:rsidP="00760B74">
                  <w:pPr>
                    <w:pStyle w:val="tablebody0"/>
                    <w:widowControl w:val="0"/>
                    <w:rPr>
                      <w:iCs/>
                    </w:rPr>
                  </w:pPr>
                  <w:r>
                    <w:t>second</w:t>
                  </w:r>
                </w:p>
              </w:tc>
              <w:tc>
                <w:tcPr>
                  <w:tcW w:w="3180" w:type="pct"/>
                </w:tcPr>
                <w:p w14:paraId="5719C479" w14:textId="1A11F1C4" w:rsidR="00760B74" w:rsidRDefault="00760B74" w:rsidP="00760B74">
                  <w:pPr>
                    <w:pStyle w:val="tablebody0"/>
                    <w:widowControl w:val="0"/>
                  </w:pPr>
                  <w:r>
                    <w:rPr>
                      <w:i/>
                      <w:iCs/>
                    </w:rPr>
                    <w:t xml:space="preserve">Duration of </w:t>
                  </w:r>
                  <w:r>
                    <w:rPr>
                      <w:i/>
                    </w:rPr>
                    <w:t>SCED</w:t>
                  </w:r>
                  <w:r>
                    <w:rPr>
                      <w:i/>
                      <w:iCs/>
                    </w:rPr>
                    <w:t xml:space="preserve"> interval per interval</w:t>
                  </w:r>
                  <w:r w:rsidR="00E87687">
                    <w:rPr>
                      <w:i/>
                      <w:iCs/>
                    </w:rPr>
                    <w:t xml:space="preserve"> </w:t>
                  </w:r>
                  <w:r>
                    <w:sym w:font="Symbol" w:char="F0BE"/>
                  </w:r>
                  <w:r>
                    <w:t xml:space="preserve">The duration of the SCED interval </w:t>
                  </w:r>
                  <w:r>
                    <w:rPr>
                      <w:i/>
                      <w:iCs/>
                    </w:rPr>
                    <w:t xml:space="preserve">y </w:t>
                  </w:r>
                  <w:r>
                    <w:rPr>
                      <w:iCs/>
                    </w:rPr>
                    <w:t>within the Settlement Interval</w:t>
                  </w:r>
                  <w:r>
                    <w:t>.</w:t>
                  </w:r>
                </w:p>
              </w:tc>
            </w:tr>
            <w:tr w:rsidR="00760B74" w14:paraId="6897A192" w14:textId="77777777" w:rsidTr="008B123E">
              <w:trPr>
                <w:cantSplit/>
              </w:trPr>
              <w:tc>
                <w:tcPr>
                  <w:tcW w:w="1145" w:type="pct"/>
                </w:tcPr>
                <w:p w14:paraId="34DF684C" w14:textId="77777777" w:rsidR="00760B74" w:rsidRPr="00851EF1" w:rsidRDefault="00760B74" w:rsidP="00760B74">
                  <w:pPr>
                    <w:pStyle w:val="tablebody0"/>
                    <w:widowControl w:val="0"/>
                    <w:rPr>
                      <w:i/>
                    </w:rPr>
                  </w:pPr>
                  <w:r w:rsidRPr="00D661BC">
                    <w:rPr>
                      <w:i/>
                    </w:rPr>
                    <w:t>gsc</w:t>
                  </w:r>
                </w:p>
              </w:tc>
              <w:tc>
                <w:tcPr>
                  <w:tcW w:w="675" w:type="pct"/>
                </w:tcPr>
                <w:p w14:paraId="79B103CC" w14:textId="77777777" w:rsidR="00760B74" w:rsidRDefault="00760B74" w:rsidP="00760B74">
                  <w:pPr>
                    <w:pStyle w:val="tablebody0"/>
                    <w:widowControl w:val="0"/>
                  </w:pPr>
                  <w:r>
                    <w:t>none</w:t>
                  </w:r>
                </w:p>
              </w:tc>
              <w:tc>
                <w:tcPr>
                  <w:tcW w:w="3180" w:type="pct"/>
                </w:tcPr>
                <w:p w14:paraId="16EBA14C" w14:textId="77777777" w:rsidR="00760B74" w:rsidRDefault="00760B74" w:rsidP="00760B74">
                  <w:pPr>
                    <w:pStyle w:val="tablebody0"/>
                    <w:widowControl w:val="0"/>
                  </w:pPr>
                  <w:r>
                    <w:t>A generation site code.</w:t>
                  </w:r>
                </w:p>
              </w:tc>
            </w:tr>
            <w:tr w:rsidR="00760B74" w14:paraId="47807D14" w14:textId="77777777" w:rsidTr="008B123E">
              <w:trPr>
                <w:cantSplit/>
              </w:trPr>
              <w:tc>
                <w:tcPr>
                  <w:tcW w:w="1145" w:type="pct"/>
                </w:tcPr>
                <w:p w14:paraId="1C1E4A63" w14:textId="77777777" w:rsidR="00760B74" w:rsidRPr="00851EF1" w:rsidRDefault="00760B74" w:rsidP="00760B74">
                  <w:pPr>
                    <w:pStyle w:val="tablebody0"/>
                    <w:widowControl w:val="0"/>
                    <w:rPr>
                      <w:i/>
                    </w:rPr>
                  </w:pPr>
                  <w:r w:rsidRPr="00D661BC">
                    <w:rPr>
                      <w:i/>
                    </w:rPr>
                    <w:t>b</w:t>
                  </w:r>
                </w:p>
              </w:tc>
              <w:tc>
                <w:tcPr>
                  <w:tcW w:w="675" w:type="pct"/>
                </w:tcPr>
                <w:p w14:paraId="51188477" w14:textId="77777777" w:rsidR="00760B74" w:rsidRDefault="00760B74" w:rsidP="00760B74">
                  <w:pPr>
                    <w:pStyle w:val="tablebody0"/>
                    <w:widowControl w:val="0"/>
                  </w:pPr>
                  <w:r>
                    <w:t>none</w:t>
                  </w:r>
                </w:p>
              </w:tc>
              <w:tc>
                <w:tcPr>
                  <w:tcW w:w="3180" w:type="pct"/>
                </w:tcPr>
                <w:p w14:paraId="349EB487" w14:textId="77777777" w:rsidR="00760B74" w:rsidRDefault="00760B74" w:rsidP="00760B74">
                  <w:pPr>
                    <w:pStyle w:val="tablebody0"/>
                    <w:widowControl w:val="0"/>
                  </w:pPr>
                  <w:r>
                    <w:t>An Electrical Bus.</w:t>
                  </w:r>
                </w:p>
              </w:tc>
            </w:tr>
            <w:tr w:rsidR="00760B74" w14:paraId="614909DE" w14:textId="77777777" w:rsidTr="008B123E">
              <w:trPr>
                <w:cantSplit/>
              </w:trPr>
              <w:tc>
                <w:tcPr>
                  <w:tcW w:w="1145" w:type="pct"/>
                </w:tcPr>
                <w:p w14:paraId="274B4088" w14:textId="77777777" w:rsidR="00760B74" w:rsidRPr="00851EF1" w:rsidRDefault="00760B74" w:rsidP="00760B74">
                  <w:pPr>
                    <w:pStyle w:val="tablebody0"/>
                    <w:widowControl w:val="0"/>
                    <w:rPr>
                      <w:i/>
                    </w:rPr>
                  </w:pPr>
                  <w:r>
                    <w:rPr>
                      <w:i/>
                    </w:rPr>
                    <w:t>y</w:t>
                  </w:r>
                </w:p>
              </w:tc>
              <w:tc>
                <w:tcPr>
                  <w:tcW w:w="675" w:type="pct"/>
                </w:tcPr>
                <w:p w14:paraId="0CF77A33" w14:textId="77777777" w:rsidR="00760B74" w:rsidRDefault="00760B74" w:rsidP="00760B74">
                  <w:pPr>
                    <w:pStyle w:val="tablebody0"/>
                    <w:widowControl w:val="0"/>
                  </w:pPr>
                  <w:r>
                    <w:t>None</w:t>
                  </w:r>
                </w:p>
              </w:tc>
              <w:tc>
                <w:tcPr>
                  <w:tcW w:w="3180" w:type="pct"/>
                </w:tcPr>
                <w:p w14:paraId="0D17B35F" w14:textId="77777777" w:rsidR="00760B74" w:rsidRDefault="00760B74" w:rsidP="00760B74">
                  <w:pPr>
                    <w:pStyle w:val="tablebody0"/>
                    <w:widowControl w:val="0"/>
                  </w:pPr>
                  <w:r>
                    <w:t>A SCED interval in the 15-minute Settlement Interval.  The summation is over the total number of SCED runs that cover the 15-minute Settlement Interval.</w:t>
                  </w:r>
                </w:p>
              </w:tc>
            </w:tr>
          </w:tbl>
          <w:p w14:paraId="4A0C78FE" w14:textId="649ABE09" w:rsidR="00760B74" w:rsidRDefault="00760B74" w:rsidP="00760B74">
            <w:pPr>
              <w:pStyle w:val="BodyTextNumbered"/>
              <w:spacing w:before="240"/>
            </w:pPr>
            <w:r>
              <w:t>(</w:t>
            </w:r>
            <w:r w:rsidR="00851766">
              <w:t>6</w:t>
            </w:r>
            <w:r>
              <w:t>)</w:t>
            </w:r>
            <w:r>
              <w:tab/>
              <w:t>The total net payments and charges to each QSE for energy from SODGs</w:t>
            </w:r>
            <w:r w:rsidR="00851766">
              <w:t>,</w:t>
            </w:r>
            <w:r>
              <w:t xml:space="preserve"> SOTGs</w:t>
            </w:r>
            <w:r w:rsidR="00851766">
              <w:t>, SODESSs, or SOTESSs</w:t>
            </w:r>
            <w:r>
              <w:t xml:space="preserve"> for the 15-minute Settlement Interval is calculated as follows:</w:t>
            </w:r>
          </w:p>
          <w:p w14:paraId="5B8A7EF7" w14:textId="0191F88E" w:rsidR="00760B74" w:rsidRDefault="00760B74" w:rsidP="00760B74">
            <w:pPr>
              <w:pStyle w:val="FormulaBold"/>
            </w:pPr>
            <w:r>
              <w:t xml:space="preserve">RTESOAMTQSETOT </w:t>
            </w:r>
            <w:r>
              <w:rPr>
                <w:i/>
                <w:vertAlign w:val="subscript"/>
              </w:rPr>
              <w:t>q</w:t>
            </w:r>
            <w:r>
              <w:tab/>
              <w:t xml:space="preserve">= </w:t>
            </w:r>
            <w:r w:rsidRPr="006F784F">
              <w:rPr>
                <w:position w:val="-22"/>
              </w:rPr>
              <w:object w:dxaOrig="285" w:dyaOrig="450" w14:anchorId="47F851B2">
                <v:shape id="_x0000_i1177" type="#_x0000_t75" style="width:12pt;height:24pt" o:ole="">
                  <v:imagedata r:id="rId197" o:title=""/>
                </v:shape>
                <o:OLEObject Type="Embed" ProgID="Equation.3" ShapeID="_x0000_i1177" DrawAspect="Content" ObjectID="_1804653662" r:id="rId205"/>
              </w:object>
            </w:r>
            <w:r w:rsidR="00851766">
              <w:t>(</w:t>
            </w:r>
            <w:r>
              <w:t>RT</w:t>
            </w:r>
            <w:r w:rsidR="00851766">
              <w:t>G</w:t>
            </w:r>
            <w:r>
              <w:t xml:space="preserve">SOAMT </w:t>
            </w:r>
            <w:r>
              <w:rPr>
                <w:i/>
                <w:vertAlign w:val="subscript"/>
              </w:rPr>
              <w:t>q, gsc</w:t>
            </w:r>
            <w:r w:rsidR="00851766" w:rsidRPr="00851766">
              <w:t xml:space="preserve"> + RTWSLSOAMT </w:t>
            </w:r>
            <w:r w:rsidR="00851766" w:rsidRPr="00851766">
              <w:rPr>
                <w:i/>
                <w:vertAlign w:val="subscript"/>
              </w:rPr>
              <w:t>q, gsc</w:t>
            </w:r>
            <w:r w:rsidR="00851766" w:rsidRPr="00851766">
              <w:rPr>
                <w:vertAlign w:val="subscript"/>
              </w:rPr>
              <w:t xml:space="preserve"> </w:t>
            </w:r>
            <w:r w:rsidR="00851766" w:rsidRPr="00851766">
              <w:t xml:space="preserve">+ RTNWSLSOAMT </w:t>
            </w:r>
            <w:r w:rsidR="00851766" w:rsidRPr="00851766">
              <w:rPr>
                <w:i/>
                <w:vertAlign w:val="subscript"/>
              </w:rPr>
              <w:t>q, gsc</w:t>
            </w:r>
            <w:r w:rsidR="00851766" w:rsidRPr="00851766">
              <w:t>)</w:t>
            </w:r>
          </w:p>
          <w:p w14:paraId="6B35A9A3" w14:textId="77777777" w:rsidR="00760B74" w:rsidRDefault="00760B74" w:rsidP="00760B74">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F55D4D" w14:paraId="2E5925AD" w14:textId="77777777" w:rsidTr="008B123E">
              <w:trPr>
                <w:cantSplit/>
                <w:tblHeader/>
              </w:trPr>
              <w:tc>
                <w:tcPr>
                  <w:tcW w:w="2335" w:type="dxa"/>
                </w:tcPr>
                <w:p w14:paraId="04B9BF3D" w14:textId="77777777" w:rsidR="00F55D4D" w:rsidRDefault="00F55D4D" w:rsidP="00F55D4D">
                  <w:pPr>
                    <w:pStyle w:val="TableHead"/>
                  </w:pPr>
                  <w:r>
                    <w:t>Variable</w:t>
                  </w:r>
                </w:p>
              </w:tc>
              <w:tc>
                <w:tcPr>
                  <w:tcW w:w="700" w:type="dxa"/>
                </w:tcPr>
                <w:p w14:paraId="64EA45B9" w14:textId="77777777" w:rsidR="00F55D4D" w:rsidRDefault="00F55D4D" w:rsidP="00F55D4D">
                  <w:pPr>
                    <w:pStyle w:val="TableHead"/>
                  </w:pPr>
                  <w:r>
                    <w:t>Unit</w:t>
                  </w:r>
                </w:p>
              </w:tc>
              <w:tc>
                <w:tcPr>
                  <w:tcW w:w="6036" w:type="dxa"/>
                </w:tcPr>
                <w:p w14:paraId="0A81BDC0" w14:textId="77777777" w:rsidR="00F55D4D" w:rsidRDefault="00F55D4D" w:rsidP="00F55D4D">
                  <w:pPr>
                    <w:pStyle w:val="TableHead"/>
                  </w:pPr>
                  <w:r>
                    <w:t>Definition</w:t>
                  </w:r>
                </w:p>
              </w:tc>
            </w:tr>
            <w:tr w:rsidR="00F55D4D" w14:paraId="59054906" w14:textId="77777777" w:rsidTr="008B123E">
              <w:trPr>
                <w:cantSplit/>
              </w:trPr>
              <w:tc>
                <w:tcPr>
                  <w:tcW w:w="2335" w:type="dxa"/>
                </w:tcPr>
                <w:p w14:paraId="2D0716CB" w14:textId="57F91588" w:rsidR="00F55D4D" w:rsidRDefault="00F55D4D" w:rsidP="00F55D4D">
                  <w:pPr>
                    <w:pStyle w:val="TableBody"/>
                  </w:pPr>
                  <w:r>
                    <w:t xml:space="preserve">RTESOAMTQSETOT </w:t>
                  </w:r>
                  <w:r w:rsidRPr="00107CC2">
                    <w:rPr>
                      <w:i/>
                      <w:vertAlign w:val="subscript"/>
                    </w:rPr>
                    <w:t>q</w:t>
                  </w:r>
                </w:p>
              </w:tc>
              <w:tc>
                <w:tcPr>
                  <w:tcW w:w="700" w:type="dxa"/>
                </w:tcPr>
                <w:p w14:paraId="04024563" w14:textId="77777777" w:rsidR="00F55D4D" w:rsidRDefault="00F55D4D" w:rsidP="00F55D4D">
                  <w:pPr>
                    <w:pStyle w:val="TableBody"/>
                  </w:pPr>
                  <w:r>
                    <w:t>$</w:t>
                  </w:r>
                </w:p>
              </w:tc>
              <w:tc>
                <w:tcPr>
                  <w:tcW w:w="6036" w:type="dxa"/>
                </w:tcPr>
                <w:p w14:paraId="662CA00F" w14:textId="09AD3DD2" w:rsidR="00F55D4D" w:rsidRDefault="00F55D4D" w:rsidP="00F55D4D">
                  <w:pPr>
                    <w:pStyle w:val="TableBody"/>
                  </w:pPr>
                  <w:r>
                    <w:rPr>
                      <w:i/>
                    </w:rPr>
                    <w:t xml:space="preserve">Real-Time Energy Payment or Charge per QSE for </w:t>
                  </w:r>
                  <w:r w:rsidRPr="0029731C">
                    <w:rPr>
                      <w:i/>
                    </w:rPr>
                    <w:t>SODGs</w:t>
                  </w:r>
                  <w:r w:rsidR="00851766">
                    <w:rPr>
                      <w:i/>
                    </w:rPr>
                    <w:t>,</w:t>
                  </w:r>
                  <w:r w:rsidRPr="0029731C">
                    <w:rPr>
                      <w:i/>
                    </w:rPr>
                    <w:t xml:space="preserve"> SOTGs</w:t>
                  </w:r>
                  <w:r w:rsidR="00851766">
                    <w:rPr>
                      <w:i/>
                      <w:iCs w:val="0"/>
                    </w:rPr>
                    <w:t xml:space="preserve">, </w:t>
                  </w:r>
                  <w:r w:rsidR="00851766">
                    <w:rPr>
                      <w:i/>
                    </w:rPr>
                    <w:t>SODESSs, or SOTESSs</w:t>
                  </w:r>
                  <w:r>
                    <w:rPr>
                      <w:i/>
                    </w:rPr>
                    <w:t xml:space="preserve"> </w:t>
                  </w:r>
                  <w:r>
                    <w:t xml:space="preserve">—The payment or charge to QSE </w:t>
                  </w:r>
                  <w:r>
                    <w:rPr>
                      <w:i/>
                    </w:rPr>
                    <w:t>q</w:t>
                  </w:r>
                  <w:r>
                    <w:t xml:space="preserve"> for Real-Time energy from SODGs</w:t>
                  </w:r>
                  <w:r w:rsidR="00851766">
                    <w:t>,</w:t>
                  </w:r>
                  <w:r>
                    <w:t xml:space="preserve"> SOTGs</w:t>
                  </w:r>
                  <w:r w:rsidR="00851766">
                    <w:t>, SODESSs, or SOTESSs</w:t>
                  </w:r>
                  <w:r>
                    <w:t>,</w:t>
                  </w:r>
                  <w:r w:rsidRPr="008C69DE">
                    <w:t xml:space="preserve"> </w:t>
                  </w:r>
                  <w:r>
                    <w:t>for the 15-minute Settlement Interval.</w:t>
                  </w:r>
                </w:p>
              </w:tc>
            </w:tr>
            <w:tr w:rsidR="00F55D4D" w14:paraId="15D5859B" w14:textId="77777777" w:rsidTr="008B123E">
              <w:trPr>
                <w:cantSplit/>
              </w:trPr>
              <w:tc>
                <w:tcPr>
                  <w:tcW w:w="2335" w:type="dxa"/>
                </w:tcPr>
                <w:p w14:paraId="3ACF4266" w14:textId="0B9CE9C2" w:rsidR="00F55D4D" w:rsidRDefault="00F55D4D" w:rsidP="00F55D4D">
                  <w:pPr>
                    <w:pStyle w:val="TableBody"/>
                  </w:pPr>
                  <w:r>
                    <w:t>RT</w:t>
                  </w:r>
                  <w:r w:rsidR="00851766">
                    <w:t>G</w:t>
                  </w:r>
                  <w:r>
                    <w:t xml:space="preserve">SOAMT </w:t>
                  </w:r>
                  <w:r w:rsidRPr="004F3915">
                    <w:rPr>
                      <w:i/>
                      <w:vertAlign w:val="subscript"/>
                    </w:rPr>
                    <w:t>q,</w:t>
                  </w:r>
                  <w:r>
                    <w:rPr>
                      <w:i/>
                      <w:vertAlign w:val="subscript"/>
                    </w:rPr>
                    <w:t xml:space="preserve"> gsc</w:t>
                  </w:r>
                </w:p>
              </w:tc>
              <w:tc>
                <w:tcPr>
                  <w:tcW w:w="700" w:type="dxa"/>
                </w:tcPr>
                <w:p w14:paraId="3C330704" w14:textId="77777777" w:rsidR="00F55D4D" w:rsidRDefault="00F55D4D" w:rsidP="00F55D4D">
                  <w:pPr>
                    <w:pStyle w:val="TableBody"/>
                  </w:pPr>
                  <w:r>
                    <w:t>$</w:t>
                  </w:r>
                </w:p>
              </w:tc>
              <w:tc>
                <w:tcPr>
                  <w:tcW w:w="6036" w:type="dxa"/>
                </w:tcPr>
                <w:p w14:paraId="0CA0F4A1" w14:textId="2F71D87D" w:rsidR="00F55D4D" w:rsidRDefault="00F55D4D" w:rsidP="00F55D4D">
                  <w:pPr>
                    <w:pStyle w:val="TableBody"/>
                  </w:pPr>
                  <w:r>
                    <w:rPr>
                      <w:i/>
                    </w:rPr>
                    <w:t xml:space="preserve">Real-Time </w:t>
                  </w:r>
                  <w:r w:rsidR="00851766">
                    <w:rPr>
                      <w:i/>
                    </w:rPr>
                    <w:t>Generation</w:t>
                  </w:r>
                  <w:r>
                    <w:rPr>
                      <w:i/>
                    </w:rPr>
                    <w:t xml:space="preserve"> for </w:t>
                  </w:r>
                  <w:r w:rsidRPr="0029731C">
                    <w:rPr>
                      <w:i/>
                    </w:rPr>
                    <w:t>SODG</w:t>
                  </w:r>
                  <w:r w:rsidR="00851766">
                    <w:rPr>
                      <w:i/>
                    </w:rPr>
                    <w:t>,</w:t>
                  </w:r>
                  <w:r w:rsidRPr="0029731C">
                    <w:rPr>
                      <w:i/>
                    </w:rPr>
                    <w:t xml:space="preserve"> SOTG</w:t>
                  </w:r>
                  <w:r w:rsidR="00851766">
                    <w:rPr>
                      <w:i/>
                      <w:iCs w:val="0"/>
                    </w:rPr>
                    <w:t xml:space="preserve">, </w:t>
                  </w:r>
                  <w:r w:rsidR="00851766">
                    <w:rPr>
                      <w:i/>
                    </w:rPr>
                    <w:t>SODESS, or SOTESS</w:t>
                  </w:r>
                  <w:r>
                    <w:rPr>
                      <w:i/>
                    </w:rPr>
                    <w:t xml:space="preserve"> Site Amount</w:t>
                  </w:r>
                  <w:r w:rsidDel="006C2DC2">
                    <w:rPr>
                      <w:i/>
                    </w:rPr>
                    <w:t xml:space="preserve"> </w:t>
                  </w:r>
                  <w:r>
                    <w:t xml:space="preserve">—The total payment or charge </w:t>
                  </w:r>
                  <w:r w:rsidR="00851766">
                    <w:t xml:space="preserve">for generation </w:t>
                  </w:r>
                  <w:r>
                    <w:t xml:space="preserve">to QSE </w:t>
                  </w:r>
                  <w:r w:rsidRPr="00BA4145">
                    <w:rPr>
                      <w:i/>
                    </w:rPr>
                    <w:t>q</w:t>
                  </w:r>
                  <w:r>
                    <w:t xml:space="preserve"> for SODG</w:t>
                  </w:r>
                  <w:r w:rsidR="00851766">
                    <w:t>,</w:t>
                  </w:r>
                  <w:r>
                    <w:t xml:space="preserve"> SOTG</w:t>
                  </w:r>
                  <w:r w:rsidR="00851766">
                    <w:rPr>
                      <w:iCs w:val="0"/>
                    </w:rPr>
                    <w:t xml:space="preserve">, </w:t>
                  </w:r>
                  <w:r w:rsidR="00851766">
                    <w:t>SODESS, or SOTESS</w:t>
                  </w:r>
                  <w:r>
                    <w:t xml:space="preserve"> site</w:t>
                  </w:r>
                  <w:r w:rsidRPr="00D661BC">
                    <w:rPr>
                      <w:i/>
                    </w:rPr>
                    <w:t xml:space="preserve"> gsc</w:t>
                  </w:r>
                  <w:r>
                    <w:t xml:space="preserve"> for the 15-minute Settlement Interval.</w:t>
                  </w:r>
                </w:p>
              </w:tc>
            </w:tr>
            <w:tr w:rsidR="00851766" w14:paraId="178A746A" w14:textId="77777777" w:rsidTr="008B123E">
              <w:trPr>
                <w:cantSplit/>
              </w:trPr>
              <w:tc>
                <w:tcPr>
                  <w:tcW w:w="2335" w:type="dxa"/>
                </w:tcPr>
                <w:p w14:paraId="7D800659" w14:textId="3F783B30" w:rsidR="00851766" w:rsidRDefault="00851766" w:rsidP="00851766">
                  <w:pPr>
                    <w:pStyle w:val="TableBody"/>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33807B78" w14:textId="028364DA" w:rsidR="00851766" w:rsidRDefault="00851766" w:rsidP="00851766">
                  <w:pPr>
                    <w:pStyle w:val="TableBody"/>
                  </w:pPr>
                  <w:r>
                    <w:t>$</w:t>
                  </w:r>
                </w:p>
              </w:tc>
              <w:tc>
                <w:tcPr>
                  <w:tcW w:w="6036" w:type="dxa"/>
                </w:tcPr>
                <w:p w14:paraId="630D7D3D" w14:textId="05C0AC75" w:rsidR="00851766" w:rsidRDefault="00851766" w:rsidP="00851766">
                  <w:pPr>
                    <w:pStyle w:val="TableBody"/>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851766" w14:paraId="188F681E" w14:textId="77777777" w:rsidTr="008B123E">
              <w:trPr>
                <w:cantSplit/>
              </w:trPr>
              <w:tc>
                <w:tcPr>
                  <w:tcW w:w="2335" w:type="dxa"/>
                </w:tcPr>
                <w:p w14:paraId="0BF94F5F" w14:textId="4BA4ACE4" w:rsidR="00851766" w:rsidRDefault="00851766" w:rsidP="00851766">
                  <w:pPr>
                    <w:pStyle w:val="TableBody"/>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7666A4A2" w14:textId="078993FE" w:rsidR="00851766" w:rsidRDefault="00851766" w:rsidP="00851766">
                  <w:pPr>
                    <w:pStyle w:val="TableBody"/>
                  </w:pPr>
                  <w:r>
                    <w:t>$</w:t>
                  </w:r>
                </w:p>
              </w:tc>
              <w:tc>
                <w:tcPr>
                  <w:tcW w:w="6036" w:type="dxa"/>
                </w:tcPr>
                <w:p w14:paraId="5AC6D2BC" w14:textId="43FF346A" w:rsidR="00851766" w:rsidRDefault="00851766" w:rsidP="00851766">
                  <w:pPr>
                    <w:pStyle w:val="TableBody"/>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F55D4D" w14:paraId="2F98BD82"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3B7338DE" w14:textId="77777777" w:rsidR="00F55D4D" w:rsidRPr="008E1CE8" w:rsidRDefault="00F55D4D" w:rsidP="00F55D4D">
                  <w:pPr>
                    <w:pStyle w:val="TableBody"/>
                    <w:rPr>
                      <w:i/>
                    </w:rPr>
                  </w:pPr>
                  <w:r>
                    <w:rPr>
                      <w:i/>
                    </w:rPr>
                    <w:t>q</w:t>
                  </w:r>
                </w:p>
              </w:tc>
              <w:tc>
                <w:tcPr>
                  <w:tcW w:w="700" w:type="dxa"/>
                  <w:tcBorders>
                    <w:top w:val="single" w:sz="4" w:space="0" w:color="auto"/>
                    <w:left w:val="single" w:sz="4" w:space="0" w:color="auto"/>
                    <w:bottom w:val="single" w:sz="4" w:space="0" w:color="auto"/>
                    <w:right w:val="single" w:sz="4" w:space="0" w:color="auto"/>
                  </w:tcBorders>
                </w:tcPr>
                <w:p w14:paraId="4E5960E8"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55E79054" w14:textId="77777777" w:rsidR="00F55D4D" w:rsidRDefault="00F55D4D" w:rsidP="00F55D4D">
                  <w:pPr>
                    <w:pStyle w:val="TableBody"/>
                  </w:pPr>
                  <w:r>
                    <w:t>A QSE.</w:t>
                  </w:r>
                </w:p>
              </w:tc>
            </w:tr>
            <w:tr w:rsidR="00F55D4D" w14:paraId="366DFDF8"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11AAF9A6" w14:textId="77777777" w:rsidR="00F55D4D" w:rsidRPr="008E1CE8" w:rsidRDefault="00F55D4D" w:rsidP="00F55D4D">
                  <w:pPr>
                    <w:pStyle w:val="TableBody"/>
                    <w:rPr>
                      <w:i/>
                    </w:rPr>
                  </w:pPr>
                  <w:r>
                    <w:rPr>
                      <w:i/>
                    </w:rPr>
                    <w:t>g</w:t>
                  </w:r>
                  <w:r w:rsidRPr="00D661BC">
                    <w:rPr>
                      <w:i/>
                    </w:rPr>
                    <w:t>sc</w:t>
                  </w:r>
                </w:p>
              </w:tc>
              <w:tc>
                <w:tcPr>
                  <w:tcW w:w="700" w:type="dxa"/>
                  <w:tcBorders>
                    <w:top w:val="single" w:sz="4" w:space="0" w:color="auto"/>
                    <w:left w:val="single" w:sz="4" w:space="0" w:color="auto"/>
                    <w:bottom w:val="single" w:sz="4" w:space="0" w:color="auto"/>
                    <w:right w:val="single" w:sz="4" w:space="0" w:color="auto"/>
                  </w:tcBorders>
                </w:tcPr>
                <w:p w14:paraId="67380B7A"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6C1D2DAC" w14:textId="77777777" w:rsidR="00F55D4D" w:rsidRDefault="00F55D4D" w:rsidP="00F55D4D">
                  <w:pPr>
                    <w:pStyle w:val="TableBody"/>
                  </w:pPr>
                  <w:r>
                    <w:t>A generation site code.</w:t>
                  </w:r>
                </w:p>
              </w:tc>
            </w:tr>
          </w:tbl>
          <w:p w14:paraId="34B4EEE2" w14:textId="3884A0A2" w:rsidR="00F55D4D" w:rsidRPr="00F55D4D" w:rsidRDefault="00F55D4D" w:rsidP="00F55D4D">
            <w:pPr>
              <w:widowControl w:val="0"/>
              <w:spacing w:before="240" w:after="240"/>
              <w:ind w:left="720" w:hanging="720"/>
            </w:pPr>
            <w:r w:rsidRPr="00F55D4D">
              <w:rPr>
                <w:bCs/>
              </w:rPr>
              <w:t>(</w:t>
            </w:r>
            <w:r w:rsidR="00851766">
              <w:rPr>
                <w:bCs/>
              </w:rPr>
              <w:t>7</w:t>
            </w:r>
            <w:r w:rsidRPr="00F55D4D">
              <w:rPr>
                <w:bCs/>
              </w:rPr>
              <w:t xml:space="preserve">) </w:t>
            </w:r>
            <w:r w:rsidRPr="00F55D4D">
              <w:rPr>
                <w:bCs/>
              </w:rPr>
              <w:tab/>
              <w:t>Notwithstanding anything else in this Section except paragraphs (</w:t>
            </w:r>
            <w:r w:rsidR="00851766">
              <w:rPr>
                <w:bCs/>
              </w:rPr>
              <w:t>8</w:t>
            </w:r>
            <w:r w:rsidRPr="00F55D4D">
              <w:rPr>
                <w:bCs/>
              </w:rPr>
              <w:t>) and (</w:t>
            </w:r>
            <w:r w:rsidR="00851766">
              <w:rPr>
                <w:bCs/>
              </w:rPr>
              <w:t>9</w:t>
            </w:r>
            <w:r w:rsidRPr="00F55D4D">
              <w:rPr>
                <w:bCs/>
              </w:rPr>
              <w:t xml:space="preserve">) below, a </w:t>
            </w:r>
            <w:r w:rsidRPr="00F55D4D">
              <w:rPr>
                <w:bCs/>
              </w:rPr>
              <w:lastRenderedPageBreak/>
              <w:t xml:space="preserve">Resource Entity may opt out of nodal pricing and continue Load Zone Settlement for any </w:t>
            </w:r>
            <w:r w:rsidRPr="00F55D4D">
              <w:t>SODG or SOTG if, by January 1, 2019, the SODG or SOTG was operational or was subject to a Power Purchase or Tolling Agreement (</w:t>
            </w:r>
            <w:r w:rsidRPr="00C5632E">
              <w:t>PPA</w:t>
            </w:r>
            <w:r w:rsidRPr="00F55D4D">
              <w:t>) or Transmission and/or Distribution Service Provider (</w:t>
            </w:r>
            <w:r w:rsidRPr="00C5632E">
              <w:t>TDSP</w:t>
            </w:r>
            <w:r w:rsidRPr="00F55D4D">
              <w:t xml:space="preserve">) interconnection agreement, or had an executed agreement with a developer.  By December 31, 2019, the Resource Entity must submit a properly completed </w:t>
            </w:r>
            <w:r w:rsidRPr="00C5632E">
              <w:t>Section 23, Form N</w:t>
            </w:r>
            <w:r w:rsidRPr="00F55D4D">
              <w:t>,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w:t>
            </w:r>
            <w:r w:rsidR="00851766">
              <w:t>10</w:t>
            </w:r>
            <w:r w:rsidRPr="00F55D4D">
              <w:t xml:space="preserve">) of this Section.  On January 1, 2030, all SODGs and SOTGs will be subject to nodal pricing.  </w:t>
            </w:r>
          </w:p>
          <w:p w14:paraId="1C3D1B23" w14:textId="531344A9" w:rsidR="00F55D4D" w:rsidRPr="00F55D4D" w:rsidRDefault="00F55D4D" w:rsidP="00F55D4D">
            <w:pPr>
              <w:widowControl w:val="0"/>
              <w:spacing w:after="240"/>
              <w:ind w:left="720" w:hanging="720"/>
            </w:pPr>
            <w:r w:rsidRPr="00F55D4D">
              <w:t>(</w:t>
            </w:r>
            <w:r w:rsidR="00851766">
              <w:t>8</w:t>
            </w:r>
            <w:r w:rsidRPr="00F55D4D">
              <w:t>)</w:t>
            </w:r>
            <w:r w:rsidRPr="00F55D4D">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6F46C8AE" w14:textId="5457F10D" w:rsidR="00F55D4D" w:rsidRPr="00F55D4D" w:rsidRDefault="00F55D4D" w:rsidP="00F55D4D">
            <w:pPr>
              <w:widowControl w:val="0"/>
              <w:spacing w:after="240"/>
              <w:ind w:left="720" w:hanging="720"/>
            </w:pPr>
            <w:r w:rsidRPr="00F55D4D">
              <w:t>(</w:t>
            </w:r>
            <w:r w:rsidR="00851766">
              <w:t>9</w:t>
            </w:r>
            <w:r w:rsidRPr="00F55D4D">
              <w:t>)</w:t>
            </w:r>
            <w:r w:rsidRPr="00F55D4D">
              <w:tab/>
              <w:t>If at any time ERCOT determines that the SODG or SOTG fails to meet the opt-out conditions in paragraph (</w:t>
            </w:r>
            <w:r w:rsidR="00851766">
              <w:t>8</w:t>
            </w:r>
            <w:r w:rsidRPr="00F55D4D">
              <w:t>) above, ERCOT shall settle the output of the SODG or SOTG at the applicable nodal price as soon as practicable after providing written notice to the affected Resource Entity.</w:t>
            </w:r>
          </w:p>
          <w:p w14:paraId="098DB98B" w14:textId="17FFECC3" w:rsidR="009058F4" w:rsidRPr="00B37C4B" w:rsidRDefault="00F55D4D" w:rsidP="00F55D4D">
            <w:pPr>
              <w:widowControl w:val="0"/>
              <w:spacing w:after="240"/>
              <w:ind w:left="720" w:hanging="720"/>
            </w:pPr>
            <w:r w:rsidRPr="00F55D4D">
              <w:rPr>
                <w:szCs w:val="24"/>
              </w:rPr>
              <w:t>(</w:t>
            </w:r>
            <w:r w:rsidR="00851766">
              <w:rPr>
                <w:szCs w:val="24"/>
              </w:rPr>
              <w:t>10</w:t>
            </w:r>
            <w:r w:rsidRPr="00F55D4D">
              <w:rPr>
                <w:szCs w:val="24"/>
              </w:rPr>
              <w:t>)</w:t>
            </w:r>
            <w:r w:rsidRPr="00F55D4D">
              <w:rPr>
                <w:szCs w:val="24"/>
              </w:rPr>
              <w:tab/>
              <w:t>A Resource Entity that has opted out of nodal pricing for one or more SODGs or SOTGs pursuant to paragraph (</w:t>
            </w:r>
            <w:r w:rsidR="00851766">
              <w:rPr>
                <w:szCs w:val="24"/>
              </w:rPr>
              <w:t>7</w:t>
            </w:r>
            <w:r w:rsidRPr="00F55D4D">
              <w:rPr>
                <w:szCs w:val="24"/>
              </w:rPr>
              <w:t xml:space="preserve">)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F55D4D">
              <w:t>pricing</w:t>
            </w:r>
            <w:r w:rsidRPr="00F55D4D">
              <w:rPr>
                <w:szCs w:val="24"/>
              </w:rPr>
              <w:t xml:space="preserve"> in ERCOT Settlement systems as soon as practicable.</w:t>
            </w:r>
          </w:p>
        </w:tc>
      </w:tr>
    </w:tbl>
    <w:p w14:paraId="1AB55D94" w14:textId="77777777" w:rsidR="001F04FD" w:rsidRDefault="001F04FD" w:rsidP="00020E00">
      <w:pPr>
        <w:pStyle w:val="H3"/>
        <w:spacing w:before="480"/>
      </w:pPr>
      <w:bookmarkStart w:id="1998" w:name="_Toc189044422"/>
      <w:r>
        <w:lastRenderedPageBreak/>
        <w:t>6.6.4</w:t>
      </w:r>
      <w:r>
        <w:tab/>
        <w:t>Real-Time Congestion Payment or Charge for Self-Schedules</w:t>
      </w:r>
      <w:bookmarkEnd w:id="1957"/>
      <w:bookmarkEnd w:id="1958"/>
      <w:bookmarkEnd w:id="1959"/>
      <w:bookmarkEnd w:id="1960"/>
      <w:bookmarkEnd w:id="1961"/>
      <w:bookmarkEnd w:id="1962"/>
      <w:bookmarkEnd w:id="1963"/>
      <w:bookmarkEnd w:id="1964"/>
      <w:bookmarkEnd w:id="1982"/>
      <w:bookmarkEnd w:id="1983"/>
      <w:bookmarkEnd w:id="1984"/>
      <w:bookmarkEnd w:id="1985"/>
      <w:bookmarkEnd w:id="1986"/>
      <w:bookmarkEnd w:id="1987"/>
      <w:bookmarkEnd w:id="1988"/>
      <w:bookmarkEnd w:id="1989"/>
      <w:bookmarkEnd w:id="1998"/>
      <w:r>
        <w:t xml:space="preserve"> </w:t>
      </w:r>
    </w:p>
    <w:p w14:paraId="3AD3B362" w14:textId="02633EC8" w:rsidR="001F04FD" w:rsidRDefault="001F04FD" w:rsidP="001F04FD">
      <w:pPr>
        <w:pStyle w:val="BodyTextNumbered"/>
      </w:pPr>
      <w:r>
        <w:t>(1)</w:t>
      </w:r>
      <w:r>
        <w:tab/>
        <w:t>The congestion payment or charge to each QSE submitting a Self-Schedule calculated based on the difference in Real-Time S</w:t>
      </w:r>
      <w:r w:rsidR="008B66B5">
        <w:t xml:space="preserve">ettlement </w:t>
      </w:r>
      <w:r>
        <w:t>P</w:t>
      </w:r>
      <w:r w:rsidR="008B66B5">
        <w:t xml:space="preserve">oint </w:t>
      </w:r>
      <w:r>
        <w:t>P</w:t>
      </w:r>
      <w:r w:rsidR="008B66B5">
        <w:t>rice</w:t>
      </w:r>
      <w:r>
        <w:t>s at the specified sink and the source of the Self-Schedule multiplied by the amount of the Self-Schedule.  The congestion charge to each QSE for each of its Self-Schedule for a given 15-minute Settlement Interval is calculated as follows:</w:t>
      </w:r>
    </w:p>
    <w:p w14:paraId="66958E6A" w14:textId="77777777" w:rsidR="001F04FD" w:rsidRDefault="001F04FD" w:rsidP="001F04FD">
      <w:pPr>
        <w:pStyle w:val="FormulaBold"/>
      </w:pPr>
      <w:r>
        <w:t xml:space="preserve">RTCCAMT </w:t>
      </w:r>
      <w:r>
        <w:rPr>
          <w:i/>
          <w:vertAlign w:val="subscript"/>
        </w:rPr>
        <w:t xml:space="preserve">q, s </w:t>
      </w:r>
      <w:r>
        <w:tab/>
        <w:t>=</w:t>
      </w:r>
      <w:r>
        <w:tab/>
        <w:t xml:space="preserve">(RTSPP </w:t>
      </w:r>
      <w:r>
        <w:rPr>
          <w:i/>
          <w:vertAlign w:val="subscript"/>
        </w:rPr>
        <w:t>sink, s</w:t>
      </w:r>
      <w:r>
        <w:t xml:space="preserve"> – RTSPP </w:t>
      </w:r>
      <w:r>
        <w:rPr>
          <w:i/>
          <w:vertAlign w:val="subscript"/>
        </w:rPr>
        <w:t>source, s</w:t>
      </w:r>
      <w:r>
        <w:t xml:space="preserve">) * (SSQ </w:t>
      </w:r>
      <w:r>
        <w:rPr>
          <w:i/>
          <w:vertAlign w:val="subscript"/>
        </w:rPr>
        <w:t>q, s</w:t>
      </w:r>
      <w:r>
        <w:t xml:space="preserve"> * ¼) </w:t>
      </w:r>
    </w:p>
    <w:p w14:paraId="12857438" w14:textId="77777777" w:rsidR="001F04FD" w:rsidRDefault="001F04FD" w:rsidP="001F04FD">
      <w:r>
        <w:lastRenderedPageBreak/>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66EA9B24" w14:textId="77777777" w:rsidTr="00AC4DEE">
        <w:tc>
          <w:tcPr>
            <w:tcW w:w="1630" w:type="dxa"/>
          </w:tcPr>
          <w:p w14:paraId="24C8378D" w14:textId="77777777" w:rsidR="001F04FD" w:rsidRDefault="001F04FD" w:rsidP="00AC4DEE">
            <w:pPr>
              <w:pStyle w:val="TableHead"/>
            </w:pPr>
            <w:r>
              <w:t>Variable</w:t>
            </w:r>
          </w:p>
        </w:tc>
        <w:tc>
          <w:tcPr>
            <w:tcW w:w="0" w:type="auto"/>
          </w:tcPr>
          <w:p w14:paraId="3007E055" w14:textId="77777777" w:rsidR="001F04FD" w:rsidRDefault="001F04FD" w:rsidP="00AC4DEE">
            <w:pPr>
              <w:pStyle w:val="TableHead"/>
            </w:pPr>
            <w:r>
              <w:t>Unit</w:t>
            </w:r>
          </w:p>
        </w:tc>
        <w:tc>
          <w:tcPr>
            <w:tcW w:w="0" w:type="auto"/>
          </w:tcPr>
          <w:p w14:paraId="3935FAFD" w14:textId="77777777" w:rsidR="001F04FD" w:rsidRDefault="001F04FD" w:rsidP="00AC4DEE">
            <w:pPr>
              <w:pStyle w:val="TableHead"/>
            </w:pPr>
            <w:r>
              <w:t>Description</w:t>
            </w:r>
          </w:p>
        </w:tc>
      </w:tr>
      <w:tr w:rsidR="001F04FD" w14:paraId="7D556303" w14:textId="77777777" w:rsidTr="00AC4DEE">
        <w:tc>
          <w:tcPr>
            <w:tcW w:w="1630" w:type="dxa"/>
          </w:tcPr>
          <w:p w14:paraId="514EAF1C" w14:textId="77777777" w:rsidR="001F04FD" w:rsidRDefault="001F04FD" w:rsidP="00AC4DEE">
            <w:pPr>
              <w:pStyle w:val="TableBody"/>
            </w:pPr>
            <w:r>
              <w:t xml:space="preserve">RTCCAMT </w:t>
            </w:r>
            <w:r w:rsidRPr="00107CC2">
              <w:rPr>
                <w:i/>
                <w:vertAlign w:val="subscript"/>
              </w:rPr>
              <w:t>q, s</w:t>
            </w:r>
          </w:p>
        </w:tc>
        <w:tc>
          <w:tcPr>
            <w:tcW w:w="0" w:type="auto"/>
          </w:tcPr>
          <w:p w14:paraId="52A0A8C0" w14:textId="77777777" w:rsidR="001F04FD" w:rsidRDefault="001F04FD" w:rsidP="00AC4DEE">
            <w:pPr>
              <w:pStyle w:val="TableBody"/>
            </w:pPr>
            <w:r>
              <w:t>$</w:t>
            </w:r>
          </w:p>
        </w:tc>
        <w:tc>
          <w:tcPr>
            <w:tcW w:w="0" w:type="auto"/>
          </w:tcPr>
          <w:p w14:paraId="7876B6F2" w14:textId="77777777" w:rsidR="001F04FD" w:rsidRDefault="001F04FD" w:rsidP="00AC4DEE">
            <w:pPr>
              <w:pStyle w:val="TableBody"/>
            </w:pPr>
            <w:r>
              <w:rPr>
                <w:i/>
              </w:rPr>
              <w:t>Real-Time Congestion Cost Amount per QSE per Self-Schedule</w:t>
            </w:r>
            <w:r>
              <w:t xml:space="preserve">—The congestion charge to QSE </w:t>
            </w:r>
            <w:r>
              <w:rPr>
                <w:i/>
              </w:rPr>
              <w:t>q</w:t>
            </w:r>
            <w:r>
              <w:t xml:space="preserve"> for its Self-Schedule </w:t>
            </w:r>
            <w:r>
              <w:rPr>
                <w:i/>
              </w:rPr>
              <w:t>s</w:t>
            </w:r>
            <w:r>
              <w:t>, for the 15-minute Settlement Interval.</w:t>
            </w:r>
          </w:p>
        </w:tc>
      </w:tr>
      <w:tr w:rsidR="001F04FD" w14:paraId="31604DB6" w14:textId="77777777" w:rsidTr="00AC4DEE">
        <w:tc>
          <w:tcPr>
            <w:tcW w:w="1630" w:type="dxa"/>
          </w:tcPr>
          <w:p w14:paraId="4FC46918" w14:textId="77777777" w:rsidR="001F04FD" w:rsidRDefault="001F04FD" w:rsidP="00AC4DEE">
            <w:pPr>
              <w:pStyle w:val="TableBody"/>
            </w:pPr>
            <w:r>
              <w:t xml:space="preserve">RTSPP </w:t>
            </w:r>
            <w:r w:rsidRPr="00107CC2">
              <w:rPr>
                <w:i/>
                <w:vertAlign w:val="subscript"/>
              </w:rPr>
              <w:t>sink, s</w:t>
            </w:r>
          </w:p>
        </w:tc>
        <w:tc>
          <w:tcPr>
            <w:tcW w:w="0" w:type="auto"/>
          </w:tcPr>
          <w:p w14:paraId="3D009310" w14:textId="77777777" w:rsidR="001F04FD" w:rsidRDefault="001F04FD" w:rsidP="00AC4DEE">
            <w:pPr>
              <w:pStyle w:val="TableBody"/>
            </w:pPr>
            <w:r>
              <w:t>$/MWh</w:t>
            </w:r>
          </w:p>
        </w:tc>
        <w:tc>
          <w:tcPr>
            <w:tcW w:w="0" w:type="auto"/>
          </w:tcPr>
          <w:p w14:paraId="5A16A261" w14:textId="29F9B40A" w:rsidR="001F04FD" w:rsidRDefault="001F04FD" w:rsidP="00AC4DEE">
            <w:pPr>
              <w:pStyle w:val="TableBody"/>
            </w:pPr>
            <w:r>
              <w:rPr>
                <w:i/>
              </w:rPr>
              <w:t>Real-Time Settlement Point Price at the Sink of Self-Schedule</w:t>
            </w:r>
            <w:r>
              <w:t>—The Real-Time S</w:t>
            </w:r>
            <w:r w:rsidR="008B66B5">
              <w:t xml:space="preserve">ettlement </w:t>
            </w:r>
            <w:r>
              <w:t>P</w:t>
            </w:r>
            <w:r w:rsidR="008B66B5">
              <w:t xml:space="preserve">oint </w:t>
            </w:r>
            <w:r>
              <w:t>P</w:t>
            </w:r>
            <w:r w:rsidR="008B66B5">
              <w:t>rice</w:t>
            </w:r>
            <w:r>
              <w:t xml:space="preserve"> at the sink of the Self-Schedule </w:t>
            </w:r>
            <w:r>
              <w:rPr>
                <w:i/>
              </w:rPr>
              <w:t>s</w:t>
            </w:r>
            <w:r>
              <w:t>, for the 15-minute Settlement Interval.</w:t>
            </w:r>
          </w:p>
        </w:tc>
      </w:tr>
      <w:tr w:rsidR="001F04FD" w14:paraId="7473FBF1" w14:textId="77777777" w:rsidTr="00AC4DEE">
        <w:tc>
          <w:tcPr>
            <w:tcW w:w="1630" w:type="dxa"/>
          </w:tcPr>
          <w:p w14:paraId="56921D3A" w14:textId="77777777" w:rsidR="001F04FD" w:rsidRDefault="001F04FD" w:rsidP="00AC4DEE">
            <w:pPr>
              <w:pStyle w:val="TableBody"/>
            </w:pPr>
            <w:r>
              <w:t xml:space="preserve">RTSPP </w:t>
            </w:r>
            <w:r w:rsidRPr="00107CC2">
              <w:rPr>
                <w:i/>
                <w:vertAlign w:val="subscript"/>
              </w:rPr>
              <w:t>source, s</w:t>
            </w:r>
          </w:p>
        </w:tc>
        <w:tc>
          <w:tcPr>
            <w:tcW w:w="0" w:type="auto"/>
          </w:tcPr>
          <w:p w14:paraId="3E78194E" w14:textId="77777777" w:rsidR="001F04FD" w:rsidRDefault="001F04FD" w:rsidP="00AC4DEE">
            <w:pPr>
              <w:pStyle w:val="TableBody"/>
            </w:pPr>
            <w:r>
              <w:t>$/MWh</w:t>
            </w:r>
          </w:p>
        </w:tc>
        <w:tc>
          <w:tcPr>
            <w:tcW w:w="0" w:type="auto"/>
          </w:tcPr>
          <w:p w14:paraId="206F9A02" w14:textId="44DC1805" w:rsidR="001F04FD" w:rsidRDefault="001F04FD" w:rsidP="00AC4DEE">
            <w:pPr>
              <w:pStyle w:val="TableBody"/>
            </w:pPr>
            <w:r>
              <w:rPr>
                <w:i/>
              </w:rPr>
              <w:t>Real-Time Settlement Point Price at the Source of Self-Schedule</w:t>
            </w:r>
            <w:r>
              <w:t>—The Real-Time S</w:t>
            </w:r>
            <w:r w:rsidR="008B66B5">
              <w:t xml:space="preserve">ettlement </w:t>
            </w:r>
            <w:r>
              <w:t>P</w:t>
            </w:r>
            <w:r w:rsidR="008B66B5">
              <w:t xml:space="preserve">oint </w:t>
            </w:r>
            <w:r>
              <w:t>P</w:t>
            </w:r>
            <w:r w:rsidR="008B66B5">
              <w:t>rice</w:t>
            </w:r>
            <w:r>
              <w:t xml:space="preserve"> at the source of the Self-Schedule </w:t>
            </w:r>
            <w:r>
              <w:rPr>
                <w:i/>
              </w:rPr>
              <w:t>s</w:t>
            </w:r>
            <w:r>
              <w:t>, for the 15-minute Settlement Interval.</w:t>
            </w:r>
          </w:p>
        </w:tc>
      </w:tr>
      <w:tr w:rsidR="001F04FD" w14:paraId="779D551E" w14:textId="77777777" w:rsidTr="00AC4DEE">
        <w:tc>
          <w:tcPr>
            <w:tcW w:w="1630" w:type="dxa"/>
          </w:tcPr>
          <w:p w14:paraId="209535C1" w14:textId="77777777" w:rsidR="001F04FD" w:rsidRDefault="001F04FD" w:rsidP="00AC4DEE">
            <w:pPr>
              <w:pStyle w:val="TableBody"/>
            </w:pPr>
            <w:r>
              <w:t xml:space="preserve">SSQ </w:t>
            </w:r>
            <w:r w:rsidRPr="00107CC2">
              <w:rPr>
                <w:i/>
                <w:vertAlign w:val="subscript"/>
              </w:rPr>
              <w:t>q,s</w:t>
            </w:r>
          </w:p>
        </w:tc>
        <w:tc>
          <w:tcPr>
            <w:tcW w:w="0" w:type="auto"/>
          </w:tcPr>
          <w:p w14:paraId="173BE17E" w14:textId="77777777" w:rsidR="001F04FD" w:rsidRDefault="001F04FD" w:rsidP="00AC4DEE">
            <w:pPr>
              <w:pStyle w:val="TableBody"/>
            </w:pPr>
            <w:r>
              <w:t>MW</w:t>
            </w:r>
          </w:p>
        </w:tc>
        <w:tc>
          <w:tcPr>
            <w:tcW w:w="0" w:type="auto"/>
          </w:tcPr>
          <w:p w14:paraId="6F4650F9" w14:textId="77777777" w:rsidR="001F04FD" w:rsidRDefault="001F04FD" w:rsidP="00AC4DEE">
            <w:pPr>
              <w:pStyle w:val="TableBody"/>
            </w:pPr>
            <w:r>
              <w:rPr>
                <w:i/>
              </w:rPr>
              <w:t>Self-Schedule Quantity per Self-Schedule</w:t>
            </w:r>
            <w:r>
              <w:t xml:space="preserve">—The QSE </w:t>
            </w:r>
            <w:r>
              <w:rPr>
                <w:i/>
              </w:rPr>
              <w:t>q</w:t>
            </w:r>
            <w:r>
              <w:t xml:space="preserve">’s Self Schedule MW quantity for Self-Schedule </w:t>
            </w:r>
            <w:r>
              <w:rPr>
                <w:i/>
              </w:rPr>
              <w:t>s</w:t>
            </w:r>
            <w:r>
              <w:t>, for the 15-minute Settlement Interval.</w:t>
            </w:r>
          </w:p>
        </w:tc>
      </w:tr>
      <w:tr w:rsidR="001F04FD" w14:paraId="502562F0" w14:textId="77777777" w:rsidTr="00AC4DEE">
        <w:tc>
          <w:tcPr>
            <w:tcW w:w="1630" w:type="dxa"/>
          </w:tcPr>
          <w:p w14:paraId="69D7590E" w14:textId="77777777" w:rsidR="001F04FD" w:rsidRPr="00107CC2" w:rsidRDefault="001F04FD" w:rsidP="00AC4DEE">
            <w:pPr>
              <w:pStyle w:val="TableBody"/>
              <w:rPr>
                <w:i/>
              </w:rPr>
            </w:pPr>
            <w:r w:rsidRPr="00107CC2">
              <w:rPr>
                <w:i/>
              </w:rPr>
              <w:t>q</w:t>
            </w:r>
          </w:p>
        </w:tc>
        <w:tc>
          <w:tcPr>
            <w:tcW w:w="0" w:type="auto"/>
          </w:tcPr>
          <w:p w14:paraId="0580635A" w14:textId="77777777" w:rsidR="001F04FD" w:rsidRDefault="001F04FD" w:rsidP="00AC4DEE">
            <w:pPr>
              <w:pStyle w:val="TableBody"/>
            </w:pPr>
            <w:r>
              <w:t>none</w:t>
            </w:r>
          </w:p>
        </w:tc>
        <w:tc>
          <w:tcPr>
            <w:tcW w:w="0" w:type="auto"/>
          </w:tcPr>
          <w:p w14:paraId="29703170" w14:textId="77777777" w:rsidR="001F04FD" w:rsidRDefault="001F04FD" w:rsidP="00AC4DEE">
            <w:pPr>
              <w:pStyle w:val="TableBody"/>
            </w:pPr>
            <w:r>
              <w:t>A QSE.</w:t>
            </w:r>
          </w:p>
        </w:tc>
      </w:tr>
      <w:tr w:rsidR="001F04FD" w14:paraId="219656EC" w14:textId="77777777" w:rsidTr="00AC4DEE">
        <w:tc>
          <w:tcPr>
            <w:tcW w:w="1630" w:type="dxa"/>
          </w:tcPr>
          <w:p w14:paraId="45517571" w14:textId="77777777" w:rsidR="001F04FD" w:rsidRPr="00107CC2" w:rsidRDefault="001F04FD" w:rsidP="00AC4DEE">
            <w:pPr>
              <w:pStyle w:val="TableBody"/>
              <w:rPr>
                <w:i/>
              </w:rPr>
            </w:pPr>
            <w:r w:rsidRPr="00107CC2">
              <w:rPr>
                <w:i/>
              </w:rPr>
              <w:t>s</w:t>
            </w:r>
          </w:p>
        </w:tc>
        <w:tc>
          <w:tcPr>
            <w:tcW w:w="0" w:type="auto"/>
          </w:tcPr>
          <w:p w14:paraId="61134B3D" w14:textId="77777777" w:rsidR="001F04FD" w:rsidRDefault="001F04FD" w:rsidP="00AC4DEE">
            <w:pPr>
              <w:pStyle w:val="TableBody"/>
            </w:pPr>
            <w:r>
              <w:t>none</w:t>
            </w:r>
          </w:p>
        </w:tc>
        <w:tc>
          <w:tcPr>
            <w:tcW w:w="0" w:type="auto"/>
          </w:tcPr>
          <w:p w14:paraId="3C3A3F2C" w14:textId="77777777" w:rsidR="001F04FD" w:rsidRDefault="001F04FD" w:rsidP="00AC4DEE">
            <w:pPr>
              <w:pStyle w:val="TableBody"/>
            </w:pPr>
            <w:r>
              <w:t>A Self-Schedule.</w:t>
            </w:r>
          </w:p>
        </w:tc>
      </w:tr>
      <w:tr w:rsidR="001F04FD" w14:paraId="0DA8024B" w14:textId="77777777" w:rsidTr="00AC4DEE">
        <w:tc>
          <w:tcPr>
            <w:tcW w:w="1630" w:type="dxa"/>
            <w:tcBorders>
              <w:top w:val="single" w:sz="4" w:space="0" w:color="auto"/>
              <w:left w:val="single" w:sz="4" w:space="0" w:color="auto"/>
              <w:bottom w:val="single" w:sz="4" w:space="0" w:color="auto"/>
              <w:right w:val="single" w:sz="4" w:space="0" w:color="auto"/>
            </w:tcBorders>
          </w:tcPr>
          <w:p w14:paraId="1F9170B5" w14:textId="77777777" w:rsidR="001F04FD" w:rsidRPr="00107CC2" w:rsidRDefault="001F04FD" w:rsidP="00AC4DEE">
            <w:pPr>
              <w:pStyle w:val="TableBody"/>
              <w:rPr>
                <w:i/>
              </w:rPr>
            </w:pPr>
            <w:r w:rsidRPr="00107CC2">
              <w:rPr>
                <w:i/>
              </w:rPr>
              <w:t>sink</w:t>
            </w:r>
          </w:p>
        </w:tc>
        <w:tc>
          <w:tcPr>
            <w:tcW w:w="0" w:type="auto"/>
            <w:tcBorders>
              <w:top w:val="single" w:sz="4" w:space="0" w:color="auto"/>
              <w:left w:val="single" w:sz="4" w:space="0" w:color="auto"/>
              <w:bottom w:val="single" w:sz="4" w:space="0" w:color="auto"/>
              <w:right w:val="single" w:sz="4" w:space="0" w:color="auto"/>
            </w:tcBorders>
          </w:tcPr>
          <w:p w14:paraId="299D827B"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1AA38167" w14:textId="77777777" w:rsidR="001F04FD" w:rsidRDefault="001F04FD" w:rsidP="00AC4DEE">
            <w:pPr>
              <w:pStyle w:val="TableBody"/>
            </w:pPr>
            <w:r>
              <w:t>Sink Settlement Point</w:t>
            </w:r>
          </w:p>
        </w:tc>
      </w:tr>
      <w:tr w:rsidR="001F04FD" w14:paraId="19AC52EE" w14:textId="77777777" w:rsidTr="00AC4DEE">
        <w:tc>
          <w:tcPr>
            <w:tcW w:w="1630" w:type="dxa"/>
            <w:tcBorders>
              <w:top w:val="single" w:sz="4" w:space="0" w:color="auto"/>
              <w:left w:val="single" w:sz="4" w:space="0" w:color="auto"/>
              <w:bottom w:val="single" w:sz="4" w:space="0" w:color="auto"/>
              <w:right w:val="single" w:sz="4" w:space="0" w:color="auto"/>
            </w:tcBorders>
          </w:tcPr>
          <w:p w14:paraId="016CC1BB" w14:textId="77777777" w:rsidR="001F04FD" w:rsidRPr="00107CC2" w:rsidRDefault="001F04FD" w:rsidP="00AC4DEE">
            <w:pPr>
              <w:pStyle w:val="TableBody"/>
              <w:rPr>
                <w:i/>
              </w:rPr>
            </w:pPr>
            <w:r w:rsidRPr="00107CC2">
              <w:rPr>
                <w:i/>
              </w:rPr>
              <w:t>source</w:t>
            </w:r>
          </w:p>
        </w:tc>
        <w:tc>
          <w:tcPr>
            <w:tcW w:w="0" w:type="auto"/>
            <w:tcBorders>
              <w:top w:val="single" w:sz="4" w:space="0" w:color="auto"/>
              <w:left w:val="single" w:sz="4" w:space="0" w:color="auto"/>
              <w:bottom w:val="single" w:sz="4" w:space="0" w:color="auto"/>
              <w:right w:val="single" w:sz="4" w:space="0" w:color="auto"/>
            </w:tcBorders>
          </w:tcPr>
          <w:p w14:paraId="4450C5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9A9298F" w14:textId="77777777" w:rsidR="001F04FD" w:rsidRDefault="001F04FD" w:rsidP="00AC4DEE">
            <w:pPr>
              <w:pStyle w:val="TableBody"/>
            </w:pPr>
            <w:r>
              <w:t>Source Settlement Point</w:t>
            </w:r>
          </w:p>
        </w:tc>
      </w:tr>
    </w:tbl>
    <w:p w14:paraId="02F6313B" w14:textId="77777777" w:rsidR="001F04FD" w:rsidRDefault="001F04FD" w:rsidP="001F04FD"/>
    <w:p w14:paraId="39CB63D3" w14:textId="77777777" w:rsidR="001F04FD" w:rsidRDefault="001F04FD" w:rsidP="001F04FD">
      <w:pPr>
        <w:pStyle w:val="BodyTextNumbered"/>
      </w:pPr>
      <w:r>
        <w:t>(2)</w:t>
      </w:r>
      <w:r>
        <w:tab/>
        <w:t>The total net congestion payments and charges to each QSE for all its Self-Schedules for the 15-minute Settlement Interval is calculated as follows:</w:t>
      </w:r>
    </w:p>
    <w:p w14:paraId="4AC162C1" w14:textId="77777777" w:rsidR="001F04FD" w:rsidRDefault="001F04FD" w:rsidP="001F04FD">
      <w:pPr>
        <w:pStyle w:val="FormulaBold"/>
      </w:pPr>
      <w:r>
        <w:t xml:space="preserve">RTCCAMTQSETOT </w:t>
      </w:r>
      <w:r>
        <w:rPr>
          <w:i/>
          <w:vertAlign w:val="subscript"/>
        </w:rPr>
        <w:t>q</w:t>
      </w:r>
      <w:r>
        <w:tab/>
        <w:t>=</w:t>
      </w:r>
      <w:r>
        <w:tab/>
      </w:r>
      <w:r w:rsidRPr="006F784F">
        <w:rPr>
          <w:position w:val="-20"/>
        </w:rPr>
        <w:object w:dxaOrig="225" w:dyaOrig="435" w14:anchorId="1C630257">
          <v:shape id="_x0000_i1178" type="#_x0000_t75" style="width:12pt;height:18pt" o:ole="">
            <v:imagedata r:id="rId206" o:title=""/>
          </v:shape>
          <o:OLEObject Type="Embed" ProgID="Equation.3" ShapeID="_x0000_i1178" DrawAspect="Content" ObjectID="_1804653663" r:id="rId207"/>
        </w:object>
      </w:r>
      <w:r>
        <w:t xml:space="preserve">RTCCAMT </w:t>
      </w:r>
      <w:r>
        <w:rPr>
          <w:i/>
          <w:vertAlign w:val="subscript"/>
        </w:rPr>
        <w:t>q, s</w:t>
      </w:r>
    </w:p>
    <w:p w14:paraId="77F6736E"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217B60A0" w14:textId="77777777" w:rsidTr="00AC4DEE">
        <w:trPr>
          <w:tblHeader/>
        </w:trPr>
        <w:tc>
          <w:tcPr>
            <w:tcW w:w="2165" w:type="dxa"/>
          </w:tcPr>
          <w:p w14:paraId="44B743B0" w14:textId="77777777" w:rsidR="001F04FD" w:rsidRDefault="001F04FD" w:rsidP="00AC4DEE">
            <w:pPr>
              <w:pStyle w:val="TableHead"/>
            </w:pPr>
            <w:r>
              <w:t>Variable</w:t>
            </w:r>
          </w:p>
        </w:tc>
        <w:tc>
          <w:tcPr>
            <w:tcW w:w="832" w:type="dxa"/>
          </w:tcPr>
          <w:p w14:paraId="45AC932D" w14:textId="77777777" w:rsidR="001F04FD" w:rsidRDefault="001F04FD" w:rsidP="00AC4DEE">
            <w:pPr>
              <w:pStyle w:val="TableHead"/>
            </w:pPr>
            <w:r>
              <w:t>Unit</w:t>
            </w:r>
          </w:p>
        </w:tc>
        <w:tc>
          <w:tcPr>
            <w:tcW w:w="6074" w:type="dxa"/>
          </w:tcPr>
          <w:p w14:paraId="0896EFD5" w14:textId="77777777" w:rsidR="001F04FD" w:rsidRDefault="001F04FD" w:rsidP="00AC4DEE">
            <w:pPr>
              <w:pStyle w:val="TableHead"/>
            </w:pPr>
            <w:r>
              <w:t>Definition</w:t>
            </w:r>
          </w:p>
        </w:tc>
      </w:tr>
      <w:tr w:rsidR="001F04FD" w14:paraId="5D49E09F" w14:textId="77777777" w:rsidTr="00AC4DEE">
        <w:tc>
          <w:tcPr>
            <w:tcW w:w="2165" w:type="dxa"/>
          </w:tcPr>
          <w:p w14:paraId="15368DFA" w14:textId="77777777" w:rsidR="001F04FD" w:rsidRDefault="001F04FD" w:rsidP="00AC4DEE">
            <w:pPr>
              <w:pStyle w:val="TableBody"/>
            </w:pPr>
            <w:r>
              <w:t xml:space="preserve">RTCCAMTQSETOT </w:t>
            </w:r>
            <w:r w:rsidRPr="00107CC2">
              <w:rPr>
                <w:i/>
                <w:vertAlign w:val="subscript"/>
              </w:rPr>
              <w:t>q</w:t>
            </w:r>
          </w:p>
        </w:tc>
        <w:tc>
          <w:tcPr>
            <w:tcW w:w="832" w:type="dxa"/>
          </w:tcPr>
          <w:p w14:paraId="68F17DF8" w14:textId="77777777" w:rsidR="001F04FD" w:rsidRDefault="001F04FD" w:rsidP="00AC4DEE">
            <w:pPr>
              <w:pStyle w:val="TableBody"/>
            </w:pPr>
            <w:r>
              <w:t>$</w:t>
            </w:r>
          </w:p>
        </w:tc>
        <w:tc>
          <w:tcPr>
            <w:tcW w:w="6074" w:type="dxa"/>
          </w:tcPr>
          <w:p w14:paraId="137A7E3F"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5B6D9186" w14:textId="77777777" w:rsidTr="00AC4DEE">
        <w:tc>
          <w:tcPr>
            <w:tcW w:w="2165" w:type="dxa"/>
          </w:tcPr>
          <w:p w14:paraId="763B1444" w14:textId="77777777" w:rsidR="001F04FD" w:rsidRDefault="001F04FD" w:rsidP="00AC4DEE">
            <w:pPr>
              <w:pStyle w:val="TableBody"/>
            </w:pPr>
            <w:r>
              <w:t xml:space="preserve">RTCCAMT </w:t>
            </w:r>
            <w:r w:rsidRPr="00107CC2">
              <w:rPr>
                <w:i/>
                <w:vertAlign w:val="subscript"/>
              </w:rPr>
              <w:t>q, s</w:t>
            </w:r>
          </w:p>
        </w:tc>
        <w:tc>
          <w:tcPr>
            <w:tcW w:w="832" w:type="dxa"/>
          </w:tcPr>
          <w:p w14:paraId="5385731B" w14:textId="77777777" w:rsidR="001F04FD" w:rsidRDefault="001F04FD" w:rsidP="00AC4DEE">
            <w:pPr>
              <w:pStyle w:val="TableBody"/>
            </w:pPr>
            <w:r>
              <w:t>$</w:t>
            </w:r>
          </w:p>
        </w:tc>
        <w:tc>
          <w:tcPr>
            <w:tcW w:w="6074" w:type="dxa"/>
          </w:tcPr>
          <w:p w14:paraId="419DBD22" w14:textId="77777777" w:rsidR="001F04FD" w:rsidRDefault="001F04FD" w:rsidP="00AC4DEE">
            <w:pPr>
              <w:pStyle w:val="TableBody"/>
            </w:pPr>
            <w:r>
              <w:rPr>
                <w:i/>
              </w:rPr>
              <w:t>Real-Time Congestion Cost Amount per QSE per Self-Schedule</w:t>
            </w:r>
            <w:r>
              <w:t xml:space="preserve">—The congestion payment or charge to QSE </w:t>
            </w:r>
            <w:r>
              <w:rPr>
                <w:i/>
              </w:rPr>
              <w:t>q</w:t>
            </w:r>
            <w:r>
              <w:t xml:space="preserve"> for its Self-Schedule </w:t>
            </w:r>
            <w:r>
              <w:rPr>
                <w:i/>
              </w:rPr>
              <w:t>s</w:t>
            </w:r>
            <w:r>
              <w:t>, for the 15-minute Settlement Interval.</w:t>
            </w:r>
          </w:p>
        </w:tc>
      </w:tr>
      <w:tr w:rsidR="001F04FD" w14:paraId="1DD4321B" w14:textId="77777777" w:rsidTr="00AC4DEE">
        <w:tc>
          <w:tcPr>
            <w:tcW w:w="2165" w:type="dxa"/>
            <w:tcBorders>
              <w:top w:val="single" w:sz="4" w:space="0" w:color="auto"/>
              <w:left w:val="single" w:sz="4" w:space="0" w:color="auto"/>
              <w:bottom w:val="single" w:sz="4" w:space="0" w:color="auto"/>
              <w:right w:val="single" w:sz="4" w:space="0" w:color="auto"/>
            </w:tcBorders>
          </w:tcPr>
          <w:p w14:paraId="1574A929" w14:textId="77777777" w:rsidR="001F04FD" w:rsidRPr="00107CC2" w:rsidRDefault="001F04FD" w:rsidP="00AC4DEE">
            <w:pPr>
              <w:pStyle w:val="TableBody"/>
              <w:rPr>
                <w:i/>
              </w:rPr>
            </w:pPr>
            <w:r w:rsidRPr="00107CC2">
              <w:rPr>
                <w:i/>
              </w:rPr>
              <w:t>q</w:t>
            </w:r>
          </w:p>
        </w:tc>
        <w:tc>
          <w:tcPr>
            <w:tcW w:w="832" w:type="dxa"/>
            <w:tcBorders>
              <w:top w:val="single" w:sz="4" w:space="0" w:color="auto"/>
              <w:left w:val="single" w:sz="4" w:space="0" w:color="auto"/>
              <w:bottom w:val="single" w:sz="4" w:space="0" w:color="auto"/>
              <w:right w:val="single" w:sz="4" w:space="0" w:color="auto"/>
            </w:tcBorders>
          </w:tcPr>
          <w:p w14:paraId="378A3774"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C7E2166" w14:textId="77777777" w:rsidR="001F04FD" w:rsidRDefault="001F04FD" w:rsidP="00AC4DEE">
            <w:pPr>
              <w:pStyle w:val="TableBody"/>
            </w:pPr>
            <w:r>
              <w:t>A QSE.</w:t>
            </w:r>
          </w:p>
        </w:tc>
      </w:tr>
      <w:tr w:rsidR="001F04FD" w14:paraId="0523EA53" w14:textId="77777777" w:rsidTr="00AC4DEE">
        <w:tc>
          <w:tcPr>
            <w:tcW w:w="2165" w:type="dxa"/>
            <w:tcBorders>
              <w:top w:val="single" w:sz="4" w:space="0" w:color="auto"/>
              <w:left w:val="single" w:sz="4" w:space="0" w:color="auto"/>
              <w:bottom w:val="single" w:sz="4" w:space="0" w:color="auto"/>
              <w:right w:val="single" w:sz="4" w:space="0" w:color="auto"/>
            </w:tcBorders>
          </w:tcPr>
          <w:p w14:paraId="7092E66F" w14:textId="77777777" w:rsidR="001F04FD" w:rsidRPr="00107CC2" w:rsidRDefault="001F04FD" w:rsidP="00AC4DEE">
            <w:pPr>
              <w:pStyle w:val="TableBody"/>
              <w:rPr>
                <w:i/>
              </w:rPr>
            </w:pPr>
            <w:r w:rsidRPr="00107CC2">
              <w:rPr>
                <w:i/>
              </w:rPr>
              <w:t>s</w:t>
            </w:r>
          </w:p>
        </w:tc>
        <w:tc>
          <w:tcPr>
            <w:tcW w:w="832" w:type="dxa"/>
            <w:tcBorders>
              <w:top w:val="single" w:sz="4" w:space="0" w:color="auto"/>
              <w:left w:val="single" w:sz="4" w:space="0" w:color="auto"/>
              <w:bottom w:val="single" w:sz="4" w:space="0" w:color="auto"/>
              <w:right w:val="single" w:sz="4" w:space="0" w:color="auto"/>
            </w:tcBorders>
          </w:tcPr>
          <w:p w14:paraId="4E9F2C1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B6BE458" w14:textId="77777777" w:rsidR="001F04FD" w:rsidRDefault="001F04FD" w:rsidP="00AC4DEE">
            <w:pPr>
              <w:pStyle w:val="TableBody"/>
            </w:pPr>
            <w:r>
              <w:t>A Self-Schedule.</w:t>
            </w:r>
          </w:p>
        </w:tc>
      </w:tr>
    </w:tbl>
    <w:p w14:paraId="4DE12A46" w14:textId="77777777" w:rsidR="001F04FD" w:rsidRDefault="001F04FD" w:rsidP="001F04FD">
      <w:pPr>
        <w:pStyle w:val="H3"/>
        <w:spacing w:before="480"/>
        <w:rPr>
          <w:lang w:val="fr-FR"/>
        </w:rPr>
      </w:pPr>
      <w:bookmarkStart w:id="1999" w:name="_Toc397505020"/>
      <w:bookmarkStart w:id="2000" w:name="_Toc402357148"/>
      <w:bookmarkStart w:id="2001" w:name="_Toc422486528"/>
      <w:bookmarkStart w:id="2002" w:name="_Toc433093381"/>
      <w:bookmarkStart w:id="2003" w:name="_Toc433093539"/>
      <w:bookmarkStart w:id="2004" w:name="_Toc440874769"/>
      <w:bookmarkStart w:id="2005" w:name="_Toc448142326"/>
      <w:bookmarkStart w:id="2006" w:name="_Toc448142483"/>
      <w:bookmarkStart w:id="2007" w:name="_Toc458770324"/>
      <w:bookmarkStart w:id="2008" w:name="_Toc459294292"/>
      <w:bookmarkStart w:id="2009" w:name="_Toc463262785"/>
      <w:bookmarkStart w:id="2010" w:name="_Toc468286858"/>
      <w:bookmarkStart w:id="2011" w:name="_Toc481502898"/>
      <w:bookmarkStart w:id="2012" w:name="_Toc496080066"/>
      <w:bookmarkStart w:id="2013" w:name="_Toc189044423"/>
      <w:bookmarkStart w:id="2014" w:name="_Toc87951795"/>
      <w:bookmarkStart w:id="2015" w:name="_Toc109009401"/>
      <w:bookmarkEnd w:id="1965"/>
      <w:bookmarkEnd w:id="1966"/>
      <w:r>
        <w:rPr>
          <w:lang w:val="fr-FR"/>
        </w:rPr>
        <w:t>6.6.5</w:t>
      </w:r>
      <w:r>
        <w:rPr>
          <w:lang w:val="fr-FR"/>
        </w:rPr>
        <w:tab/>
        <w:t>Base Point Deviation Charge</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8F4B78" w:rsidRPr="00DE2E54" w14:paraId="5F68F9EB" w14:textId="77777777" w:rsidTr="008F4B78">
        <w:tc>
          <w:tcPr>
            <w:tcW w:w="9350" w:type="dxa"/>
            <w:shd w:val="clear" w:color="auto" w:fill="E0E0E0"/>
          </w:tcPr>
          <w:p w14:paraId="10A00F75" w14:textId="08262FE1" w:rsidR="008F4B78" w:rsidRPr="00DE2E54" w:rsidRDefault="008F4B78" w:rsidP="00426634">
            <w:pPr>
              <w:spacing w:before="120" w:after="240"/>
              <w:rPr>
                <w:b/>
                <w:i/>
                <w:iCs/>
              </w:rPr>
            </w:pPr>
            <w:bookmarkStart w:id="2016" w:name="_Toc397505021"/>
            <w:bookmarkStart w:id="2017" w:name="_Toc402357149"/>
            <w:bookmarkStart w:id="2018" w:name="_Toc422486529"/>
            <w:bookmarkStart w:id="2019" w:name="_Toc433093382"/>
            <w:bookmarkStart w:id="2020" w:name="_Toc433093540"/>
            <w:bookmarkStart w:id="2021" w:name="_Toc440874770"/>
            <w:bookmarkStart w:id="2022" w:name="_Toc448142327"/>
            <w:bookmarkStart w:id="2023" w:name="_Toc448142484"/>
            <w:bookmarkStart w:id="2024" w:name="_Toc458770325"/>
            <w:bookmarkStart w:id="2025" w:name="_Toc459294293"/>
            <w:bookmarkStart w:id="2026" w:name="_Toc463262786"/>
            <w:bookmarkStart w:id="2027" w:name="_Toc468286859"/>
            <w:bookmarkStart w:id="2028" w:name="_Toc481502899"/>
            <w:bookmarkStart w:id="2029" w:name="_Toc496080067"/>
            <w:r>
              <w:rPr>
                <w:b/>
                <w:i/>
                <w:iCs/>
              </w:rPr>
              <w:t>[NPRR1029</w:t>
            </w:r>
            <w:r w:rsidRPr="00DE2E54">
              <w:rPr>
                <w:b/>
                <w:i/>
                <w:iCs/>
              </w:rPr>
              <w:t>:  Replace</w:t>
            </w:r>
            <w:r>
              <w:rPr>
                <w:b/>
                <w:i/>
                <w:iCs/>
              </w:rPr>
              <w:t xml:space="preserve"> the title for Section 6.6.5</w:t>
            </w:r>
            <w:r w:rsidRPr="00DE2E54">
              <w:rPr>
                <w:b/>
                <w:i/>
                <w:iCs/>
              </w:rPr>
              <w:t xml:space="preserve"> above with the following upon system implementation:]</w:t>
            </w:r>
          </w:p>
          <w:p w14:paraId="677DC7DB" w14:textId="72A080F8" w:rsidR="008F4B78" w:rsidRPr="008F4B78" w:rsidRDefault="008F4B78" w:rsidP="008F4B78">
            <w:pPr>
              <w:keepNext/>
              <w:tabs>
                <w:tab w:val="left" w:pos="1080"/>
              </w:tabs>
              <w:spacing w:before="240" w:after="240"/>
              <w:ind w:left="1080" w:hanging="1080"/>
              <w:outlineLvl w:val="2"/>
              <w:rPr>
                <w:b/>
                <w:bCs/>
                <w:i/>
                <w:lang w:val="fr-FR"/>
              </w:rPr>
            </w:pPr>
            <w:bookmarkStart w:id="2030" w:name="_Toc60040686"/>
            <w:bookmarkStart w:id="2031" w:name="_Toc65151745"/>
            <w:bookmarkStart w:id="2032" w:name="_Toc80174771"/>
            <w:bookmarkStart w:id="2033" w:name="_Toc112417651"/>
            <w:bookmarkStart w:id="2034" w:name="_Toc125966253"/>
            <w:bookmarkStart w:id="2035" w:name="_Toc135992351"/>
            <w:bookmarkStart w:id="2036" w:name="_Toc170303547"/>
            <w:bookmarkStart w:id="2037" w:name="_Toc175157451"/>
            <w:bookmarkStart w:id="2038" w:name="_Toc189044424"/>
            <w:r w:rsidRPr="00382816">
              <w:rPr>
                <w:b/>
                <w:bCs/>
                <w:i/>
                <w:lang w:val="fr-FR"/>
              </w:rPr>
              <w:t>6.6.5</w:t>
            </w:r>
            <w:r w:rsidRPr="00382816">
              <w:rPr>
                <w:b/>
                <w:bCs/>
                <w:i/>
                <w:lang w:val="fr-FR"/>
              </w:rPr>
              <w:tab/>
            </w:r>
            <w:r>
              <w:rPr>
                <w:b/>
                <w:bCs/>
                <w:i/>
                <w:lang w:val="fr-FR"/>
              </w:rPr>
              <w:t>Set</w:t>
            </w:r>
            <w:r w:rsidRPr="00382816">
              <w:rPr>
                <w:b/>
                <w:bCs/>
                <w:i/>
                <w:lang w:val="fr-FR"/>
              </w:rPr>
              <w:t xml:space="preserve"> </w:t>
            </w:r>
            <w:r>
              <w:rPr>
                <w:b/>
                <w:bCs/>
                <w:i/>
                <w:lang w:val="fr-FR"/>
              </w:rPr>
              <w:t>Point Deviation Charge</w:t>
            </w:r>
            <w:bookmarkEnd w:id="2030"/>
            <w:bookmarkEnd w:id="2031"/>
            <w:bookmarkEnd w:id="2032"/>
            <w:bookmarkEnd w:id="2033"/>
            <w:bookmarkEnd w:id="2034"/>
            <w:bookmarkEnd w:id="2035"/>
            <w:bookmarkEnd w:id="2036"/>
            <w:bookmarkEnd w:id="2037"/>
            <w:bookmarkEnd w:id="2038"/>
          </w:p>
        </w:tc>
      </w:tr>
    </w:tbl>
    <w:p w14:paraId="521F9B24" w14:textId="77777777" w:rsidR="001F04FD" w:rsidRPr="001A3201" w:rsidRDefault="001F04FD" w:rsidP="001F04FD">
      <w:pPr>
        <w:pStyle w:val="H3"/>
        <w:outlineLvl w:val="3"/>
        <w:rPr>
          <w:i w:val="0"/>
          <w:lang w:val="fr-FR"/>
        </w:rPr>
      </w:pPr>
      <w:bookmarkStart w:id="2039" w:name="_Toc189044425"/>
      <w:r w:rsidRPr="001A3201">
        <w:rPr>
          <w:i w:val="0"/>
          <w:lang w:val="fr-FR"/>
        </w:rPr>
        <w:t>6.6.5.1</w:t>
      </w:r>
      <w:r w:rsidRPr="001A3201">
        <w:rPr>
          <w:i w:val="0"/>
          <w:lang w:val="fr-FR"/>
        </w:rPr>
        <w:tab/>
        <w:t>Resource Base Point Deviation Charge</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9"/>
    </w:p>
    <w:p w14:paraId="218F9A82" w14:textId="3DC727CD" w:rsidR="001F04FD" w:rsidRDefault="001F04FD" w:rsidP="001F04FD">
      <w:pPr>
        <w:pStyle w:val="List"/>
        <w:ind w:left="720"/>
      </w:pPr>
      <w:r>
        <w:t>(1)</w:t>
      </w:r>
      <w:r>
        <w:tab/>
        <w:t xml:space="preserve">A QSE for a Generation Resource or Controllable Load Resource shall pay a Base Point Deviation Charge if the Resource did not follow Dispatch Instructions and Ancillary </w:t>
      </w:r>
      <w:r>
        <w:lastRenderedPageBreak/>
        <w:t xml:space="preserve">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C0176" w14:paraId="48A0D85E" w14:textId="27C366E5" w:rsidTr="00F5593C">
        <w:trPr>
          <w:trHeight w:val="206"/>
        </w:trPr>
        <w:tc>
          <w:tcPr>
            <w:tcW w:w="9576" w:type="dxa"/>
            <w:shd w:val="pct12" w:color="auto" w:fill="auto"/>
          </w:tcPr>
          <w:p w14:paraId="29AC62AB" w14:textId="5AFAD2AC" w:rsidR="001C0176" w:rsidRDefault="001C0176" w:rsidP="00F5593C">
            <w:pPr>
              <w:pStyle w:val="Instructions"/>
              <w:spacing w:before="120"/>
            </w:pPr>
            <w:r>
              <w:t>[NPRR1188:  Replace paragraph (1) above with the following upon system implementation:]</w:t>
            </w:r>
          </w:p>
          <w:p w14:paraId="5552129C" w14:textId="18C3BA01" w:rsidR="001C0176" w:rsidRPr="008F39F7" w:rsidRDefault="001C0176" w:rsidP="001C0176">
            <w:pPr>
              <w:pStyle w:val="List"/>
              <w:ind w:left="720"/>
            </w:pPr>
            <w:r w:rsidRPr="00812ECB">
              <w:t>(1)</w:t>
            </w:r>
            <w:r w:rsidRPr="00812ECB">
              <w:tab/>
              <w:t>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any time during the Settlement Interval when the telemetered Resource Status is set to ONTEST or STARTUP.  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or ONTEST.  The desired output from a Generation Resource or desired consumption from a Controllable Load Resource during a 15-minute Settlement Interval is calculated as follows:</w:t>
            </w:r>
          </w:p>
        </w:tc>
      </w:tr>
    </w:tbl>
    <w:p w14:paraId="1D272C52" w14:textId="77777777" w:rsidR="001F04FD" w:rsidRDefault="001F04FD" w:rsidP="000E5916">
      <w:pPr>
        <w:pStyle w:val="FormulaBold"/>
        <w:spacing w:before="240"/>
      </w:pPr>
      <w:r>
        <w:t>AABP</w:t>
      </w:r>
      <w:r w:rsidRPr="00547875">
        <w:rPr>
          <w:vertAlign w:val="subscript"/>
        </w:rPr>
        <w:t xml:space="preserve"> </w:t>
      </w:r>
      <w:r w:rsidRPr="006624C0">
        <w:rPr>
          <w:i/>
          <w:vertAlign w:val="subscript"/>
        </w:rPr>
        <w:t>q, r, p, i</w:t>
      </w:r>
      <w:r>
        <w:tab/>
        <w:t>=</w:t>
      </w:r>
      <w:r>
        <w:tab/>
        <w:t>AVG</w:t>
      </w:r>
      <w:r w:rsidRPr="00BC5C70">
        <w:t>BP</w:t>
      </w:r>
      <w:r w:rsidRPr="00BC5C70">
        <w:rPr>
          <w:vertAlign w:val="subscript"/>
        </w:rPr>
        <w:t xml:space="preserve"> </w:t>
      </w:r>
      <w:r w:rsidRPr="006624C0">
        <w:rPr>
          <w:i/>
          <w:vertAlign w:val="subscript"/>
        </w:rPr>
        <w:t>q, r, p, i</w:t>
      </w:r>
      <w:r>
        <w:rPr>
          <w:vertAlign w:val="subscript"/>
        </w:rPr>
        <w:t xml:space="preserve"> </w:t>
      </w:r>
      <w:r w:rsidRPr="00547875">
        <w:rPr>
          <w:vertAlign w:val="subscript"/>
        </w:rPr>
        <w:t>+</w:t>
      </w:r>
      <w:r>
        <w:rPr>
          <w:vertAlign w:val="subscript"/>
        </w:rPr>
        <w:t xml:space="preserve"> </w:t>
      </w:r>
      <w:r>
        <w:t>AVGREG</w:t>
      </w:r>
      <w:r w:rsidRPr="00BC5C70">
        <w:rPr>
          <w:vertAlign w:val="subscript"/>
        </w:rPr>
        <w:t xml:space="preserve"> </w:t>
      </w:r>
      <w:r w:rsidRPr="006624C0">
        <w:rPr>
          <w:i/>
          <w:vertAlign w:val="subscript"/>
        </w:rPr>
        <w:t>q, r, p, i</w:t>
      </w:r>
      <w:r w:rsidRPr="003C587D">
        <w:rPr>
          <w:vertAlign w:val="subscript"/>
        </w:rPr>
        <w:t xml:space="preserve"> </w:t>
      </w:r>
      <w:r w:rsidRPr="00BC5C70">
        <w:rPr>
          <w:vertAlign w:val="subscript"/>
        </w:rPr>
        <w:t xml:space="preserve"> </w:t>
      </w:r>
    </w:p>
    <w:p w14:paraId="02DBF705" w14:textId="77777777" w:rsidR="00E4028A" w:rsidRPr="009D0955" w:rsidRDefault="00E4028A" w:rsidP="00E4028A">
      <w:pPr>
        <w:pStyle w:val="FormulaBold"/>
        <w:tabs>
          <w:tab w:val="clear" w:pos="3960"/>
        </w:tabs>
        <w:ind w:left="3150" w:hanging="2430"/>
        <w:rPr>
          <w:b w:val="0"/>
          <w:lang w:val="es-MX"/>
        </w:rPr>
      </w:pPr>
      <w:r w:rsidRPr="00D661BC">
        <w:rPr>
          <w:b w:val="0"/>
          <w:lang w:val="es-MX"/>
        </w:rPr>
        <w:t>Where:</w:t>
      </w:r>
    </w:p>
    <w:p w14:paraId="4BA03B41" w14:textId="77777777" w:rsidR="001F04FD" w:rsidRPr="00D56BB3" w:rsidRDefault="001F04FD" w:rsidP="001F04FD">
      <w:pPr>
        <w:pStyle w:val="FormulaBold"/>
        <w:rPr>
          <w:b w:val="0"/>
        </w:rPr>
      </w:pPr>
      <w:r w:rsidRPr="00D56BB3">
        <w:rPr>
          <w:b w:val="0"/>
        </w:rPr>
        <w:t>AVGBP</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1D5D93EE">
          <v:shape id="_x0000_i1179" type="#_x0000_t75" style="width:6pt;height:24pt" o:ole="">
            <v:imagedata r:id="rId208" o:title=""/>
          </v:shape>
          <o:OLEObject Type="Embed" ProgID="Equation.3" ShapeID="_x0000_i1179" DrawAspect="Content" ObjectID="_1804653664" r:id="rId209"/>
        </w:object>
      </w:r>
      <w:r w:rsidRPr="00D56BB3">
        <w:rPr>
          <w:b w:val="0"/>
        </w:rPr>
        <w:t xml:space="preserve"> (</w:t>
      </w:r>
      <w:r w:rsidRPr="00D56BB3">
        <w:rPr>
          <w:b w:val="0"/>
          <w:lang w:val="es-ES"/>
        </w:rPr>
        <w:t xml:space="preserve">AVGBP5M </w:t>
      </w:r>
      <w:r w:rsidRPr="00D56BB3">
        <w:rPr>
          <w:b w:val="0"/>
          <w:i/>
          <w:vertAlign w:val="subscript"/>
          <w:lang w:val="es-ES"/>
        </w:rPr>
        <w:t>q, r, p, i, y</w:t>
      </w:r>
      <w:r w:rsidRPr="00D56BB3">
        <w:rPr>
          <w:b w:val="0"/>
        </w:rPr>
        <w:t>) / 3</w:t>
      </w:r>
    </w:p>
    <w:p w14:paraId="5D0E0E8C" w14:textId="77777777" w:rsidR="001F04FD" w:rsidRPr="00D56BB3" w:rsidRDefault="001F04FD" w:rsidP="001F04FD">
      <w:pPr>
        <w:pStyle w:val="FormulaBold"/>
        <w:tabs>
          <w:tab w:val="clear" w:pos="3960"/>
        </w:tabs>
        <w:ind w:left="3150" w:hanging="2430"/>
        <w:rPr>
          <w:b w:val="0"/>
          <w:lang w:val="es-MX"/>
        </w:rPr>
      </w:pPr>
      <w:r w:rsidRPr="00D56BB3">
        <w:rPr>
          <w:b w:val="0"/>
        </w:rPr>
        <w:t>AVGREG</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2A00E083">
          <v:shape id="_x0000_i1180" type="#_x0000_t75" style="width:6pt;height:24pt" o:ole="">
            <v:imagedata r:id="rId208" o:title=""/>
          </v:shape>
          <o:OLEObject Type="Embed" ProgID="Equation.3" ShapeID="_x0000_i1180" DrawAspect="Content" ObjectID="_1804653665" r:id="rId210"/>
        </w:object>
      </w:r>
      <w:r w:rsidRPr="00D56BB3">
        <w:rPr>
          <w:b w:val="0"/>
        </w:rPr>
        <w:t xml:space="preserve"> (</w:t>
      </w:r>
      <w:r w:rsidRPr="00D56BB3">
        <w:rPr>
          <w:b w:val="0"/>
          <w:lang w:val="es-ES"/>
        </w:rPr>
        <w:t xml:space="preserve">AVGREG5M </w:t>
      </w:r>
      <w:r w:rsidRPr="00D56BB3">
        <w:rPr>
          <w:b w:val="0"/>
          <w:i/>
          <w:vertAlign w:val="subscript"/>
          <w:lang w:val="es-ES"/>
        </w:rPr>
        <w:t>q, r, p, i, y</w:t>
      </w:r>
      <w:r w:rsidRPr="00D56BB3">
        <w:rPr>
          <w:b w:val="0"/>
        </w:rPr>
        <w:t>) / 3</w:t>
      </w:r>
    </w:p>
    <w:p w14:paraId="7F50EAD8" w14:textId="77777777" w:rsidR="001F04FD" w:rsidRPr="001A3201" w:rsidRDefault="001F04FD" w:rsidP="001F04FD">
      <w:pPr>
        <w:pStyle w:val="FormulaBold"/>
        <w:tabs>
          <w:tab w:val="clear" w:pos="3960"/>
        </w:tabs>
        <w:ind w:left="3150" w:hanging="2430"/>
        <w:rPr>
          <w:b w:val="0"/>
          <w:lang w:val="es-MX"/>
        </w:rPr>
      </w:pPr>
      <w:r w:rsidRPr="001A3201">
        <w:rPr>
          <w:b w:val="0"/>
        </w:rPr>
        <w:t>AVGREG5M</w:t>
      </w:r>
      <w:r w:rsidRPr="001A3201">
        <w:rPr>
          <w:b w:val="0"/>
          <w:lang w:val="es-MX"/>
        </w:rPr>
        <w:t xml:space="preserve"> </w:t>
      </w:r>
      <w:r w:rsidRPr="001A3201">
        <w:rPr>
          <w:b w:val="0"/>
          <w:i/>
          <w:vertAlign w:val="subscript"/>
          <w:lang w:val="es-ES"/>
        </w:rPr>
        <w:t>q, r, p, i, y</w:t>
      </w:r>
      <w:r w:rsidRPr="001A3201">
        <w:rPr>
          <w:b w:val="0"/>
          <w:vertAlign w:val="subscript"/>
          <w:lang w:val="es-MX"/>
        </w:rPr>
        <w:t xml:space="preserve">    </w:t>
      </w:r>
      <w:r w:rsidRPr="001A3201">
        <w:rPr>
          <w:b w:val="0"/>
          <w:vertAlign w:val="subscript"/>
          <w:lang w:val="es-MX"/>
        </w:rPr>
        <w:tab/>
      </w:r>
      <w:r w:rsidRPr="001A3201">
        <w:rPr>
          <w:b w:val="0"/>
          <w:lang w:val="es-MX"/>
        </w:rPr>
        <w:t>=</w:t>
      </w:r>
      <w:r w:rsidRPr="001A3201">
        <w:rPr>
          <w:b w:val="0"/>
          <w:vertAlign w:val="subscript"/>
          <w:lang w:val="es-MX"/>
        </w:rPr>
        <w:t xml:space="preserve"> </w:t>
      </w:r>
      <w:r w:rsidRPr="001A3201">
        <w:rPr>
          <w:b w:val="0"/>
          <w:vertAlign w:val="subscript"/>
          <w:lang w:val="es-MX"/>
        </w:rPr>
        <w:tab/>
      </w:r>
      <w:r w:rsidRPr="001A3201">
        <w:rPr>
          <w:b w:val="0"/>
          <w:lang w:val="es-MX"/>
        </w:rPr>
        <w:t>(AVGREGUP5M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 AVGREGDN5M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w:t>
      </w:r>
    </w:p>
    <w:p w14:paraId="5E4E6670" w14:textId="77777777" w:rsidR="001F04FD" w:rsidRDefault="001F04FD" w:rsidP="001F04F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1F04FD" w14:paraId="311741FF" w14:textId="77777777" w:rsidTr="00FA433F">
        <w:trPr>
          <w:cantSplit/>
          <w:tblHeader/>
        </w:trPr>
        <w:tc>
          <w:tcPr>
            <w:tcW w:w="2155" w:type="dxa"/>
          </w:tcPr>
          <w:p w14:paraId="00BCCE34" w14:textId="77777777" w:rsidR="001F04FD" w:rsidRDefault="001F04FD" w:rsidP="00AC4DEE">
            <w:pPr>
              <w:pStyle w:val="TableHead"/>
            </w:pPr>
            <w:r>
              <w:lastRenderedPageBreak/>
              <w:t>Variable</w:t>
            </w:r>
          </w:p>
        </w:tc>
        <w:tc>
          <w:tcPr>
            <w:tcW w:w="720" w:type="dxa"/>
          </w:tcPr>
          <w:p w14:paraId="663F4980" w14:textId="77777777" w:rsidR="001F04FD" w:rsidRDefault="001F04FD" w:rsidP="00AC4DEE">
            <w:pPr>
              <w:pStyle w:val="TableHead"/>
            </w:pPr>
            <w:r>
              <w:t>Unit</w:t>
            </w:r>
          </w:p>
        </w:tc>
        <w:tc>
          <w:tcPr>
            <w:tcW w:w="6845" w:type="dxa"/>
          </w:tcPr>
          <w:p w14:paraId="24F39E93" w14:textId="77777777" w:rsidR="001F04FD" w:rsidRDefault="001F04FD" w:rsidP="00AC4DEE">
            <w:pPr>
              <w:pStyle w:val="TableHead"/>
            </w:pPr>
            <w:r>
              <w:t>Definition</w:t>
            </w:r>
          </w:p>
        </w:tc>
      </w:tr>
      <w:tr w:rsidR="001F04FD" w14:paraId="18C4867D" w14:textId="77777777" w:rsidTr="00FA433F">
        <w:trPr>
          <w:cantSplit/>
        </w:trPr>
        <w:tc>
          <w:tcPr>
            <w:tcW w:w="2155" w:type="dxa"/>
          </w:tcPr>
          <w:p w14:paraId="644BB03F" w14:textId="77777777" w:rsidR="001F04FD" w:rsidRPr="00D10ED6" w:rsidRDefault="001F04FD" w:rsidP="00AC4DEE">
            <w:pPr>
              <w:pStyle w:val="TableBody"/>
              <w:rPr>
                <w:i/>
                <w:vertAlign w:val="subscript"/>
              </w:rPr>
            </w:pPr>
            <w:r w:rsidRPr="00D10ED6">
              <w:t xml:space="preserve">AABP </w:t>
            </w:r>
            <w:r w:rsidRPr="00D10ED6">
              <w:rPr>
                <w:i/>
                <w:vertAlign w:val="subscript"/>
              </w:rPr>
              <w:t>q, r, p, i</w:t>
            </w:r>
          </w:p>
        </w:tc>
        <w:tc>
          <w:tcPr>
            <w:tcW w:w="720" w:type="dxa"/>
          </w:tcPr>
          <w:p w14:paraId="46B54E35" w14:textId="77777777" w:rsidR="001F04FD" w:rsidRPr="00D10ED6" w:rsidRDefault="001F04FD" w:rsidP="00AC4DEE">
            <w:pPr>
              <w:pStyle w:val="TableBody"/>
            </w:pPr>
            <w:r w:rsidRPr="00D10ED6">
              <w:t>MW</w:t>
            </w:r>
          </w:p>
        </w:tc>
        <w:tc>
          <w:tcPr>
            <w:tcW w:w="6845" w:type="dxa"/>
          </w:tcPr>
          <w:p w14:paraId="3486219E" w14:textId="77777777" w:rsidR="001F04FD" w:rsidRPr="00D10ED6" w:rsidRDefault="001F04FD" w:rsidP="00AC4DEE">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1F04FD" w14:paraId="0EF20C92" w14:textId="77777777" w:rsidTr="00FA433F">
        <w:trPr>
          <w:cantSplit/>
        </w:trPr>
        <w:tc>
          <w:tcPr>
            <w:tcW w:w="2155" w:type="dxa"/>
          </w:tcPr>
          <w:p w14:paraId="466825F4" w14:textId="77777777" w:rsidR="001F04FD" w:rsidRPr="00D10ED6" w:rsidRDefault="001F04FD" w:rsidP="00AC4DEE">
            <w:pPr>
              <w:pStyle w:val="TableBody"/>
              <w:rPr>
                <w:i/>
              </w:rPr>
            </w:pPr>
            <w:r w:rsidRPr="006624C0">
              <w:rPr>
                <w:lang w:val="es-MX"/>
              </w:rPr>
              <w:t xml:space="preserve">AVGBP </w:t>
            </w:r>
            <w:r w:rsidRPr="006624C0">
              <w:rPr>
                <w:i/>
                <w:iCs w:val="0"/>
                <w:vertAlign w:val="subscript"/>
                <w:lang w:val="es-ES"/>
              </w:rPr>
              <w:t>q, r, p, i</w:t>
            </w:r>
            <w:r w:rsidRPr="006624C0">
              <w:rPr>
                <w:i/>
                <w:iCs w:val="0"/>
                <w:vertAlign w:val="subscript"/>
                <w:lang w:val="es-MX"/>
              </w:rPr>
              <w:t xml:space="preserve"> </w:t>
            </w:r>
          </w:p>
        </w:tc>
        <w:tc>
          <w:tcPr>
            <w:tcW w:w="720" w:type="dxa"/>
          </w:tcPr>
          <w:p w14:paraId="2484D27E" w14:textId="77777777" w:rsidR="001F04FD" w:rsidRPr="00D10ED6" w:rsidRDefault="001F04FD" w:rsidP="00AC4DEE">
            <w:pPr>
              <w:pStyle w:val="TableBody"/>
            </w:pPr>
            <w:r w:rsidRPr="006624C0">
              <w:t>MW</w:t>
            </w:r>
          </w:p>
        </w:tc>
        <w:tc>
          <w:tcPr>
            <w:tcW w:w="6845" w:type="dxa"/>
          </w:tcPr>
          <w:p w14:paraId="168BDEE1" w14:textId="77777777" w:rsidR="001F04FD" w:rsidRDefault="001F04FD" w:rsidP="00AC4DEE">
            <w:pPr>
              <w:pStyle w:val="TableBody"/>
              <w:spacing w:after="0"/>
            </w:pPr>
            <w:r w:rsidRPr="006624C0">
              <w:rPr>
                <w:i/>
                <w:iCs w:val="0"/>
              </w:rPr>
              <w:t>Average Base Point per QSE per Settlement Point per Resource</w:t>
            </w:r>
            <w:r w:rsidRPr="006624C0">
              <w:rPr>
                <w:iCs w:val="0"/>
              </w:rPr>
              <w:t xml:space="preserve">—The average of the five-minute clock interval Base Points over the 15-minute Settlement Interval </w:t>
            </w:r>
            <w:r w:rsidRPr="006624C0">
              <w:rPr>
                <w:i/>
                <w:iCs w:val="0"/>
              </w:rPr>
              <w:t>i</w:t>
            </w:r>
            <w:r>
              <w:t xml:space="preserve"> </w:t>
            </w:r>
            <w:r w:rsidRPr="006624C0">
              <w:t xml:space="preserve">for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w:t>
            </w:r>
          </w:p>
        </w:tc>
      </w:tr>
      <w:tr w:rsidR="001F04FD" w14:paraId="085034AC" w14:textId="77777777" w:rsidTr="00FA433F">
        <w:trPr>
          <w:cantSplit/>
        </w:trPr>
        <w:tc>
          <w:tcPr>
            <w:tcW w:w="2155" w:type="dxa"/>
          </w:tcPr>
          <w:p w14:paraId="76D904AB" w14:textId="77777777" w:rsidR="001F04FD" w:rsidRPr="00D10ED6" w:rsidRDefault="001F04FD" w:rsidP="00AC4DEE">
            <w:pPr>
              <w:pStyle w:val="TableBody"/>
              <w:rPr>
                <w:i/>
              </w:rPr>
            </w:pPr>
            <w:r w:rsidRPr="006624C0">
              <w:rPr>
                <w:lang w:val="es-MX"/>
              </w:rPr>
              <w:t xml:space="preserve">AVGBP5M </w:t>
            </w:r>
            <w:r w:rsidRPr="006624C0">
              <w:rPr>
                <w:i/>
                <w:iCs w:val="0"/>
                <w:vertAlign w:val="subscript"/>
                <w:lang w:val="es-ES"/>
              </w:rPr>
              <w:t>q, r, p, i, y</w:t>
            </w:r>
            <w:r w:rsidRPr="006624C0">
              <w:rPr>
                <w:i/>
                <w:iCs w:val="0"/>
                <w:vertAlign w:val="subscript"/>
                <w:lang w:val="es-MX"/>
              </w:rPr>
              <w:t xml:space="preserve"> </w:t>
            </w:r>
          </w:p>
        </w:tc>
        <w:tc>
          <w:tcPr>
            <w:tcW w:w="720" w:type="dxa"/>
          </w:tcPr>
          <w:p w14:paraId="7E9506D5" w14:textId="77777777" w:rsidR="001F04FD" w:rsidRPr="00D10ED6" w:rsidRDefault="001F04FD" w:rsidP="00AC4DEE">
            <w:pPr>
              <w:pStyle w:val="TableBody"/>
            </w:pPr>
            <w:r w:rsidRPr="006624C0">
              <w:t>MW</w:t>
            </w:r>
          </w:p>
        </w:tc>
        <w:tc>
          <w:tcPr>
            <w:tcW w:w="6845" w:type="dxa"/>
          </w:tcPr>
          <w:p w14:paraId="36341D2E" w14:textId="4B89DA16" w:rsidR="001F04FD" w:rsidRPr="00D10ED6" w:rsidRDefault="001F04FD" w:rsidP="00AC4DEE">
            <w:pPr>
              <w:pStyle w:val="TableBody"/>
            </w:pPr>
            <w:r w:rsidRPr="006624C0">
              <w:rPr>
                <w:i/>
              </w:rPr>
              <w:t>Average five-minute clock interval Base Point per QSE per Settlement Point per Resource</w:t>
            </w:r>
            <w:r w:rsidRPr="006624C0">
              <w:t>—The average Base Point for the Generation Resource</w:t>
            </w:r>
            <w:r>
              <w:t xml:space="preserve"> or Controllable Load Resource</w:t>
            </w:r>
            <w:r w:rsidRPr="006624C0">
              <w:t xml:space="preserv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 xml:space="preserve">.  The time-weighted average of the linearly ramped Base Points in a five-minute clock interval </w:t>
            </w:r>
            <w:r w:rsidRPr="006624C0">
              <w:rPr>
                <w:i/>
              </w:rPr>
              <w:t>y</w:t>
            </w:r>
            <w:r w:rsidRPr="006624C0">
              <w:t>.  The linearly ramped Base Point is calculated every four seconds such that it ramps from its initial value to the SCED Base Point over a five-minute clock interval</w:t>
            </w:r>
            <w:r w:rsidRPr="006624C0">
              <w:rPr>
                <w:i/>
              </w:rPr>
              <w:t xml:space="preserve"> y</w:t>
            </w:r>
            <w:r w:rsidRPr="006624C0">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t>
            </w:r>
            <w:r>
              <w:t>V</w:t>
            </w:r>
            <w:r w:rsidRPr="006624C0">
              <w:t>GBP5M is equal to the ABP value calculated for use in Generation Resource Energy Deployment Performance (GREDP)</w:t>
            </w:r>
            <w:r>
              <w:t xml:space="preserve"> </w:t>
            </w:r>
            <w:r w:rsidRPr="006A6281">
              <w:t>or the ABP value calculated for use in the Controllable Load Resource Energy Deployment Performance (CLREDP)</w:t>
            </w:r>
            <w:r w:rsidRPr="006624C0">
              <w:t>, as described in Section 8.1.1.4</w:t>
            </w:r>
            <w:r>
              <w:t>.1</w:t>
            </w:r>
            <w:r w:rsidRPr="006624C0">
              <w:t xml:space="preserve">, </w:t>
            </w:r>
            <w:r w:rsidRPr="006A6281">
              <w:t xml:space="preserve">Regulation Service and Generation Resource/Controllable Load Resource </w:t>
            </w:r>
            <w:r w:rsidRPr="006624C0">
              <w:t xml:space="preserve">Energy Deployment </w:t>
            </w:r>
            <w:r>
              <w:t>Performance</w:t>
            </w:r>
            <w:r w:rsidR="00AE7F72" w:rsidRPr="00AE7F72">
              <w:t>, and Ancillary Service Capacity Performance Metrics</w:t>
            </w:r>
            <w:r w:rsidRPr="006624C0">
              <w:t>.</w:t>
            </w:r>
          </w:p>
        </w:tc>
      </w:tr>
      <w:tr w:rsidR="001F04FD" w14:paraId="207472D4" w14:textId="77777777" w:rsidTr="00FA433F">
        <w:trPr>
          <w:cantSplit/>
        </w:trPr>
        <w:tc>
          <w:tcPr>
            <w:tcW w:w="2155" w:type="dxa"/>
          </w:tcPr>
          <w:p w14:paraId="08015E7D" w14:textId="77777777" w:rsidR="001F04FD" w:rsidRPr="00D10ED6" w:rsidRDefault="001F04FD" w:rsidP="00AC4DEE">
            <w:pPr>
              <w:pStyle w:val="TableBody"/>
              <w:rPr>
                <w:i/>
              </w:rPr>
            </w:pPr>
            <w:r w:rsidRPr="006624C0">
              <w:rPr>
                <w:lang w:val="es-MX"/>
              </w:rPr>
              <w:t xml:space="preserve">AVGREG </w:t>
            </w:r>
            <w:r w:rsidRPr="006624C0">
              <w:rPr>
                <w:i/>
                <w:iCs w:val="0"/>
                <w:vertAlign w:val="subscript"/>
                <w:lang w:val="es-ES"/>
              </w:rPr>
              <w:t>q, r, p, i</w:t>
            </w:r>
            <w:r w:rsidRPr="006624C0">
              <w:rPr>
                <w:i/>
                <w:iCs w:val="0"/>
                <w:vertAlign w:val="subscript"/>
                <w:lang w:val="es-MX"/>
              </w:rPr>
              <w:t xml:space="preserve"> </w:t>
            </w:r>
          </w:p>
        </w:tc>
        <w:tc>
          <w:tcPr>
            <w:tcW w:w="720" w:type="dxa"/>
          </w:tcPr>
          <w:p w14:paraId="37929722" w14:textId="77777777" w:rsidR="001F04FD" w:rsidRPr="00D10ED6" w:rsidRDefault="001F04FD" w:rsidP="00AC4DEE">
            <w:pPr>
              <w:pStyle w:val="TableBody"/>
            </w:pPr>
            <w:r w:rsidRPr="006624C0">
              <w:t>MW</w:t>
            </w:r>
          </w:p>
        </w:tc>
        <w:tc>
          <w:tcPr>
            <w:tcW w:w="6845" w:type="dxa"/>
          </w:tcPr>
          <w:p w14:paraId="0DBCD643" w14:textId="77777777" w:rsidR="001F04FD" w:rsidRPr="00D10ED6" w:rsidRDefault="001F04FD" w:rsidP="00AC4DEE">
            <w:pPr>
              <w:pStyle w:val="TableBody"/>
            </w:pPr>
            <w:r w:rsidRPr="006624C0">
              <w:rPr>
                <w:i/>
              </w:rPr>
              <w:t>Average Regulation Instruction per QSE per Settlement Point per Resource</w:t>
            </w:r>
            <w:r w:rsidRPr="006624C0">
              <w:t xml:space="preserve"> —The average of the five-minute clock interval </w:t>
            </w:r>
            <w:r w:rsidRPr="006624C0">
              <w:rPr>
                <w:i/>
              </w:rPr>
              <w:t>y</w:t>
            </w:r>
            <w:r w:rsidRPr="006624C0">
              <w:t xml:space="preserve"> Regulation Instruction Generation</w:t>
            </w:r>
            <w:r>
              <w:t xml:space="preserve"> Resource or Controllable Load</w:t>
            </w:r>
            <w:r w:rsidRPr="006624C0">
              <w:t xml:space="preserve"> 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over the 15-minute Settlement Interval </w:t>
            </w:r>
            <w:r w:rsidRPr="006624C0">
              <w:rPr>
                <w:i/>
              </w:rPr>
              <w:t>i</w:t>
            </w:r>
            <w:r w:rsidRPr="006624C0">
              <w:t xml:space="preserve">.  </w:t>
            </w:r>
          </w:p>
        </w:tc>
      </w:tr>
      <w:tr w:rsidR="001F04FD" w14:paraId="5C79870C" w14:textId="77777777" w:rsidTr="00FA433F">
        <w:trPr>
          <w:cantSplit/>
        </w:trPr>
        <w:tc>
          <w:tcPr>
            <w:tcW w:w="2155" w:type="dxa"/>
          </w:tcPr>
          <w:p w14:paraId="2E65E21E" w14:textId="11D10115" w:rsidR="001F04FD" w:rsidRPr="00D10ED6" w:rsidRDefault="001F04FD" w:rsidP="00AC4DEE">
            <w:pPr>
              <w:pStyle w:val="TableBody"/>
              <w:rPr>
                <w:i/>
              </w:rPr>
            </w:pPr>
            <w:r w:rsidRPr="006624C0">
              <w:rPr>
                <w:lang w:val="es-MX"/>
              </w:rPr>
              <w:t>AVGREG5M</w:t>
            </w:r>
            <w:r w:rsidRPr="006624C0">
              <w:rPr>
                <w:i/>
                <w:iCs w:val="0"/>
                <w:vertAlign w:val="subscript"/>
                <w:lang w:val="es-ES"/>
              </w:rPr>
              <w:t xml:space="preserve"> q, r, p, i, y</w:t>
            </w:r>
          </w:p>
        </w:tc>
        <w:tc>
          <w:tcPr>
            <w:tcW w:w="720" w:type="dxa"/>
          </w:tcPr>
          <w:p w14:paraId="15A06E18" w14:textId="77777777" w:rsidR="001F04FD" w:rsidRPr="00D10ED6" w:rsidRDefault="001F04FD" w:rsidP="00AC4DEE">
            <w:pPr>
              <w:pStyle w:val="TableBody"/>
            </w:pPr>
            <w:r w:rsidRPr="006624C0">
              <w:t>MW</w:t>
            </w:r>
          </w:p>
        </w:tc>
        <w:tc>
          <w:tcPr>
            <w:tcW w:w="6845" w:type="dxa"/>
          </w:tcPr>
          <w:p w14:paraId="46AC565A" w14:textId="77777777" w:rsidR="001F04FD" w:rsidRPr="00D10ED6" w:rsidRDefault="001F04FD" w:rsidP="00AC4DEE">
            <w:pPr>
              <w:pStyle w:val="TableBody"/>
            </w:pPr>
            <w:r w:rsidRPr="006624C0">
              <w:rPr>
                <w:i/>
              </w:rPr>
              <w:t>Total Average five-minute clock interval Regulation Instruction per QSE per Settlement Point per Resource</w:t>
            </w:r>
            <w:r w:rsidRPr="006624C0">
              <w:t xml:space="preserve">—The total amount of regulation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w:t>
            </w:r>
            <w:r>
              <w:t>Load Frequency Control (</w:t>
            </w:r>
            <w:r w:rsidRPr="006624C0">
              <w:t>LFC</w:t>
            </w:r>
            <w:r>
              <w:t>)</w:t>
            </w:r>
            <w:r w:rsidRPr="006624C0">
              <w:t xml:space="preserve"> deployment signals over the five-minute clock interval </w:t>
            </w:r>
            <w:r w:rsidRPr="006624C0">
              <w:rPr>
                <w:i/>
              </w:rPr>
              <w:t xml:space="preserve">y </w:t>
            </w:r>
            <w:r w:rsidRPr="006624C0">
              <w:t>within the 15-minute Settlement Interval</w:t>
            </w:r>
            <w:r w:rsidRPr="006624C0">
              <w:rPr>
                <w:i/>
              </w:rPr>
              <w:t xml:space="preserve"> i</w:t>
            </w:r>
            <w:r w:rsidRPr="006624C0">
              <w:t>.</w:t>
            </w:r>
          </w:p>
        </w:tc>
      </w:tr>
      <w:tr w:rsidR="001F04FD" w14:paraId="0EE24321" w14:textId="77777777" w:rsidTr="00FA433F">
        <w:trPr>
          <w:cantSplit/>
        </w:trPr>
        <w:tc>
          <w:tcPr>
            <w:tcW w:w="2155" w:type="dxa"/>
          </w:tcPr>
          <w:p w14:paraId="3D3EB4B8" w14:textId="77777777" w:rsidR="001F04FD" w:rsidRPr="00D10ED6" w:rsidRDefault="001F04FD" w:rsidP="00AC4DEE">
            <w:pPr>
              <w:pStyle w:val="TableBody"/>
              <w:rPr>
                <w:i/>
              </w:rPr>
            </w:pPr>
            <w:r w:rsidRPr="006624C0">
              <w:rPr>
                <w:lang w:val="es-MX"/>
              </w:rPr>
              <w:t>AVGREGUP5M</w:t>
            </w:r>
            <w:r w:rsidRPr="006624C0">
              <w:rPr>
                <w:i/>
                <w:iCs w:val="0"/>
                <w:vertAlign w:val="subscript"/>
                <w:lang w:val="es-ES"/>
              </w:rPr>
              <w:t xml:space="preserve"> q, r, p, i, y</w:t>
            </w:r>
          </w:p>
        </w:tc>
        <w:tc>
          <w:tcPr>
            <w:tcW w:w="720" w:type="dxa"/>
          </w:tcPr>
          <w:p w14:paraId="29A7DD1F" w14:textId="77777777" w:rsidR="001F04FD" w:rsidRPr="00D10ED6" w:rsidRDefault="001F04FD" w:rsidP="00AC4DEE">
            <w:pPr>
              <w:pStyle w:val="TableBody"/>
            </w:pPr>
            <w:r w:rsidRPr="006624C0">
              <w:t>MW</w:t>
            </w:r>
          </w:p>
        </w:tc>
        <w:tc>
          <w:tcPr>
            <w:tcW w:w="6845" w:type="dxa"/>
          </w:tcPr>
          <w:p w14:paraId="27DAC5C8" w14:textId="2D5947AC" w:rsidR="001F04FD" w:rsidRPr="00D10ED6" w:rsidRDefault="001F04FD" w:rsidP="00AC4DEE">
            <w:pPr>
              <w:pStyle w:val="TableBody"/>
            </w:pPr>
            <w:r w:rsidRPr="006624C0">
              <w:rPr>
                <w:i/>
              </w:rPr>
              <w:t>Average Regulation Instruction Up per QSE per Settlement Point per Resource</w:t>
            </w:r>
            <w:r w:rsidRPr="006624C0">
              <w:t xml:space="preserve">—The amount of Regulation Up </w:t>
            </w:r>
            <w:r w:rsidR="00F510E2">
              <w:t xml:space="preserve">Service </w:t>
            </w:r>
            <w:r w:rsidRPr="006624C0">
              <w:t xml:space="preserve">(Reg-Up)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452432FA" w14:textId="77777777" w:rsidTr="00FA433F">
        <w:trPr>
          <w:cantSplit/>
        </w:trPr>
        <w:tc>
          <w:tcPr>
            <w:tcW w:w="2155" w:type="dxa"/>
          </w:tcPr>
          <w:p w14:paraId="193608AE" w14:textId="77777777" w:rsidR="001F04FD" w:rsidRPr="00D10ED6" w:rsidRDefault="001F04FD" w:rsidP="00AC4DEE">
            <w:pPr>
              <w:pStyle w:val="TableBody"/>
              <w:rPr>
                <w:i/>
              </w:rPr>
            </w:pPr>
            <w:r w:rsidRPr="006624C0">
              <w:rPr>
                <w:lang w:val="es-MX"/>
              </w:rPr>
              <w:t>AVGREGDN5M</w:t>
            </w:r>
            <w:r w:rsidRPr="006624C0">
              <w:rPr>
                <w:i/>
                <w:iCs w:val="0"/>
                <w:vertAlign w:val="subscript"/>
                <w:lang w:val="es-ES"/>
              </w:rPr>
              <w:t xml:space="preserve"> q, r, p, i, y</w:t>
            </w:r>
          </w:p>
        </w:tc>
        <w:tc>
          <w:tcPr>
            <w:tcW w:w="720" w:type="dxa"/>
          </w:tcPr>
          <w:p w14:paraId="48F7BDD2" w14:textId="77777777" w:rsidR="001F04FD" w:rsidRPr="00D10ED6" w:rsidRDefault="001F04FD" w:rsidP="00AC4DEE">
            <w:pPr>
              <w:pStyle w:val="TableBody"/>
            </w:pPr>
            <w:r w:rsidRPr="006624C0">
              <w:t>MW</w:t>
            </w:r>
          </w:p>
        </w:tc>
        <w:tc>
          <w:tcPr>
            <w:tcW w:w="6845" w:type="dxa"/>
          </w:tcPr>
          <w:p w14:paraId="633A0D7C" w14:textId="0BA70DA4" w:rsidR="001F04FD" w:rsidRPr="00D10ED6" w:rsidRDefault="001F04FD" w:rsidP="00AC4DEE">
            <w:pPr>
              <w:pStyle w:val="TableBody"/>
            </w:pPr>
            <w:r w:rsidRPr="006624C0">
              <w:rPr>
                <w:i/>
              </w:rPr>
              <w:t xml:space="preserve">Average Regulation Instruction Down </w:t>
            </w:r>
            <w:r w:rsidRPr="00D10ED6">
              <w:rPr>
                <w:i/>
              </w:rPr>
              <w:t>per QSE per Settlement Point per Resource</w:t>
            </w:r>
            <w:r w:rsidRPr="006624C0">
              <w:t xml:space="preserve">—The amount of Regulation Down </w:t>
            </w:r>
            <w:r w:rsidR="00F510E2">
              <w:t xml:space="preserve">Service </w:t>
            </w:r>
            <w:r w:rsidRPr="006624C0">
              <w:t xml:space="preserve">(Reg-Down)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29C1B6A3" w14:textId="77777777" w:rsidTr="00FA433F">
        <w:trPr>
          <w:cantSplit/>
        </w:trPr>
        <w:tc>
          <w:tcPr>
            <w:tcW w:w="2155" w:type="dxa"/>
          </w:tcPr>
          <w:p w14:paraId="18C46E00" w14:textId="77777777" w:rsidR="001F04FD" w:rsidRPr="00D10ED6" w:rsidRDefault="001F04FD" w:rsidP="00AC4DEE">
            <w:pPr>
              <w:pStyle w:val="TableBody"/>
              <w:rPr>
                <w:i/>
              </w:rPr>
            </w:pPr>
            <w:r w:rsidRPr="006624C0">
              <w:rPr>
                <w:i/>
              </w:rPr>
              <w:t>q</w:t>
            </w:r>
          </w:p>
        </w:tc>
        <w:tc>
          <w:tcPr>
            <w:tcW w:w="720" w:type="dxa"/>
          </w:tcPr>
          <w:p w14:paraId="42BCACEC" w14:textId="77777777" w:rsidR="001F04FD" w:rsidRPr="00D10ED6" w:rsidRDefault="001F04FD" w:rsidP="00AC4DEE">
            <w:pPr>
              <w:pStyle w:val="TableBody"/>
            </w:pPr>
            <w:r w:rsidRPr="006624C0">
              <w:t>none</w:t>
            </w:r>
          </w:p>
        </w:tc>
        <w:tc>
          <w:tcPr>
            <w:tcW w:w="6845" w:type="dxa"/>
          </w:tcPr>
          <w:p w14:paraId="5B42B90B" w14:textId="77777777" w:rsidR="001F04FD" w:rsidRPr="00D10ED6" w:rsidRDefault="001F04FD" w:rsidP="00AC4DEE">
            <w:pPr>
              <w:pStyle w:val="TableBody"/>
            </w:pPr>
            <w:r w:rsidRPr="006624C0">
              <w:t>A QSE.</w:t>
            </w:r>
          </w:p>
        </w:tc>
      </w:tr>
      <w:tr w:rsidR="001F04FD" w14:paraId="5C0F3C43" w14:textId="77777777" w:rsidTr="00FA433F">
        <w:trPr>
          <w:cantSplit/>
        </w:trPr>
        <w:tc>
          <w:tcPr>
            <w:tcW w:w="2155" w:type="dxa"/>
          </w:tcPr>
          <w:p w14:paraId="07884450" w14:textId="77777777" w:rsidR="001F04FD" w:rsidRPr="00D10ED6" w:rsidRDefault="001F04FD" w:rsidP="00AC4DEE">
            <w:pPr>
              <w:pStyle w:val="TableBody"/>
              <w:rPr>
                <w:i/>
              </w:rPr>
            </w:pPr>
            <w:r w:rsidRPr="006624C0">
              <w:rPr>
                <w:i/>
              </w:rPr>
              <w:t>p</w:t>
            </w:r>
          </w:p>
        </w:tc>
        <w:tc>
          <w:tcPr>
            <w:tcW w:w="720" w:type="dxa"/>
          </w:tcPr>
          <w:p w14:paraId="11B17447" w14:textId="77777777" w:rsidR="001F04FD" w:rsidRPr="00D10ED6" w:rsidRDefault="001F04FD" w:rsidP="00AC4DEE">
            <w:pPr>
              <w:pStyle w:val="TableBody"/>
            </w:pPr>
            <w:r w:rsidRPr="006624C0">
              <w:t>none</w:t>
            </w:r>
          </w:p>
        </w:tc>
        <w:tc>
          <w:tcPr>
            <w:tcW w:w="6845" w:type="dxa"/>
          </w:tcPr>
          <w:p w14:paraId="5FC678A5" w14:textId="77777777" w:rsidR="001F04FD" w:rsidRPr="00D10ED6" w:rsidRDefault="001F04FD" w:rsidP="00AC4DEE">
            <w:pPr>
              <w:pStyle w:val="TableBody"/>
            </w:pPr>
            <w:r w:rsidRPr="006624C0">
              <w:t>A Settlement Point.</w:t>
            </w:r>
          </w:p>
        </w:tc>
      </w:tr>
      <w:tr w:rsidR="001F04FD" w14:paraId="328D9A29" w14:textId="77777777" w:rsidTr="00FA433F">
        <w:trPr>
          <w:cantSplit/>
        </w:trPr>
        <w:tc>
          <w:tcPr>
            <w:tcW w:w="2155" w:type="dxa"/>
          </w:tcPr>
          <w:p w14:paraId="4F87CCE0" w14:textId="77777777" w:rsidR="001F04FD" w:rsidRPr="00D10ED6" w:rsidRDefault="001F04FD" w:rsidP="00AC4DEE">
            <w:pPr>
              <w:pStyle w:val="TableBody"/>
              <w:rPr>
                <w:i/>
              </w:rPr>
            </w:pPr>
            <w:r w:rsidRPr="006624C0">
              <w:rPr>
                <w:i/>
              </w:rPr>
              <w:t>r</w:t>
            </w:r>
          </w:p>
        </w:tc>
        <w:tc>
          <w:tcPr>
            <w:tcW w:w="720" w:type="dxa"/>
          </w:tcPr>
          <w:p w14:paraId="27CB94DA" w14:textId="77777777" w:rsidR="001F04FD" w:rsidRPr="00D10ED6" w:rsidRDefault="001F04FD" w:rsidP="00AC4DEE">
            <w:pPr>
              <w:pStyle w:val="TableBody"/>
            </w:pPr>
            <w:r w:rsidRPr="006624C0">
              <w:t>none</w:t>
            </w:r>
          </w:p>
        </w:tc>
        <w:tc>
          <w:tcPr>
            <w:tcW w:w="6845" w:type="dxa"/>
          </w:tcPr>
          <w:p w14:paraId="481A431D" w14:textId="77777777" w:rsidR="001F04FD" w:rsidRPr="00D10ED6" w:rsidRDefault="001F04FD" w:rsidP="00AC4DEE">
            <w:pPr>
              <w:pStyle w:val="TableBody"/>
            </w:pPr>
            <w:r w:rsidRPr="006624C0">
              <w:rPr>
                <w:lang w:val="fr-FR"/>
              </w:rPr>
              <w:t>A Generation Resource</w:t>
            </w:r>
            <w:r>
              <w:rPr>
                <w:lang w:val="fr-FR"/>
              </w:rPr>
              <w:t xml:space="preserve"> or Controllable Load Resource</w:t>
            </w:r>
            <w:r w:rsidRPr="006624C0">
              <w:rPr>
                <w:lang w:val="fr-FR"/>
              </w:rPr>
              <w:t>.</w:t>
            </w:r>
          </w:p>
        </w:tc>
      </w:tr>
      <w:tr w:rsidR="001F04FD" w14:paraId="00E6689A" w14:textId="77777777" w:rsidTr="00FA433F">
        <w:trPr>
          <w:cantSplit/>
        </w:trPr>
        <w:tc>
          <w:tcPr>
            <w:tcW w:w="2155" w:type="dxa"/>
          </w:tcPr>
          <w:p w14:paraId="7D5FDC93" w14:textId="77777777" w:rsidR="001F04FD" w:rsidRPr="00D10ED6" w:rsidRDefault="001F04FD" w:rsidP="00AC4DEE">
            <w:pPr>
              <w:pStyle w:val="TableBody"/>
              <w:rPr>
                <w:i/>
              </w:rPr>
            </w:pPr>
            <w:r w:rsidRPr="006624C0">
              <w:rPr>
                <w:i/>
              </w:rPr>
              <w:lastRenderedPageBreak/>
              <w:t>i</w:t>
            </w:r>
          </w:p>
        </w:tc>
        <w:tc>
          <w:tcPr>
            <w:tcW w:w="720" w:type="dxa"/>
          </w:tcPr>
          <w:p w14:paraId="619DF0C1" w14:textId="77777777" w:rsidR="001F04FD" w:rsidRPr="00D10ED6" w:rsidRDefault="001F04FD" w:rsidP="00AC4DEE">
            <w:pPr>
              <w:pStyle w:val="TableBody"/>
            </w:pPr>
            <w:r w:rsidRPr="006624C0">
              <w:t>None</w:t>
            </w:r>
          </w:p>
        </w:tc>
        <w:tc>
          <w:tcPr>
            <w:tcW w:w="6845" w:type="dxa"/>
          </w:tcPr>
          <w:p w14:paraId="032A17F9" w14:textId="77777777" w:rsidR="001F04FD" w:rsidRPr="00D10ED6" w:rsidRDefault="001F04FD" w:rsidP="00AC4DEE">
            <w:pPr>
              <w:pStyle w:val="TableBody"/>
            </w:pPr>
            <w:r w:rsidRPr="006624C0">
              <w:t xml:space="preserve"> A 15-minute Settlement Interval</w:t>
            </w:r>
          </w:p>
        </w:tc>
      </w:tr>
      <w:tr w:rsidR="001F04FD" w14:paraId="56D94F1C" w14:textId="77777777" w:rsidTr="00FA433F">
        <w:trPr>
          <w:cantSplit/>
        </w:trPr>
        <w:tc>
          <w:tcPr>
            <w:tcW w:w="2155" w:type="dxa"/>
          </w:tcPr>
          <w:p w14:paraId="224797D1" w14:textId="77777777" w:rsidR="001F04FD" w:rsidRPr="00D10ED6" w:rsidRDefault="001F04FD" w:rsidP="00AC4DEE">
            <w:pPr>
              <w:pStyle w:val="TableBody"/>
              <w:rPr>
                <w:i/>
              </w:rPr>
            </w:pPr>
            <w:r w:rsidRPr="00D10ED6">
              <w:rPr>
                <w:i/>
              </w:rPr>
              <w:t>y</w:t>
            </w:r>
          </w:p>
        </w:tc>
        <w:tc>
          <w:tcPr>
            <w:tcW w:w="720" w:type="dxa"/>
          </w:tcPr>
          <w:p w14:paraId="2F97FC6C" w14:textId="77777777" w:rsidR="001F04FD" w:rsidRPr="00D10ED6" w:rsidRDefault="001F04FD" w:rsidP="00AC4DEE">
            <w:pPr>
              <w:pStyle w:val="TableBody"/>
            </w:pPr>
            <w:r w:rsidRPr="00D10ED6">
              <w:t>none</w:t>
            </w:r>
          </w:p>
        </w:tc>
        <w:tc>
          <w:tcPr>
            <w:tcW w:w="6845" w:type="dxa"/>
          </w:tcPr>
          <w:p w14:paraId="74BB7736" w14:textId="77777777" w:rsidR="001F04FD" w:rsidRPr="00D10ED6" w:rsidRDefault="001F04FD" w:rsidP="00AC4DEE">
            <w:pPr>
              <w:pStyle w:val="TableBody"/>
            </w:pPr>
            <w:r w:rsidRPr="00D10ED6">
              <w:t xml:space="preserve">A five-minute clock interval in the Settlement Interval.  </w:t>
            </w:r>
          </w:p>
        </w:tc>
      </w:tr>
    </w:tbl>
    <w:p w14:paraId="13733D76" w14:textId="77777777" w:rsidR="00FA433F" w:rsidRDefault="00FA433F"/>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FA433F" w14:paraId="6384BF83" w14:textId="77777777" w:rsidTr="00FA433F">
        <w:trPr>
          <w:trHeight w:val="206"/>
        </w:trPr>
        <w:tc>
          <w:tcPr>
            <w:tcW w:w="9576" w:type="dxa"/>
            <w:shd w:val="pct12" w:color="auto" w:fill="auto"/>
          </w:tcPr>
          <w:p w14:paraId="24917961" w14:textId="3061EE61" w:rsidR="00FA433F" w:rsidRDefault="00FA433F" w:rsidP="003579EE">
            <w:pPr>
              <w:pStyle w:val="Instructions"/>
              <w:spacing w:before="120"/>
            </w:pPr>
            <w:bookmarkStart w:id="2040" w:name="_Toc397505022"/>
            <w:bookmarkStart w:id="2041" w:name="_Toc402357150"/>
            <w:bookmarkStart w:id="2042" w:name="_Toc422486530"/>
            <w:bookmarkStart w:id="2043" w:name="_Toc433093383"/>
            <w:bookmarkStart w:id="2044" w:name="_Toc433093541"/>
            <w:bookmarkStart w:id="2045" w:name="_Toc440874771"/>
            <w:bookmarkStart w:id="2046" w:name="_Toc448142328"/>
            <w:bookmarkStart w:id="2047" w:name="_Toc448142485"/>
            <w:bookmarkStart w:id="2048" w:name="_Toc458770326"/>
            <w:bookmarkStart w:id="2049" w:name="_Toc459294294"/>
            <w:bookmarkStart w:id="2050" w:name="_Toc463262787"/>
            <w:bookmarkStart w:id="2051" w:name="_Toc468286860"/>
            <w:bookmarkStart w:id="2052" w:name="_Toc481502900"/>
            <w:bookmarkStart w:id="2053" w:name="_Toc496080068"/>
            <w:bookmarkStart w:id="2054" w:name="_Toc367956602"/>
            <w:r>
              <w:t>[NPRR963</w:t>
            </w:r>
            <w:r w:rsidR="00BF224E">
              <w:t xml:space="preserve">, </w:t>
            </w:r>
            <w:r w:rsidR="00420FAF">
              <w:t>NPRR1010</w:t>
            </w:r>
            <w:r w:rsidR="00BF224E">
              <w:t>, and NPRR1014</w:t>
            </w:r>
            <w:r>
              <w:t xml:space="preserve">:  Replace </w:t>
            </w:r>
            <w:r w:rsidR="00420FAF">
              <w:t xml:space="preserve">applicable portions of </w:t>
            </w:r>
            <w:r>
              <w:t>Section 6.6.5.1 above with the following upon system implementation</w:t>
            </w:r>
            <w:r w:rsidR="00420FAF">
              <w:t xml:space="preserve"> for NPRR963</w:t>
            </w:r>
            <w:r w:rsidR="00BF224E">
              <w:t xml:space="preserve"> or NPRR1014</w:t>
            </w:r>
            <w:r w:rsidR="00420FAF">
              <w:t>; or upon system implementation of the Real-Time Co-Optimization (RTC) project for NPRR1010</w:t>
            </w:r>
            <w:r>
              <w:t>:]</w:t>
            </w:r>
          </w:p>
          <w:p w14:paraId="729B2011" w14:textId="40F1F302" w:rsidR="00FA433F" w:rsidRPr="00FA433F" w:rsidRDefault="00FA433F" w:rsidP="00FA433F">
            <w:pPr>
              <w:keepNext/>
              <w:tabs>
                <w:tab w:val="left" w:pos="1080"/>
              </w:tabs>
              <w:spacing w:before="240" w:after="240"/>
              <w:ind w:left="1080" w:hanging="1080"/>
              <w:outlineLvl w:val="3"/>
              <w:rPr>
                <w:b/>
                <w:bCs/>
                <w:lang w:val="fr-FR"/>
              </w:rPr>
            </w:pPr>
            <w:bookmarkStart w:id="2055" w:name="_Toc60040688"/>
            <w:bookmarkStart w:id="2056" w:name="_Toc65151747"/>
            <w:bookmarkStart w:id="2057" w:name="_Toc80174773"/>
            <w:bookmarkStart w:id="2058" w:name="_Toc112417653"/>
            <w:bookmarkStart w:id="2059" w:name="_Toc119310322"/>
            <w:bookmarkStart w:id="2060" w:name="_Toc125966255"/>
            <w:bookmarkStart w:id="2061" w:name="_Toc135992353"/>
            <w:bookmarkStart w:id="2062" w:name="_Toc170303549"/>
            <w:bookmarkStart w:id="2063" w:name="_Toc175157453"/>
            <w:bookmarkStart w:id="2064" w:name="_Toc189044426"/>
            <w:r w:rsidRPr="00FA433F">
              <w:rPr>
                <w:b/>
                <w:bCs/>
                <w:lang w:val="fr-FR"/>
              </w:rPr>
              <w:t>6.6.5.1</w:t>
            </w:r>
            <w:r w:rsidRPr="00FA433F">
              <w:rPr>
                <w:b/>
                <w:bCs/>
                <w:lang w:val="fr-FR"/>
              </w:rPr>
              <w:tab/>
              <w:t xml:space="preserve">Resource </w:t>
            </w:r>
            <w:r w:rsidR="00CC638A">
              <w:rPr>
                <w:b/>
                <w:bCs/>
                <w:lang w:val="fr-FR"/>
              </w:rPr>
              <w:t>Set</w:t>
            </w:r>
            <w:r w:rsidRPr="00FA433F">
              <w:rPr>
                <w:b/>
                <w:bCs/>
                <w:lang w:val="fr-FR"/>
              </w:rPr>
              <w:t xml:space="preserve"> Point Deviation Charge</w:t>
            </w:r>
            <w:bookmarkEnd w:id="2055"/>
            <w:bookmarkEnd w:id="2056"/>
            <w:bookmarkEnd w:id="2057"/>
            <w:bookmarkEnd w:id="2058"/>
            <w:bookmarkEnd w:id="2059"/>
            <w:bookmarkEnd w:id="2060"/>
            <w:bookmarkEnd w:id="2061"/>
            <w:bookmarkEnd w:id="2062"/>
            <w:bookmarkEnd w:id="2063"/>
            <w:bookmarkEnd w:id="2064"/>
          </w:p>
          <w:p w14:paraId="442A2C01" w14:textId="055C58D1" w:rsidR="00FA433F" w:rsidRPr="00FA433F" w:rsidRDefault="00FA433F" w:rsidP="00FA433F">
            <w:pPr>
              <w:spacing w:after="240"/>
              <w:ind w:left="720" w:hanging="720"/>
            </w:pPr>
            <w:r w:rsidRPr="00FA433F">
              <w:t>(1)</w:t>
            </w:r>
            <w:r w:rsidRPr="00FA433F">
              <w:tab/>
              <w:t>A QSE for a Generation Resource</w:t>
            </w:r>
            <w:r w:rsidR="009E7633">
              <w:t>, ESR,</w:t>
            </w:r>
            <w:r w:rsidRPr="00FA433F">
              <w:t xml:space="preserve"> or Controllable Load Resource shall pay a </w:t>
            </w:r>
            <w:r w:rsidR="00CC638A">
              <w:t>Set</w:t>
            </w:r>
            <w:r w:rsidRPr="00FA433F">
              <w:t xml:space="preserve"> Point Deviation Charge if the Resource did not follow </w:t>
            </w:r>
            <w:r w:rsidR="00CC638A">
              <w:t>UDSPs</w:t>
            </w:r>
            <w:r w:rsidRPr="00FA433F">
              <w:t xml:space="preserve"> within defined tolerances, except when the </w:t>
            </w:r>
            <w:r w:rsidR="00CC638A">
              <w:t>UDSPs</w:t>
            </w:r>
            <w:r w:rsidRPr="00FA433F">
              <w:t xml:space="preserve"> violate the Resource Parameters.  </w:t>
            </w:r>
          </w:p>
          <w:p w14:paraId="20E6F7B5" w14:textId="4CC3D554" w:rsidR="00FA433F" w:rsidRPr="00FA433F" w:rsidRDefault="00FA433F" w:rsidP="00FA433F">
            <w:pPr>
              <w:spacing w:after="240"/>
              <w:ind w:left="720" w:hanging="720"/>
            </w:pPr>
            <w:r w:rsidRPr="00FA433F">
              <w:t xml:space="preserve">(2) </w:t>
            </w:r>
            <w:r w:rsidRPr="00FA433F">
              <w:tab/>
              <w:t>The desired output from a Generation Resource</w:t>
            </w:r>
            <w:r w:rsidR="009E7633" w:rsidRPr="00A552C3">
              <w:t>, ESR, or Controllable Load Resource</w:t>
            </w:r>
            <w:r w:rsidRPr="00FA433F">
              <w:t xml:space="preserve"> during a 15-minute Settlement Interval is calculated as follows: </w:t>
            </w:r>
          </w:p>
          <w:p w14:paraId="57B9B052" w14:textId="37985253" w:rsidR="00FA433F" w:rsidRPr="00FA433F" w:rsidRDefault="00FA433F" w:rsidP="00FA433F">
            <w:pPr>
              <w:tabs>
                <w:tab w:val="left" w:pos="2250"/>
                <w:tab w:val="left" w:pos="3150"/>
                <w:tab w:val="left" w:pos="3960"/>
              </w:tabs>
              <w:spacing w:after="240"/>
              <w:ind w:left="3960" w:hanging="3240"/>
              <w:rPr>
                <w:b/>
                <w:bCs/>
                <w:szCs w:val="24"/>
              </w:rPr>
            </w:pPr>
            <w:r w:rsidRPr="00FA433F">
              <w:rPr>
                <w:b/>
                <w:bCs/>
                <w:szCs w:val="24"/>
              </w:rPr>
              <w:t>AA</w:t>
            </w:r>
            <w:r w:rsidR="00CC638A">
              <w:rPr>
                <w:b/>
                <w:bCs/>
                <w:szCs w:val="24"/>
              </w:rPr>
              <w:t>S</w:t>
            </w:r>
            <w:r w:rsidRPr="00FA433F">
              <w:rPr>
                <w:b/>
                <w:bCs/>
                <w:szCs w:val="24"/>
              </w:rPr>
              <w:t>P</w:t>
            </w:r>
            <w:r w:rsidRPr="00FA433F">
              <w:rPr>
                <w:b/>
                <w:bCs/>
                <w:szCs w:val="24"/>
                <w:vertAlign w:val="subscript"/>
              </w:rPr>
              <w:t xml:space="preserve"> </w:t>
            </w:r>
            <w:r w:rsidRPr="00FA433F">
              <w:rPr>
                <w:b/>
                <w:bCs/>
                <w:i/>
                <w:szCs w:val="24"/>
                <w:vertAlign w:val="subscript"/>
              </w:rPr>
              <w:t>q, r, p, i</w:t>
            </w:r>
            <w:r w:rsidRPr="00FA433F">
              <w:rPr>
                <w:b/>
                <w:bCs/>
                <w:szCs w:val="24"/>
              </w:rPr>
              <w:tab/>
              <w:t>=</w:t>
            </w:r>
            <w:r w:rsidRPr="00FA433F">
              <w:rPr>
                <w:b/>
                <w:bCs/>
                <w:szCs w:val="24"/>
              </w:rPr>
              <w:tab/>
            </w:r>
            <w:r w:rsidR="00CC638A">
              <w:rPr>
                <w:b/>
                <w:bCs/>
                <w:szCs w:val="24"/>
              </w:rPr>
              <w:object w:dxaOrig="150" w:dyaOrig="435" w14:anchorId="622787A1">
                <v:shape id="_x0000_i1181" type="#_x0000_t75" style="width:6pt;height:18pt" o:ole="">
                  <v:imagedata r:id="rId208" o:title=""/>
                </v:shape>
                <o:OLEObject Type="Embed" ProgID="Equation.3" ShapeID="_x0000_i1181" DrawAspect="Content" ObjectID="_1804653666" r:id="rId211"/>
              </w:object>
            </w:r>
            <w:r w:rsidR="00CC638A">
              <w:rPr>
                <w:b/>
                <w:bCs/>
              </w:rPr>
              <w:t xml:space="preserve"> (</w:t>
            </w:r>
            <w:r w:rsidR="00CC638A">
              <w:rPr>
                <w:b/>
                <w:bCs/>
                <w:lang w:val="es-ES"/>
              </w:rPr>
              <w:t xml:space="preserve">AVGSP5M </w:t>
            </w:r>
            <w:r w:rsidR="00CC638A">
              <w:rPr>
                <w:b/>
                <w:bCs/>
                <w:i/>
                <w:vertAlign w:val="subscript"/>
                <w:lang w:val="es-ES"/>
              </w:rPr>
              <w:t>q, r, p, i, y</w:t>
            </w:r>
            <w:r w:rsidR="00CC638A">
              <w:rPr>
                <w:b/>
                <w:bCs/>
              </w:rPr>
              <w:t>) / 3</w:t>
            </w:r>
            <w:r w:rsidRPr="00FA433F">
              <w:rPr>
                <w:b/>
                <w:bCs/>
                <w:szCs w:val="24"/>
                <w:vertAlign w:val="subscript"/>
              </w:rPr>
              <w:t xml:space="preserve">  </w:t>
            </w:r>
          </w:p>
          <w:p w14:paraId="5C5176DA" w14:textId="77777777" w:rsidR="00FA433F" w:rsidRPr="00FA433F" w:rsidRDefault="00FA433F" w:rsidP="00FA433F">
            <w:pPr>
              <w:rPr>
                <w:szCs w:val="24"/>
              </w:rPr>
            </w:pPr>
            <w:r w:rsidRPr="00FA433F">
              <w:rPr>
                <w:szCs w:val="24"/>
              </w:rP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0C0211" w14:paraId="04E6680D" w14:textId="77777777" w:rsidTr="003579EE">
              <w:trPr>
                <w:cantSplit/>
                <w:tblHeader/>
              </w:trPr>
              <w:tc>
                <w:tcPr>
                  <w:tcW w:w="2155" w:type="dxa"/>
                </w:tcPr>
                <w:p w14:paraId="1B69080B" w14:textId="77777777" w:rsidR="000C0211" w:rsidRDefault="000C0211" w:rsidP="000C0211">
                  <w:pPr>
                    <w:pStyle w:val="TableHead"/>
                  </w:pPr>
                  <w:r>
                    <w:t>Variable</w:t>
                  </w:r>
                </w:p>
              </w:tc>
              <w:tc>
                <w:tcPr>
                  <w:tcW w:w="720" w:type="dxa"/>
                </w:tcPr>
                <w:p w14:paraId="27665B66" w14:textId="77777777" w:rsidR="000C0211" w:rsidRDefault="000C0211" w:rsidP="000C0211">
                  <w:pPr>
                    <w:pStyle w:val="TableHead"/>
                  </w:pPr>
                  <w:r>
                    <w:t>Unit</w:t>
                  </w:r>
                </w:p>
              </w:tc>
              <w:tc>
                <w:tcPr>
                  <w:tcW w:w="6845" w:type="dxa"/>
                </w:tcPr>
                <w:p w14:paraId="1CCD23E2" w14:textId="77777777" w:rsidR="000C0211" w:rsidRDefault="000C0211" w:rsidP="000C0211">
                  <w:pPr>
                    <w:pStyle w:val="TableHead"/>
                  </w:pPr>
                  <w:r>
                    <w:t>Definition</w:t>
                  </w:r>
                </w:p>
              </w:tc>
            </w:tr>
            <w:tr w:rsidR="000C0211" w14:paraId="63EA7281" w14:textId="77777777" w:rsidTr="003579EE">
              <w:trPr>
                <w:cantSplit/>
              </w:trPr>
              <w:tc>
                <w:tcPr>
                  <w:tcW w:w="2155" w:type="dxa"/>
                </w:tcPr>
                <w:p w14:paraId="16327120" w14:textId="3742524B" w:rsidR="000C0211" w:rsidRPr="00D10ED6" w:rsidRDefault="000C0211" w:rsidP="00E942B8">
                  <w:pPr>
                    <w:pStyle w:val="TableBody"/>
                    <w:rPr>
                      <w:i/>
                      <w:vertAlign w:val="subscript"/>
                    </w:rPr>
                  </w:pPr>
                  <w:r w:rsidRPr="00D10ED6">
                    <w:t>AA</w:t>
                  </w:r>
                  <w:r w:rsidR="00E942B8">
                    <w:t>S</w:t>
                  </w:r>
                  <w:r w:rsidRPr="00D10ED6">
                    <w:t xml:space="preserve">P </w:t>
                  </w:r>
                  <w:r w:rsidRPr="00D10ED6">
                    <w:rPr>
                      <w:i/>
                      <w:vertAlign w:val="subscript"/>
                    </w:rPr>
                    <w:t>q, r, p, i</w:t>
                  </w:r>
                </w:p>
              </w:tc>
              <w:tc>
                <w:tcPr>
                  <w:tcW w:w="720" w:type="dxa"/>
                </w:tcPr>
                <w:p w14:paraId="282A8728" w14:textId="77777777" w:rsidR="000C0211" w:rsidRPr="00D10ED6" w:rsidRDefault="000C0211" w:rsidP="000C0211">
                  <w:pPr>
                    <w:pStyle w:val="TableBody"/>
                  </w:pPr>
                  <w:r w:rsidRPr="00D10ED6">
                    <w:t>MW</w:t>
                  </w:r>
                </w:p>
              </w:tc>
              <w:tc>
                <w:tcPr>
                  <w:tcW w:w="6845" w:type="dxa"/>
                </w:tcPr>
                <w:p w14:paraId="028FDBA8" w14:textId="03A0C8AA" w:rsidR="000C0211" w:rsidRPr="00D10ED6" w:rsidRDefault="00E942B8" w:rsidP="009E7633">
                  <w:pPr>
                    <w:pStyle w:val="TableBody"/>
                  </w:pPr>
                  <w:r>
                    <w:rPr>
                      <w:i/>
                    </w:rPr>
                    <w:t>Average</w:t>
                  </w:r>
                  <w:r w:rsidR="000C0211" w:rsidRPr="00D10ED6">
                    <w:rPr>
                      <w:i/>
                    </w:rPr>
                    <w:t xml:space="preserve"> Aggregated </w:t>
                  </w:r>
                  <w:r>
                    <w:rPr>
                      <w:i/>
                    </w:rPr>
                    <w:t>Set</w:t>
                  </w:r>
                  <w:r w:rsidR="000C0211" w:rsidRPr="00D10ED6">
                    <w:rPr>
                      <w:i/>
                    </w:rPr>
                    <w:t xml:space="preserve"> Point per QSE per Settlement Point per Resource</w:t>
                  </w:r>
                  <w:r w:rsidR="000C0211" w:rsidRPr="00D10ED6">
                    <w:t xml:space="preserve">—The </w:t>
                  </w:r>
                  <w:r>
                    <w:t>average of the Average Five Minute Clock Interval Set Point (AVGSP5M)</w:t>
                  </w:r>
                  <w:r w:rsidR="000C0211" w:rsidRPr="00D10ED6">
                    <w:t xml:space="preserve"> of </w:t>
                  </w:r>
                  <w:r w:rsidR="000C0211">
                    <w:t xml:space="preserve">Resource </w:t>
                  </w:r>
                  <w:r w:rsidR="000C0211" w:rsidRPr="00D10ED6">
                    <w:rPr>
                      <w:i/>
                    </w:rPr>
                    <w:t>r</w:t>
                  </w:r>
                  <w:r w:rsidR="000C0211" w:rsidRPr="00D10ED6">
                    <w:t xml:space="preserve"> represented by QSE </w:t>
                  </w:r>
                  <w:r w:rsidR="000C0211" w:rsidRPr="00D10ED6">
                    <w:rPr>
                      <w:i/>
                    </w:rPr>
                    <w:t xml:space="preserve">q </w:t>
                  </w:r>
                  <w:r w:rsidR="000C0211" w:rsidRPr="00D10ED6">
                    <w:t xml:space="preserve">at </w:t>
                  </w:r>
                  <w:r w:rsidR="000C0211">
                    <w:t>Settlement Point</w:t>
                  </w:r>
                  <w:r w:rsidR="000C0211" w:rsidRPr="00D10ED6">
                    <w:t xml:space="preserve"> </w:t>
                  </w:r>
                  <w:r w:rsidR="000C0211" w:rsidRPr="00D10ED6">
                    <w:rPr>
                      <w:i/>
                    </w:rPr>
                    <w:t>p</w:t>
                  </w:r>
                  <w:r w:rsidR="000C0211" w:rsidRPr="006624C0">
                    <w:t>,</w:t>
                  </w:r>
                  <w:r w:rsidR="000C0211" w:rsidRPr="00D10ED6">
                    <w:t xml:space="preserve"> for the 15-minute Settlement Interval </w:t>
                  </w:r>
                  <w:r w:rsidR="000C0211" w:rsidRPr="00D10ED6">
                    <w:rPr>
                      <w:i/>
                    </w:rPr>
                    <w:t>i</w:t>
                  </w:r>
                  <w:r w:rsidR="000C0211" w:rsidRPr="00D10ED6">
                    <w:t>.  Where for a Combined Cycle Train, AA</w:t>
                  </w:r>
                  <w:r>
                    <w:t>S</w:t>
                  </w:r>
                  <w:r w:rsidR="000C0211" w:rsidRPr="00D10ED6">
                    <w:t xml:space="preserve">P is calculated for the Combined Cycle Train considering all </w:t>
                  </w:r>
                  <w:r>
                    <w:t>UDSPs</w:t>
                  </w:r>
                  <w:r w:rsidR="000C0211" w:rsidRPr="00D10ED6">
                    <w:t xml:space="preserve"> to any Combined Cycle Generation Resources within the Combined Cycle Train.</w:t>
                  </w:r>
                </w:p>
              </w:tc>
            </w:tr>
            <w:tr w:rsidR="00E942B8" w14:paraId="6F170940" w14:textId="77777777" w:rsidTr="003579EE">
              <w:trPr>
                <w:cantSplit/>
              </w:trPr>
              <w:tc>
                <w:tcPr>
                  <w:tcW w:w="2155" w:type="dxa"/>
                </w:tcPr>
                <w:p w14:paraId="1416729F" w14:textId="459F24B0" w:rsidR="00E942B8" w:rsidRPr="00D10ED6" w:rsidRDefault="00E942B8" w:rsidP="00E942B8">
                  <w:pPr>
                    <w:pStyle w:val="TableBody"/>
                  </w:pPr>
                  <w:r>
                    <w:t>AVGSP5M</w:t>
                  </w:r>
                  <w:r>
                    <w:rPr>
                      <w:i/>
                      <w:vertAlign w:val="subscript"/>
                    </w:rPr>
                    <w:t xml:space="preserve"> q, r, p, i, y</w:t>
                  </w:r>
                </w:p>
              </w:tc>
              <w:tc>
                <w:tcPr>
                  <w:tcW w:w="720" w:type="dxa"/>
                </w:tcPr>
                <w:p w14:paraId="3C37EE2A" w14:textId="054F42D7" w:rsidR="00E942B8" w:rsidRPr="00D10ED6" w:rsidRDefault="00E942B8" w:rsidP="00E942B8">
                  <w:pPr>
                    <w:pStyle w:val="TableBody"/>
                  </w:pPr>
                  <w:r>
                    <w:t>MW</w:t>
                  </w:r>
                </w:p>
              </w:tc>
              <w:tc>
                <w:tcPr>
                  <w:tcW w:w="6845" w:type="dxa"/>
                </w:tcPr>
                <w:p w14:paraId="48B8A822" w14:textId="2190F779" w:rsidR="00E942B8" w:rsidRPr="00D10ED6" w:rsidRDefault="00E942B8" w:rsidP="00BA1412">
                  <w:pPr>
                    <w:pStyle w:val="TableBody"/>
                    <w:rPr>
                      <w:i/>
                    </w:rPr>
                  </w:pPr>
                  <w:r>
                    <w:rPr>
                      <w:i/>
                    </w:rPr>
                    <w:t>Average Five Minute Clock Interval Set Point per QSE per Settlement Point per Resource –</w:t>
                  </w:r>
                  <w:r>
                    <w:t xml:space="preserve">The time-weighted average of the Updated Desired Set Point (UDSP) that Resource </w:t>
                  </w:r>
                  <w:r>
                    <w:rPr>
                      <w:i/>
                    </w:rPr>
                    <w:t xml:space="preserve">r </w:t>
                  </w:r>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r w:rsidR="007C3AE6" w:rsidRPr="007C3AE6">
                    <w:t>, and Ancillary Service Capacity Performance Metrics</w:t>
                  </w:r>
                  <w:r>
                    <w:t>.</w:t>
                  </w:r>
                </w:p>
              </w:tc>
            </w:tr>
            <w:tr w:rsidR="000C0211" w14:paraId="577F5FC3" w14:textId="77777777" w:rsidTr="003579EE">
              <w:trPr>
                <w:cantSplit/>
              </w:trPr>
              <w:tc>
                <w:tcPr>
                  <w:tcW w:w="2155" w:type="dxa"/>
                </w:tcPr>
                <w:p w14:paraId="0CE815C4" w14:textId="77777777" w:rsidR="000C0211" w:rsidRPr="00D10ED6" w:rsidRDefault="000C0211" w:rsidP="000C0211">
                  <w:pPr>
                    <w:pStyle w:val="TableBody"/>
                    <w:rPr>
                      <w:i/>
                    </w:rPr>
                  </w:pPr>
                  <w:r w:rsidRPr="006624C0">
                    <w:rPr>
                      <w:i/>
                    </w:rPr>
                    <w:t>q</w:t>
                  </w:r>
                </w:p>
              </w:tc>
              <w:tc>
                <w:tcPr>
                  <w:tcW w:w="720" w:type="dxa"/>
                </w:tcPr>
                <w:p w14:paraId="3E97BF25" w14:textId="77777777" w:rsidR="000C0211" w:rsidRPr="00D10ED6" w:rsidRDefault="000C0211" w:rsidP="000C0211">
                  <w:pPr>
                    <w:pStyle w:val="TableBody"/>
                  </w:pPr>
                  <w:r w:rsidRPr="006624C0">
                    <w:t>none</w:t>
                  </w:r>
                </w:p>
              </w:tc>
              <w:tc>
                <w:tcPr>
                  <w:tcW w:w="6845" w:type="dxa"/>
                </w:tcPr>
                <w:p w14:paraId="5E8CB818" w14:textId="77777777" w:rsidR="000C0211" w:rsidRPr="00D10ED6" w:rsidRDefault="000C0211" w:rsidP="000C0211">
                  <w:pPr>
                    <w:pStyle w:val="TableBody"/>
                  </w:pPr>
                  <w:r w:rsidRPr="006624C0">
                    <w:t>A QSE.</w:t>
                  </w:r>
                </w:p>
              </w:tc>
            </w:tr>
            <w:tr w:rsidR="000C0211" w14:paraId="1B6DCBDF" w14:textId="77777777" w:rsidTr="003579EE">
              <w:trPr>
                <w:cantSplit/>
              </w:trPr>
              <w:tc>
                <w:tcPr>
                  <w:tcW w:w="2155" w:type="dxa"/>
                </w:tcPr>
                <w:p w14:paraId="4C899D05" w14:textId="77777777" w:rsidR="000C0211" w:rsidRPr="00D10ED6" w:rsidRDefault="000C0211" w:rsidP="000C0211">
                  <w:pPr>
                    <w:pStyle w:val="TableBody"/>
                    <w:rPr>
                      <w:i/>
                    </w:rPr>
                  </w:pPr>
                  <w:r w:rsidRPr="006624C0">
                    <w:rPr>
                      <w:i/>
                    </w:rPr>
                    <w:t>p</w:t>
                  </w:r>
                </w:p>
              </w:tc>
              <w:tc>
                <w:tcPr>
                  <w:tcW w:w="720" w:type="dxa"/>
                </w:tcPr>
                <w:p w14:paraId="5659B935" w14:textId="77777777" w:rsidR="000C0211" w:rsidRPr="00D10ED6" w:rsidRDefault="000C0211" w:rsidP="000C0211">
                  <w:pPr>
                    <w:pStyle w:val="TableBody"/>
                  </w:pPr>
                  <w:r w:rsidRPr="006624C0">
                    <w:t>none</w:t>
                  </w:r>
                </w:p>
              </w:tc>
              <w:tc>
                <w:tcPr>
                  <w:tcW w:w="6845" w:type="dxa"/>
                </w:tcPr>
                <w:p w14:paraId="4B2311C7" w14:textId="77777777" w:rsidR="000C0211" w:rsidRPr="00D10ED6" w:rsidRDefault="000C0211" w:rsidP="000C0211">
                  <w:pPr>
                    <w:pStyle w:val="TableBody"/>
                  </w:pPr>
                  <w:r w:rsidRPr="006624C0">
                    <w:t>A Settlement Point.</w:t>
                  </w:r>
                </w:p>
              </w:tc>
            </w:tr>
            <w:tr w:rsidR="000C0211" w14:paraId="076A5926" w14:textId="77777777" w:rsidTr="003579EE">
              <w:trPr>
                <w:cantSplit/>
              </w:trPr>
              <w:tc>
                <w:tcPr>
                  <w:tcW w:w="2155" w:type="dxa"/>
                </w:tcPr>
                <w:p w14:paraId="5E32F5EA" w14:textId="77777777" w:rsidR="000C0211" w:rsidRPr="00D10ED6" w:rsidRDefault="000C0211" w:rsidP="000C0211">
                  <w:pPr>
                    <w:pStyle w:val="TableBody"/>
                    <w:rPr>
                      <w:i/>
                    </w:rPr>
                  </w:pPr>
                  <w:r w:rsidRPr="006624C0">
                    <w:rPr>
                      <w:i/>
                    </w:rPr>
                    <w:t>r</w:t>
                  </w:r>
                </w:p>
              </w:tc>
              <w:tc>
                <w:tcPr>
                  <w:tcW w:w="720" w:type="dxa"/>
                </w:tcPr>
                <w:p w14:paraId="6410EBEB" w14:textId="77777777" w:rsidR="000C0211" w:rsidRPr="00D10ED6" w:rsidRDefault="000C0211" w:rsidP="000C0211">
                  <w:pPr>
                    <w:pStyle w:val="TableBody"/>
                  </w:pPr>
                  <w:r w:rsidRPr="006624C0">
                    <w:t>none</w:t>
                  </w:r>
                </w:p>
              </w:tc>
              <w:tc>
                <w:tcPr>
                  <w:tcW w:w="6845" w:type="dxa"/>
                </w:tcPr>
                <w:p w14:paraId="7837955F" w14:textId="7468926F" w:rsidR="000C0211" w:rsidRPr="00D10ED6" w:rsidRDefault="000C0211" w:rsidP="000C0211">
                  <w:pPr>
                    <w:pStyle w:val="TableBody"/>
                  </w:pPr>
                  <w:r w:rsidRPr="006624C0">
                    <w:rPr>
                      <w:lang w:val="fr-FR"/>
                    </w:rPr>
                    <w:t>A Generation Resource</w:t>
                  </w:r>
                  <w:r w:rsidR="009E7633">
                    <w:rPr>
                      <w:lang w:val="fr-FR"/>
                    </w:rPr>
                    <w:t>, ESR,</w:t>
                  </w:r>
                  <w:r>
                    <w:rPr>
                      <w:lang w:val="fr-FR"/>
                    </w:rPr>
                    <w:t xml:space="preserve"> or Controllable Load Resource</w:t>
                  </w:r>
                  <w:r w:rsidRPr="006624C0">
                    <w:rPr>
                      <w:lang w:val="fr-FR"/>
                    </w:rPr>
                    <w:t>.</w:t>
                  </w:r>
                </w:p>
              </w:tc>
            </w:tr>
            <w:tr w:rsidR="000C0211" w14:paraId="2684C100" w14:textId="77777777" w:rsidTr="003579EE">
              <w:trPr>
                <w:cantSplit/>
              </w:trPr>
              <w:tc>
                <w:tcPr>
                  <w:tcW w:w="2155" w:type="dxa"/>
                </w:tcPr>
                <w:p w14:paraId="15EAAF32" w14:textId="77777777" w:rsidR="000C0211" w:rsidRPr="00D10ED6" w:rsidRDefault="000C0211" w:rsidP="000C0211">
                  <w:pPr>
                    <w:pStyle w:val="TableBody"/>
                    <w:rPr>
                      <w:i/>
                    </w:rPr>
                  </w:pPr>
                  <w:r w:rsidRPr="006624C0">
                    <w:rPr>
                      <w:i/>
                    </w:rPr>
                    <w:t>i</w:t>
                  </w:r>
                </w:p>
              </w:tc>
              <w:tc>
                <w:tcPr>
                  <w:tcW w:w="720" w:type="dxa"/>
                </w:tcPr>
                <w:p w14:paraId="674FC0F7" w14:textId="54140AB1" w:rsidR="000C0211" w:rsidRPr="00D10ED6" w:rsidRDefault="0018785B" w:rsidP="0018785B">
                  <w:pPr>
                    <w:pStyle w:val="TableBody"/>
                  </w:pPr>
                  <w:r>
                    <w:t>n</w:t>
                  </w:r>
                  <w:r w:rsidR="000C0211" w:rsidRPr="006624C0">
                    <w:t>one</w:t>
                  </w:r>
                </w:p>
              </w:tc>
              <w:tc>
                <w:tcPr>
                  <w:tcW w:w="6845" w:type="dxa"/>
                </w:tcPr>
                <w:p w14:paraId="79AABF95" w14:textId="4DB289ED" w:rsidR="000C0211" w:rsidRPr="00D10ED6" w:rsidRDefault="000C0211" w:rsidP="000C0211">
                  <w:pPr>
                    <w:pStyle w:val="TableBody"/>
                  </w:pPr>
                  <w:r w:rsidRPr="006624C0">
                    <w:t>A 15-minute Settlement Interval</w:t>
                  </w:r>
                </w:p>
              </w:tc>
            </w:tr>
            <w:tr w:rsidR="000C0211" w14:paraId="5C9DB4B1" w14:textId="77777777" w:rsidTr="003579EE">
              <w:trPr>
                <w:cantSplit/>
              </w:trPr>
              <w:tc>
                <w:tcPr>
                  <w:tcW w:w="2155" w:type="dxa"/>
                </w:tcPr>
                <w:p w14:paraId="4DECD8DE" w14:textId="77777777" w:rsidR="000C0211" w:rsidRPr="00D10ED6" w:rsidRDefault="000C0211" w:rsidP="000C0211">
                  <w:pPr>
                    <w:pStyle w:val="TableBody"/>
                    <w:rPr>
                      <w:i/>
                    </w:rPr>
                  </w:pPr>
                  <w:r w:rsidRPr="00D10ED6">
                    <w:rPr>
                      <w:i/>
                    </w:rPr>
                    <w:t>y</w:t>
                  </w:r>
                </w:p>
              </w:tc>
              <w:tc>
                <w:tcPr>
                  <w:tcW w:w="720" w:type="dxa"/>
                </w:tcPr>
                <w:p w14:paraId="12489B83" w14:textId="77777777" w:rsidR="000C0211" w:rsidRPr="00D10ED6" w:rsidRDefault="000C0211" w:rsidP="000C0211">
                  <w:pPr>
                    <w:pStyle w:val="TableBody"/>
                  </w:pPr>
                  <w:r w:rsidRPr="00D10ED6">
                    <w:t>none</w:t>
                  </w:r>
                </w:p>
              </w:tc>
              <w:tc>
                <w:tcPr>
                  <w:tcW w:w="6845" w:type="dxa"/>
                </w:tcPr>
                <w:p w14:paraId="0682A26C" w14:textId="77777777" w:rsidR="000C0211" w:rsidRPr="00D10ED6" w:rsidRDefault="000C0211" w:rsidP="000C0211">
                  <w:pPr>
                    <w:pStyle w:val="TableBody"/>
                  </w:pPr>
                  <w:r w:rsidRPr="00D10ED6">
                    <w:t xml:space="preserve">A five-minute clock interval in the Settlement Interval.  </w:t>
                  </w:r>
                </w:p>
              </w:tc>
            </w:tr>
          </w:tbl>
          <w:p w14:paraId="7BEA3874" w14:textId="24B81689" w:rsidR="00FA433F" w:rsidRPr="00C3334D" w:rsidRDefault="00FA433F" w:rsidP="00FA433F">
            <w:pPr>
              <w:spacing w:after="240"/>
            </w:pPr>
          </w:p>
        </w:tc>
      </w:tr>
    </w:tbl>
    <w:p w14:paraId="69BCCA66" w14:textId="02D70EE7" w:rsidR="001F04FD" w:rsidRPr="005B7AC2" w:rsidRDefault="001F04FD" w:rsidP="001F04FD">
      <w:pPr>
        <w:pStyle w:val="H4"/>
        <w:tabs>
          <w:tab w:val="clear" w:pos="1260"/>
          <w:tab w:val="left" w:pos="1620"/>
        </w:tabs>
        <w:spacing w:before="480"/>
        <w:ind w:left="1627" w:hanging="1627"/>
        <w:outlineLvl w:val="4"/>
        <w:rPr>
          <w:i/>
        </w:rPr>
      </w:pPr>
      <w:bookmarkStart w:id="2065" w:name="_Toc189044427"/>
      <w:r w:rsidRPr="005B7AC2">
        <w:rPr>
          <w:i/>
        </w:rPr>
        <w:t>6.6.5.1.1</w:t>
      </w:r>
      <w:r w:rsidRPr="005B7AC2">
        <w:rPr>
          <w:i/>
        </w:rPr>
        <w:tab/>
        <w:t xml:space="preserve">General Generation Resource and Controllable Load Resource Base Point </w:t>
      </w:r>
      <w:r w:rsidRPr="005B7AC2">
        <w:rPr>
          <w:i/>
        </w:rPr>
        <w:lastRenderedPageBreak/>
        <w:t>Deviation Charge</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65"/>
    </w:p>
    <w:p w14:paraId="0AAD941C" w14:textId="77777777" w:rsidR="001F04FD" w:rsidRDefault="001F04FD" w:rsidP="001F04FD">
      <w:pPr>
        <w:pStyle w:val="List"/>
        <w:ind w:left="720"/>
      </w:pPr>
      <w:r>
        <w:t>(1)</w:t>
      </w:r>
      <w:r>
        <w:tab/>
        <w:t xml:space="preserve">Unless one of the exceptions specified in paragraphs (2) and (3) below applies, ERCOT shall charge a Base Point Deviation Charge for a Resource other than those described in Section 6.6.5.2, IRR Generation Resource Base Point Deviation Charge, and Section 6.6.5.3, </w:t>
      </w:r>
      <w:r w:rsidR="00FC539A">
        <w:t>Resources</w:t>
      </w:r>
      <w:r>
        <w:t xml:space="preserve"> Exempt from Deviation Charges, when the telemetered generation of the Generation Resource or telemetered power consumption of the Controllable Load Resource over the 15-minute Settlement Interval is outside the tolerances defined later in this Section 6.6.5.1.1.</w:t>
      </w:r>
    </w:p>
    <w:p w14:paraId="40179C9C" w14:textId="77777777" w:rsidR="001F04FD" w:rsidRDefault="001F04FD" w:rsidP="001F04FD">
      <w:pPr>
        <w:pStyle w:val="BodyText"/>
        <w:ind w:left="720" w:hanging="720"/>
      </w:pPr>
      <w:r>
        <w:t>(2)</w:t>
      </w:r>
      <w:r>
        <w:tab/>
        <w:t>ERCOT may not charge a QSE a Base Point Deviation Charge under paragraph (1) above when both of the following apply:</w:t>
      </w:r>
    </w:p>
    <w:p w14:paraId="64DFED7A" w14:textId="77777777" w:rsidR="001F04FD" w:rsidRDefault="001F04FD" w:rsidP="001F04FD">
      <w:pPr>
        <w:pStyle w:val="List"/>
      </w:pPr>
      <w:r>
        <w:t>(a)</w:t>
      </w:r>
      <w:r>
        <w:tab/>
        <w:t>The deviation of the Resource over the 15-minute Settlement Interval is in a direction that contributes to frequency corrections that resolve an ERCOT System frequency deviation; and</w:t>
      </w:r>
    </w:p>
    <w:p w14:paraId="7DA6553B" w14:textId="77777777" w:rsidR="001F04FD" w:rsidRDefault="001F04FD" w:rsidP="001F04FD">
      <w:pPr>
        <w:pStyle w:val="List"/>
      </w:pPr>
      <w:r>
        <w:t>(b)</w:t>
      </w:r>
      <w:r>
        <w:tab/>
        <w:t>The ERCOT System frequency deviation is greater than +/-0.05 Hz at any time during the 15-minute Settlement Interval.</w:t>
      </w:r>
    </w:p>
    <w:p w14:paraId="70F13C75" w14:textId="42C89183" w:rsidR="008611B7" w:rsidRDefault="001F04FD" w:rsidP="008611B7">
      <w:pPr>
        <w:pStyle w:val="List"/>
        <w:ind w:left="720"/>
      </w:pPr>
      <w:r>
        <w:t>(3)</w:t>
      </w:r>
      <w:r>
        <w:tab/>
        <w:t>ERCOT may not charge a QSE a Base Point Deviation Charge under paragraph (1) above for any 15-minute Settlement Interval during which</w:t>
      </w:r>
      <w:bookmarkEnd w:id="2014"/>
      <w:bookmarkEnd w:id="2015"/>
      <w:bookmarkEnd w:id="2054"/>
      <w:r w:rsidR="008611B7">
        <w:t>:</w:t>
      </w:r>
    </w:p>
    <w:p w14:paraId="71A93921" w14:textId="77777777" w:rsidR="008611B7" w:rsidRDefault="008611B7" w:rsidP="008611B7">
      <w:pPr>
        <w:pStyle w:val="List"/>
      </w:pPr>
      <w:r>
        <w:t>(a)</w:t>
      </w:r>
      <w:r>
        <w:tab/>
        <w:t xml:space="preserve">ERCOT Contingency Reserve Service (ECRS) was deployed; or </w:t>
      </w:r>
    </w:p>
    <w:p w14:paraId="7120B88F" w14:textId="0401A519" w:rsidR="001F04FD" w:rsidRDefault="008611B7" w:rsidP="00F969DB">
      <w:pPr>
        <w:pStyle w:val="List"/>
      </w:pPr>
      <w:r>
        <w:t>(b)</w:t>
      </w:r>
      <w:r>
        <w:tab/>
        <w:t>Responsive Reserve (RRS) was manually deployed</w:t>
      </w:r>
      <w:r w:rsidRPr="005E06B4">
        <w:t xml:space="preserve"> </w:t>
      </w:r>
      <w:r>
        <w:t>by ERCOT.</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579EE" w14:paraId="3D21311A" w14:textId="77777777" w:rsidTr="003579EE">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B4D3CC5" w14:textId="65C7F2C0" w:rsidR="003579EE" w:rsidRPr="00B37C4B" w:rsidRDefault="003579EE" w:rsidP="003579EE">
            <w:pPr>
              <w:pStyle w:val="Instructions"/>
              <w:spacing w:before="120"/>
            </w:pPr>
            <w:bookmarkStart w:id="2066" w:name="_Toc402357151"/>
            <w:bookmarkStart w:id="2067" w:name="_Toc422486531"/>
            <w:bookmarkStart w:id="2068" w:name="_Toc433093384"/>
            <w:bookmarkStart w:id="2069" w:name="_Toc433093542"/>
            <w:bookmarkStart w:id="2070" w:name="_Toc440874772"/>
            <w:bookmarkStart w:id="2071" w:name="_Toc448142329"/>
            <w:bookmarkStart w:id="2072" w:name="_Toc448142486"/>
            <w:bookmarkStart w:id="2073" w:name="_Toc458770327"/>
            <w:bookmarkStart w:id="2074" w:name="_Toc459294295"/>
            <w:bookmarkStart w:id="2075" w:name="_Toc463262788"/>
            <w:bookmarkStart w:id="2076" w:name="_Toc468286861"/>
            <w:bookmarkStart w:id="2077" w:name="_Toc481502901"/>
            <w:bookmarkStart w:id="2078" w:name="_Toc496080069"/>
            <w:r>
              <w:t>[NPRR963:  Delete Section 6.6.5.1.1 above upon system implementation</w:t>
            </w:r>
            <w:r w:rsidR="00C215CF">
              <w:t xml:space="preserve"> and renumber accordingly</w:t>
            </w:r>
            <w:r>
              <w:t xml:space="preserve">.] </w:t>
            </w:r>
          </w:p>
        </w:tc>
      </w:tr>
    </w:tbl>
    <w:p w14:paraId="3B111D31" w14:textId="77777777" w:rsidR="001F04FD" w:rsidRPr="002D385D" w:rsidRDefault="001F04FD" w:rsidP="001F04FD">
      <w:pPr>
        <w:pStyle w:val="H4"/>
        <w:tabs>
          <w:tab w:val="clear" w:pos="1260"/>
          <w:tab w:val="left" w:pos="1620"/>
        </w:tabs>
        <w:spacing w:before="480"/>
        <w:ind w:left="1627" w:hanging="1627"/>
        <w:outlineLvl w:val="4"/>
      </w:pPr>
      <w:bookmarkStart w:id="2079" w:name="_Toc189044428"/>
      <w:r w:rsidRPr="002D385D">
        <w:t>6.6.5.1.1.1</w:t>
      </w:r>
      <w:r w:rsidRPr="002D385D">
        <w:tab/>
        <w:t>Base Point Deviation Charge for Over Generation</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1A99B612" w14:textId="77777777" w:rsidR="001F04FD" w:rsidRDefault="001F04FD" w:rsidP="001F04FD">
      <w:pPr>
        <w:pStyle w:val="BodyTextNumbered"/>
      </w:pPr>
      <w:r>
        <w:t>(1)</w:t>
      </w:r>
      <w:r>
        <w:tab/>
        <w:t>ERCOT shall charge a QSE for a Generation Resource for over-generation that exceeds the following tolerance.  The tolerance is the greater of:</w:t>
      </w:r>
    </w:p>
    <w:p w14:paraId="241A5915" w14:textId="77777777" w:rsidR="001F04FD" w:rsidRDefault="001F04FD" w:rsidP="00BA3F0D">
      <w:pPr>
        <w:pStyle w:val="BodyTextNumbered"/>
        <w:ind w:left="1440"/>
      </w:pPr>
      <w:r>
        <w:t>(a)</w:t>
      </w:r>
      <w:r>
        <w:tab/>
        <w:t>5% of the average of the Base Points in the Settlement Interval adjusted for any Ancillary Service deployments; or</w:t>
      </w:r>
    </w:p>
    <w:p w14:paraId="21D83D8B" w14:textId="77777777" w:rsidR="001F04FD" w:rsidRDefault="001F04FD" w:rsidP="001F04FD">
      <w:pPr>
        <w:pStyle w:val="BodyTextNumbered"/>
        <w:ind w:left="1440"/>
      </w:pPr>
      <w:r>
        <w:t>(b)</w:t>
      </w:r>
      <w:r>
        <w:tab/>
        <w:t xml:space="preserve">Five MW for metered generation above the average of the Base Points in the Settlement Interval adjusted for any Ancillary Service deployments. </w:t>
      </w:r>
    </w:p>
    <w:p w14:paraId="6AAEFD9F" w14:textId="77777777" w:rsidR="001F04FD" w:rsidRPr="000149E5" w:rsidRDefault="001F04FD" w:rsidP="00BA3F0D">
      <w:pPr>
        <w:pStyle w:val="BodyTextNumbered"/>
        <w:rPr>
          <w:iCs/>
        </w:rPr>
      </w:pPr>
      <w:r w:rsidRPr="000149E5">
        <w:rPr>
          <w:iCs/>
        </w:rPr>
        <w:t>(2)</w:t>
      </w:r>
      <w:r w:rsidRPr="000149E5">
        <w:rPr>
          <w:iCs/>
        </w:rPr>
        <w:tab/>
        <w:t>The over-generation charge to each QSE for each Generation Resource at each Resource Node Settlement Point is calculated as follows:</w:t>
      </w:r>
    </w:p>
    <w:p w14:paraId="4D70B8AA" w14:textId="77777777" w:rsidR="001F04FD" w:rsidRDefault="001F04FD" w:rsidP="00BA3F0D">
      <w:pPr>
        <w:pStyle w:val="FormulaBold"/>
      </w:pPr>
      <w:r w:rsidRPr="00BC5C70">
        <w:t xml:space="preserve">BPDAMT </w:t>
      </w:r>
      <w:r w:rsidRPr="00BC5C70">
        <w:rPr>
          <w:i/>
          <w:iCs/>
          <w:vertAlign w:val="subscript"/>
          <w:lang w:val="es-ES"/>
        </w:rPr>
        <w:t>q, r, p</w:t>
      </w:r>
      <w:r>
        <w:rPr>
          <w:i/>
          <w:iCs/>
          <w:vertAlign w:val="subscript"/>
          <w:lang w:val="es-ES"/>
        </w:rPr>
        <w:t xml:space="preserve">, i </w:t>
      </w:r>
      <w:r w:rsidRPr="00BC5C70">
        <w:tab/>
        <w:t>=</w:t>
      </w:r>
      <w:r w:rsidRPr="00BC5C70">
        <w:tab/>
        <w:t>Max (PR1, RTSPP</w:t>
      </w:r>
      <w:r>
        <w:t xml:space="preserve"> </w:t>
      </w:r>
      <w:r w:rsidRPr="00BC5C70">
        <w:rPr>
          <w:i/>
          <w:vertAlign w:val="subscript"/>
        </w:rPr>
        <w:t>p</w:t>
      </w:r>
      <w:r>
        <w:rPr>
          <w:i/>
          <w:vertAlign w:val="subscript"/>
        </w:rPr>
        <w:t>, i</w:t>
      </w:r>
      <w:r w:rsidRPr="00BC5C70">
        <w:t>) * OGEN</w:t>
      </w:r>
      <w:r w:rsidRPr="00BC5C70">
        <w:rPr>
          <w:i/>
          <w:iCs/>
          <w:vertAlign w:val="subscript"/>
          <w:lang w:val="es-ES"/>
        </w:rPr>
        <w:t xml:space="preserve"> q, r, p</w:t>
      </w:r>
      <w:r>
        <w:rPr>
          <w:i/>
          <w:iCs/>
          <w:vertAlign w:val="subscript"/>
          <w:lang w:val="es-ES"/>
        </w:rPr>
        <w:t>, i</w:t>
      </w:r>
      <w:r w:rsidRPr="00BC5C70">
        <w:rPr>
          <w:i/>
          <w:iCs/>
          <w:vertAlign w:val="subscript"/>
          <w:lang w:val="es-ES"/>
        </w:rPr>
        <w:t xml:space="preserve"> </w:t>
      </w:r>
      <w:r w:rsidRPr="00BC5C70">
        <w:rPr>
          <w:rFonts w:ascii="Times New Roman Bold" w:hAnsi="Times New Roman Bold"/>
          <w:iCs/>
          <w:lang w:val="es-ES"/>
        </w:rPr>
        <w:t xml:space="preserve"> </w:t>
      </w:r>
    </w:p>
    <w:p w14:paraId="786929F2" w14:textId="77777777" w:rsidR="001F04FD" w:rsidRPr="00E05F10" w:rsidRDefault="001F04FD" w:rsidP="001F04FD">
      <w:pPr>
        <w:pStyle w:val="FormulaBold"/>
        <w:rPr>
          <w:b w:val="0"/>
        </w:rPr>
      </w:pPr>
      <w:r w:rsidRPr="007979BF">
        <w:rPr>
          <w:b w:val="0"/>
        </w:rPr>
        <w:lastRenderedPageBreak/>
        <w:t>Where:</w:t>
      </w:r>
    </w:p>
    <w:p w14:paraId="757B2119" w14:textId="77777777" w:rsidR="001F04FD" w:rsidRPr="001A3201" w:rsidRDefault="001F04FD" w:rsidP="001F04FD">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sidR="00967F3A">
        <w:rPr>
          <w:b w:val="0"/>
        </w:rPr>
        <w:t xml:space="preserve"> </w:t>
      </w:r>
      <w:r w:rsidRPr="001A3201">
        <w:rPr>
          <w:b w:val="0"/>
          <w:i/>
          <w:iCs/>
          <w:vertAlign w:val="subscript"/>
          <w:lang w:val="es-ES"/>
        </w:rPr>
        <w:t xml:space="preserve">q, r, p, i </w:t>
      </w:r>
      <w:r w:rsidRPr="001A3201">
        <w:rPr>
          <w:b w:val="0"/>
        </w:rPr>
        <w:t xml:space="preserve"> – ¼ * Max (((1 + K1) * AABP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(AABP</w:t>
      </w:r>
      <w:r w:rsidRPr="001A3201">
        <w:rPr>
          <w:b w:val="0"/>
          <w:i/>
          <w:iCs/>
          <w:vertAlign w:val="subscript"/>
          <w:lang w:val="es-ES"/>
        </w:rPr>
        <w:t xml:space="preserve"> q, r, p, i </w:t>
      </w:r>
      <w:r w:rsidRPr="001A3201">
        <w:rPr>
          <w:b w:val="0"/>
        </w:rPr>
        <w:t>+ Q1)))]</w:t>
      </w:r>
    </w:p>
    <w:p w14:paraId="0FB1A369" w14:textId="77777777" w:rsidR="001F04FD" w:rsidRPr="0015675B" w:rsidRDefault="001F04FD" w:rsidP="001F04FD">
      <w:pPr>
        <w:pStyle w:val="BodyTextNumbered"/>
        <w:ind w:left="1440"/>
        <w:rPr>
          <w:rFonts w:ascii="Times New Roman Bold" w:hAnsi="Times New Roman Bold"/>
        </w:rPr>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7EB1CD44">
          <v:shape id="_x0000_i1182" type="#_x0000_t75" style="width:6pt;height:24pt" o:ole="">
            <v:imagedata r:id="rId208" o:title=""/>
          </v:shape>
          <o:OLEObject Type="Embed" ProgID="Equation.3" ShapeID="_x0000_i1182" DrawAspect="Content" ObjectID="_1804653667" r:id="rId212"/>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49DF2E37" w14:textId="77777777" w:rsidR="001F04FD" w:rsidRDefault="001F04FD" w:rsidP="00BA3F0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1F04FD" w:rsidRPr="00B2348D" w14:paraId="46216282" w14:textId="77777777" w:rsidTr="00E21852">
        <w:trPr>
          <w:cantSplit/>
          <w:tblHeader/>
        </w:trPr>
        <w:tc>
          <w:tcPr>
            <w:tcW w:w="2153" w:type="dxa"/>
          </w:tcPr>
          <w:p w14:paraId="11FCC894" w14:textId="77777777" w:rsidR="001F04FD" w:rsidRPr="00B2348D" w:rsidRDefault="001F04FD" w:rsidP="00AC4DEE">
            <w:pPr>
              <w:pStyle w:val="TableHead"/>
              <w:tabs>
                <w:tab w:val="right" w:pos="9360"/>
              </w:tabs>
            </w:pPr>
            <w:r w:rsidRPr="006624C0">
              <w:t>Variable</w:t>
            </w:r>
          </w:p>
        </w:tc>
        <w:tc>
          <w:tcPr>
            <w:tcW w:w="1255" w:type="dxa"/>
          </w:tcPr>
          <w:p w14:paraId="29A78C04" w14:textId="77777777" w:rsidR="001F04FD" w:rsidRPr="00B2348D" w:rsidRDefault="001F04FD" w:rsidP="00AC4DEE">
            <w:pPr>
              <w:pStyle w:val="TableHead"/>
              <w:tabs>
                <w:tab w:val="right" w:pos="9360"/>
              </w:tabs>
            </w:pPr>
            <w:r w:rsidRPr="006624C0">
              <w:t>Unit</w:t>
            </w:r>
          </w:p>
        </w:tc>
        <w:tc>
          <w:tcPr>
            <w:tcW w:w="6421" w:type="dxa"/>
          </w:tcPr>
          <w:p w14:paraId="1BB33C6A" w14:textId="77777777" w:rsidR="001F04FD" w:rsidRPr="00B2348D" w:rsidRDefault="001F04FD" w:rsidP="00AC4DEE">
            <w:pPr>
              <w:pStyle w:val="TableHead"/>
              <w:tabs>
                <w:tab w:val="right" w:pos="9360"/>
              </w:tabs>
            </w:pPr>
            <w:r w:rsidRPr="006624C0">
              <w:t>Definition</w:t>
            </w:r>
          </w:p>
        </w:tc>
      </w:tr>
      <w:tr w:rsidR="001F04FD" w:rsidRPr="00B2348D" w14:paraId="5BE79504" w14:textId="77777777" w:rsidTr="00E21852">
        <w:trPr>
          <w:cantSplit/>
        </w:trPr>
        <w:tc>
          <w:tcPr>
            <w:tcW w:w="2153" w:type="dxa"/>
          </w:tcPr>
          <w:p w14:paraId="09CCF151" w14:textId="77777777" w:rsidR="001F04FD" w:rsidRPr="00B2348D" w:rsidRDefault="001F04FD" w:rsidP="00AC4DEE">
            <w:pPr>
              <w:pStyle w:val="TableBody"/>
            </w:pPr>
            <w:r w:rsidRPr="006624C0">
              <w:t xml:space="preserve">BPDAMT </w:t>
            </w:r>
            <w:r w:rsidRPr="006624C0">
              <w:rPr>
                <w:i/>
                <w:vertAlign w:val="subscript"/>
              </w:rPr>
              <w:t>q, r, p, i</w:t>
            </w:r>
          </w:p>
        </w:tc>
        <w:tc>
          <w:tcPr>
            <w:tcW w:w="1255" w:type="dxa"/>
          </w:tcPr>
          <w:p w14:paraId="16526CF9" w14:textId="77777777" w:rsidR="001F04FD" w:rsidRPr="00B2348D" w:rsidRDefault="001F04FD" w:rsidP="00AC4DEE">
            <w:pPr>
              <w:pStyle w:val="TableBody"/>
            </w:pPr>
            <w:r w:rsidRPr="006624C0">
              <w:t>$</w:t>
            </w:r>
          </w:p>
        </w:tc>
        <w:tc>
          <w:tcPr>
            <w:tcW w:w="6421" w:type="dxa"/>
          </w:tcPr>
          <w:p w14:paraId="732B36F0" w14:textId="77777777" w:rsidR="001F04FD" w:rsidRPr="00B2348D"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The Base Point Deviation Charge is charged to the Combined Cycle Train for all Combined Cycle Generation Resources.</w:t>
            </w:r>
          </w:p>
        </w:tc>
      </w:tr>
      <w:tr w:rsidR="001F04FD" w:rsidRPr="00B2348D" w14:paraId="7974ECE5" w14:textId="77777777" w:rsidTr="00E21852">
        <w:trPr>
          <w:cantSplit/>
        </w:trPr>
        <w:tc>
          <w:tcPr>
            <w:tcW w:w="2153" w:type="dxa"/>
          </w:tcPr>
          <w:p w14:paraId="5E4C8FCC" w14:textId="77777777" w:rsidR="001F04FD" w:rsidRPr="00B2348D" w:rsidRDefault="001F04FD" w:rsidP="00AC4DEE">
            <w:pPr>
              <w:pStyle w:val="TableBody"/>
            </w:pPr>
            <w:r w:rsidRPr="006624C0">
              <w:t xml:space="preserve">RTSPP </w:t>
            </w:r>
            <w:r w:rsidRPr="006624C0">
              <w:rPr>
                <w:i/>
                <w:vertAlign w:val="subscript"/>
              </w:rPr>
              <w:t>p, i</w:t>
            </w:r>
          </w:p>
        </w:tc>
        <w:tc>
          <w:tcPr>
            <w:tcW w:w="1255" w:type="dxa"/>
          </w:tcPr>
          <w:p w14:paraId="3A355AAE" w14:textId="77777777" w:rsidR="001F04FD" w:rsidRPr="00B2348D" w:rsidRDefault="001F04FD" w:rsidP="00AC4DEE">
            <w:pPr>
              <w:pStyle w:val="TableBody"/>
            </w:pPr>
            <w:r w:rsidRPr="006624C0">
              <w:t>$/MWh</w:t>
            </w:r>
          </w:p>
        </w:tc>
        <w:tc>
          <w:tcPr>
            <w:tcW w:w="6421" w:type="dxa"/>
          </w:tcPr>
          <w:p w14:paraId="2BE48953" w14:textId="77777777" w:rsidR="001F04FD" w:rsidRPr="00B2348D"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B2348D" w14:paraId="37155F10" w14:textId="77777777" w:rsidTr="00E21852">
        <w:trPr>
          <w:cantSplit/>
        </w:trPr>
        <w:tc>
          <w:tcPr>
            <w:tcW w:w="2153" w:type="dxa"/>
          </w:tcPr>
          <w:p w14:paraId="15B112CB" w14:textId="77777777" w:rsidR="001F04FD" w:rsidRPr="00B2348D" w:rsidRDefault="001F04FD" w:rsidP="00AC4DEE">
            <w:pPr>
              <w:pStyle w:val="TableBody"/>
            </w:pPr>
            <w:r w:rsidRPr="00B2348D">
              <w:t xml:space="preserve">TWTG </w:t>
            </w:r>
            <w:r w:rsidRPr="006624C0">
              <w:rPr>
                <w:i/>
                <w:vertAlign w:val="subscript"/>
              </w:rPr>
              <w:t>q, r, p, i</w:t>
            </w:r>
          </w:p>
        </w:tc>
        <w:tc>
          <w:tcPr>
            <w:tcW w:w="1255" w:type="dxa"/>
          </w:tcPr>
          <w:p w14:paraId="452AA420" w14:textId="77777777" w:rsidR="001F04FD" w:rsidRPr="00B2348D" w:rsidRDefault="001F04FD" w:rsidP="00AC4DEE">
            <w:pPr>
              <w:pStyle w:val="TableBody"/>
            </w:pPr>
            <w:r w:rsidRPr="00B2348D">
              <w:t>MWh</w:t>
            </w:r>
          </w:p>
        </w:tc>
        <w:tc>
          <w:tcPr>
            <w:tcW w:w="6421" w:type="dxa"/>
          </w:tcPr>
          <w:p w14:paraId="0FE74A2D" w14:textId="77777777" w:rsidR="001F04FD" w:rsidRPr="00B2348D" w:rsidRDefault="001F04FD" w:rsidP="00AC4DEE">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1F04FD" w:rsidRPr="00B2348D" w14:paraId="3B95D44F" w14:textId="77777777" w:rsidTr="00E21852">
        <w:trPr>
          <w:cantSplit/>
        </w:trPr>
        <w:tc>
          <w:tcPr>
            <w:tcW w:w="2153" w:type="dxa"/>
          </w:tcPr>
          <w:p w14:paraId="49ECC3ED" w14:textId="77777777" w:rsidR="001F04FD" w:rsidRPr="00B2348D" w:rsidRDefault="001F04FD" w:rsidP="00AC4DEE">
            <w:pPr>
              <w:pStyle w:val="TableBody"/>
            </w:pPr>
            <w:r w:rsidRPr="00B2348D">
              <w:t>AABP</w:t>
            </w:r>
            <w:r w:rsidRPr="006624C0">
              <w:rPr>
                <w:i/>
                <w:vertAlign w:val="subscript"/>
              </w:rPr>
              <w:t xml:space="preserve"> q, r, p, i</w:t>
            </w:r>
          </w:p>
        </w:tc>
        <w:tc>
          <w:tcPr>
            <w:tcW w:w="1255" w:type="dxa"/>
          </w:tcPr>
          <w:p w14:paraId="1B253025" w14:textId="77777777" w:rsidR="001F04FD" w:rsidRPr="00B2348D" w:rsidRDefault="001F04FD" w:rsidP="00AC4DEE">
            <w:pPr>
              <w:pStyle w:val="TableBody"/>
            </w:pPr>
            <w:r w:rsidRPr="00B2348D">
              <w:t>MW</w:t>
            </w:r>
          </w:p>
        </w:tc>
        <w:tc>
          <w:tcPr>
            <w:tcW w:w="6421" w:type="dxa"/>
          </w:tcPr>
          <w:p w14:paraId="7CB4B522" w14:textId="77777777" w:rsidR="001F04FD" w:rsidRPr="00B2348D" w:rsidRDefault="001F04FD" w:rsidP="00AC4DEE">
            <w:pPr>
              <w:pStyle w:val="TableBody"/>
              <w:rPr>
                <w:i/>
              </w:rPr>
            </w:pPr>
            <w:r w:rsidRPr="00B2348D">
              <w:rPr>
                <w:i/>
              </w:rPr>
              <w:t>Adjusted Aggregated Base Point per QSE per Settlement Point per Resource</w:t>
            </w:r>
            <w:r w:rsidRPr="00B2348D">
              <w:t xml:space="preserve">—The aggregated Base Point adjusted for Ancillary Service deployments, of Generation </w:t>
            </w:r>
            <w:r>
              <w:t xml:space="preserve">Resource or Controllable Load </w:t>
            </w:r>
            <w:r w:rsidRPr="00B2348D">
              <w:t xml:space="preserve">Resource </w:t>
            </w:r>
            <w:r w:rsidRPr="00B2348D">
              <w:rPr>
                <w:i/>
              </w:rPr>
              <w:t>r</w:t>
            </w:r>
            <w:r w:rsidRPr="00B2348D">
              <w:t xml:space="preserve"> represented by QSE </w:t>
            </w:r>
            <w:r w:rsidRPr="00B2348D">
              <w:rPr>
                <w:i/>
              </w:rPr>
              <w:t>q</w:t>
            </w:r>
            <w:r w:rsidRPr="00B2348D">
              <w:t xml:space="preserve"> at </w:t>
            </w:r>
            <w:r>
              <w:t>Settlement Point</w:t>
            </w:r>
            <w:r w:rsidRPr="00B2348D">
              <w:t xml:space="preserve"> </w:t>
            </w:r>
            <w:r w:rsidRPr="00B2348D">
              <w:rPr>
                <w:i/>
              </w:rPr>
              <w:t>p,</w:t>
            </w:r>
            <w:r w:rsidRPr="00B2348D">
              <w:t xml:space="preserve"> for the 15-minute Settlement Interval</w:t>
            </w:r>
            <w:r w:rsidRPr="00B2348D">
              <w:rPr>
                <w:i/>
              </w:rPr>
              <w:t xml:space="preserve"> i</w:t>
            </w:r>
            <w:r w:rsidRPr="00B2348D">
              <w:t>.  Where for a Combined Cycle Train, AABP is calculated for the Combined Cycle Train considering all SCED Dispatch Instructions to any Combined Cycle Generation Resources within the Combined Cycle Train</w:t>
            </w:r>
            <w:r>
              <w:t>.</w:t>
            </w:r>
          </w:p>
        </w:tc>
      </w:tr>
      <w:tr w:rsidR="001F04FD" w:rsidRPr="00B2348D" w14:paraId="0C447A01" w14:textId="77777777" w:rsidTr="00E21852">
        <w:trPr>
          <w:cantSplit/>
        </w:trPr>
        <w:tc>
          <w:tcPr>
            <w:tcW w:w="2153" w:type="dxa"/>
          </w:tcPr>
          <w:p w14:paraId="7DFEB762" w14:textId="77777777" w:rsidR="001F04FD" w:rsidRPr="00B2348D" w:rsidRDefault="001F04FD" w:rsidP="00AC4DEE">
            <w:pPr>
              <w:pStyle w:val="TableBody"/>
            </w:pPr>
            <w:r w:rsidRPr="006624C0">
              <w:t>AVGTG5M</w:t>
            </w:r>
            <w:r w:rsidRPr="006624C0">
              <w:rPr>
                <w:i/>
                <w:vertAlign w:val="subscript"/>
                <w:lang w:val="fr-FR"/>
              </w:rPr>
              <w:t xml:space="preserve"> q, r, p, i, y</w:t>
            </w:r>
          </w:p>
        </w:tc>
        <w:tc>
          <w:tcPr>
            <w:tcW w:w="1255" w:type="dxa"/>
          </w:tcPr>
          <w:p w14:paraId="2FCE1EE4" w14:textId="77777777" w:rsidR="001F04FD" w:rsidRPr="00B2348D" w:rsidRDefault="001F04FD" w:rsidP="00AC4DEE">
            <w:pPr>
              <w:pStyle w:val="TableBody"/>
            </w:pPr>
            <w:r w:rsidRPr="006624C0">
              <w:t>MW</w:t>
            </w:r>
          </w:p>
        </w:tc>
        <w:tc>
          <w:tcPr>
            <w:tcW w:w="6421" w:type="dxa"/>
          </w:tcPr>
          <w:p w14:paraId="1183E713" w14:textId="77777777" w:rsidR="001F04FD" w:rsidRPr="00B2348D" w:rsidRDefault="001F04FD" w:rsidP="00AC4DEE">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B2348D" w14:paraId="4CDF3DCE" w14:textId="77777777" w:rsidTr="00E21852">
        <w:trPr>
          <w:cantSplit/>
        </w:trPr>
        <w:tc>
          <w:tcPr>
            <w:tcW w:w="2153" w:type="dxa"/>
          </w:tcPr>
          <w:p w14:paraId="3A093162" w14:textId="77777777" w:rsidR="001F04FD" w:rsidRPr="00B2348D" w:rsidRDefault="001F04FD" w:rsidP="00AC4DEE">
            <w:pPr>
              <w:pStyle w:val="TableBody"/>
            </w:pPr>
            <w:r w:rsidRPr="006624C0">
              <w:t xml:space="preserve">OGEN </w:t>
            </w:r>
            <w:r w:rsidRPr="006624C0">
              <w:rPr>
                <w:i/>
                <w:vertAlign w:val="subscript"/>
              </w:rPr>
              <w:t>q, r, p, i</w:t>
            </w:r>
          </w:p>
        </w:tc>
        <w:tc>
          <w:tcPr>
            <w:tcW w:w="1255" w:type="dxa"/>
          </w:tcPr>
          <w:p w14:paraId="0DB85F36" w14:textId="77777777" w:rsidR="001F04FD" w:rsidRPr="00B2348D" w:rsidRDefault="001F04FD" w:rsidP="00AC4DEE">
            <w:pPr>
              <w:pStyle w:val="TableBody"/>
            </w:pPr>
            <w:r w:rsidRPr="006624C0">
              <w:t>MW</w:t>
            </w:r>
            <w:r w:rsidR="008F39F7">
              <w:t>h</w:t>
            </w:r>
          </w:p>
        </w:tc>
        <w:tc>
          <w:tcPr>
            <w:tcW w:w="6421" w:type="dxa"/>
          </w:tcPr>
          <w:p w14:paraId="75294F97" w14:textId="77777777" w:rsidR="001F04FD" w:rsidRPr="00B2348D" w:rsidRDefault="001F04FD" w:rsidP="00AC4DEE">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 minute Settlement Interval </w:t>
            </w:r>
            <w:r w:rsidRPr="006624C0">
              <w:rPr>
                <w:i/>
              </w:rPr>
              <w:t>i</w:t>
            </w:r>
            <w:r w:rsidRPr="006624C0">
              <w:t>.</w:t>
            </w:r>
          </w:p>
        </w:tc>
      </w:tr>
      <w:tr w:rsidR="001F04FD" w:rsidRPr="00B2348D" w14:paraId="04D8BBC3" w14:textId="77777777" w:rsidTr="00E21852">
        <w:trPr>
          <w:cantSplit/>
        </w:trPr>
        <w:tc>
          <w:tcPr>
            <w:tcW w:w="2153" w:type="dxa"/>
          </w:tcPr>
          <w:p w14:paraId="2B52DBAF" w14:textId="77777777" w:rsidR="001F04FD" w:rsidRPr="00B2348D" w:rsidRDefault="001F04FD" w:rsidP="00AC4DEE">
            <w:pPr>
              <w:pStyle w:val="TableBody"/>
            </w:pPr>
            <w:r w:rsidRPr="006624C0">
              <w:t>PR1</w:t>
            </w:r>
          </w:p>
        </w:tc>
        <w:tc>
          <w:tcPr>
            <w:tcW w:w="1255" w:type="dxa"/>
          </w:tcPr>
          <w:p w14:paraId="24C285DE" w14:textId="77777777" w:rsidR="001F04FD" w:rsidRPr="00B2348D" w:rsidRDefault="001F04FD" w:rsidP="00AC4DEE">
            <w:pPr>
              <w:pStyle w:val="TableBody"/>
            </w:pPr>
            <w:r w:rsidRPr="006624C0">
              <w:t>$/MWh</w:t>
            </w:r>
          </w:p>
        </w:tc>
        <w:tc>
          <w:tcPr>
            <w:tcW w:w="6421" w:type="dxa"/>
          </w:tcPr>
          <w:p w14:paraId="55965F74" w14:textId="77777777" w:rsidR="001F04FD" w:rsidRPr="00B2348D" w:rsidRDefault="001F04FD" w:rsidP="00AC4DEE">
            <w:pPr>
              <w:pStyle w:val="TableBody"/>
            </w:pPr>
            <w:r>
              <w:t xml:space="preserve">The </w:t>
            </w:r>
            <w:r w:rsidRPr="006624C0">
              <w:t>price to use for the Base Point Deviation Charge for over-generation when RTSPP is less than $20</w:t>
            </w:r>
            <w:r>
              <w:t>/MWh, $20/MWh</w:t>
            </w:r>
            <w:r w:rsidRPr="006624C0">
              <w:t xml:space="preserve">.  </w:t>
            </w:r>
          </w:p>
        </w:tc>
      </w:tr>
      <w:tr w:rsidR="001F04FD" w:rsidRPr="00B2348D" w14:paraId="11FB09C1" w14:textId="77777777" w:rsidTr="005755D9">
        <w:trPr>
          <w:cantSplit/>
        </w:trPr>
        <w:tc>
          <w:tcPr>
            <w:tcW w:w="2153" w:type="dxa"/>
            <w:tcBorders>
              <w:bottom w:val="single" w:sz="4" w:space="0" w:color="auto"/>
            </w:tcBorders>
          </w:tcPr>
          <w:p w14:paraId="09A7DA6C" w14:textId="77777777" w:rsidR="001F04FD" w:rsidRPr="00B2348D" w:rsidRDefault="001F04FD" w:rsidP="00AC4DEE">
            <w:pPr>
              <w:pStyle w:val="TableBody"/>
            </w:pPr>
            <w:r w:rsidRPr="006624C0">
              <w:t>K1</w:t>
            </w:r>
          </w:p>
        </w:tc>
        <w:tc>
          <w:tcPr>
            <w:tcW w:w="1255" w:type="dxa"/>
            <w:tcBorders>
              <w:bottom w:val="single" w:sz="4" w:space="0" w:color="auto"/>
            </w:tcBorders>
          </w:tcPr>
          <w:p w14:paraId="077305A7" w14:textId="77777777" w:rsidR="001F04FD" w:rsidRPr="00B2348D" w:rsidRDefault="001F04FD" w:rsidP="00AC4DEE">
            <w:pPr>
              <w:pStyle w:val="TableBody"/>
            </w:pPr>
            <w:r w:rsidRPr="006624C0">
              <w:t>none</w:t>
            </w:r>
          </w:p>
        </w:tc>
        <w:tc>
          <w:tcPr>
            <w:tcW w:w="6421" w:type="dxa"/>
            <w:tcBorders>
              <w:bottom w:val="single" w:sz="4" w:space="0" w:color="auto"/>
            </w:tcBorders>
          </w:tcPr>
          <w:p w14:paraId="62AC95C8" w14:textId="77777777" w:rsidR="001F04FD" w:rsidRPr="00B2348D" w:rsidRDefault="001F04FD" w:rsidP="00AC4DEE">
            <w:pPr>
              <w:pStyle w:val="TableBody"/>
            </w:pPr>
            <w:r w:rsidRPr="006624C0">
              <w:t xml:space="preserve">The percentage tolerance for over-generation, 5%.  </w:t>
            </w:r>
          </w:p>
        </w:tc>
      </w:tr>
      <w:tr w:rsidR="001F04FD" w:rsidRPr="00B2348D" w14:paraId="0E270EFA" w14:textId="77777777" w:rsidTr="005755D9">
        <w:trPr>
          <w:cantSplit/>
        </w:trPr>
        <w:tc>
          <w:tcPr>
            <w:tcW w:w="2153" w:type="dxa"/>
            <w:tcBorders>
              <w:bottom w:val="nil"/>
            </w:tcBorders>
          </w:tcPr>
          <w:p w14:paraId="66B1DA66" w14:textId="77777777" w:rsidR="001F04FD" w:rsidRPr="00B2348D" w:rsidRDefault="001F04FD" w:rsidP="00AC4DEE">
            <w:pPr>
              <w:pStyle w:val="TableBody"/>
            </w:pPr>
            <w:r w:rsidRPr="006624C0">
              <w:t>Q1</w:t>
            </w:r>
          </w:p>
        </w:tc>
        <w:tc>
          <w:tcPr>
            <w:tcW w:w="1255" w:type="dxa"/>
            <w:tcBorders>
              <w:bottom w:val="nil"/>
            </w:tcBorders>
          </w:tcPr>
          <w:p w14:paraId="5014581D" w14:textId="77777777" w:rsidR="001F04FD" w:rsidRPr="00B2348D" w:rsidRDefault="001F04FD" w:rsidP="00AC4DEE">
            <w:pPr>
              <w:pStyle w:val="TableBody"/>
            </w:pPr>
            <w:r w:rsidRPr="006624C0">
              <w:t>MW</w:t>
            </w:r>
          </w:p>
        </w:tc>
        <w:tc>
          <w:tcPr>
            <w:tcW w:w="6421" w:type="dxa"/>
            <w:tcBorders>
              <w:bottom w:val="nil"/>
            </w:tcBorders>
          </w:tcPr>
          <w:p w14:paraId="3785414E" w14:textId="77777777" w:rsidR="001F04FD" w:rsidRPr="00B2348D" w:rsidRDefault="001F04FD" w:rsidP="00AC4DEE">
            <w:pPr>
              <w:pStyle w:val="TableBody"/>
            </w:pPr>
            <w:r w:rsidRPr="006624C0">
              <w:t>The MW tolerance for over-generation, five MW.</w:t>
            </w:r>
          </w:p>
        </w:tc>
      </w:tr>
      <w:tr w:rsidR="008F39F7" w:rsidRPr="00B2348D" w14:paraId="0A6803E0" w14:textId="77777777" w:rsidTr="005755D9">
        <w:trPr>
          <w:cantSplit/>
        </w:trPr>
        <w:tc>
          <w:tcPr>
            <w:tcW w:w="9829" w:type="dxa"/>
            <w:gridSpan w:val="3"/>
            <w:tcBorders>
              <w:top w:val="nil"/>
            </w:tcBorders>
          </w:tcPr>
          <w:p w14:paraId="322D2EC5" w14:textId="77777777" w:rsidR="008F39F7" w:rsidRPr="006624C0" w:rsidRDefault="008F39F7" w:rsidP="00AC4DEE">
            <w:pPr>
              <w:pStyle w:val="TableBody"/>
            </w:pPr>
          </w:p>
        </w:tc>
      </w:tr>
      <w:tr w:rsidR="001F04FD" w:rsidRPr="00B2348D" w14:paraId="11E5C443" w14:textId="77777777" w:rsidTr="00E21852">
        <w:trPr>
          <w:cantSplit/>
        </w:trPr>
        <w:tc>
          <w:tcPr>
            <w:tcW w:w="2153" w:type="dxa"/>
          </w:tcPr>
          <w:p w14:paraId="536966B7" w14:textId="77777777" w:rsidR="001F04FD" w:rsidRPr="00B2348D" w:rsidRDefault="001F04FD" w:rsidP="00AC4DEE">
            <w:pPr>
              <w:pStyle w:val="TableBody"/>
              <w:rPr>
                <w:i/>
              </w:rPr>
            </w:pPr>
            <w:r>
              <w:rPr>
                <w:i/>
              </w:rPr>
              <w:t>q</w:t>
            </w:r>
          </w:p>
        </w:tc>
        <w:tc>
          <w:tcPr>
            <w:tcW w:w="1255" w:type="dxa"/>
          </w:tcPr>
          <w:p w14:paraId="0D96591E" w14:textId="77777777" w:rsidR="001F04FD" w:rsidRPr="00B2348D" w:rsidRDefault="001F04FD" w:rsidP="00AC4DEE">
            <w:pPr>
              <w:pStyle w:val="TableBody"/>
            </w:pPr>
            <w:r w:rsidRPr="006624C0">
              <w:t>none</w:t>
            </w:r>
          </w:p>
        </w:tc>
        <w:tc>
          <w:tcPr>
            <w:tcW w:w="6421" w:type="dxa"/>
          </w:tcPr>
          <w:p w14:paraId="5BE5972F" w14:textId="77777777" w:rsidR="001F04FD" w:rsidRPr="00B2348D" w:rsidRDefault="001F04FD" w:rsidP="00AC4DEE">
            <w:pPr>
              <w:pStyle w:val="TableBody"/>
            </w:pPr>
            <w:r w:rsidRPr="006624C0">
              <w:t>A QSE.</w:t>
            </w:r>
          </w:p>
        </w:tc>
      </w:tr>
      <w:tr w:rsidR="001F04FD" w:rsidRPr="00B2348D" w14:paraId="0FCDEE24" w14:textId="77777777" w:rsidTr="00E21852">
        <w:trPr>
          <w:cantSplit/>
        </w:trPr>
        <w:tc>
          <w:tcPr>
            <w:tcW w:w="2153" w:type="dxa"/>
          </w:tcPr>
          <w:p w14:paraId="36A6FE2E" w14:textId="77777777" w:rsidR="001F04FD" w:rsidRPr="00B2348D" w:rsidRDefault="001F04FD" w:rsidP="00AC4DEE">
            <w:pPr>
              <w:pStyle w:val="TableBody"/>
              <w:rPr>
                <w:i/>
              </w:rPr>
            </w:pPr>
            <w:r>
              <w:rPr>
                <w:i/>
              </w:rPr>
              <w:t>p</w:t>
            </w:r>
          </w:p>
        </w:tc>
        <w:tc>
          <w:tcPr>
            <w:tcW w:w="1255" w:type="dxa"/>
          </w:tcPr>
          <w:p w14:paraId="3F71FB42" w14:textId="77777777" w:rsidR="001F04FD" w:rsidRPr="00B2348D" w:rsidRDefault="001F04FD" w:rsidP="00AC4DEE">
            <w:pPr>
              <w:pStyle w:val="TableBody"/>
            </w:pPr>
            <w:r w:rsidRPr="006624C0">
              <w:t>none</w:t>
            </w:r>
          </w:p>
        </w:tc>
        <w:tc>
          <w:tcPr>
            <w:tcW w:w="6421" w:type="dxa"/>
          </w:tcPr>
          <w:p w14:paraId="12C0F6EF" w14:textId="77777777" w:rsidR="001F04FD" w:rsidRPr="00B2348D" w:rsidRDefault="001F04FD" w:rsidP="00AC4DEE">
            <w:pPr>
              <w:pStyle w:val="TableBody"/>
            </w:pPr>
            <w:r w:rsidRPr="006624C0">
              <w:t>A Settlement Point.</w:t>
            </w:r>
          </w:p>
        </w:tc>
      </w:tr>
      <w:tr w:rsidR="001F04FD" w:rsidRPr="00B2348D" w14:paraId="1E91E2E9" w14:textId="77777777" w:rsidTr="00E21852">
        <w:trPr>
          <w:cantSplit/>
        </w:trPr>
        <w:tc>
          <w:tcPr>
            <w:tcW w:w="2153" w:type="dxa"/>
          </w:tcPr>
          <w:p w14:paraId="6A35A135" w14:textId="77777777" w:rsidR="001F04FD" w:rsidRPr="00B2348D" w:rsidRDefault="001F04FD" w:rsidP="00AC4DEE">
            <w:pPr>
              <w:pStyle w:val="TableBody"/>
              <w:tabs>
                <w:tab w:val="right" w:pos="9360"/>
              </w:tabs>
              <w:rPr>
                <w:i/>
              </w:rPr>
            </w:pPr>
            <w:r>
              <w:rPr>
                <w:i/>
              </w:rPr>
              <w:t>r</w:t>
            </w:r>
          </w:p>
        </w:tc>
        <w:tc>
          <w:tcPr>
            <w:tcW w:w="1255" w:type="dxa"/>
          </w:tcPr>
          <w:p w14:paraId="26766F0F" w14:textId="77777777" w:rsidR="001F04FD" w:rsidRPr="00B2348D" w:rsidRDefault="001F04FD" w:rsidP="00AC4DEE">
            <w:pPr>
              <w:pStyle w:val="TableBody"/>
              <w:tabs>
                <w:tab w:val="right" w:pos="9360"/>
              </w:tabs>
            </w:pPr>
            <w:r w:rsidRPr="006624C0">
              <w:t>none</w:t>
            </w:r>
          </w:p>
        </w:tc>
        <w:tc>
          <w:tcPr>
            <w:tcW w:w="6421" w:type="dxa"/>
          </w:tcPr>
          <w:p w14:paraId="288F4F25" w14:textId="77777777" w:rsidR="00590838" w:rsidRPr="00B2348D" w:rsidRDefault="001F04FD" w:rsidP="00AC4DEE">
            <w:pPr>
              <w:pStyle w:val="TableBody"/>
              <w:tabs>
                <w:tab w:val="right" w:pos="9360"/>
              </w:tabs>
              <w:rPr>
                <w:lang w:val="fr-FR"/>
              </w:rPr>
            </w:pPr>
            <w:r w:rsidRPr="006624C0">
              <w:rPr>
                <w:lang w:val="fr-FR"/>
              </w:rPr>
              <w:t>A non-exempt, non-Intermittent Renewable Resource (IRR).</w:t>
            </w:r>
          </w:p>
          <w:p w14:paraId="7DD63A92" w14:textId="77777777" w:rsidR="001F04FD" w:rsidRPr="00B2348D" w:rsidRDefault="001F04FD" w:rsidP="00AC4DEE">
            <w:pPr>
              <w:pStyle w:val="TableBody"/>
              <w:tabs>
                <w:tab w:val="right" w:pos="9360"/>
              </w:tabs>
              <w:rPr>
                <w:lang w:val="fr-FR"/>
              </w:rPr>
            </w:pPr>
          </w:p>
        </w:tc>
      </w:tr>
      <w:tr w:rsidR="001F04FD" w:rsidRPr="00B2348D" w14:paraId="036EC015" w14:textId="77777777" w:rsidTr="005755D9">
        <w:trPr>
          <w:cantSplit/>
        </w:trPr>
        <w:tc>
          <w:tcPr>
            <w:tcW w:w="2153" w:type="dxa"/>
            <w:tcBorders>
              <w:top w:val="single" w:sz="4" w:space="0" w:color="auto"/>
              <w:left w:val="single" w:sz="4" w:space="0" w:color="auto"/>
              <w:bottom w:val="single" w:sz="4" w:space="0" w:color="auto"/>
              <w:right w:val="single" w:sz="4" w:space="0" w:color="auto"/>
            </w:tcBorders>
          </w:tcPr>
          <w:p w14:paraId="5DBABF76" w14:textId="77777777" w:rsidR="001F04FD" w:rsidRPr="00B2348D" w:rsidRDefault="001F04FD" w:rsidP="00AC4DEE">
            <w:pPr>
              <w:pStyle w:val="TableBody"/>
              <w:rPr>
                <w:i/>
              </w:rPr>
            </w:pPr>
            <w:r>
              <w:rPr>
                <w:i/>
              </w:rPr>
              <w:t xml:space="preserve">y </w:t>
            </w:r>
          </w:p>
        </w:tc>
        <w:tc>
          <w:tcPr>
            <w:tcW w:w="1255" w:type="dxa"/>
            <w:tcBorders>
              <w:top w:val="single" w:sz="4" w:space="0" w:color="auto"/>
              <w:left w:val="single" w:sz="4" w:space="0" w:color="auto"/>
              <w:bottom w:val="single" w:sz="4" w:space="0" w:color="auto"/>
              <w:right w:val="single" w:sz="4" w:space="0" w:color="auto"/>
            </w:tcBorders>
          </w:tcPr>
          <w:p w14:paraId="60500242" w14:textId="77777777" w:rsidR="001F04FD" w:rsidRPr="00B2348D" w:rsidRDefault="001F04FD" w:rsidP="00AC4DEE">
            <w:pPr>
              <w:pStyle w:val="TableBody"/>
            </w:pPr>
            <w:r w:rsidRPr="006624C0">
              <w:t>none</w:t>
            </w:r>
          </w:p>
        </w:tc>
        <w:tc>
          <w:tcPr>
            <w:tcW w:w="6421" w:type="dxa"/>
            <w:tcBorders>
              <w:top w:val="single" w:sz="4" w:space="0" w:color="auto"/>
              <w:left w:val="single" w:sz="4" w:space="0" w:color="auto"/>
              <w:bottom w:val="single" w:sz="4" w:space="0" w:color="auto"/>
              <w:right w:val="single" w:sz="4" w:space="0" w:color="auto"/>
            </w:tcBorders>
          </w:tcPr>
          <w:p w14:paraId="7873897F" w14:textId="77777777" w:rsidR="001F04FD" w:rsidRPr="00B2348D" w:rsidRDefault="001F04FD" w:rsidP="00AC4DEE">
            <w:pPr>
              <w:pStyle w:val="TableBody"/>
            </w:pPr>
            <w:r w:rsidRPr="006624C0">
              <w:t xml:space="preserve">A five-minute clock interval in the Settlement Interval. </w:t>
            </w:r>
          </w:p>
        </w:tc>
      </w:tr>
      <w:tr w:rsidR="001F04FD" w:rsidRPr="00B2348D" w14:paraId="722BABE4" w14:textId="77777777" w:rsidTr="005755D9">
        <w:trPr>
          <w:cantSplit/>
        </w:trPr>
        <w:tc>
          <w:tcPr>
            <w:tcW w:w="2153" w:type="dxa"/>
            <w:tcBorders>
              <w:top w:val="single" w:sz="4" w:space="0" w:color="auto"/>
              <w:left w:val="single" w:sz="4" w:space="0" w:color="auto"/>
              <w:bottom w:val="nil"/>
              <w:right w:val="single" w:sz="4" w:space="0" w:color="auto"/>
            </w:tcBorders>
          </w:tcPr>
          <w:p w14:paraId="4ACB8B51" w14:textId="77777777" w:rsidR="001F04FD" w:rsidRPr="00B2348D" w:rsidDel="00714336" w:rsidRDefault="001F04FD" w:rsidP="00AC4DEE">
            <w:pPr>
              <w:pStyle w:val="TableBody"/>
              <w:rPr>
                <w:i/>
              </w:rPr>
            </w:pPr>
            <w:r>
              <w:rPr>
                <w:i/>
              </w:rPr>
              <w:t>i</w:t>
            </w:r>
          </w:p>
        </w:tc>
        <w:tc>
          <w:tcPr>
            <w:tcW w:w="1255" w:type="dxa"/>
            <w:tcBorders>
              <w:top w:val="single" w:sz="4" w:space="0" w:color="auto"/>
              <w:left w:val="single" w:sz="4" w:space="0" w:color="auto"/>
              <w:bottom w:val="nil"/>
              <w:right w:val="single" w:sz="4" w:space="0" w:color="auto"/>
            </w:tcBorders>
          </w:tcPr>
          <w:p w14:paraId="7DAC8A46" w14:textId="77777777" w:rsidR="001F04FD" w:rsidRPr="00B2348D" w:rsidDel="00714336" w:rsidRDefault="001F04FD" w:rsidP="00AC4DEE">
            <w:pPr>
              <w:pStyle w:val="TableBody"/>
            </w:pPr>
            <w:r w:rsidRPr="006624C0">
              <w:t>none</w:t>
            </w:r>
          </w:p>
        </w:tc>
        <w:tc>
          <w:tcPr>
            <w:tcW w:w="6421" w:type="dxa"/>
            <w:tcBorders>
              <w:top w:val="single" w:sz="4" w:space="0" w:color="auto"/>
              <w:left w:val="single" w:sz="4" w:space="0" w:color="auto"/>
              <w:bottom w:val="nil"/>
              <w:right w:val="single" w:sz="4" w:space="0" w:color="auto"/>
            </w:tcBorders>
          </w:tcPr>
          <w:p w14:paraId="5F419630" w14:textId="77777777" w:rsidR="001F04FD" w:rsidRPr="00B2348D" w:rsidDel="00714336" w:rsidRDefault="001F04FD" w:rsidP="00AC4DEE">
            <w:pPr>
              <w:pStyle w:val="TableBody"/>
            </w:pPr>
            <w:r w:rsidRPr="006624C0">
              <w:t>A 15-minute Settlement Interval.</w:t>
            </w:r>
          </w:p>
        </w:tc>
      </w:tr>
      <w:tr w:rsidR="008F39F7" w:rsidRPr="00B2348D" w14:paraId="3142FCD2" w14:textId="77777777" w:rsidTr="005755D9">
        <w:trPr>
          <w:cantSplit/>
        </w:trPr>
        <w:tc>
          <w:tcPr>
            <w:tcW w:w="9829" w:type="dxa"/>
            <w:gridSpan w:val="3"/>
            <w:tcBorders>
              <w:top w:val="nil"/>
              <w:left w:val="single" w:sz="4" w:space="0" w:color="auto"/>
              <w:bottom w:val="single" w:sz="4" w:space="0" w:color="auto"/>
              <w:right w:val="single" w:sz="4" w:space="0" w:color="auto"/>
            </w:tcBorders>
          </w:tcPr>
          <w:p w14:paraId="36ECB0AF" w14:textId="77777777" w:rsidR="008F39F7" w:rsidRPr="006624C0" w:rsidRDefault="008F39F7" w:rsidP="00AC4DEE">
            <w:pPr>
              <w:pStyle w:val="TableBody"/>
            </w:pPr>
          </w:p>
        </w:tc>
      </w:tr>
    </w:tbl>
    <w:p w14:paraId="73FB311C" w14:textId="77777777" w:rsidR="00E21852" w:rsidRDefault="00E21852"/>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E21852" w14:paraId="58C8C9FF" w14:textId="77777777" w:rsidTr="005755D9">
        <w:tc>
          <w:tcPr>
            <w:tcW w:w="9829" w:type="dxa"/>
            <w:tcBorders>
              <w:top w:val="single" w:sz="4" w:space="0" w:color="auto"/>
              <w:left w:val="single" w:sz="4" w:space="0" w:color="auto"/>
              <w:bottom w:val="single" w:sz="4" w:space="0" w:color="auto"/>
              <w:right w:val="single" w:sz="4" w:space="0" w:color="auto"/>
            </w:tcBorders>
            <w:shd w:val="pct12" w:color="auto" w:fill="auto"/>
          </w:tcPr>
          <w:p w14:paraId="0A51A145" w14:textId="1605EC9B" w:rsidR="00E21852" w:rsidRDefault="00E21852" w:rsidP="00AB2BB6">
            <w:pPr>
              <w:pStyle w:val="Instructions"/>
              <w:spacing w:before="120"/>
            </w:pPr>
            <w:bookmarkStart w:id="2080" w:name="_Toc402357152"/>
            <w:bookmarkStart w:id="2081" w:name="_Toc422486532"/>
            <w:bookmarkStart w:id="2082" w:name="_Toc433093385"/>
            <w:bookmarkStart w:id="2083" w:name="_Toc433093543"/>
            <w:bookmarkStart w:id="2084" w:name="_Toc440874773"/>
            <w:bookmarkStart w:id="2085" w:name="_Toc448142330"/>
            <w:bookmarkStart w:id="2086" w:name="_Toc448142487"/>
            <w:bookmarkStart w:id="2087" w:name="_Toc458770328"/>
            <w:bookmarkStart w:id="2088" w:name="_Toc459294296"/>
            <w:bookmarkStart w:id="2089" w:name="_Toc463262789"/>
            <w:bookmarkStart w:id="2090" w:name="_Toc468286862"/>
            <w:bookmarkStart w:id="2091" w:name="_Toc481502902"/>
            <w:bookmarkStart w:id="2092" w:name="_Toc496080070"/>
            <w:r>
              <w:t>[NPRR879</w:t>
            </w:r>
            <w:r w:rsidR="005F232E">
              <w:t>,</w:t>
            </w:r>
            <w:r>
              <w:t xml:space="preserve"> NPRR963</w:t>
            </w:r>
            <w:r w:rsidR="005F232E">
              <w:t>, NPRR1010</w:t>
            </w:r>
            <w:r w:rsidR="008152FC">
              <w:t>, and NPRR1246</w:t>
            </w:r>
            <w:r>
              <w:t xml:space="preserve">:  Replace applicable portions of Section </w:t>
            </w:r>
            <w:r w:rsidRPr="002D385D">
              <w:t>6.6.5.1.1.1</w:t>
            </w:r>
            <w:r>
              <w:t xml:space="preserve"> above with the following upon system implementation</w:t>
            </w:r>
            <w:r w:rsidR="005F232E">
              <w:t xml:space="preserve"> for NPRR879 or NPRR963; or upon system implementation of the Real-Time Co-Optimization (RTC) project for NPRR1010</w:t>
            </w:r>
            <w:r w:rsidR="008152FC">
              <w:t xml:space="preserve"> and NPRR1246</w:t>
            </w:r>
            <w:r w:rsidR="005F232E">
              <w:t>;</w:t>
            </w:r>
            <w:r w:rsidR="00C215CF">
              <w:t xml:space="preserve"> and renumber accordingly</w:t>
            </w:r>
            <w:r>
              <w:t>:]</w:t>
            </w:r>
          </w:p>
          <w:p w14:paraId="61999CE9" w14:textId="6833A8B5" w:rsidR="00E21852" w:rsidRPr="002D385D" w:rsidRDefault="00E21852" w:rsidP="00E21852">
            <w:pPr>
              <w:pStyle w:val="H4"/>
              <w:tabs>
                <w:tab w:val="clear" w:pos="1260"/>
                <w:tab w:val="left" w:pos="1620"/>
              </w:tabs>
              <w:spacing w:before="480"/>
              <w:ind w:left="1627" w:hanging="1627"/>
              <w:outlineLvl w:val="4"/>
            </w:pPr>
            <w:bookmarkStart w:id="2093" w:name="_Toc60040691"/>
            <w:bookmarkStart w:id="2094" w:name="_Toc65151750"/>
            <w:bookmarkStart w:id="2095" w:name="_Toc80174776"/>
            <w:bookmarkStart w:id="2096" w:name="_Toc112417656"/>
            <w:bookmarkStart w:id="2097" w:name="_Toc119310325"/>
            <w:bookmarkStart w:id="2098" w:name="_Toc125966258"/>
            <w:bookmarkStart w:id="2099" w:name="_Toc135992356"/>
            <w:bookmarkStart w:id="2100" w:name="_Toc170303552"/>
            <w:bookmarkStart w:id="2101" w:name="_Toc175157456"/>
            <w:bookmarkStart w:id="2102" w:name="_Toc189044429"/>
            <w:r w:rsidRPr="002D385D">
              <w:t>6.6.5.</w:t>
            </w:r>
            <w:r>
              <w:t>2</w:t>
            </w:r>
            <w:r w:rsidRPr="002D385D">
              <w:tab/>
            </w:r>
            <w:r w:rsidR="005F232E">
              <w:t>Set</w:t>
            </w:r>
            <w:r w:rsidRPr="002D385D">
              <w:t xml:space="preserve"> Point Deviation Charge for Over Generation</w:t>
            </w:r>
            <w:bookmarkEnd w:id="2093"/>
            <w:bookmarkEnd w:id="2094"/>
            <w:bookmarkEnd w:id="2095"/>
            <w:bookmarkEnd w:id="2096"/>
            <w:bookmarkEnd w:id="2097"/>
            <w:bookmarkEnd w:id="2098"/>
            <w:bookmarkEnd w:id="2099"/>
            <w:bookmarkEnd w:id="2100"/>
            <w:bookmarkEnd w:id="2101"/>
            <w:bookmarkEnd w:id="2102"/>
          </w:p>
          <w:p w14:paraId="5D258C95" w14:textId="3609CD1A" w:rsidR="00E21852" w:rsidRDefault="00E21852" w:rsidP="00E21852">
            <w:pPr>
              <w:pStyle w:val="BodyTextNumbered"/>
            </w:pPr>
            <w:r>
              <w:t>(1)</w:t>
            </w:r>
            <w:r>
              <w:tab/>
            </w:r>
            <w:r w:rsidRPr="00AB1AD6">
              <w:t>ERCOT shall charge a QSE for a Generation Resource</w:t>
            </w:r>
            <w:r>
              <w:t xml:space="preserve">, including an Intermittent Renewable Resource (IRR) </w:t>
            </w:r>
            <w:r w:rsidR="005F232E">
              <w:t>with</w:t>
            </w:r>
            <w:r>
              <w:t xml:space="preserve"> an Ancillary Service </w:t>
            </w:r>
            <w:r w:rsidR="005F232E">
              <w:t>award</w:t>
            </w:r>
            <w:r>
              <w:t xml:space="preserve"> for at least one SCED interval within the 15-minute Settlement Interval,</w:t>
            </w:r>
            <w:r w:rsidRPr="00AB1AD6">
              <w:t xml:space="preserve"> for over-generation that exceeds the following tolerance.  T</w:t>
            </w:r>
            <w:r>
              <w:t>he tolerance is the greater of:</w:t>
            </w:r>
          </w:p>
          <w:p w14:paraId="048F063A" w14:textId="789E02D2" w:rsidR="00E21852" w:rsidRDefault="00E21852" w:rsidP="00E21852">
            <w:pPr>
              <w:pStyle w:val="BodyTextNumbered"/>
              <w:ind w:left="1440"/>
            </w:pPr>
            <w:r>
              <w:t>(a)</w:t>
            </w:r>
            <w:r>
              <w:tab/>
              <w:t xml:space="preserve">5% of the </w:t>
            </w:r>
            <w:r w:rsidR="005F232E">
              <w:t>AASP</w:t>
            </w:r>
            <w:r>
              <w:t xml:space="preserve"> in the Settlement Interval; or</w:t>
            </w:r>
          </w:p>
          <w:p w14:paraId="7DEE873A" w14:textId="60DF1BF0" w:rsidR="00E21852" w:rsidRDefault="00E21852" w:rsidP="00E21852">
            <w:pPr>
              <w:pStyle w:val="BodyTextNumbered"/>
              <w:ind w:left="1440"/>
            </w:pPr>
            <w:r>
              <w:t>(b)</w:t>
            </w:r>
            <w:r>
              <w:tab/>
              <w:t xml:space="preserve">Five MW above the </w:t>
            </w:r>
            <w:r w:rsidR="005F232E">
              <w:t>AASP</w:t>
            </w:r>
            <w:r>
              <w:t xml:space="preserve"> in the Settlement Interval. </w:t>
            </w:r>
          </w:p>
          <w:p w14:paraId="42C6CA0F" w14:textId="204C0C92" w:rsidR="00E21852" w:rsidRDefault="00E21852" w:rsidP="00E21852">
            <w:pPr>
              <w:pStyle w:val="BodyTextNumbered"/>
            </w:pPr>
            <w:r w:rsidRPr="00AB1AD6">
              <w:rPr>
                <w:iCs/>
              </w:rPr>
              <w:t>(2)</w:t>
            </w:r>
            <w:r w:rsidRPr="00AB1AD6">
              <w:rPr>
                <w:iCs/>
              </w:rPr>
              <w:tab/>
            </w:r>
            <w:r>
              <w:rPr>
                <w:iCs/>
              </w:rPr>
              <w:t xml:space="preserve">For instances in which an IRR </w:t>
            </w:r>
            <w:r w:rsidR="005F232E">
              <w:rPr>
                <w:iCs/>
              </w:rPr>
              <w:t>has not received</w:t>
            </w:r>
            <w:r>
              <w:rPr>
                <w:iCs/>
              </w:rPr>
              <w:t xml:space="preserve"> an Ancillary Service </w:t>
            </w:r>
            <w:r w:rsidR="005F232E">
              <w:rPr>
                <w:iCs/>
              </w:rPr>
              <w:t>award</w:t>
            </w:r>
            <w:r>
              <w:rPr>
                <w:iCs/>
              </w:rPr>
              <w:t xml:space="preserve"> or is </w:t>
            </w:r>
            <w:r w:rsidR="005F232E">
              <w:rPr>
                <w:iCs/>
              </w:rPr>
              <w:t xml:space="preserve">not </w:t>
            </w:r>
            <w:r>
              <w:rPr>
                <w:iCs/>
              </w:rPr>
              <w:t xml:space="preserve">part of an IRR Group in which </w:t>
            </w:r>
            <w:r w:rsidR="005F232E">
              <w:rPr>
                <w:iCs/>
              </w:rPr>
              <w:t>an</w:t>
            </w:r>
            <w:r>
              <w:rPr>
                <w:iCs/>
              </w:rPr>
              <w:t xml:space="preserve"> IRR </w:t>
            </w:r>
            <w:r w:rsidR="005F232E">
              <w:rPr>
                <w:iCs/>
              </w:rPr>
              <w:t>receives</w:t>
            </w:r>
            <w:r>
              <w:rPr>
                <w:iCs/>
              </w:rPr>
              <w:t xml:space="preserve"> an Ancillary </w:t>
            </w:r>
            <w:r w:rsidRPr="00C13275">
              <w:t>Service</w:t>
            </w:r>
            <w:r>
              <w:rPr>
                <w:iCs/>
              </w:rPr>
              <w:t xml:space="preserve"> </w:t>
            </w:r>
            <w:r w:rsidR="005F232E">
              <w:rPr>
                <w:iCs/>
              </w:rPr>
              <w:t>award</w:t>
            </w:r>
            <w:r>
              <w:rPr>
                <w:iCs/>
              </w:rPr>
              <w:t xml:space="preserve"> for </w:t>
            </w:r>
            <w:r w:rsidR="005F232E">
              <w:rPr>
                <w:iCs/>
              </w:rPr>
              <w:t>any</w:t>
            </w:r>
            <w:r>
              <w:rPr>
                <w:iCs/>
              </w:rPr>
              <w:t xml:space="preserve"> SCED interval within the 15-minute Settlement Interval, </w:t>
            </w:r>
            <w:r w:rsidR="005F232E">
              <w:rPr>
                <w:iCs/>
              </w:rPr>
              <w:t>Set</w:t>
            </w:r>
            <w:r>
              <w:rPr>
                <w:iCs/>
              </w:rPr>
              <w:t xml:space="preserve"> Point Deviation Charges will be determined per Section 6.6.5.4, IRR Generation Resource </w:t>
            </w:r>
            <w:r w:rsidR="005F232E">
              <w:rPr>
                <w:iCs/>
              </w:rPr>
              <w:t>Set</w:t>
            </w:r>
            <w:r>
              <w:rPr>
                <w:iCs/>
              </w:rPr>
              <w:t xml:space="preserve"> Point Deviation Charge.</w:t>
            </w:r>
          </w:p>
          <w:p w14:paraId="5F428361" w14:textId="0BEBEA88" w:rsidR="00E21852" w:rsidRPr="000149E5" w:rsidRDefault="00E21852" w:rsidP="00E21852">
            <w:pPr>
              <w:pStyle w:val="BodyTextNumbered"/>
              <w:rPr>
                <w:iCs/>
              </w:rPr>
            </w:pPr>
            <w:r>
              <w:rPr>
                <w:iCs/>
              </w:rPr>
              <w:t>(3</w:t>
            </w:r>
            <w:r w:rsidRPr="000149E5">
              <w:rPr>
                <w:iCs/>
              </w:rPr>
              <w:t>)</w:t>
            </w:r>
            <w:r w:rsidRPr="000149E5">
              <w:rPr>
                <w:iCs/>
              </w:rPr>
              <w:tab/>
            </w:r>
            <w:r w:rsidRPr="00AB1AD6">
              <w:rPr>
                <w:iCs/>
              </w:rPr>
              <w:t>The over-generation charge to each QSE for each Generation Resource</w:t>
            </w:r>
            <w:r>
              <w:rPr>
                <w:iCs/>
              </w:rPr>
              <w:t>, that is not part of an IRR Group,</w:t>
            </w:r>
            <w:r w:rsidRPr="00AB1AD6">
              <w:rPr>
                <w:iCs/>
              </w:rPr>
              <w:t xml:space="preserve"> at each Resource Node Settlement Point is calculated as follows:</w:t>
            </w:r>
          </w:p>
          <w:p w14:paraId="15B70997" w14:textId="208AF683"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ab/>
              <w:t>=</w:t>
            </w:r>
            <w:r w:rsidR="00E21852" w:rsidRPr="00BC5C70">
              <w:tab/>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r,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29F7A82B" w14:textId="77777777" w:rsidR="00E21852" w:rsidRPr="00E05F10" w:rsidRDefault="00E21852" w:rsidP="00E21852">
            <w:pPr>
              <w:pStyle w:val="FormulaBold"/>
              <w:rPr>
                <w:b w:val="0"/>
              </w:rPr>
            </w:pPr>
            <w:r w:rsidRPr="007979BF">
              <w:rPr>
                <w:b w:val="0"/>
              </w:rPr>
              <w:t>Where:</w:t>
            </w:r>
          </w:p>
          <w:p w14:paraId="1CFB49F2" w14:textId="72F9EFC4" w:rsidR="00E21852" w:rsidRPr="001A3201" w:rsidRDefault="00E21852" w:rsidP="00E21852">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Pr>
                <w:b w:val="0"/>
              </w:rPr>
              <w:t xml:space="preserve"> </w:t>
            </w:r>
            <w:r w:rsidRPr="001A3201">
              <w:rPr>
                <w:b w:val="0"/>
                <w:i/>
                <w:iCs/>
                <w:vertAlign w:val="subscript"/>
                <w:lang w:val="es-ES"/>
              </w:rPr>
              <w:t xml:space="preserve">q, r,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w:t>
            </w:r>
            <w:r w:rsidR="005F232E">
              <w:rPr>
                <w:b w:val="0"/>
              </w:rPr>
              <w:t>S</w:t>
            </w:r>
            <w:r w:rsidRPr="001A3201">
              <w:rPr>
                <w:b w:val="0"/>
              </w:rPr>
              <w:t>P</w:t>
            </w:r>
            <w:r w:rsidRPr="001A3201">
              <w:rPr>
                <w:b w:val="0"/>
                <w:i/>
                <w:iCs/>
                <w:vertAlign w:val="subscript"/>
                <w:lang w:val="es-ES"/>
              </w:rPr>
              <w:t xml:space="preserve"> q, r, p, i </w:t>
            </w:r>
            <w:r w:rsidRPr="001A3201">
              <w:rPr>
                <w:b w:val="0"/>
              </w:rPr>
              <w:t>+ Q1)))]</w:t>
            </w:r>
          </w:p>
          <w:p w14:paraId="6F5097F6" w14:textId="77777777" w:rsidR="00E21852" w:rsidRDefault="00E21852" w:rsidP="00E21852">
            <w:pPr>
              <w:pStyle w:val="BodyTextNumbered"/>
              <w:ind w:left="1440"/>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65C0AF23">
                <v:shape id="_x0000_i1183" type="#_x0000_t75" style="width:6pt;height:24pt" o:ole="">
                  <v:imagedata r:id="rId208" o:title=""/>
                </v:shape>
                <o:OLEObject Type="Embed" ProgID="Equation.3" ShapeID="_x0000_i1183" DrawAspect="Content" ObjectID="_1804653668" r:id="rId213"/>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01E2AA6A" w14:textId="5D4B13FB" w:rsidR="00E21852" w:rsidRPr="00A261C3" w:rsidRDefault="00E21852" w:rsidP="00E21852">
            <w:pPr>
              <w:spacing w:after="240"/>
              <w:ind w:left="720" w:hanging="720"/>
              <w:rPr>
                <w:lang w:val="pt-BR"/>
              </w:rPr>
            </w:pPr>
            <w:r>
              <w:rPr>
                <w:iCs/>
              </w:rPr>
              <w:t>(4</w:t>
            </w:r>
            <w:r w:rsidRPr="000149E5">
              <w:rPr>
                <w:iCs/>
              </w:rPr>
              <w:t>)</w:t>
            </w:r>
            <w:r w:rsidRPr="000149E5">
              <w:rPr>
                <w:iCs/>
              </w:rPr>
              <w:tab/>
            </w:r>
            <w:r w:rsidRPr="00A261C3">
              <w:rPr>
                <w:lang w:val="pt-BR"/>
              </w:rPr>
              <w:t xml:space="preserve">If </w:t>
            </w:r>
            <w:r>
              <w:rPr>
                <w:lang w:val="pt-BR"/>
              </w:rPr>
              <w:t xml:space="preserve">any IRR in an IRR Group is </w:t>
            </w:r>
            <w:r w:rsidR="005F232E">
              <w:rPr>
                <w:lang w:val="pt-BR"/>
              </w:rPr>
              <w:t>awarded</w:t>
            </w:r>
            <w:r>
              <w:rPr>
                <w:lang w:val="pt-BR"/>
              </w:rPr>
              <w:t xml:space="preserve"> Ancillary Service</w:t>
            </w:r>
            <w:r w:rsidR="005F232E">
              <w:rPr>
                <w:lang w:val="pt-BR"/>
              </w:rPr>
              <w:t>s</w:t>
            </w:r>
            <w:r>
              <w:rPr>
                <w:lang w:val="pt-BR"/>
              </w:rPr>
              <w:t xml:space="preserve"> for at least one SCED interval within the 15-minute Settlement Interval, </w:t>
            </w:r>
            <w:r w:rsidRPr="00A261C3">
              <w:rPr>
                <w:lang w:val="pt-BR"/>
              </w:rPr>
              <w:t xml:space="preserve">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r>
              <w:rPr>
                <w:lang w:val="pt-BR"/>
              </w:rPr>
              <w:t xml:space="preserve"> as follows</w:t>
            </w:r>
            <w:r w:rsidRPr="00A261C3">
              <w:rPr>
                <w:lang w:val="pt-BR"/>
              </w:rPr>
              <w:t>:</w:t>
            </w:r>
          </w:p>
          <w:p w14:paraId="6FB0434D" w14:textId="244A77CD"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w:t>
            </w:r>
            <w:r w:rsidR="00E21852">
              <w:t xml:space="preserve">      </w:t>
            </w:r>
            <w:r w:rsidR="00E21852" w:rsidRPr="00BC5C70">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w:t>
            </w:r>
            <w:r w:rsidR="00E21852">
              <w:rPr>
                <w:i/>
                <w:iCs/>
                <w:vertAlign w:val="subscript"/>
                <w:lang w:val="es-ES"/>
              </w:rPr>
              <w:t>r</w:t>
            </w:r>
            <w:r w:rsidR="00E21852" w:rsidRPr="00BC5C70">
              <w:rPr>
                <w:i/>
                <w:iCs/>
                <w:vertAlign w:val="subscript"/>
                <w:lang w:val="es-ES"/>
              </w:rPr>
              <w:t>,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5812D3EA" w14:textId="77777777" w:rsidR="00E21852" w:rsidRPr="00E05F10" w:rsidRDefault="00E21852" w:rsidP="00E21852">
            <w:pPr>
              <w:pStyle w:val="FormulaBold"/>
              <w:rPr>
                <w:b w:val="0"/>
              </w:rPr>
            </w:pPr>
            <w:r w:rsidRPr="007979BF">
              <w:rPr>
                <w:b w:val="0"/>
              </w:rPr>
              <w:t>Where:</w:t>
            </w:r>
          </w:p>
          <w:p w14:paraId="65589AFC" w14:textId="57E2B15D" w:rsidR="00E21852" w:rsidRDefault="00E21852" w:rsidP="00E21852">
            <w:pPr>
              <w:pStyle w:val="FormulaBold"/>
              <w:spacing w:after="120"/>
              <w:rPr>
                <w:b w:val="0"/>
              </w:rPr>
            </w:pPr>
            <w:r w:rsidRPr="001A3201">
              <w:rPr>
                <w:b w:val="0"/>
              </w:rPr>
              <w:t>OGEN</w:t>
            </w:r>
            <w:r w:rsidRPr="001A3201">
              <w:rPr>
                <w:b w:val="0"/>
                <w:i/>
                <w:iCs/>
                <w:vertAlign w:val="subscript"/>
                <w:lang w:val="es-ES"/>
              </w:rPr>
              <w:t xml:space="preserve"> q, </w:t>
            </w:r>
            <w:r>
              <w:rPr>
                <w:b w:val="0"/>
                <w:i/>
                <w:iCs/>
                <w:vertAlign w:val="subscript"/>
                <w:lang w:val="es-ES"/>
              </w:rPr>
              <w:t>r</w:t>
            </w:r>
            <w:r w:rsidRPr="001A3201">
              <w:rPr>
                <w:b w:val="0"/>
                <w:i/>
                <w:iCs/>
                <w:vertAlign w:val="subscript"/>
                <w:lang w:val="es-ES"/>
              </w:rPr>
              <w:t xml:space="preserve">, p, i </w:t>
            </w:r>
            <w:r w:rsidRPr="001A3201">
              <w:rPr>
                <w:b w:val="0"/>
              </w:rPr>
              <w:t xml:space="preserve"> = Max [0, (TWTG</w:t>
            </w:r>
            <w:r>
              <w:rPr>
                <w:b w:val="0"/>
              </w:rPr>
              <w:t xml:space="preserve"> </w:t>
            </w:r>
            <w:r w:rsidRPr="001A3201">
              <w:rPr>
                <w:b w:val="0"/>
                <w:i/>
                <w:iCs/>
                <w:vertAlign w:val="subscript"/>
                <w:lang w:val="es-ES"/>
              </w:rPr>
              <w:t xml:space="preserve">q, </w:t>
            </w:r>
            <w:r>
              <w:rPr>
                <w:b w:val="0"/>
                <w:i/>
                <w:iCs/>
                <w:vertAlign w:val="subscript"/>
                <w:lang w:val="es-ES"/>
              </w:rPr>
              <w:t>wg</w:t>
            </w:r>
            <w:r w:rsidRPr="001A3201">
              <w:rPr>
                <w:b w:val="0"/>
                <w:i/>
                <w:iCs/>
                <w:vertAlign w:val="subscript"/>
                <w:lang w:val="es-ES"/>
              </w:rPr>
              <w:t xml:space="preserve">,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p, i</w:t>
            </w:r>
            <w:r w:rsidRPr="001A3201">
              <w:rPr>
                <w:rFonts w:ascii="Times New Roman Bold" w:hAnsi="Times New Roman Bold"/>
                <w:b w:val="0"/>
                <w:iCs/>
                <w:lang w:val="es-ES"/>
              </w:rPr>
              <w:t>)</w:t>
            </w:r>
            <w:r w:rsidRPr="001A3201">
              <w:rPr>
                <w:b w:val="0"/>
              </w:rPr>
              <w:t xml:space="preserve">, </w:t>
            </w:r>
          </w:p>
          <w:p w14:paraId="133EB3BB" w14:textId="2EBB17F9" w:rsidR="00E21852" w:rsidRPr="001A3201" w:rsidRDefault="00E21852" w:rsidP="00E21852">
            <w:pPr>
              <w:pStyle w:val="FormulaBold"/>
              <w:rPr>
                <w:b w:val="0"/>
                <w:caps/>
              </w:rPr>
            </w:pPr>
            <w:r>
              <w:rPr>
                <w:b w:val="0"/>
              </w:rPr>
              <w:tab/>
            </w:r>
            <w:r w:rsidRPr="001A3201">
              <w:rPr>
                <w:b w:val="0"/>
              </w:rPr>
              <w:t>(AA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xml:space="preserve">, p, i </w:t>
            </w:r>
            <w:r w:rsidRPr="001A3201">
              <w:rPr>
                <w:b w:val="0"/>
              </w:rPr>
              <w:t>+ Q1)))]</w:t>
            </w:r>
            <w:r>
              <w:rPr>
                <w:b w:val="0"/>
              </w:rPr>
              <w:t xml:space="preserve"> / N</w:t>
            </w:r>
          </w:p>
          <w:p w14:paraId="6781BBE9" w14:textId="4BC63B21" w:rsidR="00E21852" w:rsidRDefault="00E21852" w:rsidP="00E21852">
            <w:pPr>
              <w:pStyle w:val="BodyTextNumbered"/>
              <w:ind w:left="1440"/>
            </w:pPr>
            <w:r w:rsidRPr="0015675B">
              <w:lastRenderedPageBreak/>
              <w:t>TWTG</w:t>
            </w:r>
            <w:r w:rsidRPr="0015675B">
              <w:rPr>
                <w:i/>
                <w:vertAlign w:val="subscript"/>
              </w:rPr>
              <w:t xml:space="preserve"> q,</w:t>
            </w:r>
            <w:r>
              <w:rPr>
                <w:i/>
                <w:vertAlign w:val="subscript"/>
              </w:rPr>
              <w:t xml:space="preserve"> wg</w:t>
            </w:r>
            <w:r w:rsidRPr="0015675B">
              <w:rPr>
                <w:i/>
                <w:vertAlign w:val="subscript"/>
              </w:rPr>
              <w:t>, p, i</w:t>
            </w:r>
            <w:r w:rsidRPr="0015675B">
              <w:rPr>
                <w:i/>
                <w:vertAlign w:val="subscript"/>
              </w:rPr>
              <w:tab/>
            </w:r>
            <w:r w:rsidRPr="00A261C3">
              <w:rPr>
                <w:lang w:val="pt-BR"/>
              </w:rPr>
              <w:t xml:space="preserve">= </w:t>
            </w:r>
            <w:r>
              <w:rPr>
                <w:noProof/>
                <w:position w:val="-18"/>
              </w:rPr>
              <w:drawing>
                <wp:inline distT="0" distB="0" distL="0" distR="0" wp14:anchorId="2C0BBA2B" wp14:editId="5602FD8F">
                  <wp:extent cx="135255" cy="246380"/>
                  <wp:effectExtent l="0" t="0" r="0"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2600B6">
              <w:t xml:space="preserve"> (</w:t>
            </w:r>
            <w:r w:rsidRPr="0015675B">
              <w:rPr>
                <w:position w:val="-22"/>
              </w:rPr>
              <w:object w:dxaOrig="210" w:dyaOrig="450" w14:anchorId="58F1BF0A">
                <v:shape id="_x0000_i1184" type="#_x0000_t75" style="width:6pt;height:24pt" o:ole="">
                  <v:imagedata r:id="rId208" o:title=""/>
                </v:shape>
                <o:OLEObject Type="Embed" ProgID="Equation.3" ShapeID="_x0000_i1184" DrawAspect="Content" ObjectID="_1804653669" r:id="rId215"/>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7712D593" w14:textId="68C0E287" w:rsidR="00E21852" w:rsidRPr="0015675B" w:rsidRDefault="00E21852" w:rsidP="00E21852">
            <w:pPr>
              <w:pStyle w:val="BodyTextNumbered"/>
              <w:ind w:left="1440"/>
              <w:rPr>
                <w:rFonts w:ascii="Times New Roman Bold" w:hAnsi="Times New Roman Bold"/>
              </w:rPr>
            </w:pPr>
            <w:r w:rsidRPr="00A261C3">
              <w:rPr>
                <w:lang w:val="es-ES"/>
              </w:rPr>
              <w:t>AA</w:t>
            </w:r>
            <w:r w:rsidR="005F232E">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wg,</w:t>
            </w:r>
            <w:r>
              <w:rPr>
                <w:i/>
                <w:vertAlign w:val="subscript"/>
                <w:lang w:val="pt-BR"/>
              </w:rPr>
              <w:t xml:space="preserve"> p,</w:t>
            </w:r>
            <w:r w:rsidRPr="00A261C3">
              <w:rPr>
                <w:i/>
                <w:vertAlign w:val="subscript"/>
                <w:lang w:val="pt-BR"/>
              </w:rPr>
              <w:t xml:space="preserve"> i</w:t>
            </w:r>
            <w:r>
              <w:rPr>
                <w:i/>
                <w:vertAlign w:val="subscript"/>
                <w:lang w:val="pt-BR"/>
              </w:rPr>
              <w:t xml:space="preserve"> </w:t>
            </w:r>
            <w:r w:rsidRPr="00A261C3">
              <w:rPr>
                <w:i/>
                <w:vertAlign w:val="subscript"/>
                <w:lang w:val="pt-BR"/>
              </w:rPr>
              <w:t xml:space="preserve"> </w:t>
            </w:r>
            <w:r w:rsidRPr="00A261C3">
              <w:rPr>
                <w:lang w:val="pt-BR"/>
              </w:rPr>
              <w:t xml:space="preserve">= </w:t>
            </w:r>
            <w:r>
              <w:rPr>
                <w:noProof/>
                <w:position w:val="-18"/>
              </w:rPr>
              <w:drawing>
                <wp:inline distT="0" distB="0" distL="0" distR="0" wp14:anchorId="4D3ABE0B" wp14:editId="00D06970">
                  <wp:extent cx="135255" cy="246380"/>
                  <wp:effectExtent l="0" t="0" r="0"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5F232E">
              <w:rPr>
                <w:lang w:val="pt-BR"/>
              </w:rPr>
              <w:t>S</w:t>
            </w:r>
            <w:r w:rsidRPr="00A261C3">
              <w:rPr>
                <w:lang w:val="pt-BR"/>
              </w:rPr>
              <w:t>P</w:t>
            </w:r>
            <w:r w:rsidRPr="00A261C3">
              <w:rPr>
                <w:i/>
                <w:vertAlign w:val="subscript"/>
                <w:lang w:val="pt-BR"/>
              </w:rPr>
              <w:t xml:space="preserve"> q,</w:t>
            </w:r>
            <w:r w:rsidR="0045796A">
              <w:rPr>
                <w:i/>
                <w:vertAlign w:val="subscript"/>
                <w:lang w:val="pt-BR"/>
              </w:rPr>
              <w:t xml:space="preserve"> </w:t>
            </w:r>
            <w:r w:rsidRPr="00A261C3">
              <w:rPr>
                <w:i/>
                <w:vertAlign w:val="subscript"/>
                <w:lang w:val="pt-BR"/>
              </w:rPr>
              <w:t>r, p, i</w:t>
            </w:r>
            <w:r w:rsidRPr="00A261C3">
              <w:rPr>
                <w:lang w:val="pt-BR"/>
              </w:rPr>
              <w:t>)</w:t>
            </w:r>
          </w:p>
          <w:p w14:paraId="289852E1" w14:textId="77777777" w:rsidR="00E21852" w:rsidRDefault="00E21852" w:rsidP="00E21852">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45796A" w:rsidRPr="00B2348D" w14:paraId="0CED3DE2" w14:textId="77777777" w:rsidTr="00AB2BB6">
              <w:trPr>
                <w:cantSplit/>
                <w:tblHeader/>
              </w:trPr>
              <w:tc>
                <w:tcPr>
                  <w:tcW w:w="2428" w:type="dxa"/>
                </w:tcPr>
                <w:p w14:paraId="0C892B77" w14:textId="77777777" w:rsidR="0045796A" w:rsidRPr="00B2348D" w:rsidRDefault="0045796A" w:rsidP="0045796A">
                  <w:pPr>
                    <w:pStyle w:val="TableHead"/>
                    <w:tabs>
                      <w:tab w:val="right" w:pos="9360"/>
                    </w:tabs>
                  </w:pPr>
                  <w:r w:rsidRPr="006624C0">
                    <w:t>Variable</w:t>
                  </w:r>
                </w:p>
              </w:tc>
              <w:tc>
                <w:tcPr>
                  <w:tcW w:w="1459" w:type="dxa"/>
                </w:tcPr>
                <w:p w14:paraId="05552C95" w14:textId="77777777" w:rsidR="0045796A" w:rsidRPr="00B2348D" w:rsidRDefault="0045796A" w:rsidP="0045796A">
                  <w:pPr>
                    <w:pStyle w:val="TableHead"/>
                    <w:tabs>
                      <w:tab w:val="right" w:pos="9360"/>
                    </w:tabs>
                  </w:pPr>
                  <w:r w:rsidRPr="006624C0">
                    <w:t>Unit</w:t>
                  </w:r>
                </w:p>
              </w:tc>
              <w:tc>
                <w:tcPr>
                  <w:tcW w:w="5942" w:type="dxa"/>
                </w:tcPr>
                <w:p w14:paraId="2F9BF405" w14:textId="77777777" w:rsidR="0045796A" w:rsidRPr="00B2348D" w:rsidRDefault="0045796A" w:rsidP="0045796A">
                  <w:pPr>
                    <w:pStyle w:val="TableHead"/>
                    <w:tabs>
                      <w:tab w:val="right" w:pos="9360"/>
                    </w:tabs>
                  </w:pPr>
                  <w:r w:rsidRPr="006624C0">
                    <w:t>Definition</w:t>
                  </w:r>
                </w:p>
              </w:tc>
            </w:tr>
            <w:tr w:rsidR="0045796A" w:rsidRPr="00B2348D" w14:paraId="7EB4C2F5" w14:textId="77777777" w:rsidTr="00AB2BB6">
              <w:trPr>
                <w:cantSplit/>
              </w:trPr>
              <w:tc>
                <w:tcPr>
                  <w:tcW w:w="2428" w:type="dxa"/>
                </w:tcPr>
                <w:p w14:paraId="046BC752" w14:textId="4ABF5060" w:rsidR="0045796A" w:rsidRPr="00B2348D" w:rsidRDefault="005F232E" w:rsidP="0045796A">
                  <w:pPr>
                    <w:pStyle w:val="TableBody"/>
                  </w:pPr>
                  <w:r>
                    <w:t>S</w:t>
                  </w:r>
                  <w:r w:rsidR="0045796A" w:rsidRPr="006624C0">
                    <w:t xml:space="preserve">PDAMT </w:t>
                  </w:r>
                  <w:r w:rsidR="0045796A" w:rsidRPr="006624C0">
                    <w:rPr>
                      <w:i/>
                      <w:vertAlign w:val="subscript"/>
                    </w:rPr>
                    <w:t>q, r, p, i</w:t>
                  </w:r>
                </w:p>
              </w:tc>
              <w:tc>
                <w:tcPr>
                  <w:tcW w:w="1459" w:type="dxa"/>
                </w:tcPr>
                <w:p w14:paraId="35CA3B74" w14:textId="77777777" w:rsidR="0045796A" w:rsidRPr="00B2348D" w:rsidRDefault="0045796A" w:rsidP="0045796A">
                  <w:pPr>
                    <w:pStyle w:val="TableBody"/>
                  </w:pPr>
                  <w:r w:rsidRPr="006624C0">
                    <w:t>$</w:t>
                  </w:r>
                </w:p>
              </w:tc>
              <w:tc>
                <w:tcPr>
                  <w:tcW w:w="5942" w:type="dxa"/>
                </w:tcPr>
                <w:p w14:paraId="2A57A07E" w14:textId="225E9126" w:rsidR="0045796A" w:rsidRPr="00B2348D" w:rsidRDefault="005F232E" w:rsidP="005F232E">
                  <w:pPr>
                    <w:pStyle w:val="TableBody"/>
                  </w:pPr>
                  <w:r>
                    <w:rPr>
                      <w:i/>
                    </w:rPr>
                    <w:t>Set</w:t>
                  </w:r>
                  <w:r w:rsidR="0045796A" w:rsidRPr="006624C0">
                    <w:rPr>
                      <w:i/>
                    </w:rPr>
                    <w:t xml:space="preserve"> Point Deviation Charge per QSE per Settlement Point per Resource</w:t>
                  </w:r>
                  <w:r w:rsidR="0045796A" w:rsidRPr="006624C0">
                    <w:t xml:space="preserve">—The charge to QSE </w:t>
                  </w:r>
                  <w:r w:rsidR="0045796A" w:rsidRPr="006624C0">
                    <w:rPr>
                      <w:i/>
                    </w:rPr>
                    <w:t>q</w:t>
                  </w:r>
                  <w:r w:rsidR="0045796A" w:rsidRPr="006624C0">
                    <w:t xml:space="preserve"> for Generation Resource </w:t>
                  </w:r>
                  <w:r w:rsidR="0045796A" w:rsidRPr="006624C0">
                    <w:rPr>
                      <w:i/>
                    </w:rPr>
                    <w:t>r</w:t>
                  </w:r>
                  <w:r w:rsidR="0045796A" w:rsidRPr="006624C0">
                    <w:t xml:space="preserve"> at Resource Node </w:t>
                  </w:r>
                  <w:r w:rsidR="0045796A" w:rsidRPr="006624C0">
                    <w:rPr>
                      <w:i/>
                    </w:rPr>
                    <w:t>p</w:t>
                  </w:r>
                  <w:r w:rsidR="0045796A" w:rsidRPr="006624C0">
                    <w:t xml:space="preserve">, for its deviation from </w:t>
                  </w:r>
                  <w:r>
                    <w:t>AASP</w:t>
                  </w:r>
                  <w:r w:rsidR="0045796A" w:rsidRPr="006624C0">
                    <w:t xml:space="preserve">, for the 15-minute Settlement Interval </w:t>
                  </w:r>
                  <w:r w:rsidR="0045796A" w:rsidRPr="006624C0">
                    <w:rPr>
                      <w:i/>
                    </w:rPr>
                    <w:t>i</w:t>
                  </w:r>
                  <w:r w:rsidR="0045796A" w:rsidRPr="006624C0">
                    <w:t xml:space="preserve">.  The </w:t>
                  </w:r>
                  <w:r>
                    <w:t>Set</w:t>
                  </w:r>
                  <w:r w:rsidR="0045796A" w:rsidRPr="006624C0">
                    <w:t xml:space="preserve"> Point Deviation Charge is charged to the Combined Cycle Train for all Combined Cycle Generation Resources.</w:t>
                  </w:r>
                </w:p>
              </w:tc>
            </w:tr>
            <w:tr w:rsidR="0045796A" w:rsidRPr="00B2348D" w14:paraId="3A0C463C" w14:textId="77777777" w:rsidTr="00AB2BB6">
              <w:trPr>
                <w:cantSplit/>
              </w:trPr>
              <w:tc>
                <w:tcPr>
                  <w:tcW w:w="2428" w:type="dxa"/>
                </w:tcPr>
                <w:p w14:paraId="77A83241" w14:textId="77777777" w:rsidR="0045796A" w:rsidRPr="00B2348D" w:rsidRDefault="0045796A" w:rsidP="0045796A">
                  <w:pPr>
                    <w:pStyle w:val="TableBody"/>
                  </w:pPr>
                  <w:r w:rsidRPr="006624C0">
                    <w:t xml:space="preserve">RTSPP </w:t>
                  </w:r>
                  <w:r w:rsidRPr="006624C0">
                    <w:rPr>
                      <w:i/>
                      <w:vertAlign w:val="subscript"/>
                    </w:rPr>
                    <w:t>p, i</w:t>
                  </w:r>
                </w:p>
              </w:tc>
              <w:tc>
                <w:tcPr>
                  <w:tcW w:w="1459" w:type="dxa"/>
                </w:tcPr>
                <w:p w14:paraId="0A9CCE32" w14:textId="77777777" w:rsidR="0045796A" w:rsidRPr="00B2348D" w:rsidRDefault="0045796A" w:rsidP="0045796A">
                  <w:pPr>
                    <w:pStyle w:val="TableBody"/>
                  </w:pPr>
                  <w:r w:rsidRPr="006624C0">
                    <w:t>$/MWh</w:t>
                  </w:r>
                </w:p>
              </w:tc>
              <w:tc>
                <w:tcPr>
                  <w:tcW w:w="5942" w:type="dxa"/>
                </w:tcPr>
                <w:p w14:paraId="3C9EFAE7" w14:textId="77777777" w:rsidR="0045796A" w:rsidRPr="00B2348D" w:rsidRDefault="0045796A" w:rsidP="0045796A">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5796A" w:rsidRPr="00B2348D" w14:paraId="07C209BE" w14:textId="77777777" w:rsidTr="00AB2BB6">
              <w:trPr>
                <w:cantSplit/>
              </w:trPr>
              <w:tc>
                <w:tcPr>
                  <w:tcW w:w="2428" w:type="dxa"/>
                </w:tcPr>
                <w:p w14:paraId="03EF4F3B" w14:textId="77777777" w:rsidR="0045796A" w:rsidRPr="00B2348D" w:rsidRDefault="0045796A" w:rsidP="0045796A">
                  <w:pPr>
                    <w:pStyle w:val="TableBody"/>
                  </w:pPr>
                  <w:r w:rsidRPr="00B2348D">
                    <w:t xml:space="preserve">TWTG </w:t>
                  </w:r>
                  <w:r w:rsidRPr="006624C0">
                    <w:rPr>
                      <w:i/>
                      <w:vertAlign w:val="subscript"/>
                    </w:rPr>
                    <w:t>q, r, p, i</w:t>
                  </w:r>
                </w:p>
              </w:tc>
              <w:tc>
                <w:tcPr>
                  <w:tcW w:w="1459" w:type="dxa"/>
                </w:tcPr>
                <w:p w14:paraId="0EBF3F56" w14:textId="77777777" w:rsidR="0045796A" w:rsidRPr="00B2348D" w:rsidRDefault="0045796A" w:rsidP="0045796A">
                  <w:pPr>
                    <w:pStyle w:val="TableBody"/>
                  </w:pPr>
                  <w:r w:rsidRPr="00B2348D">
                    <w:t>MWh</w:t>
                  </w:r>
                </w:p>
              </w:tc>
              <w:tc>
                <w:tcPr>
                  <w:tcW w:w="5942" w:type="dxa"/>
                </w:tcPr>
                <w:p w14:paraId="59ED82DC" w14:textId="77777777" w:rsidR="0045796A" w:rsidRPr="00B2348D" w:rsidRDefault="0045796A" w:rsidP="0045796A">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45796A" w:rsidRPr="00B2348D" w14:paraId="7764A6EE" w14:textId="77777777" w:rsidTr="00AB2BB6">
              <w:trPr>
                <w:cantSplit/>
              </w:trPr>
              <w:tc>
                <w:tcPr>
                  <w:tcW w:w="2428" w:type="dxa"/>
                </w:tcPr>
                <w:p w14:paraId="39FC6D01" w14:textId="20F3276A" w:rsidR="0045796A" w:rsidRPr="00B2348D" w:rsidRDefault="0045796A" w:rsidP="005F232E">
                  <w:pPr>
                    <w:pStyle w:val="TableBody"/>
                  </w:pPr>
                  <w:r w:rsidRPr="00B2348D">
                    <w:t>AA</w:t>
                  </w:r>
                  <w:r w:rsidR="005F232E">
                    <w:t>S</w:t>
                  </w:r>
                  <w:r w:rsidRPr="00B2348D">
                    <w:t>P</w:t>
                  </w:r>
                  <w:r w:rsidRPr="006624C0">
                    <w:rPr>
                      <w:i/>
                      <w:vertAlign w:val="subscript"/>
                    </w:rPr>
                    <w:t xml:space="preserve"> q, r, p, i</w:t>
                  </w:r>
                </w:p>
              </w:tc>
              <w:tc>
                <w:tcPr>
                  <w:tcW w:w="1459" w:type="dxa"/>
                </w:tcPr>
                <w:p w14:paraId="23EE94EF" w14:textId="77777777" w:rsidR="0045796A" w:rsidRPr="00B2348D" w:rsidRDefault="0045796A" w:rsidP="0045796A">
                  <w:pPr>
                    <w:pStyle w:val="TableBody"/>
                  </w:pPr>
                  <w:r w:rsidRPr="00B2348D">
                    <w:t>MW</w:t>
                  </w:r>
                </w:p>
              </w:tc>
              <w:tc>
                <w:tcPr>
                  <w:tcW w:w="5942" w:type="dxa"/>
                </w:tcPr>
                <w:p w14:paraId="12D458F0" w14:textId="2AFF76E6" w:rsidR="0045796A" w:rsidRPr="00B2348D" w:rsidRDefault="005F232E" w:rsidP="005F232E">
                  <w:pPr>
                    <w:pStyle w:val="TableBody"/>
                    <w:rPr>
                      <w:i/>
                    </w:rPr>
                  </w:pPr>
                  <w:r>
                    <w:rPr>
                      <w:i/>
                    </w:rPr>
                    <w:t>Average</w:t>
                  </w:r>
                  <w:r w:rsidR="0045796A" w:rsidRPr="00B2348D">
                    <w:rPr>
                      <w:i/>
                    </w:rPr>
                    <w:t xml:space="preserve"> Aggregated </w:t>
                  </w:r>
                  <w:r>
                    <w:rPr>
                      <w:i/>
                    </w:rPr>
                    <w:t>Set</w:t>
                  </w:r>
                  <w:r w:rsidR="0045796A" w:rsidRPr="00B2348D">
                    <w:rPr>
                      <w:i/>
                    </w:rPr>
                    <w:t xml:space="preserve"> Point per QSE per Settlement Point per Resource</w:t>
                  </w:r>
                  <w:r w:rsidR="0045796A" w:rsidRPr="00B2348D">
                    <w:t xml:space="preserve">—The </w:t>
                  </w:r>
                  <w:r>
                    <w:t>average of the Average Five Minute Clock Interval Set Point (AVGSP5M)</w:t>
                  </w:r>
                  <w:r w:rsidR="0045796A" w:rsidRPr="00B2348D">
                    <w:t xml:space="preserve"> of Generation </w:t>
                  </w:r>
                  <w:r w:rsidR="0045796A">
                    <w:t xml:space="preserve">Resource </w:t>
                  </w:r>
                  <w:r w:rsidR="0045796A" w:rsidRPr="00B2348D">
                    <w:rPr>
                      <w:i/>
                    </w:rPr>
                    <w:t>r</w:t>
                  </w:r>
                  <w:r w:rsidR="0045796A" w:rsidRPr="00B2348D">
                    <w:t xml:space="preserve"> represented by QSE </w:t>
                  </w:r>
                  <w:r w:rsidR="0045796A" w:rsidRPr="00B2348D">
                    <w:rPr>
                      <w:i/>
                    </w:rPr>
                    <w:t>q</w:t>
                  </w:r>
                  <w:r w:rsidR="0045796A" w:rsidRPr="00B2348D">
                    <w:t xml:space="preserve"> at </w:t>
                  </w:r>
                  <w:r w:rsidR="0045796A">
                    <w:t>Settlement Point</w:t>
                  </w:r>
                  <w:r w:rsidR="0045796A" w:rsidRPr="00B2348D">
                    <w:t xml:space="preserve"> </w:t>
                  </w:r>
                  <w:r w:rsidR="0045796A" w:rsidRPr="00B2348D">
                    <w:rPr>
                      <w:i/>
                    </w:rPr>
                    <w:t>p,</w:t>
                  </w:r>
                  <w:r w:rsidR="0045796A" w:rsidRPr="00B2348D">
                    <w:t xml:space="preserve"> for the 15-minute Settlement Interval</w:t>
                  </w:r>
                  <w:r w:rsidR="0045796A" w:rsidRPr="00B2348D">
                    <w:rPr>
                      <w:i/>
                    </w:rPr>
                    <w:t xml:space="preserve"> i</w:t>
                  </w:r>
                  <w:r w:rsidR="0045796A" w:rsidRPr="00B2348D">
                    <w:t>.  Where for a Combined Cycle Train, AA</w:t>
                  </w:r>
                  <w:r>
                    <w:t>S</w:t>
                  </w:r>
                  <w:r w:rsidR="0045796A" w:rsidRPr="00B2348D">
                    <w:t xml:space="preserve">P is calculated for the Combined Cycle Train considering all </w:t>
                  </w:r>
                  <w:r>
                    <w:t>UDSPs</w:t>
                  </w:r>
                  <w:r w:rsidR="0045796A" w:rsidRPr="00B2348D">
                    <w:t xml:space="preserve"> to any Combined Cycle Generation Resources within the Combined Cycle Train</w:t>
                  </w:r>
                  <w:r w:rsidR="0045796A">
                    <w:t>.</w:t>
                  </w:r>
                </w:p>
              </w:tc>
            </w:tr>
            <w:tr w:rsidR="0045796A" w:rsidRPr="00B2348D" w14:paraId="1948BF49" w14:textId="77777777" w:rsidTr="00AB2BB6">
              <w:trPr>
                <w:cantSplit/>
              </w:trPr>
              <w:tc>
                <w:tcPr>
                  <w:tcW w:w="2428" w:type="dxa"/>
                </w:tcPr>
                <w:p w14:paraId="6B64FE0E" w14:textId="77777777" w:rsidR="0045796A" w:rsidRPr="00B2348D" w:rsidRDefault="0045796A" w:rsidP="0045796A">
                  <w:pPr>
                    <w:pStyle w:val="TableBody"/>
                  </w:pPr>
                  <w:r w:rsidRPr="006624C0">
                    <w:t>AVGTG5M</w:t>
                  </w:r>
                  <w:r w:rsidRPr="006624C0">
                    <w:rPr>
                      <w:i/>
                      <w:vertAlign w:val="subscript"/>
                      <w:lang w:val="fr-FR"/>
                    </w:rPr>
                    <w:t xml:space="preserve"> q, r, p, i, y</w:t>
                  </w:r>
                </w:p>
              </w:tc>
              <w:tc>
                <w:tcPr>
                  <w:tcW w:w="1459" w:type="dxa"/>
                </w:tcPr>
                <w:p w14:paraId="1C735A32" w14:textId="77777777" w:rsidR="0045796A" w:rsidRPr="00B2348D" w:rsidRDefault="0045796A" w:rsidP="0045796A">
                  <w:pPr>
                    <w:pStyle w:val="TableBody"/>
                  </w:pPr>
                  <w:r w:rsidRPr="006624C0">
                    <w:t>MW</w:t>
                  </w:r>
                </w:p>
              </w:tc>
              <w:tc>
                <w:tcPr>
                  <w:tcW w:w="5942" w:type="dxa"/>
                </w:tcPr>
                <w:p w14:paraId="1057F46D" w14:textId="77777777" w:rsidR="0045796A" w:rsidRPr="00B2348D" w:rsidRDefault="0045796A" w:rsidP="0045796A">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5796A" w:rsidRPr="00B2348D" w14:paraId="40D8AEE0" w14:textId="77777777" w:rsidTr="00AB2BB6">
              <w:trPr>
                <w:cantSplit/>
              </w:trPr>
              <w:tc>
                <w:tcPr>
                  <w:tcW w:w="2428" w:type="dxa"/>
                </w:tcPr>
                <w:p w14:paraId="16DF0427" w14:textId="77777777" w:rsidR="0045796A" w:rsidRPr="00B2348D" w:rsidRDefault="0045796A" w:rsidP="0045796A">
                  <w:pPr>
                    <w:pStyle w:val="TableBody"/>
                  </w:pPr>
                  <w:r w:rsidRPr="006624C0">
                    <w:t xml:space="preserve">OGEN </w:t>
                  </w:r>
                  <w:r w:rsidRPr="006624C0">
                    <w:rPr>
                      <w:i/>
                      <w:vertAlign w:val="subscript"/>
                    </w:rPr>
                    <w:t>q, r, p, i</w:t>
                  </w:r>
                </w:p>
              </w:tc>
              <w:tc>
                <w:tcPr>
                  <w:tcW w:w="1459" w:type="dxa"/>
                </w:tcPr>
                <w:p w14:paraId="04AEFB3A" w14:textId="77777777" w:rsidR="0045796A" w:rsidRPr="00B2348D" w:rsidRDefault="0045796A" w:rsidP="0045796A">
                  <w:pPr>
                    <w:pStyle w:val="TableBody"/>
                  </w:pPr>
                  <w:r w:rsidRPr="006624C0">
                    <w:t>MW</w:t>
                  </w:r>
                  <w:r>
                    <w:t>h</w:t>
                  </w:r>
                </w:p>
              </w:tc>
              <w:tc>
                <w:tcPr>
                  <w:tcW w:w="5942" w:type="dxa"/>
                </w:tcPr>
                <w:p w14:paraId="47E8963E" w14:textId="1FEB19BF" w:rsidR="0045796A" w:rsidRPr="00B2348D" w:rsidRDefault="0045796A" w:rsidP="00523F79">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45796A" w:rsidRPr="00B2348D" w14:paraId="3F90C63F" w14:textId="77777777" w:rsidTr="00AB2BB6">
              <w:trPr>
                <w:cantSplit/>
              </w:trPr>
              <w:tc>
                <w:tcPr>
                  <w:tcW w:w="2428" w:type="dxa"/>
                </w:tcPr>
                <w:p w14:paraId="53B9A5DC" w14:textId="77777777" w:rsidR="0045796A" w:rsidRPr="00B2348D" w:rsidRDefault="0045796A" w:rsidP="0045796A">
                  <w:pPr>
                    <w:pStyle w:val="TableBody"/>
                  </w:pPr>
                  <w:r w:rsidRPr="006624C0">
                    <w:t>PR1</w:t>
                  </w:r>
                </w:p>
              </w:tc>
              <w:tc>
                <w:tcPr>
                  <w:tcW w:w="1459" w:type="dxa"/>
                </w:tcPr>
                <w:p w14:paraId="141CC4A3" w14:textId="77777777" w:rsidR="0045796A" w:rsidRPr="00B2348D" w:rsidRDefault="0045796A" w:rsidP="0045796A">
                  <w:pPr>
                    <w:pStyle w:val="TableBody"/>
                  </w:pPr>
                  <w:r w:rsidRPr="006624C0">
                    <w:t>$/MWh</w:t>
                  </w:r>
                </w:p>
              </w:tc>
              <w:tc>
                <w:tcPr>
                  <w:tcW w:w="5942" w:type="dxa"/>
                </w:tcPr>
                <w:p w14:paraId="2EB06148" w14:textId="25811745" w:rsidR="0045796A" w:rsidRPr="00B2348D" w:rsidRDefault="0045796A" w:rsidP="005F232E">
                  <w:pPr>
                    <w:pStyle w:val="TableBody"/>
                  </w:pPr>
                  <w:r>
                    <w:t xml:space="preserve">The </w:t>
                  </w:r>
                  <w:r w:rsidRPr="006624C0">
                    <w:t xml:space="preserve">price to use for the </w:t>
                  </w:r>
                  <w:r w:rsidR="005F232E">
                    <w:t>Set</w:t>
                  </w:r>
                  <w:r w:rsidRPr="006624C0">
                    <w:t xml:space="preserve"> Point Deviation Charge for over-generation when RTSPP is less than $20</w:t>
                  </w:r>
                  <w:r>
                    <w:t>/MWh, $20/MWh</w:t>
                  </w:r>
                  <w:r w:rsidRPr="006624C0">
                    <w:t xml:space="preserve">.  </w:t>
                  </w:r>
                </w:p>
              </w:tc>
            </w:tr>
            <w:tr w:rsidR="0045796A" w:rsidRPr="00B2348D" w14:paraId="19364127" w14:textId="77777777" w:rsidTr="00AB2BB6">
              <w:trPr>
                <w:cantSplit/>
              </w:trPr>
              <w:tc>
                <w:tcPr>
                  <w:tcW w:w="2428" w:type="dxa"/>
                </w:tcPr>
                <w:p w14:paraId="3012367B" w14:textId="77777777" w:rsidR="0045796A" w:rsidRPr="00B2348D" w:rsidRDefault="0045796A" w:rsidP="0045796A">
                  <w:pPr>
                    <w:pStyle w:val="TableBody"/>
                  </w:pPr>
                  <w:r w:rsidRPr="006624C0">
                    <w:t>K1</w:t>
                  </w:r>
                </w:p>
              </w:tc>
              <w:tc>
                <w:tcPr>
                  <w:tcW w:w="1459" w:type="dxa"/>
                </w:tcPr>
                <w:p w14:paraId="45C0CD1F" w14:textId="77777777" w:rsidR="0045796A" w:rsidRPr="00B2348D" w:rsidRDefault="0045796A" w:rsidP="0045796A">
                  <w:pPr>
                    <w:pStyle w:val="TableBody"/>
                  </w:pPr>
                  <w:r w:rsidRPr="006624C0">
                    <w:t>none</w:t>
                  </w:r>
                </w:p>
              </w:tc>
              <w:tc>
                <w:tcPr>
                  <w:tcW w:w="5942" w:type="dxa"/>
                </w:tcPr>
                <w:p w14:paraId="108A0032" w14:textId="77777777" w:rsidR="0045796A" w:rsidRPr="00B2348D" w:rsidRDefault="0045796A" w:rsidP="0045796A">
                  <w:pPr>
                    <w:pStyle w:val="TableBody"/>
                  </w:pPr>
                  <w:r w:rsidRPr="006624C0">
                    <w:t xml:space="preserve">The percentage tolerance for over-generation, 5%.  </w:t>
                  </w:r>
                </w:p>
              </w:tc>
            </w:tr>
            <w:tr w:rsidR="0045796A" w:rsidRPr="00B2348D" w14:paraId="4619F6F8" w14:textId="77777777" w:rsidTr="00AB2BB6">
              <w:trPr>
                <w:cantSplit/>
              </w:trPr>
              <w:tc>
                <w:tcPr>
                  <w:tcW w:w="2428" w:type="dxa"/>
                </w:tcPr>
                <w:p w14:paraId="516E377B" w14:textId="77777777" w:rsidR="0045796A" w:rsidRPr="00B2348D" w:rsidRDefault="0045796A" w:rsidP="0045796A">
                  <w:pPr>
                    <w:pStyle w:val="TableBody"/>
                  </w:pPr>
                  <w:r w:rsidRPr="006624C0">
                    <w:t>Q1</w:t>
                  </w:r>
                </w:p>
              </w:tc>
              <w:tc>
                <w:tcPr>
                  <w:tcW w:w="1459" w:type="dxa"/>
                </w:tcPr>
                <w:p w14:paraId="0C533A03" w14:textId="77777777" w:rsidR="0045796A" w:rsidRPr="00B2348D" w:rsidRDefault="0045796A" w:rsidP="0045796A">
                  <w:pPr>
                    <w:pStyle w:val="TableBody"/>
                  </w:pPr>
                  <w:r w:rsidRPr="006624C0">
                    <w:t>MW</w:t>
                  </w:r>
                </w:p>
              </w:tc>
              <w:tc>
                <w:tcPr>
                  <w:tcW w:w="5942" w:type="dxa"/>
                </w:tcPr>
                <w:p w14:paraId="6FE52DC6" w14:textId="77777777" w:rsidR="0045796A" w:rsidRPr="00B2348D" w:rsidRDefault="0045796A" w:rsidP="0045796A">
                  <w:pPr>
                    <w:pStyle w:val="TableBody"/>
                  </w:pPr>
                  <w:r w:rsidRPr="006624C0">
                    <w:t>The MW tolerance for over-generation, five MW.</w:t>
                  </w:r>
                </w:p>
              </w:tc>
            </w:tr>
            <w:tr w:rsidR="0045796A" w:rsidRPr="00B2348D" w14:paraId="5AC28CDC" w14:textId="77777777" w:rsidTr="00AB2BB6">
              <w:trPr>
                <w:cantSplit/>
              </w:trPr>
              <w:tc>
                <w:tcPr>
                  <w:tcW w:w="2428" w:type="dxa"/>
                </w:tcPr>
                <w:p w14:paraId="6D24739D" w14:textId="77777777" w:rsidR="0045796A" w:rsidRPr="00AB1AD6" w:rsidRDefault="0045796A" w:rsidP="0045796A">
                  <w:pPr>
                    <w:spacing w:after="60"/>
                    <w:rPr>
                      <w:iCs/>
                      <w:sz w:val="20"/>
                    </w:rPr>
                  </w:pPr>
                  <w:r>
                    <w:rPr>
                      <w:iCs/>
                      <w:sz w:val="20"/>
                    </w:rPr>
                    <w:t>N</w:t>
                  </w:r>
                </w:p>
              </w:tc>
              <w:tc>
                <w:tcPr>
                  <w:tcW w:w="1459" w:type="dxa"/>
                </w:tcPr>
                <w:p w14:paraId="2A7440FA" w14:textId="77777777" w:rsidR="0045796A" w:rsidRPr="00AB1AD6" w:rsidRDefault="0045796A" w:rsidP="0045796A">
                  <w:pPr>
                    <w:spacing w:after="60"/>
                    <w:rPr>
                      <w:iCs/>
                      <w:sz w:val="20"/>
                    </w:rPr>
                  </w:pPr>
                  <w:r>
                    <w:rPr>
                      <w:iCs/>
                      <w:sz w:val="20"/>
                    </w:rPr>
                    <w:t>none</w:t>
                  </w:r>
                </w:p>
              </w:tc>
              <w:tc>
                <w:tcPr>
                  <w:tcW w:w="5942" w:type="dxa"/>
                </w:tcPr>
                <w:p w14:paraId="48ED82DF" w14:textId="77777777" w:rsidR="0045796A" w:rsidRPr="00AB1AD6" w:rsidRDefault="0045796A" w:rsidP="0045796A">
                  <w:pPr>
                    <w:spacing w:after="60"/>
                    <w:rPr>
                      <w:iCs/>
                      <w:sz w:val="20"/>
                    </w:rPr>
                  </w:pPr>
                  <w:r>
                    <w:rPr>
                      <w:iCs/>
                      <w:sz w:val="20"/>
                    </w:rPr>
                    <w:t>The number of IRRs within an IRR Group.</w:t>
                  </w:r>
                </w:p>
              </w:tc>
            </w:tr>
            <w:tr w:rsidR="0045796A" w:rsidRPr="00B2348D" w14:paraId="09E4E6AE" w14:textId="77777777" w:rsidTr="00AB2BB6">
              <w:trPr>
                <w:cantSplit/>
              </w:trPr>
              <w:tc>
                <w:tcPr>
                  <w:tcW w:w="2428" w:type="dxa"/>
                </w:tcPr>
                <w:p w14:paraId="74A2CAAE" w14:textId="77777777" w:rsidR="0045796A" w:rsidRPr="00B2348D" w:rsidRDefault="0045796A" w:rsidP="0045796A">
                  <w:pPr>
                    <w:pStyle w:val="TableBody"/>
                    <w:rPr>
                      <w:i/>
                    </w:rPr>
                  </w:pPr>
                  <w:r>
                    <w:rPr>
                      <w:i/>
                    </w:rPr>
                    <w:t>q</w:t>
                  </w:r>
                </w:p>
              </w:tc>
              <w:tc>
                <w:tcPr>
                  <w:tcW w:w="1459" w:type="dxa"/>
                </w:tcPr>
                <w:p w14:paraId="24467198" w14:textId="77777777" w:rsidR="0045796A" w:rsidRPr="00B2348D" w:rsidRDefault="0045796A" w:rsidP="0045796A">
                  <w:pPr>
                    <w:pStyle w:val="TableBody"/>
                  </w:pPr>
                  <w:r w:rsidRPr="006624C0">
                    <w:t>none</w:t>
                  </w:r>
                </w:p>
              </w:tc>
              <w:tc>
                <w:tcPr>
                  <w:tcW w:w="5942" w:type="dxa"/>
                </w:tcPr>
                <w:p w14:paraId="3D809BC7" w14:textId="77777777" w:rsidR="0045796A" w:rsidRPr="00B2348D" w:rsidRDefault="0045796A" w:rsidP="0045796A">
                  <w:pPr>
                    <w:pStyle w:val="TableBody"/>
                  </w:pPr>
                  <w:r w:rsidRPr="006624C0">
                    <w:t>A QSE.</w:t>
                  </w:r>
                </w:p>
              </w:tc>
            </w:tr>
            <w:tr w:rsidR="0045796A" w:rsidRPr="00B2348D" w14:paraId="690A57B8" w14:textId="77777777" w:rsidTr="00AB2BB6">
              <w:trPr>
                <w:cantSplit/>
              </w:trPr>
              <w:tc>
                <w:tcPr>
                  <w:tcW w:w="2428" w:type="dxa"/>
                </w:tcPr>
                <w:p w14:paraId="2D725C55" w14:textId="77777777" w:rsidR="0045796A" w:rsidRPr="00B2348D" w:rsidRDefault="0045796A" w:rsidP="0045796A">
                  <w:pPr>
                    <w:pStyle w:val="TableBody"/>
                    <w:rPr>
                      <w:i/>
                    </w:rPr>
                  </w:pPr>
                  <w:r>
                    <w:rPr>
                      <w:i/>
                    </w:rPr>
                    <w:t>p</w:t>
                  </w:r>
                </w:p>
              </w:tc>
              <w:tc>
                <w:tcPr>
                  <w:tcW w:w="1459" w:type="dxa"/>
                </w:tcPr>
                <w:p w14:paraId="174CE86C" w14:textId="77777777" w:rsidR="0045796A" w:rsidRPr="00B2348D" w:rsidRDefault="0045796A" w:rsidP="0045796A">
                  <w:pPr>
                    <w:pStyle w:val="TableBody"/>
                  </w:pPr>
                  <w:r w:rsidRPr="006624C0">
                    <w:t>none</w:t>
                  </w:r>
                </w:p>
              </w:tc>
              <w:tc>
                <w:tcPr>
                  <w:tcW w:w="5942" w:type="dxa"/>
                </w:tcPr>
                <w:p w14:paraId="7C7D2BE8" w14:textId="77777777" w:rsidR="0045796A" w:rsidRPr="00B2348D" w:rsidRDefault="0045796A" w:rsidP="0045796A">
                  <w:pPr>
                    <w:pStyle w:val="TableBody"/>
                  </w:pPr>
                  <w:r w:rsidRPr="006624C0">
                    <w:t>A Settlement Point.</w:t>
                  </w:r>
                </w:p>
              </w:tc>
            </w:tr>
            <w:tr w:rsidR="0045796A" w:rsidRPr="00B2348D" w14:paraId="534AF67B" w14:textId="77777777" w:rsidTr="00AB2BB6">
              <w:trPr>
                <w:cantSplit/>
              </w:trPr>
              <w:tc>
                <w:tcPr>
                  <w:tcW w:w="2428" w:type="dxa"/>
                </w:tcPr>
                <w:p w14:paraId="4CD4122C" w14:textId="77777777" w:rsidR="0045796A" w:rsidRPr="00B2348D" w:rsidRDefault="0045796A" w:rsidP="0045796A">
                  <w:pPr>
                    <w:pStyle w:val="TableBody"/>
                    <w:tabs>
                      <w:tab w:val="right" w:pos="9360"/>
                    </w:tabs>
                    <w:rPr>
                      <w:i/>
                    </w:rPr>
                  </w:pPr>
                  <w:r>
                    <w:rPr>
                      <w:i/>
                    </w:rPr>
                    <w:t>r</w:t>
                  </w:r>
                </w:p>
              </w:tc>
              <w:tc>
                <w:tcPr>
                  <w:tcW w:w="1459" w:type="dxa"/>
                </w:tcPr>
                <w:p w14:paraId="7ECA0423" w14:textId="77777777" w:rsidR="0045796A" w:rsidRPr="00B2348D" w:rsidRDefault="0045796A" w:rsidP="0045796A">
                  <w:pPr>
                    <w:pStyle w:val="TableBody"/>
                    <w:tabs>
                      <w:tab w:val="right" w:pos="9360"/>
                    </w:tabs>
                  </w:pPr>
                  <w:r w:rsidRPr="006624C0">
                    <w:t>none</w:t>
                  </w:r>
                </w:p>
              </w:tc>
              <w:tc>
                <w:tcPr>
                  <w:tcW w:w="5942" w:type="dxa"/>
                </w:tcPr>
                <w:p w14:paraId="270DB0F9" w14:textId="08B7BC3B" w:rsidR="0045796A" w:rsidRPr="00B2348D" w:rsidRDefault="0045796A" w:rsidP="0045796A">
                  <w:pPr>
                    <w:pStyle w:val="TableBody"/>
                    <w:tabs>
                      <w:tab w:val="right" w:pos="9360"/>
                    </w:tabs>
                    <w:rPr>
                      <w:lang w:val="fr-FR"/>
                    </w:rPr>
                  </w:pPr>
                  <w:r w:rsidRPr="006624C0">
                    <w:rPr>
                      <w:lang w:val="fr-FR"/>
                    </w:rPr>
                    <w:t xml:space="preserve">A non-exempt </w:t>
                  </w:r>
                  <w:r w:rsidR="008152FC">
                    <w:rPr>
                      <w:lang w:val="fr-FR"/>
                    </w:rPr>
                    <w:t xml:space="preserve">Generation </w:t>
                  </w:r>
                  <w:r w:rsidRPr="006624C0">
                    <w:rPr>
                      <w:lang w:val="fr-FR"/>
                    </w:rPr>
                    <w:t>Resource.</w:t>
                  </w:r>
                </w:p>
              </w:tc>
            </w:tr>
            <w:tr w:rsidR="0045796A" w:rsidRPr="00B2348D" w14:paraId="076A183D"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7DDEA518" w14:textId="77777777" w:rsidR="0045796A" w:rsidRPr="00B2348D" w:rsidRDefault="0045796A" w:rsidP="0045796A">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tcPr>
                <w:p w14:paraId="617096CF" w14:textId="77777777" w:rsidR="0045796A" w:rsidRPr="00B2348D"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37565E3D" w14:textId="77777777" w:rsidR="0045796A" w:rsidRPr="00B2348D" w:rsidRDefault="0045796A" w:rsidP="0045796A">
                  <w:pPr>
                    <w:pStyle w:val="TableBody"/>
                  </w:pPr>
                  <w:r w:rsidRPr="006624C0">
                    <w:t xml:space="preserve">A five-minute clock interval in the Settlement Interval. </w:t>
                  </w:r>
                </w:p>
              </w:tc>
            </w:tr>
            <w:tr w:rsidR="0045796A" w:rsidRPr="00B2348D" w14:paraId="51D39DC4"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0C3099FB" w14:textId="77777777" w:rsidR="0045796A" w:rsidRPr="00B2348D" w:rsidDel="00714336" w:rsidRDefault="0045796A" w:rsidP="0045796A">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tcPr>
                <w:p w14:paraId="3F8FE00A" w14:textId="77777777" w:rsidR="0045796A" w:rsidRPr="00B2348D" w:rsidDel="00714336"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0D92BFC5" w14:textId="77777777" w:rsidR="0045796A" w:rsidRPr="00B2348D" w:rsidDel="00714336" w:rsidRDefault="0045796A" w:rsidP="0045796A">
                  <w:pPr>
                    <w:pStyle w:val="TableBody"/>
                  </w:pPr>
                  <w:r w:rsidRPr="006624C0">
                    <w:t>A 15-minute Settlement Interval.</w:t>
                  </w:r>
                </w:p>
              </w:tc>
            </w:tr>
            <w:tr w:rsidR="0045796A" w:rsidRPr="00B2348D" w14:paraId="39327A2A"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3E5840B2" w14:textId="77777777" w:rsidR="0045796A" w:rsidRPr="00AB1AD6" w:rsidRDefault="0045796A" w:rsidP="0045796A">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tcPr>
                <w:p w14:paraId="5AB6B3FF" w14:textId="77777777" w:rsidR="0045796A" w:rsidRPr="00AB1AD6" w:rsidRDefault="0045796A" w:rsidP="004579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tcPr>
                <w:p w14:paraId="2E24147B" w14:textId="77777777" w:rsidR="0045796A" w:rsidRPr="00AB1AD6" w:rsidRDefault="0045796A" w:rsidP="0045796A">
                  <w:pPr>
                    <w:spacing w:after="60"/>
                    <w:rPr>
                      <w:iCs/>
                      <w:sz w:val="20"/>
                    </w:rPr>
                  </w:pPr>
                  <w:r>
                    <w:rPr>
                      <w:iCs/>
                      <w:sz w:val="20"/>
                    </w:rPr>
                    <w:t>An IRR Group.</w:t>
                  </w:r>
                </w:p>
              </w:tc>
            </w:tr>
          </w:tbl>
          <w:p w14:paraId="78A47927" w14:textId="5F0189B8" w:rsidR="00E21852" w:rsidRPr="00B37C4B" w:rsidRDefault="00E21852" w:rsidP="00AB2BB6">
            <w:pPr>
              <w:pStyle w:val="H3"/>
            </w:pPr>
          </w:p>
        </w:tc>
      </w:tr>
    </w:tbl>
    <w:p w14:paraId="71E9D68F" w14:textId="77777777" w:rsidR="001F04FD" w:rsidRPr="00503B4D" w:rsidRDefault="001F04FD" w:rsidP="001F04FD">
      <w:pPr>
        <w:pStyle w:val="H4"/>
        <w:tabs>
          <w:tab w:val="clear" w:pos="1260"/>
          <w:tab w:val="left" w:pos="1620"/>
        </w:tabs>
        <w:spacing w:before="480"/>
        <w:ind w:left="1627" w:hanging="1627"/>
        <w:outlineLvl w:val="4"/>
      </w:pPr>
      <w:bookmarkStart w:id="2103" w:name="_Toc189044430"/>
      <w:r w:rsidRPr="00503B4D">
        <w:lastRenderedPageBreak/>
        <w:t>6.6.5.1.1.2</w:t>
      </w:r>
      <w:r w:rsidRPr="00503B4D">
        <w:tab/>
        <w:t>Base Point Deviation Charge for Under Generation</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103"/>
    </w:p>
    <w:p w14:paraId="32D916B9" w14:textId="77777777" w:rsidR="001F04FD" w:rsidRDefault="001F04FD" w:rsidP="005755D9">
      <w:pPr>
        <w:pStyle w:val="BodyTextNumbered"/>
      </w:pPr>
      <w:r>
        <w:t>(1)</w:t>
      </w:r>
      <w:r>
        <w:tab/>
        <w:t>ERCOT shall charge a QSE for a Generation Resource for under generation if the metered generation is below the lesser of:</w:t>
      </w:r>
    </w:p>
    <w:p w14:paraId="6060C035" w14:textId="77777777" w:rsidR="001F04FD" w:rsidRDefault="001F04FD" w:rsidP="00BA3F0D">
      <w:pPr>
        <w:pStyle w:val="BodyTextNumbered"/>
        <w:ind w:left="1440"/>
      </w:pPr>
      <w:r>
        <w:t>(a)</w:t>
      </w:r>
      <w:r>
        <w:tab/>
        <w:t>95% of the average of the Base Points in the Settlement Interval adjusted for any Ancillary Service deployments; or</w:t>
      </w:r>
    </w:p>
    <w:p w14:paraId="7ABA9162" w14:textId="77777777" w:rsidR="001F04FD" w:rsidRDefault="001F04FD" w:rsidP="001F04FD">
      <w:pPr>
        <w:pStyle w:val="BodyTextNumbered"/>
        <w:ind w:left="1440"/>
      </w:pPr>
      <w:r>
        <w:t>(b)</w:t>
      </w:r>
      <w:r>
        <w:tab/>
        <w:t>The average of the Base Points in the Settlement Interval adjusted for any Ancillary Service deployments minus five MW.</w:t>
      </w:r>
    </w:p>
    <w:p w14:paraId="18EA0412" w14:textId="77777777" w:rsidR="001F04FD" w:rsidRPr="000149E5" w:rsidRDefault="001F04FD" w:rsidP="00BA3F0D">
      <w:pPr>
        <w:pStyle w:val="BodyTextNumbered"/>
        <w:rPr>
          <w:iCs/>
        </w:rPr>
      </w:pPr>
      <w:r w:rsidRPr="000149E5">
        <w:rPr>
          <w:iCs/>
        </w:rPr>
        <w:t>(2)</w:t>
      </w:r>
      <w:r w:rsidRPr="000149E5">
        <w:rPr>
          <w:iCs/>
        </w:rPr>
        <w:tab/>
        <w:t>The under-generation charge to each QSE for each Generation Resource at each Resource Node Settlement Point for a given 15-minute Settlement Interval is calculated as follows:</w:t>
      </w:r>
    </w:p>
    <w:p w14:paraId="3AB565D8" w14:textId="77777777" w:rsidR="001F04FD" w:rsidRDefault="001F04FD" w:rsidP="00BA3F0D">
      <w:pPr>
        <w:pStyle w:val="Formula"/>
        <w:ind w:left="3611" w:hangingChars="1200" w:hanging="2891"/>
        <w:rPr>
          <w:b/>
        </w:rPr>
      </w:pPr>
      <w:r w:rsidRPr="006624C0">
        <w:rPr>
          <w:b/>
        </w:rPr>
        <w:t xml:space="preserve">BPDAMT </w:t>
      </w:r>
      <w:r w:rsidRPr="006624C0">
        <w:rPr>
          <w:b/>
          <w:i/>
          <w:iCs/>
          <w:vertAlign w:val="subscript"/>
          <w:lang w:val="es-ES"/>
        </w:rPr>
        <w:t>q, r, p, i</w:t>
      </w:r>
      <w:r w:rsidRPr="006624C0">
        <w:rPr>
          <w:b/>
        </w:rPr>
        <w:tab/>
        <w:t>=</w:t>
      </w:r>
      <w:r w:rsidRPr="006624C0">
        <w:rPr>
          <w:b/>
        </w:rPr>
        <w:tab/>
        <w:t>-1 * Min (PR2, RTSPP</w:t>
      </w:r>
      <w:r w:rsidR="00967F3A">
        <w:rPr>
          <w:b/>
        </w:rPr>
        <w:t xml:space="preserve"> </w:t>
      </w:r>
      <w:r w:rsidRPr="006624C0">
        <w:rPr>
          <w:b/>
          <w:i/>
          <w:vertAlign w:val="subscript"/>
        </w:rPr>
        <w:t>p,</w:t>
      </w:r>
      <w:r w:rsidR="00967F3A">
        <w:rPr>
          <w:b/>
          <w:i/>
          <w:vertAlign w:val="subscript"/>
        </w:rPr>
        <w:t xml:space="preserve"> </w:t>
      </w:r>
      <w:r w:rsidRPr="006624C0">
        <w:rPr>
          <w:b/>
          <w:i/>
          <w:vertAlign w:val="subscript"/>
        </w:rPr>
        <w:t>i</w:t>
      </w:r>
      <w:r w:rsidRPr="006624C0">
        <w:rPr>
          <w:b/>
        </w:rPr>
        <w:t>) * Min (1, KP) * UGEN</w:t>
      </w:r>
      <w:r w:rsidRPr="006624C0">
        <w:rPr>
          <w:b/>
          <w:i/>
          <w:iCs/>
          <w:vertAlign w:val="subscript"/>
          <w:lang w:val="es-ES"/>
        </w:rPr>
        <w:t xml:space="preserve"> q, r, p, i </w:t>
      </w:r>
      <w:r w:rsidRPr="006624C0">
        <w:rPr>
          <w:rFonts w:ascii="Times New Roman Bold" w:hAnsi="Times New Roman Bold"/>
          <w:b/>
          <w:iCs/>
          <w:lang w:val="es-ES"/>
        </w:rPr>
        <w:t xml:space="preserve"> </w:t>
      </w:r>
    </w:p>
    <w:p w14:paraId="5C10F12D" w14:textId="77777777" w:rsidR="001F04FD" w:rsidRPr="00A915FE" w:rsidRDefault="001F04FD" w:rsidP="001F04FD">
      <w:pPr>
        <w:pStyle w:val="FormulaBold"/>
        <w:rPr>
          <w:b w:val="0"/>
        </w:rPr>
      </w:pPr>
      <w:r w:rsidRPr="00A915FE">
        <w:rPr>
          <w:b w:val="0"/>
        </w:rPr>
        <w:t>Where:</w:t>
      </w:r>
    </w:p>
    <w:p w14:paraId="11011FCC" w14:textId="77777777" w:rsidR="001F04FD" w:rsidRPr="002600B6" w:rsidRDefault="001F04FD" w:rsidP="001F04FD">
      <w:pPr>
        <w:pStyle w:val="BodyTextNumbered"/>
        <w:ind w:firstLine="0"/>
        <w:rPr>
          <w:i/>
          <w:iCs/>
          <w:vertAlign w:val="subscript"/>
          <w:lang w:val="es-ES"/>
        </w:rPr>
      </w:pPr>
      <w:r w:rsidRPr="002600B6">
        <w:rPr>
          <w:iCs/>
        </w:rPr>
        <w:t>UGEN</w:t>
      </w:r>
      <w:r w:rsidRPr="002600B6">
        <w:rPr>
          <w:i/>
          <w:iCs/>
          <w:vertAlign w:val="subscript"/>
          <w:lang w:val="es-ES"/>
        </w:rPr>
        <w:t xml:space="preserve"> q, r, p, i</w:t>
      </w:r>
      <w:r w:rsidRPr="002600B6">
        <w:rPr>
          <w:iCs/>
        </w:rPr>
        <w:t xml:space="preserve">  =  Max [0, [Min ((1- K2) * ¼* AABP</w:t>
      </w:r>
      <w:r w:rsidRPr="002600B6">
        <w:rPr>
          <w:i/>
          <w:iCs/>
          <w:vertAlign w:val="subscript"/>
          <w:lang w:val="es-ES"/>
        </w:rPr>
        <w:t xml:space="preserve"> q, r, p, i </w:t>
      </w:r>
      <w:r w:rsidRPr="002600B6">
        <w:rPr>
          <w:iCs/>
        </w:rPr>
        <w:t>,</w:t>
      </w:r>
      <w:r w:rsidRPr="002600B6">
        <w:rPr>
          <w:i/>
          <w:iCs/>
          <w:vertAlign w:val="subscript"/>
          <w:lang w:val="es-ES"/>
        </w:rPr>
        <w:t xml:space="preserve">   </w:t>
      </w:r>
    </w:p>
    <w:p w14:paraId="732D7D6B" w14:textId="77777777" w:rsidR="001F04FD" w:rsidRPr="0096711A" w:rsidRDefault="001F04FD" w:rsidP="001F04FD">
      <w:pPr>
        <w:pStyle w:val="BodyTextNumbered"/>
        <w:rPr>
          <w:iCs/>
        </w:rPr>
      </w:pPr>
      <w:r w:rsidRPr="002600B6">
        <w:rPr>
          <w:iCs/>
          <w:lang w:val="es-MX"/>
        </w:rPr>
        <w:t xml:space="preserve">                                              ¼ * (AABP</w:t>
      </w:r>
      <w:r w:rsidRPr="002600B6">
        <w:rPr>
          <w:i/>
          <w:vertAlign w:val="subscript"/>
          <w:lang w:val="es-ES"/>
        </w:rPr>
        <w:t xml:space="preserve"> q, r, p, i  </w:t>
      </w:r>
      <w:r w:rsidRPr="002600B6">
        <w:rPr>
          <w:iCs/>
        </w:rPr>
        <w:t>- Q2)</w:t>
      </w:r>
      <w:r>
        <w:rPr>
          <w:iCs/>
        </w:rPr>
        <w:t>)</w:t>
      </w:r>
      <w:r w:rsidRPr="002600B6">
        <w:rPr>
          <w:iCs/>
        </w:rPr>
        <w:t xml:space="preserve"> - TWTG</w:t>
      </w:r>
      <w:r w:rsidR="00967F3A">
        <w:rPr>
          <w:iCs/>
        </w:rPr>
        <w:t xml:space="preserve"> </w:t>
      </w:r>
      <w:r w:rsidRPr="002600B6">
        <w:rPr>
          <w:i/>
          <w:vertAlign w:val="subscript"/>
          <w:lang w:val="es-ES"/>
        </w:rPr>
        <w:t>q, r, p, i</w:t>
      </w:r>
      <w:r w:rsidRPr="002600B6">
        <w:rPr>
          <w:iCs/>
        </w:rPr>
        <w:t>]]</w:t>
      </w:r>
    </w:p>
    <w:p w14:paraId="3331676F" w14:textId="77777777" w:rsidR="001F04FD" w:rsidRPr="002600B6" w:rsidRDefault="001F04FD" w:rsidP="005755D9">
      <w:pPr>
        <w:pStyle w:val="Formula"/>
        <w:ind w:left="2880" w:hanging="2160"/>
      </w:pPr>
      <w:r w:rsidRPr="002600B6">
        <w:t>TWTG</w:t>
      </w:r>
      <w:r w:rsidRPr="002600B6">
        <w:rPr>
          <w:i/>
          <w:vertAlign w:val="subscript"/>
        </w:rPr>
        <w:t xml:space="preserve"> q, r, p, i</w:t>
      </w:r>
      <w:r w:rsidRPr="002600B6">
        <w:rPr>
          <w:i/>
          <w:vertAlign w:val="subscript"/>
        </w:rPr>
        <w:tab/>
        <w:t>=</w:t>
      </w:r>
      <w:r w:rsidRPr="002600B6">
        <w:rPr>
          <w:i/>
          <w:vertAlign w:val="subscript"/>
        </w:rPr>
        <w:tab/>
      </w:r>
      <w:r w:rsidRPr="002600B6">
        <w:t>(</w:t>
      </w:r>
      <w:r w:rsidRPr="007D0F13">
        <w:rPr>
          <w:position w:val="-22"/>
        </w:rPr>
        <w:object w:dxaOrig="210" w:dyaOrig="450" w14:anchorId="1D191EA8">
          <v:shape id="_x0000_i1185" type="#_x0000_t75" style="width:6pt;height:24pt" o:ole="">
            <v:imagedata r:id="rId208" o:title=""/>
          </v:shape>
          <o:OLEObject Type="Embed" ProgID="Equation.3" ShapeID="_x0000_i1185" DrawAspect="Content" ObjectID="_1804653670" r:id="rId216"/>
        </w:object>
      </w:r>
      <w:r w:rsidRPr="002600B6">
        <w:t xml:space="preserve"> (AVGTG5M</w:t>
      </w:r>
      <w:r w:rsidRPr="002600B6">
        <w:rPr>
          <w:i/>
          <w:vertAlign w:val="subscript"/>
        </w:rPr>
        <w:t xml:space="preserve"> q, r, p, i, y</w:t>
      </w:r>
      <w:r w:rsidRPr="002600B6">
        <w:t xml:space="preserve">) / 3) * </w:t>
      </w:r>
      <w:r w:rsidRPr="002600B6">
        <w:rPr>
          <w:iCs/>
        </w:rPr>
        <w:t>¼</w:t>
      </w:r>
    </w:p>
    <w:p w14:paraId="11A8110D" w14:textId="77777777" w:rsidR="001F04FD" w:rsidRDefault="001F04FD" w:rsidP="00BA3F0D">
      <w:r>
        <w:t>The above variables are defined as follows: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1272"/>
        <w:gridCol w:w="6182"/>
      </w:tblGrid>
      <w:tr w:rsidR="001F04FD" w:rsidRPr="00901A46" w14:paraId="55E913B4" w14:textId="77777777" w:rsidTr="00BA3F0D">
        <w:tc>
          <w:tcPr>
            <w:tcW w:w="2601" w:type="dxa"/>
          </w:tcPr>
          <w:p w14:paraId="77A2C782" w14:textId="77777777" w:rsidR="001F04FD" w:rsidRPr="00901A46" w:rsidRDefault="001F04FD" w:rsidP="00AC4DEE">
            <w:pPr>
              <w:pStyle w:val="TableHead"/>
            </w:pPr>
            <w:r w:rsidRPr="006624C0">
              <w:t>Variable</w:t>
            </w:r>
          </w:p>
        </w:tc>
        <w:tc>
          <w:tcPr>
            <w:tcW w:w="1272" w:type="dxa"/>
          </w:tcPr>
          <w:p w14:paraId="3ACCB160" w14:textId="77777777" w:rsidR="001F04FD" w:rsidRPr="00901A46" w:rsidRDefault="001F04FD" w:rsidP="00AC4DEE">
            <w:pPr>
              <w:pStyle w:val="TableHead"/>
            </w:pPr>
            <w:r w:rsidRPr="006624C0">
              <w:t>Unit</w:t>
            </w:r>
          </w:p>
        </w:tc>
        <w:tc>
          <w:tcPr>
            <w:tcW w:w="6182" w:type="dxa"/>
          </w:tcPr>
          <w:p w14:paraId="59BD801F" w14:textId="77777777" w:rsidR="001F04FD" w:rsidRPr="00901A46" w:rsidRDefault="001F04FD" w:rsidP="00AC4DEE">
            <w:pPr>
              <w:pStyle w:val="TableHead"/>
            </w:pPr>
            <w:r w:rsidRPr="006624C0">
              <w:t>Definition</w:t>
            </w:r>
          </w:p>
        </w:tc>
      </w:tr>
      <w:tr w:rsidR="001F04FD" w:rsidRPr="00901A46" w14:paraId="01376367" w14:textId="77777777" w:rsidTr="00BA3F0D">
        <w:trPr>
          <w:cantSplit/>
        </w:trPr>
        <w:tc>
          <w:tcPr>
            <w:tcW w:w="2601" w:type="dxa"/>
          </w:tcPr>
          <w:p w14:paraId="69A5D68D" w14:textId="77777777" w:rsidR="001F04FD" w:rsidRPr="00901A46" w:rsidRDefault="001F04FD" w:rsidP="00AC4DEE">
            <w:pPr>
              <w:pStyle w:val="TableBody"/>
            </w:pPr>
            <w:r w:rsidRPr="006624C0">
              <w:t xml:space="preserve">BPDAMT </w:t>
            </w:r>
            <w:r w:rsidRPr="006624C0">
              <w:rPr>
                <w:i/>
                <w:vertAlign w:val="subscript"/>
              </w:rPr>
              <w:t>q, r, p, i</w:t>
            </w:r>
          </w:p>
        </w:tc>
        <w:tc>
          <w:tcPr>
            <w:tcW w:w="1272" w:type="dxa"/>
          </w:tcPr>
          <w:p w14:paraId="1A24CA39" w14:textId="77777777" w:rsidR="001F04FD" w:rsidRPr="00901A46" w:rsidRDefault="001F04FD" w:rsidP="00AC4DEE">
            <w:pPr>
              <w:pStyle w:val="TableBody"/>
            </w:pPr>
            <w:r w:rsidRPr="006624C0">
              <w:t>$</w:t>
            </w:r>
          </w:p>
        </w:tc>
        <w:tc>
          <w:tcPr>
            <w:tcW w:w="6182" w:type="dxa"/>
          </w:tcPr>
          <w:p w14:paraId="106EAEDF" w14:textId="77777777" w:rsidR="001F04FD" w:rsidRPr="00901A46"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A Base Point Deviation Charge is charged to the Combined Cycle Train for all Combined Cycle Generation Resources.</w:t>
            </w:r>
          </w:p>
        </w:tc>
      </w:tr>
      <w:tr w:rsidR="001F04FD" w:rsidRPr="00901A46" w14:paraId="105DCA65" w14:textId="77777777" w:rsidTr="00BA3F0D">
        <w:trPr>
          <w:cantSplit/>
        </w:trPr>
        <w:tc>
          <w:tcPr>
            <w:tcW w:w="2601" w:type="dxa"/>
          </w:tcPr>
          <w:p w14:paraId="44ED1759" w14:textId="77777777" w:rsidR="001F04FD" w:rsidRPr="00901A46" w:rsidRDefault="001F04FD" w:rsidP="00AC4DEE">
            <w:pPr>
              <w:pStyle w:val="TableBody"/>
            </w:pPr>
            <w:r w:rsidRPr="006624C0">
              <w:t xml:space="preserve">RTSPP </w:t>
            </w:r>
            <w:r w:rsidRPr="006624C0">
              <w:rPr>
                <w:i/>
                <w:vertAlign w:val="subscript"/>
              </w:rPr>
              <w:t>p, i</w:t>
            </w:r>
          </w:p>
        </w:tc>
        <w:tc>
          <w:tcPr>
            <w:tcW w:w="1272" w:type="dxa"/>
          </w:tcPr>
          <w:p w14:paraId="56A57C43" w14:textId="77777777" w:rsidR="001F04FD" w:rsidRPr="00901A46" w:rsidRDefault="001F04FD" w:rsidP="00AC4DEE">
            <w:pPr>
              <w:pStyle w:val="TableBody"/>
            </w:pPr>
            <w:r w:rsidRPr="006624C0">
              <w:t>$/MWh</w:t>
            </w:r>
          </w:p>
        </w:tc>
        <w:tc>
          <w:tcPr>
            <w:tcW w:w="6182" w:type="dxa"/>
          </w:tcPr>
          <w:p w14:paraId="259CEDDC" w14:textId="77777777" w:rsidR="001F04FD" w:rsidRPr="00901A46"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901A46" w14:paraId="18ECDD5D" w14:textId="77777777" w:rsidTr="00BA3F0D">
        <w:trPr>
          <w:cantSplit/>
        </w:trPr>
        <w:tc>
          <w:tcPr>
            <w:tcW w:w="2601" w:type="dxa"/>
          </w:tcPr>
          <w:p w14:paraId="792A4461" w14:textId="77777777" w:rsidR="001F04FD" w:rsidRPr="00901A46" w:rsidRDefault="001F04FD" w:rsidP="00AC4DEE">
            <w:pPr>
              <w:pStyle w:val="TableBody"/>
            </w:pPr>
            <w:r w:rsidRPr="00901A46">
              <w:t xml:space="preserve">TWTG </w:t>
            </w:r>
            <w:r w:rsidRPr="006624C0">
              <w:rPr>
                <w:i/>
                <w:vertAlign w:val="subscript"/>
              </w:rPr>
              <w:t>q, r, p, i</w:t>
            </w:r>
          </w:p>
        </w:tc>
        <w:tc>
          <w:tcPr>
            <w:tcW w:w="1272" w:type="dxa"/>
          </w:tcPr>
          <w:p w14:paraId="658E2636" w14:textId="77777777" w:rsidR="001F04FD" w:rsidRPr="00901A46" w:rsidRDefault="001F04FD" w:rsidP="00AC4DEE">
            <w:pPr>
              <w:pStyle w:val="TableBody"/>
            </w:pPr>
            <w:r w:rsidRPr="00901A46">
              <w:t>MWh</w:t>
            </w:r>
          </w:p>
        </w:tc>
        <w:tc>
          <w:tcPr>
            <w:tcW w:w="6182" w:type="dxa"/>
          </w:tcPr>
          <w:p w14:paraId="195CD1E4" w14:textId="77777777" w:rsidR="001F04FD" w:rsidRPr="00901A46" w:rsidRDefault="001F04FD" w:rsidP="00AC4DEE">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F04FD" w:rsidRPr="00901A46" w14:paraId="5D9D6B4E" w14:textId="77777777" w:rsidTr="00BA3F0D">
        <w:trPr>
          <w:cantSplit/>
        </w:trPr>
        <w:tc>
          <w:tcPr>
            <w:tcW w:w="2601" w:type="dxa"/>
          </w:tcPr>
          <w:p w14:paraId="51F501D7" w14:textId="77777777" w:rsidR="001F04FD" w:rsidRPr="00901A46" w:rsidRDefault="001F04FD" w:rsidP="00AC4DEE">
            <w:pPr>
              <w:pStyle w:val="TableBody"/>
            </w:pPr>
            <w:r w:rsidRPr="00901A46">
              <w:t>AABP</w:t>
            </w:r>
            <w:r w:rsidRPr="00901A46">
              <w:rPr>
                <w:vertAlign w:val="subscript"/>
              </w:rPr>
              <w:t xml:space="preserve"> </w:t>
            </w:r>
            <w:r w:rsidRPr="00901A46">
              <w:rPr>
                <w:i/>
                <w:vertAlign w:val="subscript"/>
              </w:rPr>
              <w:t>q, r, p, i</w:t>
            </w:r>
          </w:p>
        </w:tc>
        <w:tc>
          <w:tcPr>
            <w:tcW w:w="1272" w:type="dxa"/>
          </w:tcPr>
          <w:p w14:paraId="3F5472C4" w14:textId="77777777" w:rsidR="001F04FD" w:rsidRPr="00901A46" w:rsidRDefault="001F04FD" w:rsidP="00AC4DEE">
            <w:pPr>
              <w:pStyle w:val="TableBody"/>
            </w:pPr>
            <w:r w:rsidRPr="00901A46">
              <w:t>MW</w:t>
            </w:r>
          </w:p>
        </w:tc>
        <w:tc>
          <w:tcPr>
            <w:tcW w:w="6182" w:type="dxa"/>
          </w:tcPr>
          <w:p w14:paraId="25C3A4FE" w14:textId="77777777" w:rsidR="001F04FD" w:rsidRPr="00901A46" w:rsidRDefault="001F04FD" w:rsidP="00AC4DEE">
            <w:pPr>
              <w:pStyle w:val="TableBody"/>
              <w:rPr>
                <w:i/>
              </w:rPr>
            </w:pPr>
            <w:r w:rsidRPr="00901A46">
              <w:rPr>
                <w:i/>
              </w:rPr>
              <w:t>Adjusted Aggregated Base Point</w:t>
            </w:r>
            <w:r w:rsidRPr="00901A46">
              <w:t xml:space="preserve">—The aggregated Base Point adjusted for Ancillary Service deployments of Generation </w:t>
            </w:r>
            <w:r>
              <w:t xml:space="preserve">Resource or Controllable Load </w:t>
            </w:r>
            <w:r w:rsidRPr="00901A46">
              <w:t xml:space="preserve">Resource </w:t>
            </w:r>
            <w:r w:rsidRPr="00901A46">
              <w:rPr>
                <w:i/>
              </w:rPr>
              <w:t>r</w:t>
            </w:r>
            <w:r w:rsidRPr="00901A46">
              <w:t xml:space="preserve"> represented by QSE </w:t>
            </w:r>
            <w:r w:rsidRPr="00901A46">
              <w:rPr>
                <w:i/>
              </w:rPr>
              <w:t>q</w:t>
            </w:r>
            <w:r w:rsidRPr="00901A46">
              <w:t xml:space="preserve"> at </w:t>
            </w:r>
            <w:r>
              <w:t>Settlement Point</w:t>
            </w:r>
            <w:r w:rsidRPr="00901A46">
              <w:t xml:space="preserve"> </w:t>
            </w:r>
            <w:r w:rsidRPr="00901A46">
              <w:rPr>
                <w:i/>
              </w:rPr>
              <w:t>p</w:t>
            </w:r>
            <w:r w:rsidRPr="00901A46">
              <w:t xml:space="preserve">, for the 15-minute Settlement Interval </w:t>
            </w:r>
            <w:r w:rsidRPr="006624C0">
              <w:rPr>
                <w:i/>
              </w:rPr>
              <w:t>i</w:t>
            </w:r>
            <w:r w:rsidRPr="006624C0">
              <w:t>.</w:t>
            </w:r>
            <w:r w:rsidRPr="00901A46">
              <w:t xml:space="preserve">  Where for a Combined Cycle Train, AABP is calculated for the Combined Cycle Train considering all SCED Dispatch Instructions to any Combined Cycle Generation Resources within the Combined Cycle Train</w:t>
            </w:r>
            <w:r>
              <w:t>.</w:t>
            </w:r>
          </w:p>
        </w:tc>
      </w:tr>
      <w:tr w:rsidR="001F04FD" w:rsidRPr="00901A46" w14:paraId="7618857E" w14:textId="77777777" w:rsidTr="00BA3F0D">
        <w:trPr>
          <w:cantSplit/>
        </w:trPr>
        <w:tc>
          <w:tcPr>
            <w:tcW w:w="2601" w:type="dxa"/>
          </w:tcPr>
          <w:p w14:paraId="7B2A70AA" w14:textId="77777777" w:rsidR="001F04FD" w:rsidRPr="00901A46" w:rsidRDefault="001F04FD" w:rsidP="00AC4DEE">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272" w:type="dxa"/>
          </w:tcPr>
          <w:p w14:paraId="26312817" w14:textId="77777777" w:rsidR="001F04FD" w:rsidRPr="00901A46" w:rsidRDefault="001F04FD" w:rsidP="00AC4DEE">
            <w:pPr>
              <w:pStyle w:val="TableBody"/>
            </w:pPr>
            <w:r w:rsidRPr="006624C0">
              <w:t>MW</w:t>
            </w:r>
          </w:p>
        </w:tc>
        <w:tc>
          <w:tcPr>
            <w:tcW w:w="6182" w:type="dxa"/>
          </w:tcPr>
          <w:p w14:paraId="46DBB76C" w14:textId="77777777" w:rsidR="001F04FD" w:rsidRPr="00901A46" w:rsidRDefault="001F04FD" w:rsidP="00AC4DEE">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901A46" w14:paraId="27922D1D" w14:textId="77777777" w:rsidTr="00BA3F0D">
        <w:trPr>
          <w:cantSplit/>
        </w:trPr>
        <w:tc>
          <w:tcPr>
            <w:tcW w:w="2601" w:type="dxa"/>
          </w:tcPr>
          <w:p w14:paraId="25C63C1E" w14:textId="77777777" w:rsidR="001F04FD" w:rsidRPr="00901A46" w:rsidRDefault="001F04FD" w:rsidP="00AC4DEE">
            <w:pPr>
              <w:pStyle w:val="TableBody"/>
            </w:pPr>
            <w:r w:rsidRPr="006624C0">
              <w:t xml:space="preserve">UGEN </w:t>
            </w:r>
            <w:r w:rsidRPr="006624C0">
              <w:rPr>
                <w:i/>
                <w:vertAlign w:val="subscript"/>
              </w:rPr>
              <w:t>q, r, p, i</w:t>
            </w:r>
          </w:p>
        </w:tc>
        <w:tc>
          <w:tcPr>
            <w:tcW w:w="1272" w:type="dxa"/>
          </w:tcPr>
          <w:p w14:paraId="40FD22CA" w14:textId="77777777" w:rsidR="001F04FD" w:rsidRPr="00901A46" w:rsidRDefault="001F04FD" w:rsidP="00AC4DEE">
            <w:pPr>
              <w:pStyle w:val="TableBody"/>
            </w:pPr>
            <w:r w:rsidRPr="006624C0">
              <w:t>MWh</w:t>
            </w:r>
          </w:p>
        </w:tc>
        <w:tc>
          <w:tcPr>
            <w:tcW w:w="6182" w:type="dxa"/>
          </w:tcPr>
          <w:p w14:paraId="4A2C7BB2" w14:textId="77777777" w:rsidR="001F04FD" w:rsidRPr="00901A46" w:rsidRDefault="001F04FD" w:rsidP="00AC4DEE">
            <w:pPr>
              <w:pStyle w:val="TableBody"/>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F04FD" w:rsidRPr="00901A46" w14:paraId="647AAAAF" w14:textId="77777777" w:rsidTr="00BA3F0D">
        <w:trPr>
          <w:cantSplit/>
        </w:trPr>
        <w:tc>
          <w:tcPr>
            <w:tcW w:w="2601" w:type="dxa"/>
          </w:tcPr>
          <w:p w14:paraId="2DD97605" w14:textId="77777777" w:rsidR="001F04FD" w:rsidRPr="00901A46" w:rsidRDefault="001F04FD" w:rsidP="00AC4DEE">
            <w:pPr>
              <w:pStyle w:val="TableBody"/>
            </w:pPr>
            <w:r w:rsidRPr="006624C0">
              <w:t>KP</w:t>
            </w:r>
          </w:p>
        </w:tc>
        <w:tc>
          <w:tcPr>
            <w:tcW w:w="1272" w:type="dxa"/>
          </w:tcPr>
          <w:p w14:paraId="0A917869" w14:textId="77777777" w:rsidR="001F04FD" w:rsidRPr="00901A46" w:rsidRDefault="00091181" w:rsidP="00AC4DEE">
            <w:pPr>
              <w:pStyle w:val="TableBody"/>
            </w:pPr>
            <w:r>
              <w:t>n</w:t>
            </w:r>
            <w:r w:rsidR="001F04FD" w:rsidRPr="006624C0">
              <w:t>one</w:t>
            </w:r>
          </w:p>
        </w:tc>
        <w:tc>
          <w:tcPr>
            <w:tcW w:w="6182" w:type="dxa"/>
          </w:tcPr>
          <w:p w14:paraId="09C4F86A" w14:textId="77777777" w:rsidR="001F04FD" w:rsidRPr="00901A46" w:rsidRDefault="001F04FD" w:rsidP="00AC4DEE">
            <w:pPr>
              <w:pStyle w:val="TableBody"/>
            </w:pPr>
            <w:r w:rsidRPr="006624C0">
              <w:t>The coefficient applied to the Settlement Point Price for under-generation charge, 1.0.</w:t>
            </w:r>
          </w:p>
        </w:tc>
      </w:tr>
      <w:tr w:rsidR="001F04FD" w:rsidRPr="00901A46" w14:paraId="3E57B932" w14:textId="77777777" w:rsidTr="00BA3F0D">
        <w:trPr>
          <w:cantSplit/>
        </w:trPr>
        <w:tc>
          <w:tcPr>
            <w:tcW w:w="2601" w:type="dxa"/>
          </w:tcPr>
          <w:p w14:paraId="50F2F3E9" w14:textId="77777777" w:rsidR="001F04FD" w:rsidRPr="00901A46" w:rsidRDefault="001F04FD" w:rsidP="00AC4DEE">
            <w:pPr>
              <w:pStyle w:val="TableBody"/>
            </w:pPr>
            <w:r w:rsidRPr="006624C0">
              <w:t>PR2</w:t>
            </w:r>
          </w:p>
        </w:tc>
        <w:tc>
          <w:tcPr>
            <w:tcW w:w="1272" w:type="dxa"/>
          </w:tcPr>
          <w:p w14:paraId="1384008C" w14:textId="77777777" w:rsidR="001F04FD" w:rsidRPr="00901A46" w:rsidRDefault="001F04FD" w:rsidP="00AC4DEE">
            <w:pPr>
              <w:pStyle w:val="TableBody"/>
            </w:pPr>
            <w:r w:rsidRPr="006624C0">
              <w:t>$/MWh</w:t>
            </w:r>
          </w:p>
        </w:tc>
        <w:tc>
          <w:tcPr>
            <w:tcW w:w="6182" w:type="dxa"/>
          </w:tcPr>
          <w:p w14:paraId="4A15B89A" w14:textId="77777777" w:rsidR="001F04FD" w:rsidRPr="00901A46" w:rsidRDefault="001F04FD" w:rsidP="00AC4DEE">
            <w:pPr>
              <w:pStyle w:val="TableBody"/>
            </w:pPr>
            <w:r w:rsidRPr="006624C0">
              <w:t>The price to use for the Base Point Deviation Charge for under-generation calculation when RTSPP is greater than -$20</w:t>
            </w:r>
            <w:r>
              <w:t>/MWh, -$20/MWh</w:t>
            </w:r>
            <w:r w:rsidRPr="006624C0">
              <w:t xml:space="preserve">.  </w:t>
            </w:r>
          </w:p>
        </w:tc>
      </w:tr>
      <w:tr w:rsidR="001F04FD" w:rsidRPr="00901A46" w14:paraId="72A350CD" w14:textId="77777777" w:rsidTr="00BA3F0D">
        <w:trPr>
          <w:cantSplit/>
        </w:trPr>
        <w:tc>
          <w:tcPr>
            <w:tcW w:w="2601" w:type="dxa"/>
          </w:tcPr>
          <w:p w14:paraId="4668976B" w14:textId="77777777" w:rsidR="001F04FD" w:rsidRPr="00901A46" w:rsidRDefault="001F04FD" w:rsidP="00AC4DEE">
            <w:pPr>
              <w:pStyle w:val="TableBody"/>
            </w:pPr>
            <w:r w:rsidRPr="006624C0">
              <w:t>K2</w:t>
            </w:r>
          </w:p>
        </w:tc>
        <w:tc>
          <w:tcPr>
            <w:tcW w:w="1272" w:type="dxa"/>
          </w:tcPr>
          <w:p w14:paraId="3585BF0F" w14:textId="77777777" w:rsidR="001F04FD" w:rsidRPr="00901A46" w:rsidRDefault="00091181" w:rsidP="00AC4DEE">
            <w:pPr>
              <w:pStyle w:val="TableBody"/>
            </w:pPr>
            <w:r>
              <w:t>n</w:t>
            </w:r>
            <w:r w:rsidR="001F04FD" w:rsidRPr="006624C0">
              <w:t>one</w:t>
            </w:r>
          </w:p>
        </w:tc>
        <w:tc>
          <w:tcPr>
            <w:tcW w:w="6182" w:type="dxa"/>
          </w:tcPr>
          <w:p w14:paraId="66FF7E76" w14:textId="77777777" w:rsidR="001F04FD" w:rsidRPr="00901A46" w:rsidRDefault="001F04FD" w:rsidP="00AC4DEE">
            <w:pPr>
              <w:pStyle w:val="TableBody"/>
            </w:pPr>
            <w:r w:rsidRPr="006624C0">
              <w:t xml:space="preserve">The percentage tolerance for under-generation, 5%. </w:t>
            </w:r>
          </w:p>
        </w:tc>
      </w:tr>
      <w:tr w:rsidR="001F04FD" w:rsidRPr="00901A46" w14:paraId="2B99A574" w14:textId="77777777" w:rsidTr="00BA3F0D">
        <w:trPr>
          <w:cantSplit/>
        </w:trPr>
        <w:tc>
          <w:tcPr>
            <w:tcW w:w="2601" w:type="dxa"/>
          </w:tcPr>
          <w:p w14:paraId="7E5FC3CD" w14:textId="77777777" w:rsidR="001F04FD" w:rsidRPr="00901A46" w:rsidRDefault="001F04FD" w:rsidP="00AC4DEE">
            <w:pPr>
              <w:pStyle w:val="TableBody"/>
            </w:pPr>
            <w:r w:rsidRPr="006624C0">
              <w:t>Q2</w:t>
            </w:r>
          </w:p>
        </w:tc>
        <w:tc>
          <w:tcPr>
            <w:tcW w:w="1272" w:type="dxa"/>
          </w:tcPr>
          <w:p w14:paraId="3AE78F14" w14:textId="77777777" w:rsidR="001F04FD" w:rsidRPr="00901A46" w:rsidRDefault="001F04FD" w:rsidP="00AC4DEE">
            <w:pPr>
              <w:pStyle w:val="TableBody"/>
            </w:pPr>
            <w:r w:rsidRPr="006624C0">
              <w:t>MW</w:t>
            </w:r>
          </w:p>
        </w:tc>
        <w:tc>
          <w:tcPr>
            <w:tcW w:w="6182" w:type="dxa"/>
          </w:tcPr>
          <w:p w14:paraId="6068B2A1" w14:textId="77777777" w:rsidR="001F04FD" w:rsidRPr="00901A46" w:rsidRDefault="001F04FD" w:rsidP="00AC4DEE">
            <w:pPr>
              <w:pStyle w:val="TableBody"/>
            </w:pPr>
            <w:r w:rsidRPr="006624C0">
              <w:t>The MW tolerance for under-generation, five MW.</w:t>
            </w:r>
          </w:p>
        </w:tc>
      </w:tr>
      <w:tr w:rsidR="00091181" w:rsidRPr="00901A46" w14:paraId="0CA36942" w14:textId="05E467A9" w:rsidTr="00BA3F0D">
        <w:trPr>
          <w:cantSplit/>
        </w:trPr>
        <w:tc>
          <w:tcPr>
            <w:tcW w:w="10055" w:type="dxa"/>
            <w:gridSpan w:val="3"/>
          </w:tcPr>
          <w:p w14:paraId="3A69EC84" w14:textId="489E8F18" w:rsidR="00091181" w:rsidRPr="006624C0" w:rsidRDefault="00091181" w:rsidP="00AC4DEE">
            <w:pPr>
              <w:pStyle w:val="TableBody"/>
            </w:pPr>
          </w:p>
        </w:tc>
      </w:tr>
      <w:tr w:rsidR="001F04FD" w:rsidRPr="00901A46" w14:paraId="497705A0" w14:textId="77777777" w:rsidTr="00BA3F0D">
        <w:trPr>
          <w:cantSplit/>
        </w:trPr>
        <w:tc>
          <w:tcPr>
            <w:tcW w:w="2601" w:type="dxa"/>
          </w:tcPr>
          <w:p w14:paraId="7409D2A1" w14:textId="77777777" w:rsidR="001F04FD" w:rsidRPr="00901A46" w:rsidRDefault="001F04FD" w:rsidP="00AC4DEE">
            <w:pPr>
              <w:pStyle w:val="TableBody"/>
              <w:rPr>
                <w:i/>
              </w:rPr>
            </w:pPr>
            <w:r w:rsidRPr="006624C0">
              <w:rPr>
                <w:i/>
              </w:rPr>
              <w:t>q</w:t>
            </w:r>
          </w:p>
        </w:tc>
        <w:tc>
          <w:tcPr>
            <w:tcW w:w="1272" w:type="dxa"/>
          </w:tcPr>
          <w:p w14:paraId="37E25988" w14:textId="77777777" w:rsidR="001F04FD" w:rsidRPr="00901A46" w:rsidRDefault="001F04FD" w:rsidP="00AC4DEE">
            <w:pPr>
              <w:pStyle w:val="TableBody"/>
            </w:pPr>
            <w:r w:rsidRPr="006624C0">
              <w:t>none</w:t>
            </w:r>
          </w:p>
        </w:tc>
        <w:tc>
          <w:tcPr>
            <w:tcW w:w="6182" w:type="dxa"/>
          </w:tcPr>
          <w:p w14:paraId="019197BE" w14:textId="77777777" w:rsidR="001F04FD" w:rsidRPr="00901A46" w:rsidRDefault="001F04FD" w:rsidP="00AC4DEE">
            <w:pPr>
              <w:pStyle w:val="TableBody"/>
            </w:pPr>
            <w:r w:rsidRPr="006624C0">
              <w:t>A QSE.</w:t>
            </w:r>
          </w:p>
        </w:tc>
      </w:tr>
      <w:tr w:rsidR="001F04FD" w:rsidRPr="00901A46" w14:paraId="70E90F1D" w14:textId="77777777" w:rsidTr="00BA3F0D">
        <w:trPr>
          <w:cantSplit/>
        </w:trPr>
        <w:tc>
          <w:tcPr>
            <w:tcW w:w="2601" w:type="dxa"/>
          </w:tcPr>
          <w:p w14:paraId="761FAE67" w14:textId="77777777" w:rsidR="001F04FD" w:rsidRPr="00901A46" w:rsidRDefault="001F04FD" w:rsidP="00AC4DEE">
            <w:pPr>
              <w:pStyle w:val="TableBody"/>
              <w:rPr>
                <w:i/>
              </w:rPr>
            </w:pPr>
            <w:r w:rsidRPr="006624C0">
              <w:rPr>
                <w:i/>
              </w:rPr>
              <w:t>p</w:t>
            </w:r>
          </w:p>
        </w:tc>
        <w:tc>
          <w:tcPr>
            <w:tcW w:w="1272" w:type="dxa"/>
          </w:tcPr>
          <w:p w14:paraId="3872A492" w14:textId="77777777" w:rsidR="001F04FD" w:rsidRPr="00901A46" w:rsidRDefault="001F04FD" w:rsidP="00AC4DEE">
            <w:pPr>
              <w:pStyle w:val="TableBody"/>
            </w:pPr>
            <w:r w:rsidRPr="006624C0">
              <w:t>none</w:t>
            </w:r>
          </w:p>
        </w:tc>
        <w:tc>
          <w:tcPr>
            <w:tcW w:w="6182" w:type="dxa"/>
          </w:tcPr>
          <w:p w14:paraId="21205852" w14:textId="77777777" w:rsidR="001F04FD" w:rsidRPr="00901A46" w:rsidRDefault="001F04FD" w:rsidP="00AC4DEE">
            <w:pPr>
              <w:pStyle w:val="TableBody"/>
            </w:pPr>
            <w:r w:rsidRPr="006624C0">
              <w:t>A Settlement Point.</w:t>
            </w:r>
          </w:p>
        </w:tc>
      </w:tr>
      <w:tr w:rsidR="001F04FD" w:rsidRPr="00901A46" w14:paraId="5068D4BF" w14:textId="77777777" w:rsidTr="00BA3F0D">
        <w:trPr>
          <w:cantSplit/>
        </w:trPr>
        <w:tc>
          <w:tcPr>
            <w:tcW w:w="2601" w:type="dxa"/>
          </w:tcPr>
          <w:p w14:paraId="37F5B6C2" w14:textId="77777777" w:rsidR="001F04FD" w:rsidRPr="00901A46" w:rsidRDefault="001F04FD" w:rsidP="00AC4DEE">
            <w:pPr>
              <w:pStyle w:val="TableBody"/>
              <w:rPr>
                <w:i/>
              </w:rPr>
            </w:pPr>
            <w:r w:rsidRPr="006624C0">
              <w:rPr>
                <w:i/>
              </w:rPr>
              <w:t>r</w:t>
            </w:r>
          </w:p>
        </w:tc>
        <w:tc>
          <w:tcPr>
            <w:tcW w:w="1272" w:type="dxa"/>
          </w:tcPr>
          <w:p w14:paraId="6871079E" w14:textId="77777777" w:rsidR="001F04FD" w:rsidRPr="00901A46" w:rsidRDefault="001F04FD" w:rsidP="00AC4DEE">
            <w:pPr>
              <w:pStyle w:val="TableBody"/>
            </w:pPr>
            <w:r w:rsidRPr="006624C0">
              <w:t>none</w:t>
            </w:r>
          </w:p>
        </w:tc>
        <w:tc>
          <w:tcPr>
            <w:tcW w:w="6182" w:type="dxa"/>
          </w:tcPr>
          <w:p w14:paraId="533E1BC1" w14:textId="77777777" w:rsidR="00091181" w:rsidRPr="00901A46" w:rsidRDefault="001F04FD" w:rsidP="00AC4DEE">
            <w:pPr>
              <w:pStyle w:val="TableBody"/>
              <w:rPr>
                <w:lang w:val="fr-FR"/>
              </w:rPr>
            </w:pPr>
            <w:r w:rsidRPr="006624C0">
              <w:rPr>
                <w:lang w:val="fr-FR"/>
              </w:rPr>
              <w:t>A non-exempt, non-IRR.</w:t>
            </w:r>
          </w:p>
          <w:p w14:paraId="7742955C" w14:textId="77777777" w:rsidR="001F04FD" w:rsidRPr="00901A46" w:rsidRDefault="001F04FD" w:rsidP="00AC4DEE">
            <w:pPr>
              <w:pStyle w:val="TableBody"/>
              <w:rPr>
                <w:lang w:val="fr-FR"/>
              </w:rPr>
            </w:pPr>
          </w:p>
        </w:tc>
      </w:tr>
      <w:tr w:rsidR="001F04FD" w:rsidRPr="00901A46" w14:paraId="1438E3C8" w14:textId="77777777" w:rsidTr="00BA3F0D">
        <w:trPr>
          <w:cantSplit/>
        </w:trPr>
        <w:tc>
          <w:tcPr>
            <w:tcW w:w="2601" w:type="dxa"/>
          </w:tcPr>
          <w:p w14:paraId="60B673A2" w14:textId="77777777" w:rsidR="001F04FD" w:rsidRPr="00901A46" w:rsidRDefault="001F04FD" w:rsidP="00AC4DEE">
            <w:pPr>
              <w:pStyle w:val="TableBody"/>
              <w:rPr>
                <w:i/>
              </w:rPr>
            </w:pPr>
            <w:r w:rsidRPr="006624C0">
              <w:rPr>
                <w:i/>
              </w:rPr>
              <w:t>y</w:t>
            </w:r>
          </w:p>
        </w:tc>
        <w:tc>
          <w:tcPr>
            <w:tcW w:w="1272" w:type="dxa"/>
          </w:tcPr>
          <w:p w14:paraId="527EFC4C" w14:textId="77777777" w:rsidR="001F04FD" w:rsidRPr="00901A46" w:rsidRDefault="001F04FD" w:rsidP="00AC4DEE">
            <w:pPr>
              <w:pStyle w:val="TableBody"/>
            </w:pPr>
            <w:r w:rsidRPr="006624C0">
              <w:t>none</w:t>
            </w:r>
          </w:p>
        </w:tc>
        <w:tc>
          <w:tcPr>
            <w:tcW w:w="6182" w:type="dxa"/>
          </w:tcPr>
          <w:p w14:paraId="6CA1BF68" w14:textId="77777777" w:rsidR="001F04FD" w:rsidRPr="00901A46" w:rsidRDefault="001F04FD" w:rsidP="00AC4DEE">
            <w:pPr>
              <w:pStyle w:val="TableBody"/>
              <w:rPr>
                <w:lang w:val="fr-FR"/>
              </w:rPr>
            </w:pPr>
            <w:r w:rsidRPr="006624C0">
              <w:t xml:space="preserve">A five-minute clock interval in the Settlement Interval. </w:t>
            </w:r>
          </w:p>
        </w:tc>
      </w:tr>
      <w:tr w:rsidR="001F04FD" w:rsidRPr="00901A46" w14:paraId="78B6E301" w14:textId="77777777" w:rsidTr="00BA3F0D">
        <w:trPr>
          <w:cantSplit/>
        </w:trPr>
        <w:tc>
          <w:tcPr>
            <w:tcW w:w="2601" w:type="dxa"/>
          </w:tcPr>
          <w:p w14:paraId="658731D1" w14:textId="77777777" w:rsidR="001F04FD" w:rsidRPr="00901A46" w:rsidRDefault="001F04FD" w:rsidP="00AC4DEE">
            <w:pPr>
              <w:pStyle w:val="TableBody"/>
              <w:rPr>
                <w:i/>
              </w:rPr>
            </w:pPr>
            <w:r w:rsidRPr="006624C0">
              <w:rPr>
                <w:i/>
              </w:rPr>
              <w:t>i</w:t>
            </w:r>
          </w:p>
        </w:tc>
        <w:tc>
          <w:tcPr>
            <w:tcW w:w="1272" w:type="dxa"/>
          </w:tcPr>
          <w:p w14:paraId="0E8F07AE" w14:textId="77777777" w:rsidR="001F04FD" w:rsidRPr="00901A46" w:rsidRDefault="001F04FD" w:rsidP="00AC4DEE">
            <w:pPr>
              <w:pStyle w:val="TableBody"/>
            </w:pPr>
            <w:r w:rsidRPr="006624C0">
              <w:t>none</w:t>
            </w:r>
          </w:p>
        </w:tc>
        <w:tc>
          <w:tcPr>
            <w:tcW w:w="6182" w:type="dxa"/>
          </w:tcPr>
          <w:p w14:paraId="20264F24" w14:textId="77777777" w:rsidR="001F04FD" w:rsidRPr="00901A46" w:rsidRDefault="001F04FD" w:rsidP="00AC4DEE">
            <w:pPr>
              <w:pStyle w:val="TableBody"/>
            </w:pPr>
            <w:r w:rsidRPr="006624C0">
              <w:t>A 15-minute Settlement Interval.</w:t>
            </w:r>
          </w:p>
        </w:tc>
      </w:tr>
      <w:tr w:rsidR="00091181" w:rsidRPr="00901A46" w14:paraId="59438E1B" w14:textId="27B2ACCD" w:rsidTr="00BA3F0D">
        <w:trPr>
          <w:cantSplit/>
        </w:trPr>
        <w:tc>
          <w:tcPr>
            <w:tcW w:w="10055" w:type="dxa"/>
            <w:gridSpan w:val="3"/>
          </w:tcPr>
          <w:p w14:paraId="53149FCE" w14:textId="1C669D71" w:rsidR="00091181" w:rsidRPr="006624C0" w:rsidRDefault="00091181" w:rsidP="00AC4DEE">
            <w:pPr>
              <w:pStyle w:val="TableBody"/>
            </w:pPr>
          </w:p>
        </w:tc>
      </w:tr>
    </w:tbl>
    <w:p w14:paraId="4A5230EB" w14:textId="77777777" w:rsidR="00AC1609" w:rsidRDefault="00AC1609"/>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C1609" w14:paraId="40255D88" w14:textId="77777777" w:rsidTr="005755D9">
        <w:tc>
          <w:tcPr>
            <w:tcW w:w="10055" w:type="dxa"/>
            <w:tcBorders>
              <w:top w:val="single" w:sz="4" w:space="0" w:color="auto"/>
              <w:left w:val="single" w:sz="4" w:space="0" w:color="auto"/>
              <w:bottom w:val="single" w:sz="4" w:space="0" w:color="auto"/>
              <w:right w:val="single" w:sz="4" w:space="0" w:color="auto"/>
            </w:tcBorders>
            <w:shd w:val="pct12" w:color="auto" w:fill="auto"/>
          </w:tcPr>
          <w:p w14:paraId="5052EA9E" w14:textId="7A992F58" w:rsidR="00AC1609" w:rsidRDefault="00AC1609" w:rsidP="00AB2BB6">
            <w:pPr>
              <w:pStyle w:val="Instructions"/>
              <w:spacing w:before="120"/>
            </w:pPr>
            <w:bookmarkStart w:id="2104" w:name="_Toc402357153"/>
            <w:bookmarkStart w:id="2105" w:name="_Toc422486533"/>
            <w:bookmarkStart w:id="2106" w:name="_Toc433093386"/>
            <w:bookmarkStart w:id="2107" w:name="_Toc433093544"/>
            <w:bookmarkStart w:id="2108" w:name="_Toc440874774"/>
            <w:bookmarkStart w:id="2109" w:name="_Toc448142331"/>
            <w:bookmarkStart w:id="2110" w:name="_Toc448142488"/>
            <w:bookmarkStart w:id="2111" w:name="_Toc458770329"/>
            <w:bookmarkStart w:id="2112" w:name="_Toc459294297"/>
            <w:bookmarkStart w:id="2113" w:name="_Toc463262790"/>
            <w:bookmarkStart w:id="2114" w:name="_Toc468286863"/>
            <w:bookmarkStart w:id="2115" w:name="_Toc481502903"/>
            <w:bookmarkStart w:id="2116" w:name="_Toc496080071"/>
            <w:r>
              <w:t>[NPRR879</w:t>
            </w:r>
            <w:r w:rsidR="005F232E">
              <w:t>,</w:t>
            </w:r>
            <w:r>
              <w:t xml:space="preserve"> NPRR963</w:t>
            </w:r>
            <w:r w:rsidR="005F232E">
              <w:t>, NPRR1010</w:t>
            </w:r>
            <w:r w:rsidR="008152FC">
              <w:t>, and NPRR1246</w:t>
            </w:r>
            <w:r>
              <w:t>:  Replace applicable portions of Section 6.6.5.1.1.2 above with the following upon system implementation</w:t>
            </w:r>
            <w:r w:rsidR="005F232E">
              <w:t xml:space="preserve"> for NPRR879 or NPRR963; or upon system implementation of the Real-Time Co-Optimization (RTC) project for NPRR1010</w:t>
            </w:r>
            <w:r w:rsidR="008152FC">
              <w:t xml:space="preserve"> and NPRR1246</w:t>
            </w:r>
            <w:r>
              <w:t>:]</w:t>
            </w:r>
          </w:p>
          <w:p w14:paraId="568F2BBB" w14:textId="490A2361" w:rsidR="00AC1609" w:rsidRPr="00AC1609" w:rsidRDefault="00AC1609" w:rsidP="00AC1609">
            <w:pPr>
              <w:keepNext/>
              <w:widowControl w:val="0"/>
              <w:tabs>
                <w:tab w:val="left" w:pos="1620"/>
              </w:tabs>
              <w:spacing w:before="480" w:after="240"/>
              <w:ind w:left="1627" w:hanging="1627"/>
              <w:outlineLvl w:val="4"/>
              <w:rPr>
                <w:b/>
                <w:bCs/>
                <w:snapToGrid w:val="0"/>
              </w:rPr>
            </w:pPr>
            <w:bookmarkStart w:id="2117" w:name="_Toc60040693"/>
            <w:bookmarkStart w:id="2118" w:name="_Toc65151752"/>
            <w:bookmarkStart w:id="2119" w:name="_Toc80174778"/>
            <w:bookmarkStart w:id="2120" w:name="_Toc112417658"/>
            <w:bookmarkStart w:id="2121" w:name="_Toc119310327"/>
            <w:bookmarkStart w:id="2122" w:name="_Toc125966260"/>
            <w:bookmarkStart w:id="2123" w:name="_Toc135992358"/>
            <w:bookmarkStart w:id="2124" w:name="_Toc170303554"/>
            <w:bookmarkStart w:id="2125" w:name="_Toc175157458"/>
            <w:bookmarkStart w:id="2126" w:name="_Toc189044431"/>
            <w:r w:rsidRPr="00AC1609">
              <w:rPr>
                <w:b/>
                <w:bCs/>
                <w:snapToGrid w:val="0"/>
              </w:rPr>
              <w:t>6.6.5.2.1</w:t>
            </w:r>
            <w:r w:rsidRPr="00AC1609">
              <w:rPr>
                <w:b/>
                <w:bCs/>
                <w:snapToGrid w:val="0"/>
              </w:rPr>
              <w:tab/>
            </w:r>
            <w:r w:rsidR="00057FF4">
              <w:rPr>
                <w:b/>
                <w:bCs/>
                <w:snapToGrid w:val="0"/>
              </w:rPr>
              <w:t>Set</w:t>
            </w:r>
            <w:r w:rsidRPr="00AC1609">
              <w:rPr>
                <w:b/>
                <w:bCs/>
                <w:snapToGrid w:val="0"/>
              </w:rPr>
              <w:t xml:space="preserve"> Point Deviation Charge for Under Generation</w:t>
            </w:r>
            <w:bookmarkEnd w:id="2117"/>
            <w:bookmarkEnd w:id="2118"/>
            <w:bookmarkEnd w:id="2119"/>
            <w:bookmarkEnd w:id="2120"/>
            <w:bookmarkEnd w:id="2121"/>
            <w:bookmarkEnd w:id="2122"/>
            <w:bookmarkEnd w:id="2123"/>
            <w:bookmarkEnd w:id="2124"/>
            <w:bookmarkEnd w:id="2125"/>
            <w:bookmarkEnd w:id="2126"/>
          </w:p>
          <w:p w14:paraId="4D8D92B4" w14:textId="76725F2D" w:rsidR="00AC1609" w:rsidRPr="00AC1609" w:rsidRDefault="00AC1609" w:rsidP="00AC1609">
            <w:pPr>
              <w:spacing w:after="240"/>
              <w:ind w:left="720" w:hanging="720"/>
            </w:pPr>
            <w:r w:rsidRPr="00AC1609">
              <w:t>(1)</w:t>
            </w:r>
            <w:r w:rsidRPr="00AC1609">
              <w:tab/>
              <w:t xml:space="preserve">ERCOT shall charge a QSE for a Generation Resource, including an IRR </w:t>
            </w:r>
            <w:r w:rsidR="00E0443F">
              <w:t>awarded</w:t>
            </w:r>
            <w:r w:rsidRPr="00AC1609">
              <w:t xml:space="preserve"> Ancillary Service for at least one SCED interval within the 15-minute Settlement Interval, for under-generation if the telemetered generation is below the lesser of:</w:t>
            </w:r>
          </w:p>
          <w:p w14:paraId="4B41E133" w14:textId="3FC8D9A3" w:rsidR="00AC1609" w:rsidRPr="00AC1609" w:rsidRDefault="00AC1609" w:rsidP="00AC1609">
            <w:pPr>
              <w:spacing w:after="240"/>
              <w:ind w:left="1440" w:hanging="720"/>
            </w:pPr>
            <w:r w:rsidRPr="00AC1609">
              <w:t>(a)</w:t>
            </w:r>
            <w:r w:rsidRPr="00AC1609">
              <w:tab/>
              <w:t xml:space="preserve">95% of the </w:t>
            </w:r>
            <w:r w:rsidR="00E0443F">
              <w:t>AASP</w:t>
            </w:r>
            <w:r w:rsidRPr="00AC1609">
              <w:t xml:space="preserve"> in the Settlement Interval; or</w:t>
            </w:r>
          </w:p>
          <w:p w14:paraId="39694B40" w14:textId="17520760" w:rsidR="00AC1609" w:rsidRPr="00AC1609" w:rsidRDefault="00AC1609" w:rsidP="00AC1609">
            <w:pPr>
              <w:spacing w:after="240"/>
              <w:ind w:left="1440" w:hanging="720"/>
            </w:pPr>
            <w:r w:rsidRPr="00AC1609">
              <w:t>(b)</w:t>
            </w:r>
            <w:r w:rsidRPr="00AC1609">
              <w:tab/>
              <w:t xml:space="preserve">The </w:t>
            </w:r>
            <w:r w:rsidR="00E0443F">
              <w:t>AASP</w:t>
            </w:r>
            <w:r w:rsidRPr="00AC1609">
              <w:t xml:space="preserve"> in the Settlement Interval minus five MW.</w:t>
            </w:r>
          </w:p>
          <w:p w14:paraId="1778BB68" w14:textId="0F107908" w:rsidR="00AC1609" w:rsidRPr="00AC1609" w:rsidRDefault="00AC1609" w:rsidP="00AC1609">
            <w:pPr>
              <w:spacing w:after="240"/>
              <w:ind w:left="720" w:hanging="720"/>
            </w:pPr>
            <w:r w:rsidRPr="00AC1609">
              <w:rPr>
                <w:iCs/>
              </w:rPr>
              <w:t>(2)</w:t>
            </w:r>
            <w:r w:rsidRPr="00AC1609">
              <w:rPr>
                <w:iCs/>
              </w:rPr>
              <w:tab/>
              <w:t xml:space="preserve">For instances in which an IRR is not </w:t>
            </w:r>
            <w:r w:rsidR="00E0443F">
              <w:rPr>
                <w:iCs/>
              </w:rPr>
              <w:t>awarded</w:t>
            </w:r>
            <w:r w:rsidRPr="00AC1609">
              <w:rPr>
                <w:iCs/>
              </w:rPr>
              <w:t xml:space="preserve"> Ancillary Service or is </w:t>
            </w:r>
            <w:r w:rsidR="00E0443F">
              <w:rPr>
                <w:iCs/>
              </w:rPr>
              <w:t xml:space="preserve">not </w:t>
            </w:r>
            <w:r w:rsidRPr="00AC1609">
              <w:rPr>
                <w:iCs/>
              </w:rPr>
              <w:t xml:space="preserve">part of an IRR Group in which </w:t>
            </w:r>
            <w:r w:rsidR="00E0443F">
              <w:rPr>
                <w:iCs/>
              </w:rPr>
              <w:t>an</w:t>
            </w:r>
            <w:r w:rsidRPr="00AC1609">
              <w:rPr>
                <w:iCs/>
              </w:rPr>
              <w:t xml:space="preserve"> IRR is </w:t>
            </w:r>
            <w:r w:rsidR="00E0443F">
              <w:rPr>
                <w:iCs/>
              </w:rPr>
              <w:t>awarded</w:t>
            </w:r>
            <w:r w:rsidRPr="00AC1609">
              <w:rPr>
                <w:iCs/>
              </w:rPr>
              <w:t xml:space="preserve"> Ancillary </w:t>
            </w:r>
            <w:r w:rsidRPr="00AC1609">
              <w:t>Service</w:t>
            </w:r>
            <w:r w:rsidRPr="00AC1609">
              <w:rPr>
                <w:iCs/>
              </w:rPr>
              <w:t xml:space="preserve"> for </w:t>
            </w:r>
            <w:r w:rsidR="00E0443F">
              <w:rPr>
                <w:iCs/>
              </w:rPr>
              <w:t>any</w:t>
            </w:r>
            <w:r w:rsidRPr="00AC1609">
              <w:rPr>
                <w:iCs/>
              </w:rPr>
              <w:t xml:space="preserve"> SCED interval within the 15-minute Settlement Interval, </w:t>
            </w:r>
            <w:r w:rsidR="00E0443F">
              <w:rPr>
                <w:iCs/>
              </w:rPr>
              <w:t>Set</w:t>
            </w:r>
            <w:r w:rsidRPr="00AC1609">
              <w:rPr>
                <w:iCs/>
              </w:rPr>
              <w:t xml:space="preserve"> Point Deviation Charges will be determined per Section 6.6.5.4, IRR Generation Resource </w:t>
            </w:r>
            <w:r w:rsidR="00E0443F">
              <w:rPr>
                <w:iCs/>
              </w:rPr>
              <w:t>Set</w:t>
            </w:r>
            <w:r w:rsidRPr="00AC1609">
              <w:rPr>
                <w:iCs/>
              </w:rPr>
              <w:t xml:space="preserve"> Point Deviation Charge.</w:t>
            </w:r>
          </w:p>
          <w:p w14:paraId="0DBA4081" w14:textId="00DA19D8" w:rsidR="00AC1609" w:rsidRPr="00AC1609" w:rsidRDefault="00AC1609" w:rsidP="00AC1609">
            <w:pPr>
              <w:spacing w:after="240"/>
              <w:ind w:left="720" w:hanging="720"/>
              <w:rPr>
                <w:iCs/>
              </w:rPr>
            </w:pPr>
            <w:r w:rsidRPr="00AC1609">
              <w:rPr>
                <w:iCs/>
              </w:rPr>
              <w:t>(3)</w:t>
            </w:r>
            <w:r w:rsidRPr="00AC1609">
              <w:rPr>
                <w:iCs/>
              </w:rPr>
              <w:tab/>
              <w:t>The under-generation charge to each QSE for each Generation Resource, that is not part of an IRR Group, at each Resource Node Settlement Point for a given 15-minute Settlement Interval is calculated as follows:</w:t>
            </w:r>
          </w:p>
          <w:p w14:paraId="3D493F6C" w14:textId="05FFE461" w:rsidR="00AC1609" w:rsidRPr="00AC1609" w:rsidRDefault="00E0443F" w:rsidP="00AC1609">
            <w:pPr>
              <w:tabs>
                <w:tab w:val="left" w:pos="2160"/>
                <w:tab w:val="left" w:pos="2880"/>
              </w:tabs>
              <w:spacing w:after="240"/>
              <w:ind w:leftChars="300" w:left="3611" w:hangingChars="1200" w:hanging="2891"/>
              <w:rPr>
                <w:b/>
                <w:bCs/>
                <w:szCs w:val="24"/>
              </w:rPr>
            </w:pPr>
            <w:r>
              <w:rPr>
                <w:b/>
                <w:bCs/>
                <w:szCs w:val="24"/>
              </w:rPr>
              <w:lastRenderedPageBreak/>
              <w:t>S</w:t>
            </w:r>
            <w:r w:rsidR="00AC1609" w:rsidRPr="00AC1609">
              <w:rPr>
                <w:b/>
                <w:bCs/>
                <w:szCs w:val="24"/>
              </w:rPr>
              <w:t xml:space="preserve">PDAMT </w:t>
            </w:r>
            <w:r w:rsidR="00AC1609" w:rsidRPr="00AC1609">
              <w:rPr>
                <w:b/>
                <w:bCs/>
                <w:i/>
                <w:iCs/>
                <w:szCs w:val="24"/>
                <w:vertAlign w:val="subscript"/>
                <w:lang w:val="es-ES"/>
              </w:rPr>
              <w:t>q, r, p, i</w:t>
            </w:r>
            <w:r w:rsidR="00AC1609" w:rsidRPr="00AC1609">
              <w:rPr>
                <w:b/>
                <w:bCs/>
                <w:szCs w:val="24"/>
              </w:rPr>
              <w:tab/>
              <w:t>=</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3E12F2AB" w14:textId="77777777" w:rsidR="00AC1609" w:rsidRPr="00AC1609" w:rsidRDefault="00AC1609" w:rsidP="00AC1609">
            <w:pPr>
              <w:tabs>
                <w:tab w:val="left" w:pos="2250"/>
                <w:tab w:val="left" w:pos="3150"/>
                <w:tab w:val="left" w:pos="3960"/>
              </w:tabs>
              <w:spacing w:after="240"/>
              <w:ind w:left="3960" w:hanging="3240"/>
              <w:rPr>
                <w:bCs/>
                <w:szCs w:val="24"/>
              </w:rPr>
            </w:pPr>
            <w:r w:rsidRPr="00AC1609">
              <w:rPr>
                <w:bCs/>
                <w:szCs w:val="24"/>
              </w:rPr>
              <w:t>Where:</w:t>
            </w:r>
          </w:p>
          <w:p w14:paraId="77F45B31" w14:textId="44E900C1" w:rsidR="00AC1609" w:rsidRPr="00AC1609" w:rsidRDefault="00AC1609" w:rsidP="00AC1609">
            <w:pPr>
              <w:spacing w:after="240"/>
              <w:ind w:left="720"/>
              <w:rPr>
                <w:i/>
                <w:iCs/>
                <w:vertAlign w:val="subscript"/>
                <w:lang w:val="es-ES"/>
              </w:rPr>
            </w:pPr>
            <w:r w:rsidRPr="00AC1609">
              <w:rPr>
                <w:iCs/>
              </w:rPr>
              <w:t>UGEN</w:t>
            </w:r>
            <w:r w:rsidRPr="00AC1609">
              <w:rPr>
                <w:i/>
                <w:iCs/>
                <w:vertAlign w:val="subscript"/>
                <w:lang w:val="es-ES"/>
              </w:rPr>
              <w:t xml:space="preserve"> q, r, p, i</w:t>
            </w:r>
            <w:r w:rsidRPr="00AC1609">
              <w:rPr>
                <w:iCs/>
              </w:rPr>
              <w:t xml:space="preserve">  =  Max [0, [Min ((1- K2) * ¼* AA</w:t>
            </w:r>
            <w:r w:rsidR="00E0443F">
              <w:rPr>
                <w:iCs/>
              </w:rPr>
              <w:t>S</w:t>
            </w:r>
            <w:r w:rsidRPr="00AC1609">
              <w:rPr>
                <w:iCs/>
              </w:rPr>
              <w:t>P</w:t>
            </w:r>
            <w:r w:rsidRPr="00AC1609">
              <w:rPr>
                <w:i/>
                <w:iCs/>
                <w:vertAlign w:val="subscript"/>
                <w:lang w:val="es-ES"/>
              </w:rPr>
              <w:t xml:space="preserve"> q, r, p, i </w:t>
            </w:r>
            <w:r w:rsidRPr="00AC1609">
              <w:rPr>
                <w:iCs/>
              </w:rPr>
              <w:t>,</w:t>
            </w:r>
            <w:r w:rsidRPr="00AC1609">
              <w:rPr>
                <w:i/>
                <w:iCs/>
                <w:vertAlign w:val="subscript"/>
                <w:lang w:val="es-ES"/>
              </w:rPr>
              <w:t xml:space="preserve">   </w:t>
            </w:r>
          </w:p>
          <w:p w14:paraId="745B552B" w14:textId="39CEC9B3" w:rsidR="00AC1609" w:rsidRPr="00AC1609" w:rsidRDefault="00AC1609" w:rsidP="00AC1609">
            <w:pPr>
              <w:spacing w:after="240"/>
              <w:ind w:left="720" w:hanging="720"/>
              <w:rPr>
                <w:iCs/>
              </w:rPr>
            </w:pPr>
            <w:r w:rsidRPr="00AC1609">
              <w:rPr>
                <w:iCs/>
                <w:lang w:val="es-MX"/>
              </w:rPr>
              <w:t xml:space="preserve">                                              ¼ * (AA</w:t>
            </w:r>
            <w:r w:rsidR="00E0443F">
              <w:rPr>
                <w:iCs/>
                <w:lang w:val="es-MX"/>
              </w:rPr>
              <w:t>S</w:t>
            </w:r>
            <w:r w:rsidRPr="00AC1609">
              <w:rPr>
                <w:iCs/>
                <w:lang w:val="es-MX"/>
              </w:rPr>
              <w:t>P</w:t>
            </w:r>
            <w:r w:rsidRPr="00AC1609">
              <w:rPr>
                <w:i/>
                <w:vertAlign w:val="subscript"/>
                <w:lang w:val="es-ES"/>
              </w:rPr>
              <w:t xml:space="preserve"> q, r, p, i  </w:t>
            </w:r>
            <w:r w:rsidRPr="00AC1609">
              <w:rPr>
                <w:iCs/>
              </w:rPr>
              <w:t xml:space="preserve">- Q2)) - TWTG </w:t>
            </w:r>
            <w:r w:rsidRPr="00AC1609">
              <w:rPr>
                <w:i/>
                <w:vertAlign w:val="subscript"/>
                <w:lang w:val="es-ES"/>
              </w:rPr>
              <w:t>q, r, p, i</w:t>
            </w:r>
            <w:r w:rsidRPr="00AC1609">
              <w:rPr>
                <w:iCs/>
              </w:rPr>
              <w:t>]]</w:t>
            </w:r>
          </w:p>
          <w:p w14:paraId="6EDF41E3" w14:textId="77777777" w:rsidR="00AC1609" w:rsidRPr="00AC1609" w:rsidRDefault="00AC1609" w:rsidP="00AC1609">
            <w:pPr>
              <w:tabs>
                <w:tab w:val="left" w:pos="2160"/>
                <w:tab w:val="left" w:pos="2880"/>
              </w:tabs>
              <w:spacing w:after="240"/>
              <w:ind w:leftChars="300" w:left="2880" w:hangingChars="900" w:hanging="2160"/>
              <w:rPr>
                <w:bCs/>
                <w:iCs/>
                <w:szCs w:val="24"/>
              </w:rPr>
            </w:pPr>
            <w:r w:rsidRPr="00AC1609">
              <w:rPr>
                <w:bCs/>
                <w:szCs w:val="24"/>
              </w:rPr>
              <w:t>TWTG</w:t>
            </w:r>
            <w:r w:rsidRPr="00AC1609">
              <w:rPr>
                <w:bCs/>
                <w:i/>
                <w:szCs w:val="24"/>
                <w:vertAlign w:val="subscript"/>
              </w:rPr>
              <w:t xml:space="preserve"> q, r, p, i</w:t>
            </w:r>
            <w:r w:rsidRPr="00AC1609">
              <w:rPr>
                <w:bCs/>
                <w:i/>
                <w:szCs w:val="24"/>
                <w:vertAlign w:val="subscript"/>
              </w:rPr>
              <w:tab/>
              <w:t>=</w:t>
            </w:r>
            <w:r w:rsidRPr="00AC1609">
              <w:rPr>
                <w:bCs/>
                <w:i/>
                <w:szCs w:val="24"/>
                <w:vertAlign w:val="subscript"/>
              </w:rPr>
              <w:tab/>
            </w:r>
            <w:r w:rsidRPr="00AC1609">
              <w:rPr>
                <w:bCs/>
                <w:szCs w:val="24"/>
              </w:rPr>
              <w:t>(</w:t>
            </w:r>
            <w:r w:rsidRPr="00AC1609">
              <w:rPr>
                <w:bCs/>
                <w:position w:val="-22"/>
                <w:szCs w:val="24"/>
              </w:rPr>
              <w:object w:dxaOrig="210" w:dyaOrig="450" w14:anchorId="46B0428C">
                <v:shape id="_x0000_i1186" type="#_x0000_t75" style="width:6pt;height:24pt" o:ole="">
                  <v:imagedata r:id="rId208" o:title=""/>
                </v:shape>
                <o:OLEObject Type="Embed" ProgID="Equation.3" ShapeID="_x0000_i1186" DrawAspect="Content" ObjectID="_1804653671" r:id="rId217"/>
              </w:object>
            </w:r>
            <w:r w:rsidRPr="00AC1609">
              <w:rPr>
                <w:bCs/>
                <w:szCs w:val="24"/>
              </w:rPr>
              <w:t xml:space="preserve"> (AVGTG5M</w:t>
            </w:r>
            <w:r w:rsidRPr="00AC1609">
              <w:rPr>
                <w:bCs/>
                <w:i/>
                <w:szCs w:val="24"/>
                <w:vertAlign w:val="subscript"/>
              </w:rPr>
              <w:t xml:space="preserve"> q, r, p, i, y</w:t>
            </w:r>
            <w:r w:rsidRPr="00AC1609">
              <w:rPr>
                <w:bCs/>
                <w:szCs w:val="24"/>
              </w:rPr>
              <w:t xml:space="preserve">) / 3) * </w:t>
            </w:r>
            <w:r w:rsidRPr="00AC1609">
              <w:rPr>
                <w:bCs/>
                <w:iCs/>
                <w:szCs w:val="24"/>
              </w:rPr>
              <w:t>¼</w:t>
            </w:r>
          </w:p>
          <w:p w14:paraId="05EF97A1" w14:textId="601FCBFC" w:rsidR="00AC1609" w:rsidRPr="00AC1609" w:rsidRDefault="00AC1609" w:rsidP="00AC1609">
            <w:pPr>
              <w:spacing w:after="240"/>
              <w:ind w:left="720" w:hanging="720"/>
              <w:rPr>
                <w:szCs w:val="24"/>
                <w:lang w:val="pt-BR"/>
              </w:rPr>
            </w:pPr>
            <w:r w:rsidRPr="00AC1609">
              <w:rPr>
                <w:iCs/>
                <w:szCs w:val="24"/>
              </w:rPr>
              <w:t>(4)</w:t>
            </w:r>
            <w:r w:rsidRPr="00AC1609">
              <w:rPr>
                <w:iCs/>
                <w:szCs w:val="24"/>
              </w:rPr>
              <w:tab/>
            </w:r>
            <w:r w:rsidRPr="00AC1609">
              <w:rPr>
                <w:szCs w:val="24"/>
                <w:lang w:val="pt-BR"/>
              </w:rPr>
              <w:t xml:space="preserve">If any IRR in an IRR Group is </w:t>
            </w:r>
            <w:r w:rsidR="00E0443F">
              <w:rPr>
                <w:szCs w:val="24"/>
                <w:lang w:val="pt-BR"/>
              </w:rPr>
              <w:t>awarded</w:t>
            </w:r>
            <w:r w:rsidRPr="00AC1609">
              <w:rPr>
                <w:szCs w:val="24"/>
                <w:lang w:val="pt-BR"/>
              </w:rPr>
              <w:t xml:space="preserve"> Ancillary Service</w:t>
            </w:r>
            <w:r w:rsidRPr="00AC1609">
              <w:rPr>
                <w:szCs w:val="24"/>
              </w:rPr>
              <w:t xml:space="preserve"> for at least one SCED interval within the 15-minute Settlement Interval</w:t>
            </w:r>
            <w:r w:rsidRPr="00AC1609">
              <w:rPr>
                <w:szCs w:val="24"/>
                <w:lang w:val="pt-BR"/>
              </w:rPr>
              <w:t>, then the deviation penalty is determined for the IRR Group and evenly allocated and charged to each IRR within that IRR Group as follows:</w:t>
            </w:r>
          </w:p>
          <w:p w14:paraId="5398C032" w14:textId="3EE16381" w:rsidR="00AC1609" w:rsidRPr="00AC1609" w:rsidRDefault="00E0443F" w:rsidP="00AC1609">
            <w:pPr>
              <w:tabs>
                <w:tab w:val="left" w:pos="2340"/>
                <w:tab w:val="left" w:pos="3420"/>
              </w:tabs>
              <w:spacing w:after="240"/>
              <w:ind w:left="3420" w:hanging="2700"/>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 xml:space="preserve">q, r, p, i   </w:t>
            </w:r>
            <w:r w:rsidR="00AC1609" w:rsidRPr="00AC1609">
              <w:rPr>
                <w:b/>
                <w:bCs/>
                <w:szCs w:val="24"/>
              </w:rPr>
              <w:t xml:space="preserve">   =</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26122DA9" w14:textId="77777777" w:rsidR="00AC1609" w:rsidRPr="00AC1609" w:rsidRDefault="00AC1609" w:rsidP="00AC1609">
            <w:pPr>
              <w:tabs>
                <w:tab w:val="left" w:pos="2340"/>
                <w:tab w:val="left" w:pos="3420"/>
              </w:tabs>
              <w:spacing w:after="240"/>
              <w:ind w:left="3420" w:hanging="2700"/>
              <w:rPr>
                <w:bCs/>
                <w:szCs w:val="24"/>
              </w:rPr>
            </w:pPr>
            <w:r w:rsidRPr="00AC1609">
              <w:rPr>
                <w:bCs/>
                <w:szCs w:val="24"/>
              </w:rPr>
              <w:t>Where:</w:t>
            </w:r>
          </w:p>
          <w:p w14:paraId="226E6AA9" w14:textId="67B32759" w:rsidR="00AC1609" w:rsidRPr="00AC1609" w:rsidRDefault="00AC1609" w:rsidP="00AC1609">
            <w:pPr>
              <w:spacing w:after="240"/>
              <w:ind w:left="720"/>
              <w:rPr>
                <w:i/>
                <w:iCs/>
                <w:szCs w:val="24"/>
                <w:vertAlign w:val="subscript"/>
                <w:lang w:val="es-ES"/>
              </w:rPr>
            </w:pPr>
            <w:r w:rsidRPr="00AC1609">
              <w:rPr>
                <w:szCs w:val="24"/>
              </w:rPr>
              <w:t>UGEN</w:t>
            </w:r>
            <w:r w:rsidRPr="00AC1609">
              <w:rPr>
                <w:i/>
                <w:iCs/>
                <w:szCs w:val="24"/>
                <w:vertAlign w:val="subscript"/>
                <w:lang w:val="es-ES"/>
              </w:rPr>
              <w:t xml:space="preserve"> q, r, p, i </w:t>
            </w:r>
            <w:r w:rsidRPr="00AC1609">
              <w:rPr>
                <w:szCs w:val="24"/>
              </w:rPr>
              <w:t xml:space="preserve">    = </w:t>
            </w:r>
            <w:r w:rsidRPr="00AC1609">
              <w:rPr>
                <w:szCs w:val="24"/>
              </w:rPr>
              <w:tab/>
              <w:t xml:space="preserve">Max </w:t>
            </w:r>
            <w:r w:rsidRPr="00AC1609">
              <w:rPr>
                <w:iCs/>
                <w:szCs w:val="24"/>
              </w:rPr>
              <w:t>[0, [Min ((1 - K2) * ¼* AA</w:t>
            </w:r>
            <w:r w:rsidR="00E0443F">
              <w:rPr>
                <w:iCs/>
                <w:szCs w:val="24"/>
              </w:rPr>
              <w:t>S</w:t>
            </w:r>
            <w:r w:rsidRPr="00AC1609">
              <w:rPr>
                <w:iCs/>
                <w:szCs w:val="24"/>
              </w:rPr>
              <w:t>P</w:t>
            </w:r>
            <w:r w:rsidRPr="00AC1609">
              <w:rPr>
                <w:i/>
                <w:iCs/>
                <w:szCs w:val="24"/>
                <w:vertAlign w:val="subscript"/>
                <w:lang w:val="es-ES"/>
              </w:rPr>
              <w:t xml:space="preserve"> q, wg, p, i </w:t>
            </w:r>
            <w:r w:rsidRPr="00AC1609">
              <w:rPr>
                <w:iCs/>
                <w:szCs w:val="24"/>
              </w:rPr>
              <w:t>,</w:t>
            </w:r>
            <w:r w:rsidRPr="00AC1609">
              <w:rPr>
                <w:i/>
                <w:iCs/>
                <w:szCs w:val="24"/>
                <w:vertAlign w:val="subscript"/>
                <w:lang w:val="es-ES"/>
              </w:rPr>
              <w:t xml:space="preserve">   </w:t>
            </w:r>
          </w:p>
          <w:p w14:paraId="00FEAD11" w14:textId="5EF97937" w:rsidR="00AC1609" w:rsidRPr="00AC1609" w:rsidRDefault="00AC1609" w:rsidP="00AC1609">
            <w:pPr>
              <w:spacing w:after="240"/>
              <w:ind w:left="720" w:hanging="720"/>
              <w:rPr>
                <w:iCs/>
                <w:szCs w:val="24"/>
              </w:rPr>
            </w:pPr>
            <w:r w:rsidRPr="00AC1609">
              <w:rPr>
                <w:iCs/>
                <w:szCs w:val="24"/>
                <w:lang w:val="es-MX"/>
              </w:rPr>
              <w:t xml:space="preserve">                                             </w:t>
            </w:r>
            <w:r w:rsidRPr="00AC1609">
              <w:rPr>
                <w:iCs/>
                <w:szCs w:val="24"/>
                <w:lang w:val="es-MX"/>
              </w:rPr>
              <w:tab/>
              <w:t xml:space="preserve"> ¼ * (AA</w:t>
            </w:r>
            <w:r w:rsidR="00E0443F">
              <w:rPr>
                <w:iCs/>
                <w:szCs w:val="24"/>
                <w:lang w:val="es-MX"/>
              </w:rPr>
              <w:t>S</w:t>
            </w:r>
            <w:r w:rsidRPr="00AC1609">
              <w:rPr>
                <w:iCs/>
                <w:szCs w:val="24"/>
                <w:lang w:val="es-MX"/>
              </w:rPr>
              <w:t>P</w:t>
            </w:r>
            <w:r w:rsidRPr="00AC1609">
              <w:rPr>
                <w:i/>
                <w:szCs w:val="24"/>
                <w:vertAlign w:val="subscript"/>
                <w:lang w:val="es-ES"/>
              </w:rPr>
              <w:t xml:space="preserve"> q, wg, p, i  </w:t>
            </w:r>
            <w:r w:rsidRPr="00AC1609">
              <w:rPr>
                <w:iCs/>
                <w:szCs w:val="24"/>
              </w:rPr>
              <w:t xml:space="preserve">- Q2)) - TWTG </w:t>
            </w:r>
            <w:r w:rsidRPr="00AC1609">
              <w:rPr>
                <w:i/>
                <w:szCs w:val="24"/>
                <w:vertAlign w:val="subscript"/>
                <w:lang w:val="es-ES"/>
              </w:rPr>
              <w:t>q, wg, p, i</w:t>
            </w:r>
            <w:r w:rsidRPr="00AC1609">
              <w:rPr>
                <w:iCs/>
                <w:szCs w:val="24"/>
              </w:rPr>
              <w:t>]] / N</w:t>
            </w:r>
          </w:p>
          <w:p w14:paraId="45420638" w14:textId="56DAFE86" w:rsidR="00AC1609" w:rsidRPr="00AC1609" w:rsidRDefault="00AC1609" w:rsidP="00AC1609">
            <w:pPr>
              <w:spacing w:after="240"/>
              <w:ind w:left="720"/>
              <w:rPr>
                <w:szCs w:val="24"/>
              </w:rPr>
            </w:pPr>
            <w:r w:rsidRPr="00AC1609">
              <w:rPr>
                <w:szCs w:val="24"/>
              </w:rPr>
              <w:t>TWTG</w:t>
            </w:r>
            <w:r w:rsidRPr="00AC1609">
              <w:rPr>
                <w:i/>
                <w:szCs w:val="24"/>
                <w:vertAlign w:val="subscript"/>
              </w:rPr>
              <w:t xml:space="preserve"> q, wg, p, i</w:t>
            </w:r>
            <w:r w:rsidRPr="00AC1609">
              <w:rPr>
                <w:i/>
                <w:szCs w:val="24"/>
                <w:vertAlign w:val="subscript"/>
              </w:rPr>
              <w:tab/>
              <w:t xml:space="preserve">  </w:t>
            </w:r>
            <w:r w:rsidRPr="00AC1609">
              <w:rPr>
                <w:szCs w:val="24"/>
              </w:rPr>
              <w:t>=</w:t>
            </w:r>
            <w:r w:rsidRPr="00AC1609">
              <w:rPr>
                <w:i/>
                <w:szCs w:val="24"/>
                <w:vertAlign w:val="subscript"/>
              </w:rPr>
              <w:tab/>
            </w:r>
            <w:r w:rsidRPr="00AC1609">
              <w:rPr>
                <w:b/>
                <w:noProof/>
                <w:position w:val="-18"/>
                <w:szCs w:val="24"/>
              </w:rPr>
              <w:drawing>
                <wp:inline distT="0" distB="0" distL="0" distR="0" wp14:anchorId="72F5DFEE" wp14:editId="11E9F14E">
                  <wp:extent cx="135255" cy="246380"/>
                  <wp:effectExtent l="0" t="0" r="0"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szCs w:val="24"/>
              </w:rPr>
              <w:t xml:space="preserve"> (</w:t>
            </w:r>
            <w:r w:rsidRPr="00AC1609">
              <w:rPr>
                <w:b/>
                <w:noProof/>
                <w:position w:val="-22"/>
                <w:szCs w:val="24"/>
              </w:rPr>
              <w:drawing>
                <wp:inline distT="0" distB="0" distL="0" distR="0" wp14:anchorId="5D9C9CF4" wp14:editId="27E3E92E">
                  <wp:extent cx="135255" cy="28638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rsidRPr="00AC1609">
              <w:rPr>
                <w:szCs w:val="24"/>
              </w:rPr>
              <w:t xml:space="preserve"> (AVGTG5M</w:t>
            </w:r>
            <w:r w:rsidRPr="00AC1609">
              <w:rPr>
                <w:i/>
                <w:szCs w:val="24"/>
                <w:vertAlign w:val="subscript"/>
              </w:rPr>
              <w:t xml:space="preserve"> q, r, p, i, y</w:t>
            </w:r>
            <w:r w:rsidRPr="00AC1609">
              <w:rPr>
                <w:szCs w:val="24"/>
              </w:rPr>
              <w:t>)</w:t>
            </w:r>
            <w:r w:rsidRPr="00AC1609">
              <w:rPr>
                <w:rFonts w:ascii="Times New Roman Bold" w:hAnsi="Times New Roman Bold"/>
                <w:szCs w:val="24"/>
              </w:rPr>
              <w:t xml:space="preserve"> / </w:t>
            </w:r>
            <w:r w:rsidRPr="00AC1609">
              <w:rPr>
                <w:szCs w:val="24"/>
              </w:rPr>
              <w:t>3)</w:t>
            </w:r>
            <w:r w:rsidRPr="00AC1609">
              <w:rPr>
                <w:rFonts w:ascii="Times New Roman Bold" w:hAnsi="Times New Roman Bold"/>
                <w:szCs w:val="24"/>
              </w:rPr>
              <w:t xml:space="preserve"> </w:t>
            </w:r>
            <w:r w:rsidRPr="00AC1609">
              <w:rPr>
                <w:szCs w:val="24"/>
              </w:rPr>
              <w:t>*</w:t>
            </w:r>
            <w:r w:rsidRPr="00AC1609">
              <w:rPr>
                <w:rFonts w:ascii="Times New Roman Bold" w:hAnsi="Times New Roman Bold"/>
                <w:szCs w:val="24"/>
              </w:rPr>
              <w:t xml:space="preserve"> </w:t>
            </w:r>
            <w:r w:rsidRPr="00AC1609">
              <w:rPr>
                <w:rFonts w:hint="eastAsia"/>
                <w:szCs w:val="24"/>
              </w:rPr>
              <w:t>¼</w:t>
            </w:r>
          </w:p>
          <w:p w14:paraId="10F57029" w14:textId="1E0C7C94" w:rsidR="00AC1609" w:rsidRPr="00AC1609" w:rsidRDefault="00AC1609" w:rsidP="00AC1609">
            <w:pPr>
              <w:tabs>
                <w:tab w:val="left" w:pos="2160"/>
                <w:tab w:val="left" w:pos="2880"/>
              </w:tabs>
              <w:spacing w:after="240"/>
              <w:ind w:leftChars="300" w:left="2880" w:hangingChars="900" w:hanging="2160"/>
              <w:rPr>
                <w:bCs/>
                <w:szCs w:val="24"/>
              </w:rPr>
            </w:pPr>
            <w:r w:rsidRPr="00AC1609">
              <w:rPr>
                <w:bCs/>
                <w:szCs w:val="24"/>
                <w:lang w:val="es-ES"/>
              </w:rPr>
              <w:t>AA</w:t>
            </w:r>
            <w:r w:rsidR="00E0443F">
              <w:rPr>
                <w:bCs/>
                <w:szCs w:val="24"/>
                <w:lang w:val="es-ES"/>
              </w:rPr>
              <w:t>S</w:t>
            </w:r>
            <w:r w:rsidRPr="00AC1609">
              <w:rPr>
                <w:bCs/>
                <w:szCs w:val="24"/>
                <w:lang w:val="es-ES"/>
              </w:rPr>
              <w:t>P</w:t>
            </w:r>
            <w:r w:rsidRPr="00AC1609">
              <w:rPr>
                <w:bCs/>
                <w:i/>
                <w:szCs w:val="24"/>
                <w:vertAlign w:val="subscript"/>
                <w:lang w:val="pt-BR"/>
              </w:rPr>
              <w:t xml:space="preserve"> q, wg, p, i       </w:t>
            </w:r>
            <w:r w:rsidRPr="00AC1609">
              <w:rPr>
                <w:bCs/>
                <w:szCs w:val="24"/>
                <w:lang w:val="pt-BR"/>
              </w:rPr>
              <w:t xml:space="preserve">= </w:t>
            </w:r>
            <w:r w:rsidRPr="00AC1609">
              <w:rPr>
                <w:bCs/>
                <w:szCs w:val="24"/>
                <w:lang w:val="pt-BR"/>
              </w:rPr>
              <w:tab/>
            </w:r>
            <w:r w:rsidRPr="00AC1609">
              <w:rPr>
                <w:bCs/>
                <w:noProof/>
                <w:position w:val="-18"/>
                <w:szCs w:val="24"/>
              </w:rPr>
              <w:drawing>
                <wp:inline distT="0" distB="0" distL="0" distR="0" wp14:anchorId="5C3E2145" wp14:editId="36423204">
                  <wp:extent cx="135255" cy="246380"/>
                  <wp:effectExtent l="0" t="0" r="0"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bCs/>
                <w:szCs w:val="24"/>
                <w:lang w:val="es-ES"/>
              </w:rPr>
              <w:t>(</w:t>
            </w:r>
            <w:r w:rsidRPr="00AC1609">
              <w:rPr>
                <w:bCs/>
                <w:szCs w:val="24"/>
                <w:lang w:val="pt-BR"/>
              </w:rPr>
              <w:t>AA</w:t>
            </w:r>
            <w:r w:rsidR="00E0443F">
              <w:rPr>
                <w:bCs/>
                <w:szCs w:val="24"/>
                <w:lang w:val="pt-BR"/>
              </w:rPr>
              <w:t>S</w:t>
            </w:r>
            <w:r w:rsidRPr="00AC1609">
              <w:rPr>
                <w:bCs/>
                <w:szCs w:val="24"/>
                <w:lang w:val="pt-BR"/>
              </w:rPr>
              <w:t>P</w:t>
            </w:r>
            <w:r w:rsidRPr="00AC1609">
              <w:rPr>
                <w:bCs/>
                <w:i/>
                <w:szCs w:val="24"/>
                <w:vertAlign w:val="subscript"/>
                <w:lang w:val="pt-BR"/>
              </w:rPr>
              <w:t xml:space="preserve"> q, r, p, i</w:t>
            </w:r>
            <w:r w:rsidRPr="00AC1609">
              <w:rPr>
                <w:bCs/>
                <w:szCs w:val="24"/>
                <w:lang w:val="pt-BR"/>
              </w:rPr>
              <w:t>)</w:t>
            </w:r>
          </w:p>
          <w:p w14:paraId="32DC7D5B" w14:textId="77777777" w:rsidR="00AC1609" w:rsidRPr="00AC1609" w:rsidRDefault="00AC1609" w:rsidP="00AC1609">
            <w:pPr>
              <w:rPr>
                <w:szCs w:val="24"/>
              </w:rPr>
            </w:pPr>
            <w:r w:rsidRPr="00AC1609">
              <w:rPr>
                <w:szCs w:val="24"/>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175930" w:rsidRPr="00901A46" w14:paraId="2602A569" w14:textId="77777777" w:rsidTr="00AB2BB6">
              <w:tc>
                <w:tcPr>
                  <w:tcW w:w="2588" w:type="dxa"/>
                </w:tcPr>
                <w:p w14:paraId="33D752AA" w14:textId="77777777" w:rsidR="00175930" w:rsidRPr="00901A46" w:rsidRDefault="00175930" w:rsidP="00175930">
                  <w:pPr>
                    <w:pStyle w:val="TableHead"/>
                  </w:pPr>
                  <w:r w:rsidRPr="006624C0">
                    <w:t>Variable</w:t>
                  </w:r>
                </w:p>
              </w:tc>
              <w:tc>
                <w:tcPr>
                  <w:tcW w:w="1372" w:type="dxa"/>
                </w:tcPr>
                <w:p w14:paraId="668B1BF2" w14:textId="77777777" w:rsidR="00175930" w:rsidRPr="00901A46" w:rsidRDefault="00175930" w:rsidP="00175930">
                  <w:pPr>
                    <w:pStyle w:val="TableHead"/>
                  </w:pPr>
                  <w:r w:rsidRPr="006624C0">
                    <w:t>Unit</w:t>
                  </w:r>
                </w:p>
              </w:tc>
              <w:tc>
                <w:tcPr>
                  <w:tcW w:w="5869" w:type="dxa"/>
                </w:tcPr>
                <w:p w14:paraId="01BC0B1A" w14:textId="77777777" w:rsidR="00175930" w:rsidRPr="00901A46" w:rsidRDefault="00175930" w:rsidP="00175930">
                  <w:pPr>
                    <w:pStyle w:val="TableHead"/>
                  </w:pPr>
                  <w:r w:rsidRPr="006624C0">
                    <w:t>Definition</w:t>
                  </w:r>
                </w:p>
              </w:tc>
            </w:tr>
            <w:tr w:rsidR="00175930" w:rsidRPr="00901A46" w14:paraId="2E9AB539" w14:textId="77777777" w:rsidTr="00AB2BB6">
              <w:trPr>
                <w:cantSplit/>
              </w:trPr>
              <w:tc>
                <w:tcPr>
                  <w:tcW w:w="2588" w:type="dxa"/>
                </w:tcPr>
                <w:p w14:paraId="4E907321" w14:textId="601404C4" w:rsidR="00175930" w:rsidRPr="00901A46" w:rsidRDefault="00E0443F" w:rsidP="00175930">
                  <w:pPr>
                    <w:pStyle w:val="TableBody"/>
                  </w:pPr>
                  <w:r>
                    <w:t>S</w:t>
                  </w:r>
                  <w:r w:rsidR="00175930" w:rsidRPr="006624C0">
                    <w:t xml:space="preserve">PDAMT </w:t>
                  </w:r>
                  <w:r w:rsidR="00175930" w:rsidRPr="006624C0">
                    <w:rPr>
                      <w:i/>
                      <w:vertAlign w:val="subscript"/>
                    </w:rPr>
                    <w:t>q, r, p, i</w:t>
                  </w:r>
                </w:p>
              </w:tc>
              <w:tc>
                <w:tcPr>
                  <w:tcW w:w="1372" w:type="dxa"/>
                </w:tcPr>
                <w:p w14:paraId="169D9C7F" w14:textId="77777777" w:rsidR="00175930" w:rsidRPr="00901A46" w:rsidRDefault="00175930" w:rsidP="00175930">
                  <w:pPr>
                    <w:pStyle w:val="TableBody"/>
                  </w:pPr>
                  <w:r w:rsidRPr="006624C0">
                    <w:t>$</w:t>
                  </w:r>
                </w:p>
              </w:tc>
              <w:tc>
                <w:tcPr>
                  <w:tcW w:w="5869" w:type="dxa"/>
                </w:tcPr>
                <w:p w14:paraId="37897001" w14:textId="459DAD8E" w:rsidR="00175930" w:rsidRPr="00901A46" w:rsidRDefault="00E0443F" w:rsidP="00E0443F">
                  <w:pPr>
                    <w:pStyle w:val="TableBody"/>
                  </w:pPr>
                  <w:r>
                    <w:rPr>
                      <w:i/>
                    </w:rPr>
                    <w:t>Set</w:t>
                  </w:r>
                  <w:r w:rsidR="00175930" w:rsidRPr="006624C0">
                    <w:rPr>
                      <w:i/>
                    </w:rPr>
                    <w:t xml:space="preserve"> Point Deviation Charge per QSE per Settlement Point per Resource</w:t>
                  </w:r>
                  <w:r w:rsidR="00175930" w:rsidRPr="006624C0">
                    <w:t xml:space="preserve">—The charge to QSE </w:t>
                  </w:r>
                  <w:r w:rsidR="00175930" w:rsidRPr="006624C0">
                    <w:rPr>
                      <w:i/>
                    </w:rPr>
                    <w:t>q</w:t>
                  </w:r>
                  <w:r w:rsidR="00175930" w:rsidRPr="006624C0">
                    <w:t xml:space="preserve"> for Generation Resource </w:t>
                  </w:r>
                  <w:r w:rsidR="00175930" w:rsidRPr="006624C0">
                    <w:rPr>
                      <w:i/>
                    </w:rPr>
                    <w:t>r</w:t>
                  </w:r>
                  <w:r w:rsidR="00175930" w:rsidRPr="006624C0">
                    <w:t xml:space="preserve"> at Resource Node </w:t>
                  </w:r>
                  <w:r w:rsidR="00175930" w:rsidRPr="006624C0">
                    <w:rPr>
                      <w:i/>
                    </w:rPr>
                    <w:t>p</w:t>
                  </w:r>
                  <w:r w:rsidR="00175930" w:rsidRPr="006624C0">
                    <w:t xml:space="preserve">, for its deviation from </w:t>
                  </w:r>
                  <w:r>
                    <w:t>AASP</w:t>
                  </w:r>
                  <w:r w:rsidR="00175930" w:rsidRPr="006624C0">
                    <w:t xml:space="preserve">, for the 15-minute Settlement Interval </w:t>
                  </w:r>
                  <w:r w:rsidR="00175930" w:rsidRPr="006624C0">
                    <w:rPr>
                      <w:i/>
                    </w:rPr>
                    <w:t>i</w:t>
                  </w:r>
                  <w:r w:rsidR="00175930" w:rsidRPr="006624C0">
                    <w:t xml:space="preserve">.  A </w:t>
                  </w:r>
                  <w:r>
                    <w:t>Set</w:t>
                  </w:r>
                  <w:r w:rsidR="00175930" w:rsidRPr="006624C0">
                    <w:t xml:space="preserve"> Point Deviation Charge is charged to the Combined Cycle Train for all Combined Cycle Generation Resources.</w:t>
                  </w:r>
                </w:p>
              </w:tc>
            </w:tr>
            <w:tr w:rsidR="00175930" w:rsidRPr="00901A46" w14:paraId="261B8156" w14:textId="77777777" w:rsidTr="00AB2BB6">
              <w:trPr>
                <w:cantSplit/>
              </w:trPr>
              <w:tc>
                <w:tcPr>
                  <w:tcW w:w="2588" w:type="dxa"/>
                </w:tcPr>
                <w:p w14:paraId="002723E7" w14:textId="77777777" w:rsidR="00175930" w:rsidRPr="00901A46" w:rsidRDefault="00175930" w:rsidP="00175930">
                  <w:pPr>
                    <w:pStyle w:val="TableBody"/>
                  </w:pPr>
                  <w:r w:rsidRPr="006624C0">
                    <w:t xml:space="preserve">RTSPP </w:t>
                  </w:r>
                  <w:r w:rsidRPr="006624C0">
                    <w:rPr>
                      <w:i/>
                      <w:vertAlign w:val="subscript"/>
                    </w:rPr>
                    <w:t>p, i</w:t>
                  </w:r>
                </w:p>
              </w:tc>
              <w:tc>
                <w:tcPr>
                  <w:tcW w:w="1372" w:type="dxa"/>
                </w:tcPr>
                <w:p w14:paraId="78990060" w14:textId="77777777" w:rsidR="00175930" w:rsidRPr="00901A46" w:rsidRDefault="00175930" w:rsidP="00175930">
                  <w:pPr>
                    <w:pStyle w:val="TableBody"/>
                  </w:pPr>
                  <w:r w:rsidRPr="006624C0">
                    <w:t>$/MWh</w:t>
                  </w:r>
                </w:p>
              </w:tc>
              <w:tc>
                <w:tcPr>
                  <w:tcW w:w="5869" w:type="dxa"/>
                </w:tcPr>
                <w:p w14:paraId="20B04A34" w14:textId="77777777" w:rsidR="00175930" w:rsidRPr="00901A46" w:rsidRDefault="00175930" w:rsidP="00175930">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75930" w:rsidRPr="00901A46" w14:paraId="2FA5F7CD" w14:textId="77777777" w:rsidTr="00AB2BB6">
              <w:trPr>
                <w:cantSplit/>
              </w:trPr>
              <w:tc>
                <w:tcPr>
                  <w:tcW w:w="2588" w:type="dxa"/>
                </w:tcPr>
                <w:p w14:paraId="083D8EEC" w14:textId="77777777" w:rsidR="00175930" w:rsidRPr="00901A46" w:rsidRDefault="00175930" w:rsidP="00175930">
                  <w:pPr>
                    <w:pStyle w:val="TableBody"/>
                  </w:pPr>
                  <w:r w:rsidRPr="00901A46">
                    <w:t xml:space="preserve">TWTG </w:t>
                  </w:r>
                  <w:r w:rsidRPr="006624C0">
                    <w:rPr>
                      <w:i/>
                      <w:vertAlign w:val="subscript"/>
                    </w:rPr>
                    <w:t>q, r, p, i</w:t>
                  </w:r>
                </w:p>
              </w:tc>
              <w:tc>
                <w:tcPr>
                  <w:tcW w:w="1372" w:type="dxa"/>
                </w:tcPr>
                <w:p w14:paraId="3CA09C92" w14:textId="77777777" w:rsidR="00175930" w:rsidRPr="00901A46" w:rsidRDefault="00175930" w:rsidP="00175930">
                  <w:pPr>
                    <w:pStyle w:val="TableBody"/>
                  </w:pPr>
                  <w:r w:rsidRPr="00901A46">
                    <w:t>MWh</w:t>
                  </w:r>
                </w:p>
              </w:tc>
              <w:tc>
                <w:tcPr>
                  <w:tcW w:w="5869" w:type="dxa"/>
                </w:tcPr>
                <w:p w14:paraId="78A366A6" w14:textId="77777777" w:rsidR="00175930" w:rsidRPr="00901A46" w:rsidRDefault="00175930" w:rsidP="00175930">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75930" w:rsidRPr="00901A46" w14:paraId="4436F6CA" w14:textId="77777777" w:rsidTr="00AB2BB6">
              <w:trPr>
                <w:cantSplit/>
              </w:trPr>
              <w:tc>
                <w:tcPr>
                  <w:tcW w:w="2588" w:type="dxa"/>
                </w:tcPr>
                <w:p w14:paraId="0D2032F1" w14:textId="4D17FA20" w:rsidR="00175930" w:rsidRPr="00901A46" w:rsidRDefault="00175930" w:rsidP="00E0443F">
                  <w:pPr>
                    <w:pStyle w:val="TableBody"/>
                  </w:pPr>
                  <w:r w:rsidRPr="00901A46">
                    <w:t>AA</w:t>
                  </w:r>
                  <w:r w:rsidR="00E0443F">
                    <w:t>S</w:t>
                  </w:r>
                  <w:r w:rsidRPr="00901A46">
                    <w:t>P</w:t>
                  </w:r>
                  <w:r w:rsidRPr="00901A46">
                    <w:rPr>
                      <w:vertAlign w:val="subscript"/>
                    </w:rPr>
                    <w:t xml:space="preserve"> </w:t>
                  </w:r>
                  <w:r w:rsidRPr="00901A46">
                    <w:rPr>
                      <w:i/>
                      <w:vertAlign w:val="subscript"/>
                    </w:rPr>
                    <w:t>q, r, p, i</w:t>
                  </w:r>
                </w:p>
              </w:tc>
              <w:tc>
                <w:tcPr>
                  <w:tcW w:w="1372" w:type="dxa"/>
                </w:tcPr>
                <w:p w14:paraId="274EF542" w14:textId="77777777" w:rsidR="00175930" w:rsidRPr="00901A46" w:rsidRDefault="00175930" w:rsidP="00175930">
                  <w:pPr>
                    <w:pStyle w:val="TableBody"/>
                  </w:pPr>
                  <w:r w:rsidRPr="00901A46">
                    <w:t>MW</w:t>
                  </w:r>
                </w:p>
              </w:tc>
              <w:tc>
                <w:tcPr>
                  <w:tcW w:w="5869" w:type="dxa"/>
                </w:tcPr>
                <w:p w14:paraId="1B23B72D" w14:textId="06DCA3CA" w:rsidR="00175930" w:rsidRPr="00901A46" w:rsidRDefault="00E0443F" w:rsidP="00537E31">
                  <w:pPr>
                    <w:pStyle w:val="TableBody"/>
                    <w:rPr>
                      <w:i/>
                    </w:rPr>
                  </w:pPr>
                  <w:r>
                    <w:rPr>
                      <w:i/>
                    </w:rPr>
                    <w:t>Average</w:t>
                  </w:r>
                  <w:r w:rsidR="00175930" w:rsidRPr="00901A46">
                    <w:rPr>
                      <w:i/>
                    </w:rPr>
                    <w:t xml:space="preserve"> Aggregated </w:t>
                  </w:r>
                  <w:r>
                    <w:rPr>
                      <w:i/>
                    </w:rPr>
                    <w:t>Set</w:t>
                  </w:r>
                  <w:r w:rsidR="00175930" w:rsidRPr="00901A46">
                    <w:rPr>
                      <w:i/>
                    </w:rPr>
                    <w:t xml:space="preserve"> Point</w:t>
                  </w:r>
                  <w:r w:rsidR="00175930" w:rsidRPr="00901A46">
                    <w:t xml:space="preserve">—The </w:t>
                  </w:r>
                  <w:r>
                    <w:t>average of the Average Five Minute Clock Interval Set Point (AVGSP5M)</w:t>
                  </w:r>
                  <w:r w:rsidR="00175930" w:rsidRPr="00901A46">
                    <w:t xml:space="preserve"> of Generation </w:t>
                  </w:r>
                  <w:r w:rsidR="00175930">
                    <w:t>Resource</w:t>
                  </w:r>
                  <w:r w:rsidR="00175930" w:rsidRPr="00901A46">
                    <w:t xml:space="preserve"> </w:t>
                  </w:r>
                  <w:r w:rsidR="00175930" w:rsidRPr="00901A46">
                    <w:rPr>
                      <w:i/>
                    </w:rPr>
                    <w:t>r</w:t>
                  </w:r>
                  <w:r w:rsidR="00175930" w:rsidRPr="00901A46">
                    <w:t xml:space="preserve"> represented by QSE </w:t>
                  </w:r>
                  <w:r w:rsidR="00175930" w:rsidRPr="00901A46">
                    <w:rPr>
                      <w:i/>
                    </w:rPr>
                    <w:t>q</w:t>
                  </w:r>
                  <w:r w:rsidR="00175930" w:rsidRPr="00901A46">
                    <w:t xml:space="preserve"> at </w:t>
                  </w:r>
                  <w:r w:rsidR="00175930">
                    <w:t>Settlement Point</w:t>
                  </w:r>
                  <w:r w:rsidR="00175930" w:rsidRPr="00901A46">
                    <w:t xml:space="preserve"> </w:t>
                  </w:r>
                  <w:r w:rsidR="00175930" w:rsidRPr="00901A46">
                    <w:rPr>
                      <w:i/>
                    </w:rPr>
                    <w:t>p</w:t>
                  </w:r>
                  <w:r w:rsidR="00175930" w:rsidRPr="00901A46">
                    <w:t xml:space="preserve">, for the 15-minute Settlement Interval </w:t>
                  </w:r>
                  <w:r w:rsidR="00175930" w:rsidRPr="006624C0">
                    <w:rPr>
                      <w:i/>
                    </w:rPr>
                    <w:t>i</w:t>
                  </w:r>
                  <w:r w:rsidR="00175930" w:rsidRPr="006624C0">
                    <w:t>.</w:t>
                  </w:r>
                  <w:r w:rsidR="00175930" w:rsidRPr="00901A46">
                    <w:t xml:space="preserve">  Where for a Combined Cycle Train, AA</w:t>
                  </w:r>
                  <w:r w:rsidR="00537E31">
                    <w:t>S</w:t>
                  </w:r>
                  <w:r w:rsidR="00175930" w:rsidRPr="00901A46">
                    <w:t xml:space="preserve">P is calculated for the Combined Cycle Train considering all </w:t>
                  </w:r>
                  <w:r w:rsidR="00537E31">
                    <w:t>UDSPs</w:t>
                  </w:r>
                  <w:r w:rsidR="00175930" w:rsidRPr="00901A46">
                    <w:t xml:space="preserve"> to any Combined Cycle Generation Resources within the Combined Cycle Train</w:t>
                  </w:r>
                  <w:r w:rsidR="00175930">
                    <w:t>.</w:t>
                  </w:r>
                </w:p>
              </w:tc>
            </w:tr>
            <w:tr w:rsidR="00175930" w:rsidRPr="00901A46" w14:paraId="27E4700A" w14:textId="77777777" w:rsidTr="00AB2BB6">
              <w:trPr>
                <w:cantSplit/>
              </w:trPr>
              <w:tc>
                <w:tcPr>
                  <w:tcW w:w="2588" w:type="dxa"/>
                </w:tcPr>
                <w:p w14:paraId="0BA67B21" w14:textId="77777777" w:rsidR="00175930" w:rsidRPr="00901A46" w:rsidRDefault="00175930" w:rsidP="00175930">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372" w:type="dxa"/>
                </w:tcPr>
                <w:p w14:paraId="0CCE4901" w14:textId="77777777" w:rsidR="00175930" w:rsidRPr="00901A46" w:rsidRDefault="00175930" w:rsidP="00175930">
                  <w:pPr>
                    <w:pStyle w:val="TableBody"/>
                  </w:pPr>
                  <w:r w:rsidRPr="006624C0">
                    <w:t>MW</w:t>
                  </w:r>
                </w:p>
              </w:tc>
              <w:tc>
                <w:tcPr>
                  <w:tcW w:w="5869" w:type="dxa"/>
                </w:tcPr>
                <w:p w14:paraId="60D35EB0" w14:textId="77777777" w:rsidR="00175930" w:rsidRPr="00901A46" w:rsidRDefault="00175930" w:rsidP="00175930">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75930" w:rsidRPr="00901A46" w14:paraId="3706373D" w14:textId="77777777" w:rsidTr="00AB2BB6">
              <w:trPr>
                <w:cantSplit/>
              </w:trPr>
              <w:tc>
                <w:tcPr>
                  <w:tcW w:w="2588" w:type="dxa"/>
                </w:tcPr>
                <w:p w14:paraId="01AAEAE8" w14:textId="77777777" w:rsidR="00175930" w:rsidRPr="00901A46" w:rsidRDefault="00175930" w:rsidP="00175930">
                  <w:pPr>
                    <w:pStyle w:val="TableBody"/>
                  </w:pPr>
                  <w:r w:rsidRPr="006624C0">
                    <w:t xml:space="preserve">UGEN </w:t>
                  </w:r>
                  <w:r w:rsidRPr="006624C0">
                    <w:rPr>
                      <w:i/>
                      <w:vertAlign w:val="subscript"/>
                    </w:rPr>
                    <w:t>q, r, p, i</w:t>
                  </w:r>
                </w:p>
              </w:tc>
              <w:tc>
                <w:tcPr>
                  <w:tcW w:w="1372" w:type="dxa"/>
                </w:tcPr>
                <w:p w14:paraId="15026D66" w14:textId="77777777" w:rsidR="00175930" w:rsidRPr="00901A46" w:rsidRDefault="00175930" w:rsidP="00175930">
                  <w:pPr>
                    <w:pStyle w:val="TableBody"/>
                  </w:pPr>
                  <w:r w:rsidRPr="006624C0">
                    <w:t>MWh</w:t>
                  </w:r>
                </w:p>
              </w:tc>
              <w:tc>
                <w:tcPr>
                  <w:tcW w:w="5869" w:type="dxa"/>
                </w:tcPr>
                <w:p w14:paraId="192B8E7E" w14:textId="19476804" w:rsidR="00175930" w:rsidRPr="00901A46" w:rsidRDefault="00175930" w:rsidP="00754931">
                  <w:pPr>
                    <w:pStyle w:val="TableBody"/>
                  </w:pPr>
                  <w:r w:rsidRPr="006624C0">
                    <w:rPr>
                      <w:i/>
                    </w:rPr>
                    <w:t>Under</w:t>
                  </w:r>
                  <w:r>
                    <w:rPr>
                      <w:i/>
                    </w:rPr>
                    <w:t>-</w:t>
                  </w:r>
                  <w:r w:rsidRPr="006624C0">
                    <w:rPr>
                      <w:i/>
                    </w:rPr>
                    <w:t>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75930" w:rsidRPr="00901A46" w14:paraId="344AF8FD" w14:textId="77777777" w:rsidTr="00AB2BB6">
              <w:trPr>
                <w:cantSplit/>
              </w:trPr>
              <w:tc>
                <w:tcPr>
                  <w:tcW w:w="2588" w:type="dxa"/>
                </w:tcPr>
                <w:p w14:paraId="0481F33C" w14:textId="77777777" w:rsidR="00175930" w:rsidRPr="00901A46" w:rsidRDefault="00175930" w:rsidP="00175930">
                  <w:pPr>
                    <w:pStyle w:val="TableBody"/>
                  </w:pPr>
                  <w:r w:rsidRPr="006624C0">
                    <w:t>KP</w:t>
                  </w:r>
                </w:p>
              </w:tc>
              <w:tc>
                <w:tcPr>
                  <w:tcW w:w="1372" w:type="dxa"/>
                </w:tcPr>
                <w:p w14:paraId="085CF0A2" w14:textId="77777777" w:rsidR="00175930" w:rsidRPr="00901A46" w:rsidRDefault="00175930" w:rsidP="00175930">
                  <w:pPr>
                    <w:pStyle w:val="TableBody"/>
                  </w:pPr>
                  <w:r>
                    <w:t>n</w:t>
                  </w:r>
                  <w:r w:rsidRPr="006624C0">
                    <w:t>one</w:t>
                  </w:r>
                </w:p>
              </w:tc>
              <w:tc>
                <w:tcPr>
                  <w:tcW w:w="5869" w:type="dxa"/>
                </w:tcPr>
                <w:p w14:paraId="7088344A" w14:textId="77777777" w:rsidR="00175930" w:rsidRPr="00901A46" w:rsidRDefault="00175930" w:rsidP="00175930">
                  <w:pPr>
                    <w:pStyle w:val="TableBody"/>
                  </w:pPr>
                  <w:r w:rsidRPr="006624C0">
                    <w:t>The coefficient applied to the Settlement Point Price for under-generation charge, 1.0.</w:t>
                  </w:r>
                </w:p>
              </w:tc>
            </w:tr>
            <w:tr w:rsidR="00175930" w:rsidRPr="00901A46" w14:paraId="4405E79B" w14:textId="77777777" w:rsidTr="00AB2BB6">
              <w:trPr>
                <w:cantSplit/>
              </w:trPr>
              <w:tc>
                <w:tcPr>
                  <w:tcW w:w="2588" w:type="dxa"/>
                </w:tcPr>
                <w:p w14:paraId="3B3ED05C" w14:textId="77777777" w:rsidR="00175930" w:rsidRPr="00901A46" w:rsidRDefault="00175930" w:rsidP="00175930">
                  <w:pPr>
                    <w:pStyle w:val="TableBody"/>
                  </w:pPr>
                  <w:r w:rsidRPr="006624C0">
                    <w:t>PR2</w:t>
                  </w:r>
                </w:p>
              </w:tc>
              <w:tc>
                <w:tcPr>
                  <w:tcW w:w="1372" w:type="dxa"/>
                </w:tcPr>
                <w:p w14:paraId="73CC3A14" w14:textId="77777777" w:rsidR="00175930" w:rsidRPr="00901A46" w:rsidRDefault="00175930" w:rsidP="00175930">
                  <w:pPr>
                    <w:pStyle w:val="TableBody"/>
                  </w:pPr>
                  <w:r w:rsidRPr="006624C0">
                    <w:t>$/MWh</w:t>
                  </w:r>
                </w:p>
              </w:tc>
              <w:tc>
                <w:tcPr>
                  <w:tcW w:w="5869" w:type="dxa"/>
                </w:tcPr>
                <w:p w14:paraId="7CDCF73D" w14:textId="598421FF" w:rsidR="00175930" w:rsidRPr="00901A46" w:rsidRDefault="00175930" w:rsidP="00537E31">
                  <w:pPr>
                    <w:pStyle w:val="TableBody"/>
                  </w:pPr>
                  <w:r w:rsidRPr="006624C0">
                    <w:t xml:space="preserve">The price to use for the </w:t>
                  </w:r>
                  <w:r w:rsidR="00537E31">
                    <w:t>Set</w:t>
                  </w:r>
                  <w:r w:rsidRPr="006624C0">
                    <w:t xml:space="preserve"> Point Deviation Charge for under-generation calculation when RTSPP is greater than -$20</w:t>
                  </w:r>
                  <w:r>
                    <w:t>/MWh, -$20/MWh</w:t>
                  </w:r>
                  <w:r w:rsidRPr="006624C0">
                    <w:t xml:space="preserve">.  </w:t>
                  </w:r>
                </w:p>
              </w:tc>
            </w:tr>
            <w:tr w:rsidR="00175930" w:rsidRPr="00901A46" w14:paraId="3486EF7E" w14:textId="77777777" w:rsidTr="00AB2BB6">
              <w:trPr>
                <w:cantSplit/>
              </w:trPr>
              <w:tc>
                <w:tcPr>
                  <w:tcW w:w="2588" w:type="dxa"/>
                </w:tcPr>
                <w:p w14:paraId="3192F64F" w14:textId="77777777" w:rsidR="00175930" w:rsidRPr="00901A46" w:rsidRDefault="00175930" w:rsidP="00175930">
                  <w:pPr>
                    <w:pStyle w:val="TableBody"/>
                  </w:pPr>
                  <w:r w:rsidRPr="006624C0">
                    <w:t>K2</w:t>
                  </w:r>
                </w:p>
              </w:tc>
              <w:tc>
                <w:tcPr>
                  <w:tcW w:w="1372" w:type="dxa"/>
                </w:tcPr>
                <w:p w14:paraId="6DFFF5BC" w14:textId="77777777" w:rsidR="00175930" w:rsidRPr="00901A46" w:rsidRDefault="00175930" w:rsidP="00175930">
                  <w:pPr>
                    <w:pStyle w:val="TableBody"/>
                  </w:pPr>
                  <w:r>
                    <w:t>n</w:t>
                  </w:r>
                  <w:r w:rsidRPr="006624C0">
                    <w:t>one</w:t>
                  </w:r>
                </w:p>
              </w:tc>
              <w:tc>
                <w:tcPr>
                  <w:tcW w:w="5869" w:type="dxa"/>
                </w:tcPr>
                <w:p w14:paraId="0F83209D" w14:textId="77777777" w:rsidR="00175930" w:rsidRPr="00901A46" w:rsidRDefault="00175930" w:rsidP="00175930">
                  <w:pPr>
                    <w:pStyle w:val="TableBody"/>
                  </w:pPr>
                  <w:r w:rsidRPr="006624C0">
                    <w:t xml:space="preserve">The percentage tolerance for under-generation, 5%. </w:t>
                  </w:r>
                </w:p>
              </w:tc>
            </w:tr>
            <w:tr w:rsidR="00175930" w:rsidRPr="00901A46" w14:paraId="5E22F7F7" w14:textId="77777777" w:rsidTr="00AB2BB6">
              <w:trPr>
                <w:cantSplit/>
              </w:trPr>
              <w:tc>
                <w:tcPr>
                  <w:tcW w:w="2588" w:type="dxa"/>
                </w:tcPr>
                <w:p w14:paraId="379E810D" w14:textId="77777777" w:rsidR="00175930" w:rsidRPr="00901A46" w:rsidRDefault="00175930" w:rsidP="00175930">
                  <w:pPr>
                    <w:pStyle w:val="TableBody"/>
                  </w:pPr>
                  <w:r w:rsidRPr="006624C0">
                    <w:t>Q2</w:t>
                  </w:r>
                </w:p>
              </w:tc>
              <w:tc>
                <w:tcPr>
                  <w:tcW w:w="1372" w:type="dxa"/>
                </w:tcPr>
                <w:p w14:paraId="56C9A61D" w14:textId="77777777" w:rsidR="00175930" w:rsidRPr="00901A46" w:rsidRDefault="00175930" w:rsidP="00175930">
                  <w:pPr>
                    <w:pStyle w:val="TableBody"/>
                  </w:pPr>
                  <w:r w:rsidRPr="006624C0">
                    <w:t>MW</w:t>
                  </w:r>
                </w:p>
              </w:tc>
              <w:tc>
                <w:tcPr>
                  <w:tcW w:w="5869" w:type="dxa"/>
                </w:tcPr>
                <w:p w14:paraId="10F690F0" w14:textId="77777777" w:rsidR="00175930" w:rsidRPr="00901A46" w:rsidRDefault="00175930" w:rsidP="00175930">
                  <w:pPr>
                    <w:pStyle w:val="TableBody"/>
                  </w:pPr>
                  <w:r w:rsidRPr="006624C0">
                    <w:t>The MW tolerance for under-generation, five MW.</w:t>
                  </w:r>
                </w:p>
              </w:tc>
            </w:tr>
            <w:tr w:rsidR="00175930" w:rsidRPr="00901A46" w14:paraId="3961F013" w14:textId="77777777" w:rsidTr="00AB2BB6">
              <w:trPr>
                <w:cantSplit/>
              </w:trPr>
              <w:tc>
                <w:tcPr>
                  <w:tcW w:w="2588" w:type="dxa"/>
                </w:tcPr>
                <w:p w14:paraId="7E8FA215" w14:textId="77777777" w:rsidR="00175930" w:rsidRPr="00AB1AD6" w:rsidRDefault="00175930" w:rsidP="00175930">
                  <w:pPr>
                    <w:spacing w:after="60"/>
                    <w:rPr>
                      <w:iCs/>
                      <w:sz w:val="20"/>
                    </w:rPr>
                  </w:pPr>
                  <w:r>
                    <w:rPr>
                      <w:iCs/>
                      <w:sz w:val="20"/>
                    </w:rPr>
                    <w:t>N</w:t>
                  </w:r>
                </w:p>
              </w:tc>
              <w:tc>
                <w:tcPr>
                  <w:tcW w:w="1372" w:type="dxa"/>
                </w:tcPr>
                <w:p w14:paraId="6749FA49" w14:textId="77777777" w:rsidR="00175930" w:rsidRPr="00AB1AD6" w:rsidRDefault="00175930" w:rsidP="00175930">
                  <w:pPr>
                    <w:spacing w:after="60"/>
                    <w:rPr>
                      <w:iCs/>
                      <w:sz w:val="20"/>
                    </w:rPr>
                  </w:pPr>
                  <w:r>
                    <w:rPr>
                      <w:iCs/>
                      <w:sz w:val="20"/>
                    </w:rPr>
                    <w:t>none</w:t>
                  </w:r>
                </w:p>
              </w:tc>
              <w:tc>
                <w:tcPr>
                  <w:tcW w:w="5869" w:type="dxa"/>
                </w:tcPr>
                <w:p w14:paraId="1C13A9B3" w14:textId="77777777" w:rsidR="00175930" w:rsidRPr="00AB1AD6" w:rsidRDefault="00175930" w:rsidP="00175930">
                  <w:pPr>
                    <w:spacing w:after="60"/>
                    <w:rPr>
                      <w:iCs/>
                      <w:sz w:val="20"/>
                    </w:rPr>
                  </w:pPr>
                  <w:r>
                    <w:rPr>
                      <w:iCs/>
                      <w:sz w:val="20"/>
                    </w:rPr>
                    <w:t>The number of IRRs within an IRR Group.</w:t>
                  </w:r>
                </w:p>
              </w:tc>
            </w:tr>
            <w:tr w:rsidR="00175930" w:rsidRPr="00901A46" w14:paraId="3BFF8B44" w14:textId="77777777" w:rsidTr="00AB2BB6">
              <w:trPr>
                <w:cantSplit/>
              </w:trPr>
              <w:tc>
                <w:tcPr>
                  <w:tcW w:w="2588" w:type="dxa"/>
                </w:tcPr>
                <w:p w14:paraId="7D43DDA5" w14:textId="77777777" w:rsidR="00175930" w:rsidRPr="00901A46" w:rsidRDefault="00175930" w:rsidP="00175930">
                  <w:pPr>
                    <w:pStyle w:val="TableBody"/>
                    <w:rPr>
                      <w:i/>
                    </w:rPr>
                  </w:pPr>
                  <w:r w:rsidRPr="006624C0">
                    <w:rPr>
                      <w:i/>
                    </w:rPr>
                    <w:t>q</w:t>
                  </w:r>
                </w:p>
              </w:tc>
              <w:tc>
                <w:tcPr>
                  <w:tcW w:w="1372" w:type="dxa"/>
                </w:tcPr>
                <w:p w14:paraId="2F9AED7E" w14:textId="77777777" w:rsidR="00175930" w:rsidRPr="00901A46" w:rsidRDefault="00175930" w:rsidP="00175930">
                  <w:pPr>
                    <w:pStyle w:val="TableBody"/>
                  </w:pPr>
                  <w:r w:rsidRPr="006624C0">
                    <w:t>none</w:t>
                  </w:r>
                </w:p>
              </w:tc>
              <w:tc>
                <w:tcPr>
                  <w:tcW w:w="5869" w:type="dxa"/>
                </w:tcPr>
                <w:p w14:paraId="6595B9A3" w14:textId="77777777" w:rsidR="00175930" w:rsidRPr="00901A46" w:rsidRDefault="00175930" w:rsidP="00175930">
                  <w:pPr>
                    <w:pStyle w:val="TableBody"/>
                  </w:pPr>
                  <w:r w:rsidRPr="006624C0">
                    <w:t>A QSE.</w:t>
                  </w:r>
                </w:p>
              </w:tc>
            </w:tr>
            <w:tr w:rsidR="00175930" w:rsidRPr="00901A46" w14:paraId="011D000A" w14:textId="77777777" w:rsidTr="00AB2BB6">
              <w:trPr>
                <w:cantSplit/>
              </w:trPr>
              <w:tc>
                <w:tcPr>
                  <w:tcW w:w="2588" w:type="dxa"/>
                </w:tcPr>
                <w:p w14:paraId="558E7C81" w14:textId="77777777" w:rsidR="00175930" w:rsidRPr="00901A46" w:rsidRDefault="00175930" w:rsidP="00175930">
                  <w:pPr>
                    <w:pStyle w:val="TableBody"/>
                    <w:rPr>
                      <w:i/>
                    </w:rPr>
                  </w:pPr>
                  <w:r w:rsidRPr="006624C0">
                    <w:rPr>
                      <w:i/>
                    </w:rPr>
                    <w:t>p</w:t>
                  </w:r>
                </w:p>
              </w:tc>
              <w:tc>
                <w:tcPr>
                  <w:tcW w:w="1372" w:type="dxa"/>
                </w:tcPr>
                <w:p w14:paraId="564B41AB" w14:textId="77777777" w:rsidR="00175930" w:rsidRPr="00901A46" w:rsidRDefault="00175930" w:rsidP="00175930">
                  <w:pPr>
                    <w:pStyle w:val="TableBody"/>
                  </w:pPr>
                  <w:r w:rsidRPr="006624C0">
                    <w:t>none</w:t>
                  </w:r>
                </w:p>
              </w:tc>
              <w:tc>
                <w:tcPr>
                  <w:tcW w:w="5869" w:type="dxa"/>
                </w:tcPr>
                <w:p w14:paraId="2023310A" w14:textId="77777777" w:rsidR="00175930" w:rsidRPr="00901A46" w:rsidRDefault="00175930" w:rsidP="00175930">
                  <w:pPr>
                    <w:pStyle w:val="TableBody"/>
                  </w:pPr>
                  <w:r w:rsidRPr="006624C0">
                    <w:t>A Settlement Point.</w:t>
                  </w:r>
                </w:p>
              </w:tc>
            </w:tr>
            <w:tr w:rsidR="00175930" w:rsidRPr="00901A46" w14:paraId="60A39E66" w14:textId="77777777" w:rsidTr="00AB2BB6">
              <w:trPr>
                <w:cantSplit/>
              </w:trPr>
              <w:tc>
                <w:tcPr>
                  <w:tcW w:w="2588" w:type="dxa"/>
                </w:tcPr>
                <w:p w14:paraId="509723F9" w14:textId="77777777" w:rsidR="00175930" w:rsidRPr="00901A46" w:rsidRDefault="00175930" w:rsidP="00175930">
                  <w:pPr>
                    <w:pStyle w:val="TableBody"/>
                    <w:rPr>
                      <w:i/>
                    </w:rPr>
                  </w:pPr>
                  <w:r w:rsidRPr="006624C0">
                    <w:rPr>
                      <w:i/>
                    </w:rPr>
                    <w:t>r</w:t>
                  </w:r>
                </w:p>
              </w:tc>
              <w:tc>
                <w:tcPr>
                  <w:tcW w:w="1372" w:type="dxa"/>
                </w:tcPr>
                <w:p w14:paraId="514BE4F8" w14:textId="77777777" w:rsidR="00175930" w:rsidRPr="00901A46" w:rsidRDefault="00175930" w:rsidP="00175930">
                  <w:pPr>
                    <w:pStyle w:val="TableBody"/>
                  </w:pPr>
                  <w:r w:rsidRPr="006624C0">
                    <w:t>none</w:t>
                  </w:r>
                </w:p>
              </w:tc>
              <w:tc>
                <w:tcPr>
                  <w:tcW w:w="5869" w:type="dxa"/>
                </w:tcPr>
                <w:p w14:paraId="679BD768" w14:textId="251C5C88" w:rsidR="00175930" w:rsidRPr="00901A46" w:rsidRDefault="00175930" w:rsidP="00175930">
                  <w:pPr>
                    <w:pStyle w:val="TableBody"/>
                    <w:rPr>
                      <w:lang w:val="fr-FR"/>
                    </w:rPr>
                  </w:pPr>
                  <w:r w:rsidRPr="006624C0">
                    <w:rPr>
                      <w:lang w:val="fr-FR"/>
                    </w:rPr>
                    <w:t>A non-exempt</w:t>
                  </w:r>
                  <w:r>
                    <w:rPr>
                      <w:lang w:val="fr-FR"/>
                    </w:rPr>
                    <w:t xml:space="preserve"> </w:t>
                  </w:r>
                  <w:r w:rsidR="008152FC">
                    <w:rPr>
                      <w:lang w:val="fr-FR"/>
                    </w:rPr>
                    <w:t xml:space="preserve">Generation </w:t>
                  </w:r>
                  <w:r>
                    <w:rPr>
                      <w:lang w:val="fr-FR"/>
                    </w:rPr>
                    <w:t>Resource</w:t>
                  </w:r>
                  <w:r w:rsidRPr="006624C0">
                    <w:rPr>
                      <w:lang w:val="fr-FR"/>
                    </w:rPr>
                    <w:t>.</w:t>
                  </w:r>
                </w:p>
              </w:tc>
            </w:tr>
            <w:tr w:rsidR="00175930" w:rsidRPr="00901A46" w14:paraId="33DC9AB6" w14:textId="77777777" w:rsidTr="00AB2BB6">
              <w:trPr>
                <w:cantSplit/>
              </w:trPr>
              <w:tc>
                <w:tcPr>
                  <w:tcW w:w="2588" w:type="dxa"/>
                </w:tcPr>
                <w:p w14:paraId="0000A54C" w14:textId="77777777" w:rsidR="00175930" w:rsidRPr="00901A46" w:rsidRDefault="00175930" w:rsidP="00175930">
                  <w:pPr>
                    <w:pStyle w:val="TableBody"/>
                    <w:rPr>
                      <w:i/>
                    </w:rPr>
                  </w:pPr>
                  <w:r w:rsidRPr="006624C0">
                    <w:rPr>
                      <w:i/>
                    </w:rPr>
                    <w:t>y</w:t>
                  </w:r>
                </w:p>
              </w:tc>
              <w:tc>
                <w:tcPr>
                  <w:tcW w:w="1372" w:type="dxa"/>
                </w:tcPr>
                <w:p w14:paraId="33D1F9DA" w14:textId="77777777" w:rsidR="00175930" w:rsidRPr="00901A46" w:rsidRDefault="00175930" w:rsidP="00175930">
                  <w:pPr>
                    <w:pStyle w:val="TableBody"/>
                  </w:pPr>
                  <w:r w:rsidRPr="006624C0">
                    <w:t>none</w:t>
                  </w:r>
                </w:p>
              </w:tc>
              <w:tc>
                <w:tcPr>
                  <w:tcW w:w="5869" w:type="dxa"/>
                </w:tcPr>
                <w:p w14:paraId="196ADE3D" w14:textId="77777777" w:rsidR="00175930" w:rsidRPr="00901A46" w:rsidRDefault="00175930" w:rsidP="00175930">
                  <w:pPr>
                    <w:pStyle w:val="TableBody"/>
                    <w:rPr>
                      <w:lang w:val="fr-FR"/>
                    </w:rPr>
                  </w:pPr>
                  <w:r w:rsidRPr="006624C0">
                    <w:t xml:space="preserve">A five-minute clock interval in the Settlement Interval. </w:t>
                  </w:r>
                </w:p>
              </w:tc>
            </w:tr>
            <w:tr w:rsidR="00175930" w:rsidRPr="00901A46" w14:paraId="0789E0F2" w14:textId="77777777" w:rsidTr="00AB2BB6">
              <w:trPr>
                <w:cantSplit/>
              </w:trPr>
              <w:tc>
                <w:tcPr>
                  <w:tcW w:w="2588" w:type="dxa"/>
                </w:tcPr>
                <w:p w14:paraId="3127F5B6" w14:textId="77777777" w:rsidR="00175930" w:rsidRPr="00901A46" w:rsidRDefault="00175930" w:rsidP="00175930">
                  <w:pPr>
                    <w:pStyle w:val="TableBody"/>
                    <w:rPr>
                      <w:i/>
                    </w:rPr>
                  </w:pPr>
                  <w:r w:rsidRPr="006624C0">
                    <w:rPr>
                      <w:i/>
                    </w:rPr>
                    <w:t>i</w:t>
                  </w:r>
                </w:p>
              </w:tc>
              <w:tc>
                <w:tcPr>
                  <w:tcW w:w="1372" w:type="dxa"/>
                </w:tcPr>
                <w:p w14:paraId="650A066E" w14:textId="77777777" w:rsidR="00175930" w:rsidRPr="00901A46" w:rsidRDefault="00175930" w:rsidP="00175930">
                  <w:pPr>
                    <w:pStyle w:val="TableBody"/>
                  </w:pPr>
                  <w:r w:rsidRPr="006624C0">
                    <w:t>none</w:t>
                  </w:r>
                </w:p>
              </w:tc>
              <w:tc>
                <w:tcPr>
                  <w:tcW w:w="5869" w:type="dxa"/>
                </w:tcPr>
                <w:p w14:paraId="4CA59675" w14:textId="77777777" w:rsidR="00175930" w:rsidRPr="00901A46" w:rsidRDefault="00175930" w:rsidP="00175930">
                  <w:pPr>
                    <w:pStyle w:val="TableBody"/>
                  </w:pPr>
                  <w:r w:rsidRPr="006624C0">
                    <w:t>A 15-minute Settlement Interval.</w:t>
                  </w:r>
                </w:p>
              </w:tc>
            </w:tr>
            <w:tr w:rsidR="00175930" w:rsidRPr="00901A46" w14:paraId="6D2E997E" w14:textId="77777777" w:rsidTr="00AB2BB6">
              <w:trPr>
                <w:cantSplit/>
              </w:trPr>
              <w:tc>
                <w:tcPr>
                  <w:tcW w:w="2588" w:type="dxa"/>
                </w:tcPr>
                <w:p w14:paraId="4F87609B" w14:textId="77777777" w:rsidR="00175930" w:rsidRPr="00AB1AD6" w:rsidRDefault="00175930" w:rsidP="00175930">
                  <w:pPr>
                    <w:spacing w:after="60"/>
                    <w:rPr>
                      <w:iCs/>
                      <w:sz w:val="20"/>
                    </w:rPr>
                  </w:pPr>
                  <w:r>
                    <w:rPr>
                      <w:i/>
                      <w:iCs/>
                      <w:sz w:val="20"/>
                    </w:rPr>
                    <w:t>wg</w:t>
                  </w:r>
                </w:p>
              </w:tc>
              <w:tc>
                <w:tcPr>
                  <w:tcW w:w="1372" w:type="dxa"/>
                </w:tcPr>
                <w:p w14:paraId="1791F918" w14:textId="77777777" w:rsidR="00175930" w:rsidRPr="00AB1AD6" w:rsidRDefault="00175930" w:rsidP="00175930">
                  <w:pPr>
                    <w:spacing w:after="60"/>
                    <w:rPr>
                      <w:iCs/>
                      <w:sz w:val="20"/>
                    </w:rPr>
                  </w:pPr>
                  <w:r>
                    <w:rPr>
                      <w:iCs/>
                      <w:sz w:val="20"/>
                    </w:rPr>
                    <w:t>none</w:t>
                  </w:r>
                </w:p>
              </w:tc>
              <w:tc>
                <w:tcPr>
                  <w:tcW w:w="5869" w:type="dxa"/>
                </w:tcPr>
                <w:p w14:paraId="560DDEF1" w14:textId="77777777" w:rsidR="00175930" w:rsidRPr="00AB1AD6" w:rsidRDefault="00175930" w:rsidP="00175930">
                  <w:pPr>
                    <w:spacing w:after="60"/>
                    <w:rPr>
                      <w:iCs/>
                      <w:sz w:val="20"/>
                    </w:rPr>
                  </w:pPr>
                  <w:r>
                    <w:rPr>
                      <w:iCs/>
                      <w:sz w:val="20"/>
                    </w:rPr>
                    <w:t>An IRR Group.</w:t>
                  </w:r>
                </w:p>
              </w:tc>
            </w:tr>
          </w:tbl>
          <w:p w14:paraId="2DF8E2E6" w14:textId="77777777" w:rsidR="00AC1609" w:rsidRPr="00B37C4B" w:rsidRDefault="00AC1609" w:rsidP="00AB2BB6">
            <w:pPr>
              <w:pStyle w:val="H3"/>
            </w:pPr>
          </w:p>
        </w:tc>
      </w:tr>
    </w:tbl>
    <w:p w14:paraId="0FAF8DB5" w14:textId="77777777" w:rsidR="001F04FD" w:rsidRPr="002600B6" w:rsidRDefault="001F04FD" w:rsidP="001F04FD">
      <w:pPr>
        <w:pStyle w:val="H4"/>
        <w:tabs>
          <w:tab w:val="clear" w:pos="1260"/>
          <w:tab w:val="left" w:pos="1620"/>
        </w:tabs>
        <w:spacing w:before="480"/>
        <w:ind w:left="1627" w:hanging="1627"/>
        <w:outlineLvl w:val="4"/>
      </w:pPr>
      <w:bookmarkStart w:id="2127" w:name="_Toc189044432"/>
      <w:r w:rsidRPr="002600B6">
        <w:lastRenderedPageBreak/>
        <w:t>6.6.5.1.1.3</w:t>
      </w:r>
      <w:r w:rsidRPr="002600B6">
        <w:tab/>
        <w:t>Controllable Load Resource Base Point Deviation Charge for Over Consumption</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27"/>
    </w:p>
    <w:p w14:paraId="5CDC21CF" w14:textId="77777777" w:rsidR="001F04FD" w:rsidRPr="006A6281" w:rsidRDefault="001F04FD" w:rsidP="001F04FD">
      <w:pPr>
        <w:pStyle w:val="BodyTextNumbered"/>
      </w:pPr>
      <w:r w:rsidRPr="006A6281">
        <w:t>(1)</w:t>
      </w:r>
      <w:r w:rsidRPr="006A6281">
        <w:tab/>
        <w:t>ERCOT shall charge a QSE for a Controllable Load Resource for over-consumption that exceeds the following tolerance.  The tolerance is the greater of:</w:t>
      </w:r>
    </w:p>
    <w:p w14:paraId="0409DFDD" w14:textId="77777777" w:rsidR="001F04FD" w:rsidRPr="006A6281" w:rsidRDefault="001F04FD" w:rsidP="001F04FD">
      <w:pPr>
        <w:pStyle w:val="BodyTextNumbered"/>
        <w:ind w:left="1440"/>
      </w:pPr>
      <w:r w:rsidRPr="006A6281">
        <w:t>(a)</w:t>
      </w:r>
      <w:r w:rsidRPr="006A6281">
        <w:tab/>
        <w:t>XO% of the average of the Base Points in the Settlement Interval adjusted for any Ancillary Service deployments; or</w:t>
      </w:r>
    </w:p>
    <w:p w14:paraId="09DDD6B6" w14:textId="77777777" w:rsidR="001F04FD" w:rsidRPr="006A6281" w:rsidRDefault="001F04FD" w:rsidP="001F04FD">
      <w:pPr>
        <w:pStyle w:val="BodyTextNumbered"/>
        <w:ind w:left="1440"/>
      </w:pPr>
      <w:r w:rsidRPr="006A6281">
        <w:t>(b)</w:t>
      </w:r>
      <w:r w:rsidRPr="006A6281">
        <w:tab/>
        <w:t xml:space="preserve">YO MW for power consumption above the average of the Base Points in the Settlement Interval adjusted for any Ancillary Service deployments. </w:t>
      </w:r>
    </w:p>
    <w:p w14:paraId="1E82CB27" w14:textId="3D19148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1AB85224"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 during a 15-minute Settlement Interval in which the Controllable Load Resource has received a Base Point is calculated as follows:</w:t>
      </w:r>
    </w:p>
    <w:p w14:paraId="2C33E0AF" w14:textId="77777777" w:rsidR="001F04FD" w:rsidRPr="006A6281" w:rsidRDefault="001F04FD" w:rsidP="001F04FD">
      <w:pPr>
        <w:ind w:left="720"/>
        <w:rPr>
          <w:lang w:val="pt-BR"/>
        </w:rPr>
      </w:pPr>
    </w:p>
    <w:p w14:paraId="5D3F567D"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rsidR="00967F3A">
        <w:t xml:space="preserve"> </w:t>
      </w:r>
      <w:r w:rsidRPr="006A6281">
        <w:rPr>
          <w:i/>
          <w:vertAlign w:val="subscript"/>
        </w:rPr>
        <w:t>p,</w:t>
      </w:r>
      <w:r w:rsidR="00967F3A">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61E5ED19" w14:textId="77777777" w:rsidR="001F04FD" w:rsidRPr="006A6281" w:rsidRDefault="001F04FD" w:rsidP="001F04FD">
      <w:pPr>
        <w:pStyle w:val="FormulaBold"/>
        <w:rPr>
          <w:b w:val="0"/>
        </w:rPr>
      </w:pPr>
      <w:r w:rsidRPr="006A6281">
        <w:rPr>
          <w:b w:val="0"/>
        </w:rPr>
        <w:lastRenderedPageBreak/>
        <w:t>Where:</w:t>
      </w:r>
    </w:p>
    <w:p w14:paraId="4CC5C34E" w14:textId="77777777" w:rsidR="001F04FD" w:rsidRPr="002600B6" w:rsidRDefault="001F04FD" w:rsidP="001F04FD">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sidR="00967F3A">
        <w:rPr>
          <w:iCs/>
        </w:rPr>
        <w:t xml:space="preserve"> </w:t>
      </w:r>
      <w:r w:rsidRPr="002600B6">
        <w:rPr>
          <w:i/>
          <w:vertAlign w:val="subscript"/>
          <w:lang w:val="es-ES"/>
        </w:rPr>
        <w:t>q, r, p, i</w:t>
      </w:r>
      <w:r w:rsidRPr="002600B6">
        <w:rPr>
          <w:iCs/>
        </w:rPr>
        <w:t xml:space="preserve"> - ¼* </w:t>
      </w:r>
      <w:r w:rsidRPr="002600B6">
        <w:t>Max (((1 + KLR1) * AABP</w:t>
      </w:r>
      <w:r w:rsidRPr="002600B6">
        <w:rPr>
          <w:i/>
          <w:iCs/>
          <w:vertAlign w:val="subscript"/>
          <w:lang w:val="es-ES"/>
        </w:rPr>
        <w:t xml:space="preserve"> q, r, p, i</w:t>
      </w:r>
      <w:r w:rsidRPr="002600B6">
        <w:rPr>
          <w:rFonts w:ascii="Times New Roman Bold" w:hAnsi="Times New Roman Bold"/>
          <w:iCs/>
          <w:lang w:val="es-ES"/>
        </w:rPr>
        <w:t>)</w:t>
      </w:r>
      <w:r w:rsidRPr="002600B6">
        <w:t>, (AABP</w:t>
      </w:r>
      <w:r w:rsidRPr="002600B6">
        <w:rPr>
          <w:i/>
          <w:iCs/>
          <w:vertAlign w:val="subscript"/>
          <w:lang w:val="es-ES"/>
        </w:rPr>
        <w:t xml:space="preserve"> q, r, p, i </w:t>
      </w:r>
      <w:r w:rsidRPr="002600B6">
        <w:t>+ QLR1)))</w:t>
      </w:r>
      <w:r w:rsidRPr="002600B6">
        <w:rPr>
          <w:iCs/>
        </w:rPr>
        <w:t>]</w:t>
      </w:r>
    </w:p>
    <w:p w14:paraId="59E25E67" w14:textId="77777777" w:rsidR="001F04FD" w:rsidRPr="002600B6" w:rsidRDefault="001F04FD" w:rsidP="001F04FD">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46C7ACF8">
          <v:shape id="_x0000_i1187" type="#_x0000_t75" style="width:6pt;height:24pt" o:ole="">
            <v:imagedata r:id="rId208" o:title=""/>
          </v:shape>
          <o:OLEObject Type="Embed" ProgID="Equation.3" ShapeID="_x0000_i1187" DrawAspect="Content" ObjectID="_1804653672" r:id="rId219"/>
        </w:object>
      </w:r>
      <w:r w:rsidRPr="002600B6">
        <w:t xml:space="preserve"> (AVGTPC5M</w:t>
      </w:r>
      <w:r w:rsidRPr="002600B6">
        <w:rPr>
          <w:i/>
          <w:vertAlign w:val="subscript"/>
        </w:rPr>
        <w:t xml:space="preserve"> q, r, p</w:t>
      </w:r>
      <w:r w:rsidR="008D7D6C">
        <w:rPr>
          <w:i/>
          <w:vertAlign w:val="subscript"/>
        </w:rPr>
        <w:t>,</w:t>
      </w:r>
      <w:r w:rsidRPr="002600B6">
        <w:rPr>
          <w:i/>
          <w:iCs/>
          <w:vertAlign w:val="subscript"/>
          <w:lang w:val="es-ES"/>
        </w:rPr>
        <w:t xml:space="preserve"> i,</w:t>
      </w:r>
      <w:r w:rsidR="008D7D6C">
        <w:rPr>
          <w:i/>
          <w:iCs/>
          <w:vertAlign w:val="subscript"/>
          <w:lang w:val="es-ES"/>
        </w:rPr>
        <w:t xml:space="preserve"> </w:t>
      </w:r>
      <w:r w:rsidRPr="002600B6">
        <w:rPr>
          <w:i/>
          <w:vertAlign w:val="subscript"/>
        </w:rPr>
        <w:t>y</w:t>
      </w:r>
      <w:r w:rsidRPr="002600B6">
        <w:t>) / 3) * ¼</w:t>
      </w:r>
    </w:p>
    <w:p w14:paraId="5C4C71CE"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561E2BFF" w14:textId="77777777" w:rsidTr="00BA3F0D">
        <w:tc>
          <w:tcPr>
            <w:tcW w:w="1975" w:type="dxa"/>
          </w:tcPr>
          <w:p w14:paraId="7BB6C43F" w14:textId="77777777" w:rsidR="001F04FD" w:rsidRPr="006A6281" w:rsidRDefault="001F04FD" w:rsidP="00AC4DEE">
            <w:pPr>
              <w:pStyle w:val="TableHead"/>
              <w:rPr>
                <w:sz w:val="18"/>
                <w:szCs w:val="18"/>
              </w:rPr>
            </w:pPr>
            <w:r w:rsidRPr="006A6281">
              <w:rPr>
                <w:sz w:val="18"/>
                <w:szCs w:val="18"/>
              </w:rPr>
              <w:t>Variable</w:t>
            </w:r>
          </w:p>
        </w:tc>
        <w:tc>
          <w:tcPr>
            <w:tcW w:w="900" w:type="dxa"/>
          </w:tcPr>
          <w:p w14:paraId="2D93B1FA" w14:textId="77777777" w:rsidR="001F04FD" w:rsidRPr="006A6281" w:rsidRDefault="001F04FD" w:rsidP="00AC4DEE">
            <w:pPr>
              <w:pStyle w:val="TableHead"/>
              <w:rPr>
                <w:sz w:val="18"/>
                <w:szCs w:val="18"/>
              </w:rPr>
            </w:pPr>
            <w:r w:rsidRPr="006A6281">
              <w:rPr>
                <w:sz w:val="18"/>
                <w:szCs w:val="18"/>
              </w:rPr>
              <w:t>Unit</w:t>
            </w:r>
          </w:p>
        </w:tc>
        <w:tc>
          <w:tcPr>
            <w:tcW w:w="6942" w:type="dxa"/>
            <w:gridSpan w:val="2"/>
          </w:tcPr>
          <w:p w14:paraId="161F9EDC" w14:textId="77777777" w:rsidR="001F04FD" w:rsidRPr="006A6281" w:rsidRDefault="001F04FD" w:rsidP="00AC4DEE">
            <w:pPr>
              <w:pStyle w:val="TableHead"/>
              <w:rPr>
                <w:sz w:val="18"/>
                <w:szCs w:val="18"/>
              </w:rPr>
            </w:pPr>
            <w:r w:rsidRPr="006A6281">
              <w:rPr>
                <w:sz w:val="18"/>
                <w:szCs w:val="18"/>
              </w:rPr>
              <w:t>Definition</w:t>
            </w:r>
          </w:p>
        </w:tc>
      </w:tr>
      <w:tr w:rsidR="001F04FD" w:rsidRPr="006A6281" w14:paraId="28AB34F7" w14:textId="77777777" w:rsidTr="00BA3F0D">
        <w:trPr>
          <w:cantSplit/>
        </w:trPr>
        <w:tc>
          <w:tcPr>
            <w:tcW w:w="1975" w:type="dxa"/>
          </w:tcPr>
          <w:p w14:paraId="5E8AB9D0"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0B075B26" w14:textId="77777777" w:rsidR="001F04FD" w:rsidRPr="006A6281" w:rsidRDefault="001F04FD" w:rsidP="00AC4DEE">
            <w:pPr>
              <w:pStyle w:val="TableBody"/>
            </w:pPr>
            <w:r w:rsidRPr="006A6281">
              <w:t>$</w:t>
            </w:r>
          </w:p>
        </w:tc>
        <w:tc>
          <w:tcPr>
            <w:tcW w:w="6942" w:type="dxa"/>
            <w:gridSpan w:val="2"/>
          </w:tcPr>
          <w:p w14:paraId="34407A93"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24EA6FCE" w14:textId="77777777" w:rsidTr="00BA3F0D">
        <w:trPr>
          <w:cantSplit/>
        </w:trPr>
        <w:tc>
          <w:tcPr>
            <w:tcW w:w="1975" w:type="dxa"/>
          </w:tcPr>
          <w:p w14:paraId="4B1BC038"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2AA120B" w14:textId="77777777" w:rsidR="001F04FD" w:rsidRPr="006A6281" w:rsidRDefault="001F04FD" w:rsidP="00AC4DEE">
            <w:pPr>
              <w:pStyle w:val="TableBody"/>
            </w:pPr>
            <w:r w:rsidRPr="006A6281">
              <w:t>$/MWh</w:t>
            </w:r>
          </w:p>
        </w:tc>
        <w:tc>
          <w:tcPr>
            <w:tcW w:w="6942" w:type="dxa"/>
            <w:gridSpan w:val="2"/>
          </w:tcPr>
          <w:p w14:paraId="5182E079"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6C5D2203" w14:textId="77777777" w:rsidTr="00BA3F0D">
        <w:trPr>
          <w:gridAfter w:val="1"/>
          <w:wAfter w:w="12" w:type="dxa"/>
          <w:cantSplit/>
        </w:trPr>
        <w:tc>
          <w:tcPr>
            <w:tcW w:w="1975" w:type="dxa"/>
          </w:tcPr>
          <w:p w14:paraId="50D00741"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57B32526" w14:textId="77777777" w:rsidR="001F04FD" w:rsidRPr="006A6281" w:rsidRDefault="001F04FD" w:rsidP="00AC4DEE">
            <w:pPr>
              <w:pStyle w:val="TableBody"/>
            </w:pPr>
            <w:r w:rsidRPr="006A6281">
              <w:t>MWh</w:t>
            </w:r>
          </w:p>
        </w:tc>
        <w:tc>
          <w:tcPr>
            <w:tcW w:w="6930" w:type="dxa"/>
          </w:tcPr>
          <w:p w14:paraId="0EA50929"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6D7EAB22" w14:textId="77777777" w:rsidTr="00BA3F0D">
        <w:trPr>
          <w:gridAfter w:val="1"/>
          <w:wAfter w:w="12" w:type="dxa"/>
          <w:cantSplit/>
        </w:trPr>
        <w:tc>
          <w:tcPr>
            <w:tcW w:w="1975" w:type="dxa"/>
          </w:tcPr>
          <w:p w14:paraId="4BEECF2A"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238E64B0" w14:textId="77777777" w:rsidR="001F04FD" w:rsidRPr="006A6281" w:rsidRDefault="001F04FD" w:rsidP="00AC4DEE">
            <w:pPr>
              <w:pStyle w:val="TableBody"/>
            </w:pPr>
            <w:r w:rsidRPr="006A6281">
              <w:t>MW</w:t>
            </w:r>
          </w:p>
        </w:tc>
        <w:tc>
          <w:tcPr>
            <w:tcW w:w="6930" w:type="dxa"/>
          </w:tcPr>
          <w:p w14:paraId="28B97307"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42E90CA3" w14:textId="77777777" w:rsidTr="00BA3F0D">
        <w:trPr>
          <w:cantSplit/>
        </w:trPr>
        <w:tc>
          <w:tcPr>
            <w:tcW w:w="1975" w:type="dxa"/>
          </w:tcPr>
          <w:p w14:paraId="2F781E28"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2E29A01A" w14:textId="77777777" w:rsidR="001F04FD" w:rsidRPr="006A6281" w:rsidRDefault="001F04FD" w:rsidP="00AC4DEE">
            <w:pPr>
              <w:pStyle w:val="TableBody"/>
            </w:pPr>
            <w:r w:rsidRPr="006A6281">
              <w:t>MW</w:t>
            </w:r>
          </w:p>
        </w:tc>
        <w:tc>
          <w:tcPr>
            <w:tcW w:w="6942" w:type="dxa"/>
            <w:gridSpan w:val="2"/>
          </w:tcPr>
          <w:p w14:paraId="0DEFC86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772F9C9F" w14:textId="77777777" w:rsidTr="00BA3F0D">
        <w:trPr>
          <w:cantSplit/>
        </w:trPr>
        <w:tc>
          <w:tcPr>
            <w:tcW w:w="1975" w:type="dxa"/>
          </w:tcPr>
          <w:p w14:paraId="0196998B" w14:textId="77777777" w:rsidR="001F04FD" w:rsidRPr="006A6281" w:rsidRDefault="001F04FD" w:rsidP="00AC4DEE">
            <w:pPr>
              <w:pStyle w:val="TableBody"/>
            </w:pPr>
            <w:r w:rsidRPr="006A6281">
              <w:t xml:space="preserve">OCONSM </w:t>
            </w:r>
            <w:r w:rsidRPr="00107CC2">
              <w:rPr>
                <w:i/>
                <w:vertAlign w:val="subscript"/>
              </w:rPr>
              <w:t>q, r, p, i</w:t>
            </w:r>
          </w:p>
        </w:tc>
        <w:tc>
          <w:tcPr>
            <w:tcW w:w="900" w:type="dxa"/>
          </w:tcPr>
          <w:p w14:paraId="098D1230" w14:textId="77777777" w:rsidR="001F04FD" w:rsidRPr="006A6281" w:rsidRDefault="001F04FD" w:rsidP="00AC4DEE">
            <w:pPr>
              <w:pStyle w:val="TableBody"/>
            </w:pPr>
            <w:r w:rsidRPr="006A6281">
              <w:t>MW</w:t>
            </w:r>
            <w:r w:rsidR="00091181">
              <w:t>h</w:t>
            </w:r>
          </w:p>
        </w:tc>
        <w:tc>
          <w:tcPr>
            <w:tcW w:w="6942" w:type="dxa"/>
            <w:gridSpan w:val="2"/>
          </w:tcPr>
          <w:p w14:paraId="03FF60C2" w14:textId="77777777" w:rsidR="001F04FD" w:rsidRPr="006A6281" w:rsidRDefault="001F04FD" w:rsidP="00AC4DEE">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306D4E47" w14:textId="77777777" w:rsidTr="00BA3F0D">
        <w:trPr>
          <w:cantSplit/>
        </w:trPr>
        <w:tc>
          <w:tcPr>
            <w:tcW w:w="1975" w:type="dxa"/>
          </w:tcPr>
          <w:p w14:paraId="78987369" w14:textId="77777777" w:rsidR="001F04FD" w:rsidRPr="006A6281" w:rsidRDefault="001F04FD" w:rsidP="00AC4DEE">
            <w:pPr>
              <w:pStyle w:val="TableBody"/>
            </w:pPr>
            <w:r w:rsidRPr="006A6281">
              <w:t>KP1</w:t>
            </w:r>
          </w:p>
        </w:tc>
        <w:tc>
          <w:tcPr>
            <w:tcW w:w="900" w:type="dxa"/>
          </w:tcPr>
          <w:p w14:paraId="0B907E1B" w14:textId="77777777" w:rsidR="001F04FD" w:rsidRPr="006A6281" w:rsidRDefault="00091181" w:rsidP="00AC4DEE">
            <w:pPr>
              <w:pStyle w:val="TableBody"/>
            </w:pPr>
            <w:r>
              <w:t>n</w:t>
            </w:r>
            <w:r w:rsidR="001F04FD" w:rsidRPr="006A6281">
              <w:t>one</w:t>
            </w:r>
          </w:p>
        </w:tc>
        <w:tc>
          <w:tcPr>
            <w:tcW w:w="6942" w:type="dxa"/>
            <w:gridSpan w:val="2"/>
          </w:tcPr>
          <w:p w14:paraId="41428822" w14:textId="77777777" w:rsidR="001F04FD" w:rsidRPr="006A6281" w:rsidRDefault="001F04FD" w:rsidP="00AC4DEE">
            <w:pPr>
              <w:pStyle w:val="TableBody"/>
            </w:pPr>
            <w:r w:rsidRPr="006A6281">
              <w:t>The coefficient applied to the Settlement Point Price for over-consumption charge, 1.0.</w:t>
            </w:r>
          </w:p>
        </w:tc>
      </w:tr>
      <w:tr w:rsidR="001F04FD" w:rsidRPr="006A6281" w14:paraId="01A4A3C7" w14:textId="77777777" w:rsidTr="00BA3F0D">
        <w:trPr>
          <w:cantSplit/>
        </w:trPr>
        <w:tc>
          <w:tcPr>
            <w:tcW w:w="1975" w:type="dxa"/>
          </w:tcPr>
          <w:p w14:paraId="6C60D008" w14:textId="77777777" w:rsidR="001F04FD" w:rsidRPr="006A6281" w:rsidRDefault="001F04FD" w:rsidP="00AC4DEE">
            <w:pPr>
              <w:pStyle w:val="TableBody"/>
            </w:pPr>
            <w:r w:rsidRPr="006A6281">
              <w:t>PRZ1</w:t>
            </w:r>
          </w:p>
        </w:tc>
        <w:tc>
          <w:tcPr>
            <w:tcW w:w="900" w:type="dxa"/>
          </w:tcPr>
          <w:p w14:paraId="5919C5BB" w14:textId="77777777" w:rsidR="001F04FD" w:rsidRPr="006A6281" w:rsidRDefault="001F04FD" w:rsidP="00AC4DEE">
            <w:pPr>
              <w:pStyle w:val="TableBody"/>
            </w:pPr>
            <w:r w:rsidRPr="006A6281">
              <w:t>$/MWh</w:t>
            </w:r>
          </w:p>
        </w:tc>
        <w:tc>
          <w:tcPr>
            <w:tcW w:w="6942" w:type="dxa"/>
            <w:gridSpan w:val="2"/>
          </w:tcPr>
          <w:p w14:paraId="4CC37677" w14:textId="77777777" w:rsidR="001F04FD" w:rsidRPr="006A6281" w:rsidRDefault="001F04FD" w:rsidP="00AC4DEE">
            <w:pPr>
              <w:pStyle w:val="TableBody"/>
            </w:pPr>
            <w:r w:rsidRPr="006A6281">
              <w:t xml:space="preserve">The price to use for the charge calculation when RTSPP is greater than -$20, -$20/MWh.  </w:t>
            </w:r>
          </w:p>
        </w:tc>
      </w:tr>
      <w:tr w:rsidR="001F04FD" w:rsidRPr="006A6281" w14:paraId="61C5DD62" w14:textId="77777777" w:rsidTr="00BA3F0D">
        <w:trPr>
          <w:cantSplit/>
        </w:trPr>
        <w:tc>
          <w:tcPr>
            <w:tcW w:w="1975" w:type="dxa"/>
          </w:tcPr>
          <w:p w14:paraId="242BB607" w14:textId="77777777" w:rsidR="001F04FD" w:rsidRPr="006A6281" w:rsidRDefault="001F04FD" w:rsidP="00AC4DEE">
            <w:pPr>
              <w:pStyle w:val="TableBody"/>
            </w:pPr>
            <w:r w:rsidRPr="006A6281">
              <w:t>KLR1</w:t>
            </w:r>
          </w:p>
        </w:tc>
        <w:tc>
          <w:tcPr>
            <w:tcW w:w="900" w:type="dxa"/>
          </w:tcPr>
          <w:p w14:paraId="3BF2EEE1" w14:textId="77777777" w:rsidR="001F04FD" w:rsidRPr="006A6281" w:rsidRDefault="00091181" w:rsidP="00AC4DEE">
            <w:pPr>
              <w:pStyle w:val="TableBody"/>
            </w:pPr>
            <w:r>
              <w:t>none</w:t>
            </w:r>
          </w:p>
        </w:tc>
        <w:tc>
          <w:tcPr>
            <w:tcW w:w="6942" w:type="dxa"/>
            <w:gridSpan w:val="2"/>
          </w:tcPr>
          <w:p w14:paraId="71C305E4" w14:textId="77777777" w:rsidR="001F04FD" w:rsidRPr="006A6281" w:rsidRDefault="001F04FD" w:rsidP="00AC4DEE">
            <w:pPr>
              <w:pStyle w:val="TableBody"/>
            </w:pPr>
            <w:r w:rsidRPr="006A6281">
              <w:t>The percentage tolerance for over-consumption of a Controllable Load Resource, XO%.</w:t>
            </w:r>
          </w:p>
        </w:tc>
      </w:tr>
      <w:tr w:rsidR="001F04FD" w:rsidRPr="006A6281" w14:paraId="50049375" w14:textId="77777777" w:rsidTr="00BA3F0D">
        <w:trPr>
          <w:cantSplit/>
        </w:trPr>
        <w:tc>
          <w:tcPr>
            <w:tcW w:w="1975" w:type="dxa"/>
          </w:tcPr>
          <w:p w14:paraId="7ECAE59E" w14:textId="77777777" w:rsidR="001F04FD" w:rsidRPr="006A6281" w:rsidRDefault="001F04FD" w:rsidP="00AC4DEE">
            <w:pPr>
              <w:pStyle w:val="TableBody"/>
              <w:rPr>
                <w:i/>
              </w:rPr>
            </w:pPr>
            <w:r w:rsidRPr="006A6281">
              <w:t>QLR1</w:t>
            </w:r>
          </w:p>
        </w:tc>
        <w:tc>
          <w:tcPr>
            <w:tcW w:w="900" w:type="dxa"/>
          </w:tcPr>
          <w:p w14:paraId="48D7E99D" w14:textId="77777777" w:rsidR="001F04FD" w:rsidRPr="006A6281" w:rsidRDefault="001F04FD" w:rsidP="00AC4DEE">
            <w:pPr>
              <w:pStyle w:val="TableBody"/>
            </w:pPr>
            <w:r w:rsidRPr="006A6281">
              <w:t>MW</w:t>
            </w:r>
          </w:p>
        </w:tc>
        <w:tc>
          <w:tcPr>
            <w:tcW w:w="6942" w:type="dxa"/>
            <w:gridSpan w:val="2"/>
          </w:tcPr>
          <w:p w14:paraId="1E2A18C2" w14:textId="77777777" w:rsidR="001F04FD" w:rsidRPr="006A6281" w:rsidRDefault="001F04FD" w:rsidP="00AC4DEE">
            <w:pPr>
              <w:pStyle w:val="TableBody"/>
            </w:pPr>
            <w:r w:rsidRPr="006A6281">
              <w:t>The MW tolerance for over-consumption of a Controllable Load Resource, YO MW.</w:t>
            </w:r>
          </w:p>
        </w:tc>
      </w:tr>
      <w:tr w:rsidR="001F04FD" w:rsidRPr="006A6281" w14:paraId="497DC1CD" w14:textId="77777777" w:rsidTr="00BA3F0D">
        <w:trPr>
          <w:cantSplit/>
        </w:trPr>
        <w:tc>
          <w:tcPr>
            <w:tcW w:w="1975" w:type="dxa"/>
          </w:tcPr>
          <w:p w14:paraId="5A99C632" w14:textId="77777777" w:rsidR="001F04FD" w:rsidRPr="006A6281" w:rsidRDefault="001F04FD" w:rsidP="00AC4DEE">
            <w:pPr>
              <w:pStyle w:val="TableBody"/>
              <w:rPr>
                <w:i/>
              </w:rPr>
            </w:pPr>
            <w:r w:rsidRPr="006A6281">
              <w:rPr>
                <w:i/>
              </w:rPr>
              <w:t>q</w:t>
            </w:r>
          </w:p>
        </w:tc>
        <w:tc>
          <w:tcPr>
            <w:tcW w:w="900" w:type="dxa"/>
          </w:tcPr>
          <w:p w14:paraId="58554C12" w14:textId="77777777" w:rsidR="001F04FD" w:rsidRPr="006A6281" w:rsidRDefault="001F04FD" w:rsidP="00AC4DEE">
            <w:pPr>
              <w:pStyle w:val="TableBody"/>
            </w:pPr>
            <w:r w:rsidRPr="006A6281">
              <w:t>none</w:t>
            </w:r>
          </w:p>
        </w:tc>
        <w:tc>
          <w:tcPr>
            <w:tcW w:w="6942" w:type="dxa"/>
            <w:gridSpan w:val="2"/>
          </w:tcPr>
          <w:p w14:paraId="5B543B8F" w14:textId="77777777" w:rsidR="001F04FD" w:rsidRPr="006A6281" w:rsidRDefault="001F04FD" w:rsidP="00AC4DEE">
            <w:pPr>
              <w:pStyle w:val="TableBody"/>
            </w:pPr>
            <w:r w:rsidRPr="006A6281">
              <w:t>A QSE.</w:t>
            </w:r>
          </w:p>
        </w:tc>
      </w:tr>
      <w:tr w:rsidR="001F04FD" w:rsidRPr="006A6281" w14:paraId="311D7AEE" w14:textId="77777777" w:rsidTr="00BA3F0D">
        <w:trPr>
          <w:cantSplit/>
        </w:trPr>
        <w:tc>
          <w:tcPr>
            <w:tcW w:w="1975" w:type="dxa"/>
          </w:tcPr>
          <w:p w14:paraId="7880C20A" w14:textId="77777777" w:rsidR="001F04FD" w:rsidRPr="006A6281" w:rsidRDefault="001F04FD" w:rsidP="00AC4DEE">
            <w:pPr>
              <w:pStyle w:val="TableBody"/>
              <w:rPr>
                <w:i/>
              </w:rPr>
            </w:pPr>
            <w:r w:rsidRPr="006A6281">
              <w:rPr>
                <w:i/>
              </w:rPr>
              <w:t>p</w:t>
            </w:r>
          </w:p>
        </w:tc>
        <w:tc>
          <w:tcPr>
            <w:tcW w:w="900" w:type="dxa"/>
          </w:tcPr>
          <w:p w14:paraId="7EA10166" w14:textId="77777777" w:rsidR="001F04FD" w:rsidRPr="006A6281" w:rsidRDefault="001F04FD" w:rsidP="00AC4DEE">
            <w:pPr>
              <w:pStyle w:val="TableBody"/>
            </w:pPr>
            <w:r w:rsidRPr="006A6281">
              <w:t>none</w:t>
            </w:r>
          </w:p>
        </w:tc>
        <w:tc>
          <w:tcPr>
            <w:tcW w:w="6942" w:type="dxa"/>
            <w:gridSpan w:val="2"/>
          </w:tcPr>
          <w:p w14:paraId="01BFAB5B" w14:textId="77777777" w:rsidR="001F04FD" w:rsidRPr="006A6281" w:rsidRDefault="001F04FD" w:rsidP="00AC4DEE">
            <w:pPr>
              <w:pStyle w:val="TableBody"/>
            </w:pPr>
            <w:r w:rsidRPr="006A6281">
              <w:t>A Settlement Point.</w:t>
            </w:r>
          </w:p>
        </w:tc>
      </w:tr>
      <w:tr w:rsidR="001F04FD" w:rsidRPr="006A6281" w14:paraId="7CF8F18B" w14:textId="77777777" w:rsidTr="00BA3F0D">
        <w:trPr>
          <w:cantSplit/>
        </w:trPr>
        <w:tc>
          <w:tcPr>
            <w:tcW w:w="1975" w:type="dxa"/>
          </w:tcPr>
          <w:p w14:paraId="5301D122" w14:textId="77777777" w:rsidR="001F04FD" w:rsidRPr="006A6281" w:rsidRDefault="001F04FD" w:rsidP="00AC4DEE">
            <w:pPr>
              <w:pStyle w:val="TableBody"/>
              <w:rPr>
                <w:i/>
              </w:rPr>
            </w:pPr>
            <w:r w:rsidRPr="006A6281">
              <w:rPr>
                <w:i/>
              </w:rPr>
              <w:t>r</w:t>
            </w:r>
          </w:p>
        </w:tc>
        <w:tc>
          <w:tcPr>
            <w:tcW w:w="900" w:type="dxa"/>
          </w:tcPr>
          <w:p w14:paraId="07C0D993" w14:textId="77777777" w:rsidR="001F04FD" w:rsidRPr="006A6281" w:rsidRDefault="00091181" w:rsidP="00AC4DEE">
            <w:pPr>
              <w:pStyle w:val="TableBody"/>
            </w:pPr>
            <w:r>
              <w:t>n</w:t>
            </w:r>
            <w:r w:rsidR="001F04FD" w:rsidRPr="006A6281">
              <w:t>one</w:t>
            </w:r>
          </w:p>
        </w:tc>
        <w:tc>
          <w:tcPr>
            <w:tcW w:w="6942" w:type="dxa"/>
            <w:gridSpan w:val="2"/>
          </w:tcPr>
          <w:p w14:paraId="0C67962D" w14:textId="77777777" w:rsidR="001F04FD" w:rsidRPr="006A6281" w:rsidRDefault="001F04FD" w:rsidP="00AC4DEE">
            <w:pPr>
              <w:pStyle w:val="TableBody"/>
            </w:pPr>
            <w:r w:rsidRPr="006A6281">
              <w:t>A Controllable Load Resource.</w:t>
            </w:r>
          </w:p>
        </w:tc>
      </w:tr>
      <w:tr w:rsidR="001F04FD" w:rsidRPr="006A6281" w14:paraId="02AAA236" w14:textId="77777777" w:rsidTr="00BA3F0D">
        <w:trPr>
          <w:cantSplit/>
          <w:trHeight w:val="152"/>
        </w:trPr>
        <w:tc>
          <w:tcPr>
            <w:tcW w:w="1975" w:type="dxa"/>
          </w:tcPr>
          <w:p w14:paraId="75576059" w14:textId="77777777" w:rsidR="001F04FD" w:rsidRPr="006A6281" w:rsidDel="00B33B6F" w:rsidRDefault="001F04FD" w:rsidP="00AC4DEE">
            <w:pPr>
              <w:pStyle w:val="TableBody"/>
              <w:rPr>
                <w:i/>
              </w:rPr>
            </w:pPr>
            <w:r w:rsidRPr="006A6281">
              <w:rPr>
                <w:i/>
              </w:rPr>
              <w:t>i</w:t>
            </w:r>
          </w:p>
        </w:tc>
        <w:tc>
          <w:tcPr>
            <w:tcW w:w="900" w:type="dxa"/>
          </w:tcPr>
          <w:p w14:paraId="3418241A" w14:textId="77777777" w:rsidR="001F04FD" w:rsidRPr="006A6281" w:rsidDel="00B33B6F" w:rsidRDefault="001F04FD" w:rsidP="00AC4DEE">
            <w:pPr>
              <w:pStyle w:val="TableBody"/>
            </w:pPr>
            <w:r w:rsidRPr="006A6281">
              <w:t>none</w:t>
            </w:r>
          </w:p>
        </w:tc>
        <w:tc>
          <w:tcPr>
            <w:tcW w:w="6942" w:type="dxa"/>
            <w:gridSpan w:val="2"/>
          </w:tcPr>
          <w:p w14:paraId="1D2DD755" w14:textId="77777777" w:rsidR="001F04FD" w:rsidRPr="006A6281" w:rsidDel="00B33B6F" w:rsidRDefault="001F04FD" w:rsidP="00AC4DEE">
            <w:pPr>
              <w:pStyle w:val="TableBody"/>
            </w:pPr>
            <w:r w:rsidRPr="006A6281">
              <w:t>A 15-minute Settlement Interval.</w:t>
            </w:r>
          </w:p>
        </w:tc>
      </w:tr>
      <w:tr w:rsidR="001F04FD" w:rsidRPr="006A6281" w14:paraId="7594C0D4" w14:textId="77777777" w:rsidTr="00BA3F0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71DAC49"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8674EF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E4DB13A" w14:textId="77777777" w:rsidR="001F04FD" w:rsidRPr="006A6281" w:rsidRDefault="001F04FD" w:rsidP="00AC4DEE">
            <w:pPr>
              <w:pStyle w:val="TableBody"/>
            </w:pPr>
            <w:r w:rsidRPr="006A6281">
              <w:t xml:space="preserve">A five-minute clock interval in the Settlement Interval. </w:t>
            </w:r>
          </w:p>
        </w:tc>
      </w:tr>
    </w:tbl>
    <w:p w14:paraId="5A771FA1" w14:textId="77777777" w:rsidR="00BE3301" w:rsidRDefault="00BE3301"/>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BE3301" w14:paraId="0050772A"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29AF89FD" w14:textId="2DCBB3DD" w:rsidR="00BE3301" w:rsidRDefault="00BE3301" w:rsidP="00AB2BB6">
            <w:pPr>
              <w:pStyle w:val="Instructions"/>
              <w:spacing w:before="120"/>
            </w:pPr>
            <w:bookmarkStart w:id="2128" w:name="_Toc402357154"/>
            <w:bookmarkStart w:id="2129" w:name="_Toc422486534"/>
            <w:bookmarkStart w:id="2130" w:name="_Toc433093387"/>
            <w:bookmarkStart w:id="2131" w:name="_Toc433093545"/>
            <w:bookmarkStart w:id="2132" w:name="_Toc440874775"/>
            <w:bookmarkStart w:id="2133" w:name="_Toc448142332"/>
            <w:bookmarkStart w:id="2134" w:name="_Toc448142489"/>
            <w:bookmarkStart w:id="2135" w:name="_Toc458770330"/>
            <w:bookmarkStart w:id="2136" w:name="_Toc459294298"/>
            <w:bookmarkStart w:id="2137" w:name="_Toc463262791"/>
            <w:bookmarkStart w:id="2138" w:name="_Toc468286864"/>
            <w:bookmarkStart w:id="2139" w:name="_Toc481502904"/>
            <w:bookmarkStart w:id="2140" w:name="_Toc496080072"/>
            <w:bookmarkStart w:id="2141" w:name="_Toc109009404"/>
            <w:r>
              <w:t>[NPRR963</w:t>
            </w:r>
            <w:r w:rsidR="009E7633">
              <w:t>,</w:t>
            </w:r>
            <w:r w:rsidR="00537E31">
              <w:t xml:space="preserve"> NPRR1010</w:t>
            </w:r>
            <w:r w:rsidR="009E7633">
              <w:t>, and NPRR1014</w:t>
            </w:r>
            <w:r>
              <w:t xml:space="preserve">:  Replace </w:t>
            </w:r>
            <w:r w:rsidR="0018785B">
              <w:t xml:space="preserve">applicable portions of </w:t>
            </w:r>
            <w:r>
              <w:t>Section 6.6.5.1.1.3 above with the following upon system implementation</w:t>
            </w:r>
            <w:r w:rsidR="00537E31">
              <w:t xml:space="preserve"> for NPRR963</w:t>
            </w:r>
            <w:r w:rsidR="009E7633">
              <w:t xml:space="preserve"> or NPRR1014</w:t>
            </w:r>
            <w:r w:rsidR="00537E31">
              <w:t xml:space="preserve">; or upon system </w:t>
            </w:r>
            <w:r w:rsidR="00537E31">
              <w:lastRenderedPageBreak/>
              <w:t>implementation of the Real-Time Co-Optimization (RTC) project for NPRR1010;</w:t>
            </w:r>
            <w:r w:rsidR="00C215CF">
              <w:t xml:space="preserve"> and renumber accordingly</w:t>
            </w:r>
            <w:r>
              <w:t>:]</w:t>
            </w:r>
          </w:p>
          <w:p w14:paraId="30FC7C52" w14:textId="063506D7" w:rsidR="00BE3301" w:rsidRPr="002600B6" w:rsidRDefault="00BE3301" w:rsidP="00636003">
            <w:pPr>
              <w:pStyle w:val="H4"/>
              <w:tabs>
                <w:tab w:val="clear" w:pos="1260"/>
                <w:tab w:val="left" w:pos="1620"/>
              </w:tabs>
              <w:ind w:left="1627" w:hanging="1627"/>
              <w:outlineLvl w:val="4"/>
            </w:pPr>
            <w:bookmarkStart w:id="2142" w:name="_Toc60040695"/>
            <w:bookmarkStart w:id="2143" w:name="_Toc65151754"/>
            <w:bookmarkStart w:id="2144" w:name="_Toc80174780"/>
            <w:bookmarkStart w:id="2145" w:name="_Toc112417660"/>
            <w:bookmarkStart w:id="2146" w:name="_Toc119310329"/>
            <w:bookmarkStart w:id="2147" w:name="_Toc125966262"/>
            <w:bookmarkStart w:id="2148" w:name="_Toc135992360"/>
            <w:bookmarkStart w:id="2149" w:name="_Toc170303556"/>
            <w:bookmarkStart w:id="2150" w:name="_Toc175157460"/>
            <w:bookmarkStart w:id="2151" w:name="_Toc189044433"/>
            <w:r w:rsidRPr="002600B6">
              <w:t>6.6.5.</w:t>
            </w:r>
            <w:r>
              <w:t>3</w:t>
            </w:r>
            <w:r w:rsidRPr="002600B6">
              <w:tab/>
              <w:t xml:space="preserve">Controllable Load Resource </w:t>
            </w:r>
            <w:r w:rsidR="00537E31">
              <w:t>Set</w:t>
            </w:r>
            <w:r w:rsidRPr="002600B6">
              <w:t xml:space="preserve"> Point Deviation Charge for Over Consumption</w:t>
            </w:r>
            <w:bookmarkEnd w:id="2142"/>
            <w:bookmarkEnd w:id="2143"/>
            <w:bookmarkEnd w:id="2144"/>
            <w:bookmarkEnd w:id="2145"/>
            <w:bookmarkEnd w:id="2146"/>
            <w:bookmarkEnd w:id="2147"/>
            <w:bookmarkEnd w:id="2148"/>
            <w:bookmarkEnd w:id="2149"/>
            <w:bookmarkEnd w:id="2150"/>
            <w:bookmarkEnd w:id="2151"/>
          </w:p>
          <w:p w14:paraId="613A3193" w14:textId="3B541563" w:rsidR="00BE3301" w:rsidRPr="006A6281" w:rsidRDefault="00BE3301" w:rsidP="00BE3301">
            <w:pPr>
              <w:pStyle w:val="BodyTextNumbered"/>
            </w:pPr>
            <w:r w:rsidRPr="006A6281">
              <w:t>(1)</w:t>
            </w:r>
            <w:r w:rsidRPr="006A6281">
              <w:tab/>
              <w:t xml:space="preserve">ERCOT shall charge a QSE </w:t>
            </w:r>
            <w:r>
              <w:t>of</w:t>
            </w:r>
            <w:r w:rsidRPr="006A6281">
              <w:t xml:space="preserve"> a Controllable Load Resource</w:t>
            </w:r>
            <w:r>
              <w:t xml:space="preserve">, </w:t>
            </w:r>
            <w:r w:rsidRPr="006A6281">
              <w:t>for over-consumption that exceeds the following tolerance.  The tolerance is the greater of:</w:t>
            </w:r>
          </w:p>
          <w:p w14:paraId="108CC1CD" w14:textId="618379FC" w:rsidR="00BE3301" w:rsidRPr="006A6281" w:rsidRDefault="00BE3301" w:rsidP="00BE3301">
            <w:pPr>
              <w:pStyle w:val="BodyTextNumbered"/>
              <w:ind w:left="1440"/>
            </w:pPr>
            <w:r w:rsidRPr="006A6281">
              <w:t>(a)</w:t>
            </w:r>
            <w:r w:rsidRPr="006A6281">
              <w:tab/>
              <w:t xml:space="preserve">XO% of the </w:t>
            </w:r>
            <w:r w:rsidR="00647F76">
              <w:t>AASP</w:t>
            </w:r>
            <w:r w:rsidRPr="006A6281">
              <w:t xml:space="preserve"> in the Settlement Interval; or</w:t>
            </w:r>
          </w:p>
          <w:p w14:paraId="02F39072" w14:textId="683907AD" w:rsidR="00BE3301" w:rsidRPr="006A6281" w:rsidRDefault="00BE3301" w:rsidP="00BE3301">
            <w:pPr>
              <w:pStyle w:val="BodyTextNumbered"/>
              <w:ind w:left="1440"/>
            </w:pPr>
            <w:r w:rsidRPr="006A6281">
              <w:t>(b)</w:t>
            </w:r>
            <w:r w:rsidRPr="006A6281">
              <w:tab/>
              <w:t xml:space="preserve">YO MW above the </w:t>
            </w:r>
            <w:r w:rsidR="00647F76">
              <w:t>AASP</w:t>
            </w:r>
            <w:r w:rsidRPr="006A6281">
              <w:t xml:space="preserve"> in the Settlement Interval</w:t>
            </w:r>
            <w:r>
              <w:t xml:space="preserve">. </w:t>
            </w:r>
            <w:r w:rsidRPr="006A6281">
              <w:t xml:space="preserve"> </w:t>
            </w:r>
          </w:p>
          <w:p w14:paraId="54F91704" w14:textId="65B18F25" w:rsidR="00BE3301" w:rsidRPr="006A6281" w:rsidRDefault="00BE3301" w:rsidP="00BE3301">
            <w:pPr>
              <w:pStyle w:val="BodyTextNumbered"/>
              <w:rPr>
                <w:iCs/>
              </w:rPr>
            </w:pPr>
            <w:r w:rsidRPr="006A6281">
              <w:rPr>
                <w:iCs/>
              </w:rPr>
              <w:t>(2)</w:t>
            </w:r>
            <w:r w:rsidRPr="006A6281">
              <w:rPr>
                <w:iCs/>
              </w:rPr>
              <w:tab/>
            </w:r>
            <w:r w:rsidRPr="006A6281">
              <w:t xml:space="preserve">The Controllable Load Resource </w:t>
            </w:r>
            <w:r w:rsidR="00647F76">
              <w:t>Set</w:t>
            </w:r>
            <w:r w:rsidRPr="006A6281">
              <w:t xml:space="preserv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72F4D7BC" w14:textId="21B7F9B3" w:rsidR="00BE3301" w:rsidRPr="006A6281" w:rsidRDefault="00BE3301" w:rsidP="00BE3301">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w:t>
            </w:r>
            <w:r>
              <w:t>,</w:t>
            </w:r>
            <w:r w:rsidRPr="006A6281">
              <w:rPr>
                <w:iCs/>
              </w:rPr>
              <w:t xml:space="preserve"> during a 15-minute Settlement Interval is calculated as follows:</w:t>
            </w:r>
          </w:p>
          <w:p w14:paraId="36052BA0" w14:textId="77777777" w:rsidR="00BE3301" w:rsidRPr="006A6281" w:rsidRDefault="00BE3301" w:rsidP="00BE3301">
            <w:pPr>
              <w:ind w:left="720"/>
              <w:rPr>
                <w:lang w:val="pt-BR"/>
              </w:rPr>
            </w:pPr>
          </w:p>
          <w:p w14:paraId="7F677B5A" w14:textId="29F30FCF" w:rsidR="00BE3301" w:rsidRPr="006A6281" w:rsidRDefault="00BE3301" w:rsidP="00BE3301">
            <w:pPr>
              <w:pStyle w:val="FormulaBold"/>
              <w:tabs>
                <w:tab w:val="left" w:pos="720"/>
              </w:tabs>
              <w:ind w:left="2880" w:hanging="2880"/>
              <w:rPr>
                <w:lang w:val="pt-BR"/>
              </w:rPr>
            </w:pPr>
            <w:r w:rsidRPr="006A6281">
              <w:rPr>
                <w:lang w:val="pt-BR"/>
              </w:rPr>
              <w:tab/>
            </w:r>
            <w:r w:rsidR="00647F76">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t xml:space="preserve"> </w:t>
            </w:r>
            <w:r w:rsidRPr="006A6281">
              <w:rPr>
                <w:i/>
                <w:vertAlign w:val="subscript"/>
              </w:rPr>
              <w:t>p,</w:t>
            </w:r>
            <w:r>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3FF430EB" w14:textId="77777777" w:rsidR="00BE3301" w:rsidRPr="006A6281" w:rsidRDefault="00BE3301" w:rsidP="00BE3301">
            <w:pPr>
              <w:pStyle w:val="FormulaBold"/>
              <w:rPr>
                <w:b w:val="0"/>
              </w:rPr>
            </w:pPr>
            <w:r w:rsidRPr="006A6281">
              <w:rPr>
                <w:b w:val="0"/>
              </w:rPr>
              <w:t>Where:</w:t>
            </w:r>
          </w:p>
          <w:p w14:paraId="16057FB7" w14:textId="6FC88702" w:rsidR="00BE3301" w:rsidRPr="002600B6" w:rsidRDefault="00BE3301" w:rsidP="00BE3301">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Pr>
                <w:iCs/>
              </w:rPr>
              <w:t xml:space="preserve"> </w:t>
            </w:r>
            <w:r w:rsidRPr="002600B6">
              <w:rPr>
                <w:i/>
                <w:vertAlign w:val="subscript"/>
                <w:lang w:val="es-ES"/>
              </w:rPr>
              <w:t>q, r, p, i</w:t>
            </w:r>
            <w:r w:rsidRPr="002600B6">
              <w:rPr>
                <w:iCs/>
              </w:rPr>
              <w:t xml:space="preserve"> - ¼* </w:t>
            </w:r>
            <w:r w:rsidRPr="002600B6">
              <w:t>Max (((1 + KLR1) * AA</w:t>
            </w:r>
            <w:r w:rsidR="00647F76">
              <w:t>S</w:t>
            </w:r>
            <w:r w:rsidRPr="002600B6">
              <w:t>P</w:t>
            </w:r>
            <w:r w:rsidRPr="002600B6">
              <w:rPr>
                <w:i/>
                <w:iCs/>
                <w:vertAlign w:val="subscript"/>
                <w:lang w:val="es-ES"/>
              </w:rPr>
              <w:t xml:space="preserve"> q, r, p, i</w:t>
            </w:r>
            <w:r w:rsidRPr="002600B6">
              <w:rPr>
                <w:rFonts w:ascii="Times New Roman Bold" w:hAnsi="Times New Roman Bold"/>
                <w:iCs/>
                <w:lang w:val="es-ES"/>
              </w:rPr>
              <w:t>)</w:t>
            </w:r>
            <w:r w:rsidRPr="002600B6">
              <w:t>, (AA</w:t>
            </w:r>
            <w:r w:rsidR="00647F76">
              <w:t>S</w:t>
            </w:r>
            <w:r w:rsidRPr="002600B6">
              <w:t>P</w:t>
            </w:r>
            <w:r w:rsidRPr="002600B6">
              <w:rPr>
                <w:i/>
                <w:iCs/>
                <w:vertAlign w:val="subscript"/>
                <w:lang w:val="es-ES"/>
              </w:rPr>
              <w:t xml:space="preserve"> q, r, p, i </w:t>
            </w:r>
            <w:r w:rsidRPr="002600B6">
              <w:t>+ QLR1)))</w:t>
            </w:r>
            <w:r w:rsidRPr="002600B6">
              <w:rPr>
                <w:iCs/>
              </w:rPr>
              <w:t>]</w:t>
            </w:r>
          </w:p>
          <w:p w14:paraId="6C0148E0" w14:textId="77777777" w:rsidR="00BE3301" w:rsidRPr="002600B6" w:rsidRDefault="00BE3301" w:rsidP="00BE3301">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17D3BCBE">
                <v:shape id="_x0000_i1188" type="#_x0000_t75" style="width:6pt;height:24pt" o:ole="">
                  <v:imagedata r:id="rId208" o:title=""/>
                </v:shape>
                <o:OLEObject Type="Embed" ProgID="Equation.3" ShapeID="_x0000_i1188" DrawAspect="Content" ObjectID="_1804653673" r:id="rId220"/>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08559876" w14:textId="77777777" w:rsidR="00BE3301" w:rsidRPr="006A6281" w:rsidRDefault="00BE3301" w:rsidP="00BE3301">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636003" w:rsidRPr="006A6281" w14:paraId="042BF826" w14:textId="77777777" w:rsidTr="00AB2BB6">
              <w:tc>
                <w:tcPr>
                  <w:tcW w:w="1975" w:type="dxa"/>
                </w:tcPr>
                <w:p w14:paraId="39038BE0" w14:textId="77777777" w:rsidR="00636003" w:rsidRPr="006A6281" w:rsidRDefault="00636003" w:rsidP="00636003">
                  <w:pPr>
                    <w:pStyle w:val="TableHead"/>
                    <w:rPr>
                      <w:sz w:val="18"/>
                      <w:szCs w:val="18"/>
                    </w:rPr>
                  </w:pPr>
                  <w:r w:rsidRPr="006A6281">
                    <w:rPr>
                      <w:sz w:val="18"/>
                      <w:szCs w:val="18"/>
                    </w:rPr>
                    <w:t>Variable</w:t>
                  </w:r>
                </w:p>
              </w:tc>
              <w:tc>
                <w:tcPr>
                  <w:tcW w:w="900" w:type="dxa"/>
                </w:tcPr>
                <w:p w14:paraId="5819DFDF" w14:textId="77777777" w:rsidR="00636003" w:rsidRPr="006A6281" w:rsidRDefault="00636003" w:rsidP="00636003">
                  <w:pPr>
                    <w:pStyle w:val="TableHead"/>
                    <w:rPr>
                      <w:sz w:val="18"/>
                      <w:szCs w:val="18"/>
                    </w:rPr>
                  </w:pPr>
                  <w:r w:rsidRPr="006A6281">
                    <w:rPr>
                      <w:sz w:val="18"/>
                      <w:szCs w:val="18"/>
                    </w:rPr>
                    <w:t>Unit</w:t>
                  </w:r>
                </w:p>
              </w:tc>
              <w:tc>
                <w:tcPr>
                  <w:tcW w:w="6942" w:type="dxa"/>
                  <w:gridSpan w:val="2"/>
                </w:tcPr>
                <w:p w14:paraId="73AE637F" w14:textId="77777777" w:rsidR="00636003" w:rsidRPr="006A6281" w:rsidRDefault="00636003" w:rsidP="00636003">
                  <w:pPr>
                    <w:pStyle w:val="TableHead"/>
                    <w:rPr>
                      <w:sz w:val="18"/>
                      <w:szCs w:val="18"/>
                    </w:rPr>
                  </w:pPr>
                  <w:r w:rsidRPr="006A6281">
                    <w:rPr>
                      <w:sz w:val="18"/>
                      <w:szCs w:val="18"/>
                    </w:rPr>
                    <w:t>Definition</w:t>
                  </w:r>
                </w:p>
              </w:tc>
            </w:tr>
            <w:tr w:rsidR="00636003" w:rsidRPr="006A6281" w14:paraId="01575295" w14:textId="77777777" w:rsidTr="00AB2BB6">
              <w:trPr>
                <w:cantSplit/>
              </w:trPr>
              <w:tc>
                <w:tcPr>
                  <w:tcW w:w="1975" w:type="dxa"/>
                </w:tcPr>
                <w:p w14:paraId="25DB8AC5" w14:textId="7AF05B13" w:rsidR="00636003" w:rsidRPr="006A6281" w:rsidRDefault="00647F76" w:rsidP="00636003">
                  <w:pPr>
                    <w:pStyle w:val="TableBody"/>
                  </w:pPr>
                  <w:r>
                    <w:t>S</w:t>
                  </w:r>
                  <w:r w:rsidR="00636003" w:rsidRPr="006A6281">
                    <w:t xml:space="preserve">PDAMT </w:t>
                  </w:r>
                  <w:r w:rsidR="00636003" w:rsidRPr="00107CC2">
                    <w:rPr>
                      <w:i/>
                      <w:vertAlign w:val="subscript"/>
                    </w:rPr>
                    <w:t>q, r, p, i</w:t>
                  </w:r>
                </w:p>
              </w:tc>
              <w:tc>
                <w:tcPr>
                  <w:tcW w:w="900" w:type="dxa"/>
                </w:tcPr>
                <w:p w14:paraId="72676D8C" w14:textId="77777777" w:rsidR="00636003" w:rsidRPr="006A6281" w:rsidRDefault="00636003" w:rsidP="00636003">
                  <w:pPr>
                    <w:pStyle w:val="TableBody"/>
                  </w:pPr>
                  <w:r w:rsidRPr="006A6281">
                    <w:t>$</w:t>
                  </w:r>
                </w:p>
              </w:tc>
              <w:tc>
                <w:tcPr>
                  <w:tcW w:w="6942" w:type="dxa"/>
                  <w:gridSpan w:val="2"/>
                </w:tcPr>
                <w:p w14:paraId="04E286BA" w14:textId="25968C19" w:rsidR="00636003" w:rsidRPr="006A6281" w:rsidRDefault="00647F76" w:rsidP="00647F76">
                  <w:pPr>
                    <w:pStyle w:val="TableBody"/>
                  </w:pPr>
                  <w:r>
                    <w:rPr>
                      <w:i/>
                    </w:rPr>
                    <w:t>Set</w:t>
                  </w:r>
                  <w:r w:rsidR="00636003" w:rsidRPr="006A6281">
                    <w:rPr>
                      <w:i/>
                    </w:rPr>
                    <w:t xml:space="preserve"> Point Deviation Charge per QSE per Settlement Point per Resource</w:t>
                  </w:r>
                  <w:r w:rsidR="00636003" w:rsidRPr="006A6281">
                    <w:t xml:space="preserve">—The charge to QSE </w:t>
                  </w:r>
                  <w:r w:rsidR="00636003" w:rsidRPr="006A6281">
                    <w:rPr>
                      <w:i/>
                    </w:rPr>
                    <w:t>q</w:t>
                  </w:r>
                  <w:r w:rsidR="00636003" w:rsidRPr="006A6281">
                    <w:t xml:space="preserve"> for Controllable Load Resource </w:t>
                  </w:r>
                  <w:r w:rsidR="00636003" w:rsidRPr="006A6281">
                    <w:rPr>
                      <w:i/>
                    </w:rPr>
                    <w:t>r</w:t>
                  </w:r>
                  <w:r w:rsidR="00636003" w:rsidRPr="006A6281">
                    <w:t xml:space="preserve"> at Settlement Point </w:t>
                  </w:r>
                  <w:r w:rsidR="00636003" w:rsidRPr="006A6281">
                    <w:rPr>
                      <w:i/>
                    </w:rPr>
                    <w:t>p</w:t>
                  </w:r>
                  <w:r w:rsidR="00636003" w:rsidRPr="006A6281">
                    <w:t xml:space="preserve">, for its deviation from </w:t>
                  </w:r>
                  <w:r>
                    <w:t>AASP</w:t>
                  </w:r>
                  <w:r w:rsidR="00636003" w:rsidRPr="006A6281">
                    <w:t xml:space="preserve">, for the 15-minute Settlement Interval </w:t>
                  </w:r>
                  <w:r w:rsidR="00636003" w:rsidRPr="006A6281">
                    <w:rPr>
                      <w:i/>
                    </w:rPr>
                    <w:t>i</w:t>
                  </w:r>
                  <w:r w:rsidR="00636003" w:rsidRPr="006A6281">
                    <w:t>.</w:t>
                  </w:r>
                </w:p>
              </w:tc>
            </w:tr>
            <w:tr w:rsidR="00636003" w:rsidRPr="006A6281" w14:paraId="2BFA55F4" w14:textId="77777777" w:rsidTr="00AB2BB6">
              <w:trPr>
                <w:cantSplit/>
              </w:trPr>
              <w:tc>
                <w:tcPr>
                  <w:tcW w:w="1975" w:type="dxa"/>
                </w:tcPr>
                <w:p w14:paraId="0E07DCC6" w14:textId="77777777" w:rsidR="00636003" w:rsidRPr="006A6281" w:rsidRDefault="00636003" w:rsidP="00636003">
                  <w:pPr>
                    <w:pStyle w:val="TableBody"/>
                  </w:pPr>
                  <w:r w:rsidRPr="006A6281">
                    <w:t xml:space="preserve">RTSPP </w:t>
                  </w:r>
                  <w:r w:rsidRPr="00107CC2">
                    <w:rPr>
                      <w:i/>
                      <w:vertAlign w:val="subscript"/>
                    </w:rPr>
                    <w:t>p, i</w:t>
                  </w:r>
                </w:p>
              </w:tc>
              <w:tc>
                <w:tcPr>
                  <w:tcW w:w="900" w:type="dxa"/>
                </w:tcPr>
                <w:p w14:paraId="5EAD45B6" w14:textId="77777777" w:rsidR="00636003" w:rsidRPr="006A6281" w:rsidRDefault="00636003" w:rsidP="00636003">
                  <w:pPr>
                    <w:pStyle w:val="TableBody"/>
                  </w:pPr>
                  <w:r w:rsidRPr="006A6281">
                    <w:t>$/MWh</w:t>
                  </w:r>
                </w:p>
              </w:tc>
              <w:tc>
                <w:tcPr>
                  <w:tcW w:w="6942" w:type="dxa"/>
                  <w:gridSpan w:val="2"/>
                </w:tcPr>
                <w:p w14:paraId="38583BC9" w14:textId="77777777" w:rsidR="00636003" w:rsidRPr="006A6281" w:rsidRDefault="00636003" w:rsidP="00636003">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636003" w:rsidRPr="006A6281" w14:paraId="20E38C1F" w14:textId="77777777" w:rsidTr="00AB2BB6">
              <w:trPr>
                <w:gridAfter w:val="1"/>
                <w:wAfter w:w="12" w:type="dxa"/>
                <w:cantSplit/>
              </w:trPr>
              <w:tc>
                <w:tcPr>
                  <w:tcW w:w="1975" w:type="dxa"/>
                </w:tcPr>
                <w:p w14:paraId="3DC03381" w14:textId="77777777" w:rsidR="00636003" w:rsidRPr="006A6281" w:rsidRDefault="00636003" w:rsidP="00636003">
                  <w:pPr>
                    <w:pStyle w:val="TableBody"/>
                  </w:pPr>
                  <w:r w:rsidRPr="006A6281">
                    <w:t xml:space="preserve">ATPC </w:t>
                  </w:r>
                  <w:r w:rsidRPr="00107CC2">
                    <w:rPr>
                      <w:i/>
                      <w:vertAlign w:val="subscript"/>
                    </w:rPr>
                    <w:t>q, r, p, i</w:t>
                  </w:r>
                </w:p>
              </w:tc>
              <w:tc>
                <w:tcPr>
                  <w:tcW w:w="900" w:type="dxa"/>
                </w:tcPr>
                <w:p w14:paraId="1184A8BE" w14:textId="77777777" w:rsidR="00636003" w:rsidRPr="006A6281" w:rsidRDefault="00636003" w:rsidP="00636003">
                  <w:pPr>
                    <w:pStyle w:val="TableBody"/>
                  </w:pPr>
                  <w:r w:rsidRPr="006A6281">
                    <w:t>MWh</w:t>
                  </w:r>
                </w:p>
              </w:tc>
              <w:tc>
                <w:tcPr>
                  <w:tcW w:w="6930" w:type="dxa"/>
                </w:tcPr>
                <w:p w14:paraId="294A4270" w14:textId="77777777" w:rsidR="00636003" w:rsidRPr="006A6281" w:rsidRDefault="00636003" w:rsidP="00636003">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636003" w:rsidRPr="006A6281" w14:paraId="5EE92C1A" w14:textId="77777777" w:rsidTr="00AB2BB6">
              <w:trPr>
                <w:gridAfter w:val="1"/>
                <w:wAfter w:w="12" w:type="dxa"/>
                <w:cantSplit/>
              </w:trPr>
              <w:tc>
                <w:tcPr>
                  <w:tcW w:w="1975" w:type="dxa"/>
                </w:tcPr>
                <w:p w14:paraId="54833509" w14:textId="7EA5C976" w:rsidR="00636003" w:rsidRPr="006A6281" w:rsidRDefault="00636003" w:rsidP="00F64D00">
                  <w:pPr>
                    <w:pStyle w:val="TableBody"/>
                  </w:pPr>
                  <w:r w:rsidRPr="006A6281">
                    <w:t>AA</w:t>
                  </w:r>
                  <w:r w:rsidR="00647F76">
                    <w:t>S</w:t>
                  </w:r>
                  <w:r w:rsidRPr="006A6281">
                    <w:t xml:space="preserve">P </w:t>
                  </w:r>
                  <w:r w:rsidRPr="00107CC2">
                    <w:rPr>
                      <w:i/>
                      <w:vertAlign w:val="subscript"/>
                    </w:rPr>
                    <w:t>q, r, p, i</w:t>
                  </w:r>
                </w:p>
              </w:tc>
              <w:tc>
                <w:tcPr>
                  <w:tcW w:w="900" w:type="dxa"/>
                </w:tcPr>
                <w:p w14:paraId="489687D1" w14:textId="77777777" w:rsidR="00636003" w:rsidRPr="006A6281" w:rsidRDefault="00636003" w:rsidP="00636003">
                  <w:pPr>
                    <w:pStyle w:val="TableBody"/>
                  </w:pPr>
                  <w:r w:rsidRPr="006A6281">
                    <w:t>MW</w:t>
                  </w:r>
                </w:p>
              </w:tc>
              <w:tc>
                <w:tcPr>
                  <w:tcW w:w="6930" w:type="dxa"/>
                </w:tcPr>
                <w:p w14:paraId="51E525D5" w14:textId="0B589C11" w:rsidR="00636003" w:rsidRPr="006A6281" w:rsidRDefault="00647F76" w:rsidP="00F64D00">
                  <w:pPr>
                    <w:pStyle w:val="TableBody"/>
                    <w:rPr>
                      <w:i/>
                    </w:rPr>
                  </w:pPr>
                  <w:r>
                    <w:rPr>
                      <w:i/>
                    </w:rPr>
                    <w:t>Average</w:t>
                  </w:r>
                  <w:r w:rsidR="00636003" w:rsidRPr="006A6281">
                    <w:rPr>
                      <w:i/>
                    </w:rPr>
                    <w:t xml:space="preserve"> Aggregated </w:t>
                  </w:r>
                  <w:r>
                    <w:rPr>
                      <w:i/>
                    </w:rPr>
                    <w:t>Set</w:t>
                  </w:r>
                  <w:r w:rsidR="00636003" w:rsidRPr="006A6281">
                    <w:rPr>
                      <w:i/>
                    </w:rPr>
                    <w:t xml:space="preserve"> Point </w:t>
                  </w:r>
                  <w:r w:rsidR="00636003">
                    <w:rPr>
                      <w:i/>
                    </w:rPr>
                    <w:t xml:space="preserve">for the Resource </w:t>
                  </w:r>
                  <w:r w:rsidR="00636003" w:rsidRPr="006A6281">
                    <w:rPr>
                      <w:i/>
                    </w:rPr>
                    <w:t>per QSE per Settlement Point per Resource</w:t>
                  </w:r>
                  <w:r w:rsidR="00636003" w:rsidRPr="006A6281">
                    <w:t xml:space="preserve">—The </w:t>
                  </w:r>
                  <w:r>
                    <w:rPr>
                      <w:iCs w:val="0"/>
                    </w:rPr>
                    <w:t>average of the Average Five Minute Clock Interval Set Point (AVGSP5M)</w:t>
                  </w:r>
                  <w:r w:rsidR="00636003" w:rsidRPr="006A6281">
                    <w:t xml:space="preserve"> of Resource </w:t>
                  </w:r>
                  <w:r w:rsidR="00636003" w:rsidRPr="006A6281">
                    <w:rPr>
                      <w:i/>
                    </w:rPr>
                    <w:t>r</w:t>
                  </w:r>
                  <w:r w:rsidR="00636003" w:rsidRPr="006A6281">
                    <w:t xml:space="preserve"> represented by QSE </w:t>
                  </w:r>
                  <w:r w:rsidR="00636003" w:rsidRPr="006A6281">
                    <w:rPr>
                      <w:i/>
                    </w:rPr>
                    <w:t xml:space="preserve">q </w:t>
                  </w:r>
                  <w:r w:rsidR="00636003" w:rsidRPr="006A6281">
                    <w:t xml:space="preserve">at Settlement Point </w:t>
                  </w:r>
                  <w:r w:rsidR="00636003" w:rsidRPr="006A6281">
                    <w:rPr>
                      <w:i/>
                    </w:rPr>
                    <w:t>p</w:t>
                  </w:r>
                  <w:r w:rsidR="00636003" w:rsidRPr="006A6281">
                    <w:t xml:space="preserve">, for the 15-minute Settlement Interval </w:t>
                  </w:r>
                  <w:r w:rsidR="00636003" w:rsidRPr="006A6281">
                    <w:rPr>
                      <w:i/>
                    </w:rPr>
                    <w:t>i</w:t>
                  </w:r>
                  <w:r w:rsidR="00636003" w:rsidRPr="006A6281">
                    <w:t xml:space="preserve">.  </w:t>
                  </w:r>
                </w:p>
              </w:tc>
            </w:tr>
            <w:tr w:rsidR="00636003" w:rsidRPr="006A6281" w14:paraId="15B887AE" w14:textId="77777777" w:rsidTr="00AB2BB6">
              <w:trPr>
                <w:cantSplit/>
              </w:trPr>
              <w:tc>
                <w:tcPr>
                  <w:tcW w:w="1975" w:type="dxa"/>
                </w:tcPr>
                <w:p w14:paraId="324DC57A" w14:textId="77777777" w:rsidR="00636003" w:rsidRPr="006A6281" w:rsidRDefault="00636003" w:rsidP="00636003">
                  <w:pPr>
                    <w:pStyle w:val="TableBody"/>
                  </w:pPr>
                  <w:r w:rsidRPr="006A6281">
                    <w:lastRenderedPageBreak/>
                    <w:t>AVGTPC5M</w:t>
                  </w:r>
                  <w:r w:rsidRPr="006A6281">
                    <w:rPr>
                      <w:i/>
                      <w:vertAlign w:val="subscript"/>
                      <w:lang w:val="fr-FR"/>
                    </w:rPr>
                    <w:t xml:space="preserve"> </w:t>
                  </w:r>
                  <w:r w:rsidRPr="00107CC2">
                    <w:rPr>
                      <w:i/>
                      <w:vertAlign w:val="subscript"/>
                      <w:lang w:val="fr-FR"/>
                    </w:rPr>
                    <w:t>q, r, p, i, y</w:t>
                  </w:r>
                </w:p>
              </w:tc>
              <w:tc>
                <w:tcPr>
                  <w:tcW w:w="900" w:type="dxa"/>
                </w:tcPr>
                <w:p w14:paraId="6C9D9F9A" w14:textId="77777777" w:rsidR="00636003" w:rsidRPr="006A6281" w:rsidRDefault="00636003" w:rsidP="00636003">
                  <w:pPr>
                    <w:pStyle w:val="TableBody"/>
                  </w:pPr>
                  <w:r w:rsidRPr="006A6281">
                    <w:t>MW</w:t>
                  </w:r>
                </w:p>
              </w:tc>
              <w:tc>
                <w:tcPr>
                  <w:tcW w:w="6942" w:type="dxa"/>
                  <w:gridSpan w:val="2"/>
                </w:tcPr>
                <w:p w14:paraId="7600BF51" w14:textId="77777777" w:rsidR="00636003" w:rsidRPr="006A6281" w:rsidRDefault="00636003" w:rsidP="00636003">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636003" w:rsidRPr="006A6281" w14:paraId="36DD1682" w14:textId="77777777" w:rsidTr="00AB2BB6">
              <w:trPr>
                <w:cantSplit/>
              </w:trPr>
              <w:tc>
                <w:tcPr>
                  <w:tcW w:w="1975" w:type="dxa"/>
                </w:tcPr>
                <w:p w14:paraId="6339DE6C" w14:textId="77777777" w:rsidR="00636003" w:rsidRPr="006A6281" w:rsidRDefault="00636003" w:rsidP="00636003">
                  <w:pPr>
                    <w:pStyle w:val="TableBody"/>
                  </w:pPr>
                  <w:r w:rsidRPr="006A6281">
                    <w:t xml:space="preserve">OCONSM </w:t>
                  </w:r>
                  <w:r w:rsidRPr="00107CC2">
                    <w:rPr>
                      <w:i/>
                      <w:vertAlign w:val="subscript"/>
                    </w:rPr>
                    <w:t>q, r, p, i</w:t>
                  </w:r>
                </w:p>
              </w:tc>
              <w:tc>
                <w:tcPr>
                  <w:tcW w:w="900" w:type="dxa"/>
                </w:tcPr>
                <w:p w14:paraId="3E16C8A0" w14:textId="77777777" w:rsidR="00636003" w:rsidRPr="006A6281" w:rsidRDefault="00636003" w:rsidP="00636003">
                  <w:pPr>
                    <w:pStyle w:val="TableBody"/>
                  </w:pPr>
                  <w:r w:rsidRPr="006A6281">
                    <w:t>MW</w:t>
                  </w:r>
                  <w:r>
                    <w:t>h</w:t>
                  </w:r>
                </w:p>
              </w:tc>
              <w:tc>
                <w:tcPr>
                  <w:tcW w:w="6942" w:type="dxa"/>
                  <w:gridSpan w:val="2"/>
                </w:tcPr>
                <w:p w14:paraId="0B1B717A" w14:textId="77777777" w:rsidR="00636003" w:rsidRPr="006A6281" w:rsidRDefault="00636003" w:rsidP="00636003">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636003" w:rsidRPr="006A6281" w14:paraId="35CC85D9" w14:textId="77777777" w:rsidTr="00AB2BB6">
              <w:trPr>
                <w:cantSplit/>
              </w:trPr>
              <w:tc>
                <w:tcPr>
                  <w:tcW w:w="1975" w:type="dxa"/>
                </w:tcPr>
                <w:p w14:paraId="5AB5541D" w14:textId="77777777" w:rsidR="00636003" w:rsidRPr="006A6281" w:rsidRDefault="00636003" w:rsidP="00636003">
                  <w:pPr>
                    <w:pStyle w:val="TableBody"/>
                  </w:pPr>
                  <w:r w:rsidRPr="006A6281">
                    <w:t>KP1</w:t>
                  </w:r>
                </w:p>
              </w:tc>
              <w:tc>
                <w:tcPr>
                  <w:tcW w:w="900" w:type="dxa"/>
                </w:tcPr>
                <w:p w14:paraId="7968C309" w14:textId="77777777" w:rsidR="00636003" w:rsidRPr="006A6281" w:rsidRDefault="00636003" w:rsidP="00636003">
                  <w:pPr>
                    <w:pStyle w:val="TableBody"/>
                  </w:pPr>
                  <w:r>
                    <w:t>n</w:t>
                  </w:r>
                  <w:r w:rsidRPr="006A6281">
                    <w:t>one</w:t>
                  </w:r>
                </w:p>
              </w:tc>
              <w:tc>
                <w:tcPr>
                  <w:tcW w:w="6942" w:type="dxa"/>
                  <w:gridSpan w:val="2"/>
                </w:tcPr>
                <w:p w14:paraId="430F1CB1" w14:textId="77777777" w:rsidR="00636003" w:rsidRPr="006A6281" w:rsidRDefault="00636003" w:rsidP="00636003">
                  <w:pPr>
                    <w:pStyle w:val="TableBody"/>
                  </w:pPr>
                  <w:r w:rsidRPr="006A6281">
                    <w:t>The coefficient applied to the Settlement Point Price for over-consumption charge, 1.0.</w:t>
                  </w:r>
                </w:p>
              </w:tc>
            </w:tr>
            <w:tr w:rsidR="00636003" w:rsidRPr="006A6281" w14:paraId="226EA019" w14:textId="77777777" w:rsidTr="00AB2BB6">
              <w:trPr>
                <w:cantSplit/>
              </w:trPr>
              <w:tc>
                <w:tcPr>
                  <w:tcW w:w="1975" w:type="dxa"/>
                </w:tcPr>
                <w:p w14:paraId="02379D9E" w14:textId="77777777" w:rsidR="00636003" w:rsidRPr="006A6281" w:rsidRDefault="00636003" w:rsidP="00636003">
                  <w:pPr>
                    <w:pStyle w:val="TableBody"/>
                  </w:pPr>
                  <w:r w:rsidRPr="006A6281">
                    <w:t>PRZ1</w:t>
                  </w:r>
                </w:p>
              </w:tc>
              <w:tc>
                <w:tcPr>
                  <w:tcW w:w="900" w:type="dxa"/>
                </w:tcPr>
                <w:p w14:paraId="2AA66A53" w14:textId="77777777" w:rsidR="00636003" w:rsidRPr="006A6281" w:rsidRDefault="00636003" w:rsidP="00636003">
                  <w:pPr>
                    <w:pStyle w:val="TableBody"/>
                  </w:pPr>
                  <w:r w:rsidRPr="006A6281">
                    <w:t>$/MWh</w:t>
                  </w:r>
                </w:p>
              </w:tc>
              <w:tc>
                <w:tcPr>
                  <w:tcW w:w="6942" w:type="dxa"/>
                  <w:gridSpan w:val="2"/>
                </w:tcPr>
                <w:p w14:paraId="4D49C746" w14:textId="77777777" w:rsidR="00636003" w:rsidRPr="006A6281" w:rsidRDefault="00636003" w:rsidP="00636003">
                  <w:pPr>
                    <w:pStyle w:val="TableBody"/>
                  </w:pPr>
                  <w:r w:rsidRPr="006A6281">
                    <w:t xml:space="preserve">The price to use for the charge calculation when RTSPP is greater than -$20, -$20/MWh.  </w:t>
                  </w:r>
                </w:p>
              </w:tc>
            </w:tr>
            <w:tr w:rsidR="00636003" w:rsidRPr="006A6281" w14:paraId="62D82667" w14:textId="77777777" w:rsidTr="00AB2BB6">
              <w:trPr>
                <w:cantSplit/>
              </w:trPr>
              <w:tc>
                <w:tcPr>
                  <w:tcW w:w="1975" w:type="dxa"/>
                </w:tcPr>
                <w:p w14:paraId="0900A67E" w14:textId="77777777" w:rsidR="00636003" w:rsidRPr="006A6281" w:rsidRDefault="00636003" w:rsidP="00636003">
                  <w:pPr>
                    <w:pStyle w:val="TableBody"/>
                  </w:pPr>
                  <w:r w:rsidRPr="006A6281">
                    <w:t>KLR1</w:t>
                  </w:r>
                </w:p>
              </w:tc>
              <w:tc>
                <w:tcPr>
                  <w:tcW w:w="900" w:type="dxa"/>
                </w:tcPr>
                <w:p w14:paraId="78FFE738" w14:textId="77777777" w:rsidR="00636003" w:rsidRPr="006A6281" w:rsidRDefault="00636003" w:rsidP="00636003">
                  <w:pPr>
                    <w:pStyle w:val="TableBody"/>
                  </w:pPr>
                  <w:r>
                    <w:t>none</w:t>
                  </w:r>
                </w:p>
              </w:tc>
              <w:tc>
                <w:tcPr>
                  <w:tcW w:w="6942" w:type="dxa"/>
                  <w:gridSpan w:val="2"/>
                </w:tcPr>
                <w:p w14:paraId="0C563912" w14:textId="77777777" w:rsidR="00636003" w:rsidRPr="006A6281" w:rsidRDefault="00636003" w:rsidP="00636003">
                  <w:pPr>
                    <w:pStyle w:val="TableBody"/>
                  </w:pPr>
                  <w:r w:rsidRPr="006A6281">
                    <w:t>The percentage tolerance for over-consumption of a Controllable Load Resource, XO%.</w:t>
                  </w:r>
                </w:p>
              </w:tc>
            </w:tr>
            <w:tr w:rsidR="00636003" w:rsidRPr="006A6281" w14:paraId="77A0D90C" w14:textId="77777777" w:rsidTr="00AB2BB6">
              <w:trPr>
                <w:cantSplit/>
              </w:trPr>
              <w:tc>
                <w:tcPr>
                  <w:tcW w:w="1975" w:type="dxa"/>
                </w:tcPr>
                <w:p w14:paraId="19462678" w14:textId="77777777" w:rsidR="00636003" w:rsidRPr="006A6281" w:rsidRDefault="00636003" w:rsidP="00636003">
                  <w:pPr>
                    <w:pStyle w:val="TableBody"/>
                    <w:rPr>
                      <w:i/>
                    </w:rPr>
                  </w:pPr>
                  <w:r w:rsidRPr="006A6281">
                    <w:t>QLR1</w:t>
                  </w:r>
                </w:p>
              </w:tc>
              <w:tc>
                <w:tcPr>
                  <w:tcW w:w="900" w:type="dxa"/>
                </w:tcPr>
                <w:p w14:paraId="333E9665" w14:textId="77777777" w:rsidR="00636003" w:rsidRPr="006A6281" w:rsidRDefault="00636003" w:rsidP="00636003">
                  <w:pPr>
                    <w:pStyle w:val="TableBody"/>
                  </w:pPr>
                  <w:r w:rsidRPr="006A6281">
                    <w:t>MW</w:t>
                  </w:r>
                </w:p>
              </w:tc>
              <w:tc>
                <w:tcPr>
                  <w:tcW w:w="6942" w:type="dxa"/>
                  <w:gridSpan w:val="2"/>
                </w:tcPr>
                <w:p w14:paraId="031C8181" w14:textId="77777777" w:rsidR="00636003" w:rsidRPr="006A6281" w:rsidRDefault="00636003" w:rsidP="00636003">
                  <w:pPr>
                    <w:pStyle w:val="TableBody"/>
                  </w:pPr>
                  <w:r w:rsidRPr="006A6281">
                    <w:t>The MW tolerance for over-consumption of a Controllable Load Resource, YO MW.</w:t>
                  </w:r>
                </w:p>
              </w:tc>
            </w:tr>
            <w:tr w:rsidR="00636003" w:rsidRPr="006A6281" w14:paraId="7305D967" w14:textId="77777777" w:rsidTr="00AB2BB6">
              <w:trPr>
                <w:cantSplit/>
              </w:trPr>
              <w:tc>
                <w:tcPr>
                  <w:tcW w:w="1975" w:type="dxa"/>
                </w:tcPr>
                <w:p w14:paraId="70B3A17D" w14:textId="77777777" w:rsidR="00636003" w:rsidRPr="006A6281" w:rsidRDefault="00636003" w:rsidP="00636003">
                  <w:pPr>
                    <w:pStyle w:val="TableBody"/>
                    <w:rPr>
                      <w:i/>
                    </w:rPr>
                  </w:pPr>
                  <w:r w:rsidRPr="006A6281">
                    <w:rPr>
                      <w:i/>
                    </w:rPr>
                    <w:t>q</w:t>
                  </w:r>
                </w:p>
              </w:tc>
              <w:tc>
                <w:tcPr>
                  <w:tcW w:w="900" w:type="dxa"/>
                </w:tcPr>
                <w:p w14:paraId="36471A31" w14:textId="77777777" w:rsidR="00636003" w:rsidRPr="006A6281" w:rsidRDefault="00636003" w:rsidP="00636003">
                  <w:pPr>
                    <w:pStyle w:val="TableBody"/>
                  </w:pPr>
                  <w:r w:rsidRPr="006A6281">
                    <w:t>none</w:t>
                  </w:r>
                </w:p>
              </w:tc>
              <w:tc>
                <w:tcPr>
                  <w:tcW w:w="6942" w:type="dxa"/>
                  <w:gridSpan w:val="2"/>
                </w:tcPr>
                <w:p w14:paraId="60C4A549" w14:textId="77777777" w:rsidR="00636003" w:rsidRPr="006A6281" w:rsidRDefault="00636003" w:rsidP="00636003">
                  <w:pPr>
                    <w:pStyle w:val="TableBody"/>
                  </w:pPr>
                  <w:r w:rsidRPr="006A6281">
                    <w:t>A QSE.</w:t>
                  </w:r>
                </w:p>
              </w:tc>
            </w:tr>
            <w:tr w:rsidR="00636003" w:rsidRPr="006A6281" w14:paraId="601C0DAA" w14:textId="77777777" w:rsidTr="00AB2BB6">
              <w:trPr>
                <w:cantSplit/>
              </w:trPr>
              <w:tc>
                <w:tcPr>
                  <w:tcW w:w="1975" w:type="dxa"/>
                </w:tcPr>
                <w:p w14:paraId="4272363C" w14:textId="77777777" w:rsidR="00636003" w:rsidRPr="006A6281" w:rsidRDefault="00636003" w:rsidP="00636003">
                  <w:pPr>
                    <w:pStyle w:val="TableBody"/>
                    <w:rPr>
                      <w:i/>
                    </w:rPr>
                  </w:pPr>
                  <w:r w:rsidRPr="006A6281">
                    <w:rPr>
                      <w:i/>
                    </w:rPr>
                    <w:t>p</w:t>
                  </w:r>
                </w:p>
              </w:tc>
              <w:tc>
                <w:tcPr>
                  <w:tcW w:w="900" w:type="dxa"/>
                </w:tcPr>
                <w:p w14:paraId="32977257" w14:textId="77777777" w:rsidR="00636003" w:rsidRPr="006A6281" w:rsidRDefault="00636003" w:rsidP="00636003">
                  <w:pPr>
                    <w:pStyle w:val="TableBody"/>
                  </w:pPr>
                  <w:r w:rsidRPr="006A6281">
                    <w:t>none</w:t>
                  </w:r>
                </w:p>
              </w:tc>
              <w:tc>
                <w:tcPr>
                  <w:tcW w:w="6942" w:type="dxa"/>
                  <w:gridSpan w:val="2"/>
                </w:tcPr>
                <w:p w14:paraId="770A4593" w14:textId="77777777" w:rsidR="00636003" w:rsidRPr="006A6281" w:rsidRDefault="00636003" w:rsidP="00636003">
                  <w:pPr>
                    <w:pStyle w:val="TableBody"/>
                  </w:pPr>
                  <w:r w:rsidRPr="006A6281">
                    <w:t>A Settlement Point.</w:t>
                  </w:r>
                </w:p>
              </w:tc>
            </w:tr>
            <w:tr w:rsidR="00636003" w:rsidRPr="006A6281" w14:paraId="099C3E93" w14:textId="77777777" w:rsidTr="00AB2BB6">
              <w:trPr>
                <w:cantSplit/>
              </w:trPr>
              <w:tc>
                <w:tcPr>
                  <w:tcW w:w="1975" w:type="dxa"/>
                </w:tcPr>
                <w:p w14:paraId="2F4516F0" w14:textId="77777777" w:rsidR="00636003" w:rsidRPr="006A6281" w:rsidRDefault="00636003" w:rsidP="00636003">
                  <w:pPr>
                    <w:pStyle w:val="TableBody"/>
                    <w:rPr>
                      <w:i/>
                    </w:rPr>
                  </w:pPr>
                  <w:r w:rsidRPr="006A6281">
                    <w:rPr>
                      <w:i/>
                    </w:rPr>
                    <w:t>r</w:t>
                  </w:r>
                </w:p>
              </w:tc>
              <w:tc>
                <w:tcPr>
                  <w:tcW w:w="900" w:type="dxa"/>
                </w:tcPr>
                <w:p w14:paraId="088DC969" w14:textId="77777777" w:rsidR="00636003" w:rsidRPr="006A6281" w:rsidRDefault="00636003" w:rsidP="00636003">
                  <w:pPr>
                    <w:pStyle w:val="TableBody"/>
                  </w:pPr>
                  <w:r>
                    <w:t>n</w:t>
                  </w:r>
                  <w:r w:rsidRPr="006A6281">
                    <w:t>one</w:t>
                  </w:r>
                </w:p>
              </w:tc>
              <w:tc>
                <w:tcPr>
                  <w:tcW w:w="6942" w:type="dxa"/>
                  <w:gridSpan w:val="2"/>
                </w:tcPr>
                <w:p w14:paraId="42747AEA" w14:textId="77777777" w:rsidR="00636003" w:rsidRPr="006A6281" w:rsidRDefault="00636003" w:rsidP="00636003">
                  <w:pPr>
                    <w:pStyle w:val="TableBody"/>
                  </w:pPr>
                  <w:r w:rsidRPr="006A6281">
                    <w:t>A Controllable Load Resource.</w:t>
                  </w:r>
                </w:p>
              </w:tc>
            </w:tr>
            <w:tr w:rsidR="00636003" w:rsidRPr="006A6281" w14:paraId="4D70A458" w14:textId="77777777" w:rsidTr="00AB2BB6">
              <w:trPr>
                <w:cantSplit/>
                <w:trHeight w:val="152"/>
              </w:trPr>
              <w:tc>
                <w:tcPr>
                  <w:tcW w:w="1975" w:type="dxa"/>
                </w:tcPr>
                <w:p w14:paraId="4A193F87" w14:textId="77777777" w:rsidR="00636003" w:rsidRPr="006A6281" w:rsidDel="00B33B6F" w:rsidRDefault="00636003" w:rsidP="00636003">
                  <w:pPr>
                    <w:pStyle w:val="TableBody"/>
                    <w:rPr>
                      <w:i/>
                    </w:rPr>
                  </w:pPr>
                  <w:r w:rsidRPr="006A6281">
                    <w:rPr>
                      <w:i/>
                    </w:rPr>
                    <w:t>i</w:t>
                  </w:r>
                </w:p>
              </w:tc>
              <w:tc>
                <w:tcPr>
                  <w:tcW w:w="900" w:type="dxa"/>
                </w:tcPr>
                <w:p w14:paraId="45A70BBD" w14:textId="77777777" w:rsidR="00636003" w:rsidRPr="006A6281" w:rsidDel="00B33B6F" w:rsidRDefault="00636003" w:rsidP="00636003">
                  <w:pPr>
                    <w:pStyle w:val="TableBody"/>
                  </w:pPr>
                  <w:r w:rsidRPr="006A6281">
                    <w:t>none</w:t>
                  </w:r>
                </w:p>
              </w:tc>
              <w:tc>
                <w:tcPr>
                  <w:tcW w:w="6942" w:type="dxa"/>
                  <w:gridSpan w:val="2"/>
                </w:tcPr>
                <w:p w14:paraId="347A2881" w14:textId="77777777" w:rsidR="00636003" w:rsidRPr="006A6281" w:rsidDel="00B33B6F" w:rsidRDefault="00636003" w:rsidP="00636003">
                  <w:pPr>
                    <w:pStyle w:val="TableBody"/>
                  </w:pPr>
                  <w:r w:rsidRPr="006A6281">
                    <w:t>A 15-minute Settlement Interval.</w:t>
                  </w:r>
                </w:p>
              </w:tc>
            </w:tr>
            <w:tr w:rsidR="00636003" w:rsidRPr="006A6281" w14:paraId="6B6DC63F" w14:textId="77777777" w:rsidTr="00AB2BB6">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55DA8BF" w14:textId="77777777" w:rsidR="00636003" w:rsidRPr="006A6281" w:rsidRDefault="00636003" w:rsidP="00636003">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51F8CFE" w14:textId="77777777" w:rsidR="00636003" w:rsidRPr="006A6281" w:rsidRDefault="00636003" w:rsidP="00636003">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4670AB70" w14:textId="77777777" w:rsidR="00636003" w:rsidRPr="006A6281" w:rsidRDefault="00636003" w:rsidP="00636003">
                  <w:pPr>
                    <w:pStyle w:val="TableBody"/>
                  </w:pPr>
                  <w:r w:rsidRPr="006A6281">
                    <w:t xml:space="preserve">A five-minute clock interval in the Settlement Interval. </w:t>
                  </w:r>
                </w:p>
              </w:tc>
            </w:tr>
          </w:tbl>
          <w:p w14:paraId="4508DE99" w14:textId="77777777" w:rsidR="00BE3301" w:rsidRPr="00B37C4B" w:rsidRDefault="00BE3301" w:rsidP="00AB2BB6">
            <w:pPr>
              <w:pStyle w:val="H3"/>
            </w:pPr>
          </w:p>
        </w:tc>
      </w:tr>
    </w:tbl>
    <w:p w14:paraId="66B67F26" w14:textId="77777777" w:rsidR="001F04FD" w:rsidRPr="002600B6" w:rsidRDefault="001F04FD" w:rsidP="001F04FD">
      <w:pPr>
        <w:pStyle w:val="H4"/>
        <w:tabs>
          <w:tab w:val="clear" w:pos="1260"/>
          <w:tab w:val="left" w:pos="1620"/>
        </w:tabs>
        <w:spacing w:before="480"/>
        <w:ind w:left="1627" w:hanging="1627"/>
        <w:outlineLvl w:val="4"/>
      </w:pPr>
      <w:bookmarkStart w:id="2152" w:name="_Toc189044434"/>
      <w:r w:rsidRPr="002600B6">
        <w:lastRenderedPageBreak/>
        <w:t>6.6.5.1.1.4</w:t>
      </w:r>
      <w:r w:rsidRPr="002600B6">
        <w:tab/>
        <w:t>Controllable Load Resource Base Point Deviation Charge for Under Consumption</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52"/>
    </w:p>
    <w:p w14:paraId="0238B1A5" w14:textId="77777777" w:rsidR="001F04FD" w:rsidRPr="006A6281" w:rsidRDefault="001F04FD" w:rsidP="001F04FD">
      <w:pPr>
        <w:pStyle w:val="BodyTextNumbered"/>
      </w:pPr>
      <w:r w:rsidRPr="006A6281">
        <w:t>(1)</w:t>
      </w:r>
      <w:r w:rsidRPr="006A6281">
        <w:tab/>
        <w:t xml:space="preserve">ERCOT shall charge a QSE for a Controllable Load Resource for under-consumption if the average telemetered power consumption is below than the lesser of: </w:t>
      </w:r>
    </w:p>
    <w:p w14:paraId="5403BC70" w14:textId="77777777" w:rsidR="001F04FD" w:rsidRPr="006A6281" w:rsidRDefault="001F04FD" w:rsidP="001F04FD">
      <w:pPr>
        <w:pStyle w:val="List"/>
      </w:pPr>
      <w:r w:rsidRPr="006A6281">
        <w:t>(a)</w:t>
      </w:r>
      <w:r w:rsidRPr="006A6281">
        <w:tab/>
        <w:t>[100-XU]% of the average of the Base Points in the Settlement Interval adjusted for any Ancillary Service deployments; or</w:t>
      </w:r>
    </w:p>
    <w:p w14:paraId="2E61090E" w14:textId="77777777" w:rsidR="001F04FD" w:rsidRPr="006A6281" w:rsidRDefault="001F04FD" w:rsidP="001F04FD">
      <w:pPr>
        <w:pStyle w:val="List"/>
      </w:pPr>
      <w:r w:rsidRPr="006A6281">
        <w:t>(b)</w:t>
      </w:r>
      <w:r w:rsidRPr="006A6281">
        <w:tab/>
        <w:t>The average of the Base Points in the Settlement Interval adjusted for any Ancillary Service deployments minus YU MW.</w:t>
      </w:r>
    </w:p>
    <w:p w14:paraId="5BA52BEF" w14:textId="6167FC9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6A936576"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 during a 15-minute Settlement Interval in which the Controllable Load Resource has received a Base Point is calculated as follows:</w:t>
      </w:r>
    </w:p>
    <w:p w14:paraId="33A84073"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58BD5AC9" w14:textId="77777777" w:rsidR="001F04FD" w:rsidRPr="006A6281" w:rsidRDefault="001F04FD" w:rsidP="001F04FD">
      <w:pPr>
        <w:pStyle w:val="FormulaBold"/>
        <w:rPr>
          <w:b w:val="0"/>
        </w:rPr>
      </w:pPr>
      <w:r w:rsidRPr="006A6281">
        <w:rPr>
          <w:b w:val="0"/>
        </w:rPr>
        <w:t>Where:</w:t>
      </w:r>
    </w:p>
    <w:p w14:paraId="7350B725" w14:textId="77777777" w:rsidR="001F04FD" w:rsidRPr="002600B6" w:rsidRDefault="001F04FD" w:rsidP="001F04FD">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AABP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(AABP</w:t>
      </w:r>
      <w:r w:rsidRPr="002600B6">
        <w:rPr>
          <w:i/>
          <w:vertAlign w:val="subscript"/>
          <w:lang w:val="es-ES"/>
        </w:rPr>
        <w:t xml:space="preserve"> q, r, p, i</w:t>
      </w:r>
      <w:r w:rsidRPr="002600B6">
        <w:rPr>
          <w:iCs/>
        </w:rPr>
        <w:t xml:space="preserve"> – QLR2)</w:t>
      </w:r>
      <w:r>
        <w:rPr>
          <w:iCs/>
        </w:rPr>
        <w:t>)</w:t>
      </w:r>
      <w:r w:rsidRPr="002600B6">
        <w:rPr>
          <w:iCs/>
        </w:rPr>
        <w:t xml:space="preserve"> – ATPC</w:t>
      </w:r>
      <w:r w:rsidR="00967F3A">
        <w:rPr>
          <w:iCs/>
        </w:rPr>
        <w:t xml:space="preserve"> </w:t>
      </w:r>
      <w:r w:rsidRPr="002600B6">
        <w:rPr>
          <w:i/>
          <w:vertAlign w:val="subscript"/>
          <w:lang w:val="es-ES"/>
        </w:rPr>
        <w:t>q, r, p, i</w:t>
      </w:r>
      <w:r w:rsidRPr="002600B6">
        <w:rPr>
          <w:iCs/>
        </w:rPr>
        <w:t>]]</w:t>
      </w:r>
    </w:p>
    <w:p w14:paraId="7A8EF662" w14:textId="77777777" w:rsidR="001F04FD" w:rsidRPr="002600B6" w:rsidRDefault="001F04FD" w:rsidP="001F04FD">
      <w:pPr>
        <w:pStyle w:val="BodyTextNumbered"/>
        <w:ind w:left="1440"/>
      </w:pPr>
      <w:r w:rsidRPr="002600B6">
        <w:rPr>
          <w:iCs/>
        </w:rPr>
        <w:lastRenderedPageBreak/>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5438074">
          <v:shape id="_x0000_i1189" type="#_x0000_t75" style="width:6pt;height:24pt" o:ole="">
            <v:imagedata r:id="rId208" o:title=""/>
          </v:shape>
          <o:OLEObject Type="Embed" ProgID="Equation.3" ShapeID="_x0000_i1189" DrawAspect="Content" ObjectID="_1804653674" r:id="rId221"/>
        </w:object>
      </w:r>
      <w:r w:rsidRPr="002600B6">
        <w:t xml:space="preserve"> (AVGTPC5M</w:t>
      </w:r>
      <w:r w:rsidRPr="002600B6">
        <w:rPr>
          <w:i/>
          <w:vertAlign w:val="subscript"/>
        </w:rPr>
        <w:t xml:space="preserve"> q, r, p</w:t>
      </w:r>
      <w:r w:rsidR="00967F3A">
        <w:rPr>
          <w:i/>
          <w:vertAlign w:val="subscript"/>
        </w:rPr>
        <w:t>,</w:t>
      </w:r>
      <w:r w:rsidRPr="002600B6">
        <w:rPr>
          <w:i/>
          <w:iCs/>
          <w:vertAlign w:val="subscript"/>
          <w:lang w:val="es-ES"/>
        </w:rPr>
        <w:t xml:space="preserve"> i,</w:t>
      </w:r>
      <w:r w:rsidR="00967F3A">
        <w:rPr>
          <w:i/>
          <w:iCs/>
          <w:vertAlign w:val="subscript"/>
          <w:lang w:val="es-ES"/>
        </w:rPr>
        <w:t xml:space="preserve"> </w:t>
      </w:r>
      <w:r w:rsidRPr="002600B6">
        <w:rPr>
          <w:i/>
          <w:vertAlign w:val="subscript"/>
        </w:rPr>
        <w:t>y</w:t>
      </w:r>
      <w:r w:rsidRPr="002600B6">
        <w:t>) / 3) * ¼</w:t>
      </w:r>
    </w:p>
    <w:p w14:paraId="598EF5D3"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77AB9000" w14:textId="77777777" w:rsidTr="00573B9E">
        <w:tc>
          <w:tcPr>
            <w:tcW w:w="1975" w:type="dxa"/>
          </w:tcPr>
          <w:p w14:paraId="5C7992F7" w14:textId="77777777" w:rsidR="001F04FD" w:rsidRPr="006A6281" w:rsidRDefault="001F04FD" w:rsidP="00AC4DEE">
            <w:pPr>
              <w:pStyle w:val="TableHead"/>
            </w:pPr>
            <w:r w:rsidRPr="006A6281">
              <w:t>Variable</w:t>
            </w:r>
          </w:p>
        </w:tc>
        <w:tc>
          <w:tcPr>
            <w:tcW w:w="900" w:type="dxa"/>
          </w:tcPr>
          <w:p w14:paraId="3F07FC7A" w14:textId="77777777" w:rsidR="001F04FD" w:rsidRPr="006A6281" w:rsidRDefault="001F04FD" w:rsidP="00AC4DEE">
            <w:pPr>
              <w:pStyle w:val="TableHead"/>
            </w:pPr>
            <w:r w:rsidRPr="006A6281">
              <w:t>Unit</w:t>
            </w:r>
          </w:p>
        </w:tc>
        <w:tc>
          <w:tcPr>
            <w:tcW w:w="6942" w:type="dxa"/>
            <w:gridSpan w:val="2"/>
          </w:tcPr>
          <w:p w14:paraId="306D99A1" w14:textId="77777777" w:rsidR="001F04FD" w:rsidRPr="006A6281" w:rsidRDefault="001F04FD" w:rsidP="00AC4DEE">
            <w:pPr>
              <w:pStyle w:val="TableHead"/>
            </w:pPr>
            <w:r w:rsidRPr="006A6281">
              <w:t>Definition</w:t>
            </w:r>
          </w:p>
        </w:tc>
      </w:tr>
      <w:tr w:rsidR="001F04FD" w:rsidRPr="006A6281" w14:paraId="787D1A7C" w14:textId="77777777" w:rsidTr="00573B9E">
        <w:trPr>
          <w:cantSplit/>
        </w:trPr>
        <w:tc>
          <w:tcPr>
            <w:tcW w:w="1975" w:type="dxa"/>
          </w:tcPr>
          <w:p w14:paraId="0BC03A07"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687ED2EA" w14:textId="77777777" w:rsidR="001F04FD" w:rsidRPr="006A6281" w:rsidRDefault="001F04FD" w:rsidP="00AC4DEE">
            <w:pPr>
              <w:pStyle w:val="TableBody"/>
            </w:pPr>
            <w:r w:rsidRPr="006A6281">
              <w:t>$</w:t>
            </w:r>
          </w:p>
        </w:tc>
        <w:tc>
          <w:tcPr>
            <w:tcW w:w="6942" w:type="dxa"/>
            <w:gridSpan w:val="2"/>
          </w:tcPr>
          <w:p w14:paraId="646E59EF"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486E7C76" w14:textId="77777777" w:rsidTr="00573B9E">
        <w:trPr>
          <w:cantSplit/>
        </w:trPr>
        <w:tc>
          <w:tcPr>
            <w:tcW w:w="1975" w:type="dxa"/>
          </w:tcPr>
          <w:p w14:paraId="726E0021"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107E036" w14:textId="77777777" w:rsidR="001F04FD" w:rsidRPr="006A6281" w:rsidRDefault="001F04FD" w:rsidP="00AC4DEE">
            <w:pPr>
              <w:pStyle w:val="TableBody"/>
            </w:pPr>
            <w:r w:rsidRPr="006A6281">
              <w:t>$/MWh</w:t>
            </w:r>
          </w:p>
        </w:tc>
        <w:tc>
          <w:tcPr>
            <w:tcW w:w="6942" w:type="dxa"/>
            <w:gridSpan w:val="2"/>
          </w:tcPr>
          <w:p w14:paraId="26313296"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702DE902" w14:textId="77777777" w:rsidTr="00573B9E">
        <w:trPr>
          <w:gridAfter w:val="1"/>
          <w:wAfter w:w="12" w:type="dxa"/>
          <w:cantSplit/>
        </w:trPr>
        <w:tc>
          <w:tcPr>
            <w:tcW w:w="1975" w:type="dxa"/>
          </w:tcPr>
          <w:p w14:paraId="51A98349"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6F1E6387" w14:textId="77777777" w:rsidR="001F04FD" w:rsidRPr="006A6281" w:rsidRDefault="001F04FD" w:rsidP="00AC4DEE">
            <w:pPr>
              <w:pStyle w:val="TableBody"/>
            </w:pPr>
            <w:r w:rsidRPr="006A6281">
              <w:t>MWh</w:t>
            </w:r>
          </w:p>
        </w:tc>
        <w:tc>
          <w:tcPr>
            <w:tcW w:w="6930" w:type="dxa"/>
          </w:tcPr>
          <w:p w14:paraId="7BDD3457"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033EA02D" w14:textId="77777777" w:rsidTr="00573B9E">
        <w:trPr>
          <w:gridAfter w:val="1"/>
          <w:wAfter w:w="12" w:type="dxa"/>
          <w:cantSplit/>
        </w:trPr>
        <w:tc>
          <w:tcPr>
            <w:tcW w:w="1975" w:type="dxa"/>
          </w:tcPr>
          <w:p w14:paraId="2C50F839"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394F7E58" w14:textId="77777777" w:rsidR="001F04FD" w:rsidRPr="006A6281" w:rsidRDefault="001F04FD" w:rsidP="00AC4DEE">
            <w:pPr>
              <w:pStyle w:val="TableBody"/>
            </w:pPr>
            <w:r w:rsidRPr="006A6281">
              <w:t>MW</w:t>
            </w:r>
          </w:p>
        </w:tc>
        <w:tc>
          <w:tcPr>
            <w:tcW w:w="6930" w:type="dxa"/>
          </w:tcPr>
          <w:p w14:paraId="39AED56E"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2BE86DFF" w14:textId="77777777" w:rsidTr="00573B9E">
        <w:trPr>
          <w:cantSplit/>
        </w:trPr>
        <w:tc>
          <w:tcPr>
            <w:tcW w:w="1975" w:type="dxa"/>
          </w:tcPr>
          <w:p w14:paraId="14938F34"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7BE981D9" w14:textId="77777777" w:rsidR="001F04FD" w:rsidRPr="006A6281" w:rsidRDefault="001F04FD" w:rsidP="00AC4DEE">
            <w:pPr>
              <w:pStyle w:val="TableBody"/>
            </w:pPr>
            <w:r w:rsidRPr="006A6281">
              <w:t>MW</w:t>
            </w:r>
          </w:p>
        </w:tc>
        <w:tc>
          <w:tcPr>
            <w:tcW w:w="6942" w:type="dxa"/>
            <w:gridSpan w:val="2"/>
          </w:tcPr>
          <w:p w14:paraId="48276F5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5EA9B033" w14:textId="77777777" w:rsidTr="00573B9E">
        <w:trPr>
          <w:cantSplit/>
        </w:trPr>
        <w:tc>
          <w:tcPr>
            <w:tcW w:w="1975" w:type="dxa"/>
          </w:tcPr>
          <w:p w14:paraId="0ED0AB5A" w14:textId="77777777" w:rsidR="001F04FD" w:rsidRPr="006A6281" w:rsidRDefault="001F04FD" w:rsidP="00AC4DEE">
            <w:pPr>
              <w:pStyle w:val="TableBody"/>
            </w:pPr>
            <w:r w:rsidRPr="006A6281">
              <w:t xml:space="preserve">UCONSM </w:t>
            </w:r>
            <w:r w:rsidRPr="00107CC2">
              <w:rPr>
                <w:i/>
                <w:vertAlign w:val="subscript"/>
              </w:rPr>
              <w:t>q, r, p, i</w:t>
            </w:r>
          </w:p>
        </w:tc>
        <w:tc>
          <w:tcPr>
            <w:tcW w:w="900" w:type="dxa"/>
          </w:tcPr>
          <w:p w14:paraId="764A5BC2" w14:textId="77777777" w:rsidR="001F04FD" w:rsidRPr="006A6281" w:rsidRDefault="001F04FD" w:rsidP="00AC4DEE">
            <w:pPr>
              <w:pStyle w:val="TableBody"/>
            </w:pPr>
            <w:r w:rsidRPr="006A6281">
              <w:t>MW</w:t>
            </w:r>
            <w:r w:rsidR="00091181">
              <w:t>h</w:t>
            </w:r>
          </w:p>
        </w:tc>
        <w:tc>
          <w:tcPr>
            <w:tcW w:w="6942" w:type="dxa"/>
            <w:gridSpan w:val="2"/>
          </w:tcPr>
          <w:p w14:paraId="1DAF06EF" w14:textId="77777777" w:rsidR="001F04FD" w:rsidRPr="006A6281" w:rsidRDefault="001F04FD" w:rsidP="00AC4DEE">
            <w:pPr>
              <w:pStyle w:val="TableBody"/>
            </w:pPr>
            <w:r w:rsidRPr="006A6281">
              <w:rPr>
                <w:i/>
              </w:rPr>
              <w:t>Under 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1E244C3B" w14:textId="77777777" w:rsidTr="00573B9E">
        <w:trPr>
          <w:cantSplit/>
        </w:trPr>
        <w:tc>
          <w:tcPr>
            <w:tcW w:w="1975" w:type="dxa"/>
          </w:tcPr>
          <w:p w14:paraId="2ED98944" w14:textId="77777777" w:rsidR="001F04FD" w:rsidRPr="006A6281" w:rsidRDefault="001F04FD" w:rsidP="00AC4DEE">
            <w:pPr>
              <w:pStyle w:val="TableBody"/>
            </w:pPr>
            <w:r w:rsidRPr="006A6281">
              <w:t>PRZ2</w:t>
            </w:r>
          </w:p>
        </w:tc>
        <w:tc>
          <w:tcPr>
            <w:tcW w:w="900" w:type="dxa"/>
          </w:tcPr>
          <w:p w14:paraId="6A73CF64" w14:textId="77777777" w:rsidR="001F04FD" w:rsidRPr="006A6281" w:rsidRDefault="001F04FD" w:rsidP="00AC4DEE">
            <w:pPr>
              <w:pStyle w:val="TableBody"/>
            </w:pPr>
            <w:r w:rsidRPr="006A6281">
              <w:t>$/MWh</w:t>
            </w:r>
          </w:p>
        </w:tc>
        <w:tc>
          <w:tcPr>
            <w:tcW w:w="6942" w:type="dxa"/>
            <w:gridSpan w:val="2"/>
          </w:tcPr>
          <w:p w14:paraId="77E8196C" w14:textId="77777777" w:rsidR="001F04FD" w:rsidRPr="006A6281" w:rsidRDefault="001F04FD" w:rsidP="00AC4DEE">
            <w:pPr>
              <w:pStyle w:val="TableBody"/>
            </w:pPr>
            <w:r w:rsidRPr="006A6281">
              <w:t xml:space="preserve">The price to use for the Base Point Deviation Charge for under-consumption calculation when RTSPP is less than $20/MWh, $20/MWh.  </w:t>
            </w:r>
          </w:p>
        </w:tc>
      </w:tr>
      <w:tr w:rsidR="001F04FD" w:rsidRPr="006A6281" w14:paraId="4E22CC74" w14:textId="77777777" w:rsidTr="00573B9E">
        <w:trPr>
          <w:cantSplit/>
        </w:trPr>
        <w:tc>
          <w:tcPr>
            <w:tcW w:w="1975" w:type="dxa"/>
          </w:tcPr>
          <w:p w14:paraId="718D40FB" w14:textId="77777777" w:rsidR="001F04FD" w:rsidRPr="006A6281" w:rsidRDefault="001F04FD" w:rsidP="00AC4DEE">
            <w:pPr>
              <w:pStyle w:val="TableBody"/>
            </w:pPr>
            <w:r w:rsidRPr="006A6281">
              <w:t>KLR2</w:t>
            </w:r>
          </w:p>
        </w:tc>
        <w:tc>
          <w:tcPr>
            <w:tcW w:w="900" w:type="dxa"/>
          </w:tcPr>
          <w:p w14:paraId="5302DD4F" w14:textId="77777777" w:rsidR="001F04FD" w:rsidRPr="006A6281" w:rsidRDefault="001F04FD" w:rsidP="00AC4DEE">
            <w:pPr>
              <w:pStyle w:val="TableBody"/>
            </w:pPr>
          </w:p>
        </w:tc>
        <w:tc>
          <w:tcPr>
            <w:tcW w:w="6942" w:type="dxa"/>
            <w:gridSpan w:val="2"/>
          </w:tcPr>
          <w:p w14:paraId="2FF110EB" w14:textId="77777777" w:rsidR="001F04FD" w:rsidRPr="006A6281" w:rsidRDefault="001F04FD" w:rsidP="00AC4DEE">
            <w:pPr>
              <w:pStyle w:val="TableBody"/>
            </w:pPr>
            <w:r w:rsidRPr="006A6281">
              <w:t>The percentage tolerance for under-consumption of a Controllable Load Resource, XU%.</w:t>
            </w:r>
          </w:p>
        </w:tc>
      </w:tr>
      <w:tr w:rsidR="001F04FD" w:rsidRPr="006A6281" w14:paraId="1921DC93" w14:textId="77777777" w:rsidTr="00573B9E">
        <w:trPr>
          <w:cantSplit/>
        </w:trPr>
        <w:tc>
          <w:tcPr>
            <w:tcW w:w="1975" w:type="dxa"/>
          </w:tcPr>
          <w:p w14:paraId="280A6A1D" w14:textId="77777777" w:rsidR="001F04FD" w:rsidRPr="006A6281" w:rsidRDefault="001F04FD" w:rsidP="00AC4DEE">
            <w:pPr>
              <w:pStyle w:val="TableBody"/>
              <w:rPr>
                <w:i/>
              </w:rPr>
            </w:pPr>
            <w:r w:rsidRPr="006A6281">
              <w:t>QLR2</w:t>
            </w:r>
          </w:p>
        </w:tc>
        <w:tc>
          <w:tcPr>
            <w:tcW w:w="900" w:type="dxa"/>
          </w:tcPr>
          <w:p w14:paraId="3295AA8F" w14:textId="77777777" w:rsidR="001F04FD" w:rsidRPr="006A6281" w:rsidRDefault="001F04FD" w:rsidP="00AC4DEE">
            <w:pPr>
              <w:pStyle w:val="TableBody"/>
            </w:pPr>
            <w:r w:rsidRPr="006A6281">
              <w:t>MW</w:t>
            </w:r>
          </w:p>
        </w:tc>
        <w:tc>
          <w:tcPr>
            <w:tcW w:w="6942" w:type="dxa"/>
            <w:gridSpan w:val="2"/>
          </w:tcPr>
          <w:p w14:paraId="32BD097D" w14:textId="77777777" w:rsidR="001F04FD" w:rsidRPr="006A6281" w:rsidRDefault="001F04FD" w:rsidP="00AC4DEE">
            <w:pPr>
              <w:pStyle w:val="TableBody"/>
            </w:pPr>
            <w:r w:rsidRPr="006A6281">
              <w:t>The MW tolerance for under-consumption of a Controllable Load Resource, YU MW.</w:t>
            </w:r>
          </w:p>
        </w:tc>
      </w:tr>
      <w:tr w:rsidR="001F04FD" w:rsidRPr="006A6281" w14:paraId="79415175" w14:textId="77777777" w:rsidTr="00573B9E">
        <w:trPr>
          <w:cantSplit/>
        </w:trPr>
        <w:tc>
          <w:tcPr>
            <w:tcW w:w="1975" w:type="dxa"/>
          </w:tcPr>
          <w:p w14:paraId="4317B6EA" w14:textId="77777777" w:rsidR="001F04FD" w:rsidRPr="006A6281" w:rsidRDefault="001F04FD" w:rsidP="00AC4DEE">
            <w:pPr>
              <w:pStyle w:val="TableBody"/>
              <w:rPr>
                <w:i/>
              </w:rPr>
            </w:pPr>
            <w:r w:rsidRPr="006A6281">
              <w:rPr>
                <w:i/>
              </w:rPr>
              <w:t>q</w:t>
            </w:r>
          </w:p>
        </w:tc>
        <w:tc>
          <w:tcPr>
            <w:tcW w:w="900" w:type="dxa"/>
          </w:tcPr>
          <w:p w14:paraId="7FD0FBBB" w14:textId="77777777" w:rsidR="001F04FD" w:rsidRPr="006A6281" w:rsidRDefault="001F04FD" w:rsidP="00AC4DEE">
            <w:pPr>
              <w:pStyle w:val="TableBody"/>
            </w:pPr>
            <w:r w:rsidRPr="006A6281">
              <w:t>none</w:t>
            </w:r>
          </w:p>
        </w:tc>
        <w:tc>
          <w:tcPr>
            <w:tcW w:w="6942" w:type="dxa"/>
            <w:gridSpan w:val="2"/>
          </w:tcPr>
          <w:p w14:paraId="0F563524" w14:textId="77777777" w:rsidR="001F04FD" w:rsidRPr="006A6281" w:rsidRDefault="001F04FD" w:rsidP="00AC4DEE">
            <w:pPr>
              <w:pStyle w:val="TableBody"/>
            </w:pPr>
            <w:r w:rsidRPr="006A6281">
              <w:t>A QSE.</w:t>
            </w:r>
          </w:p>
        </w:tc>
      </w:tr>
      <w:tr w:rsidR="001F04FD" w:rsidRPr="006A6281" w14:paraId="4328858F" w14:textId="77777777" w:rsidTr="00573B9E">
        <w:trPr>
          <w:cantSplit/>
        </w:trPr>
        <w:tc>
          <w:tcPr>
            <w:tcW w:w="1975" w:type="dxa"/>
          </w:tcPr>
          <w:p w14:paraId="59DEFC39" w14:textId="77777777" w:rsidR="001F04FD" w:rsidRPr="006A6281" w:rsidRDefault="001F04FD" w:rsidP="00AC4DEE">
            <w:pPr>
              <w:pStyle w:val="TableBody"/>
              <w:rPr>
                <w:i/>
              </w:rPr>
            </w:pPr>
            <w:r w:rsidRPr="006A6281">
              <w:rPr>
                <w:i/>
              </w:rPr>
              <w:t>p</w:t>
            </w:r>
          </w:p>
        </w:tc>
        <w:tc>
          <w:tcPr>
            <w:tcW w:w="900" w:type="dxa"/>
          </w:tcPr>
          <w:p w14:paraId="5A7F0753" w14:textId="77777777" w:rsidR="001F04FD" w:rsidRPr="006A6281" w:rsidRDefault="001F04FD" w:rsidP="00AC4DEE">
            <w:pPr>
              <w:pStyle w:val="TableBody"/>
            </w:pPr>
            <w:r w:rsidRPr="006A6281">
              <w:t>none</w:t>
            </w:r>
          </w:p>
        </w:tc>
        <w:tc>
          <w:tcPr>
            <w:tcW w:w="6942" w:type="dxa"/>
            <w:gridSpan w:val="2"/>
          </w:tcPr>
          <w:p w14:paraId="5648D537" w14:textId="77777777" w:rsidR="001F04FD" w:rsidRPr="006A6281" w:rsidRDefault="001F04FD" w:rsidP="00AC4DEE">
            <w:pPr>
              <w:pStyle w:val="TableBody"/>
            </w:pPr>
            <w:r w:rsidRPr="006A6281">
              <w:t>A Settlement Point.</w:t>
            </w:r>
          </w:p>
        </w:tc>
      </w:tr>
      <w:tr w:rsidR="001F04FD" w:rsidRPr="006A6281" w14:paraId="570A7505" w14:textId="77777777" w:rsidTr="00573B9E">
        <w:trPr>
          <w:cantSplit/>
        </w:trPr>
        <w:tc>
          <w:tcPr>
            <w:tcW w:w="1975" w:type="dxa"/>
          </w:tcPr>
          <w:p w14:paraId="04988BFB" w14:textId="77777777" w:rsidR="001F04FD" w:rsidRPr="006A6281" w:rsidRDefault="001F04FD" w:rsidP="00AC4DEE">
            <w:pPr>
              <w:pStyle w:val="TableBody"/>
              <w:rPr>
                <w:i/>
              </w:rPr>
            </w:pPr>
            <w:r w:rsidRPr="006A6281">
              <w:rPr>
                <w:i/>
              </w:rPr>
              <w:t>r</w:t>
            </w:r>
          </w:p>
        </w:tc>
        <w:tc>
          <w:tcPr>
            <w:tcW w:w="900" w:type="dxa"/>
          </w:tcPr>
          <w:p w14:paraId="6B3EC52B" w14:textId="77777777" w:rsidR="001F04FD" w:rsidRPr="006A6281" w:rsidRDefault="00091181" w:rsidP="00AC4DEE">
            <w:pPr>
              <w:pStyle w:val="TableBody"/>
            </w:pPr>
            <w:r>
              <w:t>n</w:t>
            </w:r>
            <w:r w:rsidR="001F04FD" w:rsidRPr="006A6281">
              <w:t>one</w:t>
            </w:r>
          </w:p>
        </w:tc>
        <w:tc>
          <w:tcPr>
            <w:tcW w:w="6942" w:type="dxa"/>
            <w:gridSpan w:val="2"/>
          </w:tcPr>
          <w:p w14:paraId="621EEA2C" w14:textId="77777777" w:rsidR="001F04FD" w:rsidRPr="006A6281" w:rsidRDefault="001F04FD" w:rsidP="00AC4DEE">
            <w:pPr>
              <w:pStyle w:val="TableBody"/>
            </w:pPr>
            <w:r w:rsidRPr="006A6281">
              <w:t>A Controllable Load Resource.</w:t>
            </w:r>
          </w:p>
        </w:tc>
      </w:tr>
      <w:tr w:rsidR="001F04FD" w:rsidRPr="006A6281" w14:paraId="7A6438DC" w14:textId="77777777" w:rsidTr="00573B9E">
        <w:trPr>
          <w:cantSplit/>
          <w:trHeight w:val="152"/>
        </w:trPr>
        <w:tc>
          <w:tcPr>
            <w:tcW w:w="1975" w:type="dxa"/>
          </w:tcPr>
          <w:p w14:paraId="47383541" w14:textId="77777777" w:rsidR="001F04FD" w:rsidRPr="006A6281" w:rsidDel="00B33B6F" w:rsidRDefault="001F04FD" w:rsidP="00AC4DEE">
            <w:pPr>
              <w:pStyle w:val="TableBody"/>
              <w:rPr>
                <w:i/>
              </w:rPr>
            </w:pPr>
            <w:r w:rsidRPr="006A6281">
              <w:rPr>
                <w:i/>
              </w:rPr>
              <w:t>i</w:t>
            </w:r>
          </w:p>
        </w:tc>
        <w:tc>
          <w:tcPr>
            <w:tcW w:w="900" w:type="dxa"/>
          </w:tcPr>
          <w:p w14:paraId="525FE2CB" w14:textId="77777777" w:rsidR="001F04FD" w:rsidRPr="006A6281" w:rsidDel="00B33B6F" w:rsidRDefault="001F04FD" w:rsidP="00AC4DEE">
            <w:pPr>
              <w:pStyle w:val="TableBody"/>
            </w:pPr>
            <w:r w:rsidRPr="006A6281">
              <w:t>none</w:t>
            </w:r>
          </w:p>
        </w:tc>
        <w:tc>
          <w:tcPr>
            <w:tcW w:w="6942" w:type="dxa"/>
            <w:gridSpan w:val="2"/>
          </w:tcPr>
          <w:p w14:paraId="438C59F7" w14:textId="77777777" w:rsidR="001F04FD" w:rsidRPr="006A6281" w:rsidDel="00B33B6F" w:rsidRDefault="001F04FD" w:rsidP="00AC4DEE">
            <w:pPr>
              <w:pStyle w:val="TableBody"/>
            </w:pPr>
            <w:r w:rsidRPr="006A6281">
              <w:t>A 15-minute Settlement Interval.</w:t>
            </w:r>
          </w:p>
        </w:tc>
      </w:tr>
      <w:tr w:rsidR="001F04FD" w:rsidRPr="006A6281" w14:paraId="3110B48B" w14:textId="77777777" w:rsidTr="00573B9E">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1E651D8"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BDECA7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1D0A594E" w14:textId="77777777" w:rsidR="001F04FD" w:rsidRPr="006A6281" w:rsidRDefault="001F04FD" w:rsidP="00AC4DEE">
            <w:pPr>
              <w:pStyle w:val="TableBody"/>
            </w:pPr>
            <w:r w:rsidRPr="006A6281">
              <w:t xml:space="preserve">A five-minute clock interval in the Settlement Interval. </w:t>
            </w:r>
          </w:p>
        </w:tc>
      </w:tr>
    </w:tbl>
    <w:p w14:paraId="6227014A" w14:textId="77777777" w:rsidR="00636003" w:rsidRDefault="00636003"/>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636003" w14:paraId="3F35BD9D"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79EF029" w14:textId="030A674D" w:rsidR="00636003" w:rsidRDefault="00636003" w:rsidP="00AB2BB6">
            <w:pPr>
              <w:pStyle w:val="Instructions"/>
              <w:spacing w:before="120"/>
            </w:pPr>
            <w:bookmarkStart w:id="2153" w:name="_Toc397505023"/>
            <w:bookmarkStart w:id="2154" w:name="_Toc402357155"/>
            <w:bookmarkStart w:id="2155" w:name="_Toc422486535"/>
            <w:bookmarkStart w:id="2156" w:name="_Toc433093388"/>
            <w:bookmarkStart w:id="2157" w:name="_Toc433093546"/>
            <w:bookmarkStart w:id="2158" w:name="_Toc440874776"/>
            <w:bookmarkStart w:id="2159" w:name="_Toc448142333"/>
            <w:bookmarkStart w:id="2160" w:name="_Toc448142490"/>
            <w:bookmarkStart w:id="2161" w:name="_Toc458770331"/>
            <w:bookmarkStart w:id="2162" w:name="_Toc459294299"/>
            <w:bookmarkStart w:id="2163" w:name="_Toc463262792"/>
            <w:bookmarkStart w:id="2164" w:name="_Toc468286865"/>
            <w:bookmarkStart w:id="2165" w:name="_Toc481502905"/>
            <w:bookmarkStart w:id="2166" w:name="_Toc496080073"/>
            <w:r>
              <w:t>[NPRR963</w:t>
            </w:r>
            <w:r w:rsidR="00F64D00">
              <w:t xml:space="preserve">, </w:t>
            </w:r>
            <w:r w:rsidR="00647F76">
              <w:t>NPRR1010</w:t>
            </w:r>
            <w:r w:rsidR="00F64D00">
              <w:t>, and NPRR1014</w:t>
            </w:r>
            <w:r>
              <w:t xml:space="preserve">:  Replace </w:t>
            </w:r>
            <w:r w:rsidR="0018785B">
              <w:t xml:space="preserve">applicable portions of </w:t>
            </w:r>
            <w:r>
              <w:t>Section 6.6.5.1.1.4 above with the following upon system implementation</w:t>
            </w:r>
            <w:r w:rsidR="00647F76">
              <w:t xml:space="preserve"> for NPRR963</w:t>
            </w:r>
            <w:r w:rsidR="00F64D00">
              <w:t xml:space="preserve"> or NPRR1014</w:t>
            </w:r>
            <w:r w:rsidR="00647F76">
              <w:t>; or upon system implementation of the Real-Time Co-Optimization (RTC) project for NPRR1010</w:t>
            </w:r>
            <w:r>
              <w:t>:]</w:t>
            </w:r>
          </w:p>
          <w:p w14:paraId="1E76DD58" w14:textId="6D51DA1C" w:rsidR="00573B9E" w:rsidRPr="002600B6" w:rsidRDefault="00573B9E" w:rsidP="00A2294D">
            <w:pPr>
              <w:pStyle w:val="H4"/>
              <w:tabs>
                <w:tab w:val="clear" w:pos="1260"/>
                <w:tab w:val="left" w:pos="1620"/>
              </w:tabs>
              <w:ind w:left="1627" w:hanging="1627"/>
              <w:outlineLvl w:val="4"/>
            </w:pPr>
            <w:bookmarkStart w:id="2167" w:name="_Toc60040697"/>
            <w:bookmarkStart w:id="2168" w:name="_Toc65151756"/>
            <w:bookmarkStart w:id="2169" w:name="_Toc80174782"/>
            <w:bookmarkStart w:id="2170" w:name="_Toc112417662"/>
            <w:bookmarkStart w:id="2171" w:name="_Toc119310331"/>
            <w:bookmarkStart w:id="2172" w:name="_Toc125966264"/>
            <w:bookmarkStart w:id="2173" w:name="_Toc135992362"/>
            <w:bookmarkStart w:id="2174" w:name="_Toc170303558"/>
            <w:bookmarkStart w:id="2175" w:name="_Toc175157462"/>
            <w:bookmarkStart w:id="2176" w:name="_Toc189044435"/>
            <w:r w:rsidRPr="002600B6">
              <w:t>6.6.5.</w:t>
            </w:r>
            <w:r>
              <w:t>3.</w:t>
            </w:r>
            <w:r w:rsidRPr="002600B6">
              <w:t>1</w:t>
            </w:r>
            <w:r w:rsidRPr="002600B6">
              <w:tab/>
              <w:t xml:space="preserve">Controllable Load Resource </w:t>
            </w:r>
            <w:r w:rsidR="00D35483">
              <w:t>Set</w:t>
            </w:r>
            <w:r w:rsidRPr="002600B6">
              <w:t xml:space="preserve"> Point Deviation Charge for Under Consumption</w:t>
            </w:r>
            <w:bookmarkEnd w:id="2167"/>
            <w:bookmarkEnd w:id="2168"/>
            <w:bookmarkEnd w:id="2169"/>
            <w:bookmarkEnd w:id="2170"/>
            <w:bookmarkEnd w:id="2171"/>
            <w:bookmarkEnd w:id="2172"/>
            <w:bookmarkEnd w:id="2173"/>
            <w:bookmarkEnd w:id="2174"/>
            <w:bookmarkEnd w:id="2175"/>
            <w:bookmarkEnd w:id="2176"/>
          </w:p>
          <w:p w14:paraId="51163FA0" w14:textId="65531BC3" w:rsidR="00573B9E" w:rsidRPr="006A6281" w:rsidRDefault="00573B9E" w:rsidP="00573B9E">
            <w:pPr>
              <w:pStyle w:val="BodyTextNumbered"/>
            </w:pPr>
            <w:r w:rsidRPr="006A6281">
              <w:t>(1)</w:t>
            </w:r>
            <w:r w:rsidRPr="006A6281">
              <w:tab/>
              <w:t>ERCOT shall charge a QSE for a Controllable Load Resource</w:t>
            </w:r>
            <w:r>
              <w:t xml:space="preserve">, </w:t>
            </w:r>
            <w:r w:rsidRPr="006A6281">
              <w:t xml:space="preserve">for under-consumption if the average telemetered power consumption is below than the lesser of: </w:t>
            </w:r>
          </w:p>
          <w:p w14:paraId="5D93C1FA" w14:textId="46B21D3A" w:rsidR="00573B9E" w:rsidRPr="006A6281" w:rsidRDefault="00573B9E" w:rsidP="00573B9E">
            <w:pPr>
              <w:pStyle w:val="List"/>
            </w:pPr>
            <w:r w:rsidRPr="006A6281">
              <w:lastRenderedPageBreak/>
              <w:t>(a)</w:t>
            </w:r>
            <w:r w:rsidRPr="006A6281">
              <w:tab/>
              <w:t xml:space="preserve">[100-XU]% of the </w:t>
            </w:r>
            <w:r w:rsidR="00D35483">
              <w:t>AASP</w:t>
            </w:r>
            <w:r w:rsidRPr="006A6281">
              <w:t xml:space="preserve"> in the Settlement Interval; or</w:t>
            </w:r>
          </w:p>
          <w:p w14:paraId="08858065" w14:textId="4972DB4C" w:rsidR="00573B9E" w:rsidRPr="006A6281" w:rsidRDefault="00573B9E" w:rsidP="00573B9E">
            <w:pPr>
              <w:pStyle w:val="List"/>
            </w:pPr>
            <w:r w:rsidRPr="006A6281">
              <w:t>(b)</w:t>
            </w:r>
            <w:r w:rsidRPr="006A6281">
              <w:tab/>
              <w:t xml:space="preserve">The </w:t>
            </w:r>
            <w:r w:rsidR="00D35483">
              <w:t>AASP</w:t>
            </w:r>
            <w:r w:rsidRPr="006A6281">
              <w:t xml:space="preserve"> in the Settlement Interval minus YU MW.</w:t>
            </w:r>
          </w:p>
          <w:p w14:paraId="049B5DBD" w14:textId="69BA13B8" w:rsidR="00573B9E" w:rsidRPr="006A6281" w:rsidRDefault="00573B9E" w:rsidP="00573B9E">
            <w:pPr>
              <w:pStyle w:val="BodyTextNumbered"/>
              <w:rPr>
                <w:iCs/>
              </w:rPr>
            </w:pPr>
            <w:r w:rsidRPr="006A6281">
              <w:rPr>
                <w:iCs/>
              </w:rPr>
              <w:t>(2)</w:t>
            </w:r>
            <w:r w:rsidRPr="006A6281">
              <w:rPr>
                <w:iCs/>
              </w:rPr>
              <w:tab/>
            </w:r>
            <w:r w:rsidRPr="006A6281">
              <w:t xml:space="preserve">The Controllable Load Resource </w:t>
            </w:r>
            <w:r w:rsidR="00D35483">
              <w:t>Set</w:t>
            </w:r>
            <w:r w:rsidRPr="006A6281">
              <w:t xml:space="preserv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5767D43B" w14:textId="3B6DD394" w:rsidR="00573B9E" w:rsidRPr="006A6281" w:rsidRDefault="00573B9E" w:rsidP="00573B9E">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w:t>
            </w:r>
            <w:r>
              <w:t xml:space="preserve">, </w:t>
            </w:r>
            <w:r w:rsidRPr="006A6281">
              <w:rPr>
                <w:iCs/>
              </w:rPr>
              <w:t>during a 15-minute Settlement Interval is calculated as follows:</w:t>
            </w:r>
          </w:p>
          <w:p w14:paraId="4545BA98" w14:textId="7F5A97BF" w:rsidR="00573B9E" w:rsidRPr="006A6281" w:rsidRDefault="00573B9E" w:rsidP="00573B9E">
            <w:pPr>
              <w:pStyle w:val="FormulaBold"/>
              <w:tabs>
                <w:tab w:val="left" w:pos="720"/>
              </w:tabs>
              <w:ind w:left="2880" w:hanging="2880"/>
              <w:rPr>
                <w:lang w:val="pt-BR"/>
              </w:rPr>
            </w:pPr>
            <w:r w:rsidRPr="006A6281">
              <w:rPr>
                <w:lang w:val="pt-BR"/>
              </w:rPr>
              <w:tab/>
            </w:r>
            <w:r w:rsidR="00D35483">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1F1426EC" w14:textId="77777777" w:rsidR="00573B9E" w:rsidRPr="006A6281" w:rsidRDefault="00573B9E" w:rsidP="00573B9E">
            <w:pPr>
              <w:pStyle w:val="FormulaBold"/>
              <w:rPr>
                <w:b w:val="0"/>
              </w:rPr>
            </w:pPr>
            <w:r w:rsidRPr="006A6281">
              <w:rPr>
                <w:b w:val="0"/>
              </w:rPr>
              <w:t>Where:</w:t>
            </w:r>
          </w:p>
          <w:p w14:paraId="6325ED12" w14:textId="47230A96" w:rsidR="00573B9E" w:rsidRPr="002600B6" w:rsidRDefault="00573B9E" w:rsidP="00573B9E">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w:t>
            </w:r>
            <w:r w:rsidR="00D35483">
              <w:rPr>
                <w:iCs/>
              </w:rPr>
              <w:t>S</w:t>
            </w:r>
            <w:r w:rsidRPr="002600B6">
              <w:rPr>
                <w:iCs/>
              </w:rPr>
              <w:t>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w:t>
            </w:r>
            <w:r w:rsidR="00D35483">
              <w:rPr>
                <w:iCs/>
                <w:lang w:val="es-MX"/>
              </w:rPr>
              <w:t>S</w:t>
            </w:r>
            <w:r w:rsidRPr="002600B6">
              <w:rPr>
                <w:iCs/>
                <w:lang w:val="es-MX"/>
              </w:rPr>
              <w:t>P</w:t>
            </w:r>
            <w:r w:rsidRPr="002600B6">
              <w:rPr>
                <w:i/>
                <w:vertAlign w:val="subscript"/>
                <w:lang w:val="es-ES"/>
              </w:rPr>
              <w:t xml:space="preserve"> q, r, p, i</w:t>
            </w:r>
            <w:r w:rsidRPr="002600B6">
              <w:rPr>
                <w:iCs/>
              </w:rPr>
              <w:t xml:space="preserve"> – QLR2)</w:t>
            </w:r>
            <w:r>
              <w:rPr>
                <w:iCs/>
              </w:rPr>
              <w:t>)</w:t>
            </w:r>
            <w:r w:rsidRPr="002600B6">
              <w:rPr>
                <w:iCs/>
              </w:rPr>
              <w:t xml:space="preserve"> – ATPC</w:t>
            </w:r>
            <w:r>
              <w:rPr>
                <w:iCs/>
              </w:rPr>
              <w:t xml:space="preserve"> </w:t>
            </w:r>
            <w:r w:rsidRPr="002600B6">
              <w:rPr>
                <w:i/>
                <w:vertAlign w:val="subscript"/>
                <w:lang w:val="es-ES"/>
              </w:rPr>
              <w:t>q, r, p, i</w:t>
            </w:r>
            <w:r w:rsidRPr="002600B6">
              <w:rPr>
                <w:iCs/>
              </w:rPr>
              <w:t>]]</w:t>
            </w:r>
          </w:p>
          <w:p w14:paraId="4104B45D" w14:textId="77777777" w:rsidR="00573B9E" w:rsidRPr="002600B6" w:rsidRDefault="00573B9E" w:rsidP="00573B9E">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FC75E3A">
                <v:shape id="_x0000_i1190" type="#_x0000_t75" style="width:6pt;height:24pt" o:ole="">
                  <v:imagedata r:id="rId208" o:title=""/>
                </v:shape>
                <o:OLEObject Type="Embed" ProgID="Equation.3" ShapeID="_x0000_i1190" DrawAspect="Content" ObjectID="_1804653675" r:id="rId222"/>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6C88320B" w14:textId="77777777" w:rsidR="00573B9E" w:rsidRPr="006A6281" w:rsidRDefault="00573B9E" w:rsidP="00573B9E">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22690" w:rsidRPr="006A6281" w14:paraId="681D19CA" w14:textId="77777777" w:rsidTr="001B737D">
              <w:tc>
                <w:tcPr>
                  <w:tcW w:w="1975" w:type="dxa"/>
                </w:tcPr>
                <w:p w14:paraId="1970AFB9" w14:textId="77777777" w:rsidR="00C22690" w:rsidRPr="006A6281" w:rsidRDefault="00C22690" w:rsidP="00C22690">
                  <w:pPr>
                    <w:pStyle w:val="TableHead"/>
                  </w:pPr>
                  <w:r w:rsidRPr="006A6281">
                    <w:t>Variable</w:t>
                  </w:r>
                </w:p>
              </w:tc>
              <w:tc>
                <w:tcPr>
                  <w:tcW w:w="900" w:type="dxa"/>
                </w:tcPr>
                <w:p w14:paraId="13121A10" w14:textId="77777777" w:rsidR="00C22690" w:rsidRPr="006A6281" w:rsidRDefault="00C22690" w:rsidP="00C22690">
                  <w:pPr>
                    <w:pStyle w:val="TableHead"/>
                  </w:pPr>
                  <w:r w:rsidRPr="006A6281">
                    <w:t>Unit</w:t>
                  </w:r>
                </w:p>
              </w:tc>
              <w:tc>
                <w:tcPr>
                  <w:tcW w:w="6942" w:type="dxa"/>
                  <w:gridSpan w:val="2"/>
                </w:tcPr>
                <w:p w14:paraId="387E80B9" w14:textId="77777777" w:rsidR="00C22690" w:rsidRPr="006A6281" w:rsidRDefault="00C22690" w:rsidP="00C22690">
                  <w:pPr>
                    <w:pStyle w:val="TableHead"/>
                  </w:pPr>
                  <w:r w:rsidRPr="006A6281">
                    <w:t>Definition</w:t>
                  </w:r>
                </w:p>
              </w:tc>
            </w:tr>
            <w:tr w:rsidR="00C22690" w:rsidRPr="006A6281" w14:paraId="2EC666B5" w14:textId="77777777" w:rsidTr="001B737D">
              <w:trPr>
                <w:cantSplit/>
              </w:trPr>
              <w:tc>
                <w:tcPr>
                  <w:tcW w:w="1975" w:type="dxa"/>
                </w:tcPr>
                <w:p w14:paraId="3F733964" w14:textId="265A0851" w:rsidR="00C22690" w:rsidRPr="006A6281" w:rsidRDefault="00D35483" w:rsidP="00C22690">
                  <w:pPr>
                    <w:pStyle w:val="TableBody"/>
                  </w:pPr>
                  <w:r>
                    <w:t>S</w:t>
                  </w:r>
                  <w:r w:rsidR="00C22690" w:rsidRPr="006A6281">
                    <w:t xml:space="preserve">PDAMT </w:t>
                  </w:r>
                  <w:r w:rsidR="00C22690" w:rsidRPr="00107CC2">
                    <w:rPr>
                      <w:i/>
                      <w:vertAlign w:val="subscript"/>
                    </w:rPr>
                    <w:t>q, r, p, i</w:t>
                  </w:r>
                </w:p>
              </w:tc>
              <w:tc>
                <w:tcPr>
                  <w:tcW w:w="900" w:type="dxa"/>
                </w:tcPr>
                <w:p w14:paraId="426D9775" w14:textId="77777777" w:rsidR="00C22690" w:rsidRPr="006A6281" w:rsidRDefault="00C22690" w:rsidP="00C22690">
                  <w:pPr>
                    <w:pStyle w:val="TableBody"/>
                  </w:pPr>
                  <w:r w:rsidRPr="006A6281">
                    <w:t>$</w:t>
                  </w:r>
                </w:p>
              </w:tc>
              <w:tc>
                <w:tcPr>
                  <w:tcW w:w="6942" w:type="dxa"/>
                  <w:gridSpan w:val="2"/>
                </w:tcPr>
                <w:p w14:paraId="01582D16" w14:textId="31C1FC5F" w:rsidR="00C22690" w:rsidRPr="006A6281" w:rsidRDefault="00D35483" w:rsidP="00D35483">
                  <w:pPr>
                    <w:pStyle w:val="TableBody"/>
                  </w:pPr>
                  <w:r>
                    <w:rPr>
                      <w:i/>
                    </w:rPr>
                    <w:t>Set</w:t>
                  </w:r>
                  <w:r w:rsidR="00C22690" w:rsidRPr="006A6281">
                    <w:rPr>
                      <w:i/>
                    </w:rPr>
                    <w:t xml:space="preserve"> Point Deviation Charge per QSE per Settlement Point per Resource</w:t>
                  </w:r>
                  <w:r w:rsidR="00C22690" w:rsidRPr="006A6281">
                    <w:t xml:space="preserve">—The charge to QSE </w:t>
                  </w:r>
                  <w:r w:rsidR="00C22690" w:rsidRPr="006A6281">
                    <w:rPr>
                      <w:i/>
                    </w:rPr>
                    <w:t>q</w:t>
                  </w:r>
                  <w:r w:rsidR="00C22690" w:rsidRPr="006A6281">
                    <w:t xml:space="preserve"> for Controllable Load Resource </w:t>
                  </w:r>
                  <w:r w:rsidR="00C22690" w:rsidRPr="006A6281">
                    <w:rPr>
                      <w:i/>
                    </w:rPr>
                    <w:t>r</w:t>
                  </w:r>
                  <w:r w:rsidR="00C22690" w:rsidRPr="006A6281">
                    <w:t xml:space="preserve"> at Settlement Point </w:t>
                  </w:r>
                  <w:r w:rsidR="00C22690" w:rsidRPr="006A6281">
                    <w:rPr>
                      <w:i/>
                    </w:rPr>
                    <w:t>p</w:t>
                  </w:r>
                  <w:r w:rsidR="00C22690" w:rsidRPr="006A6281">
                    <w:t xml:space="preserve">, for its deviation from </w:t>
                  </w:r>
                  <w:r w:rsidR="0018785B">
                    <w:t>AASP</w:t>
                  </w:r>
                  <w:r w:rsidR="00C22690" w:rsidRPr="006A6281">
                    <w:t xml:space="preserve">, for the 15-minute Settlement Interval </w:t>
                  </w:r>
                  <w:r w:rsidR="00C22690" w:rsidRPr="006A6281">
                    <w:rPr>
                      <w:i/>
                    </w:rPr>
                    <w:t>i</w:t>
                  </w:r>
                  <w:r w:rsidR="00C22690" w:rsidRPr="006A6281">
                    <w:t>.</w:t>
                  </w:r>
                </w:p>
              </w:tc>
            </w:tr>
            <w:tr w:rsidR="00C22690" w:rsidRPr="006A6281" w14:paraId="337326FE" w14:textId="77777777" w:rsidTr="001B737D">
              <w:trPr>
                <w:cantSplit/>
              </w:trPr>
              <w:tc>
                <w:tcPr>
                  <w:tcW w:w="1975" w:type="dxa"/>
                </w:tcPr>
                <w:p w14:paraId="0C5EECB3" w14:textId="77777777" w:rsidR="00C22690" w:rsidRPr="006A6281" w:rsidRDefault="00C22690" w:rsidP="00C22690">
                  <w:pPr>
                    <w:pStyle w:val="TableBody"/>
                  </w:pPr>
                  <w:r w:rsidRPr="006A6281">
                    <w:t xml:space="preserve">RTSPP </w:t>
                  </w:r>
                  <w:r w:rsidRPr="00107CC2">
                    <w:rPr>
                      <w:i/>
                      <w:vertAlign w:val="subscript"/>
                    </w:rPr>
                    <w:t>p, i</w:t>
                  </w:r>
                </w:p>
              </w:tc>
              <w:tc>
                <w:tcPr>
                  <w:tcW w:w="900" w:type="dxa"/>
                </w:tcPr>
                <w:p w14:paraId="30AB3DD2" w14:textId="77777777" w:rsidR="00C22690" w:rsidRPr="006A6281" w:rsidRDefault="00C22690" w:rsidP="00C22690">
                  <w:pPr>
                    <w:pStyle w:val="TableBody"/>
                  </w:pPr>
                  <w:r w:rsidRPr="006A6281">
                    <w:t>$/MWh</w:t>
                  </w:r>
                </w:p>
              </w:tc>
              <w:tc>
                <w:tcPr>
                  <w:tcW w:w="6942" w:type="dxa"/>
                  <w:gridSpan w:val="2"/>
                </w:tcPr>
                <w:p w14:paraId="346F789E" w14:textId="77777777" w:rsidR="00C22690" w:rsidRPr="006A6281" w:rsidRDefault="00C22690" w:rsidP="00C22690">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C22690" w:rsidRPr="006A6281" w14:paraId="5F0ADD20" w14:textId="77777777" w:rsidTr="001B737D">
              <w:trPr>
                <w:gridAfter w:val="1"/>
                <w:wAfter w:w="12" w:type="dxa"/>
                <w:cantSplit/>
              </w:trPr>
              <w:tc>
                <w:tcPr>
                  <w:tcW w:w="1975" w:type="dxa"/>
                </w:tcPr>
                <w:p w14:paraId="63ABBB72" w14:textId="77777777" w:rsidR="00C22690" w:rsidRPr="006A6281" w:rsidRDefault="00C22690" w:rsidP="00C22690">
                  <w:pPr>
                    <w:pStyle w:val="TableBody"/>
                  </w:pPr>
                  <w:r w:rsidRPr="006A6281">
                    <w:t xml:space="preserve">ATPC </w:t>
                  </w:r>
                  <w:r w:rsidRPr="00107CC2">
                    <w:rPr>
                      <w:i/>
                      <w:vertAlign w:val="subscript"/>
                    </w:rPr>
                    <w:t>q, r, p, i</w:t>
                  </w:r>
                </w:p>
              </w:tc>
              <w:tc>
                <w:tcPr>
                  <w:tcW w:w="900" w:type="dxa"/>
                </w:tcPr>
                <w:p w14:paraId="4E42EC74" w14:textId="77777777" w:rsidR="00C22690" w:rsidRPr="006A6281" w:rsidRDefault="00C22690" w:rsidP="00C22690">
                  <w:pPr>
                    <w:pStyle w:val="TableBody"/>
                  </w:pPr>
                  <w:r w:rsidRPr="006A6281">
                    <w:t>MWh</w:t>
                  </w:r>
                </w:p>
              </w:tc>
              <w:tc>
                <w:tcPr>
                  <w:tcW w:w="6930" w:type="dxa"/>
                </w:tcPr>
                <w:p w14:paraId="7875ECD0" w14:textId="77777777" w:rsidR="00C22690" w:rsidRPr="006A6281" w:rsidRDefault="00C22690" w:rsidP="00C22690">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C22690" w:rsidRPr="006A6281" w14:paraId="2C103B85" w14:textId="77777777" w:rsidTr="001B737D">
              <w:trPr>
                <w:gridAfter w:val="1"/>
                <w:wAfter w:w="12" w:type="dxa"/>
                <w:cantSplit/>
              </w:trPr>
              <w:tc>
                <w:tcPr>
                  <w:tcW w:w="1975" w:type="dxa"/>
                </w:tcPr>
                <w:p w14:paraId="3ED1EE51" w14:textId="45CC85A7" w:rsidR="00C22690" w:rsidRPr="006A6281" w:rsidRDefault="00C22690" w:rsidP="00F64D00">
                  <w:pPr>
                    <w:pStyle w:val="TableBody"/>
                  </w:pPr>
                  <w:r w:rsidRPr="006A6281">
                    <w:t>AA</w:t>
                  </w:r>
                  <w:r w:rsidR="00D35483">
                    <w:t>S</w:t>
                  </w:r>
                  <w:r w:rsidRPr="006A6281">
                    <w:t xml:space="preserve">P </w:t>
                  </w:r>
                  <w:r w:rsidRPr="00107CC2">
                    <w:rPr>
                      <w:i/>
                      <w:vertAlign w:val="subscript"/>
                    </w:rPr>
                    <w:t>q, r, p, i</w:t>
                  </w:r>
                </w:p>
              </w:tc>
              <w:tc>
                <w:tcPr>
                  <w:tcW w:w="900" w:type="dxa"/>
                </w:tcPr>
                <w:p w14:paraId="16B05D2A" w14:textId="77777777" w:rsidR="00C22690" w:rsidRPr="006A6281" w:rsidRDefault="00C22690" w:rsidP="00C22690">
                  <w:pPr>
                    <w:pStyle w:val="TableBody"/>
                  </w:pPr>
                  <w:r w:rsidRPr="006A6281">
                    <w:t>MW</w:t>
                  </w:r>
                </w:p>
              </w:tc>
              <w:tc>
                <w:tcPr>
                  <w:tcW w:w="6930" w:type="dxa"/>
                </w:tcPr>
                <w:p w14:paraId="06F2CF88" w14:textId="29D77D88" w:rsidR="00C22690" w:rsidRPr="006A6281" w:rsidRDefault="00D35483" w:rsidP="00F64D00">
                  <w:pPr>
                    <w:pStyle w:val="TableBody"/>
                    <w:rPr>
                      <w:i/>
                    </w:rPr>
                  </w:pPr>
                  <w:r>
                    <w:rPr>
                      <w:i/>
                    </w:rPr>
                    <w:t>Average</w:t>
                  </w:r>
                  <w:r w:rsidR="00C22690" w:rsidRPr="006A6281">
                    <w:rPr>
                      <w:i/>
                    </w:rPr>
                    <w:t xml:space="preserve"> Aggregated </w:t>
                  </w:r>
                  <w:r>
                    <w:rPr>
                      <w:i/>
                    </w:rPr>
                    <w:t>Set</w:t>
                  </w:r>
                  <w:r w:rsidR="00C22690" w:rsidRPr="006A6281">
                    <w:rPr>
                      <w:i/>
                    </w:rPr>
                    <w:t xml:space="preserve"> Point </w:t>
                  </w:r>
                  <w:r w:rsidR="00C22690">
                    <w:rPr>
                      <w:i/>
                    </w:rPr>
                    <w:t xml:space="preserve">for the Resource </w:t>
                  </w:r>
                  <w:r w:rsidR="00C22690" w:rsidRPr="006A6281">
                    <w:rPr>
                      <w:i/>
                    </w:rPr>
                    <w:t>per QSE per Settlement Point per Resource</w:t>
                  </w:r>
                  <w:r w:rsidR="00C22690" w:rsidRPr="006A6281">
                    <w:t xml:space="preserve">—The </w:t>
                  </w:r>
                  <w:r>
                    <w:rPr>
                      <w:iCs w:val="0"/>
                    </w:rPr>
                    <w:t>average of the Average Five Minute Clock Interval Set Point (AVGSP5M)</w:t>
                  </w:r>
                  <w:r w:rsidR="00C22690" w:rsidRPr="006A6281">
                    <w:t xml:space="preserve"> of Resource </w:t>
                  </w:r>
                  <w:r w:rsidR="00C22690" w:rsidRPr="006A6281">
                    <w:rPr>
                      <w:i/>
                    </w:rPr>
                    <w:t>r</w:t>
                  </w:r>
                  <w:r w:rsidR="00C22690" w:rsidRPr="006A6281">
                    <w:t xml:space="preserve"> represented by QSE </w:t>
                  </w:r>
                  <w:r w:rsidR="00C22690" w:rsidRPr="006A6281">
                    <w:rPr>
                      <w:i/>
                    </w:rPr>
                    <w:t xml:space="preserve">q </w:t>
                  </w:r>
                  <w:r w:rsidR="00C22690" w:rsidRPr="006A6281">
                    <w:t xml:space="preserve">at Settlement Point </w:t>
                  </w:r>
                  <w:r w:rsidR="00C22690" w:rsidRPr="006A6281">
                    <w:rPr>
                      <w:i/>
                    </w:rPr>
                    <w:t>p</w:t>
                  </w:r>
                  <w:r w:rsidR="00C22690" w:rsidRPr="006A6281">
                    <w:t xml:space="preserve">, for the 15-minute Settlement Interval </w:t>
                  </w:r>
                  <w:r w:rsidR="00C22690" w:rsidRPr="006A6281">
                    <w:rPr>
                      <w:i/>
                    </w:rPr>
                    <w:t>i</w:t>
                  </w:r>
                  <w:r w:rsidR="00C22690" w:rsidRPr="006A6281">
                    <w:t xml:space="preserve">.  </w:t>
                  </w:r>
                </w:p>
              </w:tc>
            </w:tr>
            <w:tr w:rsidR="00C22690" w:rsidRPr="006A6281" w14:paraId="7E201C65" w14:textId="77777777" w:rsidTr="001B737D">
              <w:trPr>
                <w:cantSplit/>
              </w:trPr>
              <w:tc>
                <w:tcPr>
                  <w:tcW w:w="1975" w:type="dxa"/>
                </w:tcPr>
                <w:p w14:paraId="05C8301E" w14:textId="77777777" w:rsidR="00C22690" w:rsidRPr="006A6281" w:rsidRDefault="00C22690" w:rsidP="00C22690">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BEA975B" w14:textId="77777777" w:rsidR="00C22690" w:rsidRPr="006A6281" w:rsidRDefault="00C22690" w:rsidP="00C22690">
                  <w:pPr>
                    <w:pStyle w:val="TableBody"/>
                  </w:pPr>
                  <w:r w:rsidRPr="006A6281">
                    <w:t>MW</w:t>
                  </w:r>
                </w:p>
              </w:tc>
              <w:tc>
                <w:tcPr>
                  <w:tcW w:w="6942" w:type="dxa"/>
                  <w:gridSpan w:val="2"/>
                </w:tcPr>
                <w:p w14:paraId="21BD818F" w14:textId="77777777" w:rsidR="00C22690" w:rsidRPr="006A6281" w:rsidRDefault="00C22690" w:rsidP="00C22690">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C22690" w:rsidRPr="006A6281" w14:paraId="6BCE3810" w14:textId="77777777" w:rsidTr="001B737D">
              <w:trPr>
                <w:cantSplit/>
              </w:trPr>
              <w:tc>
                <w:tcPr>
                  <w:tcW w:w="1975" w:type="dxa"/>
                </w:tcPr>
                <w:p w14:paraId="30EE398A" w14:textId="77777777" w:rsidR="00C22690" w:rsidRPr="006A6281" w:rsidRDefault="00C22690" w:rsidP="00C22690">
                  <w:pPr>
                    <w:pStyle w:val="TableBody"/>
                  </w:pPr>
                  <w:r w:rsidRPr="006A6281">
                    <w:t xml:space="preserve">UCONSM </w:t>
                  </w:r>
                  <w:r w:rsidRPr="00107CC2">
                    <w:rPr>
                      <w:i/>
                      <w:vertAlign w:val="subscript"/>
                    </w:rPr>
                    <w:t>q, r, p, i</w:t>
                  </w:r>
                </w:p>
              </w:tc>
              <w:tc>
                <w:tcPr>
                  <w:tcW w:w="900" w:type="dxa"/>
                </w:tcPr>
                <w:p w14:paraId="3E223DDF" w14:textId="77777777" w:rsidR="00C22690" w:rsidRPr="006A6281" w:rsidRDefault="00C22690" w:rsidP="00C22690">
                  <w:pPr>
                    <w:pStyle w:val="TableBody"/>
                  </w:pPr>
                  <w:r w:rsidRPr="006A6281">
                    <w:t>MW</w:t>
                  </w:r>
                  <w:r>
                    <w:t>h</w:t>
                  </w:r>
                </w:p>
              </w:tc>
              <w:tc>
                <w:tcPr>
                  <w:tcW w:w="6942" w:type="dxa"/>
                  <w:gridSpan w:val="2"/>
                </w:tcPr>
                <w:p w14:paraId="42AC6C94" w14:textId="77777777" w:rsidR="00C22690" w:rsidRPr="006A6281" w:rsidRDefault="00C22690" w:rsidP="00C22690">
                  <w:pPr>
                    <w:pStyle w:val="TableBody"/>
                  </w:pPr>
                  <w:r w:rsidRPr="006A6281">
                    <w:rPr>
                      <w:i/>
                    </w:rPr>
                    <w:t>Under</w:t>
                  </w:r>
                  <w:r>
                    <w:rPr>
                      <w:i/>
                    </w:rPr>
                    <w:t>-</w:t>
                  </w:r>
                  <w:r w:rsidRPr="006A6281">
                    <w:rPr>
                      <w:i/>
                    </w:rPr>
                    <w:t>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C22690" w:rsidRPr="006A6281" w14:paraId="6D0B4E6A" w14:textId="77777777" w:rsidTr="001B737D">
              <w:trPr>
                <w:cantSplit/>
              </w:trPr>
              <w:tc>
                <w:tcPr>
                  <w:tcW w:w="1975" w:type="dxa"/>
                </w:tcPr>
                <w:p w14:paraId="6149B6E5" w14:textId="77777777" w:rsidR="00C22690" w:rsidRPr="006A6281" w:rsidRDefault="00C22690" w:rsidP="00C22690">
                  <w:pPr>
                    <w:pStyle w:val="TableBody"/>
                  </w:pPr>
                  <w:r w:rsidRPr="006A6281">
                    <w:t>PRZ2</w:t>
                  </w:r>
                </w:p>
              </w:tc>
              <w:tc>
                <w:tcPr>
                  <w:tcW w:w="900" w:type="dxa"/>
                </w:tcPr>
                <w:p w14:paraId="63FA5D69" w14:textId="77777777" w:rsidR="00C22690" w:rsidRPr="006A6281" w:rsidRDefault="00C22690" w:rsidP="00C22690">
                  <w:pPr>
                    <w:pStyle w:val="TableBody"/>
                  </w:pPr>
                  <w:r w:rsidRPr="006A6281">
                    <w:t>$/MWh</w:t>
                  </w:r>
                </w:p>
              </w:tc>
              <w:tc>
                <w:tcPr>
                  <w:tcW w:w="6942" w:type="dxa"/>
                  <w:gridSpan w:val="2"/>
                </w:tcPr>
                <w:p w14:paraId="16DE6667" w14:textId="4AF782AD" w:rsidR="00C22690" w:rsidRPr="006A6281" w:rsidRDefault="00C22690" w:rsidP="00D35483">
                  <w:pPr>
                    <w:pStyle w:val="TableBody"/>
                  </w:pPr>
                  <w:r w:rsidRPr="006A6281">
                    <w:t xml:space="preserve">The price to use for the </w:t>
                  </w:r>
                  <w:r w:rsidR="00F779E8">
                    <w:t>Set</w:t>
                  </w:r>
                  <w:r w:rsidRPr="006A6281">
                    <w:t xml:space="preserve"> Point Deviation Charge for under-consumption calculation when RTSPP is less than $20/MWh, $20/MWh.  </w:t>
                  </w:r>
                </w:p>
              </w:tc>
            </w:tr>
            <w:tr w:rsidR="00C22690" w:rsidRPr="006A6281" w14:paraId="61CED40A" w14:textId="77777777" w:rsidTr="001B737D">
              <w:trPr>
                <w:cantSplit/>
              </w:trPr>
              <w:tc>
                <w:tcPr>
                  <w:tcW w:w="1975" w:type="dxa"/>
                </w:tcPr>
                <w:p w14:paraId="65CC1FE8" w14:textId="77777777" w:rsidR="00C22690" w:rsidRPr="006A6281" w:rsidRDefault="00C22690" w:rsidP="00C22690">
                  <w:pPr>
                    <w:pStyle w:val="TableBody"/>
                  </w:pPr>
                  <w:r w:rsidRPr="006A6281">
                    <w:t>KLR2</w:t>
                  </w:r>
                </w:p>
              </w:tc>
              <w:tc>
                <w:tcPr>
                  <w:tcW w:w="900" w:type="dxa"/>
                </w:tcPr>
                <w:p w14:paraId="62F0FA98" w14:textId="77777777" w:rsidR="00C22690" w:rsidRPr="006A6281" w:rsidRDefault="00C22690" w:rsidP="00C22690">
                  <w:pPr>
                    <w:pStyle w:val="TableBody"/>
                  </w:pPr>
                </w:p>
              </w:tc>
              <w:tc>
                <w:tcPr>
                  <w:tcW w:w="6942" w:type="dxa"/>
                  <w:gridSpan w:val="2"/>
                </w:tcPr>
                <w:p w14:paraId="51CA87F6" w14:textId="77777777" w:rsidR="00C22690" w:rsidRPr="006A6281" w:rsidRDefault="00C22690" w:rsidP="00C22690">
                  <w:pPr>
                    <w:pStyle w:val="TableBody"/>
                  </w:pPr>
                  <w:r w:rsidRPr="006A6281">
                    <w:t>The percentage tolerance for under-consumption of a Controllable Load Resource, XU%.</w:t>
                  </w:r>
                </w:p>
              </w:tc>
            </w:tr>
            <w:tr w:rsidR="00C22690" w:rsidRPr="006A6281" w14:paraId="2CEC68CA" w14:textId="77777777" w:rsidTr="001B737D">
              <w:trPr>
                <w:cantSplit/>
              </w:trPr>
              <w:tc>
                <w:tcPr>
                  <w:tcW w:w="1975" w:type="dxa"/>
                </w:tcPr>
                <w:p w14:paraId="56A95E25" w14:textId="77777777" w:rsidR="00C22690" w:rsidRPr="006A6281" w:rsidRDefault="00C22690" w:rsidP="00C22690">
                  <w:pPr>
                    <w:pStyle w:val="TableBody"/>
                    <w:rPr>
                      <w:i/>
                    </w:rPr>
                  </w:pPr>
                  <w:r w:rsidRPr="006A6281">
                    <w:t>QLR2</w:t>
                  </w:r>
                </w:p>
              </w:tc>
              <w:tc>
                <w:tcPr>
                  <w:tcW w:w="900" w:type="dxa"/>
                </w:tcPr>
                <w:p w14:paraId="3A8D9B77" w14:textId="77777777" w:rsidR="00C22690" w:rsidRPr="006A6281" w:rsidRDefault="00C22690" w:rsidP="00C22690">
                  <w:pPr>
                    <w:pStyle w:val="TableBody"/>
                  </w:pPr>
                  <w:r w:rsidRPr="006A6281">
                    <w:t>MW</w:t>
                  </w:r>
                </w:p>
              </w:tc>
              <w:tc>
                <w:tcPr>
                  <w:tcW w:w="6942" w:type="dxa"/>
                  <w:gridSpan w:val="2"/>
                </w:tcPr>
                <w:p w14:paraId="6591FEE4" w14:textId="77777777" w:rsidR="00C22690" w:rsidRPr="006A6281" w:rsidRDefault="00C22690" w:rsidP="00C22690">
                  <w:pPr>
                    <w:pStyle w:val="TableBody"/>
                  </w:pPr>
                  <w:r w:rsidRPr="006A6281">
                    <w:t>The MW tolerance for under-consumption of a Controllable Load Resource, YU MW.</w:t>
                  </w:r>
                </w:p>
              </w:tc>
            </w:tr>
            <w:tr w:rsidR="00C22690" w:rsidRPr="006A6281" w14:paraId="7ABA43A3" w14:textId="77777777" w:rsidTr="001B737D">
              <w:trPr>
                <w:cantSplit/>
              </w:trPr>
              <w:tc>
                <w:tcPr>
                  <w:tcW w:w="1975" w:type="dxa"/>
                </w:tcPr>
                <w:p w14:paraId="047CDFCF" w14:textId="77777777" w:rsidR="00C22690" w:rsidRPr="006A6281" w:rsidRDefault="00C22690" w:rsidP="00C22690">
                  <w:pPr>
                    <w:pStyle w:val="TableBody"/>
                    <w:rPr>
                      <w:i/>
                    </w:rPr>
                  </w:pPr>
                  <w:r w:rsidRPr="006A6281">
                    <w:rPr>
                      <w:i/>
                    </w:rPr>
                    <w:lastRenderedPageBreak/>
                    <w:t>q</w:t>
                  </w:r>
                </w:p>
              </w:tc>
              <w:tc>
                <w:tcPr>
                  <w:tcW w:w="900" w:type="dxa"/>
                </w:tcPr>
                <w:p w14:paraId="45A2B42F" w14:textId="77777777" w:rsidR="00C22690" w:rsidRPr="006A6281" w:rsidRDefault="00C22690" w:rsidP="00C22690">
                  <w:pPr>
                    <w:pStyle w:val="TableBody"/>
                  </w:pPr>
                  <w:r w:rsidRPr="006A6281">
                    <w:t>none</w:t>
                  </w:r>
                </w:p>
              </w:tc>
              <w:tc>
                <w:tcPr>
                  <w:tcW w:w="6942" w:type="dxa"/>
                  <w:gridSpan w:val="2"/>
                </w:tcPr>
                <w:p w14:paraId="0DE73A75" w14:textId="77777777" w:rsidR="00C22690" w:rsidRPr="006A6281" w:rsidRDefault="00C22690" w:rsidP="00C22690">
                  <w:pPr>
                    <w:pStyle w:val="TableBody"/>
                  </w:pPr>
                  <w:r w:rsidRPr="006A6281">
                    <w:t>A QSE.</w:t>
                  </w:r>
                </w:p>
              </w:tc>
            </w:tr>
            <w:tr w:rsidR="00C22690" w:rsidRPr="006A6281" w14:paraId="79F9DCB1" w14:textId="77777777" w:rsidTr="001B737D">
              <w:trPr>
                <w:cantSplit/>
              </w:trPr>
              <w:tc>
                <w:tcPr>
                  <w:tcW w:w="1975" w:type="dxa"/>
                </w:tcPr>
                <w:p w14:paraId="56C1B9B4" w14:textId="77777777" w:rsidR="00C22690" w:rsidRPr="006A6281" w:rsidRDefault="00C22690" w:rsidP="00C22690">
                  <w:pPr>
                    <w:pStyle w:val="TableBody"/>
                    <w:rPr>
                      <w:i/>
                    </w:rPr>
                  </w:pPr>
                  <w:r w:rsidRPr="006A6281">
                    <w:rPr>
                      <w:i/>
                    </w:rPr>
                    <w:t>p</w:t>
                  </w:r>
                </w:p>
              </w:tc>
              <w:tc>
                <w:tcPr>
                  <w:tcW w:w="900" w:type="dxa"/>
                </w:tcPr>
                <w:p w14:paraId="60FE0109" w14:textId="77777777" w:rsidR="00C22690" w:rsidRPr="006A6281" w:rsidRDefault="00C22690" w:rsidP="00C22690">
                  <w:pPr>
                    <w:pStyle w:val="TableBody"/>
                  </w:pPr>
                  <w:r w:rsidRPr="006A6281">
                    <w:t>none</w:t>
                  </w:r>
                </w:p>
              </w:tc>
              <w:tc>
                <w:tcPr>
                  <w:tcW w:w="6942" w:type="dxa"/>
                  <w:gridSpan w:val="2"/>
                </w:tcPr>
                <w:p w14:paraId="0B7A9D86" w14:textId="77777777" w:rsidR="00C22690" w:rsidRPr="006A6281" w:rsidRDefault="00C22690" w:rsidP="00C22690">
                  <w:pPr>
                    <w:pStyle w:val="TableBody"/>
                  </w:pPr>
                  <w:r w:rsidRPr="006A6281">
                    <w:t>A Settlement Point.</w:t>
                  </w:r>
                </w:p>
              </w:tc>
            </w:tr>
            <w:tr w:rsidR="00C22690" w:rsidRPr="006A6281" w14:paraId="2E30C2A5" w14:textId="77777777" w:rsidTr="001B737D">
              <w:trPr>
                <w:cantSplit/>
              </w:trPr>
              <w:tc>
                <w:tcPr>
                  <w:tcW w:w="1975" w:type="dxa"/>
                </w:tcPr>
                <w:p w14:paraId="0194694B" w14:textId="77777777" w:rsidR="00C22690" w:rsidRPr="006A6281" w:rsidRDefault="00C22690" w:rsidP="00C22690">
                  <w:pPr>
                    <w:pStyle w:val="TableBody"/>
                    <w:rPr>
                      <w:i/>
                    </w:rPr>
                  </w:pPr>
                  <w:r w:rsidRPr="006A6281">
                    <w:rPr>
                      <w:i/>
                    </w:rPr>
                    <w:t>r</w:t>
                  </w:r>
                </w:p>
              </w:tc>
              <w:tc>
                <w:tcPr>
                  <w:tcW w:w="900" w:type="dxa"/>
                </w:tcPr>
                <w:p w14:paraId="35980071" w14:textId="77777777" w:rsidR="00C22690" w:rsidRPr="006A6281" w:rsidRDefault="00C22690" w:rsidP="00C22690">
                  <w:pPr>
                    <w:pStyle w:val="TableBody"/>
                  </w:pPr>
                  <w:r>
                    <w:t>n</w:t>
                  </w:r>
                  <w:r w:rsidRPr="006A6281">
                    <w:t>one</w:t>
                  </w:r>
                </w:p>
              </w:tc>
              <w:tc>
                <w:tcPr>
                  <w:tcW w:w="6942" w:type="dxa"/>
                  <w:gridSpan w:val="2"/>
                </w:tcPr>
                <w:p w14:paraId="2355D09C" w14:textId="77777777" w:rsidR="00C22690" w:rsidRPr="006A6281" w:rsidRDefault="00C22690" w:rsidP="00C22690">
                  <w:pPr>
                    <w:pStyle w:val="TableBody"/>
                  </w:pPr>
                  <w:r w:rsidRPr="006A6281">
                    <w:t>A Controllable Load Resource.</w:t>
                  </w:r>
                </w:p>
              </w:tc>
            </w:tr>
            <w:tr w:rsidR="00C22690" w:rsidRPr="006A6281" w14:paraId="198C02E8" w14:textId="77777777" w:rsidTr="001B737D">
              <w:trPr>
                <w:cantSplit/>
                <w:trHeight w:val="152"/>
              </w:trPr>
              <w:tc>
                <w:tcPr>
                  <w:tcW w:w="1975" w:type="dxa"/>
                </w:tcPr>
                <w:p w14:paraId="1FA802D8" w14:textId="77777777" w:rsidR="00C22690" w:rsidRPr="006A6281" w:rsidDel="00B33B6F" w:rsidRDefault="00C22690" w:rsidP="00C22690">
                  <w:pPr>
                    <w:pStyle w:val="TableBody"/>
                    <w:rPr>
                      <w:i/>
                    </w:rPr>
                  </w:pPr>
                  <w:r w:rsidRPr="006A6281">
                    <w:rPr>
                      <w:i/>
                    </w:rPr>
                    <w:t>i</w:t>
                  </w:r>
                </w:p>
              </w:tc>
              <w:tc>
                <w:tcPr>
                  <w:tcW w:w="900" w:type="dxa"/>
                </w:tcPr>
                <w:p w14:paraId="0B81D637" w14:textId="77777777" w:rsidR="00C22690" w:rsidRPr="006A6281" w:rsidDel="00B33B6F" w:rsidRDefault="00C22690" w:rsidP="00C22690">
                  <w:pPr>
                    <w:pStyle w:val="TableBody"/>
                  </w:pPr>
                  <w:r w:rsidRPr="006A6281">
                    <w:t>none</w:t>
                  </w:r>
                </w:p>
              </w:tc>
              <w:tc>
                <w:tcPr>
                  <w:tcW w:w="6942" w:type="dxa"/>
                  <w:gridSpan w:val="2"/>
                </w:tcPr>
                <w:p w14:paraId="0F03A2DF" w14:textId="77777777" w:rsidR="00C22690" w:rsidRPr="006A6281" w:rsidDel="00B33B6F" w:rsidRDefault="00C22690" w:rsidP="00C22690">
                  <w:pPr>
                    <w:pStyle w:val="TableBody"/>
                  </w:pPr>
                  <w:r w:rsidRPr="006A6281">
                    <w:t>A 15-minute Settlement Interval.</w:t>
                  </w:r>
                </w:p>
              </w:tc>
            </w:tr>
            <w:tr w:rsidR="00C22690" w:rsidRPr="006A6281" w14:paraId="6C09681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B58331B" w14:textId="77777777" w:rsidR="00C22690" w:rsidRPr="006A6281" w:rsidRDefault="00C22690" w:rsidP="00C22690">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1AD6ED1" w14:textId="77777777" w:rsidR="00C22690" w:rsidRPr="006A6281" w:rsidRDefault="00C22690" w:rsidP="00C22690">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5814A3A" w14:textId="77777777" w:rsidR="00C22690" w:rsidRPr="006A6281" w:rsidRDefault="00C22690" w:rsidP="00C22690">
                  <w:pPr>
                    <w:pStyle w:val="TableBody"/>
                  </w:pPr>
                  <w:r w:rsidRPr="006A6281">
                    <w:t xml:space="preserve">A five-minute clock interval in the Settlement Interval. </w:t>
                  </w:r>
                </w:p>
              </w:tc>
            </w:tr>
          </w:tbl>
          <w:p w14:paraId="0D0CCD89" w14:textId="77777777" w:rsidR="00636003" w:rsidRPr="00B37C4B" w:rsidRDefault="00636003" w:rsidP="00573B9E"/>
        </w:tc>
      </w:tr>
    </w:tbl>
    <w:p w14:paraId="68EAFC9B" w14:textId="77777777" w:rsidR="001F04FD" w:rsidRDefault="001F04FD" w:rsidP="001F04FD">
      <w:pPr>
        <w:pStyle w:val="BodyText"/>
        <w:tabs>
          <w:tab w:val="left" w:pos="1230"/>
        </w:tabs>
        <w:spacing w:before="480"/>
        <w:outlineLvl w:val="3"/>
        <w:rPr>
          <w:b/>
          <w:lang w:val="fr-FR"/>
        </w:rPr>
      </w:pPr>
      <w:bookmarkStart w:id="2177" w:name="_Toc189044436"/>
      <w:r w:rsidRPr="00A87708">
        <w:rPr>
          <w:b/>
          <w:lang w:val="fr-FR"/>
        </w:rPr>
        <w:lastRenderedPageBreak/>
        <w:t>6.6.5.2</w:t>
      </w:r>
      <w:r w:rsidRPr="00A87708">
        <w:rPr>
          <w:b/>
          <w:lang w:val="fr-FR"/>
        </w:rPr>
        <w:tab/>
        <w:t xml:space="preserve">IRR </w:t>
      </w:r>
      <w:r w:rsidRPr="000468AC">
        <w:rPr>
          <w:b/>
          <w:lang w:val="fr-FR"/>
        </w:rPr>
        <w:t>Generation Resource Base Point Deviation</w:t>
      </w:r>
      <w:r w:rsidRPr="00A87708">
        <w:rPr>
          <w:b/>
          <w:lang w:val="fr-FR"/>
        </w:rPr>
        <w:t xml:space="preserve"> Charge</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77"/>
    </w:p>
    <w:p w14:paraId="19E9A46C" w14:textId="4F9FBFC7" w:rsidR="001F04FD" w:rsidRDefault="001F04FD" w:rsidP="001F04FD">
      <w:pPr>
        <w:pStyle w:val="BodyTextNumbered"/>
      </w:pPr>
      <w:r>
        <w:t>(1)</w:t>
      </w:r>
      <w:r>
        <w:tab/>
        <w:t xml:space="preserve">ERCOT shall charge a QSE for an IRR a Base Point Deviation Charge if the IRR metered generation is more than </w:t>
      </w:r>
      <w:r w:rsidR="0030702F">
        <w:t>5</w:t>
      </w:r>
      <w:r>
        <w:t xml:space="preserve">% above its Adjusted Aggregated Base Point and the flag signifying that the IRR has received a Base Point below the HDL used by SCED </w:t>
      </w:r>
      <w:r w:rsidR="0030702F">
        <w:t xml:space="preserve">or the IRR has been instructed not to exceed its Base Point </w:t>
      </w:r>
      <w:r>
        <w:t xml:space="preserve">has been received. </w:t>
      </w:r>
    </w:p>
    <w:p w14:paraId="139E8E2C" w14:textId="77777777" w:rsidR="001F04FD" w:rsidRPr="000149E5" w:rsidRDefault="001F04FD" w:rsidP="00BA3F0D">
      <w:pPr>
        <w:pStyle w:val="BodyTextNumbered"/>
        <w:rPr>
          <w:iCs/>
        </w:rPr>
      </w:pPr>
      <w:r w:rsidRPr="000149E5">
        <w:rPr>
          <w:iCs/>
        </w:rPr>
        <w:t>(2)</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44C0E14F" w14:textId="5AD87552" w:rsidR="001F04FD" w:rsidRDefault="001F04FD" w:rsidP="001F04FD">
      <w:pPr>
        <w:ind w:left="720"/>
        <w:rPr>
          <w:lang w:val="pt-BR"/>
        </w:rPr>
      </w:pPr>
      <w:r>
        <w:rPr>
          <w:lang w:val="pt-BR"/>
        </w:rPr>
        <w:t xml:space="preserve">If </w:t>
      </w:r>
      <w:r>
        <w:t>the flag signifying that the IRR has received a Base Point below the HDL used by SCED</w:t>
      </w:r>
      <w:r w:rsidR="0030702F" w:rsidRPr="0030702F">
        <w:t xml:space="preserve"> </w:t>
      </w:r>
      <w:r w:rsidR="0030702F">
        <w:t>or the IRR has been instructed not to exceed its Base Point</w:t>
      </w:r>
      <w:r>
        <w:t xml:space="preserve"> is not set </w:t>
      </w:r>
      <w:r w:rsidRPr="00B74B5B">
        <w:rPr>
          <w:lang w:val="pt-BR"/>
        </w:rPr>
        <w:t>in all SCED intervals within the 15-minute Settlement Interval:</w:t>
      </w:r>
    </w:p>
    <w:p w14:paraId="36907DCC" w14:textId="77777777" w:rsidR="001F04FD" w:rsidRDefault="001F04FD" w:rsidP="001F04FD">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6036DCBD" w14:textId="3D00DA5C" w:rsidR="001F04FD" w:rsidRDefault="001F04FD" w:rsidP="001F04FD">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w:t>
      </w:r>
      <w:r w:rsidR="0030702F" w:rsidRPr="0030702F">
        <w:t xml:space="preserve"> </w:t>
      </w:r>
      <w:r w:rsidR="0030702F">
        <w:t>or the IRR has been instructed not to exceed its Base Point</w:t>
      </w:r>
      <w:r>
        <w:t xml:space="preserve"> is set </w:t>
      </w:r>
      <w:r w:rsidRPr="00B74B5B">
        <w:rPr>
          <w:lang w:val="pt-BR"/>
        </w:rPr>
        <w:t>in all SCED intervals within the 15-minute Settlement Interval</w:t>
      </w:r>
      <w:r>
        <w:rPr>
          <w:lang w:val="pt-BR"/>
        </w:rPr>
        <w:t>:</w:t>
      </w:r>
    </w:p>
    <w:p w14:paraId="33BF3280" w14:textId="77777777" w:rsidR="001F04FD" w:rsidRDefault="001F04FD" w:rsidP="001F04FD">
      <w:pPr>
        <w:ind w:left="720"/>
        <w:rPr>
          <w:lang w:val="pt-BR"/>
        </w:rPr>
      </w:pPr>
    </w:p>
    <w:p w14:paraId="49012B4C" w14:textId="77777777" w:rsidR="001F04FD" w:rsidRDefault="001F04FD" w:rsidP="001F04FD">
      <w:pPr>
        <w:pStyle w:val="FormulaBold"/>
        <w:tabs>
          <w:tab w:val="clear" w:pos="2250"/>
          <w:tab w:val="clear" w:pos="3150"/>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4CE6D16F" w14:textId="77777777" w:rsidR="001F04FD" w:rsidRPr="002F5D3B" w:rsidRDefault="001F04FD" w:rsidP="001F04FD">
      <w:pPr>
        <w:pStyle w:val="FormulaBold"/>
        <w:rPr>
          <w:b w:val="0"/>
        </w:rPr>
      </w:pPr>
      <w:r w:rsidRPr="002F5D3B">
        <w:rPr>
          <w:b w:val="0"/>
        </w:rPr>
        <w:t>Where:</w:t>
      </w:r>
    </w:p>
    <w:p w14:paraId="4DFD6C76" w14:textId="77777777" w:rsidR="001F04FD" w:rsidRPr="009C51D8" w:rsidRDefault="001F04FD" w:rsidP="001F04FD">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AABP</w:t>
      </w:r>
      <w:r w:rsidRPr="009C51D8">
        <w:rPr>
          <w:b w:val="0"/>
          <w:i/>
          <w:iCs/>
          <w:vertAlign w:val="subscript"/>
          <w:lang w:val="es-ES"/>
        </w:rPr>
        <w:t xml:space="preserve"> q, r, p, i * </w:t>
      </w:r>
      <w:r w:rsidRPr="009C51D8">
        <w:rPr>
          <w:b w:val="0"/>
        </w:rPr>
        <w:t xml:space="preserve"> (1 + KIRR)]</w:t>
      </w:r>
    </w:p>
    <w:p w14:paraId="0E36BC3E" w14:textId="77777777" w:rsidR="001F04FD" w:rsidRDefault="001F04FD" w:rsidP="001F04FD">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39A3E497">
          <v:shape id="_x0000_i1191" type="#_x0000_t75" style="width:6pt;height:24pt" o:ole="">
            <v:imagedata r:id="rId208" o:title=""/>
          </v:shape>
          <o:OLEObject Type="Embed" ProgID="Equation.3" ShapeID="_x0000_i1191" DrawAspect="Content" ObjectID="_1804653676" r:id="rId223"/>
        </w:object>
      </w:r>
      <w:r w:rsidRPr="009C51D8">
        <w:t xml:space="preserve"> (AVGTG5M</w:t>
      </w:r>
      <w:r w:rsidRPr="009C51D8">
        <w:rPr>
          <w:i/>
          <w:vertAlign w:val="subscript"/>
        </w:rPr>
        <w:t xml:space="preserve"> q, r, p, i, y</w:t>
      </w:r>
      <w:r w:rsidRPr="009C51D8">
        <w:t>) / 3) * ¼</w:t>
      </w:r>
    </w:p>
    <w:p w14:paraId="64E0540A" w14:textId="77777777" w:rsidR="001F04FD" w:rsidRPr="00A261C3" w:rsidRDefault="001F04FD" w:rsidP="001F04FD">
      <w:pPr>
        <w:spacing w:after="240"/>
        <w:ind w:left="720" w:hanging="720"/>
        <w:rPr>
          <w:iCs/>
        </w:rPr>
      </w:pPr>
      <w:r w:rsidRPr="00A261C3">
        <w:rPr>
          <w:iCs/>
        </w:rPr>
        <w:t>(3)</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Real-Time metered generation is greater than the upper tolerance during a 15-minute Settlement Interval, is calculated as follows:</w:t>
      </w:r>
    </w:p>
    <w:p w14:paraId="0D04E258" w14:textId="7BA69C52" w:rsidR="001F04FD" w:rsidRPr="00A261C3" w:rsidRDefault="001F04FD" w:rsidP="001F04FD">
      <w:pPr>
        <w:ind w:left="720"/>
        <w:rPr>
          <w:lang w:val="pt-BR"/>
        </w:rPr>
      </w:pPr>
      <w:r w:rsidRPr="00A261C3">
        <w:rPr>
          <w:lang w:val="pt-BR"/>
        </w:rPr>
        <w:t xml:space="preserve">If </w:t>
      </w:r>
      <w:r w:rsidRPr="00A261C3">
        <w:t>the flag signifying that the IRR has received a Base Point below the HDL used by SCED</w:t>
      </w:r>
      <w:r w:rsidR="0030702F" w:rsidRPr="0030702F">
        <w:t xml:space="preserve"> </w:t>
      </w:r>
      <w:r w:rsidR="0030702F">
        <w:t>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0F6C143A" w14:textId="77777777" w:rsidR="001F04FD" w:rsidRPr="00A261C3" w:rsidRDefault="001F04FD" w:rsidP="001F04FD">
      <w:pPr>
        <w:tabs>
          <w:tab w:val="left" w:pos="2340"/>
          <w:tab w:val="left" w:pos="3420"/>
        </w:tabs>
        <w:spacing w:before="120" w:after="240"/>
        <w:ind w:left="720"/>
        <w:rPr>
          <w:b/>
          <w:bCs/>
          <w:lang w:val="pt-BR"/>
        </w:rPr>
      </w:pPr>
      <w:r w:rsidRPr="00A261C3">
        <w:rPr>
          <w:b/>
          <w:bCs/>
          <w:lang w:val="pt-BR"/>
        </w:rPr>
        <w:t xml:space="preserve">BPDAMT </w:t>
      </w:r>
      <w:r w:rsidRPr="00A261C3">
        <w:rPr>
          <w:b/>
          <w:bCs/>
          <w:i/>
          <w:vertAlign w:val="subscript"/>
          <w:lang w:val="pt-BR"/>
        </w:rPr>
        <w:t>q, r, p</w:t>
      </w:r>
      <w:r w:rsidRPr="00A261C3">
        <w:rPr>
          <w:b/>
          <w:bCs/>
          <w:lang w:val="pt-BR"/>
        </w:rPr>
        <w:t xml:space="preserve"> =</w:t>
      </w:r>
      <w:r w:rsidRPr="00A261C3">
        <w:rPr>
          <w:b/>
          <w:bCs/>
          <w:lang w:val="pt-BR"/>
        </w:rPr>
        <w:tab/>
        <w:t>0</w:t>
      </w:r>
    </w:p>
    <w:p w14:paraId="4050A8C5" w14:textId="58DE6687" w:rsidR="001F04FD" w:rsidRPr="00A261C3" w:rsidRDefault="001F04FD" w:rsidP="001F04FD">
      <w:pPr>
        <w:ind w:left="720"/>
        <w:rPr>
          <w:lang w:val="pt-BR"/>
        </w:rPr>
      </w:pPr>
      <w:r w:rsidRPr="00A261C3">
        <w:rPr>
          <w:lang w:val="pt-BR"/>
        </w:rPr>
        <w:lastRenderedPageBreak/>
        <w:t xml:space="preserve">If </w:t>
      </w:r>
      <w:r w:rsidRPr="00A261C3">
        <w:t xml:space="preserve">the flag signifying that the </w:t>
      </w:r>
      <w:r>
        <w:t>IRR</w:t>
      </w:r>
      <w:r w:rsidRPr="00A261C3">
        <w:t xml:space="preserve"> has received a Base Point below the HDL used by SCED</w:t>
      </w:r>
      <w:r w:rsidR="0030702F" w:rsidRPr="0030702F">
        <w:t xml:space="preserve"> </w:t>
      </w:r>
      <w:r w:rsidR="0030702F">
        <w:t>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71677424" w14:textId="77777777" w:rsidR="001F04FD" w:rsidRPr="00A261C3" w:rsidRDefault="001F04FD" w:rsidP="001F04FD">
      <w:pPr>
        <w:rPr>
          <w:lang w:val="pt-BR"/>
        </w:rPr>
      </w:pPr>
    </w:p>
    <w:p w14:paraId="28DF7C78" w14:textId="77777777" w:rsidR="001F04FD" w:rsidRPr="00A261C3" w:rsidRDefault="001F04FD" w:rsidP="001F04FD">
      <w:pPr>
        <w:tabs>
          <w:tab w:val="left" w:pos="720"/>
          <w:tab w:val="left" w:pos="2340"/>
          <w:tab w:val="left" w:pos="3420"/>
        </w:tabs>
        <w:spacing w:after="240"/>
        <w:ind w:left="2880" w:hanging="2880"/>
        <w:rPr>
          <w:b/>
          <w:bCs/>
          <w:lang w:val="pt-BR"/>
        </w:rPr>
      </w:pPr>
      <w:r w:rsidRPr="00A261C3">
        <w:rPr>
          <w:b/>
          <w:bCs/>
          <w:lang w:val="pt-BR"/>
        </w:rPr>
        <w:tab/>
        <w:t>BPDAMT</w:t>
      </w:r>
      <w:r w:rsidRPr="00A261C3">
        <w:rPr>
          <w:b/>
          <w:bCs/>
          <w:i/>
          <w:vertAlign w:val="subscript"/>
          <w:lang w:val="pt-BR"/>
        </w:rPr>
        <w:t xml:space="preserve"> q, r, p</w:t>
      </w:r>
      <w:r w:rsidRPr="00A261C3">
        <w:rPr>
          <w:b/>
          <w:bCs/>
          <w:lang w:val="pt-BR"/>
        </w:rPr>
        <w:t xml:space="preserve"> = [Max (PR1, RTSPP</w:t>
      </w:r>
      <w:r w:rsidR="006D6523">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wg, i </w:t>
      </w:r>
      <w:r w:rsidRPr="00A261C3">
        <w:rPr>
          <w:rFonts w:ascii="Times New Roman Bold" w:hAnsi="Times New Roman Bold"/>
          <w:b/>
          <w:bCs/>
          <w:lang w:val="pt-BR"/>
        </w:rPr>
        <w:t>] / N</w:t>
      </w:r>
    </w:p>
    <w:p w14:paraId="0E9F7E62" w14:textId="77777777" w:rsidR="001F04FD" w:rsidRPr="002A617F" w:rsidRDefault="001F04FD" w:rsidP="00BA3F0D">
      <w:pPr>
        <w:tabs>
          <w:tab w:val="left" w:pos="2340"/>
          <w:tab w:val="left" w:pos="3420"/>
          <w:tab w:val="right" w:pos="9360"/>
        </w:tabs>
        <w:spacing w:after="240"/>
        <w:ind w:left="3420" w:hanging="2700"/>
        <w:rPr>
          <w:bCs/>
        </w:rPr>
      </w:pPr>
      <w:r w:rsidRPr="00A261C3">
        <w:rPr>
          <w:bCs/>
        </w:rPr>
        <w:t>Where:</w:t>
      </w:r>
    </w:p>
    <w:p w14:paraId="17C03BAA" w14:textId="77777777" w:rsidR="001F04FD" w:rsidRPr="002A617F" w:rsidRDefault="001F04FD" w:rsidP="001F04FD">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wg, i  </w:t>
      </w:r>
      <w:r w:rsidRPr="00A261C3">
        <w:rPr>
          <w:bCs/>
        </w:rPr>
        <w:t xml:space="preserve"> = Max [0, TWTG</w:t>
      </w:r>
      <w:r w:rsidRPr="00A261C3">
        <w:rPr>
          <w:bCs/>
          <w:i/>
          <w:iCs/>
          <w:vertAlign w:val="subscript"/>
          <w:lang w:val="es-ES"/>
        </w:rPr>
        <w:t xml:space="preserve"> q, wg, i </w:t>
      </w:r>
      <w:r w:rsidRPr="00A261C3">
        <w:rPr>
          <w:bCs/>
        </w:rPr>
        <w:t xml:space="preserve"> – ¼ * AABP</w:t>
      </w:r>
      <w:r w:rsidRPr="00A261C3">
        <w:rPr>
          <w:bCs/>
          <w:i/>
          <w:iCs/>
          <w:vertAlign w:val="subscript"/>
          <w:lang w:val="es-ES"/>
        </w:rPr>
        <w:t xml:space="preserve"> q, wg, i * </w:t>
      </w:r>
      <w:r w:rsidRPr="00A261C3">
        <w:rPr>
          <w:bCs/>
        </w:rPr>
        <w:t xml:space="preserve"> (1 + KIRR)]</w:t>
      </w:r>
    </w:p>
    <w:p w14:paraId="4D0D8789" w14:textId="7F68FB72" w:rsidR="001F04FD" w:rsidRDefault="001F04FD" w:rsidP="00BA3F0D">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sidR="00A94020">
        <w:rPr>
          <w:noProof/>
          <w:position w:val="-18"/>
        </w:rPr>
        <w:drawing>
          <wp:inline distT="0" distB="0" distL="0" distR="0" wp14:anchorId="5F8557D6" wp14:editId="5C3F31DE">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1B157D52" w14:textId="4E20AA58" w:rsidR="001F04FD" w:rsidRPr="00A261C3" w:rsidRDefault="001F04FD" w:rsidP="001F04FD">
      <w:pPr>
        <w:tabs>
          <w:tab w:val="left" w:pos="2340"/>
          <w:tab w:val="left" w:pos="3420"/>
        </w:tabs>
        <w:spacing w:after="240"/>
        <w:ind w:leftChars="300" w:left="2880" w:hangingChars="900" w:hanging="2160"/>
        <w:rPr>
          <w:b/>
          <w:bCs/>
          <w:i/>
          <w:iCs/>
          <w:sz w:val="26"/>
          <w:szCs w:val="26"/>
        </w:rPr>
      </w:pPr>
      <w:r w:rsidRPr="00A261C3">
        <w:rPr>
          <w:lang w:val="es-ES"/>
        </w:rPr>
        <w:t>AABP</w:t>
      </w:r>
      <w:r w:rsidRPr="00A261C3">
        <w:rPr>
          <w:i/>
          <w:vertAlign w:val="subscript"/>
          <w:lang w:val="pt-BR"/>
        </w:rPr>
        <w:t xml:space="preserve"> q,</w:t>
      </w:r>
      <w:r w:rsidR="00967F3A">
        <w:rPr>
          <w:i/>
          <w:vertAlign w:val="subscript"/>
          <w:lang w:val="pt-BR"/>
        </w:rPr>
        <w:t xml:space="preserve"> </w:t>
      </w:r>
      <w:r w:rsidRPr="00A261C3">
        <w:rPr>
          <w:i/>
          <w:vertAlign w:val="subscript"/>
          <w:lang w:val="pt-BR"/>
        </w:rPr>
        <w:t xml:space="preserve">wg, i </w:t>
      </w:r>
      <w:r w:rsidRPr="00A261C3">
        <w:rPr>
          <w:lang w:val="pt-BR"/>
        </w:rPr>
        <w:t xml:space="preserve">= </w:t>
      </w:r>
      <w:r w:rsidR="00A94020">
        <w:rPr>
          <w:noProof/>
          <w:position w:val="-18"/>
        </w:rPr>
        <w:drawing>
          <wp:inline distT="0" distB="0" distL="0" distR="0" wp14:anchorId="19878490" wp14:editId="62E0336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lang w:val="es-ES"/>
        </w:rPr>
        <w:t>(</w:t>
      </w:r>
      <w:r w:rsidRPr="00A261C3">
        <w:rPr>
          <w:lang w:val="pt-BR"/>
        </w:rPr>
        <w:t>AABP</w:t>
      </w:r>
      <w:r w:rsidRPr="00A261C3">
        <w:rPr>
          <w:i/>
          <w:vertAlign w:val="subscript"/>
          <w:lang w:val="pt-BR"/>
        </w:rPr>
        <w:t xml:space="preserve"> q, r, p, i</w:t>
      </w:r>
      <w:r w:rsidRPr="00A261C3">
        <w:rPr>
          <w:lang w:val="pt-BR"/>
        </w:rPr>
        <w:t>)</w:t>
      </w:r>
    </w:p>
    <w:p w14:paraId="22757182" w14:textId="77777777" w:rsidR="001F04FD" w:rsidRDefault="001F04FD" w:rsidP="001F04FD">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763FB7" w14:paraId="2B105990" w14:textId="77777777" w:rsidTr="00C22690">
        <w:tc>
          <w:tcPr>
            <w:tcW w:w="1975" w:type="dxa"/>
          </w:tcPr>
          <w:p w14:paraId="0E903CFB" w14:textId="77777777" w:rsidR="001F04FD" w:rsidRPr="00763FB7" w:rsidRDefault="001F04FD" w:rsidP="00AC4DEE">
            <w:pPr>
              <w:pStyle w:val="TableHead"/>
              <w:rPr>
                <w:sz w:val="18"/>
                <w:szCs w:val="18"/>
              </w:rPr>
            </w:pPr>
            <w:r w:rsidRPr="00763FB7">
              <w:rPr>
                <w:sz w:val="18"/>
                <w:szCs w:val="18"/>
              </w:rPr>
              <w:t>Variable</w:t>
            </w:r>
          </w:p>
        </w:tc>
        <w:tc>
          <w:tcPr>
            <w:tcW w:w="900" w:type="dxa"/>
          </w:tcPr>
          <w:p w14:paraId="4E8017DD" w14:textId="77777777" w:rsidR="001F04FD" w:rsidRPr="00763FB7" w:rsidRDefault="001F04FD" w:rsidP="00AC4DEE">
            <w:pPr>
              <w:pStyle w:val="TableHead"/>
              <w:rPr>
                <w:sz w:val="18"/>
                <w:szCs w:val="18"/>
              </w:rPr>
            </w:pPr>
            <w:r w:rsidRPr="00763FB7">
              <w:rPr>
                <w:sz w:val="18"/>
                <w:szCs w:val="18"/>
              </w:rPr>
              <w:t>Unit</w:t>
            </w:r>
          </w:p>
        </w:tc>
        <w:tc>
          <w:tcPr>
            <w:tcW w:w="6942" w:type="dxa"/>
            <w:gridSpan w:val="2"/>
          </w:tcPr>
          <w:p w14:paraId="23205958" w14:textId="77777777" w:rsidR="001F04FD" w:rsidRPr="00763FB7" w:rsidRDefault="001F04FD" w:rsidP="00AC4DEE">
            <w:pPr>
              <w:pStyle w:val="TableHead"/>
              <w:rPr>
                <w:sz w:val="18"/>
                <w:szCs w:val="18"/>
              </w:rPr>
            </w:pPr>
            <w:r w:rsidRPr="00763FB7">
              <w:rPr>
                <w:sz w:val="18"/>
                <w:szCs w:val="18"/>
              </w:rPr>
              <w:t>Definition</w:t>
            </w:r>
          </w:p>
        </w:tc>
      </w:tr>
      <w:tr w:rsidR="001F04FD" w:rsidRPr="00763FB7" w14:paraId="383C1ADD" w14:textId="77777777" w:rsidTr="00C22690">
        <w:trPr>
          <w:cantSplit/>
        </w:trPr>
        <w:tc>
          <w:tcPr>
            <w:tcW w:w="1975" w:type="dxa"/>
          </w:tcPr>
          <w:p w14:paraId="2D48C5ED" w14:textId="77777777" w:rsidR="001F04FD" w:rsidRPr="00E15B17" w:rsidRDefault="001F04FD" w:rsidP="00AC4DEE">
            <w:pPr>
              <w:pStyle w:val="TableBody"/>
            </w:pPr>
            <w:r w:rsidRPr="00E15B17">
              <w:t xml:space="preserve">BPDAMT </w:t>
            </w:r>
            <w:r w:rsidRPr="00E15B17">
              <w:rPr>
                <w:i/>
                <w:vertAlign w:val="subscript"/>
              </w:rPr>
              <w:t>q, r, p, i</w:t>
            </w:r>
          </w:p>
        </w:tc>
        <w:tc>
          <w:tcPr>
            <w:tcW w:w="900" w:type="dxa"/>
          </w:tcPr>
          <w:p w14:paraId="5BDDDC0E" w14:textId="77777777" w:rsidR="001F04FD" w:rsidRPr="00763FB7" w:rsidRDefault="001F04FD" w:rsidP="00AC4DEE">
            <w:pPr>
              <w:pStyle w:val="TableBody"/>
              <w:rPr>
                <w:sz w:val="18"/>
                <w:szCs w:val="18"/>
              </w:rPr>
            </w:pPr>
            <w:r w:rsidRPr="00763FB7">
              <w:rPr>
                <w:sz w:val="18"/>
                <w:szCs w:val="18"/>
              </w:rPr>
              <w:t>$</w:t>
            </w:r>
          </w:p>
        </w:tc>
        <w:tc>
          <w:tcPr>
            <w:tcW w:w="6942" w:type="dxa"/>
            <w:gridSpan w:val="2"/>
          </w:tcPr>
          <w:p w14:paraId="694FDF72" w14:textId="77777777" w:rsidR="001F04FD" w:rsidRPr="00763FB7" w:rsidRDefault="001F04FD" w:rsidP="00AC4DEE">
            <w:pPr>
              <w:pStyle w:val="TableBody"/>
              <w:rPr>
                <w:sz w:val="18"/>
                <w:szCs w:val="18"/>
              </w:rPr>
            </w:pPr>
            <w:r w:rsidRPr="00763FB7">
              <w:rPr>
                <w:i/>
                <w:sz w:val="18"/>
                <w:szCs w:val="18"/>
              </w:rPr>
              <w:t>Base Point Deviation Charge per QSE per Settlement Point per Resource</w:t>
            </w:r>
            <w:r w:rsidRPr="00763FB7">
              <w:rPr>
                <w:sz w:val="18"/>
                <w:szCs w:val="18"/>
              </w:rPr>
              <w:t xml:space="preserve">—The charge to QSE </w:t>
            </w:r>
            <w:r w:rsidRPr="00763FB7">
              <w:rPr>
                <w:i/>
                <w:sz w:val="18"/>
                <w:szCs w:val="18"/>
              </w:rPr>
              <w:t>q</w:t>
            </w:r>
            <w:r w:rsidRPr="00763FB7">
              <w:rPr>
                <w:sz w:val="18"/>
                <w:szCs w:val="18"/>
              </w:rPr>
              <w:t xml:space="preserve"> for Generation Resource </w:t>
            </w:r>
            <w:r w:rsidRPr="00763FB7">
              <w:rPr>
                <w:i/>
                <w:sz w:val="18"/>
                <w:szCs w:val="18"/>
              </w:rPr>
              <w:t>r</w:t>
            </w:r>
            <w:r w:rsidRPr="00763FB7">
              <w:rPr>
                <w:sz w:val="18"/>
                <w:szCs w:val="18"/>
              </w:rPr>
              <w:t xml:space="preserve"> at Resource Node </w:t>
            </w:r>
            <w:r w:rsidRPr="00763FB7">
              <w:rPr>
                <w:i/>
                <w:sz w:val="18"/>
                <w:szCs w:val="18"/>
              </w:rPr>
              <w:t>p</w:t>
            </w:r>
            <w:r w:rsidRPr="00763FB7">
              <w:rPr>
                <w:sz w:val="18"/>
                <w:szCs w:val="18"/>
              </w:rPr>
              <w:t xml:space="preserve">, for its deviation from Base Point, for the 15-minute Settlement Interval </w:t>
            </w:r>
            <w:r w:rsidRPr="00763FB7">
              <w:rPr>
                <w:i/>
                <w:sz w:val="18"/>
                <w:szCs w:val="18"/>
              </w:rPr>
              <w:t>i</w:t>
            </w:r>
            <w:r w:rsidRPr="00763FB7">
              <w:rPr>
                <w:sz w:val="18"/>
                <w:szCs w:val="18"/>
              </w:rPr>
              <w:t>.</w:t>
            </w:r>
          </w:p>
        </w:tc>
      </w:tr>
      <w:tr w:rsidR="001F04FD" w:rsidRPr="00763FB7" w14:paraId="30E816A2" w14:textId="77777777" w:rsidTr="00C22690">
        <w:trPr>
          <w:cantSplit/>
        </w:trPr>
        <w:tc>
          <w:tcPr>
            <w:tcW w:w="1975" w:type="dxa"/>
          </w:tcPr>
          <w:p w14:paraId="74DF7330" w14:textId="77777777" w:rsidR="001F04FD" w:rsidRPr="00E15B17" w:rsidRDefault="001F04FD" w:rsidP="00AC4DEE">
            <w:pPr>
              <w:pStyle w:val="TableBody"/>
            </w:pPr>
            <w:r w:rsidRPr="00E15B17">
              <w:t xml:space="preserve">RTSPP </w:t>
            </w:r>
            <w:r w:rsidRPr="00E15B17">
              <w:rPr>
                <w:i/>
                <w:vertAlign w:val="subscript"/>
              </w:rPr>
              <w:t>p, i</w:t>
            </w:r>
          </w:p>
        </w:tc>
        <w:tc>
          <w:tcPr>
            <w:tcW w:w="900" w:type="dxa"/>
          </w:tcPr>
          <w:p w14:paraId="3B52EFA6" w14:textId="77777777" w:rsidR="001F04FD" w:rsidRPr="00763FB7" w:rsidRDefault="001F04FD" w:rsidP="00AC4DEE">
            <w:pPr>
              <w:pStyle w:val="TableBody"/>
              <w:rPr>
                <w:sz w:val="18"/>
                <w:szCs w:val="18"/>
              </w:rPr>
            </w:pPr>
            <w:r w:rsidRPr="00782FE7">
              <w:rPr>
                <w:sz w:val="18"/>
                <w:szCs w:val="18"/>
              </w:rPr>
              <w:t>$/MWh</w:t>
            </w:r>
          </w:p>
        </w:tc>
        <w:tc>
          <w:tcPr>
            <w:tcW w:w="6942" w:type="dxa"/>
            <w:gridSpan w:val="2"/>
          </w:tcPr>
          <w:p w14:paraId="77C08CD7" w14:textId="77777777" w:rsidR="001F04FD" w:rsidRPr="00763FB7" w:rsidRDefault="001F04FD" w:rsidP="00AC4DEE">
            <w:pPr>
              <w:pStyle w:val="TableBody"/>
              <w:rPr>
                <w:sz w:val="18"/>
                <w:szCs w:val="18"/>
              </w:rPr>
            </w:pPr>
            <w:r w:rsidRPr="00782FE7">
              <w:rPr>
                <w:i/>
                <w:sz w:val="18"/>
                <w:szCs w:val="18"/>
              </w:rPr>
              <w:t>Real-Time Settlement Point Price per Settlement Point</w:t>
            </w:r>
            <w:r w:rsidRPr="00782FE7">
              <w:rPr>
                <w:sz w:val="18"/>
                <w:szCs w:val="18"/>
              </w:rPr>
              <w:t xml:space="preserve">—The Real-Time Settlement Point Price at Resource Node </w:t>
            </w:r>
            <w:r w:rsidRPr="00782FE7">
              <w:rPr>
                <w:i/>
                <w:sz w:val="18"/>
                <w:szCs w:val="18"/>
              </w:rPr>
              <w:t>p</w:t>
            </w:r>
            <w:r w:rsidRPr="00782FE7">
              <w:rPr>
                <w:sz w:val="18"/>
                <w:szCs w:val="18"/>
              </w:rPr>
              <w:t xml:space="preserve">, for the 15-minute Settlement Interval </w:t>
            </w:r>
            <w:r w:rsidRPr="00763FB7">
              <w:rPr>
                <w:i/>
                <w:sz w:val="18"/>
                <w:szCs w:val="18"/>
              </w:rPr>
              <w:t>i</w:t>
            </w:r>
            <w:r w:rsidRPr="00763FB7">
              <w:rPr>
                <w:sz w:val="18"/>
                <w:szCs w:val="18"/>
              </w:rPr>
              <w:t>.</w:t>
            </w:r>
          </w:p>
        </w:tc>
      </w:tr>
      <w:tr w:rsidR="001F04FD" w:rsidRPr="00763FB7" w14:paraId="5B6B6109" w14:textId="77777777" w:rsidTr="00C22690">
        <w:trPr>
          <w:gridAfter w:val="1"/>
          <w:wAfter w:w="12" w:type="dxa"/>
          <w:cantSplit/>
        </w:trPr>
        <w:tc>
          <w:tcPr>
            <w:tcW w:w="1975" w:type="dxa"/>
          </w:tcPr>
          <w:p w14:paraId="52B90883" w14:textId="77777777" w:rsidR="001F04FD" w:rsidRPr="00E15B17" w:rsidRDefault="001F04FD" w:rsidP="00AC4DEE">
            <w:pPr>
              <w:pStyle w:val="TableBody"/>
            </w:pPr>
            <w:r w:rsidRPr="00E15B17">
              <w:t xml:space="preserve">TWTG </w:t>
            </w:r>
            <w:r w:rsidRPr="00E15B17">
              <w:rPr>
                <w:i/>
                <w:vertAlign w:val="subscript"/>
              </w:rPr>
              <w:t>q, r, p, i</w:t>
            </w:r>
          </w:p>
        </w:tc>
        <w:tc>
          <w:tcPr>
            <w:tcW w:w="900" w:type="dxa"/>
          </w:tcPr>
          <w:p w14:paraId="1F886441" w14:textId="77777777" w:rsidR="001F04FD" w:rsidRPr="00763FB7" w:rsidRDefault="001F04FD" w:rsidP="00AC4DEE">
            <w:pPr>
              <w:pStyle w:val="TableBody"/>
              <w:rPr>
                <w:sz w:val="18"/>
                <w:szCs w:val="18"/>
              </w:rPr>
            </w:pPr>
            <w:r>
              <w:t>MWh</w:t>
            </w:r>
          </w:p>
        </w:tc>
        <w:tc>
          <w:tcPr>
            <w:tcW w:w="6930" w:type="dxa"/>
          </w:tcPr>
          <w:p w14:paraId="4E7AE336" w14:textId="77777777" w:rsidR="001F04FD" w:rsidRPr="00D9273D" w:rsidRDefault="001F04FD" w:rsidP="00AC4DEE">
            <w:pPr>
              <w:pStyle w:val="TableBody"/>
              <w:rPr>
                <w:i/>
                <w:sz w:val="18"/>
                <w:szCs w:val="18"/>
              </w:rPr>
            </w:pPr>
            <w:r w:rsidRPr="00D9273D">
              <w:rPr>
                <w:i/>
              </w:rPr>
              <w:t>Time-Weighted Telemetered Generation per QSE per Settlement Point per Resource</w:t>
            </w:r>
            <w:r w:rsidRPr="00D9273D">
              <w:t xml:space="preserve">—The telemetered generation of Generation Resource </w:t>
            </w:r>
            <w:r w:rsidRPr="00D9273D">
              <w:rPr>
                <w:i/>
              </w:rPr>
              <w:t>r</w:t>
            </w:r>
            <w:r w:rsidRPr="00D9273D">
              <w:t xml:space="preserve"> represented by QSE </w:t>
            </w:r>
            <w:r w:rsidRPr="00D9273D">
              <w:rPr>
                <w:i/>
              </w:rPr>
              <w:t>q</w:t>
            </w:r>
            <w:r w:rsidRPr="00D9273D">
              <w:t xml:space="preserve"> at Resource Node </w:t>
            </w:r>
            <w:r w:rsidRPr="00D9273D">
              <w:rPr>
                <w:i/>
              </w:rPr>
              <w:t>p</w:t>
            </w:r>
            <w:r w:rsidRPr="00D9273D">
              <w:t xml:space="preserve">, for the 15-minute Settlement Interval </w:t>
            </w:r>
            <w:r w:rsidRPr="00D9273D">
              <w:rPr>
                <w:i/>
              </w:rPr>
              <w:t>i.</w:t>
            </w:r>
          </w:p>
        </w:tc>
      </w:tr>
      <w:tr w:rsidR="001F04FD" w:rsidRPr="00763FB7" w14:paraId="2AF85FC3" w14:textId="77777777" w:rsidTr="00C22690">
        <w:trPr>
          <w:gridAfter w:val="1"/>
          <w:wAfter w:w="12" w:type="dxa"/>
          <w:cantSplit/>
        </w:trPr>
        <w:tc>
          <w:tcPr>
            <w:tcW w:w="1975" w:type="dxa"/>
          </w:tcPr>
          <w:p w14:paraId="41768EFB" w14:textId="77777777" w:rsidR="001F04FD" w:rsidRPr="00E15B17" w:rsidRDefault="001F04FD" w:rsidP="00AC4DEE">
            <w:pPr>
              <w:pStyle w:val="TableBody"/>
            </w:pPr>
            <w:r w:rsidRPr="00E15B17">
              <w:t xml:space="preserve">AABP </w:t>
            </w:r>
            <w:r w:rsidRPr="00E15B17">
              <w:rPr>
                <w:i/>
                <w:vertAlign w:val="subscript"/>
              </w:rPr>
              <w:t>q, r, p, i</w:t>
            </w:r>
          </w:p>
        </w:tc>
        <w:tc>
          <w:tcPr>
            <w:tcW w:w="900" w:type="dxa"/>
          </w:tcPr>
          <w:p w14:paraId="7C57FE8F" w14:textId="77777777" w:rsidR="001F04FD" w:rsidRPr="00763FB7" w:rsidRDefault="001F04FD" w:rsidP="00AC4DEE">
            <w:pPr>
              <w:pStyle w:val="TableBody"/>
              <w:rPr>
                <w:sz w:val="18"/>
                <w:szCs w:val="18"/>
              </w:rPr>
            </w:pPr>
            <w:r>
              <w:t>MW</w:t>
            </w:r>
          </w:p>
        </w:tc>
        <w:tc>
          <w:tcPr>
            <w:tcW w:w="6930" w:type="dxa"/>
          </w:tcPr>
          <w:p w14:paraId="56CDA9CF" w14:textId="5DA0D0E3" w:rsidR="001F04FD" w:rsidRPr="00D9273D" w:rsidRDefault="001F04FD" w:rsidP="00AC4DEE">
            <w:pPr>
              <w:pStyle w:val="TableBody"/>
              <w:rPr>
                <w:i/>
                <w:sz w:val="18"/>
                <w:szCs w:val="18"/>
              </w:rPr>
            </w:pPr>
            <w:r w:rsidRPr="00D9273D">
              <w:rPr>
                <w:i/>
              </w:rPr>
              <w:t>Adjusted Aggregated Base Point Generation per QSE per Settlement Point per Resource</w:t>
            </w:r>
            <w:r w:rsidRPr="00D9273D">
              <w:t>—The aggregated Base Point adjusted for Ancillary Service deployments, of Generation Resource</w:t>
            </w:r>
            <w:r>
              <w:t xml:space="preserve"> or Controllable Load Resource</w:t>
            </w:r>
            <w:r w:rsidRPr="00D9273D">
              <w:t xml:space="preserve"> </w:t>
            </w:r>
            <w:r w:rsidRPr="00D9273D">
              <w:rPr>
                <w:i/>
              </w:rPr>
              <w:t>r</w:t>
            </w:r>
            <w:r w:rsidRPr="00D9273D">
              <w:t xml:space="preserve"> represented by QSE </w:t>
            </w:r>
            <w:r w:rsidRPr="00D9273D">
              <w:rPr>
                <w:i/>
              </w:rPr>
              <w:t>q</w:t>
            </w:r>
            <w:r w:rsidRPr="00D9273D">
              <w:t xml:space="preserve"> at </w:t>
            </w:r>
            <w:r>
              <w:t>Settlement Point</w:t>
            </w:r>
            <w:r w:rsidRPr="00D9273D">
              <w:t xml:space="preserve"> </w:t>
            </w:r>
            <w:r w:rsidRPr="00D9273D">
              <w:rPr>
                <w:i/>
              </w:rPr>
              <w:t>p</w:t>
            </w:r>
            <w:r w:rsidRPr="00D9273D">
              <w:t xml:space="preserve">, for the 15-minute Settlement Interval </w:t>
            </w:r>
            <w:r w:rsidRPr="00D9273D">
              <w:rPr>
                <w:i/>
              </w:rPr>
              <w:t>i.</w:t>
            </w:r>
          </w:p>
        </w:tc>
      </w:tr>
      <w:tr w:rsidR="001F04FD" w:rsidRPr="00763FB7" w14:paraId="231B2764" w14:textId="77777777" w:rsidTr="00C22690">
        <w:trPr>
          <w:cantSplit/>
        </w:trPr>
        <w:tc>
          <w:tcPr>
            <w:tcW w:w="1975" w:type="dxa"/>
          </w:tcPr>
          <w:p w14:paraId="157E9575" w14:textId="77777777" w:rsidR="001F04FD" w:rsidRPr="00E15B17" w:rsidRDefault="001F04FD" w:rsidP="00AC4DEE">
            <w:pPr>
              <w:pStyle w:val="TableBody"/>
            </w:pPr>
            <w:r w:rsidRPr="00E15B17">
              <w:t>AVGTG5M</w:t>
            </w:r>
            <w:r w:rsidRPr="00E15B17">
              <w:rPr>
                <w:i/>
                <w:vertAlign w:val="subscript"/>
                <w:lang w:val="fr-FR"/>
              </w:rPr>
              <w:t xml:space="preserve"> q, r, p, i, y</w:t>
            </w:r>
          </w:p>
        </w:tc>
        <w:tc>
          <w:tcPr>
            <w:tcW w:w="900" w:type="dxa"/>
          </w:tcPr>
          <w:p w14:paraId="34386646" w14:textId="77777777" w:rsidR="001F04FD" w:rsidRPr="00763FB7" w:rsidRDefault="001F04FD" w:rsidP="00AC4DEE">
            <w:pPr>
              <w:pStyle w:val="TableBody"/>
              <w:rPr>
                <w:sz w:val="18"/>
                <w:szCs w:val="18"/>
              </w:rPr>
            </w:pPr>
            <w:r w:rsidRPr="00782FE7">
              <w:rPr>
                <w:sz w:val="18"/>
                <w:szCs w:val="18"/>
              </w:rPr>
              <w:t>MW</w:t>
            </w:r>
          </w:p>
        </w:tc>
        <w:tc>
          <w:tcPr>
            <w:tcW w:w="6942" w:type="dxa"/>
            <w:gridSpan w:val="2"/>
          </w:tcPr>
          <w:p w14:paraId="72B84AD1" w14:textId="77777777" w:rsidR="001F04FD" w:rsidRPr="00763FB7" w:rsidRDefault="001F04FD" w:rsidP="00AC4DEE">
            <w:pPr>
              <w:pStyle w:val="TableBody"/>
              <w:rPr>
                <w:sz w:val="18"/>
                <w:szCs w:val="18"/>
              </w:rPr>
            </w:pPr>
            <w:r w:rsidRPr="00782FE7">
              <w:rPr>
                <w:i/>
                <w:sz w:val="18"/>
                <w:szCs w:val="18"/>
              </w:rPr>
              <w:t xml:space="preserve">Average Telemetered Generation </w:t>
            </w:r>
            <w:r w:rsidRPr="00763FB7">
              <w:rPr>
                <w:i/>
                <w:sz w:val="18"/>
                <w:szCs w:val="18"/>
              </w:rPr>
              <w:t>for the 5 Minutes</w:t>
            </w:r>
            <w:r w:rsidRPr="00763FB7">
              <w:rPr>
                <w:sz w:val="18"/>
                <w:szCs w:val="18"/>
              </w:rPr>
              <w:t xml:space="preserve">—The average telemetered generation of Generation Resource </w:t>
            </w:r>
            <w:r w:rsidRPr="00763FB7">
              <w:rPr>
                <w:i/>
                <w:sz w:val="18"/>
                <w:szCs w:val="18"/>
              </w:rPr>
              <w:t>r</w:t>
            </w:r>
            <w:r w:rsidRPr="00763FB7">
              <w:rPr>
                <w:sz w:val="18"/>
                <w:szCs w:val="18"/>
              </w:rPr>
              <w:t xml:space="preserve"> represented by QSE </w:t>
            </w:r>
            <w:r w:rsidRPr="00763FB7">
              <w:rPr>
                <w:i/>
                <w:sz w:val="18"/>
                <w:szCs w:val="18"/>
              </w:rPr>
              <w:t>q</w:t>
            </w:r>
            <w:r w:rsidRPr="00763FB7">
              <w:rPr>
                <w:sz w:val="18"/>
                <w:szCs w:val="18"/>
              </w:rPr>
              <w:t xml:space="preserve"> at Resource Node </w:t>
            </w:r>
            <w:r w:rsidRPr="00763FB7">
              <w:rPr>
                <w:i/>
                <w:sz w:val="18"/>
                <w:szCs w:val="18"/>
              </w:rPr>
              <w:t>p</w:t>
            </w:r>
            <w:r w:rsidRPr="00763FB7">
              <w:rPr>
                <w:sz w:val="18"/>
                <w:szCs w:val="18"/>
              </w:rPr>
              <w:t xml:space="preserve">, for the five-minute clock interval </w:t>
            </w:r>
            <w:r w:rsidRPr="00763FB7">
              <w:rPr>
                <w:i/>
                <w:sz w:val="18"/>
                <w:szCs w:val="18"/>
              </w:rPr>
              <w:t>y</w:t>
            </w:r>
            <w:r w:rsidRPr="00763FB7">
              <w:rPr>
                <w:sz w:val="18"/>
                <w:szCs w:val="18"/>
              </w:rPr>
              <w:t xml:space="preserve">, within the 15-minute Settlement Interval </w:t>
            </w:r>
            <w:r w:rsidRPr="00763FB7">
              <w:rPr>
                <w:i/>
                <w:sz w:val="18"/>
                <w:szCs w:val="18"/>
              </w:rPr>
              <w:t>i</w:t>
            </w:r>
            <w:r w:rsidRPr="00763FB7">
              <w:rPr>
                <w:sz w:val="18"/>
                <w:szCs w:val="18"/>
              </w:rPr>
              <w:t>.</w:t>
            </w:r>
          </w:p>
        </w:tc>
      </w:tr>
      <w:tr w:rsidR="001F04FD" w:rsidRPr="00763FB7" w14:paraId="04A0701E" w14:textId="77777777" w:rsidTr="00C22690">
        <w:trPr>
          <w:cantSplit/>
        </w:trPr>
        <w:tc>
          <w:tcPr>
            <w:tcW w:w="1975" w:type="dxa"/>
          </w:tcPr>
          <w:p w14:paraId="63C2FDB8" w14:textId="77777777" w:rsidR="001F04FD" w:rsidRPr="00E15B17" w:rsidRDefault="001F04FD" w:rsidP="00AC4DEE">
            <w:pPr>
              <w:pStyle w:val="TableBody"/>
            </w:pPr>
            <w:r w:rsidRPr="00E15B17">
              <w:t xml:space="preserve">OGENIRR </w:t>
            </w:r>
            <w:r w:rsidRPr="00E15B17">
              <w:rPr>
                <w:i/>
                <w:vertAlign w:val="subscript"/>
              </w:rPr>
              <w:t>q, r, p, i</w:t>
            </w:r>
          </w:p>
        </w:tc>
        <w:tc>
          <w:tcPr>
            <w:tcW w:w="900" w:type="dxa"/>
          </w:tcPr>
          <w:p w14:paraId="4A8C663E" w14:textId="77777777" w:rsidR="001F04FD" w:rsidRPr="00D9273D" w:rsidRDefault="001F04FD" w:rsidP="00AC4DEE">
            <w:pPr>
              <w:pStyle w:val="TableBody"/>
              <w:rPr>
                <w:sz w:val="18"/>
                <w:szCs w:val="18"/>
              </w:rPr>
            </w:pPr>
            <w:r w:rsidRPr="00D9273D">
              <w:rPr>
                <w:sz w:val="18"/>
                <w:szCs w:val="18"/>
              </w:rPr>
              <w:t>MW</w:t>
            </w:r>
            <w:r w:rsidR="006D6523">
              <w:rPr>
                <w:sz w:val="18"/>
                <w:szCs w:val="18"/>
              </w:rPr>
              <w:t>h</w:t>
            </w:r>
          </w:p>
        </w:tc>
        <w:tc>
          <w:tcPr>
            <w:tcW w:w="6942" w:type="dxa"/>
            <w:gridSpan w:val="2"/>
          </w:tcPr>
          <w:p w14:paraId="073B2FAB" w14:textId="77777777" w:rsidR="001F04FD" w:rsidRPr="00D9273D" w:rsidRDefault="001F04FD" w:rsidP="00AC4DEE">
            <w:pPr>
              <w:pStyle w:val="TableBody"/>
              <w:rPr>
                <w:sz w:val="18"/>
                <w:szCs w:val="18"/>
              </w:rPr>
            </w:pPr>
            <w:r w:rsidRPr="00D9273D">
              <w:rPr>
                <w:i/>
                <w:sz w:val="18"/>
                <w:szCs w:val="18"/>
              </w:rPr>
              <w:t>Over Generation Volumes per QSE per Settlement Point per IRR Generation Resource</w:t>
            </w:r>
            <w:r w:rsidRPr="00D9273D">
              <w:rPr>
                <w:sz w:val="18"/>
                <w:szCs w:val="18"/>
              </w:rPr>
              <w:t xml:space="preserve">—The amount over generated by the IRR </w:t>
            </w:r>
            <w:r w:rsidRPr="00D9273D">
              <w:rPr>
                <w:i/>
                <w:sz w:val="18"/>
                <w:szCs w:val="18"/>
              </w:rPr>
              <w:t>r</w:t>
            </w:r>
            <w:r w:rsidRPr="00D9273D">
              <w:rPr>
                <w:sz w:val="18"/>
                <w:szCs w:val="18"/>
              </w:rPr>
              <w:t xml:space="preserve"> represented by QSE </w:t>
            </w:r>
            <w:r w:rsidRPr="00D9273D">
              <w:rPr>
                <w:i/>
                <w:sz w:val="18"/>
                <w:szCs w:val="18"/>
              </w:rPr>
              <w:t>q</w:t>
            </w:r>
            <w:r w:rsidRPr="00D9273D">
              <w:rPr>
                <w:sz w:val="18"/>
                <w:szCs w:val="18"/>
              </w:rPr>
              <w:t xml:space="preserve"> at Resource Node </w:t>
            </w:r>
            <w:r w:rsidRPr="00D9273D">
              <w:rPr>
                <w:i/>
                <w:sz w:val="18"/>
                <w:szCs w:val="18"/>
              </w:rPr>
              <w:t>p</w:t>
            </w:r>
            <w:r w:rsidRPr="00D9273D">
              <w:rPr>
                <w:sz w:val="18"/>
                <w:szCs w:val="18"/>
              </w:rPr>
              <w:t xml:space="preserve"> for the 15-minute Settlement Interval </w:t>
            </w:r>
            <w:r w:rsidRPr="00D9273D">
              <w:rPr>
                <w:i/>
                <w:sz w:val="18"/>
                <w:szCs w:val="18"/>
              </w:rPr>
              <w:t>i</w:t>
            </w:r>
            <w:r>
              <w:rPr>
                <w:sz w:val="18"/>
                <w:szCs w:val="18"/>
              </w:rPr>
              <w:t>.</w:t>
            </w:r>
          </w:p>
        </w:tc>
      </w:tr>
      <w:tr w:rsidR="001F04FD" w:rsidRPr="00763FB7" w14:paraId="31FA7879" w14:textId="77777777" w:rsidTr="00C22690">
        <w:trPr>
          <w:cantSplit/>
        </w:trPr>
        <w:tc>
          <w:tcPr>
            <w:tcW w:w="1975" w:type="dxa"/>
          </w:tcPr>
          <w:p w14:paraId="19F9DCD5" w14:textId="77777777" w:rsidR="001F04FD" w:rsidRPr="00E15B17" w:rsidRDefault="001F04FD" w:rsidP="00AC4DEE">
            <w:pPr>
              <w:pStyle w:val="TableBody"/>
            </w:pPr>
            <w:r w:rsidRPr="00E15B17">
              <w:t>PR1</w:t>
            </w:r>
          </w:p>
        </w:tc>
        <w:tc>
          <w:tcPr>
            <w:tcW w:w="900" w:type="dxa"/>
          </w:tcPr>
          <w:p w14:paraId="2199981E" w14:textId="77777777" w:rsidR="001F04FD" w:rsidRPr="00763FB7" w:rsidRDefault="001F04FD" w:rsidP="00AC4DEE">
            <w:pPr>
              <w:pStyle w:val="TableBody"/>
              <w:rPr>
                <w:sz w:val="18"/>
                <w:szCs w:val="18"/>
              </w:rPr>
            </w:pPr>
            <w:r w:rsidRPr="00763FB7">
              <w:rPr>
                <w:sz w:val="18"/>
                <w:szCs w:val="18"/>
              </w:rPr>
              <w:t>$/MWh</w:t>
            </w:r>
          </w:p>
        </w:tc>
        <w:tc>
          <w:tcPr>
            <w:tcW w:w="6942" w:type="dxa"/>
            <w:gridSpan w:val="2"/>
          </w:tcPr>
          <w:p w14:paraId="1C6D8E58" w14:textId="77777777" w:rsidR="001F04FD" w:rsidRPr="00763FB7" w:rsidRDefault="001F04FD" w:rsidP="00AC4DEE">
            <w:pPr>
              <w:pStyle w:val="TableBody"/>
              <w:rPr>
                <w:sz w:val="18"/>
                <w:szCs w:val="18"/>
              </w:rPr>
            </w:pPr>
            <w:r w:rsidRPr="00763FB7">
              <w:rPr>
                <w:sz w:val="18"/>
                <w:szCs w:val="18"/>
              </w:rPr>
              <w:t>The price to use for the charge calculation when RTSPP is less than</w:t>
            </w:r>
            <w:r>
              <w:rPr>
                <w:sz w:val="18"/>
                <w:szCs w:val="18"/>
              </w:rPr>
              <w:t xml:space="preserve"> </w:t>
            </w:r>
            <w:r w:rsidRPr="00763FB7">
              <w:rPr>
                <w:sz w:val="18"/>
                <w:szCs w:val="18"/>
              </w:rPr>
              <w:t>$20</w:t>
            </w:r>
            <w:r>
              <w:rPr>
                <w:sz w:val="18"/>
                <w:szCs w:val="18"/>
              </w:rPr>
              <w:t>/MWh, $20/MWh</w:t>
            </w:r>
            <w:r w:rsidRPr="00763FB7">
              <w:rPr>
                <w:sz w:val="18"/>
                <w:szCs w:val="18"/>
              </w:rPr>
              <w:t xml:space="preserve">.  </w:t>
            </w:r>
          </w:p>
        </w:tc>
      </w:tr>
      <w:tr w:rsidR="001F04FD" w:rsidRPr="00763FB7" w14:paraId="75C362F8" w14:textId="77777777" w:rsidTr="00C22690">
        <w:trPr>
          <w:cantSplit/>
        </w:trPr>
        <w:tc>
          <w:tcPr>
            <w:tcW w:w="1975" w:type="dxa"/>
          </w:tcPr>
          <w:p w14:paraId="70EC7DC4" w14:textId="77777777" w:rsidR="001F04FD" w:rsidRPr="00E15B17" w:rsidRDefault="001F04FD" w:rsidP="00AC4DEE">
            <w:pPr>
              <w:pStyle w:val="TableBody"/>
            </w:pPr>
            <w:r w:rsidRPr="00E15B17">
              <w:t>KIRR</w:t>
            </w:r>
          </w:p>
        </w:tc>
        <w:tc>
          <w:tcPr>
            <w:tcW w:w="900" w:type="dxa"/>
          </w:tcPr>
          <w:p w14:paraId="3BA1B0CE" w14:textId="77777777" w:rsidR="001F04FD" w:rsidRPr="00763FB7" w:rsidRDefault="006D6523" w:rsidP="00AC4DEE">
            <w:pPr>
              <w:pStyle w:val="TableBody"/>
              <w:rPr>
                <w:sz w:val="18"/>
                <w:szCs w:val="18"/>
              </w:rPr>
            </w:pPr>
            <w:r>
              <w:rPr>
                <w:sz w:val="18"/>
                <w:szCs w:val="18"/>
              </w:rPr>
              <w:t>none</w:t>
            </w:r>
          </w:p>
        </w:tc>
        <w:tc>
          <w:tcPr>
            <w:tcW w:w="6942" w:type="dxa"/>
            <w:gridSpan w:val="2"/>
          </w:tcPr>
          <w:p w14:paraId="45089831" w14:textId="6344A254" w:rsidR="001F04FD" w:rsidRPr="00763FB7" w:rsidRDefault="001F04FD" w:rsidP="00AC4DEE">
            <w:pPr>
              <w:pStyle w:val="TableBody"/>
              <w:rPr>
                <w:sz w:val="18"/>
                <w:szCs w:val="18"/>
              </w:rPr>
            </w:pPr>
            <w:r w:rsidRPr="00763FB7">
              <w:rPr>
                <w:sz w:val="18"/>
                <w:szCs w:val="18"/>
              </w:rPr>
              <w:t xml:space="preserve">The percentage tolerance for over-generation of an IRR, </w:t>
            </w:r>
            <w:r w:rsidR="0030702F">
              <w:rPr>
                <w:sz w:val="18"/>
                <w:szCs w:val="18"/>
              </w:rPr>
              <w:t>5</w:t>
            </w:r>
            <w:r w:rsidRPr="00763FB7">
              <w:rPr>
                <w:sz w:val="18"/>
                <w:szCs w:val="18"/>
              </w:rPr>
              <w:t>%.</w:t>
            </w:r>
          </w:p>
        </w:tc>
      </w:tr>
      <w:tr w:rsidR="001F04FD" w:rsidRPr="00763FB7" w14:paraId="6B3A13A3" w14:textId="77777777" w:rsidTr="00C22690">
        <w:trPr>
          <w:cantSplit/>
        </w:trPr>
        <w:tc>
          <w:tcPr>
            <w:tcW w:w="1975" w:type="dxa"/>
          </w:tcPr>
          <w:p w14:paraId="63B8B5C2" w14:textId="77777777" w:rsidR="001F04FD" w:rsidRPr="00E15B17" w:rsidRDefault="001F04FD" w:rsidP="00AC4DEE">
            <w:pPr>
              <w:pStyle w:val="TableBody"/>
            </w:pPr>
            <w:r w:rsidRPr="00E15B17">
              <w:t>N</w:t>
            </w:r>
          </w:p>
        </w:tc>
        <w:tc>
          <w:tcPr>
            <w:tcW w:w="900" w:type="dxa"/>
          </w:tcPr>
          <w:p w14:paraId="4021C272" w14:textId="77777777" w:rsidR="001F04FD" w:rsidRPr="00763FB7" w:rsidRDefault="001F04FD" w:rsidP="00AC4DEE">
            <w:pPr>
              <w:pStyle w:val="TableBody"/>
              <w:rPr>
                <w:sz w:val="18"/>
                <w:szCs w:val="18"/>
              </w:rPr>
            </w:pPr>
            <w:r>
              <w:rPr>
                <w:sz w:val="18"/>
                <w:szCs w:val="18"/>
              </w:rPr>
              <w:t>none</w:t>
            </w:r>
          </w:p>
        </w:tc>
        <w:tc>
          <w:tcPr>
            <w:tcW w:w="6942" w:type="dxa"/>
            <w:gridSpan w:val="2"/>
          </w:tcPr>
          <w:p w14:paraId="6A2D69A0" w14:textId="77777777" w:rsidR="001F04FD" w:rsidRPr="00763FB7" w:rsidRDefault="001F04FD" w:rsidP="00AC4DEE">
            <w:pPr>
              <w:pStyle w:val="TableBody"/>
              <w:rPr>
                <w:sz w:val="18"/>
                <w:szCs w:val="18"/>
              </w:rPr>
            </w:pPr>
            <w:r>
              <w:rPr>
                <w:sz w:val="18"/>
                <w:szCs w:val="18"/>
              </w:rPr>
              <w:t>The number of IRRs within an IRR Group.</w:t>
            </w:r>
          </w:p>
        </w:tc>
      </w:tr>
      <w:tr w:rsidR="001F04FD" w:rsidRPr="00763FB7" w14:paraId="546C447E" w14:textId="77777777" w:rsidTr="00C22690">
        <w:trPr>
          <w:cantSplit/>
        </w:trPr>
        <w:tc>
          <w:tcPr>
            <w:tcW w:w="1975" w:type="dxa"/>
          </w:tcPr>
          <w:p w14:paraId="2E103F5D" w14:textId="77777777" w:rsidR="001F04FD" w:rsidRPr="00E15B17" w:rsidRDefault="001F04FD" w:rsidP="00AC4DEE">
            <w:pPr>
              <w:pStyle w:val="TableBody"/>
              <w:rPr>
                <w:i/>
              </w:rPr>
            </w:pPr>
            <w:r w:rsidRPr="00E15B17">
              <w:rPr>
                <w:i/>
              </w:rPr>
              <w:t>q</w:t>
            </w:r>
          </w:p>
        </w:tc>
        <w:tc>
          <w:tcPr>
            <w:tcW w:w="900" w:type="dxa"/>
          </w:tcPr>
          <w:p w14:paraId="405BA309"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68A585A" w14:textId="77777777" w:rsidR="001F04FD" w:rsidRPr="00763FB7" w:rsidRDefault="001F04FD" w:rsidP="00AC4DEE">
            <w:pPr>
              <w:pStyle w:val="TableBody"/>
              <w:rPr>
                <w:sz w:val="18"/>
                <w:szCs w:val="18"/>
              </w:rPr>
            </w:pPr>
            <w:r w:rsidRPr="00763FB7">
              <w:rPr>
                <w:sz w:val="18"/>
                <w:szCs w:val="18"/>
              </w:rPr>
              <w:t>A QSE.</w:t>
            </w:r>
          </w:p>
        </w:tc>
      </w:tr>
      <w:tr w:rsidR="001F04FD" w:rsidRPr="00763FB7" w14:paraId="15C8D01A" w14:textId="77777777" w:rsidTr="00C22690">
        <w:trPr>
          <w:cantSplit/>
        </w:trPr>
        <w:tc>
          <w:tcPr>
            <w:tcW w:w="1975" w:type="dxa"/>
          </w:tcPr>
          <w:p w14:paraId="588C80C5" w14:textId="77777777" w:rsidR="001F04FD" w:rsidRPr="00E15B17" w:rsidRDefault="001F04FD" w:rsidP="00AC4DEE">
            <w:pPr>
              <w:pStyle w:val="TableBody"/>
              <w:rPr>
                <w:i/>
              </w:rPr>
            </w:pPr>
            <w:r w:rsidRPr="00E15B17">
              <w:rPr>
                <w:i/>
              </w:rPr>
              <w:t>p</w:t>
            </w:r>
          </w:p>
        </w:tc>
        <w:tc>
          <w:tcPr>
            <w:tcW w:w="900" w:type="dxa"/>
          </w:tcPr>
          <w:p w14:paraId="2134EE18"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069ED11C" w14:textId="77777777" w:rsidR="001F04FD" w:rsidRPr="00763FB7" w:rsidRDefault="001F04FD" w:rsidP="00AC4DEE">
            <w:pPr>
              <w:pStyle w:val="TableBody"/>
              <w:rPr>
                <w:sz w:val="18"/>
                <w:szCs w:val="18"/>
              </w:rPr>
            </w:pPr>
            <w:r w:rsidRPr="00763FB7">
              <w:rPr>
                <w:sz w:val="18"/>
                <w:szCs w:val="18"/>
              </w:rPr>
              <w:t>A Settlement Point.</w:t>
            </w:r>
          </w:p>
        </w:tc>
      </w:tr>
      <w:tr w:rsidR="001F04FD" w:rsidRPr="00763FB7" w14:paraId="39B4786F" w14:textId="77777777" w:rsidTr="00C22690">
        <w:trPr>
          <w:cantSplit/>
        </w:trPr>
        <w:tc>
          <w:tcPr>
            <w:tcW w:w="1975" w:type="dxa"/>
          </w:tcPr>
          <w:p w14:paraId="53E4405F" w14:textId="77777777" w:rsidR="001F04FD" w:rsidRPr="00E15B17" w:rsidRDefault="001F04FD" w:rsidP="00AC4DEE">
            <w:pPr>
              <w:pStyle w:val="TableBody"/>
              <w:rPr>
                <w:i/>
              </w:rPr>
            </w:pPr>
            <w:r w:rsidRPr="00E15B17">
              <w:rPr>
                <w:i/>
              </w:rPr>
              <w:t>r</w:t>
            </w:r>
          </w:p>
        </w:tc>
        <w:tc>
          <w:tcPr>
            <w:tcW w:w="900" w:type="dxa"/>
          </w:tcPr>
          <w:p w14:paraId="76866EED"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E5A61F3" w14:textId="77777777" w:rsidR="006D6523" w:rsidRPr="00763FB7" w:rsidRDefault="001F04FD" w:rsidP="00AC4DEE">
            <w:pPr>
              <w:pStyle w:val="TableBody"/>
              <w:rPr>
                <w:sz w:val="18"/>
                <w:szCs w:val="18"/>
              </w:rPr>
            </w:pPr>
            <w:r w:rsidRPr="00763FB7">
              <w:rPr>
                <w:sz w:val="18"/>
                <w:szCs w:val="18"/>
              </w:rPr>
              <w:t>An IRR</w:t>
            </w:r>
            <w:r>
              <w:rPr>
                <w:sz w:val="18"/>
                <w:szCs w:val="18"/>
              </w:rPr>
              <w:t xml:space="preserve"> Generation Resource or an IRR within an IRR Group</w:t>
            </w:r>
            <w:r w:rsidRPr="00763FB7">
              <w:rPr>
                <w:sz w:val="18"/>
                <w:szCs w:val="18"/>
              </w:rPr>
              <w:t>.</w:t>
            </w:r>
          </w:p>
          <w:p w14:paraId="13EE580C" w14:textId="77777777" w:rsidR="001F04FD" w:rsidRPr="00763FB7" w:rsidRDefault="001F04FD" w:rsidP="00AC4DEE">
            <w:pPr>
              <w:pStyle w:val="TableBody"/>
              <w:rPr>
                <w:sz w:val="18"/>
                <w:szCs w:val="18"/>
              </w:rPr>
            </w:pPr>
          </w:p>
        </w:tc>
      </w:tr>
      <w:tr w:rsidR="001F04FD" w:rsidRPr="00763FB7" w14:paraId="03A7F95D" w14:textId="77777777" w:rsidTr="00C22690">
        <w:trPr>
          <w:cantSplit/>
          <w:trHeight w:val="152"/>
        </w:trPr>
        <w:tc>
          <w:tcPr>
            <w:tcW w:w="1975" w:type="dxa"/>
          </w:tcPr>
          <w:p w14:paraId="5B7D1D61" w14:textId="77777777" w:rsidR="001F04FD" w:rsidRPr="00E15B17" w:rsidDel="00B33B6F" w:rsidRDefault="001F04FD" w:rsidP="00AC4DEE">
            <w:pPr>
              <w:pStyle w:val="TableBody"/>
              <w:rPr>
                <w:i/>
              </w:rPr>
            </w:pPr>
            <w:r w:rsidRPr="00E15B17">
              <w:rPr>
                <w:i/>
              </w:rPr>
              <w:t>i</w:t>
            </w:r>
          </w:p>
        </w:tc>
        <w:tc>
          <w:tcPr>
            <w:tcW w:w="900" w:type="dxa"/>
          </w:tcPr>
          <w:p w14:paraId="69DCF105" w14:textId="77777777" w:rsidR="001F04FD" w:rsidRPr="00763FB7" w:rsidDel="00B33B6F" w:rsidRDefault="001F04FD" w:rsidP="00AC4DEE">
            <w:pPr>
              <w:pStyle w:val="TableBody"/>
              <w:rPr>
                <w:sz w:val="18"/>
                <w:szCs w:val="18"/>
              </w:rPr>
            </w:pPr>
            <w:r w:rsidRPr="00763FB7">
              <w:rPr>
                <w:sz w:val="18"/>
                <w:szCs w:val="18"/>
              </w:rPr>
              <w:t>none</w:t>
            </w:r>
          </w:p>
        </w:tc>
        <w:tc>
          <w:tcPr>
            <w:tcW w:w="6942" w:type="dxa"/>
            <w:gridSpan w:val="2"/>
          </w:tcPr>
          <w:p w14:paraId="5C174467" w14:textId="77777777" w:rsidR="001F04FD" w:rsidRPr="00763FB7" w:rsidDel="00B33B6F" w:rsidRDefault="001F04FD" w:rsidP="00AC4DEE">
            <w:pPr>
              <w:pStyle w:val="TableBody"/>
              <w:rPr>
                <w:sz w:val="18"/>
                <w:szCs w:val="18"/>
              </w:rPr>
            </w:pPr>
            <w:r w:rsidRPr="00763FB7">
              <w:rPr>
                <w:sz w:val="18"/>
                <w:szCs w:val="18"/>
              </w:rPr>
              <w:t xml:space="preserve">A 15-minute </w:t>
            </w:r>
            <w:r>
              <w:rPr>
                <w:sz w:val="18"/>
                <w:szCs w:val="18"/>
              </w:rPr>
              <w:t>Settlement I</w:t>
            </w:r>
            <w:r w:rsidRPr="00763FB7">
              <w:rPr>
                <w:sz w:val="18"/>
                <w:szCs w:val="18"/>
              </w:rPr>
              <w:t>nterval.</w:t>
            </w:r>
          </w:p>
        </w:tc>
      </w:tr>
      <w:tr w:rsidR="001F04FD" w:rsidRPr="00763FB7" w14:paraId="53F3E064"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E16255F" w14:textId="77777777" w:rsidR="001F04FD" w:rsidRPr="00E15B17" w:rsidRDefault="001F04FD" w:rsidP="00AC4DEE">
            <w:pPr>
              <w:pStyle w:val="TableBody"/>
              <w:rPr>
                <w:i/>
              </w:rPr>
            </w:pPr>
            <w:r w:rsidRPr="00E15B17">
              <w:rPr>
                <w:i/>
              </w:rPr>
              <w:t>y</w:t>
            </w:r>
          </w:p>
        </w:tc>
        <w:tc>
          <w:tcPr>
            <w:tcW w:w="900" w:type="dxa"/>
            <w:tcBorders>
              <w:top w:val="single" w:sz="4" w:space="0" w:color="auto"/>
              <w:left w:val="single" w:sz="4" w:space="0" w:color="auto"/>
              <w:bottom w:val="single" w:sz="4" w:space="0" w:color="auto"/>
              <w:right w:val="single" w:sz="4" w:space="0" w:color="auto"/>
            </w:tcBorders>
          </w:tcPr>
          <w:p w14:paraId="12A49D62" w14:textId="77777777" w:rsidR="001F04FD" w:rsidRPr="00763FB7" w:rsidRDefault="001F04FD" w:rsidP="00AC4DEE">
            <w:pPr>
              <w:pStyle w:val="TableBody"/>
              <w:rPr>
                <w:sz w:val="18"/>
                <w:szCs w:val="18"/>
              </w:rPr>
            </w:pPr>
            <w:r w:rsidRPr="00763FB7">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0367358" w14:textId="77777777" w:rsidR="001F04FD" w:rsidRPr="00763FB7" w:rsidRDefault="001F04FD" w:rsidP="00AC4DEE">
            <w:pPr>
              <w:pStyle w:val="TableBody"/>
              <w:rPr>
                <w:sz w:val="18"/>
                <w:szCs w:val="18"/>
              </w:rPr>
            </w:pPr>
            <w:r w:rsidRPr="00763FB7">
              <w:rPr>
                <w:sz w:val="18"/>
                <w:szCs w:val="18"/>
              </w:rPr>
              <w:t>A five-minute clock interval</w:t>
            </w:r>
            <w:r>
              <w:rPr>
                <w:sz w:val="18"/>
                <w:szCs w:val="18"/>
              </w:rPr>
              <w:t xml:space="preserve"> </w:t>
            </w:r>
            <w:r w:rsidRPr="00763FB7">
              <w:rPr>
                <w:sz w:val="18"/>
                <w:szCs w:val="18"/>
              </w:rPr>
              <w:t xml:space="preserve">in the Settlement Interval. </w:t>
            </w:r>
          </w:p>
        </w:tc>
      </w:tr>
      <w:tr w:rsidR="001F04FD" w:rsidRPr="00763FB7" w14:paraId="0F740D73"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4DF44BF9" w14:textId="77777777" w:rsidR="001F04FD" w:rsidRPr="00E15B17" w:rsidRDefault="001F04FD" w:rsidP="00AC4DEE">
            <w:pPr>
              <w:pStyle w:val="TableBody"/>
              <w:rPr>
                <w:i/>
              </w:rPr>
            </w:pPr>
            <w:r w:rsidRPr="00E15B17">
              <w:rPr>
                <w:i/>
              </w:rPr>
              <w:t>wg</w:t>
            </w:r>
          </w:p>
        </w:tc>
        <w:tc>
          <w:tcPr>
            <w:tcW w:w="900" w:type="dxa"/>
            <w:tcBorders>
              <w:top w:val="single" w:sz="4" w:space="0" w:color="auto"/>
              <w:left w:val="single" w:sz="4" w:space="0" w:color="auto"/>
              <w:bottom w:val="single" w:sz="4" w:space="0" w:color="auto"/>
              <w:right w:val="single" w:sz="4" w:space="0" w:color="auto"/>
            </w:tcBorders>
          </w:tcPr>
          <w:p w14:paraId="30135BA9" w14:textId="77777777" w:rsidR="001F04FD" w:rsidRPr="00763FB7" w:rsidRDefault="001F04FD" w:rsidP="00AC4DEE">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B031D1" w14:textId="77777777" w:rsidR="001F04FD" w:rsidRPr="00763FB7" w:rsidRDefault="001F04FD" w:rsidP="00AC4DEE">
            <w:pPr>
              <w:pStyle w:val="TableBody"/>
              <w:rPr>
                <w:sz w:val="18"/>
                <w:szCs w:val="18"/>
              </w:rPr>
            </w:pPr>
            <w:r>
              <w:rPr>
                <w:sz w:val="18"/>
                <w:szCs w:val="18"/>
              </w:rPr>
              <w:t>An IRR Group.</w:t>
            </w:r>
          </w:p>
        </w:tc>
      </w:tr>
    </w:tbl>
    <w:p w14:paraId="1AD3B0E7" w14:textId="77777777" w:rsidR="00C22690" w:rsidRDefault="00C22690"/>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22690" w14:paraId="5247AA1C"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68302B46" w14:textId="40755BC2" w:rsidR="00C22690" w:rsidRDefault="00C22690" w:rsidP="001B737D">
            <w:pPr>
              <w:pStyle w:val="Instructions"/>
              <w:spacing w:before="120"/>
            </w:pPr>
            <w:bookmarkStart w:id="2178" w:name="_Toc109009405"/>
            <w:bookmarkStart w:id="2179" w:name="_Toc397505024"/>
            <w:bookmarkStart w:id="2180" w:name="_Toc402357156"/>
            <w:bookmarkStart w:id="2181" w:name="_Toc422486536"/>
            <w:bookmarkStart w:id="2182" w:name="_Toc433093389"/>
            <w:bookmarkStart w:id="2183" w:name="_Toc433093547"/>
            <w:bookmarkStart w:id="2184" w:name="_Toc440874777"/>
            <w:bookmarkStart w:id="2185" w:name="_Toc448142334"/>
            <w:bookmarkStart w:id="2186" w:name="_Toc448142491"/>
            <w:bookmarkStart w:id="2187" w:name="_Toc458770332"/>
            <w:bookmarkStart w:id="2188" w:name="_Toc459294300"/>
            <w:bookmarkStart w:id="2189" w:name="_Toc463262793"/>
            <w:bookmarkStart w:id="2190" w:name="_Toc468286866"/>
            <w:bookmarkStart w:id="2191" w:name="_Toc481502906"/>
            <w:bookmarkStart w:id="2192" w:name="_Toc496080074"/>
            <w:bookmarkEnd w:id="2141"/>
            <w:r>
              <w:lastRenderedPageBreak/>
              <w:t>[NPRR879</w:t>
            </w:r>
            <w:r w:rsidR="008844A7">
              <w:t>,</w:t>
            </w:r>
            <w:r>
              <w:t xml:space="preserve"> NPRR963</w:t>
            </w:r>
            <w:r w:rsidR="008844A7">
              <w:t xml:space="preserve">, </w:t>
            </w:r>
            <w:r w:rsidR="0030702F">
              <w:t xml:space="preserve">and </w:t>
            </w:r>
            <w:r w:rsidR="008844A7">
              <w:t>NPRR1010</w:t>
            </w:r>
            <w:r>
              <w:t>:  Replace applicable portions of Section 6.6.5.2 above with the following upon system implementation</w:t>
            </w:r>
            <w:r w:rsidR="008844A7">
              <w:t xml:space="preserve"> for NPRR879 or NPRR963;</w:t>
            </w:r>
            <w:r w:rsidR="0030702F">
              <w:t xml:space="preserve"> or</w:t>
            </w:r>
            <w:r w:rsidR="008844A7">
              <w:t xml:space="preserve"> upon system implementation of the Real-Time Co-Optimization (RTC) project for NPRR1010</w:t>
            </w:r>
            <w:r w:rsidR="00C4333E">
              <w:t xml:space="preserve">; </w:t>
            </w:r>
            <w:r w:rsidR="00C215CF">
              <w:t>and renumber accordingly</w:t>
            </w:r>
            <w:r>
              <w:t>:]</w:t>
            </w:r>
          </w:p>
          <w:p w14:paraId="41624720" w14:textId="514EB652" w:rsidR="00C22690" w:rsidRDefault="00C22690" w:rsidP="00C22690">
            <w:pPr>
              <w:pStyle w:val="BodyText"/>
              <w:tabs>
                <w:tab w:val="left" w:pos="1230"/>
              </w:tabs>
              <w:spacing w:before="480"/>
              <w:outlineLvl w:val="3"/>
              <w:rPr>
                <w:b/>
                <w:lang w:val="fr-FR"/>
              </w:rPr>
            </w:pPr>
            <w:bookmarkStart w:id="2193" w:name="_Toc60040699"/>
            <w:bookmarkStart w:id="2194" w:name="_Toc65151758"/>
            <w:bookmarkStart w:id="2195" w:name="_Toc80174784"/>
            <w:bookmarkStart w:id="2196" w:name="_Toc112417664"/>
            <w:bookmarkStart w:id="2197" w:name="_Toc119310333"/>
            <w:bookmarkStart w:id="2198" w:name="_Toc125966266"/>
            <w:bookmarkStart w:id="2199" w:name="_Toc135992364"/>
            <w:bookmarkStart w:id="2200" w:name="_Toc170303560"/>
            <w:bookmarkStart w:id="2201" w:name="_Toc175157464"/>
            <w:bookmarkStart w:id="2202" w:name="_Toc189044437"/>
            <w:r w:rsidRPr="00A87708">
              <w:rPr>
                <w:b/>
                <w:lang w:val="fr-FR"/>
              </w:rPr>
              <w:t>6.6.5.</w:t>
            </w:r>
            <w:r>
              <w:rPr>
                <w:b/>
                <w:lang w:val="fr-FR"/>
              </w:rPr>
              <w:t>4</w:t>
            </w:r>
            <w:r w:rsidRPr="00A87708">
              <w:rPr>
                <w:b/>
                <w:lang w:val="fr-FR"/>
              </w:rPr>
              <w:tab/>
              <w:t xml:space="preserve">IRR </w:t>
            </w:r>
            <w:r w:rsidRPr="000468AC">
              <w:rPr>
                <w:b/>
                <w:lang w:val="fr-FR"/>
              </w:rPr>
              <w:t xml:space="preserve">Generation Resource </w:t>
            </w:r>
            <w:r w:rsidR="008844A7">
              <w:rPr>
                <w:b/>
                <w:lang w:val="fr-FR"/>
              </w:rPr>
              <w:t>Set</w:t>
            </w:r>
            <w:r w:rsidRPr="000468AC">
              <w:rPr>
                <w:b/>
                <w:lang w:val="fr-FR"/>
              </w:rPr>
              <w:t xml:space="preserve"> Point Deviation</w:t>
            </w:r>
            <w:r w:rsidRPr="00A87708">
              <w:rPr>
                <w:b/>
                <w:lang w:val="fr-FR"/>
              </w:rPr>
              <w:t xml:space="preserve"> Charge</w:t>
            </w:r>
            <w:bookmarkEnd w:id="2193"/>
            <w:bookmarkEnd w:id="2194"/>
            <w:bookmarkEnd w:id="2195"/>
            <w:bookmarkEnd w:id="2196"/>
            <w:bookmarkEnd w:id="2197"/>
            <w:bookmarkEnd w:id="2198"/>
            <w:bookmarkEnd w:id="2199"/>
            <w:bookmarkEnd w:id="2200"/>
            <w:bookmarkEnd w:id="2201"/>
            <w:bookmarkEnd w:id="2202"/>
          </w:p>
          <w:p w14:paraId="724F6C1E" w14:textId="27C6A75B" w:rsidR="00C22690" w:rsidRDefault="00C22690" w:rsidP="00C22690">
            <w:pPr>
              <w:pStyle w:val="BodyTextNumbered"/>
            </w:pPr>
            <w:r>
              <w:t>(1)</w:t>
            </w:r>
            <w:r>
              <w:tab/>
            </w:r>
            <w:r w:rsidRPr="00AB1AD6">
              <w:t xml:space="preserve">ERCOT shall charge a QSE for an IRR a </w:t>
            </w:r>
            <w:r w:rsidR="008844A7">
              <w:t>Set</w:t>
            </w:r>
            <w:r w:rsidRPr="00AB1AD6">
              <w:t xml:space="preserve"> Point Deviation Charge if the IRR </w:t>
            </w:r>
            <w:r>
              <w:t>tele</w:t>
            </w:r>
            <w:r w:rsidRPr="00AB1AD6">
              <w:t xml:space="preserve">metered generation is more than </w:t>
            </w:r>
            <w:r w:rsidR="00C4333E">
              <w:t>5</w:t>
            </w:r>
            <w:r w:rsidRPr="00AB1AD6">
              <w:t xml:space="preserve">% above its </w:t>
            </w:r>
            <w:r w:rsidR="008844A7">
              <w:t>AASP</w:t>
            </w:r>
            <w:r>
              <w:t>,</w:t>
            </w:r>
            <w:r w:rsidRPr="00AB1AD6">
              <w:t xml:space="preserve"> the flag signifying that the IRR has received a Base Point below the HDL used by SCED has been received</w:t>
            </w:r>
            <w:r w:rsidR="00C4333E">
              <w:t xml:space="preserve"> or the IRR has been instructed not to exceed its Base Point</w:t>
            </w:r>
            <w:r>
              <w:t xml:space="preserve">, and the IRR is not </w:t>
            </w:r>
            <w:r w:rsidR="008844A7">
              <w:t>awarded</w:t>
            </w:r>
            <w:r>
              <w:t xml:space="preserve"> Ancillary Service and is not part of an IRR Group in which at least one IRR is </w:t>
            </w:r>
            <w:r w:rsidR="008844A7">
              <w:t>awarded</w:t>
            </w:r>
            <w:r>
              <w:t xml:space="preserve"> Ancillary Service for at least one SCED interval within the 15-minute Settlement Interval.</w:t>
            </w:r>
          </w:p>
          <w:p w14:paraId="6BF39E67" w14:textId="43E831F7" w:rsidR="00C22690" w:rsidRDefault="00C22690" w:rsidP="00C22690">
            <w:pPr>
              <w:pStyle w:val="BodyTextNumbered"/>
            </w:pPr>
            <w:r>
              <w:t>(2)</w:t>
            </w:r>
            <w:r>
              <w:tab/>
              <w:t xml:space="preserve">For instances in which an IRR is </w:t>
            </w:r>
            <w:r w:rsidR="008844A7">
              <w:t>awarded</w:t>
            </w:r>
            <w:r>
              <w:t xml:space="preserve"> Ancillary Service or is part of an IRR Group in which at least one IRR is </w:t>
            </w:r>
            <w:r w:rsidR="008844A7">
              <w:t>awarded</w:t>
            </w:r>
            <w:r>
              <w:t xml:space="preserve"> Ancillary Service for at least one SCED interval within the 15-minute Settlement Interval, </w:t>
            </w:r>
            <w:r w:rsidR="008844A7">
              <w:t>Set</w:t>
            </w:r>
            <w:r>
              <w:t xml:space="preserve"> Point Deviation Charges will be determined per Section 6.6.5.2, </w:t>
            </w:r>
            <w:r w:rsidR="008844A7">
              <w:t>Set</w:t>
            </w:r>
            <w:r w:rsidRPr="00195E73">
              <w:t xml:space="preserve"> Point Deviation Charge for Over Generation</w:t>
            </w:r>
            <w:r>
              <w:t xml:space="preserve">, and Section 6.6.5.2.1, </w:t>
            </w:r>
            <w:r w:rsidR="008844A7">
              <w:t>Set</w:t>
            </w:r>
            <w:r w:rsidRPr="00195E73">
              <w:t xml:space="preserve"> Point Deviation Charge for Under Generation</w:t>
            </w:r>
            <w:r>
              <w:t>.</w:t>
            </w:r>
          </w:p>
          <w:p w14:paraId="7C10B7A5" w14:textId="77777777" w:rsidR="00C22690" w:rsidRPr="000149E5" w:rsidRDefault="00C22690" w:rsidP="00C22690">
            <w:pPr>
              <w:pStyle w:val="BodyTextNumbered"/>
              <w:rPr>
                <w:iCs/>
              </w:rPr>
            </w:pPr>
            <w:r w:rsidRPr="000149E5">
              <w:rPr>
                <w:iCs/>
              </w:rPr>
              <w:t>(</w:t>
            </w:r>
            <w:r>
              <w:rPr>
                <w:iCs/>
              </w:rPr>
              <w:t>3</w:t>
            </w:r>
            <w:r w:rsidRPr="000149E5">
              <w:rPr>
                <w:iCs/>
              </w:rPr>
              <w:t>)</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28623A3E" w14:textId="25D14D02" w:rsidR="00C22690" w:rsidRDefault="00C22690" w:rsidP="00C22690">
            <w:pPr>
              <w:ind w:left="720"/>
              <w:rPr>
                <w:lang w:val="pt-BR"/>
              </w:rPr>
            </w:pPr>
            <w:r>
              <w:rPr>
                <w:lang w:val="pt-BR"/>
              </w:rPr>
              <w:t xml:space="preserve">If </w:t>
            </w:r>
            <w:r>
              <w:t>the flag signifying that the IRR has received a Base Point below the HDL used by SCED</w:t>
            </w:r>
            <w:r w:rsidR="00C4333E">
              <w:t xml:space="preserve"> or the IRR has been instructed not to exceed its Base Point</w:t>
            </w:r>
            <w:r>
              <w:t xml:space="preserve"> is not set </w:t>
            </w:r>
            <w:r w:rsidRPr="00B74B5B">
              <w:rPr>
                <w:lang w:val="pt-BR"/>
              </w:rPr>
              <w:t>in all SCED intervals within the 15-minute Settlement Interval:</w:t>
            </w:r>
          </w:p>
          <w:p w14:paraId="5B611565" w14:textId="3DD19F8E" w:rsidR="00C22690" w:rsidRDefault="008844A7" w:rsidP="00C22690">
            <w:pPr>
              <w:pStyle w:val="FormulaBold"/>
              <w:spacing w:before="120"/>
              <w:ind w:left="720" w:firstLine="0"/>
              <w:rPr>
                <w:lang w:val="pt-BR"/>
              </w:rPr>
            </w:pPr>
            <w:r>
              <w:rPr>
                <w:lang w:val="pt-BR"/>
              </w:rPr>
              <w:t>S</w:t>
            </w:r>
            <w:r w:rsidR="00C22690">
              <w:rPr>
                <w:lang w:val="pt-BR"/>
              </w:rPr>
              <w:t xml:space="preserve">PDAMT </w:t>
            </w:r>
            <w:r w:rsidR="00C22690">
              <w:rPr>
                <w:i/>
                <w:vertAlign w:val="subscript"/>
                <w:lang w:val="pt-BR"/>
              </w:rPr>
              <w:t>q, r, p, i</w:t>
            </w:r>
            <w:r w:rsidR="00C22690">
              <w:rPr>
                <w:lang w:val="pt-BR"/>
              </w:rPr>
              <w:t xml:space="preserve"> =</w:t>
            </w:r>
            <w:r w:rsidR="00C22690">
              <w:rPr>
                <w:lang w:val="pt-BR"/>
              </w:rPr>
              <w:tab/>
              <w:t>0</w:t>
            </w:r>
          </w:p>
          <w:p w14:paraId="367E985C" w14:textId="44417696" w:rsidR="00C22690" w:rsidRDefault="00C22690" w:rsidP="00C22690">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 </w:t>
            </w:r>
            <w:r w:rsidR="00C4333E">
              <w:t xml:space="preserve">or the IRR has been instructed not to exceed its Base Point </w:t>
            </w:r>
            <w:r>
              <w:t xml:space="preserve">is set </w:t>
            </w:r>
            <w:r w:rsidRPr="00B74B5B">
              <w:rPr>
                <w:lang w:val="pt-BR"/>
              </w:rPr>
              <w:t>in all SCED intervals within the 15-minute Settlement Interval</w:t>
            </w:r>
            <w:r>
              <w:rPr>
                <w:lang w:val="pt-BR"/>
              </w:rPr>
              <w:t>:</w:t>
            </w:r>
          </w:p>
          <w:p w14:paraId="31A7E501" w14:textId="77777777" w:rsidR="00C22690" w:rsidRDefault="00C22690" w:rsidP="00C22690">
            <w:pPr>
              <w:ind w:left="720"/>
              <w:rPr>
                <w:lang w:val="pt-BR"/>
              </w:rPr>
            </w:pPr>
          </w:p>
          <w:p w14:paraId="11091A34" w14:textId="2DE2E7B9" w:rsidR="00C22690" w:rsidRDefault="00C22690" w:rsidP="00C22690">
            <w:pPr>
              <w:pStyle w:val="FormulaBold"/>
              <w:tabs>
                <w:tab w:val="clear" w:pos="2250"/>
                <w:tab w:val="clear" w:pos="3150"/>
                <w:tab w:val="left" w:pos="720"/>
              </w:tabs>
              <w:ind w:left="2880" w:hanging="2880"/>
              <w:rPr>
                <w:lang w:val="pt-BR"/>
              </w:rPr>
            </w:pPr>
            <w:r>
              <w:rPr>
                <w:lang w:val="pt-BR"/>
              </w:rPr>
              <w:tab/>
            </w:r>
            <w:r w:rsidR="008844A7">
              <w:rPr>
                <w:lang w:val="pt-BR"/>
              </w:rPr>
              <w:t>S</w:t>
            </w:r>
            <w:r>
              <w:rPr>
                <w:lang w:val="pt-BR"/>
              </w:rPr>
              <w:t>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253EF144" w14:textId="77777777" w:rsidR="00C22690" w:rsidRPr="002F5D3B" w:rsidRDefault="00C22690" w:rsidP="00C22690">
            <w:pPr>
              <w:pStyle w:val="FormulaBold"/>
              <w:rPr>
                <w:b w:val="0"/>
              </w:rPr>
            </w:pPr>
            <w:r w:rsidRPr="002F5D3B">
              <w:rPr>
                <w:b w:val="0"/>
              </w:rPr>
              <w:t>Where:</w:t>
            </w:r>
          </w:p>
          <w:p w14:paraId="7ABA9644" w14:textId="74E07594" w:rsidR="00C22690" w:rsidRPr="009C51D8" w:rsidRDefault="00C22690" w:rsidP="00C22690">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w:t>
            </w:r>
            <w:r w:rsidR="008844A7">
              <w:rPr>
                <w:b w:val="0"/>
              </w:rPr>
              <w:t>S</w:t>
            </w:r>
            <w:r w:rsidRPr="009C51D8">
              <w:rPr>
                <w:b w:val="0"/>
              </w:rPr>
              <w:t>P</w:t>
            </w:r>
            <w:r w:rsidRPr="009C51D8">
              <w:rPr>
                <w:b w:val="0"/>
                <w:i/>
                <w:iCs/>
                <w:vertAlign w:val="subscript"/>
                <w:lang w:val="es-ES"/>
              </w:rPr>
              <w:t xml:space="preserve"> q, r, p, i * </w:t>
            </w:r>
            <w:r w:rsidRPr="009C51D8">
              <w:rPr>
                <w:b w:val="0"/>
              </w:rPr>
              <w:t xml:space="preserve"> (1 + KIRR)]</w:t>
            </w:r>
          </w:p>
          <w:p w14:paraId="6323A35D" w14:textId="77777777" w:rsidR="00C22690" w:rsidRDefault="00C22690" w:rsidP="00C22690">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7E3F8545">
                <v:shape id="_x0000_i1192" type="#_x0000_t75" style="width:6pt;height:24pt" o:ole="">
                  <v:imagedata r:id="rId208" o:title=""/>
                </v:shape>
                <o:OLEObject Type="Embed" ProgID="Equation.3" ShapeID="_x0000_i1192" DrawAspect="Content" ObjectID="_1804653677" r:id="rId224"/>
              </w:object>
            </w:r>
            <w:r w:rsidRPr="009C51D8">
              <w:t xml:space="preserve"> (AVGTG5M</w:t>
            </w:r>
            <w:r w:rsidRPr="009C51D8">
              <w:rPr>
                <w:i/>
                <w:vertAlign w:val="subscript"/>
              </w:rPr>
              <w:t xml:space="preserve"> q, r, p, i, y</w:t>
            </w:r>
            <w:r w:rsidRPr="009C51D8">
              <w:t>) / 3) * ¼</w:t>
            </w:r>
          </w:p>
          <w:p w14:paraId="693F1FF1" w14:textId="77777777" w:rsidR="00C22690" w:rsidRPr="00A261C3" w:rsidRDefault="00C22690" w:rsidP="00C22690">
            <w:pPr>
              <w:spacing w:after="240"/>
              <w:ind w:left="720" w:hanging="720"/>
              <w:rPr>
                <w:iCs/>
              </w:rPr>
            </w:pPr>
            <w:r w:rsidRPr="00A261C3">
              <w:rPr>
                <w:iCs/>
              </w:rPr>
              <w:t>(</w:t>
            </w:r>
            <w:r>
              <w:rPr>
                <w:iCs/>
              </w:rPr>
              <w:t>4</w:t>
            </w:r>
            <w:r w:rsidRPr="00A261C3">
              <w:rPr>
                <w:iCs/>
              </w:rPr>
              <w:t>)</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w:t>
            </w:r>
            <w:r>
              <w:rPr>
                <w:iCs/>
              </w:rPr>
              <w:t>tele</w:t>
            </w:r>
            <w:r w:rsidRPr="00A261C3">
              <w:rPr>
                <w:iCs/>
              </w:rPr>
              <w:t>metered generation is greater than the upper tolerance during a 15-minute Settlement Interval, is calculated as follows:</w:t>
            </w:r>
          </w:p>
          <w:p w14:paraId="35B955BD" w14:textId="0EC03930" w:rsidR="00C22690" w:rsidRPr="00A261C3" w:rsidRDefault="00C22690" w:rsidP="00C22690">
            <w:pPr>
              <w:ind w:left="720"/>
              <w:rPr>
                <w:lang w:val="pt-BR"/>
              </w:rPr>
            </w:pPr>
            <w:r w:rsidRPr="00A261C3">
              <w:rPr>
                <w:lang w:val="pt-BR"/>
              </w:rPr>
              <w:lastRenderedPageBreak/>
              <w:t xml:space="preserve">If </w:t>
            </w:r>
            <w:r w:rsidRPr="00A261C3">
              <w:t>the flag signifying that the IRR has received a Base Point below the HDL used by SCED</w:t>
            </w:r>
            <w:r w:rsidR="00C4333E">
              <w:t xml:space="preserve"> 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221B10CC" w14:textId="620B92A5" w:rsidR="00C22690" w:rsidRPr="00A261C3" w:rsidRDefault="008844A7" w:rsidP="00C22690">
            <w:pPr>
              <w:tabs>
                <w:tab w:val="left" w:pos="2340"/>
                <w:tab w:val="left" w:pos="3420"/>
              </w:tabs>
              <w:spacing w:before="120" w:after="240"/>
              <w:ind w:left="720"/>
              <w:rPr>
                <w:b/>
                <w:bCs/>
                <w:lang w:val="pt-BR"/>
              </w:rPr>
            </w:pPr>
            <w:r>
              <w:rPr>
                <w:b/>
                <w:bCs/>
                <w:lang w:val="pt-BR"/>
              </w:rPr>
              <w:t>S</w:t>
            </w:r>
            <w:r w:rsidR="00C22690" w:rsidRPr="00A261C3">
              <w:rPr>
                <w:b/>
                <w:bCs/>
                <w:lang w:val="pt-BR"/>
              </w:rPr>
              <w:t xml:space="preserve">PDAMT </w:t>
            </w:r>
            <w:r w:rsidR="00C22690" w:rsidRPr="00A261C3">
              <w:rPr>
                <w:b/>
                <w:bCs/>
                <w:i/>
                <w:vertAlign w:val="subscript"/>
                <w:lang w:val="pt-BR"/>
              </w:rPr>
              <w:t>q, r, p</w:t>
            </w:r>
            <w:r w:rsidR="00C22690" w:rsidRPr="00A261C3">
              <w:rPr>
                <w:b/>
                <w:bCs/>
                <w:lang w:val="pt-BR"/>
              </w:rPr>
              <w:t xml:space="preserve"> =</w:t>
            </w:r>
            <w:r w:rsidR="00C22690" w:rsidRPr="00A261C3">
              <w:rPr>
                <w:b/>
                <w:bCs/>
                <w:lang w:val="pt-BR"/>
              </w:rPr>
              <w:tab/>
              <w:t>0</w:t>
            </w:r>
          </w:p>
          <w:p w14:paraId="0360337C" w14:textId="078C5FB3" w:rsidR="00C22690" w:rsidRPr="00A261C3" w:rsidRDefault="00C22690" w:rsidP="00C22690">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w:t>
            </w:r>
            <w:r w:rsidR="00045FBB">
              <w:t xml:space="preserve"> 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1CA3D991" w14:textId="77777777" w:rsidR="00C22690" w:rsidRPr="00A261C3" w:rsidRDefault="00C22690" w:rsidP="00C22690">
            <w:pPr>
              <w:rPr>
                <w:lang w:val="pt-BR"/>
              </w:rPr>
            </w:pPr>
          </w:p>
          <w:p w14:paraId="54DE4805" w14:textId="7105A2B9" w:rsidR="00C22690" w:rsidRPr="00A261C3" w:rsidRDefault="00C22690" w:rsidP="00C22690">
            <w:pPr>
              <w:tabs>
                <w:tab w:val="left" w:pos="720"/>
                <w:tab w:val="left" w:pos="2340"/>
                <w:tab w:val="left" w:pos="3420"/>
              </w:tabs>
              <w:spacing w:after="240"/>
              <w:ind w:left="2880" w:hanging="2880"/>
              <w:rPr>
                <w:b/>
                <w:bCs/>
                <w:lang w:val="pt-BR"/>
              </w:rPr>
            </w:pPr>
            <w:r w:rsidRPr="00A261C3">
              <w:rPr>
                <w:b/>
                <w:bCs/>
                <w:lang w:val="pt-BR"/>
              </w:rPr>
              <w:tab/>
            </w:r>
            <w:r w:rsidR="008844A7">
              <w:rPr>
                <w:b/>
                <w:bCs/>
                <w:lang w:val="pt-BR"/>
              </w:rPr>
              <w:t>S</w:t>
            </w:r>
            <w:r w:rsidRPr="00A261C3">
              <w:rPr>
                <w:b/>
                <w:bCs/>
                <w:lang w:val="pt-BR"/>
              </w:rPr>
              <w:t>PDAMT</w:t>
            </w:r>
            <w:r w:rsidRPr="00A261C3">
              <w:rPr>
                <w:b/>
                <w:bCs/>
                <w:i/>
                <w:vertAlign w:val="subscript"/>
                <w:lang w:val="pt-BR"/>
              </w:rPr>
              <w:t xml:space="preserve"> q, r, p</w:t>
            </w:r>
            <w:r>
              <w:rPr>
                <w:b/>
                <w:bCs/>
                <w:lang w:val="pt-BR"/>
              </w:rPr>
              <w:t xml:space="preserve"> = </w:t>
            </w:r>
            <w:r w:rsidRPr="00A261C3">
              <w:rPr>
                <w:b/>
                <w:bCs/>
                <w:lang w:val="pt-BR"/>
              </w:rPr>
              <w:t>Max (PR1, RTSPP</w:t>
            </w:r>
            <w:r>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t>
            </w:r>
            <w:r>
              <w:rPr>
                <w:rFonts w:ascii="Times New Roman Bold" w:hAnsi="Times New Roman Bold"/>
                <w:b/>
                <w:bCs/>
                <w:i/>
                <w:vertAlign w:val="subscript"/>
                <w:lang w:val="pt-BR"/>
              </w:rPr>
              <w:t>r</w:t>
            </w:r>
            <w:r w:rsidRPr="00A261C3">
              <w:rPr>
                <w:rFonts w:ascii="Times New Roman Bold" w:hAnsi="Times New Roman Bold"/>
                <w:b/>
                <w:bCs/>
                <w:i/>
                <w:vertAlign w:val="subscript"/>
                <w:lang w:val="pt-BR"/>
              </w:rPr>
              <w:t xml:space="preserve">, i </w:t>
            </w:r>
          </w:p>
          <w:p w14:paraId="6E7DD86E" w14:textId="77777777" w:rsidR="00C22690" w:rsidRPr="002A617F" w:rsidRDefault="00C22690" w:rsidP="00C22690">
            <w:pPr>
              <w:tabs>
                <w:tab w:val="left" w:pos="2340"/>
                <w:tab w:val="left" w:pos="3420"/>
                <w:tab w:val="right" w:pos="9360"/>
              </w:tabs>
              <w:spacing w:after="240"/>
              <w:ind w:left="3420" w:hanging="2700"/>
              <w:rPr>
                <w:bCs/>
              </w:rPr>
            </w:pPr>
            <w:r w:rsidRPr="00A261C3">
              <w:rPr>
                <w:bCs/>
              </w:rPr>
              <w:t>Where:</w:t>
            </w:r>
          </w:p>
          <w:p w14:paraId="6CE4F463" w14:textId="00408ACC" w:rsidR="00C22690" w:rsidRPr="002A617F" w:rsidRDefault="00C22690" w:rsidP="00C22690">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t>
            </w:r>
            <w:r>
              <w:rPr>
                <w:bCs/>
                <w:i/>
                <w:iCs/>
                <w:vertAlign w:val="subscript"/>
                <w:lang w:val="es-ES"/>
              </w:rPr>
              <w:t>r</w:t>
            </w:r>
            <w:r w:rsidRPr="00A261C3">
              <w:rPr>
                <w:bCs/>
                <w:i/>
                <w:iCs/>
                <w:vertAlign w:val="subscript"/>
                <w:lang w:val="es-ES"/>
              </w:rPr>
              <w:t xml:space="preserve">, i  </w:t>
            </w:r>
            <w:r w:rsidRPr="00A261C3">
              <w:rPr>
                <w:bCs/>
              </w:rPr>
              <w:t xml:space="preserve"> = Max [0, TWTG</w:t>
            </w:r>
            <w:r w:rsidRPr="00A261C3">
              <w:rPr>
                <w:bCs/>
                <w:i/>
                <w:iCs/>
                <w:vertAlign w:val="subscript"/>
                <w:lang w:val="es-ES"/>
              </w:rPr>
              <w:t xml:space="preserve"> q, wg, i </w:t>
            </w:r>
            <w:r w:rsidRPr="00A261C3">
              <w:rPr>
                <w:bCs/>
              </w:rPr>
              <w:t xml:space="preserve"> – ¼ * AA</w:t>
            </w:r>
            <w:r w:rsidR="008844A7">
              <w:rPr>
                <w:bCs/>
              </w:rPr>
              <w:t>S</w:t>
            </w:r>
            <w:r w:rsidRPr="00A261C3">
              <w:rPr>
                <w:bCs/>
              </w:rPr>
              <w:t>P</w:t>
            </w:r>
            <w:r w:rsidRPr="00A261C3">
              <w:rPr>
                <w:bCs/>
                <w:i/>
                <w:iCs/>
                <w:vertAlign w:val="subscript"/>
                <w:lang w:val="es-ES"/>
              </w:rPr>
              <w:t xml:space="preserve"> q, wg, i * </w:t>
            </w:r>
            <w:r w:rsidRPr="00A261C3">
              <w:rPr>
                <w:bCs/>
              </w:rPr>
              <w:t xml:space="preserve"> (1 + KIRR)]</w:t>
            </w:r>
            <w:r>
              <w:rPr>
                <w:bCs/>
              </w:rPr>
              <w:t xml:space="preserve"> / N</w:t>
            </w:r>
          </w:p>
          <w:p w14:paraId="268060B2" w14:textId="7840CFB4" w:rsidR="00C22690" w:rsidRDefault="00C22690" w:rsidP="00C22690">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Pr>
                <w:noProof/>
                <w:position w:val="-18"/>
              </w:rPr>
              <w:drawing>
                <wp:inline distT="0" distB="0" distL="0" distR="0" wp14:anchorId="65E8A20C" wp14:editId="2FA56C84">
                  <wp:extent cx="135255" cy="246380"/>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260A4157" w14:textId="34123DE4" w:rsidR="00C22690" w:rsidRPr="00A261C3" w:rsidRDefault="00C22690" w:rsidP="00C22690">
            <w:pPr>
              <w:tabs>
                <w:tab w:val="left" w:pos="2340"/>
                <w:tab w:val="left" w:pos="3420"/>
              </w:tabs>
              <w:spacing w:after="240"/>
              <w:ind w:leftChars="300" w:left="2880" w:hangingChars="900" w:hanging="2160"/>
              <w:rPr>
                <w:b/>
                <w:bCs/>
                <w:i/>
                <w:iCs/>
                <w:sz w:val="26"/>
                <w:szCs w:val="26"/>
              </w:rPr>
            </w:pPr>
            <w:r w:rsidRPr="00A261C3">
              <w:rPr>
                <w:lang w:val="es-ES"/>
              </w:rPr>
              <w:t>AA</w:t>
            </w:r>
            <w:r w:rsidR="008844A7">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 xml:space="preserve">wg, i </w:t>
            </w:r>
            <w:r w:rsidRPr="00A261C3">
              <w:rPr>
                <w:lang w:val="pt-BR"/>
              </w:rPr>
              <w:t xml:space="preserve">= </w:t>
            </w:r>
            <w:r>
              <w:rPr>
                <w:noProof/>
                <w:position w:val="-18"/>
              </w:rPr>
              <w:drawing>
                <wp:inline distT="0" distB="0" distL="0" distR="0" wp14:anchorId="289D9B79" wp14:editId="4D165EBA">
                  <wp:extent cx="135255" cy="246380"/>
                  <wp:effectExtent l="0" t="0" r="0"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8844A7">
              <w:rPr>
                <w:lang w:val="pt-BR"/>
              </w:rPr>
              <w:t>S</w:t>
            </w:r>
            <w:r w:rsidRPr="00A261C3">
              <w:rPr>
                <w:lang w:val="pt-BR"/>
              </w:rPr>
              <w:t>P</w:t>
            </w:r>
            <w:r w:rsidRPr="00A261C3">
              <w:rPr>
                <w:i/>
                <w:vertAlign w:val="subscript"/>
                <w:lang w:val="pt-BR"/>
              </w:rPr>
              <w:t xml:space="preserve"> q, r, p, i</w:t>
            </w:r>
            <w:r w:rsidRPr="00A261C3">
              <w:rPr>
                <w:lang w:val="pt-BR"/>
              </w:rPr>
              <w:t>)</w:t>
            </w:r>
          </w:p>
          <w:p w14:paraId="727974AE" w14:textId="77777777" w:rsidR="00C22690" w:rsidRDefault="00C22690" w:rsidP="00C22690">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56A02" w:rsidRPr="00763FB7" w14:paraId="62017E6B" w14:textId="77777777" w:rsidTr="001B737D">
              <w:tc>
                <w:tcPr>
                  <w:tcW w:w="1975" w:type="dxa"/>
                </w:tcPr>
                <w:p w14:paraId="0FF43FCF" w14:textId="77777777" w:rsidR="00C56A02" w:rsidRPr="00763FB7" w:rsidRDefault="00C56A02" w:rsidP="00C56A02">
                  <w:pPr>
                    <w:pStyle w:val="TableHead"/>
                    <w:rPr>
                      <w:sz w:val="18"/>
                      <w:szCs w:val="18"/>
                    </w:rPr>
                  </w:pPr>
                  <w:r w:rsidRPr="00763FB7">
                    <w:rPr>
                      <w:sz w:val="18"/>
                      <w:szCs w:val="18"/>
                    </w:rPr>
                    <w:t>Variable</w:t>
                  </w:r>
                </w:p>
              </w:tc>
              <w:tc>
                <w:tcPr>
                  <w:tcW w:w="900" w:type="dxa"/>
                </w:tcPr>
                <w:p w14:paraId="28408F8A" w14:textId="77777777" w:rsidR="00C56A02" w:rsidRPr="00763FB7" w:rsidRDefault="00C56A02" w:rsidP="00C56A02">
                  <w:pPr>
                    <w:pStyle w:val="TableHead"/>
                    <w:rPr>
                      <w:sz w:val="18"/>
                      <w:szCs w:val="18"/>
                    </w:rPr>
                  </w:pPr>
                  <w:r w:rsidRPr="00763FB7">
                    <w:rPr>
                      <w:sz w:val="18"/>
                      <w:szCs w:val="18"/>
                    </w:rPr>
                    <w:t>Unit</w:t>
                  </w:r>
                </w:p>
              </w:tc>
              <w:tc>
                <w:tcPr>
                  <w:tcW w:w="6942" w:type="dxa"/>
                  <w:gridSpan w:val="2"/>
                </w:tcPr>
                <w:p w14:paraId="4FCF6278" w14:textId="77777777" w:rsidR="00C56A02" w:rsidRPr="00763FB7" w:rsidRDefault="00C56A02" w:rsidP="00C56A02">
                  <w:pPr>
                    <w:pStyle w:val="TableHead"/>
                    <w:rPr>
                      <w:sz w:val="18"/>
                      <w:szCs w:val="18"/>
                    </w:rPr>
                  </w:pPr>
                  <w:r w:rsidRPr="00763FB7">
                    <w:rPr>
                      <w:sz w:val="18"/>
                      <w:szCs w:val="18"/>
                    </w:rPr>
                    <w:t>Definition</w:t>
                  </w:r>
                </w:p>
              </w:tc>
            </w:tr>
            <w:tr w:rsidR="00C56A02" w:rsidRPr="00763FB7" w14:paraId="726112FC" w14:textId="77777777" w:rsidTr="001B737D">
              <w:trPr>
                <w:cantSplit/>
              </w:trPr>
              <w:tc>
                <w:tcPr>
                  <w:tcW w:w="1975" w:type="dxa"/>
                </w:tcPr>
                <w:p w14:paraId="6E5BAD21" w14:textId="3ADD2BB8" w:rsidR="00C56A02" w:rsidRPr="008844A7" w:rsidRDefault="008844A7" w:rsidP="00C56A02">
                  <w:pPr>
                    <w:pStyle w:val="TableBody"/>
                  </w:pPr>
                  <w:r w:rsidRPr="008844A7">
                    <w:t>S</w:t>
                  </w:r>
                  <w:r w:rsidR="00C56A02" w:rsidRPr="008844A7">
                    <w:t xml:space="preserve">PDAMT </w:t>
                  </w:r>
                  <w:r w:rsidR="00C56A02" w:rsidRPr="008844A7">
                    <w:rPr>
                      <w:i/>
                      <w:vertAlign w:val="subscript"/>
                    </w:rPr>
                    <w:t>q, r, p, i</w:t>
                  </w:r>
                </w:p>
              </w:tc>
              <w:tc>
                <w:tcPr>
                  <w:tcW w:w="900" w:type="dxa"/>
                </w:tcPr>
                <w:p w14:paraId="4E0DB829" w14:textId="77777777" w:rsidR="00C56A02" w:rsidRPr="008844A7" w:rsidRDefault="00C56A02" w:rsidP="00C56A02">
                  <w:pPr>
                    <w:pStyle w:val="TableBody"/>
                  </w:pPr>
                  <w:r w:rsidRPr="008844A7">
                    <w:t>$</w:t>
                  </w:r>
                </w:p>
              </w:tc>
              <w:tc>
                <w:tcPr>
                  <w:tcW w:w="6942" w:type="dxa"/>
                  <w:gridSpan w:val="2"/>
                </w:tcPr>
                <w:p w14:paraId="7F5EC965" w14:textId="1A5D92AC" w:rsidR="00C56A02" w:rsidRPr="008844A7" w:rsidRDefault="008844A7" w:rsidP="008844A7">
                  <w:pPr>
                    <w:pStyle w:val="TableBody"/>
                  </w:pPr>
                  <w:r w:rsidRPr="008844A7">
                    <w:rPr>
                      <w:i/>
                    </w:rPr>
                    <w:t>Set</w:t>
                  </w:r>
                  <w:r w:rsidR="00C56A02" w:rsidRPr="008844A7">
                    <w:rPr>
                      <w:i/>
                    </w:rPr>
                    <w:t xml:space="preserve"> Point Deviation Charge per QSE per Settlement Point per Resource</w:t>
                  </w:r>
                  <w:r w:rsidR="00C56A02" w:rsidRPr="008844A7">
                    <w:t xml:space="preserve">—The charge to QSE </w:t>
                  </w:r>
                  <w:r w:rsidR="00C56A02" w:rsidRPr="008844A7">
                    <w:rPr>
                      <w:i/>
                    </w:rPr>
                    <w:t>q</w:t>
                  </w:r>
                  <w:r w:rsidR="00C56A02" w:rsidRPr="008844A7">
                    <w:t xml:space="preserve"> for Generation Resource </w:t>
                  </w:r>
                  <w:r w:rsidR="00C56A02" w:rsidRPr="008844A7">
                    <w:rPr>
                      <w:i/>
                    </w:rPr>
                    <w:t>r</w:t>
                  </w:r>
                  <w:r w:rsidR="00C56A02" w:rsidRPr="008844A7">
                    <w:t xml:space="preserve"> at Resource Node </w:t>
                  </w:r>
                  <w:r w:rsidR="00C56A02" w:rsidRPr="008844A7">
                    <w:rPr>
                      <w:i/>
                    </w:rPr>
                    <w:t>p</w:t>
                  </w:r>
                  <w:r w:rsidR="00C56A02" w:rsidRPr="008844A7">
                    <w:t xml:space="preserve">, for its deviation from </w:t>
                  </w:r>
                  <w:r w:rsidRPr="008844A7">
                    <w:t>AASP</w:t>
                  </w:r>
                  <w:r w:rsidR="00C56A02" w:rsidRPr="008844A7">
                    <w:t xml:space="preserve">, for the 15-minute Settlement Interval </w:t>
                  </w:r>
                  <w:r w:rsidR="00C56A02" w:rsidRPr="008844A7">
                    <w:rPr>
                      <w:i/>
                    </w:rPr>
                    <w:t>i</w:t>
                  </w:r>
                  <w:r w:rsidR="00C56A02" w:rsidRPr="008844A7">
                    <w:t>.</w:t>
                  </w:r>
                </w:p>
              </w:tc>
            </w:tr>
            <w:tr w:rsidR="00C56A02" w:rsidRPr="00763FB7" w14:paraId="34CEB5BF" w14:textId="77777777" w:rsidTr="001B737D">
              <w:trPr>
                <w:cantSplit/>
              </w:trPr>
              <w:tc>
                <w:tcPr>
                  <w:tcW w:w="1975" w:type="dxa"/>
                </w:tcPr>
                <w:p w14:paraId="112251F3" w14:textId="77777777" w:rsidR="00C56A02" w:rsidRPr="008844A7" w:rsidRDefault="00C56A02" w:rsidP="00C56A02">
                  <w:pPr>
                    <w:pStyle w:val="TableBody"/>
                  </w:pPr>
                  <w:r w:rsidRPr="008844A7">
                    <w:t xml:space="preserve">RTSPP </w:t>
                  </w:r>
                  <w:r w:rsidRPr="008844A7">
                    <w:rPr>
                      <w:i/>
                      <w:vertAlign w:val="subscript"/>
                    </w:rPr>
                    <w:t>p, i</w:t>
                  </w:r>
                </w:p>
              </w:tc>
              <w:tc>
                <w:tcPr>
                  <w:tcW w:w="900" w:type="dxa"/>
                </w:tcPr>
                <w:p w14:paraId="6CAE8941" w14:textId="77777777" w:rsidR="00C56A02" w:rsidRPr="008844A7" w:rsidRDefault="00C56A02" w:rsidP="00C56A02">
                  <w:pPr>
                    <w:pStyle w:val="TableBody"/>
                  </w:pPr>
                  <w:r w:rsidRPr="008844A7">
                    <w:t>$/MWh</w:t>
                  </w:r>
                </w:p>
              </w:tc>
              <w:tc>
                <w:tcPr>
                  <w:tcW w:w="6942" w:type="dxa"/>
                  <w:gridSpan w:val="2"/>
                </w:tcPr>
                <w:p w14:paraId="7ED4625E" w14:textId="77777777" w:rsidR="00C56A02" w:rsidRPr="008844A7" w:rsidRDefault="00C56A02" w:rsidP="00C56A02">
                  <w:pPr>
                    <w:pStyle w:val="TableBody"/>
                  </w:pPr>
                  <w:r w:rsidRPr="008844A7">
                    <w:rPr>
                      <w:i/>
                    </w:rPr>
                    <w:t>Real-Time Settlement Point Price per Settlement Point</w:t>
                  </w:r>
                  <w:r w:rsidRPr="008844A7">
                    <w:t xml:space="preserve">—The Real-Time Settlement Point Price at Resource Node </w:t>
                  </w:r>
                  <w:r w:rsidRPr="008844A7">
                    <w:rPr>
                      <w:i/>
                    </w:rPr>
                    <w:t>p</w:t>
                  </w:r>
                  <w:r w:rsidRPr="008844A7">
                    <w:t xml:space="preserve">, for the 15-minute Settlement Interval </w:t>
                  </w:r>
                  <w:r w:rsidRPr="008844A7">
                    <w:rPr>
                      <w:i/>
                    </w:rPr>
                    <w:t>i</w:t>
                  </w:r>
                  <w:r w:rsidRPr="008844A7">
                    <w:t>.</w:t>
                  </w:r>
                </w:p>
              </w:tc>
            </w:tr>
            <w:tr w:rsidR="00C56A02" w:rsidRPr="008844A7" w14:paraId="6ED520AF" w14:textId="77777777" w:rsidTr="001B737D">
              <w:trPr>
                <w:gridAfter w:val="1"/>
                <w:wAfter w:w="12" w:type="dxa"/>
                <w:cantSplit/>
              </w:trPr>
              <w:tc>
                <w:tcPr>
                  <w:tcW w:w="1975" w:type="dxa"/>
                </w:tcPr>
                <w:p w14:paraId="791F3521" w14:textId="77777777" w:rsidR="00C56A02" w:rsidRPr="008844A7" w:rsidRDefault="00C56A02" w:rsidP="00C56A02">
                  <w:pPr>
                    <w:pStyle w:val="TableBody"/>
                  </w:pPr>
                  <w:r w:rsidRPr="008844A7">
                    <w:t xml:space="preserve">TWTG </w:t>
                  </w:r>
                  <w:r w:rsidRPr="008844A7">
                    <w:rPr>
                      <w:i/>
                      <w:vertAlign w:val="subscript"/>
                    </w:rPr>
                    <w:t>q, r, p, i</w:t>
                  </w:r>
                </w:p>
              </w:tc>
              <w:tc>
                <w:tcPr>
                  <w:tcW w:w="900" w:type="dxa"/>
                </w:tcPr>
                <w:p w14:paraId="3D461D89" w14:textId="77777777" w:rsidR="00C56A02" w:rsidRPr="008844A7" w:rsidRDefault="00C56A02" w:rsidP="00C56A02">
                  <w:pPr>
                    <w:pStyle w:val="TableBody"/>
                  </w:pPr>
                  <w:r w:rsidRPr="008844A7">
                    <w:t>MWh</w:t>
                  </w:r>
                </w:p>
              </w:tc>
              <w:tc>
                <w:tcPr>
                  <w:tcW w:w="6930" w:type="dxa"/>
                </w:tcPr>
                <w:p w14:paraId="45E7F5FF" w14:textId="77777777" w:rsidR="00C56A02" w:rsidRPr="008844A7" w:rsidRDefault="00C56A02" w:rsidP="00C56A02">
                  <w:pPr>
                    <w:pStyle w:val="TableBody"/>
                    <w:rPr>
                      <w:i/>
                    </w:rPr>
                  </w:pPr>
                  <w:r w:rsidRPr="008844A7">
                    <w:rPr>
                      <w:i/>
                    </w:rPr>
                    <w:t>Time-Weighted Telemetered Generation per QSE per Settlement Point per Resource</w:t>
                  </w:r>
                  <w:r w:rsidRPr="008844A7">
                    <w:t xml:space="preserve">—The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p>
              </w:tc>
            </w:tr>
            <w:tr w:rsidR="00C56A02" w:rsidRPr="008844A7" w14:paraId="6260E699" w14:textId="77777777" w:rsidTr="001B737D">
              <w:trPr>
                <w:gridAfter w:val="1"/>
                <w:wAfter w:w="12" w:type="dxa"/>
                <w:cantSplit/>
              </w:trPr>
              <w:tc>
                <w:tcPr>
                  <w:tcW w:w="1975" w:type="dxa"/>
                </w:tcPr>
                <w:p w14:paraId="0153CCBE" w14:textId="12D084B6" w:rsidR="00C56A02" w:rsidRPr="008844A7" w:rsidRDefault="00C56A02" w:rsidP="008844A7">
                  <w:pPr>
                    <w:pStyle w:val="TableBody"/>
                  </w:pPr>
                  <w:r w:rsidRPr="008844A7">
                    <w:t>AA</w:t>
                  </w:r>
                  <w:r w:rsidR="008844A7">
                    <w:t>S</w:t>
                  </w:r>
                  <w:r w:rsidRPr="008844A7">
                    <w:t xml:space="preserve">P </w:t>
                  </w:r>
                  <w:r w:rsidRPr="008844A7">
                    <w:rPr>
                      <w:i/>
                      <w:vertAlign w:val="subscript"/>
                    </w:rPr>
                    <w:t>q, r, p, i</w:t>
                  </w:r>
                </w:p>
              </w:tc>
              <w:tc>
                <w:tcPr>
                  <w:tcW w:w="900" w:type="dxa"/>
                </w:tcPr>
                <w:p w14:paraId="06E24F8C" w14:textId="77777777" w:rsidR="00C56A02" w:rsidRPr="008844A7" w:rsidRDefault="00C56A02" w:rsidP="00C56A02">
                  <w:pPr>
                    <w:pStyle w:val="TableBody"/>
                  </w:pPr>
                  <w:r w:rsidRPr="008844A7">
                    <w:t>MW</w:t>
                  </w:r>
                </w:p>
              </w:tc>
              <w:tc>
                <w:tcPr>
                  <w:tcW w:w="6930" w:type="dxa"/>
                </w:tcPr>
                <w:p w14:paraId="33125C04" w14:textId="08152170" w:rsidR="00C56A02" w:rsidRPr="008844A7" w:rsidRDefault="008844A7" w:rsidP="008844A7">
                  <w:pPr>
                    <w:pStyle w:val="TableBody"/>
                    <w:rPr>
                      <w:i/>
                    </w:rPr>
                  </w:pPr>
                  <w:r>
                    <w:rPr>
                      <w:i/>
                    </w:rPr>
                    <w:t>Average</w:t>
                  </w:r>
                  <w:r w:rsidR="00C56A02" w:rsidRPr="008844A7">
                    <w:rPr>
                      <w:i/>
                    </w:rPr>
                    <w:t xml:space="preserve"> Aggregated </w:t>
                  </w:r>
                  <w:r>
                    <w:rPr>
                      <w:i/>
                    </w:rPr>
                    <w:t>Set</w:t>
                  </w:r>
                  <w:r w:rsidR="00C56A02" w:rsidRPr="008844A7">
                    <w:rPr>
                      <w:i/>
                    </w:rPr>
                    <w:t xml:space="preserve"> Point Generation per QSE per Settlement Point per Resource</w:t>
                  </w:r>
                  <w:r w:rsidR="00C56A02" w:rsidRPr="008844A7">
                    <w:t xml:space="preserve">—The </w:t>
                  </w:r>
                  <w:r>
                    <w:t>average of the Average Five Minute Clock Interval Set Point (AVGSP5M)</w:t>
                  </w:r>
                  <w:r w:rsidR="00C56A02" w:rsidRPr="008844A7">
                    <w:t xml:space="preserve"> of Generation Resource </w:t>
                  </w:r>
                  <w:r w:rsidR="00C56A02" w:rsidRPr="008844A7">
                    <w:rPr>
                      <w:i/>
                    </w:rPr>
                    <w:t>r</w:t>
                  </w:r>
                  <w:r w:rsidR="00C56A02" w:rsidRPr="008844A7">
                    <w:t xml:space="preserve"> represented by QSE </w:t>
                  </w:r>
                  <w:r w:rsidR="00C56A02" w:rsidRPr="008844A7">
                    <w:rPr>
                      <w:i/>
                    </w:rPr>
                    <w:t>q</w:t>
                  </w:r>
                  <w:r w:rsidR="00C56A02" w:rsidRPr="008844A7">
                    <w:t xml:space="preserve"> at Settlement Point </w:t>
                  </w:r>
                  <w:r w:rsidR="00C56A02" w:rsidRPr="008844A7">
                    <w:rPr>
                      <w:i/>
                    </w:rPr>
                    <w:t>p</w:t>
                  </w:r>
                  <w:r w:rsidR="00C56A02" w:rsidRPr="008844A7">
                    <w:t xml:space="preserve">, for the 15-minute Settlement Interval </w:t>
                  </w:r>
                  <w:r w:rsidR="00C56A02" w:rsidRPr="008844A7">
                    <w:rPr>
                      <w:i/>
                    </w:rPr>
                    <w:t>i.</w:t>
                  </w:r>
                </w:p>
              </w:tc>
            </w:tr>
            <w:tr w:rsidR="00C56A02" w:rsidRPr="00763FB7" w14:paraId="51409976" w14:textId="77777777" w:rsidTr="001B737D">
              <w:trPr>
                <w:cantSplit/>
              </w:trPr>
              <w:tc>
                <w:tcPr>
                  <w:tcW w:w="1975" w:type="dxa"/>
                </w:tcPr>
                <w:p w14:paraId="3A7B554F" w14:textId="77777777" w:rsidR="00C56A02" w:rsidRPr="008844A7" w:rsidRDefault="00C56A02" w:rsidP="00C56A02">
                  <w:pPr>
                    <w:pStyle w:val="TableBody"/>
                  </w:pPr>
                  <w:r w:rsidRPr="008844A7">
                    <w:t>AVGTG5M</w:t>
                  </w:r>
                  <w:r w:rsidRPr="008844A7">
                    <w:rPr>
                      <w:i/>
                      <w:vertAlign w:val="subscript"/>
                      <w:lang w:val="fr-FR"/>
                    </w:rPr>
                    <w:t xml:space="preserve"> q, r, p, i, y</w:t>
                  </w:r>
                </w:p>
              </w:tc>
              <w:tc>
                <w:tcPr>
                  <w:tcW w:w="900" w:type="dxa"/>
                </w:tcPr>
                <w:p w14:paraId="28849211" w14:textId="77777777" w:rsidR="00C56A02" w:rsidRPr="008844A7" w:rsidRDefault="00C56A02" w:rsidP="00C56A02">
                  <w:pPr>
                    <w:pStyle w:val="TableBody"/>
                  </w:pPr>
                  <w:r w:rsidRPr="008844A7">
                    <w:t>MW</w:t>
                  </w:r>
                </w:p>
              </w:tc>
              <w:tc>
                <w:tcPr>
                  <w:tcW w:w="6942" w:type="dxa"/>
                  <w:gridSpan w:val="2"/>
                </w:tcPr>
                <w:p w14:paraId="00E44BE7" w14:textId="77777777" w:rsidR="00C56A02" w:rsidRPr="008844A7" w:rsidRDefault="00C56A02" w:rsidP="00C56A02">
                  <w:pPr>
                    <w:pStyle w:val="TableBody"/>
                  </w:pPr>
                  <w:r w:rsidRPr="008844A7">
                    <w:rPr>
                      <w:i/>
                    </w:rPr>
                    <w:t>Average Telemetered Generation for the 5 Minutes</w:t>
                  </w:r>
                  <w:r w:rsidRPr="008844A7">
                    <w:t xml:space="preserve">—The average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five-minute clock interval </w:t>
                  </w:r>
                  <w:r w:rsidRPr="008844A7">
                    <w:rPr>
                      <w:i/>
                    </w:rPr>
                    <w:t>y</w:t>
                  </w:r>
                  <w:r w:rsidRPr="008844A7">
                    <w:t xml:space="preserve">, within the 15-minute Settlement Interval </w:t>
                  </w:r>
                  <w:r w:rsidRPr="008844A7">
                    <w:rPr>
                      <w:i/>
                    </w:rPr>
                    <w:t>i</w:t>
                  </w:r>
                  <w:r w:rsidRPr="008844A7">
                    <w:t>.</w:t>
                  </w:r>
                </w:p>
              </w:tc>
            </w:tr>
            <w:tr w:rsidR="00C56A02" w:rsidRPr="00763FB7" w14:paraId="315DE913" w14:textId="77777777" w:rsidTr="001B737D">
              <w:trPr>
                <w:cantSplit/>
              </w:trPr>
              <w:tc>
                <w:tcPr>
                  <w:tcW w:w="1975" w:type="dxa"/>
                </w:tcPr>
                <w:p w14:paraId="364C14B8" w14:textId="77777777" w:rsidR="00C56A02" w:rsidRPr="008844A7" w:rsidRDefault="00C56A02" w:rsidP="00C56A02">
                  <w:pPr>
                    <w:pStyle w:val="TableBody"/>
                  </w:pPr>
                  <w:r w:rsidRPr="008844A7">
                    <w:t xml:space="preserve">OGENIRR </w:t>
                  </w:r>
                  <w:r w:rsidRPr="008844A7">
                    <w:rPr>
                      <w:i/>
                      <w:vertAlign w:val="subscript"/>
                    </w:rPr>
                    <w:t>q, r, p, i</w:t>
                  </w:r>
                </w:p>
              </w:tc>
              <w:tc>
                <w:tcPr>
                  <w:tcW w:w="900" w:type="dxa"/>
                </w:tcPr>
                <w:p w14:paraId="1FC39569" w14:textId="77777777" w:rsidR="00C56A02" w:rsidRPr="008844A7" w:rsidRDefault="00C56A02" w:rsidP="00C56A02">
                  <w:pPr>
                    <w:pStyle w:val="TableBody"/>
                  </w:pPr>
                  <w:r w:rsidRPr="008844A7">
                    <w:t>MWh</w:t>
                  </w:r>
                </w:p>
              </w:tc>
              <w:tc>
                <w:tcPr>
                  <w:tcW w:w="6942" w:type="dxa"/>
                  <w:gridSpan w:val="2"/>
                </w:tcPr>
                <w:p w14:paraId="2D47AA52" w14:textId="77777777" w:rsidR="00C56A02" w:rsidRPr="008844A7" w:rsidRDefault="00C56A02" w:rsidP="00C56A02">
                  <w:pPr>
                    <w:pStyle w:val="TableBody"/>
                  </w:pPr>
                  <w:r w:rsidRPr="008844A7">
                    <w:rPr>
                      <w:i/>
                    </w:rPr>
                    <w:t>Over Generation Volumes per QSE per Settlement Point per IRR Generation Resource</w:t>
                  </w:r>
                  <w:r w:rsidRPr="008844A7">
                    <w:t xml:space="preserve">—The amount over generated by the IRR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r w:rsidRPr="008844A7">
                    <w:t>.</w:t>
                  </w:r>
                </w:p>
              </w:tc>
            </w:tr>
            <w:tr w:rsidR="00C56A02" w:rsidRPr="00763FB7" w14:paraId="02EA20FD" w14:textId="77777777" w:rsidTr="001B737D">
              <w:trPr>
                <w:cantSplit/>
              </w:trPr>
              <w:tc>
                <w:tcPr>
                  <w:tcW w:w="1975" w:type="dxa"/>
                </w:tcPr>
                <w:p w14:paraId="7AC35D35" w14:textId="77777777" w:rsidR="00C56A02" w:rsidRPr="008844A7" w:rsidRDefault="00C56A02" w:rsidP="00C56A02">
                  <w:pPr>
                    <w:pStyle w:val="TableBody"/>
                  </w:pPr>
                  <w:r w:rsidRPr="008844A7">
                    <w:t>PR1</w:t>
                  </w:r>
                </w:p>
              </w:tc>
              <w:tc>
                <w:tcPr>
                  <w:tcW w:w="900" w:type="dxa"/>
                </w:tcPr>
                <w:p w14:paraId="33DBBC41" w14:textId="77777777" w:rsidR="00C56A02" w:rsidRPr="008844A7" w:rsidRDefault="00C56A02" w:rsidP="00C56A02">
                  <w:pPr>
                    <w:pStyle w:val="TableBody"/>
                  </w:pPr>
                  <w:r w:rsidRPr="008844A7">
                    <w:t>$/MWh</w:t>
                  </w:r>
                </w:p>
              </w:tc>
              <w:tc>
                <w:tcPr>
                  <w:tcW w:w="6942" w:type="dxa"/>
                  <w:gridSpan w:val="2"/>
                </w:tcPr>
                <w:p w14:paraId="0FD1E926" w14:textId="77777777" w:rsidR="00C56A02" w:rsidRPr="008844A7" w:rsidRDefault="00C56A02" w:rsidP="00C56A02">
                  <w:pPr>
                    <w:pStyle w:val="TableBody"/>
                  </w:pPr>
                  <w:r w:rsidRPr="008844A7">
                    <w:t xml:space="preserve">The price to use for the charge calculation when RTSPP is less than $20/MWh, $20/MWh.  </w:t>
                  </w:r>
                </w:p>
              </w:tc>
            </w:tr>
            <w:tr w:rsidR="00C56A02" w:rsidRPr="00763FB7" w14:paraId="345DEC75" w14:textId="77777777" w:rsidTr="001B737D">
              <w:trPr>
                <w:cantSplit/>
              </w:trPr>
              <w:tc>
                <w:tcPr>
                  <w:tcW w:w="1975" w:type="dxa"/>
                </w:tcPr>
                <w:p w14:paraId="6B0036A4" w14:textId="77777777" w:rsidR="00C56A02" w:rsidRPr="008844A7" w:rsidRDefault="00C56A02" w:rsidP="00C56A02">
                  <w:pPr>
                    <w:pStyle w:val="TableBody"/>
                  </w:pPr>
                  <w:r w:rsidRPr="008844A7">
                    <w:t>KIRR</w:t>
                  </w:r>
                </w:p>
              </w:tc>
              <w:tc>
                <w:tcPr>
                  <w:tcW w:w="900" w:type="dxa"/>
                </w:tcPr>
                <w:p w14:paraId="023D1C48" w14:textId="77777777" w:rsidR="00C56A02" w:rsidRPr="008844A7" w:rsidRDefault="00C56A02" w:rsidP="00C56A02">
                  <w:pPr>
                    <w:pStyle w:val="TableBody"/>
                  </w:pPr>
                  <w:r w:rsidRPr="008844A7">
                    <w:t>none</w:t>
                  </w:r>
                </w:p>
              </w:tc>
              <w:tc>
                <w:tcPr>
                  <w:tcW w:w="6942" w:type="dxa"/>
                  <w:gridSpan w:val="2"/>
                </w:tcPr>
                <w:p w14:paraId="7D72B385" w14:textId="0B0F1E03" w:rsidR="00C56A02" w:rsidRPr="008844A7" w:rsidRDefault="00C56A02" w:rsidP="00C56A02">
                  <w:pPr>
                    <w:pStyle w:val="TableBody"/>
                  </w:pPr>
                  <w:r w:rsidRPr="008844A7">
                    <w:t xml:space="preserve">The percentage tolerance for over-generation of an IRR, </w:t>
                  </w:r>
                  <w:r w:rsidR="00045FBB">
                    <w:t>5</w:t>
                  </w:r>
                  <w:r w:rsidRPr="008844A7">
                    <w:t>%.</w:t>
                  </w:r>
                </w:p>
              </w:tc>
            </w:tr>
            <w:tr w:rsidR="00C56A02" w:rsidRPr="00763FB7" w14:paraId="6FBCF628" w14:textId="77777777" w:rsidTr="001B737D">
              <w:trPr>
                <w:cantSplit/>
              </w:trPr>
              <w:tc>
                <w:tcPr>
                  <w:tcW w:w="1975" w:type="dxa"/>
                </w:tcPr>
                <w:p w14:paraId="124507B8" w14:textId="77777777" w:rsidR="00C56A02" w:rsidRPr="008844A7" w:rsidRDefault="00C56A02" w:rsidP="00C56A02">
                  <w:pPr>
                    <w:pStyle w:val="TableBody"/>
                  </w:pPr>
                  <w:r w:rsidRPr="008844A7">
                    <w:t>N</w:t>
                  </w:r>
                </w:p>
              </w:tc>
              <w:tc>
                <w:tcPr>
                  <w:tcW w:w="900" w:type="dxa"/>
                </w:tcPr>
                <w:p w14:paraId="7D45CEB2" w14:textId="77777777" w:rsidR="00C56A02" w:rsidRPr="008844A7" w:rsidRDefault="00C56A02" w:rsidP="00C56A02">
                  <w:pPr>
                    <w:pStyle w:val="TableBody"/>
                  </w:pPr>
                  <w:r w:rsidRPr="008844A7">
                    <w:t>none</w:t>
                  </w:r>
                </w:p>
              </w:tc>
              <w:tc>
                <w:tcPr>
                  <w:tcW w:w="6942" w:type="dxa"/>
                  <w:gridSpan w:val="2"/>
                </w:tcPr>
                <w:p w14:paraId="7A176CFC" w14:textId="77777777" w:rsidR="00C56A02" w:rsidRPr="008844A7" w:rsidRDefault="00C56A02" w:rsidP="00C56A02">
                  <w:pPr>
                    <w:pStyle w:val="TableBody"/>
                  </w:pPr>
                  <w:r w:rsidRPr="008844A7">
                    <w:t>The number of IRRs within an IRR Group.</w:t>
                  </w:r>
                </w:p>
              </w:tc>
            </w:tr>
            <w:tr w:rsidR="00C56A02" w:rsidRPr="00763FB7" w14:paraId="5DAE654F" w14:textId="77777777" w:rsidTr="001B737D">
              <w:trPr>
                <w:cantSplit/>
              </w:trPr>
              <w:tc>
                <w:tcPr>
                  <w:tcW w:w="1975" w:type="dxa"/>
                </w:tcPr>
                <w:p w14:paraId="3F3C4B0D" w14:textId="77777777" w:rsidR="00C56A02" w:rsidRPr="008844A7" w:rsidRDefault="00C56A02" w:rsidP="00C56A02">
                  <w:pPr>
                    <w:pStyle w:val="TableBody"/>
                    <w:rPr>
                      <w:i/>
                    </w:rPr>
                  </w:pPr>
                  <w:r w:rsidRPr="008844A7">
                    <w:rPr>
                      <w:i/>
                    </w:rPr>
                    <w:t>q</w:t>
                  </w:r>
                </w:p>
              </w:tc>
              <w:tc>
                <w:tcPr>
                  <w:tcW w:w="900" w:type="dxa"/>
                </w:tcPr>
                <w:p w14:paraId="07180891" w14:textId="77777777" w:rsidR="00C56A02" w:rsidRPr="008844A7" w:rsidRDefault="00C56A02" w:rsidP="00C56A02">
                  <w:pPr>
                    <w:pStyle w:val="TableBody"/>
                  </w:pPr>
                  <w:r w:rsidRPr="008844A7">
                    <w:t>none</w:t>
                  </w:r>
                </w:p>
              </w:tc>
              <w:tc>
                <w:tcPr>
                  <w:tcW w:w="6942" w:type="dxa"/>
                  <w:gridSpan w:val="2"/>
                </w:tcPr>
                <w:p w14:paraId="400D6A28" w14:textId="77777777" w:rsidR="00C56A02" w:rsidRPr="008844A7" w:rsidRDefault="00C56A02" w:rsidP="00C56A02">
                  <w:pPr>
                    <w:pStyle w:val="TableBody"/>
                  </w:pPr>
                  <w:r w:rsidRPr="008844A7">
                    <w:t>A QSE.</w:t>
                  </w:r>
                </w:p>
              </w:tc>
            </w:tr>
            <w:tr w:rsidR="00C56A02" w:rsidRPr="00763FB7" w14:paraId="6D232321" w14:textId="77777777" w:rsidTr="001B737D">
              <w:trPr>
                <w:cantSplit/>
              </w:trPr>
              <w:tc>
                <w:tcPr>
                  <w:tcW w:w="1975" w:type="dxa"/>
                </w:tcPr>
                <w:p w14:paraId="06716D4E" w14:textId="77777777" w:rsidR="00C56A02" w:rsidRPr="008844A7" w:rsidRDefault="00C56A02" w:rsidP="00C56A02">
                  <w:pPr>
                    <w:pStyle w:val="TableBody"/>
                    <w:rPr>
                      <w:i/>
                    </w:rPr>
                  </w:pPr>
                  <w:r w:rsidRPr="008844A7">
                    <w:rPr>
                      <w:i/>
                    </w:rPr>
                    <w:lastRenderedPageBreak/>
                    <w:t>p</w:t>
                  </w:r>
                </w:p>
              </w:tc>
              <w:tc>
                <w:tcPr>
                  <w:tcW w:w="900" w:type="dxa"/>
                </w:tcPr>
                <w:p w14:paraId="487B0880" w14:textId="77777777" w:rsidR="00C56A02" w:rsidRPr="008844A7" w:rsidRDefault="00C56A02" w:rsidP="00C56A02">
                  <w:pPr>
                    <w:pStyle w:val="TableBody"/>
                  </w:pPr>
                  <w:r w:rsidRPr="008844A7">
                    <w:t>none</w:t>
                  </w:r>
                </w:p>
              </w:tc>
              <w:tc>
                <w:tcPr>
                  <w:tcW w:w="6942" w:type="dxa"/>
                  <w:gridSpan w:val="2"/>
                </w:tcPr>
                <w:p w14:paraId="3301F510" w14:textId="77777777" w:rsidR="00C56A02" w:rsidRPr="008844A7" w:rsidRDefault="00C56A02" w:rsidP="00C56A02">
                  <w:pPr>
                    <w:pStyle w:val="TableBody"/>
                  </w:pPr>
                  <w:r w:rsidRPr="008844A7">
                    <w:t>A Settlement Point.</w:t>
                  </w:r>
                </w:p>
              </w:tc>
            </w:tr>
            <w:tr w:rsidR="00C56A02" w:rsidRPr="00763FB7" w14:paraId="45F6B086" w14:textId="77777777" w:rsidTr="001B737D">
              <w:trPr>
                <w:cantSplit/>
              </w:trPr>
              <w:tc>
                <w:tcPr>
                  <w:tcW w:w="1975" w:type="dxa"/>
                </w:tcPr>
                <w:p w14:paraId="78078B4B" w14:textId="77777777" w:rsidR="00C56A02" w:rsidRPr="008844A7" w:rsidRDefault="00C56A02" w:rsidP="00C56A02">
                  <w:pPr>
                    <w:pStyle w:val="TableBody"/>
                    <w:rPr>
                      <w:i/>
                    </w:rPr>
                  </w:pPr>
                  <w:r w:rsidRPr="008844A7">
                    <w:rPr>
                      <w:i/>
                    </w:rPr>
                    <w:t>r</w:t>
                  </w:r>
                </w:p>
              </w:tc>
              <w:tc>
                <w:tcPr>
                  <w:tcW w:w="900" w:type="dxa"/>
                </w:tcPr>
                <w:p w14:paraId="5477A213" w14:textId="77777777" w:rsidR="00C56A02" w:rsidRPr="008844A7" w:rsidRDefault="00C56A02" w:rsidP="00C56A02">
                  <w:pPr>
                    <w:pStyle w:val="TableBody"/>
                  </w:pPr>
                  <w:r w:rsidRPr="008844A7">
                    <w:t>none</w:t>
                  </w:r>
                </w:p>
              </w:tc>
              <w:tc>
                <w:tcPr>
                  <w:tcW w:w="6942" w:type="dxa"/>
                  <w:gridSpan w:val="2"/>
                </w:tcPr>
                <w:p w14:paraId="0C91870D" w14:textId="50AC4C1D" w:rsidR="00C56A02" w:rsidRPr="008844A7" w:rsidRDefault="00C56A02" w:rsidP="008844A7">
                  <w:pPr>
                    <w:pStyle w:val="TableBody"/>
                  </w:pPr>
                  <w:r w:rsidRPr="008844A7">
                    <w:rPr>
                      <w:iCs w:val="0"/>
                    </w:rPr>
                    <w:t>An IRR Generation Resource</w:t>
                  </w:r>
                  <w:r w:rsidRPr="008844A7">
                    <w:t xml:space="preserve"> not </w:t>
                  </w:r>
                  <w:r w:rsidR="008844A7">
                    <w:t>awarded</w:t>
                  </w:r>
                  <w:r w:rsidRPr="008844A7">
                    <w:t xml:space="preserve"> Ancillary Service</w:t>
                  </w:r>
                  <w:r w:rsidRPr="008844A7">
                    <w:rPr>
                      <w:iCs w:val="0"/>
                    </w:rPr>
                    <w:t xml:space="preserve"> or an IRR within an IRR Group</w:t>
                  </w:r>
                  <w:r w:rsidRPr="008844A7">
                    <w:t xml:space="preserve"> where no member of the IRR Group </w:t>
                  </w:r>
                  <w:r w:rsidR="008844A7">
                    <w:t>was awarded</w:t>
                  </w:r>
                  <w:r w:rsidRPr="008844A7">
                    <w:t xml:space="preserve"> Ancillary Service</w:t>
                  </w:r>
                  <w:r w:rsidRPr="008844A7">
                    <w:rPr>
                      <w:iCs w:val="0"/>
                    </w:rPr>
                    <w:t>.</w:t>
                  </w:r>
                </w:p>
              </w:tc>
            </w:tr>
            <w:tr w:rsidR="00C56A02" w:rsidRPr="00763FB7" w14:paraId="4C3EEC03" w14:textId="77777777" w:rsidTr="001B737D">
              <w:trPr>
                <w:cantSplit/>
                <w:trHeight w:val="152"/>
              </w:trPr>
              <w:tc>
                <w:tcPr>
                  <w:tcW w:w="1975" w:type="dxa"/>
                </w:tcPr>
                <w:p w14:paraId="23DEE45D" w14:textId="77777777" w:rsidR="00C56A02" w:rsidRPr="008844A7" w:rsidDel="00B33B6F" w:rsidRDefault="00C56A02" w:rsidP="00C56A02">
                  <w:pPr>
                    <w:pStyle w:val="TableBody"/>
                    <w:rPr>
                      <w:i/>
                    </w:rPr>
                  </w:pPr>
                  <w:r w:rsidRPr="008844A7">
                    <w:rPr>
                      <w:i/>
                    </w:rPr>
                    <w:t>i</w:t>
                  </w:r>
                </w:p>
              </w:tc>
              <w:tc>
                <w:tcPr>
                  <w:tcW w:w="900" w:type="dxa"/>
                </w:tcPr>
                <w:p w14:paraId="38EB9BE7" w14:textId="77777777" w:rsidR="00C56A02" w:rsidRPr="008844A7" w:rsidDel="00B33B6F" w:rsidRDefault="00C56A02" w:rsidP="00C56A02">
                  <w:pPr>
                    <w:pStyle w:val="TableBody"/>
                  </w:pPr>
                  <w:r w:rsidRPr="008844A7">
                    <w:t>none</w:t>
                  </w:r>
                </w:p>
              </w:tc>
              <w:tc>
                <w:tcPr>
                  <w:tcW w:w="6942" w:type="dxa"/>
                  <w:gridSpan w:val="2"/>
                </w:tcPr>
                <w:p w14:paraId="41C8B7C6" w14:textId="77777777" w:rsidR="00C56A02" w:rsidRPr="008844A7" w:rsidDel="00B33B6F" w:rsidRDefault="00C56A02" w:rsidP="00C56A02">
                  <w:pPr>
                    <w:pStyle w:val="TableBody"/>
                  </w:pPr>
                  <w:r w:rsidRPr="008844A7">
                    <w:t>A 15-minute Settlement Interval.</w:t>
                  </w:r>
                </w:p>
              </w:tc>
            </w:tr>
            <w:tr w:rsidR="00C56A02" w:rsidRPr="00763FB7" w14:paraId="002A2953"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4F11B10" w14:textId="77777777" w:rsidR="00C56A02" w:rsidRPr="008844A7" w:rsidRDefault="00C56A02" w:rsidP="00C56A02">
                  <w:pPr>
                    <w:pStyle w:val="TableBody"/>
                    <w:rPr>
                      <w:i/>
                    </w:rPr>
                  </w:pPr>
                  <w:r w:rsidRPr="008844A7">
                    <w:rPr>
                      <w:i/>
                    </w:rPr>
                    <w:t>y</w:t>
                  </w:r>
                </w:p>
              </w:tc>
              <w:tc>
                <w:tcPr>
                  <w:tcW w:w="900" w:type="dxa"/>
                  <w:tcBorders>
                    <w:top w:val="single" w:sz="4" w:space="0" w:color="auto"/>
                    <w:left w:val="single" w:sz="4" w:space="0" w:color="auto"/>
                    <w:bottom w:val="single" w:sz="4" w:space="0" w:color="auto"/>
                    <w:right w:val="single" w:sz="4" w:space="0" w:color="auto"/>
                  </w:tcBorders>
                </w:tcPr>
                <w:p w14:paraId="50A804D6"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58CE5F48" w14:textId="77777777" w:rsidR="00C56A02" w:rsidRPr="008844A7" w:rsidRDefault="00C56A02" w:rsidP="00C56A02">
                  <w:pPr>
                    <w:pStyle w:val="TableBody"/>
                  </w:pPr>
                  <w:r w:rsidRPr="008844A7">
                    <w:t xml:space="preserve">A five-minute clock interval in the Settlement Interval. </w:t>
                  </w:r>
                </w:p>
              </w:tc>
            </w:tr>
            <w:tr w:rsidR="00C56A02" w:rsidRPr="00763FB7" w14:paraId="4F70B97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C7FF24C" w14:textId="77777777" w:rsidR="00C56A02" w:rsidRPr="008844A7" w:rsidRDefault="00C56A02" w:rsidP="00C56A02">
                  <w:pPr>
                    <w:pStyle w:val="TableBody"/>
                    <w:rPr>
                      <w:i/>
                    </w:rPr>
                  </w:pPr>
                  <w:r w:rsidRPr="008844A7">
                    <w:rPr>
                      <w:i/>
                    </w:rPr>
                    <w:t>wg</w:t>
                  </w:r>
                </w:p>
              </w:tc>
              <w:tc>
                <w:tcPr>
                  <w:tcW w:w="900" w:type="dxa"/>
                  <w:tcBorders>
                    <w:top w:val="single" w:sz="4" w:space="0" w:color="auto"/>
                    <w:left w:val="single" w:sz="4" w:space="0" w:color="auto"/>
                    <w:bottom w:val="single" w:sz="4" w:space="0" w:color="auto"/>
                    <w:right w:val="single" w:sz="4" w:space="0" w:color="auto"/>
                  </w:tcBorders>
                </w:tcPr>
                <w:p w14:paraId="037F40B4"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43E1FB41" w14:textId="77777777" w:rsidR="00C56A02" w:rsidRPr="008844A7" w:rsidRDefault="00C56A02" w:rsidP="00C56A02">
                  <w:pPr>
                    <w:pStyle w:val="TableBody"/>
                  </w:pPr>
                  <w:r w:rsidRPr="008844A7">
                    <w:t>An IRR Group.</w:t>
                  </w:r>
                </w:p>
              </w:tc>
            </w:tr>
          </w:tbl>
          <w:p w14:paraId="747F4A05" w14:textId="77777777" w:rsidR="00C22690" w:rsidRPr="00B37C4B" w:rsidRDefault="00C22690" w:rsidP="001B737D"/>
        </w:tc>
      </w:tr>
    </w:tbl>
    <w:p w14:paraId="5F5AD88D" w14:textId="77777777" w:rsidR="002704CF" w:rsidRDefault="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32075FB"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481795E0" w14:textId="794DDD10" w:rsidR="002704CF" w:rsidRDefault="002704CF" w:rsidP="001B737D">
            <w:pPr>
              <w:pStyle w:val="Instructions"/>
              <w:spacing w:before="120"/>
            </w:pPr>
            <w:r>
              <w:t>[NPRR963</w:t>
            </w:r>
            <w:r w:rsidR="00F64D00">
              <w:t>,</w:t>
            </w:r>
            <w:r w:rsidR="008844A7">
              <w:t xml:space="preserve"> NPRR1010</w:t>
            </w:r>
            <w:r w:rsidR="008F4B78">
              <w:t xml:space="preserve">, </w:t>
            </w:r>
            <w:r w:rsidR="00F64D00">
              <w:t>NPRR1014</w:t>
            </w:r>
            <w:r w:rsidR="008F4B78">
              <w:t xml:space="preserve">, </w:t>
            </w:r>
            <w:r w:rsidR="0030702F">
              <w:t xml:space="preserve">and </w:t>
            </w:r>
            <w:r w:rsidR="008F4B78">
              <w:t>NPRR1029</w:t>
            </w:r>
            <w:r>
              <w:t xml:space="preserve">:  Insert </w:t>
            </w:r>
            <w:r w:rsidR="008844A7">
              <w:t xml:space="preserve">applicable portions of </w:t>
            </w:r>
            <w:r>
              <w:t>Section 6.6.5.5 below upon system implementation</w:t>
            </w:r>
            <w:r w:rsidR="008844A7">
              <w:t xml:space="preserve"> for NPRR963</w:t>
            </w:r>
            <w:r w:rsidR="008F4B78">
              <w:t>,</w:t>
            </w:r>
            <w:r w:rsidR="00F64D00">
              <w:t xml:space="preserve"> NPRR1014</w:t>
            </w:r>
            <w:r w:rsidR="008F4B78">
              <w:t>, and NPRR1029</w:t>
            </w:r>
            <w:r w:rsidR="008844A7">
              <w:t xml:space="preserve">; </w:t>
            </w:r>
            <w:r w:rsidR="0030702F">
              <w:t xml:space="preserve">or </w:t>
            </w:r>
            <w:r w:rsidR="008844A7">
              <w:t>upon sy</w:t>
            </w:r>
            <w:r w:rsidR="0018785B">
              <w:t>s</w:t>
            </w:r>
            <w:r w:rsidR="008844A7">
              <w:t>tem implementation of the Real-Time Co-Optimization (RTC) project for NPRR1010</w:t>
            </w:r>
            <w:r w:rsidR="00045FBB">
              <w:t xml:space="preserve">; </w:t>
            </w:r>
            <w:r w:rsidR="00C215CF">
              <w:t>and renumber accordingly</w:t>
            </w:r>
            <w:r>
              <w:t>:]</w:t>
            </w:r>
          </w:p>
          <w:p w14:paraId="51BFD561" w14:textId="7CF0D08B" w:rsidR="00684DEF" w:rsidRDefault="00684DEF" w:rsidP="00684DEF">
            <w:pPr>
              <w:pStyle w:val="BodyText"/>
              <w:tabs>
                <w:tab w:val="left" w:pos="1230"/>
              </w:tabs>
              <w:spacing w:before="240"/>
              <w:ind w:left="1166" w:hanging="1166"/>
              <w:outlineLvl w:val="3"/>
              <w:rPr>
                <w:b/>
                <w:lang w:val="fr-FR"/>
              </w:rPr>
            </w:pPr>
            <w:bookmarkStart w:id="2203" w:name="_Toc60040700"/>
            <w:bookmarkStart w:id="2204" w:name="_Toc65151759"/>
            <w:bookmarkStart w:id="2205" w:name="_Toc80174785"/>
            <w:bookmarkStart w:id="2206" w:name="_Toc112417665"/>
            <w:bookmarkStart w:id="2207" w:name="_Toc119310334"/>
            <w:bookmarkStart w:id="2208" w:name="_Toc125966267"/>
            <w:bookmarkStart w:id="2209" w:name="_Toc135992365"/>
            <w:bookmarkStart w:id="2210" w:name="_Toc170303561"/>
            <w:bookmarkStart w:id="2211" w:name="_Toc175157465"/>
            <w:bookmarkStart w:id="2212" w:name="_Toc189044438"/>
            <w:r>
              <w:rPr>
                <w:b/>
                <w:lang w:val="fr-FR"/>
              </w:rPr>
              <w:t>6.6.5.5</w:t>
            </w:r>
            <w:r w:rsidRPr="00A87708">
              <w:rPr>
                <w:b/>
                <w:lang w:val="fr-FR"/>
              </w:rPr>
              <w:tab/>
            </w:r>
            <w:r>
              <w:rPr>
                <w:b/>
                <w:lang w:val="fr-FR"/>
              </w:rPr>
              <w:t xml:space="preserve">Energy Storage Resource </w:t>
            </w:r>
            <w:r w:rsidR="008844A7">
              <w:rPr>
                <w:b/>
                <w:lang w:val="fr-FR"/>
              </w:rPr>
              <w:t>Set</w:t>
            </w:r>
            <w:r w:rsidRPr="000468AC">
              <w:rPr>
                <w:b/>
                <w:lang w:val="fr-FR"/>
              </w:rPr>
              <w:t xml:space="preserve"> Point Deviation</w:t>
            </w:r>
            <w:r w:rsidRPr="00A87708">
              <w:rPr>
                <w:b/>
                <w:lang w:val="fr-FR"/>
              </w:rPr>
              <w:t xml:space="preserve"> Charge</w:t>
            </w:r>
            <w:r>
              <w:rPr>
                <w:b/>
                <w:lang w:val="fr-FR"/>
              </w:rPr>
              <w:t xml:space="preserve"> for Over Performance</w:t>
            </w:r>
            <w:bookmarkEnd w:id="2203"/>
            <w:bookmarkEnd w:id="2204"/>
            <w:bookmarkEnd w:id="2205"/>
            <w:bookmarkEnd w:id="2206"/>
            <w:bookmarkEnd w:id="2207"/>
            <w:bookmarkEnd w:id="2208"/>
            <w:bookmarkEnd w:id="2209"/>
            <w:bookmarkEnd w:id="2210"/>
            <w:bookmarkEnd w:id="2211"/>
            <w:bookmarkEnd w:id="2212"/>
          </w:p>
          <w:p w14:paraId="6DFE8C9F" w14:textId="3BFB685F" w:rsidR="0018223C" w:rsidRDefault="00684DEF" w:rsidP="00684DEF">
            <w:pPr>
              <w:pStyle w:val="BodyTextNumbered"/>
            </w:pPr>
            <w:r>
              <w:t>(1)</w:t>
            </w:r>
            <w:r>
              <w:tab/>
              <w:t xml:space="preserve">ERCOT shall charge a QSE for an ESR a </w:t>
            </w:r>
            <w:r w:rsidR="008844A7">
              <w:t>Set</w:t>
            </w:r>
            <w:r>
              <w:t xml:space="preserve"> Point Deviation Charge for over-performance if the telemetered generation </w:t>
            </w:r>
            <w:r w:rsidR="0018223C">
              <w:t>or</w:t>
            </w:r>
            <w:r>
              <w:t xml:space="preserve"> consumption exceeds the </w:t>
            </w:r>
            <w:r w:rsidR="0018223C">
              <w:t>specified</w:t>
            </w:r>
            <w:r>
              <w:t xml:space="preserve"> tolerance.  </w:t>
            </w:r>
          </w:p>
          <w:p w14:paraId="417C784F" w14:textId="241EFCDC" w:rsidR="0018223C" w:rsidRPr="00A552C3" w:rsidRDefault="0018223C" w:rsidP="0018223C">
            <w:pPr>
              <w:pStyle w:val="BodyTextNumbered"/>
            </w:pPr>
            <w:r>
              <w:t>(2)</w:t>
            </w:r>
            <w:r>
              <w:tab/>
            </w:r>
            <w:r w:rsidR="00684DEF">
              <w:t>The tolerance is the greater of</w:t>
            </w:r>
            <w:r>
              <w:t xml:space="preserve"> </w:t>
            </w:r>
            <w:r w:rsidR="00684DEF">
              <w:t xml:space="preserve">3% of the </w:t>
            </w:r>
            <w:r w:rsidR="00757111">
              <w:t>AASP</w:t>
            </w:r>
            <w:r w:rsidR="00684DEF">
              <w:t xml:space="preserve"> for the ESR in the Settlement Interval</w:t>
            </w:r>
            <w:r w:rsidR="008F4B78">
              <w:t>,</w:t>
            </w:r>
            <w:r w:rsidR="00684DEF">
              <w:t xml:space="preserve"> or</w:t>
            </w:r>
            <w:r>
              <w:t xml:space="preserve"> t</w:t>
            </w:r>
            <w:r w:rsidR="00684DEF">
              <w:t xml:space="preserve">hree MW above the </w:t>
            </w:r>
            <w:r w:rsidR="00757111">
              <w:t>AASP</w:t>
            </w:r>
            <w:r w:rsidR="00684DEF">
              <w:t xml:space="preserve"> for the ESR in the Settlement Interval</w:t>
            </w:r>
            <w:r w:rsidRPr="00A552C3">
              <w:t xml:space="preserve"> if the Resource meets the following conditions:</w:t>
            </w:r>
          </w:p>
          <w:p w14:paraId="5F203894" w14:textId="53D74BC7" w:rsidR="0018223C" w:rsidRPr="00A552C3" w:rsidRDefault="0018223C" w:rsidP="0018223C">
            <w:pPr>
              <w:pStyle w:val="BodyTextNumbered"/>
              <w:ind w:left="1440"/>
            </w:pPr>
            <w:r w:rsidRPr="00A552C3">
              <w:t>(a)</w:t>
            </w:r>
            <w:r w:rsidRPr="00A552C3">
              <w:rPr>
                <w:iCs/>
              </w:rPr>
              <w:tab/>
            </w:r>
            <w:r w:rsidRPr="00A552C3">
              <w:t xml:space="preserve">The ESR is not a DC-Coupled Resource; or </w:t>
            </w:r>
          </w:p>
          <w:p w14:paraId="72276359" w14:textId="0582F28E" w:rsidR="0018223C" w:rsidRPr="00A552C3" w:rsidRDefault="0018223C" w:rsidP="0018223C">
            <w:pPr>
              <w:pStyle w:val="BodyTextNumbered"/>
              <w:ind w:left="1440"/>
              <w:rPr>
                <w:iCs/>
              </w:rPr>
            </w:pPr>
            <w:r w:rsidRPr="00A552C3">
              <w:t>(b)</w:t>
            </w:r>
            <w:r w:rsidRPr="00A552C3">
              <w:rPr>
                <w:iCs/>
              </w:rPr>
              <w:tab/>
            </w:r>
            <w:r w:rsidRPr="00A552C3">
              <w:t>The ESR is a DC-</w:t>
            </w:r>
            <w:r w:rsidRPr="00A552C3">
              <w:rPr>
                <w:iCs/>
              </w:rPr>
              <w:t>Coupled</w:t>
            </w:r>
            <w:r w:rsidRPr="00A552C3">
              <w:t xml:space="preserve"> Resource and meets the conditions to be treated in the same manner as an ESR as specified in paragraph (1) of Section 3.8.7, DC-Coupled Resources, anytime during the Settlement Interval. </w:t>
            </w:r>
          </w:p>
          <w:p w14:paraId="1706E658" w14:textId="5BDD5853" w:rsidR="00684DEF" w:rsidRDefault="0018223C" w:rsidP="00FB599C">
            <w:pPr>
              <w:pStyle w:val="BodyTextNumbered"/>
            </w:pPr>
            <w:r w:rsidRPr="00A552C3">
              <w:t>(3)</w:t>
            </w:r>
            <w:r w:rsidRPr="00A552C3">
              <w:rPr>
                <w:iCs/>
              </w:rPr>
              <w:tab/>
            </w:r>
            <w:r w:rsidRPr="00A552C3">
              <w:t>The tolerance</w:t>
            </w:r>
            <w:r w:rsidR="00BA1412">
              <w:t xml:space="preserve"> will be </w:t>
            </w:r>
            <w:r w:rsidR="00045FBB">
              <w:t>5</w:t>
            </w:r>
            <w:r w:rsidR="00BA1412">
              <w:t>% of the AASP for a</w:t>
            </w:r>
            <w:r w:rsidRPr="00A552C3">
              <w:t xml:space="preserve"> DC-Coupled Resource in the Settlement Interval if the ESR meets the conditions </w:t>
            </w:r>
            <w:r w:rsidRPr="00A552C3">
              <w:rPr>
                <w:iCs/>
              </w:rPr>
              <w:t xml:space="preserve">to be treated in the same manner as an IRR as </w:t>
            </w:r>
            <w:r w:rsidRPr="00A552C3">
              <w:t>specified in paragraph (2) of Section 3.8.7</w:t>
            </w:r>
            <w:r w:rsidR="00684DEF">
              <w:t xml:space="preserve">. </w:t>
            </w:r>
          </w:p>
          <w:p w14:paraId="359ED99E" w14:textId="392276BD" w:rsidR="0018223C" w:rsidRPr="00A552C3" w:rsidRDefault="00684DEF" w:rsidP="0018223C">
            <w:pPr>
              <w:pStyle w:val="BodyTextNumbered"/>
              <w:rPr>
                <w:iCs/>
              </w:rPr>
            </w:pPr>
            <w:r w:rsidRPr="000149E5">
              <w:rPr>
                <w:iCs/>
              </w:rPr>
              <w:t>(</w:t>
            </w:r>
            <w:r w:rsidR="0018223C">
              <w:rPr>
                <w:iCs/>
              </w:rPr>
              <w:t>4</w:t>
            </w:r>
            <w:r w:rsidRPr="000149E5">
              <w:rPr>
                <w:iCs/>
              </w:rPr>
              <w:t>)</w:t>
            </w:r>
            <w:r w:rsidRPr="000149E5">
              <w:rPr>
                <w:iCs/>
              </w:rPr>
              <w:tab/>
            </w:r>
            <w:r>
              <w:rPr>
                <w:iCs/>
              </w:rPr>
              <w:t xml:space="preserve">The deviation </w:t>
            </w:r>
            <w:r w:rsidR="0018223C">
              <w:rPr>
                <w:iCs/>
              </w:rPr>
              <w:t>charge</w:t>
            </w:r>
            <w:r>
              <w:rPr>
                <w:iCs/>
              </w:rPr>
              <w:t xml:space="preserve"> for over-performance for each </w:t>
            </w:r>
            <w:r w:rsidR="0018223C">
              <w:rPr>
                <w:iCs/>
              </w:rPr>
              <w:t>QSE</w:t>
            </w:r>
            <w:r>
              <w:rPr>
                <w:iCs/>
              </w:rPr>
              <w:t xml:space="preserve"> for </w:t>
            </w:r>
            <w:r w:rsidR="0018223C">
              <w:rPr>
                <w:iCs/>
              </w:rPr>
              <w:t>each</w:t>
            </w:r>
            <w:r>
              <w:rPr>
                <w:iCs/>
              </w:rPr>
              <w:t xml:space="preserve"> ESR </w:t>
            </w:r>
            <w:r w:rsidR="0018223C" w:rsidRPr="00A552C3">
              <w:rPr>
                <w:iCs/>
              </w:rPr>
              <w:t>at each Resource Node Settlement Point will be calculated</w:t>
            </w:r>
            <w:r w:rsidR="0018223C">
              <w:rPr>
                <w:iCs/>
              </w:rPr>
              <w:t xml:space="preserve"> </w:t>
            </w:r>
            <w:r>
              <w:rPr>
                <w:iCs/>
              </w:rPr>
              <w:t xml:space="preserve">as follows: </w:t>
            </w:r>
          </w:p>
          <w:p w14:paraId="2A0F5AE4" w14:textId="4DF31CB7" w:rsidR="0018223C" w:rsidRPr="00A552C3" w:rsidRDefault="0018223C" w:rsidP="0018223C">
            <w:pPr>
              <w:pStyle w:val="BodyTextNumbered"/>
              <w:rPr>
                <w:b/>
                <w:iCs/>
                <w:lang w:val="pt-BR"/>
              </w:rPr>
            </w:pPr>
            <w:r w:rsidRPr="00A552C3">
              <w:rPr>
                <w:iCs/>
              </w:rPr>
              <w:tab/>
              <w:t xml:space="preserve">If the ESR meets the conditions of paragraph (3) above and </w:t>
            </w:r>
            <w:r w:rsidR="00BA1412">
              <w:rPr>
                <w:iCs/>
              </w:rPr>
              <w:t>a</w:t>
            </w:r>
            <w:r w:rsidRPr="00A552C3">
              <w:rPr>
                <w:iCs/>
              </w:rPr>
              <w:t xml:space="preserve"> flag signifying that the DC-Coupled Resource has received a Base Point below the HDL used by SCED</w:t>
            </w:r>
            <w:r w:rsidR="00045FBB">
              <w:t xml:space="preserve"> or it has been instructed not to exceed its Base Point</w:t>
            </w:r>
            <w:r w:rsidRPr="00A552C3">
              <w:rPr>
                <w:iCs/>
              </w:rPr>
              <w:t xml:space="preserve"> is not set in all SCED intervals within the 15-minute Settlement Interval, then:</w:t>
            </w:r>
            <w:r w:rsidRPr="00A552C3">
              <w:rPr>
                <w:b/>
                <w:iCs/>
                <w:lang w:val="pt-BR"/>
              </w:rPr>
              <w:t xml:space="preserve"> </w:t>
            </w:r>
          </w:p>
          <w:p w14:paraId="2DA80933" w14:textId="77777777" w:rsidR="0018223C" w:rsidRPr="00A552C3" w:rsidRDefault="0018223C" w:rsidP="0018223C">
            <w:pPr>
              <w:spacing w:after="240"/>
              <w:ind w:left="697" w:firstLine="23"/>
              <w:rPr>
                <w:b/>
                <w:iCs/>
              </w:rPr>
            </w:pPr>
            <w:r w:rsidRPr="00A552C3">
              <w:rPr>
                <w:b/>
                <w:iCs/>
                <w:lang w:val="pt-BR"/>
              </w:rPr>
              <w:t>SPDAMT</w:t>
            </w:r>
            <w:r w:rsidRPr="00A552C3">
              <w:rPr>
                <w:b/>
                <w:i/>
                <w:iCs/>
                <w:vertAlign w:val="subscript"/>
                <w:lang w:val="pt-BR"/>
              </w:rPr>
              <w:t xml:space="preserve"> q, r, p, i</w:t>
            </w:r>
            <w:r w:rsidRPr="00A552C3">
              <w:rPr>
                <w:b/>
                <w:iCs/>
                <w:lang w:val="pt-BR"/>
              </w:rPr>
              <w:t xml:space="preserve"> =</w:t>
            </w:r>
            <w:r w:rsidRPr="00A552C3">
              <w:rPr>
                <w:b/>
                <w:iCs/>
                <w:lang w:val="pt-BR"/>
              </w:rPr>
              <w:tab/>
            </w:r>
            <w:r w:rsidRPr="00A552C3">
              <w:rPr>
                <w:b/>
                <w:iCs/>
              </w:rPr>
              <w:t>0</w:t>
            </w:r>
          </w:p>
          <w:p w14:paraId="2275C52B" w14:textId="77777777" w:rsidR="0018223C" w:rsidRPr="00A552C3" w:rsidRDefault="0018223C" w:rsidP="0018223C">
            <w:pPr>
              <w:spacing w:after="240"/>
              <w:ind w:left="697" w:firstLine="23"/>
              <w:rPr>
                <w:i/>
                <w:iCs/>
                <w:vertAlign w:val="subscript"/>
              </w:rPr>
            </w:pPr>
            <w:r w:rsidRPr="00A552C3">
              <w:rPr>
                <w:iCs/>
              </w:rPr>
              <w:t xml:space="preserve">Otherwise: </w:t>
            </w:r>
          </w:p>
          <w:p w14:paraId="1175B3D5" w14:textId="7A31F48B" w:rsidR="00684DEF" w:rsidRPr="002401F7" w:rsidRDefault="0018223C" w:rsidP="00684DEF">
            <w:pPr>
              <w:pStyle w:val="BodyTextNumbered"/>
              <w:ind w:left="1440"/>
              <w:rPr>
                <w:b/>
                <w:i/>
                <w:vertAlign w:val="subscript"/>
              </w:rPr>
            </w:pPr>
            <w:r>
              <w:rPr>
                <w:b/>
                <w:lang w:val="pt-BR"/>
              </w:rPr>
              <w:t>S</w:t>
            </w:r>
            <w:r w:rsidR="00684DEF" w:rsidRPr="002401F7">
              <w:rPr>
                <w:b/>
                <w:lang w:val="pt-BR"/>
              </w:rPr>
              <w:t>PDAMT</w:t>
            </w:r>
            <w:r w:rsidR="00684DEF" w:rsidRPr="00AF0A36">
              <w:rPr>
                <w:b/>
                <w:i/>
                <w:vertAlign w:val="subscript"/>
                <w:lang w:val="pt-BR"/>
              </w:rPr>
              <w:t xml:space="preserve"> q, r, p, i</w:t>
            </w:r>
            <w:r w:rsidR="00684DEF" w:rsidRPr="002401F7">
              <w:rPr>
                <w:b/>
                <w:lang w:val="pt-BR"/>
              </w:rPr>
              <w:t xml:space="preserve"> =</w:t>
            </w:r>
            <w:r w:rsidR="00684DEF" w:rsidRPr="002401F7">
              <w:rPr>
                <w:b/>
                <w:lang w:val="pt-BR"/>
              </w:rPr>
              <w:tab/>
            </w:r>
            <w:r w:rsidR="00684DEF" w:rsidRPr="002401F7">
              <w:rPr>
                <w:b/>
              </w:rPr>
              <w:t xml:space="preserve">Max (PR3, RTSPP </w:t>
            </w:r>
            <w:r w:rsidR="00684DEF" w:rsidRPr="002401F7">
              <w:rPr>
                <w:b/>
                <w:i/>
                <w:vertAlign w:val="subscript"/>
              </w:rPr>
              <w:t>p, i</w:t>
            </w:r>
            <w:r w:rsidR="00684DEF" w:rsidRPr="002401F7">
              <w:rPr>
                <w:b/>
              </w:rPr>
              <w:t>) * OPESR</w:t>
            </w:r>
            <w:r w:rsidR="00684DEF" w:rsidRPr="002401F7">
              <w:rPr>
                <w:b/>
                <w:sz w:val="18"/>
                <w:szCs w:val="18"/>
                <w:vertAlign w:val="subscript"/>
              </w:rPr>
              <w:t xml:space="preserve"> </w:t>
            </w:r>
            <w:r w:rsidR="00684DEF" w:rsidRPr="002401F7">
              <w:rPr>
                <w:b/>
                <w:i/>
                <w:vertAlign w:val="subscript"/>
              </w:rPr>
              <w:t>q, r, p, i</w:t>
            </w:r>
          </w:p>
          <w:p w14:paraId="6B809D29" w14:textId="77777777" w:rsidR="00684DEF" w:rsidRDefault="00684DEF" w:rsidP="00684DEF">
            <w:pPr>
              <w:pStyle w:val="BodyTextNumbered"/>
              <w:ind w:left="1440"/>
              <w:rPr>
                <w:lang w:val="pt-BR"/>
              </w:rPr>
            </w:pPr>
            <w:r>
              <w:rPr>
                <w:lang w:val="pt-BR"/>
              </w:rPr>
              <w:t xml:space="preserve">Where: </w:t>
            </w:r>
          </w:p>
          <w:p w14:paraId="4543450E" w14:textId="77777777" w:rsidR="0018223C" w:rsidRPr="00A552C3" w:rsidRDefault="0018223C" w:rsidP="0018223C">
            <w:pPr>
              <w:spacing w:after="240"/>
              <w:ind w:left="1440" w:hanging="720"/>
              <w:rPr>
                <w:lang w:val="pt-BR"/>
              </w:rPr>
            </w:pPr>
            <w:r w:rsidRPr="00A552C3">
              <w:rPr>
                <w:iCs/>
                <w:lang w:val="pt-BR"/>
              </w:rPr>
              <w:lastRenderedPageBreak/>
              <w:t xml:space="preserve">If the ESR meets the conditions of paragraph (2) above, then: </w:t>
            </w:r>
          </w:p>
          <w:p w14:paraId="401A233C" w14:textId="02443CFE" w:rsidR="00684DEF" w:rsidRPr="00507A9C" w:rsidRDefault="00684DEF" w:rsidP="00684DEF">
            <w:pPr>
              <w:pStyle w:val="BodyTextNumbered"/>
              <w:ind w:left="2880" w:hanging="2160"/>
              <w:rPr>
                <w:lang w:val="pt-BR"/>
              </w:rPr>
            </w:pPr>
            <w:r>
              <w:t>OPESR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w:t>
            </w:r>
            <w:r w:rsidR="0018223C">
              <w:t xml:space="preserve">TWTG </w:t>
            </w:r>
            <w:r>
              <w:rPr>
                <w:i/>
                <w:vertAlign w:val="subscript"/>
              </w:rPr>
              <w:t xml:space="preserve">q, </w:t>
            </w:r>
            <w:r w:rsidR="0018223C">
              <w:rPr>
                <w:i/>
                <w:vertAlign w:val="subscript"/>
              </w:rPr>
              <w:t>r</w:t>
            </w:r>
            <w:r w:rsidRPr="00A261C3">
              <w:rPr>
                <w:i/>
                <w:vertAlign w:val="subscript"/>
              </w:rPr>
              <w:t>,</w:t>
            </w:r>
            <w:r w:rsidR="0018223C">
              <w:rPr>
                <w:i/>
                <w:vertAlign w:val="subscript"/>
              </w:rPr>
              <w:t xml:space="preserve"> p,</w:t>
            </w:r>
            <w:r w:rsidRPr="00A261C3">
              <w:rPr>
                <w:i/>
                <w:vertAlign w:val="subscript"/>
              </w:rPr>
              <w:t xml:space="preserve"> i</w:t>
            </w:r>
            <w:r>
              <w:rPr>
                <w:i/>
                <w:vertAlign w:val="subscript"/>
              </w:rPr>
              <w:t xml:space="preserve"> </w:t>
            </w:r>
            <w:r>
              <w:t>– ¼ * Max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 xml:space="preserve">, </w:t>
            </w:r>
            <w:r>
              <w:rPr>
                <w:i/>
                <w:vertAlign w:val="subscript"/>
                <w:lang w:val="pt-BR"/>
              </w:rPr>
              <w:t>p,</w:t>
            </w:r>
            <w:r w:rsidR="00135A7D">
              <w:rPr>
                <w:i/>
                <w:vertAlign w:val="subscript"/>
                <w:lang w:val="pt-BR"/>
              </w:rPr>
              <w:t xml:space="preserve"> </w:t>
            </w:r>
            <w:r w:rsidRPr="00A261C3">
              <w:rPr>
                <w:i/>
                <w:vertAlign w:val="subscript"/>
                <w:lang w:val="pt-BR"/>
              </w:rPr>
              <w:t>i</w:t>
            </w:r>
            <w:r>
              <w:rPr>
                <w:i/>
                <w:vertAlign w:val="subscript"/>
                <w:lang w:val="pt-BR"/>
              </w:rPr>
              <w:t xml:space="preserve">  </w:t>
            </w:r>
            <w:r w:rsidRPr="00507A9C">
              <w:rPr>
                <w:i/>
                <w:lang w:val="pt-BR"/>
              </w:rPr>
              <w:t>+</w:t>
            </w:r>
            <w:r>
              <w:rPr>
                <w:lang w:val="pt-BR"/>
              </w:rPr>
              <w:t xml:space="preserve"> ABS </w:t>
            </w:r>
            <w:r>
              <w:t>(K3*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sidRPr="00507A9C">
              <w:rPr>
                <w:lang w:val="pt-BR"/>
              </w:rPr>
              <w:t>)</w:t>
            </w:r>
            <w:r>
              <w:rPr>
                <w:lang w:val="pt-BR"/>
              </w:rPr>
              <w:t>)</w:t>
            </w:r>
            <w:r w:rsidRPr="00507A9C">
              <w:rPr>
                <w:i/>
                <w:lang w:val="pt-BR"/>
              </w:rPr>
              <w:t>,</w:t>
            </w:r>
            <w:r>
              <w:t xml:space="preserve">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Pr>
                <w:i/>
                <w:vertAlign w:val="subscript"/>
                <w:lang w:val="pt-BR"/>
              </w:rPr>
              <w:t xml:space="preserve"> </w:t>
            </w:r>
            <w:r>
              <w:rPr>
                <w:lang w:val="pt-BR"/>
              </w:rPr>
              <w:t xml:space="preserve">+ Q3)])] </w:t>
            </w:r>
          </w:p>
          <w:p w14:paraId="6B7673E1" w14:textId="2903C47B" w:rsidR="0018223C" w:rsidRPr="00A552C3" w:rsidRDefault="00AF0A36" w:rsidP="00FB599C">
            <w:pPr>
              <w:tabs>
                <w:tab w:val="left" w:pos="2340"/>
                <w:tab w:val="left" w:pos="3420"/>
              </w:tabs>
              <w:spacing w:after="240"/>
              <w:ind w:left="2340" w:hangingChars="975" w:hanging="2340"/>
              <w:rPr>
                <w:iCs/>
                <w:lang w:val="es-ES"/>
              </w:rPr>
            </w:pPr>
            <w:r>
              <w:rPr>
                <w:lang w:val="es-ES"/>
              </w:rPr>
              <w:t xml:space="preserve">          </w:t>
            </w:r>
            <w:r w:rsidR="0018223C" w:rsidRPr="00A552C3">
              <w:rPr>
                <w:iCs/>
                <w:lang w:val="es-ES"/>
              </w:rPr>
              <w:t>If the ESR meets the conditions of paragraph (3) above,</w:t>
            </w:r>
            <w:r w:rsidR="0018223C" w:rsidRPr="00A552C3">
              <w:rPr>
                <w:iCs/>
              </w:rPr>
              <w:t xml:space="preserve"> </w:t>
            </w:r>
            <w:r w:rsidR="0018223C" w:rsidRPr="00A552C3">
              <w:rPr>
                <w:iCs/>
                <w:lang w:val="es-ES"/>
              </w:rPr>
              <w:t xml:space="preserve">then: </w:t>
            </w:r>
          </w:p>
          <w:p w14:paraId="3A487593" w14:textId="2318186E" w:rsidR="0018223C" w:rsidRPr="00A552C3" w:rsidRDefault="0018223C" w:rsidP="0018223C">
            <w:pPr>
              <w:spacing w:after="240"/>
              <w:ind w:left="2880" w:hanging="2160"/>
              <w:rPr>
                <w:iCs/>
                <w:lang w:val="pt-BR"/>
              </w:rPr>
            </w:pPr>
            <w:r w:rsidRPr="00A552C3">
              <w:rPr>
                <w:iCs/>
              </w:rPr>
              <w:t>OPESR</w:t>
            </w:r>
            <w:r w:rsidRPr="00A552C3">
              <w:rPr>
                <w:i/>
                <w:iCs/>
                <w:vertAlign w:val="subscript"/>
              </w:rPr>
              <w:t xml:space="preserve"> q, r, p, i </w:t>
            </w:r>
            <w:r w:rsidRPr="00A552C3">
              <w:rPr>
                <w:iCs/>
              </w:rPr>
              <w:t xml:space="preserve">    = </w:t>
            </w:r>
            <w:r w:rsidRPr="00A552C3">
              <w:rPr>
                <w:iCs/>
              </w:rPr>
              <w:tab/>
              <w:t xml:space="preserve">Max [0, (TWTG </w:t>
            </w:r>
            <w:r w:rsidRPr="00A552C3">
              <w:rPr>
                <w:i/>
                <w:iCs/>
                <w:vertAlign w:val="subscript"/>
              </w:rPr>
              <w:t>q, r,</w:t>
            </w:r>
            <w:r>
              <w:rPr>
                <w:i/>
                <w:iCs/>
                <w:vertAlign w:val="subscript"/>
              </w:rPr>
              <w:t xml:space="preserve"> </w:t>
            </w:r>
            <w:r w:rsidRPr="00A552C3">
              <w:rPr>
                <w:i/>
                <w:iCs/>
                <w:vertAlign w:val="subscript"/>
              </w:rPr>
              <w:t xml:space="preserve">p, i </w:t>
            </w:r>
            <w:r w:rsidRPr="00A552C3">
              <w:rPr>
                <w:iCs/>
              </w:rPr>
              <w:t>– ¼ * (AASP</w:t>
            </w:r>
            <w:r w:rsidRPr="00A552C3">
              <w:rPr>
                <w:i/>
                <w:iCs/>
                <w:vertAlign w:val="subscript"/>
                <w:lang w:val="pt-BR"/>
              </w:rPr>
              <w:t xml:space="preserve"> q, r, p,</w:t>
            </w:r>
            <w:r w:rsidR="0018785B">
              <w:rPr>
                <w:i/>
                <w:iCs/>
                <w:vertAlign w:val="subscript"/>
                <w:lang w:val="pt-BR"/>
              </w:rPr>
              <w:t xml:space="preserve"> </w:t>
            </w:r>
            <w:r w:rsidRPr="00A552C3">
              <w:rPr>
                <w:i/>
                <w:iCs/>
                <w:vertAlign w:val="subscript"/>
                <w:lang w:val="pt-BR"/>
              </w:rPr>
              <w:t xml:space="preserve">i  </w:t>
            </w:r>
            <w:r w:rsidRPr="00A552C3">
              <w:rPr>
                <w:i/>
                <w:iCs/>
                <w:lang w:val="pt-BR"/>
              </w:rPr>
              <w:t>+</w:t>
            </w:r>
            <w:r w:rsidRPr="00A552C3">
              <w:rPr>
                <w:iCs/>
                <w:lang w:val="pt-BR"/>
              </w:rPr>
              <w:t xml:space="preserve"> ABS </w:t>
            </w:r>
            <w:r w:rsidRPr="00A552C3">
              <w:rPr>
                <w:iCs/>
              </w:rPr>
              <w:t>(K5* AASP</w:t>
            </w:r>
            <w:r w:rsidRPr="00A552C3">
              <w:rPr>
                <w:i/>
                <w:iCs/>
                <w:vertAlign w:val="subscript"/>
                <w:lang w:val="pt-BR"/>
              </w:rPr>
              <w:t xml:space="preserve"> q, r,</w:t>
            </w:r>
            <w:r>
              <w:rPr>
                <w:i/>
                <w:iCs/>
                <w:vertAlign w:val="subscript"/>
                <w:lang w:val="pt-BR"/>
              </w:rPr>
              <w:t xml:space="preserve"> </w:t>
            </w:r>
            <w:r w:rsidRPr="00A552C3">
              <w:rPr>
                <w:i/>
                <w:iCs/>
                <w:vertAlign w:val="subscript"/>
                <w:lang w:val="pt-BR"/>
              </w:rPr>
              <w:t>p, i</w:t>
            </w:r>
            <w:r w:rsidRPr="00A552C3">
              <w:rPr>
                <w:iCs/>
                <w:lang w:val="pt-BR"/>
              </w:rPr>
              <w:t>)))]</w:t>
            </w:r>
          </w:p>
          <w:p w14:paraId="08D3658B" w14:textId="77777777" w:rsidR="0018223C" w:rsidRPr="00A552C3" w:rsidRDefault="0018223C" w:rsidP="0018223C">
            <w:pPr>
              <w:tabs>
                <w:tab w:val="left" w:pos="2340"/>
                <w:tab w:val="left" w:pos="3420"/>
              </w:tabs>
              <w:spacing w:after="240"/>
              <w:ind w:left="2340" w:hangingChars="975" w:hanging="2340"/>
              <w:rPr>
                <w:lang w:val="es-ES"/>
              </w:rPr>
            </w:pPr>
            <w:r w:rsidRPr="00A552C3">
              <w:rPr>
                <w:lang w:val="es-ES"/>
              </w:rPr>
              <w:t xml:space="preserve">           Where:</w:t>
            </w:r>
          </w:p>
          <w:p w14:paraId="6B5EA402" w14:textId="77777777" w:rsidR="00684DEF" w:rsidRPr="00507A9C" w:rsidRDefault="00684DEF" w:rsidP="00684DEF">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507A9C">
              <w:rPr>
                <w:i/>
              </w:rPr>
              <w:t xml:space="preserve">= </w:t>
            </w:r>
            <w:r w:rsidRPr="009C51D8">
              <w:rPr>
                <w:i/>
                <w:vertAlign w:val="subscript"/>
              </w:rPr>
              <w:t xml:space="preserve">     </w:t>
            </w:r>
            <w:r w:rsidRPr="009C51D8">
              <w:t xml:space="preserve"> (</w:t>
            </w:r>
            <w:r w:rsidRPr="009C51D8">
              <w:rPr>
                <w:position w:val="-22"/>
              </w:rPr>
              <w:object w:dxaOrig="210" w:dyaOrig="450" w14:anchorId="66F4A08B">
                <v:shape id="_x0000_i1193" type="#_x0000_t75" style="width:6pt;height:24pt" o:ole="">
                  <v:imagedata r:id="rId208" o:title=""/>
                </v:shape>
                <o:OLEObject Type="Embed" ProgID="Equation.3" ShapeID="_x0000_i1193" DrawAspect="Content" ObjectID="_1804653678" r:id="rId225"/>
              </w:object>
            </w:r>
            <w:r w:rsidRPr="009C51D8">
              <w:t xml:space="preserve"> (AVGTG5M</w:t>
            </w:r>
            <w:r w:rsidRPr="009C51D8">
              <w:rPr>
                <w:i/>
                <w:vertAlign w:val="subscript"/>
              </w:rPr>
              <w:t xml:space="preserve"> q, r, p, i, y</w:t>
            </w:r>
            <w:r w:rsidRPr="009C51D8">
              <w:t>) / 3) * ¼</w:t>
            </w:r>
          </w:p>
          <w:p w14:paraId="28C6C774" w14:textId="77777777" w:rsidR="00684DEF" w:rsidRDefault="00684DEF" w:rsidP="00684DEF">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C5B01" w:rsidRPr="00B2348D" w14:paraId="372B2362" w14:textId="77777777" w:rsidTr="001B737D">
              <w:trPr>
                <w:cantSplit/>
                <w:tblHeader/>
              </w:trPr>
              <w:tc>
                <w:tcPr>
                  <w:tcW w:w="1776" w:type="dxa"/>
                </w:tcPr>
                <w:p w14:paraId="6427EAFB" w14:textId="77777777" w:rsidR="008C5B01" w:rsidRPr="00B2348D" w:rsidRDefault="008C5B01" w:rsidP="008C5B01">
                  <w:pPr>
                    <w:pStyle w:val="TableHead"/>
                    <w:tabs>
                      <w:tab w:val="right" w:pos="9360"/>
                    </w:tabs>
                  </w:pPr>
                  <w:r w:rsidRPr="006624C0">
                    <w:t>Variable</w:t>
                  </w:r>
                </w:p>
              </w:tc>
              <w:tc>
                <w:tcPr>
                  <w:tcW w:w="892" w:type="dxa"/>
                </w:tcPr>
                <w:p w14:paraId="6A6E9ABD" w14:textId="77777777" w:rsidR="008C5B01" w:rsidRPr="00B2348D" w:rsidRDefault="008C5B01" w:rsidP="008C5B01">
                  <w:pPr>
                    <w:pStyle w:val="TableHead"/>
                    <w:tabs>
                      <w:tab w:val="right" w:pos="9360"/>
                    </w:tabs>
                  </w:pPr>
                  <w:r w:rsidRPr="006624C0">
                    <w:t>Unit</w:t>
                  </w:r>
                </w:p>
              </w:tc>
              <w:tc>
                <w:tcPr>
                  <w:tcW w:w="6695" w:type="dxa"/>
                </w:tcPr>
                <w:p w14:paraId="303332A8" w14:textId="77777777" w:rsidR="008C5B01" w:rsidRPr="00B2348D" w:rsidRDefault="008C5B01" w:rsidP="008C5B01">
                  <w:pPr>
                    <w:pStyle w:val="TableHead"/>
                    <w:tabs>
                      <w:tab w:val="right" w:pos="9360"/>
                    </w:tabs>
                  </w:pPr>
                  <w:r w:rsidRPr="006624C0">
                    <w:t>Definition</w:t>
                  </w:r>
                </w:p>
              </w:tc>
            </w:tr>
            <w:tr w:rsidR="008C5B01" w:rsidRPr="00B2348D" w14:paraId="55897F56" w14:textId="77777777" w:rsidTr="001B737D">
              <w:trPr>
                <w:cantSplit/>
              </w:trPr>
              <w:tc>
                <w:tcPr>
                  <w:tcW w:w="1776" w:type="dxa"/>
                </w:tcPr>
                <w:p w14:paraId="0CF943F7" w14:textId="1095769B" w:rsidR="008C5B01" w:rsidRPr="00B2348D" w:rsidRDefault="00757111" w:rsidP="008C5B01">
                  <w:pPr>
                    <w:pStyle w:val="TableBody"/>
                  </w:pPr>
                  <w:r>
                    <w:t>S</w:t>
                  </w:r>
                  <w:r w:rsidR="008C5B01" w:rsidRPr="006624C0">
                    <w:t xml:space="preserve">PDAMT </w:t>
                  </w:r>
                  <w:r w:rsidR="008C5B01" w:rsidRPr="006624C0">
                    <w:rPr>
                      <w:i/>
                      <w:vertAlign w:val="subscript"/>
                    </w:rPr>
                    <w:t>q, r, p, i</w:t>
                  </w:r>
                </w:p>
              </w:tc>
              <w:tc>
                <w:tcPr>
                  <w:tcW w:w="892" w:type="dxa"/>
                </w:tcPr>
                <w:p w14:paraId="51B11AA5" w14:textId="77777777" w:rsidR="008C5B01" w:rsidRPr="00B2348D" w:rsidRDefault="008C5B01" w:rsidP="008C5B01">
                  <w:pPr>
                    <w:pStyle w:val="TableBody"/>
                  </w:pPr>
                  <w:r w:rsidRPr="006624C0">
                    <w:t>$</w:t>
                  </w:r>
                </w:p>
              </w:tc>
              <w:tc>
                <w:tcPr>
                  <w:tcW w:w="6695" w:type="dxa"/>
                </w:tcPr>
                <w:p w14:paraId="12580376" w14:textId="27966BF3" w:rsidR="008C5B01" w:rsidRPr="00B2348D" w:rsidRDefault="00757111" w:rsidP="00D24997">
                  <w:pPr>
                    <w:pStyle w:val="TableBody"/>
                  </w:pPr>
                  <w:r>
                    <w:rPr>
                      <w:i/>
                    </w:rPr>
                    <w:t>Set</w:t>
                  </w:r>
                  <w:r w:rsidR="008C5B01" w:rsidRPr="006624C0">
                    <w:rPr>
                      <w:i/>
                    </w:rPr>
                    <w:t xml:space="preserve"> Point Deviation Charge per QSE per Settlement Point per Resource</w:t>
                  </w:r>
                  <w:r w:rsidR="008C5B01" w:rsidRPr="006624C0">
                    <w:t xml:space="preserve">—The charge to QSE </w:t>
                  </w:r>
                  <w:r w:rsidR="008C5B01" w:rsidRPr="006624C0">
                    <w:rPr>
                      <w:i/>
                    </w:rPr>
                    <w:t>q</w:t>
                  </w:r>
                  <w:r w:rsidR="008C5B01" w:rsidRPr="006624C0">
                    <w:t xml:space="preserve"> for </w:t>
                  </w:r>
                  <w:r w:rsidR="008C5B01">
                    <w:t xml:space="preserve">Resource </w:t>
                  </w:r>
                  <w:r w:rsidR="008C5B01">
                    <w:rPr>
                      <w:i/>
                    </w:rPr>
                    <w:t xml:space="preserve">r </w:t>
                  </w:r>
                  <w:r w:rsidR="008C5B01" w:rsidRPr="006624C0">
                    <w:t xml:space="preserve">at Resource Node </w:t>
                  </w:r>
                  <w:r w:rsidR="008C5B01" w:rsidRPr="006624C0">
                    <w:rPr>
                      <w:i/>
                    </w:rPr>
                    <w:t>p</w:t>
                  </w:r>
                  <w:r w:rsidR="008C5B01" w:rsidRPr="006624C0">
                    <w:t xml:space="preserve">, for its deviation from </w:t>
                  </w:r>
                  <w:r>
                    <w:t>AASP</w:t>
                  </w:r>
                  <w:r w:rsidR="008C5B01" w:rsidRPr="006624C0">
                    <w:t xml:space="preserve">, for the 15-minute Settlement Interval </w:t>
                  </w:r>
                  <w:r w:rsidR="008C5B01" w:rsidRPr="006624C0">
                    <w:rPr>
                      <w:i/>
                    </w:rPr>
                    <w:t>i</w:t>
                  </w:r>
                  <w:r w:rsidR="008C5B01" w:rsidRPr="006624C0">
                    <w:t xml:space="preserve">.  </w:t>
                  </w:r>
                </w:p>
              </w:tc>
            </w:tr>
            <w:tr w:rsidR="008C5B01" w:rsidRPr="00B2348D" w14:paraId="6EA6150F" w14:textId="77777777" w:rsidTr="001B737D">
              <w:trPr>
                <w:cantSplit/>
              </w:trPr>
              <w:tc>
                <w:tcPr>
                  <w:tcW w:w="1776" w:type="dxa"/>
                </w:tcPr>
                <w:p w14:paraId="16E6EC4C" w14:textId="77777777" w:rsidR="008C5B01" w:rsidRPr="00B2348D" w:rsidRDefault="008C5B01" w:rsidP="008C5B01">
                  <w:pPr>
                    <w:pStyle w:val="TableBody"/>
                  </w:pPr>
                  <w:r w:rsidRPr="006624C0">
                    <w:t xml:space="preserve">RTSPP </w:t>
                  </w:r>
                  <w:r w:rsidRPr="006624C0">
                    <w:rPr>
                      <w:i/>
                      <w:vertAlign w:val="subscript"/>
                    </w:rPr>
                    <w:t>p, i</w:t>
                  </w:r>
                </w:p>
              </w:tc>
              <w:tc>
                <w:tcPr>
                  <w:tcW w:w="892" w:type="dxa"/>
                </w:tcPr>
                <w:p w14:paraId="3403E239" w14:textId="77777777" w:rsidR="008C5B01" w:rsidRPr="00B2348D" w:rsidRDefault="008C5B01" w:rsidP="008C5B01">
                  <w:pPr>
                    <w:pStyle w:val="TableBody"/>
                  </w:pPr>
                  <w:r w:rsidRPr="006624C0">
                    <w:t>$/MWh</w:t>
                  </w:r>
                </w:p>
              </w:tc>
              <w:tc>
                <w:tcPr>
                  <w:tcW w:w="6695" w:type="dxa"/>
                </w:tcPr>
                <w:p w14:paraId="140A6A8B" w14:textId="77777777" w:rsidR="008C5B01" w:rsidRPr="00B2348D" w:rsidRDefault="008C5B01" w:rsidP="008C5B01">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8C5B01" w:rsidRPr="00B2348D" w14:paraId="0FB6BF52" w14:textId="77777777" w:rsidTr="001B737D">
              <w:trPr>
                <w:cantSplit/>
              </w:trPr>
              <w:tc>
                <w:tcPr>
                  <w:tcW w:w="1776" w:type="dxa"/>
                </w:tcPr>
                <w:p w14:paraId="0CA1C4FA" w14:textId="77777777" w:rsidR="008C5B01" w:rsidRPr="00B2348D" w:rsidRDefault="008C5B01" w:rsidP="008C5B01">
                  <w:pPr>
                    <w:pStyle w:val="TableBody"/>
                  </w:pPr>
                  <w:r w:rsidRPr="00B2348D">
                    <w:t xml:space="preserve">TWTG </w:t>
                  </w:r>
                  <w:r w:rsidRPr="006624C0">
                    <w:rPr>
                      <w:i/>
                      <w:vertAlign w:val="subscript"/>
                    </w:rPr>
                    <w:t>q, r, p, i</w:t>
                  </w:r>
                </w:p>
              </w:tc>
              <w:tc>
                <w:tcPr>
                  <w:tcW w:w="892" w:type="dxa"/>
                </w:tcPr>
                <w:p w14:paraId="350E675D" w14:textId="77777777" w:rsidR="008C5B01" w:rsidRPr="00B2348D" w:rsidRDefault="008C5B01" w:rsidP="008C5B01">
                  <w:pPr>
                    <w:pStyle w:val="TableBody"/>
                  </w:pPr>
                  <w:r w:rsidRPr="00B2348D">
                    <w:t>MWh</w:t>
                  </w:r>
                </w:p>
              </w:tc>
              <w:tc>
                <w:tcPr>
                  <w:tcW w:w="6695" w:type="dxa"/>
                </w:tcPr>
                <w:p w14:paraId="04A02BA3" w14:textId="50B7FF73" w:rsidR="008C5B01" w:rsidRPr="00B2348D" w:rsidRDefault="008C5B01" w:rsidP="00D24997">
                  <w:pPr>
                    <w:pStyle w:val="TableBody"/>
                    <w:rPr>
                      <w:i/>
                    </w:rPr>
                  </w:pPr>
                  <w:r w:rsidRPr="00B2348D">
                    <w:rPr>
                      <w:i/>
                    </w:rPr>
                    <w:t>Time-Weighted Telemetered Generation per QSE per Settlement Point per Resource</w:t>
                  </w:r>
                  <w:r w:rsidRPr="00B2348D">
                    <w:t xml:space="preserve">—The telemetered generation </w:t>
                  </w:r>
                  <w:r w:rsidR="0018223C">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8C5B01" w:rsidRPr="00B2348D" w14:paraId="4122D05B" w14:textId="77777777" w:rsidTr="001B737D">
              <w:trPr>
                <w:cantSplit/>
              </w:trPr>
              <w:tc>
                <w:tcPr>
                  <w:tcW w:w="1776" w:type="dxa"/>
                </w:tcPr>
                <w:p w14:paraId="70D65B9E" w14:textId="3DCFC521" w:rsidR="008C5B01" w:rsidRPr="00B2348D" w:rsidRDefault="008C5B01" w:rsidP="00757111">
                  <w:pPr>
                    <w:pStyle w:val="TableBody"/>
                  </w:pPr>
                  <w:r w:rsidRPr="00B2348D">
                    <w:t>AA</w:t>
                  </w:r>
                  <w:r w:rsidR="00757111">
                    <w:t>S</w:t>
                  </w:r>
                  <w:r w:rsidRPr="00B2348D">
                    <w:t>P</w:t>
                  </w:r>
                  <w:r>
                    <w:t xml:space="preserve"> </w:t>
                  </w:r>
                  <w:r w:rsidRPr="006624C0">
                    <w:rPr>
                      <w:i/>
                      <w:vertAlign w:val="subscript"/>
                    </w:rPr>
                    <w:t>q, r, p, i</w:t>
                  </w:r>
                </w:p>
              </w:tc>
              <w:tc>
                <w:tcPr>
                  <w:tcW w:w="892" w:type="dxa"/>
                </w:tcPr>
                <w:p w14:paraId="6A85AA64" w14:textId="77777777" w:rsidR="008C5B01" w:rsidRPr="00B2348D" w:rsidRDefault="008C5B01" w:rsidP="008C5B01">
                  <w:pPr>
                    <w:pStyle w:val="TableBody"/>
                  </w:pPr>
                  <w:r w:rsidRPr="00B2348D">
                    <w:t>MW</w:t>
                  </w:r>
                </w:p>
              </w:tc>
              <w:tc>
                <w:tcPr>
                  <w:tcW w:w="6695" w:type="dxa"/>
                </w:tcPr>
                <w:p w14:paraId="24E6B10C" w14:textId="15C0AC77" w:rsidR="008C5B01" w:rsidRPr="00B2348D" w:rsidRDefault="00757111" w:rsidP="00D24997">
                  <w:pPr>
                    <w:pStyle w:val="TableBody"/>
                    <w:rPr>
                      <w:i/>
                    </w:rPr>
                  </w:pPr>
                  <w:r>
                    <w:rPr>
                      <w:i/>
                    </w:rPr>
                    <w:t>Average</w:t>
                  </w:r>
                  <w:r w:rsidR="008C5B01" w:rsidRPr="00B2348D">
                    <w:rPr>
                      <w:i/>
                    </w:rPr>
                    <w:t xml:space="preserve"> Aggregated </w:t>
                  </w:r>
                  <w:r>
                    <w:rPr>
                      <w:i/>
                    </w:rPr>
                    <w:t>Set</w:t>
                  </w:r>
                  <w:r w:rsidR="008C5B01" w:rsidRPr="00B2348D">
                    <w:rPr>
                      <w:i/>
                    </w:rPr>
                    <w:t xml:space="preserve"> Point per QSE per Settlement Point per Resource</w:t>
                  </w:r>
                  <w:r w:rsidR="008C5B01" w:rsidRPr="00B2348D">
                    <w:t xml:space="preserve">—The </w:t>
                  </w:r>
                  <w:r>
                    <w:rPr>
                      <w:iCs w:val="0"/>
                    </w:rPr>
                    <w:t>average of the Average Five Minute Clock Interval Set Point (AVGSP5M)</w:t>
                  </w:r>
                  <w:r w:rsidR="008C5B01" w:rsidRPr="00B2348D">
                    <w:t xml:space="preserve"> of </w:t>
                  </w:r>
                  <w:r w:rsidR="008C5B01">
                    <w:t xml:space="preserve">Resource </w:t>
                  </w:r>
                  <w:r w:rsidR="008C5B01" w:rsidRPr="00B2348D">
                    <w:rPr>
                      <w:i/>
                    </w:rPr>
                    <w:t>r</w:t>
                  </w:r>
                  <w:r w:rsidR="008C5B01" w:rsidRPr="00B2348D">
                    <w:t xml:space="preserve"> represented by QSE </w:t>
                  </w:r>
                  <w:r w:rsidR="008C5B01" w:rsidRPr="00B2348D">
                    <w:rPr>
                      <w:i/>
                    </w:rPr>
                    <w:t>q</w:t>
                  </w:r>
                  <w:r w:rsidR="008C5B01" w:rsidRPr="00B2348D">
                    <w:t xml:space="preserve"> at </w:t>
                  </w:r>
                  <w:r w:rsidR="008C5B01">
                    <w:t>Settlement Point</w:t>
                  </w:r>
                  <w:r w:rsidR="008C5B01" w:rsidRPr="00B2348D">
                    <w:t xml:space="preserve"> </w:t>
                  </w:r>
                  <w:r w:rsidR="008C5B01" w:rsidRPr="00B2348D">
                    <w:rPr>
                      <w:i/>
                    </w:rPr>
                    <w:t>p,</w:t>
                  </w:r>
                  <w:r w:rsidR="008C5B01" w:rsidRPr="00B2348D">
                    <w:t xml:space="preserve"> for the 15-minute Settlement Interval</w:t>
                  </w:r>
                  <w:r w:rsidR="008C5B01" w:rsidRPr="00B2348D">
                    <w:rPr>
                      <w:i/>
                    </w:rPr>
                    <w:t xml:space="preserve"> i</w:t>
                  </w:r>
                  <w:r w:rsidR="008C5B01" w:rsidRPr="00B2348D">
                    <w:t xml:space="preserve">.  </w:t>
                  </w:r>
                </w:p>
              </w:tc>
            </w:tr>
            <w:tr w:rsidR="008C5B01" w:rsidRPr="00B2348D" w14:paraId="7104D342" w14:textId="77777777" w:rsidTr="001B737D">
              <w:trPr>
                <w:cantSplit/>
              </w:trPr>
              <w:tc>
                <w:tcPr>
                  <w:tcW w:w="1776" w:type="dxa"/>
                </w:tcPr>
                <w:p w14:paraId="172E367F" w14:textId="77777777" w:rsidR="008C5B01" w:rsidRPr="00B2348D" w:rsidRDefault="008C5B01" w:rsidP="008C5B01">
                  <w:pPr>
                    <w:pStyle w:val="TableBody"/>
                  </w:pPr>
                  <w:r w:rsidRPr="006624C0">
                    <w:t>AVGTG5M</w:t>
                  </w:r>
                  <w:r>
                    <w:t xml:space="preserve"> </w:t>
                  </w:r>
                  <w:r w:rsidRPr="006624C0">
                    <w:rPr>
                      <w:i/>
                      <w:vertAlign w:val="subscript"/>
                      <w:lang w:val="fr-FR"/>
                    </w:rPr>
                    <w:t>q, r, p, i, y</w:t>
                  </w:r>
                </w:p>
              </w:tc>
              <w:tc>
                <w:tcPr>
                  <w:tcW w:w="892" w:type="dxa"/>
                </w:tcPr>
                <w:p w14:paraId="62ED67EC" w14:textId="77777777" w:rsidR="008C5B01" w:rsidRPr="00B2348D" w:rsidRDefault="008C5B01" w:rsidP="008C5B01">
                  <w:pPr>
                    <w:pStyle w:val="TableBody"/>
                  </w:pPr>
                  <w:r w:rsidRPr="006624C0">
                    <w:t>MW</w:t>
                  </w:r>
                </w:p>
              </w:tc>
              <w:tc>
                <w:tcPr>
                  <w:tcW w:w="6695" w:type="dxa"/>
                </w:tcPr>
                <w:p w14:paraId="48B8B501" w14:textId="1BA5145E" w:rsidR="008C5B01" w:rsidRPr="00B2348D" w:rsidRDefault="008C5B01" w:rsidP="0018785B">
                  <w:pPr>
                    <w:pStyle w:val="TableBody"/>
                  </w:pPr>
                  <w:r w:rsidRPr="006624C0">
                    <w:rPr>
                      <w:i/>
                    </w:rPr>
                    <w:t>Average Telemetered Generation for the 5 Minutes</w:t>
                  </w:r>
                  <w:r w:rsidRPr="006624C0">
                    <w:t xml:space="preserve">—The average telemetered generation </w:t>
                  </w:r>
                  <w:r w:rsidR="0018785B">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8C5B01" w:rsidRPr="00B2348D" w14:paraId="09B9FD25" w14:textId="77777777" w:rsidTr="001B737D">
              <w:trPr>
                <w:cantSplit/>
              </w:trPr>
              <w:tc>
                <w:tcPr>
                  <w:tcW w:w="1776" w:type="dxa"/>
                </w:tcPr>
                <w:p w14:paraId="055EB6A4" w14:textId="77777777" w:rsidR="008C5B01" w:rsidRPr="00B2348D" w:rsidRDefault="008C5B01" w:rsidP="008C5B01">
                  <w:pPr>
                    <w:pStyle w:val="TableBody"/>
                  </w:pPr>
                  <w:r>
                    <w:t>OPESR</w:t>
                  </w:r>
                  <w:r w:rsidRPr="006624C0">
                    <w:t xml:space="preserve"> </w:t>
                  </w:r>
                  <w:r w:rsidRPr="006624C0">
                    <w:rPr>
                      <w:i/>
                      <w:vertAlign w:val="subscript"/>
                    </w:rPr>
                    <w:t>q, r, p, i</w:t>
                  </w:r>
                </w:p>
              </w:tc>
              <w:tc>
                <w:tcPr>
                  <w:tcW w:w="892" w:type="dxa"/>
                </w:tcPr>
                <w:p w14:paraId="1D917551" w14:textId="77777777" w:rsidR="008C5B01" w:rsidRPr="00B2348D" w:rsidRDefault="008C5B01" w:rsidP="008C5B01">
                  <w:pPr>
                    <w:pStyle w:val="TableBody"/>
                  </w:pPr>
                  <w:r w:rsidRPr="006624C0">
                    <w:t>MW</w:t>
                  </w:r>
                  <w:r>
                    <w:t>h</w:t>
                  </w:r>
                </w:p>
              </w:tc>
              <w:tc>
                <w:tcPr>
                  <w:tcW w:w="6695" w:type="dxa"/>
                </w:tcPr>
                <w:p w14:paraId="704E5FB1" w14:textId="6961CDA9" w:rsidR="008C5B01" w:rsidRPr="00B2348D" w:rsidRDefault="008C5B01" w:rsidP="00D24997">
                  <w:pPr>
                    <w:pStyle w:val="TableBody"/>
                  </w:pPr>
                  <w:r w:rsidRPr="006624C0">
                    <w:rPr>
                      <w:i/>
                    </w:rPr>
                    <w:t>Over</w:t>
                  </w:r>
                  <w:r>
                    <w:rPr>
                      <w:i/>
                    </w:rPr>
                    <w:t>-Performance</w:t>
                  </w:r>
                  <w:r w:rsidRPr="006624C0">
                    <w:rPr>
                      <w:i/>
                    </w:rPr>
                    <w:t xml:space="preserve"> Volumes per QSE per Settlement Point per Resource</w:t>
                  </w:r>
                  <w:r w:rsidRPr="006624C0">
                    <w:t xml:space="preserve">—The amount </w:t>
                  </w:r>
                  <w:r>
                    <w:t xml:space="preserve">the ESR </w:t>
                  </w:r>
                  <w:r w:rsidR="0018223C" w:rsidRPr="006624C0">
                    <w:rPr>
                      <w:i/>
                    </w:rPr>
                    <w:t>r</w:t>
                  </w:r>
                  <w:r w:rsidR="0018223C">
                    <w:t xml:space="preserve"> </w:t>
                  </w:r>
                  <w:r>
                    <w:t>over-performed</w:t>
                  </w:r>
                  <w:r>
                    <w:rPr>
                      <w:i/>
                    </w:rPr>
                    <w:t xml:space="preserve">, </w:t>
                  </w:r>
                  <w:r>
                    <w:t>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8C5B01" w:rsidRPr="00B2348D" w14:paraId="5327D3C2" w14:textId="77777777" w:rsidTr="001B737D">
              <w:trPr>
                <w:cantSplit/>
              </w:trPr>
              <w:tc>
                <w:tcPr>
                  <w:tcW w:w="1776" w:type="dxa"/>
                </w:tcPr>
                <w:p w14:paraId="17980C9C" w14:textId="77777777" w:rsidR="008C5B01" w:rsidRPr="00B2348D" w:rsidRDefault="008C5B01" w:rsidP="008C5B01">
                  <w:pPr>
                    <w:pStyle w:val="TableBody"/>
                  </w:pPr>
                  <w:r w:rsidRPr="006624C0">
                    <w:t>PR</w:t>
                  </w:r>
                  <w:r>
                    <w:t>3</w:t>
                  </w:r>
                </w:p>
              </w:tc>
              <w:tc>
                <w:tcPr>
                  <w:tcW w:w="892" w:type="dxa"/>
                </w:tcPr>
                <w:p w14:paraId="3F28722C" w14:textId="77777777" w:rsidR="008C5B01" w:rsidRPr="00B2348D" w:rsidRDefault="008C5B01" w:rsidP="008C5B01">
                  <w:pPr>
                    <w:pStyle w:val="TableBody"/>
                  </w:pPr>
                  <w:r w:rsidRPr="006624C0">
                    <w:t>$/MWh</w:t>
                  </w:r>
                </w:p>
              </w:tc>
              <w:tc>
                <w:tcPr>
                  <w:tcW w:w="6695" w:type="dxa"/>
                </w:tcPr>
                <w:p w14:paraId="0DB0CFFD" w14:textId="681BBBE3" w:rsidR="008C5B01" w:rsidRPr="00B2348D" w:rsidRDefault="008C5B01" w:rsidP="00EA6FD7">
                  <w:pPr>
                    <w:pStyle w:val="TableBody"/>
                  </w:pPr>
                  <w:r>
                    <w:t xml:space="preserve">The </w:t>
                  </w:r>
                  <w:r w:rsidRPr="006624C0">
                    <w:t xml:space="preserve">price to use for the </w:t>
                  </w:r>
                  <w:r w:rsidR="00EA6FD7">
                    <w:t>Set</w:t>
                  </w:r>
                  <w:r w:rsidRPr="006624C0">
                    <w:t xml:space="preserve"> P</w:t>
                  </w:r>
                  <w:r>
                    <w:t>oint Deviation Charge for over-performance</w:t>
                  </w:r>
                  <w:r w:rsidRPr="006624C0">
                    <w:t xml:space="preserve"> when RTSPP is </w:t>
                  </w:r>
                  <w:r>
                    <w:t>less</w:t>
                  </w:r>
                  <w:r w:rsidRPr="006624C0">
                    <w:t xml:space="preserve"> than $20</w:t>
                  </w:r>
                  <w:r>
                    <w:t>/MWh, $20/MWh</w:t>
                  </w:r>
                  <w:r w:rsidRPr="006624C0">
                    <w:t xml:space="preserve">.  </w:t>
                  </w:r>
                </w:p>
              </w:tc>
            </w:tr>
            <w:tr w:rsidR="008C5B01" w:rsidRPr="00B2348D" w14:paraId="38D32021" w14:textId="77777777" w:rsidTr="001B737D">
              <w:trPr>
                <w:cantSplit/>
              </w:trPr>
              <w:tc>
                <w:tcPr>
                  <w:tcW w:w="1776" w:type="dxa"/>
                </w:tcPr>
                <w:p w14:paraId="39F391D1" w14:textId="77777777" w:rsidR="008C5B01" w:rsidRPr="00B2348D" w:rsidRDefault="008C5B01" w:rsidP="008C5B01">
                  <w:pPr>
                    <w:pStyle w:val="TableBody"/>
                  </w:pPr>
                  <w:r w:rsidRPr="006624C0">
                    <w:t>K</w:t>
                  </w:r>
                  <w:r>
                    <w:t>3</w:t>
                  </w:r>
                </w:p>
              </w:tc>
              <w:tc>
                <w:tcPr>
                  <w:tcW w:w="892" w:type="dxa"/>
                </w:tcPr>
                <w:p w14:paraId="502DDEAF" w14:textId="77777777" w:rsidR="008C5B01" w:rsidRPr="00B2348D" w:rsidRDefault="008C5B01" w:rsidP="008C5B01">
                  <w:pPr>
                    <w:pStyle w:val="TableBody"/>
                  </w:pPr>
                  <w:r w:rsidRPr="006624C0">
                    <w:t>none</w:t>
                  </w:r>
                </w:p>
              </w:tc>
              <w:tc>
                <w:tcPr>
                  <w:tcW w:w="6695" w:type="dxa"/>
                </w:tcPr>
                <w:p w14:paraId="0AC4BEA9" w14:textId="6B68679E" w:rsidR="008C5B01" w:rsidRPr="00B2348D" w:rsidRDefault="008C5B01" w:rsidP="008C5B01">
                  <w:pPr>
                    <w:pStyle w:val="TableBody"/>
                  </w:pPr>
                  <w:r w:rsidRPr="006624C0">
                    <w:t>Th</w:t>
                  </w:r>
                  <w:r>
                    <w:t>e percentage tolerance for over-performance</w:t>
                  </w:r>
                  <w:r w:rsidR="00D24997">
                    <w:t xml:space="preserve"> per paragraph (2) above</w:t>
                  </w:r>
                  <w:r w:rsidRPr="006624C0">
                    <w:t xml:space="preserve">, </w:t>
                  </w:r>
                  <w:r>
                    <w:t>3</w:t>
                  </w:r>
                  <w:r w:rsidRPr="006624C0">
                    <w:t xml:space="preserve">%.  </w:t>
                  </w:r>
                </w:p>
              </w:tc>
            </w:tr>
            <w:tr w:rsidR="00D24997" w:rsidRPr="00B2348D" w14:paraId="569D4F62" w14:textId="77777777" w:rsidTr="001B737D">
              <w:trPr>
                <w:cantSplit/>
              </w:trPr>
              <w:tc>
                <w:tcPr>
                  <w:tcW w:w="1776" w:type="dxa"/>
                </w:tcPr>
                <w:p w14:paraId="47A542E3" w14:textId="0B29FF54" w:rsidR="00D24997" w:rsidRPr="006624C0" w:rsidRDefault="00D24997" w:rsidP="00D24997">
                  <w:pPr>
                    <w:pStyle w:val="TableBody"/>
                  </w:pPr>
                  <w:r w:rsidRPr="00A552C3">
                    <w:t>K5</w:t>
                  </w:r>
                </w:p>
              </w:tc>
              <w:tc>
                <w:tcPr>
                  <w:tcW w:w="892" w:type="dxa"/>
                </w:tcPr>
                <w:p w14:paraId="2A03DA2E" w14:textId="6534F3E2" w:rsidR="00D24997" w:rsidRPr="006624C0" w:rsidRDefault="00D24997" w:rsidP="00D24997">
                  <w:pPr>
                    <w:pStyle w:val="TableBody"/>
                  </w:pPr>
                  <w:r w:rsidRPr="00A552C3">
                    <w:t>none</w:t>
                  </w:r>
                </w:p>
              </w:tc>
              <w:tc>
                <w:tcPr>
                  <w:tcW w:w="6695" w:type="dxa"/>
                </w:tcPr>
                <w:p w14:paraId="70D5D6C6" w14:textId="55925EC3" w:rsidR="00D24997" w:rsidRDefault="00D24997" w:rsidP="00D24997">
                  <w:pPr>
                    <w:pStyle w:val="TableBody"/>
                  </w:pPr>
                  <w:r w:rsidRPr="00A552C3">
                    <w:t xml:space="preserve">The percentage tolerance for over-performance per paragraph (3) above, </w:t>
                  </w:r>
                  <w:r w:rsidR="00045FBB">
                    <w:t>5</w:t>
                  </w:r>
                  <w:r w:rsidRPr="00A552C3">
                    <w:t>%.</w:t>
                  </w:r>
                </w:p>
              </w:tc>
            </w:tr>
            <w:tr w:rsidR="008C5B01" w:rsidRPr="00B2348D" w14:paraId="09A7BFAB" w14:textId="77777777" w:rsidTr="001B737D">
              <w:trPr>
                <w:cantSplit/>
              </w:trPr>
              <w:tc>
                <w:tcPr>
                  <w:tcW w:w="1776" w:type="dxa"/>
                </w:tcPr>
                <w:p w14:paraId="16845773" w14:textId="77777777" w:rsidR="008C5B01" w:rsidRPr="00B2348D" w:rsidRDefault="008C5B01" w:rsidP="008C5B01">
                  <w:pPr>
                    <w:pStyle w:val="TableBody"/>
                  </w:pPr>
                  <w:r w:rsidRPr="006624C0">
                    <w:t>Q</w:t>
                  </w:r>
                  <w:r>
                    <w:t>3</w:t>
                  </w:r>
                </w:p>
              </w:tc>
              <w:tc>
                <w:tcPr>
                  <w:tcW w:w="892" w:type="dxa"/>
                </w:tcPr>
                <w:p w14:paraId="6E1B98DD" w14:textId="77777777" w:rsidR="008C5B01" w:rsidRPr="00B2348D" w:rsidRDefault="008C5B01" w:rsidP="008C5B01">
                  <w:pPr>
                    <w:pStyle w:val="TableBody"/>
                  </w:pPr>
                  <w:r w:rsidRPr="006624C0">
                    <w:t>MW</w:t>
                  </w:r>
                </w:p>
              </w:tc>
              <w:tc>
                <w:tcPr>
                  <w:tcW w:w="6695" w:type="dxa"/>
                </w:tcPr>
                <w:p w14:paraId="33C43811" w14:textId="77777777" w:rsidR="008C5B01" w:rsidRPr="00B2348D" w:rsidRDefault="008C5B01" w:rsidP="008C5B01">
                  <w:pPr>
                    <w:pStyle w:val="TableBody"/>
                  </w:pPr>
                  <w:r>
                    <w:t>The MW tolerance for over-performance</w:t>
                  </w:r>
                  <w:r w:rsidRPr="006624C0">
                    <w:t xml:space="preserve">, </w:t>
                  </w:r>
                  <w:r>
                    <w:t>three</w:t>
                  </w:r>
                  <w:r w:rsidRPr="006624C0">
                    <w:t xml:space="preserve"> MW.</w:t>
                  </w:r>
                </w:p>
              </w:tc>
            </w:tr>
            <w:tr w:rsidR="008C5B01" w:rsidRPr="00B2348D" w14:paraId="340C8E15" w14:textId="77777777" w:rsidTr="001B737D">
              <w:trPr>
                <w:cantSplit/>
              </w:trPr>
              <w:tc>
                <w:tcPr>
                  <w:tcW w:w="1776" w:type="dxa"/>
                </w:tcPr>
                <w:p w14:paraId="0370AE49" w14:textId="77777777" w:rsidR="008C5B01" w:rsidRPr="00B2348D" w:rsidRDefault="008C5B01" w:rsidP="008C5B01">
                  <w:pPr>
                    <w:pStyle w:val="TableBody"/>
                    <w:rPr>
                      <w:i/>
                    </w:rPr>
                  </w:pPr>
                  <w:r>
                    <w:rPr>
                      <w:i/>
                    </w:rPr>
                    <w:t>q</w:t>
                  </w:r>
                </w:p>
              </w:tc>
              <w:tc>
                <w:tcPr>
                  <w:tcW w:w="892" w:type="dxa"/>
                </w:tcPr>
                <w:p w14:paraId="14DACB9D" w14:textId="77777777" w:rsidR="008C5B01" w:rsidRPr="00B2348D" w:rsidRDefault="008C5B01" w:rsidP="008C5B01">
                  <w:pPr>
                    <w:pStyle w:val="TableBody"/>
                  </w:pPr>
                  <w:r w:rsidRPr="006624C0">
                    <w:t>none</w:t>
                  </w:r>
                </w:p>
              </w:tc>
              <w:tc>
                <w:tcPr>
                  <w:tcW w:w="6695" w:type="dxa"/>
                </w:tcPr>
                <w:p w14:paraId="28C1F624" w14:textId="77777777" w:rsidR="008C5B01" w:rsidRPr="00B2348D" w:rsidRDefault="008C5B01" w:rsidP="008C5B01">
                  <w:pPr>
                    <w:pStyle w:val="TableBody"/>
                  </w:pPr>
                  <w:r w:rsidRPr="006624C0">
                    <w:t>A QSE.</w:t>
                  </w:r>
                </w:p>
              </w:tc>
            </w:tr>
            <w:tr w:rsidR="008C5B01" w:rsidRPr="00B2348D" w14:paraId="2C3C647E" w14:textId="77777777" w:rsidTr="001B737D">
              <w:trPr>
                <w:cantSplit/>
              </w:trPr>
              <w:tc>
                <w:tcPr>
                  <w:tcW w:w="1776" w:type="dxa"/>
                </w:tcPr>
                <w:p w14:paraId="60B38EA6" w14:textId="77777777" w:rsidR="008C5B01" w:rsidRPr="00B2348D" w:rsidRDefault="008C5B01" w:rsidP="008C5B01">
                  <w:pPr>
                    <w:pStyle w:val="TableBody"/>
                    <w:rPr>
                      <w:i/>
                    </w:rPr>
                  </w:pPr>
                  <w:r>
                    <w:rPr>
                      <w:i/>
                    </w:rPr>
                    <w:t>p</w:t>
                  </w:r>
                </w:p>
              </w:tc>
              <w:tc>
                <w:tcPr>
                  <w:tcW w:w="892" w:type="dxa"/>
                </w:tcPr>
                <w:p w14:paraId="63745A08" w14:textId="77777777" w:rsidR="008C5B01" w:rsidRPr="00B2348D" w:rsidRDefault="008C5B01" w:rsidP="008C5B01">
                  <w:pPr>
                    <w:pStyle w:val="TableBody"/>
                  </w:pPr>
                  <w:r w:rsidRPr="006624C0">
                    <w:t>none</w:t>
                  </w:r>
                </w:p>
              </w:tc>
              <w:tc>
                <w:tcPr>
                  <w:tcW w:w="6695" w:type="dxa"/>
                </w:tcPr>
                <w:p w14:paraId="01AEDC0C" w14:textId="77777777" w:rsidR="008C5B01" w:rsidRPr="00B2348D" w:rsidRDefault="008C5B01" w:rsidP="008C5B01">
                  <w:pPr>
                    <w:pStyle w:val="TableBody"/>
                  </w:pPr>
                  <w:r w:rsidRPr="006624C0">
                    <w:t>A Settlement Point.</w:t>
                  </w:r>
                </w:p>
              </w:tc>
            </w:tr>
            <w:tr w:rsidR="008C5B01" w:rsidRPr="00B2348D" w14:paraId="37A9FCAE" w14:textId="77777777" w:rsidTr="001B737D">
              <w:trPr>
                <w:cantSplit/>
              </w:trPr>
              <w:tc>
                <w:tcPr>
                  <w:tcW w:w="1776" w:type="dxa"/>
                </w:tcPr>
                <w:p w14:paraId="23E80F18" w14:textId="77777777" w:rsidR="008C5B01" w:rsidRPr="00B2348D" w:rsidRDefault="008C5B01" w:rsidP="008C5B01">
                  <w:pPr>
                    <w:pStyle w:val="TableBody"/>
                    <w:tabs>
                      <w:tab w:val="right" w:pos="9360"/>
                    </w:tabs>
                    <w:rPr>
                      <w:i/>
                    </w:rPr>
                  </w:pPr>
                  <w:r>
                    <w:rPr>
                      <w:i/>
                    </w:rPr>
                    <w:t>r</w:t>
                  </w:r>
                </w:p>
              </w:tc>
              <w:tc>
                <w:tcPr>
                  <w:tcW w:w="892" w:type="dxa"/>
                </w:tcPr>
                <w:p w14:paraId="1897C39E" w14:textId="77777777" w:rsidR="008C5B01" w:rsidRPr="00B2348D" w:rsidRDefault="008C5B01" w:rsidP="008C5B01">
                  <w:pPr>
                    <w:pStyle w:val="TableBody"/>
                    <w:tabs>
                      <w:tab w:val="right" w:pos="9360"/>
                    </w:tabs>
                  </w:pPr>
                  <w:r w:rsidRPr="006624C0">
                    <w:t>none</w:t>
                  </w:r>
                </w:p>
              </w:tc>
              <w:tc>
                <w:tcPr>
                  <w:tcW w:w="6695" w:type="dxa"/>
                </w:tcPr>
                <w:p w14:paraId="11384B35" w14:textId="0B03D819" w:rsidR="008C5B01" w:rsidRPr="00B2348D" w:rsidRDefault="008C5B01" w:rsidP="00D24997">
                  <w:pPr>
                    <w:pStyle w:val="TableBody"/>
                    <w:tabs>
                      <w:tab w:val="right" w:pos="9360"/>
                    </w:tabs>
                    <w:rPr>
                      <w:lang w:val="fr-FR"/>
                    </w:rPr>
                  </w:pPr>
                  <w:r>
                    <w:rPr>
                      <w:lang w:val="fr-FR"/>
                    </w:rPr>
                    <w:t>A</w:t>
                  </w:r>
                  <w:r w:rsidR="00D24997">
                    <w:rPr>
                      <w:lang w:val="fr-FR"/>
                    </w:rPr>
                    <w:t>n</w:t>
                  </w:r>
                  <w:r>
                    <w:rPr>
                      <w:lang w:val="fr-FR"/>
                    </w:rPr>
                    <w:t xml:space="preserve"> ESR. </w:t>
                  </w:r>
                </w:p>
              </w:tc>
            </w:tr>
            <w:tr w:rsidR="008C5B01" w:rsidRPr="00B2348D" w14:paraId="50838714"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1A0304D8" w14:textId="77777777" w:rsidR="008C5B01" w:rsidRPr="00B2348D" w:rsidRDefault="008C5B01" w:rsidP="008C5B01">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00DD92D6" w14:textId="77777777" w:rsidR="008C5B01" w:rsidRPr="00B2348D"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F56D057" w14:textId="77777777" w:rsidR="008C5B01" w:rsidRPr="00B2348D" w:rsidRDefault="008C5B01" w:rsidP="008C5B01">
                  <w:pPr>
                    <w:pStyle w:val="TableBody"/>
                  </w:pPr>
                  <w:r w:rsidRPr="006624C0">
                    <w:t xml:space="preserve">A five-minute clock interval in the Settlement Interval. </w:t>
                  </w:r>
                </w:p>
              </w:tc>
            </w:tr>
            <w:tr w:rsidR="008C5B01" w:rsidRPr="00B2348D" w14:paraId="5790C678"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0E1D7AA" w14:textId="77777777" w:rsidR="008C5B01" w:rsidRPr="00B2348D" w:rsidDel="00714336" w:rsidRDefault="008C5B01" w:rsidP="008C5B01">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31B86F3" w14:textId="77777777" w:rsidR="008C5B01" w:rsidRPr="00B2348D" w:rsidDel="00714336"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6214EB39" w14:textId="77777777" w:rsidR="008C5B01" w:rsidRPr="00B2348D" w:rsidDel="00714336" w:rsidRDefault="008C5B01" w:rsidP="008C5B01">
                  <w:pPr>
                    <w:pStyle w:val="TableBody"/>
                  </w:pPr>
                  <w:r w:rsidRPr="006624C0">
                    <w:t>A 15-minute Settlement Interval.</w:t>
                  </w:r>
                </w:p>
              </w:tc>
            </w:tr>
          </w:tbl>
          <w:p w14:paraId="083FD023" w14:textId="77777777" w:rsidR="002704CF" w:rsidRPr="00B37C4B" w:rsidRDefault="002704CF" w:rsidP="002704CF">
            <w:pPr>
              <w:pStyle w:val="Instructions"/>
              <w:spacing w:before="120"/>
            </w:pPr>
          </w:p>
        </w:tc>
      </w:tr>
    </w:tbl>
    <w:p w14:paraId="4C2010B9" w14:textId="77777777" w:rsidR="002704CF" w:rsidRDefault="002704CF" w:rsidP="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50E4F09" w14:textId="77777777" w:rsidTr="00135A7D">
        <w:tc>
          <w:tcPr>
            <w:tcW w:w="10055" w:type="dxa"/>
            <w:tcBorders>
              <w:top w:val="single" w:sz="4" w:space="0" w:color="auto"/>
              <w:left w:val="single" w:sz="4" w:space="0" w:color="auto"/>
              <w:bottom w:val="single" w:sz="4" w:space="0" w:color="auto"/>
              <w:right w:val="single" w:sz="4" w:space="0" w:color="auto"/>
            </w:tcBorders>
            <w:shd w:val="pct12" w:color="auto" w:fill="auto"/>
          </w:tcPr>
          <w:p w14:paraId="052E65F9" w14:textId="4846839E" w:rsidR="002704CF" w:rsidRDefault="002704CF" w:rsidP="001B737D">
            <w:pPr>
              <w:pStyle w:val="Instructions"/>
              <w:spacing w:before="120"/>
            </w:pPr>
            <w:r>
              <w:lastRenderedPageBreak/>
              <w:t>[NPRR963</w:t>
            </w:r>
            <w:r w:rsidR="00D24997">
              <w:t xml:space="preserve">, </w:t>
            </w:r>
            <w:r w:rsidR="00EA6FD7">
              <w:t>NPRR1010</w:t>
            </w:r>
            <w:r w:rsidR="008F4B78">
              <w:t xml:space="preserve">, </w:t>
            </w:r>
            <w:r w:rsidR="00D24997">
              <w:t>NPRR1014</w:t>
            </w:r>
            <w:r w:rsidR="008F4B78">
              <w:t>, and NPRR1029</w:t>
            </w:r>
            <w:r>
              <w:t xml:space="preserve">:  Insert </w:t>
            </w:r>
            <w:r w:rsidR="00EA6FD7">
              <w:t xml:space="preserve">applicable portions of </w:t>
            </w:r>
            <w:r>
              <w:t>Section 6.6.5.5.1 below upon system implementation</w:t>
            </w:r>
            <w:r w:rsidR="00EA6FD7">
              <w:t xml:space="preserve"> for NPRR963</w:t>
            </w:r>
            <w:r w:rsidR="008F4B78">
              <w:t>,</w:t>
            </w:r>
            <w:r w:rsidR="00D24997">
              <w:t xml:space="preserve"> NPRR1014</w:t>
            </w:r>
            <w:r w:rsidR="008F4B78">
              <w:t>, or NPRR1029</w:t>
            </w:r>
            <w:r w:rsidR="00EA6FD7">
              <w:t>; or upon system implementation of the Real-Time Co-Optimization (RTC) project for NPRR1010</w:t>
            </w:r>
            <w:r>
              <w:t>:]</w:t>
            </w:r>
          </w:p>
          <w:p w14:paraId="506D59F6" w14:textId="2D85E863" w:rsidR="008C5B01" w:rsidRDefault="008C5B01" w:rsidP="008C5B01">
            <w:pPr>
              <w:pStyle w:val="BodyText"/>
              <w:tabs>
                <w:tab w:val="left" w:pos="1230"/>
              </w:tabs>
              <w:spacing w:before="480"/>
              <w:ind w:left="1166" w:hanging="1166"/>
              <w:outlineLvl w:val="3"/>
              <w:rPr>
                <w:b/>
                <w:lang w:val="fr-FR"/>
              </w:rPr>
            </w:pPr>
            <w:bookmarkStart w:id="2213" w:name="_Toc60040701"/>
            <w:bookmarkStart w:id="2214" w:name="_Toc65151760"/>
            <w:bookmarkStart w:id="2215" w:name="_Toc80174786"/>
            <w:bookmarkStart w:id="2216" w:name="_Toc112417666"/>
            <w:bookmarkStart w:id="2217" w:name="_Toc119310335"/>
            <w:bookmarkStart w:id="2218" w:name="_Toc125966268"/>
            <w:bookmarkStart w:id="2219" w:name="_Toc135992366"/>
            <w:bookmarkStart w:id="2220" w:name="_Toc170303562"/>
            <w:bookmarkStart w:id="2221" w:name="_Toc175157466"/>
            <w:bookmarkStart w:id="2222" w:name="_Toc189044439"/>
            <w:r>
              <w:rPr>
                <w:b/>
                <w:lang w:val="fr-FR"/>
              </w:rPr>
              <w:t>6.6.5.5.1</w:t>
            </w:r>
            <w:r w:rsidRPr="00A87708">
              <w:rPr>
                <w:b/>
                <w:lang w:val="fr-FR"/>
              </w:rPr>
              <w:tab/>
            </w:r>
            <w:r>
              <w:rPr>
                <w:b/>
                <w:lang w:val="fr-FR"/>
              </w:rPr>
              <w:t xml:space="preserve">Energy Storage Resource </w:t>
            </w:r>
            <w:r w:rsidR="00EA6FD7">
              <w:rPr>
                <w:b/>
                <w:lang w:val="fr-FR"/>
              </w:rPr>
              <w:t>Set</w:t>
            </w:r>
            <w:r w:rsidRPr="000468AC">
              <w:rPr>
                <w:b/>
                <w:lang w:val="fr-FR"/>
              </w:rPr>
              <w:t xml:space="preserve"> Point Deviation</w:t>
            </w:r>
            <w:r w:rsidRPr="00A87708">
              <w:rPr>
                <w:b/>
                <w:lang w:val="fr-FR"/>
              </w:rPr>
              <w:t xml:space="preserve"> Charge</w:t>
            </w:r>
            <w:r>
              <w:rPr>
                <w:b/>
                <w:lang w:val="fr-FR"/>
              </w:rPr>
              <w:t xml:space="preserve"> for Under Performance</w:t>
            </w:r>
            <w:bookmarkEnd w:id="2213"/>
            <w:bookmarkEnd w:id="2214"/>
            <w:bookmarkEnd w:id="2215"/>
            <w:bookmarkEnd w:id="2216"/>
            <w:bookmarkEnd w:id="2217"/>
            <w:bookmarkEnd w:id="2218"/>
            <w:bookmarkEnd w:id="2219"/>
            <w:bookmarkEnd w:id="2220"/>
            <w:bookmarkEnd w:id="2221"/>
            <w:bookmarkEnd w:id="2222"/>
          </w:p>
          <w:p w14:paraId="5C56B2E3" w14:textId="6D2FF0BE" w:rsidR="00667495" w:rsidRDefault="008C5B01" w:rsidP="008C5B01">
            <w:pPr>
              <w:pStyle w:val="BodyTextNumbered"/>
            </w:pPr>
            <w:r>
              <w:t>(1)</w:t>
            </w:r>
            <w:r>
              <w:tab/>
              <w:t xml:space="preserve">ERCOT shall charge a QSE for an ESR a </w:t>
            </w:r>
            <w:r w:rsidR="0018785B">
              <w:t>Set</w:t>
            </w:r>
            <w:r>
              <w:t xml:space="preserve"> Point Deviation Charge for under-performance if the telemetered generation </w:t>
            </w:r>
            <w:r w:rsidR="00667495">
              <w:t>or</w:t>
            </w:r>
            <w:r>
              <w:t xml:space="preserve"> consumption is below the </w:t>
            </w:r>
            <w:r w:rsidR="00667495">
              <w:t>specified</w:t>
            </w:r>
            <w:r>
              <w:t xml:space="preserve"> tolerance.  </w:t>
            </w:r>
          </w:p>
          <w:p w14:paraId="6126128E" w14:textId="7C58C203" w:rsidR="00667495" w:rsidRPr="00A552C3" w:rsidRDefault="00667495" w:rsidP="00667495">
            <w:pPr>
              <w:pStyle w:val="BodyTextNumbered"/>
            </w:pPr>
            <w:r>
              <w:t xml:space="preserve">(2) </w:t>
            </w:r>
            <w:r>
              <w:tab/>
            </w:r>
            <w:r w:rsidR="008C5B01">
              <w:t>The tolerance is the lesser of</w:t>
            </w:r>
            <w:r>
              <w:t xml:space="preserve"> </w:t>
            </w:r>
            <w:r w:rsidR="008C5B01">
              <w:t xml:space="preserve">3% of the </w:t>
            </w:r>
            <w:r w:rsidR="00EA6FD7">
              <w:t>AASP</w:t>
            </w:r>
            <w:r w:rsidR="008C5B01">
              <w:t xml:space="preserve"> for the ESR in the Settlement Interval</w:t>
            </w:r>
            <w:r>
              <w:t>,</w:t>
            </w:r>
            <w:r w:rsidR="008C5B01">
              <w:t xml:space="preserve"> or</w:t>
            </w:r>
            <w:r>
              <w:t xml:space="preserve"> t</w:t>
            </w:r>
            <w:r w:rsidR="008C5B01">
              <w:t xml:space="preserve">hree MW below the </w:t>
            </w:r>
            <w:r w:rsidR="00EA6FD7">
              <w:t>AASP</w:t>
            </w:r>
            <w:r w:rsidR="008C5B01">
              <w:t xml:space="preserve"> for the ESR in the Settlement Interval</w:t>
            </w:r>
            <w:r w:rsidRPr="00A552C3">
              <w:t>, if the Resource meets the following conditions:</w:t>
            </w:r>
          </w:p>
          <w:p w14:paraId="0CA2AD00" w14:textId="77777777" w:rsidR="00667495" w:rsidRPr="00A552C3" w:rsidRDefault="00667495" w:rsidP="00667495">
            <w:pPr>
              <w:pStyle w:val="BodyTextNumbered"/>
              <w:ind w:left="1440"/>
            </w:pPr>
            <w:r w:rsidRPr="00A552C3">
              <w:t>(a)</w:t>
            </w:r>
            <w:r w:rsidRPr="00A552C3">
              <w:rPr>
                <w:iCs/>
              </w:rPr>
              <w:tab/>
            </w:r>
            <w:r w:rsidRPr="00A552C3">
              <w:t xml:space="preserve">The ESR is not a DC-Coupled Resource; or </w:t>
            </w:r>
          </w:p>
          <w:p w14:paraId="5AD4FDAC" w14:textId="57D3A38D" w:rsidR="008C5B01" w:rsidRDefault="00667495" w:rsidP="00986DDA">
            <w:pPr>
              <w:pStyle w:val="BodyTextNumbered"/>
              <w:ind w:left="1440"/>
            </w:pPr>
            <w:r w:rsidRPr="00A552C3">
              <w:t>(b)</w:t>
            </w:r>
            <w:r w:rsidRPr="00A552C3">
              <w:rPr>
                <w:iCs/>
              </w:rPr>
              <w:tab/>
            </w:r>
            <w:r w:rsidRPr="00A552C3">
              <w:t>The ESR is a DC-Coupled Resource and meets the conditions to be treated in the same manner as an ESR as specified in paragraph (1) of Section 3.8.7, DC-Coupled Resources, anytime during the Settlement Interval</w:t>
            </w:r>
            <w:r w:rsidR="008C5B01">
              <w:t xml:space="preserve">. </w:t>
            </w:r>
          </w:p>
          <w:p w14:paraId="38149C95" w14:textId="482E2AA8" w:rsidR="008C5B01" w:rsidRPr="000149E5" w:rsidRDefault="008C5B01" w:rsidP="008C5B01">
            <w:pPr>
              <w:pStyle w:val="BodyTextNumbered"/>
              <w:rPr>
                <w:iCs/>
              </w:rPr>
            </w:pPr>
            <w:r w:rsidRPr="000149E5">
              <w:rPr>
                <w:iCs/>
              </w:rPr>
              <w:t>(</w:t>
            </w:r>
            <w:r w:rsidR="00667495">
              <w:rPr>
                <w:iCs/>
              </w:rPr>
              <w:t>3</w:t>
            </w:r>
            <w:r w:rsidRPr="000149E5">
              <w:rPr>
                <w:iCs/>
              </w:rPr>
              <w:t>)</w:t>
            </w:r>
            <w:r w:rsidRPr="000149E5">
              <w:rPr>
                <w:iCs/>
              </w:rPr>
              <w:tab/>
            </w:r>
            <w:r>
              <w:rPr>
                <w:iCs/>
              </w:rPr>
              <w:t xml:space="preserve">The deviation </w:t>
            </w:r>
            <w:r w:rsidR="00667495">
              <w:rPr>
                <w:iCs/>
              </w:rPr>
              <w:t>charge</w:t>
            </w:r>
            <w:r>
              <w:rPr>
                <w:iCs/>
              </w:rPr>
              <w:t xml:space="preserve"> for under-performance for each </w:t>
            </w:r>
            <w:r w:rsidR="00667495">
              <w:rPr>
                <w:iCs/>
              </w:rPr>
              <w:t>QSE for each</w:t>
            </w:r>
            <w:r>
              <w:rPr>
                <w:iCs/>
              </w:rPr>
              <w:t xml:space="preserve"> ESR</w:t>
            </w:r>
            <w:r w:rsidR="00667495" w:rsidRPr="00A552C3">
              <w:rPr>
                <w:iCs/>
              </w:rPr>
              <w:t xml:space="preserve"> at each Resource Node Settlement Point will be calculated</w:t>
            </w:r>
            <w:r>
              <w:rPr>
                <w:iCs/>
              </w:rPr>
              <w:t xml:space="preserve"> as follows:</w:t>
            </w:r>
          </w:p>
          <w:p w14:paraId="09C7C597" w14:textId="2E273E75" w:rsidR="008C5B01" w:rsidRPr="002401F7" w:rsidRDefault="00EA6FD7" w:rsidP="008C5B01">
            <w:pPr>
              <w:pStyle w:val="BodyTextNumbered"/>
              <w:ind w:left="1440"/>
              <w:rPr>
                <w:b/>
                <w:i/>
                <w:vertAlign w:val="subscript"/>
              </w:rPr>
            </w:pPr>
            <w:r>
              <w:rPr>
                <w:b/>
                <w:lang w:val="pt-BR"/>
              </w:rPr>
              <w:t>S</w:t>
            </w:r>
            <w:r w:rsidR="008C5B01" w:rsidRPr="002401F7">
              <w:rPr>
                <w:b/>
                <w:lang w:val="pt-BR"/>
              </w:rPr>
              <w:t>PDAMT</w:t>
            </w:r>
            <w:r w:rsidR="008C5B01" w:rsidRPr="00AF0A36">
              <w:rPr>
                <w:b/>
                <w:i/>
                <w:vertAlign w:val="subscript"/>
                <w:lang w:val="pt-BR"/>
              </w:rPr>
              <w:t xml:space="preserve"> q, r, p, i</w:t>
            </w:r>
            <w:r w:rsidR="008C5B01" w:rsidRPr="002401F7">
              <w:rPr>
                <w:b/>
                <w:lang w:val="pt-BR"/>
              </w:rPr>
              <w:t xml:space="preserve"> =</w:t>
            </w:r>
            <w:r w:rsidR="008C5B01" w:rsidRPr="002401F7">
              <w:rPr>
                <w:b/>
                <w:lang w:val="pt-BR"/>
              </w:rPr>
              <w:tab/>
              <w:t xml:space="preserve">(-1) * </w:t>
            </w:r>
            <w:r w:rsidR="008C5B01" w:rsidRPr="002401F7">
              <w:rPr>
                <w:b/>
              </w:rPr>
              <w:t xml:space="preserve">Min (PR4, RTSPP </w:t>
            </w:r>
            <w:r w:rsidR="008C5B01" w:rsidRPr="002401F7">
              <w:rPr>
                <w:b/>
                <w:i/>
                <w:vertAlign w:val="subscript"/>
              </w:rPr>
              <w:t>p, i</w:t>
            </w:r>
            <w:r w:rsidR="008C5B01" w:rsidRPr="002401F7">
              <w:rPr>
                <w:b/>
              </w:rPr>
              <w:t>) * Min (1, KP2) * UPESR</w:t>
            </w:r>
            <w:r w:rsidR="008C5B01" w:rsidRPr="002401F7">
              <w:rPr>
                <w:b/>
                <w:sz w:val="18"/>
                <w:szCs w:val="18"/>
                <w:vertAlign w:val="subscript"/>
              </w:rPr>
              <w:t xml:space="preserve"> </w:t>
            </w:r>
            <w:r w:rsidR="008C5B01" w:rsidRPr="002401F7">
              <w:rPr>
                <w:b/>
                <w:i/>
                <w:vertAlign w:val="subscript"/>
              </w:rPr>
              <w:t>q, r, p, i</w:t>
            </w:r>
          </w:p>
          <w:p w14:paraId="4FF3F3F1" w14:textId="77777777" w:rsidR="008C5B01" w:rsidRDefault="008C5B01" w:rsidP="008C5B01">
            <w:pPr>
              <w:pStyle w:val="BodyTextNumbered"/>
              <w:ind w:left="1440"/>
              <w:rPr>
                <w:lang w:val="pt-BR"/>
              </w:rPr>
            </w:pPr>
            <w:r>
              <w:rPr>
                <w:lang w:val="pt-BR"/>
              </w:rPr>
              <w:t xml:space="preserve">Where: </w:t>
            </w:r>
          </w:p>
          <w:p w14:paraId="2C8FFE4D" w14:textId="77777777" w:rsidR="00667495" w:rsidRPr="00A552C3" w:rsidRDefault="00667495" w:rsidP="00667495">
            <w:pPr>
              <w:spacing w:after="240"/>
              <w:ind w:left="1440" w:hanging="720"/>
              <w:rPr>
                <w:lang w:val="pt-BR"/>
              </w:rPr>
            </w:pPr>
            <w:r w:rsidRPr="00A552C3">
              <w:rPr>
                <w:iCs/>
                <w:lang w:val="pt-BR"/>
              </w:rPr>
              <w:t xml:space="preserve">If the ESR meets the conditions of paragraph (2) above, then: </w:t>
            </w:r>
          </w:p>
          <w:p w14:paraId="5CE24655" w14:textId="4B51CD3B" w:rsidR="008C5B01" w:rsidRPr="00E87187" w:rsidRDefault="008C5B01" w:rsidP="008C5B01">
            <w:pPr>
              <w:pStyle w:val="BodyTextNumbered"/>
              <w:ind w:left="2880" w:hanging="2160"/>
              <w:rPr>
                <w:lang w:val="pt-BR"/>
              </w:rPr>
            </w:pPr>
            <w:r>
              <w:t>UPESR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¼ * Min [(AA</w:t>
            </w:r>
            <w:r w:rsidR="00EA6FD7">
              <w:t>S</w:t>
            </w:r>
            <w:r>
              <w:t>P</w:t>
            </w:r>
            <w:r w:rsidRPr="003B26B2">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t xml:space="preserve"> - ABS (K4 *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 xml:space="preserve">, </w:t>
            </w:r>
            <w:r>
              <w:rPr>
                <w:i/>
                <w:vertAlign w:val="subscript"/>
                <w:lang w:val="pt-BR"/>
              </w:rPr>
              <w:t xml:space="preserve">p, </w:t>
            </w:r>
            <w:r w:rsidRPr="00A261C3">
              <w:rPr>
                <w:i/>
                <w:vertAlign w:val="subscript"/>
                <w:lang w:val="pt-BR"/>
              </w:rPr>
              <w:t>i</w:t>
            </w:r>
            <w:r>
              <w:rPr>
                <w:lang w:val="pt-BR"/>
              </w:rPr>
              <w:t>))</w:t>
            </w:r>
            <w:r>
              <w:t>,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rPr>
                <w:i/>
                <w:vertAlign w:val="subscript"/>
                <w:lang w:val="pt-BR"/>
              </w:rPr>
              <w:t xml:space="preserve"> </w:t>
            </w:r>
            <w:r>
              <w:rPr>
                <w:lang w:val="pt-BR"/>
              </w:rPr>
              <w:t>- Q4)] -</w:t>
            </w:r>
            <w:r w:rsidRPr="009860B0">
              <w:t xml:space="preserve"> </w:t>
            </w:r>
            <w:r w:rsidR="00986DDA">
              <w:t>TWTG</w:t>
            </w:r>
            <w:r>
              <w:rPr>
                <w:i/>
                <w:vertAlign w:val="subscript"/>
              </w:rPr>
              <w:t xml:space="preserve"> q, </w:t>
            </w:r>
            <w:r w:rsidR="00986DDA">
              <w:rPr>
                <w:i/>
                <w:vertAlign w:val="subscript"/>
              </w:rPr>
              <w:t>r</w:t>
            </w:r>
            <w:r w:rsidRPr="00A261C3">
              <w:rPr>
                <w:i/>
                <w:vertAlign w:val="subscript"/>
              </w:rPr>
              <w:t>,</w:t>
            </w:r>
            <w:r w:rsidR="00986DDA">
              <w:rPr>
                <w:i/>
                <w:vertAlign w:val="subscript"/>
              </w:rPr>
              <w:t xml:space="preserve"> p,</w:t>
            </w:r>
            <w:r w:rsidRPr="00A261C3">
              <w:rPr>
                <w:i/>
                <w:vertAlign w:val="subscript"/>
              </w:rPr>
              <w:t xml:space="preserve"> i</w:t>
            </w:r>
            <w:r>
              <w:t>]</w:t>
            </w:r>
            <w:r>
              <w:rPr>
                <w:lang w:val="pt-BR"/>
              </w:rPr>
              <w:t xml:space="preserve"> </w:t>
            </w:r>
          </w:p>
          <w:p w14:paraId="711359C7" w14:textId="77777777" w:rsidR="00986DDA" w:rsidRPr="00A552C3" w:rsidRDefault="00986DDA" w:rsidP="00986DDA">
            <w:pPr>
              <w:tabs>
                <w:tab w:val="left" w:pos="2340"/>
                <w:tab w:val="left" w:pos="3420"/>
              </w:tabs>
              <w:spacing w:after="240"/>
              <w:ind w:left="2880" w:hanging="2160"/>
              <w:rPr>
                <w:bCs/>
              </w:rPr>
            </w:pPr>
            <w:r w:rsidRPr="00A552C3">
              <w:rPr>
                <w:bCs/>
              </w:rPr>
              <w:t xml:space="preserve">Else: </w:t>
            </w:r>
          </w:p>
          <w:p w14:paraId="0E681F68" w14:textId="77777777" w:rsidR="00986DDA" w:rsidRPr="00A552C3" w:rsidRDefault="00986DDA" w:rsidP="00986DDA">
            <w:pPr>
              <w:spacing w:after="240"/>
              <w:ind w:left="1440" w:hanging="720"/>
              <w:rPr>
                <w:iCs/>
                <w:lang w:val="pt-BR"/>
              </w:rPr>
            </w:pPr>
            <w:r w:rsidRPr="00A552C3">
              <w:rPr>
                <w:iCs/>
                <w:lang w:val="pt-BR"/>
              </w:rPr>
              <w:t>UPESR</w:t>
            </w:r>
            <w:r w:rsidRPr="00A552C3">
              <w:rPr>
                <w:i/>
                <w:iCs/>
                <w:vertAlign w:val="subscript"/>
              </w:rPr>
              <w:t xml:space="preserve"> q, r, p, i  </w:t>
            </w:r>
            <w:r w:rsidRPr="00A552C3">
              <w:rPr>
                <w:iCs/>
                <w:lang w:val="pt-BR"/>
              </w:rPr>
              <w:t>=</w:t>
            </w:r>
            <w:r w:rsidRPr="00A552C3">
              <w:rPr>
                <w:iCs/>
                <w:lang w:val="pt-BR"/>
              </w:rPr>
              <w:tab/>
              <w:t>0</w:t>
            </w:r>
          </w:p>
          <w:p w14:paraId="4B8992DA" w14:textId="77777777" w:rsidR="00986DDA" w:rsidRPr="00A552C3" w:rsidRDefault="00986DDA" w:rsidP="00986DDA">
            <w:pPr>
              <w:spacing w:after="240"/>
              <w:ind w:left="2880" w:hanging="2160"/>
              <w:rPr>
                <w:lang w:val="pt-BR"/>
              </w:rPr>
            </w:pPr>
            <w:r w:rsidRPr="00A552C3">
              <w:rPr>
                <w:iCs/>
                <w:lang w:val="pt-BR"/>
              </w:rPr>
              <w:t xml:space="preserve">Where: </w:t>
            </w:r>
          </w:p>
          <w:p w14:paraId="193F8766" w14:textId="77777777" w:rsidR="008C5B01" w:rsidRPr="00E87187" w:rsidRDefault="008C5B01" w:rsidP="008C5B01">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E87187">
              <w:rPr>
                <w:i/>
              </w:rPr>
              <w:t xml:space="preserve">= </w:t>
            </w:r>
            <w:r w:rsidRPr="009C51D8">
              <w:rPr>
                <w:i/>
                <w:vertAlign w:val="subscript"/>
              </w:rPr>
              <w:t xml:space="preserve">     </w:t>
            </w:r>
            <w:r w:rsidRPr="009C51D8">
              <w:t xml:space="preserve"> (</w:t>
            </w:r>
            <w:r w:rsidRPr="009C51D8">
              <w:rPr>
                <w:position w:val="-22"/>
              </w:rPr>
              <w:object w:dxaOrig="210" w:dyaOrig="450" w14:anchorId="7F7541E1">
                <v:shape id="_x0000_i1194" type="#_x0000_t75" style="width:6pt;height:24pt" o:ole="">
                  <v:imagedata r:id="rId208" o:title=""/>
                </v:shape>
                <o:OLEObject Type="Embed" ProgID="Equation.3" ShapeID="_x0000_i1194" DrawAspect="Content" ObjectID="_1804653679" r:id="rId226"/>
              </w:object>
            </w:r>
            <w:r w:rsidRPr="009C51D8">
              <w:t xml:space="preserve"> (AVGTG5M</w:t>
            </w:r>
            <w:r w:rsidRPr="009C51D8">
              <w:rPr>
                <w:i/>
                <w:vertAlign w:val="subscript"/>
              </w:rPr>
              <w:t xml:space="preserve"> q, r, p, i, y</w:t>
            </w:r>
            <w:r w:rsidRPr="009C51D8">
              <w:t>) / 3) * ¼</w:t>
            </w:r>
          </w:p>
          <w:p w14:paraId="353A256E" w14:textId="77777777" w:rsidR="008C5B01" w:rsidRDefault="008C5B01" w:rsidP="008C5B01">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482FEB" w:rsidRPr="00B2348D" w14:paraId="00521888" w14:textId="77777777" w:rsidTr="001B737D">
              <w:trPr>
                <w:cantSplit/>
                <w:tblHeader/>
              </w:trPr>
              <w:tc>
                <w:tcPr>
                  <w:tcW w:w="1776" w:type="dxa"/>
                </w:tcPr>
                <w:p w14:paraId="1BB96BF0" w14:textId="77777777" w:rsidR="00482FEB" w:rsidRPr="00B2348D" w:rsidRDefault="00482FEB" w:rsidP="00482FEB">
                  <w:pPr>
                    <w:pStyle w:val="TableHead"/>
                    <w:tabs>
                      <w:tab w:val="right" w:pos="9360"/>
                    </w:tabs>
                  </w:pPr>
                  <w:r w:rsidRPr="006624C0">
                    <w:t>Variable</w:t>
                  </w:r>
                </w:p>
              </w:tc>
              <w:tc>
                <w:tcPr>
                  <w:tcW w:w="892" w:type="dxa"/>
                </w:tcPr>
                <w:p w14:paraId="336E9115" w14:textId="77777777" w:rsidR="00482FEB" w:rsidRPr="00B2348D" w:rsidRDefault="00482FEB" w:rsidP="00482FEB">
                  <w:pPr>
                    <w:pStyle w:val="TableHead"/>
                    <w:tabs>
                      <w:tab w:val="right" w:pos="9360"/>
                    </w:tabs>
                  </w:pPr>
                  <w:r w:rsidRPr="006624C0">
                    <w:t>Unit</w:t>
                  </w:r>
                </w:p>
              </w:tc>
              <w:tc>
                <w:tcPr>
                  <w:tcW w:w="6695" w:type="dxa"/>
                </w:tcPr>
                <w:p w14:paraId="33C0A3A1" w14:textId="77777777" w:rsidR="00482FEB" w:rsidRPr="00B2348D" w:rsidRDefault="00482FEB" w:rsidP="00482FEB">
                  <w:pPr>
                    <w:pStyle w:val="TableHead"/>
                    <w:tabs>
                      <w:tab w:val="right" w:pos="9360"/>
                    </w:tabs>
                  </w:pPr>
                  <w:r w:rsidRPr="006624C0">
                    <w:t>Definition</w:t>
                  </w:r>
                </w:p>
              </w:tc>
            </w:tr>
            <w:tr w:rsidR="00482FEB" w:rsidRPr="00B2348D" w14:paraId="19F8D04F" w14:textId="77777777" w:rsidTr="001B737D">
              <w:trPr>
                <w:cantSplit/>
              </w:trPr>
              <w:tc>
                <w:tcPr>
                  <w:tcW w:w="1776" w:type="dxa"/>
                </w:tcPr>
                <w:p w14:paraId="6883BFFE" w14:textId="2E5870D2" w:rsidR="00482FEB" w:rsidRPr="00B2348D" w:rsidRDefault="00EA6FD7" w:rsidP="00482FEB">
                  <w:pPr>
                    <w:pStyle w:val="TableBody"/>
                  </w:pPr>
                  <w:r>
                    <w:t>S</w:t>
                  </w:r>
                  <w:r w:rsidR="00482FEB" w:rsidRPr="006624C0">
                    <w:t xml:space="preserve">PDAMT </w:t>
                  </w:r>
                  <w:r w:rsidR="00482FEB" w:rsidRPr="006624C0">
                    <w:rPr>
                      <w:i/>
                      <w:vertAlign w:val="subscript"/>
                    </w:rPr>
                    <w:t>q, r, p, i</w:t>
                  </w:r>
                </w:p>
              </w:tc>
              <w:tc>
                <w:tcPr>
                  <w:tcW w:w="892" w:type="dxa"/>
                </w:tcPr>
                <w:p w14:paraId="21696205" w14:textId="77777777" w:rsidR="00482FEB" w:rsidRPr="00B2348D" w:rsidRDefault="00482FEB" w:rsidP="00482FEB">
                  <w:pPr>
                    <w:pStyle w:val="TableBody"/>
                  </w:pPr>
                  <w:r w:rsidRPr="006624C0">
                    <w:t>$</w:t>
                  </w:r>
                </w:p>
              </w:tc>
              <w:tc>
                <w:tcPr>
                  <w:tcW w:w="6695" w:type="dxa"/>
                </w:tcPr>
                <w:p w14:paraId="62E22D82" w14:textId="22E9BECD" w:rsidR="00482FEB" w:rsidRPr="00B2348D" w:rsidRDefault="00EA6FD7" w:rsidP="00986DDA">
                  <w:pPr>
                    <w:pStyle w:val="TableBody"/>
                  </w:pPr>
                  <w:r>
                    <w:rPr>
                      <w:i/>
                    </w:rPr>
                    <w:t>Set</w:t>
                  </w:r>
                  <w:r w:rsidR="00482FEB" w:rsidRPr="006624C0">
                    <w:rPr>
                      <w:i/>
                    </w:rPr>
                    <w:t xml:space="preserve"> Point Deviation Charge per QSE per Settlement Point per Resource</w:t>
                  </w:r>
                  <w:r w:rsidR="00482FEB" w:rsidRPr="006624C0">
                    <w:t xml:space="preserve">—The charge to QSE </w:t>
                  </w:r>
                  <w:r w:rsidR="00482FEB" w:rsidRPr="006624C0">
                    <w:rPr>
                      <w:i/>
                    </w:rPr>
                    <w:t>q</w:t>
                  </w:r>
                  <w:r w:rsidR="00482FEB" w:rsidRPr="006624C0">
                    <w:t xml:space="preserve"> for </w:t>
                  </w:r>
                  <w:r w:rsidR="00482FEB">
                    <w:t xml:space="preserve">Resource </w:t>
                  </w:r>
                  <w:r w:rsidR="00482FEB">
                    <w:rPr>
                      <w:i/>
                    </w:rPr>
                    <w:t xml:space="preserve">r </w:t>
                  </w:r>
                  <w:r w:rsidR="00482FEB" w:rsidRPr="006624C0">
                    <w:t xml:space="preserve">at Resource Node </w:t>
                  </w:r>
                  <w:r w:rsidR="00482FEB" w:rsidRPr="006624C0">
                    <w:rPr>
                      <w:i/>
                    </w:rPr>
                    <w:t>p</w:t>
                  </w:r>
                  <w:r w:rsidR="00482FEB" w:rsidRPr="006624C0">
                    <w:t xml:space="preserve">, for its deviation from </w:t>
                  </w:r>
                  <w:r>
                    <w:t>AASP</w:t>
                  </w:r>
                  <w:r w:rsidR="00482FEB" w:rsidRPr="006624C0">
                    <w:t xml:space="preserve">, for the 15-minute Settlement Interval </w:t>
                  </w:r>
                  <w:r w:rsidR="00482FEB" w:rsidRPr="006624C0">
                    <w:rPr>
                      <w:i/>
                    </w:rPr>
                    <w:t>i</w:t>
                  </w:r>
                  <w:r w:rsidR="00482FEB" w:rsidRPr="006624C0">
                    <w:t xml:space="preserve">.  </w:t>
                  </w:r>
                </w:p>
              </w:tc>
            </w:tr>
            <w:tr w:rsidR="00482FEB" w:rsidRPr="00B2348D" w14:paraId="1A2978F4" w14:textId="77777777" w:rsidTr="001B737D">
              <w:trPr>
                <w:cantSplit/>
              </w:trPr>
              <w:tc>
                <w:tcPr>
                  <w:tcW w:w="1776" w:type="dxa"/>
                </w:tcPr>
                <w:p w14:paraId="795C38BE" w14:textId="77777777" w:rsidR="00482FEB" w:rsidRPr="00B2348D" w:rsidRDefault="00482FEB" w:rsidP="00482FEB">
                  <w:pPr>
                    <w:pStyle w:val="TableBody"/>
                  </w:pPr>
                  <w:r w:rsidRPr="006624C0">
                    <w:lastRenderedPageBreak/>
                    <w:t xml:space="preserve">RTSPP </w:t>
                  </w:r>
                  <w:r w:rsidRPr="006624C0">
                    <w:rPr>
                      <w:i/>
                      <w:vertAlign w:val="subscript"/>
                    </w:rPr>
                    <w:t>p, i</w:t>
                  </w:r>
                </w:p>
              </w:tc>
              <w:tc>
                <w:tcPr>
                  <w:tcW w:w="892" w:type="dxa"/>
                </w:tcPr>
                <w:p w14:paraId="61F9CD41" w14:textId="77777777" w:rsidR="00482FEB" w:rsidRPr="00B2348D" w:rsidRDefault="00482FEB" w:rsidP="00482FEB">
                  <w:pPr>
                    <w:pStyle w:val="TableBody"/>
                  </w:pPr>
                  <w:r w:rsidRPr="006624C0">
                    <w:t>$/MWh</w:t>
                  </w:r>
                </w:p>
              </w:tc>
              <w:tc>
                <w:tcPr>
                  <w:tcW w:w="6695" w:type="dxa"/>
                </w:tcPr>
                <w:p w14:paraId="474416BF" w14:textId="77777777" w:rsidR="00482FEB" w:rsidRPr="00B2348D" w:rsidRDefault="00482FEB" w:rsidP="00482FEB">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82FEB" w:rsidRPr="00B2348D" w14:paraId="0EDB2CA0" w14:textId="77777777" w:rsidTr="001B737D">
              <w:trPr>
                <w:cantSplit/>
              </w:trPr>
              <w:tc>
                <w:tcPr>
                  <w:tcW w:w="1776" w:type="dxa"/>
                </w:tcPr>
                <w:p w14:paraId="4DECD06B" w14:textId="77777777" w:rsidR="00482FEB" w:rsidRPr="00B2348D" w:rsidRDefault="00482FEB" w:rsidP="00482FEB">
                  <w:pPr>
                    <w:pStyle w:val="TableBody"/>
                  </w:pPr>
                  <w:r w:rsidRPr="00B2348D">
                    <w:t xml:space="preserve">TWTG </w:t>
                  </w:r>
                  <w:r w:rsidRPr="006624C0">
                    <w:rPr>
                      <w:i/>
                      <w:vertAlign w:val="subscript"/>
                    </w:rPr>
                    <w:t>q, r, p, i</w:t>
                  </w:r>
                </w:p>
              </w:tc>
              <w:tc>
                <w:tcPr>
                  <w:tcW w:w="892" w:type="dxa"/>
                </w:tcPr>
                <w:p w14:paraId="11047A5B" w14:textId="77777777" w:rsidR="00482FEB" w:rsidRPr="00B2348D" w:rsidRDefault="00482FEB" w:rsidP="00482FEB">
                  <w:pPr>
                    <w:pStyle w:val="TableBody"/>
                  </w:pPr>
                  <w:r w:rsidRPr="00B2348D">
                    <w:t>MWh</w:t>
                  </w:r>
                </w:p>
              </w:tc>
              <w:tc>
                <w:tcPr>
                  <w:tcW w:w="6695" w:type="dxa"/>
                </w:tcPr>
                <w:p w14:paraId="73D6B498" w14:textId="7C49764A" w:rsidR="00482FEB" w:rsidRPr="00B2348D" w:rsidRDefault="00482FEB" w:rsidP="00986DDA">
                  <w:pPr>
                    <w:pStyle w:val="TableBody"/>
                    <w:rPr>
                      <w:i/>
                    </w:rPr>
                  </w:pPr>
                  <w:r w:rsidRPr="00B2348D">
                    <w:rPr>
                      <w:i/>
                    </w:rPr>
                    <w:t>Time-Weighted Telemetered Generation per QSE per Settlement Point per Resource</w:t>
                  </w:r>
                  <w:r w:rsidRPr="00B2348D">
                    <w:t xml:space="preserve">—The telemetered generation </w:t>
                  </w:r>
                  <w:r w:rsidR="00986DDA">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482FEB" w:rsidRPr="00B2348D" w14:paraId="2094FBFB" w14:textId="77777777" w:rsidTr="001B737D">
              <w:trPr>
                <w:cantSplit/>
              </w:trPr>
              <w:tc>
                <w:tcPr>
                  <w:tcW w:w="1776" w:type="dxa"/>
                </w:tcPr>
                <w:p w14:paraId="094B9DEA" w14:textId="294C0173" w:rsidR="00482FEB" w:rsidRPr="00B2348D" w:rsidRDefault="00482FEB" w:rsidP="00EA6FD7">
                  <w:pPr>
                    <w:pStyle w:val="TableBody"/>
                  </w:pPr>
                  <w:r w:rsidRPr="00B2348D">
                    <w:t>AA</w:t>
                  </w:r>
                  <w:r w:rsidR="00EA6FD7">
                    <w:t>S</w:t>
                  </w:r>
                  <w:r w:rsidRPr="00B2348D">
                    <w:t>P</w:t>
                  </w:r>
                  <w:r>
                    <w:t xml:space="preserve"> </w:t>
                  </w:r>
                  <w:r w:rsidRPr="006624C0">
                    <w:rPr>
                      <w:i/>
                      <w:vertAlign w:val="subscript"/>
                    </w:rPr>
                    <w:t>q, r, p, i</w:t>
                  </w:r>
                </w:p>
              </w:tc>
              <w:tc>
                <w:tcPr>
                  <w:tcW w:w="892" w:type="dxa"/>
                </w:tcPr>
                <w:p w14:paraId="34F5DECB" w14:textId="77777777" w:rsidR="00482FEB" w:rsidRPr="00B2348D" w:rsidRDefault="00482FEB" w:rsidP="00482FEB">
                  <w:pPr>
                    <w:pStyle w:val="TableBody"/>
                  </w:pPr>
                  <w:r w:rsidRPr="00B2348D">
                    <w:t>MW</w:t>
                  </w:r>
                </w:p>
              </w:tc>
              <w:tc>
                <w:tcPr>
                  <w:tcW w:w="6695" w:type="dxa"/>
                </w:tcPr>
                <w:p w14:paraId="5770E1D8" w14:textId="636F2AE1" w:rsidR="00482FEB" w:rsidRPr="00B2348D" w:rsidRDefault="00EA6FD7" w:rsidP="00986DDA">
                  <w:pPr>
                    <w:pStyle w:val="TableBody"/>
                    <w:rPr>
                      <w:i/>
                    </w:rPr>
                  </w:pPr>
                  <w:r>
                    <w:rPr>
                      <w:i/>
                    </w:rPr>
                    <w:t>Average</w:t>
                  </w:r>
                  <w:r w:rsidR="00482FEB" w:rsidRPr="00B2348D">
                    <w:rPr>
                      <w:i/>
                    </w:rPr>
                    <w:t xml:space="preserve"> Aggregated </w:t>
                  </w:r>
                  <w:r>
                    <w:rPr>
                      <w:i/>
                    </w:rPr>
                    <w:t>Set</w:t>
                  </w:r>
                  <w:r w:rsidR="00482FEB" w:rsidRPr="00B2348D">
                    <w:rPr>
                      <w:i/>
                    </w:rPr>
                    <w:t xml:space="preserve"> Point per QSE per Settlement Point per Resource</w:t>
                  </w:r>
                  <w:r w:rsidR="00482FEB" w:rsidRPr="00B2348D">
                    <w:t xml:space="preserve">—The </w:t>
                  </w:r>
                  <w:r>
                    <w:rPr>
                      <w:iCs w:val="0"/>
                    </w:rPr>
                    <w:t>average of the Average Five Minute Clock Interval Set Point (AVGSP5M)</w:t>
                  </w:r>
                  <w:r w:rsidR="00482FEB" w:rsidRPr="00B2348D">
                    <w:t xml:space="preserve"> of </w:t>
                  </w:r>
                  <w:r w:rsidR="00482FEB">
                    <w:t xml:space="preserve">Resource </w:t>
                  </w:r>
                  <w:r w:rsidR="00482FEB" w:rsidRPr="00B2348D">
                    <w:rPr>
                      <w:i/>
                    </w:rPr>
                    <w:t>r</w:t>
                  </w:r>
                  <w:r w:rsidR="00482FEB" w:rsidRPr="00B2348D">
                    <w:t xml:space="preserve"> represented by QSE </w:t>
                  </w:r>
                  <w:r w:rsidR="00482FEB" w:rsidRPr="00B2348D">
                    <w:rPr>
                      <w:i/>
                    </w:rPr>
                    <w:t>q</w:t>
                  </w:r>
                  <w:r w:rsidR="00482FEB" w:rsidRPr="00B2348D">
                    <w:t xml:space="preserve"> at </w:t>
                  </w:r>
                  <w:r w:rsidR="00482FEB">
                    <w:t>Settlement Point</w:t>
                  </w:r>
                  <w:r w:rsidR="00482FEB" w:rsidRPr="00B2348D">
                    <w:t xml:space="preserve"> </w:t>
                  </w:r>
                  <w:r w:rsidR="00482FEB" w:rsidRPr="00B2348D">
                    <w:rPr>
                      <w:i/>
                    </w:rPr>
                    <w:t>p,</w:t>
                  </w:r>
                  <w:r w:rsidR="00482FEB" w:rsidRPr="00B2348D">
                    <w:t xml:space="preserve"> for the 15-minute Settlement Interval</w:t>
                  </w:r>
                  <w:r w:rsidR="00482FEB" w:rsidRPr="00B2348D">
                    <w:rPr>
                      <w:i/>
                    </w:rPr>
                    <w:t xml:space="preserve"> i</w:t>
                  </w:r>
                  <w:r w:rsidR="00482FEB" w:rsidRPr="00B2348D">
                    <w:t xml:space="preserve">.  </w:t>
                  </w:r>
                </w:p>
              </w:tc>
            </w:tr>
            <w:tr w:rsidR="00482FEB" w:rsidRPr="00B2348D" w14:paraId="284E0C0E" w14:textId="77777777" w:rsidTr="001B737D">
              <w:trPr>
                <w:cantSplit/>
              </w:trPr>
              <w:tc>
                <w:tcPr>
                  <w:tcW w:w="1776" w:type="dxa"/>
                </w:tcPr>
                <w:p w14:paraId="1C901A90" w14:textId="77777777" w:rsidR="00482FEB" w:rsidRPr="00B2348D" w:rsidRDefault="00482FEB" w:rsidP="00482FEB">
                  <w:pPr>
                    <w:pStyle w:val="TableBody"/>
                  </w:pPr>
                  <w:r w:rsidRPr="006624C0">
                    <w:t>AVGTG5M</w:t>
                  </w:r>
                  <w:r>
                    <w:t xml:space="preserve"> </w:t>
                  </w:r>
                  <w:r w:rsidRPr="006624C0">
                    <w:rPr>
                      <w:i/>
                      <w:vertAlign w:val="subscript"/>
                      <w:lang w:val="fr-FR"/>
                    </w:rPr>
                    <w:t>q, r, p, i, y</w:t>
                  </w:r>
                </w:p>
              </w:tc>
              <w:tc>
                <w:tcPr>
                  <w:tcW w:w="892" w:type="dxa"/>
                </w:tcPr>
                <w:p w14:paraId="5F57D6DC" w14:textId="77777777" w:rsidR="00482FEB" w:rsidRPr="00B2348D" w:rsidRDefault="00482FEB" w:rsidP="00482FEB">
                  <w:pPr>
                    <w:pStyle w:val="TableBody"/>
                  </w:pPr>
                  <w:r w:rsidRPr="006624C0">
                    <w:t>MW</w:t>
                  </w:r>
                </w:p>
              </w:tc>
              <w:tc>
                <w:tcPr>
                  <w:tcW w:w="6695" w:type="dxa"/>
                </w:tcPr>
                <w:p w14:paraId="47DA99E0" w14:textId="3ACCDAD9" w:rsidR="00482FEB" w:rsidRPr="00B2348D" w:rsidRDefault="00482FEB" w:rsidP="00986DDA">
                  <w:pPr>
                    <w:pStyle w:val="TableBody"/>
                  </w:pPr>
                  <w:r w:rsidRPr="006624C0">
                    <w:rPr>
                      <w:i/>
                    </w:rPr>
                    <w:t>Average Telemetered Generation for the 5 Minutes</w:t>
                  </w:r>
                  <w:r w:rsidRPr="006624C0">
                    <w:t xml:space="preserve">—The average telemetered generation </w:t>
                  </w:r>
                  <w:r w:rsidR="00986DDA">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82FEB" w:rsidRPr="00B2348D" w14:paraId="4DFE085E" w14:textId="77777777" w:rsidTr="001B737D">
              <w:trPr>
                <w:cantSplit/>
              </w:trPr>
              <w:tc>
                <w:tcPr>
                  <w:tcW w:w="1776" w:type="dxa"/>
                </w:tcPr>
                <w:p w14:paraId="389A4AB9" w14:textId="77777777" w:rsidR="00482FEB" w:rsidRPr="00B2348D" w:rsidRDefault="00482FEB" w:rsidP="00482FEB">
                  <w:pPr>
                    <w:pStyle w:val="TableBody"/>
                  </w:pPr>
                  <w:r>
                    <w:t>UPESR</w:t>
                  </w:r>
                  <w:r w:rsidRPr="006624C0">
                    <w:t xml:space="preserve"> </w:t>
                  </w:r>
                  <w:r w:rsidRPr="006624C0">
                    <w:rPr>
                      <w:i/>
                      <w:vertAlign w:val="subscript"/>
                    </w:rPr>
                    <w:t>q, r, p, i</w:t>
                  </w:r>
                </w:p>
              </w:tc>
              <w:tc>
                <w:tcPr>
                  <w:tcW w:w="892" w:type="dxa"/>
                </w:tcPr>
                <w:p w14:paraId="1231653D" w14:textId="77777777" w:rsidR="00482FEB" w:rsidRPr="00B2348D" w:rsidRDefault="00482FEB" w:rsidP="00482FEB">
                  <w:pPr>
                    <w:pStyle w:val="TableBody"/>
                  </w:pPr>
                  <w:r w:rsidRPr="006624C0">
                    <w:t>MW</w:t>
                  </w:r>
                  <w:r>
                    <w:t>h</w:t>
                  </w:r>
                </w:p>
              </w:tc>
              <w:tc>
                <w:tcPr>
                  <w:tcW w:w="6695" w:type="dxa"/>
                </w:tcPr>
                <w:p w14:paraId="0C059A53" w14:textId="2A1F3152" w:rsidR="00482FEB" w:rsidRPr="00B2348D" w:rsidRDefault="00482FEB" w:rsidP="00986DDA">
                  <w:pPr>
                    <w:pStyle w:val="TableBody"/>
                  </w:pPr>
                  <w:r>
                    <w:rPr>
                      <w:i/>
                    </w:rPr>
                    <w:t>Under-Performance</w:t>
                  </w:r>
                  <w:r w:rsidRPr="006624C0">
                    <w:rPr>
                      <w:i/>
                    </w:rPr>
                    <w:t xml:space="preserve"> Volumes per QSE per Settlement Point per Resource</w:t>
                  </w:r>
                  <w:r w:rsidRPr="006624C0">
                    <w:t xml:space="preserve">—The amount </w:t>
                  </w:r>
                  <w:r>
                    <w:t xml:space="preserve">the ESR </w:t>
                  </w:r>
                  <w:r w:rsidR="00986DDA">
                    <w:rPr>
                      <w:i/>
                    </w:rPr>
                    <w:t>r</w:t>
                  </w:r>
                  <w:r w:rsidR="00986DDA">
                    <w:t xml:space="preserve"> </w:t>
                  </w:r>
                  <w:r>
                    <w:t>under-performed 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482FEB" w:rsidRPr="00B2348D" w14:paraId="0F6CF4DF" w14:textId="77777777" w:rsidTr="001B737D">
              <w:trPr>
                <w:cantSplit/>
              </w:trPr>
              <w:tc>
                <w:tcPr>
                  <w:tcW w:w="1776" w:type="dxa"/>
                </w:tcPr>
                <w:p w14:paraId="2F31F4C4" w14:textId="77777777" w:rsidR="00482FEB" w:rsidRPr="00B2348D" w:rsidRDefault="00482FEB" w:rsidP="00482FEB">
                  <w:pPr>
                    <w:pStyle w:val="TableBody"/>
                  </w:pPr>
                  <w:r w:rsidRPr="006624C0">
                    <w:t>PR</w:t>
                  </w:r>
                  <w:r>
                    <w:t>4</w:t>
                  </w:r>
                </w:p>
              </w:tc>
              <w:tc>
                <w:tcPr>
                  <w:tcW w:w="892" w:type="dxa"/>
                </w:tcPr>
                <w:p w14:paraId="2A87D95F" w14:textId="77777777" w:rsidR="00482FEB" w:rsidRPr="00B2348D" w:rsidRDefault="00482FEB" w:rsidP="00482FEB">
                  <w:pPr>
                    <w:pStyle w:val="TableBody"/>
                  </w:pPr>
                  <w:r w:rsidRPr="006624C0">
                    <w:t>$/MWh</w:t>
                  </w:r>
                </w:p>
              </w:tc>
              <w:tc>
                <w:tcPr>
                  <w:tcW w:w="6695" w:type="dxa"/>
                </w:tcPr>
                <w:p w14:paraId="38AAE701" w14:textId="09B3DEF3" w:rsidR="00482FEB" w:rsidRPr="00B2348D" w:rsidRDefault="00482FEB" w:rsidP="00EA6FD7">
                  <w:pPr>
                    <w:pStyle w:val="TableBody"/>
                  </w:pPr>
                  <w:r>
                    <w:t xml:space="preserve">The </w:t>
                  </w:r>
                  <w:r w:rsidRPr="006624C0">
                    <w:t xml:space="preserve">price to use for the </w:t>
                  </w:r>
                  <w:r w:rsidR="00EA6FD7">
                    <w:t>Set</w:t>
                  </w:r>
                  <w:r w:rsidRPr="006624C0">
                    <w:t xml:space="preserve"> P</w:t>
                  </w:r>
                  <w:r>
                    <w:t>oint Deviation Charge for under-performance</w:t>
                  </w:r>
                  <w:r w:rsidRPr="006624C0">
                    <w:t xml:space="preserve"> when RTSPP is </w:t>
                  </w:r>
                  <w:r>
                    <w:t>greater</w:t>
                  </w:r>
                  <w:r w:rsidRPr="006624C0">
                    <w:t xml:space="preserve"> than </w:t>
                  </w:r>
                  <w:r>
                    <w:t>-</w:t>
                  </w:r>
                  <w:r w:rsidRPr="006624C0">
                    <w:t>$20</w:t>
                  </w:r>
                  <w:r>
                    <w:t>/MWh, -$20/MWh</w:t>
                  </w:r>
                  <w:r w:rsidRPr="006624C0">
                    <w:t xml:space="preserve">.  </w:t>
                  </w:r>
                </w:p>
              </w:tc>
            </w:tr>
            <w:tr w:rsidR="00482FEB" w:rsidRPr="00B2348D" w14:paraId="426EC6D4" w14:textId="77777777" w:rsidTr="001B737D">
              <w:trPr>
                <w:cantSplit/>
              </w:trPr>
              <w:tc>
                <w:tcPr>
                  <w:tcW w:w="1776" w:type="dxa"/>
                </w:tcPr>
                <w:p w14:paraId="61FACAE1" w14:textId="77777777" w:rsidR="00482FEB" w:rsidRPr="00B2348D" w:rsidRDefault="00482FEB" w:rsidP="00482FEB">
                  <w:pPr>
                    <w:pStyle w:val="TableBody"/>
                  </w:pPr>
                  <w:r w:rsidRPr="006624C0">
                    <w:t>K</w:t>
                  </w:r>
                  <w:r>
                    <w:t>4</w:t>
                  </w:r>
                </w:p>
              </w:tc>
              <w:tc>
                <w:tcPr>
                  <w:tcW w:w="892" w:type="dxa"/>
                </w:tcPr>
                <w:p w14:paraId="6D45F898" w14:textId="77777777" w:rsidR="00482FEB" w:rsidRPr="00B2348D" w:rsidRDefault="00482FEB" w:rsidP="00482FEB">
                  <w:pPr>
                    <w:pStyle w:val="TableBody"/>
                  </w:pPr>
                  <w:r w:rsidRPr="006624C0">
                    <w:t>none</w:t>
                  </w:r>
                </w:p>
              </w:tc>
              <w:tc>
                <w:tcPr>
                  <w:tcW w:w="6695" w:type="dxa"/>
                </w:tcPr>
                <w:p w14:paraId="305EDDC6" w14:textId="77777777" w:rsidR="00482FEB" w:rsidRPr="00B2348D" w:rsidRDefault="00482FEB" w:rsidP="00482FEB">
                  <w:pPr>
                    <w:pStyle w:val="TableBody"/>
                  </w:pPr>
                  <w:r w:rsidRPr="006624C0">
                    <w:t>Th</w:t>
                  </w:r>
                  <w:r>
                    <w:t>e percentage tolerance for under-performance</w:t>
                  </w:r>
                  <w:r w:rsidRPr="006624C0">
                    <w:t xml:space="preserve">, </w:t>
                  </w:r>
                  <w:r>
                    <w:t>3</w:t>
                  </w:r>
                  <w:r w:rsidRPr="006624C0">
                    <w:t xml:space="preserve">%.  </w:t>
                  </w:r>
                </w:p>
              </w:tc>
            </w:tr>
            <w:tr w:rsidR="00482FEB" w:rsidRPr="00B2348D" w14:paraId="6683336A" w14:textId="77777777" w:rsidTr="001B737D">
              <w:trPr>
                <w:cantSplit/>
              </w:trPr>
              <w:tc>
                <w:tcPr>
                  <w:tcW w:w="1776" w:type="dxa"/>
                </w:tcPr>
                <w:p w14:paraId="2ECE7AF3" w14:textId="77777777" w:rsidR="00482FEB" w:rsidRPr="00B2348D" w:rsidRDefault="00482FEB" w:rsidP="00482FEB">
                  <w:pPr>
                    <w:pStyle w:val="TableBody"/>
                  </w:pPr>
                  <w:r w:rsidRPr="006624C0">
                    <w:t>Q</w:t>
                  </w:r>
                  <w:r>
                    <w:t>4</w:t>
                  </w:r>
                </w:p>
              </w:tc>
              <w:tc>
                <w:tcPr>
                  <w:tcW w:w="892" w:type="dxa"/>
                </w:tcPr>
                <w:p w14:paraId="424F7E24" w14:textId="77777777" w:rsidR="00482FEB" w:rsidRPr="00B2348D" w:rsidRDefault="00482FEB" w:rsidP="00482FEB">
                  <w:pPr>
                    <w:pStyle w:val="TableBody"/>
                  </w:pPr>
                  <w:r w:rsidRPr="006624C0">
                    <w:t>MW</w:t>
                  </w:r>
                </w:p>
              </w:tc>
              <w:tc>
                <w:tcPr>
                  <w:tcW w:w="6695" w:type="dxa"/>
                </w:tcPr>
                <w:p w14:paraId="7EA6F7F3" w14:textId="77777777" w:rsidR="00482FEB" w:rsidRPr="00B2348D" w:rsidRDefault="00482FEB" w:rsidP="00482FEB">
                  <w:pPr>
                    <w:pStyle w:val="TableBody"/>
                  </w:pPr>
                  <w:r>
                    <w:t>The MW tolerance for under-performance</w:t>
                  </w:r>
                  <w:r w:rsidRPr="006624C0">
                    <w:t xml:space="preserve">, </w:t>
                  </w:r>
                  <w:r>
                    <w:t xml:space="preserve">three </w:t>
                  </w:r>
                  <w:r w:rsidRPr="006624C0">
                    <w:t>MW.</w:t>
                  </w:r>
                </w:p>
              </w:tc>
            </w:tr>
            <w:tr w:rsidR="00482FEB" w:rsidRPr="00B2348D" w14:paraId="5E832FF3" w14:textId="77777777" w:rsidTr="001B737D">
              <w:trPr>
                <w:cantSplit/>
              </w:trPr>
              <w:tc>
                <w:tcPr>
                  <w:tcW w:w="1776" w:type="dxa"/>
                </w:tcPr>
                <w:p w14:paraId="52585960" w14:textId="77777777" w:rsidR="00482FEB" w:rsidRPr="006624C0" w:rsidRDefault="00482FEB" w:rsidP="00482FEB">
                  <w:pPr>
                    <w:pStyle w:val="TableBody"/>
                  </w:pPr>
                  <w:r>
                    <w:t>KP2</w:t>
                  </w:r>
                </w:p>
              </w:tc>
              <w:tc>
                <w:tcPr>
                  <w:tcW w:w="892" w:type="dxa"/>
                </w:tcPr>
                <w:p w14:paraId="226998FC" w14:textId="77777777" w:rsidR="00482FEB" w:rsidRPr="006624C0" w:rsidRDefault="00482FEB" w:rsidP="00482FEB">
                  <w:pPr>
                    <w:pStyle w:val="TableBody"/>
                  </w:pPr>
                  <w:r>
                    <w:t>none</w:t>
                  </w:r>
                </w:p>
              </w:tc>
              <w:tc>
                <w:tcPr>
                  <w:tcW w:w="6695" w:type="dxa"/>
                </w:tcPr>
                <w:p w14:paraId="481EBE9C" w14:textId="77777777" w:rsidR="00482FEB" w:rsidRDefault="00482FEB" w:rsidP="00482FEB">
                  <w:pPr>
                    <w:pStyle w:val="TableBody"/>
                  </w:pPr>
                  <w:r w:rsidRPr="00561EC3">
                    <w:t>The coefficient applied to the S</w:t>
                  </w:r>
                  <w:r>
                    <w:t xml:space="preserve">ettlement Point Price for under-performance </w:t>
                  </w:r>
                  <w:r w:rsidRPr="00561EC3">
                    <w:t>charge, 1.0.</w:t>
                  </w:r>
                </w:p>
              </w:tc>
            </w:tr>
            <w:tr w:rsidR="00482FEB" w:rsidRPr="00B2348D" w14:paraId="7976C22C" w14:textId="77777777" w:rsidTr="001B737D">
              <w:trPr>
                <w:cantSplit/>
              </w:trPr>
              <w:tc>
                <w:tcPr>
                  <w:tcW w:w="1776" w:type="dxa"/>
                </w:tcPr>
                <w:p w14:paraId="69D36FD7" w14:textId="77777777" w:rsidR="00482FEB" w:rsidRPr="00B2348D" w:rsidRDefault="00482FEB" w:rsidP="00482FEB">
                  <w:pPr>
                    <w:pStyle w:val="TableBody"/>
                    <w:rPr>
                      <w:i/>
                    </w:rPr>
                  </w:pPr>
                  <w:r>
                    <w:rPr>
                      <w:i/>
                    </w:rPr>
                    <w:t>q</w:t>
                  </w:r>
                </w:p>
              </w:tc>
              <w:tc>
                <w:tcPr>
                  <w:tcW w:w="892" w:type="dxa"/>
                </w:tcPr>
                <w:p w14:paraId="6F7680E4" w14:textId="77777777" w:rsidR="00482FEB" w:rsidRPr="00B2348D" w:rsidRDefault="00482FEB" w:rsidP="00482FEB">
                  <w:pPr>
                    <w:pStyle w:val="TableBody"/>
                  </w:pPr>
                  <w:r w:rsidRPr="006624C0">
                    <w:t>none</w:t>
                  </w:r>
                </w:p>
              </w:tc>
              <w:tc>
                <w:tcPr>
                  <w:tcW w:w="6695" w:type="dxa"/>
                </w:tcPr>
                <w:p w14:paraId="303B9959" w14:textId="77777777" w:rsidR="00482FEB" w:rsidRPr="00B2348D" w:rsidRDefault="00482FEB" w:rsidP="00482FEB">
                  <w:pPr>
                    <w:pStyle w:val="TableBody"/>
                  </w:pPr>
                  <w:r w:rsidRPr="006624C0">
                    <w:t>A QSE.</w:t>
                  </w:r>
                </w:p>
              </w:tc>
            </w:tr>
            <w:tr w:rsidR="00482FEB" w:rsidRPr="00B2348D" w14:paraId="428B28A4" w14:textId="77777777" w:rsidTr="001B737D">
              <w:trPr>
                <w:cantSplit/>
              </w:trPr>
              <w:tc>
                <w:tcPr>
                  <w:tcW w:w="1776" w:type="dxa"/>
                </w:tcPr>
                <w:p w14:paraId="5C03FFD4" w14:textId="77777777" w:rsidR="00482FEB" w:rsidRPr="00B2348D" w:rsidRDefault="00482FEB" w:rsidP="00482FEB">
                  <w:pPr>
                    <w:pStyle w:val="TableBody"/>
                    <w:rPr>
                      <w:i/>
                    </w:rPr>
                  </w:pPr>
                  <w:r>
                    <w:rPr>
                      <w:i/>
                    </w:rPr>
                    <w:t>p</w:t>
                  </w:r>
                </w:p>
              </w:tc>
              <w:tc>
                <w:tcPr>
                  <w:tcW w:w="892" w:type="dxa"/>
                </w:tcPr>
                <w:p w14:paraId="207A4CF2" w14:textId="77777777" w:rsidR="00482FEB" w:rsidRPr="00B2348D" w:rsidRDefault="00482FEB" w:rsidP="00482FEB">
                  <w:pPr>
                    <w:pStyle w:val="TableBody"/>
                  </w:pPr>
                  <w:r w:rsidRPr="006624C0">
                    <w:t>none</w:t>
                  </w:r>
                </w:p>
              </w:tc>
              <w:tc>
                <w:tcPr>
                  <w:tcW w:w="6695" w:type="dxa"/>
                </w:tcPr>
                <w:p w14:paraId="0EE6AD18" w14:textId="77777777" w:rsidR="00482FEB" w:rsidRPr="00B2348D" w:rsidRDefault="00482FEB" w:rsidP="00482FEB">
                  <w:pPr>
                    <w:pStyle w:val="TableBody"/>
                  </w:pPr>
                  <w:r w:rsidRPr="006624C0">
                    <w:t>A Settlement Point.</w:t>
                  </w:r>
                </w:p>
              </w:tc>
            </w:tr>
            <w:tr w:rsidR="00482FEB" w:rsidRPr="00B2348D" w14:paraId="100E5D5E" w14:textId="77777777" w:rsidTr="001B737D">
              <w:trPr>
                <w:cantSplit/>
              </w:trPr>
              <w:tc>
                <w:tcPr>
                  <w:tcW w:w="1776" w:type="dxa"/>
                </w:tcPr>
                <w:p w14:paraId="6FA2FAE2" w14:textId="77777777" w:rsidR="00482FEB" w:rsidRPr="00B2348D" w:rsidRDefault="00482FEB" w:rsidP="00482FEB">
                  <w:pPr>
                    <w:pStyle w:val="TableBody"/>
                    <w:tabs>
                      <w:tab w:val="right" w:pos="9360"/>
                    </w:tabs>
                    <w:rPr>
                      <w:i/>
                    </w:rPr>
                  </w:pPr>
                  <w:r>
                    <w:rPr>
                      <w:i/>
                    </w:rPr>
                    <w:t>r</w:t>
                  </w:r>
                </w:p>
              </w:tc>
              <w:tc>
                <w:tcPr>
                  <w:tcW w:w="892" w:type="dxa"/>
                </w:tcPr>
                <w:p w14:paraId="5A7FB21A" w14:textId="77777777" w:rsidR="00482FEB" w:rsidRPr="00B2348D" w:rsidRDefault="00482FEB" w:rsidP="00482FEB">
                  <w:pPr>
                    <w:pStyle w:val="TableBody"/>
                    <w:tabs>
                      <w:tab w:val="right" w:pos="9360"/>
                    </w:tabs>
                  </w:pPr>
                  <w:r w:rsidRPr="006624C0">
                    <w:t>none</w:t>
                  </w:r>
                </w:p>
              </w:tc>
              <w:tc>
                <w:tcPr>
                  <w:tcW w:w="6695" w:type="dxa"/>
                </w:tcPr>
                <w:p w14:paraId="6FE06EFA" w14:textId="547CC0AE" w:rsidR="00482FEB" w:rsidRPr="00B2348D" w:rsidRDefault="00482FEB" w:rsidP="00986DDA">
                  <w:pPr>
                    <w:pStyle w:val="TableBody"/>
                    <w:tabs>
                      <w:tab w:val="right" w:pos="9360"/>
                    </w:tabs>
                    <w:rPr>
                      <w:lang w:val="fr-FR"/>
                    </w:rPr>
                  </w:pPr>
                  <w:r>
                    <w:rPr>
                      <w:lang w:val="fr-FR"/>
                    </w:rPr>
                    <w:t>A</w:t>
                  </w:r>
                  <w:r w:rsidR="00986DDA">
                    <w:rPr>
                      <w:lang w:val="fr-FR"/>
                    </w:rPr>
                    <w:t xml:space="preserve">n </w:t>
                  </w:r>
                  <w:r>
                    <w:rPr>
                      <w:lang w:val="fr-FR"/>
                    </w:rPr>
                    <w:t xml:space="preserve">ESR. </w:t>
                  </w:r>
                </w:p>
              </w:tc>
            </w:tr>
            <w:tr w:rsidR="00482FEB" w:rsidRPr="00B2348D" w14:paraId="06782360"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4A05AD9" w14:textId="77777777" w:rsidR="00482FEB" w:rsidRPr="00B2348D" w:rsidRDefault="00482FEB" w:rsidP="00482FEB">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76CA335C" w14:textId="77777777" w:rsidR="00482FEB" w:rsidRPr="00B2348D"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6214C47" w14:textId="77777777" w:rsidR="00482FEB" w:rsidRPr="00B2348D" w:rsidRDefault="00482FEB" w:rsidP="00482FEB">
                  <w:pPr>
                    <w:pStyle w:val="TableBody"/>
                  </w:pPr>
                  <w:r w:rsidRPr="006624C0">
                    <w:t xml:space="preserve">A five-minute clock interval in the Settlement Interval. </w:t>
                  </w:r>
                </w:p>
              </w:tc>
            </w:tr>
            <w:tr w:rsidR="00482FEB" w:rsidRPr="00B2348D" w14:paraId="4D9EC7ED"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49F1DCB6" w14:textId="77777777" w:rsidR="00482FEB" w:rsidRPr="00B2348D" w:rsidDel="00714336" w:rsidRDefault="00482FEB" w:rsidP="00482FEB">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EAD0CDB" w14:textId="77777777" w:rsidR="00482FEB" w:rsidRPr="00B2348D" w:rsidDel="00714336"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2FD30620" w14:textId="77777777" w:rsidR="00482FEB" w:rsidRPr="00B2348D" w:rsidDel="00714336" w:rsidRDefault="00482FEB" w:rsidP="00482FEB">
                  <w:pPr>
                    <w:pStyle w:val="TableBody"/>
                  </w:pPr>
                  <w:r w:rsidRPr="006624C0">
                    <w:t>A 15-minute Settlement Interval.</w:t>
                  </w:r>
                </w:p>
              </w:tc>
            </w:tr>
          </w:tbl>
          <w:p w14:paraId="600AAFFC" w14:textId="77777777" w:rsidR="002704CF" w:rsidRPr="00B37C4B" w:rsidRDefault="002704CF" w:rsidP="001B737D">
            <w:pPr>
              <w:pStyle w:val="Instructions"/>
              <w:spacing w:before="120"/>
            </w:pPr>
          </w:p>
        </w:tc>
      </w:tr>
    </w:tbl>
    <w:p w14:paraId="7234A541" w14:textId="77777777" w:rsidR="001F04FD" w:rsidRDefault="001F04FD" w:rsidP="001F04FD">
      <w:pPr>
        <w:pStyle w:val="H4"/>
        <w:spacing w:before="480"/>
        <w:ind w:left="0" w:firstLine="0"/>
      </w:pPr>
      <w:bookmarkStart w:id="2223" w:name="_Toc175157467"/>
      <w:bookmarkStart w:id="2224" w:name="_Toc189044440"/>
      <w:r>
        <w:lastRenderedPageBreak/>
        <w:t>6.6.5.3</w:t>
      </w:r>
      <w:r>
        <w:tab/>
      </w:r>
      <w:r w:rsidR="00FC539A">
        <w:t>Resources</w:t>
      </w:r>
      <w:r>
        <w:t xml:space="preserve"> Exempt from Deviation Charges</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223"/>
      <w:bookmarkEnd w:id="2224"/>
    </w:p>
    <w:p w14:paraId="68B49C75" w14:textId="77777777" w:rsidR="001F04FD" w:rsidRDefault="001F04FD" w:rsidP="001F04FD">
      <w:pPr>
        <w:pStyle w:val="BodyText"/>
      </w:pPr>
      <w:r>
        <w:t>(1)</w:t>
      </w:r>
      <w:r>
        <w:tab/>
        <w:t>Resource Base Point Deviation Charges do not apply to the following:</w:t>
      </w:r>
    </w:p>
    <w:p w14:paraId="73E3196E" w14:textId="77777777" w:rsidR="001F04FD" w:rsidRDefault="001F04FD" w:rsidP="001F04FD">
      <w:pPr>
        <w:pStyle w:val="BodyText"/>
        <w:ind w:left="1440" w:hanging="720"/>
      </w:pPr>
      <w:r>
        <w:t>(a)</w:t>
      </w:r>
      <w:r>
        <w:tab/>
        <w:t xml:space="preserve">Reliability Must-Run (RMR) Units; </w:t>
      </w:r>
    </w:p>
    <w:p w14:paraId="6A538480" w14:textId="77777777" w:rsidR="001F04FD" w:rsidRDefault="001F04FD" w:rsidP="001F04FD">
      <w:pPr>
        <w:pStyle w:val="BodyText"/>
        <w:ind w:left="1440" w:hanging="720"/>
      </w:pPr>
      <w:r>
        <w:t>(b)</w:t>
      </w:r>
      <w:r>
        <w:tab/>
        <w:t>Dynamically Scheduled Resources (DSRs) (except as described in Section 6.4.2.2, Output Schedules for Dynamically Scheduled Resources);</w:t>
      </w:r>
    </w:p>
    <w:p w14:paraId="210EFFF0" w14:textId="30789D2F" w:rsidR="001F04FD" w:rsidRDefault="001F04FD" w:rsidP="00FB599C">
      <w:pPr>
        <w:pStyle w:val="BodyText"/>
        <w:ind w:left="1440" w:hanging="720"/>
      </w:pPr>
      <w:r>
        <w:t>(c)</w:t>
      </w:r>
      <w:r>
        <w:tab/>
        <w:t>Qualifying Facilities (QFs) that do not submit an Energy Offer Curve</w:t>
      </w:r>
      <w:r w:rsidR="00F17687">
        <w:t xml:space="preserve"> prior to the end of the Adjustment Period</w:t>
      </w:r>
      <w:r>
        <w:t xml:space="preserve"> for the Settlement Interval;</w:t>
      </w:r>
    </w:p>
    <w:p w14:paraId="577D6112" w14:textId="77777777" w:rsidR="00FC539A" w:rsidRDefault="001F04FD" w:rsidP="00FC539A">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rsidR="00FC539A">
        <w:t>; or</w:t>
      </w:r>
      <w:r w:rsidR="00FC539A" w:rsidRPr="00D9273D">
        <w:t xml:space="preserve"> </w:t>
      </w:r>
      <w:r w:rsidR="00FC539A">
        <w:t xml:space="preserve"> </w:t>
      </w:r>
    </w:p>
    <w:p w14:paraId="0001C2F0" w14:textId="77777777" w:rsidR="001F04FD" w:rsidRDefault="00FC539A" w:rsidP="00FC539A">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2294D" w14:paraId="770218B5"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9057B1F" w14:textId="4CE701D5" w:rsidR="00A2294D" w:rsidRDefault="00A2294D" w:rsidP="001B737D">
            <w:pPr>
              <w:pStyle w:val="Instructions"/>
              <w:spacing w:before="120"/>
            </w:pPr>
            <w:bookmarkStart w:id="2225" w:name="_Toc87951796"/>
            <w:bookmarkStart w:id="2226" w:name="_Toc109009406"/>
            <w:bookmarkStart w:id="2227" w:name="_Toc397505025"/>
            <w:bookmarkStart w:id="2228" w:name="_Toc402357157"/>
            <w:bookmarkStart w:id="2229" w:name="_Toc422486537"/>
            <w:bookmarkStart w:id="2230" w:name="_Toc433093390"/>
            <w:bookmarkStart w:id="2231" w:name="_Toc433093548"/>
            <w:bookmarkStart w:id="2232" w:name="_Toc440874778"/>
            <w:bookmarkStart w:id="2233" w:name="_Toc448142335"/>
            <w:bookmarkStart w:id="2234" w:name="_Toc448142492"/>
            <w:bookmarkStart w:id="2235" w:name="_Toc458770333"/>
            <w:bookmarkStart w:id="2236" w:name="_Toc459294301"/>
            <w:bookmarkStart w:id="2237" w:name="_Toc463262794"/>
            <w:bookmarkStart w:id="2238" w:name="_Toc468286867"/>
            <w:bookmarkStart w:id="2239" w:name="_Toc481502907"/>
            <w:bookmarkStart w:id="2240" w:name="_Toc496080075"/>
            <w:r>
              <w:lastRenderedPageBreak/>
              <w:t>[</w:t>
            </w:r>
            <w:r w:rsidR="004F4AC1">
              <w:t>NPRR863</w:t>
            </w:r>
            <w:r w:rsidR="00EA6FD7">
              <w:t>,</w:t>
            </w:r>
            <w:r w:rsidR="004F4AC1">
              <w:t xml:space="preserve"> </w:t>
            </w:r>
            <w:r>
              <w:t>NPRR963</w:t>
            </w:r>
            <w:r w:rsidR="00EA6FD7">
              <w:t xml:space="preserve">, </w:t>
            </w:r>
            <w:r w:rsidR="00986DDA">
              <w:t>NPRR1000,</w:t>
            </w:r>
            <w:r w:rsidR="00EA6FD7">
              <w:t xml:space="preserve"> NPRR1010</w:t>
            </w:r>
            <w:r w:rsidR="001C7293">
              <w:t>,</w:t>
            </w:r>
            <w:r w:rsidR="00986DDA">
              <w:t xml:space="preserve"> NPRR1014</w:t>
            </w:r>
            <w:r w:rsidR="001C7293">
              <w:t>, NPRR1046</w:t>
            </w:r>
            <w:r w:rsidR="001C0176">
              <w:t>, NPRR1188</w:t>
            </w:r>
            <w:r w:rsidR="00BD19E2">
              <w:t>, and NPRR1245</w:t>
            </w:r>
            <w:r>
              <w:t xml:space="preserve">:  Replace </w:t>
            </w:r>
            <w:r w:rsidR="004F4AC1">
              <w:t xml:space="preserve">applicable portions of </w:t>
            </w:r>
            <w:r>
              <w:t>Section 6.6.5.3 above with the following upon system implementation</w:t>
            </w:r>
            <w:r w:rsidR="00EA6FD7">
              <w:t xml:space="preserve"> for NPRR863</w:t>
            </w:r>
            <w:r w:rsidR="00986DDA">
              <w:t>,</w:t>
            </w:r>
            <w:r w:rsidR="00EA6FD7">
              <w:t xml:space="preserve"> NPRR963</w:t>
            </w:r>
            <w:r w:rsidR="00986DDA">
              <w:t>, NPRR1014</w:t>
            </w:r>
            <w:r w:rsidR="001C0176">
              <w:t>, or NPRR1188</w:t>
            </w:r>
            <w:r w:rsidR="00EA6FD7">
              <w:t xml:space="preserve">; </w:t>
            </w:r>
            <w:r w:rsidR="001C7293">
              <w:t xml:space="preserve">upon system implementation of NPRR1000 for NPRR1000 and NPRR1046; </w:t>
            </w:r>
            <w:r w:rsidR="0030702F">
              <w:t xml:space="preserve">or </w:t>
            </w:r>
            <w:r w:rsidR="00EA6FD7">
              <w:t>upon system implementation of the Real-Time Co-Optimization (RTC) project for NPRR1010</w:t>
            </w:r>
            <w:r w:rsidR="00BD19E2">
              <w:t xml:space="preserve"> and NPRR1245</w:t>
            </w:r>
            <w:r>
              <w:t>:]</w:t>
            </w:r>
          </w:p>
          <w:p w14:paraId="45D474AF" w14:textId="0C98BDE4" w:rsidR="004F4AC1" w:rsidRDefault="004F4AC1" w:rsidP="004F4AC1">
            <w:pPr>
              <w:pStyle w:val="H4"/>
              <w:spacing w:before="480"/>
              <w:ind w:left="0" w:firstLine="0"/>
            </w:pPr>
            <w:bookmarkStart w:id="2241" w:name="_Toc60040703"/>
            <w:bookmarkStart w:id="2242" w:name="_Toc65151762"/>
            <w:bookmarkStart w:id="2243" w:name="_Toc80174788"/>
            <w:bookmarkStart w:id="2244" w:name="_Toc112417668"/>
            <w:bookmarkStart w:id="2245" w:name="_Toc119310337"/>
            <w:bookmarkStart w:id="2246" w:name="_Toc125966270"/>
            <w:bookmarkStart w:id="2247" w:name="_Toc135992368"/>
            <w:bookmarkStart w:id="2248" w:name="_Toc170303564"/>
            <w:bookmarkStart w:id="2249" w:name="_Toc175157468"/>
            <w:bookmarkStart w:id="2250" w:name="_Toc189044441"/>
            <w:r>
              <w:t>6.6.5.6</w:t>
            </w:r>
            <w:r>
              <w:tab/>
              <w:t>Resources Exempt from Deviation Charges</w:t>
            </w:r>
            <w:bookmarkEnd w:id="2241"/>
            <w:bookmarkEnd w:id="2242"/>
            <w:bookmarkEnd w:id="2243"/>
            <w:bookmarkEnd w:id="2244"/>
            <w:bookmarkEnd w:id="2245"/>
            <w:bookmarkEnd w:id="2246"/>
            <w:bookmarkEnd w:id="2247"/>
            <w:bookmarkEnd w:id="2248"/>
            <w:bookmarkEnd w:id="2249"/>
            <w:bookmarkEnd w:id="2250"/>
          </w:p>
          <w:p w14:paraId="028D4474" w14:textId="7107C6E4" w:rsidR="004F4AC1" w:rsidRDefault="004F4AC1" w:rsidP="00EA6FD7">
            <w:pPr>
              <w:pStyle w:val="List"/>
              <w:ind w:left="720"/>
            </w:pPr>
            <w:r>
              <w:t>(1)</w:t>
            </w:r>
            <w:r>
              <w:tab/>
            </w:r>
            <w:r w:rsidR="00EA6FD7">
              <w:t>Set</w:t>
            </w:r>
            <w:r>
              <w:t xml:space="preserve"> Point Deviation Charges do not apply to any QSE for the 15-minute Settlement Interval during the following events: </w:t>
            </w:r>
          </w:p>
          <w:p w14:paraId="0087D8AE" w14:textId="20CBF7FF" w:rsidR="004F4AC1" w:rsidRDefault="004F4AC1" w:rsidP="004F4AC1">
            <w:pPr>
              <w:pStyle w:val="List"/>
            </w:pPr>
            <w:r>
              <w:t>(a)</w:t>
            </w:r>
            <w:r>
              <w:tab/>
              <w:t>Responsive Reserve (RRS) was manually deployed</w:t>
            </w:r>
            <w:r w:rsidRPr="005E06B4">
              <w:t xml:space="preserve"> </w:t>
            </w:r>
            <w:r>
              <w:t>by ERCOT;</w:t>
            </w:r>
          </w:p>
          <w:p w14:paraId="3DEFE0D9" w14:textId="3691AB1E" w:rsidR="004F4AC1" w:rsidRDefault="004F4AC1" w:rsidP="004F4AC1">
            <w:pPr>
              <w:pStyle w:val="List"/>
            </w:pPr>
            <w:r>
              <w:t>(b)</w:t>
            </w:r>
            <w:r>
              <w:tab/>
              <w:t>ERCOT Contingency Reserve Service (ECRS) was deployed; or</w:t>
            </w:r>
          </w:p>
          <w:p w14:paraId="4E32B239" w14:textId="7538C0F3" w:rsidR="004F4AC1" w:rsidRDefault="004F4AC1" w:rsidP="004F4AC1">
            <w:pPr>
              <w:pStyle w:val="List"/>
              <w:spacing w:before="240"/>
            </w:pPr>
            <w:r>
              <w:t>(c)</w:t>
            </w:r>
            <w:r>
              <w:tab/>
              <w:t xml:space="preserve">ERCOT System Frequency deviation is both greater than +0.05 Hz and less than -0.05 Hz within the same Settlement Interval. </w:t>
            </w:r>
          </w:p>
          <w:p w14:paraId="09EC1B83" w14:textId="0EE47B39" w:rsidR="004F4AC1" w:rsidRDefault="004F4AC1" w:rsidP="004F4AC1">
            <w:pPr>
              <w:pStyle w:val="List"/>
              <w:ind w:left="720"/>
            </w:pPr>
            <w:r>
              <w:t>(2)</w:t>
            </w:r>
            <w:r>
              <w:tab/>
            </w:r>
            <w:r w:rsidR="00EA6FD7">
              <w:t>Set</w:t>
            </w:r>
            <w:r>
              <w:t xml:space="preserve"> Point Deviation Charges </w:t>
            </w:r>
            <w:r w:rsidR="00EA6FD7">
              <w:t>d</w:t>
            </w:r>
            <w:r>
              <w:t xml:space="preserve">o not apply to the QSE for the Resource for the 15-minute Interval for the following: </w:t>
            </w:r>
          </w:p>
          <w:p w14:paraId="41E82C28" w14:textId="77777777" w:rsidR="004F4AC1" w:rsidRDefault="004F4AC1" w:rsidP="004F4AC1">
            <w:pPr>
              <w:pStyle w:val="List"/>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F2E3E2" w14:textId="77777777" w:rsidR="004F4AC1" w:rsidRDefault="004F4AC1" w:rsidP="004F4AC1">
            <w:pPr>
              <w:pStyle w:val="BodyText"/>
              <w:ind w:left="1440" w:hanging="720"/>
            </w:pPr>
            <w:r>
              <w:t>(b)</w:t>
            </w:r>
            <w:r>
              <w:tab/>
              <w:t xml:space="preserve">The Resource is a Reliability Must-Run (RMR) Unit; </w:t>
            </w:r>
          </w:p>
          <w:p w14:paraId="3B1D176A" w14:textId="77777777" w:rsidR="004F4AC1" w:rsidRDefault="004F4AC1" w:rsidP="004F4AC1">
            <w:pPr>
              <w:pStyle w:val="BodyText"/>
              <w:ind w:left="1440" w:hanging="720"/>
            </w:pPr>
            <w:r>
              <w:t>(c)</w:t>
            </w:r>
            <w:r>
              <w:tab/>
              <w:t>Emergency Base Points were issued to the Resource; or</w:t>
            </w:r>
          </w:p>
          <w:p w14:paraId="66180DD5" w14:textId="2A6F1363" w:rsidR="004F4AC1" w:rsidRDefault="004F4AC1" w:rsidP="004F4AC1">
            <w:pPr>
              <w:pStyle w:val="List"/>
            </w:pPr>
            <w:r>
              <w:t>(d)</w:t>
            </w:r>
            <w:r>
              <w:tab/>
              <w:t xml:space="preserve">Resource is operating in Constant Frequency Control (CFC) mode. </w:t>
            </w:r>
          </w:p>
          <w:p w14:paraId="43D78A6E" w14:textId="40821C55" w:rsidR="004F4AC1" w:rsidRDefault="004F4AC1" w:rsidP="004F4AC1">
            <w:pPr>
              <w:pStyle w:val="List"/>
              <w:ind w:left="720"/>
            </w:pPr>
            <w:r>
              <w:t>(3)</w:t>
            </w:r>
            <w:r>
              <w:tab/>
              <w:t xml:space="preserve">In addition to the exemptions listed in paragraph (1) and (2) of this Section, </w:t>
            </w:r>
            <w:r w:rsidR="00EA6FD7">
              <w:t>Set</w:t>
            </w:r>
            <w:r>
              <w:t xml:space="preserve"> Point Deviation Charges do not apply to the QSE for a Generation Resource for the 15-minute Settlement Interval for the following: </w:t>
            </w:r>
          </w:p>
          <w:p w14:paraId="3EE686F0" w14:textId="5A85BF32" w:rsidR="004F4AC1" w:rsidRDefault="004F4AC1" w:rsidP="004F4AC1">
            <w:pPr>
              <w:pStyle w:val="List"/>
            </w:pPr>
            <w:r>
              <w:t>(a)</w:t>
            </w:r>
            <w:r>
              <w:tab/>
              <w:t>AA</w:t>
            </w:r>
            <w:r w:rsidR="00EA6FD7">
              <w:t>S</w:t>
            </w:r>
            <w:r>
              <w:t xml:space="preserve">P is less than the Resource’s average telemetered LSL; </w:t>
            </w:r>
          </w:p>
          <w:p w14:paraId="2CD36B06" w14:textId="423E9304" w:rsidR="004F4AC1" w:rsidRDefault="004F4AC1" w:rsidP="004F4AC1">
            <w:pPr>
              <w:pStyle w:val="List"/>
            </w:pPr>
            <w:r>
              <w:t>(b)</w:t>
            </w:r>
            <w:r>
              <w:tab/>
              <w:t>The Generation Resource is telemetering a status of ONTEST or STARTUP</w:t>
            </w:r>
            <w:r w:rsidR="001754D0" w:rsidRPr="00A552C3">
              <w:t xml:space="preserve"> anytime during the Settlement Interval</w:t>
            </w:r>
            <w:r>
              <w:t xml:space="preserve">; </w:t>
            </w:r>
          </w:p>
          <w:p w14:paraId="45BD83BF" w14:textId="058579D0" w:rsidR="004F4AC1" w:rsidRDefault="004F4AC1" w:rsidP="004F4AC1">
            <w:pPr>
              <w:pStyle w:val="BodyText"/>
              <w:ind w:left="1440" w:hanging="720"/>
            </w:pPr>
            <w:r>
              <w:t>(c)</w:t>
            </w:r>
            <w:r>
              <w:tab/>
              <w:t>Qualifying Facilities (QFs) that do not submit an Energy Offer Curve</w:t>
            </w:r>
            <w:r w:rsidR="00BD7CC8" w:rsidRPr="00221D04">
              <w:t xml:space="preserve"> prior to the end of the Adjustment Period</w:t>
            </w:r>
            <w:r>
              <w:t xml:space="preserve"> for the Settlement Interval;</w:t>
            </w:r>
          </w:p>
          <w:p w14:paraId="12740391" w14:textId="0530687E" w:rsidR="004F4AC1" w:rsidRDefault="004F4AC1" w:rsidP="004F4AC1">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t xml:space="preserve">; </w:t>
            </w:r>
            <w:r w:rsidR="001C7293">
              <w:t>or</w:t>
            </w:r>
          </w:p>
          <w:p w14:paraId="73BA34E3" w14:textId="4AD6B1DD" w:rsidR="004F4AC1" w:rsidRDefault="004F4AC1" w:rsidP="004F4AC1">
            <w:pPr>
              <w:pStyle w:val="BodyText"/>
              <w:ind w:left="1440" w:hanging="720"/>
            </w:pPr>
            <w:r>
              <w:lastRenderedPageBreak/>
              <w:t>(</w:t>
            </w:r>
            <w:r w:rsidR="001C7293">
              <w:t>e</w:t>
            </w:r>
            <w:r>
              <w:t>)</w:t>
            </w:r>
            <w:r>
              <w:tab/>
              <w:t>The flag signifying that an IRR has received a Base Point below the HDL used by SCED</w:t>
            </w:r>
            <w:r w:rsidR="00045FBB">
              <w:t xml:space="preserve"> or the IRR has been instructed not to exceed its Base Point</w:t>
            </w:r>
            <w:r>
              <w:t xml:space="preserve"> is not set in all SCED intervals within the 15-minute Settlement Interval.  For IRR Groups, the flag signifying that an IRR has received a Base Point below the HDL used by SCED </w:t>
            </w:r>
            <w:r w:rsidR="00045FBB">
              <w:t>or the IRR has been instructed not to exceed its Base Point</w:t>
            </w:r>
            <w:r w:rsidR="00045FBB" w:rsidRPr="00A261C3">
              <w:t xml:space="preserve"> </w:t>
            </w:r>
            <w:r>
              <w:t xml:space="preserve">is not set in all SCED intervals within the 15-minute Settlement Interval for any of the IRRs within the IRR Group. </w:t>
            </w:r>
          </w:p>
          <w:p w14:paraId="498BEA77" w14:textId="6E57EDDB" w:rsidR="004F4AC1" w:rsidRDefault="004F4AC1" w:rsidP="004F4AC1">
            <w:pPr>
              <w:pStyle w:val="List"/>
              <w:ind w:left="720"/>
            </w:pPr>
            <w:r>
              <w:t>(4)</w:t>
            </w:r>
            <w:r>
              <w:tab/>
              <w:t xml:space="preserve">In addition to the exemptions listed in paragraph (1) and (2) of this Section, </w:t>
            </w:r>
            <w:r w:rsidR="00EA6FD7">
              <w:t>Set</w:t>
            </w:r>
            <w:r>
              <w:t xml:space="preserve"> Point Deviation Charges do not apply to the QSE for the Controllable Load Resource for the 15-minute Settlement Interval if the following occur: </w:t>
            </w:r>
          </w:p>
          <w:p w14:paraId="17AEB6C4" w14:textId="474D3C86" w:rsidR="004F4AC1" w:rsidRDefault="004F4AC1" w:rsidP="004F4AC1">
            <w:pPr>
              <w:pStyle w:val="List"/>
            </w:pPr>
            <w:r>
              <w:t>(a)</w:t>
            </w:r>
            <w:r>
              <w:tab/>
              <w:t>T</w:t>
            </w:r>
            <w:r w:rsidRPr="006A6281">
              <w:t xml:space="preserve">he </w:t>
            </w:r>
            <w:r w:rsidR="00BD19E2">
              <w:t>computed Base Point</w:t>
            </w:r>
            <w:r w:rsidRPr="006A6281">
              <w:t xml:space="preserve"> is equal to the snapshot of its telemetered power consumption for all SCED runs during the Settlement Interval</w:t>
            </w:r>
            <w:r>
              <w:t>; or</w:t>
            </w:r>
          </w:p>
          <w:p w14:paraId="24A64762" w14:textId="224D58F5" w:rsidR="004F4AC1" w:rsidRDefault="004F4AC1" w:rsidP="004F4AC1">
            <w:pPr>
              <w:pStyle w:val="List"/>
            </w:pPr>
            <w:r>
              <w:t>(b)</w:t>
            </w:r>
            <w:r>
              <w:tab/>
              <w:t>The Controllable Load Resource is telemetering a status of OUTL</w:t>
            </w:r>
            <w:r w:rsidR="001754D0" w:rsidRPr="00A552C3">
              <w:t xml:space="preserve"> </w:t>
            </w:r>
            <w:r w:rsidR="001C0176">
              <w:t xml:space="preserve">or ONTEST </w:t>
            </w:r>
            <w:r w:rsidR="001754D0" w:rsidRPr="00A552C3">
              <w:t>anytime during the Settlement Interval</w:t>
            </w:r>
            <w:r>
              <w:t>.</w:t>
            </w:r>
          </w:p>
          <w:p w14:paraId="1A0D4DB3" w14:textId="2C7A10BF" w:rsidR="004F4AC1" w:rsidRDefault="004F4AC1" w:rsidP="004F4AC1">
            <w:pPr>
              <w:pStyle w:val="List"/>
              <w:ind w:left="720"/>
            </w:pPr>
            <w:r>
              <w:t>(5)</w:t>
            </w:r>
            <w:r>
              <w:tab/>
              <w:t xml:space="preserve">In addition to the exemptions listed in paragraph (1) and (2) of this Section, </w:t>
            </w:r>
            <w:r w:rsidR="00EA6FD7">
              <w:t>Set</w:t>
            </w:r>
            <w:r>
              <w:t xml:space="preserve"> Point Deviation Charges do not apply to the QSE for the ESR for the 15-minute Settlement Interval if the following occur: </w:t>
            </w:r>
          </w:p>
          <w:p w14:paraId="0B6A905E" w14:textId="1A1F2F1E" w:rsidR="004F4AC1" w:rsidRDefault="004F4AC1" w:rsidP="004F4AC1">
            <w:pPr>
              <w:pStyle w:val="List"/>
            </w:pPr>
            <w:r>
              <w:t>(a)</w:t>
            </w:r>
            <w:r>
              <w:tab/>
              <w:t xml:space="preserve">The ESR is telemetering a status of ONTEST </w:t>
            </w:r>
            <w:r w:rsidR="001754D0" w:rsidRPr="00A552C3">
              <w:t>anytime during the Settlement Interval</w:t>
            </w:r>
            <w:r>
              <w:t xml:space="preserve">; </w:t>
            </w:r>
            <w:r w:rsidR="001754D0">
              <w:t>or</w:t>
            </w:r>
          </w:p>
          <w:p w14:paraId="7105650A" w14:textId="4D5A7208" w:rsidR="00A2294D" w:rsidRPr="00B37C4B" w:rsidRDefault="004F4AC1" w:rsidP="001754D0">
            <w:pPr>
              <w:pStyle w:val="List"/>
            </w:pPr>
            <w:r>
              <w:t>(</w:t>
            </w:r>
            <w:r w:rsidR="001754D0">
              <w:t>b</w:t>
            </w:r>
            <w:r>
              <w:t>)</w:t>
            </w:r>
            <w:r>
              <w:tab/>
              <w:t>The AA</w:t>
            </w:r>
            <w:r w:rsidR="00EA6FD7">
              <w:t>S</w:t>
            </w:r>
            <w:r>
              <w:t>P is less than its average telemetered LSL.</w:t>
            </w:r>
          </w:p>
        </w:tc>
      </w:tr>
    </w:tbl>
    <w:p w14:paraId="5EA02B08" w14:textId="77777777" w:rsidR="001F04FD" w:rsidRDefault="001F04FD" w:rsidP="001F04FD">
      <w:pPr>
        <w:pStyle w:val="H4"/>
        <w:spacing w:before="480"/>
        <w:ind w:left="1267" w:hanging="1267"/>
      </w:pPr>
      <w:bookmarkStart w:id="2251" w:name="_Toc175157469"/>
      <w:bookmarkStart w:id="2252" w:name="_Toc189044442"/>
      <w:r>
        <w:lastRenderedPageBreak/>
        <w:t>6.6.5.4</w:t>
      </w:r>
      <w:r>
        <w:tab/>
        <w:t xml:space="preserve">Base Point Deviation </w:t>
      </w:r>
      <w:bookmarkEnd w:id="2225"/>
      <w:bookmarkEnd w:id="2226"/>
      <w:r>
        <w:t>Payment</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51"/>
      <w:bookmarkEnd w:id="2252"/>
    </w:p>
    <w:p w14:paraId="419FB470" w14:textId="77777777" w:rsidR="001F04FD" w:rsidRDefault="001F04FD" w:rsidP="001F04FD">
      <w:pPr>
        <w:pStyle w:val="BodyTextNumbered"/>
      </w:pPr>
      <w:r>
        <w:t>(1)</w:t>
      </w:r>
      <w:r>
        <w:tab/>
        <w:t>ERCOT shall pay the Base Point Deviation Charges collected from the QSEs representing Resources to the QSEs representing Load based on LRS.  The payment to each QSE for a given 15-minute Settlement Interval is calculated as follows:</w:t>
      </w:r>
    </w:p>
    <w:p w14:paraId="26DA0EEC" w14:textId="77777777" w:rsidR="001F04FD" w:rsidRDefault="001F04FD" w:rsidP="001F04FD">
      <w:pPr>
        <w:pStyle w:val="FormulaBold"/>
      </w:pPr>
      <w:r>
        <w:t xml:space="preserve">LABPDAMT </w:t>
      </w:r>
      <w:r>
        <w:rPr>
          <w:i/>
          <w:vertAlign w:val="subscript"/>
        </w:rPr>
        <w:t>q</w:t>
      </w:r>
      <w:r>
        <w:tab/>
        <w:t>=</w:t>
      </w:r>
      <w:r>
        <w:tab/>
        <w:t xml:space="preserve">(-1) * BPDAMTTOT * LRS </w:t>
      </w:r>
      <w:r>
        <w:rPr>
          <w:i/>
          <w:vertAlign w:val="subscript"/>
        </w:rPr>
        <w:t>q</w:t>
      </w:r>
    </w:p>
    <w:p w14:paraId="167B2C3C" w14:textId="77777777" w:rsidR="001F04FD" w:rsidRDefault="001F04FD" w:rsidP="001F04FD">
      <w:pPr>
        <w:pStyle w:val="BodyText"/>
        <w:rPr>
          <w:vertAlign w:val="subscript"/>
        </w:rPr>
      </w:pPr>
      <w:r>
        <w:t>Where:</w:t>
      </w:r>
    </w:p>
    <w:p w14:paraId="0E5CABA1" w14:textId="77777777" w:rsidR="001F04FD" w:rsidRDefault="001F04FD" w:rsidP="001F04FD">
      <w:pPr>
        <w:pStyle w:val="Formula"/>
        <w:ind w:left="2880" w:hanging="2160"/>
      </w:pPr>
      <w:r>
        <w:t>BPDAMTTOT</w:t>
      </w:r>
      <w:r>
        <w:tab/>
        <w:t>=</w:t>
      </w:r>
      <w:r>
        <w:tab/>
      </w:r>
      <w:r w:rsidRPr="006F784F">
        <w:rPr>
          <w:position w:val="-22"/>
        </w:rPr>
        <w:object w:dxaOrig="210" w:dyaOrig="465" w14:anchorId="7EF5374A">
          <v:shape id="_x0000_i1195" type="#_x0000_t75" style="width:6pt;height:24pt" o:ole="">
            <v:imagedata r:id="rId227" o:title=""/>
          </v:shape>
          <o:OLEObject Type="Embed" ProgID="Equation.3" ShapeID="_x0000_i1195" DrawAspect="Content" ObjectID="_1804653680" r:id="rId228"/>
        </w:object>
      </w:r>
      <w:r>
        <w:t xml:space="preserve">BPDAMTQSETOT </w:t>
      </w:r>
      <w:r>
        <w:rPr>
          <w:i/>
          <w:vertAlign w:val="subscript"/>
        </w:rPr>
        <w:t>q</w:t>
      </w:r>
    </w:p>
    <w:p w14:paraId="1430EAF3" w14:textId="77777777" w:rsidR="001F04FD" w:rsidRDefault="001F04FD" w:rsidP="001F04FD">
      <w:pPr>
        <w:pStyle w:val="Formula"/>
        <w:ind w:left="2880" w:hanging="2160"/>
      </w:pPr>
      <w:r>
        <w:t xml:space="preserve">BPDAMTQSETOT </w:t>
      </w:r>
      <w:r>
        <w:rPr>
          <w:i/>
          <w:vertAlign w:val="subscript"/>
        </w:rPr>
        <w:t>q</w:t>
      </w:r>
      <w:r>
        <w:tab/>
        <w:t>=</w:t>
      </w:r>
      <w:r>
        <w:tab/>
      </w:r>
      <w:r w:rsidRPr="006F784F">
        <w:rPr>
          <w:position w:val="-22"/>
        </w:rPr>
        <w:object w:dxaOrig="210" w:dyaOrig="465" w14:anchorId="20570DD1">
          <v:shape id="_x0000_i1196" type="#_x0000_t75" style="width:6pt;height:24pt" o:ole="">
            <v:imagedata r:id="rId229" o:title=""/>
          </v:shape>
          <o:OLEObject Type="Embed" ProgID="Equation.3" ShapeID="_x0000_i1196" DrawAspect="Content" ObjectID="_1804653681" r:id="rId230"/>
        </w:object>
      </w:r>
      <w:r w:rsidRPr="006F784F">
        <w:rPr>
          <w:position w:val="-18"/>
        </w:rPr>
        <w:object w:dxaOrig="210" w:dyaOrig="420" w14:anchorId="46B9CF2F">
          <v:shape id="_x0000_i1197" type="#_x0000_t75" style="width:6pt;height:24pt" o:ole="">
            <v:imagedata r:id="rId231" o:title=""/>
          </v:shape>
          <o:OLEObject Type="Embed" ProgID="Equation.3" ShapeID="_x0000_i1197" DrawAspect="Content" ObjectID="_1804653682" r:id="rId232"/>
        </w:object>
      </w:r>
      <w:r>
        <w:t xml:space="preserve">BPDAMT </w:t>
      </w:r>
      <w:r>
        <w:rPr>
          <w:i/>
          <w:vertAlign w:val="subscript"/>
        </w:rPr>
        <w:t>q, r, p</w:t>
      </w:r>
    </w:p>
    <w:p w14:paraId="33B22D3E" w14:textId="77777777" w:rsidR="001F04FD" w:rsidRDefault="001F04FD" w:rsidP="001F04FD">
      <w: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1F04FD" w14:paraId="193E50B0" w14:textId="77777777" w:rsidTr="00AC4DEE">
        <w:trPr>
          <w:cantSplit/>
          <w:tblHeader/>
        </w:trPr>
        <w:tc>
          <w:tcPr>
            <w:tcW w:w="2032" w:type="dxa"/>
          </w:tcPr>
          <w:p w14:paraId="557E6981" w14:textId="77777777" w:rsidR="001F04FD" w:rsidRDefault="001F04FD" w:rsidP="00AC4DEE">
            <w:pPr>
              <w:pStyle w:val="TableHead"/>
            </w:pPr>
            <w:r>
              <w:t>Variable</w:t>
            </w:r>
          </w:p>
        </w:tc>
        <w:tc>
          <w:tcPr>
            <w:tcW w:w="0" w:type="auto"/>
          </w:tcPr>
          <w:p w14:paraId="6DA26CBA" w14:textId="77777777" w:rsidR="001F04FD" w:rsidRDefault="001F04FD" w:rsidP="00AC4DEE">
            <w:pPr>
              <w:pStyle w:val="TableHead"/>
            </w:pPr>
            <w:r>
              <w:t>Unit</w:t>
            </w:r>
          </w:p>
        </w:tc>
        <w:tc>
          <w:tcPr>
            <w:tcW w:w="0" w:type="auto"/>
          </w:tcPr>
          <w:p w14:paraId="0B3206DF" w14:textId="77777777" w:rsidR="001F04FD" w:rsidRDefault="001F04FD" w:rsidP="00AC4DEE">
            <w:pPr>
              <w:pStyle w:val="TableHead"/>
            </w:pPr>
            <w:r>
              <w:t>Definition</w:t>
            </w:r>
          </w:p>
        </w:tc>
      </w:tr>
      <w:tr w:rsidR="001F04FD" w14:paraId="4646286A" w14:textId="77777777" w:rsidTr="00AC4DEE">
        <w:trPr>
          <w:cantSplit/>
        </w:trPr>
        <w:tc>
          <w:tcPr>
            <w:tcW w:w="2032" w:type="dxa"/>
          </w:tcPr>
          <w:p w14:paraId="06AA21D8" w14:textId="77777777" w:rsidR="001F04FD" w:rsidRDefault="001F04FD" w:rsidP="00AC4DEE">
            <w:pPr>
              <w:pStyle w:val="TableBody"/>
            </w:pPr>
            <w:r>
              <w:t xml:space="preserve">LABPDAMT </w:t>
            </w:r>
            <w:r w:rsidRPr="00E15B17">
              <w:rPr>
                <w:i/>
                <w:vertAlign w:val="subscript"/>
              </w:rPr>
              <w:t>q</w:t>
            </w:r>
          </w:p>
        </w:tc>
        <w:tc>
          <w:tcPr>
            <w:tcW w:w="0" w:type="auto"/>
          </w:tcPr>
          <w:p w14:paraId="47E10DE5" w14:textId="77777777" w:rsidR="001F04FD" w:rsidRDefault="001F04FD" w:rsidP="00AC4DEE">
            <w:pPr>
              <w:pStyle w:val="TableBody"/>
            </w:pPr>
            <w:r>
              <w:t>$</w:t>
            </w:r>
          </w:p>
        </w:tc>
        <w:tc>
          <w:tcPr>
            <w:tcW w:w="0" w:type="auto"/>
          </w:tcPr>
          <w:p w14:paraId="1FDEED66" w14:textId="77777777" w:rsidR="001F04FD" w:rsidRDefault="001F04FD" w:rsidP="00AC4DEE">
            <w:pPr>
              <w:pStyle w:val="TableBody"/>
            </w:pPr>
            <w:r>
              <w:rPr>
                <w:i/>
              </w:rPr>
              <w:t>Load-Allocated Base Point Deviation Amount per QSE</w:t>
            </w:r>
            <w:r>
              <w:t xml:space="preserve">—QSE </w:t>
            </w:r>
            <w:r>
              <w:rPr>
                <w:i/>
              </w:rPr>
              <w:t>q</w:t>
            </w:r>
            <w:r>
              <w:t>’s share of the total charge for all Resources’ Base Point deviations, based on LRS for the 15-minute Settlement Interval.</w:t>
            </w:r>
          </w:p>
        </w:tc>
      </w:tr>
      <w:tr w:rsidR="001F04FD" w14:paraId="6D899BB7" w14:textId="77777777" w:rsidTr="00AC4DEE">
        <w:trPr>
          <w:cantSplit/>
        </w:trPr>
        <w:tc>
          <w:tcPr>
            <w:tcW w:w="2032" w:type="dxa"/>
          </w:tcPr>
          <w:p w14:paraId="0C89337E" w14:textId="77777777" w:rsidR="001F04FD" w:rsidRDefault="001F04FD" w:rsidP="00AC4DEE">
            <w:pPr>
              <w:pStyle w:val="TableBody"/>
            </w:pPr>
            <w:r>
              <w:lastRenderedPageBreak/>
              <w:t>BPDAMTTOT</w:t>
            </w:r>
          </w:p>
        </w:tc>
        <w:tc>
          <w:tcPr>
            <w:tcW w:w="0" w:type="auto"/>
          </w:tcPr>
          <w:p w14:paraId="0689191B" w14:textId="77777777" w:rsidR="001F04FD" w:rsidRDefault="001F04FD" w:rsidP="00AC4DEE">
            <w:pPr>
              <w:pStyle w:val="TableBody"/>
            </w:pPr>
            <w:r>
              <w:t>$</w:t>
            </w:r>
          </w:p>
        </w:tc>
        <w:tc>
          <w:tcPr>
            <w:tcW w:w="0" w:type="auto"/>
          </w:tcPr>
          <w:p w14:paraId="5494DA5A" w14:textId="77777777" w:rsidR="001F04FD" w:rsidRDefault="001F04FD" w:rsidP="00AC4DEE">
            <w:pPr>
              <w:pStyle w:val="TableBody"/>
              <w:rPr>
                <w:i/>
              </w:rPr>
            </w:pPr>
            <w:r>
              <w:rPr>
                <w:i/>
              </w:rPr>
              <w:t>Base Point Deviation Amount Total</w:t>
            </w:r>
            <w:r>
              <w:t>—The total of Base Point Deviation Charges to all QSEs for all Resources, for the 15-minute Settlement Interval.</w:t>
            </w:r>
          </w:p>
        </w:tc>
      </w:tr>
      <w:tr w:rsidR="001F04FD" w14:paraId="0E9017CB" w14:textId="77777777" w:rsidTr="00AC4DEE">
        <w:trPr>
          <w:cantSplit/>
        </w:trPr>
        <w:tc>
          <w:tcPr>
            <w:tcW w:w="2032" w:type="dxa"/>
          </w:tcPr>
          <w:p w14:paraId="5327A055" w14:textId="77777777" w:rsidR="001F04FD" w:rsidRDefault="001F04FD" w:rsidP="00AC4DEE">
            <w:pPr>
              <w:pStyle w:val="TableBody"/>
            </w:pPr>
            <w:r>
              <w:t xml:space="preserve">BPDAMTQSETOT </w:t>
            </w:r>
            <w:r w:rsidRPr="00E15B17">
              <w:rPr>
                <w:i/>
                <w:vertAlign w:val="subscript"/>
              </w:rPr>
              <w:t>q</w:t>
            </w:r>
          </w:p>
        </w:tc>
        <w:tc>
          <w:tcPr>
            <w:tcW w:w="0" w:type="auto"/>
          </w:tcPr>
          <w:p w14:paraId="323EC99A" w14:textId="77777777" w:rsidR="001F04FD" w:rsidRDefault="001F04FD" w:rsidP="00AC4DEE">
            <w:pPr>
              <w:pStyle w:val="TableBody"/>
            </w:pPr>
            <w:r>
              <w:t>$</w:t>
            </w:r>
          </w:p>
        </w:tc>
        <w:tc>
          <w:tcPr>
            <w:tcW w:w="0" w:type="auto"/>
          </w:tcPr>
          <w:p w14:paraId="2DC8E1ED" w14:textId="77777777" w:rsidR="001F04FD" w:rsidRDefault="001F04FD" w:rsidP="00AC4DEE">
            <w:pPr>
              <w:pStyle w:val="TableBody"/>
              <w:rPr>
                <w:i/>
              </w:rPr>
            </w:pPr>
            <w:r>
              <w:rPr>
                <w:i/>
              </w:rPr>
              <w:t>Base Point Deviation Amount QSE Total per QSE</w:t>
            </w:r>
            <w:r>
              <w:t xml:space="preserve">—The total of Base Point Deviation Charges to QSE </w:t>
            </w:r>
            <w:r>
              <w:rPr>
                <w:i/>
              </w:rPr>
              <w:t>q</w:t>
            </w:r>
            <w:r>
              <w:t xml:space="preserve"> for all Resources represented by this QSE, for the 15-minute Settlement Interval.</w:t>
            </w:r>
          </w:p>
        </w:tc>
      </w:tr>
      <w:tr w:rsidR="001F04FD" w14:paraId="3E6D8723" w14:textId="77777777" w:rsidTr="00AC4DEE">
        <w:trPr>
          <w:cantSplit/>
        </w:trPr>
        <w:tc>
          <w:tcPr>
            <w:tcW w:w="2032" w:type="dxa"/>
          </w:tcPr>
          <w:p w14:paraId="48ED804A" w14:textId="77777777" w:rsidR="001F04FD" w:rsidRDefault="001F04FD" w:rsidP="00AC4DEE">
            <w:pPr>
              <w:pStyle w:val="TableBody"/>
            </w:pPr>
            <w:r>
              <w:t xml:space="preserve">BPDAMT </w:t>
            </w:r>
            <w:r w:rsidRPr="00E15B17">
              <w:rPr>
                <w:i/>
                <w:vertAlign w:val="subscript"/>
              </w:rPr>
              <w:t>q, r, p</w:t>
            </w:r>
          </w:p>
        </w:tc>
        <w:tc>
          <w:tcPr>
            <w:tcW w:w="0" w:type="auto"/>
          </w:tcPr>
          <w:p w14:paraId="5A5F83E7" w14:textId="77777777" w:rsidR="001F04FD" w:rsidRDefault="001F04FD" w:rsidP="00AC4DEE">
            <w:pPr>
              <w:pStyle w:val="TableBody"/>
            </w:pPr>
            <w:r>
              <w:t>$</w:t>
            </w:r>
          </w:p>
        </w:tc>
        <w:tc>
          <w:tcPr>
            <w:tcW w:w="0" w:type="auto"/>
          </w:tcPr>
          <w:p w14:paraId="1D5419C6" w14:textId="75F25806" w:rsidR="001F04FD" w:rsidRDefault="001F04FD" w:rsidP="00AC4DEE">
            <w:pPr>
              <w:pStyle w:val="TableBody"/>
            </w:pPr>
            <w:r>
              <w:rPr>
                <w:i/>
              </w:rPr>
              <w:t>Base Point Deviation Charge per QSE per Settlement Point per Resource</w:t>
            </w:r>
            <w:r>
              <w:t xml:space="preserve">—The charge to QSE </w:t>
            </w:r>
            <w:r>
              <w:rPr>
                <w:i/>
              </w:rPr>
              <w:t>q</w:t>
            </w:r>
            <w:r>
              <w:t xml:space="preserve"> for Generation Resource or </w:t>
            </w:r>
            <w:r w:rsidR="00F144CE">
              <w:t>CLR</w:t>
            </w:r>
            <w:r>
              <w:t xml:space="preserve"> </w:t>
            </w:r>
            <w:r>
              <w:rPr>
                <w:i/>
              </w:rPr>
              <w:t>r</w:t>
            </w:r>
            <w:r>
              <w:t xml:space="preserve"> at Settlement Node </w:t>
            </w:r>
            <w:r>
              <w:rPr>
                <w:i/>
              </w:rPr>
              <w:t>p</w:t>
            </w:r>
            <w:r>
              <w:t>, for its deviation from Base Point, for the 15-minute Settlement Interval.  A Base Point Deviation Charge is charged to the Combined Cycle Train for all Combined Cycle Generation Resources.</w:t>
            </w:r>
          </w:p>
        </w:tc>
      </w:tr>
      <w:tr w:rsidR="001F04FD" w14:paraId="1B9881DB" w14:textId="77777777" w:rsidTr="00AC4DEE">
        <w:trPr>
          <w:cantSplit/>
        </w:trPr>
        <w:tc>
          <w:tcPr>
            <w:tcW w:w="2032" w:type="dxa"/>
          </w:tcPr>
          <w:p w14:paraId="0AE62B20" w14:textId="77777777" w:rsidR="001F04FD" w:rsidRDefault="001F04FD" w:rsidP="00AC4DEE">
            <w:pPr>
              <w:pStyle w:val="TableBody"/>
            </w:pPr>
            <w:r>
              <w:t xml:space="preserve">LRS </w:t>
            </w:r>
            <w:r w:rsidRPr="00E15B17">
              <w:rPr>
                <w:i/>
                <w:vertAlign w:val="subscript"/>
              </w:rPr>
              <w:t>q</w:t>
            </w:r>
          </w:p>
        </w:tc>
        <w:tc>
          <w:tcPr>
            <w:tcW w:w="0" w:type="auto"/>
          </w:tcPr>
          <w:p w14:paraId="3B112332" w14:textId="77777777" w:rsidR="001F04FD" w:rsidRDefault="001F04FD" w:rsidP="00AC4DEE">
            <w:pPr>
              <w:pStyle w:val="TableBody"/>
            </w:pPr>
            <w:r>
              <w:t>none</w:t>
            </w:r>
          </w:p>
        </w:tc>
        <w:tc>
          <w:tcPr>
            <w:tcW w:w="0" w:type="auto"/>
          </w:tcPr>
          <w:p w14:paraId="1B801453"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5F92349" w14:textId="77777777" w:rsidTr="00AC4DEE">
        <w:trPr>
          <w:cantSplit/>
        </w:trPr>
        <w:tc>
          <w:tcPr>
            <w:tcW w:w="2032" w:type="dxa"/>
          </w:tcPr>
          <w:p w14:paraId="44BA6FE5" w14:textId="77777777" w:rsidR="001F04FD" w:rsidRPr="0032251F" w:rsidRDefault="001F04FD" w:rsidP="00AC4DEE">
            <w:pPr>
              <w:pStyle w:val="TableBody"/>
              <w:rPr>
                <w:i/>
              </w:rPr>
            </w:pPr>
            <w:r w:rsidRPr="00D661BC">
              <w:rPr>
                <w:i/>
              </w:rPr>
              <w:t>q</w:t>
            </w:r>
          </w:p>
        </w:tc>
        <w:tc>
          <w:tcPr>
            <w:tcW w:w="0" w:type="auto"/>
          </w:tcPr>
          <w:p w14:paraId="3F638D04" w14:textId="77777777" w:rsidR="001F04FD" w:rsidRDefault="001F04FD" w:rsidP="00AC4DEE">
            <w:pPr>
              <w:pStyle w:val="TableBody"/>
            </w:pPr>
            <w:r>
              <w:t>none</w:t>
            </w:r>
          </w:p>
        </w:tc>
        <w:tc>
          <w:tcPr>
            <w:tcW w:w="0" w:type="auto"/>
          </w:tcPr>
          <w:p w14:paraId="6925B0B6" w14:textId="77777777" w:rsidR="001F04FD" w:rsidRDefault="001F04FD" w:rsidP="00AC4DEE">
            <w:pPr>
              <w:pStyle w:val="TableBody"/>
            </w:pPr>
            <w:r>
              <w:t>A QSE.</w:t>
            </w:r>
          </w:p>
        </w:tc>
      </w:tr>
      <w:tr w:rsidR="001F04FD" w14:paraId="354EF5EB" w14:textId="77777777" w:rsidTr="00AC4DEE">
        <w:trPr>
          <w:cantSplit/>
        </w:trPr>
        <w:tc>
          <w:tcPr>
            <w:tcW w:w="2032" w:type="dxa"/>
          </w:tcPr>
          <w:p w14:paraId="21CB9A50" w14:textId="77777777" w:rsidR="001F04FD" w:rsidRPr="0032251F" w:rsidRDefault="001F04FD" w:rsidP="00AC4DEE">
            <w:pPr>
              <w:pStyle w:val="TableBody"/>
              <w:rPr>
                <w:i/>
              </w:rPr>
            </w:pPr>
            <w:r w:rsidRPr="00D661BC">
              <w:rPr>
                <w:i/>
              </w:rPr>
              <w:t>p</w:t>
            </w:r>
          </w:p>
        </w:tc>
        <w:tc>
          <w:tcPr>
            <w:tcW w:w="0" w:type="auto"/>
          </w:tcPr>
          <w:p w14:paraId="1AEBAD08" w14:textId="77777777" w:rsidR="001F04FD" w:rsidRDefault="001F04FD" w:rsidP="00AC4DEE">
            <w:pPr>
              <w:pStyle w:val="TableBody"/>
            </w:pPr>
            <w:r>
              <w:t>none</w:t>
            </w:r>
          </w:p>
        </w:tc>
        <w:tc>
          <w:tcPr>
            <w:tcW w:w="0" w:type="auto"/>
          </w:tcPr>
          <w:p w14:paraId="5E59C7B3" w14:textId="77777777" w:rsidR="001F04FD" w:rsidRDefault="001F04FD" w:rsidP="00AC4DEE">
            <w:pPr>
              <w:pStyle w:val="TableBody"/>
            </w:pPr>
            <w:r>
              <w:t>A Settlement Point.</w:t>
            </w:r>
          </w:p>
        </w:tc>
      </w:tr>
      <w:tr w:rsidR="001F04FD" w14:paraId="79F11D58" w14:textId="77777777" w:rsidTr="00AC4DEE">
        <w:trPr>
          <w:cantSplit/>
        </w:trPr>
        <w:tc>
          <w:tcPr>
            <w:tcW w:w="2032" w:type="dxa"/>
          </w:tcPr>
          <w:p w14:paraId="313D14AF" w14:textId="520320BD" w:rsidR="001F04FD" w:rsidRPr="0032251F" w:rsidRDefault="00EA6FD7" w:rsidP="00AC4DEE">
            <w:pPr>
              <w:pStyle w:val="TableBody"/>
              <w:rPr>
                <w:i/>
              </w:rPr>
            </w:pPr>
            <w:r>
              <w:rPr>
                <w:i/>
              </w:rPr>
              <w:t>r</w:t>
            </w:r>
          </w:p>
        </w:tc>
        <w:tc>
          <w:tcPr>
            <w:tcW w:w="0" w:type="auto"/>
          </w:tcPr>
          <w:p w14:paraId="0F4F4F06" w14:textId="77777777" w:rsidR="001F04FD" w:rsidRDefault="001F04FD" w:rsidP="00AC4DEE">
            <w:pPr>
              <w:pStyle w:val="TableBody"/>
            </w:pPr>
            <w:r>
              <w:t>none</w:t>
            </w:r>
          </w:p>
        </w:tc>
        <w:tc>
          <w:tcPr>
            <w:tcW w:w="0" w:type="auto"/>
          </w:tcPr>
          <w:p w14:paraId="70975DA9" w14:textId="77777777" w:rsidR="001F04FD" w:rsidRDefault="001F04FD" w:rsidP="00AC4DEE">
            <w:pPr>
              <w:pStyle w:val="TableBody"/>
            </w:pPr>
            <w:r>
              <w:t>A Generation Resource or Controllable Load Resource.</w:t>
            </w:r>
          </w:p>
        </w:tc>
      </w:tr>
    </w:tbl>
    <w:p w14:paraId="6F8DC97A" w14:textId="77777777" w:rsidR="00EA6FD7" w:rsidRPr="00EA6FD7" w:rsidRDefault="00EA6FD7" w:rsidP="00EA6FD7">
      <w:pPr>
        <w:pStyle w:val="BodyText"/>
        <w:spacing w:after="0"/>
      </w:pPr>
      <w:bookmarkStart w:id="2253" w:name="_Toc87951797"/>
      <w:bookmarkStart w:id="2254" w:name="_Toc109009407"/>
      <w:bookmarkStart w:id="2255" w:name="_Toc397505026"/>
      <w:bookmarkStart w:id="2256" w:name="_Toc402357158"/>
      <w:bookmarkStart w:id="2257" w:name="_Toc422486538"/>
      <w:bookmarkStart w:id="2258" w:name="_Toc433093391"/>
      <w:bookmarkStart w:id="2259" w:name="_Toc433093549"/>
      <w:bookmarkStart w:id="2260" w:name="_Toc440874779"/>
      <w:bookmarkStart w:id="2261" w:name="_Toc448142336"/>
      <w:bookmarkStart w:id="2262" w:name="_Toc448142493"/>
      <w:bookmarkStart w:id="2263" w:name="_Toc458770334"/>
      <w:bookmarkStart w:id="2264" w:name="_Toc459294302"/>
      <w:bookmarkStart w:id="2265" w:name="_Toc463262795"/>
      <w:bookmarkStart w:id="2266" w:name="_Toc468286868"/>
      <w:bookmarkStart w:id="2267" w:name="_Toc481502908"/>
      <w:bookmarkStart w:id="2268" w:name="_Toc49608007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EA6FD7" w14:paraId="33F01ACF" w14:textId="77777777" w:rsidTr="00BE571E">
        <w:trPr>
          <w:trHeight w:val="206"/>
        </w:trPr>
        <w:tc>
          <w:tcPr>
            <w:tcW w:w="9350" w:type="dxa"/>
            <w:shd w:val="pct12" w:color="auto" w:fill="auto"/>
          </w:tcPr>
          <w:p w14:paraId="144F6479" w14:textId="14D5319A" w:rsidR="00EA6FD7" w:rsidRDefault="00EA6FD7" w:rsidP="00BE571E">
            <w:pPr>
              <w:pStyle w:val="Instructions"/>
              <w:spacing w:before="120"/>
            </w:pPr>
            <w:r>
              <w:t>[NPRR1010</w:t>
            </w:r>
            <w:r w:rsidR="008152FC">
              <w:t xml:space="preserve"> and NPRR1246</w:t>
            </w:r>
            <w:r>
              <w:t>:  Replace Section 6.6.5.4 above with the following upon system implementation of the Real-Time Co-Optimization (RTC) project:]</w:t>
            </w:r>
          </w:p>
          <w:p w14:paraId="0C119EE7" w14:textId="77777777" w:rsidR="00EA6FD7" w:rsidRDefault="00EA6FD7" w:rsidP="00EA6FD7">
            <w:pPr>
              <w:keepNext/>
              <w:widowControl w:val="0"/>
              <w:tabs>
                <w:tab w:val="left" w:pos="1260"/>
              </w:tabs>
              <w:spacing w:before="480" w:after="240"/>
              <w:ind w:left="1267" w:hanging="1267"/>
              <w:outlineLvl w:val="3"/>
              <w:rPr>
                <w:b/>
                <w:bCs/>
                <w:snapToGrid w:val="0"/>
              </w:rPr>
            </w:pPr>
            <w:bookmarkStart w:id="2269" w:name="_Toc60040705"/>
            <w:bookmarkStart w:id="2270" w:name="_Toc65151764"/>
            <w:bookmarkStart w:id="2271" w:name="_Toc80174790"/>
            <w:bookmarkStart w:id="2272" w:name="_Toc112417670"/>
            <w:bookmarkStart w:id="2273" w:name="_Toc119310339"/>
            <w:bookmarkStart w:id="2274" w:name="_Toc125966272"/>
            <w:bookmarkStart w:id="2275" w:name="_Toc135992370"/>
            <w:bookmarkStart w:id="2276" w:name="_Toc170303566"/>
            <w:bookmarkStart w:id="2277" w:name="_Toc175157470"/>
            <w:bookmarkStart w:id="2278" w:name="_Toc189044443"/>
            <w:r>
              <w:rPr>
                <w:b/>
                <w:bCs/>
                <w:snapToGrid w:val="0"/>
              </w:rPr>
              <w:t>6.6.5.4</w:t>
            </w:r>
            <w:r>
              <w:rPr>
                <w:b/>
                <w:bCs/>
                <w:snapToGrid w:val="0"/>
              </w:rPr>
              <w:tab/>
              <w:t>Set Point Deviation Payment</w:t>
            </w:r>
            <w:bookmarkEnd w:id="2269"/>
            <w:bookmarkEnd w:id="2270"/>
            <w:bookmarkEnd w:id="2271"/>
            <w:bookmarkEnd w:id="2272"/>
            <w:bookmarkEnd w:id="2273"/>
            <w:bookmarkEnd w:id="2274"/>
            <w:bookmarkEnd w:id="2275"/>
            <w:bookmarkEnd w:id="2276"/>
            <w:bookmarkEnd w:id="2277"/>
            <w:bookmarkEnd w:id="2278"/>
          </w:p>
          <w:p w14:paraId="1B09C230" w14:textId="77777777" w:rsidR="00EA6FD7" w:rsidRDefault="00EA6FD7" w:rsidP="00EA6FD7">
            <w:pPr>
              <w:spacing w:after="240"/>
              <w:ind w:left="720" w:hanging="720"/>
            </w:pPr>
            <w:r>
              <w:t>(1)</w:t>
            </w:r>
            <w:r>
              <w:tab/>
              <w:t>ERCOT shall pay the Set Point Deviation Charges collected from the QSEs representing Resources to the QSEs representing Load based on LRS.  The payment to each QSE for a given 15-minute Settlement Interval is calculated as follows:</w:t>
            </w:r>
          </w:p>
          <w:p w14:paraId="606B5CBD" w14:textId="77777777" w:rsidR="00EA6FD7" w:rsidRDefault="00EA6FD7" w:rsidP="00EA6FD7">
            <w:pPr>
              <w:tabs>
                <w:tab w:val="left" w:pos="2250"/>
                <w:tab w:val="left" w:pos="3150"/>
                <w:tab w:val="left" w:pos="3960"/>
              </w:tabs>
              <w:spacing w:after="240"/>
              <w:ind w:left="3960" w:hanging="3240"/>
              <w:rPr>
                <w:b/>
                <w:bCs/>
                <w:szCs w:val="24"/>
              </w:rPr>
            </w:pPr>
            <w:r>
              <w:rPr>
                <w:b/>
                <w:bCs/>
              </w:rPr>
              <w:t xml:space="preserve">LASPDAMT </w:t>
            </w:r>
            <w:r>
              <w:rPr>
                <w:b/>
                <w:bCs/>
                <w:i/>
                <w:vertAlign w:val="subscript"/>
              </w:rPr>
              <w:t>q</w:t>
            </w:r>
            <w:r>
              <w:rPr>
                <w:b/>
                <w:bCs/>
              </w:rPr>
              <w:tab/>
              <w:t>=</w:t>
            </w:r>
            <w:r>
              <w:rPr>
                <w:b/>
                <w:bCs/>
              </w:rPr>
              <w:tab/>
              <w:t xml:space="preserve">(-1) * SPDAMTTOT * LRS </w:t>
            </w:r>
            <w:r>
              <w:rPr>
                <w:b/>
                <w:bCs/>
                <w:i/>
                <w:vertAlign w:val="subscript"/>
              </w:rPr>
              <w:t>q</w:t>
            </w:r>
          </w:p>
          <w:p w14:paraId="11D1AC6F" w14:textId="77777777" w:rsidR="00EA6FD7" w:rsidRDefault="00EA6FD7" w:rsidP="00EA6FD7">
            <w:pPr>
              <w:spacing w:after="240"/>
              <w:rPr>
                <w:iCs/>
                <w:vertAlign w:val="subscript"/>
              </w:rPr>
            </w:pPr>
            <w:r>
              <w:rPr>
                <w:iCs/>
              </w:rPr>
              <w:t>Where:</w:t>
            </w:r>
          </w:p>
          <w:p w14:paraId="33D0D5C6" w14:textId="5940A8C4" w:rsidR="00EA6FD7" w:rsidRDefault="00EA6FD7" w:rsidP="00EA6FD7">
            <w:pPr>
              <w:tabs>
                <w:tab w:val="left" w:pos="2160"/>
                <w:tab w:val="left" w:pos="2880"/>
              </w:tabs>
              <w:spacing w:after="240"/>
              <w:ind w:leftChars="300" w:left="2880" w:hangingChars="900" w:hanging="2160"/>
              <w:rPr>
                <w:bCs/>
                <w:szCs w:val="24"/>
              </w:rPr>
            </w:pPr>
            <w:r>
              <w:rPr>
                <w:bCs/>
              </w:rPr>
              <w:t>SPDAMTTOT</w:t>
            </w:r>
            <w:r>
              <w:rPr>
                <w:bCs/>
              </w:rPr>
              <w:tab/>
              <w:t>=</w:t>
            </w:r>
            <w:r>
              <w:rPr>
                <w:bCs/>
              </w:rPr>
              <w:tab/>
            </w:r>
            <w:r>
              <w:rPr>
                <w:bCs/>
                <w:position w:val="-22"/>
                <w:szCs w:val="24"/>
              </w:rPr>
              <w:object w:dxaOrig="150" w:dyaOrig="435" w14:anchorId="5B085978">
                <v:shape id="_x0000_i1198" type="#_x0000_t75" style="width:6pt;height:30pt" o:ole="">
                  <v:imagedata r:id="rId227" o:title=""/>
                </v:shape>
                <o:OLEObject Type="Embed" ProgID="Equation.3" ShapeID="_x0000_i1198" DrawAspect="Content" ObjectID="_1804653683" r:id="rId233"/>
              </w:object>
            </w:r>
            <w:r>
              <w:rPr>
                <w:bCs/>
              </w:rPr>
              <w:t xml:space="preserve">SPDAMTQSETOT </w:t>
            </w:r>
            <w:r>
              <w:rPr>
                <w:bCs/>
                <w:i/>
                <w:vertAlign w:val="subscript"/>
              </w:rPr>
              <w:t>q</w:t>
            </w:r>
          </w:p>
          <w:p w14:paraId="6DA5D04A" w14:textId="6AF6A357" w:rsidR="00EA6FD7" w:rsidRDefault="00EA6FD7" w:rsidP="00EA6FD7">
            <w:pPr>
              <w:tabs>
                <w:tab w:val="left" w:pos="2160"/>
                <w:tab w:val="left" w:pos="2880"/>
              </w:tabs>
              <w:spacing w:after="240"/>
              <w:ind w:leftChars="300" w:left="2880" w:hangingChars="900" w:hanging="2160"/>
              <w:rPr>
                <w:bCs/>
              </w:rPr>
            </w:pPr>
            <w:r>
              <w:rPr>
                <w:bCs/>
              </w:rPr>
              <w:t xml:space="preserve">SPDAMTQSETOT </w:t>
            </w:r>
            <w:r>
              <w:rPr>
                <w:bCs/>
                <w:i/>
                <w:vertAlign w:val="subscript"/>
              </w:rPr>
              <w:t>q</w:t>
            </w:r>
            <w:r>
              <w:rPr>
                <w:bCs/>
              </w:rPr>
              <w:tab/>
              <w:t>=</w:t>
            </w:r>
            <w:r>
              <w:rPr>
                <w:bCs/>
              </w:rPr>
              <w:tab/>
            </w:r>
            <w:r>
              <w:rPr>
                <w:bCs/>
                <w:position w:val="-22"/>
                <w:szCs w:val="24"/>
              </w:rPr>
              <w:object w:dxaOrig="150" w:dyaOrig="435" w14:anchorId="6A5D45EE">
                <v:shape id="_x0000_i1199" type="#_x0000_t75" style="width:6pt;height:30pt" o:ole="">
                  <v:imagedata r:id="rId229" o:title=""/>
                </v:shape>
                <o:OLEObject Type="Embed" ProgID="Equation.3" ShapeID="_x0000_i1199" DrawAspect="Content" ObjectID="_1804653684" r:id="rId234"/>
              </w:object>
            </w:r>
            <w:r>
              <w:rPr>
                <w:bCs/>
                <w:position w:val="-18"/>
                <w:szCs w:val="24"/>
              </w:rPr>
              <w:object w:dxaOrig="150" w:dyaOrig="435" w14:anchorId="1750A689">
                <v:shape id="_x0000_i1200" type="#_x0000_t75" style="width:6pt;height:30pt" o:ole="">
                  <v:imagedata r:id="rId231" o:title=""/>
                </v:shape>
                <o:OLEObject Type="Embed" ProgID="Equation.3" ShapeID="_x0000_i1200" DrawAspect="Content" ObjectID="_1804653685" r:id="rId235"/>
              </w:object>
            </w:r>
            <w:r>
              <w:rPr>
                <w:bCs/>
              </w:rPr>
              <w:t xml:space="preserve">SPDAMT </w:t>
            </w:r>
            <w:r>
              <w:rPr>
                <w:bCs/>
                <w:i/>
                <w:vertAlign w:val="subscript"/>
              </w:rPr>
              <w:t>q, r, p</w:t>
            </w:r>
          </w:p>
          <w:p w14:paraId="0D348C0A" w14:textId="77777777" w:rsidR="00EA6FD7" w:rsidRDefault="00EA6FD7" w:rsidP="00EA6FD7">
            <w:r>
              <w:t>The above variables are defined as follows: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6603"/>
            </w:tblGrid>
            <w:tr w:rsidR="00EA6FD7" w14:paraId="43137DDB" w14:textId="77777777" w:rsidTr="00EA6FD7">
              <w:trPr>
                <w:cantSplit/>
                <w:tblHeader/>
              </w:trPr>
              <w:tc>
                <w:tcPr>
                  <w:tcW w:w="2032" w:type="dxa"/>
                  <w:tcBorders>
                    <w:top w:val="single" w:sz="4" w:space="0" w:color="auto"/>
                    <w:left w:val="single" w:sz="4" w:space="0" w:color="auto"/>
                    <w:bottom w:val="single" w:sz="4" w:space="0" w:color="auto"/>
                    <w:right w:val="single" w:sz="4" w:space="0" w:color="auto"/>
                  </w:tcBorders>
                  <w:hideMark/>
                </w:tcPr>
                <w:p w14:paraId="33ED1780" w14:textId="77777777" w:rsidR="00EA6FD7" w:rsidRDefault="00EA6FD7" w:rsidP="00EA6FD7">
                  <w:pPr>
                    <w:spacing w:after="120"/>
                    <w:rPr>
                      <w:b/>
                      <w:iCs/>
                      <w:sz w:val="20"/>
                    </w:rPr>
                  </w:pPr>
                  <w:r>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29AB685C" w14:textId="77777777" w:rsidR="00EA6FD7" w:rsidRDefault="00EA6FD7" w:rsidP="00EA6FD7">
                  <w:pPr>
                    <w:spacing w:after="120"/>
                    <w:rPr>
                      <w:b/>
                      <w:iCs/>
                      <w:sz w:val="20"/>
                    </w:rPr>
                  </w:pPr>
                  <w:r>
                    <w:rPr>
                      <w:b/>
                      <w:iCs/>
                      <w:sz w:val="20"/>
                    </w:rPr>
                    <w:t>Unit</w:t>
                  </w:r>
                </w:p>
              </w:tc>
              <w:tc>
                <w:tcPr>
                  <w:tcW w:w="6603" w:type="dxa"/>
                  <w:tcBorders>
                    <w:top w:val="single" w:sz="4" w:space="0" w:color="auto"/>
                    <w:left w:val="single" w:sz="4" w:space="0" w:color="auto"/>
                    <w:bottom w:val="single" w:sz="4" w:space="0" w:color="auto"/>
                    <w:right w:val="single" w:sz="4" w:space="0" w:color="auto"/>
                  </w:tcBorders>
                  <w:hideMark/>
                </w:tcPr>
                <w:p w14:paraId="2FCF699D" w14:textId="77777777" w:rsidR="00EA6FD7" w:rsidRDefault="00EA6FD7" w:rsidP="00EA6FD7">
                  <w:pPr>
                    <w:spacing w:after="120"/>
                    <w:rPr>
                      <w:b/>
                      <w:iCs/>
                      <w:sz w:val="20"/>
                    </w:rPr>
                  </w:pPr>
                  <w:r>
                    <w:rPr>
                      <w:b/>
                      <w:iCs/>
                      <w:sz w:val="20"/>
                    </w:rPr>
                    <w:t>Definition</w:t>
                  </w:r>
                </w:p>
              </w:tc>
            </w:tr>
            <w:tr w:rsidR="00EA6FD7" w14:paraId="24E7B61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DD021E2" w14:textId="77777777" w:rsidR="00EA6FD7" w:rsidRDefault="00EA6FD7" w:rsidP="00EA6FD7">
                  <w:pPr>
                    <w:spacing w:after="60"/>
                    <w:rPr>
                      <w:iCs/>
                      <w:sz w:val="20"/>
                    </w:rPr>
                  </w:pPr>
                  <w:r>
                    <w:rPr>
                      <w:iCs/>
                      <w:sz w:val="20"/>
                    </w:rPr>
                    <w:t xml:space="preserve">LASPDAMT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14B0C773"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CE05347" w14:textId="77777777" w:rsidR="00EA6FD7" w:rsidRDefault="00EA6FD7" w:rsidP="00EA6FD7">
                  <w:pPr>
                    <w:spacing w:after="60"/>
                    <w:rPr>
                      <w:iCs/>
                      <w:sz w:val="20"/>
                    </w:rPr>
                  </w:pPr>
                  <w:r>
                    <w:rPr>
                      <w:i/>
                      <w:iCs/>
                      <w:sz w:val="20"/>
                    </w:rPr>
                    <w:t>Load-Allocated Set Point Deviation Amount per QSE</w:t>
                  </w:r>
                  <w:r>
                    <w:rPr>
                      <w:iCs/>
                      <w:sz w:val="20"/>
                    </w:rPr>
                    <w:t xml:space="preserve">—QSE </w:t>
                  </w:r>
                  <w:r>
                    <w:rPr>
                      <w:i/>
                      <w:iCs/>
                      <w:sz w:val="20"/>
                    </w:rPr>
                    <w:t>q</w:t>
                  </w:r>
                  <w:r>
                    <w:rPr>
                      <w:iCs/>
                      <w:sz w:val="20"/>
                    </w:rPr>
                    <w:t>’s share of the total charge for all Resources’ Set Point deviations, based on LRS for the 15-minute Settlement Interval.</w:t>
                  </w:r>
                </w:p>
              </w:tc>
            </w:tr>
            <w:tr w:rsidR="00EA6FD7" w14:paraId="1252E9E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8416E63" w14:textId="77777777" w:rsidR="00EA6FD7" w:rsidRDefault="00EA6FD7" w:rsidP="00EA6FD7">
                  <w:pPr>
                    <w:spacing w:after="60"/>
                    <w:rPr>
                      <w:iCs/>
                      <w:sz w:val="20"/>
                    </w:rPr>
                  </w:pPr>
                  <w:r>
                    <w:rPr>
                      <w:iCs/>
                      <w:sz w:val="20"/>
                    </w:rPr>
                    <w:t>SPDAMTTOT</w:t>
                  </w:r>
                </w:p>
              </w:tc>
              <w:tc>
                <w:tcPr>
                  <w:tcW w:w="0" w:type="auto"/>
                  <w:tcBorders>
                    <w:top w:val="single" w:sz="4" w:space="0" w:color="auto"/>
                    <w:left w:val="single" w:sz="4" w:space="0" w:color="auto"/>
                    <w:bottom w:val="single" w:sz="4" w:space="0" w:color="auto"/>
                    <w:right w:val="single" w:sz="4" w:space="0" w:color="auto"/>
                  </w:tcBorders>
                  <w:hideMark/>
                </w:tcPr>
                <w:p w14:paraId="3134CA98"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14D0202" w14:textId="77777777" w:rsidR="00EA6FD7" w:rsidRDefault="00EA6FD7" w:rsidP="00EA6FD7">
                  <w:pPr>
                    <w:spacing w:after="60"/>
                    <w:rPr>
                      <w:i/>
                      <w:iCs/>
                      <w:sz w:val="20"/>
                    </w:rPr>
                  </w:pPr>
                  <w:r>
                    <w:rPr>
                      <w:i/>
                      <w:iCs/>
                      <w:sz w:val="20"/>
                    </w:rPr>
                    <w:t>Set Point Deviation Amount Total</w:t>
                  </w:r>
                  <w:r>
                    <w:rPr>
                      <w:iCs/>
                      <w:sz w:val="20"/>
                    </w:rPr>
                    <w:t>—The total of Set Point Deviation Charges to all QSEs for all Resources, for the 15-minute Settlement Interval.</w:t>
                  </w:r>
                </w:p>
              </w:tc>
            </w:tr>
            <w:tr w:rsidR="00EA6FD7" w14:paraId="1D812534"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1E53C2F" w14:textId="77777777" w:rsidR="00EA6FD7" w:rsidRDefault="00EA6FD7" w:rsidP="00EA6FD7">
                  <w:pPr>
                    <w:spacing w:after="60"/>
                    <w:rPr>
                      <w:iCs/>
                      <w:sz w:val="20"/>
                    </w:rPr>
                  </w:pPr>
                  <w:r>
                    <w:rPr>
                      <w:iCs/>
                      <w:sz w:val="20"/>
                    </w:rPr>
                    <w:t xml:space="preserve">SPDAMTQSETOT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2242A00E"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71030FC6" w14:textId="77777777" w:rsidR="00EA6FD7" w:rsidRDefault="00EA6FD7" w:rsidP="00EA6FD7">
                  <w:pPr>
                    <w:spacing w:after="60"/>
                    <w:rPr>
                      <w:i/>
                      <w:iCs/>
                      <w:sz w:val="20"/>
                    </w:rPr>
                  </w:pPr>
                  <w:r>
                    <w:rPr>
                      <w:i/>
                      <w:iCs/>
                      <w:sz w:val="20"/>
                    </w:rPr>
                    <w:t>Set Point Deviation Amount QSE Total per QSE</w:t>
                  </w:r>
                  <w:r>
                    <w:rPr>
                      <w:iCs/>
                      <w:sz w:val="20"/>
                    </w:rPr>
                    <w:t xml:space="preserve">—The total of Set Point Deviation Charges to QSE </w:t>
                  </w:r>
                  <w:r>
                    <w:rPr>
                      <w:i/>
                      <w:iCs/>
                      <w:sz w:val="20"/>
                    </w:rPr>
                    <w:t>q</w:t>
                  </w:r>
                  <w:r>
                    <w:rPr>
                      <w:iCs/>
                      <w:sz w:val="20"/>
                    </w:rPr>
                    <w:t xml:space="preserve"> for all Resources represented by this QSE, for the 15-minute Settlement Interval.</w:t>
                  </w:r>
                </w:p>
              </w:tc>
            </w:tr>
            <w:tr w:rsidR="00EA6FD7" w14:paraId="686F4C15"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7E7D028B" w14:textId="77777777" w:rsidR="00EA6FD7" w:rsidRDefault="00EA6FD7" w:rsidP="00EA6FD7">
                  <w:pPr>
                    <w:spacing w:after="60"/>
                    <w:rPr>
                      <w:iCs/>
                      <w:sz w:val="20"/>
                    </w:rPr>
                  </w:pPr>
                  <w:r>
                    <w:rPr>
                      <w:iCs/>
                      <w:sz w:val="20"/>
                    </w:rPr>
                    <w:lastRenderedPageBreak/>
                    <w:t xml:space="preserve">SPDAMT </w:t>
                  </w:r>
                  <w:r>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CD799B7"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1630C7D7" w14:textId="16AB1758" w:rsidR="00EA6FD7" w:rsidRDefault="00EA6FD7" w:rsidP="00EA6FD7">
                  <w:pPr>
                    <w:spacing w:after="60"/>
                    <w:ind w:right="-108"/>
                    <w:rPr>
                      <w:iCs/>
                      <w:sz w:val="20"/>
                    </w:rPr>
                  </w:pPr>
                  <w:r>
                    <w:rPr>
                      <w:i/>
                      <w:iCs/>
                      <w:sz w:val="20"/>
                    </w:rPr>
                    <w:t>Set Point Deviation Charge per QSE per Settlement Point per Resource</w:t>
                  </w:r>
                  <w:r>
                    <w:rPr>
                      <w:iCs/>
                      <w:sz w:val="20"/>
                    </w:rPr>
                    <w:t xml:space="preserve">—The charge to QSE </w:t>
                  </w:r>
                  <w:r>
                    <w:rPr>
                      <w:i/>
                      <w:iCs/>
                      <w:sz w:val="20"/>
                    </w:rPr>
                    <w:t>q</w:t>
                  </w:r>
                  <w:r>
                    <w:rPr>
                      <w:iCs/>
                      <w:sz w:val="20"/>
                    </w:rPr>
                    <w:t xml:space="preserve"> for Resource </w:t>
                  </w:r>
                  <w:r>
                    <w:rPr>
                      <w:i/>
                      <w:iCs/>
                      <w:sz w:val="20"/>
                    </w:rPr>
                    <w:t>r</w:t>
                  </w:r>
                  <w:r>
                    <w:rPr>
                      <w:iCs/>
                      <w:sz w:val="20"/>
                    </w:rPr>
                    <w:t xml:space="preserve"> at Settlement Node </w:t>
                  </w:r>
                  <w:r>
                    <w:rPr>
                      <w:i/>
                      <w:iCs/>
                      <w:sz w:val="20"/>
                    </w:rPr>
                    <w:t>p</w:t>
                  </w:r>
                  <w:r>
                    <w:rPr>
                      <w:iCs/>
                      <w:sz w:val="20"/>
                    </w:rPr>
                    <w:t>, for its deviation from AASP, for the 15-minute Settlement Interval.  A Set Point Deviation Charge is charged to the Combined Cycle Train for all Combined Cycle Generation Resources.</w:t>
                  </w:r>
                </w:p>
              </w:tc>
            </w:tr>
            <w:tr w:rsidR="00EA6FD7" w14:paraId="2587443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0C6BEB0" w14:textId="77777777" w:rsidR="00EA6FD7" w:rsidRDefault="00EA6FD7" w:rsidP="00EA6FD7">
                  <w:pPr>
                    <w:spacing w:after="60"/>
                    <w:rPr>
                      <w:iCs/>
                      <w:sz w:val="20"/>
                    </w:rPr>
                  </w:pPr>
                  <w:r>
                    <w:rPr>
                      <w:iCs/>
                      <w:sz w:val="20"/>
                    </w:rPr>
                    <w:t xml:space="preserve">LRS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338E1F7C"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E5A9EB4" w14:textId="77777777" w:rsidR="00EA6FD7" w:rsidRDefault="00EA6FD7" w:rsidP="00EA6FD7">
                  <w:pPr>
                    <w:spacing w:after="60"/>
                    <w:rPr>
                      <w:iCs/>
                      <w:sz w:val="20"/>
                    </w:rPr>
                  </w:pPr>
                  <w:r>
                    <w:rPr>
                      <w:iCs/>
                      <w:sz w:val="20"/>
                    </w:rPr>
                    <w:t xml:space="preserve">The LRS calculated for QSE </w:t>
                  </w:r>
                  <w:r>
                    <w:rPr>
                      <w:i/>
                      <w:iCs/>
                      <w:sz w:val="20"/>
                    </w:rPr>
                    <w:t>q</w:t>
                  </w:r>
                  <w:r>
                    <w:rPr>
                      <w:iCs/>
                      <w:sz w:val="20"/>
                    </w:rPr>
                    <w:t xml:space="preserve"> for the 15-minute Settlement Interval.  See Section 6.6.2.2, QSE Load Ratio Share for a 15-Minute Settlement Interval.</w:t>
                  </w:r>
                </w:p>
              </w:tc>
            </w:tr>
            <w:tr w:rsidR="00EA6FD7" w14:paraId="4D951083"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151EB3E" w14:textId="77777777" w:rsidR="00EA6FD7" w:rsidRDefault="00EA6FD7" w:rsidP="00EA6FD7">
                  <w:pPr>
                    <w:spacing w:after="60"/>
                    <w:rPr>
                      <w:i/>
                      <w:iCs/>
                      <w:sz w:val="20"/>
                    </w:rPr>
                  </w:pPr>
                  <w:r>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4EBA98DE"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7875357" w14:textId="77777777" w:rsidR="00EA6FD7" w:rsidRDefault="00EA6FD7" w:rsidP="00EA6FD7">
                  <w:pPr>
                    <w:spacing w:after="60"/>
                    <w:rPr>
                      <w:iCs/>
                      <w:sz w:val="20"/>
                    </w:rPr>
                  </w:pPr>
                  <w:r>
                    <w:rPr>
                      <w:iCs/>
                      <w:sz w:val="20"/>
                    </w:rPr>
                    <w:t>A QSE.</w:t>
                  </w:r>
                </w:p>
              </w:tc>
            </w:tr>
            <w:tr w:rsidR="00EA6FD7" w14:paraId="3E59D8A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AA75E9C" w14:textId="77777777" w:rsidR="00EA6FD7" w:rsidRDefault="00EA6FD7" w:rsidP="00EA6FD7">
                  <w:pPr>
                    <w:spacing w:after="60"/>
                    <w:rPr>
                      <w:i/>
                      <w:iCs/>
                      <w:sz w:val="20"/>
                    </w:rPr>
                  </w:pPr>
                  <w:r>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31E56B87"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495AE040" w14:textId="77777777" w:rsidR="00EA6FD7" w:rsidRDefault="00EA6FD7" w:rsidP="00EA6FD7">
                  <w:pPr>
                    <w:spacing w:after="60"/>
                    <w:rPr>
                      <w:iCs/>
                      <w:sz w:val="20"/>
                    </w:rPr>
                  </w:pPr>
                  <w:r>
                    <w:rPr>
                      <w:iCs/>
                      <w:sz w:val="20"/>
                    </w:rPr>
                    <w:t>A Settlement Point.</w:t>
                  </w:r>
                </w:p>
              </w:tc>
            </w:tr>
            <w:tr w:rsidR="00EA6FD7" w14:paraId="1E9D3BB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7D983F8" w14:textId="77777777" w:rsidR="00EA6FD7" w:rsidRDefault="00EA6FD7" w:rsidP="00EA6FD7">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EA879E5"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7058ED87" w14:textId="4A0E9179" w:rsidR="00EA6FD7" w:rsidRDefault="00EA6FD7" w:rsidP="00EA6FD7">
                  <w:pPr>
                    <w:spacing w:after="60"/>
                    <w:rPr>
                      <w:iCs/>
                      <w:sz w:val="20"/>
                    </w:rPr>
                  </w:pPr>
                  <w:r>
                    <w:rPr>
                      <w:iCs/>
                      <w:sz w:val="20"/>
                    </w:rPr>
                    <w:t>A Generation Resource</w:t>
                  </w:r>
                  <w:r w:rsidR="008152FC">
                    <w:rPr>
                      <w:iCs/>
                      <w:sz w:val="20"/>
                    </w:rPr>
                    <w:t>, ESR,</w:t>
                  </w:r>
                  <w:r>
                    <w:rPr>
                      <w:iCs/>
                      <w:sz w:val="20"/>
                    </w:rPr>
                    <w:t xml:space="preserve"> or Controllable Load Resource.</w:t>
                  </w:r>
                </w:p>
              </w:tc>
            </w:tr>
          </w:tbl>
          <w:p w14:paraId="44CE2862" w14:textId="37BA4486" w:rsidR="00EA6FD7" w:rsidRPr="00B37C4B" w:rsidRDefault="00EA6FD7" w:rsidP="00BE571E">
            <w:pPr>
              <w:pStyle w:val="H3"/>
            </w:pPr>
          </w:p>
        </w:tc>
      </w:tr>
    </w:tbl>
    <w:p w14:paraId="31FFAA09" w14:textId="69FCA2BB" w:rsidR="001F04FD" w:rsidRDefault="001F04FD" w:rsidP="001F04FD">
      <w:pPr>
        <w:pStyle w:val="H3"/>
        <w:spacing w:before="480"/>
      </w:pPr>
      <w:bookmarkStart w:id="2279" w:name="_Toc189044444"/>
      <w:r>
        <w:lastRenderedPageBreak/>
        <w:t>6.6.6</w:t>
      </w:r>
      <w:r>
        <w:tab/>
        <w:t>Reliability Must-Run Settlement</w:t>
      </w:r>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C6D56" w14:paraId="1C295A65" w14:textId="77777777" w:rsidTr="00EA6FD7">
        <w:trPr>
          <w:trHeight w:val="206"/>
        </w:trPr>
        <w:tc>
          <w:tcPr>
            <w:tcW w:w="9350" w:type="dxa"/>
            <w:shd w:val="pct12" w:color="auto" w:fill="auto"/>
          </w:tcPr>
          <w:p w14:paraId="382AF8DB" w14:textId="64AE891E" w:rsidR="005C6D56" w:rsidRDefault="005C6D56" w:rsidP="00CE1011">
            <w:pPr>
              <w:pStyle w:val="Instructions"/>
              <w:spacing w:before="120"/>
            </w:pPr>
            <w:bookmarkStart w:id="2280" w:name="_Toc87951798"/>
            <w:bookmarkStart w:id="2281" w:name="_Toc109009408"/>
            <w:bookmarkStart w:id="2282" w:name="_Toc397505027"/>
            <w:bookmarkStart w:id="2283" w:name="_Toc402357159"/>
            <w:bookmarkStart w:id="2284" w:name="_Toc422486539"/>
            <w:bookmarkStart w:id="2285" w:name="_Toc433093392"/>
            <w:bookmarkStart w:id="2286" w:name="_Toc433093550"/>
            <w:bookmarkStart w:id="2287" w:name="_Toc440874780"/>
            <w:bookmarkStart w:id="2288" w:name="_Toc448142337"/>
            <w:bookmarkStart w:id="2289" w:name="_Toc448142494"/>
            <w:bookmarkStart w:id="2290" w:name="_Toc458770335"/>
            <w:bookmarkStart w:id="2291" w:name="_Toc459294303"/>
            <w:bookmarkStart w:id="2292" w:name="_Toc463262796"/>
            <w:bookmarkStart w:id="2293" w:name="_Toc468286869"/>
            <w:bookmarkStart w:id="2294" w:name="_Toc481502909"/>
            <w:bookmarkStart w:id="2295" w:name="_Toc496080077"/>
            <w:r>
              <w:t>[NPRR885:  Replace Section 6.6.6 above with the following upon system implementation:]</w:t>
            </w:r>
          </w:p>
          <w:p w14:paraId="6399BE60" w14:textId="77777777" w:rsidR="005C6D56" w:rsidRPr="00B37C4B" w:rsidRDefault="005C6D56" w:rsidP="005C6D56">
            <w:pPr>
              <w:pStyle w:val="H3"/>
            </w:pPr>
            <w:bookmarkStart w:id="2296" w:name="_Toc17798747"/>
            <w:bookmarkStart w:id="2297" w:name="_Toc60040707"/>
            <w:bookmarkStart w:id="2298" w:name="_Toc65151766"/>
            <w:bookmarkStart w:id="2299" w:name="_Toc80174792"/>
            <w:bookmarkStart w:id="2300" w:name="_Toc112417672"/>
            <w:bookmarkStart w:id="2301" w:name="_Toc119310341"/>
            <w:bookmarkStart w:id="2302" w:name="_Toc125966274"/>
            <w:bookmarkStart w:id="2303" w:name="_Toc135992372"/>
            <w:bookmarkStart w:id="2304" w:name="_Toc170303568"/>
            <w:bookmarkStart w:id="2305" w:name="_Toc175157472"/>
            <w:bookmarkStart w:id="2306" w:name="_Toc189044445"/>
            <w:r w:rsidRPr="00B715B4">
              <w:t>6.6.6</w:t>
            </w:r>
            <w:r w:rsidRPr="00B715B4">
              <w:tab/>
              <w:t>Reliability Must-Run and Must-Run Alternative Settlement</w:t>
            </w:r>
            <w:bookmarkEnd w:id="2296"/>
            <w:bookmarkEnd w:id="2297"/>
            <w:bookmarkEnd w:id="2298"/>
            <w:bookmarkEnd w:id="2299"/>
            <w:bookmarkEnd w:id="2300"/>
            <w:bookmarkEnd w:id="2301"/>
            <w:bookmarkEnd w:id="2302"/>
            <w:bookmarkEnd w:id="2303"/>
            <w:bookmarkEnd w:id="2304"/>
            <w:bookmarkEnd w:id="2305"/>
            <w:bookmarkEnd w:id="2306"/>
            <w:r>
              <w:t xml:space="preserve"> </w:t>
            </w:r>
          </w:p>
        </w:tc>
      </w:tr>
    </w:tbl>
    <w:p w14:paraId="797D8F48" w14:textId="77777777" w:rsidR="001F04FD" w:rsidRDefault="001F04FD" w:rsidP="001F04FD">
      <w:pPr>
        <w:pStyle w:val="H4"/>
      </w:pPr>
      <w:bookmarkStart w:id="2307" w:name="_Toc189044446"/>
      <w:r>
        <w:t>6.6.6.1</w:t>
      </w:r>
      <w:r>
        <w:tab/>
        <w:t>RMR Standby Payment</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307"/>
    </w:p>
    <w:p w14:paraId="60EEBF01" w14:textId="77777777" w:rsidR="001F04FD" w:rsidRDefault="001F04FD" w:rsidP="001F04FD">
      <w:pPr>
        <w:pStyle w:val="BodyTextNumbered"/>
      </w:pPr>
      <w:r>
        <w:t>(1)</w:t>
      </w:r>
      <w:r>
        <w:tab/>
      </w:r>
      <w:r w:rsidR="00326E23" w:rsidRPr="00AF0BBA">
        <w:rPr>
          <w:iCs/>
        </w:rPr>
        <w:t>The Standby Payment for RMR Service is paid to each QSE representing an RMR Unit for each RMR Unit for each contracted hour under performance requirements set forth in Section 22, Attachment B, Standard Form Reliability Must-Run Agreement, and other performance requirements in these Protocols.  For Initial Settlement, the Standby Payment is either the “</w:t>
      </w:r>
      <w:r w:rsidR="00326E23">
        <w:rPr>
          <w:iCs/>
        </w:rPr>
        <w:t>Initial</w:t>
      </w:r>
      <w:r w:rsidR="00326E23" w:rsidRPr="00AF0BBA">
        <w:rPr>
          <w:iCs/>
        </w:rPr>
        <w:t xml:space="preserve"> Standby Cost” stated in the RMR Agreement or the revised Standby Cost calculated in accordance with paragraph (2) of Section 3.14.1.13, Updated Budgets During the Term of an RMR Agreement.  For Final and True-Up Settlements, the Standby Payment is based on the RMR Unit’s actual Eligible Cost, if available</w:t>
      </w:r>
      <w:r w:rsidR="00326E23">
        <w:rPr>
          <w:iCs/>
        </w:rPr>
        <w:t>.</w:t>
      </w:r>
    </w:p>
    <w:p w14:paraId="42228153" w14:textId="77777777" w:rsidR="001F04FD" w:rsidRDefault="001F04FD" w:rsidP="007C7690">
      <w:pPr>
        <w:pStyle w:val="BodyTextNumbered"/>
      </w:pPr>
      <w:r>
        <w:t>(2)</w:t>
      </w:r>
      <w:r>
        <w:tab/>
        <w:t xml:space="preserve">The Standby Payment to each QSE for each RMR Unit for each hour is calculated as follows:  </w:t>
      </w:r>
    </w:p>
    <w:p w14:paraId="40C81F93" w14:textId="77777777" w:rsidR="001F04FD" w:rsidRDefault="001F04FD" w:rsidP="001F04FD">
      <w:pPr>
        <w:pStyle w:val="FormulaBold"/>
        <w:rPr>
          <w:lang w:val="pt-BR"/>
        </w:rPr>
      </w:pPr>
      <w:r>
        <w:rPr>
          <w:lang w:val="pt-BR"/>
        </w:rPr>
        <w:t xml:space="preserve">RMRSBAMT </w:t>
      </w:r>
      <w:r>
        <w:rPr>
          <w:i/>
          <w:vertAlign w:val="subscript"/>
          <w:lang w:val="pt-BR"/>
        </w:rPr>
        <w:t>q, r</w:t>
      </w:r>
      <w:r>
        <w:rPr>
          <w:lang w:val="pt-BR"/>
        </w:rPr>
        <w:tab/>
        <w:t>=</w:t>
      </w:r>
      <w:r>
        <w:rPr>
          <w:lang w:val="pt-BR"/>
        </w:rPr>
        <w:tab/>
        <w:t xml:space="preserve">(-1) * RMRSBPR </w:t>
      </w:r>
      <w:r>
        <w:rPr>
          <w:i/>
          <w:vertAlign w:val="subscript"/>
          <w:lang w:val="pt-BR"/>
        </w:rPr>
        <w:t>q, r</w:t>
      </w:r>
    </w:p>
    <w:p w14:paraId="58701CBF"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5"/>
        <w:gridCol w:w="6889"/>
      </w:tblGrid>
      <w:tr w:rsidR="001F04FD" w14:paraId="5262B66A" w14:textId="77777777" w:rsidTr="00AC4DEE">
        <w:trPr>
          <w:cantSplit/>
          <w:tblHeader/>
        </w:trPr>
        <w:tc>
          <w:tcPr>
            <w:tcW w:w="907" w:type="pct"/>
          </w:tcPr>
          <w:p w14:paraId="600BBD20" w14:textId="77777777" w:rsidR="001F04FD" w:rsidRDefault="001F04FD" w:rsidP="00AC4DEE">
            <w:pPr>
              <w:pStyle w:val="TableHead"/>
            </w:pPr>
            <w:r>
              <w:t>Variable</w:t>
            </w:r>
          </w:p>
        </w:tc>
        <w:tc>
          <w:tcPr>
            <w:tcW w:w="409" w:type="pct"/>
          </w:tcPr>
          <w:p w14:paraId="3D636A7D" w14:textId="77777777" w:rsidR="001F04FD" w:rsidRDefault="001F04FD" w:rsidP="00AC4DEE">
            <w:pPr>
              <w:pStyle w:val="TableHead"/>
            </w:pPr>
            <w:r>
              <w:t>Unit</w:t>
            </w:r>
          </w:p>
        </w:tc>
        <w:tc>
          <w:tcPr>
            <w:tcW w:w="3684" w:type="pct"/>
          </w:tcPr>
          <w:p w14:paraId="29F90C89" w14:textId="77777777" w:rsidR="001F04FD" w:rsidRDefault="001F04FD" w:rsidP="00AC4DEE">
            <w:pPr>
              <w:pStyle w:val="TableHead"/>
            </w:pPr>
            <w:r>
              <w:t>Definition</w:t>
            </w:r>
          </w:p>
        </w:tc>
      </w:tr>
      <w:tr w:rsidR="001F04FD" w14:paraId="426A1BA2" w14:textId="77777777" w:rsidTr="00AC4DEE">
        <w:trPr>
          <w:cantSplit/>
        </w:trPr>
        <w:tc>
          <w:tcPr>
            <w:tcW w:w="907" w:type="pct"/>
          </w:tcPr>
          <w:p w14:paraId="2FFCE7C3" w14:textId="77777777" w:rsidR="001F04FD" w:rsidRDefault="001F04FD" w:rsidP="00AC4DEE">
            <w:pPr>
              <w:pStyle w:val="TableBody"/>
              <w:rPr>
                <w:lang w:val="pt-BR"/>
              </w:rPr>
            </w:pPr>
            <w:r>
              <w:rPr>
                <w:lang w:val="pt-BR"/>
              </w:rPr>
              <w:t xml:space="preserve">RMRSBAMT </w:t>
            </w:r>
            <w:r w:rsidRPr="00E15B17">
              <w:rPr>
                <w:i/>
                <w:vertAlign w:val="subscript"/>
                <w:lang w:val="pt-BR"/>
              </w:rPr>
              <w:t>q, r</w:t>
            </w:r>
          </w:p>
        </w:tc>
        <w:tc>
          <w:tcPr>
            <w:tcW w:w="409" w:type="pct"/>
          </w:tcPr>
          <w:p w14:paraId="1453E2DC" w14:textId="77777777" w:rsidR="001F04FD" w:rsidRDefault="001F04FD" w:rsidP="00AC4DEE">
            <w:pPr>
              <w:pStyle w:val="TableBody"/>
            </w:pPr>
            <w:r>
              <w:t>$</w:t>
            </w:r>
          </w:p>
        </w:tc>
        <w:tc>
          <w:tcPr>
            <w:tcW w:w="3684" w:type="pct"/>
          </w:tcPr>
          <w:p w14:paraId="7132BC2E" w14:textId="77777777" w:rsidR="001F04FD" w:rsidRDefault="001F04FD" w:rsidP="00AC4DEE">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3DD786E3" w14:textId="77777777" w:rsidTr="00AC4DEE">
        <w:trPr>
          <w:cantSplit/>
        </w:trPr>
        <w:tc>
          <w:tcPr>
            <w:tcW w:w="907" w:type="pct"/>
          </w:tcPr>
          <w:p w14:paraId="7BB2F77B" w14:textId="77777777" w:rsidR="001F04FD" w:rsidRDefault="001F04FD" w:rsidP="00AC4DEE">
            <w:pPr>
              <w:pStyle w:val="TableBody"/>
            </w:pPr>
            <w:r>
              <w:t xml:space="preserve">RMRSBPR </w:t>
            </w:r>
            <w:r w:rsidRPr="00E15B17">
              <w:rPr>
                <w:i/>
                <w:vertAlign w:val="subscript"/>
              </w:rPr>
              <w:t>q, r</w:t>
            </w:r>
          </w:p>
        </w:tc>
        <w:tc>
          <w:tcPr>
            <w:tcW w:w="409" w:type="pct"/>
          </w:tcPr>
          <w:p w14:paraId="1BCD1D86" w14:textId="77777777" w:rsidR="001F04FD" w:rsidRDefault="001F04FD" w:rsidP="00AC4DEE">
            <w:pPr>
              <w:pStyle w:val="TableBody"/>
            </w:pPr>
            <w:r>
              <w:t>$ per hour</w:t>
            </w:r>
          </w:p>
        </w:tc>
        <w:tc>
          <w:tcPr>
            <w:tcW w:w="3684" w:type="pct"/>
          </w:tcPr>
          <w:p w14:paraId="26F270A1" w14:textId="77777777" w:rsidR="001F04FD" w:rsidRDefault="001F04FD" w:rsidP="00AC4DEE">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See item (3) below.  Where for a Combined Cycle Train, the Resource </w:t>
            </w:r>
            <w:r w:rsidRPr="00B34C5D">
              <w:rPr>
                <w:i/>
              </w:rPr>
              <w:t>r</w:t>
            </w:r>
            <w:r>
              <w:rPr>
                <w:i/>
              </w:rPr>
              <w:t xml:space="preserve"> </w:t>
            </w:r>
            <w:r>
              <w:t xml:space="preserve">is the Combined Cycle Train.   </w:t>
            </w:r>
          </w:p>
        </w:tc>
      </w:tr>
      <w:tr w:rsidR="001F04FD" w14:paraId="78403BBD" w14:textId="77777777" w:rsidTr="00AC4DEE">
        <w:trPr>
          <w:cantSplit/>
        </w:trPr>
        <w:tc>
          <w:tcPr>
            <w:tcW w:w="907" w:type="pct"/>
          </w:tcPr>
          <w:p w14:paraId="105E875D" w14:textId="77777777" w:rsidR="001F04FD" w:rsidRPr="00A9442A" w:rsidRDefault="001F04FD" w:rsidP="00AC4DEE">
            <w:pPr>
              <w:pStyle w:val="TableBody"/>
              <w:rPr>
                <w:i/>
              </w:rPr>
            </w:pPr>
            <w:r w:rsidRPr="00D661BC">
              <w:rPr>
                <w:i/>
              </w:rPr>
              <w:t>q</w:t>
            </w:r>
          </w:p>
        </w:tc>
        <w:tc>
          <w:tcPr>
            <w:tcW w:w="409" w:type="pct"/>
          </w:tcPr>
          <w:p w14:paraId="157BA68C" w14:textId="77777777" w:rsidR="001F04FD" w:rsidRDefault="001F04FD" w:rsidP="00AC4DEE">
            <w:pPr>
              <w:pStyle w:val="TableBody"/>
            </w:pPr>
            <w:r>
              <w:t>none</w:t>
            </w:r>
          </w:p>
        </w:tc>
        <w:tc>
          <w:tcPr>
            <w:tcW w:w="3684" w:type="pct"/>
          </w:tcPr>
          <w:p w14:paraId="43B0FF55" w14:textId="77777777" w:rsidR="001F04FD" w:rsidRDefault="001F04FD" w:rsidP="00AC4DEE">
            <w:pPr>
              <w:pStyle w:val="TableBody"/>
            </w:pPr>
            <w:r>
              <w:t>A QSE.</w:t>
            </w:r>
          </w:p>
        </w:tc>
      </w:tr>
      <w:tr w:rsidR="001F04FD" w14:paraId="183996C6" w14:textId="77777777" w:rsidTr="00AC4DEE">
        <w:trPr>
          <w:cantSplit/>
        </w:trPr>
        <w:tc>
          <w:tcPr>
            <w:tcW w:w="907" w:type="pct"/>
          </w:tcPr>
          <w:p w14:paraId="5340B606" w14:textId="77777777" w:rsidR="001F04FD" w:rsidRPr="00A9442A" w:rsidRDefault="00F74586" w:rsidP="00AC4DEE">
            <w:pPr>
              <w:pStyle w:val="TableBody"/>
              <w:rPr>
                <w:i/>
              </w:rPr>
            </w:pPr>
            <w:r>
              <w:rPr>
                <w:i/>
              </w:rPr>
              <w:t>r</w:t>
            </w:r>
          </w:p>
        </w:tc>
        <w:tc>
          <w:tcPr>
            <w:tcW w:w="409" w:type="pct"/>
          </w:tcPr>
          <w:p w14:paraId="7493E176" w14:textId="77777777" w:rsidR="001F04FD" w:rsidRDefault="001F04FD" w:rsidP="00AC4DEE">
            <w:pPr>
              <w:pStyle w:val="TableBody"/>
            </w:pPr>
            <w:r>
              <w:t>none</w:t>
            </w:r>
          </w:p>
        </w:tc>
        <w:tc>
          <w:tcPr>
            <w:tcW w:w="3684" w:type="pct"/>
          </w:tcPr>
          <w:p w14:paraId="683D718A" w14:textId="77777777" w:rsidR="001F04FD" w:rsidRDefault="001F04FD" w:rsidP="00AC4DEE">
            <w:pPr>
              <w:pStyle w:val="TableBody"/>
            </w:pPr>
            <w:r>
              <w:t>An RMR Unit.</w:t>
            </w:r>
          </w:p>
        </w:tc>
      </w:tr>
    </w:tbl>
    <w:p w14:paraId="7459E306" w14:textId="77777777" w:rsidR="00326E23" w:rsidRPr="00AF0BBA" w:rsidRDefault="00326E23" w:rsidP="00326E23">
      <w:pPr>
        <w:spacing w:before="240" w:after="240"/>
        <w:ind w:left="720" w:hanging="720"/>
        <w:rPr>
          <w:iCs/>
        </w:rPr>
      </w:pPr>
      <w:r w:rsidRPr="00AF0BBA">
        <w:rPr>
          <w:iCs/>
        </w:rPr>
        <w:lastRenderedPageBreak/>
        <w:t>(3)</w:t>
      </w:r>
      <w:r w:rsidRPr="00AF0BBA">
        <w:rPr>
          <w:iCs/>
        </w:rPr>
        <w:tab/>
        <w:t>For the Initial Settlement and resettlements executed before true-up and before actual cost data is submitted, the standby price of an RMR Unit is either the “</w:t>
      </w:r>
      <w:r>
        <w:rPr>
          <w:iCs/>
        </w:rPr>
        <w:t>Initial</w:t>
      </w:r>
      <w:r w:rsidRPr="00AF0BBA">
        <w:rPr>
          <w:iCs/>
        </w:rPr>
        <w:t xml:space="preserve"> Standby Cost” stated in the RMR Agreement or the revised Standby Cost calculated in accordance with paragraph (2) of Section 3.14.1.13.  For other resettlements, the standby price of an RMR Unit for each hour is calculated as follows:</w:t>
      </w:r>
    </w:p>
    <w:p w14:paraId="376746C1" w14:textId="77777777" w:rsidR="00326E23" w:rsidRPr="00AF0BBA" w:rsidRDefault="00326E23" w:rsidP="00326E23">
      <w:pPr>
        <w:tabs>
          <w:tab w:val="left" w:pos="2340"/>
          <w:tab w:val="left" w:pos="3420"/>
        </w:tabs>
        <w:spacing w:after="240"/>
        <w:ind w:left="3150" w:hanging="2430"/>
        <w:rPr>
          <w:b/>
          <w:bCs/>
          <w:lang w:val="pt-BR"/>
        </w:rPr>
      </w:pPr>
      <w:r w:rsidRPr="00AF0BBA">
        <w:rPr>
          <w:b/>
          <w:bCs/>
          <w:lang w:val="pt-BR"/>
        </w:rPr>
        <w:t xml:space="preserve">RMRSBPR </w:t>
      </w:r>
      <w:r w:rsidRPr="00AF0BBA">
        <w:rPr>
          <w:b/>
          <w:bCs/>
          <w:i/>
          <w:vertAlign w:val="subscript"/>
          <w:lang w:val="pt-BR"/>
        </w:rPr>
        <w:t>q, r</w:t>
      </w:r>
      <w:r w:rsidRPr="00AF0BBA">
        <w:rPr>
          <w:b/>
          <w:bCs/>
          <w:lang w:val="pt-BR"/>
        </w:rPr>
        <w:tab/>
        <w:t>=</w:t>
      </w:r>
      <w:r w:rsidRPr="00AF0BBA">
        <w:rPr>
          <w:b/>
          <w:bCs/>
          <w:lang w:val="pt-BR"/>
        </w:rPr>
        <w:tab/>
        <w:t xml:space="preserve">(RMRMNFNCC </w:t>
      </w:r>
      <w:r w:rsidRPr="00AF0BBA">
        <w:rPr>
          <w:b/>
          <w:bCs/>
          <w:i/>
          <w:vertAlign w:val="subscript"/>
          <w:lang w:val="pt-BR"/>
        </w:rPr>
        <w:t>q, r</w:t>
      </w:r>
      <w:r w:rsidRPr="00AF0BBA">
        <w:rPr>
          <w:b/>
          <w:bCs/>
          <w:lang w:val="pt-BR"/>
        </w:rPr>
        <w:t xml:space="preserve"> * (1 + RMRIF * RMRCRF </w:t>
      </w:r>
      <w:r w:rsidRPr="00AF0BBA">
        <w:rPr>
          <w:b/>
          <w:bCs/>
          <w:i/>
          <w:vertAlign w:val="subscript"/>
          <w:lang w:val="pt-BR"/>
        </w:rPr>
        <w:t>q, r</w:t>
      </w:r>
      <w:r w:rsidRPr="00AF0BBA">
        <w:rPr>
          <w:b/>
          <w:bCs/>
          <w:lang w:val="pt-BR"/>
        </w:rPr>
        <w:t xml:space="preserve"> * RMRARF </w:t>
      </w:r>
      <w:r w:rsidRPr="00AF0BBA">
        <w:rPr>
          <w:b/>
          <w:bCs/>
          <w:i/>
          <w:vertAlign w:val="subscript"/>
          <w:lang w:val="pt-BR"/>
        </w:rPr>
        <w:t>q, r</w:t>
      </w:r>
      <w:r w:rsidRPr="00AF0BBA">
        <w:rPr>
          <w:b/>
          <w:bCs/>
          <w:lang w:val="pt-BR"/>
        </w:rPr>
        <w:t xml:space="preserve">) + RMRMNFCC </w:t>
      </w:r>
      <w:r w:rsidRPr="00AF0BBA">
        <w:rPr>
          <w:b/>
          <w:bCs/>
          <w:i/>
          <w:vertAlign w:val="subscript"/>
          <w:lang w:val="pt-BR"/>
        </w:rPr>
        <w:t>q, r</w:t>
      </w:r>
      <w:r w:rsidRPr="00AF0BBA">
        <w:rPr>
          <w:b/>
          <w:bCs/>
          <w:lang w:val="pt-BR"/>
        </w:rPr>
        <w:t xml:space="preserve">) / MH </w:t>
      </w:r>
      <w:r w:rsidRPr="00AF0BBA">
        <w:rPr>
          <w:b/>
          <w:bCs/>
          <w:i/>
          <w:vertAlign w:val="subscript"/>
          <w:lang w:val="pt-BR"/>
        </w:rPr>
        <w:t>q, r</w:t>
      </w:r>
    </w:p>
    <w:p w14:paraId="10123168" w14:textId="77777777" w:rsidR="00326E23" w:rsidRPr="00AF0BBA" w:rsidRDefault="00326E23" w:rsidP="00326E23">
      <w:pPr>
        <w:spacing w:before="240" w:after="240"/>
      </w:pPr>
      <w:r w:rsidRPr="00AF0BBA">
        <w:t xml:space="preserve">Where: </w:t>
      </w:r>
    </w:p>
    <w:p w14:paraId="24FE2DB6" w14:textId="77777777" w:rsidR="00326E23" w:rsidRPr="00AF0BBA" w:rsidRDefault="00326E23" w:rsidP="00326E23">
      <w:r w:rsidRPr="00AF0BBA">
        <w:t>RMR Capacity Reduction Factor</w:t>
      </w:r>
    </w:p>
    <w:p w14:paraId="462C6B2B" w14:textId="77777777" w:rsidR="00326E23" w:rsidRPr="00AF0BBA" w:rsidRDefault="00326E23" w:rsidP="00326E23">
      <w:pPr>
        <w:tabs>
          <w:tab w:val="left" w:pos="5940"/>
          <w:tab w:val="left" w:pos="6300"/>
          <w:tab w:val="left" w:pos="6840"/>
        </w:tabs>
        <w:ind w:firstLine="360"/>
        <w:rPr>
          <w:lang w:val="pt-BR"/>
        </w:rPr>
      </w:pPr>
      <w:r w:rsidRPr="00AF0BBA">
        <w:t>If (</w:t>
      </w:r>
      <w:r w:rsidRPr="00AF0BBA">
        <w:rPr>
          <w:lang w:val="pt-BR"/>
        </w:rPr>
        <w:t>RMRTCAPA</w:t>
      </w:r>
      <w:r w:rsidRPr="00AF0BBA">
        <w:rPr>
          <w:i/>
          <w:vertAlign w:val="subscript"/>
          <w:lang w:val="pt-BR"/>
        </w:rPr>
        <w:t xml:space="preserve"> q, r</w:t>
      </w:r>
      <w:r w:rsidRPr="00AF0BBA">
        <w:rPr>
          <w:lang w:val="pt-BR"/>
        </w:rPr>
        <w:t xml:space="preserve"> + </w:t>
      </w:r>
      <w:r w:rsidRPr="00AF0BBA">
        <w:t xml:space="preserve">RMRTCAP </w:t>
      </w:r>
      <w:r w:rsidRPr="00AF0BBA">
        <w:rPr>
          <w:i/>
          <w:vertAlign w:val="subscript"/>
        </w:rPr>
        <w:t>q, r</w:t>
      </w:r>
      <w:r w:rsidRPr="00AF0BBA">
        <w:t xml:space="preserve"> ≥ RMRCCAP </w:t>
      </w:r>
      <w:r w:rsidRPr="00AF0BBA">
        <w:rPr>
          <w:i/>
          <w:vertAlign w:val="subscript"/>
        </w:rPr>
        <w:t>q, r</w:t>
      </w:r>
      <w:r w:rsidRPr="00AF0BBA">
        <w:t xml:space="preserve">), then </w:t>
      </w:r>
      <w:r w:rsidRPr="00AF0BBA">
        <w:rPr>
          <w:lang w:val="pt-BR"/>
        </w:rPr>
        <w:t xml:space="preserve">RMRCRF </w:t>
      </w:r>
      <w:r w:rsidRPr="00AF0BBA">
        <w:rPr>
          <w:i/>
          <w:vertAlign w:val="subscript"/>
          <w:lang w:val="pt-BR"/>
        </w:rPr>
        <w:t xml:space="preserve">q, r  </w:t>
      </w:r>
      <w:r w:rsidRPr="00AF0BBA">
        <w:rPr>
          <w:lang w:val="pt-BR"/>
        </w:rPr>
        <w:t>= 1</w:t>
      </w:r>
    </w:p>
    <w:p w14:paraId="31183879" w14:textId="77777777" w:rsidR="00326E23" w:rsidRPr="00AF0BBA" w:rsidRDefault="00326E23" w:rsidP="00326E23">
      <w:pPr>
        <w:ind w:firstLine="360"/>
        <w:rPr>
          <w:lang w:val="pt-BR"/>
        </w:rPr>
      </w:pPr>
    </w:p>
    <w:p w14:paraId="093B4A5C" w14:textId="77777777" w:rsidR="00326E23" w:rsidRPr="00AF0BBA" w:rsidRDefault="00326E23" w:rsidP="00326E23">
      <w:pPr>
        <w:ind w:firstLine="360"/>
        <w:rPr>
          <w:lang w:val="pt-BR"/>
        </w:rPr>
      </w:pPr>
      <w:r w:rsidRPr="00AF0BBA">
        <w:rPr>
          <w:lang w:val="pt-BR"/>
        </w:rPr>
        <w:t>Otherwise</w:t>
      </w:r>
    </w:p>
    <w:p w14:paraId="42A05B14" w14:textId="77777777" w:rsidR="00326E23" w:rsidRPr="00AF0BBA" w:rsidRDefault="00326E23" w:rsidP="00326E23">
      <w:pPr>
        <w:tabs>
          <w:tab w:val="left" w:pos="2700"/>
        </w:tabs>
        <w:ind w:left="2430" w:hanging="1620"/>
        <w:rPr>
          <w:lang w:val="pt-BR"/>
        </w:rPr>
      </w:pPr>
      <w:r w:rsidRPr="00AF0BBA">
        <w:rPr>
          <w:lang w:val="pt-BR"/>
        </w:rPr>
        <w:t xml:space="preserve">RMRCRF </w:t>
      </w:r>
      <w:r w:rsidRPr="00AF0BBA">
        <w:rPr>
          <w:i/>
          <w:vertAlign w:val="subscript"/>
          <w:lang w:val="pt-BR"/>
        </w:rPr>
        <w:t>q, r</w:t>
      </w:r>
      <w:r w:rsidRPr="00AF0BBA">
        <w:rPr>
          <w:lang w:val="pt-BR"/>
        </w:rPr>
        <w:tab/>
        <w:t>=</w:t>
      </w:r>
      <w:r w:rsidRPr="00AF0BBA">
        <w:rPr>
          <w:lang w:val="pt-BR"/>
        </w:rPr>
        <w:tab/>
        <w:t xml:space="preserve">Max (0, 1 – 2 * (RMRCCAP </w:t>
      </w:r>
      <w:r w:rsidRPr="00AF0BBA">
        <w:rPr>
          <w:i/>
          <w:vertAlign w:val="subscript"/>
          <w:lang w:val="pt-BR"/>
        </w:rPr>
        <w:t xml:space="preserve">q, r </w:t>
      </w:r>
      <w:r w:rsidRPr="00AF0BBA">
        <w:rPr>
          <w:lang w:val="pt-BR"/>
        </w:rPr>
        <w:t xml:space="preserve">– RMRTCAP </w:t>
      </w:r>
      <w:r w:rsidRPr="00AF0BBA">
        <w:rPr>
          <w:i/>
          <w:vertAlign w:val="subscript"/>
          <w:lang w:val="pt-BR"/>
        </w:rPr>
        <w:t>q, r</w:t>
      </w:r>
      <w:r w:rsidRPr="00AF0BBA">
        <w:rPr>
          <w:lang w:val="pt-BR"/>
        </w:rPr>
        <w:t xml:space="preserve">) </w:t>
      </w:r>
      <w:r w:rsidRPr="00AF0BBA">
        <w:rPr>
          <w:b/>
          <w:sz w:val="32"/>
          <w:szCs w:val="32"/>
          <w:lang w:val="pt-BR"/>
        </w:rPr>
        <w:t>/</w:t>
      </w:r>
      <w:r w:rsidRPr="00AF0BBA">
        <w:rPr>
          <w:sz w:val="32"/>
          <w:szCs w:val="32"/>
          <w:lang w:val="pt-BR"/>
        </w:rPr>
        <w:t xml:space="preserve"> </w:t>
      </w:r>
      <w:r w:rsidRPr="00AF0BBA">
        <w:rPr>
          <w:lang w:val="pt-BR"/>
        </w:rPr>
        <w:t xml:space="preserve">RMRCCAP </w:t>
      </w:r>
      <w:r w:rsidRPr="00AF0BBA">
        <w:rPr>
          <w:i/>
          <w:vertAlign w:val="subscript"/>
          <w:lang w:val="pt-BR"/>
        </w:rPr>
        <w:t>q, r</w:t>
      </w:r>
      <w:r w:rsidRPr="00AF0BBA">
        <w:rPr>
          <w:lang w:val="pt-BR"/>
        </w:rPr>
        <w:t>)</w:t>
      </w:r>
    </w:p>
    <w:p w14:paraId="1CD2D5D3" w14:textId="77777777" w:rsidR="00326E23" w:rsidRPr="00AF0BBA" w:rsidRDefault="00326E23" w:rsidP="00326E23">
      <w:pPr>
        <w:rPr>
          <w:lang w:val="pt-BR"/>
        </w:rPr>
      </w:pPr>
    </w:p>
    <w:p w14:paraId="5F61C509" w14:textId="77777777" w:rsidR="00326E23" w:rsidRPr="00AF0BBA" w:rsidRDefault="00326E23" w:rsidP="00326E23">
      <w:r w:rsidRPr="00AF0BBA">
        <w:t>RMR Availability Reduction Factor</w:t>
      </w:r>
    </w:p>
    <w:p w14:paraId="44D0CBC0" w14:textId="77777777" w:rsidR="00326E23" w:rsidRPr="00AF0BBA" w:rsidRDefault="00326E23" w:rsidP="00326E23">
      <w:pPr>
        <w:ind w:firstLine="720"/>
        <w:rPr>
          <w:lang w:val="pt-BR"/>
        </w:rPr>
      </w:pPr>
      <w:r w:rsidRPr="00AF0BBA">
        <w:t xml:space="preserve">If (RMRHREAF </w:t>
      </w:r>
      <w:r w:rsidRPr="00AF0BBA">
        <w:rPr>
          <w:i/>
          <w:vertAlign w:val="subscript"/>
        </w:rPr>
        <w:t>q, r</w:t>
      </w:r>
      <w:r w:rsidRPr="00AF0BBA">
        <w:t xml:space="preserve"> ≥ RMRTA </w:t>
      </w:r>
      <w:r w:rsidRPr="00AF0BBA">
        <w:rPr>
          <w:i/>
          <w:vertAlign w:val="subscript"/>
        </w:rPr>
        <w:t>q, r</w:t>
      </w:r>
      <w:r w:rsidRPr="00AF0BBA">
        <w:t xml:space="preserve">), then </w:t>
      </w:r>
      <w:r w:rsidRPr="00AF0BBA">
        <w:rPr>
          <w:lang w:val="pt-BR"/>
        </w:rPr>
        <w:t xml:space="preserve">RMRARF </w:t>
      </w:r>
      <w:r w:rsidRPr="00AF0BBA">
        <w:rPr>
          <w:i/>
          <w:vertAlign w:val="subscript"/>
          <w:lang w:val="pt-BR"/>
        </w:rPr>
        <w:t>q, r</w:t>
      </w:r>
      <w:r w:rsidRPr="00AF0BBA">
        <w:rPr>
          <w:lang w:val="pt-BR"/>
        </w:rPr>
        <w:t xml:space="preserve"> = 1 </w:t>
      </w:r>
    </w:p>
    <w:p w14:paraId="19256AA8" w14:textId="77777777" w:rsidR="00326E23" w:rsidRPr="00AF0BBA" w:rsidRDefault="00326E23" w:rsidP="00326E23">
      <w:pPr>
        <w:ind w:firstLine="720"/>
        <w:rPr>
          <w:lang w:val="pt-BR"/>
        </w:rPr>
      </w:pPr>
    </w:p>
    <w:p w14:paraId="4B7963B5" w14:textId="77777777" w:rsidR="00326E23" w:rsidRPr="00AF0BBA" w:rsidRDefault="00326E23" w:rsidP="00326E23">
      <w:pPr>
        <w:ind w:firstLine="720"/>
        <w:rPr>
          <w:lang w:val="pt-BR"/>
        </w:rPr>
      </w:pPr>
      <w:r w:rsidRPr="00AF0BBA">
        <w:rPr>
          <w:lang w:val="pt-BR"/>
        </w:rPr>
        <w:t>Otherwise</w:t>
      </w:r>
    </w:p>
    <w:p w14:paraId="0AF2E4D5" w14:textId="77777777" w:rsidR="00326E23" w:rsidRPr="00AF0BBA" w:rsidRDefault="00326E23" w:rsidP="00326E23">
      <w:pPr>
        <w:ind w:left="720" w:firstLine="720"/>
        <w:rPr>
          <w:lang w:val="pt-BR"/>
        </w:rPr>
      </w:pPr>
      <w:r w:rsidRPr="00AF0BBA">
        <w:rPr>
          <w:lang w:val="pt-BR"/>
        </w:rPr>
        <w:t xml:space="preserve">RMRARF </w:t>
      </w:r>
      <w:r w:rsidRPr="00AF0BBA">
        <w:rPr>
          <w:i/>
          <w:vertAlign w:val="subscript"/>
          <w:lang w:val="pt-BR"/>
        </w:rPr>
        <w:t>q, r</w:t>
      </w:r>
      <w:r w:rsidRPr="00AF0BBA">
        <w:rPr>
          <w:lang w:val="pt-BR"/>
        </w:rPr>
        <w:tab/>
        <w:t>=</w:t>
      </w:r>
      <w:r w:rsidRPr="00AF0BBA">
        <w:rPr>
          <w:lang w:val="pt-BR"/>
        </w:rPr>
        <w:tab/>
        <w:t xml:space="preserve">Max (0, 1 - (RMRTA </w:t>
      </w:r>
      <w:r w:rsidRPr="00AF0BBA">
        <w:rPr>
          <w:i/>
          <w:vertAlign w:val="subscript"/>
          <w:lang w:val="pt-BR"/>
        </w:rPr>
        <w:t>q, r</w:t>
      </w:r>
      <w:r w:rsidRPr="00AF0BBA">
        <w:rPr>
          <w:lang w:val="pt-BR"/>
        </w:rPr>
        <w:t xml:space="preserve"> – RMRHREAF </w:t>
      </w:r>
      <w:r w:rsidRPr="00AF0BBA">
        <w:rPr>
          <w:i/>
          <w:vertAlign w:val="subscript"/>
          <w:lang w:val="pt-BR"/>
        </w:rPr>
        <w:t>q, r</w:t>
      </w:r>
      <w:r w:rsidRPr="00AF0BBA">
        <w:rPr>
          <w:lang w:val="pt-BR"/>
        </w:rPr>
        <w:t>) * 2)</w:t>
      </w:r>
    </w:p>
    <w:p w14:paraId="23417D32" w14:textId="77777777" w:rsidR="00326E23" w:rsidRPr="00AF0BBA" w:rsidRDefault="00326E23" w:rsidP="00326E23">
      <w:pPr>
        <w:rPr>
          <w:lang w:val="pt-BR"/>
        </w:rPr>
      </w:pPr>
    </w:p>
    <w:p w14:paraId="226CBB63" w14:textId="77777777" w:rsidR="00326E23" w:rsidRPr="00AF0BBA" w:rsidRDefault="00326E23" w:rsidP="00326E23">
      <w:r w:rsidRPr="00AF0BBA">
        <w:t>RMR Hourly Rolling Equivalent Availability Factor</w:t>
      </w:r>
    </w:p>
    <w:p w14:paraId="405D7EBC" w14:textId="551D260C" w:rsidR="00326E23" w:rsidRPr="00AF0BBA" w:rsidRDefault="00326E23" w:rsidP="00326E23">
      <w:pPr>
        <w:ind w:left="2790" w:hanging="2070"/>
        <w:rPr>
          <w:lang w:val="pt-BR"/>
        </w:rPr>
      </w:pPr>
      <w:r w:rsidRPr="00AF0BBA">
        <w:rPr>
          <w:lang w:val="pt-BR"/>
        </w:rPr>
        <w:t xml:space="preserve">RMRHREAF </w:t>
      </w:r>
      <w:r w:rsidRPr="00AF0BBA">
        <w:rPr>
          <w:i/>
          <w:vertAlign w:val="subscript"/>
          <w:lang w:val="pt-BR"/>
        </w:rPr>
        <w:t>q, r</w:t>
      </w:r>
      <w:r w:rsidRPr="00AF0BBA">
        <w:rPr>
          <w:lang w:val="pt-BR"/>
        </w:rPr>
        <w:t xml:space="preserve"> = Min (1, </w:t>
      </w:r>
      <w:r w:rsidR="00A94020">
        <w:rPr>
          <w:noProof/>
          <w:position w:val="-20"/>
        </w:rPr>
        <w:drawing>
          <wp:inline distT="0" distB="0" distL="0" distR="0" wp14:anchorId="614E2A1E" wp14:editId="1B563432">
            <wp:extent cx="45720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Pr>
          <w:lang w:val="pt-BR"/>
        </w:rPr>
        <w:t>(</w:t>
      </w:r>
      <w:r w:rsidRPr="00AF0BBA">
        <w:rPr>
          <w:lang w:val="pt-BR"/>
        </w:rPr>
        <w:t>RMRAFLAG</w:t>
      </w:r>
      <w:r w:rsidRPr="00AF0BBA">
        <w:rPr>
          <w:i/>
          <w:vertAlign w:val="subscript"/>
          <w:lang w:val="pt-BR"/>
        </w:rPr>
        <w:t xml:space="preserve"> q, r, hr</w:t>
      </w:r>
      <w:r w:rsidRPr="00AF0BBA">
        <w:rPr>
          <w:lang w:val="pt-BR"/>
        </w:rPr>
        <w:t xml:space="preserve"> *  HSL</w:t>
      </w:r>
      <w:r w:rsidRPr="00AF0BBA">
        <w:rPr>
          <w:i/>
          <w:vertAlign w:val="subscript"/>
          <w:lang w:val="pt-BR"/>
        </w:rPr>
        <w:t>q, r, hr</w:t>
      </w:r>
      <w:r w:rsidRPr="00AF0BBA">
        <w:rPr>
          <w:lang w:val="pt-BR"/>
        </w:rPr>
        <w:t xml:space="preserve">)  / </w:t>
      </w:r>
      <w:r w:rsidR="00A94020">
        <w:rPr>
          <w:noProof/>
          <w:position w:val="-20"/>
        </w:rPr>
        <w:drawing>
          <wp:inline distT="0" distB="0" distL="0" distR="0" wp14:anchorId="0EB2BE42" wp14:editId="6BB3C842">
            <wp:extent cx="457200"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sidRPr="00AF0BBA">
        <w:t xml:space="preserve">RMRCCAP </w:t>
      </w:r>
      <w:r w:rsidRPr="00AF0BBA">
        <w:rPr>
          <w:i/>
          <w:vertAlign w:val="subscript"/>
          <w:lang w:val="pt-BR"/>
        </w:rPr>
        <w:t>q, r</w:t>
      </w:r>
      <w:r w:rsidRPr="00AF0BBA">
        <w:rPr>
          <w:lang w:val="pt-BR"/>
        </w:rPr>
        <w:t>)</w:t>
      </w:r>
    </w:p>
    <w:p w14:paraId="5DD3CDDC" w14:textId="77777777" w:rsidR="00326E23" w:rsidRPr="00AF0BBA" w:rsidRDefault="00326E23" w:rsidP="00326E23">
      <w:pPr>
        <w:spacing w:after="240"/>
        <w:rPr>
          <w:iCs/>
        </w:rPr>
      </w:pPr>
    </w:p>
    <w:p w14:paraId="218D496A" w14:textId="77777777" w:rsidR="00326E23" w:rsidRPr="00AF0BBA" w:rsidRDefault="00326E23" w:rsidP="00326E23">
      <w:pPr>
        <w:spacing w:after="240"/>
        <w:rPr>
          <w:lang w:val="pt-BR"/>
        </w:rPr>
      </w:pPr>
      <w:r w:rsidRPr="00AF0BBA">
        <w:rPr>
          <w:iCs/>
        </w:rPr>
        <w:t>Availability</w:t>
      </w:r>
      <w:r w:rsidRPr="00AF0BBA">
        <w:t xml:space="preserve"> for a Combined Cycle Train will be determined pursuant to contractual terms but no more than once per hour.</w:t>
      </w:r>
    </w:p>
    <w:p w14:paraId="44462ED7" w14:textId="77777777" w:rsidR="00326E23" w:rsidRPr="00AF0BBA" w:rsidRDefault="00326E23" w:rsidP="00326E23">
      <w:r w:rsidRPr="00AF0BB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780"/>
        <w:gridCol w:w="6865"/>
      </w:tblGrid>
      <w:tr w:rsidR="00326E23" w:rsidRPr="00AF0BBA" w14:paraId="6C6AAB37" w14:textId="77777777" w:rsidTr="009B2773">
        <w:trPr>
          <w:cantSplit/>
          <w:tblHeader/>
        </w:trPr>
        <w:tc>
          <w:tcPr>
            <w:tcW w:w="912" w:type="pct"/>
          </w:tcPr>
          <w:p w14:paraId="537FC4F2" w14:textId="77777777" w:rsidR="00326E23" w:rsidRPr="00AF0BBA" w:rsidRDefault="00326E23" w:rsidP="009B2773">
            <w:pPr>
              <w:spacing w:after="240"/>
              <w:rPr>
                <w:b/>
                <w:iCs/>
                <w:sz w:val="20"/>
              </w:rPr>
            </w:pPr>
            <w:r w:rsidRPr="00AF0BBA">
              <w:rPr>
                <w:b/>
                <w:iCs/>
                <w:sz w:val="20"/>
              </w:rPr>
              <w:t>Variable</w:t>
            </w:r>
          </w:p>
        </w:tc>
        <w:tc>
          <w:tcPr>
            <w:tcW w:w="417" w:type="pct"/>
          </w:tcPr>
          <w:p w14:paraId="67B365C2" w14:textId="77777777" w:rsidR="00326E23" w:rsidRPr="00AF0BBA" w:rsidRDefault="00326E23" w:rsidP="009B2773">
            <w:pPr>
              <w:spacing w:after="240"/>
              <w:rPr>
                <w:b/>
                <w:iCs/>
                <w:sz w:val="20"/>
              </w:rPr>
            </w:pPr>
            <w:r w:rsidRPr="00AF0BBA">
              <w:rPr>
                <w:b/>
                <w:iCs/>
                <w:sz w:val="20"/>
              </w:rPr>
              <w:t>Unit</w:t>
            </w:r>
          </w:p>
        </w:tc>
        <w:tc>
          <w:tcPr>
            <w:tcW w:w="3671" w:type="pct"/>
          </w:tcPr>
          <w:p w14:paraId="6853A841" w14:textId="77777777" w:rsidR="00326E23" w:rsidRPr="00AF0BBA" w:rsidRDefault="00326E23" w:rsidP="009B2773">
            <w:pPr>
              <w:spacing w:after="240"/>
              <w:rPr>
                <w:b/>
                <w:iCs/>
                <w:sz w:val="20"/>
              </w:rPr>
            </w:pPr>
            <w:r w:rsidRPr="00AF0BBA">
              <w:rPr>
                <w:b/>
                <w:iCs/>
                <w:sz w:val="20"/>
              </w:rPr>
              <w:t>Definition</w:t>
            </w:r>
          </w:p>
        </w:tc>
      </w:tr>
      <w:tr w:rsidR="00326E23" w:rsidRPr="00AF0BBA" w14:paraId="10F2A73A" w14:textId="77777777" w:rsidTr="009B2773">
        <w:trPr>
          <w:cantSplit/>
        </w:trPr>
        <w:tc>
          <w:tcPr>
            <w:tcW w:w="912" w:type="pct"/>
          </w:tcPr>
          <w:p w14:paraId="53374282" w14:textId="77777777" w:rsidR="00326E23" w:rsidRPr="00AF0BBA" w:rsidRDefault="00326E23" w:rsidP="009B2773">
            <w:pPr>
              <w:spacing w:after="60"/>
              <w:rPr>
                <w:iCs/>
                <w:sz w:val="20"/>
              </w:rPr>
            </w:pPr>
            <w:r w:rsidRPr="00AF0BBA">
              <w:rPr>
                <w:iCs/>
                <w:sz w:val="20"/>
              </w:rPr>
              <w:t xml:space="preserve">RMRSBPR </w:t>
            </w:r>
            <w:r w:rsidRPr="00AF0BBA">
              <w:rPr>
                <w:i/>
                <w:iCs/>
                <w:sz w:val="20"/>
                <w:vertAlign w:val="subscript"/>
              </w:rPr>
              <w:t>q, r</w:t>
            </w:r>
          </w:p>
        </w:tc>
        <w:tc>
          <w:tcPr>
            <w:tcW w:w="417" w:type="pct"/>
          </w:tcPr>
          <w:p w14:paraId="09FF53DD" w14:textId="77777777" w:rsidR="00326E23" w:rsidRPr="00AF0BBA" w:rsidRDefault="00326E23" w:rsidP="009B2773">
            <w:pPr>
              <w:spacing w:after="60"/>
              <w:rPr>
                <w:i/>
                <w:iCs/>
                <w:sz w:val="20"/>
              </w:rPr>
            </w:pPr>
            <w:r w:rsidRPr="00AF0BBA">
              <w:rPr>
                <w:iCs/>
                <w:sz w:val="20"/>
              </w:rPr>
              <w:t>$ per hour</w:t>
            </w:r>
          </w:p>
        </w:tc>
        <w:tc>
          <w:tcPr>
            <w:tcW w:w="3671" w:type="pct"/>
          </w:tcPr>
          <w:p w14:paraId="23410893" w14:textId="77777777" w:rsidR="00326E23" w:rsidRPr="00AF0BBA" w:rsidRDefault="00326E23" w:rsidP="009B2773">
            <w:pPr>
              <w:spacing w:after="60"/>
              <w:rPr>
                <w:iCs/>
                <w:sz w:val="20"/>
              </w:rPr>
            </w:pPr>
            <w:r w:rsidRPr="00AF0BBA">
              <w:rPr>
                <w:i/>
                <w:iCs/>
                <w:sz w:val="20"/>
              </w:rPr>
              <w:t>Reliability Must-Run Standby Price per QSE per Resource by hour</w:t>
            </w:r>
            <w:r w:rsidRPr="00AF0BBA">
              <w:rPr>
                <w:iCs/>
                <w:sz w:val="20"/>
              </w:rPr>
              <w:t xml:space="preserve">—The hourly standby cost for RMR Unit </w:t>
            </w:r>
            <w:r w:rsidRPr="00AF0BBA">
              <w:rPr>
                <w:i/>
                <w:iCs/>
                <w:sz w:val="20"/>
              </w:rPr>
              <w:t xml:space="preserve">r </w:t>
            </w:r>
            <w:r w:rsidRPr="00AF0BBA">
              <w:rPr>
                <w:iCs/>
                <w:sz w:val="20"/>
              </w:rPr>
              <w:t xml:space="preserve">represented by QSE </w:t>
            </w:r>
            <w:r w:rsidRPr="00AF0BBA">
              <w:rPr>
                <w:i/>
                <w:iCs/>
                <w:sz w:val="20"/>
              </w:rPr>
              <w:t xml:space="preserve">q, </w:t>
            </w:r>
            <w:r w:rsidRPr="00AF0BBA">
              <w:rPr>
                <w:iCs/>
                <w:sz w:val="20"/>
              </w:rPr>
              <w:t xml:space="preserve">for the hour.  Where for a Combined Cycle Train, the Resource </w:t>
            </w:r>
            <w:r w:rsidRPr="00AF0BBA">
              <w:rPr>
                <w:i/>
                <w:iCs/>
                <w:sz w:val="20"/>
              </w:rPr>
              <w:t>r</w:t>
            </w:r>
            <w:r w:rsidRPr="00AF0BBA">
              <w:rPr>
                <w:iCs/>
                <w:sz w:val="20"/>
              </w:rPr>
              <w:t xml:space="preserve"> is the Combined Cycle Train.</w:t>
            </w:r>
          </w:p>
        </w:tc>
      </w:tr>
      <w:tr w:rsidR="00326E23" w:rsidRPr="00AF0BBA" w14:paraId="7B049ACA" w14:textId="77777777" w:rsidTr="009B2773">
        <w:trPr>
          <w:cantSplit/>
        </w:trPr>
        <w:tc>
          <w:tcPr>
            <w:tcW w:w="912" w:type="pct"/>
          </w:tcPr>
          <w:p w14:paraId="48061BE9"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2D698A32" w14:textId="77777777" w:rsidR="00326E23" w:rsidRPr="00AF0BBA" w:rsidRDefault="00326E23" w:rsidP="009B2773">
            <w:pPr>
              <w:spacing w:after="60"/>
              <w:rPr>
                <w:iCs/>
                <w:sz w:val="20"/>
              </w:rPr>
            </w:pPr>
            <w:r w:rsidRPr="00AF0BBA">
              <w:rPr>
                <w:iCs/>
                <w:sz w:val="20"/>
              </w:rPr>
              <w:t>none</w:t>
            </w:r>
          </w:p>
        </w:tc>
        <w:tc>
          <w:tcPr>
            <w:tcW w:w="3671" w:type="pct"/>
          </w:tcPr>
          <w:p w14:paraId="44E75DC1"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3458FC13" w14:textId="77777777" w:rsidTr="009B2773">
        <w:trPr>
          <w:cantSplit/>
        </w:trPr>
        <w:tc>
          <w:tcPr>
            <w:tcW w:w="912" w:type="pct"/>
          </w:tcPr>
          <w:p w14:paraId="7AB323E0" w14:textId="77777777" w:rsidR="00326E23" w:rsidRPr="00AF0BBA" w:rsidRDefault="00326E23" w:rsidP="009B2773">
            <w:pPr>
              <w:spacing w:after="60"/>
              <w:rPr>
                <w:iCs/>
                <w:sz w:val="20"/>
              </w:rPr>
            </w:pPr>
            <w:r w:rsidRPr="00AF0BBA">
              <w:rPr>
                <w:iCs/>
                <w:sz w:val="20"/>
              </w:rPr>
              <w:t xml:space="preserve">RMRCRF </w:t>
            </w:r>
            <w:r w:rsidRPr="00AF0BBA">
              <w:rPr>
                <w:i/>
                <w:iCs/>
                <w:sz w:val="20"/>
                <w:vertAlign w:val="subscript"/>
              </w:rPr>
              <w:t>q, r</w:t>
            </w:r>
          </w:p>
        </w:tc>
        <w:tc>
          <w:tcPr>
            <w:tcW w:w="417" w:type="pct"/>
          </w:tcPr>
          <w:p w14:paraId="4574492D" w14:textId="77777777" w:rsidR="00326E23" w:rsidRPr="00AF0BBA" w:rsidRDefault="00326E23" w:rsidP="009B2773">
            <w:pPr>
              <w:spacing w:after="60"/>
              <w:rPr>
                <w:iCs/>
                <w:sz w:val="20"/>
              </w:rPr>
            </w:pPr>
            <w:r w:rsidRPr="00AF0BBA">
              <w:rPr>
                <w:iCs/>
                <w:sz w:val="20"/>
              </w:rPr>
              <w:t>none</w:t>
            </w:r>
          </w:p>
        </w:tc>
        <w:tc>
          <w:tcPr>
            <w:tcW w:w="3671" w:type="pct"/>
          </w:tcPr>
          <w:p w14:paraId="1928267B" w14:textId="77777777" w:rsidR="00326E23" w:rsidRPr="00AF0BBA" w:rsidRDefault="00326E23" w:rsidP="009B2773">
            <w:pPr>
              <w:spacing w:after="60"/>
              <w:rPr>
                <w:i/>
                <w:iCs/>
                <w:sz w:val="20"/>
              </w:rPr>
            </w:pPr>
            <w:r w:rsidRPr="00AF0BBA">
              <w:rPr>
                <w:i/>
                <w:iCs/>
                <w:sz w:val="20"/>
              </w:rPr>
              <w:t>Reliability Must-Run Capacity Reduction Factor per QSE per Resource by hour</w:t>
            </w:r>
            <w:r w:rsidRPr="00AF0BBA">
              <w:rPr>
                <w:iCs/>
                <w:sz w:val="20"/>
              </w:rPr>
              <w:t>—The capacity reduction factor of the RMR Unit</w:t>
            </w:r>
            <w:r w:rsidRPr="00AF0BBA">
              <w:rPr>
                <w:i/>
                <w:sz w:val="20"/>
              </w:rPr>
              <w:t xml:space="preserve"> r </w:t>
            </w:r>
            <w:r w:rsidRPr="00AF0BBA">
              <w:rPr>
                <w:sz w:val="20"/>
              </w:rPr>
              <w:t xml:space="preserve">represented by QSE </w:t>
            </w:r>
            <w:r w:rsidRPr="00AF0BBA">
              <w:rPr>
                <w:i/>
                <w:sz w:val="20"/>
              </w:rPr>
              <w:t>q</w:t>
            </w:r>
            <w:r w:rsidRPr="00AF0BBA">
              <w:rPr>
                <w:iCs/>
                <w:sz w:val="20"/>
              </w:rPr>
              <w:t>, for the hour.  See paragraph (2) of Section 3.14.1.1</w:t>
            </w:r>
            <w:r>
              <w:rPr>
                <w:iCs/>
                <w:sz w:val="20"/>
              </w:rPr>
              <w:t>7</w:t>
            </w:r>
            <w:r w:rsidRPr="00AF0BBA">
              <w:rPr>
                <w:iCs/>
                <w:sz w:val="20"/>
              </w:rPr>
              <w:t xml:space="preserve">, Incentive Factor.  Where for a Combined Cycle Train, the Resource </w:t>
            </w:r>
            <w:r w:rsidRPr="00AF0BBA">
              <w:rPr>
                <w:i/>
                <w:iCs/>
                <w:sz w:val="20"/>
              </w:rPr>
              <w:t xml:space="preserve">r </w:t>
            </w:r>
            <w:r w:rsidRPr="00AF0BBA">
              <w:rPr>
                <w:iCs/>
                <w:sz w:val="20"/>
              </w:rPr>
              <w:t>is the Combined Cycle Train.</w:t>
            </w:r>
          </w:p>
        </w:tc>
      </w:tr>
      <w:tr w:rsidR="00326E23" w:rsidRPr="00AF0BBA" w14:paraId="3516A2D7" w14:textId="77777777" w:rsidTr="009B2773">
        <w:trPr>
          <w:cantSplit/>
        </w:trPr>
        <w:tc>
          <w:tcPr>
            <w:tcW w:w="912" w:type="pct"/>
          </w:tcPr>
          <w:p w14:paraId="54CB3201" w14:textId="77777777" w:rsidR="00326E23" w:rsidRPr="00AF0BBA" w:rsidRDefault="00326E23" w:rsidP="009B2773">
            <w:pPr>
              <w:spacing w:after="60"/>
              <w:rPr>
                <w:iCs/>
                <w:sz w:val="20"/>
              </w:rPr>
            </w:pPr>
            <w:r w:rsidRPr="00AF0BBA">
              <w:rPr>
                <w:iCs/>
                <w:sz w:val="20"/>
              </w:rPr>
              <w:lastRenderedPageBreak/>
              <w:t xml:space="preserve">RMRCCAP </w:t>
            </w:r>
            <w:r w:rsidRPr="00AF0BBA">
              <w:rPr>
                <w:i/>
                <w:iCs/>
                <w:sz w:val="20"/>
                <w:vertAlign w:val="subscript"/>
              </w:rPr>
              <w:t>q, r</w:t>
            </w:r>
          </w:p>
        </w:tc>
        <w:tc>
          <w:tcPr>
            <w:tcW w:w="417" w:type="pct"/>
          </w:tcPr>
          <w:p w14:paraId="124A26AF" w14:textId="77777777" w:rsidR="00326E23" w:rsidRPr="00AF0BBA" w:rsidRDefault="00326E23" w:rsidP="009B2773">
            <w:pPr>
              <w:spacing w:after="60"/>
              <w:rPr>
                <w:iCs/>
                <w:sz w:val="20"/>
              </w:rPr>
            </w:pPr>
            <w:r w:rsidRPr="00AF0BBA">
              <w:rPr>
                <w:iCs/>
                <w:sz w:val="20"/>
              </w:rPr>
              <w:t>MW</w:t>
            </w:r>
          </w:p>
        </w:tc>
        <w:tc>
          <w:tcPr>
            <w:tcW w:w="3671" w:type="pct"/>
          </w:tcPr>
          <w:p w14:paraId="41BAC4A4" w14:textId="77777777" w:rsidR="00326E23" w:rsidRPr="00AF0BBA" w:rsidRDefault="00326E23" w:rsidP="009B2773">
            <w:pPr>
              <w:spacing w:after="60"/>
              <w:rPr>
                <w:iCs/>
                <w:sz w:val="20"/>
              </w:rPr>
            </w:pPr>
            <w:r w:rsidRPr="00AF0BBA">
              <w:rPr>
                <w:i/>
                <w:iCs/>
                <w:sz w:val="20"/>
              </w:rPr>
              <w:t>Reliability Must-Run Contractual Capacity per QSE per Resource</w:t>
            </w:r>
            <w:r w:rsidRPr="00AF0BBA">
              <w:rPr>
                <w:iCs/>
                <w:sz w:val="20"/>
              </w:rPr>
              <w:t xml:space="preserve">—The seasonal capacity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specified in the RMR Agreement.  The monthly value is allocated evenly across all hours for all days in the month.  Where for a Combined Cycle Train, the Resource </w:t>
            </w:r>
            <w:r w:rsidRPr="00AF0BBA">
              <w:rPr>
                <w:i/>
                <w:iCs/>
                <w:sz w:val="20"/>
              </w:rPr>
              <w:t xml:space="preserve">r </w:t>
            </w:r>
            <w:r w:rsidRPr="00AF0BBA">
              <w:rPr>
                <w:iCs/>
                <w:sz w:val="20"/>
              </w:rPr>
              <w:t>is the Combined Cycle Train.</w:t>
            </w:r>
          </w:p>
        </w:tc>
      </w:tr>
      <w:tr w:rsidR="00326E23" w:rsidRPr="00AF0BBA" w14:paraId="7B902023" w14:textId="77777777" w:rsidTr="009B2773">
        <w:trPr>
          <w:cantSplit/>
        </w:trPr>
        <w:tc>
          <w:tcPr>
            <w:tcW w:w="912" w:type="pct"/>
          </w:tcPr>
          <w:p w14:paraId="4071F516" w14:textId="77777777" w:rsidR="00326E23" w:rsidRPr="00AF0BBA" w:rsidRDefault="00326E23" w:rsidP="009B2773">
            <w:pPr>
              <w:spacing w:after="60"/>
              <w:rPr>
                <w:iCs/>
                <w:sz w:val="20"/>
              </w:rPr>
            </w:pPr>
            <w:r w:rsidRPr="00AF0BBA">
              <w:rPr>
                <w:iCs/>
                <w:sz w:val="20"/>
              </w:rPr>
              <w:t xml:space="preserve">RMRTCAP </w:t>
            </w:r>
            <w:r w:rsidRPr="00AF0BBA">
              <w:rPr>
                <w:i/>
                <w:iCs/>
                <w:sz w:val="20"/>
                <w:vertAlign w:val="subscript"/>
              </w:rPr>
              <w:t>q, r</w:t>
            </w:r>
          </w:p>
        </w:tc>
        <w:tc>
          <w:tcPr>
            <w:tcW w:w="417" w:type="pct"/>
          </w:tcPr>
          <w:p w14:paraId="6ED424CE" w14:textId="77777777" w:rsidR="00326E23" w:rsidRPr="00AF0BBA" w:rsidRDefault="00326E23" w:rsidP="009B2773">
            <w:pPr>
              <w:spacing w:after="60"/>
              <w:rPr>
                <w:iCs/>
                <w:sz w:val="20"/>
              </w:rPr>
            </w:pPr>
            <w:r w:rsidRPr="00AF0BBA">
              <w:rPr>
                <w:iCs/>
                <w:sz w:val="20"/>
              </w:rPr>
              <w:t>MW</w:t>
            </w:r>
          </w:p>
        </w:tc>
        <w:tc>
          <w:tcPr>
            <w:tcW w:w="3671" w:type="pct"/>
          </w:tcPr>
          <w:p w14:paraId="5B94EE8B" w14:textId="77777777" w:rsidR="00326E23" w:rsidRPr="00AF0BBA" w:rsidRDefault="00326E23" w:rsidP="009B2773">
            <w:pPr>
              <w:spacing w:after="60"/>
              <w:rPr>
                <w:iCs/>
                <w:sz w:val="20"/>
              </w:rPr>
            </w:pPr>
            <w:r w:rsidRPr="00AF0BBA">
              <w:rPr>
                <w:i/>
                <w:iCs/>
                <w:sz w:val="20"/>
              </w:rPr>
              <w:t>Reliability Must-Run Testing Capacity by hour</w:t>
            </w:r>
            <w:r w:rsidRPr="00AF0BBA">
              <w:rPr>
                <w:iCs/>
                <w:sz w:val="20"/>
              </w:rPr>
              <w:t>—The testing capacity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EBE4A2D" w14:textId="77777777" w:rsidTr="009B2773">
        <w:trPr>
          <w:cantSplit/>
        </w:trPr>
        <w:tc>
          <w:tcPr>
            <w:tcW w:w="912" w:type="pct"/>
          </w:tcPr>
          <w:p w14:paraId="632DD028" w14:textId="77777777" w:rsidR="00326E23" w:rsidRPr="00AF0BBA" w:rsidRDefault="00326E23" w:rsidP="009B2773">
            <w:pPr>
              <w:spacing w:after="60"/>
              <w:rPr>
                <w:iCs/>
                <w:sz w:val="20"/>
              </w:rPr>
            </w:pPr>
            <w:r w:rsidRPr="00AF0BBA">
              <w:rPr>
                <w:iCs/>
                <w:sz w:val="20"/>
              </w:rPr>
              <w:t xml:space="preserve">RMRTA </w:t>
            </w:r>
            <w:r w:rsidRPr="00AF0BBA">
              <w:rPr>
                <w:i/>
                <w:iCs/>
                <w:sz w:val="20"/>
                <w:vertAlign w:val="subscript"/>
              </w:rPr>
              <w:t>q, r</w:t>
            </w:r>
          </w:p>
        </w:tc>
        <w:tc>
          <w:tcPr>
            <w:tcW w:w="417" w:type="pct"/>
          </w:tcPr>
          <w:p w14:paraId="6F9768AB" w14:textId="77777777" w:rsidR="00326E23" w:rsidRPr="00AF0BBA" w:rsidRDefault="00326E23" w:rsidP="009B2773">
            <w:pPr>
              <w:spacing w:after="60"/>
              <w:rPr>
                <w:iCs/>
                <w:sz w:val="20"/>
              </w:rPr>
            </w:pPr>
            <w:r w:rsidRPr="00AF0BBA">
              <w:rPr>
                <w:iCs/>
                <w:sz w:val="20"/>
              </w:rPr>
              <w:t>none</w:t>
            </w:r>
          </w:p>
        </w:tc>
        <w:tc>
          <w:tcPr>
            <w:tcW w:w="3671" w:type="pct"/>
          </w:tcPr>
          <w:p w14:paraId="1E9755AB" w14:textId="77777777" w:rsidR="00326E23" w:rsidRPr="00AF0BBA" w:rsidRDefault="00326E23" w:rsidP="009B2773">
            <w:pPr>
              <w:spacing w:after="60"/>
              <w:rPr>
                <w:iCs/>
                <w:sz w:val="20"/>
              </w:rPr>
            </w:pPr>
            <w:r w:rsidRPr="00AF0BBA">
              <w:rPr>
                <w:i/>
                <w:iCs/>
                <w:sz w:val="20"/>
              </w:rPr>
              <w:t>Reliability Must-Run Target Availability per QSE per Resource</w:t>
            </w:r>
            <w:r w:rsidRPr="00AF0BBA">
              <w:rPr>
                <w:iCs/>
                <w:sz w:val="20"/>
              </w:rPr>
              <w:t>—The Target Availability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as specified in the RMR Agreement and divided by 100 to convert a percentage to a fraction.  Where for a Combined Cycle Train, the Resource </w:t>
            </w:r>
            <w:r w:rsidRPr="00AF0BBA">
              <w:rPr>
                <w:i/>
                <w:iCs/>
                <w:sz w:val="20"/>
              </w:rPr>
              <w:t xml:space="preserve">r </w:t>
            </w:r>
            <w:r w:rsidRPr="00AF0BBA">
              <w:rPr>
                <w:iCs/>
                <w:sz w:val="20"/>
              </w:rPr>
              <w:t>is the Combined Cycle Train.</w:t>
            </w:r>
          </w:p>
        </w:tc>
      </w:tr>
      <w:tr w:rsidR="00326E23" w:rsidRPr="00AF0BBA" w14:paraId="7D5918E0" w14:textId="77777777" w:rsidTr="009B2773">
        <w:trPr>
          <w:cantSplit/>
        </w:trPr>
        <w:tc>
          <w:tcPr>
            <w:tcW w:w="912" w:type="pct"/>
          </w:tcPr>
          <w:p w14:paraId="55307E02" w14:textId="77777777" w:rsidR="00326E23" w:rsidRPr="00AF0BBA" w:rsidRDefault="00326E23" w:rsidP="009B2773">
            <w:pPr>
              <w:spacing w:after="60"/>
              <w:rPr>
                <w:iCs/>
                <w:sz w:val="20"/>
              </w:rPr>
            </w:pPr>
            <w:r w:rsidRPr="00AF0BBA">
              <w:rPr>
                <w:iCs/>
                <w:sz w:val="20"/>
              </w:rPr>
              <w:t xml:space="preserve">RMRHREAF </w:t>
            </w:r>
            <w:r w:rsidRPr="00AF0BBA">
              <w:rPr>
                <w:i/>
                <w:iCs/>
                <w:sz w:val="20"/>
                <w:vertAlign w:val="subscript"/>
              </w:rPr>
              <w:t>q, r</w:t>
            </w:r>
          </w:p>
        </w:tc>
        <w:tc>
          <w:tcPr>
            <w:tcW w:w="417" w:type="pct"/>
          </w:tcPr>
          <w:p w14:paraId="405EEE84" w14:textId="77777777" w:rsidR="00326E23" w:rsidRPr="00AF0BBA" w:rsidRDefault="00326E23" w:rsidP="009B2773">
            <w:pPr>
              <w:spacing w:after="60"/>
              <w:rPr>
                <w:iCs/>
                <w:sz w:val="20"/>
              </w:rPr>
            </w:pPr>
            <w:r w:rsidRPr="00AF0BBA">
              <w:rPr>
                <w:iCs/>
                <w:sz w:val="20"/>
              </w:rPr>
              <w:t>none</w:t>
            </w:r>
          </w:p>
        </w:tc>
        <w:tc>
          <w:tcPr>
            <w:tcW w:w="3671" w:type="pct"/>
          </w:tcPr>
          <w:p w14:paraId="14F104FD" w14:textId="77777777" w:rsidR="00326E23" w:rsidRPr="00AF0BBA" w:rsidRDefault="00326E23" w:rsidP="009B2773">
            <w:pPr>
              <w:spacing w:after="60"/>
              <w:rPr>
                <w:iCs/>
                <w:sz w:val="20"/>
              </w:rPr>
            </w:pPr>
            <w:r w:rsidRPr="00AF0BBA">
              <w:rPr>
                <w:i/>
                <w:iCs/>
                <w:sz w:val="20"/>
              </w:rPr>
              <w:t>Reliability Must-Run Hourly Rolling Equivalent Availability Factor per QSE per Resource by hour</w:t>
            </w:r>
            <w:r w:rsidRPr="00AF0BBA">
              <w:rPr>
                <w:iCs/>
                <w:sz w:val="20"/>
              </w:rPr>
              <w:t xml:space="preserve">—The equivalent availability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over the current hour plus the prior 4379 hours</w:t>
            </w:r>
            <w:r w:rsidRPr="00AF0BBA">
              <w:rPr>
                <w:sz w:val="20"/>
              </w:rPr>
              <w:t xml:space="preserve"> for which availability is required under the RMR Agreement</w:t>
            </w:r>
            <w:r w:rsidRPr="00AF0BBA">
              <w:rPr>
                <w:iCs/>
                <w:sz w:val="20"/>
              </w:rPr>
              <w:t xml:space="preserve">, for the hour.  Where for a Combined Cycle Train, the Resource </w:t>
            </w:r>
            <w:r w:rsidRPr="00AF0BBA">
              <w:rPr>
                <w:i/>
                <w:iCs/>
                <w:sz w:val="20"/>
              </w:rPr>
              <w:t xml:space="preserve">r </w:t>
            </w:r>
            <w:r w:rsidRPr="00AF0BBA">
              <w:rPr>
                <w:iCs/>
                <w:sz w:val="20"/>
              </w:rPr>
              <w:t xml:space="preserve">is the Combined Cycle Train. The available capacity is calculated in accordance with paragraph (3) of Section </w:t>
            </w:r>
            <w:r>
              <w:rPr>
                <w:iCs/>
                <w:sz w:val="20"/>
              </w:rPr>
              <w:t>3.14.1.17</w:t>
            </w:r>
            <w:r w:rsidRPr="00AF0BBA">
              <w:rPr>
                <w:iCs/>
                <w:sz w:val="20"/>
              </w:rPr>
              <w:t>.</w:t>
            </w:r>
          </w:p>
        </w:tc>
      </w:tr>
      <w:tr w:rsidR="00326E23" w:rsidRPr="00AF0BBA" w14:paraId="654B4A5A" w14:textId="77777777" w:rsidTr="009B2773">
        <w:trPr>
          <w:cantSplit/>
        </w:trPr>
        <w:tc>
          <w:tcPr>
            <w:tcW w:w="912" w:type="pct"/>
          </w:tcPr>
          <w:p w14:paraId="5E1C47B4"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RMRMNFNCC </w:t>
            </w:r>
            <w:r w:rsidRPr="00B17C2D">
              <w:rPr>
                <w:rFonts w:ascii="Times New Roman" w:hAnsi="Times New Roman" w:cs="Times New Roman"/>
                <w:i/>
                <w:iCs/>
                <w:sz w:val="13"/>
                <w:szCs w:val="13"/>
              </w:rPr>
              <w:t xml:space="preserve">q, r </w:t>
            </w:r>
          </w:p>
        </w:tc>
        <w:tc>
          <w:tcPr>
            <w:tcW w:w="417" w:type="pct"/>
          </w:tcPr>
          <w:p w14:paraId="7DF7A7D1" w14:textId="77777777" w:rsidR="00326E23" w:rsidRDefault="00326E23" w:rsidP="009B2773">
            <w:pPr>
              <w:pStyle w:val="Default"/>
              <w:rPr>
                <w:sz w:val="20"/>
                <w:szCs w:val="20"/>
              </w:rPr>
            </w:pPr>
            <w:r>
              <w:rPr>
                <w:sz w:val="20"/>
                <w:szCs w:val="20"/>
              </w:rPr>
              <w:t xml:space="preserve">$ </w:t>
            </w:r>
          </w:p>
        </w:tc>
        <w:tc>
          <w:tcPr>
            <w:tcW w:w="3671" w:type="pct"/>
          </w:tcPr>
          <w:p w14:paraId="20EDFE8E"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Non-Capital Cost per QSE per Resource</w:t>
            </w:r>
            <w:r w:rsidRPr="00B17C2D">
              <w:rPr>
                <w:rFonts w:ascii="Times New Roman" w:hAnsi="Times New Roman" w:cs="Times New Roman"/>
                <w:sz w:val="20"/>
                <w:szCs w:val="20"/>
              </w:rPr>
              <w:t xml:space="preserve">—The actual non-capital and non-fuel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is the Combined Cycle Train. </w:t>
            </w:r>
          </w:p>
        </w:tc>
      </w:tr>
      <w:tr w:rsidR="00326E23" w:rsidRPr="00AF0BBA" w14:paraId="79DA2E83" w14:textId="77777777" w:rsidTr="009B2773">
        <w:trPr>
          <w:cantSplit/>
        </w:trPr>
        <w:tc>
          <w:tcPr>
            <w:tcW w:w="912" w:type="pct"/>
          </w:tcPr>
          <w:p w14:paraId="14704473"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RMRMNFCC </w:t>
            </w:r>
            <w:r w:rsidRPr="00B17C2D">
              <w:rPr>
                <w:rFonts w:ascii="Times New Roman" w:hAnsi="Times New Roman" w:cs="Times New Roman"/>
                <w:i/>
                <w:iCs/>
                <w:sz w:val="13"/>
                <w:szCs w:val="13"/>
              </w:rPr>
              <w:t xml:space="preserve">q, r </w:t>
            </w:r>
          </w:p>
        </w:tc>
        <w:tc>
          <w:tcPr>
            <w:tcW w:w="417" w:type="pct"/>
          </w:tcPr>
          <w:p w14:paraId="31FEBCE1" w14:textId="77777777" w:rsidR="00326E23" w:rsidRDefault="00326E23" w:rsidP="009B2773">
            <w:pPr>
              <w:pStyle w:val="Default"/>
              <w:rPr>
                <w:sz w:val="20"/>
                <w:szCs w:val="20"/>
              </w:rPr>
            </w:pPr>
            <w:r>
              <w:rPr>
                <w:sz w:val="20"/>
                <w:szCs w:val="20"/>
              </w:rPr>
              <w:t xml:space="preserve">$ </w:t>
            </w:r>
          </w:p>
        </w:tc>
        <w:tc>
          <w:tcPr>
            <w:tcW w:w="3671" w:type="pct"/>
          </w:tcPr>
          <w:p w14:paraId="14A0DA0F"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Capital Cost per QSE per Resource</w:t>
            </w:r>
            <w:r w:rsidRPr="00B17C2D">
              <w:rPr>
                <w:rFonts w:ascii="Times New Roman" w:hAnsi="Times New Roman" w:cs="Times New Roman"/>
                <w:sz w:val="20"/>
                <w:szCs w:val="20"/>
              </w:rPr>
              <w:t xml:space="preserve">—The actual non-fuel and capital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is the Combined Cycle Train. Notwithstanding the above, reservation and transportation costs associated with firm fuel supplies as described in paragraph (1)(a)(vi) of Section 3.14.1.10, Eligible Costs, shall be included herein.</w:t>
            </w:r>
          </w:p>
        </w:tc>
      </w:tr>
      <w:tr w:rsidR="00326E23" w:rsidRPr="00AF0BBA" w14:paraId="59605233" w14:textId="77777777" w:rsidTr="009B2773">
        <w:trPr>
          <w:cantSplit/>
        </w:trPr>
        <w:tc>
          <w:tcPr>
            <w:tcW w:w="912" w:type="pct"/>
            <w:tcBorders>
              <w:top w:val="single" w:sz="4" w:space="0" w:color="auto"/>
              <w:left w:val="single" w:sz="4" w:space="0" w:color="auto"/>
              <w:bottom w:val="single" w:sz="4" w:space="0" w:color="auto"/>
              <w:right w:val="single" w:sz="4" w:space="0" w:color="auto"/>
            </w:tcBorders>
          </w:tcPr>
          <w:p w14:paraId="42375937"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q, r</w:t>
            </w:r>
          </w:p>
        </w:tc>
        <w:tc>
          <w:tcPr>
            <w:tcW w:w="417" w:type="pct"/>
            <w:tcBorders>
              <w:top w:val="single" w:sz="4" w:space="0" w:color="auto"/>
              <w:left w:val="single" w:sz="4" w:space="0" w:color="auto"/>
              <w:bottom w:val="single" w:sz="4" w:space="0" w:color="auto"/>
              <w:right w:val="single" w:sz="4" w:space="0" w:color="auto"/>
            </w:tcBorders>
          </w:tcPr>
          <w:p w14:paraId="6066761C" w14:textId="77777777" w:rsidR="00326E23" w:rsidRPr="00AF0BBA" w:rsidRDefault="00326E23" w:rsidP="009B2773">
            <w:pPr>
              <w:spacing w:after="60"/>
              <w:rPr>
                <w:iCs/>
                <w:sz w:val="20"/>
              </w:rPr>
            </w:pPr>
            <w:r w:rsidRPr="00AF0BBA">
              <w:rPr>
                <w:iCs/>
                <w:sz w:val="20"/>
              </w:rPr>
              <w:t>hour</w:t>
            </w:r>
          </w:p>
        </w:tc>
        <w:tc>
          <w:tcPr>
            <w:tcW w:w="3671" w:type="pct"/>
            <w:tcBorders>
              <w:top w:val="single" w:sz="4" w:space="0" w:color="auto"/>
              <w:left w:val="single" w:sz="4" w:space="0" w:color="auto"/>
              <w:bottom w:val="single" w:sz="4" w:space="0" w:color="auto"/>
              <w:right w:val="single" w:sz="4" w:space="0" w:color="auto"/>
            </w:tcBorders>
          </w:tcPr>
          <w:p w14:paraId="55CDF5EC" w14:textId="77777777" w:rsidR="00326E23" w:rsidRPr="00AF0BBA" w:rsidRDefault="00326E23" w:rsidP="009B2773">
            <w:pPr>
              <w:spacing w:after="60"/>
              <w:rPr>
                <w:iCs/>
                <w:sz w:val="20"/>
              </w:rPr>
            </w:pPr>
            <w:r w:rsidRPr="00AF0BBA">
              <w:rPr>
                <w:i/>
                <w:iCs/>
                <w:sz w:val="20"/>
              </w:rPr>
              <w:t>Number of Hours in the Month per QSE per Resource</w:t>
            </w:r>
            <w:r w:rsidRPr="00AF0BBA">
              <w:rPr>
                <w:iCs/>
                <w:sz w:val="20"/>
              </w:rPr>
              <w:t>—The total number of hours of the month, when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is under an RMR Agreement.  Where for a Combined Cycle Train, the Resource </w:t>
            </w:r>
            <w:r w:rsidRPr="00AF0BBA">
              <w:rPr>
                <w:i/>
                <w:iCs/>
                <w:sz w:val="20"/>
              </w:rPr>
              <w:t xml:space="preserve">r </w:t>
            </w:r>
            <w:r w:rsidRPr="00AF0BBA">
              <w:rPr>
                <w:iCs/>
                <w:sz w:val="20"/>
              </w:rPr>
              <w:t>is the Combined Cycle Train.</w:t>
            </w:r>
          </w:p>
        </w:tc>
      </w:tr>
      <w:tr w:rsidR="00326E23" w:rsidRPr="00AF0BBA" w14:paraId="4D655C0E" w14:textId="77777777" w:rsidTr="009B2773">
        <w:trPr>
          <w:cantSplit/>
        </w:trPr>
        <w:tc>
          <w:tcPr>
            <w:tcW w:w="912" w:type="pct"/>
          </w:tcPr>
          <w:p w14:paraId="5F3E44D8" w14:textId="77777777" w:rsidR="00326E23" w:rsidRPr="00AF0BBA" w:rsidRDefault="00326E23" w:rsidP="009B2773">
            <w:pPr>
              <w:spacing w:after="60"/>
              <w:rPr>
                <w:iCs/>
                <w:sz w:val="20"/>
              </w:rPr>
            </w:pPr>
            <w:r w:rsidRPr="00AF0BBA">
              <w:rPr>
                <w:iCs/>
                <w:sz w:val="20"/>
              </w:rPr>
              <w:t>RMRIF</w:t>
            </w:r>
          </w:p>
        </w:tc>
        <w:tc>
          <w:tcPr>
            <w:tcW w:w="417" w:type="pct"/>
          </w:tcPr>
          <w:p w14:paraId="72E3F5E5" w14:textId="77777777" w:rsidR="00326E23" w:rsidRPr="00AF0BBA" w:rsidRDefault="00326E23" w:rsidP="009B2773">
            <w:pPr>
              <w:spacing w:after="60"/>
              <w:rPr>
                <w:iCs/>
                <w:sz w:val="20"/>
              </w:rPr>
            </w:pPr>
            <w:r w:rsidRPr="00AF0BBA">
              <w:rPr>
                <w:iCs/>
                <w:sz w:val="20"/>
              </w:rPr>
              <w:t>none</w:t>
            </w:r>
          </w:p>
        </w:tc>
        <w:tc>
          <w:tcPr>
            <w:tcW w:w="3671" w:type="pct"/>
          </w:tcPr>
          <w:p w14:paraId="2E5D53D2" w14:textId="77777777" w:rsidR="00326E23" w:rsidRPr="00AF0BBA" w:rsidRDefault="00326E23" w:rsidP="009B2773">
            <w:pPr>
              <w:spacing w:after="60"/>
              <w:rPr>
                <w:iCs/>
                <w:sz w:val="20"/>
              </w:rPr>
            </w:pPr>
            <w:r w:rsidRPr="00AF0BBA">
              <w:rPr>
                <w:i/>
                <w:iCs/>
                <w:sz w:val="20"/>
              </w:rPr>
              <w:t>Reliability Must Run Incentive Factor</w:t>
            </w:r>
            <w:r w:rsidRPr="00AF0BBA">
              <w:rPr>
                <w:iCs/>
                <w:sz w:val="20"/>
              </w:rPr>
              <w:t>—The Incentive Factor of RMR Units under RMR Agreement.</w:t>
            </w:r>
          </w:p>
        </w:tc>
      </w:tr>
      <w:tr w:rsidR="00326E23" w:rsidRPr="00AF0BBA" w14:paraId="64C20E78" w14:textId="77777777" w:rsidTr="009B2773">
        <w:trPr>
          <w:cantSplit/>
        </w:trPr>
        <w:tc>
          <w:tcPr>
            <w:tcW w:w="912" w:type="pct"/>
          </w:tcPr>
          <w:p w14:paraId="44896AD7"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66D48734" w14:textId="77777777" w:rsidR="00326E23" w:rsidRPr="00AF0BBA" w:rsidRDefault="00326E23" w:rsidP="009B2773">
            <w:pPr>
              <w:spacing w:after="60"/>
              <w:rPr>
                <w:iCs/>
                <w:sz w:val="20"/>
              </w:rPr>
            </w:pPr>
            <w:r w:rsidRPr="00AF0BBA">
              <w:rPr>
                <w:iCs/>
                <w:sz w:val="20"/>
              </w:rPr>
              <w:t>none</w:t>
            </w:r>
          </w:p>
        </w:tc>
        <w:tc>
          <w:tcPr>
            <w:tcW w:w="3671" w:type="pct"/>
          </w:tcPr>
          <w:p w14:paraId="0253D293"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calculated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62D7D0E" w14:textId="77777777" w:rsidTr="009B2773">
        <w:trPr>
          <w:cantSplit/>
        </w:trPr>
        <w:tc>
          <w:tcPr>
            <w:tcW w:w="912" w:type="pct"/>
          </w:tcPr>
          <w:p w14:paraId="03B1ECDD" w14:textId="77777777" w:rsidR="00326E23" w:rsidRPr="00AF0BBA" w:rsidRDefault="00326E23" w:rsidP="009B2773">
            <w:pPr>
              <w:spacing w:after="60"/>
              <w:rPr>
                <w:iCs/>
                <w:sz w:val="20"/>
              </w:rPr>
            </w:pPr>
            <w:r w:rsidRPr="00AF0BBA">
              <w:rPr>
                <w:iCs/>
                <w:sz w:val="20"/>
              </w:rPr>
              <w:t xml:space="preserve">HSL </w:t>
            </w:r>
            <w:r w:rsidRPr="00AF0BBA">
              <w:rPr>
                <w:i/>
                <w:iCs/>
                <w:sz w:val="20"/>
                <w:vertAlign w:val="subscript"/>
              </w:rPr>
              <w:t>q, r, hr</w:t>
            </w:r>
          </w:p>
        </w:tc>
        <w:tc>
          <w:tcPr>
            <w:tcW w:w="417" w:type="pct"/>
          </w:tcPr>
          <w:p w14:paraId="5BD8878A" w14:textId="77777777" w:rsidR="00326E23" w:rsidRPr="00AF0BBA" w:rsidRDefault="00326E23" w:rsidP="009B2773">
            <w:pPr>
              <w:spacing w:after="60"/>
              <w:rPr>
                <w:iCs/>
                <w:sz w:val="20"/>
              </w:rPr>
            </w:pPr>
            <w:r w:rsidRPr="00AF0BBA">
              <w:rPr>
                <w:iCs/>
                <w:sz w:val="20"/>
              </w:rPr>
              <w:t>MW</w:t>
            </w:r>
          </w:p>
        </w:tc>
        <w:tc>
          <w:tcPr>
            <w:tcW w:w="3671" w:type="pct"/>
          </w:tcPr>
          <w:p w14:paraId="1CD4AE40" w14:textId="77777777" w:rsidR="00326E23" w:rsidRPr="00AF0BBA" w:rsidRDefault="00326E23" w:rsidP="009B2773">
            <w:pPr>
              <w:spacing w:after="60"/>
              <w:rPr>
                <w:i/>
                <w:iCs/>
                <w:sz w:val="20"/>
              </w:rPr>
            </w:pPr>
            <w:r w:rsidRPr="00AF0BBA">
              <w:rPr>
                <w:i/>
                <w:iCs/>
                <w:sz w:val="20"/>
              </w:rPr>
              <w:t>High Sustained Limit</w:t>
            </w:r>
            <w:r w:rsidRPr="00AF0BBA">
              <w:rPr>
                <w:iCs/>
                <w:sz w:val="20"/>
              </w:rPr>
              <w:t xml:space="preserve">—The </w:t>
            </w:r>
            <w:r>
              <w:rPr>
                <w:iCs/>
                <w:sz w:val="20"/>
              </w:rPr>
              <w:t>High Sustained Limit (</w:t>
            </w:r>
            <w:r w:rsidRPr="00AF0BBA">
              <w:rPr>
                <w:iCs/>
                <w:sz w:val="20"/>
              </w:rPr>
              <w:t>HSL</w:t>
            </w:r>
            <w:r>
              <w:rPr>
                <w:iCs/>
                <w:sz w:val="20"/>
              </w:rPr>
              <w:t>)</w:t>
            </w:r>
            <w:r w:rsidRPr="00AF0BBA">
              <w:rPr>
                <w:iCs/>
                <w:sz w:val="20"/>
              </w:rPr>
              <w:t xml:space="preserve"> of a Generation Resource as defined in Section 2.1, Definitions, for the hour that includes the Settlement Interval </w:t>
            </w:r>
            <w:r w:rsidRPr="00AF0BBA">
              <w:rPr>
                <w:i/>
                <w:iCs/>
                <w:sz w:val="20"/>
              </w:rPr>
              <w:t>i</w:t>
            </w:r>
            <w:r w:rsidRPr="00AF0BBA">
              <w:rPr>
                <w:iCs/>
                <w:sz w:val="20"/>
              </w:rPr>
              <w:t xml:space="preserve">.  Where for a combined cycle Resource, </w:t>
            </w:r>
            <w:r w:rsidRPr="00AF0BBA">
              <w:rPr>
                <w:i/>
                <w:iCs/>
                <w:sz w:val="20"/>
              </w:rPr>
              <w:t>r</w:t>
            </w:r>
            <w:r w:rsidRPr="00AF0BBA">
              <w:rPr>
                <w:iCs/>
                <w:sz w:val="20"/>
              </w:rPr>
              <w:t xml:space="preserve"> is a Combined Cycle Generation Resource.</w:t>
            </w:r>
          </w:p>
        </w:tc>
      </w:tr>
      <w:tr w:rsidR="00326E23" w:rsidRPr="00AF0BBA" w14:paraId="39BC038B" w14:textId="77777777" w:rsidTr="009B2773">
        <w:trPr>
          <w:cantSplit/>
        </w:trPr>
        <w:tc>
          <w:tcPr>
            <w:tcW w:w="912" w:type="pct"/>
          </w:tcPr>
          <w:p w14:paraId="3A235794" w14:textId="77777777" w:rsidR="00326E23" w:rsidRPr="00AF0BBA" w:rsidRDefault="00326E23" w:rsidP="009B2773">
            <w:pPr>
              <w:spacing w:after="60"/>
              <w:rPr>
                <w:iCs/>
                <w:sz w:val="20"/>
              </w:rPr>
            </w:pPr>
            <w:r w:rsidRPr="00AF0BBA">
              <w:rPr>
                <w:iCs/>
                <w:sz w:val="20"/>
              </w:rPr>
              <w:t xml:space="preserve">RMRAFLAG </w:t>
            </w:r>
            <w:r w:rsidRPr="00AF0BBA">
              <w:rPr>
                <w:i/>
                <w:iCs/>
                <w:sz w:val="20"/>
                <w:vertAlign w:val="subscript"/>
              </w:rPr>
              <w:t>q, r, hr</w:t>
            </w:r>
          </w:p>
        </w:tc>
        <w:tc>
          <w:tcPr>
            <w:tcW w:w="417" w:type="pct"/>
          </w:tcPr>
          <w:p w14:paraId="78E3AC44" w14:textId="77777777" w:rsidR="00326E23" w:rsidRPr="00AF0BBA" w:rsidRDefault="00326E23" w:rsidP="009B2773">
            <w:pPr>
              <w:spacing w:after="60"/>
              <w:rPr>
                <w:iCs/>
                <w:sz w:val="20"/>
              </w:rPr>
            </w:pPr>
            <w:r w:rsidRPr="00AF0BBA">
              <w:rPr>
                <w:iCs/>
                <w:sz w:val="20"/>
              </w:rPr>
              <w:t>none</w:t>
            </w:r>
          </w:p>
        </w:tc>
        <w:tc>
          <w:tcPr>
            <w:tcW w:w="3671" w:type="pct"/>
          </w:tcPr>
          <w:p w14:paraId="5154B54C" w14:textId="77777777" w:rsidR="00326E23" w:rsidRPr="00AF0BBA" w:rsidRDefault="00326E23" w:rsidP="009B2773">
            <w:pPr>
              <w:spacing w:after="60"/>
              <w:rPr>
                <w:i/>
                <w:sz w:val="20"/>
              </w:rPr>
            </w:pPr>
            <w:r w:rsidRPr="00AF0BBA">
              <w:rPr>
                <w:i/>
                <w:iCs/>
                <w:sz w:val="20"/>
              </w:rPr>
              <w:t>RMR Availability Flag per QSE per Resource by hour</w:t>
            </w:r>
            <w:r w:rsidRPr="00AF0BBA">
              <w:rPr>
                <w:iCs/>
                <w:sz w:val="20"/>
              </w:rPr>
              <w:t>—The flag of the availability of RMR Unit</w:t>
            </w:r>
            <w:r w:rsidRPr="00AF0BBA">
              <w:rPr>
                <w:i/>
                <w:iCs/>
                <w:sz w:val="20"/>
              </w:rPr>
              <w:t xml:space="preserve"> r</w:t>
            </w:r>
            <w:r w:rsidRPr="00AF0BBA">
              <w:rPr>
                <w:iCs/>
                <w:sz w:val="20"/>
              </w:rPr>
              <w:t xml:space="preserve"> represented by QSE </w:t>
            </w:r>
            <w:r w:rsidRPr="00AF0BBA">
              <w:rPr>
                <w:i/>
                <w:iCs/>
                <w:sz w:val="20"/>
              </w:rPr>
              <w:t xml:space="preserve">q </w:t>
            </w:r>
            <w:r w:rsidRPr="00AF0BBA">
              <w:rPr>
                <w:iCs/>
                <w:sz w:val="20"/>
              </w:rPr>
              <w:t xml:space="preserve">as determined by the Current Operating Plan (COP), 1 for available and 0 for unavailable, for the hour.  Where for a Combined Cycle Train, the Resource </w:t>
            </w:r>
            <w:r w:rsidRPr="00AF0BBA">
              <w:rPr>
                <w:i/>
                <w:iCs/>
                <w:sz w:val="20"/>
              </w:rPr>
              <w:t xml:space="preserve">r </w:t>
            </w:r>
            <w:r w:rsidRPr="00AF0BBA">
              <w:rPr>
                <w:iCs/>
                <w:sz w:val="20"/>
              </w:rPr>
              <w:t>is a Combined Cycle Generation Resource within the Combined Cycle Train.</w:t>
            </w:r>
          </w:p>
        </w:tc>
      </w:tr>
      <w:tr w:rsidR="00326E23" w:rsidRPr="00AF0BBA" w14:paraId="78CB648B" w14:textId="77777777" w:rsidTr="009B2773">
        <w:trPr>
          <w:cantSplit/>
        </w:trPr>
        <w:tc>
          <w:tcPr>
            <w:tcW w:w="912" w:type="pct"/>
          </w:tcPr>
          <w:p w14:paraId="7CE0CAA7" w14:textId="77777777" w:rsidR="00326E23" w:rsidRPr="00AF0BBA" w:rsidRDefault="00326E23" w:rsidP="009B2773">
            <w:pPr>
              <w:spacing w:after="60"/>
              <w:rPr>
                <w:iCs/>
                <w:sz w:val="20"/>
              </w:rPr>
            </w:pPr>
            <w:r w:rsidRPr="00AF0BBA">
              <w:rPr>
                <w:iCs/>
                <w:sz w:val="20"/>
              </w:rPr>
              <w:lastRenderedPageBreak/>
              <w:t>RMRTCAPA</w:t>
            </w:r>
            <w:r w:rsidRPr="00AF0BBA">
              <w:rPr>
                <w:iCs/>
                <w:sz w:val="20"/>
                <w:vertAlign w:val="subscript"/>
              </w:rPr>
              <w:t xml:space="preserve"> </w:t>
            </w:r>
            <w:r w:rsidRPr="00AF0BBA">
              <w:rPr>
                <w:i/>
                <w:iCs/>
                <w:sz w:val="20"/>
                <w:vertAlign w:val="subscript"/>
              </w:rPr>
              <w:t>q, r</w:t>
            </w:r>
          </w:p>
        </w:tc>
        <w:tc>
          <w:tcPr>
            <w:tcW w:w="417" w:type="pct"/>
          </w:tcPr>
          <w:p w14:paraId="56CB5CBB" w14:textId="77777777" w:rsidR="00326E23" w:rsidRPr="00AF0BBA" w:rsidRDefault="00326E23" w:rsidP="009B2773">
            <w:pPr>
              <w:spacing w:after="60"/>
              <w:rPr>
                <w:iCs/>
                <w:sz w:val="20"/>
              </w:rPr>
            </w:pPr>
            <w:r w:rsidRPr="00AF0BBA">
              <w:rPr>
                <w:iCs/>
                <w:sz w:val="20"/>
              </w:rPr>
              <w:t>MW</w:t>
            </w:r>
          </w:p>
        </w:tc>
        <w:tc>
          <w:tcPr>
            <w:tcW w:w="3671" w:type="pct"/>
          </w:tcPr>
          <w:p w14:paraId="52B159B5" w14:textId="77777777" w:rsidR="00326E23" w:rsidRPr="00AF0BBA" w:rsidRDefault="00326E23" w:rsidP="009B2773">
            <w:pPr>
              <w:spacing w:after="60"/>
              <w:rPr>
                <w:iCs/>
                <w:sz w:val="20"/>
              </w:rPr>
            </w:pPr>
            <w:r w:rsidRPr="00AF0BBA">
              <w:rPr>
                <w:i/>
                <w:iCs/>
                <w:sz w:val="20"/>
              </w:rPr>
              <w:t>Reliability Must-Run Testing Capacity Adjustment by hour</w:t>
            </w:r>
            <w:r w:rsidRPr="00AF0BBA">
              <w:rPr>
                <w:iCs/>
                <w:sz w:val="20"/>
              </w:rPr>
              <w:t>—The testing capacity adjustment factor, in the event an ERCOT Operator has deemed that a RMR Unit’s Tested Capacity did not materially affect the reliability of the ERCOT System, of an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for the hour.  See paragraph (2) of Section 3.14.1.1</w:t>
            </w:r>
            <w:r>
              <w:rPr>
                <w:iCs/>
                <w:sz w:val="20"/>
              </w:rPr>
              <w:t>7</w:t>
            </w:r>
            <w:r w:rsidRPr="00AF0BBA">
              <w:rPr>
                <w:iCs/>
                <w:sz w:val="20"/>
              </w:rPr>
              <w:t xml:space="preserve">.  Where for a Combined Cycle Train, the Resource </w:t>
            </w:r>
            <w:r w:rsidRPr="00AF0BBA">
              <w:rPr>
                <w:i/>
                <w:iCs/>
                <w:sz w:val="20"/>
              </w:rPr>
              <w:t xml:space="preserve">r </w:t>
            </w:r>
            <w:r w:rsidRPr="00AF0BBA">
              <w:rPr>
                <w:iCs/>
                <w:sz w:val="20"/>
              </w:rPr>
              <w:t>is the Combined Cycle Train.</w:t>
            </w:r>
          </w:p>
        </w:tc>
      </w:tr>
      <w:tr w:rsidR="00326E23" w:rsidRPr="00AF0BBA" w14:paraId="6E4B89CC" w14:textId="77777777" w:rsidTr="009B2773">
        <w:trPr>
          <w:cantSplit/>
        </w:trPr>
        <w:tc>
          <w:tcPr>
            <w:tcW w:w="912" w:type="pct"/>
          </w:tcPr>
          <w:p w14:paraId="2DDD2900" w14:textId="77777777" w:rsidR="00326E23" w:rsidRPr="00AF0BBA" w:rsidRDefault="00326E23" w:rsidP="009B2773">
            <w:pPr>
              <w:spacing w:after="60"/>
              <w:rPr>
                <w:i/>
                <w:iCs/>
                <w:sz w:val="20"/>
              </w:rPr>
            </w:pPr>
            <w:r w:rsidRPr="00AF0BBA">
              <w:rPr>
                <w:i/>
                <w:iCs/>
                <w:sz w:val="20"/>
              </w:rPr>
              <w:t>q</w:t>
            </w:r>
          </w:p>
        </w:tc>
        <w:tc>
          <w:tcPr>
            <w:tcW w:w="417" w:type="pct"/>
          </w:tcPr>
          <w:p w14:paraId="187AAC42" w14:textId="77777777" w:rsidR="00326E23" w:rsidRPr="00AF0BBA" w:rsidRDefault="00326E23" w:rsidP="009B2773">
            <w:pPr>
              <w:spacing w:after="60"/>
              <w:rPr>
                <w:iCs/>
                <w:sz w:val="20"/>
              </w:rPr>
            </w:pPr>
            <w:r w:rsidRPr="00AF0BBA">
              <w:rPr>
                <w:iCs/>
                <w:sz w:val="20"/>
              </w:rPr>
              <w:t>none</w:t>
            </w:r>
          </w:p>
        </w:tc>
        <w:tc>
          <w:tcPr>
            <w:tcW w:w="3671" w:type="pct"/>
          </w:tcPr>
          <w:p w14:paraId="352F2FDA" w14:textId="77777777" w:rsidR="00326E23" w:rsidRPr="00AF0BBA" w:rsidRDefault="00326E23" w:rsidP="009B2773">
            <w:pPr>
              <w:spacing w:after="60"/>
              <w:rPr>
                <w:iCs/>
                <w:sz w:val="20"/>
              </w:rPr>
            </w:pPr>
            <w:r w:rsidRPr="00AF0BBA">
              <w:rPr>
                <w:iCs/>
                <w:sz w:val="20"/>
              </w:rPr>
              <w:t>A QSE.</w:t>
            </w:r>
          </w:p>
        </w:tc>
      </w:tr>
      <w:tr w:rsidR="00326E23" w:rsidRPr="00AF0BBA" w14:paraId="087734F1" w14:textId="77777777" w:rsidTr="009B2773">
        <w:trPr>
          <w:cantSplit/>
        </w:trPr>
        <w:tc>
          <w:tcPr>
            <w:tcW w:w="912" w:type="pct"/>
          </w:tcPr>
          <w:p w14:paraId="62F23B83" w14:textId="77777777" w:rsidR="00326E23" w:rsidRPr="00AF0BBA" w:rsidRDefault="00326E23" w:rsidP="009B2773">
            <w:pPr>
              <w:spacing w:after="60"/>
              <w:rPr>
                <w:i/>
                <w:iCs/>
                <w:sz w:val="20"/>
              </w:rPr>
            </w:pPr>
            <w:r w:rsidRPr="00AF0BBA">
              <w:rPr>
                <w:i/>
                <w:iCs/>
                <w:sz w:val="20"/>
              </w:rPr>
              <w:t>r</w:t>
            </w:r>
          </w:p>
        </w:tc>
        <w:tc>
          <w:tcPr>
            <w:tcW w:w="417" w:type="pct"/>
          </w:tcPr>
          <w:p w14:paraId="01E1F9B8" w14:textId="77777777" w:rsidR="00326E23" w:rsidRPr="00AF0BBA" w:rsidRDefault="00326E23" w:rsidP="009B2773">
            <w:pPr>
              <w:spacing w:after="60"/>
              <w:rPr>
                <w:iCs/>
                <w:sz w:val="20"/>
              </w:rPr>
            </w:pPr>
            <w:r w:rsidRPr="00AF0BBA">
              <w:rPr>
                <w:iCs/>
                <w:sz w:val="20"/>
              </w:rPr>
              <w:t>none</w:t>
            </w:r>
          </w:p>
        </w:tc>
        <w:tc>
          <w:tcPr>
            <w:tcW w:w="3671" w:type="pct"/>
          </w:tcPr>
          <w:p w14:paraId="5535B540" w14:textId="77777777" w:rsidR="00326E23" w:rsidRPr="00AF0BBA" w:rsidRDefault="00326E23" w:rsidP="009B2773">
            <w:pPr>
              <w:spacing w:after="60"/>
              <w:rPr>
                <w:iCs/>
                <w:sz w:val="20"/>
              </w:rPr>
            </w:pPr>
            <w:r w:rsidRPr="00AF0BBA">
              <w:rPr>
                <w:iCs/>
                <w:sz w:val="20"/>
              </w:rPr>
              <w:t>An RMR Unit.</w:t>
            </w:r>
          </w:p>
        </w:tc>
      </w:tr>
      <w:tr w:rsidR="00326E23" w:rsidRPr="00AF0BBA" w14:paraId="658F9ABF" w14:textId="77777777" w:rsidTr="009B2773">
        <w:trPr>
          <w:cantSplit/>
        </w:trPr>
        <w:tc>
          <w:tcPr>
            <w:tcW w:w="912" w:type="pct"/>
          </w:tcPr>
          <w:p w14:paraId="6036C01D" w14:textId="77777777" w:rsidR="00326E23" w:rsidRPr="00AF0BBA" w:rsidRDefault="00326E23" w:rsidP="009B2773">
            <w:pPr>
              <w:spacing w:after="60"/>
              <w:rPr>
                <w:i/>
                <w:iCs/>
                <w:sz w:val="20"/>
              </w:rPr>
            </w:pPr>
            <w:r w:rsidRPr="00AF0BBA">
              <w:rPr>
                <w:i/>
                <w:iCs/>
                <w:sz w:val="20"/>
              </w:rPr>
              <w:t>hr</w:t>
            </w:r>
          </w:p>
        </w:tc>
        <w:tc>
          <w:tcPr>
            <w:tcW w:w="417" w:type="pct"/>
          </w:tcPr>
          <w:p w14:paraId="2F750C13" w14:textId="77777777" w:rsidR="00326E23" w:rsidRPr="00AF0BBA" w:rsidRDefault="00326E23" w:rsidP="009B2773">
            <w:pPr>
              <w:spacing w:after="60"/>
              <w:rPr>
                <w:iCs/>
                <w:sz w:val="20"/>
              </w:rPr>
            </w:pPr>
            <w:r w:rsidRPr="00AF0BBA">
              <w:rPr>
                <w:iCs/>
                <w:sz w:val="20"/>
              </w:rPr>
              <w:t>none</w:t>
            </w:r>
          </w:p>
        </w:tc>
        <w:tc>
          <w:tcPr>
            <w:tcW w:w="3671" w:type="pct"/>
          </w:tcPr>
          <w:p w14:paraId="385D1230" w14:textId="77777777" w:rsidR="00326E23" w:rsidRPr="00AF0BBA" w:rsidRDefault="00326E23" w:rsidP="009B2773">
            <w:pPr>
              <w:spacing w:after="60"/>
              <w:rPr>
                <w:iCs/>
                <w:sz w:val="20"/>
              </w:rPr>
            </w:pPr>
            <w:r w:rsidRPr="00AF0BBA">
              <w:rPr>
                <w:iCs/>
                <w:sz w:val="20"/>
              </w:rPr>
              <w:t>The index for a given hour and all the previous 4379 hours</w:t>
            </w:r>
            <w:r w:rsidRPr="00AF0BBA">
              <w:rPr>
                <w:sz w:val="20"/>
              </w:rPr>
              <w:t xml:space="preserve"> for which availability is required under the RMR Agreement</w:t>
            </w:r>
            <w:r w:rsidRPr="00AF0BBA">
              <w:rPr>
                <w:iCs/>
                <w:sz w:val="20"/>
              </w:rPr>
              <w:t>.</w:t>
            </w:r>
          </w:p>
        </w:tc>
      </w:tr>
      <w:tr w:rsidR="00326E23" w:rsidRPr="00AF0BBA" w14:paraId="27DA289A" w14:textId="77777777" w:rsidTr="009B2773">
        <w:trPr>
          <w:cantSplit/>
        </w:trPr>
        <w:tc>
          <w:tcPr>
            <w:tcW w:w="912" w:type="pct"/>
          </w:tcPr>
          <w:p w14:paraId="51306D06" w14:textId="77777777" w:rsidR="00326E23" w:rsidRPr="00AF0BBA" w:rsidRDefault="00326E23" w:rsidP="009B2773">
            <w:pPr>
              <w:spacing w:after="60"/>
              <w:rPr>
                <w:iCs/>
                <w:sz w:val="20"/>
              </w:rPr>
            </w:pPr>
            <w:r w:rsidRPr="00AF0BBA">
              <w:rPr>
                <w:iCs/>
                <w:sz w:val="20"/>
              </w:rPr>
              <w:t>4380</w:t>
            </w:r>
          </w:p>
        </w:tc>
        <w:tc>
          <w:tcPr>
            <w:tcW w:w="417" w:type="pct"/>
          </w:tcPr>
          <w:p w14:paraId="49D35EA3" w14:textId="77777777" w:rsidR="00326E23" w:rsidRPr="00AF0BBA" w:rsidRDefault="00326E23" w:rsidP="009B2773">
            <w:pPr>
              <w:spacing w:after="60"/>
              <w:rPr>
                <w:iCs/>
                <w:sz w:val="20"/>
              </w:rPr>
            </w:pPr>
            <w:r w:rsidRPr="00AF0BBA">
              <w:rPr>
                <w:iCs/>
                <w:sz w:val="20"/>
              </w:rPr>
              <w:t>none</w:t>
            </w:r>
          </w:p>
        </w:tc>
        <w:tc>
          <w:tcPr>
            <w:tcW w:w="3671" w:type="pct"/>
          </w:tcPr>
          <w:p w14:paraId="4CE27CCA" w14:textId="77777777" w:rsidR="00326E23" w:rsidRPr="00AF0BBA" w:rsidRDefault="00326E23" w:rsidP="009B2773">
            <w:pPr>
              <w:spacing w:after="60"/>
              <w:rPr>
                <w:iCs/>
                <w:sz w:val="20"/>
              </w:rPr>
            </w:pPr>
            <w:r w:rsidRPr="00AF0BBA">
              <w:rPr>
                <w:iCs/>
                <w:sz w:val="20"/>
              </w:rPr>
              <w:t>The number of hours in a six-month period.</w:t>
            </w:r>
          </w:p>
        </w:tc>
      </w:tr>
    </w:tbl>
    <w:p w14:paraId="77545FE7" w14:textId="77777777" w:rsidR="001F04FD" w:rsidRDefault="001F04FD" w:rsidP="0099247E">
      <w:pPr>
        <w:pStyle w:val="BodyTextNumbered"/>
        <w:spacing w:before="240"/>
      </w:pPr>
      <w:bookmarkStart w:id="2308" w:name="_Toc87951799"/>
      <w:bookmarkStart w:id="2309" w:name="_Toc109009409"/>
      <w:r>
        <w:t>(4)</w:t>
      </w:r>
      <w:r>
        <w:tab/>
        <w:t>The total of the Standby Payments to each QSE for all RMR Units represented by this QSE for a given hour is calculated as follows:</w:t>
      </w:r>
    </w:p>
    <w:p w14:paraId="7AF01774" w14:textId="77777777" w:rsidR="001F04FD" w:rsidRDefault="001F04FD" w:rsidP="001F04FD">
      <w:pPr>
        <w:pStyle w:val="FormulaBold"/>
      </w:pPr>
      <w:r>
        <w:t xml:space="preserve">RMRSBAMTQSETOT </w:t>
      </w:r>
      <w:r>
        <w:rPr>
          <w:i/>
          <w:vertAlign w:val="subscript"/>
        </w:rPr>
        <w:t>q</w:t>
      </w:r>
      <w:r>
        <w:tab/>
        <w:t>=</w:t>
      </w:r>
      <w:r>
        <w:tab/>
      </w:r>
      <w:r w:rsidRPr="006F784F">
        <w:rPr>
          <w:position w:val="-18"/>
        </w:rPr>
        <w:object w:dxaOrig="225" w:dyaOrig="420" w14:anchorId="7A399907">
          <v:shape id="_x0000_i1201" type="#_x0000_t75" style="width:12pt;height:24pt" o:ole="">
            <v:imagedata r:id="rId237" o:title=""/>
          </v:shape>
          <o:OLEObject Type="Embed" ProgID="Equation.3" ShapeID="_x0000_i1201" DrawAspect="Content" ObjectID="_1804653686" r:id="rId238"/>
        </w:object>
      </w:r>
      <w:r>
        <w:t xml:space="preserve">RMRSBAMT </w:t>
      </w:r>
      <w:r>
        <w:rPr>
          <w:i/>
          <w:vertAlign w:val="subscript"/>
        </w:rPr>
        <w:t>q, r</w:t>
      </w:r>
    </w:p>
    <w:p w14:paraId="67C0A4C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605"/>
        <w:gridCol w:w="6524"/>
      </w:tblGrid>
      <w:tr w:rsidR="001F04FD" w14:paraId="7D15AAB6" w14:textId="77777777" w:rsidTr="00AC4DEE">
        <w:trPr>
          <w:cantSplit/>
          <w:tblHeader/>
        </w:trPr>
        <w:tc>
          <w:tcPr>
            <w:tcW w:w="1197" w:type="pct"/>
          </w:tcPr>
          <w:p w14:paraId="647DD522" w14:textId="77777777" w:rsidR="001F04FD" w:rsidRDefault="001F04FD" w:rsidP="00AC4DEE">
            <w:pPr>
              <w:pStyle w:val="TableHead"/>
            </w:pPr>
            <w:r>
              <w:t>Variable</w:t>
            </w:r>
          </w:p>
        </w:tc>
        <w:tc>
          <w:tcPr>
            <w:tcW w:w="305" w:type="pct"/>
          </w:tcPr>
          <w:p w14:paraId="4A6662B3" w14:textId="77777777" w:rsidR="001F04FD" w:rsidRDefault="001F04FD" w:rsidP="00AC4DEE">
            <w:pPr>
              <w:pStyle w:val="TableHead"/>
            </w:pPr>
            <w:r>
              <w:t>Unit</w:t>
            </w:r>
          </w:p>
        </w:tc>
        <w:tc>
          <w:tcPr>
            <w:tcW w:w="3497" w:type="pct"/>
          </w:tcPr>
          <w:p w14:paraId="54E555B4" w14:textId="77777777" w:rsidR="001F04FD" w:rsidRDefault="001F04FD" w:rsidP="00AC4DEE">
            <w:pPr>
              <w:pStyle w:val="TableHead"/>
            </w:pPr>
            <w:r>
              <w:t>Definition</w:t>
            </w:r>
          </w:p>
        </w:tc>
      </w:tr>
      <w:tr w:rsidR="001F04FD" w14:paraId="4BEBC20B" w14:textId="77777777" w:rsidTr="00AC4DEE">
        <w:trPr>
          <w:cantSplit/>
        </w:trPr>
        <w:tc>
          <w:tcPr>
            <w:tcW w:w="1197" w:type="pct"/>
          </w:tcPr>
          <w:p w14:paraId="4342FD88" w14:textId="77777777" w:rsidR="001F04FD" w:rsidRDefault="001F04FD" w:rsidP="00AC4DEE">
            <w:pPr>
              <w:pStyle w:val="TableBody"/>
            </w:pPr>
            <w:r>
              <w:t xml:space="preserve">RMRSBAMTQSETOT </w:t>
            </w:r>
            <w:r>
              <w:rPr>
                <w:vertAlign w:val="subscript"/>
              </w:rPr>
              <w:t>q</w:t>
            </w:r>
          </w:p>
        </w:tc>
        <w:tc>
          <w:tcPr>
            <w:tcW w:w="305" w:type="pct"/>
          </w:tcPr>
          <w:p w14:paraId="7C051628" w14:textId="77777777" w:rsidR="001F04FD" w:rsidRDefault="001F04FD" w:rsidP="00AC4DEE">
            <w:pPr>
              <w:pStyle w:val="TableBody"/>
            </w:pPr>
            <w:r>
              <w:t>$</w:t>
            </w:r>
          </w:p>
        </w:tc>
        <w:tc>
          <w:tcPr>
            <w:tcW w:w="3497" w:type="pct"/>
          </w:tcPr>
          <w:p w14:paraId="6A2FEEDF" w14:textId="77777777" w:rsidR="001F04FD" w:rsidRDefault="001F04FD" w:rsidP="00AC4DEE">
            <w:pPr>
              <w:pStyle w:val="TableBody"/>
            </w:pPr>
            <w:r>
              <w:rPr>
                <w:i/>
              </w:rPr>
              <w:t>Reliability Must-Run Standby Amount QSE Total per QSE</w:t>
            </w:r>
            <w:r>
              <w:sym w:font="Symbol" w:char="F0BE"/>
            </w:r>
            <w:r>
              <w:t xml:space="preserve">The total of the Standby Payments to QSE </w:t>
            </w:r>
            <w:r>
              <w:rPr>
                <w:i/>
              </w:rPr>
              <w:t>q</w:t>
            </w:r>
            <w:r>
              <w:t xml:space="preserve"> for all RMR Units represented by this QSE for the hour.</w:t>
            </w:r>
          </w:p>
        </w:tc>
      </w:tr>
      <w:tr w:rsidR="001F04FD" w14:paraId="2886541A" w14:textId="77777777" w:rsidTr="00AC4DEE">
        <w:trPr>
          <w:cantSplit/>
        </w:trPr>
        <w:tc>
          <w:tcPr>
            <w:tcW w:w="1197" w:type="pct"/>
          </w:tcPr>
          <w:p w14:paraId="2E800274" w14:textId="77777777" w:rsidR="001F04FD" w:rsidRDefault="001F04FD" w:rsidP="00AC4DEE">
            <w:pPr>
              <w:pStyle w:val="TableBody"/>
            </w:pPr>
            <w:r>
              <w:t xml:space="preserve">RMRSBAMT </w:t>
            </w:r>
            <w:r>
              <w:rPr>
                <w:vertAlign w:val="subscript"/>
              </w:rPr>
              <w:t>q, r</w:t>
            </w:r>
          </w:p>
        </w:tc>
        <w:tc>
          <w:tcPr>
            <w:tcW w:w="305" w:type="pct"/>
          </w:tcPr>
          <w:p w14:paraId="7FEAE98A" w14:textId="77777777" w:rsidR="001F04FD" w:rsidRDefault="001F04FD" w:rsidP="00AC4DEE">
            <w:pPr>
              <w:pStyle w:val="TableBody"/>
            </w:pPr>
            <w:r>
              <w:t>$</w:t>
            </w:r>
          </w:p>
        </w:tc>
        <w:tc>
          <w:tcPr>
            <w:tcW w:w="3497" w:type="pct"/>
          </w:tcPr>
          <w:p w14:paraId="720E4552" w14:textId="77777777" w:rsidR="001F04FD" w:rsidRDefault="001F04FD" w:rsidP="00AC4DEE">
            <w:pPr>
              <w:pStyle w:val="TableBody"/>
            </w:pPr>
            <w:r>
              <w:rPr>
                <w:i/>
              </w:rPr>
              <w:t>Reliability Must-Run Standby Payment per QSE per Resource</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14DFB453"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44551FEB" w14:textId="77777777" w:rsidR="001F04FD" w:rsidRPr="00A24281" w:rsidRDefault="001F04FD" w:rsidP="00AC4DEE">
            <w:pPr>
              <w:pStyle w:val="TableBody"/>
              <w:rPr>
                <w:i/>
              </w:rPr>
            </w:pPr>
            <w:r w:rsidRPr="00D661BC">
              <w:rPr>
                <w:i/>
              </w:rPr>
              <w:t>q</w:t>
            </w:r>
          </w:p>
        </w:tc>
        <w:tc>
          <w:tcPr>
            <w:tcW w:w="305" w:type="pct"/>
            <w:tcBorders>
              <w:top w:val="single" w:sz="4" w:space="0" w:color="auto"/>
              <w:left w:val="single" w:sz="4" w:space="0" w:color="auto"/>
              <w:bottom w:val="single" w:sz="4" w:space="0" w:color="auto"/>
              <w:right w:val="single" w:sz="4" w:space="0" w:color="auto"/>
            </w:tcBorders>
          </w:tcPr>
          <w:p w14:paraId="10B6563D"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3E1709CC" w14:textId="77777777" w:rsidR="001F04FD" w:rsidRDefault="001F04FD" w:rsidP="00AC4DEE">
            <w:pPr>
              <w:pStyle w:val="TableBody"/>
            </w:pPr>
            <w:r>
              <w:t>A QSE.</w:t>
            </w:r>
          </w:p>
        </w:tc>
      </w:tr>
      <w:tr w:rsidR="001F04FD" w14:paraId="354B65B1"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65158621" w14:textId="77777777" w:rsidR="001F04FD" w:rsidRPr="00A24281" w:rsidRDefault="001F04FD" w:rsidP="00AC4DEE">
            <w:pPr>
              <w:pStyle w:val="TableBody"/>
              <w:rPr>
                <w:i/>
              </w:rPr>
            </w:pPr>
            <w:r w:rsidRPr="00D661BC">
              <w:rPr>
                <w:i/>
              </w:rPr>
              <w:t>r</w:t>
            </w:r>
          </w:p>
        </w:tc>
        <w:tc>
          <w:tcPr>
            <w:tcW w:w="305" w:type="pct"/>
            <w:tcBorders>
              <w:top w:val="single" w:sz="4" w:space="0" w:color="auto"/>
              <w:left w:val="single" w:sz="4" w:space="0" w:color="auto"/>
              <w:bottom w:val="single" w:sz="4" w:space="0" w:color="auto"/>
              <w:right w:val="single" w:sz="4" w:space="0" w:color="auto"/>
            </w:tcBorders>
          </w:tcPr>
          <w:p w14:paraId="05C77FC0"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517CA178" w14:textId="77777777" w:rsidR="001F04FD" w:rsidRDefault="001F04FD" w:rsidP="00AC4DEE">
            <w:pPr>
              <w:pStyle w:val="TableBody"/>
            </w:pPr>
            <w:r>
              <w:t>An RMR Unit.</w:t>
            </w:r>
          </w:p>
        </w:tc>
      </w:tr>
    </w:tbl>
    <w:p w14:paraId="2888FCC3" w14:textId="77777777" w:rsidR="001F04FD" w:rsidRDefault="001F04FD" w:rsidP="001F04FD">
      <w:pPr>
        <w:pStyle w:val="H4"/>
        <w:spacing w:before="480"/>
        <w:ind w:left="1267" w:hanging="1267"/>
      </w:pPr>
      <w:bookmarkStart w:id="2310" w:name="_Toc397505028"/>
      <w:bookmarkStart w:id="2311" w:name="_Toc402357160"/>
      <w:bookmarkStart w:id="2312" w:name="_Toc422486540"/>
      <w:bookmarkStart w:id="2313" w:name="_Toc433093393"/>
      <w:bookmarkStart w:id="2314" w:name="_Toc433093551"/>
      <w:bookmarkStart w:id="2315" w:name="_Toc440874781"/>
      <w:bookmarkStart w:id="2316" w:name="_Toc448142338"/>
      <w:bookmarkStart w:id="2317" w:name="_Toc448142495"/>
      <w:bookmarkStart w:id="2318" w:name="_Toc458770336"/>
      <w:bookmarkStart w:id="2319" w:name="_Toc459294304"/>
      <w:bookmarkStart w:id="2320" w:name="_Toc463262797"/>
      <w:bookmarkStart w:id="2321" w:name="_Toc468286870"/>
      <w:bookmarkStart w:id="2322" w:name="_Toc481502910"/>
      <w:bookmarkStart w:id="2323" w:name="_Toc496080078"/>
      <w:bookmarkStart w:id="2324" w:name="_Toc189044447"/>
      <w:r>
        <w:t>6.6.6.2</w:t>
      </w:r>
      <w:r>
        <w:tab/>
        <w:t>RMR Payment for Energy</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2A5586EE" w14:textId="77777777" w:rsidR="001F04FD" w:rsidRDefault="001F04FD" w:rsidP="001F04FD">
      <w:pPr>
        <w:pStyle w:val="BodyTextNumbered"/>
      </w:pPr>
      <w:r>
        <w:t>(1)</w:t>
      </w:r>
      <w:r>
        <w:tab/>
        <w:t>Payment for energy on the Initial Settlement and settlements executed before true-up and before actual cost data is submitted must be calculated using the estimated input/output curve and startup fuel as specified in the RMR Agreement, the actual energy produced and the FIP.  The payment for energy for all other settlements must be based on actual fuel costs for the RMR Unit.  The payment for energy for each hour is calculated as follows:</w:t>
      </w:r>
    </w:p>
    <w:p w14:paraId="2E2613E1" w14:textId="77777777" w:rsidR="001F04FD" w:rsidRDefault="001F04FD" w:rsidP="001F04FD">
      <w:pPr>
        <w:pStyle w:val="FormulaBold"/>
        <w:tabs>
          <w:tab w:val="clear" w:pos="2250"/>
          <w:tab w:val="clear" w:pos="3960"/>
          <w:tab w:val="left" w:pos="2700"/>
        </w:tabs>
        <w:ind w:left="3150" w:hanging="2430"/>
        <w:rPr>
          <w:lang w:val="pt-BR"/>
        </w:rPr>
      </w:pPr>
      <w:r>
        <w:rPr>
          <w:lang w:val="pt-BR"/>
        </w:rPr>
        <w:t xml:space="preserve">RMREAMT </w:t>
      </w:r>
      <w:r>
        <w:rPr>
          <w:i/>
          <w:vertAlign w:val="subscript"/>
          <w:lang w:val="pt-BR"/>
        </w:rPr>
        <w:t>q, r</w:t>
      </w:r>
      <w:r>
        <w:rPr>
          <w:vertAlign w:val="subscript"/>
          <w:lang w:val="pt-BR"/>
        </w:rPr>
        <w:tab/>
      </w:r>
      <w:r>
        <w:rPr>
          <w:lang w:val="pt-BR"/>
        </w:rPr>
        <w:t>=</w:t>
      </w:r>
      <w:r>
        <w:rPr>
          <w:lang w:val="pt-BR"/>
        </w:rPr>
        <w:tab/>
        <w:t>(-1) * (((FIP + RMRCEFA</w:t>
      </w:r>
      <w:r>
        <w:rPr>
          <w:i/>
          <w:vertAlign w:val="subscript"/>
          <w:lang w:val="pt-BR"/>
        </w:rPr>
        <w:t xml:space="preserve"> q, r</w:t>
      </w:r>
      <w:r>
        <w:rPr>
          <w:lang w:val="pt-BR"/>
        </w:rPr>
        <w:t xml:space="preserve">) * RMRSUFQ </w:t>
      </w:r>
      <w:r>
        <w:rPr>
          <w:i/>
          <w:vertAlign w:val="subscript"/>
          <w:lang w:val="pt-BR"/>
        </w:rPr>
        <w:t>q, r</w:t>
      </w:r>
      <w:r>
        <w:rPr>
          <w:lang w:val="pt-BR"/>
        </w:rPr>
        <w:t xml:space="preserve"> </w:t>
      </w:r>
      <w:r>
        <w:rPr>
          <w:sz w:val="32"/>
          <w:szCs w:val="32"/>
          <w:lang w:val="pt-BR"/>
        </w:rPr>
        <w:t>/</w:t>
      </w:r>
      <w:r>
        <w:rPr>
          <w:lang w:val="pt-BR"/>
        </w:rPr>
        <w:t xml:space="preserve"> RMRH </w:t>
      </w:r>
      <w:r>
        <w:rPr>
          <w:i/>
          <w:vertAlign w:val="subscript"/>
          <w:lang w:val="pt-BR"/>
        </w:rPr>
        <w:t>q, r</w:t>
      </w:r>
      <w:r>
        <w:rPr>
          <w:lang w:val="pt-BR"/>
        </w:rPr>
        <w:t xml:space="preserve">) * RMRALLOCFLAG </w:t>
      </w:r>
      <w:r>
        <w:rPr>
          <w:i/>
          <w:vertAlign w:val="subscript"/>
          <w:lang w:val="pt-BR"/>
        </w:rPr>
        <w:t>q, r</w:t>
      </w:r>
      <w:r>
        <w:rPr>
          <w:lang w:val="pt-BR"/>
        </w:rPr>
        <w:t xml:space="preserve"> + </w:t>
      </w:r>
      <w:r w:rsidRPr="006F784F">
        <w:rPr>
          <w:position w:val="-20"/>
        </w:rPr>
        <w:object w:dxaOrig="255" w:dyaOrig="585" w14:anchorId="0EB0A472">
          <v:shape id="_x0000_i1202" type="#_x0000_t75" style="width:12pt;height:30pt" o:ole="">
            <v:imagedata r:id="rId239" o:title=""/>
          </v:shape>
          <o:OLEObject Type="Embed" ProgID="Equation.3" ShapeID="_x0000_i1202" DrawAspect="Content" ObjectID="_1804653687" r:id="rId240"/>
        </w:object>
      </w:r>
      <w:r>
        <w:rPr>
          <w:lang w:val="pt-BR"/>
        </w:rPr>
        <w:t>(((FIP + RMRCEFA</w:t>
      </w:r>
      <w:r>
        <w:rPr>
          <w:i/>
          <w:vertAlign w:val="subscript"/>
          <w:lang w:val="pt-BR"/>
        </w:rPr>
        <w:t xml:space="preserve"> q, r</w:t>
      </w:r>
      <w:r>
        <w:rPr>
          <w:lang w:val="pt-BR"/>
        </w:rPr>
        <w:t xml:space="preserve">) * RMRHR </w:t>
      </w:r>
      <w:r>
        <w:rPr>
          <w:i/>
          <w:vertAlign w:val="subscript"/>
          <w:lang w:val="pt-BR"/>
        </w:rPr>
        <w:t>q, r, i</w:t>
      </w:r>
      <w:r>
        <w:rPr>
          <w:lang w:val="pt-BR"/>
        </w:rPr>
        <w:t xml:space="preserve"> + RMRVCC </w:t>
      </w:r>
      <w:r>
        <w:rPr>
          <w:i/>
          <w:vertAlign w:val="subscript"/>
          <w:lang w:val="pt-BR"/>
        </w:rPr>
        <w:t>q, r</w:t>
      </w:r>
      <w:r>
        <w:rPr>
          <w:lang w:val="pt-BR"/>
        </w:rPr>
        <w:t xml:space="preserve">) * RTMG </w:t>
      </w:r>
      <w:r>
        <w:rPr>
          <w:i/>
          <w:vertAlign w:val="subscript"/>
          <w:lang w:val="pt-BR"/>
        </w:rPr>
        <w:t>q, r, i</w:t>
      </w:r>
      <w:r>
        <w:rPr>
          <w:lang w:val="pt-BR"/>
        </w:rPr>
        <w:t>))</w:t>
      </w:r>
    </w:p>
    <w:p w14:paraId="05D57A28" w14:textId="77777777" w:rsidR="001F04FD" w:rsidRDefault="001F04FD" w:rsidP="001F04FD">
      <w:r>
        <w:t>The above variables are defined as follows:</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6775"/>
      </w:tblGrid>
      <w:tr w:rsidR="001F04FD" w14:paraId="0ED0F647" w14:textId="77777777" w:rsidTr="00AC4DEE">
        <w:trPr>
          <w:cantSplit/>
          <w:tblHeader/>
        </w:trPr>
        <w:tc>
          <w:tcPr>
            <w:tcW w:w="2088" w:type="dxa"/>
          </w:tcPr>
          <w:p w14:paraId="69BBF4B8" w14:textId="77777777" w:rsidR="001F04FD" w:rsidRDefault="001F04FD" w:rsidP="00AC4DEE">
            <w:pPr>
              <w:pStyle w:val="TableHead"/>
            </w:pPr>
            <w:r>
              <w:lastRenderedPageBreak/>
              <w:t>Variable</w:t>
            </w:r>
          </w:p>
        </w:tc>
        <w:tc>
          <w:tcPr>
            <w:tcW w:w="1080" w:type="dxa"/>
          </w:tcPr>
          <w:p w14:paraId="6AA82CC7" w14:textId="77777777" w:rsidR="001F04FD" w:rsidRDefault="001F04FD" w:rsidP="00AC4DEE">
            <w:pPr>
              <w:pStyle w:val="TableHead"/>
            </w:pPr>
            <w:r>
              <w:t>Unit</w:t>
            </w:r>
          </w:p>
        </w:tc>
        <w:tc>
          <w:tcPr>
            <w:tcW w:w="6775" w:type="dxa"/>
          </w:tcPr>
          <w:p w14:paraId="50CACAC0" w14:textId="77777777" w:rsidR="001F04FD" w:rsidRDefault="001F04FD" w:rsidP="00AC4DEE">
            <w:pPr>
              <w:pStyle w:val="TableHead"/>
            </w:pPr>
            <w:r>
              <w:t>Definition</w:t>
            </w:r>
          </w:p>
        </w:tc>
      </w:tr>
      <w:tr w:rsidR="001F04FD" w14:paraId="0E1B5EB9" w14:textId="77777777" w:rsidTr="00AC4DEE">
        <w:trPr>
          <w:cantSplit/>
        </w:trPr>
        <w:tc>
          <w:tcPr>
            <w:tcW w:w="2088" w:type="dxa"/>
          </w:tcPr>
          <w:p w14:paraId="0184C30F" w14:textId="77777777" w:rsidR="001F04FD" w:rsidRDefault="001F04FD" w:rsidP="00AC4DEE">
            <w:pPr>
              <w:pStyle w:val="TableBody"/>
            </w:pPr>
            <w:r>
              <w:t xml:space="preserve">RMREAMT </w:t>
            </w:r>
            <w:r w:rsidRPr="00E15B17">
              <w:rPr>
                <w:i/>
                <w:vertAlign w:val="subscript"/>
              </w:rPr>
              <w:t>q, r</w:t>
            </w:r>
          </w:p>
        </w:tc>
        <w:tc>
          <w:tcPr>
            <w:tcW w:w="1080" w:type="dxa"/>
          </w:tcPr>
          <w:p w14:paraId="5D3BD1F1" w14:textId="77777777" w:rsidR="001F04FD" w:rsidRDefault="001F04FD" w:rsidP="00AC4DEE">
            <w:pPr>
              <w:pStyle w:val="TableBody"/>
            </w:pPr>
            <w:r>
              <w:t>$</w:t>
            </w:r>
          </w:p>
        </w:tc>
        <w:tc>
          <w:tcPr>
            <w:tcW w:w="6775" w:type="dxa"/>
          </w:tcPr>
          <w:p w14:paraId="5AF1ECEE"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6A85861" w14:textId="77777777" w:rsidTr="00AC4DEE">
        <w:trPr>
          <w:cantSplit/>
        </w:trPr>
        <w:tc>
          <w:tcPr>
            <w:tcW w:w="2088" w:type="dxa"/>
          </w:tcPr>
          <w:p w14:paraId="4B0DA723" w14:textId="77777777" w:rsidR="001F04FD" w:rsidRDefault="001F04FD" w:rsidP="00AC4DEE">
            <w:pPr>
              <w:pStyle w:val="TableBody"/>
            </w:pPr>
            <w:r>
              <w:t>FIP</w:t>
            </w:r>
          </w:p>
        </w:tc>
        <w:tc>
          <w:tcPr>
            <w:tcW w:w="1080" w:type="dxa"/>
          </w:tcPr>
          <w:p w14:paraId="65D1D1F0" w14:textId="77777777" w:rsidR="001F04FD" w:rsidRDefault="001F04FD" w:rsidP="00AC4DEE">
            <w:pPr>
              <w:pStyle w:val="TableBody"/>
            </w:pPr>
            <w:r>
              <w:t>$/MMBtu</w:t>
            </w:r>
          </w:p>
        </w:tc>
        <w:tc>
          <w:tcPr>
            <w:tcW w:w="6775" w:type="dxa"/>
          </w:tcPr>
          <w:p w14:paraId="3D6FD76D" w14:textId="77777777" w:rsidR="001F04FD" w:rsidRDefault="001F04FD" w:rsidP="00AC4DEE">
            <w:pPr>
              <w:pStyle w:val="TableBody"/>
            </w:pPr>
            <w:r>
              <w:rPr>
                <w:i/>
              </w:rPr>
              <w:t>Fuel Index Price</w:t>
            </w:r>
            <w:r>
              <w:t>—The FIP for the Operating Day.</w:t>
            </w:r>
          </w:p>
        </w:tc>
      </w:tr>
      <w:tr w:rsidR="001F04FD" w14:paraId="1C88B5C6" w14:textId="77777777" w:rsidTr="00AC4DEE">
        <w:trPr>
          <w:cantSplit/>
        </w:trPr>
        <w:tc>
          <w:tcPr>
            <w:tcW w:w="2088" w:type="dxa"/>
          </w:tcPr>
          <w:p w14:paraId="0353244F" w14:textId="77777777" w:rsidR="001F04FD" w:rsidRDefault="001F04FD" w:rsidP="00AC4DEE">
            <w:pPr>
              <w:pStyle w:val="TableBody"/>
            </w:pPr>
            <w:r>
              <w:t xml:space="preserve">RMRSUFQ </w:t>
            </w:r>
            <w:r w:rsidRPr="00E15B17">
              <w:rPr>
                <w:i/>
                <w:vertAlign w:val="subscript"/>
              </w:rPr>
              <w:t>q, r</w:t>
            </w:r>
          </w:p>
        </w:tc>
        <w:tc>
          <w:tcPr>
            <w:tcW w:w="1080" w:type="dxa"/>
          </w:tcPr>
          <w:p w14:paraId="27A49E7A" w14:textId="77777777" w:rsidR="001F04FD" w:rsidRDefault="001F04FD" w:rsidP="00AC4DEE">
            <w:pPr>
              <w:pStyle w:val="TableBody"/>
            </w:pPr>
            <w:r>
              <w:t>MMBtu</w:t>
            </w:r>
          </w:p>
        </w:tc>
        <w:tc>
          <w:tcPr>
            <w:tcW w:w="6775" w:type="dxa"/>
          </w:tcPr>
          <w:p w14:paraId="71607580" w14:textId="77777777" w:rsidR="001F04FD" w:rsidRDefault="001F04FD" w:rsidP="00AC4DEE">
            <w:pPr>
              <w:pStyle w:val="TableBody"/>
            </w:pPr>
            <w:r>
              <w:rPr>
                <w:i/>
              </w:rPr>
              <w:t>Reliability Must-Run Startup Fuel Quantity per QSE per Resource</w:t>
            </w:r>
            <w:r>
              <w:sym w:font="Symbol" w:char="F0BE"/>
            </w:r>
            <w:r>
              <w:t xml:space="preserve">The Estimated Start Up Fuel specified in the RMR Agreement for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3401518A" w14:textId="77777777" w:rsidTr="00AC4DEE">
        <w:trPr>
          <w:cantSplit/>
        </w:trPr>
        <w:tc>
          <w:tcPr>
            <w:tcW w:w="2088" w:type="dxa"/>
          </w:tcPr>
          <w:p w14:paraId="43B23396" w14:textId="77777777" w:rsidR="001F04FD" w:rsidRDefault="001F04FD" w:rsidP="00AC4DEE">
            <w:pPr>
              <w:pStyle w:val="TableBody"/>
            </w:pPr>
            <w:r>
              <w:t xml:space="preserve">RMRH </w:t>
            </w:r>
            <w:r w:rsidRPr="00E15B17">
              <w:rPr>
                <w:i/>
                <w:vertAlign w:val="subscript"/>
              </w:rPr>
              <w:t>q, r,h</w:t>
            </w:r>
          </w:p>
        </w:tc>
        <w:tc>
          <w:tcPr>
            <w:tcW w:w="1080" w:type="dxa"/>
          </w:tcPr>
          <w:p w14:paraId="2671E659" w14:textId="77777777" w:rsidR="001F04FD" w:rsidRDefault="001F04FD" w:rsidP="00AC4DEE">
            <w:pPr>
              <w:pStyle w:val="TableBody"/>
            </w:pPr>
            <w:r>
              <w:t>hour</w:t>
            </w:r>
          </w:p>
        </w:tc>
        <w:tc>
          <w:tcPr>
            <w:tcW w:w="6775" w:type="dxa"/>
          </w:tcPr>
          <w:p w14:paraId="7A9EAA89" w14:textId="77777777" w:rsidR="001F04FD" w:rsidRDefault="001F04FD" w:rsidP="00AC4DEE">
            <w:pPr>
              <w:pStyle w:val="TableBody"/>
            </w:pPr>
            <w:r>
              <w:rPr>
                <w:i/>
              </w:rPr>
              <w:t>Reliability Must-Run Hours</w:t>
            </w:r>
            <w:r>
              <w:t xml:space="preserve">—The number of hours during which RMR Unit </w:t>
            </w:r>
            <w:r>
              <w:rPr>
                <w:i/>
              </w:rPr>
              <w:t>r</w:t>
            </w:r>
            <w:r>
              <w:t xml:space="preserve"> represented by QSE </w:t>
            </w:r>
            <w:r>
              <w:rPr>
                <w:i/>
              </w:rPr>
              <w:t>q</w:t>
            </w:r>
            <w:r>
              <w:t xml:space="preserve"> is instructed On-Line for the Operating Day.  Where for a Combined Cycle Train, the Resource </w:t>
            </w:r>
            <w:r w:rsidRPr="00B34C5D">
              <w:rPr>
                <w:i/>
              </w:rPr>
              <w:t>r</w:t>
            </w:r>
            <w:r>
              <w:rPr>
                <w:i/>
              </w:rPr>
              <w:t xml:space="preserve"> </w:t>
            </w:r>
            <w:r>
              <w:t>is the Combined Cycle Train.</w:t>
            </w:r>
          </w:p>
        </w:tc>
      </w:tr>
      <w:tr w:rsidR="001F04FD" w14:paraId="0576B214" w14:textId="77777777" w:rsidTr="00AC4DEE">
        <w:trPr>
          <w:cantSplit/>
        </w:trPr>
        <w:tc>
          <w:tcPr>
            <w:tcW w:w="2088" w:type="dxa"/>
          </w:tcPr>
          <w:p w14:paraId="31A1FA11" w14:textId="77777777" w:rsidR="001F04FD" w:rsidRDefault="001F04FD" w:rsidP="00AC4DEE">
            <w:pPr>
              <w:pStyle w:val="TableBody"/>
            </w:pPr>
            <w:r>
              <w:t xml:space="preserve">RMRALLOCFLAG </w:t>
            </w:r>
            <w:r w:rsidRPr="00E15B17">
              <w:rPr>
                <w:i/>
                <w:vertAlign w:val="subscript"/>
              </w:rPr>
              <w:t>q, r</w:t>
            </w:r>
          </w:p>
        </w:tc>
        <w:tc>
          <w:tcPr>
            <w:tcW w:w="1080" w:type="dxa"/>
          </w:tcPr>
          <w:p w14:paraId="2E033D56" w14:textId="77777777" w:rsidR="001F04FD" w:rsidRDefault="001F04FD" w:rsidP="00AC4DEE">
            <w:pPr>
              <w:pStyle w:val="TableBody"/>
            </w:pPr>
            <w:r>
              <w:t>none</w:t>
            </w:r>
          </w:p>
        </w:tc>
        <w:tc>
          <w:tcPr>
            <w:tcW w:w="6775" w:type="dxa"/>
          </w:tcPr>
          <w:p w14:paraId="4D54D9F1" w14:textId="77777777" w:rsidR="001F04FD" w:rsidRDefault="001F04FD" w:rsidP="00AC4DEE">
            <w:pPr>
              <w:pStyle w:val="TableBody"/>
            </w:pPr>
            <w:r>
              <w:rPr>
                <w:i/>
              </w:rPr>
              <w:t>Reliability Must-Run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Where for a Combined Cycle Train, the Resource </w:t>
            </w:r>
            <w:r w:rsidRPr="00B34C5D">
              <w:rPr>
                <w:i/>
              </w:rPr>
              <w:t>r</w:t>
            </w:r>
            <w:r>
              <w:rPr>
                <w:i/>
              </w:rPr>
              <w:t xml:space="preserve"> </w:t>
            </w:r>
            <w:r>
              <w:t xml:space="preserve">is the Combined Cycle Train.  The startup fuel cost will be allocated equally to all contiguous intervals for which there is an eligible start.  The RMRALLOCFLAG </w:t>
            </w:r>
            <w:r>
              <w:rPr>
                <w:vertAlign w:val="subscript"/>
              </w:rPr>
              <w:t xml:space="preserve">q, r </w:t>
            </w:r>
            <w:r>
              <w:t>value is 1 if the startup fuel cost is allocated; otherwise, its value is 0.</w:t>
            </w:r>
          </w:p>
          <w:p w14:paraId="4B39DA40" w14:textId="2B6D43BB" w:rsidR="001F04FD" w:rsidRDefault="001F04FD" w:rsidP="00F602B7">
            <w:pPr>
              <w:pStyle w:val="TableBody"/>
              <w:rPr>
                <w:i/>
              </w:rPr>
            </w:pPr>
            <w:r>
              <w:t>The RMRALLOCFLAG</w:t>
            </w:r>
            <w:r>
              <w:rPr>
                <w:vertAlign w:val="subscript"/>
              </w:rPr>
              <w:t xml:space="preserve"> q, r</w:t>
            </w:r>
            <w:r>
              <w:t xml:space="preserve"> for eligibility is determined in Sections 5.6.2</w:t>
            </w:r>
            <w:r>
              <w:rPr>
                <w:iCs w:val="0"/>
              </w:rPr>
              <w:t>, RUC Startup Cost Eligibility,</w:t>
            </w:r>
            <w:r>
              <w:t xml:space="preserve"> and 5.6.3</w:t>
            </w:r>
            <w:r>
              <w:rPr>
                <w:iCs w:val="0"/>
              </w:rPr>
              <w:t>, Forced Outage of a RUC-Committed Resource,</w:t>
            </w:r>
            <w:r>
              <w:t xml:space="preserve"> for start-up payments and commitments in either the </w:t>
            </w:r>
            <w:r w:rsidR="00F602B7">
              <w:t>Reliability Unit Commitment (</w:t>
            </w:r>
            <w:r>
              <w:t>RUC</w:t>
            </w:r>
            <w:r w:rsidR="00F602B7">
              <w:t>)</w:t>
            </w:r>
            <w:r>
              <w:t xml:space="preserve"> or DAM.</w:t>
            </w:r>
          </w:p>
        </w:tc>
      </w:tr>
      <w:tr w:rsidR="001F04FD" w14:paraId="15D5F747" w14:textId="77777777" w:rsidTr="00AC4DEE">
        <w:trPr>
          <w:cantSplit/>
        </w:trPr>
        <w:tc>
          <w:tcPr>
            <w:tcW w:w="2088" w:type="dxa"/>
          </w:tcPr>
          <w:p w14:paraId="359A612A" w14:textId="77777777" w:rsidR="001F04FD" w:rsidRDefault="001F04FD" w:rsidP="00AC4DEE">
            <w:pPr>
              <w:pStyle w:val="TableBody"/>
            </w:pPr>
            <w:r>
              <w:t xml:space="preserve">RMRHR </w:t>
            </w:r>
            <w:r w:rsidRPr="00E15B17">
              <w:rPr>
                <w:i/>
                <w:vertAlign w:val="subscript"/>
              </w:rPr>
              <w:t>q, r, i</w:t>
            </w:r>
          </w:p>
        </w:tc>
        <w:tc>
          <w:tcPr>
            <w:tcW w:w="1080" w:type="dxa"/>
          </w:tcPr>
          <w:p w14:paraId="7E8E4F10" w14:textId="77777777" w:rsidR="001F04FD" w:rsidRDefault="001F04FD" w:rsidP="00AC4DEE">
            <w:pPr>
              <w:pStyle w:val="TableBody"/>
            </w:pPr>
            <w:r>
              <w:t>MMBtu /MWh</w:t>
            </w:r>
          </w:p>
        </w:tc>
        <w:tc>
          <w:tcPr>
            <w:tcW w:w="6775" w:type="dxa"/>
          </w:tcPr>
          <w:p w14:paraId="347C0B9B" w14:textId="77777777" w:rsidR="001F04FD" w:rsidRDefault="001F04FD" w:rsidP="00AC4DEE">
            <w:pPr>
              <w:pStyle w:val="TableBody"/>
              <w:rPr>
                <w:i/>
              </w:rPr>
            </w:pPr>
            <w:r>
              <w:rPr>
                <w:i/>
              </w:rPr>
              <w:t>Reliability Must-Run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Where for a Combined Cycle Train, the Resource </w:t>
            </w:r>
            <w:r w:rsidRPr="00B34C5D">
              <w:rPr>
                <w:i/>
              </w:rPr>
              <w:t>r</w:t>
            </w:r>
            <w:r>
              <w:rPr>
                <w:i/>
              </w:rPr>
              <w:t xml:space="preserve"> </w:t>
            </w:r>
            <w:r>
              <w:t>is the Combined Cycle Train.</w:t>
            </w:r>
          </w:p>
        </w:tc>
      </w:tr>
      <w:tr w:rsidR="001F04FD" w14:paraId="7BD54574" w14:textId="77777777" w:rsidTr="00AC4DEE">
        <w:trPr>
          <w:cantSplit/>
        </w:trPr>
        <w:tc>
          <w:tcPr>
            <w:tcW w:w="2088" w:type="dxa"/>
          </w:tcPr>
          <w:p w14:paraId="4C7C1A96" w14:textId="77777777" w:rsidR="001F04FD" w:rsidRDefault="001F04FD" w:rsidP="00AC4DEE">
            <w:pPr>
              <w:pStyle w:val="TableBody"/>
            </w:pPr>
            <w:r>
              <w:t xml:space="preserve">RMRVCC </w:t>
            </w:r>
            <w:r w:rsidRPr="00E15B17">
              <w:rPr>
                <w:i/>
                <w:vertAlign w:val="subscript"/>
              </w:rPr>
              <w:t>q, r</w:t>
            </w:r>
          </w:p>
        </w:tc>
        <w:tc>
          <w:tcPr>
            <w:tcW w:w="1080" w:type="dxa"/>
          </w:tcPr>
          <w:p w14:paraId="5014C462" w14:textId="77777777" w:rsidR="001F04FD" w:rsidRDefault="001F04FD" w:rsidP="00AC4DEE">
            <w:pPr>
              <w:pStyle w:val="TableBody"/>
            </w:pPr>
            <w:r>
              <w:t>$/MWh</w:t>
            </w:r>
          </w:p>
        </w:tc>
        <w:tc>
          <w:tcPr>
            <w:tcW w:w="6775" w:type="dxa"/>
          </w:tcPr>
          <w:p w14:paraId="47BEBFEA" w14:textId="77777777" w:rsidR="001F04FD" w:rsidRDefault="001F04FD" w:rsidP="00AC4DEE">
            <w:pPr>
              <w:pStyle w:val="TableBody"/>
              <w:rPr>
                <w:i/>
              </w:rPr>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The value is initially set to zero.  For resettlements, see item (2) below.  Where for a Combined Cycle Train, the Resource </w:t>
            </w:r>
            <w:r w:rsidRPr="00B34C5D">
              <w:rPr>
                <w:i/>
              </w:rPr>
              <w:t>r</w:t>
            </w:r>
            <w:r>
              <w:rPr>
                <w:i/>
              </w:rPr>
              <w:t xml:space="preserve"> </w:t>
            </w:r>
            <w:r>
              <w:t>is the Combined Cycle Train.</w:t>
            </w:r>
          </w:p>
        </w:tc>
      </w:tr>
      <w:tr w:rsidR="001F04FD" w14:paraId="0199C651" w14:textId="77777777" w:rsidTr="00AC4DEE">
        <w:trPr>
          <w:cantSplit/>
        </w:trPr>
        <w:tc>
          <w:tcPr>
            <w:tcW w:w="2088" w:type="dxa"/>
          </w:tcPr>
          <w:p w14:paraId="3FD65DFD" w14:textId="77777777" w:rsidR="001F04FD" w:rsidRDefault="001F04FD" w:rsidP="00AC4DEE">
            <w:pPr>
              <w:pStyle w:val="TableBody"/>
            </w:pPr>
            <w:r>
              <w:t xml:space="preserve">RTMG </w:t>
            </w:r>
            <w:r w:rsidRPr="00E15B17">
              <w:rPr>
                <w:i/>
                <w:vertAlign w:val="subscript"/>
              </w:rPr>
              <w:t>q, r, i,</w:t>
            </w:r>
          </w:p>
        </w:tc>
        <w:tc>
          <w:tcPr>
            <w:tcW w:w="1080" w:type="dxa"/>
          </w:tcPr>
          <w:p w14:paraId="1DE08DA7" w14:textId="77777777" w:rsidR="001F04FD" w:rsidRDefault="001F04FD" w:rsidP="00AC4DEE">
            <w:pPr>
              <w:pStyle w:val="TableBody"/>
            </w:pPr>
            <w:r>
              <w:t>MWh</w:t>
            </w:r>
          </w:p>
        </w:tc>
        <w:tc>
          <w:tcPr>
            <w:tcW w:w="6775" w:type="dxa"/>
          </w:tcPr>
          <w:p w14:paraId="4AA6F1DF" w14:textId="77777777" w:rsidR="001F04FD" w:rsidRDefault="001F04FD" w:rsidP="00AC4DEE">
            <w:pPr>
              <w:pStyle w:val="TableBody"/>
              <w:rPr>
                <w:i/>
              </w:rPr>
            </w:pPr>
            <w:r>
              <w:rPr>
                <w:i/>
              </w:rPr>
              <w:t>Real-Time Metered Generation per QSE per Resource by Settlement Interval by hour</w:t>
            </w:r>
            <w:r>
              <w:t>—The Real-Time energy from RMR Unit</w:t>
            </w:r>
            <w:r>
              <w:rPr>
                <w:i/>
              </w:rPr>
              <w:t xml:space="preserve"> r</w:t>
            </w:r>
            <w:r>
              <w:t xml:space="preserve"> represented by QSE </w:t>
            </w:r>
            <w:r>
              <w:rPr>
                <w:i/>
              </w:rPr>
              <w:t>q</w:t>
            </w:r>
            <w:r>
              <w:t xml:space="preserve">, for the 15-minute Settlement Interval </w:t>
            </w:r>
            <w:r>
              <w:rPr>
                <w:i/>
              </w:rPr>
              <w:t xml:space="preserve">i </w:t>
            </w:r>
            <w:r w:rsidRPr="00D661BC">
              <w:t>in the hour</w:t>
            </w:r>
            <w:r>
              <w:rPr>
                <w:i/>
              </w:rPr>
              <w:t xml:space="preserve"> h</w:t>
            </w:r>
            <w:r>
              <w:t xml:space="preserve">.  Where for a Combined Cycle Train, the Resource </w:t>
            </w:r>
            <w:r w:rsidRPr="00B34C5D">
              <w:rPr>
                <w:i/>
              </w:rPr>
              <w:t>r</w:t>
            </w:r>
            <w:r>
              <w:rPr>
                <w:i/>
              </w:rPr>
              <w:t xml:space="preserve"> </w:t>
            </w:r>
            <w:r>
              <w:t>is the Combined Cycle Train.</w:t>
            </w:r>
          </w:p>
        </w:tc>
      </w:tr>
      <w:tr w:rsidR="001F04FD" w14:paraId="6F8ED6FD" w14:textId="77777777" w:rsidTr="00AC4DEE">
        <w:trPr>
          <w:cantSplit/>
        </w:trPr>
        <w:tc>
          <w:tcPr>
            <w:tcW w:w="2088" w:type="dxa"/>
          </w:tcPr>
          <w:p w14:paraId="0359BDCA" w14:textId="77777777" w:rsidR="001F04FD" w:rsidRDefault="001F04FD" w:rsidP="00AC4DEE">
            <w:pPr>
              <w:pStyle w:val="TableBody"/>
            </w:pPr>
            <w:r>
              <w:t>RMRCEFA</w:t>
            </w:r>
            <w:r>
              <w:rPr>
                <w:vertAlign w:val="subscript"/>
              </w:rPr>
              <w:t xml:space="preserve"> </w:t>
            </w:r>
            <w:r w:rsidRPr="00E15B17">
              <w:rPr>
                <w:i/>
                <w:vertAlign w:val="subscript"/>
              </w:rPr>
              <w:t>q, r</w:t>
            </w:r>
          </w:p>
        </w:tc>
        <w:tc>
          <w:tcPr>
            <w:tcW w:w="1080" w:type="dxa"/>
          </w:tcPr>
          <w:p w14:paraId="24D28FE1" w14:textId="77777777" w:rsidR="001F04FD" w:rsidRDefault="001F04FD" w:rsidP="00AC4DEE">
            <w:pPr>
              <w:pStyle w:val="TableBody"/>
            </w:pPr>
            <w:r>
              <w:t>$/MMBtu</w:t>
            </w:r>
          </w:p>
        </w:tc>
        <w:tc>
          <w:tcPr>
            <w:tcW w:w="6775" w:type="dxa"/>
          </w:tcPr>
          <w:p w14:paraId="3CE67121" w14:textId="77777777" w:rsidR="001F04FD" w:rsidRDefault="001F04FD" w:rsidP="00AC4DEE">
            <w:pPr>
              <w:pStyle w:val="TableBody"/>
            </w:pPr>
            <w:r>
              <w:rPr>
                <w:i/>
              </w:rPr>
              <w:t>Reliability Must-Run Contractual Estimated Fuel Adder</w:t>
            </w:r>
            <w:r>
              <w:t xml:space="preserve">—The Estimated Fuel Adder that is contractually agreed upon in Section 22, Attachment B, Standard Form Reliability Must-Run Agreement.  Where for a Combined Cycle Train, the Resource </w:t>
            </w:r>
            <w:r w:rsidRPr="00B34C5D">
              <w:rPr>
                <w:i/>
              </w:rPr>
              <w:t>r</w:t>
            </w:r>
            <w:r>
              <w:rPr>
                <w:i/>
              </w:rPr>
              <w:t xml:space="preserve"> </w:t>
            </w:r>
            <w:r>
              <w:t>is the Combined Cycle Train.  The fuel adder will be subsequently trued up to reflect actual fuel costs as set forth in item (1) above.</w:t>
            </w:r>
          </w:p>
        </w:tc>
      </w:tr>
      <w:tr w:rsidR="001F04FD" w14:paraId="30F22B57" w14:textId="77777777" w:rsidTr="00AC4DEE">
        <w:trPr>
          <w:cantSplit/>
        </w:trPr>
        <w:tc>
          <w:tcPr>
            <w:tcW w:w="2088" w:type="dxa"/>
          </w:tcPr>
          <w:p w14:paraId="55DAA1E4" w14:textId="77777777" w:rsidR="001F04FD" w:rsidRPr="00EF4122" w:rsidRDefault="001F04FD" w:rsidP="00AC4DEE">
            <w:pPr>
              <w:pStyle w:val="TableBody"/>
              <w:rPr>
                <w:i/>
              </w:rPr>
            </w:pPr>
            <w:r w:rsidRPr="00D661BC">
              <w:rPr>
                <w:i/>
              </w:rPr>
              <w:t>q</w:t>
            </w:r>
          </w:p>
        </w:tc>
        <w:tc>
          <w:tcPr>
            <w:tcW w:w="1080" w:type="dxa"/>
          </w:tcPr>
          <w:p w14:paraId="3F819CF1" w14:textId="77777777" w:rsidR="001F04FD" w:rsidRDefault="001F04FD" w:rsidP="00AC4DEE">
            <w:pPr>
              <w:pStyle w:val="TableBody"/>
            </w:pPr>
            <w:r>
              <w:t>none</w:t>
            </w:r>
          </w:p>
        </w:tc>
        <w:tc>
          <w:tcPr>
            <w:tcW w:w="6775" w:type="dxa"/>
          </w:tcPr>
          <w:p w14:paraId="6A6E9FB7" w14:textId="77777777" w:rsidR="001F04FD" w:rsidRDefault="001F04FD" w:rsidP="00AC4DEE">
            <w:pPr>
              <w:pStyle w:val="TableBody"/>
            </w:pPr>
            <w:r>
              <w:t>A QSE.</w:t>
            </w:r>
          </w:p>
        </w:tc>
      </w:tr>
      <w:tr w:rsidR="001F04FD" w14:paraId="3C2BDA2B" w14:textId="77777777" w:rsidTr="00AC4DEE">
        <w:trPr>
          <w:cantSplit/>
        </w:trPr>
        <w:tc>
          <w:tcPr>
            <w:tcW w:w="2088" w:type="dxa"/>
          </w:tcPr>
          <w:p w14:paraId="557565BF" w14:textId="77777777" w:rsidR="001F04FD" w:rsidRPr="00EF4122" w:rsidRDefault="001F04FD" w:rsidP="00AC4DEE">
            <w:pPr>
              <w:pStyle w:val="TableBody"/>
              <w:rPr>
                <w:i/>
              </w:rPr>
            </w:pPr>
            <w:r w:rsidRPr="00D661BC">
              <w:rPr>
                <w:i/>
              </w:rPr>
              <w:t>r</w:t>
            </w:r>
          </w:p>
        </w:tc>
        <w:tc>
          <w:tcPr>
            <w:tcW w:w="1080" w:type="dxa"/>
          </w:tcPr>
          <w:p w14:paraId="13CD329F" w14:textId="77777777" w:rsidR="001F04FD" w:rsidRDefault="001F04FD" w:rsidP="00AC4DEE">
            <w:pPr>
              <w:pStyle w:val="TableBody"/>
            </w:pPr>
            <w:r>
              <w:t>none</w:t>
            </w:r>
          </w:p>
        </w:tc>
        <w:tc>
          <w:tcPr>
            <w:tcW w:w="6775" w:type="dxa"/>
          </w:tcPr>
          <w:p w14:paraId="421BB642" w14:textId="77777777" w:rsidR="001F04FD" w:rsidRDefault="001F04FD" w:rsidP="00AC4DEE">
            <w:pPr>
              <w:pStyle w:val="TableBody"/>
            </w:pPr>
            <w:r>
              <w:t>An RMR Unit.</w:t>
            </w:r>
          </w:p>
        </w:tc>
      </w:tr>
      <w:tr w:rsidR="001F04FD" w14:paraId="4E643914" w14:textId="77777777" w:rsidTr="00AC4DEE">
        <w:trPr>
          <w:cantSplit/>
        </w:trPr>
        <w:tc>
          <w:tcPr>
            <w:tcW w:w="2088" w:type="dxa"/>
          </w:tcPr>
          <w:p w14:paraId="795D7571" w14:textId="77777777" w:rsidR="001F04FD" w:rsidRPr="00EF4122" w:rsidRDefault="001F04FD" w:rsidP="00AC4DEE">
            <w:pPr>
              <w:pStyle w:val="TableBody"/>
              <w:rPr>
                <w:i/>
              </w:rPr>
            </w:pPr>
            <w:r w:rsidRPr="00D661BC">
              <w:rPr>
                <w:i/>
              </w:rPr>
              <w:t>i</w:t>
            </w:r>
          </w:p>
        </w:tc>
        <w:tc>
          <w:tcPr>
            <w:tcW w:w="1080" w:type="dxa"/>
          </w:tcPr>
          <w:p w14:paraId="116F5761" w14:textId="77777777" w:rsidR="001F04FD" w:rsidRDefault="001F04FD" w:rsidP="00AC4DEE">
            <w:pPr>
              <w:pStyle w:val="TableBody"/>
            </w:pPr>
            <w:r>
              <w:t>none</w:t>
            </w:r>
          </w:p>
        </w:tc>
        <w:tc>
          <w:tcPr>
            <w:tcW w:w="6775" w:type="dxa"/>
          </w:tcPr>
          <w:p w14:paraId="7777EA4B" w14:textId="77777777" w:rsidR="001F04FD" w:rsidRDefault="001F04FD" w:rsidP="00AC4DEE">
            <w:pPr>
              <w:pStyle w:val="TableBody"/>
            </w:pPr>
            <w:r>
              <w:t>A 15-minute Settlement Interval.</w:t>
            </w:r>
          </w:p>
        </w:tc>
      </w:tr>
    </w:tbl>
    <w:p w14:paraId="29B531B8" w14:textId="77777777" w:rsidR="001F04FD" w:rsidRDefault="001F04FD" w:rsidP="001F04FD">
      <w:pPr>
        <w:pStyle w:val="BodyTextNumbered"/>
        <w:spacing w:before="240"/>
      </w:pPr>
      <w:r>
        <w:t>(2)</w:t>
      </w:r>
      <w:r>
        <w:tab/>
        <w:t>If the RMR actual fuel cost is filed in accordance with the timeline in these Protocols, the monthly RMR variable cost component is calculated for the subsequent resettlements as follows:</w:t>
      </w:r>
    </w:p>
    <w:p w14:paraId="274131D1" w14:textId="77777777" w:rsidR="001F04FD" w:rsidRDefault="001F04FD" w:rsidP="001F04FD">
      <w:pPr>
        <w:pStyle w:val="FormulaBold"/>
        <w:tabs>
          <w:tab w:val="left" w:pos="2610"/>
        </w:tabs>
        <w:spacing w:after="0"/>
        <w:rPr>
          <w:lang w:val="pt-BR"/>
        </w:rPr>
      </w:pPr>
      <w:r>
        <w:rPr>
          <w:lang w:val="pt-BR"/>
        </w:rPr>
        <w:lastRenderedPageBreak/>
        <w:t xml:space="preserve">RMRVCC </w:t>
      </w:r>
      <w:r>
        <w:rPr>
          <w:i/>
          <w:vertAlign w:val="subscript"/>
          <w:lang w:val="pt-BR"/>
        </w:rPr>
        <w:t>q, r</w:t>
      </w:r>
      <w:r>
        <w:rPr>
          <w:vertAlign w:val="subscript"/>
          <w:lang w:val="pt-BR"/>
        </w:rPr>
        <w:tab/>
      </w:r>
      <w:r>
        <w:rPr>
          <w:lang w:val="pt-BR"/>
        </w:rPr>
        <w:t>=</w:t>
      </w:r>
      <w:r>
        <w:rPr>
          <w:lang w:val="pt-BR"/>
        </w:rPr>
        <w:tab/>
        <w:t xml:space="preserve">(RMRMFCOST </w:t>
      </w:r>
      <w:r>
        <w:rPr>
          <w:i/>
          <w:vertAlign w:val="subscript"/>
          <w:lang w:val="pt-BR"/>
        </w:rPr>
        <w:t>q, r</w:t>
      </w:r>
      <w:r>
        <w:rPr>
          <w:lang w:val="pt-BR"/>
        </w:rPr>
        <w:t xml:space="preserve"> + </w:t>
      </w:r>
      <w:r w:rsidRPr="006F784F">
        <w:rPr>
          <w:position w:val="-20"/>
        </w:rPr>
        <w:object w:dxaOrig="225" w:dyaOrig="435" w14:anchorId="305852C6">
          <v:shape id="_x0000_i1203" type="#_x0000_t75" style="width:12pt;height:24pt" o:ole="">
            <v:imagedata r:id="rId241" o:title=""/>
          </v:shape>
          <o:OLEObject Type="Embed" ProgID="Equation.3" ShapeID="_x0000_i1203" DrawAspect="Content" ObjectID="_1804653688" r:id="rId242"/>
        </w:object>
      </w:r>
      <w:r>
        <w:rPr>
          <w:lang w:val="pt-BR"/>
        </w:rPr>
        <w:t xml:space="preserve">RMREAMT </w:t>
      </w:r>
      <w:r>
        <w:rPr>
          <w:i/>
          <w:vertAlign w:val="subscript"/>
          <w:lang w:val="pt-BR"/>
        </w:rPr>
        <w:t>q, r, f, h</w:t>
      </w:r>
      <w:r>
        <w:rPr>
          <w:lang w:val="pt-BR"/>
        </w:rPr>
        <w:t xml:space="preserve">) / </w:t>
      </w:r>
    </w:p>
    <w:p w14:paraId="0B20EDD4" w14:textId="77777777" w:rsidR="001F04FD" w:rsidRDefault="001F04FD" w:rsidP="001F04FD">
      <w:pPr>
        <w:pStyle w:val="FormulaBold"/>
        <w:tabs>
          <w:tab w:val="left" w:pos="2610"/>
        </w:tabs>
        <w:ind w:hanging="1350"/>
        <w:rPr>
          <w:lang w:val="pt-BR"/>
        </w:rPr>
      </w:pPr>
      <w:r>
        <w:rPr>
          <w:lang w:val="pt-BR"/>
        </w:rPr>
        <w:t>(</w:t>
      </w:r>
      <w:r w:rsidRPr="006F784F">
        <w:rPr>
          <w:position w:val="-20"/>
        </w:rPr>
        <w:object w:dxaOrig="225" w:dyaOrig="435" w14:anchorId="476C4D85">
          <v:shape id="_x0000_i1204" type="#_x0000_t75" style="width:12pt;height:24pt" o:ole="">
            <v:imagedata r:id="rId243" o:title=""/>
          </v:shape>
          <o:OLEObject Type="Embed" ProgID="Equation.3" ShapeID="_x0000_i1204" DrawAspect="Content" ObjectID="_1804653689" r:id="rId244"/>
        </w:object>
      </w:r>
      <w:r>
        <w:rPr>
          <w:lang w:val="pt-BR"/>
        </w:rPr>
        <w:t xml:space="preserve">RTMG </w:t>
      </w:r>
      <w:r>
        <w:rPr>
          <w:i/>
          <w:vertAlign w:val="subscript"/>
          <w:lang w:val="pt-BR"/>
        </w:rPr>
        <w:t>q, r, i</w:t>
      </w:r>
      <w:r>
        <w:rPr>
          <w:lang w:val="pt-BR"/>
        </w:rPr>
        <w:t>)</w:t>
      </w:r>
    </w:p>
    <w:p w14:paraId="09509BC3"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776"/>
        <w:gridCol w:w="7038"/>
      </w:tblGrid>
      <w:tr w:rsidR="001F04FD" w14:paraId="707DC9DB" w14:textId="77777777" w:rsidTr="00AC4DEE">
        <w:trPr>
          <w:cantSplit/>
          <w:tblHeader/>
        </w:trPr>
        <w:tc>
          <w:tcPr>
            <w:tcW w:w="1998" w:type="dxa"/>
          </w:tcPr>
          <w:p w14:paraId="74742EBA" w14:textId="77777777" w:rsidR="001F04FD" w:rsidRDefault="001F04FD" w:rsidP="00AC4DEE">
            <w:pPr>
              <w:pStyle w:val="TableHead"/>
            </w:pPr>
            <w:r>
              <w:t>Variable</w:t>
            </w:r>
          </w:p>
        </w:tc>
        <w:tc>
          <w:tcPr>
            <w:tcW w:w="776" w:type="dxa"/>
          </w:tcPr>
          <w:p w14:paraId="283179D3" w14:textId="77777777" w:rsidR="001F04FD" w:rsidRDefault="001F04FD" w:rsidP="00AC4DEE">
            <w:pPr>
              <w:pStyle w:val="TableHead"/>
            </w:pPr>
            <w:r>
              <w:t>Unit</w:t>
            </w:r>
          </w:p>
        </w:tc>
        <w:tc>
          <w:tcPr>
            <w:tcW w:w="7038" w:type="dxa"/>
          </w:tcPr>
          <w:p w14:paraId="0D1B6EFE" w14:textId="77777777" w:rsidR="001F04FD" w:rsidRDefault="001F04FD" w:rsidP="00AC4DEE">
            <w:pPr>
              <w:pStyle w:val="TableHead"/>
            </w:pPr>
            <w:r>
              <w:t>Definition</w:t>
            </w:r>
          </w:p>
        </w:tc>
      </w:tr>
      <w:tr w:rsidR="001F04FD" w14:paraId="24107EAD" w14:textId="77777777" w:rsidTr="00AC4DEE">
        <w:trPr>
          <w:cantSplit/>
        </w:trPr>
        <w:tc>
          <w:tcPr>
            <w:tcW w:w="1998" w:type="dxa"/>
          </w:tcPr>
          <w:p w14:paraId="24B5D09E" w14:textId="77777777" w:rsidR="001F04FD" w:rsidRDefault="001F04FD" w:rsidP="00AC4DEE">
            <w:pPr>
              <w:pStyle w:val="TableBody"/>
            </w:pPr>
            <w:r>
              <w:t xml:space="preserve">RMRVCC </w:t>
            </w:r>
            <w:r w:rsidRPr="00E15B17">
              <w:rPr>
                <w:i/>
                <w:vertAlign w:val="subscript"/>
              </w:rPr>
              <w:t>q, r</w:t>
            </w:r>
          </w:p>
        </w:tc>
        <w:tc>
          <w:tcPr>
            <w:tcW w:w="776" w:type="dxa"/>
          </w:tcPr>
          <w:p w14:paraId="6E111330" w14:textId="77777777" w:rsidR="001F04FD" w:rsidRDefault="001F04FD" w:rsidP="00AC4DEE">
            <w:pPr>
              <w:pStyle w:val="TableBody"/>
            </w:pPr>
            <w:r>
              <w:t>$/MWh</w:t>
            </w:r>
          </w:p>
        </w:tc>
        <w:tc>
          <w:tcPr>
            <w:tcW w:w="7038" w:type="dxa"/>
          </w:tcPr>
          <w:p w14:paraId="201A17D1" w14:textId="77777777" w:rsidR="001F04FD" w:rsidRDefault="001F04FD" w:rsidP="00AC4DEE">
            <w:pPr>
              <w:pStyle w:val="TableBody"/>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06B054DE" w14:textId="77777777" w:rsidTr="00AC4DEE">
        <w:trPr>
          <w:cantSplit/>
        </w:trPr>
        <w:tc>
          <w:tcPr>
            <w:tcW w:w="1998" w:type="dxa"/>
          </w:tcPr>
          <w:p w14:paraId="27D86CD8" w14:textId="77777777" w:rsidR="001F04FD" w:rsidRDefault="001F04FD" w:rsidP="00AC4DEE">
            <w:pPr>
              <w:pStyle w:val="TableBody"/>
            </w:pPr>
            <w:r>
              <w:t xml:space="preserve">RMRMFCOST </w:t>
            </w:r>
            <w:r w:rsidRPr="00E15B17">
              <w:rPr>
                <w:i/>
                <w:vertAlign w:val="subscript"/>
              </w:rPr>
              <w:t>q, r</w:t>
            </w:r>
          </w:p>
        </w:tc>
        <w:tc>
          <w:tcPr>
            <w:tcW w:w="776" w:type="dxa"/>
          </w:tcPr>
          <w:p w14:paraId="34D46493" w14:textId="77777777" w:rsidR="001F04FD" w:rsidRDefault="001F04FD" w:rsidP="00AC4DEE">
            <w:pPr>
              <w:pStyle w:val="TableBody"/>
            </w:pPr>
            <w:r>
              <w:t>$</w:t>
            </w:r>
          </w:p>
        </w:tc>
        <w:tc>
          <w:tcPr>
            <w:tcW w:w="7038" w:type="dxa"/>
          </w:tcPr>
          <w:p w14:paraId="53232787" w14:textId="77777777" w:rsidR="001F04FD" w:rsidRDefault="001F04FD" w:rsidP="00AC4DEE">
            <w:pPr>
              <w:pStyle w:val="TableBody"/>
            </w:pPr>
            <w:r>
              <w:rPr>
                <w:i/>
              </w:rPr>
              <w:t>Reliability Must-Run Monthly actual Fuel Cost per QSE per Resource</w:t>
            </w:r>
            <w:r>
              <w:t xml:space="preserve">—The monthly actual fuel cost of RMR Unit </w:t>
            </w:r>
            <w:r>
              <w:rPr>
                <w:i/>
              </w:rPr>
              <w:t>r</w:t>
            </w:r>
            <w:r>
              <w:t xml:space="preserve"> represented by QSE </w:t>
            </w:r>
            <w:r>
              <w:rPr>
                <w:i/>
              </w:rPr>
              <w:t>q</w:t>
            </w:r>
            <w:r>
              <w:t xml:space="preserve">, for the month.  Where for a Combined Cycle Train, the Resource </w:t>
            </w:r>
            <w:r w:rsidRPr="00B34C5D">
              <w:rPr>
                <w:i/>
              </w:rPr>
              <w:t>r</w:t>
            </w:r>
            <w:r>
              <w:rPr>
                <w:i/>
              </w:rPr>
              <w:t xml:space="preserve"> </w:t>
            </w:r>
            <w:r>
              <w:t>is the Combined Cycle Train.</w:t>
            </w:r>
          </w:p>
        </w:tc>
      </w:tr>
      <w:tr w:rsidR="001F04FD" w14:paraId="5D17F386" w14:textId="77777777" w:rsidTr="00AC4DEE">
        <w:trPr>
          <w:cantSplit/>
        </w:trPr>
        <w:tc>
          <w:tcPr>
            <w:tcW w:w="1998" w:type="dxa"/>
          </w:tcPr>
          <w:p w14:paraId="35B46E90" w14:textId="77777777" w:rsidR="001F04FD" w:rsidRDefault="001F04FD" w:rsidP="00AC4DEE">
            <w:pPr>
              <w:pStyle w:val="TableBody"/>
            </w:pPr>
            <w:r>
              <w:t xml:space="preserve">RTMG </w:t>
            </w:r>
            <w:r w:rsidRPr="00E15B17">
              <w:rPr>
                <w:i/>
                <w:vertAlign w:val="subscript"/>
                <w:lang w:val="pt-BR"/>
              </w:rPr>
              <w:t xml:space="preserve">q, r, </w:t>
            </w:r>
            <w:r w:rsidRPr="00E15B17">
              <w:rPr>
                <w:i/>
                <w:vertAlign w:val="subscript"/>
              </w:rPr>
              <w:t>i</w:t>
            </w:r>
          </w:p>
        </w:tc>
        <w:tc>
          <w:tcPr>
            <w:tcW w:w="776" w:type="dxa"/>
          </w:tcPr>
          <w:p w14:paraId="660260B4" w14:textId="77777777" w:rsidR="001F04FD" w:rsidRDefault="001F04FD" w:rsidP="00AC4DEE">
            <w:pPr>
              <w:pStyle w:val="TableBody"/>
            </w:pPr>
            <w:r>
              <w:t>MWh</w:t>
            </w:r>
          </w:p>
        </w:tc>
        <w:tc>
          <w:tcPr>
            <w:tcW w:w="7038" w:type="dxa"/>
          </w:tcPr>
          <w:p w14:paraId="0444C3CB" w14:textId="77777777" w:rsidR="001F04FD" w:rsidRDefault="001F04FD" w:rsidP="00AC4DEE">
            <w:pPr>
              <w:pStyle w:val="TableBody"/>
            </w:pPr>
            <w:r>
              <w:rPr>
                <w:i/>
              </w:rPr>
              <w:t>Real-Time Metered Generation per QSE per Resource by Settlement Interval</w:t>
            </w:r>
            <w:r>
              <w:t xml:space="preserve">—The Real-Time energy from RMR Unit </w:t>
            </w:r>
            <w:r>
              <w:rPr>
                <w:i/>
              </w:rPr>
              <w:t>r</w:t>
            </w:r>
            <w:r>
              <w:t xml:space="preserve"> represented by QSE </w:t>
            </w:r>
            <w:r>
              <w:rPr>
                <w:i/>
              </w:rPr>
              <w:t>q</w:t>
            </w:r>
            <w:r>
              <w:t xml:space="preserve"> for the 15-minute Settlement Interval </w:t>
            </w:r>
            <w:r>
              <w:rPr>
                <w:i/>
              </w:rPr>
              <w:t>i</w:t>
            </w:r>
            <w:r>
              <w:t xml:space="preserve">.  Where for a Combined Cycle Train, the Resource </w:t>
            </w:r>
            <w:r w:rsidRPr="00B34C5D">
              <w:rPr>
                <w:i/>
              </w:rPr>
              <w:t>r</w:t>
            </w:r>
            <w:r>
              <w:rPr>
                <w:i/>
              </w:rPr>
              <w:t xml:space="preserve"> </w:t>
            </w:r>
            <w:r>
              <w:t>is the Combined Cycle Train.</w:t>
            </w:r>
          </w:p>
        </w:tc>
      </w:tr>
      <w:tr w:rsidR="001F04FD" w14:paraId="11F9D8E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7AE63F08" w14:textId="77777777" w:rsidR="001F04FD" w:rsidRDefault="001F04FD" w:rsidP="00AC4DEE">
            <w:pPr>
              <w:pStyle w:val="TableBody"/>
              <w:rPr>
                <w:lang w:val="de-DE"/>
              </w:rPr>
            </w:pPr>
            <w:r>
              <w:rPr>
                <w:lang w:val="de-DE"/>
              </w:rPr>
              <w:t xml:space="preserve">RMREAMT </w:t>
            </w:r>
            <w:r w:rsidRPr="00E15B17">
              <w:rPr>
                <w:i/>
                <w:vertAlign w:val="subscript"/>
                <w:lang w:val="de-DE"/>
              </w:rPr>
              <w:t>q, r, f, h</w:t>
            </w:r>
          </w:p>
        </w:tc>
        <w:tc>
          <w:tcPr>
            <w:tcW w:w="776" w:type="dxa"/>
            <w:tcBorders>
              <w:top w:val="single" w:sz="4" w:space="0" w:color="auto"/>
              <w:left w:val="single" w:sz="4" w:space="0" w:color="auto"/>
              <w:bottom w:val="single" w:sz="4" w:space="0" w:color="auto"/>
              <w:right w:val="single" w:sz="4" w:space="0" w:color="auto"/>
            </w:tcBorders>
          </w:tcPr>
          <w:p w14:paraId="6E0D1090" w14:textId="77777777" w:rsidR="001F04FD" w:rsidRDefault="001F04FD" w:rsidP="00AC4DEE">
            <w:pPr>
              <w:pStyle w:val="TableBody"/>
            </w:pPr>
            <w:r>
              <w:t>$</w:t>
            </w:r>
          </w:p>
        </w:tc>
        <w:tc>
          <w:tcPr>
            <w:tcW w:w="7038" w:type="dxa"/>
            <w:tcBorders>
              <w:top w:val="single" w:sz="4" w:space="0" w:color="auto"/>
              <w:left w:val="single" w:sz="4" w:space="0" w:color="auto"/>
              <w:bottom w:val="single" w:sz="4" w:space="0" w:color="auto"/>
              <w:right w:val="single" w:sz="4" w:space="0" w:color="auto"/>
            </w:tcBorders>
          </w:tcPr>
          <w:p w14:paraId="06414B7E" w14:textId="77777777" w:rsidR="001F04FD" w:rsidRDefault="001F04FD" w:rsidP="00AC4DEE">
            <w:pPr>
              <w:pStyle w:val="TableBody"/>
            </w:pPr>
            <w:r>
              <w:rPr>
                <w:i/>
              </w:rPr>
              <w:t>Reliability Must-Run Energy Amount per QSE per Resource by hour</w:t>
            </w:r>
            <w:r>
              <w:t xml:space="preserve">—The energy payment to QSE </w:t>
            </w:r>
            <w:r w:rsidRPr="009115FC">
              <w:rPr>
                <w:i/>
              </w:rPr>
              <w:t>q</w:t>
            </w:r>
            <w:r>
              <w:t xml:space="preserve"> for RMR Unit </w:t>
            </w:r>
            <w:r w:rsidRPr="009115FC">
              <w:rPr>
                <w:i/>
              </w:rPr>
              <w:t>r</w:t>
            </w:r>
            <w:r>
              <w:t xml:space="preserve">, for the hour </w:t>
            </w:r>
            <w:r w:rsidRPr="009115FC">
              <w:rPr>
                <w:i/>
              </w:rPr>
              <w:t>h</w:t>
            </w:r>
            <w:r>
              <w:rPr>
                <w:i/>
              </w:rPr>
              <w:t>,</w:t>
            </w:r>
            <w:r>
              <w:t xml:space="preserve"> from the former Settlement Statement </w:t>
            </w:r>
            <w:r w:rsidRPr="009115FC">
              <w:rPr>
                <w:i/>
              </w:rPr>
              <w:t>f</w:t>
            </w:r>
            <w:r>
              <w:t xml:space="preserve">.  Where for a Combined Cycle Train, the Resource </w:t>
            </w:r>
            <w:r w:rsidRPr="00B34C5D">
              <w:rPr>
                <w:i/>
              </w:rPr>
              <w:t>r</w:t>
            </w:r>
            <w:r>
              <w:rPr>
                <w:i/>
              </w:rPr>
              <w:t xml:space="preserve"> </w:t>
            </w:r>
            <w:r>
              <w:t>is the Combined Cycle Train.</w:t>
            </w:r>
          </w:p>
        </w:tc>
      </w:tr>
      <w:tr w:rsidR="001F04FD" w14:paraId="14A47FD4" w14:textId="77777777" w:rsidTr="00AC4DEE">
        <w:trPr>
          <w:cantSplit/>
        </w:trPr>
        <w:tc>
          <w:tcPr>
            <w:tcW w:w="1998" w:type="dxa"/>
          </w:tcPr>
          <w:p w14:paraId="3902A4E8" w14:textId="77777777" w:rsidR="001F04FD" w:rsidRPr="00696B95" w:rsidRDefault="001F04FD" w:rsidP="00AC4DEE">
            <w:pPr>
              <w:pStyle w:val="TableBody"/>
              <w:rPr>
                <w:i/>
              </w:rPr>
            </w:pPr>
            <w:r w:rsidRPr="00D661BC">
              <w:rPr>
                <w:i/>
              </w:rPr>
              <w:t>q</w:t>
            </w:r>
          </w:p>
        </w:tc>
        <w:tc>
          <w:tcPr>
            <w:tcW w:w="776" w:type="dxa"/>
          </w:tcPr>
          <w:p w14:paraId="357D1859" w14:textId="77777777" w:rsidR="001F04FD" w:rsidRDefault="001F04FD" w:rsidP="00AC4DEE">
            <w:pPr>
              <w:pStyle w:val="TableBody"/>
            </w:pPr>
            <w:r>
              <w:t>none</w:t>
            </w:r>
          </w:p>
        </w:tc>
        <w:tc>
          <w:tcPr>
            <w:tcW w:w="7038" w:type="dxa"/>
          </w:tcPr>
          <w:p w14:paraId="1B1BCD6D" w14:textId="77777777" w:rsidR="001F04FD" w:rsidRDefault="001F04FD" w:rsidP="00AC4DEE">
            <w:pPr>
              <w:pStyle w:val="TableBody"/>
            </w:pPr>
            <w:r>
              <w:t>A QSE.</w:t>
            </w:r>
          </w:p>
        </w:tc>
      </w:tr>
      <w:tr w:rsidR="001F04FD" w14:paraId="77FEE849" w14:textId="77777777" w:rsidTr="00AC4DEE">
        <w:trPr>
          <w:cantSplit/>
        </w:trPr>
        <w:tc>
          <w:tcPr>
            <w:tcW w:w="1998" w:type="dxa"/>
          </w:tcPr>
          <w:p w14:paraId="05C8A875" w14:textId="77777777" w:rsidR="001F04FD" w:rsidRPr="00696B95" w:rsidRDefault="001F04FD" w:rsidP="00AC4DEE">
            <w:pPr>
              <w:pStyle w:val="TableBody"/>
              <w:rPr>
                <w:i/>
              </w:rPr>
            </w:pPr>
            <w:r w:rsidRPr="00D661BC">
              <w:rPr>
                <w:i/>
              </w:rPr>
              <w:t>r</w:t>
            </w:r>
          </w:p>
        </w:tc>
        <w:tc>
          <w:tcPr>
            <w:tcW w:w="776" w:type="dxa"/>
          </w:tcPr>
          <w:p w14:paraId="7DF34C12" w14:textId="77777777" w:rsidR="001F04FD" w:rsidRDefault="001F04FD" w:rsidP="00AC4DEE">
            <w:pPr>
              <w:pStyle w:val="TableBody"/>
            </w:pPr>
            <w:r>
              <w:t>none</w:t>
            </w:r>
          </w:p>
        </w:tc>
        <w:tc>
          <w:tcPr>
            <w:tcW w:w="7038" w:type="dxa"/>
          </w:tcPr>
          <w:p w14:paraId="79BA37E3" w14:textId="77777777" w:rsidR="001F04FD" w:rsidRDefault="001F04FD" w:rsidP="00AC4DEE">
            <w:pPr>
              <w:pStyle w:val="TableBody"/>
            </w:pPr>
            <w:r>
              <w:t>An RMR Unit.</w:t>
            </w:r>
          </w:p>
        </w:tc>
      </w:tr>
      <w:tr w:rsidR="001F04FD" w14:paraId="60CD1545" w14:textId="77777777" w:rsidTr="00AC4DEE">
        <w:trPr>
          <w:cantSplit/>
        </w:trPr>
        <w:tc>
          <w:tcPr>
            <w:tcW w:w="1998" w:type="dxa"/>
          </w:tcPr>
          <w:p w14:paraId="09223D39" w14:textId="77777777" w:rsidR="001F04FD" w:rsidRPr="00696B95" w:rsidRDefault="001F04FD" w:rsidP="00AC4DEE">
            <w:pPr>
              <w:pStyle w:val="TableBody"/>
              <w:rPr>
                <w:i/>
              </w:rPr>
            </w:pPr>
            <w:r w:rsidRPr="00D661BC">
              <w:rPr>
                <w:i/>
              </w:rPr>
              <w:t>h</w:t>
            </w:r>
          </w:p>
        </w:tc>
        <w:tc>
          <w:tcPr>
            <w:tcW w:w="776" w:type="dxa"/>
          </w:tcPr>
          <w:p w14:paraId="01935B33" w14:textId="77777777" w:rsidR="001F04FD" w:rsidRDefault="001F04FD" w:rsidP="00AC4DEE">
            <w:pPr>
              <w:pStyle w:val="TableBody"/>
            </w:pPr>
            <w:r>
              <w:t>none</w:t>
            </w:r>
          </w:p>
        </w:tc>
        <w:tc>
          <w:tcPr>
            <w:tcW w:w="7038" w:type="dxa"/>
          </w:tcPr>
          <w:p w14:paraId="0D1E5C71" w14:textId="77777777" w:rsidR="001F04FD" w:rsidRDefault="001F04FD" w:rsidP="00AC4DEE">
            <w:pPr>
              <w:pStyle w:val="TableBody"/>
              <w:rPr>
                <w:i/>
              </w:rPr>
            </w:pPr>
            <w:r>
              <w:t>An hour in the month.</w:t>
            </w:r>
          </w:p>
        </w:tc>
      </w:tr>
      <w:tr w:rsidR="001F04FD" w14:paraId="3CA01561" w14:textId="77777777" w:rsidTr="00AC4DEE">
        <w:trPr>
          <w:cantSplit/>
        </w:trPr>
        <w:tc>
          <w:tcPr>
            <w:tcW w:w="1998" w:type="dxa"/>
          </w:tcPr>
          <w:p w14:paraId="36B5E294" w14:textId="77777777" w:rsidR="001F04FD" w:rsidRPr="00696B95" w:rsidRDefault="001F04FD" w:rsidP="00AC4DEE">
            <w:pPr>
              <w:pStyle w:val="TableBody"/>
              <w:rPr>
                <w:i/>
              </w:rPr>
            </w:pPr>
            <w:r w:rsidRPr="00D661BC">
              <w:rPr>
                <w:i/>
              </w:rPr>
              <w:t>i</w:t>
            </w:r>
          </w:p>
        </w:tc>
        <w:tc>
          <w:tcPr>
            <w:tcW w:w="776" w:type="dxa"/>
          </w:tcPr>
          <w:p w14:paraId="7AC21623" w14:textId="77777777" w:rsidR="001F04FD" w:rsidRDefault="001F04FD" w:rsidP="00AC4DEE">
            <w:pPr>
              <w:pStyle w:val="TableBody"/>
            </w:pPr>
            <w:r>
              <w:t>none</w:t>
            </w:r>
          </w:p>
        </w:tc>
        <w:tc>
          <w:tcPr>
            <w:tcW w:w="7038" w:type="dxa"/>
          </w:tcPr>
          <w:p w14:paraId="02D83CC5" w14:textId="77777777" w:rsidR="001F04FD" w:rsidRDefault="001F04FD" w:rsidP="00AC4DEE">
            <w:pPr>
              <w:pStyle w:val="TableBody"/>
              <w:rPr>
                <w:i/>
              </w:rPr>
            </w:pPr>
            <w:r>
              <w:t>A 15-minute Settlement Interval in the month.</w:t>
            </w:r>
          </w:p>
        </w:tc>
      </w:tr>
      <w:tr w:rsidR="001F04FD" w14:paraId="13483CA2"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460EC7A" w14:textId="77777777" w:rsidR="001F04FD" w:rsidRPr="00696B95" w:rsidRDefault="001F04FD" w:rsidP="00AC4DEE">
            <w:pPr>
              <w:pStyle w:val="TableBody"/>
              <w:rPr>
                <w:i/>
              </w:rPr>
            </w:pPr>
            <w:r w:rsidRPr="00D661BC">
              <w:rPr>
                <w:i/>
              </w:rPr>
              <w:t>f</w:t>
            </w:r>
          </w:p>
        </w:tc>
        <w:tc>
          <w:tcPr>
            <w:tcW w:w="776" w:type="dxa"/>
            <w:tcBorders>
              <w:top w:val="single" w:sz="4" w:space="0" w:color="auto"/>
              <w:left w:val="single" w:sz="4" w:space="0" w:color="auto"/>
              <w:bottom w:val="single" w:sz="4" w:space="0" w:color="auto"/>
              <w:right w:val="single" w:sz="4" w:space="0" w:color="auto"/>
            </w:tcBorders>
          </w:tcPr>
          <w:p w14:paraId="755CE4AD" w14:textId="77777777" w:rsidR="001F04FD" w:rsidRDefault="001F04FD" w:rsidP="00AC4DEE">
            <w:pPr>
              <w:pStyle w:val="TableBody"/>
            </w:pPr>
            <w:r>
              <w:t>none</w:t>
            </w:r>
          </w:p>
        </w:tc>
        <w:tc>
          <w:tcPr>
            <w:tcW w:w="7038" w:type="dxa"/>
            <w:tcBorders>
              <w:top w:val="single" w:sz="4" w:space="0" w:color="auto"/>
              <w:left w:val="single" w:sz="4" w:space="0" w:color="auto"/>
              <w:bottom w:val="single" w:sz="4" w:space="0" w:color="auto"/>
              <w:right w:val="single" w:sz="4" w:space="0" w:color="auto"/>
            </w:tcBorders>
          </w:tcPr>
          <w:p w14:paraId="07BDB152" w14:textId="77777777" w:rsidR="001F04FD" w:rsidRDefault="001F04FD" w:rsidP="00AC4DEE">
            <w:pPr>
              <w:pStyle w:val="TableBody"/>
            </w:pPr>
            <w:r>
              <w:t>Amount from former settlement run.</w:t>
            </w:r>
          </w:p>
        </w:tc>
      </w:tr>
    </w:tbl>
    <w:p w14:paraId="554ABBE9" w14:textId="77777777" w:rsidR="001F04FD" w:rsidRDefault="001F04FD" w:rsidP="001F04FD"/>
    <w:p w14:paraId="2F17C82A" w14:textId="77777777" w:rsidR="001F04FD" w:rsidRDefault="001F04FD" w:rsidP="001F04FD">
      <w:pPr>
        <w:pStyle w:val="BodyTextNumbered"/>
      </w:pPr>
      <w:bookmarkStart w:id="2325" w:name="_Toc87951800"/>
      <w:bookmarkStart w:id="2326" w:name="_Toc109009410"/>
      <w:r>
        <w:t>(3)</w:t>
      </w:r>
      <w:r>
        <w:tab/>
        <w:t>The total of the payments for energy to each QSE for all RMR Units represented by this QSE for a given hour is calculated as follows:</w:t>
      </w:r>
    </w:p>
    <w:p w14:paraId="3E66CA06" w14:textId="77777777" w:rsidR="001F04FD" w:rsidRDefault="001F04FD" w:rsidP="001F04FD">
      <w:pPr>
        <w:pStyle w:val="FormulaBold"/>
      </w:pPr>
      <w:r>
        <w:t xml:space="preserve">RMREAMTQSETOT </w:t>
      </w:r>
      <w:r>
        <w:rPr>
          <w:i/>
          <w:vertAlign w:val="subscript"/>
        </w:rPr>
        <w:t>q</w:t>
      </w:r>
      <w:r>
        <w:tab/>
        <w:t>=</w:t>
      </w:r>
      <w:r>
        <w:tab/>
      </w:r>
      <w:r w:rsidRPr="006F784F">
        <w:rPr>
          <w:position w:val="-18"/>
        </w:rPr>
        <w:object w:dxaOrig="225" w:dyaOrig="420" w14:anchorId="20E6CE1F">
          <v:shape id="_x0000_i1205" type="#_x0000_t75" style="width:12pt;height:24pt" o:ole="">
            <v:imagedata r:id="rId245" o:title=""/>
          </v:shape>
          <o:OLEObject Type="Embed" ProgID="Equation.3" ShapeID="_x0000_i1205" DrawAspect="Content" ObjectID="_1804653690" r:id="rId246"/>
        </w:object>
      </w:r>
      <w:r>
        <w:t xml:space="preserve">RMREAMT </w:t>
      </w:r>
      <w:r>
        <w:rPr>
          <w:i/>
          <w:vertAlign w:val="subscript"/>
        </w:rPr>
        <w:t>q, r</w:t>
      </w:r>
    </w:p>
    <w:p w14:paraId="08612F0F"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48C379FC" w14:textId="77777777" w:rsidTr="00AC4DEE">
        <w:tc>
          <w:tcPr>
            <w:tcW w:w="2165" w:type="dxa"/>
          </w:tcPr>
          <w:p w14:paraId="135714FD" w14:textId="77777777" w:rsidR="001F04FD" w:rsidRDefault="001F04FD" w:rsidP="00AC4DEE">
            <w:pPr>
              <w:pStyle w:val="TableHead"/>
            </w:pPr>
            <w:r>
              <w:t>Variable</w:t>
            </w:r>
          </w:p>
        </w:tc>
        <w:tc>
          <w:tcPr>
            <w:tcW w:w="832" w:type="dxa"/>
          </w:tcPr>
          <w:p w14:paraId="0ECCECC7" w14:textId="77777777" w:rsidR="001F04FD" w:rsidRDefault="001F04FD" w:rsidP="00AC4DEE">
            <w:pPr>
              <w:pStyle w:val="TableHead"/>
            </w:pPr>
            <w:r>
              <w:t>Unit</w:t>
            </w:r>
          </w:p>
        </w:tc>
        <w:tc>
          <w:tcPr>
            <w:tcW w:w="6074" w:type="dxa"/>
          </w:tcPr>
          <w:p w14:paraId="66A450FA" w14:textId="77777777" w:rsidR="001F04FD" w:rsidRDefault="001F04FD" w:rsidP="00AC4DEE">
            <w:pPr>
              <w:pStyle w:val="TableHead"/>
            </w:pPr>
            <w:r>
              <w:t>Definition</w:t>
            </w:r>
          </w:p>
        </w:tc>
      </w:tr>
      <w:tr w:rsidR="001F04FD" w14:paraId="25B69265" w14:textId="77777777" w:rsidTr="00AC4DEE">
        <w:tc>
          <w:tcPr>
            <w:tcW w:w="2165" w:type="dxa"/>
          </w:tcPr>
          <w:p w14:paraId="0E2B995C" w14:textId="77777777" w:rsidR="001F04FD" w:rsidRDefault="001F04FD" w:rsidP="00AC4DEE">
            <w:pPr>
              <w:pStyle w:val="TableBody"/>
            </w:pPr>
            <w:r>
              <w:t xml:space="preserve">RMREAMTQSETOT </w:t>
            </w:r>
            <w:r w:rsidRPr="00E15B17">
              <w:rPr>
                <w:i/>
                <w:vertAlign w:val="subscript"/>
              </w:rPr>
              <w:t>q</w:t>
            </w:r>
          </w:p>
        </w:tc>
        <w:tc>
          <w:tcPr>
            <w:tcW w:w="832" w:type="dxa"/>
          </w:tcPr>
          <w:p w14:paraId="39A7059C" w14:textId="77777777" w:rsidR="001F04FD" w:rsidRDefault="001F04FD" w:rsidP="00AC4DEE">
            <w:pPr>
              <w:pStyle w:val="TableBody"/>
            </w:pPr>
            <w:r>
              <w:t>$</w:t>
            </w:r>
          </w:p>
        </w:tc>
        <w:tc>
          <w:tcPr>
            <w:tcW w:w="6074" w:type="dxa"/>
          </w:tcPr>
          <w:p w14:paraId="578F0B6F" w14:textId="77777777" w:rsidR="001F04FD" w:rsidRDefault="001F04FD" w:rsidP="00AC4DEE">
            <w:pPr>
              <w:pStyle w:val="TableBody"/>
            </w:pPr>
            <w:r>
              <w:rPr>
                <w:i/>
              </w:rPr>
              <w:t>Reliability Must-Run Energy Amount QSE Total per QSE</w:t>
            </w:r>
            <w:r>
              <w:sym w:font="Symbol" w:char="F0BE"/>
            </w:r>
            <w:r>
              <w:t xml:space="preserve">The total of the energy payments to QSE </w:t>
            </w:r>
            <w:r>
              <w:rPr>
                <w:i/>
              </w:rPr>
              <w:t>q</w:t>
            </w:r>
            <w:r>
              <w:t xml:space="preserve"> for all RMR Units represented by this QSE for the hour.</w:t>
            </w:r>
          </w:p>
        </w:tc>
      </w:tr>
      <w:tr w:rsidR="001F04FD" w14:paraId="46E18E60" w14:textId="77777777" w:rsidTr="00AC4DEE">
        <w:tc>
          <w:tcPr>
            <w:tcW w:w="2165" w:type="dxa"/>
          </w:tcPr>
          <w:p w14:paraId="681AE3D6" w14:textId="77777777" w:rsidR="001F04FD" w:rsidRDefault="001F04FD" w:rsidP="00AC4DEE">
            <w:pPr>
              <w:pStyle w:val="TableBody"/>
            </w:pPr>
            <w:r>
              <w:t xml:space="preserve">RMREAMT </w:t>
            </w:r>
            <w:r w:rsidRPr="00E15B17">
              <w:rPr>
                <w:i/>
                <w:vertAlign w:val="subscript"/>
              </w:rPr>
              <w:t>q, r</w:t>
            </w:r>
          </w:p>
        </w:tc>
        <w:tc>
          <w:tcPr>
            <w:tcW w:w="832" w:type="dxa"/>
          </w:tcPr>
          <w:p w14:paraId="6AA37CF4" w14:textId="77777777" w:rsidR="001F04FD" w:rsidRDefault="001F04FD" w:rsidP="00AC4DEE">
            <w:pPr>
              <w:pStyle w:val="TableBody"/>
            </w:pPr>
            <w:r>
              <w:t>$</w:t>
            </w:r>
          </w:p>
        </w:tc>
        <w:tc>
          <w:tcPr>
            <w:tcW w:w="6074" w:type="dxa"/>
          </w:tcPr>
          <w:p w14:paraId="1CFD9248"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5D1EF2B" w14:textId="77777777" w:rsidTr="00AC4DEE">
        <w:tc>
          <w:tcPr>
            <w:tcW w:w="2165" w:type="dxa"/>
            <w:tcBorders>
              <w:top w:val="single" w:sz="4" w:space="0" w:color="auto"/>
              <w:left w:val="single" w:sz="4" w:space="0" w:color="auto"/>
              <w:bottom w:val="single" w:sz="4" w:space="0" w:color="auto"/>
              <w:right w:val="single" w:sz="4" w:space="0" w:color="auto"/>
            </w:tcBorders>
          </w:tcPr>
          <w:p w14:paraId="561FD7E2" w14:textId="77777777" w:rsidR="001F04FD" w:rsidRPr="00EF4122"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1EA9DF3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75E5A403" w14:textId="77777777" w:rsidR="001F04FD" w:rsidRDefault="001F04FD" w:rsidP="00AC4DEE">
            <w:pPr>
              <w:pStyle w:val="TableBody"/>
            </w:pPr>
            <w:r>
              <w:t>A QSE.</w:t>
            </w:r>
          </w:p>
        </w:tc>
      </w:tr>
      <w:tr w:rsidR="001F04FD" w14:paraId="2598DB51" w14:textId="77777777" w:rsidTr="00AC4DEE">
        <w:tc>
          <w:tcPr>
            <w:tcW w:w="2165" w:type="dxa"/>
            <w:tcBorders>
              <w:top w:val="single" w:sz="4" w:space="0" w:color="auto"/>
              <w:left w:val="single" w:sz="4" w:space="0" w:color="auto"/>
              <w:bottom w:val="single" w:sz="4" w:space="0" w:color="auto"/>
              <w:right w:val="single" w:sz="4" w:space="0" w:color="auto"/>
            </w:tcBorders>
          </w:tcPr>
          <w:p w14:paraId="61D103A2" w14:textId="77777777" w:rsidR="001F04FD" w:rsidRPr="00EF4122"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2A8554D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581480AA" w14:textId="77777777" w:rsidR="001F04FD" w:rsidRDefault="001F04FD" w:rsidP="00AC4DEE">
            <w:pPr>
              <w:pStyle w:val="TableBody"/>
            </w:pPr>
            <w:r>
              <w:t>An RMR Unit.</w:t>
            </w:r>
          </w:p>
        </w:tc>
      </w:tr>
    </w:tbl>
    <w:p w14:paraId="742278EE" w14:textId="77777777" w:rsidR="001F04FD" w:rsidRDefault="001F04FD" w:rsidP="001F04FD">
      <w:pPr>
        <w:pStyle w:val="H4"/>
        <w:spacing w:before="480"/>
        <w:ind w:left="1267" w:hanging="1267"/>
      </w:pPr>
      <w:bookmarkStart w:id="2327" w:name="_Toc397505029"/>
      <w:bookmarkStart w:id="2328" w:name="_Toc402357161"/>
      <w:bookmarkStart w:id="2329" w:name="_Toc422486541"/>
      <w:bookmarkStart w:id="2330" w:name="_Toc433093394"/>
      <w:bookmarkStart w:id="2331" w:name="_Toc433093552"/>
      <w:bookmarkStart w:id="2332" w:name="_Toc440874782"/>
      <w:bookmarkStart w:id="2333" w:name="_Toc448142339"/>
      <w:bookmarkStart w:id="2334" w:name="_Toc448142496"/>
      <w:bookmarkStart w:id="2335" w:name="_Toc458770337"/>
      <w:bookmarkStart w:id="2336" w:name="_Toc459294305"/>
      <w:bookmarkStart w:id="2337" w:name="_Toc463262798"/>
      <w:bookmarkStart w:id="2338" w:name="_Toc468286871"/>
      <w:bookmarkStart w:id="2339" w:name="_Toc481502911"/>
      <w:bookmarkStart w:id="2340" w:name="_Toc496080079"/>
      <w:bookmarkStart w:id="2341" w:name="_Toc189044448"/>
      <w:r>
        <w:lastRenderedPageBreak/>
        <w:t>6.6.6.3</w:t>
      </w:r>
      <w:r>
        <w:tab/>
        <w:t>RMR Adjustment Charge</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69863FBD" w14:textId="77777777" w:rsidR="001F04FD" w:rsidRDefault="001F04FD" w:rsidP="001F04FD">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5E482A79" w14:textId="77777777" w:rsidR="001F04FD" w:rsidRPr="000149E5" w:rsidRDefault="001F04FD" w:rsidP="001F04FD">
      <w:pPr>
        <w:pStyle w:val="BodyTextNumbered"/>
        <w:rPr>
          <w:iCs/>
        </w:rPr>
      </w:pPr>
      <w:r w:rsidRPr="000149E5">
        <w:rPr>
          <w:iCs/>
        </w:rPr>
        <w:t>(2)</w:t>
      </w:r>
      <w:r w:rsidRPr="000149E5">
        <w:rPr>
          <w:iCs/>
        </w:rPr>
        <w:tab/>
        <w:t>The charge for each QSE representing an RMR Unit for a given Operating Hour is calculated as follows:</w:t>
      </w:r>
    </w:p>
    <w:p w14:paraId="1192449E" w14:textId="77777777" w:rsidR="001F04FD" w:rsidRDefault="001F04FD" w:rsidP="001F04FD">
      <w:pPr>
        <w:pStyle w:val="FormulaBold"/>
        <w:tabs>
          <w:tab w:val="clear" w:pos="2250"/>
          <w:tab w:val="clear" w:pos="3150"/>
          <w:tab w:val="clear" w:pos="3960"/>
          <w:tab w:val="left" w:pos="2790"/>
          <w:tab w:val="left" w:pos="3240"/>
        </w:tabs>
        <w:ind w:left="3240" w:hanging="2520"/>
      </w:pPr>
      <w:r>
        <w:t xml:space="preserve">RMRAAMT </w:t>
      </w:r>
      <w:r>
        <w:rPr>
          <w:i/>
          <w:vertAlign w:val="subscript"/>
        </w:rPr>
        <w:t>q</w:t>
      </w:r>
      <w:r>
        <w:tab/>
        <w:t>=</w:t>
      </w:r>
      <w:r>
        <w:tab/>
        <w:t>(-1) * [</w:t>
      </w:r>
      <w:r w:rsidRPr="006F784F">
        <w:rPr>
          <w:position w:val="-22"/>
        </w:rPr>
        <w:object w:dxaOrig="225" w:dyaOrig="465" w14:anchorId="517E36D4">
          <v:shape id="_x0000_i1206" type="#_x0000_t75" style="width:12pt;height:24pt" o:ole="">
            <v:imagedata r:id="rId247" o:title=""/>
          </v:shape>
          <o:OLEObject Type="Embed" ProgID="Equation.3" ShapeID="_x0000_i1206" DrawAspect="Content" ObjectID="_1804653691" r:id="rId248"/>
        </w:object>
      </w:r>
      <w:r w:rsidRPr="006F784F">
        <w:rPr>
          <w:position w:val="-18"/>
        </w:rPr>
        <w:object w:dxaOrig="225" w:dyaOrig="420" w14:anchorId="720A4C5D">
          <v:shape id="_x0000_i1207" type="#_x0000_t75" style="width:12pt;height:24pt" o:ole="">
            <v:imagedata r:id="rId249" o:title=""/>
          </v:shape>
          <o:OLEObject Type="Embed" ProgID="Equation.3" ShapeID="_x0000_i1207" DrawAspect="Content" ObjectID="_1804653692" r:id="rId250"/>
        </w:object>
      </w:r>
      <w:r>
        <w:t xml:space="preserve">((-1) * </w:t>
      </w:r>
      <w:r w:rsidRPr="006F784F">
        <w:rPr>
          <w:position w:val="-20"/>
        </w:rPr>
        <w:object w:dxaOrig="255" w:dyaOrig="585" w14:anchorId="10207477">
          <v:shape id="_x0000_i1208" type="#_x0000_t75" style="width:12pt;height:30pt" o:ole="">
            <v:imagedata r:id="rId239" o:title=""/>
          </v:shape>
          <o:OLEObject Type="Embed" ProgID="Equation.3" ShapeID="_x0000_i1208" DrawAspect="Content" ObjectID="_1804653693" r:id="rId251"/>
        </w:object>
      </w:r>
      <w:r>
        <w:t xml:space="preserve">RESREV </w:t>
      </w:r>
      <w:r w:rsidRPr="009E6788">
        <w:rPr>
          <w:i/>
          <w:vertAlign w:val="subscript"/>
        </w:rPr>
        <w:t>q, r, gsc, p</w:t>
      </w:r>
      <w:r>
        <w:t xml:space="preserve"> + </w:t>
      </w:r>
      <w:r w:rsidRPr="006F784F">
        <w:rPr>
          <w:position w:val="-20"/>
        </w:rPr>
        <w:object w:dxaOrig="255" w:dyaOrig="585" w14:anchorId="4820A344">
          <v:shape id="_x0000_i1209" type="#_x0000_t75" style="width:12pt;height:30pt" o:ole="">
            <v:imagedata r:id="rId239" o:title=""/>
          </v:shape>
          <o:OLEObject Type="Embed" ProgID="Equation.3" ShapeID="_x0000_i1209" DrawAspect="Content" ObjectID="_1804653694" r:id="rId252"/>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27243DB9">
          <v:shape id="_x0000_i1210" type="#_x0000_t75" style="width:12pt;height:30pt" o:ole="">
            <v:imagedata r:id="rId239" o:title=""/>
          </v:shape>
          <o:OLEObject Type="Embed" ProgID="Equation.3" ShapeID="_x0000_i1210" DrawAspect="Content" ObjectID="_1804653695" r:id="rId253"/>
        </w:object>
      </w:r>
      <w:r>
        <w:t xml:space="preserve">VSSEAMT </w:t>
      </w:r>
      <w:r>
        <w:rPr>
          <w:i/>
          <w:vertAlign w:val="subscript"/>
        </w:rPr>
        <w:t>q, r, p, i</w:t>
      </w:r>
      <w:r>
        <w:t xml:space="preserve"> + </w:t>
      </w:r>
      <w:r w:rsidRPr="006F784F">
        <w:rPr>
          <w:position w:val="-20"/>
        </w:rPr>
        <w:object w:dxaOrig="255" w:dyaOrig="585" w14:anchorId="3460A9C4">
          <v:shape id="_x0000_i1211" type="#_x0000_t75" style="width:12pt;height:30pt" o:ole="">
            <v:imagedata r:id="rId239" o:title=""/>
          </v:shape>
          <o:OLEObject Type="Embed" ProgID="Equation.3" ShapeID="_x0000_i1211" DrawAspect="Content" ObjectID="_1804653696" r:id="rId254"/>
        </w:object>
      </w:r>
      <w:r>
        <w:t xml:space="preserve">VSSVARAMT </w:t>
      </w:r>
      <w:r>
        <w:rPr>
          <w:i/>
          <w:vertAlign w:val="subscript"/>
        </w:rPr>
        <w:t>q, r, i</w:t>
      </w:r>
      <w:r>
        <w:rPr>
          <w:rFonts w:ascii="Times New Roman Bold" w:hAnsi="Times New Roman Bold"/>
        </w:rPr>
        <w:t>)]</w:t>
      </w:r>
    </w:p>
    <w:p w14:paraId="335F2103" w14:textId="77777777" w:rsidR="001F04FD" w:rsidRDefault="001F04FD" w:rsidP="001F04FD">
      <w:r>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840"/>
        <w:gridCol w:w="6399"/>
      </w:tblGrid>
      <w:tr w:rsidR="001F04FD" w14:paraId="1022C35A" w14:textId="77777777" w:rsidTr="00AC4DEE">
        <w:trPr>
          <w:cantSplit/>
          <w:tblHeader/>
        </w:trPr>
        <w:tc>
          <w:tcPr>
            <w:tcW w:w="1207" w:type="pct"/>
          </w:tcPr>
          <w:p w14:paraId="63825218" w14:textId="77777777" w:rsidR="001F04FD" w:rsidRDefault="001F04FD" w:rsidP="00AC4DEE">
            <w:pPr>
              <w:pStyle w:val="TableHead"/>
            </w:pPr>
            <w:r>
              <w:t>Variable</w:t>
            </w:r>
          </w:p>
        </w:tc>
        <w:tc>
          <w:tcPr>
            <w:tcW w:w="440" w:type="pct"/>
          </w:tcPr>
          <w:p w14:paraId="1994530A" w14:textId="77777777" w:rsidR="001F04FD" w:rsidRDefault="001F04FD" w:rsidP="00AC4DEE">
            <w:pPr>
              <w:pStyle w:val="TableHead"/>
            </w:pPr>
            <w:r>
              <w:t>Unit</w:t>
            </w:r>
          </w:p>
        </w:tc>
        <w:tc>
          <w:tcPr>
            <w:tcW w:w="3353" w:type="pct"/>
          </w:tcPr>
          <w:p w14:paraId="6A4264D2" w14:textId="77777777" w:rsidR="001F04FD" w:rsidRDefault="001F04FD" w:rsidP="00AC4DEE">
            <w:pPr>
              <w:pStyle w:val="TableHead"/>
            </w:pPr>
            <w:r>
              <w:t>Definition</w:t>
            </w:r>
          </w:p>
        </w:tc>
      </w:tr>
      <w:tr w:rsidR="001F04FD" w14:paraId="431D508C" w14:textId="77777777" w:rsidTr="00AC4DEE">
        <w:trPr>
          <w:cantSplit/>
        </w:trPr>
        <w:tc>
          <w:tcPr>
            <w:tcW w:w="1207" w:type="pct"/>
          </w:tcPr>
          <w:p w14:paraId="20AD1F3A" w14:textId="77777777" w:rsidR="001F04FD" w:rsidRDefault="001F04FD" w:rsidP="00AC4DEE">
            <w:pPr>
              <w:pStyle w:val="TableBody"/>
            </w:pPr>
            <w:r>
              <w:t xml:space="preserve">RMRAAMT </w:t>
            </w:r>
            <w:r w:rsidRPr="00E15B17">
              <w:rPr>
                <w:i/>
                <w:vertAlign w:val="subscript"/>
              </w:rPr>
              <w:t>q</w:t>
            </w:r>
          </w:p>
        </w:tc>
        <w:tc>
          <w:tcPr>
            <w:tcW w:w="440" w:type="pct"/>
          </w:tcPr>
          <w:p w14:paraId="2C93AB25" w14:textId="77777777" w:rsidR="001F04FD" w:rsidRDefault="001F04FD" w:rsidP="00AC4DEE">
            <w:pPr>
              <w:pStyle w:val="TableBody"/>
            </w:pPr>
            <w:r>
              <w:t>$</w:t>
            </w:r>
          </w:p>
        </w:tc>
        <w:tc>
          <w:tcPr>
            <w:tcW w:w="3353" w:type="pct"/>
          </w:tcPr>
          <w:p w14:paraId="38197153" w14:textId="77777777" w:rsidR="001F04FD" w:rsidRDefault="001F04FD" w:rsidP="00AC4DEE">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1F04FD" w14:paraId="2E002C56" w14:textId="77777777" w:rsidTr="00AC4DEE">
        <w:trPr>
          <w:cantSplit/>
        </w:trPr>
        <w:tc>
          <w:tcPr>
            <w:tcW w:w="1207" w:type="pct"/>
          </w:tcPr>
          <w:p w14:paraId="56A7EB11" w14:textId="77777777" w:rsidR="001F04FD" w:rsidRDefault="001F04FD" w:rsidP="00AC4DEE">
            <w:pPr>
              <w:pStyle w:val="TableBody"/>
              <w:rPr>
                <w:lang w:val="pt-BR"/>
              </w:rPr>
            </w:pPr>
            <w:r>
              <w:rPr>
                <w:lang w:val="pt-BR"/>
              </w:rPr>
              <w:t xml:space="preserve">EMREAMT </w:t>
            </w:r>
            <w:r w:rsidRPr="00E15B17">
              <w:rPr>
                <w:i/>
                <w:vertAlign w:val="subscript"/>
                <w:lang w:val="pt-BR"/>
              </w:rPr>
              <w:t>q, r, p, i</w:t>
            </w:r>
          </w:p>
        </w:tc>
        <w:tc>
          <w:tcPr>
            <w:tcW w:w="440" w:type="pct"/>
          </w:tcPr>
          <w:p w14:paraId="02F1CDB6" w14:textId="77777777" w:rsidR="001F04FD" w:rsidRDefault="001F04FD" w:rsidP="00AC4DEE">
            <w:pPr>
              <w:pStyle w:val="TableBody"/>
            </w:pPr>
            <w:r>
              <w:t>$</w:t>
            </w:r>
          </w:p>
        </w:tc>
        <w:tc>
          <w:tcPr>
            <w:tcW w:w="3353" w:type="pct"/>
          </w:tcPr>
          <w:p w14:paraId="1CCCAB95" w14:textId="77777777" w:rsidR="00537026" w:rsidRDefault="001F04FD" w:rsidP="00AC4DEE">
            <w:pPr>
              <w:pStyle w:val="TableBody"/>
              <w:rPr>
                <w:i/>
              </w:rPr>
            </w:pPr>
            <w:r>
              <w:rPr>
                <w:i/>
              </w:rPr>
              <w:t>Emergency Energy Amount per QSE per Settlement Point per unit per interval</w:t>
            </w:r>
            <w:r>
              <w:t xml:space="preserve">—The payment to QSE </w:t>
            </w:r>
            <w:r w:rsidRPr="00D661BC">
              <w:rPr>
                <w:i/>
              </w:rPr>
              <w:t>q</w:t>
            </w:r>
            <w:r>
              <w:t xml:space="preserve"> for the additional energy produced by RMR Unit </w:t>
            </w:r>
            <w:r w:rsidRPr="00D661BC">
              <w:rPr>
                <w:i/>
              </w:rPr>
              <w:t>r</w:t>
            </w:r>
            <w:r>
              <w:t xml:space="preserve"> at Resource Node </w:t>
            </w:r>
            <w:r w:rsidRPr="00D661BC">
              <w:rPr>
                <w:i/>
              </w:rPr>
              <w:t>p</w:t>
            </w:r>
            <w:r>
              <w:t xml:space="preserve"> in Real-Time during the Emergency Condition, for the 15-minute Settlement Interval </w:t>
            </w:r>
            <w:r>
              <w:rPr>
                <w:i/>
              </w:rPr>
              <w:t>i</w:t>
            </w:r>
            <w:r>
              <w:t>.  Payment for emergency energy is made to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173"/>
            </w:tblGrid>
            <w:tr w:rsidR="00537026" w14:paraId="40895BDB" w14:textId="77777777" w:rsidTr="00BE571E">
              <w:trPr>
                <w:trHeight w:val="206"/>
              </w:trPr>
              <w:tc>
                <w:tcPr>
                  <w:tcW w:w="9350" w:type="dxa"/>
                  <w:shd w:val="pct12" w:color="auto" w:fill="auto"/>
                </w:tcPr>
                <w:p w14:paraId="72DF2926" w14:textId="5CA30C2A" w:rsidR="00537026" w:rsidRDefault="00537026" w:rsidP="00537026">
                  <w:pPr>
                    <w:pStyle w:val="Instructions"/>
                    <w:spacing w:before="120"/>
                  </w:pPr>
                  <w:r>
                    <w:t>[NPRR1010</w:t>
                  </w:r>
                  <w:r w:rsidR="001754D0">
                    <w:t xml:space="preserve"> and NPRR1014</w:t>
                  </w:r>
                  <w:r>
                    <w:t xml:space="preserve">:  Replace </w:t>
                  </w:r>
                  <w:r w:rsidR="001754D0">
                    <w:t xml:space="preserve">applicable portions of the </w:t>
                  </w:r>
                  <w:r>
                    <w:t>definition above with the following upon system implementation of the Real-Time Co-Optimization (RTC) project</w:t>
                  </w:r>
                  <w:r w:rsidR="001754D0">
                    <w:t xml:space="preserve"> for NPRR1010; or upon system implementation for NPRR1014</w:t>
                  </w:r>
                  <w:r>
                    <w:t>:]</w:t>
                  </w:r>
                </w:p>
                <w:p w14:paraId="763A9595" w14:textId="36E189AB" w:rsidR="00537026" w:rsidRPr="00537026" w:rsidRDefault="001754D0" w:rsidP="00537026">
                  <w:pPr>
                    <w:pStyle w:val="TableBody"/>
                  </w:pPr>
                  <w:r w:rsidRPr="00A552C3">
                    <w:rPr>
                      <w:i/>
                      <w:iCs w:val="0"/>
                    </w:rPr>
                    <w:t>Emergency Energy Amount per QSE per Settlement Point per unit per interval</w:t>
                  </w:r>
                  <w:r w:rsidRPr="00A552C3">
                    <w:rPr>
                      <w:iCs w:val="0"/>
                    </w:rPr>
                    <w:t xml:space="preserve">—The payment to QSE </w:t>
                  </w:r>
                  <w:r w:rsidRPr="00A552C3">
                    <w:rPr>
                      <w:i/>
                      <w:iCs w:val="0"/>
                    </w:rPr>
                    <w:t>q</w:t>
                  </w:r>
                  <w:r w:rsidRPr="00A552C3">
                    <w:rPr>
                      <w:iCs w:val="0"/>
                    </w:rPr>
                    <w:t xml:space="preserve"> as additional compensation for the additional energy or Ancillary Services produced or consumed by Resource </w:t>
                  </w:r>
                  <w:r w:rsidRPr="00A552C3">
                    <w:rPr>
                      <w:i/>
                      <w:iCs w:val="0"/>
                    </w:rPr>
                    <w:t>r</w:t>
                  </w:r>
                  <w:r w:rsidRPr="00A552C3">
                    <w:rPr>
                      <w:iCs w:val="0"/>
                    </w:rPr>
                    <w:t xml:space="preserve"> at Resource Node </w:t>
                  </w:r>
                  <w:r w:rsidRPr="00A552C3">
                    <w:rPr>
                      <w:i/>
                      <w:iCs w:val="0"/>
                    </w:rPr>
                    <w:t>p</w:t>
                  </w:r>
                  <w:r w:rsidRPr="00A552C3">
                    <w:rPr>
                      <w:iCs w:val="0"/>
                    </w:rPr>
                    <w:t xml:space="preserve"> in Real-Time during the Emergency Condition, for the 15-minute Settlement Interval </w:t>
                  </w:r>
                  <w:r w:rsidRPr="00A552C3">
                    <w:rPr>
                      <w:i/>
                      <w:iCs w:val="0"/>
                    </w:rPr>
                    <w:t>i</w:t>
                  </w:r>
                  <w:r w:rsidRPr="00A552C3">
                    <w:rPr>
                      <w:iCs w:val="0"/>
                    </w:rPr>
                    <w:t>.  Payment for emergency energy is made to the Combined Cycle Train.</w:t>
                  </w:r>
                </w:p>
              </w:tc>
            </w:tr>
          </w:tbl>
          <w:p w14:paraId="116D6D20" w14:textId="072E7860" w:rsidR="001F04FD" w:rsidRDefault="001F04FD" w:rsidP="00AC4DEE">
            <w:pPr>
              <w:pStyle w:val="TableBody"/>
              <w:rPr>
                <w:i/>
              </w:rPr>
            </w:pPr>
          </w:p>
        </w:tc>
      </w:tr>
      <w:tr w:rsidR="001F04FD" w14:paraId="2A81C5CE" w14:textId="77777777" w:rsidTr="00AC4DEE">
        <w:trPr>
          <w:cantSplit/>
        </w:trPr>
        <w:tc>
          <w:tcPr>
            <w:tcW w:w="1207" w:type="pct"/>
          </w:tcPr>
          <w:p w14:paraId="57B1A333" w14:textId="77777777" w:rsidR="001F04FD" w:rsidRDefault="001F04FD" w:rsidP="00AC4DEE">
            <w:pPr>
              <w:pStyle w:val="TableBody"/>
            </w:pPr>
            <w:r>
              <w:t xml:space="preserve">RESREV </w:t>
            </w:r>
            <w:r w:rsidRPr="00E15B17">
              <w:rPr>
                <w:i/>
                <w:vertAlign w:val="subscript"/>
              </w:rPr>
              <w:t>q, r, gsc, p</w:t>
            </w:r>
          </w:p>
        </w:tc>
        <w:tc>
          <w:tcPr>
            <w:tcW w:w="440" w:type="pct"/>
          </w:tcPr>
          <w:p w14:paraId="54CED210" w14:textId="77777777" w:rsidR="001F04FD" w:rsidRDefault="001F04FD" w:rsidP="00AC4DEE">
            <w:pPr>
              <w:pStyle w:val="TableBody"/>
            </w:pPr>
            <w:r>
              <w:t>$</w:t>
            </w:r>
          </w:p>
        </w:tc>
        <w:tc>
          <w:tcPr>
            <w:tcW w:w="3353" w:type="pct"/>
          </w:tcPr>
          <w:p w14:paraId="1D5D974A" w14:textId="77777777" w:rsidR="001F04FD" w:rsidRDefault="001F04FD" w:rsidP="00AC4DEE">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D409995" w14:textId="77777777" w:rsidTr="00AC4DEE">
        <w:trPr>
          <w:cantSplit/>
        </w:trPr>
        <w:tc>
          <w:tcPr>
            <w:tcW w:w="1207" w:type="pct"/>
          </w:tcPr>
          <w:p w14:paraId="4F8E3418" w14:textId="77777777" w:rsidR="001F04FD" w:rsidRDefault="001F04FD" w:rsidP="00AC4DEE">
            <w:pPr>
              <w:pStyle w:val="TableBody"/>
            </w:pPr>
            <w:r>
              <w:lastRenderedPageBreak/>
              <w:t xml:space="preserve">RUCMWAMT </w:t>
            </w:r>
            <w:r w:rsidRPr="00E15B17">
              <w:rPr>
                <w:i/>
                <w:vertAlign w:val="subscript"/>
              </w:rPr>
              <w:t>q, r, p</w:t>
            </w:r>
          </w:p>
        </w:tc>
        <w:tc>
          <w:tcPr>
            <w:tcW w:w="440" w:type="pct"/>
          </w:tcPr>
          <w:p w14:paraId="1D7168C5" w14:textId="77777777" w:rsidR="001F04FD" w:rsidRDefault="001F04FD" w:rsidP="00AC4DEE">
            <w:pPr>
              <w:pStyle w:val="TableBody"/>
            </w:pPr>
            <w:r>
              <w:t>$</w:t>
            </w:r>
          </w:p>
        </w:tc>
        <w:tc>
          <w:tcPr>
            <w:tcW w:w="3353" w:type="pct"/>
          </w:tcPr>
          <w:p w14:paraId="22CCFE32" w14:textId="77777777" w:rsidR="001F04FD" w:rsidRDefault="001F04FD" w:rsidP="00AC4DEE">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1F04FD" w14:paraId="633611BE" w14:textId="77777777" w:rsidTr="00AC4DEE">
        <w:trPr>
          <w:cantSplit/>
        </w:trPr>
        <w:tc>
          <w:tcPr>
            <w:tcW w:w="1207" w:type="pct"/>
          </w:tcPr>
          <w:p w14:paraId="2250C5AB" w14:textId="77777777" w:rsidR="001F04FD" w:rsidRDefault="001F04FD" w:rsidP="00AC4DEE">
            <w:pPr>
              <w:pStyle w:val="TableBody"/>
            </w:pPr>
            <w:r>
              <w:t xml:space="preserve">RUCCBAMT </w:t>
            </w:r>
            <w:r w:rsidRPr="00E15B17">
              <w:rPr>
                <w:i/>
                <w:vertAlign w:val="subscript"/>
              </w:rPr>
              <w:t>q, r</w:t>
            </w:r>
          </w:p>
        </w:tc>
        <w:tc>
          <w:tcPr>
            <w:tcW w:w="440" w:type="pct"/>
          </w:tcPr>
          <w:p w14:paraId="0FBBF11D" w14:textId="77777777" w:rsidR="001F04FD" w:rsidRDefault="001F04FD" w:rsidP="00AC4DEE">
            <w:pPr>
              <w:pStyle w:val="TableBody"/>
            </w:pPr>
            <w:r>
              <w:t>$</w:t>
            </w:r>
          </w:p>
        </w:tc>
        <w:tc>
          <w:tcPr>
            <w:tcW w:w="3353" w:type="pct"/>
          </w:tcPr>
          <w:p w14:paraId="381D9DA8" w14:textId="77777777" w:rsidR="001F04FD" w:rsidRDefault="001F04FD" w:rsidP="00AC4DEE">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  When one or more Combined Cycle Generation Resources are committed by RUC, a charge is made to the Combined Cycle Train for all RUC-committed Combined Cycle Generation Resources.</w:t>
            </w:r>
          </w:p>
        </w:tc>
      </w:tr>
      <w:tr w:rsidR="001F04FD" w14:paraId="58EF04FB" w14:textId="77777777" w:rsidTr="00AC4DEE">
        <w:trPr>
          <w:cantSplit/>
          <w:trHeight w:val="1538"/>
        </w:trPr>
        <w:tc>
          <w:tcPr>
            <w:tcW w:w="1207" w:type="pct"/>
          </w:tcPr>
          <w:p w14:paraId="2C538C74" w14:textId="77777777" w:rsidR="001F04FD" w:rsidRDefault="001F04FD" w:rsidP="00AC4DEE">
            <w:pPr>
              <w:pStyle w:val="TableBody"/>
            </w:pPr>
            <w:r>
              <w:t xml:space="preserve">RUCDCAMT </w:t>
            </w:r>
            <w:r w:rsidRPr="00E15B17">
              <w:rPr>
                <w:i/>
                <w:vertAlign w:val="subscript"/>
              </w:rPr>
              <w:t>q, r, p</w:t>
            </w:r>
          </w:p>
        </w:tc>
        <w:tc>
          <w:tcPr>
            <w:tcW w:w="440" w:type="pct"/>
          </w:tcPr>
          <w:p w14:paraId="1C3FFD3C" w14:textId="77777777" w:rsidR="001F04FD" w:rsidRDefault="001F04FD" w:rsidP="00AC4DEE">
            <w:pPr>
              <w:pStyle w:val="TableBody"/>
            </w:pPr>
            <w:r>
              <w:t>$</w:t>
            </w:r>
          </w:p>
        </w:tc>
        <w:tc>
          <w:tcPr>
            <w:tcW w:w="3353" w:type="pct"/>
          </w:tcPr>
          <w:p w14:paraId="5DE29806" w14:textId="77777777" w:rsidR="001F04FD" w:rsidRDefault="001F04FD" w:rsidP="00AC4DEE">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1F04FD" w14:paraId="5708589D" w14:textId="77777777" w:rsidTr="00AC4DEE">
        <w:trPr>
          <w:cantSplit/>
        </w:trPr>
        <w:tc>
          <w:tcPr>
            <w:tcW w:w="1207" w:type="pct"/>
          </w:tcPr>
          <w:p w14:paraId="649EF31D" w14:textId="77777777" w:rsidR="001F04FD" w:rsidRDefault="001F04FD" w:rsidP="00AC4DEE">
            <w:pPr>
              <w:pStyle w:val="TableBody"/>
              <w:rPr>
                <w:lang w:val="pt-BR"/>
              </w:rPr>
            </w:pPr>
            <w:r>
              <w:rPr>
                <w:lang w:val="pt-BR"/>
              </w:rPr>
              <w:t xml:space="preserve">VSSEAMT </w:t>
            </w:r>
            <w:r w:rsidRPr="00E15B17">
              <w:rPr>
                <w:i/>
                <w:vertAlign w:val="subscript"/>
                <w:lang w:val="pt-BR"/>
              </w:rPr>
              <w:t>q, r, p, i</w:t>
            </w:r>
          </w:p>
        </w:tc>
        <w:tc>
          <w:tcPr>
            <w:tcW w:w="440" w:type="pct"/>
          </w:tcPr>
          <w:p w14:paraId="40E188E2" w14:textId="77777777" w:rsidR="001F04FD" w:rsidRDefault="001F04FD" w:rsidP="00AC4DEE">
            <w:pPr>
              <w:pStyle w:val="TableBody"/>
            </w:pPr>
            <w:r>
              <w:t>$</w:t>
            </w:r>
          </w:p>
        </w:tc>
        <w:tc>
          <w:tcPr>
            <w:tcW w:w="3353" w:type="pct"/>
          </w:tcPr>
          <w:p w14:paraId="274D2EC7" w14:textId="77777777" w:rsidR="001F04FD" w:rsidRDefault="001F04FD" w:rsidP="00AC4DEE">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Voltage Support Service (VSS), for the 15-minute Settlement Interval </w:t>
            </w:r>
            <w:r>
              <w:rPr>
                <w:i/>
              </w:rPr>
              <w:t>i</w:t>
            </w:r>
            <w:r>
              <w:t>.  Payment for VSS is made to the Combined Cycle Train.</w:t>
            </w:r>
          </w:p>
        </w:tc>
      </w:tr>
      <w:tr w:rsidR="001F04FD" w14:paraId="49230256" w14:textId="77777777" w:rsidTr="00AC4DEE">
        <w:trPr>
          <w:cantSplit/>
        </w:trPr>
        <w:tc>
          <w:tcPr>
            <w:tcW w:w="1207" w:type="pct"/>
          </w:tcPr>
          <w:p w14:paraId="763C7472" w14:textId="77777777" w:rsidR="001F04FD" w:rsidRDefault="001F04FD" w:rsidP="00AC4DEE">
            <w:pPr>
              <w:pStyle w:val="TableBody"/>
            </w:pPr>
            <w:r>
              <w:t xml:space="preserve">VSSVARAMT </w:t>
            </w:r>
            <w:r w:rsidRPr="00E15B17">
              <w:rPr>
                <w:i/>
                <w:vertAlign w:val="subscript"/>
              </w:rPr>
              <w:t>q, r, i</w:t>
            </w:r>
          </w:p>
        </w:tc>
        <w:tc>
          <w:tcPr>
            <w:tcW w:w="440" w:type="pct"/>
          </w:tcPr>
          <w:p w14:paraId="084C2B75" w14:textId="77777777" w:rsidR="001F04FD" w:rsidRDefault="001F04FD" w:rsidP="00AC4DEE">
            <w:pPr>
              <w:pStyle w:val="TableBody"/>
            </w:pPr>
            <w:r>
              <w:t>$</w:t>
            </w:r>
          </w:p>
        </w:tc>
        <w:tc>
          <w:tcPr>
            <w:tcW w:w="3353" w:type="pct"/>
          </w:tcPr>
          <w:p w14:paraId="6D2BECA9" w14:textId="77777777" w:rsidR="001F04FD" w:rsidRDefault="001F04FD" w:rsidP="00AC4DEE">
            <w:pPr>
              <w:pStyle w:val="TableBody"/>
              <w:rPr>
                <w:i/>
              </w:rPr>
            </w:pPr>
            <w:r>
              <w:rPr>
                <w:i/>
              </w:rPr>
              <w:t>Voltage Support Service VAr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1F04FD" w14:paraId="7A3E51B3" w14:textId="77777777" w:rsidTr="00AC4DEE">
        <w:trPr>
          <w:cantSplit/>
        </w:trPr>
        <w:tc>
          <w:tcPr>
            <w:tcW w:w="1207" w:type="pct"/>
          </w:tcPr>
          <w:p w14:paraId="5F1D694B" w14:textId="77777777" w:rsidR="001F04FD" w:rsidRPr="00EF4122" w:rsidRDefault="001F04FD" w:rsidP="00AC4DEE">
            <w:pPr>
              <w:pStyle w:val="TableBody"/>
              <w:rPr>
                <w:i/>
              </w:rPr>
            </w:pPr>
            <w:r w:rsidRPr="00D661BC">
              <w:rPr>
                <w:i/>
              </w:rPr>
              <w:t>q</w:t>
            </w:r>
          </w:p>
        </w:tc>
        <w:tc>
          <w:tcPr>
            <w:tcW w:w="440" w:type="pct"/>
          </w:tcPr>
          <w:p w14:paraId="065D4A1A" w14:textId="77777777" w:rsidR="001F04FD" w:rsidRDefault="001F04FD" w:rsidP="00AC4DEE">
            <w:pPr>
              <w:pStyle w:val="TableBody"/>
            </w:pPr>
            <w:r>
              <w:t>none</w:t>
            </w:r>
          </w:p>
        </w:tc>
        <w:tc>
          <w:tcPr>
            <w:tcW w:w="3353" w:type="pct"/>
          </w:tcPr>
          <w:p w14:paraId="43F0717B" w14:textId="77777777" w:rsidR="001F04FD" w:rsidRDefault="001F04FD" w:rsidP="00AC4DEE">
            <w:pPr>
              <w:pStyle w:val="TableBody"/>
              <w:rPr>
                <w:i/>
              </w:rPr>
            </w:pPr>
            <w:r>
              <w:t>A QSE.</w:t>
            </w:r>
          </w:p>
        </w:tc>
      </w:tr>
      <w:tr w:rsidR="001F04FD" w14:paraId="219C8D2C" w14:textId="77777777" w:rsidTr="00AC4DEE">
        <w:trPr>
          <w:cantSplit/>
        </w:trPr>
        <w:tc>
          <w:tcPr>
            <w:tcW w:w="1207" w:type="pct"/>
          </w:tcPr>
          <w:p w14:paraId="43D12DF2" w14:textId="77777777" w:rsidR="001F04FD" w:rsidRPr="00D661BC" w:rsidRDefault="001F04FD" w:rsidP="00AC4DEE">
            <w:pPr>
              <w:pStyle w:val="TableBody"/>
              <w:rPr>
                <w:i/>
              </w:rPr>
            </w:pPr>
            <w:r w:rsidRPr="009E6788">
              <w:rPr>
                <w:i/>
              </w:rPr>
              <w:t>gsc</w:t>
            </w:r>
          </w:p>
        </w:tc>
        <w:tc>
          <w:tcPr>
            <w:tcW w:w="440" w:type="pct"/>
          </w:tcPr>
          <w:p w14:paraId="4ADC88BC" w14:textId="77777777" w:rsidR="001F04FD" w:rsidRDefault="001F04FD" w:rsidP="00AC4DEE">
            <w:pPr>
              <w:pStyle w:val="TableBody"/>
            </w:pPr>
            <w:r>
              <w:t>none</w:t>
            </w:r>
          </w:p>
        </w:tc>
        <w:tc>
          <w:tcPr>
            <w:tcW w:w="3353" w:type="pct"/>
          </w:tcPr>
          <w:p w14:paraId="09767CC0" w14:textId="77777777" w:rsidR="001F04FD" w:rsidRDefault="001F04FD" w:rsidP="00AC4DEE">
            <w:pPr>
              <w:pStyle w:val="TableBody"/>
            </w:pPr>
            <w:r>
              <w:t>A generation site code.</w:t>
            </w:r>
          </w:p>
        </w:tc>
      </w:tr>
      <w:tr w:rsidR="001F04FD" w14:paraId="7D90964F" w14:textId="77777777" w:rsidTr="00AC4DEE">
        <w:trPr>
          <w:cantSplit/>
        </w:trPr>
        <w:tc>
          <w:tcPr>
            <w:tcW w:w="1207" w:type="pct"/>
          </w:tcPr>
          <w:p w14:paraId="0DE08609" w14:textId="77777777" w:rsidR="001F04FD" w:rsidRPr="00EF4122" w:rsidRDefault="001F04FD" w:rsidP="00AC4DEE">
            <w:pPr>
              <w:pStyle w:val="TableBody"/>
              <w:rPr>
                <w:i/>
              </w:rPr>
            </w:pPr>
            <w:r w:rsidRPr="00D661BC">
              <w:rPr>
                <w:i/>
              </w:rPr>
              <w:t>p</w:t>
            </w:r>
          </w:p>
        </w:tc>
        <w:tc>
          <w:tcPr>
            <w:tcW w:w="440" w:type="pct"/>
          </w:tcPr>
          <w:p w14:paraId="7982D1D2" w14:textId="77777777" w:rsidR="001F04FD" w:rsidRDefault="001F04FD" w:rsidP="00AC4DEE">
            <w:pPr>
              <w:pStyle w:val="TableBody"/>
            </w:pPr>
            <w:r>
              <w:t>none</w:t>
            </w:r>
          </w:p>
        </w:tc>
        <w:tc>
          <w:tcPr>
            <w:tcW w:w="3353" w:type="pct"/>
          </w:tcPr>
          <w:p w14:paraId="2AB85B3A" w14:textId="77777777" w:rsidR="001F04FD" w:rsidRDefault="001F04FD" w:rsidP="00AC4DEE">
            <w:pPr>
              <w:pStyle w:val="TableBody"/>
            </w:pPr>
            <w:r>
              <w:t>A Resource Node Settlement Point.</w:t>
            </w:r>
          </w:p>
        </w:tc>
      </w:tr>
      <w:tr w:rsidR="001F04FD" w14:paraId="795326FD" w14:textId="77777777" w:rsidTr="00AC4DEE">
        <w:trPr>
          <w:cantSplit/>
        </w:trPr>
        <w:tc>
          <w:tcPr>
            <w:tcW w:w="1207" w:type="pct"/>
          </w:tcPr>
          <w:p w14:paraId="2EE35787" w14:textId="77777777" w:rsidR="001F04FD" w:rsidRPr="00EF4122" w:rsidRDefault="001F04FD" w:rsidP="00AC4DEE">
            <w:pPr>
              <w:pStyle w:val="TableBody"/>
              <w:rPr>
                <w:i/>
              </w:rPr>
            </w:pPr>
            <w:r w:rsidRPr="00D661BC">
              <w:rPr>
                <w:i/>
              </w:rPr>
              <w:t>r</w:t>
            </w:r>
          </w:p>
        </w:tc>
        <w:tc>
          <w:tcPr>
            <w:tcW w:w="440" w:type="pct"/>
          </w:tcPr>
          <w:p w14:paraId="62A18F36" w14:textId="77777777" w:rsidR="001F04FD" w:rsidRDefault="001F04FD" w:rsidP="00AC4DEE">
            <w:pPr>
              <w:pStyle w:val="TableBody"/>
            </w:pPr>
            <w:r>
              <w:t>none</w:t>
            </w:r>
          </w:p>
        </w:tc>
        <w:tc>
          <w:tcPr>
            <w:tcW w:w="3353" w:type="pct"/>
          </w:tcPr>
          <w:p w14:paraId="6AFFFB28" w14:textId="77777777" w:rsidR="001F04FD" w:rsidRDefault="001F04FD" w:rsidP="00AC4DEE">
            <w:pPr>
              <w:pStyle w:val="TableBody"/>
              <w:rPr>
                <w:i/>
              </w:rPr>
            </w:pPr>
            <w:r>
              <w:t>An RMR Unit.</w:t>
            </w:r>
          </w:p>
        </w:tc>
      </w:tr>
      <w:tr w:rsidR="001F04FD" w14:paraId="772A4C10" w14:textId="77777777" w:rsidTr="00AC4DEE">
        <w:trPr>
          <w:cantSplit/>
        </w:trPr>
        <w:tc>
          <w:tcPr>
            <w:tcW w:w="1207" w:type="pct"/>
          </w:tcPr>
          <w:p w14:paraId="060BA2B0" w14:textId="77777777" w:rsidR="001F04FD" w:rsidRPr="00EF4122" w:rsidRDefault="001F04FD" w:rsidP="00AC4DEE">
            <w:pPr>
              <w:pStyle w:val="TableBody"/>
              <w:rPr>
                <w:i/>
              </w:rPr>
            </w:pPr>
            <w:r w:rsidRPr="00D661BC">
              <w:rPr>
                <w:i/>
              </w:rPr>
              <w:t>i</w:t>
            </w:r>
          </w:p>
        </w:tc>
        <w:tc>
          <w:tcPr>
            <w:tcW w:w="440" w:type="pct"/>
          </w:tcPr>
          <w:p w14:paraId="076CE746" w14:textId="77777777" w:rsidR="001F04FD" w:rsidRDefault="001F04FD" w:rsidP="00AC4DEE">
            <w:pPr>
              <w:pStyle w:val="TableBody"/>
            </w:pPr>
            <w:r>
              <w:t>none</w:t>
            </w:r>
          </w:p>
        </w:tc>
        <w:tc>
          <w:tcPr>
            <w:tcW w:w="3353" w:type="pct"/>
          </w:tcPr>
          <w:p w14:paraId="77F117C8" w14:textId="77777777" w:rsidR="001F04FD" w:rsidRDefault="001F04FD" w:rsidP="00AC4DEE">
            <w:pPr>
              <w:pStyle w:val="TableBody"/>
              <w:rPr>
                <w:i/>
              </w:rPr>
            </w:pPr>
            <w:r>
              <w:t>A 15-minute Settlement Interval in the hour.</w:t>
            </w:r>
          </w:p>
        </w:tc>
      </w:tr>
    </w:tbl>
    <w:p w14:paraId="2CB4FE1F" w14:textId="77777777" w:rsidR="001F04FD" w:rsidRDefault="001F04FD" w:rsidP="001F04FD">
      <w:pPr>
        <w:pStyle w:val="H4"/>
        <w:spacing w:before="480"/>
        <w:ind w:left="1267" w:hanging="1267"/>
      </w:pPr>
      <w:bookmarkStart w:id="2342" w:name="_Toc397505030"/>
      <w:bookmarkStart w:id="2343" w:name="_Toc402357162"/>
      <w:bookmarkStart w:id="2344" w:name="_Toc422486542"/>
      <w:bookmarkStart w:id="2345" w:name="_Toc433093395"/>
      <w:bookmarkStart w:id="2346" w:name="_Toc433093553"/>
      <w:bookmarkStart w:id="2347" w:name="_Toc440874783"/>
      <w:bookmarkStart w:id="2348" w:name="_Toc448142340"/>
      <w:bookmarkStart w:id="2349" w:name="_Toc448142497"/>
      <w:bookmarkStart w:id="2350" w:name="_Toc458770338"/>
      <w:bookmarkStart w:id="2351" w:name="_Toc459294306"/>
      <w:bookmarkStart w:id="2352" w:name="_Toc463262799"/>
      <w:bookmarkStart w:id="2353" w:name="_Toc468286872"/>
      <w:bookmarkStart w:id="2354" w:name="_Toc481502912"/>
      <w:bookmarkStart w:id="2355" w:name="_Toc496080080"/>
      <w:bookmarkStart w:id="2356" w:name="_Toc189044449"/>
      <w:r>
        <w:t>6.6.6.4</w:t>
      </w:r>
      <w:r>
        <w:tab/>
        <w:t>RMR Charge for Unexcused Misconduct</w:t>
      </w:r>
      <w:bookmarkEnd w:id="2325"/>
      <w:bookmarkEnd w:id="2326"/>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r>
        <w:t xml:space="preserve"> </w:t>
      </w:r>
    </w:p>
    <w:p w14:paraId="3685ABED" w14:textId="77777777" w:rsidR="001F04FD" w:rsidRDefault="001F04FD" w:rsidP="001F04FD">
      <w:pPr>
        <w:pStyle w:val="BodyTextNumbered"/>
      </w:pPr>
      <w:r>
        <w:t>(1)</w:t>
      </w:r>
      <w:r>
        <w:tab/>
        <w:t xml:space="preserve">If a Misconduct Event, as defined in the RMR Agreement, is not excused as provided in the RMR Agreement, then ERCOT shall charge the QSE that represents the RMR Unit an unexcused misconduct amount of $10,000 for each unexcused Misconduct Event as follows:  </w:t>
      </w:r>
    </w:p>
    <w:p w14:paraId="41217392" w14:textId="77777777" w:rsidR="001F04FD" w:rsidRDefault="001F04FD" w:rsidP="001F04FD">
      <w:pPr>
        <w:pStyle w:val="FormulaBold"/>
      </w:pPr>
      <w:r>
        <w:t xml:space="preserve">RMRNPAMT </w:t>
      </w:r>
      <w:r>
        <w:rPr>
          <w:i/>
          <w:vertAlign w:val="subscript"/>
        </w:rPr>
        <w:t>q, r</w:t>
      </w:r>
      <w:r>
        <w:tab/>
        <w:t>=</w:t>
      </w:r>
      <w:r>
        <w:tab/>
        <w:t>$10,000 * RMRNPFLAG</w:t>
      </w:r>
      <w:r w:rsidRPr="00D661BC">
        <w:rPr>
          <w:rFonts w:ascii="Times New Roman Bold" w:hAnsi="Times New Roman Bold"/>
          <w:i/>
          <w:vertAlign w:val="subscript"/>
        </w:rPr>
        <w:t>q,r</w:t>
      </w:r>
    </w:p>
    <w:p w14:paraId="3B5B8507" w14:textId="77777777" w:rsidR="001F04FD" w:rsidRDefault="001F04FD" w:rsidP="001F04FD">
      <w:r>
        <w:t>The above variable is defined as follows:</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605"/>
        <w:gridCol w:w="7506"/>
      </w:tblGrid>
      <w:tr w:rsidR="001F04FD" w14:paraId="424E33E3" w14:textId="77777777" w:rsidTr="00AC4DEE">
        <w:trPr>
          <w:cantSplit/>
          <w:tblHeader/>
        </w:trPr>
        <w:tc>
          <w:tcPr>
            <w:tcW w:w="1685" w:type="dxa"/>
          </w:tcPr>
          <w:p w14:paraId="410B20FB" w14:textId="77777777" w:rsidR="001F04FD" w:rsidRDefault="001F04FD" w:rsidP="00AC4DEE">
            <w:pPr>
              <w:pStyle w:val="TableHead"/>
            </w:pPr>
            <w:r>
              <w:t>Variable</w:t>
            </w:r>
          </w:p>
        </w:tc>
        <w:tc>
          <w:tcPr>
            <w:tcW w:w="0" w:type="auto"/>
          </w:tcPr>
          <w:p w14:paraId="62FD02F1" w14:textId="77777777" w:rsidR="001F04FD" w:rsidRDefault="001F04FD" w:rsidP="00AC4DEE">
            <w:pPr>
              <w:pStyle w:val="TableHead"/>
            </w:pPr>
            <w:r>
              <w:t>Unit</w:t>
            </w:r>
          </w:p>
        </w:tc>
        <w:tc>
          <w:tcPr>
            <w:tcW w:w="0" w:type="auto"/>
          </w:tcPr>
          <w:p w14:paraId="1F66B583" w14:textId="77777777" w:rsidR="001F04FD" w:rsidRDefault="001F04FD" w:rsidP="00AC4DEE">
            <w:pPr>
              <w:pStyle w:val="TableHead"/>
            </w:pPr>
            <w:r>
              <w:t>Definition</w:t>
            </w:r>
          </w:p>
        </w:tc>
      </w:tr>
      <w:tr w:rsidR="001F04FD" w14:paraId="5DA3FE6F" w14:textId="77777777" w:rsidTr="00AC4DEE">
        <w:trPr>
          <w:cantSplit/>
        </w:trPr>
        <w:tc>
          <w:tcPr>
            <w:tcW w:w="1685" w:type="dxa"/>
          </w:tcPr>
          <w:p w14:paraId="4D296860" w14:textId="77777777" w:rsidR="001F04FD" w:rsidRDefault="001F04FD" w:rsidP="00AC4DEE">
            <w:pPr>
              <w:pStyle w:val="TableBody"/>
            </w:pPr>
            <w:r>
              <w:t xml:space="preserve">RMRNPAMT </w:t>
            </w:r>
            <w:r w:rsidRPr="00E15B17">
              <w:rPr>
                <w:i/>
                <w:vertAlign w:val="subscript"/>
              </w:rPr>
              <w:t>q, r</w:t>
            </w:r>
          </w:p>
        </w:tc>
        <w:tc>
          <w:tcPr>
            <w:tcW w:w="0" w:type="auto"/>
          </w:tcPr>
          <w:p w14:paraId="48960DB5" w14:textId="77777777" w:rsidR="001F04FD" w:rsidRDefault="001F04FD" w:rsidP="00AC4DEE">
            <w:pPr>
              <w:pStyle w:val="TableBody"/>
            </w:pPr>
            <w:r>
              <w:t>$</w:t>
            </w:r>
          </w:p>
        </w:tc>
        <w:tc>
          <w:tcPr>
            <w:tcW w:w="0" w:type="auto"/>
          </w:tcPr>
          <w:p w14:paraId="3F98A2A2"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1F1E2099" w14:textId="77777777" w:rsidTr="00AC4DEE">
        <w:trPr>
          <w:cantSplit/>
        </w:trPr>
        <w:tc>
          <w:tcPr>
            <w:tcW w:w="1685" w:type="dxa"/>
            <w:tcBorders>
              <w:top w:val="single" w:sz="4" w:space="0" w:color="auto"/>
              <w:left w:val="single" w:sz="4" w:space="0" w:color="auto"/>
              <w:bottom w:val="single" w:sz="4" w:space="0" w:color="auto"/>
              <w:right w:val="single" w:sz="4" w:space="0" w:color="auto"/>
            </w:tcBorders>
          </w:tcPr>
          <w:p w14:paraId="7764E381" w14:textId="77777777" w:rsidR="001F04FD" w:rsidRDefault="001F04FD" w:rsidP="00AC4DEE">
            <w:pPr>
              <w:pStyle w:val="TableBody"/>
            </w:pPr>
            <w:r>
              <w:lastRenderedPageBreak/>
              <w:t xml:space="preserve">RMRNPFLAG </w:t>
            </w:r>
            <w:r w:rsidRPr="00E15B17">
              <w:rPr>
                <w:i/>
                <w:vertAlign w:val="subscript"/>
              </w:rPr>
              <w:t>q, r</w:t>
            </w:r>
          </w:p>
        </w:tc>
        <w:tc>
          <w:tcPr>
            <w:tcW w:w="0" w:type="auto"/>
            <w:tcBorders>
              <w:top w:val="single" w:sz="4" w:space="0" w:color="auto"/>
              <w:left w:val="single" w:sz="4" w:space="0" w:color="auto"/>
              <w:bottom w:val="single" w:sz="4" w:space="0" w:color="auto"/>
              <w:right w:val="single" w:sz="4" w:space="0" w:color="auto"/>
            </w:tcBorders>
          </w:tcPr>
          <w:p w14:paraId="7478BD60" w14:textId="77777777" w:rsidR="001F04FD" w:rsidRDefault="001F04FD" w:rsidP="00AC4DEE">
            <w:pPr>
              <w:pStyle w:val="TableBody"/>
            </w:pPr>
            <w:r>
              <w:t>$</w:t>
            </w:r>
          </w:p>
        </w:tc>
        <w:tc>
          <w:tcPr>
            <w:tcW w:w="0" w:type="auto"/>
            <w:tcBorders>
              <w:top w:val="single" w:sz="4" w:space="0" w:color="auto"/>
              <w:left w:val="single" w:sz="4" w:space="0" w:color="auto"/>
              <w:bottom w:val="single" w:sz="4" w:space="0" w:color="auto"/>
              <w:right w:val="single" w:sz="4" w:space="0" w:color="auto"/>
            </w:tcBorders>
          </w:tcPr>
          <w:p w14:paraId="57061345" w14:textId="77777777" w:rsidR="001F04FD" w:rsidRDefault="001F04FD" w:rsidP="00AC4DEE">
            <w:pPr>
              <w:pStyle w:val="TableBody"/>
            </w:pPr>
            <w:r>
              <w:rPr>
                <w:i/>
              </w:rPr>
              <w:t>Reliability Must-Run Non-Performance Flag per QSE per Resource</w:t>
            </w:r>
            <w:r>
              <w:t xml:space="preserve">—A flag for the QSE </w:t>
            </w:r>
            <w:r w:rsidRPr="00D661BC">
              <w:rPr>
                <w:i/>
              </w:rPr>
              <w:t xml:space="preserve">q </w:t>
            </w:r>
            <w:r>
              <w:t xml:space="preserve">for the unexcused Misconduct Event of RMR Unit </w:t>
            </w:r>
            <w:r w:rsidRPr="00D661BC">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5565C1E8" w14:textId="77777777" w:rsidTr="00AC4DEE">
        <w:trPr>
          <w:cantSplit/>
        </w:trPr>
        <w:tc>
          <w:tcPr>
            <w:tcW w:w="1685" w:type="dxa"/>
          </w:tcPr>
          <w:p w14:paraId="61D561F3" w14:textId="77777777" w:rsidR="001F04FD" w:rsidRPr="0072643D" w:rsidRDefault="001F04FD" w:rsidP="00AC4DEE">
            <w:pPr>
              <w:pStyle w:val="TableBody"/>
              <w:rPr>
                <w:i/>
              </w:rPr>
            </w:pPr>
            <w:r w:rsidRPr="00D661BC">
              <w:rPr>
                <w:i/>
              </w:rPr>
              <w:t>q</w:t>
            </w:r>
          </w:p>
        </w:tc>
        <w:tc>
          <w:tcPr>
            <w:tcW w:w="0" w:type="auto"/>
          </w:tcPr>
          <w:p w14:paraId="521B9559" w14:textId="77777777" w:rsidR="001F04FD" w:rsidRDefault="001F04FD" w:rsidP="00AC4DEE">
            <w:pPr>
              <w:pStyle w:val="TableBody"/>
            </w:pPr>
            <w:r>
              <w:t>none</w:t>
            </w:r>
          </w:p>
        </w:tc>
        <w:tc>
          <w:tcPr>
            <w:tcW w:w="0" w:type="auto"/>
          </w:tcPr>
          <w:p w14:paraId="073D4AA8" w14:textId="77777777" w:rsidR="001F04FD" w:rsidRDefault="001F04FD" w:rsidP="00AC4DEE">
            <w:pPr>
              <w:pStyle w:val="TableBody"/>
              <w:rPr>
                <w:i/>
              </w:rPr>
            </w:pPr>
            <w:r>
              <w:t>A QSE.</w:t>
            </w:r>
          </w:p>
        </w:tc>
      </w:tr>
      <w:tr w:rsidR="001F04FD" w14:paraId="55E3ADE1" w14:textId="77777777" w:rsidTr="00AC4DEE">
        <w:trPr>
          <w:cantSplit/>
        </w:trPr>
        <w:tc>
          <w:tcPr>
            <w:tcW w:w="1685" w:type="dxa"/>
          </w:tcPr>
          <w:p w14:paraId="3BCCC7EF" w14:textId="77777777" w:rsidR="001F04FD" w:rsidRPr="0072643D" w:rsidRDefault="001F04FD" w:rsidP="00AC4DEE">
            <w:pPr>
              <w:pStyle w:val="TableBody"/>
              <w:rPr>
                <w:i/>
              </w:rPr>
            </w:pPr>
            <w:r w:rsidRPr="00D661BC">
              <w:rPr>
                <w:i/>
              </w:rPr>
              <w:t>r</w:t>
            </w:r>
          </w:p>
        </w:tc>
        <w:tc>
          <w:tcPr>
            <w:tcW w:w="0" w:type="auto"/>
          </w:tcPr>
          <w:p w14:paraId="3A1EEFD2" w14:textId="77777777" w:rsidR="001F04FD" w:rsidRDefault="001F04FD" w:rsidP="00AC4DEE">
            <w:pPr>
              <w:pStyle w:val="TableBody"/>
            </w:pPr>
            <w:r>
              <w:t>none</w:t>
            </w:r>
          </w:p>
        </w:tc>
        <w:tc>
          <w:tcPr>
            <w:tcW w:w="0" w:type="auto"/>
          </w:tcPr>
          <w:p w14:paraId="4FE31684" w14:textId="77777777" w:rsidR="001F04FD" w:rsidRDefault="001F04FD" w:rsidP="00AC4DEE">
            <w:pPr>
              <w:pStyle w:val="TableBody"/>
              <w:rPr>
                <w:i/>
              </w:rPr>
            </w:pPr>
            <w:r>
              <w:t>An RMR Unit.</w:t>
            </w:r>
          </w:p>
        </w:tc>
      </w:tr>
    </w:tbl>
    <w:p w14:paraId="1A92681B" w14:textId="77777777" w:rsidR="001F04FD" w:rsidRDefault="001F04FD" w:rsidP="001F04FD"/>
    <w:p w14:paraId="7DB0A5B4" w14:textId="77777777" w:rsidR="001F04FD" w:rsidRDefault="001F04FD" w:rsidP="001F04FD">
      <w:pPr>
        <w:pStyle w:val="BodyTextNumbered"/>
      </w:pPr>
      <w:bookmarkStart w:id="2357" w:name="_Toc87951801"/>
      <w:bookmarkStart w:id="2358" w:name="_Toc109009411"/>
      <w:r>
        <w:t>(2)</w:t>
      </w:r>
      <w:r>
        <w:tab/>
        <w:t>The total of the charges to each QSE for unexcused Misconduct Events of all RMR Units represented by this QSE for a given Operating Day is calculated as follows:</w:t>
      </w:r>
    </w:p>
    <w:p w14:paraId="7CD1D8AF" w14:textId="77777777" w:rsidR="001F04FD" w:rsidRDefault="001F04FD" w:rsidP="001F04FD">
      <w:pPr>
        <w:pStyle w:val="FormulaBold"/>
      </w:pPr>
      <w:r>
        <w:t xml:space="preserve">RMRNPAMTQSETOT </w:t>
      </w:r>
      <w:r>
        <w:rPr>
          <w:i/>
          <w:vertAlign w:val="subscript"/>
        </w:rPr>
        <w:t>q</w:t>
      </w:r>
      <w:r>
        <w:tab/>
        <w:t>=</w:t>
      </w:r>
      <w:r>
        <w:tab/>
      </w:r>
      <w:r w:rsidRPr="006F784F">
        <w:rPr>
          <w:position w:val="-18"/>
        </w:rPr>
        <w:object w:dxaOrig="225" w:dyaOrig="420" w14:anchorId="7B5D8995">
          <v:shape id="_x0000_i1212" type="#_x0000_t75" style="width:12pt;height:24pt" o:ole="">
            <v:imagedata r:id="rId245" o:title=""/>
          </v:shape>
          <o:OLEObject Type="Embed" ProgID="Equation.3" ShapeID="_x0000_i1212" DrawAspect="Content" ObjectID="_1804653697" r:id="rId255"/>
        </w:object>
      </w:r>
      <w:r>
        <w:t xml:space="preserve">RMRNPAMT </w:t>
      </w:r>
      <w:r>
        <w:rPr>
          <w:i/>
          <w:vertAlign w:val="subscript"/>
        </w:rPr>
        <w:t>q, r</w:t>
      </w:r>
    </w:p>
    <w:p w14:paraId="197299CD" w14:textId="77777777" w:rsidR="001F04FD" w:rsidRDefault="001F04FD" w:rsidP="001F04FD">
      <w:r>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832"/>
        <w:gridCol w:w="6074"/>
      </w:tblGrid>
      <w:tr w:rsidR="001F04FD" w14:paraId="0B1D9D4A" w14:textId="77777777" w:rsidTr="00AC4DEE">
        <w:trPr>
          <w:cantSplit/>
          <w:tblHeader/>
        </w:trPr>
        <w:tc>
          <w:tcPr>
            <w:tcW w:w="2343" w:type="dxa"/>
          </w:tcPr>
          <w:p w14:paraId="5C831A6C" w14:textId="77777777" w:rsidR="001F04FD" w:rsidRDefault="001F04FD" w:rsidP="00AC4DEE">
            <w:pPr>
              <w:pStyle w:val="TableHead"/>
            </w:pPr>
            <w:r>
              <w:t>Variable</w:t>
            </w:r>
          </w:p>
        </w:tc>
        <w:tc>
          <w:tcPr>
            <w:tcW w:w="832" w:type="dxa"/>
          </w:tcPr>
          <w:p w14:paraId="2C998FFB" w14:textId="77777777" w:rsidR="001F04FD" w:rsidRDefault="001F04FD" w:rsidP="00AC4DEE">
            <w:pPr>
              <w:pStyle w:val="TableHead"/>
            </w:pPr>
            <w:r>
              <w:t>Unit</w:t>
            </w:r>
          </w:p>
        </w:tc>
        <w:tc>
          <w:tcPr>
            <w:tcW w:w="6074" w:type="dxa"/>
          </w:tcPr>
          <w:p w14:paraId="1A35557F" w14:textId="77777777" w:rsidR="001F04FD" w:rsidRDefault="001F04FD" w:rsidP="00AC4DEE">
            <w:pPr>
              <w:pStyle w:val="TableHead"/>
            </w:pPr>
            <w:r>
              <w:t>Definition</w:t>
            </w:r>
          </w:p>
        </w:tc>
      </w:tr>
      <w:tr w:rsidR="001F04FD" w14:paraId="734BE831" w14:textId="77777777" w:rsidTr="00AC4DEE">
        <w:trPr>
          <w:cantSplit/>
        </w:trPr>
        <w:tc>
          <w:tcPr>
            <w:tcW w:w="2343" w:type="dxa"/>
          </w:tcPr>
          <w:p w14:paraId="0A27E38C" w14:textId="77777777" w:rsidR="001F04FD" w:rsidRDefault="001F04FD" w:rsidP="00AC4DEE">
            <w:pPr>
              <w:pStyle w:val="TableBody"/>
            </w:pPr>
            <w:r>
              <w:t xml:space="preserve">RMRNPAMTQSETOT </w:t>
            </w:r>
            <w:r w:rsidRPr="00E15B17">
              <w:rPr>
                <w:i/>
                <w:vertAlign w:val="subscript"/>
              </w:rPr>
              <w:t>q</w:t>
            </w:r>
          </w:p>
        </w:tc>
        <w:tc>
          <w:tcPr>
            <w:tcW w:w="832" w:type="dxa"/>
          </w:tcPr>
          <w:p w14:paraId="37512629" w14:textId="77777777" w:rsidR="001F04FD" w:rsidRDefault="001F04FD" w:rsidP="00AC4DEE">
            <w:pPr>
              <w:pStyle w:val="TableBody"/>
            </w:pPr>
            <w:r>
              <w:t>$</w:t>
            </w:r>
          </w:p>
        </w:tc>
        <w:tc>
          <w:tcPr>
            <w:tcW w:w="6074" w:type="dxa"/>
          </w:tcPr>
          <w:p w14:paraId="3F31C47E" w14:textId="77777777" w:rsidR="001F04FD" w:rsidRDefault="001F04FD" w:rsidP="00AC4DEE">
            <w:pPr>
              <w:pStyle w:val="TableBody"/>
            </w:pPr>
            <w:r>
              <w:rPr>
                <w:i/>
              </w:rPr>
              <w:t>Reliability Must-Run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r>
      <w:tr w:rsidR="001F04FD" w14:paraId="26EE393C" w14:textId="77777777" w:rsidTr="00AC4DEE">
        <w:trPr>
          <w:cantSplit/>
        </w:trPr>
        <w:tc>
          <w:tcPr>
            <w:tcW w:w="2343" w:type="dxa"/>
          </w:tcPr>
          <w:p w14:paraId="42179883" w14:textId="77777777" w:rsidR="001F04FD" w:rsidRDefault="001F04FD" w:rsidP="00AC4DEE">
            <w:pPr>
              <w:pStyle w:val="TableBody"/>
            </w:pPr>
            <w:r>
              <w:t xml:space="preserve">RMRNPAMT </w:t>
            </w:r>
            <w:r w:rsidRPr="00E15B17">
              <w:rPr>
                <w:i/>
                <w:vertAlign w:val="subscript"/>
              </w:rPr>
              <w:t>q, r</w:t>
            </w:r>
          </w:p>
        </w:tc>
        <w:tc>
          <w:tcPr>
            <w:tcW w:w="832" w:type="dxa"/>
          </w:tcPr>
          <w:p w14:paraId="1E42A50C" w14:textId="77777777" w:rsidR="001F04FD" w:rsidRDefault="001F04FD" w:rsidP="00AC4DEE">
            <w:pPr>
              <w:pStyle w:val="TableBody"/>
            </w:pPr>
            <w:r>
              <w:t>$</w:t>
            </w:r>
          </w:p>
        </w:tc>
        <w:tc>
          <w:tcPr>
            <w:tcW w:w="6074" w:type="dxa"/>
          </w:tcPr>
          <w:p w14:paraId="7DC26D76"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the Operating Day.  Where for a Combined Cycle Train, the Resource </w:t>
            </w:r>
            <w:r w:rsidRPr="00B34C5D">
              <w:rPr>
                <w:i/>
              </w:rPr>
              <w:t>r</w:t>
            </w:r>
            <w:r>
              <w:rPr>
                <w:i/>
              </w:rPr>
              <w:t xml:space="preserve"> </w:t>
            </w:r>
            <w:r>
              <w:t xml:space="preserve">is the Combined Cycle Train. </w:t>
            </w:r>
          </w:p>
        </w:tc>
      </w:tr>
      <w:tr w:rsidR="001F04FD" w14:paraId="66022088"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1C1685E5" w14:textId="77777777" w:rsidR="001F04FD" w:rsidRPr="0072643D"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71B668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13915B1" w14:textId="77777777" w:rsidR="001F04FD" w:rsidRDefault="001F04FD" w:rsidP="00AC4DEE">
            <w:pPr>
              <w:pStyle w:val="TableBody"/>
            </w:pPr>
            <w:r>
              <w:t>A QSE.</w:t>
            </w:r>
          </w:p>
        </w:tc>
      </w:tr>
      <w:tr w:rsidR="001F04FD" w14:paraId="262D38C6"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7AA6FD8F" w14:textId="77777777" w:rsidR="001F04FD" w:rsidRPr="0072643D"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735A5653"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BAEA643" w14:textId="77777777" w:rsidR="001F04FD" w:rsidRDefault="001F04FD" w:rsidP="00AC4DEE">
            <w:pPr>
              <w:pStyle w:val="TableBody"/>
            </w:pPr>
            <w:r>
              <w:t>An RMR Unit.</w:t>
            </w:r>
          </w:p>
        </w:tc>
      </w:tr>
    </w:tbl>
    <w:p w14:paraId="2FE7D514" w14:textId="77777777" w:rsidR="001F04FD" w:rsidRDefault="001F04FD" w:rsidP="001F04FD">
      <w:pPr>
        <w:pStyle w:val="H4"/>
        <w:spacing w:before="480"/>
        <w:ind w:left="1267" w:hanging="1267"/>
      </w:pPr>
      <w:bookmarkStart w:id="2359" w:name="_Toc397505031"/>
      <w:bookmarkStart w:id="2360" w:name="_Toc402357163"/>
      <w:bookmarkStart w:id="2361" w:name="_Toc422486543"/>
      <w:bookmarkStart w:id="2362" w:name="_Toc433093396"/>
      <w:bookmarkStart w:id="2363" w:name="_Toc433093554"/>
      <w:bookmarkStart w:id="2364" w:name="_Toc440874784"/>
      <w:bookmarkStart w:id="2365" w:name="_Toc448142341"/>
      <w:bookmarkStart w:id="2366" w:name="_Toc448142498"/>
      <w:bookmarkStart w:id="2367" w:name="_Toc458770339"/>
      <w:bookmarkStart w:id="2368" w:name="_Toc459294307"/>
      <w:bookmarkStart w:id="2369" w:name="_Toc463262800"/>
      <w:bookmarkStart w:id="2370" w:name="_Toc468286873"/>
      <w:bookmarkStart w:id="2371" w:name="_Toc481502913"/>
      <w:bookmarkStart w:id="2372" w:name="_Toc496080081"/>
      <w:bookmarkStart w:id="2373" w:name="_Toc189044450"/>
      <w:bookmarkStart w:id="2374" w:name="_Toc87951808"/>
      <w:bookmarkStart w:id="2375" w:name="_Toc109009412"/>
      <w:bookmarkEnd w:id="2357"/>
      <w:bookmarkEnd w:id="2358"/>
      <w:r>
        <w:t>6.6.6.5</w:t>
      </w:r>
      <w:r>
        <w:tab/>
        <w:t>RMR Service Charge</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6BE62F3D" w14:textId="77777777" w:rsidR="001F04FD" w:rsidRDefault="001F04FD" w:rsidP="001F04FD">
      <w:pPr>
        <w:pStyle w:val="BodyTextNumbered"/>
      </w:pPr>
      <w:r>
        <w:t>(1)</w:t>
      </w:r>
      <w:r>
        <w:tab/>
        <w:t>The total RMR cost for all RMR Units is allocated to the QSEs representing Loads based on LRS.  The RMR Service charge to each QSE for a given hour is calculated as follows:</w:t>
      </w:r>
    </w:p>
    <w:p w14:paraId="78AF223B" w14:textId="77777777" w:rsidR="001F04FD" w:rsidRDefault="001F04FD" w:rsidP="001F04FD">
      <w:pPr>
        <w:pStyle w:val="FormulaBold"/>
        <w:tabs>
          <w:tab w:val="clear" w:pos="2250"/>
          <w:tab w:val="clear" w:pos="3150"/>
          <w:tab w:val="clear" w:pos="3960"/>
          <w:tab w:val="left" w:pos="2610"/>
          <w:tab w:val="left" w:pos="3060"/>
        </w:tabs>
        <w:ind w:left="3060" w:hanging="2340"/>
        <w:rPr>
          <w:i/>
          <w:vertAlign w:val="subscript"/>
        </w:rPr>
      </w:pPr>
      <w:r>
        <w:t xml:space="preserve">LARMRAMT </w:t>
      </w:r>
      <w:r>
        <w:rPr>
          <w:i/>
          <w:vertAlign w:val="subscript"/>
        </w:rPr>
        <w:t>q</w:t>
      </w:r>
      <w:r>
        <w:tab/>
        <w:t>=</w:t>
      </w:r>
      <w:r>
        <w:tab/>
        <w:t xml:space="preserve">(-1) * (RMRSBAMTTOT + RMREAMTTOT </w:t>
      </w:r>
      <w:r>
        <w:br/>
        <w:t xml:space="preserve">+ RMRAAMTTOT + RMRNPAMTTOT / H) * HLRS </w:t>
      </w:r>
      <w:r>
        <w:rPr>
          <w:i/>
          <w:vertAlign w:val="subscript"/>
        </w:rPr>
        <w:t>q</w:t>
      </w:r>
    </w:p>
    <w:p w14:paraId="71C12100" w14:textId="77777777" w:rsidR="001F04FD" w:rsidRDefault="001F04FD" w:rsidP="001F04FD">
      <w:pPr>
        <w:pStyle w:val="BodyText"/>
        <w:ind w:firstLine="720"/>
      </w:pPr>
      <w:r>
        <w:t>Where:</w:t>
      </w:r>
    </w:p>
    <w:p w14:paraId="191BE8AD" w14:textId="77777777" w:rsidR="001F04FD" w:rsidRDefault="001F04FD" w:rsidP="001F04FD">
      <w:pPr>
        <w:ind w:firstLine="720"/>
      </w:pPr>
      <w:r>
        <w:t>RMR Standby Amount Total</w:t>
      </w:r>
    </w:p>
    <w:p w14:paraId="5EB9E912" w14:textId="77777777" w:rsidR="001F04FD" w:rsidRDefault="001F04FD" w:rsidP="001F04FD">
      <w:pPr>
        <w:pStyle w:val="Formula"/>
        <w:ind w:left="2880" w:hanging="2160"/>
        <w:rPr>
          <w:i/>
          <w:vertAlign w:val="subscript"/>
        </w:rPr>
      </w:pPr>
      <w:r>
        <w:t>RMRSBAMTTOT</w:t>
      </w:r>
      <w:r>
        <w:tab/>
        <w:t>=</w:t>
      </w:r>
      <w:r>
        <w:tab/>
      </w:r>
      <w:r w:rsidRPr="006F784F">
        <w:rPr>
          <w:position w:val="-22"/>
        </w:rPr>
        <w:object w:dxaOrig="210" w:dyaOrig="465" w14:anchorId="4E7420F9">
          <v:shape id="_x0000_i1213" type="#_x0000_t75" style="width:6pt;height:24pt" o:ole="">
            <v:imagedata r:id="rId256" o:title=""/>
          </v:shape>
          <o:OLEObject Type="Embed" ProgID="Equation.3" ShapeID="_x0000_i1213" DrawAspect="Content" ObjectID="_1804653698" r:id="rId257"/>
        </w:object>
      </w:r>
      <w:r>
        <w:t xml:space="preserve">RMRSBAMTQSETOT </w:t>
      </w:r>
      <w:r>
        <w:rPr>
          <w:i/>
          <w:vertAlign w:val="subscript"/>
        </w:rPr>
        <w:t>q</w:t>
      </w:r>
    </w:p>
    <w:p w14:paraId="1D2F4889" w14:textId="77777777" w:rsidR="001F04FD" w:rsidRDefault="001F04FD" w:rsidP="001F04FD">
      <w:pPr>
        <w:ind w:firstLine="720"/>
      </w:pPr>
      <w:r>
        <w:t>RMR Energy Amount Total</w:t>
      </w:r>
    </w:p>
    <w:p w14:paraId="39FE5FF3" w14:textId="77777777" w:rsidR="001F04FD" w:rsidRDefault="001F04FD" w:rsidP="001F04FD">
      <w:pPr>
        <w:pStyle w:val="Formula"/>
        <w:ind w:left="2880" w:hanging="2160"/>
        <w:rPr>
          <w:i/>
          <w:vertAlign w:val="subscript"/>
        </w:rPr>
      </w:pPr>
      <w:r>
        <w:t>RMREAMTTOT</w:t>
      </w:r>
      <w:r>
        <w:tab/>
        <w:t>=</w:t>
      </w:r>
      <w:r>
        <w:tab/>
      </w:r>
      <w:r w:rsidRPr="006F784F">
        <w:rPr>
          <w:position w:val="-22"/>
        </w:rPr>
        <w:object w:dxaOrig="210" w:dyaOrig="465" w14:anchorId="5821D66F">
          <v:shape id="_x0000_i1214" type="#_x0000_t75" style="width:6pt;height:24pt" o:ole="">
            <v:imagedata r:id="rId258" o:title=""/>
          </v:shape>
          <o:OLEObject Type="Embed" ProgID="Equation.3" ShapeID="_x0000_i1214" DrawAspect="Content" ObjectID="_1804653699" r:id="rId259"/>
        </w:object>
      </w:r>
      <w:r>
        <w:t xml:space="preserve">RMREAMTQSETOT </w:t>
      </w:r>
      <w:r>
        <w:rPr>
          <w:i/>
          <w:vertAlign w:val="subscript"/>
        </w:rPr>
        <w:t>q</w:t>
      </w:r>
    </w:p>
    <w:p w14:paraId="6EB3BF3F" w14:textId="77777777" w:rsidR="001F04FD" w:rsidRDefault="001F04FD" w:rsidP="001F04FD">
      <w:pPr>
        <w:ind w:firstLine="720"/>
      </w:pPr>
      <w:r>
        <w:t>RMR Adjustment Charge Total</w:t>
      </w:r>
    </w:p>
    <w:p w14:paraId="00BCC927" w14:textId="77777777" w:rsidR="001F04FD" w:rsidRDefault="001F04FD" w:rsidP="001F04FD">
      <w:pPr>
        <w:pStyle w:val="Formula"/>
        <w:ind w:left="2880" w:hanging="2160"/>
      </w:pPr>
      <w:r>
        <w:t>RMRAAMTTOT</w:t>
      </w:r>
      <w:r>
        <w:tab/>
        <w:t>=</w:t>
      </w:r>
      <w:r>
        <w:tab/>
      </w:r>
      <w:r w:rsidRPr="006F784F">
        <w:rPr>
          <w:position w:val="-22"/>
        </w:rPr>
        <w:object w:dxaOrig="210" w:dyaOrig="465" w14:anchorId="252C4255">
          <v:shape id="_x0000_i1215" type="#_x0000_t75" style="width:6pt;height:24pt" o:ole="">
            <v:imagedata r:id="rId258" o:title=""/>
          </v:shape>
          <o:OLEObject Type="Embed" ProgID="Equation.3" ShapeID="_x0000_i1215" DrawAspect="Content" ObjectID="_1804653700" r:id="rId260"/>
        </w:object>
      </w:r>
      <w:r>
        <w:t xml:space="preserve">RMRAAMT </w:t>
      </w:r>
      <w:r>
        <w:rPr>
          <w:i/>
          <w:vertAlign w:val="subscript"/>
        </w:rPr>
        <w:t>q</w:t>
      </w:r>
    </w:p>
    <w:p w14:paraId="657D9AFB" w14:textId="77777777" w:rsidR="001F04FD" w:rsidRDefault="001F04FD" w:rsidP="001F04FD">
      <w:pPr>
        <w:ind w:firstLine="720"/>
      </w:pPr>
      <w:r>
        <w:lastRenderedPageBreak/>
        <w:t>RMR Non-Performance Amount Total</w:t>
      </w:r>
    </w:p>
    <w:p w14:paraId="1EAF89C5" w14:textId="77777777" w:rsidR="001F04FD" w:rsidRDefault="001F04FD" w:rsidP="001F04FD">
      <w:pPr>
        <w:pStyle w:val="Formula"/>
        <w:ind w:left="2880" w:hanging="2160"/>
      </w:pPr>
      <w:r>
        <w:t>RMRNPAMTTOT</w:t>
      </w:r>
      <w:r>
        <w:tab/>
        <w:t>=</w:t>
      </w:r>
      <w:r>
        <w:tab/>
      </w:r>
      <w:r w:rsidRPr="006F784F">
        <w:rPr>
          <w:position w:val="-22"/>
        </w:rPr>
        <w:object w:dxaOrig="210" w:dyaOrig="465" w14:anchorId="2DF980D6">
          <v:shape id="_x0000_i1216" type="#_x0000_t75" style="width:6pt;height:24pt" o:ole="">
            <v:imagedata r:id="rId261" o:title=""/>
          </v:shape>
          <o:OLEObject Type="Embed" ProgID="Equation.3" ShapeID="_x0000_i1216" DrawAspect="Content" ObjectID="_1804653701" r:id="rId262"/>
        </w:object>
      </w:r>
      <w:r>
        <w:t xml:space="preserve">RMRNPAMTQSETOT </w:t>
      </w:r>
      <w:r>
        <w:rPr>
          <w:i/>
          <w:vertAlign w:val="subscript"/>
        </w:rPr>
        <w:t>q</w:t>
      </w:r>
    </w:p>
    <w:p w14:paraId="4F450FCD" w14:textId="77777777" w:rsidR="001F04FD" w:rsidRDefault="001F04FD" w:rsidP="001F04FD">
      <w:r>
        <w:t>The above variables are defined as follows:</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879"/>
        <w:gridCol w:w="6004"/>
      </w:tblGrid>
      <w:tr w:rsidR="001F04FD" w14:paraId="0BA58522" w14:textId="77777777" w:rsidTr="00AC4DEE">
        <w:trPr>
          <w:cantSplit/>
          <w:tblHeader/>
        </w:trPr>
        <w:tc>
          <w:tcPr>
            <w:tcW w:w="1358" w:type="pct"/>
          </w:tcPr>
          <w:p w14:paraId="277BFF05" w14:textId="77777777" w:rsidR="001F04FD" w:rsidRDefault="001F04FD" w:rsidP="00AC4DEE">
            <w:pPr>
              <w:pStyle w:val="TableHead"/>
            </w:pPr>
            <w:r>
              <w:t>Variable</w:t>
            </w:r>
          </w:p>
        </w:tc>
        <w:tc>
          <w:tcPr>
            <w:tcW w:w="465" w:type="pct"/>
          </w:tcPr>
          <w:p w14:paraId="5AF32A99" w14:textId="77777777" w:rsidR="001F04FD" w:rsidRDefault="001F04FD" w:rsidP="00AC4DEE">
            <w:pPr>
              <w:pStyle w:val="TableHead"/>
            </w:pPr>
            <w:r>
              <w:t>Unit</w:t>
            </w:r>
          </w:p>
        </w:tc>
        <w:tc>
          <w:tcPr>
            <w:tcW w:w="3177" w:type="pct"/>
          </w:tcPr>
          <w:p w14:paraId="3DB609DF" w14:textId="77777777" w:rsidR="001F04FD" w:rsidRDefault="001F04FD" w:rsidP="00AC4DEE">
            <w:pPr>
              <w:pStyle w:val="TableHead"/>
            </w:pPr>
            <w:r>
              <w:t>Definition</w:t>
            </w:r>
          </w:p>
        </w:tc>
      </w:tr>
      <w:tr w:rsidR="001F04FD" w14:paraId="339B8F6E" w14:textId="77777777" w:rsidTr="00AC4DEE">
        <w:trPr>
          <w:cantSplit/>
        </w:trPr>
        <w:tc>
          <w:tcPr>
            <w:tcW w:w="1358" w:type="pct"/>
          </w:tcPr>
          <w:p w14:paraId="67F12A03" w14:textId="77777777" w:rsidR="001F04FD" w:rsidRDefault="001F04FD" w:rsidP="00AC4DEE">
            <w:pPr>
              <w:pStyle w:val="TableBody"/>
            </w:pPr>
            <w:r>
              <w:t xml:space="preserve">LARMRAMT </w:t>
            </w:r>
            <w:r w:rsidRPr="00E15B17">
              <w:rPr>
                <w:i/>
                <w:vertAlign w:val="subscript"/>
              </w:rPr>
              <w:t>q</w:t>
            </w:r>
          </w:p>
        </w:tc>
        <w:tc>
          <w:tcPr>
            <w:tcW w:w="465" w:type="pct"/>
          </w:tcPr>
          <w:p w14:paraId="29E5ABEE" w14:textId="77777777" w:rsidR="001F04FD" w:rsidRDefault="001F04FD" w:rsidP="00AC4DEE">
            <w:pPr>
              <w:pStyle w:val="TableBody"/>
            </w:pPr>
            <w:r>
              <w:t>$</w:t>
            </w:r>
          </w:p>
        </w:tc>
        <w:tc>
          <w:tcPr>
            <w:tcW w:w="3177" w:type="pct"/>
          </w:tcPr>
          <w:p w14:paraId="6B018015" w14:textId="77777777" w:rsidR="001F04FD" w:rsidRDefault="001F04FD" w:rsidP="00AC4DEE">
            <w:pPr>
              <w:pStyle w:val="TableBody"/>
            </w:pPr>
            <w:r w:rsidRPr="00EB4BCC">
              <w:rPr>
                <w:i/>
              </w:rPr>
              <w:t>Load-Allocated Reliability Must</w:t>
            </w:r>
            <w:r>
              <w:rPr>
                <w:i/>
              </w:rPr>
              <w:t>-</w:t>
            </w:r>
            <w:r w:rsidRPr="00EB4BCC">
              <w:rPr>
                <w:i/>
              </w:rPr>
              <w:t>Run Amount per QSE</w:t>
            </w:r>
            <w:r>
              <w:t xml:space="preserve">—The amount charged to QSE </w:t>
            </w:r>
            <w:r w:rsidRPr="00EB4BCC">
              <w:rPr>
                <w:i/>
              </w:rPr>
              <w:t>q</w:t>
            </w:r>
            <w:r>
              <w:t xml:space="preserve"> based on its LRS of the difference between the amount paid to all QSEs for RMR Service under Section 6.6.6, Reliability Must-Run Settlement, and the amount that would have been paid to the QSEs for the same RMR Units if they were not providing RMR Service under the other parts of this Section 6, Adjustment Period and Real-Time Operations, and Section 5, Transmission Security Analysis and Reliability Unit Commitment. </w:t>
            </w:r>
          </w:p>
        </w:tc>
      </w:tr>
      <w:tr w:rsidR="001F04FD" w14:paraId="41699901" w14:textId="77777777" w:rsidTr="00AC4DEE">
        <w:trPr>
          <w:cantSplit/>
        </w:trPr>
        <w:tc>
          <w:tcPr>
            <w:tcW w:w="1358" w:type="pct"/>
          </w:tcPr>
          <w:p w14:paraId="71DA34B7" w14:textId="77777777" w:rsidR="001F04FD" w:rsidRDefault="001F04FD" w:rsidP="00AC4DEE">
            <w:pPr>
              <w:pStyle w:val="TableBody"/>
            </w:pPr>
            <w:r>
              <w:t>RMRSBAMTTOT</w:t>
            </w:r>
          </w:p>
        </w:tc>
        <w:tc>
          <w:tcPr>
            <w:tcW w:w="465" w:type="pct"/>
          </w:tcPr>
          <w:p w14:paraId="5B2554CD" w14:textId="77777777" w:rsidR="001F04FD" w:rsidRDefault="001F04FD" w:rsidP="00AC4DEE">
            <w:pPr>
              <w:pStyle w:val="TableBody"/>
            </w:pPr>
            <w:r>
              <w:t>$</w:t>
            </w:r>
          </w:p>
        </w:tc>
        <w:tc>
          <w:tcPr>
            <w:tcW w:w="3177" w:type="pct"/>
          </w:tcPr>
          <w:p w14:paraId="42333448" w14:textId="77777777" w:rsidR="001F04FD" w:rsidRPr="00EB4BCC" w:rsidRDefault="001F04FD" w:rsidP="00AC4DEE">
            <w:pPr>
              <w:pStyle w:val="TableBody"/>
              <w:rPr>
                <w:i/>
              </w:rPr>
            </w:pPr>
            <w:r w:rsidRPr="00EB4BCC">
              <w:rPr>
                <w:i/>
              </w:rPr>
              <w:t>RMR Standby Amount Total</w:t>
            </w:r>
            <w:r>
              <w:t>—The total of the Standby Payments to all QSEs for all RMR Units, for the hour.</w:t>
            </w:r>
          </w:p>
        </w:tc>
      </w:tr>
      <w:tr w:rsidR="001F04FD" w14:paraId="4532E7A5" w14:textId="77777777" w:rsidTr="00AC4DEE">
        <w:trPr>
          <w:cantSplit/>
        </w:trPr>
        <w:tc>
          <w:tcPr>
            <w:tcW w:w="1358" w:type="pct"/>
          </w:tcPr>
          <w:p w14:paraId="0B1F95F5" w14:textId="77777777" w:rsidR="001F04FD" w:rsidRDefault="001F04FD" w:rsidP="00AC4DEE">
            <w:pPr>
              <w:pStyle w:val="TableBody"/>
            </w:pPr>
            <w:r>
              <w:t>RMREAMTTOT</w:t>
            </w:r>
          </w:p>
        </w:tc>
        <w:tc>
          <w:tcPr>
            <w:tcW w:w="465" w:type="pct"/>
          </w:tcPr>
          <w:p w14:paraId="55C87C45" w14:textId="77777777" w:rsidR="001F04FD" w:rsidRDefault="001F04FD" w:rsidP="00AC4DEE">
            <w:pPr>
              <w:pStyle w:val="TableBody"/>
            </w:pPr>
            <w:r>
              <w:t>$</w:t>
            </w:r>
          </w:p>
        </w:tc>
        <w:tc>
          <w:tcPr>
            <w:tcW w:w="3177" w:type="pct"/>
          </w:tcPr>
          <w:p w14:paraId="0754399D" w14:textId="77777777" w:rsidR="001F04FD" w:rsidRPr="00EB4BCC" w:rsidRDefault="001F04FD" w:rsidP="00AC4DEE">
            <w:pPr>
              <w:pStyle w:val="TableBody"/>
              <w:rPr>
                <w:i/>
              </w:rPr>
            </w:pPr>
            <w:r w:rsidRPr="00EB4BCC">
              <w:rPr>
                <w:i/>
              </w:rPr>
              <w:t>RMR Energy Amount Total</w:t>
            </w:r>
            <w:r>
              <w:t>—The total of the energy cost payments to all QSEs for all RMR Units, for the hour.</w:t>
            </w:r>
          </w:p>
        </w:tc>
      </w:tr>
      <w:tr w:rsidR="001F04FD" w14:paraId="5F2F37E7" w14:textId="77777777" w:rsidTr="00AC4DEE">
        <w:trPr>
          <w:cantSplit/>
        </w:trPr>
        <w:tc>
          <w:tcPr>
            <w:tcW w:w="1358" w:type="pct"/>
          </w:tcPr>
          <w:p w14:paraId="4CED73D7" w14:textId="77777777" w:rsidR="001F04FD" w:rsidRDefault="001F04FD" w:rsidP="00AC4DEE">
            <w:pPr>
              <w:pStyle w:val="TableBody"/>
            </w:pPr>
            <w:r>
              <w:t>RMRAAMTTOT</w:t>
            </w:r>
          </w:p>
        </w:tc>
        <w:tc>
          <w:tcPr>
            <w:tcW w:w="465" w:type="pct"/>
          </w:tcPr>
          <w:p w14:paraId="4C81E336" w14:textId="77777777" w:rsidR="001F04FD" w:rsidRDefault="001F04FD" w:rsidP="00AC4DEE">
            <w:pPr>
              <w:pStyle w:val="TableBody"/>
            </w:pPr>
            <w:r>
              <w:t>$</w:t>
            </w:r>
          </w:p>
        </w:tc>
        <w:tc>
          <w:tcPr>
            <w:tcW w:w="3177" w:type="pct"/>
          </w:tcPr>
          <w:p w14:paraId="2DF65BDF" w14:textId="77777777" w:rsidR="001F04FD" w:rsidRPr="00EB4BCC" w:rsidRDefault="001F04FD" w:rsidP="00AC4DEE">
            <w:pPr>
              <w:pStyle w:val="TableBody"/>
              <w:rPr>
                <w:i/>
              </w:rPr>
            </w:pPr>
            <w:r w:rsidRPr="00EB4BCC">
              <w:rPr>
                <w:i/>
              </w:rPr>
              <w:t>RMR Adjusted Amount Total</w:t>
            </w:r>
            <w:r>
              <w:t>—The total of the adjusted amounts from all QSEs representing RMR Units for the revenues received for these units from RUC, Real-Time operations and Ancillary Service markets, for the hour.</w:t>
            </w:r>
          </w:p>
        </w:tc>
      </w:tr>
      <w:tr w:rsidR="001F04FD" w14:paraId="109AAD0B" w14:textId="77777777" w:rsidTr="00AC4DEE">
        <w:trPr>
          <w:cantSplit/>
        </w:trPr>
        <w:tc>
          <w:tcPr>
            <w:tcW w:w="1358" w:type="pct"/>
          </w:tcPr>
          <w:p w14:paraId="3180741B" w14:textId="77777777" w:rsidR="001F04FD" w:rsidRDefault="001F04FD" w:rsidP="00AC4DEE">
            <w:pPr>
              <w:pStyle w:val="TableBody"/>
            </w:pPr>
            <w:r>
              <w:t>RMRNPAMTTOT</w:t>
            </w:r>
          </w:p>
        </w:tc>
        <w:tc>
          <w:tcPr>
            <w:tcW w:w="465" w:type="pct"/>
          </w:tcPr>
          <w:p w14:paraId="27F30BD3" w14:textId="77777777" w:rsidR="001F04FD" w:rsidRDefault="001F04FD" w:rsidP="00AC4DEE">
            <w:pPr>
              <w:pStyle w:val="TableBody"/>
            </w:pPr>
            <w:r>
              <w:t>$</w:t>
            </w:r>
          </w:p>
        </w:tc>
        <w:tc>
          <w:tcPr>
            <w:tcW w:w="3177" w:type="pct"/>
          </w:tcPr>
          <w:p w14:paraId="3219533A" w14:textId="77777777" w:rsidR="001F04FD" w:rsidRPr="00EB4BCC" w:rsidRDefault="001F04FD" w:rsidP="00AC4DEE">
            <w:pPr>
              <w:pStyle w:val="TableBody"/>
              <w:rPr>
                <w:i/>
              </w:rPr>
            </w:pPr>
            <w:r w:rsidRPr="00EB4BCC">
              <w:rPr>
                <w:i/>
              </w:rPr>
              <w:t>RMR Non-Performance Amount Total</w:t>
            </w:r>
            <w:r>
              <w:t>—The total of the charges to all QSEs for unexcused Misconduct Events of all RMR Units, for the Operating Day.</w:t>
            </w:r>
          </w:p>
        </w:tc>
      </w:tr>
      <w:tr w:rsidR="001F04FD" w14:paraId="46FD9DF0" w14:textId="77777777" w:rsidTr="00AC4DEE">
        <w:trPr>
          <w:cantSplit/>
        </w:trPr>
        <w:tc>
          <w:tcPr>
            <w:tcW w:w="1358" w:type="pct"/>
          </w:tcPr>
          <w:p w14:paraId="18ED31BA" w14:textId="77777777" w:rsidR="001F04FD" w:rsidRDefault="001F04FD" w:rsidP="00AC4DEE">
            <w:pPr>
              <w:pStyle w:val="TableBody"/>
            </w:pPr>
            <w:r>
              <w:t xml:space="preserve">HLRS </w:t>
            </w:r>
            <w:r w:rsidRPr="00E15B17">
              <w:rPr>
                <w:i/>
                <w:vertAlign w:val="subscript"/>
              </w:rPr>
              <w:t>q</w:t>
            </w:r>
          </w:p>
        </w:tc>
        <w:tc>
          <w:tcPr>
            <w:tcW w:w="465" w:type="pct"/>
          </w:tcPr>
          <w:p w14:paraId="5E995EEC" w14:textId="77777777" w:rsidR="001F04FD" w:rsidRDefault="001F04FD" w:rsidP="00AC4DEE">
            <w:pPr>
              <w:pStyle w:val="TableBody"/>
            </w:pPr>
            <w:r>
              <w:t>none</w:t>
            </w:r>
          </w:p>
        </w:tc>
        <w:tc>
          <w:tcPr>
            <w:tcW w:w="3177" w:type="pct"/>
          </w:tcPr>
          <w:p w14:paraId="3CDB5FF9" w14:textId="77777777" w:rsidR="001F04FD" w:rsidRDefault="001F04FD" w:rsidP="00BD4C7C">
            <w:pPr>
              <w:pStyle w:val="TableBody"/>
            </w:pPr>
            <w:r>
              <w:t xml:space="preserve">The hourly LRS calculated for QSE </w:t>
            </w:r>
            <w:r w:rsidRPr="00EB4BCC">
              <w:rPr>
                <w:i/>
              </w:rPr>
              <w:t>q</w:t>
            </w:r>
            <w:r>
              <w:t xml:space="preserve"> for the hour.  See Section 6.6.2.</w:t>
            </w:r>
            <w:r w:rsidR="00BD4C7C">
              <w:t>4</w:t>
            </w:r>
            <w:r>
              <w:t>, QSE Load Ratio Share for an Operating Hour.</w:t>
            </w:r>
          </w:p>
        </w:tc>
      </w:tr>
      <w:tr w:rsidR="001F04FD" w14:paraId="46DBE71A" w14:textId="77777777" w:rsidTr="00AC4DEE">
        <w:trPr>
          <w:cantSplit/>
        </w:trPr>
        <w:tc>
          <w:tcPr>
            <w:tcW w:w="1358" w:type="pct"/>
          </w:tcPr>
          <w:p w14:paraId="0AA0C8CC" w14:textId="77777777" w:rsidR="001F04FD" w:rsidRDefault="001F04FD" w:rsidP="00AC4DEE">
            <w:pPr>
              <w:pStyle w:val="TableBody"/>
            </w:pPr>
            <w:r>
              <w:t xml:space="preserve">RMRSBAMTQSETOT </w:t>
            </w:r>
            <w:r w:rsidRPr="00E15B17">
              <w:rPr>
                <w:i/>
                <w:vertAlign w:val="subscript"/>
              </w:rPr>
              <w:t>q</w:t>
            </w:r>
          </w:p>
        </w:tc>
        <w:tc>
          <w:tcPr>
            <w:tcW w:w="465" w:type="pct"/>
          </w:tcPr>
          <w:p w14:paraId="5543EDF5" w14:textId="77777777" w:rsidR="001F04FD" w:rsidRDefault="001F04FD" w:rsidP="00AC4DEE">
            <w:pPr>
              <w:pStyle w:val="TableBody"/>
            </w:pPr>
            <w:r>
              <w:t>$</w:t>
            </w:r>
          </w:p>
        </w:tc>
        <w:tc>
          <w:tcPr>
            <w:tcW w:w="3177" w:type="pct"/>
          </w:tcPr>
          <w:p w14:paraId="2A0CC485" w14:textId="77777777" w:rsidR="001F04FD" w:rsidRDefault="001F04FD" w:rsidP="00AC4DEE">
            <w:pPr>
              <w:pStyle w:val="TableBody"/>
            </w:pPr>
            <w:r w:rsidRPr="00EB4BCC">
              <w:rPr>
                <w:i/>
              </w:rPr>
              <w:t>Reliability Must</w:t>
            </w:r>
            <w:r>
              <w:rPr>
                <w:i/>
              </w:rPr>
              <w:t>-</w:t>
            </w:r>
            <w:r w:rsidRPr="00EB4BCC">
              <w:rPr>
                <w:i/>
              </w:rPr>
              <w:t>Run Standby Amount QSE Total per QSE</w:t>
            </w:r>
            <w:r w:rsidRPr="00EB4BCC">
              <w:sym w:font="Symbol" w:char="F0BE"/>
            </w:r>
            <w:r>
              <w:t xml:space="preserve">The total of the Standby Payments to QSE </w:t>
            </w:r>
            <w:r w:rsidRPr="00EB4BCC">
              <w:rPr>
                <w:i/>
              </w:rPr>
              <w:t>q</w:t>
            </w:r>
            <w:r>
              <w:t xml:space="preserve"> for the RMR Units represented by the same QSE for the hour.</w:t>
            </w:r>
          </w:p>
        </w:tc>
      </w:tr>
      <w:tr w:rsidR="001F04FD" w14:paraId="0ED4DCAB" w14:textId="77777777" w:rsidTr="00AC4DEE">
        <w:trPr>
          <w:cantSplit/>
        </w:trPr>
        <w:tc>
          <w:tcPr>
            <w:tcW w:w="1358" w:type="pct"/>
          </w:tcPr>
          <w:p w14:paraId="7D3DA08A" w14:textId="77777777" w:rsidR="001F04FD" w:rsidRDefault="001F04FD" w:rsidP="00AC4DEE">
            <w:pPr>
              <w:pStyle w:val="TableBody"/>
            </w:pPr>
            <w:r>
              <w:t xml:space="preserve">RMREAMTQSETOT </w:t>
            </w:r>
            <w:r w:rsidRPr="00E15B17">
              <w:rPr>
                <w:i/>
                <w:vertAlign w:val="subscript"/>
              </w:rPr>
              <w:t>q</w:t>
            </w:r>
          </w:p>
        </w:tc>
        <w:tc>
          <w:tcPr>
            <w:tcW w:w="465" w:type="pct"/>
          </w:tcPr>
          <w:p w14:paraId="4044D501" w14:textId="77777777" w:rsidR="001F04FD" w:rsidRDefault="001F04FD" w:rsidP="00AC4DEE">
            <w:pPr>
              <w:pStyle w:val="TableBody"/>
            </w:pPr>
            <w:r>
              <w:t>$</w:t>
            </w:r>
          </w:p>
        </w:tc>
        <w:tc>
          <w:tcPr>
            <w:tcW w:w="3177" w:type="pct"/>
          </w:tcPr>
          <w:p w14:paraId="2BAC5F68" w14:textId="77777777" w:rsidR="001F04FD" w:rsidRDefault="001F04FD" w:rsidP="00AC4DEE">
            <w:pPr>
              <w:pStyle w:val="TableBody"/>
            </w:pPr>
            <w:r w:rsidRPr="00EB4BCC">
              <w:rPr>
                <w:i/>
              </w:rPr>
              <w:t>Reliability Must</w:t>
            </w:r>
            <w:r>
              <w:rPr>
                <w:i/>
              </w:rPr>
              <w:t>-</w:t>
            </w:r>
            <w:r w:rsidRPr="00EB4BCC">
              <w:rPr>
                <w:i/>
              </w:rPr>
              <w:t>Run Energy Amount QSE Total per QSE</w:t>
            </w:r>
            <w:r w:rsidRPr="00EB4BCC">
              <w:sym w:font="Symbol" w:char="F0BE"/>
            </w:r>
            <w:r>
              <w:t xml:space="preserve">The total of the energy payments to QSE </w:t>
            </w:r>
            <w:r w:rsidRPr="00EB4BCC">
              <w:rPr>
                <w:i/>
              </w:rPr>
              <w:t>q</w:t>
            </w:r>
            <w:r>
              <w:t xml:space="preserve"> for the RMR Units represented by the same QSE for the hour.</w:t>
            </w:r>
          </w:p>
        </w:tc>
      </w:tr>
      <w:tr w:rsidR="001F04FD" w14:paraId="5F15DC64" w14:textId="77777777" w:rsidTr="00AC4DEE">
        <w:trPr>
          <w:cantSplit/>
        </w:trPr>
        <w:tc>
          <w:tcPr>
            <w:tcW w:w="1358" w:type="pct"/>
          </w:tcPr>
          <w:p w14:paraId="17225554" w14:textId="77777777" w:rsidR="001F04FD" w:rsidRDefault="001F04FD" w:rsidP="00AC4DEE">
            <w:pPr>
              <w:pStyle w:val="TableBody"/>
            </w:pPr>
            <w:r>
              <w:t xml:space="preserve">RMRAAMT </w:t>
            </w:r>
            <w:r w:rsidRPr="00E15B17">
              <w:rPr>
                <w:i/>
                <w:vertAlign w:val="subscript"/>
              </w:rPr>
              <w:t>q</w:t>
            </w:r>
          </w:p>
        </w:tc>
        <w:tc>
          <w:tcPr>
            <w:tcW w:w="465" w:type="pct"/>
          </w:tcPr>
          <w:p w14:paraId="1B303CC0" w14:textId="77777777" w:rsidR="001F04FD" w:rsidRDefault="001F04FD" w:rsidP="00AC4DEE">
            <w:pPr>
              <w:pStyle w:val="TableBody"/>
            </w:pPr>
            <w:r>
              <w:t>$</w:t>
            </w:r>
          </w:p>
        </w:tc>
        <w:tc>
          <w:tcPr>
            <w:tcW w:w="3177" w:type="pct"/>
          </w:tcPr>
          <w:p w14:paraId="2497654C" w14:textId="77777777" w:rsidR="001F04FD" w:rsidRPr="00EB4BCC" w:rsidRDefault="001F04FD" w:rsidP="00AC4DEE">
            <w:pPr>
              <w:pStyle w:val="TableBody"/>
              <w:rPr>
                <w:i/>
              </w:rPr>
            </w:pPr>
            <w:r w:rsidRPr="00EB4BCC">
              <w:rPr>
                <w:i/>
              </w:rPr>
              <w:t>RMR Adjusted Amount per QSE</w:t>
            </w:r>
            <w:r>
              <w:t xml:space="preserve">—The adjustment from QSE </w:t>
            </w:r>
            <w:r w:rsidRPr="00EB4BCC">
              <w:rPr>
                <w:i/>
              </w:rPr>
              <w:t>q</w:t>
            </w:r>
            <w:r>
              <w:t xml:space="preserve"> Standby Payments and energy payments for all RMR Units represented by this QSE, for the revenues received for the same RMR Units from RUC and Real-Time operations, for the hour.</w:t>
            </w:r>
          </w:p>
        </w:tc>
      </w:tr>
      <w:tr w:rsidR="001F04FD" w14:paraId="26A17FA9" w14:textId="77777777" w:rsidTr="00AC4DEE">
        <w:trPr>
          <w:cantSplit/>
        </w:trPr>
        <w:tc>
          <w:tcPr>
            <w:tcW w:w="1358" w:type="pct"/>
          </w:tcPr>
          <w:p w14:paraId="64B4C29D" w14:textId="77777777" w:rsidR="001F04FD" w:rsidRDefault="001F04FD" w:rsidP="00AC4DEE">
            <w:pPr>
              <w:pStyle w:val="TableBody"/>
            </w:pPr>
            <w:r>
              <w:t>RMRNPAMTQSETOT</w:t>
            </w:r>
            <w:r w:rsidRPr="00E15B17">
              <w:rPr>
                <w:i/>
              </w:rPr>
              <w:t xml:space="preserve"> </w:t>
            </w:r>
            <w:r w:rsidRPr="00E15B17">
              <w:rPr>
                <w:i/>
                <w:vertAlign w:val="subscript"/>
              </w:rPr>
              <w:t>q</w:t>
            </w:r>
          </w:p>
        </w:tc>
        <w:tc>
          <w:tcPr>
            <w:tcW w:w="465" w:type="pct"/>
          </w:tcPr>
          <w:p w14:paraId="059AFC85" w14:textId="77777777" w:rsidR="001F04FD" w:rsidRDefault="001F04FD" w:rsidP="00AC4DEE">
            <w:pPr>
              <w:pStyle w:val="TableBody"/>
            </w:pPr>
            <w:r>
              <w:t>$</w:t>
            </w:r>
          </w:p>
        </w:tc>
        <w:tc>
          <w:tcPr>
            <w:tcW w:w="3177" w:type="pct"/>
          </w:tcPr>
          <w:p w14:paraId="25D63AFB" w14:textId="77777777" w:rsidR="001F04FD" w:rsidRDefault="001F04FD" w:rsidP="00AC4DEE">
            <w:pPr>
              <w:pStyle w:val="TableBody"/>
            </w:pPr>
            <w:r w:rsidRPr="00EB4BCC">
              <w:rPr>
                <w:i/>
              </w:rPr>
              <w:t>Reliability Must</w:t>
            </w:r>
            <w:r>
              <w:rPr>
                <w:i/>
              </w:rPr>
              <w:t>-</w:t>
            </w:r>
            <w:r w:rsidRPr="00EB4BCC">
              <w:rPr>
                <w:i/>
              </w:rPr>
              <w:t>Run Unexcused Misconduct Amount QSE Total per QSE</w:t>
            </w:r>
            <w:r w:rsidRPr="00EB4BCC">
              <w:sym w:font="Symbol" w:char="F0BE"/>
            </w:r>
            <w:r>
              <w:t xml:space="preserve">The total of the charges to QSE </w:t>
            </w:r>
            <w:r w:rsidRPr="00EB4BCC">
              <w:rPr>
                <w:i/>
              </w:rPr>
              <w:t>q</w:t>
            </w:r>
            <w:r>
              <w:t xml:space="preserve"> for unexcused Misconduct Events of the RMR Units represented by the same QSE for the Operating Day.</w:t>
            </w:r>
          </w:p>
        </w:tc>
      </w:tr>
      <w:tr w:rsidR="001F04FD" w14:paraId="1F8D6D8D" w14:textId="77777777" w:rsidTr="00AC4DEE">
        <w:trPr>
          <w:cantSplit/>
        </w:trPr>
        <w:tc>
          <w:tcPr>
            <w:tcW w:w="1358" w:type="pct"/>
          </w:tcPr>
          <w:p w14:paraId="1CAB2D05" w14:textId="77777777" w:rsidR="001F04FD" w:rsidRPr="0072643D" w:rsidRDefault="001F04FD" w:rsidP="00AC4DEE">
            <w:pPr>
              <w:pStyle w:val="TableBody"/>
              <w:rPr>
                <w:i/>
              </w:rPr>
            </w:pPr>
            <w:r w:rsidRPr="00D661BC">
              <w:rPr>
                <w:i/>
              </w:rPr>
              <w:t>q</w:t>
            </w:r>
          </w:p>
        </w:tc>
        <w:tc>
          <w:tcPr>
            <w:tcW w:w="465" w:type="pct"/>
          </w:tcPr>
          <w:p w14:paraId="6DEADC40" w14:textId="77777777" w:rsidR="001F04FD" w:rsidRDefault="001F04FD" w:rsidP="00AC4DEE">
            <w:pPr>
              <w:pStyle w:val="TableBody"/>
            </w:pPr>
            <w:r>
              <w:t>none</w:t>
            </w:r>
          </w:p>
        </w:tc>
        <w:tc>
          <w:tcPr>
            <w:tcW w:w="3177" w:type="pct"/>
          </w:tcPr>
          <w:p w14:paraId="66106F5F" w14:textId="77777777" w:rsidR="001F04FD" w:rsidRPr="00EB4BCC" w:rsidRDefault="001F04FD" w:rsidP="00AC4DEE">
            <w:pPr>
              <w:pStyle w:val="TableBody"/>
              <w:rPr>
                <w:i/>
              </w:rPr>
            </w:pPr>
            <w:r>
              <w:t>A QSE.</w:t>
            </w:r>
          </w:p>
        </w:tc>
      </w:tr>
      <w:tr w:rsidR="001F04FD" w14:paraId="0399A3D8" w14:textId="77777777" w:rsidTr="00AC4DEE">
        <w:trPr>
          <w:cantSplit/>
        </w:trPr>
        <w:tc>
          <w:tcPr>
            <w:tcW w:w="1358" w:type="pct"/>
          </w:tcPr>
          <w:p w14:paraId="0FB06C21" w14:textId="77777777" w:rsidR="001F04FD" w:rsidRDefault="001F04FD" w:rsidP="00AC4DEE">
            <w:pPr>
              <w:pStyle w:val="TableBody"/>
            </w:pPr>
            <w:r>
              <w:t>H</w:t>
            </w:r>
          </w:p>
        </w:tc>
        <w:tc>
          <w:tcPr>
            <w:tcW w:w="465" w:type="pct"/>
          </w:tcPr>
          <w:p w14:paraId="7E30E069" w14:textId="77777777" w:rsidR="001F04FD" w:rsidRDefault="001F04FD" w:rsidP="00AC4DEE">
            <w:pPr>
              <w:pStyle w:val="TableBody"/>
            </w:pPr>
            <w:r>
              <w:t>none</w:t>
            </w:r>
          </w:p>
        </w:tc>
        <w:tc>
          <w:tcPr>
            <w:tcW w:w="3177" w:type="pct"/>
          </w:tcPr>
          <w:p w14:paraId="341E25B7" w14:textId="77777777" w:rsidR="001F04FD" w:rsidRDefault="001F04FD" w:rsidP="00AC4DEE">
            <w:pPr>
              <w:pStyle w:val="TableBody"/>
            </w:pPr>
            <w:r>
              <w:t>The number of hours of the Operating Day.</w:t>
            </w:r>
          </w:p>
        </w:tc>
      </w:tr>
    </w:tbl>
    <w:p w14:paraId="382F3816" w14:textId="77777777" w:rsidR="001F04FD" w:rsidRPr="00F1527F" w:rsidRDefault="001F04FD" w:rsidP="001F04FD">
      <w:pPr>
        <w:pStyle w:val="H4"/>
        <w:spacing w:before="480"/>
        <w:ind w:left="1267" w:hanging="1267"/>
        <w:rPr>
          <w:szCs w:val="24"/>
        </w:rPr>
      </w:pPr>
      <w:bookmarkStart w:id="2376" w:name="_Toc463262801"/>
      <w:bookmarkStart w:id="2377" w:name="_Toc468286874"/>
      <w:bookmarkStart w:id="2378" w:name="_Toc481502914"/>
      <w:bookmarkStart w:id="2379" w:name="_Toc496080082"/>
      <w:bookmarkStart w:id="2380" w:name="_Toc189044451"/>
      <w:bookmarkStart w:id="2381" w:name="_Toc397505032"/>
      <w:bookmarkStart w:id="2382" w:name="_Toc402357164"/>
      <w:bookmarkStart w:id="2383" w:name="_Toc422486544"/>
      <w:bookmarkStart w:id="2384" w:name="_Toc433093397"/>
      <w:bookmarkStart w:id="2385" w:name="_Toc433093555"/>
      <w:bookmarkStart w:id="2386" w:name="_Toc440874785"/>
      <w:bookmarkStart w:id="2387" w:name="_Toc448142342"/>
      <w:bookmarkStart w:id="2388" w:name="_Toc448142499"/>
      <w:bookmarkStart w:id="2389" w:name="_Toc458770340"/>
      <w:bookmarkStart w:id="2390" w:name="_Toc459294308"/>
      <w:r w:rsidRPr="00F1527F">
        <w:rPr>
          <w:szCs w:val="24"/>
        </w:rPr>
        <w:t>6.6.6.6</w:t>
      </w:r>
      <w:r w:rsidRPr="00F1527F">
        <w:rPr>
          <w:szCs w:val="24"/>
        </w:rPr>
        <w:tab/>
      </w:r>
      <w:r w:rsidR="00326E23" w:rsidRPr="00326E23">
        <w:t xml:space="preserve">Method for Reconciling RMR Actual Eligible Costs, RMR and MRA Contributed Capital Expenditures, and Miscellaneous RMR Incurred </w:t>
      </w:r>
      <w:r w:rsidR="00326E23" w:rsidRPr="00326E23">
        <w:lastRenderedPageBreak/>
        <w:t>Expenses</w:t>
      </w:r>
      <w:bookmarkEnd w:id="2376"/>
      <w:bookmarkEnd w:id="2377"/>
      <w:bookmarkEnd w:id="2378"/>
      <w:bookmarkEnd w:id="2379"/>
      <w:bookmarkEnd w:id="2380"/>
    </w:p>
    <w:p w14:paraId="06877AB0" w14:textId="0A25AC20" w:rsidR="00326E23" w:rsidRPr="00AF0BBA" w:rsidRDefault="00326E23" w:rsidP="00326E23">
      <w:pPr>
        <w:spacing w:after="240"/>
        <w:ind w:left="720" w:hanging="720"/>
      </w:pPr>
      <w:r w:rsidRPr="00AF0BBA">
        <w:rPr>
          <w:bCs/>
        </w:rPr>
        <w:t>(1)</w:t>
      </w:r>
      <w:r w:rsidRPr="00AF0BBA">
        <w:rPr>
          <w:bCs/>
        </w:rPr>
        <w:tab/>
      </w:r>
      <w:r w:rsidRPr="00AF0BBA">
        <w:rPr>
          <w:bCs/>
          <w:iCs/>
        </w:rPr>
        <w:t xml:space="preserve">No later than 30 days after the </w:t>
      </w:r>
      <w:r w:rsidR="003A58FF">
        <w:rPr>
          <w:bCs/>
          <w:iCs/>
        </w:rPr>
        <w:t>Real-Time Market (</w:t>
      </w:r>
      <w:r w:rsidRPr="00AF0BBA">
        <w:rPr>
          <w:bCs/>
          <w:iCs/>
        </w:rPr>
        <w:t>RTM</w:t>
      </w:r>
      <w:r w:rsidR="003A58FF">
        <w:rPr>
          <w:bCs/>
          <w:iCs/>
        </w:rPr>
        <w:t>)</w:t>
      </w:r>
      <w:r w:rsidRPr="00AF0BBA">
        <w:rPr>
          <w:bCs/>
          <w:iCs/>
        </w:rPr>
        <w:t xml:space="preserve"> True-Up Statement is issued for the termination date of the RMR Agreement, ERCOT shall issue a miscellaneous Invoice to charge the </w:t>
      </w:r>
      <w:r w:rsidRPr="00AF0BBA">
        <w:t>QSE</w:t>
      </w:r>
      <w:r w:rsidRPr="00AF0BBA">
        <w:rPr>
          <w:bCs/>
          <w:iCs/>
        </w:rPr>
        <w:t xml:space="preserve"> representing the RMR Unit for </w:t>
      </w:r>
      <w:r w:rsidRPr="00AF0BBA">
        <w:rPr>
          <w:bCs/>
        </w:rPr>
        <w:t>any overpayments to the QSE representing the RMR Unit as described in Section 3.14.1.1</w:t>
      </w:r>
      <w:r>
        <w:rPr>
          <w:bCs/>
        </w:rPr>
        <w:t>6</w:t>
      </w:r>
      <w:r w:rsidRPr="00AF0BBA">
        <w:rPr>
          <w:bCs/>
        </w:rPr>
        <w:t>, Reconciliation of Actual Eligible Costs, and contributed capital expenditures described in Section 3.14.1.1</w:t>
      </w:r>
      <w:r>
        <w:rPr>
          <w:bCs/>
        </w:rPr>
        <w:t>9</w:t>
      </w:r>
      <w:r w:rsidRPr="00AF0BBA">
        <w:rPr>
          <w:bCs/>
        </w:rPr>
        <w:t xml:space="preserve">, </w:t>
      </w:r>
      <w:r w:rsidRPr="00AF0BBA">
        <w:t>Charge</w:t>
      </w:r>
      <w:r w:rsidRPr="00AF0BBA">
        <w:rPr>
          <w:bCs/>
        </w:rPr>
        <w:t xml:space="preserve"> for Contributed Capital Expenditures.  Refunded contributed capital expenditures are prorated evenly and on a monthly basis over the RMR Agreement period before being allocated to Load on an hourly LRS basis.  Refunded overpayments </w:t>
      </w:r>
      <w:r w:rsidRPr="000D5111">
        <w:rPr>
          <w:bCs/>
        </w:rPr>
        <w:t>described in Section 3.14.1.1</w:t>
      </w:r>
      <w:r>
        <w:rPr>
          <w:bCs/>
        </w:rPr>
        <w:t xml:space="preserve">6 </w:t>
      </w:r>
      <w:r w:rsidRPr="00AF0BBA">
        <w:rPr>
          <w:bCs/>
        </w:rPr>
        <w:t>are allocated directly to the month in which the overpayment occurred before being allocated to Load on an hourly LRS basis.  A separate Invoice will be sent for each RMR Agreement.</w:t>
      </w:r>
    </w:p>
    <w:p w14:paraId="167A6B7C" w14:textId="77777777" w:rsidR="00326E23" w:rsidRPr="00AF0BBA" w:rsidRDefault="00326E23" w:rsidP="00326E23">
      <w:pPr>
        <w:spacing w:after="240"/>
        <w:ind w:left="1440" w:hanging="720"/>
      </w:pPr>
      <w:r w:rsidRPr="00AF0BBA">
        <w:t>(a)</w:t>
      </w:r>
      <w:r w:rsidRPr="00AF0BBA">
        <w:tab/>
        <w:t xml:space="preserve">The one-time charge to the QSE to collect the lump sum of over-payments and contributed capital </w:t>
      </w:r>
      <w:r w:rsidRPr="00AF0BBA">
        <w:rPr>
          <w:iCs/>
        </w:rPr>
        <w:t>expenditures</w:t>
      </w:r>
      <w:r w:rsidRPr="00AF0BBA">
        <w:t xml:space="preserve"> is calculated as follows:</w:t>
      </w:r>
    </w:p>
    <w:p w14:paraId="717A3AB4" w14:textId="4AC3CE37" w:rsidR="00326E23" w:rsidRPr="00AF0BBA" w:rsidRDefault="00326E23" w:rsidP="00326E23">
      <w:pPr>
        <w:spacing w:after="240"/>
        <w:ind w:left="1440" w:hanging="720"/>
        <w:rPr>
          <w:i/>
          <w:vertAlign w:val="subscript"/>
        </w:rPr>
      </w:pPr>
      <w:r w:rsidRPr="00AF0BBA">
        <w:tab/>
        <w:t xml:space="preserve">RMRRAMT </w:t>
      </w:r>
      <w:r w:rsidRPr="00AF0BBA">
        <w:rPr>
          <w:i/>
          <w:vertAlign w:val="subscript"/>
        </w:rPr>
        <w:t xml:space="preserve">q, r, c   </w:t>
      </w:r>
      <w:r w:rsidRPr="00AF0BBA">
        <w:rPr>
          <w:lang w:val="pt-BR"/>
        </w:rPr>
        <w:t xml:space="preserve">= RMRCE </w:t>
      </w:r>
      <w:r w:rsidRPr="00AF0BBA">
        <w:rPr>
          <w:i/>
          <w:vertAlign w:val="subscript"/>
          <w:lang w:val="pt-BR"/>
        </w:rPr>
        <w:t xml:space="preserve">q, r, c </w:t>
      </w:r>
      <w:r w:rsidRPr="00AF0BBA">
        <w:rPr>
          <w:lang w:val="pt-BR"/>
        </w:rPr>
        <w:t xml:space="preserve">+ </w:t>
      </w:r>
      <w:r w:rsidR="00A94020">
        <w:rPr>
          <w:noProof/>
          <w:position w:val="-28"/>
        </w:rPr>
        <w:drawing>
          <wp:inline distT="0" distB="0" distL="0" distR="0" wp14:anchorId="57D04FEE" wp14:editId="7C044479">
            <wp:extent cx="276225" cy="457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 xml:space="preserve">RMROP </w:t>
      </w:r>
      <w:r w:rsidRPr="00AF0BBA">
        <w:rPr>
          <w:i/>
          <w:vertAlign w:val="subscript"/>
          <w:lang w:val="pt-BR"/>
        </w:rPr>
        <w:t>q, r, c, m</w:t>
      </w:r>
    </w:p>
    <w:p w14:paraId="792AF03E" w14:textId="77777777" w:rsidR="00326E23" w:rsidRPr="00AF0BBA" w:rsidRDefault="00326E23" w:rsidP="00326E23">
      <w:pPr>
        <w:spacing w:after="240"/>
        <w:ind w:left="1440" w:hanging="720"/>
      </w:pPr>
      <w:r w:rsidRPr="00AF0BBA">
        <w:t>(b)</w:t>
      </w:r>
      <w:r w:rsidRPr="00AF0BBA">
        <w:tab/>
        <w:t>The one-</w:t>
      </w:r>
      <w:r w:rsidRPr="00AF0BBA">
        <w:rPr>
          <w:iCs/>
        </w:rPr>
        <w:t>time</w:t>
      </w:r>
      <w:r w:rsidRPr="00AF0BBA">
        <w:t xml:space="preserve"> payment is calculated as follows:</w:t>
      </w:r>
    </w:p>
    <w:p w14:paraId="7F4F673E" w14:textId="5D6F051D" w:rsidR="00326E23" w:rsidRDefault="00326E23" w:rsidP="00326E23">
      <w:pPr>
        <w:ind w:left="2160" w:hanging="720"/>
        <w:rPr>
          <w:lang w:val="pt-BR"/>
        </w:rPr>
      </w:pPr>
      <w:r w:rsidRPr="00AF0BBA">
        <w:t>LARMRRAMT</w:t>
      </w:r>
      <w:r w:rsidRPr="00AF0BBA">
        <w:rPr>
          <w:i/>
          <w:vertAlign w:val="subscript"/>
        </w:rPr>
        <w:t xml:space="preserve"> q</w:t>
      </w:r>
      <w:r w:rsidRPr="00AF0BBA">
        <w:t xml:space="preserve">  =   (-1) * </w:t>
      </w:r>
      <w:r w:rsidR="00A94020">
        <w:rPr>
          <w:noProof/>
          <w:position w:val="-28"/>
        </w:rPr>
        <w:drawing>
          <wp:inline distT="0" distB="0" distL="0" distR="0" wp14:anchorId="6D975485" wp14:editId="17CAE2E4">
            <wp:extent cx="276225" cy="45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Pr>
          <w:lang w:val="pt-BR"/>
        </w:rPr>
        <w:t>M</w:t>
      </w:r>
      <w:r w:rsidRPr="00AF0BBA">
        <w:rPr>
          <w:lang w:val="pt-BR"/>
        </w:rPr>
        <w:t xml:space="preserve">RMRCE </w:t>
      </w:r>
      <w:r w:rsidRPr="00AF0BBA">
        <w:rPr>
          <w:i/>
          <w:vertAlign w:val="subscript"/>
        </w:rPr>
        <w:t>m</w:t>
      </w:r>
      <w:r>
        <w:rPr>
          <w:i/>
          <w:vertAlign w:val="subscript"/>
        </w:rPr>
        <w:t xml:space="preserve"> </w:t>
      </w:r>
      <w:r w:rsidRPr="00AF0BBA">
        <w:rPr>
          <w:i/>
        </w:rPr>
        <w:t>+</w:t>
      </w:r>
      <w:r w:rsidRPr="00AF0BBA">
        <w:rPr>
          <w:lang w:val="pt-BR"/>
        </w:rPr>
        <w:t xml:space="preserve"> RMROP</w:t>
      </w:r>
      <w:r w:rsidRPr="00AF0BBA">
        <w:rPr>
          <w:i/>
          <w:vertAlign w:val="subscript"/>
        </w:rPr>
        <w:t xml:space="preserve"> q, r, c, m</w:t>
      </w:r>
      <w:r w:rsidRPr="00AF0BBA">
        <w:rPr>
          <w:lang w:val="pt-BR"/>
        </w:rPr>
        <w:t>)</w:t>
      </w:r>
      <w:r w:rsidRPr="00AF0BBA">
        <w:rPr>
          <w:i/>
          <w:vertAlign w:val="subscript"/>
        </w:rPr>
        <w:t xml:space="preserve"> </w:t>
      </w:r>
      <w:r w:rsidRPr="00AF0BBA">
        <w:rPr>
          <w:lang w:val="pt-BR"/>
        </w:rPr>
        <w:t xml:space="preserve">/ MH </w:t>
      </w:r>
      <w:r w:rsidRPr="00AF0BBA">
        <w:rPr>
          <w:i/>
          <w:vertAlign w:val="subscript"/>
        </w:rPr>
        <w:t>m</w:t>
      </w:r>
      <w:r w:rsidRPr="00AF0BBA">
        <w:rPr>
          <w:lang w:val="pt-BR"/>
        </w:rPr>
        <w:t xml:space="preserve"> * </w:t>
      </w:r>
    </w:p>
    <w:p w14:paraId="2438A4F2" w14:textId="77777777" w:rsidR="00326E23" w:rsidRPr="00AF0BBA" w:rsidRDefault="00326E23" w:rsidP="00326E23">
      <w:pPr>
        <w:spacing w:after="240"/>
        <w:ind w:left="2160" w:hanging="720"/>
        <w:rPr>
          <w:i/>
          <w:vertAlign w:val="subscript"/>
        </w:rPr>
      </w:pPr>
      <w:r w:rsidRPr="00AF0BBA">
        <w:tab/>
      </w:r>
      <w:r w:rsidRPr="00AF0BBA">
        <w:tab/>
      </w:r>
      <w:r w:rsidRPr="00AF0BBA">
        <w:tab/>
      </w:r>
      <w:r w:rsidRPr="00AF0BBA">
        <w:rPr>
          <w:lang w:val="pt-BR"/>
        </w:rPr>
        <w:t>HLRS</w:t>
      </w:r>
      <w:r w:rsidRPr="00AF0BBA">
        <w:rPr>
          <w:i/>
          <w:vertAlign w:val="subscript"/>
        </w:rPr>
        <w:t xml:space="preserve"> q, m</w:t>
      </w:r>
    </w:p>
    <w:p w14:paraId="2C1C8F4A" w14:textId="77777777" w:rsidR="00326E23" w:rsidRPr="00AF0BBA" w:rsidRDefault="00326E23" w:rsidP="00326E23">
      <w:pPr>
        <w:spacing w:after="240"/>
        <w:ind w:left="720" w:firstLine="720"/>
        <w:rPr>
          <w:i/>
          <w:vertAlign w:val="subscript"/>
        </w:rPr>
      </w:pPr>
      <w:r w:rsidRPr="00AF0BBA">
        <w:t xml:space="preserve">Where: </w:t>
      </w:r>
    </w:p>
    <w:p w14:paraId="5EB1C646" w14:textId="31D9DBA4" w:rsidR="00326E23" w:rsidRPr="00AF0BBA" w:rsidRDefault="00326E23" w:rsidP="00326E23">
      <w:pPr>
        <w:spacing w:after="240"/>
        <w:ind w:left="1440"/>
        <w:rPr>
          <w:i/>
          <w:vertAlign w:val="subscript"/>
        </w:rPr>
      </w:pPr>
      <w:r w:rsidRPr="00AF0BBA" w:rsidDel="005E3B3E">
        <w:rPr>
          <w:lang w:val="pt-BR"/>
        </w:rPr>
        <w:t>M</w:t>
      </w:r>
      <w:r w:rsidRPr="00AF0BBA">
        <w:rPr>
          <w:lang w:val="pt-BR"/>
        </w:rPr>
        <w:t>RMRCE</w:t>
      </w:r>
      <w:r w:rsidRPr="00AF0BBA">
        <w:rPr>
          <w:i/>
          <w:vertAlign w:val="subscript"/>
        </w:rPr>
        <w:t xml:space="preserve"> m</w:t>
      </w:r>
      <w:r w:rsidRPr="00AF0BBA">
        <w:rPr>
          <w:lang w:val="pt-BR"/>
        </w:rPr>
        <w:t xml:space="preserve">   =    </w:t>
      </w:r>
      <w:r w:rsidR="00A94020">
        <w:rPr>
          <w:noProof/>
          <w:position w:val="-30"/>
        </w:rPr>
        <w:drawing>
          <wp:inline distT="0" distB="0" distL="0" distR="0" wp14:anchorId="61926435" wp14:editId="4AD393CC">
            <wp:extent cx="276225" cy="457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00A94020">
        <w:rPr>
          <w:noProof/>
          <w:position w:val="-28"/>
        </w:rPr>
        <w:drawing>
          <wp:inline distT="0" distB="0" distL="0" distR="0" wp14:anchorId="481B22B0" wp14:editId="7A1DC1B1">
            <wp:extent cx="276225" cy="457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RMRCE</w:t>
      </w:r>
      <w:r w:rsidRPr="00AF0BBA">
        <w:rPr>
          <w:i/>
          <w:vertAlign w:val="subscript"/>
        </w:rPr>
        <w:t xml:space="preserve"> q, r, c</w:t>
      </w:r>
      <w:r w:rsidRPr="00AF0BBA">
        <w:rPr>
          <w:lang w:val="pt-BR"/>
        </w:rPr>
        <w:t xml:space="preserve"> / CM</w:t>
      </w:r>
      <w:r w:rsidRPr="00AF0BBA">
        <w:rPr>
          <w:i/>
          <w:vertAlign w:val="subscript"/>
        </w:rPr>
        <w:t xml:space="preserve"> q, r, c</w:t>
      </w:r>
    </w:p>
    <w:p w14:paraId="651054B4" w14:textId="77777777" w:rsidR="00326E23" w:rsidRPr="00AF0BBA" w:rsidRDefault="00326E23" w:rsidP="00326E23">
      <w:pPr>
        <w:spacing w:after="240"/>
        <w:ind w:left="1440"/>
      </w:pPr>
      <w:r w:rsidRPr="00AF0BBA">
        <w:t xml:space="preserve">The HLRS used will be the HLRS for each day within the contracted month </w:t>
      </w:r>
      <w:r w:rsidRPr="00AF0BBA">
        <w:rPr>
          <w:i/>
        </w:rPr>
        <w:t>m</w:t>
      </w:r>
      <w:r w:rsidRPr="00AF0BBA">
        <w:t>.  The most recent approved HLRS available at time the miscellaneous Invoice is posted will be used.  The miscellaneous Invoice will not be re-calculated with subsequent Settlement runs unless required by a dispute or Alternative Dispute Resolution (ADR).  If a dispute or ADR requires ERCOT to re-issue the miscellaneous Invoice, the most recent approved HLRS values will be used.</w:t>
      </w:r>
    </w:p>
    <w:p w14:paraId="3E8E5F19" w14:textId="77777777" w:rsidR="00326E23" w:rsidRPr="00AF0BBA" w:rsidRDefault="00326E23" w:rsidP="00326E23">
      <w:pPr>
        <w:spacing w:after="240"/>
        <w:ind w:left="1440" w:hanging="720"/>
      </w:pPr>
      <w:r w:rsidRPr="00AF0BBA">
        <w:t xml:space="preserve">(c) </w:t>
      </w:r>
      <w:r w:rsidRPr="00AF0BBA">
        <w:tab/>
        <w:t>Upon issuance of the miscellaneous Invoice, ERCOT shall issue a Market Notice containing the values of RMROP, RMRCE, and the Settlement run containing the HLRS that was used in the Settlement.</w:t>
      </w:r>
    </w:p>
    <w:p w14:paraId="76E31686"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22CA5B0D" w14:textId="77777777" w:rsidTr="009B2773">
        <w:tc>
          <w:tcPr>
            <w:tcW w:w="1296" w:type="pct"/>
          </w:tcPr>
          <w:p w14:paraId="00E407B9" w14:textId="77777777" w:rsidR="00326E23" w:rsidRPr="00AF0BBA" w:rsidRDefault="00326E23" w:rsidP="009B2773">
            <w:pPr>
              <w:spacing w:after="240"/>
              <w:rPr>
                <w:b/>
                <w:iCs/>
                <w:sz w:val="20"/>
              </w:rPr>
            </w:pPr>
            <w:r w:rsidRPr="00AF0BBA">
              <w:rPr>
                <w:b/>
                <w:iCs/>
                <w:sz w:val="20"/>
              </w:rPr>
              <w:t>Variable</w:t>
            </w:r>
          </w:p>
        </w:tc>
        <w:tc>
          <w:tcPr>
            <w:tcW w:w="474" w:type="pct"/>
          </w:tcPr>
          <w:p w14:paraId="4708ED31" w14:textId="77777777" w:rsidR="00326E23" w:rsidRPr="00AF0BBA" w:rsidRDefault="00326E23" w:rsidP="009B2773">
            <w:pPr>
              <w:spacing w:after="240"/>
              <w:rPr>
                <w:b/>
                <w:iCs/>
                <w:sz w:val="20"/>
              </w:rPr>
            </w:pPr>
            <w:r w:rsidRPr="00AF0BBA">
              <w:rPr>
                <w:b/>
                <w:iCs/>
                <w:sz w:val="20"/>
              </w:rPr>
              <w:t>Unit</w:t>
            </w:r>
          </w:p>
        </w:tc>
        <w:tc>
          <w:tcPr>
            <w:tcW w:w="3230" w:type="pct"/>
          </w:tcPr>
          <w:p w14:paraId="3C80585A" w14:textId="77777777" w:rsidR="00326E23" w:rsidRPr="00AF0BBA" w:rsidRDefault="00326E23" w:rsidP="009B2773">
            <w:pPr>
              <w:spacing w:after="240"/>
              <w:rPr>
                <w:b/>
                <w:iCs/>
                <w:sz w:val="20"/>
              </w:rPr>
            </w:pPr>
            <w:r w:rsidRPr="00AF0BBA">
              <w:rPr>
                <w:b/>
                <w:iCs/>
                <w:sz w:val="20"/>
              </w:rPr>
              <w:t>Description</w:t>
            </w:r>
          </w:p>
        </w:tc>
      </w:tr>
      <w:tr w:rsidR="00326E23" w:rsidRPr="00AF0BBA" w14:paraId="2DA40A2B" w14:textId="77777777" w:rsidTr="009B2773">
        <w:tc>
          <w:tcPr>
            <w:tcW w:w="1296" w:type="pct"/>
          </w:tcPr>
          <w:p w14:paraId="4813B9D8" w14:textId="77777777" w:rsidR="00326E23" w:rsidRPr="00AF0BBA" w:rsidRDefault="00326E23" w:rsidP="009B2773">
            <w:pPr>
              <w:spacing w:after="240"/>
              <w:rPr>
                <w:b/>
                <w:iCs/>
                <w:sz w:val="20"/>
              </w:rPr>
            </w:pPr>
            <w:r w:rsidRPr="00AF0BBA">
              <w:rPr>
                <w:iCs/>
                <w:sz w:val="20"/>
                <w:lang w:val="pt-BR"/>
              </w:rPr>
              <w:lastRenderedPageBreak/>
              <w:t>RMRRAMT</w:t>
            </w:r>
            <w:r w:rsidRPr="00AF0BBA">
              <w:rPr>
                <w:i/>
                <w:vertAlign w:val="subscript"/>
              </w:rPr>
              <w:t xml:space="preserve"> </w:t>
            </w:r>
            <w:r w:rsidRPr="00AF0BBA">
              <w:rPr>
                <w:i/>
                <w:iCs/>
                <w:sz w:val="20"/>
                <w:vertAlign w:val="subscript"/>
              </w:rPr>
              <w:t>q, r, c</w:t>
            </w:r>
            <w:r w:rsidRPr="00AF0BBA">
              <w:rPr>
                <w:i/>
                <w:vertAlign w:val="subscript"/>
              </w:rPr>
              <w:t xml:space="preserve">  </w:t>
            </w:r>
          </w:p>
        </w:tc>
        <w:tc>
          <w:tcPr>
            <w:tcW w:w="474" w:type="pct"/>
          </w:tcPr>
          <w:p w14:paraId="37CD6F2F" w14:textId="77777777" w:rsidR="00326E23" w:rsidRPr="00AF0BBA" w:rsidRDefault="00326E23" w:rsidP="009B2773">
            <w:pPr>
              <w:spacing w:after="240"/>
              <w:rPr>
                <w:b/>
                <w:iCs/>
                <w:sz w:val="20"/>
              </w:rPr>
            </w:pPr>
            <w:r w:rsidRPr="00AF0BBA">
              <w:rPr>
                <w:b/>
                <w:iCs/>
                <w:sz w:val="20"/>
              </w:rPr>
              <w:t>$</w:t>
            </w:r>
          </w:p>
        </w:tc>
        <w:tc>
          <w:tcPr>
            <w:tcW w:w="3230" w:type="pct"/>
          </w:tcPr>
          <w:p w14:paraId="5F2F1E23" w14:textId="77777777" w:rsidR="00326E23" w:rsidRPr="00AF0BBA" w:rsidRDefault="00326E23" w:rsidP="009B2773">
            <w:pPr>
              <w:spacing w:after="60"/>
              <w:rPr>
                <w:iCs/>
                <w:sz w:val="20"/>
              </w:rPr>
            </w:pPr>
            <w:r w:rsidRPr="00AF0BBA">
              <w:rPr>
                <w:i/>
                <w:iCs/>
                <w:sz w:val="20"/>
              </w:rPr>
              <w:t>Reliability Must-Run Reconciled Amount –</w:t>
            </w:r>
            <w:r w:rsidRPr="00AF0BBA">
              <w:rPr>
                <w:b/>
                <w:iCs/>
                <w:sz w:val="20"/>
              </w:rPr>
              <w:t xml:space="preserve"> </w:t>
            </w:r>
            <w:r w:rsidRPr="00AF0BBA">
              <w:rPr>
                <w:iCs/>
                <w:sz w:val="20"/>
              </w:rPr>
              <w:t xml:space="preserve">The lump sum charge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that reconciles any contributed capital expenditure amounts and any over-payments to the QSE during the period of the RMR Agreement </w:t>
            </w:r>
            <w:r w:rsidRPr="00AF0BBA">
              <w:rPr>
                <w:i/>
                <w:iCs/>
                <w:sz w:val="20"/>
              </w:rPr>
              <w:t>c</w:t>
            </w:r>
            <w:r w:rsidRPr="00AF0BBA">
              <w:rPr>
                <w:iCs/>
                <w:sz w:val="20"/>
              </w:rPr>
              <w:t>.</w:t>
            </w:r>
          </w:p>
        </w:tc>
      </w:tr>
      <w:tr w:rsidR="00326E23" w:rsidRPr="00AF0BBA" w14:paraId="4AC4A8D2" w14:textId="77777777" w:rsidTr="009B2773">
        <w:trPr>
          <w:cantSplit/>
          <w:trHeight w:val="692"/>
        </w:trPr>
        <w:tc>
          <w:tcPr>
            <w:tcW w:w="1296" w:type="pct"/>
          </w:tcPr>
          <w:p w14:paraId="0926EB37" w14:textId="77777777" w:rsidR="00326E23" w:rsidRPr="00AF0BBA" w:rsidRDefault="00326E23" w:rsidP="009B2773">
            <w:pPr>
              <w:spacing w:after="60"/>
              <w:rPr>
                <w:iCs/>
                <w:sz w:val="20"/>
              </w:rPr>
            </w:pPr>
            <w:r w:rsidRPr="00AF0BBA">
              <w:rPr>
                <w:iCs/>
                <w:sz w:val="20"/>
                <w:lang w:val="pt-BR"/>
              </w:rPr>
              <w:t>RMRCE</w:t>
            </w:r>
            <w:r w:rsidRPr="00AF0BBA">
              <w:rPr>
                <w:i/>
                <w:iCs/>
                <w:sz w:val="20"/>
                <w:vertAlign w:val="subscript"/>
              </w:rPr>
              <w:t xml:space="preserve"> q, r, c</w:t>
            </w:r>
          </w:p>
        </w:tc>
        <w:tc>
          <w:tcPr>
            <w:tcW w:w="474" w:type="pct"/>
          </w:tcPr>
          <w:p w14:paraId="351A5D6B" w14:textId="77777777" w:rsidR="00326E23" w:rsidRPr="00AF0BBA" w:rsidRDefault="00326E23" w:rsidP="009B2773">
            <w:pPr>
              <w:spacing w:after="60"/>
              <w:rPr>
                <w:iCs/>
                <w:sz w:val="20"/>
              </w:rPr>
            </w:pPr>
            <w:r w:rsidRPr="00AF0BBA">
              <w:rPr>
                <w:iCs/>
                <w:sz w:val="20"/>
              </w:rPr>
              <w:t>$</w:t>
            </w:r>
          </w:p>
        </w:tc>
        <w:tc>
          <w:tcPr>
            <w:tcW w:w="3230" w:type="pct"/>
          </w:tcPr>
          <w:p w14:paraId="4F7EB3CD" w14:textId="77777777" w:rsidR="00326E23" w:rsidRPr="00AF0BBA" w:rsidRDefault="00326E23" w:rsidP="009B2773">
            <w:pPr>
              <w:spacing w:after="60"/>
              <w:rPr>
                <w:iCs/>
                <w:sz w:val="20"/>
              </w:rPr>
            </w:pPr>
            <w:r w:rsidRPr="00AF0BBA">
              <w:rPr>
                <w:i/>
                <w:iCs/>
                <w:sz w:val="20"/>
              </w:rPr>
              <w:t>Reliability Must-Run Capital Expenditure Refund</w:t>
            </w:r>
            <w:r w:rsidRPr="00AF0BBA">
              <w:rPr>
                <w:iCs/>
                <w:sz w:val="20"/>
              </w:rPr>
              <w:t>– The lump sum amount of contributed capital expenditures for the QSE</w:t>
            </w:r>
            <w:r w:rsidRPr="00AF0BBA">
              <w:rPr>
                <w:i/>
                <w:iCs/>
                <w:sz w:val="20"/>
              </w:rPr>
              <w:t xml:space="preserve"> q</w:t>
            </w:r>
            <w:r w:rsidRPr="00AF0BBA">
              <w:rPr>
                <w:iCs/>
                <w:sz w:val="20"/>
              </w:rPr>
              <w:t xml:space="preserve"> representing the RMR Unit </w:t>
            </w:r>
            <w:r w:rsidRPr="00AF0BBA">
              <w:rPr>
                <w:i/>
                <w:iCs/>
                <w:sz w:val="20"/>
              </w:rPr>
              <w:t>r</w:t>
            </w:r>
            <w:r w:rsidRPr="00AF0BBA">
              <w:rPr>
                <w:iCs/>
                <w:sz w:val="20"/>
              </w:rPr>
              <w:t xml:space="preserve"> for the period of the RMR Agreement </w:t>
            </w:r>
            <w:r w:rsidRPr="00AF0BBA">
              <w:rPr>
                <w:i/>
                <w:iCs/>
                <w:sz w:val="20"/>
              </w:rPr>
              <w:t xml:space="preserve">c </w:t>
            </w:r>
            <w:r w:rsidRPr="00AF0BBA">
              <w:rPr>
                <w:iCs/>
                <w:sz w:val="20"/>
              </w:rPr>
              <w:t>to be</w:t>
            </w:r>
            <w:r>
              <w:rPr>
                <w:iCs/>
                <w:sz w:val="20"/>
              </w:rPr>
              <w:t xml:space="preserve"> </w:t>
            </w:r>
            <w:r w:rsidRPr="00AF0BBA">
              <w:rPr>
                <w:iCs/>
                <w:sz w:val="20"/>
              </w:rPr>
              <w:t xml:space="preserve">refunded to ERCOT per Section </w:t>
            </w:r>
            <w:r w:rsidRPr="00AF0BBA">
              <w:rPr>
                <w:bCs/>
                <w:iCs/>
                <w:sz w:val="20"/>
              </w:rPr>
              <w:t>3.14.1.1</w:t>
            </w:r>
            <w:r>
              <w:rPr>
                <w:bCs/>
                <w:iCs/>
                <w:sz w:val="20"/>
              </w:rPr>
              <w:t>9</w:t>
            </w:r>
            <w:r w:rsidRPr="00AF0BBA">
              <w:rPr>
                <w:iCs/>
                <w:sz w:val="20"/>
              </w:rPr>
              <w:t xml:space="preserve">. </w:t>
            </w:r>
          </w:p>
        </w:tc>
      </w:tr>
      <w:tr w:rsidR="00326E23" w:rsidRPr="00AF0BBA" w14:paraId="7292CE64" w14:textId="77777777" w:rsidTr="009B2773">
        <w:trPr>
          <w:cantSplit/>
          <w:trHeight w:val="692"/>
        </w:trPr>
        <w:tc>
          <w:tcPr>
            <w:tcW w:w="1296" w:type="pct"/>
          </w:tcPr>
          <w:p w14:paraId="758D68F6" w14:textId="77777777" w:rsidR="00326E23" w:rsidRPr="00AF0BBA" w:rsidRDefault="00326E23" w:rsidP="009B2773">
            <w:pPr>
              <w:spacing w:after="60"/>
              <w:rPr>
                <w:iCs/>
                <w:sz w:val="20"/>
                <w:lang w:val="pt-BR"/>
              </w:rPr>
            </w:pPr>
            <w:r w:rsidRPr="00AF0BBA">
              <w:rPr>
                <w:iCs/>
                <w:sz w:val="20"/>
                <w:lang w:val="pt-BR"/>
              </w:rPr>
              <w:t xml:space="preserve">RMROP </w:t>
            </w:r>
            <w:r w:rsidRPr="00AF0BBA">
              <w:rPr>
                <w:i/>
                <w:iCs/>
                <w:sz w:val="20"/>
                <w:vertAlign w:val="subscript"/>
              </w:rPr>
              <w:t>q, r, c, m</w:t>
            </w:r>
          </w:p>
        </w:tc>
        <w:tc>
          <w:tcPr>
            <w:tcW w:w="474" w:type="pct"/>
          </w:tcPr>
          <w:p w14:paraId="4D009C0E" w14:textId="77777777" w:rsidR="00326E23" w:rsidRPr="00AF0BBA" w:rsidRDefault="00326E23" w:rsidP="009B2773">
            <w:pPr>
              <w:spacing w:after="60"/>
              <w:rPr>
                <w:iCs/>
                <w:sz w:val="20"/>
              </w:rPr>
            </w:pPr>
            <w:r w:rsidRPr="00AF0BBA">
              <w:rPr>
                <w:iCs/>
                <w:sz w:val="20"/>
              </w:rPr>
              <w:t>$</w:t>
            </w:r>
          </w:p>
        </w:tc>
        <w:tc>
          <w:tcPr>
            <w:tcW w:w="3230" w:type="pct"/>
          </w:tcPr>
          <w:p w14:paraId="2B6F9423" w14:textId="77777777" w:rsidR="00326E23" w:rsidRPr="00AF0BBA" w:rsidRDefault="00326E23" w:rsidP="009B2773">
            <w:pPr>
              <w:spacing w:after="60"/>
              <w:rPr>
                <w:i/>
                <w:iCs/>
                <w:sz w:val="20"/>
              </w:rPr>
            </w:pPr>
            <w:r w:rsidRPr="00AF0BBA">
              <w:rPr>
                <w:i/>
                <w:iCs/>
                <w:sz w:val="20"/>
              </w:rPr>
              <w:t>Reliability Must-Run Over-Payment –</w:t>
            </w:r>
            <w:r w:rsidRPr="00AF0BBA">
              <w:rPr>
                <w:iCs/>
                <w:sz w:val="20"/>
              </w:rPr>
              <w:t xml:space="preserve"> The amount of overpayments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for the month </w:t>
            </w:r>
            <w:r w:rsidRPr="00AF0BBA">
              <w:rPr>
                <w:i/>
                <w:iCs/>
                <w:sz w:val="20"/>
              </w:rPr>
              <w:t>m</w:t>
            </w:r>
            <w:r w:rsidRPr="00AF0BBA">
              <w:rPr>
                <w:iCs/>
                <w:sz w:val="20"/>
              </w:rPr>
              <w:t xml:space="preserve"> during the period of the RMR Agreement </w:t>
            </w:r>
            <w:r w:rsidRPr="00AF0BBA">
              <w:rPr>
                <w:i/>
                <w:iCs/>
                <w:sz w:val="20"/>
              </w:rPr>
              <w:t>c</w:t>
            </w:r>
            <w:r w:rsidRPr="00AF0BBA">
              <w:rPr>
                <w:iCs/>
                <w:sz w:val="20"/>
              </w:rPr>
              <w:t xml:space="preserve"> to be refunded to ERCOT per Section 3.14.1.1</w:t>
            </w:r>
            <w:r>
              <w:rPr>
                <w:iCs/>
                <w:sz w:val="20"/>
              </w:rPr>
              <w:t>9</w:t>
            </w:r>
            <w:r w:rsidRPr="00AF0BBA">
              <w:rPr>
                <w:iCs/>
                <w:sz w:val="20"/>
              </w:rPr>
              <w:t>. This amount cannot be negative.</w:t>
            </w:r>
          </w:p>
        </w:tc>
      </w:tr>
      <w:tr w:rsidR="00326E23" w:rsidRPr="00AF0BBA" w14:paraId="733EE9C6" w14:textId="77777777" w:rsidTr="009B2773">
        <w:trPr>
          <w:cantSplit/>
        </w:trPr>
        <w:tc>
          <w:tcPr>
            <w:tcW w:w="1296" w:type="pct"/>
          </w:tcPr>
          <w:p w14:paraId="0504BDB4" w14:textId="77777777" w:rsidR="00326E23" w:rsidRPr="00AF0BBA" w:rsidRDefault="00326E23" w:rsidP="009B2773">
            <w:pPr>
              <w:spacing w:after="60"/>
              <w:rPr>
                <w:iCs/>
                <w:sz w:val="20"/>
              </w:rPr>
            </w:pPr>
            <w:r w:rsidRPr="00AF0BBA" w:rsidDel="00584004">
              <w:rPr>
                <w:iCs/>
                <w:sz w:val="20"/>
                <w:lang w:val="pt-BR"/>
              </w:rPr>
              <w:t>M</w:t>
            </w:r>
            <w:r w:rsidRPr="00AF0BBA">
              <w:rPr>
                <w:iCs/>
                <w:sz w:val="20"/>
                <w:lang w:val="pt-BR"/>
              </w:rPr>
              <w:t>RMRCE</w:t>
            </w:r>
            <w:r w:rsidRPr="00AF0BBA">
              <w:rPr>
                <w:i/>
                <w:iCs/>
                <w:sz w:val="20"/>
                <w:vertAlign w:val="subscript"/>
              </w:rPr>
              <w:t xml:space="preserve"> m</w:t>
            </w:r>
          </w:p>
        </w:tc>
        <w:tc>
          <w:tcPr>
            <w:tcW w:w="474" w:type="pct"/>
          </w:tcPr>
          <w:p w14:paraId="21EE611C" w14:textId="77777777" w:rsidR="00326E23" w:rsidRPr="00AF0BBA" w:rsidRDefault="00326E23" w:rsidP="009B2773">
            <w:pPr>
              <w:tabs>
                <w:tab w:val="left" w:pos="2160"/>
              </w:tabs>
              <w:spacing w:after="60"/>
              <w:contextualSpacing/>
              <w:rPr>
                <w:iCs/>
                <w:sz w:val="20"/>
              </w:rPr>
            </w:pPr>
            <w:r w:rsidRPr="00AF0BBA">
              <w:rPr>
                <w:sz w:val="20"/>
              </w:rPr>
              <w:t>$</w:t>
            </w:r>
          </w:p>
        </w:tc>
        <w:tc>
          <w:tcPr>
            <w:tcW w:w="3230" w:type="pct"/>
          </w:tcPr>
          <w:p w14:paraId="511023EC" w14:textId="77777777" w:rsidR="00326E23" w:rsidRPr="00AF0BBA" w:rsidRDefault="00326E23" w:rsidP="009B2773">
            <w:pPr>
              <w:spacing w:after="60"/>
              <w:rPr>
                <w:iCs/>
                <w:sz w:val="20"/>
              </w:rPr>
            </w:pPr>
            <w:r w:rsidRPr="00AF0BBA">
              <w:rPr>
                <w:i/>
                <w:iCs/>
                <w:sz w:val="20"/>
              </w:rPr>
              <w:t xml:space="preserve">Monthly Reliability Must-Run Capital Expenditure Refund </w:t>
            </w:r>
            <w:r w:rsidRPr="00AF0BBA">
              <w:rPr>
                <w:iCs/>
                <w:sz w:val="20"/>
              </w:rPr>
              <w:t xml:space="preserve">– The lump sum amount of contributed capital expenditures for the month </w:t>
            </w:r>
            <w:r w:rsidRPr="00AF0BBA">
              <w:rPr>
                <w:i/>
                <w:iCs/>
                <w:sz w:val="20"/>
              </w:rPr>
              <w:t>m</w:t>
            </w:r>
            <w:r w:rsidRPr="00AF0BBA">
              <w:rPr>
                <w:iCs/>
                <w:sz w:val="20"/>
              </w:rPr>
              <w:t xml:space="preserve"> refunded to ERCOT per Section </w:t>
            </w:r>
            <w:r w:rsidRPr="00AF0BBA">
              <w:rPr>
                <w:bCs/>
                <w:iCs/>
                <w:sz w:val="20"/>
              </w:rPr>
              <w:t>3.14.1.1</w:t>
            </w:r>
            <w:r>
              <w:rPr>
                <w:bCs/>
                <w:iCs/>
                <w:sz w:val="20"/>
              </w:rPr>
              <w:t>9</w:t>
            </w:r>
            <w:r w:rsidRPr="00AF0BBA">
              <w:rPr>
                <w:iCs/>
                <w:sz w:val="20"/>
              </w:rPr>
              <w:t xml:space="preserve"> pro-rated over the number of months of the RMR Agreement.</w:t>
            </w:r>
          </w:p>
        </w:tc>
      </w:tr>
      <w:tr w:rsidR="00326E23" w:rsidRPr="00AF0BBA" w14:paraId="20E935E1" w14:textId="77777777" w:rsidTr="009B2773">
        <w:trPr>
          <w:cantSplit/>
        </w:trPr>
        <w:tc>
          <w:tcPr>
            <w:tcW w:w="1296" w:type="pct"/>
          </w:tcPr>
          <w:p w14:paraId="4F9B575A" w14:textId="77777777" w:rsidR="00326E23" w:rsidRPr="00AF0BBA" w:rsidRDefault="00326E23" w:rsidP="009B2773">
            <w:pPr>
              <w:spacing w:after="60"/>
              <w:rPr>
                <w:iCs/>
                <w:sz w:val="20"/>
              </w:rPr>
            </w:pPr>
            <w:r w:rsidRPr="00AF0BBA">
              <w:rPr>
                <w:iCs/>
                <w:sz w:val="20"/>
              </w:rPr>
              <w:t>LARMRRAMT</w:t>
            </w:r>
            <w:r w:rsidRPr="00AF0BBA">
              <w:rPr>
                <w:i/>
                <w:iCs/>
                <w:sz w:val="20"/>
                <w:vertAlign w:val="subscript"/>
              </w:rPr>
              <w:t xml:space="preserve"> q</w:t>
            </w:r>
          </w:p>
        </w:tc>
        <w:tc>
          <w:tcPr>
            <w:tcW w:w="474" w:type="pct"/>
          </w:tcPr>
          <w:p w14:paraId="1572EC71"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74E56F3C"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Reliability Must-Run Reconciled Amount </w:t>
            </w:r>
            <w:r w:rsidRPr="00AF0BBA">
              <w:rPr>
                <w:iCs/>
                <w:sz w:val="20"/>
              </w:rPr>
              <w:t>– The amount of refunded capital expenditures paid to QSE</w:t>
            </w:r>
            <w:r w:rsidRPr="00AF0BBA">
              <w:rPr>
                <w:i/>
                <w:iCs/>
                <w:sz w:val="20"/>
              </w:rPr>
              <w:t xml:space="preserve"> q</w:t>
            </w:r>
            <w:r w:rsidRPr="00AF0BBA">
              <w:rPr>
                <w:iCs/>
                <w:sz w:val="20"/>
              </w:rPr>
              <w:t xml:space="preserve"> based on its HLRS.</w:t>
            </w:r>
          </w:p>
        </w:tc>
      </w:tr>
      <w:tr w:rsidR="00326E23" w:rsidRPr="00AF0BBA" w14:paraId="22423467" w14:textId="77777777" w:rsidTr="009B2773">
        <w:trPr>
          <w:cantSplit/>
        </w:trPr>
        <w:tc>
          <w:tcPr>
            <w:tcW w:w="1296" w:type="pct"/>
          </w:tcPr>
          <w:p w14:paraId="2DC4AD90"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 xml:space="preserve">q, m </w:t>
            </w:r>
          </w:p>
        </w:tc>
        <w:tc>
          <w:tcPr>
            <w:tcW w:w="474" w:type="pct"/>
          </w:tcPr>
          <w:p w14:paraId="6D43495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4960D117"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color w:val="000000"/>
                <w:sz w:val="20"/>
              </w:rPr>
              <w:t>m</w:t>
            </w:r>
            <w:r w:rsidRPr="00AF0BBA">
              <w:rPr>
                <w:color w:val="000000"/>
                <w:sz w:val="20"/>
              </w:rPr>
              <w:t xml:space="preserve">.  See Section 6.6.2.4, QSE Load Ratio Share for an Operating Hour. </w:t>
            </w:r>
          </w:p>
        </w:tc>
      </w:tr>
      <w:tr w:rsidR="00326E23" w:rsidRPr="00AF0BBA" w14:paraId="047246E8" w14:textId="77777777" w:rsidTr="009B2773">
        <w:trPr>
          <w:cantSplit/>
        </w:trPr>
        <w:tc>
          <w:tcPr>
            <w:tcW w:w="1296" w:type="pct"/>
          </w:tcPr>
          <w:p w14:paraId="60E10D1C"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m</w:t>
            </w:r>
          </w:p>
        </w:tc>
        <w:tc>
          <w:tcPr>
            <w:tcW w:w="474" w:type="pct"/>
          </w:tcPr>
          <w:p w14:paraId="34C0E621"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67495C9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xml:space="preserve">, which overlaps a month in which an RMR Agreement was effective.  Where for a Combined Cycle Train, the Resource </w:t>
            </w:r>
            <w:r w:rsidRPr="00AF0BBA">
              <w:rPr>
                <w:i/>
                <w:iCs/>
                <w:sz w:val="20"/>
              </w:rPr>
              <w:t xml:space="preserve">r </w:t>
            </w:r>
            <w:r w:rsidRPr="00AF0BBA">
              <w:rPr>
                <w:iCs/>
                <w:sz w:val="20"/>
              </w:rPr>
              <w:t>is the Combined Cycle Train.</w:t>
            </w:r>
          </w:p>
        </w:tc>
      </w:tr>
      <w:tr w:rsidR="00326E23" w:rsidRPr="00AF0BBA" w14:paraId="331B79CF" w14:textId="77777777" w:rsidTr="009B2773">
        <w:trPr>
          <w:cantSplit/>
          <w:trHeight w:val="251"/>
        </w:trPr>
        <w:tc>
          <w:tcPr>
            <w:tcW w:w="1296" w:type="pct"/>
          </w:tcPr>
          <w:p w14:paraId="2F16E648" w14:textId="77777777" w:rsidR="00326E23" w:rsidRPr="00AF0BBA" w:rsidRDefault="00326E23" w:rsidP="009B2773">
            <w:pPr>
              <w:spacing w:after="60"/>
              <w:ind w:left="720" w:hanging="720"/>
              <w:rPr>
                <w:sz w:val="20"/>
              </w:rPr>
            </w:pPr>
            <w:r w:rsidRPr="00AF0BBA">
              <w:rPr>
                <w:sz w:val="20"/>
              </w:rPr>
              <w:t xml:space="preserve">CM </w:t>
            </w:r>
            <w:r w:rsidRPr="00AF0BBA">
              <w:rPr>
                <w:i/>
                <w:sz w:val="20"/>
                <w:vertAlign w:val="subscript"/>
              </w:rPr>
              <w:t>q, r, c</w:t>
            </w:r>
          </w:p>
        </w:tc>
        <w:tc>
          <w:tcPr>
            <w:tcW w:w="474" w:type="pct"/>
          </w:tcPr>
          <w:p w14:paraId="1C8D343F"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01A116D" w14:textId="77777777" w:rsidR="00326E23" w:rsidRPr="00AF0BBA" w:rsidRDefault="00326E23" w:rsidP="009B2773">
            <w:pPr>
              <w:tabs>
                <w:tab w:val="left" w:pos="2880"/>
              </w:tabs>
              <w:spacing w:after="60"/>
              <w:contextualSpacing/>
              <w:rPr>
                <w:i/>
                <w:iCs/>
                <w:sz w:val="20"/>
              </w:rPr>
            </w:pPr>
            <w:r w:rsidRPr="00AF0BBA">
              <w:rPr>
                <w:iCs/>
                <w:sz w:val="20"/>
              </w:rPr>
              <w:t>The number of months of the RMR Agreement period.</w:t>
            </w:r>
          </w:p>
        </w:tc>
      </w:tr>
      <w:tr w:rsidR="00326E23" w:rsidRPr="00AF0BBA" w14:paraId="4B71EEFC" w14:textId="77777777" w:rsidTr="009B2773">
        <w:trPr>
          <w:cantSplit/>
          <w:trHeight w:val="323"/>
        </w:trPr>
        <w:tc>
          <w:tcPr>
            <w:tcW w:w="1296" w:type="pct"/>
          </w:tcPr>
          <w:p w14:paraId="401CD3BD" w14:textId="77777777" w:rsidR="00326E23" w:rsidRPr="00AF0BBA" w:rsidRDefault="00326E23" w:rsidP="009B2773">
            <w:pPr>
              <w:spacing w:after="60"/>
              <w:rPr>
                <w:iCs/>
                <w:sz w:val="20"/>
              </w:rPr>
            </w:pPr>
            <w:r w:rsidRPr="00F8432E">
              <w:rPr>
                <w:i/>
                <w:iCs/>
                <w:sz w:val="20"/>
              </w:rPr>
              <w:t>m</w:t>
            </w:r>
          </w:p>
        </w:tc>
        <w:tc>
          <w:tcPr>
            <w:tcW w:w="474" w:type="pct"/>
          </w:tcPr>
          <w:p w14:paraId="2CF3D5D3"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15EC32A"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7483B459" w14:textId="77777777" w:rsidTr="009B2773">
        <w:trPr>
          <w:cantSplit/>
          <w:trHeight w:val="323"/>
        </w:trPr>
        <w:tc>
          <w:tcPr>
            <w:tcW w:w="1296" w:type="pct"/>
          </w:tcPr>
          <w:p w14:paraId="6CEA1362" w14:textId="77777777" w:rsidR="00326E23" w:rsidRPr="00AF0BBA" w:rsidRDefault="00326E23" w:rsidP="009B2773">
            <w:pPr>
              <w:spacing w:after="60"/>
              <w:rPr>
                <w:i/>
                <w:iCs/>
                <w:sz w:val="20"/>
              </w:rPr>
            </w:pPr>
            <w:r w:rsidRPr="00AF0BBA">
              <w:rPr>
                <w:i/>
                <w:iCs/>
                <w:sz w:val="20"/>
              </w:rPr>
              <w:t>q</w:t>
            </w:r>
          </w:p>
        </w:tc>
        <w:tc>
          <w:tcPr>
            <w:tcW w:w="474" w:type="pct"/>
          </w:tcPr>
          <w:p w14:paraId="6AF68EA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FCADCC2"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059C625D" w14:textId="77777777" w:rsidTr="009B2773">
        <w:trPr>
          <w:cantSplit/>
          <w:trHeight w:val="323"/>
        </w:trPr>
        <w:tc>
          <w:tcPr>
            <w:tcW w:w="1296" w:type="pct"/>
          </w:tcPr>
          <w:p w14:paraId="7BAAAB2C" w14:textId="77777777" w:rsidR="00326E23" w:rsidRPr="00AF0BBA" w:rsidRDefault="00326E23" w:rsidP="009B2773">
            <w:pPr>
              <w:spacing w:after="60"/>
              <w:rPr>
                <w:i/>
                <w:iCs/>
                <w:sz w:val="20"/>
              </w:rPr>
            </w:pPr>
            <w:r w:rsidRPr="00AF0BBA">
              <w:rPr>
                <w:i/>
                <w:iCs/>
                <w:sz w:val="20"/>
              </w:rPr>
              <w:t>c</w:t>
            </w:r>
          </w:p>
        </w:tc>
        <w:tc>
          <w:tcPr>
            <w:tcW w:w="474" w:type="pct"/>
          </w:tcPr>
          <w:p w14:paraId="5D75A61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5721BAD" w14:textId="77777777" w:rsidR="00326E23" w:rsidRPr="00AF0BBA" w:rsidRDefault="00326E23" w:rsidP="009B2773">
            <w:pPr>
              <w:tabs>
                <w:tab w:val="left" w:pos="2880"/>
              </w:tabs>
              <w:spacing w:after="60"/>
              <w:contextualSpacing/>
              <w:rPr>
                <w:iCs/>
                <w:sz w:val="20"/>
              </w:rPr>
            </w:pPr>
            <w:r w:rsidRPr="00AF0BBA">
              <w:rPr>
                <w:iCs/>
                <w:sz w:val="20"/>
              </w:rPr>
              <w:t>An RMR Agreement.</w:t>
            </w:r>
          </w:p>
        </w:tc>
      </w:tr>
      <w:tr w:rsidR="00326E23" w:rsidRPr="00AF0BBA" w14:paraId="07040BA1" w14:textId="77777777" w:rsidTr="009B2773">
        <w:trPr>
          <w:cantSplit/>
          <w:trHeight w:val="323"/>
        </w:trPr>
        <w:tc>
          <w:tcPr>
            <w:tcW w:w="1296" w:type="pct"/>
          </w:tcPr>
          <w:p w14:paraId="5B764B32" w14:textId="77777777" w:rsidR="00326E23" w:rsidRPr="00AF0BBA" w:rsidRDefault="00326E23" w:rsidP="009B2773">
            <w:pPr>
              <w:spacing w:after="60"/>
              <w:rPr>
                <w:i/>
                <w:iCs/>
                <w:sz w:val="20"/>
              </w:rPr>
            </w:pPr>
            <w:r w:rsidRPr="00AF0BBA">
              <w:rPr>
                <w:i/>
                <w:iCs/>
                <w:sz w:val="20"/>
              </w:rPr>
              <w:t>r</w:t>
            </w:r>
          </w:p>
        </w:tc>
        <w:tc>
          <w:tcPr>
            <w:tcW w:w="474" w:type="pct"/>
          </w:tcPr>
          <w:p w14:paraId="642FACF5"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140B0D25"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413EC208" w14:textId="77777777" w:rsidR="00326E23" w:rsidRPr="00AF0BBA" w:rsidRDefault="00326E23" w:rsidP="00326E23">
      <w:pPr>
        <w:spacing w:before="240" w:after="240"/>
        <w:ind w:left="720" w:hanging="720"/>
        <w:rPr>
          <w:iCs/>
        </w:rPr>
      </w:pPr>
      <w:r w:rsidRPr="00AF0BBA">
        <w:rPr>
          <w:iCs/>
        </w:rPr>
        <w:t>(2)</w:t>
      </w:r>
      <w:r w:rsidRPr="00AF0BBA">
        <w:rPr>
          <w:iCs/>
        </w:rPr>
        <w:tab/>
        <w:t>ERCOT shall issue a miscellaneous Invoice allocating expenses incurred related to the processing of an RMR Agreement or validation and/or processing of RMR budgets on an LRS basis.  ERCOT shall issue the miscellaneous Invoice no later than 30 days after the RTM True-Up Statement is issued for the last day of the calendar month in which ERCOT incurred the expense.</w:t>
      </w:r>
      <w:r w:rsidRPr="00AF0BBA" w:rsidDel="00684213">
        <w:rPr>
          <w:iCs/>
        </w:rPr>
        <w:t xml:space="preserve"> </w:t>
      </w:r>
      <w:r w:rsidRPr="00AF0BBA">
        <w:rPr>
          <w:iCs/>
        </w:rPr>
        <w:t xml:space="preserve"> A separate Invoice will be sent for each RMR Agreement.</w:t>
      </w:r>
    </w:p>
    <w:p w14:paraId="1FA67CA2" w14:textId="77777777" w:rsidR="00326E23" w:rsidRPr="00AF0BBA" w:rsidRDefault="00326E23" w:rsidP="00326E23">
      <w:pPr>
        <w:spacing w:after="240"/>
        <w:ind w:left="1440" w:hanging="720"/>
        <w:jc w:val="both"/>
      </w:pPr>
      <w:r w:rsidRPr="00AF0BBA">
        <w:t>(a)</w:t>
      </w:r>
      <w:r w:rsidRPr="00AF0BBA">
        <w:tab/>
        <w:t>The one-</w:t>
      </w:r>
      <w:r w:rsidRPr="00AF0BBA">
        <w:rPr>
          <w:iCs/>
        </w:rPr>
        <w:t>time</w:t>
      </w:r>
      <w:r w:rsidRPr="00AF0BBA">
        <w:t xml:space="preserve"> charge is calculated as follows:</w:t>
      </w:r>
    </w:p>
    <w:p w14:paraId="51081084" w14:textId="63713A19" w:rsidR="00326E23" w:rsidRPr="00AF0BBA" w:rsidRDefault="00326E23" w:rsidP="00326E23">
      <w:pPr>
        <w:spacing w:after="240"/>
        <w:ind w:left="720" w:firstLine="720"/>
        <w:rPr>
          <w:i/>
          <w:vertAlign w:val="subscript"/>
        </w:rPr>
      </w:pPr>
      <w:r w:rsidRPr="00AF0BBA">
        <w:t>LARMROEIAMT</w:t>
      </w:r>
      <w:r w:rsidRPr="00AF0BBA">
        <w:rPr>
          <w:i/>
          <w:vertAlign w:val="subscript"/>
        </w:rPr>
        <w:t xml:space="preserve"> q</w:t>
      </w:r>
      <w:r w:rsidRPr="00AF0BBA">
        <w:t xml:space="preserve">   =  (-1) * </w:t>
      </w:r>
      <w:r w:rsidR="00A94020">
        <w:rPr>
          <w:noProof/>
          <w:position w:val="-28"/>
        </w:rPr>
        <w:drawing>
          <wp:inline distT="0" distB="0" distL="0" distR="0" wp14:anchorId="540EA72F" wp14:editId="403F9CDA">
            <wp:extent cx="276225" cy="457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sidRPr="00AF0BBA">
        <w:rPr>
          <w:lang w:val="pt-BR"/>
        </w:rPr>
        <w:t xml:space="preserve">RMROEIAMT </w:t>
      </w:r>
      <w:r w:rsidRPr="00AF0BBA">
        <w:rPr>
          <w:i/>
          <w:vertAlign w:val="subscript"/>
        </w:rPr>
        <w:t xml:space="preserve">m </w:t>
      </w:r>
      <w:r w:rsidRPr="00AF0BBA">
        <w:rPr>
          <w:lang w:val="pt-BR"/>
        </w:rPr>
        <w:t xml:space="preserve">/ MH </w:t>
      </w:r>
      <w:r w:rsidRPr="00AF0BBA">
        <w:rPr>
          <w:i/>
          <w:iCs/>
          <w:sz w:val="20"/>
          <w:vertAlign w:val="subscript"/>
        </w:rPr>
        <w:t>m</w:t>
      </w:r>
      <w:r w:rsidRPr="00AF0BBA">
        <w:rPr>
          <w:lang w:val="pt-BR"/>
        </w:rPr>
        <w:t xml:space="preserve"> * HLRS</w:t>
      </w:r>
      <w:r w:rsidRPr="00AF0BBA">
        <w:rPr>
          <w:i/>
          <w:vertAlign w:val="subscript"/>
        </w:rPr>
        <w:t xml:space="preserve"> q,</w:t>
      </w:r>
      <w:r w:rsidRPr="00AF0BBA">
        <w:rPr>
          <w:i/>
          <w:iCs/>
          <w:sz w:val="20"/>
          <w:vertAlign w:val="subscript"/>
        </w:rPr>
        <w:t xml:space="preserve"> m</w:t>
      </w:r>
    </w:p>
    <w:p w14:paraId="3D6E849A" w14:textId="77777777" w:rsidR="00326E23" w:rsidRPr="00AF0BBA" w:rsidRDefault="00326E23" w:rsidP="00326E23">
      <w:pPr>
        <w:spacing w:after="240"/>
        <w:ind w:left="1440"/>
        <w:jc w:val="both"/>
      </w:pPr>
      <w:r w:rsidRPr="00AF0BBA">
        <w:t xml:space="preserve">The HLRS used will be the HLRS for each day within the contracted month </w:t>
      </w:r>
      <w:r w:rsidRPr="00AF0BBA">
        <w:rPr>
          <w:i/>
        </w:rPr>
        <w:t>m</w:t>
      </w:r>
      <w:r w:rsidRPr="00AF0BBA">
        <w:t>.  The most recent approved HLRS available at the time the miscellaneous Invoice is posted will be used.  The miscellaneous Invoice will not be re-calculated with subsequent Settlement runs unless required by a dispute or ADR.  If a dispute or ADR requires ERCOT to re-issue the miscellaneous Invoice, the most recent approved HLRS values will be used.</w:t>
      </w:r>
    </w:p>
    <w:p w14:paraId="53E1C9F5" w14:textId="77777777" w:rsidR="00326E23" w:rsidRPr="00AF0BBA" w:rsidRDefault="00326E23" w:rsidP="00326E23">
      <w:pPr>
        <w:spacing w:after="240"/>
        <w:ind w:left="1440" w:hanging="720"/>
        <w:jc w:val="both"/>
      </w:pPr>
      <w:r w:rsidRPr="00AF0BBA">
        <w:lastRenderedPageBreak/>
        <w:t xml:space="preserve">(b) </w:t>
      </w:r>
      <w:r w:rsidRPr="00AF0BBA">
        <w:tab/>
        <w:t>Upon issuance of the miscellaneous Invoice, ERCOT shall issue a Market Notice containing the value of RMROEIAMT and the Settlement run containing the HLRS that was used in the Settlement.</w:t>
      </w:r>
    </w:p>
    <w:p w14:paraId="180D96D2"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77E07BD6" w14:textId="77777777" w:rsidTr="009B2773">
        <w:tc>
          <w:tcPr>
            <w:tcW w:w="1296" w:type="pct"/>
          </w:tcPr>
          <w:p w14:paraId="5C5FAF75" w14:textId="77777777" w:rsidR="00326E23" w:rsidRPr="00AF0BBA" w:rsidRDefault="00326E23" w:rsidP="009B2773">
            <w:pPr>
              <w:spacing w:after="240"/>
              <w:rPr>
                <w:b/>
                <w:iCs/>
                <w:sz w:val="20"/>
              </w:rPr>
            </w:pPr>
            <w:r w:rsidRPr="00AF0BBA">
              <w:rPr>
                <w:b/>
                <w:iCs/>
                <w:sz w:val="20"/>
              </w:rPr>
              <w:t>Variable</w:t>
            </w:r>
          </w:p>
        </w:tc>
        <w:tc>
          <w:tcPr>
            <w:tcW w:w="474" w:type="pct"/>
          </w:tcPr>
          <w:p w14:paraId="5DDB0C0B" w14:textId="77777777" w:rsidR="00326E23" w:rsidRPr="00AF0BBA" w:rsidRDefault="00326E23" w:rsidP="009B2773">
            <w:pPr>
              <w:spacing w:after="240"/>
              <w:rPr>
                <w:b/>
                <w:iCs/>
                <w:sz w:val="20"/>
              </w:rPr>
            </w:pPr>
            <w:r w:rsidRPr="00AF0BBA">
              <w:rPr>
                <w:b/>
                <w:iCs/>
                <w:sz w:val="20"/>
              </w:rPr>
              <w:t>Unit</w:t>
            </w:r>
          </w:p>
        </w:tc>
        <w:tc>
          <w:tcPr>
            <w:tcW w:w="3230" w:type="pct"/>
          </w:tcPr>
          <w:p w14:paraId="3769FB75" w14:textId="77777777" w:rsidR="00326E23" w:rsidRPr="00AF0BBA" w:rsidRDefault="00326E23" w:rsidP="009B2773">
            <w:pPr>
              <w:spacing w:after="240"/>
              <w:rPr>
                <w:b/>
                <w:iCs/>
                <w:sz w:val="20"/>
              </w:rPr>
            </w:pPr>
            <w:r w:rsidRPr="00AF0BBA">
              <w:rPr>
                <w:b/>
                <w:iCs/>
                <w:sz w:val="20"/>
              </w:rPr>
              <w:t>Description</w:t>
            </w:r>
          </w:p>
        </w:tc>
      </w:tr>
      <w:tr w:rsidR="00326E23" w:rsidRPr="00AF0BBA" w14:paraId="701D3666" w14:textId="77777777" w:rsidTr="009B2773">
        <w:trPr>
          <w:cantSplit/>
          <w:trHeight w:val="692"/>
        </w:trPr>
        <w:tc>
          <w:tcPr>
            <w:tcW w:w="1296" w:type="pct"/>
          </w:tcPr>
          <w:p w14:paraId="79FBB3C1" w14:textId="77777777" w:rsidR="00326E23" w:rsidRPr="00AF0BBA" w:rsidRDefault="00326E23" w:rsidP="009B2773">
            <w:pPr>
              <w:spacing w:after="60"/>
              <w:rPr>
                <w:iCs/>
                <w:sz w:val="20"/>
              </w:rPr>
            </w:pPr>
            <w:r w:rsidRPr="00AF0BBA">
              <w:rPr>
                <w:iCs/>
                <w:sz w:val="20"/>
                <w:lang w:val="pt-BR"/>
              </w:rPr>
              <w:t xml:space="preserve">RMROEIAMT </w:t>
            </w:r>
            <w:r w:rsidRPr="00AF0BBA">
              <w:rPr>
                <w:i/>
                <w:iCs/>
                <w:sz w:val="20"/>
                <w:vertAlign w:val="subscript"/>
              </w:rPr>
              <w:t>m</w:t>
            </w:r>
          </w:p>
        </w:tc>
        <w:tc>
          <w:tcPr>
            <w:tcW w:w="474" w:type="pct"/>
          </w:tcPr>
          <w:p w14:paraId="482BEC6C" w14:textId="77777777" w:rsidR="00326E23" w:rsidRPr="00AF0BBA" w:rsidRDefault="00326E23" w:rsidP="009B2773">
            <w:pPr>
              <w:spacing w:after="60"/>
              <w:rPr>
                <w:iCs/>
                <w:sz w:val="20"/>
              </w:rPr>
            </w:pPr>
            <w:r w:rsidRPr="00AF0BBA">
              <w:rPr>
                <w:iCs/>
                <w:sz w:val="20"/>
              </w:rPr>
              <w:t>$</w:t>
            </w:r>
          </w:p>
        </w:tc>
        <w:tc>
          <w:tcPr>
            <w:tcW w:w="3230" w:type="pct"/>
          </w:tcPr>
          <w:p w14:paraId="5819C812" w14:textId="77777777" w:rsidR="00326E23" w:rsidRPr="00AF0BBA" w:rsidRDefault="00326E23" w:rsidP="009B2773">
            <w:pPr>
              <w:spacing w:after="60"/>
              <w:rPr>
                <w:iCs/>
                <w:sz w:val="20"/>
              </w:rPr>
            </w:pPr>
            <w:r w:rsidRPr="00AF0BBA">
              <w:rPr>
                <w:i/>
                <w:iCs/>
                <w:sz w:val="20"/>
              </w:rPr>
              <w:t>RMR Other Expense Incurred Amount –</w:t>
            </w:r>
            <w:r w:rsidRPr="00AF0BBA">
              <w:rPr>
                <w:iCs/>
                <w:sz w:val="20"/>
              </w:rPr>
              <w:t xml:space="preserve"> The amount of expenses incurred in the validation and processing of an RMR Agreement, for the month </w:t>
            </w:r>
            <w:r w:rsidRPr="00AF0BBA">
              <w:rPr>
                <w:i/>
                <w:iCs/>
                <w:sz w:val="20"/>
              </w:rPr>
              <w:t>m</w:t>
            </w:r>
            <w:r w:rsidRPr="00AF0BBA">
              <w:rPr>
                <w:iCs/>
                <w:sz w:val="20"/>
              </w:rPr>
              <w:t>, that are not paid to the QSE representing the RMR Unit e.g. third-party expenses incurred in the evaluation and validation of submitted RMR budgets.</w:t>
            </w:r>
          </w:p>
        </w:tc>
      </w:tr>
      <w:tr w:rsidR="00326E23" w:rsidRPr="00AF0BBA" w14:paraId="5E1C39BE" w14:textId="77777777" w:rsidTr="009B2773">
        <w:trPr>
          <w:cantSplit/>
        </w:trPr>
        <w:tc>
          <w:tcPr>
            <w:tcW w:w="1296" w:type="pct"/>
          </w:tcPr>
          <w:p w14:paraId="2BBCDB6B" w14:textId="77777777" w:rsidR="00326E23" w:rsidRPr="00AF0BBA" w:rsidRDefault="00326E23" w:rsidP="009B2773">
            <w:pPr>
              <w:spacing w:after="60"/>
              <w:rPr>
                <w:iCs/>
                <w:sz w:val="20"/>
              </w:rPr>
            </w:pPr>
            <w:r w:rsidRPr="00AF0BBA">
              <w:rPr>
                <w:iCs/>
                <w:sz w:val="20"/>
              </w:rPr>
              <w:t>LARMROEIAMT</w:t>
            </w:r>
            <w:r w:rsidRPr="00AF0BBA">
              <w:rPr>
                <w:i/>
                <w:iCs/>
                <w:sz w:val="20"/>
                <w:vertAlign w:val="subscript"/>
              </w:rPr>
              <w:t xml:space="preserve"> q</w:t>
            </w:r>
          </w:p>
        </w:tc>
        <w:tc>
          <w:tcPr>
            <w:tcW w:w="474" w:type="pct"/>
          </w:tcPr>
          <w:p w14:paraId="073A7529"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68AD5ED6"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RMR Other Expense Incurred Amount </w:t>
            </w:r>
            <w:r w:rsidRPr="00AF0BBA">
              <w:rPr>
                <w:iCs/>
                <w:sz w:val="20"/>
              </w:rPr>
              <w:t>– The amount of other expenses incurred charged to QSE</w:t>
            </w:r>
            <w:r w:rsidRPr="00AF0BBA">
              <w:rPr>
                <w:i/>
                <w:iCs/>
                <w:sz w:val="20"/>
              </w:rPr>
              <w:t xml:space="preserve"> q</w:t>
            </w:r>
            <w:r w:rsidRPr="00AF0BBA">
              <w:rPr>
                <w:iCs/>
                <w:sz w:val="20"/>
              </w:rPr>
              <w:t xml:space="preserve"> based on its HLRS.</w:t>
            </w:r>
          </w:p>
        </w:tc>
      </w:tr>
      <w:tr w:rsidR="00326E23" w:rsidRPr="00AF0BBA" w14:paraId="163769FF" w14:textId="77777777" w:rsidTr="009B2773">
        <w:trPr>
          <w:cantSplit/>
        </w:trPr>
        <w:tc>
          <w:tcPr>
            <w:tcW w:w="1296" w:type="pct"/>
          </w:tcPr>
          <w:p w14:paraId="7BE00D7B"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q, m</w:t>
            </w:r>
          </w:p>
        </w:tc>
        <w:tc>
          <w:tcPr>
            <w:tcW w:w="474" w:type="pct"/>
          </w:tcPr>
          <w:p w14:paraId="5D72114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C0CE844"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iCs/>
                <w:sz w:val="20"/>
              </w:rPr>
              <w:t>m</w:t>
            </w:r>
            <w:r w:rsidRPr="00AF0BBA">
              <w:rPr>
                <w:color w:val="000000"/>
                <w:sz w:val="20"/>
              </w:rPr>
              <w:t xml:space="preserve">.  See Section 6.6.2.4, QSE Load Ratio Share for an Operating Hour. </w:t>
            </w:r>
          </w:p>
        </w:tc>
      </w:tr>
      <w:tr w:rsidR="00326E23" w:rsidRPr="00AF0BBA" w14:paraId="3F3BF1AD" w14:textId="77777777" w:rsidTr="009B2773">
        <w:trPr>
          <w:cantSplit/>
        </w:trPr>
        <w:tc>
          <w:tcPr>
            <w:tcW w:w="1296" w:type="pct"/>
          </w:tcPr>
          <w:p w14:paraId="66EA27B0" w14:textId="77777777" w:rsidR="00326E23" w:rsidRPr="00AF0BBA" w:rsidRDefault="00326E23" w:rsidP="009B2773">
            <w:pPr>
              <w:spacing w:after="60"/>
              <w:rPr>
                <w:iCs/>
                <w:sz w:val="20"/>
              </w:rPr>
            </w:pPr>
            <w:r w:rsidRPr="00AF0BBA">
              <w:rPr>
                <w:iCs/>
                <w:sz w:val="20"/>
              </w:rPr>
              <w:t>MH</w:t>
            </w:r>
            <w:r w:rsidRPr="00AF0BBA">
              <w:rPr>
                <w:i/>
                <w:iCs/>
                <w:sz w:val="20"/>
                <w:vertAlign w:val="subscript"/>
              </w:rPr>
              <w:t xml:space="preserve"> m</w:t>
            </w:r>
            <w:r w:rsidRPr="00AF0BBA">
              <w:rPr>
                <w:iCs/>
                <w:sz w:val="20"/>
              </w:rPr>
              <w:t xml:space="preserve"> </w:t>
            </w:r>
          </w:p>
        </w:tc>
        <w:tc>
          <w:tcPr>
            <w:tcW w:w="474" w:type="pct"/>
          </w:tcPr>
          <w:p w14:paraId="400172CA"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129D7FC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which overlaps a month in which an RMR Agreement was effective.</w:t>
            </w:r>
          </w:p>
        </w:tc>
      </w:tr>
      <w:tr w:rsidR="00326E23" w:rsidRPr="00AF0BBA" w14:paraId="6568AC60" w14:textId="77777777" w:rsidTr="009B2773">
        <w:trPr>
          <w:cantSplit/>
          <w:trHeight w:val="323"/>
        </w:trPr>
        <w:tc>
          <w:tcPr>
            <w:tcW w:w="1296" w:type="pct"/>
          </w:tcPr>
          <w:p w14:paraId="79B34167" w14:textId="77777777" w:rsidR="00326E23" w:rsidRPr="00AF0BBA" w:rsidRDefault="00326E23" w:rsidP="009B2773">
            <w:pPr>
              <w:spacing w:after="60"/>
              <w:rPr>
                <w:iCs/>
                <w:sz w:val="20"/>
              </w:rPr>
            </w:pPr>
            <w:r w:rsidRPr="00AF0BBA">
              <w:rPr>
                <w:i/>
                <w:iCs/>
                <w:sz w:val="20"/>
              </w:rPr>
              <w:t>m</w:t>
            </w:r>
          </w:p>
        </w:tc>
        <w:tc>
          <w:tcPr>
            <w:tcW w:w="474" w:type="pct"/>
          </w:tcPr>
          <w:p w14:paraId="6CE0F82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D9D44E5"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40F8C6A9" w14:textId="77777777" w:rsidTr="009B2773">
        <w:trPr>
          <w:cantSplit/>
          <w:trHeight w:val="323"/>
        </w:trPr>
        <w:tc>
          <w:tcPr>
            <w:tcW w:w="1296" w:type="pct"/>
          </w:tcPr>
          <w:p w14:paraId="7BA9DF00" w14:textId="77777777" w:rsidR="00326E23" w:rsidRPr="00AF0BBA" w:rsidRDefault="00326E23" w:rsidP="009B2773">
            <w:pPr>
              <w:spacing w:after="60"/>
              <w:rPr>
                <w:i/>
                <w:iCs/>
                <w:sz w:val="20"/>
              </w:rPr>
            </w:pPr>
            <w:r w:rsidRPr="00AF0BBA">
              <w:rPr>
                <w:i/>
                <w:iCs/>
                <w:sz w:val="20"/>
              </w:rPr>
              <w:t>q</w:t>
            </w:r>
          </w:p>
        </w:tc>
        <w:tc>
          <w:tcPr>
            <w:tcW w:w="474" w:type="pct"/>
          </w:tcPr>
          <w:p w14:paraId="3EDCF411"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3D8C0DC3"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260D3C08" w14:textId="77777777" w:rsidTr="009B2773">
        <w:trPr>
          <w:cantSplit/>
          <w:trHeight w:val="323"/>
        </w:trPr>
        <w:tc>
          <w:tcPr>
            <w:tcW w:w="1296" w:type="pct"/>
          </w:tcPr>
          <w:p w14:paraId="22EA0C8D" w14:textId="77777777" w:rsidR="00326E23" w:rsidRPr="00AF0BBA" w:rsidRDefault="00326E23" w:rsidP="009B2773">
            <w:pPr>
              <w:spacing w:after="60"/>
              <w:rPr>
                <w:i/>
                <w:iCs/>
                <w:sz w:val="20"/>
              </w:rPr>
            </w:pPr>
            <w:r w:rsidRPr="00AF0BBA">
              <w:rPr>
                <w:i/>
                <w:iCs/>
                <w:sz w:val="20"/>
              </w:rPr>
              <w:t>r</w:t>
            </w:r>
          </w:p>
        </w:tc>
        <w:tc>
          <w:tcPr>
            <w:tcW w:w="474" w:type="pct"/>
          </w:tcPr>
          <w:p w14:paraId="07F037D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59A286A"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64C4CA5B" w14:textId="77777777" w:rsidR="00326E23" w:rsidRPr="006459E7" w:rsidRDefault="00326E23" w:rsidP="00326E23">
      <w:pPr>
        <w:spacing w:before="240" w:after="240"/>
        <w:ind w:left="720" w:hanging="720"/>
      </w:pPr>
      <w:r w:rsidRPr="006459E7">
        <w:rPr>
          <w:bCs/>
        </w:rPr>
        <w:t>(</w:t>
      </w:r>
      <w:r>
        <w:rPr>
          <w:bCs/>
        </w:rPr>
        <w:t>3</w:t>
      </w:r>
      <w:r w:rsidRPr="006459E7">
        <w:rPr>
          <w:bCs/>
        </w:rPr>
        <w:t>)</w:t>
      </w:r>
      <w:r w:rsidRPr="006459E7">
        <w:rPr>
          <w:bCs/>
        </w:rPr>
        <w:tab/>
        <w:t>ERCOT shall collect and distribute Must-Run Alternative (MRA) contributed capital expenditures described in Section 3.14.1.1</w:t>
      </w:r>
      <w:r>
        <w:rPr>
          <w:bCs/>
        </w:rPr>
        <w:t>9</w:t>
      </w:r>
      <w:r w:rsidRPr="006459E7">
        <w:rPr>
          <w:bCs/>
        </w:rPr>
        <w:t xml:space="preserve"> as follows:</w:t>
      </w:r>
    </w:p>
    <w:p w14:paraId="6C9401E3" w14:textId="77777777" w:rsidR="00326E23" w:rsidRPr="006459E7" w:rsidRDefault="00326E23" w:rsidP="00326E23">
      <w:pPr>
        <w:spacing w:after="240"/>
        <w:ind w:left="1440" w:hanging="720"/>
      </w:pPr>
      <w:r w:rsidRPr="006459E7">
        <w:t>(a)</w:t>
      </w:r>
      <w:r w:rsidRPr="006459E7">
        <w:tab/>
        <w:t xml:space="preserve">The one-time charge to the QSE to collect the lump sum of contributed capital </w:t>
      </w:r>
      <w:r w:rsidRPr="006459E7">
        <w:rPr>
          <w:iCs/>
        </w:rPr>
        <w:t>expenditures</w:t>
      </w:r>
      <w:r w:rsidRPr="006459E7">
        <w:t xml:space="preserve"> will be reflected as:</w:t>
      </w:r>
    </w:p>
    <w:p w14:paraId="051952D6" w14:textId="77777777" w:rsidR="00326E23" w:rsidRPr="006459E7" w:rsidRDefault="00326E23" w:rsidP="00326E23">
      <w:pPr>
        <w:spacing w:before="240" w:after="240"/>
        <w:ind w:left="720" w:firstLine="720"/>
      </w:pPr>
      <w:r w:rsidRPr="006459E7">
        <w:rPr>
          <w:lang w:val="pt-BR"/>
        </w:rPr>
        <w:t>MRACERAMT</w:t>
      </w:r>
      <w:r w:rsidRPr="006459E7">
        <w:rPr>
          <w:i/>
          <w:vertAlign w:val="subscript"/>
        </w:rPr>
        <w:t xml:space="preserve"> q, r, c</w:t>
      </w:r>
    </w:p>
    <w:p w14:paraId="378B887A" w14:textId="77777777" w:rsidR="00326E23" w:rsidRPr="006459E7" w:rsidRDefault="00326E23" w:rsidP="00326E23">
      <w:pPr>
        <w:spacing w:after="240"/>
        <w:ind w:left="1440" w:hanging="720"/>
      </w:pPr>
      <w:r w:rsidRPr="006459E7">
        <w:t>(b)</w:t>
      </w:r>
      <w:r w:rsidRPr="006459E7">
        <w:tab/>
        <w:t>The one-</w:t>
      </w:r>
      <w:r w:rsidRPr="006459E7">
        <w:rPr>
          <w:iCs/>
        </w:rPr>
        <w:t>time</w:t>
      </w:r>
      <w:r w:rsidRPr="006459E7">
        <w:t xml:space="preserve"> payment is calculated as follows:</w:t>
      </w:r>
    </w:p>
    <w:p w14:paraId="7EFF74A7" w14:textId="52D447FD" w:rsidR="00326E23" w:rsidRPr="006459E7" w:rsidRDefault="00326E23" w:rsidP="00326E23">
      <w:pPr>
        <w:spacing w:after="240"/>
        <w:ind w:left="720" w:firstLine="720"/>
        <w:rPr>
          <w:i/>
          <w:vertAlign w:val="subscript"/>
        </w:rPr>
      </w:pPr>
      <w:r w:rsidRPr="006459E7">
        <w:t>LAMRACERAMT</w:t>
      </w:r>
      <w:r w:rsidRPr="006459E7">
        <w:rPr>
          <w:i/>
          <w:vertAlign w:val="subscript"/>
        </w:rPr>
        <w:t xml:space="preserve"> q</w:t>
      </w:r>
      <w:r w:rsidRPr="006459E7">
        <w:t xml:space="preserve">   =   (-1) * </w:t>
      </w:r>
      <w:r w:rsidR="00A94020">
        <w:rPr>
          <w:noProof/>
          <w:position w:val="-18"/>
        </w:rPr>
        <w:drawing>
          <wp:inline distT="0" distB="0" distL="0" distR="0" wp14:anchorId="51308978" wp14:editId="3B44A0A9">
            <wp:extent cx="133350" cy="257175"/>
            <wp:effectExtent l="0" t="0" r="0" b="9525"/>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00A94020">
        <w:rPr>
          <w:noProof/>
          <w:position w:val="-18"/>
        </w:rPr>
        <w:drawing>
          <wp:inline distT="0" distB="0" distL="0" distR="0" wp14:anchorId="4E16A0CD" wp14:editId="676652FE">
            <wp:extent cx="133350" cy="257175"/>
            <wp:effectExtent l="0" t="0" r="0" b="9525"/>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Pr="006459E7">
        <w:t xml:space="preserve"> </w:t>
      </w:r>
      <w:r w:rsidRPr="006459E7">
        <w:rPr>
          <w:lang w:val="pt-BR"/>
        </w:rPr>
        <w:t>MMRACER / MH</w:t>
      </w:r>
      <w:r w:rsidRPr="006459E7">
        <w:rPr>
          <w:i/>
          <w:vertAlign w:val="subscript"/>
        </w:rPr>
        <w:t xml:space="preserve"> q, r</w:t>
      </w:r>
      <w:r w:rsidRPr="006459E7">
        <w:rPr>
          <w:lang w:val="pt-BR"/>
        </w:rPr>
        <w:t xml:space="preserve"> * HLRS</w:t>
      </w:r>
      <w:r w:rsidRPr="006459E7">
        <w:rPr>
          <w:i/>
          <w:vertAlign w:val="subscript"/>
        </w:rPr>
        <w:t xml:space="preserve"> q</w:t>
      </w:r>
    </w:p>
    <w:p w14:paraId="292B1DAF" w14:textId="77777777" w:rsidR="00326E23" w:rsidRPr="006459E7" w:rsidRDefault="00326E23" w:rsidP="00326E23">
      <w:pPr>
        <w:spacing w:after="240"/>
        <w:ind w:left="720" w:firstLine="720"/>
        <w:rPr>
          <w:i/>
          <w:vertAlign w:val="subscript"/>
        </w:rPr>
      </w:pPr>
      <w:r w:rsidRPr="006459E7">
        <w:t>Where:</w:t>
      </w:r>
    </w:p>
    <w:p w14:paraId="761E9584" w14:textId="77777777" w:rsidR="00326E23" w:rsidRPr="006459E7" w:rsidRDefault="00326E23" w:rsidP="00326E23">
      <w:pPr>
        <w:spacing w:after="240"/>
        <w:ind w:left="1440"/>
        <w:rPr>
          <w:i/>
          <w:vertAlign w:val="subscript"/>
        </w:rPr>
      </w:pPr>
      <w:r w:rsidRPr="006459E7">
        <w:rPr>
          <w:lang w:val="pt-BR"/>
        </w:rPr>
        <w:t>MMRACER =    MRACERAMT</w:t>
      </w:r>
      <w:r w:rsidRPr="006459E7">
        <w:rPr>
          <w:i/>
          <w:vertAlign w:val="subscript"/>
        </w:rPr>
        <w:t xml:space="preserve"> q, r, c</w:t>
      </w:r>
      <w:r w:rsidRPr="006459E7">
        <w:rPr>
          <w:lang w:val="pt-BR"/>
        </w:rPr>
        <w:t xml:space="preserve"> / CM</w:t>
      </w:r>
      <w:r w:rsidRPr="006459E7">
        <w:rPr>
          <w:i/>
          <w:vertAlign w:val="subscript"/>
        </w:rPr>
        <w:t xml:space="preserve"> q, r, c</w:t>
      </w:r>
    </w:p>
    <w:p w14:paraId="0E5AEC15" w14:textId="77777777" w:rsidR="00326E23" w:rsidRPr="006459E7" w:rsidRDefault="00326E23" w:rsidP="00326E23">
      <w:pPr>
        <w:spacing w:after="240"/>
        <w:ind w:left="1440"/>
        <w:jc w:val="both"/>
      </w:pPr>
      <w:r w:rsidRPr="006459E7">
        <w:t xml:space="preserve">The HLRS used will be the HLRS for each day within the contracted month M.  The most recent approved HLRS available at time the miscellaneous Invoice is posted will be used.  The miscellaneous Invoice will not be re-calculated with subsequent Settlement runs unless required by a dispute or ADR. </w:t>
      </w:r>
      <w:r>
        <w:t xml:space="preserve"> </w:t>
      </w:r>
      <w:r w:rsidRPr="006459E7">
        <w:t>If a dispute or ADR requires ERCOT to re-issue the miscellaneous Invoice, the most recent approved HLRS values will be used.</w:t>
      </w:r>
    </w:p>
    <w:p w14:paraId="511F904F" w14:textId="77777777" w:rsidR="00326E23" w:rsidRPr="006459E7" w:rsidRDefault="00326E23" w:rsidP="00326E23">
      <w:pPr>
        <w:tabs>
          <w:tab w:val="left" w:pos="2250"/>
          <w:tab w:val="left" w:pos="3150"/>
          <w:tab w:val="left" w:pos="3960"/>
        </w:tabs>
      </w:pPr>
      <w:r w:rsidRPr="006459E7">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0"/>
      </w:tblGrid>
      <w:tr w:rsidR="00326E23" w:rsidRPr="006459E7" w14:paraId="20C50F21" w14:textId="77777777" w:rsidTr="00E15B46">
        <w:tc>
          <w:tcPr>
            <w:tcW w:w="1296" w:type="pct"/>
          </w:tcPr>
          <w:p w14:paraId="42F006C2" w14:textId="77777777" w:rsidR="00326E23" w:rsidRPr="006459E7" w:rsidRDefault="00326E23" w:rsidP="009B2773">
            <w:pPr>
              <w:spacing w:after="240"/>
              <w:rPr>
                <w:b/>
                <w:iCs/>
                <w:sz w:val="20"/>
              </w:rPr>
            </w:pPr>
            <w:r w:rsidRPr="006459E7">
              <w:rPr>
                <w:b/>
                <w:iCs/>
                <w:sz w:val="20"/>
              </w:rPr>
              <w:lastRenderedPageBreak/>
              <w:t>Variable</w:t>
            </w:r>
          </w:p>
        </w:tc>
        <w:tc>
          <w:tcPr>
            <w:tcW w:w="474" w:type="pct"/>
          </w:tcPr>
          <w:p w14:paraId="0D401513" w14:textId="77777777" w:rsidR="00326E23" w:rsidRPr="006459E7" w:rsidRDefault="00326E23" w:rsidP="009B2773">
            <w:pPr>
              <w:spacing w:after="240"/>
              <w:rPr>
                <w:b/>
                <w:iCs/>
                <w:sz w:val="20"/>
              </w:rPr>
            </w:pPr>
            <w:r w:rsidRPr="006459E7">
              <w:rPr>
                <w:b/>
                <w:iCs/>
                <w:sz w:val="20"/>
              </w:rPr>
              <w:t>Unit</w:t>
            </w:r>
          </w:p>
        </w:tc>
        <w:tc>
          <w:tcPr>
            <w:tcW w:w="3230" w:type="pct"/>
          </w:tcPr>
          <w:p w14:paraId="6E753026" w14:textId="77777777" w:rsidR="00326E23" w:rsidRPr="006459E7" w:rsidRDefault="00326E23" w:rsidP="009B2773">
            <w:pPr>
              <w:spacing w:after="240"/>
              <w:rPr>
                <w:b/>
                <w:iCs/>
                <w:sz w:val="20"/>
              </w:rPr>
            </w:pPr>
            <w:r w:rsidRPr="006459E7">
              <w:rPr>
                <w:b/>
                <w:iCs/>
                <w:sz w:val="20"/>
              </w:rPr>
              <w:t>Description</w:t>
            </w:r>
          </w:p>
        </w:tc>
      </w:tr>
      <w:tr w:rsidR="00326E23" w:rsidRPr="006459E7" w14:paraId="202C2FA0" w14:textId="77777777" w:rsidTr="00E15B46">
        <w:trPr>
          <w:cantSplit/>
          <w:trHeight w:val="692"/>
        </w:trPr>
        <w:tc>
          <w:tcPr>
            <w:tcW w:w="1296" w:type="pct"/>
          </w:tcPr>
          <w:p w14:paraId="42E21910" w14:textId="77777777" w:rsidR="00326E23" w:rsidRPr="006459E7" w:rsidRDefault="00326E23" w:rsidP="009B2773">
            <w:pPr>
              <w:spacing w:after="60"/>
              <w:rPr>
                <w:iCs/>
                <w:sz w:val="20"/>
              </w:rPr>
            </w:pPr>
            <w:r w:rsidRPr="006459E7">
              <w:rPr>
                <w:iCs/>
                <w:sz w:val="20"/>
                <w:lang w:val="pt-BR"/>
              </w:rPr>
              <w:t>MRACERAMT</w:t>
            </w:r>
            <w:r w:rsidRPr="006459E7">
              <w:rPr>
                <w:i/>
                <w:iCs/>
                <w:sz w:val="20"/>
                <w:vertAlign w:val="subscript"/>
              </w:rPr>
              <w:t xml:space="preserve"> q, r, c</w:t>
            </w:r>
          </w:p>
        </w:tc>
        <w:tc>
          <w:tcPr>
            <w:tcW w:w="474" w:type="pct"/>
          </w:tcPr>
          <w:p w14:paraId="76E85DDD" w14:textId="77777777" w:rsidR="00326E23" w:rsidRPr="006459E7" w:rsidRDefault="00326E23" w:rsidP="009B2773">
            <w:pPr>
              <w:spacing w:after="60"/>
              <w:rPr>
                <w:iCs/>
                <w:sz w:val="20"/>
              </w:rPr>
            </w:pPr>
            <w:r w:rsidRPr="006459E7">
              <w:rPr>
                <w:iCs/>
                <w:sz w:val="20"/>
              </w:rPr>
              <w:t>$</w:t>
            </w:r>
          </w:p>
        </w:tc>
        <w:tc>
          <w:tcPr>
            <w:tcW w:w="3230" w:type="pct"/>
          </w:tcPr>
          <w:p w14:paraId="4B65EC6F" w14:textId="77777777" w:rsidR="00326E23" w:rsidRPr="006459E7" w:rsidRDefault="00326E23" w:rsidP="009B2773">
            <w:pPr>
              <w:spacing w:after="60"/>
              <w:rPr>
                <w:iCs/>
                <w:sz w:val="20"/>
              </w:rPr>
            </w:pPr>
            <w:r w:rsidRPr="006459E7">
              <w:rPr>
                <w:i/>
                <w:iCs/>
                <w:sz w:val="20"/>
              </w:rPr>
              <w:t>Must-Run Alternative Capital Expenditure Refund Amount</w:t>
            </w:r>
            <w:r w:rsidRPr="006459E7">
              <w:rPr>
                <w:iCs/>
                <w:sz w:val="20"/>
              </w:rPr>
              <w:t xml:space="preserve"> – The lump sum amount of contributed capital expenditures refunded to ERCOT per Section </w:t>
            </w:r>
            <w:r w:rsidRPr="006459E7">
              <w:rPr>
                <w:bCs/>
                <w:iCs/>
                <w:sz w:val="20"/>
              </w:rPr>
              <w:t>3.14.1.1</w:t>
            </w:r>
            <w:r>
              <w:rPr>
                <w:bCs/>
                <w:iCs/>
                <w:sz w:val="20"/>
              </w:rPr>
              <w:t>9</w:t>
            </w:r>
            <w:r w:rsidRPr="006459E7">
              <w:rPr>
                <w:iCs/>
                <w:sz w:val="20"/>
              </w:rPr>
              <w:t xml:space="preserve">. </w:t>
            </w:r>
          </w:p>
        </w:tc>
      </w:tr>
      <w:tr w:rsidR="00326E23" w:rsidRPr="006459E7" w14:paraId="45A726EC" w14:textId="77777777" w:rsidTr="00E15B46">
        <w:trPr>
          <w:cantSplit/>
        </w:trPr>
        <w:tc>
          <w:tcPr>
            <w:tcW w:w="1296" w:type="pct"/>
          </w:tcPr>
          <w:p w14:paraId="5A2BC3AC" w14:textId="77777777" w:rsidR="00326E23" w:rsidRPr="006459E7" w:rsidRDefault="00326E23" w:rsidP="009B2773">
            <w:pPr>
              <w:spacing w:after="60"/>
              <w:rPr>
                <w:iCs/>
                <w:sz w:val="20"/>
              </w:rPr>
            </w:pPr>
            <w:r w:rsidRPr="006459E7">
              <w:rPr>
                <w:iCs/>
                <w:sz w:val="20"/>
                <w:lang w:val="pt-BR"/>
              </w:rPr>
              <w:t>MMRACER</w:t>
            </w:r>
          </w:p>
        </w:tc>
        <w:tc>
          <w:tcPr>
            <w:tcW w:w="474" w:type="pct"/>
          </w:tcPr>
          <w:p w14:paraId="5BFE8050" w14:textId="77777777" w:rsidR="00326E23" w:rsidRPr="006459E7" w:rsidRDefault="00326E23" w:rsidP="009B2773">
            <w:pPr>
              <w:tabs>
                <w:tab w:val="left" w:pos="2160"/>
              </w:tabs>
              <w:spacing w:after="60"/>
              <w:contextualSpacing/>
              <w:rPr>
                <w:iCs/>
                <w:sz w:val="20"/>
              </w:rPr>
            </w:pPr>
            <w:r w:rsidRPr="006459E7">
              <w:rPr>
                <w:sz w:val="20"/>
              </w:rPr>
              <w:t>$</w:t>
            </w:r>
          </w:p>
        </w:tc>
        <w:tc>
          <w:tcPr>
            <w:tcW w:w="3230" w:type="pct"/>
          </w:tcPr>
          <w:p w14:paraId="4D8D6D4E" w14:textId="77777777" w:rsidR="00326E23" w:rsidRPr="006459E7" w:rsidRDefault="00326E23" w:rsidP="009B2773">
            <w:pPr>
              <w:spacing w:after="60"/>
              <w:rPr>
                <w:iCs/>
                <w:sz w:val="20"/>
              </w:rPr>
            </w:pPr>
            <w:r w:rsidRPr="006459E7">
              <w:rPr>
                <w:i/>
                <w:iCs/>
                <w:sz w:val="20"/>
              </w:rPr>
              <w:t xml:space="preserve">Monthly Must-Run Alternative Capital Expenditure Refund </w:t>
            </w:r>
            <w:r w:rsidRPr="006459E7">
              <w:rPr>
                <w:iCs/>
                <w:sz w:val="20"/>
              </w:rPr>
              <w:t xml:space="preserve">– The lump sum amount of contributed capital expenditures refunded to ERCOT per Section </w:t>
            </w:r>
            <w:r w:rsidRPr="006459E7">
              <w:rPr>
                <w:bCs/>
                <w:iCs/>
                <w:sz w:val="20"/>
              </w:rPr>
              <w:t>3.14.1.1</w:t>
            </w:r>
            <w:r>
              <w:rPr>
                <w:bCs/>
                <w:iCs/>
                <w:sz w:val="20"/>
              </w:rPr>
              <w:t>9</w:t>
            </w:r>
            <w:r w:rsidRPr="006459E7">
              <w:rPr>
                <w:iCs/>
                <w:sz w:val="20"/>
              </w:rPr>
              <w:t xml:space="preserve"> pro-rated over the number of months of the MRA Agreement.</w:t>
            </w:r>
          </w:p>
        </w:tc>
      </w:tr>
      <w:tr w:rsidR="00326E23" w:rsidRPr="006459E7" w14:paraId="3C7931E3" w14:textId="77777777" w:rsidTr="00E15B46">
        <w:trPr>
          <w:cantSplit/>
        </w:trPr>
        <w:tc>
          <w:tcPr>
            <w:tcW w:w="1296" w:type="pct"/>
          </w:tcPr>
          <w:p w14:paraId="388D008E" w14:textId="77777777" w:rsidR="00326E23" w:rsidRPr="006459E7" w:rsidRDefault="00326E23" w:rsidP="009B2773">
            <w:pPr>
              <w:spacing w:after="60"/>
              <w:rPr>
                <w:iCs/>
                <w:sz w:val="20"/>
              </w:rPr>
            </w:pPr>
            <w:r w:rsidRPr="006459E7">
              <w:rPr>
                <w:iCs/>
                <w:sz w:val="20"/>
              </w:rPr>
              <w:t>LAMRACERAMT</w:t>
            </w:r>
            <w:r w:rsidRPr="006459E7">
              <w:rPr>
                <w:i/>
                <w:iCs/>
                <w:sz w:val="20"/>
                <w:vertAlign w:val="subscript"/>
              </w:rPr>
              <w:t xml:space="preserve"> q</w:t>
            </w:r>
          </w:p>
        </w:tc>
        <w:tc>
          <w:tcPr>
            <w:tcW w:w="474" w:type="pct"/>
          </w:tcPr>
          <w:p w14:paraId="145B12BE" w14:textId="77777777" w:rsidR="00326E23" w:rsidRPr="006459E7" w:rsidRDefault="00326E23" w:rsidP="009B2773">
            <w:pPr>
              <w:tabs>
                <w:tab w:val="left" w:pos="2880"/>
              </w:tabs>
              <w:spacing w:after="60"/>
              <w:contextualSpacing/>
              <w:rPr>
                <w:iCs/>
                <w:sz w:val="20"/>
              </w:rPr>
            </w:pPr>
            <w:r w:rsidRPr="006459E7">
              <w:rPr>
                <w:iCs/>
                <w:sz w:val="20"/>
              </w:rPr>
              <w:t>$</w:t>
            </w:r>
          </w:p>
        </w:tc>
        <w:tc>
          <w:tcPr>
            <w:tcW w:w="3230" w:type="pct"/>
          </w:tcPr>
          <w:p w14:paraId="04EABD9F" w14:textId="77777777" w:rsidR="00326E23" w:rsidRPr="006459E7" w:rsidRDefault="00326E23" w:rsidP="009B2773">
            <w:pPr>
              <w:tabs>
                <w:tab w:val="left" w:pos="2880"/>
              </w:tabs>
              <w:spacing w:after="60"/>
              <w:contextualSpacing/>
              <w:rPr>
                <w:iCs/>
                <w:sz w:val="20"/>
              </w:rPr>
            </w:pPr>
            <w:r w:rsidRPr="006459E7">
              <w:rPr>
                <w:i/>
                <w:iCs/>
                <w:sz w:val="20"/>
              </w:rPr>
              <w:t xml:space="preserve">Load Allocated Must-Run Alternative Capital Expenditure Refund Amount </w:t>
            </w:r>
            <w:r w:rsidRPr="006459E7">
              <w:rPr>
                <w:iCs/>
                <w:sz w:val="20"/>
              </w:rPr>
              <w:t>– The amount of refunded capital expenditures paid to QSE</w:t>
            </w:r>
            <w:r w:rsidRPr="006459E7">
              <w:rPr>
                <w:i/>
                <w:iCs/>
                <w:sz w:val="20"/>
              </w:rPr>
              <w:t xml:space="preserve"> q</w:t>
            </w:r>
            <w:r w:rsidRPr="006459E7">
              <w:rPr>
                <w:iCs/>
                <w:sz w:val="20"/>
              </w:rPr>
              <w:t xml:space="preserve"> based on its HLRS.</w:t>
            </w:r>
          </w:p>
        </w:tc>
      </w:tr>
      <w:tr w:rsidR="00326E23" w:rsidRPr="006459E7" w14:paraId="319FBDC4" w14:textId="77777777" w:rsidTr="00E15B46">
        <w:trPr>
          <w:cantSplit/>
        </w:trPr>
        <w:tc>
          <w:tcPr>
            <w:tcW w:w="1296" w:type="pct"/>
          </w:tcPr>
          <w:p w14:paraId="107BA2FD" w14:textId="77777777" w:rsidR="00326E23" w:rsidRPr="006459E7" w:rsidRDefault="00326E23" w:rsidP="009B2773">
            <w:pPr>
              <w:spacing w:after="60"/>
              <w:rPr>
                <w:iCs/>
                <w:sz w:val="20"/>
              </w:rPr>
            </w:pPr>
            <w:r w:rsidRPr="006459E7">
              <w:rPr>
                <w:iCs/>
                <w:sz w:val="20"/>
              </w:rPr>
              <w:t xml:space="preserve">HLRS </w:t>
            </w:r>
            <w:r w:rsidRPr="006459E7">
              <w:rPr>
                <w:i/>
                <w:iCs/>
                <w:sz w:val="20"/>
                <w:vertAlign w:val="subscript"/>
              </w:rPr>
              <w:t>q</w:t>
            </w:r>
          </w:p>
        </w:tc>
        <w:tc>
          <w:tcPr>
            <w:tcW w:w="474" w:type="pct"/>
          </w:tcPr>
          <w:p w14:paraId="72288F5C"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910B941" w14:textId="77777777" w:rsidR="00326E23" w:rsidRPr="006459E7" w:rsidRDefault="00326E23" w:rsidP="009B2773">
            <w:pPr>
              <w:autoSpaceDE w:val="0"/>
              <w:autoSpaceDN w:val="0"/>
              <w:adjustRightInd w:val="0"/>
              <w:spacing w:after="60"/>
              <w:rPr>
                <w:color w:val="000000"/>
                <w:sz w:val="20"/>
              </w:rPr>
            </w:pPr>
            <w:r w:rsidRPr="006459E7">
              <w:rPr>
                <w:i/>
                <w:iCs/>
                <w:color w:val="000000"/>
                <w:sz w:val="20"/>
              </w:rPr>
              <w:t>Hourly Load Ratio Share per QSE</w:t>
            </w:r>
            <w:r w:rsidRPr="006459E7">
              <w:rPr>
                <w:i/>
                <w:color w:val="000000"/>
                <w:sz w:val="20"/>
              </w:rPr>
              <w:t xml:space="preserve"> </w:t>
            </w:r>
            <w:r w:rsidRPr="006459E7">
              <w:rPr>
                <w:color w:val="000000"/>
                <w:sz w:val="20"/>
              </w:rPr>
              <w:t xml:space="preserve">– The hourly LRS calculated for QSE </w:t>
            </w:r>
            <w:r w:rsidRPr="006459E7">
              <w:rPr>
                <w:i/>
                <w:color w:val="000000"/>
                <w:sz w:val="20"/>
              </w:rPr>
              <w:t>q</w:t>
            </w:r>
            <w:r w:rsidRPr="006459E7">
              <w:rPr>
                <w:color w:val="000000"/>
                <w:sz w:val="20"/>
              </w:rPr>
              <w:t xml:space="preserve"> for the hour for month M.  See Section 6.6.2.4, QSE Load Ratio Share for an Operating Hour. </w:t>
            </w:r>
          </w:p>
        </w:tc>
      </w:tr>
      <w:tr w:rsidR="00326E23" w:rsidRPr="006459E7" w14:paraId="04680115" w14:textId="77777777" w:rsidTr="00E15B46">
        <w:trPr>
          <w:cantSplit/>
        </w:trPr>
        <w:tc>
          <w:tcPr>
            <w:tcW w:w="1296" w:type="pct"/>
          </w:tcPr>
          <w:p w14:paraId="583FE929" w14:textId="77777777" w:rsidR="00326E23" w:rsidRPr="006459E7" w:rsidRDefault="00326E23" w:rsidP="009B2773">
            <w:pPr>
              <w:spacing w:after="60"/>
              <w:rPr>
                <w:iCs/>
                <w:sz w:val="20"/>
              </w:rPr>
            </w:pPr>
            <w:r w:rsidRPr="006459E7">
              <w:rPr>
                <w:iCs/>
                <w:sz w:val="20"/>
              </w:rPr>
              <w:t xml:space="preserve">MH </w:t>
            </w:r>
            <w:r w:rsidRPr="006459E7">
              <w:rPr>
                <w:i/>
                <w:iCs/>
                <w:sz w:val="20"/>
                <w:vertAlign w:val="subscript"/>
              </w:rPr>
              <w:t>q, r</w:t>
            </w:r>
          </w:p>
        </w:tc>
        <w:tc>
          <w:tcPr>
            <w:tcW w:w="474" w:type="pct"/>
          </w:tcPr>
          <w:p w14:paraId="26E0A562" w14:textId="77777777" w:rsidR="00326E23" w:rsidRPr="006459E7" w:rsidRDefault="00326E23" w:rsidP="009B2773">
            <w:pPr>
              <w:tabs>
                <w:tab w:val="left" w:pos="2880"/>
              </w:tabs>
              <w:spacing w:after="60"/>
              <w:contextualSpacing/>
              <w:rPr>
                <w:iCs/>
                <w:sz w:val="20"/>
              </w:rPr>
            </w:pPr>
            <w:r w:rsidRPr="006459E7">
              <w:rPr>
                <w:iCs/>
                <w:sz w:val="20"/>
              </w:rPr>
              <w:t>hour</w:t>
            </w:r>
          </w:p>
        </w:tc>
        <w:tc>
          <w:tcPr>
            <w:tcW w:w="3230" w:type="pct"/>
          </w:tcPr>
          <w:p w14:paraId="13357220" w14:textId="77777777" w:rsidR="00326E23" w:rsidRPr="006459E7" w:rsidRDefault="00326E23" w:rsidP="009B2773">
            <w:pPr>
              <w:tabs>
                <w:tab w:val="left" w:pos="2880"/>
              </w:tabs>
              <w:spacing w:after="60"/>
              <w:contextualSpacing/>
              <w:rPr>
                <w:i/>
                <w:iCs/>
                <w:sz w:val="20"/>
              </w:rPr>
            </w:pPr>
            <w:r w:rsidRPr="006459E7">
              <w:rPr>
                <w:i/>
                <w:iCs/>
                <w:sz w:val="20"/>
              </w:rPr>
              <w:t>Number of Hours in the Month per QSE per Resource</w:t>
            </w:r>
            <w:r w:rsidRPr="006459E7">
              <w:rPr>
                <w:iCs/>
                <w:sz w:val="20"/>
              </w:rPr>
              <w:t xml:space="preserve">—The total number of hours in the month, when MRA </w:t>
            </w:r>
            <w:r w:rsidRPr="006459E7">
              <w:rPr>
                <w:i/>
                <w:iCs/>
                <w:sz w:val="20"/>
              </w:rPr>
              <w:t>r</w:t>
            </w:r>
            <w:r w:rsidRPr="006459E7">
              <w:rPr>
                <w:iCs/>
                <w:sz w:val="20"/>
              </w:rPr>
              <w:t xml:space="preserve"> represented by QSE </w:t>
            </w:r>
            <w:r w:rsidRPr="006459E7">
              <w:rPr>
                <w:i/>
                <w:iCs/>
                <w:sz w:val="20"/>
              </w:rPr>
              <w:t>q</w:t>
            </w:r>
            <w:r w:rsidRPr="006459E7">
              <w:rPr>
                <w:iCs/>
                <w:sz w:val="20"/>
              </w:rPr>
              <w:t xml:space="preserve"> is under an MRA Agreement.  Where for a Combined Cycle Train, the Resource </w:t>
            </w:r>
            <w:r w:rsidRPr="006459E7">
              <w:rPr>
                <w:i/>
                <w:iCs/>
                <w:sz w:val="20"/>
              </w:rPr>
              <w:t xml:space="preserve">r </w:t>
            </w:r>
            <w:r w:rsidRPr="006459E7">
              <w:rPr>
                <w:iCs/>
                <w:sz w:val="20"/>
              </w:rPr>
              <w:t>is a Combined Cycle Train.</w:t>
            </w:r>
          </w:p>
        </w:tc>
      </w:tr>
      <w:tr w:rsidR="00326E23" w:rsidRPr="006459E7" w14:paraId="71404900" w14:textId="77777777" w:rsidTr="00E15B46">
        <w:trPr>
          <w:cantSplit/>
          <w:trHeight w:val="251"/>
        </w:trPr>
        <w:tc>
          <w:tcPr>
            <w:tcW w:w="1296" w:type="pct"/>
          </w:tcPr>
          <w:p w14:paraId="24FE32BC" w14:textId="77777777" w:rsidR="00326E23" w:rsidRPr="006459E7" w:rsidRDefault="00326E23" w:rsidP="009B2773">
            <w:pPr>
              <w:spacing w:after="60"/>
              <w:ind w:left="720" w:hanging="720"/>
              <w:rPr>
                <w:sz w:val="20"/>
              </w:rPr>
            </w:pPr>
            <w:r w:rsidRPr="006459E7">
              <w:rPr>
                <w:sz w:val="20"/>
              </w:rPr>
              <w:t xml:space="preserve">CM </w:t>
            </w:r>
            <w:r w:rsidRPr="006459E7">
              <w:rPr>
                <w:i/>
                <w:sz w:val="20"/>
                <w:vertAlign w:val="subscript"/>
              </w:rPr>
              <w:t>q, r, c</w:t>
            </w:r>
          </w:p>
        </w:tc>
        <w:tc>
          <w:tcPr>
            <w:tcW w:w="474" w:type="pct"/>
          </w:tcPr>
          <w:p w14:paraId="46ED214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22359FF" w14:textId="77777777" w:rsidR="00326E23" w:rsidRPr="006459E7" w:rsidRDefault="00326E23" w:rsidP="009B2773">
            <w:pPr>
              <w:tabs>
                <w:tab w:val="left" w:pos="2880"/>
              </w:tabs>
              <w:spacing w:after="60"/>
              <w:contextualSpacing/>
              <w:rPr>
                <w:i/>
                <w:iCs/>
                <w:sz w:val="20"/>
              </w:rPr>
            </w:pPr>
            <w:r w:rsidRPr="006459E7">
              <w:rPr>
                <w:iCs/>
                <w:sz w:val="20"/>
              </w:rPr>
              <w:t>The number of months of the MRA Agreement period.</w:t>
            </w:r>
          </w:p>
        </w:tc>
      </w:tr>
      <w:tr w:rsidR="00326E23" w:rsidRPr="006459E7" w14:paraId="60C860DC" w14:textId="77777777" w:rsidTr="00E15B46">
        <w:trPr>
          <w:cantSplit/>
          <w:trHeight w:val="323"/>
        </w:trPr>
        <w:tc>
          <w:tcPr>
            <w:tcW w:w="1296" w:type="pct"/>
          </w:tcPr>
          <w:p w14:paraId="4A3D7C23" w14:textId="77777777" w:rsidR="00326E23" w:rsidRPr="006459E7" w:rsidRDefault="00326E23" w:rsidP="009B2773">
            <w:pPr>
              <w:spacing w:after="60"/>
              <w:rPr>
                <w:iCs/>
                <w:sz w:val="20"/>
              </w:rPr>
            </w:pPr>
            <w:r w:rsidRPr="006459E7">
              <w:rPr>
                <w:iCs/>
                <w:sz w:val="20"/>
              </w:rPr>
              <w:t>M</w:t>
            </w:r>
          </w:p>
        </w:tc>
        <w:tc>
          <w:tcPr>
            <w:tcW w:w="474" w:type="pct"/>
          </w:tcPr>
          <w:p w14:paraId="33D01D5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520339AC" w14:textId="77777777" w:rsidR="00326E23" w:rsidRPr="006459E7" w:rsidRDefault="00326E23" w:rsidP="009B2773">
            <w:pPr>
              <w:tabs>
                <w:tab w:val="left" w:pos="2880"/>
              </w:tabs>
              <w:spacing w:after="60"/>
              <w:contextualSpacing/>
              <w:rPr>
                <w:iCs/>
                <w:sz w:val="20"/>
              </w:rPr>
            </w:pPr>
            <w:r w:rsidRPr="006459E7">
              <w:rPr>
                <w:iCs/>
                <w:sz w:val="20"/>
              </w:rPr>
              <w:t>A month in the MRA Agreement period.</w:t>
            </w:r>
          </w:p>
        </w:tc>
      </w:tr>
      <w:tr w:rsidR="00326E23" w:rsidRPr="006459E7" w14:paraId="56D80249" w14:textId="77777777" w:rsidTr="00E15B46">
        <w:trPr>
          <w:cantSplit/>
          <w:trHeight w:val="323"/>
        </w:trPr>
        <w:tc>
          <w:tcPr>
            <w:tcW w:w="1296" w:type="pct"/>
          </w:tcPr>
          <w:p w14:paraId="0238CEE9" w14:textId="77777777" w:rsidR="00326E23" w:rsidRPr="006459E7" w:rsidRDefault="00326E23" w:rsidP="009B2773">
            <w:pPr>
              <w:spacing w:after="60"/>
              <w:rPr>
                <w:iCs/>
                <w:sz w:val="20"/>
              </w:rPr>
            </w:pPr>
            <w:r w:rsidRPr="006459E7">
              <w:rPr>
                <w:iCs/>
                <w:sz w:val="20"/>
              </w:rPr>
              <w:t>D</w:t>
            </w:r>
          </w:p>
        </w:tc>
        <w:tc>
          <w:tcPr>
            <w:tcW w:w="474" w:type="pct"/>
          </w:tcPr>
          <w:p w14:paraId="58668534"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7010FD72" w14:textId="77777777" w:rsidR="00326E23" w:rsidRPr="006459E7" w:rsidRDefault="00326E23" w:rsidP="009B2773">
            <w:pPr>
              <w:tabs>
                <w:tab w:val="left" w:pos="2880"/>
              </w:tabs>
              <w:spacing w:after="60"/>
              <w:contextualSpacing/>
              <w:rPr>
                <w:iCs/>
                <w:sz w:val="20"/>
              </w:rPr>
            </w:pPr>
            <w:r w:rsidRPr="006459E7">
              <w:rPr>
                <w:iCs/>
                <w:sz w:val="20"/>
              </w:rPr>
              <w:t>The number of days in the month.</w:t>
            </w:r>
          </w:p>
        </w:tc>
      </w:tr>
      <w:tr w:rsidR="00326E23" w:rsidRPr="006459E7" w14:paraId="25A5F8C6" w14:textId="77777777" w:rsidTr="00E15B46">
        <w:trPr>
          <w:cantSplit/>
          <w:trHeight w:val="323"/>
        </w:trPr>
        <w:tc>
          <w:tcPr>
            <w:tcW w:w="1296" w:type="pct"/>
          </w:tcPr>
          <w:p w14:paraId="37DC9EBC" w14:textId="77777777" w:rsidR="00326E23" w:rsidRPr="006459E7" w:rsidRDefault="00326E23" w:rsidP="009B2773">
            <w:pPr>
              <w:spacing w:after="60"/>
              <w:rPr>
                <w:i/>
                <w:iCs/>
                <w:sz w:val="20"/>
              </w:rPr>
            </w:pPr>
            <w:r w:rsidRPr="006459E7">
              <w:rPr>
                <w:i/>
                <w:iCs/>
                <w:sz w:val="20"/>
              </w:rPr>
              <w:t>q</w:t>
            </w:r>
          </w:p>
        </w:tc>
        <w:tc>
          <w:tcPr>
            <w:tcW w:w="474" w:type="pct"/>
          </w:tcPr>
          <w:p w14:paraId="25C26193"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2D25FEA0" w14:textId="77777777" w:rsidR="00326E23" w:rsidRPr="006459E7" w:rsidRDefault="00326E23" w:rsidP="009B2773">
            <w:pPr>
              <w:tabs>
                <w:tab w:val="left" w:pos="2880"/>
              </w:tabs>
              <w:spacing w:after="60"/>
              <w:contextualSpacing/>
              <w:rPr>
                <w:iCs/>
                <w:sz w:val="20"/>
              </w:rPr>
            </w:pPr>
            <w:r w:rsidRPr="006459E7">
              <w:rPr>
                <w:iCs/>
                <w:sz w:val="20"/>
              </w:rPr>
              <w:t>A QSE.</w:t>
            </w:r>
          </w:p>
        </w:tc>
      </w:tr>
      <w:tr w:rsidR="00326E23" w:rsidRPr="006459E7" w14:paraId="1B72F1A1" w14:textId="77777777" w:rsidTr="00E15B46">
        <w:trPr>
          <w:cantSplit/>
          <w:trHeight w:val="323"/>
        </w:trPr>
        <w:tc>
          <w:tcPr>
            <w:tcW w:w="1296" w:type="pct"/>
          </w:tcPr>
          <w:p w14:paraId="6B4583B1" w14:textId="77777777" w:rsidR="00326E23" w:rsidRPr="006459E7" w:rsidRDefault="00326E23" w:rsidP="009B2773">
            <w:pPr>
              <w:spacing w:after="60"/>
              <w:rPr>
                <w:i/>
                <w:iCs/>
                <w:sz w:val="20"/>
              </w:rPr>
            </w:pPr>
            <w:r w:rsidRPr="006459E7">
              <w:rPr>
                <w:i/>
                <w:iCs/>
                <w:sz w:val="20"/>
              </w:rPr>
              <w:t>c</w:t>
            </w:r>
          </w:p>
        </w:tc>
        <w:tc>
          <w:tcPr>
            <w:tcW w:w="474" w:type="pct"/>
          </w:tcPr>
          <w:p w14:paraId="64DA0D3E"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C3AEBC0" w14:textId="77777777" w:rsidR="00326E23" w:rsidRPr="006459E7" w:rsidRDefault="00326E23" w:rsidP="009B2773">
            <w:pPr>
              <w:tabs>
                <w:tab w:val="left" w:pos="2880"/>
              </w:tabs>
              <w:spacing w:after="60"/>
              <w:contextualSpacing/>
              <w:rPr>
                <w:iCs/>
                <w:sz w:val="20"/>
              </w:rPr>
            </w:pPr>
            <w:r w:rsidRPr="006459E7">
              <w:rPr>
                <w:iCs/>
                <w:sz w:val="20"/>
              </w:rPr>
              <w:t>An MRA Agreement.</w:t>
            </w:r>
          </w:p>
        </w:tc>
      </w:tr>
      <w:tr w:rsidR="00326E23" w:rsidRPr="006459E7" w14:paraId="19535E24" w14:textId="77777777" w:rsidTr="00E15B46">
        <w:trPr>
          <w:cantSplit/>
          <w:trHeight w:val="323"/>
        </w:trPr>
        <w:tc>
          <w:tcPr>
            <w:tcW w:w="1296" w:type="pct"/>
          </w:tcPr>
          <w:p w14:paraId="23AC6EE7" w14:textId="77777777" w:rsidR="00326E23" w:rsidRPr="006459E7" w:rsidRDefault="00326E23" w:rsidP="009B2773">
            <w:pPr>
              <w:spacing w:after="60"/>
              <w:rPr>
                <w:i/>
                <w:iCs/>
                <w:sz w:val="20"/>
              </w:rPr>
            </w:pPr>
            <w:r w:rsidRPr="006459E7">
              <w:rPr>
                <w:i/>
                <w:iCs/>
                <w:sz w:val="20"/>
              </w:rPr>
              <w:t>r</w:t>
            </w:r>
          </w:p>
        </w:tc>
        <w:tc>
          <w:tcPr>
            <w:tcW w:w="474" w:type="pct"/>
          </w:tcPr>
          <w:p w14:paraId="29275D59"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6634F978" w14:textId="77777777" w:rsidR="00326E23" w:rsidRPr="006459E7" w:rsidRDefault="00326E23" w:rsidP="009B2773">
            <w:pPr>
              <w:tabs>
                <w:tab w:val="left" w:pos="2880"/>
              </w:tabs>
              <w:spacing w:after="60"/>
              <w:contextualSpacing/>
              <w:rPr>
                <w:iCs/>
                <w:sz w:val="20"/>
              </w:rPr>
            </w:pPr>
            <w:r w:rsidRPr="006459E7">
              <w:rPr>
                <w:iCs/>
                <w:sz w:val="20"/>
              </w:rPr>
              <w:t>An MRA.</w:t>
            </w:r>
          </w:p>
        </w:tc>
      </w:tr>
    </w:tbl>
    <w:p w14:paraId="2E4F53FC" w14:textId="77777777" w:rsidR="005C6D56" w:rsidRDefault="005C6D56"/>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C6D56" w14:paraId="10D58557" w14:textId="77777777" w:rsidTr="005C6D56">
        <w:trPr>
          <w:trHeight w:val="206"/>
        </w:trPr>
        <w:tc>
          <w:tcPr>
            <w:tcW w:w="5000" w:type="pct"/>
            <w:shd w:val="pct12" w:color="auto" w:fill="auto"/>
          </w:tcPr>
          <w:p w14:paraId="3455BA46" w14:textId="77777777" w:rsidR="005C6D56" w:rsidRDefault="005C6D56" w:rsidP="00CE1011">
            <w:pPr>
              <w:pStyle w:val="Instructions"/>
              <w:spacing w:before="120"/>
            </w:pPr>
            <w:bookmarkStart w:id="2391" w:name="_Toc463262802"/>
            <w:bookmarkStart w:id="2392" w:name="_Toc468286875"/>
            <w:bookmarkStart w:id="2393" w:name="_Toc481502915"/>
            <w:bookmarkStart w:id="2394" w:name="_Toc496080083"/>
            <w:r>
              <w:t>[NPRR885:  Insert Section 6.6.6.7 below upon system implementation:]</w:t>
            </w:r>
          </w:p>
          <w:p w14:paraId="57D7CD18" w14:textId="77777777" w:rsidR="005C6D56" w:rsidRPr="005C6D56" w:rsidRDefault="005C6D56" w:rsidP="005C6D56">
            <w:pPr>
              <w:keepNext/>
              <w:widowControl w:val="0"/>
              <w:tabs>
                <w:tab w:val="left" w:pos="1260"/>
              </w:tabs>
              <w:spacing w:before="240" w:after="240"/>
              <w:ind w:left="1260" w:hanging="1260"/>
              <w:outlineLvl w:val="3"/>
              <w:rPr>
                <w:b/>
                <w:bCs/>
                <w:snapToGrid w:val="0"/>
                <w:color w:val="000000"/>
              </w:rPr>
            </w:pPr>
            <w:bookmarkStart w:id="2395" w:name="_Toc17798754"/>
            <w:bookmarkStart w:id="2396" w:name="_Toc189044452"/>
            <w:r w:rsidRPr="005C6D56">
              <w:rPr>
                <w:b/>
                <w:bCs/>
                <w:snapToGrid w:val="0"/>
                <w:color w:val="000000"/>
              </w:rPr>
              <w:t>6.6.6.7</w:t>
            </w:r>
            <w:r w:rsidRPr="005C6D56">
              <w:rPr>
                <w:b/>
                <w:bCs/>
                <w:snapToGrid w:val="0"/>
                <w:color w:val="000000"/>
              </w:rPr>
              <w:tab/>
              <w:t>MRA Standby Payment</w:t>
            </w:r>
            <w:bookmarkEnd w:id="2395"/>
            <w:bookmarkEnd w:id="2396"/>
          </w:p>
          <w:p w14:paraId="0CE3FE5E" w14:textId="77777777" w:rsidR="005C6D56" w:rsidRPr="005C6D56" w:rsidRDefault="005C6D56" w:rsidP="005C6D56">
            <w:pPr>
              <w:spacing w:after="240"/>
              <w:ind w:left="720" w:hanging="720"/>
              <w:rPr>
                <w:iCs/>
              </w:rPr>
            </w:pPr>
            <w:r w:rsidRPr="005C6D56">
              <w:rPr>
                <w:iCs/>
              </w:rPr>
              <w:t>(1)</w:t>
            </w:r>
            <w:r w:rsidRPr="005C6D56">
              <w:rPr>
                <w:iCs/>
              </w:rPr>
              <w:tab/>
              <w:t xml:space="preserve">The Standby Payment for MRA Service is paid to each QSE representing an MRA for each MRA Contracted Hour under performance requirements set forth in Section 22, Attachment </w:t>
            </w:r>
            <w:r w:rsidR="00D56763">
              <w:rPr>
                <w:iCs/>
              </w:rPr>
              <w:t>N</w:t>
            </w:r>
            <w:r w:rsidRPr="005C6D56">
              <w:rPr>
                <w:iCs/>
              </w:rPr>
              <w:t xml:space="preserve">, Standard Form Must-Run Alternative Agreement, the MRA Request for Proposal (RFP), and the Protocols.  </w:t>
            </w:r>
          </w:p>
          <w:p w14:paraId="21A21E2A" w14:textId="77777777" w:rsidR="005C6D56" w:rsidRPr="005C6D56" w:rsidRDefault="005C6D56" w:rsidP="005C6D56">
            <w:pPr>
              <w:spacing w:after="240"/>
              <w:ind w:left="720" w:hanging="720"/>
              <w:rPr>
                <w:iCs/>
              </w:rPr>
            </w:pPr>
            <w:r w:rsidRPr="005C6D56">
              <w:rPr>
                <w:bCs/>
                <w:iCs/>
                <w:color w:val="000000"/>
                <w:lang w:val="pt-BR"/>
              </w:rPr>
              <w:t>(2)</w:t>
            </w:r>
            <w:r w:rsidRPr="005C6D56">
              <w:rPr>
                <w:bCs/>
                <w:iCs/>
                <w:color w:val="000000"/>
                <w:lang w:val="pt-BR"/>
              </w:rPr>
              <w:tab/>
              <w:t>The standby payment to each QSE representing a Generation Resource MRA registered is calculated as follows for each hour:</w:t>
            </w:r>
          </w:p>
          <w:p w14:paraId="636BE5B5"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xml:space="preserve">* MRAGRCRF </w:t>
            </w:r>
            <w:r w:rsidRPr="005C6D56">
              <w:rPr>
                <w:bCs/>
                <w:i/>
                <w:szCs w:val="24"/>
                <w:vertAlign w:val="subscript"/>
                <w:lang w:val="pt-BR"/>
              </w:rPr>
              <w:t xml:space="preserve">q, r, m </w:t>
            </w:r>
            <w:r w:rsidRPr="005C6D56">
              <w:rPr>
                <w:bCs/>
                <w:szCs w:val="24"/>
                <w:lang w:val="pt-BR"/>
              </w:rPr>
              <w:t>* MRAARF</w:t>
            </w:r>
            <w:r w:rsidRPr="005C6D56">
              <w:rPr>
                <w:bCs/>
                <w:i/>
                <w:szCs w:val="24"/>
                <w:vertAlign w:val="subscript"/>
                <w:lang w:val="pt-BR"/>
              </w:rPr>
              <w:t xml:space="preserve"> q, r, m</w:t>
            </w:r>
          </w:p>
          <w:p w14:paraId="3D58304A" w14:textId="77777777" w:rsidR="005C6D56" w:rsidRPr="005C6D56" w:rsidRDefault="005C6D56" w:rsidP="005C6D56">
            <w:pPr>
              <w:tabs>
                <w:tab w:val="left" w:pos="2340"/>
                <w:tab w:val="left" w:pos="3420"/>
              </w:tabs>
              <w:spacing w:after="240"/>
              <w:rPr>
                <w:bCs/>
                <w:szCs w:val="24"/>
                <w:lang w:val="pt-BR"/>
              </w:rPr>
            </w:pPr>
            <w:r w:rsidRPr="005C6D56">
              <w:rPr>
                <w:bCs/>
                <w:szCs w:val="24"/>
                <w:lang w:val="pt-BR"/>
              </w:rPr>
              <w:t>Where:</w:t>
            </w:r>
          </w:p>
          <w:p w14:paraId="7B41510F"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 xml:space="preserve">MRAGRCRF </w:t>
            </w:r>
            <w:r w:rsidRPr="005C6D56">
              <w:rPr>
                <w:bCs/>
                <w:i/>
                <w:szCs w:val="24"/>
                <w:vertAlign w:val="subscript"/>
                <w:lang w:val="pt-BR"/>
              </w:rPr>
              <w:t>q, r, m</w:t>
            </w:r>
            <w:r w:rsidRPr="005C6D56">
              <w:rPr>
                <w:bCs/>
                <w:szCs w:val="24"/>
                <w:lang w:val="pt-BR"/>
              </w:rPr>
              <w:t xml:space="preserve">  = (MRATCAP </w:t>
            </w:r>
            <w:r w:rsidRPr="005C6D56">
              <w:rPr>
                <w:bCs/>
                <w:i/>
                <w:szCs w:val="24"/>
                <w:vertAlign w:val="subscript"/>
                <w:lang w:val="pt-BR"/>
              </w:rPr>
              <w:t>q, r, m</w:t>
            </w:r>
            <w:r w:rsidRPr="005C6D56">
              <w:rPr>
                <w:bCs/>
                <w:szCs w:val="24"/>
                <w:lang w:val="pt-BR"/>
              </w:rPr>
              <w:t xml:space="preserve">  + MRATCAPA </w:t>
            </w:r>
            <w:r w:rsidRPr="005C6D56">
              <w:rPr>
                <w:bCs/>
                <w:i/>
                <w:szCs w:val="24"/>
                <w:vertAlign w:val="subscript"/>
                <w:lang w:val="pt-BR"/>
              </w:rPr>
              <w:t>q, r, m</w:t>
            </w:r>
            <w:r w:rsidRPr="005C6D56">
              <w:rPr>
                <w:bCs/>
                <w:szCs w:val="24"/>
                <w:lang w:val="pt-BR"/>
              </w:rPr>
              <w:t xml:space="preserve">) /MRACCAP </w:t>
            </w:r>
            <w:r w:rsidRPr="005C6D56">
              <w:rPr>
                <w:bCs/>
                <w:i/>
                <w:szCs w:val="24"/>
                <w:vertAlign w:val="subscript"/>
                <w:lang w:val="pt-BR"/>
              </w:rPr>
              <w:t>q, r, m</w:t>
            </w:r>
          </w:p>
          <w:p w14:paraId="13CFA5E9" w14:textId="77777777" w:rsidR="005C6D56" w:rsidRPr="005C6D56" w:rsidRDefault="005C6D56" w:rsidP="005C6D56">
            <w:pPr>
              <w:spacing w:after="240"/>
              <w:ind w:left="720" w:hanging="720"/>
              <w:rPr>
                <w:iCs/>
              </w:rPr>
            </w:pPr>
            <w:r w:rsidRPr="005C6D56">
              <w:rPr>
                <w:iCs/>
              </w:rPr>
              <w:t>(3)</w:t>
            </w:r>
            <w:r w:rsidRPr="005C6D56">
              <w:rPr>
                <w:iCs/>
              </w:rPr>
              <w:tab/>
              <w:t>The standby payment to each QSE representing an Other Generation MRA or Demand Response MRA is calculated as follows for each hour:</w:t>
            </w:r>
          </w:p>
          <w:p w14:paraId="201CA00E"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lastRenderedPageBreak/>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MRAEPRF</w:t>
            </w:r>
            <w:r w:rsidRPr="005C6D56">
              <w:rPr>
                <w:bCs/>
                <w:szCs w:val="24"/>
                <w:vertAlign w:val="subscript"/>
                <w:lang w:val="pt-BR"/>
              </w:rPr>
              <w:t xml:space="preserve"> </w:t>
            </w:r>
            <w:r w:rsidRPr="005C6D56">
              <w:rPr>
                <w:bCs/>
                <w:i/>
                <w:szCs w:val="24"/>
                <w:vertAlign w:val="subscript"/>
                <w:lang w:val="pt-BR"/>
              </w:rPr>
              <w:t>q, r, m</w:t>
            </w:r>
            <w:r w:rsidRPr="005C6D56">
              <w:rPr>
                <w:bCs/>
                <w:szCs w:val="24"/>
                <w:lang w:val="pt-BR"/>
              </w:rPr>
              <w:t xml:space="preserve">  * MRAARF</w:t>
            </w:r>
            <w:r w:rsidRPr="005C6D56">
              <w:rPr>
                <w:bCs/>
                <w:i/>
                <w:szCs w:val="24"/>
                <w:vertAlign w:val="subscript"/>
                <w:lang w:val="pt-BR"/>
              </w:rPr>
              <w:t xml:space="preserve"> q, r, m</w:t>
            </w:r>
          </w:p>
          <w:p w14:paraId="05350CB6" w14:textId="77777777" w:rsidR="005C6D56" w:rsidRPr="005C6D56" w:rsidRDefault="005C6D56" w:rsidP="005C6D56">
            <w:pPr>
              <w:spacing w:after="240"/>
              <w:ind w:left="720" w:hanging="720"/>
              <w:rPr>
                <w:iCs/>
              </w:rPr>
            </w:pPr>
            <w:r w:rsidRPr="005C6D56">
              <w:rPr>
                <w:iCs/>
              </w:rPr>
              <w:t>(4)</w:t>
            </w:r>
            <w:r w:rsidRPr="005C6D56">
              <w:rPr>
                <w:iCs/>
              </w:rPr>
              <w:tab/>
              <w:t>The MRA Capacity Availability Reduction Factor (MRAARF) is calculated as:</w:t>
            </w:r>
          </w:p>
          <w:p w14:paraId="5F354A81"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initial Settlement</w:t>
            </w:r>
          </w:p>
          <w:p w14:paraId="1A780D09"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MRAARF</w:t>
            </w:r>
            <w:r w:rsidRPr="005C6D56">
              <w:rPr>
                <w:bCs/>
                <w:i/>
                <w:szCs w:val="24"/>
                <w:vertAlign w:val="subscript"/>
                <w:lang w:val="pt-BR"/>
              </w:rPr>
              <w:t xml:space="preserve"> q, r, m</w:t>
            </w:r>
            <w:r w:rsidRPr="005C6D56">
              <w:rPr>
                <w:bCs/>
                <w:szCs w:val="24"/>
                <w:lang w:val="pt-BR"/>
              </w:rPr>
              <w:t xml:space="preserve"> = 1</w:t>
            </w:r>
          </w:p>
          <w:p w14:paraId="0A98C167"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all other resettlements</w:t>
            </w:r>
          </w:p>
          <w:p w14:paraId="21404990"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 95% * MRATA </w:t>
            </w:r>
            <w:r w:rsidRPr="005C6D56">
              <w:rPr>
                <w:i/>
                <w:szCs w:val="24"/>
                <w:vertAlign w:val="subscript"/>
              </w:rPr>
              <w:t>q, r, m</w:t>
            </w:r>
            <w:r w:rsidRPr="005C6D56">
              <w:rPr>
                <w:szCs w:val="24"/>
              </w:rPr>
              <w:t xml:space="preserve"> </w:t>
            </w:r>
          </w:p>
          <w:p w14:paraId="3A52D52E"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1 </w:t>
            </w:r>
          </w:p>
          <w:p w14:paraId="16C92493" w14:textId="77777777" w:rsidR="005C6D56" w:rsidRPr="005C6D56" w:rsidRDefault="005C6D56" w:rsidP="005C6D56">
            <w:pPr>
              <w:spacing w:after="240"/>
              <w:ind w:firstLine="720"/>
              <w:rPr>
                <w:szCs w:val="24"/>
                <w:lang w:val="pt-BR"/>
              </w:rPr>
            </w:pPr>
            <w:r w:rsidRPr="005C6D56">
              <w:rPr>
                <w:szCs w:val="24"/>
                <w:lang w:val="pt-BR"/>
              </w:rPr>
              <w:t>If 85% *</w:t>
            </w:r>
            <w:r w:rsidRPr="005C6D56">
              <w:rPr>
                <w:szCs w:val="24"/>
              </w:rPr>
              <w:t xml:space="preserve"> </w:t>
            </w:r>
            <w:r w:rsidRPr="005C6D56">
              <w:rPr>
                <w:szCs w:val="24"/>
                <w:lang w:val="pt-BR"/>
              </w:rPr>
              <w:t>MRATA</w:t>
            </w:r>
            <w:r w:rsidRPr="005C6D56">
              <w:rPr>
                <w:szCs w:val="24"/>
              </w:rPr>
              <w:t xml:space="preserve"> </w:t>
            </w:r>
            <w:r w:rsidRPr="005C6D56">
              <w:rPr>
                <w:i/>
                <w:szCs w:val="24"/>
                <w:vertAlign w:val="subscript"/>
              </w:rPr>
              <w:t>q, r, m</w:t>
            </w:r>
            <w:r w:rsidRPr="005C6D56">
              <w:rPr>
                <w:szCs w:val="24"/>
              </w:rPr>
              <w:t xml:space="preserve"> </w:t>
            </w:r>
            <w:r w:rsidRPr="005C6D56">
              <w:rPr>
                <w:szCs w:val="24"/>
                <w:lang w:val="pt-BR"/>
              </w:rPr>
              <w:t xml:space="preserve">≤ MRACMAF </w:t>
            </w:r>
            <w:r w:rsidRPr="005C6D56">
              <w:rPr>
                <w:i/>
                <w:szCs w:val="24"/>
                <w:vertAlign w:val="subscript"/>
                <w:lang w:val="pt-BR"/>
              </w:rPr>
              <w:t xml:space="preserve">q, r,m </w:t>
            </w:r>
            <w:r w:rsidRPr="005C6D56">
              <w:rPr>
                <w:szCs w:val="24"/>
              </w:rPr>
              <w:t xml:space="preserve"> </w:t>
            </w:r>
            <w:r w:rsidRPr="005C6D56">
              <w:rPr>
                <w:szCs w:val="24"/>
                <w:lang w:val="pt-BR"/>
              </w:rPr>
              <w:t>&lt;</w:t>
            </w:r>
            <w:r w:rsidRPr="005C6D56">
              <w:rPr>
                <w:szCs w:val="24"/>
              </w:rPr>
              <w:t xml:space="preserve"> 95%* MRATA </w:t>
            </w:r>
            <w:r w:rsidRPr="005C6D56">
              <w:rPr>
                <w:i/>
                <w:szCs w:val="24"/>
                <w:vertAlign w:val="subscript"/>
              </w:rPr>
              <w:t>q, r, m</w:t>
            </w:r>
            <w:r w:rsidRPr="005C6D56">
              <w:rPr>
                <w:szCs w:val="24"/>
              </w:rPr>
              <w:t xml:space="preserve"> </w:t>
            </w:r>
          </w:p>
          <w:p w14:paraId="3D8CCD3B"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szCs w:val="24"/>
              </w:rPr>
              <w:t xml:space="preserve"> </w:t>
            </w:r>
            <w:r w:rsidRPr="005C6D56">
              <w:rPr>
                <w:i/>
                <w:szCs w:val="24"/>
                <w:vertAlign w:val="subscript"/>
              </w:rPr>
              <w:t xml:space="preserve"> </w:t>
            </w:r>
          </w:p>
          <w:p w14:paraId="5DAA2241"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w:t>
            </w:r>
            <w:r w:rsidRPr="005C6D56">
              <w:rPr>
                <w:szCs w:val="24"/>
                <w:lang w:val="pt-BR"/>
              </w:rPr>
              <w:t>&lt;</w:t>
            </w:r>
            <w:r w:rsidRPr="005C6D56">
              <w:rPr>
                <w:szCs w:val="24"/>
              </w:rPr>
              <w:t xml:space="preserve"> 85% * MRATA </w:t>
            </w:r>
            <w:r w:rsidRPr="005C6D56">
              <w:rPr>
                <w:i/>
                <w:szCs w:val="24"/>
                <w:vertAlign w:val="subscript"/>
              </w:rPr>
              <w:t>q, r, m</w:t>
            </w:r>
          </w:p>
          <w:p w14:paraId="62F0FEF0"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i/>
                <w:szCs w:val="24"/>
                <w:lang w:val="pt-BR"/>
              </w:rPr>
              <w:t>)</w:t>
            </w:r>
            <w:r w:rsidRPr="005C6D56">
              <w:rPr>
                <w:i/>
                <w:color w:val="000000"/>
                <w:szCs w:val="24"/>
                <w:vertAlign w:val="superscript"/>
                <w:lang w:val="pt-BR"/>
              </w:rPr>
              <w:t>2</w:t>
            </w:r>
          </w:p>
          <w:p w14:paraId="52712988" w14:textId="77777777" w:rsidR="005C6D56" w:rsidRPr="005C6D56" w:rsidRDefault="005C6D56" w:rsidP="005C6D56">
            <w:pPr>
              <w:spacing w:after="240"/>
              <w:ind w:firstLine="720"/>
              <w:rPr>
                <w:szCs w:val="24"/>
                <w:lang w:val="pt-BR"/>
              </w:rPr>
            </w:pPr>
            <w:r w:rsidRPr="005C6D56">
              <w:rPr>
                <w:szCs w:val="24"/>
                <w:lang w:val="pt-BR"/>
              </w:rPr>
              <w:t>Where:</w:t>
            </w:r>
          </w:p>
          <w:p w14:paraId="5A533945" w14:textId="77777777" w:rsidR="005C6D56" w:rsidRPr="005C6D56" w:rsidRDefault="005C6D56" w:rsidP="005C6D56">
            <w:pPr>
              <w:spacing w:after="240"/>
              <w:ind w:left="720" w:firstLine="720"/>
              <w:rPr>
                <w:szCs w:val="24"/>
                <w:lang w:val="pt-BR"/>
              </w:rPr>
            </w:pPr>
            <w:r w:rsidRPr="005C6D56">
              <w:rPr>
                <w:szCs w:val="24"/>
              </w:rPr>
              <w:t xml:space="preserve">For </w:t>
            </w:r>
            <w:r w:rsidRPr="005C6D56">
              <w:rPr>
                <w:bCs/>
                <w:color w:val="000000"/>
                <w:szCs w:val="24"/>
                <w:lang w:val="pt-BR"/>
              </w:rPr>
              <w:t xml:space="preserve">an MRA registered as a Generation Resource, </w:t>
            </w:r>
          </w:p>
          <w:p w14:paraId="45C8F75D" w14:textId="127E320F" w:rsidR="005C6D56" w:rsidRPr="005C6D56" w:rsidRDefault="005C6D56" w:rsidP="005C6D56">
            <w:pPr>
              <w:spacing w:after="240"/>
              <w:ind w:left="1440" w:firstLine="720"/>
              <w:rPr>
                <w:i/>
                <w:szCs w:val="24"/>
                <w:lang w:val="pt-BR"/>
              </w:rPr>
            </w:pPr>
            <w:r w:rsidRPr="005C6D56">
              <w:rPr>
                <w:szCs w:val="24"/>
                <w:lang w:val="pt-BR"/>
              </w:rPr>
              <w:t xml:space="preserve">MRACMAF </w:t>
            </w:r>
            <w:r w:rsidRPr="005C6D56">
              <w:rPr>
                <w:i/>
                <w:szCs w:val="24"/>
                <w:vertAlign w:val="subscript"/>
                <w:lang w:val="pt-BR"/>
              </w:rPr>
              <w:t xml:space="preserve">q, r, m </w:t>
            </w:r>
            <w:r w:rsidRPr="005C6D56">
              <w:rPr>
                <w:szCs w:val="24"/>
              </w:rPr>
              <w:t xml:space="preserve"> </w:t>
            </w:r>
            <w:r w:rsidRPr="005C6D56">
              <w:rPr>
                <w:szCs w:val="24"/>
                <w:lang w:val="pt-BR"/>
              </w:rPr>
              <w:t xml:space="preserve">= </w:t>
            </w:r>
            <w:r w:rsidRPr="005C6D56">
              <w:rPr>
                <w:szCs w:val="24"/>
              </w:rPr>
              <w:t xml:space="preserve"> </w:t>
            </w:r>
            <w:r w:rsidR="00A94020" w:rsidRPr="005C6D56">
              <w:rPr>
                <w:b/>
                <w:noProof/>
                <w:position w:val="-20"/>
                <w:szCs w:val="24"/>
              </w:rPr>
              <w:drawing>
                <wp:inline distT="0" distB="0" distL="0" distR="0" wp14:anchorId="5523BB01" wp14:editId="51E67E0A">
                  <wp:extent cx="142875" cy="276225"/>
                  <wp:effectExtent l="0" t="0" r="9525" b="952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5C6D56">
              <w:rPr>
                <w:szCs w:val="24"/>
              </w:rPr>
              <w:t xml:space="preserve"> (</w:t>
            </w:r>
            <w:r w:rsidRPr="005C6D56">
              <w:rPr>
                <w:szCs w:val="24"/>
                <w:lang w:val="pt-BR"/>
              </w:rPr>
              <w:t>MRAMAH</w:t>
            </w:r>
            <w:r w:rsidRPr="005C6D56">
              <w:rPr>
                <w:i/>
                <w:szCs w:val="24"/>
                <w:vertAlign w:val="subscript"/>
                <w:lang w:val="pt-BR"/>
              </w:rPr>
              <w:t xml:space="preserve"> q, r, h</w:t>
            </w:r>
            <w:r w:rsidRPr="005C6D56">
              <w:rPr>
                <w:szCs w:val="24"/>
                <w:lang w:val="pt-BR"/>
              </w:rPr>
              <w:t xml:space="preserve"> ) / </w:t>
            </w:r>
            <w:r w:rsidRPr="005C6D56">
              <w:rPr>
                <w:szCs w:val="24"/>
              </w:rPr>
              <w:t xml:space="preserve"> (</w:t>
            </w:r>
            <w:r w:rsidRPr="005C6D56">
              <w:rPr>
                <w:szCs w:val="24"/>
                <w:lang w:val="pt-BR"/>
              </w:rPr>
              <w:t>MH</w:t>
            </w:r>
            <w:r w:rsidRPr="005C6D56">
              <w:rPr>
                <w:i/>
                <w:szCs w:val="24"/>
                <w:vertAlign w:val="subscript"/>
                <w:lang w:val="pt-BR"/>
              </w:rPr>
              <w:t xml:space="preserve"> q, r, m</w:t>
            </w:r>
            <w:r w:rsidRPr="005C6D56">
              <w:rPr>
                <w:i/>
                <w:szCs w:val="24"/>
                <w:lang w:val="pt-BR"/>
              </w:rPr>
              <w:t>)</w:t>
            </w:r>
          </w:p>
          <w:p w14:paraId="49C688D2" w14:textId="77777777" w:rsidR="005C6D56" w:rsidRPr="005C6D56" w:rsidRDefault="005C6D56" w:rsidP="004A39F9">
            <w:pPr>
              <w:spacing w:after="240"/>
              <w:ind w:firstLine="720"/>
              <w:rPr>
                <w:szCs w:val="24"/>
              </w:rPr>
            </w:pPr>
            <w:r w:rsidRPr="005C6D56">
              <w:rPr>
                <w:szCs w:val="24"/>
              </w:rPr>
              <w:t xml:space="preserve">And, </w:t>
            </w:r>
          </w:p>
          <w:p w14:paraId="607BB88E" w14:textId="77777777" w:rsidR="005C6D56" w:rsidRPr="005C6D56" w:rsidRDefault="005C6D56" w:rsidP="004A39F9">
            <w:pPr>
              <w:spacing w:after="240"/>
              <w:ind w:left="1440"/>
              <w:rPr>
                <w:szCs w:val="24"/>
              </w:rPr>
            </w:pPr>
            <w:r w:rsidRPr="005C6D56">
              <w:rPr>
                <w:szCs w:val="24"/>
              </w:rPr>
              <w:t xml:space="preserve">For an </w:t>
            </w:r>
            <w:r w:rsidRPr="005C6D56">
              <w:rPr>
                <w:bCs/>
                <w:snapToGrid w:val="0"/>
              </w:rPr>
              <w:t>MRA not registered as a Generation Resource,</w:t>
            </w:r>
            <w:r w:rsidRPr="005C6D56">
              <w:rPr>
                <w:szCs w:val="24"/>
              </w:rPr>
              <w:t xml:space="preserve"> the availability factor is calculated pursuant to Section 3.14.4.6.4, MRA Availability Measurement and Verification.</w:t>
            </w:r>
          </w:p>
          <w:p w14:paraId="0563F861" w14:textId="77777777" w:rsidR="005C6D56" w:rsidRPr="005C6D56" w:rsidRDefault="005C6D56" w:rsidP="005C6D56">
            <w:pPr>
              <w:rPr>
                <w:szCs w:val="24"/>
              </w:rPr>
            </w:pPr>
            <w:r w:rsidRPr="005C6D56">
              <w:rPr>
                <w:szCs w:val="24"/>
              </w:rPr>
              <w:t>The above variables are defined as follows: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788"/>
              <w:gridCol w:w="6780"/>
            </w:tblGrid>
            <w:tr w:rsidR="0057461A" w:rsidRPr="00027F85" w14:paraId="7FA20484" w14:textId="77777777" w:rsidTr="00CE1011">
              <w:trPr>
                <w:cantSplit/>
                <w:tblHeader/>
              </w:trPr>
              <w:tc>
                <w:tcPr>
                  <w:tcW w:w="949" w:type="pct"/>
                </w:tcPr>
                <w:p w14:paraId="673C5E14" w14:textId="77777777" w:rsidR="0057461A" w:rsidRPr="00027F85" w:rsidRDefault="0057461A" w:rsidP="0057461A">
                  <w:pPr>
                    <w:spacing w:after="120"/>
                    <w:rPr>
                      <w:b/>
                      <w:iCs/>
                      <w:sz w:val="20"/>
                    </w:rPr>
                  </w:pPr>
                  <w:r w:rsidRPr="00027F85">
                    <w:rPr>
                      <w:b/>
                      <w:iCs/>
                      <w:sz w:val="20"/>
                    </w:rPr>
                    <w:t>Variable</w:t>
                  </w:r>
                </w:p>
              </w:tc>
              <w:tc>
                <w:tcPr>
                  <w:tcW w:w="422" w:type="pct"/>
                </w:tcPr>
                <w:p w14:paraId="11F211FD" w14:textId="77777777" w:rsidR="0057461A" w:rsidRPr="00027F85" w:rsidRDefault="0057461A" w:rsidP="0057461A">
                  <w:pPr>
                    <w:spacing w:after="120"/>
                    <w:rPr>
                      <w:b/>
                      <w:iCs/>
                      <w:sz w:val="20"/>
                    </w:rPr>
                  </w:pPr>
                  <w:r w:rsidRPr="00027F85">
                    <w:rPr>
                      <w:b/>
                      <w:iCs/>
                      <w:sz w:val="20"/>
                    </w:rPr>
                    <w:t>Unit</w:t>
                  </w:r>
                </w:p>
              </w:tc>
              <w:tc>
                <w:tcPr>
                  <w:tcW w:w="3629" w:type="pct"/>
                </w:tcPr>
                <w:p w14:paraId="0EA8DFE5" w14:textId="77777777" w:rsidR="0057461A" w:rsidRPr="00027F85" w:rsidRDefault="0057461A" w:rsidP="0057461A">
                  <w:pPr>
                    <w:spacing w:after="120"/>
                    <w:rPr>
                      <w:b/>
                      <w:iCs/>
                      <w:sz w:val="20"/>
                    </w:rPr>
                  </w:pPr>
                  <w:r w:rsidRPr="00027F85">
                    <w:rPr>
                      <w:b/>
                      <w:iCs/>
                      <w:sz w:val="20"/>
                    </w:rPr>
                    <w:t>Definition</w:t>
                  </w:r>
                </w:p>
              </w:tc>
            </w:tr>
            <w:tr w:rsidR="0057461A" w:rsidRPr="00027F85" w14:paraId="412F08CE" w14:textId="77777777" w:rsidTr="00CE1011">
              <w:trPr>
                <w:cantSplit/>
              </w:trPr>
              <w:tc>
                <w:tcPr>
                  <w:tcW w:w="949" w:type="pct"/>
                </w:tcPr>
                <w:p w14:paraId="0594423A" w14:textId="77777777" w:rsidR="0057461A" w:rsidRPr="00027F85" w:rsidRDefault="0057461A" w:rsidP="0057461A">
                  <w:pPr>
                    <w:spacing w:after="60"/>
                    <w:rPr>
                      <w:iCs/>
                      <w:sz w:val="20"/>
                    </w:rPr>
                  </w:pPr>
                  <w:r w:rsidRPr="00027F85">
                    <w:rPr>
                      <w:iCs/>
                      <w:sz w:val="20"/>
                    </w:rPr>
                    <w:t>MRASBAMT</w:t>
                  </w:r>
                  <w:r>
                    <w:rPr>
                      <w:iCs/>
                      <w:sz w:val="20"/>
                    </w:rPr>
                    <w:t xml:space="preserve"> </w:t>
                  </w:r>
                  <w:r w:rsidRPr="00027F85">
                    <w:rPr>
                      <w:i/>
                      <w:iCs/>
                      <w:sz w:val="20"/>
                      <w:vertAlign w:val="subscript"/>
                    </w:rPr>
                    <w:t>q, r,</w:t>
                  </w:r>
                  <w:r>
                    <w:rPr>
                      <w:i/>
                      <w:iCs/>
                      <w:sz w:val="20"/>
                      <w:vertAlign w:val="subscript"/>
                    </w:rPr>
                    <w:t xml:space="preserve"> </w:t>
                  </w:r>
                  <w:r w:rsidRPr="00027F85">
                    <w:rPr>
                      <w:i/>
                      <w:iCs/>
                      <w:sz w:val="20"/>
                      <w:vertAlign w:val="subscript"/>
                    </w:rPr>
                    <w:t>h</w:t>
                  </w:r>
                </w:p>
              </w:tc>
              <w:tc>
                <w:tcPr>
                  <w:tcW w:w="422" w:type="pct"/>
                </w:tcPr>
                <w:p w14:paraId="23BD71BB" w14:textId="77777777" w:rsidR="0057461A" w:rsidRPr="00027F85" w:rsidRDefault="0057461A" w:rsidP="0057461A">
                  <w:pPr>
                    <w:spacing w:after="60"/>
                    <w:rPr>
                      <w:iCs/>
                      <w:sz w:val="20"/>
                    </w:rPr>
                  </w:pPr>
                  <w:r w:rsidRPr="00027F85">
                    <w:rPr>
                      <w:iCs/>
                      <w:sz w:val="20"/>
                    </w:rPr>
                    <w:t xml:space="preserve">$ </w:t>
                  </w:r>
                </w:p>
              </w:tc>
              <w:tc>
                <w:tcPr>
                  <w:tcW w:w="3629" w:type="pct"/>
                </w:tcPr>
                <w:p w14:paraId="35C0D16D" w14:textId="77777777" w:rsidR="0057461A" w:rsidRPr="00027F85" w:rsidRDefault="0057461A" w:rsidP="0057461A">
                  <w:pPr>
                    <w:spacing w:after="60"/>
                    <w:rPr>
                      <w:i/>
                      <w:iCs/>
                      <w:sz w:val="20"/>
                    </w:rPr>
                  </w:pPr>
                  <w:r w:rsidRPr="00027F85">
                    <w:rPr>
                      <w:i/>
                      <w:iCs/>
                      <w:sz w:val="20"/>
                    </w:rPr>
                    <w:t>Must-Run Alternative Standby Amount per QSE per Resource by hour</w:t>
                  </w:r>
                  <w:r w:rsidRPr="00027F85">
                    <w:rPr>
                      <w:iCs/>
                      <w:sz w:val="20"/>
                    </w:rPr>
                    <w:t xml:space="preserve">—The hourly standby payment amount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for the hour</w:t>
                  </w:r>
                  <w:r>
                    <w:rPr>
                      <w:sz w:val="20"/>
                    </w:rPr>
                    <w:t xml:space="preserve"> </w:t>
                  </w:r>
                  <w:r w:rsidRPr="002E75F3">
                    <w:rPr>
                      <w:i/>
                      <w:sz w:val="20"/>
                    </w:rPr>
                    <w:t>h</w:t>
                  </w:r>
                  <w:r w:rsidRPr="00027F85">
                    <w:rPr>
                      <w:iCs/>
                      <w:sz w:val="20"/>
                    </w:rPr>
                    <w:t>.</w:t>
                  </w:r>
                  <w:r>
                    <w:rPr>
                      <w:iCs/>
                      <w:sz w:val="20"/>
                    </w:rPr>
                    <w:t xml:space="preserve">  </w:t>
                  </w:r>
                  <w:r w:rsidRPr="00027F85">
                    <w:rPr>
                      <w:iCs/>
                      <w:sz w:val="20"/>
                    </w:rPr>
                    <w:t xml:space="preserve">Where for a Combined Cycle Train, the Resource </w:t>
                  </w:r>
                  <w:r w:rsidRPr="00027F85">
                    <w:rPr>
                      <w:i/>
                      <w:iCs/>
                      <w:sz w:val="20"/>
                    </w:rPr>
                    <w:t xml:space="preserve">r </w:t>
                  </w:r>
                  <w:r w:rsidRPr="00027F85">
                    <w:rPr>
                      <w:iCs/>
                      <w:sz w:val="20"/>
                    </w:rPr>
                    <w:t>is a Combined Cycle Train.</w:t>
                  </w:r>
                </w:p>
              </w:tc>
            </w:tr>
            <w:tr w:rsidR="0057461A" w:rsidRPr="00027F85" w14:paraId="499F2B75" w14:textId="77777777" w:rsidTr="00CE1011">
              <w:trPr>
                <w:cantSplit/>
              </w:trPr>
              <w:tc>
                <w:tcPr>
                  <w:tcW w:w="949" w:type="pct"/>
                </w:tcPr>
                <w:p w14:paraId="4471A83E" w14:textId="77777777" w:rsidR="0057461A" w:rsidRPr="00027F85" w:rsidRDefault="0057461A" w:rsidP="0057461A">
                  <w:pPr>
                    <w:spacing w:after="60"/>
                    <w:rPr>
                      <w:iCs/>
                      <w:sz w:val="20"/>
                    </w:rPr>
                  </w:pPr>
                  <w:r w:rsidRPr="00027F85">
                    <w:rPr>
                      <w:iCs/>
                      <w:sz w:val="20"/>
                    </w:rPr>
                    <w:t xml:space="preserve">MRASBPR </w:t>
                  </w:r>
                  <w:r w:rsidRPr="00027F85">
                    <w:rPr>
                      <w:i/>
                      <w:iCs/>
                      <w:sz w:val="20"/>
                      <w:vertAlign w:val="subscript"/>
                    </w:rPr>
                    <w:t>q, r</w:t>
                  </w:r>
                  <w:r>
                    <w:rPr>
                      <w:i/>
                      <w:iCs/>
                      <w:sz w:val="20"/>
                      <w:vertAlign w:val="subscript"/>
                    </w:rPr>
                    <w:t>, m</w:t>
                  </w:r>
                </w:p>
              </w:tc>
              <w:tc>
                <w:tcPr>
                  <w:tcW w:w="422" w:type="pct"/>
                </w:tcPr>
                <w:p w14:paraId="57503175" w14:textId="77777777" w:rsidR="0057461A" w:rsidRPr="00027F85" w:rsidRDefault="0057461A" w:rsidP="0057461A">
                  <w:pPr>
                    <w:spacing w:after="60"/>
                    <w:rPr>
                      <w:iCs/>
                      <w:sz w:val="20"/>
                    </w:rPr>
                  </w:pPr>
                  <w:r w:rsidRPr="00027F85">
                    <w:rPr>
                      <w:iCs/>
                      <w:sz w:val="20"/>
                    </w:rPr>
                    <w:t>$/MW per hour</w:t>
                  </w:r>
                </w:p>
              </w:tc>
              <w:tc>
                <w:tcPr>
                  <w:tcW w:w="3629" w:type="pct"/>
                </w:tcPr>
                <w:p w14:paraId="3A8634AA" w14:textId="77777777" w:rsidR="0057461A" w:rsidRPr="00027F85" w:rsidRDefault="0057461A" w:rsidP="0057461A">
                  <w:pPr>
                    <w:spacing w:after="60"/>
                    <w:rPr>
                      <w:i/>
                      <w:iCs/>
                      <w:sz w:val="20"/>
                    </w:rPr>
                  </w:pPr>
                  <w:r w:rsidRPr="00027F85">
                    <w:rPr>
                      <w:i/>
                      <w:iCs/>
                      <w:sz w:val="20"/>
                    </w:rPr>
                    <w:t>Must-Run Alternative Standby Price per QSE per Resource per MW per hour</w:t>
                  </w:r>
                  <w:r w:rsidRPr="00027F85">
                    <w:rPr>
                      <w:iCs/>
                      <w:sz w:val="20"/>
                    </w:rPr>
                    <w:t xml:space="preserve">—The hourly standby price per MW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xml:space="preserve">, for the </w:t>
                  </w:r>
                  <w:r>
                    <w:rPr>
                      <w:sz w:val="20"/>
                    </w:rPr>
                    <w:t>month</w:t>
                  </w:r>
                  <w:r w:rsidRPr="00027F85">
                    <w:rPr>
                      <w:sz w:val="20"/>
                    </w:rPr>
                    <w:t xml:space="preserve"> </w:t>
                  </w:r>
                  <w:r w:rsidRPr="002E75F3">
                    <w:rPr>
                      <w:i/>
                      <w:sz w:val="20"/>
                    </w:rPr>
                    <w:t>m</w:t>
                  </w:r>
                  <w:r w:rsidRPr="00027F85">
                    <w:rPr>
                      <w:iCs/>
                      <w:sz w:val="20"/>
                    </w:rPr>
                    <w:t xml:space="preserve">.  Where for a Combined Cycle Train, the Resource </w:t>
                  </w:r>
                  <w:r w:rsidRPr="00027F85">
                    <w:rPr>
                      <w:i/>
                      <w:iCs/>
                      <w:sz w:val="20"/>
                    </w:rPr>
                    <w:t xml:space="preserve">r </w:t>
                  </w:r>
                  <w:r w:rsidRPr="00027F85">
                    <w:rPr>
                      <w:iCs/>
                      <w:sz w:val="20"/>
                    </w:rPr>
                    <w:t>is a Combined Cycle Train.</w:t>
                  </w:r>
                </w:p>
              </w:tc>
            </w:tr>
            <w:tr w:rsidR="0057461A" w:rsidRPr="00027F85" w14:paraId="3089D7B4" w14:textId="77777777" w:rsidTr="00CE1011">
              <w:trPr>
                <w:cantSplit/>
              </w:trPr>
              <w:tc>
                <w:tcPr>
                  <w:tcW w:w="949" w:type="pct"/>
                </w:tcPr>
                <w:p w14:paraId="7A530F34" w14:textId="77777777" w:rsidR="0057461A" w:rsidRPr="00845E5C" w:rsidRDefault="0057461A" w:rsidP="0057461A">
                  <w:pPr>
                    <w:spacing w:after="60"/>
                    <w:rPr>
                      <w:iCs/>
                      <w:sz w:val="20"/>
                    </w:rPr>
                  </w:pPr>
                  <w:r w:rsidRPr="00590FA9">
                    <w:rPr>
                      <w:sz w:val="20"/>
                    </w:rPr>
                    <w:lastRenderedPageBreak/>
                    <w:t>MRAEPRF</w:t>
                  </w:r>
                  <w:r w:rsidRPr="00590FA9">
                    <w:rPr>
                      <w:i/>
                      <w:sz w:val="20"/>
                      <w:vertAlign w:val="subscript"/>
                    </w:rPr>
                    <w:t xml:space="preserve"> q, r, m</w:t>
                  </w:r>
                </w:p>
              </w:tc>
              <w:tc>
                <w:tcPr>
                  <w:tcW w:w="422" w:type="pct"/>
                </w:tcPr>
                <w:p w14:paraId="5F7B26B7" w14:textId="77777777" w:rsidR="0057461A" w:rsidRPr="00027F85" w:rsidRDefault="0057461A" w:rsidP="0057461A">
                  <w:pPr>
                    <w:spacing w:after="60"/>
                    <w:rPr>
                      <w:iCs/>
                      <w:sz w:val="20"/>
                    </w:rPr>
                  </w:pPr>
                  <w:r>
                    <w:rPr>
                      <w:iCs/>
                      <w:sz w:val="20"/>
                    </w:rPr>
                    <w:t>N</w:t>
                  </w:r>
                  <w:r w:rsidRPr="00027F85">
                    <w:rPr>
                      <w:iCs/>
                      <w:sz w:val="20"/>
                    </w:rPr>
                    <w:t>one</w:t>
                  </w:r>
                </w:p>
              </w:tc>
              <w:tc>
                <w:tcPr>
                  <w:tcW w:w="3629" w:type="pct"/>
                </w:tcPr>
                <w:p w14:paraId="128918D1" w14:textId="77777777" w:rsidR="0057461A" w:rsidRPr="00590FA9" w:rsidRDefault="0057461A" w:rsidP="0057461A">
                  <w:pPr>
                    <w:tabs>
                      <w:tab w:val="left" w:pos="1080"/>
                      <w:tab w:val="left" w:pos="5940"/>
                      <w:tab w:val="left" w:pos="6300"/>
                      <w:tab w:val="left" w:pos="6840"/>
                    </w:tabs>
                    <w:rPr>
                      <w:lang w:val="pt-BR"/>
                    </w:rPr>
                  </w:pPr>
                  <w:r w:rsidRPr="00F60B02">
                    <w:rPr>
                      <w:i/>
                      <w:iCs/>
                      <w:sz w:val="20"/>
                    </w:rPr>
                    <w:t xml:space="preserve">Must-Run Alternative Event Performance Reduction </w:t>
                  </w:r>
                  <w:r w:rsidRPr="00F60B02">
                    <w:rPr>
                      <w:i/>
                      <w:sz w:val="20"/>
                    </w:rPr>
                    <w:t>Factor per QSE</w:t>
                  </w:r>
                  <w:r>
                    <w:rPr>
                      <w:i/>
                      <w:sz w:val="20"/>
                    </w:rPr>
                    <w:t xml:space="preserve"> per Resource</w:t>
                  </w:r>
                  <w:r w:rsidRPr="00F60B02">
                    <w:rPr>
                      <w:sz w:val="20"/>
                    </w:rPr>
                    <w:t xml:space="preserve">—The </w:t>
                  </w:r>
                  <w:r>
                    <w:rPr>
                      <w:sz w:val="20"/>
                    </w:rPr>
                    <w:t>E</w:t>
                  </w:r>
                  <w:r w:rsidRPr="00F60B02">
                    <w:rPr>
                      <w:sz w:val="20"/>
                    </w:rPr>
                    <w:t xml:space="preserve">vent </w:t>
                  </w:r>
                  <w:r>
                    <w:rPr>
                      <w:sz w:val="20"/>
                    </w:rPr>
                    <w:t>P</w:t>
                  </w:r>
                  <w:r w:rsidRPr="00F60B02">
                    <w:rPr>
                      <w:sz w:val="20"/>
                    </w:rPr>
                    <w:t xml:space="preserve">erformance </w:t>
                  </w:r>
                  <w:r>
                    <w:rPr>
                      <w:sz w:val="20"/>
                    </w:rPr>
                    <w:t>R</w:t>
                  </w:r>
                  <w:r w:rsidRPr="00F60B02">
                    <w:rPr>
                      <w:sz w:val="20"/>
                    </w:rPr>
                    <w:t xml:space="preserve">eduction </w:t>
                  </w:r>
                  <w:r>
                    <w:rPr>
                      <w:sz w:val="20"/>
                    </w:rPr>
                    <w:t>F</w:t>
                  </w:r>
                  <w:r w:rsidRPr="00F60B02">
                    <w:rPr>
                      <w:sz w:val="20"/>
                    </w:rPr>
                    <w:t xml:space="preserve">actor of the </w:t>
                  </w:r>
                  <w:r>
                    <w:rPr>
                      <w:sz w:val="20"/>
                    </w:rPr>
                    <w:t>MRA</w:t>
                  </w:r>
                  <w:r w:rsidRPr="00F60B02">
                    <w:rPr>
                      <w:i/>
                      <w:iCs/>
                      <w:sz w:val="20"/>
                    </w:rPr>
                    <w:t xml:space="preserve"> r </w:t>
                  </w:r>
                  <w:r w:rsidRPr="00F60B02">
                    <w:rPr>
                      <w:iCs/>
                      <w:sz w:val="20"/>
                    </w:rPr>
                    <w:t xml:space="preserve">represented by QSE </w:t>
                  </w:r>
                  <w:r w:rsidRPr="00F60B02">
                    <w:rPr>
                      <w:i/>
                      <w:iCs/>
                      <w:sz w:val="20"/>
                    </w:rPr>
                    <w:t>q</w:t>
                  </w:r>
                  <w:r w:rsidRPr="00F60B02">
                    <w:rPr>
                      <w:sz w:val="20"/>
                    </w:rPr>
                    <w:t>, for each hour of the month m</w:t>
                  </w:r>
                  <w:r>
                    <w:rPr>
                      <w:sz w:val="20"/>
                    </w:rPr>
                    <w:t>, as</w:t>
                  </w:r>
                  <w:r w:rsidRPr="00F60B02">
                    <w:rPr>
                      <w:sz w:val="20"/>
                    </w:rPr>
                    <w:t xml:space="preserve"> calculated per </w:t>
                  </w:r>
                  <w:r>
                    <w:rPr>
                      <w:sz w:val="20"/>
                    </w:rPr>
                    <w:t>S</w:t>
                  </w:r>
                  <w:r w:rsidRPr="00F60B02">
                    <w:rPr>
                      <w:sz w:val="20"/>
                    </w:rPr>
                    <w:t>ection 3.14.</w:t>
                  </w:r>
                  <w:r>
                    <w:rPr>
                      <w:sz w:val="20"/>
                    </w:rPr>
                    <w:t>4.6.5,</w:t>
                  </w:r>
                  <w:r w:rsidRPr="00F60B02">
                    <w:rPr>
                      <w:sz w:val="20"/>
                    </w:rPr>
                    <w:t xml:space="preserve"> </w:t>
                  </w:r>
                  <w:r>
                    <w:rPr>
                      <w:sz w:val="20"/>
                    </w:rPr>
                    <w:t xml:space="preserve">MRA </w:t>
                  </w:r>
                  <w:r w:rsidRPr="00F60B02">
                    <w:rPr>
                      <w:sz w:val="20"/>
                    </w:rPr>
                    <w:t>Event Performance Measurement and Verification</w:t>
                  </w:r>
                  <w:r>
                    <w:rPr>
                      <w:sz w:val="20"/>
                    </w:rPr>
                    <w:t xml:space="preserve">.  </w:t>
                  </w:r>
                  <w:r w:rsidRPr="00F60B02">
                    <w:rPr>
                      <w:sz w:val="20"/>
                    </w:rPr>
                    <w:t xml:space="preserve">If the MRAEPRF </w:t>
                  </w:r>
                  <w:r>
                    <w:rPr>
                      <w:sz w:val="20"/>
                    </w:rPr>
                    <w:t xml:space="preserve">for </w:t>
                  </w:r>
                  <w:r w:rsidRPr="00F60B02">
                    <w:rPr>
                      <w:sz w:val="20"/>
                    </w:rPr>
                    <w:t xml:space="preserve">the month is not available then the most recent MRAEPRF prior to month of the Operating Day shall be used. </w:t>
                  </w:r>
                  <w:r>
                    <w:rPr>
                      <w:sz w:val="20"/>
                    </w:rPr>
                    <w:t xml:space="preserve"> </w:t>
                  </w:r>
                  <w:r w:rsidRPr="00F60B02">
                    <w:rPr>
                      <w:sz w:val="20"/>
                    </w:rPr>
                    <w:t>If no previous MRAEPRF is available then MRAEPRF shall be set to 1</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AE3AB4E" w14:textId="77777777" w:rsidTr="00CE1011">
              <w:trPr>
                <w:cantSplit/>
              </w:trPr>
              <w:tc>
                <w:tcPr>
                  <w:tcW w:w="949" w:type="pct"/>
                </w:tcPr>
                <w:p w14:paraId="3324DCB3" w14:textId="77777777" w:rsidR="0057461A" w:rsidRPr="00027F85" w:rsidRDefault="0057461A" w:rsidP="0057461A">
                  <w:pPr>
                    <w:spacing w:after="60"/>
                    <w:rPr>
                      <w:sz w:val="20"/>
                    </w:rPr>
                  </w:pPr>
                  <w:r w:rsidRPr="00027F85">
                    <w:rPr>
                      <w:sz w:val="20"/>
                    </w:rPr>
                    <w:t>MRA</w:t>
                  </w:r>
                  <w:r>
                    <w:rPr>
                      <w:sz w:val="20"/>
                    </w:rPr>
                    <w:t>G</w:t>
                  </w:r>
                  <w:r w:rsidRPr="00590FA9">
                    <w:rPr>
                      <w:sz w:val="20"/>
                    </w:rPr>
                    <w:t>R</w:t>
                  </w:r>
                  <w:r w:rsidRPr="00845E5C">
                    <w:rPr>
                      <w:sz w:val="20"/>
                    </w:rPr>
                    <w:t xml:space="preserve">CRF </w:t>
                  </w:r>
                  <w:r w:rsidRPr="007B68C7">
                    <w:rPr>
                      <w:i/>
                      <w:sz w:val="20"/>
                      <w:vertAlign w:val="subscript"/>
                    </w:rPr>
                    <w:t>q, r, m</w:t>
                  </w:r>
                </w:p>
              </w:tc>
              <w:tc>
                <w:tcPr>
                  <w:tcW w:w="422" w:type="pct"/>
                </w:tcPr>
                <w:p w14:paraId="28337D5F" w14:textId="77777777" w:rsidR="0057461A" w:rsidRPr="00027F85" w:rsidRDefault="0057461A" w:rsidP="0057461A">
                  <w:pPr>
                    <w:spacing w:after="60"/>
                    <w:rPr>
                      <w:iCs/>
                      <w:sz w:val="20"/>
                    </w:rPr>
                  </w:pPr>
                  <w:r w:rsidRPr="00027F85">
                    <w:rPr>
                      <w:iCs/>
                      <w:sz w:val="20"/>
                    </w:rPr>
                    <w:t>None</w:t>
                  </w:r>
                </w:p>
              </w:tc>
              <w:tc>
                <w:tcPr>
                  <w:tcW w:w="3629" w:type="pct"/>
                </w:tcPr>
                <w:p w14:paraId="5A5D5DC8" w14:textId="77777777" w:rsidR="0057461A" w:rsidRPr="00027F85" w:rsidRDefault="0057461A" w:rsidP="0057461A">
                  <w:pPr>
                    <w:spacing w:after="60"/>
                    <w:rPr>
                      <w:i/>
                      <w:sz w:val="20"/>
                    </w:rPr>
                  </w:pPr>
                  <w:r w:rsidRPr="00027F85">
                    <w:rPr>
                      <w:i/>
                      <w:iCs/>
                      <w:sz w:val="20"/>
                    </w:rPr>
                    <w:t xml:space="preserve">Must-Run Alternative </w:t>
                  </w:r>
                  <w:r>
                    <w:rPr>
                      <w:i/>
                      <w:iCs/>
                      <w:sz w:val="20"/>
                    </w:rPr>
                    <w:t xml:space="preserve">Generation </w:t>
                  </w:r>
                  <w:r w:rsidRPr="00027F85">
                    <w:rPr>
                      <w:i/>
                      <w:iCs/>
                      <w:sz w:val="20"/>
                    </w:rPr>
                    <w:t xml:space="preserve">Resource </w:t>
                  </w:r>
                  <w:r w:rsidRPr="00027F85">
                    <w:rPr>
                      <w:i/>
                      <w:sz w:val="20"/>
                    </w:rPr>
                    <w:t xml:space="preserve">Capacity Reduction Factor per QSE per Resource per month </w:t>
                  </w:r>
                  <w:r w:rsidRPr="00027F85">
                    <w:rPr>
                      <w:sz w:val="20"/>
                    </w:rPr>
                    <w:t xml:space="preserve">—The capacity reduction factor of the </w:t>
                  </w:r>
                  <w:r>
                    <w:rPr>
                      <w:sz w:val="20"/>
                    </w:rPr>
                    <w:t>Generation Resource</w:t>
                  </w:r>
                  <w:r w:rsidRPr="00027F85">
                    <w:rPr>
                      <w:sz w:val="20"/>
                    </w:rPr>
                    <w:t xml:space="preserve"> </w:t>
                  </w:r>
                  <w:r>
                    <w:rPr>
                      <w:sz w:val="20"/>
                    </w:rPr>
                    <w:t>MRA</w:t>
                  </w:r>
                  <w:r w:rsidRPr="00027F85">
                    <w:rPr>
                      <w:i/>
                      <w:iCs/>
                      <w:sz w:val="20"/>
                    </w:rPr>
                    <w:t xml:space="preserve"> r </w:t>
                  </w:r>
                  <w:r w:rsidRPr="00027F85">
                    <w:rPr>
                      <w:iCs/>
                      <w:sz w:val="20"/>
                    </w:rPr>
                    <w:t xml:space="preserve">represented by QSE </w:t>
                  </w:r>
                  <w:r w:rsidRPr="00027F85">
                    <w:rPr>
                      <w:i/>
                      <w:iCs/>
                      <w:sz w:val="20"/>
                    </w:rPr>
                    <w:t>q</w:t>
                  </w:r>
                  <w:r w:rsidRPr="00027F85">
                    <w:rPr>
                      <w:sz w:val="20"/>
                    </w:rPr>
                    <w:t xml:space="preserve">, for each hour of the month </w:t>
                  </w:r>
                  <w:r w:rsidRPr="002E75F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65A7DD3D" w14:textId="77777777" w:rsidTr="00CE1011">
              <w:trPr>
                <w:cantSplit/>
              </w:trPr>
              <w:tc>
                <w:tcPr>
                  <w:tcW w:w="949" w:type="pct"/>
                </w:tcPr>
                <w:p w14:paraId="1B2FAD86" w14:textId="77777777" w:rsidR="0057461A" w:rsidRPr="00027F85" w:rsidRDefault="0057461A" w:rsidP="0057461A">
                  <w:pPr>
                    <w:spacing w:after="60"/>
                    <w:rPr>
                      <w:iCs/>
                      <w:sz w:val="20"/>
                    </w:rPr>
                  </w:pPr>
                  <w:r w:rsidRPr="00027F85">
                    <w:rPr>
                      <w:sz w:val="20"/>
                    </w:rPr>
                    <w:t>MRACCAP</w:t>
                  </w:r>
                  <w:r w:rsidRPr="00027F85">
                    <w:rPr>
                      <w:sz w:val="20"/>
                      <w:vertAlign w:val="subscript"/>
                    </w:rPr>
                    <w:t xml:space="preserve"> </w:t>
                  </w:r>
                  <w:r w:rsidRPr="00027F85">
                    <w:rPr>
                      <w:i/>
                      <w:sz w:val="20"/>
                      <w:vertAlign w:val="subscript"/>
                    </w:rPr>
                    <w:t>q, r</w:t>
                  </w:r>
                  <w:r>
                    <w:rPr>
                      <w:i/>
                      <w:sz w:val="20"/>
                      <w:vertAlign w:val="subscript"/>
                    </w:rPr>
                    <w:t>,</w:t>
                  </w:r>
                  <w:r w:rsidRPr="00BC5190">
                    <w:rPr>
                      <w:i/>
                      <w:sz w:val="20"/>
                      <w:vertAlign w:val="subscript"/>
                    </w:rPr>
                    <w:t xml:space="preserve"> </w:t>
                  </w:r>
                  <w:r w:rsidRPr="00590FA9">
                    <w:rPr>
                      <w:i/>
                      <w:iCs/>
                      <w:sz w:val="20"/>
                      <w:vertAlign w:val="subscript"/>
                    </w:rPr>
                    <w:t>m</w:t>
                  </w:r>
                </w:p>
              </w:tc>
              <w:tc>
                <w:tcPr>
                  <w:tcW w:w="422" w:type="pct"/>
                </w:tcPr>
                <w:p w14:paraId="0F20AD86" w14:textId="77777777" w:rsidR="0057461A" w:rsidRPr="00027F85" w:rsidRDefault="0057461A" w:rsidP="0057461A">
                  <w:pPr>
                    <w:spacing w:after="60"/>
                    <w:rPr>
                      <w:iCs/>
                      <w:sz w:val="20"/>
                    </w:rPr>
                  </w:pPr>
                  <w:r w:rsidRPr="00027F85">
                    <w:rPr>
                      <w:iCs/>
                      <w:sz w:val="20"/>
                    </w:rPr>
                    <w:t>MW</w:t>
                  </w:r>
                </w:p>
              </w:tc>
              <w:tc>
                <w:tcPr>
                  <w:tcW w:w="3629" w:type="pct"/>
                </w:tcPr>
                <w:p w14:paraId="73AD97DD" w14:textId="77777777" w:rsidR="0057461A" w:rsidRPr="00027F85" w:rsidRDefault="0057461A" w:rsidP="0057461A">
                  <w:pPr>
                    <w:spacing w:after="60"/>
                    <w:rPr>
                      <w:i/>
                      <w:iCs/>
                      <w:sz w:val="20"/>
                    </w:rPr>
                  </w:pPr>
                  <w:r w:rsidRPr="00027F85">
                    <w:rPr>
                      <w:i/>
                      <w:sz w:val="20"/>
                    </w:rPr>
                    <w:t>Must-Run Alternative Contrac</w:t>
                  </w:r>
                  <w:r>
                    <w:rPr>
                      <w:i/>
                      <w:sz w:val="20"/>
                    </w:rPr>
                    <w:t>t</w:t>
                  </w:r>
                  <w:r w:rsidRPr="00027F85">
                    <w:rPr>
                      <w:i/>
                      <w:sz w:val="20"/>
                    </w:rPr>
                    <w:t xml:space="preserve"> Capacity per QSE per Resource</w:t>
                  </w:r>
                  <w:r w:rsidRPr="00027F85">
                    <w:rPr>
                      <w:sz w:val="20"/>
                    </w:rPr>
                    <w:t xml:space="preserve">—The capacity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as specified in the MRA Agreement, for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1DB97EC9" w14:textId="77777777" w:rsidTr="00CE1011">
              <w:trPr>
                <w:cantSplit/>
              </w:trPr>
              <w:tc>
                <w:tcPr>
                  <w:tcW w:w="949" w:type="pct"/>
                </w:tcPr>
                <w:p w14:paraId="73DF52FC" w14:textId="77777777" w:rsidR="0057461A" w:rsidRPr="00027F85" w:rsidRDefault="0057461A" w:rsidP="0057461A">
                  <w:pPr>
                    <w:spacing w:after="60"/>
                    <w:rPr>
                      <w:sz w:val="20"/>
                    </w:rPr>
                  </w:pPr>
                  <w:r w:rsidRPr="00027F85">
                    <w:rPr>
                      <w:sz w:val="20"/>
                    </w:rPr>
                    <w:t xml:space="preserve">MRAARF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597F87FA" w14:textId="77777777" w:rsidR="0057461A" w:rsidRPr="00027F85" w:rsidRDefault="0057461A" w:rsidP="0057461A">
                  <w:pPr>
                    <w:spacing w:after="60"/>
                    <w:rPr>
                      <w:sz w:val="20"/>
                    </w:rPr>
                  </w:pPr>
                  <w:r w:rsidRPr="00027F85">
                    <w:rPr>
                      <w:sz w:val="20"/>
                    </w:rPr>
                    <w:t>None</w:t>
                  </w:r>
                </w:p>
              </w:tc>
              <w:tc>
                <w:tcPr>
                  <w:tcW w:w="3629" w:type="pct"/>
                </w:tcPr>
                <w:p w14:paraId="0C907A89" w14:textId="77777777" w:rsidR="0057461A" w:rsidRPr="00027F85"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Availability Reduction Factor per QSE per Resource</w:t>
                  </w:r>
                  <w:r w:rsidRPr="00027F85">
                    <w:rPr>
                      <w:sz w:val="20"/>
                    </w:rPr>
                    <w:t xml:space="preserve">—The availability reduction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3CC299EA" w14:textId="77777777" w:rsidTr="00CE1011">
              <w:trPr>
                <w:cantSplit/>
              </w:trPr>
              <w:tc>
                <w:tcPr>
                  <w:tcW w:w="949" w:type="pct"/>
                </w:tcPr>
                <w:p w14:paraId="7041B484" w14:textId="77777777" w:rsidR="0057461A" w:rsidRPr="00590FA9" w:rsidRDefault="0057461A" w:rsidP="0057461A">
                  <w:pPr>
                    <w:spacing w:after="60"/>
                    <w:rPr>
                      <w:sz w:val="20"/>
                    </w:rPr>
                  </w:pPr>
                  <w:r w:rsidRPr="00027F85">
                    <w:rPr>
                      <w:sz w:val="20"/>
                    </w:rPr>
                    <w:t>MRATCAPA</w:t>
                  </w:r>
                  <w:r w:rsidRPr="00027F85">
                    <w:rPr>
                      <w:sz w:val="20"/>
                      <w:vertAlign w:val="subscript"/>
                    </w:rPr>
                    <w:t xml:space="preserve"> </w:t>
                  </w:r>
                  <w:r w:rsidRPr="00027F85">
                    <w:rPr>
                      <w:i/>
                      <w:sz w:val="20"/>
                      <w:vertAlign w:val="subscript"/>
                    </w:rPr>
                    <w:t>q, r, m</w:t>
                  </w:r>
                </w:p>
              </w:tc>
              <w:tc>
                <w:tcPr>
                  <w:tcW w:w="422" w:type="pct"/>
                </w:tcPr>
                <w:p w14:paraId="23B72171" w14:textId="77777777" w:rsidR="0057461A" w:rsidRPr="007B68C7" w:rsidRDefault="0057461A" w:rsidP="0057461A">
                  <w:pPr>
                    <w:spacing w:after="60"/>
                    <w:rPr>
                      <w:sz w:val="20"/>
                    </w:rPr>
                  </w:pPr>
                  <w:r w:rsidRPr="00845E5C">
                    <w:rPr>
                      <w:sz w:val="20"/>
                    </w:rPr>
                    <w:t>MW</w:t>
                  </w:r>
                </w:p>
              </w:tc>
              <w:tc>
                <w:tcPr>
                  <w:tcW w:w="3629" w:type="pct"/>
                </w:tcPr>
                <w:p w14:paraId="438ABEB2" w14:textId="77777777" w:rsidR="0057461A" w:rsidRPr="00845E5C" w:rsidRDefault="0057461A" w:rsidP="0057461A">
                  <w:pPr>
                    <w:spacing w:after="60"/>
                    <w:rPr>
                      <w:i/>
                      <w:sz w:val="20"/>
                    </w:rPr>
                  </w:pPr>
                  <w:r w:rsidRPr="007B68C7">
                    <w:rPr>
                      <w:i/>
                      <w:sz w:val="20"/>
                    </w:rPr>
                    <w:t xml:space="preserve">Must-Run </w:t>
                  </w:r>
                  <w:r w:rsidRPr="00027F85">
                    <w:rPr>
                      <w:i/>
                      <w:iCs/>
                      <w:sz w:val="20"/>
                    </w:rPr>
                    <w:t xml:space="preserve">Alternative </w:t>
                  </w:r>
                  <w:r w:rsidRPr="00590FA9">
                    <w:rPr>
                      <w:i/>
                      <w:sz w:val="20"/>
                    </w:rPr>
                    <w:t xml:space="preserve">Testing Capacity Adjustment </w:t>
                  </w:r>
                  <w:r w:rsidRPr="00845E5C">
                    <w:rPr>
                      <w:i/>
                      <w:sz w:val="20"/>
                    </w:rPr>
                    <w:t>per month</w:t>
                  </w:r>
                  <w:r w:rsidRPr="00590FA9">
                    <w:rPr>
                      <w:sz w:val="20"/>
                    </w:rPr>
                    <w:t>—The testing capacity adjustment factor</w:t>
                  </w:r>
                  <w:r w:rsidRPr="007B68C7">
                    <w:rPr>
                      <w:sz w:val="20"/>
                    </w:rPr>
                    <w:t xml:space="preserve"> of an </w:t>
                  </w:r>
                  <w:r>
                    <w:rPr>
                      <w:sz w:val="20"/>
                    </w:rPr>
                    <w:t>MRA</w:t>
                  </w:r>
                  <w:r w:rsidRPr="00590FA9">
                    <w:rPr>
                      <w:i/>
                      <w:sz w:val="20"/>
                    </w:rPr>
                    <w:t xml:space="preserve"> r</w:t>
                  </w:r>
                  <w:r w:rsidRPr="00590FA9">
                    <w:rPr>
                      <w:sz w:val="20"/>
                    </w:rPr>
                    <w:t xml:space="preserve"> represented by QSE </w:t>
                  </w:r>
                  <w:r w:rsidRPr="00590FA9">
                    <w:rPr>
                      <w:i/>
                      <w:sz w:val="20"/>
                    </w:rPr>
                    <w:t>q</w:t>
                  </w:r>
                  <w:r w:rsidRPr="00590FA9">
                    <w:rPr>
                      <w:sz w:val="20"/>
                    </w:rPr>
                    <w:t xml:space="preserve">, for </w:t>
                  </w:r>
                  <w:r w:rsidRPr="00845E5C">
                    <w:rPr>
                      <w:sz w:val="20"/>
                    </w:rPr>
                    <w:t xml:space="preserve">each hour of the </w:t>
                  </w:r>
                  <w:r>
                    <w:rPr>
                      <w:sz w:val="20"/>
                    </w:rPr>
                    <w:t xml:space="preserve">MRA Contracted Month </w:t>
                  </w:r>
                  <w:r w:rsidRPr="00BB7973">
                    <w:rPr>
                      <w:i/>
                      <w:sz w:val="20"/>
                    </w:rPr>
                    <w:t>m</w:t>
                  </w:r>
                  <w:r w:rsidRPr="00590FA9">
                    <w:rPr>
                      <w:sz w:val="20"/>
                    </w:rPr>
                    <w:t xml:space="preserve">.  Where for a Combined Cycle Train, the Resource </w:t>
                  </w:r>
                  <w:r w:rsidRPr="00590FA9">
                    <w:rPr>
                      <w:i/>
                      <w:sz w:val="20"/>
                    </w:rPr>
                    <w:t xml:space="preserve">r </w:t>
                  </w:r>
                  <w:r w:rsidRPr="00590FA9">
                    <w:rPr>
                      <w:sz w:val="20"/>
                    </w:rPr>
                    <w:t>is the Combined Cycle Train.</w:t>
                  </w:r>
                </w:p>
              </w:tc>
            </w:tr>
            <w:tr w:rsidR="0057461A" w:rsidRPr="00027F85" w14:paraId="0CC78211" w14:textId="77777777" w:rsidTr="00CE1011">
              <w:trPr>
                <w:cantSplit/>
              </w:trPr>
              <w:tc>
                <w:tcPr>
                  <w:tcW w:w="949" w:type="pct"/>
                </w:tcPr>
                <w:p w14:paraId="10978B64" w14:textId="77777777" w:rsidR="0057461A" w:rsidRPr="00845E5C" w:rsidRDefault="0057461A" w:rsidP="0057461A">
                  <w:pPr>
                    <w:spacing w:after="60"/>
                    <w:rPr>
                      <w:sz w:val="20"/>
                    </w:rPr>
                  </w:pPr>
                  <w:r w:rsidRPr="00027F85">
                    <w:rPr>
                      <w:sz w:val="20"/>
                    </w:rPr>
                    <w:t xml:space="preserve">MRATCAP </w:t>
                  </w:r>
                  <w:r w:rsidRPr="00027F85">
                    <w:rPr>
                      <w:i/>
                      <w:sz w:val="20"/>
                      <w:vertAlign w:val="subscript"/>
                    </w:rPr>
                    <w:t>q, r</w:t>
                  </w:r>
                  <w:r w:rsidRPr="00590FA9">
                    <w:rPr>
                      <w:i/>
                      <w:sz w:val="20"/>
                      <w:vertAlign w:val="subscript"/>
                    </w:rPr>
                    <w:t>, m</w:t>
                  </w:r>
                </w:p>
              </w:tc>
              <w:tc>
                <w:tcPr>
                  <w:tcW w:w="422" w:type="pct"/>
                </w:tcPr>
                <w:p w14:paraId="20CB2597" w14:textId="77777777" w:rsidR="0057461A" w:rsidRPr="00027F85" w:rsidRDefault="0057461A" w:rsidP="0057461A">
                  <w:pPr>
                    <w:spacing w:after="60"/>
                    <w:rPr>
                      <w:sz w:val="20"/>
                    </w:rPr>
                  </w:pPr>
                  <w:r w:rsidRPr="00027F85">
                    <w:rPr>
                      <w:sz w:val="20"/>
                    </w:rPr>
                    <w:t>MW</w:t>
                  </w:r>
                </w:p>
              </w:tc>
              <w:tc>
                <w:tcPr>
                  <w:tcW w:w="3629" w:type="pct"/>
                </w:tcPr>
                <w:p w14:paraId="2C6DD66B" w14:textId="77777777" w:rsidR="0057461A" w:rsidRPr="00845E5C"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 xml:space="preserve">Testing Capacity </w:t>
                  </w:r>
                  <w:r w:rsidRPr="00590FA9">
                    <w:rPr>
                      <w:i/>
                      <w:sz w:val="20"/>
                    </w:rPr>
                    <w:t>per month</w:t>
                  </w:r>
                  <w:r w:rsidRPr="00845E5C">
                    <w:rPr>
                      <w:sz w:val="20"/>
                    </w:rPr>
                    <w:t>—The</w:t>
                  </w:r>
                  <w:r w:rsidRPr="00590FA9">
                    <w:rPr>
                      <w:sz w:val="20"/>
                    </w:rPr>
                    <w:t xml:space="preserve"> </w:t>
                  </w:r>
                  <w:r w:rsidRPr="00845E5C">
                    <w:rPr>
                      <w:sz w:val="20"/>
                    </w:rPr>
                    <w:t xml:space="preserve">testing capacity </w:t>
                  </w:r>
                  <w:r w:rsidRPr="00590FA9">
                    <w:rPr>
                      <w:sz w:val="20"/>
                    </w:rPr>
                    <w:t xml:space="preserve">value </w:t>
                  </w:r>
                  <w:r w:rsidRPr="00845E5C">
                    <w:rPr>
                      <w:sz w:val="20"/>
                    </w:rPr>
                    <w:t xml:space="preserve">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t>
                  </w:r>
                  <w:r>
                    <w:rPr>
                      <w:sz w:val="20"/>
                    </w:rPr>
                    <w:t xml:space="preserve"> </w:t>
                  </w:r>
                  <w:r w:rsidRPr="00F60B02">
                    <w:rPr>
                      <w:sz w:val="20"/>
                    </w:rPr>
                    <w:t>If the MRA</w:t>
                  </w:r>
                  <w:r>
                    <w:rPr>
                      <w:sz w:val="20"/>
                    </w:rPr>
                    <w:t>TCAP</w:t>
                  </w:r>
                  <w:r w:rsidRPr="00F60B02">
                    <w:rPr>
                      <w:sz w:val="20"/>
                    </w:rPr>
                    <w:t xml:space="preserve"> </w:t>
                  </w:r>
                  <w:r>
                    <w:rPr>
                      <w:sz w:val="20"/>
                    </w:rPr>
                    <w:t xml:space="preserve">for </w:t>
                  </w:r>
                  <w:r w:rsidRPr="00F60B02">
                    <w:rPr>
                      <w:sz w:val="20"/>
                    </w:rPr>
                    <w:t>the month is not available then the most recent MRA</w:t>
                  </w:r>
                  <w:r>
                    <w:rPr>
                      <w:sz w:val="20"/>
                    </w:rPr>
                    <w:t>TCAP</w:t>
                  </w:r>
                  <w:r w:rsidRPr="00F60B02">
                    <w:rPr>
                      <w:sz w:val="20"/>
                    </w:rPr>
                    <w:t xml:space="preserve"> prior to month of the Operating Day shall be used. </w:t>
                  </w:r>
                  <w:r>
                    <w:rPr>
                      <w:sz w:val="20"/>
                    </w:rPr>
                    <w:t xml:space="preserve"> </w:t>
                  </w:r>
                  <w:r w:rsidRPr="00F60B02">
                    <w:rPr>
                      <w:sz w:val="20"/>
                    </w:rPr>
                    <w:t>If no previous MRA</w:t>
                  </w:r>
                  <w:r>
                    <w:rPr>
                      <w:sz w:val="20"/>
                    </w:rPr>
                    <w:t>TCAP</w:t>
                  </w:r>
                  <w:r w:rsidRPr="00F60B02">
                    <w:rPr>
                      <w:sz w:val="20"/>
                    </w:rPr>
                    <w:t xml:space="preserve"> is available</w:t>
                  </w:r>
                  <w:r>
                    <w:rPr>
                      <w:sz w:val="20"/>
                    </w:rPr>
                    <w:t>,</w:t>
                  </w:r>
                  <w:r w:rsidRPr="00F60B02">
                    <w:rPr>
                      <w:sz w:val="20"/>
                    </w:rPr>
                    <w:t xml:space="preserve"> then MRA</w:t>
                  </w:r>
                  <w:r>
                    <w:rPr>
                      <w:sz w:val="20"/>
                    </w:rPr>
                    <w:t>TCAP</w:t>
                  </w:r>
                  <w:r w:rsidRPr="00F60B02">
                    <w:rPr>
                      <w:sz w:val="20"/>
                    </w:rPr>
                    <w:t xml:space="preserve"> shall</w:t>
                  </w:r>
                  <w:r>
                    <w:rPr>
                      <w:sz w:val="20"/>
                    </w:rPr>
                    <w:t xml:space="preserve"> be set to </w:t>
                  </w:r>
                  <w:r w:rsidRPr="00590FA9">
                    <w:rPr>
                      <w:sz w:val="20"/>
                    </w:rPr>
                    <w:t>MRACCAP</w:t>
                  </w:r>
                  <w:r w:rsidRPr="00F60B02">
                    <w:rPr>
                      <w:sz w:val="20"/>
                    </w:rPr>
                    <w:t>.</w:t>
                  </w:r>
                  <w:r>
                    <w:rPr>
                      <w:sz w:val="20"/>
                    </w:rPr>
                    <w:t xml:space="preserve">  </w:t>
                  </w:r>
                  <w:r w:rsidRPr="00027F85">
                    <w:rPr>
                      <w:sz w:val="20"/>
                    </w:rPr>
                    <w:t xml:space="preserve">Where for a Combined Cycle Train, the Resource </w:t>
                  </w:r>
                  <w:r w:rsidRPr="00027F85">
                    <w:rPr>
                      <w:i/>
                      <w:sz w:val="20"/>
                    </w:rPr>
                    <w:t xml:space="preserve">r </w:t>
                  </w:r>
                  <w:r w:rsidRPr="00027F85">
                    <w:rPr>
                      <w:sz w:val="20"/>
                    </w:rPr>
                    <w:t>is a Combined Cycle Train.</w:t>
                  </w:r>
                  <w:r w:rsidRPr="00590FA9">
                    <w:rPr>
                      <w:sz w:val="20"/>
                    </w:rPr>
                    <w:t xml:space="preserve"> </w:t>
                  </w:r>
                </w:p>
              </w:tc>
            </w:tr>
            <w:tr w:rsidR="0057461A" w:rsidRPr="00027F85" w14:paraId="4BBFA75D" w14:textId="77777777" w:rsidTr="00CE1011">
              <w:trPr>
                <w:cantSplit/>
              </w:trPr>
              <w:tc>
                <w:tcPr>
                  <w:tcW w:w="949" w:type="pct"/>
                </w:tcPr>
                <w:p w14:paraId="5CD58CAF" w14:textId="77777777" w:rsidR="0057461A" w:rsidRPr="00027F85" w:rsidRDefault="0057461A" w:rsidP="0057461A">
                  <w:pPr>
                    <w:spacing w:after="60"/>
                    <w:rPr>
                      <w:iCs/>
                      <w:sz w:val="20"/>
                    </w:rPr>
                  </w:pPr>
                  <w:r w:rsidRPr="00027F85">
                    <w:rPr>
                      <w:sz w:val="20"/>
                    </w:rPr>
                    <w:t xml:space="preserve">MRATA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0782EC7F" w14:textId="77777777" w:rsidR="0057461A" w:rsidRPr="00027F85" w:rsidRDefault="0057461A" w:rsidP="0057461A">
                  <w:pPr>
                    <w:spacing w:after="60"/>
                    <w:rPr>
                      <w:iCs/>
                      <w:sz w:val="20"/>
                    </w:rPr>
                  </w:pPr>
                  <w:r w:rsidRPr="00027F85">
                    <w:rPr>
                      <w:sz w:val="20"/>
                    </w:rPr>
                    <w:t>None</w:t>
                  </w:r>
                </w:p>
              </w:tc>
              <w:tc>
                <w:tcPr>
                  <w:tcW w:w="3629" w:type="pct"/>
                </w:tcPr>
                <w:p w14:paraId="44B76C39" w14:textId="77777777" w:rsidR="0057461A" w:rsidRPr="00027F85" w:rsidRDefault="0057461A" w:rsidP="0057461A">
                  <w:pPr>
                    <w:spacing w:after="60"/>
                    <w:rPr>
                      <w:i/>
                      <w:iCs/>
                      <w:sz w:val="20"/>
                    </w:rPr>
                  </w:pPr>
                  <w:r w:rsidRPr="00027F85">
                    <w:rPr>
                      <w:i/>
                      <w:sz w:val="20"/>
                    </w:rPr>
                    <w:t>Must-Run Alternative Target Availability per QSE per Resource per Month</w:t>
                  </w:r>
                  <w:r w:rsidRPr="00027F85">
                    <w:rPr>
                      <w:sz w:val="20"/>
                    </w:rPr>
                    <w:t xml:space="preserve">—The monthly Target Availability 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as specified in the MRA Agreement and divided by 100 to convert a percentage to a fraction.  Where for a Combined Cycle Train, the Resource </w:t>
                  </w:r>
                  <w:r w:rsidRPr="00027F85">
                    <w:rPr>
                      <w:i/>
                      <w:sz w:val="20"/>
                    </w:rPr>
                    <w:t xml:space="preserve">r </w:t>
                  </w:r>
                  <w:r w:rsidRPr="00027F85">
                    <w:rPr>
                      <w:sz w:val="20"/>
                    </w:rPr>
                    <w:t>is a Combined Cycle Train.</w:t>
                  </w:r>
                </w:p>
              </w:tc>
            </w:tr>
            <w:tr w:rsidR="0057461A" w:rsidRPr="00027F85" w14:paraId="640B4393" w14:textId="77777777" w:rsidTr="00CE1011">
              <w:trPr>
                <w:cantSplit/>
              </w:trPr>
              <w:tc>
                <w:tcPr>
                  <w:tcW w:w="949" w:type="pct"/>
                </w:tcPr>
                <w:p w14:paraId="128480C4" w14:textId="77777777" w:rsidR="0057461A" w:rsidRPr="00590FA9" w:rsidRDefault="0057461A" w:rsidP="0057461A">
                  <w:pPr>
                    <w:spacing w:after="60"/>
                    <w:rPr>
                      <w:strike/>
                      <w:sz w:val="20"/>
                    </w:rPr>
                  </w:pPr>
                  <w:r w:rsidRPr="00027F85">
                    <w:rPr>
                      <w:sz w:val="20"/>
                    </w:rPr>
                    <w:t xml:space="preserve">MRACMAF </w:t>
                  </w:r>
                  <w:r w:rsidRPr="00027F85">
                    <w:rPr>
                      <w:i/>
                      <w:sz w:val="20"/>
                      <w:vertAlign w:val="subscript"/>
                    </w:rPr>
                    <w:t>q, r, m</w:t>
                  </w:r>
                </w:p>
              </w:tc>
              <w:tc>
                <w:tcPr>
                  <w:tcW w:w="422" w:type="pct"/>
                </w:tcPr>
                <w:p w14:paraId="004C9ADA" w14:textId="77777777" w:rsidR="0057461A" w:rsidRPr="00590FA9" w:rsidRDefault="0057461A" w:rsidP="0057461A">
                  <w:pPr>
                    <w:spacing w:after="60"/>
                    <w:rPr>
                      <w:strike/>
                      <w:sz w:val="20"/>
                    </w:rPr>
                  </w:pPr>
                  <w:r w:rsidRPr="00027F85">
                    <w:rPr>
                      <w:sz w:val="20"/>
                    </w:rPr>
                    <w:t>None</w:t>
                  </w:r>
                </w:p>
              </w:tc>
              <w:tc>
                <w:tcPr>
                  <w:tcW w:w="3629" w:type="pct"/>
                </w:tcPr>
                <w:p w14:paraId="15DD40CA" w14:textId="77777777" w:rsidR="0057461A" w:rsidRPr="00590FA9" w:rsidRDefault="0057461A" w:rsidP="0057461A">
                  <w:pPr>
                    <w:spacing w:after="60"/>
                    <w:rPr>
                      <w:i/>
                      <w:strike/>
                      <w:sz w:val="20"/>
                    </w:rPr>
                  </w:pPr>
                  <w:r w:rsidRPr="00027F85">
                    <w:rPr>
                      <w:i/>
                      <w:sz w:val="20"/>
                    </w:rPr>
                    <w:t xml:space="preserve">Must-Run </w:t>
                  </w:r>
                  <w:r w:rsidRPr="00027F85">
                    <w:rPr>
                      <w:i/>
                      <w:iCs/>
                      <w:sz w:val="20"/>
                    </w:rPr>
                    <w:t xml:space="preserve">Alternative Calculated Monthly </w:t>
                  </w:r>
                  <w:r w:rsidRPr="00027F85">
                    <w:rPr>
                      <w:i/>
                      <w:sz w:val="20"/>
                    </w:rPr>
                    <w:t>Availabil</w:t>
                  </w:r>
                  <w:r>
                    <w:rPr>
                      <w:i/>
                      <w:sz w:val="20"/>
                    </w:rPr>
                    <w:t>ity Factor per QSE per Resource</w:t>
                  </w:r>
                  <w:r w:rsidRPr="00027F85">
                    <w:rPr>
                      <w:sz w:val="20"/>
                    </w:rPr>
                    <w:t xml:space="preserve">—The calculated monthly availability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Where for a Combined Cycle Train, the Resource </w:t>
                  </w:r>
                  <w:r w:rsidRPr="00027F85">
                    <w:rPr>
                      <w:i/>
                      <w:sz w:val="20"/>
                    </w:rPr>
                    <w:t xml:space="preserve">r </w:t>
                  </w:r>
                  <w:r w:rsidRPr="00027F85">
                    <w:rPr>
                      <w:sz w:val="20"/>
                    </w:rPr>
                    <w:t>is the Combined Cycle Train</w:t>
                  </w:r>
                  <w:r w:rsidRPr="00845E5C">
                    <w:rPr>
                      <w:sz w:val="20"/>
                    </w:rPr>
                    <w:t>.</w:t>
                  </w:r>
                </w:p>
              </w:tc>
            </w:tr>
            <w:tr w:rsidR="0057461A" w:rsidRPr="00027F85" w14:paraId="22B1396E" w14:textId="77777777" w:rsidTr="00CE1011">
              <w:trPr>
                <w:cantSplit/>
              </w:trPr>
              <w:tc>
                <w:tcPr>
                  <w:tcW w:w="949" w:type="pct"/>
                </w:tcPr>
                <w:p w14:paraId="1F2C3D78" w14:textId="77777777" w:rsidR="0057461A" w:rsidRPr="00027F85" w:rsidRDefault="0057461A" w:rsidP="0057461A">
                  <w:pPr>
                    <w:spacing w:after="60"/>
                    <w:rPr>
                      <w:sz w:val="20"/>
                    </w:rPr>
                  </w:pPr>
                  <w:r w:rsidRPr="00027F85">
                    <w:rPr>
                      <w:sz w:val="20"/>
                    </w:rPr>
                    <w:t xml:space="preserve">MRAMAH </w:t>
                  </w:r>
                  <w:r w:rsidRPr="00027F85">
                    <w:rPr>
                      <w:i/>
                      <w:sz w:val="20"/>
                      <w:vertAlign w:val="subscript"/>
                    </w:rPr>
                    <w:t>q, r</w:t>
                  </w:r>
                  <w:r>
                    <w:rPr>
                      <w:i/>
                      <w:sz w:val="20"/>
                      <w:vertAlign w:val="subscript"/>
                    </w:rPr>
                    <w:t>, h</w:t>
                  </w:r>
                </w:p>
              </w:tc>
              <w:tc>
                <w:tcPr>
                  <w:tcW w:w="422" w:type="pct"/>
                </w:tcPr>
                <w:p w14:paraId="7F3EF331" w14:textId="77777777" w:rsidR="0057461A" w:rsidRPr="00027F85" w:rsidRDefault="0057461A" w:rsidP="0057461A">
                  <w:pPr>
                    <w:spacing w:after="60"/>
                    <w:rPr>
                      <w:sz w:val="20"/>
                    </w:rPr>
                  </w:pPr>
                  <w:r w:rsidRPr="00027F85">
                    <w:rPr>
                      <w:sz w:val="20"/>
                    </w:rPr>
                    <w:t>Hour</w:t>
                  </w:r>
                </w:p>
              </w:tc>
              <w:tc>
                <w:tcPr>
                  <w:tcW w:w="3629" w:type="pct"/>
                </w:tcPr>
                <w:p w14:paraId="2D048D65" w14:textId="77777777" w:rsidR="0057461A" w:rsidRPr="007B68C7" w:rsidRDefault="0057461A" w:rsidP="0057461A">
                  <w:pPr>
                    <w:spacing w:after="60"/>
                    <w:rPr>
                      <w:i/>
                      <w:sz w:val="20"/>
                    </w:rPr>
                  </w:pPr>
                  <w:r w:rsidRPr="00027F85">
                    <w:rPr>
                      <w:i/>
                      <w:sz w:val="20"/>
                    </w:rPr>
                    <w:t>Number of Available Hours in the Month per QSE per Resource</w:t>
                  </w:r>
                  <w:r w:rsidRPr="00027F85">
                    <w:rPr>
                      <w:sz w:val="20"/>
                    </w:rPr>
                    <w:t>—</w:t>
                  </w:r>
                  <w:r>
                    <w:rPr>
                      <w:sz w:val="20"/>
                    </w:rPr>
                    <w:t xml:space="preserve"> For </w:t>
                  </w:r>
                  <w:r w:rsidRPr="0049712A">
                    <w:rPr>
                      <w:bCs/>
                      <w:color w:val="000000"/>
                      <w:sz w:val="20"/>
                      <w:lang w:val="pt-BR"/>
                    </w:rPr>
                    <w:t xml:space="preserve">an </w:t>
                  </w:r>
                  <w:r>
                    <w:rPr>
                      <w:bCs/>
                      <w:color w:val="000000"/>
                      <w:sz w:val="20"/>
                      <w:lang w:val="pt-BR"/>
                    </w:rPr>
                    <w:t>MRA</w:t>
                  </w:r>
                  <w:r w:rsidRPr="0049712A">
                    <w:rPr>
                      <w:bCs/>
                      <w:color w:val="000000"/>
                      <w:sz w:val="20"/>
                      <w:lang w:val="pt-BR"/>
                    </w:rPr>
                    <w:t xml:space="preserve"> registered as a Generation Resource</w:t>
                  </w:r>
                  <w:r>
                    <w:rPr>
                      <w:sz w:val="20"/>
                    </w:rPr>
                    <w:t>, t</w:t>
                  </w:r>
                  <w:r w:rsidRPr="00027F85">
                    <w:rPr>
                      <w:sz w:val="20"/>
                    </w:rPr>
                    <w:t xml:space="preserve">he total number of hours in the month when the </w:t>
                  </w:r>
                  <w:r>
                    <w:rPr>
                      <w:sz w:val="20"/>
                    </w:rPr>
                    <w:t>MRA</w:t>
                  </w:r>
                  <w:r w:rsidRPr="00027F85">
                    <w:rPr>
                      <w:sz w:val="20"/>
                    </w:rPr>
                    <w:t xml:space="preserve"> </w:t>
                  </w:r>
                  <w:r w:rsidRPr="009701A9">
                    <w:rPr>
                      <w:i/>
                      <w:sz w:val="20"/>
                    </w:rPr>
                    <w:t>r</w:t>
                  </w:r>
                  <w:r w:rsidRPr="00027F85">
                    <w:rPr>
                      <w:sz w:val="20"/>
                    </w:rPr>
                    <w:t xml:space="preserve"> represented by QSE </w:t>
                  </w:r>
                  <w:r w:rsidRPr="00027F85">
                    <w:rPr>
                      <w:i/>
                      <w:sz w:val="20"/>
                    </w:rPr>
                    <w:t>q</w:t>
                  </w:r>
                  <w:r w:rsidRPr="00027F85">
                    <w:rPr>
                      <w:sz w:val="20"/>
                    </w:rPr>
                    <w:t xml:space="preserve"> was available for the </w:t>
                  </w:r>
                  <w:r>
                    <w:rPr>
                      <w:sz w:val="20"/>
                    </w:rPr>
                    <w:t>MRA Contracted Hour</w:t>
                  </w:r>
                  <w:r w:rsidRPr="00027F85">
                    <w:rPr>
                      <w:sz w:val="20"/>
                    </w:rPr>
                    <w:t xml:space="preserve">s </w:t>
                  </w:r>
                  <w:r>
                    <w:rPr>
                      <w:sz w:val="20"/>
                    </w:rPr>
                    <w:t xml:space="preserve">if the MRA’s Availability Plan and </w:t>
                  </w:r>
                  <w:r w:rsidRPr="00027F85">
                    <w:rPr>
                      <w:sz w:val="20"/>
                    </w:rPr>
                    <w:t>telemetry</w:t>
                  </w:r>
                  <w:r>
                    <w:rPr>
                      <w:sz w:val="20"/>
                    </w:rPr>
                    <w:t xml:space="preserve"> both indicate availability for that hour</w:t>
                  </w:r>
                  <w:r w:rsidRPr="00027F85">
                    <w:rPr>
                      <w:sz w:val="20"/>
                    </w:rPr>
                    <w:t xml:space="preserve">.  Where for a Combined Cycle Train, the Resource </w:t>
                  </w:r>
                  <w:r w:rsidRPr="009701A9">
                    <w:rPr>
                      <w:i/>
                      <w:sz w:val="20"/>
                    </w:rPr>
                    <w:t>r</w:t>
                  </w:r>
                  <w:r w:rsidRPr="00027F85">
                    <w:rPr>
                      <w:sz w:val="20"/>
                    </w:rPr>
                    <w:t xml:space="preserve"> is the Combined Cycle Train.</w:t>
                  </w:r>
                </w:p>
              </w:tc>
            </w:tr>
            <w:tr w:rsidR="0057461A" w:rsidRPr="00027F85" w14:paraId="4D3679EB" w14:textId="77777777" w:rsidTr="00CE1011">
              <w:trPr>
                <w:cantSplit/>
              </w:trPr>
              <w:tc>
                <w:tcPr>
                  <w:tcW w:w="949" w:type="pct"/>
                </w:tcPr>
                <w:p w14:paraId="03F4ED5B" w14:textId="77777777" w:rsidR="0057461A" w:rsidRPr="00027F85" w:rsidRDefault="0057461A" w:rsidP="0057461A">
                  <w:pPr>
                    <w:spacing w:after="60"/>
                    <w:rPr>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422" w:type="pct"/>
                </w:tcPr>
                <w:p w14:paraId="66427EF8" w14:textId="77777777" w:rsidR="0057461A" w:rsidRPr="00027F85" w:rsidRDefault="0057461A" w:rsidP="0057461A">
                  <w:pPr>
                    <w:spacing w:after="60"/>
                    <w:rPr>
                      <w:sz w:val="20"/>
                    </w:rPr>
                  </w:pPr>
                  <w:r w:rsidRPr="00027F85">
                    <w:rPr>
                      <w:sz w:val="20"/>
                    </w:rPr>
                    <w:t>Hour</w:t>
                  </w:r>
                </w:p>
              </w:tc>
              <w:tc>
                <w:tcPr>
                  <w:tcW w:w="3629" w:type="pct"/>
                </w:tcPr>
                <w:p w14:paraId="200DD1CD" w14:textId="77777777" w:rsidR="0057461A" w:rsidRPr="00027F85" w:rsidRDefault="0057461A" w:rsidP="0057461A">
                  <w:pPr>
                    <w:spacing w:after="60"/>
                    <w:rPr>
                      <w:i/>
                      <w:sz w:val="20"/>
                    </w:rPr>
                  </w:pPr>
                  <w:r w:rsidRPr="00027F85">
                    <w:rPr>
                      <w:i/>
                      <w:sz w:val="20"/>
                    </w:rPr>
                    <w:t xml:space="preserve">Number of Total </w:t>
                  </w:r>
                  <w:r>
                    <w:rPr>
                      <w:i/>
                      <w:sz w:val="20"/>
                    </w:rPr>
                    <w:t xml:space="preserve">MRA </w:t>
                  </w:r>
                  <w:r w:rsidRPr="00027F85">
                    <w:rPr>
                      <w:i/>
                      <w:sz w:val="20"/>
                    </w:rPr>
                    <w:t>Contracted Hours in the Month per QSE per Resource</w:t>
                  </w:r>
                  <w:r w:rsidRPr="00027F85">
                    <w:rPr>
                      <w:sz w:val="20"/>
                    </w:rPr>
                    <w:t xml:space="preserve">—The total number of </w:t>
                  </w:r>
                  <w:r>
                    <w:rPr>
                      <w:sz w:val="20"/>
                    </w:rPr>
                    <w:t>MRA Contracted Hour</w:t>
                  </w:r>
                  <w:r w:rsidRPr="00027F85">
                    <w:rPr>
                      <w:sz w:val="20"/>
                    </w:rPr>
                    <w:t xml:space="preserve">s in the month for the </w:t>
                  </w:r>
                  <w:r>
                    <w:rPr>
                      <w:sz w:val="20"/>
                    </w:rPr>
                    <w:t>MRA</w:t>
                  </w:r>
                  <w:r w:rsidRPr="00027F85">
                    <w:rPr>
                      <w:i/>
                      <w:sz w:val="20"/>
                    </w:rPr>
                    <w:t xml:space="preserve"> r</w:t>
                  </w:r>
                  <w:r w:rsidRPr="00027F85">
                    <w:rPr>
                      <w:sz w:val="20"/>
                    </w:rPr>
                    <w:t xml:space="preserve"> represented by QSE </w:t>
                  </w:r>
                  <w:r w:rsidRPr="00027F85">
                    <w:rPr>
                      <w:i/>
                      <w:sz w:val="20"/>
                    </w:rPr>
                    <w:t>q</w:t>
                  </w:r>
                  <w:r w:rsidRPr="009701A9">
                    <w:rPr>
                      <w:sz w:val="20"/>
                    </w:rPr>
                    <w:t xml:space="preserve"> as indicated in the MRA Agreement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BCEDC71" w14:textId="77777777" w:rsidTr="00CE1011">
              <w:trPr>
                <w:cantSplit/>
              </w:trPr>
              <w:tc>
                <w:tcPr>
                  <w:tcW w:w="949" w:type="pct"/>
                </w:tcPr>
                <w:p w14:paraId="3DEFFB0C" w14:textId="77777777" w:rsidR="0057461A" w:rsidRPr="00027F85" w:rsidRDefault="0057461A" w:rsidP="0057461A">
                  <w:pPr>
                    <w:spacing w:after="60"/>
                    <w:rPr>
                      <w:sz w:val="20"/>
                    </w:rPr>
                  </w:pPr>
                  <w:r>
                    <w:rPr>
                      <w:i/>
                      <w:sz w:val="20"/>
                    </w:rPr>
                    <w:t>h</w:t>
                  </w:r>
                </w:p>
              </w:tc>
              <w:tc>
                <w:tcPr>
                  <w:tcW w:w="422" w:type="pct"/>
                </w:tcPr>
                <w:p w14:paraId="3A7ECA8F" w14:textId="77777777" w:rsidR="0057461A" w:rsidRPr="00027F85" w:rsidRDefault="0057461A" w:rsidP="0057461A">
                  <w:pPr>
                    <w:spacing w:after="60"/>
                    <w:rPr>
                      <w:sz w:val="20"/>
                    </w:rPr>
                  </w:pPr>
                  <w:r w:rsidRPr="00027F85">
                    <w:rPr>
                      <w:sz w:val="20"/>
                    </w:rPr>
                    <w:t>None</w:t>
                  </w:r>
                </w:p>
              </w:tc>
              <w:tc>
                <w:tcPr>
                  <w:tcW w:w="3629" w:type="pct"/>
                </w:tcPr>
                <w:p w14:paraId="2D2DA991" w14:textId="77777777" w:rsidR="0057461A" w:rsidRPr="00027F85" w:rsidRDefault="0057461A" w:rsidP="0057461A">
                  <w:pPr>
                    <w:spacing w:after="60"/>
                    <w:rPr>
                      <w:i/>
                      <w:sz w:val="20"/>
                    </w:rPr>
                  </w:pPr>
                  <w:r>
                    <w:rPr>
                      <w:sz w:val="20"/>
                    </w:rPr>
                    <w:t xml:space="preserve">A MRA Contracted Hour under the </w:t>
                  </w:r>
                  <w:r w:rsidRPr="00027F85">
                    <w:rPr>
                      <w:iCs/>
                      <w:sz w:val="20"/>
                    </w:rPr>
                    <w:t>MRA Agreement</w:t>
                  </w:r>
                  <w:r>
                    <w:rPr>
                      <w:sz w:val="20"/>
                    </w:rPr>
                    <w:t xml:space="preserve"> for the MRA Contracted month.</w:t>
                  </w:r>
                </w:p>
              </w:tc>
            </w:tr>
            <w:tr w:rsidR="0057461A" w:rsidRPr="00027F85" w14:paraId="116BB44C" w14:textId="77777777" w:rsidTr="00CE1011">
              <w:trPr>
                <w:cantSplit/>
              </w:trPr>
              <w:tc>
                <w:tcPr>
                  <w:tcW w:w="949" w:type="pct"/>
                </w:tcPr>
                <w:p w14:paraId="59EBC0CD" w14:textId="77777777" w:rsidR="0057461A" w:rsidRPr="00027F85" w:rsidRDefault="0057461A" w:rsidP="0057461A">
                  <w:pPr>
                    <w:spacing w:after="60"/>
                    <w:rPr>
                      <w:iCs/>
                      <w:sz w:val="20"/>
                    </w:rPr>
                  </w:pPr>
                  <w:r>
                    <w:rPr>
                      <w:i/>
                      <w:iCs/>
                      <w:sz w:val="20"/>
                    </w:rPr>
                    <w:t>q</w:t>
                  </w:r>
                </w:p>
              </w:tc>
              <w:tc>
                <w:tcPr>
                  <w:tcW w:w="422" w:type="pct"/>
                </w:tcPr>
                <w:p w14:paraId="44506BF0" w14:textId="77777777" w:rsidR="0057461A" w:rsidRPr="00027F85" w:rsidRDefault="0057461A" w:rsidP="0057461A">
                  <w:pPr>
                    <w:spacing w:after="60"/>
                    <w:rPr>
                      <w:iCs/>
                      <w:sz w:val="20"/>
                    </w:rPr>
                  </w:pPr>
                  <w:r w:rsidRPr="00027F85">
                    <w:rPr>
                      <w:iCs/>
                      <w:sz w:val="20"/>
                    </w:rPr>
                    <w:t>None</w:t>
                  </w:r>
                </w:p>
              </w:tc>
              <w:tc>
                <w:tcPr>
                  <w:tcW w:w="3629" w:type="pct"/>
                </w:tcPr>
                <w:p w14:paraId="5C49AC81" w14:textId="77777777" w:rsidR="0057461A" w:rsidRPr="00027F85" w:rsidRDefault="0057461A" w:rsidP="0057461A">
                  <w:pPr>
                    <w:spacing w:after="60"/>
                    <w:rPr>
                      <w:i/>
                      <w:iCs/>
                      <w:sz w:val="20"/>
                    </w:rPr>
                  </w:pPr>
                  <w:r w:rsidRPr="00027F85">
                    <w:rPr>
                      <w:iCs/>
                      <w:sz w:val="20"/>
                    </w:rPr>
                    <w:t>A QSE.</w:t>
                  </w:r>
                </w:p>
              </w:tc>
            </w:tr>
            <w:tr w:rsidR="0057461A" w:rsidRPr="00027F85" w14:paraId="0BD7A6C2" w14:textId="77777777" w:rsidTr="00CE1011">
              <w:trPr>
                <w:cantSplit/>
              </w:trPr>
              <w:tc>
                <w:tcPr>
                  <w:tcW w:w="949" w:type="pct"/>
                </w:tcPr>
                <w:p w14:paraId="6BF07C82" w14:textId="77777777" w:rsidR="0057461A" w:rsidRPr="00027F85" w:rsidRDefault="0057461A" w:rsidP="0057461A">
                  <w:pPr>
                    <w:spacing w:after="60"/>
                    <w:rPr>
                      <w:i/>
                      <w:iCs/>
                      <w:sz w:val="20"/>
                    </w:rPr>
                  </w:pPr>
                  <w:r>
                    <w:rPr>
                      <w:i/>
                      <w:iCs/>
                      <w:sz w:val="20"/>
                    </w:rPr>
                    <w:lastRenderedPageBreak/>
                    <w:t>r</w:t>
                  </w:r>
                </w:p>
              </w:tc>
              <w:tc>
                <w:tcPr>
                  <w:tcW w:w="422" w:type="pct"/>
                </w:tcPr>
                <w:p w14:paraId="03E56A36" w14:textId="77777777" w:rsidR="0057461A" w:rsidRPr="00027F85" w:rsidRDefault="0057461A" w:rsidP="0057461A">
                  <w:pPr>
                    <w:spacing w:after="60"/>
                    <w:rPr>
                      <w:iCs/>
                      <w:sz w:val="20"/>
                    </w:rPr>
                  </w:pPr>
                  <w:r w:rsidRPr="00027F85">
                    <w:rPr>
                      <w:iCs/>
                      <w:sz w:val="20"/>
                    </w:rPr>
                    <w:t>None</w:t>
                  </w:r>
                </w:p>
              </w:tc>
              <w:tc>
                <w:tcPr>
                  <w:tcW w:w="3629" w:type="pct"/>
                </w:tcPr>
                <w:p w14:paraId="13284B26" w14:textId="77777777" w:rsidR="0057461A" w:rsidRPr="00027F85" w:rsidRDefault="0057461A" w:rsidP="0057461A">
                  <w:pPr>
                    <w:spacing w:after="60"/>
                    <w:rPr>
                      <w:iCs/>
                      <w:sz w:val="20"/>
                    </w:rPr>
                  </w:pPr>
                  <w:r w:rsidRPr="00027F85">
                    <w:rPr>
                      <w:iCs/>
                      <w:sz w:val="20"/>
                    </w:rPr>
                    <w:t xml:space="preserve">An </w:t>
                  </w:r>
                  <w:r>
                    <w:rPr>
                      <w:iCs/>
                      <w:sz w:val="20"/>
                    </w:rPr>
                    <w:t>MRA</w:t>
                  </w:r>
                  <w:r w:rsidRPr="00027F85">
                    <w:rPr>
                      <w:iCs/>
                      <w:sz w:val="20"/>
                    </w:rPr>
                    <w:t>.</w:t>
                  </w:r>
                </w:p>
              </w:tc>
            </w:tr>
            <w:tr w:rsidR="0057461A" w:rsidRPr="00027F85" w14:paraId="563BE865" w14:textId="77777777" w:rsidTr="00CE1011">
              <w:trPr>
                <w:cantSplit/>
              </w:trPr>
              <w:tc>
                <w:tcPr>
                  <w:tcW w:w="949" w:type="pct"/>
                </w:tcPr>
                <w:p w14:paraId="6B250B8F" w14:textId="77777777" w:rsidR="0057461A" w:rsidRPr="00027F85" w:rsidRDefault="0057461A" w:rsidP="0057461A">
                  <w:pPr>
                    <w:spacing w:after="60"/>
                    <w:rPr>
                      <w:i/>
                      <w:iCs/>
                      <w:sz w:val="20"/>
                    </w:rPr>
                  </w:pPr>
                  <w:r>
                    <w:rPr>
                      <w:i/>
                      <w:iCs/>
                      <w:sz w:val="20"/>
                    </w:rPr>
                    <w:t>m</w:t>
                  </w:r>
                </w:p>
              </w:tc>
              <w:tc>
                <w:tcPr>
                  <w:tcW w:w="422" w:type="pct"/>
                </w:tcPr>
                <w:p w14:paraId="073957CD" w14:textId="77777777" w:rsidR="0057461A" w:rsidRPr="00027F85" w:rsidRDefault="0057461A" w:rsidP="0057461A">
                  <w:pPr>
                    <w:spacing w:after="60"/>
                    <w:rPr>
                      <w:iCs/>
                      <w:sz w:val="20"/>
                    </w:rPr>
                  </w:pPr>
                  <w:r w:rsidRPr="00027F85">
                    <w:rPr>
                      <w:iCs/>
                      <w:sz w:val="20"/>
                    </w:rPr>
                    <w:t>None</w:t>
                  </w:r>
                </w:p>
              </w:tc>
              <w:tc>
                <w:tcPr>
                  <w:tcW w:w="3629" w:type="pct"/>
                </w:tcPr>
                <w:p w14:paraId="3DEA07D9" w14:textId="77777777" w:rsidR="0057461A" w:rsidRPr="00027F85" w:rsidRDefault="0057461A" w:rsidP="0057461A">
                  <w:pPr>
                    <w:spacing w:after="60"/>
                    <w:rPr>
                      <w:iCs/>
                      <w:sz w:val="20"/>
                    </w:rPr>
                  </w:pPr>
                  <w:r>
                    <w:rPr>
                      <w:sz w:val="20"/>
                    </w:rPr>
                    <w:t>An MRA Contracted M</w:t>
                  </w:r>
                  <w:r w:rsidRPr="00027F85">
                    <w:rPr>
                      <w:sz w:val="20"/>
                    </w:rPr>
                    <w:t xml:space="preserve">onth </w:t>
                  </w:r>
                  <w:r w:rsidRPr="00027F85">
                    <w:rPr>
                      <w:iCs/>
                      <w:sz w:val="20"/>
                    </w:rPr>
                    <w:t>under the MRA Agreement</w:t>
                  </w:r>
                  <w:r w:rsidRPr="00027F85">
                    <w:rPr>
                      <w:sz w:val="20"/>
                    </w:rPr>
                    <w:t>.</w:t>
                  </w:r>
                </w:p>
              </w:tc>
            </w:tr>
          </w:tbl>
          <w:p w14:paraId="534F5F5B" w14:textId="77777777" w:rsidR="0057461A" w:rsidRPr="0057461A" w:rsidRDefault="0057461A" w:rsidP="0057461A">
            <w:pPr>
              <w:spacing w:before="240" w:after="240"/>
              <w:ind w:left="720" w:hanging="720"/>
              <w:rPr>
                <w:iCs/>
              </w:rPr>
            </w:pPr>
            <w:r w:rsidRPr="0057461A">
              <w:rPr>
                <w:iCs/>
              </w:rPr>
              <w:t>(5)</w:t>
            </w:r>
            <w:r w:rsidRPr="0057461A">
              <w:rPr>
                <w:iCs/>
              </w:rPr>
              <w:tab/>
              <w:t>The total of the Standby Payments for all MRAs represented by the QSE for a given hour is calculated as follows:</w:t>
            </w:r>
          </w:p>
          <w:p w14:paraId="2709F8C8" w14:textId="77777777" w:rsidR="0057461A" w:rsidRPr="0057461A" w:rsidRDefault="0057461A" w:rsidP="0057461A">
            <w:pPr>
              <w:tabs>
                <w:tab w:val="left" w:pos="2340"/>
                <w:tab w:val="left" w:pos="3420"/>
              </w:tabs>
              <w:spacing w:after="240"/>
              <w:ind w:left="2880" w:hanging="2160"/>
              <w:rPr>
                <w:bCs/>
                <w:szCs w:val="24"/>
                <w:lang w:val="pt-BR"/>
              </w:rPr>
            </w:pPr>
            <w:r w:rsidRPr="0057461A">
              <w:rPr>
                <w:bCs/>
                <w:szCs w:val="24"/>
                <w:lang w:val="pt-BR"/>
              </w:rPr>
              <w:t xml:space="preserve">MRASBAMTQSETOT </w:t>
            </w:r>
            <w:r w:rsidRPr="0057461A">
              <w:rPr>
                <w:bCs/>
                <w:i/>
                <w:szCs w:val="24"/>
                <w:vertAlign w:val="subscript"/>
                <w:lang w:val="pt-BR"/>
              </w:rPr>
              <w:t>q</w:t>
            </w:r>
            <w:r w:rsidRPr="0057461A">
              <w:rPr>
                <w:bCs/>
                <w:szCs w:val="24"/>
                <w:vertAlign w:val="subscript"/>
                <w:lang w:val="pt-BR"/>
              </w:rPr>
              <w:t xml:space="preserve">  </w:t>
            </w:r>
            <w:r w:rsidRPr="0057461A">
              <w:rPr>
                <w:bCs/>
                <w:szCs w:val="24"/>
                <w:lang w:val="pt-BR"/>
              </w:rPr>
              <w:t xml:space="preserve">=   </w:t>
            </w:r>
            <w:r w:rsidR="00DD0A69">
              <w:rPr>
                <w:bCs/>
                <w:position w:val="-18"/>
                <w:szCs w:val="24"/>
                <w:lang w:val="pt-BR"/>
              </w:rPr>
              <w:pict w14:anchorId="56C9E9BB">
                <v:shape id="_x0000_i1217" type="#_x0000_t75" style="width:12pt;height:24pt">
                  <v:imagedata r:id="rId245" o:title=""/>
                </v:shape>
              </w:pict>
            </w:r>
            <w:r w:rsidRPr="0057461A">
              <w:rPr>
                <w:bCs/>
                <w:szCs w:val="24"/>
                <w:lang w:val="pt-BR"/>
              </w:rPr>
              <w:t xml:space="preserve">MRASBAMT </w:t>
            </w:r>
            <w:r w:rsidRPr="0057461A">
              <w:rPr>
                <w:bCs/>
                <w:i/>
                <w:szCs w:val="24"/>
                <w:vertAlign w:val="subscript"/>
                <w:lang w:val="pt-BR"/>
              </w:rPr>
              <w:t>q, r, h</w:t>
            </w:r>
          </w:p>
          <w:p w14:paraId="4499D883" w14:textId="77777777" w:rsidR="0057461A" w:rsidRPr="0057461A" w:rsidRDefault="0057461A" w:rsidP="002C448D">
            <w:pPr>
              <w:tabs>
                <w:tab w:val="left" w:pos="2340"/>
                <w:tab w:val="left" w:pos="3420"/>
              </w:tabs>
              <w:rPr>
                <w:bCs/>
                <w:szCs w:val="24"/>
                <w:lang w:val="pt-BR"/>
              </w:rPr>
            </w:pPr>
            <w:r w:rsidRPr="0057461A">
              <w:rPr>
                <w:bCs/>
                <w:szCs w:val="24"/>
                <w:lang w:val="pt-BR"/>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993"/>
              <w:gridCol w:w="6089"/>
            </w:tblGrid>
            <w:tr w:rsidR="002C448D" w:rsidRPr="00D54F03" w14:paraId="4FEBF0D2" w14:textId="77777777" w:rsidTr="00CE1011">
              <w:trPr>
                <w:cantSplit/>
                <w:tblHeader/>
              </w:trPr>
              <w:tc>
                <w:tcPr>
                  <w:tcW w:w="1207" w:type="pct"/>
                </w:tcPr>
                <w:p w14:paraId="5D13FAD8" w14:textId="77777777" w:rsidR="002C448D" w:rsidRPr="002120A6" w:rsidRDefault="002C448D" w:rsidP="002C448D">
                  <w:pPr>
                    <w:pStyle w:val="TableHead"/>
                  </w:pPr>
                  <w:r w:rsidRPr="002120A6">
                    <w:t>Variable</w:t>
                  </w:r>
                </w:p>
              </w:tc>
              <w:tc>
                <w:tcPr>
                  <w:tcW w:w="532" w:type="pct"/>
                </w:tcPr>
                <w:p w14:paraId="628B27D4" w14:textId="77777777" w:rsidR="002C448D" w:rsidRPr="001C398A" w:rsidRDefault="002C448D" w:rsidP="002C448D">
                  <w:pPr>
                    <w:pStyle w:val="TableHead"/>
                  </w:pPr>
                  <w:r w:rsidRPr="001C398A">
                    <w:t>Unit</w:t>
                  </w:r>
                </w:p>
              </w:tc>
              <w:tc>
                <w:tcPr>
                  <w:tcW w:w="3261" w:type="pct"/>
                </w:tcPr>
                <w:p w14:paraId="0F83D76C" w14:textId="77777777" w:rsidR="002C448D" w:rsidRPr="00F662F5" w:rsidRDefault="002C448D" w:rsidP="002C448D">
                  <w:pPr>
                    <w:pStyle w:val="TableHead"/>
                  </w:pPr>
                  <w:r w:rsidRPr="00F662F5">
                    <w:t>Definition</w:t>
                  </w:r>
                </w:p>
              </w:tc>
            </w:tr>
            <w:tr w:rsidR="002C448D" w:rsidRPr="00D54F03" w14:paraId="00C1F6D2" w14:textId="77777777" w:rsidTr="00CE1011">
              <w:trPr>
                <w:cantSplit/>
              </w:trPr>
              <w:tc>
                <w:tcPr>
                  <w:tcW w:w="1207" w:type="pct"/>
                </w:tcPr>
                <w:p w14:paraId="29829709" w14:textId="77777777" w:rsidR="002C448D" w:rsidRPr="00D54F03" w:rsidRDefault="002C448D" w:rsidP="002C448D">
                  <w:pPr>
                    <w:pStyle w:val="TableBody"/>
                  </w:pPr>
                  <w:r w:rsidRPr="00D54F03">
                    <w:t>MRASBAMTQSETOT</w:t>
                  </w:r>
                  <w:r>
                    <w:t xml:space="preserve"> </w:t>
                  </w:r>
                  <w:r w:rsidRPr="00027F85">
                    <w:rPr>
                      <w:i/>
                      <w:iCs w:val="0"/>
                      <w:vertAlign w:val="subscript"/>
                    </w:rPr>
                    <w:t>q</w:t>
                  </w:r>
                </w:p>
              </w:tc>
              <w:tc>
                <w:tcPr>
                  <w:tcW w:w="532" w:type="pct"/>
                </w:tcPr>
                <w:p w14:paraId="11E8F995" w14:textId="77777777" w:rsidR="002C448D" w:rsidRPr="00D54F03" w:rsidRDefault="002C448D" w:rsidP="002C448D">
                  <w:pPr>
                    <w:pStyle w:val="TableBody"/>
                  </w:pPr>
                  <w:r w:rsidRPr="00D54F03">
                    <w:t>$</w:t>
                  </w:r>
                </w:p>
              </w:tc>
              <w:tc>
                <w:tcPr>
                  <w:tcW w:w="3261" w:type="pct"/>
                </w:tcPr>
                <w:p w14:paraId="31BB7D48" w14:textId="77777777" w:rsidR="002C448D" w:rsidRPr="00D54F03" w:rsidRDefault="002C448D" w:rsidP="002C448D">
                  <w:pPr>
                    <w:pStyle w:val="TableBody"/>
                  </w:pPr>
                  <w:r w:rsidRPr="00D54F03">
                    <w:rPr>
                      <w:i/>
                    </w:rPr>
                    <w:t xml:space="preserve">Must-Run Alternative Standby Amount Total per QSE per hour </w:t>
                  </w:r>
                  <w:r w:rsidRPr="00D54F03">
                    <w:sym w:font="Symbol" w:char="F0BE"/>
                  </w:r>
                  <w:r>
                    <w:t xml:space="preserve"> </w:t>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11BBAC5" w14:textId="77777777" w:rsidTr="00CE1011">
              <w:trPr>
                <w:cantSplit/>
              </w:trPr>
              <w:tc>
                <w:tcPr>
                  <w:tcW w:w="1207" w:type="pct"/>
                </w:tcPr>
                <w:p w14:paraId="2C268A97" w14:textId="77777777" w:rsidR="002C448D" w:rsidRPr="00D54F03" w:rsidRDefault="002C448D" w:rsidP="002C448D">
                  <w:pPr>
                    <w:pStyle w:val="TableBody"/>
                  </w:pPr>
                  <w:r w:rsidRPr="00027F85">
                    <w:rPr>
                      <w:iCs w:val="0"/>
                    </w:rPr>
                    <w:t>MRASBAMT</w:t>
                  </w:r>
                  <w:r>
                    <w:rPr>
                      <w:iCs w:val="0"/>
                    </w:rPr>
                    <w:t xml:space="preserve"> </w:t>
                  </w:r>
                  <w:r w:rsidRPr="00027F85">
                    <w:rPr>
                      <w:i/>
                      <w:iCs w:val="0"/>
                      <w:vertAlign w:val="subscript"/>
                    </w:rPr>
                    <w:t>q, r,</w:t>
                  </w:r>
                  <w:r>
                    <w:rPr>
                      <w:i/>
                      <w:iCs w:val="0"/>
                      <w:vertAlign w:val="subscript"/>
                    </w:rPr>
                    <w:t xml:space="preserve"> </w:t>
                  </w:r>
                  <w:r w:rsidRPr="00027F85">
                    <w:rPr>
                      <w:i/>
                      <w:iCs w:val="0"/>
                      <w:vertAlign w:val="subscript"/>
                    </w:rPr>
                    <w:t>h</w:t>
                  </w:r>
                </w:p>
              </w:tc>
              <w:tc>
                <w:tcPr>
                  <w:tcW w:w="532" w:type="pct"/>
                </w:tcPr>
                <w:p w14:paraId="5D9F9474" w14:textId="77777777" w:rsidR="002C448D" w:rsidRPr="00D54F03" w:rsidRDefault="002C448D" w:rsidP="002C448D">
                  <w:pPr>
                    <w:pStyle w:val="TableBody"/>
                  </w:pPr>
                  <w:r w:rsidRPr="00027F85">
                    <w:rPr>
                      <w:iCs w:val="0"/>
                    </w:rPr>
                    <w:t xml:space="preserve">$ </w:t>
                  </w:r>
                </w:p>
              </w:tc>
              <w:tc>
                <w:tcPr>
                  <w:tcW w:w="3261" w:type="pct"/>
                </w:tcPr>
                <w:p w14:paraId="4E0F0410" w14:textId="77777777" w:rsidR="002C448D" w:rsidRDefault="002C448D" w:rsidP="002C448D">
                  <w:pPr>
                    <w:pStyle w:val="TableBody"/>
                  </w:pPr>
                  <w:r w:rsidRPr="00027F85">
                    <w:rPr>
                      <w:i/>
                      <w:iCs w:val="0"/>
                    </w:rPr>
                    <w:t>Must-Run Alternative Standby Amount per QSE per Resource by hour</w:t>
                  </w:r>
                  <w:r>
                    <w:rPr>
                      <w:i/>
                      <w:iCs w:val="0"/>
                    </w:rPr>
                    <w:t xml:space="preserve"> </w:t>
                  </w:r>
                  <w:r w:rsidRPr="00027F85">
                    <w:rPr>
                      <w:iCs w:val="0"/>
                    </w:rPr>
                    <w:t xml:space="preserve">—The hourly standby payment amount for </w:t>
                  </w:r>
                  <w:r>
                    <w:rPr>
                      <w:iCs w:val="0"/>
                    </w:rPr>
                    <w:t>MRA</w:t>
                  </w:r>
                  <w:r w:rsidRPr="00027F85">
                    <w:rPr>
                      <w:iCs w:val="0"/>
                    </w:rPr>
                    <w:t xml:space="preserve"> </w:t>
                  </w:r>
                  <w:r w:rsidRPr="00027F85">
                    <w:rPr>
                      <w:i/>
                      <w:iCs w:val="0"/>
                    </w:rPr>
                    <w:t xml:space="preserve">r </w:t>
                  </w:r>
                  <w:r w:rsidRPr="00027F85">
                    <w:rPr>
                      <w:iCs w:val="0"/>
                    </w:rPr>
                    <w:t xml:space="preserve">represented by QSE </w:t>
                  </w:r>
                  <w:r w:rsidRPr="00027F85">
                    <w:rPr>
                      <w:i/>
                      <w:iCs w:val="0"/>
                    </w:rPr>
                    <w:t>q</w:t>
                  </w:r>
                  <w:r w:rsidRPr="00027F85">
                    <w:t>, for the hour</w:t>
                  </w:r>
                  <w:r>
                    <w:t xml:space="preserve"> </w:t>
                  </w:r>
                  <w:r w:rsidRPr="009701A9">
                    <w:rPr>
                      <w:i/>
                    </w:rPr>
                    <w:t>h</w:t>
                  </w:r>
                  <w:r w:rsidRPr="00027F85">
                    <w:rPr>
                      <w:iCs w:val="0"/>
                    </w:rPr>
                    <w:t xml:space="preserve">.  Where for a Combined Cycle Train, the Resource </w:t>
                  </w:r>
                  <w:r w:rsidRPr="00027F85">
                    <w:rPr>
                      <w:i/>
                      <w:iCs w:val="0"/>
                    </w:rPr>
                    <w:t xml:space="preserve">r </w:t>
                  </w:r>
                  <w:r w:rsidRPr="00027F85">
                    <w:rPr>
                      <w:iCs w:val="0"/>
                    </w:rPr>
                    <w:t>is a Combined Cycle Train.</w:t>
                  </w:r>
                </w:p>
              </w:tc>
            </w:tr>
            <w:tr w:rsidR="002C448D" w14:paraId="434A1718"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FD8F30F" w14:textId="77777777" w:rsidR="002C448D" w:rsidRPr="00A24281" w:rsidRDefault="002C448D" w:rsidP="002C448D">
                  <w:pPr>
                    <w:pStyle w:val="TableBody"/>
                    <w:rPr>
                      <w:i/>
                    </w:rPr>
                  </w:pPr>
                  <w:r>
                    <w:rPr>
                      <w:i/>
                    </w:rPr>
                    <w:t>q</w:t>
                  </w:r>
                </w:p>
              </w:tc>
              <w:tc>
                <w:tcPr>
                  <w:tcW w:w="532" w:type="pct"/>
                  <w:tcBorders>
                    <w:top w:val="single" w:sz="4" w:space="0" w:color="auto"/>
                    <w:left w:val="single" w:sz="4" w:space="0" w:color="auto"/>
                    <w:bottom w:val="single" w:sz="4" w:space="0" w:color="auto"/>
                    <w:right w:val="single" w:sz="4" w:space="0" w:color="auto"/>
                  </w:tcBorders>
                </w:tcPr>
                <w:p w14:paraId="10F1319C"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1008F921" w14:textId="77777777" w:rsidR="002C448D" w:rsidRDefault="002C448D" w:rsidP="002C448D">
                  <w:pPr>
                    <w:pStyle w:val="TableBody"/>
                  </w:pPr>
                  <w:r>
                    <w:t>A QSE.</w:t>
                  </w:r>
                </w:p>
              </w:tc>
            </w:tr>
            <w:tr w:rsidR="002C448D" w14:paraId="6893EF3E"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C64BEBA" w14:textId="77777777" w:rsidR="002C448D" w:rsidRPr="00A24281" w:rsidRDefault="002C448D" w:rsidP="002C448D">
                  <w:pPr>
                    <w:pStyle w:val="TableBody"/>
                    <w:rPr>
                      <w:i/>
                    </w:rPr>
                  </w:pPr>
                  <w:r>
                    <w:rPr>
                      <w:i/>
                    </w:rPr>
                    <w:t>r</w:t>
                  </w:r>
                </w:p>
              </w:tc>
              <w:tc>
                <w:tcPr>
                  <w:tcW w:w="532" w:type="pct"/>
                  <w:tcBorders>
                    <w:top w:val="single" w:sz="4" w:space="0" w:color="auto"/>
                    <w:left w:val="single" w:sz="4" w:space="0" w:color="auto"/>
                    <w:bottom w:val="single" w:sz="4" w:space="0" w:color="auto"/>
                    <w:right w:val="single" w:sz="4" w:space="0" w:color="auto"/>
                  </w:tcBorders>
                </w:tcPr>
                <w:p w14:paraId="0FF5923B"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5AF79ECC" w14:textId="77777777" w:rsidR="002C448D" w:rsidRDefault="002C448D" w:rsidP="002C448D">
                  <w:pPr>
                    <w:pStyle w:val="TableBody"/>
                  </w:pPr>
                  <w:r>
                    <w:t>An MRA.</w:t>
                  </w:r>
                </w:p>
              </w:tc>
            </w:tr>
            <w:tr w:rsidR="002C448D" w14:paraId="1A046C5D"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E4E1663" w14:textId="77777777" w:rsidR="002C448D" w:rsidRPr="00D661BC" w:rsidRDefault="002C448D" w:rsidP="002C448D">
                  <w:pPr>
                    <w:pStyle w:val="TableBody"/>
                    <w:rPr>
                      <w:i/>
                    </w:rPr>
                  </w:pPr>
                  <w:r>
                    <w:rPr>
                      <w:i/>
                    </w:rPr>
                    <w:t>h</w:t>
                  </w:r>
                </w:p>
              </w:tc>
              <w:tc>
                <w:tcPr>
                  <w:tcW w:w="532" w:type="pct"/>
                  <w:tcBorders>
                    <w:top w:val="single" w:sz="4" w:space="0" w:color="auto"/>
                    <w:left w:val="single" w:sz="4" w:space="0" w:color="auto"/>
                    <w:bottom w:val="single" w:sz="4" w:space="0" w:color="auto"/>
                    <w:right w:val="single" w:sz="4" w:space="0" w:color="auto"/>
                  </w:tcBorders>
                </w:tcPr>
                <w:p w14:paraId="64BD86EA" w14:textId="77777777" w:rsidR="002C448D" w:rsidRDefault="002C448D" w:rsidP="002C448D">
                  <w:pPr>
                    <w:pStyle w:val="TableBody"/>
                  </w:pPr>
                  <w:r>
                    <w:t>N</w:t>
                  </w:r>
                  <w:r w:rsidRPr="00027F85">
                    <w:t>one</w:t>
                  </w:r>
                </w:p>
              </w:tc>
              <w:tc>
                <w:tcPr>
                  <w:tcW w:w="3261" w:type="pct"/>
                  <w:tcBorders>
                    <w:top w:val="single" w:sz="4" w:space="0" w:color="auto"/>
                    <w:left w:val="single" w:sz="4" w:space="0" w:color="auto"/>
                    <w:bottom w:val="single" w:sz="4" w:space="0" w:color="auto"/>
                    <w:right w:val="single" w:sz="4" w:space="0" w:color="auto"/>
                  </w:tcBorders>
                </w:tcPr>
                <w:p w14:paraId="55EDACA0" w14:textId="77777777" w:rsidR="002C448D" w:rsidRDefault="002C448D" w:rsidP="002C448D">
                  <w:pPr>
                    <w:pStyle w:val="TableBody"/>
                  </w:pPr>
                  <w:r>
                    <w:t xml:space="preserve">An MRA Contracted Hour under the </w:t>
                  </w:r>
                  <w:r w:rsidRPr="00027F85">
                    <w:rPr>
                      <w:iCs w:val="0"/>
                    </w:rPr>
                    <w:t>MRA Agreement</w:t>
                  </w:r>
                  <w:r>
                    <w:t xml:space="preserve"> for the calendar month.</w:t>
                  </w:r>
                </w:p>
              </w:tc>
            </w:tr>
          </w:tbl>
          <w:p w14:paraId="36BDF764" w14:textId="77777777" w:rsidR="002C448D" w:rsidRDefault="002C448D" w:rsidP="002C448D">
            <w:pPr>
              <w:pStyle w:val="BodyTextNumbered"/>
              <w:spacing w:before="240"/>
            </w:pPr>
            <w:r>
              <w:t>(6)</w:t>
            </w:r>
            <w:r>
              <w:tab/>
              <w:t>The total of the Standby Payments for a given hour is calculated as follows:</w:t>
            </w:r>
          </w:p>
          <w:p w14:paraId="30C8755F" w14:textId="77777777" w:rsidR="002C448D" w:rsidRPr="00D54F03" w:rsidRDefault="002C448D" w:rsidP="002C448D">
            <w:pPr>
              <w:pStyle w:val="Formula"/>
              <w:ind w:left="2880" w:hanging="2160"/>
              <w:rPr>
                <w:i/>
                <w:vertAlign w:val="subscript"/>
              </w:rPr>
            </w:pPr>
            <w:r>
              <w:t>MRASBAMTTOT</w:t>
            </w:r>
            <w:r>
              <w:tab/>
              <w:t xml:space="preserve">= </w:t>
            </w:r>
            <w:r w:rsidRPr="006F784F">
              <w:rPr>
                <w:position w:val="-22"/>
              </w:rPr>
              <w:object w:dxaOrig="210" w:dyaOrig="465" w14:anchorId="1B189901">
                <v:shape id="_x0000_i1218" type="#_x0000_t75" style="width:6pt;height:24pt" o:ole="">
                  <v:imagedata r:id="rId187" o:title=""/>
                </v:shape>
                <o:OLEObject Type="Embed" ProgID="Equation.3" ShapeID="_x0000_i1218" DrawAspect="Content" ObjectID="_1804653702" r:id="rId269"/>
              </w:object>
            </w:r>
            <w:r w:rsidRPr="00EB1134">
              <w:t xml:space="preserve"> </w:t>
            </w:r>
            <w:r>
              <w:t xml:space="preserve">MRASBAMTQSETOT </w:t>
            </w:r>
            <w:r w:rsidRPr="00480585">
              <w:rPr>
                <w:i/>
                <w:vertAlign w:val="subscript"/>
              </w:rPr>
              <w:t>q</w:t>
            </w:r>
            <w:r w:rsidRPr="003E02B6">
              <w:rPr>
                <w:b/>
                <w:bCs w:val="0"/>
              </w:rPr>
              <w:t xml:space="preserve"> </w:t>
            </w:r>
          </w:p>
          <w:p w14:paraId="154B8047" w14:textId="77777777" w:rsidR="002C448D" w:rsidRDefault="002C448D" w:rsidP="002C448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808"/>
              <w:gridCol w:w="6195"/>
            </w:tblGrid>
            <w:tr w:rsidR="002C448D" w14:paraId="7BACF785" w14:textId="77777777" w:rsidTr="00CE1011">
              <w:trPr>
                <w:cantSplit/>
                <w:tblHeader/>
              </w:trPr>
              <w:tc>
                <w:tcPr>
                  <w:tcW w:w="1249" w:type="pct"/>
                </w:tcPr>
                <w:p w14:paraId="0C84D134" w14:textId="77777777" w:rsidR="002C448D" w:rsidRDefault="002C448D" w:rsidP="002C448D">
                  <w:pPr>
                    <w:pStyle w:val="TableHead"/>
                  </w:pPr>
                  <w:r>
                    <w:t>Variable</w:t>
                  </w:r>
                </w:p>
              </w:tc>
              <w:tc>
                <w:tcPr>
                  <w:tcW w:w="433" w:type="pct"/>
                </w:tcPr>
                <w:p w14:paraId="5E5A6E36" w14:textId="77777777" w:rsidR="002C448D" w:rsidRDefault="002C448D" w:rsidP="002C448D">
                  <w:pPr>
                    <w:pStyle w:val="TableHead"/>
                  </w:pPr>
                  <w:r>
                    <w:t>Unit</w:t>
                  </w:r>
                </w:p>
              </w:tc>
              <w:tc>
                <w:tcPr>
                  <w:tcW w:w="3318" w:type="pct"/>
                </w:tcPr>
                <w:p w14:paraId="4E4301E8" w14:textId="77777777" w:rsidR="002C448D" w:rsidRDefault="002C448D" w:rsidP="002C448D">
                  <w:pPr>
                    <w:pStyle w:val="TableHead"/>
                  </w:pPr>
                  <w:r>
                    <w:t>Definition</w:t>
                  </w:r>
                </w:p>
              </w:tc>
            </w:tr>
            <w:tr w:rsidR="002C448D" w14:paraId="2B5B3E3A" w14:textId="77777777" w:rsidTr="00CE1011">
              <w:trPr>
                <w:cantSplit/>
              </w:trPr>
              <w:tc>
                <w:tcPr>
                  <w:tcW w:w="1249" w:type="pct"/>
                </w:tcPr>
                <w:p w14:paraId="35A0AC24" w14:textId="77777777" w:rsidR="002C448D" w:rsidRDefault="002C448D" w:rsidP="002C448D">
                  <w:pPr>
                    <w:pStyle w:val="TableBody"/>
                  </w:pPr>
                  <w:r>
                    <w:t>MRASBAMTTOT</w:t>
                  </w:r>
                </w:p>
              </w:tc>
              <w:tc>
                <w:tcPr>
                  <w:tcW w:w="433" w:type="pct"/>
                </w:tcPr>
                <w:p w14:paraId="6FF8C09C" w14:textId="77777777" w:rsidR="002C448D" w:rsidRDefault="002C448D" w:rsidP="002C448D">
                  <w:pPr>
                    <w:pStyle w:val="TableBody"/>
                  </w:pPr>
                  <w:r>
                    <w:t>$</w:t>
                  </w:r>
                </w:p>
              </w:tc>
              <w:tc>
                <w:tcPr>
                  <w:tcW w:w="3318" w:type="pct"/>
                </w:tcPr>
                <w:p w14:paraId="35021137" w14:textId="77777777" w:rsidR="002C448D" w:rsidRDefault="002C448D" w:rsidP="002C448D">
                  <w:pPr>
                    <w:pStyle w:val="TableBody"/>
                  </w:pPr>
                  <w:r>
                    <w:rPr>
                      <w:i/>
                    </w:rPr>
                    <w:t xml:space="preserve">Must-Run Alternative Standby Amount Total </w:t>
                  </w:r>
                  <w:r>
                    <w:sym w:font="Symbol" w:char="F0BE"/>
                  </w:r>
                  <w:r>
                    <w:t xml:space="preserve">The total of the Standby Payments to all QSEs </w:t>
                  </w:r>
                  <w:r>
                    <w:rPr>
                      <w:i/>
                    </w:rPr>
                    <w:t>q</w:t>
                  </w:r>
                  <w:r>
                    <w:t xml:space="preserve"> for all MRAs for the hour.</w:t>
                  </w:r>
                </w:p>
              </w:tc>
            </w:tr>
            <w:tr w:rsidR="002C448D" w14:paraId="2A7DF3AC" w14:textId="77777777" w:rsidTr="00CE1011">
              <w:trPr>
                <w:cantSplit/>
              </w:trPr>
              <w:tc>
                <w:tcPr>
                  <w:tcW w:w="1249" w:type="pct"/>
                </w:tcPr>
                <w:p w14:paraId="666F0957" w14:textId="77777777" w:rsidR="002C448D" w:rsidRDefault="002C448D" w:rsidP="002C448D">
                  <w:pPr>
                    <w:pStyle w:val="TableBody"/>
                  </w:pPr>
                  <w:r>
                    <w:t xml:space="preserve">MRASBAMTQSETOT </w:t>
                  </w:r>
                  <w:r w:rsidRPr="008B6C1D">
                    <w:rPr>
                      <w:i/>
                      <w:vertAlign w:val="subscript"/>
                    </w:rPr>
                    <w:t>q</w:t>
                  </w:r>
                </w:p>
              </w:tc>
              <w:tc>
                <w:tcPr>
                  <w:tcW w:w="433" w:type="pct"/>
                </w:tcPr>
                <w:p w14:paraId="4CC63961" w14:textId="77777777" w:rsidR="002C448D" w:rsidRDefault="002C448D" w:rsidP="002C448D">
                  <w:pPr>
                    <w:pStyle w:val="TableBody"/>
                  </w:pPr>
                  <w:r>
                    <w:t>$</w:t>
                  </w:r>
                </w:p>
              </w:tc>
              <w:tc>
                <w:tcPr>
                  <w:tcW w:w="3318" w:type="pct"/>
                </w:tcPr>
                <w:p w14:paraId="6B9411DB" w14:textId="77777777" w:rsidR="002C448D" w:rsidRDefault="002C448D" w:rsidP="002C448D">
                  <w:pPr>
                    <w:pStyle w:val="TableBody"/>
                  </w:pPr>
                  <w:r w:rsidRPr="00D54F03">
                    <w:rPr>
                      <w:i/>
                    </w:rPr>
                    <w:t xml:space="preserve">Must-Run Alternative Standby Amount Total per QSE per hour </w:t>
                  </w:r>
                  <w:r w:rsidRPr="00D54F03">
                    <w:sym w:font="Symbol" w:char="F0BE"/>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2E18E7D"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3CF9E3BA" w14:textId="77777777" w:rsidR="002C448D" w:rsidRPr="00A24281" w:rsidRDefault="002C448D" w:rsidP="002C448D">
                  <w:pPr>
                    <w:pStyle w:val="TableBody"/>
                    <w:rPr>
                      <w:i/>
                    </w:rPr>
                  </w:pPr>
                  <w:r>
                    <w:rPr>
                      <w:i/>
                    </w:rPr>
                    <w:t>q</w:t>
                  </w:r>
                </w:p>
              </w:tc>
              <w:tc>
                <w:tcPr>
                  <w:tcW w:w="433" w:type="pct"/>
                  <w:tcBorders>
                    <w:top w:val="single" w:sz="4" w:space="0" w:color="auto"/>
                    <w:left w:val="single" w:sz="4" w:space="0" w:color="auto"/>
                    <w:bottom w:val="single" w:sz="4" w:space="0" w:color="auto"/>
                    <w:right w:val="single" w:sz="4" w:space="0" w:color="auto"/>
                  </w:tcBorders>
                </w:tcPr>
                <w:p w14:paraId="59A23308" w14:textId="77777777" w:rsidR="002C448D" w:rsidRDefault="002C448D" w:rsidP="002C448D">
                  <w:pPr>
                    <w:pStyle w:val="TableBody"/>
                  </w:pPr>
                  <w:r>
                    <w:t>None</w:t>
                  </w:r>
                </w:p>
              </w:tc>
              <w:tc>
                <w:tcPr>
                  <w:tcW w:w="3318" w:type="pct"/>
                  <w:tcBorders>
                    <w:top w:val="single" w:sz="4" w:space="0" w:color="auto"/>
                    <w:left w:val="single" w:sz="4" w:space="0" w:color="auto"/>
                    <w:bottom w:val="single" w:sz="4" w:space="0" w:color="auto"/>
                    <w:right w:val="single" w:sz="4" w:space="0" w:color="auto"/>
                  </w:tcBorders>
                </w:tcPr>
                <w:p w14:paraId="3E8C994A" w14:textId="77777777" w:rsidR="002C448D" w:rsidRDefault="002C448D" w:rsidP="002C448D">
                  <w:pPr>
                    <w:pStyle w:val="TableBody"/>
                  </w:pPr>
                  <w:r>
                    <w:t>A QSE.</w:t>
                  </w:r>
                </w:p>
              </w:tc>
            </w:tr>
          </w:tbl>
          <w:p w14:paraId="12242CC0" w14:textId="77777777" w:rsidR="005C6D56" w:rsidRPr="00B37C4B" w:rsidRDefault="005C6D56" w:rsidP="00CE1011">
            <w:pPr>
              <w:pStyle w:val="H3"/>
            </w:pPr>
          </w:p>
        </w:tc>
      </w:tr>
    </w:tbl>
    <w:p w14:paraId="6A6907EF" w14:textId="77777777" w:rsidR="002C6FAE" w:rsidRDefault="002C6FAE" w:rsidP="002C6FA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C6FAE" w14:paraId="668A6A12" w14:textId="77777777" w:rsidTr="00CE1011">
        <w:trPr>
          <w:trHeight w:val="206"/>
        </w:trPr>
        <w:tc>
          <w:tcPr>
            <w:tcW w:w="5000" w:type="pct"/>
            <w:shd w:val="pct12" w:color="auto" w:fill="auto"/>
          </w:tcPr>
          <w:p w14:paraId="5A6257E7" w14:textId="77777777" w:rsidR="002C6FAE" w:rsidRDefault="002C6FAE" w:rsidP="00CE1011">
            <w:pPr>
              <w:pStyle w:val="Instructions"/>
              <w:spacing w:before="120"/>
            </w:pPr>
            <w:r>
              <w:t>[NPRR885:  Insert Section 6.6.6.8 below upon system implementation:]</w:t>
            </w:r>
          </w:p>
          <w:p w14:paraId="09D33155" w14:textId="77777777" w:rsidR="002C6FAE" w:rsidRPr="002C6FAE" w:rsidRDefault="002C6FAE" w:rsidP="002C6FAE">
            <w:pPr>
              <w:keepNext/>
              <w:widowControl w:val="0"/>
              <w:tabs>
                <w:tab w:val="left" w:pos="1260"/>
              </w:tabs>
              <w:spacing w:before="240" w:after="240"/>
              <w:ind w:left="1260" w:hanging="1260"/>
              <w:outlineLvl w:val="3"/>
              <w:rPr>
                <w:b/>
                <w:bCs/>
                <w:snapToGrid w:val="0"/>
                <w:color w:val="000000"/>
              </w:rPr>
            </w:pPr>
            <w:bookmarkStart w:id="2397" w:name="_Toc17798755"/>
            <w:bookmarkStart w:id="2398" w:name="_Toc189044453"/>
            <w:r w:rsidRPr="002C6FAE">
              <w:rPr>
                <w:b/>
                <w:bCs/>
                <w:snapToGrid w:val="0"/>
                <w:color w:val="000000"/>
              </w:rPr>
              <w:t>6.6.6.8</w:t>
            </w:r>
            <w:r w:rsidRPr="002C6FAE">
              <w:rPr>
                <w:b/>
                <w:bCs/>
                <w:snapToGrid w:val="0"/>
                <w:color w:val="000000"/>
              </w:rPr>
              <w:tab/>
              <w:t>MRA Contributed Capital Expenditures Payment</w:t>
            </w:r>
            <w:bookmarkEnd w:id="2397"/>
            <w:bookmarkEnd w:id="2398"/>
          </w:p>
          <w:p w14:paraId="06183963" w14:textId="77777777" w:rsidR="002C6FAE" w:rsidRPr="003E02B6" w:rsidRDefault="002C6FAE" w:rsidP="002C6FAE">
            <w:pPr>
              <w:pStyle w:val="BodyTextNumbered"/>
            </w:pPr>
            <w:r>
              <w:t>(1)</w:t>
            </w:r>
            <w:r>
              <w:tab/>
              <w:t xml:space="preserve">The contributed capital expenditure payment to each </w:t>
            </w:r>
            <w:r w:rsidRPr="003E02B6">
              <w:t xml:space="preserve">QSE for each </w:t>
            </w:r>
            <w:r>
              <w:t>MRA</w:t>
            </w:r>
            <w:r w:rsidRPr="003E02B6">
              <w:t xml:space="preserve"> for each </w:t>
            </w:r>
            <w:r>
              <w:t>MRA Contracted Hour</w:t>
            </w:r>
            <w:r w:rsidRPr="003E02B6">
              <w:t xml:space="preserve"> </w:t>
            </w:r>
            <w:r>
              <w:t xml:space="preserve">of each month </w:t>
            </w:r>
            <w:r w:rsidRPr="003E02B6">
              <w:t xml:space="preserve">is calculated as follows:  </w:t>
            </w:r>
          </w:p>
          <w:p w14:paraId="6A5E4495" w14:textId="77777777" w:rsidR="002C6FAE" w:rsidRPr="00DC487D" w:rsidRDefault="002C6FAE" w:rsidP="002C6FAE">
            <w:pPr>
              <w:pStyle w:val="FormulaBold"/>
            </w:pPr>
            <w:r w:rsidRPr="00D85224">
              <w:t>MRA</w:t>
            </w:r>
            <w:r>
              <w:t>CAPEX</w:t>
            </w:r>
            <w:r w:rsidRPr="00D85224">
              <w:t xml:space="preserve">AMT </w:t>
            </w:r>
            <w:r w:rsidRPr="00D85224">
              <w:rPr>
                <w:i/>
                <w:vertAlign w:val="subscript"/>
              </w:rPr>
              <w:t>q, r</w:t>
            </w:r>
            <w:r>
              <w:rPr>
                <w:i/>
                <w:vertAlign w:val="subscript"/>
              </w:rPr>
              <w:t xml:space="preserve">  </w:t>
            </w:r>
            <w:r w:rsidRPr="00D85224">
              <w:t>=</w:t>
            </w:r>
            <w:r>
              <w:t xml:space="preserve">  </w:t>
            </w:r>
            <w:r w:rsidRPr="00D85224">
              <w:t>(-1) * MRA</w:t>
            </w:r>
            <w:r>
              <w:t xml:space="preserve">MCAPEX </w:t>
            </w:r>
            <w:r w:rsidRPr="003E3063">
              <w:rPr>
                <w:i/>
                <w:vertAlign w:val="subscript"/>
              </w:rPr>
              <w:t>q, r</w:t>
            </w:r>
            <w:r>
              <w:rPr>
                <w:i/>
                <w:vertAlign w:val="subscript"/>
              </w:rPr>
              <w:t>, m</w:t>
            </w:r>
            <w:r w:rsidRPr="003E3063">
              <w:rPr>
                <w:i/>
                <w:vertAlign w:val="subscript"/>
              </w:rPr>
              <w:t xml:space="preserve"> </w:t>
            </w:r>
            <w:r>
              <w:t xml:space="preserve">/ MH </w:t>
            </w:r>
            <w:r w:rsidRPr="00E15B17">
              <w:rPr>
                <w:i/>
                <w:vertAlign w:val="subscript"/>
              </w:rPr>
              <w:t>q, r</w:t>
            </w:r>
            <w:r>
              <w:rPr>
                <w:i/>
                <w:vertAlign w:val="subscript"/>
              </w:rPr>
              <w:t>, m</w:t>
            </w:r>
            <w:r w:rsidRPr="002A58BA">
              <w:rPr>
                <w:i/>
                <w:vertAlign w:val="subscript"/>
              </w:rPr>
              <w:t xml:space="preserve"> </w:t>
            </w:r>
          </w:p>
          <w:p w14:paraId="3D79FC1E" w14:textId="77777777" w:rsidR="002C6FAE" w:rsidRPr="00E45D39" w:rsidRDefault="002C6FAE" w:rsidP="002C6FAE">
            <w:r w:rsidRPr="00E45D39">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605"/>
              <w:gridCol w:w="6513"/>
            </w:tblGrid>
            <w:tr w:rsidR="000B2DD1" w:rsidRPr="00E45D39" w14:paraId="5F062DF2" w14:textId="77777777" w:rsidTr="00CE1011">
              <w:trPr>
                <w:cantSplit/>
                <w:tblHeader/>
              </w:trPr>
              <w:tc>
                <w:tcPr>
                  <w:tcW w:w="1188" w:type="pct"/>
                </w:tcPr>
                <w:p w14:paraId="0BC9EBA2" w14:textId="77777777" w:rsidR="000B2DD1" w:rsidRPr="00E45D39" w:rsidRDefault="000B2DD1" w:rsidP="000B2DD1">
                  <w:pPr>
                    <w:spacing w:after="120"/>
                    <w:rPr>
                      <w:b/>
                      <w:iCs/>
                      <w:sz w:val="20"/>
                    </w:rPr>
                  </w:pPr>
                  <w:r w:rsidRPr="00E45D39">
                    <w:rPr>
                      <w:b/>
                      <w:iCs/>
                      <w:sz w:val="20"/>
                    </w:rPr>
                    <w:t>Variable</w:t>
                  </w:r>
                </w:p>
              </w:tc>
              <w:tc>
                <w:tcPr>
                  <w:tcW w:w="324" w:type="pct"/>
                </w:tcPr>
                <w:p w14:paraId="5C616C6F" w14:textId="77777777" w:rsidR="000B2DD1" w:rsidRPr="00E45D39" w:rsidRDefault="000B2DD1" w:rsidP="000B2DD1">
                  <w:pPr>
                    <w:spacing w:after="120"/>
                    <w:rPr>
                      <w:b/>
                      <w:iCs/>
                      <w:sz w:val="20"/>
                    </w:rPr>
                  </w:pPr>
                  <w:r w:rsidRPr="00E45D39">
                    <w:rPr>
                      <w:b/>
                      <w:iCs/>
                      <w:sz w:val="20"/>
                    </w:rPr>
                    <w:t>Unit</w:t>
                  </w:r>
                </w:p>
              </w:tc>
              <w:tc>
                <w:tcPr>
                  <w:tcW w:w="3488" w:type="pct"/>
                </w:tcPr>
                <w:p w14:paraId="2089BC36" w14:textId="77777777" w:rsidR="000B2DD1" w:rsidRPr="00E45D39" w:rsidRDefault="000B2DD1" w:rsidP="000B2DD1">
                  <w:pPr>
                    <w:spacing w:after="120"/>
                    <w:rPr>
                      <w:b/>
                      <w:iCs/>
                      <w:sz w:val="20"/>
                    </w:rPr>
                  </w:pPr>
                  <w:r w:rsidRPr="00E45D39">
                    <w:rPr>
                      <w:b/>
                      <w:iCs/>
                      <w:sz w:val="20"/>
                    </w:rPr>
                    <w:t>Definition</w:t>
                  </w:r>
                </w:p>
              </w:tc>
            </w:tr>
            <w:tr w:rsidR="000B2DD1" w:rsidRPr="00E45D39" w14:paraId="3C3868D6" w14:textId="77777777" w:rsidTr="00CE1011">
              <w:trPr>
                <w:cantSplit/>
              </w:trPr>
              <w:tc>
                <w:tcPr>
                  <w:tcW w:w="1188" w:type="pct"/>
                </w:tcPr>
                <w:p w14:paraId="0B1D7DF3" w14:textId="77777777" w:rsidR="000B2DD1" w:rsidRPr="004F5F62" w:rsidRDefault="000B2DD1" w:rsidP="000B2DD1">
                  <w:pPr>
                    <w:spacing w:after="60"/>
                    <w:rPr>
                      <w:iCs/>
                      <w:sz w:val="20"/>
                    </w:rPr>
                  </w:pPr>
                  <w:r w:rsidRPr="00D54F03">
                    <w:rPr>
                      <w:sz w:val="20"/>
                    </w:rPr>
                    <w:t xml:space="preserve">MRACAPEXAMT </w:t>
                  </w:r>
                  <w:r w:rsidRPr="00D54F03">
                    <w:rPr>
                      <w:i/>
                      <w:sz w:val="20"/>
                      <w:vertAlign w:val="subscript"/>
                    </w:rPr>
                    <w:t>q, r</w:t>
                  </w:r>
                </w:p>
              </w:tc>
              <w:tc>
                <w:tcPr>
                  <w:tcW w:w="324" w:type="pct"/>
                </w:tcPr>
                <w:p w14:paraId="05758F60" w14:textId="77777777" w:rsidR="000B2DD1" w:rsidRPr="00E45D39" w:rsidRDefault="000B2DD1" w:rsidP="000B2DD1">
                  <w:pPr>
                    <w:spacing w:after="60"/>
                    <w:rPr>
                      <w:iCs/>
                      <w:sz w:val="20"/>
                    </w:rPr>
                  </w:pPr>
                  <w:r w:rsidRPr="00E45D39">
                    <w:rPr>
                      <w:iCs/>
                      <w:sz w:val="20"/>
                    </w:rPr>
                    <w:t>$</w:t>
                  </w:r>
                </w:p>
              </w:tc>
              <w:tc>
                <w:tcPr>
                  <w:tcW w:w="3488" w:type="pct"/>
                </w:tcPr>
                <w:p w14:paraId="0A09FCEB" w14:textId="77777777" w:rsidR="000B2DD1" w:rsidRPr="00E45D39" w:rsidRDefault="000B2DD1" w:rsidP="000B2DD1">
                  <w:pPr>
                    <w:spacing w:after="60"/>
                    <w:rPr>
                      <w:iCs/>
                      <w:sz w:val="20"/>
                    </w:rPr>
                  </w:pPr>
                  <w:r w:rsidRPr="00E45D39">
                    <w:rPr>
                      <w:i/>
                      <w:iCs/>
                      <w:sz w:val="20"/>
                    </w:rPr>
                    <w:t xml:space="preserve">Must-Run </w:t>
                  </w:r>
                  <w:r>
                    <w:rPr>
                      <w:i/>
                      <w:iCs/>
                      <w:sz w:val="20"/>
                    </w:rPr>
                    <w:t>Alternative Contributed Capital Expenditures Amount per</w:t>
                  </w:r>
                  <w:r w:rsidRPr="00E45D39">
                    <w:rPr>
                      <w:i/>
                      <w:iCs/>
                      <w:sz w:val="20"/>
                    </w:rPr>
                    <w:t xml:space="preserve"> QSE</w:t>
                  </w:r>
                  <w:r>
                    <w:rPr>
                      <w:i/>
                      <w:iCs/>
                      <w:sz w:val="20"/>
                    </w:rPr>
                    <w:t xml:space="preserve"> per Resource per hour</w:t>
                  </w:r>
                  <w:r w:rsidRPr="00027F85">
                    <w:rPr>
                      <w:sz w:val="20"/>
                    </w:rPr>
                    <w:t>—</w:t>
                  </w:r>
                  <w:r>
                    <w:rPr>
                      <w:iCs/>
                      <w:sz w:val="20"/>
                    </w:rPr>
                    <w:t xml:space="preserve"> </w:t>
                  </w:r>
                  <w:r w:rsidRPr="003E02B6">
                    <w:rPr>
                      <w:iCs/>
                      <w:sz w:val="20"/>
                    </w:rPr>
                    <w:t xml:space="preserve">The total </w:t>
                  </w:r>
                  <w:r>
                    <w:rPr>
                      <w:iCs/>
                      <w:sz w:val="20"/>
                    </w:rPr>
                    <w:t xml:space="preserve">monthly contributed capital expenditure payment </w:t>
                  </w:r>
                  <w:r w:rsidRPr="003E02B6">
                    <w:rPr>
                      <w:iCs/>
                      <w:sz w:val="20"/>
                    </w:rPr>
                    <w:t xml:space="preserve">for </w:t>
                  </w:r>
                  <w:r>
                    <w:rPr>
                      <w:iCs/>
                      <w:sz w:val="20"/>
                    </w:rPr>
                    <w:t>MRA</w:t>
                  </w:r>
                  <w:r w:rsidRPr="003E02B6">
                    <w:rPr>
                      <w:iCs/>
                      <w:sz w:val="20"/>
                    </w:rPr>
                    <w:t xml:space="preserve"> </w:t>
                  </w:r>
                  <w:r w:rsidRPr="003E02B6">
                    <w:rPr>
                      <w:i/>
                      <w:iCs/>
                      <w:sz w:val="20"/>
                    </w:rPr>
                    <w:t xml:space="preserve">r </w:t>
                  </w:r>
                  <w:r w:rsidRPr="003E02B6">
                    <w:rPr>
                      <w:iCs/>
                      <w:sz w:val="20"/>
                    </w:rPr>
                    <w:t>represented by QSE</w:t>
                  </w:r>
                  <w:r w:rsidRPr="002F485F">
                    <w:rPr>
                      <w:iCs/>
                      <w:sz w:val="20"/>
                    </w:rPr>
                    <w:t xml:space="preserve"> </w:t>
                  </w:r>
                  <w:r w:rsidRPr="009A46A2">
                    <w:rPr>
                      <w:i/>
                      <w:iCs/>
                      <w:sz w:val="20"/>
                    </w:rPr>
                    <w:t>q</w:t>
                  </w:r>
                  <w:r w:rsidRPr="00590FA9">
                    <w:rPr>
                      <w:iCs/>
                      <w:sz w:val="20"/>
                    </w:rPr>
                    <w:t xml:space="preserve">, allocated to each </w:t>
                  </w:r>
                  <w:r>
                    <w:rPr>
                      <w:iCs/>
                      <w:sz w:val="20"/>
                    </w:rPr>
                    <w:t>MRA Contracted Hour</w:t>
                  </w:r>
                  <w:r w:rsidRPr="002F485F">
                    <w:rPr>
                      <w:iCs/>
                      <w:sz w:val="20"/>
                    </w:rPr>
                    <w:t xml:space="preserve">.  </w:t>
                  </w:r>
                  <w:r w:rsidRPr="003E02B6">
                    <w:rPr>
                      <w:iCs/>
                      <w:sz w:val="20"/>
                    </w:rPr>
                    <w:t xml:space="preserve">Where for a Combined Cycle Train, the Resource </w:t>
                  </w:r>
                  <w:r w:rsidRPr="003E02B6">
                    <w:rPr>
                      <w:i/>
                      <w:iCs/>
                      <w:sz w:val="20"/>
                    </w:rPr>
                    <w:t xml:space="preserve">r </w:t>
                  </w:r>
                  <w:r w:rsidRPr="003E02B6">
                    <w:rPr>
                      <w:iCs/>
                      <w:sz w:val="20"/>
                    </w:rPr>
                    <w:t>is a Combined Cycle Train.</w:t>
                  </w:r>
                </w:p>
              </w:tc>
            </w:tr>
            <w:tr w:rsidR="000B2DD1" w:rsidRPr="00E45D39" w14:paraId="4A6152DB" w14:textId="77777777" w:rsidTr="00CE1011">
              <w:trPr>
                <w:cantSplit/>
              </w:trPr>
              <w:tc>
                <w:tcPr>
                  <w:tcW w:w="1188" w:type="pct"/>
                </w:tcPr>
                <w:p w14:paraId="5B1AACB0" w14:textId="77777777" w:rsidR="000B2DD1" w:rsidRPr="004F5F62" w:rsidRDefault="000B2DD1" w:rsidP="000B2DD1">
                  <w:pPr>
                    <w:spacing w:after="60"/>
                    <w:rPr>
                      <w:iCs/>
                      <w:sz w:val="20"/>
                    </w:rPr>
                  </w:pPr>
                  <w:r w:rsidRPr="00D54F03">
                    <w:rPr>
                      <w:sz w:val="20"/>
                    </w:rPr>
                    <w:t>MRA</w:t>
                  </w:r>
                  <w:r w:rsidRPr="004F5F62">
                    <w:rPr>
                      <w:sz w:val="20"/>
                    </w:rPr>
                    <w:t>M</w:t>
                  </w:r>
                  <w:r w:rsidRPr="00D54F03">
                    <w:rPr>
                      <w:sz w:val="20"/>
                    </w:rPr>
                    <w:t>CAPEX</w:t>
                  </w:r>
                  <w:r w:rsidRPr="004F5F62">
                    <w:rPr>
                      <w:i/>
                      <w:sz w:val="20"/>
                      <w:vertAlign w:val="subscript"/>
                    </w:rPr>
                    <w:t xml:space="preserve"> q, </w:t>
                  </w:r>
                  <w:r w:rsidRPr="00D54F03">
                    <w:rPr>
                      <w:i/>
                      <w:sz w:val="20"/>
                      <w:vertAlign w:val="subscript"/>
                    </w:rPr>
                    <w:t>r, m</w:t>
                  </w:r>
                </w:p>
              </w:tc>
              <w:tc>
                <w:tcPr>
                  <w:tcW w:w="324" w:type="pct"/>
                </w:tcPr>
                <w:p w14:paraId="295FB8B3" w14:textId="77777777" w:rsidR="000B2DD1" w:rsidRPr="00E45D39" w:rsidRDefault="000B2DD1" w:rsidP="000B2DD1">
                  <w:pPr>
                    <w:spacing w:after="60"/>
                    <w:rPr>
                      <w:iCs/>
                      <w:sz w:val="20"/>
                    </w:rPr>
                  </w:pPr>
                  <w:r w:rsidRPr="00E45D39">
                    <w:rPr>
                      <w:iCs/>
                      <w:sz w:val="20"/>
                    </w:rPr>
                    <w:t>$</w:t>
                  </w:r>
                </w:p>
              </w:tc>
              <w:tc>
                <w:tcPr>
                  <w:tcW w:w="3488" w:type="pct"/>
                </w:tcPr>
                <w:p w14:paraId="583D7FEC" w14:textId="77777777" w:rsidR="000B2DD1" w:rsidRPr="00E45D39" w:rsidRDefault="000B2DD1" w:rsidP="000B2DD1">
                  <w:pPr>
                    <w:spacing w:after="60"/>
                    <w:rPr>
                      <w:iCs/>
                      <w:sz w:val="20"/>
                    </w:rPr>
                  </w:pPr>
                  <w:r w:rsidRPr="00E45D39">
                    <w:rPr>
                      <w:i/>
                      <w:iCs/>
                      <w:sz w:val="20"/>
                    </w:rPr>
                    <w:t xml:space="preserve">Must-Run </w:t>
                  </w:r>
                  <w:r>
                    <w:rPr>
                      <w:i/>
                      <w:iCs/>
                      <w:sz w:val="20"/>
                    </w:rPr>
                    <w:t>Alternative Monthly Contributed Capital Expenditures per</w:t>
                  </w:r>
                  <w:r w:rsidRPr="00E45D39">
                    <w:rPr>
                      <w:i/>
                      <w:iCs/>
                      <w:sz w:val="20"/>
                    </w:rPr>
                    <w:t xml:space="preserve"> QSE</w:t>
                  </w:r>
                  <w:r w:rsidRPr="00027F85">
                    <w:rPr>
                      <w:sz w:val="20"/>
                    </w:rPr>
                    <w:t>—</w:t>
                  </w:r>
                  <w:r>
                    <w:rPr>
                      <w:iCs/>
                      <w:sz w:val="20"/>
                    </w:rPr>
                    <w:t xml:space="preserve"> </w:t>
                  </w:r>
                  <w:r w:rsidRPr="003E02B6">
                    <w:rPr>
                      <w:iCs/>
                      <w:sz w:val="20"/>
                    </w:rPr>
                    <w:t xml:space="preserve">The total </w:t>
                  </w:r>
                  <w:r>
                    <w:rPr>
                      <w:iCs/>
                      <w:sz w:val="20"/>
                    </w:rPr>
                    <w:t>monthly contributed capital expenditures for MRA</w:t>
                  </w:r>
                  <w:r w:rsidRPr="003E02B6">
                    <w:rPr>
                      <w:iCs/>
                      <w:sz w:val="20"/>
                    </w:rPr>
                    <w:t xml:space="preserve"> </w:t>
                  </w:r>
                  <w:r w:rsidRPr="003E02B6">
                    <w:rPr>
                      <w:i/>
                      <w:iCs/>
                      <w:sz w:val="20"/>
                    </w:rPr>
                    <w:t xml:space="preserve">r </w:t>
                  </w:r>
                  <w:r w:rsidRPr="003E02B6">
                    <w:rPr>
                      <w:iCs/>
                      <w:sz w:val="20"/>
                    </w:rPr>
                    <w:t xml:space="preserve">represented by QSE </w:t>
                  </w:r>
                  <w:r w:rsidRPr="003E02B6">
                    <w:rPr>
                      <w:i/>
                      <w:iCs/>
                      <w:sz w:val="20"/>
                    </w:rPr>
                    <w:t>q</w:t>
                  </w:r>
                  <w:r w:rsidRPr="003E02B6">
                    <w:rPr>
                      <w:iCs/>
                      <w:sz w:val="20"/>
                    </w:rPr>
                    <w:t xml:space="preserve">.  Where for a Combined Cycle Train, the Resource </w:t>
                  </w:r>
                  <w:r w:rsidRPr="003E02B6">
                    <w:rPr>
                      <w:i/>
                      <w:iCs/>
                      <w:sz w:val="20"/>
                    </w:rPr>
                    <w:t xml:space="preserve">r </w:t>
                  </w:r>
                  <w:r w:rsidRPr="003E02B6">
                    <w:rPr>
                      <w:iCs/>
                      <w:sz w:val="20"/>
                    </w:rPr>
                    <w:t>is a Combined Cycle Train.</w:t>
                  </w:r>
                </w:p>
              </w:tc>
            </w:tr>
            <w:tr w:rsidR="000B2DD1" w:rsidRPr="00E45D39" w14:paraId="3E69BEB4" w14:textId="77777777" w:rsidTr="00CE1011">
              <w:trPr>
                <w:cantSplit/>
              </w:trPr>
              <w:tc>
                <w:tcPr>
                  <w:tcW w:w="1188" w:type="pct"/>
                </w:tcPr>
                <w:p w14:paraId="12B47866" w14:textId="77777777" w:rsidR="000B2DD1" w:rsidRPr="004F5F62" w:rsidRDefault="000B2DD1" w:rsidP="000B2DD1">
                  <w:pPr>
                    <w:spacing w:after="60"/>
                    <w:rPr>
                      <w:iCs/>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324" w:type="pct"/>
                </w:tcPr>
                <w:p w14:paraId="307B968E" w14:textId="77777777" w:rsidR="000B2DD1" w:rsidRPr="00E45D39" w:rsidRDefault="000B2DD1" w:rsidP="000B2DD1">
                  <w:pPr>
                    <w:spacing w:after="60"/>
                    <w:rPr>
                      <w:iCs/>
                      <w:sz w:val="20"/>
                    </w:rPr>
                  </w:pPr>
                  <w:r w:rsidRPr="00027F85">
                    <w:rPr>
                      <w:sz w:val="20"/>
                    </w:rPr>
                    <w:t>hour</w:t>
                  </w:r>
                </w:p>
              </w:tc>
              <w:tc>
                <w:tcPr>
                  <w:tcW w:w="3488" w:type="pct"/>
                </w:tcPr>
                <w:p w14:paraId="104B9397" w14:textId="77777777" w:rsidR="000B2DD1" w:rsidRPr="004F5F62" w:rsidRDefault="000B2DD1" w:rsidP="000B2DD1">
                  <w:pPr>
                    <w:spacing w:after="60"/>
                    <w:rPr>
                      <w:i/>
                      <w:iCs/>
                      <w:sz w:val="20"/>
                    </w:rPr>
                  </w:pPr>
                  <w:r w:rsidRPr="00027F85">
                    <w:rPr>
                      <w:i/>
                      <w:sz w:val="20"/>
                    </w:rPr>
                    <w:t>Number of Total Contracted Hours in the Month per QSE per Resource</w:t>
                  </w:r>
                  <w:r w:rsidRPr="00027F85">
                    <w:rPr>
                      <w:sz w:val="20"/>
                    </w:rPr>
                    <w:t xml:space="preserve">—The total number of </w:t>
                  </w:r>
                  <w:r>
                    <w:rPr>
                      <w:sz w:val="20"/>
                    </w:rPr>
                    <w:t>MRA Contracted Hour</w:t>
                  </w:r>
                  <w:r w:rsidRPr="00027F85">
                    <w:rPr>
                      <w:sz w:val="20"/>
                    </w:rPr>
                    <w:t xml:space="preserve">s in the </w:t>
                  </w:r>
                  <w:r>
                    <w:rPr>
                      <w:sz w:val="20"/>
                    </w:rPr>
                    <w:t>MRA Contracted M</w:t>
                  </w:r>
                  <w:r w:rsidRPr="00027F85">
                    <w:rPr>
                      <w:sz w:val="20"/>
                    </w:rPr>
                    <w:t>onth</w:t>
                  </w:r>
                  <w:r>
                    <w:rPr>
                      <w:sz w:val="20"/>
                    </w:rPr>
                    <w:t xml:space="preserve"> </w:t>
                  </w:r>
                  <w:r w:rsidRPr="009701A9">
                    <w:rPr>
                      <w:i/>
                      <w:sz w:val="20"/>
                    </w:rPr>
                    <w:t>m</w:t>
                  </w:r>
                  <w:r w:rsidRPr="00027F85">
                    <w:rPr>
                      <w:sz w:val="20"/>
                    </w:rPr>
                    <w:t xml:space="preserve"> for the </w:t>
                  </w:r>
                  <w:r>
                    <w:rPr>
                      <w:sz w:val="20"/>
                    </w:rPr>
                    <w:t>MRA</w:t>
                  </w:r>
                  <w:r w:rsidRPr="00590FA9">
                    <w:rPr>
                      <w:sz w:val="20"/>
                    </w:rPr>
                    <w:t xml:space="preserve"> </w:t>
                  </w:r>
                  <w:r w:rsidRPr="009701A9">
                    <w:rPr>
                      <w:i/>
                      <w:sz w:val="20"/>
                    </w:rPr>
                    <w:t>r</w:t>
                  </w:r>
                  <w:r w:rsidRPr="00590FA9">
                    <w:rPr>
                      <w:sz w:val="20"/>
                    </w:rPr>
                    <w:t xml:space="preserve"> </w:t>
                  </w:r>
                  <w:r w:rsidRPr="003E02B6">
                    <w:rPr>
                      <w:iCs/>
                      <w:sz w:val="20"/>
                    </w:rPr>
                    <w:t xml:space="preserve">represented by QSE </w:t>
                  </w:r>
                  <w:r w:rsidRPr="003E02B6">
                    <w:rPr>
                      <w:i/>
                      <w:iCs/>
                      <w:sz w:val="20"/>
                    </w:rPr>
                    <w:t>q</w:t>
                  </w:r>
                  <w:r w:rsidRPr="00590FA9">
                    <w:rPr>
                      <w:sz w:val="20"/>
                    </w:rPr>
                    <w:t xml:space="preserve"> as indicated in the MRA Agreement</w:t>
                  </w:r>
                  <w:r w:rsidRPr="002F485F">
                    <w:rPr>
                      <w:sz w:val="20"/>
                    </w:rPr>
                    <w: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B2DD1" w:rsidRPr="00E45D39" w14:paraId="56710D70"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79C5D7BA" w14:textId="77777777" w:rsidR="000B2DD1" w:rsidRPr="00E45D39" w:rsidRDefault="000B2DD1" w:rsidP="000B2DD1">
                  <w:pPr>
                    <w:spacing w:after="60"/>
                    <w:rPr>
                      <w:i/>
                      <w:iCs/>
                      <w:sz w:val="20"/>
                    </w:rPr>
                  </w:pPr>
                  <w:r>
                    <w:rPr>
                      <w:i/>
                      <w:iCs/>
                      <w:sz w:val="20"/>
                    </w:rPr>
                    <w:t>q</w:t>
                  </w:r>
                </w:p>
              </w:tc>
              <w:tc>
                <w:tcPr>
                  <w:tcW w:w="324" w:type="pct"/>
                  <w:tcBorders>
                    <w:top w:val="single" w:sz="4" w:space="0" w:color="auto"/>
                    <w:left w:val="single" w:sz="4" w:space="0" w:color="auto"/>
                    <w:bottom w:val="single" w:sz="4" w:space="0" w:color="auto"/>
                    <w:right w:val="single" w:sz="4" w:space="0" w:color="auto"/>
                  </w:tcBorders>
                </w:tcPr>
                <w:p w14:paraId="35F200B1"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20116589" w14:textId="77777777" w:rsidR="000B2DD1" w:rsidRPr="00E45D39" w:rsidRDefault="000B2DD1" w:rsidP="000B2DD1">
                  <w:pPr>
                    <w:spacing w:after="60"/>
                    <w:rPr>
                      <w:iCs/>
                      <w:sz w:val="20"/>
                    </w:rPr>
                  </w:pPr>
                  <w:r w:rsidRPr="00E45D39">
                    <w:rPr>
                      <w:iCs/>
                      <w:sz w:val="20"/>
                    </w:rPr>
                    <w:t>A QSE.</w:t>
                  </w:r>
                </w:p>
              </w:tc>
            </w:tr>
            <w:tr w:rsidR="000B2DD1" w:rsidRPr="00E45D39" w14:paraId="29473799"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4A1D6544" w14:textId="77777777" w:rsidR="000B2DD1" w:rsidRPr="00E45D39" w:rsidRDefault="000B2DD1" w:rsidP="000B2DD1">
                  <w:pPr>
                    <w:spacing w:after="60"/>
                    <w:rPr>
                      <w:i/>
                      <w:iCs/>
                      <w:sz w:val="20"/>
                    </w:rPr>
                  </w:pPr>
                  <w:r>
                    <w:rPr>
                      <w:i/>
                      <w:iCs/>
                      <w:sz w:val="20"/>
                    </w:rPr>
                    <w:t>r</w:t>
                  </w:r>
                </w:p>
              </w:tc>
              <w:tc>
                <w:tcPr>
                  <w:tcW w:w="324" w:type="pct"/>
                  <w:tcBorders>
                    <w:top w:val="single" w:sz="4" w:space="0" w:color="auto"/>
                    <w:left w:val="single" w:sz="4" w:space="0" w:color="auto"/>
                    <w:bottom w:val="single" w:sz="4" w:space="0" w:color="auto"/>
                    <w:right w:val="single" w:sz="4" w:space="0" w:color="auto"/>
                  </w:tcBorders>
                </w:tcPr>
                <w:p w14:paraId="64C2CAE7"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1FEEDAA9" w14:textId="77777777" w:rsidR="000B2DD1" w:rsidRPr="00E45D39" w:rsidRDefault="000B2DD1" w:rsidP="000B2DD1">
                  <w:pPr>
                    <w:spacing w:after="60"/>
                    <w:rPr>
                      <w:iCs/>
                      <w:sz w:val="20"/>
                    </w:rPr>
                  </w:pPr>
                  <w:r>
                    <w:rPr>
                      <w:iCs/>
                      <w:sz w:val="20"/>
                    </w:rPr>
                    <w:t>An MRA</w:t>
                  </w:r>
                  <w:r w:rsidRPr="00E45D39">
                    <w:rPr>
                      <w:iCs/>
                      <w:sz w:val="20"/>
                    </w:rPr>
                    <w:t>.</w:t>
                  </w:r>
                </w:p>
              </w:tc>
            </w:tr>
            <w:tr w:rsidR="000B2DD1" w:rsidRPr="00027F85" w14:paraId="7E0D287B"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2C2CB6E2" w14:textId="77777777" w:rsidR="000B2DD1" w:rsidRPr="00845E5C" w:rsidRDefault="000B2DD1" w:rsidP="000B2DD1">
                  <w:pPr>
                    <w:spacing w:after="60"/>
                    <w:rPr>
                      <w:i/>
                      <w:iCs/>
                      <w:sz w:val="20"/>
                    </w:rPr>
                  </w:pPr>
                  <w:r>
                    <w:rPr>
                      <w:i/>
                      <w:iCs/>
                      <w:sz w:val="20"/>
                    </w:rPr>
                    <w:t>m</w:t>
                  </w:r>
                </w:p>
              </w:tc>
              <w:tc>
                <w:tcPr>
                  <w:tcW w:w="324" w:type="pct"/>
                  <w:tcBorders>
                    <w:top w:val="single" w:sz="4" w:space="0" w:color="auto"/>
                    <w:left w:val="single" w:sz="4" w:space="0" w:color="auto"/>
                    <w:bottom w:val="single" w:sz="4" w:space="0" w:color="auto"/>
                    <w:right w:val="single" w:sz="4" w:space="0" w:color="auto"/>
                  </w:tcBorders>
                </w:tcPr>
                <w:p w14:paraId="4A70CED2" w14:textId="77777777" w:rsidR="000B2DD1" w:rsidRPr="00027F85" w:rsidRDefault="000B2DD1" w:rsidP="000B2DD1">
                  <w:pPr>
                    <w:spacing w:after="60"/>
                    <w:rPr>
                      <w:iCs/>
                      <w:sz w:val="20"/>
                    </w:rPr>
                  </w:pPr>
                  <w:r w:rsidRPr="00027F85">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64BB3C82" w14:textId="77777777" w:rsidR="000B2DD1" w:rsidRPr="00027F85" w:rsidRDefault="000B2DD1" w:rsidP="000B2DD1">
                  <w:pPr>
                    <w:spacing w:after="60"/>
                    <w:rPr>
                      <w:iCs/>
                      <w:sz w:val="20"/>
                    </w:rPr>
                  </w:pPr>
                  <w:r>
                    <w:rPr>
                      <w:iCs/>
                      <w:sz w:val="20"/>
                    </w:rPr>
                    <w:t>An MRA Contracted Month</w:t>
                  </w:r>
                  <w:r w:rsidRPr="00BA5841">
                    <w:rPr>
                      <w:iCs/>
                      <w:sz w:val="20"/>
                    </w:rPr>
                    <w:t xml:space="preserve"> </w:t>
                  </w:r>
                  <w:r w:rsidRPr="00027F85">
                    <w:rPr>
                      <w:iCs/>
                      <w:sz w:val="20"/>
                    </w:rPr>
                    <w:t>under the MRA Agreement</w:t>
                  </w:r>
                  <w:r w:rsidRPr="00BA5841">
                    <w:rPr>
                      <w:iCs/>
                      <w:sz w:val="20"/>
                    </w:rPr>
                    <w:t>.</w:t>
                  </w:r>
                </w:p>
              </w:tc>
            </w:tr>
          </w:tbl>
          <w:p w14:paraId="59D6EE0B" w14:textId="77777777" w:rsidR="000B2DD1" w:rsidRDefault="000B2DD1" w:rsidP="000B2DD1">
            <w:pPr>
              <w:pStyle w:val="BodyTextNumbered"/>
              <w:spacing w:before="240"/>
            </w:pPr>
            <w:r>
              <w:t>(2)</w:t>
            </w:r>
            <w:r>
              <w:tab/>
              <w:t>The total of the contributed capital expenditure payments</w:t>
            </w:r>
            <w:r w:rsidRPr="003E02B6">
              <w:t xml:space="preserve"> </w:t>
            </w:r>
            <w:r>
              <w:t>for all MRAs represented by the QSE for a given hour is calculated as follows:</w:t>
            </w:r>
          </w:p>
          <w:p w14:paraId="25770379" w14:textId="77777777" w:rsidR="000B2DD1" w:rsidRDefault="000B2DD1" w:rsidP="000B2DD1">
            <w:pPr>
              <w:pStyle w:val="FormulaBold"/>
            </w:pPr>
            <w:r>
              <w:t>MRACAPEX</w:t>
            </w:r>
            <w:r w:rsidRPr="00D85224">
              <w:t>AMT</w:t>
            </w:r>
            <w:r>
              <w:t>QSETOT</w:t>
            </w:r>
            <w:r w:rsidRPr="003977DD">
              <w:rPr>
                <w:i/>
                <w:vertAlign w:val="subscript"/>
              </w:rPr>
              <w:t xml:space="preserve"> </w:t>
            </w:r>
            <w:r w:rsidRPr="00D85224">
              <w:rPr>
                <w:i/>
                <w:vertAlign w:val="subscript"/>
              </w:rPr>
              <w:t>q</w:t>
            </w:r>
            <w:r w:rsidRPr="00D54F03" w:rsidDel="003977DD">
              <w:rPr>
                <w:vertAlign w:val="subscript"/>
              </w:rPr>
              <w:t xml:space="preserve"> </w:t>
            </w:r>
            <w:r>
              <w:t xml:space="preserve">  =  </w:t>
            </w:r>
            <w:r w:rsidRPr="006F784F">
              <w:rPr>
                <w:position w:val="-18"/>
              </w:rPr>
              <w:object w:dxaOrig="225" w:dyaOrig="420" w14:anchorId="19B28EB0">
                <v:shape id="_x0000_i1219" type="#_x0000_t75" style="width:12pt;height:24pt" o:ole="">
                  <v:imagedata r:id="rId237" o:title=""/>
                </v:shape>
                <o:OLEObject Type="Embed" ProgID="Equation.3" ShapeID="_x0000_i1219" DrawAspect="Content" ObjectID="_1804653703" r:id="rId270"/>
              </w:object>
            </w:r>
            <w:r w:rsidRPr="00D85224">
              <w:t>MRA</w:t>
            </w:r>
            <w:r>
              <w:t>CAPEX</w:t>
            </w:r>
            <w:r w:rsidRPr="00D85224">
              <w:t xml:space="preserve">AMT </w:t>
            </w:r>
            <w:r w:rsidRPr="00D85224">
              <w:rPr>
                <w:i/>
                <w:vertAlign w:val="subscript"/>
              </w:rPr>
              <w:t>q, r</w:t>
            </w:r>
            <w:r>
              <w:rPr>
                <w:i/>
                <w:vertAlign w:val="subscript"/>
              </w:rPr>
              <w:t xml:space="preserve">  </w:t>
            </w:r>
          </w:p>
          <w:p w14:paraId="61CD0CE0" w14:textId="77777777" w:rsidR="000B2DD1" w:rsidRDefault="000B2DD1" w:rsidP="000B2DD1">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4F2E4518" w14:textId="77777777" w:rsidTr="00CE1011">
              <w:trPr>
                <w:cantSplit/>
                <w:tblHeader/>
              </w:trPr>
              <w:tc>
                <w:tcPr>
                  <w:tcW w:w="1441" w:type="pct"/>
                </w:tcPr>
                <w:p w14:paraId="1273D800" w14:textId="77777777" w:rsidR="0092766A" w:rsidRDefault="0092766A" w:rsidP="0092766A">
                  <w:pPr>
                    <w:pStyle w:val="TableHead"/>
                  </w:pPr>
                  <w:r>
                    <w:t>Variable</w:t>
                  </w:r>
                </w:p>
              </w:tc>
              <w:tc>
                <w:tcPr>
                  <w:tcW w:w="337" w:type="pct"/>
                </w:tcPr>
                <w:p w14:paraId="01323DB0" w14:textId="77777777" w:rsidR="0092766A" w:rsidRDefault="0092766A" w:rsidP="0092766A">
                  <w:pPr>
                    <w:pStyle w:val="TableHead"/>
                  </w:pPr>
                  <w:r>
                    <w:t>Unit</w:t>
                  </w:r>
                </w:p>
              </w:tc>
              <w:tc>
                <w:tcPr>
                  <w:tcW w:w="3222" w:type="pct"/>
                </w:tcPr>
                <w:p w14:paraId="7F753990" w14:textId="77777777" w:rsidR="0092766A" w:rsidRDefault="0092766A" w:rsidP="0092766A">
                  <w:pPr>
                    <w:pStyle w:val="TableHead"/>
                  </w:pPr>
                  <w:r>
                    <w:t>Definition</w:t>
                  </w:r>
                </w:p>
              </w:tc>
            </w:tr>
            <w:tr w:rsidR="0092766A" w14:paraId="2C090BEC" w14:textId="77777777" w:rsidTr="00CE1011">
              <w:trPr>
                <w:cantSplit/>
              </w:trPr>
              <w:tc>
                <w:tcPr>
                  <w:tcW w:w="1441" w:type="pct"/>
                </w:tcPr>
                <w:p w14:paraId="3D1D91CB" w14:textId="77777777" w:rsidR="0092766A" w:rsidRDefault="0092766A" w:rsidP="0092766A">
                  <w:pPr>
                    <w:pStyle w:val="TableBody"/>
                  </w:pPr>
                  <w:r>
                    <w:t>MRACAPEX</w:t>
                  </w:r>
                  <w:r w:rsidRPr="00D85224">
                    <w:t>AMT</w:t>
                  </w:r>
                  <w:r>
                    <w:t xml:space="preserve">QSETOT </w:t>
                  </w:r>
                  <w:r w:rsidRPr="00480585">
                    <w:rPr>
                      <w:i/>
                      <w:vertAlign w:val="subscript"/>
                    </w:rPr>
                    <w:t>q</w:t>
                  </w:r>
                  <w:r>
                    <w:t xml:space="preserve">  </w:t>
                  </w:r>
                </w:p>
              </w:tc>
              <w:tc>
                <w:tcPr>
                  <w:tcW w:w="337" w:type="pct"/>
                </w:tcPr>
                <w:p w14:paraId="326EFE0D" w14:textId="77777777" w:rsidR="0092766A" w:rsidRDefault="0092766A" w:rsidP="0092766A">
                  <w:pPr>
                    <w:pStyle w:val="TableBody"/>
                  </w:pPr>
                  <w:r>
                    <w:t>$</w:t>
                  </w:r>
                </w:p>
              </w:tc>
              <w:tc>
                <w:tcPr>
                  <w:tcW w:w="3222" w:type="pct"/>
                </w:tcPr>
                <w:p w14:paraId="67150260"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t xml:space="preserve"> </w:t>
                  </w:r>
                  <w:r w:rsidRPr="003E02B6">
                    <w:rPr>
                      <w:i/>
                    </w:rPr>
                    <w:t xml:space="preserve">r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5D177086" w14:textId="77777777" w:rsidTr="00CE1011">
              <w:trPr>
                <w:cantSplit/>
              </w:trPr>
              <w:tc>
                <w:tcPr>
                  <w:tcW w:w="1441" w:type="pct"/>
                </w:tcPr>
                <w:p w14:paraId="721B178D" w14:textId="77777777" w:rsidR="0092766A" w:rsidRDefault="0092766A" w:rsidP="0092766A">
                  <w:pPr>
                    <w:pStyle w:val="TableBody"/>
                  </w:pPr>
                  <w:r w:rsidRPr="00D85224">
                    <w:t>MRA</w:t>
                  </w:r>
                  <w:r>
                    <w:t>CAPEX</w:t>
                  </w:r>
                  <w:r w:rsidRPr="00D85224">
                    <w:t xml:space="preserve">AMT </w:t>
                  </w:r>
                  <w:r w:rsidRPr="00D85224">
                    <w:rPr>
                      <w:i/>
                      <w:vertAlign w:val="subscript"/>
                    </w:rPr>
                    <w:t>q, r</w:t>
                  </w:r>
                  <w:r>
                    <w:rPr>
                      <w:i/>
                      <w:vertAlign w:val="subscript"/>
                    </w:rPr>
                    <w:t xml:space="preserve">  </w:t>
                  </w:r>
                </w:p>
              </w:tc>
              <w:tc>
                <w:tcPr>
                  <w:tcW w:w="337" w:type="pct"/>
                </w:tcPr>
                <w:p w14:paraId="14636C9E" w14:textId="77777777" w:rsidR="0092766A" w:rsidRDefault="0092766A" w:rsidP="0092766A">
                  <w:pPr>
                    <w:pStyle w:val="TableBody"/>
                  </w:pPr>
                  <w:r>
                    <w:t>$</w:t>
                  </w:r>
                </w:p>
              </w:tc>
              <w:tc>
                <w:tcPr>
                  <w:tcW w:w="3222" w:type="pct"/>
                </w:tcPr>
                <w:p w14:paraId="454AAE8F" w14:textId="77777777" w:rsidR="0092766A" w:rsidRDefault="0092766A" w:rsidP="0092766A">
                  <w:pPr>
                    <w:pStyle w:val="TableBody"/>
                  </w:pPr>
                  <w:r w:rsidRPr="00E45D39">
                    <w:rPr>
                      <w:i/>
                      <w:iCs w:val="0"/>
                    </w:rPr>
                    <w:t xml:space="preserve">Must-Run </w:t>
                  </w:r>
                  <w:r>
                    <w:rPr>
                      <w:i/>
                      <w:iCs w:val="0"/>
                    </w:rPr>
                    <w:t>Alternative Contributed Capital Expenditures Amount per</w:t>
                  </w:r>
                  <w:r w:rsidRPr="00E45D39">
                    <w:rPr>
                      <w:i/>
                      <w:iCs w:val="0"/>
                    </w:rPr>
                    <w:t xml:space="preserve"> QSE </w:t>
                  </w:r>
                  <w:r>
                    <w:rPr>
                      <w:i/>
                      <w:iCs w:val="0"/>
                    </w:rPr>
                    <w:t xml:space="preserve">per Resource </w:t>
                  </w:r>
                  <w:r>
                    <w:rPr>
                      <w:iCs w:val="0"/>
                    </w:rPr>
                    <w:t xml:space="preserve">– </w:t>
                  </w:r>
                  <w:r w:rsidRPr="003E02B6">
                    <w:t xml:space="preserve">The total </w:t>
                  </w:r>
                  <w:r>
                    <w:rPr>
                      <w:iCs w:val="0"/>
                    </w:rPr>
                    <w:t xml:space="preserve">monthly contributed capital expenditure payment </w:t>
                  </w:r>
                  <w:r w:rsidRPr="003E02B6">
                    <w:t xml:space="preserve">for </w:t>
                  </w:r>
                  <w:r>
                    <w:t>MRA</w:t>
                  </w:r>
                  <w:r w:rsidRPr="003E02B6">
                    <w:t xml:space="preserve"> </w:t>
                  </w:r>
                  <w:r w:rsidRPr="003E02B6">
                    <w:rPr>
                      <w:i/>
                    </w:rPr>
                    <w:t xml:space="preserve">r </w:t>
                  </w:r>
                  <w:r w:rsidRPr="003E02B6">
                    <w:t>represented by QS</w:t>
                  </w:r>
                  <w:r w:rsidRPr="002F485F">
                    <w:t xml:space="preserve">E </w:t>
                  </w:r>
                  <w:r w:rsidRPr="00590FA9">
                    <w:t>q</w:t>
                  </w:r>
                  <w:r w:rsidRPr="00590FA9">
                    <w:rPr>
                      <w:iCs w:val="0"/>
                    </w:rPr>
                    <w:t xml:space="preserve">, allocated to each </w:t>
                  </w:r>
                  <w:r>
                    <w:rPr>
                      <w:iCs w:val="0"/>
                    </w:rPr>
                    <w:t>MRA Contracted Hour</w:t>
                  </w:r>
                  <w:r w:rsidRPr="002F485F">
                    <w:t>.</w:t>
                  </w:r>
                  <w:r w:rsidRPr="003E02B6">
                    <w:t xml:space="preserve">  Where for a Combined Cycle Train, the Resource </w:t>
                  </w:r>
                  <w:r w:rsidRPr="003E02B6">
                    <w:rPr>
                      <w:i/>
                    </w:rPr>
                    <w:t xml:space="preserve">r </w:t>
                  </w:r>
                  <w:r w:rsidRPr="003E02B6">
                    <w:t>is a Combined Cycle Train.</w:t>
                  </w:r>
                </w:p>
              </w:tc>
            </w:tr>
            <w:tr w:rsidR="0092766A" w14:paraId="0D295E4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6744B6F1"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522B3BD4"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5FA30CA7" w14:textId="77777777" w:rsidR="0092766A" w:rsidRDefault="0092766A" w:rsidP="0092766A">
                  <w:pPr>
                    <w:pStyle w:val="TableBody"/>
                  </w:pPr>
                  <w:r>
                    <w:t>A QSE.</w:t>
                  </w:r>
                </w:p>
              </w:tc>
            </w:tr>
            <w:tr w:rsidR="0092766A" w14:paraId="24F26E40"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07137E94" w14:textId="77777777" w:rsidR="0092766A" w:rsidRPr="00A24281" w:rsidRDefault="0092766A" w:rsidP="0092766A">
                  <w:pPr>
                    <w:pStyle w:val="TableBody"/>
                    <w:rPr>
                      <w:i/>
                    </w:rPr>
                  </w:pPr>
                  <w:r>
                    <w:rPr>
                      <w:i/>
                    </w:rPr>
                    <w:t>r</w:t>
                  </w:r>
                </w:p>
              </w:tc>
              <w:tc>
                <w:tcPr>
                  <w:tcW w:w="337" w:type="pct"/>
                  <w:tcBorders>
                    <w:top w:val="single" w:sz="4" w:space="0" w:color="auto"/>
                    <w:left w:val="single" w:sz="4" w:space="0" w:color="auto"/>
                    <w:bottom w:val="single" w:sz="4" w:space="0" w:color="auto"/>
                    <w:right w:val="single" w:sz="4" w:space="0" w:color="auto"/>
                  </w:tcBorders>
                </w:tcPr>
                <w:p w14:paraId="11EB95A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15D84597" w14:textId="77777777" w:rsidR="0092766A" w:rsidRDefault="0092766A" w:rsidP="0092766A">
                  <w:pPr>
                    <w:pStyle w:val="TableBody"/>
                  </w:pPr>
                  <w:r>
                    <w:t>An MRA.</w:t>
                  </w:r>
                </w:p>
              </w:tc>
            </w:tr>
          </w:tbl>
          <w:p w14:paraId="037C502A" w14:textId="77777777" w:rsidR="0092766A" w:rsidRDefault="0092766A" w:rsidP="0092766A">
            <w:pPr>
              <w:pStyle w:val="BodyTextNumbered"/>
              <w:spacing w:before="240"/>
            </w:pPr>
            <w:r>
              <w:t>(3)</w:t>
            </w:r>
            <w:r>
              <w:tab/>
              <w:t>The total contributed capital expenditure payments</w:t>
            </w:r>
            <w:r w:rsidRPr="003E02B6">
              <w:t xml:space="preserve"> </w:t>
            </w:r>
            <w:r>
              <w:t>for a given MRA Contracted Hour is calculated as follows:</w:t>
            </w:r>
          </w:p>
          <w:p w14:paraId="531C169A" w14:textId="77777777" w:rsidR="0092766A" w:rsidRDefault="0092766A" w:rsidP="0092766A">
            <w:pPr>
              <w:pStyle w:val="FormulaBold"/>
            </w:pPr>
            <w:r>
              <w:t xml:space="preserve">MRACAPEXAMTTOT  =  </w:t>
            </w:r>
            <w:r w:rsidRPr="006F784F">
              <w:rPr>
                <w:position w:val="-22"/>
              </w:rPr>
              <w:object w:dxaOrig="210" w:dyaOrig="465" w14:anchorId="7218A8D0">
                <v:shape id="_x0000_i1220" type="#_x0000_t75" style="width:6pt;height:24pt" o:ole="">
                  <v:imagedata r:id="rId187" o:title=""/>
                </v:shape>
                <o:OLEObject Type="Embed" ProgID="Equation.3" ShapeID="_x0000_i1220" DrawAspect="Content" ObjectID="_1804653704" r:id="rId271"/>
              </w:object>
            </w:r>
            <w:r w:rsidRPr="00D23972">
              <w:t xml:space="preserve"> </w:t>
            </w:r>
            <w:r>
              <w:t>MRACAPEX</w:t>
            </w:r>
            <w:r w:rsidRPr="00D85224">
              <w:t>AMT</w:t>
            </w:r>
            <w:r>
              <w:t xml:space="preserve">QSETOT </w:t>
            </w:r>
            <w:r w:rsidRPr="00590FA9">
              <w:rPr>
                <w:i/>
                <w:vertAlign w:val="subscript"/>
              </w:rPr>
              <w:t>q</w:t>
            </w:r>
            <w:r>
              <w:rPr>
                <w:i/>
                <w:vertAlign w:val="subscript"/>
              </w:rPr>
              <w:t xml:space="preserve">  </w:t>
            </w:r>
          </w:p>
          <w:p w14:paraId="779BE663" w14:textId="77777777" w:rsidR="0092766A" w:rsidRDefault="0092766A" w:rsidP="0092766A">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376DEE03" w14:textId="77777777" w:rsidTr="00CE1011">
              <w:trPr>
                <w:cantSplit/>
                <w:tblHeader/>
              </w:trPr>
              <w:tc>
                <w:tcPr>
                  <w:tcW w:w="1441" w:type="pct"/>
                </w:tcPr>
                <w:p w14:paraId="32E25901" w14:textId="77777777" w:rsidR="0092766A" w:rsidRDefault="0092766A" w:rsidP="0092766A">
                  <w:pPr>
                    <w:pStyle w:val="TableHead"/>
                  </w:pPr>
                  <w:r>
                    <w:lastRenderedPageBreak/>
                    <w:t>Variable</w:t>
                  </w:r>
                </w:p>
              </w:tc>
              <w:tc>
                <w:tcPr>
                  <w:tcW w:w="337" w:type="pct"/>
                </w:tcPr>
                <w:p w14:paraId="307D4AB7" w14:textId="77777777" w:rsidR="0092766A" w:rsidRDefault="0092766A" w:rsidP="0092766A">
                  <w:pPr>
                    <w:pStyle w:val="TableHead"/>
                  </w:pPr>
                  <w:r>
                    <w:t>Unit</w:t>
                  </w:r>
                </w:p>
              </w:tc>
              <w:tc>
                <w:tcPr>
                  <w:tcW w:w="3222" w:type="pct"/>
                </w:tcPr>
                <w:p w14:paraId="51A80FAB" w14:textId="77777777" w:rsidR="0092766A" w:rsidRDefault="0092766A" w:rsidP="0092766A">
                  <w:pPr>
                    <w:pStyle w:val="TableHead"/>
                  </w:pPr>
                  <w:r>
                    <w:t>Definition</w:t>
                  </w:r>
                </w:p>
              </w:tc>
            </w:tr>
            <w:tr w:rsidR="0092766A" w14:paraId="21F584B4" w14:textId="77777777" w:rsidTr="00CE1011">
              <w:trPr>
                <w:cantSplit/>
              </w:trPr>
              <w:tc>
                <w:tcPr>
                  <w:tcW w:w="1441" w:type="pct"/>
                </w:tcPr>
                <w:p w14:paraId="0F50A93B" w14:textId="77777777" w:rsidR="0092766A" w:rsidRDefault="0092766A" w:rsidP="0092766A">
                  <w:pPr>
                    <w:pStyle w:val="TableBody"/>
                  </w:pPr>
                  <w:r>
                    <w:t xml:space="preserve">MRACAPEXAMTTOT  </w:t>
                  </w:r>
                </w:p>
              </w:tc>
              <w:tc>
                <w:tcPr>
                  <w:tcW w:w="337" w:type="pct"/>
                </w:tcPr>
                <w:p w14:paraId="2479027E" w14:textId="77777777" w:rsidR="0092766A" w:rsidRDefault="0092766A" w:rsidP="0092766A">
                  <w:pPr>
                    <w:pStyle w:val="TableBody"/>
                  </w:pPr>
                  <w:r>
                    <w:t>$</w:t>
                  </w:r>
                </w:p>
              </w:tc>
              <w:tc>
                <w:tcPr>
                  <w:tcW w:w="3222" w:type="pct"/>
                </w:tcPr>
                <w:p w14:paraId="51616F3E" w14:textId="77777777" w:rsidR="0092766A" w:rsidRDefault="0092766A" w:rsidP="0092766A">
                  <w:pPr>
                    <w:pStyle w:val="TableBody"/>
                  </w:pPr>
                  <w:r w:rsidRPr="00E45D39">
                    <w:rPr>
                      <w:i/>
                      <w:iCs w:val="0"/>
                    </w:rPr>
                    <w:t xml:space="preserve">Must-Run </w:t>
                  </w:r>
                  <w:r>
                    <w:rPr>
                      <w:i/>
                      <w:iCs w:val="0"/>
                    </w:rPr>
                    <w:t xml:space="preserve">Alternative Contributed Capital Expenditures per hour </w:t>
                  </w:r>
                  <w:r>
                    <w:rPr>
                      <w:iCs w:val="0"/>
                    </w:rPr>
                    <w:t xml:space="preserve">– </w:t>
                  </w:r>
                  <w:r w:rsidRPr="003E02B6">
                    <w:t xml:space="preserve">The total </w:t>
                  </w:r>
                  <w:r>
                    <w:rPr>
                      <w:iCs w:val="0"/>
                    </w:rPr>
                    <w:t>contributed capital expenditures to all QSEs</w:t>
                  </w:r>
                  <w:r w:rsidRPr="00A457E1">
                    <w:rPr>
                      <w:iCs w:val="0"/>
                    </w:rPr>
                    <w:t xml:space="preserve"> </w:t>
                  </w:r>
                  <w:r>
                    <w:rPr>
                      <w:iCs w:val="0"/>
                    </w:rPr>
                    <w:t xml:space="preserve">for all </w:t>
                  </w:r>
                  <w:r>
                    <w:t>MRA</w:t>
                  </w:r>
                  <w:r w:rsidRPr="002F485F">
                    <w:t xml:space="preserve">s </w:t>
                  </w:r>
                  <w:r w:rsidRPr="00590FA9">
                    <w:t xml:space="preserve">for the </w:t>
                  </w:r>
                  <w:r>
                    <w:t>MRA Contracted H</w:t>
                  </w:r>
                  <w:r w:rsidRPr="00590FA9">
                    <w:t>our</w:t>
                  </w:r>
                  <w:r w:rsidRPr="002F485F">
                    <w:t xml:space="preserve">. </w:t>
                  </w:r>
                </w:p>
              </w:tc>
            </w:tr>
            <w:tr w:rsidR="0092766A" w14:paraId="0AB6EC4F" w14:textId="77777777" w:rsidTr="00CE1011">
              <w:trPr>
                <w:cantSplit/>
              </w:trPr>
              <w:tc>
                <w:tcPr>
                  <w:tcW w:w="1441" w:type="pct"/>
                </w:tcPr>
                <w:p w14:paraId="62F0A56F" w14:textId="77777777" w:rsidR="0092766A" w:rsidRDefault="0092766A" w:rsidP="0092766A">
                  <w:pPr>
                    <w:pStyle w:val="TableBody"/>
                  </w:pPr>
                  <w:r>
                    <w:t>MRACAPEX</w:t>
                  </w:r>
                  <w:r w:rsidRPr="00D85224">
                    <w:t>AMT</w:t>
                  </w:r>
                  <w:r>
                    <w:t xml:space="preserve">QSETOT </w:t>
                  </w:r>
                  <w:r w:rsidRPr="00590FA9">
                    <w:rPr>
                      <w:i/>
                      <w:vertAlign w:val="subscript"/>
                    </w:rPr>
                    <w:t>q</w:t>
                  </w:r>
                  <w:r>
                    <w:t xml:space="preserve"> </w:t>
                  </w:r>
                </w:p>
              </w:tc>
              <w:tc>
                <w:tcPr>
                  <w:tcW w:w="337" w:type="pct"/>
                </w:tcPr>
                <w:p w14:paraId="45078E6E" w14:textId="77777777" w:rsidR="0092766A" w:rsidRDefault="0092766A" w:rsidP="0092766A">
                  <w:pPr>
                    <w:pStyle w:val="TableBody"/>
                  </w:pPr>
                  <w:r>
                    <w:t>$</w:t>
                  </w:r>
                </w:p>
              </w:tc>
              <w:tc>
                <w:tcPr>
                  <w:tcW w:w="3222" w:type="pct"/>
                </w:tcPr>
                <w:p w14:paraId="4DEFFC82"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rPr>
                      <w:i/>
                    </w:rPr>
                    <w:t xml:space="preserve">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190E15E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26944773"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2185DBD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274EE759" w14:textId="77777777" w:rsidR="0092766A" w:rsidRDefault="0092766A" w:rsidP="0092766A">
                  <w:pPr>
                    <w:pStyle w:val="TableBody"/>
                  </w:pPr>
                  <w:r>
                    <w:t>A QSE.</w:t>
                  </w:r>
                </w:p>
              </w:tc>
            </w:tr>
          </w:tbl>
          <w:p w14:paraId="4C6C01B5" w14:textId="77777777" w:rsidR="002C6FAE" w:rsidRPr="00C3334D" w:rsidRDefault="002C6FAE" w:rsidP="00CE1011">
            <w:pPr>
              <w:spacing w:after="240"/>
              <w:ind w:left="720" w:hanging="720"/>
            </w:pPr>
          </w:p>
        </w:tc>
      </w:tr>
    </w:tbl>
    <w:p w14:paraId="67143544" w14:textId="77777777" w:rsidR="000C1EEE" w:rsidRDefault="000C1EEE" w:rsidP="000C1EE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95"/>
      </w:tblGrid>
      <w:tr w:rsidR="000C1EEE" w14:paraId="5CC3F1CB" w14:textId="77777777" w:rsidTr="00CE1011">
        <w:trPr>
          <w:trHeight w:val="206"/>
        </w:trPr>
        <w:tc>
          <w:tcPr>
            <w:tcW w:w="5000" w:type="pct"/>
            <w:shd w:val="pct12" w:color="auto" w:fill="auto"/>
          </w:tcPr>
          <w:p w14:paraId="0D4C4DCB" w14:textId="77777777" w:rsidR="000C1EEE" w:rsidRDefault="000C1EEE" w:rsidP="00CE1011">
            <w:pPr>
              <w:pStyle w:val="Instructions"/>
              <w:spacing w:before="120"/>
            </w:pPr>
            <w:r>
              <w:t>[NPRR885:  Insert Section 6.6.6.9 below upon system implementation:]</w:t>
            </w:r>
          </w:p>
          <w:p w14:paraId="4351214A" w14:textId="77777777" w:rsidR="000C1EEE" w:rsidRPr="000C1EEE" w:rsidRDefault="000C1EEE" w:rsidP="000C1EEE">
            <w:pPr>
              <w:keepNext/>
              <w:widowControl w:val="0"/>
              <w:tabs>
                <w:tab w:val="left" w:pos="1260"/>
              </w:tabs>
              <w:spacing w:before="240" w:after="240"/>
              <w:ind w:left="1267" w:hanging="1267"/>
              <w:outlineLvl w:val="3"/>
              <w:rPr>
                <w:b/>
                <w:bCs/>
                <w:snapToGrid w:val="0"/>
                <w:color w:val="000000"/>
              </w:rPr>
            </w:pPr>
            <w:bookmarkStart w:id="2399" w:name="_Toc17798756"/>
            <w:bookmarkStart w:id="2400" w:name="_Toc189044454"/>
            <w:r w:rsidRPr="000C1EEE">
              <w:rPr>
                <w:b/>
                <w:bCs/>
                <w:snapToGrid w:val="0"/>
                <w:color w:val="000000"/>
              </w:rPr>
              <w:t>6.6.6.9</w:t>
            </w:r>
            <w:r w:rsidRPr="000C1EEE">
              <w:rPr>
                <w:b/>
                <w:bCs/>
                <w:snapToGrid w:val="0"/>
                <w:color w:val="000000"/>
              </w:rPr>
              <w:tab/>
              <w:t>MRA Payment for Deployment Event</w:t>
            </w:r>
            <w:bookmarkEnd w:id="2399"/>
            <w:bookmarkEnd w:id="2400"/>
          </w:p>
          <w:p w14:paraId="1A76E4BC" w14:textId="77777777" w:rsidR="000C1EEE" w:rsidRDefault="000C1EEE" w:rsidP="000C1EEE">
            <w:pPr>
              <w:spacing w:after="240"/>
              <w:ind w:left="720" w:hanging="720"/>
              <w:rPr>
                <w:bCs/>
                <w:color w:val="000000"/>
                <w:lang w:val="pt-BR"/>
              </w:rPr>
            </w:pPr>
            <w:r>
              <w:rPr>
                <w:bCs/>
                <w:lang w:val="pt-BR"/>
              </w:rPr>
              <w:t>(1)</w:t>
            </w:r>
            <w:r w:rsidRPr="00081671">
              <w:rPr>
                <w:bCs/>
                <w:lang w:val="pt-BR"/>
              </w:rPr>
              <w:tab/>
            </w:r>
            <w:r w:rsidRPr="00081671">
              <w:rPr>
                <w:bCs/>
                <w:color w:val="000000"/>
                <w:lang w:val="pt-BR"/>
              </w:rPr>
              <w:t>The deployment event pay</w:t>
            </w:r>
            <w:r>
              <w:rPr>
                <w:bCs/>
                <w:color w:val="000000"/>
                <w:lang w:val="pt-BR"/>
              </w:rPr>
              <w:t>ment to each QSE representing a Generation Resource</w:t>
            </w:r>
            <w:r w:rsidRPr="00081671">
              <w:rPr>
                <w:bCs/>
                <w:color w:val="000000"/>
                <w:lang w:val="pt-BR"/>
              </w:rPr>
              <w:t xml:space="preserve"> </w:t>
            </w:r>
            <w:r>
              <w:rPr>
                <w:bCs/>
                <w:color w:val="000000"/>
                <w:lang w:val="pt-BR"/>
              </w:rPr>
              <w:t>MRA</w:t>
            </w:r>
            <w:r w:rsidRPr="00081671">
              <w:rPr>
                <w:bCs/>
                <w:color w:val="000000"/>
                <w:lang w:val="pt-BR"/>
              </w:rPr>
              <w:t>:</w:t>
            </w:r>
          </w:p>
          <w:p w14:paraId="5E31B365" w14:textId="77777777" w:rsidR="000C1EEE" w:rsidRPr="00081671" w:rsidRDefault="000C1EEE" w:rsidP="000C1EEE">
            <w:pPr>
              <w:tabs>
                <w:tab w:val="left" w:pos="2700"/>
                <w:tab w:val="left" w:pos="3150"/>
              </w:tabs>
              <w:spacing w:after="240"/>
              <w:ind w:left="2700" w:hanging="1890"/>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 </w:t>
            </w:r>
            <w:r w:rsidRPr="00081671">
              <w:rPr>
                <w:bCs/>
                <w:i/>
                <w:vertAlign w:val="subscript"/>
                <w:lang w:val="pt-BR"/>
              </w:rPr>
              <w:t>q, r, m</w:t>
            </w:r>
            <w:r w:rsidRPr="00081671">
              <w:rPr>
                <w:bCs/>
                <w:lang w:val="pt-BR"/>
              </w:rPr>
              <w:t>, (FIP + MRACEFA</w:t>
            </w:r>
            <w:r w:rsidRPr="00081671">
              <w:rPr>
                <w:bCs/>
                <w:i/>
                <w:vertAlign w:val="subscript"/>
                <w:lang w:val="pt-BR"/>
              </w:rPr>
              <w:t xml:space="preserve"> q, r</w:t>
            </w:r>
            <w:r w:rsidRPr="00081671">
              <w:rPr>
                <w:bCs/>
                <w:lang w:val="pt-BR"/>
              </w:rPr>
              <w:t>) * MRAPSUFQ</w:t>
            </w:r>
            <w:r>
              <w:rPr>
                <w:bCs/>
                <w:lang w:val="pt-BR"/>
              </w:rPr>
              <w:t xml:space="preserve"> </w:t>
            </w:r>
            <w:r w:rsidRPr="00081671">
              <w:rPr>
                <w:bCs/>
                <w:i/>
                <w:vertAlign w:val="subscript"/>
                <w:lang w:val="pt-BR"/>
              </w:rPr>
              <w:t>q, r</w:t>
            </w:r>
            <w:r w:rsidRPr="00081671">
              <w:rPr>
                <w:bCs/>
                <w:lang w:val="pt-BR"/>
              </w:rPr>
              <w:t>} * MRAFLAG</w:t>
            </w:r>
            <w:r>
              <w:rPr>
                <w:bCs/>
                <w:lang w:val="pt-BR"/>
              </w:rPr>
              <w:t xml:space="preserve"> </w:t>
            </w:r>
            <w:r w:rsidRPr="00081671">
              <w:rPr>
                <w:bCs/>
                <w:i/>
                <w:vertAlign w:val="subscript"/>
                <w:lang w:val="pt-BR"/>
              </w:rPr>
              <w:t>q,</w:t>
            </w:r>
            <w:r>
              <w:rPr>
                <w:bCs/>
                <w:i/>
                <w:vertAlign w:val="subscript"/>
                <w:lang w:val="pt-BR"/>
              </w:rPr>
              <w:t xml:space="preserve"> </w:t>
            </w:r>
            <w:r w:rsidRPr="00081671">
              <w:rPr>
                <w:bCs/>
                <w:i/>
                <w:vertAlign w:val="subscript"/>
                <w:lang w:val="pt-BR"/>
              </w:rPr>
              <w:t>r,</w:t>
            </w:r>
            <w:r>
              <w:rPr>
                <w:bCs/>
                <w:i/>
                <w:vertAlign w:val="subscript"/>
                <w:lang w:val="pt-BR"/>
              </w:rPr>
              <w:t xml:space="preserve"> </w:t>
            </w:r>
            <w:r w:rsidRPr="00081671">
              <w:rPr>
                <w:bCs/>
                <w:i/>
                <w:vertAlign w:val="subscript"/>
                <w:lang w:val="pt-BR"/>
              </w:rPr>
              <w:t>h</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33BC2540" w14:textId="77777777" w:rsidR="000C1EEE" w:rsidRPr="00081671" w:rsidRDefault="000C1EEE" w:rsidP="000C1EEE">
            <w:pPr>
              <w:spacing w:after="240"/>
              <w:ind w:left="720" w:hanging="720"/>
              <w:rPr>
                <w:iCs/>
              </w:rPr>
            </w:pPr>
            <w:r w:rsidRPr="00081671">
              <w:rPr>
                <w:iCs/>
              </w:rPr>
              <w:t>(2)</w:t>
            </w:r>
            <w:r>
              <w:rPr>
                <w:iCs/>
              </w:rPr>
              <w:tab/>
            </w:r>
            <w:r w:rsidRPr="00081671">
              <w:rPr>
                <w:iCs/>
              </w:rPr>
              <w:t>The deployment event paym</w:t>
            </w:r>
            <w:r>
              <w:rPr>
                <w:iCs/>
              </w:rPr>
              <w:t>ent to each QSE representing a Demand Response MRA or Other Generation MRA</w:t>
            </w:r>
            <w:r w:rsidRPr="00081671">
              <w:rPr>
                <w:iCs/>
              </w:rPr>
              <w:t>:</w:t>
            </w:r>
          </w:p>
          <w:p w14:paraId="53EDCFE1" w14:textId="77777777" w:rsidR="000C1EEE" w:rsidRDefault="000C1EEE" w:rsidP="000C1EEE">
            <w:pPr>
              <w:ind w:firstLine="720"/>
              <w:rPr>
                <w:bCs/>
                <w:lang w:val="pt-BR"/>
              </w:rPr>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w:t>
            </w:r>
            <w:r w:rsidRPr="00081671">
              <w:rPr>
                <w:bCs/>
                <w:i/>
                <w:vertAlign w:val="subscript"/>
                <w:lang w:val="pt-BR"/>
              </w:rPr>
              <w:t xml:space="preserve"> q, r</w:t>
            </w:r>
            <w:r w:rsidRPr="00081671">
              <w:rPr>
                <w:bCs/>
                <w:lang w:val="pt-BR"/>
              </w:rPr>
              <w:t>, (FIP + MRACEFA</w:t>
            </w:r>
            <w:r w:rsidRPr="00081671">
              <w:rPr>
                <w:bCs/>
                <w:i/>
                <w:vertAlign w:val="subscript"/>
                <w:lang w:val="pt-BR"/>
              </w:rPr>
              <w:t xml:space="preserve"> q, r</w:t>
            </w:r>
            <w:r w:rsidRPr="00081671">
              <w:rPr>
                <w:bCs/>
                <w:lang w:val="pt-BR"/>
              </w:rPr>
              <w:t xml:space="preserve">) * </w:t>
            </w:r>
          </w:p>
          <w:p w14:paraId="654CDD74" w14:textId="77777777" w:rsidR="000C1EEE" w:rsidRPr="00081671" w:rsidRDefault="000C1EEE" w:rsidP="000C1EEE">
            <w:pPr>
              <w:tabs>
                <w:tab w:val="left" w:pos="2700"/>
                <w:tab w:val="left" w:pos="3150"/>
              </w:tabs>
              <w:spacing w:after="240"/>
              <w:ind w:left="2700" w:hanging="1890"/>
            </w:pPr>
            <w:r>
              <w:rPr>
                <w:bCs/>
                <w:lang w:val="pt-BR"/>
              </w:rPr>
              <w:tab/>
            </w:r>
            <w:r w:rsidRPr="00081671">
              <w:rPr>
                <w:bCs/>
                <w:lang w:val="pt-BR"/>
              </w:rPr>
              <w:t>MRAPSUFQ</w:t>
            </w:r>
            <w:r>
              <w:rPr>
                <w:bCs/>
                <w:lang w:val="pt-BR"/>
              </w:rPr>
              <w:t xml:space="preserve"> </w:t>
            </w:r>
            <w:r w:rsidRPr="00081671">
              <w:rPr>
                <w:bCs/>
                <w:i/>
                <w:vertAlign w:val="subscript"/>
                <w:lang w:val="pt-BR"/>
              </w:rPr>
              <w:t>q, r</w:t>
            </w:r>
            <w:r w:rsidRPr="00081671">
              <w:rPr>
                <w:bCs/>
                <w:lang w:val="pt-BR"/>
              </w:rPr>
              <w:t>}</w:t>
            </w:r>
            <w:r>
              <w:rPr>
                <w:bCs/>
                <w:lang w:val="pt-BR"/>
              </w:rPr>
              <w:t xml:space="preserve"> </w:t>
            </w:r>
            <w:r w:rsidRPr="00081671">
              <w:rPr>
                <w:bCs/>
                <w:lang w:val="pt-BR"/>
              </w:rPr>
              <w:t>* MRAEPRF</w:t>
            </w:r>
            <w:r>
              <w:rPr>
                <w:bCs/>
                <w:lang w:val="pt-BR"/>
              </w:rPr>
              <w:t xml:space="preserve"> </w:t>
            </w:r>
            <w:r w:rsidRPr="00081671">
              <w:rPr>
                <w:bCs/>
                <w:i/>
                <w:vertAlign w:val="subscript"/>
                <w:lang w:val="pt-BR"/>
              </w:rPr>
              <w:t>q, r, m</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50D88880" w14:textId="77777777" w:rsidR="000C1EEE" w:rsidRPr="00081671" w:rsidRDefault="000C1EEE" w:rsidP="000C1EEE">
            <w:r w:rsidRPr="00081671">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90"/>
            </w:tblGrid>
            <w:tr w:rsidR="00DB3017" w:rsidRPr="00081671" w14:paraId="1B0166F6" w14:textId="77777777" w:rsidTr="00CE1011">
              <w:trPr>
                <w:cantSplit/>
                <w:tblHeader/>
              </w:trPr>
              <w:tc>
                <w:tcPr>
                  <w:tcW w:w="1885" w:type="dxa"/>
                </w:tcPr>
                <w:p w14:paraId="1DF97CC8" w14:textId="77777777" w:rsidR="00DB3017" w:rsidRPr="00081671" w:rsidRDefault="00DB3017" w:rsidP="00DB3017">
                  <w:pPr>
                    <w:spacing w:after="120"/>
                    <w:rPr>
                      <w:b/>
                      <w:iCs/>
                      <w:sz w:val="20"/>
                    </w:rPr>
                  </w:pPr>
                  <w:r w:rsidRPr="00081671">
                    <w:rPr>
                      <w:b/>
                      <w:iCs/>
                      <w:sz w:val="20"/>
                    </w:rPr>
                    <w:t>Variable</w:t>
                  </w:r>
                </w:p>
              </w:tc>
              <w:tc>
                <w:tcPr>
                  <w:tcW w:w="1080" w:type="dxa"/>
                </w:tcPr>
                <w:p w14:paraId="0734B5D0" w14:textId="77777777" w:rsidR="00DB3017" w:rsidRPr="00081671" w:rsidRDefault="00DB3017" w:rsidP="00DB3017">
                  <w:pPr>
                    <w:spacing w:after="120"/>
                    <w:rPr>
                      <w:b/>
                      <w:iCs/>
                      <w:sz w:val="20"/>
                    </w:rPr>
                  </w:pPr>
                  <w:r w:rsidRPr="00081671">
                    <w:rPr>
                      <w:b/>
                      <w:iCs/>
                      <w:sz w:val="20"/>
                    </w:rPr>
                    <w:t>Unit</w:t>
                  </w:r>
                </w:p>
              </w:tc>
              <w:tc>
                <w:tcPr>
                  <w:tcW w:w="6390" w:type="dxa"/>
                </w:tcPr>
                <w:p w14:paraId="0C2FA609" w14:textId="77777777" w:rsidR="00DB3017" w:rsidRPr="00081671" w:rsidRDefault="00DB3017" w:rsidP="00DB3017">
                  <w:pPr>
                    <w:spacing w:after="120"/>
                    <w:rPr>
                      <w:b/>
                      <w:iCs/>
                      <w:sz w:val="20"/>
                    </w:rPr>
                  </w:pPr>
                  <w:r w:rsidRPr="00081671">
                    <w:rPr>
                      <w:b/>
                      <w:iCs/>
                      <w:sz w:val="20"/>
                    </w:rPr>
                    <w:t>Definition</w:t>
                  </w:r>
                </w:p>
              </w:tc>
            </w:tr>
            <w:tr w:rsidR="00DB3017" w:rsidRPr="00081671" w14:paraId="0FBB5EC8" w14:textId="77777777" w:rsidTr="00CE1011">
              <w:trPr>
                <w:cantSplit/>
              </w:trPr>
              <w:tc>
                <w:tcPr>
                  <w:tcW w:w="1885" w:type="dxa"/>
                </w:tcPr>
                <w:p w14:paraId="1FD7ADFB" w14:textId="77777777" w:rsidR="00DB3017" w:rsidRPr="00081671" w:rsidRDefault="00DB3017" w:rsidP="00DB3017">
                  <w:pPr>
                    <w:spacing w:after="60"/>
                    <w:rPr>
                      <w:iCs/>
                      <w:sz w:val="20"/>
                    </w:rPr>
                  </w:pPr>
                  <w:r w:rsidRPr="00081671">
                    <w:rPr>
                      <w:iCs/>
                      <w:sz w:val="20"/>
                    </w:rPr>
                    <w:t xml:space="preserve">MRADEAMT </w:t>
                  </w:r>
                  <w:r w:rsidRPr="00081671">
                    <w:rPr>
                      <w:i/>
                      <w:iCs/>
                      <w:sz w:val="20"/>
                      <w:vertAlign w:val="subscript"/>
                    </w:rPr>
                    <w:t>q, r, h</w:t>
                  </w:r>
                </w:p>
              </w:tc>
              <w:tc>
                <w:tcPr>
                  <w:tcW w:w="1080" w:type="dxa"/>
                </w:tcPr>
                <w:p w14:paraId="303A3C05" w14:textId="77777777" w:rsidR="00DB3017" w:rsidRPr="00081671" w:rsidRDefault="00DB3017" w:rsidP="00DB3017">
                  <w:pPr>
                    <w:spacing w:after="60"/>
                    <w:rPr>
                      <w:iCs/>
                      <w:sz w:val="20"/>
                    </w:rPr>
                  </w:pPr>
                  <w:r w:rsidRPr="00081671">
                    <w:rPr>
                      <w:iCs/>
                      <w:sz w:val="20"/>
                    </w:rPr>
                    <w:t>$</w:t>
                  </w:r>
                </w:p>
              </w:tc>
              <w:tc>
                <w:tcPr>
                  <w:tcW w:w="6390" w:type="dxa"/>
                </w:tcPr>
                <w:p w14:paraId="451D4A62" w14:textId="77777777" w:rsidR="00DB3017" w:rsidRPr="00081671" w:rsidRDefault="00DB3017" w:rsidP="00DB3017">
                  <w:pPr>
                    <w:spacing w:after="60"/>
                    <w:rPr>
                      <w:i/>
                      <w:iCs/>
                      <w:sz w:val="20"/>
                    </w:rPr>
                  </w:pPr>
                  <w:r w:rsidRPr="00081671">
                    <w:rPr>
                      <w:i/>
                      <w:iCs/>
                      <w:sz w:val="20"/>
                    </w:rPr>
                    <w:t>Must-Run Alternative Deployment Event Amount per QSE per Resource by hour</w:t>
                  </w:r>
                  <w:r w:rsidRPr="00081671">
                    <w:rPr>
                      <w:iCs/>
                      <w:sz w:val="20"/>
                    </w:rPr>
                    <w:t xml:space="preserve">—The deployment event payment to QSE </w:t>
                  </w:r>
                  <w:r w:rsidRPr="008B6C1D">
                    <w:rPr>
                      <w:i/>
                      <w:iCs/>
                      <w:sz w:val="20"/>
                    </w:rPr>
                    <w:t>q</w:t>
                  </w:r>
                  <w:r w:rsidRPr="00081671">
                    <w:rPr>
                      <w:iCs/>
                      <w:sz w:val="20"/>
                    </w:rPr>
                    <w:t xml:space="preserve"> for </w:t>
                  </w:r>
                  <w:r>
                    <w:rPr>
                      <w:iCs/>
                      <w:sz w:val="20"/>
                    </w:rPr>
                    <w:t>MRA</w:t>
                  </w:r>
                  <w:r w:rsidRPr="00081671">
                    <w:rPr>
                      <w:iCs/>
                      <w:sz w:val="20"/>
                    </w:rPr>
                    <w:t xml:space="preserve"> </w:t>
                  </w:r>
                  <w:r w:rsidRPr="008B6C1D">
                    <w:rPr>
                      <w:i/>
                      <w:iCs/>
                      <w:sz w:val="20"/>
                    </w:rPr>
                    <w:t>r</w:t>
                  </w:r>
                  <w:r w:rsidRPr="00081671">
                    <w:rPr>
                      <w:iCs/>
                      <w:sz w:val="20"/>
                    </w:rPr>
                    <w:t xml:space="preserve">, for the </w:t>
                  </w:r>
                  <w:r>
                    <w:rPr>
                      <w:iCs/>
                      <w:sz w:val="20"/>
                    </w:rPr>
                    <w:t>MRA Contracted H</w:t>
                  </w:r>
                  <w:r w:rsidRPr="00081671">
                    <w:rPr>
                      <w:iCs/>
                      <w:sz w:val="20"/>
                    </w:rPr>
                    <w:t>our</w:t>
                  </w:r>
                  <w:r>
                    <w:rPr>
                      <w:iCs/>
                      <w:sz w:val="20"/>
                    </w:rPr>
                    <w:t xml:space="preserve"> </w:t>
                  </w:r>
                  <w:r w:rsidRPr="008B6C1D">
                    <w:rPr>
                      <w:i/>
                      <w:iCs/>
                      <w:sz w:val="20"/>
                    </w:rPr>
                    <w:t>h</w:t>
                  </w:r>
                  <w:r w:rsidRPr="00081671">
                    <w:rPr>
                      <w:iCs/>
                      <w:sz w:val="20"/>
                    </w:rPr>
                    <w:t>.  Where for a Combined Cycle Train, the Resource r is the Combined Cycle Train.</w:t>
                  </w:r>
                </w:p>
              </w:tc>
            </w:tr>
            <w:tr w:rsidR="00DB3017" w:rsidRPr="00081671" w14:paraId="3F034F98" w14:textId="77777777" w:rsidTr="00CE1011">
              <w:trPr>
                <w:cantSplit/>
              </w:trPr>
              <w:tc>
                <w:tcPr>
                  <w:tcW w:w="1885" w:type="dxa"/>
                </w:tcPr>
                <w:p w14:paraId="222FD595" w14:textId="77777777" w:rsidR="00DB3017" w:rsidRPr="00081671" w:rsidRDefault="00DB3017" w:rsidP="00DB3017">
                  <w:pPr>
                    <w:spacing w:after="60"/>
                    <w:rPr>
                      <w:iCs/>
                      <w:sz w:val="20"/>
                    </w:rPr>
                  </w:pPr>
                  <w:r w:rsidRPr="00081671">
                    <w:rPr>
                      <w:iCs/>
                      <w:sz w:val="20"/>
                    </w:rPr>
                    <w:t>FIP</w:t>
                  </w:r>
                </w:p>
              </w:tc>
              <w:tc>
                <w:tcPr>
                  <w:tcW w:w="1080" w:type="dxa"/>
                </w:tcPr>
                <w:p w14:paraId="20216E14" w14:textId="77777777" w:rsidR="00DB3017" w:rsidRPr="00081671" w:rsidRDefault="00DB3017" w:rsidP="00DB3017">
                  <w:pPr>
                    <w:spacing w:after="60"/>
                    <w:rPr>
                      <w:iCs/>
                      <w:sz w:val="20"/>
                    </w:rPr>
                  </w:pPr>
                  <w:r w:rsidRPr="00081671">
                    <w:rPr>
                      <w:iCs/>
                      <w:sz w:val="20"/>
                    </w:rPr>
                    <w:t>$/MMBtu</w:t>
                  </w:r>
                </w:p>
              </w:tc>
              <w:tc>
                <w:tcPr>
                  <w:tcW w:w="6390" w:type="dxa"/>
                </w:tcPr>
                <w:p w14:paraId="3D88AA8A" w14:textId="77777777" w:rsidR="00DB3017" w:rsidRPr="00081671" w:rsidRDefault="00DB3017" w:rsidP="00DB3017">
                  <w:pPr>
                    <w:spacing w:after="60"/>
                    <w:rPr>
                      <w:iCs/>
                      <w:sz w:val="20"/>
                    </w:rPr>
                  </w:pPr>
                  <w:r w:rsidRPr="00081671">
                    <w:rPr>
                      <w:i/>
                      <w:iCs/>
                      <w:sz w:val="20"/>
                    </w:rPr>
                    <w:t>Fuel Index Price</w:t>
                  </w:r>
                  <w:r w:rsidRPr="00081671">
                    <w:rPr>
                      <w:iCs/>
                      <w:sz w:val="20"/>
                    </w:rPr>
                    <w:t>—The FIP for the Operating Day.</w:t>
                  </w:r>
                </w:p>
              </w:tc>
            </w:tr>
            <w:tr w:rsidR="00DB3017" w:rsidRPr="00081671" w14:paraId="6985FAA8" w14:textId="77777777" w:rsidTr="00CE1011">
              <w:trPr>
                <w:cantSplit/>
              </w:trPr>
              <w:tc>
                <w:tcPr>
                  <w:tcW w:w="1885" w:type="dxa"/>
                </w:tcPr>
                <w:p w14:paraId="7D113D6D" w14:textId="77777777" w:rsidR="00DB3017" w:rsidRPr="00081671" w:rsidRDefault="00DB3017" w:rsidP="00DB3017">
                  <w:pPr>
                    <w:spacing w:after="60"/>
                    <w:rPr>
                      <w:iCs/>
                      <w:sz w:val="20"/>
                    </w:rPr>
                  </w:pPr>
                  <w:r w:rsidRPr="00081671">
                    <w:rPr>
                      <w:bCs/>
                      <w:sz w:val="20"/>
                      <w:lang w:val="pt-BR"/>
                    </w:rPr>
                    <w:t>EDPRICE</w:t>
                  </w:r>
                  <w:r w:rsidRPr="00081671">
                    <w:rPr>
                      <w:i/>
                      <w:iCs/>
                      <w:sz w:val="20"/>
                      <w:vertAlign w:val="subscript"/>
                    </w:rPr>
                    <w:t xml:space="preserve"> q, r</w:t>
                  </w:r>
                </w:p>
              </w:tc>
              <w:tc>
                <w:tcPr>
                  <w:tcW w:w="1080" w:type="dxa"/>
                </w:tcPr>
                <w:p w14:paraId="196E7C2E" w14:textId="77777777" w:rsidR="00DB3017" w:rsidRPr="00081671" w:rsidRDefault="00DB3017" w:rsidP="00DB3017">
                  <w:pPr>
                    <w:spacing w:after="60"/>
                    <w:rPr>
                      <w:iCs/>
                      <w:sz w:val="20"/>
                    </w:rPr>
                  </w:pPr>
                  <w:r w:rsidRPr="00081671">
                    <w:rPr>
                      <w:iCs/>
                      <w:sz w:val="20"/>
                    </w:rPr>
                    <w:t>$</w:t>
                  </w:r>
                </w:p>
              </w:tc>
              <w:tc>
                <w:tcPr>
                  <w:tcW w:w="6390" w:type="dxa"/>
                </w:tcPr>
                <w:p w14:paraId="3E9EB4AC" w14:textId="77777777" w:rsidR="00DB3017" w:rsidRPr="00081671" w:rsidRDefault="00DB3017" w:rsidP="00DB3017">
                  <w:pPr>
                    <w:spacing w:after="60"/>
                    <w:rPr>
                      <w:i/>
                      <w:iCs/>
                      <w:sz w:val="20"/>
                    </w:rPr>
                  </w:pPr>
                  <w:r w:rsidRPr="00081671">
                    <w:rPr>
                      <w:i/>
                      <w:iCs/>
                      <w:sz w:val="20"/>
                    </w:rPr>
                    <w:t>Event Deployment Price per QSE per Resource</w:t>
                  </w:r>
                  <w:r w:rsidRPr="00081671">
                    <w:rPr>
                      <w:iCs/>
                      <w:sz w:val="20"/>
                    </w:rPr>
                    <w:t xml:space="preserve">—The event deployment price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w:t>
                  </w:r>
                  <w:r w:rsidRPr="00081671">
                    <w:rPr>
                      <w:sz w:val="20"/>
                    </w:rPr>
                    <w:t>as specified in the MRA Agreement</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574EB4DC" w14:textId="77777777" w:rsidTr="00CE1011">
              <w:trPr>
                <w:cantSplit/>
              </w:trPr>
              <w:tc>
                <w:tcPr>
                  <w:tcW w:w="1885" w:type="dxa"/>
                </w:tcPr>
                <w:p w14:paraId="53EDE682" w14:textId="77777777" w:rsidR="00DB3017" w:rsidRPr="00081671" w:rsidRDefault="00DB3017" w:rsidP="00DB3017">
                  <w:pPr>
                    <w:spacing w:after="60"/>
                    <w:rPr>
                      <w:bCs/>
                      <w:sz w:val="20"/>
                      <w:lang w:val="pt-BR"/>
                    </w:rPr>
                  </w:pPr>
                  <w:r w:rsidRPr="00081671">
                    <w:rPr>
                      <w:sz w:val="20"/>
                    </w:rPr>
                    <w:t>MRAEPRF</w:t>
                  </w:r>
                  <w:r w:rsidRPr="00081671">
                    <w:rPr>
                      <w:i/>
                      <w:sz w:val="20"/>
                      <w:vertAlign w:val="subscript"/>
                    </w:rPr>
                    <w:t xml:space="preserve"> q, r, m</w:t>
                  </w:r>
                </w:p>
              </w:tc>
              <w:tc>
                <w:tcPr>
                  <w:tcW w:w="1080" w:type="dxa"/>
                </w:tcPr>
                <w:p w14:paraId="68B0DD25" w14:textId="77777777" w:rsidR="00DB3017" w:rsidRPr="00081671" w:rsidRDefault="00DB3017" w:rsidP="00DB3017">
                  <w:pPr>
                    <w:spacing w:after="60"/>
                    <w:rPr>
                      <w:iCs/>
                      <w:sz w:val="20"/>
                    </w:rPr>
                  </w:pPr>
                  <w:r w:rsidRPr="00081671">
                    <w:rPr>
                      <w:iCs/>
                      <w:sz w:val="20"/>
                    </w:rPr>
                    <w:t>None</w:t>
                  </w:r>
                </w:p>
              </w:tc>
              <w:tc>
                <w:tcPr>
                  <w:tcW w:w="6390" w:type="dxa"/>
                </w:tcPr>
                <w:p w14:paraId="6420BF10" w14:textId="77777777" w:rsidR="00DB3017" w:rsidRPr="00081671" w:rsidRDefault="00DB3017" w:rsidP="00DB3017">
                  <w:pPr>
                    <w:spacing w:after="60"/>
                    <w:rPr>
                      <w:i/>
                      <w:iCs/>
                      <w:sz w:val="20"/>
                      <w:highlight w:val="yellow"/>
                    </w:rPr>
                  </w:pPr>
                  <w:r w:rsidRPr="00081671">
                    <w:rPr>
                      <w:i/>
                      <w:iCs/>
                      <w:sz w:val="20"/>
                    </w:rPr>
                    <w:t xml:space="preserve">Must-Run Alternative Event Performance Reduction </w:t>
                  </w:r>
                  <w:r w:rsidRPr="00081671">
                    <w:rPr>
                      <w:i/>
                      <w:sz w:val="20"/>
                    </w:rPr>
                    <w:t xml:space="preserve">Factor per QSE per Resource  </w:t>
                  </w:r>
                  <w:r w:rsidRPr="00081671">
                    <w:rPr>
                      <w:sz w:val="20"/>
                    </w:rPr>
                    <w:t xml:space="preserve">—The event performance reduction factor of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sz w:val="20"/>
                    </w:rPr>
                    <w:t xml:space="preserve">, for each hour of the month </w:t>
                  </w:r>
                  <w:r w:rsidRPr="008B6C1D">
                    <w:rPr>
                      <w:i/>
                      <w:sz w:val="20"/>
                    </w:rPr>
                    <w:t>m</w:t>
                  </w:r>
                  <w:r w:rsidRPr="00081671">
                    <w:rPr>
                      <w:sz w:val="20"/>
                    </w:rPr>
                    <w:t xml:space="preserve">, as calculated per </w:t>
                  </w:r>
                  <w:r>
                    <w:rPr>
                      <w:sz w:val="20"/>
                    </w:rPr>
                    <w:t>S</w:t>
                  </w:r>
                  <w:r w:rsidRPr="00081671">
                    <w:rPr>
                      <w:sz w:val="20"/>
                    </w:rPr>
                    <w:t>ection 3.14.</w:t>
                  </w:r>
                  <w:r>
                    <w:rPr>
                      <w:sz w:val="20"/>
                    </w:rPr>
                    <w:t>4.6.5,</w:t>
                  </w:r>
                  <w:r w:rsidRPr="00081671">
                    <w:rPr>
                      <w:sz w:val="20"/>
                    </w:rPr>
                    <w:t xml:space="preserve"> </w:t>
                  </w:r>
                  <w:r>
                    <w:rPr>
                      <w:sz w:val="20"/>
                    </w:rPr>
                    <w:t xml:space="preserve">MRA </w:t>
                  </w:r>
                  <w:r w:rsidRPr="00081671">
                    <w:rPr>
                      <w:sz w:val="20"/>
                    </w:rPr>
                    <w:t xml:space="preserve">Event Performance Measurement and Verification. </w:t>
                  </w:r>
                  <w:r>
                    <w:rPr>
                      <w:sz w:val="20"/>
                    </w:rPr>
                    <w:t xml:space="preserve"> </w:t>
                  </w:r>
                  <w:r w:rsidRPr="00081671">
                    <w:rPr>
                      <w:sz w:val="20"/>
                    </w:rPr>
                    <w:t xml:space="preserve">If the MRAEPRF for the month is not available then the most recent MRAEPRF prior to </w:t>
                  </w:r>
                  <w:r>
                    <w:rPr>
                      <w:sz w:val="20"/>
                    </w:rPr>
                    <w:t xml:space="preserve">the </w:t>
                  </w:r>
                  <w:r w:rsidRPr="00081671">
                    <w:rPr>
                      <w:sz w:val="20"/>
                    </w:rPr>
                    <w:t xml:space="preserve">month of the Operating Day shall be used. </w:t>
                  </w:r>
                  <w:r>
                    <w:rPr>
                      <w:sz w:val="20"/>
                    </w:rPr>
                    <w:t xml:space="preserve"> </w:t>
                  </w:r>
                  <w:r w:rsidRPr="00081671">
                    <w:rPr>
                      <w:sz w:val="20"/>
                    </w:rPr>
                    <w:t xml:space="preserve">If no previous MRAEPRF is available then MRAEPRF shall be set to 1.  Where for a Combined Cycle Train, the Resource </w:t>
                  </w:r>
                  <w:r w:rsidRPr="00081671">
                    <w:rPr>
                      <w:i/>
                      <w:sz w:val="20"/>
                    </w:rPr>
                    <w:t xml:space="preserve">r </w:t>
                  </w:r>
                  <w:r w:rsidRPr="00081671">
                    <w:rPr>
                      <w:sz w:val="20"/>
                    </w:rPr>
                    <w:t>is the Combined Cycle Train.</w:t>
                  </w:r>
                </w:p>
              </w:tc>
            </w:tr>
            <w:tr w:rsidR="00DB3017" w:rsidRPr="00081671" w14:paraId="2604C42B" w14:textId="77777777" w:rsidTr="00CE1011">
              <w:trPr>
                <w:cantSplit/>
              </w:trPr>
              <w:tc>
                <w:tcPr>
                  <w:tcW w:w="1885" w:type="dxa"/>
                </w:tcPr>
                <w:p w14:paraId="017D32EB" w14:textId="77777777" w:rsidR="00DB3017" w:rsidRPr="00081671" w:rsidRDefault="00DB3017" w:rsidP="00DB3017">
                  <w:pPr>
                    <w:spacing w:after="60"/>
                    <w:rPr>
                      <w:iCs/>
                      <w:sz w:val="20"/>
                    </w:rPr>
                  </w:pPr>
                  <w:r w:rsidRPr="00081671">
                    <w:rPr>
                      <w:iCs/>
                      <w:sz w:val="20"/>
                    </w:rPr>
                    <w:t xml:space="preserve">MRAPSUFQ </w:t>
                  </w:r>
                  <w:r w:rsidRPr="00081671">
                    <w:rPr>
                      <w:i/>
                      <w:iCs/>
                      <w:sz w:val="20"/>
                      <w:vertAlign w:val="subscript"/>
                    </w:rPr>
                    <w:t>q, r</w:t>
                  </w:r>
                </w:p>
              </w:tc>
              <w:tc>
                <w:tcPr>
                  <w:tcW w:w="1080" w:type="dxa"/>
                </w:tcPr>
                <w:p w14:paraId="3B17106D" w14:textId="77777777" w:rsidR="00DB3017" w:rsidRPr="00081671" w:rsidRDefault="00DB3017" w:rsidP="00DB3017">
                  <w:pPr>
                    <w:spacing w:after="60"/>
                    <w:rPr>
                      <w:iCs/>
                      <w:sz w:val="20"/>
                    </w:rPr>
                  </w:pPr>
                  <w:r w:rsidRPr="00081671">
                    <w:rPr>
                      <w:iCs/>
                      <w:sz w:val="20"/>
                    </w:rPr>
                    <w:t>MMBtu</w:t>
                  </w:r>
                </w:p>
              </w:tc>
              <w:tc>
                <w:tcPr>
                  <w:tcW w:w="6390" w:type="dxa"/>
                </w:tcPr>
                <w:p w14:paraId="7EDE0222" w14:textId="77777777" w:rsidR="00DB3017" w:rsidRPr="00081671" w:rsidRDefault="00DB3017" w:rsidP="00DB3017">
                  <w:pPr>
                    <w:spacing w:after="60"/>
                    <w:rPr>
                      <w:iCs/>
                      <w:sz w:val="20"/>
                    </w:rPr>
                  </w:pPr>
                  <w:r w:rsidRPr="00081671">
                    <w:rPr>
                      <w:i/>
                      <w:iCs/>
                      <w:sz w:val="20"/>
                    </w:rPr>
                    <w:t>Must-Run Alternative Proxy Startup Fuel Quantity per QSE per Resource</w:t>
                  </w:r>
                  <w:r w:rsidRPr="00081671">
                    <w:rPr>
                      <w:iCs/>
                      <w:sz w:val="20"/>
                    </w:rPr>
                    <w:sym w:font="Symbol" w:char="F0BE"/>
                  </w:r>
                  <w:r w:rsidRPr="00081671">
                    <w:rPr>
                      <w:iCs/>
                      <w:sz w:val="20"/>
                    </w:rPr>
                    <w:t xml:space="preserve">The proxy start up fuel </w:t>
                  </w:r>
                  <w:r>
                    <w:rPr>
                      <w:iCs/>
                      <w:sz w:val="20"/>
                    </w:rPr>
                    <w:t xml:space="preserve">quantity </w:t>
                  </w:r>
                  <w:r w:rsidRPr="00081671">
                    <w:rPr>
                      <w:iCs/>
                      <w:sz w:val="20"/>
                    </w:rPr>
                    <w:t xml:space="preserve">specified in the MRA Agreement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0E661FFD" w14:textId="77777777" w:rsidTr="00CE1011">
              <w:trPr>
                <w:cantSplit/>
              </w:trPr>
              <w:tc>
                <w:tcPr>
                  <w:tcW w:w="1885" w:type="dxa"/>
                </w:tcPr>
                <w:p w14:paraId="1FE67C2A" w14:textId="77777777" w:rsidR="00DB3017" w:rsidRPr="00081671" w:rsidRDefault="00DB3017" w:rsidP="00DB3017">
                  <w:pPr>
                    <w:spacing w:after="60"/>
                    <w:rPr>
                      <w:iCs/>
                      <w:sz w:val="20"/>
                    </w:rPr>
                  </w:pPr>
                  <w:r w:rsidRPr="00081671">
                    <w:rPr>
                      <w:iCs/>
                      <w:sz w:val="20"/>
                    </w:rPr>
                    <w:lastRenderedPageBreak/>
                    <w:t>MRAH</w:t>
                  </w:r>
                  <w:r w:rsidRPr="00081671">
                    <w:rPr>
                      <w:i/>
                      <w:sz w:val="20"/>
                      <w:vertAlign w:val="subscript"/>
                    </w:rPr>
                    <w:t xml:space="preserve"> </w:t>
                  </w:r>
                  <w:r w:rsidRPr="00081671">
                    <w:rPr>
                      <w:i/>
                      <w:iCs/>
                      <w:sz w:val="20"/>
                      <w:vertAlign w:val="subscript"/>
                    </w:rPr>
                    <w:t>q, r</w:t>
                  </w:r>
                </w:p>
              </w:tc>
              <w:tc>
                <w:tcPr>
                  <w:tcW w:w="1080" w:type="dxa"/>
                </w:tcPr>
                <w:p w14:paraId="6836293A" w14:textId="77777777" w:rsidR="00DB3017" w:rsidRPr="00081671" w:rsidRDefault="00DB3017" w:rsidP="00DB3017">
                  <w:pPr>
                    <w:spacing w:after="60"/>
                    <w:rPr>
                      <w:iCs/>
                      <w:sz w:val="20"/>
                    </w:rPr>
                  </w:pPr>
                  <w:r w:rsidRPr="00081671">
                    <w:rPr>
                      <w:sz w:val="20"/>
                    </w:rPr>
                    <w:t>Hour</w:t>
                  </w:r>
                </w:p>
              </w:tc>
              <w:tc>
                <w:tcPr>
                  <w:tcW w:w="6390" w:type="dxa"/>
                </w:tcPr>
                <w:p w14:paraId="00D88B56" w14:textId="77777777" w:rsidR="00DB3017" w:rsidRPr="00081671" w:rsidRDefault="00DB3017" w:rsidP="00DB3017">
                  <w:pPr>
                    <w:spacing w:after="60"/>
                    <w:rPr>
                      <w:i/>
                      <w:sz w:val="20"/>
                    </w:rPr>
                  </w:pPr>
                  <w:r w:rsidRPr="00081671">
                    <w:rPr>
                      <w:i/>
                      <w:iCs/>
                      <w:sz w:val="20"/>
                    </w:rPr>
                    <w:t>Must-Run Alternative Hours</w:t>
                  </w:r>
                  <w:r w:rsidRPr="00081671">
                    <w:rPr>
                      <w:iCs/>
                      <w:sz w:val="20"/>
                    </w:rPr>
                    <w:t xml:space="preserve">—The number of hours during which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received a deployment instruction for each deployment event for the Operating Day.  Where for a Combined Cycle Train, the Resource </w:t>
                  </w:r>
                  <w:r w:rsidRPr="00081671">
                    <w:rPr>
                      <w:i/>
                      <w:iCs/>
                      <w:sz w:val="20"/>
                    </w:rPr>
                    <w:t xml:space="preserve">r </w:t>
                  </w:r>
                  <w:r w:rsidRPr="00081671">
                    <w:rPr>
                      <w:iCs/>
                      <w:sz w:val="20"/>
                    </w:rPr>
                    <w:t>is the Combined Cycle Train.</w:t>
                  </w:r>
                </w:p>
              </w:tc>
            </w:tr>
            <w:tr w:rsidR="00DB3017" w:rsidRPr="00081671" w14:paraId="72B6419E" w14:textId="77777777" w:rsidTr="00CE1011">
              <w:trPr>
                <w:cantSplit/>
              </w:trPr>
              <w:tc>
                <w:tcPr>
                  <w:tcW w:w="1885" w:type="dxa"/>
                </w:tcPr>
                <w:p w14:paraId="7EE5D3CC" w14:textId="77777777" w:rsidR="00DB3017" w:rsidRPr="00081671" w:rsidRDefault="00DB3017" w:rsidP="00DB3017">
                  <w:pPr>
                    <w:spacing w:after="60"/>
                    <w:rPr>
                      <w:iCs/>
                      <w:sz w:val="20"/>
                    </w:rPr>
                  </w:pPr>
                  <w:r w:rsidRPr="00081671">
                    <w:rPr>
                      <w:iCs/>
                      <w:sz w:val="20"/>
                    </w:rPr>
                    <w:t>MRAFLAG</w:t>
                  </w:r>
                  <w:r w:rsidRPr="005A6FD5">
                    <w:rPr>
                      <w:iCs/>
                      <w:sz w:val="20"/>
                    </w:rPr>
                    <w:t xml:space="preserve"> </w:t>
                  </w:r>
                  <w:r w:rsidRPr="00081671">
                    <w:rPr>
                      <w:i/>
                      <w:iCs/>
                      <w:sz w:val="20"/>
                      <w:vertAlign w:val="subscript"/>
                    </w:rPr>
                    <w:t>q,</w:t>
                  </w:r>
                  <w:r w:rsidRPr="005A6FD5">
                    <w:rPr>
                      <w:i/>
                      <w:iCs/>
                      <w:sz w:val="20"/>
                      <w:vertAlign w:val="subscript"/>
                    </w:rPr>
                    <w:t xml:space="preserve"> </w:t>
                  </w:r>
                  <w:r w:rsidRPr="00081671">
                    <w:rPr>
                      <w:i/>
                      <w:iCs/>
                      <w:sz w:val="20"/>
                      <w:vertAlign w:val="subscript"/>
                    </w:rPr>
                    <w:t>r,</w:t>
                  </w:r>
                  <w:r w:rsidRPr="005A6FD5">
                    <w:rPr>
                      <w:i/>
                      <w:iCs/>
                      <w:sz w:val="20"/>
                      <w:vertAlign w:val="subscript"/>
                    </w:rPr>
                    <w:t xml:space="preserve"> </w:t>
                  </w:r>
                  <w:r w:rsidRPr="00081671">
                    <w:rPr>
                      <w:i/>
                      <w:iCs/>
                      <w:sz w:val="20"/>
                      <w:vertAlign w:val="subscript"/>
                    </w:rPr>
                    <w:t>h</w:t>
                  </w:r>
                </w:p>
              </w:tc>
              <w:tc>
                <w:tcPr>
                  <w:tcW w:w="1080" w:type="dxa"/>
                </w:tcPr>
                <w:p w14:paraId="51FB28DD" w14:textId="77777777" w:rsidR="00DB3017" w:rsidRPr="00081671" w:rsidRDefault="00DB3017" w:rsidP="00DB3017">
                  <w:pPr>
                    <w:spacing w:after="60"/>
                    <w:rPr>
                      <w:sz w:val="20"/>
                    </w:rPr>
                  </w:pPr>
                  <w:r w:rsidRPr="00081671">
                    <w:rPr>
                      <w:sz w:val="20"/>
                    </w:rPr>
                    <w:t>none</w:t>
                  </w:r>
                </w:p>
              </w:tc>
              <w:tc>
                <w:tcPr>
                  <w:tcW w:w="6390" w:type="dxa"/>
                </w:tcPr>
                <w:p w14:paraId="2B5B9029" w14:textId="77777777" w:rsidR="00DB3017" w:rsidRPr="00081671" w:rsidRDefault="00DB3017" w:rsidP="00DB3017">
                  <w:pPr>
                    <w:spacing w:after="60"/>
                    <w:rPr>
                      <w:iCs/>
                      <w:sz w:val="20"/>
                    </w:rPr>
                  </w:pPr>
                  <w:r w:rsidRPr="00081671">
                    <w:rPr>
                      <w:i/>
                      <w:iCs/>
                      <w:sz w:val="20"/>
                    </w:rPr>
                    <w:t xml:space="preserve">Must-Run Alternative Flag – </w:t>
                  </w:r>
                  <w:r w:rsidRPr="00081671">
                    <w:rPr>
                      <w:iCs/>
                      <w:sz w:val="20"/>
                    </w:rPr>
                    <w:t xml:space="preserve">An indicator to signify that an </w:t>
                  </w:r>
                  <w:r>
                    <w:rPr>
                      <w:iCs/>
                      <w:sz w:val="20"/>
                    </w:rPr>
                    <w:t>MRA</w:t>
                  </w:r>
                  <w:r w:rsidRPr="00081671">
                    <w:rPr>
                      <w:iCs/>
                      <w:sz w:val="20"/>
                    </w:rPr>
                    <w:t xml:space="preserve"> </w:t>
                  </w:r>
                  <w:r w:rsidRPr="00081671">
                    <w:rPr>
                      <w:i/>
                      <w:iCs/>
                      <w:sz w:val="20"/>
                    </w:rPr>
                    <w:t xml:space="preserve">r </w:t>
                  </w:r>
                  <w:r w:rsidRPr="00081671">
                    <w:rPr>
                      <w:iCs/>
                      <w:sz w:val="20"/>
                    </w:rPr>
                    <w:t xml:space="preserve">represented by QSE </w:t>
                  </w:r>
                  <w:r w:rsidRPr="00081671">
                    <w:rPr>
                      <w:i/>
                      <w:iCs/>
                      <w:sz w:val="20"/>
                    </w:rPr>
                    <w:t>q</w:t>
                  </w:r>
                  <w:r>
                    <w:rPr>
                      <w:i/>
                      <w:iCs/>
                      <w:sz w:val="20"/>
                    </w:rPr>
                    <w:t xml:space="preserve"> </w:t>
                  </w:r>
                  <w:r w:rsidRPr="00081671">
                    <w:rPr>
                      <w:iCs/>
                      <w:sz w:val="20"/>
                    </w:rPr>
                    <w:t>followed the deployment instruction for the event for the hour</w:t>
                  </w:r>
                  <w:r>
                    <w:rPr>
                      <w:iCs/>
                      <w:sz w:val="20"/>
                    </w:rPr>
                    <w:t xml:space="preserve"> </w:t>
                  </w:r>
                  <w:r w:rsidRPr="008B6C1D">
                    <w:rPr>
                      <w:i/>
                      <w:iCs/>
                      <w:sz w:val="20"/>
                    </w:rPr>
                    <w:t>h</w:t>
                  </w:r>
                  <w:r w:rsidRPr="00081671">
                    <w:rPr>
                      <w:iCs/>
                      <w:sz w:val="20"/>
                    </w:rPr>
                    <w:t xml:space="preserve">. </w:t>
                  </w:r>
                  <w:r>
                    <w:rPr>
                      <w:iCs/>
                      <w:sz w:val="20"/>
                    </w:rPr>
                    <w:t xml:space="preserve"> An MRAFLAG value of 1 represents followed and a 0 represents did not follow the deployment.  </w:t>
                  </w:r>
                  <w:r w:rsidRPr="00081671">
                    <w:rPr>
                      <w:sz w:val="20"/>
                    </w:rPr>
                    <w:t xml:space="preserve">Where for a Combined Cycle Train, the Resource </w:t>
                  </w:r>
                  <w:r w:rsidRPr="00081671">
                    <w:rPr>
                      <w:i/>
                      <w:sz w:val="20"/>
                    </w:rPr>
                    <w:t xml:space="preserve">r </w:t>
                  </w:r>
                  <w:r w:rsidRPr="00081671">
                    <w:rPr>
                      <w:sz w:val="20"/>
                    </w:rPr>
                    <w:t>is the Combined Cycle Train.</w:t>
                  </w:r>
                </w:p>
              </w:tc>
            </w:tr>
            <w:tr w:rsidR="00DB3017" w:rsidRPr="00081671" w14:paraId="5CAB6A7F" w14:textId="77777777" w:rsidTr="00CE1011">
              <w:trPr>
                <w:cantSplit/>
              </w:trPr>
              <w:tc>
                <w:tcPr>
                  <w:tcW w:w="1885" w:type="dxa"/>
                </w:tcPr>
                <w:p w14:paraId="55004A9A" w14:textId="77777777" w:rsidR="00DB3017" w:rsidRPr="00081671" w:rsidRDefault="00DB3017" w:rsidP="00DB301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073AC7B2" w14:textId="77777777" w:rsidR="00DB3017" w:rsidRPr="00081671" w:rsidRDefault="00DB3017" w:rsidP="00DB3017">
                  <w:pPr>
                    <w:spacing w:after="60"/>
                    <w:rPr>
                      <w:iCs/>
                      <w:sz w:val="20"/>
                    </w:rPr>
                  </w:pPr>
                  <w:r w:rsidRPr="00081671">
                    <w:rPr>
                      <w:iCs/>
                      <w:sz w:val="20"/>
                    </w:rPr>
                    <w:t>$/MMBtu</w:t>
                  </w:r>
                </w:p>
              </w:tc>
              <w:tc>
                <w:tcPr>
                  <w:tcW w:w="6390" w:type="dxa"/>
                </w:tcPr>
                <w:p w14:paraId="750BB1A8" w14:textId="0C73A4EC" w:rsidR="00DB3017" w:rsidRPr="00081671" w:rsidRDefault="00DB3017" w:rsidP="00DB3017">
                  <w:pPr>
                    <w:spacing w:after="60"/>
                    <w:rPr>
                      <w:iCs/>
                      <w:sz w:val="20"/>
                    </w:rPr>
                  </w:pPr>
                  <w:r w:rsidRPr="00081671">
                    <w:rPr>
                      <w:i/>
                      <w:iCs/>
                      <w:sz w:val="20"/>
                    </w:rPr>
                    <w:t>Must-Run Alternative Contractual Estimated Fuel Adder</w:t>
                  </w:r>
                  <w:r w:rsidRPr="00081671">
                    <w:rPr>
                      <w:iCs/>
                      <w:sz w:val="20"/>
                    </w:rPr>
                    <w:t xml:space="preserve">—The </w:t>
                  </w:r>
                  <w:r w:rsidR="00371616">
                    <w:rPr>
                      <w:iCs/>
                      <w:sz w:val="20"/>
                    </w:rPr>
                    <w:t xml:space="preserve">MRA </w:t>
                  </w:r>
                  <w:r w:rsidRPr="00081671">
                    <w:rPr>
                      <w:iCs/>
                      <w:sz w:val="20"/>
                    </w:rPr>
                    <w:t xml:space="preserve">Estimated Fuel Adder </w:t>
                  </w:r>
                  <w:r>
                    <w:rPr>
                      <w:iCs/>
                      <w:sz w:val="20"/>
                    </w:rPr>
                    <w:t xml:space="preserve">for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iCs/>
                      <w:sz w:val="20"/>
                    </w:rPr>
                    <w:t xml:space="preserve"> as specified in the MRA Agreement.  Where for a Combined Cycle Train, the Generation Resource </w:t>
                  </w:r>
                  <w:r w:rsidRPr="00081671">
                    <w:rPr>
                      <w:i/>
                      <w:iCs/>
                      <w:sz w:val="20"/>
                    </w:rPr>
                    <w:t xml:space="preserve">r </w:t>
                  </w:r>
                  <w:r w:rsidRPr="00081671">
                    <w:rPr>
                      <w:iCs/>
                      <w:sz w:val="20"/>
                    </w:rPr>
                    <w:t xml:space="preserve">is the Combined Cycle Train.  </w:t>
                  </w:r>
                </w:p>
              </w:tc>
            </w:tr>
            <w:tr w:rsidR="00DB3017" w:rsidRPr="00081671" w14:paraId="5F5CE265" w14:textId="77777777" w:rsidTr="00CE1011">
              <w:trPr>
                <w:cantSplit/>
              </w:trPr>
              <w:tc>
                <w:tcPr>
                  <w:tcW w:w="1885" w:type="dxa"/>
                </w:tcPr>
                <w:p w14:paraId="37217CB4" w14:textId="77777777" w:rsidR="00DB3017" w:rsidRPr="00081671" w:rsidRDefault="00DB3017" w:rsidP="00DB3017">
                  <w:pPr>
                    <w:spacing w:after="60"/>
                    <w:rPr>
                      <w:i/>
                      <w:iCs/>
                      <w:sz w:val="20"/>
                    </w:rPr>
                  </w:pPr>
                  <w:r w:rsidRPr="00081671">
                    <w:rPr>
                      <w:i/>
                      <w:iCs/>
                      <w:sz w:val="20"/>
                    </w:rPr>
                    <w:t>q</w:t>
                  </w:r>
                </w:p>
              </w:tc>
              <w:tc>
                <w:tcPr>
                  <w:tcW w:w="1080" w:type="dxa"/>
                </w:tcPr>
                <w:p w14:paraId="1AB9D4D1" w14:textId="77777777" w:rsidR="00DB3017" w:rsidRPr="00081671" w:rsidRDefault="00DB3017" w:rsidP="00DB3017">
                  <w:pPr>
                    <w:spacing w:after="60"/>
                    <w:rPr>
                      <w:iCs/>
                      <w:sz w:val="20"/>
                    </w:rPr>
                  </w:pPr>
                  <w:r w:rsidRPr="00081671">
                    <w:rPr>
                      <w:iCs/>
                      <w:sz w:val="20"/>
                    </w:rPr>
                    <w:t>none</w:t>
                  </w:r>
                </w:p>
              </w:tc>
              <w:tc>
                <w:tcPr>
                  <w:tcW w:w="6390" w:type="dxa"/>
                </w:tcPr>
                <w:p w14:paraId="66261E14" w14:textId="77777777" w:rsidR="00DB3017" w:rsidRPr="00081671" w:rsidRDefault="00DB3017" w:rsidP="00DB3017">
                  <w:pPr>
                    <w:spacing w:after="60"/>
                    <w:rPr>
                      <w:iCs/>
                      <w:sz w:val="20"/>
                    </w:rPr>
                  </w:pPr>
                  <w:r w:rsidRPr="00081671">
                    <w:rPr>
                      <w:iCs/>
                      <w:sz w:val="20"/>
                    </w:rPr>
                    <w:t>A QSE.</w:t>
                  </w:r>
                </w:p>
              </w:tc>
            </w:tr>
            <w:tr w:rsidR="00DB3017" w:rsidRPr="00081671" w14:paraId="76BC6F89" w14:textId="77777777" w:rsidTr="00CE1011">
              <w:trPr>
                <w:cantSplit/>
              </w:trPr>
              <w:tc>
                <w:tcPr>
                  <w:tcW w:w="1885" w:type="dxa"/>
                </w:tcPr>
                <w:p w14:paraId="09662392" w14:textId="77777777" w:rsidR="00DB3017" w:rsidRPr="00081671" w:rsidRDefault="00DB3017" w:rsidP="00DB3017">
                  <w:pPr>
                    <w:spacing w:after="60"/>
                    <w:rPr>
                      <w:i/>
                      <w:iCs/>
                      <w:sz w:val="20"/>
                    </w:rPr>
                  </w:pPr>
                  <w:r w:rsidRPr="00081671">
                    <w:rPr>
                      <w:i/>
                      <w:iCs/>
                      <w:sz w:val="20"/>
                    </w:rPr>
                    <w:t>r</w:t>
                  </w:r>
                </w:p>
              </w:tc>
              <w:tc>
                <w:tcPr>
                  <w:tcW w:w="1080" w:type="dxa"/>
                </w:tcPr>
                <w:p w14:paraId="2E6F5A94" w14:textId="77777777" w:rsidR="00DB3017" w:rsidRPr="00081671" w:rsidRDefault="00DB3017" w:rsidP="00DB3017">
                  <w:pPr>
                    <w:spacing w:after="60"/>
                    <w:rPr>
                      <w:iCs/>
                      <w:sz w:val="20"/>
                    </w:rPr>
                  </w:pPr>
                  <w:r w:rsidRPr="00081671">
                    <w:rPr>
                      <w:iCs/>
                      <w:sz w:val="20"/>
                    </w:rPr>
                    <w:t>none</w:t>
                  </w:r>
                </w:p>
              </w:tc>
              <w:tc>
                <w:tcPr>
                  <w:tcW w:w="6390" w:type="dxa"/>
                </w:tcPr>
                <w:p w14:paraId="00F29EA2" w14:textId="77777777" w:rsidR="00DB3017" w:rsidRPr="00081671" w:rsidRDefault="00DB3017" w:rsidP="00DB3017">
                  <w:pPr>
                    <w:spacing w:after="60"/>
                    <w:rPr>
                      <w:iCs/>
                      <w:sz w:val="20"/>
                    </w:rPr>
                  </w:pPr>
                  <w:r w:rsidRPr="00081671">
                    <w:rPr>
                      <w:iCs/>
                      <w:sz w:val="20"/>
                    </w:rPr>
                    <w:t xml:space="preserve">An </w:t>
                  </w:r>
                  <w:r>
                    <w:rPr>
                      <w:iCs/>
                      <w:sz w:val="20"/>
                    </w:rPr>
                    <w:t>MRA</w:t>
                  </w:r>
                  <w:r w:rsidRPr="00081671">
                    <w:rPr>
                      <w:iCs/>
                      <w:sz w:val="20"/>
                    </w:rPr>
                    <w:t>.</w:t>
                  </w:r>
                </w:p>
              </w:tc>
            </w:tr>
            <w:tr w:rsidR="00DB3017" w:rsidRPr="00081671" w14:paraId="758DA43B" w14:textId="77777777" w:rsidTr="00CE1011">
              <w:trPr>
                <w:cantSplit/>
              </w:trPr>
              <w:tc>
                <w:tcPr>
                  <w:tcW w:w="1885" w:type="dxa"/>
                </w:tcPr>
                <w:p w14:paraId="360FCDF0" w14:textId="77777777" w:rsidR="00DB3017" w:rsidRPr="00081671" w:rsidRDefault="00DB3017" w:rsidP="00DB3017">
                  <w:pPr>
                    <w:spacing w:after="60"/>
                    <w:rPr>
                      <w:i/>
                      <w:iCs/>
                      <w:sz w:val="20"/>
                    </w:rPr>
                  </w:pPr>
                  <w:r w:rsidRPr="00081671">
                    <w:rPr>
                      <w:i/>
                      <w:iCs/>
                      <w:sz w:val="20"/>
                    </w:rPr>
                    <w:t>m</w:t>
                  </w:r>
                </w:p>
              </w:tc>
              <w:tc>
                <w:tcPr>
                  <w:tcW w:w="1080" w:type="dxa"/>
                </w:tcPr>
                <w:p w14:paraId="175C3640" w14:textId="77777777" w:rsidR="00DB3017" w:rsidRPr="00081671" w:rsidRDefault="00DB3017" w:rsidP="00DB3017">
                  <w:pPr>
                    <w:spacing w:after="60"/>
                    <w:rPr>
                      <w:iCs/>
                      <w:sz w:val="20"/>
                    </w:rPr>
                  </w:pPr>
                  <w:r w:rsidRPr="00081671">
                    <w:rPr>
                      <w:iCs/>
                      <w:sz w:val="20"/>
                    </w:rPr>
                    <w:t>none</w:t>
                  </w:r>
                </w:p>
              </w:tc>
              <w:tc>
                <w:tcPr>
                  <w:tcW w:w="6390" w:type="dxa"/>
                </w:tcPr>
                <w:p w14:paraId="4799E25B" w14:textId="77777777" w:rsidR="00DB3017" w:rsidRPr="00081671" w:rsidRDefault="00DB3017" w:rsidP="00DB3017">
                  <w:pPr>
                    <w:spacing w:after="60"/>
                    <w:rPr>
                      <w:iCs/>
                      <w:sz w:val="20"/>
                    </w:rPr>
                  </w:pPr>
                  <w:r w:rsidRPr="00081671">
                    <w:rPr>
                      <w:sz w:val="20"/>
                    </w:rPr>
                    <w:t>A</w:t>
                  </w:r>
                  <w:r>
                    <w:rPr>
                      <w:sz w:val="20"/>
                    </w:rPr>
                    <w:t>n</w:t>
                  </w:r>
                  <w:r w:rsidRPr="00081671">
                    <w:rPr>
                      <w:sz w:val="20"/>
                    </w:rPr>
                    <w:t xml:space="preserve"> </w:t>
                  </w:r>
                  <w:r>
                    <w:rPr>
                      <w:sz w:val="20"/>
                    </w:rPr>
                    <w:t>MRA Contracted M</w:t>
                  </w:r>
                  <w:r w:rsidRPr="00081671">
                    <w:rPr>
                      <w:sz w:val="20"/>
                    </w:rPr>
                    <w:t xml:space="preserve">onth </w:t>
                  </w:r>
                  <w:r w:rsidRPr="00081671">
                    <w:rPr>
                      <w:iCs/>
                      <w:sz w:val="20"/>
                    </w:rPr>
                    <w:t>under the MRA Agreement</w:t>
                  </w:r>
                  <w:r w:rsidRPr="00081671">
                    <w:rPr>
                      <w:sz w:val="20"/>
                    </w:rPr>
                    <w:t>.</w:t>
                  </w:r>
                </w:p>
              </w:tc>
            </w:tr>
            <w:tr w:rsidR="00DB3017" w:rsidRPr="00081671" w14:paraId="0C38CA4E"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55E27035" w14:textId="77777777" w:rsidR="00DB3017" w:rsidRPr="00081671" w:rsidRDefault="00DB3017" w:rsidP="00DB3017">
                  <w:pPr>
                    <w:rPr>
                      <w:i/>
                      <w:iCs/>
                      <w:sz w:val="20"/>
                    </w:rPr>
                  </w:pPr>
                  <w:r w:rsidRPr="00081671">
                    <w:rPr>
                      <w:i/>
                      <w:iCs/>
                      <w:sz w:val="20"/>
                    </w:rPr>
                    <w:t>h</w:t>
                  </w:r>
                </w:p>
              </w:tc>
              <w:tc>
                <w:tcPr>
                  <w:tcW w:w="1080" w:type="dxa"/>
                  <w:tcBorders>
                    <w:top w:val="single" w:sz="4" w:space="0" w:color="auto"/>
                    <w:left w:val="single" w:sz="4" w:space="0" w:color="auto"/>
                    <w:bottom w:val="single" w:sz="4" w:space="0" w:color="auto"/>
                    <w:right w:val="single" w:sz="4" w:space="0" w:color="auto"/>
                  </w:tcBorders>
                </w:tcPr>
                <w:p w14:paraId="6AF775FF" w14:textId="77777777" w:rsidR="00DB3017" w:rsidRPr="00081671" w:rsidRDefault="00DB3017" w:rsidP="00DB3017">
                  <w:pPr>
                    <w:rPr>
                      <w:iCs/>
                      <w:sz w:val="20"/>
                    </w:rPr>
                  </w:pPr>
                  <w:r w:rsidRPr="00081671">
                    <w:rPr>
                      <w:iCs/>
                      <w:sz w:val="20"/>
                    </w:rPr>
                    <w:t>none</w:t>
                  </w:r>
                </w:p>
              </w:tc>
              <w:tc>
                <w:tcPr>
                  <w:tcW w:w="6390" w:type="dxa"/>
                  <w:tcBorders>
                    <w:top w:val="single" w:sz="4" w:space="0" w:color="auto"/>
                    <w:left w:val="single" w:sz="4" w:space="0" w:color="auto"/>
                    <w:bottom w:val="single" w:sz="4" w:space="0" w:color="auto"/>
                    <w:right w:val="single" w:sz="4" w:space="0" w:color="auto"/>
                  </w:tcBorders>
                </w:tcPr>
                <w:p w14:paraId="3276A230" w14:textId="77777777" w:rsidR="00DB3017" w:rsidRPr="00081671" w:rsidRDefault="00DB3017" w:rsidP="00DB3017">
                  <w:pPr>
                    <w:rPr>
                      <w:sz w:val="20"/>
                    </w:rPr>
                  </w:pPr>
                  <w:r w:rsidRPr="00081671">
                    <w:rPr>
                      <w:sz w:val="20"/>
                    </w:rPr>
                    <w:t>A</w:t>
                  </w:r>
                  <w:r>
                    <w:rPr>
                      <w:sz w:val="20"/>
                    </w:rPr>
                    <w:t>n</w:t>
                  </w:r>
                  <w:r w:rsidRPr="00081671">
                    <w:rPr>
                      <w:sz w:val="20"/>
                    </w:rPr>
                    <w:t xml:space="preserve"> </w:t>
                  </w:r>
                  <w:r>
                    <w:rPr>
                      <w:sz w:val="20"/>
                    </w:rPr>
                    <w:t>MRA Contracted Hour</w:t>
                  </w:r>
                  <w:r w:rsidRPr="00081671">
                    <w:rPr>
                      <w:sz w:val="20"/>
                    </w:rPr>
                    <w:t xml:space="preserve"> under the MRA Agreement for the </w:t>
                  </w:r>
                  <w:r>
                    <w:rPr>
                      <w:sz w:val="20"/>
                    </w:rPr>
                    <w:t>MRA Contracted</w:t>
                  </w:r>
                  <w:r w:rsidRPr="00081671">
                    <w:rPr>
                      <w:sz w:val="20"/>
                    </w:rPr>
                    <w:t xml:space="preserve"> </w:t>
                  </w:r>
                  <w:r>
                    <w:rPr>
                      <w:sz w:val="20"/>
                    </w:rPr>
                    <w:t>M</w:t>
                  </w:r>
                  <w:r w:rsidRPr="00081671">
                    <w:rPr>
                      <w:sz w:val="20"/>
                    </w:rPr>
                    <w:t>onth.</w:t>
                  </w:r>
                </w:p>
              </w:tc>
            </w:tr>
          </w:tbl>
          <w:p w14:paraId="79B5D505" w14:textId="77777777" w:rsidR="00DB3017" w:rsidRPr="00081671" w:rsidRDefault="00DB3017" w:rsidP="00DB3017">
            <w:pPr>
              <w:spacing w:before="240" w:after="240"/>
              <w:ind w:left="720" w:hanging="720"/>
              <w:rPr>
                <w:iCs/>
              </w:rPr>
            </w:pPr>
            <w:r w:rsidRPr="00081671">
              <w:rPr>
                <w:iCs/>
              </w:rPr>
              <w:t>(</w:t>
            </w:r>
            <w:r>
              <w:rPr>
                <w:iCs/>
              </w:rPr>
              <w:t>3</w:t>
            </w:r>
            <w:r w:rsidRPr="00081671">
              <w:rPr>
                <w:iCs/>
              </w:rPr>
              <w:t>)</w:t>
            </w:r>
            <w:r w:rsidRPr="00081671">
              <w:rPr>
                <w:iCs/>
              </w:rPr>
              <w:tab/>
              <w:t xml:space="preserve">The total of the deployment event payments for all </w:t>
            </w:r>
            <w:r>
              <w:rPr>
                <w:iCs/>
              </w:rPr>
              <w:t>MRA</w:t>
            </w:r>
            <w:r w:rsidRPr="00081671">
              <w:rPr>
                <w:iCs/>
              </w:rPr>
              <w:t xml:space="preserve">s represented by the QSE for a given </w:t>
            </w:r>
            <w:r>
              <w:rPr>
                <w:iCs/>
              </w:rPr>
              <w:t>MRA Contracted H</w:t>
            </w:r>
            <w:r w:rsidRPr="00081671">
              <w:rPr>
                <w:iCs/>
              </w:rPr>
              <w:t>our is calculated as follows:</w:t>
            </w:r>
          </w:p>
          <w:p w14:paraId="4FBA13FB" w14:textId="77777777" w:rsidR="00DB3017" w:rsidRPr="00081671" w:rsidRDefault="00DB3017" w:rsidP="00DB3017">
            <w:pPr>
              <w:tabs>
                <w:tab w:val="left" w:pos="2340"/>
                <w:tab w:val="left" w:pos="3420"/>
              </w:tabs>
              <w:spacing w:after="240"/>
              <w:ind w:left="3870" w:hanging="3150"/>
              <w:rPr>
                <w:bCs/>
                <w:lang w:val="pt-BR"/>
              </w:rPr>
            </w:pPr>
            <w:r w:rsidRPr="00081671">
              <w:rPr>
                <w:bCs/>
                <w:lang w:val="pt-BR"/>
              </w:rPr>
              <w:t>MRADEAMTQSETOT</w:t>
            </w:r>
            <w:r>
              <w:rPr>
                <w:bCs/>
                <w:lang w:val="pt-BR"/>
              </w:rPr>
              <w:t xml:space="preserve"> </w:t>
            </w:r>
            <w:r w:rsidRPr="00081671">
              <w:rPr>
                <w:bCs/>
                <w:i/>
                <w:vertAlign w:val="subscript"/>
                <w:lang w:val="pt-BR"/>
              </w:rPr>
              <w:t>q</w:t>
            </w:r>
            <w:r w:rsidRPr="00081671">
              <w:rPr>
                <w:bCs/>
                <w:lang w:val="pt-BR"/>
              </w:rPr>
              <w:t xml:space="preserve">  =  </w:t>
            </w:r>
            <w:r w:rsidRPr="00081671">
              <w:rPr>
                <w:bCs/>
                <w:position w:val="-18"/>
                <w:lang w:val="pt-BR"/>
              </w:rPr>
              <w:object w:dxaOrig="225" w:dyaOrig="420" w14:anchorId="37111A37">
                <v:shape id="_x0000_i1221" type="#_x0000_t75" style="width:12pt;height:24pt" o:ole="">
                  <v:imagedata r:id="rId237" o:title=""/>
                </v:shape>
                <o:OLEObject Type="Embed" ProgID="Equation.3" ShapeID="_x0000_i1221" DrawAspect="Content" ObjectID="_1804653705" r:id="rId272"/>
              </w:object>
            </w:r>
            <w:r w:rsidRPr="00081671">
              <w:rPr>
                <w:bCs/>
                <w:color w:val="000000"/>
                <w:lang w:val="pt-BR"/>
              </w:rPr>
              <w:t xml:space="preserve"> MRADEAMT</w:t>
            </w:r>
            <w:r>
              <w:rPr>
                <w:bCs/>
                <w:color w:val="000000"/>
                <w:lang w:val="pt-BR"/>
              </w:rPr>
              <w:t xml:space="preserve"> </w:t>
            </w:r>
            <w:r w:rsidRPr="00081671">
              <w:rPr>
                <w:bCs/>
                <w:i/>
                <w:vertAlign w:val="subscript"/>
                <w:lang w:val="pt-BR"/>
              </w:rPr>
              <w:t>q, r, h</w:t>
            </w:r>
            <w:r w:rsidRPr="00081671">
              <w:rPr>
                <w:bCs/>
                <w:lang w:val="pt-BR"/>
              </w:rPr>
              <w:t xml:space="preserve"> </w:t>
            </w:r>
            <w:r w:rsidRPr="00081671">
              <w:rPr>
                <w:bCs/>
                <w:i/>
                <w:vertAlign w:val="subscript"/>
                <w:lang w:val="pt-BR"/>
              </w:rPr>
              <w:t xml:space="preserve">  </w:t>
            </w:r>
          </w:p>
          <w:p w14:paraId="309D6511" w14:textId="77777777" w:rsidR="00DB3017" w:rsidRPr="00081671" w:rsidRDefault="00DB3017" w:rsidP="00DB301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19"/>
              <w:gridCol w:w="6399"/>
            </w:tblGrid>
            <w:tr w:rsidR="00A628E7" w:rsidRPr="00081671" w14:paraId="6471906E" w14:textId="77777777" w:rsidTr="00CE1011">
              <w:trPr>
                <w:cantSplit/>
                <w:tblHeader/>
              </w:trPr>
              <w:tc>
                <w:tcPr>
                  <w:tcW w:w="1249" w:type="pct"/>
                </w:tcPr>
                <w:p w14:paraId="213B11B2" w14:textId="77777777" w:rsidR="00A628E7" w:rsidRPr="00081671" w:rsidRDefault="00A628E7" w:rsidP="00A628E7">
                  <w:pPr>
                    <w:spacing w:after="240"/>
                    <w:rPr>
                      <w:b/>
                      <w:iCs/>
                      <w:sz w:val="20"/>
                    </w:rPr>
                  </w:pPr>
                  <w:r w:rsidRPr="00081671">
                    <w:rPr>
                      <w:b/>
                      <w:iCs/>
                      <w:sz w:val="20"/>
                    </w:rPr>
                    <w:t>Variable</w:t>
                  </w:r>
                </w:p>
              </w:tc>
              <w:tc>
                <w:tcPr>
                  <w:tcW w:w="331" w:type="pct"/>
                </w:tcPr>
                <w:p w14:paraId="7222AF4E" w14:textId="77777777" w:rsidR="00A628E7" w:rsidRPr="00081671" w:rsidRDefault="00A628E7" w:rsidP="00A628E7">
                  <w:pPr>
                    <w:spacing w:after="240"/>
                    <w:rPr>
                      <w:b/>
                      <w:iCs/>
                      <w:sz w:val="20"/>
                    </w:rPr>
                  </w:pPr>
                  <w:r w:rsidRPr="00081671">
                    <w:rPr>
                      <w:b/>
                      <w:iCs/>
                      <w:sz w:val="20"/>
                    </w:rPr>
                    <w:t>Unit</w:t>
                  </w:r>
                </w:p>
              </w:tc>
              <w:tc>
                <w:tcPr>
                  <w:tcW w:w="3420" w:type="pct"/>
                </w:tcPr>
                <w:p w14:paraId="37AC34C7" w14:textId="77777777" w:rsidR="00A628E7" w:rsidRPr="00081671" w:rsidRDefault="00A628E7" w:rsidP="00A628E7">
                  <w:pPr>
                    <w:spacing w:after="240"/>
                    <w:rPr>
                      <w:b/>
                      <w:iCs/>
                      <w:sz w:val="20"/>
                    </w:rPr>
                  </w:pPr>
                  <w:r w:rsidRPr="00081671">
                    <w:rPr>
                      <w:b/>
                      <w:iCs/>
                      <w:sz w:val="20"/>
                    </w:rPr>
                    <w:t>Definition</w:t>
                  </w:r>
                </w:p>
              </w:tc>
            </w:tr>
            <w:tr w:rsidR="00A628E7" w:rsidRPr="00081671" w14:paraId="31CEE5E1" w14:textId="77777777" w:rsidTr="00CE1011">
              <w:trPr>
                <w:cantSplit/>
              </w:trPr>
              <w:tc>
                <w:tcPr>
                  <w:tcW w:w="1249" w:type="pct"/>
                </w:tcPr>
                <w:p w14:paraId="73BEB981" w14:textId="77777777" w:rsidR="00A628E7" w:rsidRPr="00081671" w:rsidRDefault="00A628E7" w:rsidP="00A628E7">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31" w:type="pct"/>
                </w:tcPr>
                <w:p w14:paraId="76DF7921" w14:textId="77777777" w:rsidR="00A628E7" w:rsidRPr="00081671" w:rsidRDefault="00A628E7" w:rsidP="00A628E7">
                  <w:pPr>
                    <w:spacing w:after="60"/>
                    <w:rPr>
                      <w:iCs/>
                      <w:sz w:val="20"/>
                    </w:rPr>
                  </w:pPr>
                  <w:r w:rsidRPr="00081671">
                    <w:rPr>
                      <w:iCs/>
                      <w:sz w:val="20"/>
                    </w:rPr>
                    <w:t>$</w:t>
                  </w:r>
                </w:p>
              </w:tc>
              <w:tc>
                <w:tcPr>
                  <w:tcW w:w="3420" w:type="pct"/>
                </w:tcPr>
                <w:p w14:paraId="7636DD26" w14:textId="77777777" w:rsidR="00A628E7" w:rsidRPr="00081671" w:rsidRDefault="00A628E7" w:rsidP="00A628E7">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w:t>
                  </w:r>
                  <w:r w:rsidRPr="00081671">
                    <w:rPr>
                      <w:i/>
                      <w:iCs/>
                      <w:sz w:val="20"/>
                    </w:rPr>
                    <w:t>r</w:t>
                  </w:r>
                  <w:r w:rsidRPr="00081671">
                    <w:rPr>
                      <w:iCs/>
                      <w:sz w:val="20"/>
                    </w:rPr>
                    <w:t xml:space="preserve">, represented by the QSE q for the hour. </w:t>
                  </w:r>
                </w:p>
              </w:tc>
            </w:tr>
            <w:tr w:rsidR="00A628E7" w:rsidRPr="00081671" w14:paraId="58AC1B7A" w14:textId="77777777" w:rsidTr="00CE1011">
              <w:trPr>
                <w:cantSplit/>
              </w:trPr>
              <w:tc>
                <w:tcPr>
                  <w:tcW w:w="1249" w:type="pct"/>
                </w:tcPr>
                <w:p w14:paraId="6955B1F1" w14:textId="77777777" w:rsidR="00A628E7" w:rsidRPr="00081671" w:rsidRDefault="00A628E7" w:rsidP="00A628E7">
                  <w:pPr>
                    <w:spacing w:after="60"/>
                    <w:rPr>
                      <w:iCs/>
                      <w:sz w:val="20"/>
                    </w:rPr>
                  </w:pPr>
                  <w:r w:rsidRPr="00081671">
                    <w:rPr>
                      <w:iCs/>
                      <w:sz w:val="20"/>
                    </w:rPr>
                    <w:t>MRADEAMT</w:t>
                  </w:r>
                  <w:r w:rsidRPr="00081671">
                    <w:rPr>
                      <w:sz w:val="20"/>
                    </w:rPr>
                    <w:t xml:space="preserve"> </w:t>
                  </w:r>
                  <w:r w:rsidRPr="00081671">
                    <w:rPr>
                      <w:i/>
                      <w:sz w:val="20"/>
                      <w:vertAlign w:val="subscript"/>
                    </w:rPr>
                    <w:t>q, r, h</w:t>
                  </w:r>
                </w:p>
              </w:tc>
              <w:tc>
                <w:tcPr>
                  <w:tcW w:w="331" w:type="pct"/>
                </w:tcPr>
                <w:p w14:paraId="17985627" w14:textId="77777777" w:rsidR="00A628E7" w:rsidRPr="00081671" w:rsidRDefault="00A628E7" w:rsidP="00A628E7">
                  <w:pPr>
                    <w:spacing w:after="60"/>
                    <w:rPr>
                      <w:iCs/>
                      <w:sz w:val="20"/>
                    </w:rPr>
                  </w:pPr>
                  <w:r w:rsidRPr="00081671">
                    <w:rPr>
                      <w:iCs/>
                      <w:sz w:val="20"/>
                    </w:rPr>
                    <w:t>$</w:t>
                  </w:r>
                </w:p>
              </w:tc>
              <w:tc>
                <w:tcPr>
                  <w:tcW w:w="3420" w:type="pct"/>
                </w:tcPr>
                <w:p w14:paraId="4A2DC359" w14:textId="77777777" w:rsidR="00A628E7" w:rsidRPr="00081671" w:rsidRDefault="00A628E7" w:rsidP="00A628E7">
                  <w:pPr>
                    <w:spacing w:after="60"/>
                    <w:rPr>
                      <w:iCs/>
                      <w:sz w:val="20"/>
                    </w:rPr>
                  </w:pPr>
                  <w:r w:rsidRPr="00081671">
                    <w:rPr>
                      <w:i/>
                      <w:sz w:val="20"/>
                    </w:rPr>
                    <w:t>Must-Run Alternative Deployment Event Amount per QSE per Resource by hour</w:t>
                  </w:r>
                  <w:r w:rsidRPr="00081671">
                    <w:rPr>
                      <w:sz w:val="20"/>
                    </w:rPr>
                    <w:t xml:space="preserve">—The deployment event payment to QSE </w:t>
                  </w:r>
                  <w:r w:rsidRPr="00081671">
                    <w:rPr>
                      <w:i/>
                      <w:sz w:val="20"/>
                    </w:rPr>
                    <w:t>q</w:t>
                  </w:r>
                  <w:r w:rsidRPr="00081671">
                    <w:rPr>
                      <w:sz w:val="20"/>
                    </w:rPr>
                    <w:t xml:space="preserve"> for </w:t>
                  </w:r>
                  <w:r>
                    <w:rPr>
                      <w:sz w:val="20"/>
                    </w:rPr>
                    <w:t>MRA</w:t>
                  </w:r>
                  <w:r w:rsidRPr="00081671">
                    <w:rPr>
                      <w:sz w:val="20"/>
                    </w:rPr>
                    <w:t xml:space="preserve"> </w:t>
                  </w:r>
                  <w:r w:rsidRPr="00081671">
                    <w:rPr>
                      <w:i/>
                      <w:sz w:val="20"/>
                    </w:rPr>
                    <w:t>r</w:t>
                  </w:r>
                  <w:r w:rsidRPr="00081671">
                    <w:rPr>
                      <w:sz w:val="20"/>
                    </w:rPr>
                    <w:t xml:space="preserve">, for the hour.  Where for a Combined Cycle Train, the Resource </w:t>
                  </w:r>
                  <w:r w:rsidRPr="00081671">
                    <w:rPr>
                      <w:i/>
                      <w:sz w:val="20"/>
                    </w:rPr>
                    <w:t xml:space="preserve">r </w:t>
                  </w:r>
                  <w:r w:rsidRPr="00081671">
                    <w:rPr>
                      <w:sz w:val="20"/>
                    </w:rPr>
                    <w:t>is the Combined Cycle Train.</w:t>
                  </w:r>
                </w:p>
              </w:tc>
            </w:tr>
            <w:tr w:rsidR="00A628E7" w:rsidRPr="00081671" w14:paraId="5B6CDA9E"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5DA6F19B" w14:textId="77777777" w:rsidR="00A628E7" w:rsidRPr="00081671" w:rsidRDefault="00A628E7" w:rsidP="00A628E7">
                  <w:pPr>
                    <w:spacing w:after="60"/>
                    <w:rPr>
                      <w:i/>
                      <w:iCs/>
                      <w:sz w:val="20"/>
                    </w:rPr>
                  </w:pPr>
                  <w:r w:rsidRPr="00081671">
                    <w:rPr>
                      <w:i/>
                      <w:iCs/>
                      <w:sz w:val="20"/>
                    </w:rPr>
                    <w:t>q</w:t>
                  </w:r>
                </w:p>
              </w:tc>
              <w:tc>
                <w:tcPr>
                  <w:tcW w:w="331" w:type="pct"/>
                  <w:tcBorders>
                    <w:top w:val="single" w:sz="4" w:space="0" w:color="auto"/>
                    <w:left w:val="single" w:sz="4" w:space="0" w:color="auto"/>
                    <w:bottom w:val="single" w:sz="4" w:space="0" w:color="auto"/>
                    <w:right w:val="single" w:sz="4" w:space="0" w:color="auto"/>
                  </w:tcBorders>
                </w:tcPr>
                <w:p w14:paraId="688FC2CA"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6E30A668" w14:textId="77777777" w:rsidR="00A628E7" w:rsidRPr="00081671" w:rsidRDefault="00A628E7" w:rsidP="00A628E7">
                  <w:pPr>
                    <w:spacing w:after="60"/>
                    <w:rPr>
                      <w:iCs/>
                      <w:sz w:val="20"/>
                    </w:rPr>
                  </w:pPr>
                  <w:r w:rsidRPr="00081671">
                    <w:rPr>
                      <w:iCs/>
                      <w:sz w:val="20"/>
                    </w:rPr>
                    <w:t>A QSE.</w:t>
                  </w:r>
                </w:p>
              </w:tc>
            </w:tr>
            <w:tr w:rsidR="00A628E7" w:rsidRPr="00081671" w14:paraId="7B8A0A74"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A0BBC88" w14:textId="77777777" w:rsidR="00A628E7" w:rsidRPr="00081671" w:rsidRDefault="00A628E7" w:rsidP="00A628E7">
                  <w:pPr>
                    <w:spacing w:after="60"/>
                    <w:rPr>
                      <w:i/>
                      <w:iCs/>
                      <w:sz w:val="20"/>
                    </w:rPr>
                  </w:pPr>
                  <w:r w:rsidRPr="00081671">
                    <w:rPr>
                      <w:i/>
                      <w:iCs/>
                      <w:sz w:val="20"/>
                    </w:rPr>
                    <w:t>r</w:t>
                  </w:r>
                </w:p>
              </w:tc>
              <w:tc>
                <w:tcPr>
                  <w:tcW w:w="331" w:type="pct"/>
                  <w:tcBorders>
                    <w:top w:val="single" w:sz="4" w:space="0" w:color="auto"/>
                    <w:left w:val="single" w:sz="4" w:space="0" w:color="auto"/>
                    <w:bottom w:val="single" w:sz="4" w:space="0" w:color="auto"/>
                    <w:right w:val="single" w:sz="4" w:space="0" w:color="auto"/>
                  </w:tcBorders>
                </w:tcPr>
                <w:p w14:paraId="2F4CA525"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A683A1C" w14:textId="77777777" w:rsidR="00A628E7" w:rsidRPr="00081671" w:rsidRDefault="00A628E7" w:rsidP="00A628E7">
                  <w:pPr>
                    <w:spacing w:after="60"/>
                    <w:rPr>
                      <w:iCs/>
                      <w:sz w:val="20"/>
                    </w:rPr>
                  </w:pPr>
                  <w:r w:rsidRPr="00081671">
                    <w:rPr>
                      <w:iCs/>
                      <w:sz w:val="20"/>
                    </w:rPr>
                    <w:t xml:space="preserve">An </w:t>
                  </w:r>
                  <w:r>
                    <w:rPr>
                      <w:iCs/>
                      <w:sz w:val="20"/>
                    </w:rPr>
                    <w:t>MRA</w:t>
                  </w:r>
                  <w:r w:rsidRPr="00081671">
                    <w:rPr>
                      <w:iCs/>
                      <w:sz w:val="20"/>
                    </w:rPr>
                    <w:t>.</w:t>
                  </w:r>
                </w:p>
              </w:tc>
            </w:tr>
            <w:tr w:rsidR="00A628E7" w:rsidRPr="00081671" w14:paraId="4457BA9A"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9BFEC83" w14:textId="77777777" w:rsidR="00A628E7" w:rsidRPr="00081671" w:rsidRDefault="00A628E7" w:rsidP="00A628E7">
                  <w:pPr>
                    <w:spacing w:after="60"/>
                    <w:rPr>
                      <w:i/>
                      <w:iCs/>
                      <w:sz w:val="20"/>
                    </w:rPr>
                  </w:pPr>
                  <w:r w:rsidRPr="00081671">
                    <w:rPr>
                      <w:i/>
                      <w:iCs/>
                      <w:sz w:val="20"/>
                    </w:rPr>
                    <w:t>h</w:t>
                  </w:r>
                </w:p>
              </w:tc>
              <w:tc>
                <w:tcPr>
                  <w:tcW w:w="331" w:type="pct"/>
                  <w:tcBorders>
                    <w:top w:val="single" w:sz="4" w:space="0" w:color="auto"/>
                    <w:left w:val="single" w:sz="4" w:space="0" w:color="auto"/>
                    <w:bottom w:val="single" w:sz="4" w:space="0" w:color="auto"/>
                    <w:right w:val="single" w:sz="4" w:space="0" w:color="auto"/>
                  </w:tcBorders>
                </w:tcPr>
                <w:p w14:paraId="52E15ED7"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B0044AF" w14:textId="77777777" w:rsidR="00A628E7" w:rsidRPr="00081671" w:rsidRDefault="00A628E7" w:rsidP="00A628E7">
                  <w:pPr>
                    <w:spacing w:after="60"/>
                    <w:rPr>
                      <w:iCs/>
                      <w:sz w:val="20"/>
                    </w:rPr>
                  </w:pPr>
                  <w:r w:rsidRPr="00081671">
                    <w:rPr>
                      <w:sz w:val="20"/>
                    </w:rPr>
                    <w:t>A</w:t>
                  </w:r>
                  <w:r>
                    <w:rPr>
                      <w:sz w:val="20"/>
                    </w:rPr>
                    <w:t>n MRA</w:t>
                  </w:r>
                  <w:r w:rsidRPr="00081671">
                    <w:rPr>
                      <w:sz w:val="20"/>
                    </w:rPr>
                    <w:t xml:space="preserve"> </w:t>
                  </w:r>
                  <w:r>
                    <w:rPr>
                      <w:sz w:val="20"/>
                    </w:rPr>
                    <w:t>C</w:t>
                  </w:r>
                  <w:r w:rsidRPr="00081671">
                    <w:rPr>
                      <w:sz w:val="20"/>
                    </w:rPr>
                    <w:t xml:space="preserve">ontracted </w:t>
                  </w:r>
                  <w:r>
                    <w:rPr>
                      <w:sz w:val="20"/>
                    </w:rPr>
                    <w:t>H</w:t>
                  </w:r>
                  <w:r w:rsidRPr="00081671">
                    <w:rPr>
                      <w:sz w:val="20"/>
                    </w:rPr>
                    <w:t xml:space="preserve">our under the MRA Agreement for the </w:t>
                  </w:r>
                  <w:r>
                    <w:rPr>
                      <w:sz w:val="20"/>
                    </w:rPr>
                    <w:t>MRA Contracted</w:t>
                  </w:r>
                  <w:r w:rsidRPr="00081671">
                    <w:rPr>
                      <w:sz w:val="20"/>
                    </w:rPr>
                    <w:t xml:space="preserve"> </w:t>
                  </w:r>
                  <w:r>
                    <w:rPr>
                      <w:sz w:val="20"/>
                    </w:rPr>
                    <w:t>M</w:t>
                  </w:r>
                  <w:r w:rsidRPr="00081671">
                    <w:rPr>
                      <w:sz w:val="20"/>
                    </w:rPr>
                    <w:t>onth</w:t>
                  </w:r>
                  <w:r>
                    <w:rPr>
                      <w:sz w:val="20"/>
                    </w:rPr>
                    <w:t>.</w:t>
                  </w:r>
                </w:p>
              </w:tc>
            </w:tr>
          </w:tbl>
          <w:p w14:paraId="749E754B" w14:textId="77777777" w:rsidR="00A628E7" w:rsidRPr="00081671" w:rsidRDefault="00A628E7" w:rsidP="00A628E7">
            <w:pPr>
              <w:spacing w:before="240" w:after="240"/>
              <w:ind w:left="720" w:hanging="720"/>
              <w:rPr>
                <w:iCs/>
              </w:rPr>
            </w:pPr>
            <w:r w:rsidRPr="00081671">
              <w:rPr>
                <w:iCs/>
              </w:rPr>
              <w:t>(</w:t>
            </w:r>
            <w:r>
              <w:rPr>
                <w:iCs/>
              </w:rPr>
              <w:t>4</w:t>
            </w:r>
            <w:r w:rsidRPr="00081671">
              <w:rPr>
                <w:iCs/>
              </w:rPr>
              <w:t>)</w:t>
            </w:r>
            <w:r w:rsidRPr="00081671">
              <w:rPr>
                <w:iCs/>
              </w:rPr>
              <w:tab/>
              <w:t xml:space="preserve">The total of the deployment event payments for a given </w:t>
            </w:r>
            <w:r>
              <w:rPr>
                <w:iCs/>
              </w:rPr>
              <w:t>MRA Contracted H</w:t>
            </w:r>
            <w:r w:rsidRPr="00081671">
              <w:rPr>
                <w:iCs/>
              </w:rPr>
              <w:t>our is calculated as follows:</w:t>
            </w:r>
          </w:p>
          <w:p w14:paraId="7E06A5CB" w14:textId="77777777" w:rsidR="00A628E7" w:rsidRPr="00081671" w:rsidRDefault="00A628E7" w:rsidP="00A628E7">
            <w:pPr>
              <w:spacing w:after="240"/>
              <w:ind w:left="720"/>
              <w:rPr>
                <w:iCs/>
              </w:rPr>
            </w:pPr>
            <w:r w:rsidRPr="00081671">
              <w:rPr>
                <w:iCs/>
              </w:rPr>
              <w:t xml:space="preserve">MRADEAMTTOT  =  </w:t>
            </w:r>
            <w:r w:rsidRPr="00081671">
              <w:rPr>
                <w:iCs/>
                <w:position w:val="-22"/>
              </w:rPr>
              <w:object w:dxaOrig="210" w:dyaOrig="465" w14:anchorId="26278420">
                <v:shape id="_x0000_i1222" type="#_x0000_t75" style="width:6pt;height:24pt" o:ole="">
                  <v:imagedata r:id="rId187" o:title=""/>
                </v:shape>
                <o:OLEObject Type="Embed" ProgID="Equation.3" ShapeID="_x0000_i1222" DrawAspect="Content" ObjectID="_1804653706" r:id="rId273"/>
              </w:object>
            </w:r>
            <w:r w:rsidRPr="00081671">
              <w:rPr>
                <w:iCs/>
              </w:rPr>
              <w:t xml:space="preserve"> MRADEAMTQSETOT</w:t>
            </w:r>
            <w:r>
              <w:rPr>
                <w:iCs/>
              </w:rPr>
              <w:t xml:space="preserve"> </w:t>
            </w:r>
            <w:r w:rsidRPr="00081671">
              <w:rPr>
                <w:i/>
                <w:iCs/>
                <w:vertAlign w:val="subscript"/>
              </w:rPr>
              <w:t>q</w:t>
            </w:r>
            <w:r w:rsidRPr="00081671">
              <w:rPr>
                <w:iCs/>
              </w:rPr>
              <w:t xml:space="preserve">  </w:t>
            </w:r>
          </w:p>
          <w:p w14:paraId="60135E25" w14:textId="77777777" w:rsidR="00A628E7" w:rsidRPr="00081671" w:rsidRDefault="00A628E7" w:rsidP="00A628E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05"/>
              <w:gridCol w:w="6158"/>
            </w:tblGrid>
            <w:tr w:rsidR="004C48C1" w:rsidRPr="00081671" w14:paraId="27C2BC31" w14:textId="77777777" w:rsidTr="00CE1011">
              <w:trPr>
                <w:cantSplit/>
                <w:tblHeader/>
              </w:trPr>
              <w:tc>
                <w:tcPr>
                  <w:tcW w:w="1389" w:type="pct"/>
                </w:tcPr>
                <w:p w14:paraId="620FA5F4" w14:textId="77777777" w:rsidR="004C48C1" w:rsidRPr="00081671" w:rsidRDefault="004C48C1" w:rsidP="004C48C1">
                  <w:pPr>
                    <w:spacing w:after="240"/>
                    <w:rPr>
                      <w:b/>
                      <w:iCs/>
                      <w:sz w:val="20"/>
                    </w:rPr>
                  </w:pPr>
                  <w:r w:rsidRPr="00081671">
                    <w:rPr>
                      <w:b/>
                      <w:iCs/>
                      <w:sz w:val="20"/>
                    </w:rPr>
                    <w:lastRenderedPageBreak/>
                    <w:t>Variable</w:t>
                  </w:r>
                </w:p>
              </w:tc>
              <w:tc>
                <w:tcPr>
                  <w:tcW w:w="316" w:type="pct"/>
                </w:tcPr>
                <w:p w14:paraId="0D5E6CCB" w14:textId="77777777" w:rsidR="004C48C1" w:rsidRPr="00081671" w:rsidRDefault="004C48C1" w:rsidP="004C48C1">
                  <w:pPr>
                    <w:spacing w:after="240"/>
                    <w:rPr>
                      <w:b/>
                      <w:iCs/>
                      <w:sz w:val="20"/>
                    </w:rPr>
                  </w:pPr>
                  <w:r w:rsidRPr="00081671">
                    <w:rPr>
                      <w:b/>
                      <w:iCs/>
                      <w:sz w:val="20"/>
                    </w:rPr>
                    <w:t>Unit</w:t>
                  </w:r>
                </w:p>
              </w:tc>
              <w:tc>
                <w:tcPr>
                  <w:tcW w:w="3295" w:type="pct"/>
                </w:tcPr>
                <w:p w14:paraId="7A80517A" w14:textId="77777777" w:rsidR="004C48C1" w:rsidRPr="00081671" w:rsidRDefault="004C48C1" w:rsidP="004C48C1">
                  <w:pPr>
                    <w:spacing w:after="240"/>
                    <w:rPr>
                      <w:b/>
                      <w:iCs/>
                      <w:sz w:val="20"/>
                    </w:rPr>
                  </w:pPr>
                  <w:r w:rsidRPr="00081671">
                    <w:rPr>
                      <w:b/>
                      <w:iCs/>
                      <w:sz w:val="20"/>
                    </w:rPr>
                    <w:t>Definition</w:t>
                  </w:r>
                </w:p>
              </w:tc>
            </w:tr>
            <w:tr w:rsidR="004C48C1" w:rsidRPr="00081671" w14:paraId="3F040AAE" w14:textId="77777777" w:rsidTr="00CE1011">
              <w:trPr>
                <w:cantSplit/>
              </w:trPr>
              <w:tc>
                <w:tcPr>
                  <w:tcW w:w="1389" w:type="pct"/>
                </w:tcPr>
                <w:p w14:paraId="74BA7BD7" w14:textId="77777777" w:rsidR="004C48C1" w:rsidRPr="00081671" w:rsidRDefault="004C48C1" w:rsidP="004C48C1">
                  <w:pPr>
                    <w:spacing w:after="60"/>
                    <w:rPr>
                      <w:iCs/>
                      <w:sz w:val="20"/>
                    </w:rPr>
                  </w:pPr>
                  <w:r w:rsidRPr="00081671">
                    <w:rPr>
                      <w:iCs/>
                      <w:sz w:val="20"/>
                    </w:rPr>
                    <w:t>MRADEAMTTOT</w:t>
                  </w:r>
                </w:p>
              </w:tc>
              <w:tc>
                <w:tcPr>
                  <w:tcW w:w="316" w:type="pct"/>
                </w:tcPr>
                <w:p w14:paraId="312DD15B" w14:textId="77777777" w:rsidR="004C48C1" w:rsidRPr="00081671" w:rsidRDefault="004C48C1" w:rsidP="004C48C1">
                  <w:pPr>
                    <w:spacing w:after="60"/>
                    <w:rPr>
                      <w:iCs/>
                      <w:sz w:val="20"/>
                    </w:rPr>
                  </w:pPr>
                  <w:r w:rsidRPr="00081671">
                    <w:rPr>
                      <w:iCs/>
                      <w:sz w:val="20"/>
                    </w:rPr>
                    <w:t>$</w:t>
                  </w:r>
                </w:p>
              </w:tc>
              <w:tc>
                <w:tcPr>
                  <w:tcW w:w="3295" w:type="pct"/>
                </w:tcPr>
                <w:p w14:paraId="45C5596A"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Total by hour</w:t>
                  </w:r>
                  <w:r w:rsidRPr="00081671">
                    <w:rPr>
                      <w:iCs/>
                      <w:sz w:val="20"/>
                    </w:rPr>
                    <w:t xml:space="preserve">—The total </w:t>
                  </w:r>
                  <w:r w:rsidRPr="00081671">
                    <w:rPr>
                      <w:sz w:val="20"/>
                    </w:rPr>
                    <w:t xml:space="preserve">deployment event payment </w:t>
                  </w:r>
                  <w:r w:rsidRPr="00081671">
                    <w:rPr>
                      <w:iCs/>
                      <w:sz w:val="20"/>
                    </w:rPr>
                    <w:t xml:space="preserve">to all QSEs for all </w:t>
                  </w:r>
                  <w:r>
                    <w:rPr>
                      <w:iCs/>
                      <w:sz w:val="20"/>
                    </w:rPr>
                    <w:t>MRAs</w:t>
                  </w:r>
                  <w:r w:rsidRPr="00081671">
                    <w:rPr>
                      <w:iCs/>
                      <w:sz w:val="20"/>
                    </w:rPr>
                    <w:t xml:space="preserve">, for the hour.  </w:t>
                  </w:r>
                </w:p>
              </w:tc>
            </w:tr>
            <w:tr w:rsidR="004C48C1" w:rsidRPr="00081671" w14:paraId="17566785" w14:textId="77777777" w:rsidTr="00CE1011">
              <w:trPr>
                <w:cantSplit/>
              </w:trPr>
              <w:tc>
                <w:tcPr>
                  <w:tcW w:w="1389" w:type="pct"/>
                </w:tcPr>
                <w:p w14:paraId="191A8084" w14:textId="77777777" w:rsidR="004C48C1" w:rsidRPr="00081671" w:rsidRDefault="004C48C1" w:rsidP="004C48C1">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16" w:type="pct"/>
                </w:tcPr>
                <w:p w14:paraId="28C1107C" w14:textId="77777777" w:rsidR="004C48C1" w:rsidRPr="00081671" w:rsidRDefault="004C48C1" w:rsidP="004C48C1">
                  <w:pPr>
                    <w:spacing w:after="60"/>
                    <w:rPr>
                      <w:iCs/>
                      <w:sz w:val="20"/>
                    </w:rPr>
                  </w:pPr>
                  <w:r w:rsidRPr="00081671">
                    <w:rPr>
                      <w:iCs/>
                      <w:sz w:val="20"/>
                    </w:rPr>
                    <w:t>$</w:t>
                  </w:r>
                </w:p>
              </w:tc>
              <w:tc>
                <w:tcPr>
                  <w:tcW w:w="3295" w:type="pct"/>
                </w:tcPr>
                <w:p w14:paraId="11A2384C"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represented by the QSE </w:t>
                  </w:r>
                  <w:r w:rsidRPr="009701A9">
                    <w:rPr>
                      <w:i/>
                      <w:iCs/>
                      <w:sz w:val="20"/>
                    </w:rPr>
                    <w:t>q</w:t>
                  </w:r>
                  <w:r w:rsidRPr="00081671">
                    <w:rPr>
                      <w:iCs/>
                      <w:sz w:val="20"/>
                    </w:rPr>
                    <w:t xml:space="preserve"> for the </w:t>
                  </w:r>
                  <w:r>
                    <w:rPr>
                      <w:iCs/>
                      <w:sz w:val="20"/>
                    </w:rPr>
                    <w:t>MRA Contracted H</w:t>
                  </w:r>
                  <w:r w:rsidRPr="00081671">
                    <w:rPr>
                      <w:iCs/>
                      <w:sz w:val="20"/>
                    </w:rPr>
                    <w:t xml:space="preserve">our. </w:t>
                  </w:r>
                </w:p>
              </w:tc>
            </w:tr>
            <w:tr w:rsidR="004C48C1" w:rsidRPr="00081671" w14:paraId="54E1E164" w14:textId="77777777" w:rsidTr="00CE1011">
              <w:trPr>
                <w:cantSplit/>
              </w:trPr>
              <w:tc>
                <w:tcPr>
                  <w:tcW w:w="1389" w:type="pct"/>
                  <w:tcBorders>
                    <w:top w:val="single" w:sz="4" w:space="0" w:color="auto"/>
                    <w:left w:val="single" w:sz="4" w:space="0" w:color="auto"/>
                    <w:bottom w:val="single" w:sz="4" w:space="0" w:color="auto"/>
                    <w:right w:val="single" w:sz="4" w:space="0" w:color="auto"/>
                  </w:tcBorders>
                </w:tcPr>
                <w:p w14:paraId="68CE1DB9" w14:textId="77777777" w:rsidR="004C48C1" w:rsidRPr="00081671" w:rsidRDefault="004C48C1" w:rsidP="004C48C1">
                  <w:pPr>
                    <w:spacing w:after="60"/>
                    <w:rPr>
                      <w:i/>
                      <w:iCs/>
                      <w:sz w:val="20"/>
                    </w:rPr>
                  </w:pPr>
                  <w:r w:rsidRPr="00081671">
                    <w:rPr>
                      <w:i/>
                      <w:iCs/>
                      <w:sz w:val="20"/>
                    </w:rPr>
                    <w:t>q</w:t>
                  </w:r>
                </w:p>
              </w:tc>
              <w:tc>
                <w:tcPr>
                  <w:tcW w:w="316" w:type="pct"/>
                  <w:tcBorders>
                    <w:top w:val="single" w:sz="4" w:space="0" w:color="auto"/>
                    <w:left w:val="single" w:sz="4" w:space="0" w:color="auto"/>
                    <w:bottom w:val="single" w:sz="4" w:space="0" w:color="auto"/>
                    <w:right w:val="single" w:sz="4" w:space="0" w:color="auto"/>
                  </w:tcBorders>
                </w:tcPr>
                <w:p w14:paraId="46573C31" w14:textId="77777777" w:rsidR="004C48C1" w:rsidRPr="00081671" w:rsidRDefault="004C48C1" w:rsidP="004C48C1">
                  <w:pPr>
                    <w:spacing w:after="60"/>
                    <w:rPr>
                      <w:iCs/>
                      <w:sz w:val="20"/>
                    </w:rPr>
                  </w:pPr>
                  <w:r w:rsidRPr="0008167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BACF28E" w14:textId="77777777" w:rsidR="004C48C1" w:rsidRPr="00081671" w:rsidRDefault="004C48C1" w:rsidP="004C48C1">
                  <w:pPr>
                    <w:spacing w:after="60"/>
                    <w:rPr>
                      <w:iCs/>
                      <w:sz w:val="20"/>
                    </w:rPr>
                  </w:pPr>
                  <w:r w:rsidRPr="00081671">
                    <w:rPr>
                      <w:iCs/>
                      <w:sz w:val="20"/>
                    </w:rPr>
                    <w:t>A QSE.</w:t>
                  </w:r>
                </w:p>
              </w:tc>
            </w:tr>
          </w:tbl>
          <w:p w14:paraId="78908ED1" w14:textId="77777777" w:rsidR="000C1EEE" w:rsidRPr="00C3334D" w:rsidRDefault="000C1EEE" w:rsidP="00CE1011">
            <w:pPr>
              <w:spacing w:after="240"/>
              <w:ind w:left="720" w:hanging="720"/>
            </w:pPr>
          </w:p>
        </w:tc>
      </w:tr>
    </w:tbl>
    <w:p w14:paraId="641FDAFA" w14:textId="77777777" w:rsidR="00CE74E6" w:rsidRDefault="00CE74E6" w:rsidP="00CE74E6">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74E6" w14:paraId="5946FEA4" w14:textId="77777777" w:rsidTr="00CE1011">
        <w:trPr>
          <w:trHeight w:val="206"/>
        </w:trPr>
        <w:tc>
          <w:tcPr>
            <w:tcW w:w="5000" w:type="pct"/>
            <w:shd w:val="pct12" w:color="auto" w:fill="auto"/>
          </w:tcPr>
          <w:p w14:paraId="352087AE" w14:textId="33247592" w:rsidR="00CE74E6" w:rsidRDefault="00CE74E6" w:rsidP="00CE1011">
            <w:pPr>
              <w:pStyle w:val="Instructions"/>
              <w:spacing w:before="120"/>
            </w:pPr>
            <w:r>
              <w:t>[NPRR885</w:t>
            </w:r>
            <w:r w:rsidR="001754D0">
              <w:t>,</w:t>
            </w:r>
            <w:r w:rsidR="00537026">
              <w:t xml:space="preserve"> NPRR1010</w:t>
            </w:r>
            <w:r w:rsidR="001754D0">
              <w:t>, and NPRR1014</w:t>
            </w:r>
            <w:r>
              <w:t xml:space="preserve">:  Insert </w:t>
            </w:r>
            <w:r w:rsidR="00537026">
              <w:t xml:space="preserve">applicable portions of </w:t>
            </w:r>
            <w:r>
              <w:t>Section 6.6.6.10 below upon system implementation</w:t>
            </w:r>
            <w:r w:rsidR="00537026">
              <w:t xml:space="preserve"> for NPRR885</w:t>
            </w:r>
            <w:r w:rsidR="001754D0">
              <w:t xml:space="preserve"> or NPRR1014</w:t>
            </w:r>
            <w:r w:rsidR="00537026">
              <w:t>; or upon system implementation of the Real-Time Co-Optimization (RTC) project for NPRR1010</w:t>
            </w:r>
            <w:r>
              <w:t>:]</w:t>
            </w:r>
          </w:p>
          <w:p w14:paraId="3C01F667" w14:textId="77777777" w:rsidR="00CE74E6" w:rsidRPr="00CE74E6" w:rsidRDefault="00CE74E6" w:rsidP="00427EDA">
            <w:pPr>
              <w:keepNext/>
              <w:widowControl w:val="0"/>
              <w:tabs>
                <w:tab w:val="left" w:pos="1260"/>
              </w:tabs>
              <w:spacing w:before="240" w:after="240"/>
              <w:ind w:left="1267" w:hanging="1267"/>
              <w:outlineLvl w:val="3"/>
              <w:rPr>
                <w:b/>
                <w:bCs/>
                <w:snapToGrid w:val="0"/>
                <w:color w:val="000000"/>
              </w:rPr>
            </w:pPr>
            <w:bookmarkStart w:id="2401" w:name="_Toc17798757"/>
            <w:bookmarkStart w:id="2402" w:name="_Toc189044455"/>
            <w:r w:rsidRPr="00CE74E6">
              <w:rPr>
                <w:b/>
                <w:bCs/>
                <w:snapToGrid w:val="0"/>
                <w:color w:val="000000"/>
              </w:rPr>
              <w:t>6.6.6.10</w:t>
            </w:r>
            <w:r w:rsidRPr="00CE74E6">
              <w:rPr>
                <w:b/>
                <w:bCs/>
                <w:snapToGrid w:val="0"/>
                <w:color w:val="000000"/>
              </w:rPr>
              <w:tab/>
              <w:t>MRA Variable Payment for Deployment</w:t>
            </w:r>
            <w:bookmarkEnd w:id="2401"/>
            <w:bookmarkEnd w:id="2402"/>
            <w:r w:rsidRPr="00CE74E6">
              <w:rPr>
                <w:b/>
                <w:bCs/>
                <w:snapToGrid w:val="0"/>
                <w:color w:val="000000"/>
              </w:rPr>
              <w:t xml:space="preserve"> </w:t>
            </w:r>
          </w:p>
          <w:p w14:paraId="32569F3E" w14:textId="77777777" w:rsidR="00CE74E6" w:rsidRPr="008431E4" w:rsidRDefault="00CE74E6" w:rsidP="00CE74E6">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4027CE7D" w14:textId="77777777" w:rsidR="00CE74E6" w:rsidRDefault="00CE74E6" w:rsidP="00CE74E6">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ERCOT</w:t>
            </w:r>
          </w:p>
          <w:p w14:paraId="52295764"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170A8A32" w14:textId="77777777" w:rsidR="00CE74E6" w:rsidRPr="00480585" w:rsidRDefault="00CE74E6" w:rsidP="00CE74E6">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0A64651A"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48874E1E" w14:textId="77777777" w:rsidR="00CE74E6" w:rsidRPr="005A6FD5" w:rsidRDefault="00CE74E6" w:rsidP="00CE74E6">
            <w:pPr>
              <w:tabs>
                <w:tab w:val="left" w:pos="2700"/>
                <w:tab w:val="left" w:pos="3150"/>
              </w:tabs>
              <w:spacing w:after="240"/>
              <w:ind w:left="1440"/>
              <w:contextualSpacing/>
              <w:rPr>
                <w:bCs/>
                <w:lang w:val="pt-BR"/>
              </w:rPr>
            </w:pPr>
            <w:r w:rsidRPr="005A6FD5">
              <w:rPr>
                <w:bCs/>
                <w:color w:val="000000"/>
                <w:lang w:val="pt-BR"/>
              </w:rPr>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09CCAD2B" w14:textId="77777777" w:rsidR="00CE74E6" w:rsidRPr="00273E66" w:rsidRDefault="00CE74E6" w:rsidP="00CE74E6">
            <w:pPr>
              <w:ind w:left="720"/>
            </w:pPr>
            <w:r w:rsidRPr="00343E5E">
              <w:t xml:space="preserve">Where, </w:t>
            </w:r>
          </w:p>
          <w:p w14:paraId="0C1BFD0D" w14:textId="77777777" w:rsidR="00CE74E6" w:rsidRPr="00AA14BE" w:rsidRDefault="00CE74E6" w:rsidP="00CE74E6"/>
          <w:p w14:paraId="28C79891" w14:textId="4F54E17F" w:rsidR="00CE74E6" w:rsidRPr="005A6FD5" w:rsidRDefault="00CE74E6" w:rsidP="00CE74E6">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00A94020" w:rsidRPr="00CE74E6">
              <w:rPr>
                <w:noProof/>
                <w:position w:val="-20"/>
              </w:rPr>
              <w:drawing>
                <wp:inline distT="0" distB="0" distL="0" distR="0" wp14:anchorId="550498CA" wp14:editId="05F2D152">
                  <wp:extent cx="180975" cy="361950"/>
                  <wp:effectExtent l="0" t="0" r="9525"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0C34B909" w14:textId="77777777" w:rsidR="00CE74E6" w:rsidRPr="005A6FD5" w:rsidRDefault="00CE74E6" w:rsidP="00CE74E6">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5DAB5740" w14:textId="14B94E25" w:rsidR="00CE74E6" w:rsidRPr="005A6FD5" w:rsidRDefault="00CE74E6" w:rsidP="00CE74E6">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00A94020" w:rsidRPr="00CE74E6">
              <w:rPr>
                <w:noProof/>
                <w:position w:val="-20"/>
              </w:rPr>
              <w:drawing>
                <wp:inline distT="0" distB="0" distL="0" distR="0" wp14:anchorId="2C665D11" wp14:editId="6BF79919">
                  <wp:extent cx="180975" cy="361950"/>
                  <wp:effectExtent l="0" t="0" r="9525"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q, r, gsc,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113F08F2" w14:textId="77777777" w:rsidR="00CE74E6" w:rsidRPr="005A6FD5" w:rsidRDefault="00CE74E6" w:rsidP="00CE74E6">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3A46E576" w14:textId="77777777" w:rsidR="00CE74E6" w:rsidRPr="008431E4" w:rsidRDefault="00CE74E6" w:rsidP="00CE74E6">
            <w:pPr>
              <w:pStyle w:val="BodyTextNumbered"/>
              <w:spacing w:before="240"/>
            </w:pPr>
            <w:r w:rsidRPr="00CE74E6">
              <w:rPr>
                <w:color w:val="000000"/>
              </w:rPr>
              <w:t>(2)</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4CDDA686"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E4A4788" w14:textId="77777777" w:rsidR="00CE74E6" w:rsidRPr="008431E4" w:rsidRDefault="00CE74E6" w:rsidP="00CE74E6">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32A718FA" w14:textId="77777777" w:rsidR="00CE74E6" w:rsidRPr="008431E4" w:rsidRDefault="00CE74E6" w:rsidP="00CE74E6">
            <w:pPr>
              <w:tabs>
                <w:tab w:val="left" w:pos="2700"/>
                <w:tab w:val="left" w:pos="3150"/>
              </w:tabs>
              <w:spacing w:after="240"/>
              <w:ind w:left="720"/>
              <w:contextualSpacing/>
              <w:rPr>
                <w:bCs/>
                <w:lang w:val="pt-BR"/>
              </w:rPr>
            </w:pPr>
          </w:p>
          <w:p w14:paraId="4F76104D"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F5C3FDF" w14:textId="77777777" w:rsidR="00CE74E6" w:rsidRPr="008431E4" w:rsidRDefault="00CE74E6" w:rsidP="00CE74E6">
            <w:pPr>
              <w:tabs>
                <w:tab w:val="left" w:pos="720"/>
                <w:tab w:val="left" w:pos="3150"/>
              </w:tabs>
              <w:spacing w:after="240"/>
              <w:ind w:left="1440"/>
              <w:rPr>
                <w:bCs/>
                <w:lang w:val="pt-BR"/>
              </w:rPr>
            </w:pPr>
            <w:r w:rsidRPr="008431E4">
              <w:rPr>
                <w:bCs/>
                <w:color w:val="000000"/>
                <w:lang w:val="pt-BR"/>
              </w:rPr>
              <w:lastRenderedPageBreak/>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0B4F6B" w14:textId="77777777" w:rsidR="00CE74E6" w:rsidRPr="008431E4" w:rsidRDefault="00CE74E6" w:rsidP="00CE74E6">
            <w:pPr>
              <w:ind w:firstLine="720"/>
            </w:pPr>
            <w:r w:rsidRPr="008431E4">
              <w:t xml:space="preserve">Where, </w:t>
            </w:r>
          </w:p>
          <w:p w14:paraId="79F263A8" w14:textId="77777777" w:rsidR="00CE74E6" w:rsidRPr="008431E4" w:rsidRDefault="00CE74E6" w:rsidP="00CE74E6"/>
          <w:p w14:paraId="62E60F2D" w14:textId="12B4FF8D" w:rsidR="00CE74E6" w:rsidRDefault="00CE74E6" w:rsidP="00CE74E6">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00A94020" w:rsidRPr="00CE74E6">
              <w:rPr>
                <w:noProof/>
                <w:position w:val="-20"/>
              </w:rPr>
              <w:drawing>
                <wp:inline distT="0" distB="0" distL="0" distR="0" wp14:anchorId="6E0D2D4A" wp14:editId="7F5FA11E">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2EE127F6" w14:textId="77777777" w:rsidR="00CE74E6" w:rsidRPr="00795576" w:rsidRDefault="00CE74E6" w:rsidP="00CE74E6">
            <w:pPr>
              <w:tabs>
                <w:tab w:val="left" w:pos="2700"/>
                <w:tab w:val="left" w:pos="3150"/>
              </w:tabs>
              <w:spacing w:after="240"/>
              <w:rPr>
                <w:bCs/>
                <w:i/>
                <w:vertAlign w:val="subscript"/>
                <w:lang w:val="pt-BR"/>
              </w:rPr>
            </w:pPr>
            <w:r>
              <w:rPr>
                <w:bCs/>
                <w:lang w:val="pt-BR"/>
              </w:rPr>
              <w:tab/>
            </w:r>
            <w:r w:rsidRPr="00795576">
              <w:rPr>
                <w:bCs/>
                <w:lang w:val="pt-BR"/>
              </w:rPr>
              <w:t xml:space="preserve">RTVQ </w:t>
            </w:r>
            <w:r w:rsidRPr="00795576">
              <w:rPr>
                <w:bCs/>
                <w:i/>
                <w:vertAlign w:val="subscript"/>
                <w:lang w:val="pt-BR"/>
              </w:rPr>
              <w:t>q, r, i</w:t>
            </w:r>
          </w:p>
          <w:p w14:paraId="0EC6D074" w14:textId="1177F1CE" w:rsidR="00CE74E6" w:rsidRPr="00795576" w:rsidRDefault="00CE74E6" w:rsidP="00CE74E6">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00A94020" w:rsidRPr="00CE74E6">
              <w:rPr>
                <w:noProof/>
                <w:position w:val="-20"/>
              </w:rPr>
              <w:drawing>
                <wp:inline distT="0" distB="0" distL="0" distR="0" wp14:anchorId="0A8F611A" wp14:editId="5156FEC0">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7C379B93" w14:textId="77777777" w:rsidR="00CE74E6" w:rsidRDefault="00CE74E6" w:rsidP="00CE74E6">
            <w:pPr>
              <w:tabs>
                <w:tab w:val="left" w:pos="2700"/>
                <w:tab w:val="left" w:pos="3150"/>
              </w:tabs>
              <w:spacing w:after="240"/>
              <w:ind w:left="3150" w:hanging="2430"/>
              <w:rPr>
                <w:bCs/>
                <w:color w:val="000000"/>
                <w:lang w:val="pt-BR"/>
              </w:rPr>
            </w:pPr>
            <w:r w:rsidRPr="00795576">
              <w:rPr>
                <w:bCs/>
                <w:color w:val="000000"/>
                <w:lang w:val="pt-BR"/>
              </w:rPr>
              <w:t>Where,</w:t>
            </w:r>
          </w:p>
          <w:p w14:paraId="7C584166"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60D1CE94" w14:textId="77777777" w:rsidR="00CE74E6" w:rsidRPr="00081671" w:rsidRDefault="00CE74E6" w:rsidP="00CE74E6">
            <w:pPr>
              <w:pStyle w:val="BodyTextNumbered"/>
              <w:spacing w:before="240"/>
            </w:pPr>
            <w:r w:rsidRPr="00CE74E6">
              <w:rPr>
                <w:color w:val="000000"/>
              </w:rPr>
              <w:t>(3)</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6BEEEC97"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47F73B1D" w14:textId="5920EFC9" w:rsidR="00CE74E6" w:rsidRDefault="00CE74E6" w:rsidP="00CE74E6">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00A94020" w:rsidRPr="00CE74E6">
              <w:rPr>
                <w:noProof/>
                <w:position w:val="-20"/>
              </w:rPr>
              <w:drawing>
                <wp:inline distT="0" distB="0" distL="0" distR="0" wp14:anchorId="398CE79B" wp14:editId="18B7AAD2">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2A3B4DA" w14:textId="77777777" w:rsidR="00CE74E6" w:rsidRDefault="00CE74E6" w:rsidP="00CE74E6">
            <w:pPr>
              <w:tabs>
                <w:tab w:val="left" w:pos="2700"/>
                <w:tab w:val="left" w:pos="3150"/>
              </w:tabs>
              <w:spacing w:after="240"/>
              <w:ind w:left="3150" w:hanging="2430"/>
              <w:rPr>
                <w:bCs/>
                <w:color w:val="000000"/>
                <w:lang w:val="pt-BR"/>
              </w:rPr>
            </w:pPr>
            <w:r>
              <w:rPr>
                <w:bCs/>
                <w:color w:val="000000"/>
                <w:lang w:val="pt-BR"/>
              </w:rPr>
              <w:t>Where,</w:t>
            </w:r>
          </w:p>
          <w:p w14:paraId="0D5E0FED"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C95ACF8" w14:textId="77777777" w:rsidR="00CE74E6" w:rsidRPr="008431E4" w:rsidRDefault="00CE74E6" w:rsidP="00CE74E6">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A76C0B" w:rsidRPr="008431E4" w14:paraId="12AD754E" w14:textId="77777777" w:rsidTr="00CE1011">
              <w:trPr>
                <w:cantSplit/>
                <w:tblHeader/>
              </w:trPr>
              <w:tc>
                <w:tcPr>
                  <w:tcW w:w="1885" w:type="dxa"/>
                </w:tcPr>
                <w:p w14:paraId="451996F0" w14:textId="77777777" w:rsidR="00A76C0B" w:rsidRPr="00081671" w:rsidRDefault="00A76C0B" w:rsidP="00A76C0B">
                  <w:pPr>
                    <w:spacing w:after="120"/>
                    <w:rPr>
                      <w:b/>
                      <w:iCs/>
                      <w:sz w:val="20"/>
                    </w:rPr>
                  </w:pPr>
                  <w:r w:rsidRPr="00081671">
                    <w:rPr>
                      <w:b/>
                      <w:iCs/>
                      <w:sz w:val="20"/>
                    </w:rPr>
                    <w:t>Variable</w:t>
                  </w:r>
                </w:p>
              </w:tc>
              <w:tc>
                <w:tcPr>
                  <w:tcW w:w="1080" w:type="dxa"/>
                </w:tcPr>
                <w:p w14:paraId="01C03DF2" w14:textId="77777777" w:rsidR="00A76C0B" w:rsidRPr="00081671" w:rsidRDefault="00A76C0B" w:rsidP="00A76C0B">
                  <w:pPr>
                    <w:spacing w:after="120"/>
                    <w:rPr>
                      <w:b/>
                      <w:iCs/>
                      <w:sz w:val="20"/>
                    </w:rPr>
                  </w:pPr>
                  <w:r w:rsidRPr="00081671">
                    <w:rPr>
                      <w:b/>
                      <w:iCs/>
                      <w:sz w:val="20"/>
                    </w:rPr>
                    <w:t>Unit</w:t>
                  </w:r>
                </w:p>
              </w:tc>
              <w:tc>
                <w:tcPr>
                  <w:tcW w:w="6300" w:type="dxa"/>
                </w:tcPr>
                <w:p w14:paraId="47152EB3" w14:textId="77777777" w:rsidR="00A76C0B" w:rsidRPr="00081671" w:rsidRDefault="00A76C0B" w:rsidP="00A76C0B">
                  <w:pPr>
                    <w:spacing w:after="120"/>
                    <w:rPr>
                      <w:b/>
                      <w:iCs/>
                      <w:sz w:val="20"/>
                    </w:rPr>
                  </w:pPr>
                  <w:r w:rsidRPr="00081671">
                    <w:rPr>
                      <w:b/>
                      <w:iCs/>
                      <w:sz w:val="20"/>
                    </w:rPr>
                    <w:t>Definition</w:t>
                  </w:r>
                </w:p>
              </w:tc>
            </w:tr>
            <w:tr w:rsidR="00A76C0B" w:rsidRPr="008431E4" w14:paraId="107C7AF7" w14:textId="77777777" w:rsidTr="00CE1011">
              <w:trPr>
                <w:cantSplit/>
              </w:trPr>
              <w:tc>
                <w:tcPr>
                  <w:tcW w:w="1885" w:type="dxa"/>
                  <w:shd w:val="clear" w:color="auto" w:fill="auto"/>
                </w:tcPr>
                <w:p w14:paraId="2379E783" w14:textId="77777777" w:rsidR="00A76C0B" w:rsidRPr="00081671" w:rsidRDefault="00A76C0B" w:rsidP="00A76C0B">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16B34C95" w14:textId="77777777" w:rsidR="00A76C0B" w:rsidRPr="00081671" w:rsidRDefault="00A76C0B" w:rsidP="00A76C0B">
                  <w:pPr>
                    <w:spacing w:after="60"/>
                    <w:rPr>
                      <w:iCs/>
                      <w:sz w:val="20"/>
                    </w:rPr>
                  </w:pPr>
                  <w:r w:rsidRPr="00081671">
                    <w:rPr>
                      <w:iCs/>
                      <w:sz w:val="20"/>
                    </w:rPr>
                    <w:t>$</w:t>
                  </w:r>
                </w:p>
              </w:tc>
              <w:tc>
                <w:tcPr>
                  <w:tcW w:w="6300" w:type="dxa"/>
                </w:tcPr>
                <w:p w14:paraId="778DA83F" w14:textId="77777777" w:rsidR="00A76C0B" w:rsidRPr="00081671" w:rsidRDefault="00A76C0B" w:rsidP="00A76C0B">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6C073B4" w14:textId="77777777" w:rsidTr="00CE1011">
              <w:trPr>
                <w:cantSplit/>
              </w:trPr>
              <w:tc>
                <w:tcPr>
                  <w:tcW w:w="1885" w:type="dxa"/>
                  <w:shd w:val="clear" w:color="auto" w:fill="auto"/>
                </w:tcPr>
                <w:p w14:paraId="128615CC" w14:textId="77777777" w:rsidR="00A76C0B" w:rsidRPr="00081671" w:rsidRDefault="00A76C0B" w:rsidP="00A76C0B">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3CFEF233" w14:textId="77777777" w:rsidR="00A76C0B" w:rsidRPr="00081671" w:rsidRDefault="00A76C0B" w:rsidP="00A76C0B">
                  <w:pPr>
                    <w:spacing w:after="60"/>
                    <w:rPr>
                      <w:iCs/>
                      <w:sz w:val="20"/>
                    </w:rPr>
                  </w:pPr>
                  <w:r w:rsidRPr="00081671">
                    <w:rPr>
                      <w:iCs/>
                      <w:sz w:val="20"/>
                    </w:rPr>
                    <w:t>$</w:t>
                  </w:r>
                </w:p>
              </w:tc>
              <w:tc>
                <w:tcPr>
                  <w:tcW w:w="6300" w:type="dxa"/>
                </w:tcPr>
                <w:p w14:paraId="1B9E661F" w14:textId="77777777" w:rsidR="00A76C0B" w:rsidRPr="00081671" w:rsidRDefault="00A76C0B" w:rsidP="00A76C0B">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158FC4D6" w14:textId="77777777" w:rsidTr="00CE1011">
              <w:trPr>
                <w:cantSplit/>
              </w:trPr>
              <w:tc>
                <w:tcPr>
                  <w:tcW w:w="1885" w:type="dxa"/>
                </w:tcPr>
                <w:p w14:paraId="40237BF5" w14:textId="77777777" w:rsidR="00A76C0B" w:rsidRPr="00081671" w:rsidRDefault="00A76C0B" w:rsidP="00A76C0B">
                  <w:pPr>
                    <w:spacing w:after="60"/>
                    <w:rPr>
                      <w:iCs/>
                      <w:sz w:val="20"/>
                    </w:rPr>
                  </w:pPr>
                  <w:r w:rsidRPr="00081671">
                    <w:rPr>
                      <w:iCs/>
                      <w:sz w:val="20"/>
                    </w:rPr>
                    <w:t>FIP</w:t>
                  </w:r>
                </w:p>
              </w:tc>
              <w:tc>
                <w:tcPr>
                  <w:tcW w:w="1080" w:type="dxa"/>
                </w:tcPr>
                <w:p w14:paraId="2C574F5B" w14:textId="77777777" w:rsidR="00A76C0B" w:rsidRPr="00081671" w:rsidRDefault="00A76C0B" w:rsidP="00A76C0B">
                  <w:pPr>
                    <w:spacing w:after="60"/>
                    <w:rPr>
                      <w:iCs/>
                      <w:sz w:val="20"/>
                    </w:rPr>
                  </w:pPr>
                  <w:r w:rsidRPr="00081671">
                    <w:rPr>
                      <w:iCs/>
                      <w:sz w:val="20"/>
                    </w:rPr>
                    <w:t>$/MMBtu</w:t>
                  </w:r>
                </w:p>
              </w:tc>
              <w:tc>
                <w:tcPr>
                  <w:tcW w:w="6300" w:type="dxa"/>
                </w:tcPr>
                <w:p w14:paraId="2C8C185F" w14:textId="77777777" w:rsidR="00A76C0B" w:rsidRPr="00081671" w:rsidRDefault="00A76C0B" w:rsidP="00A76C0B">
                  <w:pPr>
                    <w:spacing w:after="60"/>
                    <w:rPr>
                      <w:iCs/>
                      <w:sz w:val="20"/>
                    </w:rPr>
                  </w:pPr>
                  <w:r w:rsidRPr="00081671">
                    <w:rPr>
                      <w:i/>
                      <w:iCs/>
                      <w:sz w:val="20"/>
                    </w:rPr>
                    <w:t>Fuel Index Price</w:t>
                  </w:r>
                  <w:r w:rsidRPr="00081671">
                    <w:rPr>
                      <w:iCs/>
                      <w:sz w:val="20"/>
                    </w:rPr>
                    <w:t>—The FIP for the Operating Day.</w:t>
                  </w:r>
                </w:p>
              </w:tc>
            </w:tr>
            <w:tr w:rsidR="00A76C0B" w:rsidRPr="008431E4" w14:paraId="35372463" w14:textId="77777777" w:rsidTr="00CE1011">
              <w:trPr>
                <w:cantSplit/>
              </w:trPr>
              <w:tc>
                <w:tcPr>
                  <w:tcW w:w="1885" w:type="dxa"/>
                </w:tcPr>
                <w:p w14:paraId="477F14CB" w14:textId="77777777" w:rsidR="00A76C0B" w:rsidRPr="00081671" w:rsidRDefault="00A76C0B" w:rsidP="00A76C0B">
                  <w:pPr>
                    <w:spacing w:after="60"/>
                    <w:rPr>
                      <w:iCs/>
                      <w:sz w:val="20"/>
                    </w:rPr>
                  </w:pPr>
                  <w:r w:rsidRPr="00081671">
                    <w:rPr>
                      <w:bCs/>
                      <w:color w:val="000000"/>
                      <w:sz w:val="20"/>
                      <w:lang w:val="pt-BR"/>
                    </w:rPr>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14D7B6C" w14:textId="77777777" w:rsidR="00A76C0B" w:rsidRPr="00081671" w:rsidRDefault="00A76C0B" w:rsidP="00A76C0B">
                  <w:pPr>
                    <w:spacing w:after="60"/>
                    <w:rPr>
                      <w:iCs/>
                      <w:sz w:val="20"/>
                    </w:rPr>
                  </w:pPr>
                  <w:r w:rsidRPr="00081671">
                    <w:rPr>
                      <w:iCs/>
                      <w:sz w:val="20"/>
                    </w:rPr>
                    <w:t>$</w:t>
                  </w:r>
                </w:p>
              </w:tc>
              <w:tc>
                <w:tcPr>
                  <w:tcW w:w="6300" w:type="dxa"/>
                </w:tcPr>
                <w:p w14:paraId="4484C99B" w14:textId="77777777" w:rsidR="00A76C0B" w:rsidRPr="00081671" w:rsidRDefault="00A76C0B" w:rsidP="00A76C0B">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676C5212" w14:textId="77777777" w:rsidTr="00CE1011">
              <w:trPr>
                <w:cantSplit/>
              </w:trPr>
              <w:tc>
                <w:tcPr>
                  <w:tcW w:w="1885" w:type="dxa"/>
                </w:tcPr>
                <w:p w14:paraId="1F7BC514" w14:textId="77777777" w:rsidR="00A76C0B" w:rsidRPr="00081671" w:rsidRDefault="00A76C0B" w:rsidP="00A76C0B">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A44654F" w14:textId="77777777" w:rsidR="00A76C0B" w:rsidRPr="00081671" w:rsidRDefault="00A76C0B" w:rsidP="00A76C0B">
                  <w:pPr>
                    <w:spacing w:after="60"/>
                    <w:rPr>
                      <w:iCs/>
                      <w:sz w:val="20"/>
                    </w:rPr>
                  </w:pPr>
                  <w:r w:rsidRPr="00081671">
                    <w:rPr>
                      <w:iCs/>
                      <w:sz w:val="20"/>
                    </w:rPr>
                    <w:t>MW</w:t>
                  </w:r>
                </w:p>
              </w:tc>
              <w:tc>
                <w:tcPr>
                  <w:tcW w:w="6300" w:type="dxa"/>
                </w:tcPr>
                <w:p w14:paraId="5CEF67C1" w14:textId="77777777" w:rsidR="00A76C0B" w:rsidRPr="00081671" w:rsidRDefault="00A76C0B" w:rsidP="00A76C0B">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A76C0B" w:rsidRPr="008431E4" w14:paraId="018E4B00" w14:textId="77777777" w:rsidTr="00CE1011">
              <w:trPr>
                <w:cantSplit/>
              </w:trPr>
              <w:tc>
                <w:tcPr>
                  <w:tcW w:w="1885" w:type="dxa"/>
                  <w:shd w:val="clear" w:color="auto" w:fill="auto"/>
                </w:tcPr>
                <w:p w14:paraId="41955927" w14:textId="77777777" w:rsidR="00A76C0B" w:rsidRPr="00081671" w:rsidRDefault="00A76C0B" w:rsidP="00A76C0B">
                  <w:pPr>
                    <w:spacing w:after="60"/>
                    <w:rPr>
                      <w:sz w:val="20"/>
                    </w:rPr>
                  </w:pPr>
                  <w:r w:rsidRPr="00AC38FB">
                    <w:rPr>
                      <w:iCs/>
                      <w:sz w:val="20"/>
                    </w:rPr>
                    <w:lastRenderedPageBreak/>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1989F421" w14:textId="77777777" w:rsidR="00A76C0B" w:rsidRPr="00081671" w:rsidRDefault="00A76C0B" w:rsidP="00A76C0B">
                  <w:pPr>
                    <w:spacing w:after="60"/>
                    <w:rPr>
                      <w:iCs/>
                      <w:sz w:val="20"/>
                    </w:rPr>
                  </w:pPr>
                  <w:r>
                    <w:rPr>
                      <w:sz w:val="20"/>
                    </w:rPr>
                    <w:t>n</w:t>
                  </w:r>
                  <w:r w:rsidRPr="00AC38FB">
                    <w:rPr>
                      <w:sz w:val="20"/>
                    </w:rPr>
                    <w:t>one</w:t>
                  </w:r>
                </w:p>
              </w:tc>
              <w:tc>
                <w:tcPr>
                  <w:tcW w:w="6300" w:type="dxa"/>
                  <w:shd w:val="clear" w:color="auto" w:fill="auto"/>
                </w:tcPr>
                <w:p w14:paraId="5C6749FD" w14:textId="77777777" w:rsidR="00A76C0B" w:rsidRPr="00081671" w:rsidRDefault="00A76C0B" w:rsidP="00A76C0B">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A76C0B" w:rsidRPr="008431E4" w14:paraId="6553FCBB" w14:textId="77777777" w:rsidTr="00CE1011">
              <w:trPr>
                <w:cantSplit/>
              </w:trPr>
              <w:tc>
                <w:tcPr>
                  <w:tcW w:w="1885" w:type="dxa"/>
                </w:tcPr>
                <w:p w14:paraId="4ADFFB8B" w14:textId="77777777" w:rsidR="00A76C0B" w:rsidRPr="00081671" w:rsidRDefault="00A76C0B" w:rsidP="00A76C0B">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0DC1D459" w14:textId="77777777" w:rsidR="00A76C0B" w:rsidRPr="00081671" w:rsidRDefault="00A76C0B" w:rsidP="00A76C0B">
                  <w:pPr>
                    <w:spacing w:after="60"/>
                    <w:rPr>
                      <w:iCs/>
                      <w:sz w:val="20"/>
                    </w:rPr>
                  </w:pPr>
                  <w:r w:rsidRPr="00081671">
                    <w:rPr>
                      <w:iCs/>
                      <w:sz w:val="20"/>
                    </w:rPr>
                    <w:t>$</w:t>
                  </w:r>
                </w:p>
              </w:tc>
              <w:tc>
                <w:tcPr>
                  <w:tcW w:w="6300" w:type="dxa"/>
                </w:tcPr>
                <w:p w14:paraId="5FFC18E5" w14:textId="77777777" w:rsidR="00A76C0B" w:rsidRPr="00081671" w:rsidRDefault="00A76C0B" w:rsidP="00A76C0B">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0A96FCC" w14:textId="77777777" w:rsidTr="00CE1011">
              <w:trPr>
                <w:cantSplit/>
              </w:trPr>
              <w:tc>
                <w:tcPr>
                  <w:tcW w:w="1885" w:type="dxa"/>
                </w:tcPr>
                <w:p w14:paraId="62136F38" w14:textId="77777777" w:rsidR="00A76C0B" w:rsidRPr="00081671" w:rsidRDefault="00A76C0B" w:rsidP="00A76C0B">
                  <w:pPr>
                    <w:spacing w:after="60"/>
                    <w:rPr>
                      <w:bCs/>
                      <w:color w:val="000000"/>
                      <w:sz w:val="20"/>
                      <w:lang w:val="pt-BR"/>
                    </w:rPr>
                  </w:pPr>
                  <w:r w:rsidRPr="00081671">
                    <w:rPr>
                      <w:sz w:val="20"/>
                    </w:rPr>
                    <w:t xml:space="preserve">VSSVARAMT </w:t>
                  </w:r>
                  <w:r w:rsidRPr="00081671">
                    <w:rPr>
                      <w:i/>
                      <w:sz w:val="20"/>
                      <w:vertAlign w:val="subscript"/>
                    </w:rPr>
                    <w:t>q, r, i</w:t>
                  </w:r>
                </w:p>
              </w:tc>
              <w:tc>
                <w:tcPr>
                  <w:tcW w:w="1080" w:type="dxa"/>
                </w:tcPr>
                <w:p w14:paraId="1E9E96A8" w14:textId="77777777" w:rsidR="00A76C0B" w:rsidRPr="00081671" w:rsidRDefault="00A76C0B" w:rsidP="00A76C0B">
                  <w:pPr>
                    <w:spacing w:after="60"/>
                    <w:rPr>
                      <w:iCs/>
                      <w:sz w:val="20"/>
                    </w:rPr>
                  </w:pPr>
                  <w:r w:rsidRPr="00081671">
                    <w:rPr>
                      <w:iCs/>
                      <w:sz w:val="20"/>
                    </w:rPr>
                    <w:t>$</w:t>
                  </w:r>
                </w:p>
              </w:tc>
              <w:tc>
                <w:tcPr>
                  <w:tcW w:w="6300" w:type="dxa"/>
                </w:tcPr>
                <w:p w14:paraId="4506604E" w14:textId="77777777" w:rsidR="00A76C0B" w:rsidRPr="00081671" w:rsidRDefault="00A76C0B" w:rsidP="00A76C0B">
                  <w:pPr>
                    <w:spacing w:after="60"/>
                    <w:rPr>
                      <w:i/>
                      <w:iCs/>
                      <w:sz w:val="20"/>
                    </w:rPr>
                  </w:pPr>
                  <w:r w:rsidRPr="00081671">
                    <w:rPr>
                      <w:i/>
                      <w:sz w:val="20"/>
                    </w:rPr>
                    <w:t xml:space="preserve">Voltage Support Service VAr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A76C0B" w:rsidRPr="008431E4" w14:paraId="799B312F" w14:textId="77777777" w:rsidTr="00CE1011">
              <w:trPr>
                <w:cantSplit/>
              </w:trPr>
              <w:tc>
                <w:tcPr>
                  <w:tcW w:w="1885" w:type="dxa"/>
                </w:tcPr>
                <w:p w14:paraId="1F32A853" w14:textId="77777777" w:rsidR="00A76C0B" w:rsidRPr="00081671" w:rsidRDefault="00A76C0B" w:rsidP="00A76C0B">
                  <w:pPr>
                    <w:spacing w:after="60"/>
                    <w:rPr>
                      <w:sz w:val="20"/>
                    </w:rPr>
                  </w:pPr>
                  <w:r w:rsidRPr="00081671">
                    <w:rPr>
                      <w:sz w:val="20"/>
                    </w:rPr>
                    <w:t xml:space="preserve">VSSEAMT </w:t>
                  </w:r>
                  <w:r w:rsidRPr="00081671">
                    <w:rPr>
                      <w:i/>
                      <w:sz w:val="20"/>
                      <w:vertAlign w:val="subscript"/>
                    </w:rPr>
                    <w:t>q, r, i</w:t>
                  </w:r>
                </w:p>
              </w:tc>
              <w:tc>
                <w:tcPr>
                  <w:tcW w:w="1080" w:type="dxa"/>
                </w:tcPr>
                <w:p w14:paraId="75702901" w14:textId="77777777" w:rsidR="00A76C0B" w:rsidRPr="00081671" w:rsidRDefault="00A76C0B" w:rsidP="00A76C0B">
                  <w:pPr>
                    <w:spacing w:after="60"/>
                    <w:rPr>
                      <w:iCs/>
                      <w:sz w:val="20"/>
                    </w:rPr>
                  </w:pPr>
                  <w:r w:rsidRPr="00081671">
                    <w:rPr>
                      <w:iCs/>
                      <w:sz w:val="20"/>
                    </w:rPr>
                    <w:t>$</w:t>
                  </w:r>
                </w:p>
              </w:tc>
              <w:tc>
                <w:tcPr>
                  <w:tcW w:w="6300" w:type="dxa"/>
                </w:tcPr>
                <w:p w14:paraId="6AE1F5AF" w14:textId="77777777" w:rsidR="00A76C0B" w:rsidRPr="00081671" w:rsidRDefault="00A76C0B" w:rsidP="00A76C0B">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A76C0B" w:rsidRPr="008431E4" w14:paraId="623C6706" w14:textId="77777777" w:rsidTr="00CE1011">
              <w:trPr>
                <w:cantSplit/>
              </w:trPr>
              <w:tc>
                <w:tcPr>
                  <w:tcW w:w="1885" w:type="dxa"/>
                </w:tcPr>
                <w:p w14:paraId="51BAC698" w14:textId="77777777" w:rsidR="00A76C0B" w:rsidRPr="00081671" w:rsidRDefault="00A76C0B" w:rsidP="00A76C0B">
                  <w:pPr>
                    <w:spacing w:after="60"/>
                    <w:rPr>
                      <w:iCs/>
                      <w:sz w:val="20"/>
                    </w:rPr>
                  </w:pPr>
                  <w:r w:rsidRPr="00081671">
                    <w:rPr>
                      <w:sz w:val="20"/>
                    </w:rPr>
                    <w:t xml:space="preserve">RESREV </w:t>
                  </w:r>
                  <w:r w:rsidRPr="00081671">
                    <w:rPr>
                      <w:i/>
                      <w:sz w:val="20"/>
                      <w:vertAlign w:val="subscript"/>
                    </w:rPr>
                    <w:t>q, r, gsc, p, i</w:t>
                  </w:r>
                </w:p>
              </w:tc>
              <w:tc>
                <w:tcPr>
                  <w:tcW w:w="1080" w:type="dxa"/>
                </w:tcPr>
                <w:p w14:paraId="05618C11" w14:textId="77777777" w:rsidR="00A76C0B" w:rsidRPr="00081671" w:rsidRDefault="00A76C0B" w:rsidP="00A76C0B">
                  <w:pPr>
                    <w:spacing w:after="60"/>
                    <w:rPr>
                      <w:iCs/>
                      <w:sz w:val="20"/>
                    </w:rPr>
                  </w:pPr>
                  <w:r w:rsidRPr="00081671">
                    <w:rPr>
                      <w:iCs/>
                      <w:sz w:val="20"/>
                    </w:rPr>
                    <w:t>$</w:t>
                  </w:r>
                </w:p>
              </w:tc>
              <w:tc>
                <w:tcPr>
                  <w:tcW w:w="6300" w:type="dxa"/>
                </w:tcPr>
                <w:p w14:paraId="0A47094C" w14:textId="77777777" w:rsidR="00A76C0B" w:rsidRPr="00081671" w:rsidRDefault="00A76C0B" w:rsidP="00A76C0B">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r w:rsidRPr="00081671">
                    <w:rPr>
                      <w:i/>
                      <w:sz w:val="20"/>
                    </w:rPr>
                    <w:t>gsc</w:t>
                  </w:r>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A76C0B" w:rsidRPr="008431E4" w14:paraId="02232A89" w14:textId="77777777" w:rsidTr="00CE1011">
              <w:trPr>
                <w:cantSplit/>
              </w:trPr>
              <w:tc>
                <w:tcPr>
                  <w:tcW w:w="1885" w:type="dxa"/>
                </w:tcPr>
                <w:p w14:paraId="424936C8" w14:textId="77777777" w:rsidR="00A76C0B" w:rsidRPr="00081671" w:rsidRDefault="00A76C0B" w:rsidP="00A76C0B">
                  <w:pPr>
                    <w:spacing w:after="60"/>
                    <w:rPr>
                      <w:sz w:val="20"/>
                    </w:rPr>
                  </w:pPr>
                  <w:r w:rsidRPr="00081671">
                    <w:rPr>
                      <w:sz w:val="20"/>
                    </w:rPr>
                    <w:t>EMREAMT</w:t>
                  </w:r>
                  <w:r w:rsidRPr="00081671">
                    <w:rPr>
                      <w:sz w:val="20"/>
                      <w:lang w:val="pt-BR"/>
                    </w:rPr>
                    <w:t xml:space="preserve"> </w:t>
                  </w:r>
                  <w:r w:rsidRPr="00081671">
                    <w:rPr>
                      <w:i/>
                      <w:sz w:val="20"/>
                      <w:vertAlign w:val="subscript"/>
                      <w:lang w:val="pt-BR"/>
                    </w:rPr>
                    <w:t>q, r, p, i</w:t>
                  </w:r>
                </w:p>
              </w:tc>
              <w:tc>
                <w:tcPr>
                  <w:tcW w:w="1080" w:type="dxa"/>
                </w:tcPr>
                <w:p w14:paraId="0DC77C30" w14:textId="77777777" w:rsidR="00A76C0B" w:rsidRPr="00081671" w:rsidRDefault="00A76C0B" w:rsidP="00A76C0B">
                  <w:pPr>
                    <w:spacing w:after="60"/>
                    <w:rPr>
                      <w:iCs/>
                      <w:sz w:val="20"/>
                    </w:rPr>
                  </w:pPr>
                  <w:r w:rsidRPr="00081671">
                    <w:rPr>
                      <w:iCs/>
                      <w:sz w:val="20"/>
                    </w:rPr>
                    <w:t>$</w:t>
                  </w:r>
                </w:p>
              </w:tc>
              <w:tc>
                <w:tcPr>
                  <w:tcW w:w="6300" w:type="dxa"/>
                </w:tcPr>
                <w:p w14:paraId="38F3F5A2" w14:textId="21D5861C" w:rsidR="00A76C0B" w:rsidRPr="00081671" w:rsidRDefault="00A76C0B" w:rsidP="001754D0">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r w:rsidR="00537026">
                    <w:rPr>
                      <w:sz w:val="20"/>
                    </w:rPr>
                    <w:t xml:space="preserve">as additional compensation </w:t>
                  </w:r>
                  <w:r w:rsidRPr="00081671">
                    <w:rPr>
                      <w:sz w:val="20"/>
                    </w:rPr>
                    <w:t xml:space="preserve">for the additional energy </w:t>
                  </w:r>
                  <w:r w:rsidR="00537026">
                    <w:rPr>
                      <w:sz w:val="20"/>
                    </w:rPr>
                    <w:t xml:space="preserve">or Ancillary Services </w:t>
                  </w:r>
                  <w:r w:rsidRPr="00081671">
                    <w:rPr>
                      <w:sz w:val="20"/>
                    </w:rPr>
                    <w:t xml:space="preserve">produced </w:t>
                  </w:r>
                  <w:r w:rsidR="001754D0">
                    <w:rPr>
                      <w:sz w:val="20"/>
                    </w:rPr>
                    <w:t xml:space="preserve">or consumed </w:t>
                  </w:r>
                  <w:r w:rsidRPr="00081671">
                    <w:rPr>
                      <w:sz w:val="20"/>
                    </w:rPr>
                    <w:t xml:space="preserve">by </w:t>
                  </w:r>
                  <w:r>
                    <w:rPr>
                      <w:sz w:val="20"/>
                    </w:rPr>
                    <w:t>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A76C0B" w:rsidRPr="008431E4" w14:paraId="39C6C50A" w14:textId="77777777" w:rsidTr="00CE1011">
              <w:trPr>
                <w:cantSplit/>
              </w:trPr>
              <w:tc>
                <w:tcPr>
                  <w:tcW w:w="1885" w:type="dxa"/>
                </w:tcPr>
                <w:p w14:paraId="1A2385B7" w14:textId="77777777" w:rsidR="00A76C0B" w:rsidRPr="00081671" w:rsidRDefault="00A76C0B" w:rsidP="00A76C0B">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5FCD7CF2" w14:textId="77777777" w:rsidR="00A76C0B" w:rsidRPr="00081671" w:rsidRDefault="00A76C0B" w:rsidP="00A76C0B">
                  <w:pPr>
                    <w:spacing w:after="60"/>
                    <w:rPr>
                      <w:iCs/>
                      <w:sz w:val="20"/>
                    </w:rPr>
                  </w:pPr>
                  <w:r w:rsidRPr="00081671">
                    <w:rPr>
                      <w:iCs/>
                      <w:sz w:val="20"/>
                    </w:rPr>
                    <w:t>$/MWh</w:t>
                  </w:r>
                </w:p>
              </w:tc>
              <w:tc>
                <w:tcPr>
                  <w:tcW w:w="6300" w:type="dxa"/>
                </w:tcPr>
                <w:p w14:paraId="693F3AFC" w14:textId="77777777" w:rsidR="00A76C0B" w:rsidRPr="00081671" w:rsidRDefault="00A76C0B" w:rsidP="00A76C0B">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1D8D752A" w14:textId="77777777" w:rsidTr="00CE1011">
              <w:trPr>
                <w:cantSplit/>
              </w:trPr>
              <w:tc>
                <w:tcPr>
                  <w:tcW w:w="1885" w:type="dxa"/>
                </w:tcPr>
                <w:p w14:paraId="1981F544" w14:textId="77777777" w:rsidR="00A76C0B" w:rsidRPr="00081671" w:rsidRDefault="00A76C0B" w:rsidP="00A76C0B">
                  <w:pPr>
                    <w:spacing w:after="60"/>
                    <w:rPr>
                      <w:iCs/>
                      <w:sz w:val="20"/>
                    </w:rPr>
                  </w:pPr>
                  <w:r w:rsidRPr="00081671">
                    <w:rPr>
                      <w:iCs/>
                      <w:sz w:val="20"/>
                    </w:rPr>
                    <w:t xml:space="preserve">MRAPHR </w:t>
                  </w:r>
                  <w:r w:rsidRPr="00081671">
                    <w:rPr>
                      <w:i/>
                      <w:iCs/>
                      <w:sz w:val="20"/>
                      <w:vertAlign w:val="subscript"/>
                    </w:rPr>
                    <w:t>q, r</w:t>
                  </w:r>
                </w:p>
              </w:tc>
              <w:tc>
                <w:tcPr>
                  <w:tcW w:w="1080" w:type="dxa"/>
                </w:tcPr>
                <w:p w14:paraId="29AAE302" w14:textId="77777777" w:rsidR="00A76C0B" w:rsidRPr="00081671" w:rsidRDefault="00A76C0B" w:rsidP="00A76C0B">
                  <w:pPr>
                    <w:spacing w:after="60"/>
                    <w:rPr>
                      <w:iCs/>
                      <w:sz w:val="20"/>
                    </w:rPr>
                  </w:pPr>
                  <w:r w:rsidRPr="00081671">
                    <w:rPr>
                      <w:iCs/>
                      <w:sz w:val="20"/>
                    </w:rPr>
                    <w:t>MMBtu /MWh</w:t>
                  </w:r>
                </w:p>
              </w:tc>
              <w:tc>
                <w:tcPr>
                  <w:tcW w:w="6300" w:type="dxa"/>
                </w:tcPr>
                <w:p w14:paraId="1BD38B23" w14:textId="77777777" w:rsidR="00A76C0B" w:rsidRPr="00081671" w:rsidRDefault="00A76C0B" w:rsidP="00A76C0B">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5F450542" w14:textId="77777777" w:rsidTr="00CE1011">
              <w:trPr>
                <w:cantSplit/>
              </w:trPr>
              <w:tc>
                <w:tcPr>
                  <w:tcW w:w="1885" w:type="dxa"/>
                </w:tcPr>
                <w:p w14:paraId="56D48F9E" w14:textId="77777777" w:rsidR="00A76C0B" w:rsidRPr="00081671" w:rsidRDefault="00A76C0B" w:rsidP="00A76C0B">
                  <w:pPr>
                    <w:spacing w:after="60"/>
                    <w:rPr>
                      <w:bCs/>
                      <w:color w:val="000000"/>
                      <w:sz w:val="20"/>
                      <w:lang w:val="pt-BR"/>
                    </w:rPr>
                  </w:pPr>
                  <w:r w:rsidRPr="00081671">
                    <w:rPr>
                      <w:bCs/>
                      <w:color w:val="000000"/>
                      <w:sz w:val="20"/>
                      <w:lang w:val="pt-BR"/>
                    </w:rPr>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3396858D" w14:textId="77777777" w:rsidR="00A76C0B" w:rsidRPr="00081671" w:rsidRDefault="00A76C0B" w:rsidP="00A76C0B">
                  <w:pPr>
                    <w:spacing w:after="60"/>
                    <w:rPr>
                      <w:iCs/>
                      <w:sz w:val="20"/>
                    </w:rPr>
                  </w:pPr>
                  <w:r w:rsidRPr="00081671">
                    <w:rPr>
                      <w:iCs/>
                      <w:sz w:val="20"/>
                    </w:rPr>
                    <w:t>$</w:t>
                  </w:r>
                </w:p>
              </w:tc>
              <w:tc>
                <w:tcPr>
                  <w:tcW w:w="6300" w:type="dxa"/>
                </w:tcPr>
                <w:p w14:paraId="308E544E" w14:textId="77777777" w:rsidR="00A76C0B" w:rsidRPr="00081671" w:rsidRDefault="00A76C0B" w:rsidP="00A76C0B">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A76C0B" w:rsidRPr="008431E4" w14:paraId="2FCA9F45" w14:textId="77777777" w:rsidTr="00CE1011">
              <w:trPr>
                <w:cantSplit/>
              </w:trPr>
              <w:tc>
                <w:tcPr>
                  <w:tcW w:w="1885" w:type="dxa"/>
                </w:tcPr>
                <w:p w14:paraId="75E79568" w14:textId="77777777" w:rsidR="00A76C0B" w:rsidRPr="00081671" w:rsidRDefault="00A76C0B" w:rsidP="00A76C0B">
                  <w:pPr>
                    <w:spacing w:after="60"/>
                    <w:rPr>
                      <w:iCs/>
                      <w:sz w:val="20"/>
                    </w:rPr>
                  </w:pPr>
                  <w:r w:rsidRPr="00081671">
                    <w:rPr>
                      <w:iCs/>
                      <w:sz w:val="20"/>
                    </w:rPr>
                    <w:t xml:space="preserve">RTVQ </w:t>
                  </w:r>
                  <w:r w:rsidRPr="00081671">
                    <w:rPr>
                      <w:i/>
                      <w:iCs/>
                      <w:sz w:val="20"/>
                      <w:vertAlign w:val="subscript"/>
                    </w:rPr>
                    <w:t>q, r, i,</w:t>
                  </w:r>
                </w:p>
              </w:tc>
              <w:tc>
                <w:tcPr>
                  <w:tcW w:w="1080" w:type="dxa"/>
                </w:tcPr>
                <w:p w14:paraId="505BAE37" w14:textId="77777777" w:rsidR="00A76C0B" w:rsidRPr="00081671" w:rsidRDefault="00A76C0B" w:rsidP="00A76C0B">
                  <w:pPr>
                    <w:spacing w:after="60"/>
                    <w:rPr>
                      <w:iCs/>
                      <w:sz w:val="20"/>
                    </w:rPr>
                  </w:pPr>
                  <w:r w:rsidRPr="00081671">
                    <w:rPr>
                      <w:iCs/>
                      <w:sz w:val="20"/>
                    </w:rPr>
                    <w:t>MWh</w:t>
                  </w:r>
                </w:p>
              </w:tc>
              <w:tc>
                <w:tcPr>
                  <w:tcW w:w="6300" w:type="dxa"/>
                </w:tcPr>
                <w:p w14:paraId="6837627F" w14:textId="77777777" w:rsidR="00A76C0B" w:rsidRPr="00081671" w:rsidRDefault="00A76C0B" w:rsidP="00A76C0B">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A76C0B" w:rsidRPr="008431E4" w14:paraId="3AB15A99" w14:textId="77777777" w:rsidTr="00CE1011">
              <w:trPr>
                <w:cantSplit/>
              </w:trPr>
              <w:tc>
                <w:tcPr>
                  <w:tcW w:w="1885" w:type="dxa"/>
                </w:tcPr>
                <w:p w14:paraId="0B4CDA95" w14:textId="77777777" w:rsidR="00A76C0B" w:rsidRPr="00081671" w:rsidRDefault="00A76C0B" w:rsidP="00A76C0B">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E6A48AB" w14:textId="77777777" w:rsidR="00A76C0B" w:rsidRPr="00081671" w:rsidRDefault="00A76C0B" w:rsidP="00A76C0B">
                  <w:pPr>
                    <w:spacing w:after="60"/>
                    <w:rPr>
                      <w:iCs/>
                      <w:sz w:val="20"/>
                    </w:rPr>
                  </w:pPr>
                  <w:r w:rsidRPr="00081671">
                    <w:rPr>
                      <w:iCs/>
                      <w:sz w:val="20"/>
                    </w:rPr>
                    <w:t>MWh</w:t>
                  </w:r>
                </w:p>
              </w:tc>
              <w:tc>
                <w:tcPr>
                  <w:tcW w:w="6300" w:type="dxa"/>
                </w:tcPr>
                <w:p w14:paraId="6E7286FC" w14:textId="77777777" w:rsidR="00A76C0B" w:rsidRPr="00081671" w:rsidRDefault="00A76C0B" w:rsidP="00A76C0B">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r w:rsidRPr="00081671">
                    <w:rPr>
                      <w:i/>
                      <w:color w:val="000000"/>
                      <w:sz w:val="20"/>
                    </w:rPr>
                    <w:t>r</w:t>
                  </w:r>
                  <w:r w:rsidRPr="00081671">
                    <w:rPr>
                      <w:color w:val="000000"/>
                      <w:sz w:val="20"/>
                    </w:rPr>
                    <w:t xml:space="preserve"> at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A76C0B" w:rsidRPr="008431E4" w14:paraId="0E6B17E9" w14:textId="77777777" w:rsidTr="00CE1011">
              <w:trPr>
                <w:cantSplit/>
              </w:trPr>
              <w:tc>
                <w:tcPr>
                  <w:tcW w:w="1885" w:type="dxa"/>
                </w:tcPr>
                <w:p w14:paraId="40ED6C89" w14:textId="77777777" w:rsidR="00A76C0B" w:rsidRPr="00081671" w:rsidRDefault="00A76C0B" w:rsidP="00A76C0B">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6F698C26" w14:textId="77777777" w:rsidR="00A76C0B" w:rsidRPr="00081671" w:rsidRDefault="00A76C0B" w:rsidP="00A76C0B">
                  <w:pPr>
                    <w:spacing w:after="60"/>
                    <w:rPr>
                      <w:iCs/>
                      <w:sz w:val="20"/>
                    </w:rPr>
                  </w:pPr>
                  <w:r w:rsidRPr="00081671">
                    <w:rPr>
                      <w:iCs/>
                      <w:sz w:val="20"/>
                    </w:rPr>
                    <w:t>$/MMBtu</w:t>
                  </w:r>
                </w:p>
              </w:tc>
              <w:tc>
                <w:tcPr>
                  <w:tcW w:w="6300" w:type="dxa"/>
                </w:tcPr>
                <w:p w14:paraId="3F32797A" w14:textId="77777777" w:rsidR="00A76C0B" w:rsidRPr="00081671" w:rsidRDefault="00A76C0B" w:rsidP="00D56763">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sidR="00D56763">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A76C0B" w:rsidRPr="008431E4" w14:paraId="0FFC1FDD" w14:textId="77777777" w:rsidTr="00CE1011">
              <w:trPr>
                <w:cantSplit/>
              </w:trPr>
              <w:tc>
                <w:tcPr>
                  <w:tcW w:w="1885" w:type="dxa"/>
                </w:tcPr>
                <w:p w14:paraId="3D811046" w14:textId="77777777" w:rsidR="00A76C0B" w:rsidRPr="00081671" w:rsidRDefault="00A76C0B" w:rsidP="00A76C0B">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B5A23F9" w14:textId="77777777" w:rsidR="00A76C0B" w:rsidRPr="00081671" w:rsidRDefault="00A76C0B" w:rsidP="00A76C0B">
                  <w:pPr>
                    <w:spacing w:after="60"/>
                    <w:rPr>
                      <w:iCs/>
                      <w:sz w:val="20"/>
                    </w:rPr>
                  </w:pPr>
                  <w:r w:rsidRPr="00081671">
                    <w:rPr>
                      <w:iCs/>
                      <w:sz w:val="20"/>
                    </w:rPr>
                    <w:t>$/MWh</w:t>
                  </w:r>
                </w:p>
              </w:tc>
              <w:tc>
                <w:tcPr>
                  <w:tcW w:w="6300" w:type="dxa"/>
                </w:tcPr>
                <w:p w14:paraId="6C22D96D" w14:textId="77777777" w:rsidR="00A76C0B" w:rsidRPr="00081671" w:rsidRDefault="00A76C0B" w:rsidP="00A76C0B">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A76C0B" w:rsidRPr="008431E4" w14:paraId="561D3764" w14:textId="77777777" w:rsidTr="00CE1011">
              <w:trPr>
                <w:cantSplit/>
              </w:trPr>
              <w:tc>
                <w:tcPr>
                  <w:tcW w:w="1885" w:type="dxa"/>
                </w:tcPr>
                <w:p w14:paraId="565F1F1A" w14:textId="77777777" w:rsidR="00A76C0B" w:rsidRPr="00081671" w:rsidRDefault="00A76C0B" w:rsidP="00A76C0B">
                  <w:pPr>
                    <w:spacing w:after="60"/>
                    <w:rPr>
                      <w:i/>
                      <w:iCs/>
                      <w:sz w:val="20"/>
                    </w:rPr>
                  </w:pPr>
                  <w:r w:rsidRPr="00081671">
                    <w:rPr>
                      <w:i/>
                      <w:iCs/>
                      <w:sz w:val="20"/>
                    </w:rPr>
                    <w:lastRenderedPageBreak/>
                    <w:t>q</w:t>
                  </w:r>
                </w:p>
              </w:tc>
              <w:tc>
                <w:tcPr>
                  <w:tcW w:w="1080" w:type="dxa"/>
                </w:tcPr>
                <w:p w14:paraId="1A38FCAB" w14:textId="77777777" w:rsidR="00A76C0B" w:rsidRPr="00081671" w:rsidRDefault="00A76C0B" w:rsidP="00A76C0B">
                  <w:pPr>
                    <w:spacing w:after="60"/>
                    <w:rPr>
                      <w:iCs/>
                      <w:sz w:val="20"/>
                    </w:rPr>
                  </w:pPr>
                  <w:r w:rsidRPr="00081671">
                    <w:rPr>
                      <w:iCs/>
                      <w:sz w:val="20"/>
                    </w:rPr>
                    <w:t>none</w:t>
                  </w:r>
                </w:p>
              </w:tc>
              <w:tc>
                <w:tcPr>
                  <w:tcW w:w="6300" w:type="dxa"/>
                </w:tcPr>
                <w:p w14:paraId="1741E5E5" w14:textId="77777777" w:rsidR="00A76C0B" w:rsidRPr="00081671" w:rsidRDefault="00A76C0B" w:rsidP="00A76C0B">
                  <w:pPr>
                    <w:spacing w:after="60"/>
                    <w:rPr>
                      <w:iCs/>
                      <w:sz w:val="20"/>
                    </w:rPr>
                  </w:pPr>
                  <w:r w:rsidRPr="00081671">
                    <w:rPr>
                      <w:iCs/>
                      <w:sz w:val="20"/>
                    </w:rPr>
                    <w:t>A QSE.</w:t>
                  </w:r>
                </w:p>
              </w:tc>
            </w:tr>
            <w:tr w:rsidR="00A76C0B" w:rsidRPr="008431E4" w14:paraId="5A1845CA" w14:textId="77777777" w:rsidTr="00CE1011">
              <w:trPr>
                <w:cantSplit/>
              </w:trPr>
              <w:tc>
                <w:tcPr>
                  <w:tcW w:w="1885" w:type="dxa"/>
                </w:tcPr>
                <w:p w14:paraId="39E2CFD2" w14:textId="77777777" w:rsidR="00A76C0B" w:rsidRPr="00081671" w:rsidRDefault="00A76C0B" w:rsidP="00A76C0B">
                  <w:pPr>
                    <w:spacing w:after="60"/>
                    <w:rPr>
                      <w:i/>
                      <w:iCs/>
                      <w:sz w:val="20"/>
                    </w:rPr>
                  </w:pPr>
                  <w:r w:rsidRPr="00081671">
                    <w:rPr>
                      <w:i/>
                      <w:iCs/>
                      <w:sz w:val="20"/>
                    </w:rPr>
                    <w:t>r</w:t>
                  </w:r>
                </w:p>
              </w:tc>
              <w:tc>
                <w:tcPr>
                  <w:tcW w:w="1080" w:type="dxa"/>
                </w:tcPr>
                <w:p w14:paraId="4D4B729F" w14:textId="77777777" w:rsidR="00A76C0B" w:rsidRPr="00081671" w:rsidRDefault="00A76C0B" w:rsidP="00A76C0B">
                  <w:pPr>
                    <w:spacing w:after="60"/>
                    <w:rPr>
                      <w:iCs/>
                      <w:sz w:val="20"/>
                    </w:rPr>
                  </w:pPr>
                  <w:r w:rsidRPr="00081671">
                    <w:rPr>
                      <w:iCs/>
                      <w:sz w:val="20"/>
                    </w:rPr>
                    <w:t>none</w:t>
                  </w:r>
                </w:p>
              </w:tc>
              <w:tc>
                <w:tcPr>
                  <w:tcW w:w="6300" w:type="dxa"/>
                </w:tcPr>
                <w:p w14:paraId="6279149A" w14:textId="77777777" w:rsidR="00A76C0B" w:rsidRPr="00081671" w:rsidRDefault="00A76C0B" w:rsidP="00A76C0B">
                  <w:pPr>
                    <w:spacing w:after="60"/>
                    <w:rPr>
                      <w:iCs/>
                      <w:sz w:val="20"/>
                    </w:rPr>
                  </w:pPr>
                  <w:r>
                    <w:rPr>
                      <w:iCs/>
                      <w:sz w:val="20"/>
                    </w:rPr>
                    <w:t>An MRA</w:t>
                  </w:r>
                  <w:r w:rsidRPr="00081671">
                    <w:rPr>
                      <w:iCs/>
                      <w:sz w:val="20"/>
                    </w:rPr>
                    <w:t>.</w:t>
                  </w:r>
                </w:p>
              </w:tc>
            </w:tr>
            <w:tr w:rsidR="00A76C0B" w:rsidRPr="008431E4" w14:paraId="497D7251" w14:textId="77777777" w:rsidTr="00CE1011">
              <w:trPr>
                <w:cantSplit/>
              </w:trPr>
              <w:tc>
                <w:tcPr>
                  <w:tcW w:w="1885" w:type="dxa"/>
                </w:tcPr>
                <w:p w14:paraId="703A3B29" w14:textId="77777777" w:rsidR="00A76C0B" w:rsidRPr="00081671" w:rsidRDefault="00A76C0B" w:rsidP="00A76C0B">
                  <w:pPr>
                    <w:spacing w:after="60"/>
                    <w:rPr>
                      <w:i/>
                      <w:iCs/>
                      <w:sz w:val="20"/>
                    </w:rPr>
                  </w:pPr>
                  <w:r w:rsidRPr="00081671">
                    <w:rPr>
                      <w:i/>
                      <w:iCs/>
                      <w:sz w:val="20"/>
                    </w:rPr>
                    <w:t>m</w:t>
                  </w:r>
                </w:p>
              </w:tc>
              <w:tc>
                <w:tcPr>
                  <w:tcW w:w="1080" w:type="dxa"/>
                </w:tcPr>
                <w:p w14:paraId="04FC7980" w14:textId="77777777" w:rsidR="00A76C0B" w:rsidRPr="00081671" w:rsidRDefault="00A76C0B" w:rsidP="00A76C0B">
                  <w:pPr>
                    <w:spacing w:after="60"/>
                    <w:rPr>
                      <w:iCs/>
                      <w:sz w:val="20"/>
                    </w:rPr>
                  </w:pPr>
                  <w:r w:rsidRPr="00081671">
                    <w:rPr>
                      <w:iCs/>
                      <w:sz w:val="20"/>
                    </w:rPr>
                    <w:t>none</w:t>
                  </w:r>
                </w:p>
              </w:tc>
              <w:tc>
                <w:tcPr>
                  <w:tcW w:w="6300" w:type="dxa"/>
                </w:tcPr>
                <w:p w14:paraId="64CDE2AA" w14:textId="77777777" w:rsidR="00A76C0B" w:rsidRPr="00081671" w:rsidRDefault="00A76C0B" w:rsidP="00A76C0B">
                  <w:pPr>
                    <w:spacing w:after="60"/>
                    <w:rPr>
                      <w:iCs/>
                      <w:sz w:val="20"/>
                    </w:rPr>
                  </w:pPr>
                  <w:r w:rsidRPr="00081671">
                    <w:rPr>
                      <w:sz w:val="20"/>
                    </w:rPr>
                    <w:t>A</w:t>
                  </w:r>
                  <w:r>
                    <w:rPr>
                      <w:sz w:val="20"/>
                    </w:rPr>
                    <w:t>n MRA Contracted Month</w:t>
                  </w:r>
                  <w:r w:rsidRPr="00081671">
                    <w:rPr>
                      <w:sz w:val="20"/>
                    </w:rPr>
                    <w:t>.</w:t>
                  </w:r>
                </w:p>
              </w:tc>
            </w:tr>
            <w:tr w:rsidR="00A76C0B" w:rsidRPr="008431E4" w14:paraId="100857DC" w14:textId="77777777" w:rsidTr="00CE1011">
              <w:trPr>
                <w:cantSplit/>
              </w:trPr>
              <w:tc>
                <w:tcPr>
                  <w:tcW w:w="1885" w:type="dxa"/>
                </w:tcPr>
                <w:p w14:paraId="6C97701B" w14:textId="77777777" w:rsidR="00A76C0B" w:rsidRPr="00081671" w:rsidRDefault="00A76C0B" w:rsidP="00A76C0B">
                  <w:pPr>
                    <w:spacing w:after="60"/>
                    <w:rPr>
                      <w:i/>
                      <w:iCs/>
                      <w:sz w:val="20"/>
                    </w:rPr>
                  </w:pPr>
                  <w:r w:rsidRPr="00081671">
                    <w:rPr>
                      <w:i/>
                      <w:iCs/>
                      <w:sz w:val="20"/>
                    </w:rPr>
                    <w:t>h</w:t>
                  </w:r>
                </w:p>
              </w:tc>
              <w:tc>
                <w:tcPr>
                  <w:tcW w:w="1080" w:type="dxa"/>
                </w:tcPr>
                <w:p w14:paraId="08B49E1E" w14:textId="77777777" w:rsidR="00A76C0B" w:rsidRPr="00081671" w:rsidRDefault="00A76C0B" w:rsidP="00A76C0B">
                  <w:pPr>
                    <w:spacing w:after="60"/>
                    <w:rPr>
                      <w:iCs/>
                      <w:sz w:val="20"/>
                    </w:rPr>
                  </w:pPr>
                  <w:r w:rsidRPr="00081671">
                    <w:rPr>
                      <w:iCs/>
                      <w:sz w:val="20"/>
                    </w:rPr>
                    <w:t>none</w:t>
                  </w:r>
                </w:p>
              </w:tc>
              <w:tc>
                <w:tcPr>
                  <w:tcW w:w="6300" w:type="dxa"/>
                </w:tcPr>
                <w:p w14:paraId="1422A45E" w14:textId="77777777" w:rsidR="00A76C0B" w:rsidRPr="00081671" w:rsidRDefault="00A76C0B" w:rsidP="00A76C0B">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A76C0B" w:rsidRPr="008431E4" w14:paraId="1A7356EA" w14:textId="77777777" w:rsidTr="00CE1011">
              <w:trPr>
                <w:cantSplit/>
              </w:trPr>
              <w:tc>
                <w:tcPr>
                  <w:tcW w:w="1885" w:type="dxa"/>
                </w:tcPr>
                <w:p w14:paraId="2B1F3EC2" w14:textId="77777777" w:rsidR="00A76C0B" w:rsidRPr="00081671" w:rsidRDefault="00A76C0B" w:rsidP="00A76C0B">
                  <w:pPr>
                    <w:spacing w:after="60"/>
                    <w:rPr>
                      <w:i/>
                      <w:iCs/>
                      <w:sz w:val="20"/>
                    </w:rPr>
                  </w:pPr>
                  <w:r w:rsidRPr="00081671">
                    <w:rPr>
                      <w:i/>
                      <w:iCs/>
                      <w:sz w:val="20"/>
                    </w:rPr>
                    <w:t>i</w:t>
                  </w:r>
                </w:p>
              </w:tc>
              <w:tc>
                <w:tcPr>
                  <w:tcW w:w="1080" w:type="dxa"/>
                </w:tcPr>
                <w:p w14:paraId="68B755EA" w14:textId="77777777" w:rsidR="00A76C0B" w:rsidRPr="00081671" w:rsidRDefault="00A76C0B" w:rsidP="00A76C0B">
                  <w:pPr>
                    <w:spacing w:after="60"/>
                    <w:rPr>
                      <w:iCs/>
                      <w:sz w:val="20"/>
                    </w:rPr>
                  </w:pPr>
                  <w:r w:rsidRPr="00081671">
                    <w:rPr>
                      <w:iCs/>
                      <w:sz w:val="20"/>
                    </w:rPr>
                    <w:t>none</w:t>
                  </w:r>
                </w:p>
              </w:tc>
              <w:tc>
                <w:tcPr>
                  <w:tcW w:w="6300" w:type="dxa"/>
                </w:tcPr>
                <w:p w14:paraId="5C67F01C" w14:textId="77777777" w:rsidR="00A76C0B" w:rsidRPr="00081671" w:rsidRDefault="00A76C0B" w:rsidP="00A76C0B">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A76C0B" w:rsidRPr="008431E4" w14:paraId="2AFB879E" w14:textId="77777777" w:rsidTr="00CE1011">
              <w:trPr>
                <w:cantSplit/>
              </w:trPr>
              <w:tc>
                <w:tcPr>
                  <w:tcW w:w="1885" w:type="dxa"/>
                </w:tcPr>
                <w:p w14:paraId="55DA0255" w14:textId="77777777" w:rsidR="00A76C0B" w:rsidRPr="00081671" w:rsidRDefault="00A76C0B" w:rsidP="00A76C0B">
                  <w:pPr>
                    <w:spacing w:after="60"/>
                    <w:rPr>
                      <w:i/>
                      <w:iCs/>
                      <w:sz w:val="20"/>
                    </w:rPr>
                  </w:pPr>
                  <w:r w:rsidRPr="00081671">
                    <w:rPr>
                      <w:i/>
                      <w:iCs/>
                      <w:sz w:val="20"/>
                    </w:rPr>
                    <w:t>gsc</w:t>
                  </w:r>
                </w:p>
              </w:tc>
              <w:tc>
                <w:tcPr>
                  <w:tcW w:w="1080" w:type="dxa"/>
                </w:tcPr>
                <w:p w14:paraId="279860FB" w14:textId="77777777" w:rsidR="00A76C0B" w:rsidRPr="009701A9" w:rsidRDefault="00A76C0B" w:rsidP="00A76C0B">
                  <w:pPr>
                    <w:spacing w:after="60"/>
                    <w:rPr>
                      <w:iCs/>
                      <w:sz w:val="20"/>
                    </w:rPr>
                  </w:pPr>
                  <w:r w:rsidRPr="009701A9">
                    <w:rPr>
                      <w:iCs/>
                      <w:sz w:val="20"/>
                    </w:rPr>
                    <w:t>none</w:t>
                  </w:r>
                </w:p>
              </w:tc>
              <w:tc>
                <w:tcPr>
                  <w:tcW w:w="6300" w:type="dxa"/>
                </w:tcPr>
                <w:p w14:paraId="1BCD3874" w14:textId="77777777" w:rsidR="00A76C0B" w:rsidRPr="00081671" w:rsidRDefault="00A76C0B" w:rsidP="00A76C0B">
                  <w:pPr>
                    <w:spacing w:after="60"/>
                    <w:rPr>
                      <w:iCs/>
                      <w:sz w:val="20"/>
                    </w:rPr>
                  </w:pPr>
                  <w:r w:rsidRPr="00081671">
                    <w:rPr>
                      <w:iCs/>
                      <w:sz w:val="20"/>
                    </w:rPr>
                    <w:t>A generation site code.</w:t>
                  </w:r>
                </w:p>
              </w:tc>
            </w:tr>
            <w:tr w:rsidR="00A76C0B" w:rsidRPr="008431E4" w14:paraId="2F774BBC" w14:textId="77777777" w:rsidTr="00CE1011">
              <w:trPr>
                <w:cantSplit/>
              </w:trPr>
              <w:tc>
                <w:tcPr>
                  <w:tcW w:w="1885" w:type="dxa"/>
                </w:tcPr>
                <w:p w14:paraId="0E8E8B33" w14:textId="77777777" w:rsidR="00A76C0B" w:rsidRPr="00081671" w:rsidRDefault="00A76C0B" w:rsidP="00A76C0B">
                  <w:pPr>
                    <w:spacing w:after="60"/>
                    <w:rPr>
                      <w:i/>
                      <w:iCs/>
                      <w:sz w:val="20"/>
                    </w:rPr>
                  </w:pPr>
                  <w:r>
                    <w:rPr>
                      <w:i/>
                      <w:iCs/>
                      <w:sz w:val="20"/>
                    </w:rPr>
                    <w:t>p</w:t>
                  </w:r>
                </w:p>
              </w:tc>
              <w:tc>
                <w:tcPr>
                  <w:tcW w:w="1080" w:type="dxa"/>
                </w:tcPr>
                <w:p w14:paraId="0D7ECBFE" w14:textId="77777777" w:rsidR="00A76C0B" w:rsidRPr="009701A9" w:rsidRDefault="00A76C0B" w:rsidP="00A76C0B">
                  <w:pPr>
                    <w:spacing w:after="60"/>
                    <w:rPr>
                      <w:iCs/>
                      <w:sz w:val="20"/>
                    </w:rPr>
                  </w:pPr>
                  <w:r w:rsidRPr="009701A9">
                    <w:rPr>
                      <w:iCs/>
                      <w:sz w:val="20"/>
                    </w:rPr>
                    <w:t>none</w:t>
                  </w:r>
                </w:p>
              </w:tc>
              <w:tc>
                <w:tcPr>
                  <w:tcW w:w="6300" w:type="dxa"/>
                </w:tcPr>
                <w:p w14:paraId="5464860C" w14:textId="77777777" w:rsidR="00A76C0B" w:rsidRPr="00081671" w:rsidRDefault="00A76C0B" w:rsidP="00A76C0B">
                  <w:pPr>
                    <w:spacing w:after="60"/>
                    <w:rPr>
                      <w:iCs/>
                      <w:sz w:val="20"/>
                    </w:rPr>
                  </w:pPr>
                  <w:r w:rsidRPr="00081671">
                    <w:rPr>
                      <w:iCs/>
                      <w:sz w:val="20"/>
                    </w:rPr>
                    <w:t>A Resource Node Settlement Point.</w:t>
                  </w:r>
                </w:p>
              </w:tc>
            </w:tr>
          </w:tbl>
          <w:p w14:paraId="0EA128D1" w14:textId="77777777" w:rsidR="00A76C0B" w:rsidRPr="008431E4" w:rsidRDefault="00A76C0B" w:rsidP="00A76C0B">
            <w:pPr>
              <w:spacing w:before="240" w:after="240"/>
              <w:ind w:left="720" w:hanging="720"/>
              <w:rPr>
                <w:iCs/>
              </w:rPr>
            </w:pPr>
            <w:r w:rsidRPr="008431E4">
              <w:rPr>
                <w:iCs/>
              </w:rPr>
              <w:t>(2)</w:t>
            </w:r>
            <w:r w:rsidRPr="008431E4">
              <w:rPr>
                <w:iCs/>
              </w:rPr>
              <w:tab/>
              <w:t xml:space="preserve">The total of the variable payments for all </w:t>
            </w:r>
            <w:r>
              <w:rPr>
                <w:iCs/>
              </w:rPr>
              <w:t>MRA</w:t>
            </w:r>
            <w:r w:rsidRPr="008431E4">
              <w:rPr>
                <w:iCs/>
              </w:rPr>
              <w:t>s represented by the QSE for a given hour is calculated as follows:</w:t>
            </w:r>
          </w:p>
          <w:p w14:paraId="57A79245" w14:textId="77777777" w:rsidR="00A76C0B" w:rsidRPr="008431E4" w:rsidRDefault="00A76C0B" w:rsidP="00A76C0B">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6D9DF1E2">
                <v:shape id="_x0000_i1223" type="#_x0000_t75" style="width:12pt;height:24pt" o:ole="">
                  <v:imagedata r:id="rId237" o:title=""/>
                </v:shape>
                <o:OLEObject Type="Embed" ProgID="Equation.3" ShapeID="_x0000_i1223" DrawAspect="Content" ObjectID="_1804653707" r:id="rId275"/>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52A351AF" w14:textId="77777777" w:rsidR="00A76C0B" w:rsidRPr="008431E4" w:rsidRDefault="00A76C0B" w:rsidP="00A76C0B">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DF7682" w:rsidRPr="008431E4" w14:paraId="344A7E48" w14:textId="77777777" w:rsidTr="00CE1011">
              <w:trPr>
                <w:cantSplit/>
                <w:tblHeader/>
              </w:trPr>
              <w:tc>
                <w:tcPr>
                  <w:tcW w:w="1167" w:type="pct"/>
                </w:tcPr>
                <w:p w14:paraId="5E8180A3" w14:textId="77777777" w:rsidR="00DF7682" w:rsidRPr="008431E4" w:rsidRDefault="00DF7682" w:rsidP="00DF7682">
                  <w:pPr>
                    <w:spacing w:after="240"/>
                    <w:rPr>
                      <w:b/>
                      <w:iCs/>
                      <w:sz w:val="20"/>
                    </w:rPr>
                  </w:pPr>
                  <w:r w:rsidRPr="008431E4">
                    <w:rPr>
                      <w:b/>
                      <w:iCs/>
                      <w:sz w:val="20"/>
                    </w:rPr>
                    <w:t>Variable</w:t>
                  </w:r>
                </w:p>
              </w:tc>
              <w:tc>
                <w:tcPr>
                  <w:tcW w:w="413" w:type="pct"/>
                </w:tcPr>
                <w:p w14:paraId="2930D3CB" w14:textId="77777777" w:rsidR="00DF7682" w:rsidRPr="008431E4" w:rsidRDefault="00DF7682" w:rsidP="00DF7682">
                  <w:pPr>
                    <w:spacing w:after="240"/>
                    <w:rPr>
                      <w:b/>
                      <w:iCs/>
                      <w:sz w:val="20"/>
                    </w:rPr>
                  </w:pPr>
                  <w:r w:rsidRPr="008431E4">
                    <w:rPr>
                      <w:b/>
                      <w:iCs/>
                      <w:sz w:val="20"/>
                    </w:rPr>
                    <w:t>Unit</w:t>
                  </w:r>
                </w:p>
              </w:tc>
              <w:tc>
                <w:tcPr>
                  <w:tcW w:w="3420" w:type="pct"/>
                </w:tcPr>
                <w:p w14:paraId="5139DFC6" w14:textId="77777777" w:rsidR="00DF7682" w:rsidRPr="008431E4" w:rsidRDefault="00DF7682" w:rsidP="00DF7682">
                  <w:pPr>
                    <w:spacing w:after="240"/>
                    <w:rPr>
                      <w:b/>
                      <w:iCs/>
                      <w:sz w:val="20"/>
                    </w:rPr>
                  </w:pPr>
                  <w:r w:rsidRPr="008431E4">
                    <w:rPr>
                      <w:b/>
                      <w:iCs/>
                      <w:sz w:val="20"/>
                    </w:rPr>
                    <w:t>Definition</w:t>
                  </w:r>
                </w:p>
              </w:tc>
            </w:tr>
            <w:tr w:rsidR="00DF7682" w:rsidRPr="008431E4" w14:paraId="215F72E0" w14:textId="77777777" w:rsidTr="00CE1011">
              <w:trPr>
                <w:cantSplit/>
              </w:trPr>
              <w:tc>
                <w:tcPr>
                  <w:tcW w:w="1167" w:type="pct"/>
                </w:tcPr>
                <w:p w14:paraId="28DB5158" w14:textId="77777777" w:rsidR="00DF7682" w:rsidRPr="008431E4" w:rsidRDefault="00DF7682" w:rsidP="00DF7682">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00CC77DC" w14:textId="77777777" w:rsidR="00DF7682" w:rsidRPr="008431E4" w:rsidRDefault="00DF7682" w:rsidP="00DF7682">
                  <w:pPr>
                    <w:spacing w:after="60"/>
                    <w:rPr>
                      <w:iCs/>
                      <w:sz w:val="20"/>
                    </w:rPr>
                  </w:pPr>
                  <w:r w:rsidRPr="008431E4">
                    <w:rPr>
                      <w:iCs/>
                      <w:sz w:val="20"/>
                    </w:rPr>
                    <w:t>$</w:t>
                  </w:r>
                </w:p>
              </w:tc>
              <w:tc>
                <w:tcPr>
                  <w:tcW w:w="3420" w:type="pct"/>
                </w:tcPr>
                <w:p w14:paraId="3F1EF310" w14:textId="77777777" w:rsidR="00DF7682" w:rsidRPr="008431E4" w:rsidRDefault="00DF7682" w:rsidP="00DF7682">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DF7682" w:rsidRPr="008431E4" w14:paraId="419C43A5" w14:textId="77777777" w:rsidTr="00CE1011">
              <w:trPr>
                <w:cantSplit/>
              </w:trPr>
              <w:tc>
                <w:tcPr>
                  <w:tcW w:w="1167" w:type="pct"/>
                </w:tcPr>
                <w:p w14:paraId="65C6B3F2" w14:textId="77777777" w:rsidR="00DF7682" w:rsidRPr="008431E4" w:rsidRDefault="00DF7682" w:rsidP="00DF7682">
                  <w:pPr>
                    <w:spacing w:after="60"/>
                    <w:rPr>
                      <w:iCs/>
                      <w:sz w:val="20"/>
                    </w:rPr>
                  </w:pPr>
                  <w:r w:rsidRPr="008431E4">
                    <w:rPr>
                      <w:bCs/>
                      <w:iCs/>
                      <w:color w:val="000000"/>
                      <w:sz w:val="20"/>
                      <w:lang w:val="pt-BR"/>
                    </w:rPr>
                    <w:t>MRAVAMT</w:t>
                  </w:r>
                  <w:r w:rsidRPr="008431E4">
                    <w:rPr>
                      <w:sz w:val="20"/>
                    </w:rPr>
                    <w:t xml:space="preserve"> </w:t>
                  </w:r>
                  <w:r w:rsidRPr="008431E4">
                    <w:rPr>
                      <w:i/>
                      <w:sz w:val="20"/>
                      <w:vertAlign w:val="subscript"/>
                    </w:rPr>
                    <w:t>q, r, h</w:t>
                  </w:r>
                </w:p>
              </w:tc>
              <w:tc>
                <w:tcPr>
                  <w:tcW w:w="413" w:type="pct"/>
                </w:tcPr>
                <w:p w14:paraId="12F22A13" w14:textId="77777777" w:rsidR="00DF7682" w:rsidRPr="008431E4" w:rsidRDefault="00DF7682" w:rsidP="00DF7682">
                  <w:pPr>
                    <w:spacing w:after="60"/>
                    <w:rPr>
                      <w:iCs/>
                      <w:sz w:val="20"/>
                    </w:rPr>
                  </w:pPr>
                  <w:r w:rsidRPr="008431E4">
                    <w:rPr>
                      <w:sz w:val="20"/>
                    </w:rPr>
                    <w:t>$</w:t>
                  </w:r>
                </w:p>
              </w:tc>
              <w:tc>
                <w:tcPr>
                  <w:tcW w:w="3420" w:type="pct"/>
                </w:tcPr>
                <w:p w14:paraId="6F44E89A" w14:textId="77777777" w:rsidR="00DF7682" w:rsidRPr="008431E4" w:rsidRDefault="00DF7682" w:rsidP="00DF7682">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DF7682" w:rsidRPr="008431E4" w14:paraId="4A5BBA22"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22DBF9C5" w14:textId="77777777" w:rsidR="00DF7682" w:rsidRPr="008431E4" w:rsidRDefault="00DF7682" w:rsidP="00DF7682">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6C09B27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B10460A" w14:textId="77777777" w:rsidR="00DF7682" w:rsidRPr="008431E4" w:rsidRDefault="00DF7682" w:rsidP="00DF7682">
                  <w:pPr>
                    <w:spacing w:after="60"/>
                    <w:rPr>
                      <w:iCs/>
                      <w:sz w:val="20"/>
                    </w:rPr>
                  </w:pPr>
                  <w:r w:rsidRPr="008431E4">
                    <w:rPr>
                      <w:iCs/>
                      <w:sz w:val="20"/>
                    </w:rPr>
                    <w:t>A QSE.</w:t>
                  </w:r>
                </w:p>
              </w:tc>
            </w:tr>
            <w:tr w:rsidR="00DF7682" w:rsidRPr="008431E4" w14:paraId="2A4E17F4"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3C0095A6" w14:textId="77777777" w:rsidR="00DF7682" w:rsidRPr="008431E4" w:rsidRDefault="00DF7682" w:rsidP="00DF7682">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7D79DF5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79E4DF" w14:textId="77777777" w:rsidR="00DF7682" w:rsidRPr="008431E4" w:rsidRDefault="00DF7682" w:rsidP="00DF7682">
                  <w:pPr>
                    <w:spacing w:after="60"/>
                    <w:rPr>
                      <w:iCs/>
                      <w:sz w:val="20"/>
                    </w:rPr>
                  </w:pPr>
                  <w:r w:rsidRPr="008431E4">
                    <w:rPr>
                      <w:iCs/>
                      <w:sz w:val="20"/>
                    </w:rPr>
                    <w:t xml:space="preserve">An </w:t>
                  </w:r>
                  <w:r>
                    <w:rPr>
                      <w:iCs/>
                      <w:sz w:val="20"/>
                    </w:rPr>
                    <w:t>MRA</w:t>
                  </w:r>
                  <w:r w:rsidRPr="008431E4">
                    <w:rPr>
                      <w:iCs/>
                      <w:sz w:val="20"/>
                    </w:rPr>
                    <w:t>.</w:t>
                  </w:r>
                </w:p>
              </w:tc>
            </w:tr>
            <w:tr w:rsidR="00DF7682" w:rsidRPr="008431E4" w14:paraId="3ECC363F"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10F9B66C" w14:textId="77777777" w:rsidR="00DF7682" w:rsidRPr="008431E4" w:rsidRDefault="00DF7682" w:rsidP="00DF7682">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56D80B59" w14:textId="77777777" w:rsidR="00DF7682" w:rsidRPr="008431E4" w:rsidRDefault="00DF7682" w:rsidP="00DF7682">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3938456D" w14:textId="77777777" w:rsidR="00DF7682" w:rsidRPr="008431E4" w:rsidRDefault="00DF7682" w:rsidP="00DF7682">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3B49EBF3" w14:textId="77777777" w:rsidR="00DF7682" w:rsidRPr="008431E4" w:rsidRDefault="00DF7682" w:rsidP="00DF7682">
            <w:pPr>
              <w:spacing w:before="240" w:after="240"/>
              <w:ind w:left="720" w:hanging="720"/>
              <w:rPr>
                <w:iCs/>
              </w:rPr>
            </w:pPr>
            <w:r w:rsidRPr="008431E4">
              <w:rPr>
                <w:iCs/>
              </w:rPr>
              <w:t>(3)</w:t>
            </w:r>
            <w:r w:rsidRPr="008431E4">
              <w:rPr>
                <w:iCs/>
              </w:rPr>
              <w:tab/>
              <w:t xml:space="preserve">The total of the variable payments for a given </w:t>
            </w:r>
            <w:r>
              <w:rPr>
                <w:iCs/>
              </w:rPr>
              <w:t>MRA Contracted H</w:t>
            </w:r>
            <w:r w:rsidRPr="008431E4">
              <w:rPr>
                <w:iCs/>
              </w:rPr>
              <w:t>our is calculated as follows:</w:t>
            </w:r>
          </w:p>
          <w:p w14:paraId="1DED93AF" w14:textId="77777777" w:rsidR="00DF7682" w:rsidRPr="008431E4" w:rsidRDefault="00DF7682" w:rsidP="00DF7682">
            <w:pPr>
              <w:spacing w:after="240"/>
              <w:ind w:left="720"/>
              <w:rPr>
                <w:iCs/>
              </w:rPr>
            </w:pPr>
            <w:r w:rsidRPr="008431E4">
              <w:rPr>
                <w:iCs/>
              </w:rPr>
              <w:t xml:space="preserve">MRAVAMTTOT  =  </w:t>
            </w:r>
            <w:r w:rsidR="00150223" w:rsidRPr="008431E4">
              <w:rPr>
                <w:iCs/>
                <w:position w:val="-22"/>
              </w:rPr>
              <w:object w:dxaOrig="210" w:dyaOrig="465" w14:anchorId="5F555D5E">
                <v:shape id="_x0000_i1224" type="#_x0000_t75" style="width:6pt;height:30pt" o:ole="">
                  <v:imagedata r:id="rId187" o:title=""/>
                </v:shape>
                <o:OLEObject Type="Embed" ProgID="Equation.3" ShapeID="_x0000_i1224" DrawAspect="Content" ObjectID="_1804653708" r:id="rId276"/>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3E476236" w14:textId="77777777" w:rsidR="00DF7682" w:rsidRPr="008431E4" w:rsidRDefault="00DF7682" w:rsidP="00DF7682">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150223" w:rsidRPr="008431E4" w14:paraId="5040290D" w14:textId="77777777" w:rsidTr="00CE1011">
              <w:trPr>
                <w:cantSplit/>
                <w:tblHeader/>
              </w:trPr>
              <w:tc>
                <w:tcPr>
                  <w:tcW w:w="1398" w:type="pct"/>
                </w:tcPr>
                <w:p w14:paraId="538F8FF3" w14:textId="77777777" w:rsidR="00150223" w:rsidRPr="008431E4" w:rsidRDefault="00150223" w:rsidP="00150223">
                  <w:pPr>
                    <w:spacing w:after="240"/>
                    <w:rPr>
                      <w:b/>
                      <w:iCs/>
                      <w:sz w:val="20"/>
                    </w:rPr>
                  </w:pPr>
                  <w:r w:rsidRPr="008431E4">
                    <w:rPr>
                      <w:b/>
                      <w:iCs/>
                      <w:sz w:val="20"/>
                    </w:rPr>
                    <w:t>Variable</w:t>
                  </w:r>
                </w:p>
              </w:tc>
              <w:tc>
                <w:tcPr>
                  <w:tcW w:w="326" w:type="pct"/>
                </w:tcPr>
                <w:p w14:paraId="4592516B" w14:textId="77777777" w:rsidR="00150223" w:rsidRPr="008431E4" w:rsidRDefault="00150223" w:rsidP="00150223">
                  <w:pPr>
                    <w:spacing w:after="240"/>
                    <w:rPr>
                      <w:b/>
                      <w:iCs/>
                      <w:sz w:val="20"/>
                    </w:rPr>
                  </w:pPr>
                  <w:r w:rsidRPr="008431E4">
                    <w:rPr>
                      <w:b/>
                      <w:iCs/>
                      <w:sz w:val="20"/>
                    </w:rPr>
                    <w:t>Unit</w:t>
                  </w:r>
                </w:p>
              </w:tc>
              <w:tc>
                <w:tcPr>
                  <w:tcW w:w="3276" w:type="pct"/>
                </w:tcPr>
                <w:p w14:paraId="194A3E2E" w14:textId="77777777" w:rsidR="00150223" w:rsidRPr="008431E4" w:rsidRDefault="00150223" w:rsidP="00150223">
                  <w:pPr>
                    <w:spacing w:after="240"/>
                    <w:rPr>
                      <w:b/>
                      <w:iCs/>
                      <w:sz w:val="20"/>
                    </w:rPr>
                  </w:pPr>
                  <w:r w:rsidRPr="008431E4">
                    <w:rPr>
                      <w:b/>
                      <w:iCs/>
                      <w:sz w:val="20"/>
                    </w:rPr>
                    <w:t>Definition</w:t>
                  </w:r>
                </w:p>
              </w:tc>
            </w:tr>
            <w:tr w:rsidR="00150223" w:rsidRPr="008431E4" w14:paraId="0FEC4065" w14:textId="77777777" w:rsidTr="00CE1011">
              <w:trPr>
                <w:cantSplit/>
              </w:trPr>
              <w:tc>
                <w:tcPr>
                  <w:tcW w:w="1398" w:type="pct"/>
                </w:tcPr>
                <w:p w14:paraId="4873B65B" w14:textId="77777777" w:rsidR="00150223" w:rsidRPr="008431E4" w:rsidRDefault="00150223" w:rsidP="00150223">
                  <w:pPr>
                    <w:spacing w:after="60"/>
                    <w:rPr>
                      <w:iCs/>
                      <w:sz w:val="20"/>
                    </w:rPr>
                  </w:pPr>
                  <w:r w:rsidRPr="008431E4">
                    <w:rPr>
                      <w:iCs/>
                      <w:sz w:val="20"/>
                    </w:rPr>
                    <w:t>MRAVAMTTOT</w:t>
                  </w:r>
                </w:p>
              </w:tc>
              <w:tc>
                <w:tcPr>
                  <w:tcW w:w="326" w:type="pct"/>
                </w:tcPr>
                <w:p w14:paraId="1A27AAB6" w14:textId="77777777" w:rsidR="00150223" w:rsidRPr="008431E4" w:rsidRDefault="00150223" w:rsidP="00150223">
                  <w:pPr>
                    <w:spacing w:after="60"/>
                    <w:rPr>
                      <w:iCs/>
                      <w:sz w:val="20"/>
                    </w:rPr>
                  </w:pPr>
                  <w:r w:rsidRPr="008431E4">
                    <w:rPr>
                      <w:iCs/>
                      <w:sz w:val="20"/>
                    </w:rPr>
                    <w:t>$</w:t>
                  </w:r>
                </w:p>
              </w:tc>
              <w:tc>
                <w:tcPr>
                  <w:tcW w:w="3276" w:type="pct"/>
                </w:tcPr>
                <w:p w14:paraId="7ECCBFEF" w14:textId="77777777" w:rsidR="00150223" w:rsidRPr="008431E4" w:rsidRDefault="00150223" w:rsidP="00150223">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150223" w:rsidRPr="008431E4" w14:paraId="1B2A290A" w14:textId="77777777" w:rsidTr="00CE1011">
              <w:trPr>
                <w:cantSplit/>
              </w:trPr>
              <w:tc>
                <w:tcPr>
                  <w:tcW w:w="1398" w:type="pct"/>
                </w:tcPr>
                <w:p w14:paraId="756F0CE0" w14:textId="77777777" w:rsidR="00150223" w:rsidRPr="008431E4" w:rsidRDefault="00150223" w:rsidP="00150223">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404DD154" w14:textId="77777777" w:rsidR="00150223" w:rsidRPr="008431E4" w:rsidRDefault="00150223" w:rsidP="00150223">
                  <w:pPr>
                    <w:spacing w:after="60"/>
                    <w:rPr>
                      <w:iCs/>
                      <w:sz w:val="20"/>
                    </w:rPr>
                  </w:pPr>
                  <w:r w:rsidRPr="008431E4">
                    <w:rPr>
                      <w:iCs/>
                      <w:sz w:val="20"/>
                    </w:rPr>
                    <w:t>$</w:t>
                  </w:r>
                </w:p>
              </w:tc>
              <w:tc>
                <w:tcPr>
                  <w:tcW w:w="3276" w:type="pct"/>
                </w:tcPr>
                <w:p w14:paraId="04646959" w14:textId="77777777" w:rsidR="00150223" w:rsidRPr="008431E4" w:rsidRDefault="00150223" w:rsidP="00150223">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150223" w:rsidRPr="008431E4" w14:paraId="71990747" w14:textId="77777777" w:rsidTr="00CE1011">
              <w:trPr>
                <w:cantSplit/>
              </w:trPr>
              <w:tc>
                <w:tcPr>
                  <w:tcW w:w="1398" w:type="pct"/>
                  <w:tcBorders>
                    <w:top w:val="single" w:sz="4" w:space="0" w:color="auto"/>
                    <w:left w:val="single" w:sz="4" w:space="0" w:color="auto"/>
                    <w:bottom w:val="single" w:sz="4" w:space="0" w:color="auto"/>
                    <w:right w:val="single" w:sz="4" w:space="0" w:color="auto"/>
                  </w:tcBorders>
                </w:tcPr>
                <w:p w14:paraId="3B7536D4" w14:textId="77777777" w:rsidR="00150223" w:rsidRPr="008431E4" w:rsidRDefault="00150223" w:rsidP="00150223">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1AC546D3" w14:textId="77777777" w:rsidR="00150223" w:rsidRPr="008431E4" w:rsidRDefault="00150223" w:rsidP="00150223">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1D3ABE08" w14:textId="77777777" w:rsidR="00150223" w:rsidRPr="008431E4" w:rsidRDefault="00150223" w:rsidP="00150223">
                  <w:pPr>
                    <w:spacing w:after="60"/>
                    <w:rPr>
                      <w:iCs/>
                      <w:sz w:val="20"/>
                    </w:rPr>
                  </w:pPr>
                  <w:r w:rsidRPr="008431E4">
                    <w:rPr>
                      <w:iCs/>
                      <w:sz w:val="20"/>
                    </w:rPr>
                    <w:t>A QSE.</w:t>
                  </w:r>
                </w:p>
              </w:tc>
            </w:tr>
          </w:tbl>
          <w:p w14:paraId="16B92ED9" w14:textId="77777777" w:rsidR="00CE74E6" w:rsidRPr="00C3334D" w:rsidRDefault="00CE74E6" w:rsidP="00CE1011">
            <w:pPr>
              <w:spacing w:after="240"/>
              <w:ind w:left="720" w:hanging="720"/>
            </w:pPr>
          </w:p>
        </w:tc>
      </w:tr>
    </w:tbl>
    <w:p w14:paraId="13A3C22E" w14:textId="77777777" w:rsidR="00150223" w:rsidRDefault="00150223" w:rsidP="00150223">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0223" w14:paraId="00F556B5" w14:textId="77777777" w:rsidTr="00CE1011">
        <w:trPr>
          <w:trHeight w:val="206"/>
        </w:trPr>
        <w:tc>
          <w:tcPr>
            <w:tcW w:w="5000" w:type="pct"/>
            <w:shd w:val="pct12" w:color="auto" w:fill="auto"/>
          </w:tcPr>
          <w:p w14:paraId="0C5D2812" w14:textId="77777777" w:rsidR="00150223" w:rsidRDefault="00150223" w:rsidP="00CE1011">
            <w:pPr>
              <w:pStyle w:val="Instructions"/>
              <w:spacing w:before="120"/>
            </w:pPr>
            <w:r>
              <w:t>[NPRR885:  Insert Section 6.6.6.11 below upon system implementation:]</w:t>
            </w:r>
          </w:p>
          <w:p w14:paraId="6CD6E758" w14:textId="77777777" w:rsidR="00427EDA" w:rsidRPr="00427EDA" w:rsidRDefault="00427EDA" w:rsidP="00427EDA">
            <w:pPr>
              <w:keepNext/>
              <w:widowControl w:val="0"/>
              <w:tabs>
                <w:tab w:val="left" w:pos="1260"/>
              </w:tabs>
              <w:spacing w:before="240" w:after="240"/>
              <w:ind w:left="1267" w:hanging="1267"/>
              <w:outlineLvl w:val="3"/>
              <w:rPr>
                <w:b/>
                <w:bCs/>
                <w:snapToGrid w:val="0"/>
                <w:color w:val="000000"/>
              </w:rPr>
            </w:pPr>
            <w:bookmarkStart w:id="2403" w:name="_Toc17798758"/>
            <w:bookmarkStart w:id="2404" w:name="_Toc189044456"/>
            <w:r w:rsidRPr="00427EDA">
              <w:rPr>
                <w:b/>
                <w:bCs/>
                <w:snapToGrid w:val="0"/>
                <w:color w:val="000000"/>
              </w:rPr>
              <w:lastRenderedPageBreak/>
              <w:t>6.6.6.11</w:t>
            </w:r>
            <w:r w:rsidRPr="00427EDA">
              <w:rPr>
                <w:b/>
                <w:bCs/>
                <w:snapToGrid w:val="0"/>
                <w:color w:val="000000"/>
              </w:rPr>
              <w:tab/>
              <w:t>MRA Charge for Unexcused Misconduct</w:t>
            </w:r>
            <w:bookmarkEnd w:id="2403"/>
            <w:bookmarkEnd w:id="2404"/>
            <w:r w:rsidRPr="00427EDA">
              <w:rPr>
                <w:b/>
                <w:bCs/>
                <w:snapToGrid w:val="0"/>
                <w:color w:val="000000"/>
              </w:rPr>
              <w:t xml:space="preserve"> </w:t>
            </w:r>
          </w:p>
          <w:p w14:paraId="0B760CA3" w14:textId="77777777" w:rsidR="00427EDA" w:rsidRPr="00E45D39" w:rsidRDefault="00427EDA" w:rsidP="00427EDA">
            <w:pPr>
              <w:spacing w:after="240"/>
              <w:ind w:left="720" w:hanging="720"/>
            </w:pPr>
            <w:r w:rsidRPr="00E45D39">
              <w:t>(1)</w:t>
            </w:r>
            <w:r w:rsidRPr="00E45D39">
              <w:tab/>
              <w:t xml:space="preserve">If </w:t>
            </w:r>
            <w:r>
              <w:t>one or more M</w:t>
            </w:r>
            <w:r w:rsidRPr="00E45D39">
              <w:t>isco</w:t>
            </w:r>
            <w:r>
              <w:t>nduct Events are</w:t>
            </w:r>
            <w:r w:rsidRPr="00E45D39">
              <w:t xml:space="preserve"> </w:t>
            </w:r>
            <w:r>
              <w:t xml:space="preserve">not excused, as provided for in </w:t>
            </w:r>
            <w:r w:rsidRPr="00440106">
              <w:t>Section 3.14.4.8</w:t>
            </w:r>
            <w:r w:rsidRPr="00E45D39">
              <w:t>,</w:t>
            </w:r>
            <w:r w:rsidRPr="00BC3172">
              <w:t xml:space="preserve"> </w:t>
            </w:r>
            <w:r w:rsidRPr="00634D59">
              <w:t>MRA Misconduct Events</w:t>
            </w:r>
            <w:r>
              <w:t>,</w:t>
            </w:r>
            <w:r w:rsidRPr="00E45D39">
              <w:t xml:space="preserve"> then ERCOT shall char</w:t>
            </w:r>
            <w:r>
              <w:t>ge the QSE that represents the MRA</w:t>
            </w:r>
            <w:r w:rsidRPr="00E45D39">
              <w:t xml:space="preserve"> an unexcused misconduct amount for </w:t>
            </w:r>
            <w:r>
              <w:t xml:space="preserve">the Operating Day </w:t>
            </w:r>
            <w:r w:rsidRPr="00E45D39">
              <w:t>as follows:</w:t>
            </w:r>
          </w:p>
          <w:p w14:paraId="4ACF91D2" w14:textId="77777777" w:rsidR="00427EDA" w:rsidRPr="00D54F03" w:rsidRDefault="00427EDA" w:rsidP="00427EDA">
            <w:pPr>
              <w:tabs>
                <w:tab w:val="left" w:pos="2250"/>
                <w:tab w:val="left" w:pos="3150"/>
                <w:tab w:val="left" w:pos="3960"/>
              </w:tabs>
              <w:spacing w:after="240"/>
              <w:ind w:left="3960" w:hanging="3240"/>
              <w:rPr>
                <w:bCs/>
              </w:rPr>
            </w:pPr>
            <w:r w:rsidRPr="00D54F03">
              <w:rPr>
                <w:bCs/>
              </w:rPr>
              <w:t>MRA</w:t>
            </w:r>
            <w:r>
              <w:rPr>
                <w:bCs/>
              </w:rPr>
              <w:t>UM</w:t>
            </w:r>
            <w:r w:rsidRPr="00D54F03">
              <w:rPr>
                <w:bCs/>
              </w:rPr>
              <w:t xml:space="preserve">AMT </w:t>
            </w:r>
            <w:r w:rsidRPr="00D54F03">
              <w:rPr>
                <w:bCs/>
                <w:i/>
                <w:vertAlign w:val="subscript"/>
              </w:rPr>
              <w:t>q, r</w:t>
            </w:r>
            <w:r>
              <w:rPr>
                <w:bCs/>
                <w:i/>
                <w:vertAlign w:val="subscript"/>
              </w:rPr>
              <w:t>,h</w:t>
            </w:r>
            <w:r w:rsidRPr="00D54F03">
              <w:rPr>
                <w:bCs/>
              </w:rPr>
              <w:tab/>
              <w:t>=</w:t>
            </w:r>
            <w:r w:rsidRPr="00D54F03">
              <w:rPr>
                <w:bCs/>
              </w:rPr>
              <w:tab/>
              <w:t xml:space="preserve">$10,000 * </w:t>
            </w:r>
            <w:r w:rsidRPr="003B419B">
              <w:rPr>
                <w:bCs/>
              </w:rPr>
              <w:t>MRAUMFLAG</w:t>
            </w:r>
            <w:r w:rsidRPr="008431E4">
              <w:rPr>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r w:rsidRPr="003B419B">
              <w:rPr>
                <w:rFonts w:ascii="Times New Roman Bold" w:hAnsi="Times New Roman Bold"/>
                <w:bCs/>
                <w:i/>
                <w:vertAlign w:val="subscript"/>
              </w:rPr>
              <w:t xml:space="preserve"> </w:t>
            </w:r>
            <w:r>
              <w:rPr>
                <w:rFonts w:ascii="Times New Roman Bold" w:hAnsi="Times New Roman Bold"/>
                <w:bCs/>
                <w:i/>
                <w:vertAlign w:val="subscript"/>
              </w:rPr>
              <w:t xml:space="preserve"> </w:t>
            </w:r>
            <w:r w:rsidRPr="002B5C5B">
              <w:rPr>
                <w:rFonts w:ascii="Times New Roman Bold" w:hAnsi="Times New Roman Bold"/>
                <w:bCs/>
              </w:rPr>
              <w:t xml:space="preserve">/ </w:t>
            </w:r>
            <w:r w:rsidRPr="002B5C5B">
              <w:rPr>
                <w:bCs/>
              </w:rPr>
              <w:t>MRACH</w:t>
            </w:r>
            <w:r w:rsidRPr="003B419B">
              <w:rPr>
                <w:rFonts w:ascii="Times New Roman Bold" w:hAnsi="Times New Roman Bold"/>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p>
          <w:p w14:paraId="1819FF81" w14:textId="77777777" w:rsidR="00427EDA" w:rsidRPr="00E45D39" w:rsidRDefault="00427EDA" w:rsidP="00427EDA">
            <w:r w:rsidRPr="00E45D39">
              <w:t>The above variable is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20"/>
              <w:gridCol w:w="6660"/>
            </w:tblGrid>
            <w:tr w:rsidR="00427EDA" w:rsidRPr="00E45D39" w14:paraId="70F8147B" w14:textId="77777777" w:rsidTr="00CE1011">
              <w:trPr>
                <w:cantSplit/>
                <w:tblHeader/>
              </w:trPr>
              <w:tc>
                <w:tcPr>
                  <w:tcW w:w="1885" w:type="dxa"/>
                </w:tcPr>
                <w:p w14:paraId="386BC604" w14:textId="77777777" w:rsidR="00427EDA" w:rsidRPr="00E45D39" w:rsidRDefault="00427EDA" w:rsidP="00427EDA">
                  <w:pPr>
                    <w:spacing w:after="120"/>
                    <w:rPr>
                      <w:b/>
                      <w:iCs/>
                      <w:sz w:val="20"/>
                    </w:rPr>
                  </w:pPr>
                  <w:r w:rsidRPr="00E45D39">
                    <w:rPr>
                      <w:b/>
                      <w:iCs/>
                      <w:sz w:val="20"/>
                    </w:rPr>
                    <w:t>Variable</w:t>
                  </w:r>
                </w:p>
              </w:tc>
              <w:tc>
                <w:tcPr>
                  <w:tcW w:w="720" w:type="dxa"/>
                </w:tcPr>
                <w:p w14:paraId="19984C3D" w14:textId="77777777" w:rsidR="00427EDA" w:rsidRPr="00E45D39" w:rsidRDefault="00427EDA" w:rsidP="00427EDA">
                  <w:pPr>
                    <w:spacing w:after="120"/>
                    <w:rPr>
                      <w:b/>
                      <w:iCs/>
                      <w:sz w:val="20"/>
                    </w:rPr>
                  </w:pPr>
                  <w:r w:rsidRPr="00E45D39">
                    <w:rPr>
                      <w:b/>
                      <w:iCs/>
                      <w:sz w:val="20"/>
                    </w:rPr>
                    <w:t>Unit</w:t>
                  </w:r>
                </w:p>
              </w:tc>
              <w:tc>
                <w:tcPr>
                  <w:tcW w:w="6660" w:type="dxa"/>
                </w:tcPr>
                <w:p w14:paraId="02B19043" w14:textId="77777777" w:rsidR="00427EDA" w:rsidRPr="00E45D39" w:rsidRDefault="00427EDA" w:rsidP="00427EDA">
                  <w:pPr>
                    <w:spacing w:after="120"/>
                    <w:rPr>
                      <w:b/>
                      <w:iCs/>
                      <w:sz w:val="20"/>
                    </w:rPr>
                  </w:pPr>
                  <w:r w:rsidRPr="00E45D39">
                    <w:rPr>
                      <w:b/>
                      <w:iCs/>
                      <w:sz w:val="20"/>
                    </w:rPr>
                    <w:t>Definition</w:t>
                  </w:r>
                </w:p>
              </w:tc>
            </w:tr>
            <w:tr w:rsidR="00427EDA" w:rsidRPr="00E45D39" w14:paraId="6F656978" w14:textId="77777777" w:rsidTr="00CE1011">
              <w:trPr>
                <w:cantSplit/>
              </w:trPr>
              <w:tc>
                <w:tcPr>
                  <w:tcW w:w="1885" w:type="dxa"/>
                </w:tcPr>
                <w:p w14:paraId="7836B116"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720" w:type="dxa"/>
                </w:tcPr>
                <w:p w14:paraId="65349A3E" w14:textId="77777777" w:rsidR="00427EDA" w:rsidRPr="00E45D39" w:rsidRDefault="00427EDA" w:rsidP="00427EDA">
                  <w:pPr>
                    <w:spacing w:after="60"/>
                    <w:rPr>
                      <w:iCs/>
                      <w:sz w:val="20"/>
                    </w:rPr>
                  </w:pPr>
                  <w:r w:rsidRPr="00E45D39">
                    <w:rPr>
                      <w:iCs/>
                      <w:sz w:val="20"/>
                    </w:rPr>
                    <w:t>$</w:t>
                  </w:r>
                </w:p>
              </w:tc>
              <w:tc>
                <w:tcPr>
                  <w:tcW w:w="6660" w:type="dxa"/>
                </w:tcPr>
                <w:p w14:paraId="2E0E231A" w14:textId="77777777" w:rsidR="00427EDA" w:rsidRPr="00E45D39" w:rsidRDefault="00427EDA" w:rsidP="00427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w:t>
                  </w:r>
                  <w:r>
                    <w:rPr>
                      <w:iCs/>
                      <w:sz w:val="20"/>
                    </w:rPr>
                    <w:t xml:space="preserve"> unexcused Misconduct Event of MRA</w:t>
                  </w:r>
                  <w:r w:rsidRPr="00E45D39">
                    <w:rPr>
                      <w:iCs/>
                      <w:sz w:val="20"/>
                    </w:rPr>
                    <w:t xml:space="preserve"> </w:t>
                  </w:r>
                  <w:r w:rsidRPr="00E45D39">
                    <w:rPr>
                      <w:i/>
                      <w:iCs/>
                      <w:sz w:val="20"/>
                    </w:rPr>
                    <w:t>r</w:t>
                  </w:r>
                  <w:r>
                    <w:rPr>
                      <w:iCs/>
                      <w:sz w:val="20"/>
                    </w:rPr>
                    <w:t xml:space="preserve"> for the hour </w:t>
                  </w:r>
                  <w:r w:rsidRPr="002B5C5B">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427EDA" w:rsidRPr="00E45D39" w14:paraId="2B37CD17"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208C164F"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FLAG </w:t>
                  </w:r>
                  <w:r w:rsidRPr="00E45D39">
                    <w:rPr>
                      <w:i/>
                      <w:iCs/>
                      <w:sz w:val="20"/>
                      <w:vertAlign w:val="subscript"/>
                    </w:rPr>
                    <w:t>q, r</w:t>
                  </w:r>
                  <w:r>
                    <w:rPr>
                      <w:i/>
                      <w:iCs/>
                      <w:sz w:val="20"/>
                      <w:vertAlign w:val="subscript"/>
                    </w:rPr>
                    <w:t>, d</w:t>
                  </w:r>
                </w:p>
              </w:tc>
              <w:tc>
                <w:tcPr>
                  <w:tcW w:w="720" w:type="dxa"/>
                  <w:tcBorders>
                    <w:top w:val="single" w:sz="4" w:space="0" w:color="auto"/>
                    <w:left w:val="single" w:sz="4" w:space="0" w:color="auto"/>
                    <w:bottom w:val="single" w:sz="4" w:space="0" w:color="auto"/>
                    <w:right w:val="single" w:sz="4" w:space="0" w:color="auto"/>
                  </w:tcBorders>
                </w:tcPr>
                <w:p w14:paraId="394095F6" w14:textId="77777777" w:rsidR="00427EDA" w:rsidRPr="00E45D39" w:rsidRDefault="00427EDA" w:rsidP="00427EDA">
                  <w:pPr>
                    <w:spacing w:after="60"/>
                    <w:rPr>
                      <w:iCs/>
                      <w:sz w:val="20"/>
                    </w:rPr>
                  </w:pPr>
                  <w:r>
                    <w:rPr>
                      <w:iCs/>
                      <w:sz w:val="20"/>
                    </w:rPr>
                    <w:t>none</w:t>
                  </w:r>
                </w:p>
              </w:tc>
              <w:tc>
                <w:tcPr>
                  <w:tcW w:w="6660" w:type="dxa"/>
                  <w:tcBorders>
                    <w:top w:val="single" w:sz="4" w:space="0" w:color="auto"/>
                    <w:left w:val="single" w:sz="4" w:space="0" w:color="auto"/>
                    <w:bottom w:val="single" w:sz="4" w:space="0" w:color="auto"/>
                    <w:right w:val="single" w:sz="4" w:space="0" w:color="auto"/>
                  </w:tcBorders>
                </w:tcPr>
                <w:p w14:paraId="7DC5E038" w14:textId="19CC1B5A" w:rsidR="00427EDA" w:rsidRPr="00E45D39" w:rsidRDefault="00427EDA" w:rsidP="00F602B7">
                  <w:pPr>
                    <w:spacing w:after="60"/>
                    <w:rPr>
                      <w:iCs/>
                      <w:sz w:val="20"/>
                    </w:rPr>
                  </w:pPr>
                  <w:r w:rsidRPr="00E45D39">
                    <w:rPr>
                      <w:i/>
                      <w:iCs/>
                      <w:sz w:val="20"/>
                    </w:rPr>
                    <w:t xml:space="preserve">Must-Run </w:t>
                  </w:r>
                  <w:r>
                    <w:rPr>
                      <w:i/>
                      <w:iCs/>
                      <w:sz w:val="20"/>
                    </w:rPr>
                    <w:t>Alternative Unexcused</w:t>
                  </w:r>
                  <w:r w:rsidRPr="00E45D39">
                    <w:rPr>
                      <w:i/>
                      <w:iCs/>
                      <w:sz w:val="20"/>
                    </w:rPr>
                    <w:t xml:space="preserve"> </w:t>
                  </w:r>
                  <w:r>
                    <w:rPr>
                      <w:i/>
                      <w:iCs/>
                      <w:sz w:val="20"/>
                    </w:rPr>
                    <w:t xml:space="preserve">Misconduct </w:t>
                  </w:r>
                  <w:r w:rsidRPr="00E45D39">
                    <w:rPr>
                      <w:i/>
                      <w:iCs/>
                      <w:sz w:val="20"/>
                    </w:rPr>
                    <w:t>Flag per QSE per Resource</w:t>
                  </w:r>
                  <w:r w:rsidRPr="00E45D39">
                    <w:rPr>
                      <w:iCs/>
                      <w:sz w:val="20"/>
                    </w:rPr>
                    <w:t xml:space="preserve">—A flag for the QSE </w:t>
                  </w:r>
                  <w:r w:rsidRPr="00E45D39">
                    <w:rPr>
                      <w:i/>
                      <w:iCs/>
                      <w:sz w:val="20"/>
                    </w:rPr>
                    <w:t xml:space="preserve">q </w:t>
                  </w:r>
                  <w:r w:rsidRPr="00E45D39">
                    <w:rPr>
                      <w:iCs/>
                      <w:sz w:val="20"/>
                    </w:rPr>
                    <w:t>for the</w:t>
                  </w:r>
                  <w:r>
                    <w:rPr>
                      <w:iCs/>
                      <w:sz w:val="20"/>
                    </w:rPr>
                    <w:t xml:space="preserve"> unexcused Misconduct Event of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 xml:space="preserve">.  </w:t>
                  </w:r>
                  <w:r w:rsidRPr="00A36BCC">
                    <w:rPr>
                      <w:sz w:val="20"/>
                    </w:rPr>
                    <w:t xml:space="preserve">The </w:t>
                  </w:r>
                  <w:r>
                    <w:rPr>
                      <w:sz w:val="20"/>
                    </w:rPr>
                    <w:t>MRAUMFLAG</w:t>
                  </w:r>
                  <w:r>
                    <w:rPr>
                      <w:iCs/>
                      <w:sz w:val="20"/>
                    </w:rPr>
                    <w:t xml:space="preserve"> </w:t>
                  </w:r>
                  <w:r w:rsidRPr="00DE2EDE">
                    <w:rPr>
                      <w:sz w:val="20"/>
                    </w:rPr>
                    <w:t>of MR</w:t>
                  </w:r>
                  <w:r>
                    <w:rPr>
                      <w:sz w:val="20"/>
                    </w:rPr>
                    <w:t>A</w:t>
                  </w:r>
                  <w:r w:rsidRPr="00A36BCC">
                    <w:rPr>
                      <w:sz w:val="20"/>
                    </w:rPr>
                    <w:t xml:space="preserve"> </w:t>
                  </w:r>
                  <w:r w:rsidRPr="00DE2EDE">
                    <w:rPr>
                      <w:sz w:val="20"/>
                    </w:rPr>
                    <w:t xml:space="preserve">represented by QSE </w:t>
                  </w:r>
                  <w:r w:rsidRPr="00DE2EDE">
                    <w:rPr>
                      <w:i/>
                      <w:sz w:val="20"/>
                    </w:rPr>
                    <w:t>q</w:t>
                  </w:r>
                  <w:r w:rsidRPr="00DE2EDE">
                    <w:rPr>
                      <w:sz w:val="20"/>
                    </w:rPr>
                    <w:t xml:space="preserve">, 1 for </w:t>
                  </w:r>
                  <w:r>
                    <w:rPr>
                      <w:sz w:val="20"/>
                    </w:rPr>
                    <w:t xml:space="preserve">a </w:t>
                  </w:r>
                  <w:r>
                    <w:rPr>
                      <w:iCs/>
                      <w:sz w:val="20"/>
                    </w:rPr>
                    <w:t>unexcused</w:t>
                  </w:r>
                  <w:r>
                    <w:rPr>
                      <w:sz w:val="20"/>
                    </w:rPr>
                    <w:t xml:space="preserve"> </w:t>
                  </w:r>
                  <w:r>
                    <w:rPr>
                      <w:iCs/>
                      <w:sz w:val="20"/>
                    </w:rPr>
                    <w:t xml:space="preserve">misconduct </w:t>
                  </w:r>
                  <w:r w:rsidRPr="00DE2EDE">
                    <w:rPr>
                      <w:sz w:val="20"/>
                    </w:rPr>
                    <w:t xml:space="preserve">and 0 for </w:t>
                  </w:r>
                  <w:r>
                    <w:rPr>
                      <w:sz w:val="20"/>
                    </w:rPr>
                    <w:t>none</w:t>
                  </w:r>
                  <w:r w:rsidRPr="00DE2EDE">
                    <w:rPr>
                      <w:sz w:val="20"/>
                    </w:rPr>
                    <w:t xml:space="preserve">, for the </w:t>
                  </w:r>
                  <w:r>
                    <w:rPr>
                      <w:sz w:val="20"/>
                    </w:rPr>
                    <w:t xml:space="preserve">day. </w:t>
                  </w:r>
                  <w:r w:rsidRPr="00DE2EDE" w:rsidDel="00A36BCC">
                    <w:rPr>
                      <w:rStyle w:val="CommentReference"/>
                      <w:sz w:val="20"/>
                    </w:rPr>
                    <w:t xml:space="preserve"> </w:t>
                  </w:r>
                  <w:r w:rsidRPr="00A36BCC">
                    <w:rPr>
                      <w:iCs/>
                      <w:sz w:val="20"/>
                    </w:rPr>
                    <w:t xml:space="preserve">Where for a Combined Cycle Train, the Resource </w:t>
                  </w:r>
                  <w:r w:rsidRPr="00A36BCC">
                    <w:rPr>
                      <w:i/>
                      <w:iCs/>
                      <w:sz w:val="20"/>
                    </w:rPr>
                    <w:t xml:space="preserve">r </w:t>
                  </w:r>
                  <w:r w:rsidRPr="00A36BCC">
                    <w:rPr>
                      <w:iCs/>
                      <w:sz w:val="20"/>
                    </w:rPr>
                    <w:t>is the Combined Cycle Train.</w:t>
                  </w:r>
                  <w:r w:rsidRPr="00E45D39">
                    <w:rPr>
                      <w:iCs/>
                      <w:sz w:val="20"/>
                    </w:rPr>
                    <w:t xml:space="preserve"> </w:t>
                  </w:r>
                </w:p>
              </w:tc>
            </w:tr>
            <w:tr w:rsidR="00427EDA" w:rsidRPr="00E45D39" w14:paraId="475C5156"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16C3B1DE" w14:textId="77777777" w:rsidR="00427EDA" w:rsidRPr="00E45D39" w:rsidRDefault="00427EDA" w:rsidP="00427EDA">
                  <w:pPr>
                    <w:spacing w:after="60"/>
                    <w:rPr>
                      <w:iCs/>
                      <w:sz w:val="20"/>
                    </w:rPr>
                  </w:pPr>
                  <w:r>
                    <w:rPr>
                      <w:iCs/>
                      <w:sz w:val="20"/>
                    </w:rPr>
                    <w:t>MRA</w:t>
                  </w:r>
                  <w:r w:rsidRPr="002B5C5B">
                    <w:rPr>
                      <w:iCs/>
                      <w:sz w:val="20"/>
                    </w:rPr>
                    <w:t xml:space="preserve">CH </w:t>
                  </w:r>
                  <w:r w:rsidRPr="002B5C5B">
                    <w:rPr>
                      <w:i/>
                      <w:iCs/>
                      <w:sz w:val="20"/>
                      <w:vertAlign w:val="subscript"/>
                    </w:rPr>
                    <w:t>q,</w:t>
                  </w:r>
                  <w:r>
                    <w:rPr>
                      <w:i/>
                      <w:iCs/>
                      <w:sz w:val="20"/>
                      <w:vertAlign w:val="subscript"/>
                    </w:rPr>
                    <w:t xml:space="preserve"> </w:t>
                  </w:r>
                  <w:r w:rsidRPr="002B5C5B">
                    <w:rPr>
                      <w:i/>
                      <w:iCs/>
                      <w:sz w:val="20"/>
                      <w:vertAlign w:val="subscript"/>
                    </w:rPr>
                    <w:t>r,</w:t>
                  </w:r>
                  <w:r>
                    <w:rPr>
                      <w:i/>
                      <w:iCs/>
                      <w:sz w:val="20"/>
                      <w:vertAlign w:val="subscript"/>
                    </w:rPr>
                    <w:t xml:space="preserve"> </w:t>
                  </w:r>
                  <w:r w:rsidRPr="002B5C5B">
                    <w:rPr>
                      <w:i/>
                      <w:iCs/>
                      <w:sz w:val="20"/>
                      <w:vertAlign w:val="subscript"/>
                    </w:rPr>
                    <w:t>d</w:t>
                  </w:r>
                </w:p>
              </w:tc>
              <w:tc>
                <w:tcPr>
                  <w:tcW w:w="720" w:type="dxa"/>
                  <w:tcBorders>
                    <w:top w:val="single" w:sz="4" w:space="0" w:color="auto"/>
                    <w:left w:val="single" w:sz="4" w:space="0" w:color="auto"/>
                    <w:bottom w:val="single" w:sz="4" w:space="0" w:color="auto"/>
                    <w:right w:val="single" w:sz="4" w:space="0" w:color="auto"/>
                  </w:tcBorders>
                </w:tcPr>
                <w:p w14:paraId="6C8B4233" w14:textId="77777777" w:rsidR="00427EDA" w:rsidRPr="00E45D39" w:rsidRDefault="00427EDA" w:rsidP="00427EDA">
                  <w:pPr>
                    <w:spacing w:after="60"/>
                    <w:rPr>
                      <w:iCs/>
                      <w:sz w:val="20"/>
                    </w:rPr>
                  </w:pPr>
                  <w:r>
                    <w:rPr>
                      <w:iCs/>
                      <w:sz w:val="20"/>
                    </w:rPr>
                    <w:t>hour</w:t>
                  </w:r>
                </w:p>
              </w:tc>
              <w:tc>
                <w:tcPr>
                  <w:tcW w:w="6660" w:type="dxa"/>
                  <w:tcBorders>
                    <w:top w:val="single" w:sz="4" w:space="0" w:color="auto"/>
                    <w:left w:val="single" w:sz="4" w:space="0" w:color="auto"/>
                    <w:bottom w:val="single" w:sz="4" w:space="0" w:color="auto"/>
                    <w:right w:val="single" w:sz="4" w:space="0" w:color="auto"/>
                  </w:tcBorders>
                </w:tcPr>
                <w:p w14:paraId="35779357" w14:textId="77777777" w:rsidR="00427EDA" w:rsidRPr="002B5C5B" w:rsidRDefault="00427EDA" w:rsidP="00427EDA">
                  <w:pPr>
                    <w:spacing w:after="60"/>
                    <w:rPr>
                      <w:iCs/>
                      <w:sz w:val="20"/>
                    </w:rPr>
                  </w:pPr>
                  <w:r>
                    <w:rPr>
                      <w:i/>
                      <w:iCs/>
                      <w:sz w:val="20"/>
                    </w:rPr>
                    <w:t xml:space="preserve">Must-Run Alternative Contract Hours in the Operating Day – </w:t>
                  </w:r>
                  <w:r>
                    <w:rPr>
                      <w:iCs/>
                      <w:sz w:val="20"/>
                    </w:rPr>
                    <w:t xml:space="preserve">The number of MRA Contracted Hours for </w:t>
                  </w:r>
                  <w:r w:rsidRPr="00E45D39">
                    <w:rPr>
                      <w:iCs/>
                      <w:sz w:val="20"/>
                    </w:rPr>
                    <w:t xml:space="preserve">QSE </w:t>
                  </w:r>
                  <w:r w:rsidRPr="00E45D39">
                    <w:rPr>
                      <w:i/>
                      <w:iCs/>
                      <w:sz w:val="20"/>
                    </w:rPr>
                    <w:t>q</w:t>
                  </w:r>
                  <w:r>
                    <w:rPr>
                      <w:iCs/>
                      <w:sz w:val="20"/>
                    </w:rPr>
                    <w:t xml:space="preserve"> for the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w:t>
                  </w:r>
                  <w:r>
                    <w:rPr>
                      <w:iCs/>
                      <w:sz w:val="20"/>
                    </w:rPr>
                    <w:t xml:space="preserve"> </w:t>
                  </w:r>
                  <w:r w:rsidRPr="00E45D39">
                    <w:rPr>
                      <w:iCs/>
                      <w:sz w:val="20"/>
                    </w:rPr>
                    <w:t xml:space="preserve">Where for a Combined Cycle Train, the Resource </w:t>
                  </w:r>
                  <w:r w:rsidRPr="00E45D39">
                    <w:rPr>
                      <w:i/>
                      <w:iCs/>
                      <w:sz w:val="20"/>
                    </w:rPr>
                    <w:t xml:space="preserve">r </w:t>
                  </w:r>
                  <w:r w:rsidRPr="00E45D39">
                    <w:rPr>
                      <w:iCs/>
                      <w:sz w:val="20"/>
                    </w:rPr>
                    <w:t>is the Combined Cycle Train.</w:t>
                  </w:r>
                </w:p>
              </w:tc>
            </w:tr>
            <w:tr w:rsidR="00427EDA" w:rsidRPr="00E45D39" w14:paraId="1DAE59B8" w14:textId="77777777" w:rsidTr="00CE1011">
              <w:trPr>
                <w:cantSplit/>
              </w:trPr>
              <w:tc>
                <w:tcPr>
                  <w:tcW w:w="1885" w:type="dxa"/>
                </w:tcPr>
                <w:p w14:paraId="3BA93D30" w14:textId="77777777" w:rsidR="00427EDA" w:rsidRPr="00E45D39" w:rsidRDefault="00427EDA" w:rsidP="00427EDA">
                  <w:pPr>
                    <w:spacing w:after="60"/>
                    <w:rPr>
                      <w:i/>
                      <w:iCs/>
                      <w:sz w:val="20"/>
                    </w:rPr>
                  </w:pPr>
                  <w:r>
                    <w:rPr>
                      <w:i/>
                      <w:iCs/>
                      <w:sz w:val="20"/>
                    </w:rPr>
                    <w:t>q</w:t>
                  </w:r>
                </w:p>
              </w:tc>
              <w:tc>
                <w:tcPr>
                  <w:tcW w:w="720" w:type="dxa"/>
                </w:tcPr>
                <w:p w14:paraId="669D3852" w14:textId="77777777" w:rsidR="00427EDA" w:rsidRPr="00E45D39" w:rsidRDefault="00427EDA" w:rsidP="00427EDA">
                  <w:pPr>
                    <w:spacing w:after="60"/>
                    <w:rPr>
                      <w:iCs/>
                      <w:sz w:val="20"/>
                    </w:rPr>
                  </w:pPr>
                  <w:r w:rsidRPr="00E45D39">
                    <w:rPr>
                      <w:iCs/>
                      <w:sz w:val="20"/>
                    </w:rPr>
                    <w:t>none</w:t>
                  </w:r>
                </w:p>
              </w:tc>
              <w:tc>
                <w:tcPr>
                  <w:tcW w:w="6660" w:type="dxa"/>
                </w:tcPr>
                <w:p w14:paraId="3886927B" w14:textId="77777777" w:rsidR="00427EDA" w:rsidRPr="00E45D39" w:rsidRDefault="00427EDA" w:rsidP="00427EDA">
                  <w:pPr>
                    <w:spacing w:after="60"/>
                    <w:rPr>
                      <w:i/>
                      <w:iCs/>
                      <w:sz w:val="20"/>
                    </w:rPr>
                  </w:pPr>
                  <w:r w:rsidRPr="00E45D39">
                    <w:rPr>
                      <w:iCs/>
                      <w:sz w:val="20"/>
                    </w:rPr>
                    <w:t>A QSE.</w:t>
                  </w:r>
                </w:p>
              </w:tc>
            </w:tr>
            <w:tr w:rsidR="00427EDA" w:rsidRPr="00E45D39" w14:paraId="1EEA5B86" w14:textId="77777777" w:rsidTr="00CE1011">
              <w:trPr>
                <w:cantSplit/>
              </w:trPr>
              <w:tc>
                <w:tcPr>
                  <w:tcW w:w="1885" w:type="dxa"/>
                </w:tcPr>
                <w:p w14:paraId="44B4A3F0" w14:textId="77777777" w:rsidR="00427EDA" w:rsidRPr="00E45D39" w:rsidRDefault="00427EDA" w:rsidP="00427EDA">
                  <w:pPr>
                    <w:spacing w:after="60"/>
                    <w:rPr>
                      <w:i/>
                      <w:iCs/>
                      <w:sz w:val="20"/>
                    </w:rPr>
                  </w:pPr>
                  <w:r>
                    <w:rPr>
                      <w:i/>
                      <w:iCs/>
                      <w:sz w:val="20"/>
                    </w:rPr>
                    <w:t>r</w:t>
                  </w:r>
                </w:p>
              </w:tc>
              <w:tc>
                <w:tcPr>
                  <w:tcW w:w="720" w:type="dxa"/>
                </w:tcPr>
                <w:p w14:paraId="6101FB96" w14:textId="77777777" w:rsidR="00427EDA" w:rsidRPr="00E45D39" w:rsidRDefault="00427EDA" w:rsidP="00427EDA">
                  <w:pPr>
                    <w:spacing w:after="60"/>
                    <w:rPr>
                      <w:iCs/>
                      <w:sz w:val="20"/>
                    </w:rPr>
                  </w:pPr>
                  <w:r w:rsidRPr="00E45D39">
                    <w:rPr>
                      <w:iCs/>
                      <w:sz w:val="20"/>
                    </w:rPr>
                    <w:t>none</w:t>
                  </w:r>
                </w:p>
              </w:tc>
              <w:tc>
                <w:tcPr>
                  <w:tcW w:w="6660" w:type="dxa"/>
                </w:tcPr>
                <w:p w14:paraId="241D9BAF" w14:textId="77777777" w:rsidR="00427EDA" w:rsidRPr="00E45D39" w:rsidRDefault="00427EDA" w:rsidP="00427EDA">
                  <w:pPr>
                    <w:spacing w:after="60"/>
                    <w:rPr>
                      <w:i/>
                      <w:iCs/>
                      <w:sz w:val="20"/>
                    </w:rPr>
                  </w:pPr>
                  <w:r>
                    <w:rPr>
                      <w:iCs/>
                      <w:sz w:val="20"/>
                    </w:rPr>
                    <w:t>An MRA</w:t>
                  </w:r>
                  <w:r w:rsidRPr="00E45D39">
                    <w:rPr>
                      <w:iCs/>
                      <w:sz w:val="20"/>
                    </w:rPr>
                    <w:t>.</w:t>
                  </w:r>
                </w:p>
              </w:tc>
            </w:tr>
            <w:tr w:rsidR="00427EDA" w:rsidRPr="00E45D39" w14:paraId="3BB9E74A" w14:textId="77777777" w:rsidTr="00CE1011">
              <w:trPr>
                <w:cantSplit/>
              </w:trPr>
              <w:tc>
                <w:tcPr>
                  <w:tcW w:w="1885" w:type="dxa"/>
                </w:tcPr>
                <w:p w14:paraId="1FC5DA14" w14:textId="77777777" w:rsidR="00427EDA" w:rsidRPr="00E45D39" w:rsidRDefault="00427EDA" w:rsidP="00427EDA">
                  <w:pPr>
                    <w:spacing w:after="60"/>
                    <w:rPr>
                      <w:i/>
                      <w:iCs/>
                      <w:sz w:val="20"/>
                    </w:rPr>
                  </w:pPr>
                  <w:r>
                    <w:rPr>
                      <w:i/>
                      <w:iCs/>
                      <w:sz w:val="20"/>
                    </w:rPr>
                    <w:t>d</w:t>
                  </w:r>
                </w:p>
              </w:tc>
              <w:tc>
                <w:tcPr>
                  <w:tcW w:w="720" w:type="dxa"/>
                </w:tcPr>
                <w:p w14:paraId="044C062A" w14:textId="77777777" w:rsidR="00427EDA" w:rsidRPr="00E45D39" w:rsidRDefault="00427EDA" w:rsidP="00427EDA">
                  <w:pPr>
                    <w:spacing w:after="60"/>
                    <w:rPr>
                      <w:iCs/>
                      <w:sz w:val="20"/>
                    </w:rPr>
                  </w:pPr>
                  <w:r>
                    <w:rPr>
                      <w:iCs/>
                      <w:sz w:val="20"/>
                    </w:rPr>
                    <w:t>none</w:t>
                  </w:r>
                </w:p>
              </w:tc>
              <w:tc>
                <w:tcPr>
                  <w:tcW w:w="6660" w:type="dxa"/>
                </w:tcPr>
                <w:p w14:paraId="73952503" w14:textId="77777777" w:rsidR="00427EDA" w:rsidRDefault="00427EDA" w:rsidP="00427EDA">
                  <w:pPr>
                    <w:spacing w:after="60"/>
                    <w:rPr>
                      <w:iCs/>
                      <w:sz w:val="20"/>
                    </w:rPr>
                  </w:pPr>
                  <w:r>
                    <w:rPr>
                      <w:iCs/>
                      <w:sz w:val="20"/>
                    </w:rPr>
                    <w:t>An Operating Day within a month under an MRA Agreement</w:t>
                  </w:r>
                </w:p>
              </w:tc>
            </w:tr>
            <w:tr w:rsidR="00427EDA" w:rsidRPr="00E45D39" w14:paraId="713FD3F7" w14:textId="77777777" w:rsidTr="00CE1011">
              <w:trPr>
                <w:cantSplit/>
              </w:trPr>
              <w:tc>
                <w:tcPr>
                  <w:tcW w:w="1885" w:type="dxa"/>
                </w:tcPr>
                <w:p w14:paraId="65EADDD1" w14:textId="77777777" w:rsidR="00427EDA" w:rsidRDefault="00427EDA" w:rsidP="00427EDA">
                  <w:pPr>
                    <w:spacing w:after="60"/>
                    <w:rPr>
                      <w:i/>
                      <w:iCs/>
                      <w:sz w:val="20"/>
                    </w:rPr>
                  </w:pPr>
                  <w:r w:rsidRPr="002B5C5B">
                    <w:rPr>
                      <w:i/>
                      <w:iCs/>
                      <w:sz w:val="20"/>
                    </w:rPr>
                    <w:t>h</w:t>
                  </w:r>
                </w:p>
              </w:tc>
              <w:tc>
                <w:tcPr>
                  <w:tcW w:w="720" w:type="dxa"/>
                </w:tcPr>
                <w:p w14:paraId="7E4C9641" w14:textId="77777777" w:rsidR="00427EDA" w:rsidRPr="000F4256" w:rsidRDefault="00427EDA" w:rsidP="00427EDA">
                  <w:pPr>
                    <w:spacing w:after="60"/>
                    <w:rPr>
                      <w:iCs/>
                      <w:sz w:val="20"/>
                    </w:rPr>
                  </w:pPr>
                  <w:r w:rsidRPr="002B5C5B">
                    <w:rPr>
                      <w:iCs/>
                      <w:sz w:val="20"/>
                    </w:rPr>
                    <w:t>none</w:t>
                  </w:r>
                </w:p>
              </w:tc>
              <w:tc>
                <w:tcPr>
                  <w:tcW w:w="6660" w:type="dxa"/>
                </w:tcPr>
                <w:p w14:paraId="5B2D3B11" w14:textId="77777777" w:rsidR="00427EDA" w:rsidRPr="000F4256" w:rsidRDefault="00427EDA" w:rsidP="00427EDA">
                  <w:pPr>
                    <w:spacing w:after="60"/>
                    <w:rPr>
                      <w:iCs/>
                      <w:sz w:val="20"/>
                    </w:rPr>
                  </w:pPr>
                  <w:r w:rsidRPr="00081671">
                    <w:rPr>
                      <w:iCs/>
                      <w:sz w:val="20"/>
                    </w:rPr>
                    <w:t>A</w:t>
                  </w:r>
                  <w:r>
                    <w:rPr>
                      <w:iCs/>
                      <w:sz w:val="20"/>
                    </w:rPr>
                    <w:t>n MRA</w:t>
                  </w:r>
                  <w:r w:rsidRPr="00081671">
                    <w:rPr>
                      <w:iCs/>
                      <w:sz w:val="20"/>
                    </w:rPr>
                    <w:t xml:space="preserve"> </w:t>
                  </w:r>
                  <w:r>
                    <w:rPr>
                      <w:iCs/>
                      <w:sz w:val="20"/>
                    </w:rPr>
                    <w:t>C</w:t>
                  </w:r>
                  <w:r w:rsidRPr="00081671">
                    <w:rPr>
                      <w:iCs/>
                      <w:sz w:val="20"/>
                    </w:rPr>
                    <w:t xml:space="preserve">ontracted </w:t>
                  </w:r>
                  <w:r>
                    <w:rPr>
                      <w:iCs/>
                      <w:sz w:val="20"/>
                    </w:rPr>
                    <w:t>H</w:t>
                  </w:r>
                  <w:r w:rsidRPr="00081671">
                    <w:rPr>
                      <w:iCs/>
                      <w:sz w:val="20"/>
                    </w:rPr>
                    <w:t xml:space="preserve">our for the </w:t>
                  </w:r>
                  <w:r>
                    <w:rPr>
                      <w:iCs/>
                      <w:sz w:val="20"/>
                    </w:rPr>
                    <w:t>MRA Contracted M</w:t>
                  </w:r>
                  <w:r w:rsidRPr="00081671">
                    <w:rPr>
                      <w:iCs/>
                      <w:sz w:val="20"/>
                    </w:rPr>
                    <w:t>onth</w:t>
                  </w:r>
                  <w:r w:rsidRPr="002B5C5B">
                    <w:rPr>
                      <w:iCs/>
                      <w:sz w:val="20"/>
                    </w:rPr>
                    <w:t>.</w:t>
                  </w:r>
                </w:p>
              </w:tc>
            </w:tr>
          </w:tbl>
          <w:p w14:paraId="38B38DF0" w14:textId="77777777" w:rsidR="00427EDA" w:rsidRPr="00E45D39" w:rsidRDefault="00427EDA" w:rsidP="00427EDA">
            <w:pPr>
              <w:spacing w:before="240" w:after="240"/>
              <w:ind w:left="720" w:hanging="720"/>
            </w:pPr>
            <w:r w:rsidRPr="00E45D39">
              <w:t>(2)</w:t>
            </w:r>
            <w:r w:rsidRPr="00E45D39">
              <w:tab/>
              <w:t>The total of the charges to each QSE for unex</w:t>
            </w:r>
            <w:r>
              <w:t>cused Misconduct Events of all MRA</w:t>
            </w:r>
            <w:r w:rsidRPr="00E45D39">
              <w:t xml:space="preserve">s represented by this QSE for a given </w:t>
            </w:r>
            <w:r>
              <w:t xml:space="preserve">hour </w:t>
            </w:r>
            <w:r w:rsidRPr="00E45D39">
              <w:t>is calculated as follows:</w:t>
            </w:r>
          </w:p>
          <w:p w14:paraId="5B58F68B" w14:textId="77777777" w:rsidR="00427EDA" w:rsidRDefault="00427EDA" w:rsidP="00427EDA">
            <w:pPr>
              <w:tabs>
                <w:tab w:val="left" w:pos="2250"/>
                <w:tab w:val="left" w:pos="3150"/>
                <w:tab w:val="left" w:pos="3960"/>
              </w:tabs>
              <w:spacing w:after="240"/>
              <w:ind w:left="3960" w:hanging="3240"/>
            </w:pPr>
            <w:r w:rsidRPr="003F2D5C">
              <w:rPr>
                <w:bCs/>
              </w:rPr>
              <w:t>MRA</w:t>
            </w:r>
            <w:r>
              <w:rPr>
                <w:bCs/>
              </w:rPr>
              <w:t>UM</w:t>
            </w:r>
            <w:r w:rsidRPr="003F2D5C">
              <w:rPr>
                <w:bCs/>
              </w:rPr>
              <w:t>AM</w:t>
            </w:r>
            <w:r>
              <w:rPr>
                <w:bCs/>
              </w:rPr>
              <w:t>TQSE</w:t>
            </w:r>
            <w:r w:rsidRPr="003F2D5C">
              <w:rPr>
                <w:bCs/>
              </w:rPr>
              <w:t>T</w:t>
            </w:r>
            <w:r w:rsidRPr="00054C1C">
              <w:rPr>
                <w:bCs/>
              </w:rPr>
              <w:t>OT</w:t>
            </w:r>
            <w:r>
              <w:rPr>
                <w:bCs/>
              </w:rPr>
              <w:t xml:space="preserve"> </w:t>
            </w:r>
            <w:r w:rsidRPr="002B5C5B">
              <w:rPr>
                <w:bCs/>
                <w:i/>
                <w:vertAlign w:val="subscript"/>
              </w:rPr>
              <w:t>q</w:t>
            </w:r>
            <w:r>
              <w:rPr>
                <w:bCs/>
              </w:rPr>
              <w:t xml:space="preserve">  </w:t>
            </w:r>
            <w:r w:rsidRPr="003F2D5C">
              <w:rPr>
                <w:bCs/>
              </w:rPr>
              <w:t>=</w:t>
            </w:r>
            <w:r>
              <w:rPr>
                <w:bCs/>
              </w:rPr>
              <w:t xml:space="preserve">  </w:t>
            </w:r>
            <w:r w:rsidRPr="003F2D5C">
              <w:rPr>
                <w:position w:val="-18"/>
              </w:rPr>
              <w:object w:dxaOrig="225" w:dyaOrig="420" w14:anchorId="68EBB923">
                <v:shape id="_x0000_i1225" type="#_x0000_t75" style="width:12pt;height:24pt" o:ole="">
                  <v:imagedata r:id="rId237" o:title=""/>
                </v:shape>
                <o:OLEObject Type="Embed" ProgID="Equation.3" ShapeID="_x0000_i1225" DrawAspect="Content" ObjectID="_1804653709" r:id="rId277"/>
              </w:object>
            </w:r>
            <w:r w:rsidRPr="003F2D5C">
              <w:rPr>
                <w:bCs/>
              </w:rPr>
              <w:t>MRA</w:t>
            </w:r>
            <w:r>
              <w:rPr>
                <w:bCs/>
              </w:rPr>
              <w:t>UM</w:t>
            </w:r>
            <w:r w:rsidRPr="003F2D5C">
              <w:rPr>
                <w:bCs/>
              </w:rPr>
              <w:t xml:space="preserve">AMT </w:t>
            </w:r>
            <w:r w:rsidRPr="003F2D5C">
              <w:rPr>
                <w:bCs/>
                <w:i/>
                <w:vertAlign w:val="subscript"/>
              </w:rPr>
              <w:t>q, r</w:t>
            </w:r>
            <w:r w:rsidRPr="002B5C5B">
              <w:rPr>
                <w:vertAlign w:val="subscript"/>
              </w:rPr>
              <w:t>,</w:t>
            </w:r>
            <w:r w:rsidRPr="002B5C5B">
              <w:rPr>
                <w:i/>
                <w:vertAlign w:val="subscript"/>
              </w:rPr>
              <w:t xml:space="preserve"> h</w:t>
            </w:r>
          </w:p>
          <w:p w14:paraId="7EF721D6" w14:textId="77777777" w:rsidR="00427EDA" w:rsidRPr="00E45D39" w:rsidRDefault="00427EDA" w:rsidP="00C36EDA">
            <w:pPr>
              <w:tabs>
                <w:tab w:val="left" w:pos="2250"/>
                <w:tab w:val="left" w:pos="3150"/>
                <w:tab w:val="left" w:pos="3960"/>
              </w:tabs>
            </w:pPr>
            <w:r w:rsidRPr="00E45D3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5580"/>
            </w:tblGrid>
            <w:tr w:rsidR="00C36EDA" w:rsidRPr="00E45D39" w14:paraId="5053D7B3" w14:textId="77777777" w:rsidTr="00CE1011">
              <w:trPr>
                <w:cantSplit/>
                <w:tblHeader/>
              </w:trPr>
              <w:tc>
                <w:tcPr>
                  <w:tcW w:w="2515" w:type="dxa"/>
                </w:tcPr>
                <w:p w14:paraId="69DA0BCC" w14:textId="77777777" w:rsidR="00C36EDA" w:rsidRPr="00E45D39" w:rsidRDefault="00C36EDA" w:rsidP="00C36EDA">
                  <w:pPr>
                    <w:spacing w:after="120"/>
                    <w:rPr>
                      <w:b/>
                      <w:iCs/>
                      <w:sz w:val="20"/>
                    </w:rPr>
                  </w:pPr>
                  <w:r w:rsidRPr="00E45D39">
                    <w:rPr>
                      <w:b/>
                      <w:iCs/>
                      <w:sz w:val="20"/>
                    </w:rPr>
                    <w:t>Variable</w:t>
                  </w:r>
                </w:p>
              </w:tc>
              <w:tc>
                <w:tcPr>
                  <w:tcW w:w="1170" w:type="dxa"/>
                </w:tcPr>
                <w:p w14:paraId="6D037117" w14:textId="77777777" w:rsidR="00C36EDA" w:rsidRPr="00E45D39" w:rsidRDefault="00C36EDA" w:rsidP="00C36EDA">
                  <w:pPr>
                    <w:spacing w:after="120"/>
                    <w:rPr>
                      <w:b/>
                      <w:iCs/>
                      <w:sz w:val="20"/>
                    </w:rPr>
                  </w:pPr>
                  <w:r w:rsidRPr="00E45D39">
                    <w:rPr>
                      <w:b/>
                      <w:iCs/>
                      <w:sz w:val="20"/>
                    </w:rPr>
                    <w:t>Unit</w:t>
                  </w:r>
                </w:p>
              </w:tc>
              <w:tc>
                <w:tcPr>
                  <w:tcW w:w="5580" w:type="dxa"/>
                </w:tcPr>
                <w:p w14:paraId="38167358" w14:textId="77777777" w:rsidR="00C36EDA" w:rsidRPr="00E45D39" w:rsidRDefault="00C36EDA" w:rsidP="00C36EDA">
                  <w:pPr>
                    <w:spacing w:after="120"/>
                    <w:rPr>
                      <w:b/>
                      <w:iCs/>
                      <w:sz w:val="20"/>
                    </w:rPr>
                  </w:pPr>
                  <w:r w:rsidRPr="00E45D39">
                    <w:rPr>
                      <w:b/>
                      <w:iCs/>
                      <w:sz w:val="20"/>
                    </w:rPr>
                    <w:t>Definition</w:t>
                  </w:r>
                </w:p>
              </w:tc>
            </w:tr>
            <w:tr w:rsidR="00C36EDA" w:rsidRPr="00E45D39" w14:paraId="38F276A4" w14:textId="77777777" w:rsidTr="00CE1011">
              <w:trPr>
                <w:cantSplit/>
              </w:trPr>
              <w:tc>
                <w:tcPr>
                  <w:tcW w:w="2515" w:type="dxa"/>
                </w:tcPr>
                <w:p w14:paraId="3B86DAF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AMTQSETOT </w:t>
                  </w:r>
                  <w:r w:rsidRPr="00E45D39">
                    <w:rPr>
                      <w:i/>
                      <w:iCs/>
                      <w:sz w:val="20"/>
                      <w:vertAlign w:val="subscript"/>
                    </w:rPr>
                    <w:t>q</w:t>
                  </w:r>
                </w:p>
              </w:tc>
              <w:tc>
                <w:tcPr>
                  <w:tcW w:w="1170" w:type="dxa"/>
                </w:tcPr>
                <w:p w14:paraId="3F8B6058" w14:textId="77777777" w:rsidR="00C36EDA" w:rsidRPr="00E45D39" w:rsidRDefault="00C36EDA" w:rsidP="00C36EDA">
                  <w:pPr>
                    <w:spacing w:after="60"/>
                    <w:rPr>
                      <w:iCs/>
                      <w:sz w:val="20"/>
                    </w:rPr>
                  </w:pPr>
                  <w:r w:rsidRPr="00E45D39">
                    <w:rPr>
                      <w:iCs/>
                      <w:sz w:val="20"/>
                    </w:rPr>
                    <w:t>$</w:t>
                  </w:r>
                </w:p>
              </w:tc>
              <w:tc>
                <w:tcPr>
                  <w:tcW w:w="5580" w:type="dxa"/>
                </w:tcPr>
                <w:p w14:paraId="60FBDA4C"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Amount per QSE</w:t>
                  </w:r>
                  <w:r w:rsidRPr="00E45D39">
                    <w:rPr>
                      <w:iCs/>
                      <w:sz w:val="20"/>
                    </w:rPr>
                    <w:sym w:font="Symbol" w:char="F0BE"/>
                  </w:r>
                  <w:r w:rsidRPr="00E45D39">
                    <w:rPr>
                      <w:iCs/>
                      <w:sz w:val="20"/>
                    </w:rPr>
                    <w:t xml:space="preserve">The total of the charges to QSE </w:t>
                  </w:r>
                  <w:r w:rsidRPr="00E45D39">
                    <w:rPr>
                      <w:i/>
                      <w:iCs/>
                      <w:sz w:val="20"/>
                    </w:rPr>
                    <w:t>q</w:t>
                  </w:r>
                  <w:r w:rsidRPr="00E45D39">
                    <w:rPr>
                      <w:iCs/>
                      <w:sz w:val="20"/>
                    </w:rPr>
                    <w:t xml:space="preserve"> for unex</w:t>
                  </w:r>
                  <w:r>
                    <w:rPr>
                      <w:iCs/>
                      <w:sz w:val="20"/>
                    </w:rPr>
                    <w:t>cused Misconduct Events of the MRA</w:t>
                  </w:r>
                  <w:r w:rsidRPr="00E45D39">
                    <w:rPr>
                      <w:iCs/>
                      <w:sz w:val="20"/>
                    </w:rPr>
                    <w:t xml:space="preserve">s for </w:t>
                  </w:r>
                  <w:r>
                    <w:rPr>
                      <w:iCs/>
                      <w:sz w:val="20"/>
                    </w:rPr>
                    <w:t>an MRA Contracted Hour</w:t>
                  </w:r>
                  <w:r w:rsidRPr="00E45D39">
                    <w:rPr>
                      <w:iCs/>
                      <w:sz w:val="20"/>
                    </w:rPr>
                    <w:t>.</w:t>
                  </w:r>
                </w:p>
              </w:tc>
            </w:tr>
            <w:tr w:rsidR="00C36EDA" w:rsidRPr="00E45D39" w14:paraId="15495403" w14:textId="77777777" w:rsidTr="00CE1011">
              <w:trPr>
                <w:cantSplit/>
              </w:trPr>
              <w:tc>
                <w:tcPr>
                  <w:tcW w:w="2515" w:type="dxa"/>
                </w:tcPr>
                <w:p w14:paraId="48BE540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1170" w:type="dxa"/>
                </w:tcPr>
                <w:p w14:paraId="48AAAAAC" w14:textId="77777777" w:rsidR="00C36EDA" w:rsidRPr="00E45D39" w:rsidRDefault="00C36EDA" w:rsidP="00C36EDA">
                  <w:pPr>
                    <w:spacing w:after="60"/>
                    <w:rPr>
                      <w:iCs/>
                      <w:sz w:val="20"/>
                    </w:rPr>
                  </w:pPr>
                  <w:r w:rsidRPr="00E45D39">
                    <w:rPr>
                      <w:iCs/>
                      <w:sz w:val="20"/>
                    </w:rPr>
                    <w:t>$</w:t>
                  </w:r>
                </w:p>
              </w:tc>
              <w:tc>
                <w:tcPr>
                  <w:tcW w:w="5580" w:type="dxa"/>
                </w:tcPr>
                <w:p w14:paraId="56625450"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 unexcused </w:t>
                  </w:r>
                  <w:r>
                    <w:rPr>
                      <w:iCs/>
                      <w:sz w:val="20"/>
                    </w:rPr>
                    <w:t>M</w:t>
                  </w:r>
                  <w:r w:rsidRPr="00E45D39">
                    <w:rPr>
                      <w:iCs/>
                      <w:sz w:val="20"/>
                    </w:rPr>
                    <w:t xml:space="preserve">isconduct </w:t>
                  </w:r>
                  <w:r>
                    <w:rPr>
                      <w:iCs/>
                      <w:sz w:val="20"/>
                    </w:rPr>
                    <w:t>E</w:t>
                  </w:r>
                  <w:r w:rsidRPr="00E45D39">
                    <w:rPr>
                      <w:iCs/>
                      <w:sz w:val="20"/>
                    </w:rPr>
                    <w:t xml:space="preserve">vent of </w:t>
                  </w:r>
                  <w:r>
                    <w:rPr>
                      <w:iCs/>
                      <w:sz w:val="20"/>
                    </w:rPr>
                    <w:t>MRA</w:t>
                  </w:r>
                  <w:r w:rsidRPr="00E45D39">
                    <w:rPr>
                      <w:iCs/>
                      <w:sz w:val="20"/>
                    </w:rPr>
                    <w:t xml:space="preserve"> </w:t>
                  </w:r>
                  <w:r w:rsidRPr="00E45D39">
                    <w:rPr>
                      <w:i/>
                      <w:iCs/>
                      <w:sz w:val="20"/>
                    </w:rPr>
                    <w:t>r</w:t>
                  </w:r>
                  <w:r w:rsidRPr="00E45D39">
                    <w:rPr>
                      <w:iCs/>
                      <w:sz w:val="20"/>
                    </w:rPr>
                    <w:t xml:space="preserve"> for </w:t>
                  </w:r>
                  <w:r>
                    <w:rPr>
                      <w:iCs/>
                      <w:sz w:val="20"/>
                    </w:rPr>
                    <w:t xml:space="preserve">the hour </w:t>
                  </w:r>
                  <w:r w:rsidRPr="009701A9">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C36EDA" w:rsidRPr="00E45D39" w14:paraId="1B5D1058"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3928AD7D" w14:textId="77777777" w:rsidR="00C36EDA" w:rsidRPr="00E45D39" w:rsidRDefault="00C36EDA" w:rsidP="00C36EDA">
                  <w:pPr>
                    <w:spacing w:after="60"/>
                    <w:rPr>
                      <w:i/>
                      <w:iCs/>
                      <w:sz w:val="20"/>
                    </w:rPr>
                  </w:pPr>
                  <w:r w:rsidRPr="00E45D39">
                    <w:rPr>
                      <w:i/>
                      <w:iCs/>
                      <w:sz w:val="20"/>
                    </w:rPr>
                    <w:t>q</w:t>
                  </w:r>
                </w:p>
              </w:tc>
              <w:tc>
                <w:tcPr>
                  <w:tcW w:w="1170" w:type="dxa"/>
                  <w:tcBorders>
                    <w:top w:val="single" w:sz="4" w:space="0" w:color="auto"/>
                    <w:left w:val="single" w:sz="4" w:space="0" w:color="auto"/>
                    <w:bottom w:val="single" w:sz="4" w:space="0" w:color="auto"/>
                    <w:right w:val="single" w:sz="4" w:space="0" w:color="auto"/>
                  </w:tcBorders>
                </w:tcPr>
                <w:p w14:paraId="6894694D"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2098A776" w14:textId="77777777" w:rsidR="00C36EDA" w:rsidRPr="00E45D39" w:rsidRDefault="00C36EDA" w:rsidP="00C36EDA">
                  <w:pPr>
                    <w:spacing w:after="60"/>
                    <w:rPr>
                      <w:iCs/>
                      <w:sz w:val="20"/>
                    </w:rPr>
                  </w:pPr>
                  <w:r w:rsidRPr="00E45D39">
                    <w:rPr>
                      <w:iCs/>
                      <w:sz w:val="20"/>
                    </w:rPr>
                    <w:t>A QSE.</w:t>
                  </w:r>
                </w:p>
              </w:tc>
            </w:tr>
            <w:tr w:rsidR="00C36EDA" w:rsidRPr="00E45D39" w14:paraId="07CC424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5C48B577" w14:textId="77777777" w:rsidR="00C36EDA" w:rsidRPr="00E45D39" w:rsidRDefault="00C36EDA" w:rsidP="00C36EDA">
                  <w:pPr>
                    <w:spacing w:after="60"/>
                    <w:rPr>
                      <w:i/>
                      <w:iCs/>
                      <w:sz w:val="20"/>
                    </w:rPr>
                  </w:pPr>
                  <w:r w:rsidRPr="00E45D39">
                    <w:rPr>
                      <w:i/>
                      <w:iCs/>
                      <w:sz w:val="20"/>
                    </w:rPr>
                    <w:t>r</w:t>
                  </w:r>
                </w:p>
              </w:tc>
              <w:tc>
                <w:tcPr>
                  <w:tcW w:w="1170" w:type="dxa"/>
                  <w:tcBorders>
                    <w:top w:val="single" w:sz="4" w:space="0" w:color="auto"/>
                    <w:left w:val="single" w:sz="4" w:space="0" w:color="auto"/>
                    <w:bottom w:val="single" w:sz="4" w:space="0" w:color="auto"/>
                    <w:right w:val="single" w:sz="4" w:space="0" w:color="auto"/>
                  </w:tcBorders>
                </w:tcPr>
                <w:p w14:paraId="6C668A97"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34DFC66E" w14:textId="77777777" w:rsidR="00C36EDA" w:rsidRPr="00E45D39" w:rsidRDefault="00C36EDA" w:rsidP="00C36EDA">
                  <w:pPr>
                    <w:spacing w:after="60"/>
                    <w:rPr>
                      <w:iCs/>
                      <w:sz w:val="20"/>
                    </w:rPr>
                  </w:pPr>
                  <w:r>
                    <w:rPr>
                      <w:iCs/>
                      <w:sz w:val="20"/>
                    </w:rPr>
                    <w:t>An MRA</w:t>
                  </w:r>
                  <w:r w:rsidRPr="00E45D39">
                    <w:rPr>
                      <w:iCs/>
                      <w:sz w:val="20"/>
                    </w:rPr>
                    <w:t>.</w:t>
                  </w:r>
                </w:p>
              </w:tc>
            </w:tr>
            <w:tr w:rsidR="00C36EDA" w:rsidRPr="00E45D39" w14:paraId="40EE50A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421863BB" w14:textId="77777777" w:rsidR="00C36EDA" w:rsidRPr="00E45D39" w:rsidRDefault="00C36EDA" w:rsidP="00C36EDA">
                  <w:pPr>
                    <w:spacing w:after="60"/>
                    <w:rPr>
                      <w:i/>
                      <w:iCs/>
                      <w:sz w:val="20"/>
                    </w:rPr>
                  </w:pPr>
                  <w:r w:rsidRPr="006144C7">
                    <w:rPr>
                      <w:i/>
                      <w:iCs/>
                      <w:sz w:val="20"/>
                    </w:rPr>
                    <w:t>h</w:t>
                  </w:r>
                </w:p>
              </w:tc>
              <w:tc>
                <w:tcPr>
                  <w:tcW w:w="1170" w:type="dxa"/>
                  <w:tcBorders>
                    <w:top w:val="single" w:sz="4" w:space="0" w:color="auto"/>
                    <w:left w:val="single" w:sz="4" w:space="0" w:color="auto"/>
                    <w:bottom w:val="single" w:sz="4" w:space="0" w:color="auto"/>
                    <w:right w:val="single" w:sz="4" w:space="0" w:color="auto"/>
                  </w:tcBorders>
                </w:tcPr>
                <w:p w14:paraId="3CB6DC05" w14:textId="77777777" w:rsidR="00C36EDA" w:rsidRPr="00E45D39" w:rsidRDefault="00C36EDA" w:rsidP="00C36EDA">
                  <w:pPr>
                    <w:spacing w:after="60"/>
                    <w:rPr>
                      <w:iCs/>
                      <w:sz w:val="20"/>
                    </w:rPr>
                  </w:pPr>
                  <w:r w:rsidRPr="006144C7">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4E23728C" w14:textId="77777777" w:rsidR="00C36EDA" w:rsidRDefault="00C36EDA" w:rsidP="00C36EDA">
                  <w:pPr>
                    <w:spacing w:after="60"/>
                    <w:rPr>
                      <w:iCs/>
                      <w:sz w:val="20"/>
                    </w:rPr>
                  </w:pPr>
                  <w:r w:rsidRPr="0083119C">
                    <w:rPr>
                      <w:iCs/>
                      <w:sz w:val="20"/>
                    </w:rPr>
                    <w:t>An MRA Contracted Hour for the MRA Contracted Month</w:t>
                  </w:r>
                  <w:r w:rsidRPr="006144C7">
                    <w:rPr>
                      <w:iCs/>
                      <w:sz w:val="20"/>
                    </w:rPr>
                    <w:t>.</w:t>
                  </w:r>
                </w:p>
              </w:tc>
            </w:tr>
          </w:tbl>
          <w:p w14:paraId="119A0BAA" w14:textId="77777777" w:rsidR="00C36EDA" w:rsidRPr="00E45D39" w:rsidRDefault="00C36EDA" w:rsidP="00C36EDA">
            <w:pPr>
              <w:spacing w:before="240" w:after="240"/>
              <w:ind w:left="720" w:hanging="720"/>
            </w:pPr>
            <w:r w:rsidRPr="00E45D39">
              <w:lastRenderedPageBreak/>
              <w:t>(</w:t>
            </w:r>
            <w:r>
              <w:t>3)</w:t>
            </w:r>
            <w:r>
              <w:tab/>
              <w:t xml:space="preserve">The total of the charges to all </w:t>
            </w:r>
            <w:r w:rsidRPr="00E45D39">
              <w:t>QSE</w:t>
            </w:r>
            <w:r>
              <w:t>s</w:t>
            </w:r>
            <w:r w:rsidRPr="00E45D39">
              <w:t xml:space="preserve"> for unex</w:t>
            </w:r>
            <w:r>
              <w:t>cused Misconduct Events of all MRA</w:t>
            </w:r>
            <w:r w:rsidRPr="00E45D39">
              <w:t>s for a</w:t>
            </w:r>
            <w:r>
              <w:t xml:space="preserve">n MRA Contracted Hour </w:t>
            </w:r>
            <w:r w:rsidRPr="00E45D39">
              <w:t>is calculated as follows:</w:t>
            </w:r>
          </w:p>
          <w:p w14:paraId="5DBE342D" w14:textId="77777777" w:rsidR="00C36EDA" w:rsidRPr="003F2D5C" w:rsidRDefault="00C36EDA" w:rsidP="00C36EDA">
            <w:pPr>
              <w:tabs>
                <w:tab w:val="left" w:pos="2250"/>
                <w:tab w:val="left" w:pos="3150"/>
                <w:tab w:val="left" w:pos="3960"/>
              </w:tabs>
              <w:spacing w:after="240"/>
              <w:ind w:left="3960" w:hanging="3240"/>
              <w:rPr>
                <w:bCs/>
              </w:rPr>
            </w:pPr>
            <w:r w:rsidRPr="003F2D5C">
              <w:rPr>
                <w:bCs/>
              </w:rPr>
              <w:t>MRA</w:t>
            </w:r>
            <w:r>
              <w:rPr>
                <w:bCs/>
              </w:rPr>
              <w:t>UM</w:t>
            </w:r>
            <w:r w:rsidRPr="003F2D5C">
              <w:rPr>
                <w:bCs/>
              </w:rPr>
              <w:t>AMT</w:t>
            </w:r>
            <w:r w:rsidRPr="00054C1C">
              <w:rPr>
                <w:bCs/>
              </w:rPr>
              <w:t>TOT</w:t>
            </w:r>
            <w:r>
              <w:rPr>
                <w:bCs/>
              </w:rPr>
              <w:t xml:space="preserve">  </w:t>
            </w:r>
            <w:r w:rsidRPr="003F2D5C">
              <w:rPr>
                <w:bCs/>
              </w:rPr>
              <w:t>=</w:t>
            </w:r>
            <w:r>
              <w:rPr>
                <w:bCs/>
              </w:rPr>
              <w:t xml:space="preserve">  </w:t>
            </w:r>
            <w:r w:rsidRPr="006F784F">
              <w:rPr>
                <w:position w:val="-22"/>
              </w:rPr>
              <w:object w:dxaOrig="210" w:dyaOrig="465" w14:anchorId="362A5353">
                <v:shape id="_x0000_i1226" type="#_x0000_t75" style="width:6pt;height:30pt" o:ole="">
                  <v:imagedata r:id="rId187" o:title=""/>
                </v:shape>
                <o:OLEObject Type="Embed" ProgID="Equation.3" ShapeID="_x0000_i1226" DrawAspect="Content" ObjectID="_1804653710" r:id="rId278"/>
              </w:object>
            </w:r>
            <w:r>
              <w:t xml:space="preserve"> </w:t>
            </w:r>
            <w:r w:rsidRPr="000B54A2">
              <w:rPr>
                <w:bCs/>
              </w:rPr>
              <w:t>MRA</w:t>
            </w:r>
            <w:r>
              <w:rPr>
                <w:bCs/>
              </w:rPr>
              <w:t>UM</w:t>
            </w:r>
            <w:r w:rsidRPr="000B54A2">
              <w:rPr>
                <w:bCs/>
              </w:rPr>
              <w:t xml:space="preserve">AMTQSETOT </w:t>
            </w:r>
            <w:r w:rsidRPr="004E5BD4">
              <w:rPr>
                <w:bCs/>
                <w:i/>
                <w:vertAlign w:val="subscript"/>
              </w:rPr>
              <w:t>q</w:t>
            </w:r>
          </w:p>
          <w:p w14:paraId="64E47DC2" w14:textId="77777777" w:rsidR="00C36EDA" w:rsidRPr="00E45D39" w:rsidRDefault="00C36EDA" w:rsidP="00C36EDA">
            <w:r w:rsidRPr="00E45D39">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50"/>
              <w:gridCol w:w="6074"/>
            </w:tblGrid>
            <w:tr w:rsidR="007D701A" w:rsidRPr="00E45D39" w14:paraId="1606ACA3" w14:textId="77777777" w:rsidTr="00CE1011">
              <w:trPr>
                <w:cantSplit/>
                <w:tblHeader/>
              </w:trPr>
              <w:tc>
                <w:tcPr>
                  <w:tcW w:w="2425" w:type="dxa"/>
                </w:tcPr>
                <w:p w14:paraId="2CB96C65" w14:textId="77777777" w:rsidR="007D701A" w:rsidRPr="00E45D39" w:rsidRDefault="007D701A" w:rsidP="007D701A">
                  <w:pPr>
                    <w:spacing w:after="120"/>
                    <w:rPr>
                      <w:b/>
                      <w:iCs/>
                      <w:sz w:val="20"/>
                    </w:rPr>
                  </w:pPr>
                  <w:r w:rsidRPr="00E45D39">
                    <w:rPr>
                      <w:b/>
                      <w:iCs/>
                      <w:sz w:val="20"/>
                    </w:rPr>
                    <w:t>Variable</w:t>
                  </w:r>
                </w:p>
              </w:tc>
              <w:tc>
                <w:tcPr>
                  <w:tcW w:w="750" w:type="dxa"/>
                </w:tcPr>
                <w:p w14:paraId="60802E43" w14:textId="77777777" w:rsidR="007D701A" w:rsidRPr="00E45D39" w:rsidRDefault="007D701A" w:rsidP="007D701A">
                  <w:pPr>
                    <w:spacing w:after="120"/>
                    <w:rPr>
                      <w:b/>
                      <w:iCs/>
                      <w:sz w:val="20"/>
                    </w:rPr>
                  </w:pPr>
                  <w:r w:rsidRPr="00E45D39">
                    <w:rPr>
                      <w:b/>
                      <w:iCs/>
                      <w:sz w:val="20"/>
                    </w:rPr>
                    <w:t>Unit</w:t>
                  </w:r>
                </w:p>
              </w:tc>
              <w:tc>
                <w:tcPr>
                  <w:tcW w:w="6074" w:type="dxa"/>
                </w:tcPr>
                <w:p w14:paraId="307BBCCC" w14:textId="77777777" w:rsidR="007D701A" w:rsidRPr="00E45D39" w:rsidRDefault="007D701A" w:rsidP="007D701A">
                  <w:pPr>
                    <w:spacing w:after="120"/>
                    <w:rPr>
                      <w:b/>
                      <w:iCs/>
                      <w:sz w:val="20"/>
                    </w:rPr>
                  </w:pPr>
                  <w:r w:rsidRPr="00E45D39">
                    <w:rPr>
                      <w:b/>
                      <w:iCs/>
                      <w:sz w:val="20"/>
                    </w:rPr>
                    <w:t>Definition</w:t>
                  </w:r>
                </w:p>
              </w:tc>
            </w:tr>
            <w:tr w:rsidR="007D701A" w:rsidRPr="00E45D39" w14:paraId="26D4385E" w14:textId="77777777" w:rsidTr="00CE1011">
              <w:trPr>
                <w:cantSplit/>
              </w:trPr>
              <w:tc>
                <w:tcPr>
                  <w:tcW w:w="2425" w:type="dxa"/>
                </w:tcPr>
                <w:p w14:paraId="1919AA7B" w14:textId="77777777" w:rsidR="007D701A" w:rsidRPr="005A6FD5" w:rsidRDefault="007D701A" w:rsidP="007D701A">
                  <w:pPr>
                    <w:spacing w:after="60"/>
                    <w:rPr>
                      <w:iCs/>
                      <w:sz w:val="20"/>
                    </w:rPr>
                  </w:pPr>
                  <w:r w:rsidRPr="005A6FD5">
                    <w:rPr>
                      <w:bCs/>
                      <w:sz w:val="20"/>
                    </w:rPr>
                    <w:t>MRAUMAMTTOT</w:t>
                  </w:r>
                </w:p>
              </w:tc>
              <w:tc>
                <w:tcPr>
                  <w:tcW w:w="750" w:type="dxa"/>
                </w:tcPr>
                <w:p w14:paraId="08ADEC2E" w14:textId="77777777" w:rsidR="007D701A" w:rsidRPr="005A6FD5" w:rsidRDefault="007D701A" w:rsidP="007D701A">
                  <w:pPr>
                    <w:spacing w:after="60"/>
                    <w:rPr>
                      <w:iCs/>
                      <w:sz w:val="20"/>
                    </w:rPr>
                  </w:pPr>
                  <w:r w:rsidRPr="005A6FD5">
                    <w:rPr>
                      <w:iCs/>
                      <w:sz w:val="20"/>
                    </w:rPr>
                    <w:t>$</w:t>
                  </w:r>
                </w:p>
              </w:tc>
              <w:tc>
                <w:tcPr>
                  <w:tcW w:w="6074" w:type="dxa"/>
                </w:tcPr>
                <w:p w14:paraId="134A5CBB" w14:textId="77777777" w:rsidR="007D701A" w:rsidRPr="005A6FD5" w:rsidRDefault="007D701A" w:rsidP="007D701A">
                  <w:pPr>
                    <w:spacing w:after="60"/>
                    <w:rPr>
                      <w:iCs/>
                      <w:sz w:val="20"/>
                    </w:rPr>
                  </w:pPr>
                  <w:r w:rsidRPr="005A6FD5">
                    <w:rPr>
                      <w:i/>
                      <w:iCs/>
                      <w:sz w:val="20"/>
                    </w:rPr>
                    <w:t xml:space="preserve">Must-Run Alternative Unexcused Misconduct Amount Total per hour </w:t>
                  </w:r>
                  <w:r w:rsidRPr="005A6FD5">
                    <w:rPr>
                      <w:iCs/>
                      <w:sz w:val="20"/>
                    </w:rPr>
                    <w:sym w:font="Symbol" w:char="F0BE"/>
                  </w:r>
                  <w:r w:rsidRPr="005A6FD5">
                    <w:rPr>
                      <w:iCs/>
                      <w:sz w:val="20"/>
                    </w:rPr>
                    <w:t xml:space="preserve">The total of the charges for unexcused </w:t>
                  </w:r>
                  <w:r>
                    <w:rPr>
                      <w:iCs/>
                      <w:sz w:val="20"/>
                    </w:rPr>
                    <w:t>M</w:t>
                  </w:r>
                  <w:r w:rsidRPr="005A6FD5">
                    <w:rPr>
                      <w:iCs/>
                      <w:sz w:val="20"/>
                    </w:rPr>
                    <w:t xml:space="preserve">isconduct </w:t>
                  </w:r>
                  <w:r>
                    <w:rPr>
                      <w:iCs/>
                      <w:sz w:val="20"/>
                    </w:rPr>
                    <w:t>E</w:t>
                  </w:r>
                  <w:r w:rsidRPr="005A6FD5">
                    <w:rPr>
                      <w:iCs/>
                      <w:sz w:val="20"/>
                    </w:rPr>
                    <w:t>vents for the hour.</w:t>
                  </w:r>
                </w:p>
              </w:tc>
            </w:tr>
            <w:tr w:rsidR="007D701A" w:rsidRPr="00E45D39" w14:paraId="3EA9D28B" w14:textId="77777777" w:rsidTr="00CE1011">
              <w:trPr>
                <w:cantSplit/>
              </w:trPr>
              <w:tc>
                <w:tcPr>
                  <w:tcW w:w="2425" w:type="dxa"/>
                </w:tcPr>
                <w:p w14:paraId="36833E19" w14:textId="77777777" w:rsidR="007D701A" w:rsidRPr="005A6FD5" w:rsidRDefault="007D701A" w:rsidP="007D701A">
                  <w:pPr>
                    <w:tabs>
                      <w:tab w:val="left" w:pos="2250"/>
                      <w:tab w:val="left" w:pos="3150"/>
                      <w:tab w:val="left" w:pos="3960"/>
                    </w:tabs>
                    <w:spacing w:after="240"/>
                    <w:rPr>
                      <w:bCs/>
                      <w:sz w:val="20"/>
                    </w:rPr>
                  </w:pPr>
                  <w:r w:rsidRPr="005A6FD5">
                    <w:rPr>
                      <w:bCs/>
                      <w:sz w:val="20"/>
                    </w:rPr>
                    <w:t xml:space="preserve">MRAUMAMTQSETOT </w:t>
                  </w:r>
                  <w:r w:rsidRPr="005A6FD5">
                    <w:rPr>
                      <w:bCs/>
                      <w:i/>
                      <w:sz w:val="20"/>
                      <w:vertAlign w:val="subscript"/>
                    </w:rPr>
                    <w:t>q</w:t>
                  </w:r>
                </w:p>
                <w:p w14:paraId="63F217A7" w14:textId="77777777" w:rsidR="007D701A" w:rsidRPr="005A6FD5" w:rsidRDefault="007D701A" w:rsidP="007D701A">
                  <w:pPr>
                    <w:spacing w:after="60"/>
                    <w:rPr>
                      <w:iCs/>
                      <w:sz w:val="20"/>
                    </w:rPr>
                  </w:pPr>
                </w:p>
              </w:tc>
              <w:tc>
                <w:tcPr>
                  <w:tcW w:w="750" w:type="dxa"/>
                </w:tcPr>
                <w:p w14:paraId="598241F3" w14:textId="77777777" w:rsidR="007D701A" w:rsidRPr="005A6FD5" w:rsidRDefault="007D701A" w:rsidP="007D701A">
                  <w:pPr>
                    <w:spacing w:after="60"/>
                    <w:rPr>
                      <w:iCs/>
                      <w:sz w:val="20"/>
                    </w:rPr>
                  </w:pPr>
                  <w:r w:rsidRPr="005A6FD5">
                    <w:rPr>
                      <w:iCs/>
                      <w:sz w:val="20"/>
                    </w:rPr>
                    <w:t>$</w:t>
                  </w:r>
                </w:p>
              </w:tc>
              <w:tc>
                <w:tcPr>
                  <w:tcW w:w="6074" w:type="dxa"/>
                </w:tcPr>
                <w:p w14:paraId="7528F0C6" w14:textId="77777777" w:rsidR="007D701A" w:rsidRPr="005A6FD5" w:rsidRDefault="007D701A" w:rsidP="007D701A">
                  <w:pPr>
                    <w:spacing w:after="60"/>
                    <w:rPr>
                      <w:i/>
                      <w:iCs/>
                      <w:sz w:val="20"/>
                    </w:rPr>
                  </w:pPr>
                  <w:r w:rsidRPr="005A6FD5">
                    <w:rPr>
                      <w:i/>
                      <w:iCs/>
                      <w:sz w:val="20"/>
                    </w:rPr>
                    <w:t>Must-Run Alternative Unexcused Misconduct Amount per QSE</w:t>
                  </w:r>
                  <w:r w:rsidRPr="005A6FD5">
                    <w:rPr>
                      <w:iCs/>
                      <w:sz w:val="20"/>
                    </w:rPr>
                    <w:sym w:font="Symbol" w:char="F0BE"/>
                  </w:r>
                  <w:r w:rsidRPr="005A6FD5">
                    <w:rPr>
                      <w:iCs/>
                      <w:sz w:val="20"/>
                    </w:rPr>
                    <w:t xml:space="preserve">The total of the charges to QSE </w:t>
                  </w:r>
                  <w:r w:rsidRPr="005A6FD5">
                    <w:rPr>
                      <w:i/>
                      <w:iCs/>
                      <w:sz w:val="20"/>
                    </w:rPr>
                    <w:t>q</w:t>
                  </w:r>
                  <w:r w:rsidRPr="005A6FD5">
                    <w:rPr>
                      <w:iCs/>
                      <w:sz w:val="20"/>
                    </w:rPr>
                    <w:t xml:space="preserve"> for unexcused </w:t>
                  </w:r>
                  <w:r>
                    <w:rPr>
                      <w:iCs/>
                      <w:sz w:val="20"/>
                    </w:rPr>
                    <w:t>M</w:t>
                  </w:r>
                  <w:r w:rsidRPr="005A6FD5">
                    <w:rPr>
                      <w:iCs/>
                      <w:sz w:val="20"/>
                    </w:rPr>
                    <w:t xml:space="preserve">isconduct </w:t>
                  </w:r>
                  <w:r>
                    <w:rPr>
                      <w:iCs/>
                      <w:sz w:val="20"/>
                    </w:rPr>
                    <w:t>E</w:t>
                  </w:r>
                  <w:r w:rsidRPr="005A6FD5">
                    <w:rPr>
                      <w:iCs/>
                      <w:sz w:val="20"/>
                    </w:rPr>
                    <w:t xml:space="preserve">vents of the </w:t>
                  </w:r>
                  <w:r>
                    <w:rPr>
                      <w:iCs/>
                      <w:sz w:val="20"/>
                    </w:rPr>
                    <w:t>MRA</w:t>
                  </w:r>
                  <w:r w:rsidRPr="005A6FD5">
                    <w:rPr>
                      <w:iCs/>
                      <w:sz w:val="20"/>
                    </w:rPr>
                    <w:t xml:space="preserve">s for an </w:t>
                  </w:r>
                  <w:r>
                    <w:rPr>
                      <w:iCs/>
                      <w:sz w:val="20"/>
                    </w:rPr>
                    <w:t>MRA Contracted H</w:t>
                  </w:r>
                  <w:r w:rsidRPr="005A6FD5">
                    <w:rPr>
                      <w:iCs/>
                      <w:sz w:val="20"/>
                    </w:rPr>
                    <w:t>our.</w:t>
                  </w:r>
                </w:p>
              </w:tc>
            </w:tr>
            <w:tr w:rsidR="007D701A" w:rsidRPr="00E45D39" w14:paraId="18B3556E" w14:textId="77777777" w:rsidTr="00CE1011">
              <w:trPr>
                <w:cantSplit/>
              </w:trPr>
              <w:tc>
                <w:tcPr>
                  <w:tcW w:w="2425" w:type="dxa"/>
                  <w:tcBorders>
                    <w:top w:val="single" w:sz="4" w:space="0" w:color="auto"/>
                    <w:left w:val="single" w:sz="4" w:space="0" w:color="auto"/>
                    <w:bottom w:val="single" w:sz="4" w:space="0" w:color="auto"/>
                    <w:right w:val="single" w:sz="4" w:space="0" w:color="auto"/>
                  </w:tcBorders>
                </w:tcPr>
                <w:p w14:paraId="13FEE6A8" w14:textId="77777777" w:rsidR="007D701A" w:rsidRPr="005A6FD5" w:rsidRDefault="007D701A" w:rsidP="007D701A">
                  <w:pPr>
                    <w:spacing w:after="60"/>
                    <w:rPr>
                      <w:i/>
                      <w:iCs/>
                      <w:sz w:val="20"/>
                    </w:rPr>
                  </w:pPr>
                  <w:r w:rsidRPr="005A6FD5">
                    <w:rPr>
                      <w:i/>
                      <w:iCs/>
                      <w:sz w:val="20"/>
                    </w:rPr>
                    <w:t>q</w:t>
                  </w:r>
                </w:p>
              </w:tc>
              <w:tc>
                <w:tcPr>
                  <w:tcW w:w="750" w:type="dxa"/>
                  <w:tcBorders>
                    <w:top w:val="single" w:sz="4" w:space="0" w:color="auto"/>
                    <w:left w:val="single" w:sz="4" w:space="0" w:color="auto"/>
                    <w:bottom w:val="single" w:sz="4" w:space="0" w:color="auto"/>
                    <w:right w:val="single" w:sz="4" w:space="0" w:color="auto"/>
                  </w:tcBorders>
                </w:tcPr>
                <w:p w14:paraId="34E36B70" w14:textId="77777777" w:rsidR="007D701A" w:rsidRPr="005A6FD5" w:rsidRDefault="007D701A" w:rsidP="007D701A">
                  <w:pPr>
                    <w:spacing w:after="60"/>
                    <w:rPr>
                      <w:iCs/>
                      <w:sz w:val="20"/>
                    </w:rPr>
                  </w:pPr>
                  <w:r w:rsidRPr="005A6FD5">
                    <w:rPr>
                      <w:iCs/>
                      <w:sz w:val="20"/>
                    </w:rPr>
                    <w:t>none</w:t>
                  </w:r>
                </w:p>
              </w:tc>
              <w:tc>
                <w:tcPr>
                  <w:tcW w:w="6074" w:type="dxa"/>
                  <w:tcBorders>
                    <w:top w:val="single" w:sz="4" w:space="0" w:color="auto"/>
                    <w:left w:val="single" w:sz="4" w:space="0" w:color="auto"/>
                    <w:bottom w:val="single" w:sz="4" w:space="0" w:color="auto"/>
                    <w:right w:val="single" w:sz="4" w:space="0" w:color="auto"/>
                  </w:tcBorders>
                </w:tcPr>
                <w:p w14:paraId="139D6834" w14:textId="77777777" w:rsidR="007D701A" w:rsidRPr="005A6FD5" w:rsidRDefault="007D701A" w:rsidP="007D701A">
                  <w:pPr>
                    <w:spacing w:after="60"/>
                    <w:rPr>
                      <w:iCs/>
                      <w:sz w:val="20"/>
                    </w:rPr>
                  </w:pPr>
                  <w:r w:rsidRPr="005A6FD5">
                    <w:rPr>
                      <w:iCs/>
                      <w:sz w:val="20"/>
                    </w:rPr>
                    <w:t>A QSE.</w:t>
                  </w:r>
                </w:p>
              </w:tc>
            </w:tr>
          </w:tbl>
          <w:p w14:paraId="32E11BD4" w14:textId="77777777" w:rsidR="00150223" w:rsidRPr="00C3334D" w:rsidRDefault="00150223" w:rsidP="00CE1011">
            <w:pPr>
              <w:spacing w:after="240"/>
              <w:ind w:left="720" w:hanging="720"/>
            </w:pPr>
          </w:p>
        </w:tc>
      </w:tr>
    </w:tbl>
    <w:p w14:paraId="5F0C0431" w14:textId="77777777" w:rsidR="00B040C2" w:rsidRDefault="00B040C2" w:rsidP="00B040C2">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0C2" w14:paraId="50C7EC03" w14:textId="77777777" w:rsidTr="00CE1011">
        <w:trPr>
          <w:trHeight w:val="206"/>
        </w:trPr>
        <w:tc>
          <w:tcPr>
            <w:tcW w:w="5000" w:type="pct"/>
            <w:shd w:val="pct12" w:color="auto" w:fill="auto"/>
          </w:tcPr>
          <w:p w14:paraId="6B09AC9B" w14:textId="77777777" w:rsidR="00B040C2" w:rsidRDefault="00B040C2" w:rsidP="00CE1011">
            <w:pPr>
              <w:pStyle w:val="Instructions"/>
              <w:spacing w:before="120"/>
            </w:pPr>
            <w:r>
              <w:t>[NPRR885:  Insert Section 6.6.6.12 below upon system implementation:]</w:t>
            </w:r>
          </w:p>
          <w:p w14:paraId="6D2FB5AF" w14:textId="77777777" w:rsidR="00B040C2" w:rsidRPr="00B040C2" w:rsidRDefault="00B040C2" w:rsidP="006D34E1">
            <w:pPr>
              <w:keepNext/>
              <w:widowControl w:val="0"/>
              <w:tabs>
                <w:tab w:val="left" w:pos="1260"/>
              </w:tabs>
              <w:spacing w:before="240" w:after="240"/>
              <w:ind w:left="1267" w:hanging="1267"/>
              <w:outlineLvl w:val="3"/>
              <w:rPr>
                <w:b/>
                <w:bCs/>
                <w:snapToGrid w:val="0"/>
                <w:color w:val="000000"/>
              </w:rPr>
            </w:pPr>
            <w:bookmarkStart w:id="2405" w:name="_Toc17798759"/>
            <w:bookmarkStart w:id="2406" w:name="_Toc189044457"/>
            <w:r w:rsidRPr="00B040C2">
              <w:rPr>
                <w:b/>
                <w:bCs/>
                <w:snapToGrid w:val="0"/>
                <w:color w:val="000000"/>
              </w:rPr>
              <w:t>6.6.6.12</w:t>
            </w:r>
            <w:r w:rsidRPr="00B040C2">
              <w:rPr>
                <w:b/>
                <w:bCs/>
                <w:snapToGrid w:val="0"/>
                <w:color w:val="000000"/>
              </w:rPr>
              <w:tab/>
              <w:t>MRA Service Charge</w:t>
            </w:r>
            <w:bookmarkEnd w:id="2405"/>
            <w:bookmarkEnd w:id="2406"/>
          </w:p>
          <w:p w14:paraId="5A59F2AF" w14:textId="77777777" w:rsidR="00B040C2" w:rsidRPr="00E45D39" w:rsidRDefault="00B040C2" w:rsidP="00B040C2">
            <w:pPr>
              <w:spacing w:after="240"/>
              <w:ind w:left="720" w:hanging="720"/>
            </w:pPr>
            <w:r>
              <w:t>(1)</w:t>
            </w:r>
            <w:r>
              <w:tab/>
              <w:t xml:space="preserve">The total </w:t>
            </w:r>
            <w:r w:rsidRPr="00E45D39">
              <w:t>MR</w:t>
            </w:r>
            <w:r>
              <w:t>A cost for all MRA</w:t>
            </w:r>
            <w:r w:rsidRPr="00E45D39">
              <w:t xml:space="preserve">s is allocated to the QSEs representing Loads based on </w:t>
            </w:r>
            <w:r>
              <w:t>H</w:t>
            </w:r>
            <w:r w:rsidRPr="00E45D39">
              <w:t xml:space="preserve">LRS. </w:t>
            </w:r>
            <w:r>
              <w:t xml:space="preserve"> The </w:t>
            </w:r>
            <w:r w:rsidRPr="00E45D39">
              <w:t>MR</w:t>
            </w:r>
            <w:r>
              <w:t>A</w:t>
            </w:r>
            <w:r w:rsidRPr="00E45D39">
              <w:t xml:space="preserve"> Service charge to each QSE for a given hour is calculated as follows:</w:t>
            </w:r>
          </w:p>
          <w:p w14:paraId="47C00402" w14:textId="77777777" w:rsidR="00B040C2" w:rsidRPr="00B31EF7" w:rsidRDefault="00B040C2" w:rsidP="00B040C2">
            <w:pPr>
              <w:tabs>
                <w:tab w:val="left" w:pos="2610"/>
                <w:tab w:val="left" w:pos="3060"/>
              </w:tabs>
              <w:spacing w:after="240"/>
              <w:ind w:left="3060" w:hanging="2340"/>
              <w:rPr>
                <w:bCs/>
                <w:i/>
                <w:vertAlign w:val="subscript"/>
              </w:rPr>
            </w:pPr>
            <w:r w:rsidRPr="005D1BEB">
              <w:rPr>
                <w:bCs/>
              </w:rPr>
              <w:t>LAMRA</w:t>
            </w:r>
            <w:r w:rsidRPr="002B4F4F">
              <w:rPr>
                <w:bCs/>
              </w:rPr>
              <w:t xml:space="preserve">AMT </w:t>
            </w:r>
            <w:r w:rsidRPr="002B4F4F">
              <w:rPr>
                <w:bCs/>
                <w:i/>
                <w:vertAlign w:val="subscript"/>
              </w:rPr>
              <w:t>q</w:t>
            </w:r>
            <w:r w:rsidRPr="002B4F4F">
              <w:rPr>
                <w:bCs/>
              </w:rPr>
              <w:tab/>
              <w:t>=</w:t>
            </w:r>
            <w:r w:rsidRPr="002B4F4F">
              <w:rPr>
                <w:bCs/>
              </w:rPr>
              <w:tab/>
              <w:t>(-1) * (</w:t>
            </w:r>
            <w:r w:rsidRPr="002B4F4F">
              <w:t>MRASBAMTTOT</w:t>
            </w:r>
            <w:r w:rsidRPr="00741192">
              <w:rPr>
                <w:bCs/>
              </w:rPr>
              <w:t xml:space="preserve"> + </w:t>
            </w:r>
            <w:r w:rsidRPr="00741192">
              <w:t xml:space="preserve">MRACAPEXAMTTOT  </w:t>
            </w:r>
            <w:r w:rsidRPr="00741192">
              <w:rPr>
                <w:bCs/>
              </w:rPr>
              <w:t xml:space="preserve">+ </w:t>
            </w:r>
            <w:r>
              <w:t>MRAD</w:t>
            </w:r>
            <w:r w:rsidRPr="002E292F">
              <w:t>EAMTTOT  +</w:t>
            </w:r>
            <w:r w:rsidRPr="009D5E75">
              <w:t xml:space="preserve"> </w:t>
            </w:r>
            <w:r w:rsidRPr="00770099">
              <w:t>MRA</w:t>
            </w:r>
            <w:r>
              <w:t>V</w:t>
            </w:r>
            <w:r w:rsidRPr="00770099">
              <w:t>AMTTOT</w:t>
            </w:r>
            <w:r w:rsidRPr="002E292F">
              <w:t xml:space="preserve"> </w:t>
            </w:r>
            <w:r>
              <w:t xml:space="preserve">  + </w:t>
            </w:r>
            <w:r w:rsidRPr="009D5E75">
              <w:rPr>
                <w:bCs/>
              </w:rPr>
              <w:t>MRA</w:t>
            </w:r>
            <w:r>
              <w:rPr>
                <w:bCs/>
              </w:rPr>
              <w:t>UM</w:t>
            </w:r>
            <w:r w:rsidRPr="009D5E75">
              <w:rPr>
                <w:bCs/>
              </w:rPr>
              <w:t xml:space="preserve">AMTTOT) * HLRS </w:t>
            </w:r>
            <w:r w:rsidRPr="009D5E75">
              <w:rPr>
                <w:bCs/>
                <w:i/>
                <w:vertAlign w:val="subscript"/>
              </w:rPr>
              <w:t>q</w:t>
            </w:r>
          </w:p>
          <w:p w14:paraId="2C6691CD" w14:textId="77777777" w:rsidR="00B040C2" w:rsidRPr="00E45D39" w:rsidRDefault="00B040C2" w:rsidP="00B040C2">
            <w:r w:rsidRPr="00E45D3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970"/>
              <w:gridCol w:w="5766"/>
            </w:tblGrid>
            <w:tr w:rsidR="00C64EA0" w:rsidRPr="00E45D39" w14:paraId="536667E7" w14:textId="77777777" w:rsidTr="00CE1011">
              <w:trPr>
                <w:cantSplit/>
                <w:tblHeader/>
              </w:trPr>
              <w:tc>
                <w:tcPr>
                  <w:tcW w:w="1360" w:type="pct"/>
                </w:tcPr>
                <w:p w14:paraId="75F42D7A" w14:textId="77777777" w:rsidR="00C64EA0" w:rsidRPr="00E45D39" w:rsidRDefault="00C64EA0" w:rsidP="00C64EA0">
                  <w:pPr>
                    <w:spacing w:after="120"/>
                    <w:rPr>
                      <w:b/>
                      <w:iCs/>
                      <w:sz w:val="20"/>
                    </w:rPr>
                  </w:pPr>
                  <w:r w:rsidRPr="00E45D39">
                    <w:rPr>
                      <w:b/>
                      <w:iCs/>
                      <w:sz w:val="20"/>
                    </w:rPr>
                    <w:t>Variable</w:t>
                  </w:r>
                </w:p>
              </w:tc>
              <w:tc>
                <w:tcPr>
                  <w:tcW w:w="524" w:type="pct"/>
                </w:tcPr>
                <w:p w14:paraId="33819084" w14:textId="77777777" w:rsidR="00C64EA0" w:rsidRPr="00E45D39" w:rsidRDefault="00C64EA0" w:rsidP="00C64EA0">
                  <w:pPr>
                    <w:spacing w:after="120"/>
                    <w:rPr>
                      <w:b/>
                      <w:iCs/>
                      <w:sz w:val="20"/>
                    </w:rPr>
                  </w:pPr>
                  <w:r w:rsidRPr="00E45D39">
                    <w:rPr>
                      <w:b/>
                      <w:iCs/>
                      <w:sz w:val="20"/>
                    </w:rPr>
                    <w:t>Unit</w:t>
                  </w:r>
                </w:p>
              </w:tc>
              <w:tc>
                <w:tcPr>
                  <w:tcW w:w="3116" w:type="pct"/>
                </w:tcPr>
                <w:p w14:paraId="0C91E0B6" w14:textId="77777777" w:rsidR="00C64EA0" w:rsidRPr="00E45D39" w:rsidRDefault="00C64EA0" w:rsidP="00C64EA0">
                  <w:pPr>
                    <w:spacing w:after="120"/>
                    <w:rPr>
                      <w:b/>
                      <w:iCs/>
                      <w:sz w:val="20"/>
                    </w:rPr>
                  </w:pPr>
                  <w:r w:rsidRPr="00E45D39">
                    <w:rPr>
                      <w:b/>
                      <w:iCs/>
                      <w:sz w:val="20"/>
                    </w:rPr>
                    <w:t>Definition</w:t>
                  </w:r>
                </w:p>
              </w:tc>
            </w:tr>
            <w:tr w:rsidR="00C64EA0" w:rsidRPr="00E45D39" w14:paraId="15F04B59" w14:textId="77777777" w:rsidTr="00CE1011">
              <w:trPr>
                <w:cantSplit/>
              </w:trPr>
              <w:tc>
                <w:tcPr>
                  <w:tcW w:w="1360" w:type="pct"/>
                </w:tcPr>
                <w:p w14:paraId="1AACF531" w14:textId="77777777" w:rsidR="00C64EA0" w:rsidRPr="00E45D39" w:rsidRDefault="00C64EA0" w:rsidP="00C64EA0">
                  <w:pPr>
                    <w:spacing w:after="60"/>
                    <w:rPr>
                      <w:iCs/>
                      <w:sz w:val="20"/>
                    </w:rPr>
                  </w:pPr>
                  <w:r w:rsidRPr="00E45D39">
                    <w:rPr>
                      <w:iCs/>
                      <w:sz w:val="20"/>
                    </w:rPr>
                    <w:t>LAMRA</w:t>
                  </w:r>
                  <w:r>
                    <w:rPr>
                      <w:iCs/>
                      <w:sz w:val="20"/>
                    </w:rPr>
                    <w:t>A</w:t>
                  </w:r>
                  <w:r w:rsidRPr="00E45D39">
                    <w:rPr>
                      <w:iCs/>
                      <w:sz w:val="20"/>
                    </w:rPr>
                    <w:t xml:space="preserve">MT </w:t>
                  </w:r>
                  <w:r w:rsidRPr="00E45D39">
                    <w:rPr>
                      <w:i/>
                      <w:iCs/>
                      <w:sz w:val="20"/>
                      <w:vertAlign w:val="subscript"/>
                    </w:rPr>
                    <w:t>q</w:t>
                  </w:r>
                </w:p>
              </w:tc>
              <w:tc>
                <w:tcPr>
                  <w:tcW w:w="524" w:type="pct"/>
                </w:tcPr>
                <w:p w14:paraId="78471E55" w14:textId="77777777" w:rsidR="00C64EA0" w:rsidRPr="00E45D39" w:rsidRDefault="00C64EA0" w:rsidP="00C64EA0">
                  <w:pPr>
                    <w:spacing w:after="60"/>
                    <w:rPr>
                      <w:iCs/>
                      <w:sz w:val="20"/>
                    </w:rPr>
                  </w:pPr>
                  <w:r w:rsidRPr="00E45D39">
                    <w:rPr>
                      <w:iCs/>
                      <w:sz w:val="20"/>
                    </w:rPr>
                    <w:t>$</w:t>
                  </w:r>
                </w:p>
              </w:tc>
              <w:tc>
                <w:tcPr>
                  <w:tcW w:w="3116" w:type="pct"/>
                </w:tcPr>
                <w:p w14:paraId="5B63924C" w14:textId="77777777" w:rsidR="00C64EA0" w:rsidRPr="00E45D39" w:rsidRDefault="00C64EA0" w:rsidP="00C64EA0">
                  <w:pPr>
                    <w:spacing w:after="60"/>
                    <w:rPr>
                      <w:iCs/>
                      <w:sz w:val="20"/>
                    </w:rPr>
                  </w:pPr>
                  <w:r w:rsidRPr="00E45D39">
                    <w:rPr>
                      <w:i/>
                      <w:iCs/>
                      <w:sz w:val="20"/>
                    </w:rPr>
                    <w:t xml:space="preserve">Load-Allocated Must-Run </w:t>
                  </w:r>
                  <w:r>
                    <w:rPr>
                      <w:i/>
                      <w:iCs/>
                      <w:sz w:val="20"/>
                    </w:rPr>
                    <w:t xml:space="preserve">Alternative </w:t>
                  </w:r>
                  <w:r w:rsidRPr="00E45D39">
                    <w:rPr>
                      <w:i/>
                      <w:iCs/>
                      <w:sz w:val="20"/>
                    </w:rPr>
                    <w:t>Amount per QSE</w:t>
                  </w:r>
                  <w:r w:rsidRPr="00E45D39">
                    <w:rPr>
                      <w:iCs/>
                      <w:sz w:val="20"/>
                    </w:rPr>
                    <w:t>—</w:t>
                  </w:r>
                  <w:r>
                    <w:rPr>
                      <w:iCs/>
                      <w:sz w:val="20"/>
                    </w:rPr>
                    <w:t xml:space="preserve">The MRA cost allocated to </w:t>
                  </w:r>
                  <w:r w:rsidRPr="00E45D39">
                    <w:rPr>
                      <w:iCs/>
                      <w:sz w:val="20"/>
                    </w:rPr>
                    <w:t xml:space="preserve">QSE </w:t>
                  </w:r>
                  <w:r w:rsidRPr="00E45D39">
                    <w:rPr>
                      <w:i/>
                      <w:iCs/>
                      <w:sz w:val="20"/>
                    </w:rPr>
                    <w:t>q</w:t>
                  </w:r>
                  <w:r w:rsidRPr="00E45D39">
                    <w:rPr>
                      <w:iCs/>
                      <w:sz w:val="20"/>
                    </w:rPr>
                    <w:t xml:space="preserve"> based on its </w:t>
                  </w:r>
                  <w:r>
                    <w:rPr>
                      <w:iCs/>
                      <w:sz w:val="20"/>
                    </w:rPr>
                    <w:t>H</w:t>
                  </w:r>
                  <w:r w:rsidRPr="00E45D39">
                    <w:rPr>
                      <w:iCs/>
                      <w:sz w:val="20"/>
                    </w:rPr>
                    <w:t>LRS</w:t>
                  </w:r>
                  <w:r>
                    <w:rPr>
                      <w:iCs/>
                      <w:sz w:val="20"/>
                    </w:rPr>
                    <w:t>.</w:t>
                  </w:r>
                </w:p>
              </w:tc>
            </w:tr>
            <w:tr w:rsidR="00C64EA0" w:rsidRPr="00E45D39" w14:paraId="7EC9A7C5" w14:textId="77777777" w:rsidTr="00CE1011">
              <w:trPr>
                <w:cantSplit/>
              </w:trPr>
              <w:tc>
                <w:tcPr>
                  <w:tcW w:w="1360" w:type="pct"/>
                </w:tcPr>
                <w:p w14:paraId="3E8751BA" w14:textId="77777777" w:rsidR="00C64EA0" w:rsidRPr="005D1BEB" w:rsidRDefault="00C64EA0" w:rsidP="00C64EA0">
                  <w:pPr>
                    <w:spacing w:after="60"/>
                    <w:rPr>
                      <w:iCs/>
                      <w:sz w:val="20"/>
                    </w:rPr>
                  </w:pPr>
                  <w:r w:rsidRPr="00D54F03">
                    <w:rPr>
                      <w:sz w:val="20"/>
                    </w:rPr>
                    <w:t>MRASBAMTTOT</w:t>
                  </w:r>
                </w:p>
              </w:tc>
              <w:tc>
                <w:tcPr>
                  <w:tcW w:w="524" w:type="pct"/>
                </w:tcPr>
                <w:p w14:paraId="68570F7B" w14:textId="77777777" w:rsidR="00C64EA0" w:rsidRPr="00E45D39" w:rsidRDefault="00C64EA0" w:rsidP="00C64EA0">
                  <w:pPr>
                    <w:spacing w:after="60"/>
                    <w:rPr>
                      <w:iCs/>
                      <w:sz w:val="20"/>
                    </w:rPr>
                  </w:pPr>
                  <w:r w:rsidRPr="00E45D39">
                    <w:rPr>
                      <w:iCs/>
                      <w:sz w:val="20"/>
                    </w:rPr>
                    <w:t>$</w:t>
                  </w:r>
                </w:p>
              </w:tc>
              <w:tc>
                <w:tcPr>
                  <w:tcW w:w="3116" w:type="pct"/>
                </w:tcPr>
                <w:p w14:paraId="6EF9C363" w14:textId="77777777" w:rsidR="00C64EA0" w:rsidRPr="005D1BEB" w:rsidRDefault="00C64EA0" w:rsidP="00C64EA0">
                  <w:pPr>
                    <w:spacing w:after="60"/>
                    <w:rPr>
                      <w:i/>
                      <w:iCs/>
                      <w:sz w:val="20"/>
                    </w:rPr>
                  </w:pPr>
                  <w:r w:rsidRPr="00731026">
                    <w:rPr>
                      <w:i/>
                      <w:sz w:val="20"/>
                    </w:rPr>
                    <w:t xml:space="preserve">Must-Run Alternative Standby Amount Total  </w:t>
                  </w:r>
                  <w:r w:rsidRPr="00731026">
                    <w:rPr>
                      <w:i/>
                      <w:sz w:val="20"/>
                    </w:rPr>
                    <w:sym w:font="Symbol" w:char="F0BE"/>
                  </w:r>
                  <w:r w:rsidRPr="002B5C5B">
                    <w:rPr>
                      <w:sz w:val="20"/>
                    </w:rPr>
                    <w:t xml:space="preserve">The total of the Standby Payments to all QSEs </w:t>
                  </w:r>
                  <w:r w:rsidRPr="008431E4">
                    <w:rPr>
                      <w:i/>
                      <w:sz w:val="20"/>
                    </w:rPr>
                    <w:t>q</w:t>
                  </w:r>
                  <w:r w:rsidRPr="002B5C5B">
                    <w:rPr>
                      <w:sz w:val="20"/>
                    </w:rPr>
                    <w:t xml:space="preserve"> for all </w:t>
                  </w:r>
                  <w:r>
                    <w:rPr>
                      <w:sz w:val="20"/>
                    </w:rPr>
                    <w:t>MRA</w:t>
                  </w:r>
                  <w:r w:rsidRPr="002B5C5B">
                    <w:rPr>
                      <w:sz w:val="20"/>
                    </w:rPr>
                    <w:t>s for the hour.</w:t>
                  </w:r>
                </w:p>
              </w:tc>
            </w:tr>
            <w:tr w:rsidR="00C64EA0" w:rsidRPr="00E45D39" w14:paraId="1EDD2355" w14:textId="77777777" w:rsidTr="00CE1011">
              <w:trPr>
                <w:cantSplit/>
              </w:trPr>
              <w:tc>
                <w:tcPr>
                  <w:tcW w:w="1360" w:type="pct"/>
                </w:tcPr>
                <w:p w14:paraId="193625AF" w14:textId="77777777" w:rsidR="00C64EA0" w:rsidRPr="005D1BEB" w:rsidRDefault="00C64EA0" w:rsidP="00C64EA0">
                  <w:pPr>
                    <w:spacing w:after="60"/>
                    <w:rPr>
                      <w:iCs/>
                      <w:sz w:val="20"/>
                    </w:rPr>
                  </w:pPr>
                  <w:r w:rsidRPr="00D54F03">
                    <w:rPr>
                      <w:sz w:val="20"/>
                    </w:rPr>
                    <w:t xml:space="preserve">MRACAPEXAMTTOT  </w:t>
                  </w:r>
                </w:p>
              </w:tc>
              <w:tc>
                <w:tcPr>
                  <w:tcW w:w="524" w:type="pct"/>
                </w:tcPr>
                <w:p w14:paraId="4D505A74" w14:textId="77777777" w:rsidR="00C64EA0" w:rsidRPr="00E45D39" w:rsidRDefault="00C64EA0" w:rsidP="00C64EA0">
                  <w:pPr>
                    <w:spacing w:after="60"/>
                    <w:rPr>
                      <w:iCs/>
                      <w:sz w:val="20"/>
                    </w:rPr>
                  </w:pPr>
                  <w:r w:rsidRPr="00E45D39">
                    <w:rPr>
                      <w:iCs/>
                      <w:sz w:val="20"/>
                    </w:rPr>
                    <w:t>$</w:t>
                  </w:r>
                </w:p>
              </w:tc>
              <w:tc>
                <w:tcPr>
                  <w:tcW w:w="3116" w:type="pct"/>
                </w:tcPr>
                <w:p w14:paraId="1EAAF09B" w14:textId="77777777" w:rsidR="00C64EA0" w:rsidRPr="005D1BEB" w:rsidRDefault="00C64EA0" w:rsidP="00C64EA0">
                  <w:pPr>
                    <w:spacing w:after="60"/>
                    <w:rPr>
                      <w:i/>
                      <w:iCs/>
                      <w:sz w:val="20"/>
                    </w:rPr>
                  </w:pPr>
                  <w:r w:rsidRPr="00D54F03">
                    <w:rPr>
                      <w:i/>
                      <w:iCs/>
                      <w:sz w:val="20"/>
                    </w:rPr>
                    <w:t xml:space="preserve">Must-Run Alternative Contributed Capital Expenditures per hour </w:t>
                  </w:r>
                  <w:r w:rsidRPr="00D54F03">
                    <w:rPr>
                      <w:iCs/>
                      <w:sz w:val="20"/>
                    </w:rPr>
                    <w:t xml:space="preserve">- </w:t>
                  </w:r>
                  <w:r w:rsidRPr="00D54F03">
                    <w:rPr>
                      <w:sz w:val="20"/>
                    </w:rPr>
                    <w:t xml:space="preserve">The total </w:t>
                  </w:r>
                  <w:r w:rsidRPr="00D54F03">
                    <w:rPr>
                      <w:iCs/>
                      <w:sz w:val="20"/>
                    </w:rPr>
                    <w:t xml:space="preserve">contributed capital expenditures to all QSEs </w:t>
                  </w:r>
                  <w:r w:rsidRPr="008431E4">
                    <w:rPr>
                      <w:i/>
                      <w:iCs/>
                      <w:sz w:val="20"/>
                    </w:rPr>
                    <w:t>q</w:t>
                  </w:r>
                  <w:r w:rsidRPr="00D54F03">
                    <w:rPr>
                      <w:iCs/>
                      <w:sz w:val="20"/>
                    </w:rPr>
                    <w:t xml:space="preserve"> for all </w:t>
                  </w:r>
                  <w:r>
                    <w:rPr>
                      <w:sz w:val="20"/>
                    </w:rPr>
                    <w:t>MRA</w:t>
                  </w:r>
                  <w:r w:rsidRPr="00D54F03">
                    <w:rPr>
                      <w:sz w:val="20"/>
                    </w:rPr>
                    <w:t xml:space="preserve">s </w:t>
                  </w:r>
                  <w:r w:rsidRPr="008431E4">
                    <w:rPr>
                      <w:i/>
                      <w:sz w:val="20"/>
                    </w:rPr>
                    <w:t>r</w:t>
                  </w:r>
                  <w:r w:rsidRPr="002B5C5B">
                    <w:rPr>
                      <w:sz w:val="20"/>
                    </w:rPr>
                    <w:t xml:space="preserve"> for the hour</w:t>
                  </w:r>
                  <w:r w:rsidRPr="00731026">
                    <w:rPr>
                      <w:sz w:val="20"/>
                    </w:rPr>
                    <w:t>.</w:t>
                  </w:r>
                  <w:r w:rsidRPr="00D54F03">
                    <w:rPr>
                      <w:sz w:val="20"/>
                    </w:rPr>
                    <w:t xml:space="preserve"> </w:t>
                  </w:r>
                </w:p>
              </w:tc>
            </w:tr>
            <w:tr w:rsidR="00C64EA0" w:rsidRPr="00770099" w14:paraId="29F3C01A" w14:textId="77777777" w:rsidTr="00CE1011">
              <w:trPr>
                <w:cantSplit/>
              </w:trPr>
              <w:tc>
                <w:tcPr>
                  <w:tcW w:w="1360" w:type="pct"/>
                </w:tcPr>
                <w:p w14:paraId="24A13020" w14:textId="77777777" w:rsidR="00C64EA0" w:rsidRPr="005D1BEB" w:rsidRDefault="00C64EA0" w:rsidP="00C64EA0">
                  <w:pPr>
                    <w:spacing w:after="60"/>
                    <w:rPr>
                      <w:iCs/>
                      <w:sz w:val="20"/>
                    </w:rPr>
                  </w:pPr>
                  <w:r>
                    <w:rPr>
                      <w:sz w:val="20"/>
                    </w:rPr>
                    <w:t>MRAD</w:t>
                  </w:r>
                  <w:r w:rsidRPr="00D54F03">
                    <w:rPr>
                      <w:sz w:val="20"/>
                    </w:rPr>
                    <w:t xml:space="preserve">EAMTTOT  </w:t>
                  </w:r>
                </w:p>
              </w:tc>
              <w:tc>
                <w:tcPr>
                  <w:tcW w:w="524" w:type="pct"/>
                </w:tcPr>
                <w:p w14:paraId="56BFF099" w14:textId="77777777" w:rsidR="00C64EA0" w:rsidRPr="00E45D39" w:rsidRDefault="00C64EA0" w:rsidP="00C64EA0">
                  <w:pPr>
                    <w:spacing w:after="60"/>
                    <w:rPr>
                      <w:iCs/>
                      <w:sz w:val="20"/>
                    </w:rPr>
                  </w:pPr>
                  <w:r>
                    <w:rPr>
                      <w:iCs/>
                      <w:sz w:val="20"/>
                    </w:rPr>
                    <w:t>$</w:t>
                  </w:r>
                </w:p>
              </w:tc>
              <w:tc>
                <w:tcPr>
                  <w:tcW w:w="3116" w:type="pct"/>
                </w:tcPr>
                <w:p w14:paraId="1C7E0788" w14:textId="77777777" w:rsidR="00C64EA0" w:rsidRPr="00770099" w:rsidRDefault="00C64EA0" w:rsidP="00C64EA0">
                  <w:pPr>
                    <w:spacing w:after="60"/>
                    <w:rPr>
                      <w:iCs/>
                      <w:sz w:val="20"/>
                    </w:rPr>
                  </w:pPr>
                  <w:r w:rsidRPr="00731026">
                    <w:rPr>
                      <w:i/>
                      <w:sz w:val="20"/>
                    </w:rPr>
                    <w:t xml:space="preserve">Must-Run Alternative </w:t>
                  </w:r>
                  <w:r w:rsidRPr="00731026">
                    <w:rPr>
                      <w:i/>
                      <w:iCs/>
                      <w:sz w:val="20"/>
                    </w:rPr>
                    <w:t xml:space="preserve">Deployment </w:t>
                  </w:r>
                  <w:r w:rsidRPr="00731026">
                    <w:rPr>
                      <w:i/>
                      <w:sz w:val="20"/>
                    </w:rPr>
                    <w:t>Event Amount Total by hour—</w:t>
                  </w:r>
                  <w:r w:rsidRPr="002B5C5B">
                    <w:rPr>
                      <w:sz w:val="20"/>
                    </w:rPr>
                    <w:t xml:space="preserve">The total </w:t>
                  </w:r>
                  <w:r w:rsidRPr="002B5C5B">
                    <w:rPr>
                      <w:iCs/>
                      <w:sz w:val="20"/>
                    </w:rPr>
                    <w:t xml:space="preserve">deployment event payment </w:t>
                  </w:r>
                  <w:r w:rsidRPr="002B5C5B">
                    <w:rPr>
                      <w:sz w:val="20"/>
                    </w:rPr>
                    <w:t xml:space="preserve">to all QSEs </w:t>
                  </w:r>
                  <w:r w:rsidRPr="008431E4">
                    <w:rPr>
                      <w:i/>
                      <w:sz w:val="20"/>
                    </w:rPr>
                    <w:t>q</w:t>
                  </w:r>
                  <w:r w:rsidRPr="002B5C5B">
                    <w:rPr>
                      <w:sz w:val="20"/>
                    </w:rPr>
                    <w:t xml:space="preserve"> for all </w:t>
                  </w:r>
                  <w:r>
                    <w:rPr>
                      <w:sz w:val="20"/>
                    </w:rPr>
                    <w:t>MRA</w:t>
                  </w:r>
                  <w:r w:rsidRPr="002B5C5B">
                    <w:rPr>
                      <w:sz w:val="20"/>
                    </w:rPr>
                    <w:t xml:space="preserve">s </w:t>
                  </w:r>
                  <w:r w:rsidRPr="008431E4">
                    <w:rPr>
                      <w:i/>
                      <w:sz w:val="20"/>
                    </w:rPr>
                    <w:t>r</w:t>
                  </w:r>
                  <w:r w:rsidRPr="002B5C5B">
                    <w:rPr>
                      <w:sz w:val="20"/>
                    </w:rPr>
                    <w:t xml:space="preserve">, for the hour.  </w:t>
                  </w:r>
                </w:p>
              </w:tc>
            </w:tr>
            <w:tr w:rsidR="00C64EA0" w:rsidRPr="00770099" w14:paraId="24F784E0" w14:textId="77777777" w:rsidTr="00CE1011">
              <w:trPr>
                <w:cantSplit/>
              </w:trPr>
              <w:tc>
                <w:tcPr>
                  <w:tcW w:w="1360" w:type="pct"/>
                </w:tcPr>
                <w:p w14:paraId="071D7B2B" w14:textId="77777777" w:rsidR="00C64EA0" w:rsidRPr="00770099" w:rsidRDefault="00C64EA0" w:rsidP="00C64EA0">
                  <w:pPr>
                    <w:spacing w:after="60"/>
                    <w:rPr>
                      <w:sz w:val="20"/>
                    </w:rPr>
                  </w:pPr>
                  <w:r w:rsidRPr="00770099">
                    <w:rPr>
                      <w:sz w:val="20"/>
                    </w:rPr>
                    <w:t>MRA</w:t>
                  </w:r>
                  <w:r>
                    <w:rPr>
                      <w:sz w:val="20"/>
                    </w:rPr>
                    <w:t>V</w:t>
                  </w:r>
                  <w:r w:rsidRPr="00770099">
                    <w:rPr>
                      <w:sz w:val="20"/>
                    </w:rPr>
                    <w:t>AMTTOT</w:t>
                  </w:r>
                </w:p>
              </w:tc>
              <w:tc>
                <w:tcPr>
                  <w:tcW w:w="524" w:type="pct"/>
                </w:tcPr>
                <w:p w14:paraId="110ACC4F" w14:textId="77777777" w:rsidR="00C64EA0" w:rsidRDefault="00C64EA0" w:rsidP="00C64EA0">
                  <w:pPr>
                    <w:spacing w:after="60"/>
                    <w:rPr>
                      <w:iCs/>
                      <w:sz w:val="20"/>
                    </w:rPr>
                  </w:pPr>
                  <w:r>
                    <w:rPr>
                      <w:iCs/>
                      <w:sz w:val="20"/>
                    </w:rPr>
                    <w:t>$</w:t>
                  </w:r>
                </w:p>
              </w:tc>
              <w:tc>
                <w:tcPr>
                  <w:tcW w:w="3116" w:type="pct"/>
                </w:tcPr>
                <w:p w14:paraId="664CA234" w14:textId="77777777" w:rsidR="00C64EA0" w:rsidRPr="00770099" w:rsidRDefault="00C64EA0" w:rsidP="00C64EA0">
                  <w:pPr>
                    <w:spacing w:after="60"/>
                    <w:rPr>
                      <w:i/>
                      <w:sz w:val="20"/>
                    </w:rPr>
                  </w:pPr>
                  <w:r w:rsidRPr="00731026">
                    <w:rPr>
                      <w:i/>
                      <w:sz w:val="20"/>
                    </w:rPr>
                    <w:t>Must-Run Alternative Variable Amount Total by hour—</w:t>
                  </w:r>
                  <w:r w:rsidRPr="002B5C5B">
                    <w:rPr>
                      <w:sz w:val="20"/>
                    </w:rPr>
                    <w:t>The total variable payments for the hour.</w:t>
                  </w:r>
                </w:p>
              </w:tc>
            </w:tr>
            <w:tr w:rsidR="00C64EA0" w:rsidRPr="00E45D39" w14:paraId="3EC4FEA0" w14:textId="77777777" w:rsidTr="00CE1011">
              <w:trPr>
                <w:cantSplit/>
              </w:trPr>
              <w:tc>
                <w:tcPr>
                  <w:tcW w:w="1360" w:type="pct"/>
                </w:tcPr>
                <w:p w14:paraId="46B15300" w14:textId="77777777" w:rsidR="00C64EA0" w:rsidRPr="005D1BEB" w:rsidRDefault="00C64EA0" w:rsidP="00C64EA0">
                  <w:pPr>
                    <w:spacing w:after="60"/>
                    <w:rPr>
                      <w:iCs/>
                      <w:sz w:val="20"/>
                    </w:rPr>
                  </w:pPr>
                  <w:r w:rsidRPr="00D54F03">
                    <w:rPr>
                      <w:bCs/>
                      <w:sz w:val="20"/>
                    </w:rPr>
                    <w:t>MRA</w:t>
                  </w:r>
                  <w:r>
                    <w:rPr>
                      <w:bCs/>
                      <w:sz w:val="20"/>
                    </w:rPr>
                    <w:t>UM</w:t>
                  </w:r>
                  <w:r w:rsidRPr="00D54F03">
                    <w:rPr>
                      <w:bCs/>
                      <w:sz w:val="20"/>
                    </w:rPr>
                    <w:t xml:space="preserve">AMTTOT  </w:t>
                  </w:r>
                </w:p>
              </w:tc>
              <w:tc>
                <w:tcPr>
                  <w:tcW w:w="524" w:type="pct"/>
                </w:tcPr>
                <w:p w14:paraId="1BCA07BC" w14:textId="77777777" w:rsidR="00C64EA0" w:rsidRPr="00E45D39" w:rsidRDefault="00C64EA0" w:rsidP="00C64EA0">
                  <w:pPr>
                    <w:spacing w:after="60"/>
                    <w:rPr>
                      <w:iCs/>
                      <w:sz w:val="20"/>
                    </w:rPr>
                  </w:pPr>
                  <w:r>
                    <w:rPr>
                      <w:iCs/>
                      <w:sz w:val="20"/>
                    </w:rPr>
                    <w:t>$</w:t>
                  </w:r>
                </w:p>
              </w:tc>
              <w:tc>
                <w:tcPr>
                  <w:tcW w:w="3116" w:type="pct"/>
                </w:tcPr>
                <w:p w14:paraId="30977DE1" w14:textId="77777777" w:rsidR="00C64EA0" w:rsidRPr="00E45D39" w:rsidRDefault="00C64EA0" w:rsidP="00C64EA0">
                  <w:pPr>
                    <w:spacing w:after="60"/>
                    <w:rPr>
                      <w:iCs/>
                      <w:sz w:val="20"/>
                    </w:rPr>
                  </w:pPr>
                  <w:r w:rsidRPr="00E45D39">
                    <w:rPr>
                      <w:i/>
                      <w:iCs/>
                      <w:sz w:val="20"/>
                    </w:rPr>
                    <w:t xml:space="preserve">Must-Run </w:t>
                  </w:r>
                  <w:r>
                    <w:rPr>
                      <w:i/>
                      <w:iCs/>
                      <w:sz w:val="20"/>
                    </w:rPr>
                    <w:t xml:space="preserve">Alternative </w:t>
                  </w:r>
                  <w:r w:rsidRPr="00E45D39">
                    <w:rPr>
                      <w:i/>
                      <w:iCs/>
                      <w:sz w:val="20"/>
                    </w:rPr>
                    <w:t xml:space="preserve">Unexcused Misconduct Amount </w:t>
                  </w:r>
                  <w:r>
                    <w:rPr>
                      <w:i/>
                      <w:iCs/>
                      <w:sz w:val="20"/>
                    </w:rPr>
                    <w:t xml:space="preserve">Total per hour </w:t>
                  </w:r>
                  <w:r w:rsidRPr="00E45D39">
                    <w:rPr>
                      <w:iCs/>
                      <w:sz w:val="20"/>
                    </w:rPr>
                    <w:sym w:font="Symbol" w:char="F0BE"/>
                  </w:r>
                  <w:r w:rsidRPr="00E45D39">
                    <w:rPr>
                      <w:iCs/>
                      <w:sz w:val="20"/>
                    </w:rPr>
                    <w:t>The total of the charges</w:t>
                  </w:r>
                  <w:r>
                    <w:rPr>
                      <w:iCs/>
                      <w:sz w:val="20"/>
                    </w:rPr>
                    <w:t xml:space="preserve"> </w:t>
                  </w:r>
                  <w:r w:rsidRPr="00E45D39">
                    <w:rPr>
                      <w:iCs/>
                      <w:sz w:val="20"/>
                    </w:rPr>
                    <w:t>for unex</w:t>
                  </w:r>
                  <w:r>
                    <w:rPr>
                      <w:iCs/>
                      <w:sz w:val="20"/>
                    </w:rPr>
                    <w:t xml:space="preserve">cused Misconduct Events </w:t>
                  </w:r>
                  <w:r w:rsidRPr="00E45D39">
                    <w:rPr>
                      <w:iCs/>
                      <w:sz w:val="20"/>
                    </w:rPr>
                    <w:t xml:space="preserve">for the </w:t>
                  </w:r>
                  <w:r>
                    <w:rPr>
                      <w:iCs/>
                      <w:sz w:val="20"/>
                    </w:rPr>
                    <w:t>hour</w:t>
                  </w:r>
                  <w:r w:rsidRPr="00E45D39">
                    <w:rPr>
                      <w:iCs/>
                      <w:sz w:val="20"/>
                    </w:rPr>
                    <w:t>.</w:t>
                  </w:r>
                </w:p>
              </w:tc>
            </w:tr>
            <w:tr w:rsidR="00C64EA0" w:rsidRPr="00E45D39" w14:paraId="0263DB75" w14:textId="77777777" w:rsidTr="00CE1011">
              <w:trPr>
                <w:cantSplit/>
              </w:trPr>
              <w:tc>
                <w:tcPr>
                  <w:tcW w:w="1360" w:type="pct"/>
                </w:tcPr>
                <w:p w14:paraId="26690A75" w14:textId="77777777" w:rsidR="00C64EA0" w:rsidRPr="00022C03" w:rsidRDefault="00C64EA0" w:rsidP="00C64EA0">
                  <w:pPr>
                    <w:spacing w:after="60"/>
                    <w:rPr>
                      <w:bCs/>
                      <w:sz w:val="20"/>
                    </w:rPr>
                  </w:pPr>
                  <w:r w:rsidRPr="002B5C5B">
                    <w:rPr>
                      <w:bCs/>
                      <w:sz w:val="20"/>
                    </w:rPr>
                    <w:lastRenderedPageBreak/>
                    <w:t>HLRS</w:t>
                  </w:r>
                  <w:r w:rsidRPr="002B5C5B">
                    <w:rPr>
                      <w:bCs/>
                      <w:sz w:val="20"/>
                      <w:vertAlign w:val="subscript"/>
                    </w:rPr>
                    <w:t xml:space="preserve"> </w:t>
                  </w:r>
                  <w:r w:rsidRPr="002B5C5B">
                    <w:rPr>
                      <w:bCs/>
                      <w:i/>
                      <w:sz w:val="20"/>
                      <w:vertAlign w:val="subscript"/>
                    </w:rPr>
                    <w:t>q</w:t>
                  </w:r>
                </w:p>
              </w:tc>
              <w:tc>
                <w:tcPr>
                  <w:tcW w:w="524" w:type="pct"/>
                </w:tcPr>
                <w:p w14:paraId="26C2E52D" w14:textId="77777777" w:rsidR="00C64EA0" w:rsidRPr="00022C03" w:rsidRDefault="00C64EA0" w:rsidP="00C64EA0">
                  <w:pPr>
                    <w:spacing w:after="60"/>
                    <w:rPr>
                      <w:bCs/>
                      <w:sz w:val="20"/>
                    </w:rPr>
                  </w:pPr>
                  <w:r w:rsidRPr="002B5C5B">
                    <w:rPr>
                      <w:bCs/>
                      <w:sz w:val="20"/>
                    </w:rPr>
                    <w:t>none</w:t>
                  </w:r>
                </w:p>
              </w:tc>
              <w:tc>
                <w:tcPr>
                  <w:tcW w:w="3116" w:type="pct"/>
                </w:tcPr>
                <w:p w14:paraId="1DDEAB71" w14:textId="77777777" w:rsidR="00C64EA0" w:rsidRPr="00022C03" w:rsidRDefault="00C64EA0" w:rsidP="00C64EA0">
                  <w:pPr>
                    <w:spacing w:after="60"/>
                    <w:rPr>
                      <w:bCs/>
                      <w:sz w:val="20"/>
                    </w:rPr>
                  </w:pPr>
                  <w:r w:rsidRPr="002B5C5B">
                    <w:rPr>
                      <w:bCs/>
                      <w:i/>
                      <w:sz w:val="20"/>
                    </w:rPr>
                    <w:t>The hourly LRS calculated for QSE q for the hour</w:t>
                  </w:r>
                  <w:r w:rsidRPr="002B5C5B">
                    <w:rPr>
                      <w:bCs/>
                      <w:sz w:val="20"/>
                    </w:rPr>
                    <w:t>.  See Section 6.6.2.4, QSE Load Ratio Share for an Operating Hour.</w:t>
                  </w:r>
                </w:p>
              </w:tc>
            </w:tr>
            <w:tr w:rsidR="00C64EA0" w:rsidRPr="00E45D39" w14:paraId="4BD82CF5" w14:textId="77777777" w:rsidTr="00CE1011">
              <w:trPr>
                <w:cantSplit/>
              </w:trPr>
              <w:tc>
                <w:tcPr>
                  <w:tcW w:w="1360" w:type="pct"/>
                </w:tcPr>
                <w:p w14:paraId="4BE6BCF8" w14:textId="77777777" w:rsidR="00C64EA0" w:rsidRPr="00E45D39" w:rsidRDefault="00C64EA0" w:rsidP="00C64EA0">
                  <w:pPr>
                    <w:spacing w:after="60"/>
                    <w:rPr>
                      <w:i/>
                      <w:iCs/>
                      <w:sz w:val="20"/>
                    </w:rPr>
                  </w:pPr>
                  <w:r w:rsidRPr="00E45D39">
                    <w:rPr>
                      <w:i/>
                      <w:iCs/>
                      <w:sz w:val="20"/>
                    </w:rPr>
                    <w:t>q</w:t>
                  </w:r>
                </w:p>
              </w:tc>
              <w:tc>
                <w:tcPr>
                  <w:tcW w:w="524" w:type="pct"/>
                </w:tcPr>
                <w:p w14:paraId="6DEC490A" w14:textId="77777777" w:rsidR="00C64EA0" w:rsidRPr="00E45D39" w:rsidRDefault="00C64EA0" w:rsidP="00C64EA0">
                  <w:pPr>
                    <w:spacing w:after="60"/>
                    <w:rPr>
                      <w:iCs/>
                      <w:sz w:val="20"/>
                    </w:rPr>
                  </w:pPr>
                  <w:r w:rsidRPr="00E45D39">
                    <w:rPr>
                      <w:iCs/>
                      <w:sz w:val="20"/>
                    </w:rPr>
                    <w:t>none</w:t>
                  </w:r>
                </w:p>
              </w:tc>
              <w:tc>
                <w:tcPr>
                  <w:tcW w:w="3116" w:type="pct"/>
                </w:tcPr>
                <w:p w14:paraId="1CBAF866" w14:textId="77777777" w:rsidR="00C64EA0" w:rsidRPr="00E45D39" w:rsidRDefault="00C64EA0" w:rsidP="00C64EA0">
                  <w:pPr>
                    <w:spacing w:after="60"/>
                    <w:rPr>
                      <w:i/>
                      <w:iCs/>
                      <w:sz w:val="20"/>
                    </w:rPr>
                  </w:pPr>
                  <w:r w:rsidRPr="00E45D39">
                    <w:rPr>
                      <w:iCs/>
                      <w:sz w:val="20"/>
                    </w:rPr>
                    <w:t>A QSE.</w:t>
                  </w:r>
                </w:p>
              </w:tc>
            </w:tr>
          </w:tbl>
          <w:p w14:paraId="3F418CEB" w14:textId="77777777" w:rsidR="00B040C2" w:rsidRPr="00C3334D" w:rsidRDefault="00B040C2" w:rsidP="00CE1011">
            <w:pPr>
              <w:spacing w:after="240"/>
              <w:ind w:left="720" w:hanging="720"/>
            </w:pPr>
          </w:p>
        </w:tc>
      </w:tr>
    </w:tbl>
    <w:p w14:paraId="20B6045C" w14:textId="77777777" w:rsidR="001F04FD" w:rsidRDefault="001F04FD" w:rsidP="001F04FD">
      <w:pPr>
        <w:pStyle w:val="H3"/>
        <w:spacing w:before="480"/>
      </w:pPr>
      <w:bookmarkStart w:id="2407" w:name="_Toc189044458"/>
      <w:r>
        <w:lastRenderedPageBreak/>
        <w:t>6.6.7</w:t>
      </w:r>
      <w:r>
        <w:tab/>
        <w:t>Voltage Support Settlement</w:t>
      </w:r>
      <w:bookmarkEnd w:id="2374"/>
      <w:bookmarkEnd w:id="2375"/>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407"/>
      <w:r>
        <w:t xml:space="preserve"> </w:t>
      </w:r>
    </w:p>
    <w:p w14:paraId="01D20C07" w14:textId="77777777" w:rsidR="001F04FD" w:rsidRDefault="001F04FD" w:rsidP="001F04FD">
      <w:pPr>
        <w:pStyle w:val="H4"/>
      </w:pPr>
      <w:bookmarkStart w:id="2408" w:name="_Toc397505033"/>
      <w:bookmarkStart w:id="2409" w:name="_Toc402357165"/>
      <w:bookmarkStart w:id="2410" w:name="_Toc422486545"/>
      <w:bookmarkStart w:id="2411" w:name="_Toc433093398"/>
      <w:bookmarkStart w:id="2412" w:name="_Toc433093556"/>
      <w:bookmarkStart w:id="2413" w:name="_Toc440874786"/>
      <w:bookmarkStart w:id="2414" w:name="_Toc448142343"/>
      <w:bookmarkStart w:id="2415" w:name="_Toc448142500"/>
      <w:bookmarkStart w:id="2416" w:name="_Toc458770341"/>
      <w:bookmarkStart w:id="2417" w:name="_Toc459294309"/>
      <w:bookmarkStart w:id="2418" w:name="_Toc463262803"/>
      <w:bookmarkStart w:id="2419" w:name="_Toc468286876"/>
      <w:bookmarkStart w:id="2420" w:name="_Toc481502916"/>
      <w:bookmarkStart w:id="2421" w:name="_Toc496080084"/>
      <w:bookmarkStart w:id="2422" w:name="_Toc189044459"/>
      <w:r>
        <w:t>6.6.7.1</w:t>
      </w:r>
      <w:r>
        <w:tab/>
        <w:t>Voltage Support Service Payments</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r>
        <w:t xml:space="preserve"> </w:t>
      </w:r>
    </w:p>
    <w:p w14:paraId="72240A68" w14:textId="77777777" w:rsidR="001F04FD" w:rsidRDefault="001F04FD" w:rsidP="001F04FD">
      <w:pPr>
        <w:pStyle w:val="BodyTextNumbered"/>
      </w:pPr>
      <w:r>
        <w:t>(1)</w:t>
      </w:r>
      <w:r>
        <w:tab/>
        <w:t>All other Generation Resources shall be eligible for compensation for Reactive Power production in accordance with Section 6.5.7.7, Voltage Support Service, only if ERCOT issues a Dispatch Instruction that results in the following unit operation:</w:t>
      </w:r>
    </w:p>
    <w:p w14:paraId="6BB03BE1" w14:textId="72965657" w:rsidR="001F04FD" w:rsidRDefault="001F04FD" w:rsidP="001F04FD">
      <w:pPr>
        <w:pStyle w:val="BodyTextNumbered"/>
        <w:ind w:left="1440"/>
      </w:pPr>
      <w:r>
        <w:t>(a)</w:t>
      </w:r>
      <w:r>
        <w:tab/>
        <w:t xml:space="preserve">When ERCOT instructs the Generation Resource to exceed its Unit Reactive Limit (URL) and the Generation Resource provides additional Reactive Power, then ERCOT shall pay for the additional Reactive Power provided at a price that recognizes the avoided cost of reactive support </w:t>
      </w:r>
      <w:r w:rsidR="008152FC">
        <w:t xml:space="preserve">to </w:t>
      </w:r>
      <w:r>
        <w:t>Resources on the transmission network.</w:t>
      </w:r>
    </w:p>
    <w:p w14:paraId="62F6207F" w14:textId="24E9BA63" w:rsidR="001F04FD" w:rsidRDefault="001F04FD" w:rsidP="001F04FD">
      <w:pPr>
        <w:pStyle w:val="List"/>
      </w:pPr>
      <w:r>
        <w:t>(b)</w:t>
      </w:r>
      <w:r>
        <w:tab/>
        <w:t>Any real power reduction directed by ERCOT through VDIs to provide for additional reactive capability for voltage support must be compensated as a lost opportunity payment</w:t>
      </w:r>
      <w:r w:rsidR="008152FC">
        <w:t>.</w:t>
      </w:r>
    </w:p>
    <w:p w14:paraId="1749886C" w14:textId="77777777" w:rsidR="001F04FD" w:rsidRDefault="001F04FD" w:rsidP="001F04FD">
      <w:pPr>
        <w:pStyle w:val="BodyTextNumbered"/>
      </w:pPr>
      <w:r>
        <w:t>(2)</w:t>
      </w:r>
      <w:r>
        <w:tab/>
        <w:t>The payment for a given 15-minute Settlement Interval to each QSE representing a Generation Resource that operates in accordance with an ERCOT Dispatch Instruction is calculated as follows:</w:t>
      </w:r>
    </w:p>
    <w:p w14:paraId="7B035A5E" w14:textId="77777777" w:rsidR="001F04FD" w:rsidRDefault="001F04FD" w:rsidP="001F04FD">
      <w:pPr>
        <w:pStyle w:val="List"/>
      </w:pPr>
      <w:r>
        <w:t>Depending on the Dispatch Instruction, payment for Volt-Amperes reactive (VAr):</w:t>
      </w:r>
    </w:p>
    <w:p w14:paraId="4AAEBEC2" w14:textId="77777777" w:rsidR="001F04FD" w:rsidRDefault="001F04FD" w:rsidP="001F04FD">
      <w:pPr>
        <w:pStyle w:val="BodyText"/>
        <w:ind w:firstLine="720"/>
        <w:rPr>
          <w:lang w:val="pt-BR"/>
        </w:rPr>
      </w:pPr>
      <w:r>
        <w:rPr>
          <w:lang w:val="pt-BR"/>
        </w:rPr>
        <w:t xml:space="preserve">If VSSVARLAG </w:t>
      </w:r>
      <w:r>
        <w:rPr>
          <w:i/>
          <w:vertAlign w:val="subscript"/>
          <w:lang w:val="pt-BR"/>
        </w:rPr>
        <w:t>q, r</w:t>
      </w:r>
      <w:r>
        <w:rPr>
          <w:lang w:val="pt-BR"/>
        </w:rPr>
        <w:t xml:space="preserve"> &gt; 0</w:t>
      </w:r>
    </w:p>
    <w:p w14:paraId="2CD906FF"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1CEE3B68" w14:textId="77777777" w:rsidR="001F04FD" w:rsidRDefault="001F04FD" w:rsidP="001F04FD">
      <w:pPr>
        <w:pStyle w:val="BodyText"/>
        <w:ind w:firstLine="720"/>
        <w:rPr>
          <w:lang w:val="pt-BR"/>
        </w:rPr>
      </w:pPr>
      <w:r>
        <w:rPr>
          <w:lang w:val="pt-BR"/>
        </w:rPr>
        <w:t xml:space="preserve">If VSSVARLEAD </w:t>
      </w:r>
      <w:r>
        <w:rPr>
          <w:i/>
          <w:vertAlign w:val="subscript"/>
          <w:lang w:val="pt-BR"/>
        </w:rPr>
        <w:t>q, r</w:t>
      </w:r>
      <w:r>
        <w:rPr>
          <w:lang w:val="pt-BR"/>
        </w:rPr>
        <w:t xml:space="preserve"> &gt; 0</w:t>
      </w:r>
    </w:p>
    <w:p w14:paraId="7A69C54B"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46C2B725" w14:textId="77777777" w:rsidR="001F04FD" w:rsidRDefault="001F04FD" w:rsidP="001F04FD">
      <w:pPr>
        <w:pStyle w:val="BodyText"/>
        <w:ind w:left="720"/>
        <w:rPr>
          <w:lang w:val="pt-BR"/>
        </w:rPr>
      </w:pPr>
      <w:r>
        <w:rPr>
          <w:lang w:val="pt-BR"/>
        </w:rPr>
        <w:t>Where:</w:t>
      </w:r>
    </w:p>
    <w:p w14:paraId="36F8EBAC"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VSSVARLAG </w:t>
      </w:r>
      <w:r>
        <w:rPr>
          <w:i/>
          <w:vertAlign w:val="subscript"/>
          <w:lang w:val="pt-BR"/>
        </w:rPr>
        <w:t>q, r</w:t>
      </w:r>
      <w:r>
        <w:rPr>
          <w:lang w:val="pt-BR"/>
        </w:rPr>
        <w:tab/>
        <w:t>=</w:t>
      </w:r>
      <w:r>
        <w:rPr>
          <w:lang w:val="pt-BR"/>
        </w:rPr>
        <w:tab/>
        <w:t xml:space="preserve">Max [0, Min (¼ * VSSVARIOL </w:t>
      </w:r>
      <w:r>
        <w:rPr>
          <w:i/>
          <w:vertAlign w:val="subscript"/>
          <w:lang w:val="pt-BR"/>
        </w:rPr>
        <w:t>q, r</w:t>
      </w:r>
      <w:r>
        <w:rPr>
          <w:lang w:val="pt-BR"/>
        </w:rPr>
        <w:t xml:space="preserve">, RTVAR </w:t>
      </w:r>
      <w:r>
        <w:rPr>
          <w:i/>
          <w:vertAlign w:val="subscript"/>
          <w:lang w:val="pt-BR"/>
        </w:rPr>
        <w:t>q, r</w:t>
      </w:r>
      <w:r>
        <w:rPr>
          <w:lang w:val="pt-BR"/>
        </w:rPr>
        <w:t xml:space="preserve">) – (¼ * URLLAG </w:t>
      </w:r>
      <w:r>
        <w:rPr>
          <w:i/>
          <w:vertAlign w:val="subscript"/>
          <w:lang w:val="pt-BR"/>
        </w:rPr>
        <w:t>q, r</w:t>
      </w:r>
      <w:r>
        <w:rPr>
          <w:lang w:val="pt-BR"/>
        </w:rPr>
        <w:t>)]</w:t>
      </w:r>
    </w:p>
    <w:p w14:paraId="0675E82D" w14:textId="77777777" w:rsidR="001F04FD" w:rsidRDefault="001F04FD" w:rsidP="001F04FD">
      <w:pPr>
        <w:pStyle w:val="Formula"/>
        <w:tabs>
          <w:tab w:val="clear" w:pos="2160"/>
          <w:tab w:val="clear" w:pos="2880"/>
          <w:tab w:val="left" w:pos="3960"/>
        </w:tabs>
        <w:ind w:leftChars="600" w:left="4320" w:hangingChars="1200" w:hanging="2880"/>
        <w:rPr>
          <w:sz w:val="32"/>
          <w:szCs w:val="32"/>
          <w:lang w:val="pt-BR"/>
        </w:rPr>
      </w:pPr>
      <w:r>
        <w:rPr>
          <w:lang w:val="pt-BR"/>
        </w:rPr>
        <w:t xml:space="preserve">VSSVARLEAD </w:t>
      </w:r>
      <w:r>
        <w:rPr>
          <w:i/>
          <w:vertAlign w:val="subscript"/>
          <w:lang w:val="pt-BR"/>
        </w:rPr>
        <w:t>q, r</w:t>
      </w:r>
      <w:r>
        <w:rPr>
          <w:lang w:val="pt-BR"/>
        </w:rPr>
        <w:tab/>
        <w:t>=</w:t>
      </w:r>
      <w:r>
        <w:rPr>
          <w:lang w:val="pt-BR"/>
        </w:rPr>
        <w:tab/>
        <w:t xml:space="preserve">Max </w:t>
      </w:r>
      <w:r>
        <w:rPr>
          <w:sz w:val="32"/>
          <w:szCs w:val="32"/>
          <w:lang w:val="pt-BR"/>
        </w:rPr>
        <w:t>{</w:t>
      </w:r>
      <w:r>
        <w:rPr>
          <w:lang w:val="pt-BR"/>
        </w:rPr>
        <w:t xml:space="preserve">0, [(¼ * URLLEAD </w:t>
      </w:r>
      <w:r>
        <w:rPr>
          <w:i/>
          <w:vertAlign w:val="subscript"/>
          <w:lang w:val="pt-BR"/>
        </w:rPr>
        <w:t>q, r</w:t>
      </w:r>
      <w:r>
        <w:rPr>
          <w:lang w:val="pt-BR"/>
        </w:rPr>
        <w:t xml:space="preserve"> ) – Max ((¼ * VSSVARIOL </w:t>
      </w:r>
      <w:r>
        <w:rPr>
          <w:i/>
          <w:vertAlign w:val="subscript"/>
          <w:lang w:val="pt-BR"/>
        </w:rPr>
        <w:t>q, r</w:t>
      </w:r>
      <w:r>
        <w:rPr>
          <w:lang w:val="pt-BR"/>
        </w:rPr>
        <w:t xml:space="preserve">), RTVAR </w:t>
      </w:r>
      <w:r>
        <w:rPr>
          <w:i/>
          <w:vertAlign w:val="subscript"/>
          <w:lang w:val="pt-BR"/>
        </w:rPr>
        <w:t>q, r</w:t>
      </w:r>
      <w:r>
        <w:rPr>
          <w:lang w:val="pt-BR"/>
        </w:rPr>
        <w:t>)]</w:t>
      </w:r>
      <w:r>
        <w:rPr>
          <w:sz w:val="32"/>
          <w:szCs w:val="32"/>
          <w:lang w:val="pt-BR"/>
        </w:rPr>
        <w:t>}</w:t>
      </w:r>
    </w:p>
    <w:p w14:paraId="7458ACC8" w14:textId="77777777" w:rsidR="001F04FD" w:rsidRDefault="001F04FD" w:rsidP="001F04FD">
      <w:pPr>
        <w:pStyle w:val="Formula"/>
        <w:tabs>
          <w:tab w:val="clear" w:pos="2160"/>
          <w:tab w:val="clear" w:pos="2880"/>
          <w:tab w:val="left" w:pos="3960"/>
        </w:tabs>
        <w:ind w:leftChars="600" w:left="2340" w:firstLineChars="0"/>
        <w:rPr>
          <w:lang w:val="pt-BR"/>
        </w:rPr>
      </w:pPr>
      <w:r>
        <w:rPr>
          <w:lang w:val="pt-BR"/>
        </w:rPr>
        <w:t xml:space="preserve">URLLAG </w:t>
      </w:r>
      <w:r>
        <w:rPr>
          <w:i/>
          <w:vertAlign w:val="subscript"/>
          <w:lang w:val="pt-BR"/>
        </w:rPr>
        <w:t>q,r</w:t>
      </w:r>
      <w:r>
        <w:rPr>
          <w:lang w:val="pt-BR"/>
        </w:rPr>
        <w:tab/>
        <w:t>=</w:t>
      </w:r>
      <w:r>
        <w:rPr>
          <w:lang w:val="pt-BR"/>
        </w:rPr>
        <w:tab/>
        <w:t xml:space="preserve">0.32868 * HSL </w:t>
      </w:r>
      <w:r>
        <w:rPr>
          <w:i/>
          <w:vertAlign w:val="subscript"/>
          <w:lang w:val="pt-BR"/>
        </w:rPr>
        <w:t xml:space="preserve">q,r </w:t>
      </w:r>
    </w:p>
    <w:p w14:paraId="08E97BD5"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lastRenderedPageBreak/>
        <w:t xml:space="preserve">URLLEAD </w:t>
      </w:r>
      <w:r>
        <w:rPr>
          <w:i/>
          <w:vertAlign w:val="subscript"/>
          <w:lang w:val="pt-BR"/>
        </w:rPr>
        <w:t>q,r</w:t>
      </w:r>
      <w:r>
        <w:rPr>
          <w:lang w:val="pt-BR"/>
        </w:rPr>
        <w:tab/>
        <w:t>=</w:t>
      </w:r>
      <w:r>
        <w:rPr>
          <w:lang w:val="pt-BR"/>
        </w:rPr>
        <w:tab/>
        <w:t xml:space="preserve">(-1) * 0.32868 * HSL </w:t>
      </w:r>
      <w:r>
        <w:rPr>
          <w:i/>
          <w:vertAlign w:val="subscript"/>
          <w:lang w:val="pt-BR"/>
        </w:rPr>
        <w:t>q,r</w:t>
      </w:r>
    </w:p>
    <w:p w14:paraId="00404192" w14:textId="77777777" w:rsidR="001F04FD" w:rsidRDefault="001F04FD" w:rsidP="001F04FD"/>
    <w:p w14:paraId="3C203171"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1F04FD" w14:paraId="2B376B1A" w14:textId="77777777" w:rsidTr="00AC4DEE">
        <w:trPr>
          <w:cantSplit/>
          <w:tblHeader/>
        </w:trPr>
        <w:tc>
          <w:tcPr>
            <w:tcW w:w="1016" w:type="pct"/>
          </w:tcPr>
          <w:p w14:paraId="3A1586C2" w14:textId="77777777" w:rsidR="001F04FD" w:rsidRDefault="001F04FD" w:rsidP="00AC4DEE">
            <w:pPr>
              <w:pStyle w:val="TableHead"/>
            </w:pPr>
            <w:r>
              <w:t>Variable</w:t>
            </w:r>
          </w:p>
        </w:tc>
        <w:tc>
          <w:tcPr>
            <w:tcW w:w="618" w:type="pct"/>
          </w:tcPr>
          <w:p w14:paraId="66DF8602" w14:textId="77777777" w:rsidR="001F04FD" w:rsidRDefault="001F04FD" w:rsidP="00AC4DEE">
            <w:pPr>
              <w:pStyle w:val="TableHead"/>
            </w:pPr>
            <w:r>
              <w:t>Unit</w:t>
            </w:r>
          </w:p>
        </w:tc>
        <w:tc>
          <w:tcPr>
            <w:tcW w:w="3366" w:type="pct"/>
          </w:tcPr>
          <w:p w14:paraId="2824EA26" w14:textId="77777777" w:rsidR="001F04FD" w:rsidRDefault="001F04FD" w:rsidP="00AC4DEE">
            <w:pPr>
              <w:pStyle w:val="TableHead"/>
            </w:pPr>
            <w:r>
              <w:t>Definition</w:t>
            </w:r>
          </w:p>
        </w:tc>
      </w:tr>
      <w:tr w:rsidR="001F04FD" w14:paraId="5228804C" w14:textId="77777777" w:rsidTr="00AC4DEE">
        <w:trPr>
          <w:cantSplit/>
        </w:trPr>
        <w:tc>
          <w:tcPr>
            <w:tcW w:w="1016" w:type="pct"/>
          </w:tcPr>
          <w:p w14:paraId="0814A03C" w14:textId="77777777" w:rsidR="001F04FD" w:rsidRDefault="001F04FD" w:rsidP="00AC4DEE">
            <w:pPr>
              <w:pStyle w:val="TableBody"/>
            </w:pPr>
            <w:r>
              <w:t xml:space="preserve">VSSVARAMT </w:t>
            </w:r>
            <w:r w:rsidRPr="00E15B17">
              <w:rPr>
                <w:i/>
                <w:vertAlign w:val="subscript"/>
              </w:rPr>
              <w:t>q, r</w:t>
            </w:r>
          </w:p>
        </w:tc>
        <w:tc>
          <w:tcPr>
            <w:tcW w:w="618" w:type="pct"/>
          </w:tcPr>
          <w:p w14:paraId="1A53E4D5" w14:textId="77777777" w:rsidR="001F04FD" w:rsidRDefault="001F04FD" w:rsidP="00AC4DEE">
            <w:pPr>
              <w:pStyle w:val="TableBody"/>
            </w:pPr>
            <w:r>
              <w:t>$</w:t>
            </w:r>
          </w:p>
        </w:tc>
        <w:tc>
          <w:tcPr>
            <w:tcW w:w="3366" w:type="pct"/>
          </w:tcPr>
          <w:p w14:paraId="1F7E7A5A" w14:textId="77777777" w:rsidR="001F04FD" w:rsidRDefault="001F04FD" w:rsidP="00AC4DEE">
            <w:pPr>
              <w:pStyle w:val="TableBody"/>
            </w:pPr>
            <w:r>
              <w:rPr>
                <w:i/>
              </w:rPr>
              <w:t xml:space="preserve">Voltage Support Service VAr Amount per QSE per Generation Resource - </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D661BC">
              <w:rPr>
                <w:i/>
              </w:rPr>
              <w:t>r</w:t>
            </w:r>
            <w:r>
              <w:t xml:space="preserve"> is a Combined Cycle Train.</w:t>
            </w:r>
          </w:p>
        </w:tc>
      </w:tr>
      <w:tr w:rsidR="001F04FD" w14:paraId="55914078" w14:textId="77777777" w:rsidTr="00AC4DEE">
        <w:trPr>
          <w:cantSplit/>
        </w:trPr>
        <w:tc>
          <w:tcPr>
            <w:tcW w:w="1016" w:type="pct"/>
          </w:tcPr>
          <w:p w14:paraId="76CEC6E3" w14:textId="77777777" w:rsidR="001F04FD" w:rsidRDefault="001F04FD" w:rsidP="00AC4DEE">
            <w:pPr>
              <w:pStyle w:val="TableBody"/>
            </w:pPr>
            <w:r>
              <w:t>VSSVARPR</w:t>
            </w:r>
          </w:p>
        </w:tc>
        <w:tc>
          <w:tcPr>
            <w:tcW w:w="618" w:type="pct"/>
          </w:tcPr>
          <w:p w14:paraId="75B0E627" w14:textId="77777777" w:rsidR="001F04FD" w:rsidRDefault="001F04FD" w:rsidP="00AC4DEE">
            <w:pPr>
              <w:pStyle w:val="TableBody"/>
              <w:rPr>
                <w:i/>
              </w:rPr>
            </w:pPr>
            <w:r>
              <w:t>$/MVArh</w:t>
            </w:r>
          </w:p>
        </w:tc>
        <w:tc>
          <w:tcPr>
            <w:tcW w:w="3366" w:type="pct"/>
          </w:tcPr>
          <w:p w14:paraId="1E7A5165" w14:textId="77777777" w:rsidR="001F04FD" w:rsidRDefault="001F04FD" w:rsidP="00AC4DEE">
            <w:pPr>
              <w:pStyle w:val="TableBody"/>
            </w:pPr>
            <w:r>
              <w:rPr>
                <w:i/>
              </w:rPr>
              <w:t xml:space="preserve">Voltage Support Service VAr Price - </w:t>
            </w:r>
            <w:r>
              <w:t>The price for instructed MVAr beyond a Generation Resource’s URL currently is $2.65/MVArh (based on $50.00/installed kVAr).</w:t>
            </w:r>
          </w:p>
        </w:tc>
      </w:tr>
      <w:tr w:rsidR="001F04FD" w14:paraId="02342886" w14:textId="77777777" w:rsidTr="00AC4DEE">
        <w:trPr>
          <w:cantSplit/>
        </w:trPr>
        <w:tc>
          <w:tcPr>
            <w:tcW w:w="1016" w:type="pct"/>
          </w:tcPr>
          <w:p w14:paraId="40631EF3" w14:textId="77777777" w:rsidR="001F04FD" w:rsidRDefault="001F04FD" w:rsidP="00AC4DEE">
            <w:pPr>
              <w:pStyle w:val="TableBody"/>
            </w:pPr>
            <w:r>
              <w:t xml:space="preserve">VSSVARLAG </w:t>
            </w:r>
            <w:r w:rsidRPr="00E15B17">
              <w:rPr>
                <w:i/>
                <w:vertAlign w:val="subscript"/>
              </w:rPr>
              <w:t>q, r</w:t>
            </w:r>
          </w:p>
        </w:tc>
        <w:tc>
          <w:tcPr>
            <w:tcW w:w="618" w:type="pct"/>
          </w:tcPr>
          <w:p w14:paraId="35A72493" w14:textId="77777777" w:rsidR="001F04FD" w:rsidRDefault="001F04FD" w:rsidP="00AC4DEE">
            <w:pPr>
              <w:pStyle w:val="TableBody"/>
            </w:pPr>
            <w:r>
              <w:t>MVArh</w:t>
            </w:r>
          </w:p>
        </w:tc>
        <w:tc>
          <w:tcPr>
            <w:tcW w:w="3366" w:type="pct"/>
          </w:tcPr>
          <w:p w14:paraId="6832DC23" w14:textId="77777777" w:rsidR="001F04FD" w:rsidRDefault="001F04FD" w:rsidP="00AC4DEE">
            <w:pPr>
              <w:pStyle w:val="TableBody"/>
            </w:pPr>
            <w:r>
              <w:rPr>
                <w:i/>
              </w:rPr>
              <w:t xml:space="preserve">Voltage Support Service VAr Lagging per QSE per Generation Resource - </w:t>
            </w:r>
            <w:r>
              <w:t xml:space="preserve">The instructed portion of the Reactive Power above the Generation Resource’s lagging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7467720A" w14:textId="77777777" w:rsidTr="00AC4DEE">
        <w:trPr>
          <w:cantSplit/>
        </w:trPr>
        <w:tc>
          <w:tcPr>
            <w:tcW w:w="1016" w:type="pct"/>
          </w:tcPr>
          <w:p w14:paraId="26034F2F" w14:textId="77777777" w:rsidR="001F04FD" w:rsidRDefault="001F04FD" w:rsidP="00AC4DEE">
            <w:pPr>
              <w:pStyle w:val="TableBody"/>
            </w:pPr>
            <w:r>
              <w:t xml:space="preserve">VSSVARLEAD </w:t>
            </w:r>
            <w:r w:rsidRPr="00E15B17">
              <w:rPr>
                <w:i/>
                <w:vertAlign w:val="subscript"/>
              </w:rPr>
              <w:t>q, r</w:t>
            </w:r>
          </w:p>
        </w:tc>
        <w:tc>
          <w:tcPr>
            <w:tcW w:w="618" w:type="pct"/>
          </w:tcPr>
          <w:p w14:paraId="680181E2" w14:textId="77777777" w:rsidR="001F04FD" w:rsidRDefault="001F04FD" w:rsidP="00AC4DEE">
            <w:pPr>
              <w:pStyle w:val="TableBody"/>
            </w:pPr>
            <w:r>
              <w:t>MVArh</w:t>
            </w:r>
          </w:p>
        </w:tc>
        <w:tc>
          <w:tcPr>
            <w:tcW w:w="3366" w:type="pct"/>
          </w:tcPr>
          <w:p w14:paraId="1CE0BAB5" w14:textId="77777777" w:rsidR="001F04FD" w:rsidRDefault="001F04FD" w:rsidP="00AC4DEE">
            <w:pPr>
              <w:pStyle w:val="TableBody"/>
            </w:pPr>
            <w:r>
              <w:rPr>
                <w:i/>
              </w:rPr>
              <w:t>Voltage Support Service VAr Leading per QSE per Generation Resource</w:t>
            </w:r>
            <w:r>
              <w:t xml:space="preserve"> - The instructed portion of the Reactive Power below the Generation Resource’s leading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B0EF6DA" w14:textId="77777777" w:rsidTr="00AC4DEE">
        <w:trPr>
          <w:cantSplit/>
        </w:trPr>
        <w:tc>
          <w:tcPr>
            <w:tcW w:w="1016" w:type="pct"/>
          </w:tcPr>
          <w:p w14:paraId="3F8EE3FE" w14:textId="77777777" w:rsidR="001F04FD" w:rsidRDefault="001F04FD" w:rsidP="00AC4DEE">
            <w:pPr>
              <w:pStyle w:val="TableBody"/>
            </w:pPr>
            <w:r>
              <w:t xml:space="preserve">VSSVARIOL </w:t>
            </w:r>
            <w:r w:rsidRPr="00E15B17">
              <w:rPr>
                <w:i/>
                <w:vertAlign w:val="subscript"/>
              </w:rPr>
              <w:t>q, r</w:t>
            </w:r>
          </w:p>
        </w:tc>
        <w:tc>
          <w:tcPr>
            <w:tcW w:w="618" w:type="pct"/>
            <w:shd w:val="clear" w:color="auto" w:fill="auto"/>
          </w:tcPr>
          <w:p w14:paraId="67CD5293" w14:textId="77777777" w:rsidR="001F04FD" w:rsidRDefault="001F04FD" w:rsidP="00AC4DEE">
            <w:pPr>
              <w:pStyle w:val="TableBody"/>
              <w:rPr>
                <w:highlight w:val="yellow"/>
              </w:rPr>
            </w:pPr>
            <w:r>
              <w:t>MVAr</w:t>
            </w:r>
          </w:p>
        </w:tc>
        <w:tc>
          <w:tcPr>
            <w:tcW w:w="3366" w:type="pct"/>
          </w:tcPr>
          <w:p w14:paraId="4AE5C04C" w14:textId="77777777" w:rsidR="001F04FD" w:rsidRDefault="001F04FD" w:rsidP="00AC4DEE">
            <w:pPr>
              <w:pStyle w:val="TableBody"/>
            </w:pPr>
            <w:r>
              <w:rPr>
                <w:i/>
              </w:rPr>
              <w:t>Voltage Support Service VAr Instructed Output Level per QSE per Generation Resource</w:t>
            </w:r>
            <w:r>
              <w:t xml:space="preserve">—The instructed Reactive Power output level of Generation Resource </w:t>
            </w:r>
            <w:r>
              <w:rPr>
                <w:i/>
              </w:rPr>
              <w:t>r</w:t>
            </w:r>
            <w:r>
              <w:t xml:space="preserve"> represented by QSE </w:t>
            </w:r>
            <w:r>
              <w:rPr>
                <w:i/>
              </w:rPr>
              <w:t>q</w:t>
            </w:r>
            <w:r>
              <w:t xml:space="preserve">, lagging Reactive Power if positive and leading Reactive Power if negative, for the 15-minute Settlement Interval.  Where for a combined cycle resource, </w:t>
            </w:r>
            <w:r w:rsidRPr="00590ADB">
              <w:rPr>
                <w:i/>
              </w:rPr>
              <w:t>r</w:t>
            </w:r>
            <w:r>
              <w:t xml:space="preserve"> is a Combined Cycle Train.</w:t>
            </w:r>
          </w:p>
        </w:tc>
      </w:tr>
      <w:tr w:rsidR="001F04FD" w14:paraId="54AD49E5" w14:textId="77777777" w:rsidTr="00AC4DEE">
        <w:trPr>
          <w:cantSplit/>
        </w:trPr>
        <w:tc>
          <w:tcPr>
            <w:tcW w:w="1016" w:type="pct"/>
          </w:tcPr>
          <w:p w14:paraId="382101D5" w14:textId="77777777" w:rsidR="001F04FD" w:rsidRDefault="001F04FD" w:rsidP="00AC4DEE">
            <w:pPr>
              <w:pStyle w:val="TableBody"/>
            </w:pPr>
            <w:r>
              <w:t xml:space="preserve">RTVAR </w:t>
            </w:r>
            <w:r w:rsidRPr="00E15B17">
              <w:rPr>
                <w:i/>
                <w:vertAlign w:val="subscript"/>
              </w:rPr>
              <w:t>q, r</w:t>
            </w:r>
          </w:p>
        </w:tc>
        <w:tc>
          <w:tcPr>
            <w:tcW w:w="618" w:type="pct"/>
          </w:tcPr>
          <w:p w14:paraId="65500CF0" w14:textId="77777777" w:rsidR="001F04FD" w:rsidRDefault="001F04FD" w:rsidP="00AC4DEE">
            <w:pPr>
              <w:pStyle w:val="TableBody"/>
            </w:pPr>
            <w:r>
              <w:t>MVArh</w:t>
            </w:r>
          </w:p>
        </w:tc>
        <w:tc>
          <w:tcPr>
            <w:tcW w:w="3366" w:type="pct"/>
          </w:tcPr>
          <w:p w14:paraId="4B0D34BE" w14:textId="77777777" w:rsidR="001F04FD" w:rsidRDefault="001F04FD" w:rsidP="00AC4DEE">
            <w:pPr>
              <w:pStyle w:val="TableBody"/>
            </w:pPr>
            <w:r>
              <w:rPr>
                <w:i/>
              </w:rPr>
              <w:t>Real-Time VAr per QSE per Resource</w:t>
            </w:r>
            <w:r>
              <w:t xml:space="preserve">—The netted Reactive Energy measured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0886B3DA" w14:textId="77777777" w:rsidTr="00AC4DEE">
        <w:trPr>
          <w:cantSplit/>
        </w:trPr>
        <w:tc>
          <w:tcPr>
            <w:tcW w:w="1016" w:type="pct"/>
          </w:tcPr>
          <w:p w14:paraId="16F8AD1C" w14:textId="77777777" w:rsidR="001F04FD" w:rsidRDefault="001F04FD" w:rsidP="00AC4DEE">
            <w:pPr>
              <w:pStyle w:val="TableBody"/>
            </w:pPr>
            <w:r>
              <w:t xml:space="preserve">URLLAG </w:t>
            </w:r>
            <w:r w:rsidRPr="00E15B17">
              <w:rPr>
                <w:i/>
                <w:vertAlign w:val="subscript"/>
              </w:rPr>
              <w:t>q, r</w:t>
            </w:r>
          </w:p>
        </w:tc>
        <w:tc>
          <w:tcPr>
            <w:tcW w:w="618" w:type="pct"/>
          </w:tcPr>
          <w:p w14:paraId="5D15D99F" w14:textId="77777777" w:rsidR="001F04FD" w:rsidRDefault="001F04FD" w:rsidP="00AC4DEE">
            <w:pPr>
              <w:pStyle w:val="TableBody"/>
            </w:pPr>
            <w:r>
              <w:t>MVAr</w:t>
            </w:r>
          </w:p>
        </w:tc>
        <w:tc>
          <w:tcPr>
            <w:tcW w:w="3366" w:type="pct"/>
          </w:tcPr>
          <w:p w14:paraId="2A4A896C" w14:textId="77777777" w:rsidR="001F04FD" w:rsidRDefault="001F04FD" w:rsidP="00AC4DEE">
            <w:pPr>
              <w:pStyle w:val="TableBody"/>
            </w:pPr>
            <w:r>
              <w:rPr>
                <w:i/>
              </w:rPr>
              <w:t>Unit Reactive Limit Lagging per QSE per Resource</w:t>
            </w:r>
            <w:r>
              <w:t xml:space="preserve">—The URL for lagging Reactive Power of the Generation Resource </w:t>
            </w:r>
            <w:r>
              <w:rPr>
                <w:i/>
              </w:rPr>
              <w:t>r</w:t>
            </w:r>
            <w:r>
              <w:t xml:space="preserve"> represented by QSE </w:t>
            </w:r>
            <w:r>
              <w:rPr>
                <w:i/>
              </w:rPr>
              <w:t>q</w:t>
            </w:r>
            <w:r>
              <w:t xml:space="preserve"> as determined in accordance with these Protocols.  Its value is positive.  Where for a combined cycle resource, </w:t>
            </w:r>
            <w:r w:rsidRPr="00590ADB">
              <w:rPr>
                <w:i/>
              </w:rPr>
              <w:t>r</w:t>
            </w:r>
            <w:r>
              <w:t xml:space="preserve"> is a Combined Cycle Train.</w:t>
            </w:r>
          </w:p>
        </w:tc>
      </w:tr>
      <w:tr w:rsidR="001F04FD" w14:paraId="5745BE0F" w14:textId="77777777" w:rsidTr="00AC4DEE">
        <w:trPr>
          <w:cantSplit/>
        </w:trPr>
        <w:tc>
          <w:tcPr>
            <w:tcW w:w="1016" w:type="pct"/>
          </w:tcPr>
          <w:p w14:paraId="32AE6DD7" w14:textId="77777777" w:rsidR="001F04FD" w:rsidRDefault="001F04FD" w:rsidP="00AC4DEE">
            <w:pPr>
              <w:pStyle w:val="TableBody"/>
            </w:pPr>
            <w:r>
              <w:t xml:space="preserve">URLLEAD </w:t>
            </w:r>
            <w:r w:rsidRPr="00E15B17">
              <w:rPr>
                <w:i/>
                <w:vertAlign w:val="subscript"/>
              </w:rPr>
              <w:t>q, r</w:t>
            </w:r>
          </w:p>
        </w:tc>
        <w:tc>
          <w:tcPr>
            <w:tcW w:w="618" w:type="pct"/>
          </w:tcPr>
          <w:p w14:paraId="68B89B0F" w14:textId="77777777" w:rsidR="001F04FD" w:rsidRDefault="001F04FD" w:rsidP="00AC4DEE">
            <w:pPr>
              <w:pStyle w:val="TableBody"/>
            </w:pPr>
            <w:r>
              <w:t>MVAr</w:t>
            </w:r>
          </w:p>
        </w:tc>
        <w:tc>
          <w:tcPr>
            <w:tcW w:w="3366" w:type="pct"/>
          </w:tcPr>
          <w:p w14:paraId="0D217302" w14:textId="77777777" w:rsidR="001F04FD" w:rsidRDefault="001F04FD" w:rsidP="00AC4DEE">
            <w:pPr>
              <w:pStyle w:val="TableBody"/>
            </w:pPr>
            <w:r>
              <w:rPr>
                <w:i/>
              </w:rPr>
              <w:t>Unit Reactive Limit Leading per QSE per Resource</w:t>
            </w:r>
            <w:r>
              <w:t xml:space="preserve">—The URL for leading Reactive Power of the Generation Resource </w:t>
            </w:r>
            <w:r>
              <w:rPr>
                <w:i/>
              </w:rPr>
              <w:t>r</w:t>
            </w:r>
            <w:r>
              <w:t xml:space="preserve"> represented by QSE </w:t>
            </w:r>
            <w:r>
              <w:rPr>
                <w:i/>
              </w:rPr>
              <w:t>q</w:t>
            </w:r>
            <w:r>
              <w:t xml:space="preserve"> as determined in accordance with these Protocols.  Its value is negative.  Where for a combined cycle resource, </w:t>
            </w:r>
            <w:r w:rsidRPr="00590ADB">
              <w:rPr>
                <w:i/>
              </w:rPr>
              <w:t>r</w:t>
            </w:r>
            <w:r>
              <w:t xml:space="preserve"> is a Combined Cycle Train.</w:t>
            </w:r>
          </w:p>
        </w:tc>
      </w:tr>
      <w:tr w:rsidR="001F04FD" w14:paraId="2B4B3949" w14:textId="77777777" w:rsidTr="00AC4DEE">
        <w:trPr>
          <w:cantSplit/>
        </w:trPr>
        <w:tc>
          <w:tcPr>
            <w:tcW w:w="1016" w:type="pct"/>
            <w:tcBorders>
              <w:top w:val="single" w:sz="4" w:space="0" w:color="auto"/>
              <w:left w:val="single" w:sz="4" w:space="0" w:color="auto"/>
              <w:bottom w:val="single" w:sz="4" w:space="0" w:color="auto"/>
              <w:right w:val="single" w:sz="4" w:space="0" w:color="auto"/>
            </w:tcBorders>
          </w:tcPr>
          <w:p w14:paraId="29993758" w14:textId="77777777" w:rsidR="001F04FD" w:rsidRDefault="001F04FD" w:rsidP="00AC4DEE">
            <w:pPr>
              <w:pStyle w:val="TableBody"/>
            </w:pPr>
            <w:r>
              <w:t xml:space="preserve">HSL </w:t>
            </w:r>
            <w:r w:rsidRPr="00E15B17">
              <w:rPr>
                <w:i/>
                <w:vertAlign w:val="subscript"/>
              </w:rPr>
              <w:t>q</w:t>
            </w:r>
            <w:r>
              <w:rPr>
                <w:i/>
                <w:vertAlign w:val="subscript"/>
              </w:rPr>
              <w:t xml:space="preserve">, </w:t>
            </w:r>
            <w:r w:rsidRPr="00E15B17">
              <w:rPr>
                <w:i/>
                <w:vertAlign w:val="subscript"/>
              </w:rPr>
              <w:t>r</w:t>
            </w:r>
          </w:p>
        </w:tc>
        <w:tc>
          <w:tcPr>
            <w:tcW w:w="618" w:type="pct"/>
            <w:tcBorders>
              <w:top w:val="single" w:sz="4" w:space="0" w:color="auto"/>
              <w:left w:val="single" w:sz="4" w:space="0" w:color="auto"/>
              <w:bottom w:val="single" w:sz="4" w:space="0" w:color="auto"/>
              <w:right w:val="single" w:sz="4" w:space="0" w:color="auto"/>
            </w:tcBorders>
          </w:tcPr>
          <w:p w14:paraId="75ECE20A" w14:textId="77777777" w:rsidR="001F04FD" w:rsidRDefault="001F04FD" w:rsidP="00AC4DEE">
            <w:pPr>
              <w:pStyle w:val="TableBody"/>
            </w:pPr>
            <w:r>
              <w:t>MW</w:t>
            </w:r>
          </w:p>
        </w:tc>
        <w:tc>
          <w:tcPr>
            <w:tcW w:w="3366" w:type="pct"/>
            <w:tcBorders>
              <w:top w:val="single" w:sz="4" w:space="0" w:color="auto"/>
              <w:left w:val="single" w:sz="4" w:space="0" w:color="auto"/>
              <w:bottom w:val="single" w:sz="4" w:space="0" w:color="auto"/>
              <w:right w:val="single" w:sz="4" w:space="0" w:color="auto"/>
            </w:tcBorders>
          </w:tcPr>
          <w:p w14:paraId="1BA886E1" w14:textId="7A38FECE" w:rsidR="001F04FD" w:rsidRDefault="001F04FD" w:rsidP="00AD486D">
            <w:pPr>
              <w:pStyle w:val="TableBody"/>
            </w:pPr>
            <w:r>
              <w:rPr>
                <w:i/>
              </w:rPr>
              <w:t>High Sustained Limit</w:t>
            </w:r>
            <w:r>
              <w:t>—The HSL of a Generation Resource as defined in Section 2, Definitions</w:t>
            </w:r>
            <w:r w:rsidR="00AD486D">
              <w:t xml:space="preserve"> and Acronyms</w:t>
            </w:r>
            <w:r>
              <w:t xml:space="preserve">, for the hour that includes the Settlement Interval </w:t>
            </w:r>
            <w:r w:rsidRPr="00D661BC">
              <w:rPr>
                <w:i/>
              </w:rPr>
              <w:t>i</w:t>
            </w:r>
            <w:r>
              <w:t xml:space="preserve">.  Where for a combined cycle resource, </w:t>
            </w:r>
            <w:r w:rsidRPr="00590ADB">
              <w:rPr>
                <w:i/>
              </w:rPr>
              <w:t>r</w:t>
            </w:r>
            <w:r>
              <w:t xml:space="preserve"> is a Combined Cycle Generation Resource.</w:t>
            </w:r>
          </w:p>
        </w:tc>
      </w:tr>
      <w:tr w:rsidR="001F04FD" w14:paraId="2F13F767" w14:textId="77777777" w:rsidTr="00AC4DEE">
        <w:trPr>
          <w:cantSplit/>
        </w:trPr>
        <w:tc>
          <w:tcPr>
            <w:tcW w:w="1016" w:type="pct"/>
          </w:tcPr>
          <w:p w14:paraId="7FE16D4C" w14:textId="77777777" w:rsidR="001F04FD" w:rsidRPr="0072643D" w:rsidRDefault="001F04FD" w:rsidP="00AC4DEE">
            <w:pPr>
              <w:pStyle w:val="TableBody"/>
              <w:rPr>
                <w:i/>
              </w:rPr>
            </w:pPr>
            <w:r w:rsidRPr="00D661BC">
              <w:rPr>
                <w:i/>
              </w:rPr>
              <w:t>q</w:t>
            </w:r>
          </w:p>
        </w:tc>
        <w:tc>
          <w:tcPr>
            <w:tcW w:w="618" w:type="pct"/>
          </w:tcPr>
          <w:p w14:paraId="062AFD44" w14:textId="77777777" w:rsidR="001F04FD" w:rsidRDefault="001F04FD" w:rsidP="00AC4DEE">
            <w:pPr>
              <w:pStyle w:val="TableBody"/>
            </w:pPr>
            <w:r>
              <w:t>none</w:t>
            </w:r>
          </w:p>
        </w:tc>
        <w:tc>
          <w:tcPr>
            <w:tcW w:w="3366" w:type="pct"/>
          </w:tcPr>
          <w:p w14:paraId="3A42C889" w14:textId="77777777" w:rsidR="001F04FD" w:rsidRDefault="001F04FD" w:rsidP="00AC4DEE">
            <w:pPr>
              <w:pStyle w:val="TableBody"/>
            </w:pPr>
            <w:r>
              <w:t>A QSE.</w:t>
            </w:r>
          </w:p>
        </w:tc>
      </w:tr>
      <w:tr w:rsidR="001F04FD" w14:paraId="76617C63" w14:textId="77777777" w:rsidTr="00AC4DEE">
        <w:trPr>
          <w:cantSplit/>
        </w:trPr>
        <w:tc>
          <w:tcPr>
            <w:tcW w:w="1016" w:type="pct"/>
          </w:tcPr>
          <w:p w14:paraId="2C06F6C5" w14:textId="77777777" w:rsidR="001F04FD" w:rsidRPr="0072643D" w:rsidRDefault="001F04FD" w:rsidP="00AC4DEE">
            <w:pPr>
              <w:pStyle w:val="TableBody"/>
              <w:rPr>
                <w:i/>
              </w:rPr>
            </w:pPr>
            <w:r w:rsidRPr="00D661BC">
              <w:rPr>
                <w:i/>
              </w:rPr>
              <w:t>r</w:t>
            </w:r>
          </w:p>
        </w:tc>
        <w:tc>
          <w:tcPr>
            <w:tcW w:w="618" w:type="pct"/>
          </w:tcPr>
          <w:p w14:paraId="2235C0EE" w14:textId="77777777" w:rsidR="001F04FD" w:rsidRDefault="001F04FD" w:rsidP="00AC4DEE">
            <w:pPr>
              <w:pStyle w:val="TableBody"/>
            </w:pPr>
            <w:r>
              <w:t>none</w:t>
            </w:r>
          </w:p>
        </w:tc>
        <w:tc>
          <w:tcPr>
            <w:tcW w:w="3366" w:type="pct"/>
          </w:tcPr>
          <w:p w14:paraId="03372A61" w14:textId="77777777" w:rsidR="001F04FD" w:rsidRDefault="001F04FD" w:rsidP="00AC4DEE">
            <w:pPr>
              <w:pStyle w:val="TableBody"/>
            </w:pPr>
            <w:r>
              <w:t>A Generation Resource.</w:t>
            </w:r>
          </w:p>
        </w:tc>
      </w:tr>
    </w:tbl>
    <w:p w14:paraId="14EDE82B" w14:textId="77777777" w:rsidR="001F04FD" w:rsidRDefault="001F04FD" w:rsidP="001F04FD">
      <w:pPr>
        <w:pStyle w:val="BodyTextNumbered"/>
        <w:spacing w:after="0"/>
      </w:pPr>
    </w:p>
    <w:p w14:paraId="05F069F4" w14:textId="79598A68" w:rsidR="001F04FD" w:rsidRDefault="001F04FD" w:rsidP="001F04FD">
      <w:pPr>
        <w:pStyle w:val="BodyTextNumbered"/>
      </w:pPr>
      <w:r>
        <w:t>(3)</w:t>
      </w:r>
      <w:r>
        <w:tab/>
        <w:t xml:space="preserve">The total additional compensation to each QSE for </w:t>
      </w:r>
      <w:r w:rsidR="00AD486D">
        <w:t>VSS</w:t>
      </w:r>
      <w:r>
        <w:t xml:space="preserve"> for the 15-minute Settlement Interval is calculated as follows:</w:t>
      </w:r>
    </w:p>
    <w:p w14:paraId="731D6F2F" w14:textId="77777777" w:rsidR="001F04FD" w:rsidRDefault="001F04FD" w:rsidP="001F04FD">
      <w:pPr>
        <w:pStyle w:val="BodyTextNumbered"/>
        <w:ind w:firstLine="0"/>
        <w:rPr>
          <w:rFonts w:ascii="Times New Roman Bold" w:hAnsi="Times New Roman Bold"/>
          <w:i/>
          <w:szCs w:val="24"/>
          <w:vertAlign w:val="subscript"/>
        </w:rPr>
      </w:pPr>
      <w:r>
        <w:rPr>
          <w:b/>
        </w:rPr>
        <w:lastRenderedPageBreak/>
        <w:t>VSSVARAMTQSETOT</w:t>
      </w:r>
      <w:r>
        <w:rPr>
          <w:rFonts w:ascii="Times New Roman Bold" w:hAnsi="Times New Roman Bold"/>
          <w:b/>
          <w:szCs w:val="24"/>
          <w:vertAlign w:val="subscript"/>
        </w:rPr>
        <w:t>q</w:t>
      </w:r>
      <w:r>
        <w:rPr>
          <w:b/>
        </w:rPr>
        <w:t xml:space="preserve"> =  </w:t>
      </w:r>
      <w:r w:rsidRPr="006F784F">
        <w:rPr>
          <w:position w:val="-28"/>
        </w:rPr>
        <w:object w:dxaOrig="465" w:dyaOrig="675" w14:anchorId="10CB684E">
          <v:shape id="_x0000_i1227" type="#_x0000_t75" style="width:24pt;height:36.6pt" o:ole="">
            <v:imagedata r:id="rId279" o:title=""/>
          </v:shape>
          <o:OLEObject Type="Embed" ProgID="Equation.3" ShapeID="_x0000_i1227" DrawAspect="Content" ObjectID="_1804653711" r:id="rId280"/>
        </w:object>
      </w:r>
      <w:r>
        <w:rPr>
          <w:b/>
        </w:rPr>
        <w:t xml:space="preserve"> VSSVARAMT</w:t>
      </w:r>
      <w:r>
        <w:rPr>
          <w:rFonts w:ascii="Times New Roman Bold" w:hAnsi="Times New Roman Bold"/>
          <w:i/>
          <w:szCs w:val="24"/>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1F04FD" w14:paraId="7A8CC0F7" w14:textId="77777777" w:rsidTr="00AC4DEE">
        <w:trPr>
          <w:cantSplit/>
          <w:tblHeader/>
        </w:trPr>
        <w:tc>
          <w:tcPr>
            <w:tcW w:w="1231" w:type="pct"/>
          </w:tcPr>
          <w:p w14:paraId="4B3F4B18" w14:textId="77777777" w:rsidR="001F04FD" w:rsidRDefault="001F04FD" w:rsidP="00AC4DEE">
            <w:pPr>
              <w:pStyle w:val="TableHead"/>
            </w:pPr>
            <w:r>
              <w:t>Variable</w:t>
            </w:r>
          </w:p>
        </w:tc>
        <w:tc>
          <w:tcPr>
            <w:tcW w:w="474" w:type="pct"/>
          </w:tcPr>
          <w:p w14:paraId="5630BCA5" w14:textId="77777777" w:rsidR="001F04FD" w:rsidRDefault="001F04FD" w:rsidP="00AC4DEE">
            <w:pPr>
              <w:pStyle w:val="TableHead"/>
            </w:pPr>
            <w:r>
              <w:t>Unit</w:t>
            </w:r>
          </w:p>
        </w:tc>
        <w:tc>
          <w:tcPr>
            <w:tcW w:w="3295" w:type="pct"/>
          </w:tcPr>
          <w:p w14:paraId="26C1F97C" w14:textId="77777777" w:rsidR="001F04FD" w:rsidRDefault="001F04FD" w:rsidP="00AC4DEE">
            <w:pPr>
              <w:pStyle w:val="TableHead"/>
            </w:pPr>
            <w:r>
              <w:t>Definition</w:t>
            </w:r>
          </w:p>
        </w:tc>
      </w:tr>
      <w:tr w:rsidR="001F04FD" w14:paraId="0222A613" w14:textId="77777777" w:rsidTr="00AC4DEE">
        <w:trPr>
          <w:cantSplit/>
        </w:trPr>
        <w:tc>
          <w:tcPr>
            <w:tcW w:w="1231" w:type="pct"/>
          </w:tcPr>
          <w:p w14:paraId="04D3C968" w14:textId="77777777" w:rsidR="001F04FD" w:rsidRDefault="001F04FD" w:rsidP="00AC4DEE">
            <w:pPr>
              <w:pStyle w:val="TableBody"/>
            </w:pPr>
            <w:r>
              <w:t xml:space="preserve">VSSVARAMT </w:t>
            </w:r>
            <w:r w:rsidRPr="00E15B17">
              <w:rPr>
                <w:i/>
                <w:vertAlign w:val="subscript"/>
              </w:rPr>
              <w:t>q, r</w:t>
            </w:r>
          </w:p>
        </w:tc>
        <w:tc>
          <w:tcPr>
            <w:tcW w:w="474" w:type="pct"/>
          </w:tcPr>
          <w:p w14:paraId="4BE2500E" w14:textId="77777777" w:rsidR="001F04FD" w:rsidRDefault="001F04FD" w:rsidP="00AC4DEE">
            <w:pPr>
              <w:pStyle w:val="TableBody"/>
            </w:pPr>
            <w:r>
              <w:t>$</w:t>
            </w:r>
          </w:p>
        </w:tc>
        <w:tc>
          <w:tcPr>
            <w:tcW w:w="3295" w:type="pct"/>
          </w:tcPr>
          <w:p w14:paraId="4426088B" w14:textId="77777777" w:rsidR="001F04FD" w:rsidRDefault="001F04FD" w:rsidP="00AC4DEE">
            <w:pPr>
              <w:pStyle w:val="TableBody"/>
            </w:pPr>
            <w:r>
              <w:rPr>
                <w:i/>
              </w:rPr>
              <w:t>Voltage Support Service VAr Amount per QSE per Generation Resource</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590ADB">
              <w:rPr>
                <w:i/>
              </w:rPr>
              <w:t>r</w:t>
            </w:r>
            <w:r>
              <w:t xml:space="preserve"> is a Combined Cycle Train.</w:t>
            </w:r>
          </w:p>
        </w:tc>
      </w:tr>
      <w:tr w:rsidR="001F04FD" w14:paraId="42306CAF" w14:textId="77777777" w:rsidTr="00AC4DEE">
        <w:trPr>
          <w:cantSplit/>
        </w:trPr>
        <w:tc>
          <w:tcPr>
            <w:tcW w:w="1231" w:type="pct"/>
          </w:tcPr>
          <w:p w14:paraId="0649D7C2" w14:textId="77777777" w:rsidR="001F04FD" w:rsidRDefault="001F04FD" w:rsidP="00AC4DEE">
            <w:pPr>
              <w:pStyle w:val="TableBody"/>
            </w:pPr>
            <w:r>
              <w:t xml:space="preserve">VSSVARAMTQSETOT </w:t>
            </w:r>
            <w:r w:rsidRPr="00E15B17">
              <w:rPr>
                <w:i/>
                <w:vertAlign w:val="subscript"/>
              </w:rPr>
              <w:t>q</w:t>
            </w:r>
          </w:p>
        </w:tc>
        <w:tc>
          <w:tcPr>
            <w:tcW w:w="474" w:type="pct"/>
          </w:tcPr>
          <w:p w14:paraId="59E6F170" w14:textId="77777777" w:rsidR="001F04FD" w:rsidRDefault="001F04FD" w:rsidP="00AC4DEE">
            <w:pPr>
              <w:pStyle w:val="TableBody"/>
              <w:rPr>
                <w:i/>
              </w:rPr>
            </w:pPr>
            <w:r>
              <w:t>$</w:t>
            </w:r>
          </w:p>
        </w:tc>
        <w:tc>
          <w:tcPr>
            <w:tcW w:w="3295" w:type="pct"/>
          </w:tcPr>
          <w:p w14:paraId="0BC93CDC" w14:textId="0966A15E" w:rsidR="001F04FD" w:rsidRDefault="001F04FD" w:rsidP="00AD486D">
            <w:pPr>
              <w:pStyle w:val="TableBody"/>
            </w:pPr>
            <w:r>
              <w:rPr>
                <w:i/>
              </w:rPr>
              <w:t>Voltage Support VAr Amount QSE total per QSE</w:t>
            </w:r>
            <w:r>
              <w:t xml:space="preserve">—The total of the payments to QSE </w:t>
            </w:r>
            <w:r>
              <w:rPr>
                <w:i/>
              </w:rPr>
              <w:t>q</w:t>
            </w:r>
            <w:r>
              <w:t xml:space="preserve"> as compensation for VSS by this QSE for the 15-minute </w:t>
            </w:r>
            <w:r w:rsidR="00AD486D">
              <w:t>S</w:t>
            </w:r>
            <w:r>
              <w:t xml:space="preserve">ettlement </w:t>
            </w:r>
            <w:r w:rsidR="00AD486D">
              <w:t>I</w:t>
            </w:r>
            <w:r>
              <w:t>nterval.</w:t>
            </w:r>
          </w:p>
        </w:tc>
      </w:tr>
      <w:tr w:rsidR="001F04FD" w14:paraId="25D78535"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6C64838" w14:textId="77777777" w:rsidR="001F04FD" w:rsidRPr="0072643D" w:rsidRDefault="001F04FD" w:rsidP="00AC4DEE">
            <w:pPr>
              <w:pStyle w:val="TableBody"/>
              <w:rPr>
                <w:i/>
              </w:rPr>
            </w:pPr>
            <w:r w:rsidRPr="00D661BC">
              <w:rPr>
                <w:i/>
              </w:rPr>
              <w:t>q</w:t>
            </w:r>
          </w:p>
        </w:tc>
        <w:tc>
          <w:tcPr>
            <w:tcW w:w="474" w:type="pct"/>
            <w:tcBorders>
              <w:top w:val="single" w:sz="4" w:space="0" w:color="auto"/>
              <w:left w:val="single" w:sz="4" w:space="0" w:color="auto"/>
              <w:bottom w:val="single" w:sz="4" w:space="0" w:color="auto"/>
              <w:right w:val="single" w:sz="4" w:space="0" w:color="auto"/>
            </w:tcBorders>
          </w:tcPr>
          <w:p w14:paraId="0FCD7399"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7D87398" w14:textId="77777777" w:rsidR="001F04FD" w:rsidRDefault="001F04FD" w:rsidP="00AC4DEE">
            <w:pPr>
              <w:pStyle w:val="TableBody"/>
            </w:pPr>
            <w:r>
              <w:t>A QSE.</w:t>
            </w:r>
          </w:p>
        </w:tc>
      </w:tr>
      <w:tr w:rsidR="001F04FD" w14:paraId="33D58E7C"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81E06D0" w14:textId="77777777" w:rsidR="001F04FD" w:rsidRPr="0072643D" w:rsidRDefault="001F04FD" w:rsidP="00AC4DEE">
            <w:pPr>
              <w:pStyle w:val="TableBody"/>
              <w:rPr>
                <w:i/>
              </w:rPr>
            </w:pPr>
            <w:r w:rsidRPr="00D661BC">
              <w:rPr>
                <w:i/>
              </w:rPr>
              <w:t>r</w:t>
            </w:r>
          </w:p>
        </w:tc>
        <w:tc>
          <w:tcPr>
            <w:tcW w:w="474" w:type="pct"/>
            <w:tcBorders>
              <w:top w:val="single" w:sz="4" w:space="0" w:color="auto"/>
              <w:left w:val="single" w:sz="4" w:space="0" w:color="auto"/>
              <w:bottom w:val="single" w:sz="4" w:space="0" w:color="auto"/>
              <w:right w:val="single" w:sz="4" w:space="0" w:color="auto"/>
            </w:tcBorders>
          </w:tcPr>
          <w:p w14:paraId="12F83B1F"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800DAC5" w14:textId="77777777" w:rsidR="001F04FD" w:rsidRDefault="001F04FD" w:rsidP="00AC4DEE">
            <w:pPr>
              <w:pStyle w:val="TableBody"/>
            </w:pPr>
            <w:r>
              <w:t>A Generation Resource.</w:t>
            </w:r>
          </w:p>
        </w:tc>
      </w:tr>
    </w:tbl>
    <w:p w14:paraId="22C7F980" w14:textId="77777777" w:rsidR="001F04FD" w:rsidRDefault="001F04FD" w:rsidP="001F04FD"/>
    <w:p w14:paraId="6CBB5DCB" w14:textId="77777777" w:rsidR="001F04FD" w:rsidRDefault="001F04FD" w:rsidP="001F04FD">
      <w:pPr>
        <w:pStyle w:val="BodyTextNumbered"/>
      </w:pPr>
      <w:r>
        <w:t>(4)</w:t>
      </w:r>
      <w:r>
        <w:tab/>
        <w:t>The lost opportunity payment, if applicable:</w:t>
      </w:r>
    </w:p>
    <w:p w14:paraId="6B0A1AB9" w14:textId="6840965F" w:rsidR="001F04FD" w:rsidRDefault="001F04FD" w:rsidP="001F04FD">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r w:rsidR="005911C2">
        <w:rPr>
          <w:lang w:val="pt-BR"/>
        </w:rPr>
        <w:t>(</w:t>
      </w:r>
      <w:r>
        <w:rPr>
          <w:lang w:val="pt-BR"/>
        </w:rPr>
        <w:t>RTSPP</w:t>
      </w:r>
      <w:r>
        <w:rPr>
          <w:rFonts w:ascii="Times New Roman Bold" w:hAnsi="Times New Roman Bold"/>
          <w:vertAlign w:val="subscript"/>
          <w:lang w:val="pt-BR"/>
        </w:rPr>
        <w:t xml:space="preserve"> </w:t>
      </w:r>
      <w:r w:rsidRPr="005911C2">
        <w:rPr>
          <w:rFonts w:ascii="Times New Roman Bold" w:hAnsi="Times New Roman Bold"/>
          <w:i/>
          <w:vertAlign w:val="subscript"/>
          <w:lang w:val="pt-BR"/>
        </w:rPr>
        <w:t>p</w:t>
      </w:r>
      <w:r w:rsidR="00E10C1C" w:rsidRPr="009716C5">
        <w:t xml:space="preserve"> </w:t>
      </w:r>
      <w:r w:rsidR="005911C2">
        <w:rPr>
          <w:lang w:val="pt-BR"/>
        </w:rPr>
        <w:t>–</w:t>
      </w:r>
      <w:r w:rsidR="005911C2" w:rsidRPr="009716C5">
        <w:t xml:space="preserve"> RTEOCOST</w:t>
      </w:r>
      <w:r w:rsidR="005911C2">
        <w:t xml:space="preserve"> </w:t>
      </w:r>
      <w:r w:rsidR="005911C2" w:rsidRPr="00F67BF3">
        <w:rPr>
          <w:i/>
          <w:vertAlign w:val="subscript"/>
        </w:rPr>
        <w:t>q, r, i</w:t>
      </w:r>
      <w:r w:rsidR="005911C2" w:rsidRPr="009716C5">
        <w:rPr>
          <w:lang w:val="pt-BR"/>
        </w:rPr>
        <w:t>)</w:t>
      </w:r>
      <w:r w:rsidR="005911C2">
        <w:rPr>
          <w:lang w:val="pt-BR"/>
        </w:rPr>
        <w:t xml:space="preserve"> </w:t>
      </w:r>
      <w:r>
        <w:rPr>
          <w:lang w:val="pt-BR"/>
        </w:rPr>
        <w:t xml:space="preserve">* Max (0, (HSL </w:t>
      </w:r>
      <w:r>
        <w:rPr>
          <w:i/>
          <w:vertAlign w:val="subscript"/>
          <w:lang w:val="pt-BR"/>
        </w:rPr>
        <w:t>q, r</w:t>
      </w:r>
      <w:r>
        <w:rPr>
          <w:lang w:val="pt-BR"/>
        </w:rPr>
        <w:t xml:space="preserve"> * ¼ - RTMG </w:t>
      </w:r>
      <w:r>
        <w:rPr>
          <w:i/>
          <w:vertAlign w:val="subscript"/>
          <w:lang w:val="pt-BR"/>
        </w:rPr>
        <w:t>q, r</w:t>
      </w:r>
      <w:r>
        <w:rPr>
          <w:lang w:val="pt-BR"/>
        </w:rPr>
        <w:t>)))</w:t>
      </w:r>
    </w:p>
    <w:p w14:paraId="5AFABF37" w14:textId="77777777" w:rsidR="001F04FD" w:rsidRDefault="001F04FD" w:rsidP="00BA3F0D">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860"/>
        <w:gridCol w:w="6951"/>
      </w:tblGrid>
      <w:tr w:rsidR="001F04FD" w14:paraId="574AF1AF" w14:textId="77777777" w:rsidTr="00AC4DEE">
        <w:trPr>
          <w:cantSplit/>
          <w:tblHeader/>
        </w:trPr>
        <w:tc>
          <w:tcPr>
            <w:tcW w:w="823" w:type="pct"/>
          </w:tcPr>
          <w:p w14:paraId="608674E6" w14:textId="77777777" w:rsidR="001F04FD" w:rsidRDefault="001F04FD" w:rsidP="00AC4DEE">
            <w:pPr>
              <w:pStyle w:val="TableHead"/>
            </w:pPr>
            <w:r>
              <w:t>Variable</w:t>
            </w:r>
          </w:p>
        </w:tc>
        <w:tc>
          <w:tcPr>
            <w:tcW w:w="460" w:type="pct"/>
          </w:tcPr>
          <w:p w14:paraId="213F862E" w14:textId="77777777" w:rsidR="001F04FD" w:rsidRDefault="001F04FD" w:rsidP="00AC4DEE">
            <w:pPr>
              <w:pStyle w:val="TableHead"/>
            </w:pPr>
            <w:r>
              <w:t>Unit</w:t>
            </w:r>
          </w:p>
        </w:tc>
        <w:tc>
          <w:tcPr>
            <w:tcW w:w="3717" w:type="pct"/>
          </w:tcPr>
          <w:p w14:paraId="1D0B5866" w14:textId="77777777" w:rsidR="001F04FD" w:rsidRDefault="001F04FD" w:rsidP="00AC4DEE">
            <w:pPr>
              <w:pStyle w:val="TableHead"/>
            </w:pPr>
            <w:r>
              <w:t>Definition</w:t>
            </w:r>
          </w:p>
        </w:tc>
      </w:tr>
      <w:tr w:rsidR="001F04FD" w14:paraId="260B91A8" w14:textId="77777777" w:rsidTr="00AC4DEE">
        <w:trPr>
          <w:cantSplit/>
        </w:trPr>
        <w:tc>
          <w:tcPr>
            <w:tcW w:w="823" w:type="pct"/>
          </w:tcPr>
          <w:p w14:paraId="71269BFD" w14:textId="77777777" w:rsidR="001F04FD" w:rsidRDefault="001F04FD" w:rsidP="00AC4DEE">
            <w:pPr>
              <w:pStyle w:val="TableBody"/>
            </w:pPr>
            <w:r>
              <w:t xml:space="preserve">VSSEAMT </w:t>
            </w:r>
            <w:r w:rsidRPr="00E15B17">
              <w:rPr>
                <w:i/>
                <w:vertAlign w:val="subscript"/>
              </w:rPr>
              <w:t>q, r</w:t>
            </w:r>
          </w:p>
        </w:tc>
        <w:tc>
          <w:tcPr>
            <w:tcW w:w="460" w:type="pct"/>
          </w:tcPr>
          <w:p w14:paraId="713B3BCF" w14:textId="77777777" w:rsidR="001F04FD" w:rsidRDefault="001F04FD" w:rsidP="00AC4DEE">
            <w:pPr>
              <w:pStyle w:val="TableBody"/>
            </w:pPr>
            <w:r>
              <w:t>$</w:t>
            </w:r>
          </w:p>
        </w:tc>
        <w:tc>
          <w:tcPr>
            <w:tcW w:w="3717" w:type="pct"/>
          </w:tcPr>
          <w:p w14:paraId="08725AA1" w14:textId="77777777" w:rsidR="001F04FD" w:rsidRDefault="001F04FD" w:rsidP="00AC4DE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w:t>
            </w:r>
            <w:r w:rsidRPr="00AD486D">
              <w:rPr>
                <w:i/>
              </w:rPr>
              <w:t xml:space="preserve">r </w:t>
            </w:r>
            <w:r>
              <w:t xml:space="preserve">for the 15-minute Settlement Interval.  Where for a combined cycle resource, </w:t>
            </w:r>
            <w:r w:rsidRPr="00590ADB">
              <w:rPr>
                <w:i/>
              </w:rPr>
              <w:t>r</w:t>
            </w:r>
            <w:r>
              <w:t xml:space="preserve"> is a Combined Cycle Train.</w:t>
            </w:r>
          </w:p>
        </w:tc>
      </w:tr>
      <w:tr w:rsidR="001F04FD" w14:paraId="3F064BEA" w14:textId="77777777" w:rsidTr="00AC4DEE">
        <w:trPr>
          <w:cantSplit/>
        </w:trPr>
        <w:tc>
          <w:tcPr>
            <w:tcW w:w="823" w:type="pct"/>
          </w:tcPr>
          <w:p w14:paraId="24DF923B" w14:textId="77777777" w:rsidR="001F04FD" w:rsidRDefault="001F04FD" w:rsidP="00AC4DEE">
            <w:pPr>
              <w:pStyle w:val="TableBody"/>
            </w:pPr>
            <w:r>
              <w:t xml:space="preserve">RTMG </w:t>
            </w:r>
            <w:r w:rsidRPr="00E15B17">
              <w:rPr>
                <w:i/>
                <w:vertAlign w:val="subscript"/>
              </w:rPr>
              <w:t>q, r</w:t>
            </w:r>
          </w:p>
        </w:tc>
        <w:tc>
          <w:tcPr>
            <w:tcW w:w="460" w:type="pct"/>
          </w:tcPr>
          <w:p w14:paraId="2FF99DC1" w14:textId="77777777" w:rsidR="001F04FD" w:rsidRDefault="001F04FD" w:rsidP="00AC4DEE">
            <w:pPr>
              <w:pStyle w:val="TableBody"/>
            </w:pPr>
            <w:r>
              <w:t>MWh</w:t>
            </w:r>
          </w:p>
        </w:tc>
        <w:tc>
          <w:tcPr>
            <w:tcW w:w="3717" w:type="pct"/>
          </w:tcPr>
          <w:p w14:paraId="1625B10F" w14:textId="77777777" w:rsidR="001F04FD" w:rsidRDefault="001F04FD" w:rsidP="00AC4DEE">
            <w:pPr>
              <w:pStyle w:val="TableBody"/>
              <w:rPr>
                <w:i/>
              </w:rPr>
            </w:pPr>
            <w:r>
              <w:rPr>
                <w:i/>
              </w:rPr>
              <w:t>Real-Time Metered Generation per QSE per Resource</w:t>
            </w:r>
            <w:r>
              <w:t xml:space="preserve">—The Real-Time metered generation of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8D05518" w14:textId="77777777" w:rsidTr="00AC4DEE">
        <w:trPr>
          <w:cantSplit/>
        </w:trPr>
        <w:tc>
          <w:tcPr>
            <w:tcW w:w="823" w:type="pct"/>
          </w:tcPr>
          <w:p w14:paraId="6F9B2413" w14:textId="77777777" w:rsidR="001F04FD" w:rsidRDefault="001F04FD" w:rsidP="00AC4DEE">
            <w:pPr>
              <w:pStyle w:val="TableBody"/>
              <w:rPr>
                <w:vertAlign w:val="subscript"/>
              </w:rPr>
            </w:pPr>
            <w:r>
              <w:t xml:space="preserve">RTSPP </w:t>
            </w:r>
            <w:r w:rsidRPr="00E15B17">
              <w:rPr>
                <w:i/>
                <w:vertAlign w:val="subscript"/>
              </w:rPr>
              <w:t>p</w:t>
            </w:r>
          </w:p>
        </w:tc>
        <w:tc>
          <w:tcPr>
            <w:tcW w:w="460" w:type="pct"/>
          </w:tcPr>
          <w:p w14:paraId="2DC3E577" w14:textId="2497B915" w:rsidR="001F04FD" w:rsidRDefault="001F04FD" w:rsidP="00AC4DEE">
            <w:pPr>
              <w:pStyle w:val="TableBody"/>
            </w:pPr>
            <w:r>
              <w:t>$</w:t>
            </w:r>
            <w:r w:rsidR="000D5541">
              <w:t>/MWh</w:t>
            </w:r>
          </w:p>
        </w:tc>
        <w:tc>
          <w:tcPr>
            <w:tcW w:w="3717" w:type="pct"/>
          </w:tcPr>
          <w:p w14:paraId="4F46C3BF" w14:textId="326669FA" w:rsidR="001F04FD" w:rsidRDefault="001F04FD" w:rsidP="00AC4DEE">
            <w:pPr>
              <w:pStyle w:val="TableBody"/>
              <w:rPr>
                <w:i/>
              </w:rPr>
            </w:pPr>
            <w:r>
              <w:rPr>
                <w:i/>
              </w:rPr>
              <w:t>Real-Time Settlement Point Price</w:t>
            </w:r>
            <w:r>
              <w:t>—The Real-Time S</w:t>
            </w:r>
            <w:r w:rsidR="000D5541">
              <w:t xml:space="preserve">ettlement </w:t>
            </w:r>
            <w:r>
              <w:t>P</w:t>
            </w:r>
            <w:r w:rsidR="000D5541">
              <w:t xml:space="preserve">oint </w:t>
            </w:r>
            <w:r>
              <w:t>P</w:t>
            </w:r>
            <w:r w:rsidR="000D5541">
              <w:t>rice</w:t>
            </w:r>
            <w:r>
              <w:t xml:space="preserve"> at the Resource Node for the 15-minute Settlement Interval.  </w:t>
            </w:r>
          </w:p>
        </w:tc>
      </w:tr>
      <w:tr w:rsidR="005911C2" w14:paraId="106016FE"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14684BA4" w14:textId="42F57FDF" w:rsidR="005911C2" w:rsidRDefault="005911C2" w:rsidP="005911C2">
            <w:pPr>
              <w:pStyle w:val="TableBody"/>
              <w:rPr>
                <w:noProof/>
              </w:rPr>
            </w:pPr>
            <w:r w:rsidRPr="009716C5">
              <w:t>RTEOCOST</w:t>
            </w:r>
            <w:r w:rsidRPr="00F67BF3">
              <w:rPr>
                <w:i/>
              </w:rPr>
              <w:t xml:space="preserve"> </w:t>
            </w:r>
            <w:r w:rsidRPr="00F67BF3">
              <w:rPr>
                <w:i/>
                <w:vertAlign w:val="subscript"/>
              </w:rPr>
              <w:t>q, r, i</w:t>
            </w:r>
          </w:p>
        </w:tc>
        <w:tc>
          <w:tcPr>
            <w:tcW w:w="460" w:type="pct"/>
            <w:tcBorders>
              <w:top w:val="single" w:sz="4" w:space="0" w:color="auto"/>
              <w:left w:val="single" w:sz="4" w:space="0" w:color="auto"/>
              <w:bottom w:val="single" w:sz="4" w:space="0" w:color="auto"/>
              <w:right w:val="single" w:sz="4" w:space="0" w:color="auto"/>
            </w:tcBorders>
          </w:tcPr>
          <w:p w14:paraId="002A9DF6" w14:textId="5F376AC5" w:rsidR="005911C2" w:rsidRDefault="005911C2" w:rsidP="005911C2">
            <w:pPr>
              <w:pStyle w:val="TableBody"/>
            </w:pPr>
            <w:r w:rsidRPr="009716C5">
              <w:t>$/MWh</w:t>
            </w:r>
          </w:p>
        </w:tc>
        <w:tc>
          <w:tcPr>
            <w:tcW w:w="3717" w:type="pct"/>
            <w:tcBorders>
              <w:top w:val="single" w:sz="4" w:space="0" w:color="auto"/>
              <w:left w:val="single" w:sz="4" w:space="0" w:color="auto"/>
              <w:bottom w:val="single" w:sz="4" w:space="0" w:color="auto"/>
              <w:right w:val="single" w:sz="4" w:space="0" w:color="auto"/>
            </w:tcBorders>
          </w:tcPr>
          <w:p w14:paraId="7DFA8F80" w14:textId="68E1AC07" w:rsidR="005911C2" w:rsidRDefault="005911C2" w:rsidP="00AD486D">
            <w:pPr>
              <w:pStyle w:val="TableBody"/>
              <w:rPr>
                <w:i/>
                <w:noProof/>
              </w:rPr>
            </w:pPr>
            <w:r w:rsidRPr="00AD486D">
              <w:rPr>
                <w:i/>
              </w:rPr>
              <w:t>Real-Time Energy Offer Curve Cost</w:t>
            </w:r>
            <w:r w:rsidR="00AD486D">
              <w:t>—</w:t>
            </w:r>
            <w:r w:rsidRPr="009716C5">
              <w:t xml:space="preserve">The Energy Offer Curve Cost for Resource </w:t>
            </w:r>
            <w:r w:rsidRPr="00F67BF3">
              <w:rPr>
                <w:i/>
              </w:rPr>
              <w:t>r</w:t>
            </w:r>
            <w:r w:rsidRPr="009716C5">
              <w:t xml:space="preserve"> represented by QSE </w:t>
            </w:r>
            <w:r w:rsidRPr="00F67BF3">
              <w:rPr>
                <w:i/>
              </w:rPr>
              <w:t>q</w:t>
            </w:r>
            <w:r w:rsidRPr="009716C5">
              <w:t xml:space="preserve">, for the Resource’s generation above the LSL for the Settlement Interval </w:t>
            </w:r>
            <w:r w:rsidRPr="00F67BF3">
              <w:rPr>
                <w:i/>
              </w:rPr>
              <w:t>i</w:t>
            </w:r>
            <w:r w:rsidRPr="009716C5">
              <w:t xml:space="preserve">.  See Section 4.4.9.3.3, Energy Offer Curve Costs.  Where for a Combined Cycle Train, the Resource </w:t>
            </w:r>
            <w:r w:rsidRPr="00F67BF3">
              <w:rPr>
                <w:i/>
              </w:rPr>
              <w:t>r</w:t>
            </w:r>
            <w:r w:rsidRPr="009716C5">
              <w:t xml:space="preserve"> is the Combined Cycle Train.</w:t>
            </w:r>
          </w:p>
        </w:tc>
      </w:tr>
      <w:tr w:rsidR="001F04FD" w14:paraId="386434FB"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9ECE456" w14:textId="77777777" w:rsidR="001F04FD" w:rsidRDefault="001F04FD" w:rsidP="00AC4DEE">
            <w:pPr>
              <w:pStyle w:val="TableBody"/>
            </w:pPr>
            <w:r>
              <w:t xml:space="preserve">HSL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4000A1CA"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734BA775" w14:textId="77777777" w:rsidR="001F04FD" w:rsidRDefault="001F04FD" w:rsidP="00AC4DEE">
            <w:pPr>
              <w:pStyle w:val="TableBody"/>
            </w:pPr>
            <w:r>
              <w:rPr>
                <w:i/>
              </w:rPr>
              <w:t>High Sustained Limit Generation per QSE per Settlement Point per Resource</w:t>
            </w:r>
            <w:r>
              <w:t xml:space="preserve">—The HSL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34C4657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77515639" w14:textId="77777777" w:rsidR="001F04FD" w:rsidRDefault="001F04FD" w:rsidP="00AC4DEE">
            <w:pPr>
              <w:pStyle w:val="TableBody"/>
            </w:pPr>
            <w:r>
              <w:t xml:space="preserve">LSL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0665CF22"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0AC7F9BC" w14:textId="77777777" w:rsidR="001F04FD" w:rsidRDefault="001F04FD" w:rsidP="00AC4DEE">
            <w:pPr>
              <w:pStyle w:val="TableBody"/>
            </w:pPr>
            <w:r>
              <w:rPr>
                <w:i/>
              </w:rPr>
              <w:t>Low Sustained Limit Generation per QSE per Settlement Point per Resource</w:t>
            </w:r>
            <w:r>
              <w:t xml:space="preserve">—The LSL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0494C9A3"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D7604C2" w14:textId="77777777" w:rsidR="001F04FD" w:rsidRPr="0072643D" w:rsidRDefault="001F04FD" w:rsidP="00AC4DEE">
            <w:pPr>
              <w:pStyle w:val="TableBody"/>
              <w:rPr>
                <w:i/>
              </w:rPr>
            </w:pPr>
            <w:r w:rsidRPr="00D661BC">
              <w:rPr>
                <w:i/>
              </w:rPr>
              <w:t>q</w:t>
            </w:r>
          </w:p>
        </w:tc>
        <w:tc>
          <w:tcPr>
            <w:tcW w:w="460" w:type="pct"/>
            <w:tcBorders>
              <w:top w:val="single" w:sz="4" w:space="0" w:color="auto"/>
              <w:left w:val="single" w:sz="4" w:space="0" w:color="auto"/>
              <w:bottom w:val="single" w:sz="4" w:space="0" w:color="auto"/>
              <w:right w:val="single" w:sz="4" w:space="0" w:color="auto"/>
            </w:tcBorders>
          </w:tcPr>
          <w:p w14:paraId="63A187F3"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46E970AF" w14:textId="77777777" w:rsidR="001F04FD" w:rsidRDefault="001F04FD" w:rsidP="00AC4DEE">
            <w:pPr>
              <w:pStyle w:val="TableBody"/>
              <w:rPr>
                <w:i/>
                <w:iCs w:val="0"/>
              </w:rPr>
            </w:pPr>
            <w:r>
              <w:t>A QSE.</w:t>
            </w:r>
          </w:p>
        </w:tc>
      </w:tr>
      <w:tr w:rsidR="001F04FD" w14:paraId="70CD51D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5B082072" w14:textId="77777777" w:rsidR="001F04FD" w:rsidRPr="0072643D" w:rsidRDefault="001F04FD" w:rsidP="00AC4DEE">
            <w:pPr>
              <w:pStyle w:val="TableBody"/>
              <w:rPr>
                <w:i/>
              </w:rPr>
            </w:pPr>
            <w:r w:rsidRPr="00D661BC">
              <w:rPr>
                <w:i/>
              </w:rPr>
              <w:t>r</w:t>
            </w:r>
          </w:p>
        </w:tc>
        <w:tc>
          <w:tcPr>
            <w:tcW w:w="460" w:type="pct"/>
            <w:tcBorders>
              <w:top w:val="single" w:sz="4" w:space="0" w:color="auto"/>
              <w:left w:val="single" w:sz="4" w:space="0" w:color="auto"/>
              <w:bottom w:val="single" w:sz="4" w:space="0" w:color="auto"/>
              <w:right w:val="single" w:sz="4" w:space="0" w:color="auto"/>
            </w:tcBorders>
          </w:tcPr>
          <w:p w14:paraId="61D19206"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3FDBDD80" w14:textId="77777777" w:rsidR="001F04FD" w:rsidRDefault="001F04FD" w:rsidP="00AC4DEE">
            <w:pPr>
              <w:pStyle w:val="TableBody"/>
              <w:rPr>
                <w:i/>
                <w:iCs w:val="0"/>
              </w:rPr>
            </w:pPr>
            <w:r>
              <w:t>A Generation Resource.</w:t>
            </w:r>
          </w:p>
        </w:tc>
      </w:tr>
      <w:tr w:rsidR="001F04FD" w14:paraId="6EBA0532"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0FCA6760" w14:textId="77777777" w:rsidR="001F04FD" w:rsidRPr="0072643D" w:rsidRDefault="001F04FD" w:rsidP="00AC4DEE">
            <w:pPr>
              <w:pStyle w:val="TableBody"/>
              <w:rPr>
                <w:i/>
              </w:rPr>
            </w:pPr>
            <w:r w:rsidRPr="00D661BC">
              <w:rPr>
                <w:i/>
              </w:rPr>
              <w:t>p</w:t>
            </w:r>
          </w:p>
        </w:tc>
        <w:tc>
          <w:tcPr>
            <w:tcW w:w="460" w:type="pct"/>
            <w:tcBorders>
              <w:top w:val="single" w:sz="4" w:space="0" w:color="auto"/>
              <w:left w:val="single" w:sz="4" w:space="0" w:color="auto"/>
              <w:bottom w:val="single" w:sz="4" w:space="0" w:color="auto"/>
              <w:right w:val="single" w:sz="4" w:space="0" w:color="auto"/>
            </w:tcBorders>
          </w:tcPr>
          <w:p w14:paraId="62EC8A7D"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2789DB97" w14:textId="77777777" w:rsidR="001F04FD" w:rsidRDefault="001F04FD" w:rsidP="00AC4DEE">
            <w:pPr>
              <w:pStyle w:val="TableBody"/>
            </w:pPr>
            <w:r>
              <w:t>A Resource Node Settlement Point.</w:t>
            </w:r>
          </w:p>
        </w:tc>
      </w:tr>
    </w:tbl>
    <w:p w14:paraId="71664B18" w14:textId="77777777" w:rsidR="001F04FD" w:rsidRDefault="001F04FD" w:rsidP="001F04FD">
      <w:pPr>
        <w:pStyle w:val="BodyTextNumbered"/>
        <w:spacing w:after="0"/>
      </w:pPr>
    </w:p>
    <w:p w14:paraId="7C5BC257" w14:textId="77777777" w:rsidR="001F04FD" w:rsidRDefault="001F04FD" w:rsidP="001F04FD">
      <w:pPr>
        <w:pStyle w:val="BodyTextNumbered"/>
      </w:pPr>
      <w:bookmarkStart w:id="2423" w:name="_Toc109009414"/>
      <w:bookmarkStart w:id="2424" w:name="_Toc87951810"/>
      <w:r>
        <w:lastRenderedPageBreak/>
        <w:t>(5)</w:t>
      </w:r>
      <w:r>
        <w:tab/>
        <w:t>The total of the payments to each QSE for ERCOT-directed power reduction to provide VSS for a given 15-minute Settlement Interval is calculated as follows:</w:t>
      </w:r>
    </w:p>
    <w:p w14:paraId="673B6FBA" w14:textId="26345DCE" w:rsidR="001F04FD" w:rsidRDefault="001F04FD" w:rsidP="001F04FD">
      <w:pPr>
        <w:pStyle w:val="FormulaBold"/>
      </w:pPr>
      <w:r>
        <w:t xml:space="preserve">VSSEAMTQSETOT </w:t>
      </w:r>
      <w:r>
        <w:rPr>
          <w:i/>
          <w:vertAlign w:val="subscript"/>
        </w:rPr>
        <w:t>q</w:t>
      </w:r>
      <w:r>
        <w:tab/>
        <w:t>=</w:t>
      </w:r>
      <w:r>
        <w:tab/>
      </w:r>
      <w:r w:rsidRPr="006F784F">
        <w:rPr>
          <w:position w:val="-28"/>
        </w:rPr>
        <w:object w:dxaOrig="465" w:dyaOrig="675" w14:anchorId="666D20F2">
          <v:shape id="_x0000_i1228" type="#_x0000_t75" style="width:24pt;height:36.6pt" o:ole="">
            <v:imagedata r:id="rId279" o:title=""/>
          </v:shape>
          <o:OLEObject Type="Embed" ProgID="Equation.3" ShapeID="_x0000_i1228" DrawAspect="Content" ObjectID="_1804653712" r:id="rId281"/>
        </w:object>
      </w:r>
      <w:r>
        <w:t xml:space="preserve">VSSEAMT </w:t>
      </w:r>
      <w:r>
        <w:rPr>
          <w:i/>
          <w:vertAlign w:val="subscript"/>
        </w:rPr>
        <w:t>q</w:t>
      </w:r>
      <w:r>
        <w:rPr>
          <w:b w:val="0"/>
          <w:i/>
          <w:vertAlign w:val="subscript"/>
        </w:rPr>
        <w:t>,</w:t>
      </w:r>
      <w:r w:rsidR="00AD486D">
        <w:rPr>
          <w:b w:val="0"/>
          <w:i/>
          <w:vertAlign w:val="subscript"/>
        </w:rPr>
        <w:t xml:space="preserve"> </w:t>
      </w:r>
      <w:r w:rsidRPr="00AD486D">
        <w:rPr>
          <w:b w:val="0"/>
          <w:i/>
          <w:vertAlign w:val="subscript"/>
        </w:rPr>
        <w:t>r</w:t>
      </w:r>
    </w:p>
    <w:p w14:paraId="6E3A109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1F04FD" w14:paraId="62129FDD" w14:textId="77777777" w:rsidTr="00AC4DEE">
        <w:trPr>
          <w:cantSplit/>
          <w:tblHeader/>
        </w:trPr>
        <w:tc>
          <w:tcPr>
            <w:tcW w:w="1193" w:type="pct"/>
          </w:tcPr>
          <w:p w14:paraId="449BE293" w14:textId="77777777" w:rsidR="001F04FD" w:rsidRDefault="001F04FD" w:rsidP="00AC4DEE">
            <w:pPr>
              <w:pStyle w:val="TableHead"/>
            </w:pPr>
            <w:r>
              <w:t>Variable</w:t>
            </w:r>
          </w:p>
        </w:tc>
        <w:tc>
          <w:tcPr>
            <w:tcW w:w="459" w:type="pct"/>
          </w:tcPr>
          <w:p w14:paraId="2B4FFA58" w14:textId="77777777" w:rsidR="001F04FD" w:rsidRDefault="001F04FD" w:rsidP="00AC4DEE">
            <w:pPr>
              <w:pStyle w:val="TableHead"/>
            </w:pPr>
            <w:r>
              <w:t>Unit</w:t>
            </w:r>
          </w:p>
        </w:tc>
        <w:tc>
          <w:tcPr>
            <w:tcW w:w="3348" w:type="pct"/>
          </w:tcPr>
          <w:p w14:paraId="3643CCC0" w14:textId="77777777" w:rsidR="001F04FD" w:rsidRDefault="001F04FD" w:rsidP="00AC4DEE">
            <w:pPr>
              <w:pStyle w:val="TableHead"/>
            </w:pPr>
            <w:r>
              <w:t>Definition</w:t>
            </w:r>
          </w:p>
        </w:tc>
      </w:tr>
      <w:tr w:rsidR="001F04FD" w14:paraId="0D04CF52" w14:textId="77777777" w:rsidTr="00AC4DEE">
        <w:trPr>
          <w:cantSplit/>
        </w:trPr>
        <w:tc>
          <w:tcPr>
            <w:tcW w:w="1193" w:type="pct"/>
          </w:tcPr>
          <w:p w14:paraId="7F8BD160" w14:textId="77777777" w:rsidR="001F04FD" w:rsidRDefault="001F04FD" w:rsidP="00AC4DEE">
            <w:pPr>
              <w:pStyle w:val="TableBody"/>
            </w:pPr>
            <w:r>
              <w:t xml:space="preserve">VSSEAMTQSETOT </w:t>
            </w:r>
            <w:r w:rsidRPr="00E15B17">
              <w:rPr>
                <w:i/>
                <w:vertAlign w:val="subscript"/>
              </w:rPr>
              <w:t>q</w:t>
            </w:r>
          </w:p>
        </w:tc>
        <w:tc>
          <w:tcPr>
            <w:tcW w:w="459" w:type="pct"/>
          </w:tcPr>
          <w:p w14:paraId="31EC45E3" w14:textId="77777777" w:rsidR="001F04FD" w:rsidRDefault="001F04FD" w:rsidP="00AC4DEE">
            <w:pPr>
              <w:pStyle w:val="TableBody"/>
            </w:pPr>
            <w:r>
              <w:t>$</w:t>
            </w:r>
          </w:p>
        </w:tc>
        <w:tc>
          <w:tcPr>
            <w:tcW w:w="3348" w:type="pct"/>
          </w:tcPr>
          <w:p w14:paraId="5041F29A" w14:textId="77777777" w:rsidR="001F04FD" w:rsidRDefault="001F04FD" w:rsidP="00AC4DEE">
            <w:pPr>
              <w:pStyle w:val="TableBody"/>
            </w:pPr>
            <w:r>
              <w:rPr>
                <w:i/>
              </w:rPr>
              <w:t>Voltage Support Service Lost Opportunity Amount QSE Total per QSE</w:t>
            </w:r>
            <w:r>
              <w:sym w:font="Symbol" w:char="F0BE"/>
            </w:r>
            <w:r>
              <w:t xml:space="preserve">The total of the lost opportunity payments to QSE </w:t>
            </w:r>
            <w:r>
              <w:rPr>
                <w:i/>
              </w:rPr>
              <w:t>q</w:t>
            </w:r>
            <w:r>
              <w:t xml:space="preserve"> for providing VSS for providing ERCOT-directed VSS for the 15-minute Settlement Interval.</w:t>
            </w:r>
          </w:p>
        </w:tc>
      </w:tr>
      <w:tr w:rsidR="001F04FD" w14:paraId="7CBB4818" w14:textId="77777777" w:rsidTr="00AC4DEE">
        <w:trPr>
          <w:cantSplit/>
        </w:trPr>
        <w:tc>
          <w:tcPr>
            <w:tcW w:w="1193" w:type="pct"/>
          </w:tcPr>
          <w:p w14:paraId="0C923A4F" w14:textId="77777777" w:rsidR="001F04FD" w:rsidRDefault="001F04FD" w:rsidP="00AC4DEE">
            <w:pPr>
              <w:pStyle w:val="TableBody"/>
            </w:pPr>
            <w:r>
              <w:t xml:space="preserve">VSSEAMT </w:t>
            </w:r>
            <w:r w:rsidRPr="00E15B17">
              <w:rPr>
                <w:i/>
                <w:vertAlign w:val="subscript"/>
              </w:rPr>
              <w:t>q, r</w:t>
            </w:r>
          </w:p>
        </w:tc>
        <w:tc>
          <w:tcPr>
            <w:tcW w:w="459" w:type="pct"/>
          </w:tcPr>
          <w:p w14:paraId="60D3A10B" w14:textId="77777777" w:rsidR="001F04FD" w:rsidRDefault="001F04FD" w:rsidP="00AC4DEE">
            <w:pPr>
              <w:pStyle w:val="TableBody"/>
            </w:pPr>
            <w:r>
              <w:t>$</w:t>
            </w:r>
          </w:p>
        </w:tc>
        <w:tc>
          <w:tcPr>
            <w:tcW w:w="3348" w:type="pct"/>
          </w:tcPr>
          <w:p w14:paraId="31D6139D" w14:textId="77777777" w:rsidR="001F04FD" w:rsidRDefault="001F04FD" w:rsidP="00AC4DEE">
            <w:pPr>
              <w:pStyle w:val="TableBody"/>
            </w:pPr>
            <w:r>
              <w:rPr>
                <w:i/>
              </w:rPr>
              <w:t>Voltage Support Service Energy Amount per QSE per Settlement Point per Generation Resource</w:t>
            </w:r>
            <w:r>
              <w:t xml:space="preserve">—The lost opportunity payment to QSE </w:t>
            </w:r>
            <w:r>
              <w:rPr>
                <w:i/>
              </w:rPr>
              <w:t>q</w:t>
            </w:r>
            <w:r>
              <w:t xml:space="preserve"> for ERCOT-directed VSS from Generation Resource </w:t>
            </w:r>
            <w:r w:rsidRPr="00D661BC">
              <w:rPr>
                <w:i/>
              </w:rPr>
              <w:t>r</w:t>
            </w:r>
            <w:r>
              <w:t xml:space="preserve"> for the 15-minute Settlement Interval for the 15-minute Settlement Interval.  Where for a combined cycle resource, </w:t>
            </w:r>
            <w:r w:rsidRPr="00590ADB">
              <w:rPr>
                <w:i/>
              </w:rPr>
              <w:t>r</w:t>
            </w:r>
            <w:r>
              <w:t xml:space="preserve"> is a Combined Cycle Train.</w:t>
            </w:r>
          </w:p>
        </w:tc>
      </w:tr>
      <w:tr w:rsidR="001F04FD" w14:paraId="3D4E0C92"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37C9CDA9" w14:textId="77777777" w:rsidR="001F04FD" w:rsidRPr="0072643D" w:rsidRDefault="001F04FD" w:rsidP="00AC4DEE">
            <w:pPr>
              <w:pStyle w:val="TableBody"/>
              <w:rPr>
                <w:i/>
              </w:rPr>
            </w:pPr>
            <w:r w:rsidRPr="00D661BC">
              <w:rPr>
                <w:i/>
              </w:rPr>
              <w:t>q</w:t>
            </w:r>
          </w:p>
        </w:tc>
        <w:tc>
          <w:tcPr>
            <w:tcW w:w="459" w:type="pct"/>
            <w:tcBorders>
              <w:top w:val="single" w:sz="4" w:space="0" w:color="auto"/>
              <w:left w:val="single" w:sz="4" w:space="0" w:color="auto"/>
              <w:bottom w:val="single" w:sz="4" w:space="0" w:color="auto"/>
              <w:right w:val="single" w:sz="4" w:space="0" w:color="auto"/>
            </w:tcBorders>
          </w:tcPr>
          <w:p w14:paraId="53E3997F"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D847374" w14:textId="77777777" w:rsidR="001F04FD" w:rsidRDefault="001F04FD" w:rsidP="00AC4DEE">
            <w:pPr>
              <w:pStyle w:val="TableBody"/>
            </w:pPr>
            <w:r>
              <w:t>A QSE.</w:t>
            </w:r>
          </w:p>
        </w:tc>
      </w:tr>
      <w:tr w:rsidR="001F04FD" w14:paraId="458649B8"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7645184C" w14:textId="77777777" w:rsidR="001F04FD" w:rsidRPr="0072643D" w:rsidRDefault="001F04FD" w:rsidP="00AC4DEE">
            <w:pPr>
              <w:pStyle w:val="TableBody"/>
              <w:rPr>
                <w:i/>
              </w:rPr>
            </w:pPr>
            <w:r w:rsidRPr="00D661BC">
              <w:rPr>
                <w:i/>
              </w:rPr>
              <w:t>r</w:t>
            </w:r>
          </w:p>
        </w:tc>
        <w:tc>
          <w:tcPr>
            <w:tcW w:w="459" w:type="pct"/>
            <w:tcBorders>
              <w:top w:val="single" w:sz="4" w:space="0" w:color="auto"/>
              <w:left w:val="single" w:sz="4" w:space="0" w:color="auto"/>
              <w:bottom w:val="single" w:sz="4" w:space="0" w:color="auto"/>
              <w:right w:val="single" w:sz="4" w:space="0" w:color="auto"/>
            </w:tcBorders>
          </w:tcPr>
          <w:p w14:paraId="53C224F4"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A107C88" w14:textId="77777777" w:rsidR="001F04FD" w:rsidRDefault="001F04FD" w:rsidP="00AC4DEE">
            <w:pPr>
              <w:pStyle w:val="TableBody"/>
            </w:pPr>
            <w:r>
              <w:t>A Generation Resource.</w:t>
            </w:r>
          </w:p>
        </w:tc>
      </w:tr>
    </w:tbl>
    <w:p w14:paraId="4BC6E94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01F04" w14:paraId="62D8A53F" w14:textId="77777777" w:rsidTr="00C952ED">
        <w:trPr>
          <w:trHeight w:val="206"/>
        </w:trPr>
        <w:tc>
          <w:tcPr>
            <w:tcW w:w="9576" w:type="dxa"/>
            <w:shd w:val="pct12" w:color="auto" w:fill="auto"/>
          </w:tcPr>
          <w:p w14:paraId="1A46AC86" w14:textId="12063B67" w:rsidR="00001F04" w:rsidRDefault="00001F04" w:rsidP="00C952ED">
            <w:pPr>
              <w:pStyle w:val="Instructions"/>
              <w:spacing w:before="120"/>
            </w:pPr>
            <w:bookmarkStart w:id="2425" w:name="_Toc397505034"/>
            <w:bookmarkStart w:id="2426" w:name="_Toc402357166"/>
            <w:bookmarkStart w:id="2427" w:name="_Toc422486546"/>
            <w:bookmarkStart w:id="2428" w:name="_Toc433093399"/>
            <w:bookmarkStart w:id="2429" w:name="_Toc433093557"/>
            <w:bookmarkStart w:id="2430" w:name="_Toc440874787"/>
            <w:bookmarkStart w:id="2431" w:name="_Toc448142344"/>
            <w:bookmarkStart w:id="2432" w:name="_Toc448142501"/>
            <w:bookmarkStart w:id="2433" w:name="_Toc458770342"/>
            <w:bookmarkStart w:id="2434" w:name="_Toc459294310"/>
            <w:bookmarkStart w:id="2435" w:name="_Toc463262804"/>
            <w:bookmarkStart w:id="2436" w:name="_Toc468286877"/>
            <w:bookmarkStart w:id="2437" w:name="_Toc481502917"/>
            <w:bookmarkStart w:id="2438" w:name="_Toc496080085"/>
            <w:r>
              <w:t>[NPRR1014</w:t>
            </w:r>
            <w:r w:rsidR="008152FC">
              <w:t xml:space="preserve"> and NPRR1246</w:t>
            </w:r>
            <w:r>
              <w:t>:  Replace Section 6.6.7.1 above with the following upon system implementation</w:t>
            </w:r>
            <w:r w:rsidR="008152FC">
              <w:t xml:space="preserve"> for NPRR1014; or upon system implementation of the Real-Time Co-Optimization (RTC) project for NPRR1246</w:t>
            </w:r>
            <w:r>
              <w:t>:]</w:t>
            </w:r>
          </w:p>
          <w:p w14:paraId="246BF955" w14:textId="77777777" w:rsidR="00001F04" w:rsidRPr="00A552C3" w:rsidRDefault="00001F04" w:rsidP="00001F04">
            <w:pPr>
              <w:keepNext/>
              <w:widowControl w:val="0"/>
              <w:tabs>
                <w:tab w:val="left" w:pos="1260"/>
              </w:tabs>
              <w:spacing w:before="240" w:after="240"/>
              <w:ind w:left="1260" w:hanging="1260"/>
              <w:outlineLvl w:val="3"/>
              <w:rPr>
                <w:b/>
                <w:bCs/>
                <w:snapToGrid w:val="0"/>
              </w:rPr>
            </w:pPr>
            <w:bookmarkStart w:id="2439" w:name="_Toc60040722"/>
            <w:bookmarkStart w:id="2440" w:name="_Toc65151781"/>
            <w:bookmarkStart w:id="2441" w:name="_Toc80174807"/>
            <w:bookmarkStart w:id="2442" w:name="_Toc112417687"/>
            <w:bookmarkStart w:id="2443" w:name="_Toc119310356"/>
            <w:bookmarkStart w:id="2444" w:name="_Toc125966289"/>
            <w:bookmarkStart w:id="2445" w:name="_Toc135992387"/>
            <w:bookmarkStart w:id="2446" w:name="_Toc170303583"/>
            <w:bookmarkStart w:id="2447" w:name="_Toc175157487"/>
            <w:bookmarkStart w:id="2448" w:name="_Toc189044460"/>
            <w:r w:rsidRPr="00A552C3">
              <w:rPr>
                <w:b/>
                <w:bCs/>
                <w:snapToGrid w:val="0"/>
              </w:rPr>
              <w:t>6.6.7.1</w:t>
            </w:r>
            <w:r w:rsidRPr="00A552C3">
              <w:rPr>
                <w:b/>
                <w:bCs/>
                <w:snapToGrid w:val="0"/>
              </w:rPr>
              <w:tab/>
              <w:t>Voltage Support Service Payments</w:t>
            </w:r>
            <w:bookmarkEnd w:id="2439"/>
            <w:bookmarkEnd w:id="2440"/>
            <w:bookmarkEnd w:id="2441"/>
            <w:bookmarkEnd w:id="2442"/>
            <w:bookmarkEnd w:id="2443"/>
            <w:bookmarkEnd w:id="2444"/>
            <w:bookmarkEnd w:id="2445"/>
            <w:bookmarkEnd w:id="2446"/>
            <w:bookmarkEnd w:id="2447"/>
            <w:bookmarkEnd w:id="2448"/>
            <w:r w:rsidRPr="00A552C3">
              <w:rPr>
                <w:b/>
                <w:bCs/>
                <w:snapToGrid w:val="0"/>
              </w:rPr>
              <w:t xml:space="preserve"> </w:t>
            </w:r>
          </w:p>
          <w:p w14:paraId="5D48EB0C" w14:textId="77777777" w:rsidR="00001F04" w:rsidRPr="00A552C3" w:rsidRDefault="00001F04" w:rsidP="00001F04">
            <w:pPr>
              <w:spacing w:after="240"/>
              <w:ind w:left="720" w:hanging="720"/>
              <w:rPr>
                <w:iCs/>
              </w:rPr>
            </w:pPr>
            <w:r w:rsidRPr="00A552C3">
              <w:t>(1)</w:t>
            </w:r>
            <w:r w:rsidRPr="00A552C3">
              <w:tab/>
              <w:t>All other Generation Resources or ESRs shall be eligible for compensation for Reactive Power production in accordance with Section 6.5.7.7, Voltage Support Service, only if ERCOT issues a Dispatch Instruction that results in the following unit operation:</w:t>
            </w:r>
          </w:p>
          <w:p w14:paraId="516E1BE7" w14:textId="76AEC296" w:rsidR="00001F04" w:rsidRPr="00A552C3" w:rsidRDefault="00001F04" w:rsidP="00001F04">
            <w:pPr>
              <w:spacing w:after="240"/>
              <w:ind w:left="1440" w:hanging="720"/>
            </w:pPr>
            <w:r w:rsidRPr="00A552C3">
              <w:t>(a)</w:t>
            </w:r>
            <w:r w:rsidRPr="00A552C3">
              <w:tab/>
              <w:t>When ERCOT instructs the Generation Resource or ESR to exceed its Unit Reactive Limit (URL) and the Generation Resource or ESR provides additional Reactive Power, then ERCOT shall pay for the additional Reactive Power provided at a price that recognizes the avoided cost of reactive support</w:t>
            </w:r>
            <w:r w:rsidR="008152FC">
              <w:t xml:space="preserve"> to</w:t>
            </w:r>
            <w:r w:rsidRPr="00A552C3">
              <w:t xml:space="preserve"> Resources on the transmission network.</w:t>
            </w:r>
          </w:p>
          <w:p w14:paraId="08314004" w14:textId="7EC325A5" w:rsidR="00001F04" w:rsidRPr="00A552C3" w:rsidRDefault="00001F04" w:rsidP="00001F04">
            <w:pPr>
              <w:spacing w:after="240"/>
              <w:ind w:left="1440" w:hanging="720"/>
            </w:pPr>
            <w:r w:rsidRPr="00A552C3">
              <w:t>(b)</w:t>
            </w:r>
            <w:r w:rsidRPr="00A552C3">
              <w:tab/>
              <w:t>Any real power reduction directed by ERCOT through VDIs to provide for additional reactive capability for voltage support must be compensated as a lost opportunity payment</w:t>
            </w:r>
            <w:r w:rsidR="008152FC">
              <w:t>.</w:t>
            </w:r>
          </w:p>
          <w:p w14:paraId="29B53C93" w14:textId="138D6940" w:rsidR="008152FC" w:rsidRDefault="008152FC" w:rsidP="00001F04">
            <w:pPr>
              <w:spacing w:after="240"/>
              <w:ind w:left="720" w:hanging="720"/>
            </w:pPr>
            <w:r w:rsidRPr="007F5C96">
              <w:t>(2)</w:t>
            </w:r>
            <w:r w:rsidRPr="007F5C96">
              <w:tab/>
            </w:r>
            <w:r>
              <w:t>An ESR with a net injection for a Settlement Interval but that has a</w:t>
            </w:r>
            <w:r w:rsidR="00F144CE">
              <w:t>n HSL</w:t>
            </w:r>
            <w:r>
              <w:t xml:space="preserve"> that is less than zero will not receive compensation for Reactive Power for that Settlement Interval.</w:t>
            </w:r>
          </w:p>
          <w:p w14:paraId="64719DC9" w14:textId="5C2739BD" w:rsidR="00001F04" w:rsidRPr="00A552C3" w:rsidRDefault="00001F04" w:rsidP="00001F04">
            <w:pPr>
              <w:spacing w:after="240"/>
              <w:ind w:left="720" w:hanging="720"/>
            </w:pPr>
            <w:r w:rsidRPr="00A552C3">
              <w:lastRenderedPageBreak/>
              <w:t>(</w:t>
            </w:r>
            <w:r w:rsidR="008152FC">
              <w:t>3</w:t>
            </w:r>
            <w:r w:rsidRPr="00A552C3">
              <w:t>)</w:t>
            </w:r>
            <w:r w:rsidRPr="00A552C3">
              <w:tab/>
              <w:t>The payment for a given 15-minute Settlement Interval to each QSE representing a Generation Resource or ESR that operates in accordance with an ERCOT Dispatch Instruction is calculated as follows:</w:t>
            </w:r>
          </w:p>
          <w:p w14:paraId="75BF1B08" w14:textId="77777777" w:rsidR="00001F04" w:rsidRPr="00A552C3" w:rsidRDefault="00001F04" w:rsidP="00001F04">
            <w:pPr>
              <w:spacing w:after="240"/>
              <w:ind w:left="720" w:hanging="720"/>
            </w:pPr>
            <w:r w:rsidRPr="00A552C3">
              <w:t>Depending on the Dispatch Instruction, payment for Volt-Amperes reactive (VAr):</w:t>
            </w:r>
          </w:p>
          <w:p w14:paraId="3F7CFB24" w14:textId="77777777" w:rsidR="00001F04" w:rsidRPr="00A552C3" w:rsidRDefault="00001F04" w:rsidP="00001F04">
            <w:pPr>
              <w:spacing w:after="240"/>
              <w:ind w:firstLine="720"/>
              <w:rPr>
                <w:lang w:val="pt-BR"/>
              </w:rPr>
            </w:pPr>
            <w:r w:rsidRPr="00A552C3">
              <w:rPr>
                <w:lang w:val="pt-BR"/>
              </w:rPr>
              <w:t xml:space="preserve">If VSSVARLAG </w:t>
            </w:r>
            <w:r w:rsidRPr="00A552C3">
              <w:rPr>
                <w:i/>
                <w:vertAlign w:val="subscript"/>
                <w:lang w:val="pt-BR"/>
              </w:rPr>
              <w:t>q, r</w:t>
            </w:r>
            <w:r w:rsidRPr="00A552C3">
              <w:rPr>
                <w:lang w:val="pt-BR"/>
              </w:rPr>
              <w:t xml:space="preserve"> &gt; 0</w:t>
            </w:r>
          </w:p>
          <w:p w14:paraId="38BB6A06"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08DF28C6" w14:textId="77777777" w:rsidR="00001F04" w:rsidRPr="00A552C3" w:rsidRDefault="00001F04" w:rsidP="00001F04">
            <w:pPr>
              <w:spacing w:after="240"/>
              <w:ind w:firstLine="720"/>
              <w:rPr>
                <w:lang w:val="pt-BR"/>
              </w:rPr>
            </w:pPr>
            <w:r w:rsidRPr="00A552C3">
              <w:rPr>
                <w:lang w:val="pt-BR"/>
              </w:rPr>
              <w:t xml:space="preserve">If VSSVARLEAD </w:t>
            </w:r>
            <w:r w:rsidRPr="00A552C3">
              <w:rPr>
                <w:i/>
                <w:vertAlign w:val="subscript"/>
                <w:lang w:val="pt-BR"/>
              </w:rPr>
              <w:t>q, r</w:t>
            </w:r>
            <w:r w:rsidRPr="00A552C3">
              <w:rPr>
                <w:lang w:val="pt-BR"/>
              </w:rPr>
              <w:t xml:space="preserve"> &gt; 0</w:t>
            </w:r>
          </w:p>
          <w:p w14:paraId="742BD711"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50E6AEA5" w14:textId="77777777" w:rsidR="00001F04" w:rsidRPr="00A552C3" w:rsidRDefault="00001F04" w:rsidP="00001F04">
            <w:pPr>
              <w:spacing w:after="240"/>
              <w:ind w:left="720"/>
              <w:rPr>
                <w:lang w:val="pt-BR"/>
              </w:rPr>
            </w:pPr>
            <w:r w:rsidRPr="00A552C3">
              <w:rPr>
                <w:lang w:val="pt-BR"/>
              </w:rPr>
              <w:t>Where:</w:t>
            </w:r>
          </w:p>
          <w:p w14:paraId="3CC6D95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338DB46E" w14:textId="77777777" w:rsidR="00001F04" w:rsidRPr="00A552C3" w:rsidRDefault="00001F04" w:rsidP="00001F04">
            <w:pPr>
              <w:tabs>
                <w:tab w:val="left" w:pos="2340"/>
                <w:tab w:val="left" w:pos="3420"/>
              </w:tabs>
              <w:spacing w:after="240"/>
              <w:ind w:left="3420" w:hanging="2700"/>
              <w:rPr>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5E4FAC29"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And:</w:t>
            </w:r>
          </w:p>
          <w:p w14:paraId="318C96AF" w14:textId="7616A00A"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797D7FBA"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p>
          <w:p w14:paraId="5E99FFB3"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p>
          <w:p w14:paraId="54F35D0E" w14:textId="40D7B065" w:rsidR="00001F04" w:rsidRPr="00A552C3" w:rsidRDefault="00001F04" w:rsidP="008152FC">
            <w:pPr>
              <w:tabs>
                <w:tab w:val="left" w:pos="780"/>
                <w:tab w:val="left" w:pos="2340"/>
              </w:tabs>
              <w:spacing w:after="240"/>
              <w:ind w:left="690" w:firstLine="30"/>
              <w:rPr>
                <w:bCs/>
                <w:lang w:val="pt-BR"/>
              </w:rPr>
            </w:pPr>
            <w:r w:rsidRPr="00A552C3">
              <w:rPr>
                <w:bCs/>
                <w:lang w:val="pt-BR"/>
              </w:rPr>
              <w:t>Otherwise</w:t>
            </w:r>
            <w:r w:rsidR="008152FC" w:rsidRPr="008152FC">
              <w:rPr>
                <w:bCs/>
                <w:lang w:val="pt-BR"/>
              </w:rPr>
              <w:t>, for Generation Resources or ESRs that have a net injection for the Settlement Interval and that have an HSL greater than or equal to 0</w:t>
            </w:r>
            <w:r w:rsidRPr="00A552C3">
              <w:rPr>
                <w:bCs/>
                <w:lang w:val="pt-BR"/>
              </w:rPr>
              <w:t xml:space="preserve">: </w:t>
            </w:r>
          </w:p>
          <w:p w14:paraId="1745B290"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7DFF4EF"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296EE5E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126"/>
              <w:gridCol w:w="6133"/>
            </w:tblGrid>
            <w:tr w:rsidR="00001F04" w:rsidRPr="00A552C3" w14:paraId="0C7F4B76" w14:textId="77777777" w:rsidTr="00C952ED">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1E75ED10" w14:textId="77777777" w:rsidR="00001F04" w:rsidRPr="00C52231" w:rsidRDefault="00001F04" w:rsidP="00001F04">
                  <w:pPr>
                    <w:spacing w:after="240"/>
                    <w:rPr>
                      <w:b/>
                      <w:iCs/>
                      <w:sz w:val="20"/>
                    </w:rPr>
                  </w:pPr>
                  <w:r w:rsidRPr="00233C78">
                    <w:rPr>
                      <w:b/>
                      <w:sz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2D14501C" w14:textId="77777777" w:rsidR="00001F04" w:rsidRPr="00A552C3" w:rsidRDefault="00001F04" w:rsidP="00001F04">
                  <w:pPr>
                    <w:spacing w:after="240"/>
                    <w:rPr>
                      <w:b/>
                      <w:iCs/>
                      <w:sz w:val="20"/>
                    </w:rPr>
                  </w:pPr>
                  <w:r w:rsidRPr="00A552C3">
                    <w:rPr>
                      <w:b/>
                      <w:iCs/>
                      <w:sz w:val="20"/>
                    </w:rPr>
                    <w:t>Unit</w:t>
                  </w:r>
                </w:p>
              </w:tc>
              <w:tc>
                <w:tcPr>
                  <w:tcW w:w="3366" w:type="pct"/>
                  <w:tcBorders>
                    <w:top w:val="single" w:sz="4" w:space="0" w:color="auto"/>
                    <w:left w:val="single" w:sz="4" w:space="0" w:color="auto"/>
                    <w:bottom w:val="single" w:sz="4" w:space="0" w:color="auto"/>
                    <w:right w:val="single" w:sz="4" w:space="0" w:color="auto"/>
                  </w:tcBorders>
                  <w:hideMark/>
                </w:tcPr>
                <w:p w14:paraId="7F521F14" w14:textId="77777777" w:rsidR="00001F04" w:rsidRPr="00A552C3" w:rsidRDefault="00001F04" w:rsidP="00001F04">
                  <w:pPr>
                    <w:spacing w:after="240"/>
                    <w:rPr>
                      <w:b/>
                      <w:iCs/>
                      <w:sz w:val="20"/>
                    </w:rPr>
                  </w:pPr>
                  <w:r w:rsidRPr="00A552C3">
                    <w:rPr>
                      <w:b/>
                      <w:iCs/>
                      <w:sz w:val="20"/>
                    </w:rPr>
                    <w:t>Definition</w:t>
                  </w:r>
                </w:p>
              </w:tc>
            </w:tr>
            <w:tr w:rsidR="00001F04" w:rsidRPr="00A552C3" w14:paraId="71A91F25"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A7EB7D3" w14:textId="77777777" w:rsidR="00001F04" w:rsidRPr="00001F04" w:rsidRDefault="00001F04" w:rsidP="00001F04">
                  <w:pPr>
                    <w:spacing w:after="60"/>
                    <w:rPr>
                      <w:iCs/>
                      <w:sz w:val="20"/>
                    </w:rPr>
                  </w:pPr>
                  <w:r w:rsidRPr="00001F04">
                    <w:rPr>
                      <w:iCs/>
                      <w:sz w:val="20"/>
                    </w:rPr>
                    <w:t xml:space="preserve">VSSVARAMT </w:t>
                  </w:r>
                  <w:r w:rsidRPr="00001F04">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3A5ED7D8" w14:textId="77777777" w:rsidR="00001F04" w:rsidRPr="00A552C3" w:rsidRDefault="00001F04" w:rsidP="00001F04">
                  <w:pPr>
                    <w:spacing w:after="60"/>
                    <w:rPr>
                      <w:iCs/>
                      <w:sz w:val="20"/>
                    </w:rPr>
                  </w:pPr>
                  <w:r w:rsidRPr="00A552C3">
                    <w:rPr>
                      <w:iCs/>
                      <w:sz w:val="20"/>
                    </w:rPr>
                    <w:t>$</w:t>
                  </w:r>
                </w:p>
              </w:tc>
              <w:tc>
                <w:tcPr>
                  <w:tcW w:w="3366" w:type="pct"/>
                  <w:tcBorders>
                    <w:top w:val="single" w:sz="4" w:space="0" w:color="auto"/>
                    <w:left w:val="single" w:sz="4" w:space="0" w:color="auto"/>
                    <w:bottom w:val="single" w:sz="4" w:space="0" w:color="auto"/>
                    <w:right w:val="single" w:sz="4" w:space="0" w:color="auto"/>
                  </w:tcBorders>
                  <w:hideMark/>
                </w:tcPr>
                <w:p w14:paraId="638B4A2A" w14:textId="77777777" w:rsidR="00001F04" w:rsidRPr="00A552C3" w:rsidRDefault="00001F04" w:rsidP="00001F04">
                  <w:pPr>
                    <w:spacing w:after="60"/>
                    <w:rPr>
                      <w:iCs/>
                      <w:sz w:val="20"/>
                    </w:rPr>
                  </w:pPr>
                  <w:r w:rsidRPr="00A552C3">
                    <w:rPr>
                      <w:i/>
                      <w:iCs/>
                      <w:sz w:val="20"/>
                    </w:rPr>
                    <w:t xml:space="preserve">Voltage Support Service VAr Amount per QSE per Resource - </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72C2AED4"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01CD23F" w14:textId="77777777" w:rsidR="00001F04" w:rsidRPr="00A552C3" w:rsidRDefault="00001F04" w:rsidP="00001F04">
                  <w:pPr>
                    <w:spacing w:after="60"/>
                    <w:rPr>
                      <w:iCs/>
                      <w:sz w:val="20"/>
                    </w:rPr>
                  </w:pPr>
                  <w:r w:rsidRPr="00A552C3">
                    <w:rPr>
                      <w:iCs/>
                      <w:sz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6CBA5B7A" w14:textId="77777777" w:rsidR="00001F04" w:rsidRPr="00A552C3" w:rsidRDefault="00001F04" w:rsidP="00001F04">
                  <w:pPr>
                    <w:spacing w:after="60"/>
                    <w:rPr>
                      <w:i/>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454580C" w14:textId="77777777" w:rsidR="00001F04" w:rsidRPr="00A552C3" w:rsidRDefault="00001F04" w:rsidP="00001F04">
                  <w:pPr>
                    <w:spacing w:after="60"/>
                    <w:rPr>
                      <w:iCs/>
                      <w:sz w:val="20"/>
                    </w:rPr>
                  </w:pPr>
                  <w:r w:rsidRPr="00A552C3">
                    <w:rPr>
                      <w:i/>
                      <w:iCs/>
                      <w:sz w:val="20"/>
                    </w:rPr>
                    <w:t xml:space="preserve">Voltage Support Service VAr Price - </w:t>
                  </w:r>
                  <w:r w:rsidRPr="00A552C3">
                    <w:rPr>
                      <w:iCs/>
                      <w:sz w:val="20"/>
                    </w:rPr>
                    <w:t>The price for instructed MVAr beyond a Resource’s URL currently is $2.65/MVArh (based on $50.00/installed kVAr).</w:t>
                  </w:r>
                </w:p>
              </w:tc>
            </w:tr>
            <w:tr w:rsidR="00001F04" w:rsidRPr="00A552C3" w14:paraId="0638BF41"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1B9FF7D" w14:textId="77777777" w:rsidR="00001F04" w:rsidRPr="00A552C3" w:rsidRDefault="00001F04" w:rsidP="00001F04">
                  <w:pPr>
                    <w:spacing w:after="60"/>
                    <w:rPr>
                      <w:iCs/>
                      <w:sz w:val="20"/>
                    </w:rPr>
                  </w:pPr>
                  <w:r w:rsidRPr="00A552C3">
                    <w:rPr>
                      <w:iCs/>
                      <w:sz w:val="20"/>
                    </w:rPr>
                    <w:lastRenderedPageBreak/>
                    <w:t xml:space="preserve">VSSVARLAG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478B3DA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3C8B79C" w14:textId="0828F319" w:rsidR="00001F04" w:rsidRPr="00A552C3" w:rsidRDefault="00001F04" w:rsidP="00001F04">
                  <w:pPr>
                    <w:spacing w:after="60"/>
                    <w:rPr>
                      <w:iCs/>
                      <w:sz w:val="20"/>
                    </w:rPr>
                  </w:pPr>
                  <w:r w:rsidRPr="00A552C3">
                    <w:rPr>
                      <w:i/>
                      <w:iCs/>
                      <w:sz w:val="20"/>
                    </w:rPr>
                    <w:t xml:space="preserve">Voltage Support Service VAr Lagging per QSE per Resource - </w:t>
                  </w:r>
                  <w:r w:rsidRPr="00A552C3">
                    <w:rPr>
                      <w:iCs/>
                      <w:sz w:val="20"/>
                    </w:rPr>
                    <w:t xml:space="preserve">The instructed portion of the Reactive Power above the Resource’s lagging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D35919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A0DE373" w14:textId="77777777" w:rsidR="00001F04" w:rsidRPr="00A552C3" w:rsidRDefault="00001F04" w:rsidP="00001F04">
                  <w:pPr>
                    <w:spacing w:after="60"/>
                    <w:rPr>
                      <w:iCs/>
                      <w:sz w:val="20"/>
                    </w:rPr>
                  </w:pPr>
                  <w:r w:rsidRPr="00A552C3">
                    <w:rPr>
                      <w:iCs/>
                      <w:sz w:val="20"/>
                    </w:rPr>
                    <w:t xml:space="preserve">VSSVARLEAD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DB8D8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2ED0D985" w14:textId="77777777" w:rsidR="00001F04" w:rsidRPr="00A552C3" w:rsidRDefault="00001F04" w:rsidP="00001F04">
                  <w:pPr>
                    <w:spacing w:after="60"/>
                    <w:rPr>
                      <w:iCs/>
                      <w:sz w:val="20"/>
                    </w:rPr>
                  </w:pPr>
                  <w:r w:rsidRPr="00A552C3">
                    <w:rPr>
                      <w:i/>
                      <w:iCs/>
                      <w:sz w:val="20"/>
                    </w:rPr>
                    <w:t>Voltage Support Service VAr Leading per QSE per Resource</w:t>
                  </w:r>
                  <w:r w:rsidRPr="00A552C3">
                    <w:rPr>
                      <w:iCs/>
                      <w:sz w:val="20"/>
                    </w:rPr>
                    <w:t xml:space="preserve"> - The instructed portion of the Reactive Power below the Resource’s leading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07932588"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B202D1F" w14:textId="77777777" w:rsidR="00001F04" w:rsidRPr="00A552C3" w:rsidRDefault="00001F04" w:rsidP="00001F04">
                  <w:pPr>
                    <w:spacing w:after="60"/>
                    <w:rPr>
                      <w:iCs/>
                      <w:sz w:val="20"/>
                    </w:rPr>
                  </w:pPr>
                  <w:r w:rsidRPr="00A552C3">
                    <w:rPr>
                      <w:iCs/>
                      <w:sz w:val="20"/>
                    </w:rPr>
                    <w:t xml:space="preserve">VSSVARIOL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6FC61F"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7104E28" w14:textId="77777777" w:rsidR="00001F04" w:rsidRPr="00A552C3" w:rsidRDefault="00001F04" w:rsidP="00001F04">
                  <w:pPr>
                    <w:spacing w:after="60"/>
                    <w:rPr>
                      <w:iCs/>
                      <w:sz w:val="20"/>
                    </w:rPr>
                  </w:pPr>
                  <w:r w:rsidRPr="00A552C3">
                    <w:rPr>
                      <w:i/>
                      <w:iCs/>
                      <w:sz w:val="20"/>
                    </w:rPr>
                    <w:t>Voltage Support Service VAr Instructed Output Level per QSE per Resource</w:t>
                  </w:r>
                  <w:r w:rsidRPr="00A552C3">
                    <w:rPr>
                      <w:iCs/>
                      <w:sz w:val="20"/>
                    </w:rPr>
                    <w:t xml:space="preserve">—The instructed Reactive Power output level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lagging Reactive Power if positive and leading Reactive Power if negative,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5C621DB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3139372" w14:textId="77777777" w:rsidR="00001F04" w:rsidRPr="00A552C3" w:rsidRDefault="00001F04" w:rsidP="00001F04">
                  <w:pPr>
                    <w:spacing w:after="60"/>
                    <w:rPr>
                      <w:iCs/>
                      <w:sz w:val="20"/>
                    </w:rPr>
                  </w:pPr>
                  <w:r w:rsidRPr="00A552C3">
                    <w:rPr>
                      <w:iCs/>
                      <w:sz w:val="20"/>
                    </w:rPr>
                    <w:t xml:space="preserve">RTVAR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0C495E"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F676388" w14:textId="77777777" w:rsidR="00001F04" w:rsidRPr="00A552C3" w:rsidRDefault="00001F04" w:rsidP="00001F04">
                  <w:pPr>
                    <w:spacing w:after="60"/>
                    <w:rPr>
                      <w:iCs/>
                      <w:sz w:val="20"/>
                    </w:rPr>
                  </w:pPr>
                  <w:r w:rsidRPr="00A552C3">
                    <w:rPr>
                      <w:i/>
                      <w:iCs/>
                      <w:sz w:val="20"/>
                    </w:rPr>
                    <w:t>Real-Time VAr per QSE per Resource</w:t>
                  </w:r>
                  <w:r w:rsidRPr="00A552C3">
                    <w:rPr>
                      <w:iCs/>
                      <w:sz w:val="20"/>
                    </w:rPr>
                    <w:t xml:space="preserve">—The netted Reactive Energy measured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45F02A0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B1ACFFF" w14:textId="77777777" w:rsidR="00001F04" w:rsidRPr="00A552C3" w:rsidRDefault="00001F04" w:rsidP="00001F04">
                  <w:pPr>
                    <w:spacing w:after="60"/>
                    <w:rPr>
                      <w:iCs/>
                      <w:sz w:val="20"/>
                    </w:rPr>
                  </w:pPr>
                  <w:r w:rsidRPr="00A552C3">
                    <w:rPr>
                      <w:iCs/>
                      <w:sz w:val="20"/>
                    </w:rPr>
                    <w:t xml:space="preserve">URLLAG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EAA2D4D"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1989746" w14:textId="77777777" w:rsidR="00001F04" w:rsidRPr="00A552C3" w:rsidRDefault="00001F04" w:rsidP="00001F04">
                  <w:pPr>
                    <w:spacing w:after="60"/>
                    <w:rPr>
                      <w:iCs/>
                      <w:sz w:val="20"/>
                    </w:rPr>
                  </w:pPr>
                  <w:r w:rsidRPr="00A552C3">
                    <w:rPr>
                      <w:i/>
                      <w:iCs/>
                      <w:sz w:val="20"/>
                    </w:rPr>
                    <w:t>Unit Reactive Limit Lagging per QSE per Resource</w:t>
                  </w:r>
                  <w:r w:rsidRPr="00A552C3">
                    <w:rPr>
                      <w:iCs/>
                      <w:sz w:val="20"/>
                    </w:rPr>
                    <w:t xml:space="preserve">—The URL for lagging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positive.  Where for a combined cycle resource, </w:t>
                  </w:r>
                  <w:r w:rsidRPr="00A552C3">
                    <w:rPr>
                      <w:i/>
                      <w:iCs/>
                      <w:sz w:val="20"/>
                    </w:rPr>
                    <w:t>r</w:t>
                  </w:r>
                  <w:r w:rsidRPr="00A552C3">
                    <w:rPr>
                      <w:iCs/>
                      <w:sz w:val="20"/>
                    </w:rPr>
                    <w:t xml:space="preserve"> is a Combined Cycle Train.</w:t>
                  </w:r>
                </w:p>
              </w:tc>
            </w:tr>
            <w:tr w:rsidR="00001F04" w:rsidRPr="00A552C3" w14:paraId="67AA9170"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98920F7" w14:textId="77777777" w:rsidR="00001F04" w:rsidRPr="00A552C3" w:rsidRDefault="00001F04" w:rsidP="00001F04">
                  <w:pPr>
                    <w:spacing w:after="60"/>
                    <w:rPr>
                      <w:iCs/>
                      <w:sz w:val="20"/>
                    </w:rPr>
                  </w:pPr>
                  <w:r w:rsidRPr="00A552C3">
                    <w:rPr>
                      <w:iCs/>
                      <w:sz w:val="20"/>
                    </w:rPr>
                    <w:t xml:space="preserve">URLLEAD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C27615"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B38A8A5" w14:textId="77777777" w:rsidR="00001F04" w:rsidRPr="00A552C3" w:rsidRDefault="00001F04" w:rsidP="00001F04">
                  <w:pPr>
                    <w:spacing w:after="60"/>
                    <w:rPr>
                      <w:iCs/>
                      <w:sz w:val="20"/>
                    </w:rPr>
                  </w:pPr>
                  <w:r w:rsidRPr="00A552C3">
                    <w:rPr>
                      <w:i/>
                      <w:iCs/>
                      <w:sz w:val="20"/>
                    </w:rPr>
                    <w:t>Unit Reactive Limit Leading per QSE per Resource</w:t>
                  </w:r>
                  <w:r w:rsidRPr="00A552C3">
                    <w:rPr>
                      <w:iCs/>
                      <w:sz w:val="20"/>
                    </w:rPr>
                    <w:t xml:space="preserve">—The URL for leading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negative.  Where for a combined cycle resource, </w:t>
                  </w:r>
                  <w:r w:rsidRPr="00A552C3">
                    <w:rPr>
                      <w:i/>
                      <w:iCs/>
                      <w:sz w:val="20"/>
                    </w:rPr>
                    <w:t>r</w:t>
                  </w:r>
                  <w:r w:rsidRPr="00A552C3">
                    <w:rPr>
                      <w:iCs/>
                      <w:sz w:val="20"/>
                    </w:rPr>
                    <w:t xml:space="preserve"> is a Combined Cycle Train.</w:t>
                  </w:r>
                </w:p>
              </w:tc>
            </w:tr>
            <w:tr w:rsidR="00001F04" w:rsidRPr="00A552C3" w14:paraId="7196DC0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159A6B2E" w14:textId="77777777" w:rsidR="00001F04" w:rsidRPr="00A552C3" w:rsidRDefault="00001F04" w:rsidP="00001F04">
                  <w:pPr>
                    <w:spacing w:after="60"/>
                    <w:rPr>
                      <w:iCs/>
                      <w:sz w:val="20"/>
                    </w:rPr>
                  </w:pPr>
                  <w:r w:rsidRPr="00A552C3">
                    <w:rPr>
                      <w:iCs/>
                      <w:sz w:val="20"/>
                    </w:rPr>
                    <w:t xml:space="preserve">HSL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00E6FFE"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24EB4A87" w14:textId="4AEE4516" w:rsidR="00001F04" w:rsidRPr="00A552C3" w:rsidRDefault="00001F04" w:rsidP="00AD486D">
                  <w:pPr>
                    <w:spacing w:after="60"/>
                    <w:rPr>
                      <w:iCs/>
                      <w:sz w:val="20"/>
                    </w:rPr>
                  </w:pPr>
                  <w:r w:rsidRPr="00A552C3">
                    <w:rPr>
                      <w:i/>
                      <w:iCs/>
                      <w:sz w:val="20"/>
                    </w:rPr>
                    <w:t>High Sustained Limit</w:t>
                  </w:r>
                  <w:r w:rsidRPr="00A552C3">
                    <w:rPr>
                      <w:iCs/>
                      <w:sz w:val="20"/>
                    </w:rPr>
                    <w:t xml:space="preserve">—The HSL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Definitions</w:t>
                  </w:r>
                  <w:r w:rsidR="00AD486D">
                    <w:rPr>
                      <w:iCs/>
                      <w:sz w:val="20"/>
                    </w:rPr>
                    <w:t xml:space="preserve"> and Acronyms</w:t>
                  </w:r>
                  <w:r w:rsidRPr="00A552C3">
                    <w:rPr>
                      <w:iCs/>
                      <w:sz w:val="20"/>
                    </w:rPr>
                    <w:t xml:space="preserve">, for the hour that includes the Settlement Interval.  Where for a combined cycle resource, </w:t>
                  </w:r>
                  <w:r w:rsidRPr="00A552C3">
                    <w:rPr>
                      <w:i/>
                      <w:iCs/>
                      <w:sz w:val="20"/>
                    </w:rPr>
                    <w:t>r</w:t>
                  </w:r>
                  <w:r w:rsidRPr="00A552C3">
                    <w:rPr>
                      <w:iCs/>
                      <w:sz w:val="20"/>
                    </w:rPr>
                    <w:t xml:space="preserve"> is a Combined Cycle Generation Resource.</w:t>
                  </w:r>
                </w:p>
              </w:tc>
            </w:tr>
            <w:tr w:rsidR="00001F04" w:rsidRPr="00A552C3" w14:paraId="523B9D1B"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384FC12" w14:textId="77777777" w:rsidR="00001F04" w:rsidRPr="00A552C3" w:rsidRDefault="00001F04" w:rsidP="00001F04">
                  <w:pPr>
                    <w:spacing w:after="60"/>
                    <w:rPr>
                      <w:iCs/>
                      <w:sz w:val="20"/>
                    </w:rPr>
                  </w:pPr>
                  <w:r w:rsidRPr="00A552C3">
                    <w:rPr>
                      <w:iCs/>
                      <w:sz w:val="20"/>
                    </w:rPr>
                    <w:t xml:space="preserve">LSL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FC72976"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768E756C" w14:textId="5E9F2F0C" w:rsidR="00001F04" w:rsidRPr="00A552C3" w:rsidRDefault="00001F04" w:rsidP="00001F04">
                  <w:pPr>
                    <w:spacing w:after="60"/>
                    <w:rPr>
                      <w:i/>
                      <w:iCs/>
                      <w:sz w:val="20"/>
                    </w:rPr>
                  </w:pPr>
                  <w:r w:rsidRPr="00A552C3">
                    <w:rPr>
                      <w:i/>
                      <w:iCs/>
                      <w:sz w:val="20"/>
                    </w:rPr>
                    <w:t>Low Sustained Limit</w:t>
                  </w:r>
                  <w:r w:rsidRPr="00A552C3">
                    <w:rPr>
                      <w:iCs/>
                      <w:sz w:val="20"/>
                    </w:rPr>
                    <w:t xml:space="preserve">—The LSL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for the hour that includes the Settlement Interval. </w:t>
                  </w:r>
                  <w:r w:rsidR="008152FC" w:rsidRPr="00D67DA7">
                    <w:rPr>
                      <w:iCs/>
                      <w:sz w:val="20"/>
                    </w:rPr>
                    <w:t xml:space="preserve">Where for a combined cycle resource, </w:t>
                  </w:r>
                  <w:r w:rsidR="008152FC" w:rsidRPr="00D67DA7">
                    <w:rPr>
                      <w:i/>
                      <w:iCs/>
                      <w:sz w:val="20"/>
                    </w:rPr>
                    <w:t>r</w:t>
                  </w:r>
                  <w:r w:rsidR="008152FC" w:rsidRPr="00D67DA7">
                    <w:rPr>
                      <w:iCs/>
                      <w:sz w:val="20"/>
                    </w:rPr>
                    <w:t xml:space="preserve"> is a Combined Cycle Generation Resource.</w:t>
                  </w:r>
                  <w:r w:rsidRPr="00A552C3">
                    <w:rPr>
                      <w:iCs/>
                      <w:sz w:val="20"/>
                    </w:rPr>
                    <w:t xml:space="preserve"> </w:t>
                  </w:r>
                </w:p>
              </w:tc>
            </w:tr>
            <w:tr w:rsidR="00001F04" w:rsidRPr="00A552C3" w14:paraId="623FAD23"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5406EBCD" w14:textId="77777777" w:rsidR="00001F04" w:rsidRPr="00A552C3" w:rsidRDefault="00001F04" w:rsidP="00001F04">
                  <w:pPr>
                    <w:spacing w:after="60"/>
                    <w:rPr>
                      <w:i/>
                      <w:iCs/>
                      <w:sz w:val="20"/>
                    </w:rPr>
                  </w:pPr>
                  <w:r w:rsidRPr="00A552C3">
                    <w:rPr>
                      <w:i/>
                      <w:iCs/>
                      <w:sz w:val="20"/>
                    </w:rPr>
                    <w:t>q</w:t>
                  </w:r>
                </w:p>
              </w:tc>
              <w:tc>
                <w:tcPr>
                  <w:tcW w:w="618" w:type="pct"/>
                  <w:tcBorders>
                    <w:top w:val="single" w:sz="4" w:space="0" w:color="auto"/>
                    <w:left w:val="single" w:sz="4" w:space="0" w:color="auto"/>
                    <w:bottom w:val="single" w:sz="4" w:space="0" w:color="auto"/>
                    <w:right w:val="single" w:sz="4" w:space="0" w:color="auto"/>
                  </w:tcBorders>
                  <w:hideMark/>
                </w:tcPr>
                <w:p w14:paraId="2890ECE5"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5ADCC35D" w14:textId="77777777" w:rsidR="00001F04" w:rsidRPr="00A552C3" w:rsidRDefault="00001F04" w:rsidP="00001F04">
                  <w:pPr>
                    <w:spacing w:after="60"/>
                    <w:rPr>
                      <w:iCs/>
                      <w:sz w:val="20"/>
                    </w:rPr>
                  </w:pPr>
                  <w:r w:rsidRPr="00A552C3">
                    <w:rPr>
                      <w:iCs/>
                      <w:sz w:val="20"/>
                    </w:rPr>
                    <w:t>A QSE.</w:t>
                  </w:r>
                </w:p>
              </w:tc>
            </w:tr>
            <w:tr w:rsidR="00001F04" w:rsidRPr="00A552C3" w14:paraId="26D34FF2"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FE1F633" w14:textId="77777777" w:rsidR="00001F04" w:rsidRPr="00A552C3" w:rsidRDefault="00001F04" w:rsidP="00001F04">
                  <w:pPr>
                    <w:spacing w:after="60"/>
                    <w:rPr>
                      <w:i/>
                      <w:iCs/>
                      <w:sz w:val="20"/>
                    </w:rPr>
                  </w:pPr>
                  <w:r w:rsidRPr="00A552C3">
                    <w:rPr>
                      <w:i/>
                      <w:iCs/>
                      <w:sz w:val="20"/>
                    </w:rPr>
                    <w:t>r</w:t>
                  </w:r>
                </w:p>
              </w:tc>
              <w:tc>
                <w:tcPr>
                  <w:tcW w:w="618" w:type="pct"/>
                  <w:tcBorders>
                    <w:top w:val="single" w:sz="4" w:space="0" w:color="auto"/>
                    <w:left w:val="single" w:sz="4" w:space="0" w:color="auto"/>
                    <w:bottom w:val="single" w:sz="4" w:space="0" w:color="auto"/>
                    <w:right w:val="single" w:sz="4" w:space="0" w:color="auto"/>
                  </w:tcBorders>
                  <w:hideMark/>
                </w:tcPr>
                <w:p w14:paraId="5AAEDE3D"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0190B097" w14:textId="61FDB627"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13AECE82" w14:textId="341C7588" w:rsidR="00001F04" w:rsidRPr="00A552C3" w:rsidRDefault="00001F04" w:rsidP="00001F04">
            <w:pPr>
              <w:spacing w:before="240" w:after="240"/>
              <w:ind w:left="720" w:hanging="720"/>
            </w:pPr>
            <w:r w:rsidRPr="00A552C3">
              <w:t>(</w:t>
            </w:r>
            <w:r w:rsidR="008152FC">
              <w:t>4</w:t>
            </w:r>
            <w:r w:rsidRPr="00A552C3">
              <w:t>)</w:t>
            </w:r>
            <w:r w:rsidRPr="00A552C3">
              <w:tab/>
              <w:t>The total additional compensation to each QSE for voltage support service for the 15-minute Settlement Interval is calculated as follows:</w:t>
            </w:r>
          </w:p>
          <w:p w14:paraId="34351D2B" w14:textId="77777777" w:rsidR="00001F04" w:rsidRPr="00A552C3" w:rsidRDefault="00001F04" w:rsidP="00001F04">
            <w:pPr>
              <w:spacing w:after="240"/>
              <w:ind w:left="720"/>
              <w:rPr>
                <w:rFonts w:ascii="Times New Roman Bold" w:hAnsi="Times New Roman Bold"/>
                <w:i/>
                <w:vertAlign w:val="subscript"/>
              </w:rPr>
            </w:pPr>
            <w:r w:rsidRPr="00A552C3">
              <w:rPr>
                <w:b/>
              </w:rPr>
              <w:t>VSSVARAMTQSETOT</w:t>
            </w:r>
            <w:r w:rsidRPr="00A552C3">
              <w:rPr>
                <w:rFonts w:ascii="Times New Roman Bold" w:hAnsi="Times New Roman Bold"/>
                <w:b/>
                <w:vertAlign w:val="subscript"/>
              </w:rPr>
              <w:t>q</w:t>
            </w:r>
            <w:r w:rsidRPr="00A552C3">
              <w:rPr>
                <w:b/>
              </w:rPr>
              <w:t xml:space="preserve"> =  </w:t>
            </w:r>
            <w:r w:rsidRPr="00A552C3">
              <w:rPr>
                <w:iCs/>
                <w:position w:val="-28"/>
              </w:rPr>
              <w:object w:dxaOrig="435" w:dyaOrig="735" w14:anchorId="70DD48FD">
                <v:shape id="_x0000_i1229" type="#_x0000_t75" style="width:24pt;height:36.6pt" o:ole="">
                  <v:imagedata r:id="rId279" o:title=""/>
                </v:shape>
                <o:OLEObject Type="Embed" ProgID="Equation.3" ShapeID="_x0000_i1229" DrawAspect="Content" ObjectID="_1804653713" r:id="rId282"/>
              </w:object>
            </w:r>
            <w:r w:rsidRPr="00A552C3">
              <w:rPr>
                <w:b/>
              </w:rPr>
              <w:t xml:space="preserve"> VSSVARAMT</w:t>
            </w:r>
            <w:r w:rsidRPr="00A552C3">
              <w:rPr>
                <w:rFonts w:ascii="Times New Roman Bold" w:hAnsi="Times New Roman Bold"/>
                <w:i/>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001F04" w:rsidRPr="00A552C3" w14:paraId="5925AF90" w14:textId="77777777" w:rsidTr="00C952ED">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74ACC4D6" w14:textId="77777777" w:rsidR="00001F04" w:rsidRPr="00622175" w:rsidRDefault="00001F04" w:rsidP="00001F04">
                  <w:pPr>
                    <w:spacing w:after="240"/>
                    <w:rPr>
                      <w:b/>
                      <w:iCs/>
                      <w:sz w:val="20"/>
                    </w:rPr>
                  </w:pPr>
                  <w:r w:rsidRPr="00233C78">
                    <w:rPr>
                      <w:b/>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23082F81" w14:textId="77777777" w:rsidR="00001F04" w:rsidRPr="00A552C3" w:rsidRDefault="00001F04" w:rsidP="00001F04">
                  <w:pPr>
                    <w:spacing w:after="240"/>
                    <w:rPr>
                      <w:b/>
                      <w:iCs/>
                      <w:sz w:val="20"/>
                    </w:rPr>
                  </w:pPr>
                  <w:r w:rsidRPr="00A552C3">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C133D5C" w14:textId="77777777" w:rsidR="00001F04" w:rsidRPr="00A552C3" w:rsidRDefault="00001F04" w:rsidP="00001F04">
                  <w:pPr>
                    <w:spacing w:after="240"/>
                    <w:rPr>
                      <w:b/>
                      <w:iCs/>
                      <w:sz w:val="20"/>
                    </w:rPr>
                  </w:pPr>
                  <w:r w:rsidRPr="00A552C3">
                    <w:rPr>
                      <w:b/>
                      <w:iCs/>
                      <w:sz w:val="20"/>
                    </w:rPr>
                    <w:t>Definition</w:t>
                  </w:r>
                </w:p>
              </w:tc>
            </w:tr>
            <w:tr w:rsidR="00001F04" w:rsidRPr="00A552C3" w14:paraId="249CD026"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15CD098C" w14:textId="77777777" w:rsidR="00001F04" w:rsidRPr="00622175" w:rsidRDefault="00001F04" w:rsidP="00001F04">
                  <w:pPr>
                    <w:spacing w:after="60"/>
                    <w:rPr>
                      <w:iCs/>
                      <w:sz w:val="20"/>
                    </w:rPr>
                  </w:pPr>
                  <w:r w:rsidRPr="00233C78">
                    <w:rPr>
                      <w:iCs/>
                      <w:sz w:val="20"/>
                    </w:rPr>
                    <w:t xml:space="preserve">VSSVARAMT </w:t>
                  </w:r>
                  <w:r w:rsidRPr="00233C78">
                    <w:rPr>
                      <w:i/>
                      <w:iCs/>
                      <w:sz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75F3F85A" w14:textId="77777777" w:rsidR="00001F04" w:rsidRPr="00A552C3" w:rsidRDefault="00001F04" w:rsidP="00001F04">
                  <w:pPr>
                    <w:spacing w:after="60"/>
                    <w:rPr>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2B8B9340" w14:textId="77777777" w:rsidR="00001F04" w:rsidRPr="00A552C3" w:rsidRDefault="00001F04" w:rsidP="00001F04">
                  <w:pPr>
                    <w:spacing w:after="60"/>
                    <w:rPr>
                      <w:iCs/>
                      <w:sz w:val="20"/>
                    </w:rPr>
                  </w:pPr>
                  <w:r w:rsidRPr="00A552C3">
                    <w:rPr>
                      <w:i/>
                      <w:iCs/>
                      <w:sz w:val="20"/>
                    </w:rPr>
                    <w:t>Voltage Support Service VAr Amount per QSE per Resource</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718CD5D"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EEA09BD" w14:textId="77777777" w:rsidR="00001F04" w:rsidRPr="00A552C3" w:rsidRDefault="00001F04" w:rsidP="00001F04">
                  <w:pPr>
                    <w:spacing w:after="60"/>
                    <w:rPr>
                      <w:iCs/>
                      <w:sz w:val="20"/>
                    </w:rPr>
                  </w:pPr>
                  <w:r w:rsidRPr="00A552C3">
                    <w:rPr>
                      <w:iCs/>
                      <w:sz w:val="20"/>
                    </w:rPr>
                    <w:lastRenderedPageBreak/>
                    <w:t xml:space="preserve">VSSVARAMTQSETOT </w:t>
                  </w:r>
                  <w:r w:rsidRPr="00A552C3">
                    <w:rPr>
                      <w:i/>
                      <w:iCs/>
                      <w:sz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63845985" w14:textId="77777777" w:rsidR="00001F04" w:rsidRPr="00A552C3" w:rsidRDefault="00001F04" w:rsidP="00001F04">
                  <w:pPr>
                    <w:spacing w:after="60"/>
                    <w:rPr>
                      <w:i/>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676B368E" w14:textId="77777777" w:rsidR="00001F04" w:rsidRPr="00A552C3" w:rsidRDefault="00001F04" w:rsidP="00001F04">
                  <w:pPr>
                    <w:spacing w:after="60"/>
                    <w:rPr>
                      <w:iCs/>
                      <w:sz w:val="20"/>
                    </w:rPr>
                  </w:pPr>
                  <w:r w:rsidRPr="00A552C3">
                    <w:rPr>
                      <w:i/>
                      <w:iCs/>
                      <w:sz w:val="20"/>
                    </w:rPr>
                    <w:t>Voltage Support VAr Amount QSE total per QSE</w:t>
                  </w:r>
                  <w:r w:rsidRPr="00A552C3">
                    <w:rPr>
                      <w:iCs/>
                      <w:sz w:val="20"/>
                    </w:rPr>
                    <w:t xml:space="preserve">—The total of the payments to QSE </w:t>
                  </w:r>
                  <w:r w:rsidRPr="00A552C3">
                    <w:rPr>
                      <w:i/>
                      <w:iCs/>
                      <w:sz w:val="20"/>
                    </w:rPr>
                    <w:t>q</w:t>
                  </w:r>
                  <w:r w:rsidRPr="00A552C3">
                    <w:rPr>
                      <w:iCs/>
                      <w:sz w:val="20"/>
                    </w:rPr>
                    <w:t xml:space="preserve"> as compensation for VSS by this QSE for the 15-minute settlement interval.</w:t>
                  </w:r>
                </w:p>
              </w:tc>
            </w:tr>
            <w:tr w:rsidR="00001F04" w:rsidRPr="00A552C3" w14:paraId="1D89EC52"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D8B3237" w14:textId="77777777" w:rsidR="00001F04" w:rsidRPr="00A552C3" w:rsidRDefault="00001F04" w:rsidP="00001F04">
                  <w:pPr>
                    <w:spacing w:after="60"/>
                    <w:rPr>
                      <w:i/>
                      <w:iCs/>
                      <w:sz w:val="20"/>
                    </w:rPr>
                  </w:pPr>
                  <w:r w:rsidRPr="00A552C3">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5012421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77F6671" w14:textId="77777777" w:rsidR="00001F04" w:rsidRPr="00A552C3" w:rsidRDefault="00001F04" w:rsidP="00001F04">
                  <w:pPr>
                    <w:spacing w:after="60"/>
                    <w:rPr>
                      <w:iCs/>
                      <w:sz w:val="20"/>
                    </w:rPr>
                  </w:pPr>
                  <w:r w:rsidRPr="00A552C3">
                    <w:rPr>
                      <w:iCs/>
                      <w:sz w:val="20"/>
                    </w:rPr>
                    <w:t>A QSE.</w:t>
                  </w:r>
                </w:p>
              </w:tc>
            </w:tr>
            <w:tr w:rsidR="00001F04" w:rsidRPr="00A552C3" w14:paraId="4983165F"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4F3BD583" w14:textId="77777777" w:rsidR="00001F04" w:rsidRPr="00A552C3" w:rsidRDefault="00001F04" w:rsidP="00001F04">
                  <w:pPr>
                    <w:spacing w:after="60"/>
                    <w:rPr>
                      <w:i/>
                      <w:iCs/>
                      <w:sz w:val="20"/>
                    </w:rPr>
                  </w:pPr>
                  <w:r w:rsidRPr="00A552C3">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457AE69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6EE280C" w14:textId="5D41E0CA"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44FE1553" w14:textId="77777777" w:rsidR="00001F04" w:rsidRPr="00A552C3" w:rsidRDefault="00001F04" w:rsidP="00001F04"/>
          <w:p w14:paraId="6284F0AF" w14:textId="335B8A31" w:rsidR="00001F04" w:rsidRPr="00A552C3" w:rsidRDefault="00001F04" w:rsidP="00001F04">
            <w:pPr>
              <w:spacing w:after="240"/>
              <w:ind w:left="720" w:hanging="720"/>
              <w:rPr>
                <w:iCs/>
              </w:rPr>
            </w:pPr>
            <w:r w:rsidRPr="00A552C3">
              <w:t>(</w:t>
            </w:r>
            <w:r w:rsidR="008152FC">
              <w:t>5</w:t>
            </w:r>
            <w:r w:rsidRPr="00A552C3">
              <w:t>)</w:t>
            </w:r>
            <w:r w:rsidRPr="00A552C3">
              <w:tab/>
              <w:t>The lost opportunity payment, if applicable:</w:t>
            </w:r>
          </w:p>
          <w:p w14:paraId="21125A1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581803FE" w14:textId="77777777"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b/>
                <w:sz w:val="22"/>
                <w:szCs w:val="22"/>
                <w:lang w:val="pt-BR"/>
              </w:rPr>
            </w:pPr>
            <w:r w:rsidRPr="00A552C3">
              <w:rPr>
                <w:b/>
                <w:bCs/>
                <w:lang w:val="pt-BR"/>
              </w:rPr>
              <w:t xml:space="preserve">VSSEAMT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  - </w:t>
            </w:r>
            <w:r w:rsidRPr="00A552C3">
              <w:rPr>
                <w:b/>
                <w:bCs/>
              </w:rPr>
              <w:t>NETVSSA</w:t>
            </w:r>
            <w:r w:rsidRPr="00A552C3">
              <w:rPr>
                <w:b/>
                <w:bCs/>
                <w:i/>
                <w:vertAlign w:val="subscript"/>
              </w:rPr>
              <w:t xml:space="preserve"> q, r</w:t>
            </w:r>
            <w:r w:rsidRPr="00A552C3">
              <w:rPr>
                <w:b/>
                <w:bCs/>
                <w:lang w:val="pt-BR"/>
              </w:rPr>
              <w:t>)))</w:t>
            </w:r>
          </w:p>
          <w:p w14:paraId="2C5E11F9" w14:textId="158D164A" w:rsidR="00001F04" w:rsidRPr="00001F04" w:rsidRDefault="008152FC" w:rsidP="008152FC">
            <w:pPr>
              <w:spacing w:after="240"/>
              <w:ind w:left="720" w:hanging="720"/>
              <w:rPr>
                <w:lang w:val="pt-BR"/>
              </w:rPr>
            </w:pPr>
            <w:r w:rsidRPr="00A552C3">
              <w:tab/>
            </w:r>
            <w:r w:rsidR="00001F04" w:rsidRPr="00001F04">
              <w:rPr>
                <w:bCs/>
                <w:lang w:val="pt-BR"/>
              </w:rPr>
              <w:t>Otherwise</w:t>
            </w:r>
            <w:r>
              <w:rPr>
                <w:bCs/>
                <w:lang w:val="pt-BR"/>
              </w:rPr>
              <w:t>, for Generation Resources or ESRs that have a net injection for the Settlement Interval</w:t>
            </w:r>
            <w:r w:rsidR="00001F04" w:rsidRPr="00001F04">
              <w:rPr>
                <w:bCs/>
                <w:lang w:val="pt-BR"/>
              </w:rPr>
              <w:t>:</w:t>
            </w:r>
          </w:p>
          <w:p w14:paraId="72F85221" w14:textId="64F76B62" w:rsidR="00001F04" w:rsidRDefault="00001F04" w:rsidP="00001F04">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Pr>
                <w:lang w:val="pt-BR"/>
              </w:rPr>
              <w:t xml:space="preserve">=     </w:t>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r w:rsidRPr="00A552C3">
              <w:rPr>
                <w:bCs w:val="0"/>
              </w:rPr>
              <w:t>NETVSSA</w:t>
            </w:r>
            <w:r w:rsidRPr="00A552C3">
              <w:rPr>
                <w:bCs w:val="0"/>
                <w:i/>
                <w:vertAlign w:val="subscript"/>
              </w:rPr>
              <w:t xml:space="preserve"> q, r</w:t>
            </w:r>
            <w:r w:rsidRPr="00A552C3">
              <w:rPr>
                <w:lang w:val="pt-BR"/>
              </w:rPr>
              <w:t>)))</w:t>
            </w:r>
          </w:p>
          <w:p w14:paraId="2C45337C" w14:textId="77777777" w:rsidR="00001F04" w:rsidRPr="00001F04" w:rsidRDefault="00001F04" w:rsidP="00001F04">
            <w:pPr>
              <w:tabs>
                <w:tab w:val="left" w:pos="2340"/>
                <w:tab w:val="left" w:pos="3420"/>
              </w:tabs>
              <w:spacing w:after="240"/>
              <w:ind w:left="3420" w:hanging="2700"/>
              <w:rPr>
                <w:bCs/>
                <w:lang w:val="pt-BR"/>
              </w:rPr>
            </w:pPr>
            <w:r w:rsidRPr="00001F04">
              <w:rPr>
                <w:bCs/>
                <w:lang w:val="pt-BR"/>
              </w:rPr>
              <w:t>Where:</w:t>
            </w:r>
          </w:p>
          <w:p w14:paraId="75D4E82C" w14:textId="77777777" w:rsidR="00001F04" w:rsidRPr="00A552C3" w:rsidRDefault="00001F04" w:rsidP="00001F04">
            <w:pPr>
              <w:tabs>
                <w:tab w:val="left" w:pos="2340"/>
                <w:tab w:val="left" w:pos="3420"/>
              </w:tabs>
              <w:spacing w:after="240"/>
              <w:ind w:left="3420" w:hanging="2700"/>
              <w:rPr>
                <w:b/>
                <w:bCs/>
                <w:lang w:val="pt-BR"/>
              </w:rPr>
            </w:pPr>
            <w:r w:rsidRPr="00A552C3">
              <w:rPr>
                <w:bCs/>
              </w:rPr>
              <w:t>NETVSSA</w:t>
            </w:r>
            <w:r w:rsidRPr="00A552C3">
              <w:rPr>
                <w:bCs/>
                <w:i/>
                <w:vertAlign w:val="subscript"/>
              </w:rPr>
              <w:t xml:space="preserve"> q, r</w:t>
            </w:r>
            <w:r w:rsidRPr="00A552C3">
              <w:rPr>
                <w:bCs/>
              </w:rPr>
              <w:t xml:space="preserve"> = RTCL </w:t>
            </w:r>
            <w:r w:rsidRPr="00A552C3">
              <w:rPr>
                <w:bCs/>
                <w:i/>
                <w:vertAlign w:val="subscript"/>
              </w:rPr>
              <w:t xml:space="preserve">q, r </w:t>
            </w:r>
            <w:r w:rsidRPr="00A552C3">
              <w:rPr>
                <w:bCs/>
                <w:i/>
              </w:rPr>
              <w:t xml:space="preserve">+ </w:t>
            </w:r>
            <w:r w:rsidRPr="00A552C3">
              <w:rPr>
                <w:bCs/>
              </w:rPr>
              <w:t xml:space="preserve">RTMG </w:t>
            </w:r>
            <w:r w:rsidRPr="00A552C3">
              <w:rPr>
                <w:bCs/>
                <w:i/>
                <w:vertAlign w:val="subscript"/>
              </w:rPr>
              <w:t>q, r</w:t>
            </w:r>
          </w:p>
          <w:p w14:paraId="03DBCECF" w14:textId="3F383AC9"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sz w:val="22"/>
                <w:szCs w:val="22"/>
                <w:lang w:val="pt-BR"/>
              </w:rPr>
            </w:pPr>
            <w:r w:rsidRPr="00A552C3">
              <w:rPr>
                <w:bCs/>
                <w:lang w:val="pt-BR"/>
              </w:rPr>
              <w:t>For an ESR that is not a WSL:</w:t>
            </w:r>
          </w:p>
          <w:p w14:paraId="22998131" w14:textId="77777777" w:rsidR="00001F04" w:rsidRPr="00A552C3" w:rsidRDefault="00001F04" w:rsidP="00001F04">
            <w:pPr>
              <w:tabs>
                <w:tab w:val="left" w:pos="2340"/>
                <w:tab w:val="left" w:pos="3420"/>
              </w:tabs>
              <w:spacing w:after="240"/>
              <w:ind w:left="3420" w:hanging="2700"/>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74460CB7">
                <v:shape id="_x0000_i1230" type="#_x0000_t75" style="width:12pt;height:24pt" o:ole="">
                  <v:imagedata r:id="rId127" o:title=""/>
                </v:shape>
                <o:OLEObject Type="Embed" ProgID="Equation.3" ShapeID="_x0000_i1230" DrawAspect="Content" ObjectID="_1804653714" r:id="rId283"/>
              </w:object>
            </w:r>
            <w:r w:rsidRPr="00A552C3">
              <w:rPr>
                <w:bCs/>
              </w:rPr>
              <w:t xml:space="preserve"> MEBR </w:t>
            </w:r>
            <w:r w:rsidRPr="00A552C3">
              <w:rPr>
                <w:bCs/>
                <w:i/>
                <w:vertAlign w:val="subscript"/>
              </w:rPr>
              <w:t>q, r, b</w:t>
            </w:r>
            <w:r w:rsidRPr="00A552C3">
              <w:rPr>
                <w:bCs/>
              </w:rPr>
              <w:t xml:space="preserve"> </w:t>
            </w:r>
          </w:p>
          <w:p w14:paraId="75FDEBCC" w14:textId="77777777" w:rsidR="00001F04" w:rsidRPr="00A552C3" w:rsidRDefault="00001F04" w:rsidP="00001F04">
            <w:pPr>
              <w:tabs>
                <w:tab w:val="left" w:pos="2340"/>
                <w:tab w:val="left" w:pos="3420"/>
              </w:tabs>
              <w:spacing w:after="240"/>
              <w:ind w:left="3420" w:hanging="2700"/>
            </w:pPr>
            <w:r w:rsidRPr="00A552C3">
              <w:rPr>
                <w:bCs/>
              </w:rPr>
              <w:t>And for an ESR that is a WSL:</w:t>
            </w:r>
          </w:p>
          <w:p w14:paraId="294BD763" w14:textId="77777777" w:rsidR="00001F04" w:rsidRPr="00A552C3" w:rsidRDefault="00001F04" w:rsidP="00001F04">
            <w:pPr>
              <w:tabs>
                <w:tab w:val="left" w:pos="2340"/>
                <w:tab w:val="left" w:pos="3420"/>
              </w:tabs>
              <w:spacing w:after="240"/>
              <w:ind w:left="3420" w:hanging="2700"/>
              <w:rPr>
                <w:i/>
                <w:vertAlign w:val="subscript"/>
              </w:rPr>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3E62BD98">
                <v:shape id="_x0000_i1231" type="#_x0000_t75" style="width:12pt;height:24pt" o:ole="">
                  <v:imagedata r:id="rId127" o:title=""/>
                </v:shape>
                <o:OLEObject Type="Embed" ProgID="Equation.3" ShapeID="_x0000_i1231" DrawAspect="Content" ObjectID="_1804653715" r:id="rId284"/>
              </w:object>
            </w:r>
            <w:r w:rsidRPr="00A552C3">
              <w:rPr>
                <w:bCs/>
              </w:rPr>
              <w:t xml:space="preserve"> MEBL </w:t>
            </w:r>
            <w:r w:rsidRPr="00A552C3">
              <w:rPr>
                <w:bCs/>
                <w:i/>
                <w:vertAlign w:val="subscript"/>
              </w:rPr>
              <w:t>q, r, b</w:t>
            </w:r>
            <w:r w:rsidRPr="00A552C3">
              <w:rPr>
                <w:bCs/>
              </w:rPr>
              <w:t xml:space="preserve"> </w:t>
            </w:r>
          </w:p>
          <w:p w14:paraId="5D92C88E" w14:textId="77777777" w:rsidR="00001F04" w:rsidRPr="00A552C3" w:rsidRDefault="00001F04" w:rsidP="00001F04">
            <w:r w:rsidRPr="00A552C3">
              <w:t>The above variables are defined as follows: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839"/>
              <w:gridCol w:w="6775"/>
            </w:tblGrid>
            <w:tr w:rsidR="00001F04" w:rsidRPr="00A552C3" w14:paraId="5EAB85CE" w14:textId="77777777" w:rsidTr="00001F04">
              <w:trPr>
                <w:cantSplit/>
                <w:tblHeader/>
              </w:trPr>
              <w:tc>
                <w:tcPr>
                  <w:tcW w:w="823" w:type="pct"/>
                  <w:tcBorders>
                    <w:top w:val="single" w:sz="4" w:space="0" w:color="auto"/>
                    <w:left w:val="single" w:sz="4" w:space="0" w:color="auto"/>
                    <w:bottom w:val="single" w:sz="4" w:space="0" w:color="auto"/>
                    <w:right w:val="single" w:sz="4" w:space="0" w:color="auto"/>
                  </w:tcBorders>
                  <w:hideMark/>
                </w:tcPr>
                <w:p w14:paraId="6324D663" w14:textId="77777777" w:rsidR="00001F04" w:rsidRPr="00622175" w:rsidRDefault="00001F04" w:rsidP="00001F04">
                  <w:pPr>
                    <w:pStyle w:val="TableHead"/>
                    <w:spacing w:line="256" w:lineRule="auto"/>
                  </w:pPr>
                  <w:r w:rsidRPr="0018785B">
                    <w:rPr>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74175E6" w14:textId="77777777" w:rsidR="00001F04" w:rsidRPr="00A552C3" w:rsidRDefault="00001F04" w:rsidP="00001F04">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4554BB8A" w14:textId="77777777" w:rsidR="00001F04" w:rsidRPr="00A552C3" w:rsidRDefault="00001F04" w:rsidP="00001F04">
                  <w:pPr>
                    <w:pStyle w:val="TableHead"/>
                    <w:spacing w:line="256" w:lineRule="auto"/>
                  </w:pPr>
                  <w:r w:rsidRPr="00A552C3">
                    <w:t>Definition</w:t>
                  </w:r>
                </w:p>
              </w:tc>
            </w:tr>
            <w:tr w:rsidR="00001F04" w:rsidRPr="00A552C3" w14:paraId="3B3811EA"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5392685" w14:textId="77777777" w:rsidR="00001F04" w:rsidRPr="00001F04" w:rsidRDefault="00001F04" w:rsidP="00001F04">
                  <w:pPr>
                    <w:pStyle w:val="TableBody"/>
                    <w:spacing w:line="256" w:lineRule="auto"/>
                  </w:pPr>
                  <w:r w:rsidRPr="00001F04">
                    <w:t xml:space="preserve">VSSEAMT </w:t>
                  </w:r>
                  <w:r w:rsidRPr="00001F04">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C87B1BB" w14:textId="77777777" w:rsidR="00001F04" w:rsidRPr="00A552C3" w:rsidRDefault="00001F04" w:rsidP="00001F04">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CBA1EAF" w14:textId="77777777" w:rsidR="00001F04" w:rsidRPr="00A552C3" w:rsidRDefault="00001F04" w:rsidP="00001F04">
                  <w:pPr>
                    <w:pStyle w:val="TableBody"/>
                    <w:spacing w:line="256" w:lineRule="auto"/>
                  </w:pPr>
                  <w:r w:rsidRPr="00A552C3">
                    <w:rPr>
                      <w:i/>
                    </w:rPr>
                    <w:t>Voltage Support Service Energy Amount per QSE per Resource</w:t>
                  </w:r>
                  <w:r w:rsidRPr="00A552C3">
                    <w:t xml:space="preserve">—The lost opportunity payment to QSE </w:t>
                  </w:r>
                  <w:r w:rsidRPr="00A552C3">
                    <w:rPr>
                      <w:i/>
                    </w:rPr>
                    <w:t>q</w:t>
                  </w:r>
                  <w:r w:rsidRPr="00A552C3">
                    <w:t xml:space="preserve"> for ERCOT-directed VSS from Resource </w:t>
                  </w:r>
                  <w:r w:rsidRPr="0018785B">
                    <w:rPr>
                      <w:i/>
                    </w:rPr>
                    <w:t>r</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4EB20E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1141F0A" w14:textId="77777777" w:rsidR="00001F04" w:rsidRPr="00A552C3" w:rsidRDefault="00001F04" w:rsidP="00001F04">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BF7A517"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568530E8" w14:textId="77777777" w:rsidR="00001F04" w:rsidRPr="00A552C3" w:rsidRDefault="00001F04" w:rsidP="00001F04">
                  <w:pPr>
                    <w:pStyle w:val="TableBody"/>
                    <w:spacing w:line="256" w:lineRule="auto"/>
                    <w:rPr>
                      <w:i/>
                    </w:rPr>
                  </w:pPr>
                  <w:r w:rsidRPr="00A552C3">
                    <w:rPr>
                      <w:i/>
                    </w:rPr>
                    <w:t>Real-Time Metered Generation per QSE per Resource</w:t>
                  </w:r>
                  <w:r w:rsidRPr="00A552C3">
                    <w:t xml:space="preserve">—The Real-Time metered generation of 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381F77A3"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FD1AD11" w14:textId="77777777" w:rsidR="00001F04" w:rsidRPr="00A552C3" w:rsidRDefault="00001F04" w:rsidP="00001F04">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49E91C53"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0EF06A02" w14:textId="77777777" w:rsidR="00001F04" w:rsidRPr="00A552C3" w:rsidRDefault="00001F04" w:rsidP="00001F04">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001F04" w:rsidRPr="00A552C3" w14:paraId="3959E82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2A3D88CD" w14:textId="1C70BF4A" w:rsidR="00001F04" w:rsidRPr="00A552C3" w:rsidRDefault="00001F04" w:rsidP="00001F04">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5B5D91F" w14:textId="11FB3DC8"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7C573A06" w14:textId="6AF5BC9F" w:rsidR="00001F04" w:rsidRPr="00A552C3" w:rsidRDefault="00001F04" w:rsidP="00001F04">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Where for a Combined Cycle Train, the Resource </w:t>
                  </w:r>
                  <w:r w:rsidRPr="00A552C3">
                    <w:rPr>
                      <w:i/>
                    </w:rPr>
                    <w:t>r</w:t>
                  </w:r>
                  <w:r w:rsidRPr="00A552C3">
                    <w:t xml:space="preserve"> is the Combined Cycle Train.</w:t>
                  </w:r>
                </w:p>
              </w:tc>
            </w:tr>
            <w:tr w:rsidR="00001F04" w:rsidRPr="00A552C3" w14:paraId="75C47570" w14:textId="77777777" w:rsidTr="00001F04">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DF9DDF2" w14:textId="77777777" w:rsidR="00001F04" w:rsidRPr="00A552C3" w:rsidRDefault="00001F04" w:rsidP="00001F04">
                  <w:pPr>
                    <w:pStyle w:val="TableBody"/>
                    <w:spacing w:line="256" w:lineRule="auto"/>
                    <w:rPr>
                      <w:i/>
                      <w:noProof/>
                    </w:rPr>
                  </w:pPr>
                </w:p>
              </w:tc>
            </w:tr>
            <w:tr w:rsidR="00001F04" w:rsidRPr="00A552C3" w14:paraId="205B77AF"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CDA3284" w14:textId="77777777" w:rsidR="00001F04" w:rsidRPr="00A552C3" w:rsidRDefault="00001F04" w:rsidP="00001F04">
                  <w:pPr>
                    <w:spacing w:after="60"/>
                    <w:rPr>
                      <w:iCs/>
                      <w:sz w:val="20"/>
                    </w:rPr>
                  </w:pPr>
                  <w:r w:rsidRPr="00A552C3">
                    <w:rPr>
                      <w:iCs/>
                      <w:sz w:val="20"/>
                    </w:rPr>
                    <w:lastRenderedPageBreak/>
                    <w:t>NETVSSA</w:t>
                  </w:r>
                  <w:r w:rsidRPr="00A552C3">
                    <w:rPr>
                      <w:i/>
                      <w:iCs/>
                      <w:sz w:val="20"/>
                      <w:vertAlign w:val="subscript"/>
                    </w:rPr>
                    <w:t xml:space="preserve"> q, r</w:t>
                  </w:r>
                </w:p>
              </w:tc>
              <w:tc>
                <w:tcPr>
                  <w:tcW w:w="460" w:type="pct"/>
                  <w:tcBorders>
                    <w:top w:val="single" w:sz="4" w:space="0" w:color="auto"/>
                    <w:left w:val="single" w:sz="4" w:space="0" w:color="auto"/>
                    <w:bottom w:val="single" w:sz="4" w:space="0" w:color="auto"/>
                    <w:right w:val="single" w:sz="4" w:space="0" w:color="auto"/>
                  </w:tcBorders>
                  <w:hideMark/>
                </w:tcPr>
                <w:p w14:paraId="29D0A9ED"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4513B6E0" w14:textId="77777777" w:rsidR="00001F04" w:rsidRPr="00A552C3" w:rsidRDefault="00001F04" w:rsidP="00001F04">
                  <w:pPr>
                    <w:spacing w:after="60"/>
                    <w:rPr>
                      <w:i/>
                      <w:iCs/>
                      <w:sz w:val="20"/>
                    </w:rPr>
                  </w:pPr>
                  <w:r w:rsidRPr="00A552C3">
                    <w:rPr>
                      <w:i/>
                      <w:iCs/>
                      <w:sz w:val="20"/>
                    </w:rPr>
                    <w:t>Net VSS Activity</w:t>
                  </w:r>
                  <w:r w:rsidRPr="00A552C3">
                    <w:rPr>
                      <w:iCs/>
                      <w:sz w:val="20"/>
                    </w:rPr>
                    <w:t xml:space="preserve">—The sum of the total energy metered by the Settlement Meter which measures ESR load and the RTMG, for Resource </w:t>
                  </w:r>
                  <w:r w:rsidRPr="00A552C3">
                    <w:rPr>
                      <w:i/>
                      <w:iCs/>
                      <w:sz w:val="20"/>
                    </w:rPr>
                    <w:t xml:space="preserve">r </w:t>
                  </w:r>
                  <w:r w:rsidRPr="00A552C3">
                    <w:rPr>
                      <w:iCs/>
                      <w:sz w:val="20"/>
                    </w:rPr>
                    <w:t xml:space="preserve">represented by the QSE </w:t>
                  </w:r>
                  <w:r w:rsidRPr="00A552C3">
                    <w:rPr>
                      <w:i/>
                      <w:iCs/>
                      <w:sz w:val="20"/>
                    </w:rPr>
                    <w:t xml:space="preserve">q </w:t>
                  </w:r>
                  <w:r w:rsidRPr="00A552C3">
                    <w:rPr>
                      <w:iCs/>
                      <w:sz w:val="20"/>
                    </w:rPr>
                    <w:t xml:space="preserve">for the 15-minute Settlement Interval. </w:t>
                  </w:r>
                </w:p>
              </w:tc>
            </w:tr>
            <w:tr w:rsidR="00001F04" w:rsidRPr="00A552C3" w14:paraId="3AA27934"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00B32E9" w14:textId="77777777" w:rsidR="00001F04" w:rsidRPr="00A552C3" w:rsidRDefault="00001F04" w:rsidP="00001F04">
                  <w:pPr>
                    <w:spacing w:after="60"/>
                    <w:rPr>
                      <w:iCs/>
                      <w:sz w:val="20"/>
                    </w:rPr>
                  </w:pPr>
                  <w:r w:rsidRPr="00A552C3">
                    <w:rPr>
                      <w:iCs/>
                      <w:sz w:val="20"/>
                    </w:rPr>
                    <w:t xml:space="preserve">RTCL </w:t>
                  </w:r>
                  <w:r w:rsidRPr="00A552C3">
                    <w:rPr>
                      <w:i/>
                      <w:iCs/>
                      <w:sz w:val="2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8AD19A4"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23BD924E" w14:textId="77777777" w:rsidR="00001F04" w:rsidRPr="00A552C3" w:rsidRDefault="00001F04" w:rsidP="00001F04">
                  <w:pPr>
                    <w:spacing w:after="60"/>
                    <w:rPr>
                      <w:iCs/>
                      <w:sz w:val="20"/>
                    </w:rPr>
                  </w:pPr>
                  <w:r w:rsidRPr="00A552C3">
                    <w:rPr>
                      <w:i/>
                      <w:iCs/>
                      <w:sz w:val="20"/>
                    </w:rPr>
                    <w:t xml:space="preserve">Real-Time Charging Load per QSE per Resource </w:t>
                  </w:r>
                  <w:r w:rsidRPr="00A552C3">
                    <w:rPr>
                      <w:iCs/>
                      <w:sz w:val="20"/>
                    </w:rPr>
                    <w:t xml:space="preserve">—The charging load for Resource </w:t>
                  </w:r>
                  <w:r w:rsidRPr="00A552C3">
                    <w:rPr>
                      <w:i/>
                      <w:iCs/>
                      <w:sz w:val="20"/>
                    </w:rPr>
                    <w:t xml:space="preserve">r </w:t>
                  </w:r>
                  <w:r w:rsidRPr="00A552C3">
                    <w:rPr>
                      <w:iCs/>
                      <w:sz w:val="20"/>
                    </w:rPr>
                    <w:t xml:space="preserve">represented by the QSE </w:t>
                  </w:r>
                  <w:r w:rsidRPr="00A552C3">
                    <w:rPr>
                      <w:i/>
                      <w:iCs/>
                      <w:sz w:val="20"/>
                    </w:rPr>
                    <w:t>q</w:t>
                  </w:r>
                  <w:r w:rsidRPr="0091393B">
                    <w:rPr>
                      <w:iCs/>
                      <w:sz w:val="20"/>
                    </w:rPr>
                    <w:t>, represented as a negative value,</w:t>
                  </w:r>
                  <w:r w:rsidRPr="00A552C3">
                    <w:rPr>
                      <w:i/>
                      <w:iCs/>
                      <w:sz w:val="20"/>
                    </w:rPr>
                    <w:t xml:space="preserve"> </w:t>
                  </w:r>
                  <w:r w:rsidRPr="00A552C3">
                    <w:rPr>
                      <w:iCs/>
                      <w:sz w:val="20"/>
                    </w:rPr>
                    <w:t xml:space="preserve">for the 15-minute Settlement Interval. </w:t>
                  </w:r>
                </w:p>
              </w:tc>
            </w:tr>
            <w:tr w:rsidR="00001F04" w:rsidRPr="00A552C3" w14:paraId="6A9E8598"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6108295" w14:textId="77777777" w:rsidR="00001F04" w:rsidRPr="00A552C3" w:rsidRDefault="00001F04" w:rsidP="00001F04">
                  <w:pPr>
                    <w:spacing w:after="60"/>
                    <w:rPr>
                      <w:iCs/>
                      <w:sz w:val="20"/>
                    </w:rPr>
                  </w:pPr>
                  <w:r w:rsidRPr="00A552C3">
                    <w:rPr>
                      <w:bCs/>
                      <w:iCs/>
                      <w:sz w:val="20"/>
                    </w:rPr>
                    <w:t xml:space="preserve">MEBL </w:t>
                  </w:r>
                  <w:r w:rsidRPr="00A552C3">
                    <w:rPr>
                      <w:bCs/>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26E3491"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8E37F7C" w14:textId="705210C0" w:rsidR="00001F04" w:rsidRPr="00A552C3" w:rsidRDefault="00001F04" w:rsidP="00001F04">
                  <w:pPr>
                    <w:spacing w:after="60"/>
                    <w:rPr>
                      <w:i/>
                      <w:iCs/>
                      <w:sz w:val="20"/>
                    </w:rPr>
                  </w:pPr>
                  <w:r w:rsidRPr="00A552C3">
                    <w:rPr>
                      <w:i/>
                      <w:iCs/>
                      <w:sz w:val="20"/>
                    </w:rPr>
                    <w:t xml:space="preserve">Metered Energy for Wholesale Storage Load at </w:t>
                  </w:r>
                  <w:r w:rsidR="00D4088C">
                    <w:rPr>
                      <w:i/>
                      <w:iCs/>
                      <w:sz w:val="20"/>
                    </w:rPr>
                    <w:t>B</w:t>
                  </w:r>
                  <w:r w:rsidRPr="00A552C3">
                    <w:rPr>
                      <w:i/>
                      <w:iCs/>
                      <w:sz w:val="20"/>
                    </w:rPr>
                    <w:t>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001F04" w:rsidRPr="00A552C3" w14:paraId="2F51C582"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E781858" w14:textId="77777777" w:rsidR="00001F04" w:rsidRPr="00A552C3" w:rsidRDefault="00001F04" w:rsidP="00001F04">
                  <w:pPr>
                    <w:spacing w:after="60"/>
                    <w:rPr>
                      <w:iCs/>
                      <w:sz w:val="20"/>
                    </w:rPr>
                  </w:pPr>
                  <w:r w:rsidRPr="00A552C3">
                    <w:rPr>
                      <w:iCs/>
                      <w:sz w:val="20"/>
                    </w:rPr>
                    <w:t xml:space="preserve">MEBR </w:t>
                  </w:r>
                  <w:r w:rsidRPr="00A552C3">
                    <w:rPr>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04AD909"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2750BC8" w14:textId="77777777" w:rsidR="00001F04" w:rsidRPr="00A552C3" w:rsidRDefault="00001F04" w:rsidP="00001F04">
                  <w:pPr>
                    <w:spacing w:after="60"/>
                    <w:rPr>
                      <w:i/>
                      <w:iCs/>
                      <w:sz w:val="20"/>
                    </w:rPr>
                  </w:pPr>
                  <w:r w:rsidRPr="00A552C3">
                    <w:rPr>
                      <w:i/>
                      <w:iCs/>
                      <w:sz w:val="20"/>
                    </w:rPr>
                    <w:t xml:space="preserve">Metered Energy for Energy Storage Resource load at Bus </w:t>
                  </w:r>
                  <w:r w:rsidRPr="00A552C3">
                    <w:rPr>
                      <w:iCs/>
                      <w:sz w:val="20"/>
                    </w:rPr>
                    <w:t xml:space="preserve">- The energy metered by the Settlement Meter which measures ESR load that is not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r w:rsidRPr="00A552C3">
                    <w:rPr>
                      <w:i/>
                      <w:iCs/>
                      <w:sz w:val="20"/>
                    </w:rPr>
                    <w:t xml:space="preserve"> </w:t>
                  </w:r>
                </w:p>
              </w:tc>
            </w:tr>
            <w:tr w:rsidR="00001F04" w:rsidRPr="00A552C3" w14:paraId="6046B536"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6F12DB80" w14:textId="77777777" w:rsidR="00001F04" w:rsidRPr="00A552C3" w:rsidRDefault="00001F04" w:rsidP="00001F04">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417B9E15"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3E6C6AB7" w14:textId="77777777" w:rsidR="00001F04" w:rsidRPr="00A552C3" w:rsidRDefault="00001F04" w:rsidP="00001F04">
                  <w:pPr>
                    <w:pStyle w:val="TableBody"/>
                    <w:spacing w:line="256" w:lineRule="auto"/>
                  </w:pPr>
                  <w:r w:rsidRPr="00A552C3">
                    <w:rPr>
                      <w:i/>
                    </w:rPr>
                    <w:t>High Sustained Limit per QSE per Settlement Point per Resource</w:t>
                  </w:r>
                  <w:r w:rsidRPr="00A552C3">
                    <w:t xml:space="preserve">—The HSL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7DC0508C"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3A2C471" w14:textId="77777777" w:rsidR="00001F04" w:rsidRPr="00A552C3" w:rsidRDefault="00001F04" w:rsidP="00001F04">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656E523"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EA1517F" w14:textId="77777777" w:rsidR="00001F04" w:rsidRPr="00A552C3" w:rsidRDefault="00001F04" w:rsidP="00001F04">
                  <w:pPr>
                    <w:pStyle w:val="TableBody"/>
                    <w:spacing w:line="256" w:lineRule="auto"/>
                  </w:pPr>
                  <w:r w:rsidRPr="00A552C3">
                    <w:rPr>
                      <w:i/>
                    </w:rPr>
                    <w:t>Low Sustained Limit per QSE per Settlement Point per Resource</w:t>
                  </w:r>
                  <w:r w:rsidRPr="00A552C3">
                    <w:t xml:space="preserve">—The LSL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6FD3737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5DEFBC6" w14:textId="77777777" w:rsidR="00001F04" w:rsidRPr="00A552C3" w:rsidRDefault="00001F04" w:rsidP="00001F04">
                  <w:pPr>
                    <w:pStyle w:val="TableBody"/>
                    <w:spacing w:line="256" w:lineRule="auto"/>
                    <w:rPr>
                      <w:i/>
                    </w:rPr>
                  </w:pPr>
                  <w:r w:rsidRPr="00A552C3">
                    <w:rPr>
                      <w:i/>
                    </w:rPr>
                    <w:t>q</w:t>
                  </w:r>
                </w:p>
              </w:tc>
              <w:tc>
                <w:tcPr>
                  <w:tcW w:w="460" w:type="pct"/>
                  <w:tcBorders>
                    <w:top w:val="single" w:sz="4" w:space="0" w:color="auto"/>
                    <w:left w:val="single" w:sz="4" w:space="0" w:color="auto"/>
                    <w:bottom w:val="single" w:sz="4" w:space="0" w:color="auto"/>
                    <w:right w:val="single" w:sz="4" w:space="0" w:color="auto"/>
                  </w:tcBorders>
                  <w:hideMark/>
                </w:tcPr>
                <w:p w14:paraId="666DD0F1"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1DF58A9D" w14:textId="77777777" w:rsidR="00001F04" w:rsidRPr="00A552C3" w:rsidRDefault="00001F04" w:rsidP="00001F04">
                  <w:pPr>
                    <w:pStyle w:val="TableBody"/>
                    <w:spacing w:line="256" w:lineRule="auto"/>
                    <w:rPr>
                      <w:i/>
                      <w:iCs w:val="0"/>
                    </w:rPr>
                  </w:pPr>
                  <w:r w:rsidRPr="00A552C3">
                    <w:t>A QSE.</w:t>
                  </w:r>
                </w:p>
              </w:tc>
            </w:tr>
            <w:tr w:rsidR="00001F04" w:rsidRPr="00A552C3" w14:paraId="7C3CF98E"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E0077B1" w14:textId="77777777" w:rsidR="00001F04" w:rsidRPr="00A552C3" w:rsidRDefault="00001F04" w:rsidP="00001F04">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2FC7946"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AC54034" w14:textId="77777777" w:rsidR="00001F04" w:rsidRPr="00A552C3" w:rsidRDefault="00001F04" w:rsidP="00001F04">
                  <w:pPr>
                    <w:pStyle w:val="TableBody"/>
                    <w:spacing w:line="256" w:lineRule="auto"/>
                    <w:rPr>
                      <w:i/>
                      <w:iCs w:val="0"/>
                    </w:rPr>
                  </w:pPr>
                  <w:r w:rsidRPr="00A552C3">
                    <w:t>A Generation Resource or ESR.</w:t>
                  </w:r>
                </w:p>
              </w:tc>
            </w:tr>
            <w:tr w:rsidR="00001F04" w:rsidRPr="00A552C3" w14:paraId="2F2EE3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4A3EC7BA" w14:textId="77777777" w:rsidR="00001F04" w:rsidRPr="00A552C3" w:rsidRDefault="00001F04" w:rsidP="00001F04">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6581103F"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23592D63" w14:textId="77777777" w:rsidR="00001F04" w:rsidRPr="00A552C3" w:rsidRDefault="00001F04" w:rsidP="00001F04">
                  <w:pPr>
                    <w:pStyle w:val="TableBody"/>
                    <w:spacing w:line="256" w:lineRule="auto"/>
                  </w:pPr>
                  <w:r w:rsidRPr="00A552C3">
                    <w:t>A Resource Node Settlement Point.</w:t>
                  </w:r>
                </w:p>
              </w:tc>
            </w:tr>
            <w:tr w:rsidR="00001F04" w:rsidRPr="00A552C3" w14:paraId="565D5EE7"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34C8D9B0" w14:textId="77777777" w:rsidR="00001F04" w:rsidRPr="00A552C3" w:rsidRDefault="00001F04" w:rsidP="00001F04">
                  <w:pPr>
                    <w:pStyle w:val="TableBody"/>
                    <w:spacing w:line="256" w:lineRule="auto"/>
                    <w:rPr>
                      <w:i/>
                    </w:rPr>
                  </w:pPr>
                  <w:r w:rsidRPr="00A552C3">
                    <w:rPr>
                      <w:i/>
                    </w:rPr>
                    <w:t>b</w:t>
                  </w:r>
                </w:p>
              </w:tc>
              <w:tc>
                <w:tcPr>
                  <w:tcW w:w="460" w:type="pct"/>
                  <w:tcBorders>
                    <w:top w:val="single" w:sz="4" w:space="0" w:color="auto"/>
                    <w:left w:val="single" w:sz="4" w:space="0" w:color="auto"/>
                    <w:bottom w:val="single" w:sz="4" w:space="0" w:color="auto"/>
                    <w:right w:val="single" w:sz="4" w:space="0" w:color="auto"/>
                  </w:tcBorders>
                  <w:hideMark/>
                </w:tcPr>
                <w:p w14:paraId="185413B9"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6C85716D" w14:textId="77777777" w:rsidR="00001F04" w:rsidRPr="00A552C3" w:rsidRDefault="00001F04" w:rsidP="00001F04">
                  <w:pPr>
                    <w:pStyle w:val="TableBody"/>
                    <w:spacing w:line="256" w:lineRule="auto"/>
                  </w:pPr>
                  <w:r w:rsidRPr="00A552C3">
                    <w:t>An Electrical Bus.</w:t>
                  </w:r>
                </w:p>
              </w:tc>
            </w:tr>
          </w:tbl>
          <w:p w14:paraId="570EAAF1" w14:textId="1B15DAE5" w:rsidR="00001F04" w:rsidRPr="00A552C3" w:rsidRDefault="00001F04" w:rsidP="00001F04">
            <w:pPr>
              <w:spacing w:before="240" w:after="240"/>
              <w:ind w:left="720" w:hanging="720"/>
            </w:pPr>
            <w:r w:rsidRPr="00A552C3">
              <w:t>(</w:t>
            </w:r>
            <w:r w:rsidR="00D4088C">
              <w:t>6</w:t>
            </w:r>
            <w:r w:rsidRPr="00A552C3">
              <w:t>)</w:t>
            </w:r>
            <w:r w:rsidRPr="00A552C3">
              <w:tab/>
              <w:t>The total of the payments to each QSE for ERCOT-directed power reduction to provide VSS for a given 15-minute Settlement Interval is calculated as follows:</w:t>
            </w:r>
          </w:p>
          <w:p w14:paraId="68C0D663" w14:textId="77777777" w:rsidR="00001F04" w:rsidRPr="00A552C3" w:rsidRDefault="00001F04" w:rsidP="00001F04">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6D104675">
                <v:shape id="_x0000_i1232" type="#_x0000_t75" style="width:24pt;height:36.6pt" o:ole="">
                  <v:imagedata r:id="rId279" o:title=""/>
                </v:shape>
                <o:OLEObject Type="Embed" ProgID="Equation.3" ShapeID="_x0000_i1232" DrawAspect="Content" ObjectID="_1804653716" r:id="rId285"/>
              </w:object>
            </w:r>
            <w:r w:rsidRPr="00A552C3">
              <w:rPr>
                <w:b/>
                <w:bCs/>
              </w:rPr>
              <w:t xml:space="preserve">VSSEAMT </w:t>
            </w:r>
            <w:r w:rsidRPr="00A552C3">
              <w:rPr>
                <w:b/>
                <w:bCs/>
                <w:i/>
                <w:vertAlign w:val="subscript"/>
              </w:rPr>
              <w:t>q, r</w:t>
            </w:r>
          </w:p>
          <w:p w14:paraId="48ED70F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36"/>
              <w:gridCol w:w="6100"/>
            </w:tblGrid>
            <w:tr w:rsidR="00001F04" w:rsidRPr="00A552C3" w14:paraId="387C2B87" w14:textId="77777777" w:rsidTr="00C952ED">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58130413" w14:textId="77777777" w:rsidR="00001F04" w:rsidRPr="00895576" w:rsidRDefault="00001F04" w:rsidP="00001F04">
                  <w:pPr>
                    <w:spacing w:after="240"/>
                    <w:rPr>
                      <w:b/>
                      <w:iCs/>
                      <w:sz w:val="20"/>
                    </w:rPr>
                  </w:pPr>
                  <w:r w:rsidRPr="00233C78">
                    <w:rPr>
                      <w:b/>
                      <w:sz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C903905" w14:textId="77777777" w:rsidR="00001F04" w:rsidRPr="00A552C3" w:rsidRDefault="00001F04" w:rsidP="00001F04">
                  <w:pPr>
                    <w:spacing w:after="240"/>
                    <w:rPr>
                      <w:b/>
                      <w:iCs/>
                      <w:sz w:val="20"/>
                    </w:rPr>
                  </w:pPr>
                  <w:r w:rsidRPr="00A552C3">
                    <w:rPr>
                      <w:b/>
                      <w:iCs/>
                      <w:sz w:val="20"/>
                    </w:rPr>
                    <w:t>Unit</w:t>
                  </w:r>
                </w:p>
              </w:tc>
              <w:tc>
                <w:tcPr>
                  <w:tcW w:w="3348" w:type="pct"/>
                  <w:tcBorders>
                    <w:top w:val="single" w:sz="4" w:space="0" w:color="auto"/>
                    <w:left w:val="single" w:sz="4" w:space="0" w:color="auto"/>
                    <w:bottom w:val="single" w:sz="4" w:space="0" w:color="auto"/>
                    <w:right w:val="single" w:sz="4" w:space="0" w:color="auto"/>
                  </w:tcBorders>
                  <w:hideMark/>
                </w:tcPr>
                <w:p w14:paraId="73E87923" w14:textId="77777777" w:rsidR="00001F04" w:rsidRPr="00A552C3" w:rsidRDefault="00001F04" w:rsidP="00001F04">
                  <w:pPr>
                    <w:spacing w:after="240"/>
                    <w:rPr>
                      <w:b/>
                      <w:iCs/>
                      <w:sz w:val="20"/>
                    </w:rPr>
                  </w:pPr>
                  <w:r w:rsidRPr="00A552C3">
                    <w:rPr>
                      <w:b/>
                      <w:iCs/>
                      <w:sz w:val="20"/>
                    </w:rPr>
                    <w:t>Definition</w:t>
                  </w:r>
                </w:p>
              </w:tc>
            </w:tr>
            <w:tr w:rsidR="00001F04" w:rsidRPr="00A552C3" w14:paraId="4E6C5581"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0E9E9E9B" w14:textId="77777777" w:rsidR="00001F04" w:rsidRPr="00895576" w:rsidRDefault="00001F04" w:rsidP="00001F04">
                  <w:pPr>
                    <w:spacing w:after="60"/>
                    <w:rPr>
                      <w:iCs/>
                      <w:sz w:val="20"/>
                    </w:rPr>
                  </w:pPr>
                  <w:r w:rsidRPr="00233C78">
                    <w:rPr>
                      <w:iCs/>
                      <w:sz w:val="20"/>
                    </w:rPr>
                    <w:t xml:space="preserve">VSSEAMTQSETOT </w:t>
                  </w:r>
                  <w:r w:rsidRPr="00233C78">
                    <w:rPr>
                      <w:i/>
                      <w:iCs/>
                      <w:sz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76375B80"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44BE2A5F" w14:textId="77777777" w:rsidR="00001F04" w:rsidRPr="00A552C3" w:rsidRDefault="00001F04" w:rsidP="00001F04">
                  <w:pPr>
                    <w:spacing w:after="60"/>
                    <w:rPr>
                      <w:iCs/>
                      <w:sz w:val="20"/>
                    </w:rPr>
                  </w:pPr>
                  <w:r w:rsidRPr="00A552C3">
                    <w:rPr>
                      <w:i/>
                      <w:iCs/>
                      <w:sz w:val="20"/>
                    </w:rPr>
                    <w:t>Voltage Support Service Lost Opportunity Amount QSE Total per QSE</w:t>
                  </w:r>
                  <w:r w:rsidRPr="00A552C3">
                    <w:rPr>
                      <w:iCs/>
                      <w:sz w:val="20"/>
                    </w:rPr>
                    <w:sym w:font="Symbol" w:char="F0BE"/>
                  </w:r>
                  <w:r w:rsidRPr="00A552C3">
                    <w:rPr>
                      <w:iCs/>
                      <w:sz w:val="20"/>
                    </w:rPr>
                    <w:t xml:space="preserve">The total of the lost opportunity payments to QSE </w:t>
                  </w:r>
                  <w:r w:rsidRPr="00A552C3">
                    <w:rPr>
                      <w:i/>
                      <w:iCs/>
                      <w:sz w:val="20"/>
                    </w:rPr>
                    <w:t>q</w:t>
                  </w:r>
                  <w:r w:rsidRPr="00A552C3">
                    <w:rPr>
                      <w:iCs/>
                      <w:sz w:val="20"/>
                    </w:rPr>
                    <w:t xml:space="preserve"> for providing VSS for providing ERCOT-directed VSS for the 15-minute Settlement Interval.</w:t>
                  </w:r>
                </w:p>
              </w:tc>
            </w:tr>
            <w:tr w:rsidR="00001F04" w:rsidRPr="00A552C3" w14:paraId="6AB4AE2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2D190B48" w14:textId="77777777" w:rsidR="00001F04" w:rsidRPr="00A552C3" w:rsidRDefault="00001F04" w:rsidP="00001F04">
                  <w:pPr>
                    <w:spacing w:after="60"/>
                    <w:rPr>
                      <w:iCs/>
                      <w:sz w:val="20"/>
                    </w:rPr>
                  </w:pPr>
                  <w:r w:rsidRPr="00A552C3">
                    <w:rPr>
                      <w:iCs/>
                      <w:sz w:val="20"/>
                    </w:rPr>
                    <w:t xml:space="preserve">VSSEAMT </w:t>
                  </w:r>
                  <w:r w:rsidRPr="00A552C3">
                    <w:rPr>
                      <w:i/>
                      <w:iCs/>
                      <w:sz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34D2A5B2"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102B5DA8" w14:textId="77777777" w:rsidR="00001F04" w:rsidRPr="00A552C3" w:rsidRDefault="00001F04" w:rsidP="00001F04">
                  <w:pPr>
                    <w:spacing w:after="60"/>
                    <w:rPr>
                      <w:iCs/>
                      <w:sz w:val="20"/>
                    </w:rPr>
                  </w:pPr>
                  <w:r w:rsidRPr="00A552C3">
                    <w:rPr>
                      <w:i/>
                      <w:iCs/>
                      <w:sz w:val="20"/>
                    </w:rPr>
                    <w:t>Voltage Support Service Energy Amount per QSE per Settlement Point per Resource</w:t>
                  </w:r>
                  <w:r w:rsidRPr="00A552C3">
                    <w:rPr>
                      <w:iCs/>
                      <w:sz w:val="20"/>
                    </w:rPr>
                    <w:t xml:space="preserve">—The lost opportunity payment to QSE </w:t>
                  </w:r>
                  <w:r w:rsidRPr="00A552C3">
                    <w:rPr>
                      <w:i/>
                      <w:iCs/>
                      <w:sz w:val="20"/>
                    </w:rPr>
                    <w:t>q</w:t>
                  </w:r>
                  <w:r w:rsidRPr="00A552C3">
                    <w:rPr>
                      <w:iCs/>
                      <w:sz w:val="20"/>
                    </w:rPr>
                    <w:t xml:space="preserve"> for ERCOT-directed VSS from Resource </w:t>
                  </w:r>
                  <w:r w:rsidRPr="00A552C3">
                    <w:rPr>
                      <w:i/>
                      <w:iCs/>
                      <w:sz w:val="20"/>
                    </w:rPr>
                    <w:t>r</w:t>
                  </w:r>
                  <w:r w:rsidRPr="00A552C3">
                    <w:rPr>
                      <w:iCs/>
                      <w:sz w:val="20"/>
                    </w:rPr>
                    <w:t xml:space="preserve"> for the 15-minute Settlement Interval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2A3A28B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3089E9E2" w14:textId="77777777" w:rsidR="00001F04" w:rsidRPr="00A552C3" w:rsidRDefault="00001F04" w:rsidP="00001F04">
                  <w:pPr>
                    <w:spacing w:after="60"/>
                    <w:rPr>
                      <w:i/>
                      <w:iCs/>
                      <w:sz w:val="20"/>
                    </w:rPr>
                  </w:pPr>
                  <w:r w:rsidRPr="00A552C3">
                    <w:rPr>
                      <w:i/>
                      <w:iCs/>
                      <w:sz w:val="20"/>
                    </w:rPr>
                    <w:t>q</w:t>
                  </w:r>
                </w:p>
              </w:tc>
              <w:tc>
                <w:tcPr>
                  <w:tcW w:w="459" w:type="pct"/>
                  <w:tcBorders>
                    <w:top w:val="single" w:sz="4" w:space="0" w:color="auto"/>
                    <w:left w:val="single" w:sz="4" w:space="0" w:color="auto"/>
                    <w:bottom w:val="single" w:sz="4" w:space="0" w:color="auto"/>
                    <w:right w:val="single" w:sz="4" w:space="0" w:color="auto"/>
                  </w:tcBorders>
                  <w:hideMark/>
                </w:tcPr>
                <w:p w14:paraId="35DE432B"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2AC387B6" w14:textId="77777777" w:rsidR="00001F04" w:rsidRPr="00A552C3" w:rsidRDefault="00001F04" w:rsidP="00001F04">
                  <w:pPr>
                    <w:spacing w:after="60"/>
                    <w:rPr>
                      <w:iCs/>
                      <w:sz w:val="20"/>
                    </w:rPr>
                  </w:pPr>
                  <w:r w:rsidRPr="00A552C3">
                    <w:rPr>
                      <w:iCs/>
                      <w:sz w:val="20"/>
                    </w:rPr>
                    <w:t>A QSE.</w:t>
                  </w:r>
                </w:p>
              </w:tc>
            </w:tr>
            <w:tr w:rsidR="00001F04" w:rsidRPr="00A552C3" w14:paraId="0B60B6A7"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14388E8F" w14:textId="77777777" w:rsidR="00001F04" w:rsidRPr="00A552C3" w:rsidRDefault="00001F04" w:rsidP="00001F04">
                  <w:pPr>
                    <w:spacing w:after="60"/>
                    <w:rPr>
                      <w:i/>
                      <w:iCs/>
                      <w:sz w:val="20"/>
                    </w:rPr>
                  </w:pPr>
                  <w:r w:rsidRPr="00A552C3">
                    <w:rPr>
                      <w:i/>
                      <w:iCs/>
                      <w:sz w:val="20"/>
                    </w:rPr>
                    <w:t>r</w:t>
                  </w:r>
                </w:p>
              </w:tc>
              <w:tc>
                <w:tcPr>
                  <w:tcW w:w="459" w:type="pct"/>
                  <w:tcBorders>
                    <w:top w:val="single" w:sz="4" w:space="0" w:color="auto"/>
                    <w:left w:val="single" w:sz="4" w:space="0" w:color="auto"/>
                    <w:bottom w:val="single" w:sz="4" w:space="0" w:color="auto"/>
                    <w:right w:val="single" w:sz="4" w:space="0" w:color="auto"/>
                  </w:tcBorders>
                  <w:hideMark/>
                </w:tcPr>
                <w:p w14:paraId="58C1BF84"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1BDD144E" w14:textId="77777777" w:rsidR="00001F04" w:rsidRPr="00A552C3" w:rsidRDefault="00001F04" w:rsidP="00001F04">
                  <w:pPr>
                    <w:spacing w:after="60"/>
                    <w:rPr>
                      <w:iCs/>
                      <w:sz w:val="20"/>
                    </w:rPr>
                  </w:pPr>
                  <w:r w:rsidRPr="00A552C3">
                    <w:rPr>
                      <w:iCs/>
                      <w:sz w:val="20"/>
                    </w:rPr>
                    <w:t>A Generation Resource or ESR.</w:t>
                  </w:r>
                </w:p>
              </w:tc>
            </w:tr>
          </w:tbl>
          <w:p w14:paraId="106A8E10" w14:textId="1F92D7CB" w:rsidR="00001F04" w:rsidRPr="00A4149C" w:rsidRDefault="00001F04" w:rsidP="00001F04">
            <w:pPr>
              <w:spacing w:after="240"/>
            </w:pPr>
          </w:p>
        </w:tc>
      </w:tr>
    </w:tbl>
    <w:p w14:paraId="28F0A6BB" w14:textId="06B39048" w:rsidR="001F04FD" w:rsidRDefault="001F04FD" w:rsidP="00FB599C">
      <w:pPr>
        <w:pStyle w:val="H4"/>
        <w:spacing w:before="480"/>
      </w:pPr>
      <w:bookmarkStart w:id="2449" w:name="_Toc189044461"/>
      <w:r w:rsidRPr="00EF1CEA">
        <w:lastRenderedPageBreak/>
        <w:t>6.6.7.</w:t>
      </w:r>
      <w:r>
        <w:t>2</w:t>
      </w:r>
      <w:r>
        <w:tab/>
        <w:t>Voltage Support Charge</w:t>
      </w:r>
      <w:bookmarkEnd w:id="2423"/>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49"/>
      <w:r>
        <w:t xml:space="preserve"> </w:t>
      </w:r>
    </w:p>
    <w:p w14:paraId="33392E86" w14:textId="77777777" w:rsidR="001F04FD" w:rsidRDefault="001F04FD" w:rsidP="001F04FD">
      <w:pPr>
        <w:pStyle w:val="BodyTextNumbered"/>
      </w:pPr>
      <w:r>
        <w:t>(1)</w:t>
      </w:r>
      <w:r>
        <w:tab/>
        <w:t>ERCOT shall charge each QSE representing LSEs the total payment for VSS as specified in Section 6.6.7.1, Voltage Support Service Payments, based on a LRS. The charge to each QSE for a given 15-minute Settlement Interval is calculated as follows:</w:t>
      </w:r>
    </w:p>
    <w:p w14:paraId="33BA954F" w14:textId="77777777" w:rsidR="001F04FD" w:rsidRDefault="001F04FD" w:rsidP="001F04FD">
      <w:pPr>
        <w:pStyle w:val="FormulaBold"/>
      </w:pPr>
      <w:r>
        <w:t xml:space="preserve">LAVSSAMT </w:t>
      </w:r>
      <w:r>
        <w:rPr>
          <w:i/>
          <w:vertAlign w:val="subscript"/>
        </w:rPr>
        <w:t>q</w:t>
      </w:r>
      <w:r>
        <w:tab/>
        <w:t>=</w:t>
      </w:r>
      <w:r>
        <w:tab/>
        <w:t xml:space="preserve">(-1) * (VSSVARAMTTOT + VSSEAMTTOT) * LRS </w:t>
      </w:r>
      <w:r>
        <w:rPr>
          <w:i/>
          <w:vertAlign w:val="subscript"/>
        </w:rPr>
        <w:t>q</w:t>
      </w:r>
    </w:p>
    <w:p w14:paraId="17FECE3F" w14:textId="77777777" w:rsidR="001F04FD" w:rsidRDefault="001F04FD" w:rsidP="001F04FD">
      <w:pPr>
        <w:pStyle w:val="BodyText"/>
      </w:pPr>
      <w:r>
        <w:t>Where:</w:t>
      </w:r>
    </w:p>
    <w:p w14:paraId="253AF27F" w14:textId="77777777" w:rsidR="001F04FD" w:rsidRDefault="001F04FD" w:rsidP="001F04FD">
      <w:pPr>
        <w:pStyle w:val="Formula"/>
        <w:ind w:left="2880" w:hanging="2160"/>
        <w:rPr>
          <w:i/>
          <w:vertAlign w:val="subscript"/>
        </w:rPr>
      </w:pPr>
      <w:r>
        <w:t>VSSVARAMTTOT</w:t>
      </w:r>
      <w:r>
        <w:tab/>
        <w:t>=</w:t>
      </w:r>
      <w:r>
        <w:tab/>
      </w:r>
      <w:r w:rsidRPr="006F784F">
        <w:rPr>
          <w:position w:val="-22"/>
        </w:rPr>
        <w:object w:dxaOrig="210" w:dyaOrig="465" w14:anchorId="0395CEFE">
          <v:shape id="_x0000_i1233" type="#_x0000_t75" style="width:6pt;height:24pt" o:ole="">
            <v:imagedata r:id="rId187" o:title=""/>
          </v:shape>
          <o:OLEObject Type="Embed" ProgID="Equation.3" ShapeID="_x0000_i1233" DrawAspect="Content" ObjectID="_1804653717" r:id="rId286"/>
        </w:object>
      </w:r>
      <w:r>
        <w:t xml:space="preserve">VSSVARAMTQSETOT </w:t>
      </w:r>
      <w:r>
        <w:rPr>
          <w:i/>
          <w:vertAlign w:val="subscript"/>
        </w:rPr>
        <w:t>q</w:t>
      </w:r>
    </w:p>
    <w:p w14:paraId="6175C109" w14:textId="77777777" w:rsidR="001F04FD" w:rsidRDefault="001F04FD" w:rsidP="001F04FD">
      <w:pPr>
        <w:pStyle w:val="Formula"/>
        <w:ind w:left="2880" w:hanging="2160"/>
        <w:rPr>
          <w:i/>
          <w:vertAlign w:val="subscript"/>
        </w:rPr>
      </w:pPr>
      <w:r>
        <w:t xml:space="preserve">VSSEAMTTOT  </w:t>
      </w:r>
      <w:r>
        <w:tab/>
        <w:t>=</w:t>
      </w:r>
      <w:r>
        <w:tab/>
      </w:r>
      <w:r w:rsidRPr="006F784F">
        <w:rPr>
          <w:position w:val="-22"/>
        </w:rPr>
        <w:object w:dxaOrig="210" w:dyaOrig="465" w14:anchorId="2532890B">
          <v:shape id="_x0000_i1234" type="#_x0000_t75" style="width:6pt;height:24pt" o:ole="">
            <v:imagedata r:id="rId187" o:title=""/>
          </v:shape>
          <o:OLEObject Type="Embed" ProgID="Equation.3" ShapeID="_x0000_i1234" DrawAspect="Content" ObjectID="_1804653718" r:id="rId287"/>
        </w:object>
      </w:r>
      <w:r>
        <w:t xml:space="preserve">VSSEAMTQSETOT </w:t>
      </w:r>
      <w:r>
        <w:rPr>
          <w:i/>
          <w:vertAlign w:val="subscript"/>
        </w:rPr>
        <w:t>q</w:t>
      </w:r>
    </w:p>
    <w:p w14:paraId="7D7B5A5F" w14:textId="77777777" w:rsidR="001F04FD" w:rsidRDefault="001F04FD" w:rsidP="001F04FD">
      <w:r>
        <w:t>The above variables are defined as follows:</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720"/>
        <w:gridCol w:w="6959"/>
      </w:tblGrid>
      <w:tr w:rsidR="001F04FD" w14:paraId="5B15B363" w14:textId="77777777" w:rsidTr="00AC4DEE">
        <w:trPr>
          <w:tblHeader/>
        </w:trPr>
        <w:tc>
          <w:tcPr>
            <w:tcW w:w="2358" w:type="dxa"/>
          </w:tcPr>
          <w:p w14:paraId="0046E221" w14:textId="77777777" w:rsidR="001F04FD" w:rsidRDefault="001F04FD" w:rsidP="00AC4DEE">
            <w:pPr>
              <w:pStyle w:val="TableHead"/>
            </w:pPr>
            <w:r>
              <w:t>Variable</w:t>
            </w:r>
          </w:p>
        </w:tc>
        <w:tc>
          <w:tcPr>
            <w:tcW w:w="720" w:type="dxa"/>
          </w:tcPr>
          <w:p w14:paraId="3A5DC9F4" w14:textId="77777777" w:rsidR="001F04FD" w:rsidRDefault="001F04FD" w:rsidP="00AC4DEE">
            <w:pPr>
              <w:pStyle w:val="TableHead"/>
            </w:pPr>
            <w:r>
              <w:t>Unit</w:t>
            </w:r>
          </w:p>
        </w:tc>
        <w:tc>
          <w:tcPr>
            <w:tcW w:w="6959" w:type="dxa"/>
          </w:tcPr>
          <w:p w14:paraId="3B1977CC" w14:textId="77777777" w:rsidR="001F04FD" w:rsidRDefault="001F04FD" w:rsidP="00AC4DEE">
            <w:pPr>
              <w:pStyle w:val="TableHead"/>
            </w:pPr>
            <w:r>
              <w:t>Definition</w:t>
            </w:r>
          </w:p>
        </w:tc>
      </w:tr>
      <w:tr w:rsidR="001F04FD" w14:paraId="1F590757" w14:textId="77777777" w:rsidTr="00AC4DEE">
        <w:trPr>
          <w:cantSplit/>
        </w:trPr>
        <w:tc>
          <w:tcPr>
            <w:tcW w:w="2358" w:type="dxa"/>
          </w:tcPr>
          <w:p w14:paraId="6A8FB47B" w14:textId="77777777" w:rsidR="001F04FD" w:rsidRDefault="001F04FD" w:rsidP="00AC4DEE">
            <w:pPr>
              <w:pStyle w:val="TableBody"/>
            </w:pPr>
            <w:r>
              <w:t xml:space="preserve">LAVSSAMT </w:t>
            </w:r>
            <w:r w:rsidRPr="00E15B17">
              <w:rPr>
                <w:i/>
                <w:vertAlign w:val="subscript"/>
              </w:rPr>
              <w:t>q</w:t>
            </w:r>
          </w:p>
        </w:tc>
        <w:tc>
          <w:tcPr>
            <w:tcW w:w="720" w:type="dxa"/>
          </w:tcPr>
          <w:p w14:paraId="260BB285" w14:textId="77777777" w:rsidR="001F04FD" w:rsidRDefault="001F04FD" w:rsidP="00AC4DEE">
            <w:pPr>
              <w:pStyle w:val="TableBody"/>
            </w:pPr>
            <w:r>
              <w:t>$</w:t>
            </w:r>
          </w:p>
        </w:tc>
        <w:tc>
          <w:tcPr>
            <w:tcW w:w="6959" w:type="dxa"/>
          </w:tcPr>
          <w:p w14:paraId="29CC5802" w14:textId="77777777" w:rsidR="001F04FD" w:rsidRDefault="001F04FD" w:rsidP="00AC4DEE">
            <w:pPr>
              <w:pStyle w:val="TableBody"/>
            </w:pPr>
            <w:r>
              <w:rPr>
                <w:i/>
              </w:rPr>
              <w:t>Load-Allocated Voltage Support Service Amount per QSE</w:t>
            </w:r>
            <w:r>
              <w:t xml:space="preserve">—The charge to QSE </w:t>
            </w:r>
            <w:r>
              <w:rPr>
                <w:i/>
              </w:rPr>
              <w:t>q</w:t>
            </w:r>
            <w:r>
              <w:t xml:space="preserve"> for VSS, for the 15-minute Settlement Interval.</w:t>
            </w:r>
          </w:p>
        </w:tc>
      </w:tr>
      <w:tr w:rsidR="001F04FD" w14:paraId="3F3DCDB0" w14:textId="77777777" w:rsidTr="00AC4DEE">
        <w:trPr>
          <w:cantSplit/>
        </w:trPr>
        <w:tc>
          <w:tcPr>
            <w:tcW w:w="2358" w:type="dxa"/>
          </w:tcPr>
          <w:p w14:paraId="357B5A71" w14:textId="77777777" w:rsidR="001F04FD" w:rsidRDefault="001F04FD" w:rsidP="00AC4DEE">
            <w:pPr>
              <w:pStyle w:val="TableBody"/>
            </w:pPr>
            <w:r>
              <w:t>VSSVARAMTTOT</w:t>
            </w:r>
          </w:p>
        </w:tc>
        <w:tc>
          <w:tcPr>
            <w:tcW w:w="720" w:type="dxa"/>
          </w:tcPr>
          <w:p w14:paraId="58495F9D" w14:textId="77777777" w:rsidR="001F04FD" w:rsidRDefault="001F04FD" w:rsidP="00AC4DEE">
            <w:pPr>
              <w:pStyle w:val="TableBody"/>
            </w:pPr>
            <w:r>
              <w:t>$</w:t>
            </w:r>
          </w:p>
        </w:tc>
        <w:tc>
          <w:tcPr>
            <w:tcW w:w="6959" w:type="dxa"/>
          </w:tcPr>
          <w:p w14:paraId="11E5FD94" w14:textId="77777777" w:rsidR="001F04FD" w:rsidRDefault="001F04FD" w:rsidP="00AC4DEE">
            <w:pPr>
              <w:pStyle w:val="TableBody"/>
              <w:rPr>
                <w:i/>
              </w:rPr>
            </w:pPr>
            <w:r>
              <w:rPr>
                <w:i/>
              </w:rPr>
              <w:t>Voltage Support Service var Amount Total</w:t>
            </w:r>
            <w:r>
              <w:t>—The total of payments to all QSEs providing VSS, for the 15-minute Settlement Interval.</w:t>
            </w:r>
          </w:p>
        </w:tc>
      </w:tr>
      <w:tr w:rsidR="001F04FD" w14:paraId="05CC104B" w14:textId="77777777" w:rsidTr="00AC4DEE">
        <w:trPr>
          <w:cantSplit/>
        </w:trPr>
        <w:tc>
          <w:tcPr>
            <w:tcW w:w="2358" w:type="dxa"/>
          </w:tcPr>
          <w:p w14:paraId="4108B83F" w14:textId="77777777" w:rsidR="001F04FD" w:rsidRDefault="001F04FD" w:rsidP="00AC4DEE">
            <w:pPr>
              <w:pStyle w:val="TableBody"/>
            </w:pPr>
            <w:r>
              <w:t xml:space="preserve">VSSVARAMTQSETOT </w:t>
            </w:r>
            <w:r w:rsidRPr="00E15B17">
              <w:rPr>
                <w:i/>
                <w:vertAlign w:val="subscript"/>
              </w:rPr>
              <w:t>q</w:t>
            </w:r>
          </w:p>
        </w:tc>
        <w:tc>
          <w:tcPr>
            <w:tcW w:w="720" w:type="dxa"/>
          </w:tcPr>
          <w:p w14:paraId="06912487" w14:textId="77777777" w:rsidR="001F04FD" w:rsidRDefault="001F04FD" w:rsidP="00AC4DEE">
            <w:pPr>
              <w:pStyle w:val="TableBody"/>
            </w:pPr>
            <w:r>
              <w:t>$</w:t>
            </w:r>
          </w:p>
        </w:tc>
        <w:tc>
          <w:tcPr>
            <w:tcW w:w="6959" w:type="dxa"/>
          </w:tcPr>
          <w:p w14:paraId="09330824" w14:textId="77777777" w:rsidR="001F04FD" w:rsidRDefault="001F04FD" w:rsidP="00AC4DEE">
            <w:pPr>
              <w:pStyle w:val="TableBody"/>
              <w:rPr>
                <w:i/>
              </w:rPr>
            </w:pPr>
            <w:r>
              <w:rPr>
                <w:i/>
              </w:rPr>
              <w:t>Voltage Support Service var Amount QSE Total per QSE</w:t>
            </w:r>
            <w:r>
              <w:sym w:font="Symbol" w:char="F0BE"/>
            </w:r>
            <w:r>
              <w:t xml:space="preserve">The total of the payments to QSE </w:t>
            </w:r>
            <w:r>
              <w:rPr>
                <w:i/>
              </w:rPr>
              <w:t>q</w:t>
            </w:r>
            <w:r>
              <w:t xml:space="preserve"> for providing VSS for the 15-minute Settlement Interval.</w:t>
            </w:r>
          </w:p>
        </w:tc>
      </w:tr>
      <w:tr w:rsidR="001F04FD" w14:paraId="08CA9B9F" w14:textId="77777777" w:rsidTr="00AC4DEE">
        <w:trPr>
          <w:cantSplit/>
        </w:trPr>
        <w:tc>
          <w:tcPr>
            <w:tcW w:w="2358" w:type="dxa"/>
          </w:tcPr>
          <w:p w14:paraId="0099BE1B" w14:textId="77777777" w:rsidR="001F04FD" w:rsidRDefault="001F04FD" w:rsidP="00AC4DEE">
            <w:pPr>
              <w:pStyle w:val="TableBody"/>
            </w:pPr>
            <w:r>
              <w:t xml:space="preserve">LRS </w:t>
            </w:r>
            <w:r w:rsidRPr="00E15B17">
              <w:rPr>
                <w:i/>
                <w:vertAlign w:val="subscript"/>
              </w:rPr>
              <w:t>q</w:t>
            </w:r>
          </w:p>
        </w:tc>
        <w:tc>
          <w:tcPr>
            <w:tcW w:w="720" w:type="dxa"/>
          </w:tcPr>
          <w:p w14:paraId="251EAF68" w14:textId="77777777" w:rsidR="001F04FD" w:rsidRDefault="001F04FD" w:rsidP="00AC4DEE">
            <w:pPr>
              <w:pStyle w:val="TableBody"/>
            </w:pPr>
            <w:r>
              <w:t>none</w:t>
            </w:r>
          </w:p>
        </w:tc>
        <w:tc>
          <w:tcPr>
            <w:tcW w:w="6959" w:type="dxa"/>
          </w:tcPr>
          <w:p w14:paraId="253BF8F5" w14:textId="77777777" w:rsidR="001F04FD" w:rsidRDefault="001F04FD" w:rsidP="00AC4DEE">
            <w:pPr>
              <w:pStyle w:val="TableBody"/>
            </w:pPr>
            <w:r>
              <w:rPr>
                <w:i/>
              </w:rPr>
              <w:t>The Load Ratio Share</w:t>
            </w:r>
            <w:r>
              <w:t xml:space="preserve"> calculated for QSE </w:t>
            </w:r>
            <w:r>
              <w:rPr>
                <w:i/>
              </w:rPr>
              <w:t>q</w:t>
            </w:r>
            <w:r>
              <w:t xml:space="preserve"> for the 15-minute Settlement Interval.  See Section 6.6.2.2, QSE Load Ratio Share for a 15-Minute Settlement Interval.</w:t>
            </w:r>
          </w:p>
        </w:tc>
      </w:tr>
      <w:tr w:rsidR="001F04FD" w14:paraId="0CD4025A"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5FC0DEF7" w14:textId="77777777" w:rsidR="001F04FD" w:rsidRDefault="001F04FD" w:rsidP="00AC4DEE">
            <w:pPr>
              <w:pStyle w:val="TableBody"/>
            </w:pPr>
            <w:r>
              <w:t>VSSEAMTTOT</w:t>
            </w:r>
          </w:p>
        </w:tc>
        <w:tc>
          <w:tcPr>
            <w:tcW w:w="720" w:type="dxa"/>
            <w:tcBorders>
              <w:top w:val="single" w:sz="4" w:space="0" w:color="auto"/>
              <w:left w:val="single" w:sz="4" w:space="0" w:color="auto"/>
              <w:bottom w:val="single" w:sz="4" w:space="0" w:color="auto"/>
              <w:right w:val="single" w:sz="4" w:space="0" w:color="auto"/>
            </w:tcBorders>
          </w:tcPr>
          <w:p w14:paraId="053694C5"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19F5FC12" w14:textId="77777777" w:rsidR="001F04FD" w:rsidRDefault="001F04FD" w:rsidP="00AC4DEE">
            <w:pPr>
              <w:pStyle w:val="TableBody"/>
            </w:pPr>
            <w:r>
              <w:rPr>
                <w:i/>
              </w:rPr>
              <w:t>Voltage Support Service Lost Opportunity Amount Total</w:t>
            </w:r>
            <w:r>
              <w:t>—The total of payments to all QSEs providing VSS in lieu of energy, for the 15-minute Settlement Interval.</w:t>
            </w:r>
          </w:p>
        </w:tc>
      </w:tr>
      <w:tr w:rsidR="001F04FD" w14:paraId="2733E68E"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3C6AF8EF" w14:textId="77777777" w:rsidR="001F04FD" w:rsidRDefault="001F04FD" w:rsidP="00AC4DEE">
            <w:pPr>
              <w:pStyle w:val="TableBody"/>
            </w:pPr>
            <w:r>
              <w:t xml:space="preserve">VSSEAMTQSETOT </w:t>
            </w:r>
            <w:r w:rsidRPr="00E15B17">
              <w:rPr>
                <w:i/>
                <w:vertAlign w:val="subscript"/>
              </w:rPr>
              <w:t>q</w:t>
            </w:r>
          </w:p>
        </w:tc>
        <w:tc>
          <w:tcPr>
            <w:tcW w:w="720" w:type="dxa"/>
            <w:tcBorders>
              <w:top w:val="single" w:sz="4" w:space="0" w:color="auto"/>
              <w:left w:val="single" w:sz="4" w:space="0" w:color="auto"/>
              <w:bottom w:val="single" w:sz="4" w:space="0" w:color="auto"/>
              <w:right w:val="single" w:sz="4" w:space="0" w:color="auto"/>
            </w:tcBorders>
          </w:tcPr>
          <w:p w14:paraId="6EDCB22D"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23AC61E2" w14:textId="77777777" w:rsidR="001F04FD" w:rsidRDefault="001F04FD" w:rsidP="00AC4DE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r>
      <w:tr w:rsidR="001F04FD" w14:paraId="3F4AB79B"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0D20AC0E" w14:textId="77777777" w:rsidR="001F04FD" w:rsidRPr="00E15B17" w:rsidRDefault="001F04FD" w:rsidP="00AC4DEE">
            <w:pPr>
              <w:pStyle w:val="TableBody"/>
              <w:rPr>
                <w:i/>
              </w:rPr>
            </w:pPr>
            <w:r w:rsidRPr="00E15B17">
              <w:rPr>
                <w:i/>
              </w:rPr>
              <w:t>q</w:t>
            </w:r>
          </w:p>
        </w:tc>
        <w:tc>
          <w:tcPr>
            <w:tcW w:w="720" w:type="dxa"/>
            <w:tcBorders>
              <w:top w:val="single" w:sz="4" w:space="0" w:color="auto"/>
              <w:left w:val="single" w:sz="4" w:space="0" w:color="auto"/>
              <w:bottom w:val="single" w:sz="4" w:space="0" w:color="auto"/>
              <w:right w:val="single" w:sz="4" w:space="0" w:color="auto"/>
            </w:tcBorders>
          </w:tcPr>
          <w:p w14:paraId="39756017" w14:textId="77777777" w:rsidR="001F04FD" w:rsidRDefault="001F04FD" w:rsidP="00AC4DEE">
            <w:pPr>
              <w:pStyle w:val="TableBody"/>
            </w:pPr>
            <w:r>
              <w:t>none</w:t>
            </w:r>
          </w:p>
        </w:tc>
        <w:tc>
          <w:tcPr>
            <w:tcW w:w="6959" w:type="dxa"/>
            <w:tcBorders>
              <w:top w:val="single" w:sz="4" w:space="0" w:color="auto"/>
              <w:left w:val="single" w:sz="4" w:space="0" w:color="auto"/>
              <w:bottom w:val="single" w:sz="4" w:space="0" w:color="auto"/>
              <w:right w:val="single" w:sz="4" w:space="0" w:color="auto"/>
            </w:tcBorders>
          </w:tcPr>
          <w:p w14:paraId="66F42560" w14:textId="77777777" w:rsidR="001F04FD" w:rsidRDefault="001F04FD" w:rsidP="00AC4DEE">
            <w:pPr>
              <w:pStyle w:val="TableBody"/>
            </w:pPr>
            <w:r>
              <w:t>A QSE.</w:t>
            </w:r>
          </w:p>
        </w:tc>
      </w:tr>
    </w:tbl>
    <w:p w14:paraId="30728615" w14:textId="77777777" w:rsidR="001F04FD" w:rsidRDefault="001F04FD" w:rsidP="001F04FD">
      <w:bookmarkStart w:id="2450" w:name="_Toc87951811"/>
      <w:bookmarkEnd w:id="2424"/>
    </w:p>
    <w:p w14:paraId="348EA620" w14:textId="77777777" w:rsidR="001F04FD" w:rsidRDefault="001F04FD" w:rsidP="001F04FD">
      <w:pPr>
        <w:pStyle w:val="H3"/>
      </w:pPr>
      <w:bookmarkStart w:id="2451" w:name="_Toc109009415"/>
      <w:bookmarkStart w:id="2452" w:name="_Toc397505035"/>
      <w:bookmarkStart w:id="2453" w:name="_Toc402357167"/>
      <w:bookmarkStart w:id="2454" w:name="_Toc422486547"/>
      <w:bookmarkStart w:id="2455" w:name="_Toc433093400"/>
      <w:bookmarkStart w:id="2456" w:name="_Toc433093558"/>
      <w:bookmarkStart w:id="2457" w:name="_Toc440874788"/>
      <w:bookmarkStart w:id="2458" w:name="_Toc448142345"/>
      <w:bookmarkStart w:id="2459" w:name="_Toc448142502"/>
      <w:bookmarkStart w:id="2460" w:name="_Toc458770343"/>
      <w:bookmarkStart w:id="2461" w:name="_Toc459294311"/>
      <w:bookmarkStart w:id="2462" w:name="_Toc463262805"/>
      <w:bookmarkStart w:id="2463" w:name="_Toc468286878"/>
      <w:bookmarkStart w:id="2464" w:name="_Toc481502918"/>
      <w:bookmarkStart w:id="2465" w:name="_Toc496080086"/>
      <w:bookmarkStart w:id="2466" w:name="_Toc189044462"/>
      <w:r>
        <w:t>6.6.8</w:t>
      </w:r>
      <w:r>
        <w:tab/>
        <w:t>Black Start Capacity</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r>
        <w:t xml:space="preserve"> </w:t>
      </w:r>
    </w:p>
    <w:p w14:paraId="5F87F2F0" w14:textId="77777777" w:rsidR="001F04FD" w:rsidRDefault="001F04FD" w:rsidP="001F04FD">
      <w:pPr>
        <w:pStyle w:val="H4"/>
      </w:pPr>
      <w:bookmarkStart w:id="2467" w:name="_Toc87951812"/>
      <w:bookmarkStart w:id="2468" w:name="_Toc109009416"/>
      <w:bookmarkStart w:id="2469" w:name="_Toc397505036"/>
      <w:bookmarkStart w:id="2470" w:name="_Toc402357168"/>
      <w:bookmarkStart w:id="2471" w:name="_Toc422486548"/>
      <w:bookmarkStart w:id="2472" w:name="_Toc433093401"/>
      <w:bookmarkStart w:id="2473" w:name="_Toc433093559"/>
      <w:bookmarkStart w:id="2474" w:name="_Toc440874789"/>
      <w:bookmarkStart w:id="2475" w:name="_Toc448142346"/>
      <w:bookmarkStart w:id="2476" w:name="_Toc448142503"/>
      <w:bookmarkStart w:id="2477" w:name="_Toc458770344"/>
      <w:bookmarkStart w:id="2478" w:name="_Toc459294312"/>
      <w:bookmarkStart w:id="2479" w:name="_Toc463262806"/>
      <w:bookmarkStart w:id="2480" w:name="_Toc468286879"/>
      <w:bookmarkStart w:id="2481" w:name="_Toc481502919"/>
      <w:bookmarkStart w:id="2482" w:name="_Toc496080087"/>
      <w:bookmarkStart w:id="2483" w:name="_Toc189044463"/>
      <w:r>
        <w:t>6.6.8.1</w:t>
      </w:r>
      <w:r>
        <w:tab/>
        <w:t>Black Start Hourly Standby Fee Payment</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14:paraId="7D7FCECE" w14:textId="77777777" w:rsidR="001F04FD" w:rsidRDefault="001F04FD" w:rsidP="001F04FD">
      <w:pPr>
        <w:pStyle w:val="BodyTextNumbered"/>
      </w:pPr>
      <w:r>
        <w:t>(1)</w:t>
      </w:r>
      <w:r>
        <w:tab/>
        <w:t>ERCOT shall pay an Hourly Standby Fee to the QSEs representing a Black Start Resource.  This standby fee is determined through a competitive bi-annual bidding process, with an adjustment for reliability based on a six-month rolling availability equal to 85% in accordance with Section 22, Attachment D, Standard Form Black Start Agreement.</w:t>
      </w:r>
    </w:p>
    <w:p w14:paraId="2B2DAB13" w14:textId="77777777" w:rsidR="001F04FD" w:rsidRDefault="001F04FD" w:rsidP="001F04FD">
      <w:pPr>
        <w:spacing w:after="240"/>
        <w:ind w:left="720" w:hanging="720"/>
      </w:pPr>
      <w:r>
        <w:t>(2)</w:t>
      </w:r>
      <w:r>
        <w:tab/>
      </w:r>
      <w:r w:rsidRPr="006D062D">
        <w:t>The Black Start Hourly Standby Fee is subject to reduction and</w:t>
      </w:r>
      <w:r w:rsidRPr="006D062D">
        <w:rPr>
          <w:iCs/>
        </w:rPr>
        <w:t xml:space="preserve"> claw-back provisions as described in Section 8.1.1.2.1.5, System Black Start Capability Qualification and Testing.</w:t>
      </w:r>
      <w:r w:rsidRPr="006D062D">
        <w:t xml:space="preserve"> </w:t>
      </w:r>
    </w:p>
    <w:p w14:paraId="1208C3A8" w14:textId="77777777" w:rsidR="001F04FD" w:rsidRDefault="001F04FD" w:rsidP="001F04FD">
      <w:pPr>
        <w:pStyle w:val="BodyTextNumbered"/>
      </w:pPr>
      <w:r>
        <w:t>(3)</w:t>
      </w:r>
      <w:r>
        <w:tab/>
        <w:t>ERCOT shall pay a Black Start Hourly Standby Fee payment to each QSE for each Black Start Resource.  The payment for each hour is calculated as follows:</w:t>
      </w:r>
    </w:p>
    <w:p w14:paraId="7546D001" w14:textId="77777777" w:rsidR="001F04FD" w:rsidRDefault="001F04FD" w:rsidP="001F04FD">
      <w:pPr>
        <w:pStyle w:val="FormulaBold"/>
      </w:pPr>
      <w:r>
        <w:lastRenderedPageBreak/>
        <w:t xml:space="preserve">BSSAMT </w:t>
      </w:r>
      <w:r>
        <w:rPr>
          <w:i/>
          <w:vertAlign w:val="subscript"/>
        </w:rPr>
        <w:t>q, r</w:t>
      </w:r>
      <w:r>
        <w:tab/>
        <w:t>=</w:t>
      </w:r>
      <w:r>
        <w:tab/>
        <w:t xml:space="preserve">(-1) * BSSPR </w:t>
      </w:r>
      <w:r>
        <w:rPr>
          <w:i/>
          <w:vertAlign w:val="subscript"/>
        </w:rPr>
        <w:t>q, r</w:t>
      </w:r>
      <w:r>
        <w:t xml:space="preserve"> * BSSARF </w:t>
      </w:r>
      <w:r>
        <w:rPr>
          <w:i/>
          <w:vertAlign w:val="subscript"/>
        </w:rPr>
        <w:t>q, r</w:t>
      </w:r>
    </w:p>
    <w:p w14:paraId="38A6BD9C" w14:textId="77777777" w:rsidR="001F04FD" w:rsidRDefault="001F04FD" w:rsidP="001F04FD">
      <w:pPr>
        <w:pStyle w:val="BodyText"/>
      </w:pPr>
      <w:r>
        <w:t>Where:</w:t>
      </w:r>
    </w:p>
    <w:p w14:paraId="6FC4DE43" w14:textId="77777777" w:rsidR="001F04FD" w:rsidRDefault="001F04FD" w:rsidP="001F04FD">
      <w:r>
        <w:t>Black Start Service Availability Reduction Factor</w:t>
      </w:r>
    </w:p>
    <w:p w14:paraId="6E8FB350" w14:textId="77777777" w:rsidR="001F04FD" w:rsidRDefault="001F04FD" w:rsidP="001F04FD">
      <w:pPr>
        <w:ind w:firstLine="720"/>
        <w:rPr>
          <w:lang w:val="pt-BR"/>
        </w:rPr>
      </w:pPr>
      <w:r>
        <w:rPr>
          <w:lang w:val="pt-BR"/>
        </w:rPr>
        <w:t xml:space="preserve">If (BSSHREAF </w:t>
      </w:r>
      <w:r>
        <w:rPr>
          <w:i/>
          <w:vertAlign w:val="subscript"/>
          <w:lang w:val="pt-BR"/>
        </w:rPr>
        <w:t>q, r</w:t>
      </w:r>
      <w:r>
        <w:rPr>
          <w:lang w:val="pt-BR"/>
        </w:rPr>
        <w:t xml:space="preserve"> </w:t>
      </w:r>
      <w:r>
        <w:sym w:font="Symbol" w:char="F0B3"/>
      </w:r>
      <w:r>
        <w:rPr>
          <w:lang w:val="pt-BR"/>
        </w:rPr>
        <w:t xml:space="preserve"> 0.85)</w:t>
      </w:r>
    </w:p>
    <w:p w14:paraId="19DEF163"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1</w:t>
      </w:r>
    </w:p>
    <w:p w14:paraId="18DF170B" w14:textId="77777777" w:rsidR="001F04FD" w:rsidRDefault="001F04FD" w:rsidP="001F04FD">
      <w:pPr>
        <w:ind w:firstLine="720"/>
        <w:rPr>
          <w:lang w:val="pt-BR"/>
        </w:rPr>
      </w:pPr>
      <w:r>
        <w:rPr>
          <w:lang w:val="pt-BR"/>
        </w:rPr>
        <w:t>Otherwise</w:t>
      </w:r>
    </w:p>
    <w:p w14:paraId="4183BDB0"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 xml:space="preserve">Max (0, 1 - (0.85 - BSSHREAF </w:t>
      </w:r>
      <w:r>
        <w:rPr>
          <w:i/>
          <w:vertAlign w:val="subscript"/>
          <w:lang w:val="pt-BR"/>
        </w:rPr>
        <w:t>q, r</w:t>
      </w:r>
      <w:r>
        <w:rPr>
          <w:lang w:val="pt-BR"/>
        </w:rPr>
        <w:t>) * 2)</w:t>
      </w:r>
    </w:p>
    <w:p w14:paraId="7610E7B8" w14:textId="77777777" w:rsidR="001F04FD" w:rsidRDefault="001F04FD" w:rsidP="001F04FD">
      <w:pPr>
        <w:rPr>
          <w:lang w:val="pt-BR"/>
        </w:rPr>
      </w:pPr>
    </w:p>
    <w:p w14:paraId="0196756F" w14:textId="77777777" w:rsidR="001F04FD" w:rsidRDefault="001F04FD" w:rsidP="001F04FD">
      <w:r>
        <w:t>Black Start Service Hourly Rolling Equivalent Availability Factor</w:t>
      </w:r>
    </w:p>
    <w:p w14:paraId="0423D2E8" w14:textId="77777777" w:rsidR="001F04FD" w:rsidRDefault="001F04FD" w:rsidP="001F04FD">
      <w:pPr>
        <w:ind w:firstLine="720"/>
        <w:rPr>
          <w:lang w:val="pt-BR"/>
        </w:rPr>
      </w:pPr>
      <w:r>
        <w:rPr>
          <w:lang w:val="pt-BR"/>
        </w:rPr>
        <w:t xml:space="preserve">If (BSSEH </w:t>
      </w:r>
      <w:r>
        <w:rPr>
          <w:i/>
          <w:vertAlign w:val="subscript"/>
          <w:lang w:val="pt-BR"/>
        </w:rPr>
        <w:t>q, r</w:t>
      </w:r>
      <w:r>
        <w:rPr>
          <w:lang w:val="pt-BR"/>
        </w:rPr>
        <w:t xml:space="preserve"> &lt; 4380)</w:t>
      </w:r>
    </w:p>
    <w:p w14:paraId="6D5ECEDE"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1</w:t>
      </w:r>
    </w:p>
    <w:p w14:paraId="69331603" w14:textId="77777777" w:rsidR="001F04FD" w:rsidRDefault="001F04FD" w:rsidP="001F04FD">
      <w:pPr>
        <w:ind w:firstLine="720"/>
        <w:rPr>
          <w:lang w:val="pt-BR"/>
        </w:rPr>
      </w:pPr>
      <w:r>
        <w:rPr>
          <w:lang w:val="pt-BR"/>
        </w:rPr>
        <w:t>Otherwise</w:t>
      </w:r>
    </w:p>
    <w:p w14:paraId="67E05950"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w:t>
      </w:r>
      <w:r w:rsidRPr="006F784F">
        <w:rPr>
          <w:position w:val="-20"/>
        </w:rPr>
        <w:object w:dxaOrig="735" w:dyaOrig="585" w14:anchorId="1EC02944">
          <v:shape id="_x0000_i1235" type="#_x0000_t75" style="width:36.6pt;height:30pt" o:ole="">
            <v:imagedata r:id="rId288" o:title=""/>
          </v:shape>
          <o:OLEObject Type="Embed" ProgID="Equation.3" ShapeID="_x0000_i1235" DrawAspect="Content" ObjectID="_1804653719" r:id="rId289"/>
        </w:object>
      </w:r>
      <w:r>
        <w:rPr>
          <w:lang w:val="pt-BR"/>
        </w:rPr>
        <w:t xml:space="preserve"> BSSAFLAG </w:t>
      </w:r>
      <w:r>
        <w:rPr>
          <w:i/>
          <w:vertAlign w:val="subscript"/>
          <w:lang w:val="pt-BR"/>
        </w:rPr>
        <w:t>q,r,hr</w:t>
      </w:r>
      <w:r>
        <w:rPr>
          <w:lang w:val="pt-BR"/>
        </w:rPr>
        <w:t>) / 4380</w:t>
      </w:r>
    </w:p>
    <w:p w14:paraId="24CF454E" w14:textId="77777777" w:rsidR="001F04FD" w:rsidRDefault="001F04FD" w:rsidP="001F04FD">
      <w:pPr>
        <w:pStyle w:val="List"/>
        <w:ind w:left="0" w:firstLine="0"/>
        <w:rPr>
          <w:lang w:val="pt-BR"/>
        </w:rPr>
      </w:pPr>
      <w:r>
        <w:t>Availability for a Combined Cycle Train will be determined pursuant to contractual terms but no more than once per hour.</w:t>
      </w:r>
      <w:r>
        <w:rPr>
          <w:lang w:val="pt-BR"/>
        </w:rPr>
        <w:t xml:space="preserve"> </w:t>
      </w:r>
    </w:p>
    <w:p w14:paraId="3EA282C0"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0"/>
        <w:gridCol w:w="7274"/>
      </w:tblGrid>
      <w:tr w:rsidR="001F04FD" w14:paraId="72D4B703" w14:textId="77777777" w:rsidTr="00AC4DEE">
        <w:trPr>
          <w:cantSplit/>
          <w:tblHeader/>
        </w:trPr>
        <w:tc>
          <w:tcPr>
            <w:tcW w:w="1728" w:type="dxa"/>
          </w:tcPr>
          <w:p w14:paraId="7B7EC92D" w14:textId="77777777" w:rsidR="001F04FD" w:rsidRDefault="001F04FD" w:rsidP="00AC4DEE">
            <w:pPr>
              <w:pStyle w:val="TableHead"/>
            </w:pPr>
            <w:r>
              <w:t>Variable</w:t>
            </w:r>
          </w:p>
        </w:tc>
        <w:tc>
          <w:tcPr>
            <w:tcW w:w="810" w:type="dxa"/>
          </w:tcPr>
          <w:p w14:paraId="49F8C3D9" w14:textId="77777777" w:rsidR="001F04FD" w:rsidRDefault="001F04FD" w:rsidP="00AC4DEE">
            <w:pPr>
              <w:pStyle w:val="TableHead"/>
            </w:pPr>
            <w:r>
              <w:t>Unit</w:t>
            </w:r>
          </w:p>
        </w:tc>
        <w:tc>
          <w:tcPr>
            <w:tcW w:w="7274" w:type="dxa"/>
          </w:tcPr>
          <w:p w14:paraId="677E4973" w14:textId="77777777" w:rsidR="001F04FD" w:rsidRDefault="001F04FD" w:rsidP="00AC4DEE">
            <w:pPr>
              <w:pStyle w:val="TableHead"/>
            </w:pPr>
            <w:r>
              <w:t>Definition</w:t>
            </w:r>
          </w:p>
        </w:tc>
      </w:tr>
      <w:tr w:rsidR="001F04FD" w14:paraId="1B415E6F" w14:textId="77777777" w:rsidTr="00AC4DEE">
        <w:trPr>
          <w:cantSplit/>
        </w:trPr>
        <w:tc>
          <w:tcPr>
            <w:tcW w:w="1728" w:type="dxa"/>
          </w:tcPr>
          <w:p w14:paraId="657DE00E" w14:textId="77777777" w:rsidR="001F04FD" w:rsidRDefault="001F04FD" w:rsidP="00AC4DEE">
            <w:pPr>
              <w:pStyle w:val="TableBody"/>
            </w:pPr>
            <w:r>
              <w:t xml:space="preserve">BSSAMT </w:t>
            </w:r>
            <w:r w:rsidRPr="00E15B17">
              <w:rPr>
                <w:i/>
                <w:vertAlign w:val="subscript"/>
              </w:rPr>
              <w:t>q, r</w:t>
            </w:r>
          </w:p>
        </w:tc>
        <w:tc>
          <w:tcPr>
            <w:tcW w:w="810" w:type="dxa"/>
          </w:tcPr>
          <w:p w14:paraId="29095D91" w14:textId="77777777" w:rsidR="001F04FD" w:rsidRDefault="001F04FD" w:rsidP="00AC4DEE">
            <w:pPr>
              <w:pStyle w:val="TableBody"/>
            </w:pPr>
            <w:r>
              <w:t>$</w:t>
            </w:r>
          </w:p>
        </w:tc>
        <w:tc>
          <w:tcPr>
            <w:tcW w:w="7274" w:type="dxa"/>
          </w:tcPr>
          <w:p w14:paraId="67574D67" w14:textId="77777777" w:rsidR="001F04FD" w:rsidRDefault="001F04FD" w:rsidP="00AC4DEE">
            <w:pPr>
              <w:pStyle w:val="TableBody"/>
            </w:pPr>
            <w:r>
              <w:rPr>
                <w:i/>
              </w:rPr>
              <w:t>Black Start Service Amount per QSE per Resource by hour</w:t>
            </w:r>
            <w:r>
              <w:t xml:space="preserve">—The standby payment to QSE </w:t>
            </w:r>
            <w:r>
              <w:rPr>
                <w:i/>
              </w:rPr>
              <w:t>q</w:t>
            </w:r>
            <w:r>
              <w:t xml:space="preserve"> for the Black Start Service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77C04752" w14:textId="77777777" w:rsidTr="00AC4DEE">
        <w:trPr>
          <w:cantSplit/>
        </w:trPr>
        <w:tc>
          <w:tcPr>
            <w:tcW w:w="1728" w:type="dxa"/>
          </w:tcPr>
          <w:p w14:paraId="35D07F06" w14:textId="77777777" w:rsidR="001F04FD" w:rsidRDefault="001F04FD" w:rsidP="00AC4DEE">
            <w:pPr>
              <w:pStyle w:val="TableBody"/>
            </w:pPr>
            <w:r>
              <w:t xml:space="preserve">BSSPR </w:t>
            </w:r>
            <w:r w:rsidRPr="00E15B17">
              <w:rPr>
                <w:i/>
                <w:vertAlign w:val="subscript"/>
              </w:rPr>
              <w:t>q, r</w:t>
            </w:r>
          </w:p>
        </w:tc>
        <w:tc>
          <w:tcPr>
            <w:tcW w:w="810" w:type="dxa"/>
          </w:tcPr>
          <w:p w14:paraId="1AA5D396" w14:textId="77777777" w:rsidR="001F04FD" w:rsidRDefault="001F04FD" w:rsidP="00AC4DEE">
            <w:pPr>
              <w:pStyle w:val="TableBody"/>
            </w:pPr>
            <w:r>
              <w:t>$ per hour</w:t>
            </w:r>
          </w:p>
        </w:tc>
        <w:tc>
          <w:tcPr>
            <w:tcW w:w="7274" w:type="dxa"/>
          </w:tcPr>
          <w:p w14:paraId="66B2E321" w14:textId="77777777" w:rsidR="001F04FD" w:rsidRDefault="001F04FD" w:rsidP="00AC4DE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Black Start Agreement.  Where for a Combined Cycle Train, the Resource </w:t>
            </w:r>
            <w:r w:rsidRPr="00B34C5D">
              <w:rPr>
                <w:i/>
              </w:rPr>
              <w:t>r</w:t>
            </w:r>
            <w:r>
              <w:rPr>
                <w:i/>
              </w:rPr>
              <w:t xml:space="preserve"> </w:t>
            </w:r>
            <w:r>
              <w:t>is the Combined Cycle Train.</w:t>
            </w:r>
          </w:p>
        </w:tc>
      </w:tr>
      <w:tr w:rsidR="001F04FD" w14:paraId="4DED77B2" w14:textId="77777777" w:rsidTr="00AC4DEE">
        <w:trPr>
          <w:cantSplit/>
        </w:trPr>
        <w:tc>
          <w:tcPr>
            <w:tcW w:w="1728" w:type="dxa"/>
          </w:tcPr>
          <w:p w14:paraId="267D08EE" w14:textId="77777777" w:rsidR="001F04FD" w:rsidRDefault="001F04FD" w:rsidP="00AC4DEE">
            <w:pPr>
              <w:pStyle w:val="TableBody"/>
            </w:pPr>
            <w:r>
              <w:t xml:space="preserve">BSSARF </w:t>
            </w:r>
            <w:r w:rsidRPr="00E15B17">
              <w:rPr>
                <w:i/>
                <w:vertAlign w:val="subscript"/>
              </w:rPr>
              <w:t>q, r</w:t>
            </w:r>
          </w:p>
        </w:tc>
        <w:tc>
          <w:tcPr>
            <w:tcW w:w="810" w:type="dxa"/>
          </w:tcPr>
          <w:p w14:paraId="25CC5AEB" w14:textId="77777777" w:rsidR="001F04FD" w:rsidRDefault="001F04FD" w:rsidP="00AC4DEE">
            <w:pPr>
              <w:pStyle w:val="TableBody"/>
            </w:pPr>
            <w:r>
              <w:t>none</w:t>
            </w:r>
          </w:p>
        </w:tc>
        <w:tc>
          <w:tcPr>
            <w:tcW w:w="7274" w:type="dxa"/>
          </w:tcPr>
          <w:p w14:paraId="2BC8B5A6" w14:textId="77777777" w:rsidR="001F04FD" w:rsidRDefault="001F04FD" w:rsidP="00AC4DE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Black Start Agreement, for the hour.  Where for a Combined Cycle Train, the Resource </w:t>
            </w:r>
            <w:r w:rsidRPr="00B34C5D">
              <w:rPr>
                <w:i/>
              </w:rPr>
              <w:t>r</w:t>
            </w:r>
            <w:r>
              <w:rPr>
                <w:i/>
              </w:rPr>
              <w:t xml:space="preserve"> </w:t>
            </w:r>
            <w:r>
              <w:t>is the Combined Cycle Train.</w:t>
            </w:r>
          </w:p>
        </w:tc>
      </w:tr>
      <w:tr w:rsidR="001F04FD" w14:paraId="09FB07EF" w14:textId="77777777" w:rsidTr="00AC4DEE">
        <w:trPr>
          <w:cantSplit/>
        </w:trPr>
        <w:tc>
          <w:tcPr>
            <w:tcW w:w="1728" w:type="dxa"/>
          </w:tcPr>
          <w:p w14:paraId="2A15D210" w14:textId="77777777" w:rsidR="001F04FD" w:rsidRDefault="001F04FD" w:rsidP="00AC4DEE">
            <w:pPr>
              <w:pStyle w:val="TableBody"/>
            </w:pPr>
            <w:r>
              <w:t xml:space="preserve">BSSHREAF </w:t>
            </w:r>
            <w:r w:rsidRPr="00E15B17">
              <w:rPr>
                <w:i/>
                <w:vertAlign w:val="subscript"/>
              </w:rPr>
              <w:t>q, r</w:t>
            </w:r>
          </w:p>
        </w:tc>
        <w:tc>
          <w:tcPr>
            <w:tcW w:w="810" w:type="dxa"/>
          </w:tcPr>
          <w:p w14:paraId="222886F5" w14:textId="77777777" w:rsidR="001F04FD" w:rsidRDefault="001F04FD" w:rsidP="00AC4DEE">
            <w:pPr>
              <w:pStyle w:val="TableBody"/>
            </w:pPr>
            <w:r>
              <w:t>none</w:t>
            </w:r>
          </w:p>
        </w:tc>
        <w:tc>
          <w:tcPr>
            <w:tcW w:w="7274" w:type="dxa"/>
          </w:tcPr>
          <w:p w14:paraId="07CE2200" w14:textId="77777777" w:rsidR="001F04FD" w:rsidRDefault="001F04FD" w:rsidP="00AC4DE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Where for a Combined Cycle Train, the Resource </w:t>
            </w:r>
            <w:r w:rsidRPr="00B34C5D">
              <w:rPr>
                <w:i/>
              </w:rPr>
              <w:t>r</w:t>
            </w:r>
            <w:r>
              <w:rPr>
                <w:i/>
              </w:rPr>
              <w:t xml:space="preserve"> </w:t>
            </w:r>
            <w:r>
              <w:t>is the Combined Cycle Train.</w:t>
            </w:r>
          </w:p>
        </w:tc>
      </w:tr>
      <w:tr w:rsidR="001F04FD" w14:paraId="3A7B03DD" w14:textId="77777777" w:rsidTr="00AC4DEE">
        <w:trPr>
          <w:cantSplit/>
        </w:trPr>
        <w:tc>
          <w:tcPr>
            <w:tcW w:w="1728" w:type="dxa"/>
          </w:tcPr>
          <w:p w14:paraId="7E6C1C8F" w14:textId="77777777" w:rsidR="001F04FD" w:rsidRDefault="001F04FD" w:rsidP="00AC4DEE">
            <w:pPr>
              <w:pStyle w:val="TableBody"/>
            </w:pPr>
            <w:r>
              <w:t xml:space="preserve">BSSEH </w:t>
            </w:r>
            <w:r w:rsidRPr="00E15B17">
              <w:rPr>
                <w:i/>
                <w:vertAlign w:val="subscript"/>
              </w:rPr>
              <w:t>q, r</w:t>
            </w:r>
          </w:p>
        </w:tc>
        <w:tc>
          <w:tcPr>
            <w:tcW w:w="810" w:type="dxa"/>
          </w:tcPr>
          <w:p w14:paraId="149097C2" w14:textId="77777777" w:rsidR="001F04FD" w:rsidRDefault="001F04FD" w:rsidP="00AC4DEE">
            <w:pPr>
              <w:pStyle w:val="TableBody"/>
            </w:pPr>
            <w:r>
              <w:t>none</w:t>
            </w:r>
          </w:p>
        </w:tc>
        <w:tc>
          <w:tcPr>
            <w:tcW w:w="7274" w:type="dxa"/>
          </w:tcPr>
          <w:p w14:paraId="0A1AA00F" w14:textId="77777777" w:rsidR="001F04FD" w:rsidRDefault="001F04FD" w:rsidP="00AC4DE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Where for a Combined Cycle Train, the Resource </w:t>
            </w:r>
            <w:r w:rsidRPr="00B34C5D">
              <w:rPr>
                <w:i/>
              </w:rPr>
              <w:t>r</w:t>
            </w:r>
            <w:r>
              <w:rPr>
                <w:i/>
              </w:rPr>
              <w:t xml:space="preserve"> </w:t>
            </w:r>
            <w:r>
              <w:t>is the Combined Cycle Train.</w:t>
            </w:r>
          </w:p>
        </w:tc>
      </w:tr>
      <w:tr w:rsidR="001F04FD" w14:paraId="3B430405" w14:textId="77777777" w:rsidTr="00AC4DEE">
        <w:trPr>
          <w:cantSplit/>
        </w:trPr>
        <w:tc>
          <w:tcPr>
            <w:tcW w:w="1728" w:type="dxa"/>
          </w:tcPr>
          <w:p w14:paraId="1C5019C4" w14:textId="77777777" w:rsidR="001F04FD" w:rsidRDefault="001F04FD" w:rsidP="00AC4DEE">
            <w:pPr>
              <w:pStyle w:val="TableBody"/>
            </w:pPr>
            <w:r>
              <w:t xml:space="preserve">BSSAFLAG </w:t>
            </w:r>
            <w:r w:rsidRPr="00E15B17">
              <w:rPr>
                <w:i/>
                <w:vertAlign w:val="subscript"/>
              </w:rPr>
              <w:t xml:space="preserve">q, r, </w:t>
            </w:r>
            <w:r w:rsidRPr="00E15B17">
              <w:rPr>
                <w:i/>
                <w:iCs w:val="0"/>
                <w:vertAlign w:val="subscript"/>
              </w:rPr>
              <w:t>hr</w:t>
            </w:r>
          </w:p>
        </w:tc>
        <w:tc>
          <w:tcPr>
            <w:tcW w:w="810" w:type="dxa"/>
          </w:tcPr>
          <w:p w14:paraId="47F93DEF" w14:textId="77777777" w:rsidR="001F04FD" w:rsidRDefault="001F04FD" w:rsidP="00AC4DEE">
            <w:pPr>
              <w:pStyle w:val="TableBody"/>
            </w:pPr>
            <w:r>
              <w:t>none</w:t>
            </w:r>
          </w:p>
        </w:tc>
        <w:tc>
          <w:tcPr>
            <w:tcW w:w="7274" w:type="dxa"/>
          </w:tcPr>
          <w:p w14:paraId="3FC9C979" w14:textId="77777777" w:rsidR="001F04FD" w:rsidRDefault="001F04FD" w:rsidP="00AC4DE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33DE3630" w14:textId="77777777" w:rsidTr="00AC4DEE">
        <w:trPr>
          <w:cantSplit/>
        </w:trPr>
        <w:tc>
          <w:tcPr>
            <w:tcW w:w="1728" w:type="dxa"/>
          </w:tcPr>
          <w:p w14:paraId="14FDFE39" w14:textId="77777777" w:rsidR="001F04FD" w:rsidRPr="00CE0FC9" w:rsidRDefault="001F04FD" w:rsidP="00AC4DEE">
            <w:pPr>
              <w:pStyle w:val="TableBody"/>
              <w:rPr>
                <w:i/>
              </w:rPr>
            </w:pPr>
            <w:r w:rsidRPr="00D661BC">
              <w:rPr>
                <w:i/>
              </w:rPr>
              <w:t>q</w:t>
            </w:r>
          </w:p>
        </w:tc>
        <w:tc>
          <w:tcPr>
            <w:tcW w:w="810" w:type="dxa"/>
          </w:tcPr>
          <w:p w14:paraId="6F0E9257" w14:textId="77777777" w:rsidR="001F04FD" w:rsidRDefault="001F04FD" w:rsidP="00AC4DEE">
            <w:pPr>
              <w:pStyle w:val="TableBody"/>
            </w:pPr>
            <w:r>
              <w:t>none</w:t>
            </w:r>
          </w:p>
        </w:tc>
        <w:tc>
          <w:tcPr>
            <w:tcW w:w="7274" w:type="dxa"/>
          </w:tcPr>
          <w:p w14:paraId="1D11184E" w14:textId="77777777" w:rsidR="001F04FD" w:rsidRDefault="001F04FD" w:rsidP="00AC4DEE">
            <w:pPr>
              <w:pStyle w:val="TableBody"/>
            </w:pPr>
            <w:r>
              <w:t>A QSE.</w:t>
            </w:r>
          </w:p>
        </w:tc>
      </w:tr>
      <w:tr w:rsidR="001F04FD" w14:paraId="5504B557" w14:textId="77777777" w:rsidTr="00AC4DEE">
        <w:trPr>
          <w:cantSplit/>
        </w:trPr>
        <w:tc>
          <w:tcPr>
            <w:tcW w:w="1728" w:type="dxa"/>
          </w:tcPr>
          <w:p w14:paraId="6ED19EB6" w14:textId="77777777" w:rsidR="001F04FD" w:rsidRPr="00CE0FC9" w:rsidRDefault="001F04FD" w:rsidP="00AC4DEE">
            <w:pPr>
              <w:pStyle w:val="TableBody"/>
              <w:rPr>
                <w:i/>
              </w:rPr>
            </w:pPr>
            <w:r w:rsidRPr="00D661BC">
              <w:rPr>
                <w:i/>
              </w:rPr>
              <w:t>r</w:t>
            </w:r>
          </w:p>
        </w:tc>
        <w:tc>
          <w:tcPr>
            <w:tcW w:w="810" w:type="dxa"/>
          </w:tcPr>
          <w:p w14:paraId="7AC28CB2" w14:textId="77777777" w:rsidR="001F04FD" w:rsidRDefault="001F04FD" w:rsidP="00AC4DEE">
            <w:pPr>
              <w:pStyle w:val="TableBody"/>
            </w:pPr>
            <w:r>
              <w:t>none</w:t>
            </w:r>
          </w:p>
        </w:tc>
        <w:tc>
          <w:tcPr>
            <w:tcW w:w="7274" w:type="dxa"/>
          </w:tcPr>
          <w:p w14:paraId="149C8E1D" w14:textId="77777777" w:rsidR="001F04FD" w:rsidRDefault="001F04FD" w:rsidP="00AC4DEE">
            <w:pPr>
              <w:pStyle w:val="TableBody"/>
            </w:pPr>
            <w:r>
              <w:t>A BSS Resource.</w:t>
            </w:r>
          </w:p>
        </w:tc>
      </w:tr>
      <w:tr w:rsidR="001F04FD" w14:paraId="1E44D55A" w14:textId="77777777" w:rsidTr="00AC4DEE">
        <w:trPr>
          <w:cantSplit/>
        </w:trPr>
        <w:tc>
          <w:tcPr>
            <w:tcW w:w="1728" w:type="dxa"/>
          </w:tcPr>
          <w:p w14:paraId="30ADBD66" w14:textId="77777777" w:rsidR="001F04FD" w:rsidRPr="00CE0FC9" w:rsidRDefault="001F04FD" w:rsidP="00AC4DEE">
            <w:pPr>
              <w:pStyle w:val="TableBody"/>
              <w:rPr>
                <w:i/>
              </w:rPr>
            </w:pPr>
            <w:r w:rsidRPr="00D661BC">
              <w:rPr>
                <w:i/>
              </w:rPr>
              <w:t>hr</w:t>
            </w:r>
          </w:p>
        </w:tc>
        <w:tc>
          <w:tcPr>
            <w:tcW w:w="810" w:type="dxa"/>
          </w:tcPr>
          <w:p w14:paraId="1447B006" w14:textId="77777777" w:rsidR="001F04FD" w:rsidRDefault="001F04FD" w:rsidP="00AC4DEE">
            <w:pPr>
              <w:pStyle w:val="TableBody"/>
            </w:pPr>
            <w:r>
              <w:t>none</w:t>
            </w:r>
          </w:p>
        </w:tc>
        <w:tc>
          <w:tcPr>
            <w:tcW w:w="7274" w:type="dxa"/>
          </w:tcPr>
          <w:p w14:paraId="1D3891FA" w14:textId="77777777" w:rsidR="001F04FD" w:rsidRDefault="001F04FD" w:rsidP="00AC4DEE">
            <w:pPr>
              <w:pStyle w:val="TableBody"/>
            </w:pPr>
            <w:r>
              <w:t>The index of a given hour and the previous 4379 hours.</w:t>
            </w:r>
          </w:p>
        </w:tc>
      </w:tr>
      <w:tr w:rsidR="001F04FD" w14:paraId="0C51C827" w14:textId="77777777" w:rsidTr="00AC4DEE">
        <w:trPr>
          <w:cantSplit/>
        </w:trPr>
        <w:tc>
          <w:tcPr>
            <w:tcW w:w="1728" w:type="dxa"/>
          </w:tcPr>
          <w:p w14:paraId="51B993A5" w14:textId="77777777" w:rsidR="001F04FD" w:rsidRDefault="001F04FD" w:rsidP="00AC4DEE">
            <w:pPr>
              <w:pStyle w:val="TableBody"/>
            </w:pPr>
            <w:r>
              <w:t>4380</w:t>
            </w:r>
          </w:p>
        </w:tc>
        <w:tc>
          <w:tcPr>
            <w:tcW w:w="810" w:type="dxa"/>
          </w:tcPr>
          <w:p w14:paraId="5761F263" w14:textId="77777777" w:rsidR="001F04FD" w:rsidRDefault="001F04FD" w:rsidP="00AC4DEE">
            <w:pPr>
              <w:pStyle w:val="TableBody"/>
            </w:pPr>
            <w:r>
              <w:t>none</w:t>
            </w:r>
          </w:p>
        </w:tc>
        <w:tc>
          <w:tcPr>
            <w:tcW w:w="7274" w:type="dxa"/>
          </w:tcPr>
          <w:p w14:paraId="639CAAD0" w14:textId="77777777" w:rsidR="001F04FD" w:rsidRDefault="001F04FD" w:rsidP="00AC4DEE">
            <w:pPr>
              <w:pStyle w:val="TableBody"/>
            </w:pPr>
            <w:r>
              <w:t>The number of hours in a six-month period.</w:t>
            </w:r>
          </w:p>
        </w:tc>
      </w:tr>
    </w:tbl>
    <w:p w14:paraId="38784ACC" w14:textId="77777777" w:rsidR="001F04FD" w:rsidRDefault="001F04FD" w:rsidP="001F04FD">
      <w:pPr>
        <w:pStyle w:val="BodyTextNumbered"/>
        <w:spacing w:before="240"/>
      </w:pPr>
      <w:bookmarkStart w:id="2484" w:name="_Toc87951813"/>
      <w:bookmarkStart w:id="2485" w:name="_Toc109009417"/>
      <w:r>
        <w:lastRenderedPageBreak/>
        <w:t>(3)</w:t>
      </w:r>
      <w:r>
        <w:tab/>
        <w:t>The total of the payments to each QSE for all BSS Resources represented by this QSE for a given hour is calculated as follows:</w:t>
      </w:r>
    </w:p>
    <w:p w14:paraId="79DA4AA6" w14:textId="77777777" w:rsidR="001F04FD" w:rsidRDefault="001F04FD" w:rsidP="001F04FD">
      <w:pPr>
        <w:pStyle w:val="FormulaBold"/>
      </w:pPr>
      <w:r>
        <w:t xml:space="preserve">BSSAMTQSETOT </w:t>
      </w:r>
      <w:r>
        <w:rPr>
          <w:i/>
          <w:vertAlign w:val="subscript"/>
        </w:rPr>
        <w:t>q</w:t>
      </w:r>
      <w:r>
        <w:tab/>
        <w:t>=</w:t>
      </w:r>
      <w:r>
        <w:tab/>
      </w:r>
      <w:r w:rsidRPr="006F784F">
        <w:rPr>
          <w:position w:val="-18"/>
        </w:rPr>
        <w:object w:dxaOrig="225" w:dyaOrig="420" w14:anchorId="4CFBC701">
          <v:shape id="_x0000_i1236" type="#_x0000_t75" style="width:12pt;height:24pt" o:ole="">
            <v:imagedata r:id="rId237" o:title=""/>
          </v:shape>
          <o:OLEObject Type="Embed" ProgID="Equation.3" ShapeID="_x0000_i1236" DrawAspect="Content" ObjectID="_1804653720" r:id="rId290"/>
        </w:object>
      </w:r>
      <w:r>
        <w:t xml:space="preserve">BSSAMT </w:t>
      </w:r>
      <w:r>
        <w:rPr>
          <w:i/>
          <w:vertAlign w:val="subscript"/>
        </w:rPr>
        <w:t>q, r</w:t>
      </w:r>
    </w:p>
    <w:p w14:paraId="466EBAA4" w14:textId="77777777" w:rsidR="001F04FD" w:rsidRDefault="001F04FD" w:rsidP="001F04FD">
      <w:r>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1F04FD" w14:paraId="40E3B37E" w14:textId="77777777" w:rsidTr="00AC4DEE">
        <w:trPr>
          <w:cantSplit/>
          <w:tblHeader/>
        </w:trPr>
        <w:tc>
          <w:tcPr>
            <w:tcW w:w="1998" w:type="dxa"/>
          </w:tcPr>
          <w:p w14:paraId="20FAF4A1" w14:textId="77777777" w:rsidR="001F04FD" w:rsidRDefault="001F04FD" w:rsidP="00AC4DEE">
            <w:pPr>
              <w:pStyle w:val="TableHead"/>
            </w:pPr>
            <w:r>
              <w:t>Variable</w:t>
            </w:r>
          </w:p>
        </w:tc>
        <w:tc>
          <w:tcPr>
            <w:tcW w:w="0" w:type="auto"/>
          </w:tcPr>
          <w:p w14:paraId="5687902A" w14:textId="77777777" w:rsidR="001F04FD" w:rsidRDefault="001F04FD" w:rsidP="00AC4DEE">
            <w:pPr>
              <w:pStyle w:val="TableHead"/>
            </w:pPr>
            <w:r>
              <w:t>Unit</w:t>
            </w:r>
          </w:p>
        </w:tc>
        <w:tc>
          <w:tcPr>
            <w:tcW w:w="0" w:type="auto"/>
          </w:tcPr>
          <w:p w14:paraId="29B286A2" w14:textId="77777777" w:rsidR="001F04FD" w:rsidRDefault="001F04FD" w:rsidP="00AC4DEE">
            <w:pPr>
              <w:pStyle w:val="TableHead"/>
            </w:pPr>
            <w:r>
              <w:t>Definition</w:t>
            </w:r>
          </w:p>
        </w:tc>
      </w:tr>
      <w:tr w:rsidR="001F04FD" w14:paraId="230DA100" w14:textId="77777777" w:rsidTr="00AC4DEE">
        <w:trPr>
          <w:cantSplit/>
        </w:trPr>
        <w:tc>
          <w:tcPr>
            <w:tcW w:w="1998" w:type="dxa"/>
          </w:tcPr>
          <w:p w14:paraId="7A69BCEA" w14:textId="77777777" w:rsidR="001F04FD" w:rsidRDefault="001F04FD" w:rsidP="00AC4DEE">
            <w:pPr>
              <w:pStyle w:val="TableBody"/>
            </w:pPr>
            <w:r>
              <w:t>BSSAMTQSETOT</w:t>
            </w:r>
            <w:r w:rsidRPr="00E15B17">
              <w:rPr>
                <w:i/>
              </w:rPr>
              <w:t xml:space="preserve"> </w:t>
            </w:r>
            <w:r w:rsidRPr="00E15B17">
              <w:rPr>
                <w:i/>
                <w:vertAlign w:val="subscript"/>
              </w:rPr>
              <w:t>q</w:t>
            </w:r>
          </w:p>
        </w:tc>
        <w:tc>
          <w:tcPr>
            <w:tcW w:w="0" w:type="auto"/>
          </w:tcPr>
          <w:p w14:paraId="45815C89" w14:textId="77777777" w:rsidR="001F04FD" w:rsidRDefault="001F04FD" w:rsidP="00AC4DEE">
            <w:pPr>
              <w:pStyle w:val="TableBody"/>
            </w:pPr>
            <w:r>
              <w:t>$</w:t>
            </w:r>
          </w:p>
        </w:tc>
        <w:tc>
          <w:tcPr>
            <w:tcW w:w="0" w:type="auto"/>
          </w:tcPr>
          <w:p w14:paraId="0EC7D39B" w14:textId="77777777" w:rsidR="001F04FD" w:rsidRDefault="001F04FD" w:rsidP="00AC4DE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Resources represented by this QSE for the hour </w:t>
            </w:r>
            <w:r>
              <w:rPr>
                <w:i/>
              </w:rPr>
              <w:t>h</w:t>
            </w:r>
            <w:r>
              <w:t>.</w:t>
            </w:r>
          </w:p>
        </w:tc>
      </w:tr>
      <w:tr w:rsidR="001F04FD" w14:paraId="4350C6F1" w14:textId="77777777" w:rsidTr="00AC4DEE">
        <w:trPr>
          <w:cantSplit/>
        </w:trPr>
        <w:tc>
          <w:tcPr>
            <w:tcW w:w="1998" w:type="dxa"/>
          </w:tcPr>
          <w:p w14:paraId="5CE63F9C" w14:textId="77777777" w:rsidR="001F04FD" w:rsidRDefault="001F04FD" w:rsidP="00AC4DEE">
            <w:pPr>
              <w:pStyle w:val="TableBody"/>
            </w:pPr>
            <w:r>
              <w:t xml:space="preserve">BSSAMT </w:t>
            </w:r>
            <w:r w:rsidRPr="00E15B17">
              <w:rPr>
                <w:i/>
                <w:vertAlign w:val="subscript"/>
              </w:rPr>
              <w:t>q, r</w:t>
            </w:r>
          </w:p>
        </w:tc>
        <w:tc>
          <w:tcPr>
            <w:tcW w:w="0" w:type="auto"/>
          </w:tcPr>
          <w:p w14:paraId="08232FDF" w14:textId="77777777" w:rsidR="001F04FD" w:rsidRDefault="001F04FD" w:rsidP="00AC4DEE">
            <w:pPr>
              <w:pStyle w:val="TableBody"/>
            </w:pPr>
            <w:r>
              <w:t>$</w:t>
            </w:r>
          </w:p>
        </w:tc>
        <w:tc>
          <w:tcPr>
            <w:tcW w:w="0" w:type="auto"/>
          </w:tcPr>
          <w:p w14:paraId="48F03C94" w14:textId="77777777" w:rsidR="001F04FD" w:rsidRDefault="001F04FD" w:rsidP="00AC4DEE">
            <w:pPr>
              <w:pStyle w:val="TableBody"/>
            </w:pPr>
            <w:r>
              <w:rPr>
                <w:i/>
              </w:rPr>
              <w:t>Black Start Service Amount per QSE per Resource</w:t>
            </w:r>
            <w:r>
              <w:t xml:space="preserve">—The standby payment to QSE </w:t>
            </w:r>
            <w:r>
              <w:rPr>
                <w:i/>
              </w:rPr>
              <w:t>q</w:t>
            </w:r>
            <w:r>
              <w:t xml:space="preserve"> for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3263FF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0CECE8D7" w14:textId="77777777" w:rsidR="001F04FD" w:rsidRPr="00CE0FC9" w:rsidRDefault="001F04FD" w:rsidP="00AC4DEE">
            <w:pPr>
              <w:pStyle w:val="TableBody"/>
              <w:rPr>
                <w:i/>
              </w:rPr>
            </w:pPr>
            <w:r w:rsidRPr="00D661BC">
              <w:rPr>
                <w:i/>
              </w:rPr>
              <w:t>q</w:t>
            </w:r>
          </w:p>
        </w:tc>
        <w:tc>
          <w:tcPr>
            <w:tcW w:w="0" w:type="auto"/>
            <w:tcBorders>
              <w:top w:val="single" w:sz="4" w:space="0" w:color="auto"/>
              <w:left w:val="single" w:sz="4" w:space="0" w:color="auto"/>
              <w:bottom w:val="single" w:sz="4" w:space="0" w:color="auto"/>
              <w:right w:val="single" w:sz="4" w:space="0" w:color="auto"/>
            </w:tcBorders>
          </w:tcPr>
          <w:p w14:paraId="77AD390C"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4B72835C" w14:textId="77777777" w:rsidR="001F04FD" w:rsidRDefault="001F04FD" w:rsidP="00AC4DEE">
            <w:pPr>
              <w:pStyle w:val="TableBody"/>
            </w:pPr>
            <w:r>
              <w:t>A QSE.</w:t>
            </w:r>
          </w:p>
        </w:tc>
      </w:tr>
      <w:tr w:rsidR="001F04FD" w14:paraId="410D3CBD"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D70642E" w14:textId="77777777" w:rsidR="001F04FD" w:rsidRPr="00CE0FC9" w:rsidRDefault="001F04FD" w:rsidP="00AC4DEE">
            <w:pPr>
              <w:pStyle w:val="TableBody"/>
              <w:rPr>
                <w:i/>
              </w:rPr>
            </w:pPr>
            <w:r w:rsidRPr="00D661BC">
              <w:rPr>
                <w:i/>
              </w:rPr>
              <w:t>r</w:t>
            </w:r>
          </w:p>
        </w:tc>
        <w:tc>
          <w:tcPr>
            <w:tcW w:w="0" w:type="auto"/>
            <w:tcBorders>
              <w:top w:val="single" w:sz="4" w:space="0" w:color="auto"/>
              <w:left w:val="single" w:sz="4" w:space="0" w:color="auto"/>
              <w:bottom w:val="single" w:sz="4" w:space="0" w:color="auto"/>
              <w:right w:val="single" w:sz="4" w:space="0" w:color="auto"/>
            </w:tcBorders>
          </w:tcPr>
          <w:p w14:paraId="0BC032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7519D52" w14:textId="77777777" w:rsidR="001F04FD" w:rsidRDefault="001F04FD" w:rsidP="00AC4DEE">
            <w:pPr>
              <w:pStyle w:val="TableBody"/>
            </w:pPr>
            <w:r>
              <w:t>A BSS Resource.</w:t>
            </w:r>
          </w:p>
        </w:tc>
      </w:tr>
    </w:tbl>
    <w:p w14:paraId="33DFF25B" w14:textId="77777777" w:rsidR="001F04FD" w:rsidRDefault="001F04FD" w:rsidP="001F04FD">
      <w:pPr>
        <w:pStyle w:val="H4"/>
        <w:spacing w:before="480"/>
        <w:ind w:left="1267" w:hanging="1267"/>
      </w:pPr>
      <w:bookmarkStart w:id="2486" w:name="_Toc397505037"/>
      <w:bookmarkStart w:id="2487" w:name="_Toc402357169"/>
      <w:bookmarkStart w:id="2488" w:name="_Toc422486549"/>
      <w:bookmarkStart w:id="2489" w:name="_Toc433093402"/>
      <w:bookmarkStart w:id="2490" w:name="_Toc433093560"/>
      <w:bookmarkStart w:id="2491" w:name="_Toc440874790"/>
      <w:bookmarkStart w:id="2492" w:name="_Toc448142347"/>
      <w:bookmarkStart w:id="2493" w:name="_Toc448142504"/>
      <w:bookmarkStart w:id="2494" w:name="_Toc458770345"/>
      <w:bookmarkStart w:id="2495" w:name="_Toc459294313"/>
      <w:bookmarkStart w:id="2496" w:name="_Toc463262807"/>
      <w:bookmarkStart w:id="2497" w:name="_Toc468286880"/>
      <w:bookmarkStart w:id="2498" w:name="_Toc481502920"/>
      <w:bookmarkStart w:id="2499" w:name="_Toc496080088"/>
      <w:bookmarkStart w:id="2500" w:name="_Toc189044464"/>
      <w:r>
        <w:t>6.6.8.2</w:t>
      </w:r>
      <w:r>
        <w:tab/>
        <w:t>Black Start Capacity Charge</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p>
    <w:p w14:paraId="316162C7" w14:textId="77777777" w:rsidR="001F04FD" w:rsidRDefault="001F04FD" w:rsidP="001F04FD">
      <w:pPr>
        <w:pStyle w:val="BodyTextNumbered"/>
        <w:spacing w:before="240"/>
      </w:pPr>
      <w:r>
        <w:t>(1)</w:t>
      </w:r>
      <w:r>
        <w:tab/>
        <w:t>ERCOT shall allocate the total Black Start Service Capacity payment to the QSEs representing Loads based on a LRS.  The resulting charge to each QSE for a given hour is calculated as follows:</w:t>
      </w:r>
    </w:p>
    <w:p w14:paraId="00173E58" w14:textId="77777777" w:rsidR="001F04FD" w:rsidRDefault="001F04FD" w:rsidP="001F04FD">
      <w:pPr>
        <w:pStyle w:val="FormulaBold"/>
      </w:pPr>
      <w:r>
        <w:t xml:space="preserve">LABSSAMT </w:t>
      </w:r>
      <w:r>
        <w:rPr>
          <w:i/>
          <w:vertAlign w:val="subscript"/>
        </w:rPr>
        <w:t>q</w:t>
      </w:r>
      <w:r>
        <w:tab/>
        <w:t>=</w:t>
      </w:r>
      <w:r>
        <w:tab/>
        <w:t xml:space="preserve">(-1) * BSSAMTTOT * HLRS </w:t>
      </w:r>
      <w:r>
        <w:rPr>
          <w:i/>
          <w:vertAlign w:val="subscript"/>
        </w:rPr>
        <w:t>q</w:t>
      </w:r>
    </w:p>
    <w:p w14:paraId="16BF657A" w14:textId="77777777" w:rsidR="001F04FD" w:rsidRDefault="001F04FD" w:rsidP="001F04FD">
      <w:pPr>
        <w:pStyle w:val="BodyText"/>
      </w:pPr>
      <w:r>
        <w:t>Where:</w:t>
      </w:r>
    </w:p>
    <w:p w14:paraId="47A4B2F1" w14:textId="77777777" w:rsidR="001F04FD" w:rsidRDefault="001F04FD" w:rsidP="001F04FD">
      <w:pPr>
        <w:pStyle w:val="Formula"/>
        <w:ind w:left="2880" w:hanging="2160"/>
      </w:pPr>
      <w:r>
        <w:t>BSSAMTTOT</w:t>
      </w:r>
      <w:r>
        <w:tab/>
        <w:t>=</w:t>
      </w:r>
      <w:r>
        <w:tab/>
      </w:r>
      <w:r w:rsidRPr="006F784F">
        <w:rPr>
          <w:position w:val="-22"/>
        </w:rPr>
        <w:object w:dxaOrig="210" w:dyaOrig="465" w14:anchorId="720E5F21">
          <v:shape id="_x0000_i1237" type="#_x0000_t75" style="width:6pt;height:24pt" o:ole="">
            <v:imagedata r:id="rId291" o:title=""/>
          </v:shape>
          <o:OLEObject Type="Embed" ProgID="Equation.3" ShapeID="_x0000_i1237" DrawAspect="Content" ObjectID="_1804653721" r:id="rId292"/>
        </w:object>
      </w:r>
      <w:r>
        <w:t xml:space="preserve">BSSAMTQSETOT </w:t>
      </w:r>
      <w:r>
        <w:rPr>
          <w:i/>
          <w:vertAlign w:val="subscript"/>
        </w:rPr>
        <w:t>q</w:t>
      </w:r>
    </w:p>
    <w:p w14:paraId="1471A2D6" w14:textId="77777777" w:rsidR="001F04FD" w:rsidRDefault="001F04FD" w:rsidP="001F04FD">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1F04FD" w14:paraId="664D6B4A" w14:textId="77777777" w:rsidTr="00AC4DEE">
        <w:tc>
          <w:tcPr>
            <w:tcW w:w="1998" w:type="dxa"/>
          </w:tcPr>
          <w:p w14:paraId="6680A07D" w14:textId="77777777" w:rsidR="001F04FD" w:rsidRDefault="001F04FD" w:rsidP="00AC4DEE">
            <w:pPr>
              <w:pStyle w:val="TableHead"/>
            </w:pPr>
            <w:r>
              <w:t>Variable</w:t>
            </w:r>
          </w:p>
        </w:tc>
        <w:tc>
          <w:tcPr>
            <w:tcW w:w="0" w:type="auto"/>
          </w:tcPr>
          <w:p w14:paraId="6F99D6D1" w14:textId="77777777" w:rsidR="001F04FD" w:rsidRDefault="001F04FD" w:rsidP="00AC4DEE">
            <w:pPr>
              <w:pStyle w:val="TableHead"/>
            </w:pPr>
            <w:r>
              <w:t>Unit</w:t>
            </w:r>
          </w:p>
        </w:tc>
        <w:tc>
          <w:tcPr>
            <w:tcW w:w="0" w:type="auto"/>
          </w:tcPr>
          <w:p w14:paraId="7BD2EFFB" w14:textId="77777777" w:rsidR="001F04FD" w:rsidRDefault="001F04FD" w:rsidP="00AC4DEE">
            <w:pPr>
              <w:pStyle w:val="TableHead"/>
            </w:pPr>
            <w:r>
              <w:t>Definition</w:t>
            </w:r>
          </w:p>
        </w:tc>
      </w:tr>
      <w:tr w:rsidR="001F04FD" w14:paraId="1437FFA3" w14:textId="77777777" w:rsidTr="00AC4DEE">
        <w:trPr>
          <w:cantSplit/>
        </w:trPr>
        <w:tc>
          <w:tcPr>
            <w:tcW w:w="1998" w:type="dxa"/>
          </w:tcPr>
          <w:p w14:paraId="4319E082" w14:textId="77777777" w:rsidR="001F04FD" w:rsidRDefault="001F04FD" w:rsidP="00AC4DEE">
            <w:pPr>
              <w:pStyle w:val="TableBody"/>
            </w:pPr>
            <w:r>
              <w:t xml:space="preserve">LABSSAMT </w:t>
            </w:r>
            <w:r w:rsidRPr="00E15B17">
              <w:rPr>
                <w:i/>
                <w:vertAlign w:val="subscript"/>
              </w:rPr>
              <w:t>q</w:t>
            </w:r>
          </w:p>
        </w:tc>
        <w:tc>
          <w:tcPr>
            <w:tcW w:w="0" w:type="auto"/>
          </w:tcPr>
          <w:p w14:paraId="52C6A0E9" w14:textId="77777777" w:rsidR="001F04FD" w:rsidRDefault="001F04FD" w:rsidP="00AC4DEE">
            <w:pPr>
              <w:pStyle w:val="TableBody"/>
            </w:pPr>
            <w:r>
              <w:t>$</w:t>
            </w:r>
          </w:p>
        </w:tc>
        <w:tc>
          <w:tcPr>
            <w:tcW w:w="0" w:type="auto"/>
          </w:tcPr>
          <w:p w14:paraId="2917E1A3" w14:textId="77777777" w:rsidR="001F04FD" w:rsidRDefault="001F04FD" w:rsidP="00AC4DEE">
            <w:pPr>
              <w:pStyle w:val="TableBody"/>
            </w:pPr>
            <w:r>
              <w:rPr>
                <w:i/>
              </w:rPr>
              <w:t>Load-Allocated Black Start Service Amount per QSE</w:t>
            </w:r>
            <w:r>
              <w:t xml:space="preserve">—The charge allocated to QSE </w:t>
            </w:r>
            <w:r>
              <w:rPr>
                <w:i/>
              </w:rPr>
              <w:t>q</w:t>
            </w:r>
            <w:r>
              <w:t xml:space="preserve"> for the BSS, for the hour.</w:t>
            </w:r>
          </w:p>
        </w:tc>
      </w:tr>
      <w:tr w:rsidR="001F04FD" w14:paraId="7D5F9D6E" w14:textId="77777777" w:rsidTr="00AC4DEE">
        <w:trPr>
          <w:cantSplit/>
        </w:trPr>
        <w:tc>
          <w:tcPr>
            <w:tcW w:w="1998" w:type="dxa"/>
          </w:tcPr>
          <w:p w14:paraId="4356C663" w14:textId="77777777" w:rsidR="001F04FD" w:rsidRDefault="001F04FD" w:rsidP="00AC4DEE">
            <w:pPr>
              <w:pStyle w:val="TableBody"/>
            </w:pPr>
            <w:r>
              <w:t xml:space="preserve">BSSAMTQSETOT </w:t>
            </w:r>
            <w:r w:rsidRPr="00E15B17">
              <w:rPr>
                <w:i/>
                <w:iCs w:val="0"/>
                <w:vertAlign w:val="subscript"/>
              </w:rPr>
              <w:t>q</w:t>
            </w:r>
          </w:p>
        </w:tc>
        <w:tc>
          <w:tcPr>
            <w:tcW w:w="0" w:type="auto"/>
          </w:tcPr>
          <w:p w14:paraId="7305AA50" w14:textId="77777777" w:rsidR="001F04FD" w:rsidRDefault="001F04FD" w:rsidP="00AC4DEE">
            <w:pPr>
              <w:pStyle w:val="TableBody"/>
            </w:pPr>
            <w:r>
              <w:t>$</w:t>
            </w:r>
          </w:p>
        </w:tc>
        <w:tc>
          <w:tcPr>
            <w:tcW w:w="0" w:type="auto"/>
          </w:tcPr>
          <w:p w14:paraId="3B63C3E9" w14:textId="77777777" w:rsidR="001F04FD" w:rsidRDefault="001F04FD" w:rsidP="00AC4DE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r>
      <w:tr w:rsidR="001F04FD" w14:paraId="6CC702AC" w14:textId="77777777" w:rsidTr="00AC4DEE">
        <w:trPr>
          <w:cantSplit/>
        </w:trPr>
        <w:tc>
          <w:tcPr>
            <w:tcW w:w="1998" w:type="dxa"/>
          </w:tcPr>
          <w:p w14:paraId="5827725B" w14:textId="77777777" w:rsidR="001F04FD" w:rsidRDefault="001F04FD" w:rsidP="00AC4DEE">
            <w:pPr>
              <w:pStyle w:val="TableBody"/>
            </w:pPr>
            <w:r>
              <w:t>BSSAMTTOT</w:t>
            </w:r>
          </w:p>
        </w:tc>
        <w:tc>
          <w:tcPr>
            <w:tcW w:w="0" w:type="auto"/>
          </w:tcPr>
          <w:p w14:paraId="7C5AEE63" w14:textId="77777777" w:rsidR="001F04FD" w:rsidRDefault="001F04FD" w:rsidP="00AC4DEE">
            <w:pPr>
              <w:pStyle w:val="TableBody"/>
            </w:pPr>
            <w:r>
              <w:t>$</w:t>
            </w:r>
          </w:p>
        </w:tc>
        <w:tc>
          <w:tcPr>
            <w:tcW w:w="0" w:type="auto"/>
          </w:tcPr>
          <w:p w14:paraId="47784A4B" w14:textId="77777777" w:rsidR="001F04FD" w:rsidRDefault="001F04FD" w:rsidP="00AC4DEE">
            <w:pPr>
              <w:pStyle w:val="TableBody"/>
            </w:pPr>
            <w:r>
              <w:rPr>
                <w:i/>
              </w:rPr>
              <w:t xml:space="preserve">Black Start Service Amount QSE Total ERCOT-Wide — </w:t>
            </w:r>
            <w:r>
              <w:t xml:space="preserve">The total of the payments to QSE </w:t>
            </w:r>
            <w:r w:rsidRPr="007064D1">
              <w:rPr>
                <w:i/>
              </w:rPr>
              <w:t>q</w:t>
            </w:r>
            <w:r>
              <w:t xml:space="preserve"> for BSS provided by all the BSS Resource represented by this QSE for the hour h.</w:t>
            </w:r>
          </w:p>
        </w:tc>
      </w:tr>
      <w:tr w:rsidR="001F04FD" w14:paraId="67B606AB" w14:textId="77777777" w:rsidTr="00AC4DEE">
        <w:trPr>
          <w:cantSplit/>
        </w:trPr>
        <w:tc>
          <w:tcPr>
            <w:tcW w:w="1998" w:type="dxa"/>
          </w:tcPr>
          <w:p w14:paraId="29BE821D" w14:textId="77777777" w:rsidR="001F04FD" w:rsidRDefault="001F04FD" w:rsidP="00AC4DEE">
            <w:pPr>
              <w:pStyle w:val="TableBody"/>
            </w:pPr>
            <w:r>
              <w:t xml:space="preserve">HLRS </w:t>
            </w:r>
            <w:r w:rsidRPr="00E15B17">
              <w:rPr>
                <w:i/>
                <w:vertAlign w:val="subscript"/>
              </w:rPr>
              <w:t>q</w:t>
            </w:r>
          </w:p>
        </w:tc>
        <w:tc>
          <w:tcPr>
            <w:tcW w:w="0" w:type="auto"/>
          </w:tcPr>
          <w:p w14:paraId="0C924F4E" w14:textId="77777777" w:rsidR="001F04FD" w:rsidRDefault="001F04FD" w:rsidP="00AC4DEE">
            <w:pPr>
              <w:pStyle w:val="TableBody"/>
            </w:pPr>
            <w:r>
              <w:t>none</w:t>
            </w:r>
          </w:p>
        </w:tc>
        <w:tc>
          <w:tcPr>
            <w:tcW w:w="0" w:type="auto"/>
          </w:tcPr>
          <w:p w14:paraId="63F922B9" w14:textId="77777777" w:rsidR="001F04FD" w:rsidRDefault="001F04FD" w:rsidP="00BD4C7C">
            <w:pPr>
              <w:pStyle w:val="TableBody"/>
            </w:pPr>
            <w:r>
              <w:t xml:space="preserve">The hourly LRS calculated for QSE </w:t>
            </w:r>
            <w:r>
              <w:rPr>
                <w:i/>
              </w:rPr>
              <w:t>q</w:t>
            </w:r>
            <w:r>
              <w:t xml:space="preserve"> for the hour.  See Section 6.6.2.</w:t>
            </w:r>
            <w:r w:rsidR="00BD4C7C">
              <w:t>4</w:t>
            </w:r>
            <w:r>
              <w:t>, QSE Load Ratio Share for an Operating Hour.</w:t>
            </w:r>
          </w:p>
        </w:tc>
      </w:tr>
      <w:tr w:rsidR="001F04FD" w14:paraId="209A61D8"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4D2ACACD" w14:textId="77777777" w:rsidR="001F04FD" w:rsidRPr="00E15B17" w:rsidRDefault="001F04FD" w:rsidP="00AC4DEE">
            <w:pPr>
              <w:pStyle w:val="TableBody"/>
              <w:rPr>
                <w:i/>
              </w:rPr>
            </w:pPr>
            <w:r w:rsidRPr="00E15B17">
              <w:rPr>
                <w:i/>
              </w:rPr>
              <w:t>q</w:t>
            </w:r>
          </w:p>
        </w:tc>
        <w:tc>
          <w:tcPr>
            <w:tcW w:w="0" w:type="auto"/>
            <w:tcBorders>
              <w:top w:val="single" w:sz="4" w:space="0" w:color="auto"/>
              <w:left w:val="single" w:sz="4" w:space="0" w:color="auto"/>
              <w:bottom w:val="single" w:sz="4" w:space="0" w:color="auto"/>
              <w:right w:val="single" w:sz="4" w:space="0" w:color="auto"/>
            </w:tcBorders>
          </w:tcPr>
          <w:p w14:paraId="7DB2FDE6"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56C3622E" w14:textId="77777777" w:rsidR="001F04FD" w:rsidRDefault="001F04FD" w:rsidP="00AC4DEE">
            <w:pPr>
              <w:pStyle w:val="TableBody"/>
            </w:pPr>
            <w:r>
              <w:t>A QSE.</w:t>
            </w:r>
          </w:p>
        </w:tc>
      </w:tr>
    </w:tbl>
    <w:p w14:paraId="5DA85ADB" w14:textId="77777777" w:rsidR="001F04FD" w:rsidRDefault="001F04FD" w:rsidP="001F04FD">
      <w:pPr>
        <w:pStyle w:val="H3"/>
        <w:spacing w:before="480"/>
      </w:pPr>
      <w:bookmarkStart w:id="2501" w:name="_Toc87951814"/>
      <w:bookmarkStart w:id="2502" w:name="_Toc109009418"/>
      <w:bookmarkStart w:id="2503" w:name="_Toc397505038"/>
      <w:bookmarkStart w:id="2504" w:name="_Toc402357170"/>
      <w:bookmarkStart w:id="2505" w:name="_Toc422486550"/>
      <w:bookmarkStart w:id="2506" w:name="_Toc433093403"/>
      <w:bookmarkStart w:id="2507" w:name="_Toc433093561"/>
      <w:bookmarkStart w:id="2508" w:name="_Toc440874791"/>
      <w:bookmarkStart w:id="2509" w:name="_Toc448142348"/>
      <w:bookmarkStart w:id="2510" w:name="_Toc448142505"/>
      <w:bookmarkStart w:id="2511" w:name="_Toc458770346"/>
      <w:bookmarkStart w:id="2512" w:name="_Toc459294314"/>
      <w:bookmarkStart w:id="2513" w:name="_Toc463262808"/>
      <w:bookmarkStart w:id="2514" w:name="_Toc468286881"/>
      <w:bookmarkStart w:id="2515" w:name="_Toc481502921"/>
      <w:bookmarkStart w:id="2516" w:name="_Toc496080089"/>
      <w:bookmarkStart w:id="2517" w:name="_Toc189044465"/>
      <w:r>
        <w:t>6.6.9</w:t>
      </w:r>
      <w:r>
        <w:tab/>
        <w:t>Emergency Operations Settlement</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1EB27707" w14:textId="77777777" w:rsidR="001F04FD" w:rsidRDefault="001F04FD" w:rsidP="001F04FD">
      <w:pPr>
        <w:pStyle w:val="BodyTextNumbered"/>
      </w:pPr>
      <w:r>
        <w:t>(1)</w:t>
      </w:r>
      <w:r>
        <w:tab/>
        <w:t xml:space="preserve">Due to Emergency Conditions or Watches, additional compensation for each Generation Resource for which ERCOT provides an Emergency Base Point may be awarded to the </w:t>
      </w:r>
      <w:r>
        <w:lastRenderedPageBreak/>
        <w:t xml:space="preserve">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3F8CF77F" w14:textId="77777777" w:rsidR="001F04FD" w:rsidRDefault="001F04FD" w:rsidP="001F04FD">
      <w:pPr>
        <w:pStyle w:val="BodyTextNumbered"/>
      </w:pPr>
      <w:r>
        <w:t>(2)</w:t>
      </w:r>
      <w:r>
        <w:tab/>
        <w:t xml:space="preserve">In accordance with paragraph (8) of Section 8.1.1.2, General Capacity Testing Requirements, QSEs that receive a </w:t>
      </w:r>
      <w:r w:rsidRPr="005028C1">
        <w:t xml:space="preserve">VDI to operate the designated Generation Resource for an unannounced Generation Resource test </w:t>
      </w:r>
      <w:r>
        <w:t xml:space="preserve">may be considered for additional compensation utilizing the formula as stated in Section 6.6.9.1, Payment for Emergency Power Increase Directed by ERCOT.  If the </w:t>
      </w:r>
      <w:r w:rsidRPr="00AB18F7">
        <w:t xml:space="preserve">test </w:t>
      </w:r>
      <w:r>
        <w:t>period</w:t>
      </w:r>
      <w:r w:rsidRPr="006A744E">
        <w:t xml:space="preserve"> SCED </w:t>
      </w:r>
      <w:r>
        <w:t>B</w:t>
      </w:r>
      <w:r w:rsidRPr="00AB18F7">
        <w:t xml:space="preserve">ase </w:t>
      </w:r>
      <w:r>
        <w:t>P</w:t>
      </w:r>
      <w:r w:rsidRPr="00AB18F7">
        <w:t>oint</w:t>
      </w:r>
      <w:r>
        <w:t xml:space="preserve"> is higher than the SCED Base Point immediately before the </w:t>
      </w:r>
      <w:r w:rsidRPr="00AB18F7">
        <w:t xml:space="preserve">test </w:t>
      </w:r>
      <w:r>
        <w:t xml:space="preserve">period and the Settlement Point Price at the Resource Node is lower than the Generation Resource’s Energy Offer Curve price, or </w:t>
      </w:r>
      <w:r w:rsidR="00785038">
        <w:t>MOC</w:t>
      </w:r>
      <w:r>
        <w:t xml:space="preserve"> if no offer exists, at the </w:t>
      </w:r>
      <w:r w:rsidRPr="006A744E">
        <w:t xml:space="preserve">test </w:t>
      </w:r>
      <w:r>
        <w:t>B</w:t>
      </w:r>
      <w:r w:rsidRPr="006A744E">
        <w:t xml:space="preserve">ase </w:t>
      </w:r>
      <w:r>
        <w:t>P</w:t>
      </w:r>
      <w:r w:rsidRPr="006A744E">
        <w:t>oint</w:t>
      </w:r>
      <w:r>
        <w:t xml:space="preserve">, and the test was not a retest requested by the QSE, ERCOT shall pay the QSE additional compensation for the additional energy above the </w:t>
      </w:r>
      <w:r w:rsidRPr="00AB18F7">
        <w:t>pre-test</w:t>
      </w:r>
      <w:r>
        <w:t xml:space="preserve"> SCED Base Point.  For the purpose of this Settlement, and limited to Settlement Intervals inclusive of the unannounced Generation Resource test, SCED Base Points will be used in place of the Emergency Base Point.</w:t>
      </w:r>
    </w:p>
    <w:p w14:paraId="1DFFA692" w14:textId="77777777" w:rsidR="001F04FD" w:rsidRDefault="001F04FD" w:rsidP="001F04FD">
      <w:pPr>
        <w:pStyle w:val="BodyTextNumbered"/>
      </w:pPr>
      <w:r>
        <w:t>(3)</w:t>
      </w:r>
      <w:r>
        <w:tab/>
        <w:t>A QSE that represents a QSGR that comes On-Line as a result of a Base Point greater than zero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w:t>
      </w:r>
      <w:r w:rsidRPr="00386188">
        <w:t xml:space="preserve"> </w:t>
      </w:r>
      <w:r>
        <w:t xml:space="preserve">capped per the </w:t>
      </w:r>
      <w:r w:rsidR="00785038">
        <w:t>MOC</w:t>
      </w:r>
      <w:r>
        <w:t xml:space="preserve">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w:t>
      </w:r>
      <w:r w:rsidRPr="009B2FFF">
        <w:t>Section 3.8.3.1</w:t>
      </w:r>
      <w:r>
        <w:t xml:space="preserve">, </w:t>
      </w:r>
      <w:r w:rsidRPr="009B2FFF">
        <w:t>Quick Start Generation Resource Decommitment Decision Process</w:t>
      </w:r>
      <w:r>
        <w:t xml:space="preserve">, and there is no manual Low Dispatch Limit (LDL) override in place on the QSGR.   </w:t>
      </w:r>
    </w:p>
    <w:p w14:paraId="73A5E3F0" w14:textId="77777777" w:rsidR="001F04FD" w:rsidRDefault="001F04FD" w:rsidP="001F04FD">
      <w:pPr>
        <w:pStyle w:val="BodyTextNumbered"/>
      </w:pPr>
      <w:r>
        <w:t>(4)</w:t>
      </w:r>
      <w:r>
        <w:tab/>
        <w:t>QSEs that received Base Points that are inconsistent with Real-Time Settlement Point Prices and QSEs that receive a manual override from the ERCOT Operator shall be considered for additional compensation using the formula in Section 6.6.9.1.  If the Resource Settlement Point Price at the Resource Node is lower than the Energy Offer Curve price,</w:t>
      </w:r>
      <w:r w:rsidRPr="00386188">
        <w:t xml:space="preserve"> </w:t>
      </w:r>
      <w:r>
        <w:t xml:space="preserve">capped per the </w:t>
      </w:r>
      <w:r w:rsidR="00785038">
        <w:t>MOC</w:t>
      </w:r>
      <w:r>
        <w:t xml:space="preserve">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B77D12">
        <w:rPr>
          <w:iCs/>
        </w:rPr>
        <w:t>held</w:t>
      </w:r>
      <w:r>
        <w:t xml:space="preserve"> Settlement Intervals inclusive of the manual override or Base </w:t>
      </w:r>
      <w:r>
        <w:lastRenderedPageBreak/>
        <w:t xml:space="preserve">Points identified as inconsistent with prices, SCED Base Points will be used in place of the Emergency Base Point.  </w:t>
      </w:r>
    </w:p>
    <w:p w14:paraId="3E26512B" w14:textId="77777777" w:rsidR="001F04FD" w:rsidRDefault="001F04FD" w:rsidP="001F04FD">
      <w:pPr>
        <w:pStyle w:val="BodyTextNumbered"/>
      </w:pPr>
      <w:r>
        <w:t>(5)</w:t>
      </w:r>
      <w:r>
        <w:tab/>
        <w:t>In accordance with Section 6.3, Adjustment Period and Real-Time Operations Timeline, if ERCOT sets any SCED interval as failed, then QSEs</w:t>
      </w:r>
      <w:r w:rsidRPr="00F2400E">
        <w:t xml:space="preserve"> </w:t>
      </w:r>
      <w:r>
        <w:t xml:space="preserve">shall be considered for additional compensation using the formula in Section 6.6.9.1.  For the purpose of this Settlement, and limited to the failed </w:t>
      </w:r>
      <w:r>
        <w:rPr>
          <w:iCs/>
        </w:rPr>
        <w:t>SCED interval,</w:t>
      </w:r>
      <w:r>
        <w:t xml:space="preserve"> SCED Base Points will be used in place of the Emergency Base Point.</w:t>
      </w:r>
    </w:p>
    <w:p w14:paraId="5F04B683" w14:textId="77777777" w:rsidR="001F04FD" w:rsidRDefault="001F04FD" w:rsidP="001F04FD">
      <w:pPr>
        <w:pStyle w:val="BodyTextNumbered"/>
      </w:pPr>
      <w:r w:rsidRPr="000E6A86">
        <w:t>(6)</w:t>
      </w:r>
      <w:r w:rsidRPr="000E6A86">
        <w:tab/>
        <w:t>For each 15-minute Settlement Interval, a QSGR that receives a manual override from the ERCOT Operator shall only be considered for compensation under paragraph (4) above.</w:t>
      </w:r>
    </w:p>
    <w:p w14:paraId="52DA9BE7" w14:textId="1786948D" w:rsidR="001F04FD" w:rsidRDefault="001F04FD" w:rsidP="001F04FD">
      <w:pPr>
        <w:pStyle w:val="BodyTextNumbered"/>
      </w:pPr>
      <w:r>
        <w:t>(7)</w:t>
      </w:r>
      <w:r>
        <w:tab/>
        <w:t>For a QSGR,</w:t>
      </w:r>
      <w:r w:rsidRPr="00DA169A">
        <w:t xml:space="preserve"> </w:t>
      </w:r>
      <w:r w:rsidRPr="00B77D12">
        <w:t xml:space="preserve">the </w:t>
      </w:r>
      <w:r w:rsidR="00785038">
        <w:rPr>
          <w:iCs/>
        </w:rPr>
        <w:t>MOC</w:t>
      </w:r>
      <w:r w:rsidRPr="00B77D12">
        <w:rPr>
          <w:iCs/>
        </w:rPr>
        <w:t xml:space="preserve"> </w:t>
      </w:r>
      <w:r w:rsidRPr="00B77D12">
        <w:t xml:space="preserve">curve used to cap the Energy Offer Curve shall not include the variable </w:t>
      </w:r>
      <w:r>
        <w:t>Operations and Maintenance (</w:t>
      </w:r>
      <w:r w:rsidRPr="00B77D12">
        <w:t>O&amp;M</w:t>
      </w:r>
      <w:r>
        <w:t>)</w:t>
      </w:r>
      <w:r w:rsidRPr="00B77D12">
        <w:t xml:space="preserve"> </w:t>
      </w:r>
      <w:r w:rsidRPr="003C57EC">
        <w:t>adjustment cost to start the Resource from first fire to LSL, including the startup fuel described in</w:t>
      </w:r>
      <w:r w:rsidRPr="00B77D12">
        <w:t xml:space="preserve"> paragraph </w:t>
      </w:r>
      <w:r w:rsidR="00722326">
        <w:t>(1)</w:t>
      </w:r>
      <w:r w:rsidRPr="00B77D12">
        <w:t>(</w:t>
      </w:r>
      <w:r w:rsidR="001765B4">
        <w:t>c</w:t>
      </w:r>
      <w:r>
        <w:t>) of Section 4.4.9.4.1 for all emergency operations Settlement calculations with the exception of paragraph (3) above.</w:t>
      </w:r>
    </w:p>
    <w:p w14:paraId="279BBE5E" w14:textId="77777777" w:rsidR="00FC539A" w:rsidRDefault="001F04FD" w:rsidP="001F04FD">
      <w:pPr>
        <w:spacing w:after="240"/>
        <w:ind w:left="720" w:hanging="720"/>
      </w:pPr>
      <w:r w:rsidRPr="000A6C50">
        <w:t>(8)</w:t>
      </w:r>
      <w:r w:rsidRPr="008755F6">
        <w:tab/>
      </w:r>
      <w:r w:rsidRPr="000A6C50">
        <w:t>QSEs that receive a VDI to operate its Resources</w:t>
      </w:r>
      <w:r w:rsidRPr="005E1D8D">
        <w:t xml:space="preserve"> for an unannounc</w:t>
      </w:r>
      <w:r w:rsidRPr="001F6980">
        <w:t xml:space="preserve">ed </w:t>
      </w:r>
      <w:r w:rsidRPr="000D74E9">
        <w:t>CFC test</w:t>
      </w:r>
      <w:r>
        <w:t>, as described in the ERCOT Operating Guides,</w:t>
      </w:r>
      <w:r w:rsidRPr="000D74E9">
        <w:t xml:space="preserve"> or have been instructed to operate in CFC mode, may be considered for additional compensation utilizing the formula in Section 6.6.9.1</w:t>
      </w:r>
      <w:r w:rsidRPr="008B02BB">
        <w:t>.  If the Resource Settlement Point Price at the Resource Node is lower than the Energy Offer Curve price,</w:t>
      </w:r>
      <w:r w:rsidRPr="000D0AC1">
        <w:t xml:space="preserve"> capped per the </w:t>
      </w:r>
      <w:r w:rsidR="00785038">
        <w:t>MOC</w:t>
      </w:r>
      <w:r w:rsidRPr="000D0AC1">
        <w:t xml:space="preserve">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w:t>
      </w:r>
      <w:r w:rsidRPr="00443EE8">
        <w:t>test was</w:t>
      </w:r>
      <w:r w:rsidRPr="004D57A4">
        <w:t xml:space="preserve"> a</w:t>
      </w:r>
      <w:r w:rsidRPr="002B2A51">
        <w:t xml:space="preserve"> retest requested by the QSE. </w:t>
      </w:r>
      <w:r w:rsidRPr="0064360F">
        <w:t xml:space="preserve"> </w:t>
      </w:r>
      <w:r w:rsidRPr="00332E01">
        <w:t xml:space="preserve">For the purpose of this </w:t>
      </w:r>
      <w:r w:rsidRPr="002A27D3">
        <w:t xml:space="preserve">Settlement, and limited to Settlement Intervals inclusive of the CFC period, the </w:t>
      </w:r>
      <w:r>
        <w:t xml:space="preserve">Emergency Base Point shall be set to the </w:t>
      </w:r>
      <w:r w:rsidRPr="003A25A1">
        <w:t>Average Telemetered Generation for the 5 Minutes</w:t>
      </w:r>
      <w:r>
        <w:t xml:space="preserve"> (AVGTG5M)</w:t>
      </w:r>
      <w:r w:rsidRPr="002A27D3">
        <w:t xml:space="preserve">.  Only Resources that moved in the direction to correct frequency are eligible to receive compensation for providing CFC. </w:t>
      </w:r>
    </w:p>
    <w:p w14:paraId="0BEA4CA8" w14:textId="77777777" w:rsidR="00537026" w:rsidRDefault="00FC539A" w:rsidP="00FC539A">
      <w:pPr>
        <w:spacing w:after="240"/>
        <w:ind w:left="720" w:hanging="720"/>
      </w:pPr>
      <w:r>
        <w:t>(9)</w:t>
      </w:r>
      <w:r>
        <w:tab/>
      </w:r>
      <w:r w:rsidRPr="00F376E3">
        <w:rPr>
          <w:bCs/>
        </w:rPr>
        <w:t xml:space="preserve">If Emergency Base Points or SCED Base Points are </w:t>
      </w:r>
      <w:r>
        <w:rPr>
          <w:bCs/>
        </w:rPr>
        <w:t>unavailable, corrupted or otherwise unusable</w:t>
      </w:r>
      <w:r w:rsidRPr="00F376E3">
        <w:rPr>
          <w:bCs/>
        </w:rPr>
        <w:t xml:space="preserve"> for </w:t>
      </w:r>
      <w:r>
        <w:rPr>
          <w:bCs/>
        </w:rPr>
        <w:t>S</w:t>
      </w:r>
      <w:r w:rsidRPr="00F376E3">
        <w:rPr>
          <w:bCs/>
        </w:rPr>
        <w:t>ettlement purposes due to system conditions, hardware failure</w:t>
      </w:r>
      <w:r w:rsidR="00417B4E">
        <w:rPr>
          <w:bCs/>
        </w:rPr>
        <w:t>,</w:t>
      </w:r>
      <w:r>
        <w:rPr>
          <w:bCs/>
        </w:rPr>
        <w:t xml:space="preserve"> or</w:t>
      </w:r>
      <w:r w:rsidRPr="00F376E3">
        <w:rPr>
          <w:bCs/>
        </w:rPr>
        <w:t xml:space="preserve"> software failure</w:t>
      </w:r>
      <w:r w:rsidR="00417B4E">
        <w:rPr>
          <w:bCs/>
        </w:rPr>
        <w:t>,</w:t>
      </w:r>
      <w:r w:rsidRPr="00F376E3">
        <w:rPr>
          <w:bCs/>
        </w:rPr>
        <w:t xml:space="preserve"> the </w:t>
      </w:r>
      <w:r w:rsidRPr="00652B44">
        <w:rPr>
          <w:bCs/>
        </w:rPr>
        <w:t>Real-Time Metered Generation (RTMG) will be used to create proxy Base Points pursuant to Section 6.6.9.1</w:t>
      </w:r>
      <w:r>
        <w:rPr>
          <w:bCs/>
        </w:rPr>
        <w:t xml:space="preserve">. </w:t>
      </w:r>
      <w:r w:rsidR="00417B4E">
        <w:rPr>
          <w:bCs/>
        </w:rPr>
        <w:t xml:space="preserve"> </w:t>
      </w:r>
      <w:r>
        <w:rPr>
          <w:bCs/>
        </w:rPr>
        <w:t xml:space="preserve">If the RTMG is not available the </w:t>
      </w:r>
      <w:r w:rsidRPr="00F376E3">
        <w:rPr>
          <w:bCs/>
        </w:rPr>
        <w:t>most accurate available generation data</w:t>
      </w:r>
      <w:r>
        <w:rPr>
          <w:bCs/>
        </w:rPr>
        <w:t xml:space="preserve"> as determined by ERCOT</w:t>
      </w:r>
      <w:r w:rsidRPr="00F376E3">
        <w:rPr>
          <w:bCs/>
        </w:rPr>
        <w:t xml:space="preserve"> will be used to create proxy Base Points </w:t>
      </w:r>
      <w:r>
        <w:rPr>
          <w:bCs/>
        </w:rPr>
        <w:t xml:space="preserve">pursuant to </w:t>
      </w:r>
      <w:r w:rsidRPr="00F376E3">
        <w:rPr>
          <w:bCs/>
        </w:rPr>
        <w:t>Section 6.6.9.</w:t>
      </w:r>
      <w:r>
        <w:rPr>
          <w:bCs/>
        </w:rPr>
        <w:t>1</w:t>
      </w:r>
      <w:r w:rsidRPr="00F376E3">
        <w:rPr>
          <w:bCs/>
        </w:rPr>
        <w:t>.</w:t>
      </w:r>
      <w:r>
        <w:rPr>
          <w:bCs/>
        </w:rPr>
        <w:t xml:space="preserve"> </w:t>
      </w:r>
      <w:r w:rsidR="00417B4E">
        <w:rPr>
          <w:bCs/>
        </w:rPr>
        <w:t xml:space="preserve"> </w:t>
      </w:r>
      <w:r>
        <w:rPr>
          <w:bCs/>
        </w:rPr>
        <w:t>ERCOT shall issue a Market Notice stating the Operating Day and Settlement Intervals that were impacted and the generation data that was used to create proxy Base Points.</w:t>
      </w:r>
      <w:r w:rsidR="001F04FD" w:rsidRPr="002A27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7026" w14:paraId="0848934C" w14:textId="77777777" w:rsidTr="00BE571E">
        <w:trPr>
          <w:trHeight w:val="206"/>
        </w:trPr>
        <w:tc>
          <w:tcPr>
            <w:tcW w:w="9576" w:type="dxa"/>
            <w:shd w:val="pct12" w:color="auto" w:fill="auto"/>
          </w:tcPr>
          <w:p w14:paraId="74BE7775" w14:textId="6FD860D5" w:rsidR="00537026" w:rsidRDefault="00537026" w:rsidP="00BE571E">
            <w:pPr>
              <w:pStyle w:val="Instructions"/>
              <w:spacing w:before="120"/>
            </w:pPr>
            <w:r>
              <w:t>[NPRR1010</w:t>
            </w:r>
            <w:r w:rsidR="00D4088C">
              <w:t>,</w:t>
            </w:r>
            <w:r w:rsidR="00002953">
              <w:t xml:space="preserve"> NPRR1014</w:t>
            </w:r>
            <w:r w:rsidR="00D4088C">
              <w:t>, and NPRR1246</w:t>
            </w:r>
            <w:r>
              <w:t xml:space="preserve">:  Replace </w:t>
            </w:r>
            <w:r w:rsidR="00002953">
              <w:t xml:space="preserve">applicable portions of </w:t>
            </w:r>
            <w:r>
              <w:t>Section 6.6.9 above with the following upon system implementation of the Real-Time Co-Optimization (RTC) project</w:t>
            </w:r>
            <w:r w:rsidR="00002953">
              <w:t xml:space="preserve"> for NPRR1010</w:t>
            </w:r>
            <w:r w:rsidR="00D4088C">
              <w:t xml:space="preserve"> and NPRR1246</w:t>
            </w:r>
            <w:r w:rsidR="00002953">
              <w:t>; or upon system implementation for NPRR1014</w:t>
            </w:r>
            <w:r>
              <w:t>:]</w:t>
            </w:r>
          </w:p>
          <w:p w14:paraId="05D99DC8" w14:textId="77777777" w:rsidR="00537026" w:rsidRDefault="00537026" w:rsidP="00537026">
            <w:pPr>
              <w:keepNext/>
              <w:tabs>
                <w:tab w:val="left" w:pos="1080"/>
              </w:tabs>
              <w:spacing w:before="240" w:after="240"/>
              <w:ind w:left="1080" w:hanging="1080"/>
              <w:outlineLvl w:val="2"/>
              <w:rPr>
                <w:b/>
                <w:bCs/>
                <w:i/>
              </w:rPr>
            </w:pPr>
            <w:bookmarkStart w:id="2518" w:name="_Toc60040728"/>
            <w:bookmarkStart w:id="2519" w:name="_Toc65151787"/>
            <w:bookmarkStart w:id="2520" w:name="_Toc80174813"/>
            <w:bookmarkStart w:id="2521" w:name="_Toc112417693"/>
            <w:bookmarkStart w:id="2522" w:name="_Toc119310362"/>
            <w:bookmarkStart w:id="2523" w:name="_Toc125966295"/>
            <w:bookmarkStart w:id="2524" w:name="_Toc135992393"/>
            <w:bookmarkStart w:id="2525" w:name="_Toc170303589"/>
            <w:bookmarkStart w:id="2526" w:name="_Toc175157493"/>
            <w:bookmarkStart w:id="2527" w:name="_Toc189044466"/>
            <w:r>
              <w:rPr>
                <w:b/>
                <w:bCs/>
                <w:i/>
              </w:rPr>
              <w:lastRenderedPageBreak/>
              <w:t>6.6.9</w:t>
            </w:r>
            <w:r>
              <w:rPr>
                <w:b/>
                <w:bCs/>
                <w:i/>
              </w:rPr>
              <w:tab/>
              <w:t>Emergency Operations Settlement</w:t>
            </w:r>
            <w:bookmarkEnd w:id="2518"/>
            <w:bookmarkEnd w:id="2519"/>
            <w:bookmarkEnd w:id="2520"/>
            <w:bookmarkEnd w:id="2521"/>
            <w:bookmarkEnd w:id="2522"/>
            <w:bookmarkEnd w:id="2523"/>
            <w:bookmarkEnd w:id="2524"/>
            <w:bookmarkEnd w:id="2525"/>
            <w:bookmarkEnd w:id="2526"/>
            <w:bookmarkEnd w:id="2527"/>
          </w:p>
          <w:p w14:paraId="42B33A57" w14:textId="1F348CB4" w:rsidR="00002953" w:rsidRPr="00A552C3" w:rsidRDefault="00002953" w:rsidP="00002953">
            <w:pPr>
              <w:spacing w:after="240"/>
              <w:ind w:left="720" w:hanging="720"/>
            </w:pPr>
            <w:r w:rsidRPr="00A552C3">
              <w:t>(1)</w:t>
            </w:r>
            <w:r w:rsidRPr="00A552C3">
              <w:tab/>
              <w:t xml:space="preserve">Due to Emergency Conditions or Watches, additional compensation for each Generation Resource or Energy Storage Resource (ESR) for which ERCOT provides an Emergency Base Point may be awarded to the QSE representing the Generation Resource or ESR.  If the Resource was instructed to increase generation at a Settlement Point price that is lower than the price based on their Energy Offer Curve or Energy Bid/Offer Curve, or if the Resource was instructed to increase withdrawal at a Settlement Point price that is higher than the price based on their Energy Bid/Offer Curve,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Mitigated Offer Cap (MOC). </w:t>
            </w:r>
          </w:p>
          <w:p w14:paraId="70D1EC9A" w14:textId="77777777" w:rsidR="00002953" w:rsidRPr="00A552C3" w:rsidRDefault="00002953" w:rsidP="00002953">
            <w:pPr>
              <w:spacing w:after="240"/>
              <w:ind w:left="720" w:hanging="720"/>
            </w:pPr>
            <w:r w:rsidRPr="00A552C3">
              <w:t>(2)</w:t>
            </w:r>
            <w:r w:rsidRPr="00A552C3">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paragraph (1) in Section 6.6.9.1.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406EB759" w14:textId="77777777" w:rsidR="00002953" w:rsidRPr="00A552C3" w:rsidRDefault="00002953" w:rsidP="00002953">
            <w:pPr>
              <w:spacing w:after="240"/>
              <w:ind w:left="720" w:hanging="720"/>
            </w:pPr>
            <w:r w:rsidRPr="00A552C3">
              <w:t>(3)</w:t>
            </w:r>
            <w:r w:rsidRPr="00A552C3">
              <w:tab/>
              <w:t xml:space="preserve">A QSE that represents a QSGR that comes On-Line as a result of a Base Point greater than zero shall be considered for additional compensation using the formula in paragraph (2) in Section 6.6.9.1 when the Base Point is less than or equal to its applicable Seasonal net minimum sustainable rating provided in the Resource Registration data.  For the 15-minute Settlement Interval, the process for additional compensation compares the Resource’s energy and Ancillary Services revenue with the Resource’s revenue target, as defined in Section 6.6.9.1, considering both Ancillary Service awards and Base Points, where the Energy Offer Curve is capped per the MOC.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27C9E48" w14:textId="1F4415B7" w:rsidR="00002953" w:rsidRPr="00A552C3" w:rsidRDefault="00002953" w:rsidP="00002953">
            <w:pPr>
              <w:spacing w:after="240"/>
              <w:ind w:left="720" w:hanging="720"/>
            </w:pPr>
            <w:r w:rsidRPr="00A552C3">
              <w:lastRenderedPageBreak/>
              <w:t>(4)</w:t>
            </w:r>
            <w:r w:rsidRPr="00A552C3">
              <w:tab/>
              <w:t xml:space="preserve">QSEs that received Base Points that are inconsistent with Real-Time Settlement Point Prices and QSEs that receive a manual override from the ERCOT Operator shall be considered for additional compensation using the formula in paragraph (2) in Section 6.6.9.1.  For the 15-minute Settlement Interval, the process for additional compensation compares the Resource’s energy and Ancillary Services revenue with the Resource’s revenue target, as defined in Section 6.6.9.1, considering both the Ancillary Service awards and held Base Points, where the Energy Offer Curve or the Energy Bid/Offer Curve is capped per the MOC. </w:t>
            </w:r>
            <w:r w:rsidR="0018785B">
              <w:t xml:space="preserve"> </w:t>
            </w:r>
            <w:r w:rsidRPr="00A552C3">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A552C3">
              <w:rPr>
                <w:iCs/>
              </w:rPr>
              <w:t>held</w:t>
            </w:r>
            <w:r w:rsidRPr="00A552C3">
              <w:t xml:space="preserve"> Settlement Intervals inclusive of the manual override or Base Points identified as inconsistent with prices, SCED Base Points will be used in place of the Emergency Base Point.  </w:t>
            </w:r>
          </w:p>
          <w:p w14:paraId="31D11EE7" w14:textId="77777777" w:rsidR="00002953" w:rsidRPr="00A552C3" w:rsidRDefault="00002953" w:rsidP="00002953">
            <w:pPr>
              <w:spacing w:after="240"/>
              <w:ind w:left="720" w:hanging="720"/>
            </w:pPr>
            <w:r w:rsidRPr="00A552C3">
              <w:t>(5)</w:t>
            </w:r>
            <w:r w:rsidRPr="00A552C3">
              <w:tab/>
              <w:t xml:space="preserve">In accordance with Section 6.3, Adjustment Period and Real-Time Operations Timeline, if ERCOT sets any SCED interval as failed, then QSEs shall be considered for additional compensation using the formula in paragraph (1) in Section 6.6.9.1.  For the purpose of this Settlement, and limited to the failed </w:t>
            </w:r>
            <w:r w:rsidRPr="00A552C3">
              <w:rPr>
                <w:iCs/>
              </w:rPr>
              <w:t>SCED interval,</w:t>
            </w:r>
            <w:r w:rsidRPr="00A552C3">
              <w:t xml:space="preserve"> SCED Base Points will be used in place of the Emergency Base Point.</w:t>
            </w:r>
          </w:p>
          <w:p w14:paraId="3E9B4960" w14:textId="77777777" w:rsidR="00002953" w:rsidRPr="00A552C3" w:rsidRDefault="00002953" w:rsidP="00002953">
            <w:pPr>
              <w:spacing w:after="240"/>
              <w:ind w:left="720" w:hanging="720"/>
            </w:pPr>
            <w:r w:rsidRPr="00A552C3">
              <w:t>(6)</w:t>
            </w:r>
            <w:r w:rsidRPr="00A552C3">
              <w:tab/>
              <w:t>For each 15-minute Settlement Interval, a QSGR that receives a manual override from the ERCOT Operator shall only be considered for compensation under paragraph (4) above.</w:t>
            </w:r>
          </w:p>
          <w:p w14:paraId="665AD053" w14:textId="77777777" w:rsidR="00002953" w:rsidRPr="00A552C3" w:rsidRDefault="00002953" w:rsidP="00002953">
            <w:pPr>
              <w:spacing w:after="240"/>
              <w:ind w:left="720" w:hanging="720"/>
            </w:pPr>
            <w:r w:rsidRPr="00A552C3">
              <w:t>(7)</w:t>
            </w:r>
            <w:r w:rsidRPr="00A552C3">
              <w:tab/>
              <w:t xml:space="preserve">For a QSGR, the </w:t>
            </w:r>
            <w:r w:rsidRPr="00A552C3">
              <w:rPr>
                <w:iCs/>
              </w:rPr>
              <w:t xml:space="preserve">MOC </w:t>
            </w:r>
            <w:r w:rsidRPr="00A552C3">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4F6E1EF" w14:textId="77777777" w:rsidR="00002953" w:rsidRPr="00A552C3" w:rsidRDefault="00002953" w:rsidP="00002953">
            <w:pPr>
              <w:spacing w:after="240"/>
              <w:ind w:left="720" w:hanging="720"/>
            </w:pPr>
            <w:r w:rsidRPr="00A552C3">
              <w:t>(8)</w:t>
            </w:r>
            <w:r w:rsidRPr="00A552C3">
              <w:tab/>
              <w:t xml:space="preserve">Any QSE that receives a VDI to operate its Resource for an unannounced CFC test, as described in the ERCOT Operating Guides, or that has been instructed to operate in CFC mode, may be considered for additional compensation utilizing the formula in paragraph (1) in Section 6.6.9.1.  If the Resource increased generation at a Settlement Point Price that is lower than the price based on the Energy Offer Curve or Energy Bid/Offer Curve, or if the Resource was instructed to increase withdrawal at a Settlement Point Price that is higher than the price based on its Energy Bid/Offer Curve,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and the Energy Offer Curve and Energy/Bid Offer Curve shall be capped by the MOC.  Only </w:t>
            </w:r>
            <w:r w:rsidRPr="00A552C3">
              <w:lastRenderedPageBreak/>
              <w:t xml:space="preserve">Resources that moved in the direction to correct frequency are eligible to receive compensation for providing CFC. </w:t>
            </w:r>
          </w:p>
          <w:p w14:paraId="4E46693C" w14:textId="39462B3C" w:rsidR="00002953" w:rsidRPr="00A552C3" w:rsidRDefault="00002953" w:rsidP="00002953">
            <w:pPr>
              <w:spacing w:after="240"/>
              <w:ind w:left="720" w:hanging="720"/>
            </w:pPr>
            <w:r w:rsidRPr="00A552C3">
              <w:t>(9)</w:t>
            </w:r>
            <w:r w:rsidRPr="00A552C3">
              <w:tab/>
            </w:r>
            <w:r w:rsidRPr="00A552C3">
              <w:rPr>
                <w:bCs/>
              </w:rPr>
              <w:t>If Emergency Base Points or SCED Base Points are unavailable, corrupted or otherwise unusable for Settlement purposes due to system conditions, hardware failure, or software failure, the Real-Time Metered Generation (RTMG) and Real-Time Charging Load (RTCL) will be used to create proxy Base Points pursuant to Section 6.6.9.1.  If the RTMG and RTCL are not available, the most accurate available generation and withdrawal data as determined by ERCOT will be used to create proxy Base Points pursuant to Section 6.6.9.1.  ERCOT shall issue a Market Notice stating the Operating Day and Settlement Intervals that were impacted and the data that was used to create proxy Base Points.</w:t>
            </w:r>
            <w:r w:rsidRPr="00A552C3">
              <w:t xml:space="preserve"> </w:t>
            </w:r>
          </w:p>
          <w:p w14:paraId="7B41230D" w14:textId="229A7E20" w:rsidR="00002953" w:rsidRPr="00A552C3" w:rsidRDefault="00002953" w:rsidP="000A1D62">
            <w:pPr>
              <w:spacing w:after="240"/>
              <w:ind w:left="720" w:hanging="720"/>
            </w:pPr>
            <w:bookmarkStart w:id="2528" w:name="_Hlk120516039"/>
            <w:r w:rsidRPr="00A552C3">
              <w:t>(10)</w:t>
            </w:r>
            <w:r w:rsidRPr="00A552C3">
              <w:tab/>
              <w:t xml:space="preserve">The </w:t>
            </w:r>
            <w:r w:rsidR="00BD7CC8" w:rsidRPr="00221D04">
              <w:t xml:space="preserve">Energy Offer Curve or </w:t>
            </w:r>
            <w:r w:rsidRPr="00A552C3">
              <w:t xml:space="preserve">Energy Bid/Offer Curve used to calculate the Emergency Base Point Price (EBPPR) will be the </w:t>
            </w:r>
            <w:r w:rsidR="00BD7CC8" w:rsidRPr="00221D04">
              <w:t xml:space="preserve">Energy Offer Curve or </w:t>
            </w:r>
            <w:r w:rsidRPr="00A552C3">
              <w:t xml:space="preserve">Energy Bid/Offer Curve that was submitted by the QSE and effective for the </w:t>
            </w:r>
            <w:r w:rsidR="00633EBD" w:rsidRPr="00221D04">
              <w:t>applicable Operating Hour at the time of the triggering event that led to emergency Settlement consideration</w:t>
            </w:r>
            <w:r w:rsidRPr="00A552C3">
              <w:t>, except when the QSE has received Base Points that are inconsistent with Real-Time Settlement Point Prices, as described in paragraph (4) above</w:t>
            </w:r>
            <w:r w:rsidR="00633EBD" w:rsidRPr="00221D04">
              <w:t>.  In the case of the condition described in paragraph (3) above, the triggering event would be the first interval in which the QSGR comes On-Line as a result of a Base Point greater than zero.</w:t>
            </w:r>
          </w:p>
          <w:p w14:paraId="23081634" w14:textId="46B27B71" w:rsidR="00537026" w:rsidRPr="00B37C4B" w:rsidRDefault="00002953" w:rsidP="000A1D62">
            <w:pPr>
              <w:spacing w:after="240"/>
              <w:ind w:left="720" w:hanging="720"/>
            </w:pPr>
            <w:r w:rsidRPr="00A552C3">
              <w:t>(</w:t>
            </w:r>
            <w:r w:rsidR="00633EBD">
              <w:t>11</w:t>
            </w:r>
            <w:r w:rsidRPr="00A552C3">
              <w:t>)</w:t>
            </w:r>
            <w:r w:rsidRPr="00A552C3">
              <w:tab/>
            </w:r>
            <w:r w:rsidR="00633EBD" w:rsidRPr="00221D04">
              <w:t>For ESRs that qualify for emergency Settlement,</w:t>
            </w:r>
            <w:r w:rsidR="00633EBD">
              <w:t xml:space="preserve"> f</w:t>
            </w:r>
            <w:r w:rsidRPr="00A552C3">
              <w:t xml:space="preserve">or purposes of this section, the MOC curve used to cap the Energy Bid/Offer </w:t>
            </w:r>
            <w:r w:rsidRPr="00633EBD">
              <w:rPr>
                <w:bCs/>
              </w:rPr>
              <w:t>Curve</w:t>
            </w:r>
            <w:r w:rsidRPr="00A552C3">
              <w:t xml:space="preserve"> shall be set to the highest Real-Time Settlement Point Price (RTSPP) at the Resource’s Settlemen</w:t>
            </w:r>
            <w:r>
              <w:t>t Point for the Operating Day.</w:t>
            </w:r>
            <w:r w:rsidR="00537026">
              <w:t xml:space="preserve"> </w:t>
            </w:r>
            <w:bookmarkEnd w:id="2528"/>
          </w:p>
        </w:tc>
      </w:tr>
    </w:tbl>
    <w:p w14:paraId="46D08171" w14:textId="77777777" w:rsidR="001F04FD" w:rsidRDefault="001F04FD" w:rsidP="001F04FD">
      <w:pPr>
        <w:pStyle w:val="H4"/>
        <w:spacing w:before="480"/>
        <w:ind w:left="1267" w:hanging="1267"/>
      </w:pPr>
      <w:bookmarkStart w:id="2529" w:name="_Toc109009419"/>
      <w:bookmarkStart w:id="2530" w:name="_Toc397505039"/>
      <w:bookmarkStart w:id="2531" w:name="_Toc402357171"/>
      <w:bookmarkStart w:id="2532" w:name="_Toc422486551"/>
      <w:bookmarkStart w:id="2533" w:name="_Toc433093404"/>
      <w:bookmarkStart w:id="2534" w:name="_Toc433093562"/>
      <w:bookmarkStart w:id="2535" w:name="_Toc440874792"/>
      <w:bookmarkStart w:id="2536" w:name="_Toc448142349"/>
      <w:bookmarkStart w:id="2537" w:name="_Toc448142506"/>
      <w:bookmarkStart w:id="2538" w:name="_Toc458770347"/>
      <w:bookmarkStart w:id="2539" w:name="_Toc459294315"/>
      <w:bookmarkStart w:id="2540" w:name="_Toc463262809"/>
      <w:bookmarkStart w:id="2541" w:name="_Toc468286882"/>
      <w:bookmarkStart w:id="2542" w:name="_Toc481502922"/>
      <w:bookmarkStart w:id="2543" w:name="_Toc496080090"/>
      <w:bookmarkStart w:id="2544" w:name="_Toc189044467"/>
      <w:r>
        <w:lastRenderedPageBreak/>
        <w:t>6.6.9.1</w:t>
      </w:r>
      <w:r>
        <w:tab/>
        <w:t>Payment for Emergency Power Increase Directed by ERCOT</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480296AE" w14:textId="77777777" w:rsidR="001F04FD" w:rsidRDefault="001F04FD" w:rsidP="001F04FD">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  The payment for a given 15-minute Settlement Interval is calculated as follows:</w:t>
      </w:r>
    </w:p>
    <w:p w14:paraId="265B67C1" w14:textId="77777777" w:rsidR="001F04FD" w:rsidRDefault="001F04FD" w:rsidP="001F04FD">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BA82916" w14:textId="77777777" w:rsidR="001F04FD" w:rsidRDefault="001F04FD" w:rsidP="001F04FD">
      <w:pPr>
        <w:pStyle w:val="BodyText"/>
        <w:rPr>
          <w:lang w:val="pt-BR"/>
        </w:rPr>
      </w:pPr>
      <w:r>
        <w:rPr>
          <w:lang w:val="pt-BR"/>
        </w:rPr>
        <w:t>Where:</w:t>
      </w:r>
    </w:p>
    <w:p w14:paraId="1D3CFFE5" w14:textId="77777777" w:rsidR="001F04FD" w:rsidRDefault="001F04FD" w:rsidP="001F04FD">
      <w:pPr>
        <w:pStyle w:val="Formula"/>
        <w:ind w:left="2880" w:hanging="2160"/>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4831B1EF" w14:textId="77777777" w:rsidR="001F04FD" w:rsidRDefault="001F04FD" w:rsidP="001F04FD">
      <w:pPr>
        <w:pStyle w:val="Formula"/>
        <w:ind w:left="2880" w:hanging="2160"/>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2C64792A">
          <v:shape id="_x0000_i1238" type="#_x0000_t75" style="width:12pt;height:24pt" o:ole="">
            <v:imagedata r:id="rId293" o:title=""/>
          </v:shape>
          <o:OLEObject Type="Embed" ProgID="Equation.3" ShapeID="_x0000_i1238" DrawAspect="Content" ObjectID="_1804653722" r:id="rId294"/>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3583EB14" w14:textId="77777777" w:rsidR="001F04FD" w:rsidRDefault="001F04FD" w:rsidP="001F04FD">
      <w:pPr>
        <w:pStyle w:val="Formula"/>
        <w:ind w:left="2880" w:hanging="2160"/>
        <w:rPr>
          <w:lang w:val="es-MX"/>
        </w:rPr>
      </w:pPr>
      <w:r>
        <w:rPr>
          <w:lang w:val="pt-BR"/>
        </w:rPr>
        <w:lastRenderedPageBreak/>
        <w:tab/>
      </w:r>
      <w:r>
        <w:rPr>
          <w:lang w:val="pt-BR"/>
        </w:rPr>
        <w:tab/>
      </w:r>
      <w:r>
        <w:rPr>
          <w:lang w:val="pt-BR"/>
        </w:rPr>
        <w:tab/>
      </w:r>
      <w:r w:rsidRPr="006F784F">
        <w:rPr>
          <w:position w:val="-22"/>
        </w:rPr>
        <w:object w:dxaOrig="225" w:dyaOrig="450" w14:anchorId="2589039F">
          <v:shape id="_x0000_i1239" type="#_x0000_t75" style="width:12pt;height:24pt" o:ole="">
            <v:imagedata r:id="rId295" o:title=""/>
          </v:shape>
          <o:OLEObject Type="Embed" ProgID="Equation.3" ShapeID="_x0000_i1239" DrawAspect="Content" ObjectID="_1804653723" r:id="rId296"/>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0DE1C29" w14:textId="77777777" w:rsidR="001F04FD" w:rsidRDefault="001F04FD" w:rsidP="001F04FD">
      <w:pPr>
        <w:pStyle w:val="Formula"/>
        <w:tabs>
          <w:tab w:val="clear" w:pos="2160"/>
        </w:tabs>
        <w:ind w:left="2880" w:hanging="2160"/>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bCs w:val="0"/>
          <w:lang w:val="pt-BR"/>
        </w:rPr>
        <w:t>AEBP</w:t>
      </w:r>
      <w:r>
        <w:rPr>
          <w:bCs w:val="0"/>
          <w:vertAlign w:val="subscript"/>
          <w:lang w:val="pt-BR"/>
        </w:rPr>
        <w:t xml:space="preserve"> </w:t>
      </w:r>
      <w:r>
        <w:rPr>
          <w:bCs w:val="0"/>
          <w:i/>
          <w:vertAlign w:val="subscript"/>
          <w:lang w:val="pt-BR"/>
        </w:rPr>
        <w:t>q, r, p</w:t>
      </w:r>
      <w:r>
        <w:rPr>
          <w:bCs w:val="0"/>
          <w:vertAlign w:val="subscript"/>
          <w:lang w:val="pt-BR"/>
        </w:rPr>
        <w:t xml:space="preserve"> </w:t>
      </w:r>
      <w:r>
        <w:rPr>
          <w:bCs w:val="0"/>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03EB05B9" w14:textId="77777777" w:rsidR="001F04FD" w:rsidRDefault="001F04FD" w:rsidP="001F04FD">
      <w:pPr>
        <w:pStyle w:val="Formula"/>
        <w:ind w:left="2880" w:hanging="2160"/>
        <w:rPr>
          <w:bCs w:val="0"/>
          <w:lang w:val="pt-BR"/>
        </w:rPr>
      </w:pPr>
      <w:r>
        <w:rPr>
          <w:bCs w:val="0"/>
          <w:lang w:val="pt-BR"/>
        </w:rPr>
        <w:t>AEBP</w:t>
      </w:r>
      <w:r>
        <w:rPr>
          <w:bCs w:val="0"/>
          <w:vertAlign w:val="subscript"/>
          <w:lang w:val="pt-BR"/>
        </w:rPr>
        <w:t xml:space="preserve"> </w:t>
      </w:r>
      <w:r>
        <w:rPr>
          <w:bCs w:val="0"/>
          <w:i/>
          <w:vertAlign w:val="subscript"/>
          <w:lang w:val="pt-BR"/>
        </w:rPr>
        <w:t>q, r, p</w:t>
      </w:r>
      <w:r>
        <w:rPr>
          <w:bCs w:val="0"/>
          <w:lang w:val="pt-BR"/>
        </w:rPr>
        <w:tab/>
      </w:r>
      <w:r>
        <w:rPr>
          <w:bCs w:val="0"/>
          <w:lang w:val="pt-BR"/>
        </w:rPr>
        <w:tab/>
        <w:t>=</w:t>
      </w:r>
      <w:r>
        <w:rPr>
          <w:bCs w:val="0"/>
          <w:lang w:val="pt-BR"/>
        </w:rPr>
        <w:tab/>
      </w:r>
      <w:r w:rsidRPr="006F784F">
        <w:rPr>
          <w:position w:val="-22"/>
        </w:rPr>
        <w:object w:dxaOrig="225" w:dyaOrig="450" w14:anchorId="145CA98E">
          <v:shape id="_x0000_i1240" type="#_x0000_t75" style="width:12pt;height:24pt" o:ole="">
            <v:imagedata r:id="rId295" o:title=""/>
          </v:shape>
          <o:OLEObject Type="Embed" ProgID="Equation.3" ShapeID="_x0000_i1240" DrawAspect="Content" ObjectID="_1804653724" r:id="rId297"/>
        </w:object>
      </w:r>
      <w:r>
        <w:rPr>
          <w:bCs w:val="0"/>
          <w:lang w:val="pt-BR"/>
        </w:rPr>
        <w:t xml:space="preserve"> (EBP </w:t>
      </w:r>
      <w:r>
        <w:rPr>
          <w:bCs w:val="0"/>
          <w:i/>
          <w:vertAlign w:val="subscript"/>
          <w:lang w:val="pt-BR"/>
        </w:rPr>
        <w:t>q, r, p, y</w:t>
      </w:r>
      <w:r>
        <w:rPr>
          <w:bCs w:val="0"/>
          <w:lang w:val="pt-BR"/>
        </w:rPr>
        <w:t xml:space="preserve"> * TLMP</w:t>
      </w:r>
      <w:r w:rsidRPr="00E15B17">
        <w:rPr>
          <w:bCs w:val="0"/>
          <w:i/>
          <w:vertAlign w:val="subscript"/>
          <w:lang w:val="pt-BR"/>
        </w:rPr>
        <w:t>y</w:t>
      </w:r>
      <w:r>
        <w:rPr>
          <w:bCs w:val="0"/>
          <w:lang w:val="pt-BR"/>
        </w:rPr>
        <w:t xml:space="preserve"> / 3600)</w:t>
      </w:r>
    </w:p>
    <w:p w14:paraId="6A473FD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1F04FD" w14:paraId="43E77945" w14:textId="77777777" w:rsidTr="00AC4DEE">
        <w:trPr>
          <w:cantSplit/>
          <w:tblHeader/>
        </w:trPr>
        <w:tc>
          <w:tcPr>
            <w:tcW w:w="934" w:type="pct"/>
          </w:tcPr>
          <w:p w14:paraId="4A69907F" w14:textId="77777777" w:rsidR="001F04FD" w:rsidRDefault="001F04FD" w:rsidP="00AC4DEE">
            <w:pPr>
              <w:pStyle w:val="TableHead"/>
            </w:pPr>
            <w:r>
              <w:t>Variable</w:t>
            </w:r>
          </w:p>
        </w:tc>
        <w:tc>
          <w:tcPr>
            <w:tcW w:w="481" w:type="pct"/>
          </w:tcPr>
          <w:p w14:paraId="4ED92D1B" w14:textId="77777777" w:rsidR="001F04FD" w:rsidRDefault="001F04FD" w:rsidP="00AC4DEE">
            <w:pPr>
              <w:pStyle w:val="TableHead"/>
            </w:pPr>
            <w:r>
              <w:t>Unit</w:t>
            </w:r>
          </w:p>
        </w:tc>
        <w:tc>
          <w:tcPr>
            <w:tcW w:w="3585" w:type="pct"/>
          </w:tcPr>
          <w:p w14:paraId="7CA43DE5" w14:textId="77777777" w:rsidR="001F04FD" w:rsidRDefault="001F04FD" w:rsidP="00AC4DEE">
            <w:pPr>
              <w:pStyle w:val="TableHead"/>
            </w:pPr>
            <w:r>
              <w:t>Definition</w:t>
            </w:r>
          </w:p>
        </w:tc>
      </w:tr>
      <w:tr w:rsidR="001F04FD" w14:paraId="46413F9F" w14:textId="77777777" w:rsidTr="00AC4DEE">
        <w:trPr>
          <w:cantSplit/>
        </w:trPr>
        <w:tc>
          <w:tcPr>
            <w:tcW w:w="934" w:type="pct"/>
          </w:tcPr>
          <w:p w14:paraId="2224284E" w14:textId="77777777" w:rsidR="001F04FD" w:rsidRDefault="001F04FD" w:rsidP="00AC4DEE">
            <w:pPr>
              <w:pStyle w:val="TableBody"/>
            </w:pPr>
            <w:r>
              <w:t xml:space="preserve">EMREAMT </w:t>
            </w:r>
            <w:r w:rsidRPr="00E15B17">
              <w:rPr>
                <w:i/>
                <w:vertAlign w:val="subscript"/>
              </w:rPr>
              <w:t>q, r, p</w:t>
            </w:r>
          </w:p>
        </w:tc>
        <w:tc>
          <w:tcPr>
            <w:tcW w:w="481" w:type="pct"/>
          </w:tcPr>
          <w:p w14:paraId="602B02D0" w14:textId="77777777" w:rsidR="001F04FD" w:rsidRDefault="001F04FD" w:rsidP="00AC4DEE">
            <w:pPr>
              <w:pStyle w:val="TableBody"/>
            </w:pPr>
            <w:r>
              <w:t>$</w:t>
            </w:r>
          </w:p>
        </w:tc>
        <w:tc>
          <w:tcPr>
            <w:tcW w:w="3585" w:type="pct"/>
          </w:tcPr>
          <w:p w14:paraId="6D17D487"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C8F7EFA" w14:textId="77777777" w:rsidTr="00AC4DEE">
        <w:trPr>
          <w:cantSplit/>
        </w:trPr>
        <w:tc>
          <w:tcPr>
            <w:tcW w:w="934" w:type="pct"/>
          </w:tcPr>
          <w:p w14:paraId="503284E9" w14:textId="77777777" w:rsidR="001F04FD" w:rsidRDefault="001F04FD" w:rsidP="00AC4DEE">
            <w:pPr>
              <w:pStyle w:val="TableBody"/>
            </w:pPr>
            <w:r>
              <w:t xml:space="preserve">EMREPR </w:t>
            </w:r>
            <w:r w:rsidRPr="00E15B17">
              <w:rPr>
                <w:i/>
                <w:vertAlign w:val="subscript"/>
              </w:rPr>
              <w:t>q, r, p</w:t>
            </w:r>
          </w:p>
        </w:tc>
        <w:tc>
          <w:tcPr>
            <w:tcW w:w="481" w:type="pct"/>
          </w:tcPr>
          <w:p w14:paraId="3D21C9CB" w14:textId="77777777" w:rsidR="001F04FD" w:rsidRDefault="001F04FD" w:rsidP="00AC4DEE">
            <w:pPr>
              <w:pStyle w:val="TableBody"/>
            </w:pPr>
            <w:r>
              <w:t>$/MWh</w:t>
            </w:r>
          </w:p>
        </w:tc>
        <w:tc>
          <w:tcPr>
            <w:tcW w:w="3585" w:type="pct"/>
          </w:tcPr>
          <w:p w14:paraId="544740D8" w14:textId="77777777" w:rsidR="001F04FD" w:rsidRDefault="001F04FD" w:rsidP="00AC4DEE">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2283009" w14:textId="77777777" w:rsidTr="00AC4DEE">
        <w:trPr>
          <w:cantSplit/>
        </w:trPr>
        <w:tc>
          <w:tcPr>
            <w:tcW w:w="934" w:type="pct"/>
          </w:tcPr>
          <w:p w14:paraId="380714DD" w14:textId="77777777" w:rsidR="001F04FD" w:rsidRDefault="001F04FD" w:rsidP="00AC4DEE">
            <w:pPr>
              <w:pStyle w:val="TableBody"/>
            </w:pPr>
            <w:r>
              <w:t xml:space="preserve">EMRE </w:t>
            </w:r>
            <w:r w:rsidRPr="00E15B17">
              <w:rPr>
                <w:i/>
                <w:vertAlign w:val="subscript"/>
              </w:rPr>
              <w:t>q, r, p</w:t>
            </w:r>
          </w:p>
        </w:tc>
        <w:tc>
          <w:tcPr>
            <w:tcW w:w="481" w:type="pct"/>
          </w:tcPr>
          <w:p w14:paraId="02B8262D" w14:textId="77777777" w:rsidR="001F04FD" w:rsidRDefault="001F04FD" w:rsidP="00AC4DEE">
            <w:pPr>
              <w:pStyle w:val="TableBody"/>
            </w:pPr>
            <w:r>
              <w:t>MWh</w:t>
            </w:r>
          </w:p>
        </w:tc>
        <w:tc>
          <w:tcPr>
            <w:tcW w:w="3585" w:type="pct"/>
          </w:tcPr>
          <w:p w14:paraId="6D9D2F30" w14:textId="77777777" w:rsidR="001F04FD" w:rsidRDefault="001F04FD" w:rsidP="00AC4DEE">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765B78A3" w14:textId="77777777" w:rsidTr="00AC4DEE">
        <w:trPr>
          <w:cantSplit/>
        </w:trPr>
        <w:tc>
          <w:tcPr>
            <w:tcW w:w="934" w:type="pct"/>
          </w:tcPr>
          <w:p w14:paraId="1AC7B3E5" w14:textId="77777777" w:rsidR="001F04FD" w:rsidRDefault="001F04FD" w:rsidP="00AC4DEE">
            <w:pPr>
              <w:pStyle w:val="TableBody"/>
            </w:pPr>
            <w:r>
              <w:t xml:space="preserve">EBPWAPR </w:t>
            </w:r>
            <w:r w:rsidRPr="00E15B17">
              <w:rPr>
                <w:i/>
                <w:vertAlign w:val="subscript"/>
              </w:rPr>
              <w:t>q, r, p</w:t>
            </w:r>
          </w:p>
        </w:tc>
        <w:tc>
          <w:tcPr>
            <w:tcW w:w="481" w:type="pct"/>
          </w:tcPr>
          <w:p w14:paraId="7A4D1DDF" w14:textId="77777777" w:rsidR="001F04FD" w:rsidRDefault="001F04FD" w:rsidP="00AC4DEE">
            <w:pPr>
              <w:pStyle w:val="TableBody"/>
            </w:pPr>
            <w:r>
              <w:t>$/MWh</w:t>
            </w:r>
          </w:p>
        </w:tc>
        <w:tc>
          <w:tcPr>
            <w:tcW w:w="3585" w:type="pct"/>
          </w:tcPr>
          <w:p w14:paraId="7B7FF15D" w14:textId="77777777" w:rsidR="001F04FD" w:rsidRDefault="001F04FD" w:rsidP="00AC4DEE">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1F04FD" w14:paraId="579112F0" w14:textId="77777777" w:rsidTr="00AC4DEE">
        <w:trPr>
          <w:cantSplit/>
        </w:trPr>
        <w:tc>
          <w:tcPr>
            <w:tcW w:w="934" w:type="pct"/>
          </w:tcPr>
          <w:p w14:paraId="2E300F29" w14:textId="77777777" w:rsidR="001F04FD" w:rsidRDefault="001F04FD" w:rsidP="00AC4DEE">
            <w:pPr>
              <w:pStyle w:val="TableBody"/>
            </w:pPr>
            <w:r>
              <w:t xml:space="preserve">BP </w:t>
            </w:r>
            <w:r w:rsidRPr="00E15B17">
              <w:rPr>
                <w:i/>
                <w:vertAlign w:val="subscript"/>
              </w:rPr>
              <w:t>q, r, p</w:t>
            </w:r>
          </w:p>
        </w:tc>
        <w:tc>
          <w:tcPr>
            <w:tcW w:w="481" w:type="pct"/>
          </w:tcPr>
          <w:p w14:paraId="04C25ACF" w14:textId="77777777" w:rsidR="001F04FD" w:rsidRDefault="001F04FD" w:rsidP="00AC4DEE">
            <w:pPr>
              <w:pStyle w:val="TableBody"/>
            </w:pPr>
            <w:r>
              <w:t>MW</w:t>
            </w:r>
          </w:p>
        </w:tc>
        <w:tc>
          <w:tcPr>
            <w:tcW w:w="3585" w:type="pct"/>
          </w:tcPr>
          <w:p w14:paraId="2F22728B" w14:textId="77777777" w:rsidR="001F04FD" w:rsidRDefault="001F04FD" w:rsidP="00AC4DEE">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1F04FD" w14:paraId="671A143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3907639" w14:textId="77777777" w:rsidR="001F04FD" w:rsidRDefault="001F04FD" w:rsidP="00AC4DEE">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8145E46" w14:textId="77777777" w:rsidR="001F04FD" w:rsidRDefault="001F04FD" w:rsidP="00AC4DEE">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107156C2" w14:textId="77777777" w:rsidR="001F04FD" w:rsidRPr="00AB43DA" w:rsidRDefault="001F04FD" w:rsidP="00AC4DEE">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1F04FD" w14:paraId="3B0503B7" w14:textId="77777777" w:rsidTr="00AC4DEE">
        <w:trPr>
          <w:cantSplit/>
        </w:trPr>
        <w:tc>
          <w:tcPr>
            <w:tcW w:w="934" w:type="pct"/>
          </w:tcPr>
          <w:p w14:paraId="6E863D3F" w14:textId="77777777" w:rsidR="001F04FD" w:rsidRDefault="001F04FD" w:rsidP="00AC4DEE">
            <w:pPr>
              <w:pStyle w:val="TableBody"/>
            </w:pPr>
            <w:r>
              <w:t xml:space="preserve">EBP </w:t>
            </w:r>
            <w:r w:rsidRPr="00E15B17">
              <w:rPr>
                <w:i/>
                <w:vertAlign w:val="subscript"/>
              </w:rPr>
              <w:t>q, r, p, y</w:t>
            </w:r>
          </w:p>
        </w:tc>
        <w:tc>
          <w:tcPr>
            <w:tcW w:w="481" w:type="pct"/>
          </w:tcPr>
          <w:p w14:paraId="2EE88DBA" w14:textId="77777777" w:rsidR="001F04FD" w:rsidRDefault="001F04FD" w:rsidP="00AC4DEE">
            <w:pPr>
              <w:pStyle w:val="TableBody"/>
            </w:pPr>
            <w:r>
              <w:t>MW</w:t>
            </w:r>
          </w:p>
        </w:tc>
        <w:tc>
          <w:tcPr>
            <w:tcW w:w="3585" w:type="pct"/>
          </w:tcPr>
          <w:p w14:paraId="2A91EB84" w14:textId="77777777" w:rsidR="001F04FD" w:rsidRDefault="001F04FD" w:rsidP="00AC4DEE">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C1C70D1" w14:textId="77777777" w:rsidTr="00AC4DEE">
        <w:trPr>
          <w:cantSplit/>
        </w:trPr>
        <w:tc>
          <w:tcPr>
            <w:tcW w:w="934" w:type="pct"/>
          </w:tcPr>
          <w:p w14:paraId="4A6C5860" w14:textId="77777777" w:rsidR="001F04FD" w:rsidRDefault="001F04FD" w:rsidP="00AC4DEE">
            <w:pPr>
              <w:pStyle w:val="TableBody"/>
            </w:pPr>
            <w:r>
              <w:lastRenderedPageBreak/>
              <w:t xml:space="preserve">EBPPR </w:t>
            </w:r>
            <w:r w:rsidRPr="00E15B17">
              <w:rPr>
                <w:i/>
                <w:vertAlign w:val="subscript"/>
              </w:rPr>
              <w:t>q, r, p, y</w:t>
            </w:r>
          </w:p>
        </w:tc>
        <w:tc>
          <w:tcPr>
            <w:tcW w:w="481" w:type="pct"/>
          </w:tcPr>
          <w:p w14:paraId="39872CFF" w14:textId="77777777" w:rsidR="001F04FD" w:rsidRDefault="001F04FD" w:rsidP="00AC4DEE">
            <w:pPr>
              <w:pStyle w:val="TableBody"/>
            </w:pPr>
            <w:r>
              <w:t>$/MWh</w:t>
            </w:r>
          </w:p>
        </w:tc>
        <w:tc>
          <w:tcPr>
            <w:tcW w:w="3585" w:type="pct"/>
          </w:tcPr>
          <w:p w14:paraId="7EFE9460" w14:textId="77777777" w:rsidR="00072829" w:rsidRDefault="001F04FD" w:rsidP="00785038">
            <w:pPr>
              <w:pStyle w:val="TableBody"/>
            </w:pPr>
            <w:r>
              <w:rPr>
                <w:i/>
              </w:rPr>
              <w:t>Emergency Base Point Price per QSE per Settlement Point per Resource by interval</w:t>
            </w:r>
            <w:r>
              <w:t xml:space="preserve">—The average incremental energy cost calculated per the Energy Offer Curve, capped by the </w:t>
            </w:r>
            <w:r w:rsidR="00785038">
              <w:t>MOC</w:t>
            </w:r>
            <w:r>
              <w:t xml:space="preserve">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478"/>
            </w:tblGrid>
            <w:tr w:rsidR="00072829" w14:paraId="256EA432" w14:textId="77777777" w:rsidTr="00B327B6">
              <w:trPr>
                <w:trHeight w:val="206"/>
              </w:trPr>
              <w:tc>
                <w:tcPr>
                  <w:tcW w:w="9576" w:type="dxa"/>
                  <w:shd w:val="pct12" w:color="auto" w:fill="auto"/>
                </w:tcPr>
                <w:p w14:paraId="078F23A2" w14:textId="5E6B625E" w:rsidR="00072829" w:rsidRDefault="00072829" w:rsidP="00072829">
                  <w:pPr>
                    <w:pStyle w:val="Instructions"/>
                    <w:spacing w:before="120"/>
                  </w:pPr>
                  <w:r>
                    <w:t>[NPRR1216:  Replace the definition above with the following upon system implementation:]</w:t>
                  </w:r>
                </w:p>
                <w:p w14:paraId="03D1DF42" w14:textId="1F8E25C4" w:rsidR="00072829" w:rsidRPr="00A4149C" w:rsidRDefault="00072829" w:rsidP="00072829">
                  <w:pPr>
                    <w:pStyle w:val="TableBody"/>
                  </w:pPr>
                  <w:r w:rsidRPr="00CF7EAF">
                    <w:rPr>
                      <w:i/>
                    </w:rPr>
                    <w:t>Emergency Base Point Price per QSE per Settlement Point per Resource by interval</w:t>
                  </w:r>
                  <w:r w:rsidRPr="00CF7EAF">
                    <w:t xml:space="preserve">—The average incremental energy cost calculated per the Energy Offer Curve, capped by the MOC pursuant to Section 4.4.9.4.1, Mitigated Offer Cap, and by the SWCAP, for the output levels between the SCED Base Point immediately before the Emergency Condition or Watch and the Emergency Base Point of Resource </w:t>
                  </w:r>
                  <w:r w:rsidRPr="00CF7EAF">
                    <w:rPr>
                      <w:i/>
                    </w:rPr>
                    <w:t>r</w:t>
                  </w:r>
                  <w:r w:rsidRPr="00CF7EAF">
                    <w:t xml:space="preserve"> at Resource Node </w:t>
                  </w:r>
                  <w:r w:rsidRPr="00CF7EAF">
                    <w:rPr>
                      <w:i/>
                    </w:rPr>
                    <w:t>p</w:t>
                  </w:r>
                  <w:r w:rsidRPr="00CF7EAF">
                    <w:t xml:space="preserve"> represented by QSE </w:t>
                  </w:r>
                  <w:r w:rsidRPr="00CF7EAF">
                    <w:rPr>
                      <w:i/>
                    </w:rPr>
                    <w:t>q</w:t>
                  </w:r>
                  <w:r w:rsidRPr="00CF7EAF">
                    <w:t xml:space="preserve"> for the Emergency Base Point interval or SCED interval</w:t>
                  </w:r>
                  <w:r w:rsidRPr="00CF7EAF">
                    <w:rPr>
                      <w:i/>
                    </w:rPr>
                    <w:t xml:space="preserve"> y</w:t>
                  </w:r>
                  <w:r w:rsidRPr="00CF7EAF">
                    <w:t xml:space="preserve">.  Where for a Combined Cycle Train, the Resource </w:t>
                  </w:r>
                  <w:r w:rsidRPr="00CF7EAF">
                    <w:rPr>
                      <w:i/>
                    </w:rPr>
                    <w:t xml:space="preserve">r </w:t>
                  </w:r>
                  <w:r w:rsidRPr="00CF7EAF">
                    <w:t>is a Combined Cycle Generation Resource within the Combined Cycle Train.</w:t>
                  </w:r>
                </w:p>
              </w:tc>
            </w:tr>
          </w:tbl>
          <w:p w14:paraId="11D60F7A" w14:textId="2CFCF2E2" w:rsidR="001F04FD" w:rsidRDefault="001F04FD" w:rsidP="00785038">
            <w:pPr>
              <w:pStyle w:val="TableBody"/>
            </w:pPr>
          </w:p>
        </w:tc>
      </w:tr>
      <w:tr w:rsidR="001F04FD" w14:paraId="56958E48" w14:textId="77777777" w:rsidTr="00AC4DEE">
        <w:trPr>
          <w:cantSplit/>
        </w:trPr>
        <w:tc>
          <w:tcPr>
            <w:tcW w:w="934" w:type="pct"/>
          </w:tcPr>
          <w:p w14:paraId="4A20F64A" w14:textId="77777777" w:rsidR="001F04FD" w:rsidRDefault="001F04FD" w:rsidP="00AC4DEE">
            <w:pPr>
              <w:pStyle w:val="TableBody"/>
            </w:pPr>
            <w:r>
              <w:t>RTSPP</w:t>
            </w:r>
            <w:r w:rsidRPr="00E15B17">
              <w:rPr>
                <w:i/>
              </w:rPr>
              <w:t xml:space="preserve"> </w:t>
            </w:r>
            <w:r w:rsidRPr="00E15B17">
              <w:rPr>
                <w:i/>
                <w:vertAlign w:val="subscript"/>
              </w:rPr>
              <w:t>p</w:t>
            </w:r>
          </w:p>
        </w:tc>
        <w:tc>
          <w:tcPr>
            <w:tcW w:w="481" w:type="pct"/>
          </w:tcPr>
          <w:p w14:paraId="6D955217" w14:textId="77777777" w:rsidR="001F04FD" w:rsidRDefault="001F04FD" w:rsidP="00AC4DEE">
            <w:pPr>
              <w:pStyle w:val="TableBody"/>
            </w:pPr>
            <w:r>
              <w:t>$/MWh</w:t>
            </w:r>
          </w:p>
        </w:tc>
        <w:tc>
          <w:tcPr>
            <w:tcW w:w="3585" w:type="pct"/>
          </w:tcPr>
          <w:p w14:paraId="147B3B10"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2AC1A6A2" w14:textId="77777777" w:rsidTr="00AC4DEE">
        <w:trPr>
          <w:cantSplit/>
        </w:trPr>
        <w:tc>
          <w:tcPr>
            <w:tcW w:w="934" w:type="pct"/>
          </w:tcPr>
          <w:p w14:paraId="42804635" w14:textId="77777777" w:rsidR="001F04FD" w:rsidRDefault="001F04FD" w:rsidP="00AC4DEE">
            <w:pPr>
              <w:pStyle w:val="TableBody"/>
            </w:pPr>
            <w:r>
              <w:t xml:space="preserve">RTMG </w:t>
            </w:r>
            <w:r w:rsidRPr="00E15B17">
              <w:rPr>
                <w:i/>
                <w:vertAlign w:val="subscript"/>
              </w:rPr>
              <w:t>q, r, p</w:t>
            </w:r>
          </w:p>
        </w:tc>
        <w:tc>
          <w:tcPr>
            <w:tcW w:w="481" w:type="pct"/>
          </w:tcPr>
          <w:p w14:paraId="4E12483A" w14:textId="77777777" w:rsidR="001F04FD" w:rsidRDefault="001F04FD" w:rsidP="00AC4DEE">
            <w:pPr>
              <w:pStyle w:val="TableBody"/>
            </w:pPr>
            <w:r>
              <w:t>MWh</w:t>
            </w:r>
          </w:p>
        </w:tc>
        <w:tc>
          <w:tcPr>
            <w:tcW w:w="3585" w:type="pct"/>
          </w:tcPr>
          <w:p w14:paraId="2E69C545" w14:textId="77777777" w:rsidR="001F04FD" w:rsidRDefault="001F04FD" w:rsidP="00AC4DEE">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1F04FD" w14:paraId="01D5BACB"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2226207" w14:textId="77777777" w:rsidR="001F04FD" w:rsidRDefault="001F04FD" w:rsidP="00AC4DEE">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C1783D4" w14:textId="77777777" w:rsidR="001F04FD" w:rsidRDefault="001F04FD" w:rsidP="00AC4DEE">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0D293B54" w14:textId="77777777" w:rsidR="001F04FD" w:rsidRDefault="001F04FD" w:rsidP="00AC4DEE">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1F04FD" w14:paraId="2E853138"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F6BB6D7" w14:textId="77777777" w:rsidR="001F04FD" w:rsidRPr="00CE0FC9" w:rsidRDefault="001F04FD" w:rsidP="00AC4DEE">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62523FA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861E46F" w14:textId="77777777" w:rsidR="001F04FD" w:rsidRDefault="001F04FD" w:rsidP="00AC4DEE">
            <w:pPr>
              <w:pStyle w:val="TableBody"/>
            </w:pPr>
            <w:r>
              <w:t>A QSE.</w:t>
            </w:r>
          </w:p>
        </w:tc>
      </w:tr>
      <w:tr w:rsidR="001F04FD" w14:paraId="17303399"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46BE0257" w14:textId="77777777" w:rsidR="001F04FD" w:rsidRPr="00CE0FC9" w:rsidRDefault="001F04FD" w:rsidP="00AC4DEE">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026CAB03"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DE938AE" w14:textId="77777777" w:rsidR="001F04FD" w:rsidRDefault="001F04FD" w:rsidP="00AC4DEE">
            <w:pPr>
              <w:pStyle w:val="TableBody"/>
            </w:pPr>
            <w:r>
              <w:t>A Resource Node Settlement Point.</w:t>
            </w:r>
          </w:p>
        </w:tc>
      </w:tr>
      <w:tr w:rsidR="001F04FD" w14:paraId="46C5129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2F382A88" w14:textId="77777777" w:rsidR="001F04FD" w:rsidRPr="00CE0FC9" w:rsidRDefault="001F04FD" w:rsidP="00AC4DEE">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18C474DB"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3C3BA0B" w14:textId="77777777" w:rsidR="001F04FD" w:rsidRDefault="001F04FD" w:rsidP="00AC4DEE">
            <w:pPr>
              <w:pStyle w:val="TableBody"/>
            </w:pPr>
            <w:r>
              <w:t>A Generation Resource.</w:t>
            </w:r>
          </w:p>
        </w:tc>
      </w:tr>
      <w:tr w:rsidR="001F04FD" w14:paraId="296D621A"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1166CF20" w14:textId="77777777" w:rsidR="001F04FD" w:rsidRPr="00CE0FC9" w:rsidRDefault="001F04FD" w:rsidP="00AC4DEE">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3024AEC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52E6D0" w14:textId="77777777" w:rsidR="001F04FD" w:rsidRDefault="001F04FD" w:rsidP="00AC4DEE">
            <w:pPr>
              <w:pStyle w:val="TableBody"/>
            </w:pPr>
            <w:r>
              <w:t>An Emergency Base Point interval or SCED interval that overlaps the 15-minute Settlement Interval.</w:t>
            </w:r>
          </w:p>
        </w:tc>
      </w:tr>
      <w:tr w:rsidR="001F04FD" w14:paraId="480E85FD"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4593D2F" w14:textId="77777777" w:rsidR="001F04FD" w:rsidRDefault="001F04FD" w:rsidP="00AC4DEE">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E8D27B0"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8386F32" w14:textId="77777777" w:rsidR="001F04FD" w:rsidRDefault="001F04FD" w:rsidP="00AC4DEE">
            <w:pPr>
              <w:pStyle w:val="TableBody"/>
            </w:pPr>
            <w:r>
              <w:t>The number of seconds in one hour.</w:t>
            </w:r>
          </w:p>
        </w:tc>
      </w:tr>
    </w:tbl>
    <w:p w14:paraId="703716EB" w14:textId="77777777" w:rsidR="001F04FD" w:rsidRDefault="001F04FD" w:rsidP="001F04FD"/>
    <w:p w14:paraId="0C7737AD" w14:textId="77777777" w:rsidR="001F04FD" w:rsidRDefault="001F04FD" w:rsidP="001F04FD">
      <w:pPr>
        <w:pStyle w:val="BodyTextNumbered"/>
      </w:pPr>
      <w:bookmarkStart w:id="2545" w:name="_Toc109009420"/>
      <w:bookmarkStart w:id="2546" w:name="_Toc87951816"/>
      <w:r>
        <w:t>(2)</w:t>
      </w:r>
      <w:r>
        <w:tab/>
        <w:t xml:space="preserve">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w:t>
      </w:r>
      <w:r w:rsidR="00785038">
        <w:t>MOC</w:t>
      </w:r>
      <w:r>
        <w:t xml:space="preserve"> (pursuant to Section 4.4.9.4.1) for the highest MW output on the Energy Offer Curve submitted by the QSE for the Resource.</w:t>
      </w:r>
    </w:p>
    <w:p w14:paraId="549F9687" w14:textId="4787B23D" w:rsidR="001F04FD" w:rsidRDefault="00A94020" w:rsidP="001F04FD">
      <w:pPr>
        <w:pStyle w:val="BodyTextNumbered"/>
      </w:pPr>
      <w:r>
        <w:rPr>
          <w:noProof/>
        </w:rPr>
        <w:lastRenderedPageBreak/>
        <mc:AlternateContent>
          <mc:Choice Requires="wpc">
            <w:drawing>
              <wp:anchor distT="0" distB="0" distL="114300" distR="114300" simplePos="0" relativeHeight="251650048" behindDoc="0" locked="0" layoutInCell="1" allowOverlap="1" wp14:anchorId="59D02693" wp14:editId="7716FA27">
                <wp:simplePos x="0" y="0"/>
                <wp:positionH relativeFrom="character">
                  <wp:posOffset>0</wp:posOffset>
                </wp:positionH>
                <wp:positionV relativeFrom="line">
                  <wp:posOffset>0</wp:posOffset>
                </wp:positionV>
                <wp:extent cx="6217285" cy="2820670"/>
                <wp:effectExtent l="0" t="0" r="2540" b="0"/>
                <wp:wrapNone/>
                <wp:docPr id="200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5"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6"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7"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8"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9"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242"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2"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D02693" id="Canvas 69" o:spid="_x0000_s1576" editas="canvas" style="position:absolute;margin-left:0;margin-top:0;width:489.55pt;height:222.1pt;z-index:25165004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PqAE0+QBgAATzEAAA4AAAAAAAAAAAAAAAAALgIAAGRycy9lMm9Eb2MueG1sUEsBAi0AFAAG&#10;AAgAAAAhAEeV79DaAAAABQEAAA8AAAAAAAAAAAAAAAAA6ggAAGRycy9kb3ducmV2LnhtbFBLBQYA&#10;AAAABAAEAPMAAADxCQAAAAA=&#10;">
                <v:shape id="_x0000_s1577" type="#_x0000_t75" style="position:absolute;width:62172;height:28206;visibility:visible;mso-wrap-style:square">
                  <v:fill o:detectmouseclick="t"/>
                  <v:path o:connecttype="none"/>
                </v:shape>
                <v:line id="Line 30" o:spid="_x0000_s1578"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1" o:spid="_x0000_s1579"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" strokeweight=".5pt">
                  <v:stroke dashstyle="longDash"/>
                </v:line>
                <v:line id="Line 32" o:spid="_x0000_s1580"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" strokeweight=".5pt">
                  <v:stroke dashstyle="longDash"/>
                </v:line>
                <v:line id="Line 33" o:spid="_x0000_s1581"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" strokeweight=".5pt">
                  <v:stroke dashstyle="longDash"/>
                </v:line>
                <v:line id="Line 34" o:spid="_x0000_s1582"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" strokeweight=".5pt">
                  <v:stroke dashstyle="longDash"/>
                </v:line>
                <v:line id="Line 35" o:spid="_x0000_s1583"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" strokeweight=".5pt">
                  <v:stroke dashstyle="longDash"/>
                </v:line>
                <v:line id="Line 36" o:spid="_x0000_s1584"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type id="_x0000_t202" coordsize="21600,21600" o:spt="202" path="m,l,21600r21600,l21600,xe">
                  <v:stroke joinstyle="miter"/>
                  <v:path gradientshapeok="t" o:connecttype="rect"/>
                </v:shapetype>
                <v:shape id="Text Box 37" o:spid="_x0000_s1585"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" filled="f" stroked="f">
                  <v:textbox inset=",,,0">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586"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39" o:spid="_x0000_s1587"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" strokeweight="2pt"/>
                <v:line id="Line 40" o:spid="_x0000_s1588"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41" o:spid="_x0000_s1589"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42" o:spid="_x0000_s1590"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shape id="Text Box 43" o:spid="_x0000_s1591"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" filled="f" stroked="f">
                  <v:textbox inset="0,,0">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592"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593"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46" o:spid="_x0000_s1594"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7" o:spid="_x0000_s1595"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" strokeweight=".5pt">
                  <v:stroke dashstyle="longDash"/>
                </v:line>
                <v:line id="Line 48" o:spid="_x0000_s1596"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" strokeweight=".5pt">
                  <v:stroke dashstyle="longDash"/>
                </v:line>
                <v:line id="Line 49" o:spid="_x0000_s1597"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qKwwAAANsAAAAPAAAAZHJzL2Rvd25yZXYueG1sRI9Li8JA&#10;EITvC/6HoYW9rRNdUM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m7MqisMAAADbAAAADwAA&#10;AAAAAAAAAAAAAAAHAgAAZHJzL2Rvd25yZXYueG1sUEsFBgAAAAADAAMAtwAAAPcCAAAAAA==&#10;">
                  <v:stroke endarrow="block" endarrowwidth="narrow"/>
                </v:line>
                <v:shape id="Text Box 50" o:spid="_x0000_s1598"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" filled="f" stroked="f">
                  <v:textbox inset="0,1.44pt,0,1.44pt">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599"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iwwAAANsAAAAPAAAAZHJzL2Rvd25yZXYueG1sRI9BSwMx&#10;FITvgv8hPKE3m7VC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VX3fosMAAADbAAAADwAA&#10;AAAAAAAAAAAAAAAHAgAAZHJzL2Rvd25yZXYueG1sUEsFBgAAAAADAAMAtwAAAPcCAAAAAA==&#10;">
                  <v:stroke endarrow="block" endarrowwidth="narrow"/>
                </v:line>
                <v:shape id="Text Box 52" o:spid="_x0000_s1600"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" filled="f" stroked="f">
                  <v:textbox inset="0,1.44pt,0,1.44pt">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2164B3E4" wp14:editId="6DB2D729">
                <wp:extent cx="6219825" cy="2819400"/>
                <wp:effectExtent l="0" t="0" r="0" b="0"/>
                <wp:docPr id="30"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5B0F8"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" filled="f" stroked="f">
                <o:lock v:ext="edit" aspectratio="t"/>
                <w10:anchorlock/>
              </v:rect>
            </w:pict>
          </mc:Fallback>
        </mc:AlternateContent>
      </w:r>
    </w:p>
    <w:p w14:paraId="095E991B" w14:textId="77777777" w:rsidR="001F04FD" w:rsidRDefault="001F04FD" w:rsidP="001F04FD">
      <w:pPr>
        <w:pStyle w:val="BodyTextNumbered"/>
      </w:pPr>
    </w:p>
    <w:p w14:paraId="0D244F0B" w14:textId="68FEB57A" w:rsidR="001F04FD" w:rsidRDefault="00A94020" w:rsidP="001F04FD">
      <w:pPr>
        <w:pStyle w:val="BodyTextNumbered"/>
      </w:pPr>
      <w:r>
        <w:rPr>
          <w:noProof/>
        </w:rPr>
        <mc:AlternateContent>
          <mc:Choice Requires="wpc">
            <w:drawing>
              <wp:anchor distT="0" distB="0" distL="114300" distR="114300" simplePos="0" relativeHeight="251649024" behindDoc="0" locked="0" layoutInCell="1" allowOverlap="1" wp14:anchorId="0D928FC7" wp14:editId="53CC8B09">
                <wp:simplePos x="0" y="0"/>
                <wp:positionH relativeFrom="character">
                  <wp:posOffset>0</wp:posOffset>
                </wp:positionH>
                <wp:positionV relativeFrom="line">
                  <wp:posOffset>0</wp:posOffset>
                </wp:positionV>
                <wp:extent cx="6560820" cy="2821305"/>
                <wp:effectExtent l="0" t="0" r="1905" b="0"/>
                <wp:wrapNone/>
                <wp:docPr id="1979"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4"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9"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20"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26"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28"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D928FC7" id="Canvas 45" o:spid="_x0000_s1601" editas="canvas" style="position:absolute;margin-left:0;margin-top:0;width:516.6pt;height:222.15pt;z-index:25164902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">
                <v:shape id="_x0000_s1602" type="#_x0000_t75" style="position:absolute;width:65608;height:28213;visibility:visible;mso-wrap-style:square">
                  <v:fill o:detectmouseclick="t"/>
                  <v:path o:connecttype="none"/>
                </v:shape>
                <v:line id="Line 4" o:spid="_x0000_s1603"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" strokeweight=".5pt">
                  <v:stroke dashstyle="longDash"/>
                </v:line>
                <v:line id="Line 5" o:spid="_x0000_s1604"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605"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" strokeweight=".5pt">
                  <v:stroke dashstyle="longDash"/>
                </v:line>
                <v:line id="Line 7" o:spid="_x0000_s1606"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" strokeweight=".5pt">
                  <v:stroke dashstyle="longDash"/>
                </v:line>
                <v:line id="Line 8" o:spid="_x0000_s1607"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" strokeweight=".5pt">
                  <v:stroke dashstyle="longDash"/>
                </v:line>
                <v:line id="Line 9" o:spid="_x0000_s1608"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" strokeweight=".5pt">
                  <v:stroke dashstyle="longDash"/>
                </v:line>
                <v:line id="Line 10" o:spid="_x0000_s1609"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" strokeweight=".5pt">
                  <v:stroke dashstyle="longDash"/>
                </v:line>
                <v:line id="Line 11" o:spid="_x0000_s1610"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2" o:spid="_x0000_s1611"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" filled="f" stroked="f">
                  <v:textbox inset=",,,0">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12"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4" o:spid="_x0000_s1613"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" strokeweight="2pt"/>
                <v:line id="Line 15" o:spid="_x0000_s1614"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6" o:spid="_x0000_s1615"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shape id="Text Box 17" o:spid="_x0000_s1616"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" filled="f" stroked="f">
                  <v:textbox inset="0,,0">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17"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18"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0" o:spid="_x0000_s1619"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 o:spid="_x0000_s1620"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" strokeweight=".5pt">
                  <v:stroke dashstyle="longDash"/>
                </v:line>
                <v:line id="Line 22" o:spid="_x0000_s1621"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">
                  <v:stroke endarrow="block" endarrowwidth="narrow"/>
                </v:line>
                <v:shape id="Text Box 23" o:spid="_x0000_s1622"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" filled="f" stroked="f">
                  <v:textbox inset="0,1.44pt,0,1.44pt">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23"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">
                  <v:stroke endarrow="block" endarrowwidth="narrow"/>
                </v:line>
                <v:shape id="Text Box 25" o:spid="_x0000_s1624"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" filled="f" stroked="f">
                  <v:textbox inset="0,1.44pt,0,1.44pt">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25"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" strokeweight="2pt"/>
                <v:line id="Line 27" o:spid="_x0000_s1626"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w10:wrap anchory="line"/>
              </v:group>
            </w:pict>
          </mc:Fallback>
        </mc:AlternateContent>
      </w:r>
      <w:r>
        <w:rPr>
          <w:noProof/>
        </w:rPr>
        <mc:AlternateContent>
          <mc:Choice Requires="wps">
            <w:drawing>
              <wp:inline distT="0" distB="0" distL="0" distR="0" wp14:anchorId="4AA28462" wp14:editId="30EC1292">
                <wp:extent cx="6562725" cy="2819400"/>
                <wp:effectExtent l="0" t="0" r="0" b="0"/>
                <wp:docPr id="3"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261C1C"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" filled="f" stroked="f">
                <o:lock v:ext="edit" aspectratio="t"/>
                <w10:anchorlock/>
              </v:rect>
            </w:pict>
          </mc:Fallback>
        </mc:AlternateContent>
      </w:r>
    </w:p>
    <w:p w14:paraId="44F90F3F" w14:textId="77777777" w:rsidR="001F04FD" w:rsidRDefault="001F04FD" w:rsidP="001F04FD">
      <w:pPr>
        <w:pStyle w:val="BodyTextNumbered"/>
      </w:pPr>
      <w:r>
        <w:t>(3)</w:t>
      </w:r>
      <w:r>
        <w:tab/>
        <w:t>The total additional compensation to each QSE for emergency power increases of Generation Resources for the 15-minute Settlement Interval is calculated as follows:</w:t>
      </w:r>
    </w:p>
    <w:p w14:paraId="21CAAAD9" w14:textId="77777777" w:rsidR="001F04FD" w:rsidRDefault="001F04FD" w:rsidP="001F04FD">
      <w:pPr>
        <w:pStyle w:val="FormulaBold"/>
      </w:pPr>
      <w:r>
        <w:t xml:space="preserve">EMREAMTQSETOT </w:t>
      </w:r>
      <w:r>
        <w:rPr>
          <w:i/>
          <w:vertAlign w:val="subscript"/>
        </w:rPr>
        <w:t>q</w:t>
      </w:r>
      <w:r>
        <w:tab/>
        <w:t>=</w:t>
      </w:r>
      <w:r>
        <w:tab/>
      </w:r>
      <w:r w:rsidRPr="006F784F">
        <w:rPr>
          <w:position w:val="-18"/>
        </w:rPr>
        <w:object w:dxaOrig="225" w:dyaOrig="420" w14:anchorId="41E1684E">
          <v:shape id="_x0000_i1241" type="#_x0000_t75" style="width:12pt;height:24pt" o:ole="">
            <v:imagedata r:id="rId237" o:title=""/>
          </v:shape>
          <o:OLEObject Type="Embed" ProgID="Equation.3" ShapeID="_x0000_i1241" DrawAspect="Content" ObjectID="_1804653725" r:id="rId298"/>
        </w:object>
      </w:r>
      <w:r w:rsidRPr="006F784F">
        <w:rPr>
          <w:position w:val="-22"/>
        </w:rPr>
        <w:object w:dxaOrig="225" w:dyaOrig="465" w14:anchorId="7F6B4941">
          <v:shape id="_x0000_i1242" type="#_x0000_t75" style="width:12pt;height:24pt" o:ole="">
            <v:imagedata r:id="rId172" o:title=""/>
          </v:shape>
          <o:OLEObject Type="Embed" ProgID="Equation.3" ShapeID="_x0000_i1242" DrawAspect="Content" ObjectID="_1804653726" r:id="rId299"/>
        </w:object>
      </w:r>
      <w:r>
        <w:t xml:space="preserve">EMREAMT </w:t>
      </w:r>
      <w:r>
        <w:rPr>
          <w:i/>
          <w:vertAlign w:val="subscript"/>
        </w:rPr>
        <w:t>q, r, p</w:t>
      </w:r>
    </w:p>
    <w:p w14:paraId="7708FAD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1F04FD" w14:paraId="616ABFAA" w14:textId="77777777" w:rsidTr="00AC4DEE">
        <w:trPr>
          <w:cantSplit/>
          <w:tblHeader/>
        </w:trPr>
        <w:tc>
          <w:tcPr>
            <w:tcW w:w="1239" w:type="pct"/>
          </w:tcPr>
          <w:p w14:paraId="2E8B9978" w14:textId="77777777" w:rsidR="001F04FD" w:rsidRDefault="001F04FD" w:rsidP="00AC4DEE">
            <w:pPr>
              <w:pStyle w:val="TableHead"/>
            </w:pPr>
            <w:r>
              <w:lastRenderedPageBreak/>
              <w:t>Variable</w:t>
            </w:r>
          </w:p>
        </w:tc>
        <w:tc>
          <w:tcPr>
            <w:tcW w:w="453" w:type="pct"/>
          </w:tcPr>
          <w:p w14:paraId="3C8B4D36" w14:textId="77777777" w:rsidR="001F04FD" w:rsidRDefault="001F04FD" w:rsidP="00AC4DEE">
            <w:pPr>
              <w:pStyle w:val="TableHead"/>
            </w:pPr>
            <w:r>
              <w:t>Unit</w:t>
            </w:r>
          </w:p>
        </w:tc>
        <w:tc>
          <w:tcPr>
            <w:tcW w:w="3308" w:type="pct"/>
          </w:tcPr>
          <w:p w14:paraId="471DE86F" w14:textId="77777777" w:rsidR="001F04FD" w:rsidRDefault="001F04FD" w:rsidP="00AC4DEE">
            <w:pPr>
              <w:pStyle w:val="TableHead"/>
            </w:pPr>
            <w:r>
              <w:t>Definition</w:t>
            </w:r>
          </w:p>
        </w:tc>
      </w:tr>
      <w:tr w:rsidR="001F04FD" w14:paraId="19F8E0DA" w14:textId="77777777" w:rsidTr="00AC4DEE">
        <w:trPr>
          <w:cantSplit/>
        </w:trPr>
        <w:tc>
          <w:tcPr>
            <w:tcW w:w="1239" w:type="pct"/>
          </w:tcPr>
          <w:p w14:paraId="5747D8B0" w14:textId="77777777" w:rsidR="001F04FD" w:rsidRDefault="001F04FD" w:rsidP="00AC4DEE">
            <w:pPr>
              <w:pStyle w:val="TableBody"/>
            </w:pPr>
            <w:r>
              <w:t xml:space="preserve">EMREAMTQSETOT </w:t>
            </w:r>
            <w:r w:rsidRPr="00E15B17">
              <w:rPr>
                <w:i/>
                <w:vertAlign w:val="subscript"/>
              </w:rPr>
              <w:t>q</w:t>
            </w:r>
          </w:p>
        </w:tc>
        <w:tc>
          <w:tcPr>
            <w:tcW w:w="453" w:type="pct"/>
          </w:tcPr>
          <w:p w14:paraId="7A50C268" w14:textId="77777777" w:rsidR="001F04FD" w:rsidRDefault="001F04FD" w:rsidP="00AC4DEE">
            <w:pPr>
              <w:pStyle w:val="TableBody"/>
            </w:pPr>
            <w:r>
              <w:t>$</w:t>
            </w:r>
          </w:p>
        </w:tc>
        <w:tc>
          <w:tcPr>
            <w:tcW w:w="3308" w:type="pct"/>
          </w:tcPr>
          <w:p w14:paraId="073F1442" w14:textId="77777777"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5A8A96EA" w14:textId="77777777" w:rsidTr="00AC4DEE">
        <w:trPr>
          <w:cantSplit/>
        </w:trPr>
        <w:tc>
          <w:tcPr>
            <w:tcW w:w="1239" w:type="pct"/>
          </w:tcPr>
          <w:p w14:paraId="7BD6B97F" w14:textId="77777777" w:rsidR="001F04FD" w:rsidRDefault="001F04FD" w:rsidP="00AC4DEE">
            <w:pPr>
              <w:pStyle w:val="TableBody"/>
            </w:pPr>
            <w:r>
              <w:t xml:space="preserve">EMREAMT </w:t>
            </w:r>
            <w:r w:rsidRPr="00E15B17">
              <w:rPr>
                <w:i/>
                <w:vertAlign w:val="subscript"/>
              </w:rPr>
              <w:t>q, r, p</w:t>
            </w:r>
          </w:p>
        </w:tc>
        <w:tc>
          <w:tcPr>
            <w:tcW w:w="453" w:type="pct"/>
          </w:tcPr>
          <w:p w14:paraId="77974714" w14:textId="77777777" w:rsidR="001F04FD" w:rsidRDefault="001F04FD" w:rsidP="00AC4DEE">
            <w:pPr>
              <w:pStyle w:val="TableBody"/>
            </w:pPr>
            <w:r>
              <w:t>$</w:t>
            </w:r>
          </w:p>
        </w:tc>
        <w:tc>
          <w:tcPr>
            <w:tcW w:w="3308" w:type="pct"/>
          </w:tcPr>
          <w:p w14:paraId="018EB38B"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2547AD5F"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11CC6A6D" w14:textId="77777777" w:rsidR="001F04FD" w:rsidRPr="00CE0FC9" w:rsidRDefault="001F04FD" w:rsidP="00AC4DEE">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6A1B8740"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D20902C" w14:textId="77777777" w:rsidR="001F04FD" w:rsidRDefault="001F04FD" w:rsidP="00AC4DEE">
            <w:pPr>
              <w:pStyle w:val="TableBody"/>
            </w:pPr>
            <w:r>
              <w:t>A QSE.</w:t>
            </w:r>
          </w:p>
        </w:tc>
      </w:tr>
      <w:tr w:rsidR="001F04FD" w14:paraId="493FC539"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49D2D0A1" w14:textId="77777777" w:rsidR="001F04FD" w:rsidRPr="00CE0FC9" w:rsidRDefault="001F04FD" w:rsidP="00AC4DEE">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9A9664"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4088555E" w14:textId="77777777" w:rsidR="001F04FD" w:rsidRDefault="001F04FD" w:rsidP="00AC4DEE">
            <w:pPr>
              <w:pStyle w:val="TableBody"/>
            </w:pPr>
            <w:r>
              <w:t>A Resource Node Settlement Point.</w:t>
            </w:r>
          </w:p>
        </w:tc>
      </w:tr>
      <w:tr w:rsidR="001F04FD" w14:paraId="5FFFA351"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2E7DFFE3" w14:textId="77777777" w:rsidR="001F04FD" w:rsidRPr="00CE0FC9" w:rsidRDefault="001F04FD" w:rsidP="00AC4DEE">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32CE7BAF"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66BC8B5" w14:textId="77777777" w:rsidR="001F04FD" w:rsidRDefault="001F04FD" w:rsidP="00AC4DEE">
            <w:pPr>
              <w:pStyle w:val="TableBody"/>
            </w:pPr>
            <w:r>
              <w:t>A Generation Resource.</w:t>
            </w:r>
          </w:p>
        </w:tc>
      </w:tr>
    </w:tbl>
    <w:p w14:paraId="6D2932E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117A3" w14:paraId="11F6D55B" w14:textId="77777777" w:rsidTr="009117A3">
        <w:trPr>
          <w:trHeight w:val="206"/>
        </w:trPr>
        <w:tc>
          <w:tcPr>
            <w:tcW w:w="9350" w:type="dxa"/>
            <w:shd w:val="pct12" w:color="auto" w:fill="auto"/>
          </w:tcPr>
          <w:p w14:paraId="3FC6CCCE" w14:textId="55A3D8BC" w:rsidR="009117A3" w:rsidRDefault="009117A3" w:rsidP="00BE571E">
            <w:pPr>
              <w:pStyle w:val="Instructions"/>
              <w:spacing w:before="120"/>
            </w:pPr>
            <w:bookmarkStart w:id="2547" w:name="_Toc397505040"/>
            <w:bookmarkStart w:id="2548" w:name="_Toc402357172"/>
            <w:bookmarkStart w:id="2549" w:name="_Toc422486552"/>
            <w:bookmarkStart w:id="2550" w:name="_Toc433093405"/>
            <w:bookmarkStart w:id="2551" w:name="_Toc433093563"/>
            <w:bookmarkStart w:id="2552" w:name="_Toc440874793"/>
            <w:bookmarkStart w:id="2553" w:name="_Toc448142350"/>
            <w:bookmarkStart w:id="2554" w:name="_Toc448142507"/>
            <w:bookmarkStart w:id="2555" w:name="_Toc458770348"/>
            <w:bookmarkStart w:id="2556" w:name="_Toc459294316"/>
            <w:bookmarkStart w:id="2557" w:name="_Toc463262810"/>
            <w:bookmarkStart w:id="2558" w:name="_Toc468286883"/>
            <w:bookmarkStart w:id="2559" w:name="_Toc481502923"/>
            <w:bookmarkStart w:id="2560" w:name="_Toc496080091"/>
            <w:r>
              <w:t>[NPRR1010</w:t>
            </w:r>
            <w:r w:rsidR="00BD19E2">
              <w:t>,</w:t>
            </w:r>
            <w:r w:rsidR="00002953">
              <w:t xml:space="preserve"> NPRR1014</w:t>
            </w:r>
            <w:r w:rsidR="00BD19E2">
              <w:t>, and NPRR1245</w:t>
            </w:r>
            <w:r>
              <w:t xml:space="preserve">:  Replace </w:t>
            </w:r>
            <w:r w:rsidR="00002953">
              <w:t xml:space="preserve">applicable portions of </w:t>
            </w:r>
            <w:r>
              <w:t>Section 6.6.9.1 above with the following upon system implementation of the Real-Time Co-Optimization (RTC) project</w:t>
            </w:r>
            <w:r w:rsidR="00002953">
              <w:t xml:space="preserve"> for NPRR1010</w:t>
            </w:r>
            <w:r w:rsidR="00BD19E2">
              <w:t xml:space="preserve"> and NPRR1245</w:t>
            </w:r>
            <w:r w:rsidR="00002953">
              <w:t>; or upon system implementation for NPRR1014</w:t>
            </w:r>
            <w:r>
              <w:t>:]</w:t>
            </w:r>
          </w:p>
          <w:p w14:paraId="27CC6BE5" w14:textId="77777777" w:rsidR="00D81D75" w:rsidRPr="00A552C3" w:rsidRDefault="00D81D75" w:rsidP="00D81D75">
            <w:pPr>
              <w:keepNext/>
              <w:widowControl w:val="0"/>
              <w:tabs>
                <w:tab w:val="left" w:pos="1260"/>
              </w:tabs>
              <w:spacing w:before="480" w:after="240"/>
              <w:ind w:left="1267" w:hanging="1267"/>
              <w:outlineLvl w:val="3"/>
              <w:rPr>
                <w:b/>
                <w:bCs/>
                <w:snapToGrid w:val="0"/>
              </w:rPr>
            </w:pPr>
            <w:bookmarkStart w:id="2561" w:name="_Toc60040730"/>
            <w:bookmarkStart w:id="2562" w:name="_Toc65151789"/>
            <w:bookmarkStart w:id="2563" w:name="_Toc80174815"/>
            <w:bookmarkStart w:id="2564" w:name="_Toc112417695"/>
            <w:bookmarkStart w:id="2565" w:name="_Toc119310364"/>
            <w:bookmarkStart w:id="2566" w:name="_Toc125966297"/>
            <w:bookmarkStart w:id="2567" w:name="_Toc135992395"/>
            <w:bookmarkStart w:id="2568" w:name="_Toc170303591"/>
            <w:bookmarkStart w:id="2569" w:name="_Toc175157495"/>
            <w:bookmarkStart w:id="2570" w:name="_Toc189044468"/>
            <w:r w:rsidRPr="00A552C3">
              <w:rPr>
                <w:b/>
                <w:bCs/>
                <w:snapToGrid w:val="0"/>
              </w:rPr>
              <w:t>6.6.9.1</w:t>
            </w:r>
            <w:r w:rsidRPr="00A552C3">
              <w:rPr>
                <w:b/>
                <w:bCs/>
                <w:snapToGrid w:val="0"/>
              </w:rPr>
              <w:tab/>
              <w:t>Payment for Emergency Operations Settlement</w:t>
            </w:r>
            <w:bookmarkEnd w:id="2561"/>
            <w:bookmarkEnd w:id="2562"/>
            <w:bookmarkEnd w:id="2563"/>
            <w:bookmarkEnd w:id="2564"/>
            <w:bookmarkEnd w:id="2565"/>
            <w:bookmarkEnd w:id="2566"/>
            <w:bookmarkEnd w:id="2567"/>
            <w:bookmarkEnd w:id="2568"/>
            <w:bookmarkEnd w:id="2569"/>
            <w:bookmarkEnd w:id="2570"/>
          </w:p>
          <w:p w14:paraId="6853E9E2" w14:textId="77777777" w:rsidR="00D81D75" w:rsidRPr="00A552C3" w:rsidRDefault="00D81D75" w:rsidP="00D81D75">
            <w:pPr>
              <w:spacing w:after="240"/>
              <w:ind w:left="720" w:hanging="720"/>
              <w:rPr>
                <w:iCs/>
              </w:rPr>
            </w:pPr>
            <w:r w:rsidRPr="00A552C3">
              <w:rPr>
                <w:iCs/>
              </w:rPr>
              <w:t>(1)</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76407E0E" w14:textId="77777777" w:rsidR="00D81D75" w:rsidRPr="00A552C3" w:rsidRDefault="00D81D75" w:rsidP="00D81D75">
            <w:pPr>
              <w:tabs>
                <w:tab w:val="left" w:pos="2340"/>
                <w:tab w:val="left" w:pos="3420"/>
              </w:tabs>
              <w:spacing w:before="240" w:after="240"/>
              <w:ind w:left="3420" w:hanging="2700"/>
              <w:rPr>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(EMREPRGEN </w:t>
            </w:r>
            <w:r w:rsidRPr="00A552C3">
              <w:rPr>
                <w:b/>
                <w:bCs/>
                <w:i/>
                <w:vertAlign w:val="subscript"/>
                <w:lang w:val="pt-BR"/>
              </w:rPr>
              <w:t>q, r, p</w:t>
            </w:r>
            <w:r w:rsidRPr="00A552C3">
              <w:rPr>
                <w:b/>
                <w:bCs/>
                <w:lang w:val="pt-BR"/>
              </w:rPr>
              <w:t xml:space="preserve"> * EMREGEN </w:t>
            </w:r>
            <w:r w:rsidRPr="00A552C3">
              <w:rPr>
                <w:b/>
                <w:bCs/>
                <w:i/>
                <w:vertAlign w:val="subscript"/>
                <w:lang w:val="pt-BR"/>
              </w:rPr>
              <w:t>q, r, p</w:t>
            </w:r>
            <w:r w:rsidRPr="00A552C3">
              <w:rPr>
                <w:b/>
                <w:bCs/>
                <w:lang w:val="pt-BR"/>
              </w:rPr>
              <w:t>)</w:t>
            </w:r>
            <w:r w:rsidRPr="00A552C3">
              <w:rPr>
                <w:rFonts w:eastAsiaTheme="minorHAnsi"/>
                <w:b/>
                <w:lang w:val="pt-BR"/>
              </w:rPr>
              <w:t xml:space="preserve"> </w:t>
            </w:r>
          </w:p>
          <w:p w14:paraId="2330E210" w14:textId="442E80F2" w:rsidR="00D81D75" w:rsidRPr="00A552C3" w:rsidRDefault="00D81D75" w:rsidP="00D81D75">
            <w:pPr>
              <w:tabs>
                <w:tab w:val="left" w:pos="2340"/>
                <w:tab w:val="left" w:pos="3420"/>
              </w:tabs>
              <w:spacing w:before="240" w:after="240"/>
              <w:ind w:left="3420" w:hanging="2700"/>
              <w:rPr>
                <w:b/>
                <w:bCs/>
                <w:lang w:val="pt-BR"/>
              </w:rPr>
            </w:pPr>
            <w:r w:rsidRPr="00A552C3">
              <w:rPr>
                <w:b/>
                <w:bCs/>
                <w:lang w:val="pt-BR"/>
              </w:rPr>
              <w:tab/>
            </w:r>
            <w:r w:rsidRPr="00A552C3">
              <w:rPr>
                <w:b/>
                <w:bCs/>
                <w:lang w:val="pt-BR"/>
              </w:rPr>
              <w:tab/>
            </w:r>
            <w:r w:rsidRPr="00A552C3">
              <w:rPr>
                <w:rFonts w:eastAsiaTheme="minorHAnsi"/>
                <w:b/>
                <w:lang w:val="pt-BR"/>
              </w:rPr>
              <w:t xml:space="preserve">+ </w:t>
            </w:r>
            <w:r w:rsidR="00BD19E2" w:rsidRPr="00A552C3">
              <w:rPr>
                <w:b/>
                <w:bCs/>
                <w:lang w:val="pt-BR"/>
              </w:rPr>
              <w:t>(</w:t>
            </w:r>
            <w:r w:rsidRPr="00A552C3">
              <w:rPr>
                <w:rFonts w:eastAsiaTheme="minorHAnsi"/>
                <w:b/>
                <w:lang w:val="pt-BR"/>
              </w:rPr>
              <w:t xml:space="preserve">EMREPRLOAD </w:t>
            </w:r>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r w:rsidR="00BD19E2" w:rsidRPr="00A552C3">
              <w:rPr>
                <w:b/>
                <w:bCs/>
                <w:lang w:val="pt-BR"/>
              </w:rPr>
              <w:t>)</w:t>
            </w:r>
          </w:p>
          <w:p w14:paraId="255D46C6" w14:textId="77777777" w:rsidR="00D81D75" w:rsidRPr="00A552C3" w:rsidRDefault="00D81D75" w:rsidP="00D81D75">
            <w:pPr>
              <w:spacing w:after="240"/>
              <w:rPr>
                <w:lang w:val="pt-BR"/>
              </w:rPr>
            </w:pPr>
            <w:r w:rsidRPr="00A552C3">
              <w:rPr>
                <w:lang w:val="pt-BR"/>
              </w:rPr>
              <w:t>Where:</w:t>
            </w:r>
          </w:p>
          <w:p w14:paraId="0670CDEF"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3098FF8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EMREPRGEN </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Max (0, EBPWAPRGEN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789080C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3ED95092">
                <v:shape id="_x0000_i1243" type="#_x0000_t75" style="width:12pt;height:24pt" o:ole="">
                  <v:imagedata r:id="rId293" o:title=""/>
                </v:shape>
                <o:OLEObject Type="Embed" ProgID="Equation.3" ShapeID="_x0000_i1243" DrawAspect="Content" ObjectID="_1804653727" r:id="rId300"/>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AA8B00D"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31F4BBD2">
                <v:shape id="_x0000_i1244" type="#_x0000_t75" style="width:12pt;height:24pt" o:ole="">
                  <v:imagedata r:id="rId295" o:title=""/>
                </v:shape>
                <o:OLEObject Type="Embed" ProgID="Equation.3" ShapeID="_x0000_i1244" DrawAspect="Content" ObjectID="_1804653728" r:id="rId301"/>
              </w:object>
            </w:r>
            <w:r w:rsidRPr="00A552C3">
              <w:rPr>
                <w:bCs/>
                <w:lang w:val="es-MX"/>
              </w:rPr>
              <w:t xml:space="preserve">(Max (0.001, EBP </w:t>
            </w:r>
            <w:r w:rsidRPr="00A552C3">
              <w:rPr>
                <w:bCs/>
                <w:i/>
                <w:vertAlign w:val="subscript"/>
                <w:lang w:val="es-MX"/>
              </w:rPr>
              <w:t>q, r, p, y</w:t>
            </w:r>
            <w:r w:rsidRPr="00A552C3">
              <w:rPr>
                <w:bCs/>
                <w:lang w:val="pt-BR"/>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476BC44" w14:textId="5AB4D7AB"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 ¼ * Max</w:t>
            </w:r>
            <w:r w:rsidR="00792C7F">
              <w:rPr>
                <w:bCs/>
                <w:lang w:val="es-MX"/>
              </w:rPr>
              <w:t xml:space="preserve"> </w:t>
            </w:r>
            <w:r w:rsidRPr="00A552C3">
              <w:rPr>
                <w:bCs/>
                <w:lang w:val="es-MX"/>
              </w:rPr>
              <w:t xml:space="preserve">(0, BP </w:t>
            </w:r>
            <w:r w:rsidRPr="00A552C3">
              <w:rPr>
                <w:bCs/>
                <w:i/>
                <w:vertAlign w:val="subscript"/>
                <w:lang w:val="es-MX"/>
              </w:rPr>
              <w:t>q, r, p</w:t>
            </w:r>
            <w:r w:rsidRPr="00A552C3">
              <w:rPr>
                <w:bCs/>
                <w:lang w:val="es-MX"/>
              </w:rPr>
              <w:t>))</w:t>
            </w:r>
          </w:p>
          <w:p w14:paraId="2A213281" w14:textId="1C367DC6" w:rsidR="00D81D75" w:rsidRPr="00A552C3" w:rsidRDefault="00D81D75" w:rsidP="00D81D75">
            <w:pPr>
              <w:tabs>
                <w:tab w:val="left" w:pos="2340"/>
                <w:tab w:val="left" w:pos="2880"/>
              </w:tabs>
              <w:spacing w:after="240"/>
              <w:ind w:left="987" w:hanging="269"/>
              <w:rPr>
                <w:bCs/>
                <w:lang w:val="pt-BR"/>
              </w:rPr>
            </w:pPr>
            <w:r w:rsidRPr="00A552C3">
              <w:rPr>
                <w:bCs/>
                <w:lang w:val="pt-BR"/>
              </w:rPr>
              <w:lastRenderedPageBreak/>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14D62568">
                <v:shape id="_x0000_i1245" type="#_x0000_t75" style="width:12pt;height:24pt" o:ole="">
                  <v:imagedata r:id="rId295" o:title=""/>
                </v:shape>
                <o:OLEObject Type="Embed" ProgID="Equation.3" ShapeID="_x0000_i1245" DrawAspect="Content" ObjectID="_1804653729" r:id="rId302"/>
              </w:object>
            </w:r>
            <w:r w:rsidRPr="00A552C3">
              <w:rPr>
                <w:bCs/>
                <w:lang w:val="pt-BR"/>
              </w:rPr>
              <w:t xml:space="preserve"> (Max (0, EBP </w:t>
            </w:r>
            <w:r w:rsidRPr="00A552C3">
              <w:rPr>
                <w:bCs/>
                <w:i/>
                <w:vertAlign w:val="subscript"/>
                <w:lang w:val="pt-BR"/>
              </w:rPr>
              <w:t>q, r, p, y</w:t>
            </w:r>
            <w:r w:rsidRPr="00A552C3">
              <w:rPr>
                <w:bCs/>
                <w:lang w:val="pt-BR"/>
              </w:rPr>
              <w:t>) * TLMP</w:t>
            </w:r>
            <w:r w:rsidR="00952F33">
              <w:rPr>
                <w:bCs/>
                <w:lang w:val="pt-BR"/>
              </w:rPr>
              <w:t xml:space="preserve"> </w:t>
            </w:r>
            <w:r w:rsidRPr="00A552C3">
              <w:rPr>
                <w:bCs/>
                <w:i/>
                <w:vertAlign w:val="subscript"/>
                <w:lang w:val="pt-BR"/>
              </w:rPr>
              <w:t>y</w:t>
            </w:r>
            <w:r w:rsidRPr="00A552C3">
              <w:rPr>
                <w:bCs/>
                <w:lang w:val="pt-BR"/>
              </w:rPr>
              <w:t xml:space="preserve"> / 3600)</w:t>
            </w:r>
          </w:p>
          <w:p w14:paraId="569B425F" w14:textId="77777777" w:rsidR="00D81D75" w:rsidRPr="00A552C3" w:rsidRDefault="00D81D75" w:rsidP="00D81D75">
            <w:pPr>
              <w:tabs>
                <w:tab w:val="left" w:pos="2340"/>
                <w:tab w:val="left" w:pos="2880"/>
              </w:tabs>
              <w:spacing w:after="240"/>
              <w:ind w:left="720"/>
              <w:rPr>
                <w:bCs/>
                <w:lang w:val="pt-BR"/>
              </w:rPr>
            </w:pPr>
            <w:r w:rsidRPr="00A552C3">
              <w:rPr>
                <w:bCs/>
                <w:lang w:val="pt-BR"/>
              </w:rPr>
              <w:t>If any EBP &lt; 0 then:</w:t>
            </w:r>
          </w:p>
          <w:p w14:paraId="1D4E299B" w14:textId="54EA321E" w:rsidR="00D81D75" w:rsidRPr="00A552C3" w:rsidRDefault="00D81D75" w:rsidP="00D81D75">
            <w:pPr>
              <w:tabs>
                <w:tab w:val="left" w:pos="2340"/>
                <w:tab w:val="left" w:pos="2880"/>
              </w:tabs>
              <w:spacing w:after="240"/>
              <w:ind w:left="720"/>
              <w:rPr>
                <w:bCs/>
                <w:lang w:val="pt-BR"/>
              </w:rPr>
            </w:pPr>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w:t>
            </w:r>
          </w:p>
          <w:p w14:paraId="5A9ED2C8" w14:textId="77777777" w:rsidR="00D81D75" w:rsidRPr="00A552C3" w:rsidRDefault="00D81D75" w:rsidP="00D81D75">
            <w:pPr>
              <w:tabs>
                <w:tab w:val="left" w:pos="2340"/>
                <w:tab w:val="left" w:pos="2880"/>
              </w:tabs>
              <w:spacing w:after="240"/>
              <w:ind w:left="720"/>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665D082">
                <v:shape id="_x0000_i1246" type="#_x0000_t75" style="width:12pt;height:24pt" o:ole="">
                  <v:imagedata r:id="rId293" o:title=""/>
                </v:shape>
                <o:OLEObject Type="Embed" ProgID="Equation.3" ShapeID="_x0000_i1246" DrawAspect="Content" ObjectID="_1804653730" r:id="rId303"/>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1A093AB2" w14:textId="77777777" w:rsidR="00D81D75" w:rsidRPr="00A552C3" w:rsidRDefault="00D81D75" w:rsidP="00D81D75">
            <w:pPr>
              <w:tabs>
                <w:tab w:val="left" w:pos="2340"/>
                <w:tab w:val="left" w:pos="2880"/>
              </w:tabs>
              <w:spacing w:after="240"/>
              <w:ind w:left="720"/>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3AFD013D">
                <v:shape id="_x0000_i1247" type="#_x0000_t75" style="width:12pt;height:24pt" o:ole="">
                  <v:imagedata r:id="rId295" o:title=""/>
                </v:shape>
                <o:OLEObject Type="Embed" ProgID="Equation.3" ShapeID="_x0000_i1247" DrawAspect="Content" ObjectID="_1804653731" r:id="rId304"/>
              </w:object>
            </w:r>
            <w:r w:rsidRPr="00A552C3">
              <w:rPr>
                <w:bCs/>
                <w:lang w:val="es-MX"/>
              </w:rPr>
              <w:t>(</w:t>
            </w:r>
            <w:r w:rsidRPr="00A552C3">
              <w:rPr>
                <w:bCs/>
                <w:lang w:val="pt-BR"/>
              </w:rPr>
              <w:t xml:space="preserve">Min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F1D71B0" w14:textId="0DDC73FD" w:rsidR="00D81D75" w:rsidRPr="00A552C3" w:rsidRDefault="00D81D75" w:rsidP="00D81D75">
            <w:pPr>
              <w:tabs>
                <w:tab w:val="left" w:pos="2340"/>
                <w:tab w:val="left" w:pos="2880"/>
              </w:tabs>
              <w:spacing w:after="240"/>
              <w:ind w:left="720"/>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p>
          <w:p w14:paraId="579F6186" w14:textId="77777777" w:rsidR="00D81D75" w:rsidRPr="00A552C3" w:rsidRDefault="00D81D75" w:rsidP="00D81D75">
            <w:pPr>
              <w:tabs>
                <w:tab w:val="left" w:pos="2340"/>
                <w:tab w:val="left" w:pos="2880"/>
              </w:tabs>
              <w:spacing w:after="240"/>
              <w:ind w:left="720"/>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17255E4D">
                <v:shape id="_x0000_i1248" type="#_x0000_t75" style="width:12pt;height:24pt" o:ole="">
                  <v:imagedata r:id="rId295" o:title=""/>
                </v:shape>
                <o:OLEObject Type="Embed" ProgID="Equation.3" ShapeID="_x0000_i1248" DrawAspect="Content" ObjectID="_1804653732" r:id="rId305"/>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186D43CC"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0CA7ECD7" w14:textId="77777777" w:rsidTr="00C952ED">
              <w:trPr>
                <w:cantSplit/>
                <w:tblHeader/>
              </w:trPr>
              <w:tc>
                <w:tcPr>
                  <w:tcW w:w="934" w:type="pct"/>
                </w:tcPr>
                <w:p w14:paraId="32CEB516" w14:textId="77777777" w:rsidR="00D81D75" w:rsidRPr="00A552C3" w:rsidRDefault="00D81D75" w:rsidP="00D81D75">
                  <w:pPr>
                    <w:spacing w:after="240"/>
                    <w:rPr>
                      <w:b/>
                      <w:iCs/>
                      <w:sz w:val="20"/>
                    </w:rPr>
                  </w:pPr>
                  <w:r w:rsidRPr="00A552C3">
                    <w:rPr>
                      <w:b/>
                      <w:iCs/>
                      <w:sz w:val="20"/>
                    </w:rPr>
                    <w:t>Variable</w:t>
                  </w:r>
                </w:p>
              </w:tc>
              <w:tc>
                <w:tcPr>
                  <w:tcW w:w="481" w:type="pct"/>
                </w:tcPr>
                <w:p w14:paraId="3F05EDE0" w14:textId="77777777" w:rsidR="00D81D75" w:rsidRPr="00A552C3" w:rsidRDefault="00D81D75" w:rsidP="00D81D75">
                  <w:pPr>
                    <w:spacing w:after="240"/>
                    <w:rPr>
                      <w:b/>
                      <w:iCs/>
                      <w:sz w:val="20"/>
                    </w:rPr>
                  </w:pPr>
                  <w:r w:rsidRPr="00A552C3">
                    <w:rPr>
                      <w:b/>
                      <w:iCs/>
                      <w:sz w:val="20"/>
                    </w:rPr>
                    <w:t>Unit</w:t>
                  </w:r>
                </w:p>
              </w:tc>
              <w:tc>
                <w:tcPr>
                  <w:tcW w:w="3585" w:type="pct"/>
                </w:tcPr>
                <w:p w14:paraId="61837EE4" w14:textId="77777777" w:rsidR="00D81D75" w:rsidRPr="00A552C3" w:rsidRDefault="00D81D75" w:rsidP="00D81D75">
                  <w:pPr>
                    <w:spacing w:after="240"/>
                    <w:rPr>
                      <w:b/>
                      <w:iCs/>
                      <w:sz w:val="20"/>
                    </w:rPr>
                  </w:pPr>
                  <w:r w:rsidRPr="00A552C3">
                    <w:rPr>
                      <w:b/>
                      <w:iCs/>
                      <w:sz w:val="20"/>
                    </w:rPr>
                    <w:t>Definition</w:t>
                  </w:r>
                </w:p>
              </w:tc>
            </w:tr>
            <w:tr w:rsidR="00D81D75" w:rsidRPr="00A552C3" w14:paraId="793B3190" w14:textId="77777777" w:rsidTr="00C952ED">
              <w:trPr>
                <w:cantSplit/>
              </w:trPr>
              <w:tc>
                <w:tcPr>
                  <w:tcW w:w="934" w:type="pct"/>
                </w:tcPr>
                <w:p w14:paraId="213598D3"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0348A48" w14:textId="77777777" w:rsidR="00D81D75" w:rsidRPr="00A552C3" w:rsidRDefault="00D81D75" w:rsidP="00D81D75">
                  <w:pPr>
                    <w:spacing w:after="60"/>
                    <w:rPr>
                      <w:iCs/>
                      <w:sz w:val="20"/>
                    </w:rPr>
                  </w:pPr>
                  <w:r w:rsidRPr="00A552C3">
                    <w:rPr>
                      <w:iCs/>
                      <w:sz w:val="20"/>
                    </w:rPr>
                    <w:t>$</w:t>
                  </w:r>
                </w:p>
              </w:tc>
              <w:tc>
                <w:tcPr>
                  <w:tcW w:w="3585" w:type="pct"/>
                </w:tcPr>
                <w:p w14:paraId="1AA9A567"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30D896D" w14:textId="77777777" w:rsidTr="00C952ED">
              <w:trPr>
                <w:cantSplit/>
              </w:trPr>
              <w:tc>
                <w:tcPr>
                  <w:tcW w:w="934" w:type="pct"/>
                </w:tcPr>
                <w:p w14:paraId="6EE956A6" w14:textId="77777777" w:rsidR="00D81D75" w:rsidRPr="00A552C3" w:rsidRDefault="00D81D75" w:rsidP="00D81D75">
                  <w:pPr>
                    <w:spacing w:after="60"/>
                    <w:rPr>
                      <w:iCs/>
                      <w:sz w:val="20"/>
                    </w:rPr>
                  </w:pPr>
                  <w:r w:rsidRPr="00A552C3">
                    <w:rPr>
                      <w:iCs/>
                      <w:sz w:val="20"/>
                    </w:rPr>
                    <w:t xml:space="preserve">EMREPRGEN </w:t>
                  </w:r>
                  <w:r w:rsidRPr="00A552C3">
                    <w:rPr>
                      <w:i/>
                      <w:iCs/>
                      <w:sz w:val="20"/>
                      <w:vertAlign w:val="subscript"/>
                    </w:rPr>
                    <w:t>q, r, p</w:t>
                  </w:r>
                </w:p>
              </w:tc>
              <w:tc>
                <w:tcPr>
                  <w:tcW w:w="481" w:type="pct"/>
                </w:tcPr>
                <w:p w14:paraId="08AE0988" w14:textId="77777777" w:rsidR="00D81D75" w:rsidRPr="00A552C3" w:rsidRDefault="00D81D75" w:rsidP="00D81D75">
                  <w:pPr>
                    <w:spacing w:after="60"/>
                    <w:rPr>
                      <w:iCs/>
                      <w:sz w:val="20"/>
                    </w:rPr>
                  </w:pPr>
                  <w:r w:rsidRPr="00A552C3">
                    <w:rPr>
                      <w:iCs/>
                      <w:sz w:val="20"/>
                    </w:rPr>
                    <w:t>$/MWh</w:t>
                  </w:r>
                </w:p>
              </w:tc>
              <w:tc>
                <w:tcPr>
                  <w:tcW w:w="3585" w:type="pct"/>
                </w:tcPr>
                <w:p w14:paraId="17B05730" w14:textId="77777777" w:rsidR="00D81D75" w:rsidRPr="00A552C3" w:rsidRDefault="00D81D75" w:rsidP="00D81D75">
                  <w:pPr>
                    <w:spacing w:after="60"/>
                    <w:rPr>
                      <w:i/>
                      <w:iCs/>
                      <w:sz w:val="20"/>
                    </w:rPr>
                  </w:pPr>
                  <w:r w:rsidRPr="00A552C3">
                    <w:rPr>
                      <w:i/>
                      <w:iCs/>
                      <w:sz w:val="20"/>
                    </w:rPr>
                    <w:t>Emergency Energy Price for Generation per QSE per Settlement Point per Resource</w:t>
                  </w:r>
                  <w:r w:rsidRPr="00A552C3">
                    <w:rPr>
                      <w:iCs/>
                      <w:sz w:val="20"/>
                    </w:rPr>
                    <w:t xml:space="preserve">—The compensation rate for 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8DBBA9A" w14:textId="77777777" w:rsidTr="00C952ED">
              <w:trPr>
                <w:cantSplit/>
              </w:trPr>
              <w:tc>
                <w:tcPr>
                  <w:tcW w:w="934" w:type="pct"/>
                </w:tcPr>
                <w:p w14:paraId="195E1542" w14:textId="77777777" w:rsidR="00D81D75" w:rsidRPr="00A552C3" w:rsidRDefault="00D81D75" w:rsidP="00D81D75">
                  <w:pPr>
                    <w:spacing w:after="60"/>
                    <w:rPr>
                      <w:iCs/>
                      <w:sz w:val="20"/>
                    </w:rPr>
                  </w:pPr>
                  <w:r w:rsidRPr="00A552C3">
                    <w:rPr>
                      <w:iCs/>
                      <w:sz w:val="20"/>
                    </w:rPr>
                    <w:t xml:space="preserve">EMREPRLOAD </w:t>
                  </w:r>
                  <w:r w:rsidRPr="00A552C3">
                    <w:rPr>
                      <w:i/>
                      <w:iCs/>
                      <w:sz w:val="20"/>
                      <w:vertAlign w:val="subscript"/>
                    </w:rPr>
                    <w:t>q, r, p</w:t>
                  </w:r>
                </w:p>
              </w:tc>
              <w:tc>
                <w:tcPr>
                  <w:tcW w:w="481" w:type="pct"/>
                </w:tcPr>
                <w:p w14:paraId="496245B7" w14:textId="77777777" w:rsidR="00D81D75" w:rsidRPr="00A552C3" w:rsidRDefault="00D81D75" w:rsidP="00D81D75">
                  <w:pPr>
                    <w:spacing w:after="60"/>
                    <w:rPr>
                      <w:iCs/>
                      <w:sz w:val="20"/>
                    </w:rPr>
                  </w:pPr>
                  <w:r w:rsidRPr="00A552C3">
                    <w:rPr>
                      <w:iCs/>
                      <w:sz w:val="20"/>
                    </w:rPr>
                    <w:t>$/MWh</w:t>
                  </w:r>
                </w:p>
              </w:tc>
              <w:tc>
                <w:tcPr>
                  <w:tcW w:w="3585" w:type="pct"/>
                </w:tcPr>
                <w:p w14:paraId="5A1954EC" w14:textId="219D7572" w:rsidR="00D81D75" w:rsidRPr="00A552C3" w:rsidRDefault="00D81D75" w:rsidP="00D81D75">
                  <w:pPr>
                    <w:spacing w:after="60"/>
                    <w:rPr>
                      <w:iCs/>
                      <w:sz w:val="20"/>
                    </w:rPr>
                  </w:pPr>
                  <w:r w:rsidRPr="0091393B">
                    <w:rPr>
                      <w:i/>
                      <w:iCs/>
                      <w:sz w:val="20"/>
                    </w:rPr>
                    <w:t>Emergency Energy Price for Charging Load per QSE per Settlement Point per Resource</w:t>
                  </w:r>
                  <w:r w:rsidRPr="00A552C3">
                    <w:rPr>
                      <w:iCs/>
                      <w:sz w:val="20"/>
                    </w:rPr>
                    <w:t xml:space="preserve">—The compensation rate for the charging load for Resource </w:t>
                  </w:r>
                  <w:r w:rsidRPr="00A552C3">
                    <w:rPr>
                      <w:i/>
                      <w:iCs/>
                      <w:sz w:val="20"/>
                    </w:rPr>
                    <w:t>r</w:t>
                  </w:r>
                  <w:r w:rsidRPr="00A552C3">
                    <w:rPr>
                      <w:iCs/>
                      <w:sz w:val="20"/>
                    </w:rPr>
                    <w:t xml:space="preserve"> at Resource Node </w:t>
                  </w:r>
                  <w:r w:rsidRPr="00233C78">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01E5A6EB" w14:textId="77777777" w:rsidTr="00C952ED">
              <w:trPr>
                <w:cantSplit/>
              </w:trPr>
              <w:tc>
                <w:tcPr>
                  <w:tcW w:w="934" w:type="pct"/>
                </w:tcPr>
                <w:p w14:paraId="409269C1"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4BEFF9B6" w14:textId="77777777" w:rsidR="00D81D75" w:rsidRPr="00A552C3" w:rsidRDefault="00D81D75" w:rsidP="00D81D75">
                  <w:pPr>
                    <w:spacing w:after="60"/>
                    <w:rPr>
                      <w:iCs/>
                      <w:sz w:val="20"/>
                    </w:rPr>
                  </w:pPr>
                  <w:r w:rsidRPr="00A552C3">
                    <w:rPr>
                      <w:iCs/>
                      <w:sz w:val="20"/>
                    </w:rPr>
                    <w:t>MWh</w:t>
                  </w:r>
                </w:p>
              </w:tc>
              <w:tc>
                <w:tcPr>
                  <w:tcW w:w="3585" w:type="pct"/>
                </w:tcPr>
                <w:p w14:paraId="504BAAD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05590F3" w14:textId="77777777" w:rsidTr="00C952ED">
              <w:trPr>
                <w:cantSplit/>
              </w:trPr>
              <w:tc>
                <w:tcPr>
                  <w:tcW w:w="934" w:type="pct"/>
                </w:tcPr>
                <w:p w14:paraId="62412A4F"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79010798" w14:textId="77777777" w:rsidR="00D81D75" w:rsidRPr="00A552C3" w:rsidRDefault="00D81D75" w:rsidP="00D81D75">
                  <w:pPr>
                    <w:spacing w:after="60"/>
                    <w:rPr>
                      <w:iCs/>
                      <w:sz w:val="20"/>
                    </w:rPr>
                  </w:pPr>
                  <w:r w:rsidRPr="00A552C3">
                    <w:rPr>
                      <w:iCs/>
                      <w:sz w:val="20"/>
                    </w:rPr>
                    <w:t>MWh</w:t>
                  </w:r>
                </w:p>
              </w:tc>
              <w:tc>
                <w:tcPr>
                  <w:tcW w:w="3585" w:type="pct"/>
                </w:tcPr>
                <w:p w14:paraId="378D3C78" w14:textId="70B523AA"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3557AE24" w14:textId="77777777" w:rsidTr="00C952ED">
              <w:trPr>
                <w:cantSplit/>
              </w:trPr>
              <w:tc>
                <w:tcPr>
                  <w:tcW w:w="934" w:type="pct"/>
                </w:tcPr>
                <w:p w14:paraId="2DA68D73" w14:textId="77777777" w:rsidR="00D81D75" w:rsidRPr="00A552C3" w:rsidRDefault="00D81D75" w:rsidP="00D81D75">
                  <w:pPr>
                    <w:spacing w:after="60"/>
                    <w:rPr>
                      <w:iCs/>
                      <w:sz w:val="20"/>
                    </w:rPr>
                  </w:pPr>
                  <w:r w:rsidRPr="00A552C3">
                    <w:rPr>
                      <w:iCs/>
                      <w:sz w:val="20"/>
                    </w:rPr>
                    <w:lastRenderedPageBreak/>
                    <w:t xml:space="preserve">EBPWAPRGEN </w:t>
                  </w:r>
                  <w:r w:rsidRPr="00A552C3">
                    <w:rPr>
                      <w:i/>
                      <w:iCs/>
                      <w:sz w:val="20"/>
                      <w:vertAlign w:val="subscript"/>
                    </w:rPr>
                    <w:t>q, r, p</w:t>
                  </w:r>
                </w:p>
              </w:tc>
              <w:tc>
                <w:tcPr>
                  <w:tcW w:w="481" w:type="pct"/>
                </w:tcPr>
                <w:p w14:paraId="698D4014" w14:textId="77777777" w:rsidR="00D81D75" w:rsidRPr="00A552C3" w:rsidRDefault="00D81D75" w:rsidP="00D81D75">
                  <w:pPr>
                    <w:spacing w:after="60"/>
                    <w:rPr>
                      <w:iCs/>
                      <w:sz w:val="20"/>
                    </w:rPr>
                  </w:pPr>
                  <w:r w:rsidRPr="00A552C3">
                    <w:rPr>
                      <w:iCs/>
                      <w:sz w:val="20"/>
                    </w:rPr>
                    <w:t>$/MWh</w:t>
                  </w:r>
                </w:p>
              </w:tc>
              <w:tc>
                <w:tcPr>
                  <w:tcW w:w="3585" w:type="pct"/>
                </w:tcPr>
                <w:p w14:paraId="6AE02E28"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82E87A8" w14:textId="77777777" w:rsidTr="00C952ED">
              <w:trPr>
                <w:cantSplit/>
              </w:trPr>
              <w:tc>
                <w:tcPr>
                  <w:tcW w:w="934" w:type="pct"/>
                </w:tcPr>
                <w:p w14:paraId="7FC06D6C"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1432B9FB" w14:textId="77777777" w:rsidR="00D81D75" w:rsidRPr="00A552C3" w:rsidRDefault="00D81D75" w:rsidP="00D81D75">
                  <w:pPr>
                    <w:spacing w:after="60"/>
                    <w:rPr>
                      <w:iCs/>
                      <w:sz w:val="20"/>
                    </w:rPr>
                  </w:pPr>
                  <w:r w:rsidRPr="00A552C3">
                    <w:rPr>
                      <w:iCs/>
                      <w:sz w:val="20"/>
                    </w:rPr>
                    <w:t>$/MWh</w:t>
                  </w:r>
                </w:p>
              </w:tc>
              <w:tc>
                <w:tcPr>
                  <w:tcW w:w="3585" w:type="pct"/>
                </w:tcPr>
                <w:p w14:paraId="79157B77" w14:textId="35A06685"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for the 15-minute Settlement Interval.</w:t>
                  </w:r>
                </w:p>
              </w:tc>
            </w:tr>
            <w:tr w:rsidR="00D81D75" w:rsidRPr="00A552C3" w14:paraId="1693E398" w14:textId="77777777" w:rsidTr="00C952ED">
              <w:trPr>
                <w:cantSplit/>
              </w:trPr>
              <w:tc>
                <w:tcPr>
                  <w:tcW w:w="934" w:type="pct"/>
                </w:tcPr>
                <w:p w14:paraId="3C170296" w14:textId="77777777" w:rsidR="00D81D75" w:rsidRPr="00A552C3" w:rsidRDefault="00D81D75" w:rsidP="00D81D75">
                  <w:pPr>
                    <w:spacing w:after="60"/>
                    <w:rPr>
                      <w:iCs/>
                      <w:sz w:val="20"/>
                    </w:rPr>
                  </w:pPr>
                  <w:r w:rsidRPr="00A552C3">
                    <w:rPr>
                      <w:iCs/>
                      <w:sz w:val="20"/>
                    </w:rPr>
                    <w:t xml:space="preserve">BP </w:t>
                  </w:r>
                  <w:r w:rsidRPr="00A552C3">
                    <w:rPr>
                      <w:i/>
                      <w:iCs/>
                      <w:sz w:val="20"/>
                      <w:vertAlign w:val="subscript"/>
                    </w:rPr>
                    <w:t>q, r, p</w:t>
                  </w:r>
                </w:p>
              </w:tc>
              <w:tc>
                <w:tcPr>
                  <w:tcW w:w="481" w:type="pct"/>
                </w:tcPr>
                <w:p w14:paraId="59CB0411" w14:textId="77777777" w:rsidR="00D81D75" w:rsidRPr="00A552C3" w:rsidRDefault="00D81D75" w:rsidP="00D81D75">
                  <w:pPr>
                    <w:spacing w:after="60"/>
                    <w:rPr>
                      <w:iCs/>
                      <w:sz w:val="20"/>
                    </w:rPr>
                  </w:pPr>
                  <w:r w:rsidRPr="00A552C3">
                    <w:rPr>
                      <w:iCs/>
                      <w:sz w:val="20"/>
                    </w:rPr>
                    <w:t>MW</w:t>
                  </w:r>
                </w:p>
              </w:tc>
              <w:tc>
                <w:tcPr>
                  <w:tcW w:w="3585" w:type="pct"/>
                </w:tcPr>
                <w:p w14:paraId="5C67D644" w14:textId="77777777" w:rsidR="00D81D75" w:rsidRPr="00A552C3" w:rsidRDefault="00D81D75" w:rsidP="00D81D75">
                  <w:pPr>
                    <w:spacing w:after="60"/>
                    <w:rPr>
                      <w:iCs/>
                      <w:sz w:val="20"/>
                    </w:rPr>
                  </w:pPr>
                  <w:r w:rsidRPr="00A552C3">
                    <w:rPr>
                      <w:i/>
                      <w:iCs/>
                      <w:sz w:val="20"/>
                    </w:rPr>
                    <w:t>Base Point per QSE per Settlement Point per Resource</w:t>
                  </w:r>
                  <w:r w:rsidRPr="00A552C3">
                    <w:rPr>
                      <w:iCs/>
                      <w:sz w:val="20"/>
                    </w:rPr>
                    <w:t xml:space="preserve">—The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from the SCED prior to the Emergency Condition or Watch.  For a Combined Cycle Train, the Resource </w:t>
                  </w:r>
                  <w:r w:rsidRPr="00A552C3">
                    <w:rPr>
                      <w:i/>
                      <w:iCs/>
                      <w:sz w:val="20"/>
                    </w:rPr>
                    <w:t>r</w:t>
                  </w:r>
                  <w:r w:rsidRPr="00A552C3">
                    <w:rPr>
                      <w:iCs/>
                      <w:sz w:val="20"/>
                    </w:rPr>
                    <w:t xml:space="preserve"> must be one of the registered Combined Cycle Generation Resources within the Combined Cycle Train.</w:t>
                  </w:r>
                </w:p>
              </w:tc>
            </w:tr>
            <w:tr w:rsidR="00D81D75" w:rsidRPr="00A552C3" w14:paraId="3C5AA96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28EFF7B"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2EBF38B"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30EAD784"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F0B470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D2121EA"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B1EFDDF"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EFE5B8E"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5A1D1453" w14:textId="77777777" w:rsidTr="00C952ED">
              <w:trPr>
                <w:cantSplit/>
              </w:trPr>
              <w:tc>
                <w:tcPr>
                  <w:tcW w:w="934" w:type="pct"/>
                </w:tcPr>
                <w:p w14:paraId="5EB1B049"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61C4D64E" w14:textId="77777777" w:rsidR="00D81D75" w:rsidRPr="00A552C3" w:rsidRDefault="00D81D75" w:rsidP="00D81D75">
                  <w:pPr>
                    <w:spacing w:after="60"/>
                    <w:rPr>
                      <w:iCs/>
                      <w:sz w:val="20"/>
                    </w:rPr>
                  </w:pPr>
                  <w:r w:rsidRPr="00A552C3">
                    <w:rPr>
                      <w:iCs/>
                      <w:sz w:val="20"/>
                    </w:rPr>
                    <w:t>MW</w:t>
                  </w:r>
                </w:p>
              </w:tc>
              <w:tc>
                <w:tcPr>
                  <w:tcW w:w="3585" w:type="pct"/>
                </w:tcPr>
                <w:p w14:paraId="575E5CDB"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67BF4D9" w14:textId="77777777" w:rsidTr="00C952ED">
              <w:trPr>
                <w:cantSplit/>
              </w:trPr>
              <w:tc>
                <w:tcPr>
                  <w:tcW w:w="934" w:type="pct"/>
                </w:tcPr>
                <w:p w14:paraId="28A19B08"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5AC54471" w14:textId="77777777" w:rsidR="00D81D75" w:rsidRPr="00A552C3" w:rsidRDefault="00D81D75" w:rsidP="00D81D75">
                  <w:pPr>
                    <w:spacing w:after="60"/>
                    <w:rPr>
                      <w:iCs/>
                      <w:sz w:val="20"/>
                    </w:rPr>
                  </w:pPr>
                  <w:r w:rsidRPr="00A552C3">
                    <w:rPr>
                      <w:iCs/>
                      <w:sz w:val="20"/>
                    </w:rPr>
                    <w:t>$/MWh</w:t>
                  </w:r>
                </w:p>
              </w:tc>
              <w:tc>
                <w:tcPr>
                  <w:tcW w:w="3585" w:type="pct"/>
                </w:tcPr>
                <w:p w14:paraId="5CDF8847" w14:textId="719CDA2F" w:rsidR="00D81D75" w:rsidRPr="00A552C3" w:rsidRDefault="00D81D75" w:rsidP="00AC71FA">
                  <w:pPr>
                    <w:spacing w:after="60"/>
                    <w:rPr>
                      <w:iCs/>
                      <w:sz w:val="20"/>
                    </w:rPr>
                  </w:pPr>
                  <w:r w:rsidRPr="00A552C3">
                    <w:rPr>
                      <w:i/>
                      <w:iCs/>
                      <w:sz w:val="20"/>
                    </w:rPr>
                    <w:t>Emergency Base Point Price per QSE per Settlement Point per Resource by interval</w:t>
                  </w:r>
                  <w:r w:rsidRPr="00A552C3">
                    <w:rPr>
                      <w:iCs/>
                      <w:sz w:val="20"/>
                    </w:rPr>
                    <w:t xml:space="preserve">—The </w:t>
                  </w:r>
                  <w:r w:rsidR="00BD19E2">
                    <w:rPr>
                      <w:iCs/>
                      <w:sz w:val="20"/>
                    </w:rPr>
                    <w:t>price on</w:t>
                  </w:r>
                  <w:r w:rsidRPr="00A552C3">
                    <w:rPr>
                      <w:iCs/>
                      <w:sz w:val="20"/>
                    </w:rPr>
                    <w:t xml:space="preserve"> the Energy Offer Curve or Energy Bid/Offer Curve corresponding to the Emergency Base Point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The Energy Offer Curve shall be capped by the MOC pursuant to Section 4.4.9.4.1, Mitigated Offer Cap</w:t>
                  </w:r>
                  <w:r w:rsidRPr="00A552C3">
                    <w:rPr>
                      <w:rFonts w:asciiTheme="minorHAnsi" w:eastAsiaTheme="minorHAnsi" w:hAnsiTheme="minorHAnsi" w:cstheme="minorBidi"/>
                      <w:sz w:val="22"/>
                      <w:szCs w:val="22"/>
                    </w:rPr>
                    <w:t xml:space="preserve"> </w:t>
                  </w:r>
                  <w:r w:rsidRPr="00A552C3">
                    <w:rPr>
                      <w:iCs/>
                      <w:sz w:val="20"/>
                    </w:rPr>
                    <w:t xml:space="preserve">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BA9BDDD" w14:textId="77777777" w:rsidTr="00C952ED">
              <w:trPr>
                <w:cantSplit/>
              </w:trPr>
              <w:tc>
                <w:tcPr>
                  <w:tcW w:w="934" w:type="pct"/>
                </w:tcPr>
                <w:p w14:paraId="5C6CCF45"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55586ADF" w14:textId="77777777" w:rsidR="00D81D75" w:rsidRPr="00A552C3" w:rsidRDefault="00D81D75" w:rsidP="00D81D75">
                  <w:pPr>
                    <w:spacing w:after="60"/>
                    <w:rPr>
                      <w:iCs/>
                      <w:sz w:val="20"/>
                    </w:rPr>
                  </w:pPr>
                  <w:r w:rsidRPr="00A552C3">
                    <w:rPr>
                      <w:iCs/>
                      <w:sz w:val="20"/>
                    </w:rPr>
                    <w:t>$/MWh</w:t>
                  </w:r>
                </w:p>
              </w:tc>
              <w:tc>
                <w:tcPr>
                  <w:tcW w:w="3585" w:type="pct"/>
                </w:tcPr>
                <w:p w14:paraId="3C08E0ED"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50B31857" w14:textId="77777777" w:rsidTr="00C952ED">
              <w:trPr>
                <w:cantSplit/>
              </w:trPr>
              <w:tc>
                <w:tcPr>
                  <w:tcW w:w="934" w:type="pct"/>
                </w:tcPr>
                <w:p w14:paraId="79E591FC"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771E746B" w14:textId="77777777" w:rsidR="00D81D75" w:rsidRPr="00A552C3" w:rsidRDefault="00D81D75" w:rsidP="00D81D75">
                  <w:pPr>
                    <w:spacing w:after="60"/>
                    <w:rPr>
                      <w:iCs/>
                      <w:sz w:val="20"/>
                    </w:rPr>
                  </w:pPr>
                  <w:r w:rsidRPr="00A552C3">
                    <w:rPr>
                      <w:iCs/>
                      <w:sz w:val="20"/>
                    </w:rPr>
                    <w:t>MWh</w:t>
                  </w:r>
                </w:p>
              </w:tc>
              <w:tc>
                <w:tcPr>
                  <w:tcW w:w="3585" w:type="pct"/>
                </w:tcPr>
                <w:p w14:paraId="66652115"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2C1C0F0" w14:textId="77777777" w:rsidTr="00C952ED">
              <w:trPr>
                <w:cantSplit/>
              </w:trPr>
              <w:tc>
                <w:tcPr>
                  <w:tcW w:w="934" w:type="pct"/>
                </w:tcPr>
                <w:p w14:paraId="01B9A929"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A9B3E6B" w14:textId="77777777" w:rsidR="00D81D75" w:rsidRPr="00A552C3" w:rsidRDefault="00D81D75" w:rsidP="00D81D75">
                  <w:pPr>
                    <w:spacing w:after="60"/>
                    <w:rPr>
                      <w:iCs/>
                      <w:sz w:val="20"/>
                    </w:rPr>
                  </w:pPr>
                  <w:r w:rsidRPr="00A552C3">
                    <w:rPr>
                      <w:iCs/>
                      <w:sz w:val="20"/>
                    </w:rPr>
                    <w:t>MWh</w:t>
                  </w:r>
                </w:p>
              </w:tc>
              <w:tc>
                <w:tcPr>
                  <w:tcW w:w="3585" w:type="pct"/>
                </w:tcPr>
                <w:p w14:paraId="40B67560" w14:textId="5DAAA1FE" w:rsidR="00D81D75" w:rsidRPr="00A552C3" w:rsidRDefault="00D81D75" w:rsidP="00D81D75">
                  <w:pPr>
                    <w:spacing w:after="60"/>
                    <w:rPr>
                      <w:i/>
                      <w:iCs/>
                      <w:sz w:val="20"/>
                    </w:rPr>
                  </w:pPr>
                  <w:r w:rsidRPr="00A552C3">
                    <w:rPr>
                      <w:i/>
                      <w:iCs/>
                      <w:sz w:val="20"/>
                    </w:rPr>
                    <w:t>Real-Time Charging Load per QSE per Resource per Settlement Point</w:t>
                  </w:r>
                  <w:r w:rsidRPr="00A552C3">
                    <w:rPr>
                      <w:iCs/>
                      <w:sz w:val="20"/>
                    </w:rPr>
                    <w:t xml:space="preserve">—The charging load for Resource </w:t>
                  </w:r>
                  <w:r w:rsidRPr="00A552C3">
                    <w:rPr>
                      <w:i/>
                      <w:iCs/>
                      <w:sz w:val="20"/>
                    </w:rPr>
                    <w:t xml:space="preserve">r </w:t>
                  </w:r>
                  <w:r w:rsidRPr="00A552C3">
                    <w:rPr>
                      <w:iCs/>
                      <w:sz w:val="20"/>
                    </w:rPr>
                    <w:t>at Resource Node</w:t>
                  </w:r>
                  <w:r w:rsidRPr="00A552C3">
                    <w:rPr>
                      <w:i/>
                      <w:iCs/>
                      <w:sz w:val="20"/>
                    </w:rPr>
                    <w:t xml:space="preserve"> 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5B38FEF7"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E138197" w14:textId="77777777" w:rsidR="00D81D75" w:rsidRPr="00A552C3" w:rsidRDefault="00D81D75" w:rsidP="00D81D75">
                  <w:pPr>
                    <w:spacing w:after="60"/>
                    <w:rPr>
                      <w:iCs/>
                      <w:sz w:val="20"/>
                    </w:rPr>
                  </w:pPr>
                  <w:r w:rsidRPr="00A552C3">
                    <w:rPr>
                      <w:iCs/>
                      <w:sz w:val="20"/>
                    </w:rPr>
                    <w:lastRenderedPageBreak/>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5F65DB"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2FD360E5"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072F15D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9A3867"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1B7285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382421D" w14:textId="77777777" w:rsidR="00D81D75" w:rsidRPr="00A552C3" w:rsidRDefault="00D81D75" w:rsidP="00D81D75">
                  <w:pPr>
                    <w:spacing w:after="60"/>
                    <w:rPr>
                      <w:iCs/>
                      <w:sz w:val="20"/>
                    </w:rPr>
                  </w:pPr>
                  <w:r w:rsidRPr="00A552C3">
                    <w:rPr>
                      <w:iCs/>
                      <w:sz w:val="20"/>
                    </w:rPr>
                    <w:t>A QSE.</w:t>
                  </w:r>
                </w:p>
              </w:tc>
            </w:tr>
            <w:tr w:rsidR="00D81D75" w:rsidRPr="00A552C3" w14:paraId="6994EF0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64F77A"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2076C329"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729CC72"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284C7BA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1A1DF0B"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09F66F2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4E121F6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7E10469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9309474"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77BBF75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10D80BB"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13C30A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1712C0E"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7DB3FD9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7D15326B" w14:textId="77777777" w:rsidR="00D81D75" w:rsidRPr="00A552C3" w:rsidRDefault="00D81D75" w:rsidP="00D81D75">
                  <w:pPr>
                    <w:spacing w:after="60"/>
                    <w:rPr>
                      <w:iCs/>
                      <w:sz w:val="20"/>
                    </w:rPr>
                  </w:pPr>
                  <w:r w:rsidRPr="00A552C3">
                    <w:rPr>
                      <w:iCs/>
                      <w:sz w:val="20"/>
                    </w:rPr>
                    <w:t>The number of seconds in one hour.</w:t>
                  </w:r>
                </w:p>
              </w:tc>
            </w:tr>
          </w:tbl>
          <w:p w14:paraId="6D2435C9" w14:textId="77777777" w:rsidR="00D81D75" w:rsidRPr="00A552C3" w:rsidRDefault="00D81D75" w:rsidP="00D81D75">
            <w:pPr>
              <w:spacing w:before="240" w:after="240"/>
              <w:ind w:left="720" w:hanging="720"/>
              <w:rPr>
                <w:iCs/>
              </w:rPr>
            </w:pPr>
            <w:r w:rsidRPr="00A552C3">
              <w:rPr>
                <w:iCs/>
              </w:rPr>
              <w:t>(2)</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2130512A" w14:textId="63AF8249" w:rsidR="00D81D75" w:rsidRPr="00A552C3" w:rsidRDefault="00D81D75" w:rsidP="00D81D75">
            <w:pPr>
              <w:tabs>
                <w:tab w:val="left" w:pos="2880"/>
              </w:tabs>
              <w:spacing w:after="240"/>
              <w:ind w:left="720"/>
              <w:rPr>
                <w:b/>
              </w:rPr>
            </w:pPr>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w:t>
            </w:r>
            <w:r w:rsidRPr="00A552C3">
              <w:rPr>
                <w:b/>
              </w:rPr>
              <w:t>)</w:t>
            </w:r>
          </w:p>
          <w:p w14:paraId="55A67686" w14:textId="77777777" w:rsidR="00D81D75" w:rsidRPr="00A552C3" w:rsidRDefault="00D81D75" w:rsidP="00D81D75">
            <w:pPr>
              <w:spacing w:after="240"/>
              <w:ind w:left="1440" w:hanging="720"/>
            </w:pPr>
            <w:r w:rsidRPr="00A552C3">
              <w:t>(a)</w:t>
            </w:r>
            <w:r w:rsidRPr="00A552C3">
              <w:tab/>
              <w:t>Where the Real-Time Energy Net Revenue is calculated as follows:</w:t>
            </w:r>
          </w:p>
          <w:p w14:paraId="6E1DCA58" w14:textId="36395A35" w:rsidR="00D81D75" w:rsidRPr="00A552C3" w:rsidRDefault="00D81D75" w:rsidP="00D81D75">
            <w:pPr>
              <w:spacing w:after="240"/>
              <w:ind w:left="2340" w:hanging="1620"/>
              <w:rPr>
                <w:i/>
                <w:vertAlign w:val="subscript"/>
                <w:lang w:val="pt-BR"/>
              </w:rPr>
            </w:pPr>
            <w:r w:rsidRPr="00A552C3">
              <w:rPr>
                <w:lang w:val="pt-BR"/>
              </w:rPr>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RTEREVT</w:t>
            </w:r>
            <w:r w:rsidRPr="00A552C3">
              <w:rPr>
                <w:i/>
                <w:vertAlign w:val="subscript"/>
                <w:lang w:val="pt-BR"/>
              </w:rPr>
              <w:t xml:space="preserve">q, r, p </w:t>
            </w:r>
          </w:p>
          <w:p w14:paraId="07E87FBE" w14:textId="77777777" w:rsidR="00D81D75" w:rsidRPr="00A552C3" w:rsidRDefault="00D81D75" w:rsidP="00D81D75">
            <w:pPr>
              <w:spacing w:after="240"/>
              <w:ind w:left="2340" w:hanging="1620"/>
              <w:rPr>
                <w:i/>
                <w:vertAlign w:val="subscript"/>
                <w:lang w:val="pt-BR"/>
              </w:rPr>
            </w:pPr>
            <w:r w:rsidRPr="00A552C3">
              <w:rPr>
                <w:lang w:val="pt-BR"/>
              </w:rPr>
              <w:t>Where:</w:t>
            </w:r>
          </w:p>
          <w:p w14:paraId="7D79538B" w14:textId="2612C621" w:rsidR="00D81D75" w:rsidRPr="00A552C3" w:rsidRDefault="00D81D75" w:rsidP="00D81D75">
            <w:pPr>
              <w:tabs>
                <w:tab w:val="left" w:pos="2340"/>
                <w:tab w:val="left" w:pos="2880"/>
              </w:tabs>
              <w:spacing w:after="240"/>
              <w:ind w:left="987" w:hanging="269"/>
              <w:rPr>
                <w:bCs/>
                <w:lang w:val="pt-BR"/>
              </w:rPr>
            </w:pPr>
            <w:r w:rsidRPr="00A552C3">
              <w:rPr>
                <w:bCs/>
                <w:lang w:val="pt-BR"/>
              </w:rPr>
              <w:t>RTEREV</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RTSPP </w:t>
            </w:r>
            <w:r w:rsidRPr="00A552C3">
              <w:rPr>
                <w:bCs/>
                <w:i/>
                <w:vertAlign w:val="subscript"/>
                <w:lang w:val="pt-BR"/>
              </w:rPr>
              <w:t>p</w:t>
            </w:r>
            <w:r w:rsidRPr="00A552C3">
              <w:rPr>
                <w:bCs/>
                <w:lang w:val="pt-BR"/>
              </w:rPr>
              <w:t xml:space="preserve"> * (EMREGEN </w:t>
            </w:r>
            <w:r w:rsidRPr="00A552C3">
              <w:rPr>
                <w:bCs/>
                <w:i/>
                <w:vertAlign w:val="subscript"/>
                <w:lang w:val="pt-BR"/>
              </w:rPr>
              <w:t xml:space="preserve">q, r, p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p>
          <w:p w14:paraId="3286EC30" w14:textId="77777777" w:rsidR="00D81D75" w:rsidRPr="00A552C3" w:rsidRDefault="00D81D75" w:rsidP="00D81D75">
            <w:pPr>
              <w:tabs>
                <w:tab w:val="left" w:pos="2340"/>
                <w:tab w:val="left" w:pos="2880"/>
              </w:tabs>
              <w:spacing w:after="240"/>
              <w:ind w:left="987" w:hanging="269"/>
              <w:rPr>
                <w:rFonts w:eastAsiaTheme="minorHAnsi"/>
                <w:lang w:val="pt-BR"/>
              </w:rPr>
            </w:pPr>
            <w:r w:rsidRPr="00A552C3">
              <w:rPr>
                <w:bCs/>
                <w:lang w:val="pt-BR"/>
              </w:rPr>
              <w:t>RTEREVT</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EBPWAPRGEN </w:t>
            </w:r>
            <w:r w:rsidRPr="00A552C3">
              <w:rPr>
                <w:bCs/>
                <w:i/>
                <w:vertAlign w:val="subscript"/>
                <w:lang w:val="pt-BR"/>
              </w:rPr>
              <w:t>q, r, p</w:t>
            </w:r>
            <w:r w:rsidRPr="00A552C3">
              <w:rPr>
                <w:bCs/>
                <w:lang w:val="pt-BR"/>
              </w:rPr>
              <w:t xml:space="preserve"> * EMREGEN </w:t>
            </w:r>
            <w:r w:rsidRPr="00A552C3">
              <w:rPr>
                <w:bCs/>
                <w:i/>
                <w:vertAlign w:val="subscript"/>
                <w:lang w:val="pt-BR"/>
              </w:rPr>
              <w:t>q, r, p</w:t>
            </w:r>
            <w:r w:rsidRPr="00A552C3">
              <w:rPr>
                <w:rFonts w:eastAsiaTheme="minorHAnsi"/>
                <w:lang w:val="pt-BR"/>
              </w:rPr>
              <w:t xml:space="preserve"> + </w:t>
            </w:r>
          </w:p>
          <w:p w14:paraId="7D1FCE77"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b/>
            </w:r>
            <w:r w:rsidRPr="00A552C3">
              <w:rPr>
                <w:bCs/>
                <w:lang w:val="pt-BR"/>
              </w:rPr>
              <w:tab/>
            </w:r>
            <w:r w:rsidRPr="00A552C3">
              <w:rPr>
                <w:bCs/>
                <w:lang w:val="pt-BR"/>
              </w:rPr>
              <w:tab/>
            </w:r>
            <w:r w:rsidRPr="00A552C3">
              <w:rPr>
                <w:bCs/>
                <w:lang w:val="pt-BR"/>
              </w:rPr>
              <w:tab/>
            </w:r>
            <w:r w:rsidRPr="00A552C3">
              <w:rPr>
                <w:rFonts w:eastAsiaTheme="minorHAnsi"/>
                <w:lang w:val="pt-BR"/>
              </w:rPr>
              <w:t xml:space="preserve">EBPWAPRLOAD </w:t>
            </w:r>
            <w:r w:rsidRPr="00A552C3">
              <w:rPr>
                <w:rFonts w:eastAsiaTheme="minorHAnsi"/>
                <w:i/>
                <w:vertAlign w:val="subscript"/>
                <w:lang w:val="pt-BR"/>
              </w:rPr>
              <w:t>q, r, p</w:t>
            </w:r>
            <w:r w:rsidRPr="00A552C3">
              <w:rPr>
                <w:rFonts w:eastAsiaTheme="minorHAnsi"/>
                <w:lang w:val="pt-BR"/>
              </w:rPr>
              <w:t xml:space="preserve"> *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p>
          <w:p w14:paraId="4840B40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75482445" w14:textId="48F811AF"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r>
            <w:r w:rsidRPr="00A552C3">
              <w:rPr>
                <w:bCs/>
                <w:position w:val="-22"/>
              </w:rPr>
              <w:object w:dxaOrig="225" w:dyaOrig="450" w14:anchorId="0F9F5AFC">
                <v:shape id="_x0000_i1249" type="#_x0000_t75" style="width:12pt;height:24pt" o:ole="">
                  <v:imagedata r:id="rId293" o:title=""/>
                </v:shape>
                <o:OLEObject Type="Embed" ProgID="Equation.3" ShapeID="_x0000_i1249" DrawAspect="Content" ObjectID="_1804653733" r:id="rId306"/>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es-MX"/>
              </w:rPr>
              <w:t>)</w:t>
            </w:r>
            <w:r w:rsidR="00C03D95">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6BA46B31"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rPr>
              <w:tab/>
            </w:r>
            <w:r w:rsidRPr="00A552C3">
              <w:rPr>
                <w:bCs/>
                <w:position w:val="-22"/>
              </w:rPr>
              <w:object w:dxaOrig="225" w:dyaOrig="450" w14:anchorId="6F72330F">
                <v:shape id="_x0000_i1250" type="#_x0000_t75" style="width:12pt;height:24pt" o:ole="">
                  <v:imagedata r:id="rId295" o:title=""/>
                </v:shape>
                <o:OLEObject Type="Embed" ProgID="Equation.3" ShapeID="_x0000_i1250" DrawAspect="Content" ObjectID="_1804653734" r:id="rId307"/>
              </w:object>
            </w:r>
            <w:r w:rsidRPr="00A552C3">
              <w:rPr>
                <w:bCs/>
                <w:lang w:val="es-MX"/>
              </w:rPr>
              <w:t>(</w:t>
            </w:r>
            <w:r w:rsidRPr="00A552C3">
              <w:rPr>
                <w:bCs/>
                <w:lang w:val="pt-BR"/>
              </w:rPr>
              <w:t xml:space="preserve">Max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DB12805" w14:textId="34179D48"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r>
            <w:r w:rsidRPr="00A552C3">
              <w:rPr>
                <w:bCs/>
                <w:lang w:val="es-MX"/>
              </w:rPr>
              <w:tab/>
              <w:t xml:space="preserve">=  </w:t>
            </w:r>
            <w:r w:rsidRPr="00A552C3">
              <w:rPr>
                <w:bCs/>
                <w:lang w:val="es-MX"/>
              </w:rPr>
              <w:tab/>
              <w:t>Max</w:t>
            </w:r>
            <w:r w:rsidR="00792C7F">
              <w:rPr>
                <w:bCs/>
                <w:lang w:val="es-MX"/>
              </w:rPr>
              <w:t xml:space="preserve"> </w:t>
            </w:r>
            <w:r w:rsidRPr="00A552C3">
              <w:rPr>
                <w:bCs/>
                <w:lang w:val="es-MX"/>
              </w:rPr>
              <w:t>(0,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p>
          <w:p w14:paraId="30590CFA"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r w:rsidRPr="00A552C3">
              <w:rPr>
                <w:bCs/>
                <w:position w:val="-22"/>
              </w:rPr>
              <w:object w:dxaOrig="225" w:dyaOrig="450" w14:anchorId="0B1DCB87">
                <v:shape id="_x0000_i1251" type="#_x0000_t75" style="width:12pt;height:24pt" o:ole="">
                  <v:imagedata r:id="rId295" o:title=""/>
                </v:shape>
                <o:OLEObject Type="Embed" ProgID="Equation.3" ShapeID="_x0000_i1251" DrawAspect="Content" ObjectID="_1804653735" r:id="rId308"/>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63539F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&lt; 0 then:</w:t>
            </w:r>
          </w:p>
          <w:p w14:paraId="1A16D7F6" w14:textId="77777777" w:rsidR="00D81D75" w:rsidRPr="00A552C3" w:rsidRDefault="00D81D75" w:rsidP="00D81D75">
            <w:pPr>
              <w:tabs>
                <w:tab w:val="left" w:pos="2340"/>
                <w:tab w:val="left" w:pos="2880"/>
              </w:tabs>
              <w:spacing w:after="240"/>
              <w:ind w:left="987" w:hanging="269"/>
              <w:rPr>
                <w:b/>
                <w:bCs/>
                <w:sz w:val="32"/>
                <w:szCs w:val="32"/>
                <w:lang w:val="pt-BR"/>
              </w:rPr>
            </w:pPr>
            <w:r w:rsidRPr="00A552C3">
              <w:rPr>
                <w:bCs/>
                <w:lang w:val="pt-BR"/>
              </w:rPr>
              <w:lastRenderedPageBreak/>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11159DF0">
                <v:shape id="_x0000_i1252" type="#_x0000_t75" style="width:12pt;height:24pt" o:ole="">
                  <v:imagedata r:id="rId293" o:title=""/>
                </v:shape>
                <o:OLEObject Type="Embed" ProgID="Equation.3" ShapeID="_x0000_i1252" DrawAspect="Content" ObjectID="_1804653736" r:id="rId309"/>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7967ABEA" w14:textId="6006B95F"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0558B3E4">
                <v:shape id="_x0000_i1253" type="#_x0000_t75" style="width:12pt;height:24pt" o:ole="">
                  <v:imagedata r:id="rId295" o:title=""/>
                </v:shape>
                <o:OLEObject Type="Embed" ProgID="Equation.3" ShapeID="_x0000_i1253" DrawAspect="Content" ObjectID="_1804653737" r:id="rId310"/>
              </w:object>
            </w:r>
            <w:r w:rsidRPr="00A552C3">
              <w:rPr>
                <w:bCs/>
                <w:lang w:val="es-MX"/>
              </w:rPr>
              <w:t>(</w:t>
            </w:r>
            <w:r w:rsidRPr="00A552C3">
              <w:rPr>
                <w:bCs/>
                <w:lang w:val="pt-BR"/>
              </w:rPr>
              <w:t xml:space="preserve">Min (-0.001, </w:t>
            </w:r>
            <w:r w:rsidRPr="00A552C3">
              <w:rPr>
                <w:bCs/>
                <w:lang w:val="es-MX"/>
              </w:rPr>
              <w:t>EBP</w:t>
            </w:r>
            <w:r w:rsidR="00952F33">
              <w:rPr>
                <w:bCs/>
                <w:lang w:val="es-MX"/>
              </w:rPr>
              <w:t xml:space="preserve">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93B2F04" w14:textId="3997230E" w:rsidR="00D81D75" w:rsidRPr="00A552C3" w:rsidRDefault="00D81D75" w:rsidP="00D81D75">
            <w:pPr>
              <w:tabs>
                <w:tab w:val="left" w:pos="2340"/>
                <w:tab w:val="left" w:pos="2880"/>
              </w:tabs>
              <w:spacing w:after="240"/>
              <w:ind w:left="987" w:hanging="269"/>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p>
          <w:p w14:paraId="0E875B7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36F9F20B">
                <v:shape id="_x0000_i1254" type="#_x0000_t75" style="width:12pt;height:24pt" o:ole="">
                  <v:imagedata r:id="rId295" o:title=""/>
                </v:shape>
                <o:OLEObject Type="Embed" ProgID="Equation.3" ShapeID="_x0000_i1254" DrawAspect="Content" ObjectID="_1804653738" r:id="rId311"/>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79CB86E4" w14:textId="77777777" w:rsidR="00D81D75" w:rsidRPr="00A552C3" w:rsidRDefault="00D81D75" w:rsidP="00D81D75">
            <w:pPr>
              <w:spacing w:after="240"/>
              <w:ind w:left="1440" w:hanging="720"/>
              <w:rPr>
                <w:lang w:val="pt-BR"/>
              </w:rPr>
            </w:pPr>
            <w:r w:rsidRPr="00A552C3">
              <w:rPr>
                <w:lang w:val="pt-BR"/>
              </w:rPr>
              <w:t>(b)</w:t>
            </w:r>
            <w:r w:rsidRPr="00A552C3">
              <w:rPr>
                <w:lang w:val="pt-BR"/>
              </w:rPr>
              <w:tab/>
              <w:t>Where the Real-Time Ancillary Services Net Revenue is calculated as follows:</w:t>
            </w:r>
          </w:p>
          <w:p w14:paraId="1002C34E" w14:textId="75FB1523" w:rsidR="00D81D75" w:rsidRPr="00A552C3" w:rsidRDefault="00D81D75" w:rsidP="00D81D75">
            <w:pPr>
              <w:tabs>
                <w:tab w:val="left" w:pos="2790"/>
              </w:tabs>
              <w:spacing w:after="240"/>
              <w:ind w:left="3600" w:hanging="2880"/>
              <w:rPr>
                <w:lang w:val="pt-BR"/>
              </w:rPr>
            </w:pPr>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00293899">
              <w:rPr>
                <w:bCs/>
                <w:i/>
                <w:iCs/>
                <w:vertAlign w:val="subscript"/>
                <w:lang w:val="pt-BR"/>
              </w:rPr>
              <w:t xml:space="preserve"> </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p>
          <w:p w14:paraId="550B3F28" w14:textId="77777777" w:rsidR="00D81D75" w:rsidRPr="00A552C3" w:rsidRDefault="00D81D75" w:rsidP="00D81D75">
            <w:pPr>
              <w:tabs>
                <w:tab w:val="left" w:pos="2340"/>
                <w:tab w:val="left" w:pos="2880"/>
              </w:tabs>
              <w:spacing w:after="240"/>
              <w:ind w:left="987" w:hanging="269"/>
              <w:rPr>
                <w:bCs/>
              </w:rPr>
            </w:pPr>
            <w:r w:rsidRPr="00A552C3">
              <w:rPr>
                <w:bCs/>
              </w:rPr>
              <w:t>Where for Reg-Up:</w:t>
            </w:r>
          </w:p>
          <w:p w14:paraId="2B82C7BC" w14:textId="4A71B93A" w:rsidR="00D81D75" w:rsidRPr="00A552C3" w:rsidRDefault="00D81D75" w:rsidP="00D81D75">
            <w:pPr>
              <w:tabs>
                <w:tab w:val="left" w:pos="2340"/>
                <w:tab w:val="left" w:pos="2880"/>
              </w:tabs>
              <w:spacing w:after="240"/>
              <w:ind w:left="987" w:hanging="269"/>
              <w:rPr>
                <w:bCs/>
                <w:i/>
                <w:vertAlign w:val="subscript"/>
              </w:rPr>
            </w:pPr>
            <w:r w:rsidRPr="00A552C3">
              <w:rPr>
                <w:bCs/>
              </w:rPr>
              <w:t xml:space="preserve">RTRUNET </w:t>
            </w:r>
            <w:r w:rsidRPr="00A552C3">
              <w:rPr>
                <w:bCs/>
                <w:i/>
                <w:iCs/>
                <w:sz w:val="16"/>
                <w:szCs w:val="16"/>
              </w:rPr>
              <w:t xml:space="preserve">q, r </w:t>
            </w:r>
            <w:r w:rsidRPr="00A552C3">
              <w:rPr>
                <w:bCs/>
              </w:rPr>
              <w:t xml:space="preserve"> </w:t>
            </w:r>
            <w:r w:rsidRPr="00A552C3">
              <w:rPr>
                <w:bCs/>
              </w:rPr>
              <w:tab/>
            </w:r>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w:t>
            </w:r>
            <w:r w:rsidR="00083A07">
              <w:rPr>
                <w:bCs/>
              </w:rPr>
              <w:t xml:space="preserve"> </w:t>
            </w:r>
            <w:r w:rsidRPr="00A552C3">
              <w:rPr>
                <w:bCs/>
              </w:rPr>
              <w:t xml:space="preserve">* RTRUREVT </w:t>
            </w:r>
            <w:r w:rsidRPr="00A552C3">
              <w:rPr>
                <w:bCs/>
                <w:i/>
                <w:iCs/>
                <w:sz w:val="16"/>
                <w:szCs w:val="16"/>
              </w:rPr>
              <w:t>q, r, p</w:t>
            </w:r>
            <w:r w:rsidRPr="00A552C3">
              <w:rPr>
                <w:bCs/>
                <w:i/>
                <w:vertAlign w:val="subscript"/>
              </w:rPr>
              <w:t xml:space="preserve"> </w:t>
            </w:r>
          </w:p>
          <w:p w14:paraId="533547D8"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p>
          <w:p w14:paraId="3E120D6C" w14:textId="075718CB"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r w:rsidRPr="00A552C3">
              <w:rPr>
                <w:bCs/>
                <w:position w:val="-22"/>
              </w:rPr>
              <w:object w:dxaOrig="225" w:dyaOrig="450" w14:anchorId="2DC75D06">
                <v:shape id="_x0000_i1255" type="#_x0000_t75" style="width:12pt;height:24pt" o:ole="">
                  <v:imagedata r:id="rId293" o:title=""/>
                </v:shape>
                <o:OLEObject Type="Embed" ProgID="Equation.3" ShapeID="_x0000_i1255" DrawAspect="Content" ObjectID="_1804653739" r:id="rId312"/>
              </w:object>
            </w:r>
            <w:r w:rsidRPr="00A552C3">
              <w:rPr>
                <w:bCs/>
                <w:lang w:val="pt-BR"/>
              </w:rPr>
              <w:t xml:space="preserve">(RTRUOPR </w:t>
            </w:r>
            <w:r w:rsidRPr="00A552C3">
              <w:rPr>
                <w:bCs/>
                <w:i/>
                <w:vertAlign w:val="subscript"/>
                <w:lang w:val="pt-BR"/>
              </w:rPr>
              <w:t>q, r, y</w:t>
            </w:r>
            <w:r w:rsidRPr="00A552C3">
              <w:rPr>
                <w:bCs/>
                <w:lang w:val="pt-BR"/>
              </w:rPr>
              <w:t xml:space="preserve"> * Max (0.001, RTRUAWDS </w:t>
            </w:r>
            <w:r w:rsidRPr="00A552C3">
              <w:rPr>
                <w:bCs/>
                <w:i/>
                <w:vertAlign w:val="subscript"/>
                <w:lang w:val="pt-BR"/>
              </w:rPr>
              <w:t>q, r,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599CDE9" w14:textId="13F22551"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54487E87">
                <v:shape id="_x0000_i1256" type="#_x0000_t75" style="width:12pt;height:24pt" o:ole="">
                  <v:imagedata r:id="rId295" o:title=""/>
                </v:shape>
                <o:OLEObject Type="Embed" ProgID="Equation.3" ShapeID="_x0000_i1256" DrawAspect="Content" ObjectID="_1804653740" r:id="rId313"/>
              </w:object>
            </w:r>
            <w:r w:rsidRPr="00A552C3">
              <w:rPr>
                <w:bCs/>
                <w:lang w:val="es-MX"/>
              </w:rPr>
              <w:t>(</w:t>
            </w:r>
            <w:r w:rsidRPr="00A552C3">
              <w:rPr>
                <w:bCs/>
                <w:lang w:val="pt-BR"/>
              </w:rPr>
              <w:t xml:space="preserve">Max (0.001, </w:t>
            </w:r>
            <w:r w:rsidRPr="00A552C3">
              <w:rPr>
                <w:bCs/>
                <w:lang w:val="es-MX"/>
              </w:rPr>
              <w:t xml:space="preserve">RTRUAWDS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87D5025" w14:textId="77777777" w:rsidR="00D81D75" w:rsidRPr="00A552C3" w:rsidRDefault="00D81D75" w:rsidP="00D81D75">
            <w:pPr>
              <w:tabs>
                <w:tab w:val="left" w:pos="2340"/>
                <w:tab w:val="left" w:pos="2880"/>
              </w:tabs>
              <w:spacing w:after="240"/>
              <w:ind w:left="987" w:hanging="269"/>
              <w:rPr>
                <w:bCs/>
              </w:rPr>
            </w:pPr>
            <w:r w:rsidRPr="00A552C3">
              <w:rPr>
                <w:bCs/>
              </w:rPr>
              <w:t>Where for Reg-Down:</w:t>
            </w:r>
          </w:p>
          <w:p w14:paraId="4A784F84" w14:textId="0C5A840D" w:rsidR="00D81D75" w:rsidRPr="00A552C3" w:rsidRDefault="00D81D75" w:rsidP="00D81D75">
            <w:pPr>
              <w:spacing w:after="240"/>
              <w:ind w:left="2340" w:hanging="1620"/>
              <w:rPr>
                <w:i/>
                <w:vertAlign w:val="subscript"/>
                <w:lang w:val="pt-BR"/>
              </w:rPr>
            </w:pPr>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083A07">
              <w:rPr>
                <w:lang w:val="pt-BR"/>
              </w:rPr>
              <w:t xml:space="preserve"> </w:t>
            </w:r>
            <w:r w:rsidRPr="00A552C3">
              <w:rPr>
                <w:lang w:val="pt-BR"/>
              </w:rPr>
              <w:t xml:space="preserve">* RTRDREVT </w:t>
            </w:r>
            <w:r w:rsidRPr="00A552C3">
              <w:rPr>
                <w:bCs/>
                <w:i/>
                <w:iCs/>
                <w:sz w:val="16"/>
                <w:szCs w:val="16"/>
                <w:lang w:val="pt-BR"/>
              </w:rPr>
              <w:t>q, r, p</w:t>
            </w:r>
          </w:p>
          <w:p w14:paraId="048F5E0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p>
          <w:p w14:paraId="0B165184" w14:textId="797231FE"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7C2AE897">
                <v:shape id="_x0000_i1257" type="#_x0000_t75" style="width:12pt;height:24pt" o:ole="">
                  <v:imagedata r:id="rId293" o:title=""/>
                </v:shape>
                <o:OLEObject Type="Embed" ProgID="Equation.3" ShapeID="_x0000_i1257" DrawAspect="Content" ObjectID="_1804653741" r:id="rId314"/>
              </w:object>
            </w:r>
            <w:r w:rsidRPr="00A552C3">
              <w:rPr>
                <w:bCs/>
                <w:lang w:val="pt-BR"/>
              </w:rPr>
              <w:t xml:space="preserve">(RTRDOPR </w:t>
            </w:r>
            <w:r w:rsidRPr="00A552C3">
              <w:rPr>
                <w:bCs/>
                <w:i/>
                <w:vertAlign w:val="subscript"/>
                <w:lang w:val="pt-BR"/>
              </w:rPr>
              <w:t>q, r, y</w:t>
            </w:r>
            <w:r w:rsidRPr="00A552C3">
              <w:rPr>
                <w:bCs/>
                <w:lang w:val="pt-BR"/>
              </w:rPr>
              <w:t xml:space="preserve"> * Max (0.001, RTRDAWDS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7241DFCF" w14:textId="63C74363"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1529EA1C">
                <v:shape id="_x0000_i1258" type="#_x0000_t75" style="width:12pt;height:24pt" o:ole="">
                  <v:imagedata r:id="rId295" o:title=""/>
                </v:shape>
                <o:OLEObject Type="Embed" ProgID="Equation.3" ShapeID="_x0000_i1258" DrawAspect="Content" ObjectID="_1804653742" r:id="rId315"/>
              </w:object>
            </w:r>
            <w:r w:rsidRPr="00A552C3">
              <w:rPr>
                <w:bCs/>
                <w:lang w:val="es-MX"/>
              </w:rPr>
              <w:t>(</w:t>
            </w:r>
            <w:r w:rsidRPr="00A552C3">
              <w:rPr>
                <w:bCs/>
                <w:lang w:val="pt-BR"/>
              </w:rPr>
              <w:t xml:space="preserve">Max (0.001, </w:t>
            </w:r>
            <w:r w:rsidRPr="00A552C3">
              <w:rPr>
                <w:bCs/>
                <w:lang w:val="es-MX"/>
              </w:rPr>
              <w:t xml:space="preserve">RTRDAWDS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4340481" w14:textId="77777777" w:rsidR="00D81D75" w:rsidRPr="00A552C3" w:rsidRDefault="00D81D75" w:rsidP="00D81D75">
            <w:pPr>
              <w:tabs>
                <w:tab w:val="left" w:pos="2340"/>
                <w:tab w:val="left" w:pos="2880"/>
              </w:tabs>
              <w:spacing w:after="240"/>
              <w:ind w:left="987" w:hanging="269"/>
              <w:rPr>
                <w:bCs/>
              </w:rPr>
            </w:pPr>
            <w:r w:rsidRPr="00A552C3">
              <w:rPr>
                <w:bCs/>
              </w:rPr>
              <w:t>Where for RRS:</w:t>
            </w:r>
          </w:p>
          <w:p w14:paraId="3A9DAFE4" w14:textId="4D2F0114" w:rsidR="00D81D75" w:rsidRPr="00A552C3" w:rsidRDefault="00D81D75" w:rsidP="00D81D75">
            <w:pPr>
              <w:spacing w:after="240"/>
              <w:ind w:left="2340" w:hanging="1620"/>
              <w:rPr>
                <w:bCs/>
                <w:i/>
                <w:iCs/>
                <w:sz w:val="16"/>
                <w:szCs w:val="16"/>
                <w:lang w:val="pt-BR"/>
              </w:rPr>
            </w:pPr>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083A07">
              <w:rPr>
                <w:lang w:val="pt-BR"/>
              </w:rPr>
              <w:t xml:space="preserve"> </w:t>
            </w:r>
            <w:r w:rsidRPr="00A552C3">
              <w:rPr>
                <w:lang w:val="pt-BR"/>
              </w:rPr>
              <w:t xml:space="preserve">* RTRRREVT </w:t>
            </w:r>
            <w:r w:rsidRPr="00A552C3">
              <w:rPr>
                <w:bCs/>
                <w:i/>
                <w:iCs/>
                <w:sz w:val="16"/>
                <w:szCs w:val="16"/>
                <w:lang w:val="pt-BR"/>
              </w:rPr>
              <w:t>q, r, p</w:t>
            </w:r>
          </w:p>
          <w:p w14:paraId="4E718E4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p>
          <w:p w14:paraId="756CFCF5" w14:textId="2AF4C611" w:rsidR="00D81D75" w:rsidRPr="00A552C3" w:rsidRDefault="00D81D75" w:rsidP="00D81D75">
            <w:pPr>
              <w:tabs>
                <w:tab w:val="left" w:pos="2340"/>
                <w:tab w:val="left" w:pos="2880"/>
              </w:tabs>
              <w:spacing w:after="240"/>
              <w:ind w:left="987" w:hanging="269"/>
              <w:rPr>
                <w:bCs/>
                <w:lang w:val="es-MX"/>
              </w:rPr>
            </w:pPr>
            <w:r w:rsidRPr="00A552C3">
              <w:rPr>
                <w:bCs/>
                <w:lang w:val="pt-BR"/>
              </w:rPr>
              <w:lastRenderedPageBreak/>
              <w:t xml:space="preserve">RTRRWAPR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0406F464">
                <v:shape id="_x0000_i1259" type="#_x0000_t75" style="width:12pt;height:24pt" o:ole="">
                  <v:imagedata r:id="rId293" o:title=""/>
                </v:shape>
                <o:OLEObject Type="Embed" ProgID="Equation.3" ShapeID="_x0000_i1259" DrawAspect="Content" ObjectID="_1804653743" r:id="rId316"/>
              </w:object>
            </w:r>
            <w:r w:rsidRPr="00A552C3">
              <w:rPr>
                <w:bCs/>
                <w:lang w:val="pt-BR"/>
              </w:rPr>
              <w:t xml:space="preserve">(RTRROPR </w:t>
            </w:r>
            <w:r w:rsidRPr="00A552C3">
              <w:rPr>
                <w:bCs/>
                <w:i/>
                <w:vertAlign w:val="subscript"/>
                <w:lang w:val="pt-BR"/>
              </w:rPr>
              <w:t>q, r, y</w:t>
            </w:r>
            <w:r w:rsidRPr="00A552C3">
              <w:rPr>
                <w:bCs/>
                <w:lang w:val="pt-BR"/>
              </w:rPr>
              <w:t xml:space="preserve"> * Max (0.001, RTRRAWDS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00DB5793">
              <w:rPr>
                <w:b/>
                <w:bCs/>
                <w:sz w:val="32"/>
                <w:szCs w:val="32"/>
                <w:lang w:val="pt-BR"/>
              </w:rPr>
              <w:t xml:space="preserve"> </w:t>
            </w:r>
            <w:r w:rsidRPr="00A552C3">
              <w:rPr>
                <w:bCs/>
                <w:position w:val="-22"/>
              </w:rPr>
              <w:object w:dxaOrig="225" w:dyaOrig="450" w14:anchorId="19DA46FE">
                <v:shape id="_x0000_i1260" type="#_x0000_t75" style="width:12pt;height:24pt" o:ole="">
                  <v:imagedata r:id="rId295" o:title=""/>
                </v:shape>
                <o:OLEObject Type="Embed" ProgID="Equation.3" ShapeID="_x0000_i1260" DrawAspect="Content" ObjectID="_1804653744" r:id="rId317"/>
              </w:object>
            </w:r>
            <w:r w:rsidRPr="00A552C3">
              <w:rPr>
                <w:bCs/>
                <w:lang w:val="es-MX"/>
              </w:rPr>
              <w:t>(</w:t>
            </w:r>
            <w:r w:rsidRPr="00A552C3">
              <w:rPr>
                <w:bCs/>
                <w:lang w:val="pt-BR"/>
              </w:rPr>
              <w:t xml:space="preserve">Max (0.001, </w:t>
            </w:r>
            <w:r w:rsidRPr="00A552C3">
              <w:rPr>
                <w:bCs/>
                <w:lang w:val="es-MX"/>
              </w:rPr>
              <w:t xml:space="preserve">RTRRAWDS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71312CCD" w14:textId="77777777" w:rsidR="00D81D75" w:rsidRPr="00A552C3" w:rsidRDefault="00D81D75" w:rsidP="00D81D75">
            <w:pPr>
              <w:tabs>
                <w:tab w:val="left" w:pos="2340"/>
                <w:tab w:val="left" w:pos="2880"/>
              </w:tabs>
              <w:spacing w:after="240"/>
              <w:ind w:left="987" w:hanging="269"/>
              <w:rPr>
                <w:bCs/>
              </w:rPr>
            </w:pPr>
            <w:r w:rsidRPr="00A552C3">
              <w:rPr>
                <w:bCs/>
              </w:rPr>
              <w:t>Where for Non-Spin:</w:t>
            </w:r>
          </w:p>
          <w:p w14:paraId="0690A099" w14:textId="0D9AD90C" w:rsidR="00D81D75" w:rsidRPr="00A552C3" w:rsidRDefault="00D81D75" w:rsidP="00D81D75">
            <w:pPr>
              <w:spacing w:after="240"/>
              <w:ind w:left="2340" w:hanging="1620"/>
              <w:rPr>
                <w:bCs/>
                <w:i/>
                <w:iCs/>
                <w:sz w:val="16"/>
                <w:szCs w:val="16"/>
                <w:lang w:val="pt-BR"/>
              </w:rPr>
            </w:pPr>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581B13">
              <w:rPr>
                <w:lang w:val="pt-BR"/>
              </w:rPr>
              <w:t xml:space="preserve"> </w:t>
            </w:r>
            <w:r w:rsidRPr="00A552C3">
              <w:rPr>
                <w:lang w:val="pt-BR"/>
              </w:rPr>
              <w:t xml:space="preserve">* RTNSREVT </w:t>
            </w:r>
            <w:r w:rsidRPr="00A552C3">
              <w:rPr>
                <w:bCs/>
                <w:i/>
                <w:iCs/>
                <w:sz w:val="16"/>
                <w:szCs w:val="16"/>
                <w:lang w:val="pt-BR"/>
              </w:rPr>
              <w:t>q, r, p</w:t>
            </w:r>
          </w:p>
          <w:p w14:paraId="756DC54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p>
          <w:p w14:paraId="0F3526E2" w14:textId="71AC2165"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5E24D9F">
                <v:shape id="_x0000_i1261" type="#_x0000_t75" style="width:12pt;height:24pt" o:ole="">
                  <v:imagedata r:id="rId293" o:title=""/>
                </v:shape>
                <o:OLEObject Type="Embed" ProgID="Equation.3" ShapeID="_x0000_i1261" DrawAspect="Content" ObjectID="_1804653745" r:id="rId318"/>
              </w:object>
            </w:r>
            <w:r w:rsidRPr="00A552C3">
              <w:rPr>
                <w:bCs/>
                <w:lang w:val="pt-BR"/>
              </w:rPr>
              <w:t xml:space="preserve">(RTNSOPR </w:t>
            </w:r>
            <w:r w:rsidRPr="00A552C3">
              <w:rPr>
                <w:bCs/>
                <w:i/>
                <w:vertAlign w:val="subscript"/>
                <w:lang w:val="pt-BR"/>
              </w:rPr>
              <w:t>q, r, y</w:t>
            </w:r>
            <w:r w:rsidRPr="00A552C3">
              <w:rPr>
                <w:bCs/>
                <w:lang w:val="pt-BR"/>
              </w:rPr>
              <w:t xml:space="preserve"> * Max (0.001, RTNSAWDS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35C8B450">
                <v:shape id="_x0000_i1262" type="#_x0000_t75" style="width:12pt;height:24pt" o:ole="">
                  <v:imagedata r:id="rId295" o:title=""/>
                </v:shape>
                <o:OLEObject Type="Embed" ProgID="Equation.3" ShapeID="_x0000_i1262" DrawAspect="Content" ObjectID="_1804653746" r:id="rId319"/>
              </w:object>
            </w:r>
            <w:r w:rsidRPr="00A552C3">
              <w:rPr>
                <w:bCs/>
                <w:lang w:val="es-MX"/>
              </w:rPr>
              <w:t>(</w:t>
            </w:r>
            <w:r w:rsidRPr="00A552C3">
              <w:rPr>
                <w:bCs/>
                <w:lang w:val="pt-BR"/>
              </w:rPr>
              <w:t xml:space="preserve">Max (0.001, </w:t>
            </w:r>
            <w:r w:rsidRPr="00A552C3">
              <w:rPr>
                <w:bCs/>
                <w:lang w:val="es-MX"/>
              </w:rPr>
              <w:t xml:space="preserve">RTNSAWDS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5215EAF" w14:textId="77777777" w:rsidR="00D81D75" w:rsidRPr="00A552C3" w:rsidRDefault="00D81D75" w:rsidP="00D81D75">
            <w:pPr>
              <w:tabs>
                <w:tab w:val="left" w:pos="2340"/>
                <w:tab w:val="left" w:pos="2880"/>
              </w:tabs>
              <w:spacing w:after="240"/>
              <w:ind w:left="987" w:hanging="269"/>
              <w:rPr>
                <w:bCs/>
              </w:rPr>
            </w:pPr>
            <w:r w:rsidRPr="00A552C3">
              <w:rPr>
                <w:bCs/>
              </w:rPr>
              <w:t>Where for ERCOT Contingency Reserve (ECRS):</w:t>
            </w:r>
          </w:p>
          <w:p w14:paraId="6C3A03FD" w14:textId="48B1171D" w:rsidR="00D81D75" w:rsidRPr="00A552C3" w:rsidRDefault="00D81D75" w:rsidP="00D81D75">
            <w:pPr>
              <w:spacing w:after="240"/>
              <w:ind w:left="2340" w:hanging="1620"/>
              <w:rPr>
                <w:bCs/>
                <w:i/>
                <w:iCs/>
                <w:sz w:val="16"/>
                <w:szCs w:val="16"/>
                <w:lang w:val="pt-BR"/>
              </w:rPr>
            </w:pPr>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581B13">
              <w:rPr>
                <w:lang w:val="pt-BR"/>
              </w:rPr>
              <w:t xml:space="preserve"> </w:t>
            </w:r>
            <w:r w:rsidRPr="00A552C3">
              <w:rPr>
                <w:lang w:val="pt-BR"/>
              </w:rPr>
              <w:t xml:space="preserve">* RTECRREVT </w:t>
            </w:r>
            <w:r w:rsidRPr="00A552C3">
              <w:rPr>
                <w:bCs/>
                <w:i/>
                <w:iCs/>
                <w:sz w:val="16"/>
                <w:szCs w:val="16"/>
                <w:lang w:val="pt-BR"/>
              </w:rPr>
              <w:t>q, r</w:t>
            </w:r>
            <w:r w:rsidR="00BD19E2">
              <w:rPr>
                <w:bCs/>
                <w:i/>
                <w:iCs/>
                <w:sz w:val="16"/>
                <w:szCs w:val="16"/>
                <w:lang w:val="pt-BR"/>
              </w:rPr>
              <w:t>, p</w:t>
            </w:r>
          </w:p>
          <w:p w14:paraId="08B7E5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p>
          <w:p w14:paraId="11E7F723" w14:textId="1FCFF1AC"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RTECRWAPR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FBA3BF3">
                <v:shape id="_x0000_i1263" type="#_x0000_t75" style="width:12pt;height:24pt" o:ole="">
                  <v:imagedata r:id="rId293" o:title=""/>
                </v:shape>
                <o:OLEObject Type="Embed" ProgID="Equation.3" ShapeID="_x0000_i1263" DrawAspect="Content" ObjectID="_1804653747" r:id="rId320"/>
              </w:object>
            </w:r>
            <w:r w:rsidRPr="00A552C3">
              <w:rPr>
                <w:bCs/>
                <w:lang w:val="pt-BR"/>
              </w:rPr>
              <w:t xml:space="preserve">(RTECROPR </w:t>
            </w:r>
            <w:r w:rsidRPr="00A552C3">
              <w:rPr>
                <w:bCs/>
                <w:i/>
                <w:vertAlign w:val="subscript"/>
                <w:lang w:val="pt-BR"/>
              </w:rPr>
              <w:t>q, r, y</w:t>
            </w:r>
            <w:r w:rsidRPr="00A552C3">
              <w:rPr>
                <w:bCs/>
                <w:lang w:val="pt-BR"/>
              </w:rPr>
              <w:t xml:space="preserve"> * Max (0.001, RTECRAWDS </w:t>
            </w:r>
            <w:r w:rsidRPr="00A552C3">
              <w:rPr>
                <w:bCs/>
                <w:i/>
                <w:vertAlign w:val="subscript"/>
                <w:lang w:val="pt-BR"/>
              </w:rPr>
              <w:t>q, r,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r w:rsidRPr="00A552C3">
              <w:rPr>
                <w:bCs/>
                <w:position w:val="-22"/>
              </w:rPr>
              <w:object w:dxaOrig="225" w:dyaOrig="450" w14:anchorId="569ABFC7">
                <v:shape id="_x0000_i1264" type="#_x0000_t75" style="width:12pt;height:24pt" o:ole="">
                  <v:imagedata r:id="rId295" o:title=""/>
                </v:shape>
                <o:OLEObject Type="Embed" ProgID="Equation.3" ShapeID="_x0000_i1264" DrawAspect="Content" ObjectID="_1804653748" r:id="rId321"/>
              </w:object>
            </w:r>
            <w:r w:rsidRPr="00A552C3">
              <w:rPr>
                <w:bCs/>
                <w:lang w:val="es-MX"/>
              </w:rPr>
              <w:t>(</w:t>
            </w:r>
            <w:r w:rsidRPr="00A552C3">
              <w:rPr>
                <w:bCs/>
                <w:lang w:val="pt-BR"/>
              </w:rPr>
              <w:t xml:space="preserve">Max (0.001, </w:t>
            </w:r>
            <w:r w:rsidRPr="00A552C3">
              <w:rPr>
                <w:bCs/>
                <w:lang w:val="es-MX"/>
              </w:rPr>
              <w:t xml:space="preserve">RTECRAWDS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B00A9F9"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1B2C3DD6" w14:textId="77777777" w:rsidTr="00C952ED">
              <w:trPr>
                <w:cantSplit/>
                <w:tblHeader/>
              </w:trPr>
              <w:tc>
                <w:tcPr>
                  <w:tcW w:w="934" w:type="pct"/>
                </w:tcPr>
                <w:p w14:paraId="33856809" w14:textId="77777777" w:rsidR="00D81D75" w:rsidRPr="00A552C3" w:rsidRDefault="00D81D75" w:rsidP="00D81D75">
                  <w:pPr>
                    <w:spacing w:after="240"/>
                    <w:rPr>
                      <w:b/>
                      <w:iCs/>
                      <w:sz w:val="20"/>
                    </w:rPr>
                  </w:pPr>
                  <w:r w:rsidRPr="00A552C3">
                    <w:rPr>
                      <w:b/>
                      <w:iCs/>
                      <w:sz w:val="20"/>
                    </w:rPr>
                    <w:t>Variable</w:t>
                  </w:r>
                </w:p>
              </w:tc>
              <w:tc>
                <w:tcPr>
                  <w:tcW w:w="481" w:type="pct"/>
                </w:tcPr>
                <w:p w14:paraId="1FF4EC0D" w14:textId="77777777" w:rsidR="00D81D75" w:rsidRPr="00A552C3" w:rsidRDefault="00D81D75" w:rsidP="00D81D75">
                  <w:pPr>
                    <w:spacing w:after="240"/>
                    <w:rPr>
                      <w:b/>
                      <w:iCs/>
                      <w:sz w:val="20"/>
                    </w:rPr>
                  </w:pPr>
                  <w:r w:rsidRPr="00A552C3">
                    <w:rPr>
                      <w:b/>
                      <w:iCs/>
                      <w:sz w:val="20"/>
                    </w:rPr>
                    <w:t>Unit</w:t>
                  </w:r>
                </w:p>
              </w:tc>
              <w:tc>
                <w:tcPr>
                  <w:tcW w:w="3585" w:type="pct"/>
                </w:tcPr>
                <w:p w14:paraId="12106CD7" w14:textId="77777777" w:rsidR="00D81D75" w:rsidRPr="00A552C3" w:rsidRDefault="00D81D75" w:rsidP="00D81D75">
                  <w:pPr>
                    <w:spacing w:after="240"/>
                    <w:rPr>
                      <w:b/>
                      <w:iCs/>
                      <w:sz w:val="20"/>
                    </w:rPr>
                  </w:pPr>
                  <w:r w:rsidRPr="00A552C3">
                    <w:rPr>
                      <w:b/>
                      <w:iCs/>
                      <w:sz w:val="20"/>
                    </w:rPr>
                    <w:t>Definition</w:t>
                  </w:r>
                </w:p>
              </w:tc>
            </w:tr>
            <w:tr w:rsidR="00D81D75" w:rsidRPr="00A552C3" w14:paraId="79076EEE" w14:textId="77777777" w:rsidTr="00C952ED">
              <w:trPr>
                <w:cantSplit/>
              </w:trPr>
              <w:tc>
                <w:tcPr>
                  <w:tcW w:w="934" w:type="pct"/>
                </w:tcPr>
                <w:p w14:paraId="0B4D0A65"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5947B64" w14:textId="77777777" w:rsidR="00D81D75" w:rsidRPr="00A552C3" w:rsidRDefault="00D81D75" w:rsidP="00D81D75">
                  <w:pPr>
                    <w:spacing w:after="60"/>
                    <w:rPr>
                      <w:iCs/>
                      <w:sz w:val="20"/>
                    </w:rPr>
                  </w:pPr>
                  <w:r w:rsidRPr="00A552C3">
                    <w:rPr>
                      <w:iCs/>
                      <w:sz w:val="20"/>
                    </w:rPr>
                    <w:t>$</w:t>
                  </w:r>
                </w:p>
              </w:tc>
              <w:tc>
                <w:tcPr>
                  <w:tcW w:w="3585" w:type="pct"/>
                </w:tcPr>
                <w:p w14:paraId="4C4E75BB"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60F64FA" w14:textId="77777777" w:rsidTr="00C952ED">
              <w:trPr>
                <w:cantSplit/>
              </w:trPr>
              <w:tc>
                <w:tcPr>
                  <w:tcW w:w="934" w:type="pct"/>
                </w:tcPr>
                <w:p w14:paraId="2D37A529" w14:textId="77777777" w:rsidR="00D81D75" w:rsidRPr="00A552C3" w:rsidRDefault="00D81D75" w:rsidP="00D81D75">
                  <w:pPr>
                    <w:spacing w:after="60"/>
                    <w:rPr>
                      <w:iCs/>
                      <w:sz w:val="20"/>
                    </w:rPr>
                  </w:pPr>
                  <w:r w:rsidRPr="00A552C3">
                    <w:rPr>
                      <w:iCs/>
                      <w:sz w:val="20"/>
                      <w:lang w:val="pt-BR"/>
                    </w:rPr>
                    <w:t xml:space="preserve">RTENET </w:t>
                  </w:r>
                  <w:r w:rsidRPr="00A552C3">
                    <w:rPr>
                      <w:i/>
                      <w:iCs/>
                      <w:sz w:val="20"/>
                      <w:vertAlign w:val="subscript"/>
                      <w:lang w:val="pt-BR"/>
                    </w:rPr>
                    <w:t>q, r, p</w:t>
                  </w:r>
                </w:p>
              </w:tc>
              <w:tc>
                <w:tcPr>
                  <w:tcW w:w="481" w:type="pct"/>
                </w:tcPr>
                <w:p w14:paraId="4AC7E3BF" w14:textId="77777777" w:rsidR="00D81D75" w:rsidRPr="00A552C3" w:rsidRDefault="00D81D75" w:rsidP="00D81D75">
                  <w:pPr>
                    <w:spacing w:after="60"/>
                    <w:rPr>
                      <w:iCs/>
                      <w:sz w:val="20"/>
                    </w:rPr>
                  </w:pPr>
                  <w:r w:rsidRPr="00A552C3">
                    <w:rPr>
                      <w:iCs/>
                      <w:sz w:val="20"/>
                    </w:rPr>
                    <w:t>$</w:t>
                  </w:r>
                </w:p>
              </w:tc>
              <w:tc>
                <w:tcPr>
                  <w:tcW w:w="3585" w:type="pct"/>
                </w:tcPr>
                <w:p w14:paraId="7178E5A8" w14:textId="1223C483" w:rsidR="00D81D75" w:rsidRPr="00A552C3" w:rsidRDefault="00D81D75" w:rsidP="00D81D75">
                  <w:pPr>
                    <w:spacing w:after="60"/>
                    <w:rPr>
                      <w:iCs/>
                      <w:sz w:val="20"/>
                    </w:rPr>
                  </w:pPr>
                  <w:r w:rsidRPr="00A552C3">
                    <w:rPr>
                      <w:i/>
                      <w:iCs/>
                      <w:sz w:val="20"/>
                    </w:rPr>
                    <w:t>Real-Time Energy Net Revenue</w:t>
                  </w:r>
                  <w:r w:rsidR="00F64A50" w:rsidRPr="00A552C3">
                    <w:rPr>
                      <w:iCs/>
                      <w:sz w:val="20"/>
                    </w:rPr>
                    <w:t>—</w:t>
                  </w:r>
                  <w:r w:rsidRPr="00A552C3">
                    <w:rPr>
                      <w:iCs/>
                      <w:sz w:val="20"/>
                    </w:rPr>
                    <w:t xml:space="preserve">The net difference between the Real-Time Energy Revenue and the Real-Time Energy Revenue Target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F22692B" w14:textId="77777777" w:rsidTr="00C952ED">
              <w:trPr>
                <w:cantSplit/>
              </w:trPr>
              <w:tc>
                <w:tcPr>
                  <w:tcW w:w="934" w:type="pct"/>
                </w:tcPr>
                <w:p w14:paraId="57A1A9E7" w14:textId="0130FEA8" w:rsidR="00D81D75" w:rsidRPr="00A552C3" w:rsidRDefault="00D81D75" w:rsidP="00D81D75">
                  <w:pPr>
                    <w:spacing w:after="60"/>
                    <w:rPr>
                      <w:iCs/>
                      <w:sz w:val="20"/>
                      <w:lang w:val="pt-BR"/>
                    </w:rPr>
                  </w:pPr>
                  <w:r w:rsidRPr="00A552C3">
                    <w:rPr>
                      <w:iCs/>
                      <w:sz w:val="20"/>
                    </w:rPr>
                    <w:t xml:space="preserve">RTASNET </w:t>
                  </w:r>
                  <w:r w:rsidRPr="00A552C3">
                    <w:rPr>
                      <w:bCs/>
                      <w:i/>
                      <w:sz w:val="20"/>
                      <w:vertAlign w:val="subscript"/>
                    </w:rPr>
                    <w:t>q, r</w:t>
                  </w:r>
                </w:p>
              </w:tc>
              <w:tc>
                <w:tcPr>
                  <w:tcW w:w="481" w:type="pct"/>
                </w:tcPr>
                <w:p w14:paraId="6FFFF003" w14:textId="77777777" w:rsidR="00D81D75" w:rsidRPr="00A552C3" w:rsidRDefault="00D81D75" w:rsidP="00D81D75">
                  <w:pPr>
                    <w:spacing w:after="60"/>
                    <w:rPr>
                      <w:iCs/>
                      <w:sz w:val="20"/>
                    </w:rPr>
                  </w:pPr>
                  <w:r w:rsidRPr="00A552C3">
                    <w:rPr>
                      <w:iCs/>
                      <w:sz w:val="20"/>
                    </w:rPr>
                    <w:t>$</w:t>
                  </w:r>
                </w:p>
              </w:tc>
              <w:tc>
                <w:tcPr>
                  <w:tcW w:w="3585" w:type="pct"/>
                </w:tcPr>
                <w:p w14:paraId="48A78EE9" w14:textId="1F3E3262" w:rsidR="00D81D75" w:rsidRPr="00A552C3" w:rsidRDefault="00D81D75" w:rsidP="00D81D75">
                  <w:pPr>
                    <w:spacing w:after="60"/>
                    <w:rPr>
                      <w:i/>
                      <w:iCs/>
                      <w:sz w:val="20"/>
                    </w:rPr>
                  </w:pPr>
                  <w:r w:rsidRPr="00A552C3">
                    <w:rPr>
                      <w:i/>
                      <w:iCs/>
                      <w:sz w:val="20"/>
                    </w:rPr>
                    <w:t>Real-Time Ancillary Service Net Revenue</w:t>
                  </w:r>
                  <w:r w:rsidR="00F64A50" w:rsidRPr="00A552C3">
                    <w:rPr>
                      <w:iCs/>
                      <w:sz w:val="20"/>
                    </w:rPr>
                    <w:t>—</w:t>
                  </w:r>
                  <w:r w:rsidRPr="00A552C3">
                    <w:rPr>
                      <w:iCs/>
                      <w:sz w:val="20"/>
                    </w:rPr>
                    <w:t xml:space="preserve">The sum of the Ancillary Service net revenues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for the 15-minute Settlement Interval. </w:t>
                  </w:r>
                  <w:r w:rsidR="0068465A">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E6CF641" w14:textId="77777777" w:rsidTr="00C952ED">
              <w:trPr>
                <w:cantSplit/>
              </w:trPr>
              <w:tc>
                <w:tcPr>
                  <w:tcW w:w="934" w:type="pct"/>
                </w:tcPr>
                <w:p w14:paraId="46297F5F" w14:textId="77777777" w:rsidR="00D81D75" w:rsidRPr="00A552C3" w:rsidRDefault="00D81D75" w:rsidP="00D81D75">
                  <w:pPr>
                    <w:spacing w:after="60"/>
                    <w:rPr>
                      <w:bCs/>
                      <w:sz w:val="20"/>
                    </w:rPr>
                  </w:pPr>
                  <w:r w:rsidRPr="00A552C3">
                    <w:rPr>
                      <w:iCs/>
                      <w:sz w:val="20"/>
                    </w:rPr>
                    <w:t xml:space="preserve">RTEREV </w:t>
                  </w:r>
                  <w:r w:rsidRPr="00A552C3">
                    <w:rPr>
                      <w:i/>
                      <w:iCs/>
                      <w:sz w:val="20"/>
                      <w:vertAlign w:val="subscript"/>
                    </w:rPr>
                    <w:t>q, r, p</w:t>
                  </w:r>
                </w:p>
              </w:tc>
              <w:tc>
                <w:tcPr>
                  <w:tcW w:w="481" w:type="pct"/>
                </w:tcPr>
                <w:p w14:paraId="410836CE" w14:textId="77777777" w:rsidR="00D81D75" w:rsidRPr="00A552C3" w:rsidRDefault="00D81D75" w:rsidP="00D81D75">
                  <w:pPr>
                    <w:spacing w:after="60"/>
                    <w:rPr>
                      <w:iCs/>
                      <w:sz w:val="20"/>
                    </w:rPr>
                  </w:pPr>
                  <w:r w:rsidRPr="00A552C3">
                    <w:rPr>
                      <w:iCs/>
                      <w:sz w:val="20"/>
                    </w:rPr>
                    <w:t>$</w:t>
                  </w:r>
                </w:p>
              </w:tc>
              <w:tc>
                <w:tcPr>
                  <w:tcW w:w="3585" w:type="pct"/>
                </w:tcPr>
                <w:p w14:paraId="732B47C3" w14:textId="18E3FED9" w:rsidR="00D81D75" w:rsidRPr="00A552C3" w:rsidRDefault="00D81D75" w:rsidP="00D81D75">
                  <w:pPr>
                    <w:spacing w:after="60"/>
                    <w:rPr>
                      <w:i/>
                      <w:iCs/>
                      <w:sz w:val="20"/>
                    </w:rPr>
                  </w:pPr>
                  <w:r w:rsidRPr="00A552C3">
                    <w:rPr>
                      <w:i/>
                      <w:iCs/>
                      <w:sz w:val="20"/>
                    </w:rPr>
                    <w:t>Real-Time Energy Revenue</w:t>
                  </w:r>
                  <w:r w:rsidRPr="00A552C3">
                    <w:rPr>
                      <w:iCs/>
                      <w:sz w:val="20"/>
                    </w:rPr>
                    <w:t xml:space="preserve">—The calculated Real-Time energy revenue at the RTSPP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r</w:t>
                  </w:r>
                  <w:r w:rsidRPr="00A552C3">
                    <w:rPr>
                      <w:iCs/>
                      <w:sz w:val="20"/>
                    </w:rPr>
                    <w:t xml:space="preserve"> at Resource node </w:t>
                  </w:r>
                  <w:r w:rsidRPr="00A552C3">
                    <w:rPr>
                      <w:i/>
                      <w:iCs/>
                      <w:sz w:val="20"/>
                    </w:rPr>
                    <w:t xml:space="preserve">p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2868D0F" w14:textId="77777777" w:rsidTr="00C952ED">
              <w:trPr>
                <w:cantSplit/>
              </w:trPr>
              <w:tc>
                <w:tcPr>
                  <w:tcW w:w="934" w:type="pct"/>
                </w:tcPr>
                <w:p w14:paraId="1530038B" w14:textId="77777777" w:rsidR="00D81D75" w:rsidRPr="00A552C3" w:rsidRDefault="00D81D75" w:rsidP="00D81D75">
                  <w:pPr>
                    <w:spacing w:after="60"/>
                    <w:rPr>
                      <w:iCs/>
                      <w:sz w:val="20"/>
                    </w:rPr>
                  </w:pPr>
                  <w:r w:rsidRPr="00A552C3">
                    <w:rPr>
                      <w:iCs/>
                      <w:sz w:val="20"/>
                    </w:rPr>
                    <w:lastRenderedPageBreak/>
                    <w:t xml:space="preserve">EMREGEN </w:t>
                  </w:r>
                  <w:r w:rsidRPr="00A552C3">
                    <w:rPr>
                      <w:i/>
                      <w:iCs/>
                      <w:sz w:val="20"/>
                      <w:vertAlign w:val="subscript"/>
                    </w:rPr>
                    <w:t>q, r, p</w:t>
                  </w:r>
                </w:p>
              </w:tc>
              <w:tc>
                <w:tcPr>
                  <w:tcW w:w="481" w:type="pct"/>
                </w:tcPr>
                <w:p w14:paraId="6E049C7F" w14:textId="77777777" w:rsidR="00D81D75" w:rsidRPr="00A552C3" w:rsidRDefault="00D81D75" w:rsidP="00D81D75">
                  <w:pPr>
                    <w:spacing w:after="60"/>
                    <w:rPr>
                      <w:iCs/>
                      <w:sz w:val="20"/>
                    </w:rPr>
                  </w:pPr>
                  <w:r w:rsidRPr="00A552C3">
                    <w:rPr>
                      <w:iCs/>
                      <w:sz w:val="20"/>
                    </w:rPr>
                    <w:t>MWh</w:t>
                  </w:r>
                </w:p>
              </w:tc>
              <w:tc>
                <w:tcPr>
                  <w:tcW w:w="3585" w:type="pct"/>
                </w:tcPr>
                <w:p w14:paraId="41F4AC6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7C1F0D5" w14:textId="77777777" w:rsidTr="00C952ED">
              <w:trPr>
                <w:cantSplit/>
              </w:trPr>
              <w:tc>
                <w:tcPr>
                  <w:tcW w:w="934" w:type="pct"/>
                </w:tcPr>
                <w:p w14:paraId="5EDE67A4"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153AEDB3" w14:textId="77777777" w:rsidR="00D81D75" w:rsidRPr="00A552C3" w:rsidRDefault="00D81D75" w:rsidP="00D81D75">
                  <w:pPr>
                    <w:spacing w:after="60"/>
                    <w:rPr>
                      <w:iCs/>
                      <w:sz w:val="20"/>
                    </w:rPr>
                  </w:pPr>
                  <w:r w:rsidRPr="00A552C3">
                    <w:rPr>
                      <w:iCs/>
                      <w:sz w:val="20"/>
                    </w:rPr>
                    <w:t>MWh</w:t>
                  </w:r>
                </w:p>
              </w:tc>
              <w:tc>
                <w:tcPr>
                  <w:tcW w:w="3585" w:type="pct"/>
                </w:tcPr>
                <w:p w14:paraId="10BDADD1" w14:textId="1006DA5F"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4D05468F" w14:textId="77777777" w:rsidTr="00C952ED">
              <w:trPr>
                <w:cantSplit/>
              </w:trPr>
              <w:tc>
                <w:tcPr>
                  <w:tcW w:w="934" w:type="pct"/>
                </w:tcPr>
                <w:p w14:paraId="46410747" w14:textId="77777777" w:rsidR="00D81D75" w:rsidRPr="00A552C3" w:rsidRDefault="00D81D75" w:rsidP="00D81D75">
                  <w:pPr>
                    <w:spacing w:after="60"/>
                    <w:rPr>
                      <w:bCs/>
                      <w:sz w:val="20"/>
                    </w:rPr>
                  </w:pPr>
                  <w:r w:rsidRPr="00A552C3">
                    <w:rPr>
                      <w:iCs/>
                      <w:sz w:val="20"/>
                    </w:rPr>
                    <w:t xml:space="preserve">RTEREVT </w:t>
                  </w:r>
                  <w:r w:rsidRPr="00A552C3">
                    <w:rPr>
                      <w:bCs/>
                      <w:i/>
                      <w:sz w:val="20"/>
                      <w:szCs w:val="16"/>
                      <w:vertAlign w:val="subscript"/>
                    </w:rPr>
                    <w:t>q, r, p</w:t>
                  </w:r>
                </w:p>
              </w:tc>
              <w:tc>
                <w:tcPr>
                  <w:tcW w:w="481" w:type="pct"/>
                </w:tcPr>
                <w:p w14:paraId="47C0F7D9" w14:textId="77777777" w:rsidR="00D81D75" w:rsidRPr="00A552C3" w:rsidRDefault="00D81D75" w:rsidP="00D81D75">
                  <w:pPr>
                    <w:spacing w:after="60"/>
                    <w:rPr>
                      <w:iCs/>
                      <w:sz w:val="20"/>
                    </w:rPr>
                  </w:pPr>
                  <w:r w:rsidRPr="00A552C3">
                    <w:rPr>
                      <w:iCs/>
                      <w:sz w:val="20"/>
                    </w:rPr>
                    <w:t>$</w:t>
                  </w:r>
                </w:p>
              </w:tc>
              <w:tc>
                <w:tcPr>
                  <w:tcW w:w="3585" w:type="pct"/>
                </w:tcPr>
                <w:p w14:paraId="50F11D7E" w14:textId="191C39AD" w:rsidR="00D81D75" w:rsidRPr="00A552C3" w:rsidRDefault="00D81D75" w:rsidP="00D81D75">
                  <w:pPr>
                    <w:spacing w:after="60"/>
                    <w:rPr>
                      <w:iCs/>
                      <w:sz w:val="20"/>
                    </w:rPr>
                  </w:pPr>
                  <w:r w:rsidRPr="00A552C3">
                    <w:rPr>
                      <w:i/>
                      <w:iCs/>
                      <w:sz w:val="20"/>
                    </w:rPr>
                    <w:t>Real-Time Energy Revenue Target</w:t>
                  </w:r>
                  <w:r w:rsidR="002D6795" w:rsidRPr="00A552C3">
                    <w:rPr>
                      <w:iCs/>
                      <w:sz w:val="20"/>
                    </w:rPr>
                    <w:t>—</w:t>
                  </w:r>
                  <w:r w:rsidRPr="00A552C3">
                    <w:rPr>
                      <w:iCs/>
                      <w:sz w:val="20"/>
                    </w:rPr>
                    <w:t xml:space="preserve">The energy revenue target at the EBPWAPRGEN and EBPWAPRLOAD of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6B25D77" w14:textId="77777777" w:rsidTr="00C952ED">
              <w:trPr>
                <w:cantSplit/>
              </w:trPr>
              <w:tc>
                <w:tcPr>
                  <w:tcW w:w="934" w:type="pct"/>
                </w:tcPr>
                <w:p w14:paraId="5E70C958"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27E9164D" w14:textId="77777777" w:rsidR="00D81D75" w:rsidRPr="00A552C3" w:rsidRDefault="00D81D75" w:rsidP="00D81D75">
                  <w:pPr>
                    <w:spacing w:after="60"/>
                    <w:rPr>
                      <w:iCs/>
                      <w:sz w:val="20"/>
                    </w:rPr>
                  </w:pPr>
                  <w:r w:rsidRPr="00A552C3">
                    <w:rPr>
                      <w:iCs/>
                      <w:sz w:val="20"/>
                    </w:rPr>
                    <w:t>$/MWh</w:t>
                  </w:r>
                </w:p>
              </w:tc>
              <w:tc>
                <w:tcPr>
                  <w:tcW w:w="3585" w:type="pct"/>
                </w:tcPr>
                <w:p w14:paraId="34095FF1"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743B9E8" w14:textId="77777777" w:rsidTr="00C952ED">
              <w:trPr>
                <w:cantSplit/>
              </w:trPr>
              <w:tc>
                <w:tcPr>
                  <w:tcW w:w="934" w:type="pct"/>
                </w:tcPr>
                <w:p w14:paraId="63B891EB"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3AC2CF98" w14:textId="77777777" w:rsidR="00D81D75" w:rsidRPr="00A552C3" w:rsidRDefault="00D81D75" w:rsidP="00D81D75">
                  <w:pPr>
                    <w:spacing w:after="60"/>
                    <w:rPr>
                      <w:iCs/>
                      <w:sz w:val="20"/>
                    </w:rPr>
                  </w:pPr>
                  <w:r w:rsidRPr="00A552C3">
                    <w:rPr>
                      <w:iCs/>
                      <w:sz w:val="20"/>
                    </w:rPr>
                    <w:t>$/MWh</w:t>
                  </w:r>
                </w:p>
              </w:tc>
              <w:tc>
                <w:tcPr>
                  <w:tcW w:w="3585" w:type="pct"/>
                </w:tcPr>
                <w:p w14:paraId="5EA2D149" w14:textId="17D9538B"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for the 15-minute Settlement Interval.</w:t>
                  </w:r>
                </w:p>
              </w:tc>
            </w:tr>
            <w:tr w:rsidR="00D81D75" w:rsidRPr="00A552C3" w14:paraId="08427F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C3FD1B2"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675C8064"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2B6575D"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A0F7D65"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A1791E2"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54485AE"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0C96AB5"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4FC68EA6" w14:textId="77777777" w:rsidTr="00C952ED">
              <w:trPr>
                <w:cantSplit/>
              </w:trPr>
              <w:tc>
                <w:tcPr>
                  <w:tcW w:w="934" w:type="pct"/>
                </w:tcPr>
                <w:p w14:paraId="2F4A44CA"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4F3DBC98" w14:textId="77777777" w:rsidR="00D81D75" w:rsidRPr="00A552C3" w:rsidRDefault="00D81D75" w:rsidP="00D81D75">
                  <w:pPr>
                    <w:spacing w:after="60"/>
                    <w:rPr>
                      <w:iCs/>
                      <w:sz w:val="20"/>
                    </w:rPr>
                  </w:pPr>
                  <w:r w:rsidRPr="00A552C3">
                    <w:rPr>
                      <w:iCs/>
                      <w:sz w:val="20"/>
                    </w:rPr>
                    <w:t>MW</w:t>
                  </w:r>
                </w:p>
              </w:tc>
              <w:tc>
                <w:tcPr>
                  <w:tcW w:w="3585" w:type="pct"/>
                </w:tcPr>
                <w:p w14:paraId="0E78EA70"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1A9D4A2B" w14:textId="77777777" w:rsidTr="00C952ED">
              <w:trPr>
                <w:cantSplit/>
              </w:trPr>
              <w:tc>
                <w:tcPr>
                  <w:tcW w:w="934" w:type="pct"/>
                </w:tcPr>
                <w:p w14:paraId="0F5B467B"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3BAB9DCC" w14:textId="77777777" w:rsidR="00D81D75" w:rsidRPr="00A552C3" w:rsidRDefault="00D81D75" w:rsidP="00D81D75">
                  <w:pPr>
                    <w:spacing w:after="60"/>
                    <w:rPr>
                      <w:iCs/>
                      <w:sz w:val="20"/>
                    </w:rPr>
                  </w:pPr>
                  <w:r w:rsidRPr="00A552C3">
                    <w:rPr>
                      <w:iCs/>
                      <w:sz w:val="20"/>
                    </w:rPr>
                    <w:t>$/MWh</w:t>
                  </w:r>
                </w:p>
              </w:tc>
              <w:tc>
                <w:tcPr>
                  <w:tcW w:w="3585" w:type="pct"/>
                </w:tcPr>
                <w:p w14:paraId="41D16F07" w14:textId="3975AFB0" w:rsidR="00D81D75" w:rsidRPr="00A552C3" w:rsidRDefault="00D81D75" w:rsidP="00D81D75">
                  <w:pPr>
                    <w:spacing w:after="60"/>
                    <w:rPr>
                      <w:iCs/>
                      <w:sz w:val="20"/>
                    </w:rPr>
                  </w:pPr>
                  <w:r w:rsidRPr="00A552C3">
                    <w:rPr>
                      <w:i/>
                      <w:iCs/>
                      <w:sz w:val="20"/>
                    </w:rPr>
                    <w:t>Emergency Base Point Price per QSE per Settlement Point per Resource by interval</w:t>
                  </w:r>
                  <w:r w:rsidRPr="00A552C3">
                    <w:rPr>
                      <w:iCs/>
                      <w:sz w:val="20"/>
                    </w:rPr>
                    <w:t xml:space="preserve">—The </w:t>
                  </w:r>
                  <w:r w:rsidR="00BD19E2">
                    <w:rPr>
                      <w:iCs/>
                      <w:sz w:val="20"/>
                    </w:rPr>
                    <w:t>price on</w:t>
                  </w:r>
                  <w:r w:rsidRPr="00A552C3">
                    <w:rPr>
                      <w:iCs/>
                      <w:sz w:val="20"/>
                    </w:rPr>
                    <w:t xml:space="preserve"> the Energy Offer Curve</w:t>
                  </w:r>
                  <w:r w:rsidRPr="00A552C3">
                    <w:rPr>
                      <w:rFonts w:asciiTheme="minorHAnsi" w:eastAsiaTheme="minorHAnsi" w:hAnsiTheme="minorHAnsi" w:cstheme="minorBidi"/>
                      <w:sz w:val="22"/>
                      <w:szCs w:val="22"/>
                    </w:rPr>
                    <w:t xml:space="preserve"> </w:t>
                  </w:r>
                  <w:r w:rsidRPr="00A552C3">
                    <w:rPr>
                      <w:iCs/>
                      <w:sz w:val="20"/>
                    </w:rPr>
                    <w:t>or Energy Bid/Offer Curve corresponding to the Emergency Base Point</w:t>
                  </w:r>
                  <w:r w:rsidRPr="00A552C3">
                    <w:rPr>
                      <w:rFonts w:asciiTheme="minorHAnsi" w:eastAsiaTheme="minorHAnsi" w:hAnsiTheme="minorHAnsi" w:cstheme="minorBidi"/>
                      <w:sz w:val="22"/>
                      <w:szCs w:val="22"/>
                    </w:rPr>
                    <w:t xml:space="preserve"> </w:t>
                  </w:r>
                  <w:r w:rsidRPr="00A552C3">
                    <w:rPr>
                      <w:iCs/>
                      <w:sz w:val="20"/>
                    </w:rPr>
                    <w:t xml:space="preserve">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 xml:space="preserve">The Energy Offer Curve shall be capped by the MOC pursuant to Section 4.4.9.4.1, Mitigated Offer Cap, 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6C3085C" w14:textId="77777777" w:rsidTr="00C952ED">
              <w:trPr>
                <w:cantSplit/>
              </w:trPr>
              <w:tc>
                <w:tcPr>
                  <w:tcW w:w="934" w:type="pct"/>
                </w:tcPr>
                <w:p w14:paraId="1F33194F" w14:textId="77777777" w:rsidR="00D81D75" w:rsidRPr="00A552C3" w:rsidRDefault="00D81D75" w:rsidP="00D81D75">
                  <w:pPr>
                    <w:spacing w:after="60"/>
                    <w:rPr>
                      <w:iCs/>
                      <w:sz w:val="20"/>
                    </w:rPr>
                  </w:pPr>
                  <w:r w:rsidRPr="00A552C3">
                    <w:rPr>
                      <w:iCs/>
                      <w:sz w:val="20"/>
                    </w:rPr>
                    <w:lastRenderedPageBreak/>
                    <w:t>RTSPP</w:t>
                  </w:r>
                  <w:r w:rsidRPr="00A552C3">
                    <w:rPr>
                      <w:i/>
                      <w:iCs/>
                      <w:sz w:val="20"/>
                    </w:rPr>
                    <w:t xml:space="preserve"> </w:t>
                  </w:r>
                  <w:r w:rsidRPr="00A552C3">
                    <w:rPr>
                      <w:i/>
                      <w:iCs/>
                      <w:sz w:val="20"/>
                      <w:vertAlign w:val="subscript"/>
                    </w:rPr>
                    <w:t>p</w:t>
                  </w:r>
                </w:p>
              </w:tc>
              <w:tc>
                <w:tcPr>
                  <w:tcW w:w="481" w:type="pct"/>
                </w:tcPr>
                <w:p w14:paraId="065E9C55" w14:textId="77777777" w:rsidR="00D81D75" w:rsidRPr="00A552C3" w:rsidRDefault="00D81D75" w:rsidP="00D81D75">
                  <w:pPr>
                    <w:spacing w:after="60"/>
                    <w:rPr>
                      <w:iCs/>
                      <w:sz w:val="20"/>
                    </w:rPr>
                  </w:pPr>
                  <w:r w:rsidRPr="00A552C3">
                    <w:rPr>
                      <w:iCs/>
                      <w:sz w:val="20"/>
                    </w:rPr>
                    <w:t>$/MWh</w:t>
                  </w:r>
                </w:p>
              </w:tc>
              <w:tc>
                <w:tcPr>
                  <w:tcW w:w="3585" w:type="pct"/>
                </w:tcPr>
                <w:p w14:paraId="76A017EE"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674457DD" w14:textId="77777777" w:rsidTr="00C952ED">
              <w:trPr>
                <w:cantSplit/>
              </w:trPr>
              <w:tc>
                <w:tcPr>
                  <w:tcW w:w="934" w:type="pct"/>
                </w:tcPr>
                <w:p w14:paraId="332497DA"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1DE2455D" w14:textId="77777777" w:rsidR="00D81D75" w:rsidRPr="00A552C3" w:rsidRDefault="00D81D75" w:rsidP="00D81D75">
                  <w:pPr>
                    <w:spacing w:after="60"/>
                    <w:rPr>
                      <w:iCs/>
                      <w:sz w:val="20"/>
                    </w:rPr>
                  </w:pPr>
                  <w:r w:rsidRPr="00A552C3">
                    <w:rPr>
                      <w:iCs/>
                      <w:sz w:val="20"/>
                    </w:rPr>
                    <w:t>MWh</w:t>
                  </w:r>
                </w:p>
              </w:tc>
              <w:tc>
                <w:tcPr>
                  <w:tcW w:w="3585" w:type="pct"/>
                </w:tcPr>
                <w:p w14:paraId="0C8BB8FC"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CC78223" w14:textId="77777777" w:rsidTr="00C952ED">
              <w:trPr>
                <w:cantSplit/>
              </w:trPr>
              <w:tc>
                <w:tcPr>
                  <w:tcW w:w="934" w:type="pct"/>
                </w:tcPr>
                <w:p w14:paraId="43EB9B97"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0BCD5AF" w14:textId="77777777" w:rsidR="00D81D75" w:rsidRPr="00A552C3" w:rsidRDefault="00D81D75" w:rsidP="00D81D75">
                  <w:pPr>
                    <w:spacing w:after="60"/>
                    <w:rPr>
                      <w:iCs/>
                      <w:sz w:val="20"/>
                    </w:rPr>
                  </w:pPr>
                  <w:r w:rsidRPr="00A552C3">
                    <w:rPr>
                      <w:iCs/>
                      <w:sz w:val="20"/>
                    </w:rPr>
                    <w:t>MWh</w:t>
                  </w:r>
                </w:p>
              </w:tc>
              <w:tc>
                <w:tcPr>
                  <w:tcW w:w="3585" w:type="pct"/>
                </w:tcPr>
                <w:p w14:paraId="275E6EA5" w14:textId="3874542B" w:rsidR="00D81D75" w:rsidRPr="00A552C3" w:rsidRDefault="00D81D75" w:rsidP="00D81D75">
                  <w:pPr>
                    <w:spacing w:after="60"/>
                    <w:rPr>
                      <w:i/>
                      <w:iCs/>
                      <w:sz w:val="20"/>
                    </w:rPr>
                  </w:pPr>
                  <w:r w:rsidRPr="00A552C3">
                    <w:rPr>
                      <w:i/>
                      <w:iCs/>
                      <w:sz w:val="20"/>
                    </w:rPr>
                    <w:t>Real-Time Charging Load per QSE per Resource per Settlement Point</w:t>
                  </w:r>
                  <w:r w:rsidRPr="00A552C3">
                    <w:rPr>
                      <w:iCs/>
                      <w:sz w:val="20"/>
                    </w:rPr>
                    <w:t xml:space="preserve">—The charging load 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70957357" w14:textId="77777777" w:rsidTr="00C952ED">
              <w:trPr>
                <w:cantSplit/>
              </w:trPr>
              <w:tc>
                <w:tcPr>
                  <w:tcW w:w="934" w:type="pct"/>
                </w:tcPr>
                <w:p w14:paraId="3CD85C85" w14:textId="77777777" w:rsidR="00D81D75" w:rsidRPr="00A552C3" w:rsidRDefault="00D81D75" w:rsidP="00D81D75">
                  <w:pPr>
                    <w:spacing w:after="60"/>
                    <w:rPr>
                      <w:iCs/>
                      <w:sz w:val="20"/>
                    </w:rPr>
                  </w:pPr>
                  <w:r w:rsidRPr="00A552C3">
                    <w:rPr>
                      <w:bCs/>
                      <w:sz w:val="20"/>
                    </w:rPr>
                    <w:t>RTRUNET</w:t>
                  </w:r>
                  <w:r w:rsidRPr="00A552C3">
                    <w:rPr>
                      <w:bCs/>
                      <w:iCs/>
                    </w:rPr>
                    <w:t xml:space="preserve"> </w:t>
                  </w:r>
                  <w:r w:rsidRPr="00A552C3">
                    <w:rPr>
                      <w:bCs/>
                      <w:i/>
                      <w:iCs/>
                      <w:vertAlign w:val="subscript"/>
                    </w:rPr>
                    <w:t>q, r</w:t>
                  </w:r>
                </w:p>
              </w:tc>
              <w:tc>
                <w:tcPr>
                  <w:tcW w:w="481" w:type="pct"/>
                </w:tcPr>
                <w:p w14:paraId="5362320E" w14:textId="77777777" w:rsidR="00D81D75" w:rsidRPr="00A552C3" w:rsidRDefault="00D81D75" w:rsidP="00D81D75">
                  <w:pPr>
                    <w:spacing w:after="60"/>
                    <w:rPr>
                      <w:iCs/>
                      <w:sz w:val="20"/>
                    </w:rPr>
                  </w:pPr>
                  <w:r w:rsidRPr="00A552C3">
                    <w:rPr>
                      <w:iCs/>
                      <w:sz w:val="20"/>
                    </w:rPr>
                    <w:t>$</w:t>
                  </w:r>
                </w:p>
              </w:tc>
              <w:tc>
                <w:tcPr>
                  <w:tcW w:w="3585" w:type="pct"/>
                </w:tcPr>
                <w:p w14:paraId="792737D2" w14:textId="260B7CE2" w:rsidR="00D81D75" w:rsidRPr="00A552C3" w:rsidRDefault="00D81D75" w:rsidP="00D81D75">
                  <w:pPr>
                    <w:spacing w:after="60"/>
                    <w:rPr>
                      <w:iCs/>
                      <w:sz w:val="20"/>
                    </w:rPr>
                  </w:pPr>
                  <w:r w:rsidRPr="00A552C3">
                    <w:rPr>
                      <w:i/>
                      <w:iCs/>
                      <w:sz w:val="20"/>
                    </w:rPr>
                    <w:t>Real-Time Reg-Up Net Revenue</w:t>
                  </w:r>
                  <w:r w:rsidR="00207AC3" w:rsidRPr="00A552C3">
                    <w:rPr>
                      <w:iCs/>
                      <w:sz w:val="20"/>
                    </w:rPr>
                    <w:t>—</w:t>
                  </w:r>
                  <w:r w:rsidRPr="00A552C3">
                    <w:rPr>
                      <w:iCs/>
                      <w:sz w:val="20"/>
                    </w:rPr>
                    <w:t xml:space="preserve">The difference between the Real-Time Reg-Up Revenue and the Real-Time Reg-Up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EE055EC" w14:textId="77777777" w:rsidTr="00C952ED">
              <w:trPr>
                <w:cantSplit/>
              </w:trPr>
              <w:tc>
                <w:tcPr>
                  <w:tcW w:w="934" w:type="pct"/>
                </w:tcPr>
                <w:p w14:paraId="3076BAC8" w14:textId="77777777" w:rsidR="00D81D75" w:rsidRPr="00A552C3" w:rsidRDefault="00D81D75" w:rsidP="00D81D75">
                  <w:pPr>
                    <w:spacing w:after="60"/>
                    <w:rPr>
                      <w:iCs/>
                      <w:sz w:val="20"/>
                    </w:rPr>
                  </w:pPr>
                  <w:r w:rsidRPr="00A552C3">
                    <w:rPr>
                      <w:bCs/>
                      <w:sz w:val="20"/>
                    </w:rPr>
                    <w:t>RTRDNET</w:t>
                  </w:r>
                  <w:r w:rsidRPr="00A552C3">
                    <w:rPr>
                      <w:bCs/>
                      <w:iCs/>
                    </w:rPr>
                    <w:t xml:space="preserve"> </w:t>
                  </w:r>
                  <w:r w:rsidRPr="00A552C3">
                    <w:rPr>
                      <w:bCs/>
                      <w:i/>
                      <w:iCs/>
                      <w:vertAlign w:val="subscript"/>
                    </w:rPr>
                    <w:t>q, r</w:t>
                  </w:r>
                </w:p>
              </w:tc>
              <w:tc>
                <w:tcPr>
                  <w:tcW w:w="481" w:type="pct"/>
                </w:tcPr>
                <w:p w14:paraId="55E84CF7" w14:textId="77777777" w:rsidR="00D81D75" w:rsidRPr="00A552C3" w:rsidRDefault="00D81D75" w:rsidP="00D81D75">
                  <w:pPr>
                    <w:spacing w:after="60"/>
                    <w:rPr>
                      <w:iCs/>
                      <w:sz w:val="20"/>
                    </w:rPr>
                  </w:pPr>
                  <w:r w:rsidRPr="00A552C3">
                    <w:rPr>
                      <w:iCs/>
                      <w:sz w:val="20"/>
                    </w:rPr>
                    <w:t>$</w:t>
                  </w:r>
                </w:p>
              </w:tc>
              <w:tc>
                <w:tcPr>
                  <w:tcW w:w="3585" w:type="pct"/>
                </w:tcPr>
                <w:p w14:paraId="4BDD966B" w14:textId="29373998" w:rsidR="00D81D75" w:rsidRPr="00A552C3" w:rsidRDefault="00D81D75" w:rsidP="00D81D75">
                  <w:pPr>
                    <w:spacing w:after="60"/>
                    <w:rPr>
                      <w:i/>
                      <w:iCs/>
                      <w:sz w:val="20"/>
                    </w:rPr>
                  </w:pPr>
                  <w:r w:rsidRPr="00A552C3">
                    <w:rPr>
                      <w:i/>
                      <w:iCs/>
                      <w:sz w:val="20"/>
                    </w:rPr>
                    <w:t>Real-Time Reg-Down Net Revenue</w:t>
                  </w:r>
                  <w:r w:rsidR="00207AC3" w:rsidRPr="00A552C3">
                    <w:rPr>
                      <w:iCs/>
                      <w:sz w:val="20"/>
                    </w:rPr>
                    <w:t>—</w:t>
                  </w:r>
                  <w:r w:rsidRPr="00A552C3">
                    <w:rPr>
                      <w:iCs/>
                      <w:sz w:val="20"/>
                    </w:rPr>
                    <w:t xml:space="preserve">The difference between calculated revenue for the Real-Time Reg-Down Revenue and the Real-Time Reg-Down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3B35826" w14:textId="77777777" w:rsidTr="00C952ED">
              <w:trPr>
                <w:cantSplit/>
              </w:trPr>
              <w:tc>
                <w:tcPr>
                  <w:tcW w:w="934" w:type="pct"/>
                </w:tcPr>
                <w:p w14:paraId="4F4D0A69" w14:textId="77777777" w:rsidR="00D81D75" w:rsidRPr="00A552C3" w:rsidRDefault="00D81D75" w:rsidP="00D81D75">
                  <w:pPr>
                    <w:spacing w:after="60"/>
                    <w:rPr>
                      <w:bCs/>
                      <w:sz w:val="20"/>
                    </w:rPr>
                  </w:pPr>
                  <w:r w:rsidRPr="00A552C3">
                    <w:rPr>
                      <w:bCs/>
                      <w:sz w:val="20"/>
                    </w:rPr>
                    <w:t>RTRRNET</w:t>
                  </w:r>
                  <w:r w:rsidRPr="00A552C3">
                    <w:rPr>
                      <w:bCs/>
                      <w:iCs/>
                    </w:rPr>
                    <w:t xml:space="preserve"> </w:t>
                  </w:r>
                  <w:r w:rsidRPr="00A552C3">
                    <w:rPr>
                      <w:bCs/>
                      <w:i/>
                      <w:iCs/>
                      <w:vertAlign w:val="subscript"/>
                    </w:rPr>
                    <w:t>q, r</w:t>
                  </w:r>
                </w:p>
              </w:tc>
              <w:tc>
                <w:tcPr>
                  <w:tcW w:w="481" w:type="pct"/>
                </w:tcPr>
                <w:p w14:paraId="59954984" w14:textId="77777777" w:rsidR="00D81D75" w:rsidRPr="00A552C3" w:rsidRDefault="00D81D75" w:rsidP="00D81D75">
                  <w:pPr>
                    <w:spacing w:after="60"/>
                    <w:rPr>
                      <w:iCs/>
                      <w:sz w:val="20"/>
                    </w:rPr>
                  </w:pPr>
                  <w:r w:rsidRPr="00A552C3">
                    <w:rPr>
                      <w:iCs/>
                      <w:sz w:val="20"/>
                    </w:rPr>
                    <w:t>$</w:t>
                  </w:r>
                </w:p>
              </w:tc>
              <w:tc>
                <w:tcPr>
                  <w:tcW w:w="3585" w:type="pct"/>
                </w:tcPr>
                <w:p w14:paraId="4F3231F5" w14:textId="2E70EBBF" w:rsidR="00D81D75" w:rsidRPr="00A552C3" w:rsidRDefault="00D81D75" w:rsidP="00D81D75">
                  <w:pPr>
                    <w:spacing w:after="60"/>
                    <w:rPr>
                      <w:i/>
                      <w:iCs/>
                      <w:sz w:val="20"/>
                    </w:rPr>
                  </w:pPr>
                  <w:r w:rsidRPr="00A552C3">
                    <w:rPr>
                      <w:i/>
                      <w:iCs/>
                      <w:sz w:val="20"/>
                    </w:rPr>
                    <w:t>Real-Time Responsive Reserve Net Revenue</w:t>
                  </w:r>
                  <w:r w:rsidR="00207AC3" w:rsidRPr="00A552C3">
                    <w:rPr>
                      <w:iCs/>
                      <w:sz w:val="20"/>
                    </w:rPr>
                    <w:t>—</w:t>
                  </w:r>
                  <w:r w:rsidRPr="00A552C3">
                    <w:rPr>
                      <w:iCs/>
                      <w:sz w:val="20"/>
                    </w:rPr>
                    <w:t xml:space="preserve">The difference between Real-Time RRS Revenue and the Real-Time RRS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FC5E400" w14:textId="77777777" w:rsidTr="00C952ED">
              <w:trPr>
                <w:cantSplit/>
              </w:trPr>
              <w:tc>
                <w:tcPr>
                  <w:tcW w:w="934" w:type="pct"/>
                </w:tcPr>
                <w:p w14:paraId="224982F9" w14:textId="77777777" w:rsidR="00D81D75" w:rsidRPr="00A552C3" w:rsidRDefault="00D81D75" w:rsidP="00D81D75">
                  <w:pPr>
                    <w:spacing w:after="60"/>
                    <w:rPr>
                      <w:bCs/>
                      <w:sz w:val="20"/>
                    </w:rPr>
                  </w:pPr>
                  <w:r w:rsidRPr="00A552C3">
                    <w:rPr>
                      <w:bCs/>
                      <w:sz w:val="20"/>
                    </w:rPr>
                    <w:t>RTNSNET</w:t>
                  </w:r>
                  <w:r w:rsidRPr="00A552C3">
                    <w:rPr>
                      <w:bCs/>
                      <w:iCs/>
                    </w:rPr>
                    <w:t xml:space="preserve"> </w:t>
                  </w:r>
                  <w:r w:rsidRPr="00A552C3">
                    <w:rPr>
                      <w:bCs/>
                      <w:i/>
                      <w:iCs/>
                      <w:vertAlign w:val="subscript"/>
                    </w:rPr>
                    <w:t>q, r</w:t>
                  </w:r>
                </w:p>
              </w:tc>
              <w:tc>
                <w:tcPr>
                  <w:tcW w:w="481" w:type="pct"/>
                </w:tcPr>
                <w:p w14:paraId="793243C6" w14:textId="77777777" w:rsidR="00D81D75" w:rsidRPr="00A552C3" w:rsidRDefault="00D81D75" w:rsidP="00D81D75">
                  <w:pPr>
                    <w:spacing w:after="60"/>
                    <w:rPr>
                      <w:iCs/>
                      <w:sz w:val="20"/>
                    </w:rPr>
                  </w:pPr>
                  <w:r w:rsidRPr="00A552C3">
                    <w:rPr>
                      <w:iCs/>
                      <w:sz w:val="20"/>
                    </w:rPr>
                    <w:t>$</w:t>
                  </w:r>
                </w:p>
              </w:tc>
              <w:tc>
                <w:tcPr>
                  <w:tcW w:w="3585" w:type="pct"/>
                </w:tcPr>
                <w:p w14:paraId="185F0169" w14:textId="1654EE0C" w:rsidR="00D81D75" w:rsidRPr="00A552C3" w:rsidRDefault="00D81D75" w:rsidP="00D81D75">
                  <w:pPr>
                    <w:spacing w:after="60"/>
                    <w:rPr>
                      <w:i/>
                      <w:iCs/>
                      <w:sz w:val="20"/>
                    </w:rPr>
                  </w:pPr>
                  <w:r w:rsidRPr="00A552C3">
                    <w:rPr>
                      <w:i/>
                      <w:iCs/>
                      <w:sz w:val="20"/>
                    </w:rPr>
                    <w:t>Real-Time Non-Spin Net Revenue</w:t>
                  </w:r>
                  <w:r w:rsidR="00207AC3" w:rsidRPr="00A552C3">
                    <w:rPr>
                      <w:iCs/>
                      <w:sz w:val="20"/>
                    </w:rPr>
                    <w:t>—</w:t>
                  </w:r>
                  <w:r w:rsidRPr="00A552C3">
                    <w:rPr>
                      <w:iCs/>
                      <w:sz w:val="20"/>
                    </w:rPr>
                    <w:t xml:space="preserve">The difference between Real-Time Non-Spin Revenue and the Real-Time Non-Spin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758AD0A1" w14:textId="77777777" w:rsidTr="00C952ED">
              <w:trPr>
                <w:cantSplit/>
              </w:trPr>
              <w:tc>
                <w:tcPr>
                  <w:tcW w:w="934" w:type="pct"/>
                </w:tcPr>
                <w:p w14:paraId="35C89916" w14:textId="77777777" w:rsidR="00D81D75" w:rsidRPr="00A552C3" w:rsidRDefault="00D81D75" w:rsidP="00D81D75">
                  <w:pPr>
                    <w:spacing w:after="60"/>
                    <w:rPr>
                      <w:bCs/>
                      <w:sz w:val="20"/>
                    </w:rPr>
                  </w:pPr>
                  <w:r w:rsidRPr="00A552C3">
                    <w:rPr>
                      <w:bCs/>
                      <w:sz w:val="20"/>
                    </w:rPr>
                    <w:t>RTECRNET</w:t>
                  </w:r>
                  <w:r w:rsidRPr="00A552C3">
                    <w:rPr>
                      <w:bCs/>
                      <w:iCs/>
                    </w:rPr>
                    <w:t xml:space="preserve"> </w:t>
                  </w:r>
                  <w:r w:rsidRPr="00A552C3">
                    <w:rPr>
                      <w:bCs/>
                      <w:i/>
                      <w:iCs/>
                      <w:vertAlign w:val="subscript"/>
                    </w:rPr>
                    <w:t>q, r</w:t>
                  </w:r>
                </w:p>
              </w:tc>
              <w:tc>
                <w:tcPr>
                  <w:tcW w:w="481" w:type="pct"/>
                </w:tcPr>
                <w:p w14:paraId="6BA5A699" w14:textId="77777777" w:rsidR="00D81D75" w:rsidRPr="00A552C3" w:rsidRDefault="00D81D75" w:rsidP="00D81D75">
                  <w:pPr>
                    <w:spacing w:after="60"/>
                    <w:rPr>
                      <w:iCs/>
                      <w:sz w:val="20"/>
                    </w:rPr>
                  </w:pPr>
                  <w:r w:rsidRPr="00A552C3">
                    <w:rPr>
                      <w:iCs/>
                      <w:sz w:val="20"/>
                    </w:rPr>
                    <w:t>$</w:t>
                  </w:r>
                </w:p>
              </w:tc>
              <w:tc>
                <w:tcPr>
                  <w:tcW w:w="3585" w:type="pct"/>
                </w:tcPr>
                <w:p w14:paraId="4CF531F8" w14:textId="58F82343" w:rsidR="00D81D75" w:rsidRPr="00A552C3" w:rsidRDefault="00D81D75" w:rsidP="00D81D75">
                  <w:pPr>
                    <w:spacing w:after="60"/>
                    <w:rPr>
                      <w:i/>
                      <w:iCs/>
                      <w:sz w:val="20"/>
                    </w:rPr>
                  </w:pPr>
                  <w:r w:rsidRPr="00A552C3">
                    <w:rPr>
                      <w:i/>
                      <w:iCs/>
                      <w:sz w:val="20"/>
                    </w:rPr>
                    <w:t>Real-Time ERCOT Contingency Reserve Service Net Revenue</w:t>
                  </w:r>
                  <w:r w:rsidR="00207AC3" w:rsidRPr="00A552C3">
                    <w:rPr>
                      <w:iCs/>
                      <w:sz w:val="20"/>
                    </w:rPr>
                    <w:t>—</w:t>
                  </w:r>
                  <w:r w:rsidRPr="00A552C3">
                    <w:rPr>
                      <w:iCs/>
                      <w:sz w:val="20"/>
                    </w:rPr>
                    <w:t xml:space="preserve">The difference between Real-Time ECRS Revenue and the Real-Time ECRS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30228147" w14:textId="77777777" w:rsidTr="00C952ED">
              <w:trPr>
                <w:cantSplit/>
              </w:trPr>
              <w:tc>
                <w:tcPr>
                  <w:tcW w:w="934" w:type="pct"/>
                </w:tcPr>
                <w:p w14:paraId="6972B303" w14:textId="77777777" w:rsidR="00D81D75" w:rsidRPr="00A552C3" w:rsidRDefault="00D81D75" w:rsidP="00D81D75">
                  <w:pPr>
                    <w:spacing w:after="60"/>
                    <w:rPr>
                      <w:bCs/>
                      <w:sz w:val="20"/>
                    </w:rPr>
                  </w:pPr>
                  <w:r w:rsidRPr="00A552C3">
                    <w:rPr>
                      <w:iCs/>
                      <w:sz w:val="20"/>
                    </w:rPr>
                    <w:t xml:space="preserve">RTRUREV </w:t>
                  </w:r>
                  <w:r w:rsidRPr="00A552C3">
                    <w:rPr>
                      <w:i/>
                      <w:iCs/>
                      <w:sz w:val="20"/>
                      <w:vertAlign w:val="subscript"/>
                    </w:rPr>
                    <w:t>q, r</w:t>
                  </w:r>
                </w:p>
              </w:tc>
              <w:tc>
                <w:tcPr>
                  <w:tcW w:w="481" w:type="pct"/>
                </w:tcPr>
                <w:p w14:paraId="704A641C" w14:textId="77777777" w:rsidR="00D81D75" w:rsidRPr="00A552C3" w:rsidRDefault="00D81D75" w:rsidP="00D81D75">
                  <w:pPr>
                    <w:spacing w:after="60"/>
                    <w:rPr>
                      <w:iCs/>
                      <w:sz w:val="20"/>
                    </w:rPr>
                  </w:pPr>
                  <w:r w:rsidRPr="00A552C3">
                    <w:rPr>
                      <w:iCs/>
                      <w:sz w:val="20"/>
                    </w:rPr>
                    <w:t>$</w:t>
                  </w:r>
                </w:p>
              </w:tc>
              <w:tc>
                <w:tcPr>
                  <w:tcW w:w="3585" w:type="pct"/>
                </w:tcPr>
                <w:p w14:paraId="70EF8732" w14:textId="0B443D36" w:rsidR="00D81D75" w:rsidRPr="00A552C3" w:rsidRDefault="00D81D75" w:rsidP="00D81D75">
                  <w:pPr>
                    <w:spacing w:after="60"/>
                    <w:rPr>
                      <w:i/>
                      <w:iCs/>
                      <w:sz w:val="20"/>
                    </w:rPr>
                  </w:pPr>
                  <w:r w:rsidRPr="00A552C3">
                    <w:rPr>
                      <w:i/>
                      <w:iCs/>
                      <w:sz w:val="20"/>
                    </w:rPr>
                    <w:t>Real-Time Reg-Up Revenue</w:t>
                  </w:r>
                  <w:r w:rsidRPr="00A552C3">
                    <w:rPr>
                      <w:iCs/>
                      <w:sz w:val="20"/>
                    </w:rPr>
                    <w:t xml:space="preserve">—The calculated Real-Time Reg-Up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3FCBADE" w14:textId="77777777" w:rsidTr="00C952ED">
              <w:trPr>
                <w:cantSplit/>
              </w:trPr>
              <w:tc>
                <w:tcPr>
                  <w:tcW w:w="934" w:type="pct"/>
                </w:tcPr>
                <w:p w14:paraId="36C63ADD" w14:textId="77777777" w:rsidR="00D81D75" w:rsidRPr="00A552C3" w:rsidRDefault="00D81D75" w:rsidP="00D81D75">
                  <w:pPr>
                    <w:spacing w:after="60"/>
                    <w:rPr>
                      <w:bCs/>
                      <w:sz w:val="20"/>
                    </w:rPr>
                  </w:pPr>
                  <w:r w:rsidRPr="00A552C3">
                    <w:rPr>
                      <w:iCs/>
                      <w:sz w:val="20"/>
                    </w:rPr>
                    <w:t xml:space="preserve">RTRDREV </w:t>
                  </w:r>
                  <w:r w:rsidRPr="00A552C3">
                    <w:rPr>
                      <w:i/>
                      <w:iCs/>
                      <w:sz w:val="20"/>
                      <w:vertAlign w:val="subscript"/>
                    </w:rPr>
                    <w:t>q, r</w:t>
                  </w:r>
                </w:p>
              </w:tc>
              <w:tc>
                <w:tcPr>
                  <w:tcW w:w="481" w:type="pct"/>
                </w:tcPr>
                <w:p w14:paraId="6DCD015B" w14:textId="77777777" w:rsidR="00D81D75" w:rsidRPr="00A552C3" w:rsidRDefault="00D81D75" w:rsidP="00D81D75">
                  <w:pPr>
                    <w:spacing w:after="60"/>
                    <w:rPr>
                      <w:iCs/>
                      <w:sz w:val="20"/>
                    </w:rPr>
                  </w:pPr>
                  <w:r w:rsidRPr="00A552C3">
                    <w:rPr>
                      <w:iCs/>
                      <w:sz w:val="20"/>
                    </w:rPr>
                    <w:t>$</w:t>
                  </w:r>
                </w:p>
              </w:tc>
              <w:tc>
                <w:tcPr>
                  <w:tcW w:w="3585" w:type="pct"/>
                </w:tcPr>
                <w:p w14:paraId="6CB9EE6D" w14:textId="4C088E81" w:rsidR="00D81D75" w:rsidRPr="00A552C3" w:rsidRDefault="00D81D75" w:rsidP="00D81D75">
                  <w:pPr>
                    <w:spacing w:after="60"/>
                    <w:rPr>
                      <w:i/>
                      <w:iCs/>
                      <w:sz w:val="20"/>
                    </w:rPr>
                  </w:pPr>
                  <w:r w:rsidRPr="00A552C3">
                    <w:rPr>
                      <w:i/>
                      <w:iCs/>
                      <w:sz w:val="20"/>
                    </w:rPr>
                    <w:t>Real-Time Reg-Down Revenue</w:t>
                  </w:r>
                  <w:r w:rsidRPr="00A552C3">
                    <w:rPr>
                      <w:iCs/>
                      <w:sz w:val="20"/>
                    </w:rPr>
                    <w:t xml:space="preserve">—The calculated Real-Time Reg-Down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924667D" w14:textId="77777777" w:rsidTr="00C952ED">
              <w:trPr>
                <w:cantSplit/>
              </w:trPr>
              <w:tc>
                <w:tcPr>
                  <w:tcW w:w="934" w:type="pct"/>
                </w:tcPr>
                <w:p w14:paraId="0199A674" w14:textId="77777777" w:rsidR="00D81D75" w:rsidRPr="00A552C3" w:rsidRDefault="00D81D75" w:rsidP="00D81D75">
                  <w:pPr>
                    <w:spacing w:after="60"/>
                    <w:rPr>
                      <w:bCs/>
                      <w:sz w:val="20"/>
                    </w:rPr>
                  </w:pPr>
                  <w:r w:rsidRPr="00A552C3">
                    <w:rPr>
                      <w:iCs/>
                      <w:sz w:val="20"/>
                    </w:rPr>
                    <w:t xml:space="preserve">RTRRREV </w:t>
                  </w:r>
                  <w:r w:rsidRPr="00A552C3">
                    <w:rPr>
                      <w:i/>
                      <w:iCs/>
                      <w:sz w:val="20"/>
                      <w:vertAlign w:val="subscript"/>
                    </w:rPr>
                    <w:t>q, r</w:t>
                  </w:r>
                </w:p>
              </w:tc>
              <w:tc>
                <w:tcPr>
                  <w:tcW w:w="481" w:type="pct"/>
                </w:tcPr>
                <w:p w14:paraId="7E934E68" w14:textId="77777777" w:rsidR="00D81D75" w:rsidRPr="00A552C3" w:rsidRDefault="00D81D75" w:rsidP="00D81D75">
                  <w:pPr>
                    <w:spacing w:after="60"/>
                    <w:rPr>
                      <w:iCs/>
                      <w:sz w:val="20"/>
                    </w:rPr>
                  </w:pPr>
                  <w:r w:rsidRPr="00A552C3">
                    <w:rPr>
                      <w:iCs/>
                      <w:sz w:val="20"/>
                    </w:rPr>
                    <w:t>$</w:t>
                  </w:r>
                </w:p>
              </w:tc>
              <w:tc>
                <w:tcPr>
                  <w:tcW w:w="3585" w:type="pct"/>
                </w:tcPr>
                <w:p w14:paraId="7433FAAB" w14:textId="67752A02" w:rsidR="00D81D75" w:rsidRPr="00A552C3" w:rsidRDefault="00D81D75" w:rsidP="00D81D75">
                  <w:pPr>
                    <w:spacing w:after="60"/>
                    <w:rPr>
                      <w:i/>
                      <w:iCs/>
                      <w:sz w:val="20"/>
                    </w:rPr>
                  </w:pPr>
                  <w:r w:rsidRPr="00A552C3">
                    <w:rPr>
                      <w:i/>
                      <w:iCs/>
                      <w:sz w:val="20"/>
                    </w:rPr>
                    <w:t>Real-Time Responsive Reserve Revenue</w:t>
                  </w:r>
                  <w:r w:rsidRPr="00A552C3">
                    <w:rPr>
                      <w:iCs/>
                      <w:sz w:val="20"/>
                    </w:rPr>
                    <w:t xml:space="preserve">—The calculated Real-Time RRS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8FC6D5C" w14:textId="77777777" w:rsidTr="00C952ED">
              <w:trPr>
                <w:cantSplit/>
              </w:trPr>
              <w:tc>
                <w:tcPr>
                  <w:tcW w:w="934" w:type="pct"/>
                </w:tcPr>
                <w:p w14:paraId="547C8055" w14:textId="77777777" w:rsidR="00D81D75" w:rsidRPr="00A552C3" w:rsidRDefault="00D81D75" w:rsidP="00D81D75">
                  <w:pPr>
                    <w:spacing w:after="60"/>
                    <w:rPr>
                      <w:bCs/>
                      <w:sz w:val="20"/>
                    </w:rPr>
                  </w:pPr>
                  <w:r w:rsidRPr="00A552C3">
                    <w:rPr>
                      <w:iCs/>
                      <w:sz w:val="20"/>
                    </w:rPr>
                    <w:t xml:space="preserve">RTNSREV </w:t>
                  </w:r>
                  <w:r w:rsidRPr="00A552C3">
                    <w:rPr>
                      <w:i/>
                      <w:iCs/>
                      <w:sz w:val="20"/>
                      <w:vertAlign w:val="subscript"/>
                    </w:rPr>
                    <w:t>q, r</w:t>
                  </w:r>
                </w:p>
              </w:tc>
              <w:tc>
                <w:tcPr>
                  <w:tcW w:w="481" w:type="pct"/>
                </w:tcPr>
                <w:p w14:paraId="47541C30" w14:textId="77777777" w:rsidR="00D81D75" w:rsidRPr="00A552C3" w:rsidRDefault="00D81D75" w:rsidP="00D81D75">
                  <w:pPr>
                    <w:spacing w:after="60"/>
                    <w:rPr>
                      <w:iCs/>
                      <w:sz w:val="20"/>
                    </w:rPr>
                  </w:pPr>
                  <w:r w:rsidRPr="00A552C3">
                    <w:rPr>
                      <w:iCs/>
                      <w:sz w:val="20"/>
                    </w:rPr>
                    <w:t>$</w:t>
                  </w:r>
                </w:p>
              </w:tc>
              <w:tc>
                <w:tcPr>
                  <w:tcW w:w="3585" w:type="pct"/>
                </w:tcPr>
                <w:p w14:paraId="00CA3914" w14:textId="340990C5" w:rsidR="00D81D75" w:rsidRPr="00A552C3" w:rsidRDefault="00D81D75" w:rsidP="00D81D75">
                  <w:pPr>
                    <w:spacing w:after="60"/>
                    <w:rPr>
                      <w:i/>
                      <w:iCs/>
                      <w:sz w:val="20"/>
                    </w:rPr>
                  </w:pPr>
                  <w:r w:rsidRPr="00A552C3">
                    <w:rPr>
                      <w:i/>
                      <w:iCs/>
                      <w:sz w:val="20"/>
                    </w:rPr>
                    <w:t>Real-Time Non-Spin Revenue</w:t>
                  </w:r>
                  <w:r w:rsidRPr="00A552C3">
                    <w:rPr>
                      <w:iCs/>
                      <w:sz w:val="20"/>
                    </w:rPr>
                    <w:t xml:space="preserve">—The calculated Real-Time Non-Spin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416D4C2" w14:textId="77777777" w:rsidTr="00C952ED">
              <w:trPr>
                <w:cantSplit/>
              </w:trPr>
              <w:tc>
                <w:tcPr>
                  <w:tcW w:w="934" w:type="pct"/>
                </w:tcPr>
                <w:p w14:paraId="36FC4BFF" w14:textId="77777777" w:rsidR="00D81D75" w:rsidRPr="00A552C3" w:rsidRDefault="00D81D75" w:rsidP="00D81D75">
                  <w:pPr>
                    <w:spacing w:after="60"/>
                    <w:rPr>
                      <w:bCs/>
                      <w:sz w:val="20"/>
                    </w:rPr>
                  </w:pPr>
                  <w:r w:rsidRPr="00A552C3">
                    <w:rPr>
                      <w:iCs/>
                      <w:sz w:val="20"/>
                    </w:rPr>
                    <w:t xml:space="preserve">RTECRREV </w:t>
                  </w:r>
                  <w:r w:rsidRPr="00A552C3">
                    <w:rPr>
                      <w:i/>
                      <w:iCs/>
                      <w:sz w:val="20"/>
                      <w:vertAlign w:val="subscript"/>
                    </w:rPr>
                    <w:t>q, r</w:t>
                  </w:r>
                </w:p>
              </w:tc>
              <w:tc>
                <w:tcPr>
                  <w:tcW w:w="481" w:type="pct"/>
                </w:tcPr>
                <w:p w14:paraId="07FC5852" w14:textId="77777777" w:rsidR="00D81D75" w:rsidRPr="00A552C3" w:rsidRDefault="00D81D75" w:rsidP="00D81D75">
                  <w:pPr>
                    <w:spacing w:after="60"/>
                    <w:rPr>
                      <w:iCs/>
                      <w:sz w:val="20"/>
                    </w:rPr>
                  </w:pPr>
                  <w:r w:rsidRPr="00A552C3">
                    <w:rPr>
                      <w:iCs/>
                      <w:sz w:val="20"/>
                    </w:rPr>
                    <w:t>$</w:t>
                  </w:r>
                </w:p>
              </w:tc>
              <w:tc>
                <w:tcPr>
                  <w:tcW w:w="3585" w:type="pct"/>
                </w:tcPr>
                <w:p w14:paraId="76D4FDBB" w14:textId="6776D010" w:rsidR="00D81D75" w:rsidRPr="00A552C3" w:rsidRDefault="00D81D75" w:rsidP="00D81D75">
                  <w:pPr>
                    <w:spacing w:after="60"/>
                    <w:rPr>
                      <w:i/>
                      <w:iCs/>
                      <w:sz w:val="20"/>
                    </w:rPr>
                  </w:pPr>
                  <w:r w:rsidRPr="00A552C3">
                    <w:rPr>
                      <w:i/>
                      <w:iCs/>
                      <w:sz w:val="20"/>
                    </w:rPr>
                    <w:t>Real-Time ERCOT Contingency Reserve Service Revenue</w:t>
                  </w:r>
                  <w:r w:rsidRPr="00A552C3">
                    <w:rPr>
                      <w:iCs/>
                      <w:sz w:val="20"/>
                    </w:rPr>
                    <w:t xml:space="preserve">—The calculated Real-Time ECRS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548CD97" w14:textId="77777777" w:rsidTr="00C952ED">
              <w:trPr>
                <w:cantSplit/>
              </w:trPr>
              <w:tc>
                <w:tcPr>
                  <w:tcW w:w="934" w:type="pct"/>
                </w:tcPr>
                <w:p w14:paraId="5AED10FC" w14:textId="1F404BC6" w:rsidR="00D81D75" w:rsidRPr="00A552C3" w:rsidRDefault="00D81D75" w:rsidP="00D81D75">
                  <w:pPr>
                    <w:spacing w:after="60"/>
                    <w:rPr>
                      <w:bCs/>
                      <w:sz w:val="20"/>
                    </w:rPr>
                  </w:pPr>
                  <w:r w:rsidRPr="00A552C3">
                    <w:rPr>
                      <w:iCs/>
                      <w:sz w:val="20"/>
                    </w:rPr>
                    <w:lastRenderedPageBreak/>
                    <w:t xml:space="preserve">RTRUREVT </w:t>
                  </w:r>
                  <w:r w:rsidRPr="00A552C3">
                    <w:rPr>
                      <w:bCs/>
                      <w:i/>
                      <w:sz w:val="20"/>
                      <w:szCs w:val="16"/>
                      <w:vertAlign w:val="subscript"/>
                    </w:rPr>
                    <w:t>q, r</w:t>
                  </w:r>
                  <w:r w:rsidR="00BD19E2">
                    <w:rPr>
                      <w:bCs/>
                      <w:i/>
                      <w:sz w:val="20"/>
                      <w:szCs w:val="16"/>
                      <w:vertAlign w:val="subscript"/>
                    </w:rPr>
                    <w:t>, p</w:t>
                  </w:r>
                </w:p>
              </w:tc>
              <w:tc>
                <w:tcPr>
                  <w:tcW w:w="481" w:type="pct"/>
                </w:tcPr>
                <w:p w14:paraId="53B16CB6" w14:textId="77777777" w:rsidR="00D81D75" w:rsidRPr="00A552C3" w:rsidRDefault="00D81D75" w:rsidP="00D81D75">
                  <w:pPr>
                    <w:spacing w:after="60"/>
                    <w:rPr>
                      <w:iCs/>
                      <w:sz w:val="20"/>
                    </w:rPr>
                  </w:pPr>
                  <w:r w:rsidRPr="00A552C3">
                    <w:rPr>
                      <w:iCs/>
                      <w:sz w:val="20"/>
                    </w:rPr>
                    <w:t>$</w:t>
                  </w:r>
                </w:p>
              </w:tc>
              <w:tc>
                <w:tcPr>
                  <w:tcW w:w="3585" w:type="pct"/>
                </w:tcPr>
                <w:p w14:paraId="58A461CD" w14:textId="7FD244F8" w:rsidR="00D81D75" w:rsidRPr="00A552C3" w:rsidRDefault="00D81D75" w:rsidP="00D81D75">
                  <w:pPr>
                    <w:spacing w:after="60"/>
                    <w:rPr>
                      <w:iCs/>
                      <w:sz w:val="20"/>
                    </w:rPr>
                  </w:pPr>
                  <w:r w:rsidRPr="00A552C3">
                    <w:rPr>
                      <w:i/>
                      <w:iCs/>
                      <w:sz w:val="20"/>
                    </w:rPr>
                    <w:t>Real-Time Reg-Up Revenue Target</w:t>
                  </w:r>
                  <w:r w:rsidR="003A6CCF" w:rsidRPr="00A552C3">
                    <w:rPr>
                      <w:iCs/>
                      <w:sz w:val="20"/>
                    </w:rPr>
                    <w:t>—</w:t>
                  </w:r>
                  <w:r w:rsidRPr="00A552C3">
                    <w:rPr>
                      <w:iCs/>
                      <w:sz w:val="20"/>
                    </w:rPr>
                    <w:t xml:space="preserve">The revenue target of the Reg-Up award to Resource </w:t>
                  </w:r>
                  <w:r w:rsidRPr="00A552C3">
                    <w:rPr>
                      <w:i/>
                      <w:iCs/>
                      <w:sz w:val="20"/>
                    </w:rPr>
                    <w:t xml:space="preserve">r </w:t>
                  </w:r>
                  <w:r w:rsidR="00BD19E2" w:rsidRPr="00D476E3">
                    <w:rPr>
                      <w:iCs/>
                      <w:sz w:val="20"/>
                    </w:rPr>
                    <w:t xml:space="preserve">at Resource Node </w:t>
                  </w:r>
                  <w:r w:rsidR="00BD19E2" w:rsidRPr="00D476E3">
                    <w:rPr>
                      <w:i/>
                      <w:iCs/>
                      <w:sz w:val="20"/>
                    </w:rPr>
                    <w:t xml:space="preserve">p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5BB6585" w14:textId="77777777" w:rsidTr="00C952ED">
              <w:trPr>
                <w:cantSplit/>
              </w:trPr>
              <w:tc>
                <w:tcPr>
                  <w:tcW w:w="934" w:type="pct"/>
                </w:tcPr>
                <w:p w14:paraId="4503E4B5" w14:textId="0DD1BB96" w:rsidR="00D81D75" w:rsidRPr="00A552C3" w:rsidRDefault="00D81D75" w:rsidP="00D81D75">
                  <w:pPr>
                    <w:spacing w:after="60"/>
                    <w:rPr>
                      <w:bCs/>
                      <w:sz w:val="20"/>
                    </w:rPr>
                  </w:pPr>
                  <w:r w:rsidRPr="00A552C3">
                    <w:rPr>
                      <w:iCs/>
                      <w:sz w:val="20"/>
                    </w:rPr>
                    <w:t xml:space="preserve">RTRDREVT </w:t>
                  </w:r>
                  <w:r w:rsidRPr="00A552C3">
                    <w:rPr>
                      <w:bCs/>
                      <w:i/>
                      <w:sz w:val="20"/>
                      <w:szCs w:val="16"/>
                      <w:vertAlign w:val="subscript"/>
                    </w:rPr>
                    <w:t>q, r</w:t>
                  </w:r>
                  <w:r w:rsidR="00BD19E2">
                    <w:rPr>
                      <w:bCs/>
                      <w:i/>
                      <w:sz w:val="20"/>
                      <w:szCs w:val="16"/>
                      <w:vertAlign w:val="subscript"/>
                    </w:rPr>
                    <w:t>, p</w:t>
                  </w:r>
                </w:p>
              </w:tc>
              <w:tc>
                <w:tcPr>
                  <w:tcW w:w="481" w:type="pct"/>
                </w:tcPr>
                <w:p w14:paraId="4169DF34" w14:textId="77777777" w:rsidR="00D81D75" w:rsidRPr="00A552C3" w:rsidRDefault="00D81D75" w:rsidP="00D81D75">
                  <w:pPr>
                    <w:spacing w:after="60"/>
                    <w:rPr>
                      <w:iCs/>
                      <w:sz w:val="20"/>
                    </w:rPr>
                  </w:pPr>
                  <w:r w:rsidRPr="00A552C3">
                    <w:rPr>
                      <w:iCs/>
                      <w:sz w:val="20"/>
                    </w:rPr>
                    <w:t>$</w:t>
                  </w:r>
                </w:p>
              </w:tc>
              <w:tc>
                <w:tcPr>
                  <w:tcW w:w="3585" w:type="pct"/>
                </w:tcPr>
                <w:p w14:paraId="15A49380" w14:textId="5E41F2A4" w:rsidR="00D81D75" w:rsidRPr="00A552C3" w:rsidRDefault="00D81D75" w:rsidP="00D81D75">
                  <w:pPr>
                    <w:spacing w:after="60"/>
                    <w:rPr>
                      <w:i/>
                      <w:iCs/>
                      <w:sz w:val="20"/>
                    </w:rPr>
                  </w:pPr>
                  <w:r w:rsidRPr="00A552C3">
                    <w:rPr>
                      <w:i/>
                      <w:iCs/>
                      <w:sz w:val="20"/>
                    </w:rPr>
                    <w:t>Real-Time Reg-Down Revenue Target</w:t>
                  </w:r>
                  <w:r w:rsidR="003A6CCF" w:rsidRPr="00A552C3">
                    <w:rPr>
                      <w:iCs/>
                      <w:sz w:val="20"/>
                    </w:rPr>
                    <w:t>—</w:t>
                  </w:r>
                  <w:r w:rsidRPr="00A552C3">
                    <w:rPr>
                      <w:iCs/>
                      <w:sz w:val="20"/>
                    </w:rPr>
                    <w:t xml:space="preserve">The revenue target of the Reg-Down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72380075" w14:textId="77777777" w:rsidTr="00C952ED">
              <w:trPr>
                <w:cantSplit/>
              </w:trPr>
              <w:tc>
                <w:tcPr>
                  <w:tcW w:w="934" w:type="pct"/>
                </w:tcPr>
                <w:p w14:paraId="61329F38" w14:textId="618D0F8A" w:rsidR="00D81D75" w:rsidRPr="00A552C3" w:rsidRDefault="00D81D75" w:rsidP="00D81D75">
                  <w:pPr>
                    <w:spacing w:after="60"/>
                    <w:rPr>
                      <w:bCs/>
                      <w:sz w:val="20"/>
                    </w:rPr>
                  </w:pPr>
                  <w:r w:rsidRPr="00A552C3">
                    <w:rPr>
                      <w:iCs/>
                      <w:sz w:val="20"/>
                    </w:rPr>
                    <w:t xml:space="preserve">RTRRREVT </w:t>
                  </w:r>
                  <w:r w:rsidRPr="00A552C3">
                    <w:rPr>
                      <w:bCs/>
                      <w:i/>
                      <w:sz w:val="20"/>
                      <w:szCs w:val="16"/>
                      <w:vertAlign w:val="subscript"/>
                    </w:rPr>
                    <w:t>q, r</w:t>
                  </w:r>
                  <w:r w:rsidR="00BD19E2">
                    <w:rPr>
                      <w:bCs/>
                      <w:i/>
                      <w:sz w:val="20"/>
                      <w:szCs w:val="16"/>
                      <w:vertAlign w:val="subscript"/>
                    </w:rPr>
                    <w:t>, p</w:t>
                  </w:r>
                </w:p>
              </w:tc>
              <w:tc>
                <w:tcPr>
                  <w:tcW w:w="481" w:type="pct"/>
                </w:tcPr>
                <w:p w14:paraId="6E130381" w14:textId="77777777" w:rsidR="00D81D75" w:rsidRPr="00A552C3" w:rsidRDefault="00D81D75" w:rsidP="00D81D75">
                  <w:pPr>
                    <w:spacing w:after="60"/>
                    <w:rPr>
                      <w:iCs/>
                      <w:sz w:val="20"/>
                    </w:rPr>
                  </w:pPr>
                  <w:r w:rsidRPr="00A552C3">
                    <w:rPr>
                      <w:iCs/>
                      <w:sz w:val="20"/>
                    </w:rPr>
                    <w:t>$</w:t>
                  </w:r>
                </w:p>
              </w:tc>
              <w:tc>
                <w:tcPr>
                  <w:tcW w:w="3585" w:type="pct"/>
                </w:tcPr>
                <w:p w14:paraId="6A7A55BC" w14:textId="674B444A" w:rsidR="00D81D75" w:rsidRPr="00A552C3" w:rsidRDefault="00D81D75" w:rsidP="00D81D75">
                  <w:pPr>
                    <w:spacing w:after="60"/>
                    <w:rPr>
                      <w:i/>
                      <w:iCs/>
                      <w:sz w:val="20"/>
                    </w:rPr>
                  </w:pPr>
                  <w:r w:rsidRPr="00A552C3">
                    <w:rPr>
                      <w:i/>
                      <w:iCs/>
                      <w:sz w:val="20"/>
                    </w:rPr>
                    <w:t>Real-Time Responsive Reserve Revenue Target</w:t>
                  </w:r>
                  <w:r w:rsidR="003A6CCF" w:rsidRPr="00A552C3">
                    <w:rPr>
                      <w:iCs/>
                      <w:sz w:val="20"/>
                    </w:rPr>
                    <w:t>—</w:t>
                  </w:r>
                  <w:r w:rsidRPr="00A552C3">
                    <w:rPr>
                      <w:iCs/>
                      <w:sz w:val="20"/>
                    </w:rPr>
                    <w:t xml:space="preserve">The revenue target of the RRS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5C3371FE" w14:textId="77777777" w:rsidTr="00C952ED">
              <w:trPr>
                <w:cantSplit/>
              </w:trPr>
              <w:tc>
                <w:tcPr>
                  <w:tcW w:w="934" w:type="pct"/>
                </w:tcPr>
                <w:p w14:paraId="69768FAC" w14:textId="473F4968" w:rsidR="00D81D75" w:rsidRPr="00A552C3" w:rsidRDefault="00D81D75" w:rsidP="00D81D75">
                  <w:pPr>
                    <w:spacing w:after="60"/>
                    <w:rPr>
                      <w:iCs/>
                      <w:sz w:val="20"/>
                    </w:rPr>
                  </w:pPr>
                  <w:r w:rsidRPr="00A552C3">
                    <w:rPr>
                      <w:iCs/>
                      <w:sz w:val="20"/>
                    </w:rPr>
                    <w:t xml:space="preserve">RTNSREVT </w:t>
                  </w:r>
                  <w:r w:rsidRPr="00A552C3">
                    <w:rPr>
                      <w:bCs/>
                      <w:i/>
                      <w:sz w:val="20"/>
                      <w:szCs w:val="16"/>
                      <w:vertAlign w:val="subscript"/>
                    </w:rPr>
                    <w:t>q, r</w:t>
                  </w:r>
                  <w:r w:rsidR="00BD19E2">
                    <w:rPr>
                      <w:bCs/>
                      <w:i/>
                      <w:sz w:val="20"/>
                      <w:szCs w:val="16"/>
                      <w:vertAlign w:val="subscript"/>
                    </w:rPr>
                    <w:t>, p</w:t>
                  </w:r>
                </w:p>
              </w:tc>
              <w:tc>
                <w:tcPr>
                  <w:tcW w:w="481" w:type="pct"/>
                </w:tcPr>
                <w:p w14:paraId="0472AD67" w14:textId="77777777" w:rsidR="00D81D75" w:rsidRPr="00A552C3" w:rsidRDefault="00D81D75" w:rsidP="00D81D75">
                  <w:pPr>
                    <w:spacing w:after="60"/>
                    <w:rPr>
                      <w:iCs/>
                      <w:sz w:val="20"/>
                    </w:rPr>
                  </w:pPr>
                  <w:r w:rsidRPr="00A552C3">
                    <w:rPr>
                      <w:iCs/>
                      <w:sz w:val="20"/>
                    </w:rPr>
                    <w:t>$</w:t>
                  </w:r>
                </w:p>
              </w:tc>
              <w:tc>
                <w:tcPr>
                  <w:tcW w:w="3585" w:type="pct"/>
                </w:tcPr>
                <w:p w14:paraId="3E72FBD2" w14:textId="69432AD5" w:rsidR="00D81D75" w:rsidRPr="00A552C3" w:rsidRDefault="00D81D75" w:rsidP="00D81D75">
                  <w:pPr>
                    <w:spacing w:after="60"/>
                    <w:rPr>
                      <w:i/>
                      <w:iCs/>
                      <w:sz w:val="20"/>
                    </w:rPr>
                  </w:pPr>
                  <w:r w:rsidRPr="00A552C3">
                    <w:rPr>
                      <w:i/>
                      <w:iCs/>
                      <w:sz w:val="20"/>
                    </w:rPr>
                    <w:t>Real-Time Non-Spin Revenue Target</w:t>
                  </w:r>
                  <w:r w:rsidR="003A6CCF" w:rsidRPr="00A552C3">
                    <w:rPr>
                      <w:iCs/>
                      <w:sz w:val="20"/>
                    </w:rPr>
                    <w:t>—</w:t>
                  </w:r>
                  <w:r w:rsidRPr="00A552C3">
                    <w:rPr>
                      <w:iCs/>
                      <w:sz w:val="20"/>
                    </w:rPr>
                    <w:t xml:space="preserve">The revenue target of the Non-Spin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310B111A" w14:textId="77777777" w:rsidTr="00C952ED">
              <w:trPr>
                <w:cantSplit/>
              </w:trPr>
              <w:tc>
                <w:tcPr>
                  <w:tcW w:w="934" w:type="pct"/>
                </w:tcPr>
                <w:p w14:paraId="3CA8FAC9" w14:textId="51AE8B7F" w:rsidR="00D81D75" w:rsidRPr="00A552C3" w:rsidRDefault="00D81D75" w:rsidP="00D81D75">
                  <w:pPr>
                    <w:spacing w:after="60"/>
                    <w:rPr>
                      <w:iCs/>
                      <w:sz w:val="20"/>
                    </w:rPr>
                  </w:pPr>
                  <w:r w:rsidRPr="00A552C3">
                    <w:rPr>
                      <w:iCs/>
                      <w:sz w:val="20"/>
                    </w:rPr>
                    <w:t xml:space="preserve">RTECRREVT </w:t>
                  </w:r>
                  <w:r w:rsidRPr="00A552C3">
                    <w:rPr>
                      <w:bCs/>
                      <w:i/>
                      <w:sz w:val="20"/>
                      <w:szCs w:val="16"/>
                      <w:vertAlign w:val="subscript"/>
                    </w:rPr>
                    <w:t>q, r</w:t>
                  </w:r>
                  <w:r w:rsidR="00BD19E2">
                    <w:rPr>
                      <w:bCs/>
                      <w:i/>
                      <w:sz w:val="20"/>
                      <w:szCs w:val="16"/>
                      <w:vertAlign w:val="subscript"/>
                    </w:rPr>
                    <w:t>, p</w:t>
                  </w:r>
                </w:p>
              </w:tc>
              <w:tc>
                <w:tcPr>
                  <w:tcW w:w="481" w:type="pct"/>
                </w:tcPr>
                <w:p w14:paraId="39A9BEDF" w14:textId="77777777" w:rsidR="00D81D75" w:rsidRPr="00A552C3" w:rsidRDefault="00D81D75" w:rsidP="00D81D75">
                  <w:pPr>
                    <w:spacing w:after="60"/>
                    <w:rPr>
                      <w:iCs/>
                      <w:sz w:val="20"/>
                    </w:rPr>
                  </w:pPr>
                  <w:r w:rsidRPr="00A552C3">
                    <w:rPr>
                      <w:iCs/>
                      <w:sz w:val="20"/>
                    </w:rPr>
                    <w:t>$</w:t>
                  </w:r>
                </w:p>
              </w:tc>
              <w:tc>
                <w:tcPr>
                  <w:tcW w:w="3585" w:type="pct"/>
                </w:tcPr>
                <w:p w14:paraId="400C4049" w14:textId="29A8CB45" w:rsidR="00D81D75" w:rsidRPr="00A552C3" w:rsidRDefault="00D81D75" w:rsidP="00D81D75">
                  <w:pPr>
                    <w:spacing w:after="60"/>
                    <w:rPr>
                      <w:i/>
                      <w:iCs/>
                      <w:sz w:val="20"/>
                    </w:rPr>
                  </w:pPr>
                  <w:r w:rsidRPr="00A552C3">
                    <w:rPr>
                      <w:i/>
                      <w:iCs/>
                      <w:sz w:val="20"/>
                    </w:rPr>
                    <w:t>Real-Time ERCOT Contingency Reserve Service Revenue Target</w:t>
                  </w:r>
                  <w:r w:rsidR="003A6CCF" w:rsidRPr="00A552C3">
                    <w:rPr>
                      <w:iCs/>
                      <w:sz w:val="20"/>
                    </w:rPr>
                    <w:t>—</w:t>
                  </w:r>
                  <w:r w:rsidRPr="00A552C3">
                    <w:rPr>
                      <w:iCs/>
                      <w:sz w:val="20"/>
                    </w:rPr>
                    <w:t xml:space="preserve">The revenue target of the ECRS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098E7F05" w14:textId="77777777" w:rsidTr="00C952ED">
              <w:trPr>
                <w:cantSplit/>
              </w:trPr>
              <w:tc>
                <w:tcPr>
                  <w:tcW w:w="934" w:type="pct"/>
                </w:tcPr>
                <w:p w14:paraId="109BF175" w14:textId="77777777" w:rsidR="00D81D75" w:rsidRPr="00A552C3" w:rsidRDefault="00D81D75" w:rsidP="00D81D75">
                  <w:pPr>
                    <w:spacing w:after="60"/>
                    <w:rPr>
                      <w:iCs/>
                      <w:sz w:val="20"/>
                    </w:rPr>
                  </w:pPr>
                  <w:r w:rsidRPr="00A552C3">
                    <w:rPr>
                      <w:iCs/>
                      <w:sz w:val="20"/>
                      <w:lang w:val="pt-BR"/>
                    </w:rPr>
                    <w:t xml:space="preserve">RTRUWAPR </w:t>
                  </w:r>
                  <w:r w:rsidRPr="00A552C3">
                    <w:rPr>
                      <w:i/>
                      <w:iCs/>
                      <w:sz w:val="20"/>
                      <w:vertAlign w:val="subscript"/>
                      <w:lang w:val="pt-BR"/>
                    </w:rPr>
                    <w:t>q, r, p</w:t>
                  </w:r>
                </w:p>
              </w:tc>
              <w:tc>
                <w:tcPr>
                  <w:tcW w:w="481" w:type="pct"/>
                </w:tcPr>
                <w:p w14:paraId="498AD545" w14:textId="77777777" w:rsidR="00D81D75" w:rsidRPr="00A552C3" w:rsidRDefault="00D81D75" w:rsidP="00D81D75">
                  <w:pPr>
                    <w:spacing w:after="60"/>
                    <w:rPr>
                      <w:iCs/>
                      <w:sz w:val="20"/>
                    </w:rPr>
                  </w:pPr>
                  <w:r w:rsidRPr="00A552C3">
                    <w:rPr>
                      <w:iCs/>
                      <w:sz w:val="20"/>
                    </w:rPr>
                    <w:t>$/MW</w:t>
                  </w:r>
                </w:p>
              </w:tc>
              <w:tc>
                <w:tcPr>
                  <w:tcW w:w="3585" w:type="pct"/>
                </w:tcPr>
                <w:p w14:paraId="6E2481A5" w14:textId="0FC5E41D" w:rsidR="00D81D75" w:rsidRPr="00A552C3" w:rsidRDefault="00D81D75" w:rsidP="00D81D75">
                  <w:pPr>
                    <w:spacing w:after="60"/>
                    <w:rPr>
                      <w:iCs/>
                      <w:sz w:val="20"/>
                    </w:rPr>
                  </w:pPr>
                  <w:r w:rsidRPr="00A552C3">
                    <w:rPr>
                      <w:i/>
                      <w:iCs/>
                      <w:sz w:val="20"/>
                    </w:rPr>
                    <w:t>Real-Time Reg-Up Weighted-Average Price</w:t>
                  </w:r>
                  <w:r w:rsidR="003A6CCF" w:rsidRPr="00A552C3">
                    <w:rPr>
                      <w:iCs/>
                      <w:sz w:val="20"/>
                    </w:rPr>
                    <w:t>—</w:t>
                  </w:r>
                  <w:r w:rsidRPr="00A552C3">
                    <w:rPr>
                      <w:iCs/>
                      <w:sz w:val="20"/>
                    </w:rPr>
                    <w:t xml:space="preserve">The weighted average of the Ancillary Service Offer prices corresponding with the Reg-Up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8AB024A" w14:textId="77777777" w:rsidTr="00C952ED">
              <w:trPr>
                <w:cantSplit/>
              </w:trPr>
              <w:tc>
                <w:tcPr>
                  <w:tcW w:w="934" w:type="pct"/>
                </w:tcPr>
                <w:p w14:paraId="3AABA1D5" w14:textId="77777777" w:rsidR="00D81D75" w:rsidRPr="00A552C3" w:rsidRDefault="00D81D75" w:rsidP="00D81D75">
                  <w:pPr>
                    <w:spacing w:after="60"/>
                    <w:rPr>
                      <w:iCs/>
                      <w:sz w:val="20"/>
                    </w:rPr>
                  </w:pPr>
                  <w:r w:rsidRPr="00A552C3">
                    <w:rPr>
                      <w:iCs/>
                      <w:sz w:val="20"/>
                      <w:lang w:val="pt-BR"/>
                    </w:rPr>
                    <w:t xml:space="preserve">RTRDWAPR </w:t>
                  </w:r>
                  <w:r w:rsidRPr="00A552C3">
                    <w:rPr>
                      <w:i/>
                      <w:iCs/>
                      <w:sz w:val="20"/>
                      <w:vertAlign w:val="subscript"/>
                      <w:lang w:val="pt-BR"/>
                    </w:rPr>
                    <w:t>q, r, p</w:t>
                  </w:r>
                </w:p>
              </w:tc>
              <w:tc>
                <w:tcPr>
                  <w:tcW w:w="481" w:type="pct"/>
                </w:tcPr>
                <w:p w14:paraId="656C3900" w14:textId="77777777" w:rsidR="00D81D75" w:rsidRPr="00A552C3" w:rsidRDefault="00D81D75" w:rsidP="00D81D75">
                  <w:pPr>
                    <w:spacing w:after="60"/>
                    <w:rPr>
                      <w:iCs/>
                      <w:sz w:val="20"/>
                    </w:rPr>
                  </w:pPr>
                  <w:r w:rsidRPr="00A552C3">
                    <w:rPr>
                      <w:iCs/>
                      <w:sz w:val="20"/>
                    </w:rPr>
                    <w:t>$/MW</w:t>
                  </w:r>
                </w:p>
              </w:tc>
              <w:tc>
                <w:tcPr>
                  <w:tcW w:w="3585" w:type="pct"/>
                </w:tcPr>
                <w:p w14:paraId="03D39FED" w14:textId="75B5B7DF" w:rsidR="00D81D75" w:rsidRPr="00A552C3" w:rsidRDefault="00D81D75" w:rsidP="00D81D75">
                  <w:pPr>
                    <w:spacing w:after="60"/>
                    <w:rPr>
                      <w:i/>
                      <w:iCs/>
                      <w:sz w:val="20"/>
                    </w:rPr>
                  </w:pPr>
                  <w:r w:rsidRPr="00A552C3">
                    <w:rPr>
                      <w:i/>
                      <w:iCs/>
                      <w:sz w:val="20"/>
                    </w:rPr>
                    <w:t>Real-Time Reg-Down Weighted-Average Price</w:t>
                  </w:r>
                  <w:r w:rsidR="003A6CCF" w:rsidRPr="00A552C3">
                    <w:rPr>
                      <w:iCs/>
                      <w:sz w:val="20"/>
                    </w:rPr>
                    <w:t>—</w:t>
                  </w:r>
                  <w:r w:rsidRPr="00A552C3">
                    <w:rPr>
                      <w:iCs/>
                      <w:sz w:val="20"/>
                    </w:rPr>
                    <w:t xml:space="preserve">The weighted average of the Ancillary Service Offer prices corresponding with the Reg-Down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D52ACCA" w14:textId="77777777" w:rsidTr="00C952ED">
              <w:trPr>
                <w:cantSplit/>
              </w:trPr>
              <w:tc>
                <w:tcPr>
                  <w:tcW w:w="934" w:type="pct"/>
                </w:tcPr>
                <w:p w14:paraId="0383BDC2" w14:textId="77777777" w:rsidR="00D81D75" w:rsidRPr="00A552C3" w:rsidRDefault="00D81D75" w:rsidP="00D81D75">
                  <w:pPr>
                    <w:spacing w:after="60"/>
                    <w:rPr>
                      <w:iCs/>
                      <w:sz w:val="20"/>
                    </w:rPr>
                  </w:pPr>
                  <w:r w:rsidRPr="00A552C3">
                    <w:rPr>
                      <w:iCs/>
                      <w:sz w:val="20"/>
                      <w:lang w:val="pt-BR"/>
                    </w:rPr>
                    <w:t xml:space="preserve">RTRRWAPR </w:t>
                  </w:r>
                  <w:r w:rsidRPr="00A552C3">
                    <w:rPr>
                      <w:i/>
                      <w:iCs/>
                      <w:sz w:val="20"/>
                      <w:vertAlign w:val="subscript"/>
                      <w:lang w:val="pt-BR"/>
                    </w:rPr>
                    <w:t>q, r, p</w:t>
                  </w:r>
                </w:p>
              </w:tc>
              <w:tc>
                <w:tcPr>
                  <w:tcW w:w="481" w:type="pct"/>
                </w:tcPr>
                <w:p w14:paraId="70136C07" w14:textId="77777777" w:rsidR="00D81D75" w:rsidRPr="00A552C3" w:rsidRDefault="00D81D75" w:rsidP="00D81D75">
                  <w:pPr>
                    <w:spacing w:after="60"/>
                    <w:rPr>
                      <w:iCs/>
                      <w:sz w:val="20"/>
                    </w:rPr>
                  </w:pPr>
                  <w:r w:rsidRPr="00A552C3">
                    <w:rPr>
                      <w:iCs/>
                      <w:sz w:val="20"/>
                    </w:rPr>
                    <w:t>$/MW</w:t>
                  </w:r>
                </w:p>
              </w:tc>
              <w:tc>
                <w:tcPr>
                  <w:tcW w:w="3585" w:type="pct"/>
                </w:tcPr>
                <w:p w14:paraId="34243D5B" w14:textId="5D575B65" w:rsidR="00D81D75" w:rsidRPr="00A552C3" w:rsidRDefault="00D81D75" w:rsidP="00D81D75">
                  <w:pPr>
                    <w:spacing w:after="60"/>
                    <w:rPr>
                      <w:i/>
                      <w:iCs/>
                      <w:sz w:val="20"/>
                    </w:rPr>
                  </w:pPr>
                  <w:r w:rsidRPr="00A552C3">
                    <w:rPr>
                      <w:i/>
                      <w:iCs/>
                      <w:sz w:val="20"/>
                    </w:rPr>
                    <w:t>Real-Time Responsive Reserve Weighted-Average Price</w:t>
                  </w:r>
                  <w:r w:rsidR="003A6CCF" w:rsidRPr="00A552C3">
                    <w:rPr>
                      <w:iCs/>
                      <w:sz w:val="20"/>
                    </w:rPr>
                    <w:t>—</w:t>
                  </w:r>
                  <w:r w:rsidRPr="00A552C3">
                    <w:rPr>
                      <w:iCs/>
                      <w:sz w:val="20"/>
                    </w:rPr>
                    <w:t xml:space="preserve">The weighted average of the Ancillary Service Offer prices corresponding with the RRS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FA78334" w14:textId="77777777" w:rsidTr="00C952ED">
              <w:trPr>
                <w:cantSplit/>
              </w:trPr>
              <w:tc>
                <w:tcPr>
                  <w:tcW w:w="934" w:type="pct"/>
                </w:tcPr>
                <w:p w14:paraId="17BBAE55" w14:textId="77777777" w:rsidR="00D81D75" w:rsidRPr="00A552C3" w:rsidRDefault="00D81D75" w:rsidP="00D81D75">
                  <w:pPr>
                    <w:spacing w:after="60"/>
                    <w:rPr>
                      <w:iCs/>
                      <w:sz w:val="20"/>
                    </w:rPr>
                  </w:pPr>
                  <w:r w:rsidRPr="00A552C3">
                    <w:rPr>
                      <w:iCs/>
                      <w:sz w:val="20"/>
                      <w:lang w:val="pt-BR"/>
                    </w:rPr>
                    <w:t xml:space="preserve">RTNSWAPR </w:t>
                  </w:r>
                  <w:r w:rsidRPr="00A552C3">
                    <w:rPr>
                      <w:i/>
                      <w:iCs/>
                      <w:sz w:val="20"/>
                      <w:vertAlign w:val="subscript"/>
                      <w:lang w:val="pt-BR"/>
                    </w:rPr>
                    <w:t>q, r, p</w:t>
                  </w:r>
                </w:p>
              </w:tc>
              <w:tc>
                <w:tcPr>
                  <w:tcW w:w="481" w:type="pct"/>
                </w:tcPr>
                <w:p w14:paraId="161BAA8E" w14:textId="77777777" w:rsidR="00D81D75" w:rsidRPr="00A552C3" w:rsidRDefault="00D81D75" w:rsidP="00D81D75">
                  <w:pPr>
                    <w:spacing w:after="60"/>
                    <w:rPr>
                      <w:iCs/>
                      <w:sz w:val="20"/>
                    </w:rPr>
                  </w:pPr>
                  <w:r w:rsidRPr="00A552C3">
                    <w:rPr>
                      <w:iCs/>
                      <w:sz w:val="20"/>
                    </w:rPr>
                    <w:t>$/MW</w:t>
                  </w:r>
                </w:p>
              </w:tc>
              <w:tc>
                <w:tcPr>
                  <w:tcW w:w="3585" w:type="pct"/>
                </w:tcPr>
                <w:p w14:paraId="3E6ABB7D" w14:textId="35B761A2" w:rsidR="00D81D75" w:rsidRPr="00A552C3" w:rsidRDefault="00D81D75" w:rsidP="00D81D75">
                  <w:pPr>
                    <w:spacing w:after="60"/>
                    <w:rPr>
                      <w:i/>
                      <w:iCs/>
                      <w:sz w:val="20"/>
                    </w:rPr>
                  </w:pPr>
                  <w:r w:rsidRPr="00A552C3">
                    <w:rPr>
                      <w:i/>
                      <w:iCs/>
                      <w:sz w:val="20"/>
                    </w:rPr>
                    <w:t>Real-Time Non-Spin Weighted-Average Price</w:t>
                  </w:r>
                  <w:r w:rsidR="003A6CCF" w:rsidRPr="00A552C3">
                    <w:rPr>
                      <w:iCs/>
                      <w:sz w:val="20"/>
                    </w:rPr>
                    <w:t>—</w:t>
                  </w:r>
                  <w:r w:rsidRPr="00A552C3">
                    <w:rPr>
                      <w:iCs/>
                      <w:sz w:val="20"/>
                    </w:rPr>
                    <w:t xml:space="preserve">The weighted average of the Ancillary Service Offer prices corresponding with the Non-Spin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9841FA7" w14:textId="77777777" w:rsidTr="00C952ED">
              <w:trPr>
                <w:cantSplit/>
              </w:trPr>
              <w:tc>
                <w:tcPr>
                  <w:tcW w:w="934" w:type="pct"/>
                </w:tcPr>
                <w:p w14:paraId="78611EBB" w14:textId="77777777" w:rsidR="00D81D75" w:rsidRPr="00A552C3" w:rsidRDefault="00D81D75" w:rsidP="00D81D75">
                  <w:pPr>
                    <w:spacing w:after="60"/>
                    <w:rPr>
                      <w:iCs/>
                      <w:sz w:val="20"/>
                      <w:lang w:val="pt-BR"/>
                    </w:rPr>
                  </w:pPr>
                  <w:r w:rsidRPr="00A552C3">
                    <w:rPr>
                      <w:iCs/>
                      <w:sz w:val="20"/>
                      <w:lang w:val="pt-BR"/>
                    </w:rPr>
                    <w:t xml:space="preserve">RTECRWAPR </w:t>
                  </w:r>
                  <w:r w:rsidRPr="00A552C3">
                    <w:rPr>
                      <w:i/>
                      <w:iCs/>
                      <w:sz w:val="20"/>
                      <w:vertAlign w:val="subscript"/>
                      <w:lang w:val="pt-BR"/>
                    </w:rPr>
                    <w:t>q, r, p</w:t>
                  </w:r>
                </w:p>
              </w:tc>
              <w:tc>
                <w:tcPr>
                  <w:tcW w:w="481" w:type="pct"/>
                </w:tcPr>
                <w:p w14:paraId="40E4D8A8" w14:textId="77777777" w:rsidR="00D81D75" w:rsidRPr="00A552C3" w:rsidRDefault="00D81D75" w:rsidP="00D81D75">
                  <w:pPr>
                    <w:spacing w:after="60"/>
                    <w:rPr>
                      <w:iCs/>
                      <w:sz w:val="20"/>
                    </w:rPr>
                  </w:pPr>
                  <w:r w:rsidRPr="00A552C3">
                    <w:rPr>
                      <w:iCs/>
                      <w:sz w:val="20"/>
                    </w:rPr>
                    <w:t>$/MW</w:t>
                  </w:r>
                </w:p>
              </w:tc>
              <w:tc>
                <w:tcPr>
                  <w:tcW w:w="3585" w:type="pct"/>
                </w:tcPr>
                <w:p w14:paraId="26586E17" w14:textId="417EA56C" w:rsidR="00D81D75" w:rsidRPr="00A552C3" w:rsidRDefault="00D81D75" w:rsidP="00D81D75">
                  <w:pPr>
                    <w:spacing w:after="60"/>
                    <w:rPr>
                      <w:i/>
                      <w:iCs/>
                      <w:sz w:val="20"/>
                    </w:rPr>
                  </w:pPr>
                  <w:r w:rsidRPr="00A552C3">
                    <w:rPr>
                      <w:i/>
                      <w:iCs/>
                      <w:sz w:val="20"/>
                    </w:rPr>
                    <w:t>Real-Time ERCOT Contingency Reserve Service Weighted-Average Price</w:t>
                  </w:r>
                  <w:r w:rsidR="00AE1531" w:rsidRPr="00A552C3">
                    <w:rPr>
                      <w:iCs/>
                      <w:sz w:val="20"/>
                    </w:rPr>
                    <w:t>—</w:t>
                  </w:r>
                  <w:r w:rsidRPr="00A552C3">
                    <w:rPr>
                      <w:iCs/>
                      <w:sz w:val="20"/>
                    </w:rPr>
                    <w:t xml:space="preserve">The weighted average of the Ancillary Service Offer prices corresponding with the ECRS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B8CA269" w14:textId="77777777" w:rsidTr="00C952ED">
              <w:trPr>
                <w:cantSplit/>
              </w:trPr>
              <w:tc>
                <w:tcPr>
                  <w:tcW w:w="934" w:type="pct"/>
                </w:tcPr>
                <w:p w14:paraId="4CBF2574" w14:textId="77777777" w:rsidR="00D81D75" w:rsidRPr="00A552C3" w:rsidRDefault="00D81D75" w:rsidP="00D81D75">
                  <w:pPr>
                    <w:spacing w:after="60"/>
                    <w:rPr>
                      <w:iCs/>
                      <w:sz w:val="20"/>
                      <w:lang w:val="pt-BR"/>
                    </w:rPr>
                  </w:pPr>
                  <w:r w:rsidRPr="00A552C3">
                    <w:rPr>
                      <w:iCs/>
                      <w:sz w:val="20"/>
                    </w:rPr>
                    <w:t>RTRUAWD</w:t>
                  </w:r>
                  <w:r w:rsidRPr="00A552C3">
                    <w:rPr>
                      <w:i/>
                      <w:iCs/>
                      <w:sz w:val="20"/>
                      <w:vertAlign w:val="subscript"/>
                    </w:rPr>
                    <w:t xml:space="preserve"> q, r</w:t>
                  </w:r>
                </w:p>
              </w:tc>
              <w:tc>
                <w:tcPr>
                  <w:tcW w:w="481" w:type="pct"/>
                </w:tcPr>
                <w:p w14:paraId="5C0CC089" w14:textId="77777777" w:rsidR="00D81D75" w:rsidRPr="00A552C3" w:rsidRDefault="00D81D75" w:rsidP="00D81D75">
                  <w:pPr>
                    <w:spacing w:after="60"/>
                    <w:rPr>
                      <w:iCs/>
                      <w:sz w:val="20"/>
                    </w:rPr>
                  </w:pPr>
                  <w:r w:rsidRPr="00A552C3">
                    <w:rPr>
                      <w:iCs/>
                      <w:sz w:val="20"/>
                    </w:rPr>
                    <w:t>MW</w:t>
                  </w:r>
                </w:p>
              </w:tc>
              <w:tc>
                <w:tcPr>
                  <w:tcW w:w="3585" w:type="pct"/>
                </w:tcPr>
                <w:p w14:paraId="70432919" w14:textId="724369F9" w:rsidR="00D81D75" w:rsidRPr="00A552C3" w:rsidRDefault="00D81D75" w:rsidP="00D81D75">
                  <w:pPr>
                    <w:spacing w:after="60"/>
                    <w:rPr>
                      <w:i/>
                      <w:iCs/>
                      <w:sz w:val="20"/>
                    </w:rPr>
                  </w:pPr>
                  <w:r w:rsidRPr="00A552C3">
                    <w:rPr>
                      <w:i/>
                      <w:iCs/>
                      <w:sz w:val="20"/>
                    </w:rPr>
                    <w:t>Real-Time Reg-Up Award per Resource per QSE</w:t>
                  </w:r>
                  <w:r w:rsidRPr="00A552C3">
                    <w:rPr>
                      <w:iCs/>
                      <w:sz w:val="20"/>
                    </w:rPr>
                    <w:t xml:space="preserve">—The Reg-Up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AC3657A" w14:textId="77777777" w:rsidTr="00C952ED">
              <w:trPr>
                <w:cantSplit/>
              </w:trPr>
              <w:tc>
                <w:tcPr>
                  <w:tcW w:w="934" w:type="pct"/>
                </w:tcPr>
                <w:p w14:paraId="3D3F7993" w14:textId="77777777" w:rsidR="00D81D75" w:rsidRPr="00A552C3" w:rsidRDefault="00D81D75" w:rsidP="00D81D75">
                  <w:pPr>
                    <w:spacing w:after="60"/>
                    <w:rPr>
                      <w:iCs/>
                      <w:sz w:val="20"/>
                      <w:lang w:val="pt-BR"/>
                    </w:rPr>
                  </w:pPr>
                  <w:r w:rsidRPr="00A552C3">
                    <w:rPr>
                      <w:iCs/>
                      <w:sz w:val="20"/>
                    </w:rPr>
                    <w:lastRenderedPageBreak/>
                    <w:t>RTRDAWD</w:t>
                  </w:r>
                  <w:r w:rsidRPr="00A552C3">
                    <w:rPr>
                      <w:i/>
                      <w:iCs/>
                      <w:sz w:val="20"/>
                      <w:vertAlign w:val="subscript"/>
                    </w:rPr>
                    <w:t xml:space="preserve"> q, r</w:t>
                  </w:r>
                </w:p>
              </w:tc>
              <w:tc>
                <w:tcPr>
                  <w:tcW w:w="481" w:type="pct"/>
                </w:tcPr>
                <w:p w14:paraId="4727D7AA" w14:textId="77777777" w:rsidR="00D81D75" w:rsidRPr="00A552C3" w:rsidRDefault="00D81D75" w:rsidP="00D81D75">
                  <w:pPr>
                    <w:spacing w:after="60"/>
                    <w:rPr>
                      <w:iCs/>
                      <w:sz w:val="20"/>
                    </w:rPr>
                  </w:pPr>
                  <w:r w:rsidRPr="00A552C3">
                    <w:rPr>
                      <w:iCs/>
                      <w:sz w:val="20"/>
                    </w:rPr>
                    <w:t>MW</w:t>
                  </w:r>
                </w:p>
              </w:tc>
              <w:tc>
                <w:tcPr>
                  <w:tcW w:w="3585" w:type="pct"/>
                </w:tcPr>
                <w:p w14:paraId="5E8977BD" w14:textId="20B22319" w:rsidR="00D81D75" w:rsidRPr="00A552C3" w:rsidRDefault="00D81D75" w:rsidP="00D81D75">
                  <w:pPr>
                    <w:spacing w:after="60"/>
                    <w:rPr>
                      <w:i/>
                      <w:iCs/>
                      <w:sz w:val="20"/>
                    </w:rPr>
                  </w:pPr>
                  <w:r w:rsidRPr="00A552C3">
                    <w:rPr>
                      <w:i/>
                      <w:iCs/>
                      <w:sz w:val="20"/>
                    </w:rPr>
                    <w:t>Real-Time Reg-Down Award per Resource per QSE</w:t>
                  </w:r>
                  <w:r w:rsidRPr="00A552C3">
                    <w:rPr>
                      <w:iCs/>
                      <w:sz w:val="20"/>
                    </w:rPr>
                    <w:t xml:space="preserve">—The Reg-Down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589974F" w14:textId="77777777" w:rsidTr="00C952ED">
              <w:trPr>
                <w:cantSplit/>
              </w:trPr>
              <w:tc>
                <w:tcPr>
                  <w:tcW w:w="934" w:type="pct"/>
                </w:tcPr>
                <w:p w14:paraId="1518CEAB" w14:textId="77777777" w:rsidR="00D81D75" w:rsidRPr="00A552C3" w:rsidRDefault="00D81D75" w:rsidP="00D81D75">
                  <w:pPr>
                    <w:spacing w:after="60"/>
                    <w:rPr>
                      <w:iCs/>
                      <w:sz w:val="20"/>
                      <w:lang w:val="pt-BR"/>
                    </w:rPr>
                  </w:pPr>
                  <w:r w:rsidRPr="00A552C3">
                    <w:rPr>
                      <w:iCs/>
                      <w:sz w:val="20"/>
                    </w:rPr>
                    <w:t>RTRRAWD</w:t>
                  </w:r>
                  <w:r w:rsidRPr="00A552C3">
                    <w:rPr>
                      <w:i/>
                      <w:iCs/>
                      <w:sz w:val="20"/>
                      <w:vertAlign w:val="subscript"/>
                    </w:rPr>
                    <w:t xml:space="preserve"> q, r</w:t>
                  </w:r>
                </w:p>
              </w:tc>
              <w:tc>
                <w:tcPr>
                  <w:tcW w:w="481" w:type="pct"/>
                </w:tcPr>
                <w:p w14:paraId="73BD2553" w14:textId="77777777" w:rsidR="00D81D75" w:rsidRPr="00A552C3" w:rsidRDefault="00D81D75" w:rsidP="00D81D75">
                  <w:pPr>
                    <w:spacing w:after="60"/>
                    <w:rPr>
                      <w:iCs/>
                      <w:sz w:val="20"/>
                    </w:rPr>
                  </w:pPr>
                  <w:r w:rsidRPr="00A552C3">
                    <w:rPr>
                      <w:iCs/>
                      <w:sz w:val="20"/>
                    </w:rPr>
                    <w:t>MW</w:t>
                  </w:r>
                </w:p>
              </w:tc>
              <w:tc>
                <w:tcPr>
                  <w:tcW w:w="3585" w:type="pct"/>
                </w:tcPr>
                <w:p w14:paraId="3A4DCBA0" w14:textId="6280F208" w:rsidR="00D81D75" w:rsidRPr="00A552C3" w:rsidRDefault="00D81D75" w:rsidP="00D81D75">
                  <w:pPr>
                    <w:spacing w:after="60"/>
                    <w:rPr>
                      <w:i/>
                      <w:iCs/>
                      <w:sz w:val="20"/>
                    </w:rPr>
                  </w:pPr>
                  <w:r w:rsidRPr="00A552C3">
                    <w:rPr>
                      <w:i/>
                      <w:iCs/>
                      <w:sz w:val="20"/>
                    </w:rPr>
                    <w:t>Real-Time Responsive Reserve Award per Resource per QSE</w:t>
                  </w:r>
                  <w:r w:rsidRPr="00A552C3">
                    <w:rPr>
                      <w:iCs/>
                      <w:sz w:val="20"/>
                    </w:rPr>
                    <w:t xml:space="preserve">—The RRS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29776C0" w14:textId="77777777" w:rsidTr="00C952ED">
              <w:trPr>
                <w:cantSplit/>
              </w:trPr>
              <w:tc>
                <w:tcPr>
                  <w:tcW w:w="934" w:type="pct"/>
                </w:tcPr>
                <w:p w14:paraId="1A7E97E7" w14:textId="77777777" w:rsidR="00D81D75" w:rsidRPr="00A552C3" w:rsidRDefault="00D81D75" w:rsidP="00D81D75">
                  <w:pPr>
                    <w:spacing w:after="60"/>
                    <w:rPr>
                      <w:iCs/>
                      <w:sz w:val="20"/>
                      <w:lang w:val="pt-BR"/>
                    </w:rPr>
                  </w:pPr>
                  <w:r w:rsidRPr="00A552C3">
                    <w:rPr>
                      <w:iCs/>
                      <w:sz w:val="20"/>
                    </w:rPr>
                    <w:t>RTNSAWD</w:t>
                  </w:r>
                  <w:r w:rsidRPr="00A552C3">
                    <w:rPr>
                      <w:i/>
                      <w:iCs/>
                      <w:sz w:val="20"/>
                      <w:vertAlign w:val="subscript"/>
                    </w:rPr>
                    <w:t xml:space="preserve"> q, r</w:t>
                  </w:r>
                </w:p>
              </w:tc>
              <w:tc>
                <w:tcPr>
                  <w:tcW w:w="481" w:type="pct"/>
                </w:tcPr>
                <w:p w14:paraId="05964978" w14:textId="77777777" w:rsidR="00D81D75" w:rsidRPr="00A552C3" w:rsidRDefault="00D81D75" w:rsidP="00D81D75">
                  <w:pPr>
                    <w:spacing w:after="60"/>
                    <w:rPr>
                      <w:iCs/>
                      <w:sz w:val="20"/>
                    </w:rPr>
                  </w:pPr>
                  <w:r w:rsidRPr="00A552C3">
                    <w:rPr>
                      <w:iCs/>
                      <w:sz w:val="20"/>
                    </w:rPr>
                    <w:t>MW</w:t>
                  </w:r>
                </w:p>
              </w:tc>
              <w:tc>
                <w:tcPr>
                  <w:tcW w:w="3585" w:type="pct"/>
                </w:tcPr>
                <w:p w14:paraId="718D3E2F" w14:textId="69A891AD" w:rsidR="00D81D75" w:rsidRPr="00A552C3" w:rsidRDefault="00D81D75" w:rsidP="00D81D75">
                  <w:pPr>
                    <w:spacing w:after="60"/>
                    <w:rPr>
                      <w:i/>
                      <w:iCs/>
                      <w:sz w:val="20"/>
                    </w:rPr>
                  </w:pPr>
                  <w:r w:rsidRPr="00A552C3">
                    <w:rPr>
                      <w:i/>
                      <w:iCs/>
                      <w:sz w:val="20"/>
                    </w:rPr>
                    <w:t>Real-Time Non-Spin Award per Resource per QSE</w:t>
                  </w:r>
                  <w:r w:rsidRPr="00A552C3">
                    <w:rPr>
                      <w:iCs/>
                      <w:sz w:val="20"/>
                    </w:rPr>
                    <w:t xml:space="preserve">—The Non-Spin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6C7FA3D" w14:textId="77777777" w:rsidTr="00C952ED">
              <w:trPr>
                <w:cantSplit/>
              </w:trPr>
              <w:tc>
                <w:tcPr>
                  <w:tcW w:w="934" w:type="pct"/>
                </w:tcPr>
                <w:p w14:paraId="17B39053" w14:textId="77777777" w:rsidR="00D81D75" w:rsidRPr="00A552C3" w:rsidRDefault="00D81D75" w:rsidP="00D81D75">
                  <w:pPr>
                    <w:spacing w:after="60"/>
                    <w:rPr>
                      <w:iCs/>
                      <w:sz w:val="20"/>
                      <w:lang w:val="pt-BR"/>
                    </w:rPr>
                  </w:pPr>
                  <w:r w:rsidRPr="00A552C3">
                    <w:rPr>
                      <w:iCs/>
                      <w:sz w:val="20"/>
                    </w:rPr>
                    <w:t>RTECRAWD</w:t>
                  </w:r>
                  <w:r w:rsidRPr="00A552C3">
                    <w:rPr>
                      <w:i/>
                      <w:iCs/>
                      <w:sz w:val="20"/>
                      <w:vertAlign w:val="subscript"/>
                    </w:rPr>
                    <w:t xml:space="preserve"> q, r</w:t>
                  </w:r>
                </w:p>
              </w:tc>
              <w:tc>
                <w:tcPr>
                  <w:tcW w:w="481" w:type="pct"/>
                </w:tcPr>
                <w:p w14:paraId="5EB47B32" w14:textId="77777777" w:rsidR="00D81D75" w:rsidRPr="00A552C3" w:rsidRDefault="00D81D75" w:rsidP="00D81D75">
                  <w:pPr>
                    <w:spacing w:after="60"/>
                    <w:rPr>
                      <w:iCs/>
                      <w:sz w:val="20"/>
                    </w:rPr>
                  </w:pPr>
                  <w:r w:rsidRPr="00A552C3">
                    <w:rPr>
                      <w:iCs/>
                      <w:sz w:val="20"/>
                    </w:rPr>
                    <w:t>MW</w:t>
                  </w:r>
                </w:p>
              </w:tc>
              <w:tc>
                <w:tcPr>
                  <w:tcW w:w="3585" w:type="pct"/>
                </w:tcPr>
                <w:p w14:paraId="4CE70C19" w14:textId="763A87FC" w:rsidR="00D81D75" w:rsidRPr="00A552C3" w:rsidRDefault="00D81D75" w:rsidP="00D81D75">
                  <w:pPr>
                    <w:spacing w:after="60"/>
                    <w:rPr>
                      <w:i/>
                      <w:iCs/>
                      <w:sz w:val="20"/>
                    </w:rPr>
                  </w:pPr>
                  <w:r w:rsidRPr="00A552C3">
                    <w:rPr>
                      <w:i/>
                      <w:iCs/>
                      <w:sz w:val="20"/>
                    </w:rPr>
                    <w:t>Real-Time ERCOT Contingency Reserve Service Award per Resource per QSE</w:t>
                  </w:r>
                  <w:r w:rsidRPr="00A552C3">
                    <w:rPr>
                      <w:iCs/>
                      <w:sz w:val="20"/>
                    </w:rPr>
                    <w:t xml:space="preserve">—The ECRS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7739F291" w14:textId="77777777" w:rsidTr="00C952ED">
              <w:trPr>
                <w:cantSplit/>
              </w:trPr>
              <w:tc>
                <w:tcPr>
                  <w:tcW w:w="934" w:type="pct"/>
                </w:tcPr>
                <w:p w14:paraId="50D7EA39" w14:textId="081005E0" w:rsidR="00D81D75" w:rsidRPr="00A552C3" w:rsidRDefault="00D81D75" w:rsidP="00D81D75">
                  <w:pPr>
                    <w:spacing w:after="60"/>
                    <w:rPr>
                      <w:iCs/>
                      <w:sz w:val="20"/>
                    </w:rPr>
                  </w:pPr>
                  <w:r w:rsidRPr="00A552C3">
                    <w:rPr>
                      <w:iCs/>
                      <w:sz w:val="20"/>
                      <w:lang w:val="pt-BR"/>
                    </w:rPr>
                    <w:t xml:space="preserve">RTRUOPR </w:t>
                  </w:r>
                  <w:r w:rsidRPr="00A552C3">
                    <w:rPr>
                      <w:i/>
                      <w:iCs/>
                      <w:sz w:val="20"/>
                      <w:vertAlign w:val="subscript"/>
                      <w:lang w:val="pt-BR"/>
                    </w:rPr>
                    <w:t>q, r, y</w:t>
                  </w:r>
                </w:p>
              </w:tc>
              <w:tc>
                <w:tcPr>
                  <w:tcW w:w="481" w:type="pct"/>
                </w:tcPr>
                <w:p w14:paraId="06417469" w14:textId="77777777" w:rsidR="00D81D75" w:rsidRPr="00A552C3" w:rsidRDefault="00D81D75" w:rsidP="00D81D75">
                  <w:pPr>
                    <w:spacing w:after="60"/>
                    <w:rPr>
                      <w:iCs/>
                      <w:sz w:val="20"/>
                    </w:rPr>
                  </w:pPr>
                  <w:r w:rsidRPr="00A552C3">
                    <w:rPr>
                      <w:iCs/>
                      <w:sz w:val="20"/>
                    </w:rPr>
                    <w:t>$/MW</w:t>
                  </w:r>
                </w:p>
              </w:tc>
              <w:tc>
                <w:tcPr>
                  <w:tcW w:w="3585" w:type="pct"/>
                </w:tcPr>
                <w:p w14:paraId="181BA29C" w14:textId="1EB1BDE5" w:rsidR="00D81D75" w:rsidRPr="00A552C3" w:rsidRDefault="00D81D75" w:rsidP="00D81D75">
                  <w:pPr>
                    <w:spacing w:after="60"/>
                    <w:rPr>
                      <w:iCs/>
                      <w:sz w:val="20"/>
                    </w:rPr>
                  </w:pPr>
                  <w:r w:rsidRPr="00A552C3">
                    <w:rPr>
                      <w:i/>
                      <w:iCs/>
                      <w:sz w:val="20"/>
                    </w:rPr>
                    <w:t>Real-Time Reg-Up Offer Price</w:t>
                  </w:r>
                  <w:r w:rsidR="00AC775D" w:rsidRPr="00A552C3">
                    <w:rPr>
                      <w:iCs/>
                      <w:sz w:val="20"/>
                    </w:rPr>
                    <w:t>—</w:t>
                  </w:r>
                  <w:r w:rsidRPr="00A552C3">
                    <w:rPr>
                      <w:iCs/>
                      <w:sz w:val="20"/>
                    </w:rPr>
                    <w:t xml:space="preserve">The price on the Ancillary Service Offer curve at the Reg-Up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2891263" w14:textId="77777777" w:rsidTr="00C952ED">
              <w:trPr>
                <w:cantSplit/>
              </w:trPr>
              <w:tc>
                <w:tcPr>
                  <w:tcW w:w="934" w:type="pct"/>
                </w:tcPr>
                <w:p w14:paraId="051B91DA" w14:textId="19A673F0" w:rsidR="00D81D75" w:rsidRPr="00A552C3" w:rsidRDefault="00D81D75" w:rsidP="00D81D75">
                  <w:pPr>
                    <w:spacing w:after="60"/>
                    <w:rPr>
                      <w:iCs/>
                      <w:sz w:val="20"/>
                    </w:rPr>
                  </w:pPr>
                  <w:r w:rsidRPr="00A552C3">
                    <w:rPr>
                      <w:iCs/>
                      <w:sz w:val="20"/>
                      <w:lang w:val="pt-BR"/>
                    </w:rPr>
                    <w:t xml:space="preserve">RTRDOPR </w:t>
                  </w:r>
                  <w:r w:rsidRPr="00A552C3">
                    <w:rPr>
                      <w:i/>
                      <w:iCs/>
                      <w:sz w:val="20"/>
                      <w:vertAlign w:val="subscript"/>
                      <w:lang w:val="pt-BR"/>
                    </w:rPr>
                    <w:t>q, r, y</w:t>
                  </w:r>
                </w:p>
              </w:tc>
              <w:tc>
                <w:tcPr>
                  <w:tcW w:w="481" w:type="pct"/>
                </w:tcPr>
                <w:p w14:paraId="0DB6FE56" w14:textId="77777777" w:rsidR="00D81D75" w:rsidRPr="00A552C3" w:rsidRDefault="00D81D75" w:rsidP="00D81D75">
                  <w:pPr>
                    <w:spacing w:after="60"/>
                    <w:rPr>
                      <w:iCs/>
                      <w:sz w:val="20"/>
                    </w:rPr>
                  </w:pPr>
                  <w:r w:rsidRPr="00A552C3">
                    <w:rPr>
                      <w:iCs/>
                      <w:sz w:val="20"/>
                    </w:rPr>
                    <w:t>$/MW</w:t>
                  </w:r>
                </w:p>
              </w:tc>
              <w:tc>
                <w:tcPr>
                  <w:tcW w:w="3585" w:type="pct"/>
                </w:tcPr>
                <w:p w14:paraId="4047EE2D" w14:textId="47C80C9A" w:rsidR="00D81D75" w:rsidRPr="00A552C3" w:rsidRDefault="00D81D75" w:rsidP="00D81D75">
                  <w:pPr>
                    <w:spacing w:after="60"/>
                    <w:rPr>
                      <w:i/>
                      <w:iCs/>
                      <w:sz w:val="20"/>
                    </w:rPr>
                  </w:pPr>
                  <w:r w:rsidRPr="00A552C3">
                    <w:rPr>
                      <w:i/>
                      <w:iCs/>
                      <w:sz w:val="20"/>
                    </w:rPr>
                    <w:t>Real-Time Reg-Down Offer Price</w:t>
                  </w:r>
                  <w:r w:rsidR="00CF216D" w:rsidRPr="00A552C3">
                    <w:rPr>
                      <w:iCs/>
                      <w:sz w:val="20"/>
                    </w:rPr>
                    <w:t>—</w:t>
                  </w:r>
                  <w:r w:rsidRPr="00A552C3">
                    <w:rPr>
                      <w:iCs/>
                      <w:sz w:val="20"/>
                    </w:rPr>
                    <w:t xml:space="preserve">The price on the Ancillary Service Offer curve at the Reg-Down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4820306B" w14:textId="77777777" w:rsidTr="00C952ED">
              <w:trPr>
                <w:cantSplit/>
              </w:trPr>
              <w:tc>
                <w:tcPr>
                  <w:tcW w:w="934" w:type="pct"/>
                </w:tcPr>
                <w:p w14:paraId="7F9311DD" w14:textId="3BC21A02" w:rsidR="00D81D75" w:rsidRPr="00A552C3" w:rsidRDefault="00D81D75" w:rsidP="00D81D75">
                  <w:pPr>
                    <w:spacing w:after="60"/>
                    <w:rPr>
                      <w:iCs/>
                      <w:sz w:val="20"/>
                    </w:rPr>
                  </w:pPr>
                  <w:r w:rsidRPr="00A552C3">
                    <w:rPr>
                      <w:iCs/>
                      <w:sz w:val="20"/>
                      <w:lang w:val="pt-BR"/>
                    </w:rPr>
                    <w:t xml:space="preserve">RTRROPR </w:t>
                  </w:r>
                  <w:r w:rsidRPr="00A552C3">
                    <w:rPr>
                      <w:i/>
                      <w:iCs/>
                      <w:sz w:val="20"/>
                      <w:vertAlign w:val="subscript"/>
                      <w:lang w:val="pt-BR"/>
                    </w:rPr>
                    <w:t>q, r, y</w:t>
                  </w:r>
                </w:p>
              </w:tc>
              <w:tc>
                <w:tcPr>
                  <w:tcW w:w="481" w:type="pct"/>
                </w:tcPr>
                <w:p w14:paraId="48214A70" w14:textId="77777777" w:rsidR="00D81D75" w:rsidRPr="00A552C3" w:rsidRDefault="00D81D75" w:rsidP="00D81D75">
                  <w:pPr>
                    <w:spacing w:after="60"/>
                    <w:rPr>
                      <w:iCs/>
                      <w:sz w:val="20"/>
                    </w:rPr>
                  </w:pPr>
                  <w:r w:rsidRPr="00A552C3">
                    <w:rPr>
                      <w:iCs/>
                      <w:sz w:val="20"/>
                    </w:rPr>
                    <w:t>$/MW</w:t>
                  </w:r>
                </w:p>
              </w:tc>
              <w:tc>
                <w:tcPr>
                  <w:tcW w:w="3585" w:type="pct"/>
                </w:tcPr>
                <w:p w14:paraId="40318DF8" w14:textId="03C25780" w:rsidR="00D81D75" w:rsidRPr="00A552C3" w:rsidRDefault="00D81D75" w:rsidP="00D81D75">
                  <w:pPr>
                    <w:spacing w:after="60"/>
                    <w:rPr>
                      <w:i/>
                      <w:iCs/>
                      <w:sz w:val="20"/>
                    </w:rPr>
                  </w:pPr>
                  <w:r w:rsidRPr="00A552C3">
                    <w:rPr>
                      <w:i/>
                      <w:iCs/>
                      <w:sz w:val="20"/>
                    </w:rPr>
                    <w:t>Real-Time Responsive Reserve Offer Price</w:t>
                  </w:r>
                  <w:r w:rsidR="00C425F0" w:rsidRPr="00A552C3">
                    <w:rPr>
                      <w:iCs/>
                      <w:sz w:val="20"/>
                    </w:rPr>
                    <w:t>—</w:t>
                  </w:r>
                  <w:r w:rsidRPr="00A552C3">
                    <w:rPr>
                      <w:iCs/>
                      <w:sz w:val="20"/>
                    </w:rPr>
                    <w:t xml:space="preserve">The price on the Ancillary Service Offer curve at the RRS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59DB846" w14:textId="77777777" w:rsidTr="00C952ED">
              <w:trPr>
                <w:cantSplit/>
              </w:trPr>
              <w:tc>
                <w:tcPr>
                  <w:tcW w:w="934" w:type="pct"/>
                </w:tcPr>
                <w:p w14:paraId="15EE6419" w14:textId="38531810" w:rsidR="00D81D75" w:rsidRPr="00A552C3" w:rsidRDefault="00D81D75" w:rsidP="00D81D75">
                  <w:pPr>
                    <w:spacing w:after="60"/>
                    <w:rPr>
                      <w:iCs/>
                      <w:sz w:val="20"/>
                    </w:rPr>
                  </w:pPr>
                  <w:r w:rsidRPr="00A552C3">
                    <w:rPr>
                      <w:iCs/>
                      <w:sz w:val="20"/>
                      <w:lang w:val="pt-BR"/>
                    </w:rPr>
                    <w:t xml:space="preserve">RTNSOPR </w:t>
                  </w:r>
                  <w:r w:rsidRPr="00A552C3">
                    <w:rPr>
                      <w:i/>
                      <w:iCs/>
                      <w:sz w:val="20"/>
                      <w:vertAlign w:val="subscript"/>
                      <w:lang w:val="pt-BR"/>
                    </w:rPr>
                    <w:t>q, r, y</w:t>
                  </w:r>
                </w:p>
              </w:tc>
              <w:tc>
                <w:tcPr>
                  <w:tcW w:w="481" w:type="pct"/>
                </w:tcPr>
                <w:p w14:paraId="7582C3C8" w14:textId="77777777" w:rsidR="00D81D75" w:rsidRPr="00A552C3" w:rsidRDefault="00D81D75" w:rsidP="00D81D75">
                  <w:pPr>
                    <w:spacing w:after="60"/>
                    <w:rPr>
                      <w:iCs/>
                      <w:sz w:val="20"/>
                    </w:rPr>
                  </w:pPr>
                  <w:r w:rsidRPr="00A552C3">
                    <w:rPr>
                      <w:iCs/>
                      <w:sz w:val="20"/>
                    </w:rPr>
                    <w:t>$/MW</w:t>
                  </w:r>
                </w:p>
              </w:tc>
              <w:tc>
                <w:tcPr>
                  <w:tcW w:w="3585" w:type="pct"/>
                </w:tcPr>
                <w:p w14:paraId="349DD268" w14:textId="15736DF5" w:rsidR="00D81D75" w:rsidRPr="00A552C3" w:rsidRDefault="00D81D75" w:rsidP="00D81D75">
                  <w:pPr>
                    <w:spacing w:after="60"/>
                    <w:rPr>
                      <w:i/>
                      <w:iCs/>
                      <w:sz w:val="20"/>
                    </w:rPr>
                  </w:pPr>
                  <w:r w:rsidRPr="00A552C3">
                    <w:rPr>
                      <w:i/>
                      <w:iCs/>
                      <w:sz w:val="20"/>
                    </w:rPr>
                    <w:t>Real-Time Non-Spin Offer Price</w:t>
                  </w:r>
                  <w:r w:rsidR="00CB25ED" w:rsidRPr="00A552C3">
                    <w:rPr>
                      <w:iCs/>
                      <w:sz w:val="20"/>
                    </w:rPr>
                    <w:t>—</w:t>
                  </w:r>
                  <w:r w:rsidRPr="00A552C3">
                    <w:rPr>
                      <w:iCs/>
                      <w:sz w:val="20"/>
                    </w:rPr>
                    <w:t xml:space="preserve">The price on the Ancillary Service Offer curve at the Non-Spin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FD8ADDD" w14:textId="77777777" w:rsidTr="00C952ED">
              <w:trPr>
                <w:cantSplit/>
              </w:trPr>
              <w:tc>
                <w:tcPr>
                  <w:tcW w:w="934" w:type="pct"/>
                </w:tcPr>
                <w:p w14:paraId="2EB31CC3" w14:textId="43DE10F0" w:rsidR="00D81D75" w:rsidRPr="00A552C3" w:rsidRDefault="00D81D75" w:rsidP="00D81D75">
                  <w:pPr>
                    <w:spacing w:after="60"/>
                    <w:rPr>
                      <w:iCs/>
                      <w:sz w:val="20"/>
                    </w:rPr>
                  </w:pPr>
                  <w:r w:rsidRPr="00A552C3">
                    <w:rPr>
                      <w:iCs/>
                      <w:sz w:val="20"/>
                      <w:lang w:val="pt-BR"/>
                    </w:rPr>
                    <w:t xml:space="preserve">RTECROPR </w:t>
                  </w:r>
                  <w:r w:rsidRPr="00A552C3">
                    <w:rPr>
                      <w:i/>
                      <w:iCs/>
                      <w:sz w:val="20"/>
                      <w:vertAlign w:val="subscript"/>
                      <w:lang w:val="pt-BR"/>
                    </w:rPr>
                    <w:t>q, r, y</w:t>
                  </w:r>
                </w:p>
              </w:tc>
              <w:tc>
                <w:tcPr>
                  <w:tcW w:w="481" w:type="pct"/>
                </w:tcPr>
                <w:p w14:paraId="28633BAF" w14:textId="77777777" w:rsidR="00D81D75" w:rsidRPr="00A552C3" w:rsidRDefault="00D81D75" w:rsidP="00D81D75">
                  <w:pPr>
                    <w:spacing w:after="60"/>
                    <w:rPr>
                      <w:iCs/>
                      <w:sz w:val="20"/>
                    </w:rPr>
                  </w:pPr>
                  <w:r w:rsidRPr="00A552C3">
                    <w:rPr>
                      <w:iCs/>
                      <w:sz w:val="20"/>
                    </w:rPr>
                    <w:t>$/MW</w:t>
                  </w:r>
                </w:p>
              </w:tc>
              <w:tc>
                <w:tcPr>
                  <w:tcW w:w="3585" w:type="pct"/>
                </w:tcPr>
                <w:p w14:paraId="01F5700F" w14:textId="2BAB8997" w:rsidR="00D81D75" w:rsidRPr="00A552C3" w:rsidRDefault="00D81D75" w:rsidP="00D81D75">
                  <w:pPr>
                    <w:spacing w:after="60"/>
                    <w:rPr>
                      <w:i/>
                      <w:iCs/>
                      <w:sz w:val="20"/>
                    </w:rPr>
                  </w:pPr>
                  <w:r w:rsidRPr="00A552C3">
                    <w:rPr>
                      <w:i/>
                      <w:iCs/>
                      <w:sz w:val="20"/>
                    </w:rPr>
                    <w:t>Real-Time ERCOT Contingency Reserve Service Offer Price</w:t>
                  </w:r>
                  <w:r w:rsidR="004D4251" w:rsidRPr="00A552C3">
                    <w:rPr>
                      <w:iCs/>
                      <w:sz w:val="20"/>
                    </w:rPr>
                    <w:t>—</w:t>
                  </w:r>
                  <w:r w:rsidRPr="00A552C3">
                    <w:rPr>
                      <w:iCs/>
                      <w:sz w:val="20"/>
                    </w:rPr>
                    <w:t xml:space="preserve">The price on the Ancillary Service Offer curve at the ECRS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C103D4E" w14:textId="77777777" w:rsidTr="00C952ED">
              <w:trPr>
                <w:cantSplit/>
              </w:trPr>
              <w:tc>
                <w:tcPr>
                  <w:tcW w:w="934" w:type="pct"/>
                </w:tcPr>
                <w:p w14:paraId="7692DCE3" w14:textId="6A985BB3" w:rsidR="00D81D75" w:rsidRPr="00A552C3" w:rsidRDefault="00D81D75" w:rsidP="00D81D75">
                  <w:pPr>
                    <w:spacing w:after="60"/>
                    <w:rPr>
                      <w:iCs/>
                      <w:sz w:val="20"/>
                      <w:lang w:val="pt-BR"/>
                    </w:rPr>
                  </w:pPr>
                  <w:r w:rsidRPr="00A552C3">
                    <w:rPr>
                      <w:iCs/>
                      <w:sz w:val="20"/>
                    </w:rPr>
                    <w:t xml:space="preserve">RTRUAWDS </w:t>
                  </w:r>
                  <w:r w:rsidRPr="00A552C3">
                    <w:rPr>
                      <w:i/>
                      <w:iCs/>
                      <w:sz w:val="20"/>
                      <w:vertAlign w:val="subscript"/>
                    </w:rPr>
                    <w:t>q, r, y</w:t>
                  </w:r>
                </w:p>
              </w:tc>
              <w:tc>
                <w:tcPr>
                  <w:tcW w:w="481" w:type="pct"/>
                </w:tcPr>
                <w:p w14:paraId="7B30ECFE" w14:textId="77777777" w:rsidR="00D81D75" w:rsidRPr="00A552C3" w:rsidRDefault="00D81D75" w:rsidP="00D81D75">
                  <w:pPr>
                    <w:spacing w:after="60"/>
                    <w:rPr>
                      <w:iCs/>
                      <w:sz w:val="20"/>
                    </w:rPr>
                  </w:pPr>
                  <w:r w:rsidRPr="00A552C3">
                    <w:rPr>
                      <w:iCs/>
                      <w:sz w:val="20"/>
                    </w:rPr>
                    <w:t>MW</w:t>
                  </w:r>
                </w:p>
              </w:tc>
              <w:tc>
                <w:tcPr>
                  <w:tcW w:w="3585" w:type="pct"/>
                </w:tcPr>
                <w:p w14:paraId="1F00C848" w14:textId="53C877BD" w:rsidR="00D81D75" w:rsidRPr="00A552C3" w:rsidRDefault="00D81D75" w:rsidP="00D81D75">
                  <w:pPr>
                    <w:spacing w:after="60"/>
                    <w:rPr>
                      <w:i/>
                      <w:iCs/>
                      <w:sz w:val="20"/>
                    </w:rPr>
                  </w:pPr>
                  <w:r w:rsidRPr="00A552C3">
                    <w:rPr>
                      <w:i/>
                      <w:iCs/>
                      <w:sz w:val="20"/>
                    </w:rPr>
                    <w:t>Real-Time Reg-Up Award per Resource per QSE per SCED interval</w:t>
                  </w:r>
                  <w:r w:rsidR="008F5430" w:rsidRPr="00A552C3">
                    <w:rPr>
                      <w:iCs/>
                      <w:sz w:val="20"/>
                    </w:rPr>
                    <w:t>—</w:t>
                  </w:r>
                  <w:r w:rsidRPr="00A552C3">
                    <w:rPr>
                      <w:iCs/>
                      <w:sz w:val="20"/>
                    </w:rPr>
                    <w:t xml:space="preserve">The Reg-Up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8FDE257" w14:textId="77777777" w:rsidTr="00C952ED">
              <w:trPr>
                <w:cantSplit/>
              </w:trPr>
              <w:tc>
                <w:tcPr>
                  <w:tcW w:w="934" w:type="pct"/>
                </w:tcPr>
                <w:p w14:paraId="160CE0A9" w14:textId="4A44281D" w:rsidR="00D81D75" w:rsidRPr="00A552C3" w:rsidRDefault="00D81D75" w:rsidP="00D81D75">
                  <w:pPr>
                    <w:spacing w:after="60"/>
                    <w:rPr>
                      <w:iCs/>
                      <w:sz w:val="20"/>
                    </w:rPr>
                  </w:pPr>
                  <w:r w:rsidRPr="00A552C3">
                    <w:rPr>
                      <w:iCs/>
                      <w:sz w:val="20"/>
                    </w:rPr>
                    <w:t xml:space="preserve">RTRDAWDS </w:t>
                  </w:r>
                  <w:r w:rsidRPr="00A552C3">
                    <w:rPr>
                      <w:i/>
                      <w:iCs/>
                      <w:sz w:val="20"/>
                      <w:vertAlign w:val="subscript"/>
                    </w:rPr>
                    <w:t>q, r, y</w:t>
                  </w:r>
                </w:p>
              </w:tc>
              <w:tc>
                <w:tcPr>
                  <w:tcW w:w="481" w:type="pct"/>
                </w:tcPr>
                <w:p w14:paraId="071368AC" w14:textId="77777777" w:rsidR="00D81D75" w:rsidRPr="00A552C3" w:rsidRDefault="00D81D75" w:rsidP="00D81D75">
                  <w:pPr>
                    <w:spacing w:after="60"/>
                    <w:rPr>
                      <w:iCs/>
                      <w:sz w:val="20"/>
                    </w:rPr>
                  </w:pPr>
                  <w:r w:rsidRPr="00A552C3">
                    <w:rPr>
                      <w:iCs/>
                      <w:sz w:val="20"/>
                    </w:rPr>
                    <w:t>MW</w:t>
                  </w:r>
                </w:p>
              </w:tc>
              <w:tc>
                <w:tcPr>
                  <w:tcW w:w="3585" w:type="pct"/>
                </w:tcPr>
                <w:p w14:paraId="0EA34795" w14:textId="133DECBD" w:rsidR="00D81D75" w:rsidRPr="00A552C3" w:rsidRDefault="00D81D75" w:rsidP="00D81D75">
                  <w:pPr>
                    <w:spacing w:after="60"/>
                    <w:rPr>
                      <w:i/>
                      <w:iCs/>
                      <w:sz w:val="20"/>
                    </w:rPr>
                  </w:pPr>
                  <w:r w:rsidRPr="00A552C3">
                    <w:rPr>
                      <w:i/>
                      <w:iCs/>
                      <w:sz w:val="20"/>
                    </w:rPr>
                    <w:t>Real-Time Reg-Down Award per Resource per QSE per SCED interval</w:t>
                  </w:r>
                  <w:r w:rsidR="009A5523" w:rsidRPr="00A552C3">
                    <w:rPr>
                      <w:iCs/>
                      <w:sz w:val="20"/>
                    </w:rPr>
                    <w:t>—</w:t>
                  </w:r>
                  <w:r w:rsidRPr="00A552C3">
                    <w:rPr>
                      <w:iCs/>
                      <w:sz w:val="20"/>
                    </w:rPr>
                    <w:t xml:space="preserve">The Reg-Down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01A47BB" w14:textId="77777777" w:rsidTr="00C952ED">
              <w:trPr>
                <w:cantSplit/>
              </w:trPr>
              <w:tc>
                <w:tcPr>
                  <w:tcW w:w="934" w:type="pct"/>
                </w:tcPr>
                <w:p w14:paraId="2EE0FAD3" w14:textId="39A169BC" w:rsidR="00D81D75" w:rsidRPr="00A552C3" w:rsidRDefault="00D81D75" w:rsidP="00D81D75">
                  <w:pPr>
                    <w:spacing w:after="60"/>
                    <w:rPr>
                      <w:iCs/>
                      <w:sz w:val="20"/>
                    </w:rPr>
                  </w:pPr>
                  <w:r w:rsidRPr="00A552C3">
                    <w:rPr>
                      <w:iCs/>
                      <w:sz w:val="20"/>
                    </w:rPr>
                    <w:t xml:space="preserve">RTRRAWDS </w:t>
                  </w:r>
                  <w:r w:rsidRPr="00A552C3">
                    <w:rPr>
                      <w:i/>
                      <w:iCs/>
                      <w:sz w:val="20"/>
                      <w:vertAlign w:val="subscript"/>
                    </w:rPr>
                    <w:t>q, r, y</w:t>
                  </w:r>
                </w:p>
              </w:tc>
              <w:tc>
                <w:tcPr>
                  <w:tcW w:w="481" w:type="pct"/>
                </w:tcPr>
                <w:p w14:paraId="0803349E" w14:textId="77777777" w:rsidR="00D81D75" w:rsidRPr="00A552C3" w:rsidRDefault="00D81D75" w:rsidP="00D81D75">
                  <w:pPr>
                    <w:spacing w:after="60"/>
                    <w:rPr>
                      <w:iCs/>
                      <w:sz w:val="20"/>
                    </w:rPr>
                  </w:pPr>
                  <w:r w:rsidRPr="00A552C3">
                    <w:rPr>
                      <w:iCs/>
                      <w:sz w:val="20"/>
                    </w:rPr>
                    <w:t>MW</w:t>
                  </w:r>
                </w:p>
              </w:tc>
              <w:tc>
                <w:tcPr>
                  <w:tcW w:w="3585" w:type="pct"/>
                </w:tcPr>
                <w:p w14:paraId="7E063B34" w14:textId="35B0FC09" w:rsidR="00D81D75" w:rsidRPr="00A552C3" w:rsidRDefault="00D81D75" w:rsidP="00D81D75">
                  <w:pPr>
                    <w:spacing w:after="60"/>
                    <w:rPr>
                      <w:i/>
                      <w:iCs/>
                      <w:sz w:val="20"/>
                    </w:rPr>
                  </w:pPr>
                  <w:r w:rsidRPr="00A552C3">
                    <w:rPr>
                      <w:i/>
                      <w:iCs/>
                      <w:sz w:val="20"/>
                    </w:rPr>
                    <w:t>Real-Time Responsive Reserve Award per Resource per QSE per SCED interval</w:t>
                  </w:r>
                  <w:r w:rsidR="004F08F1" w:rsidRPr="00A552C3">
                    <w:rPr>
                      <w:iCs/>
                      <w:sz w:val="20"/>
                    </w:rPr>
                    <w:t>—</w:t>
                  </w:r>
                  <w:r w:rsidRPr="00A552C3">
                    <w:rPr>
                      <w:iCs/>
                      <w:sz w:val="20"/>
                    </w:rPr>
                    <w:t xml:space="preserve">The RRS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BC2D1A6" w14:textId="77777777" w:rsidTr="00C952ED">
              <w:trPr>
                <w:cantSplit/>
              </w:trPr>
              <w:tc>
                <w:tcPr>
                  <w:tcW w:w="934" w:type="pct"/>
                </w:tcPr>
                <w:p w14:paraId="1B3EA4EE" w14:textId="5A6D056D" w:rsidR="00D81D75" w:rsidRPr="00A552C3" w:rsidRDefault="00D81D75" w:rsidP="00D81D75">
                  <w:pPr>
                    <w:spacing w:after="60"/>
                    <w:rPr>
                      <w:iCs/>
                      <w:sz w:val="20"/>
                    </w:rPr>
                  </w:pPr>
                  <w:r w:rsidRPr="00A552C3">
                    <w:rPr>
                      <w:iCs/>
                      <w:sz w:val="20"/>
                    </w:rPr>
                    <w:lastRenderedPageBreak/>
                    <w:t xml:space="preserve">RTNSAWDS </w:t>
                  </w:r>
                  <w:r w:rsidRPr="00A552C3">
                    <w:rPr>
                      <w:i/>
                      <w:iCs/>
                      <w:sz w:val="20"/>
                      <w:vertAlign w:val="subscript"/>
                    </w:rPr>
                    <w:t>q, r, y</w:t>
                  </w:r>
                </w:p>
              </w:tc>
              <w:tc>
                <w:tcPr>
                  <w:tcW w:w="481" w:type="pct"/>
                </w:tcPr>
                <w:p w14:paraId="4D4A09B0" w14:textId="77777777" w:rsidR="00D81D75" w:rsidRPr="00A552C3" w:rsidRDefault="00D81D75" w:rsidP="00D81D75">
                  <w:pPr>
                    <w:spacing w:after="60"/>
                    <w:rPr>
                      <w:iCs/>
                      <w:sz w:val="20"/>
                    </w:rPr>
                  </w:pPr>
                  <w:r w:rsidRPr="00A552C3">
                    <w:rPr>
                      <w:iCs/>
                      <w:sz w:val="20"/>
                    </w:rPr>
                    <w:t>MW</w:t>
                  </w:r>
                </w:p>
              </w:tc>
              <w:tc>
                <w:tcPr>
                  <w:tcW w:w="3585" w:type="pct"/>
                </w:tcPr>
                <w:p w14:paraId="2C628CDD" w14:textId="0932BDAA" w:rsidR="00D81D75" w:rsidRPr="00A552C3" w:rsidRDefault="00D81D75" w:rsidP="00D81D75">
                  <w:pPr>
                    <w:spacing w:after="60"/>
                    <w:rPr>
                      <w:i/>
                      <w:iCs/>
                      <w:sz w:val="20"/>
                    </w:rPr>
                  </w:pPr>
                  <w:r w:rsidRPr="00A552C3">
                    <w:rPr>
                      <w:i/>
                      <w:iCs/>
                      <w:sz w:val="20"/>
                    </w:rPr>
                    <w:t>Real-Time Non-Spin Award per Resource per QSE per SCED interval</w:t>
                  </w:r>
                  <w:r w:rsidR="004F08F1" w:rsidRPr="00A552C3">
                    <w:rPr>
                      <w:iCs/>
                      <w:sz w:val="20"/>
                    </w:rPr>
                    <w:t>—</w:t>
                  </w:r>
                  <w:r w:rsidRPr="00A552C3">
                    <w:rPr>
                      <w:iCs/>
                      <w:sz w:val="20"/>
                    </w:rPr>
                    <w:t xml:space="preserve">The Non-Spin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70099A6" w14:textId="77777777" w:rsidTr="00C952ED">
              <w:trPr>
                <w:cantSplit/>
              </w:trPr>
              <w:tc>
                <w:tcPr>
                  <w:tcW w:w="934" w:type="pct"/>
                </w:tcPr>
                <w:p w14:paraId="5BF1C590" w14:textId="33920250" w:rsidR="00D81D75" w:rsidRPr="00A552C3" w:rsidRDefault="00D81D75" w:rsidP="00D81D75">
                  <w:pPr>
                    <w:spacing w:after="60"/>
                    <w:rPr>
                      <w:iCs/>
                      <w:sz w:val="20"/>
                    </w:rPr>
                  </w:pPr>
                  <w:r w:rsidRPr="00A552C3">
                    <w:rPr>
                      <w:iCs/>
                      <w:sz w:val="20"/>
                    </w:rPr>
                    <w:t xml:space="preserve">RTECRAWDS </w:t>
                  </w:r>
                  <w:r w:rsidRPr="00A552C3">
                    <w:rPr>
                      <w:i/>
                      <w:iCs/>
                      <w:sz w:val="20"/>
                      <w:vertAlign w:val="subscript"/>
                    </w:rPr>
                    <w:t>q, r, y</w:t>
                  </w:r>
                </w:p>
              </w:tc>
              <w:tc>
                <w:tcPr>
                  <w:tcW w:w="481" w:type="pct"/>
                </w:tcPr>
                <w:p w14:paraId="6535139B" w14:textId="77777777" w:rsidR="00D81D75" w:rsidRPr="00A552C3" w:rsidRDefault="00D81D75" w:rsidP="00D81D75">
                  <w:pPr>
                    <w:spacing w:after="60"/>
                    <w:rPr>
                      <w:iCs/>
                      <w:sz w:val="20"/>
                    </w:rPr>
                  </w:pPr>
                  <w:r w:rsidRPr="00A552C3">
                    <w:rPr>
                      <w:iCs/>
                      <w:sz w:val="20"/>
                    </w:rPr>
                    <w:t>MW</w:t>
                  </w:r>
                </w:p>
              </w:tc>
              <w:tc>
                <w:tcPr>
                  <w:tcW w:w="3585" w:type="pct"/>
                </w:tcPr>
                <w:p w14:paraId="403E0989" w14:textId="5183B6DC" w:rsidR="00D81D75" w:rsidRPr="00A552C3" w:rsidRDefault="00D81D75" w:rsidP="00D81D75">
                  <w:pPr>
                    <w:spacing w:after="60"/>
                    <w:rPr>
                      <w:i/>
                      <w:iCs/>
                      <w:sz w:val="20"/>
                    </w:rPr>
                  </w:pPr>
                  <w:r w:rsidRPr="00A552C3">
                    <w:rPr>
                      <w:i/>
                      <w:iCs/>
                      <w:sz w:val="20"/>
                    </w:rPr>
                    <w:t>Real-Time ERCOT Contingency Reserve Service Award per Resource per QSE per SCED interval</w:t>
                  </w:r>
                  <w:r w:rsidR="00EF12D3" w:rsidRPr="00A552C3">
                    <w:rPr>
                      <w:iCs/>
                      <w:sz w:val="20"/>
                    </w:rPr>
                    <w:t>—</w:t>
                  </w:r>
                  <w:r w:rsidRPr="00A552C3">
                    <w:rPr>
                      <w:iCs/>
                      <w:sz w:val="20"/>
                    </w:rPr>
                    <w:t xml:space="preserve">The ECRS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1B38D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D1336B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4526FA46"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035C2993"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5EEE59C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03D8C9C"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344832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0D03782" w14:textId="77777777" w:rsidR="00D81D75" w:rsidRPr="00A552C3" w:rsidRDefault="00D81D75" w:rsidP="00D81D75">
                  <w:pPr>
                    <w:spacing w:after="60"/>
                    <w:rPr>
                      <w:iCs/>
                      <w:sz w:val="20"/>
                    </w:rPr>
                  </w:pPr>
                  <w:r w:rsidRPr="00A552C3">
                    <w:rPr>
                      <w:iCs/>
                      <w:sz w:val="20"/>
                    </w:rPr>
                    <w:t>A QSE.</w:t>
                  </w:r>
                </w:p>
              </w:tc>
            </w:tr>
            <w:tr w:rsidR="00D81D75" w:rsidRPr="00A552C3" w14:paraId="036AC16C"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8F81D08"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617EBD0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625CE5E"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41F56BB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18AF479"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3AD18E30"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448A52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5510FED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F331AEE"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669D2487"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358F49DA"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049C51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080E8037"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2F59713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559C791" w14:textId="77777777" w:rsidR="00D81D75" w:rsidRPr="00A552C3" w:rsidRDefault="00D81D75" w:rsidP="00D81D75">
                  <w:pPr>
                    <w:spacing w:after="60"/>
                    <w:rPr>
                      <w:iCs/>
                      <w:sz w:val="20"/>
                    </w:rPr>
                  </w:pPr>
                  <w:r w:rsidRPr="00A552C3">
                    <w:rPr>
                      <w:iCs/>
                      <w:sz w:val="20"/>
                    </w:rPr>
                    <w:t>The number of seconds in one hour.</w:t>
                  </w:r>
                </w:p>
              </w:tc>
            </w:tr>
          </w:tbl>
          <w:p w14:paraId="1919EA48" w14:textId="50E350E3" w:rsidR="00D81D75" w:rsidRPr="00A552C3" w:rsidRDefault="00D81D75" w:rsidP="00D81D75">
            <w:pPr>
              <w:spacing w:before="240" w:after="240"/>
              <w:ind w:left="720" w:hanging="720"/>
              <w:rPr>
                <w:iCs/>
              </w:rPr>
            </w:pPr>
            <w:r w:rsidRPr="00A552C3">
              <w:rPr>
                <w:iCs/>
              </w:rPr>
              <w:t>(3)</w:t>
            </w:r>
            <w:r w:rsidRPr="00A552C3">
              <w:rPr>
                <w:iCs/>
              </w:rPr>
              <w:tab/>
              <w:t>The extension of the Energy Offer Curve or Energy Bid/Offer Curve</w:t>
            </w:r>
            <w:r w:rsidR="00D46B94" w:rsidRPr="00D476E3">
              <w:rPr>
                <w:iCs/>
              </w:rPr>
              <w:t xml:space="preserve"> and Mitigated Offer Cap (MOC)</w:t>
            </w:r>
            <w:r w:rsidRPr="00A552C3">
              <w:rPr>
                <w:iCs/>
              </w:rPr>
              <w:t xml:space="preserve"> is used to calculate the Emergency Base Point Price</w:t>
            </w:r>
            <w:r w:rsidR="00103BC5">
              <w:rPr>
                <w:iCs/>
              </w:rPr>
              <w:t xml:space="preserve"> </w:t>
            </w:r>
            <w:r w:rsidR="00103BC5" w:rsidRPr="00D476E3">
              <w:rPr>
                <w:iCs/>
              </w:rPr>
              <w:t>(EBPPR)</w:t>
            </w:r>
            <w:r w:rsidRPr="00A552C3">
              <w:rPr>
                <w:iCs/>
              </w:rPr>
              <w:t xml:space="preserve">.  If the Emergency Base Point MW value is greater than the largest MW value on the Energy Offer Curve or Energy Bid/Offer Curve submitted by the QSE for the Resource, </w:t>
            </w:r>
            <w:r w:rsidR="00103BC5" w:rsidRPr="00D476E3">
              <w:rPr>
                <w:iCs/>
              </w:rPr>
              <w:t xml:space="preserve">or the Resource’s MOC, </w:t>
            </w:r>
            <w:r w:rsidRPr="00A552C3">
              <w:rPr>
                <w:iCs/>
              </w:rPr>
              <w:t>then the Energy Offer Curve</w:t>
            </w:r>
            <w:r w:rsidR="00103BC5">
              <w:rPr>
                <w:iCs/>
              </w:rPr>
              <w:t>,</w:t>
            </w:r>
            <w:r w:rsidRPr="00A552C3">
              <w:rPr>
                <w:iCs/>
              </w:rPr>
              <w:t xml:space="preserve"> Energy Bid/Offer Curve</w:t>
            </w:r>
            <w:r w:rsidR="00103BC5" w:rsidRPr="00D476E3">
              <w:rPr>
                <w:iCs/>
              </w:rPr>
              <w:t>, or MOC</w:t>
            </w:r>
            <w:r w:rsidRPr="00A552C3">
              <w:rPr>
                <w:iCs/>
              </w:rPr>
              <w:t xml:space="preserve"> is extended to the Emergency Base Point MW value with a $/MWh value that is </w:t>
            </w:r>
            <w:r w:rsidR="00103BC5">
              <w:rPr>
                <w:iCs/>
              </w:rPr>
              <w:t xml:space="preserve">equal to </w:t>
            </w:r>
            <w:r w:rsidRPr="00A552C3">
              <w:rPr>
                <w:iCs/>
              </w:rPr>
              <w:t xml:space="preserve">the </w:t>
            </w:r>
            <w:r w:rsidR="00103BC5" w:rsidRPr="00D476E3">
              <w:rPr>
                <w:iCs/>
              </w:rPr>
              <w:t>highest $/MWh value on the applicable curve.</w:t>
            </w:r>
            <w:r w:rsidR="00103BC5">
              <w:rPr>
                <w:iCs/>
              </w:rPr>
              <w:t xml:space="preserve">  </w:t>
            </w:r>
            <w:r w:rsidR="00103BC5" w:rsidRPr="00D476E3">
              <w:rPr>
                <w:iCs/>
              </w:rPr>
              <w:t>If the Emergency Base Point MW value is lower than the lowest MW value on the Energy Offer Curve or Energy Bid/Offer Curve submitted by the QSE for the Resource, or the Resource’s MOC, then the Energy Offer Curve, Energy Bid/Offer Curve or MOC is extended to the Emergency Base Point MW value with a $/MWh value that is equal to the lowest $/MWh value on the applicable curve.</w:t>
            </w:r>
          </w:p>
          <w:p w14:paraId="015BCD62" w14:textId="77777777" w:rsidR="00D81D75" w:rsidRPr="00A552C3" w:rsidRDefault="00D81D75" w:rsidP="00D81D75">
            <w:pPr>
              <w:spacing w:after="240"/>
              <w:ind w:left="720" w:hanging="720"/>
              <w:rPr>
                <w:iCs/>
              </w:rPr>
            </w:pPr>
            <w:r w:rsidRPr="00A552C3">
              <w:rPr>
                <w:iCs/>
              </w:rPr>
              <w:t>(4)</w:t>
            </w:r>
            <w:r w:rsidRPr="00A552C3">
              <w:rPr>
                <w:iCs/>
              </w:rPr>
              <w:tab/>
              <w:t>The total additional compensation to each QSE for emergency Settlement of Resources for the 15-minute Settlement Interval is calculated as follows:</w:t>
            </w:r>
          </w:p>
          <w:p w14:paraId="39E2D7CF" w14:textId="77777777" w:rsidR="00D81D75" w:rsidRPr="00A552C3" w:rsidRDefault="00D81D75" w:rsidP="00D81D75">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09BC21B8">
                <v:shape id="_x0000_i1265" type="#_x0000_t75" style="width:12pt;height:24pt" o:ole="">
                  <v:imagedata r:id="rId237" o:title=""/>
                </v:shape>
                <o:OLEObject Type="Embed" ProgID="Equation.3" ShapeID="_x0000_i1265" DrawAspect="Content" ObjectID="_1804653749" r:id="rId322"/>
              </w:object>
            </w:r>
            <w:r w:rsidRPr="00A552C3">
              <w:rPr>
                <w:b/>
                <w:bCs/>
                <w:position w:val="-22"/>
              </w:rPr>
              <w:object w:dxaOrig="225" w:dyaOrig="465" w14:anchorId="11663CF4">
                <v:shape id="_x0000_i1266" type="#_x0000_t75" style="width:12pt;height:24pt" o:ole="">
                  <v:imagedata r:id="rId172" o:title=""/>
                </v:shape>
                <o:OLEObject Type="Embed" ProgID="Equation.3" ShapeID="_x0000_i1266" DrawAspect="Content" ObjectID="_1804653750" r:id="rId323"/>
              </w:object>
            </w:r>
            <w:r w:rsidRPr="00A552C3">
              <w:rPr>
                <w:b/>
                <w:bCs/>
              </w:rPr>
              <w:t xml:space="preserve">EMREAMT </w:t>
            </w:r>
            <w:r w:rsidRPr="00A552C3">
              <w:rPr>
                <w:b/>
                <w:bCs/>
                <w:i/>
                <w:vertAlign w:val="subscript"/>
              </w:rPr>
              <w:t>q, r, p</w:t>
            </w:r>
          </w:p>
          <w:p w14:paraId="4E7DEFCF"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825"/>
              <w:gridCol w:w="6027"/>
            </w:tblGrid>
            <w:tr w:rsidR="00D81D75" w:rsidRPr="00A552C3" w14:paraId="5F669AD8" w14:textId="77777777" w:rsidTr="00C952ED">
              <w:trPr>
                <w:cantSplit/>
                <w:tblHeader/>
              </w:trPr>
              <w:tc>
                <w:tcPr>
                  <w:tcW w:w="1239" w:type="pct"/>
                </w:tcPr>
                <w:p w14:paraId="5065ADFE" w14:textId="77777777" w:rsidR="00D81D75" w:rsidRPr="00A552C3" w:rsidRDefault="00D81D75" w:rsidP="00D81D75">
                  <w:pPr>
                    <w:spacing w:after="240"/>
                    <w:rPr>
                      <w:b/>
                      <w:iCs/>
                      <w:sz w:val="20"/>
                    </w:rPr>
                  </w:pPr>
                  <w:r w:rsidRPr="00A552C3">
                    <w:rPr>
                      <w:b/>
                      <w:iCs/>
                      <w:sz w:val="20"/>
                    </w:rPr>
                    <w:t>Variable</w:t>
                  </w:r>
                </w:p>
              </w:tc>
              <w:tc>
                <w:tcPr>
                  <w:tcW w:w="453" w:type="pct"/>
                </w:tcPr>
                <w:p w14:paraId="67D0C249" w14:textId="77777777" w:rsidR="00D81D75" w:rsidRPr="00A552C3" w:rsidRDefault="00D81D75" w:rsidP="00D81D75">
                  <w:pPr>
                    <w:spacing w:after="240"/>
                    <w:rPr>
                      <w:b/>
                      <w:iCs/>
                      <w:sz w:val="20"/>
                    </w:rPr>
                  </w:pPr>
                  <w:r w:rsidRPr="00A552C3">
                    <w:rPr>
                      <w:b/>
                      <w:iCs/>
                      <w:sz w:val="20"/>
                    </w:rPr>
                    <w:t>Unit</w:t>
                  </w:r>
                </w:p>
              </w:tc>
              <w:tc>
                <w:tcPr>
                  <w:tcW w:w="3308" w:type="pct"/>
                </w:tcPr>
                <w:p w14:paraId="4EBA62A1" w14:textId="77777777" w:rsidR="00D81D75" w:rsidRPr="00A552C3" w:rsidRDefault="00D81D75" w:rsidP="00D81D75">
                  <w:pPr>
                    <w:spacing w:after="240"/>
                    <w:rPr>
                      <w:b/>
                      <w:iCs/>
                      <w:sz w:val="20"/>
                    </w:rPr>
                  </w:pPr>
                  <w:r w:rsidRPr="00A552C3">
                    <w:rPr>
                      <w:b/>
                      <w:iCs/>
                      <w:sz w:val="20"/>
                    </w:rPr>
                    <w:t>Definition</w:t>
                  </w:r>
                </w:p>
              </w:tc>
            </w:tr>
            <w:tr w:rsidR="00D81D75" w:rsidRPr="00A552C3" w14:paraId="1DEA6462" w14:textId="77777777" w:rsidTr="00C952ED">
              <w:trPr>
                <w:cantSplit/>
              </w:trPr>
              <w:tc>
                <w:tcPr>
                  <w:tcW w:w="1239" w:type="pct"/>
                </w:tcPr>
                <w:p w14:paraId="7E4F40EF" w14:textId="77777777" w:rsidR="00D81D75" w:rsidRPr="00A552C3" w:rsidRDefault="00D81D75" w:rsidP="00D81D75">
                  <w:pPr>
                    <w:spacing w:after="60"/>
                    <w:rPr>
                      <w:iCs/>
                      <w:sz w:val="20"/>
                    </w:rPr>
                  </w:pPr>
                  <w:r w:rsidRPr="00A552C3">
                    <w:rPr>
                      <w:iCs/>
                      <w:sz w:val="20"/>
                    </w:rPr>
                    <w:t xml:space="preserve">EMREAMTQSETOT </w:t>
                  </w:r>
                  <w:r w:rsidRPr="00A552C3">
                    <w:rPr>
                      <w:i/>
                      <w:iCs/>
                      <w:sz w:val="20"/>
                      <w:vertAlign w:val="subscript"/>
                    </w:rPr>
                    <w:t>q</w:t>
                  </w:r>
                </w:p>
              </w:tc>
              <w:tc>
                <w:tcPr>
                  <w:tcW w:w="453" w:type="pct"/>
                </w:tcPr>
                <w:p w14:paraId="417B0351" w14:textId="77777777" w:rsidR="00D81D75" w:rsidRPr="00A552C3" w:rsidRDefault="00D81D75" w:rsidP="00D81D75">
                  <w:pPr>
                    <w:spacing w:after="60"/>
                    <w:rPr>
                      <w:iCs/>
                      <w:sz w:val="20"/>
                    </w:rPr>
                  </w:pPr>
                  <w:r w:rsidRPr="00A552C3">
                    <w:rPr>
                      <w:iCs/>
                      <w:sz w:val="20"/>
                    </w:rPr>
                    <w:t>$</w:t>
                  </w:r>
                </w:p>
              </w:tc>
              <w:tc>
                <w:tcPr>
                  <w:tcW w:w="3308" w:type="pct"/>
                </w:tcPr>
                <w:p w14:paraId="273B02E2" w14:textId="77777777" w:rsidR="00D81D75" w:rsidRPr="00A552C3" w:rsidRDefault="00D81D75" w:rsidP="00D81D75">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D81D75" w:rsidRPr="00A552C3" w14:paraId="7F7B05A9" w14:textId="77777777" w:rsidTr="00C952ED">
              <w:trPr>
                <w:cantSplit/>
              </w:trPr>
              <w:tc>
                <w:tcPr>
                  <w:tcW w:w="1239" w:type="pct"/>
                </w:tcPr>
                <w:p w14:paraId="4419B3A1" w14:textId="77777777" w:rsidR="00D81D75" w:rsidRPr="00A552C3" w:rsidRDefault="00D81D75" w:rsidP="00D81D75">
                  <w:pPr>
                    <w:spacing w:after="60"/>
                    <w:rPr>
                      <w:iCs/>
                      <w:sz w:val="20"/>
                    </w:rPr>
                  </w:pPr>
                  <w:r w:rsidRPr="00A552C3">
                    <w:rPr>
                      <w:iCs/>
                      <w:sz w:val="20"/>
                    </w:rPr>
                    <w:lastRenderedPageBreak/>
                    <w:t xml:space="preserve">EMREAMT </w:t>
                  </w:r>
                  <w:r w:rsidRPr="00A552C3">
                    <w:rPr>
                      <w:i/>
                      <w:iCs/>
                      <w:sz w:val="20"/>
                      <w:vertAlign w:val="subscript"/>
                    </w:rPr>
                    <w:t>q, r, p</w:t>
                  </w:r>
                </w:p>
              </w:tc>
              <w:tc>
                <w:tcPr>
                  <w:tcW w:w="453" w:type="pct"/>
                </w:tcPr>
                <w:p w14:paraId="290D11E3" w14:textId="77777777" w:rsidR="00D81D75" w:rsidRPr="00A552C3" w:rsidRDefault="00D81D75" w:rsidP="00D81D75">
                  <w:pPr>
                    <w:spacing w:after="60"/>
                    <w:rPr>
                      <w:iCs/>
                      <w:sz w:val="20"/>
                    </w:rPr>
                  </w:pPr>
                  <w:r w:rsidRPr="00A552C3">
                    <w:rPr>
                      <w:iCs/>
                      <w:sz w:val="20"/>
                    </w:rPr>
                    <w:t>$</w:t>
                  </w:r>
                </w:p>
              </w:tc>
              <w:tc>
                <w:tcPr>
                  <w:tcW w:w="3308" w:type="pct"/>
                </w:tcPr>
                <w:p w14:paraId="7574089A"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59955E2"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2D951F34" w14:textId="77777777" w:rsidR="00D81D75" w:rsidRPr="00A552C3" w:rsidRDefault="00D81D75" w:rsidP="00D81D75">
                  <w:pPr>
                    <w:spacing w:after="60"/>
                    <w:rPr>
                      <w:i/>
                      <w:iCs/>
                      <w:sz w:val="20"/>
                    </w:rPr>
                  </w:pPr>
                  <w:r w:rsidRPr="00A552C3">
                    <w:rPr>
                      <w:i/>
                      <w:iCs/>
                      <w:sz w:val="20"/>
                    </w:rPr>
                    <w:t>q</w:t>
                  </w:r>
                </w:p>
              </w:tc>
              <w:tc>
                <w:tcPr>
                  <w:tcW w:w="453" w:type="pct"/>
                  <w:tcBorders>
                    <w:top w:val="single" w:sz="4" w:space="0" w:color="auto"/>
                    <w:left w:val="single" w:sz="4" w:space="0" w:color="auto"/>
                    <w:bottom w:val="single" w:sz="4" w:space="0" w:color="auto"/>
                    <w:right w:val="single" w:sz="4" w:space="0" w:color="auto"/>
                  </w:tcBorders>
                </w:tcPr>
                <w:p w14:paraId="4CDADCA4"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034F55C0" w14:textId="77777777" w:rsidR="00D81D75" w:rsidRPr="00A552C3" w:rsidRDefault="00D81D75" w:rsidP="00D81D75">
                  <w:pPr>
                    <w:spacing w:after="60"/>
                    <w:rPr>
                      <w:iCs/>
                      <w:sz w:val="20"/>
                    </w:rPr>
                  </w:pPr>
                  <w:r w:rsidRPr="00A552C3">
                    <w:rPr>
                      <w:iCs/>
                      <w:sz w:val="20"/>
                    </w:rPr>
                    <w:t>A QSE.</w:t>
                  </w:r>
                </w:p>
              </w:tc>
            </w:tr>
            <w:tr w:rsidR="00D81D75" w:rsidRPr="00A552C3" w14:paraId="08147F29"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36807C3F" w14:textId="77777777" w:rsidR="00D81D75" w:rsidRPr="00A552C3" w:rsidRDefault="00D81D75" w:rsidP="00D81D75">
                  <w:pPr>
                    <w:spacing w:after="60"/>
                    <w:rPr>
                      <w:i/>
                      <w:iCs/>
                      <w:sz w:val="20"/>
                    </w:rPr>
                  </w:pPr>
                  <w:r w:rsidRPr="00A552C3">
                    <w:rPr>
                      <w:i/>
                      <w:iCs/>
                      <w:sz w:val="20"/>
                    </w:rPr>
                    <w:t>p</w:t>
                  </w:r>
                </w:p>
              </w:tc>
              <w:tc>
                <w:tcPr>
                  <w:tcW w:w="453" w:type="pct"/>
                  <w:tcBorders>
                    <w:top w:val="single" w:sz="4" w:space="0" w:color="auto"/>
                    <w:left w:val="single" w:sz="4" w:space="0" w:color="auto"/>
                    <w:bottom w:val="single" w:sz="4" w:space="0" w:color="auto"/>
                    <w:right w:val="single" w:sz="4" w:space="0" w:color="auto"/>
                  </w:tcBorders>
                </w:tcPr>
                <w:p w14:paraId="7A2B4FC1"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6A9F9B44"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673EA990"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155EFA40" w14:textId="77777777" w:rsidR="00D81D75" w:rsidRPr="00A552C3" w:rsidRDefault="00D81D75" w:rsidP="00D81D75">
                  <w:pPr>
                    <w:spacing w:after="60"/>
                    <w:rPr>
                      <w:i/>
                      <w:iCs/>
                      <w:sz w:val="20"/>
                    </w:rPr>
                  </w:pPr>
                  <w:r w:rsidRPr="00A552C3">
                    <w:rPr>
                      <w:i/>
                      <w:iCs/>
                      <w:sz w:val="20"/>
                    </w:rPr>
                    <w:t>r</w:t>
                  </w:r>
                </w:p>
              </w:tc>
              <w:tc>
                <w:tcPr>
                  <w:tcW w:w="453" w:type="pct"/>
                  <w:tcBorders>
                    <w:top w:val="single" w:sz="4" w:space="0" w:color="auto"/>
                    <w:left w:val="single" w:sz="4" w:space="0" w:color="auto"/>
                    <w:bottom w:val="single" w:sz="4" w:space="0" w:color="auto"/>
                    <w:right w:val="single" w:sz="4" w:space="0" w:color="auto"/>
                  </w:tcBorders>
                </w:tcPr>
                <w:p w14:paraId="77B31F1F"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2DBDD91B" w14:textId="77777777" w:rsidR="00D81D75" w:rsidRPr="00A552C3" w:rsidRDefault="00D81D75" w:rsidP="00D81D75">
                  <w:pPr>
                    <w:spacing w:after="60"/>
                    <w:rPr>
                      <w:iCs/>
                      <w:sz w:val="20"/>
                    </w:rPr>
                  </w:pPr>
                  <w:r w:rsidRPr="00A552C3">
                    <w:rPr>
                      <w:iCs/>
                      <w:sz w:val="20"/>
                    </w:rPr>
                    <w:t>A Generation Resource or ESR.</w:t>
                  </w:r>
                </w:p>
              </w:tc>
            </w:tr>
          </w:tbl>
          <w:p w14:paraId="55E6CA97" w14:textId="6E122378" w:rsidR="009117A3" w:rsidRPr="00B37C4B" w:rsidRDefault="009117A3" w:rsidP="00BE571E">
            <w:pPr>
              <w:spacing w:after="240"/>
              <w:ind w:left="720" w:hanging="720"/>
            </w:pPr>
          </w:p>
        </w:tc>
      </w:tr>
    </w:tbl>
    <w:p w14:paraId="609328B3" w14:textId="3D29F036" w:rsidR="001F04FD" w:rsidRDefault="001F04FD" w:rsidP="00FB599C">
      <w:pPr>
        <w:pStyle w:val="H4"/>
        <w:spacing w:before="480"/>
      </w:pPr>
      <w:bookmarkStart w:id="2571" w:name="_Toc189044469"/>
      <w:r>
        <w:lastRenderedPageBreak/>
        <w:t>6.6.9.2</w:t>
      </w:r>
      <w:r>
        <w:tab/>
        <w:t>Charge for Emergency Power Increases</w:t>
      </w:r>
      <w:bookmarkEnd w:id="2545"/>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71"/>
      <w:r>
        <w:t xml:space="preserve"> </w:t>
      </w:r>
      <w:bookmarkEnd w:id="2546"/>
    </w:p>
    <w:p w14:paraId="088D583C" w14:textId="77777777" w:rsidR="001F04FD" w:rsidRDefault="001F04FD" w:rsidP="001F04FD">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317EBD48" w14:textId="77777777" w:rsidR="001F04FD" w:rsidRDefault="001F04FD" w:rsidP="001F04FD">
      <w:pPr>
        <w:pStyle w:val="FormulaBold"/>
      </w:pPr>
      <w:r>
        <w:t xml:space="preserve">LAEMREAMT </w:t>
      </w:r>
      <w:r>
        <w:rPr>
          <w:i/>
          <w:vertAlign w:val="subscript"/>
        </w:rPr>
        <w:t>q</w:t>
      </w:r>
      <w:r>
        <w:tab/>
        <w:t>=</w:t>
      </w:r>
      <w:r>
        <w:tab/>
        <w:t xml:space="preserve">(-1) * EMREAMTTOT * LRS </w:t>
      </w:r>
      <w:r>
        <w:rPr>
          <w:i/>
          <w:vertAlign w:val="subscript"/>
        </w:rPr>
        <w:t>q</w:t>
      </w:r>
    </w:p>
    <w:p w14:paraId="66303192" w14:textId="77777777" w:rsidR="001F04FD" w:rsidRDefault="001F04FD" w:rsidP="001F04FD">
      <w:pPr>
        <w:pStyle w:val="BodyText"/>
      </w:pPr>
      <w:r>
        <w:t>Where:</w:t>
      </w:r>
    </w:p>
    <w:p w14:paraId="61EA93A4" w14:textId="77777777" w:rsidR="001F04FD" w:rsidRDefault="001F04FD" w:rsidP="001F04FD">
      <w:pPr>
        <w:pStyle w:val="Formula"/>
        <w:ind w:left="2880" w:hanging="2160"/>
      </w:pPr>
      <w:r>
        <w:t>EMREAMTTOT</w:t>
      </w:r>
      <w:r>
        <w:tab/>
        <w:t>=</w:t>
      </w:r>
      <w:r>
        <w:tab/>
      </w:r>
      <w:r w:rsidRPr="006F784F">
        <w:rPr>
          <w:position w:val="-22"/>
        </w:rPr>
        <w:object w:dxaOrig="210" w:dyaOrig="465" w14:anchorId="51E64969">
          <v:shape id="_x0000_i1267" type="#_x0000_t75" style="width:6pt;height:24pt" o:ole="">
            <v:imagedata r:id="rId324" o:title=""/>
          </v:shape>
          <o:OLEObject Type="Embed" ProgID="Equation.3" ShapeID="_x0000_i1267" DrawAspect="Content" ObjectID="_1804653751" r:id="rId325"/>
        </w:object>
      </w:r>
      <w:r>
        <w:t xml:space="preserve">EMREAMTQSETOT </w:t>
      </w:r>
      <w:r>
        <w:rPr>
          <w:i/>
          <w:vertAlign w:val="subscript"/>
        </w:rPr>
        <w:t>q</w:t>
      </w:r>
    </w:p>
    <w:p w14:paraId="7F2EE01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1F04FD" w14:paraId="7E76D865" w14:textId="77777777" w:rsidTr="00AC4DEE">
        <w:trPr>
          <w:tblHeader/>
        </w:trPr>
        <w:tc>
          <w:tcPr>
            <w:tcW w:w="1203" w:type="pct"/>
          </w:tcPr>
          <w:p w14:paraId="44584A5E" w14:textId="77777777" w:rsidR="001F04FD" w:rsidRDefault="001F04FD" w:rsidP="00AC4DEE">
            <w:pPr>
              <w:pStyle w:val="TableHead"/>
            </w:pPr>
            <w:r>
              <w:t>Variable</w:t>
            </w:r>
          </w:p>
        </w:tc>
        <w:tc>
          <w:tcPr>
            <w:tcW w:w="310" w:type="pct"/>
          </w:tcPr>
          <w:p w14:paraId="0A29DAFC" w14:textId="77777777" w:rsidR="001F04FD" w:rsidRDefault="001F04FD" w:rsidP="00AC4DEE">
            <w:pPr>
              <w:pStyle w:val="TableHead"/>
            </w:pPr>
            <w:r>
              <w:t>Unit</w:t>
            </w:r>
          </w:p>
        </w:tc>
        <w:tc>
          <w:tcPr>
            <w:tcW w:w="3487" w:type="pct"/>
          </w:tcPr>
          <w:p w14:paraId="02C29911" w14:textId="77777777" w:rsidR="001F04FD" w:rsidRDefault="001F04FD" w:rsidP="00AC4DEE">
            <w:pPr>
              <w:pStyle w:val="TableHead"/>
            </w:pPr>
            <w:r>
              <w:t>Definition</w:t>
            </w:r>
          </w:p>
        </w:tc>
      </w:tr>
      <w:tr w:rsidR="001F04FD" w14:paraId="376892D0" w14:textId="77777777" w:rsidTr="00AC4DEE">
        <w:tc>
          <w:tcPr>
            <w:tcW w:w="1203" w:type="pct"/>
          </w:tcPr>
          <w:p w14:paraId="305895E1" w14:textId="77777777" w:rsidR="001F04FD" w:rsidRDefault="001F04FD" w:rsidP="00AC4DEE">
            <w:pPr>
              <w:pStyle w:val="TableBody"/>
            </w:pPr>
            <w:r>
              <w:t xml:space="preserve">LAEMREAMT </w:t>
            </w:r>
            <w:r w:rsidRPr="00E15B17">
              <w:rPr>
                <w:i/>
                <w:vertAlign w:val="subscript"/>
              </w:rPr>
              <w:t>q</w:t>
            </w:r>
          </w:p>
        </w:tc>
        <w:tc>
          <w:tcPr>
            <w:tcW w:w="310" w:type="pct"/>
          </w:tcPr>
          <w:p w14:paraId="517A949B" w14:textId="77777777" w:rsidR="001F04FD" w:rsidRDefault="001F04FD" w:rsidP="00AC4DEE">
            <w:pPr>
              <w:pStyle w:val="TableBody"/>
            </w:pPr>
            <w:r>
              <w:t>$</w:t>
            </w:r>
          </w:p>
        </w:tc>
        <w:tc>
          <w:tcPr>
            <w:tcW w:w="3487" w:type="pct"/>
          </w:tcPr>
          <w:p w14:paraId="66A3DD2A" w14:textId="77777777" w:rsidR="001F04FD" w:rsidRDefault="001F04FD" w:rsidP="00AC4DEE">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1F04FD" w14:paraId="385E7AEB" w14:textId="77777777" w:rsidTr="00AC4DEE">
        <w:tc>
          <w:tcPr>
            <w:tcW w:w="1203" w:type="pct"/>
          </w:tcPr>
          <w:p w14:paraId="41D50762" w14:textId="77777777" w:rsidR="001F04FD" w:rsidRDefault="001F04FD" w:rsidP="00AC4DEE">
            <w:pPr>
              <w:pStyle w:val="TableBody"/>
            </w:pPr>
            <w:r>
              <w:t>EMREAMTTOT</w:t>
            </w:r>
          </w:p>
        </w:tc>
        <w:tc>
          <w:tcPr>
            <w:tcW w:w="310" w:type="pct"/>
          </w:tcPr>
          <w:p w14:paraId="248921EE" w14:textId="77777777" w:rsidR="001F04FD" w:rsidRDefault="001F04FD" w:rsidP="00AC4DEE">
            <w:pPr>
              <w:pStyle w:val="TableBody"/>
            </w:pPr>
            <w:r>
              <w:t>$</w:t>
            </w:r>
          </w:p>
        </w:tc>
        <w:tc>
          <w:tcPr>
            <w:tcW w:w="3487" w:type="pct"/>
          </w:tcPr>
          <w:p w14:paraId="3BE76D72" w14:textId="4B22F89C" w:rsidR="001F04FD" w:rsidRDefault="001F04FD" w:rsidP="00AC4DEE">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r>
      <w:tr w:rsidR="001F04FD" w14:paraId="531DF315" w14:textId="77777777" w:rsidTr="00AC4DEE">
        <w:tc>
          <w:tcPr>
            <w:tcW w:w="1203" w:type="pct"/>
          </w:tcPr>
          <w:p w14:paraId="1B9E4E4F" w14:textId="77777777" w:rsidR="001F04FD" w:rsidRDefault="001F04FD" w:rsidP="00AC4DEE">
            <w:pPr>
              <w:pStyle w:val="TableBody"/>
            </w:pPr>
            <w:r>
              <w:t xml:space="preserve">EMREAMTQSETOT </w:t>
            </w:r>
            <w:r w:rsidRPr="00E15B17">
              <w:rPr>
                <w:i/>
                <w:vertAlign w:val="subscript"/>
              </w:rPr>
              <w:t>q</w:t>
            </w:r>
          </w:p>
        </w:tc>
        <w:tc>
          <w:tcPr>
            <w:tcW w:w="310" w:type="pct"/>
          </w:tcPr>
          <w:p w14:paraId="232EE45F" w14:textId="77777777" w:rsidR="001F04FD" w:rsidRDefault="001F04FD" w:rsidP="00AC4DEE">
            <w:pPr>
              <w:pStyle w:val="TableBody"/>
            </w:pPr>
            <w:r>
              <w:t>$</w:t>
            </w:r>
          </w:p>
        </w:tc>
        <w:tc>
          <w:tcPr>
            <w:tcW w:w="3487" w:type="pct"/>
          </w:tcPr>
          <w:p w14:paraId="58FBE8C7" w14:textId="0E3BBF42"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71768570" w14:textId="77777777" w:rsidTr="00AC4DEE">
        <w:tc>
          <w:tcPr>
            <w:tcW w:w="1203" w:type="pct"/>
          </w:tcPr>
          <w:p w14:paraId="3F034FD6" w14:textId="77777777" w:rsidR="001F04FD" w:rsidRDefault="001F04FD" w:rsidP="00AC4DEE">
            <w:pPr>
              <w:pStyle w:val="TableBody"/>
            </w:pPr>
            <w:r>
              <w:t xml:space="preserve">LRS </w:t>
            </w:r>
            <w:r w:rsidRPr="00E15B17">
              <w:rPr>
                <w:i/>
                <w:vertAlign w:val="subscript"/>
              </w:rPr>
              <w:t>q</w:t>
            </w:r>
          </w:p>
        </w:tc>
        <w:tc>
          <w:tcPr>
            <w:tcW w:w="310" w:type="pct"/>
          </w:tcPr>
          <w:p w14:paraId="7D1A8B19" w14:textId="77777777" w:rsidR="001F04FD" w:rsidRDefault="001F04FD" w:rsidP="00AC4DEE">
            <w:pPr>
              <w:pStyle w:val="TableBody"/>
            </w:pPr>
            <w:r>
              <w:t>none</w:t>
            </w:r>
          </w:p>
        </w:tc>
        <w:tc>
          <w:tcPr>
            <w:tcW w:w="3487" w:type="pct"/>
          </w:tcPr>
          <w:p w14:paraId="7E572D6C"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2172B557" w14:textId="77777777" w:rsidTr="00AC4DEE">
        <w:tc>
          <w:tcPr>
            <w:tcW w:w="1203" w:type="pct"/>
          </w:tcPr>
          <w:p w14:paraId="6AEA079B" w14:textId="77777777" w:rsidR="001F04FD" w:rsidRPr="00E15B17" w:rsidRDefault="001F04FD" w:rsidP="00AC4DEE">
            <w:pPr>
              <w:pStyle w:val="TableBody"/>
              <w:rPr>
                <w:i/>
              </w:rPr>
            </w:pPr>
            <w:r w:rsidRPr="00E15B17">
              <w:rPr>
                <w:i/>
              </w:rPr>
              <w:t>q</w:t>
            </w:r>
          </w:p>
        </w:tc>
        <w:tc>
          <w:tcPr>
            <w:tcW w:w="310" w:type="pct"/>
          </w:tcPr>
          <w:p w14:paraId="2F32B122" w14:textId="77777777" w:rsidR="001F04FD" w:rsidRDefault="001F04FD" w:rsidP="00AC4DEE">
            <w:pPr>
              <w:pStyle w:val="TableBody"/>
            </w:pPr>
            <w:r>
              <w:t>none</w:t>
            </w:r>
          </w:p>
        </w:tc>
        <w:tc>
          <w:tcPr>
            <w:tcW w:w="3487" w:type="pct"/>
          </w:tcPr>
          <w:p w14:paraId="46C22783" w14:textId="77777777" w:rsidR="001F04FD" w:rsidRDefault="001F04FD" w:rsidP="00AC4DEE">
            <w:pPr>
              <w:pStyle w:val="TableBody"/>
              <w:rPr>
                <w:i/>
              </w:rPr>
            </w:pPr>
            <w:r>
              <w:t>A QSE.</w:t>
            </w:r>
          </w:p>
        </w:tc>
      </w:tr>
    </w:tbl>
    <w:p w14:paraId="48A3A1E6"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B46CE" w14:paraId="3FC94527" w14:textId="77777777" w:rsidTr="00C952ED">
        <w:trPr>
          <w:trHeight w:val="206"/>
        </w:trPr>
        <w:tc>
          <w:tcPr>
            <w:tcW w:w="9350" w:type="dxa"/>
            <w:shd w:val="pct12" w:color="auto" w:fill="auto"/>
          </w:tcPr>
          <w:p w14:paraId="25337CBA" w14:textId="668F616B" w:rsidR="003B46CE" w:rsidRDefault="003B46CE" w:rsidP="00C952ED">
            <w:pPr>
              <w:pStyle w:val="Instructions"/>
              <w:spacing w:before="120"/>
            </w:pPr>
            <w:bookmarkStart w:id="2572" w:name="_Toc397505041"/>
            <w:bookmarkStart w:id="2573" w:name="_Toc402357173"/>
            <w:bookmarkStart w:id="2574" w:name="_Toc422486553"/>
            <w:bookmarkStart w:id="2575" w:name="_Toc433093406"/>
            <w:bookmarkStart w:id="2576" w:name="_Toc433093564"/>
            <w:bookmarkStart w:id="2577" w:name="_Toc440874794"/>
            <w:bookmarkStart w:id="2578" w:name="_Toc448142351"/>
            <w:bookmarkStart w:id="2579" w:name="_Toc448142508"/>
            <w:bookmarkStart w:id="2580" w:name="_Toc458770349"/>
            <w:bookmarkStart w:id="2581" w:name="_Toc459294317"/>
            <w:bookmarkStart w:id="2582" w:name="_Toc463262811"/>
            <w:bookmarkStart w:id="2583" w:name="_Toc468286884"/>
            <w:bookmarkStart w:id="2584" w:name="_Toc481502924"/>
            <w:bookmarkStart w:id="2585" w:name="_Toc496080092"/>
            <w:bookmarkStart w:id="2586" w:name="_Toc109009422"/>
            <w:r>
              <w:t>[NPRR1010 and NPRR1014:  Replace applicable portions of Section 6.6.9.2 above with the following upon system implementation of the Real-Time Co-Optimization (RTC) project for NPRR1010</w:t>
            </w:r>
            <w:r w:rsidR="00792C7F">
              <w:t>;</w:t>
            </w:r>
            <w:r>
              <w:t xml:space="preserve"> or upon system implementation for NPRR1014:]</w:t>
            </w:r>
          </w:p>
          <w:p w14:paraId="184CC20E" w14:textId="77777777" w:rsidR="003B46CE" w:rsidRPr="00A552C3" w:rsidRDefault="003B46CE" w:rsidP="003B46CE">
            <w:pPr>
              <w:keepNext/>
              <w:widowControl w:val="0"/>
              <w:tabs>
                <w:tab w:val="left" w:pos="1260"/>
              </w:tabs>
              <w:spacing w:before="240" w:after="240"/>
              <w:ind w:left="1260" w:hanging="1260"/>
              <w:outlineLvl w:val="3"/>
              <w:rPr>
                <w:b/>
                <w:bCs/>
                <w:snapToGrid w:val="0"/>
              </w:rPr>
            </w:pPr>
            <w:bookmarkStart w:id="2587" w:name="_Toc60040732"/>
            <w:bookmarkStart w:id="2588" w:name="_Toc65151791"/>
            <w:bookmarkStart w:id="2589" w:name="_Toc80174817"/>
            <w:bookmarkStart w:id="2590" w:name="_Toc112417697"/>
            <w:bookmarkStart w:id="2591" w:name="_Toc119310366"/>
            <w:bookmarkStart w:id="2592" w:name="_Toc125966299"/>
            <w:bookmarkStart w:id="2593" w:name="_Toc135992397"/>
            <w:bookmarkStart w:id="2594" w:name="_Toc170303593"/>
            <w:bookmarkStart w:id="2595" w:name="_Toc175157497"/>
            <w:bookmarkStart w:id="2596" w:name="_Toc189044470"/>
            <w:r w:rsidRPr="00A552C3">
              <w:rPr>
                <w:b/>
                <w:bCs/>
                <w:snapToGrid w:val="0"/>
              </w:rPr>
              <w:lastRenderedPageBreak/>
              <w:t>6.6.9.2</w:t>
            </w:r>
            <w:r w:rsidRPr="00A552C3">
              <w:rPr>
                <w:b/>
                <w:bCs/>
                <w:snapToGrid w:val="0"/>
              </w:rPr>
              <w:tab/>
              <w:t>Charge for Emergency Operations Settlement</w:t>
            </w:r>
            <w:bookmarkEnd w:id="2587"/>
            <w:bookmarkEnd w:id="2588"/>
            <w:bookmarkEnd w:id="2589"/>
            <w:bookmarkEnd w:id="2590"/>
            <w:bookmarkEnd w:id="2591"/>
            <w:bookmarkEnd w:id="2592"/>
            <w:bookmarkEnd w:id="2593"/>
            <w:bookmarkEnd w:id="2594"/>
            <w:bookmarkEnd w:id="2595"/>
            <w:bookmarkEnd w:id="2596"/>
            <w:r w:rsidRPr="00A552C3">
              <w:rPr>
                <w:b/>
                <w:bCs/>
                <w:snapToGrid w:val="0"/>
              </w:rPr>
              <w:t xml:space="preserve"> </w:t>
            </w:r>
          </w:p>
          <w:p w14:paraId="53BD42E4" w14:textId="77777777" w:rsidR="003B46CE" w:rsidRPr="00A552C3" w:rsidRDefault="003B46CE" w:rsidP="003B46CE">
            <w:pPr>
              <w:spacing w:after="240"/>
              <w:ind w:left="720" w:hanging="720"/>
              <w:rPr>
                <w:iCs/>
              </w:rPr>
            </w:pPr>
            <w:r w:rsidRPr="00A552C3">
              <w:rPr>
                <w:iCs/>
              </w:rPr>
              <w:t>(1)</w:t>
            </w:r>
            <w:r w:rsidRPr="00A552C3">
              <w:rPr>
                <w:iCs/>
              </w:rPr>
              <w:tab/>
              <w:t>The total cost for additional compensation for emergency Settlement as calculated in Section 6.6.9.1, Payment for Emergency Operations Settlement, is allocated to the QSEs representing Loads based on LRS.  The charge to each QSE for a given 15-minute Settlement Interval is calculated as follows:</w:t>
            </w:r>
          </w:p>
          <w:p w14:paraId="1EBBFA53" w14:textId="77777777" w:rsidR="003B46CE" w:rsidRPr="00A552C3" w:rsidRDefault="003B46CE" w:rsidP="003B46CE">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2C7EFF4C" w14:textId="77777777" w:rsidR="003B46CE" w:rsidRPr="00A552C3" w:rsidRDefault="003B46CE" w:rsidP="003B46CE">
            <w:pPr>
              <w:spacing w:after="240"/>
            </w:pPr>
            <w:r w:rsidRPr="00A552C3">
              <w:t>Where:</w:t>
            </w:r>
          </w:p>
          <w:p w14:paraId="1F14C27B" w14:textId="77777777" w:rsidR="003B46CE" w:rsidRPr="00A552C3" w:rsidRDefault="003B46CE" w:rsidP="003B46CE">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60EA51B0">
                <v:shape id="_x0000_i1268" type="#_x0000_t75" style="width:6pt;height:24pt" o:ole="">
                  <v:imagedata r:id="rId324" o:title=""/>
                </v:shape>
                <o:OLEObject Type="Embed" ProgID="Equation.3" ShapeID="_x0000_i1268" DrawAspect="Content" ObjectID="_1804653752" r:id="rId326"/>
              </w:object>
            </w:r>
            <w:r w:rsidRPr="00A552C3">
              <w:rPr>
                <w:bCs/>
              </w:rPr>
              <w:t xml:space="preserve">EMREAMTQSETOT </w:t>
            </w:r>
            <w:r w:rsidRPr="00A552C3">
              <w:rPr>
                <w:bCs/>
                <w:i/>
                <w:vertAlign w:val="subscript"/>
              </w:rPr>
              <w:t>q</w:t>
            </w:r>
          </w:p>
          <w:p w14:paraId="7A75A12D" w14:textId="77777777" w:rsidR="003B46CE" w:rsidRPr="00A552C3" w:rsidRDefault="003B46CE" w:rsidP="003B46CE">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05"/>
              <w:gridCol w:w="6333"/>
            </w:tblGrid>
            <w:tr w:rsidR="003B46CE" w:rsidRPr="00A552C3" w14:paraId="082C12CA" w14:textId="77777777" w:rsidTr="00C952ED">
              <w:trPr>
                <w:tblHeader/>
              </w:trPr>
              <w:tc>
                <w:tcPr>
                  <w:tcW w:w="1203" w:type="pct"/>
                </w:tcPr>
                <w:p w14:paraId="0DB539E8" w14:textId="77777777" w:rsidR="003B46CE" w:rsidRPr="00A552C3" w:rsidRDefault="003B46CE" w:rsidP="003B46CE">
                  <w:pPr>
                    <w:spacing w:after="240"/>
                    <w:rPr>
                      <w:b/>
                      <w:iCs/>
                      <w:sz w:val="20"/>
                    </w:rPr>
                  </w:pPr>
                  <w:r w:rsidRPr="00A552C3">
                    <w:rPr>
                      <w:b/>
                      <w:iCs/>
                      <w:sz w:val="20"/>
                    </w:rPr>
                    <w:t>Variable</w:t>
                  </w:r>
                </w:p>
              </w:tc>
              <w:tc>
                <w:tcPr>
                  <w:tcW w:w="310" w:type="pct"/>
                </w:tcPr>
                <w:p w14:paraId="7C7B24D0" w14:textId="77777777" w:rsidR="003B46CE" w:rsidRPr="00A552C3" w:rsidRDefault="003B46CE" w:rsidP="003B46CE">
                  <w:pPr>
                    <w:spacing w:after="240"/>
                    <w:rPr>
                      <w:b/>
                      <w:iCs/>
                      <w:sz w:val="20"/>
                    </w:rPr>
                  </w:pPr>
                  <w:r w:rsidRPr="00A552C3">
                    <w:rPr>
                      <w:b/>
                      <w:iCs/>
                      <w:sz w:val="20"/>
                    </w:rPr>
                    <w:t>Unit</w:t>
                  </w:r>
                </w:p>
              </w:tc>
              <w:tc>
                <w:tcPr>
                  <w:tcW w:w="3487" w:type="pct"/>
                </w:tcPr>
                <w:p w14:paraId="1B402DDC" w14:textId="77777777" w:rsidR="003B46CE" w:rsidRPr="00A552C3" w:rsidRDefault="003B46CE" w:rsidP="003B46CE">
                  <w:pPr>
                    <w:spacing w:after="240"/>
                    <w:rPr>
                      <w:b/>
                      <w:iCs/>
                      <w:sz w:val="20"/>
                    </w:rPr>
                  </w:pPr>
                  <w:r w:rsidRPr="00A552C3">
                    <w:rPr>
                      <w:b/>
                      <w:iCs/>
                      <w:sz w:val="20"/>
                    </w:rPr>
                    <w:t>Definition</w:t>
                  </w:r>
                </w:p>
              </w:tc>
            </w:tr>
            <w:tr w:rsidR="003B46CE" w:rsidRPr="00A552C3" w14:paraId="4A6A76D1" w14:textId="77777777" w:rsidTr="00C952ED">
              <w:tc>
                <w:tcPr>
                  <w:tcW w:w="1203" w:type="pct"/>
                </w:tcPr>
                <w:p w14:paraId="1DD975E6" w14:textId="77777777" w:rsidR="003B46CE" w:rsidRPr="00A552C3" w:rsidRDefault="003B46CE" w:rsidP="003B46CE">
                  <w:pPr>
                    <w:spacing w:after="60"/>
                    <w:rPr>
                      <w:iCs/>
                      <w:sz w:val="20"/>
                    </w:rPr>
                  </w:pPr>
                  <w:r w:rsidRPr="00A552C3">
                    <w:rPr>
                      <w:iCs/>
                      <w:sz w:val="20"/>
                    </w:rPr>
                    <w:t xml:space="preserve">LAEMREAMT </w:t>
                  </w:r>
                  <w:r w:rsidRPr="00A552C3">
                    <w:rPr>
                      <w:i/>
                      <w:iCs/>
                      <w:sz w:val="20"/>
                      <w:vertAlign w:val="subscript"/>
                    </w:rPr>
                    <w:t>q</w:t>
                  </w:r>
                </w:p>
              </w:tc>
              <w:tc>
                <w:tcPr>
                  <w:tcW w:w="310" w:type="pct"/>
                </w:tcPr>
                <w:p w14:paraId="3A8CB9F8" w14:textId="77777777" w:rsidR="003B46CE" w:rsidRPr="00A552C3" w:rsidRDefault="003B46CE" w:rsidP="003B46CE">
                  <w:pPr>
                    <w:spacing w:after="60"/>
                    <w:rPr>
                      <w:iCs/>
                      <w:sz w:val="20"/>
                    </w:rPr>
                  </w:pPr>
                  <w:r w:rsidRPr="00A552C3">
                    <w:rPr>
                      <w:iCs/>
                      <w:sz w:val="20"/>
                    </w:rPr>
                    <w:t>$</w:t>
                  </w:r>
                </w:p>
              </w:tc>
              <w:tc>
                <w:tcPr>
                  <w:tcW w:w="3487" w:type="pct"/>
                </w:tcPr>
                <w:p w14:paraId="43C72886" w14:textId="77777777" w:rsidR="003B46CE" w:rsidRPr="00A552C3" w:rsidRDefault="003B46CE" w:rsidP="003B46CE">
                  <w:pPr>
                    <w:spacing w:after="60"/>
                    <w:rPr>
                      <w:iCs/>
                      <w:sz w:val="20"/>
                    </w:rPr>
                  </w:pPr>
                  <w:r w:rsidRPr="00A552C3">
                    <w:rPr>
                      <w:i/>
                      <w:iCs/>
                      <w:sz w:val="20"/>
                    </w:rPr>
                    <w:t>Load-Allocated Emergency Energy Amount per QSE</w:t>
                  </w:r>
                  <w:r w:rsidRPr="00A552C3">
                    <w:rPr>
                      <w:iCs/>
                      <w:sz w:val="20"/>
                    </w:rPr>
                    <w:t xml:space="preserve">—The QSE </w:t>
                  </w:r>
                  <w:r w:rsidRPr="00A552C3">
                    <w:rPr>
                      <w:i/>
                      <w:iCs/>
                      <w:sz w:val="20"/>
                    </w:rPr>
                    <w:t>q</w:t>
                  </w:r>
                  <w:r w:rsidRPr="00A552C3">
                    <w:rPr>
                      <w:iCs/>
                      <w:sz w:val="20"/>
                    </w:rPr>
                    <w:t>’s Load-allocated amount of the total payments for all the Resources with Real-Time Emergency Base Points, for the 15-minute Settlement Interval.</w:t>
                  </w:r>
                </w:p>
              </w:tc>
            </w:tr>
            <w:tr w:rsidR="003B46CE" w:rsidRPr="00A552C3" w14:paraId="5C94D1A0" w14:textId="77777777" w:rsidTr="00C952ED">
              <w:tc>
                <w:tcPr>
                  <w:tcW w:w="1203" w:type="pct"/>
                </w:tcPr>
                <w:p w14:paraId="715D1D78" w14:textId="77777777" w:rsidR="003B46CE" w:rsidRPr="00A552C3" w:rsidRDefault="003B46CE" w:rsidP="003B46CE">
                  <w:pPr>
                    <w:spacing w:after="60"/>
                    <w:rPr>
                      <w:iCs/>
                      <w:sz w:val="20"/>
                    </w:rPr>
                  </w:pPr>
                  <w:r w:rsidRPr="00A552C3">
                    <w:rPr>
                      <w:iCs/>
                      <w:sz w:val="20"/>
                    </w:rPr>
                    <w:t>EMREAMTTOT</w:t>
                  </w:r>
                </w:p>
              </w:tc>
              <w:tc>
                <w:tcPr>
                  <w:tcW w:w="310" w:type="pct"/>
                </w:tcPr>
                <w:p w14:paraId="1C4073DD" w14:textId="77777777" w:rsidR="003B46CE" w:rsidRPr="00A552C3" w:rsidRDefault="003B46CE" w:rsidP="003B46CE">
                  <w:pPr>
                    <w:spacing w:after="60"/>
                    <w:rPr>
                      <w:iCs/>
                      <w:sz w:val="20"/>
                    </w:rPr>
                  </w:pPr>
                  <w:r w:rsidRPr="00A552C3">
                    <w:rPr>
                      <w:iCs/>
                      <w:sz w:val="20"/>
                    </w:rPr>
                    <w:t>$</w:t>
                  </w:r>
                </w:p>
              </w:tc>
              <w:tc>
                <w:tcPr>
                  <w:tcW w:w="3487" w:type="pct"/>
                </w:tcPr>
                <w:p w14:paraId="6FA9B515" w14:textId="77777777" w:rsidR="003B46CE" w:rsidRPr="00A552C3" w:rsidRDefault="003B46CE" w:rsidP="003B46CE">
                  <w:pPr>
                    <w:spacing w:after="60"/>
                    <w:rPr>
                      <w:iCs/>
                      <w:sz w:val="20"/>
                    </w:rPr>
                  </w:pPr>
                  <w:r w:rsidRPr="00A552C3">
                    <w:rPr>
                      <w:i/>
                      <w:iCs/>
                      <w:sz w:val="20"/>
                    </w:rPr>
                    <w:t>Emergency Energy Amount Total</w:t>
                  </w:r>
                  <w:r w:rsidRPr="00A552C3">
                    <w:rPr>
                      <w:iCs/>
                      <w:sz w:val="20"/>
                    </w:rPr>
                    <w:sym w:font="Symbol" w:char="F0BE"/>
                  </w:r>
                  <w:r w:rsidRPr="00A552C3">
                    <w:rPr>
                      <w:iCs/>
                      <w:sz w:val="20"/>
                    </w:rPr>
                    <w:t>The total of the payments to all QSEs as additional compensation for additional energy or Ancillary Services of the Resources for the 15-minute Settlement Interval.</w:t>
                  </w:r>
                </w:p>
              </w:tc>
            </w:tr>
            <w:tr w:rsidR="003B46CE" w:rsidRPr="00A552C3" w14:paraId="0816603F" w14:textId="77777777" w:rsidTr="00C952ED">
              <w:tc>
                <w:tcPr>
                  <w:tcW w:w="1203" w:type="pct"/>
                </w:tcPr>
                <w:p w14:paraId="543ACFA6" w14:textId="77777777" w:rsidR="003B46CE" w:rsidRPr="00A552C3" w:rsidRDefault="003B46CE" w:rsidP="003B46CE">
                  <w:pPr>
                    <w:spacing w:after="60"/>
                    <w:rPr>
                      <w:iCs/>
                      <w:sz w:val="20"/>
                    </w:rPr>
                  </w:pPr>
                  <w:r w:rsidRPr="00A552C3">
                    <w:rPr>
                      <w:iCs/>
                      <w:sz w:val="20"/>
                    </w:rPr>
                    <w:t xml:space="preserve">EMREAMTQSETOT </w:t>
                  </w:r>
                  <w:r w:rsidRPr="00A552C3">
                    <w:rPr>
                      <w:i/>
                      <w:iCs/>
                      <w:sz w:val="20"/>
                      <w:vertAlign w:val="subscript"/>
                    </w:rPr>
                    <w:t>q</w:t>
                  </w:r>
                </w:p>
              </w:tc>
              <w:tc>
                <w:tcPr>
                  <w:tcW w:w="310" w:type="pct"/>
                </w:tcPr>
                <w:p w14:paraId="6F3CFC0D" w14:textId="77777777" w:rsidR="003B46CE" w:rsidRPr="00A552C3" w:rsidRDefault="003B46CE" w:rsidP="003B46CE">
                  <w:pPr>
                    <w:spacing w:after="60"/>
                    <w:rPr>
                      <w:iCs/>
                      <w:sz w:val="20"/>
                    </w:rPr>
                  </w:pPr>
                  <w:r w:rsidRPr="00A552C3">
                    <w:rPr>
                      <w:iCs/>
                      <w:sz w:val="20"/>
                    </w:rPr>
                    <w:t>$</w:t>
                  </w:r>
                </w:p>
              </w:tc>
              <w:tc>
                <w:tcPr>
                  <w:tcW w:w="3487" w:type="pct"/>
                </w:tcPr>
                <w:p w14:paraId="119E7C61" w14:textId="77777777" w:rsidR="003B46CE" w:rsidRPr="00A552C3" w:rsidRDefault="003B46CE" w:rsidP="003B46CE">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3B46CE" w:rsidRPr="00A552C3" w14:paraId="6D6F76F6" w14:textId="77777777" w:rsidTr="00C952ED">
              <w:tc>
                <w:tcPr>
                  <w:tcW w:w="1203" w:type="pct"/>
                </w:tcPr>
                <w:p w14:paraId="5D76FD8B" w14:textId="77777777" w:rsidR="003B46CE" w:rsidRPr="00A552C3" w:rsidRDefault="003B46CE" w:rsidP="003B46CE">
                  <w:pPr>
                    <w:spacing w:after="60"/>
                    <w:rPr>
                      <w:iCs/>
                      <w:sz w:val="20"/>
                    </w:rPr>
                  </w:pPr>
                  <w:r w:rsidRPr="00A552C3">
                    <w:rPr>
                      <w:iCs/>
                      <w:sz w:val="20"/>
                    </w:rPr>
                    <w:t xml:space="preserve">LRS </w:t>
                  </w:r>
                  <w:r w:rsidRPr="00A552C3">
                    <w:rPr>
                      <w:i/>
                      <w:iCs/>
                      <w:sz w:val="20"/>
                      <w:vertAlign w:val="subscript"/>
                    </w:rPr>
                    <w:t>q</w:t>
                  </w:r>
                </w:p>
              </w:tc>
              <w:tc>
                <w:tcPr>
                  <w:tcW w:w="310" w:type="pct"/>
                </w:tcPr>
                <w:p w14:paraId="38E9A13A" w14:textId="77777777" w:rsidR="003B46CE" w:rsidRPr="00A552C3" w:rsidRDefault="003B46CE" w:rsidP="003B46CE">
                  <w:pPr>
                    <w:spacing w:after="60"/>
                    <w:rPr>
                      <w:iCs/>
                      <w:sz w:val="20"/>
                    </w:rPr>
                  </w:pPr>
                  <w:r w:rsidRPr="00A552C3">
                    <w:rPr>
                      <w:iCs/>
                      <w:sz w:val="20"/>
                    </w:rPr>
                    <w:t>none</w:t>
                  </w:r>
                </w:p>
              </w:tc>
              <w:tc>
                <w:tcPr>
                  <w:tcW w:w="3487" w:type="pct"/>
                </w:tcPr>
                <w:p w14:paraId="75DAFED7" w14:textId="77777777" w:rsidR="003B46CE" w:rsidRPr="00A552C3" w:rsidRDefault="003B46CE" w:rsidP="003B46CE">
                  <w:pPr>
                    <w:spacing w:after="60"/>
                    <w:rPr>
                      <w:iCs/>
                      <w:sz w:val="20"/>
                    </w:rPr>
                  </w:pPr>
                  <w:r w:rsidRPr="00A552C3">
                    <w:rPr>
                      <w:iCs/>
                      <w:sz w:val="20"/>
                    </w:rPr>
                    <w:t xml:space="preserve">The LRS calculated for QSE </w:t>
                  </w:r>
                  <w:r w:rsidRPr="00A552C3">
                    <w:rPr>
                      <w:i/>
                      <w:iCs/>
                      <w:sz w:val="20"/>
                    </w:rPr>
                    <w:t>q</w:t>
                  </w:r>
                  <w:r w:rsidRPr="00A552C3">
                    <w:rPr>
                      <w:iCs/>
                      <w:sz w:val="20"/>
                    </w:rPr>
                    <w:t xml:space="preserve"> for the 15-minute Settlement Interval.  See Section 6.6.2.2, QSE Load Ratio Share for a 15-Minute Settlement Interval.</w:t>
                  </w:r>
                </w:p>
              </w:tc>
            </w:tr>
            <w:tr w:rsidR="003B46CE" w:rsidRPr="00A552C3" w14:paraId="158C7E21" w14:textId="77777777" w:rsidTr="00C952ED">
              <w:tc>
                <w:tcPr>
                  <w:tcW w:w="1203" w:type="pct"/>
                </w:tcPr>
                <w:p w14:paraId="6833BB1E" w14:textId="77777777" w:rsidR="003B46CE" w:rsidRPr="00A552C3" w:rsidRDefault="003B46CE" w:rsidP="003B46CE">
                  <w:pPr>
                    <w:spacing w:after="60"/>
                    <w:rPr>
                      <w:i/>
                      <w:iCs/>
                      <w:sz w:val="20"/>
                    </w:rPr>
                  </w:pPr>
                  <w:r w:rsidRPr="00A552C3">
                    <w:rPr>
                      <w:i/>
                      <w:iCs/>
                      <w:sz w:val="20"/>
                    </w:rPr>
                    <w:t>q</w:t>
                  </w:r>
                </w:p>
              </w:tc>
              <w:tc>
                <w:tcPr>
                  <w:tcW w:w="310" w:type="pct"/>
                </w:tcPr>
                <w:p w14:paraId="239E6290" w14:textId="77777777" w:rsidR="003B46CE" w:rsidRPr="00A552C3" w:rsidRDefault="003B46CE" w:rsidP="003B46CE">
                  <w:pPr>
                    <w:spacing w:after="60"/>
                    <w:rPr>
                      <w:iCs/>
                      <w:sz w:val="20"/>
                    </w:rPr>
                  </w:pPr>
                  <w:r w:rsidRPr="00A552C3">
                    <w:rPr>
                      <w:iCs/>
                      <w:sz w:val="20"/>
                    </w:rPr>
                    <w:t>none</w:t>
                  </w:r>
                </w:p>
              </w:tc>
              <w:tc>
                <w:tcPr>
                  <w:tcW w:w="3487" w:type="pct"/>
                </w:tcPr>
                <w:p w14:paraId="0E380109" w14:textId="77777777" w:rsidR="003B46CE" w:rsidRPr="00A552C3" w:rsidRDefault="003B46CE" w:rsidP="003B46CE">
                  <w:pPr>
                    <w:spacing w:after="60"/>
                    <w:rPr>
                      <w:i/>
                      <w:iCs/>
                      <w:sz w:val="20"/>
                    </w:rPr>
                  </w:pPr>
                  <w:r w:rsidRPr="00A552C3">
                    <w:rPr>
                      <w:iCs/>
                      <w:sz w:val="20"/>
                    </w:rPr>
                    <w:t>A QSE.</w:t>
                  </w:r>
                </w:p>
              </w:tc>
            </w:tr>
          </w:tbl>
          <w:p w14:paraId="4344C1BD" w14:textId="5957A5DA" w:rsidR="003B46CE" w:rsidRPr="00537026" w:rsidRDefault="003B46CE" w:rsidP="00C952ED">
            <w:pPr>
              <w:pStyle w:val="TableBody"/>
            </w:pPr>
          </w:p>
        </w:tc>
      </w:tr>
    </w:tbl>
    <w:p w14:paraId="4886BF7C" w14:textId="4FFE92F7" w:rsidR="001F04FD" w:rsidRDefault="001F04FD" w:rsidP="00FB599C">
      <w:pPr>
        <w:pStyle w:val="H3"/>
        <w:spacing w:before="600"/>
      </w:pPr>
      <w:bookmarkStart w:id="2597" w:name="_Toc189044471"/>
      <w:r>
        <w:lastRenderedPageBreak/>
        <w:t>6.6.10</w:t>
      </w:r>
      <w:r>
        <w:tab/>
        <w:t>Real-Time Revenue Neutrality Allocation</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97"/>
    </w:p>
    <w:p w14:paraId="746CC419" w14:textId="77777777" w:rsidR="001F04FD" w:rsidRDefault="001F04FD" w:rsidP="001F04FD">
      <w:pPr>
        <w:pStyle w:val="BodyTextNumbered"/>
      </w:pPr>
      <w:r>
        <w:t>(1)</w:t>
      </w:r>
      <w:r>
        <w:tab/>
        <w:t>ERCOT must be revenue-neutral in each Settlement Interval.  Each QSE receives an allocated share, on a LRS basis, of the net amount of:</w:t>
      </w:r>
    </w:p>
    <w:p w14:paraId="0BABDAF0" w14:textId="77777777" w:rsidR="001F04FD" w:rsidRDefault="001F04FD" w:rsidP="001F04FD">
      <w:pPr>
        <w:pStyle w:val="List"/>
      </w:pPr>
      <w:r>
        <w:t>(a)</w:t>
      </w:r>
      <w:r>
        <w:tab/>
        <w:t>Real-Time Energy Imbalance payments or charges under Section 6.6.3.1, Real-Time Energy Imbalance Payment or Charge at a Resource Node;</w:t>
      </w:r>
    </w:p>
    <w:p w14:paraId="5AFAD35F" w14:textId="77777777" w:rsidR="001F04FD" w:rsidRDefault="001F04FD" w:rsidP="00E228C6">
      <w:pPr>
        <w:spacing w:after="240"/>
        <w:ind w:left="1440" w:hanging="720"/>
      </w:pPr>
      <w:r>
        <w:t>(b)</w:t>
      </w:r>
      <w:r>
        <w:tab/>
        <w:t>Real-Time Energy Imbalance payments or charges under Section 6.6.3.2, Real-Time Energy Imbalance Payment or Charge at a Load Zone;</w:t>
      </w:r>
    </w:p>
    <w:p w14:paraId="638BC777" w14:textId="77777777" w:rsidR="001F04FD" w:rsidRDefault="001F04FD" w:rsidP="00E228C6">
      <w:pPr>
        <w:spacing w:after="240"/>
        <w:ind w:left="1440" w:hanging="720"/>
      </w:pPr>
      <w:r>
        <w:t>(c)</w:t>
      </w:r>
      <w:r>
        <w:tab/>
        <w:t>Real-Time Energy Imbalance payments or charges under Section 6.6.3.3, Real-Time Energy Imbalance Payment or Charge at a Hub;</w:t>
      </w:r>
    </w:p>
    <w:p w14:paraId="047005EA" w14:textId="77777777" w:rsidR="001F04FD" w:rsidRDefault="001F04FD" w:rsidP="00E228C6">
      <w:pPr>
        <w:spacing w:after="240"/>
        <w:ind w:left="1440" w:hanging="720"/>
      </w:pPr>
      <w:r>
        <w:t>(d)</w:t>
      </w:r>
      <w:r>
        <w:tab/>
        <w:t>Real-Time energy payments under Section 6.6.3.4, Real-Time Energy Payment for DC Tie Import;</w:t>
      </w:r>
    </w:p>
    <w:p w14:paraId="589F81C7" w14:textId="2EBFA04A" w:rsidR="001F04FD" w:rsidRDefault="001F04FD" w:rsidP="00E228C6">
      <w:pPr>
        <w:spacing w:after="240"/>
        <w:ind w:left="1440" w:hanging="720"/>
      </w:pPr>
      <w:r>
        <w:lastRenderedPageBreak/>
        <w:t>(e)</w:t>
      </w:r>
      <w:r>
        <w:tab/>
        <w:t>Real-Time energy payments under Section 6.6.3.5, Real-Time Payment for a Block Load Transfer Point;</w:t>
      </w:r>
    </w:p>
    <w:p w14:paraId="08751346" w14:textId="0D9907AC" w:rsidR="0024071F" w:rsidRDefault="0024071F" w:rsidP="00E228C6">
      <w:pPr>
        <w:spacing w:after="240"/>
        <w:ind w:left="1440" w:hanging="720"/>
      </w:pPr>
      <w:r w:rsidRPr="009E231E">
        <w:t>(</w:t>
      </w:r>
      <w:r>
        <w:t>f</w:t>
      </w:r>
      <w:r w:rsidRPr="009E231E">
        <w:t>)</w:t>
      </w:r>
      <w:r w:rsidRPr="009E231E">
        <w:tab/>
        <w:t>Real-Time Energy payments or charges under Section 6.6.3.</w:t>
      </w:r>
      <w:r w:rsidR="00720B34">
        <w:t>8</w:t>
      </w:r>
      <w:r w:rsidRPr="009E231E">
        <w:t>, Real-Time Payment or Charge for Energy from a Settlement Only Distribution Generator (SODG) or a Settlement Only Transmission Generator (SOTG);</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E228C6" w14:paraId="6E0ABAA0" w14:textId="77777777" w:rsidTr="001335E7">
        <w:trPr>
          <w:trHeight w:val="206"/>
        </w:trPr>
        <w:tc>
          <w:tcPr>
            <w:tcW w:w="5000" w:type="pct"/>
            <w:shd w:val="pct12" w:color="auto" w:fill="auto"/>
          </w:tcPr>
          <w:p w14:paraId="65AAADFD" w14:textId="5690D89B" w:rsidR="00E228C6" w:rsidRDefault="00E228C6" w:rsidP="00E228C6">
            <w:pPr>
              <w:pStyle w:val="Instructions"/>
            </w:pPr>
            <w:r>
              <w:t>[</w:t>
            </w:r>
            <w:r w:rsidR="00851766">
              <w:t>NPRR995</w:t>
            </w:r>
            <w:r>
              <w:t xml:space="preserve">:  </w:t>
            </w:r>
            <w:r w:rsidR="0024071F">
              <w:t xml:space="preserve">Replace </w:t>
            </w:r>
            <w:r>
              <w:t>item (</w:t>
            </w:r>
            <w:r w:rsidR="0024071F">
              <w:t>f</w:t>
            </w:r>
            <w:r>
              <w:t xml:space="preserve">) </w:t>
            </w:r>
            <w:r w:rsidR="0024071F">
              <w:t>above with the following</w:t>
            </w:r>
            <w:r>
              <w:t xml:space="preserve"> upon system implementation:]</w:t>
            </w:r>
          </w:p>
          <w:p w14:paraId="5FE1A1D8" w14:textId="42C810F3" w:rsidR="00E228C6" w:rsidRPr="00C3334D" w:rsidRDefault="00E228C6" w:rsidP="00E228C6">
            <w:pPr>
              <w:spacing w:after="120"/>
              <w:ind w:left="1440" w:hanging="720"/>
            </w:pPr>
            <w:r>
              <w:t>(</w:t>
            </w:r>
            <w:r w:rsidR="0024071F">
              <w:t>f</w:t>
            </w:r>
            <w:r>
              <w:t>)</w:t>
            </w:r>
            <w:r>
              <w:tab/>
              <w:t xml:space="preserve">Real-Time Energy payments or charges under </w:t>
            </w:r>
            <w:r w:rsidRPr="00627984">
              <w:t>Section 6.6.3.</w:t>
            </w:r>
            <w:r w:rsidR="00720B34">
              <w:t>8</w:t>
            </w:r>
            <w:r>
              <w:t>,</w:t>
            </w:r>
            <w:r w:rsidRPr="00871E49">
              <w:t xml:space="preserve"> </w:t>
            </w:r>
            <w:r w:rsidRPr="00892119">
              <w:t xml:space="preserve">Real-Time Payment or Charge for Energy from </w:t>
            </w:r>
            <w:r>
              <w:t xml:space="preserve">a </w:t>
            </w:r>
            <w:r w:rsidRPr="00A6342E">
              <w:t>Settlement Only Distribution Generator (SODG)</w:t>
            </w:r>
            <w:r w:rsidR="00851766">
              <w:t>,</w:t>
            </w:r>
            <w:r>
              <w:t xml:space="preserve"> </w:t>
            </w:r>
            <w:r w:rsidRPr="00A6342E">
              <w:t>Settlement Only Transmission Generator (SOTG)</w:t>
            </w:r>
            <w:r w:rsidR="00851766">
              <w:t>, Settlement Only Distribution Energy Storage System (SODESS), or Settlement Only Transmission Energy Storage System (SOTESS)</w:t>
            </w:r>
            <w:r>
              <w:t>;</w:t>
            </w:r>
          </w:p>
        </w:tc>
      </w:tr>
    </w:tbl>
    <w:p w14:paraId="2CA68031" w14:textId="77777777" w:rsidR="001F04FD" w:rsidRDefault="001F04FD" w:rsidP="004A39F9">
      <w:pPr>
        <w:spacing w:before="240" w:after="240"/>
        <w:ind w:left="1440" w:hanging="720"/>
      </w:pPr>
      <w:r>
        <w:t>(g)</w:t>
      </w:r>
      <w:r>
        <w:tab/>
        <w:t>Real-Time congestion payments or charges under Section 6.6.4, Real-Time Congestion Payment or Charge for Self-Schedules; and</w:t>
      </w:r>
    </w:p>
    <w:p w14:paraId="0A909937" w14:textId="77777777" w:rsidR="001F04FD" w:rsidRDefault="001F04FD" w:rsidP="00E228C6">
      <w:pPr>
        <w:pStyle w:val="List"/>
      </w:pPr>
      <w:r>
        <w:t>(h)</w:t>
      </w:r>
      <w:r>
        <w:tab/>
        <w:t>Real-Time payments or charges to the Congestion Revenue Right (CRR) Owners under Section 7.9.2, Real-Time CRR Payments and Charges.</w:t>
      </w:r>
    </w:p>
    <w:p w14:paraId="68529C68" w14:textId="77777777" w:rsidR="001F04FD" w:rsidRPr="000149E5" w:rsidRDefault="001F04FD" w:rsidP="001F04FD">
      <w:pPr>
        <w:pStyle w:val="BodyTextNumbered"/>
        <w:rPr>
          <w:iCs/>
        </w:rPr>
      </w:pPr>
      <w:r w:rsidRPr="000149E5">
        <w:rPr>
          <w:iCs/>
        </w:rPr>
        <w:t>(2)</w:t>
      </w:r>
      <w:r w:rsidRPr="000149E5">
        <w:rPr>
          <w:iCs/>
        </w:rPr>
        <w:tab/>
        <w:t>The Real-Time Revenue Neutrality Allocation for each QSE for a given 15-minute Settlement Interval is calculated as follows:</w:t>
      </w:r>
    </w:p>
    <w:p w14:paraId="44474249" w14:textId="64A19995" w:rsidR="001F04FD" w:rsidRDefault="001F04FD" w:rsidP="001F04FD">
      <w:pPr>
        <w:pStyle w:val="FormulaBold"/>
        <w:tabs>
          <w:tab w:val="clear" w:pos="2250"/>
          <w:tab w:val="clear" w:pos="3960"/>
          <w:tab w:val="left" w:pos="2700"/>
        </w:tabs>
        <w:ind w:left="3150" w:hanging="2430"/>
        <w:rPr>
          <w:i/>
          <w:vertAlign w:val="subscript"/>
        </w:rPr>
      </w:pPr>
      <w:r>
        <w:t xml:space="preserve">LARTRNAMT </w:t>
      </w:r>
      <w:r>
        <w:rPr>
          <w:i/>
          <w:vertAlign w:val="subscript"/>
        </w:rPr>
        <w:t>q</w:t>
      </w:r>
      <w:r>
        <w:tab/>
        <w:t>=</w:t>
      </w:r>
      <w:r>
        <w:tab/>
        <w:t xml:space="preserve">(-1) * (RTEIAMTTOT + BLTRAMTTOT + RTDCIMPAMTTOT + </w:t>
      </w:r>
      <w:r w:rsidR="0024071F" w:rsidRPr="0024071F">
        <w:t xml:space="preserve">RTESOGAMTTOT + </w:t>
      </w:r>
      <w:r>
        <w:t xml:space="preserve">RTCCAMTTOT + RTOBLAMTTOT / 4 + RTOBLLOAMTTOT / 4) * LRS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1703A669" w14:textId="77777777" w:rsidTr="008B123E">
        <w:trPr>
          <w:trHeight w:val="206"/>
        </w:trPr>
        <w:tc>
          <w:tcPr>
            <w:tcW w:w="9576" w:type="dxa"/>
            <w:shd w:val="pct12" w:color="auto" w:fill="auto"/>
          </w:tcPr>
          <w:p w14:paraId="7CC6B1B3" w14:textId="0DBF8537" w:rsidR="000F620F" w:rsidRDefault="000F620F" w:rsidP="008B123E">
            <w:pPr>
              <w:pStyle w:val="Instructions"/>
              <w:spacing w:before="120"/>
            </w:pPr>
            <w:r>
              <w:t>[</w:t>
            </w:r>
            <w:r w:rsidR="00851766">
              <w:t>NPRR995</w:t>
            </w:r>
            <w:r>
              <w:t>:  Replace the formula “</w:t>
            </w:r>
            <w:r w:rsidRPr="000F620F">
              <w:t xml:space="preserve">LARTRNAMT </w:t>
            </w:r>
            <w:r w:rsidRPr="000F620F">
              <w:rPr>
                <w:vertAlign w:val="subscript"/>
              </w:rPr>
              <w:t>q</w:t>
            </w:r>
            <w:r>
              <w:t>” above with the following upon system implementation:]</w:t>
            </w:r>
          </w:p>
          <w:p w14:paraId="6D9C0F4B" w14:textId="4ECA584C" w:rsidR="000F620F" w:rsidRPr="000F620F" w:rsidRDefault="000F620F" w:rsidP="008B66B5">
            <w:pPr>
              <w:tabs>
                <w:tab w:val="left" w:pos="2700"/>
                <w:tab w:val="left" w:pos="3150"/>
              </w:tabs>
              <w:spacing w:after="240"/>
              <w:ind w:left="3150" w:hanging="2430"/>
              <w:rPr>
                <w:b/>
                <w:bCs/>
                <w:i/>
                <w:vertAlign w:val="subscript"/>
              </w:rPr>
            </w:pPr>
            <w:r w:rsidRPr="00E36C99">
              <w:rPr>
                <w:b/>
                <w:bCs/>
              </w:rPr>
              <w:t xml:space="preserve">LARTRNAMT </w:t>
            </w:r>
            <w:r w:rsidRPr="00E36C99">
              <w:rPr>
                <w:b/>
                <w:bCs/>
                <w:i/>
                <w:vertAlign w:val="subscript"/>
              </w:rPr>
              <w:t>q</w:t>
            </w:r>
            <w:r w:rsidRPr="00E36C99">
              <w:rPr>
                <w:b/>
                <w:bCs/>
              </w:rPr>
              <w:tab/>
              <w:t>=</w:t>
            </w:r>
            <w:r w:rsidRPr="00E36C99">
              <w:rPr>
                <w:b/>
                <w:bCs/>
              </w:rPr>
              <w:tab/>
              <w:t xml:space="preserve">(-1) * (RTEIAMTTOT + BLTRAMTTOT + RTDCIMPAMTTOT + </w:t>
            </w:r>
            <w:r w:rsidRPr="00892119">
              <w:rPr>
                <w:b/>
                <w:bCs/>
              </w:rPr>
              <w:t>RTE</w:t>
            </w:r>
            <w:r>
              <w:rPr>
                <w:b/>
                <w:bCs/>
              </w:rPr>
              <w:t>SO</w:t>
            </w:r>
            <w:r w:rsidRPr="00892119">
              <w:rPr>
                <w:b/>
                <w:bCs/>
              </w:rPr>
              <w:t xml:space="preserve">AMTTOT + </w:t>
            </w:r>
            <w:r w:rsidRPr="00E36C99">
              <w:rPr>
                <w:b/>
                <w:bCs/>
              </w:rPr>
              <w:t xml:space="preserve">RTCCAMTTOT + RTOBLAMTTOT / 4 + RTOBLLOAMTTOT / 4) * LRS </w:t>
            </w:r>
            <w:r>
              <w:rPr>
                <w:b/>
                <w:bCs/>
                <w:i/>
                <w:vertAlign w:val="subscript"/>
              </w:rPr>
              <w:t>q</w:t>
            </w:r>
          </w:p>
        </w:tc>
      </w:tr>
    </w:tbl>
    <w:p w14:paraId="0213CEDC" w14:textId="77777777" w:rsidR="001F04FD" w:rsidRDefault="001F04FD" w:rsidP="004A39F9">
      <w:pPr>
        <w:pStyle w:val="BodyText"/>
        <w:spacing w:before="240"/>
      </w:pPr>
      <w:r>
        <w:t>Where:</w:t>
      </w:r>
    </w:p>
    <w:p w14:paraId="4CF370B0" w14:textId="77777777" w:rsidR="001F04FD" w:rsidRDefault="001F04FD" w:rsidP="001F04FD">
      <w:pPr>
        <w:ind w:firstLine="720"/>
      </w:pPr>
      <w:r>
        <w:t xml:space="preserve">Total </w:t>
      </w:r>
      <w:r>
        <w:rPr>
          <w:szCs w:val="24"/>
        </w:rPr>
        <w:t>Real</w:t>
      </w:r>
      <w:r>
        <w:t>-Time Energy Imbalance Payment (or Charge) at Settlement Point (or Hub)</w:t>
      </w:r>
    </w:p>
    <w:p w14:paraId="3236F492" w14:textId="4F7E3CBF" w:rsidR="001F04FD" w:rsidRDefault="001F04FD" w:rsidP="001F04FD">
      <w:pPr>
        <w:pStyle w:val="Formula"/>
        <w:tabs>
          <w:tab w:val="clear" w:pos="2160"/>
          <w:tab w:val="clear" w:pos="2880"/>
          <w:tab w:val="left" w:pos="2340"/>
          <w:tab w:val="left" w:pos="3420"/>
        </w:tabs>
        <w:ind w:leftChars="600" w:left="3600" w:hanging="2160"/>
        <w:rPr>
          <w:i/>
          <w:vertAlign w:val="subscript"/>
        </w:rPr>
      </w:pPr>
      <w:r>
        <w:t>RTEIAMTTOT</w:t>
      </w:r>
      <w:r>
        <w:tab/>
      </w:r>
      <w:r>
        <w:tab/>
        <w:t>=</w:t>
      </w:r>
      <w:r>
        <w:tab/>
      </w:r>
      <w:r w:rsidRPr="006F784F">
        <w:rPr>
          <w:position w:val="-22"/>
        </w:rPr>
        <w:object w:dxaOrig="210" w:dyaOrig="465" w14:anchorId="0A9B124C">
          <v:shape id="_x0000_i1269" type="#_x0000_t75" style="width:6pt;height:24pt" o:ole="">
            <v:imagedata r:id="rId327" o:title=""/>
          </v:shape>
          <o:OLEObject Type="Embed" ProgID="Equation.3" ShapeID="_x0000_i1269" DrawAspect="Content" ObjectID="_1804653753" r:id="rId328"/>
        </w:object>
      </w:r>
      <w:r w:rsidR="006C375B">
        <w:t xml:space="preserve"> </w:t>
      </w:r>
      <w:r>
        <w:t xml:space="preserve">RTEIAMTQSETOT </w:t>
      </w:r>
      <w:r>
        <w:rPr>
          <w:i/>
          <w:vertAlign w:val="subscript"/>
        </w:rPr>
        <w:t>q</w:t>
      </w:r>
    </w:p>
    <w:p w14:paraId="01514D59" w14:textId="77777777" w:rsidR="001F04FD" w:rsidRDefault="001F04FD" w:rsidP="001F04FD">
      <w:pPr>
        <w:ind w:firstLine="720"/>
      </w:pPr>
      <w:r>
        <w:t>Total Real-Time Payment for BLT Resources</w:t>
      </w:r>
    </w:p>
    <w:p w14:paraId="27110DAD" w14:textId="342147BF" w:rsidR="001F04FD" w:rsidRDefault="001F04FD" w:rsidP="001F04FD">
      <w:pPr>
        <w:pStyle w:val="Formula"/>
        <w:ind w:leftChars="600" w:left="3600" w:hanging="2160"/>
      </w:pPr>
      <w:r>
        <w:t>BLTRAMTTOT</w:t>
      </w:r>
      <w:r>
        <w:tab/>
        <w:t>=</w:t>
      </w:r>
      <w:r>
        <w:tab/>
      </w:r>
      <w:r w:rsidRPr="006F784F">
        <w:rPr>
          <w:position w:val="-22"/>
        </w:rPr>
        <w:object w:dxaOrig="210" w:dyaOrig="465" w14:anchorId="7A199638">
          <v:shape id="_x0000_i1270" type="#_x0000_t75" style="width:6pt;height:24pt" o:ole="">
            <v:imagedata r:id="rId181" o:title=""/>
          </v:shape>
          <o:OLEObject Type="Embed" ProgID="Equation.3" ShapeID="_x0000_i1270" DrawAspect="Content" ObjectID="_1804653754" r:id="rId329"/>
        </w:object>
      </w:r>
      <w:r w:rsidR="006C375B">
        <w:t xml:space="preserve"> </w:t>
      </w:r>
      <w:r>
        <w:t xml:space="preserve">BLTRAMTQSETOT </w:t>
      </w:r>
      <w:r>
        <w:rPr>
          <w:i/>
          <w:vertAlign w:val="subscript"/>
        </w:rPr>
        <w:t>q</w:t>
      </w:r>
    </w:p>
    <w:p w14:paraId="54465E1E" w14:textId="77777777" w:rsidR="001F04FD" w:rsidRDefault="001F04FD" w:rsidP="001F04FD">
      <w:pPr>
        <w:ind w:firstLine="720"/>
      </w:pPr>
      <w:r>
        <w:lastRenderedPageBreak/>
        <w:t>Total Real-Time Payment for DC Tie Imports</w:t>
      </w:r>
    </w:p>
    <w:p w14:paraId="2A959A0D"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42A4CD6B">
          <v:shape id="_x0000_i1271" type="#_x0000_t75" style="width:12pt;height:24pt" o:ole="">
            <v:imagedata r:id="rId330" o:title=""/>
          </v:shape>
          <o:OLEObject Type="Embed" ProgID="Equation.3" ShapeID="_x0000_i1271" DrawAspect="Content" ObjectID="_1804653755" r:id="rId331"/>
        </w:object>
      </w:r>
      <w:r>
        <w:t xml:space="preserve">RTDCIMPAMTQSETOT </w:t>
      </w:r>
      <w:r>
        <w:rPr>
          <w:i/>
          <w:vertAlign w:val="subscript"/>
        </w:rPr>
        <w:t>q</w:t>
      </w:r>
    </w:p>
    <w:p w14:paraId="02E85A42" w14:textId="721B6AEE" w:rsidR="001F04FD" w:rsidRDefault="001F04FD" w:rsidP="00776B44">
      <w:pPr>
        <w:ind w:firstLine="720"/>
      </w:pPr>
      <w:r>
        <w:t>Total Real-Time Congestion Payment or Charge for Self-Schedules</w:t>
      </w:r>
    </w:p>
    <w:p w14:paraId="26DB4FE6"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2D720380">
          <v:shape id="_x0000_i1272" type="#_x0000_t75" style="width:12pt;height:24pt" o:ole="">
            <v:imagedata r:id="rId330" o:title=""/>
          </v:shape>
          <o:OLEObject Type="Embed" ProgID="Equation.3" ShapeID="_x0000_i1272" DrawAspect="Content" ObjectID="_1804653756" r:id="rId332"/>
        </w:object>
      </w:r>
      <w:r>
        <w:t xml:space="preserve">RTCCAMTQSETOT </w:t>
      </w:r>
      <w:r>
        <w:rPr>
          <w:i/>
          <w:vertAlign w:val="subscript"/>
        </w:rPr>
        <w:t>q</w:t>
      </w:r>
    </w:p>
    <w:p w14:paraId="4694EDB1" w14:textId="77777777" w:rsidR="001F04FD" w:rsidRDefault="001F04FD" w:rsidP="001F04FD">
      <w:pPr>
        <w:ind w:firstLine="720"/>
      </w:pPr>
      <w:r>
        <w:t>Total Real-Time Payment or Charge for Point-to-Point (PTP) Obligations</w:t>
      </w:r>
    </w:p>
    <w:p w14:paraId="5A6F868D" w14:textId="77777777" w:rsidR="001F04FD" w:rsidRDefault="001F04FD" w:rsidP="001F04FD">
      <w:pPr>
        <w:pStyle w:val="Formula"/>
        <w:ind w:leftChars="600" w:left="3600" w:hanging="2160"/>
      </w:pPr>
      <w:r>
        <w:t>RTOBLAMTTOT</w:t>
      </w:r>
      <w:r>
        <w:tab/>
        <w:t>=</w:t>
      </w:r>
      <w:r>
        <w:tab/>
      </w:r>
      <w:r w:rsidRPr="006F784F">
        <w:rPr>
          <w:position w:val="-22"/>
        </w:rPr>
        <w:object w:dxaOrig="225" w:dyaOrig="465" w14:anchorId="09FD190C">
          <v:shape id="_x0000_i1273" type="#_x0000_t75" style="width:12pt;height:24pt" o:ole="">
            <v:imagedata r:id="rId330" o:title=""/>
          </v:shape>
          <o:OLEObject Type="Embed" ProgID="Equation.3" ShapeID="_x0000_i1273" DrawAspect="Content" ObjectID="_1804653757" r:id="rId333"/>
        </w:object>
      </w:r>
      <w:r>
        <w:t xml:space="preserve">RTOBLAMTQSETOT </w:t>
      </w:r>
      <w:r>
        <w:rPr>
          <w:i/>
          <w:vertAlign w:val="subscript"/>
        </w:rPr>
        <w:t>q</w:t>
      </w:r>
      <w:r>
        <w:t xml:space="preserve"> </w:t>
      </w:r>
    </w:p>
    <w:p w14:paraId="0389B49B" w14:textId="77777777" w:rsidR="001F04FD" w:rsidRPr="004207D8" w:rsidRDefault="001F04FD" w:rsidP="001F04FD">
      <w:pPr>
        <w:ind w:firstLine="720"/>
      </w:pPr>
      <w:r w:rsidRPr="004207D8">
        <w:t>Total Real-Time Payment for PTP Obligations with Links to Options</w:t>
      </w:r>
    </w:p>
    <w:p w14:paraId="54E24891" w14:textId="7C20850F" w:rsidR="001F04FD" w:rsidRDefault="001F04FD" w:rsidP="001F04FD">
      <w:pPr>
        <w:pStyle w:val="Formula"/>
        <w:ind w:leftChars="600" w:left="3600" w:hanging="2160"/>
      </w:pPr>
      <w:r w:rsidRPr="004207D8">
        <w:t>RTOBLLOAMTTOT</w:t>
      </w:r>
      <w:r w:rsidRPr="004207D8">
        <w:tab/>
        <w:t>=</w:t>
      </w:r>
      <w:r w:rsidRPr="004207D8">
        <w:tab/>
      </w:r>
      <w:r w:rsidRPr="004207D8">
        <w:rPr>
          <w:position w:val="-22"/>
        </w:rPr>
        <w:object w:dxaOrig="225" w:dyaOrig="450" w14:anchorId="4DB6A924">
          <v:shape id="_x0000_i1274" type="#_x0000_t75" style="width:12pt;height:24pt" o:ole="">
            <v:imagedata r:id="rId330" o:title=""/>
          </v:shape>
          <o:OLEObject Type="Embed" ProgID="Equation.3" ShapeID="_x0000_i1274" DrawAspect="Content" ObjectID="_1804653758" r:id="rId334"/>
        </w:object>
      </w:r>
      <w:r w:rsidRPr="004207D8">
        <w:t xml:space="preserve">RTOBLLOAMTQSETOT </w:t>
      </w:r>
      <w:r w:rsidRPr="004207D8">
        <w:rPr>
          <w:i/>
          <w:vertAlign w:val="subscript"/>
        </w:rPr>
        <w:t>q</w:t>
      </w:r>
      <w:r w:rsidRPr="000908C4">
        <w:t xml:space="preserve"> </w:t>
      </w:r>
    </w:p>
    <w:p w14:paraId="54630664" w14:textId="77777777" w:rsidR="00DF0BE4" w:rsidRPr="009E231E" w:rsidRDefault="00DF0BE4" w:rsidP="00DF0BE4">
      <w:pPr>
        <w:spacing w:after="120"/>
        <w:ind w:left="720"/>
      </w:pPr>
      <w:r w:rsidRPr="009E231E">
        <w:t>Total Real-Time Payment or Charge for energy from SODGs and SOTGs</w:t>
      </w:r>
    </w:p>
    <w:p w14:paraId="6A2CD136" w14:textId="4418CE2A" w:rsidR="00DF0BE4" w:rsidRDefault="00DF0BE4" w:rsidP="00DF0BE4">
      <w:pPr>
        <w:pStyle w:val="Formula"/>
        <w:ind w:leftChars="600" w:left="3600" w:hanging="2160"/>
      </w:pPr>
      <w:r w:rsidRPr="009E231E">
        <w:rPr>
          <w:szCs w:val="20"/>
        </w:rPr>
        <w:t>RTESOGAMTTOT</w:t>
      </w:r>
      <w:r w:rsidRPr="009E231E">
        <w:rPr>
          <w:szCs w:val="20"/>
        </w:rPr>
        <w:tab/>
        <w:t>=</w:t>
      </w:r>
      <w:r w:rsidRPr="009E231E">
        <w:rPr>
          <w:szCs w:val="20"/>
        </w:rPr>
        <w:tab/>
      </w:r>
      <w:r w:rsidRPr="009E231E">
        <w:rPr>
          <w:noProof/>
          <w:position w:val="-22"/>
          <w:szCs w:val="20"/>
        </w:rPr>
        <w:drawing>
          <wp:inline distT="0" distB="0" distL="0" distR="0" wp14:anchorId="70970F75" wp14:editId="6E38F81B">
            <wp:extent cx="133350" cy="295275"/>
            <wp:effectExtent l="0" t="0" r="0" b="9525"/>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Pr="009E231E">
        <w:rPr>
          <w:szCs w:val="20"/>
        </w:rPr>
        <w:t xml:space="preserve">RTESOGAMTQSETOT </w:t>
      </w:r>
      <w:r w:rsidRPr="009E231E">
        <w:rPr>
          <w:i/>
          <w:szCs w:val="20"/>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42597869" w14:textId="77777777" w:rsidTr="008B123E">
        <w:trPr>
          <w:trHeight w:val="206"/>
        </w:trPr>
        <w:tc>
          <w:tcPr>
            <w:tcW w:w="9576" w:type="dxa"/>
            <w:shd w:val="pct12" w:color="auto" w:fill="auto"/>
          </w:tcPr>
          <w:p w14:paraId="0806CD9A" w14:textId="46312606" w:rsidR="000F620F" w:rsidRDefault="000F620F" w:rsidP="008B123E">
            <w:pPr>
              <w:pStyle w:val="Instructions"/>
              <w:spacing w:before="120"/>
            </w:pPr>
            <w:r>
              <w:t>[</w:t>
            </w:r>
            <w:r w:rsidR="00C04382">
              <w:t>NPRR995</w:t>
            </w:r>
            <w:r>
              <w:t xml:space="preserve">:  </w:t>
            </w:r>
            <w:r w:rsidR="00DF0BE4">
              <w:t xml:space="preserve">Replace </w:t>
            </w:r>
            <w:r>
              <w:t xml:space="preserve">the language </w:t>
            </w:r>
            <w:r w:rsidR="00DF0BE4">
              <w:t>above with the following</w:t>
            </w:r>
            <w:r>
              <w:t xml:space="preserve"> upon system implementation:]</w:t>
            </w:r>
          </w:p>
          <w:p w14:paraId="080A4824" w14:textId="43AA43C3" w:rsidR="002F5823" w:rsidRDefault="002F5823" w:rsidP="002F5823">
            <w:pPr>
              <w:ind w:left="720"/>
            </w:pPr>
            <w:r>
              <w:t xml:space="preserve">Total Real-Time Payment or Charge </w:t>
            </w:r>
            <w:r w:rsidRPr="007D3BAF">
              <w:t xml:space="preserve">for </w:t>
            </w:r>
            <w:r>
              <w:t>energy from SODGs</w:t>
            </w:r>
            <w:r w:rsidR="00C04382">
              <w:t>,</w:t>
            </w:r>
            <w:r>
              <w:t xml:space="preserve"> SOTGs</w:t>
            </w:r>
            <w:r w:rsidR="00C04382">
              <w:t>, SODESSs, or SOTESSs</w:t>
            </w:r>
            <w:r w:rsidRPr="007D3BAF">
              <w:t xml:space="preserve"> </w:t>
            </w:r>
          </w:p>
          <w:p w14:paraId="0D7E5397" w14:textId="06446C4A" w:rsidR="000F620F" w:rsidRPr="002F5823" w:rsidRDefault="002F5823" w:rsidP="002F5823">
            <w:pPr>
              <w:pStyle w:val="Formula"/>
              <w:ind w:leftChars="600" w:left="3600" w:hanging="2160"/>
            </w:pPr>
            <w:r>
              <w:t>RTESOAMTTOT</w:t>
            </w:r>
            <w:r>
              <w:tab/>
              <w:t>=</w:t>
            </w:r>
            <w:r>
              <w:tab/>
            </w:r>
            <w:r w:rsidRPr="006F784F">
              <w:rPr>
                <w:position w:val="-22"/>
              </w:rPr>
              <w:object w:dxaOrig="210" w:dyaOrig="465" w14:anchorId="7383A45D">
                <v:shape id="_x0000_i1275" type="#_x0000_t75" style="width:12pt;height:30pt" o:ole="">
                  <v:imagedata r:id="rId336" o:title=""/>
                </v:shape>
                <o:OLEObject Type="Embed" ProgID="Equation.3" ShapeID="_x0000_i1275" DrawAspect="Content" ObjectID="_1804653759" r:id="rId337"/>
              </w:object>
            </w:r>
            <w:r>
              <w:t xml:space="preserve"> RTESOAMTQSETOT </w:t>
            </w:r>
            <w:r>
              <w:rPr>
                <w:i/>
                <w:vertAlign w:val="subscript"/>
              </w:rPr>
              <w:t>q</w:t>
            </w:r>
          </w:p>
        </w:tc>
      </w:tr>
    </w:tbl>
    <w:p w14:paraId="7D6D2297" w14:textId="77777777" w:rsidR="001F04FD" w:rsidRDefault="001F04FD" w:rsidP="004A39F9">
      <w:pPr>
        <w:spacing w:before="240"/>
      </w:pPr>
      <w:r>
        <w:t xml:space="preserve">The above </w:t>
      </w:r>
      <w:r>
        <w:rPr>
          <w:szCs w:val="24"/>
        </w:rPr>
        <w:t>variables</w:t>
      </w:r>
      <w:r>
        <w:t xml:space="preserve">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634"/>
        <w:gridCol w:w="6324"/>
      </w:tblGrid>
      <w:tr w:rsidR="001F04FD" w14:paraId="3E843120" w14:textId="77777777" w:rsidTr="00AC4DEE">
        <w:trPr>
          <w:cantSplit/>
          <w:tblHeader/>
        </w:trPr>
        <w:tc>
          <w:tcPr>
            <w:tcW w:w="1279" w:type="pct"/>
          </w:tcPr>
          <w:p w14:paraId="5ED501E0" w14:textId="77777777" w:rsidR="001F04FD" w:rsidRDefault="001F04FD" w:rsidP="00AC4DEE">
            <w:pPr>
              <w:pStyle w:val="TableHead"/>
            </w:pPr>
            <w:r>
              <w:t>Variable</w:t>
            </w:r>
          </w:p>
        </w:tc>
        <w:tc>
          <w:tcPr>
            <w:tcW w:w="339" w:type="pct"/>
          </w:tcPr>
          <w:p w14:paraId="2CB5D481" w14:textId="77777777" w:rsidR="001F04FD" w:rsidRDefault="001F04FD" w:rsidP="00AC4DEE">
            <w:pPr>
              <w:pStyle w:val="TableHead"/>
            </w:pPr>
            <w:r>
              <w:t>Unit</w:t>
            </w:r>
          </w:p>
        </w:tc>
        <w:tc>
          <w:tcPr>
            <w:tcW w:w="3382" w:type="pct"/>
          </w:tcPr>
          <w:p w14:paraId="56A62271" w14:textId="77777777" w:rsidR="001F04FD" w:rsidRDefault="001F04FD" w:rsidP="00AC4DEE">
            <w:pPr>
              <w:pStyle w:val="TableHead"/>
            </w:pPr>
            <w:r>
              <w:t>Description</w:t>
            </w:r>
          </w:p>
        </w:tc>
      </w:tr>
      <w:tr w:rsidR="001F04FD" w14:paraId="6E213ED1" w14:textId="77777777" w:rsidTr="00AC4DEE">
        <w:trPr>
          <w:cantSplit/>
        </w:trPr>
        <w:tc>
          <w:tcPr>
            <w:tcW w:w="1279" w:type="pct"/>
          </w:tcPr>
          <w:p w14:paraId="705D7DED" w14:textId="77777777" w:rsidR="001F04FD" w:rsidRDefault="001F04FD" w:rsidP="00AC4DEE">
            <w:pPr>
              <w:pStyle w:val="TableBody"/>
              <w:rPr>
                <w:highlight w:val="yellow"/>
              </w:rPr>
            </w:pPr>
            <w:r>
              <w:t xml:space="preserve">LARTRNAMT </w:t>
            </w:r>
            <w:r w:rsidRPr="00E15B17">
              <w:rPr>
                <w:i/>
                <w:vertAlign w:val="subscript"/>
              </w:rPr>
              <w:t>q</w:t>
            </w:r>
          </w:p>
        </w:tc>
        <w:tc>
          <w:tcPr>
            <w:tcW w:w="339" w:type="pct"/>
          </w:tcPr>
          <w:p w14:paraId="4DB4DD1D" w14:textId="77777777" w:rsidR="001F04FD" w:rsidRDefault="001F04FD" w:rsidP="00AC4DEE">
            <w:pPr>
              <w:pStyle w:val="TableBody"/>
            </w:pPr>
            <w:r>
              <w:t>$</w:t>
            </w:r>
          </w:p>
        </w:tc>
        <w:tc>
          <w:tcPr>
            <w:tcW w:w="3382" w:type="pct"/>
          </w:tcPr>
          <w:p w14:paraId="2E9390A8"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45785033" w14:textId="77777777" w:rsidTr="00AC4DEE">
        <w:trPr>
          <w:cantSplit/>
        </w:trPr>
        <w:tc>
          <w:tcPr>
            <w:tcW w:w="1279" w:type="pct"/>
          </w:tcPr>
          <w:p w14:paraId="0C73C433" w14:textId="77777777" w:rsidR="001F04FD" w:rsidRDefault="001F04FD" w:rsidP="00AC4DEE">
            <w:pPr>
              <w:pStyle w:val="TableBody"/>
              <w:rPr>
                <w:highlight w:val="yellow"/>
              </w:rPr>
            </w:pPr>
            <w:r>
              <w:t xml:space="preserve">RTEIAMTTOT </w:t>
            </w:r>
            <w:r w:rsidRPr="00E15B17">
              <w:rPr>
                <w:i/>
                <w:vertAlign w:val="subscript"/>
              </w:rPr>
              <w:t xml:space="preserve">q </w:t>
            </w:r>
          </w:p>
        </w:tc>
        <w:tc>
          <w:tcPr>
            <w:tcW w:w="339" w:type="pct"/>
          </w:tcPr>
          <w:p w14:paraId="503A9E23" w14:textId="77777777" w:rsidR="001F04FD" w:rsidRDefault="001F04FD" w:rsidP="00AC4DEE">
            <w:pPr>
              <w:pStyle w:val="TableBody"/>
            </w:pPr>
            <w:r>
              <w:t>$</w:t>
            </w:r>
          </w:p>
        </w:tc>
        <w:tc>
          <w:tcPr>
            <w:tcW w:w="3382" w:type="pct"/>
          </w:tcPr>
          <w:p w14:paraId="73D174BC" w14:textId="77777777" w:rsidR="001F04FD" w:rsidRDefault="001F04FD" w:rsidP="00AC4DEE">
            <w:pPr>
              <w:pStyle w:val="TableBody"/>
            </w:pPr>
            <w:r>
              <w:rPr>
                <w:i/>
              </w:rPr>
              <w:t>Real-Time Energy Imbalance Amount Total</w:t>
            </w:r>
            <w:r>
              <w:t>—The total net payments and charges for Real-Time Energy Imbalance Service at all Settlement Points (Resource, Load Zone or Hub) for the 15-minute Interval.</w:t>
            </w:r>
          </w:p>
        </w:tc>
      </w:tr>
      <w:tr w:rsidR="001F04FD" w14:paraId="78BA79EC" w14:textId="77777777" w:rsidTr="00AC4DEE">
        <w:trPr>
          <w:cantSplit/>
        </w:trPr>
        <w:tc>
          <w:tcPr>
            <w:tcW w:w="1279" w:type="pct"/>
          </w:tcPr>
          <w:p w14:paraId="33A990C4" w14:textId="77777777" w:rsidR="001F04FD" w:rsidRDefault="001F04FD" w:rsidP="00AC4DEE">
            <w:pPr>
              <w:pStyle w:val="TableBody"/>
              <w:rPr>
                <w:highlight w:val="yellow"/>
              </w:rPr>
            </w:pPr>
            <w:r>
              <w:t>BLTRAMTTOT</w:t>
            </w:r>
          </w:p>
        </w:tc>
        <w:tc>
          <w:tcPr>
            <w:tcW w:w="339" w:type="pct"/>
          </w:tcPr>
          <w:p w14:paraId="0B2379AF" w14:textId="77777777" w:rsidR="001F04FD" w:rsidRDefault="001F04FD" w:rsidP="00AC4DEE">
            <w:pPr>
              <w:pStyle w:val="TableBody"/>
            </w:pPr>
            <w:r>
              <w:t>$</w:t>
            </w:r>
          </w:p>
        </w:tc>
        <w:tc>
          <w:tcPr>
            <w:tcW w:w="3382" w:type="pct"/>
          </w:tcPr>
          <w:p w14:paraId="6AFFF72D" w14:textId="77777777" w:rsidR="001F04FD" w:rsidRDefault="001F04FD" w:rsidP="00AC4DEE">
            <w:pPr>
              <w:pStyle w:val="TableBody"/>
            </w:pPr>
            <w:r>
              <w:rPr>
                <w:i/>
              </w:rPr>
              <w:t>Block Load Transfer Resource Amount Total</w:t>
            </w:r>
            <w:r>
              <w:sym w:font="Symbol" w:char="F0BE"/>
            </w:r>
            <w:r>
              <w:t>The total of payments for energy delivered into the ERCOT Region through BLT points for the 15-minute Settlement Interval.</w:t>
            </w:r>
          </w:p>
        </w:tc>
      </w:tr>
      <w:tr w:rsidR="001F04FD" w14:paraId="7703E48B" w14:textId="77777777" w:rsidTr="00AC4DEE">
        <w:trPr>
          <w:cantSplit/>
        </w:trPr>
        <w:tc>
          <w:tcPr>
            <w:tcW w:w="1279" w:type="pct"/>
          </w:tcPr>
          <w:p w14:paraId="24E44740" w14:textId="77777777" w:rsidR="001F04FD" w:rsidRDefault="001F04FD" w:rsidP="00AC4DEE">
            <w:pPr>
              <w:pStyle w:val="TableBody"/>
              <w:rPr>
                <w:highlight w:val="yellow"/>
              </w:rPr>
            </w:pPr>
            <w:r>
              <w:t>RTDCIMPAMTTOT</w:t>
            </w:r>
          </w:p>
        </w:tc>
        <w:tc>
          <w:tcPr>
            <w:tcW w:w="339" w:type="pct"/>
          </w:tcPr>
          <w:p w14:paraId="648E271B" w14:textId="77777777" w:rsidR="001F04FD" w:rsidRDefault="001F04FD" w:rsidP="00AC4DEE">
            <w:pPr>
              <w:pStyle w:val="TableBody"/>
            </w:pPr>
            <w:r>
              <w:t>$</w:t>
            </w:r>
          </w:p>
        </w:tc>
        <w:tc>
          <w:tcPr>
            <w:tcW w:w="3382" w:type="pct"/>
            <w:vAlign w:val="center"/>
          </w:tcPr>
          <w:p w14:paraId="3C7F343D"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132F185A" w14:textId="77777777" w:rsidTr="00AC4DEE">
        <w:trPr>
          <w:cantSplit/>
        </w:trPr>
        <w:tc>
          <w:tcPr>
            <w:tcW w:w="1279" w:type="pct"/>
          </w:tcPr>
          <w:p w14:paraId="0DC77BB8" w14:textId="77777777" w:rsidR="001F04FD" w:rsidRDefault="001F04FD" w:rsidP="00AC4DEE">
            <w:pPr>
              <w:pStyle w:val="TableBody"/>
              <w:rPr>
                <w:highlight w:val="yellow"/>
              </w:rPr>
            </w:pPr>
            <w:r>
              <w:t xml:space="preserve">RTCCAMTTOT </w:t>
            </w:r>
          </w:p>
        </w:tc>
        <w:tc>
          <w:tcPr>
            <w:tcW w:w="339" w:type="pct"/>
          </w:tcPr>
          <w:p w14:paraId="38E1EFC7" w14:textId="77777777" w:rsidR="001F04FD" w:rsidRDefault="001F04FD" w:rsidP="00AC4DEE">
            <w:pPr>
              <w:pStyle w:val="TableBody"/>
            </w:pPr>
            <w:r>
              <w:t>$</w:t>
            </w:r>
          </w:p>
        </w:tc>
        <w:tc>
          <w:tcPr>
            <w:tcW w:w="3382" w:type="pct"/>
          </w:tcPr>
          <w:p w14:paraId="4EB86608"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08D111D4" w14:textId="77777777" w:rsidTr="00AC4DEE">
        <w:trPr>
          <w:cantSplit/>
        </w:trPr>
        <w:tc>
          <w:tcPr>
            <w:tcW w:w="1279" w:type="pct"/>
          </w:tcPr>
          <w:p w14:paraId="10C5E733" w14:textId="77777777" w:rsidR="001F04FD" w:rsidRDefault="001F04FD" w:rsidP="00AC4DEE">
            <w:pPr>
              <w:pStyle w:val="TableBody"/>
              <w:rPr>
                <w:highlight w:val="yellow"/>
              </w:rPr>
            </w:pPr>
            <w:r>
              <w:t>RTOBLAMTTOT</w:t>
            </w:r>
          </w:p>
        </w:tc>
        <w:tc>
          <w:tcPr>
            <w:tcW w:w="339" w:type="pct"/>
          </w:tcPr>
          <w:p w14:paraId="13435357" w14:textId="77777777" w:rsidR="001F04FD" w:rsidRDefault="001F04FD" w:rsidP="00AC4DEE">
            <w:pPr>
              <w:pStyle w:val="TableBody"/>
            </w:pPr>
            <w:r>
              <w:t>$</w:t>
            </w:r>
          </w:p>
        </w:tc>
        <w:tc>
          <w:tcPr>
            <w:tcW w:w="3382" w:type="pct"/>
          </w:tcPr>
          <w:p w14:paraId="18E0F2D8" w14:textId="77777777" w:rsidR="001F04FD" w:rsidRDefault="001F04FD" w:rsidP="00AC4DEE">
            <w:pPr>
              <w:pStyle w:val="TableBody"/>
              <w:rPr>
                <w:i/>
              </w:rPr>
            </w:pPr>
            <w:r>
              <w:rPr>
                <w:i/>
              </w:rPr>
              <w:t>Real-Time Obligation Amount Total</w:t>
            </w:r>
            <w:r>
              <w:t>—The sum of all payments and charges for PTP Obligations settled in Real-Time for the hour that includes the 15-minute Settlement Interval.</w:t>
            </w:r>
          </w:p>
        </w:tc>
      </w:tr>
      <w:tr w:rsidR="001F04FD" w14:paraId="1F060504" w14:textId="77777777" w:rsidTr="00AC4DEE">
        <w:trPr>
          <w:cantSplit/>
        </w:trPr>
        <w:tc>
          <w:tcPr>
            <w:tcW w:w="1279" w:type="pct"/>
          </w:tcPr>
          <w:p w14:paraId="57A59ED2" w14:textId="77777777" w:rsidR="001F04FD" w:rsidRDefault="001F04FD" w:rsidP="00AC4DEE">
            <w:pPr>
              <w:pStyle w:val="TableBody"/>
            </w:pPr>
            <w:r w:rsidRPr="004207D8">
              <w:lastRenderedPageBreak/>
              <w:t>RTOBLLOAM</w:t>
            </w:r>
            <w:r>
              <w:t>T</w:t>
            </w:r>
            <w:r w:rsidRPr="004207D8">
              <w:t>TOT</w:t>
            </w:r>
          </w:p>
        </w:tc>
        <w:tc>
          <w:tcPr>
            <w:tcW w:w="339" w:type="pct"/>
          </w:tcPr>
          <w:p w14:paraId="07CACFF6" w14:textId="77777777" w:rsidR="001F04FD" w:rsidRDefault="001F04FD" w:rsidP="00AC4DEE">
            <w:pPr>
              <w:pStyle w:val="TableBody"/>
            </w:pPr>
            <w:r w:rsidRPr="004207D8">
              <w:t>$</w:t>
            </w:r>
          </w:p>
        </w:tc>
        <w:tc>
          <w:tcPr>
            <w:tcW w:w="3382" w:type="pct"/>
          </w:tcPr>
          <w:p w14:paraId="0A98B28A" w14:textId="77777777" w:rsidR="001F04FD" w:rsidRDefault="001F04FD" w:rsidP="00AC4DEE">
            <w:pPr>
              <w:pStyle w:val="TableBody"/>
              <w:rPr>
                <w:i/>
              </w:rPr>
            </w:pPr>
            <w:r w:rsidRPr="004207D8">
              <w:rPr>
                <w:i/>
              </w:rPr>
              <w:t xml:space="preserve">Real-Time Obligation with Links to </w:t>
            </w:r>
            <w:r>
              <w:rPr>
                <w:i/>
              </w:rPr>
              <w:t xml:space="preserve">an </w:t>
            </w:r>
            <w:r w:rsidRPr="004207D8">
              <w:rPr>
                <w:i/>
              </w:rPr>
              <w:t>Option Amount Total</w:t>
            </w:r>
            <w:r w:rsidRPr="004207D8">
              <w:t xml:space="preserve">—The sum of all payments for PTP Obligations with Links to </w:t>
            </w:r>
            <w:r>
              <w:t xml:space="preserve">an </w:t>
            </w:r>
            <w:r w:rsidRPr="004207D8">
              <w:t>Option settled in Real-Time for the hour that includes the 15-minute Settlement Interval</w:t>
            </w:r>
            <w:r>
              <w:t>.</w:t>
            </w:r>
          </w:p>
        </w:tc>
      </w:tr>
      <w:tr w:rsidR="001F04FD" w14:paraId="7D25849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4FB3CB9" w14:textId="77777777" w:rsidR="001F04FD" w:rsidRDefault="001F04FD" w:rsidP="00AC4DEE">
            <w:pPr>
              <w:pStyle w:val="TableBody"/>
            </w:pPr>
            <w:r>
              <w:t xml:space="preserve">RTEIAMTQSETOT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5556FF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9B5C3CD" w14:textId="77777777" w:rsidR="001F04FD" w:rsidRDefault="001F04FD" w:rsidP="00AC4DEE">
            <w:pPr>
              <w:pStyle w:val="TableBody"/>
              <w:rPr>
                <w:bCs/>
              </w:rPr>
            </w:pPr>
            <w:r>
              <w:rPr>
                <w:bCs/>
                <w:i/>
              </w:rPr>
              <w:t>Real-Time Energy Imbalance Amount QSE Total per QSE</w:t>
            </w:r>
            <w:r>
              <w:rPr>
                <w:bCs/>
              </w:rPr>
              <w:sym w:font="Symbol" w:char="F0BE"/>
            </w:r>
            <w:r>
              <w:rPr>
                <w:bCs/>
              </w:rPr>
              <w:t xml:space="preserve">The total net payments and charges to QSE </w:t>
            </w:r>
            <w:r>
              <w:rPr>
                <w:bCs/>
                <w:i/>
              </w:rPr>
              <w:t>q</w:t>
            </w:r>
            <w:r>
              <w:rPr>
                <w:bCs/>
              </w:rPr>
              <w:t xml:space="preserve"> for Real-Time Energy Imbalance at all Resource Node Settlement Points for the 15-minute Settlement Interval.</w:t>
            </w:r>
          </w:p>
        </w:tc>
      </w:tr>
      <w:tr w:rsidR="001F04FD" w14:paraId="747D871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235C44A9" w14:textId="77777777" w:rsidR="001F04FD" w:rsidRDefault="001F04FD" w:rsidP="00AC4DEE">
            <w:pPr>
              <w:pStyle w:val="TableBody"/>
            </w:pPr>
            <w:r>
              <w:t xml:space="preserve">RTCCAMTQSETOT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5C2DD0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3FA693B6" w14:textId="77777777" w:rsidR="001F04FD" w:rsidRDefault="001F04FD" w:rsidP="00AC4DEE">
            <w:pPr>
              <w:pStyle w:val="TableBody"/>
              <w:rPr>
                <w:bCs/>
              </w:rPr>
            </w:pPr>
            <w:r>
              <w:rPr>
                <w:bCs/>
                <w:i/>
              </w:rPr>
              <w:t>Real-Time Congestion Cost Amount QSE Total per QSE</w:t>
            </w:r>
            <w:r>
              <w:rPr>
                <w:bCs/>
              </w:rPr>
              <w:sym w:font="Symbol" w:char="F0BE"/>
            </w:r>
            <w:r>
              <w:rPr>
                <w:bCs/>
              </w:rPr>
              <w:t xml:space="preserve">The total net congestion payments and charges to QSE </w:t>
            </w:r>
            <w:r>
              <w:rPr>
                <w:bCs/>
                <w:i/>
              </w:rPr>
              <w:t>q</w:t>
            </w:r>
            <w:r>
              <w:rPr>
                <w:bCs/>
              </w:rPr>
              <w:t xml:space="preserve"> for its Self-Schedules for the 15-minute Settlement Interval.</w:t>
            </w:r>
          </w:p>
        </w:tc>
      </w:tr>
      <w:tr w:rsidR="001F04FD" w14:paraId="1A7DBE7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0EB4F66C" w14:textId="77777777" w:rsidR="001F04FD" w:rsidRDefault="001F04FD" w:rsidP="00AC4DEE">
            <w:pPr>
              <w:pStyle w:val="TableBody"/>
            </w:pPr>
            <w:r>
              <w:t xml:space="preserve">BLTRAMTQSETOT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F5E3805"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C97E6CA" w14:textId="77777777" w:rsidR="001F04FD" w:rsidRDefault="001F04FD" w:rsidP="00AC4DEE">
            <w:pPr>
              <w:pStyle w:val="TableBody"/>
              <w:rPr>
                <w:bCs/>
              </w:rPr>
            </w:pPr>
            <w:r>
              <w:rPr>
                <w:bCs/>
                <w:i/>
              </w:rPr>
              <w:t>Block Load Transfer Resource Amount QSE Total per QSE</w:t>
            </w:r>
            <w:r>
              <w:rPr>
                <w:bCs/>
              </w:rPr>
              <w:sym w:font="Symbol" w:char="F0BE"/>
            </w:r>
            <w:r>
              <w:rPr>
                <w:bCs/>
              </w:rPr>
              <w:t xml:space="preserve">The total of the payments to QSE </w:t>
            </w:r>
            <w:r>
              <w:rPr>
                <w:bCs/>
                <w:i/>
              </w:rPr>
              <w:t>q</w:t>
            </w:r>
            <w:r>
              <w:rPr>
                <w:bCs/>
              </w:rPr>
              <w:t xml:space="preserve"> for energy delivered into the ERCOT Region through BLT points for the 15-minute Settlement Interval.</w:t>
            </w:r>
          </w:p>
        </w:tc>
      </w:tr>
      <w:tr w:rsidR="001F04FD" w14:paraId="650E784E"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50057B5" w14:textId="77777777" w:rsidR="001F04FD" w:rsidRDefault="001F04FD" w:rsidP="00AC4DEE">
            <w:pPr>
              <w:pStyle w:val="TableBody"/>
            </w:pPr>
            <w:r>
              <w:t xml:space="preserve">RTDCIMPAMTQSETOT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5931A65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0C79E3D" w14:textId="77777777" w:rsidR="001F04FD" w:rsidRDefault="001F04FD" w:rsidP="00AC4DEE">
            <w:pPr>
              <w:pStyle w:val="TableBody"/>
              <w:rPr>
                <w:bCs/>
              </w:rPr>
            </w:pPr>
            <w:r>
              <w:rPr>
                <w:bCs/>
                <w:i/>
              </w:rPr>
              <w:t>Real-Time DC Import Amount QSE Total per QSE</w:t>
            </w:r>
            <w:r>
              <w:rPr>
                <w:bCs/>
              </w:rPr>
              <w:sym w:font="Symbol" w:char="F0BE"/>
            </w:r>
            <w:r>
              <w:rPr>
                <w:bCs/>
              </w:rPr>
              <w:t xml:space="preserve">The total of the payments to QSE </w:t>
            </w:r>
            <w:r>
              <w:rPr>
                <w:bCs/>
                <w:i/>
              </w:rPr>
              <w:t>q</w:t>
            </w:r>
            <w:r>
              <w:rPr>
                <w:bCs/>
              </w:rPr>
              <w:t xml:space="preserve"> for energy imported into the ERCOT Region through DC Ties for the 15-minute Settlement Interval.</w:t>
            </w:r>
          </w:p>
        </w:tc>
      </w:tr>
      <w:tr w:rsidR="001F04FD" w14:paraId="23ADF61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195F5CCD" w14:textId="77777777" w:rsidR="001F04FD" w:rsidRDefault="001F04FD" w:rsidP="00AC4DEE">
            <w:pPr>
              <w:pStyle w:val="TableBody"/>
            </w:pPr>
            <w:r>
              <w:t xml:space="preserve">RTOBLAMTQSETOT </w:t>
            </w:r>
            <w:r w:rsidRPr="00D661BC">
              <w:rPr>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A77F5EB"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7222337" w14:textId="77777777" w:rsidR="001F04FD" w:rsidRDefault="001F04FD" w:rsidP="00AC4DEE">
            <w:pPr>
              <w:pStyle w:val="TableBody"/>
              <w:rPr>
                <w:bCs/>
              </w:rPr>
            </w:pPr>
            <w:r>
              <w:rPr>
                <w:bCs/>
                <w:i/>
              </w:rPr>
              <w:t>Real-Time Obligation Amount QSE Total per QSE</w:t>
            </w:r>
            <w:r>
              <w:rPr>
                <w:bCs/>
              </w:rPr>
              <w:t xml:space="preserve">—The net total payment or charge to QSE </w:t>
            </w:r>
            <w:r>
              <w:rPr>
                <w:bCs/>
                <w:i/>
              </w:rPr>
              <w:t>q</w:t>
            </w:r>
            <w:r>
              <w:rPr>
                <w:bCs/>
              </w:rPr>
              <w:t xml:space="preserve"> of all its PTP Obligations settled in Real-Time for the hour that includes the 15-minute Settlement Interval.  See paragraph (2) of Section 7.9.2.1, Payments and Charges for PTP Obligations Settled in Real-Time.</w:t>
            </w:r>
          </w:p>
        </w:tc>
      </w:tr>
      <w:tr w:rsidR="001F04FD" w14:paraId="33E97B7F"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3C65C31" w14:textId="77777777" w:rsidR="001F04FD" w:rsidRDefault="001F04FD" w:rsidP="00AC4DEE">
            <w:pPr>
              <w:pStyle w:val="TableBody"/>
            </w:pPr>
            <w:r w:rsidRPr="004207D8">
              <w:t>RTOBL</w:t>
            </w:r>
            <w:r>
              <w:t>LO</w:t>
            </w:r>
            <w:r w:rsidRPr="004207D8">
              <w:t xml:space="preserve">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BCBB877" w14:textId="77777777" w:rsidR="001F04FD" w:rsidRDefault="001F04FD" w:rsidP="00AC4DEE">
            <w:pPr>
              <w:pStyle w:val="TableBody"/>
              <w:rPr>
                <w:bCs/>
              </w:rPr>
            </w:pPr>
            <w:r w:rsidRPr="004207D8">
              <w:rPr>
                <w:bCs/>
              </w:rPr>
              <w:t>$</w:t>
            </w:r>
          </w:p>
        </w:tc>
        <w:tc>
          <w:tcPr>
            <w:tcW w:w="3382" w:type="pct"/>
            <w:tcBorders>
              <w:top w:val="single" w:sz="4" w:space="0" w:color="auto"/>
              <w:left w:val="single" w:sz="4" w:space="0" w:color="auto"/>
              <w:bottom w:val="single" w:sz="4" w:space="0" w:color="auto"/>
              <w:right w:val="single" w:sz="4" w:space="0" w:color="auto"/>
            </w:tcBorders>
          </w:tcPr>
          <w:p w14:paraId="61707FF3" w14:textId="77777777" w:rsidR="001F04FD" w:rsidRDefault="001F04FD" w:rsidP="00AC4DEE">
            <w:pPr>
              <w:pStyle w:val="TableBody"/>
              <w:rPr>
                <w:bCs/>
                <w:i/>
              </w:rPr>
            </w:pPr>
            <w:r w:rsidRPr="004207D8">
              <w:rPr>
                <w:bCs/>
                <w:i/>
              </w:rPr>
              <w:t xml:space="preserve">Real-Time Obligation with Links to </w:t>
            </w:r>
            <w:r>
              <w:rPr>
                <w:bCs/>
                <w:i/>
              </w:rPr>
              <w:t xml:space="preserve">an </w:t>
            </w:r>
            <w:r w:rsidRPr="004207D8">
              <w:rPr>
                <w:bCs/>
                <w:i/>
              </w:rPr>
              <w:t>Option Amount QSE Total per QSE</w:t>
            </w:r>
            <w:r w:rsidRPr="004207D8">
              <w:rPr>
                <w:bCs/>
              </w:rPr>
              <w:t xml:space="preserve">—The total payment to QSE </w:t>
            </w:r>
            <w:r w:rsidRPr="004207D8">
              <w:rPr>
                <w:bCs/>
                <w:i/>
              </w:rPr>
              <w:t>q</w:t>
            </w:r>
            <w:r w:rsidRPr="004207D8">
              <w:rPr>
                <w:bCs/>
              </w:rPr>
              <w:t xml:space="preserve"> for all of its PTP Obligations with Links to </w:t>
            </w:r>
            <w:r>
              <w:rPr>
                <w:bCs/>
              </w:rPr>
              <w:t xml:space="preserve">an </w:t>
            </w:r>
            <w:r w:rsidRPr="004207D8">
              <w:rPr>
                <w:bCs/>
              </w:rPr>
              <w:t>Option settled in Real-Time for the hour that includes the 15-minute Settlement Interval.  See paragraph (2) of Section 7.9.2.1.</w:t>
            </w:r>
          </w:p>
        </w:tc>
      </w:tr>
      <w:tr w:rsidR="00DF0BE4" w14:paraId="72B579A2"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76B05252" w14:textId="55455ED9" w:rsidR="00DF0BE4" w:rsidRPr="004207D8" w:rsidRDefault="00DF0BE4" w:rsidP="00DF0BE4">
            <w:pPr>
              <w:pStyle w:val="TableBody"/>
            </w:pPr>
            <w:r w:rsidRPr="00892119">
              <w:t>RTE</w:t>
            </w:r>
            <w:r>
              <w:t>SO</w:t>
            </w:r>
            <w:r w:rsidRPr="00892119">
              <w:t>GAMT</w:t>
            </w:r>
            <w:r>
              <w:t>QSETOT</w:t>
            </w:r>
            <w:r w:rsidRPr="00892119">
              <w:t xml:space="preserve"> </w:t>
            </w:r>
            <w:r w:rsidRPr="00892119">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65531D5B" w14:textId="61549DC5"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409A18C8" w14:textId="063580D6" w:rsidR="00DF0BE4" w:rsidRPr="004207D8" w:rsidRDefault="00DF0BE4" w:rsidP="00DF0BE4">
            <w:pPr>
              <w:pStyle w:val="TableBody"/>
              <w:rPr>
                <w:bCs/>
                <w:i/>
              </w:rPr>
            </w:pPr>
            <w:r w:rsidRPr="00892119">
              <w:rPr>
                <w:i/>
              </w:rPr>
              <w:t xml:space="preserve">Real-Time Energy Payment or Charge per QSE for Energy from </w:t>
            </w:r>
            <w:r w:rsidRPr="00FE0BEC">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FE0BEC">
              <w:t>SODGs and SOTGs</w:t>
            </w:r>
            <w:r w:rsidRPr="00892119">
              <w:t>, for the 15-minute Settlement Interval.</w:t>
            </w:r>
          </w:p>
        </w:tc>
      </w:tr>
      <w:tr w:rsidR="00DF0BE4" w14:paraId="6CEB71E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D49A5D7" w14:textId="4D9C454B" w:rsidR="00DF0BE4" w:rsidRPr="004207D8" w:rsidRDefault="00DF0BE4" w:rsidP="00DF0BE4">
            <w:pPr>
              <w:pStyle w:val="TableBody"/>
            </w:pPr>
            <w:r w:rsidRPr="00892119">
              <w:t>RTE</w:t>
            </w:r>
            <w:r>
              <w:t>SO</w:t>
            </w:r>
            <w:r w:rsidRPr="00892119">
              <w:t>GAMTTOT</w:t>
            </w:r>
          </w:p>
        </w:tc>
        <w:tc>
          <w:tcPr>
            <w:tcW w:w="339" w:type="pct"/>
            <w:tcBorders>
              <w:top w:val="single" w:sz="4" w:space="0" w:color="auto"/>
              <w:left w:val="single" w:sz="4" w:space="0" w:color="auto"/>
              <w:bottom w:val="single" w:sz="4" w:space="0" w:color="auto"/>
              <w:right w:val="single" w:sz="4" w:space="0" w:color="auto"/>
            </w:tcBorders>
          </w:tcPr>
          <w:p w14:paraId="1D6C0917" w14:textId="7F1B26E2"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54A584FB" w14:textId="4FAFA7BC" w:rsidR="00DF0BE4" w:rsidRPr="004207D8" w:rsidRDefault="00DF0BE4" w:rsidP="00DF0BE4">
            <w:pPr>
              <w:pStyle w:val="TableBody"/>
              <w:rPr>
                <w:bCs/>
                <w:i/>
              </w:rPr>
            </w:pPr>
            <w:r w:rsidRPr="00892119">
              <w:rPr>
                <w:i/>
              </w:rPr>
              <w:t xml:space="preserve">Real-Time Energy Amount Total for Energy from all </w:t>
            </w:r>
            <w:r w:rsidRPr="00FE0BEC">
              <w:rPr>
                <w:i/>
              </w:rPr>
              <w:t>SODGs and SOTGs</w:t>
            </w:r>
            <w:r w:rsidRPr="00892119">
              <w:rPr>
                <w:i/>
              </w:rPr>
              <w:t xml:space="preserve"> </w:t>
            </w:r>
            <w:r w:rsidRPr="00892119">
              <w:t xml:space="preserve">—The total net payments and charges to all QSEs for Real-Time </w:t>
            </w:r>
            <w:r>
              <w:t>e</w:t>
            </w:r>
            <w:r w:rsidRPr="00892119">
              <w:t>nergy from</w:t>
            </w:r>
            <w:r>
              <w:t xml:space="preserve"> </w:t>
            </w:r>
            <w:r w:rsidRPr="00FE0BEC">
              <w:t>SODGs and SOTGs</w:t>
            </w:r>
            <w:r w:rsidRPr="00892119">
              <w:t>, for the 15-minute Settlement Interval.</w:t>
            </w:r>
          </w:p>
        </w:tc>
      </w:tr>
      <w:tr w:rsidR="002F5823" w14:paraId="4DF5C7B9" w14:textId="77777777" w:rsidTr="002F5823">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4"/>
            </w:tblGrid>
            <w:tr w:rsidR="002F5823" w14:paraId="1553525B" w14:textId="77777777" w:rsidTr="008B123E">
              <w:trPr>
                <w:trHeight w:val="206"/>
              </w:trPr>
              <w:tc>
                <w:tcPr>
                  <w:tcW w:w="9576" w:type="dxa"/>
                  <w:shd w:val="pct12" w:color="auto" w:fill="auto"/>
                </w:tcPr>
                <w:p w14:paraId="1F339865" w14:textId="5E9F0EB0" w:rsidR="002F5823" w:rsidRDefault="002F5823" w:rsidP="002F5823">
                  <w:pPr>
                    <w:pStyle w:val="Instructions"/>
                    <w:spacing w:before="120"/>
                  </w:pPr>
                  <w:r>
                    <w:t>[</w:t>
                  </w:r>
                  <w:r w:rsidR="00C04382">
                    <w:t>NPRR995</w:t>
                  </w:r>
                  <w:r>
                    <w:t xml:space="preserve">:  </w:t>
                  </w:r>
                  <w:r w:rsidR="00DF0BE4">
                    <w:t>Replace</w:t>
                  </w:r>
                  <w:r>
                    <w:t xml:space="preserve"> the variables “</w:t>
                  </w:r>
                  <w:r w:rsidRPr="002F5823">
                    <w:t>RTESO</w:t>
                  </w:r>
                  <w:r w:rsidR="00F26601">
                    <w:t>G</w:t>
                  </w:r>
                  <w:r w:rsidRPr="002F5823">
                    <w:t xml:space="preserve">AMTQSETOT </w:t>
                  </w:r>
                  <w:r w:rsidRPr="002F5823">
                    <w:rPr>
                      <w:vertAlign w:val="subscript"/>
                    </w:rPr>
                    <w:t>q</w:t>
                  </w:r>
                  <w:r>
                    <w:t>” and “</w:t>
                  </w:r>
                  <w:r w:rsidRPr="002F5823">
                    <w:t>RTESO</w:t>
                  </w:r>
                  <w:r w:rsidR="00F26601">
                    <w:t>G</w:t>
                  </w:r>
                  <w:r w:rsidRPr="002F5823">
                    <w:t>AMTTOT</w:t>
                  </w:r>
                  <w:r>
                    <w:t xml:space="preserve">” </w:t>
                  </w:r>
                  <w:r w:rsidR="00DF0BE4">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4"/>
                    <w:gridCol w:w="704"/>
                    <w:gridCol w:w="5846"/>
                  </w:tblGrid>
                  <w:tr w:rsidR="002F5823" w:rsidRPr="0003648D" w14:paraId="75358A54" w14:textId="77777777" w:rsidTr="002F5823">
                    <w:trPr>
                      <w:cantSplit/>
                    </w:trPr>
                    <w:tc>
                      <w:tcPr>
                        <w:tcW w:w="1314" w:type="pct"/>
                        <w:tcBorders>
                          <w:bottom w:val="single" w:sz="4" w:space="0" w:color="auto"/>
                        </w:tcBorders>
                      </w:tcPr>
                      <w:p w14:paraId="196A2BB1" w14:textId="0CA5CF9A" w:rsidR="002F5823" w:rsidRPr="0003648D" w:rsidRDefault="002F5823" w:rsidP="002F5823">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191AE65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3803648F" w14:textId="36C04706" w:rsidR="002F5823" w:rsidRPr="0003648D" w:rsidRDefault="002F5823" w:rsidP="002F5823">
                        <w:pPr>
                          <w:pStyle w:val="tablebody0"/>
                          <w:rPr>
                            <w:i/>
                          </w:rPr>
                        </w:pPr>
                        <w:r w:rsidRPr="00892119">
                          <w:rPr>
                            <w:i/>
                          </w:rPr>
                          <w:t xml:space="preserve">Real-Time Energy Payment or Charge per QSE for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FE0BEC">
                          <w:t>SODGs</w:t>
                        </w:r>
                        <w:r w:rsidR="00C04382">
                          <w:t>,</w:t>
                        </w:r>
                        <w:r w:rsidRPr="00FE0BEC">
                          <w:t xml:space="preserve"> SOTGs</w:t>
                        </w:r>
                        <w:r w:rsidR="00C04382">
                          <w:t>, SODESSs, or SOTESSs</w:t>
                        </w:r>
                        <w:r w:rsidRPr="00892119">
                          <w:t>, for the 15-minute Settlement Interval.</w:t>
                        </w:r>
                      </w:p>
                    </w:tc>
                  </w:tr>
                  <w:tr w:rsidR="002F5823" w:rsidRPr="0003648D" w14:paraId="16E92988" w14:textId="77777777" w:rsidTr="002F5823">
                    <w:trPr>
                      <w:cantSplit/>
                    </w:trPr>
                    <w:tc>
                      <w:tcPr>
                        <w:tcW w:w="1314" w:type="pct"/>
                        <w:tcBorders>
                          <w:bottom w:val="single" w:sz="4" w:space="0" w:color="auto"/>
                        </w:tcBorders>
                      </w:tcPr>
                      <w:p w14:paraId="2208A431" w14:textId="097194D7" w:rsidR="002F5823" w:rsidRPr="0003648D" w:rsidRDefault="002F5823" w:rsidP="002F5823">
                        <w:pPr>
                          <w:pStyle w:val="tablebody0"/>
                        </w:pPr>
                        <w:r w:rsidRPr="00892119">
                          <w:t>RTE</w:t>
                        </w:r>
                        <w:r>
                          <w:t>SO</w:t>
                        </w:r>
                        <w:r w:rsidRPr="00892119">
                          <w:t>AMTTOT</w:t>
                        </w:r>
                      </w:p>
                    </w:tc>
                    <w:tc>
                      <w:tcPr>
                        <w:tcW w:w="396" w:type="pct"/>
                        <w:tcBorders>
                          <w:bottom w:val="single" w:sz="4" w:space="0" w:color="auto"/>
                        </w:tcBorders>
                      </w:tcPr>
                      <w:p w14:paraId="408FA00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60FAF72B" w14:textId="3B2CE543" w:rsidR="002F5823" w:rsidRPr="0003648D" w:rsidRDefault="002F5823" w:rsidP="002F5823">
                        <w:pPr>
                          <w:pStyle w:val="tablebody0"/>
                          <w:rPr>
                            <w:i/>
                          </w:rPr>
                        </w:pPr>
                        <w:r w:rsidRPr="00892119">
                          <w:rPr>
                            <w:i/>
                          </w:rPr>
                          <w:t xml:space="preserve">Real-Time Energy Amount Total from all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nergy from</w:t>
                        </w:r>
                        <w:r>
                          <w:t xml:space="preserve"> </w:t>
                        </w:r>
                        <w:r w:rsidRPr="00FE0BEC">
                          <w:t>SODGs</w:t>
                        </w:r>
                        <w:r w:rsidR="00C04382">
                          <w:t>,</w:t>
                        </w:r>
                        <w:r w:rsidRPr="00FE0BEC">
                          <w:t xml:space="preserve"> SOTGs</w:t>
                        </w:r>
                        <w:r w:rsidR="00C04382">
                          <w:t>, SODESSs, or SOTESSs</w:t>
                        </w:r>
                        <w:r w:rsidRPr="00892119">
                          <w:t>, for the 15-minute Settlement Interval.</w:t>
                        </w:r>
                      </w:p>
                    </w:tc>
                  </w:tr>
                </w:tbl>
                <w:p w14:paraId="09EAF205" w14:textId="77777777" w:rsidR="002F5823" w:rsidRPr="00AF45BD" w:rsidRDefault="002F5823" w:rsidP="002F5823">
                  <w:pPr>
                    <w:pStyle w:val="tablebody0"/>
                    <w:rPr>
                      <w:i/>
                    </w:rPr>
                  </w:pPr>
                </w:p>
              </w:tc>
            </w:tr>
          </w:tbl>
          <w:p w14:paraId="388B2ACD" w14:textId="77777777" w:rsidR="002F5823" w:rsidRDefault="002F5823" w:rsidP="00AC4DEE">
            <w:pPr>
              <w:pStyle w:val="TableBody"/>
            </w:pPr>
          </w:p>
        </w:tc>
      </w:tr>
      <w:tr w:rsidR="001F04FD" w14:paraId="06E57E06" w14:textId="77777777" w:rsidTr="00AC4DEE">
        <w:trPr>
          <w:cantSplit/>
        </w:trPr>
        <w:tc>
          <w:tcPr>
            <w:tcW w:w="1279" w:type="pct"/>
          </w:tcPr>
          <w:p w14:paraId="68FBE875" w14:textId="77777777" w:rsidR="001F04FD" w:rsidRDefault="001F04FD" w:rsidP="00AC4DEE">
            <w:pPr>
              <w:pStyle w:val="TableBody"/>
              <w:rPr>
                <w:highlight w:val="yellow"/>
              </w:rPr>
            </w:pPr>
            <w:r>
              <w:t xml:space="preserve">LRS </w:t>
            </w:r>
            <w:r w:rsidRPr="00E15B17">
              <w:rPr>
                <w:i/>
                <w:vertAlign w:val="subscript"/>
              </w:rPr>
              <w:t>q</w:t>
            </w:r>
          </w:p>
        </w:tc>
        <w:tc>
          <w:tcPr>
            <w:tcW w:w="339" w:type="pct"/>
          </w:tcPr>
          <w:p w14:paraId="2311D20F" w14:textId="77777777" w:rsidR="001F04FD" w:rsidRDefault="001F04FD" w:rsidP="00AC4DEE">
            <w:pPr>
              <w:pStyle w:val="TableBody"/>
            </w:pPr>
            <w:r>
              <w:t>none</w:t>
            </w:r>
          </w:p>
        </w:tc>
        <w:tc>
          <w:tcPr>
            <w:tcW w:w="3382" w:type="pct"/>
          </w:tcPr>
          <w:p w14:paraId="7DB43F18"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6EE4CE7" w14:textId="77777777" w:rsidTr="00AC4DEE">
        <w:trPr>
          <w:cantSplit/>
        </w:trPr>
        <w:tc>
          <w:tcPr>
            <w:tcW w:w="1279" w:type="pct"/>
          </w:tcPr>
          <w:p w14:paraId="2D205ADD" w14:textId="77777777" w:rsidR="001F04FD" w:rsidRPr="00E15B17" w:rsidRDefault="001F04FD" w:rsidP="00AC4DEE">
            <w:pPr>
              <w:pStyle w:val="TableBody"/>
              <w:rPr>
                <w:i/>
              </w:rPr>
            </w:pPr>
            <w:r w:rsidRPr="00E15B17">
              <w:rPr>
                <w:i/>
              </w:rPr>
              <w:t>q</w:t>
            </w:r>
          </w:p>
        </w:tc>
        <w:tc>
          <w:tcPr>
            <w:tcW w:w="339" w:type="pct"/>
          </w:tcPr>
          <w:p w14:paraId="4D4A89FB" w14:textId="77777777" w:rsidR="001F04FD" w:rsidRDefault="001F04FD" w:rsidP="00AC4DEE">
            <w:pPr>
              <w:pStyle w:val="TableBody"/>
              <w:rPr>
                <w:bCs/>
              </w:rPr>
            </w:pPr>
            <w:r>
              <w:rPr>
                <w:bCs/>
              </w:rPr>
              <w:t>none</w:t>
            </w:r>
          </w:p>
        </w:tc>
        <w:tc>
          <w:tcPr>
            <w:tcW w:w="3382" w:type="pct"/>
          </w:tcPr>
          <w:p w14:paraId="3F9C36C7" w14:textId="77777777" w:rsidR="001F04FD" w:rsidRDefault="001F04FD" w:rsidP="00AC4DEE">
            <w:pPr>
              <w:pStyle w:val="TableBody"/>
              <w:rPr>
                <w:bCs/>
              </w:rPr>
            </w:pPr>
            <w:r>
              <w:rPr>
                <w:bCs/>
              </w:rPr>
              <w:t>A QSE.</w:t>
            </w:r>
          </w:p>
        </w:tc>
      </w:tr>
      <w:tr w:rsidR="001F04FD" w14:paraId="0331A330" w14:textId="77777777" w:rsidTr="00AC4DEE">
        <w:trPr>
          <w:cantSplit/>
        </w:trPr>
        <w:tc>
          <w:tcPr>
            <w:tcW w:w="1279" w:type="pct"/>
          </w:tcPr>
          <w:p w14:paraId="5F09273D" w14:textId="77777777" w:rsidR="001F04FD" w:rsidRPr="00E15B17" w:rsidRDefault="001F04FD" w:rsidP="00AC4DEE">
            <w:pPr>
              <w:pStyle w:val="TableBody"/>
              <w:rPr>
                <w:i/>
              </w:rPr>
            </w:pPr>
            <w:r w:rsidRPr="00E15B17">
              <w:rPr>
                <w:i/>
              </w:rPr>
              <w:t>o</w:t>
            </w:r>
          </w:p>
        </w:tc>
        <w:tc>
          <w:tcPr>
            <w:tcW w:w="339" w:type="pct"/>
          </w:tcPr>
          <w:p w14:paraId="7D332985" w14:textId="77777777" w:rsidR="001F04FD" w:rsidRDefault="001F04FD" w:rsidP="00AC4DEE">
            <w:pPr>
              <w:pStyle w:val="TableBody"/>
              <w:rPr>
                <w:bCs/>
              </w:rPr>
            </w:pPr>
            <w:r>
              <w:rPr>
                <w:bCs/>
              </w:rPr>
              <w:t>none</w:t>
            </w:r>
          </w:p>
        </w:tc>
        <w:tc>
          <w:tcPr>
            <w:tcW w:w="3382" w:type="pct"/>
          </w:tcPr>
          <w:p w14:paraId="2ECCD5C5" w14:textId="77777777" w:rsidR="001F04FD" w:rsidRDefault="001F04FD" w:rsidP="00AC4DEE">
            <w:pPr>
              <w:pStyle w:val="TableBody"/>
              <w:rPr>
                <w:bCs/>
              </w:rPr>
            </w:pPr>
            <w:r>
              <w:rPr>
                <w:bCs/>
              </w:rPr>
              <w:t>A CRR owner.</w:t>
            </w:r>
          </w:p>
        </w:tc>
      </w:tr>
    </w:tbl>
    <w:p w14:paraId="224E19E4" w14:textId="77777777" w:rsidR="001F04FD" w:rsidRDefault="001F04FD" w:rsidP="001F04FD">
      <w:pPr>
        <w:pStyle w:val="BodyTextNumbered"/>
        <w:spacing w:before="240"/>
      </w:pPr>
      <w:r>
        <w:lastRenderedPageBreak/>
        <w:t>(3)</w:t>
      </w:r>
      <w:r>
        <w:tab/>
        <w:t>In the event that ERCOT is unable to execute the DAM, the Real-Time Revenue Neutrality Allocation for each QSE for a given 15-minute Settlement Interval is calculated as follows:</w:t>
      </w:r>
    </w:p>
    <w:p w14:paraId="2944152D" w14:textId="17035600" w:rsidR="001F04FD" w:rsidRDefault="001F04FD" w:rsidP="001F04FD">
      <w:pPr>
        <w:pStyle w:val="BodyText"/>
        <w:tabs>
          <w:tab w:val="left" w:pos="2880"/>
        </w:tabs>
        <w:ind w:left="3240" w:hanging="2520"/>
        <w:rPr>
          <w:b/>
        </w:rPr>
      </w:pPr>
      <w:r>
        <w:rPr>
          <w:b/>
        </w:rPr>
        <w:t xml:space="preserve">LARTRNAMT </w:t>
      </w:r>
      <w:r>
        <w:rPr>
          <w:b/>
          <w:i/>
          <w:vertAlign w:val="subscript"/>
        </w:rPr>
        <w:t>q</w:t>
      </w:r>
      <w:r>
        <w:rPr>
          <w:b/>
        </w:rPr>
        <w:tab/>
        <w:t>=</w:t>
      </w:r>
      <w:r>
        <w:rPr>
          <w:b/>
        </w:rPr>
        <w:tab/>
        <w:t xml:space="preserve">(-1) * (RTEIAMTTOT + BLTRAMTTOT + RTDCIMPAMTTOT + </w:t>
      </w:r>
      <w:r w:rsidR="00F26601" w:rsidRPr="008C69DE">
        <w:rPr>
          <w:b/>
        </w:rPr>
        <w:t>RTE</w:t>
      </w:r>
      <w:r w:rsidR="00F26601">
        <w:rPr>
          <w:b/>
        </w:rPr>
        <w:t>SO</w:t>
      </w:r>
      <w:r w:rsidR="00F26601" w:rsidRPr="008C69DE">
        <w:rPr>
          <w:b/>
        </w:rPr>
        <w:t>GAMTTOT</w:t>
      </w:r>
      <w:r w:rsidR="00F26601" w:rsidRPr="00683581">
        <w:rPr>
          <w:b/>
        </w:rPr>
        <w:t xml:space="preserve"> </w:t>
      </w:r>
      <w:r w:rsidR="00F26601">
        <w:rPr>
          <w:b/>
        </w:rPr>
        <w:t xml:space="preserve">+ </w:t>
      </w:r>
      <w:r>
        <w:rPr>
          <w:b/>
        </w:rPr>
        <w:t xml:space="preserve">RTCCAMTTOT + NDRTOBLAMTTOT / 4 + NDRTOPTAMTTOT / 4 + NDRTOPTRAMTTOT / 4 + NDRTOBLRAMTTOT / 4) * LRS </w:t>
      </w:r>
      <w:r>
        <w:rPr>
          <w:b/>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7D0E8434" w14:textId="77777777" w:rsidTr="008B123E">
        <w:trPr>
          <w:trHeight w:val="206"/>
        </w:trPr>
        <w:tc>
          <w:tcPr>
            <w:tcW w:w="9576" w:type="dxa"/>
            <w:shd w:val="pct12" w:color="auto" w:fill="auto"/>
          </w:tcPr>
          <w:p w14:paraId="33ED258E" w14:textId="536CBC76" w:rsidR="00C54508" w:rsidRDefault="00C54508" w:rsidP="008B123E">
            <w:pPr>
              <w:pStyle w:val="Instructions"/>
              <w:spacing w:before="120"/>
            </w:pPr>
            <w:r>
              <w:t>[</w:t>
            </w:r>
            <w:r w:rsidR="00C04382">
              <w:t>NPRR995</w:t>
            </w:r>
            <w:r>
              <w:t>:  Replace the formula “</w:t>
            </w:r>
            <w:r w:rsidRPr="000F620F">
              <w:t xml:space="preserve">LARTRNAMT </w:t>
            </w:r>
            <w:r w:rsidRPr="000F620F">
              <w:rPr>
                <w:vertAlign w:val="subscript"/>
              </w:rPr>
              <w:t>q</w:t>
            </w:r>
            <w:r>
              <w:t>” above with the following upon system implementation:]</w:t>
            </w:r>
          </w:p>
          <w:p w14:paraId="2BC699FF" w14:textId="4464061E" w:rsidR="00C54508" w:rsidRPr="00C54508" w:rsidRDefault="00C54508" w:rsidP="008B66B5">
            <w:pPr>
              <w:tabs>
                <w:tab w:val="left" w:pos="2880"/>
              </w:tabs>
              <w:spacing w:after="240"/>
              <w:ind w:left="3240" w:hanging="2520"/>
              <w:rPr>
                <w:b/>
                <w:iCs/>
              </w:rPr>
            </w:pPr>
            <w:r w:rsidRPr="00E36C99">
              <w:rPr>
                <w:b/>
                <w:iCs/>
              </w:rPr>
              <w:t xml:space="preserve">LARTRNAMT </w:t>
            </w:r>
            <w:r w:rsidRPr="00E36C99">
              <w:rPr>
                <w:b/>
                <w:i/>
                <w:iCs/>
                <w:vertAlign w:val="subscript"/>
              </w:rPr>
              <w:t>q</w:t>
            </w:r>
            <w:r w:rsidRPr="00E36C99">
              <w:rPr>
                <w:b/>
                <w:iCs/>
              </w:rPr>
              <w:tab/>
              <w:t>=</w:t>
            </w:r>
            <w:r w:rsidRPr="00E36C99">
              <w:rPr>
                <w:b/>
                <w:iCs/>
              </w:rPr>
              <w:tab/>
              <w:t xml:space="preserve">(-1) * (RTEIAMTTOT + BLTRAMTTOT + RTDCIMPAMTTOT + </w:t>
            </w:r>
            <w:r w:rsidRPr="008C69DE">
              <w:rPr>
                <w:b/>
              </w:rPr>
              <w:t>RTE</w:t>
            </w:r>
            <w:r>
              <w:rPr>
                <w:b/>
              </w:rPr>
              <w:t>SO</w:t>
            </w:r>
            <w:r w:rsidRPr="008C69DE">
              <w:rPr>
                <w:b/>
              </w:rPr>
              <w:t>AMTTOT</w:t>
            </w:r>
            <w:r w:rsidRPr="00683581">
              <w:rPr>
                <w:b/>
              </w:rPr>
              <w:t xml:space="preserve"> </w:t>
            </w:r>
            <w:r>
              <w:rPr>
                <w:b/>
              </w:rPr>
              <w:t xml:space="preserve">+ </w:t>
            </w:r>
            <w:r w:rsidRPr="00E36C99">
              <w:rPr>
                <w:b/>
                <w:iCs/>
              </w:rPr>
              <w:t xml:space="preserve">RTCCAMTTOT + NDRTOBLAMTTOT / 4 + NDRTOPTAMTTOT / 4 + NDRTOPTRAMTTOT / 4 + NDRTOBLRAMTTOT / 4) * LRS </w:t>
            </w:r>
            <w:r w:rsidRPr="00E36C99">
              <w:rPr>
                <w:b/>
                <w:i/>
                <w:iCs/>
                <w:vertAlign w:val="subscript"/>
              </w:rPr>
              <w:t>q</w:t>
            </w:r>
          </w:p>
        </w:tc>
      </w:tr>
    </w:tbl>
    <w:p w14:paraId="30F2C46A" w14:textId="77777777" w:rsidR="001F04FD" w:rsidRDefault="001F04FD" w:rsidP="00C54508">
      <w:pPr>
        <w:pStyle w:val="BodyText"/>
        <w:spacing w:before="240"/>
      </w:pPr>
      <w:r>
        <w:t xml:space="preserve">Where: </w:t>
      </w:r>
    </w:p>
    <w:p w14:paraId="6C65E45B" w14:textId="77777777" w:rsidR="001F04FD" w:rsidRDefault="001F04FD" w:rsidP="001F04FD">
      <w:pPr>
        <w:ind w:firstLine="720"/>
      </w:pPr>
      <w:r>
        <w:t>Total Real-Time Energy Imbalance Payment (or Charge) at Settlement Point (or Hub)</w:t>
      </w:r>
    </w:p>
    <w:p w14:paraId="1BF66CB3" w14:textId="35568B25" w:rsidR="001F04FD" w:rsidRDefault="001F04FD" w:rsidP="001F04FD">
      <w:pPr>
        <w:pStyle w:val="Formula"/>
        <w:ind w:leftChars="600" w:left="3600" w:hanging="2160"/>
      </w:pPr>
      <w:r>
        <w:t>RTEIAMTTOT</w:t>
      </w:r>
      <w:r>
        <w:tab/>
        <w:t>=</w:t>
      </w:r>
      <w:r>
        <w:tab/>
      </w:r>
      <w:r w:rsidRPr="006F784F">
        <w:rPr>
          <w:position w:val="-22"/>
        </w:rPr>
        <w:object w:dxaOrig="210" w:dyaOrig="465" w14:anchorId="1C457F45">
          <v:shape id="_x0000_i1276" type="#_x0000_t75" style="width:6pt;height:18pt" o:ole="">
            <v:imagedata r:id="rId327" o:title=""/>
          </v:shape>
          <o:OLEObject Type="Embed" ProgID="Equation.3" ShapeID="_x0000_i1276" DrawAspect="Content" ObjectID="_1804653760" r:id="rId338"/>
        </w:object>
      </w:r>
      <w:r w:rsidR="00130DBD">
        <w:t xml:space="preserve"> </w:t>
      </w:r>
      <w:r>
        <w:t xml:space="preserve">RTEIAMTQSETOT </w:t>
      </w:r>
      <w:r>
        <w:rPr>
          <w:i/>
          <w:vertAlign w:val="subscript"/>
        </w:rPr>
        <w:t>q</w:t>
      </w:r>
    </w:p>
    <w:p w14:paraId="57B4C965" w14:textId="77777777" w:rsidR="001F04FD" w:rsidRDefault="001F04FD" w:rsidP="001F04FD">
      <w:pPr>
        <w:ind w:firstLine="720"/>
      </w:pPr>
      <w:r>
        <w:t>Total Real-Time Payment for BLT Resources</w:t>
      </w:r>
    </w:p>
    <w:p w14:paraId="4D9F14A3" w14:textId="387E0053" w:rsidR="001F04FD" w:rsidRDefault="001F04FD" w:rsidP="001F04FD">
      <w:pPr>
        <w:pStyle w:val="Formula"/>
        <w:ind w:leftChars="600" w:left="3600" w:hanging="2160"/>
      </w:pPr>
      <w:r>
        <w:t>BLTRAMTTOT</w:t>
      </w:r>
      <w:r>
        <w:tab/>
        <w:t>=</w:t>
      </w:r>
      <w:r>
        <w:tab/>
      </w:r>
      <w:r w:rsidRPr="006F784F">
        <w:rPr>
          <w:position w:val="-22"/>
        </w:rPr>
        <w:object w:dxaOrig="210" w:dyaOrig="465" w14:anchorId="31303ABB">
          <v:shape id="_x0000_i1277" type="#_x0000_t75" style="width:6pt;height:18pt" o:ole="">
            <v:imagedata r:id="rId181" o:title=""/>
          </v:shape>
          <o:OLEObject Type="Embed" ProgID="Equation.3" ShapeID="_x0000_i1277" DrawAspect="Content" ObjectID="_1804653761" r:id="rId339"/>
        </w:object>
      </w:r>
      <w:r w:rsidR="00130DBD">
        <w:t xml:space="preserve"> </w:t>
      </w:r>
      <w:r>
        <w:t xml:space="preserve">BLTRAMTQSETOT </w:t>
      </w:r>
      <w:r>
        <w:rPr>
          <w:i/>
          <w:vertAlign w:val="subscript"/>
        </w:rPr>
        <w:t>q</w:t>
      </w:r>
    </w:p>
    <w:p w14:paraId="6AE78F19" w14:textId="77777777" w:rsidR="001F04FD" w:rsidRDefault="001F04FD" w:rsidP="001F04FD">
      <w:pPr>
        <w:ind w:firstLine="720"/>
      </w:pPr>
      <w:r>
        <w:t>Total Real-Time Payment for DC Tie Imports</w:t>
      </w:r>
    </w:p>
    <w:p w14:paraId="5069A2C6"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2249E869">
          <v:shape id="_x0000_i1278" type="#_x0000_t75" style="width:12pt;height:18pt" o:ole="">
            <v:imagedata r:id="rId330" o:title=""/>
          </v:shape>
          <o:OLEObject Type="Embed" ProgID="Equation.3" ShapeID="_x0000_i1278" DrawAspect="Content" ObjectID="_1804653762" r:id="rId340"/>
        </w:object>
      </w:r>
      <w:r>
        <w:t xml:space="preserve">RTDCIMPAMTQSETOT </w:t>
      </w:r>
      <w:r>
        <w:rPr>
          <w:i/>
          <w:vertAlign w:val="subscript"/>
        </w:rPr>
        <w:t>q</w:t>
      </w:r>
    </w:p>
    <w:p w14:paraId="2EFCE534" w14:textId="77777777" w:rsidR="001F04FD" w:rsidRDefault="001F04FD" w:rsidP="001F04FD">
      <w:pPr>
        <w:ind w:firstLine="720"/>
      </w:pPr>
      <w:r>
        <w:t>Total Real-Time Congestion Payment or Charge for Self Schedules</w:t>
      </w:r>
    </w:p>
    <w:p w14:paraId="36F1D5A8"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41BADB01">
          <v:shape id="_x0000_i1279" type="#_x0000_t75" style="width:12pt;height:18pt" o:ole="">
            <v:imagedata r:id="rId330" o:title=""/>
          </v:shape>
          <o:OLEObject Type="Embed" ProgID="Equation.3" ShapeID="_x0000_i1279" DrawAspect="Content" ObjectID="_1804653763" r:id="rId341"/>
        </w:object>
      </w:r>
      <w:r>
        <w:t xml:space="preserve">RTCCAMTQSETOT </w:t>
      </w:r>
      <w:r>
        <w:rPr>
          <w:i/>
          <w:vertAlign w:val="subscript"/>
        </w:rPr>
        <w:t>q</w:t>
      </w:r>
    </w:p>
    <w:p w14:paraId="769E58BB" w14:textId="77777777" w:rsidR="001F04FD" w:rsidRDefault="001F04FD" w:rsidP="001F04FD">
      <w:pPr>
        <w:ind w:left="720"/>
      </w:pPr>
      <w:r>
        <w:t>Total Real-Time Payment or Charge for PTP Obligations when ERCOT is unable to execute the DAM</w:t>
      </w:r>
    </w:p>
    <w:p w14:paraId="33BF01CF" w14:textId="77777777" w:rsidR="001F04FD" w:rsidRDefault="001F04FD" w:rsidP="001F04FD">
      <w:pPr>
        <w:pStyle w:val="Formula"/>
        <w:ind w:leftChars="600" w:left="3600" w:hanging="2160"/>
      </w:pPr>
      <w:r>
        <w:t>NDRTOBLAMTTOT</w:t>
      </w:r>
      <w:r>
        <w:tab/>
      </w:r>
      <w:r>
        <w:tab/>
        <w:t>=</w:t>
      </w:r>
      <w:r>
        <w:tab/>
      </w:r>
      <w:r w:rsidRPr="006F784F">
        <w:rPr>
          <w:position w:val="-20"/>
        </w:rPr>
        <w:object w:dxaOrig="225" w:dyaOrig="465" w14:anchorId="38707B1F">
          <v:shape id="_x0000_i1280" type="#_x0000_t75" style="width:12pt;height:18pt" o:ole="">
            <v:imagedata r:id="rId342" o:title=""/>
          </v:shape>
          <o:OLEObject Type="Embed" ProgID="Equation.3" ShapeID="_x0000_i1280" DrawAspect="Content" ObjectID="_1804653764" r:id="rId343"/>
        </w:object>
      </w:r>
      <w:r>
        <w:t xml:space="preserve"> NDRTOBLAMTOTOT </w:t>
      </w:r>
      <w:r>
        <w:rPr>
          <w:i/>
          <w:vertAlign w:val="subscript"/>
        </w:rPr>
        <w:t>o</w:t>
      </w:r>
      <w:r>
        <w:t xml:space="preserve"> </w:t>
      </w:r>
    </w:p>
    <w:p w14:paraId="41B5300D" w14:textId="77777777" w:rsidR="001F04FD" w:rsidRDefault="001F04FD" w:rsidP="001F04FD">
      <w:pPr>
        <w:spacing w:before="120" w:after="120"/>
        <w:ind w:firstLine="720"/>
      </w:pPr>
      <w:r>
        <w:t>Total Real-Time Payment for PTP Options when ERCOT is unable to execute the DAM</w:t>
      </w:r>
    </w:p>
    <w:p w14:paraId="5F0131FF" w14:textId="77777777" w:rsidR="001F04FD" w:rsidRDefault="001F04FD" w:rsidP="001F04FD">
      <w:pPr>
        <w:pStyle w:val="Formula"/>
        <w:spacing w:before="120" w:after="120"/>
        <w:ind w:leftChars="600" w:left="3600" w:hanging="2160"/>
      </w:pPr>
      <w:r>
        <w:t>NDRTOPTAMTTOT</w:t>
      </w:r>
      <w:r>
        <w:tab/>
      </w:r>
      <w:r>
        <w:tab/>
        <w:t>=</w:t>
      </w:r>
      <w:r>
        <w:tab/>
      </w:r>
      <w:r w:rsidRPr="006F784F">
        <w:rPr>
          <w:position w:val="-20"/>
        </w:rPr>
        <w:object w:dxaOrig="210" w:dyaOrig="465" w14:anchorId="4E303239">
          <v:shape id="_x0000_i1281" type="#_x0000_t75" style="width:6pt;height:18pt" o:ole="">
            <v:imagedata r:id="rId344" o:title=""/>
          </v:shape>
          <o:OLEObject Type="Embed" ProgID="Equation.3" ShapeID="_x0000_i1281" DrawAspect="Content" ObjectID="_1804653765" r:id="rId345"/>
        </w:object>
      </w:r>
      <w:r>
        <w:rPr>
          <w:position w:val="-20"/>
        </w:rPr>
        <w:t xml:space="preserve"> </w:t>
      </w:r>
      <w:r>
        <w:t xml:space="preserve">NDRTOPTAMTOTOT </w:t>
      </w:r>
      <w:r>
        <w:rPr>
          <w:i/>
          <w:vertAlign w:val="subscript"/>
        </w:rPr>
        <w:t>o</w:t>
      </w:r>
    </w:p>
    <w:p w14:paraId="4BE7E438" w14:textId="77777777" w:rsidR="001F04FD" w:rsidRDefault="001F04FD" w:rsidP="001F04FD">
      <w:pPr>
        <w:spacing w:before="120" w:after="120"/>
        <w:ind w:left="720"/>
      </w:pPr>
      <w:r>
        <w:t>Total Real-Time Payment for PTP Options with Refund when ERCOT is unable to execute the DAM</w:t>
      </w:r>
    </w:p>
    <w:p w14:paraId="1A2B175B" w14:textId="77777777" w:rsidR="001F04FD" w:rsidRDefault="001F04FD" w:rsidP="001F04FD">
      <w:pPr>
        <w:pStyle w:val="Formula"/>
        <w:spacing w:before="120" w:after="120"/>
        <w:ind w:leftChars="600" w:left="3600" w:hanging="2160"/>
        <w:rPr>
          <w:i/>
          <w:vertAlign w:val="subscript"/>
        </w:rPr>
      </w:pPr>
      <w:r>
        <w:lastRenderedPageBreak/>
        <w:t>NDRTOPTRAMTTOT</w:t>
      </w:r>
      <w:r>
        <w:tab/>
        <w:t>=</w:t>
      </w:r>
      <w:r>
        <w:tab/>
      </w:r>
      <w:r w:rsidRPr="006F784F">
        <w:rPr>
          <w:position w:val="-20"/>
        </w:rPr>
        <w:object w:dxaOrig="240" w:dyaOrig="465" w14:anchorId="2A038602">
          <v:shape id="_x0000_i1282" type="#_x0000_t75" style="width:12pt;height:18pt" o:ole="">
            <v:imagedata r:id="rId346" o:title=""/>
          </v:shape>
          <o:OLEObject Type="Embed" ProgID="Equation.3" ShapeID="_x0000_i1282" DrawAspect="Content" ObjectID="_1804653766" r:id="rId347"/>
        </w:object>
      </w:r>
      <w:r>
        <w:t xml:space="preserve">NDRTOPTRAMTOTOT </w:t>
      </w:r>
      <w:r>
        <w:rPr>
          <w:i/>
          <w:vertAlign w:val="subscript"/>
        </w:rPr>
        <w:t>o</w:t>
      </w:r>
    </w:p>
    <w:p w14:paraId="022BBDD4" w14:textId="77777777" w:rsidR="001F04FD" w:rsidRDefault="001F04FD" w:rsidP="001F04FD">
      <w:pPr>
        <w:spacing w:before="120" w:after="120"/>
        <w:ind w:left="720"/>
      </w:pPr>
      <w:r>
        <w:t>Total Real-Time Payment or Charge for PTP Obligations with Refund when ERCOT is unable to execute the DAM</w:t>
      </w:r>
    </w:p>
    <w:p w14:paraId="631E113B" w14:textId="592E1A0C" w:rsidR="001F04FD" w:rsidRDefault="001F04FD" w:rsidP="001F04FD">
      <w:pPr>
        <w:pStyle w:val="Formula"/>
        <w:spacing w:before="120" w:after="120"/>
        <w:ind w:leftChars="600" w:left="3600" w:hanging="2160"/>
        <w:rPr>
          <w:i/>
          <w:vertAlign w:val="subscript"/>
        </w:rPr>
      </w:pPr>
      <w:r>
        <w:t>NDRTOBLRAMTTOT</w:t>
      </w:r>
      <w:r>
        <w:tab/>
        <w:t>=</w:t>
      </w:r>
      <w:r>
        <w:tab/>
      </w:r>
      <w:r w:rsidRPr="006F784F">
        <w:rPr>
          <w:position w:val="-20"/>
        </w:rPr>
        <w:object w:dxaOrig="240" w:dyaOrig="465" w14:anchorId="6438B146">
          <v:shape id="_x0000_i1283" type="#_x0000_t75" style="width:12pt;height:18pt" o:ole="">
            <v:imagedata r:id="rId346" o:title=""/>
          </v:shape>
          <o:OLEObject Type="Embed" ProgID="Equation.3" ShapeID="_x0000_i1283" DrawAspect="Content" ObjectID="_1804653767" r:id="rId348"/>
        </w:object>
      </w:r>
      <w:r>
        <w:t xml:space="preserve"> NDRTOBLRAMTOTOT </w:t>
      </w:r>
      <w:r>
        <w:rPr>
          <w:i/>
          <w:vertAlign w:val="subscript"/>
        </w:rPr>
        <w:t>o</w:t>
      </w:r>
    </w:p>
    <w:p w14:paraId="493ABC08" w14:textId="77777777" w:rsidR="00657819" w:rsidRDefault="00657819" w:rsidP="00657819">
      <w:pPr>
        <w:spacing w:after="120"/>
        <w:ind w:left="720"/>
      </w:pPr>
      <w:r>
        <w:t xml:space="preserve">Total Real-Time Payment or Charge for energy from </w:t>
      </w:r>
      <w:r w:rsidRPr="00FE0BEC">
        <w:t>SODGs and SOTGs</w:t>
      </w:r>
    </w:p>
    <w:p w14:paraId="58AA21B7" w14:textId="7BE38352" w:rsidR="00657819" w:rsidRDefault="00657819" w:rsidP="00657819">
      <w:pPr>
        <w:spacing w:before="120" w:after="120"/>
        <w:ind w:left="720" w:firstLine="720"/>
      </w:pPr>
      <w:r>
        <w:t>RTESOGAMTTOT</w:t>
      </w:r>
      <w:r>
        <w:tab/>
      </w:r>
      <w:r>
        <w:tab/>
        <w:t>=</w:t>
      </w:r>
      <w:r>
        <w:tab/>
      </w:r>
      <w:r>
        <w:rPr>
          <w:noProof/>
          <w:position w:val="-22"/>
        </w:rPr>
        <w:drawing>
          <wp:inline distT="0" distB="0" distL="0" distR="0" wp14:anchorId="11DC3DC7" wp14:editId="5A478CB1">
            <wp:extent cx="133350" cy="295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t xml:space="preserve">RTESOGAMTQSETOT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0A41C5EE" w14:textId="77777777" w:rsidTr="008B123E">
        <w:trPr>
          <w:trHeight w:val="206"/>
        </w:trPr>
        <w:tc>
          <w:tcPr>
            <w:tcW w:w="9576" w:type="dxa"/>
            <w:shd w:val="pct12" w:color="auto" w:fill="auto"/>
          </w:tcPr>
          <w:p w14:paraId="1387EC84" w14:textId="75DE4C8B" w:rsidR="00C54508" w:rsidRDefault="00C54508" w:rsidP="008B123E">
            <w:pPr>
              <w:pStyle w:val="Instructions"/>
              <w:spacing w:before="120"/>
            </w:pPr>
            <w:r>
              <w:t>[</w:t>
            </w:r>
            <w:r w:rsidR="00C04382">
              <w:t>NPRR995</w:t>
            </w:r>
            <w:r>
              <w:t xml:space="preserve">:  </w:t>
            </w:r>
            <w:r w:rsidR="00657819">
              <w:t>Replace</w:t>
            </w:r>
            <w:r w:rsidR="00E87687">
              <w:t xml:space="preserve"> </w:t>
            </w:r>
            <w:r>
              <w:t xml:space="preserve">the language </w:t>
            </w:r>
            <w:r w:rsidR="00657819">
              <w:t>above with the following</w:t>
            </w:r>
            <w:r>
              <w:t xml:space="preserve"> upon system implementation:]</w:t>
            </w:r>
          </w:p>
          <w:p w14:paraId="60893388" w14:textId="4C4B9160" w:rsidR="00C54508" w:rsidRDefault="00C54508" w:rsidP="00C54508">
            <w:pPr>
              <w:spacing w:after="120"/>
              <w:ind w:left="720"/>
            </w:pPr>
            <w:r>
              <w:t xml:space="preserve">Total Real-Time Payment or Charge for energy from </w:t>
            </w:r>
            <w:r w:rsidRPr="00FE0BEC">
              <w:t>SODGs</w:t>
            </w:r>
            <w:r w:rsidR="00C04382">
              <w:t>,</w:t>
            </w:r>
            <w:r w:rsidRPr="00FE0BEC">
              <w:t xml:space="preserve"> SOTGs</w:t>
            </w:r>
            <w:r w:rsidR="00C04382">
              <w:t>, SODESSs, or SOTESSs</w:t>
            </w:r>
          </w:p>
          <w:p w14:paraId="0A8ACF5C" w14:textId="62AC9CBE" w:rsidR="00C54508" w:rsidRPr="002F5823" w:rsidRDefault="00C54508" w:rsidP="00C54508">
            <w:pPr>
              <w:spacing w:before="120" w:after="120"/>
              <w:ind w:left="720" w:firstLine="720"/>
              <w:rPr>
                <w:bCs/>
              </w:rPr>
            </w:pPr>
            <w:r>
              <w:t>RTESOAMTTOT</w:t>
            </w:r>
            <w:r>
              <w:tab/>
            </w:r>
            <w:r>
              <w:tab/>
              <w:t>=</w:t>
            </w:r>
            <w:r>
              <w:tab/>
            </w:r>
            <w:r w:rsidR="00A94020">
              <w:rPr>
                <w:noProof/>
                <w:position w:val="-22"/>
              </w:rPr>
              <w:drawing>
                <wp:inline distT="0" distB="0" distL="0" distR="0" wp14:anchorId="6DF5AD42" wp14:editId="00466AC6">
                  <wp:extent cx="133350" cy="295275"/>
                  <wp:effectExtent l="0" t="0" r="0" b="9525"/>
                  <wp:docPr id="1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006C6A47">
              <w:t xml:space="preserve"> </w:t>
            </w:r>
            <w:r>
              <w:t xml:space="preserve">RTESOAMTQSETOT </w:t>
            </w:r>
            <w:r>
              <w:rPr>
                <w:i/>
                <w:vertAlign w:val="subscript"/>
              </w:rPr>
              <w:t>q</w:t>
            </w:r>
          </w:p>
        </w:tc>
      </w:tr>
    </w:tbl>
    <w:p w14:paraId="1852F635"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615"/>
        <w:gridCol w:w="6257"/>
      </w:tblGrid>
      <w:tr w:rsidR="001F04FD" w14:paraId="331D8B6E" w14:textId="77777777" w:rsidTr="008B66B5">
        <w:trPr>
          <w:cantSplit/>
          <w:tblHeader/>
        </w:trPr>
        <w:tc>
          <w:tcPr>
            <w:tcW w:w="1325" w:type="pct"/>
          </w:tcPr>
          <w:p w14:paraId="41BC1251" w14:textId="77777777" w:rsidR="001F04FD" w:rsidRDefault="001F04FD" w:rsidP="00AC4DEE">
            <w:pPr>
              <w:pStyle w:val="TableHead"/>
            </w:pPr>
            <w:r>
              <w:t>Variable</w:t>
            </w:r>
          </w:p>
        </w:tc>
        <w:tc>
          <w:tcPr>
            <w:tcW w:w="329" w:type="pct"/>
          </w:tcPr>
          <w:p w14:paraId="671776B4" w14:textId="77777777" w:rsidR="001F04FD" w:rsidRDefault="001F04FD" w:rsidP="00AC4DEE">
            <w:pPr>
              <w:pStyle w:val="TableHead"/>
            </w:pPr>
            <w:r>
              <w:t>Unit</w:t>
            </w:r>
          </w:p>
        </w:tc>
        <w:tc>
          <w:tcPr>
            <w:tcW w:w="3346" w:type="pct"/>
          </w:tcPr>
          <w:p w14:paraId="0A31C9F6" w14:textId="77777777" w:rsidR="001F04FD" w:rsidRDefault="001F04FD" w:rsidP="00AC4DEE">
            <w:pPr>
              <w:pStyle w:val="TableHead"/>
            </w:pPr>
            <w:r>
              <w:t>Description</w:t>
            </w:r>
          </w:p>
        </w:tc>
      </w:tr>
      <w:tr w:rsidR="001F04FD" w14:paraId="10709BD4" w14:textId="77777777" w:rsidTr="008B66B5">
        <w:trPr>
          <w:cantSplit/>
        </w:trPr>
        <w:tc>
          <w:tcPr>
            <w:tcW w:w="1325" w:type="pct"/>
          </w:tcPr>
          <w:p w14:paraId="0F7AC31F" w14:textId="77777777" w:rsidR="001F04FD" w:rsidRDefault="001F04FD" w:rsidP="00AC4DEE">
            <w:pPr>
              <w:pStyle w:val="TableBody"/>
            </w:pPr>
            <w:r>
              <w:t xml:space="preserve">LARTRNAMT </w:t>
            </w:r>
            <w:r w:rsidRPr="00E15B17">
              <w:rPr>
                <w:i/>
                <w:vertAlign w:val="subscript"/>
              </w:rPr>
              <w:t>q</w:t>
            </w:r>
          </w:p>
        </w:tc>
        <w:tc>
          <w:tcPr>
            <w:tcW w:w="329" w:type="pct"/>
          </w:tcPr>
          <w:p w14:paraId="739C2CAA" w14:textId="77777777" w:rsidR="001F04FD" w:rsidRDefault="001F04FD" w:rsidP="00AC4DEE">
            <w:pPr>
              <w:pStyle w:val="TableBody"/>
            </w:pPr>
            <w:r>
              <w:t>$</w:t>
            </w:r>
          </w:p>
        </w:tc>
        <w:tc>
          <w:tcPr>
            <w:tcW w:w="3346" w:type="pct"/>
          </w:tcPr>
          <w:p w14:paraId="496A5CA2"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165C52BE" w14:textId="77777777" w:rsidTr="008B66B5">
        <w:trPr>
          <w:cantSplit/>
        </w:trPr>
        <w:tc>
          <w:tcPr>
            <w:tcW w:w="1325" w:type="pct"/>
          </w:tcPr>
          <w:p w14:paraId="4B16D9D9" w14:textId="77777777" w:rsidR="001F04FD" w:rsidRDefault="001F04FD" w:rsidP="00AC4DEE">
            <w:pPr>
              <w:pStyle w:val="TableBody"/>
            </w:pPr>
            <w:r>
              <w:t>RTEIAMTTOT</w:t>
            </w:r>
          </w:p>
        </w:tc>
        <w:tc>
          <w:tcPr>
            <w:tcW w:w="329" w:type="pct"/>
          </w:tcPr>
          <w:p w14:paraId="46B03EC3" w14:textId="77777777" w:rsidR="001F04FD" w:rsidRDefault="001F04FD" w:rsidP="00AC4DEE">
            <w:pPr>
              <w:pStyle w:val="TableBody"/>
            </w:pPr>
            <w:r>
              <w:t>$</w:t>
            </w:r>
          </w:p>
        </w:tc>
        <w:tc>
          <w:tcPr>
            <w:tcW w:w="3346" w:type="pct"/>
          </w:tcPr>
          <w:p w14:paraId="72648C03" w14:textId="77777777" w:rsidR="001F04FD" w:rsidRDefault="001F04FD" w:rsidP="00AC4DEE">
            <w:pPr>
              <w:pStyle w:val="TableBody"/>
            </w:pPr>
            <w:r>
              <w:rPr>
                <w:i/>
              </w:rPr>
              <w:t>Real-Time Energy Imbalance Amount Total</w:t>
            </w:r>
            <w:r>
              <w:t>—The total net payments and charges for Real-Time Energy Imbalance at all Settlement Points (Resource, Load Zone, or Hub) for the 15-minute Interval.</w:t>
            </w:r>
          </w:p>
        </w:tc>
      </w:tr>
      <w:tr w:rsidR="001F04FD" w14:paraId="50AB3B2E" w14:textId="77777777" w:rsidTr="008B66B5">
        <w:trPr>
          <w:cantSplit/>
        </w:trPr>
        <w:tc>
          <w:tcPr>
            <w:tcW w:w="1325" w:type="pct"/>
          </w:tcPr>
          <w:p w14:paraId="6EDEFC0B" w14:textId="77777777" w:rsidR="001F04FD" w:rsidRDefault="001F04FD" w:rsidP="00AC4DEE">
            <w:pPr>
              <w:pStyle w:val="TableBody"/>
            </w:pPr>
            <w:r>
              <w:t>BLTRAMTTOT</w:t>
            </w:r>
          </w:p>
        </w:tc>
        <w:tc>
          <w:tcPr>
            <w:tcW w:w="329" w:type="pct"/>
          </w:tcPr>
          <w:p w14:paraId="7B781499" w14:textId="77777777" w:rsidR="001F04FD" w:rsidRDefault="001F04FD" w:rsidP="00AC4DEE">
            <w:pPr>
              <w:pStyle w:val="TableBody"/>
            </w:pPr>
            <w:r>
              <w:t>$</w:t>
            </w:r>
          </w:p>
        </w:tc>
        <w:tc>
          <w:tcPr>
            <w:tcW w:w="3346" w:type="pct"/>
          </w:tcPr>
          <w:p w14:paraId="48BB3348" w14:textId="77777777" w:rsidR="001F04FD" w:rsidRDefault="001F04FD" w:rsidP="00AC4DEE">
            <w:pPr>
              <w:pStyle w:val="TableBody"/>
            </w:pPr>
            <w:r>
              <w:rPr>
                <w:i/>
              </w:rPr>
              <w:t>Block Load Transfer Resource Amount Total</w:t>
            </w:r>
            <w:r>
              <w:sym w:font="Symbol" w:char="F0BE"/>
            </w:r>
            <w:r>
              <w:t>The total of the payments for energy delivered into the ERCOT Region through BLT points for the 15-minute Settlement Interval.</w:t>
            </w:r>
          </w:p>
        </w:tc>
      </w:tr>
      <w:tr w:rsidR="001F04FD" w14:paraId="3974B996" w14:textId="77777777" w:rsidTr="008B66B5">
        <w:trPr>
          <w:cantSplit/>
        </w:trPr>
        <w:tc>
          <w:tcPr>
            <w:tcW w:w="1325" w:type="pct"/>
          </w:tcPr>
          <w:p w14:paraId="540A2E60" w14:textId="77777777" w:rsidR="001F04FD" w:rsidRDefault="001F04FD" w:rsidP="00AC4DEE">
            <w:pPr>
              <w:pStyle w:val="TableBody"/>
            </w:pPr>
            <w:r>
              <w:t>RTDCIMPAMTTOT</w:t>
            </w:r>
          </w:p>
        </w:tc>
        <w:tc>
          <w:tcPr>
            <w:tcW w:w="329" w:type="pct"/>
          </w:tcPr>
          <w:p w14:paraId="25A1EA79" w14:textId="77777777" w:rsidR="001F04FD" w:rsidRDefault="001F04FD" w:rsidP="00AC4DEE">
            <w:pPr>
              <w:pStyle w:val="TableBody"/>
            </w:pPr>
            <w:r>
              <w:t>$</w:t>
            </w:r>
          </w:p>
        </w:tc>
        <w:tc>
          <w:tcPr>
            <w:tcW w:w="3346" w:type="pct"/>
            <w:vAlign w:val="center"/>
          </w:tcPr>
          <w:p w14:paraId="4FACF661"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0C9E0851" w14:textId="77777777" w:rsidTr="008B66B5">
        <w:trPr>
          <w:cantSplit/>
        </w:trPr>
        <w:tc>
          <w:tcPr>
            <w:tcW w:w="1325" w:type="pct"/>
          </w:tcPr>
          <w:p w14:paraId="53E341F3" w14:textId="77777777" w:rsidR="001F04FD" w:rsidRDefault="001F04FD" w:rsidP="00AC4DEE">
            <w:pPr>
              <w:pStyle w:val="TableBody"/>
            </w:pPr>
            <w:r>
              <w:t xml:space="preserve">RTCCAMTTOT </w:t>
            </w:r>
          </w:p>
        </w:tc>
        <w:tc>
          <w:tcPr>
            <w:tcW w:w="329" w:type="pct"/>
          </w:tcPr>
          <w:p w14:paraId="5065F3B3" w14:textId="77777777" w:rsidR="001F04FD" w:rsidRDefault="001F04FD" w:rsidP="00AC4DEE">
            <w:pPr>
              <w:pStyle w:val="TableBody"/>
            </w:pPr>
            <w:r>
              <w:t>$</w:t>
            </w:r>
          </w:p>
        </w:tc>
        <w:tc>
          <w:tcPr>
            <w:tcW w:w="3346" w:type="pct"/>
          </w:tcPr>
          <w:p w14:paraId="7242ED7F"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68AADAAE" w14:textId="77777777" w:rsidTr="008B66B5">
        <w:trPr>
          <w:cantSplit/>
        </w:trPr>
        <w:tc>
          <w:tcPr>
            <w:tcW w:w="1325" w:type="pct"/>
          </w:tcPr>
          <w:p w14:paraId="25B1C38D" w14:textId="77777777" w:rsidR="001F04FD" w:rsidRDefault="001F04FD" w:rsidP="00AC4DEE">
            <w:pPr>
              <w:pStyle w:val="TableBody"/>
            </w:pPr>
            <w:r>
              <w:t>NDRTOBLAMTTOT</w:t>
            </w:r>
          </w:p>
        </w:tc>
        <w:tc>
          <w:tcPr>
            <w:tcW w:w="329" w:type="pct"/>
          </w:tcPr>
          <w:p w14:paraId="2FA7AD93" w14:textId="77777777" w:rsidR="001F04FD" w:rsidRDefault="001F04FD" w:rsidP="00AC4DEE">
            <w:pPr>
              <w:pStyle w:val="TableBody"/>
            </w:pPr>
            <w:r>
              <w:t>$</w:t>
            </w:r>
          </w:p>
        </w:tc>
        <w:tc>
          <w:tcPr>
            <w:tcW w:w="3346" w:type="pct"/>
          </w:tcPr>
          <w:p w14:paraId="4EBAA077" w14:textId="77777777" w:rsidR="001F04FD" w:rsidRDefault="001F04FD" w:rsidP="00AC4DEE">
            <w:pPr>
              <w:pStyle w:val="TableBody"/>
              <w:rPr>
                <w:i/>
              </w:rPr>
            </w:pPr>
            <w:r>
              <w:rPr>
                <w:i/>
              </w:rPr>
              <w:t>No DAM Real-Time Obligation Amount Total</w:t>
            </w:r>
            <w:r>
              <w:t>—The sum of all payments and charges for PTP Obligations settled in Real-Time, when ERCOT is unable to execute the DAM, for the hour that includes the 15-minute Settlement Interval.</w:t>
            </w:r>
          </w:p>
        </w:tc>
      </w:tr>
      <w:tr w:rsidR="001F04FD" w14:paraId="6BBA0096" w14:textId="77777777" w:rsidTr="008B66B5">
        <w:trPr>
          <w:cantSplit/>
        </w:trPr>
        <w:tc>
          <w:tcPr>
            <w:tcW w:w="1325" w:type="pct"/>
          </w:tcPr>
          <w:p w14:paraId="7D944329" w14:textId="77777777" w:rsidR="001F04FD" w:rsidRDefault="001F04FD" w:rsidP="00AC4DEE">
            <w:pPr>
              <w:pStyle w:val="TableBody"/>
            </w:pPr>
            <w:r>
              <w:t>NDRTOPTAMTTOT</w:t>
            </w:r>
          </w:p>
        </w:tc>
        <w:tc>
          <w:tcPr>
            <w:tcW w:w="329" w:type="pct"/>
          </w:tcPr>
          <w:p w14:paraId="3BE1890F" w14:textId="77777777" w:rsidR="001F04FD" w:rsidRDefault="001F04FD" w:rsidP="00AC4DEE">
            <w:pPr>
              <w:pStyle w:val="TableBody"/>
            </w:pPr>
            <w:r>
              <w:t>$</w:t>
            </w:r>
          </w:p>
        </w:tc>
        <w:tc>
          <w:tcPr>
            <w:tcW w:w="3346" w:type="pct"/>
          </w:tcPr>
          <w:p w14:paraId="5653E661" w14:textId="77777777" w:rsidR="001F04FD" w:rsidRDefault="001F04FD" w:rsidP="00AC4DEE">
            <w:pPr>
              <w:pStyle w:val="TableBody"/>
              <w:rPr>
                <w:i/>
              </w:rPr>
            </w:pPr>
            <w:r>
              <w:rPr>
                <w:i/>
              </w:rPr>
              <w:t>No DAM Real-Time Option Amount Total</w:t>
            </w:r>
            <w:r>
              <w:t>—The sum of all payments for PTP Options settled in Real-Time, when ERCOT is unable to execute the DAM, for the hour that includes the 15-minute Settlement Interval.</w:t>
            </w:r>
          </w:p>
        </w:tc>
      </w:tr>
      <w:tr w:rsidR="001F04FD" w14:paraId="39F5BB4D" w14:textId="77777777" w:rsidTr="008B66B5">
        <w:trPr>
          <w:cantSplit/>
        </w:trPr>
        <w:tc>
          <w:tcPr>
            <w:tcW w:w="1325" w:type="pct"/>
          </w:tcPr>
          <w:p w14:paraId="59B5632A" w14:textId="77777777" w:rsidR="001F04FD" w:rsidRDefault="001F04FD" w:rsidP="00AC4DEE">
            <w:pPr>
              <w:pStyle w:val="TableBody"/>
            </w:pPr>
            <w:r>
              <w:t>NDRTOPTRAMTTOT</w:t>
            </w:r>
          </w:p>
        </w:tc>
        <w:tc>
          <w:tcPr>
            <w:tcW w:w="329" w:type="pct"/>
          </w:tcPr>
          <w:p w14:paraId="1EAA3906" w14:textId="77777777" w:rsidR="001F04FD" w:rsidRDefault="001F04FD" w:rsidP="00AC4DEE">
            <w:pPr>
              <w:pStyle w:val="TableBody"/>
            </w:pPr>
            <w:r>
              <w:t>$</w:t>
            </w:r>
          </w:p>
        </w:tc>
        <w:tc>
          <w:tcPr>
            <w:tcW w:w="3346" w:type="pct"/>
          </w:tcPr>
          <w:p w14:paraId="035A4AD7" w14:textId="77777777" w:rsidR="001F04FD" w:rsidRDefault="001F04FD" w:rsidP="00AC4DEE">
            <w:pPr>
              <w:pStyle w:val="TableBody"/>
              <w:rPr>
                <w:i/>
              </w:rPr>
            </w:pPr>
            <w:r>
              <w:rPr>
                <w:i/>
              </w:rPr>
              <w:t>No DAM Real-Time Option with Refund Amount Total</w:t>
            </w:r>
            <w:r>
              <w:t>—The sum of all payments for PTP Options with Refund settled in Real-Time, when ERCOT is unable to execute the DAM, for the hour that includes the 15-minute Settlement Interval.</w:t>
            </w:r>
          </w:p>
        </w:tc>
      </w:tr>
      <w:tr w:rsidR="001F04FD" w14:paraId="7B8AD24E" w14:textId="77777777" w:rsidTr="008B66B5">
        <w:trPr>
          <w:cantSplit/>
        </w:trPr>
        <w:tc>
          <w:tcPr>
            <w:tcW w:w="1325" w:type="pct"/>
          </w:tcPr>
          <w:p w14:paraId="231F3E5C" w14:textId="77777777" w:rsidR="001F04FD" w:rsidRDefault="001F04FD" w:rsidP="00AC4DEE">
            <w:pPr>
              <w:pStyle w:val="TableBody"/>
            </w:pPr>
            <w:r>
              <w:lastRenderedPageBreak/>
              <w:t>NDRTOBLRAMTTOT</w:t>
            </w:r>
          </w:p>
        </w:tc>
        <w:tc>
          <w:tcPr>
            <w:tcW w:w="329" w:type="pct"/>
          </w:tcPr>
          <w:p w14:paraId="00A80A8B" w14:textId="77777777" w:rsidR="001F04FD" w:rsidRDefault="001F04FD" w:rsidP="00AC4DEE">
            <w:pPr>
              <w:pStyle w:val="TableBody"/>
            </w:pPr>
            <w:r>
              <w:t>$</w:t>
            </w:r>
          </w:p>
        </w:tc>
        <w:tc>
          <w:tcPr>
            <w:tcW w:w="3346" w:type="pct"/>
          </w:tcPr>
          <w:p w14:paraId="49A93609" w14:textId="7D37CA8A" w:rsidR="001F04FD" w:rsidRDefault="001F04FD" w:rsidP="003810AB">
            <w:pPr>
              <w:pStyle w:val="TableBody"/>
              <w:rPr>
                <w:i/>
              </w:rPr>
            </w:pPr>
            <w:r>
              <w:rPr>
                <w:i/>
              </w:rPr>
              <w:t>No DAM Real-Time Obligation with Refund Amount Total</w:t>
            </w:r>
            <w:r>
              <w:t>—The sum of all payments for PTP Obligations with Refund settled in Real-Time, when ERCOT is unable to execute the DAM, for the hour that includes the 15-minute Settlement Interval.</w:t>
            </w:r>
          </w:p>
        </w:tc>
      </w:tr>
      <w:tr w:rsidR="001F04FD" w14:paraId="793B195F"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17B2FA3E" w14:textId="77777777" w:rsidR="001F04FD" w:rsidRDefault="001F04FD" w:rsidP="00AC4DEE">
            <w:pPr>
              <w:pStyle w:val="TableBody"/>
            </w:pPr>
            <w:r>
              <w:t>RTEIAMTQSETOT</w:t>
            </w:r>
            <w:r w:rsidRPr="00E15B17">
              <w:rPr>
                <w:i/>
                <w:vertAlign w:val="subscript"/>
              </w:rPr>
              <w:t xml:space="preserve"> q</w:t>
            </w:r>
          </w:p>
        </w:tc>
        <w:tc>
          <w:tcPr>
            <w:tcW w:w="329" w:type="pct"/>
            <w:tcBorders>
              <w:top w:val="single" w:sz="4" w:space="0" w:color="auto"/>
              <w:left w:val="single" w:sz="4" w:space="0" w:color="auto"/>
              <w:bottom w:val="single" w:sz="4" w:space="0" w:color="auto"/>
              <w:right w:val="single" w:sz="4" w:space="0" w:color="auto"/>
            </w:tcBorders>
          </w:tcPr>
          <w:p w14:paraId="4836D266"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7A325D88"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265AF73B"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6B495229" w14:textId="77777777" w:rsidR="001F04FD" w:rsidRDefault="001F04FD" w:rsidP="00AC4DEE">
            <w:pPr>
              <w:pStyle w:val="TableBody"/>
            </w:pPr>
            <w:r>
              <w:t xml:space="preserve">RTCCAMTQSETOT </w:t>
            </w:r>
            <w:r w:rsidRPr="00E15B17">
              <w:rPr>
                <w:i/>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6E1EA73"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53EC2BD9"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7E254262" w14:textId="77777777" w:rsidTr="008B66B5">
        <w:trPr>
          <w:cantSplit/>
        </w:trPr>
        <w:tc>
          <w:tcPr>
            <w:tcW w:w="1325" w:type="pct"/>
          </w:tcPr>
          <w:p w14:paraId="0ACB4C48" w14:textId="77777777" w:rsidR="001F04FD" w:rsidRDefault="001F04FD" w:rsidP="00AC4DEE">
            <w:pPr>
              <w:pStyle w:val="TableBody"/>
            </w:pPr>
            <w:r>
              <w:t xml:space="preserve">BLTRAMTQSETOT </w:t>
            </w:r>
            <w:r w:rsidRPr="00E15B17">
              <w:rPr>
                <w:i/>
                <w:vertAlign w:val="subscript"/>
              </w:rPr>
              <w:t>q</w:t>
            </w:r>
          </w:p>
        </w:tc>
        <w:tc>
          <w:tcPr>
            <w:tcW w:w="329" w:type="pct"/>
          </w:tcPr>
          <w:p w14:paraId="343A2253" w14:textId="77777777" w:rsidR="001F04FD" w:rsidRDefault="001F04FD" w:rsidP="00AC4DEE">
            <w:pPr>
              <w:pStyle w:val="TableBody"/>
            </w:pPr>
            <w:r>
              <w:t>$</w:t>
            </w:r>
          </w:p>
        </w:tc>
        <w:tc>
          <w:tcPr>
            <w:tcW w:w="3346" w:type="pct"/>
          </w:tcPr>
          <w:p w14:paraId="35439E86" w14:textId="77777777" w:rsidR="001F04FD" w:rsidRDefault="001F04FD" w:rsidP="00AC4DEE">
            <w:pPr>
              <w:pStyle w:val="TableBody"/>
              <w:rPr>
                <w:bCs/>
              </w:rPr>
            </w:pPr>
            <w:r>
              <w:rPr>
                <w:i/>
              </w:rPr>
              <w:t>Block Load Transfer Resource Amount QSE Total per QSE</w:t>
            </w:r>
            <w:r>
              <w:sym w:font="Symbol" w:char="F0BE"/>
            </w:r>
            <w:r>
              <w:t xml:space="preserve">The total of the payments to QSE </w:t>
            </w:r>
            <w:r>
              <w:rPr>
                <w:i/>
              </w:rPr>
              <w:t>q</w:t>
            </w:r>
            <w:r>
              <w:t xml:space="preserve"> for energy delivered into the ERCOT Region through BLT points for the 15-minute Settlement Interval.</w:t>
            </w:r>
          </w:p>
        </w:tc>
      </w:tr>
      <w:tr w:rsidR="001F04FD" w14:paraId="28E71ADB" w14:textId="77777777" w:rsidTr="008B66B5">
        <w:trPr>
          <w:cantSplit/>
        </w:trPr>
        <w:tc>
          <w:tcPr>
            <w:tcW w:w="1325" w:type="pct"/>
          </w:tcPr>
          <w:p w14:paraId="7670A348" w14:textId="77777777" w:rsidR="001F04FD" w:rsidRDefault="001F04FD" w:rsidP="00AC4DEE">
            <w:pPr>
              <w:pStyle w:val="TableBody"/>
            </w:pPr>
            <w:r>
              <w:t xml:space="preserve">RTDCIMPAMTQSETOT </w:t>
            </w:r>
            <w:r w:rsidRPr="00E15B17">
              <w:rPr>
                <w:i/>
                <w:vertAlign w:val="subscript"/>
              </w:rPr>
              <w:t>q</w:t>
            </w:r>
          </w:p>
        </w:tc>
        <w:tc>
          <w:tcPr>
            <w:tcW w:w="329" w:type="pct"/>
          </w:tcPr>
          <w:p w14:paraId="5A3500C2" w14:textId="77777777" w:rsidR="001F04FD" w:rsidRDefault="001F04FD" w:rsidP="00AC4DEE">
            <w:pPr>
              <w:pStyle w:val="TableBody"/>
            </w:pPr>
            <w:r>
              <w:t>$</w:t>
            </w:r>
          </w:p>
        </w:tc>
        <w:tc>
          <w:tcPr>
            <w:tcW w:w="3346" w:type="pct"/>
          </w:tcPr>
          <w:p w14:paraId="3E6AF934"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Region through DC Ties for the 15-minute Settlement Interval.</w:t>
            </w:r>
          </w:p>
        </w:tc>
      </w:tr>
      <w:tr w:rsidR="001F04FD" w14:paraId="2B456E26" w14:textId="77777777" w:rsidTr="008B66B5">
        <w:trPr>
          <w:cantSplit/>
        </w:trPr>
        <w:tc>
          <w:tcPr>
            <w:tcW w:w="1325" w:type="pct"/>
          </w:tcPr>
          <w:p w14:paraId="284C06B9" w14:textId="77777777" w:rsidR="001F04FD" w:rsidRDefault="001F04FD" w:rsidP="00AC4DEE">
            <w:pPr>
              <w:pStyle w:val="TableBody"/>
            </w:pPr>
            <w:r>
              <w:t xml:space="preserve">NDRTOBLAMTOTOT </w:t>
            </w:r>
            <w:r w:rsidRPr="00E15B17">
              <w:rPr>
                <w:i/>
                <w:vertAlign w:val="subscript"/>
              </w:rPr>
              <w:t>o</w:t>
            </w:r>
          </w:p>
        </w:tc>
        <w:tc>
          <w:tcPr>
            <w:tcW w:w="329" w:type="pct"/>
          </w:tcPr>
          <w:p w14:paraId="07AABDD4" w14:textId="77777777" w:rsidR="001F04FD" w:rsidRDefault="001F04FD" w:rsidP="00AC4DEE">
            <w:pPr>
              <w:pStyle w:val="TableBody"/>
            </w:pPr>
            <w:r>
              <w:t>$</w:t>
            </w:r>
          </w:p>
        </w:tc>
        <w:tc>
          <w:tcPr>
            <w:tcW w:w="3346" w:type="pct"/>
          </w:tcPr>
          <w:p w14:paraId="3C412C18" w14:textId="77777777" w:rsidR="001F04FD" w:rsidRDefault="001F04FD" w:rsidP="00AC4DEE">
            <w:pPr>
              <w:pStyle w:val="TableBody"/>
            </w:pPr>
            <w:r>
              <w:rPr>
                <w:i/>
              </w:rPr>
              <w:t>No DAM Real-Time Obligation Amount Owner Total per CRR Owner</w:t>
            </w:r>
            <w:r>
              <w:t xml:space="preserve">—The net total payment or charge to CRR owner </w:t>
            </w:r>
            <w:r>
              <w:rPr>
                <w:i/>
              </w:rPr>
              <w:t>o</w:t>
            </w:r>
            <w:r>
              <w:t xml:space="preserve"> of all its PTP Obligations settled in Real-Time when ERCOT is unable to execute the DAM, for the hour.</w:t>
            </w:r>
          </w:p>
        </w:tc>
      </w:tr>
      <w:tr w:rsidR="001F04FD" w14:paraId="7EC451CF" w14:textId="77777777" w:rsidTr="008B66B5">
        <w:trPr>
          <w:cantSplit/>
        </w:trPr>
        <w:tc>
          <w:tcPr>
            <w:tcW w:w="1325" w:type="pct"/>
          </w:tcPr>
          <w:p w14:paraId="219F664C" w14:textId="77777777" w:rsidR="001F04FD" w:rsidRDefault="001F04FD" w:rsidP="00AC4DEE">
            <w:pPr>
              <w:pStyle w:val="TableBody"/>
            </w:pPr>
            <w:r>
              <w:t xml:space="preserve">NDRTOPTAMTOTOT </w:t>
            </w:r>
            <w:r w:rsidRPr="00E15B17">
              <w:rPr>
                <w:i/>
                <w:vertAlign w:val="subscript"/>
              </w:rPr>
              <w:t>o</w:t>
            </w:r>
          </w:p>
        </w:tc>
        <w:tc>
          <w:tcPr>
            <w:tcW w:w="329" w:type="pct"/>
          </w:tcPr>
          <w:p w14:paraId="7B2437D0" w14:textId="77777777" w:rsidR="001F04FD" w:rsidRDefault="001F04FD" w:rsidP="00AC4DEE">
            <w:pPr>
              <w:pStyle w:val="TableBody"/>
            </w:pPr>
            <w:r>
              <w:t>$</w:t>
            </w:r>
          </w:p>
        </w:tc>
        <w:tc>
          <w:tcPr>
            <w:tcW w:w="3346" w:type="pct"/>
          </w:tcPr>
          <w:p w14:paraId="377E2E55" w14:textId="77777777" w:rsidR="001F04FD" w:rsidRDefault="001F04FD" w:rsidP="00AC4DEE">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r>
      <w:tr w:rsidR="001F04FD" w14:paraId="6BBB01CA" w14:textId="77777777" w:rsidTr="008B66B5">
        <w:trPr>
          <w:cantSplit/>
        </w:trPr>
        <w:tc>
          <w:tcPr>
            <w:tcW w:w="1325" w:type="pct"/>
          </w:tcPr>
          <w:p w14:paraId="4C8377B9" w14:textId="77777777" w:rsidR="001F04FD" w:rsidRDefault="001F04FD" w:rsidP="00AC4DEE">
            <w:pPr>
              <w:pStyle w:val="TableBody"/>
            </w:pPr>
            <w:r>
              <w:t xml:space="preserve">NDRTOPTRAMTOTOT </w:t>
            </w:r>
            <w:r w:rsidRPr="00E15B17">
              <w:rPr>
                <w:i/>
                <w:vertAlign w:val="subscript"/>
              </w:rPr>
              <w:t>o</w:t>
            </w:r>
          </w:p>
        </w:tc>
        <w:tc>
          <w:tcPr>
            <w:tcW w:w="329" w:type="pct"/>
          </w:tcPr>
          <w:p w14:paraId="6A94C20E" w14:textId="77777777" w:rsidR="001F04FD" w:rsidRDefault="001F04FD" w:rsidP="00AC4DEE">
            <w:pPr>
              <w:pStyle w:val="TableBody"/>
            </w:pPr>
            <w:r>
              <w:t>$</w:t>
            </w:r>
          </w:p>
        </w:tc>
        <w:tc>
          <w:tcPr>
            <w:tcW w:w="3346" w:type="pct"/>
          </w:tcPr>
          <w:p w14:paraId="67E588B9" w14:textId="2E04DEC3" w:rsidR="001F04FD" w:rsidRDefault="001F04FD" w:rsidP="00F12B75">
            <w:pPr>
              <w:pStyle w:val="TableBody"/>
            </w:pPr>
            <w:r>
              <w:rPr>
                <w:i/>
              </w:rPr>
              <w:t>No DAM Real-Time Option with Refund Amount Owner Total per CRR Owner</w:t>
            </w:r>
            <w:r>
              <w:t xml:space="preserve">—The total payment to </w:t>
            </w:r>
            <w:r w:rsidR="00F12B75">
              <w:t>Non-Opt-In Entity (</w:t>
            </w:r>
            <w:r>
              <w:t>NOIE</w:t>
            </w:r>
            <w:r w:rsidR="00F12B75">
              <w:t>)</w:t>
            </w:r>
            <w:r>
              <w:t xml:space="preserve"> CRR owner </w:t>
            </w:r>
            <w:r>
              <w:rPr>
                <w:i/>
              </w:rPr>
              <w:t>o</w:t>
            </w:r>
            <w:r>
              <w:t xml:space="preserve"> for all its PTP Options with Refund settled in Real-Time when ERCOT is unable to execute the DAM, for the hour.</w:t>
            </w:r>
          </w:p>
        </w:tc>
      </w:tr>
      <w:tr w:rsidR="001F04FD" w14:paraId="2B08DD18" w14:textId="77777777" w:rsidTr="008B66B5">
        <w:trPr>
          <w:cantSplit/>
        </w:trPr>
        <w:tc>
          <w:tcPr>
            <w:tcW w:w="1325" w:type="pct"/>
          </w:tcPr>
          <w:p w14:paraId="00408165" w14:textId="77777777" w:rsidR="001F04FD" w:rsidRDefault="001F04FD" w:rsidP="00AC4DEE">
            <w:pPr>
              <w:pStyle w:val="TableBody"/>
            </w:pPr>
            <w:r>
              <w:t xml:space="preserve">NDRTOBLRAMTOTOT </w:t>
            </w:r>
            <w:r w:rsidRPr="00E15B17">
              <w:rPr>
                <w:i/>
                <w:vertAlign w:val="subscript"/>
              </w:rPr>
              <w:t>o</w:t>
            </w:r>
          </w:p>
        </w:tc>
        <w:tc>
          <w:tcPr>
            <w:tcW w:w="329" w:type="pct"/>
          </w:tcPr>
          <w:p w14:paraId="45B0BF75" w14:textId="77777777" w:rsidR="001F04FD" w:rsidRDefault="001F04FD" w:rsidP="00AC4DEE">
            <w:pPr>
              <w:pStyle w:val="TableBody"/>
            </w:pPr>
            <w:r>
              <w:t>$</w:t>
            </w:r>
          </w:p>
        </w:tc>
        <w:tc>
          <w:tcPr>
            <w:tcW w:w="3346" w:type="pct"/>
          </w:tcPr>
          <w:p w14:paraId="28ADB516" w14:textId="77777777" w:rsidR="001F04FD" w:rsidRDefault="001F04FD" w:rsidP="00AC4DEE">
            <w:pPr>
              <w:pStyle w:val="TableBody"/>
            </w:pPr>
            <w:r>
              <w:rPr>
                <w:i/>
              </w:rPr>
              <w:t>No DAM Real-Time Obligation with Refund Amount Owner Total per CRR Owner</w:t>
            </w:r>
            <w:r>
              <w:t xml:space="preserve">—The net total payment or charge to CRR owner </w:t>
            </w:r>
            <w:r>
              <w:rPr>
                <w:i/>
              </w:rPr>
              <w:t>o</w:t>
            </w:r>
            <w:r>
              <w:t xml:space="preserve"> for all its PTP Obligations with Refund settled in Real-Time, when ERCOT is unable to execute the DAM, for the hour.</w:t>
            </w:r>
          </w:p>
        </w:tc>
      </w:tr>
      <w:tr w:rsidR="00657819" w14:paraId="767346B2" w14:textId="77777777" w:rsidTr="008B66B5">
        <w:trPr>
          <w:cantSplit/>
        </w:trPr>
        <w:tc>
          <w:tcPr>
            <w:tcW w:w="1325" w:type="pct"/>
          </w:tcPr>
          <w:p w14:paraId="20295A03" w14:textId="156B0B9E" w:rsidR="00657819" w:rsidRDefault="00657819" w:rsidP="00657819">
            <w:pPr>
              <w:pStyle w:val="TableBody"/>
            </w:pPr>
            <w:r w:rsidRPr="00892119">
              <w:t>RTE</w:t>
            </w:r>
            <w:r>
              <w:t>SO</w:t>
            </w:r>
            <w:r w:rsidRPr="00892119">
              <w:t>GAMT</w:t>
            </w:r>
            <w:r>
              <w:t>QSETOT</w:t>
            </w:r>
            <w:r w:rsidRPr="00892119">
              <w:t xml:space="preserve"> </w:t>
            </w:r>
            <w:r w:rsidRPr="00892119">
              <w:rPr>
                <w:i/>
                <w:vertAlign w:val="subscript"/>
              </w:rPr>
              <w:t>q</w:t>
            </w:r>
          </w:p>
        </w:tc>
        <w:tc>
          <w:tcPr>
            <w:tcW w:w="329" w:type="pct"/>
          </w:tcPr>
          <w:p w14:paraId="6D6EF20A" w14:textId="46A979A6" w:rsidR="00657819" w:rsidRDefault="00657819" w:rsidP="00657819">
            <w:pPr>
              <w:pStyle w:val="TableBody"/>
            </w:pPr>
            <w:r w:rsidRPr="00892119">
              <w:rPr>
                <w:bCs/>
              </w:rPr>
              <w:t>$</w:t>
            </w:r>
          </w:p>
        </w:tc>
        <w:tc>
          <w:tcPr>
            <w:tcW w:w="3346" w:type="pct"/>
          </w:tcPr>
          <w:p w14:paraId="54485860" w14:textId="6EACB98E" w:rsidR="00657819" w:rsidRDefault="00657819" w:rsidP="00657819">
            <w:pPr>
              <w:pStyle w:val="TableBody"/>
              <w:rPr>
                <w:i/>
              </w:rPr>
            </w:pPr>
            <w:r w:rsidRPr="00892119">
              <w:rPr>
                <w:i/>
              </w:rPr>
              <w:t xml:space="preserve">Real-Time Energy Payment or Charge per QSE for Energy from </w:t>
            </w:r>
            <w:r w:rsidRPr="00926726">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926726">
              <w:t>SODGs and SOTGs</w:t>
            </w:r>
            <w:r w:rsidRPr="00892119">
              <w:t>, for the 15-minute Settlement Interval.</w:t>
            </w:r>
          </w:p>
        </w:tc>
      </w:tr>
      <w:tr w:rsidR="00657819" w14:paraId="38A69CC7" w14:textId="77777777" w:rsidTr="008B66B5">
        <w:trPr>
          <w:cantSplit/>
        </w:trPr>
        <w:tc>
          <w:tcPr>
            <w:tcW w:w="1325" w:type="pct"/>
          </w:tcPr>
          <w:p w14:paraId="5C4EB570" w14:textId="73577E22" w:rsidR="00657819" w:rsidRDefault="00657819" w:rsidP="00657819">
            <w:pPr>
              <w:pStyle w:val="TableBody"/>
            </w:pPr>
            <w:r w:rsidRPr="00892119">
              <w:t>RTE</w:t>
            </w:r>
            <w:r>
              <w:t>SO</w:t>
            </w:r>
            <w:r w:rsidRPr="00892119">
              <w:t>GAMTTOT</w:t>
            </w:r>
          </w:p>
        </w:tc>
        <w:tc>
          <w:tcPr>
            <w:tcW w:w="329" w:type="pct"/>
          </w:tcPr>
          <w:p w14:paraId="52938060" w14:textId="7E8EE0CC" w:rsidR="00657819" w:rsidRDefault="00657819" w:rsidP="00657819">
            <w:pPr>
              <w:pStyle w:val="TableBody"/>
            </w:pPr>
            <w:r w:rsidRPr="00892119">
              <w:rPr>
                <w:bCs/>
              </w:rPr>
              <w:t>$</w:t>
            </w:r>
          </w:p>
        </w:tc>
        <w:tc>
          <w:tcPr>
            <w:tcW w:w="3346" w:type="pct"/>
          </w:tcPr>
          <w:p w14:paraId="7FB0B1EC" w14:textId="4A52FB74" w:rsidR="00657819" w:rsidRDefault="00657819" w:rsidP="00657819">
            <w:pPr>
              <w:pStyle w:val="TableBody"/>
              <w:rPr>
                <w:i/>
              </w:rPr>
            </w:pPr>
            <w:r w:rsidRPr="00892119">
              <w:rPr>
                <w:i/>
              </w:rPr>
              <w:t xml:space="preserve">Real-Time Energy Amount Total for Energy from all </w:t>
            </w:r>
            <w:r w:rsidRPr="00926726">
              <w:rPr>
                <w:i/>
              </w:rPr>
              <w:t>SODGs and SOTGs</w:t>
            </w:r>
            <w:r w:rsidRPr="00892119">
              <w:rPr>
                <w:i/>
              </w:rPr>
              <w:t xml:space="preserve"> </w:t>
            </w:r>
            <w:r w:rsidRPr="00892119">
              <w:t xml:space="preserve">—The total net payments and charges to all QSEs for Real-Time </w:t>
            </w:r>
            <w:r>
              <w:t>e</w:t>
            </w:r>
            <w:r w:rsidRPr="00892119">
              <w:t xml:space="preserve">nergy from </w:t>
            </w:r>
            <w:r w:rsidRPr="00926726">
              <w:t>SODGs and SOTGs</w:t>
            </w:r>
            <w:r w:rsidRPr="00892119">
              <w:t>, for the 15-minute Settlement Interval.</w:t>
            </w:r>
          </w:p>
        </w:tc>
      </w:tr>
      <w:tr w:rsidR="00C54508" w14:paraId="1FA79B85" w14:textId="77777777" w:rsidTr="008B66B5">
        <w:trPr>
          <w:cantSplit/>
        </w:trPr>
        <w:tc>
          <w:tcPr>
            <w:tcW w:w="5000" w:type="pct"/>
            <w:gridSpan w:val="3"/>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124"/>
            </w:tblGrid>
            <w:tr w:rsidR="00C54508" w14:paraId="0EAFBB43" w14:textId="77777777" w:rsidTr="00F12B75">
              <w:trPr>
                <w:trHeight w:val="206"/>
              </w:trPr>
              <w:tc>
                <w:tcPr>
                  <w:tcW w:w="5000" w:type="pct"/>
                  <w:shd w:val="pct12" w:color="auto" w:fill="auto"/>
                </w:tcPr>
                <w:p w14:paraId="0E169BDE" w14:textId="432A60B2" w:rsidR="00C54508" w:rsidRDefault="00C54508" w:rsidP="00C54508">
                  <w:pPr>
                    <w:pStyle w:val="Instructions"/>
                    <w:spacing w:before="120"/>
                  </w:pPr>
                  <w:r>
                    <w:lastRenderedPageBreak/>
                    <w:t>[</w:t>
                  </w:r>
                  <w:r w:rsidR="00C04382">
                    <w:t>NPRR995</w:t>
                  </w:r>
                  <w:r>
                    <w:t xml:space="preserve">:  </w:t>
                  </w:r>
                  <w:r w:rsidR="00657819">
                    <w:t>Replace</w:t>
                  </w:r>
                  <w:r>
                    <w:t xml:space="preserve"> the variables “</w:t>
                  </w:r>
                  <w:r w:rsidRPr="00C54508">
                    <w:t>RTESO</w:t>
                  </w:r>
                  <w:r w:rsidR="00657819">
                    <w:t>G</w:t>
                  </w:r>
                  <w:r w:rsidRPr="00C54508">
                    <w:t xml:space="preserve">AMTQSETOT </w:t>
                  </w:r>
                  <w:r w:rsidRPr="00C54508">
                    <w:rPr>
                      <w:vertAlign w:val="subscript"/>
                    </w:rPr>
                    <w:t>q</w:t>
                  </w:r>
                  <w:r>
                    <w:t>” and “</w:t>
                  </w:r>
                  <w:r w:rsidRPr="00C54508">
                    <w:t>RTESO</w:t>
                  </w:r>
                  <w:r w:rsidR="00657819">
                    <w:t>G</w:t>
                  </w:r>
                  <w:r w:rsidRPr="00C54508">
                    <w:t>AMTTOT</w:t>
                  </w:r>
                  <w:r>
                    <w:t xml:space="preserve">” </w:t>
                  </w:r>
                  <w:r w:rsidR="00657819">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4"/>
                    <w:gridCol w:w="704"/>
                    <w:gridCol w:w="5846"/>
                  </w:tblGrid>
                  <w:tr w:rsidR="00C54508" w:rsidRPr="0003648D" w14:paraId="73F61A5B" w14:textId="77777777" w:rsidTr="00F12B75">
                    <w:trPr>
                      <w:cantSplit/>
                    </w:trPr>
                    <w:tc>
                      <w:tcPr>
                        <w:tcW w:w="1314" w:type="pct"/>
                        <w:tcBorders>
                          <w:bottom w:val="single" w:sz="4" w:space="0" w:color="auto"/>
                        </w:tcBorders>
                      </w:tcPr>
                      <w:p w14:paraId="14664554" w14:textId="30699AB1" w:rsidR="00C54508" w:rsidRPr="0003648D" w:rsidRDefault="00C54508" w:rsidP="00C54508">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327E6B67"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36EB17A0" w14:textId="61767094" w:rsidR="00C54508" w:rsidRPr="0003648D" w:rsidRDefault="00C54508" w:rsidP="00C54508">
                        <w:pPr>
                          <w:pStyle w:val="tablebody0"/>
                          <w:rPr>
                            <w:i/>
                          </w:rPr>
                        </w:pPr>
                        <w:r w:rsidRPr="00892119">
                          <w:rPr>
                            <w:i/>
                          </w:rPr>
                          <w:t xml:space="preserve">Real-Time Energy Payment or Charge per QSE for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926726">
                          <w:t>SODGs</w:t>
                        </w:r>
                        <w:r w:rsidR="00C04382">
                          <w:t>,</w:t>
                        </w:r>
                        <w:r w:rsidRPr="00926726">
                          <w:t xml:space="preserve"> SOTGs</w:t>
                        </w:r>
                        <w:r w:rsidR="00C04382">
                          <w:t>, SODESSs, or SOTESSs</w:t>
                        </w:r>
                        <w:r w:rsidRPr="00892119">
                          <w:t>, for the 15-minute Settlement Interval.</w:t>
                        </w:r>
                      </w:p>
                    </w:tc>
                  </w:tr>
                  <w:tr w:rsidR="00C54508" w:rsidRPr="0003648D" w14:paraId="2B1516C5" w14:textId="77777777" w:rsidTr="00F12B75">
                    <w:trPr>
                      <w:cantSplit/>
                    </w:trPr>
                    <w:tc>
                      <w:tcPr>
                        <w:tcW w:w="1314" w:type="pct"/>
                        <w:tcBorders>
                          <w:bottom w:val="single" w:sz="4" w:space="0" w:color="auto"/>
                        </w:tcBorders>
                      </w:tcPr>
                      <w:p w14:paraId="435E0EF8" w14:textId="17C9C279" w:rsidR="00C54508" w:rsidRPr="0003648D" w:rsidRDefault="00C54508" w:rsidP="00C54508">
                        <w:pPr>
                          <w:pStyle w:val="tablebody0"/>
                        </w:pPr>
                        <w:r w:rsidRPr="00892119">
                          <w:t>RTE</w:t>
                        </w:r>
                        <w:r>
                          <w:t>SO</w:t>
                        </w:r>
                        <w:r w:rsidRPr="00892119">
                          <w:t>AMTTOT</w:t>
                        </w:r>
                      </w:p>
                    </w:tc>
                    <w:tc>
                      <w:tcPr>
                        <w:tcW w:w="396" w:type="pct"/>
                        <w:tcBorders>
                          <w:bottom w:val="single" w:sz="4" w:space="0" w:color="auto"/>
                        </w:tcBorders>
                      </w:tcPr>
                      <w:p w14:paraId="0A7107F4"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2D4AD689" w14:textId="5B895707" w:rsidR="00C54508" w:rsidRPr="0003648D" w:rsidRDefault="00C54508" w:rsidP="00C54508">
                        <w:pPr>
                          <w:pStyle w:val="tablebody0"/>
                          <w:rPr>
                            <w:i/>
                          </w:rPr>
                        </w:pPr>
                        <w:r w:rsidRPr="00892119">
                          <w:rPr>
                            <w:i/>
                          </w:rPr>
                          <w:t xml:space="preserve">Real-Time Energy Amount Total from all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 xml:space="preserve">nergy from </w:t>
                        </w:r>
                        <w:r w:rsidRPr="00926726">
                          <w:t>SODGs</w:t>
                        </w:r>
                        <w:r w:rsidR="00C04382">
                          <w:t>,</w:t>
                        </w:r>
                        <w:r w:rsidRPr="00926726">
                          <w:t xml:space="preserve"> SOTGs</w:t>
                        </w:r>
                        <w:r w:rsidR="00C04382">
                          <w:t>, SODESSs, or SOTESSs</w:t>
                        </w:r>
                        <w:r w:rsidRPr="00892119">
                          <w:t>, for the 15-minute Settlement Interval.</w:t>
                        </w:r>
                      </w:p>
                    </w:tc>
                  </w:tr>
                </w:tbl>
                <w:p w14:paraId="6317449A" w14:textId="77777777" w:rsidR="00C54508" w:rsidRPr="00AF45BD" w:rsidRDefault="00C54508" w:rsidP="00C54508">
                  <w:pPr>
                    <w:pStyle w:val="tablebody0"/>
                    <w:rPr>
                      <w:i/>
                    </w:rPr>
                  </w:pPr>
                </w:p>
              </w:tc>
            </w:tr>
          </w:tbl>
          <w:p w14:paraId="06AFC1B9" w14:textId="77777777" w:rsidR="00C54508" w:rsidRDefault="00C54508" w:rsidP="00AC4DEE">
            <w:pPr>
              <w:pStyle w:val="TableBody"/>
            </w:pPr>
          </w:p>
        </w:tc>
      </w:tr>
      <w:tr w:rsidR="001F04FD" w14:paraId="7F6C3942" w14:textId="77777777" w:rsidTr="008B66B5">
        <w:trPr>
          <w:cantSplit/>
        </w:trPr>
        <w:tc>
          <w:tcPr>
            <w:tcW w:w="1325" w:type="pct"/>
          </w:tcPr>
          <w:p w14:paraId="7C05F177" w14:textId="77777777" w:rsidR="001F04FD" w:rsidRDefault="001F04FD" w:rsidP="00AC4DEE">
            <w:pPr>
              <w:pStyle w:val="TableBody"/>
            </w:pPr>
            <w:r>
              <w:t xml:space="preserve">LRS </w:t>
            </w:r>
            <w:r w:rsidRPr="00E15B17">
              <w:rPr>
                <w:i/>
                <w:vertAlign w:val="subscript"/>
              </w:rPr>
              <w:t>q</w:t>
            </w:r>
          </w:p>
        </w:tc>
        <w:tc>
          <w:tcPr>
            <w:tcW w:w="329" w:type="pct"/>
          </w:tcPr>
          <w:p w14:paraId="0B0D4C42" w14:textId="77777777" w:rsidR="001F04FD" w:rsidRDefault="001F04FD" w:rsidP="00AC4DEE">
            <w:pPr>
              <w:pStyle w:val="TableBody"/>
            </w:pPr>
            <w:r>
              <w:t>none</w:t>
            </w:r>
          </w:p>
        </w:tc>
        <w:tc>
          <w:tcPr>
            <w:tcW w:w="3346" w:type="pct"/>
          </w:tcPr>
          <w:p w14:paraId="1833345B" w14:textId="7D47CCEC" w:rsidR="001F04FD" w:rsidRDefault="001F04FD" w:rsidP="00F12B75">
            <w:pPr>
              <w:pStyle w:val="TableBody"/>
            </w:pPr>
            <w:r>
              <w:t xml:space="preserve">The LRS calculated for QSE </w:t>
            </w:r>
            <w:r>
              <w:rPr>
                <w:i/>
              </w:rPr>
              <w:t>q</w:t>
            </w:r>
            <w:r>
              <w:t xml:space="preserve"> for the 15-minute Settlement Interval.  See Section 6.6.2.2.</w:t>
            </w:r>
          </w:p>
        </w:tc>
      </w:tr>
      <w:tr w:rsidR="001F04FD" w14:paraId="1E783409" w14:textId="77777777" w:rsidTr="008B66B5">
        <w:trPr>
          <w:cantSplit/>
        </w:trPr>
        <w:tc>
          <w:tcPr>
            <w:tcW w:w="1325" w:type="pct"/>
          </w:tcPr>
          <w:p w14:paraId="75DD8DA3" w14:textId="77777777" w:rsidR="001F04FD" w:rsidRPr="00E15B17" w:rsidRDefault="001F04FD" w:rsidP="00AC4DEE">
            <w:pPr>
              <w:pStyle w:val="TableBody"/>
              <w:rPr>
                <w:i/>
              </w:rPr>
            </w:pPr>
            <w:r w:rsidRPr="00E15B17">
              <w:rPr>
                <w:i/>
              </w:rPr>
              <w:t>q</w:t>
            </w:r>
          </w:p>
        </w:tc>
        <w:tc>
          <w:tcPr>
            <w:tcW w:w="329" w:type="pct"/>
          </w:tcPr>
          <w:p w14:paraId="4F8F9F60" w14:textId="77777777" w:rsidR="001F04FD" w:rsidRDefault="001F04FD" w:rsidP="00AC4DEE">
            <w:pPr>
              <w:pStyle w:val="TableBody"/>
              <w:rPr>
                <w:bCs/>
              </w:rPr>
            </w:pPr>
            <w:r>
              <w:rPr>
                <w:bCs/>
              </w:rPr>
              <w:t>none</w:t>
            </w:r>
          </w:p>
        </w:tc>
        <w:tc>
          <w:tcPr>
            <w:tcW w:w="3346" w:type="pct"/>
          </w:tcPr>
          <w:p w14:paraId="53E1F4C6" w14:textId="77777777" w:rsidR="001F04FD" w:rsidRDefault="001F04FD" w:rsidP="00AC4DEE">
            <w:pPr>
              <w:pStyle w:val="TableBody"/>
              <w:rPr>
                <w:bCs/>
              </w:rPr>
            </w:pPr>
            <w:r>
              <w:rPr>
                <w:bCs/>
              </w:rPr>
              <w:t>A QSE.</w:t>
            </w:r>
          </w:p>
        </w:tc>
      </w:tr>
      <w:tr w:rsidR="001F04FD" w14:paraId="786FED27"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04710A86" w14:textId="77777777" w:rsidR="001F04FD" w:rsidRPr="00E15B17" w:rsidRDefault="001F04FD" w:rsidP="00AC4DEE">
            <w:pPr>
              <w:pStyle w:val="TableBody"/>
              <w:rPr>
                <w:i/>
              </w:rPr>
            </w:pPr>
            <w:r w:rsidRPr="00E15B17">
              <w:rPr>
                <w:i/>
              </w:rPr>
              <w:t>o</w:t>
            </w:r>
          </w:p>
        </w:tc>
        <w:tc>
          <w:tcPr>
            <w:tcW w:w="329" w:type="pct"/>
            <w:tcBorders>
              <w:top w:val="single" w:sz="4" w:space="0" w:color="auto"/>
              <w:left w:val="single" w:sz="4" w:space="0" w:color="auto"/>
              <w:bottom w:val="single" w:sz="4" w:space="0" w:color="auto"/>
              <w:right w:val="single" w:sz="4" w:space="0" w:color="auto"/>
            </w:tcBorders>
          </w:tcPr>
          <w:p w14:paraId="7FAD7491" w14:textId="77777777" w:rsidR="001F04FD" w:rsidRDefault="001F04FD" w:rsidP="00AC4DEE">
            <w:pPr>
              <w:pStyle w:val="TableBody"/>
              <w:rPr>
                <w:bCs/>
              </w:rPr>
            </w:pPr>
            <w:r>
              <w:rPr>
                <w:bCs/>
              </w:rPr>
              <w:t>none</w:t>
            </w:r>
          </w:p>
        </w:tc>
        <w:tc>
          <w:tcPr>
            <w:tcW w:w="3346" w:type="pct"/>
            <w:tcBorders>
              <w:top w:val="single" w:sz="4" w:space="0" w:color="auto"/>
              <w:left w:val="single" w:sz="4" w:space="0" w:color="auto"/>
              <w:bottom w:val="single" w:sz="4" w:space="0" w:color="auto"/>
              <w:right w:val="single" w:sz="4" w:space="0" w:color="auto"/>
            </w:tcBorders>
          </w:tcPr>
          <w:p w14:paraId="3C5DE03A" w14:textId="77777777" w:rsidR="001F04FD" w:rsidRDefault="001F04FD" w:rsidP="00AC4DEE">
            <w:pPr>
              <w:pStyle w:val="TableBody"/>
              <w:rPr>
                <w:bCs/>
              </w:rPr>
            </w:pPr>
            <w:r>
              <w:rPr>
                <w:bCs/>
              </w:rPr>
              <w:t>A CRR Owner.</w:t>
            </w:r>
          </w:p>
        </w:tc>
      </w:tr>
    </w:tbl>
    <w:p w14:paraId="78E9FA6F" w14:textId="77777777" w:rsidR="001F04FD" w:rsidRDefault="001F04FD" w:rsidP="001F04FD">
      <w:pPr>
        <w:pStyle w:val="H3"/>
        <w:spacing w:before="480"/>
      </w:pPr>
      <w:bookmarkStart w:id="2598" w:name="_Toc164659241"/>
      <w:bookmarkStart w:id="2599" w:name="_Toc397505042"/>
      <w:bookmarkStart w:id="2600" w:name="_Toc402357174"/>
      <w:bookmarkStart w:id="2601" w:name="_Toc422486554"/>
      <w:bookmarkStart w:id="2602" w:name="_Toc433093407"/>
      <w:bookmarkStart w:id="2603" w:name="_Toc433093565"/>
      <w:bookmarkStart w:id="2604" w:name="_Toc440874795"/>
      <w:bookmarkStart w:id="2605" w:name="_Toc448142352"/>
      <w:bookmarkStart w:id="2606" w:name="_Toc448142509"/>
      <w:bookmarkStart w:id="2607" w:name="_Toc458770350"/>
      <w:bookmarkStart w:id="2608" w:name="_Toc459294318"/>
      <w:bookmarkStart w:id="2609" w:name="_Toc463262812"/>
      <w:bookmarkStart w:id="2610" w:name="_Toc468286885"/>
      <w:bookmarkStart w:id="2611" w:name="_Toc481502925"/>
      <w:bookmarkStart w:id="2612" w:name="_Toc496080093"/>
      <w:bookmarkStart w:id="2613" w:name="_Toc189044472"/>
      <w:r>
        <w:t>6.6.11</w:t>
      </w:r>
      <w:r>
        <w:tab/>
        <w:t>Emergency Response Service Capacity</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14:paraId="43396B89" w14:textId="77777777" w:rsidR="001F04FD" w:rsidRDefault="001F04FD" w:rsidP="001F04FD">
      <w:pPr>
        <w:pStyle w:val="H4"/>
        <w:ind w:left="1267" w:hanging="1267"/>
      </w:pPr>
      <w:bookmarkStart w:id="2614" w:name="_Toc397505043"/>
      <w:bookmarkStart w:id="2615" w:name="_Toc402357175"/>
      <w:bookmarkStart w:id="2616" w:name="_Toc422486555"/>
      <w:bookmarkStart w:id="2617" w:name="_Toc433093408"/>
      <w:bookmarkStart w:id="2618" w:name="_Toc433093566"/>
      <w:bookmarkStart w:id="2619" w:name="_Toc440874796"/>
      <w:bookmarkStart w:id="2620" w:name="_Toc448142353"/>
      <w:bookmarkStart w:id="2621" w:name="_Toc448142510"/>
      <w:bookmarkStart w:id="2622" w:name="_Toc458770351"/>
      <w:bookmarkStart w:id="2623" w:name="_Toc459294319"/>
      <w:bookmarkStart w:id="2624" w:name="_Toc463262813"/>
      <w:bookmarkStart w:id="2625" w:name="_Toc468286886"/>
      <w:bookmarkStart w:id="2626" w:name="_Toc481502926"/>
      <w:bookmarkStart w:id="2627" w:name="_Toc496080094"/>
      <w:bookmarkStart w:id="2628" w:name="_Toc189044473"/>
      <w:r>
        <w:t>6.6.11.1</w:t>
      </w:r>
      <w:r>
        <w:tab/>
        <w:t>Emergency Response Service Capacity Payments</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0CDF4050" w14:textId="77777777" w:rsidR="001F04FD" w:rsidRDefault="001F04FD" w:rsidP="001F04FD">
      <w:pPr>
        <w:pStyle w:val="BodyText"/>
        <w:ind w:left="720" w:hanging="720"/>
      </w:pPr>
      <w:r>
        <w:t>(1)</w:t>
      </w:r>
      <w:r>
        <w:tab/>
        <w:t>ERCOT shall pay, for each Emergency Response Service (ERS) Contract Period, the QSEs representing ERS Resources as follows:</w:t>
      </w:r>
    </w:p>
    <w:p w14:paraId="6BB2F2DC" w14:textId="77777777" w:rsidR="001F04FD" w:rsidRPr="00171229" w:rsidRDefault="001F04FD" w:rsidP="001F04FD">
      <w:pPr>
        <w:pStyle w:val="FormulaBold"/>
        <w:rPr>
          <w:i/>
          <w:vertAlign w:val="subscript"/>
        </w:rPr>
      </w:pPr>
      <w:r>
        <w:t>ERSPAMT </w:t>
      </w:r>
      <w:r w:rsidRPr="00171229">
        <w:rPr>
          <w:i/>
          <w:vertAlign w:val="subscript"/>
        </w:rPr>
        <w:t>qc(tp)</w:t>
      </w:r>
      <w:r>
        <w:rPr>
          <w:i/>
          <w:vertAlign w:val="subscript"/>
        </w:rPr>
        <w:t>d</w:t>
      </w:r>
      <w:r w:rsidRPr="00171229">
        <w:rPr>
          <w:rFonts w:ascii="Times New Roman Bold" w:hAnsi="Times New Roman Bold"/>
        </w:rPr>
        <w:t xml:space="preserve"> = COMPAMT</w:t>
      </w:r>
      <w:r>
        <w:t> </w:t>
      </w:r>
      <w:r w:rsidRPr="00171229">
        <w:rPr>
          <w:i/>
          <w:vertAlign w:val="subscript"/>
        </w:rPr>
        <w:t>qc(tp)</w:t>
      </w:r>
      <w:r>
        <w:rPr>
          <w:i/>
          <w:vertAlign w:val="subscript"/>
        </w:rPr>
        <w:t>d</w:t>
      </w:r>
      <w:r w:rsidRPr="00171229">
        <w:rPr>
          <w:i/>
          <w:vertAlign w:val="subscript"/>
        </w:rPr>
        <w:t xml:space="preserve"> </w:t>
      </w:r>
      <w:r w:rsidRPr="00171229">
        <w:rPr>
          <w:i/>
        </w:rPr>
        <w:t>+</w:t>
      </w:r>
      <w:r w:rsidRPr="00171229">
        <w:rPr>
          <w:lang w:val="pt-BR"/>
        </w:rPr>
        <w:t xml:space="preserve"> SPAMT </w:t>
      </w:r>
      <w:r w:rsidRPr="00171229">
        <w:rPr>
          <w:i/>
          <w:vertAlign w:val="subscript"/>
        </w:rPr>
        <w:t>qc(tp)</w:t>
      </w:r>
      <w:r>
        <w:rPr>
          <w:i/>
          <w:vertAlign w:val="subscript"/>
        </w:rPr>
        <w:t>d</w:t>
      </w:r>
    </w:p>
    <w:p w14:paraId="4B1BCBCC" w14:textId="77777777" w:rsidR="001F04FD" w:rsidRPr="00171229" w:rsidRDefault="001F04FD" w:rsidP="001F04FD">
      <w:pPr>
        <w:pStyle w:val="FormulaBold"/>
        <w:rPr>
          <w:i/>
          <w:vertAlign w:val="subscript"/>
        </w:rPr>
      </w:pPr>
      <w:r>
        <w:t>ERSPAMTQSETOT </w:t>
      </w:r>
      <w:r w:rsidRPr="00171229">
        <w:rPr>
          <w:i/>
          <w:vertAlign w:val="subscript"/>
        </w:rPr>
        <w:t>q</w:t>
      </w:r>
      <w:r>
        <w:rPr>
          <w:i/>
          <w:vertAlign w:val="subscript"/>
        </w:rPr>
        <w:t>cd</w:t>
      </w:r>
      <w:r w:rsidRPr="00171229">
        <w:rPr>
          <w:rFonts w:ascii="Times New Roman Bold" w:hAnsi="Times New Roman Bold"/>
        </w:rPr>
        <w:t xml:space="preserve"> = </w:t>
      </w:r>
      <w:r w:rsidRPr="00171229">
        <w:rPr>
          <w:position w:val="-30"/>
        </w:rPr>
        <w:object w:dxaOrig="465" w:dyaOrig="720" w14:anchorId="0504AD39">
          <v:shape id="_x0000_i1284" type="#_x0000_t75" style="width:18pt;height:36pt" o:ole="">
            <v:imagedata r:id="rId349" o:title=""/>
          </v:shape>
          <o:OLEObject Type="Embed" ProgID="Equation.3" ShapeID="_x0000_i1284" DrawAspect="Content" ObjectID="_1804653768" r:id="rId350"/>
        </w:object>
      </w:r>
      <w:r>
        <w:t>ERSPAMT </w:t>
      </w:r>
      <w:r w:rsidRPr="00171229">
        <w:rPr>
          <w:i/>
          <w:vertAlign w:val="subscript"/>
        </w:rPr>
        <w:t>qc(tp)</w:t>
      </w:r>
      <w:r>
        <w:rPr>
          <w:i/>
          <w:vertAlign w:val="subscript"/>
        </w:rPr>
        <w:t>d</w:t>
      </w:r>
    </w:p>
    <w:p w14:paraId="04661DEA" w14:textId="77777777" w:rsidR="001F04FD" w:rsidRPr="00171229" w:rsidRDefault="001F04FD" w:rsidP="001F04FD">
      <w:pPr>
        <w:pStyle w:val="FormulaBold"/>
        <w:rPr>
          <w:i/>
          <w:vertAlign w:val="subscript"/>
        </w:rPr>
      </w:pPr>
      <w:r>
        <w:t>ERSPAMTTOT </w:t>
      </w:r>
      <w:r w:rsidRPr="00171229">
        <w:rPr>
          <w:i/>
          <w:vertAlign w:val="subscript"/>
        </w:rPr>
        <w:t>c(tp)</w:t>
      </w:r>
      <w:r>
        <w:rPr>
          <w:i/>
          <w:vertAlign w:val="subscript"/>
        </w:rPr>
        <w:t>d</w:t>
      </w:r>
      <w:r w:rsidRPr="00171229">
        <w:rPr>
          <w:rFonts w:ascii="Times New Roman Bold" w:hAnsi="Times New Roman Bold"/>
        </w:rPr>
        <w:t xml:space="preserve"> = </w:t>
      </w:r>
      <w:r w:rsidRPr="00171229">
        <w:rPr>
          <w:position w:val="-30"/>
        </w:rPr>
        <w:object w:dxaOrig="465" w:dyaOrig="720" w14:anchorId="1F761B15">
          <v:shape id="_x0000_i1285" type="#_x0000_t75" style="width:18pt;height:36pt" o:ole="">
            <v:imagedata r:id="rId351" o:title=""/>
          </v:shape>
          <o:OLEObject Type="Embed" ProgID="Equation.3" ShapeID="_x0000_i1285" DrawAspect="Content" ObjectID="_1804653769" r:id="rId352"/>
        </w:object>
      </w:r>
      <w:r>
        <w:t>ERSPAMT </w:t>
      </w:r>
      <w:r w:rsidRPr="00171229">
        <w:rPr>
          <w:i/>
          <w:vertAlign w:val="subscript"/>
        </w:rPr>
        <w:t>qc(tp)</w:t>
      </w:r>
      <w:r>
        <w:rPr>
          <w:i/>
          <w:vertAlign w:val="subscript"/>
        </w:rPr>
        <w:t>d</w:t>
      </w:r>
    </w:p>
    <w:p w14:paraId="5C965473" w14:textId="77777777" w:rsidR="001F04FD" w:rsidRDefault="001F04FD" w:rsidP="001F04FD">
      <w:pPr>
        <w:pStyle w:val="BodyText"/>
      </w:pPr>
      <w:r>
        <w:t>Where:</w:t>
      </w:r>
    </w:p>
    <w:p w14:paraId="0E32B3B2" w14:textId="77777777" w:rsidR="001F04FD" w:rsidRPr="001A3201" w:rsidRDefault="001F04FD" w:rsidP="001F04FD">
      <w:pPr>
        <w:pStyle w:val="FormulaBold"/>
        <w:rPr>
          <w:b w:val="0"/>
        </w:rPr>
      </w:pPr>
      <w:r w:rsidRPr="002600B6">
        <w:rPr>
          <w:b w:val="0"/>
        </w:rPr>
        <w:t xml:space="preserve">COMPAMT </w:t>
      </w:r>
      <w:r w:rsidRPr="001A3201">
        <w:rPr>
          <w:b w:val="0"/>
          <w:i/>
          <w:vertAlign w:val="subscript"/>
        </w:rPr>
        <w:t>qc(tp)d</w:t>
      </w:r>
      <w:r w:rsidRPr="001A3201">
        <w:rPr>
          <w:b w:val="0"/>
        </w:rPr>
        <w:t xml:space="preserve"> = -1 * ERSPRICE </w:t>
      </w:r>
      <w:r w:rsidRPr="001A3201">
        <w:rPr>
          <w:b w:val="0"/>
          <w:i/>
          <w:vertAlign w:val="subscript"/>
        </w:rPr>
        <w:t>qc(tp)d</w:t>
      </w:r>
      <w:r w:rsidRPr="001A3201">
        <w:rPr>
          <w:b w:val="0"/>
        </w:rPr>
        <w:t xml:space="preserve"> * COMPDELQSEMW </w:t>
      </w:r>
      <w:r w:rsidRPr="001A3201">
        <w:rPr>
          <w:b w:val="0"/>
          <w:i/>
          <w:vertAlign w:val="subscript"/>
        </w:rPr>
        <w:t>qcd(tp)d</w:t>
      </w:r>
      <w:r w:rsidRPr="001A3201">
        <w:rPr>
          <w:b w:val="0"/>
        </w:rPr>
        <w:t>* TPH </w:t>
      </w:r>
      <w:r w:rsidRPr="001A3201">
        <w:rPr>
          <w:b w:val="0"/>
          <w:i/>
          <w:vertAlign w:val="subscript"/>
        </w:rPr>
        <w:t>c(tp)d</w:t>
      </w:r>
    </w:p>
    <w:p w14:paraId="4A246711" w14:textId="77777777" w:rsidR="001F04FD" w:rsidRPr="001A3201" w:rsidRDefault="001F04FD" w:rsidP="001F04FD">
      <w:pPr>
        <w:pStyle w:val="FormulaBold"/>
        <w:rPr>
          <w:b w:val="0"/>
        </w:rPr>
      </w:pPr>
      <w:r w:rsidRPr="001A3201">
        <w:rPr>
          <w:b w:val="0"/>
          <w:bCs w:val="0"/>
          <w:lang w:val="pt-BR"/>
        </w:rPr>
        <w:t xml:space="preserve">SPAMT </w:t>
      </w:r>
      <w:r w:rsidRPr="001A3201">
        <w:rPr>
          <w:b w:val="0"/>
          <w:bCs w:val="0"/>
          <w:i/>
          <w:vertAlign w:val="subscript"/>
        </w:rPr>
        <w:t>qc(tp)d</w:t>
      </w:r>
      <w:r w:rsidRPr="001A3201">
        <w:rPr>
          <w:b w:val="0"/>
          <w:bCs w:val="0"/>
        </w:rPr>
        <w:t xml:space="preserve"> = -1 * (</w:t>
      </w:r>
      <w:r w:rsidRPr="001A3201">
        <w:rPr>
          <w:b w:val="0"/>
        </w:rPr>
        <w:t>ERSPRICE </w:t>
      </w:r>
      <w:r w:rsidRPr="001A3201">
        <w:rPr>
          <w:b w:val="0"/>
          <w:i/>
          <w:vertAlign w:val="subscript"/>
        </w:rPr>
        <w:t xml:space="preserve"> qc(tp)d </w:t>
      </w:r>
      <w:r w:rsidRPr="001A3201">
        <w:rPr>
          <w:b w:val="0"/>
          <w:i/>
        </w:rPr>
        <w:t xml:space="preserve">* </w:t>
      </w:r>
      <w:r w:rsidRPr="001A3201">
        <w:rPr>
          <w:b w:val="0"/>
          <w:i/>
          <w:vertAlign w:val="subscript"/>
        </w:rPr>
        <w:t xml:space="preserve"> </w:t>
      </w:r>
      <w:r w:rsidRPr="001A3201">
        <w:rPr>
          <w:b w:val="0"/>
          <w:bCs w:val="0"/>
        </w:rPr>
        <w:t xml:space="preserve">(Min(SPCUL </w:t>
      </w:r>
      <w:r w:rsidRPr="001A3201">
        <w:rPr>
          <w:b w:val="0"/>
          <w:bCs w:val="0"/>
          <w:i/>
          <w:vertAlign w:val="subscript"/>
        </w:rPr>
        <w:t>qc(tp)d,</w:t>
      </w:r>
      <w:r w:rsidRPr="001A3201">
        <w:rPr>
          <w:b w:val="0"/>
          <w:bCs w:val="0"/>
        </w:rPr>
        <w:t xml:space="preserve"> SPDELQSEMW </w:t>
      </w:r>
      <w:r w:rsidRPr="001A3201">
        <w:rPr>
          <w:b w:val="0"/>
          <w:bCs w:val="0"/>
          <w:i/>
          <w:vertAlign w:val="subscript"/>
        </w:rPr>
        <w:t>qc(tp)d</w:t>
      </w:r>
      <w:r w:rsidRPr="001A3201">
        <w:rPr>
          <w:b w:val="0"/>
          <w:bCs w:val="0"/>
        </w:rPr>
        <w:t>)</w:t>
      </w:r>
      <w:r w:rsidRPr="001A3201">
        <w:rPr>
          <w:b w:val="0"/>
          <w:bCs w:val="0"/>
          <w:i/>
        </w:rPr>
        <w:t xml:space="preserve">* </w:t>
      </w:r>
      <w:r w:rsidRPr="001A3201">
        <w:rPr>
          <w:b w:val="0"/>
          <w:bCs w:val="0"/>
        </w:rPr>
        <w:t>TPH </w:t>
      </w:r>
      <w:r w:rsidRPr="001A3201">
        <w:rPr>
          <w:b w:val="0"/>
          <w:bCs w:val="0"/>
          <w:i/>
          <w:vertAlign w:val="subscript"/>
        </w:rPr>
        <w:t>c(tp)d</w:t>
      </w:r>
      <w:r w:rsidRPr="001A3201">
        <w:rPr>
          <w:b w:val="0"/>
          <w:bCs w:val="0"/>
        </w:rPr>
        <w:t>)</w:t>
      </w:r>
    </w:p>
    <w:p w14:paraId="7192C1E0" w14:textId="68BCED3E" w:rsidR="001F04FD" w:rsidRPr="001A3201" w:rsidRDefault="001F04FD" w:rsidP="001F04FD">
      <w:pPr>
        <w:pStyle w:val="FormulaBold"/>
        <w:rPr>
          <w:b w:val="0"/>
        </w:rPr>
      </w:pPr>
      <w:r w:rsidRPr="001A3201">
        <w:rPr>
          <w:b w:val="0"/>
          <w:bCs w:val="0"/>
        </w:rPr>
        <w:t>COMPDELQSEMW </w:t>
      </w:r>
      <w:r w:rsidRPr="001A3201">
        <w:rPr>
          <w:b w:val="0"/>
          <w:bCs w:val="0"/>
          <w:i/>
          <w:vertAlign w:val="subscript"/>
        </w:rPr>
        <w:t xml:space="preserve">qc(tp)d </w:t>
      </w:r>
      <w:r w:rsidRPr="001A3201">
        <w:rPr>
          <w:b w:val="0"/>
          <w:bCs w:val="0"/>
        </w:rPr>
        <w:t xml:space="preserve"> = </w:t>
      </w:r>
      <w:r w:rsidR="00A94020">
        <w:rPr>
          <w:b w:val="0"/>
          <w:noProof/>
          <w:position w:val="-28"/>
        </w:rPr>
        <w:drawing>
          <wp:inline distT="0" distB="0" distL="0" distR="0" wp14:anchorId="10F9B106" wp14:editId="69CC96AA">
            <wp:extent cx="295275" cy="428625"/>
            <wp:effectExtent l="0" t="0" r="0" b="952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 w:val="0"/>
          <w:bCs w:val="0"/>
        </w:rPr>
        <w:t>COMPDELMW </w:t>
      </w:r>
      <w:r w:rsidRPr="001A3201">
        <w:rPr>
          <w:b w:val="0"/>
          <w:bCs w:val="0"/>
          <w:i/>
          <w:vertAlign w:val="subscript"/>
        </w:rPr>
        <w:t>qce(tp)d</w:t>
      </w:r>
    </w:p>
    <w:p w14:paraId="2624B240" w14:textId="77777777" w:rsidR="001F04FD" w:rsidRPr="001A3201" w:rsidRDefault="001F04FD" w:rsidP="001F04FD">
      <w:pPr>
        <w:pStyle w:val="FormulaBold"/>
        <w:rPr>
          <w:b w:val="0"/>
          <w:i/>
          <w:vertAlign w:val="subscript"/>
        </w:rPr>
      </w:pPr>
      <w:r w:rsidRPr="001A3201">
        <w:rPr>
          <w:b w:val="0"/>
        </w:rPr>
        <w:t>COMPDELMWTOT </w:t>
      </w:r>
      <w:r w:rsidRPr="001A3201">
        <w:rPr>
          <w:b w:val="0"/>
          <w:i/>
          <w:vertAlign w:val="subscript"/>
        </w:rPr>
        <w:t>c(tp)d</w:t>
      </w:r>
      <w:r w:rsidRPr="001A3201">
        <w:rPr>
          <w:b w:val="0"/>
        </w:rPr>
        <w:t xml:space="preserve"> = </w:t>
      </w:r>
      <w:r w:rsidRPr="00A33C4E">
        <w:rPr>
          <w:b w:val="0"/>
          <w:position w:val="-30"/>
        </w:rPr>
        <w:object w:dxaOrig="465" w:dyaOrig="705" w14:anchorId="5608F617">
          <v:shape id="_x0000_i1286" type="#_x0000_t75" style="width:18pt;height:36pt" o:ole="">
            <v:imagedata r:id="rId354" o:title=""/>
          </v:shape>
          <o:OLEObject Type="Embed" ProgID="Equation.3" ShapeID="_x0000_i1286" DrawAspect="Content" ObjectID="_1804653770" r:id="rId355"/>
        </w:object>
      </w:r>
      <w:r w:rsidRPr="001A3201">
        <w:rPr>
          <w:b w:val="0"/>
        </w:rPr>
        <w:t>COMPDELQSEMW </w:t>
      </w:r>
      <w:r w:rsidRPr="001A3201">
        <w:rPr>
          <w:b w:val="0"/>
          <w:i/>
          <w:vertAlign w:val="subscript"/>
        </w:rPr>
        <w:t>qc(tp)d</w:t>
      </w:r>
    </w:p>
    <w:p w14:paraId="68D70F19" w14:textId="3BC88421" w:rsidR="001F04FD" w:rsidRPr="001A3201" w:rsidRDefault="001F04FD" w:rsidP="001F04FD">
      <w:pPr>
        <w:tabs>
          <w:tab w:val="left" w:pos="2340"/>
          <w:tab w:val="left" w:pos="3420"/>
        </w:tabs>
        <w:spacing w:after="240"/>
        <w:ind w:left="3420" w:hanging="2700"/>
        <w:rPr>
          <w:bCs/>
          <w:i/>
          <w:vertAlign w:val="subscript"/>
        </w:rPr>
      </w:pPr>
      <w:r w:rsidRPr="001A3201">
        <w:rPr>
          <w:bCs/>
        </w:rPr>
        <w:lastRenderedPageBreak/>
        <w:t>SPDELQSEMW </w:t>
      </w:r>
      <w:r w:rsidRPr="001A3201">
        <w:rPr>
          <w:bCs/>
          <w:i/>
          <w:vertAlign w:val="subscript"/>
        </w:rPr>
        <w:t xml:space="preserve">qc(tp)d </w:t>
      </w:r>
      <w:r w:rsidRPr="001A3201">
        <w:rPr>
          <w:bCs/>
        </w:rPr>
        <w:t xml:space="preserve"> = </w:t>
      </w:r>
      <w:r w:rsidR="00A94020">
        <w:rPr>
          <w:noProof/>
          <w:position w:val="-28"/>
        </w:rPr>
        <w:drawing>
          <wp:inline distT="0" distB="0" distL="0" distR="0" wp14:anchorId="30D5B210" wp14:editId="5E494427">
            <wp:extent cx="295275" cy="428625"/>
            <wp:effectExtent l="0" t="0" r="0" b="9525"/>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Cs/>
        </w:rPr>
        <w:t>SPDELMW </w:t>
      </w:r>
      <w:r w:rsidRPr="001A3201">
        <w:rPr>
          <w:bCs/>
          <w:i/>
          <w:vertAlign w:val="subscript"/>
        </w:rPr>
        <w:t>qce(tp)d</w:t>
      </w:r>
    </w:p>
    <w:p w14:paraId="1D6B27B9" w14:textId="6CE78A31" w:rsidR="001F04FD" w:rsidRPr="001A3201" w:rsidRDefault="001F04FD" w:rsidP="001F04FD">
      <w:pPr>
        <w:pStyle w:val="FormulaBold"/>
        <w:rPr>
          <w:b w:val="0"/>
        </w:rPr>
      </w:pPr>
      <w:r w:rsidRPr="001A3201">
        <w:rPr>
          <w:b w:val="0"/>
          <w:bCs w:val="0"/>
        </w:rPr>
        <w:t>SPDELMWTOT </w:t>
      </w:r>
      <w:r w:rsidRPr="001A3201">
        <w:rPr>
          <w:b w:val="0"/>
          <w:bCs w:val="0"/>
          <w:i/>
          <w:vertAlign w:val="subscript"/>
        </w:rPr>
        <w:t>c(tp)d</w:t>
      </w:r>
      <w:r w:rsidRPr="001A3201">
        <w:rPr>
          <w:b w:val="0"/>
          <w:bCs w:val="0"/>
        </w:rPr>
        <w:t xml:space="preserve"> = </w:t>
      </w:r>
      <w:r w:rsidR="00A94020">
        <w:rPr>
          <w:b w:val="0"/>
          <w:noProof/>
          <w:position w:val="-30"/>
        </w:rPr>
        <w:drawing>
          <wp:inline distT="0" distB="0" distL="0" distR="0" wp14:anchorId="111CE443" wp14:editId="69333790">
            <wp:extent cx="295275" cy="45720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A3201">
        <w:rPr>
          <w:b w:val="0"/>
          <w:bCs w:val="0"/>
        </w:rPr>
        <w:t xml:space="preserve"> SPDELQSEMW </w:t>
      </w:r>
      <w:r w:rsidRPr="001A3201">
        <w:rPr>
          <w:b w:val="0"/>
          <w:bCs w:val="0"/>
          <w:i/>
          <w:vertAlign w:val="subscript"/>
        </w:rPr>
        <w:t>qc(tp)d</w:t>
      </w:r>
    </w:p>
    <w:p w14:paraId="32DF9E6D" w14:textId="77777777" w:rsidR="001F04FD" w:rsidRPr="001A3201" w:rsidRDefault="001F04FD" w:rsidP="001F04FD">
      <w:pPr>
        <w:tabs>
          <w:tab w:val="left" w:pos="2250"/>
          <w:tab w:val="left" w:pos="3150"/>
          <w:tab w:val="left" w:pos="3960"/>
        </w:tabs>
        <w:spacing w:after="240"/>
        <w:ind w:left="3960" w:hanging="3240"/>
        <w:rPr>
          <w:rFonts w:ascii="Times New Roman Bold" w:hAnsi="Times New Roman Bold"/>
          <w:bCs/>
        </w:rPr>
      </w:pPr>
      <w:r w:rsidRPr="001A3201">
        <w:rPr>
          <w:bCs/>
        </w:rPr>
        <w:t>COMPDELMW </w:t>
      </w:r>
      <w:r w:rsidRPr="001A3201">
        <w:rPr>
          <w:bCs/>
          <w:i/>
          <w:vertAlign w:val="subscript"/>
        </w:rPr>
        <w:t>qce(tp)d</w:t>
      </w:r>
      <w:r w:rsidRPr="001A3201">
        <w:rPr>
          <w:bCs/>
        </w:rPr>
        <w:t xml:space="preserve"> = ERSTESTPF </w:t>
      </w:r>
      <w:r w:rsidRPr="001A3201">
        <w:rPr>
          <w:bCs/>
          <w:i/>
          <w:vertAlign w:val="subscript"/>
        </w:rPr>
        <w:t>qred</w:t>
      </w:r>
      <w:r w:rsidRPr="001A3201">
        <w:rPr>
          <w:bCs/>
        </w:rPr>
        <w:t xml:space="preserve"> * COMPOFFERMW </w:t>
      </w:r>
      <w:r w:rsidRPr="001A3201">
        <w:rPr>
          <w:bCs/>
          <w:i/>
          <w:vertAlign w:val="subscript"/>
        </w:rPr>
        <w:t>qce(tp)d</w:t>
      </w:r>
      <w:r w:rsidRPr="001A3201">
        <w:rPr>
          <w:bCs/>
        </w:rPr>
        <w:t xml:space="preserve"> * </w:t>
      </w:r>
      <w:r w:rsidRPr="001A3201">
        <w:t xml:space="preserve">(ERSAFWT </w:t>
      </w:r>
      <w:r w:rsidRPr="001A3201">
        <w:rPr>
          <w:bCs/>
          <w:i/>
          <w:vertAlign w:val="subscript"/>
        </w:rPr>
        <w:t>qc</w:t>
      </w:r>
      <w:r w:rsidRPr="001A3201">
        <w:rPr>
          <w:i/>
          <w:vertAlign w:val="subscript"/>
        </w:rPr>
        <w:t xml:space="preserve">d </w:t>
      </w:r>
      <w:r w:rsidRPr="001A3201">
        <w:t xml:space="preserve">* Min (ERSAFCOMB </w:t>
      </w:r>
      <w:r w:rsidRPr="001A3201">
        <w:rPr>
          <w:bCs/>
          <w:i/>
          <w:vertAlign w:val="subscript"/>
        </w:rPr>
        <w:t>qrd</w:t>
      </w:r>
      <w:r w:rsidRPr="001A3201">
        <w:rPr>
          <w:bCs/>
        </w:rPr>
        <w:t>,1) + (</w:t>
      </w:r>
      <w:r w:rsidRPr="001A3201">
        <w:t>1</w:t>
      </w:r>
      <w:r w:rsidRPr="001A3201">
        <w:rPr>
          <w:bCs/>
        </w:rPr>
        <w:t xml:space="preserve"> - </w:t>
      </w:r>
      <w:r w:rsidRPr="001A3201">
        <w:t xml:space="preserve">ERSAFWT </w:t>
      </w:r>
      <w:r w:rsidRPr="001A3201">
        <w:rPr>
          <w:bCs/>
          <w:i/>
          <w:vertAlign w:val="subscript"/>
        </w:rPr>
        <w:t>qcd</w:t>
      </w:r>
      <w:r w:rsidRPr="001A3201">
        <w:rPr>
          <w:bCs/>
        </w:rPr>
        <w:t xml:space="preserve">) * Min (ERSEPF </w:t>
      </w:r>
      <w:r w:rsidRPr="001A3201">
        <w:rPr>
          <w:bCs/>
          <w:i/>
          <w:vertAlign w:val="subscript"/>
        </w:rPr>
        <w:t>qrd</w:t>
      </w:r>
      <w:r w:rsidRPr="001A3201">
        <w:rPr>
          <w:bCs/>
        </w:rPr>
        <w:t>,1))</w:t>
      </w:r>
    </w:p>
    <w:p w14:paraId="47CD9A9B" w14:textId="77777777" w:rsidR="001F04FD" w:rsidRPr="001A3201" w:rsidRDefault="001F04FD" w:rsidP="001F04FD">
      <w:pPr>
        <w:pStyle w:val="FormulaBold"/>
        <w:rPr>
          <w:b w:val="0"/>
        </w:rPr>
      </w:pPr>
      <w:r w:rsidRPr="001A3201">
        <w:rPr>
          <w:b w:val="0"/>
          <w:bCs w:val="0"/>
        </w:rPr>
        <w:t>SPDELMW </w:t>
      </w:r>
      <w:r w:rsidRPr="001A3201">
        <w:rPr>
          <w:b w:val="0"/>
          <w:bCs w:val="0"/>
          <w:i/>
          <w:vertAlign w:val="subscript"/>
        </w:rPr>
        <w:t xml:space="preserve">qc(tp)d </w:t>
      </w:r>
      <w:r w:rsidRPr="001A3201">
        <w:rPr>
          <w:b w:val="0"/>
          <w:bCs w:val="0"/>
        </w:rPr>
        <w:t xml:space="preserve">= ERSTESTPF </w:t>
      </w:r>
      <w:r w:rsidRPr="001A3201">
        <w:rPr>
          <w:b w:val="0"/>
          <w:bCs w:val="0"/>
          <w:i/>
          <w:vertAlign w:val="subscript"/>
        </w:rPr>
        <w:t>qre</w:t>
      </w:r>
      <w:r w:rsidRPr="001A3201">
        <w:rPr>
          <w:b w:val="0"/>
          <w:i/>
          <w:vertAlign w:val="subscript"/>
        </w:rPr>
        <w:t>d</w:t>
      </w:r>
      <w:r w:rsidRPr="0015675B">
        <w:rPr>
          <w:b w:val="0"/>
          <w:bCs w:val="0"/>
        </w:rPr>
        <w:t xml:space="preserve"> * </w:t>
      </w:r>
      <w:r w:rsidRPr="001A3201">
        <w:rPr>
          <w:b w:val="0"/>
          <w:bCs w:val="0"/>
        </w:rPr>
        <w:t>SPOFFERMW </w:t>
      </w:r>
      <w:r w:rsidRPr="001A3201">
        <w:rPr>
          <w:b w:val="0"/>
          <w:bCs w:val="0"/>
          <w:i/>
          <w:vertAlign w:val="subscript"/>
        </w:rPr>
        <w:t>qce(tp)d</w:t>
      </w:r>
      <w:r w:rsidRPr="001A3201">
        <w:rPr>
          <w:b w:val="0"/>
          <w:bCs w:val="0"/>
        </w:rPr>
        <w:t xml:space="preserve"> * </w:t>
      </w:r>
      <w:r w:rsidRPr="001A3201">
        <w:rPr>
          <w:b w:val="0"/>
        </w:rPr>
        <w:t xml:space="preserve">(ERSAFWT </w:t>
      </w:r>
      <w:r w:rsidRPr="001A3201">
        <w:rPr>
          <w:b w:val="0"/>
          <w:bCs w:val="0"/>
          <w:i/>
          <w:vertAlign w:val="subscript"/>
        </w:rPr>
        <w:t>qcd</w:t>
      </w:r>
      <w:r w:rsidRPr="001A3201">
        <w:rPr>
          <w:b w:val="0"/>
          <w:bCs w:val="0"/>
        </w:rPr>
        <w:t xml:space="preserve"> </w:t>
      </w:r>
      <w:r w:rsidRPr="001A3201">
        <w:rPr>
          <w:b w:val="0"/>
        </w:rPr>
        <w:t xml:space="preserve">* Min(ERSAFCOMB </w:t>
      </w:r>
      <w:r w:rsidRPr="001A3201">
        <w:rPr>
          <w:b w:val="0"/>
          <w:bCs w:val="0"/>
          <w:i/>
          <w:vertAlign w:val="subscript"/>
        </w:rPr>
        <w:t>qrd</w:t>
      </w:r>
      <w:r w:rsidRPr="001A3201">
        <w:rPr>
          <w:b w:val="0"/>
          <w:bCs w:val="0"/>
        </w:rPr>
        <w:t>,1) +</w:t>
      </w:r>
      <w:r w:rsidRPr="001A3201">
        <w:rPr>
          <w:b w:val="0"/>
        </w:rPr>
        <w:t xml:space="preserve"> (1 – ERSAFWT </w:t>
      </w:r>
      <w:r w:rsidRPr="001A3201">
        <w:rPr>
          <w:b w:val="0"/>
          <w:bCs w:val="0"/>
          <w:i/>
          <w:vertAlign w:val="subscript"/>
        </w:rPr>
        <w:t>qcd</w:t>
      </w:r>
      <w:r w:rsidRPr="001A3201">
        <w:rPr>
          <w:b w:val="0"/>
          <w:bCs w:val="0"/>
        </w:rPr>
        <w:t>) * Min(</w:t>
      </w:r>
      <w:r w:rsidRPr="001A3201">
        <w:rPr>
          <w:b w:val="0"/>
        </w:rPr>
        <w:t xml:space="preserve">ERSEPF </w:t>
      </w:r>
      <w:r w:rsidRPr="001A3201">
        <w:rPr>
          <w:b w:val="0"/>
          <w:bCs w:val="0"/>
          <w:i/>
          <w:vertAlign w:val="subscript"/>
        </w:rPr>
        <w:t>qrd</w:t>
      </w:r>
      <w:r w:rsidRPr="001A3201">
        <w:rPr>
          <w:b w:val="0"/>
          <w:bCs w:val="0"/>
        </w:rPr>
        <w:t>,1))</w:t>
      </w:r>
      <w:r w:rsidRPr="001A3201">
        <w:rPr>
          <w:b w:val="0"/>
        </w:rPr>
        <w:t xml:space="preserve"> </w:t>
      </w:r>
    </w:p>
    <w:p w14:paraId="35B11270" w14:textId="77777777" w:rsidR="001F04FD" w:rsidRDefault="001F04FD" w:rsidP="001F04FD">
      <w:pPr>
        <w:pStyle w:val="List"/>
        <w:ind w:left="720" w:firstLine="0"/>
      </w:pPr>
      <w:r>
        <w:t>The ERS</w:t>
      </w:r>
      <w:r w:rsidRPr="002E5240">
        <w:t xml:space="preserve"> Self-Provision Capacity Upper Limit</w:t>
      </w:r>
      <w:r w:rsidRPr="002E5240" w:rsidDel="009C4A0B">
        <w:t xml:space="preserve"> </w:t>
      </w:r>
      <w:r>
        <w:t>for each self-providing QSE shall be calculated by ERCOT using a two-pass process for each of the four ERS service types.  The first pass will consist of simultaneously solving for all QSEs’ ERS Self-Provision Capacity Upper Limits with the constraint that each QSE’s ERS Self-Provision Capacity Upper Limit</w:t>
      </w:r>
      <w:r w:rsidDel="009C4A0B">
        <w:t xml:space="preserve"> </w:t>
      </w:r>
      <w:r>
        <w:t>will equal its LRS multiplied by the total capacity awarded for competitive offers, plus the sum of all QSEs’ ERS Self-Provision Capacity Upper Limits.  The second pass will repeat the solution of the equations with a QSE’s delivered self-provided MW capacity (adjusted for availability and/or event performance) substituted for the ERS Self-Provision Capacity Upper Limit if the delivered MW capacity is less than the first pass calculation of the ERS Self-Provision Capacity Upper Limit.</w:t>
      </w:r>
    </w:p>
    <w:p w14:paraId="651D1C44" w14:textId="77777777" w:rsidR="001F04FD" w:rsidRDefault="001F04FD" w:rsidP="001F04FD">
      <w:pPr>
        <w:pStyle w:val="List"/>
        <w:ind w:left="2880" w:hanging="2160"/>
      </w:pPr>
      <w:r>
        <w:t>Pass 1:</w:t>
      </w:r>
    </w:p>
    <w:p w14:paraId="28D244C8" w14:textId="77777777" w:rsidR="001F04FD" w:rsidRDefault="001F04FD" w:rsidP="001F04FD">
      <w:pPr>
        <w:pStyle w:val="List"/>
        <w:ind w:left="2880" w:hanging="1440"/>
      </w:pPr>
      <w:r>
        <w:t>For QSE 1:</w:t>
      </w:r>
    </w:p>
    <w:p w14:paraId="25A56B99" w14:textId="77777777" w:rsidR="001F04FD" w:rsidRDefault="001F04FD" w:rsidP="001F04FD">
      <w:pPr>
        <w:pStyle w:val="FormulaBold"/>
      </w:pPr>
      <w:r>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61D963C" w14:textId="77777777" w:rsidR="001F04FD" w:rsidRDefault="001F04FD" w:rsidP="001F04FD">
      <w:pPr>
        <w:pStyle w:val="BodyText"/>
        <w:ind w:left="720" w:firstLine="720"/>
      </w:pPr>
      <w:r>
        <w:t>For QSE 2:</w:t>
      </w:r>
    </w:p>
    <w:p w14:paraId="48196AD7" w14:textId="77777777" w:rsidR="001F04FD" w:rsidRPr="00841E70"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12249B4A" w14:textId="77777777" w:rsidR="001F04FD" w:rsidRDefault="001F04FD" w:rsidP="001F04FD">
      <w:pPr>
        <w:pStyle w:val="FormulaBold"/>
      </w:pPr>
      <w:r>
        <w:t>…</w:t>
      </w:r>
    </w:p>
    <w:p w14:paraId="21662FEA" w14:textId="77777777" w:rsidR="001F04FD" w:rsidRDefault="001F04FD" w:rsidP="001F04FD">
      <w:pPr>
        <w:pStyle w:val="BodyText"/>
        <w:ind w:left="720" w:firstLine="720"/>
      </w:pPr>
      <w:r>
        <w:t>For QSE n:</w:t>
      </w:r>
    </w:p>
    <w:p w14:paraId="6848E92A" w14:textId="77777777" w:rsidR="001F04FD" w:rsidRPr="00841E70" w:rsidRDefault="001F04FD" w:rsidP="001F04FD">
      <w:pPr>
        <w:pStyle w:val="FormulaBold"/>
      </w:pPr>
      <w:r>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F5890">
        <w:t xml:space="preserve">= </w:t>
      </w:r>
      <w:r>
        <w:t>ERSLRS </w:t>
      </w:r>
      <w:r w:rsidRPr="00171229">
        <w:rPr>
          <w:i/>
          <w:vertAlign w:val="subscript"/>
        </w:rPr>
        <w:t>nc(tp)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025E332" w14:textId="77777777" w:rsidR="001F04FD" w:rsidRDefault="001F04FD" w:rsidP="001F04FD">
      <w:pPr>
        <w:pStyle w:val="List"/>
        <w:ind w:left="2880" w:hanging="2160"/>
      </w:pPr>
      <w:r>
        <w:t>Pass 2:</w:t>
      </w:r>
    </w:p>
    <w:p w14:paraId="5889E76E" w14:textId="77777777" w:rsidR="001F04FD" w:rsidRDefault="001F04FD" w:rsidP="001F04FD">
      <w:pPr>
        <w:pStyle w:val="BodyText"/>
        <w:ind w:left="720" w:firstLine="720"/>
      </w:pPr>
      <w:r>
        <w:t>For QSE 1:</w:t>
      </w:r>
    </w:p>
    <w:p w14:paraId="3D8040E0" w14:textId="77777777" w:rsidR="001F04FD" w:rsidRDefault="001F04FD" w:rsidP="001F04FD">
      <w:pPr>
        <w:pStyle w:val="FormulaBold"/>
      </w:pPr>
      <w:r>
        <w:lastRenderedPageBreak/>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7C45AA0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Pr>
          <w:rFonts w:ascii="Times New Roman Bold" w:hAnsi="Times New Roman Bold"/>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179830B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4491F7F5"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2EE2482C" w14:textId="77777777" w:rsidR="001F04FD" w:rsidRDefault="001F04FD" w:rsidP="001F04FD">
      <w:pPr>
        <w:pStyle w:val="BodyText"/>
        <w:ind w:left="720" w:firstLine="720"/>
      </w:pPr>
      <w:r>
        <w:t>For QSE 2:</w:t>
      </w:r>
    </w:p>
    <w:p w14:paraId="39F7957A" w14:textId="77777777" w:rsidR="001F04FD"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6A2E4CD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0D461CE3"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5CEE8F6"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7DCBFD8E" w14:textId="77777777" w:rsidR="001F04FD" w:rsidRPr="00C55CC3" w:rsidRDefault="001F04FD" w:rsidP="001F04FD">
      <w:pPr>
        <w:pStyle w:val="FormulaBold"/>
      </w:pPr>
      <w:r w:rsidRPr="00C55CC3">
        <w:t>…</w:t>
      </w:r>
    </w:p>
    <w:p w14:paraId="15CB28C6" w14:textId="77777777" w:rsidR="001F04FD" w:rsidRPr="00C55CC3" w:rsidRDefault="001F04FD" w:rsidP="001F04FD">
      <w:pPr>
        <w:pStyle w:val="BodyText"/>
        <w:ind w:left="720" w:firstLine="720"/>
      </w:pPr>
      <w:r w:rsidRPr="00C55CC3">
        <w:t>For QSE n:</w:t>
      </w:r>
    </w:p>
    <w:p w14:paraId="2DE7F4E5" w14:textId="77777777" w:rsidR="001F04FD" w:rsidRPr="00C55CC3" w:rsidRDefault="001F04FD" w:rsidP="001F04FD">
      <w:pPr>
        <w:pStyle w:val="FormulaBold"/>
      </w:pPr>
      <w:r w:rsidRPr="00C55CC3">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55CC3">
        <w:t xml:space="preserve">= </w:t>
      </w:r>
      <w:r>
        <w:t>ERS</w:t>
      </w:r>
      <w:r w:rsidRPr="00C55CC3">
        <w:t>LRS </w:t>
      </w:r>
      <w:r w:rsidRPr="00171229">
        <w:rPr>
          <w:i/>
          <w:vertAlign w:val="subscript"/>
        </w:rPr>
        <w:t>nc(tp)</w:t>
      </w:r>
      <w:r>
        <w:rPr>
          <w:i/>
          <w:vertAlign w:val="subscript"/>
        </w:rPr>
        <w:t>d</w:t>
      </w:r>
      <w:r w:rsidRPr="00C55CC3">
        <w:t xml:space="preserve"> * (COMPDELMWTOT </w:t>
      </w:r>
      <w:r w:rsidRPr="00171229">
        <w:rPr>
          <w:i/>
          <w:vertAlign w:val="subscript"/>
        </w:rPr>
        <w:t>c(tp)</w:t>
      </w:r>
      <w:r>
        <w:rPr>
          <w:i/>
          <w:vertAlign w:val="subscript"/>
        </w:rPr>
        <w:t>d</w:t>
      </w:r>
      <w:r w:rsidRPr="00C55CC3">
        <w:t xml:space="preserve"> +</w:t>
      </w:r>
    </w:p>
    <w:p w14:paraId="36AABB2D"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4EDB79D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4DE6521" w14:textId="77777777" w:rsidR="001F04FD" w:rsidRPr="00B913FA" w:rsidRDefault="001F04FD" w:rsidP="001F04FD">
      <w:pPr>
        <w:pStyle w:val="FormulaBold"/>
        <w:rPr>
          <w:lang w:val="fr-FR"/>
        </w:rPr>
      </w:pPr>
      <w:r w:rsidRPr="00171229">
        <w:rPr>
          <w:lang w:val="fr-FR"/>
        </w:rPr>
        <w:t>+ … + Min(SPDELMW</w:t>
      </w:r>
      <w:r w:rsidRPr="00B913FA">
        <w:rPr>
          <w:i/>
          <w:vertAlign w:val="subscript"/>
          <w:lang w:val="fr-FR"/>
        </w:rPr>
        <w:t xml:space="preserve"> nc(tp</w:t>
      </w:r>
      <w:r w:rsidRPr="00B913FA">
        <w:rPr>
          <w:rFonts w:ascii="Times New Roman Bold" w:hAnsi="Times New Roman Bold"/>
          <w:i/>
          <w:vertAlign w:val="subscript"/>
          <w:lang w:val="fr-FR"/>
        </w:rPr>
        <w:t>)</w:t>
      </w:r>
      <w:r w:rsidRPr="005456FD">
        <w:rPr>
          <w:i/>
          <w:vertAlign w:val="subscript"/>
        </w:rPr>
        <w:t>d</w:t>
      </w:r>
      <w:r w:rsidRPr="00B913FA">
        <w:rPr>
          <w:rFonts w:ascii="Times New Roman Bold" w:hAnsi="Times New Roman Bold"/>
          <w:i/>
          <w:lang w:val="fr-FR"/>
        </w:rPr>
        <w:t>,</w:t>
      </w:r>
      <w:r w:rsidRPr="00B913FA">
        <w:rPr>
          <w:lang w:val="fr-FR"/>
        </w:rPr>
        <w:t>SPCUL </w:t>
      </w:r>
      <w:r w:rsidRPr="00B913FA">
        <w:rPr>
          <w:i/>
          <w:vertAlign w:val="subscript"/>
          <w:lang w:val="fr-FR"/>
        </w:rPr>
        <w:t>nc(tp)</w:t>
      </w:r>
      <w:r>
        <w:rPr>
          <w:i/>
          <w:vertAlign w:val="subscript"/>
          <w:lang w:val="fr-FR"/>
        </w:rPr>
        <w:t>d</w:t>
      </w:r>
      <w:r w:rsidRPr="00B913FA">
        <w:rPr>
          <w:lang w:val="fr-FR"/>
        </w:rPr>
        <w:t>))</w:t>
      </w:r>
    </w:p>
    <w:p w14:paraId="72DA8105" w14:textId="77777777" w:rsidR="001F04FD" w:rsidRPr="00B913FA" w:rsidRDefault="001F04FD" w:rsidP="001F04FD">
      <w:pPr>
        <w:rPr>
          <w:vertAlign w:val="subscript"/>
        </w:rPr>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8"/>
        <w:gridCol w:w="1058"/>
        <w:gridCol w:w="5864"/>
      </w:tblGrid>
      <w:tr w:rsidR="001F04FD" w14:paraId="0129743A" w14:textId="77777777" w:rsidTr="00AC4DEE">
        <w:tc>
          <w:tcPr>
            <w:tcW w:w="1298" w:type="pct"/>
          </w:tcPr>
          <w:p w14:paraId="43949B72" w14:textId="77777777" w:rsidR="001F04FD" w:rsidRDefault="001F04FD" w:rsidP="00AC4DEE">
            <w:pPr>
              <w:pStyle w:val="TableHead"/>
            </w:pPr>
            <w:r>
              <w:t>Variable</w:t>
            </w:r>
          </w:p>
        </w:tc>
        <w:tc>
          <w:tcPr>
            <w:tcW w:w="566" w:type="pct"/>
          </w:tcPr>
          <w:p w14:paraId="371C3D5B" w14:textId="77777777" w:rsidR="001F04FD" w:rsidRDefault="001F04FD" w:rsidP="00AC4DEE">
            <w:pPr>
              <w:pStyle w:val="TableHead"/>
            </w:pPr>
            <w:r>
              <w:t>Unit</w:t>
            </w:r>
          </w:p>
        </w:tc>
        <w:tc>
          <w:tcPr>
            <w:tcW w:w="3136" w:type="pct"/>
          </w:tcPr>
          <w:p w14:paraId="516A96D6" w14:textId="77777777" w:rsidR="001F04FD" w:rsidRDefault="001F04FD" w:rsidP="00AC4DEE">
            <w:pPr>
              <w:pStyle w:val="TableHead"/>
            </w:pPr>
            <w:r>
              <w:t>Description</w:t>
            </w:r>
          </w:p>
        </w:tc>
      </w:tr>
      <w:tr w:rsidR="001F04FD" w14:paraId="60AF26E3" w14:textId="77777777" w:rsidTr="00AC4DEE">
        <w:trPr>
          <w:cantSplit/>
        </w:trPr>
        <w:tc>
          <w:tcPr>
            <w:tcW w:w="1298" w:type="pct"/>
          </w:tcPr>
          <w:p w14:paraId="2E5C7870" w14:textId="77777777" w:rsidR="001F04FD" w:rsidRDefault="001F04FD" w:rsidP="00AC4DEE">
            <w:pPr>
              <w:pStyle w:val="TableBody"/>
            </w:pPr>
            <w:r>
              <w:t xml:space="preserve">ERSPAMT </w:t>
            </w:r>
            <w:r w:rsidRPr="00E15B17">
              <w:rPr>
                <w:i/>
                <w:vertAlign w:val="subscript"/>
              </w:rPr>
              <w:t>qc(tp)d</w:t>
            </w:r>
          </w:p>
        </w:tc>
        <w:tc>
          <w:tcPr>
            <w:tcW w:w="566" w:type="pct"/>
          </w:tcPr>
          <w:p w14:paraId="2C853057" w14:textId="77777777" w:rsidR="001F04FD" w:rsidRDefault="001F04FD" w:rsidP="00AC4DEE">
            <w:pPr>
              <w:pStyle w:val="TableBody"/>
            </w:pPr>
            <w:r>
              <w:t>$</w:t>
            </w:r>
          </w:p>
        </w:tc>
        <w:tc>
          <w:tcPr>
            <w:tcW w:w="3136" w:type="pct"/>
          </w:tcPr>
          <w:p w14:paraId="0C9C3BCF" w14:textId="77777777" w:rsidR="001F04FD" w:rsidRDefault="001F04FD" w:rsidP="00AC4DEE">
            <w:pPr>
              <w:pStyle w:val="TableBody"/>
            </w:pPr>
            <w:r>
              <w:rPr>
                <w:i/>
              </w:rPr>
              <w:t>ERS</w:t>
            </w:r>
            <w:r w:rsidRPr="00DE1436">
              <w:rPr>
                <w:i/>
              </w:rPr>
              <w:t xml:space="preserve"> Payment Amount per QSE per </w:t>
            </w:r>
            <w:r>
              <w:rPr>
                <w:i/>
              </w:rPr>
              <w:t xml:space="preserve">ERS </w:t>
            </w:r>
            <w:r w:rsidRPr="00DE1436">
              <w:rPr>
                <w:i/>
              </w:rPr>
              <w:t xml:space="preserve">Contract Period per </w:t>
            </w:r>
            <w:r>
              <w:rPr>
                <w:i/>
              </w:rPr>
              <w:t>ERS</w:t>
            </w:r>
            <w:r w:rsidRPr="00DE1436">
              <w:rPr>
                <w:i/>
              </w:rPr>
              <w:t xml:space="preserve"> Time Period</w:t>
            </w:r>
            <w:r>
              <w:rPr>
                <w:i/>
              </w:rPr>
              <w:t xml:space="preserve"> per ERS Service Type</w:t>
            </w:r>
            <w:r>
              <w:t xml:space="preserve">—ERS total payment to QSE </w:t>
            </w:r>
            <w:r>
              <w:rPr>
                <w:i/>
              </w:rPr>
              <w:t xml:space="preserve">q </w:t>
            </w:r>
            <w:r>
              <w:t xml:space="preserve">for ERS Contract Period </w:t>
            </w:r>
            <w:r>
              <w:rPr>
                <w:i/>
              </w:rPr>
              <w:t>c,</w:t>
            </w:r>
            <w:r w:rsidRPr="00BF3E0E">
              <w:t xml:space="preserve"> </w:t>
            </w:r>
            <w:r>
              <w:t xml:space="preserve">and ERS Time Period </w:t>
            </w:r>
            <w:r>
              <w:rPr>
                <w:i/>
              </w:rPr>
              <w:t xml:space="preserve">tp </w:t>
            </w:r>
            <w:r>
              <w:t xml:space="preserve">and ERS service type </w:t>
            </w:r>
            <w:r>
              <w:rPr>
                <w:i/>
              </w:rPr>
              <w:t>d</w:t>
            </w:r>
            <w:r>
              <w:t>.</w:t>
            </w:r>
          </w:p>
        </w:tc>
      </w:tr>
      <w:tr w:rsidR="001F04FD" w14:paraId="0FAE439F" w14:textId="77777777" w:rsidTr="00AC4DEE">
        <w:trPr>
          <w:cantSplit/>
          <w:trHeight w:val="70"/>
        </w:trPr>
        <w:tc>
          <w:tcPr>
            <w:tcW w:w="1298" w:type="pct"/>
          </w:tcPr>
          <w:p w14:paraId="3A73BAE1" w14:textId="77777777" w:rsidR="001F04FD" w:rsidRDefault="001F04FD" w:rsidP="00AC4DEE">
            <w:pPr>
              <w:pStyle w:val="TableBody"/>
            </w:pPr>
            <w:r w:rsidRPr="009F3A66">
              <w:t>COMPAMT</w:t>
            </w:r>
            <w:r>
              <w:t xml:space="preserve"> </w:t>
            </w:r>
            <w:r w:rsidRPr="00E15B17">
              <w:rPr>
                <w:i/>
                <w:vertAlign w:val="subscript"/>
              </w:rPr>
              <w:t>qc(tp)d</w:t>
            </w:r>
          </w:p>
        </w:tc>
        <w:tc>
          <w:tcPr>
            <w:tcW w:w="566" w:type="pct"/>
          </w:tcPr>
          <w:p w14:paraId="04D514D2" w14:textId="77777777" w:rsidR="001F04FD" w:rsidRDefault="001F04FD" w:rsidP="00AC4DEE">
            <w:pPr>
              <w:pStyle w:val="TableBody"/>
            </w:pPr>
            <w:r>
              <w:t>$</w:t>
            </w:r>
          </w:p>
        </w:tc>
        <w:tc>
          <w:tcPr>
            <w:tcW w:w="3136" w:type="pct"/>
          </w:tcPr>
          <w:p w14:paraId="7D8C6FE9" w14:textId="77777777" w:rsidR="001F04FD" w:rsidRDefault="001F04FD" w:rsidP="00AC4DEE">
            <w:pPr>
              <w:pStyle w:val="TableBody"/>
            </w:pPr>
            <w:r w:rsidRPr="00DE1436">
              <w:rPr>
                <w:i/>
              </w:rPr>
              <w:t xml:space="preserve">Competitive Amount per QSE per </w:t>
            </w:r>
            <w:r>
              <w:rPr>
                <w:i/>
              </w:rPr>
              <w:t xml:space="preserve">ERS </w:t>
            </w:r>
            <w:r w:rsidRPr="00DE1436">
              <w:rPr>
                <w:i/>
              </w:rPr>
              <w:t xml:space="preserve">Contract Period per </w:t>
            </w:r>
            <w:r>
              <w:rPr>
                <w:i/>
              </w:rPr>
              <w:t xml:space="preserve">ERS </w:t>
            </w:r>
            <w:r w:rsidRPr="00DE1436">
              <w:rPr>
                <w:i/>
              </w:rPr>
              <w:t>Time Period</w:t>
            </w:r>
            <w:r>
              <w:rPr>
                <w:i/>
              </w:rPr>
              <w:t xml:space="preserve"> per ERS Service Type</w:t>
            </w:r>
            <w:r>
              <w:t xml:space="preserve">—ERS total payment to QSE </w:t>
            </w:r>
            <w:r>
              <w:rPr>
                <w:i/>
              </w:rPr>
              <w:t xml:space="preserve">q </w:t>
            </w:r>
            <w:r>
              <w:t xml:space="preserve">for all competitively procured ERS Resources delivered for ERS Contract Period </w:t>
            </w:r>
            <w:r>
              <w:rPr>
                <w:i/>
              </w:rPr>
              <w:t>c</w:t>
            </w:r>
            <w:r>
              <w:t xml:space="preserve">, and ERS Time Period </w:t>
            </w:r>
            <w:r>
              <w:rPr>
                <w:i/>
              </w:rPr>
              <w:t>tp</w:t>
            </w:r>
            <w:r>
              <w:t xml:space="preserve"> and ERS service type </w:t>
            </w:r>
            <w:r>
              <w:rPr>
                <w:i/>
              </w:rPr>
              <w:t>d</w:t>
            </w:r>
            <w:r>
              <w:t>.</w:t>
            </w:r>
          </w:p>
        </w:tc>
      </w:tr>
      <w:tr w:rsidR="001F04FD" w14:paraId="0677E346" w14:textId="77777777" w:rsidTr="00AC4DEE">
        <w:trPr>
          <w:cantSplit/>
        </w:trPr>
        <w:tc>
          <w:tcPr>
            <w:tcW w:w="1298" w:type="pct"/>
          </w:tcPr>
          <w:p w14:paraId="2B64D58C" w14:textId="77777777" w:rsidR="001F04FD" w:rsidRDefault="001F04FD" w:rsidP="00AC4DEE">
            <w:pPr>
              <w:pStyle w:val="TableBody"/>
            </w:pPr>
            <w:r>
              <w:rPr>
                <w:lang w:val="pt-BR"/>
              </w:rPr>
              <w:t xml:space="preserve">SPAMT </w:t>
            </w:r>
            <w:r w:rsidRPr="00E15B17">
              <w:rPr>
                <w:i/>
                <w:vertAlign w:val="subscript"/>
              </w:rPr>
              <w:t>qc(tp)d</w:t>
            </w:r>
          </w:p>
        </w:tc>
        <w:tc>
          <w:tcPr>
            <w:tcW w:w="566" w:type="pct"/>
          </w:tcPr>
          <w:p w14:paraId="56612AD5" w14:textId="77777777" w:rsidR="001F04FD" w:rsidRPr="005C5991" w:rsidRDefault="001F04FD" w:rsidP="00AC4DEE">
            <w:pPr>
              <w:pStyle w:val="VariableDefinition"/>
              <w:tabs>
                <w:tab w:val="clear" w:pos="2160"/>
              </w:tabs>
              <w:spacing w:after="60"/>
              <w:ind w:left="0" w:firstLine="0"/>
              <w:rPr>
                <w:sz w:val="20"/>
              </w:rPr>
            </w:pPr>
            <w:r>
              <w:rPr>
                <w:sz w:val="20"/>
              </w:rPr>
              <w:t>$</w:t>
            </w:r>
          </w:p>
        </w:tc>
        <w:tc>
          <w:tcPr>
            <w:tcW w:w="3136" w:type="pct"/>
          </w:tcPr>
          <w:p w14:paraId="68B51873" w14:textId="77777777" w:rsidR="001F04FD" w:rsidRPr="005C5991" w:rsidRDefault="001F04FD" w:rsidP="00AC4DEE">
            <w:pPr>
              <w:pStyle w:val="VariableDefinition"/>
              <w:tabs>
                <w:tab w:val="clear" w:pos="2160"/>
              </w:tabs>
              <w:spacing w:after="60"/>
              <w:ind w:left="0" w:firstLine="0"/>
              <w:rPr>
                <w:sz w:val="20"/>
              </w:rPr>
            </w:pPr>
            <w:r w:rsidRPr="00DE1436">
              <w:rPr>
                <w:i/>
                <w:sz w:val="20"/>
              </w:rPr>
              <w:t>Self-Procured Amount</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w:t>
            </w:r>
            <w:r w:rsidRPr="009F3A66">
              <w:rPr>
                <w:i/>
                <w:sz w:val="20"/>
              </w:rPr>
              <w:t>Time Period</w:t>
            </w:r>
            <w:r>
              <w:rPr>
                <w:i/>
                <w:sz w:val="20"/>
              </w:rPr>
              <w:t xml:space="preserve"> per ERS Service Type</w:t>
            </w:r>
            <w:r>
              <w:t>—</w:t>
            </w:r>
            <w:r>
              <w:rPr>
                <w:sz w:val="20"/>
              </w:rPr>
              <w:t xml:space="preserve">ERS total payment to QSE </w:t>
            </w:r>
            <w:r>
              <w:rPr>
                <w:i/>
                <w:sz w:val="20"/>
              </w:rPr>
              <w:t xml:space="preserve">q </w:t>
            </w:r>
            <w:r>
              <w:rPr>
                <w:sz w:val="20"/>
              </w:rPr>
              <w:t xml:space="preserve">for its self-provided ERS Resources for ERS Contract Period </w:t>
            </w:r>
            <w:r>
              <w:rPr>
                <w:i/>
                <w:sz w:val="20"/>
              </w:rPr>
              <w:t>c</w:t>
            </w:r>
            <w:r>
              <w:rPr>
                <w:sz w:val="20"/>
              </w:rPr>
              <w:t xml:space="preserve">, ERS Time Period </w:t>
            </w:r>
            <w:r w:rsidRPr="00CD6DAF">
              <w:rPr>
                <w:i/>
                <w:sz w:val="20"/>
              </w:rPr>
              <w:t>tp</w:t>
            </w:r>
            <w:r>
              <w:rPr>
                <w:sz w:val="20"/>
              </w:rPr>
              <w:t xml:space="preserve"> and ERS service type </w:t>
            </w:r>
            <w:r>
              <w:rPr>
                <w:i/>
                <w:sz w:val="20"/>
              </w:rPr>
              <w:t>d</w:t>
            </w:r>
            <w:r>
              <w:rPr>
                <w:sz w:val="20"/>
              </w:rPr>
              <w:t>.</w:t>
            </w:r>
          </w:p>
        </w:tc>
      </w:tr>
      <w:tr w:rsidR="001F04FD" w14:paraId="6A30E054" w14:textId="77777777" w:rsidTr="00AC4DEE">
        <w:trPr>
          <w:cantSplit/>
        </w:trPr>
        <w:tc>
          <w:tcPr>
            <w:tcW w:w="1298" w:type="pct"/>
          </w:tcPr>
          <w:p w14:paraId="4056B2B2" w14:textId="77777777" w:rsidR="001F04FD" w:rsidRPr="009F3A66" w:rsidRDefault="001F04FD" w:rsidP="00AC4DEE">
            <w:pPr>
              <w:pStyle w:val="TableBody"/>
            </w:pPr>
            <w:r>
              <w:t xml:space="preserve">ERSPAMTQSETOT </w:t>
            </w:r>
            <w:r w:rsidRPr="00E15B17">
              <w:rPr>
                <w:i/>
                <w:vertAlign w:val="subscript"/>
              </w:rPr>
              <w:t>q</w:t>
            </w:r>
          </w:p>
        </w:tc>
        <w:tc>
          <w:tcPr>
            <w:tcW w:w="566" w:type="pct"/>
          </w:tcPr>
          <w:p w14:paraId="59122E54"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29883A4A" w14:textId="77777777" w:rsidR="001F04FD" w:rsidRPr="00735070" w:rsidRDefault="001F04FD" w:rsidP="00AC4DEE">
            <w:pPr>
              <w:pStyle w:val="VariableDefinition"/>
              <w:tabs>
                <w:tab w:val="clear" w:pos="2160"/>
              </w:tabs>
              <w:spacing w:after="60"/>
              <w:ind w:left="0" w:firstLine="0"/>
              <w:rPr>
                <w:sz w:val="20"/>
              </w:rPr>
            </w:pPr>
            <w:r>
              <w:rPr>
                <w:i/>
                <w:sz w:val="20"/>
              </w:rPr>
              <w:t>ERS</w:t>
            </w:r>
            <w:r w:rsidRPr="00DE1436">
              <w:rPr>
                <w:i/>
                <w:sz w:val="20"/>
              </w:rPr>
              <w:t xml:space="preserve"> Payment QSE Total per QSE</w:t>
            </w:r>
            <w:r>
              <w:t>—</w:t>
            </w:r>
            <w:r>
              <w:rPr>
                <w:sz w:val="20"/>
              </w:rPr>
              <w:t xml:space="preserve">The total ERS total payments to QSE </w:t>
            </w:r>
            <w:r>
              <w:rPr>
                <w:i/>
                <w:sz w:val="20"/>
              </w:rPr>
              <w:t>q</w:t>
            </w:r>
            <w:r>
              <w:rPr>
                <w:sz w:val="20"/>
              </w:rPr>
              <w:t>.</w:t>
            </w:r>
          </w:p>
        </w:tc>
      </w:tr>
      <w:tr w:rsidR="001F04FD" w14:paraId="33B3901B" w14:textId="77777777" w:rsidTr="00AC4DEE">
        <w:trPr>
          <w:cantSplit/>
        </w:trPr>
        <w:tc>
          <w:tcPr>
            <w:tcW w:w="1298" w:type="pct"/>
          </w:tcPr>
          <w:p w14:paraId="701AE03D" w14:textId="77777777" w:rsidR="001F04FD" w:rsidRPr="003274F1" w:rsidRDefault="001F04FD" w:rsidP="00AC4DEE">
            <w:pPr>
              <w:pStyle w:val="TableBody"/>
            </w:pPr>
            <w:r>
              <w:t>ERSPAMTTOT</w:t>
            </w:r>
            <w:r w:rsidRPr="003274F1">
              <w:rPr>
                <w:i/>
                <w:vertAlign w:val="subscript"/>
              </w:rPr>
              <w:t xml:space="preserve"> </w:t>
            </w:r>
            <w:r w:rsidRPr="00E15B17">
              <w:rPr>
                <w:i/>
                <w:vertAlign w:val="subscript"/>
              </w:rPr>
              <w:t>c(tp)d</w:t>
            </w:r>
          </w:p>
        </w:tc>
        <w:tc>
          <w:tcPr>
            <w:tcW w:w="566" w:type="pct"/>
          </w:tcPr>
          <w:p w14:paraId="52196950"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33EA044B" w14:textId="77777777" w:rsidR="001F04FD" w:rsidRPr="002E07B2" w:rsidRDefault="001F04FD" w:rsidP="00AC4DEE">
            <w:pPr>
              <w:pStyle w:val="VariableDefinition"/>
              <w:tabs>
                <w:tab w:val="clear" w:pos="2160"/>
              </w:tabs>
              <w:spacing w:after="60"/>
              <w:ind w:left="0" w:firstLine="0"/>
              <w:rPr>
                <w:sz w:val="20"/>
              </w:rPr>
            </w:pPr>
            <w:r>
              <w:rPr>
                <w:i/>
                <w:sz w:val="20"/>
              </w:rPr>
              <w:t>ERS</w:t>
            </w:r>
            <w:r w:rsidRPr="009F3A66">
              <w:rPr>
                <w:i/>
                <w:sz w:val="20"/>
              </w:rPr>
              <w:t xml:space="preserve"> Payment </w:t>
            </w:r>
            <w:r>
              <w:rPr>
                <w:i/>
                <w:sz w:val="20"/>
              </w:rPr>
              <w:t>Amount Total per ERS Contract Period</w:t>
            </w:r>
            <w:r w:rsidRPr="00735070">
              <w:rPr>
                <w:i/>
                <w:sz w:val="20"/>
              </w:rPr>
              <w:t xml:space="preserve"> per </w:t>
            </w:r>
            <w:r>
              <w:rPr>
                <w:i/>
                <w:sz w:val="20"/>
              </w:rPr>
              <w:t>ERS</w:t>
            </w:r>
            <w:r w:rsidRPr="00735070">
              <w:rPr>
                <w:i/>
                <w:sz w:val="20"/>
              </w:rPr>
              <w:t xml:space="preserve"> Time Period</w:t>
            </w:r>
            <w:r>
              <w:rPr>
                <w:i/>
                <w:sz w:val="20"/>
              </w:rPr>
              <w:t xml:space="preserve"> per ERS Service Type</w:t>
            </w:r>
            <w:r>
              <w:t>—</w:t>
            </w:r>
            <w:r>
              <w:rPr>
                <w:sz w:val="20"/>
              </w:rPr>
              <w:t xml:space="preserve">Total of all ERS payments for ERS Contract Period </w:t>
            </w:r>
            <w:r>
              <w:rPr>
                <w:i/>
                <w:sz w:val="20"/>
              </w:rPr>
              <w:t>c</w:t>
            </w:r>
            <w:r>
              <w:rPr>
                <w:sz w:val="20"/>
              </w:rPr>
              <w:t xml:space="preserve">, ERS Time Period </w:t>
            </w:r>
            <w:r>
              <w:rPr>
                <w:i/>
                <w:sz w:val="20"/>
              </w:rPr>
              <w:t>tp</w:t>
            </w:r>
            <w:r>
              <w:rPr>
                <w:sz w:val="20"/>
              </w:rPr>
              <w:t xml:space="preserve"> and ERS service type </w:t>
            </w:r>
            <w:r>
              <w:rPr>
                <w:i/>
                <w:sz w:val="20"/>
              </w:rPr>
              <w:t>d</w:t>
            </w:r>
            <w:r w:rsidRPr="002E07B2">
              <w:rPr>
                <w:sz w:val="20"/>
              </w:rPr>
              <w:t>.</w:t>
            </w:r>
          </w:p>
        </w:tc>
      </w:tr>
      <w:tr w:rsidR="001F04FD" w14:paraId="4CB71362" w14:textId="77777777" w:rsidTr="00AC4DEE">
        <w:trPr>
          <w:cantSplit/>
        </w:trPr>
        <w:tc>
          <w:tcPr>
            <w:tcW w:w="1298" w:type="pct"/>
          </w:tcPr>
          <w:p w14:paraId="0AAC3401" w14:textId="77777777" w:rsidR="001F04FD" w:rsidRPr="009F3A66" w:rsidRDefault="001F04FD" w:rsidP="00AC4DEE">
            <w:pPr>
              <w:pStyle w:val="TableBody"/>
            </w:pPr>
            <w:r>
              <w:lastRenderedPageBreak/>
              <w:t xml:space="preserve">ERSPRICE </w:t>
            </w:r>
            <w:r w:rsidRPr="00E15B17">
              <w:rPr>
                <w:i/>
                <w:vertAlign w:val="subscript"/>
              </w:rPr>
              <w:t>qc(tp)d</w:t>
            </w:r>
          </w:p>
        </w:tc>
        <w:tc>
          <w:tcPr>
            <w:tcW w:w="566" w:type="pct"/>
          </w:tcPr>
          <w:p w14:paraId="0B53B5D3" w14:textId="77777777" w:rsidR="001F04FD" w:rsidRDefault="001F04FD" w:rsidP="00AC4DEE">
            <w:pPr>
              <w:pStyle w:val="VariableDefinition"/>
              <w:tabs>
                <w:tab w:val="clear" w:pos="2160"/>
              </w:tabs>
              <w:spacing w:after="60"/>
              <w:ind w:left="0" w:firstLine="0"/>
              <w:rPr>
                <w:sz w:val="20"/>
              </w:rPr>
            </w:pPr>
            <w:r>
              <w:rPr>
                <w:sz w:val="20"/>
              </w:rPr>
              <w:t>$/MW per hour</w:t>
            </w:r>
          </w:p>
        </w:tc>
        <w:tc>
          <w:tcPr>
            <w:tcW w:w="3136" w:type="pct"/>
          </w:tcPr>
          <w:p w14:paraId="2573209E" w14:textId="77777777" w:rsidR="001F04FD" w:rsidRPr="00857EE5" w:rsidRDefault="001F04FD" w:rsidP="00AC4DEE">
            <w:pPr>
              <w:pStyle w:val="VariableDefinition"/>
              <w:tabs>
                <w:tab w:val="clear" w:pos="2160"/>
              </w:tabs>
              <w:spacing w:after="60"/>
              <w:ind w:left="0" w:firstLine="0"/>
              <w:rPr>
                <w:i/>
                <w:sz w:val="20"/>
              </w:rPr>
            </w:pPr>
            <w:r>
              <w:rPr>
                <w:i/>
                <w:sz w:val="20"/>
              </w:rPr>
              <w:t>Price of the Highest Offer Cleared per QSE per ERS Contract Period per ERS Time Period per ERS Service Type</w:t>
            </w:r>
            <w:r w:rsidRPr="00857EE5">
              <w:t>—</w:t>
            </w:r>
            <w:r w:rsidRPr="00857EE5">
              <w:rPr>
                <w:sz w:val="20"/>
              </w:rPr>
              <w:t xml:space="preserve">Contracted </w:t>
            </w:r>
            <w:r>
              <w:rPr>
                <w:sz w:val="20"/>
              </w:rPr>
              <w:t xml:space="preserve">clearing </w:t>
            </w:r>
            <w:r w:rsidRPr="00857EE5">
              <w:rPr>
                <w:sz w:val="20"/>
              </w:rPr>
              <w:t xml:space="preserve">price for </w:t>
            </w:r>
            <w:r>
              <w:rPr>
                <w:sz w:val="20"/>
              </w:rPr>
              <w:t xml:space="preserve">QSE </w:t>
            </w:r>
            <w:r w:rsidRPr="005A361E">
              <w:rPr>
                <w:i/>
                <w:sz w:val="20"/>
              </w:rPr>
              <w:t>q</w:t>
            </w:r>
            <w:r>
              <w:rPr>
                <w:sz w:val="20"/>
              </w:rPr>
              <w:t xml:space="preserve"> for </w:t>
            </w:r>
            <w:r w:rsidRPr="001322F9">
              <w:rPr>
                <w:sz w:val="20"/>
              </w:rPr>
              <w:t>ERS</w:t>
            </w:r>
            <w:r>
              <w:rPr>
                <w:sz w:val="20"/>
              </w:rPr>
              <w:t xml:space="preserve"> </w:t>
            </w:r>
            <w:r w:rsidRPr="00857EE5">
              <w:rPr>
                <w:sz w:val="20"/>
              </w:rPr>
              <w:t xml:space="preserve">Contract </w:t>
            </w:r>
            <w:r w:rsidRPr="001612CF">
              <w:rPr>
                <w:sz w:val="20"/>
              </w:rPr>
              <w:t xml:space="preserve">Period </w:t>
            </w:r>
            <w:r w:rsidRPr="001612CF">
              <w:rPr>
                <w:i/>
                <w:sz w:val="20"/>
              </w:rPr>
              <w:t>c</w:t>
            </w:r>
            <w:r w:rsidRPr="007064D1">
              <w:rPr>
                <w:sz w:val="20"/>
              </w:rPr>
              <w:t xml:space="preserve">, </w:t>
            </w:r>
            <w:r>
              <w:rPr>
                <w:sz w:val="20"/>
              </w:rPr>
              <w:t>ERS</w:t>
            </w:r>
            <w:r w:rsidRPr="00857EE5">
              <w:rPr>
                <w:sz w:val="20"/>
              </w:rPr>
              <w:t xml:space="preserve"> Time Period </w:t>
            </w:r>
            <w:r w:rsidRPr="00857EE5">
              <w:rPr>
                <w:i/>
                <w:sz w:val="20"/>
              </w:rPr>
              <w:t>tp</w:t>
            </w:r>
            <w:r>
              <w:rPr>
                <w:i/>
                <w:sz w:val="20"/>
              </w:rPr>
              <w:t xml:space="preserve"> </w:t>
            </w:r>
            <w:r>
              <w:rPr>
                <w:sz w:val="20"/>
              </w:rPr>
              <w:t xml:space="preserve">and ERS service type </w:t>
            </w:r>
            <w:r>
              <w:rPr>
                <w:i/>
                <w:sz w:val="20"/>
              </w:rPr>
              <w:t>d</w:t>
            </w:r>
            <w:r w:rsidRPr="00857EE5">
              <w:rPr>
                <w:sz w:val="20"/>
              </w:rPr>
              <w:t>.</w:t>
            </w:r>
          </w:p>
        </w:tc>
      </w:tr>
      <w:tr w:rsidR="001F04FD" w14:paraId="5445F1B7" w14:textId="77777777" w:rsidTr="00AC4DEE">
        <w:trPr>
          <w:cantSplit/>
        </w:trPr>
        <w:tc>
          <w:tcPr>
            <w:tcW w:w="1298" w:type="pct"/>
          </w:tcPr>
          <w:p w14:paraId="266F631B" w14:textId="77777777" w:rsidR="001F04FD" w:rsidRPr="009F3A66" w:rsidRDefault="001F04FD" w:rsidP="00AC4DEE">
            <w:pPr>
              <w:pStyle w:val="TableBody"/>
            </w:pPr>
            <w:r>
              <w:t xml:space="preserve">COMPDELMW </w:t>
            </w:r>
            <w:r w:rsidRPr="00E15B17">
              <w:rPr>
                <w:i/>
                <w:vertAlign w:val="subscript"/>
              </w:rPr>
              <w:t>qce(tp)d</w:t>
            </w:r>
          </w:p>
        </w:tc>
        <w:tc>
          <w:tcPr>
            <w:tcW w:w="566" w:type="pct"/>
          </w:tcPr>
          <w:p w14:paraId="1A39C7BF"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35B0A20F" w14:textId="77777777" w:rsidR="001F04FD" w:rsidRPr="00857EE5" w:rsidRDefault="001F04FD" w:rsidP="00AC4DEE">
            <w:pPr>
              <w:pStyle w:val="VariableDefinition"/>
              <w:tabs>
                <w:tab w:val="clear" w:pos="2160"/>
              </w:tabs>
              <w:spacing w:after="60"/>
              <w:ind w:left="0" w:firstLine="0"/>
              <w:rPr>
                <w:i/>
                <w:sz w:val="20"/>
              </w:rPr>
            </w:pPr>
            <w:r w:rsidRPr="00857EE5">
              <w:rPr>
                <w:i/>
                <w:sz w:val="20"/>
              </w:rPr>
              <w:t xml:space="preserve">Competitive Delivered MW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delivered </w:t>
            </w:r>
            <w:r w:rsidRPr="00857EE5">
              <w:rPr>
                <w:sz w:val="20"/>
              </w:rPr>
              <w:t xml:space="preserve">by the QSE </w:t>
            </w:r>
            <w:r w:rsidRPr="00857EE5">
              <w:rPr>
                <w:i/>
                <w:sz w:val="20"/>
              </w:rPr>
              <w:t>q</w:t>
            </w:r>
            <w:r w:rsidRPr="00857EE5">
              <w:rPr>
                <w:sz w:val="20"/>
              </w:rPr>
              <w:t xml:space="preserve"> </w:t>
            </w:r>
            <w:r w:rsidRPr="00857EE5">
              <w:rPr>
                <w:bCs/>
                <w:sz w:val="20"/>
              </w:rPr>
              <w:t xml:space="preserve">for </w:t>
            </w:r>
            <w:r>
              <w:rPr>
                <w:bCs/>
                <w:sz w:val="20"/>
              </w:rPr>
              <w:t>ERS</w:t>
            </w:r>
            <w:r w:rsidRPr="00857EE5">
              <w:rPr>
                <w:bCs/>
                <w:sz w:val="20"/>
              </w:rPr>
              <w:t xml:space="preserve"> Contract Period </w:t>
            </w:r>
            <w:r>
              <w:rPr>
                <w:bCs/>
                <w:i/>
                <w:sz w:val="20"/>
              </w:rPr>
              <w:t>c,</w:t>
            </w:r>
            <w:r>
              <w:rPr>
                <w:sz w:val="20"/>
              </w:rPr>
              <w:t xml:space="preserve"> </w:t>
            </w:r>
            <w:r w:rsidRPr="00857EE5">
              <w:rPr>
                <w:bCs/>
                <w:sz w:val="20"/>
              </w:rPr>
              <w:t xml:space="preserve">competitive </w:t>
            </w:r>
            <w:r>
              <w:rPr>
                <w:bCs/>
                <w:sz w:val="20"/>
              </w:rPr>
              <w:t>ERS Resource</w:t>
            </w:r>
            <w:r w:rsidRPr="00857EE5">
              <w:rPr>
                <w:bCs/>
                <w:sz w:val="20"/>
              </w:rPr>
              <w:t xml:space="preserve"> </w:t>
            </w:r>
            <w:r w:rsidRPr="00857EE5">
              <w:rPr>
                <w:bCs/>
                <w:i/>
                <w:sz w:val="20"/>
              </w:rPr>
              <w:t>e</w:t>
            </w:r>
            <w:r>
              <w:rPr>
                <w:bCs/>
                <w:sz w:val="20"/>
              </w:rPr>
              <w:t>,</w:t>
            </w:r>
            <w:r w:rsidRPr="00857EE5">
              <w:rPr>
                <w:sz w:val="20"/>
              </w:rPr>
              <w:t xml:space="preserve"> </w:t>
            </w:r>
            <w:r>
              <w:rPr>
                <w:sz w:val="20"/>
              </w:rPr>
              <w:t xml:space="preserve">ERS </w:t>
            </w:r>
            <w:r w:rsidRPr="00857EE5">
              <w:rPr>
                <w:sz w:val="20"/>
              </w:rPr>
              <w:t xml:space="preserve">Time Period </w:t>
            </w:r>
            <w:r w:rsidRPr="00857EE5">
              <w:rPr>
                <w:i/>
                <w:sz w:val="20"/>
              </w:rPr>
              <w:t>tp</w:t>
            </w:r>
            <w:r>
              <w:rPr>
                <w:sz w:val="20"/>
              </w:rPr>
              <w:t xml:space="preserve"> and ERS service type </w:t>
            </w:r>
            <w:r>
              <w:rPr>
                <w:i/>
                <w:sz w:val="20"/>
              </w:rPr>
              <w:t>d</w:t>
            </w:r>
            <w:r w:rsidRPr="00857EE5">
              <w:rPr>
                <w:sz w:val="20"/>
              </w:rPr>
              <w:t>.</w:t>
            </w:r>
          </w:p>
        </w:tc>
      </w:tr>
      <w:tr w:rsidR="001F04FD" w14:paraId="0112273C" w14:textId="77777777" w:rsidTr="00AC4DEE">
        <w:trPr>
          <w:cantSplit/>
        </w:trPr>
        <w:tc>
          <w:tcPr>
            <w:tcW w:w="1298" w:type="pct"/>
          </w:tcPr>
          <w:p w14:paraId="1A56D246" w14:textId="77777777" w:rsidR="001F04FD" w:rsidRDefault="001F04FD" w:rsidP="00AC4DEE">
            <w:pPr>
              <w:pStyle w:val="TableBody"/>
            </w:pPr>
            <w:r>
              <w:t xml:space="preserve">TPH </w:t>
            </w:r>
            <w:r w:rsidRPr="00E15B17">
              <w:rPr>
                <w:i/>
                <w:vertAlign w:val="subscript"/>
              </w:rPr>
              <w:t>c(tp)d</w:t>
            </w:r>
          </w:p>
        </w:tc>
        <w:tc>
          <w:tcPr>
            <w:tcW w:w="566" w:type="pct"/>
          </w:tcPr>
          <w:p w14:paraId="0FCD8446" w14:textId="77777777" w:rsidR="001F04FD" w:rsidRDefault="001F04FD" w:rsidP="00AC4DEE">
            <w:pPr>
              <w:pStyle w:val="VariableDefinition"/>
              <w:tabs>
                <w:tab w:val="clear" w:pos="2160"/>
              </w:tabs>
              <w:spacing w:after="60"/>
              <w:ind w:left="0" w:firstLine="0"/>
              <w:rPr>
                <w:sz w:val="20"/>
              </w:rPr>
            </w:pPr>
            <w:r w:rsidRPr="005C5991">
              <w:rPr>
                <w:sz w:val="20"/>
              </w:rPr>
              <w:t>Hours</w:t>
            </w:r>
          </w:p>
        </w:tc>
        <w:tc>
          <w:tcPr>
            <w:tcW w:w="3136" w:type="pct"/>
          </w:tcPr>
          <w:p w14:paraId="5A5837C9" w14:textId="77777777" w:rsidR="001F04FD" w:rsidRDefault="001F04FD" w:rsidP="00AC4DEE">
            <w:pPr>
              <w:pStyle w:val="VariableDefinition"/>
              <w:tabs>
                <w:tab w:val="clear" w:pos="2160"/>
              </w:tabs>
              <w:spacing w:after="60"/>
              <w:ind w:left="0" w:firstLine="0"/>
              <w:rPr>
                <w:sz w:val="20"/>
              </w:rPr>
            </w:pPr>
            <w:r>
              <w:rPr>
                <w:sz w:val="20"/>
              </w:rPr>
              <w:t>H</w:t>
            </w:r>
            <w:r w:rsidRPr="005C5991">
              <w:rPr>
                <w:sz w:val="20"/>
              </w:rPr>
              <w:t xml:space="preserve">ours in </w:t>
            </w:r>
            <w:r>
              <w:rPr>
                <w:sz w:val="20"/>
              </w:rPr>
              <w:t>ERS</w:t>
            </w:r>
            <w:r w:rsidRPr="005C5991">
              <w:rPr>
                <w:sz w:val="20"/>
              </w:rPr>
              <w:t xml:space="preserve"> Time Period</w:t>
            </w:r>
            <w:r>
              <w:rPr>
                <w:sz w:val="20"/>
              </w:rPr>
              <w:t xml:space="preserve"> </w:t>
            </w:r>
            <w:r>
              <w:rPr>
                <w:i/>
                <w:sz w:val="20"/>
              </w:rPr>
              <w:t xml:space="preserve">tp </w:t>
            </w:r>
            <w:r w:rsidRPr="00C83EFD">
              <w:rPr>
                <w:sz w:val="20"/>
              </w:rPr>
              <w:t xml:space="preserve">for </w:t>
            </w:r>
            <w:r>
              <w:rPr>
                <w:sz w:val="20"/>
              </w:rPr>
              <w:t xml:space="preserve">ERS Contract Period </w:t>
            </w:r>
            <w:r>
              <w:rPr>
                <w:i/>
                <w:sz w:val="20"/>
              </w:rPr>
              <w:t>c</w:t>
            </w:r>
            <w:r>
              <w:rPr>
                <w:sz w:val="20"/>
              </w:rPr>
              <w:t>,</w:t>
            </w:r>
            <w:r w:rsidRPr="00C83EFD">
              <w:rPr>
                <w:sz w:val="20"/>
              </w:rPr>
              <w:t xml:space="preserve"> </w:t>
            </w:r>
            <w:r>
              <w:rPr>
                <w:sz w:val="20"/>
              </w:rPr>
              <w:t xml:space="preserve">and ERS service type </w:t>
            </w:r>
            <w:r>
              <w:rPr>
                <w:i/>
                <w:sz w:val="20"/>
              </w:rPr>
              <w:t>d</w:t>
            </w:r>
            <w:r w:rsidRPr="005C5991">
              <w:rPr>
                <w:sz w:val="20"/>
              </w:rPr>
              <w:t>.</w:t>
            </w:r>
          </w:p>
          <w:p w14:paraId="0561095E" w14:textId="77777777" w:rsidR="001F04FD" w:rsidRPr="00C83EFD" w:rsidRDefault="001F04FD" w:rsidP="00AC4DEE">
            <w:pPr>
              <w:pStyle w:val="VariableDefinition"/>
              <w:tabs>
                <w:tab w:val="clear" w:pos="2160"/>
              </w:tabs>
              <w:spacing w:after="60"/>
              <w:ind w:left="0" w:firstLine="0"/>
              <w:rPr>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not exhausted in an ERS Contract Period</w:t>
            </w:r>
            <w:r w:rsidRPr="00C83EFD">
              <w:rPr>
                <w:bCs/>
                <w:sz w:val="20"/>
              </w:rPr>
              <w:t xml:space="preserve"> </w:t>
            </w:r>
            <w:r w:rsidRPr="00C83EFD">
              <w:rPr>
                <w:bCs/>
                <w:i/>
                <w:sz w:val="20"/>
              </w:rPr>
              <w:t>c</w:t>
            </w:r>
            <w:r>
              <w:rPr>
                <w:bCs/>
                <w:i/>
                <w:sz w:val="20"/>
              </w:rPr>
              <w:t xml:space="preserve">, </w:t>
            </w:r>
            <w:r w:rsidRPr="00C83EFD">
              <w:rPr>
                <w:sz w:val="20"/>
              </w:rPr>
              <w:t xml:space="preserve">the number of hours in that ERS Time Period </w:t>
            </w:r>
            <w:r w:rsidRPr="00C83EFD">
              <w:rPr>
                <w:i/>
                <w:sz w:val="20"/>
              </w:rPr>
              <w:t>tp</w:t>
            </w:r>
            <w:r w:rsidRPr="00C83EFD">
              <w:rPr>
                <w:sz w:val="20"/>
              </w:rPr>
              <w:t xml:space="preserve"> in that ERS Contract Period</w:t>
            </w:r>
            <w:r w:rsidRPr="00C83EFD">
              <w:rPr>
                <w:bCs/>
                <w:sz w:val="20"/>
              </w:rPr>
              <w:t xml:space="preserve"> </w:t>
            </w:r>
            <w:r w:rsidRPr="00C83EFD">
              <w:rPr>
                <w:bCs/>
                <w:i/>
                <w:sz w:val="20"/>
              </w:rPr>
              <w:t>c</w:t>
            </w:r>
            <w:r w:rsidRPr="00C83EFD">
              <w:rPr>
                <w:sz w:val="20"/>
              </w:rPr>
              <w:t>.</w:t>
            </w:r>
          </w:p>
          <w:p w14:paraId="76B10B79" w14:textId="77777777" w:rsidR="001F04FD" w:rsidRPr="00DE1436" w:rsidRDefault="001F04FD" w:rsidP="00AC4DEE">
            <w:pPr>
              <w:pStyle w:val="VariableDefinition"/>
              <w:tabs>
                <w:tab w:val="clear" w:pos="2160"/>
              </w:tabs>
              <w:spacing w:after="60"/>
              <w:ind w:left="0" w:firstLine="0"/>
              <w:rPr>
                <w:i/>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exhausted in an ERS Contract Period</w:t>
            </w:r>
            <w:r w:rsidRPr="00C83EFD">
              <w:rPr>
                <w:bCs/>
                <w:sz w:val="20"/>
              </w:rPr>
              <w:t xml:space="preserve"> </w:t>
            </w:r>
            <w:r w:rsidRPr="00C83EFD">
              <w:rPr>
                <w:bCs/>
                <w:i/>
                <w:sz w:val="20"/>
              </w:rPr>
              <w:t>c</w:t>
            </w:r>
            <w:r w:rsidRPr="00C83EFD">
              <w:rPr>
                <w:sz w:val="20"/>
              </w:rPr>
              <w:t>, the number of hours in that ERS Time Period</w:t>
            </w:r>
            <w:r w:rsidRPr="00C83EFD">
              <w:rPr>
                <w:i/>
                <w:sz w:val="20"/>
              </w:rPr>
              <w:t xml:space="preserve"> tp</w:t>
            </w:r>
            <w:r w:rsidRPr="00C83EFD">
              <w:rPr>
                <w:sz w:val="20"/>
              </w:rPr>
              <w:t xml:space="preserve"> from the beginning of the ERS Contract Period</w:t>
            </w:r>
            <w:r w:rsidRPr="00C83EFD">
              <w:rPr>
                <w:bCs/>
                <w:sz w:val="20"/>
              </w:rPr>
              <w:t xml:space="preserve"> </w:t>
            </w:r>
            <w:r w:rsidRPr="00C83EFD">
              <w:rPr>
                <w:bCs/>
                <w:i/>
                <w:sz w:val="20"/>
              </w:rPr>
              <w:t>c</w:t>
            </w:r>
            <w:r w:rsidRPr="00C83EFD">
              <w:rPr>
                <w:sz w:val="20"/>
              </w:rPr>
              <w:t xml:space="preserve"> to the end of the ERS Standard Contract Term.</w:t>
            </w:r>
          </w:p>
        </w:tc>
      </w:tr>
      <w:tr w:rsidR="001F04FD" w14:paraId="77B64151" w14:textId="77777777" w:rsidTr="00AC4DEE">
        <w:trPr>
          <w:cantSplit/>
        </w:trPr>
        <w:tc>
          <w:tcPr>
            <w:tcW w:w="1298" w:type="pct"/>
          </w:tcPr>
          <w:p w14:paraId="3077C918" w14:textId="77777777" w:rsidR="001F04FD" w:rsidRDefault="001F04FD" w:rsidP="00AC4DEE">
            <w:pPr>
              <w:pStyle w:val="TableBody"/>
            </w:pPr>
            <w:r w:rsidRPr="001322F9">
              <w:rPr>
                <w:bCs/>
              </w:rPr>
              <w:t xml:space="preserve">ERSTESTPF </w:t>
            </w:r>
            <w:r w:rsidRPr="00E15B17">
              <w:rPr>
                <w:bCs/>
                <w:i/>
                <w:vertAlign w:val="subscript"/>
              </w:rPr>
              <w:t>qre</w:t>
            </w:r>
            <w:r w:rsidRPr="00E15B17">
              <w:rPr>
                <w:i/>
                <w:iCs w:val="0"/>
                <w:vertAlign w:val="subscript"/>
              </w:rPr>
              <w:t>d</w:t>
            </w:r>
          </w:p>
        </w:tc>
        <w:tc>
          <w:tcPr>
            <w:tcW w:w="566" w:type="pct"/>
          </w:tcPr>
          <w:p w14:paraId="7E6A5C35" w14:textId="77777777" w:rsidR="001F04FD" w:rsidRDefault="001F04FD" w:rsidP="00AC4DEE">
            <w:pPr>
              <w:pStyle w:val="VariableDefinition"/>
              <w:tabs>
                <w:tab w:val="clear" w:pos="2160"/>
              </w:tabs>
              <w:spacing w:after="60"/>
              <w:ind w:left="0" w:firstLine="0"/>
              <w:rPr>
                <w:sz w:val="20"/>
              </w:rPr>
            </w:pPr>
            <w:r w:rsidRPr="00500837">
              <w:rPr>
                <w:iCs w:val="0"/>
                <w:sz w:val="20"/>
              </w:rPr>
              <w:t>None</w:t>
            </w:r>
          </w:p>
        </w:tc>
        <w:tc>
          <w:tcPr>
            <w:tcW w:w="3136" w:type="pct"/>
          </w:tcPr>
          <w:p w14:paraId="51605553" w14:textId="77777777" w:rsidR="001F04FD" w:rsidRPr="00EB238B" w:rsidRDefault="001F04FD" w:rsidP="00AC4DEE">
            <w:pPr>
              <w:pStyle w:val="VariableDefinition"/>
              <w:tabs>
                <w:tab w:val="clear" w:pos="2160"/>
              </w:tabs>
              <w:spacing w:after="60"/>
              <w:ind w:left="0" w:firstLine="0"/>
              <w:rPr>
                <w:sz w:val="20"/>
              </w:rPr>
            </w:pPr>
            <w:r w:rsidRPr="00500837">
              <w:rPr>
                <w:i/>
                <w:iCs w:val="0"/>
                <w:sz w:val="20"/>
              </w:rPr>
              <w:t xml:space="preserve">ERS Test Performance Factor per QSE per ERS Standard Contract Term per ERS Resource </w:t>
            </w:r>
            <w:r>
              <w:rPr>
                <w:i/>
                <w:iCs w:val="0"/>
                <w:sz w:val="20"/>
              </w:rPr>
              <w:t>per ERS Service T</w:t>
            </w:r>
            <w:r w:rsidRPr="00500837">
              <w:rPr>
                <w:i/>
                <w:iCs w:val="0"/>
                <w:sz w:val="20"/>
              </w:rPr>
              <w:t>ype</w:t>
            </w:r>
            <w:r w:rsidRPr="00500837">
              <w:rPr>
                <w:iCs w:val="0"/>
                <w:sz w:val="20"/>
              </w:rPr>
              <w:t xml:space="preserve">—Test performance factor for QSE </w:t>
            </w:r>
            <w:r w:rsidRPr="00500837">
              <w:rPr>
                <w:i/>
                <w:iCs w:val="0"/>
                <w:sz w:val="20"/>
              </w:rPr>
              <w:t xml:space="preserve">q </w:t>
            </w:r>
            <w:r w:rsidRPr="00500837">
              <w:rPr>
                <w:iCs w:val="0"/>
                <w:sz w:val="20"/>
              </w:rPr>
              <w:t xml:space="preserve">in ERS Standard Contract Term </w:t>
            </w:r>
            <w:r w:rsidRPr="00500837">
              <w:rPr>
                <w:i/>
                <w:iCs w:val="0"/>
                <w:sz w:val="20"/>
              </w:rPr>
              <w:t>r</w:t>
            </w:r>
            <w:r w:rsidRPr="00500837">
              <w:rPr>
                <w:iCs w:val="0"/>
                <w:sz w:val="20"/>
              </w:rPr>
              <w:t xml:space="preserve"> for ERS Resource </w:t>
            </w:r>
            <w:r w:rsidRPr="00500837">
              <w:rPr>
                <w:i/>
                <w:iCs w:val="0"/>
                <w:sz w:val="20"/>
              </w:rPr>
              <w:t>e</w:t>
            </w:r>
            <w:r w:rsidRPr="00500837">
              <w:rPr>
                <w:iCs w:val="0"/>
                <w:sz w:val="20"/>
              </w:rPr>
              <w:t xml:space="preserve"> and ERS service type</w:t>
            </w:r>
            <w:r w:rsidRPr="00500837">
              <w:rPr>
                <w:i/>
                <w:iCs w:val="0"/>
                <w:sz w:val="20"/>
              </w:rPr>
              <w:t xml:space="preserve"> d</w:t>
            </w:r>
            <w:r w:rsidRPr="00500837">
              <w:rPr>
                <w:iCs w:val="0"/>
                <w:sz w:val="20"/>
              </w:rPr>
              <w:t xml:space="preserve"> as calculated pursuant to Section 8.1.3.3.1,</w:t>
            </w:r>
            <w:r>
              <w:rPr>
                <w:iCs w:val="0"/>
                <w:sz w:val="20"/>
              </w:rPr>
              <w:t xml:space="preserve"> Suspension of Qualification of Non-Weather-Sensitive</w:t>
            </w:r>
            <w:r w:rsidRPr="00500837">
              <w:rPr>
                <w:iCs w:val="0"/>
                <w:sz w:val="20"/>
              </w:rPr>
              <w:t xml:space="preserve"> Emergency Response Service Resources</w:t>
            </w:r>
            <w:r>
              <w:rPr>
                <w:iCs w:val="0"/>
                <w:sz w:val="20"/>
              </w:rPr>
              <w:t xml:space="preserve"> and/or their Qualified Scheduling Entities</w:t>
            </w:r>
            <w:r w:rsidRPr="00500837">
              <w:rPr>
                <w:iCs w:val="0"/>
                <w:sz w:val="20"/>
              </w:rPr>
              <w:t>.</w:t>
            </w:r>
          </w:p>
        </w:tc>
      </w:tr>
      <w:tr w:rsidR="001F04FD" w14:paraId="0D544E07" w14:textId="77777777" w:rsidTr="00AC4DEE">
        <w:trPr>
          <w:cantSplit/>
        </w:trPr>
        <w:tc>
          <w:tcPr>
            <w:tcW w:w="1298" w:type="pct"/>
          </w:tcPr>
          <w:p w14:paraId="25F4BD68" w14:textId="77777777" w:rsidR="001F04FD" w:rsidRDefault="001F04FD" w:rsidP="00AC4DEE">
            <w:pPr>
              <w:pStyle w:val="TableBody"/>
            </w:pPr>
            <w:r>
              <w:t xml:space="preserve">SPDELMW </w:t>
            </w:r>
            <w:r w:rsidRPr="00E15B17">
              <w:rPr>
                <w:i/>
                <w:vertAlign w:val="subscript"/>
              </w:rPr>
              <w:t>qc(tp)d</w:t>
            </w:r>
          </w:p>
        </w:tc>
        <w:tc>
          <w:tcPr>
            <w:tcW w:w="566" w:type="pct"/>
          </w:tcPr>
          <w:p w14:paraId="391317B9"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2C81DEFD" w14:textId="77777777" w:rsidR="001F04FD" w:rsidRPr="00DE1436" w:rsidRDefault="001F04FD" w:rsidP="00AC4DEE">
            <w:pPr>
              <w:pStyle w:val="VariableDefinition"/>
              <w:tabs>
                <w:tab w:val="clear" w:pos="2160"/>
              </w:tabs>
              <w:spacing w:after="60"/>
              <w:ind w:left="0" w:firstLine="0"/>
              <w:rPr>
                <w:i/>
                <w:sz w:val="20"/>
              </w:rPr>
            </w:pPr>
            <w:r w:rsidRPr="007D7277">
              <w:rPr>
                <w:i/>
                <w:sz w:val="20"/>
              </w:rPr>
              <w:t>Self-Provided Delivered MW</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Resource per ERS </w:t>
            </w:r>
            <w:r w:rsidRPr="009F3A66">
              <w:rPr>
                <w:i/>
                <w:sz w:val="20"/>
              </w:rPr>
              <w:t>Time Period</w:t>
            </w:r>
            <w:r>
              <w:rPr>
                <w:i/>
                <w:sz w:val="20"/>
              </w:rPr>
              <w:t xml:space="preserve"> per ERS Service Type</w:t>
            </w:r>
            <w:r>
              <w:t>—</w:t>
            </w:r>
            <w:r>
              <w:rPr>
                <w:sz w:val="20"/>
              </w:rPr>
              <w:t xml:space="preserve">Total ERS capacity self-provided and delivered by QSE </w:t>
            </w:r>
            <w:r>
              <w:rPr>
                <w:i/>
                <w:sz w:val="20"/>
              </w:rPr>
              <w:t xml:space="preserve">q </w:t>
            </w:r>
            <w:r>
              <w:rPr>
                <w:bCs/>
                <w:sz w:val="20"/>
              </w:rPr>
              <w:t xml:space="preserve">for </w:t>
            </w:r>
            <w:r>
              <w:rPr>
                <w:sz w:val="20"/>
              </w:rPr>
              <w:t xml:space="preserve">ERS Contract Period </w:t>
            </w:r>
            <w:r>
              <w:rPr>
                <w:i/>
                <w:sz w:val="20"/>
              </w:rPr>
              <w:t xml:space="preserve">c, </w:t>
            </w:r>
            <w:r>
              <w:rPr>
                <w:sz w:val="20"/>
              </w:rPr>
              <w:t xml:space="preserve">ERS Resource </w:t>
            </w:r>
            <w:r>
              <w:rPr>
                <w:i/>
                <w:sz w:val="20"/>
              </w:rPr>
              <w:t>e</w:t>
            </w:r>
            <w:r w:rsidRPr="00274A04">
              <w:rPr>
                <w:sz w:val="20"/>
              </w:rPr>
              <w:t>,</w:t>
            </w:r>
            <w:r>
              <w:rPr>
                <w:sz w:val="20"/>
              </w:rPr>
              <w:t xml:space="preserve"> ERS Time Period </w:t>
            </w:r>
            <w:r>
              <w:rPr>
                <w:i/>
                <w:sz w:val="20"/>
              </w:rPr>
              <w:t xml:space="preserve">tp </w:t>
            </w:r>
            <w:r>
              <w:rPr>
                <w:sz w:val="20"/>
              </w:rPr>
              <w:t xml:space="preserve">and ERS service type </w:t>
            </w:r>
            <w:r>
              <w:rPr>
                <w:i/>
                <w:sz w:val="20"/>
              </w:rPr>
              <w:t>d</w:t>
            </w:r>
            <w:r>
              <w:rPr>
                <w:sz w:val="20"/>
              </w:rPr>
              <w:t>.</w:t>
            </w:r>
          </w:p>
        </w:tc>
      </w:tr>
      <w:tr w:rsidR="001F04FD" w14:paraId="7C567DC9" w14:textId="77777777" w:rsidTr="00AC4DEE">
        <w:trPr>
          <w:cantSplit/>
        </w:trPr>
        <w:tc>
          <w:tcPr>
            <w:tcW w:w="1298" w:type="pct"/>
          </w:tcPr>
          <w:p w14:paraId="76422C45" w14:textId="77777777" w:rsidR="001F04FD" w:rsidRDefault="001F04FD" w:rsidP="00AC4DEE">
            <w:pPr>
              <w:pStyle w:val="TableBody"/>
            </w:pPr>
            <w:r w:rsidRPr="00B507B3">
              <w:t xml:space="preserve">COMPDELQSEMW </w:t>
            </w:r>
            <w:r w:rsidRPr="00E15B17">
              <w:rPr>
                <w:i/>
                <w:vertAlign w:val="subscript"/>
              </w:rPr>
              <w:t>qc(tp)d</w:t>
            </w:r>
          </w:p>
        </w:tc>
        <w:tc>
          <w:tcPr>
            <w:tcW w:w="566" w:type="pct"/>
          </w:tcPr>
          <w:p w14:paraId="63A94914"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70656166" w14:textId="77777777" w:rsidR="001F04FD" w:rsidRPr="00857EE5" w:rsidRDefault="001F04FD" w:rsidP="00AC4DEE">
            <w:pPr>
              <w:pStyle w:val="VariableDefinition"/>
              <w:tabs>
                <w:tab w:val="clear" w:pos="2160"/>
              </w:tabs>
              <w:spacing w:after="60"/>
              <w:ind w:left="0" w:firstLine="0"/>
              <w:rPr>
                <w:i/>
                <w:sz w:val="20"/>
              </w:rPr>
            </w:pPr>
            <w:r w:rsidRPr="00500837">
              <w:rPr>
                <w:i/>
                <w:sz w:val="20"/>
              </w:rPr>
              <w:t xml:space="preserve">Competitive Delivered MW Total </w:t>
            </w:r>
            <w:r>
              <w:rPr>
                <w:i/>
                <w:sz w:val="20"/>
              </w:rPr>
              <w:t xml:space="preserve">per QSE </w:t>
            </w:r>
            <w:r w:rsidRPr="00500837">
              <w:rPr>
                <w:i/>
                <w:sz w:val="20"/>
              </w:rPr>
              <w:t>per ERS Contract Period per ERS Time Period per ERS service type</w:t>
            </w:r>
            <w:r w:rsidRPr="00500837">
              <w:rPr>
                <w:sz w:val="20"/>
              </w:rPr>
              <w:t>—Total ERS competitive capacity delivered by QSE</w:t>
            </w:r>
            <w:r>
              <w:rPr>
                <w:sz w:val="20"/>
              </w:rPr>
              <w:t xml:space="preserve"> </w:t>
            </w:r>
            <w:r w:rsidRPr="001731B1">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141C722F" w14:textId="77777777" w:rsidTr="00AC4DEE">
        <w:trPr>
          <w:cantSplit/>
        </w:trPr>
        <w:tc>
          <w:tcPr>
            <w:tcW w:w="1298" w:type="pct"/>
          </w:tcPr>
          <w:p w14:paraId="1D24926A" w14:textId="77777777" w:rsidR="001F04FD" w:rsidRDefault="001F04FD" w:rsidP="00AC4DEE">
            <w:pPr>
              <w:pStyle w:val="TableBody"/>
            </w:pPr>
            <w:r>
              <w:t xml:space="preserve">COMPDELMWTOT </w:t>
            </w:r>
            <w:r w:rsidRPr="00E15B17">
              <w:rPr>
                <w:i/>
                <w:vertAlign w:val="subscript"/>
              </w:rPr>
              <w:t>c(tp)d</w:t>
            </w:r>
          </w:p>
        </w:tc>
        <w:tc>
          <w:tcPr>
            <w:tcW w:w="566" w:type="pct"/>
          </w:tcPr>
          <w:p w14:paraId="1F11B2DE"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0507B7A2"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Delivered MW Total per </w:t>
            </w:r>
            <w:r>
              <w:rPr>
                <w:i/>
                <w:sz w:val="20"/>
              </w:rPr>
              <w:t>ERS</w:t>
            </w:r>
            <w:r w:rsidRPr="00857EE5">
              <w:rPr>
                <w:i/>
                <w:sz w:val="20"/>
              </w:rPr>
              <w:t xml:space="preserve"> Contract Period per </w:t>
            </w:r>
            <w:r>
              <w:rPr>
                <w:i/>
                <w:sz w:val="20"/>
              </w:rPr>
              <w:t xml:space="preserve">ERS </w:t>
            </w:r>
            <w:r w:rsidRPr="00857EE5">
              <w:rPr>
                <w:i/>
                <w:sz w:val="20"/>
              </w:rPr>
              <w:t>Time Period</w:t>
            </w:r>
            <w:r>
              <w:rPr>
                <w:i/>
                <w:sz w:val="20"/>
              </w:rPr>
              <w:t xml:space="preserve"> per ERS Service Type</w:t>
            </w:r>
            <w:r w:rsidRPr="00857EE5">
              <w:t>—</w:t>
            </w:r>
            <w:r w:rsidRPr="00857EE5">
              <w:rPr>
                <w:sz w:val="20"/>
              </w:rPr>
              <w:t xml:space="preserve">Total </w:t>
            </w:r>
            <w:r>
              <w:rPr>
                <w:sz w:val="20"/>
              </w:rPr>
              <w:t>ERS</w:t>
            </w:r>
            <w:r w:rsidRPr="00857EE5">
              <w:rPr>
                <w:sz w:val="20"/>
              </w:rPr>
              <w:t xml:space="preserve"> competitive capacity delivered by all QSEs </w:t>
            </w:r>
            <w:r w:rsidRPr="00857EE5">
              <w:rPr>
                <w:bCs/>
                <w:sz w:val="20"/>
              </w:rPr>
              <w:t xml:space="preserve">for </w:t>
            </w:r>
            <w:r>
              <w:rPr>
                <w:bCs/>
                <w:sz w:val="20"/>
              </w:rPr>
              <w:t xml:space="preserve">ERS Contract Period </w:t>
            </w:r>
            <w:r>
              <w:rPr>
                <w:bCs/>
                <w:i/>
                <w:sz w:val="20"/>
              </w:rPr>
              <w:t>c</w:t>
            </w:r>
            <w:r>
              <w:rPr>
                <w:bCs/>
                <w:sz w:val="20"/>
              </w:rPr>
              <w:t xml:space="preserve">, </w:t>
            </w:r>
            <w:r>
              <w:rPr>
                <w:sz w:val="20"/>
              </w:rPr>
              <w:t>ERS</w:t>
            </w:r>
            <w:r w:rsidRPr="00857EE5">
              <w:rPr>
                <w:sz w:val="20"/>
              </w:rPr>
              <w:t xml:space="preserve"> Time Period</w:t>
            </w:r>
            <w:r w:rsidRPr="00857EE5">
              <w:rPr>
                <w:i/>
                <w:sz w:val="20"/>
              </w:rPr>
              <w:t xml:space="preserve"> tp</w:t>
            </w:r>
            <w:r>
              <w:rPr>
                <w:i/>
                <w:sz w:val="20"/>
              </w:rPr>
              <w:t xml:space="preserve"> </w:t>
            </w:r>
            <w:r>
              <w:rPr>
                <w:sz w:val="20"/>
              </w:rPr>
              <w:t xml:space="preserve">and ERS service type </w:t>
            </w:r>
            <w:r>
              <w:rPr>
                <w:i/>
                <w:sz w:val="20"/>
              </w:rPr>
              <w:t>d</w:t>
            </w:r>
            <w:r w:rsidRPr="00857EE5">
              <w:rPr>
                <w:sz w:val="20"/>
              </w:rPr>
              <w:t>.</w:t>
            </w:r>
          </w:p>
        </w:tc>
      </w:tr>
      <w:tr w:rsidR="001F04FD" w14:paraId="1CE18EC8" w14:textId="77777777" w:rsidTr="00AC4DEE">
        <w:trPr>
          <w:cantSplit/>
        </w:trPr>
        <w:tc>
          <w:tcPr>
            <w:tcW w:w="1298" w:type="pct"/>
          </w:tcPr>
          <w:p w14:paraId="22552E9F" w14:textId="77777777" w:rsidR="001F04FD" w:rsidRDefault="001F04FD" w:rsidP="00AC4DEE">
            <w:pPr>
              <w:pStyle w:val="TableBody"/>
            </w:pPr>
            <w:r w:rsidRPr="00B507B3">
              <w:t xml:space="preserve">SPDELQSEMW </w:t>
            </w:r>
            <w:r w:rsidRPr="00E15B17">
              <w:rPr>
                <w:i/>
                <w:vertAlign w:val="subscript"/>
              </w:rPr>
              <w:t>qc(tp)d</w:t>
            </w:r>
          </w:p>
        </w:tc>
        <w:tc>
          <w:tcPr>
            <w:tcW w:w="566" w:type="pct"/>
          </w:tcPr>
          <w:p w14:paraId="38EA506B"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01BFDBA"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w:t>
            </w:r>
            <w:r>
              <w:rPr>
                <w:i/>
                <w:sz w:val="20"/>
              </w:rPr>
              <w:t>per QSE</w:t>
            </w:r>
            <w:r w:rsidRPr="00500837">
              <w:rPr>
                <w:i/>
                <w:sz w:val="20"/>
              </w:rPr>
              <w:t xml:space="preserve">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QSE</w:t>
            </w:r>
            <w:r>
              <w:rPr>
                <w:sz w:val="20"/>
              </w:rPr>
              <w:t xml:space="preserve"> </w:t>
            </w:r>
            <w:r w:rsidRPr="00E91BBF">
              <w:rPr>
                <w:i/>
                <w:sz w:val="20"/>
              </w:rPr>
              <w:t>q</w:t>
            </w:r>
            <w:r w:rsidRPr="00500837">
              <w:rPr>
                <w:sz w:val="20"/>
              </w:rPr>
              <w:t xml:space="preserve">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0DE5BAE6" w14:textId="77777777" w:rsidTr="00AC4DEE">
        <w:trPr>
          <w:cantSplit/>
        </w:trPr>
        <w:tc>
          <w:tcPr>
            <w:tcW w:w="1298" w:type="pct"/>
          </w:tcPr>
          <w:p w14:paraId="142F49B4" w14:textId="77777777" w:rsidR="001F04FD" w:rsidRDefault="001F04FD" w:rsidP="00AC4DEE">
            <w:pPr>
              <w:pStyle w:val="TableBody"/>
            </w:pPr>
            <w:r w:rsidRPr="00B507B3">
              <w:t xml:space="preserve">SPDELMWTOT </w:t>
            </w:r>
            <w:r w:rsidRPr="00E15B17">
              <w:rPr>
                <w:i/>
                <w:vertAlign w:val="subscript"/>
              </w:rPr>
              <w:t>c(tp)d</w:t>
            </w:r>
          </w:p>
        </w:tc>
        <w:tc>
          <w:tcPr>
            <w:tcW w:w="566" w:type="pct"/>
          </w:tcPr>
          <w:p w14:paraId="752B36F5"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5E85A87"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all QSE</w:t>
            </w:r>
            <w:r>
              <w:rPr>
                <w:sz w:val="20"/>
              </w:rPr>
              <w:t xml:space="preserve"> </w:t>
            </w:r>
            <w:r w:rsidRPr="00E91BBF">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44AA002B" w14:textId="77777777" w:rsidTr="00AC4DEE">
        <w:trPr>
          <w:cantSplit/>
        </w:trPr>
        <w:tc>
          <w:tcPr>
            <w:tcW w:w="1298" w:type="pct"/>
          </w:tcPr>
          <w:p w14:paraId="413FB277" w14:textId="77777777" w:rsidR="001F04FD" w:rsidRDefault="001F04FD" w:rsidP="00AC4DEE">
            <w:pPr>
              <w:pStyle w:val="TableBody"/>
            </w:pPr>
            <w:r>
              <w:t xml:space="preserve">COMPOFFERMW </w:t>
            </w:r>
            <w:r w:rsidRPr="00E15B17">
              <w:rPr>
                <w:i/>
                <w:vertAlign w:val="subscript"/>
              </w:rPr>
              <w:t>qce(tp)d</w:t>
            </w:r>
          </w:p>
        </w:tc>
        <w:tc>
          <w:tcPr>
            <w:tcW w:w="566" w:type="pct"/>
          </w:tcPr>
          <w:p w14:paraId="43AE5FD0"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139E8D93"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Offered MW Total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offered </w:t>
            </w:r>
            <w:r w:rsidRPr="00857EE5">
              <w:rPr>
                <w:sz w:val="20"/>
              </w:rPr>
              <w:t xml:space="preserve">by QSE </w:t>
            </w:r>
            <w:r w:rsidRPr="00857EE5">
              <w:rPr>
                <w:i/>
                <w:sz w:val="20"/>
              </w:rPr>
              <w:t xml:space="preserve">q </w:t>
            </w:r>
            <w:r w:rsidRPr="00857EE5">
              <w:rPr>
                <w:bCs/>
                <w:sz w:val="20"/>
              </w:rPr>
              <w:t xml:space="preserve">for </w:t>
            </w:r>
            <w:r>
              <w:rPr>
                <w:bCs/>
                <w:sz w:val="20"/>
              </w:rPr>
              <w:t xml:space="preserve">ERS Contract Period </w:t>
            </w:r>
            <w:r>
              <w:rPr>
                <w:bCs/>
                <w:i/>
                <w:sz w:val="20"/>
              </w:rPr>
              <w:t>c</w:t>
            </w:r>
            <w:r>
              <w:rPr>
                <w:bCs/>
                <w:sz w:val="20"/>
              </w:rPr>
              <w:t>,</w:t>
            </w:r>
            <w:r w:rsidRPr="00857EE5">
              <w:rPr>
                <w:bCs/>
                <w:sz w:val="20"/>
              </w:rPr>
              <w:t xml:space="preserve"> competitive </w:t>
            </w:r>
            <w:r>
              <w:rPr>
                <w:bCs/>
                <w:sz w:val="20"/>
              </w:rPr>
              <w:t>ERS Resource</w:t>
            </w:r>
            <w:r w:rsidRPr="00857EE5">
              <w:rPr>
                <w:bCs/>
                <w:sz w:val="20"/>
              </w:rPr>
              <w:t xml:space="preserve"> </w:t>
            </w:r>
            <w:r w:rsidRPr="00857EE5">
              <w:rPr>
                <w:bCs/>
                <w:i/>
                <w:sz w:val="20"/>
              </w:rPr>
              <w:t>e</w:t>
            </w:r>
            <w:r w:rsidRPr="00857EE5">
              <w:rPr>
                <w:bCs/>
                <w:sz w:val="20"/>
              </w:rPr>
              <w:t xml:space="preserve"> </w:t>
            </w:r>
            <w:r w:rsidRPr="00857EE5">
              <w:rPr>
                <w:sz w:val="20"/>
              </w:rPr>
              <w:t xml:space="preserve">and </w:t>
            </w:r>
            <w:r>
              <w:rPr>
                <w:sz w:val="20"/>
              </w:rPr>
              <w:t>ERS</w:t>
            </w:r>
            <w:r w:rsidRPr="00857EE5">
              <w:rPr>
                <w:sz w:val="20"/>
              </w:rPr>
              <w:t xml:space="preserve"> Time Period </w:t>
            </w:r>
            <w:r w:rsidRPr="00857EE5">
              <w:rPr>
                <w:i/>
                <w:sz w:val="20"/>
              </w:rPr>
              <w:t>tp</w:t>
            </w:r>
            <w:r>
              <w:rPr>
                <w:sz w:val="20"/>
              </w:rPr>
              <w:t xml:space="preserve"> and ERS service type </w:t>
            </w:r>
            <w:r>
              <w:rPr>
                <w:i/>
                <w:sz w:val="20"/>
              </w:rPr>
              <w:t>d</w:t>
            </w:r>
            <w:r w:rsidRPr="00857EE5">
              <w:rPr>
                <w:sz w:val="20"/>
              </w:rPr>
              <w:t>.</w:t>
            </w:r>
          </w:p>
        </w:tc>
      </w:tr>
      <w:tr w:rsidR="001F04FD" w14:paraId="53DDE8E7" w14:textId="77777777" w:rsidTr="00AC4DEE">
        <w:trPr>
          <w:cantSplit/>
        </w:trPr>
        <w:tc>
          <w:tcPr>
            <w:tcW w:w="1298" w:type="pct"/>
          </w:tcPr>
          <w:p w14:paraId="48D53B33" w14:textId="77777777" w:rsidR="001F04FD" w:rsidRDefault="001F04FD" w:rsidP="00AC4DEE">
            <w:pPr>
              <w:pStyle w:val="TableBody"/>
            </w:pPr>
            <w:r>
              <w:lastRenderedPageBreak/>
              <w:t>ERS</w:t>
            </w:r>
            <w:r w:rsidRPr="00FA1244">
              <w:t>AFWT</w:t>
            </w:r>
            <w:r w:rsidRPr="00FA1244">
              <w:rPr>
                <w:vertAlign w:val="subscript"/>
              </w:rPr>
              <w:t xml:space="preserve"> </w:t>
            </w:r>
            <w:r w:rsidRPr="00E15B17">
              <w:rPr>
                <w:i/>
                <w:vertAlign w:val="subscript"/>
              </w:rPr>
              <w:t>qcd</w:t>
            </w:r>
          </w:p>
        </w:tc>
        <w:tc>
          <w:tcPr>
            <w:tcW w:w="566" w:type="pct"/>
          </w:tcPr>
          <w:p w14:paraId="374CFB9B" w14:textId="77777777" w:rsidR="001F04FD" w:rsidRPr="00D75F51" w:rsidRDefault="001F04FD" w:rsidP="00AC4DEE">
            <w:pPr>
              <w:pStyle w:val="VariableDefinition"/>
              <w:tabs>
                <w:tab w:val="clear" w:pos="2160"/>
              </w:tabs>
              <w:spacing w:after="60"/>
              <w:ind w:left="0" w:firstLine="0"/>
              <w:rPr>
                <w:sz w:val="20"/>
              </w:rPr>
            </w:pPr>
            <w:r w:rsidRPr="00FA1244">
              <w:rPr>
                <w:sz w:val="20"/>
              </w:rPr>
              <w:t>None</w:t>
            </w:r>
          </w:p>
        </w:tc>
        <w:tc>
          <w:tcPr>
            <w:tcW w:w="3136" w:type="pct"/>
          </w:tcPr>
          <w:p w14:paraId="1F5D2840" w14:textId="77777777" w:rsidR="001F04FD" w:rsidRPr="00857EE5" w:rsidRDefault="001F04FD" w:rsidP="00AC4DEE">
            <w:pPr>
              <w:pStyle w:val="VariableDefinition"/>
              <w:tabs>
                <w:tab w:val="clear" w:pos="2160"/>
              </w:tabs>
              <w:spacing w:after="60"/>
              <w:ind w:left="0" w:firstLine="0"/>
              <w:rPr>
                <w:i/>
                <w:sz w:val="20"/>
              </w:rPr>
            </w:pPr>
            <w:r>
              <w:rPr>
                <w:i/>
                <w:sz w:val="20"/>
              </w:rPr>
              <w:t>Availability S</w:t>
            </w:r>
            <w:r w:rsidRPr="00FA1244">
              <w:rPr>
                <w:i/>
                <w:sz w:val="20"/>
              </w:rPr>
              <w:t xml:space="preserve">ettlement weighting factor per QSE per </w:t>
            </w:r>
            <w:r>
              <w:rPr>
                <w:i/>
                <w:sz w:val="20"/>
              </w:rPr>
              <w:t>ERS</w:t>
            </w:r>
            <w:r w:rsidRPr="00FA1244">
              <w:rPr>
                <w:i/>
                <w:sz w:val="20"/>
              </w:rPr>
              <w:t xml:space="preserve"> Contract Period</w:t>
            </w:r>
            <w:r>
              <w:rPr>
                <w:i/>
                <w:sz w:val="20"/>
              </w:rPr>
              <w:t xml:space="preserve"> per ERS Service Type</w:t>
            </w:r>
            <w:r w:rsidRPr="00FA1244">
              <w:t>—</w:t>
            </w:r>
            <w:r w:rsidRPr="00FA1244">
              <w:rPr>
                <w:sz w:val="20"/>
              </w:rPr>
              <w:t xml:space="preserve">The weighting factor for QSE </w:t>
            </w:r>
            <w:r w:rsidRPr="00FA1244">
              <w:rPr>
                <w:i/>
                <w:sz w:val="20"/>
              </w:rPr>
              <w:t xml:space="preserve">q </w:t>
            </w:r>
            <w:r w:rsidRPr="00FA1244">
              <w:rPr>
                <w:sz w:val="20"/>
              </w:rPr>
              <w:t xml:space="preserve">for </w:t>
            </w:r>
            <w:r>
              <w:rPr>
                <w:sz w:val="20"/>
              </w:rPr>
              <w:t>ERS</w:t>
            </w:r>
            <w:r w:rsidRPr="00FA1244">
              <w:rPr>
                <w:sz w:val="20"/>
              </w:rPr>
              <w:t xml:space="preserve"> Contract Period</w:t>
            </w:r>
            <w:r w:rsidRPr="00FA1244">
              <w:rPr>
                <w:i/>
                <w:sz w:val="20"/>
              </w:rPr>
              <w:t xml:space="preserve"> c</w:t>
            </w:r>
            <w:r>
              <w:rPr>
                <w:sz w:val="20"/>
              </w:rPr>
              <w:t xml:space="preserve">, and ERS service type </w:t>
            </w:r>
            <w:r>
              <w:rPr>
                <w:i/>
                <w:sz w:val="20"/>
              </w:rPr>
              <w:t xml:space="preserve">d </w:t>
            </w:r>
            <w:r w:rsidRPr="00FA1244">
              <w:rPr>
                <w:sz w:val="20"/>
              </w:rPr>
              <w:t>to apply for Settlement as calculated pursuant to Section 8.1.3.1</w:t>
            </w:r>
            <w:r>
              <w:rPr>
                <w:sz w:val="20"/>
              </w:rPr>
              <w:t xml:space="preserve">.3.3, </w:t>
            </w:r>
            <w:r w:rsidRPr="0052437F">
              <w:rPr>
                <w:sz w:val="20"/>
              </w:rPr>
              <w:t>Contract Period Availability Calculations for Emergency Response Service Resources</w:t>
            </w:r>
            <w:r w:rsidRPr="00FA1244">
              <w:rPr>
                <w:sz w:val="20"/>
              </w:rPr>
              <w:t>.</w:t>
            </w:r>
          </w:p>
        </w:tc>
      </w:tr>
      <w:tr w:rsidR="001F04FD" w14:paraId="266F4AC7" w14:textId="77777777" w:rsidTr="00AC4DEE">
        <w:trPr>
          <w:cantSplit/>
        </w:trPr>
        <w:tc>
          <w:tcPr>
            <w:tcW w:w="1298" w:type="pct"/>
          </w:tcPr>
          <w:p w14:paraId="033CD4F7" w14:textId="77777777" w:rsidR="001F04FD" w:rsidRDefault="001F04FD" w:rsidP="00AC4DEE">
            <w:pPr>
              <w:pStyle w:val="TableBody"/>
            </w:pPr>
            <w:r>
              <w:t>ERS</w:t>
            </w:r>
            <w:r w:rsidRPr="00FA1244">
              <w:t xml:space="preserve">AFCOMB </w:t>
            </w:r>
            <w:r w:rsidRPr="00E15B17">
              <w:rPr>
                <w:i/>
                <w:vertAlign w:val="subscript"/>
              </w:rPr>
              <w:t>qrd</w:t>
            </w:r>
          </w:p>
        </w:tc>
        <w:tc>
          <w:tcPr>
            <w:tcW w:w="566" w:type="pct"/>
          </w:tcPr>
          <w:p w14:paraId="4FC2C28C" w14:textId="77777777" w:rsidR="001F04FD" w:rsidRPr="00D75F51" w:rsidRDefault="001F04FD" w:rsidP="00AC4DEE">
            <w:pPr>
              <w:pStyle w:val="VariableDefinition"/>
              <w:tabs>
                <w:tab w:val="clear" w:pos="2160"/>
              </w:tabs>
              <w:spacing w:after="60"/>
              <w:ind w:left="0" w:firstLine="0"/>
              <w:rPr>
                <w:sz w:val="20"/>
              </w:rPr>
            </w:pPr>
            <w:r w:rsidRPr="00D75F51">
              <w:rPr>
                <w:sz w:val="20"/>
              </w:rPr>
              <w:t>None</w:t>
            </w:r>
          </w:p>
        </w:tc>
        <w:tc>
          <w:tcPr>
            <w:tcW w:w="3136" w:type="pct"/>
          </w:tcPr>
          <w:p w14:paraId="7DAE6540" w14:textId="77777777" w:rsidR="001F04FD" w:rsidRPr="00857EE5" w:rsidRDefault="001F04FD" w:rsidP="00AC4DEE">
            <w:pPr>
              <w:pStyle w:val="VariableDefinition"/>
              <w:tabs>
                <w:tab w:val="clear" w:pos="2160"/>
              </w:tabs>
              <w:spacing w:after="60"/>
              <w:ind w:left="0" w:firstLine="0"/>
              <w:rPr>
                <w:sz w:val="20"/>
              </w:rPr>
            </w:pPr>
            <w:r>
              <w:rPr>
                <w:i/>
                <w:sz w:val="20"/>
              </w:rPr>
              <w:t>Time- and Capacity-Weighted ERS</w:t>
            </w:r>
            <w:r w:rsidRPr="00857EE5">
              <w:rPr>
                <w:i/>
                <w:sz w:val="20"/>
              </w:rPr>
              <w:t xml:space="preserve"> Availability Factor per QSE per </w:t>
            </w:r>
            <w:r>
              <w:rPr>
                <w:i/>
                <w:sz w:val="20"/>
              </w:rPr>
              <w:t>ERS</w:t>
            </w:r>
            <w:r w:rsidRPr="00857EE5">
              <w:rPr>
                <w:i/>
                <w:sz w:val="20"/>
              </w:rPr>
              <w:t xml:space="preserve"> </w:t>
            </w:r>
            <w:r>
              <w:rPr>
                <w:i/>
                <w:sz w:val="20"/>
              </w:rPr>
              <w:t>Standard Contract Term per ERS Service Type</w:t>
            </w:r>
            <w:r w:rsidRPr="00857EE5">
              <w:t>—</w:t>
            </w:r>
            <w:r w:rsidRPr="00857EE5">
              <w:rPr>
                <w:sz w:val="20"/>
              </w:rPr>
              <w:t xml:space="preserve">The availability factor for QSE </w:t>
            </w:r>
            <w:r w:rsidRPr="00857EE5">
              <w:rPr>
                <w:i/>
                <w:sz w:val="20"/>
              </w:rPr>
              <w:t>q</w:t>
            </w:r>
            <w:r w:rsidRPr="00857EE5">
              <w:rPr>
                <w:sz w:val="20"/>
              </w:rPr>
              <w:t xml:space="preserve"> for </w:t>
            </w:r>
            <w:r>
              <w:rPr>
                <w:sz w:val="20"/>
              </w:rPr>
              <w:t>ERS</w:t>
            </w:r>
            <w:r w:rsidRPr="00857EE5">
              <w:rPr>
                <w:sz w:val="20"/>
              </w:rPr>
              <w:t xml:space="preserve"> </w:t>
            </w:r>
            <w:r>
              <w:rPr>
                <w:sz w:val="20"/>
              </w:rPr>
              <w:t>Standard Contract Term</w:t>
            </w:r>
            <w:r w:rsidRPr="00857EE5">
              <w:rPr>
                <w:sz w:val="20"/>
              </w:rPr>
              <w:t xml:space="preserve"> </w:t>
            </w:r>
            <w:r>
              <w:rPr>
                <w:i/>
                <w:sz w:val="20"/>
              </w:rPr>
              <w:t>r</w:t>
            </w:r>
            <w:r>
              <w:rPr>
                <w:sz w:val="20"/>
              </w:rPr>
              <w:t xml:space="preserve"> and ERS service type </w:t>
            </w:r>
            <w:r>
              <w:rPr>
                <w:i/>
                <w:sz w:val="20"/>
              </w:rPr>
              <w:t xml:space="preserve">d, </w:t>
            </w:r>
            <w:r>
              <w:rPr>
                <w:sz w:val="20"/>
              </w:rPr>
              <w:t>as calculated</w:t>
            </w:r>
            <w:r w:rsidRPr="00857EE5">
              <w:rPr>
                <w:sz w:val="20"/>
              </w:rPr>
              <w:t xml:space="preserve"> pursuant to Section 8.1.3.</w:t>
            </w:r>
            <w:r>
              <w:rPr>
                <w:sz w:val="20"/>
              </w:rPr>
              <w:t xml:space="preserve">3, Payment Reductions and </w:t>
            </w:r>
            <w:r w:rsidRPr="00BF3E0E">
              <w:rPr>
                <w:sz w:val="20"/>
              </w:rPr>
              <w:t>Suspension of Qualification of Emergency Response Service Resources and/or their</w:t>
            </w:r>
            <w:r>
              <w:rPr>
                <w:sz w:val="20"/>
              </w:rPr>
              <w:t xml:space="preserve"> Qualified Scheduling Entities</w:t>
            </w:r>
            <w:r w:rsidRPr="00857EE5">
              <w:rPr>
                <w:sz w:val="20"/>
              </w:rPr>
              <w:t>.</w:t>
            </w:r>
          </w:p>
        </w:tc>
      </w:tr>
      <w:tr w:rsidR="001F04FD" w14:paraId="43E7D63F" w14:textId="77777777" w:rsidTr="00AC4DEE">
        <w:trPr>
          <w:cantSplit/>
        </w:trPr>
        <w:tc>
          <w:tcPr>
            <w:tcW w:w="1298" w:type="pct"/>
          </w:tcPr>
          <w:p w14:paraId="169477F5" w14:textId="77777777" w:rsidR="001F04FD" w:rsidRDefault="001F04FD" w:rsidP="00AC4DEE">
            <w:pPr>
              <w:pStyle w:val="TableBody"/>
            </w:pPr>
            <w:r>
              <w:t xml:space="preserve">ERSEPF </w:t>
            </w:r>
            <w:r w:rsidRPr="00E15B17">
              <w:rPr>
                <w:i/>
                <w:vertAlign w:val="subscript"/>
              </w:rPr>
              <w:t>qrd</w:t>
            </w:r>
          </w:p>
        </w:tc>
        <w:tc>
          <w:tcPr>
            <w:tcW w:w="566" w:type="pct"/>
          </w:tcPr>
          <w:p w14:paraId="58CAA64D" w14:textId="77777777" w:rsidR="001F04FD" w:rsidRPr="00AF75B3" w:rsidRDefault="001F04FD" w:rsidP="00AC4DEE">
            <w:pPr>
              <w:pStyle w:val="VariableDefinition"/>
              <w:tabs>
                <w:tab w:val="clear" w:pos="2160"/>
              </w:tabs>
              <w:spacing w:after="60"/>
              <w:ind w:left="0" w:firstLine="0"/>
              <w:rPr>
                <w:sz w:val="20"/>
              </w:rPr>
            </w:pPr>
            <w:r w:rsidRPr="00AF75B3">
              <w:rPr>
                <w:sz w:val="20"/>
              </w:rPr>
              <w:t>None</w:t>
            </w:r>
          </w:p>
        </w:tc>
        <w:tc>
          <w:tcPr>
            <w:tcW w:w="3136" w:type="pct"/>
          </w:tcPr>
          <w:p w14:paraId="715ACFEE" w14:textId="77777777" w:rsidR="001F04FD" w:rsidRPr="00857EE5" w:rsidRDefault="001F04FD" w:rsidP="00AC4DEE">
            <w:pPr>
              <w:pStyle w:val="VariableDefinition"/>
              <w:tabs>
                <w:tab w:val="clear" w:pos="2160"/>
              </w:tabs>
              <w:spacing w:after="60"/>
              <w:ind w:left="0" w:firstLine="0"/>
              <w:rPr>
                <w:i/>
                <w:sz w:val="20"/>
              </w:rPr>
            </w:pPr>
            <w:r>
              <w:rPr>
                <w:i/>
                <w:sz w:val="20"/>
              </w:rPr>
              <w:t>ERS</w:t>
            </w:r>
            <w:r w:rsidRPr="00857EE5">
              <w:rPr>
                <w:i/>
                <w:sz w:val="20"/>
              </w:rPr>
              <w:t xml:space="preserve"> Event Performance Factor per QSE per </w:t>
            </w:r>
            <w:r>
              <w:rPr>
                <w:i/>
                <w:sz w:val="20"/>
              </w:rPr>
              <w:t>ERS Standard Contract Term per ERS Service Type</w:t>
            </w:r>
            <w:r w:rsidRPr="00857EE5">
              <w:t>—</w:t>
            </w:r>
            <w:r w:rsidRPr="00857EE5">
              <w:rPr>
                <w:sz w:val="20"/>
              </w:rPr>
              <w:t xml:space="preserve">Event performance factor for QSE </w:t>
            </w:r>
            <w:r w:rsidRPr="00857EE5">
              <w:rPr>
                <w:i/>
                <w:sz w:val="20"/>
              </w:rPr>
              <w:t xml:space="preserve">q </w:t>
            </w:r>
            <w:r w:rsidRPr="00857EE5">
              <w:rPr>
                <w:sz w:val="20"/>
              </w:rPr>
              <w:t xml:space="preserve">in </w:t>
            </w:r>
            <w:r>
              <w:rPr>
                <w:sz w:val="20"/>
              </w:rPr>
              <w:t xml:space="preserve">ERS Standard Contract Term </w:t>
            </w:r>
            <w:r>
              <w:rPr>
                <w:i/>
                <w:sz w:val="20"/>
              </w:rPr>
              <w:t>r</w:t>
            </w:r>
            <w:r>
              <w:rPr>
                <w:sz w:val="20"/>
              </w:rPr>
              <w:t xml:space="preserve"> and ERS service type </w:t>
            </w:r>
            <w:r>
              <w:rPr>
                <w:i/>
                <w:sz w:val="20"/>
              </w:rPr>
              <w:t xml:space="preserve">d </w:t>
            </w:r>
            <w:r w:rsidRPr="00857EE5">
              <w:rPr>
                <w:sz w:val="20"/>
              </w:rPr>
              <w:t>as calculated pursuant to Section 8.1.3.</w:t>
            </w:r>
            <w:r>
              <w:rPr>
                <w:sz w:val="20"/>
              </w:rPr>
              <w:t>3.</w:t>
            </w:r>
            <w:r w:rsidRPr="00857EE5">
              <w:rPr>
                <w:sz w:val="20"/>
              </w:rPr>
              <w:t>1.</w:t>
            </w:r>
          </w:p>
        </w:tc>
      </w:tr>
      <w:tr w:rsidR="001F04FD" w14:paraId="44DC62F5" w14:textId="77777777" w:rsidTr="00AC4DEE">
        <w:trPr>
          <w:cantSplit/>
        </w:trPr>
        <w:tc>
          <w:tcPr>
            <w:tcW w:w="1298" w:type="pct"/>
          </w:tcPr>
          <w:p w14:paraId="3013013C" w14:textId="77777777" w:rsidR="001F04FD" w:rsidRDefault="001F04FD" w:rsidP="00AC4DEE">
            <w:pPr>
              <w:pStyle w:val="TableBody"/>
            </w:pPr>
            <w:r>
              <w:t xml:space="preserve">SPCUL </w:t>
            </w:r>
            <w:r w:rsidRPr="00E15B17">
              <w:rPr>
                <w:i/>
                <w:vertAlign w:val="subscript"/>
              </w:rPr>
              <w:t>qc(tp)d</w:t>
            </w:r>
          </w:p>
        </w:tc>
        <w:tc>
          <w:tcPr>
            <w:tcW w:w="566" w:type="pct"/>
          </w:tcPr>
          <w:p w14:paraId="6423262C" w14:textId="77777777" w:rsidR="001F04FD" w:rsidRDefault="001F04FD" w:rsidP="00AC4DEE">
            <w:pPr>
              <w:pStyle w:val="VariableDefinition"/>
              <w:tabs>
                <w:tab w:val="clear" w:pos="2160"/>
              </w:tabs>
              <w:spacing w:after="60"/>
              <w:ind w:left="0" w:firstLine="0"/>
            </w:pPr>
            <w:r>
              <w:rPr>
                <w:bCs/>
                <w:sz w:val="20"/>
              </w:rPr>
              <w:t>MW</w:t>
            </w:r>
          </w:p>
        </w:tc>
        <w:tc>
          <w:tcPr>
            <w:tcW w:w="3136" w:type="pct"/>
          </w:tcPr>
          <w:p w14:paraId="337C5BD9"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Capacity Upper Limit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sidRPr="002E5240">
              <w:rPr>
                <w:sz w:val="20"/>
              </w:rPr>
              <w:t xml:space="preserve">The </w:t>
            </w:r>
            <w:r>
              <w:rPr>
                <w:sz w:val="20"/>
              </w:rPr>
              <w:t>ERS</w:t>
            </w:r>
            <w:r w:rsidRPr="002E5240">
              <w:rPr>
                <w:sz w:val="20"/>
              </w:rPr>
              <w:t xml:space="preserve"> Self-Provision Capacity Upper Limit</w:t>
            </w:r>
            <w:r w:rsidRPr="002E5240" w:rsidDel="009C4A0B">
              <w:rPr>
                <w:sz w:val="20"/>
              </w:rPr>
              <w:t xml:space="preserve"> </w:t>
            </w:r>
            <w:r w:rsidRPr="002E5240">
              <w:rPr>
                <w:sz w:val="20"/>
              </w:rPr>
              <w:t xml:space="preserve">calculated by ERCOT for </w:t>
            </w:r>
            <w:r>
              <w:rPr>
                <w:sz w:val="20"/>
              </w:rPr>
              <w:t>a</w:t>
            </w:r>
            <w:r w:rsidRPr="002E5240">
              <w:rPr>
                <w:sz w:val="20"/>
              </w:rPr>
              <w:t xml:space="preserve"> self</w:t>
            </w:r>
            <w:r>
              <w:rPr>
                <w:sz w:val="20"/>
              </w:rPr>
              <w:t>-</w:t>
            </w:r>
            <w:r w:rsidRPr="002E5240">
              <w:rPr>
                <w:sz w:val="20"/>
              </w:rPr>
              <w:t xml:space="preserve">providing QSE </w:t>
            </w:r>
            <w:r>
              <w:rPr>
                <w:sz w:val="20"/>
              </w:rPr>
              <w:t xml:space="preserve">for ERS Contract Period </w:t>
            </w:r>
            <w:r>
              <w:rPr>
                <w:i/>
                <w:sz w:val="20"/>
              </w:rPr>
              <w:t>c</w:t>
            </w:r>
            <w:r>
              <w:rPr>
                <w:sz w:val="20"/>
              </w:rPr>
              <w:t xml:space="preserve"> and ERS Time Period </w:t>
            </w:r>
            <w:r>
              <w:rPr>
                <w:i/>
                <w:sz w:val="20"/>
              </w:rPr>
              <w:t>tp</w:t>
            </w:r>
            <w:r w:rsidRPr="007960D1">
              <w:rPr>
                <w:sz w:val="20"/>
              </w:rPr>
              <w:t xml:space="preserve"> </w:t>
            </w:r>
            <w:r w:rsidRPr="002E5240">
              <w:rPr>
                <w:sz w:val="20"/>
              </w:rPr>
              <w:t xml:space="preserve">by simultaneously solving for all QSEs’ obligations with the constraint that each QSE’s </w:t>
            </w:r>
            <w:r>
              <w:rPr>
                <w:sz w:val="20"/>
              </w:rPr>
              <w:t>ERS</w:t>
            </w:r>
            <w:r w:rsidRPr="002E5240">
              <w:rPr>
                <w:sz w:val="20"/>
              </w:rPr>
              <w:t xml:space="preserve"> Self-Provision Capacity Upper Limit</w:t>
            </w:r>
            <w:r w:rsidRPr="002E5240" w:rsidDel="009C4A0B">
              <w:rPr>
                <w:sz w:val="20"/>
              </w:rPr>
              <w:t xml:space="preserve"> </w:t>
            </w:r>
            <w:r w:rsidRPr="002E5240">
              <w:rPr>
                <w:sz w:val="20"/>
              </w:rPr>
              <w:t>does not exceed its obligation</w:t>
            </w:r>
            <w:r>
              <w:rPr>
                <w:sz w:val="20"/>
              </w:rPr>
              <w:t>.</w:t>
            </w:r>
          </w:p>
        </w:tc>
      </w:tr>
      <w:tr w:rsidR="001F04FD" w14:paraId="0011BE5C" w14:textId="77777777" w:rsidTr="00AC4DEE">
        <w:trPr>
          <w:cantSplit/>
        </w:trPr>
        <w:tc>
          <w:tcPr>
            <w:tcW w:w="1298" w:type="pct"/>
          </w:tcPr>
          <w:p w14:paraId="55CD23A6" w14:textId="77777777" w:rsidR="001F04FD" w:rsidRDefault="001F04FD" w:rsidP="00AC4DEE">
            <w:pPr>
              <w:pStyle w:val="TableBody"/>
            </w:pPr>
            <w:r>
              <w:t xml:space="preserve">SPOFFERMW </w:t>
            </w:r>
            <w:r w:rsidRPr="00E15B17">
              <w:rPr>
                <w:i/>
                <w:vertAlign w:val="subscript"/>
              </w:rPr>
              <w:t>qce(tp)d</w:t>
            </w:r>
          </w:p>
        </w:tc>
        <w:tc>
          <w:tcPr>
            <w:tcW w:w="566" w:type="pct"/>
          </w:tcPr>
          <w:p w14:paraId="39DD7E8E" w14:textId="77777777" w:rsidR="001F04FD" w:rsidRDefault="001F04FD" w:rsidP="00AC4DEE">
            <w:pPr>
              <w:pStyle w:val="VariableDefinition"/>
              <w:tabs>
                <w:tab w:val="clear" w:pos="2160"/>
              </w:tabs>
              <w:spacing w:after="60"/>
              <w:ind w:left="0" w:firstLine="0"/>
            </w:pPr>
            <w:r>
              <w:rPr>
                <w:sz w:val="20"/>
              </w:rPr>
              <w:t>MW</w:t>
            </w:r>
          </w:p>
        </w:tc>
        <w:tc>
          <w:tcPr>
            <w:tcW w:w="3136" w:type="pct"/>
          </w:tcPr>
          <w:p w14:paraId="014CF2F8"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Offer MW per QSE per </w:t>
            </w:r>
            <w:r>
              <w:rPr>
                <w:i/>
                <w:sz w:val="20"/>
              </w:rPr>
              <w:t xml:space="preserve">ERS </w:t>
            </w:r>
            <w:r w:rsidRPr="00DE1436">
              <w:rPr>
                <w:i/>
                <w:sz w:val="20"/>
              </w:rPr>
              <w:t xml:space="preserve">Contract Period per </w:t>
            </w:r>
            <w:r>
              <w:rPr>
                <w:i/>
                <w:sz w:val="20"/>
              </w:rPr>
              <w:t>ERS Resource</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ERS capacity offered as self-provision by QSE </w:t>
            </w:r>
            <w:r>
              <w:rPr>
                <w:i/>
                <w:sz w:val="20"/>
              </w:rPr>
              <w:t xml:space="preserve">q </w:t>
            </w:r>
            <w:r>
              <w:rPr>
                <w:sz w:val="20"/>
              </w:rPr>
              <w:t xml:space="preserve">for ERS Contract Period </w:t>
            </w:r>
            <w:r>
              <w:rPr>
                <w:i/>
                <w:sz w:val="20"/>
              </w:rPr>
              <w:t>c</w:t>
            </w:r>
            <w:r>
              <w:rPr>
                <w:sz w:val="20"/>
              </w:rPr>
              <w:t>, ERS Resource</w:t>
            </w:r>
            <w:r w:rsidRPr="00857EE5">
              <w:rPr>
                <w:sz w:val="20"/>
              </w:rPr>
              <w:t xml:space="preserve"> </w:t>
            </w:r>
            <w:r w:rsidRPr="00857EE5">
              <w:rPr>
                <w:i/>
                <w:sz w:val="20"/>
              </w:rPr>
              <w:t>e</w:t>
            </w:r>
            <w:r>
              <w:rPr>
                <w:sz w:val="20"/>
              </w:rPr>
              <w:t>,</w:t>
            </w:r>
            <w:r w:rsidRPr="00857EE5">
              <w:rPr>
                <w:sz w:val="20"/>
              </w:rPr>
              <w:t xml:space="preserve"> </w:t>
            </w:r>
            <w:r>
              <w:rPr>
                <w:sz w:val="20"/>
              </w:rPr>
              <w:t>ERS Time Period</w:t>
            </w:r>
            <w:r>
              <w:rPr>
                <w:i/>
                <w:sz w:val="20"/>
              </w:rPr>
              <w:t xml:space="preserve"> tp</w:t>
            </w:r>
            <w:r>
              <w:rPr>
                <w:sz w:val="20"/>
              </w:rPr>
              <w:t xml:space="preserve"> and ERS service type </w:t>
            </w:r>
            <w:r>
              <w:rPr>
                <w:i/>
                <w:sz w:val="20"/>
              </w:rPr>
              <w:t>d</w:t>
            </w:r>
            <w:r>
              <w:rPr>
                <w:sz w:val="20"/>
              </w:rPr>
              <w:t>.</w:t>
            </w:r>
          </w:p>
        </w:tc>
      </w:tr>
      <w:tr w:rsidR="001F04FD" w14:paraId="2E3472BE" w14:textId="77777777" w:rsidTr="00AC4DEE">
        <w:trPr>
          <w:cantSplit/>
        </w:trPr>
        <w:tc>
          <w:tcPr>
            <w:tcW w:w="1298" w:type="pct"/>
          </w:tcPr>
          <w:p w14:paraId="43C06D9F" w14:textId="77777777" w:rsidR="001F04FD" w:rsidRDefault="001F04FD" w:rsidP="00AC4DEE">
            <w:pPr>
              <w:pStyle w:val="TableBody"/>
            </w:pPr>
            <w:r>
              <w:t xml:space="preserve">ERSLRS </w:t>
            </w:r>
            <w:r w:rsidRPr="00E15B17">
              <w:rPr>
                <w:i/>
                <w:vertAlign w:val="subscript"/>
              </w:rPr>
              <w:t>qc(tp)</w:t>
            </w:r>
          </w:p>
        </w:tc>
        <w:tc>
          <w:tcPr>
            <w:tcW w:w="566" w:type="pct"/>
          </w:tcPr>
          <w:p w14:paraId="483A3374" w14:textId="77777777" w:rsidR="001F04FD" w:rsidRDefault="001F04FD" w:rsidP="00AC4DEE">
            <w:pPr>
              <w:pStyle w:val="VariableDefinition"/>
              <w:tabs>
                <w:tab w:val="clear" w:pos="2160"/>
              </w:tabs>
              <w:spacing w:after="60"/>
              <w:ind w:left="0" w:firstLine="0"/>
            </w:pPr>
            <w:r>
              <w:rPr>
                <w:sz w:val="20"/>
              </w:rPr>
              <w:t>None</w:t>
            </w:r>
          </w:p>
        </w:tc>
        <w:tc>
          <w:tcPr>
            <w:tcW w:w="3136" w:type="pct"/>
          </w:tcPr>
          <w:p w14:paraId="7BD4CFCA" w14:textId="77777777" w:rsidR="001F04FD" w:rsidRPr="009153BA" w:rsidRDefault="001F04FD" w:rsidP="00AC4DEE">
            <w:pPr>
              <w:pStyle w:val="VariableDefinition"/>
              <w:tabs>
                <w:tab w:val="clear" w:pos="2160"/>
              </w:tabs>
              <w:spacing w:after="60"/>
              <w:ind w:left="0" w:firstLine="0"/>
              <w:rPr>
                <w:i/>
                <w:sz w:val="20"/>
              </w:rPr>
            </w:pPr>
            <w:r>
              <w:rPr>
                <w:i/>
                <w:sz w:val="20"/>
              </w:rPr>
              <w:t>ERS</w:t>
            </w:r>
            <w:r w:rsidRPr="00DE1436">
              <w:rPr>
                <w:i/>
                <w:sz w:val="20"/>
              </w:rPr>
              <w:t xml:space="preserve"> Load Ratio Share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Pr>
                <w:sz w:val="20"/>
              </w:rPr>
              <w:t xml:space="preserve">ERS LRS for QSE </w:t>
            </w:r>
            <w:r>
              <w:rPr>
                <w:i/>
                <w:sz w:val="20"/>
              </w:rPr>
              <w:t xml:space="preserve">q </w:t>
            </w:r>
            <w:r>
              <w:rPr>
                <w:bCs/>
                <w:sz w:val="20"/>
              </w:rPr>
              <w:t xml:space="preserve">for </w:t>
            </w:r>
            <w:r>
              <w:rPr>
                <w:sz w:val="20"/>
              </w:rPr>
              <w:t xml:space="preserve">ERS Contract Period </w:t>
            </w:r>
            <w:r>
              <w:rPr>
                <w:i/>
                <w:sz w:val="20"/>
              </w:rPr>
              <w:t>c</w:t>
            </w:r>
            <w:r>
              <w:rPr>
                <w:sz w:val="20"/>
              </w:rPr>
              <w:t>, ERS Time Period</w:t>
            </w:r>
            <w:r>
              <w:rPr>
                <w:i/>
                <w:sz w:val="20"/>
              </w:rPr>
              <w:t xml:space="preserve"> 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BB60E0">
              <w:rPr>
                <w:sz w:val="20"/>
              </w:rPr>
              <w:t>.</w:t>
            </w:r>
            <w:r w:rsidR="00BD4C7C">
              <w:rPr>
                <w:sz w:val="20"/>
              </w:rPr>
              <w:t xml:space="preserve">  </w:t>
            </w:r>
            <w:r w:rsidR="00BD4C7C" w:rsidRPr="005861E2">
              <w:rPr>
                <w:iCs w:val="0"/>
                <w:sz w:val="20"/>
              </w:rPr>
              <w:t>If the resultant QSE-level share is negative, the QSE’s share will be set to zero and all other QSE shares will be adjusted on a pro rata basis such that the sum of all shares is equal to one.</w:t>
            </w:r>
          </w:p>
        </w:tc>
      </w:tr>
      <w:tr w:rsidR="001F04FD" w14:paraId="61B9CC94" w14:textId="77777777" w:rsidTr="00AC4DEE">
        <w:trPr>
          <w:cantSplit/>
        </w:trPr>
        <w:tc>
          <w:tcPr>
            <w:tcW w:w="1298" w:type="pct"/>
          </w:tcPr>
          <w:p w14:paraId="2D22AE54" w14:textId="77777777" w:rsidR="001F04FD" w:rsidRPr="00E15B17" w:rsidRDefault="001F04FD" w:rsidP="00AC4DEE">
            <w:pPr>
              <w:pStyle w:val="TableBody"/>
              <w:rPr>
                <w:i/>
              </w:rPr>
            </w:pPr>
            <w:r w:rsidRPr="00E15B17">
              <w:rPr>
                <w:i/>
              </w:rPr>
              <w:t>q</w:t>
            </w:r>
          </w:p>
        </w:tc>
        <w:tc>
          <w:tcPr>
            <w:tcW w:w="566" w:type="pct"/>
          </w:tcPr>
          <w:p w14:paraId="2686950C" w14:textId="77777777" w:rsidR="001F04FD" w:rsidRDefault="001F04FD" w:rsidP="00AC4DEE">
            <w:pPr>
              <w:pStyle w:val="TableBody"/>
            </w:pPr>
            <w:r>
              <w:t>None</w:t>
            </w:r>
          </w:p>
        </w:tc>
        <w:tc>
          <w:tcPr>
            <w:tcW w:w="3136" w:type="pct"/>
          </w:tcPr>
          <w:p w14:paraId="1410C09C" w14:textId="77777777" w:rsidR="001F04FD" w:rsidRDefault="001F04FD" w:rsidP="00AC4DEE">
            <w:pPr>
              <w:pStyle w:val="TableBody"/>
            </w:pPr>
            <w:r>
              <w:t>A QSE.</w:t>
            </w:r>
          </w:p>
        </w:tc>
      </w:tr>
      <w:tr w:rsidR="001F04FD" w14:paraId="37B0D374" w14:textId="77777777" w:rsidTr="00AC4DEE">
        <w:trPr>
          <w:cantSplit/>
        </w:trPr>
        <w:tc>
          <w:tcPr>
            <w:tcW w:w="1298" w:type="pct"/>
          </w:tcPr>
          <w:p w14:paraId="2FEA348A" w14:textId="77777777" w:rsidR="001F04FD" w:rsidRPr="00E15B17" w:rsidRDefault="001F04FD" w:rsidP="00AC4DEE">
            <w:pPr>
              <w:pStyle w:val="TableBody"/>
              <w:rPr>
                <w:i/>
              </w:rPr>
            </w:pPr>
            <w:r w:rsidRPr="00E15B17">
              <w:rPr>
                <w:i/>
              </w:rPr>
              <w:t>c</w:t>
            </w:r>
          </w:p>
        </w:tc>
        <w:tc>
          <w:tcPr>
            <w:tcW w:w="566" w:type="pct"/>
          </w:tcPr>
          <w:p w14:paraId="46EE65C1" w14:textId="77777777" w:rsidR="001F04FD" w:rsidRDefault="001F04FD" w:rsidP="00AC4DEE">
            <w:pPr>
              <w:pStyle w:val="TableBody"/>
            </w:pPr>
            <w:r>
              <w:t>None</w:t>
            </w:r>
          </w:p>
        </w:tc>
        <w:tc>
          <w:tcPr>
            <w:tcW w:w="3136" w:type="pct"/>
          </w:tcPr>
          <w:p w14:paraId="42C26BDD" w14:textId="77777777" w:rsidR="001F04FD" w:rsidRDefault="001F04FD" w:rsidP="00AC4DEE">
            <w:pPr>
              <w:pStyle w:val="TableBody"/>
            </w:pPr>
            <w:r>
              <w:t>ERS Contract Period.</w:t>
            </w:r>
          </w:p>
        </w:tc>
      </w:tr>
      <w:tr w:rsidR="001F04FD" w14:paraId="6D7896BD" w14:textId="77777777" w:rsidTr="00AC4DEE">
        <w:trPr>
          <w:cantSplit/>
        </w:trPr>
        <w:tc>
          <w:tcPr>
            <w:tcW w:w="1298" w:type="pct"/>
          </w:tcPr>
          <w:p w14:paraId="15ACDEA3" w14:textId="77777777" w:rsidR="001F04FD" w:rsidRPr="00E15B17" w:rsidRDefault="001F04FD" w:rsidP="00AC4DEE">
            <w:pPr>
              <w:pStyle w:val="TableBody"/>
              <w:rPr>
                <w:i/>
              </w:rPr>
            </w:pPr>
            <w:r w:rsidRPr="00E15B17">
              <w:rPr>
                <w:i/>
              </w:rPr>
              <w:t>r</w:t>
            </w:r>
          </w:p>
        </w:tc>
        <w:tc>
          <w:tcPr>
            <w:tcW w:w="566" w:type="pct"/>
          </w:tcPr>
          <w:p w14:paraId="23E5D05C" w14:textId="77777777" w:rsidR="001F04FD" w:rsidRDefault="001F04FD" w:rsidP="00AC4DEE">
            <w:pPr>
              <w:pStyle w:val="TableBody"/>
            </w:pPr>
            <w:r w:rsidRPr="00C83EFD">
              <w:t>None</w:t>
            </w:r>
          </w:p>
        </w:tc>
        <w:tc>
          <w:tcPr>
            <w:tcW w:w="3136" w:type="pct"/>
          </w:tcPr>
          <w:p w14:paraId="4277154A" w14:textId="77777777" w:rsidR="001F04FD" w:rsidRDefault="001F04FD" w:rsidP="00AC4DEE">
            <w:pPr>
              <w:pStyle w:val="TableBody"/>
            </w:pPr>
            <w:r w:rsidRPr="00C83EFD">
              <w:t>ERS Standard Contract Term.</w:t>
            </w:r>
          </w:p>
        </w:tc>
      </w:tr>
      <w:tr w:rsidR="001F04FD" w14:paraId="18637D59" w14:textId="77777777" w:rsidTr="00AC4DEE">
        <w:trPr>
          <w:cantSplit/>
        </w:trPr>
        <w:tc>
          <w:tcPr>
            <w:tcW w:w="1298" w:type="pct"/>
          </w:tcPr>
          <w:p w14:paraId="463BCF37" w14:textId="77777777" w:rsidR="001F04FD" w:rsidRPr="00E15B17" w:rsidRDefault="001F04FD" w:rsidP="00AC4DEE">
            <w:pPr>
              <w:pStyle w:val="TableBody"/>
              <w:rPr>
                <w:i/>
              </w:rPr>
            </w:pPr>
            <w:r w:rsidRPr="00E15B17">
              <w:rPr>
                <w:i/>
              </w:rPr>
              <w:t>tp</w:t>
            </w:r>
          </w:p>
        </w:tc>
        <w:tc>
          <w:tcPr>
            <w:tcW w:w="566" w:type="pct"/>
          </w:tcPr>
          <w:p w14:paraId="7F8942E0" w14:textId="77777777" w:rsidR="001F04FD" w:rsidRDefault="001F04FD" w:rsidP="00AC4DEE">
            <w:pPr>
              <w:pStyle w:val="TableBody"/>
            </w:pPr>
            <w:r>
              <w:t>None</w:t>
            </w:r>
          </w:p>
        </w:tc>
        <w:tc>
          <w:tcPr>
            <w:tcW w:w="3136" w:type="pct"/>
          </w:tcPr>
          <w:p w14:paraId="4FD779AB" w14:textId="77777777" w:rsidR="001F04FD" w:rsidRDefault="001F04FD" w:rsidP="00AC4DEE">
            <w:pPr>
              <w:pStyle w:val="TableBody"/>
            </w:pPr>
            <w:r>
              <w:t>Hours in an ERS Time Period.</w:t>
            </w:r>
          </w:p>
        </w:tc>
      </w:tr>
      <w:tr w:rsidR="001F04FD" w14:paraId="6D886661" w14:textId="77777777" w:rsidTr="00AC4DEE">
        <w:trPr>
          <w:cantSplit/>
        </w:trPr>
        <w:tc>
          <w:tcPr>
            <w:tcW w:w="1298" w:type="pct"/>
          </w:tcPr>
          <w:p w14:paraId="3BCC8C36" w14:textId="77777777" w:rsidR="001F04FD" w:rsidRPr="00E15B17" w:rsidRDefault="001F04FD" w:rsidP="00AC4DEE">
            <w:pPr>
              <w:pStyle w:val="TableBody"/>
              <w:rPr>
                <w:i/>
                <w:highlight w:val="yellow"/>
              </w:rPr>
            </w:pPr>
            <w:r w:rsidRPr="00E15B17">
              <w:rPr>
                <w:i/>
              </w:rPr>
              <w:t>e</w:t>
            </w:r>
          </w:p>
        </w:tc>
        <w:tc>
          <w:tcPr>
            <w:tcW w:w="566" w:type="pct"/>
          </w:tcPr>
          <w:p w14:paraId="312BB508" w14:textId="77777777" w:rsidR="001F04FD" w:rsidRDefault="001F04FD" w:rsidP="00AC4DEE">
            <w:pPr>
              <w:pStyle w:val="TableBody"/>
              <w:rPr>
                <w:noProof/>
              </w:rPr>
            </w:pPr>
            <w:r>
              <w:t>None</w:t>
            </w:r>
          </w:p>
        </w:tc>
        <w:tc>
          <w:tcPr>
            <w:tcW w:w="3136" w:type="pct"/>
          </w:tcPr>
          <w:p w14:paraId="74CCBD55" w14:textId="77777777" w:rsidR="001F04FD" w:rsidRDefault="001F04FD" w:rsidP="00AC4DEE">
            <w:pPr>
              <w:pStyle w:val="TableBody"/>
            </w:pPr>
            <w:r>
              <w:rPr>
                <w:bCs/>
              </w:rPr>
              <w:t>An ERS Resource</w:t>
            </w:r>
            <w:r>
              <w:t xml:space="preserve"> procured from a QSE for an ERS Contract Period.</w:t>
            </w:r>
          </w:p>
        </w:tc>
      </w:tr>
      <w:tr w:rsidR="001F04FD" w14:paraId="3EF8306A" w14:textId="77777777" w:rsidTr="00AC4DEE">
        <w:trPr>
          <w:cantSplit/>
        </w:trPr>
        <w:tc>
          <w:tcPr>
            <w:tcW w:w="1298" w:type="pct"/>
          </w:tcPr>
          <w:p w14:paraId="24CC84DC" w14:textId="77777777" w:rsidR="001F04FD" w:rsidRPr="00E15B17" w:rsidRDefault="001F04FD" w:rsidP="00AC4DEE">
            <w:pPr>
              <w:pStyle w:val="TableBody"/>
              <w:rPr>
                <w:i/>
              </w:rPr>
            </w:pPr>
            <w:r w:rsidRPr="00E15B17">
              <w:rPr>
                <w:i/>
              </w:rPr>
              <w:t>co</w:t>
            </w:r>
          </w:p>
        </w:tc>
        <w:tc>
          <w:tcPr>
            <w:tcW w:w="566" w:type="pct"/>
          </w:tcPr>
          <w:p w14:paraId="5511BBDF" w14:textId="77777777" w:rsidR="001F04FD" w:rsidRDefault="001F04FD" w:rsidP="00AC4DEE">
            <w:pPr>
              <w:pStyle w:val="TableBody"/>
            </w:pPr>
            <w:r>
              <w:t>None</w:t>
            </w:r>
          </w:p>
        </w:tc>
        <w:tc>
          <w:tcPr>
            <w:tcW w:w="3136" w:type="pct"/>
          </w:tcPr>
          <w:p w14:paraId="24612C96" w14:textId="77777777" w:rsidR="001F04FD" w:rsidRDefault="001F04FD" w:rsidP="00AC4DEE">
            <w:pPr>
              <w:pStyle w:val="TableBody"/>
            </w:pPr>
            <w:r>
              <w:t>The number of competitive ERS Resources procured from a QSE for an ERS Contract Period.</w:t>
            </w:r>
          </w:p>
        </w:tc>
      </w:tr>
      <w:tr w:rsidR="001F04FD" w14:paraId="16D9B3E7" w14:textId="77777777" w:rsidTr="00AC4DEE">
        <w:trPr>
          <w:cantSplit/>
        </w:trPr>
        <w:tc>
          <w:tcPr>
            <w:tcW w:w="1298" w:type="pct"/>
          </w:tcPr>
          <w:p w14:paraId="526615A5" w14:textId="77777777" w:rsidR="001F04FD" w:rsidRPr="00E15B17" w:rsidRDefault="001F04FD" w:rsidP="00AC4DEE">
            <w:pPr>
              <w:pStyle w:val="TableBody"/>
              <w:rPr>
                <w:i/>
              </w:rPr>
            </w:pPr>
            <w:r w:rsidRPr="00E15B17">
              <w:rPr>
                <w:i/>
              </w:rPr>
              <w:t>s</w:t>
            </w:r>
          </w:p>
        </w:tc>
        <w:tc>
          <w:tcPr>
            <w:tcW w:w="566" w:type="pct"/>
          </w:tcPr>
          <w:p w14:paraId="31592B31" w14:textId="77777777" w:rsidR="001F04FD" w:rsidRDefault="001F04FD" w:rsidP="00AC4DEE">
            <w:pPr>
              <w:pStyle w:val="TableBody"/>
            </w:pPr>
            <w:r>
              <w:t>None</w:t>
            </w:r>
          </w:p>
        </w:tc>
        <w:tc>
          <w:tcPr>
            <w:tcW w:w="3136" w:type="pct"/>
          </w:tcPr>
          <w:p w14:paraId="44DABEE2" w14:textId="77777777" w:rsidR="001F04FD" w:rsidRDefault="001F04FD" w:rsidP="00AC4DEE">
            <w:pPr>
              <w:pStyle w:val="TableBody"/>
              <w:rPr>
                <w:bCs/>
              </w:rPr>
            </w:pPr>
            <w:r>
              <w:t>The number of self-provided ERS Resources procured from a QSE for an ERS Contract Period.</w:t>
            </w:r>
          </w:p>
        </w:tc>
      </w:tr>
      <w:tr w:rsidR="001F04FD" w14:paraId="39F39C02" w14:textId="77777777" w:rsidTr="00AC4DEE">
        <w:trPr>
          <w:cantSplit/>
        </w:trPr>
        <w:tc>
          <w:tcPr>
            <w:tcW w:w="1298" w:type="pct"/>
          </w:tcPr>
          <w:p w14:paraId="38D7698E" w14:textId="77777777" w:rsidR="001F04FD" w:rsidRPr="00E15B17" w:rsidRDefault="001F04FD" w:rsidP="00AC4DEE">
            <w:pPr>
              <w:pStyle w:val="TableBody"/>
              <w:rPr>
                <w:i/>
              </w:rPr>
            </w:pPr>
            <w:r w:rsidRPr="00E15B17">
              <w:rPr>
                <w:i/>
              </w:rPr>
              <w:t>n</w:t>
            </w:r>
          </w:p>
        </w:tc>
        <w:tc>
          <w:tcPr>
            <w:tcW w:w="566" w:type="pct"/>
          </w:tcPr>
          <w:p w14:paraId="3AF92EC0" w14:textId="77777777" w:rsidR="001F04FD" w:rsidRDefault="001F04FD" w:rsidP="00AC4DEE">
            <w:pPr>
              <w:pStyle w:val="TableBody"/>
            </w:pPr>
            <w:r>
              <w:t>None</w:t>
            </w:r>
          </w:p>
        </w:tc>
        <w:tc>
          <w:tcPr>
            <w:tcW w:w="3136" w:type="pct"/>
          </w:tcPr>
          <w:p w14:paraId="04833E24" w14:textId="77777777" w:rsidR="001F04FD" w:rsidRDefault="001F04FD" w:rsidP="00AC4DEE">
            <w:pPr>
              <w:pStyle w:val="TableBody"/>
            </w:pPr>
            <w:r>
              <w:t>The number of QSEs for an ERS Contract Period.</w:t>
            </w:r>
            <w:r w:rsidDel="00BC1513">
              <w:t xml:space="preserve"> </w:t>
            </w:r>
          </w:p>
        </w:tc>
      </w:tr>
      <w:tr w:rsidR="001F04FD" w14:paraId="7C674814" w14:textId="77777777" w:rsidTr="00AC4DEE">
        <w:trPr>
          <w:cantSplit/>
        </w:trPr>
        <w:tc>
          <w:tcPr>
            <w:tcW w:w="1298" w:type="pct"/>
          </w:tcPr>
          <w:p w14:paraId="51B4C3A7" w14:textId="77777777" w:rsidR="001F04FD" w:rsidRPr="00E15B17" w:rsidRDefault="001F04FD" w:rsidP="00AC4DEE">
            <w:pPr>
              <w:pStyle w:val="TableBody"/>
              <w:rPr>
                <w:i/>
              </w:rPr>
            </w:pPr>
            <w:r w:rsidRPr="00E15B17">
              <w:rPr>
                <w:i/>
              </w:rPr>
              <w:lastRenderedPageBreak/>
              <w:t>d</w:t>
            </w:r>
          </w:p>
        </w:tc>
        <w:tc>
          <w:tcPr>
            <w:tcW w:w="566" w:type="pct"/>
          </w:tcPr>
          <w:p w14:paraId="1EC2D016" w14:textId="77777777" w:rsidR="001F04FD" w:rsidRDefault="001F04FD" w:rsidP="00AC4DEE">
            <w:pPr>
              <w:pStyle w:val="TableBody"/>
            </w:pPr>
            <w:r>
              <w:t>None</w:t>
            </w:r>
          </w:p>
        </w:tc>
        <w:tc>
          <w:tcPr>
            <w:tcW w:w="3136" w:type="pct"/>
          </w:tcPr>
          <w:p w14:paraId="32B59D7B" w14:textId="77777777" w:rsidR="001F04FD" w:rsidRPr="00720AEA" w:rsidRDefault="001F04FD" w:rsidP="00AC4DEE">
            <w:pPr>
              <w:pStyle w:val="TableBody"/>
            </w:pPr>
            <w:r>
              <w:t>ERS service type (</w:t>
            </w:r>
            <w:r w:rsidRPr="00D65103">
              <w:rPr>
                <w:iCs w:val="0"/>
              </w:rPr>
              <w:t>Weather</w:t>
            </w:r>
            <w:r>
              <w:rPr>
                <w:iCs w:val="0"/>
              </w:rPr>
              <w:t>-</w:t>
            </w:r>
            <w:r w:rsidRPr="00D65103">
              <w:rPr>
                <w:iCs w:val="0"/>
              </w:rPr>
              <w:t>Sensitive ERS-10</w:t>
            </w:r>
            <w:r>
              <w:rPr>
                <w:iCs w:val="0"/>
              </w:rPr>
              <w:t xml:space="preserve">, </w:t>
            </w:r>
            <w:r w:rsidRPr="00D65103">
              <w:rPr>
                <w:iCs w:val="0"/>
              </w:rPr>
              <w:t>Non-Weather</w:t>
            </w:r>
            <w:r>
              <w:rPr>
                <w:iCs w:val="0"/>
              </w:rPr>
              <w:t>-</w:t>
            </w:r>
            <w:r w:rsidRPr="00D65103">
              <w:rPr>
                <w:iCs w:val="0"/>
              </w:rPr>
              <w:t>Sensitive ERS-10</w:t>
            </w:r>
            <w:r>
              <w:rPr>
                <w:iCs w:val="0"/>
              </w:rPr>
              <w:t xml:space="preserve">, </w:t>
            </w:r>
            <w:r w:rsidRPr="00D65103">
              <w:rPr>
                <w:iCs w:val="0"/>
              </w:rPr>
              <w:t>Weather</w:t>
            </w:r>
            <w:r>
              <w:rPr>
                <w:iCs w:val="0"/>
              </w:rPr>
              <w:t>-</w:t>
            </w:r>
            <w:r w:rsidRPr="00D65103">
              <w:rPr>
                <w:iCs w:val="0"/>
              </w:rPr>
              <w:t>Sensitive ERS-</w:t>
            </w:r>
            <w:r>
              <w:rPr>
                <w:iCs w:val="0"/>
              </w:rPr>
              <w:t xml:space="preserve">30, or </w:t>
            </w:r>
            <w:r w:rsidRPr="00D65103">
              <w:rPr>
                <w:iCs w:val="0"/>
              </w:rPr>
              <w:t>Non-Weather</w:t>
            </w:r>
            <w:r>
              <w:rPr>
                <w:iCs w:val="0"/>
              </w:rPr>
              <w:t>-</w:t>
            </w:r>
            <w:r w:rsidRPr="00D65103">
              <w:rPr>
                <w:iCs w:val="0"/>
              </w:rPr>
              <w:t>Sensitive ERS-30</w:t>
            </w:r>
            <w:r>
              <w:t>).</w:t>
            </w:r>
          </w:p>
        </w:tc>
      </w:tr>
    </w:tbl>
    <w:p w14:paraId="214523A6" w14:textId="77777777" w:rsidR="001F04FD" w:rsidRDefault="001F04FD" w:rsidP="001F04FD">
      <w:pPr>
        <w:pStyle w:val="H4"/>
        <w:spacing w:before="480"/>
        <w:ind w:left="1267" w:hanging="1267"/>
      </w:pPr>
      <w:bookmarkStart w:id="2629" w:name="_Toc397505044"/>
      <w:bookmarkStart w:id="2630" w:name="_Toc402357176"/>
      <w:bookmarkStart w:id="2631" w:name="_Toc422486556"/>
      <w:bookmarkStart w:id="2632" w:name="_Toc433093409"/>
      <w:bookmarkStart w:id="2633" w:name="_Toc433093567"/>
      <w:bookmarkStart w:id="2634" w:name="_Toc440874797"/>
      <w:bookmarkStart w:id="2635" w:name="_Toc448142354"/>
      <w:bookmarkStart w:id="2636" w:name="_Toc448142511"/>
      <w:bookmarkStart w:id="2637" w:name="_Toc458770352"/>
      <w:bookmarkStart w:id="2638" w:name="_Toc459294320"/>
      <w:bookmarkStart w:id="2639" w:name="_Toc463262814"/>
      <w:bookmarkStart w:id="2640" w:name="_Toc468286887"/>
      <w:bookmarkStart w:id="2641" w:name="_Toc481502927"/>
      <w:bookmarkStart w:id="2642" w:name="_Toc496080095"/>
      <w:bookmarkStart w:id="2643" w:name="_Toc189044474"/>
      <w:r>
        <w:t>6.6.11.2</w:t>
      </w:r>
      <w:r>
        <w:tab/>
        <w:t>Emergency Response Service Capacity Charge</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14:paraId="74755EDC" w14:textId="77777777" w:rsidR="001F04FD" w:rsidRDefault="001F04FD" w:rsidP="001F04FD">
      <w:pPr>
        <w:pStyle w:val="BodyTextNumbered"/>
      </w:pPr>
      <w:r>
        <w:t>(1)</w:t>
      </w:r>
      <w:r>
        <w:tab/>
        <w:t>ERCOT shall allocate costs for an ERS service type and ERS Contract Period based on the LRS of each QSE during each ERS Time Period in an ERS Contract Period.  A QSE’s LRS for an ERS Time Period shall be the QSE’s total Load for the ERS Time Period divided by the total ERCOT Load in the ERS Time Period.  For the first S</w:t>
      </w:r>
      <w:r w:rsidRPr="00A55000">
        <w:t xml:space="preserve">ettlement of the </w:t>
      </w:r>
      <w:r>
        <w:t>ERS</w:t>
      </w:r>
      <w:r w:rsidRPr="00A55000">
        <w:t xml:space="preserve"> Contract Period as described in </w:t>
      </w:r>
      <w:r>
        <w:t xml:space="preserve">paragraph (1) of </w:t>
      </w:r>
      <w:r w:rsidRPr="00A55000">
        <w:t xml:space="preserve">Section 9.14.5, Settlement of </w:t>
      </w:r>
      <w:r>
        <w:t>Emergency Response Service</w:t>
      </w:r>
      <w:r w:rsidRPr="00A55000">
        <w:t xml:space="preserve">, LRS will be calculated using the </w:t>
      </w:r>
      <w:r>
        <w:t>latest Settlement</w:t>
      </w:r>
      <w:r w:rsidRPr="00A55000">
        <w:t xml:space="preserve"> Load for each Operating Day in the </w:t>
      </w:r>
      <w:r>
        <w:t>ERS</w:t>
      </w:r>
      <w:r w:rsidRPr="00A55000">
        <w:t xml:space="preserve"> Contract Period.  For the resettlement of the </w:t>
      </w:r>
      <w:r>
        <w:t>ERS</w:t>
      </w:r>
      <w:r w:rsidRPr="00A55000">
        <w:t xml:space="preserve"> Contract Period as described in </w:t>
      </w:r>
      <w:r>
        <w:t xml:space="preserve">paragraph (2) of </w:t>
      </w:r>
      <w:r w:rsidRPr="00A55000">
        <w:t xml:space="preserve">Section 9.14.5, the LRS will be calculated using the </w:t>
      </w:r>
      <w:r>
        <w:t>t</w:t>
      </w:r>
      <w:r w:rsidRPr="00A55000">
        <w:t>rue-</w:t>
      </w:r>
      <w:r>
        <w:t>u</w:t>
      </w:r>
      <w:r w:rsidRPr="00A55000">
        <w:t xml:space="preserve">p Load for each Operating Day in the </w:t>
      </w:r>
      <w:r>
        <w:t>ERS</w:t>
      </w:r>
      <w:r w:rsidRPr="00A55000">
        <w:t xml:space="preserve"> Contract Period.  </w:t>
      </w:r>
    </w:p>
    <w:p w14:paraId="55C509AB" w14:textId="77777777" w:rsidR="001F04FD" w:rsidRDefault="001F04FD" w:rsidP="001F04FD">
      <w:pPr>
        <w:pStyle w:val="BodyTextNumbered"/>
        <w:ind w:left="0" w:firstLine="0"/>
      </w:pPr>
      <w:r>
        <w:t>(2)</w:t>
      </w:r>
      <w:r>
        <w:tab/>
        <w:t>ERCOT shall calculate each QSE’s ERS capacity charge as follows:</w:t>
      </w:r>
    </w:p>
    <w:p w14:paraId="0310C6C2" w14:textId="77777777" w:rsidR="001F04FD" w:rsidRPr="00B913FA" w:rsidRDefault="001F04FD" w:rsidP="001F04FD">
      <w:pPr>
        <w:pStyle w:val="FormulaBold"/>
        <w:ind w:left="720" w:firstLine="0"/>
        <w:rPr>
          <w:i/>
          <w:vertAlign w:val="subscript"/>
        </w:rPr>
      </w:pPr>
      <w:r w:rsidRPr="00B913FA">
        <w:rPr>
          <w:lang w:val="pt-BR"/>
        </w:rPr>
        <w:t>LA</w:t>
      </w:r>
      <w:r>
        <w:rPr>
          <w:lang w:val="pt-BR"/>
        </w:rPr>
        <w:t>ERS</w:t>
      </w:r>
      <w:r w:rsidRPr="00B913FA">
        <w:rPr>
          <w:lang w:val="pt-BR"/>
        </w:rPr>
        <w:t>AMT  </w:t>
      </w:r>
      <w:r w:rsidRPr="00B913FA">
        <w:rPr>
          <w:i/>
          <w:vertAlign w:val="subscript"/>
          <w:lang w:val="pt-BR"/>
        </w:rPr>
        <w:t>qc</w:t>
      </w:r>
      <w:r w:rsidRPr="00B913FA">
        <w:rPr>
          <w:i/>
          <w:vertAlign w:val="subscript"/>
        </w:rPr>
        <w:t>(tp)</w:t>
      </w:r>
      <w:r>
        <w:rPr>
          <w:i/>
          <w:vertAlign w:val="subscript"/>
        </w:rPr>
        <w:t>d</w:t>
      </w:r>
      <w:r>
        <w:t xml:space="preserve"> = ERSLRS </w:t>
      </w:r>
      <w:r w:rsidRPr="00B913FA">
        <w:rPr>
          <w:i/>
          <w:vertAlign w:val="subscript"/>
        </w:rPr>
        <w:t>qc(tp)</w:t>
      </w:r>
      <w:r>
        <w:rPr>
          <w:i/>
          <w:vertAlign w:val="subscript"/>
        </w:rPr>
        <w:t>d</w:t>
      </w:r>
      <w:r w:rsidRPr="00B913FA">
        <w:rPr>
          <w:vertAlign w:val="subscript"/>
        </w:rPr>
        <w:t xml:space="preserve"> </w:t>
      </w:r>
      <w:r>
        <w:t>* ERSPAMTTOT </w:t>
      </w:r>
      <w:r w:rsidRPr="00B913FA">
        <w:rPr>
          <w:i/>
          <w:vertAlign w:val="subscript"/>
        </w:rPr>
        <w:t>c(tp)</w:t>
      </w:r>
      <w:r>
        <w:rPr>
          <w:i/>
          <w:vertAlign w:val="subscript"/>
        </w:rPr>
        <w:t>d</w:t>
      </w:r>
      <w:r w:rsidRPr="00B913FA" w:rsidDel="00665566">
        <w:rPr>
          <w:position w:val="-30"/>
        </w:rPr>
        <w:t xml:space="preserve"> </w:t>
      </w:r>
    </w:p>
    <w:p w14:paraId="35A5A797" w14:textId="77777777" w:rsidR="001F04FD" w:rsidRPr="00B913FA" w:rsidRDefault="001F04FD" w:rsidP="001F04FD">
      <w:pPr>
        <w:pStyle w:val="FormulaBold"/>
        <w:rPr>
          <w:i/>
          <w:vertAlign w:val="subscript"/>
        </w:rPr>
      </w:pPr>
      <w:r>
        <w:t>LAERSAMTQSETOT</w:t>
      </w:r>
      <w:r w:rsidRPr="00B913FA">
        <w:rPr>
          <w:i/>
          <w:vertAlign w:val="subscript"/>
        </w:rPr>
        <w:t>q</w:t>
      </w:r>
      <w:r w:rsidRPr="00B913FA">
        <w:rPr>
          <w:rFonts w:ascii="Times New Roman Bold" w:hAnsi="Times New Roman Bold"/>
        </w:rPr>
        <w:t xml:space="preserve"> = </w:t>
      </w:r>
      <w:r w:rsidRPr="00B913FA">
        <w:rPr>
          <w:position w:val="-30"/>
        </w:rPr>
        <w:object w:dxaOrig="465" w:dyaOrig="720" w14:anchorId="1C6D86A7">
          <v:shape id="_x0000_i1287" type="#_x0000_t75" style="width:18pt;height:36pt" o:ole="">
            <v:imagedata r:id="rId349" o:title=""/>
          </v:shape>
          <o:OLEObject Type="Embed" ProgID="Equation.3" ShapeID="_x0000_i1287" DrawAspect="Content" ObjectID="_1804653771" r:id="rId358"/>
        </w:object>
      </w:r>
      <w:r>
        <w:t>LAERSAMT </w:t>
      </w:r>
      <w:r>
        <w:rPr>
          <w:i/>
          <w:vertAlign w:val="subscript"/>
        </w:rPr>
        <w:t>q</w:t>
      </w:r>
      <w:r w:rsidRPr="00B913FA">
        <w:rPr>
          <w:i/>
          <w:vertAlign w:val="subscript"/>
        </w:rPr>
        <w:t>(tp)</w:t>
      </w:r>
      <w:r>
        <w:rPr>
          <w:i/>
          <w:vertAlign w:val="subscript"/>
        </w:rPr>
        <w:t>d</w:t>
      </w:r>
    </w:p>
    <w:p w14:paraId="2F1B1EA8" w14:textId="77777777" w:rsidR="001F04FD" w:rsidRPr="00B913FA" w:rsidRDefault="001F04FD" w:rsidP="001F04FD">
      <w:pPr>
        <w:rPr>
          <w:rFonts w:ascii="Times New Roman Bold" w:hAnsi="Times New Roman Bold"/>
          <w:b/>
        </w:rPr>
      </w:pPr>
      <w:r>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4"/>
        <w:gridCol w:w="928"/>
        <w:gridCol w:w="6122"/>
      </w:tblGrid>
      <w:tr w:rsidR="001F04FD" w14:paraId="465DCCA8" w14:textId="77777777" w:rsidTr="00236104">
        <w:tc>
          <w:tcPr>
            <w:tcW w:w="1279" w:type="pct"/>
          </w:tcPr>
          <w:p w14:paraId="3E73D27F" w14:textId="77777777" w:rsidR="001F04FD" w:rsidRDefault="001F04FD" w:rsidP="00AC4DEE">
            <w:pPr>
              <w:pStyle w:val="TableHead"/>
            </w:pPr>
            <w:r>
              <w:t>Variable</w:t>
            </w:r>
          </w:p>
        </w:tc>
        <w:tc>
          <w:tcPr>
            <w:tcW w:w="490" w:type="pct"/>
          </w:tcPr>
          <w:p w14:paraId="7C5F2634" w14:textId="77777777" w:rsidR="001F04FD" w:rsidRDefault="001F04FD" w:rsidP="00AC4DEE">
            <w:pPr>
              <w:pStyle w:val="TableHead"/>
            </w:pPr>
            <w:r>
              <w:t>Unit</w:t>
            </w:r>
          </w:p>
        </w:tc>
        <w:tc>
          <w:tcPr>
            <w:tcW w:w="3231" w:type="pct"/>
          </w:tcPr>
          <w:p w14:paraId="69499173" w14:textId="77777777" w:rsidR="001F04FD" w:rsidRDefault="001F04FD" w:rsidP="00AC4DEE">
            <w:pPr>
              <w:pStyle w:val="TableHead"/>
            </w:pPr>
            <w:r>
              <w:t>Description</w:t>
            </w:r>
          </w:p>
        </w:tc>
      </w:tr>
      <w:tr w:rsidR="001F04FD" w:rsidDel="00F954FC" w14:paraId="371E7F23" w14:textId="77777777" w:rsidTr="00236104">
        <w:trPr>
          <w:cantSplit/>
        </w:trPr>
        <w:tc>
          <w:tcPr>
            <w:tcW w:w="1279" w:type="pct"/>
          </w:tcPr>
          <w:p w14:paraId="178127BE" w14:textId="77777777" w:rsidR="001F04FD" w:rsidDel="00F954FC" w:rsidRDefault="001F04FD" w:rsidP="00AC4DEE">
            <w:pPr>
              <w:pStyle w:val="TableBody"/>
            </w:pPr>
            <w:r>
              <w:t>ERSPAMTTOT</w:t>
            </w:r>
            <w:r w:rsidRPr="003274F1">
              <w:rPr>
                <w:i/>
                <w:vertAlign w:val="subscript"/>
              </w:rPr>
              <w:t xml:space="preserve"> </w:t>
            </w:r>
            <w:r w:rsidRPr="00C26BA9">
              <w:rPr>
                <w:i/>
                <w:vertAlign w:val="subscript"/>
              </w:rPr>
              <w:t>c(tp)d</w:t>
            </w:r>
          </w:p>
        </w:tc>
        <w:tc>
          <w:tcPr>
            <w:tcW w:w="490" w:type="pct"/>
          </w:tcPr>
          <w:p w14:paraId="50DE6E47" w14:textId="77777777" w:rsidR="001F04FD" w:rsidRDefault="001F04FD" w:rsidP="00AC4DEE">
            <w:pPr>
              <w:pStyle w:val="VariableDefinition"/>
              <w:spacing w:after="60"/>
              <w:ind w:left="0" w:firstLine="0"/>
              <w:rPr>
                <w:sz w:val="20"/>
              </w:rPr>
            </w:pPr>
            <w:r>
              <w:rPr>
                <w:sz w:val="20"/>
              </w:rPr>
              <w:t>$</w:t>
            </w:r>
          </w:p>
        </w:tc>
        <w:tc>
          <w:tcPr>
            <w:tcW w:w="3231" w:type="pct"/>
          </w:tcPr>
          <w:p w14:paraId="003973DC" w14:textId="77777777" w:rsidR="001F04FD" w:rsidDel="00F954FC" w:rsidRDefault="001F04FD" w:rsidP="00AC4DEE">
            <w:pPr>
              <w:pStyle w:val="VariableDefinition"/>
              <w:spacing w:after="60"/>
              <w:ind w:left="0" w:firstLine="0"/>
              <w:rPr>
                <w:sz w:val="20"/>
              </w:rPr>
            </w:pPr>
            <w:r>
              <w:rPr>
                <w:i/>
                <w:sz w:val="20"/>
              </w:rPr>
              <w:t>ERS</w:t>
            </w:r>
            <w:r w:rsidRPr="009F3A66">
              <w:rPr>
                <w:i/>
                <w:sz w:val="20"/>
              </w:rPr>
              <w:t xml:space="preserve"> Payment </w:t>
            </w:r>
            <w:r>
              <w:rPr>
                <w:i/>
                <w:sz w:val="20"/>
              </w:rPr>
              <w:t>Amount Total per ERS Contract Period</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Total of all ERS payments for ERS Contract Period </w:t>
            </w:r>
            <w:r>
              <w:rPr>
                <w:i/>
                <w:sz w:val="20"/>
              </w:rPr>
              <w:t xml:space="preserve">c, </w:t>
            </w:r>
            <w:r>
              <w:rPr>
                <w:sz w:val="20"/>
              </w:rPr>
              <w:t>ERS Time Period</w:t>
            </w:r>
            <w:r>
              <w:rPr>
                <w:i/>
                <w:sz w:val="20"/>
              </w:rPr>
              <w:t xml:space="preserve"> tp </w:t>
            </w:r>
            <w:r>
              <w:rPr>
                <w:sz w:val="20"/>
              </w:rPr>
              <w:t xml:space="preserve">and ERS service type </w:t>
            </w:r>
            <w:r>
              <w:rPr>
                <w:i/>
                <w:sz w:val="20"/>
              </w:rPr>
              <w:t>d</w:t>
            </w:r>
            <w:r>
              <w:rPr>
                <w:sz w:val="20"/>
              </w:rPr>
              <w:t>.</w:t>
            </w:r>
          </w:p>
        </w:tc>
      </w:tr>
      <w:tr w:rsidR="001F04FD" w14:paraId="0B952DB6" w14:textId="77777777" w:rsidTr="00236104">
        <w:trPr>
          <w:cantSplit/>
        </w:trPr>
        <w:tc>
          <w:tcPr>
            <w:tcW w:w="1279" w:type="pct"/>
          </w:tcPr>
          <w:p w14:paraId="28002EBF" w14:textId="77777777" w:rsidR="001F04FD" w:rsidRDefault="001F04FD" w:rsidP="00AC4DEE">
            <w:pPr>
              <w:pStyle w:val="TableBody"/>
            </w:pPr>
            <w:r>
              <w:t xml:space="preserve">ERSLRS </w:t>
            </w:r>
            <w:r w:rsidRPr="00C26BA9">
              <w:rPr>
                <w:i/>
                <w:vertAlign w:val="subscript"/>
              </w:rPr>
              <w:t>qc(tp)d</w:t>
            </w:r>
          </w:p>
        </w:tc>
        <w:tc>
          <w:tcPr>
            <w:tcW w:w="490" w:type="pct"/>
          </w:tcPr>
          <w:p w14:paraId="2A0E0CC3" w14:textId="77777777" w:rsidR="001F04FD" w:rsidRDefault="001F04FD" w:rsidP="00AC4DEE">
            <w:pPr>
              <w:pStyle w:val="VariableDefinition"/>
              <w:tabs>
                <w:tab w:val="clear" w:pos="2160"/>
              </w:tabs>
              <w:spacing w:after="60"/>
              <w:ind w:left="0" w:firstLine="0"/>
              <w:rPr>
                <w:sz w:val="20"/>
              </w:rPr>
            </w:pPr>
            <w:r>
              <w:rPr>
                <w:sz w:val="20"/>
              </w:rPr>
              <w:t>None</w:t>
            </w:r>
          </w:p>
        </w:tc>
        <w:tc>
          <w:tcPr>
            <w:tcW w:w="3231" w:type="pct"/>
          </w:tcPr>
          <w:p w14:paraId="780C513B" w14:textId="77777777" w:rsidR="001F04FD" w:rsidRDefault="001F04FD" w:rsidP="00AC4DEE">
            <w:pPr>
              <w:pStyle w:val="VariableDefinition"/>
              <w:tabs>
                <w:tab w:val="clear" w:pos="2160"/>
              </w:tabs>
              <w:spacing w:after="60"/>
              <w:ind w:left="0" w:firstLine="0"/>
              <w:rPr>
                <w:sz w:val="20"/>
              </w:rPr>
            </w:pPr>
            <w:r>
              <w:rPr>
                <w:i/>
                <w:sz w:val="20"/>
              </w:rPr>
              <w:t xml:space="preserve">ERS </w:t>
            </w:r>
            <w:r w:rsidRPr="00EB7831">
              <w:rPr>
                <w:i/>
                <w:sz w:val="20"/>
              </w:rPr>
              <w:t xml:space="preserve">Load Ratio Share 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 xml:space="preserve">ERS LRS for QSE </w:t>
            </w:r>
            <w:r>
              <w:rPr>
                <w:i/>
                <w:sz w:val="20"/>
              </w:rPr>
              <w:t>q</w:t>
            </w:r>
            <w:r>
              <w:rPr>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 </w:t>
            </w:r>
            <w:r>
              <w:rPr>
                <w:i/>
                <w:sz w:val="20"/>
              </w:rPr>
              <w:t xml:space="preserve">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9B30E3">
              <w:rPr>
                <w:sz w:val="20"/>
              </w:rPr>
              <w:t>.</w:t>
            </w:r>
            <w:r w:rsidR="00BD4C7C">
              <w:rPr>
                <w:sz w:val="20"/>
              </w:rPr>
              <w:t xml:space="preserve">  </w:t>
            </w:r>
            <w:r w:rsidR="00BD4C7C">
              <w:rPr>
                <w:iCs w:val="0"/>
                <w:sz w:val="20"/>
              </w:rPr>
              <w:t>If the resultant QSE-</w:t>
            </w:r>
            <w:r w:rsidR="00BD4C7C" w:rsidRPr="005E146D">
              <w:rPr>
                <w:iCs w:val="0"/>
                <w:sz w:val="20"/>
              </w:rPr>
              <w:t>level share is negative, the QSE’s share will be set to zero and all other QSE shares will be adjusted on a pro rata basis such that the sum of all shares is equal to one.</w:t>
            </w:r>
          </w:p>
        </w:tc>
      </w:tr>
      <w:tr w:rsidR="001F04FD" w14:paraId="68B9CE0F" w14:textId="77777777" w:rsidTr="00236104">
        <w:trPr>
          <w:cantSplit/>
        </w:trPr>
        <w:tc>
          <w:tcPr>
            <w:tcW w:w="1279" w:type="pct"/>
          </w:tcPr>
          <w:p w14:paraId="75075A88" w14:textId="77777777" w:rsidR="001F04FD" w:rsidRDefault="001F04FD" w:rsidP="00AC4DEE">
            <w:pPr>
              <w:pStyle w:val="TableBody"/>
            </w:pPr>
            <w:r>
              <w:t xml:space="preserve">LAERSAMT </w:t>
            </w:r>
            <w:r w:rsidRPr="00C26BA9">
              <w:rPr>
                <w:i/>
                <w:vertAlign w:val="subscript"/>
              </w:rPr>
              <w:t>qc(tp)d</w:t>
            </w:r>
          </w:p>
        </w:tc>
        <w:tc>
          <w:tcPr>
            <w:tcW w:w="490" w:type="pct"/>
          </w:tcPr>
          <w:p w14:paraId="3629152F"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611E76A0" w14:textId="77777777" w:rsidR="001F04FD" w:rsidRDefault="001F04FD" w:rsidP="00AC4DEE">
            <w:pPr>
              <w:pStyle w:val="VariableDefinition"/>
              <w:tabs>
                <w:tab w:val="clear" w:pos="2160"/>
                <w:tab w:val="left" w:pos="2880"/>
              </w:tabs>
              <w:spacing w:after="60"/>
              <w:ind w:left="0" w:firstLine="0"/>
              <w:rPr>
                <w:sz w:val="20"/>
              </w:rPr>
            </w:pPr>
            <w:r>
              <w:rPr>
                <w:i/>
                <w:sz w:val="20"/>
              </w:rPr>
              <w:t>Load-Allocated ERS</w:t>
            </w:r>
            <w:r w:rsidRPr="00DE1436">
              <w:rPr>
                <w:i/>
                <w:sz w:val="20"/>
              </w:rPr>
              <w:t xml:space="preserve"> Amount</w:t>
            </w:r>
            <w:r>
              <w:rPr>
                <w:sz w:val="20"/>
              </w:rPr>
              <w:t xml:space="preserve"> </w:t>
            </w:r>
            <w:r w:rsidRPr="00EB7831">
              <w:rPr>
                <w:i/>
                <w:sz w:val="20"/>
              </w:rPr>
              <w:t xml:space="preserve">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ERS charge for QSE</w:t>
            </w:r>
            <w:r>
              <w:rPr>
                <w:bCs/>
                <w:sz w:val="20"/>
              </w:rPr>
              <w:t xml:space="preserve"> </w:t>
            </w:r>
            <w:r w:rsidRPr="0037298F">
              <w:rPr>
                <w:bCs/>
                <w:i/>
                <w:sz w:val="20"/>
              </w:rPr>
              <w:t>q</w:t>
            </w:r>
            <w:r>
              <w:rPr>
                <w:bCs/>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w:t>
            </w:r>
            <w:r>
              <w:rPr>
                <w:i/>
                <w:sz w:val="20"/>
              </w:rPr>
              <w:t xml:space="preserve"> tp</w:t>
            </w:r>
            <w:r>
              <w:rPr>
                <w:sz w:val="20"/>
              </w:rPr>
              <w:t xml:space="preserve"> and ERS service type </w:t>
            </w:r>
            <w:r>
              <w:rPr>
                <w:i/>
                <w:sz w:val="20"/>
              </w:rPr>
              <w:t>d</w:t>
            </w:r>
            <w:r>
              <w:rPr>
                <w:sz w:val="20"/>
              </w:rPr>
              <w:t>.</w:t>
            </w:r>
          </w:p>
        </w:tc>
      </w:tr>
      <w:tr w:rsidR="001F04FD" w14:paraId="6E8475B9" w14:textId="77777777" w:rsidTr="00236104">
        <w:trPr>
          <w:cantSplit/>
        </w:trPr>
        <w:tc>
          <w:tcPr>
            <w:tcW w:w="1279" w:type="pct"/>
          </w:tcPr>
          <w:p w14:paraId="3B2311E8" w14:textId="77777777" w:rsidR="001F04FD" w:rsidRPr="003274F1" w:rsidRDefault="001F04FD" w:rsidP="00AC4DEE">
            <w:pPr>
              <w:pStyle w:val="TableBody"/>
            </w:pPr>
            <w:r>
              <w:t xml:space="preserve">LAERSAMTQSETOT </w:t>
            </w:r>
            <w:r w:rsidRPr="00C26BA9">
              <w:rPr>
                <w:i/>
                <w:vertAlign w:val="subscript"/>
              </w:rPr>
              <w:t>q</w:t>
            </w:r>
          </w:p>
        </w:tc>
        <w:tc>
          <w:tcPr>
            <w:tcW w:w="490" w:type="pct"/>
          </w:tcPr>
          <w:p w14:paraId="4B72BFCE"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0C352977"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Load-Allocated ER</w:t>
            </w:r>
            <w:r w:rsidRPr="00715F17">
              <w:rPr>
                <w:i/>
                <w:sz w:val="20"/>
              </w:rPr>
              <w:t>S Amount</w:t>
            </w:r>
            <w:r w:rsidRPr="00DE1436">
              <w:rPr>
                <w:i/>
                <w:sz w:val="20"/>
              </w:rPr>
              <w:t xml:space="preserve"> QSE Total </w:t>
            </w:r>
            <w:r w:rsidRPr="00EB7831">
              <w:rPr>
                <w:i/>
                <w:sz w:val="20"/>
              </w:rPr>
              <w:t>per QSE</w:t>
            </w:r>
            <w:r>
              <w:t>—</w:t>
            </w:r>
            <w:r w:rsidRPr="00DE1436">
              <w:rPr>
                <w:sz w:val="20"/>
              </w:rPr>
              <w:t xml:space="preserve">The total </w:t>
            </w:r>
            <w:r>
              <w:rPr>
                <w:sz w:val="20"/>
              </w:rPr>
              <w:t>ERS charge for QSE</w:t>
            </w:r>
            <w:r>
              <w:rPr>
                <w:bCs/>
                <w:sz w:val="20"/>
              </w:rPr>
              <w:t xml:space="preserve"> </w:t>
            </w:r>
            <w:r>
              <w:rPr>
                <w:bCs/>
                <w:i/>
                <w:sz w:val="20"/>
              </w:rPr>
              <w:t>q</w:t>
            </w:r>
            <w:r>
              <w:rPr>
                <w:sz w:val="20"/>
              </w:rPr>
              <w:t>.</w:t>
            </w:r>
          </w:p>
        </w:tc>
      </w:tr>
      <w:tr w:rsidR="001F04FD" w14:paraId="5F3620D7" w14:textId="77777777" w:rsidTr="00236104">
        <w:trPr>
          <w:cantSplit/>
        </w:trPr>
        <w:tc>
          <w:tcPr>
            <w:tcW w:w="1279" w:type="pct"/>
          </w:tcPr>
          <w:p w14:paraId="6AA51C96" w14:textId="77777777" w:rsidR="001F04FD" w:rsidRPr="00C26BA9" w:rsidRDefault="001F04FD" w:rsidP="00AC4DEE">
            <w:pPr>
              <w:pStyle w:val="TableBody"/>
              <w:rPr>
                <w:i/>
              </w:rPr>
            </w:pPr>
            <w:r w:rsidRPr="00C26BA9">
              <w:rPr>
                <w:i/>
              </w:rPr>
              <w:t>q</w:t>
            </w:r>
          </w:p>
        </w:tc>
        <w:tc>
          <w:tcPr>
            <w:tcW w:w="490" w:type="pct"/>
          </w:tcPr>
          <w:p w14:paraId="5B46935D" w14:textId="77777777" w:rsidR="001F04FD" w:rsidRDefault="001F04FD" w:rsidP="00AC4DEE">
            <w:pPr>
              <w:pStyle w:val="TableBody"/>
              <w:rPr>
                <w:noProof/>
              </w:rPr>
            </w:pPr>
            <w:r>
              <w:t>None</w:t>
            </w:r>
          </w:p>
        </w:tc>
        <w:tc>
          <w:tcPr>
            <w:tcW w:w="3231" w:type="pct"/>
          </w:tcPr>
          <w:p w14:paraId="3D902DB4" w14:textId="77777777" w:rsidR="001F04FD" w:rsidRDefault="001F04FD" w:rsidP="00AC4DEE">
            <w:pPr>
              <w:pStyle w:val="TableBody"/>
            </w:pPr>
            <w:r>
              <w:t>A QSE.</w:t>
            </w:r>
          </w:p>
        </w:tc>
      </w:tr>
      <w:tr w:rsidR="001F04FD" w14:paraId="64BA47C7" w14:textId="77777777" w:rsidTr="00236104">
        <w:trPr>
          <w:cantSplit/>
        </w:trPr>
        <w:tc>
          <w:tcPr>
            <w:tcW w:w="1279" w:type="pct"/>
          </w:tcPr>
          <w:p w14:paraId="3A96B8C3" w14:textId="77777777" w:rsidR="001F04FD" w:rsidRPr="00C26BA9" w:rsidRDefault="001F04FD" w:rsidP="00AC4DEE">
            <w:pPr>
              <w:pStyle w:val="TableBody"/>
              <w:rPr>
                <w:i/>
                <w:highlight w:val="yellow"/>
              </w:rPr>
            </w:pPr>
            <w:r w:rsidRPr="00C26BA9">
              <w:rPr>
                <w:i/>
              </w:rPr>
              <w:t>c</w:t>
            </w:r>
          </w:p>
        </w:tc>
        <w:tc>
          <w:tcPr>
            <w:tcW w:w="490" w:type="pct"/>
          </w:tcPr>
          <w:p w14:paraId="433AF6D1" w14:textId="77777777" w:rsidR="001F04FD" w:rsidRDefault="001F04FD" w:rsidP="00AC4DEE">
            <w:pPr>
              <w:pStyle w:val="TableBody"/>
            </w:pPr>
            <w:r>
              <w:t>None</w:t>
            </w:r>
          </w:p>
        </w:tc>
        <w:tc>
          <w:tcPr>
            <w:tcW w:w="3231" w:type="pct"/>
          </w:tcPr>
          <w:p w14:paraId="481B91EF" w14:textId="77777777" w:rsidR="001F04FD" w:rsidRDefault="001F04FD" w:rsidP="00AC4DEE">
            <w:pPr>
              <w:pStyle w:val="TableBody"/>
            </w:pPr>
            <w:r>
              <w:t>ERS Contract Period.</w:t>
            </w:r>
          </w:p>
        </w:tc>
      </w:tr>
      <w:tr w:rsidR="001F04FD" w14:paraId="12C8EC43" w14:textId="77777777" w:rsidTr="00236104">
        <w:trPr>
          <w:cantSplit/>
        </w:trPr>
        <w:tc>
          <w:tcPr>
            <w:tcW w:w="1279" w:type="pct"/>
          </w:tcPr>
          <w:p w14:paraId="596081D8" w14:textId="77777777" w:rsidR="001F04FD" w:rsidRPr="00C26BA9" w:rsidRDefault="001F04FD" w:rsidP="00AC4DEE">
            <w:pPr>
              <w:pStyle w:val="TableBody"/>
              <w:rPr>
                <w:i/>
              </w:rPr>
            </w:pPr>
            <w:r w:rsidRPr="00C26BA9">
              <w:rPr>
                <w:i/>
              </w:rPr>
              <w:t>tp</w:t>
            </w:r>
          </w:p>
        </w:tc>
        <w:tc>
          <w:tcPr>
            <w:tcW w:w="490" w:type="pct"/>
          </w:tcPr>
          <w:p w14:paraId="66623287" w14:textId="77777777" w:rsidR="001F04FD" w:rsidRDefault="001F04FD" w:rsidP="00AC4DEE">
            <w:pPr>
              <w:pStyle w:val="TableBody"/>
            </w:pPr>
            <w:r>
              <w:t>None</w:t>
            </w:r>
          </w:p>
        </w:tc>
        <w:tc>
          <w:tcPr>
            <w:tcW w:w="3231" w:type="pct"/>
          </w:tcPr>
          <w:p w14:paraId="603956EF" w14:textId="77777777" w:rsidR="001F04FD" w:rsidRDefault="001F04FD" w:rsidP="00AC4DEE">
            <w:pPr>
              <w:pStyle w:val="TableBody"/>
            </w:pPr>
            <w:r>
              <w:t>An ERS Time Period.</w:t>
            </w:r>
          </w:p>
        </w:tc>
      </w:tr>
      <w:tr w:rsidR="001F04FD" w:rsidDel="00F954FC" w14:paraId="645F0932" w14:textId="77777777" w:rsidTr="00236104">
        <w:trPr>
          <w:cantSplit/>
        </w:trPr>
        <w:tc>
          <w:tcPr>
            <w:tcW w:w="1279" w:type="pct"/>
          </w:tcPr>
          <w:p w14:paraId="411C8D39" w14:textId="77777777" w:rsidR="001F04FD" w:rsidRPr="00C26BA9" w:rsidRDefault="001F04FD" w:rsidP="00AC4DEE">
            <w:pPr>
              <w:pStyle w:val="TableBody"/>
              <w:rPr>
                <w:i/>
              </w:rPr>
            </w:pPr>
            <w:r w:rsidRPr="00C26BA9">
              <w:rPr>
                <w:i/>
              </w:rPr>
              <w:lastRenderedPageBreak/>
              <w:t>d</w:t>
            </w:r>
          </w:p>
        </w:tc>
        <w:tc>
          <w:tcPr>
            <w:tcW w:w="490" w:type="pct"/>
          </w:tcPr>
          <w:p w14:paraId="7F629719" w14:textId="77777777" w:rsidR="001F04FD" w:rsidRDefault="001F04FD" w:rsidP="00AC4DEE">
            <w:pPr>
              <w:pStyle w:val="VariableDefinition"/>
              <w:spacing w:after="60"/>
              <w:ind w:left="0" w:firstLine="0"/>
              <w:rPr>
                <w:sz w:val="20"/>
              </w:rPr>
            </w:pPr>
            <w:r>
              <w:rPr>
                <w:sz w:val="20"/>
              </w:rPr>
              <w:t>None</w:t>
            </w:r>
          </w:p>
        </w:tc>
        <w:tc>
          <w:tcPr>
            <w:tcW w:w="3231" w:type="pct"/>
          </w:tcPr>
          <w:p w14:paraId="044BA0A8" w14:textId="77777777" w:rsidR="001F04FD" w:rsidRPr="0077031B" w:rsidRDefault="001F04FD" w:rsidP="00AC4DEE">
            <w:pPr>
              <w:pStyle w:val="VariableDefinition"/>
              <w:spacing w:after="60"/>
              <w:ind w:left="0" w:firstLine="0"/>
              <w:rPr>
                <w:sz w:val="20"/>
              </w:rPr>
            </w:pPr>
            <w:r>
              <w:rPr>
                <w:sz w:val="20"/>
              </w:rPr>
              <w:t>ERS service type (</w:t>
            </w:r>
            <w:r w:rsidRPr="00D65103">
              <w:rPr>
                <w:iCs w:val="0"/>
                <w:sz w:val="20"/>
              </w:rPr>
              <w:t>Weather</w:t>
            </w:r>
            <w:r>
              <w:rPr>
                <w:iCs w:val="0"/>
                <w:sz w:val="20"/>
              </w:rPr>
              <w:t>-</w:t>
            </w:r>
            <w:r w:rsidRPr="00D65103">
              <w:rPr>
                <w:iCs w:val="0"/>
                <w:sz w:val="20"/>
              </w:rPr>
              <w:t>Sensitive ERS-10</w:t>
            </w:r>
            <w:r>
              <w:rPr>
                <w:iCs w:val="0"/>
                <w:sz w:val="20"/>
              </w:rPr>
              <w:t xml:space="preserve">, </w:t>
            </w:r>
            <w:r w:rsidRPr="00D65103">
              <w:rPr>
                <w:iCs w:val="0"/>
                <w:sz w:val="20"/>
              </w:rPr>
              <w:t>Non-Weather</w:t>
            </w:r>
            <w:r>
              <w:rPr>
                <w:iCs w:val="0"/>
                <w:sz w:val="20"/>
              </w:rPr>
              <w:t>-</w:t>
            </w:r>
            <w:r w:rsidRPr="00D65103">
              <w:rPr>
                <w:iCs w:val="0"/>
                <w:sz w:val="20"/>
              </w:rPr>
              <w:t>Sensitive ERS-10</w:t>
            </w:r>
            <w:r>
              <w:rPr>
                <w:iCs w:val="0"/>
                <w:sz w:val="20"/>
              </w:rPr>
              <w:t xml:space="preserve">, </w:t>
            </w:r>
            <w:r w:rsidRPr="00D65103">
              <w:rPr>
                <w:iCs w:val="0"/>
                <w:sz w:val="20"/>
              </w:rPr>
              <w:t>Weather</w:t>
            </w:r>
            <w:r>
              <w:rPr>
                <w:iCs w:val="0"/>
                <w:sz w:val="20"/>
              </w:rPr>
              <w:t>-</w:t>
            </w:r>
            <w:r w:rsidRPr="00D65103">
              <w:rPr>
                <w:iCs w:val="0"/>
                <w:sz w:val="20"/>
              </w:rPr>
              <w:t>Sensitive ERS-</w:t>
            </w:r>
            <w:r>
              <w:rPr>
                <w:iCs w:val="0"/>
                <w:sz w:val="20"/>
              </w:rPr>
              <w:t xml:space="preserve">30, or </w:t>
            </w:r>
            <w:r w:rsidRPr="00D65103">
              <w:rPr>
                <w:iCs w:val="0"/>
                <w:sz w:val="20"/>
              </w:rPr>
              <w:t>Non-Weather</w:t>
            </w:r>
            <w:r>
              <w:rPr>
                <w:iCs w:val="0"/>
                <w:sz w:val="20"/>
              </w:rPr>
              <w:t>-</w:t>
            </w:r>
            <w:r w:rsidRPr="00D65103">
              <w:rPr>
                <w:iCs w:val="0"/>
                <w:sz w:val="20"/>
              </w:rPr>
              <w:t>Sensitive ERS-30</w:t>
            </w:r>
            <w:r>
              <w:rPr>
                <w:sz w:val="20"/>
              </w:rPr>
              <w:t>).</w:t>
            </w:r>
          </w:p>
        </w:tc>
      </w:tr>
    </w:tbl>
    <w:p w14:paraId="2CF0BDE6" w14:textId="77777777" w:rsidR="00236104" w:rsidRPr="00236104" w:rsidRDefault="00236104" w:rsidP="00236104">
      <w:pPr>
        <w:pStyle w:val="H3"/>
        <w:spacing w:before="480"/>
      </w:pPr>
      <w:bookmarkStart w:id="2644" w:name="_Toc189044475"/>
      <w:r w:rsidRPr="00236104">
        <w:t>6.6.12</w:t>
      </w:r>
      <w:r w:rsidRPr="00236104">
        <w:tab/>
        <w:t>Make-Whole Payment for Switchable Generation Resources Committed for Energy Emergency Alert (EEA)</w:t>
      </w:r>
      <w:bookmarkEnd w:id="2644"/>
    </w:p>
    <w:p w14:paraId="2AB1E843" w14:textId="77777777" w:rsidR="00236104" w:rsidRPr="008C62A0" w:rsidRDefault="00236104" w:rsidP="00236104">
      <w:pPr>
        <w:pStyle w:val="BodyTextNumbered"/>
      </w:pPr>
      <w:r w:rsidRPr="00AA20BE">
        <w:t>(1)</w:t>
      </w:r>
      <w:r w:rsidRPr="00AA20BE">
        <w:tab/>
        <w:t xml:space="preserve">If ERCOT directs a Switchable Generation Resource (SWGR) to switch to </w:t>
      </w:r>
      <w:r>
        <w:t xml:space="preserve">the </w:t>
      </w:r>
      <w:r w:rsidRPr="00AA20BE">
        <w:t>ERCOT</w:t>
      </w:r>
      <w:r>
        <w:t xml:space="preserve"> Control Area for an actual or anticipated Energy Emergency Alert (EEA) condition</w:t>
      </w:r>
      <w:r w:rsidRPr="00AA20BE">
        <w:t xml:space="preserve">, </w:t>
      </w:r>
      <w:r>
        <w:t xml:space="preserve">ERCOT shall pay </w:t>
      </w:r>
      <w:r w:rsidRPr="00AA20BE">
        <w:t xml:space="preserve">the QSE representing the </w:t>
      </w:r>
      <w:r>
        <w:t>SWGR</w:t>
      </w:r>
      <w:r w:rsidRPr="00AA20BE">
        <w:t xml:space="preserve"> a Switchable Generation Make-Whole </w:t>
      </w:r>
      <w:r w:rsidR="00C0502C" w:rsidRPr="00AA20BE">
        <w:t>Payment</w:t>
      </w:r>
      <w:r w:rsidR="00C0502C" w:rsidRPr="00AB6A66">
        <w:t xml:space="preserve"> </w:t>
      </w:r>
      <w:r w:rsidR="00C0502C">
        <w:t>(SWMWAMT)</w:t>
      </w:r>
      <w:r w:rsidR="00C0502C" w:rsidRPr="00AA20BE">
        <w:t xml:space="preserve"> as </w:t>
      </w:r>
      <w:r w:rsidRPr="00AA20BE">
        <w:t xml:space="preserve">calculated </w:t>
      </w:r>
      <w:r>
        <w:t xml:space="preserve">in Section 6.6.12.1, </w:t>
      </w:r>
      <w:r w:rsidRPr="00CA3101">
        <w:t>Switchable Generation Make-Whole Payment</w:t>
      </w:r>
      <w:r>
        <w:t>, if the QSE has</w:t>
      </w:r>
      <w:r w:rsidRPr="00AA20BE">
        <w:t>:</w:t>
      </w:r>
    </w:p>
    <w:p w14:paraId="062825AA" w14:textId="419E3E62" w:rsidR="00236104" w:rsidRDefault="00236104" w:rsidP="00236104">
      <w:pPr>
        <w:spacing w:after="240"/>
        <w:ind w:left="1440" w:hanging="720"/>
      </w:pPr>
      <w:r w:rsidRPr="00C42B52">
        <w:t>(a)</w:t>
      </w:r>
      <w:r w:rsidRPr="00C42B52">
        <w:tab/>
      </w:r>
      <w:r>
        <w:t>Not opted out of the RUC instruction</w:t>
      </w:r>
      <w:r w:rsidR="00FC5B77">
        <w:t xml:space="preserve">, </w:t>
      </w:r>
      <w:r w:rsidR="00FC5B77" w:rsidRPr="002C41DB">
        <w:t>which may be a verbal RUC,</w:t>
      </w:r>
      <w:r>
        <w:t xml:space="preserve"> per the process described in paragraph (1</w:t>
      </w:r>
      <w:r w:rsidR="00910305">
        <w:t>4</w:t>
      </w:r>
      <w:r>
        <w:t>) of Section 5.5.2, Reliability Unit Commitment (RUC) Process;</w:t>
      </w:r>
    </w:p>
    <w:p w14:paraId="4D399DA2" w14:textId="41A11D31" w:rsidR="00236104" w:rsidRPr="00C42B52" w:rsidRDefault="00236104" w:rsidP="00E330FE">
      <w:pPr>
        <w:spacing w:after="240"/>
        <w:ind w:left="1440" w:hanging="720"/>
      </w:pPr>
      <w:r>
        <w:t>(b)</w:t>
      </w:r>
      <w:r>
        <w:tab/>
        <w:t>C</w:t>
      </w:r>
      <w:r w:rsidRPr="00C42B52">
        <w:t>omplied with</w:t>
      </w:r>
      <w:r>
        <w:t xml:space="preserve"> the RUC</w:t>
      </w:r>
      <w:r w:rsidRPr="00C42B52">
        <w:t xml:space="preserve"> </w:t>
      </w:r>
      <w:r>
        <w:t>i</w:t>
      </w:r>
      <w:r w:rsidRPr="00C42B52">
        <w:t>nstruction</w:t>
      </w:r>
      <w:r w:rsidR="00FC5B77">
        <w:t xml:space="preserve">, </w:t>
      </w:r>
      <w:r w:rsidR="00FC5B77" w:rsidRPr="002C41DB">
        <w:t>which may be a verbal RUC,</w:t>
      </w:r>
      <w:r w:rsidRPr="00C42B52">
        <w:t xml:space="preserve"> to switch to </w:t>
      </w:r>
      <w:r>
        <w:t xml:space="preserve">the </w:t>
      </w:r>
      <w:r w:rsidRPr="00C42B52">
        <w:t xml:space="preserve">ERCOT </w:t>
      </w:r>
      <w:r>
        <w:t xml:space="preserve">Control Area </w:t>
      </w:r>
      <w:r w:rsidRPr="00C42B52">
        <w:t>and start the Resource;</w:t>
      </w:r>
    </w:p>
    <w:p w14:paraId="36613681" w14:textId="77777777" w:rsidR="00236104" w:rsidRPr="00C42B52" w:rsidRDefault="00236104" w:rsidP="00236104">
      <w:pPr>
        <w:spacing w:after="240"/>
        <w:ind w:left="1440" w:hanging="720"/>
      </w:pPr>
      <w:r w:rsidRPr="00C42B52">
        <w:t>(</w:t>
      </w:r>
      <w:r>
        <w:t>c</w:t>
      </w:r>
      <w:r w:rsidRPr="00C42B52">
        <w:t>)</w:t>
      </w:r>
      <w:r w:rsidRPr="00C42B52">
        <w:tab/>
      </w:r>
      <w:r>
        <w:t>Submitted</w:t>
      </w:r>
      <w:r w:rsidRPr="00C42B52">
        <w:t xml:space="preserve"> a </w:t>
      </w:r>
      <w:r>
        <w:t xml:space="preserve">timely </w:t>
      </w:r>
      <w:r w:rsidRPr="00C42B52">
        <w:t xml:space="preserve">Settlement </w:t>
      </w:r>
      <w:r>
        <w:t xml:space="preserve">and billing </w:t>
      </w:r>
      <w:r w:rsidRPr="00C42B52">
        <w:t xml:space="preserve">dispute, including the following items: </w:t>
      </w:r>
    </w:p>
    <w:p w14:paraId="4A74C6DC" w14:textId="77777777" w:rsidR="00236104" w:rsidRPr="00C42B52" w:rsidRDefault="00236104" w:rsidP="00236104">
      <w:pPr>
        <w:spacing w:after="240"/>
        <w:ind w:left="2160" w:hanging="720"/>
      </w:pPr>
      <w:r w:rsidRPr="00C42B52">
        <w:t>(i)</w:t>
      </w:r>
      <w:r w:rsidRPr="00C42B52">
        <w:tab/>
        <w:t>An attestation signed by an officer or executive with authority to bind the QSE</w:t>
      </w:r>
      <w:r>
        <w:t xml:space="preserve"> stating that the information contained in the submission is accurate</w:t>
      </w:r>
      <w:r w:rsidRPr="00C42B52">
        <w:t>;</w:t>
      </w:r>
    </w:p>
    <w:p w14:paraId="7CFDB126" w14:textId="77777777" w:rsidR="00236104" w:rsidRPr="00C42B52" w:rsidRDefault="00236104" w:rsidP="00236104">
      <w:pPr>
        <w:spacing w:after="240"/>
        <w:ind w:left="2160" w:hanging="720"/>
      </w:pPr>
      <w:r w:rsidRPr="00C42B52">
        <w:t>(ii)</w:t>
      </w:r>
      <w:r w:rsidRPr="00C42B52">
        <w:tab/>
        <w:t>The dollar amount and calculation of the financial loss, if applicable, by Settlement Interval for:</w:t>
      </w:r>
    </w:p>
    <w:p w14:paraId="2B81E6BB" w14:textId="7DEC3803" w:rsidR="00236104" w:rsidRPr="00C42B52" w:rsidRDefault="00236104" w:rsidP="00236104">
      <w:pPr>
        <w:spacing w:after="240"/>
        <w:ind w:left="2880" w:hanging="720"/>
      </w:pPr>
      <w:r>
        <w:t>(A)</w:t>
      </w:r>
      <w:r>
        <w:tab/>
      </w:r>
      <w:r w:rsidR="00FC5B77">
        <w:t>E</w:t>
      </w:r>
      <w:r>
        <w:t xml:space="preserve">nergy and ancillary service </w:t>
      </w:r>
      <w:r w:rsidRPr="00C42B52">
        <w:t xml:space="preserve">imbalance costs </w:t>
      </w:r>
      <w:r>
        <w:t xml:space="preserve">assessed under the non-ERCOT Control Area </w:t>
      </w:r>
      <w:r w:rsidR="00C0502C">
        <w:t xml:space="preserve">Operator’s (CAO’s) </w:t>
      </w:r>
      <w:r>
        <w:t xml:space="preserve">settlement process arising from </w:t>
      </w:r>
      <w:r w:rsidR="00FC5B77">
        <w:t xml:space="preserve">DAM </w:t>
      </w:r>
      <w:r>
        <w:t>energy and ancillary service obligations of the SWGR in the non-ERCOT Control Area for the time period starting at the initiation of the ramp-down</w:t>
      </w:r>
      <w:r w:rsidRPr="00C42B52">
        <w:t xml:space="preserve"> in the non-ERCOT Control Area to two hours following the time ERCOT released the </w:t>
      </w:r>
      <w:r>
        <w:t>SWGR</w:t>
      </w:r>
      <w:r w:rsidRPr="00C42B52">
        <w:t>;</w:t>
      </w:r>
    </w:p>
    <w:p w14:paraId="317D6B60" w14:textId="77777777" w:rsidR="00236104" w:rsidRDefault="00236104" w:rsidP="00236104">
      <w:pPr>
        <w:pStyle w:val="List3"/>
      </w:pPr>
      <w:r>
        <w:t>(B)</w:t>
      </w:r>
      <w:r>
        <w:tab/>
      </w:r>
      <w:r w:rsidRPr="00C42B52">
        <w:t xml:space="preserve">Incremental fuel costs incurred to comply with the instruction.  Incremental fuel costs may include </w:t>
      </w:r>
      <w:r>
        <w:t>only those</w:t>
      </w:r>
      <w:r w:rsidRPr="00C42B52">
        <w:t xml:space="preserve"> fuel costs described in Section 9.14.</w:t>
      </w:r>
      <w:r>
        <w:t>9</w:t>
      </w:r>
      <w:r w:rsidRPr="00C42B52">
        <w:t xml:space="preserve">, </w:t>
      </w:r>
      <w:r>
        <w:t xml:space="preserve">Incremental Fuel Costs </w:t>
      </w:r>
      <w:r w:rsidRPr="00C42B52">
        <w:t xml:space="preserve">for </w:t>
      </w:r>
      <w:r>
        <w:t xml:space="preserve">Switchable Generation </w:t>
      </w:r>
      <w:r w:rsidRPr="00C42B52">
        <w:t>Make-Whole Payment</w:t>
      </w:r>
      <w:r>
        <w:t xml:space="preserve"> Disputes</w:t>
      </w:r>
      <w:r w:rsidRPr="00351C8F">
        <w:t>;</w:t>
      </w:r>
    </w:p>
    <w:p w14:paraId="338D1ABE" w14:textId="77777777" w:rsidR="00236104" w:rsidRDefault="00236104" w:rsidP="00236104">
      <w:pPr>
        <w:pStyle w:val="List3"/>
      </w:pPr>
      <w:r>
        <w:t>(C)</w:t>
      </w:r>
      <w:r>
        <w:tab/>
        <w:t xml:space="preserve">Make-Whole Payment </w:t>
      </w:r>
      <w:r w:rsidRPr="009C12DD">
        <w:t>d</w:t>
      </w:r>
      <w:r>
        <w:t>istribution costs for the commitment of g</w:t>
      </w:r>
      <w:r w:rsidRPr="00931993">
        <w:t xml:space="preserve">eneration </w:t>
      </w:r>
      <w:r>
        <w:t>r</w:t>
      </w:r>
      <w:r w:rsidRPr="00931993">
        <w:t>esources in</w:t>
      </w:r>
      <w:r>
        <w:t xml:space="preserve"> the non-ERCOT Control Area arising from the need to replace the energy and ancillary service obligations of the generation instructed via a RUC instruction to switch into the ERCOT Control </w:t>
      </w:r>
      <w:r w:rsidRPr="00351C8F">
        <w:t>Area</w:t>
      </w:r>
      <w:r>
        <w:t xml:space="preserve">; </w:t>
      </w:r>
    </w:p>
    <w:p w14:paraId="4747AED5" w14:textId="77777777" w:rsidR="00236104" w:rsidRDefault="00236104" w:rsidP="00236104">
      <w:pPr>
        <w:pStyle w:val="List3"/>
      </w:pPr>
      <w:r>
        <w:lastRenderedPageBreak/>
        <w:t>(D)</w:t>
      </w:r>
      <w:r>
        <w:tab/>
        <w:t xml:space="preserve">Pipeline imbalance penalty </w:t>
      </w:r>
      <w:r w:rsidRPr="00C42B52">
        <w:t xml:space="preserve">costs </w:t>
      </w:r>
      <w:r>
        <w:t xml:space="preserve">arising from the SWGR not consuming </w:t>
      </w:r>
      <w:r w:rsidRPr="00D32297">
        <w:t xml:space="preserve">or consuming over </w:t>
      </w:r>
      <w:r>
        <w:t xml:space="preserve">its contracted fuel quantities as a result of a switch from a non-ERCOT Control Area as requested by ERCOT.  </w:t>
      </w:r>
      <w:r w:rsidRPr="00C46234">
        <w:t>Fuel imbalance penalty costs</w:t>
      </w:r>
      <w:r>
        <w:t xml:space="preserve"> are limited to those costs assessed for the period starting at the initiation of the ramp-down</w:t>
      </w:r>
      <w:r w:rsidRPr="00C42B52">
        <w:t xml:space="preserve"> in the non-ERCOT Control Area to two hours following the time ERCOT released the </w:t>
      </w:r>
      <w:r>
        <w:t>SWGR;</w:t>
      </w:r>
    </w:p>
    <w:p w14:paraId="240B09FB" w14:textId="77777777" w:rsidR="00236104" w:rsidRDefault="00236104" w:rsidP="00236104">
      <w:pPr>
        <w:spacing w:after="240"/>
        <w:ind w:left="2160" w:hanging="720"/>
      </w:pPr>
      <w:r w:rsidRPr="00351C8F">
        <w:t>(iii)</w:t>
      </w:r>
      <w:r w:rsidRPr="00351C8F">
        <w:tab/>
        <w:t>Sufficient documentation to support the QSE’s calculation of the amount of the financial loss and all submitted costs.</w:t>
      </w:r>
      <w:r w:rsidRPr="00C42B52">
        <w:t xml:space="preserve"> </w:t>
      </w:r>
    </w:p>
    <w:p w14:paraId="568AAB8A" w14:textId="77777777" w:rsidR="00236104" w:rsidRDefault="00236104" w:rsidP="00236104">
      <w:pPr>
        <w:spacing w:after="240"/>
        <w:ind w:left="720" w:hanging="720"/>
      </w:pPr>
      <w:r w:rsidRPr="00416449">
        <w:t>(2)</w:t>
      </w:r>
      <w:r w:rsidRPr="00416449">
        <w:tab/>
        <w:t>For a SWGR without approved verifiable costs, the startup and minimum-energy costs will be determined based on generic costs as described in Section 4.4.9.2.3, Startup Offer and Minimum-Energy Offer Generic Caps.  If generic costs are insufficient to cover startup and minimum-energy costs of the SWGR, the QSE may provide documentation and request that generic costs be replaced by proxy costs, if available, as determined by ERCOT</w:t>
      </w:r>
      <w:r>
        <w:t>.</w:t>
      </w:r>
    </w:p>
    <w:p w14:paraId="20E3A04E" w14:textId="77777777" w:rsidR="00236104" w:rsidRDefault="00236104" w:rsidP="00236104">
      <w:pPr>
        <w:spacing w:after="240"/>
        <w:ind w:left="720" w:hanging="720"/>
      </w:pPr>
      <w:r w:rsidRPr="00416449">
        <w:t>(3)</w:t>
      </w:r>
      <w:r w:rsidRPr="00416449">
        <w:tab/>
        <w:t>For a SWGR that is a Combined Cycle Generation Resource, all operating costs are those costs for the Combined Cycle Generation Resource within the Combined Cycle Train that is instructed for the hour.  If the QSE representing a Combined Cycle Generation Resource complies with a RUC instruction by ERCOT to transition from one Combined Cycle Generation Resource to a different Combined Cycle Generation Resource within the Combined Cycle Train, the incremental cost to transition shall be included in the Switchable Generation Start-Up Cost (SWSUC), as calculated in Section 6.6.12.1, for the Combined Cycle Resource</w:t>
      </w:r>
      <w:r>
        <w:t>.</w:t>
      </w:r>
    </w:p>
    <w:p w14:paraId="370D2EE5" w14:textId="77777777" w:rsidR="00FC5B77" w:rsidRDefault="00FC5B77" w:rsidP="00FC5B77">
      <w:pPr>
        <w:spacing w:after="240"/>
        <w:ind w:left="720" w:hanging="720"/>
      </w:pPr>
      <w:r w:rsidRPr="00603A2C">
        <w:t>(4)</w:t>
      </w:r>
      <w:r w:rsidRPr="00603A2C">
        <w:tab/>
      </w:r>
      <w:r>
        <w:t>A</w:t>
      </w:r>
      <w:r w:rsidRPr="00A86889">
        <w:t xml:space="preserve"> QSE representing </w:t>
      </w:r>
      <w:r>
        <w:t>a</w:t>
      </w:r>
      <w:r w:rsidRPr="00A86889">
        <w:t xml:space="preserve"> </w:t>
      </w:r>
      <w:r>
        <w:t xml:space="preserve">SWGR that is committed through an ERCOT instruction to switch to the ERCOT Control Area may recover </w:t>
      </w:r>
      <w:r w:rsidRPr="00A86889">
        <w:t>lost revenue</w:t>
      </w:r>
      <w:r>
        <w:t xml:space="preserve">, net of saved fuel costs, attributable to a reduction in the output of other ERCOT-connected generators that are part of a Combined Cycle Train that includes the RUC-committed SWGR if the following conditions have been met:  </w:t>
      </w:r>
    </w:p>
    <w:p w14:paraId="0FCCEB39" w14:textId="77777777" w:rsidR="00FC5B77" w:rsidRDefault="00FC5B77" w:rsidP="00FC5B77">
      <w:pPr>
        <w:spacing w:after="240"/>
        <w:ind w:left="1440" w:hanging="720"/>
      </w:pPr>
      <w:r>
        <w:t xml:space="preserve">(a) </w:t>
      </w:r>
      <w:r>
        <w:tab/>
        <w:t>The QSE had to</w:t>
      </w:r>
      <w:r w:rsidRPr="00603A2C">
        <w:t xml:space="preserve"> turn off </w:t>
      </w:r>
      <w:r>
        <w:t xml:space="preserve">one or more generators that were </w:t>
      </w:r>
      <w:r w:rsidRPr="00603A2C">
        <w:t xml:space="preserve">physically connected to the </w:t>
      </w:r>
      <w:r>
        <w:t xml:space="preserve">non-ERCOT Control Area in order to achieve the instructed switch, or had to turn off </w:t>
      </w:r>
      <w:r w:rsidRPr="0075151A">
        <w:t>one</w:t>
      </w:r>
      <w:r>
        <w:t xml:space="preserve"> or more generators that were physically connected to the ERCOT System in order to switch back to the non-ERCOT Control Area, in which case it must have completed the shutdown sequence within 60 minutes of the end of the RUC instruction; and</w:t>
      </w:r>
      <w:r w:rsidRPr="00DC1F7D">
        <w:t xml:space="preserve"> </w:t>
      </w:r>
    </w:p>
    <w:p w14:paraId="4368AFFD" w14:textId="77777777" w:rsidR="00FC5B77" w:rsidRDefault="00FC5B77" w:rsidP="00FC5B77">
      <w:pPr>
        <w:spacing w:after="240"/>
        <w:ind w:left="1440" w:hanging="720"/>
      </w:pPr>
      <w:r>
        <w:t xml:space="preserve">(b) </w:t>
      </w:r>
      <w:r>
        <w:tab/>
        <w:t>As a consequence of turning off one or more generators to facilitate a switch described in paragraph (a) above, the output of one or more generators in the configuration operating in ERCOT at the time of the instruction had to be reduced.</w:t>
      </w:r>
    </w:p>
    <w:p w14:paraId="2234654A" w14:textId="77777777" w:rsidR="00FC5B77" w:rsidRDefault="00FC5B77" w:rsidP="00FC5B77">
      <w:pPr>
        <w:spacing w:after="240"/>
        <w:ind w:left="720" w:hanging="720"/>
      </w:pPr>
      <w:r>
        <w:lastRenderedPageBreak/>
        <w:t xml:space="preserve">(5) </w:t>
      </w:r>
      <w:r>
        <w:tab/>
        <w:t>T</w:t>
      </w:r>
      <w:r w:rsidRPr="00934FB3">
        <w:t xml:space="preserve">he </w:t>
      </w:r>
      <w:r w:rsidRPr="00A86889">
        <w:t>lost revenue</w:t>
      </w:r>
      <w:r>
        <w:t>, net of saved fuel costs,</w:t>
      </w:r>
      <w:r w:rsidRPr="00A86889">
        <w:t xml:space="preserve"> </w:t>
      </w:r>
      <w:r>
        <w:t xml:space="preserve">described in paragraph (4) above </w:t>
      </w:r>
      <w:r w:rsidRPr="00934FB3">
        <w:t xml:space="preserve">shall be included in the Switchable Generation Cost Guarantee (SWCG), as calculated in Section 6.6.12.1, for the Combined Cycle </w:t>
      </w:r>
      <w:r>
        <w:t xml:space="preserve">Generation </w:t>
      </w:r>
      <w:r w:rsidRPr="00934FB3">
        <w:t>Resource.</w:t>
      </w:r>
      <w:r>
        <w:t xml:space="preserve">  </w:t>
      </w:r>
    </w:p>
    <w:p w14:paraId="4F1E7C55" w14:textId="2B0B6BF4" w:rsidR="00FC5B77" w:rsidRPr="007151B9" w:rsidRDefault="00FC5B77" w:rsidP="00FC5B77">
      <w:pPr>
        <w:spacing w:after="240"/>
        <w:ind w:left="720" w:hanging="720"/>
      </w:pPr>
      <w:r w:rsidRPr="002209BF">
        <w:t>(6)</w:t>
      </w:r>
      <w:r w:rsidRPr="002209BF">
        <w:tab/>
        <w:t>For a SWGR switching from a non-ERCOT Control Area, t</w:t>
      </w:r>
      <w:r w:rsidRPr="004A1696">
        <w:t xml:space="preserve">he </w:t>
      </w:r>
      <w:r w:rsidRPr="00B01CB7">
        <w:t>compensation described in</w:t>
      </w:r>
      <w:r>
        <w:t xml:space="preserve"> paragraph</w:t>
      </w:r>
      <w:r w:rsidRPr="00B01CB7">
        <w:t xml:space="preserve"> (4) above shall be determined for the period from the commencement of the </w:t>
      </w:r>
      <w:r w:rsidRPr="00713467">
        <w:t xml:space="preserve">shutdown sequence of the switched unit </w:t>
      </w:r>
      <w:r w:rsidRPr="005E3C5E">
        <w:t xml:space="preserve">in the non-ERCOT Control Area </w:t>
      </w:r>
      <w:r w:rsidRPr="00EA4F69">
        <w:t>until breaker close</w:t>
      </w:r>
      <w:r w:rsidRPr="00EB0E37">
        <w:t xml:space="preserve"> in the ERCOT </w:t>
      </w:r>
      <w:r>
        <w:t>Control Area</w:t>
      </w:r>
      <w:r w:rsidRPr="002209BF">
        <w:t xml:space="preserve">.  For a SWGR switching to a non-ERCOT Control Area within 60 minutes of the end of the </w:t>
      </w:r>
      <w:r w:rsidRPr="004A1696">
        <w:t xml:space="preserve">RUC </w:t>
      </w:r>
      <w:r w:rsidR="00CC0885">
        <w:t>i</w:t>
      </w:r>
      <w:r w:rsidRPr="004A1696">
        <w:t xml:space="preserve">nstruction, the compensation described in </w:t>
      </w:r>
      <w:r>
        <w:t xml:space="preserve">paragraph </w:t>
      </w:r>
      <w:r w:rsidRPr="004A1696">
        <w:t>(4) a</w:t>
      </w:r>
      <w:r w:rsidRPr="00B01CB7">
        <w:t>bove shall be determined for the period from the commencement of the shutdown sequence of the</w:t>
      </w:r>
      <w:r>
        <w:t xml:space="preserve"> </w:t>
      </w:r>
      <w:r w:rsidRPr="002209BF">
        <w:t>unit in the ERCOT System until breaker close in the non-ERCOT Control Area</w:t>
      </w:r>
      <w:r w:rsidRPr="004A1696">
        <w:t xml:space="preserve">, </w:t>
      </w:r>
      <w:r w:rsidRPr="00934FB3">
        <w:t xml:space="preserve">with </w:t>
      </w:r>
      <w:r w:rsidRPr="002209BF">
        <w:t xml:space="preserve">a maximum duration </w:t>
      </w:r>
      <w:r w:rsidRPr="00934FB3">
        <w:t xml:space="preserve">equal to </w:t>
      </w:r>
      <w:r w:rsidRPr="002209BF">
        <w:t xml:space="preserve">the </w:t>
      </w:r>
      <w:r w:rsidRPr="00934FB3">
        <w:t>duration of the</w:t>
      </w:r>
      <w:r w:rsidRPr="002209BF">
        <w:t xml:space="preserve"> sw</w:t>
      </w:r>
      <w:r w:rsidRPr="00934FB3">
        <w:t>itch</w:t>
      </w:r>
      <w:r w:rsidRPr="002209BF">
        <w:t xml:space="preserve"> from the non-ERCOT Control Area to ERCOT</w:t>
      </w:r>
      <w:r w:rsidRPr="00934FB3">
        <w:t xml:space="preserve"> pursuant to the RUC instruction</w:t>
      </w:r>
      <w:r w:rsidRPr="002209BF">
        <w:t>.</w:t>
      </w:r>
      <w:r>
        <w:t xml:space="preserve">   </w:t>
      </w:r>
    </w:p>
    <w:p w14:paraId="5F94A869" w14:textId="095C92C8" w:rsidR="00FC5B77" w:rsidRPr="00822B06" w:rsidRDefault="00FC5B77" w:rsidP="00FC5B77">
      <w:pPr>
        <w:spacing w:after="240"/>
        <w:ind w:left="720" w:hanging="720"/>
      </w:pPr>
      <w:r w:rsidRPr="006F4450">
        <w:t>(7)</w:t>
      </w:r>
      <w:r>
        <w:t xml:space="preserve"> </w:t>
      </w:r>
      <w:r>
        <w:tab/>
        <w:t>A</w:t>
      </w:r>
      <w:r w:rsidRPr="00416449">
        <w:t xml:space="preserve"> QSE </w:t>
      </w:r>
      <w:r>
        <w:t>that is entitled to compensation under paragraph (4) above, or the Resource Entity for the affected SWGR, must provide the following documentation for the Combined Cycle Train to verify the lost revenue:</w:t>
      </w:r>
      <w:r w:rsidRPr="00822B06">
        <w:t xml:space="preserve"> </w:t>
      </w:r>
    </w:p>
    <w:p w14:paraId="650DB4AF" w14:textId="77777777" w:rsidR="00FC5B77" w:rsidRPr="00B30A4C" w:rsidRDefault="00FC5B77" w:rsidP="00FC5B77">
      <w:pPr>
        <w:spacing w:after="240"/>
        <w:ind w:left="1440" w:hanging="720"/>
      </w:pPr>
      <w:r>
        <w:t>(a</w:t>
      </w:r>
      <w:r w:rsidRPr="00FD3E83">
        <w:t xml:space="preserve">) </w:t>
      </w:r>
      <w:r w:rsidRPr="00FD3E83">
        <w:tab/>
        <w:t xml:space="preserve">Documentation of the </w:t>
      </w:r>
      <w:r w:rsidRPr="001F7555">
        <w:t xml:space="preserve">Real-Time output of </w:t>
      </w:r>
      <w:r w:rsidRPr="00B30A4C">
        <w:t>each unit in the Combined Cycle Train, whether operating in ERCOT or in the non-ERCOT Control Area;</w:t>
      </w:r>
    </w:p>
    <w:p w14:paraId="59D99708" w14:textId="77777777" w:rsidR="00FC5B77" w:rsidRPr="00B30A4C" w:rsidRDefault="00FC5B77" w:rsidP="00FC5B77">
      <w:pPr>
        <w:spacing w:after="240"/>
        <w:ind w:left="1440" w:hanging="720"/>
      </w:pPr>
      <w:r>
        <w:t>(b</w:t>
      </w:r>
      <w:r w:rsidRPr="00B30A4C">
        <w:t xml:space="preserve">) </w:t>
      </w:r>
      <w:r w:rsidRPr="00B30A4C">
        <w:tab/>
        <w:t>For thermal units, the Input-Output Equation</w:t>
      </w:r>
      <w:r>
        <w:t xml:space="preserve"> </w:t>
      </w:r>
      <w:r w:rsidRPr="006F4450">
        <w:t>or other documentation that allows for calculating the reduction in fuel consumption if the unit had to reduce generation;</w:t>
      </w:r>
    </w:p>
    <w:p w14:paraId="0B83F89C" w14:textId="77777777" w:rsidR="00FC5B77" w:rsidRPr="00A22F04" w:rsidRDefault="00FC5B77" w:rsidP="00FC5B77">
      <w:pPr>
        <w:spacing w:after="240"/>
        <w:ind w:left="1440" w:hanging="720"/>
      </w:pPr>
      <w:r>
        <w:t>(c</w:t>
      </w:r>
      <w:r w:rsidRPr="00B30A4C">
        <w:t xml:space="preserve">) </w:t>
      </w:r>
      <w:r w:rsidRPr="00B30A4C">
        <w:tab/>
        <w:t>Documentation of the time the shutdown sequence started while switching to ERCOT, and if the QSE seeks recovery of lost revenues for a switch to t</w:t>
      </w:r>
      <w:r w:rsidRPr="00A22F04">
        <w:t>he non-ERCOT Control Area, documentation of the time the breaker closed in the non-ERCOT Control Area, which is subject to verification with the non-ERCOT Control Area operator;</w:t>
      </w:r>
    </w:p>
    <w:p w14:paraId="60E51EF5" w14:textId="77777777" w:rsidR="00FC5B77" w:rsidRPr="00466918" w:rsidRDefault="00FC5B77" w:rsidP="00FC5B77">
      <w:pPr>
        <w:spacing w:after="240"/>
        <w:ind w:left="1440" w:hanging="720"/>
      </w:pPr>
      <w:r>
        <w:t>(d</w:t>
      </w:r>
      <w:r w:rsidRPr="00466918">
        <w:t xml:space="preserve">) </w:t>
      </w:r>
      <w:r w:rsidRPr="00466918">
        <w:tab/>
        <w:t>Documentation showing which combustion turbine of the C</w:t>
      </w:r>
      <w:r>
        <w:t>ombined Cycle Generation Resource</w:t>
      </w:r>
      <w:r w:rsidRPr="00466918">
        <w:t xml:space="preserve"> is providing the auxiliary service; and</w:t>
      </w:r>
    </w:p>
    <w:p w14:paraId="50E1963D" w14:textId="77777777" w:rsidR="00FC5B77" w:rsidRPr="00A413CF" w:rsidRDefault="00FC5B77" w:rsidP="00FC5B77">
      <w:pPr>
        <w:spacing w:after="240"/>
        <w:ind w:left="1440" w:hanging="720"/>
      </w:pPr>
      <w:r>
        <w:t>(e</w:t>
      </w:r>
      <w:r w:rsidRPr="00A413CF">
        <w:t xml:space="preserve">) </w:t>
      </w:r>
      <w:r w:rsidRPr="00A413CF">
        <w:tab/>
        <w:t>Any other technical documentation ERCOT finds necessary to verify the performance and physical characteristics of the Combined Cycle Train or any component thereof</w:t>
      </w:r>
      <w:r>
        <w:t xml:space="preserve">, </w:t>
      </w:r>
      <w:r w:rsidRPr="006F4450">
        <w:t xml:space="preserve">such as </w:t>
      </w:r>
      <w:r>
        <w:t>t</w:t>
      </w:r>
      <w:r w:rsidRPr="006F4450">
        <w:t xml:space="preserve">hermal </w:t>
      </w:r>
      <w:r>
        <w:t>b</w:t>
      </w:r>
      <w:r w:rsidRPr="006F4450">
        <w:t xml:space="preserve">alance </w:t>
      </w:r>
      <w:r>
        <w:t>d</w:t>
      </w:r>
      <w:r w:rsidRPr="006F4450">
        <w:t>iagrams</w:t>
      </w:r>
      <w:r w:rsidRPr="00A413CF">
        <w:t>.</w:t>
      </w:r>
    </w:p>
    <w:p w14:paraId="57899BA3" w14:textId="6A2DC8BE" w:rsidR="00236104" w:rsidRPr="007151B9" w:rsidRDefault="00236104" w:rsidP="00FC5B77">
      <w:pPr>
        <w:spacing w:after="240"/>
        <w:ind w:left="720" w:hanging="720"/>
      </w:pPr>
      <w:r w:rsidRPr="00416449">
        <w:t>(</w:t>
      </w:r>
      <w:r w:rsidR="00FC5B77">
        <w:t>8</w:t>
      </w:r>
      <w:r w:rsidRPr="00416449">
        <w:t>)</w:t>
      </w:r>
      <w:r w:rsidRPr="00416449">
        <w:tab/>
        <w:t>The Startup Cost for the SWGR shall include the cost for starting in the ERCOT Control Area and, if the SWGR starts up in the non-ERCOT Control Area within 24 hours of being released from ERCOT, the cost of starting in the non-ERCOT Control Area, which will be based on the same warmth state.</w:t>
      </w:r>
    </w:p>
    <w:p w14:paraId="5524AB1C" w14:textId="797B1263" w:rsidR="00236104" w:rsidRPr="00416449" w:rsidRDefault="00236104" w:rsidP="00236104">
      <w:pPr>
        <w:spacing w:after="240"/>
        <w:ind w:left="720" w:hanging="720"/>
      </w:pPr>
      <w:r w:rsidRPr="00416449">
        <w:t>(</w:t>
      </w:r>
      <w:r w:rsidR="00FC5B77">
        <w:t>9</w:t>
      </w:r>
      <w:r w:rsidRPr="00416449">
        <w:t xml:space="preserve">) </w:t>
      </w:r>
      <w:r w:rsidRPr="00416449">
        <w:tab/>
        <w:t>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w:t>
      </w:r>
      <w:r w:rsidR="00C0502C" w:rsidRPr="00416449">
        <w:t xml:space="preserve"> </w:t>
      </w:r>
      <w:r w:rsidR="00C0502C">
        <w:t>SWMWAMT</w:t>
      </w:r>
      <w:r w:rsidRPr="00416449">
        <w:t xml:space="preserve"> within 15 Business Days of the updated submission.</w:t>
      </w:r>
    </w:p>
    <w:p w14:paraId="7AC5246A" w14:textId="784C370E" w:rsidR="0006334F" w:rsidRDefault="00236104" w:rsidP="00CC0885">
      <w:pPr>
        <w:spacing w:after="240"/>
        <w:ind w:left="720" w:hanging="720"/>
      </w:pPr>
      <w:r w:rsidRPr="00416449">
        <w:lastRenderedPageBreak/>
        <w:t>(</w:t>
      </w:r>
      <w:r w:rsidR="00FC5B77">
        <w:t>10</w:t>
      </w:r>
      <w:r w:rsidRPr="00416449">
        <w:t xml:space="preserve">) </w:t>
      </w:r>
      <w:r w:rsidRPr="00416449">
        <w:tab/>
        <w:t>If ERCOT denies all or a portion of a QSE’s non-ERCOT Control Area costs, pursuant to paragraph (1)(c)(ii) above, the QSE may submit a request for ADR as described in Section 20, Alternative Dispute Resolution Procedure</w:t>
      </w:r>
      <w:r w:rsidR="00992E7F">
        <w:t xml:space="preserve"> and Procedure for Return of Settlement Funds</w:t>
      </w:r>
      <w:r w:rsidRPr="00416449">
        <w:t>.</w:t>
      </w:r>
    </w:p>
    <w:p w14:paraId="7812EF24" w14:textId="77777777" w:rsidR="00236104" w:rsidRPr="00236104" w:rsidRDefault="00236104" w:rsidP="00043D95">
      <w:pPr>
        <w:pStyle w:val="H4"/>
        <w:spacing w:before="480"/>
        <w:ind w:left="1267" w:hanging="1267"/>
      </w:pPr>
      <w:bookmarkStart w:id="2645" w:name="_Toc189044476"/>
      <w:bookmarkStart w:id="2646" w:name="_Toc397505045"/>
      <w:bookmarkStart w:id="2647" w:name="_Toc402357177"/>
      <w:bookmarkStart w:id="2648" w:name="_Toc422486557"/>
      <w:bookmarkStart w:id="2649" w:name="_Toc433093410"/>
      <w:bookmarkStart w:id="2650" w:name="_Toc433093568"/>
      <w:bookmarkStart w:id="2651" w:name="_Toc440874798"/>
      <w:bookmarkStart w:id="2652" w:name="_Toc448142355"/>
      <w:bookmarkStart w:id="2653" w:name="_Toc448142512"/>
      <w:bookmarkStart w:id="2654" w:name="_Toc458770353"/>
      <w:bookmarkStart w:id="2655" w:name="_Toc459294321"/>
      <w:bookmarkStart w:id="2656" w:name="_Toc463262815"/>
      <w:bookmarkStart w:id="2657" w:name="_Toc468286888"/>
      <w:bookmarkStart w:id="2658" w:name="_Toc481502928"/>
      <w:bookmarkStart w:id="2659" w:name="_Toc496080096"/>
      <w:r w:rsidRPr="00236104">
        <w:t>6.6.12.1</w:t>
      </w:r>
      <w:r w:rsidRPr="00236104">
        <w:tab/>
        <w:t>Switchable Generation Make-Whole Payment</w:t>
      </w:r>
      <w:bookmarkEnd w:id="2645"/>
    </w:p>
    <w:p w14:paraId="096D2301" w14:textId="77777777" w:rsidR="00236104" w:rsidRPr="00C42B52" w:rsidRDefault="00236104" w:rsidP="00236104">
      <w:pPr>
        <w:ind w:left="720" w:hanging="720"/>
      </w:pPr>
      <w:r>
        <w:t>(1)</w:t>
      </w:r>
      <w:r>
        <w:tab/>
      </w:r>
      <w:r w:rsidRPr="00763E94">
        <w:t>To compensate QSEs representing</w:t>
      </w:r>
      <w:r>
        <w:t xml:space="preserve"> SWGRs</w:t>
      </w:r>
      <w:r w:rsidRPr="00763E94">
        <w:t xml:space="preserve"> </w:t>
      </w:r>
      <w:r>
        <w:t>that</w:t>
      </w:r>
      <w:r w:rsidRPr="00C42B52">
        <w:t xml:space="preserve"> switch to </w:t>
      </w:r>
      <w:r>
        <w:t xml:space="preserve">the </w:t>
      </w:r>
      <w:r w:rsidRPr="00C42B52">
        <w:t xml:space="preserve">ERCOT </w:t>
      </w:r>
      <w:r>
        <w:t xml:space="preserve">Control Area </w:t>
      </w:r>
      <w:r w:rsidRPr="00C42B52">
        <w:t>from a non-ERCOT Control Area</w:t>
      </w:r>
      <w:r>
        <w:t xml:space="preserve"> pursuant to an ERCOT RUC instruction for an actual or anticipated EEA condition</w:t>
      </w:r>
      <w:r w:rsidRPr="00C42B52">
        <w:t xml:space="preserve">, ERCOT shall calculate a Switchable Generation Make-Whole </w:t>
      </w:r>
      <w:r w:rsidR="00C0502C" w:rsidRPr="00C42B52">
        <w:t>Payment</w:t>
      </w:r>
      <w:r w:rsidR="00C0502C">
        <w:t xml:space="preserve"> (SWMWAMT)</w:t>
      </w:r>
      <w:r w:rsidR="00C0502C" w:rsidRPr="00C42B52">
        <w:t xml:space="preserve"> </w:t>
      </w:r>
      <w:r w:rsidRPr="00C42B52">
        <w:t>for an Operating Day, allocated to each instructed Operating Hour as follows:</w:t>
      </w:r>
    </w:p>
    <w:p w14:paraId="3AE498A2" w14:textId="77777777" w:rsidR="00236104" w:rsidRPr="004502BD" w:rsidRDefault="00236104" w:rsidP="00236104"/>
    <w:p w14:paraId="6EC04C53" w14:textId="77777777" w:rsidR="00236104" w:rsidRDefault="00236104" w:rsidP="00236104">
      <w:pPr>
        <w:pStyle w:val="FormulaBold"/>
        <w:rPr>
          <w:i/>
          <w:vertAlign w:val="subscript"/>
        </w:rPr>
      </w:pPr>
      <w:r w:rsidRPr="008A543E">
        <w:t xml:space="preserve">SWMWAMT </w:t>
      </w:r>
      <w:r w:rsidRPr="008A543E">
        <w:rPr>
          <w:i/>
          <w:vertAlign w:val="subscript"/>
        </w:rPr>
        <w:t>q, r</w:t>
      </w:r>
      <w:r w:rsidRPr="003229D6">
        <w:t xml:space="preserve">  =</w:t>
      </w:r>
      <w:r w:rsidRPr="004C7D0C">
        <w:t xml:space="preserve">  (-1) * Max (0, </w:t>
      </w:r>
      <w:r>
        <w:t>(</w:t>
      </w:r>
      <w:r w:rsidRPr="004C7D0C">
        <w:t xml:space="preserve">SWCG </w:t>
      </w:r>
      <w:r w:rsidRPr="004C7D0C">
        <w:rPr>
          <w:i/>
          <w:vertAlign w:val="subscript"/>
        </w:rPr>
        <w:t>q,</w:t>
      </w:r>
      <w:r>
        <w:rPr>
          <w:i/>
          <w:vertAlign w:val="subscript"/>
        </w:rPr>
        <w:t xml:space="preserve"> </w:t>
      </w:r>
      <w:r w:rsidRPr="004C7D0C">
        <w:rPr>
          <w:i/>
          <w:vertAlign w:val="subscript"/>
        </w:rPr>
        <w:t>r,</w:t>
      </w:r>
      <w:r>
        <w:rPr>
          <w:i/>
          <w:vertAlign w:val="subscript"/>
        </w:rPr>
        <w:t xml:space="preserve"> </w:t>
      </w:r>
      <w:r w:rsidRPr="004C7D0C">
        <w:rPr>
          <w:i/>
          <w:vertAlign w:val="subscript"/>
        </w:rPr>
        <w:t>d</w:t>
      </w:r>
      <w:r w:rsidRPr="004C7D0C">
        <w:t xml:space="preserve"> – </w:t>
      </w:r>
      <w:r w:rsidRPr="004C7D0C">
        <w:rPr>
          <w:lang w:val="pt-BR"/>
        </w:rPr>
        <w:t>SWRTREV</w:t>
      </w:r>
      <w:r w:rsidRPr="002071BB">
        <w:rPr>
          <w:i/>
          <w:vertAlign w:val="subscript"/>
          <w:lang w:val="pt-BR"/>
        </w:rPr>
        <w:t xml:space="preserve"> q, r</w:t>
      </w:r>
      <w:r w:rsidRPr="005A6FD5">
        <w:rPr>
          <w:i/>
          <w:vertAlign w:val="subscript"/>
          <w:lang w:val="pt-BR"/>
        </w:rPr>
        <w:t xml:space="preserve">, </w:t>
      </w:r>
      <w:r>
        <w:rPr>
          <w:i/>
          <w:vertAlign w:val="subscript"/>
          <w:lang w:val="pt-BR"/>
        </w:rPr>
        <w:t>d</w:t>
      </w:r>
      <w:r>
        <w:t xml:space="preserve">)) / SWIHR </w:t>
      </w:r>
      <w:r>
        <w:rPr>
          <w:i/>
          <w:vertAlign w:val="subscript"/>
        </w:rPr>
        <w:t>q, r, d</w:t>
      </w:r>
    </w:p>
    <w:p w14:paraId="623D054F" w14:textId="77777777" w:rsidR="00236104" w:rsidRDefault="00236104" w:rsidP="00236104">
      <w:pPr>
        <w:spacing w:after="240"/>
        <w:ind w:left="720"/>
      </w:pPr>
      <w:r>
        <w:t>Where:</w:t>
      </w:r>
    </w:p>
    <w:p w14:paraId="61D73449" w14:textId="77777777" w:rsidR="00FC5B77" w:rsidRDefault="00236104" w:rsidP="00FC5B77">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00FC5B77">
        <w:t xml:space="preserve"> + </w:t>
      </w:r>
    </w:p>
    <w:p w14:paraId="5A019CF6" w14:textId="2B50C74B" w:rsidR="00236104" w:rsidRDefault="00FC5B77" w:rsidP="00FC5B77">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0AEF6D7A" w14:textId="77777777" w:rsidR="00236104" w:rsidRPr="005A6FD5" w:rsidRDefault="00236104" w:rsidP="00236104">
      <w:pPr>
        <w:spacing w:after="240"/>
        <w:ind w:left="2250" w:hanging="1530"/>
        <w:rPr>
          <w:lang w:val="pt-BR"/>
        </w:rPr>
      </w:pPr>
      <w:r>
        <w:rPr>
          <w:lang w:val="pt-BR"/>
        </w:rPr>
        <w:t>SW</w:t>
      </w:r>
      <w:r w:rsidRPr="005A6FD5">
        <w:rPr>
          <w:bCs/>
          <w:lang w:val="pt-BR"/>
        </w:rPr>
        <w:t>RTREV</w:t>
      </w:r>
      <w:r>
        <w:rPr>
          <w:bCs/>
          <w:lang w:val="pt-BR"/>
        </w:rPr>
        <w:t xml:space="preserve"> </w:t>
      </w:r>
      <w:r w:rsidRPr="008D7AE0">
        <w:rPr>
          <w:i/>
          <w:vertAlign w:val="subscript"/>
          <w:lang w:val="pt-BR"/>
        </w:rPr>
        <w:t>q</w:t>
      </w:r>
      <w:r>
        <w:rPr>
          <w:i/>
          <w:vertAlign w:val="subscript"/>
          <w:lang w:val="it-IT"/>
        </w:rPr>
        <w:t>, r, d</w:t>
      </w:r>
      <w:r>
        <w:rPr>
          <w:lang w:val="it-IT"/>
        </w:rPr>
        <w:t xml:space="preserve">   </w:t>
      </w:r>
      <w:r>
        <w:rPr>
          <w:rStyle w:val="BodyTextChar"/>
        </w:rPr>
        <w:t xml:space="preserve">=  </w:t>
      </w:r>
      <w:r>
        <w:rPr>
          <w:bCs/>
          <w:lang w:val="pt-BR"/>
        </w:rPr>
        <w:t xml:space="preserve">Max [0, </w:t>
      </w:r>
      <w:r w:rsidRPr="00F80C33">
        <w:rPr>
          <w:position w:val="-20"/>
        </w:rPr>
        <w:object w:dxaOrig="220" w:dyaOrig="440" w14:anchorId="30D383DE">
          <v:shape id="_x0000_i1288" type="#_x0000_t75" style="width:6pt;height:24pt" o:ole="">
            <v:imagedata r:id="rId110" o:title=""/>
          </v:shape>
          <o:OLEObject Type="Embed" ProgID="Equation.3" ShapeID="_x0000_i1288" DrawAspect="Content" ObjectID="_1804653772" r:id="rId359"/>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RTMG</w:t>
      </w:r>
      <w:r w:rsidRPr="005A6FD5">
        <w:rPr>
          <w:b/>
          <w:i/>
          <w:vertAlign w:val="subscript"/>
        </w:rPr>
        <w:t xml:space="preserve"> </w:t>
      </w:r>
      <w:r w:rsidRPr="005A6FD5">
        <w:rPr>
          <w:i/>
          <w:vertAlign w:val="subscript"/>
        </w:rPr>
        <w:t>q, r, i</w:t>
      </w:r>
      <w:r>
        <w:rPr>
          <w:iCs/>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Pr>
          <w:lang w:val="pt-BR"/>
        </w:rPr>
        <w:t xml:space="preserve"> +  </w:t>
      </w:r>
      <w:r w:rsidRPr="009D50C5">
        <w:rPr>
          <w:lang w:val="pt-BR"/>
        </w:rPr>
        <w:t>VSSVARAMT</w:t>
      </w:r>
      <w:r w:rsidRPr="005A6FD5">
        <w:t xml:space="preserve">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Pr>
          <w:lang w:val="pt-BR"/>
        </w:rPr>
        <w:t>) + Max(0, (RTOLHSLRA</w:t>
      </w:r>
      <w:r w:rsidRPr="003200A4">
        <w:rPr>
          <w:i/>
          <w:vertAlign w:val="subscript"/>
          <w:lang w:val="pt-BR"/>
        </w:rPr>
        <w:t xml:space="preserve"> </w:t>
      </w:r>
      <w:r w:rsidRPr="005A6FD5">
        <w:rPr>
          <w:i/>
          <w:vertAlign w:val="subscript"/>
          <w:lang w:val="pt-BR"/>
        </w:rPr>
        <w:t>q, r, p</w:t>
      </w:r>
      <w:r>
        <w:rPr>
          <w:i/>
          <w:vertAlign w:val="subscript"/>
          <w:lang w:val="pt-BR"/>
        </w:rPr>
        <w:t>, i</w:t>
      </w:r>
      <w:r>
        <w:rPr>
          <w:lang w:val="pt-BR"/>
        </w:rPr>
        <w:t xml:space="preserve"> – RTMGA</w:t>
      </w:r>
      <w:r w:rsidRPr="00890E0F">
        <w:rPr>
          <w:i/>
          <w:vertAlign w:val="subscript"/>
          <w:lang w:val="pt-BR"/>
        </w:rPr>
        <w:t xml:space="preserve"> </w:t>
      </w:r>
      <w:r w:rsidRPr="005A6FD5">
        <w:rPr>
          <w:i/>
          <w:vertAlign w:val="subscript"/>
          <w:lang w:val="pt-BR"/>
        </w:rPr>
        <w:t>q, r, p</w:t>
      </w:r>
      <w:r>
        <w:rPr>
          <w:i/>
          <w:vertAlign w:val="subscript"/>
          <w:lang w:val="pt-BR"/>
        </w:rPr>
        <w:t>, i</w:t>
      </w:r>
      <w:r>
        <w:rPr>
          <w:lang w:val="pt-BR"/>
        </w:rPr>
        <w:t>) * (RTRSVPOR</w:t>
      </w:r>
      <w:r>
        <w:rPr>
          <w:i/>
          <w:vertAlign w:val="subscript"/>
          <w:lang w:val="pt-BR"/>
        </w:rPr>
        <w:t xml:space="preserve"> i</w:t>
      </w:r>
      <w:r>
        <w:rPr>
          <w:lang w:val="pt-BR"/>
        </w:rPr>
        <w:t xml:space="preserve"> + RTRDP</w:t>
      </w:r>
      <w:r>
        <w:rPr>
          <w:i/>
          <w:vertAlign w:val="subscript"/>
          <w:lang w:val="pt-BR"/>
        </w:rPr>
        <w:t xml:space="preserve"> i</w:t>
      </w:r>
      <w:r>
        <w:rPr>
          <w:lang w:val="pt-BR"/>
        </w:rPr>
        <w:t>)))</w:t>
      </w:r>
      <w:r w:rsidRPr="005A6FD5">
        <w:rPr>
          <w:lang w:val="pt-BR"/>
        </w:rPr>
        <w:t>]</w:t>
      </w:r>
    </w:p>
    <w:p w14:paraId="1E478836" w14:textId="75522995" w:rsidR="00236104" w:rsidRPr="000118BE" w:rsidRDefault="00236104" w:rsidP="00236104">
      <w:pPr>
        <w:spacing w:after="240"/>
        <w:ind w:left="2250" w:hanging="1530"/>
        <w:rPr>
          <w:lang w:val="it-IT"/>
        </w:rPr>
      </w:pP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r w:rsidRPr="004D0722">
        <w:rPr>
          <w:rStyle w:val="BodyTextChar"/>
        </w:rPr>
        <w:t>SWFC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4D0722">
        <w:t xml:space="preserve">+ </w:t>
      </w:r>
      <w:r w:rsidRPr="004D0722">
        <w:rPr>
          <w:rStyle w:val="BodyTextChar"/>
        </w:rPr>
        <w:t>SWE</w:t>
      </w:r>
      <w:r w:rsidR="00FC5B77">
        <w:rPr>
          <w:rStyle w:val="BodyTextChar"/>
        </w:rPr>
        <w:t>I</w:t>
      </w:r>
      <w:r w:rsidRPr="004D0722">
        <w:rPr>
          <w:rStyle w:val="BodyTextChar"/>
        </w:rPr>
        <w:t>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CD03E9">
        <w:t xml:space="preserve">+ </w:t>
      </w:r>
      <w:r w:rsidRPr="00CD03E9">
        <w:rPr>
          <w:rStyle w:val="BodyTextChar"/>
        </w:rPr>
        <w:t>SWAS</w:t>
      </w:r>
      <w:r w:rsidR="00CC0885">
        <w:rPr>
          <w:rStyle w:val="BodyTextChar"/>
        </w:rPr>
        <w:t>I</w:t>
      </w:r>
      <w:r w:rsidRPr="00CD03E9">
        <w:rPr>
          <w:rStyle w:val="BodyTextChar"/>
        </w:rPr>
        <w:t>C</w:t>
      </w:r>
      <w:r w:rsidRPr="00CD03E9">
        <w:rPr>
          <w:i/>
          <w:vertAlign w:val="subscript"/>
        </w:rPr>
        <w:t xml:space="preserve"> q,</w:t>
      </w:r>
      <w:r>
        <w:rPr>
          <w:i/>
          <w:vertAlign w:val="subscript"/>
        </w:rPr>
        <w:t xml:space="preserve"> </w:t>
      </w:r>
      <w:r w:rsidRPr="00CD03E9">
        <w:rPr>
          <w:i/>
          <w:vertAlign w:val="subscript"/>
        </w:rPr>
        <w:t>r,</w:t>
      </w:r>
      <w:r>
        <w:rPr>
          <w:i/>
          <w:vertAlign w:val="subscript"/>
        </w:rPr>
        <w:t xml:space="preserve"> </w:t>
      </w:r>
      <w:r w:rsidRPr="00CD03E9">
        <w:rPr>
          <w:i/>
          <w:vertAlign w:val="subscript"/>
        </w:rPr>
        <w:t>d</w:t>
      </w:r>
      <w:r>
        <w:rPr>
          <w:lang w:val="it-IT"/>
        </w:rPr>
        <w:t xml:space="preserve"> + </w:t>
      </w:r>
      <w:r w:rsidRPr="00DF745E">
        <w:rPr>
          <w:lang w:val="pt-BR"/>
        </w:rPr>
        <w:t>SWMWDC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r>
        <w:rPr>
          <w:i/>
          <w:vertAlign w:val="subscript"/>
        </w:rPr>
        <w:t xml:space="preserve"> </w:t>
      </w:r>
      <w:r>
        <w:rPr>
          <w:lang w:val="it-IT"/>
        </w:rPr>
        <w:t xml:space="preserve">+ </w:t>
      </w:r>
      <w:r w:rsidRPr="00DF745E">
        <w:rPr>
          <w:lang w:val="pt-BR"/>
        </w:rPr>
        <w:t>SW</w:t>
      </w:r>
      <w:r>
        <w:rPr>
          <w:lang w:val="pt-BR"/>
        </w:rPr>
        <w:t>FIP</w:t>
      </w:r>
      <w:r w:rsidRPr="00DF745E">
        <w:rPr>
          <w:lang w:val="pt-BR"/>
        </w:rPr>
        <w:t>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p>
    <w:p w14:paraId="23177AAB" w14:textId="0E096C2A" w:rsidR="00FC5B77" w:rsidRPr="002C41DB" w:rsidRDefault="00FC5B77" w:rsidP="00FC5B77">
      <w:pPr>
        <w:spacing w:after="240"/>
        <w:ind w:left="2250" w:hanging="1530"/>
        <w:rPr>
          <w:rStyle w:val="BodyTextChar"/>
          <w:szCs w:val="24"/>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3D4BE185">
          <v:shape id="_x0000_i1289" type="#_x0000_t75" style="width:6pt;height:24pt" o:ole="">
            <v:imagedata r:id="rId110" o:title=""/>
          </v:shape>
          <o:OLEObject Type="Embed" ProgID="Equation.3" ShapeID="_x0000_i1289" DrawAspect="Content" ObjectID="_1804653773" r:id="rId360"/>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39413D82" w14:textId="77777777" w:rsidR="00236104" w:rsidRPr="000F548A" w:rsidRDefault="00236104" w:rsidP="00236104">
      <w:pPr>
        <w:pStyle w:val="List2"/>
        <w:ind w:left="1440"/>
        <w:rPr>
          <w:rStyle w:val="BodyTextChar"/>
          <w:szCs w:val="24"/>
        </w:rPr>
      </w:pPr>
      <w:r w:rsidRPr="000F548A">
        <w:rPr>
          <w:rStyle w:val="BodyTextChar"/>
          <w:szCs w:val="24"/>
        </w:rPr>
        <w:t>If ERCOT has approved verifiable costs for</w:t>
      </w:r>
      <w:r w:rsidR="00C0502C" w:rsidRPr="00C0502C">
        <w:rPr>
          <w:rStyle w:val="BodyTextChar"/>
          <w:szCs w:val="24"/>
        </w:rPr>
        <w:t xml:space="preserve"> </w:t>
      </w:r>
      <w:r w:rsidR="00C0502C" w:rsidRPr="000F548A">
        <w:rPr>
          <w:rStyle w:val="BodyTextChar"/>
          <w:szCs w:val="24"/>
        </w:rPr>
        <w:t xml:space="preserve">the </w:t>
      </w:r>
      <w:r w:rsidR="00C0502C">
        <w:rPr>
          <w:rStyle w:val="BodyTextChar"/>
          <w:szCs w:val="24"/>
        </w:rPr>
        <w:t>SWGR</w:t>
      </w:r>
      <w:r w:rsidRPr="000F548A">
        <w:rPr>
          <w:rStyle w:val="BodyTextChar"/>
          <w:szCs w:val="24"/>
        </w:rPr>
        <w:t>:</w:t>
      </w:r>
    </w:p>
    <w:p w14:paraId="16E17F6B" w14:textId="77777777" w:rsidR="00236104" w:rsidRPr="00680899" w:rsidRDefault="00236104" w:rsidP="00236104">
      <w:pPr>
        <w:pStyle w:val="BodyTextNumbered"/>
        <w:tabs>
          <w:tab w:val="left" w:pos="1800"/>
        </w:tabs>
        <w:ind w:left="2160" w:hanging="1440"/>
        <w:rPr>
          <w:i/>
          <w:vertAlign w:val="subscript"/>
        </w:rPr>
      </w:pPr>
      <w:r w:rsidRPr="00F7577E">
        <w:t xml:space="preserve">     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r w:rsidRPr="007E3A0A">
        <w:rPr>
          <w:rStyle w:val="BodyTextChar"/>
        </w:rPr>
        <w:t xml:space="preserve"> = </w:t>
      </w:r>
      <w:r>
        <w:rPr>
          <w:position w:val="-20"/>
          <w:lang w:val="pt-BR"/>
        </w:rPr>
        <w:object w:dxaOrig="210" w:dyaOrig="450" w14:anchorId="3D76B543">
          <v:shape id="_x0000_i1290" type="#_x0000_t75" style="width:6pt;height:24pt" o:ole="">
            <v:imagedata r:id="rId361" o:title=""/>
          </v:shape>
          <o:OLEObject Type="Embed" ProgID="Equation.3" ShapeID="_x0000_i1290" DrawAspect="Content" ObjectID="_1804653774" r:id="rId362"/>
        </w:object>
      </w:r>
      <w:r>
        <w:rPr>
          <w:rStyle w:val="BodyTextChar"/>
        </w:rPr>
        <w:t xml:space="preserve"> [SWSF</w:t>
      </w:r>
      <w:r w:rsidRPr="007E3A0A">
        <w:rPr>
          <w:rStyle w:val="BodyTextChar"/>
        </w:rPr>
        <w:t xml:space="preserve"> * </w:t>
      </w:r>
      <w:r w:rsidRPr="007E3A0A">
        <w:rPr>
          <w:lang w:val="pt-BR"/>
        </w:rPr>
        <w:t>(</w:t>
      </w:r>
      <w:r w:rsidRPr="007E3A0A">
        <w:rPr>
          <w:bCs/>
        </w:rPr>
        <w:t>DAFCRS</w:t>
      </w:r>
      <w:r w:rsidRPr="007E3A0A">
        <w:rPr>
          <w:bCs/>
          <w:i/>
          <w:vertAlign w:val="subscript"/>
        </w:rPr>
        <w:t xml:space="preserve"> r, s</w:t>
      </w:r>
      <w:r w:rsidRPr="007E3A0A">
        <w:rPr>
          <w:bCs/>
        </w:rPr>
        <w:t xml:space="preserve"> * </w:t>
      </w:r>
      <w:r w:rsidRPr="007E3A0A">
        <w:t>(GASPERSU</w:t>
      </w:r>
      <w:r>
        <w:t xml:space="preserve"> </w:t>
      </w:r>
      <w:r w:rsidRPr="007E3A0A">
        <w:rPr>
          <w:bCs/>
          <w:i/>
          <w:vertAlign w:val="subscript"/>
        </w:rPr>
        <w:t>r,</w:t>
      </w:r>
      <w:r>
        <w:rPr>
          <w:bCs/>
          <w:i/>
          <w:vertAlign w:val="subscript"/>
        </w:rPr>
        <w:t xml:space="preserve"> </w:t>
      </w:r>
      <w:r w:rsidRPr="007E3A0A">
        <w:rPr>
          <w:bCs/>
          <w:i/>
          <w:vertAlign w:val="subscript"/>
        </w:rPr>
        <w:t>s</w:t>
      </w:r>
      <w:r w:rsidRPr="007E3A0A">
        <w:t xml:space="preserve"> * FIP + OILPERSU</w:t>
      </w:r>
      <w:r w:rsidRPr="007E3A0A">
        <w:rPr>
          <w:bCs/>
          <w:i/>
          <w:vertAlign w:val="subscript"/>
        </w:rPr>
        <w:t xml:space="preserve"> r,</w:t>
      </w:r>
      <w:r>
        <w:rPr>
          <w:bCs/>
          <w:i/>
          <w:vertAlign w:val="subscript"/>
        </w:rPr>
        <w:t xml:space="preserve"> </w:t>
      </w:r>
      <w:r w:rsidRPr="007E3A0A">
        <w:rPr>
          <w:bCs/>
          <w:i/>
          <w:vertAlign w:val="subscript"/>
        </w:rPr>
        <w:t>s</w:t>
      </w:r>
      <w:r w:rsidRPr="007E3A0A">
        <w:t xml:space="preserve"> * FOP + SFPERSU</w:t>
      </w:r>
      <w:r w:rsidRPr="007E3A0A">
        <w:rPr>
          <w:bCs/>
          <w:i/>
          <w:vertAlign w:val="subscript"/>
        </w:rPr>
        <w:t xml:space="preserve"> r, s</w:t>
      </w:r>
      <w:r w:rsidRPr="007E3A0A">
        <w:t xml:space="preserve"> * SFP) + VOMS</w:t>
      </w:r>
      <w:r w:rsidRPr="007E3A0A">
        <w:rPr>
          <w:i/>
          <w:vertAlign w:val="subscript"/>
        </w:rPr>
        <w:t xml:space="preserve"> </w:t>
      </w:r>
      <w:r w:rsidRPr="007E3A0A">
        <w:rPr>
          <w:bCs/>
          <w:i/>
          <w:vertAlign w:val="subscript"/>
        </w:rPr>
        <w:t>r, s</w:t>
      </w:r>
      <w:r w:rsidRPr="007E3A0A">
        <w:t>)</w:t>
      </w:r>
      <w:r>
        <w:t>] +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63E1E185" w14:textId="45730E2E" w:rsidR="00236104" w:rsidRPr="007477C6" w:rsidRDefault="00236104" w:rsidP="00236104">
      <w:pPr>
        <w:pStyle w:val="BodyTextNumbered"/>
        <w:tabs>
          <w:tab w:val="left" w:pos="1800"/>
        </w:tabs>
        <w:ind w:left="2160" w:hanging="1440"/>
        <w:rPr>
          <w:i/>
          <w:vertAlign w:val="subscript"/>
        </w:rPr>
      </w:pPr>
      <w:r>
        <w:t xml:space="preserve">     </w:t>
      </w:r>
      <w:r w:rsidRPr="00B94D12">
        <w:t>SWMEC</w:t>
      </w:r>
      <w:r>
        <w:t xml:space="preserve"> </w:t>
      </w:r>
      <w:r w:rsidRPr="00B94D12">
        <w:rPr>
          <w:i/>
          <w:vertAlign w:val="subscript"/>
        </w:rPr>
        <w:t>q,</w:t>
      </w:r>
      <w:r>
        <w:rPr>
          <w:i/>
          <w:vertAlign w:val="subscript"/>
        </w:rPr>
        <w:t xml:space="preserve"> </w:t>
      </w:r>
      <w:r w:rsidRPr="00B94D12">
        <w:rPr>
          <w:i/>
          <w:vertAlign w:val="subscript"/>
        </w:rPr>
        <w:t>r,</w:t>
      </w:r>
      <w:r>
        <w:rPr>
          <w:i/>
          <w:vertAlign w:val="subscript"/>
        </w:rPr>
        <w:t xml:space="preserve"> </w:t>
      </w:r>
      <w:r w:rsidRPr="00B94D12">
        <w:rPr>
          <w:i/>
          <w:vertAlign w:val="subscript"/>
        </w:rPr>
        <w:t>d</w:t>
      </w:r>
      <w:r w:rsidRPr="00B94D12">
        <w:t xml:space="preserve"> = </w:t>
      </w:r>
      <w:r w:rsidRPr="009C46C4">
        <w:rPr>
          <w:position w:val="-20"/>
          <w:lang w:val="pt-BR"/>
        </w:rPr>
        <w:object w:dxaOrig="220" w:dyaOrig="440" w14:anchorId="0E14AE79">
          <v:shape id="_x0000_i1291" type="#_x0000_t75" style="width:12pt;height:24pt" o:ole="">
            <v:imagedata r:id="rId363" o:title=""/>
          </v:shape>
          <o:OLEObject Type="Embed" ProgID="Equation.3" ShapeID="_x0000_i1291" DrawAspect="Content" ObjectID="_1804653775" r:id="rId364"/>
        </w:object>
      </w:r>
      <w:r w:rsidRPr="00354F5D">
        <w:rPr>
          <w:lang w:val="pt-BR"/>
        </w:rPr>
        <w:t>(</w:t>
      </w:r>
      <w:r w:rsidRPr="00354F5D">
        <w:t>(</w:t>
      </w:r>
      <w:r w:rsidRPr="00851088">
        <w:rPr>
          <w:lang w:val="pt-BR"/>
        </w:rPr>
        <w:t>AHR</w:t>
      </w:r>
      <w:r w:rsidRPr="00851088">
        <w:rPr>
          <w:i/>
          <w:vertAlign w:val="subscript"/>
          <w:lang w:val="es-ES"/>
        </w:rPr>
        <w:t xml:space="preserve"> r</w:t>
      </w:r>
      <w:r>
        <w:rPr>
          <w:i/>
          <w:vertAlign w:val="subscript"/>
          <w:lang w:val="es-ES"/>
        </w:rPr>
        <w:t>, i</w:t>
      </w:r>
      <w:r>
        <w:rPr>
          <w:lang w:val="pt-BR"/>
        </w:rPr>
        <w:t xml:space="preserve"> </w:t>
      </w:r>
      <w:r w:rsidRPr="00F43B68">
        <w:t>* (GASPERME</w:t>
      </w:r>
      <w:r>
        <w:t xml:space="preserve"> </w:t>
      </w:r>
      <w:r w:rsidRPr="00F43B68">
        <w:rPr>
          <w:bCs/>
          <w:i/>
          <w:vertAlign w:val="subscript"/>
        </w:rPr>
        <w:t>r</w:t>
      </w:r>
      <w:r w:rsidRPr="00F43B68">
        <w:t xml:space="preserve"> * FIP + OILPERME</w:t>
      </w:r>
      <w:r>
        <w:t xml:space="preserve"> </w:t>
      </w:r>
      <w:r w:rsidRPr="00F43B68">
        <w:rPr>
          <w:bCs/>
          <w:i/>
          <w:vertAlign w:val="subscript"/>
        </w:rPr>
        <w:t>r</w:t>
      </w:r>
      <w:r w:rsidRPr="00F43B68">
        <w:t xml:space="preserve"> * FOP + SFPERME</w:t>
      </w:r>
      <w:r w:rsidRPr="00F43B68">
        <w:rPr>
          <w:bCs/>
          <w:i/>
          <w:vertAlign w:val="subscript"/>
        </w:rPr>
        <w:t xml:space="preserve"> r</w:t>
      </w:r>
      <w:r w:rsidRPr="00F43B68">
        <w:t>* SFP</w:t>
      </w:r>
      <w:r w:rsidR="00FC5B77">
        <w:t xml:space="preserve"> </w:t>
      </w:r>
      <w:r w:rsidR="00FC5B77" w:rsidRPr="006F4450">
        <w:t>+ FA</w:t>
      </w:r>
      <w:r w:rsidR="00FC5B77">
        <w:t xml:space="preserve"> </w:t>
      </w:r>
      <w:r w:rsidR="00FC5B77" w:rsidRPr="004F05D0">
        <w:rPr>
          <w:i/>
          <w:vertAlign w:val="subscript"/>
        </w:rPr>
        <w:t>r</w:t>
      </w:r>
      <w:r w:rsidRPr="007477C6">
        <w:t>) + VOMLSL</w:t>
      </w:r>
      <w:r w:rsidRPr="007477C6">
        <w:rPr>
          <w:i/>
          <w:vertAlign w:val="subscript"/>
        </w:rPr>
        <w:t xml:space="preserve"> </w:t>
      </w:r>
      <w:r w:rsidRPr="007477C6">
        <w:rPr>
          <w:bCs/>
          <w:i/>
          <w:vertAlign w:val="subscript"/>
        </w:rPr>
        <w:t>r</w:t>
      </w:r>
      <w:r w:rsidRPr="007477C6">
        <w:t>) * Min (LSL</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 (¼), RTMG</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w:t>
      </w:r>
      <w:r w:rsidRPr="007477C6">
        <w:rPr>
          <w:i/>
          <w:vertAlign w:val="subscript"/>
        </w:rPr>
        <w:t xml:space="preserve">  </w:t>
      </w:r>
    </w:p>
    <w:p w14:paraId="6B958740" w14:textId="5632499F" w:rsidR="00236104" w:rsidRPr="001462A1" w:rsidRDefault="00236104" w:rsidP="00236104">
      <w:pPr>
        <w:pStyle w:val="BodyTextNumbered"/>
        <w:tabs>
          <w:tab w:val="left" w:pos="1800"/>
        </w:tabs>
        <w:ind w:left="2160" w:hanging="1440"/>
        <w:rPr>
          <w:i/>
          <w:vertAlign w:val="subscript"/>
        </w:rPr>
      </w:pPr>
      <w:r w:rsidRPr="00B94D12">
        <w:t xml:space="preserve">     SWOC </w:t>
      </w:r>
      <w:r w:rsidRPr="00680899">
        <w:rPr>
          <w:i/>
          <w:vertAlign w:val="subscript"/>
        </w:rPr>
        <w:t>q,</w:t>
      </w:r>
      <w:r>
        <w:rPr>
          <w:i/>
          <w:vertAlign w:val="subscript"/>
        </w:rPr>
        <w:t xml:space="preserve"> </w:t>
      </w:r>
      <w:r w:rsidRPr="00680899">
        <w:rPr>
          <w:i/>
          <w:vertAlign w:val="subscript"/>
        </w:rPr>
        <w:t>r,</w:t>
      </w:r>
      <w:r>
        <w:rPr>
          <w:i/>
          <w:vertAlign w:val="subscript"/>
        </w:rPr>
        <w:t xml:space="preserve"> </w:t>
      </w:r>
      <w:r w:rsidRPr="00680899">
        <w:rPr>
          <w:i/>
          <w:vertAlign w:val="subscript"/>
        </w:rPr>
        <w:t>d</w:t>
      </w:r>
      <w:r w:rsidRPr="00680899">
        <w:t xml:space="preserve"> = </w:t>
      </w:r>
      <w:r w:rsidRPr="00851088">
        <w:rPr>
          <w:position w:val="-20"/>
          <w:lang w:val="pt-BR"/>
        </w:rPr>
        <w:object w:dxaOrig="220" w:dyaOrig="440" w14:anchorId="4A761759">
          <v:shape id="_x0000_i1292" type="#_x0000_t75" style="width:12pt;height:24pt" o:ole="">
            <v:imagedata r:id="rId363" o:title=""/>
          </v:shape>
          <o:OLEObject Type="Embed" ProgID="Equation.3" ShapeID="_x0000_i1292" DrawAspect="Content" ObjectID="_1804653776" r:id="rId365"/>
        </w:object>
      </w:r>
      <w:r>
        <w:rPr>
          <w:lang w:val="pt-BR"/>
        </w:rPr>
        <w:t>[</w:t>
      </w:r>
      <w:r w:rsidRPr="00851088">
        <w:t>(</w:t>
      </w:r>
      <w:r w:rsidRPr="00851088">
        <w:rPr>
          <w:lang w:val="pt-BR"/>
        </w:rPr>
        <w:t>AHR</w:t>
      </w:r>
      <w:r w:rsidRPr="00851088">
        <w:rPr>
          <w:i/>
          <w:vertAlign w:val="subscript"/>
          <w:lang w:val="es-ES"/>
        </w:rPr>
        <w:t xml:space="preserve"> r</w:t>
      </w:r>
      <w:r>
        <w:rPr>
          <w:i/>
          <w:vertAlign w:val="subscript"/>
          <w:lang w:val="es-ES"/>
        </w:rPr>
        <w:t>,</w:t>
      </w:r>
      <w:r w:rsidR="008301B1">
        <w:rPr>
          <w:i/>
          <w:vertAlign w:val="subscript"/>
          <w:lang w:val="es-ES"/>
        </w:rPr>
        <w:t xml:space="preserve"> </w:t>
      </w:r>
      <w:r>
        <w:rPr>
          <w:i/>
          <w:vertAlign w:val="subscript"/>
          <w:lang w:val="es-ES"/>
        </w:rPr>
        <w:t>i</w:t>
      </w:r>
      <w:r w:rsidRPr="001520A2">
        <w:t xml:space="preserve"> * </w:t>
      </w:r>
      <w:r>
        <w:t>(</w:t>
      </w:r>
      <w:r w:rsidRPr="001520A2">
        <w:t>(</w:t>
      </w:r>
      <w:r>
        <w:t xml:space="preserve">GASPEROL </w:t>
      </w:r>
      <w:r>
        <w:rPr>
          <w:i/>
          <w:vertAlign w:val="subscript"/>
        </w:rPr>
        <w:t>r</w:t>
      </w:r>
      <w:r>
        <w:t xml:space="preserve"> * </w:t>
      </w:r>
      <w:r w:rsidRPr="00EE5D47">
        <w:t>FIP</w:t>
      </w:r>
      <w:r>
        <w:t xml:space="preserve"> + OILPEROL</w:t>
      </w:r>
      <w:r w:rsidRPr="00D26D9B">
        <w:rPr>
          <w:i/>
          <w:vertAlign w:val="subscript"/>
        </w:rPr>
        <w:t xml:space="preserve"> </w:t>
      </w:r>
      <w:r>
        <w:rPr>
          <w:i/>
          <w:vertAlign w:val="subscript"/>
        </w:rPr>
        <w:t xml:space="preserve">r </w:t>
      </w:r>
      <w:r>
        <w:t>* FOP + SFPEROL</w:t>
      </w:r>
      <w:r w:rsidRPr="00D26D9B">
        <w:rPr>
          <w:i/>
          <w:vertAlign w:val="subscript"/>
        </w:rPr>
        <w:t xml:space="preserve"> </w:t>
      </w:r>
      <w:r>
        <w:rPr>
          <w:i/>
          <w:vertAlign w:val="subscript"/>
        </w:rPr>
        <w:t>r</w:t>
      </w:r>
      <w:r>
        <w:t xml:space="preserve"> * SFP) +</w:t>
      </w:r>
      <w:r w:rsidRPr="001520A2">
        <w:t xml:space="preserve"> FA</w:t>
      </w:r>
      <w:r w:rsidRPr="00F119E9">
        <w:rPr>
          <w:i/>
          <w:vertAlign w:val="subscript"/>
        </w:rPr>
        <w:t xml:space="preserve"> r</w:t>
      </w:r>
      <w:r w:rsidRPr="00F119E9">
        <w:t>) + OM</w:t>
      </w:r>
      <w:r w:rsidRPr="00F119E9">
        <w:rPr>
          <w:i/>
          <w:vertAlign w:val="subscript"/>
        </w:rPr>
        <w:t xml:space="preserve"> r</w:t>
      </w:r>
      <w:r w:rsidRPr="00F119E9">
        <w:t xml:space="preserve">) * </w:t>
      </w:r>
      <w:r w:rsidRPr="00F43B68">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43B68">
        <w:rPr>
          <w:i/>
          <w:vertAlign w:val="subscript"/>
        </w:rPr>
        <w:t>i</w:t>
      </w:r>
      <w:r w:rsidRPr="00F43B68">
        <w:t xml:space="preserve"> </w:t>
      </w:r>
      <w:r>
        <w:t>–</w:t>
      </w:r>
      <w:r w:rsidRPr="00F43B68">
        <w:t xml:space="preserve"> LSL</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i</w:t>
      </w:r>
      <w:r w:rsidRPr="00F43B68">
        <w:t xml:space="preserve"> * (¼)))]</w:t>
      </w:r>
      <w:r w:rsidR="005B5717">
        <w:t xml:space="preserve"> </w:t>
      </w:r>
      <w:r w:rsidR="005B5717" w:rsidRPr="00A37E51">
        <w:rPr>
          <w:i/>
        </w:rPr>
        <w:t xml:space="preserve">- </w:t>
      </w:r>
      <w:r w:rsidR="005B5717" w:rsidRPr="00A37E51">
        <w:rPr>
          <w:lang w:val="pt-BR"/>
        </w:rPr>
        <w:t>OPC</w:t>
      </w:r>
      <w:r w:rsidR="005B5717" w:rsidRPr="00A37E51">
        <w:rPr>
          <w:i/>
          <w:vertAlign w:val="subscript"/>
          <w:lang w:val="es-ES"/>
        </w:rPr>
        <w:t xml:space="preserve"> r, d</w:t>
      </w:r>
      <w:r w:rsidRPr="001462A1">
        <w:t xml:space="preserve"> </w:t>
      </w:r>
      <w:r w:rsidRPr="001462A1">
        <w:rPr>
          <w:i/>
          <w:vertAlign w:val="subscript"/>
        </w:rPr>
        <w:t xml:space="preserve">  </w:t>
      </w:r>
    </w:p>
    <w:p w14:paraId="33078F28" w14:textId="6A5EDEB7" w:rsidR="005B5717" w:rsidRPr="00A37E51" w:rsidRDefault="005B5717" w:rsidP="005B5717">
      <w:pPr>
        <w:pStyle w:val="BodyTextNumbered"/>
        <w:tabs>
          <w:tab w:val="left" w:pos="1800"/>
        </w:tabs>
        <w:ind w:left="2160" w:hanging="1440"/>
        <w:rPr>
          <w:lang w:val="pt-BR"/>
        </w:rPr>
      </w:pPr>
      <w:r w:rsidRPr="00A37E51">
        <w:rPr>
          <w:lang w:val="pt-BR"/>
        </w:rPr>
        <w:t>Where,</w:t>
      </w:r>
    </w:p>
    <w:p w14:paraId="440BB079" w14:textId="317A8EF2" w:rsidR="005B5717" w:rsidRDefault="005B5717" w:rsidP="005B5717">
      <w:pPr>
        <w:pStyle w:val="Formula"/>
        <w:ind w:left="2880" w:hanging="2160"/>
        <w:rPr>
          <w:i/>
          <w:vertAlign w:val="subscript"/>
        </w:rPr>
      </w:pPr>
      <w:r w:rsidRPr="00A37E51">
        <w:rPr>
          <w:lang w:val="pt-BR"/>
        </w:rPr>
        <w:lastRenderedPageBreak/>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29B22A25">
          <v:shape id="_x0000_i1293" type="#_x0000_t75" style="width:12pt;height:24pt" o:ole="">
            <v:imagedata r:id="rId363" o:title=""/>
          </v:shape>
          <o:OLEObject Type="Embed" ProgID="Equation.3" ShapeID="_x0000_i1293" DrawAspect="Content" ObjectID="_1804653777" r:id="rId366"/>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w:t>
      </w:r>
      <w:r w:rsidR="00371616" w:rsidRPr="00F119E9">
        <w:rPr>
          <w:i/>
          <w:vertAlign w:val="subscript"/>
        </w:rPr>
        <w:t xml:space="preserve"> r</w:t>
      </w:r>
      <w:r>
        <w:t xml:space="preserve">)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62729D95" w14:textId="77777777" w:rsidR="00236104" w:rsidRPr="004D0722" w:rsidRDefault="00236104" w:rsidP="00236104">
      <w:pPr>
        <w:pStyle w:val="List2"/>
        <w:ind w:left="1440"/>
        <w:rPr>
          <w:rStyle w:val="BodyTextChar"/>
          <w:szCs w:val="24"/>
        </w:rPr>
      </w:pPr>
      <w:r w:rsidRPr="004D0722">
        <w:rPr>
          <w:rStyle w:val="BodyTextChar"/>
          <w:szCs w:val="24"/>
        </w:rPr>
        <w:t>If ERCOT has not approved verifiable costs for</w:t>
      </w:r>
      <w:r w:rsidR="00C0502C" w:rsidRPr="00C0502C">
        <w:rPr>
          <w:rStyle w:val="BodyTextChar"/>
          <w:szCs w:val="24"/>
        </w:rPr>
        <w:t xml:space="preserve"> </w:t>
      </w:r>
      <w:r w:rsidR="00C0502C" w:rsidRPr="004D0722">
        <w:rPr>
          <w:rStyle w:val="BodyTextChar"/>
          <w:szCs w:val="24"/>
        </w:rPr>
        <w:t xml:space="preserve">the </w:t>
      </w:r>
      <w:r w:rsidR="00C0502C">
        <w:rPr>
          <w:rStyle w:val="BodyTextChar"/>
          <w:szCs w:val="24"/>
        </w:rPr>
        <w:t>SWGR</w:t>
      </w:r>
      <w:r w:rsidRPr="004D0722">
        <w:rPr>
          <w:rStyle w:val="BodyTextChar"/>
          <w:szCs w:val="24"/>
        </w:rPr>
        <w:t>:</w:t>
      </w:r>
    </w:p>
    <w:p w14:paraId="6214365E" w14:textId="77777777" w:rsidR="00236104" w:rsidRPr="001520A2" w:rsidRDefault="00236104" w:rsidP="00236104">
      <w:pPr>
        <w:pStyle w:val="Formula"/>
        <w:ind w:left="2880" w:hanging="2160"/>
        <w:rPr>
          <w:i/>
          <w:vertAlign w:val="subscript"/>
        </w:rPr>
      </w:pPr>
      <w:r w:rsidRPr="00B94D12">
        <w:t xml:space="preserve">     </w:t>
      </w:r>
      <w:r w:rsidRPr="004D0722">
        <w:t>SWSUC</w:t>
      </w:r>
      <w: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Pr="004D0722">
        <w:rPr>
          <w:rStyle w:val="BodyTextChar"/>
        </w:rPr>
        <w:t xml:space="preserve">= </w:t>
      </w:r>
      <w:r>
        <w:rPr>
          <w:position w:val="-20"/>
          <w:szCs w:val="20"/>
          <w:lang w:val="pt-BR"/>
        </w:rPr>
        <w:object w:dxaOrig="210" w:dyaOrig="450" w14:anchorId="2F6A7E6F">
          <v:shape id="_x0000_i1294" type="#_x0000_t75" style="width:6pt;height:24pt" o:ole="">
            <v:imagedata r:id="rId361" o:title=""/>
          </v:shape>
          <o:OLEObject Type="Embed" ProgID="Equation.3" ShapeID="_x0000_i1294" DrawAspect="Content" ObjectID="_1804653778" r:id="rId367"/>
        </w:object>
      </w:r>
      <w:r>
        <w:rPr>
          <w:rStyle w:val="BodyTextChar"/>
        </w:rPr>
        <w:t xml:space="preserve"> (SWSF</w:t>
      </w:r>
      <w:r w:rsidRPr="004D0722">
        <w:rPr>
          <w:rStyle w:val="BodyTextChar"/>
        </w:rPr>
        <w:t xml:space="preserve"> * </w:t>
      </w:r>
      <w:r w:rsidRPr="00851088">
        <w:t>RCGSC</w:t>
      </w:r>
      <w:r>
        <w:t xml:space="preserve"> </w:t>
      </w:r>
      <w:r w:rsidRPr="00D978EB">
        <w:rPr>
          <w:i/>
          <w:vertAlign w:val="subscript"/>
        </w:rPr>
        <w:t>s,</w:t>
      </w:r>
      <w:r>
        <w:rPr>
          <w:i/>
          <w:vertAlign w:val="subscript"/>
        </w:rPr>
        <w:t xml:space="preserve"> </w:t>
      </w:r>
      <w:r w:rsidRPr="00D978EB">
        <w:rPr>
          <w:i/>
          <w:vertAlign w:val="subscript"/>
        </w:rPr>
        <w:t>rc</w:t>
      </w:r>
      <w:r>
        <w:rPr>
          <w:rStyle w:val="BodyTextChar"/>
        </w:rPr>
        <w:t xml:space="preserve">) </w:t>
      </w:r>
      <w:r>
        <w:t>+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3C769ACD" w14:textId="77777777" w:rsidR="00236104" w:rsidRPr="0063447B" w:rsidRDefault="00236104" w:rsidP="00236104">
      <w:pPr>
        <w:pStyle w:val="BodyTextNumbered"/>
        <w:tabs>
          <w:tab w:val="left" w:pos="1800"/>
        </w:tabs>
        <w:ind w:left="2160" w:hanging="1440"/>
        <w:rPr>
          <w:i/>
          <w:vertAlign w:val="subscript"/>
        </w:rPr>
      </w:pPr>
      <w:r w:rsidRPr="00F119E9">
        <w:t xml:space="preserve">     SWMEC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t xml:space="preserve"> </w:t>
      </w:r>
      <w:r w:rsidRPr="007477C6">
        <w:rPr>
          <w:position w:val="-20"/>
          <w:lang w:val="pt-BR"/>
        </w:rPr>
        <w:object w:dxaOrig="220" w:dyaOrig="440" w14:anchorId="23813EA5">
          <v:shape id="_x0000_i1295" type="#_x0000_t75" style="width:12pt;height:24pt" o:ole="">
            <v:imagedata r:id="rId363" o:title=""/>
          </v:shape>
          <o:OLEObject Type="Embed" ProgID="Equation.3" ShapeID="_x0000_i1295" DrawAspect="Content" ObjectID="_1804653779" r:id="rId368"/>
        </w:object>
      </w:r>
      <w:r w:rsidRPr="007477C6">
        <w:t>(</w:t>
      </w:r>
      <w:r w:rsidRPr="007477C6">
        <w:rPr>
          <w:rStyle w:val="BodyTextChar"/>
        </w:rPr>
        <w:t>RCGMEC</w:t>
      </w:r>
      <w:r>
        <w:rPr>
          <w:rStyle w:val="BodyTextChar"/>
        </w:rPr>
        <w:t xml:space="preserve"> </w:t>
      </w:r>
      <w:r w:rsidRPr="00763E94">
        <w:rPr>
          <w:rStyle w:val="BodyTextChar"/>
          <w:i/>
          <w:vertAlign w:val="subscript"/>
        </w:rPr>
        <w:t>i,</w:t>
      </w:r>
      <w:r>
        <w:rPr>
          <w:rStyle w:val="BodyTextChar"/>
          <w:i/>
          <w:vertAlign w:val="subscript"/>
        </w:rPr>
        <w:t xml:space="preserve"> </w:t>
      </w:r>
      <w:r w:rsidRPr="00D978EB">
        <w:rPr>
          <w:rStyle w:val="BodyTextChar"/>
          <w:i/>
          <w:vertAlign w:val="subscript"/>
        </w:rPr>
        <w:t>rc</w:t>
      </w:r>
      <w:r w:rsidRPr="00D906F9">
        <w:t xml:space="preserve"> * Min (LSL</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 (¼), RTMG</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w:t>
      </w:r>
      <w:r w:rsidRPr="00D906F9">
        <w:rPr>
          <w:i/>
          <w:vertAlign w:val="subscript"/>
        </w:rPr>
        <w:t xml:space="preserve">  </w:t>
      </w:r>
    </w:p>
    <w:p w14:paraId="2D1D7E78" w14:textId="1C1BA415" w:rsidR="00236104" w:rsidRDefault="00236104" w:rsidP="00236104">
      <w:pPr>
        <w:pStyle w:val="Formula"/>
        <w:ind w:left="2880" w:hanging="2160"/>
        <w:rPr>
          <w:i/>
          <w:vertAlign w:val="subscript"/>
        </w:rPr>
      </w:pPr>
      <w:r w:rsidRPr="0063447B">
        <w:t xml:space="preserve">     SWOC </w:t>
      </w:r>
      <w:r w:rsidRPr="0063447B">
        <w:rPr>
          <w:i/>
          <w:vertAlign w:val="subscript"/>
        </w:rPr>
        <w:t>q,</w:t>
      </w:r>
      <w:r>
        <w:rPr>
          <w:i/>
          <w:vertAlign w:val="subscript"/>
        </w:rPr>
        <w:t xml:space="preserve"> </w:t>
      </w:r>
      <w:r w:rsidRPr="0063447B">
        <w:rPr>
          <w:i/>
          <w:vertAlign w:val="subscript"/>
        </w:rPr>
        <w:t>r,</w:t>
      </w:r>
      <w:r>
        <w:rPr>
          <w:i/>
          <w:vertAlign w:val="subscript"/>
        </w:rPr>
        <w:t xml:space="preserve"> </w:t>
      </w:r>
      <w:r w:rsidRPr="0063447B">
        <w:rPr>
          <w:i/>
          <w:vertAlign w:val="subscript"/>
        </w:rPr>
        <w:t>d</w:t>
      </w:r>
      <w:r w:rsidRPr="0063447B">
        <w:t xml:space="preserve"> = </w:t>
      </w:r>
      <w:r w:rsidRPr="00851088">
        <w:rPr>
          <w:position w:val="-20"/>
          <w:lang w:val="pt-BR"/>
        </w:rPr>
        <w:object w:dxaOrig="220" w:dyaOrig="440" w14:anchorId="304CFD02">
          <v:shape id="_x0000_i1296" type="#_x0000_t75" style="width:12pt;height:24pt" o:ole="">
            <v:imagedata r:id="rId363" o:title=""/>
          </v:shape>
          <o:OLEObject Type="Embed" ProgID="Equation.3" ShapeID="_x0000_i1296" DrawAspect="Content" ObjectID="_1804653780" r:id="rId369"/>
        </w:object>
      </w:r>
      <w:r w:rsidRPr="00851088">
        <w:t>(</w:t>
      </w:r>
      <w:r>
        <w:t>(</w:t>
      </w:r>
      <w:r w:rsidRPr="00851088">
        <w:t>PA</w:t>
      </w:r>
      <w:r w:rsidRPr="00851088">
        <w:rPr>
          <w:lang w:val="pt-BR"/>
        </w:rPr>
        <w:t>HR</w:t>
      </w:r>
      <w:r>
        <w:rPr>
          <w:lang w:val="pt-BR"/>
        </w:rPr>
        <w:t xml:space="preserve"> </w:t>
      </w:r>
      <w:r w:rsidRPr="001520A2">
        <w:rPr>
          <w:i/>
          <w:vertAlign w:val="subscript"/>
        </w:rPr>
        <w:t xml:space="preserve">r, </w:t>
      </w:r>
      <w:r w:rsidRPr="001520A2">
        <w:rPr>
          <w:i/>
          <w:vertAlign w:val="subscript"/>
          <w:lang w:val="es-ES"/>
        </w:rPr>
        <w:t xml:space="preserve">i </w:t>
      </w:r>
      <w:r w:rsidRPr="001520A2">
        <w:t>* FIP</w:t>
      </w:r>
      <w:r w:rsidRPr="00F119E9">
        <w:t xml:space="preserve"> + STOM</w:t>
      </w:r>
      <w:r>
        <w:t xml:space="preserve"> </w:t>
      </w:r>
      <w:r w:rsidRPr="00F119E9">
        <w:rPr>
          <w:i/>
          <w:vertAlign w:val="subscript"/>
        </w:rPr>
        <w:t>rc</w:t>
      </w:r>
      <w:r w:rsidRPr="00F119E9">
        <w:t xml:space="preserve">) * </w:t>
      </w:r>
      <w:r>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567CC6">
        <w:t xml:space="preserve"> </w:t>
      </w:r>
      <w:r>
        <w:t xml:space="preserve">– </w:t>
      </w:r>
      <w:r w:rsidRPr="00F119E9">
        <w:t>LSL</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F119E9">
        <w:t xml:space="preserve"> * (¼)</w:t>
      </w:r>
      <w:r>
        <w:t>)))</w:t>
      </w:r>
      <w:r w:rsidRPr="00F119E9">
        <w:t xml:space="preserve"> </w:t>
      </w:r>
      <w:r w:rsidR="00FC5B77" w:rsidRPr="00A37E51">
        <w:rPr>
          <w:i/>
        </w:rPr>
        <w:t xml:space="preserve">- </w:t>
      </w:r>
      <w:r w:rsidR="00FC5B77" w:rsidRPr="00A37E51">
        <w:rPr>
          <w:lang w:val="pt-BR"/>
        </w:rPr>
        <w:t>OPC</w:t>
      </w:r>
      <w:r w:rsidR="00FC5B77" w:rsidRPr="00A37E51">
        <w:rPr>
          <w:i/>
          <w:vertAlign w:val="subscript"/>
          <w:lang w:val="es-ES"/>
        </w:rPr>
        <w:t xml:space="preserve"> r, d</w:t>
      </w:r>
    </w:p>
    <w:p w14:paraId="316F2CA4" w14:textId="77777777" w:rsidR="00FC5B77" w:rsidRPr="00A37E51" w:rsidRDefault="00FC5B77" w:rsidP="00FC5B77">
      <w:pPr>
        <w:pStyle w:val="BodyTextNumbered"/>
        <w:tabs>
          <w:tab w:val="left" w:pos="1800"/>
        </w:tabs>
        <w:ind w:left="2160" w:hanging="1440"/>
        <w:rPr>
          <w:lang w:val="pt-BR"/>
        </w:rPr>
      </w:pPr>
      <w:r w:rsidRPr="00A37E51">
        <w:rPr>
          <w:lang w:val="pt-BR"/>
        </w:rPr>
        <w:t>Where,</w:t>
      </w:r>
    </w:p>
    <w:p w14:paraId="111058C9" w14:textId="71511EFD" w:rsidR="00FC5B77" w:rsidRDefault="00FC5B77" w:rsidP="00FC5B77">
      <w:pPr>
        <w:pStyle w:val="Formula"/>
        <w:ind w:left="2880" w:hanging="2160"/>
        <w:rPr>
          <w:i/>
          <w:vertAlign w:val="subscript"/>
        </w:rPr>
      </w:pPr>
      <w:r w:rsidRPr="00A37E51">
        <w:rPr>
          <w:lang w:val="pt-BR"/>
        </w:rPr>
        <w:t>OPC</w:t>
      </w:r>
      <w:r w:rsidRPr="00A37E51">
        <w:rPr>
          <w:i/>
          <w:vertAlign w:val="subscript"/>
          <w:lang w:val="es-ES"/>
        </w:rPr>
        <w:t xml:space="preserve"> r,</w:t>
      </w:r>
      <w:r w:rsidR="00043CF0">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053DDDB5">
          <v:shape id="_x0000_i1297" type="#_x0000_t75" style="width:12pt;height:24pt" o:ole="">
            <v:imagedata r:id="rId363" o:title=""/>
          </v:shape>
          <o:OLEObject Type="Embed" ProgID="Equation.3" ShapeID="_x0000_i1297" DrawAspect="Content" ObjectID="_1804653781" r:id="rId370"/>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F898CD2" w14:textId="77777777" w:rsidR="00236104" w:rsidRPr="004502BD" w:rsidRDefault="00236104" w:rsidP="00236104">
      <w:r w:rsidRPr="004502BD">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236104" w:rsidRPr="00851088" w14:paraId="7E11D05C" w14:textId="77777777" w:rsidTr="007C2D9A">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AEC3C37" w14:textId="77777777" w:rsidR="00236104" w:rsidRPr="00851088" w:rsidRDefault="00236104" w:rsidP="00BA73E7">
            <w:pPr>
              <w:pStyle w:val="TableHead"/>
            </w:pPr>
            <w:r w:rsidRPr="00851088">
              <w:t>Variable</w:t>
            </w:r>
          </w:p>
        </w:tc>
        <w:tc>
          <w:tcPr>
            <w:tcW w:w="692" w:type="pct"/>
            <w:tcBorders>
              <w:top w:val="single" w:sz="4" w:space="0" w:color="auto"/>
              <w:left w:val="single" w:sz="6" w:space="0" w:color="auto"/>
              <w:bottom w:val="single" w:sz="6" w:space="0" w:color="auto"/>
              <w:right w:val="single" w:sz="6" w:space="0" w:color="auto"/>
            </w:tcBorders>
            <w:hideMark/>
          </w:tcPr>
          <w:p w14:paraId="13CEE15A" w14:textId="77777777" w:rsidR="00236104" w:rsidRPr="001520A2" w:rsidRDefault="00236104" w:rsidP="00BA73E7">
            <w:pPr>
              <w:pStyle w:val="TableHead"/>
              <w:jc w:val="center"/>
            </w:pPr>
            <w:r w:rsidRPr="001520A2">
              <w:t>Unit</w:t>
            </w:r>
          </w:p>
        </w:tc>
        <w:tc>
          <w:tcPr>
            <w:tcW w:w="3342" w:type="pct"/>
            <w:tcBorders>
              <w:top w:val="single" w:sz="4" w:space="0" w:color="auto"/>
              <w:left w:val="single" w:sz="6" w:space="0" w:color="auto"/>
              <w:bottom w:val="single" w:sz="6" w:space="0" w:color="auto"/>
              <w:right w:val="single" w:sz="4" w:space="0" w:color="auto"/>
            </w:tcBorders>
            <w:hideMark/>
          </w:tcPr>
          <w:p w14:paraId="02A7E53C" w14:textId="77777777" w:rsidR="00236104" w:rsidRPr="00F119E9" w:rsidRDefault="00236104" w:rsidP="00BA73E7">
            <w:pPr>
              <w:pStyle w:val="TableHead"/>
            </w:pPr>
            <w:r w:rsidRPr="00F119E9">
              <w:t>Definition</w:t>
            </w:r>
          </w:p>
        </w:tc>
      </w:tr>
      <w:tr w:rsidR="00236104" w:rsidRPr="00851088" w14:paraId="49001F17"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0C736804" w14:textId="77777777" w:rsidR="00236104" w:rsidRPr="00F119E9" w:rsidRDefault="00236104" w:rsidP="00BA73E7">
            <w:pPr>
              <w:pStyle w:val="TableBody"/>
            </w:pPr>
            <w:r w:rsidRPr="00851088">
              <w:t>SW</w:t>
            </w:r>
            <w:r w:rsidRPr="001520A2">
              <w:t xml:space="preserve">MWAMT </w:t>
            </w:r>
            <w:r w:rsidRPr="001520A2">
              <w:rPr>
                <w:i/>
                <w:vertAlign w:val="subscript"/>
              </w:rPr>
              <w:t>q,</w:t>
            </w:r>
            <w:r>
              <w:rPr>
                <w:i/>
                <w:vertAlign w:val="subscript"/>
              </w:rPr>
              <w:t xml:space="preserve"> </w:t>
            </w:r>
            <w:r w:rsidRPr="001520A2">
              <w:rPr>
                <w:i/>
                <w:vertAlign w:val="subscript"/>
              </w:rPr>
              <w:t>r</w:t>
            </w:r>
            <w:r w:rsidRPr="00F119E9">
              <w:rPr>
                <w:b/>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426A1EF8"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hideMark/>
          </w:tcPr>
          <w:p w14:paraId="7C32EECD" w14:textId="77777777" w:rsidR="00236104" w:rsidRPr="004D0722" w:rsidRDefault="00236104" w:rsidP="00BA73E7">
            <w:pPr>
              <w:pStyle w:val="TableBody"/>
            </w:pPr>
            <w:r w:rsidRPr="004D0722">
              <w:rPr>
                <w:i/>
              </w:rPr>
              <w:t xml:space="preserve">Switchable </w:t>
            </w:r>
            <w:r>
              <w:rPr>
                <w:i/>
              </w:rPr>
              <w:t xml:space="preserve">Generation </w:t>
            </w:r>
            <w:r w:rsidRPr="004D0722">
              <w:rPr>
                <w:i/>
              </w:rPr>
              <w:t>Make-Whole Payment</w:t>
            </w:r>
            <w:r w:rsidRPr="004D0722">
              <w:t xml:space="preserve">—The </w:t>
            </w:r>
            <w:r>
              <w:t xml:space="preserve">Switchable Generation </w:t>
            </w:r>
            <w:r w:rsidRPr="00F119E9">
              <w:t xml:space="preserve">Make-Whole Payment to the QSE </w:t>
            </w:r>
            <w:r w:rsidRPr="00F119E9">
              <w:rPr>
                <w:i/>
              </w:rPr>
              <w:t>q,</w:t>
            </w:r>
            <w:r w:rsidRPr="00F119E9">
              <w:t xml:space="preserve"> for Resource </w:t>
            </w:r>
            <w:r w:rsidRPr="00F119E9">
              <w:rPr>
                <w:i/>
              </w:rPr>
              <w:t>r</w:t>
            </w:r>
            <w:r w:rsidRPr="00F119E9">
              <w:t xml:space="preserve">, for the </w:t>
            </w:r>
            <w:r>
              <w:t>hour</w:t>
            </w:r>
            <w:r w:rsidRPr="00F119E9">
              <w:t xml:space="preserve">.  Where for a Combined Cycle Train, the Resource </w:t>
            </w:r>
            <w:r w:rsidRPr="00F119E9">
              <w:rPr>
                <w:i/>
              </w:rPr>
              <w:t xml:space="preserve">r </w:t>
            </w:r>
            <w:r w:rsidRPr="00F119E9">
              <w:t>is the Combined Cycle Train.</w:t>
            </w:r>
          </w:p>
        </w:tc>
      </w:tr>
      <w:tr w:rsidR="00236104" w:rsidRPr="00851088" w14:paraId="50FF58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4B58F7F" w14:textId="77777777" w:rsidR="00236104" w:rsidRPr="00067DC6" w:rsidRDefault="00236104" w:rsidP="00BA73E7">
            <w:pPr>
              <w:pStyle w:val="TableBody"/>
            </w:pPr>
            <w:r w:rsidRPr="00067DC6">
              <w:t xml:space="preserve">SWCG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44EC251"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3C818CB2" w14:textId="77777777" w:rsidR="00236104" w:rsidRPr="00067DC6" w:rsidRDefault="00236104" w:rsidP="00BA73E7">
            <w:pPr>
              <w:pStyle w:val="TableBody"/>
              <w:rPr>
                <w:i/>
              </w:rPr>
            </w:pPr>
            <w:r w:rsidRPr="00B67CC3">
              <w:rPr>
                <w:i/>
              </w:rPr>
              <w:t>Switchable Generation Cost Guarantee</w:t>
            </w:r>
            <w:r w:rsidRPr="00067DC6">
              <w:t>—The sum of eligible Startup Costs</w:t>
            </w:r>
            <w:r>
              <w:t xml:space="preserve">, </w:t>
            </w:r>
            <w:r w:rsidRPr="00067DC6">
              <w:t>minimum-energy costs</w:t>
            </w:r>
            <w:r>
              <w:t>, operating costs, and other Switchable Generation approved costs</w:t>
            </w:r>
            <w:r w:rsidRPr="00067DC6">
              <w:t xml:space="preserve"> for Resource </w:t>
            </w:r>
            <w:r w:rsidRPr="00067DC6">
              <w:rPr>
                <w:i/>
              </w:rPr>
              <w:t xml:space="preserve">r </w:t>
            </w:r>
            <w:r>
              <w:t xml:space="preserve">represented by QSE </w:t>
            </w:r>
            <w:r w:rsidRPr="00763E94">
              <w:rPr>
                <w:i/>
              </w:rPr>
              <w:t>q</w:t>
            </w:r>
            <w:r>
              <w:t xml:space="preserve"> for</w:t>
            </w:r>
            <w:r w:rsidRPr="00067DC6">
              <w:t xml:space="preserve"> all instructed hours, for the Operating Day</w:t>
            </w:r>
            <w:r>
              <w:t xml:space="preserve"> </w:t>
            </w:r>
            <w:r w:rsidRPr="00763E94">
              <w:rPr>
                <w:i/>
              </w:rPr>
              <w:t>d</w:t>
            </w:r>
            <w:r w:rsidRPr="00067DC6">
              <w:t xml:space="preserve">.  </w:t>
            </w:r>
            <w:r w:rsidRPr="00F119E9">
              <w:t xml:space="preserve">Where for a Combined Cycle Train, the Resource </w:t>
            </w:r>
            <w:r w:rsidRPr="00F119E9">
              <w:rPr>
                <w:i/>
              </w:rPr>
              <w:t xml:space="preserve">r </w:t>
            </w:r>
            <w:r w:rsidRPr="00F119E9">
              <w:t>is the Combined Cycle Train.</w:t>
            </w:r>
          </w:p>
        </w:tc>
      </w:tr>
      <w:tr w:rsidR="007C2D9A" w:rsidRPr="00851088" w14:paraId="0E2A290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46D1010" w14:textId="254DE368" w:rsidR="007C2D9A" w:rsidRPr="00067DC6" w:rsidRDefault="007C2D9A" w:rsidP="007C2D9A">
            <w:pPr>
              <w:pStyle w:val="TableBody"/>
            </w:pPr>
            <w:r w:rsidRPr="00AF3E20">
              <w:rPr>
                <w:lang w:val="pt-BR"/>
              </w:rPr>
              <w:t>OPC</w:t>
            </w:r>
            <w:r w:rsidRPr="00AF3E20">
              <w:rPr>
                <w:i/>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570E029D" w14:textId="3819CEA5" w:rsidR="007C2D9A" w:rsidRPr="00067DC6" w:rsidRDefault="007C2D9A" w:rsidP="007C2D9A">
            <w:pPr>
              <w:pStyle w:val="TableBody"/>
            </w:pPr>
            <w:r w:rsidRPr="00AF3E20">
              <w:t>$</w:t>
            </w:r>
          </w:p>
        </w:tc>
        <w:tc>
          <w:tcPr>
            <w:tcW w:w="3342" w:type="pct"/>
            <w:tcBorders>
              <w:top w:val="single" w:sz="6" w:space="0" w:color="auto"/>
              <w:left w:val="single" w:sz="6" w:space="0" w:color="auto"/>
              <w:bottom w:val="single" w:sz="6" w:space="0" w:color="auto"/>
              <w:right w:val="single" w:sz="4" w:space="0" w:color="auto"/>
            </w:tcBorders>
          </w:tcPr>
          <w:p w14:paraId="4F8721D8" w14:textId="51195CD1" w:rsidR="007C2D9A" w:rsidRPr="00B67CC3" w:rsidRDefault="007C2D9A" w:rsidP="007C2D9A">
            <w:pPr>
              <w:pStyle w:val="TableBody"/>
              <w:rPr>
                <w:i/>
              </w:rPr>
            </w:pPr>
            <w:r w:rsidRPr="00AF3E20">
              <w:rPr>
                <w:i/>
              </w:rPr>
              <w:t xml:space="preserve">Operational Cost </w:t>
            </w:r>
            <w:r w:rsidRPr="00AF3E20">
              <w:rPr>
                <w:iCs w:val="0"/>
              </w:rPr>
              <w:t xml:space="preserve">– The </w:t>
            </w:r>
            <w:r>
              <w:rPr>
                <w:iCs w:val="0"/>
              </w:rPr>
              <w:t>o</w:t>
            </w:r>
            <w:r w:rsidRPr="00AF3E20">
              <w:rPr>
                <w:iCs w:val="0"/>
              </w:rPr>
              <w:t xml:space="preserve">perational </w:t>
            </w:r>
            <w:r>
              <w:rPr>
                <w:iCs w:val="0"/>
              </w:rPr>
              <w:t>c</w:t>
            </w:r>
            <w:r w:rsidRPr="00AF3E20">
              <w:rPr>
                <w:iCs w:val="0"/>
              </w:rPr>
              <w:t xml:space="preserve">ost for the Resource </w:t>
            </w:r>
            <w:r w:rsidRPr="00AF3E20">
              <w:rPr>
                <w:i/>
              </w:rPr>
              <w:t xml:space="preserve">r </w:t>
            </w:r>
            <w:r w:rsidRPr="00AF3E20">
              <w:rPr>
                <w:iCs w:val="0"/>
              </w:rPr>
              <w:t xml:space="preserve">for the Operating Day </w:t>
            </w:r>
            <w:r w:rsidRPr="00AF3E20">
              <w:rPr>
                <w:i/>
              </w:rPr>
              <w:t>d</w:t>
            </w:r>
            <w:r w:rsidRPr="00AF3E20">
              <w:rPr>
                <w:iCs w:val="0"/>
              </w:rPr>
              <w:t xml:space="preserve"> in the non-ERCOT Control Area.  The operating costs represent the costs the Resource would have incurred to generate the awarded energy in the non-ERCOT Control Area Day-Ahead market absent a request to switch to ERCOT</w:t>
            </w:r>
            <w:r w:rsidRPr="00AF3E20">
              <w:t xml:space="preserve">.  Where for a Combined Cycle Train, the Resource </w:t>
            </w:r>
            <w:r w:rsidRPr="00AF3E20">
              <w:rPr>
                <w:i/>
              </w:rPr>
              <w:t xml:space="preserve">r </w:t>
            </w:r>
            <w:r w:rsidRPr="00AF3E20">
              <w:t>is the Combined Cycle Train.</w:t>
            </w:r>
          </w:p>
        </w:tc>
      </w:tr>
      <w:tr w:rsidR="007C2D9A" w:rsidRPr="00851088" w14:paraId="6024749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31D34AB" w14:textId="550AA5B3" w:rsidR="007C2D9A" w:rsidRPr="00067DC6" w:rsidRDefault="007C2D9A" w:rsidP="007C2D9A">
            <w:pPr>
              <w:pStyle w:val="TableBody"/>
            </w:pPr>
            <w:r w:rsidRPr="00AF3E20">
              <w:t>AENG</w:t>
            </w:r>
            <w:r w:rsidRPr="00AF3E20">
              <w:rPr>
                <w:i/>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727A5FAE" w14:textId="1483B3D3" w:rsidR="007C2D9A" w:rsidRPr="00067DC6" w:rsidRDefault="007C2D9A" w:rsidP="007C2D9A">
            <w:pPr>
              <w:pStyle w:val="TableBody"/>
            </w:pPr>
            <w:r w:rsidRPr="00AF3E20">
              <w:t>MWh</w:t>
            </w:r>
          </w:p>
        </w:tc>
        <w:tc>
          <w:tcPr>
            <w:tcW w:w="3342" w:type="pct"/>
            <w:tcBorders>
              <w:top w:val="single" w:sz="6" w:space="0" w:color="auto"/>
              <w:left w:val="single" w:sz="6" w:space="0" w:color="auto"/>
              <w:bottom w:val="single" w:sz="6" w:space="0" w:color="auto"/>
              <w:right w:val="single" w:sz="4" w:space="0" w:color="auto"/>
            </w:tcBorders>
          </w:tcPr>
          <w:p w14:paraId="5BB59510" w14:textId="1B96596E" w:rsidR="007C2D9A" w:rsidRPr="00B67CC3" w:rsidRDefault="007C2D9A" w:rsidP="007C2D9A">
            <w:pPr>
              <w:pStyle w:val="TableBody"/>
              <w:rPr>
                <w:i/>
              </w:rPr>
            </w:pPr>
            <w:r w:rsidRPr="00AF3E20">
              <w:rPr>
                <w:i/>
              </w:rPr>
              <w:t xml:space="preserve">Awarded Energy Non-ERCOT Day-Ahead Market </w:t>
            </w:r>
            <w:r w:rsidRPr="00AF3E20">
              <w:rPr>
                <w:iCs w:val="0"/>
              </w:rPr>
              <w:t xml:space="preserve">– The </w:t>
            </w:r>
            <w:r>
              <w:rPr>
                <w:iCs w:val="0"/>
              </w:rPr>
              <w:t>a</w:t>
            </w:r>
            <w:r w:rsidRPr="00AF3E20">
              <w:rPr>
                <w:iCs w:val="0"/>
              </w:rPr>
              <w:t xml:space="preserve">warded </w:t>
            </w:r>
            <w:r>
              <w:rPr>
                <w:iCs w:val="0"/>
              </w:rPr>
              <w:t>e</w:t>
            </w:r>
            <w:r w:rsidRPr="00AF3E20">
              <w:rPr>
                <w:iCs w:val="0"/>
              </w:rPr>
              <w:t xml:space="preserve">nergy in the non-ERCOT Day-Ahead Market for the Resource </w:t>
            </w:r>
            <w:r w:rsidRPr="00AF3E20">
              <w:rPr>
                <w:i/>
              </w:rPr>
              <w:t>r</w:t>
            </w:r>
            <w:r w:rsidRPr="00AF3E20">
              <w:rPr>
                <w:iCs w:val="0"/>
              </w:rPr>
              <w:t xml:space="preserve"> during the Interval </w:t>
            </w:r>
            <w:r w:rsidRPr="00AF3E20">
              <w:rPr>
                <w:i/>
              </w:rPr>
              <w:t>i</w:t>
            </w:r>
            <w:r w:rsidRPr="00AF3E20">
              <w:rPr>
                <w:iCs w:val="0"/>
              </w:rPr>
              <w:t xml:space="preserve">.  The awarded energy in the non-ERCOT Control Area Day-Ahead market represents the energy award for the interval that was not generated by the Resource due to the switch to ERCOT.  </w:t>
            </w:r>
            <w:r w:rsidRPr="00AF3E20">
              <w:t xml:space="preserve">Where for a Combined Cycle Train, the Resource </w:t>
            </w:r>
            <w:r w:rsidRPr="00AF3E20">
              <w:rPr>
                <w:i/>
              </w:rPr>
              <w:t xml:space="preserve">r </w:t>
            </w:r>
            <w:r w:rsidRPr="00AF3E20">
              <w:t>is the Combined Cycle Train.</w:t>
            </w:r>
          </w:p>
        </w:tc>
      </w:tr>
      <w:tr w:rsidR="00236104" w:rsidRPr="00851088" w14:paraId="2B49CD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EEEB1FE" w14:textId="77777777" w:rsidR="00236104" w:rsidRPr="00851088" w:rsidRDefault="00236104" w:rsidP="00BA73E7">
            <w:pPr>
              <w:pStyle w:val="TableBody"/>
            </w:pPr>
            <w:r w:rsidRPr="00067DC6">
              <w:t>SWSUC</w:t>
            </w:r>
            <w:r>
              <w:t xml:space="preserve"> </w:t>
            </w:r>
            <w:r w:rsidRPr="00067DC6">
              <w:rPr>
                <w:i/>
                <w:vertAlign w:val="subscript"/>
              </w:rPr>
              <w:t>q ,r,</w:t>
            </w:r>
            <w:r>
              <w:rPr>
                <w:i/>
                <w:vertAlign w:val="subscript"/>
              </w:rPr>
              <w:t xml:space="preserve"> </w:t>
            </w:r>
            <w:r w:rsidRPr="00067DC6">
              <w:rPr>
                <w:i/>
                <w:vertAlign w:val="subscript"/>
              </w:rPr>
              <w:t>d</w:t>
            </w:r>
            <w:r w:rsidRPr="00851088">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2F49EB"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hideMark/>
          </w:tcPr>
          <w:p w14:paraId="6F33A4E5" w14:textId="77777777" w:rsidR="00236104" w:rsidRPr="004D0722" w:rsidRDefault="00236104" w:rsidP="00BA73E7">
            <w:pPr>
              <w:pStyle w:val="TableBody"/>
            </w:pPr>
            <w:r w:rsidRPr="00067DC6">
              <w:rPr>
                <w:i/>
              </w:rPr>
              <w:t>Switchable Generat</w:t>
            </w:r>
            <w:r>
              <w:rPr>
                <w:i/>
              </w:rPr>
              <w:t>ion</w:t>
            </w:r>
            <w:r w:rsidRPr="00067DC6">
              <w:t xml:space="preserve"> </w:t>
            </w:r>
            <w:r w:rsidRPr="00851088">
              <w:rPr>
                <w:i/>
              </w:rPr>
              <w:t xml:space="preserve">Start-Up Cost </w:t>
            </w:r>
            <w:r w:rsidRPr="00851088">
              <w:t>—The Startup Costs for Resou</w:t>
            </w:r>
            <w:r w:rsidRPr="001520A2">
              <w:t xml:space="preserve">rce </w:t>
            </w:r>
            <w:r w:rsidRPr="001520A2">
              <w:rPr>
                <w:i/>
              </w:rPr>
              <w:t xml:space="preserve">r </w:t>
            </w:r>
            <w:r w:rsidRPr="00F119E9">
              <w:t>represented by QSE</w:t>
            </w:r>
            <w:r w:rsidRPr="00F119E9">
              <w:rPr>
                <w:i/>
              </w:rPr>
              <w:t xml:space="preserve"> q </w:t>
            </w:r>
            <w:r>
              <w:t>for</w:t>
            </w:r>
            <w:r w:rsidRPr="00F119E9">
              <w:t xml:space="preserve"> startup hours, for the Operating Day </w:t>
            </w:r>
            <w:r w:rsidRPr="00F119E9">
              <w:rPr>
                <w:i/>
              </w:rPr>
              <w:t>d</w:t>
            </w:r>
            <w:r w:rsidRPr="00F119E9">
              <w:t xml:space="preserve">.  Where for a Combined Cycle Train, the Resource </w:t>
            </w:r>
            <w:r w:rsidRPr="004D0722">
              <w:rPr>
                <w:i/>
              </w:rPr>
              <w:t xml:space="preserve">r </w:t>
            </w:r>
            <w:r w:rsidRPr="004D0722">
              <w:t>is the Combined Cycle Train.</w:t>
            </w:r>
          </w:p>
        </w:tc>
      </w:tr>
      <w:tr w:rsidR="007C2D9A" w:rsidRPr="00851088" w14:paraId="3CB589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A4BACE9" w14:textId="182A2716" w:rsidR="007C2D9A" w:rsidRPr="00067DC6" w:rsidRDefault="007C2D9A" w:rsidP="007C2D9A">
            <w:pPr>
              <w:pStyle w:val="TableBody"/>
            </w:pPr>
            <w:r w:rsidRPr="001C0064">
              <w:rPr>
                <w:iCs w:val="0"/>
              </w:rPr>
              <w:lastRenderedPageBreak/>
              <w:t>SWPSLR</w:t>
            </w:r>
            <w:r w:rsidRPr="001C0064">
              <w:rPr>
                <w:i/>
                <w:vertAlign w:val="subscript"/>
              </w:rPr>
              <w:t xml:space="preserve"> q ,r, d</w:t>
            </w:r>
            <w:r w:rsidRPr="001C0064">
              <w:t xml:space="preserve">    </w:t>
            </w:r>
          </w:p>
        </w:tc>
        <w:tc>
          <w:tcPr>
            <w:tcW w:w="692" w:type="pct"/>
            <w:tcBorders>
              <w:top w:val="single" w:sz="6" w:space="0" w:color="auto"/>
              <w:left w:val="single" w:sz="6" w:space="0" w:color="auto"/>
              <w:bottom w:val="single" w:sz="6" w:space="0" w:color="auto"/>
              <w:right w:val="single" w:sz="6" w:space="0" w:color="auto"/>
            </w:tcBorders>
          </w:tcPr>
          <w:p w14:paraId="343538D8" w14:textId="242A315D" w:rsidR="007C2D9A" w:rsidRPr="001520A2" w:rsidRDefault="007C2D9A" w:rsidP="007C2D9A">
            <w:pPr>
              <w:pStyle w:val="TableBody"/>
            </w:pPr>
            <w:r w:rsidRPr="001C0064">
              <w:t>$</w:t>
            </w:r>
          </w:p>
        </w:tc>
        <w:tc>
          <w:tcPr>
            <w:tcW w:w="3342" w:type="pct"/>
            <w:tcBorders>
              <w:top w:val="single" w:sz="6" w:space="0" w:color="auto"/>
              <w:left w:val="single" w:sz="6" w:space="0" w:color="auto"/>
              <w:bottom w:val="single" w:sz="6" w:space="0" w:color="auto"/>
              <w:right w:val="single" w:sz="4" w:space="0" w:color="auto"/>
            </w:tcBorders>
          </w:tcPr>
          <w:p w14:paraId="78D273E8" w14:textId="01B4835F" w:rsidR="007C2D9A" w:rsidRPr="00067DC6" w:rsidRDefault="007C2D9A" w:rsidP="007C2D9A">
            <w:pPr>
              <w:pStyle w:val="TableBody"/>
              <w:rPr>
                <w:i/>
              </w:rPr>
            </w:pPr>
            <w:r w:rsidRPr="001C0064">
              <w:rPr>
                <w:i/>
              </w:rPr>
              <w:t xml:space="preserve">Switchable Generation Physical Switch Lost Revenue – </w:t>
            </w:r>
            <w:r w:rsidRPr="001C0064">
              <w:t>The loss of revenue, net of any saved costs including avoided fuel consumption, experienced by the QSE when the C</w:t>
            </w:r>
            <w:r>
              <w:t>ombined Cycle Generation Resource</w:t>
            </w:r>
            <w:r w:rsidRPr="001C0064">
              <w:t xml:space="preserve"> operating in ERCOT must reduce its output to accommodate a switch from a non-ERCOT Control Area of one or more turbines needed to achieve a </w:t>
            </w:r>
            <w:r>
              <w:t>Combined Cycle Generation Resource</w:t>
            </w:r>
            <w:r w:rsidRPr="001C0064">
              <w:t xml:space="preserve"> con</w:t>
            </w:r>
            <w:r>
              <w:t xml:space="preserve">figuration instructed by ERCOT.  </w:t>
            </w:r>
            <w:r w:rsidRPr="001C0064">
              <w:t xml:space="preserve">Where for a Combined Cycle Train, the Resource </w:t>
            </w:r>
            <w:r w:rsidRPr="001C0064">
              <w:rPr>
                <w:i/>
              </w:rPr>
              <w:t xml:space="preserve">r </w:t>
            </w:r>
            <w:r w:rsidRPr="001C0064">
              <w:t>is the Combined Cycle Train.</w:t>
            </w:r>
          </w:p>
        </w:tc>
      </w:tr>
      <w:tr w:rsidR="007C2D9A" w:rsidRPr="00851088" w14:paraId="6FE6A99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064356" w14:textId="05208B0A" w:rsidR="007C2D9A" w:rsidRPr="00067DC6" w:rsidRDefault="007C2D9A" w:rsidP="007C2D9A">
            <w:pPr>
              <w:pStyle w:val="TableBody"/>
            </w:pPr>
            <w:r w:rsidRPr="001C0064">
              <w:t xml:space="preserve">RTLPX </w:t>
            </w:r>
            <w:r w:rsidRPr="006C329C">
              <w:rPr>
                <w:i/>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D521E33" w14:textId="4C82A29A" w:rsidR="007C2D9A" w:rsidRPr="001520A2" w:rsidRDefault="007C2D9A" w:rsidP="007C2D9A">
            <w:pPr>
              <w:pStyle w:val="TableBody"/>
            </w:pPr>
            <w:r w:rsidRPr="001C0064">
              <w:t>MWh</w:t>
            </w:r>
          </w:p>
        </w:tc>
        <w:tc>
          <w:tcPr>
            <w:tcW w:w="3342" w:type="pct"/>
            <w:tcBorders>
              <w:top w:val="single" w:sz="6" w:space="0" w:color="auto"/>
              <w:left w:val="single" w:sz="6" w:space="0" w:color="auto"/>
              <w:bottom w:val="single" w:sz="6" w:space="0" w:color="auto"/>
              <w:right w:val="single" w:sz="4" w:space="0" w:color="auto"/>
            </w:tcBorders>
          </w:tcPr>
          <w:p w14:paraId="4AA4BF9C" w14:textId="77777777" w:rsidR="007C2D9A" w:rsidRPr="001C0064" w:rsidRDefault="007C2D9A" w:rsidP="007C2D9A">
            <w:pPr>
              <w:pStyle w:val="TableBody"/>
            </w:pPr>
            <w:r w:rsidRPr="001C0064">
              <w:rPr>
                <w:i/>
              </w:rPr>
              <w:t>Real-Time Proxy Generation per QSE per Resource by Settlement Interval</w:t>
            </w:r>
            <w:r w:rsidRPr="001C0064">
              <w:t xml:space="preserve">—The Real-Time energy that was not generated in ERCOT by Combined Cycle Train, </w:t>
            </w:r>
            <w:r w:rsidRPr="006C329C">
              <w:rPr>
                <w:i/>
              </w:rPr>
              <w:t>r</w:t>
            </w:r>
            <w:r w:rsidRPr="001C0064">
              <w:t xml:space="preserve">, represented by QSE </w:t>
            </w:r>
            <w:r w:rsidRPr="006C329C">
              <w:rPr>
                <w:i/>
              </w:rPr>
              <w:t>q</w:t>
            </w:r>
            <w:r w:rsidRPr="001C0064">
              <w:t xml:space="preserve">, for the 15-minute Settlement Interval </w:t>
            </w:r>
            <w:r w:rsidRPr="006C329C">
              <w:rPr>
                <w:i/>
              </w:rPr>
              <w:t>i</w:t>
            </w:r>
            <w:r w:rsidRPr="001C0064">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D578DC7" w14:textId="77777777" w:rsidR="007C2D9A" w:rsidRPr="001C0064" w:rsidRDefault="007C2D9A" w:rsidP="007C2D9A">
            <w:pPr>
              <w:pStyle w:val="TableBody"/>
            </w:pPr>
            <w:r w:rsidRPr="001C0064">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25D49D8" w14:textId="573C983C" w:rsidR="007C2D9A" w:rsidRPr="00067DC6" w:rsidRDefault="007C2D9A" w:rsidP="00D76D39">
            <w:pPr>
              <w:pStyle w:val="TableBody"/>
              <w:rPr>
                <w:i/>
              </w:rPr>
            </w:pPr>
            <w:r w:rsidRPr="001C0064">
              <w:t>During a shutdown after an ERCOT release of the SWGR, the value of RTLPX will be determined based on the reduced generation, by interval, for the period starting from the commencement of the shutdown seque</w:t>
            </w:r>
            <w:r>
              <w:t>nce in the ERCOT Control A</w:t>
            </w:r>
            <w:r w:rsidRPr="001C0064">
              <w:t>rea until breaker close in the non-ERCOT Control Area, with a maximum duration equal to the duration of the switch from the non-ERCOT Control Area to ERCOT</w:t>
            </w:r>
            <w:r w:rsidRPr="001C0064" w:rsidDel="00482822">
              <w:t xml:space="preserve"> </w:t>
            </w:r>
            <w:r w:rsidRPr="001C0064">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7C2D9A" w:rsidRPr="00851088" w14:paraId="0F26372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B1596FD" w14:textId="1D4C1902" w:rsidR="007C2D9A" w:rsidRPr="00067DC6" w:rsidRDefault="007C2D9A" w:rsidP="007C2D9A">
            <w:pPr>
              <w:pStyle w:val="TableBody"/>
            </w:pPr>
            <w:r w:rsidRPr="001C0064">
              <w:t>SFC</w:t>
            </w:r>
            <w:r>
              <w:t xml:space="preserve"> </w:t>
            </w:r>
            <w:r w:rsidRPr="006F4450">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64E2A12" w14:textId="6E50DC93" w:rsidR="007C2D9A" w:rsidRPr="001520A2" w:rsidRDefault="007C2D9A" w:rsidP="007C2D9A">
            <w:pPr>
              <w:pStyle w:val="TableBody"/>
            </w:pPr>
            <w:r w:rsidRPr="001C0064">
              <w:t>MMBtu</w:t>
            </w:r>
          </w:p>
        </w:tc>
        <w:tc>
          <w:tcPr>
            <w:tcW w:w="3342" w:type="pct"/>
            <w:tcBorders>
              <w:top w:val="single" w:sz="6" w:space="0" w:color="auto"/>
              <w:left w:val="single" w:sz="6" w:space="0" w:color="auto"/>
              <w:bottom w:val="single" w:sz="6" w:space="0" w:color="auto"/>
              <w:right w:val="single" w:sz="4" w:space="0" w:color="auto"/>
            </w:tcBorders>
          </w:tcPr>
          <w:p w14:paraId="0FB0DD4B" w14:textId="51D27D02" w:rsidR="007C2D9A" w:rsidRPr="00067DC6" w:rsidRDefault="007C2D9A" w:rsidP="007C2D9A">
            <w:pPr>
              <w:pStyle w:val="TableBody"/>
              <w:rPr>
                <w:i/>
              </w:rPr>
            </w:pPr>
            <w:r w:rsidRPr="00A95988">
              <w:rPr>
                <w:i/>
              </w:rPr>
              <w:t>Saved Fuel Consumption</w:t>
            </w:r>
            <w:r w:rsidRPr="001C0064">
              <w:rPr>
                <w:i/>
              </w:rPr>
              <w:t xml:space="preserve"> </w:t>
            </w:r>
            <w:r w:rsidRPr="001C0064">
              <w:t>— Fuel quantity saved due to an output reduction of the combustion turbine(s) operating in ERCOT during the relevant period if necessary to accommodate the switch to and from the ERCOT area</w:t>
            </w:r>
            <w:r w:rsidR="00CC0885">
              <w:t>.</w:t>
            </w:r>
          </w:p>
        </w:tc>
      </w:tr>
      <w:tr w:rsidR="00236104" w:rsidRPr="00851088" w14:paraId="7605871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96E6DFE" w14:textId="77777777" w:rsidR="00236104" w:rsidRPr="00067DC6" w:rsidRDefault="00236104" w:rsidP="00BA73E7">
            <w:pPr>
              <w:pStyle w:val="TableBody"/>
            </w:pPr>
            <w:r w:rsidRPr="005C3A5C">
              <w:rPr>
                <w:iCs w:val="0"/>
              </w:rPr>
              <w:t>SW</w:t>
            </w:r>
            <w:r>
              <w:rPr>
                <w:iCs w:val="0"/>
              </w:rPr>
              <w:t>S</w:t>
            </w:r>
            <w:r w:rsidRPr="005C3A5C">
              <w:rPr>
                <w:iCs w:val="0"/>
              </w:rPr>
              <w:t>F</w:t>
            </w:r>
          </w:p>
        </w:tc>
        <w:tc>
          <w:tcPr>
            <w:tcW w:w="692" w:type="pct"/>
            <w:tcBorders>
              <w:top w:val="single" w:sz="6" w:space="0" w:color="auto"/>
              <w:left w:val="single" w:sz="6" w:space="0" w:color="auto"/>
              <w:bottom w:val="single" w:sz="6" w:space="0" w:color="auto"/>
              <w:right w:val="single" w:sz="6" w:space="0" w:color="auto"/>
            </w:tcBorders>
          </w:tcPr>
          <w:p w14:paraId="2C7E8224"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0C5362E4" w14:textId="77777777" w:rsidR="00236104" w:rsidRPr="00067DC6" w:rsidRDefault="00236104" w:rsidP="00BA73E7">
            <w:pPr>
              <w:pStyle w:val="TableBody"/>
              <w:rPr>
                <w:i/>
              </w:rPr>
            </w:pPr>
            <w:r w:rsidRPr="00067DC6">
              <w:rPr>
                <w:i/>
              </w:rPr>
              <w:t>Switchable Generat</w:t>
            </w:r>
            <w:r>
              <w:rPr>
                <w:i/>
              </w:rPr>
              <w:t>ion</w:t>
            </w:r>
            <w:r w:rsidRPr="00067DC6">
              <w:t xml:space="preserve"> </w:t>
            </w:r>
            <w:r w:rsidRPr="00FF2CA0">
              <w:rPr>
                <w:i/>
              </w:rPr>
              <w:t>Startup Factor</w:t>
            </w:r>
            <w:r w:rsidRPr="00851088">
              <w:rPr>
                <w:i/>
              </w:rPr>
              <w:t xml:space="preserve"> </w:t>
            </w:r>
            <w:r w:rsidRPr="00851088">
              <w:t>—</w:t>
            </w:r>
            <w:r>
              <w:t xml:space="preserve">The Switchable Generation Startup Factor for an SWGR.  The SWSF shall be set to a value of 2 if the SWGR has a COP Resource Status of </w:t>
            </w:r>
            <w:r w:rsidRPr="005D4879">
              <w:t>EMRSWGR</w:t>
            </w:r>
            <w:r>
              <w:t xml:space="preserve"> within 24 hours of being released by the ERCOT Operator.  Otherwise, the SWSF shall be set to a value of 1.</w:t>
            </w:r>
          </w:p>
        </w:tc>
      </w:tr>
      <w:tr w:rsidR="00236104" w:rsidRPr="00851088" w14:paraId="36FF0DF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D1B6088" w14:textId="77777777" w:rsidR="00236104" w:rsidRPr="00851088" w:rsidRDefault="00236104" w:rsidP="00BA73E7">
            <w:pPr>
              <w:pStyle w:val="TableBody"/>
            </w:pPr>
            <w:r w:rsidRPr="00067DC6">
              <w:lastRenderedPageBreak/>
              <w:t>SWMEC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2E5314A7"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444C1CF0" w14:textId="77777777" w:rsidR="00236104" w:rsidRPr="006D1297" w:rsidRDefault="00236104" w:rsidP="00BA73E7">
            <w:pPr>
              <w:pStyle w:val="TableBody"/>
              <w:rPr>
                <w:i/>
              </w:rPr>
            </w:pPr>
            <w:r w:rsidRPr="00EC1127">
              <w:rPr>
                <w:i/>
              </w:rPr>
              <w:t>Switchable Generat</w:t>
            </w:r>
            <w:r w:rsidRPr="0075366A">
              <w:rPr>
                <w:i/>
              </w:rPr>
              <w:t>ion</w:t>
            </w:r>
            <w:r w:rsidRPr="00067DC6">
              <w:t xml:space="preserve"> </w:t>
            </w:r>
            <w:r w:rsidRPr="00067DC6">
              <w:rPr>
                <w:i/>
              </w:rPr>
              <w:t xml:space="preserve">Minimum Energy Cost </w:t>
            </w:r>
            <w:r w:rsidRPr="00067DC6">
              <w:t xml:space="preserve">—The </w:t>
            </w:r>
            <w:r>
              <w:t>m</w:t>
            </w:r>
            <w:r w:rsidRPr="00067DC6">
              <w:t xml:space="preserve">inimum </w:t>
            </w:r>
            <w:r>
              <w:t>e</w:t>
            </w:r>
            <w:r w:rsidRPr="00067DC6">
              <w:t xml:space="preserve">nergy costs for Resource </w:t>
            </w:r>
            <w:r w:rsidRPr="002521AB">
              <w:rPr>
                <w:i/>
              </w:rPr>
              <w:t xml:space="preserve">r </w:t>
            </w:r>
            <w:r w:rsidRPr="002521AB">
              <w:t>represented by QSE</w:t>
            </w:r>
            <w:r w:rsidRPr="002521AB">
              <w:rPr>
                <w:i/>
              </w:rPr>
              <w:t xml:space="preserve"> q </w:t>
            </w:r>
            <w:r w:rsidRPr="00CA1A17">
              <w:t>during instructed</w:t>
            </w:r>
            <w:r w:rsidRPr="00027C9A">
              <w:t xml:space="preserve"> hours, for the Operating Day </w:t>
            </w:r>
            <w:r w:rsidRPr="00027C9A">
              <w:rPr>
                <w:i/>
              </w:rPr>
              <w:t>d</w:t>
            </w:r>
            <w:r w:rsidRPr="00027C9A">
              <w:t xml:space="preserve">.  Where for a Combined Cycle Train, the Resource </w:t>
            </w:r>
            <w:r w:rsidRPr="00027C9A">
              <w:rPr>
                <w:i/>
              </w:rPr>
              <w:t xml:space="preserve">r </w:t>
            </w:r>
            <w:r w:rsidRPr="00027C9A">
              <w:t>is the Combined Cycle Train.</w:t>
            </w:r>
          </w:p>
        </w:tc>
      </w:tr>
      <w:tr w:rsidR="00236104" w:rsidRPr="00851088" w14:paraId="44AFB3A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1C769FC" w14:textId="77777777" w:rsidR="00236104" w:rsidRPr="00851088" w:rsidRDefault="00236104" w:rsidP="00BA73E7">
            <w:pPr>
              <w:pStyle w:val="TableBody"/>
            </w:pPr>
            <w:r w:rsidRPr="00851088">
              <w:t>SWOC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A39DDAA"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68F972A3" w14:textId="1866ABD1" w:rsidR="00236104" w:rsidRPr="00851088" w:rsidRDefault="00236104" w:rsidP="00BA73E7">
            <w:pPr>
              <w:pStyle w:val="TableBody"/>
              <w:rPr>
                <w:i/>
              </w:rPr>
            </w:pPr>
            <w:r w:rsidRPr="00067DC6">
              <w:rPr>
                <w:i/>
              </w:rPr>
              <w:t>Switchable Generat</w:t>
            </w:r>
            <w:r>
              <w:rPr>
                <w:i/>
              </w:rPr>
              <w:t>ion</w:t>
            </w:r>
            <w:r w:rsidRPr="00067DC6">
              <w:t xml:space="preserve"> </w:t>
            </w:r>
            <w:r w:rsidRPr="00067DC6">
              <w:rPr>
                <w:i/>
              </w:rPr>
              <w:t xml:space="preserve">Operating Cost </w:t>
            </w:r>
            <w:r w:rsidRPr="00067DC6">
              <w:t xml:space="preserve">—The operating costs for Resource </w:t>
            </w:r>
            <w:r w:rsidRPr="00067DC6">
              <w:rPr>
                <w:i/>
              </w:rPr>
              <w:t xml:space="preserve">r </w:t>
            </w:r>
            <w:r w:rsidRPr="00067DC6">
              <w:t>represented by QSE</w:t>
            </w:r>
            <w:r w:rsidRPr="00067DC6">
              <w:rPr>
                <w:i/>
              </w:rPr>
              <w:t xml:space="preserve"> q </w:t>
            </w:r>
            <w:r w:rsidRPr="00067DC6">
              <w:t xml:space="preserve">during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007C2D9A" w:rsidRPr="00A53B36">
              <w:t xml:space="preserve"> </w:t>
            </w:r>
            <w:r w:rsidR="007C2D9A">
              <w:t xml:space="preserve"> </w:t>
            </w:r>
            <w:r w:rsidR="007C2D9A" w:rsidRPr="00A53B36">
              <w:t>Switchable generation operating cost represents the Real-Time operating costs in ERCOT reduced by the savings in operating costs not incurred due to the switch from the non-ERCOT Control Area.</w:t>
            </w:r>
          </w:p>
        </w:tc>
      </w:tr>
      <w:tr w:rsidR="00236104" w:rsidRPr="007477C6" w14:paraId="44BDEF1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8CD33C" w14:textId="77777777" w:rsidR="00236104" w:rsidRPr="00851088" w:rsidRDefault="00236104" w:rsidP="00BA73E7">
            <w:pPr>
              <w:pStyle w:val="TableBody"/>
            </w:pPr>
            <w:r>
              <w:t>SWAC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C906109" w14:textId="77777777" w:rsidR="00236104" w:rsidRPr="001520A2"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79E797F8" w14:textId="77777777" w:rsidR="00236104" w:rsidRPr="00067DC6" w:rsidRDefault="00236104" w:rsidP="00BA73E7">
            <w:pPr>
              <w:pStyle w:val="TableBody"/>
            </w:pPr>
            <w:r>
              <w:rPr>
                <w:i/>
              </w:rPr>
              <w:t xml:space="preserve">Switchable Generation Approved Costs – </w:t>
            </w:r>
            <w:r w:rsidRPr="00067DC6">
              <w:t xml:space="preserve">The </w:t>
            </w:r>
            <w:r>
              <w:t xml:space="preserve">total amount of the calculation of financial loss, as submitted by the QSE </w:t>
            </w:r>
            <w:r>
              <w:rPr>
                <w:i/>
              </w:rPr>
              <w:t xml:space="preserve">q </w:t>
            </w:r>
            <w:r w:rsidRPr="00067DC6">
              <w:t>for the Resource</w:t>
            </w:r>
            <w:r>
              <w:rPr>
                <w:i/>
              </w:rPr>
              <w:t xml:space="preserve"> r, </w:t>
            </w:r>
            <w:r>
              <w:t xml:space="preserve">as approved by ERCOT for the Operating Day </w:t>
            </w:r>
            <w:r w:rsidRPr="00763E94">
              <w:rPr>
                <w:i/>
              </w:rPr>
              <w:t>d</w:t>
            </w:r>
            <w:r>
              <w:t xml:space="preserve">.  </w:t>
            </w:r>
            <w:r w:rsidRPr="004D0722">
              <w:t xml:space="preserve">Where for a Combined Cycle Train, the Resource </w:t>
            </w:r>
            <w:r w:rsidRPr="00763E94">
              <w:rPr>
                <w:i/>
              </w:rPr>
              <w:t>r</w:t>
            </w:r>
            <w:r w:rsidRPr="004D0722">
              <w:t xml:space="preserve"> is the Combined Cycle Train.</w:t>
            </w:r>
          </w:p>
        </w:tc>
      </w:tr>
      <w:tr w:rsidR="00236104" w:rsidRPr="00D551CE" w14:paraId="7C6B80B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58B2CA3" w14:textId="77777777" w:rsidR="00236104" w:rsidRPr="00F119E9" w:rsidRDefault="00236104" w:rsidP="00BA73E7">
            <w:pPr>
              <w:pStyle w:val="TableBody"/>
            </w:pPr>
            <w:r w:rsidRPr="001520A2">
              <w:rPr>
                <w:rStyle w:val="BodyTextChar"/>
                <w:sz w:val="20"/>
              </w:rPr>
              <w:t>SWFC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1520A2">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73C41C9"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tcPr>
          <w:p w14:paraId="2DB463F5" w14:textId="77777777" w:rsidR="00236104" w:rsidRPr="00D551CE" w:rsidRDefault="00236104" w:rsidP="00BA73E7">
            <w:pPr>
              <w:pStyle w:val="TableBody"/>
              <w:rPr>
                <w:i/>
              </w:rPr>
            </w:pPr>
            <w:r w:rsidRPr="00067DC6">
              <w:rPr>
                <w:i/>
              </w:rPr>
              <w:t>Switchable Generator</w:t>
            </w:r>
            <w:r w:rsidRPr="00067DC6">
              <w:t xml:space="preserve"> </w:t>
            </w:r>
            <w:r w:rsidRPr="00067DC6">
              <w:rPr>
                <w:i/>
              </w:rPr>
              <w:t xml:space="preserve">Fuel Cost </w:t>
            </w:r>
            <w:r w:rsidRPr="00067DC6">
              <w:t xml:space="preserve">—The </w:t>
            </w:r>
            <w:r w:rsidRPr="00D551CE">
              <w:t xml:space="preserve">incremental </w:t>
            </w:r>
            <w:r w:rsidRPr="00067DC6">
              <w:t xml:space="preserve">fuel costs </w:t>
            </w:r>
            <w:r w:rsidRPr="00D551CE">
              <w:t xml:space="preserve">and fees </w:t>
            </w:r>
            <w:r w:rsidRPr="00067DC6">
              <w:t xml:space="preserve">for Resource </w:t>
            </w:r>
            <w:r w:rsidRPr="00067DC6">
              <w:rPr>
                <w:i/>
              </w:rPr>
              <w:t xml:space="preserve">r </w:t>
            </w:r>
            <w:r w:rsidRPr="00067DC6">
              <w:t>represented by QSE</w:t>
            </w:r>
            <w:r w:rsidRPr="00067DC6">
              <w:rPr>
                <w:i/>
              </w:rPr>
              <w:t xml:space="preserve"> q </w:t>
            </w:r>
            <w:r>
              <w:t>for all</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Pr="00D551CE">
              <w:t xml:space="preserve">  Incremental fuel costs must be based on those costs incurred as described in </w:t>
            </w:r>
            <w:r w:rsidRPr="00372BF7">
              <w:t>Section 9.14.9</w:t>
            </w:r>
            <w:r>
              <w:t>, Incremental Fuel Costs for Switchable Generation Make-Whole Payment</w:t>
            </w:r>
            <w:r w:rsidRPr="00372BF7">
              <w:t>.</w:t>
            </w:r>
            <w:r w:rsidRPr="00D551CE">
              <w:t xml:space="preserve"> </w:t>
            </w:r>
          </w:p>
        </w:tc>
      </w:tr>
      <w:tr w:rsidR="00236104" w:rsidRPr="00D551CE" w14:paraId="175C9BE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336276D" w14:textId="77777777" w:rsidR="00236104" w:rsidRPr="001520A2" w:rsidRDefault="00236104" w:rsidP="00BA73E7">
            <w:pPr>
              <w:pStyle w:val="TableBody"/>
              <w:rPr>
                <w:rStyle w:val="BodyTextChar"/>
                <w:sz w:val="20"/>
              </w:rPr>
            </w:pPr>
            <w:r w:rsidRPr="00211EF7">
              <w:t>SWF</w:t>
            </w:r>
            <w:r>
              <w:t>IP</w:t>
            </w:r>
            <w:r w:rsidRPr="00211EF7">
              <w:t xml:space="preserve">C </w:t>
            </w:r>
            <w:r w:rsidRPr="00370D54">
              <w:rPr>
                <w:i/>
                <w:vertAlign w:val="subscript"/>
              </w:rPr>
              <w:t>q,</w:t>
            </w:r>
            <w:r>
              <w:rPr>
                <w:i/>
                <w:vertAlign w:val="subscript"/>
              </w:rPr>
              <w:t xml:space="preserve"> </w:t>
            </w:r>
            <w:r w:rsidRPr="00370D54">
              <w:rPr>
                <w:i/>
                <w:vertAlign w:val="subscript"/>
              </w:rPr>
              <w:t>r,</w:t>
            </w:r>
            <w:r>
              <w:rPr>
                <w:i/>
                <w:vertAlign w:val="subscript"/>
              </w:rPr>
              <w:t xml:space="preserve"> </w:t>
            </w:r>
            <w:r w:rsidRPr="00370D54">
              <w:rPr>
                <w:i/>
                <w:vertAlign w:val="subscript"/>
              </w:rPr>
              <w:t>d</w:t>
            </w:r>
            <w:r w:rsidRPr="00370D54">
              <w:rPr>
                <w:i/>
              </w:rPr>
              <w:t xml:space="preserve">  </w:t>
            </w:r>
          </w:p>
        </w:tc>
        <w:tc>
          <w:tcPr>
            <w:tcW w:w="692" w:type="pct"/>
            <w:tcBorders>
              <w:top w:val="single" w:sz="6" w:space="0" w:color="auto"/>
              <w:left w:val="single" w:sz="6" w:space="0" w:color="auto"/>
              <w:bottom w:val="single" w:sz="6" w:space="0" w:color="auto"/>
              <w:right w:val="single" w:sz="6" w:space="0" w:color="auto"/>
            </w:tcBorders>
          </w:tcPr>
          <w:p w14:paraId="0F9361EF" w14:textId="77777777" w:rsidR="00236104" w:rsidRPr="00F119E9" w:rsidRDefault="00236104" w:rsidP="00BA73E7">
            <w:pPr>
              <w:pStyle w:val="TableBody"/>
            </w:pPr>
            <w:r w:rsidRPr="00211EF7">
              <w:t>$</w:t>
            </w:r>
          </w:p>
        </w:tc>
        <w:tc>
          <w:tcPr>
            <w:tcW w:w="3342" w:type="pct"/>
            <w:tcBorders>
              <w:top w:val="single" w:sz="6" w:space="0" w:color="auto"/>
              <w:left w:val="single" w:sz="6" w:space="0" w:color="auto"/>
              <w:bottom w:val="single" w:sz="6" w:space="0" w:color="auto"/>
              <w:right w:val="single" w:sz="4" w:space="0" w:color="auto"/>
            </w:tcBorders>
          </w:tcPr>
          <w:p w14:paraId="2420BF6E" w14:textId="77777777" w:rsidR="00236104" w:rsidRPr="00067DC6" w:rsidRDefault="00236104" w:rsidP="00BA73E7">
            <w:pPr>
              <w:pStyle w:val="TableBody"/>
              <w:rPr>
                <w:i/>
              </w:rPr>
            </w:pPr>
            <w:r w:rsidRPr="008E2780">
              <w:rPr>
                <w:i/>
              </w:rPr>
              <w:t>Switchable Generator Fuel Imbalance Penalty Cost</w:t>
            </w:r>
            <w:r w:rsidRPr="00211EF7">
              <w:t xml:space="preserve"> —The </w:t>
            </w:r>
            <w:r>
              <w:t xml:space="preserve">fuel imbalance penalty </w:t>
            </w:r>
            <w:r w:rsidRPr="00211EF7">
              <w:t xml:space="preserve">cost for </w:t>
            </w:r>
            <w:r>
              <w:t xml:space="preserve">Resource </w:t>
            </w:r>
            <w:r w:rsidRPr="008E2780">
              <w:rPr>
                <w:i/>
              </w:rPr>
              <w:t>r</w:t>
            </w:r>
            <w:r>
              <w:t xml:space="preserve"> represented by QSE </w:t>
            </w:r>
            <w:r w:rsidRPr="008E2780">
              <w:rPr>
                <w:i/>
              </w:rPr>
              <w:t>q</w:t>
            </w:r>
            <w:r>
              <w:t xml:space="preserve">, for the Operating Day, </w:t>
            </w:r>
            <w:r w:rsidRPr="00BF0069">
              <w:t xml:space="preserve">arising from the SWGR not consuming its contracted fuel quantities as a result of a switch from a non-ERCOT Control Area as requested by ERCOT.  Fuel imbalance penalty costs </w:t>
            </w:r>
            <w:r>
              <w:t>are</w:t>
            </w:r>
            <w:r w:rsidRPr="00BF0069">
              <w:t xml:space="preserve"> limited to those costs assessed for the period starting at the initiation of the ramp-down in the non-ERCOT Control Area to two hours following the time ERCOT released the SWGR.</w:t>
            </w:r>
            <w:r>
              <w:t xml:space="preserve"> </w:t>
            </w:r>
            <w:r w:rsidRPr="00211EF7">
              <w:t xml:space="preserve">Where for a Combined Cycle Train, the Resource </w:t>
            </w:r>
            <w:r w:rsidRPr="008E2780">
              <w:rPr>
                <w:i/>
              </w:rPr>
              <w:t>r</w:t>
            </w:r>
            <w:r w:rsidRPr="00211EF7">
              <w:t xml:space="preserve"> is the Combined Cycle Train.</w:t>
            </w:r>
          </w:p>
        </w:tc>
      </w:tr>
      <w:tr w:rsidR="00236104" w:rsidRPr="00D551CE" w14:paraId="3AFCECA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6D4D410" w14:textId="6C123D73" w:rsidR="00236104" w:rsidRPr="00067DC6" w:rsidRDefault="00236104" w:rsidP="00BA73E7">
            <w:pPr>
              <w:pStyle w:val="TableBody"/>
              <w:rPr>
                <w:rStyle w:val="BodyTextChar"/>
                <w:sz w:val="20"/>
              </w:rPr>
            </w:pPr>
            <w:r w:rsidRPr="001520A2">
              <w:rPr>
                <w:rStyle w:val="BodyTextChar"/>
                <w:sz w:val="20"/>
              </w:rPr>
              <w:t>SWE</w:t>
            </w:r>
            <w:r w:rsidR="007C2D9A">
              <w:rPr>
                <w:rStyle w:val="BodyTextChar"/>
                <w:sz w:val="20"/>
              </w:rPr>
              <w:t>I</w:t>
            </w:r>
            <w:r w:rsidRPr="001520A2">
              <w:rPr>
                <w:rStyle w:val="BodyTextChar"/>
                <w:sz w:val="20"/>
              </w:rPr>
              <w:t>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F119E9">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3DD85509"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2F431156" w14:textId="7E56B110" w:rsidR="00236104" w:rsidRPr="00067DC6" w:rsidRDefault="00236104" w:rsidP="007C2D9A">
            <w:pPr>
              <w:pStyle w:val="TableBody"/>
            </w:pPr>
            <w:r w:rsidRPr="00067DC6">
              <w:rPr>
                <w:i/>
              </w:rPr>
              <w:t>Switchable Generator</w:t>
            </w:r>
            <w:r w:rsidRPr="00067DC6">
              <w:t xml:space="preserve"> </w:t>
            </w:r>
            <w:r w:rsidRPr="00067DC6">
              <w:rPr>
                <w:i/>
              </w:rPr>
              <w:t xml:space="preserve">Energy </w:t>
            </w:r>
            <w:r w:rsidRPr="00D551CE">
              <w:rPr>
                <w:i/>
              </w:rPr>
              <w:t>Imbalance</w:t>
            </w:r>
            <w:r w:rsidRPr="00067DC6">
              <w:rPr>
                <w:i/>
              </w:rPr>
              <w:t xml:space="preserve"> Cost </w:t>
            </w:r>
            <w:r w:rsidRPr="00067DC6">
              <w:t>—The energy</w:t>
            </w:r>
            <w:r w:rsidRPr="00D551CE">
              <w:t xml:space="preserve"> imbalance</w:t>
            </w:r>
            <w:r w:rsidRPr="00067DC6">
              <w:t xml:space="preserve"> costs for Resource </w:t>
            </w:r>
            <w:r w:rsidRPr="00067DC6">
              <w:rPr>
                <w:i/>
              </w:rPr>
              <w:t xml:space="preserve">r </w:t>
            </w:r>
            <w:r w:rsidRPr="00067DC6">
              <w:t>represented by QSE</w:t>
            </w:r>
            <w:r w:rsidRPr="00067DC6">
              <w:rPr>
                <w:i/>
              </w:rPr>
              <w:t xml:space="preserve"> q </w:t>
            </w:r>
            <w:r>
              <w:t>for</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 xml:space="preserve">is the Combined Cycle Train.  </w:t>
            </w:r>
            <w:r w:rsidR="007C2D9A">
              <w:t>E</w:t>
            </w:r>
            <w:r w:rsidRPr="00067DC6">
              <w:t>nergy</w:t>
            </w:r>
            <w:r w:rsidRPr="00D551CE">
              <w:t xml:space="preserve"> imbalance</w:t>
            </w:r>
            <w:r w:rsidRPr="00067DC6">
              <w:t xml:space="preserve"> costs represent</w:t>
            </w:r>
            <w:r w:rsidR="007C2D9A">
              <w:t xml:space="preserve"> Real-Time</w:t>
            </w:r>
            <w:r w:rsidRPr="00067DC6">
              <w:t xml:space="preserve"> imbalance charges </w:t>
            </w:r>
            <w:r w:rsidR="007C2D9A">
              <w:t xml:space="preserve">for the amount of energy the SWGR was not able to provide as required by its DAM commitment </w:t>
            </w:r>
            <w:r>
              <w:t xml:space="preserve">from </w:t>
            </w:r>
            <w:r w:rsidR="007C2D9A">
              <w:t xml:space="preserve">the </w:t>
            </w:r>
            <w:r>
              <w:t>non-ERCOT Control A</w:t>
            </w:r>
            <w:r w:rsidRPr="00D551CE">
              <w:t>rea</w:t>
            </w:r>
            <w:r w:rsidR="007C2D9A">
              <w:t>, starting</w:t>
            </w:r>
            <w:r w:rsidRPr="00D551CE">
              <w:t xml:space="preserve"> from the </w:t>
            </w:r>
            <w:r>
              <w:t>beginning of the ramp-down period</w:t>
            </w:r>
            <w:r w:rsidRPr="00D551CE">
              <w:t xml:space="preserve"> in the other grid to two hours following the time ERCOT released the Resource.</w:t>
            </w:r>
          </w:p>
        </w:tc>
      </w:tr>
      <w:tr w:rsidR="00236104" w:rsidRPr="00013B55" w14:paraId="317A776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0EB4E8" w14:textId="5ED39FAF" w:rsidR="00236104" w:rsidRPr="00067DC6" w:rsidRDefault="00236104" w:rsidP="007C2D9A">
            <w:pPr>
              <w:pStyle w:val="TableBody"/>
              <w:rPr>
                <w:rStyle w:val="BodyTextChar"/>
                <w:sz w:val="20"/>
              </w:rPr>
            </w:pPr>
            <w:r w:rsidRPr="00067DC6">
              <w:rPr>
                <w:rStyle w:val="BodyTextChar"/>
                <w:sz w:val="20"/>
              </w:rPr>
              <w:t>SWAS</w:t>
            </w:r>
            <w:r w:rsidR="00CC0885">
              <w:rPr>
                <w:rStyle w:val="BodyTextChar"/>
                <w:sz w:val="20"/>
              </w:rPr>
              <w:t>I</w:t>
            </w:r>
            <w:r w:rsidRPr="00067DC6">
              <w:rPr>
                <w:rStyle w:val="BodyTextChar"/>
                <w:sz w:val="20"/>
              </w:rPr>
              <w:t>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33EE8A6"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6F6FDCE7" w14:textId="163E3719" w:rsidR="00236104" w:rsidRPr="007477C6" w:rsidRDefault="00236104" w:rsidP="007C2D9A">
            <w:pPr>
              <w:pStyle w:val="TableBody"/>
            </w:pPr>
            <w:r w:rsidRPr="00067DC6">
              <w:rPr>
                <w:i/>
              </w:rPr>
              <w:t>Switchable Generator</w:t>
            </w:r>
            <w:r w:rsidRPr="007477C6">
              <w:t xml:space="preserve"> </w:t>
            </w:r>
            <w:r w:rsidRPr="007477C6">
              <w:rPr>
                <w:i/>
              </w:rPr>
              <w:t xml:space="preserve">Ancillary Services </w:t>
            </w:r>
            <w:r>
              <w:rPr>
                <w:i/>
              </w:rPr>
              <w:t xml:space="preserve">Imbalance </w:t>
            </w:r>
            <w:r w:rsidRPr="007477C6">
              <w:rPr>
                <w:i/>
              </w:rPr>
              <w:t xml:space="preserve">Cost </w:t>
            </w:r>
            <w:r w:rsidRPr="007477C6">
              <w:t xml:space="preserve">—The Ancillary Service </w:t>
            </w:r>
            <w:r w:rsidR="00C0502C">
              <w:t>i</w:t>
            </w:r>
            <w:r>
              <w:t xml:space="preserve">mbalance </w:t>
            </w:r>
            <w:r w:rsidRPr="007477C6">
              <w:t xml:space="preserve">costs for Resource </w:t>
            </w:r>
            <w:r w:rsidRPr="007477C6">
              <w:rPr>
                <w:i/>
              </w:rPr>
              <w:t xml:space="preserve">r </w:t>
            </w:r>
            <w:r w:rsidRPr="007477C6">
              <w:t>represented by QSE</w:t>
            </w:r>
            <w:r w:rsidRPr="007477C6">
              <w:rPr>
                <w:i/>
              </w:rPr>
              <w:t xml:space="preserve"> q </w:t>
            </w:r>
            <w:r>
              <w:t>for</w:t>
            </w:r>
            <w:r w:rsidRPr="007477C6">
              <w:t xml:space="preserve"> instructed hours, for the Operating Day </w:t>
            </w:r>
            <w:r w:rsidRPr="007477C6">
              <w:rPr>
                <w:i/>
              </w:rPr>
              <w:t>d</w:t>
            </w:r>
            <w:r w:rsidRPr="007477C6">
              <w:t xml:space="preserve">.  Where for a Combined Cycle Train, the Resource </w:t>
            </w:r>
            <w:r w:rsidRPr="007477C6">
              <w:rPr>
                <w:i/>
              </w:rPr>
              <w:t xml:space="preserve">r </w:t>
            </w:r>
            <w:r w:rsidRPr="007477C6">
              <w:t xml:space="preserve">is the Combined Cycle Train.  Ancillary Service </w:t>
            </w:r>
            <w:r w:rsidR="00C0502C">
              <w:t>i</w:t>
            </w:r>
            <w:r>
              <w:t xml:space="preserve">mbalance </w:t>
            </w:r>
            <w:r w:rsidRPr="007477C6">
              <w:t xml:space="preserve">costs represent </w:t>
            </w:r>
            <w:r w:rsidR="007C2D9A">
              <w:t xml:space="preserve">Real-Time </w:t>
            </w:r>
            <w:r w:rsidRPr="007477C6">
              <w:t xml:space="preserve">imbalance charges </w:t>
            </w:r>
            <w:r w:rsidR="007C2D9A">
              <w:t xml:space="preserve">for the amount of Ancillary Services the SWGR was not able to provide as required by its Day-Ahead commitment </w:t>
            </w:r>
            <w:r>
              <w:t xml:space="preserve">from </w:t>
            </w:r>
            <w:r w:rsidR="007C2D9A">
              <w:t xml:space="preserve">the </w:t>
            </w:r>
            <w:r>
              <w:t>non-ERCOT Control A</w:t>
            </w:r>
            <w:r w:rsidRPr="00851088">
              <w:t>rea</w:t>
            </w:r>
            <w:r w:rsidR="007C2D9A">
              <w:t>, starting</w:t>
            </w:r>
            <w:r w:rsidRPr="00851088">
              <w:t xml:space="preserve">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188B88F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42F957" w14:textId="77777777" w:rsidR="00236104" w:rsidRPr="004C7D0C" w:rsidRDefault="00236104" w:rsidP="00BA73E7">
            <w:pPr>
              <w:pStyle w:val="TableBody"/>
              <w:rPr>
                <w:lang w:val="pt-BR"/>
              </w:rPr>
            </w:pPr>
            <w:r>
              <w:rPr>
                <w:lang w:val="pt-BR"/>
              </w:rPr>
              <w:lastRenderedPageBreak/>
              <w:t>SWMWDC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E64596C" w14:textId="77777777" w:rsidR="00236104"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0AC73D69" w14:textId="77777777" w:rsidR="00236104" w:rsidRDefault="00236104" w:rsidP="00BA73E7">
            <w:pPr>
              <w:pStyle w:val="TableBody"/>
              <w:rPr>
                <w:i/>
              </w:rPr>
            </w:pPr>
            <w:r w:rsidRPr="41460BB1">
              <w:rPr>
                <w:i/>
              </w:rPr>
              <w:t>Switchable Generator</w:t>
            </w:r>
            <w:r w:rsidRPr="007477C6">
              <w:t xml:space="preserve"> </w:t>
            </w:r>
            <w:r w:rsidRPr="41460BB1">
              <w:rPr>
                <w:i/>
              </w:rPr>
              <w:t>Make</w:t>
            </w:r>
            <w:r>
              <w:rPr>
                <w:i/>
              </w:rPr>
              <w:t>-</w:t>
            </w:r>
            <w:r w:rsidRPr="41460BB1">
              <w:rPr>
                <w:i/>
              </w:rPr>
              <w:t>Whole Payment Distribution</w:t>
            </w:r>
            <w:r>
              <w:rPr>
                <w:i/>
              </w:rPr>
              <w:t xml:space="preserve"> Cost</w:t>
            </w:r>
            <w:r w:rsidRPr="41460BB1">
              <w:rPr>
                <w:i/>
              </w:rPr>
              <w:t xml:space="preserve"> </w:t>
            </w:r>
            <w:r w:rsidRPr="007477C6">
              <w:t>—The</w:t>
            </w:r>
            <w:r w:rsidRPr="007477C6" w:rsidDel="00E21E0A">
              <w:t xml:space="preserve"> </w:t>
            </w:r>
            <w:r w:rsidRPr="00737F88">
              <w:t>Make</w:t>
            </w:r>
            <w:r>
              <w:t>-</w:t>
            </w:r>
            <w:r w:rsidRPr="00737F88">
              <w:t xml:space="preserve">Whole Payment </w:t>
            </w:r>
            <w:r w:rsidRPr="009C12DD">
              <w:t>d</w:t>
            </w:r>
            <w:r w:rsidRPr="00737F88">
              <w:t>istribution</w:t>
            </w:r>
            <w:r>
              <w:t xml:space="preserve"> costs</w:t>
            </w:r>
            <w:r w:rsidRPr="41460BB1">
              <w:rPr>
                <w:i/>
              </w:rPr>
              <w:t xml:space="preserve"> </w:t>
            </w:r>
            <w:r w:rsidRPr="007477C6">
              <w:t xml:space="preserve">for Resource </w:t>
            </w:r>
            <w:r w:rsidRPr="41460BB1">
              <w:rPr>
                <w:i/>
              </w:rPr>
              <w:t xml:space="preserve">r </w:t>
            </w:r>
            <w:r w:rsidRPr="007477C6">
              <w:t>represented by QSE</w:t>
            </w:r>
            <w:r w:rsidRPr="41460BB1">
              <w:rPr>
                <w:i/>
              </w:rPr>
              <w:t xml:space="preserve"> q </w:t>
            </w:r>
            <w:r>
              <w:t>for</w:t>
            </w:r>
            <w:r w:rsidRPr="007477C6">
              <w:t xml:space="preserve"> instructed hours, for the Operating Day </w:t>
            </w:r>
            <w:r w:rsidRPr="41460BB1">
              <w:rPr>
                <w:i/>
              </w:rPr>
              <w:t>d</w:t>
            </w:r>
            <w:r w:rsidRPr="007477C6">
              <w:t xml:space="preserve">.  Where for a Combined Cycle Train, the Resource </w:t>
            </w:r>
            <w:r w:rsidRPr="41460BB1">
              <w:rPr>
                <w:i/>
              </w:rPr>
              <w:t xml:space="preserve">r </w:t>
            </w:r>
            <w:r w:rsidRPr="007477C6">
              <w:t xml:space="preserve">is the Combined Cycle Train.  </w:t>
            </w:r>
            <w:r w:rsidRPr="00762F92">
              <w:t>Make</w:t>
            </w:r>
            <w:r>
              <w:t>-</w:t>
            </w:r>
            <w:r w:rsidRPr="00762F92">
              <w:t xml:space="preserve">Whole Payment </w:t>
            </w:r>
            <w:r w:rsidRPr="009C12DD">
              <w:t>d</w:t>
            </w:r>
            <w:r w:rsidRPr="00762F92">
              <w:t>istribution</w:t>
            </w:r>
            <w:r>
              <w:t xml:space="preserve"> costs represent </w:t>
            </w:r>
            <w:r w:rsidRPr="007477C6">
              <w:t xml:space="preserve">charges </w:t>
            </w:r>
            <w:r>
              <w:t>from non-ERCOT Control A</w:t>
            </w:r>
            <w:r w:rsidRPr="00851088">
              <w:t xml:space="preserve">rea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36C40D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121877" w14:textId="77777777" w:rsidR="00236104" w:rsidRPr="0063447B" w:rsidRDefault="00236104" w:rsidP="00BA73E7">
            <w:pPr>
              <w:pStyle w:val="TableBody"/>
              <w:rPr>
                <w:rStyle w:val="BodyTextChar"/>
                <w:sz w:val="20"/>
              </w:rPr>
            </w:pPr>
            <w:r w:rsidRPr="004C7D0C">
              <w:rPr>
                <w:lang w:val="pt-BR"/>
              </w:rPr>
              <w:t>SWRTREV</w:t>
            </w:r>
            <w:r w:rsidRPr="002071BB">
              <w:rPr>
                <w:i/>
                <w:vertAlign w:val="subscript"/>
                <w:lang w:val="pt-BR"/>
              </w:rPr>
              <w:t xml:space="preserve"> q,</w:t>
            </w:r>
            <w:r>
              <w:rPr>
                <w:i/>
                <w:vertAlign w:val="subscript"/>
                <w:lang w:val="pt-BR"/>
              </w:rPr>
              <w:t xml:space="preserve"> </w:t>
            </w:r>
            <w:r w:rsidRPr="002071BB">
              <w:rPr>
                <w:i/>
                <w:vertAlign w:val="subscript"/>
                <w:lang w:val="pt-BR"/>
              </w:rPr>
              <w:t>r</w:t>
            </w:r>
            <w:r w:rsidRPr="005A6FD5">
              <w:rPr>
                <w:i/>
                <w:vertAlign w:val="subscript"/>
                <w:lang w:val="pt-BR"/>
              </w:rPr>
              <w:t>,</w:t>
            </w:r>
            <w:r>
              <w:rPr>
                <w:i/>
                <w:vertAlign w:val="subscript"/>
                <w:lang w:val="pt-BR"/>
              </w:rPr>
              <w:t xml:space="preserve"> d</w:t>
            </w:r>
          </w:p>
        </w:tc>
        <w:tc>
          <w:tcPr>
            <w:tcW w:w="692" w:type="pct"/>
            <w:tcBorders>
              <w:top w:val="single" w:sz="6" w:space="0" w:color="auto"/>
              <w:left w:val="single" w:sz="6" w:space="0" w:color="auto"/>
              <w:bottom w:val="single" w:sz="6" w:space="0" w:color="auto"/>
              <w:right w:val="single" w:sz="6" w:space="0" w:color="auto"/>
            </w:tcBorders>
          </w:tcPr>
          <w:p w14:paraId="1D415191" w14:textId="77777777" w:rsidR="00236104" w:rsidRPr="00851088"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6DE2F453" w14:textId="77777777" w:rsidR="00236104" w:rsidRPr="007477C6" w:rsidRDefault="00236104" w:rsidP="00BA73E7">
            <w:pPr>
              <w:pStyle w:val="TableBody"/>
            </w:pPr>
            <w:r>
              <w:rPr>
                <w:i/>
              </w:rPr>
              <w:t xml:space="preserve">Switchable Generation Real-Time Revenues – </w:t>
            </w:r>
            <w:r>
              <w:t xml:space="preserve">The sum of energy revenues for the Resource </w:t>
            </w:r>
            <w:r>
              <w:rPr>
                <w:i/>
              </w:rPr>
              <w:t xml:space="preserve">r, </w:t>
            </w:r>
            <w:r>
              <w:t xml:space="preserve">represented by QSE </w:t>
            </w:r>
            <w:r>
              <w:rPr>
                <w:i/>
              </w:rPr>
              <w:t xml:space="preserve">q, </w:t>
            </w:r>
            <w:r>
              <w:t xml:space="preserve">during all instructed hours for the Operating Day </w:t>
            </w:r>
            <w:r>
              <w:rPr>
                <w:i/>
              </w:rPr>
              <w:t xml:space="preserve">d. </w:t>
            </w:r>
            <w:r>
              <w:t xml:space="preserve"> </w:t>
            </w:r>
            <w:r w:rsidRPr="00851088">
              <w:t xml:space="preserve">Where for a </w:t>
            </w:r>
            <w:r>
              <w:t>C</w:t>
            </w:r>
            <w:r w:rsidRPr="00851088">
              <w:t xml:space="preserve">ombined </w:t>
            </w:r>
            <w:r>
              <w:t>C</w:t>
            </w:r>
            <w:r w:rsidRPr="00851088">
              <w:t xml:space="preserve">ycle </w:t>
            </w:r>
            <w:r>
              <w:t>Train, R</w:t>
            </w:r>
            <w:r w:rsidRPr="00851088">
              <w:t>esource</w:t>
            </w:r>
            <w:r w:rsidRPr="000A7355">
              <w:rPr>
                <w:i/>
              </w:rPr>
              <w:t xml:space="preserve"> r </w:t>
            </w:r>
            <w:r w:rsidRPr="001520A2">
              <w:t xml:space="preserve">is </w:t>
            </w:r>
            <w:r>
              <w:t>the</w:t>
            </w:r>
            <w:r w:rsidRPr="001520A2">
              <w:t xml:space="preserve"> Combined Cycle Train.</w:t>
            </w:r>
          </w:p>
        </w:tc>
      </w:tr>
      <w:tr w:rsidR="00236104" w:rsidRPr="007477C6" w14:paraId="19A3ED1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A4264E9" w14:textId="77777777" w:rsidR="00236104" w:rsidRPr="00851088" w:rsidRDefault="00236104" w:rsidP="00BA73E7">
            <w:pPr>
              <w:pStyle w:val="TableBody"/>
            </w:pPr>
            <w:r w:rsidRPr="00621804">
              <w:t xml:space="preserve">GASPERSU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0025FF3D" w14:textId="77777777" w:rsidR="00236104" w:rsidRPr="001520A2" w:rsidRDefault="00236104" w:rsidP="00BA73E7">
            <w:pPr>
              <w:pStyle w:val="TableBody"/>
            </w:pPr>
            <w:r w:rsidRPr="00621804">
              <w:t>none</w:t>
            </w:r>
          </w:p>
        </w:tc>
        <w:tc>
          <w:tcPr>
            <w:tcW w:w="3342" w:type="pct"/>
            <w:tcBorders>
              <w:top w:val="single" w:sz="6" w:space="0" w:color="auto"/>
              <w:left w:val="single" w:sz="6" w:space="0" w:color="auto"/>
              <w:bottom w:val="single" w:sz="6" w:space="0" w:color="auto"/>
              <w:right w:val="single" w:sz="4" w:space="0" w:color="auto"/>
            </w:tcBorders>
          </w:tcPr>
          <w:p w14:paraId="4CBD6A4D" w14:textId="77777777" w:rsidR="00236104" w:rsidRPr="007477C6" w:rsidRDefault="00236104" w:rsidP="00BA73E7">
            <w:pPr>
              <w:pStyle w:val="TableBody"/>
              <w:rPr>
                <w:i/>
              </w:rPr>
            </w:pPr>
            <w:r w:rsidRPr="001A3855">
              <w:rPr>
                <w:i/>
              </w:rPr>
              <w:t>Percent of Natural Gas to Operate per Start</w:t>
            </w:r>
            <w:r w:rsidRPr="00621804">
              <w:t xml:space="preserve">—The percentage of natural gas used by Resource </w:t>
            </w:r>
            <w:r w:rsidRPr="001A3855">
              <w:rPr>
                <w:i/>
              </w:rPr>
              <w:t>r</w:t>
            </w:r>
            <w:r w:rsidRPr="00621804">
              <w:t xml:space="preserve"> to operate per start </w:t>
            </w:r>
            <w:r w:rsidRPr="001A3855">
              <w:rPr>
                <w:i/>
              </w:rPr>
              <w:t>s</w:t>
            </w:r>
            <w:r w:rsidRPr="00621804">
              <w:t xml:space="preserve">, as approved in the verifiable cost process.  Where for a Combined Cycle Train, the Resource </w:t>
            </w:r>
            <w:r w:rsidRPr="00763E94">
              <w:rPr>
                <w:i/>
              </w:rPr>
              <w:t>r</w:t>
            </w:r>
            <w:r w:rsidRPr="00621804">
              <w:t xml:space="preserve"> is a Combined Cycle Generation Resource within the Combined Cycle Train.</w:t>
            </w:r>
          </w:p>
        </w:tc>
      </w:tr>
      <w:tr w:rsidR="00236104" w:rsidRPr="007477C6" w14:paraId="1EC75F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CB1014" w14:textId="77777777" w:rsidR="00236104" w:rsidRPr="00851088" w:rsidRDefault="00236104" w:rsidP="00BA73E7">
            <w:pPr>
              <w:pStyle w:val="TableBody"/>
            </w:pPr>
            <w:r w:rsidRPr="002D7DB8">
              <w:t xml:space="preserve">OILPERSU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493493C0" w14:textId="77777777" w:rsidR="00236104" w:rsidRPr="001520A2" w:rsidRDefault="00236104" w:rsidP="00BA73E7">
            <w:pPr>
              <w:pStyle w:val="TableBody"/>
            </w:pPr>
            <w:r w:rsidRPr="002D7DB8">
              <w:t>none</w:t>
            </w:r>
          </w:p>
        </w:tc>
        <w:tc>
          <w:tcPr>
            <w:tcW w:w="3342" w:type="pct"/>
            <w:tcBorders>
              <w:top w:val="single" w:sz="6" w:space="0" w:color="auto"/>
              <w:left w:val="single" w:sz="6" w:space="0" w:color="auto"/>
              <w:bottom w:val="single" w:sz="6" w:space="0" w:color="auto"/>
              <w:right w:val="single" w:sz="4" w:space="0" w:color="auto"/>
            </w:tcBorders>
          </w:tcPr>
          <w:p w14:paraId="01150758" w14:textId="77777777" w:rsidR="00236104" w:rsidRPr="007477C6" w:rsidRDefault="00236104" w:rsidP="00BA73E7">
            <w:pPr>
              <w:pStyle w:val="TableBody"/>
              <w:rPr>
                <w:i/>
              </w:rPr>
            </w:pPr>
            <w:r w:rsidRPr="001A3855">
              <w:rPr>
                <w:i/>
              </w:rPr>
              <w:t>Percent of Oil to Operate per Start</w:t>
            </w:r>
            <w:r w:rsidRPr="002D7DB8">
              <w:t xml:space="preserve">—The percentage of fuel oil used by Resource </w:t>
            </w:r>
            <w:r w:rsidRPr="001A3855">
              <w:rPr>
                <w:i/>
              </w:rPr>
              <w:t>r</w:t>
            </w:r>
            <w:r w:rsidRPr="002D7DB8">
              <w:t xml:space="preserve"> to operate per start </w:t>
            </w:r>
            <w:r w:rsidRPr="001A3855">
              <w:rPr>
                <w:i/>
              </w:rPr>
              <w:t>s</w:t>
            </w:r>
            <w:r w:rsidRPr="002D7DB8">
              <w:t xml:space="preserve">, as approved in the verifiable cost process.  Where for a Combined Cycle Train, the Resource </w:t>
            </w:r>
            <w:r w:rsidRPr="00763E94">
              <w:rPr>
                <w:i/>
              </w:rPr>
              <w:t>r</w:t>
            </w:r>
            <w:r w:rsidRPr="002D7DB8">
              <w:t xml:space="preserve"> is a Combined Cycle Generation Resource within the Combined Cycle Train.</w:t>
            </w:r>
          </w:p>
        </w:tc>
      </w:tr>
      <w:tr w:rsidR="00236104" w:rsidRPr="007477C6" w14:paraId="13819E2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19D5757" w14:textId="77777777" w:rsidR="00236104" w:rsidRPr="00851088" w:rsidRDefault="00236104" w:rsidP="00BA73E7">
            <w:pPr>
              <w:pStyle w:val="TableBody"/>
            </w:pPr>
            <w:r w:rsidRPr="007C72CE">
              <w:t xml:space="preserve">SFPERSU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C2C8213" w14:textId="77777777" w:rsidR="00236104" w:rsidRPr="001520A2" w:rsidRDefault="00236104" w:rsidP="00BA73E7">
            <w:pPr>
              <w:pStyle w:val="TableBody"/>
            </w:pPr>
            <w:r w:rsidRPr="007C72CE">
              <w:t>none</w:t>
            </w:r>
          </w:p>
        </w:tc>
        <w:tc>
          <w:tcPr>
            <w:tcW w:w="3342" w:type="pct"/>
            <w:tcBorders>
              <w:top w:val="single" w:sz="6" w:space="0" w:color="auto"/>
              <w:left w:val="single" w:sz="6" w:space="0" w:color="auto"/>
              <w:bottom w:val="single" w:sz="6" w:space="0" w:color="auto"/>
              <w:right w:val="single" w:sz="4" w:space="0" w:color="auto"/>
            </w:tcBorders>
          </w:tcPr>
          <w:p w14:paraId="028716C8" w14:textId="77777777" w:rsidR="00236104" w:rsidRPr="007477C6" w:rsidRDefault="00236104" w:rsidP="00BA73E7">
            <w:pPr>
              <w:pStyle w:val="TableBody"/>
              <w:rPr>
                <w:i/>
              </w:rPr>
            </w:pPr>
            <w:r w:rsidRPr="001A3855">
              <w:rPr>
                <w:i/>
              </w:rPr>
              <w:t>Percent of Solid Fuel to Operate per Start</w:t>
            </w:r>
            <w:r w:rsidRPr="007C72CE">
              <w:t xml:space="preserve">—The percentage of solid fuel used by Resource </w:t>
            </w:r>
            <w:r w:rsidRPr="001A3855">
              <w:rPr>
                <w:i/>
              </w:rPr>
              <w:t>r</w:t>
            </w:r>
            <w:r w:rsidRPr="007C72CE">
              <w:t xml:space="preserve"> to operate per start </w:t>
            </w:r>
            <w:r w:rsidRPr="001A3855">
              <w:rPr>
                <w:i/>
              </w:rPr>
              <w:t>s</w:t>
            </w:r>
            <w:r w:rsidRPr="007C72CE">
              <w:t xml:space="preserve">, as approved in the verifiable cost process.  Where for a Combined Cycle Train, the Resource </w:t>
            </w:r>
            <w:r w:rsidRPr="00763E94">
              <w:rPr>
                <w:i/>
              </w:rPr>
              <w:t>r</w:t>
            </w:r>
            <w:r w:rsidRPr="007C72CE">
              <w:t xml:space="preserve"> is a Combined Cycle Generation Resource within the Combined Cycle Train.</w:t>
            </w:r>
          </w:p>
        </w:tc>
      </w:tr>
      <w:tr w:rsidR="00236104" w:rsidRPr="007477C6" w14:paraId="57CE43D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E9CC0B7" w14:textId="77777777" w:rsidR="00236104" w:rsidRPr="007C72CE" w:rsidRDefault="00236104" w:rsidP="00BA73E7">
            <w:pPr>
              <w:pStyle w:val="TableBody"/>
            </w:pPr>
            <w:r w:rsidRPr="00042C23">
              <w:t xml:space="preserve">GASPERME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E9A2412" w14:textId="77777777" w:rsidR="00236104" w:rsidRPr="007C72CE" w:rsidRDefault="00236104" w:rsidP="00BA73E7">
            <w:pPr>
              <w:pStyle w:val="TableBody"/>
            </w:pPr>
            <w:r w:rsidRPr="00042C23">
              <w:t>None</w:t>
            </w:r>
          </w:p>
        </w:tc>
        <w:tc>
          <w:tcPr>
            <w:tcW w:w="3342" w:type="pct"/>
            <w:tcBorders>
              <w:top w:val="single" w:sz="6" w:space="0" w:color="auto"/>
              <w:left w:val="single" w:sz="6" w:space="0" w:color="auto"/>
              <w:bottom w:val="single" w:sz="6" w:space="0" w:color="auto"/>
              <w:right w:val="single" w:sz="4" w:space="0" w:color="auto"/>
            </w:tcBorders>
          </w:tcPr>
          <w:p w14:paraId="4A66761E" w14:textId="77777777" w:rsidR="00236104" w:rsidRPr="007C72CE" w:rsidRDefault="00236104" w:rsidP="00BA73E7">
            <w:pPr>
              <w:pStyle w:val="TableBody"/>
            </w:pPr>
            <w:r w:rsidRPr="001A3855">
              <w:rPr>
                <w:i/>
              </w:rPr>
              <w:t>Percent of Natural Gas to Operate at LSL</w:t>
            </w:r>
            <w:r w:rsidRPr="00042C23">
              <w:t xml:space="preserve">—The percentage of natural gas used by Resource </w:t>
            </w:r>
            <w:r w:rsidRPr="001A3855">
              <w:rPr>
                <w:i/>
              </w:rPr>
              <w:t>r</w:t>
            </w:r>
            <w:r w:rsidRPr="00042C23">
              <w:t xml:space="preserve"> to operate at LSL, as approved in the verifiable cost process.  Where for a Combined Cycle Train, the Resource </w:t>
            </w:r>
            <w:r w:rsidRPr="00763E94">
              <w:rPr>
                <w:i/>
              </w:rPr>
              <w:t>r</w:t>
            </w:r>
            <w:r w:rsidRPr="00042C23">
              <w:t xml:space="preserve"> is a Combined Cycle Generation Resource within the Combined Cycle Train.</w:t>
            </w:r>
          </w:p>
        </w:tc>
      </w:tr>
      <w:tr w:rsidR="00236104" w:rsidRPr="007477C6" w14:paraId="3DC843A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F0DCBB4" w14:textId="77777777" w:rsidR="00236104" w:rsidRPr="00042C23" w:rsidRDefault="00236104" w:rsidP="00BA73E7">
            <w:pPr>
              <w:pStyle w:val="TableBody"/>
            </w:pPr>
            <w:r w:rsidRPr="0025501E">
              <w:t xml:space="preserve">OILPERME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F4C7322" w14:textId="77777777" w:rsidR="00236104" w:rsidRPr="00042C23" w:rsidRDefault="00236104" w:rsidP="00BA73E7">
            <w:pPr>
              <w:pStyle w:val="TableBody"/>
            </w:pPr>
            <w:r w:rsidRPr="0025501E">
              <w:t>None</w:t>
            </w:r>
          </w:p>
        </w:tc>
        <w:tc>
          <w:tcPr>
            <w:tcW w:w="3342" w:type="pct"/>
            <w:tcBorders>
              <w:top w:val="single" w:sz="6" w:space="0" w:color="auto"/>
              <w:left w:val="single" w:sz="6" w:space="0" w:color="auto"/>
              <w:bottom w:val="single" w:sz="6" w:space="0" w:color="auto"/>
              <w:right w:val="single" w:sz="4" w:space="0" w:color="auto"/>
            </w:tcBorders>
          </w:tcPr>
          <w:p w14:paraId="62E9C8C6" w14:textId="77777777" w:rsidR="00236104" w:rsidRPr="00042C23" w:rsidRDefault="00236104" w:rsidP="00BA73E7">
            <w:pPr>
              <w:pStyle w:val="TableBody"/>
            </w:pPr>
            <w:r w:rsidRPr="001A3855">
              <w:rPr>
                <w:i/>
              </w:rPr>
              <w:t>Percent of Oil to Operate at LSL</w:t>
            </w:r>
            <w:r w:rsidRPr="0025501E">
              <w:t xml:space="preserve">—The percentage of fuel oil used by Resource </w:t>
            </w:r>
            <w:r w:rsidRPr="001A3855">
              <w:rPr>
                <w:i/>
              </w:rPr>
              <w:t>r</w:t>
            </w:r>
            <w:r w:rsidRPr="0025501E">
              <w:t xml:space="preserve"> to operate at LSL, as approved in the verifiable cost process.  Where for a Combined Cycle Train, the Resource </w:t>
            </w:r>
            <w:r w:rsidRPr="00763E94">
              <w:rPr>
                <w:i/>
              </w:rPr>
              <w:t>r</w:t>
            </w:r>
            <w:r w:rsidRPr="0025501E">
              <w:t xml:space="preserve"> is a Combined Cycle Generation Resource within the Combined Cycle Train.</w:t>
            </w:r>
          </w:p>
        </w:tc>
      </w:tr>
      <w:tr w:rsidR="00236104" w:rsidRPr="007477C6" w14:paraId="3DC1974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80A7A" w14:textId="77777777" w:rsidR="00236104" w:rsidRPr="00042C23" w:rsidRDefault="00236104" w:rsidP="00BA73E7">
            <w:pPr>
              <w:pStyle w:val="TableBody"/>
            </w:pPr>
            <w:r w:rsidRPr="0061060C">
              <w:t xml:space="preserve">SFPERME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916B59F" w14:textId="77777777" w:rsidR="00236104" w:rsidRPr="00042C23" w:rsidRDefault="00236104" w:rsidP="00BA73E7">
            <w:pPr>
              <w:pStyle w:val="TableBody"/>
            </w:pPr>
            <w:r w:rsidRPr="0061060C">
              <w:t xml:space="preserve">None </w:t>
            </w:r>
          </w:p>
        </w:tc>
        <w:tc>
          <w:tcPr>
            <w:tcW w:w="3342" w:type="pct"/>
            <w:tcBorders>
              <w:top w:val="single" w:sz="6" w:space="0" w:color="auto"/>
              <w:left w:val="single" w:sz="6" w:space="0" w:color="auto"/>
              <w:bottom w:val="single" w:sz="6" w:space="0" w:color="auto"/>
              <w:right w:val="single" w:sz="4" w:space="0" w:color="auto"/>
            </w:tcBorders>
          </w:tcPr>
          <w:p w14:paraId="274283A8" w14:textId="77777777" w:rsidR="00236104" w:rsidRPr="00042C23" w:rsidRDefault="00236104" w:rsidP="00BA73E7">
            <w:pPr>
              <w:pStyle w:val="TableBody"/>
            </w:pPr>
            <w:r w:rsidRPr="001A3855">
              <w:rPr>
                <w:i/>
              </w:rPr>
              <w:t>Percent of Solid Fuel to Operate at LSL</w:t>
            </w:r>
            <w:r w:rsidRPr="0061060C">
              <w:t xml:space="preserve">—The percentage of solid fuel used by Resource </w:t>
            </w:r>
            <w:r w:rsidRPr="001A3855">
              <w:rPr>
                <w:i/>
              </w:rPr>
              <w:t>r</w:t>
            </w:r>
            <w:r w:rsidRPr="0061060C">
              <w:t xml:space="preserve"> to operate at LSL, as approved in the verifiable cost process.  Where for a Combined Cycle Train, the Resource </w:t>
            </w:r>
            <w:r w:rsidRPr="00763E94">
              <w:rPr>
                <w:i/>
              </w:rPr>
              <w:t>r</w:t>
            </w:r>
            <w:r w:rsidRPr="0061060C">
              <w:t xml:space="preserve"> is a Combined Cycle Generation Resource within the Combined Cycle Train.</w:t>
            </w:r>
          </w:p>
        </w:tc>
      </w:tr>
      <w:tr w:rsidR="00236104" w:rsidRPr="007477C6" w14:paraId="3E00E24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55110" w14:textId="77777777" w:rsidR="00236104" w:rsidRPr="00851088" w:rsidRDefault="00236104" w:rsidP="00BA73E7">
            <w:pPr>
              <w:pStyle w:val="TableBody"/>
            </w:pPr>
            <w:r w:rsidRPr="00851088">
              <w:t>DAFCRS</w:t>
            </w:r>
            <w:r>
              <w:t xml:space="preserve"> </w:t>
            </w:r>
            <w:r w:rsidRPr="00B11DBA">
              <w:rPr>
                <w:i/>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093BD97" w14:textId="77777777" w:rsidR="00236104" w:rsidRPr="00F119E9" w:rsidRDefault="00236104" w:rsidP="00BA73E7">
            <w:pPr>
              <w:pStyle w:val="TableBody"/>
            </w:pPr>
            <w:r w:rsidRPr="001520A2">
              <w:t>MMBtu/Start</w:t>
            </w:r>
          </w:p>
        </w:tc>
        <w:tc>
          <w:tcPr>
            <w:tcW w:w="3342" w:type="pct"/>
            <w:tcBorders>
              <w:top w:val="single" w:sz="6" w:space="0" w:color="auto"/>
              <w:left w:val="single" w:sz="6" w:space="0" w:color="auto"/>
              <w:bottom w:val="single" w:sz="6" w:space="0" w:color="auto"/>
              <w:right w:val="single" w:sz="4" w:space="0" w:color="auto"/>
            </w:tcBorders>
          </w:tcPr>
          <w:p w14:paraId="3EDCF71D" w14:textId="77777777" w:rsidR="00236104" w:rsidRPr="00CD03E9" w:rsidRDefault="00236104" w:rsidP="00BA73E7">
            <w:pPr>
              <w:pStyle w:val="TableBody"/>
              <w:rPr>
                <w:i/>
              </w:rPr>
            </w:pPr>
            <w:r w:rsidRPr="007477C6">
              <w:rPr>
                <w:i/>
              </w:rPr>
              <w:t>Day-Ahead Actual Fuel Consumption Rate per Start</w:t>
            </w:r>
            <w:r w:rsidRPr="0061060C">
              <w:t>—</w:t>
            </w:r>
            <w:r w:rsidRPr="00F119E9">
              <w:t xml:space="preserve">The actual fuel consumption rate for Resource </w:t>
            </w:r>
            <w:r w:rsidRPr="007477C6">
              <w:rPr>
                <w:i/>
              </w:rPr>
              <w:t>r</w:t>
            </w:r>
            <w:r w:rsidRPr="00F119E9">
              <w:t xml:space="preserve"> to startup per start type </w:t>
            </w:r>
            <w:r w:rsidRPr="007477C6">
              <w:rPr>
                <w:i/>
              </w:rPr>
              <w:t>s</w:t>
            </w:r>
            <w:r w:rsidRPr="00F119E9">
              <w:t xml:space="preserve">, adjusted by </w:t>
            </w:r>
            <w:r w:rsidRPr="004D0722">
              <w:t>VOXR</w:t>
            </w:r>
            <w:r>
              <w:t xml:space="preserve"> as defined in the Verifiable Cost Manual</w:t>
            </w:r>
            <w:r w:rsidRPr="004D0722">
              <w:t xml:space="preserve">. </w:t>
            </w:r>
            <w:r>
              <w:t xml:space="preserve"> </w:t>
            </w:r>
            <w:r w:rsidRPr="004D0722">
              <w:t xml:space="preserve">Where for a Combined Cycle Train, the Resource </w:t>
            </w:r>
            <w:r w:rsidRPr="00763E94">
              <w:rPr>
                <w:i/>
              </w:rPr>
              <w:t>r</w:t>
            </w:r>
            <w:r w:rsidRPr="004D0722">
              <w:t xml:space="preserve"> is a Combined Cycle Generation Resource within the Combined Cycle Train. </w:t>
            </w:r>
            <w:r>
              <w:t xml:space="preserve"> </w:t>
            </w:r>
            <w:r w:rsidRPr="004D0722">
              <w:t xml:space="preserve">For additional information, see </w:t>
            </w:r>
            <w:r>
              <w:t xml:space="preserve">Verifiable Cost Manual </w:t>
            </w:r>
            <w:r w:rsidRPr="004D0722">
              <w:t>Section 3.3, Startup Fuel Consumption.</w:t>
            </w:r>
          </w:p>
        </w:tc>
      </w:tr>
      <w:tr w:rsidR="00236104" w:rsidRPr="007477C6" w14:paraId="1E37269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F5EC27" w14:textId="77777777" w:rsidR="00236104" w:rsidRPr="00067DC6" w:rsidRDefault="00236104" w:rsidP="00BA73E7">
            <w:pPr>
              <w:pStyle w:val="TableBody"/>
            </w:pPr>
            <w:r w:rsidRPr="006F0FD9">
              <w:t>VOMS</w:t>
            </w:r>
            <w:r>
              <w:t xml:space="preserve">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F7161A4" w14:textId="77777777" w:rsidR="00236104" w:rsidRPr="00067DC6" w:rsidRDefault="00236104" w:rsidP="00BA73E7">
            <w:pPr>
              <w:pStyle w:val="TableBody"/>
            </w:pPr>
            <w:r w:rsidRPr="00067DC6">
              <w:rPr>
                <w:iCs w:val="0"/>
              </w:rPr>
              <w:t>$/Start</w:t>
            </w:r>
          </w:p>
        </w:tc>
        <w:tc>
          <w:tcPr>
            <w:tcW w:w="3342" w:type="pct"/>
            <w:tcBorders>
              <w:top w:val="single" w:sz="6" w:space="0" w:color="auto"/>
              <w:left w:val="single" w:sz="6" w:space="0" w:color="auto"/>
              <w:bottom w:val="single" w:sz="6" w:space="0" w:color="auto"/>
              <w:right w:val="single" w:sz="4" w:space="0" w:color="auto"/>
            </w:tcBorders>
          </w:tcPr>
          <w:p w14:paraId="6BBBC9BC" w14:textId="77777777" w:rsidR="00236104" w:rsidRPr="00067DC6" w:rsidRDefault="00236104" w:rsidP="00C0502C">
            <w:pPr>
              <w:pStyle w:val="TableBody"/>
              <w:rPr>
                <w:i/>
              </w:rPr>
            </w:pPr>
            <w:r w:rsidRPr="00067DC6">
              <w:rPr>
                <w:i/>
                <w:iCs w:val="0"/>
              </w:rPr>
              <w:t>Variable Operations and Maintenance Cost per Start</w:t>
            </w:r>
            <w:r w:rsidRPr="0061060C">
              <w:t>—</w:t>
            </w:r>
            <w:r w:rsidRPr="00067DC6">
              <w:rPr>
                <w:iCs w:val="0"/>
              </w:rPr>
              <w:t xml:space="preserve">The operations and maintenance cost for Resource </w:t>
            </w:r>
            <w:r w:rsidRPr="00067DC6">
              <w:rPr>
                <w:i/>
                <w:iCs w:val="0"/>
              </w:rPr>
              <w:t>r</w:t>
            </w:r>
            <w:r w:rsidRPr="00067DC6">
              <w:rPr>
                <w:iCs w:val="0"/>
              </w:rPr>
              <w:t xml:space="preserve"> to startup, per start </w:t>
            </w:r>
            <w:r w:rsidRPr="00067DC6">
              <w:rPr>
                <w:i/>
                <w:iCs w:val="0"/>
              </w:rPr>
              <w:t>s</w:t>
            </w:r>
            <w:r w:rsidRPr="00067DC6">
              <w:rPr>
                <w:iCs w:val="0"/>
              </w:rPr>
              <w:t xml:space="preserve">, including an adjustment for emissions costs. </w:t>
            </w:r>
            <w:r>
              <w:rPr>
                <w:iCs w:val="0"/>
              </w:rPr>
              <w:t xml:space="preserve"> </w:t>
            </w:r>
            <w:r w:rsidRPr="00067DC6">
              <w:rPr>
                <w:iCs w:val="0"/>
              </w:rPr>
              <w:t xml:space="preserve">Where for a Combined Cycle Train, the Resource </w:t>
            </w:r>
            <w:r w:rsidRPr="00067DC6">
              <w:rPr>
                <w:i/>
                <w:iCs w:val="0"/>
              </w:rPr>
              <w:t>r</w:t>
            </w:r>
            <w:r w:rsidRPr="00067DC6">
              <w:rPr>
                <w:iCs w:val="0"/>
              </w:rPr>
              <w:t xml:space="preserve"> is a Combined Cycle Generation Resource within the Combined Cycle Train. </w:t>
            </w:r>
            <w:r>
              <w:rPr>
                <w:iCs w:val="0"/>
              </w:rPr>
              <w:t xml:space="preserve"> </w:t>
            </w:r>
            <w:r w:rsidRPr="00067DC6">
              <w:rPr>
                <w:iCs w:val="0"/>
              </w:rPr>
              <w:t xml:space="preserve">For additional information, see </w:t>
            </w:r>
            <w:r>
              <w:rPr>
                <w:iCs w:val="0"/>
              </w:rPr>
              <w:t xml:space="preserve">Verifiable Cost Manual </w:t>
            </w:r>
            <w:r w:rsidRPr="00067DC6">
              <w:rPr>
                <w:iCs w:val="0"/>
              </w:rPr>
              <w:t>Section 3.</w:t>
            </w:r>
            <w:r w:rsidR="00C0502C">
              <w:rPr>
                <w:iCs w:val="0"/>
              </w:rPr>
              <w:t>2, Submitting Startup Costs</w:t>
            </w:r>
            <w:r w:rsidRPr="00067DC6">
              <w:rPr>
                <w:iCs w:val="0"/>
              </w:rPr>
              <w:t>.</w:t>
            </w:r>
          </w:p>
        </w:tc>
      </w:tr>
      <w:tr w:rsidR="00236104" w:rsidRPr="007477C6" w14:paraId="2BDFB48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4CF2021" w14:textId="77777777" w:rsidR="00236104" w:rsidRPr="00851088" w:rsidRDefault="00236104" w:rsidP="00BA73E7">
            <w:pPr>
              <w:pStyle w:val="TableBody"/>
            </w:pPr>
            <w:r w:rsidRPr="00F119E9">
              <w:lastRenderedPageBreak/>
              <w:t>VOMLSL</w:t>
            </w:r>
            <w:r>
              <w:t xml:space="preserv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9106635"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652DDF63" w14:textId="77777777" w:rsidR="00236104" w:rsidRPr="001520A2" w:rsidRDefault="00236104" w:rsidP="00BA73E7">
            <w:pPr>
              <w:pStyle w:val="TableBody"/>
              <w:rPr>
                <w:i/>
              </w:rPr>
            </w:pPr>
            <w:r w:rsidRPr="007477C6">
              <w:rPr>
                <w:i/>
              </w:rPr>
              <w:t>Variable Operations and Maintenance Cost at LSL</w:t>
            </w:r>
            <w:r w:rsidRPr="0061060C">
              <w:t>—</w:t>
            </w:r>
            <w:r w:rsidRPr="00F119E9">
              <w:t xml:space="preserve">The operations and maintenance cost for </w:t>
            </w:r>
            <w:r w:rsidRPr="00851088">
              <w:t xml:space="preserve">Resource </w:t>
            </w:r>
            <w:r w:rsidRPr="00763E94">
              <w:rPr>
                <w:i/>
              </w:rPr>
              <w:t>r</w:t>
            </w:r>
            <w:r w:rsidRPr="00851088">
              <w:t xml:space="preserve"> to operate at LSL, including an adjustment for emissions costs. </w:t>
            </w:r>
            <w:r>
              <w:t xml:space="preserve"> </w:t>
            </w:r>
            <w:r w:rsidRPr="00851088">
              <w:t xml:space="preserve">Where for a Combined Cycle Train, the Resource </w:t>
            </w:r>
            <w:r w:rsidRPr="00763E94">
              <w:rPr>
                <w:i/>
              </w:rPr>
              <w:t>r</w:t>
            </w:r>
            <w:r w:rsidRPr="00851088">
              <w:t xml:space="preserve"> is a Combined Cycle Generation Resource within the Combined Cycle Train. </w:t>
            </w:r>
            <w:r>
              <w:t xml:space="preserve"> </w:t>
            </w:r>
            <w:r w:rsidRPr="00851088">
              <w:t xml:space="preserve">For additional information, see </w:t>
            </w:r>
            <w:r>
              <w:t xml:space="preserve">Verifiable Cost Manual </w:t>
            </w:r>
            <w:r w:rsidRPr="00851088">
              <w:t xml:space="preserve">Section 4.2, </w:t>
            </w:r>
            <w:r w:rsidR="00C0502C" w:rsidRPr="00C0502C">
              <w:t>Submitting Minimum Energy Costs</w:t>
            </w:r>
            <w:r w:rsidRPr="001520A2">
              <w:t>.</w:t>
            </w:r>
          </w:p>
        </w:tc>
      </w:tr>
      <w:tr w:rsidR="00236104" w:rsidRPr="007477C6" w14:paraId="1C19845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1D7789" w14:textId="77777777" w:rsidR="00236104" w:rsidRPr="00851088" w:rsidRDefault="00236104" w:rsidP="00BA73E7">
            <w:pPr>
              <w:pStyle w:val="TableBody"/>
            </w:pPr>
            <w:r w:rsidRPr="007477C6">
              <w:t>LSL</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457F8A1A" w14:textId="77777777" w:rsidR="00236104" w:rsidRPr="001520A2" w:rsidRDefault="00236104" w:rsidP="00BA73E7">
            <w:pPr>
              <w:pStyle w:val="TableBody"/>
            </w:pPr>
            <w:r w:rsidRPr="001520A2">
              <w:t>MW</w:t>
            </w:r>
          </w:p>
        </w:tc>
        <w:tc>
          <w:tcPr>
            <w:tcW w:w="3342" w:type="pct"/>
            <w:tcBorders>
              <w:top w:val="single" w:sz="6" w:space="0" w:color="auto"/>
              <w:left w:val="single" w:sz="6" w:space="0" w:color="auto"/>
              <w:bottom w:val="single" w:sz="6" w:space="0" w:color="auto"/>
              <w:right w:val="single" w:sz="4" w:space="0" w:color="auto"/>
            </w:tcBorders>
          </w:tcPr>
          <w:p w14:paraId="48E1DE49" w14:textId="77777777" w:rsidR="00236104" w:rsidRPr="00F119E9" w:rsidRDefault="00236104" w:rsidP="00BA73E7">
            <w:pPr>
              <w:pStyle w:val="TableBody"/>
              <w:rPr>
                <w:i/>
              </w:rPr>
            </w:pPr>
            <w:r w:rsidRPr="007477C6">
              <w:rPr>
                <w:i/>
              </w:rPr>
              <w:t>Low Sustained Limit</w:t>
            </w:r>
            <w:r w:rsidRPr="00F119E9">
              <w:t xml:space="preserve">—The LSL of Generation Resource </w:t>
            </w:r>
            <w:r w:rsidRPr="00763E94">
              <w:rPr>
                <w:i/>
              </w:rPr>
              <w:t>r</w:t>
            </w:r>
            <w:r w:rsidRPr="00F119E9">
              <w:t xml:space="preserve"> represented by QSE </w:t>
            </w:r>
            <w:r w:rsidRPr="00763E94">
              <w:rPr>
                <w:i/>
              </w:rPr>
              <w:t>q</w:t>
            </w:r>
            <w:r w:rsidRPr="00F119E9">
              <w:t xml:space="preserve"> for the hour that includes the Settlement Interval </w:t>
            </w:r>
            <w:r w:rsidRPr="00763E94">
              <w:rPr>
                <w:i/>
              </w:rPr>
              <w:t>i</w:t>
            </w:r>
            <w:r w:rsidRPr="00F119E9">
              <w:t xml:space="preserve">, as submitted in the COP.  Where for a Combined Cycle Train, the Resource </w:t>
            </w:r>
            <w:r w:rsidRPr="00763E94">
              <w:rPr>
                <w:i/>
              </w:rPr>
              <w:t>r</w:t>
            </w:r>
            <w:r w:rsidRPr="00F119E9">
              <w:t xml:space="preserve"> is a Combined Cycle Generation Resource within the Combined Cycle Train.  </w:t>
            </w:r>
          </w:p>
        </w:tc>
      </w:tr>
      <w:tr w:rsidR="00236104" w:rsidRPr="007477C6" w14:paraId="108EAD5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9F7C891" w14:textId="77777777" w:rsidR="00236104" w:rsidRPr="00851088" w:rsidRDefault="00236104" w:rsidP="00BA73E7">
            <w:pPr>
              <w:pStyle w:val="TableBody"/>
            </w:pPr>
            <w:r w:rsidRPr="0063447B">
              <w:t xml:space="preserve">RTMG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51D621EA"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1EDFF38A" w14:textId="77777777" w:rsidR="00236104" w:rsidRPr="00F119E9" w:rsidRDefault="00236104" w:rsidP="00BA73E7">
            <w:pPr>
              <w:pStyle w:val="TableBody"/>
              <w:rPr>
                <w:i/>
              </w:rPr>
            </w:pPr>
            <w:r w:rsidRPr="007477C6">
              <w:rPr>
                <w:i/>
              </w:rPr>
              <w:t>Real-Time Metered Generation per QSE per Resource by Settlement Interval by hour</w:t>
            </w:r>
            <w:r w:rsidRPr="00F119E9">
              <w:t xml:space="preserve">—The Real-Time energy from </w:t>
            </w:r>
            <w:r>
              <w:t>Resource</w:t>
            </w:r>
            <w:r w:rsidRPr="00F119E9">
              <w:t xml:space="preserve"> </w:t>
            </w:r>
            <w:r w:rsidRPr="00763E94">
              <w:rPr>
                <w:i/>
              </w:rPr>
              <w:t>r</w:t>
            </w:r>
            <w:r w:rsidRPr="00F119E9">
              <w:t xml:space="preserve"> represented by QSE </w:t>
            </w:r>
            <w:r w:rsidRPr="00763E94">
              <w:rPr>
                <w:i/>
              </w:rPr>
              <w:t>q</w:t>
            </w:r>
            <w:r w:rsidRPr="00F119E9">
              <w:t xml:space="preserve">, for the 15-minute Settlement Interval </w:t>
            </w:r>
            <w:r w:rsidRPr="00763E94">
              <w:rPr>
                <w:i/>
              </w:rPr>
              <w:t>i</w:t>
            </w:r>
            <w:r w:rsidRPr="00F119E9">
              <w:t xml:space="preserve">.  Where for a Combined Cycle Train, the Resource </w:t>
            </w:r>
            <w:r w:rsidRPr="00763E94">
              <w:rPr>
                <w:i/>
              </w:rPr>
              <w:t>r</w:t>
            </w:r>
            <w:r w:rsidRPr="00F119E9">
              <w:t xml:space="preserve"> is the Combined Cycle Train.</w:t>
            </w:r>
          </w:p>
        </w:tc>
      </w:tr>
      <w:tr w:rsidR="00236104" w:rsidRPr="007477C6" w14:paraId="2DB7BA4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C9C5232" w14:textId="77777777" w:rsidR="00236104" w:rsidRPr="0063447B" w:rsidRDefault="00236104" w:rsidP="00BA73E7">
            <w:pPr>
              <w:pStyle w:val="TableBody"/>
            </w:pPr>
            <w:r w:rsidRPr="007477C6">
              <w:t xml:space="preserve">AHR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40A2A79" w14:textId="77777777" w:rsidR="00236104" w:rsidRPr="0063447B" w:rsidRDefault="00236104" w:rsidP="00BA73E7">
            <w:pPr>
              <w:pStyle w:val="TableBody"/>
            </w:pPr>
            <w:r w:rsidRPr="0063447B">
              <w:t>MMBtu / MWh</w:t>
            </w:r>
          </w:p>
        </w:tc>
        <w:tc>
          <w:tcPr>
            <w:tcW w:w="3342" w:type="pct"/>
            <w:tcBorders>
              <w:top w:val="single" w:sz="6" w:space="0" w:color="auto"/>
              <w:left w:val="single" w:sz="6" w:space="0" w:color="auto"/>
              <w:bottom w:val="single" w:sz="6" w:space="0" w:color="auto"/>
              <w:right w:val="single" w:sz="4" w:space="0" w:color="auto"/>
            </w:tcBorders>
          </w:tcPr>
          <w:p w14:paraId="350C236C" w14:textId="77777777" w:rsidR="00236104" w:rsidRPr="00F119E9" w:rsidRDefault="00236104" w:rsidP="00BA73E7">
            <w:pPr>
              <w:pStyle w:val="TableBody"/>
              <w:rPr>
                <w:i/>
              </w:rPr>
            </w:pPr>
            <w:r w:rsidRPr="007477C6">
              <w:rPr>
                <w:i/>
              </w:rPr>
              <w:t>Average Heat Rate per Resource</w:t>
            </w:r>
            <w:r w:rsidRPr="0063447B">
              <w:t xml:space="preserve">– The verifiable average heat rate for the </w:t>
            </w:r>
            <w:r w:rsidRPr="00851088">
              <w:t xml:space="preserve">Resource </w:t>
            </w:r>
            <w:r w:rsidRPr="00763E94">
              <w:rPr>
                <w:i/>
              </w:rPr>
              <w:t>r</w:t>
            </w:r>
            <w:r>
              <w:t>, for the operating level</w:t>
            </w:r>
            <w:r w:rsidRPr="00851088">
              <w:t xml:space="preserve">, for the 15-minute Settlement Interval </w:t>
            </w:r>
            <w:r w:rsidRPr="00763E94">
              <w:rPr>
                <w:i/>
              </w:rPr>
              <w:t>i</w:t>
            </w:r>
            <w:r w:rsidRPr="00851088">
              <w:t xml:space="preserve">.  Where for a Combined </w:t>
            </w:r>
            <w:r w:rsidRPr="001520A2">
              <w:t xml:space="preserve">Cycle Train, the Resource </w:t>
            </w:r>
            <w:r w:rsidRPr="00763E94">
              <w:rPr>
                <w:i/>
              </w:rPr>
              <w:t>r</w:t>
            </w:r>
            <w:r w:rsidRPr="001520A2">
              <w:t xml:space="preserve"> is a Combined Cycle Generation Resource within the Combined Cycle Train.</w:t>
            </w:r>
          </w:p>
        </w:tc>
      </w:tr>
      <w:tr w:rsidR="00236104" w:rsidRPr="007477C6" w14:paraId="371EFBCC"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C731487" w14:textId="77777777" w:rsidR="00236104" w:rsidRPr="0063447B" w:rsidRDefault="00236104" w:rsidP="00BA73E7">
            <w:pPr>
              <w:pStyle w:val="TableBody"/>
            </w:pPr>
            <w:r w:rsidRPr="007477C6">
              <w:t xml:space="preserve">OM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5E78935" w14:textId="77777777" w:rsidR="00236104" w:rsidRPr="0063447B" w:rsidRDefault="00236104" w:rsidP="00BA73E7">
            <w:pPr>
              <w:pStyle w:val="TableBody"/>
            </w:pPr>
            <w:r w:rsidRPr="0063447B">
              <w:t>$/MWh</w:t>
            </w:r>
          </w:p>
        </w:tc>
        <w:tc>
          <w:tcPr>
            <w:tcW w:w="3342" w:type="pct"/>
            <w:tcBorders>
              <w:top w:val="single" w:sz="6" w:space="0" w:color="auto"/>
              <w:left w:val="single" w:sz="6" w:space="0" w:color="auto"/>
              <w:bottom w:val="single" w:sz="6" w:space="0" w:color="auto"/>
              <w:right w:val="single" w:sz="4" w:space="0" w:color="auto"/>
            </w:tcBorders>
          </w:tcPr>
          <w:p w14:paraId="7E87B45B" w14:textId="77777777" w:rsidR="00236104" w:rsidRPr="00F119E9" w:rsidRDefault="00236104" w:rsidP="00BA73E7">
            <w:pPr>
              <w:pStyle w:val="TableBody"/>
              <w:rPr>
                <w:i/>
              </w:rPr>
            </w:pPr>
            <w:r w:rsidRPr="007477C6">
              <w:rPr>
                <w:i/>
              </w:rPr>
              <w:t>Verifiable Operations and Maintenance Cost Above LSL</w:t>
            </w:r>
            <w:r w:rsidRPr="0063447B">
              <w:t xml:space="preserve">– The O&amp;M cost for </w:t>
            </w:r>
            <w:r w:rsidRPr="00851088">
              <w:t xml:space="preserve">Resource </w:t>
            </w:r>
            <w:r w:rsidRPr="007477C6">
              <w:rPr>
                <w:i/>
              </w:rPr>
              <w:t>r</w:t>
            </w:r>
            <w:r w:rsidRPr="00851088">
              <w:t xml:space="preserve"> </w:t>
            </w:r>
            <w:r>
              <w:t>to</w:t>
            </w:r>
            <w:r w:rsidRPr="00851088">
              <w:t xml:space="preserve"> operat</w:t>
            </w:r>
            <w:r>
              <w:t>e</w:t>
            </w:r>
            <w:r w:rsidRPr="001520A2">
              <w:t xml:space="preserve"> above LSL.  Where for a Combined Cycle Train, the Resource </w:t>
            </w:r>
            <w:r w:rsidRPr="00763E94">
              <w:rPr>
                <w:i/>
              </w:rPr>
              <w:t>r</w:t>
            </w:r>
            <w:r w:rsidRPr="001520A2">
              <w:t xml:space="preserve"> is a Combined Cycle Generation Resource within the Combined Cycle Train.</w:t>
            </w:r>
            <w:r>
              <w:t xml:space="preserve">  See the Verifiable Cost Manual for additional information. </w:t>
            </w:r>
          </w:p>
        </w:tc>
      </w:tr>
      <w:tr w:rsidR="00236104" w:rsidRPr="00AB1E9B" w14:paraId="7EED1A5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AAE9AF3" w14:textId="77777777" w:rsidR="00236104" w:rsidRPr="001520A2" w:rsidRDefault="00236104" w:rsidP="00BA73E7">
            <w:pPr>
              <w:pStyle w:val="TableBody"/>
            </w:pPr>
            <w:r w:rsidRPr="00827668">
              <w:t>SWIHR</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77B2DF3"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2B9E9CAB" w14:textId="77777777" w:rsidR="00236104" w:rsidRPr="001520A2" w:rsidRDefault="00236104" w:rsidP="00BA73E7">
            <w:pPr>
              <w:pStyle w:val="TableBody"/>
            </w:pPr>
            <w:r w:rsidRPr="007477C6">
              <w:rPr>
                <w:i/>
              </w:rPr>
              <w:t xml:space="preserve">Switchable </w:t>
            </w:r>
            <w:r>
              <w:rPr>
                <w:i/>
              </w:rPr>
              <w:t xml:space="preserve">Generation </w:t>
            </w:r>
            <w:r w:rsidRPr="007477C6">
              <w:rPr>
                <w:i/>
              </w:rPr>
              <w:t>Instructed Hour</w:t>
            </w:r>
            <w:r>
              <w:rPr>
                <w:i/>
              </w:rPr>
              <w:t>s</w:t>
            </w:r>
            <w:r w:rsidRPr="003C209C">
              <w:t xml:space="preserve">—The total number of </w:t>
            </w:r>
            <w:r>
              <w:t>Switchable Generation instructed h</w:t>
            </w:r>
            <w:r w:rsidRPr="003C209C">
              <w:t xml:space="preserve">ours, for Resource </w:t>
            </w:r>
            <w:r w:rsidRPr="00763E94">
              <w:rPr>
                <w:i/>
              </w:rPr>
              <w:t>r</w:t>
            </w:r>
            <w:r w:rsidRPr="003C209C">
              <w:t xml:space="preserve"> </w:t>
            </w:r>
            <w:r>
              <w:t xml:space="preserve">represented by QSE </w:t>
            </w:r>
            <w:r w:rsidRPr="00763E94">
              <w:rPr>
                <w:i/>
              </w:rPr>
              <w:t>q</w:t>
            </w:r>
            <w:r>
              <w:rPr>
                <w:i/>
              </w:rPr>
              <w:t>,</w:t>
            </w:r>
            <w:r>
              <w:t xml:space="preserve"> </w:t>
            </w:r>
            <w:r w:rsidRPr="003C209C">
              <w:t>for the Operating Day</w:t>
            </w:r>
            <w:r>
              <w:t xml:space="preserve"> </w:t>
            </w:r>
            <w:r>
              <w:rPr>
                <w:i/>
              </w:rPr>
              <w:t>d</w:t>
            </w:r>
            <w:r w:rsidRPr="003C209C">
              <w:t xml:space="preserve">.  When one or more Combined Cycle Generation Resources are committed by </w:t>
            </w:r>
            <w:r>
              <w:t>ERCOT</w:t>
            </w:r>
            <w:r w:rsidRPr="003C209C">
              <w:t xml:space="preserve">, the total number of </w:t>
            </w:r>
            <w:r>
              <w:t>instructed h</w:t>
            </w:r>
            <w:r w:rsidRPr="003C209C">
              <w:t>ours is calculated for t</w:t>
            </w:r>
            <w:r>
              <w:t xml:space="preserve">he Combined Cycle Train for all switchable instructed </w:t>
            </w:r>
            <w:r w:rsidRPr="003C209C">
              <w:t>Combined Cycle Generation Resources.</w:t>
            </w:r>
          </w:p>
        </w:tc>
      </w:tr>
      <w:tr w:rsidR="00236104" w:rsidRPr="00AB1E9B" w14:paraId="5EDA4A6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9189415" w14:textId="77777777" w:rsidR="00236104" w:rsidRPr="00827668" w:rsidRDefault="00236104" w:rsidP="00BA73E7">
            <w:pPr>
              <w:pStyle w:val="TableBody"/>
            </w:pPr>
            <w:r w:rsidRPr="005927BE">
              <w:t>SFP</w:t>
            </w:r>
          </w:p>
        </w:tc>
        <w:tc>
          <w:tcPr>
            <w:tcW w:w="692" w:type="pct"/>
            <w:tcBorders>
              <w:top w:val="single" w:sz="6" w:space="0" w:color="auto"/>
              <w:left w:val="single" w:sz="6" w:space="0" w:color="auto"/>
              <w:bottom w:val="single" w:sz="6" w:space="0" w:color="auto"/>
              <w:right w:val="single" w:sz="6" w:space="0" w:color="auto"/>
            </w:tcBorders>
          </w:tcPr>
          <w:p w14:paraId="6EF5DC0B" w14:textId="77777777" w:rsidR="00236104" w:rsidRDefault="00236104" w:rsidP="00BA73E7">
            <w:pPr>
              <w:pStyle w:val="TableBody"/>
            </w:pPr>
            <w:r w:rsidRPr="005927BE">
              <w:t>$/MMBtu</w:t>
            </w:r>
          </w:p>
        </w:tc>
        <w:tc>
          <w:tcPr>
            <w:tcW w:w="3342" w:type="pct"/>
            <w:tcBorders>
              <w:top w:val="single" w:sz="6" w:space="0" w:color="auto"/>
              <w:left w:val="single" w:sz="6" w:space="0" w:color="auto"/>
              <w:bottom w:val="single" w:sz="6" w:space="0" w:color="auto"/>
              <w:right w:val="single" w:sz="4" w:space="0" w:color="auto"/>
            </w:tcBorders>
          </w:tcPr>
          <w:p w14:paraId="690779D8" w14:textId="77777777" w:rsidR="00236104" w:rsidRPr="007477C6" w:rsidRDefault="00236104" w:rsidP="00BA73E7">
            <w:pPr>
              <w:pStyle w:val="TableBody"/>
              <w:rPr>
                <w:i/>
              </w:rPr>
            </w:pPr>
            <w:r w:rsidRPr="00043D95">
              <w:rPr>
                <w:i/>
              </w:rPr>
              <w:t>Solid Fuel Price</w:t>
            </w:r>
            <w:r w:rsidRPr="005927BE">
              <w:t xml:space="preserve">—The solid fuel index price is $1.50.  </w:t>
            </w:r>
          </w:p>
        </w:tc>
      </w:tr>
      <w:tr w:rsidR="00236104" w:rsidRPr="00AB1E9B" w14:paraId="1DD760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7644F31" w14:textId="77777777" w:rsidR="00236104" w:rsidRPr="00827668" w:rsidRDefault="00236104" w:rsidP="00BA73E7">
            <w:pPr>
              <w:pStyle w:val="TableBody"/>
            </w:pPr>
            <w:r w:rsidRPr="00054F60">
              <w:t xml:space="preserve">GASPEROL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E3EF07A" w14:textId="77777777" w:rsidR="00236104" w:rsidRDefault="00236104" w:rsidP="00BA73E7">
            <w:pPr>
              <w:pStyle w:val="TableBody"/>
            </w:pPr>
            <w:r w:rsidRPr="00054F60">
              <w:t>none</w:t>
            </w:r>
          </w:p>
        </w:tc>
        <w:tc>
          <w:tcPr>
            <w:tcW w:w="3342" w:type="pct"/>
            <w:tcBorders>
              <w:top w:val="single" w:sz="6" w:space="0" w:color="auto"/>
              <w:left w:val="single" w:sz="6" w:space="0" w:color="auto"/>
              <w:bottom w:val="single" w:sz="6" w:space="0" w:color="auto"/>
              <w:right w:val="single" w:sz="4" w:space="0" w:color="auto"/>
            </w:tcBorders>
          </w:tcPr>
          <w:p w14:paraId="2F9C64E5" w14:textId="77777777" w:rsidR="00236104" w:rsidRPr="007477C6" w:rsidRDefault="00236104" w:rsidP="00BA73E7">
            <w:pPr>
              <w:pStyle w:val="TableBody"/>
              <w:rPr>
                <w:i/>
              </w:rPr>
            </w:pPr>
            <w:r w:rsidRPr="001A3855">
              <w:rPr>
                <w:i/>
              </w:rPr>
              <w:t>Percent of Natural Gas to Operate Above LSL</w:t>
            </w:r>
            <w:r w:rsidRPr="00054F60">
              <w:t xml:space="preserve">—The percentage of natural gas used by Resource </w:t>
            </w:r>
            <w:r w:rsidRPr="001A3855">
              <w:rPr>
                <w:i/>
              </w:rPr>
              <w:t xml:space="preserve">r </w:t>
            </w:r>
            <w:r w:rsidRPr="00054F60">
              <w:t xml:space="preserve">to operate above LSL, as approved in the verifiable cost process.  Where for a Combined Cycle Train, the Resource </w:t>
            </w:r>
            <w:r w:rsidRPr="00763E94">
              <w:rPr>
                <w:i/>
              </w:rPr>
              <w:t>r</w:t>
            </w:r>
            <w:r w:rsidRPr="00054F60">
              <w:t xml:space="preserve"> is a Combined Cycle Generation Resource within the Combined Cycle Train.</w:t>
            </w:r>
          </w:p>
        </w:tc>
      </w:tr>
      <w:tr w:rsidR="00236104" w:rsidRPr="00AB1E9B" w14:paraId="3225779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93BCBB" w14:textId="77777777" w:rsidR="00236104" w:rsidRPr="00054F60" w:rsidRDefault="00236104" w:rsidP="00BA73E7">
            <w:pPr>
              <w:pStyle w:val="TableBody"/>
            </w:pPr>
            <w:r w:rsidRPr="0065285A">
              <w:t xml:space="preserve">OILPEROL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0BC3118" w14:textId="77777777" w:rsidR="00236104" w:rsidRPr="00054F60" w:rsidRDefault="00236104" w:rsidP="00BA73E7">
            <w:pPr>
              <w:pStyle w:val="TableBody"/>
            </w:pPr>
            <w:r w:rsidRPr="0065285A">
              <w:t>none</w:t>
            </w:r>
          </w:p>
        </w:tc>
        <w:tc>
          <w:tcPr>
            <w:tcW w:w="3342" w:type="pct"/>
            <w:tcBorders>
              <w:top w:val="single" w:sz="6" w:space="0" w:color="auto"/>
              <w:left w:val="single" w:sz="6" w:space="0" w:color="auto"/>
              <w:bottom w:val="single" w:sz="6" w:space="0" w:color="auto"/>
              <w:right w:val="single" w:sz="4" w:space="0" w:color="auto"/>
            </w:tcBorders>
          </w:tcPr>
          <w:p w14:paraId="0EB4336C" w14:textId="77777777" w:rsidR="00236104" w:rsidRPr="00054F60" w:rsidRDefault="00236104" w:rsidP="00BA73E7">
            <w:pPr>
              <w:pStyle w:val="TableBody"/>
            </w:pPr>
            <w:r w:rsidRPr="001A3855">
              <w:rPr>
                <w:i/>
              </w:rPr>
              <w:t>Percent of Oil to Operate Above LSL</w:t>
            </w:r>
            <w:r w:rsidRPr="0065285A">
              <w:t xml:space="preserve">—The percentage of fuel oil used by Resource </w:t>
            </w:r>
            <w:r w:rsidRPr="001A3855">
              <w:rPr>
                <w:i/>
              </w:rPr>
              <w:t xml:space="preserve">r </w:t>
            </w:r>
            <w:r w:rsidRPr="0065285A">
              <w:t xml:space="preserve">to operate above LSL, as approved in the verifiable cost process. Where for a Combined Cycle Train, the Resource </w:t>
            </w:r>
            <w:r w:rsidRPr="00763E94">
              <w:rPr>
                <w:i/>
              </w:rPr>
              <w:t>r</w:t>
            </w:r>
            <w:r w:rsidRPr="0065285A">
              <w:t xml:space="preserve"> is a Combined Cycle Generation Resource within the Combined Cycle Train.</w:t>
            </w:r>
          </w:p>
        </w:tc>
      </w:tr>
      <w:tr w:rsidR="00236104" w:rsidRPr="00AB1E9B" w14:paraId="0A6379A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6904DD" w14:textId="77777777" w:rsidR="00236104" w:rsidRPr="00054F60" w:rsidRDefault="00236104" w:rsidP="00BA73E7">
            <w:pPr>
              <w:pStyle w:val="TableBody"/>
            </w:pPr>
            <w:r w:rsidRPr="009A3E93">
              <w:t xml:space="preserve">SFPEROL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1EC708B" w14:textId="77777777" w:rsidR="00236104" w:rsidRPr="00054F60" w:rsidRDefault="00236104" w:rsidP="00BA73E7">
            <w:pPr>
              <w:pStyle w:val="TableBody"/>
            </w:pPr>
            <w:r w:rsidRPr="009A3E93">
              <w:t>none</w:t>
            </w:r>
          </w:p>
        </w:tc>
        <w:tc>
          <w:tcPr>
            <w:tcW w:w="3342" w:type="pct"/>
            <w:tcBorders>
              <w:top w:val="single" w:sz="6" w:space="0" w:color="auto"/>
              <w:left w:val="single" w:sz="6" w:space="0" w:color="auto"/>
              <w:bottom w:val="single" w:sz="6" w:space="0" w:color="auto"/>
              <w:right w:val="single" w:sz="4" w:space="0" w:color="auto"/>
            </w:tcBorders>
          </w:tcPr>
          <w:p w14:paraId="16A671AB" w14:textId="77777777" w:rsidR="00236104" w:rsidRPr="00054F60" w:rsidRDefault="00236104" w:rsidP="00BA73E7">
            <w:pPr>
              <w:pStyle w:val="TableBody"/>
            </w:pPr>
            <w:r w:rsidRPr="001A3855">
              <w:rPr>
                <w:i/>
              </w:rPr>
              <w:t>Percent of Solid Fuel to Operate Above LSL</w:t>
            </w:r>
            <w:r w:rsidRPr="009A3E93">
              <w:t xml:space="preserve">—The percentage of solid fuel used by Resource </w:t>
            </w:r>
            <w:r w:rsidRPr="001A3855">
              <w:rPr>
                <w:i/>
              </w:rPr>
              <w:t>r</w:t>
            </w:r>
            <w:r w:rsidRPr="009A3E93">
              <w:t xml:space="preserve"> to operate above LSL, as approved in the verifiable cost process. Where for a Combined Cycle Train, the Resource </w:t>
            </w:r>
            <w:r w:rsidRPr="00763E94">
              <w:rPr>
                <w:i/>
              </w:rPr>
              <w:t>r</w:t>
            </w:r>
            <w:r w:rsidRPr="009A3E93">
              <w:t xml:space="preserve"> is a Combined Cycle Generation Resource within the Combined Cycle Train.</w:t>
            </w:r>
          </w:p>
        </w:tc>
      </w:tr>
      <w:tr w:rsidR="00236104" w:rsidRPr="00AB1E9B" w14:paraId="74CCB7D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53DB410" w14:textId="77777777" w:rsidR="00236104" w:rsidRPr="00054F60" w:rsidRDefault="00236104" w:rsidP="00BA73E7">
            <w:pPr>
              <w:pStyle w:val="TableBody"/>
            </w:pPr>
            <w:r>
              <w:t>ADJ</w:t>
            </w:r>
            <w:r w:rsidRPr="00067DC6">
              <w:t>SWSUC</w:t>
            </w:r>
            <w: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4B31817C" w14:textId="77777777" w:rsidR="00236104" w:rsidRPr="00054F60"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45414A50" w14:textId="77777777" w:rsidR="00236104" w:rsidRPr="001A3855" w:rsidRDefault="00236104" w:rsidP="00BA73E7">
            <w:pPr>
              <w:pStyle w:val="TableBody"/>
              <w:rPr>
                <w:highlight w:val="yellow"/>
              </w:rPr>
            </w:pPr>
            <w:r w:rsidRPr="00D978EB">
              <w:rPr>
                <w:i/>
              </w:rPr>
              <w:t>Adjustment to Switchable Generation</w:t>
            </w:r>
            <w:r w:rsidRPr="0082796C">
              <w:t xml:space="preserve"> </w:t>
            </w:r>
            <w:r w:rsidRPr="0082796C">
              <w:rPr>
                <w:i/>
              </w:rPr>
              <w:t xml:space="preserve">Start-Up Cost </w:t>
            </w:r>
            <w:r w:rsidRPr="0082796C">
              <w:t xml:space="preserve">— Adjustment to </w:t>
            </w:r>
            <w:r w:rsidRPr="00661D8C">
              <w:t>Switchable Generation Start</w:t>
            </w:r>
            <w:r w:rsidR="004178FB">
              <w:t>-</w:t>
            </w:r>
            <w:r w:rsidRPr="00661D8C">
              <w:t xml:space="preserve">up Cost for Resource </w:t>
            </w:r>
            <w:r w:rsidRPr="00E84942">
              <w:rPr>
                <w:i/>
              </w:rPr>
              <w:t xml:space="preserve">r </w:t>
            </w:r>
            <w:r w:rsidRPr="00E84942">
              <w:t>represented by QSE</w:t>
            </w:r>
            <w:r w:rsidRPr="008538DA">
              <w:rPr>
                <w:i/>
              </w:rPr>
              <w:t xml:space="preserve"> q</w:t>
            </w:r>
            <w:r w:rsidRPr="008538DA">
              <w:t xml:space="preserve">, for the Operating Day </w:t>
            </w:r>
            <w:r w:rsidRPr="008538DA">
              <w:rPr>
                <w:i/>
              </w:rPr>
              <w:t>d</w:t>
            </w:r>
            <w:r w:rsidRPr="008538DA">
              <w:t xml:space="preserve">.  Where for a Combined Cycle Train, the Resource </w:t>
            </w:r>
            <w:r w:rsidRPr="008538DA">
              <w:rPr>
                <w:i/>
              </w:rPr>
              <w:t xml:space="preserve">r </w:t>
            </w:r>
            <w:r w:rsidRPr="008538DA">
              <w:t>is the Combined Cycle Train.</w:t>
            </w:r>
            <w:r w:rsidRPr="001A3855">
              <w:t xml:space="preserve">  This adjustment may include eligible startup transition costs for a Combined</w:t>
            </w:r>
            <w:r>
              <w:t xml:space="preserve"> </w:t>
            </w:r>
            <w:r w:rsidRPr="001A3855">
              <w:t>Cycle Train or costs for any SWGR not captured in other billing determinants.</w:t>
            </w:r>
          </w:p>
        </w:tc>
      </w:tr>
      <w:tr w:rsidR="00236104" w:rsidRPr="007477C6" w14:paraId="35734CF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CB60966" w14:textId="77777777" w:rsidR="00236104" w:rsidRPr="001520A2" w:rsidRDefault="00236104" w:rsidP="00BA73E7">
            <w:pPr>
              <w:pStyle w:val="TableBody"/>
            </w:pPr>
            <w:r w:rsidRPr="001520A2">
              <w:lastRenderedPageBreak/>
              <w:t>RCGSC</w:t>
            </w:r>
            <w:r>
              <w:t xml:space="preserve"> </w:t>
            </w:r>
            <w:r w:rsidRPr="007477C6">
              <w:rPr>
                <w:vertAlign w:val="subscript"/>
              </w:rPr>
              <w:t>s</w:t>
            </w:r>
            <w:r>
              <w:rPr>
                <w:vertAlign w:val="subscript"/>
              </w:rPr>
              <w:t xml:space="preserve">, </w:t>
            </w:r>
            <w:r w:rsidRPr="00110A41">
              <w:rPr>
                <w:i/>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1E937AC7" w14:textId="77777777" w:rsidR="00236104" w:rsidRPr="00F119E9" w:rsidRDefault="00236104" w:rsidP="00BA73E7">
            <w:pPr>
              <w:pStyle w:val="TableBody"/>
            </w:pPr>
            <w:r w:rsidRPr="00F119E9">
              <w:t>$/Start</w:t>
            </w:r>
          </w:p>
        </w:tc>
        <w:tc>
          <w:tcPr>
            <w:tcW w:w="3342" w:type="pct"/>
            <w:tcBorders>
              <w:top w:val="single" w:sz="6" w:space="0" w:color="auto"/>
              <w:left w:val="single" w:sz="6" w:space="0" w:color="auto"/>
              <w:bottom w:val="single" w:sz="6" w:space="0" w:color="auto"/>
              <w:right w:val="single" w:sz="4" w:space="0" w:color="auto"/>
            </w:tcBorders>
          </w:tcPr>
          <w:p w14:paraId="1AD9ED5A" w14:textId="77777777" w:rsidR="00236104" w:rsidRPr="00CD03E9" w:rsidRDefault="00236104" w:rsidP="00BA73E7">
            <w:pPr>
              <w:pStyle w:val="TableBody"/>
              <w:rPr>
                <w:i/>
              </w:rPr>
            </w:pPr>
            <w:r w:rsidRPr="007477C6">
              <w:rPr>
                <w:i/>
              </w:rPr>
              <w:t>Resource Category Generic Startup Cost</w:t>
            </w:r>
            <w:r w:rsidRPr="00F119E9">
              <w:t xml:space="preserve">—The Resource Category Generic Startup Cost cap for the category of the Resource </w:t>
            </w:r>
            <w:r w:rsidRPr="00763E94">
              <w:rPr>
                <w:i/>
              </w:rPr>
              <w:t>r</w:t>
            </w:r>
            <w:r>
              <w:rPr>
                <w:i/>
              </w:rPr>
              <w:t>c</w:t>
            </w:r>
            <w:r w:rsidRPr="00F119E9">
              <w:t>, according to Section 4.4.9.2.3</w:t>
            </w:r>
            <w:r>
              <w:t>, Startup Offer and Minimum-Energy Offer Generic Caps,</w:t>
            </w:r>
            <w:r w:rsidRPr="004D0722">
              <w:t xml:space="preserve"> for the Operating Day.</w:t>
            </w:r>
          </w:p>
        </w:tc>
      </w:tr>
      <w:tr w:rsidR="00236104" w:rsidRPr="007477C6" w14:paraId="536EA77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5D8810" w14:textId="77777777" w:rsidR="00236104" w:rsidRPr="007477C6" w:rsidRDefault="00236104" w:rsidP="00BA73E7">
            <w:pPr>
              <w:pStyle w:val="TableBody"/>
            </w:pPr>
            <w:r w:rsidRPr="007477C6">
              <w:t>RCGMEC</w:t>
            </w:r>
            <w:r>
              <w:t xml:space="preserve"> </w:t>
            </w:r>
            <w:r w:rsidRPr="001A3855">
              <w:rPr>
                <w:i/>
                <w:vertAlign w:val="subscript"/>
              </w:rPr>
              <w:t>i</w:t>
            </w:r>
            <w:r>
              <w:rPr>
                <w:i/>
                <w:vertAlign w:val="subscript"/>
              </w:rPr>
              <w:t>, rc</w:t>
            </w:r>
          </w:p>
        </w:tc>
        <w:tc>
          <w:tcPr>
            <w:tcW w:w="692" w:type="pct"/>
            <w:tcBorders>
              <w:top w:val="single" w:sz="6" w:space="0" w:color="auto"/>
              <w:left w:val="single" w:sz="6" w:space="0" w:color="auto"/>
              <w:bottom w:val="single" w:sz="6" w:space="0" w:color="auto"/>
              <w:right w:val="single" w:sz="6" w:space="0" w:color="auto"/>
            </w:tcBorders>
          </w:tcPr>
          <w:p w14:paraId="563994D8" w14:textId="77777777" w:rsidR="00236104" w:rsidRPr="007477C6" w:rsidRDefault="00236104" w:rsidP="00BA73E7">
            <w:pPr>
              <w:pStyle w:val="TableBody"/>
            </w:pPr>
            <w:r w:rsidRPr="00851088">
              <w:t>$/MWh</w:t>
            </w:r>
          </w:p>
        </w:tc>
        <w:tc>
          <w:tcPr>
            <w:tcW w:w="3342" w:type="pct"/>
            <w:tcBorders>
              <w:top w:val="single" w:sz="6" w:space="0" w:color="auto"/>
              <w:left w:val="single" w:sz="6" w:space="0" w:color="auto"/>
              <w:bottom w:val="single" w:sz="6" w:space="0" w:color="auto"/>
              <w:right w:val="single" w:sz="4" w:space="0" w:color="auto"/>
            </w:tcBorders>
          </w:tcPr>
          <w:p w14:paraId="7A1003CC" w14:textId="77777777" w:rsidR="00236104" w:rsidRPr="007477C6" w:rsidRDefault="00236104" w:rsidP="00BA73E7">
            <w:pPr>
              <w:pStyle w:val="TableBody"/>
            </w:pPr>
            <w:r w:rsidRPr="007477C6">
              <w:rPr>
                <w:i/>
              </w:rPr>
              <w:t>Resource Category Generic Minimum-Energy Cost</w:t>
            </w:r>
            <w:r w:rsidRPr="00851088">
              <w:t>—The Resource Category Generic Minimum Energy Cost cap for the category of the Resource</w:t>
            </w:r>
            <w:r w:rsidRPr="007477C6">
              <w:t xml:space="preserve"> </w:t>
            </w:r>
            <w:r w:rsidRPr="007477C6">
              <w:rPr>
                <w:i/>
              </w:rPr>
              <w:t>r</w:t>
            </w:r>
            <w:r>
              <w:rPr>
                <w:i/>
              </w:rPr>
              <w:t>c</w:t>
            </w:r>
            <w:r w:rsidRPr="00851088">
              <w:t>, according to Section 4.4.9.2.3, for the Operating Day.</w:t>
            </w:r>
          </w:p>
        </w:tc>
      </w:tr>
      <w:tr w:rsidR="00236104" w:rsidRPr="007477C6" w14:paraId="76AF513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71A571E" w14:textId="77777777" w:rsidR="00236104" w:rsidRPr="00851088" w:rsidRDefault="00236104" w:rsidP="00BA73E7">
            <w:pPr>
              <w:pStyle w:val="TableBody"/>
            </w:pPr>
            <w:r w:rsidRPr="00851088">
              <w:t>PAHR</w:t>
            </w:r>
            <w: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88CF52A" w14:textId="77777777" w:rsidR="00236104" w:rsidRPr="00F119E9" w:rsidRDefault="00236104" w:rsidP="00BA73E7">
            <w:pPr>
              <w:pStyle w:val="TableBody"/>
            </w:pPr>
            <w:r w:rsidRPr="001520A2">
              <w:t>MMBtu / MWh</w:t>
            </w:r>
          </w:p>
        </w:tc>
        <w:tc>
          <w:tcPr>
            <w:tcW w:w="3342" w:type="pct"/>
            <w:tcBorders>
              <w:top w:val="single" w:sz="6" w:space="0" w:color="auto"/>
              <w:left w:val="single" w:sz="6" w:space="0" w:color="auto"/>
              <w:bottom w:val="single" w:sz="6" w:space="0" w:color="auto"/>
              <w:right w:val="single" w:sz="4" w:space="0" w:color="auto"/>
            </w:tcBorders>
          </w:tcPr>
          <w:p w14:paraId="42A608E0" w14:textId="77777777" w:rsidR="00236104" w:rsidRPr="00CD03E9" w:rsidRDefault="00236104" w:rsidP="00BA73E7">
            <w:pPr>
              <w:pStyle w:val="TableBody"/>
              <w:rPr>
                <w:i/>
              </w:rPr>
            </w:pPr>
            <w:r w:rsidRPr="007477C6">
              <w:rPr>
                <w:i/>
              </w:rPr>
              <w:t>Proxy Average Heat Rate-</w:t>
            </w:r>
            <w:r w:rsidRPr="00F119E9">
              <w:t xml:space="preserve"> The proxy average heat rate for the Resource </w:t>
            </w:r>
            <w:r w:rsidRPr="00763E94">
              <w:rPr>
                <w:i/>
              </w:rPr>
              <w:t>r</w:t>
            </w:r>
            <w:r w:rsidRPr="00F119E9">
              <w:t xml:space="preserve"> for the 15-minute Settlement Interval </w:t>
            </w:r>
            <w:r w:rsidRPr="00763E94">
              <w:rPr>
                <w:i/>
              </w:rPr>
              <w:t>i</w:t>
            </w:r>
            <w:r w:rsidRPr="00F119E9">
              <w:t xml:space="preserve">. </w:t>
            </w:r>
            <w:r>
              <w:t xml:space="preserve"> </w:t>
            </w:r>
            <w:r w:rsidRPr="00F119E9">
              <w:t xml:space="preserve">Where for a Combined Cycle Train, the Resource </w:t>
            </w:r>
            <w:r w:rsidRPr="00763E94">
              <w:rPr>
                <w:i/>
              </w:rPr>
              <w:t>r</w:t>
            </w:r>
            <w:r w:rsidRPr="00F119E9">
              <w:t xml:space="preserve"> is a Combined Cycle Gene</w:t>
            </w:r>
            <w:r w:rsidRPr="004D0722">
              <w:t>ration Resource within the Combined Cycle Train.</w:t>
            </w:r>
          </w:p>
        </w:tc>
      </w:tr>
      <w:tr w:rsidR="00236104" w:rsidRPr="00851088" w14:paraId="75A212AD"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ECA9A25" w14:textId="77777777" w:rsidR="00236104" w:rsidRPr="007477C6" w:rsidRDefault="00236104" w:rsidP="00BA73E7">
            <w:pPr>
              <w:pStyle w:val="TableBody"/>
            </w:pPr>
            <w:r w:rsidRPr="007477C6">
              <w:t xml:space="preserve">STOM </w:t>
            </w:r>
            <w:r w:rsidRPr="007477C6">
              <w:rPr>
                <w:i/>
                <w:vertAlign w:val="subscript"/>
              </w:rPr>
              <w:t>rc</w:t>
            </w:r>
            <w:r w:rsidRPr="007477C6">
              <w:rPr>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7D885315" w14:textId="77777777" w:rsidR="00236104" w:rsidRPr="007477C6" w:rsidRDefault="00236104" w:rsidP="00BA73E7">
            <w:pPr>
              <w:pStyle w:val="TableBody"/>
            </w:pPr>
            <w:r w:rsidRPr="007477C6">
              <w:t>$/MWh</w:t>
            </w:r>
          </w:p>
        </w:tc>
        <w:tc>
          <w:tcPr>
            <w:tcW w:w="3342" w:type="pct"/>
            <w:tcBorders>
              <w:top w:val="single" w:sz="6" w:space="0" w:color="auto"/>
              <w:left w:val="single" w:sz="6" w:space="0" w:color="auto"/>
              <w:bottom w:val="single" w:sz="6" w:space="0" w:color="auto"/>
              <w:right w:val="single" w:sz="4" w:space="0" w:color="auto"/>
            </w:tcBorders>
            <w:hideMark/>
          </w:tcPr>
          <w:p w14:paraId="71E83E11" w14:textId="77777777" w:rsidR="00236104" w:rsidRPr="00F119E9" w:rsidRDefault="00236104" w:rsidP="00BA73E7">
            <w:pPr>
              <w:pStyle w:val="TableBody"/>
            </w:pPr>
            <w:r w:rsidRPr="00680899">
              <w:rPr>
                <w:i/>
              </w:rPr>
              <w:t xml:space="preserve">Standard Operations and Maintenance Cost - </w:t>
            </w:r>
            <w:r w:rsidRPr="00680899">
              <w:t xml:space="preserve">The standard O&amp;M cost for the </w:t>
            </w:r>
            <w:r w:rsidRPr="00851088">
              <w:t xml:space="preserve">Resource </w:t>
            </w:r>
            <w:r>
              <w:t>C</w:t>
            </w:r>
            <w:r w:rsidRPr="00851088">
              <w:t xml:space="preserve">ategory </w:t>
            </w:r>
            <w:r w:rsidRPr="001520A2">
              <w:rPr>
                <w:i/>
              </w:rPr>
              <w:t>rc</w:t>
            </w:r>
            <w:r w:rsidRPr="001520A2">
              <w:t xml:space="preserve"> for operations above LSL, shall be set to the minimum energy variable O&amp;M costs, as de</w:t>
            </w:r>
            <w:r w:rsidRPr="00F119E9">
              <w:t xml:space="preserve">scribed in paragraph (6)(c) of Section 5.6.1, Verifiable Costs.  </w:t>
            </w:r>
          </w:p>
        </w:tc>
      </w:tr>
      <w:tr w:rsidR="00236104" w:rsidRPr="00914481" w14:paraId="7FC06E7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5B36477" w14:textId="77777777" w:rsidR="00236104" w:rsidRPr="007477C6" w:rsidRDefault="00236104" w:rsidP="00BA73E7">
            <w:pPr>
              <w:pStyle w:val="TableBody"/>
            </w:pPr>
            <w:r w:rsidRPr="004D08E3">
              <w:t xml:space="preserve">RTSPP </w:t>
            </w:r>
            <w:r w:rsidRPr="001A3855">
              <w:rPr>
                <w:i/>
                <w:vertAlign w:val="subscript"/>
              </w:rPr>
              <w:t>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2E221F8B" w14:textId="77777777" w:rsidR="00236104" w:rsidRPr="007477C6" w:rsidRDefault="00236104" w:rsidP="00BA73E7">
            <w:pPr>
              <w:pStyle w:val="TableBody"/>
            </w:pPr>
            <w:r w:rsidRPr="004D08E3">
              <w:t>$/MWh</w:t>
            </w:r>
          </w:p>
        </w:tc>
        <w:tc>
          <w:tcPr>
            <w:tcW w:w="3342" w:type="pct"/>
            <w:tcBorders>
              <w:top w:val="single" w:sz="6" w:space="0" w:color="auto"/>
              <w:left w:val="single" w:sz="6" w:space="0" w:color="auto"/>
              <w:bottom w:val="single" w:sz="6" w:space="0" w:color="auto"/>
              <w:right w:val="single" w:sz="4" w:space="0" w:color="auto"/>
            </w:tcBorders>
          </w:tcPr>
          <w:p w14:paraId="6E20EA11" w14:textId="77777777" w:rsidR="00236104" w:rsidRPr="00680899" w:rsidRDefault="00236104" w:rsidP="00BA73E7">
            <w:pPr>
              <w:pStyle w:val="TableBody"/>
              <w:rPr>
                <w:i/>
              </w:rPr>
            </w:pPr>
            <w:r w:rsidRPr="001A3855">
              <w:rPr>
                <w:i/>
              </w:rPr>
              <w:t>Real-Time Settlement Point Price</w:t>
            </w:r>
            <w:r w:rsidRPr="004D08E3">
              <w:t xml:space="preserve">—The Real-Time Settlement Point Price at Settlement Point </w:t>
            </w:r>
            <w:r w:rsidRPr="00763E94">
              <w:rPr>
                <w:i/>
              </w:rPr>
              <w:t>p</w:t>
            </w:r>
            <w:r w:rsidRPr="004D08E3">
              <w:t>, for the 15-minute Settlement Interval</w:t>
            </w:r>
            <w:r>
              <w:t xml:space="preserve"> </w:t>
            </w:r>
            <w:r>
              <w:rPr>
                <w:i/>
              </w:rPr>
              <w:t>i</w:t>
            </w:r>
            <w:r w:rsidRPr="004D08E3">
              <w:t>.</w:t>
            </w:r>
          </w:p>
        </w:tc>
      </w:tr>
      <w:tr w:rsidR="00236104" w:rsidRPr="00851088" w14:paraId="645DE9C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5A6815" w14:textId="77777777" w:rsidR="00236104" w:rsidRPr="001520A2" w:rsidRDefault="00236104" w:rsidP="00BA73E7">
            <w:pPr>
              <w:pStyle w:val="TableBody"/>
            </w:pPr>
            <w:r w:rsidRPr="00851088">
              <w:t>FIP</w:t>
            </w:r>
          </w:p>
        </w:tc>
        <w:tc>
          <w:tcPr>
            <w:tcW w:w="692" w:type="pct"/>
            <w:tcBorders>
              <w:top w:val="single" w:sz="6" w:space="0" w:color="auto"/>
              <w:left w:val="single" w:sz="6" w:space="0" w:color="auto"/>
              <w:bottom w:val="single" w:sz="6" w:space="0" w:color="auto"/>
              <w:right w:val="single" w:sz="6" w:space="0" w:color="auto"/>
            </w:tcBorders>
          </w:tcPr>
          <w:p w14:paraId="6B579E8E"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tcPr>
          <w:p w14:paraId="1B6A9EE1" w14:textId="77777777" w:rsidR="00236104" w:rsidRPr="00F119E9" w:rsidRDefault="00236104" w:rsidP="008315FA">
            <w:pPr>
              <w:pStyle w:val="TableBody"/>
              <w:rPr>
                <w:i/>
              </w:rPr>
            </w:pPr>
            <w:r w:rsidRPr="001A3855">
              <w:rPr>
                <w:i/>
              </w:rPr>
              <w:t>Fuel Index Price</w:t>
            </w:r>
            <w:r w:rsidRPr="00F119E9">
              <w:t>—As defined in Section 2</w:t>
            </w:r>
            <w:r>
              <w:t>.1</w:t>
            </w:r>
            <w:r w:rsidRPr="00F119E9">
              <w:t>, Definitions.</w:t>
            </w:r>
          </w:p>
        </w:tc>
      </w:tr>
      <w:tr w:rsidR="00236104" w:rsidRPr="00851088" w14:paraId="388D45A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1DED23D" w14:textId="77777777" w:rsidR="00236104" w:rsidRPr="00851088" w:rsidRDefault="00236104" w:rsidP="00BA73E7">
            <w:pPr>
              <w:pStyle w:val="TableBody"/>
            </w:pPr>
            <w:r>
              <w:t>FOP</w:t>
            </w:r>
          </w:p>
        </w:tc>
        <w:tc>
          <w:tcPr>
            <w:tcW w:w="692" w:type="pct"/>
            <w:tcBorders>
              <w:top w:val="single" w:sz="6" w:space="0" w:color="auto"/>
              <w:left w:val="single" w:sz="6" w:space="0" w:color="auto"/>
              <w:bottom w:val="single" w:sz="6" w:space="0" w:color="auto"/>
              <w:right w:val="single" w:sz="6" w:space="0" w:color="auto"/>
            </w:tcBorders>
          </w:tcPr>
          <w:p w14:paraId="5C341832" w14:textId="77777777" w:rsidR="00236104" w:rsidRPr="00F119E9" w:rsidRDefault="00236104" w:rsidP="00BA73E7">
            <w:pPr>
              <w:pStyle w:val="TableBody"/>
            </w:pPr>
            <w:r>
              <w:t>$/MMBtu</w:t>
            </w:r>
          </w:p>
        </w:tc>
        <w:tc>
          <w:tcPr>
            <w:tcW w:w="3342" w:type="pct"/>
            <w:tcBorders>
              <w:top w:val="single" w:sz="6" w:space="0" w:color="auto"/>
              <w:left w:val="single" w:sz="6" w:space="0" w:color="auto"/>
              <w:bottom w:val="single" w:sz="6" w:space="0" w:color="auto"/>
              <w:right w:val="single" w:sz="4" w:space="0" w:color="auto"/>
            </w:tcBorders>
          </w:tcPr>
          <w:p w14:paraId="55910C2F" w14:textId="77777777" w:rsidR="00236104" w:rsidRPr="00F119E9" w:rsidRDefault="00236104" w:rsidP="00BA73E7">
            <w:pPr>
              <w:pStyle w:val="TableBody"/>
            </w:pPr>
            <w:r w:rsidRPr="001A3855">
              <w:rPr>
                <w:i/>
              </w:rPr>
              <w:t>Fuel Oil Price</w:t>
            </w:r>
            <w:r w:rsidRPr="00B75076">
              <w:t>—</w:t>
            </w:r>
            <w:r w:rsidRPr="009C12DD">
              <w:t>A</w:t>
            </w:r>
            <w:r w:rsidRPr="00B75076">
              <w:t>s defined in Section 2.1.</w:t>
            </w:r>
          </w:p>
        </w:tc>
      </w:tr>
      <w:tr w:rsidR="00236104" w:rsidRPr="00851088" w14:paraId="449973FC"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1EB53A89" w14:textId="77777777" w:rsidR="00236104" w:rsidRPr="001520A2" w:rsidRDefault="00236104" w:rsidP="00BA73E7">
            <w:pPr>
              <w:pStyle w:val="TableBody"/>
              <w:rPr>
                <w:i/>
              </w:rPr>
            </w:pPr>
            <w:r w:rsidRPr="00851088">
              <w:t>FA</w:t>
            </w:r>
            <w:r>
              <w:t xml:space="preserve"> </w:t>
            </w:r>
            <w:r w:rsidRPr="001520A2">
              <w:rPr>
                <w:i/>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299355B7"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hideMark/>
          </w:tcPr>
          <w:p w14:paraId="144C0CF3" w14:textId="77777777" w:rsidR="00236104" w:rsidRPr="00CD03E9" w:rsidRDefault="00236104" w:rsidP="008315FA">
            <w:pPr>
              <w:pStyle w:val="TableBody"/>
            </w:pPr>
            <w:r w:rsidRPr="00F119E9">
              <w:rPr>
                <w:i/>
              </w:rPr>
              <w:t>Fuel Adder</w:t>
            </w:r>
            <w:r w:rsidRPr="00F119E9">
              <w:t xml:space="preserve"> — The fuel adder </w:t>
            </w:r>
            <w:r>
              <w:t xml:space="preserve">is the average cost above the index price </w:t>
            </w:r>
            <w:r w:rsidRPr="00F119E9">
              <w:t xml:space="preserve">Resource </w:t>
            </w:r>
            <w:r w:rsidRPr="004D0722">
              <w:rPr>
                <w:i/>
              </w:rPr>
              <w:t xml:space="preserve">r </w:t>
            </w:r>
            <w:r>
              <w:t>has paid to obtain fuel</w:t>
            </w:r>
            <w:r w:rsidRPr="004D0722">
              <w:t xml:space="preserve">.  Where for a Combined Cycle Train, the Resource </w:t>
            </w:r>
            <w:r w:rsidRPr="00CD03E9">
              <w:rPr>
                <w:i/>
              </w:rPr>
              <w:t xml:space="preserve">r </w:t>
            </w:r>
            <w:r w:rsidRPr="00CD03E9">
              <w:t>is a Combined Cycle Generation Resource within the Combined Cycle Train.</w:t>
            </w:r>
            <w:r>
              <w:t xml:space="preserve">  See the Verifiable Cost </w:t>
            </w:r>
            <w:r w:rsidR="00C0502C">
              <w:t>M</w:t>
            </w:r>
            <w:r>
              <w:t xml:space="preserve">anual for additional information. </w:t>
            </w:r>
          </w:p>
        </w:tc>
      </w:tr>
      <w:tr w:rsidR="00236104" w:rsidRPr="007477C6" w14:paraId="13DC94E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E035CBE" w14:textId="77777777" w:rsidR="00236104" w:rsidRPr="00067DC6" w:rsidRDefault="00236104" w:rsidP="00BA73E7">
            <w:pPr>
              <w:pStyle w:val="TableBody"/>
            </w:pPr>
            <w:r w:rsidRPr="0063447B">
              <w:t xml:space="preserve">EMREAMT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p,</w:t>
            </w:r>
            <w:r>
              <w:rPr>
                <w:i/>
                <w:vertAlign w:val="subscript"/>
              </w:rPr>
              <w:t xml:space="preserve"> </w:t>
            </w:r>
            <w:r w:rsidRPr="007477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7209C8D3" w14:textId="77777777" w:rsidR="00236104" w:rsidRPr="007477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C6A44C1" w14:textId="77777777" w:rsidR="00236104" w:rsidRPr="00067DC6" w:rsidRDefault="00236104" w:rsidP="00BA73E7">
            <w:pPr>
              <w:pStyle w:val="TableBody"/>
            </w:pPr>
            <w:r w:rsidRPr="00067DC6">
              <w:rPr>
                <w:i/>
              </w:rPr>
              <w:t>Emergency Energy Amount per QSE per Settlement Point per unit per interval</w:t>
            </w:r>
            <w:r w:rsidRPr="00851088">
              <w:t xml:space="preserve">—The payment to QSE </w:t>
            </w:r>
            <w:r w:rsidRPr="00763E94">
              <w:rPr>
                <w:i/>
              </w:rPr>
              <w:t>q</w:t>
            </w:r>
            <w:r w:rsidRPr="00851088">
              <w:t xml:space="preserve"> for the additional energy produced by Generation Resource </w:t>
            </w:r>
            <w:r w:rsidRPr="00763E94">
              <w:rPr>
                <w:i/>
              </w:rPr>
              <w:t>r</w:t>
            </w:r>
            <w:r w:rsidRPr="00851088">
              <w:t xml:space="preserve"> at Resource Node </w:t>
            </w:r>
            <w:r w:rsidRPr="00763E94">
              <w:rPr>
                <w:i/>
              </w:rPr>
              <w:t>p</w:t>
            </w:r>
            <w:r w:rsidRPr="00851088">
              <w:t xml:space="preserve"> in Real-Time during the </w:t>
            </w:r>
            <w:r>
              <w:t>Emergency Condition</w:t>
            </w:r>
            <w:r w:rsidRPr="00851088">
              <w:t>, for the 15-</w:t>
            </w:r>
            <w:r w:rsidRPr="001520A2">
              <w:t xml:space="preserve">minute Settlement Interval </w:t>
            </w:r>
            <w:r w:rsidRPr="00763E94">
              <w:rPr>
                <w:i/>
              </w:rPr>
              <w:t>i</w:t>
            </w:r>
            <w:r w:rsidRPr="001520A2">
              <w:t>.  Payment for emergency energy is made to the Combined Cycle Train.</w:t>
            </w:r>
          </w:p>
        </w:tc>
      </w:tr>
      <w:tr w:rsidR="00236104" w:rsidRPr="007477C6" w14:paraId="7A6037F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04A28D5" w14:textId="77777777" w:rsidR="00236104" w:rsidRPr="00067DC6" w:rsidRDefault="00236104" w:rsidP="00BA73E7">
            <w:pPr>
              <w:pStyle w:val="TableBody"/>
            </w:pPr>
            <w:r w:rsidRPr="007477C6">
              <w:t xml:space="preserve">VSSVARAMT </w:t>
            </w:r>
            <w:r w:rsidRPr="00067DC6">
              <w:rPr>
                <w:i/>
                <w:vertAlign w:val="subscript"/>
              </w:rPr>
              <w:t>q, 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080D39F7" w14:textId="77777777" w:rsidR="00236104" w:rsidRPr="00067D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E757040" w14:textId="77777777" w:rsidR="00236104" w:rsidRPr="00067DC6" w:rsidRDefault="00236104" w:rsidP="00BA73E7">
            <w:pPr>
              <w:pStyle w:val="TableBody"/>
            </w:pPr>
            <w:r w:rsidRPr="00067DC6">
              <w:rPr>
                <w:i/>
              </w:rPr>
              <w:t>Voltage Support Service VAr Amount per QSE per Generation Resource -</w:t>
            </w:r>
            <w:r w:rsidRPr="00851088">
              <w:t xml:space="preserve"> The payment to QSE </w:t>
            </w:r>
            <w:r w:rsidRPr="00067DC6">
              <w:rPr>
                <w:i/>
              </w:rPr>
              <w:t>q</w:t>
            </w:r>
            <w:r w:rsidRPr="00851088">
              <w:t xml:space="preserve"> for the VSS provided by Generation Resource </w:t>
            </w:r>
            <w:r w:rsidRPr="00067DC6">
              <w:rPr>
                <w:i/>
              </w:rPr>
              <w:t>r,</w:t>
            </w:r>
            <w:r w:rsidRPr="001520A2">
              <w:t xml:space="preserve"> for the 15-minute Settlement Interval </w:t>
            </w:r>
            <w:r w:rsidRPr="00067DC6">
              <w:rPr>
                <w:i/>
              </w:rPr>
              <w:t>i</w:t>
            </w:r>
            <w:r w:rsidRPr="001520A2">
              <w:t xml:space="preserve">.  Where for a </w:t>
            </w:r>
            <w:r>
              <w:t>C</w:t>
            </w:r>
            <w:r w:rsidRPr="001520A2">
              <w:t xml:space="preserve">ombined </w:t>
            </w:r>
            <w:r>
              <w:t>C</w:t>
            </w:r>
            <w:r w:rsidRPr="001520A2">
              <w:t>ycle</w:t>
            </w:r>
            <w:r>
              <w:t xml:space="preserve"> R</w:t>
            </w:r>
            <w:r w:rsidRPr="001520A2">
              <w:t>esource</w:t>
            </w:r>
            <w:r w:rsidRPr="00067DC6">
              <w:rPr>
                <w:i/>
              </w:rPr>
              <w:t xml:space="preserve"> r</w:t>
            </w:r>
            <w:r w:rsidRPr="001520A2">
              <w:t xml:space="preserve"> is a Combined Cycle Train.</w:t>
            </w:r>
          </w:p>
        </w:tc>
      </w:tr>
      <w:tr w:rsidR="00236104" w:rsidRPr="007477C6" w14:paraId="606694E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84EF995" w14:textId="77777777" w:rsidR="00236104" w:rsidRPr="00067DC6" w:rsidRDefault="00236104" w:rsidP="00BA73E7">
            <w:pPr>
              <w:pStyle w:val="TableBody"/>
            </w:pPr>
            <w:r w:rsidRPr="007477C6">
              <w:t xml:space="preserve">VSSEAMT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68C9ABA8" w14:textId="77777777" w:rsidR="00236104" w:rsidRPr="00067DC6"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1BCB46C4" w14:textId="77777777" w:rsidR="00236104" w:rsidRPr="00067DC6" w:rsidRDefault="00236104" w:rsidP="00BA73E7">
            <w:pPr>
              <w:pStyle w:val="TableBody"/>
            </w:pPr>
            <w:r w:rsidRPr="00067DC6">
              <w:rPr>
                <w:i/>
              </w:rPr>
              <w:t>Voltage Support Service Energy Amount per QSE per Generation Resource</w:t>
            </w:r>
            <w:r w:rsidRPr="00851088">
              <w:t xml:space="preserve">—The lost opportunity payment to QSE </w:t>
            </w:r>
            <w:r w:rsidRPr="00067DC6">
              <w:rPr>
                <w:i/>
              </w:rPr>
              <w:t>q</w:t>
            </w:r>
            <w:r w:rsidRPr="00851088">
              <w:t xml:space="preserve"> for ERCOT-directed VSS from Generation Resource </w:t>
            </w:r>
            <w:r w:rsidRPr="00067DC6">
              <w:rPr>
                <w:i/>
              </w:rPr>
              <w:t>r</w:t>
            </w:r>
            <w:r w:rsidRPr="00851088">
              <w:t xml:space="preserve"> for the 15-minute Settlement Interval</w:t>
            </w:r>
            <w:r>
              <w:t xml:space="preserve"> </w:t>
            </w:r>
            <w:r>
              <w:rPr>
                <w:i/>
              </w:rPr>
              <w:t>i</w:t>
            </w:r>
            <w:r w:rsidRPr="00851088">
              <w:t xml:space="preserve">.  Where for a </w:t>
            </w:r>
            <w:r>
              <w:t>C</w:t>
            </w:r>
            <w:r w:rsidRPr="00851088">
              <w:t xml:space="preserve">ombined </w:t>
            </w:r>
            <w:r>
              <w:t>C</w:t>
            </w:r>
            <w:r w:rsidRPr="00851088">
              <w:t>ycle</w:t>
            </w:r>
            <w:r>
              <w:t xml:space="preserve"> R</w:t>
            </w:r>
            <w:r w:rsidRPr="00851088">
              <w:t>esource</w:t>
            </w:r>
            <w:r w:rsidRPr="00067DC6">
              <w:rPr>
                <w:i/>
              </w:rPr>
              <w:t xml:space="preserve"> r </w:t>
            </w:r>
            <w:r w:rsidRPr="001520A2">
              <w:t>is a Combined Cycle Train.</w:t>
            </w:r>
          </w:p>
        </w:tc>
      </w:tr>
      <w:tr w:rsidR="00236104" w:rsidRPr="007477C6" w14:paraId="4C2C846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A6B81F7" w14:textId="77777777" w:rsidR="00236104" w:rsidRPr="007477C6" w:rsidRDefault="00236104" w:rsidP="00BA73E7">
            <w:pPr>
              <w:pStyle w:val="TableBody"/>
            </w:pPr>
            <w:r w:rsidRPr="0080555B">
              <w:t>RTOLHSL</w:t>
            </w:r>
            <w:r>
              <w:t>RA</w:t>
            </w:r>
            <w:r w:rsidRPr="0080555B">
              <w:t xml:space="preserve"> </w:t>
            </w:r>
            <w:r w:rsidRPr="0080555B">
              <w:rPr>
                <w:i/>
                <w:vertAlign w:val="subscript"/>
              </w:rPr>
              <w:t>q</w:t>
            </w:r>
            <w:r>
              <w:rPr>
                <w:i/>
                <w:vertAlign w:val="subscript"/>
              </w:rPr>
              <w:t>, r, p, i</w:t>
            </w:r>
          </w:p>
        </w:tc>
        <w:tc>
          <w:tcPr>
            <w:tcW w:w="692" w:type="pct"/>
            <w:tcBorders>
              <w:top w:val="single" w:sz="6" w:space="0" w:color="auto"/>
              <w:left w:val="single" w:sz="6" w:space="0" w:color="auto"/>
              <w:bottom w:val="single" w:sz="6" w:space="0" w:color="auto"/>
              <w:right w:val="single" w:sz="6" w:space="0" w:color="auto"/>
            </w:tcBorders>
          </w:tcPr>
          <w:p w14:paraId="6965B9F8"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7E9C45BE" w14:textId="77777777" w:rsidR="00236104" w:rsidRPr="00067DC6" w:rsidRDefault="00236104" w:rsidP="00BA73E7">
            <w:pPr>
              <w:pStyle w:val="TableBody"/>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Pr="00D04442">
              <w:rPr>
                <w:i/>
                <w:szCs w:val="18"/>
              </w:rPr>
              <w:t>r</w:t>
            </w:r>
            <w:r w:rsidRPr="006624C0">
              <w:t xml:space="preserve"> represented by QSE </w:t>
            </w:r>
            <w:r w:rsidRPr="006624C0">
              <w:rPr>
                <w:i/>
              </w:rPr>
              <w:t>q</w:t>
            </w:r>
            <w:r w:rsidRPr="006624C0">
              <w:t xml:space="preserve"> at Resource Node </w:t>
            </w:r>
            <w:r w:rsidRPr="006624C0">
              <w:rPr>
                <w:i/>
              </w:rPr>
              <w:t>p</w:t>
            </w:r>
            <w:r w:rsidRPr="00A20AF6">
              <w:rPr>
                <w:szCs w:val="18"/>
              </w:rPr>
              <w:t xml:space="preserve"> that is available to SCED, integrated over the 15-minute Settlement Interval</w:t>
            </w:r>
            <w:r>
              <w:rPr>
                <w:szCs w:val="18"/>
              </w:rPr>
              <w:t xml:space="preserve"> </w:t>
            </w:r>
            <w:r w:rsidRPr="00763E94">
              <w:rPr>
                <w:i/>
                <w:szCs w:val="18"/>
              </w:rPr>
              <w:t>i</w:t>
            </w:r>
            <w:r>
              <w:rPr>
                <w:szCs w:val="18"/>
              </w:rPr>
              <w:t xml:space="preserve">, as described in Section 6.7.5, Real-Time Ancillary Service Imbalance Payment or Charge.  </w:t>
            </w:r>
            <w:r w:rsidRPr="0080555B">
              <w:t xml:space="preserve">Where for a Combined Cycle Train, the Resource </w:t>
            </w:r>
            <w:r w:rsidRPr="0080555B">
              <w:rPr>
                <w:i/>
              </w:rPr>
              <w:t xml:space="preserve">r </w:t>
            </w:r>
            <w:r w:rsidRPr="0080555B">
              <w:t>is the Combined Cycle Train.</w:t>
            </w:r>
          </w:p>
        </w:tc>
      </w:tr>
      <w:tr w:rsidR="00236104" w:rsidRPr="007477C6" w14:paraId="0ED92F7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DF6EE7" w14:textId="77777777" w:rsidR="00236104" w:rsidRPr="007477C6" w:rsidRDefault="00236104" w:rsidP="00BA73E7">
            <w:pPr>
              <w:pStyle w:val="TableBody"/>
            </w:pPr>
            <w:r w:rsidRPr="0080555B">
              <w:t>RTMG</w:t>
            </w:r>
            <w:r>
              <w:t>A</w:t>
            </w:r>
            <w:r w:rsidRPr="0080555B">
              <w:t xml:space="preserve"> </w:t>
            </w:r>
            <w:r w:rsidRPr="00967A0A">
              <w:rPr>
                <w:i/>
                <w:vertAlign w:val="subscript"/>
              </w:rPr>
              <w:t>q, r, 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30AE82D0"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31DD38CF" w14:textId="77777777" w:rsidR="00236104" w:rsidRPr="00067DC6" w:rsidRDefault="00236104" w:rsidP="00BA73E7">
            <w:pPr>
              <w:pStyle w:val="TableBody"/>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t xml:space="preserve"> </w:t>
            </w:r>
            <w:r w:rsidRPr="0080555B">
              <w:t xml:space="preserve">of Generation Resource </w:t>
            </w:r>
            <w:r w:rsidRPr="0080555B">
              <w:rPr>
                <w:i/>
              </w:rPr>
              <w:t>r</w:t>
            </w:r>
            <w:r w:rsidRPr="0080555B">
              <w:t xml:space="preserve"> </w:t>
            </w:r>
            <w:r w:rsidRPr="006624C0">
              <w:t xml:space="preserve">represented by QSE </w:t>
            </w:r>
            <w:r w:rsidRPr="006624C0">
              <w:rPr>
                <w:i/>
              </w:rPr>
              <w:t>q</w:t>
            </w:r>
            <w:r w:rsidRPr="0080555B">
              <w:t xml:space="preserve"> at Resource Node </w:t>
            </w:r>
            <w:r w:rsidRPr="0080555B">
              <w:rPr>
                <w:i/>
              </w:rPr>
              <w:t>p</w:t>
            </w:r>
            <w:r w:rsidRPr="0080555B">
              <w:t xml:space="preserve"> in Real-Time for the 15-minute Settlement Interval</w:t>
            </w:r>
            <w:r>
              <w:t xml:space="preserve"> </w:t>
            </w:r>
            <w:r w:rsidRPr="00763E94">
              <w:rPr>
                <w:i/>
              </w:rPr>
              <w:t>i</w:t>
            </w:r>
            <w:r>
              <w:t xml:space="preserve">, </w:t>
            </w:r>
            <w:r>
              <w:rPr>
                <w:szCs w:val="18"/>
              </w:rPr>
              <w:t>as described in Section 6.7.5</w:t>
            </w:r>
            <w:r>
              <w:t xml:space="preserve">.  </w:t>
            </w:r>
            <w:r w:rsidRPr="0080555B">
              <w:t xml:space="preserve">Where for a Combined Cycle Train, the Resource </w:t>
            </w:r>
            <w:r w:rsidRPr="0080555B">
              <w:rPr>
                <w:i/>
              </w:rPr>
              <w:t xml:space="preserve">r </w:t>
            </w:r>
            <w:r w:rsidRPr="0080555B">
              <w:t>is the Combined Cycle Train.</w:t>
            </w:r>
          </w:p>
        </w:tc>
      </w:tr>
      <w:tr w:rsidR="00236104" w:rsidRPr="007477C6" w14:paraId="5D9A4B9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FEF95E" w14:textId="77777777" w:rsidR="00236104" w:rsidRPr="007477C6" w:rsidRDefault="00236104" w:rsidP="00BA73E7">
            <w:pPr>
              <w:pStyle w:val="TableBody"/>
            </w:pPr>
            <w:r w:rsidRPr="0080555B">
              <w:lastRenderedPageBreak/>
              <w:t>RTRSVPOR</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B15EC5"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5B8D7A51" w14:textId="77777777" w:rsidR="00236104" w:rsidRPr="00067DC6" w:rsidRDefault="00236104" w:rsidP="00BA73E7">
            <w:pPr>
              <w:pStyle w:val="TableBody"/>
              <w:rPr>
                <w:i/>
              </w:rPr>
            </w:pPr>
            <w:r w:rsidRPr="0080555B">
              <w:rPr>
                <w:i/>
              </w:rPr>
              <w:t>Real-Time Reserve Price for On-Line Reserves</w:t>
            </w:r>
            <w:r w:rsidRPr="0080555B">
              <w:sym w:font="Symbol" w:char="F0BE"/>
            </w:r>
            <w:r w:rsidRPr="0080555B">
              <w:t>The Real-Time Reserve Price for On-Line Reserves for the 15-minute Settlement Interval</w:t>
            </w:r>
            <w:r>
              <w:t xml:space="preserve"> </w:t>
            </w:r>
            <w:r w:rsidRPr="00763E94">
              <w:rPr>
                <w:i/>
              </w:rPr>
              <w:t>i</w:t>
            </w:r>
            <w:r>
              <w:t xml:space="preserve">, </w:t>
            </w:r>
            <w:r>
              <w:rPr>
                <w:szCs w:val="18"/>
              </w:rPr>
              <w:t>as described in Section 6.7.5.</w:t>
            </w:r>
          </w:p>
        </w:tc>
      </w:tr>
      <w:tr w:rsidR="00236104" w:rsidRPr="007477C6" w14:paraId="46EA3F2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352DBB7" w14:textId="77777777" w:rsidR="00236104" w:rsidRPr="007477C6" w:rsidRDefault="00236104" w:rsidP="00BA73E7">
            <w:pPr>
              <w:pStyle w:val="TableBody"/>
            </w:pPr>
            <w:r w:rsidRPr="00181BDE">
              <w:t>RTRDP</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C3B8A0" w14:textId="77777777" w:rsidR="00236104" w:rsidRDefault="00236104" w:rsidP="00BA73E7">
            <w:pPr>
              <w:pStyle w:val="TableBody"/>
            </w:pPr>
            <w:r w:rsidRPr="00181BDE">
              <w:t>$/MWh</w:t>
            </w:r>
          </w:p>
        </w:tc>
        <w:tc>
          <w:tcPr>
            <w:tcW w:w="3342" w:type="pct"/>
            <w:tcBorders>
              <w:top w:val="single" w:sz="6" w:space="0" w:color="auto"/>
              <w:left w:val="single" w:sz="6" w:space="0" w:color="auto"/>
              <w:bottom w:val="single" w:sz="6" w:space="0" w:color="auto"/>
              <w:right w:val="single" w:sz="4" w:space="0" w:color="auto"/>
            </w:tcBorders>
          </w:tcPr>
          <w:p w14:paraId="1B8E8DFF" w14:textId="77777777" w:rsidR="00236104" w:rsidRPr="00067DC6" w:rsidRDefault="00236104" w:rsidP="00BA73E7">
            <w:pPr>
              <w:pStyle w:val="TableBody"/>
              <w:rPr>
                <w:i/>
              </w:rPr>
            </w:pPr>
            <w:r w:rsidRPr="00181BDE">
              <w:rPr>
                <w:i/>
              </w:rPr>
              <w:t>Real-Time On-Line Reliability Deployment Price</w:t>
            </w:r>
            <w:r w:rsidRPr="00181BDE">
              <w:sym w:font="Symbol" w:char="F0BE"/>
            </w:r>
            <w:r w:rsidRPr="00181BDE">
              <w:t>The Real-Time price for the 15-minute Settlement Interval</w:t>
            </w:r>
            <w:r>
              <w:t xml:space="preserve"> </w:t>
            </w:r>
            <w:r w:rsidRPr="00763E94">
              <w:rPr>
                <w:i/>
              </w:rPr>
              <w:t>i</w:t>
            </w:r>
            <w:r w:rsidRPr="00181BDE">
              <w:t xml:space="preserve">, reflecting the impact of reliability deployments on energy prices that is calculated </w:t>
            </w:r>
            <w:r w:rsidRPr="00181BDE">
              <w:rPr>
                <w:bCs/>
              </w:rPr>
              <w:t>from the Real-</w:t>
            </w:r>
            <w:r>
              <w:rPr>
                <w:bCs/>
              </w:rPr>
              <w:t>T</w:t>
            </w:r>
            <w:r w:rsidRPr="00181BDE">
              <w:rPr>
                <w:bCs/>
              </w:rPr>
              <w:t>ime On-Line Reliability Deployment Price Adder</w:t>
            </w:r>
            <w:r>
              <w:t xml:space="preserve">, </w:t>
            </w:r>
            <w:r>
              <w:rPr>
                <w:szCs w:val="18"/>
              </w:rPr>
              <w:t>as described in Section 6.7.5.</w:t>
            </w:r>
          </w:p>
        </w:tc>
      </w:tr>
      <w:tr w:rsidR="00236104" w:rsidRPr="00851088" w14:paraId="12B64862"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2384F0D7" w14:textId="77777777" w:rsidR="00236104" w:rsidRPr="00354F5D" w:rsidRDefault="00236104" w:rsidP="00BA73E7">
            <w:pPr>
              <w:pStyle w:val="TableBody"/>
              <w:rPr>
                <w:i/>
              </w:rPr>
            </w:pPr>
            <w:r w:rsidRPr="00354F5D">
              <w:rPr>
                <w:i/>
              </w:rPr>
              <w:t>q</w:t>
            </w:r>
          </w:p>
        </w:tc>
        <w:tc>
          <w:tcPr>
            <w:tcW w:w="692" w:type="pct"/>
            <w:tcBorders>
              <w:top w:val="single" w:sz="6" w:space="0" w:color="auto"/>
              <w:left w:val="single" w:sz="6" w:space="0" w:color="auto"/>
              <w:bottom w:val="single" w:sz="6" w:space="0" w:color="auto"/>
              <w:right w:val="single" w:sz="6" w:space="0" w:color="auto"/>
            </w:tcBorders>
            <w:hideMark/>
          </w:tcPr>
          <w:p w14:paraId="3E183AC0" w14:textId="77777777" w:rsidR="00236104" w:rsidRPr="00F43B68" w:rsidRDefault="00236104" w:rsidP="00BA73E7">
            <w:pPr>
              <w:pStyle w:val="TableBody"/>
            </w:pPr>
            <w:r w:rsidRPr="00F43B68">
              <w:t>none</w:t>
            </w:r>
          </w:p>
        </w:tc>
        <w:tc>
          <w:tcPr>
            <w:tcW w:w="3342" w:type="pct"/>
            <w:tcBorders>
              <w:top w:val="single" w:sz="6" w:space="0" w:color="auto"/>
              <w:left w:val="single" w:sz="6" w:space="0" w:color="auto"/>
              <w:bottom w:val="single" w:sz="6" w:space="0" w:color="auto"/>
              <w:right w:val="single" w:sz="4" w:space="0" w:color="auto"/>
            </w:tcBorders>
            <w:hideMark/>
          </w:tcPr>
          <w:p w14:paraId="4292BF00" w14:textId="77777777" w:rsidR="00236104" w:rsidRPr="007477C6" w:rsidRDefault="00236104" w:rsidP="00BA73E7">
            <w:pPr>
              <w:pStyle w:val="TableBody"/>
            </w:pPr>
            <w:r w:rsidRPr="007477C6">
              <w:t>A QSE.</w:t>
            </w:r>
          </w:p>
        </w:tc>
      </w:tr>
      <w:tr w:rsidR="00236104" w:rsidRPr="00851088" w14:paraId="64BAE9FF"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60381DC" w14:textId="77777777" w:rsidR="00236104" w:rsidRPr="00851088" w:rsidRDefault="00236104" w:rsidP="00BA73E7">
            <w:pPr>
              <w:pStyle w:val="TableBody"/>
              <w:rPr>
                <w:i/>
              </w:rPr>
            </w:pPr>
            <w:r w:rsidRPr="00851088">
              <w:rPr>
                <w:i/>
              </w:rPr>
              <w:t>r</w:t>
            </w:r>
          </w:p>
        </w:tc>
        <w:tc>
          <w:tcPr>
            <w:tcW w:w="692" w:type="pct"/>
            <w:tcBorders>
              <w:top w:val="single" w:sz="6" w:space="0" w:color="auto"/>
              <w:left w:val="single" w:sz="6" w:space="0" w:color="auto"/>
              <w:bottom w:val="single" w:sz="6" w:space="0" w:color="auto"/>
              <w:right w:val="single" w:sz="6" w:space="0" w:color="auto"/>
            </w:tcBorders>
            <w:hideMark/>
          </w:tcPr>
          <w:p w14:paraId="7F99BFD7"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4861A31A" w14:textId="77777777" w:rsidR="00236104" w:rsidRPr="00F119E9" w:rsidRDefault="00236104" w:rsidP="00BA73E7">
            <w:pPr>
              <w:pStyle w:val="TableBody"/>
            </w:pPr>
            <w:r w:rsidRPr="00F119E9">
              <w:t>A Switchable Generation Resource.</w:t>
            </w:r>
          </w:p>
        </w:tc>
      </w:tr>
      <w:tr w:rsidR="00236104" w:rsidRPr="00851088" w14:paraId="1CA7A6BA"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1AFB566" w14:textId="77777777" w:rsidR="00236104" w:rsidRPr="00851088" w:rsidRDefault="00236104" w:rsidP="00BA73E7">
            <w:pPr>
              <w:pStyle w:val="TableBody"/>
              <w:rPr>
                <w:i/>
              </w:rPr>
            </w:pPr>
            <w:r w:rsidRPr="00851088">
              <w:rPr>
                <w:i/>
              </w:rPr>
              <w:t>d</w:t>
            </w:r>
          </w:p>
        </w:tc>
        <w:tc>
          <w:tcPr>
            <w:tcW w:w="692" w:type="pct"/>
            <w:tcBorders>
              <w:top w:val="single" w:sz="6" w:space="0" w:color="auto"/>
              <w:left w:val="single" w:sz="6" w:space="0" w:color="auto"/>
              <w:bottom w:val="single" w:sz="6" w:space="0" w:color="auto"/>
              <w:right w:val="single" w:sz="6" w:space="0" w:color="auto"/>
            </w:tcBorders>
            <w:hideMark/>
          </w:tcPr>
          <w:p w14:paraId="7CCEFB1E"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2B84B1D9" w14:textId="77777777" w:rsidR="00236104" w:rsidRPr="00F119E9" w:rsidRDefault="00236104" w:rsidP="00BA73E7">
            <w:pPr>
              <w:pStyle w:val="TableBody"/>
            </w:pPr>
            <w:r w:rsidRPr="00F119E9">
              <w:t xml:space="preserve">An Operating Day </w:t>
            </w:r>
            <w:r>
              <w:t xml:space="preserve">containing the RUC instruction to the SWGR. </w:t>
            </w:r>
          </w:p>
        </w:tc>
      </w:tr>
      <w:tr w:rsidR="00236104" w:rsidRPr="00851088" w14:paraId="315223C4"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6B3FFB1" w14:textId="77777777" w:rsidR="00236104" w:rsidRPr="00851088" w:rsidRDefault="00236104" w:rsidP="00BA73E7">
            <w:pPr>
              <w:pStyle w:val="TableBody"/>
              <w:rPr>
                <w:i/>
              </w:rPr>
            </w:pPr>
            <w:r w:rsidRPr="00851088">
              <w:rPr>
                <w:i/>
              </w:rPr>
              <w:t>i</w:t>
            </w:r>
          </w:p>
        </w:tc>
        <w:tc>
          <w:tcPr>
            <w:tcW w:w="692" w:type="pct"/>
            <w:tcBorders>
              <w:top w:val="single" w:sz="6" w:space="0" w:color="auto"/>
              <w:left w:val="single" w:sz="6" w:space="0" w:color="auto"/>
              <w:bottom w:val="single" w:sz="6" w:space="0" w:color="auto"/>
              <w:right w:val="single" w:sz="6" w:space="0" w:color="auto"/>
            </w:tcBorders>
            <w:hideMark/>
          </w:tcPr>
          <w:p w14:paraId="22650624"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18A94894" w14:textId="77777777" w:rsidR="00236104" w:rsidRPr="00851088" w:rsidRDefault="00236104" w:rsidP="00BA73E7">
            <w:pPr>
              <w:pStyle w:val="TableBody"/>
            </w:pPr>
            <w:r w:rsidRPr="001520A2">
              <w:t xml:space="preserve">A 15-minute Settlement Interval within the hour of an Operating Day </w:t>
            </w:r>
            <w:r w:rsidRPr="00067DC6">
              <w:t xml:space="preserve">during </w:t>
            </w:r>
            <w:r>
              <w:t>which the SWGR is instructed by ERCOT.</w:t>
            </w:r>
          </w:p>
        </w:tc>
      </w:tr>
      <w:tr w:rsidR="00236104" w:rsidRPr="00851088" w14:paraId="272F9C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732F36A" w14:textId="77777777" w:rsidR="00236104" w:rsidRPr="00851088" w:rsidRDefault="00236104" w:rsidP="00BA73E7">
            <w:pPr>
              <w:pStyle w:val="TableBody"/>
              <w:rPr>
                <w:i/>
              </w:rPr>
            </w:pPr>
            <w:r w:rsidRPr="00851088">
              <w:rPr>
                <w:i/>
              </w:rPr>
              <w:t>s</w:t>
            </w:r>
          </w:p>
        </w:tc>
        <w:tc>
          <w:tcPr>
            <w:tcW w:w="692" w:type="pct"/>
            <w:tcBorders>
              <w:top w:val="single" w:sz="6" w:space="0" w:color="auto"/>
              <w:left w:val="single" w:sz="6" w:space="0" w:color="auto"/>
              <w:bottom w:val="single" w:sz="6" w:space="0" w:color="auto"/>
              <w:right w:val="single" w:sz="6" w:space="0" w:color="auto"/>
            </w:tcBorders>
            <w:hideMark/>
          </w:tcPr>
          <w:p w14:paraId="38B101D9"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79A0C196" w14:textId="77777777" w:rsidR="00236104" w:rsidRPr="00067DC6" w:rsidRDefault="00236104" w:rsidP="00BA73E7">
            <w:pPr>
              <w:pStyle w:val="TableBody"/>
              <w:rPr>
                <w:highlight w:val="yellow"/>
              </w:rPr>
            </w:pPr>
            <w:r w:rsidRPr="00354F5D">
              <w:t>A</w:t>
            </w:r>
            <w:r>
              <w:t xml:space="preserve">n ERCOT area </w:t>
            </w:r>
            <w:r w:rsidRPr="00067DC6">
              <w:t>start</w:t>
            </w:r>
            <w:r>
              <w:t xml:space="preserve"> that is eligible to have its costs included in the Switchable Generation Cost Guarantee. </w:t>
            </w:r>
          </w:p>
        </w:tc>
      </w:tr>
      <w:tr w:rsidR="00236104" w:rsidRPr="00851088" w14:paraId="16BEF90E"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8A4905B" w14:textId="77777777" w:rsidR="00236104" w:rsidRPr="001520A2" w:rsidRDefault="00236104" w:rsidP="00BA73E7">
            <w:pPr>
              <w:pStyle w:val="TableBody"/>
              <w:rPr>
                <w:i/>
              </w:rPr>
            </w:pPr>
            <w:r w:rsidRPr="001520A2">
              <w:rPr>
                <w:i/>
              </w:rPr>
              <w:t>rc</w:t>
            </w:r>
          </w:p>
        </w:tc>
        <w:tc>
          <w:tcPr>
            <w:tcW w:w="692" w:type="pct"/>
            <w:tcBorders>
              <w:top w:val="single" w:sz="6" w:space="0" w:color="auto"/>
              <w:left w:val="single" w:sz="6" w:space="0" w:color="auto"/>
              <w:bottom w:val="single" w:sz="6" w:space="0" w:color="auto"/>
              <w:right w:val="single" w:sz="6" w:space="0" w:color="auto"/>
            </w:tcBorders>
            <w:hideMark/>
          </w:tcPr>
          <w:p w14:paraId="0C42E5DA" w14:textId="77777777" w:rsidR="00236104" w:rsidRPr="00F119E9" w:rsidRDefault="00236104" w:rsidP="00BA73E7">
            <w:pPr>
              <w:pStyle w:val="TableBody"/>
            </w:pPr>
            <w:r w:rsidRPr="00F119E9">
              <w:t>none</w:t>
            </w:r>
          </w:p>
        </w:tc>
        <w:tc>
          <w:tcPr>
            <w:tcW w:w="3342" w:type="pct"/>
            <w:tcBorders>
              <w:top w:val="single" w:sz="6" w:space="0" w:color="auto"/>
              <w:left w:val="single" w:sz="6" w:space="0" w:color="auto"/>
              <w:bottom w:val="single" w:sz="6" w:space="0" w:color="auto"/>
              <w:right w:val="single" w:sz="4" w:space="0" w:color="auto"/>
            </w:tcBorders>
            <w:hideMark/>
          </w:tcPr>
          <w:p w14:paraId="7D789A28" w14:textId="77777777" w:rsidR="00236104" w:rsidRPr="00F119E9" w:rsidRDefault="00236104" w:rsidP="00BA73E7">
            <w:pPr>
              <w:pStyle w:val="TableBody"/>
            </w:pPr>
            <w:r w:rsidRPr="00F119E9">
              <w:t xml:space="preserve">A Resource </w:t>
            </w:r>
            <w:r>
              <w:t>C</w:t>
            </w:r>
            <w:r w:rsidRPr="00F119E9">
              <w:t>ategory.</w:t>
            </w:r>
          </w:p>
        </w:tc>
      </w:tr>
      <w:tr w:rsidR="00236104" w:rsidRPr="007477C6" w14:paraId="00E87E8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7653FC4" w14:textId="77777777" w:rsidR="00236104" w:rsidRPr="00F01F11" w:rsidRDefault="00236104" w:rsidP="00BA73E7">
            <w:pPr>
              <w:pStyle w:val="TableBody"/>
              <w:rPr>
                <w:i/>
              </w:rPr>
            </w:pPr>
            <w:r w:rsidRPr="00F01F11">
              <w:rPr>
                <w:i/>
              </w:rPr>
              <w:t>p</w:t>
            </w:r>
          </w:p>
        </w:tc>
        <w:tc>
          <w:tcPr>
            <w:tcW w:w="692" w:type="pct"/>
            <w:tcBorders>
              <w:top w:val="single" w:sz="6" w:space="0" w:color="auto"/>
              <w:left w:val="single" w:sz="6" w:space="0" w:color="auto"/>
              <w:bottom w:val="single" w:sz="6" w:space="0" w:color="auto"/>
              <w:right w:val="single" w:sz="6" w:space="0" w:color="auto"/>
            </w:tcBorders>
          </w:tcPr>
          <w:p w14:paraId="424C0617" w14:textId="77777777" w:rsidR="00236104" w:rsidRPr="00067DC6" w:rsidRDefault="00236104" w:rsidP="00BA73E7">
            <w:pPr>
              <w:pStyle w:val="TableBody"/>
            </w:pPr>
            <w:r w:rsidRPr="00851088">
              <w:t>none</w:t>
            </w:r>
          </w:p>
        </w:tc>
        <w:tc>
          <w:tcPr>
            <w:tcW w:w="3342" w:type="pct"/>
            <w:tcBorders>
              <w:top w:val="single" w:sz="6" w:space="0" w:color="auto"/>
              <w:left w:val="single" w:sz="6" w:space="0" w:color="auto"/>
              <w:bottom w:val="single" w:sz="6" w:space="0" w:color="auto"/>
              <w:right w:val="single" w:sz="4" w:space="0" w:color="auto"/>
            </w:tcBorders>
          </w:tcPr>
          <w:p w14:paraId="7992698F" w14:textId="77777777" w:rsidR="00236104" w:rsidRPr="00067DC6" w:rsidRDefault="00236104" w:rsidP="00BA73E7">
            <w:pPr>
              <w:pStyle w:val="TableBody"/>
            </w:pPr>
            <w:r w:rsidRPr="00851088">
              <w:t>A Resource Node Settlement Point.</w:t>
            </w:r>
          </w:p>
        </w:tc>
      </w:tr>
    </w:tbl>
    <w:p w14:paraId="591EAA0F" w14:textId="77777777" w:rsidR="00BE571E" w:rsidRDefault="00BE571E" w:rsidP="00BE571E">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E571E" w14:paraId="6C072C0A" w14:textId="77777777" w:rsidTr="00BE571E">
        <w:trPr>
          <w:trHeight w:val="206"/>
        </w:trPr>
        <w:tc>
          <w:tcPr>
            <w:tcW w:w="9350" w:type="dxa"/>
            <w:shd w:val="pct12" w:color="auto" w:fill="auto"/>
          </w:tcPr>
          <w:p w14:paraId="2E0019B9" w14:textId="035B5BCE" w:rsidR="00BE571E" w:rsidRDefault="00BE571E" w:rsidP="00BE571E">
            <w:pPr>
              <w:pStyle w:val="Instructions"/>
              <w:spacing w:before="120"/>
            </w:pPr>
            <w:r>
              <w:t>[NPRR1010</w:t>
            </w:r>
            <w:r w:rsidR="003B46CE">
              <w:t xml:space="preserve"> and NPRR1014</w:t>
            </w:r>
            <w:r>
              <w:t xml:space="preserve">:  Replace </w:t>
            </w:r>
            <w:r w:rsidR="003B46CE">
              <w:t xml:space="preserve">applicable portions of </w:t>
            </w:r>
            <w:r>
              <w:t>paragraph (1) above with the following upon system implementation of the Real-Time Co-Optimization (RTC) project</w:t>
            </w:r>
            <w:r w:rsidR="003B46CE">
              <w:t xml:space="preserve"> for NPRR1010; or upon system implementation for NPRR1014</w:t>
            </w:r>
            <w:r>
              <w:t>:]</w:t>
            </w:r>
          </w:p>
          <w:p w14:paraId="4789EFA0" w14:textId="4508FFDC" w:rsidR="003B46CE" w:rsidRPr="00A552C3" w:rsidRDefault="003B46CE" w:rsidP="003B46CE">
            <w:pPr>
              <w:ind w:left="720" w:hanging="720"/>
            </w:pPr>
            <w:r w:rsidRPr="00A552C3">
              <w:t>(1)</w:t>
            </w:r>
            <w:r w:rsidRPr="00A552C3">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11BAAF49" w14:textId="77777777" w:rsidR="003B46CE" w:rsidRPr="00A552C3" w:rsidRDefault="003B46CE" w:rsidP="003B46CE"/>
          <w:p w14:paraId="41E3350C" w14:textId="77777777" w:rsidR="003B46CE" w:rsidRPr="00A552C3" w:rsidRDefault="003B46CE" w:rsidP="003B46CE">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476E9AC" w14:textId="77777777" w:rsidR="003B46CE" w:rsidRPr="00A552C3" w:rsidRDefault="003B46CE" w:rsidP="003B46CE">
            <w:pPr>
              <w:spacing w:after="240"/>
              <w:ind w:left="720"/>
            </w:pPr>
            <w:r w:rsidRPr="00A552C3">
              <w:t>Where:</w:t>
            </w:r>
          </w:p>
          <w:p w14:paraId="20EF3CEF" w14:textId="77777777" w:rsidR="003B46CE" w:rsidRPr="00A552C3" w:rsidRDefault="003B46CE" w:rsidP="003B46CE">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15016150" w14:textId="77777777" w:rsidR="003B46CE" w:rsidRPr="00A552C3" w:rsidRDefault="003B46CE" w:rsidP="003B46CE">
            <w:pPr>
              <w:spacing w:after="240"/>
              <w:ind w:left="2250" w:hanging="90"/>
            </w:pPr>
            <w:r w:rsidRPr="00A552C3">
              <w:t>SWPSLR</w:t>
            </w:r>
            <w:r w:rsidRPr="00A552C3">
              <w:rPr>
                <w:i/>
                <w:vertAlign w:val="subscript"/>
              </w:rPr>
              <w:t xml:space="preserve"> q, r, d</w:t>
            </w:r>
          </w:p>
          <w:p w14:paraId="70FEEE49" w14:textId="77777777" w:rsidR="003B46CE" w:rsidRPr="00A552C3" w:rsidRDefault="003B46CE" w:rsidP="003B46CE">
            <w:pPr>
              <w:spacing w:after="240"/>
              <w:ind w:left="2250" w:hanging="1530"/>
              <w:rPr>
                <w:lang w:val="pt-BR"/>
              </w:rPr>
            </w:pPr>
            <w:r w:rsidRPr="00A552C3">
              <w:rPr>
                <w:lang w:val="pt-BR"/>
              </w:rPr>
              <w:t>SW</w:t>
            </w:r>
            <w:r w:rsidRPr="00A552C3">
              <w:rPr>
                <w:bCs/>
                <w:lang w:val="pt-BR"/>
              </w:rPr>
              <w:t xml:space="preserve">RTREV </w:t>
            </w:r>
            <w:r w:rsidRPr="00A552C3">
              <w:rPr>
                <w:i/>
                <w:vertAlign w:val="subscript"/>
                <w:lang w:val="pt-BR"/>
              </w:rPr>
              <w:t>q</w:t>
            </w:r>
            <w:r w:rsidRPr="00A552C3">
              <w:rPr>
                <w:i/>
                <w:vertAlign w:val="subscript"/>
                <w:lang w:val="it-IT"/>
              </w:rPr>
              <w:t>, r, d</w:t>
            </w:r>
            <w:r w:rsidRPr="00A552C3">
              <w:rPr>
                <w:lang w:val="it-IT"/>
              </w:rPr>
              <w:t xml:space="preserve">   </w:t>
            </w:r>
            <w:r w:rsidRPr="00A552C3">
              <w:t xml:space="preserve">=  </w:t>
            </w:r>
            <w:r w:rsidRPr="00A552C3">
              <w:rPr>
                <w:bCs/>
                <w:lang w:val="pt-BR"/>
              </w:rPr>
              <w:t xml:space="preserve">Max [0, </w:t>
            </w:r>
            <w:r w:rsidRPr="00A552C3">
              <w:rPr>
                <w:position w:val="-20"/>
              </w:rPr>
              <w:object w:dxaOrig="220" w:dyaOrig="440" w14:anchorId="0032A056">
                <v:shape id="_x0000_i1298" type="#_x0000_t75" style="width:6pt;height:24pt" o:ole="">
                  <v:imagedata r:id="rId110" o:title=""/>
                </v:shape>
                <o:OLEObject Type="Embed" ProgID="Equation.3" ShapeID="_x0000_i1298" DrawAspect="Content" ObjectID="_1804653782" r:id="rId371"/>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RTMG</w:t>
            </w:r>
            <w:r w:rsidRPr="00A552C3">
              <w:rPr>
                <w:b/>
                <w:i/>
                <w:vertAlign w:val="subscript"/>
              </w:rPr>
              <w:t xml:space="preserve"> </w:t>
            </w:r>
            <w:r w:rsidRPr="00A552C3">
              <w:rPr>
                <w:i/>
                <w:vertAlign w:val="subscript"/>
              </w:rPr>
              <w:t>q, r, i</w:t>
            </w:r>
            <w:r w:rsidRPr="00A552C3">
              <w:rPr>
                <w:iCs/>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  VSSVARAMT</w:t>
            </w:r>
            <w:r w:rsidRPr="00A552C3">
              <w:t xml:space="preserve">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 + RTRUREV</w:t>
            </w:r>
            <w:r w:rsidRPr="00A552C3">
              <w:t xml:space="preserve"> </w:t>
            </w:r>
            <w:r w:rsidRPr="00A552C3">
              <w:rPr>
                <w:i/>
                <w:vertAlign w:val="subscript"/>
              </w:rPr>
              <w:t>q, r, i</w:t>
            </w:r>
            <w:r w:rsidRPr="00A552C3" w:rsidDel="00D93367">
              <w:rPr>
                <w:lang w:val="pt-BR"/>
              </w:rPr>
              <w:t xml:space="preserve"> </w:t>
            </w:r>
            <w:r w:rsidRPr="00A552C3">
              <w:rPr>
                <w:lang w:val="pt-BR"/>
              </w:rPr>
              <w:t xml:space="preserve"> + </w:t>
            </w:r>
            <w:r w:rsidRPr="00A552C3">
              <w:rPr>
                <w:iCs/>
              </w:rPr>
              <w:t xml:space="preserve">RTRDREV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RTRRREV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w:t>
            </w:r>
            <w:r w:rsidRPr="00A552C3">
              <w:rPr>
                <w:iCs/>
              </w:rPr>
              <w:t xml:space="preserve"> RTNSREV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RTECRREV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lang w:val="pt-BR"/>
              </w:rPr>
              <w:t>)]</w:t>
            </w:r>
          </w:p>
          <w:p w14:paraId="7F085782" w14:textId="77777777" w:rsidR="003B46CE" w:rsidRPr="00A552C3" w:rsidRDefault="003B46CE" w:rsidP="003B46CE">
            <w:pPr>
              <w:spacing w:after="240"/>
              <w:ind w:left="2250" w:hanging="1530"/>
              <w:rPr>
                <w:lang w:val="it-IT"/>
              </w:rPr>
            </w:pPr>
            <w:r w:rsidRPr="00A552C3">
              <w:t>SWAC</w:t>
            </w:r>
            <w:r w:rsidRPr="00A552C3">
              <w:rPr>
                <w:i/>
                <w:vertAlign w:val="subscript"/>
              </w:rPr>
              <w:t xml:space="preserve"> q, r, d</w:t>
            </w:r>
            <w:r w:rsidRPr="00A552C3">
              <w:t xml:space="preserve">  =  SWFC</w:t>
            </w:r>
            <w:r w:rsidRPr="00A552C3">
              <w:rPr>
                <w:i/>
                <w:vertAlign w:val="subscript"/>
              </w:rPr>
              <w:t xml:space="preserve"> q, r, d</w:t>
            </w:r>
            <w:r w:rsidRPr="00A552C3">
              <w:rPr>
                <w:lang w:val="it-IT"/>
              </w:rPr>
              <w:t xml:space="preserve"> </w:t>
            </w:r>
            <w:r w:rsidRPr="00A552C3">
              <w:t>+ SWEIC</w:t>
            </w:r>
            <w:r w:rsidRPr="00A552C3">
              <w:rPr>
                <w:i/>
                <w:vertAlign w:val="subscript"/>
              </w:rPr>
              <w:t xml:space="preserve"> q, r, d</w:t>
            </w:r>
            <w:r w:rsidRPr="00A552C3">
              <w:rPr>
                <w:lang w:val="it-IT"/>
              </w:rPr>
              <w:t xml:space="preserve"> </w:t>
            </w:r>
            <w:r w:rsidRPr="00A552C3">
              <w:t>+ SWASIC</w:t>
            </w:r>
            <w:r w:rsidRPr="00A552C3">
              <w:rPr>
                <w:i/>
                <w:vertAlign w:val="subscript"/>
              </w:rPr>
              <w:t xml:space="preserve"> q, r, d</w:t>
            </w:r>
            <w:r w:rsidRPr="00A552C3">
              <w:rPr>
                <w:lang w:val="it-IT"/>
              </w:rPr>
              <w:t xml:space="preserve"> + </w:t>
            </w:r>
            <w:r w:rsidRPr="00A552C3">
              <w:rPr>
                <w:lang w:val="pt-BR"/>
              </w:rPr>
              <w:t>SWMWDC</w:t>
            </w:r>
            <w:r w:rsidRPr="00A552C3">
              <w:rPr>
                <w:i/>
                <w:vertAlign w:val="subscript"/>
              </w:rPr>
              <w:t xml:space="preserve"> q, r, d </w:t>
            </w:r>
            <w:r w:rsidRPr="00A552C3">
              <w:rPr>
                <w:lang w:val="it-IT"/>
              </w:rPr>
              <w:t xml:space="preserve">+ </w:t>
            </w:r>
            <w:r w:rsidRPr="00A552C3">
              <w:rPr>
                <w:lang w:val="pt-BR"/>
              </w:rPr>
              <w:t>SWFIPC</w:t>
            </w:r>
            <w:r w:rsidRPr="00A552C3">
              <w:rPr>
                <w:i/>
                <w:vertAlign w:val="subscript"/>
              </w:rPr>
              <w:t xml:space="preserve"> q, r, d</w:t>
            </w:r>
          </w:p>
          <w:p w14:paraId="7E121321" w14:textId="77777777" w:rsidR="003B46CE" w:rsidRPr="00A552C3" w:rsidRDefault="003B46CE" w:rsidP="003B46CE">
            <w:pPr>
              <w:spacing w:after="240"/>
              <w:ind w:left="2250" w:hanging="1530"/>
              <w:rPr>
                <w:iCs/>
                <w:lang w:val="it-IT"/>
              </w:rPr>
            </w:pPr>
            <w:r w:rsidRPr="00A552C3">
              <w:lastRenderedPageBreak/>
              <w:t>SWPSLR</w:t>
            </w:r>
            <w:r w:rsidRPr="00A552C3">
              <w:rPr>
                <w:i/>
                <w:vertAlign w:val="subscript"/>
              </w:rPr>
              <w:t xml:space="preserve"> q, r, d</w:t>
            </w:r>
            <w:r w:rsidRPr="00A552C3">
              <w:t xml:space="preserve">  =  </w:t>
            </w:r>
            <w:r w:rsidRPr="00A552C3">
              <w:rPr>
                <w:position w:val="-20"/>
              </w:rPr>
              <w:object w:dxaOrig="220" w:dyaOrig="440" w14:anchorId="313DBDC3">
                <v:shape id="_x0000_i1299" type="#_x0000_t75" style="width:12pt;height:24pt" o:ole="">
                  <v:imagedata r:id="rId110" o:title=""/>
                </v:shape>
                <o:OLEObject Type="Embed" ProgID="Equation.3" ShapeID="_x0000_i1299" DrawAspect="Content" ObjectID="_1804653783" r:id="rId372"/>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1674D167" w14:textId="77777777" w:rsidR="003B46CE" w:rsidRPr="00A552C3" w:rsidRDefault="003B46CE" w:rsidP="003B46CE">
            <w:pPr>
              <w:spacing w:after="240"/>
              <w:ind w:left="1440" w:hanging="720"/>
            </w:pPr>
            <w:r w:rsidRPr="00A552C3">
              <w:t>If ERCOT has approved verifiable costs for the SWGR:</w:t>
            </w:r>
          </w:p>
          <w:p w14:paraId="1A920C00" w14:textId="77777777" w:rsidR="003B46CE" w:rsidRPr="00A552C3" w:rsidRDefault="003B46CE" w:rsidP="003B46CE">
            <w:pPr>
              <w:tabs>
                <w:tab w:val="left" w:pos="1800"/>
              </w:tabs>
              <w:spacing w:after="240"/>
              <w:ind w:left="2160" w:hanging="1440"/>
              <w:rPr>
                <w:i/>
                <w:vertAlign w:val="subscript"/>
              </w:rPr>
            </w:pPr>
            <w:r w:rsidRPr="00A552C3">
              <w:t xml:space="preserve">     SWSUC </w:t>
            </w:r>
            <w:r w:rsidRPr="00A552C3">
              <w:rPr>
                <w:i/>
                <w:vertAlign w:val="subscript"/>
              </w:rPr>
              <w:t>q, r, d</w:t>
            </w:r>
            <w:r w:rsidRPr="00A552C3">
              <w:t xml:space="preserve"> = </w:t>
            </w:r>
            <w:r w:rsidRPr="00A552C3">
              <w:rPr>
                <w:position w:val="-20"/>
                <w:lang w:val="pt-BR"/>
              </w:rPr>
              <w:object w:dxaOrig="210" w:dyaOrig="450" w14:anchorId="28A5B65D">
                <v:shape id="_x0000_i1300" type="#_x0000_t75" style="width:6pt;height:24pt" o:ole="">
                  <v:imagedata r:id="rId361" o:title=""/>
                </v:shape>
                <o:OLEObject Type="Embed" ProgID="Equation.3" ShapeID="_x0000_i1300" DrawAspect="Content" ObjectID="_1804653784" r:id="rId373"/>
              </w:object>
            </w:r>
            <w:r w:rsidRPr="00A552C3">
              <w:t xml:space="preserve"> [SWSF * </w:t>
            </w:r>
            <w:r w:rsidRPr="00A552C3">
              <w:rPr>
                <w:lang w:val="pt-BR"/>
              </w:rPr>
              <w:t>(</w:t>
            </w:r>
            <w:r w:rsidRPr="00A552C3">
              <w:rPr>
                <w:bCs/>
              </w:rPr>
              <w:t>DAFCRS</w:t>
            </w:r>
            <w:r w:rsidRPr="00A552C3">
              <w:rPr>
                <w:bCs/>
                <w:i/>
                <w:vertAlign w:val="subscript"/>
              </w:rPr>
              <w:t xml:space="preserve"> r, s</w:t>
            </w:r>
            <w:r w:rsidRPr="00A552C3">
              <w:rPr>
                <w:bCs/>
              </w:rPr>
              <w:t xml:space="preserve"> * </w:t>
            </w:r>
            <w:r w:rsidRPr="00A552C3">
              <w:t xml:space="preserve">(GASPERSU </w:t>
            </w:r>
            <w:r w:rsidRPr="00A552C3">
              <w:rPr>
                <w:bCs/>
                <w:i/>
                <w:vertAlign w:val="subscript"/>
              </w:rPr>
              <w:t>r, s</w:t>
            </w:r>
            <w:r w:rsidRPr="00A552C3">
              <w:t xml:space="preserve"> * FIP + OILPERSU</w:t>
            </w:r>
            <w:r w:rsidRPr="00A552C3">
              <w:rPr>
                <w:bCs/>
                <w:i/>
                <w:vertAlign w:val="subscript"/>
              </w:rPr>
              <w:t xml:space="preserve"> r, s</w:t>
            </w:r>
            <w:r w:rsidRPr="00A552C3">
              <w:t xml:space="preserve"> * FOP + SFPERSU</w:t>
            </w:r>
            <w:r w:rsidRPr="00A552C3">
              <w:rPr>
                <w:bCs/>
                <w:i/>
                <w:vertAlign w:val="subscript"/>
              </w:rPr>
              <w:t xml:space="preserve"> r, s</w:t>
            </w:r>
            <w:r w:rsidRPr="00A552C3">
              <w:t xml:space="preserve"> * SFP) + VOMS</w:t>
            </w:r>
            <w:r w:rsidRPr="00A552C3">
              <w:rPr>
                <w:i/>
                <w:vertAlign w:val="subscript"/>
              </w:rPr>
              <w:t xml:space="preserve"> </w:t>
            </w:r>
            <w:r w:rsidRPr="00A552C3">
              <w:rPr>
                <w:bCs/>
                <w:i/>
                <w:vertAlign w:val="subscript"/>
              </w:rPr>
              <w:t>r, s</w:t>
            </w:r>
            <w:r w:rsidRPr="00A552C3">
              <w:t xml:space="preserve">)] + ADJSWSUC </w:t>
            </w:r>
            <w:r w:rsidRPr="00A552C3">
              <w:rPr>
                <w:i/>
                <w:vertAlign w:val="subscript"/>
              </w:rPr>
              <w:t>q, r, d</w:t>
            </w:r>
          </w:p>
          <w:p w14:paraId="6FE31C96"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7851CB73">
                <v:shape id="_x0000_i1301" type="#_x0000_t75" style="width:12pt;height:24pt" o:ole="">
                  <v:imagedata r:id="rId363" o:title=""/>
                </v:shape>
                <o:OLEObject Type="Embed" ProgID="Equation.3" ShapeID="_x0000_i1301" DrawAspect="Content" ObjectID="_1804653785" r:id="rId374"/>
              </w:object>
            </w:r>
            <w:r w:rsidRPr="00A552C3">
              <w:rPr>
                <w:lang w:val="pt-BR"/>
              </w:rPr>
              <w:t>(</w:t>
            </w:r>
            <w:r w:rsidRPr="00A552C3">
              <w:t>(</w:t>
            </w:r>
            <w:r w:rsidRPr="00A552C3">
              <w:rPr>
                <w:lang w:val="pt-BR"/>
              </w:rPr>
              <w:t>AHR</w:t>
            </w:r>
            <w:r w:rsidRPr="00A552C3">
              <w:rPr>
                <w:i/>
                <w:vertAlign w:val="subscript"/>
                <w:lang w:val="es-ES"/>
              </w:rPr>
              <w:t xml:space="preserve"> r, i</w:t>
            </w:r>
            <w:r w:rsidRPr="00A552C3">
              <w:rPr>
                <w:lang w:val="pt-BR"/>
              </w:rPr>
              <w:t xml:space="preserve"> </w:t>
            </w:r>
            <w:r w:rsidRPr="00A552C3">
              <w:t xml:space="preserve">* (GASPERME </w:t>
            </w:r>
            <w:r w:rsidRPr="00A552C3">
              <w:rPr>
                <w:bCs/>
                <w:i/>
                <w:vertAlign w:val="subscript"/>
              </w:rPr>
              <w:t>r</w:t>
            </w:r>
            <w:r w:rsidRPr="00A552C3">
              <w:t xml:space="preserve"> * FIP + OILPERME </w:t>
            </w:r>
            <w:r w:rsidRPr="00A552C3">
              <w:rPr>
                <w:bCs/>
                <w:i/>
                <w:vertAlign w:val="subscript"/>
              </w:rPr>
              <w:t>r</w:t>
            </w:r>
            <w:r w:rsidRPr="00A552C3">
              <w:t xml:space="preserve"> * FOP + SFPERME</w:t>
            </w:r>
            <w:r w:rsidRPr="00A552C3">
              <w:rPr>
                <w:bCs/>
                <w:i/>
                <w:vertAlign w:val="subscript"/>
              </w:rPr>
              <w:t xml:space="preserve"> r</w:t>
            </w:r>
            <w:r w:rsidRPr="00A552C3">
              <w:t xml:space="preserve">* SFP + FA </w:t>
            </w:r>
            <w:r w:rsidRPr="00A552C3">
              <w:rPr>
                <w:i/>
                <w:vertAlign w:val="subscript"/>
              </w:rPr>
              <w:t>r</w:t>
            </w:r>
            <w:r w:rsidRPr="00A552C3">
              <w:t>) + VOMLSL</w:t>
            </w:r>
            <w:r w:rsidRPr="00A552C3">
              <w:rPr>
                <w:i/>
                <w:vertAlign w:val="subscript"/>
              </w:rPr>
              <w:t xml:space="preserve"> </w:t>
            </w:r>
            <w:r w:rsidRPr="00A552C3">
              <w:rPr>
                <w:bCs/>
                <w:i/>
                <w:vertAlign w:val="subscript"/>
              </w:rPr>
              <w:t>r</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6CC965B" w14:textId="77777777" w:rsidR="003B46CE" w:rsidRPr="00A552C3" w:rsidRDefault="003B46CE" w:rsidP="003B46CE">
            <w:pPr>
              <w:pStyle w:val="BodyTextNumbered"/>
              <w:tabs>
                <w:tab w:val="left" w:pos="1800"/>
              </w:tabs>
              <w:ind w:left="2160" w:hanging="1440"/>
              <w:rPr>
                <w:i/>
                <w:vertAlign w:val="subscript"/>
              </w:rPr>
            </w:pPr>
            <w:r w:rsidRPr="00A552C3">
              <w:t xml:space="preserve">     SWOC </w:t>
            </w:r>
            <w:r w:rsidRPr="00A552C3">
              <w:rPr>
                <w:i/>
                <w:vertAlign w:val="subscript"/>
              </w:rPr>
              <w:t>q, r, d</w:t>
            </w:r>
            <w:r w:rsidRPr="00A552C3">
              <w:t xml:space="preserve"> = </w:t>
            </w:r>
            <w:r w:rsidRPr="00A552C3">
              <w:rPr>
                <w:position w:val="-20"/>
                <w:lang w:val="pt-BR"/>
              </w:rPr>
              <w:object w:dxaOrig="220" w:dyaOrig="440" w14:anchorId="74F6E76C">
                <v:shape id="_x0000_i1302" type="#_x0000_t75" style="width:12pt;height:24pt" o:ole="">
                  <v:imagedata r:id="rId363" o:title=""/>
                </v:shape>
                <o:OLEObject Type="Embed" ProgID="Equation.3" ShapeID="_x0000_i1302" DrawAspect="Content" ObjectID="_1804653786" r:id="rId375"/>
              </w:object>
            </w:r>
            <w:r w:rsidRPr="00A552C3">
              <w:rPr>
                <w:lang w:val="pt-BR"/>
              </w:rPr>
              <w:t>[</w:t>
            </w:r>
            <w:r w:rsidRPr="00A552C3">
              <w:t>(</w:t>
            </w:r>
            <w:r w:rsidRPr="00A552C3">
              <w:rPr>
                <w:lang w:val="pt-BR"/>
              </w:rPr>
              <w:t>AHR</w:t>
            </w:r>
            <w:r w:rsidRPr="00A552C3">
              <w:rPr>
                <w:i/>
                <w:vertAlign w:val="subscript"/>
                <w:lang w:val="es-ES"/>
              </w:rPr>
              <w:t xml:space="preserve"> r, i</w:t>
            </w:r>
            <w:r w:rsidRPr="00A552C3">
              <w:t xml:space="preserve"> * ((GASPEROL </w:t>
            </w:r>
            <w:r w:rsidRPr="00A552C3">
              <w:rPr>
                <w:i/>
                <w:vertAlign w:val="subscript"/>
              </w:rPr>
              <w:t>r</w:t>
            </w:r>
            <w:r w:rsidRPr="00A552C3">
              <w:t xml:space="preserve"> * FIP + OILPEROL</w:t>
            </w:r>
            <w:r w:rsidRPr="00A552C3">
              <w:rPr>
                <w:i/>
                <w:vertAlign w:val="subscript"/>
              </w:rPr>
              <w:t xml:space="preserve"> r </w:t>
            </w:r>
            <w:r w:rsidRPr="00A552C3">
              <w:t>* FOP + SFPEROL</w:t>
            </w:r>
            <w:r w:rsidRPr="00A552C3">
              <w:rPr>
                <w:i/>
                <w:vertAlign w:val="subscript"/>
              </w:rPr>
              <w:t xml:space="preserve"> r</w:t>
            </w:r>
            <w:r w:rsidRPr="00A552C3">
              <w:t xml:space="preserve"> * SFP) + FA</w:t>
            </w:r>
            <w:r w:rsidRPr="00A552C3">
              <w:rPr>
                <w:i/>
                <w:vertAlign w:val="subscript"/>
              </w:rPr>
              <w:t xml:space="preserve"> r</w:t>
            </w:r>
            <w:r w:rsidRPr="00A552C3">
              <w:t>) + OM</w:t>
            </w:r>
            <w:r w:rsidRPr="00A552C3">
              <w:rPr>
                <w:i/>
                <w:vertAlign w:val="subscript"/>
              </w:rPr>
              <w:t xml:space="preserve"> r</w:t>
            </w:r>
            <w:r w:rsidRPr="00A552C3">
              <w:t xml:space="preserve">) * Max(0, (RTMG </w:t>
            </w:r>
            <w:r w:rsidRPr="00A552C3">
              <w:rPr>
                <w:i/>
                <w:vertAlign w:val="subscript"/>
              </w:rPr>
              <w:t>q, r, i</w:t>
            </w:r>
            <w:r w:rsidRPr="00A552C3">
              <w:t xml:space="preserve"> – LSL </w:t>
            </w:r>
            <w:r w:rsidRPr="00A552C3">
              <w:rPr>
                <w:i/>
                <w:vertAlign w:val="subscript"/>
              </w:rPr>
              <w:t>q, r, i</w:t>
            </w:r>
            <w:r w:rsidRPr="00A552C3">
              <w:t xml:space="preserve"> * (¼)))] </w:t>
            </w:r>
            <w:r w:rsidRPr="00A552C3">
              <w:rPr>
                <w:i/>
              </w:rPr>
              <w:t xml:space="preserve">- </w:t>
            </w:r>
            <w:r w:rsidRPr="00A552C3">
              <w:rPr>
                <w:lang w:val="pt-BR"/>
              </w:rPr>
              <w:t>OPC</w:t>
            </w:r>
            <w:r w:rsidRPr="00A552C3">
              <w:rPr>
                <w:i/>
                <w:vertAlign w:val="subscript"/>
                <w:lang w:val="es-ES"/>
              </w:rPr>
              <w:t xml:space="preserve"> r, d</w:t>
            </w:r>
            <w:r w:rsidRPr="00A552C3">
              <w:t xml:space="preserve"> </w:t>
            </w:r>
            <w:r w:rsidRPr="00A552C3">
              <w:rPr>
                <w:i/>
                <w:vertAlign w:val="subscript"/>
              </w:rPr>
              <w:t xml:space="preserve">  </w:t>
            </w:r>
          </w:p>
          <w:p w14:paraId="21B1289B" w14:textId="77777777" w:rsidR="003B46CE" w:rsidRPr="00A552C3" w:rsidRDefault="003B46CE" w:rsidP="003B46CE">
            <w:pPr>
              <w:pStyle w:val="BodyTextNumbered"/>
              <w:tabs>
                <w:tab w:val="left" w:pos="1800"/>
              </w:tabs>
              <w:ind w:left="2160" w:hanging="1440"/>
              <w:rPr>
                <w:lang w:val="pt-BR"/>
              </w:rPr>
            </w:pPr>
            <w:r w:rsidRPr="00A552C3">
              <w:rPr>
                <w:lang w:val="pt-BR"/>
              </w:rPr>
              <w:t>Where,</w:t>
            </w:r>
          </w:p>
          <w:p w14:paraId="246F8C6A" w14:textId="5EA0B2C2" w:rsidR="003B46CE" w:rsidRPr="00A552C3" w:rsidRDefault="003B46CE" w:rsidP="003B46CE">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F1902C2">
                <v:shape id="_x0000_i1303" type="#_x0000_t75" style="width:12pt;height:24pt" o:ole="">
                  <v:imagedata r:id="rId363" o:title=""/>
                </v:shape>
                <o:OLEObject Type="Embed" ProgID="Equation.3" ShapeID="_x0000_i1303" DrawAspect="Content" ObjectID="_1804653787" r:id="rId376"/>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w:t>
            </w:r>
            <w:r w:rsidR="00371616" w:rsidRPr="00A552C3">
              <w:rPr>
                <w:i/>
                <w:vertAlign w:val="subscript"/>
              </w:rPr>
              <w:t xml:space="preserve"> r</w:t>
            </w:r>
            <w:r w:rsidRPr="00A552C3">
              <w:t xml:space="preserve">)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666A8AA2" w14:textId="77777777" w:rsidR="003B46CE" w:rsidRPr="00A552C3" w:rsidRDefault="003B46CE" w:rsidP="003B46CE">
            <w:pPr>
              <w:spacing w:after="240"/>
              <w:ind w:left="1440" w:hanging="720"/>
            </w:pPr>
            <w:r w:rsidRPr="00A552C3">
              <w:t>If ERCOT has not approved verifiable costs for the SWGR:</w:t>
            </w:r>
          </w:p>
          <w:p w14:paraId="205557AC"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 </w:t>
            </w:r>
            <w:r w:rsidRPr="00A552C3">
              <w:rPr>
                <w:bCs/>
                <w:position w:val="-20"/>
                <w:lang w:val="pt-BR"/>
              </w:rPr>
              <w:object w:dxaOrig="210" w:dyaOrig="450" w14:anchorId="3D8BB54D">
                <v:shape id="_x0000_i1304" type="#_x0000_t75" style="width:6pt;height:24pt" o:ole="">
                  <v:imagedata r:id="rId361" o:title=""/>
                </v:shape>
                <o:OLEObject Type="Embed" ProgID="Equation.3" ShapeID="_x0000_i1304" DrawAspect="Content" ObjectID="_1804653788" r:id="rId377"/>
              </w:object>
            </w:r>
            <w:r w:rsidRPr="00A552C3">
              <w:rPr>
                <w:bCs/>
              </w:rPr>
              <w:t xml:space="preserve"> (SWSF * RCGSC </w:t>
            </w:r>
            <w:r w:rsidRPr="00A552C3">
              <w:rPr>
                <w:bCs/>
                <w:i/>
                <w:vertAlign w:val="subscript"/>
              </w:rPr>
              <w:t>s, rc</w:t>
            </w:r>
            <w:r w:rsidRPr="00A552C3">
              <w:rPr>
                <w:bCs/>
              </w:rPr>
              <w:t xml:space="preserve">) + ADJSWSUC </w:t>
            </w:r>
            <w:r w:rsidRPr="00A552C3">
              <w:rPr>
                <w:bCs/>
                <w:i/>
                <w:vertAlign w:val="subscript"/>
              </w:rPr>
              <w:t>q, r, d</w:t>
            </w:r>
          </w:p>
          <w:p w14:paraId="05112DC4"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33B7293C">
                <v:shape id="_x0000_i1305" type="#_x0000_t75" style="width:12pt;height:24pt" o:ole="">
                  <v:imagedata r:id="rId363" o:title=""/>
                </v:shape>
                <o:OLEObject Type="Embed" ProgID="Equation.3" ShapeID="_x0000_i1305" DrawAspect="Content" ObjectID="_1804653789" r:id="rId378"/>
              </w:object>
            </w:r>
            <w:r w:rsidRPr="00A552C3">
              <w:t xml:space="preserve">(RCGMEC </w:t>
            </w:r>
            <w:r w:rsidRPr="00A552C3">
              <w:rPr>
                <w:i/>
                <w:vertAlign w:val="subscript"/>
              </w:rPr>
              <w:t>i, rc</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F15683B"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14B5A99B">
                <v:shape id="_x0000_i1306" type="#_x0000_t75" style="width:12pt;height:24pt" o:ole="">
                  <v:imagedata r:id="rId363" o:title=""/>
                </v:shape>
                <o:OLEObject Type="Embed" ProgID="Equation.3" ShapeID="_x0000_i1306" DrawAspect="Content" ObjectID="_1804653790" r:id="rId379"/>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r w:rsidRPr="00A552C3">
              <w:rPr>
                <w:bCs/>
                <w:i/>
                <w:vertAlign w:val="subscript"/>
              </w:rPr>
              <w:t>rc</w:t>
            </w:r>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734C89D4" w14:textId="77777777" w:rsidR="003B46CE" w:rsidRPr="00A552C3" w:rsidRDefault="003B46CE" w:rsidP="003B46CE">
            <w:pPr>
              <w:tabs>
                <w:tab w:val="left" w:pos="1800"/>
              </w:tabs>
              <w:spacing w:after="240"/>
              <w:ind w:left="2160" w:hanging="1440"/>
              <w:rPr>
                <w:iCs/>
                <w:lang w:val="pt-BR"/>
              </w:rPr>
            </w:pPr>
            <w:r w:rsidRPr="00A552C3">
              <w:rPr>
                <w:iCs/>
                <w:lang w:val="pt-BR"/>
              </w:rPr>
              <w:t>Where,</w:t>
            </w:r>
          </w:p>
          <w:p w14:paraId="5A508785" w14:textId="77777777" w:rsidR="003B46CE" w:rsidRPr="00A552C3" w:rsidRDefault="003B46CE" w:rsidP="003B46CE">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18386BBD">
                <v:shape id="_x0000_i1307" type="#_x0000_t75" style="width:12pt;height:24pt" o:ole="">
                  <v:imagedata r:id="rId363" o:title=""/>
                </v:shape>
                <o:OLEObject Type="Embed" ProgID="Equation.3" ShapeID="_x0000_i1307" DrawAspect="Content" ObjectID="_1804653791" r:id="rId380"/>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r w:rsidRPr="00A552C3">
              <w:rPr>
                <w:bCs/>
                <w:i/>
                <w:vertAlign w:val="subscript"/>
              </w:rPr>
              <w:t>rc</w:t>
            </w:r>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5E6BDCBF" w14:textId="77777777" w:rsidR="003B46CE" w:rsidRPr="00A552C3" w:rsidRDefault="003B46CE" w:rsidP="003B46CE">
            <w:r w:rsidRPr="00A552C3">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44"/>
              <w:gridCol w:w="1294"/>
              <w:gridCol w:w="6074"/>
            </w:tblGrid>
            <w:tr w:rsidR="003B46CE" w:rsidRPr="00A552C3" w14:paraId="21BF5975" w14:textId="77777777" w:rsidTr="00C952ED">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0066A6" w14:textId="77777777" w:rsidR="003B46CE" w:rsidRPr="00A552C3" w:rsidRDefault="003B46CE" w:rsidP="003B46CE">
                  <w:pPr>
                    <w:spacing w:after="120"/>
                    <w:rPr>
                      <w:b/>
                      <w:iCs/>
                      <w:sz w:val="20"/>
                    </w:rPr>
                  </w:pPr>
                  <w:r w:rsidRPr="00A552C3">
                    <w:rPr>
                      <w:b/>
                      <w:iCs/>
                      <w:sz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096ED14A" w14:textId="77777777" w:rsidR="003B46CE" w:rsidRPr="00A552C3" w:rsidRDefault="003B46CE" w:rsidP="003B46CE">
                  <w:pPr>
                    <w:spacing w:after="120"/>
                    <w:jc w:val="center"/>
                    <w:rPr>
                      <w:b/>
                      <w:iCs/>
                      <w:sz w:val="20"/>
                    </w:rPr>
                  </w:pPr>
                  <w:r w:rsidRPr="00A552C3">
                    <w:rPr>
                      <w:b/>
                      <w:iCs/>
                      <w:sz w:val="20"/>
                    </w:rPr>
                    <w:t>Unit</w:t>
                  </w:r>
                </w:p>
              </w:tc>
              <w:tc>
                <w:tcPr>
                  <w:tcW w:w="3342" w:type="pct"/>
                  <w:tcBorders>
                    <w:top w:val="single" w:sz="4" w:space="0" w:color="auto"/>
                    <w:left w:val="single" w:sz="6" w:space="0" w:color="auto"/>
                    <w:bottom w:val="single" w:sz="6" w:space="0" w:color="auto"/>
                    <w:right w:val="single" w:sz="4" w:space="0" w:color="auto"/>
                  </w:tcBorders>
                  <w:hideMark/>
                </w:tcPr>
                <w:p w14:paraId="7B5FB568" w14:textId="77777777" w:rsidR="003B46CE" w:rsidRPr="00A552C3" w:rsidRDefault="003B46CE" w:rsidP="003B46CE">
                  <w:pPr>
                    <w:spacing w:after="120"/>
                    <w:rPr>
                      <w:b/>
                      <w:iCs/>
                      <w:sz w:val="20"/>
                    </w:rPr>
                  </w:pPr>
                  <w:r w:rsidRPr="00A552C3">
                    <w:rPr>
                      <w:b/>
                      <w:iCs/>
                      <w:sz w:val="20"/>
                    </w:rPr>
                    <w:t>Definition</w:t>
                  </w:r>
                </w:p>
              </w:tc>
            </w:tr>
            <w:tr w:rsidR="003B46CE" w:rsidRPr="00A552C3" w14:paraId="01C5799D"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4D7AEF3" w14:textId="77777777" w:rsidR="003B46CE" w:rsidRPr="00A552C3" w:rsidRDefault="003B46CE" w:rsidP="003B46CE">
                  <w:pPr>
                    <w:spacing w:after="60"/>
                    <w:rPr>
                      <w:iCs/>
                      <w:sz w:val="20"/>
                    </w:rPr>
                  </w:pPr>
                  <w:r w:rsidRPr="00A552C3">
                    <w:rPr>
                      <w:iCs/>
                      <w:sz w:val="20"/>
                    </w:rPr>
                    <w:t xml:space="preserve">SWMWAMT </w:t>
                  </w:r>
                  <w:r w:rsidRPr="00A552C3">
                    <w:rPr>
                      <w:i/>
                      <w:iCs/>
                      <w:sz w:val="20"/>
                      <w:vertAlign w:val="subscript"/>
                    </w:rPr>
                    <w:t>q, r</w:t>
                  </w:r>
                  <w:r w:rsidRPr="00A552C3">
                    <w:rPr>
                      <w:b/>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215F8B21"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9692536" w14:textId="77777777" w:rsidR="003B46CE" w:rsidRPr="00A552C3" w:rsidRDefault="003B46CE" w:rsidP="003B46CE">
                  <w:pPr>
                    <w:spacing w:after="60"/>
                    <w:rPr>
                      <w:iCs/>
                      <w:sz w:val="20"/>
                    </w:rPr>
                  </w:pPr>
                  <w:r w:rsidRPr="00A552C3">
                    <w:rPr>
                      <w:i/>
                      <w:iCs/>
                      <w:sz w:val="20"/>
                    </w:rPr>
                    <w:t>Switchable Generation Make-Whole Payment</w:t>
                  </w:r>
                  <w:r w:rsidRPr="00A552C3">
                    <w:rPr>
                      <w:iCs/>
                      <w:sz w:val="20"/>
                    </w:rPr>
                    <w:t xml:space="preserve">—The Switchable Generation Make-Whole Payment to the QSE </w:t>
                  </w:r>
                  <w:r w:rsidRPr="00A552C3">
                    <w:rPr>
                      <w:i/>
                      <w:iCs/>
                      <w:sz w:val="20"/>
                    </w:rPr>
                    <w:t>q,</w:t>
                  </w:r>
                  <w:r w:rsidRPr="00A552C3">
                    <w:rPr>
                      <w:iCs/>
                      <w:sz w:val="20"/>
                    </w:rPr>
                    <w:t xml:space="preserve"> for Resource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3B46CE" w:rsidRPr="00A552C3" w14:paraId="01CD308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D72C38" w14:textId="77777777" w:rsidR="003B46CE" w:rsidRPr="00A552C3" w:rsidRDefault="003B46CE" w:rsidP="003B46CE">
                  <w:pPr>
                    <w:spacing w:after="60"/>
                    <w:rPr>
                      <w:iCs/>
                      <w:sz w:val="20"/>
                    </w:rPr>
                  </w:pPr>
                  <w:r w:rsidRPr="00A552C3">
                    <w:rPr>
                      <w:iCs/>
                      <w:sz w:val="20"/>
                    </w:rPr>
                    <w:lastRenderedPageBreak/>
                    <w:t xml:space="preserve">SWCG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CC80BF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17F758B" w14:textId="77777777" w:rsidR="003B46CE" w:rsidRPr="00A552C3" w:rsidRDefault="003B46CE" w:rsidP="003B46CE">
                  <w:pPr>
                    <w:spacing w:after="60"/>
                    <w:rPr>
                      <w:i/>
                      <w:iCs/>
                      <w:sz w:val="20"/>
                    </w:rPr>
                  </w:pPr>
                  <w:r w:rsidRPr="00A552C3">
                    <w:rPr>
                      <w:i/>
                      <w:iCs/>
                      <w:sz w:val="20"/>
                    </w:rPr>
                    <w:t>Switchable Generation Cost Guarantee</w:t>
                  </w:r>
                  <w:r w:rsidRPr="00A552C3">
                    <w:rPr>
                      <w:iCs/>
                      <w:sz w:val="20"/>
                    </w:rPr>
                    <w:t xml:space="preserve">—The sum of eligible Startup Costs, minimum-energy costs, operating costs, and other Switchable Generation approved costs for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3A237C1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7CBC5D8" w14:textId="77777777" w:rsidR="003B46CE" w:rsidRPr="00A552C3" w:rsidRDefault="003B46CE" w:rsidP="003B46CE">
                  <w:pPr>
                    <w:spacing w:after="60"/>
                    <w:rPr>
                      <w:iCs/>
                      <w:sz w:val="20"/>
                    </w:rPr>
                  </w:pPr>
                  <w:r w:rsidRPr="00A552C3">
                    <w:rPr>
                      <w:sz w:val="20"/>
                      <w:lang w:val="pt-BR"/>
                    </w:rPr>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1F71D3A7"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CD17286" w14:textId="77777777" w:rsidR="003B46CE" w:rsidRPr="00A552C3" w:rsidRDefault="003B46CE" w:rsidP="003B46CE">
                  <w:pPr>
                    <w:spacing w:after="60"/>
                    <w:rPr>
                      <w:i/>
                      <w:iCs/>
                      <w:sz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3B46CE" w:rsidRPr="00A552C3" w14:paraId="6DFB12B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E5D1AB4" w14:textId="77777777" w:rsidR="003B46CE" w:rsidRPr="00A552C3" w:rsidRDefault="003B46CE" w:rsidP="003B46CE">
                  <w:pPr>
                    <w:spacing w:after="60"/>
                    <w:rPr>
                      <w:iCs/>
                      <w:sz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54D6781B"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42CA8271" w14:textId="77777777" w:rsidR="003B46CE" w:rsidRPr="00A552C3" w:rsidRDefault="003B46CE" w:rsidP="003B46CE">
                  <w:pPr>
                    <w:spacing w:after="60"/>
                    <w:rPr>
                      <w:i/>
                      <w:iCs/>
                      <w:sz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3B46CE" w:rsidRPr="00A552C3" w14:paraId="7BC3539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4093B36" w14:textId="77777777" w:rsidR="003B46CE" w:rsidRPr="00A552C3" w:rsidRDefault="003B46CE" w:rsidP="003B46CE">
                  <w:pPr>
                    <w:spacing w:after="60"/>
                    <w:rPr>
                      <w:iCs/>
                      <w:sz w:val="20"/>
                    </w:rPr>
                  </w:pPr>
                  <w:r w:rsidRPr="00A552C3">
                    <w:rPr>
                      <w:iCs/>
                      <w:sz w:val="20"/>
                    </w:rPr>
                    <w:t xml:space="preserve">SWSUC </w:t>
                  </w:r>
                  <w:r w:rsidRPr="00A552C3">
                    <w:rPr>
                      <w:i/>
                      <w:iCs/>
                      <w:sz w:val="20"/>
                      <w:vertAlign w:val="subscript"/>
                    </w:rPr>
                    <w:t>q ,r, d</w:t>
                  </w:r>
                  <w:r w:rsidRPr="00A552C3">
                    <w:rPr>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1316CE6"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02B64B5" w14:textId="77777777" w:rsidR="003B46CE" w:rsidRPr="00A552C3" w:rsidRDefault="003B46CE" w:rsidP="003B46CE">
                  <w:pPr>
                    <w:spacing w:after="60"/>
                    <w:rPr>
                      <w:iCs/>
                      <w:sz w:val="20"/>
                    </w:rPr>
                  </w:pPr>
                  <w:r w:rsidRPr="00A552C3">
                    <w:rPr>
                      <w:i/>
                      <w:iCs/>
                      <w:sz w:val="20"/>
                    </w:rPr>
                    <w:t>Switchable Generation</w:t>
                  </w:r>
                  <w:r w:rsidRPr="00A552C3">
                    <w:rPr>
                      <w:iCs/>
                      <w:sz w:val="20"/>
                    </w:rPr>
                    <w:t xml:space="preserve"> </w:t>
                  </w:r>
                  <w:r w:rsidRPr="00A552C3">
                    <w:rPr>
                      <w:i/>
                      <w:iCs/>
                      <w:sz w:val="20"/>
                    </w:rPr>
                    <w:t xml:space="preserve">Start-Up Cost </w:t>
                  </w:r>
                  <w:r w:rsidRPr="00A552C3">
                    <w:rPr>
                      <w:iCs/>
                      <w:sz w:val="20"/>
                    </w:rPr>
                    <w:t xml:space="preserve">—The Startup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startup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724763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6A9303" w14:textId="77777777" w:rsidR="003B46CE" w:rsidRPr="00A552C3" w:rsidRDefault="003B46CE" w:rsidP="003B46CE">
                  <w:pPr>
                    <w:spacing w:after="60"/>
                    <w:rPr>
                      <w:iCs/>
                      <w:sz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9694C3"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9D5B8EE" w14:textId="77777777" w:rsidR="003B46CE" w:rsidRPr="00A552C3" w:rsidRDefault="003B46CE" w:rsidP="003B46CE">
                  <w:pPr>
                    <w:spacing w:after="60"/>
                    <w:rPr>
                      <w:i/>
                      <w:iCs/>
                      <w:sz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3B46CE" w:rsidRPr="00A552C3" w14:paraId="036B513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CD85AE6" w14:textId="77777777" w:rsidR="003B46CE" w:rsidRPr="00A552C3" w:rsidRDefault="003B46CE" w:rsidP="003B46CE">
                  <w:pPr>
                    <w:spacing w:after="60"/>
                    <w:rPr>
                      <w:iCs/>
                      <w:sz w:val="20"/>
                    </w:rPr>
                  </w:pPr>
                  <w:r w:rsidRPr="00A552C3">
                    <w:rPr>
                      <w:sz w:val="20"/>
                    </w:rPr>
                    <w:lastRenderedPageBreak/>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323FC81"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369A9743" w14:textId="77777777" w:rsidR="003B46CE" w:rsidRPr="00A552C3" w:rsidRDefault="003B46CE" w:rsidP="003B46CE">
                  <w:pPr>
                    <w:spacing w:after="60"/>
                    <w:rPr>
                      <w:iCs/>
                      <w:sz w:val="20"/>
                    </w:rPr>
                  </w:pPr>
                  <w:r w:rsidRPr="00A552C3">
                    <w:rPr>
                      <w:i/>
                      <w:iCs/>
                      <w:sz w:val="20"/>
                    </w:rPr>
                    <w:t>Real-Time Proxy Generation per QSE per Resource by Settlement Interval</w:t>
                  </w:r>
                  <w:r w:rsidRPr="00A552C3">
                    <w:rPr>
                      <w:iCs/>
                      <w:sz w:val="20"/>
                    </w:rPr>
                    <w:t xml:space="preserve">—The Real-Time energy that was not generated in ERCOT by Combined Cycle Train,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3A9BA3B" w14:textId="77777777" w:rsidR="003B46CE" w:rsidRPr="00A552C3" w:rsidRDefault="003B46CE" w:rsidP="003B46CE">
                  <w:pPr>
                    <w:spacing w:after="60"/>
                    <w:rPr>
                      <w:iCs/>
                      <w:sz w:val="20"/>
                    </w:rPr>
                  </w:pPr>
                  <w:r w:rsidRPr="00A552C3">
                    <w:rPr>
                      <w:iCs/>
                      <w:sz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015A61EC" w14:textId="77777777" w:rsidR="003B46CE" w:rsidRPr="00A552C3" w:rsidRDefault="003B46CE" w:rsidP="003B46CE">
                  <w:pPr>
                    <w:spacing w:after="60"/>
                    <w:rPr>
                      <w:i/>
                      <w:iCs/>
                      <w:sz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3B46CE" w:rsidRPr="00A552C3" w14:paraId="2A9D871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7173A1E" w14:textId="77777777" w:rsidR="003B46CE" w:rsidRPr="00A552C3" w:rsidRDefault="003B46CE" w:rsidP="003B46CE">
                  <w:pPr>
                    <w:spacing w:after="60"/>
                    <w:rPr>
                      <w:iCs/>
                      <w:sz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11D6A65" w14:textId="77777777" w:rsidR="003B46CE" w:rsidRPr="00A552C3" w:rsidRDefault="003B46CE" w:rsidP="003B46CE">
                  <w:pPr>
                    <w:spacing w:after="60"/>
                    <w:rPr>
                      <w:iCs/>
                      <w:sz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408788F2" w14:textId="77777777" w:rsidR="003B46CE" w:rsidRPr="00A552C3" w:rsidRDefault="003B46CE" w:rsidP="003B46CE">
                  <w:pPr>
                    <w:spacing w:after="60"/>
                    <w:rPr>
                      <w:i/>
                      <w:iCs/>
                      <w:sz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3B46CE" w:rsidRPr="00A552C3" w14:paraId="73B12CC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854CC74" w14:textId="77777777" w:rsidR="003B46CE" w:rsidRPr="00A552C3" w:rsidRDefault="003B46CE" w:rsidP="003B46CE">
                  <w:pPr>
                    <w:spacing w:after="60"/>
                    <w:rPr>
                      <w:iCs/>
                      <w:sz w:val="20"/>
                    </w:rPr>
                  </w:pPr>
                  <w:r w:rsidRPr="00A552C3">
                    <w:rPr>
                      <w:sz w:val="20"/>
                    </w:rPr>
                    <w:t>SWSF</w:t>
                  </w:r>
                </w:p>
              </w:tc>
              <w:tc>
                <w:tcPr>
                  <w:tcW w:w="692" w:type="pct"/>
                  <w:tcBorders>
                    <w:top w:val="single" w:sz="6" w:space="0" w:color="auto"/>
                    <w:left w:val="single" w:sz="6" w:space="0" w:color="auto"/>
                    <w:bottom w:val="single" w:sz="6" w:space="0" w:color="auto"/>
                    <w:right w:val="single" w:sz="6" w:space="0" w:color="auto"/>
                  </w:tcBorders>
                </w:tcPr>
                <w:p w14:paraId="68348070"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1304418"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Startup Factor </w:t>
                  </w:r>
                  <w:r w:rsidRPr="00A552C3">
                    <w:rPr>
                      <w:iCs/>
                      <w:sz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B46CE" w:rsidRPr="00A552C3" w14:paraId="70476FD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F0FA2E2" w14:textId="77777777" w:rsidR="003B46CE" w:rsidRPr="00A552C3" w:rsidRDefault="003B46CE" w:rsidP="003B46CE">
                  <w:pPr>
                    <w:spacing w:after="60"/>
                    <w:rPr>
                      <w:iCs/>
                      <w:sz w:val="20"/>
                    </w:rPr>
                  </w:pPr>
                  <w:r w:rsidRPr="00A552C3">
                    <w:rPr>
                      <w:iCs/>
                      <w:sz w:val="20"/>
                    </w:rPr>
                    <w:t xml:space="preserve">SWMEC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5E8BB2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C60952C"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Minimum Energy Cost </w:t>
                  </w:r>
                  <w:r w:rsidRPr="00A552C3">
                    <w:rPr>
                      <w:iCs/>
                      <w:sz w:val="20"/>
                    </w:rPr>
                    <w:t xml:space="preserve">—The minimum energy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during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9967A6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9A16B7" w14:textId="77777777" w:rsidR="003B46CE" w:rsidRPr="00A552C3" w:rsidRDefault="003B46CE" w:rsidP="003B46CE">
                  <w:pPr>
                    <w:spacing w:after="60"/>
                    <w:rPr>
                      <w:iCs/>
                      <w:sz w:val="20"/>
                    </w:rPr>
                  </w:pPr>
                  <w:r w:rsidRPr="00A552C3">
                    <w:rPr>
                      <w:iCs/>
                      <w:sz w:val="20"/>
                    </w:rPr>
                    <w:t xml:space="preserve">SWOC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56670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FD82F9" w14:textId="77777777" w:rsidR="003B46CE" w:rsidRPr="00A552C3" w:rsidRDefault="003B46CE" w:rsidP="003B46CE">
                  <w:pPr>
                    <w:spacing w:after="60"/>
                    <w:rPr>
                      <w:i/>
                      <w:iCs/>
                      <w:sz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3B46CE" w:rsidRPr="00A552C3" w14:paraId="47955C7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CE28322" w14:textId="77777777" w:rsidR="003B46CE" w:rsidRPr="00A552C3" w:rsidRDefault="003B46CE" w:rsidP="003B46CE">
                  <w:pPr>
                    <w:spacing w:after="60"/>
                    <w:rPr>
                      <w:iCs/>
                      <w:sz w:val="20"/>
                    </w:rPr>
                  </w:pPr>
                  <w:r w:rsidRPr="00A552C3">
                    <w:rPr>
                      <w:iCs/>
                      <w:sz w:val="20"/>
                    </w:rPr>
                    <w:lastRenderedPageBreak/>
                    <w:t>SWAC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8CD6E5E"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C0FDCC6" w14:textId="77777777" w:rsidR="003B46CE" w:rsidRPr="00A552C3" w:rsidRDefault="003B46CE" w:rsidP="003B46CE">
                  <w:pPr>
                    <w:spacing w:after="60"/>
                    <w:rPr>
                      <w:iCs/>
                      <w:sz w:val="20"/>
                    </w:rPr>
                  </w:pPr>
                  <w:r w:rsidRPr="00A552C3">
                    <w:rPr>
                      <w:i/>
                      <w:iCs/>
                      <w:sz w:val="20"/>
                    </w:rPr>
                    <w:t xml:space="preserve">Switchable Generation Approved Costs – </w:t>
                  </w:r>
                  <w:r w:rsidRPr="00A552C3">
                    <w:rPr>
                      <w:iCs/>
                      <w:sz w:val="20"/>
                    </w:rPr>
                    <w:t xml:space="preserve">The total amount of the calculation of financial loss, as submitted by the QSE </w:t>
                  </w:r>
                  <w:r w:rsidRPr="00A552C3">
                    <w:rPr>
                      <w:i/>
                      <w:iCs/>
                      <w:sz w:val="20"/>
                    </w:rPr>
                    <w:t xml:space="preserve">q </w:t>
                  </w:r>
                  <w:r w:rsidRPr="00A552C3">
                    <w:rPr>
                      <w:iCs/>
                      <w:sz w:val="20"/>
                    </w:rPr>
                    <w:t>for the Resource</w:t>
                  </w:r>
                  <w:r w:rsidRPr="00A552C3">
                    <w:rPr>
                      <w:i/>
                      <w:iCs/>
                      <w:sz w:val="20"/>
                    </w:rPr>
                    <w:t xml:space="preserve"> r, </w:t>
                  </w:r>
                  <w:r w:rsidRPr="00A552C3">
                    <w:rPr>
                      <w:iCs/>
                      <w:sz w:val="20"/>
                    </w:rPr>
                    <w:t xml:space="preserve">as approved by ERCOT for the Operating Day </w:t>
                  </w:r>
                  <w:r w:rsidRPr="00A552C3">
                    <w:rPr>
                      <w:i/>
                      <w:iCs/>
                      <w:sz w:val="20"/>
                    </w:rPr>
                    <w:t>d</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6ACD86B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80A08F7" w14:textId="77777777" w:rsidR="003B46CE" w:rsidRPr="00A552C3" w:rsidRDefault="003B46CE" w:rsidP="003B46CE">
                  <w:pPr>
                    <w:spacing w:after="60"/>
                    <w:rPr>
                      <w:iCs/>
                      <w:sz w:val="20"/>
                    </w:rPr>
                  </w:pPr>
                  <w:r w:rsidRPr="00A552C3">
                    <w:rPr>
                      <w:iCs/>
                      <w:sz w:val="20"/>
                    </w:rPr>
                    <w:t>SWFC</w:t>
                  </w:r>
                  <w:r w:rsidRPr="00A552C3">
                    <w:rPr>
                      <w:i/>
                      <w:iCs/>
                      <w:sz w:val="20"/>
                      <w:vertAlign w:val="subscript"/>
                    </w:rPr>
                    <w:t xml:space="preserve"> q, r, d</w:t>
                  </w:r>
                  <w:r w:rsidRPr="00A552C3">
                    <w:rPr>
                      <w:i/>
                      <w:iCs/>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406D89A"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B062DC"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Fuel Cost </w:t>
                  </w:r>
                  <w:r w:rsidRPr="00A552C3">
                    <w:rPr>
                      <w:iCs/>
                      <w:sz w:val="20"/>
                    </w:rPr>
                    <w:t xml:space="preserve">—The incremental fuel costs and fees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 xml:space="preserve">is the Combined Cycle Train.  Incremental fuel costs must be based on those costs incurred as described in Section 9.14.9, Incremental Fuel Costs for Switchable Generation Make-Whole Payment. </w:t>
                  </w:r>
                </w:p>
              </w:tc>
            </w:tr>
            <w:tr w:rsidR="003B46CE" w:rsidRPr="00A552C3" w14:paraId="49006E8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9B6BAF4" w14:textId="77777777" w:rsidR="003B46CE" w:rsidRPr="00A552C3" w:rsidRDefault="003B46CE" w:rsidP="003B46CE">
                  <w:pPr>
                    <w:spacing w:after="60"/>
                    <w:rPr>
                      <w:iCs/>
                      <w:sz w:val="20"/>
                    </w:rPr>
                  </w:pPr>
                  <w:r w:rsidRPr="00A552C3">
                    <w:rPr>
                      <w:iCs/>
                      <w:sz w:val="20"/>
                    </w:rPr>
                    <w:t xml:space="preserve">SWFIPC </w:t>
                  </w:r>
                  <w:r w:rsidRPr="00A552C3">
                    <w:rPr>
                      <w:i/>
                      <w:iCs/>
                      <w:sz w:val="20"/>
                      <w:vertAlign w:val="subscript"/>
                    </w:rPr>
                    <w:t>q, r, d</w:t>
                  </w:r>
                  <w:r w:rsidRPr="00A552C3">
                    <w:rPr>
                      <w:i/>
                      <w:iCs/>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222F08C5"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1703726" w14:textId="77777777" w:rsidR="003B46CE" w:rsidRPr="00A552C3" w:rsidRDefault="003B46CE" w:rsidP="003B46CE">
                  <w:pPr>
                    <w:spacing w:after="60"/>
                    <w:rPr>
                      <w:i/>
                      <w:iCs/>
                      <w:sz w:val="20"/>
                    </w:rPr>
                  </w:pPr>
                  <w:r w:rsidRPr="00A552C3">
                    <w:rPr>
                      <w:i/>
                      <w:iCs/>
                      <w:sz w:val="20"/>
                    </w:rPr>
                    <w:t>Switchable Generator Fuel Imbalance Penalty Cost</w:t>
                  </w:r>
                  <w:r w:rsidRPr="00A552C3">
                    <w:rPr>
                      <w:iCs/>
                      <w:sz w:val="20"/>
                    </w:rPr>
                    <w:t xml:space="preserve"> —The fuel imbalance penalty cost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rPr>
                    <w:t>r</w:t>
                  </w:r>
                  <w:r w:rsidRPr="00A552C3">
                    <w:rPr>
                      <w:iCs/>
                      <w:sz w:val="20"/>
                    </w:rPr>
                    <w:t xml:space="preserve"> is the Combined Cycle Train.</w:t>
                  </w:r>
                </w:p>
              </w:tc>
            </w:tr>
            <w:tr w:rsidR="003B46CE" w:rsidRPr="00A552C3" w14:paraId="20D502D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9CA342" w14:textId="77777777" w:rsidR="003B46CE" w:rsidRPr="00A552C3" w:rsidRDefault="003B46CE" w:rsidP="003B46CE">
                  <w:pPr>
                    <w:spacing w:after="60"/>
                    <w:rPr>
                      <w:iCs/>
                      <w:sz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42FF019"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E1AAFBF"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3B46CE" w:rsidRPr="00A552C3" w14:paraId="7DE576E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6DB8EE9" w14:textId="77777777" w:rsidR="003B46CE" w:rsidRPr="00A552C3" w:rsidRDefault="003B46CE" w:rsidP="003B46CE">
                  <w:pPr>
                    <w:spacing w:after="60"/>
                    <w:rPr>
                      <w:iCs/>
                      <w:sz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0064414"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1B6E9F64"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B46CE" w:rsidRPr="00A552C3" w14:paraId="256C9A1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7103365" w14:textId="77777777" w:rsidR="003B46CE" w:rsidRPr="00A552C3" w:rsidRDefault="003B46CE" w:rsidP="003B46CE">
                  <w:pPr>
                    <w:spacing w:after="60"/>
                    <w:rPr>
                      <w:iCs/>
                      <w:sz w:val="20"/>
                      <w:lang w:val="pt-BR"/>
                    </w:rPr>
                  </w:pPr>
                  <w:r w:rsidRPr="00A552C3">
                    <w:rPr>
                      <w:iCs/>
                      <w:sz w:val="20"/>
                      <w:lang w:val="pt-BR"/>
                    </w:rPr>
                    <w:t>SWMWDC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39086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A8B84A6"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Make-Whole Payment Distribution Cost </w:t>
                  </w:r>
                  <w:r w:rsidRPr="00A552C3">
                    <w:rPr>
                      <w:iCs/>
                      <w:sz w:val="20"/>
                    </w:rPr>
                    <w:t>—The</w:t>
                  </w:r>
                  <w:r w:rsidRPr="00A552C3" w:rsidDel="00E21E0A">
                    <w:rPr>
                      <w:iCs/>
                      <w:sz w:val="20"/>
                    </w:rPr>
                    <w:t xml:space="preserve"> </w:t>
                  </w:r>
                  <w:r w:rsidRPr="00A552C3">
                    <w:rPr>
                      <w:iCs/>
                      <w:sz w:val="20"/>
                    </w:rPr>
                    <w:t>Make-Whole Payment distribution costs</w:t>
                  </w:r>
                  <w:r w:rsidRPr="00A552C3">
                    <w:rPr>
                      <w:i/>
                      <w:iCs/>
                      <w:sz w:val="20"/>
                    </w:rPr>
                    <w:t xml:space="preserve"> </w:t>
                  </w:r>
                  <w:r w:rsidRPr="00A552C3">
                    <w:rPr>
                      <w:iCs/>
                      <w:sz w:val="20"/>
                    </w:rPr>
                    <w:t xml:space="preserve">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Make-Whole Payment distribution costs represent charges from non-ERCOT Control Area from the time of shutdown in the other grid to two hours following the time ERCOT released the Resource.</w:t>
                  </w:r>
                </w:p>
              </w:tc>
            </w:tr>
            <w:tr w:rsidR="003B46CE" w:rsidRPr="00A552C3" w14:paraId="46DDE70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25F35C6" w14:textId="77777777" w:rsidR="003B46CE" w:rsidRPr="00A552C3" w:rsidRDefault="003B46CE" w:rsidP="003B46CE">
                  <w:pPr>
                    <w:spacing w:after="60"/>
                    <w:rPr>
                      <w:iCs/>
                      <w:sz w:val="20"/>
                    </w:rPr>
                  </w:pPr>
                  <w:r w:rsidRPr="00A552C3">
                    <w:rPr>
                      <w:iCs/>
                      <w:sz w:val="20"/>
                      <w:lang w:val="pt-BR"/>
                    </w:rPr>
                    <w:t>SWRTREV</w:t>
                  </w:r>
                  <w:r w:rsidRPr="00A552C3">
                    <w:rPr>
                      <w:i/>
                      <w:iCs/>
                      <w:sz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99EBE3B"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49F493FB" w14:textId="77777777" w:rsidR="003B46CE" w:rsidRPr="00A552C3" w:rsidRDefault="003B46CE" w:rsidP="003B46CE">
                  <w:pPr>
                    <w:spacing w:after="60"/>
                    <w:rPr>
                      <w:iCs/>
                      <w:sz w:val="20"/>
                    </w:rPr>
                  </w:pPr>
                  <w:r w:rsidRPr="00A552C3">
                    <w:rPr>
                      <w:i/>
                      <w:iCs/>
                      <w:sz w:val="20"/>
                    </w:rPr>
                    <w:t xml:space="preserve">Switchable Generation Real-Time Revenues – </w:t>
                  </w:r>
                  <w:r w:rsidRPr="00A552C3">
                    <w:rPr>
                      <w:iCs/>
                      <w:sz w:val="20"/>
                    </w:rPr>
                    <w:t xml:space="preserve">The sum of energy revenues for the Resource </w:t>
                  </w:r>
                  <w:r w:rsidRPr="00A552C3">
                    <w:rPr>
                      <w:i/>
                      <w:iCs/>
                      <w:sz w:val="20"/>
                    </w:rPr>
                    <w:t xml:space="preserve">r, </w:t>
                  </w:r>
                  <w:r w:rsidRPr="00A552C3">
                    <w:rPr>
                      <w:iCs/>
                      <w:sz w:val="20"/>
                    </w:rPr>
                    <w:t xml:space="preserve">represented by QSE </w:t>
                  </w:r>
                  <w:r w:rsidRPr="00A552C3">
                    <w:rPr>
                      <w:i/>
                      <w:iCs/>
                      <w:sz w:val="20"/>
                    </w:rPr>
                    <w:t xml:space="preserve">q, </w:t>
                  </w:r>
                  <w:r w:rsidRPr="00A552C3">
                    <w:rPr>
                      <w:iCs/>
                      <w:sz w:val="20"/>
                    </w:rPr>
                    <w:t xml:space="preserve">during all instructed hours for the Operating Day </w:t>
                  </w:r>
                  <w:r w:rsidRPr="00A552C3">
                    <w:rPr>
                      <w:i/>
                      <w:iCs/>
                      <w:sz w:val="20"/>
                    </w:rPr>
                    <w:t xml:space="preserve">d. </w:t>
                  </w:r>
                  <w:r w:rsidRPr="00A552C3">
                    <w:rPr>
                      <w:iCs/>
                      <w:sz w:val="20"/>
                    </w:rPr>
                    <w:t xml:space="preserve"> Where for a Combined Cycle Train, Resource</w:t>
                  </w:r>
                  <w:r w:rsidRPr="00A552C3">
                    <w:rPr>
                      <w:i/>
                      <w:iCs/>
                      <w:sz w:val="20"/>
                    </w:rPr>
                    <w:t xml:space="preserve"> r </w:t>
                  </w:r>
                  <w:r w:rsidRPr="00A552C3">
                    <w:rPr>
                      <w:iCs/>
                      <w:sz w:val="20"/>
                    </w:rPr>
                    <w:t>is the Combined Cycle Train.</w:t>
                  </w:r>
                </w:p>
              </w:tc>
            </w:tr>
            <w:tr w:rsidR="003B46CE" w:rsidRPr="00A552C3" w14:paraId="2EEFEFE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9F44E55" w14:textId="77777777" w:rsidR="003B46CE" w:rsidRPr="00A552C3" w:rsidRDefault="003B46CE" w:rsidP="003B46CE">
                  <w:pPr>
                    <w:spacing w:after="60"/>
                    <w:rPr>
                      <w:iCs/>
                      <w:sz w:val="20"/>
                    </w:rPr>
                  </w:pPr>
                  <w:r w:rsidRPr="00A552C3">
                    <w:rPr>
                      <w:iCs/>
                      <w:sz w:val="20"/>
                    </w:rPr>
                    <w:lastRenderedPageBreak/>
                    <w:t xml:space="preserve">GASPERSU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C6DF07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60AEDA0C" w14:textId="77777777" w:rsidR="003B46CE" w:rsidRPr="00A552C3" w:rsidRDefault="003B46CE" w:rsidP="003B46CE">
                  <w:pPr>
                    <w:spacing w:after="60"/>
                    <w:rPr>
                      <w:i/>
                      <w:iCs/>
                      <w:sz w:val="20"/>
                    </w:rPr>
                  </w:pPr>
                  <w:r w:rsidRPr="00A552C3">
                    <w:rPr>
                      <w:i/>
                      <w:iCs/>
                      <w:sz w:val="20"/>
                    </w:rPr>
                    <w:t>Percent of Natural Gas to Operate per Start</w:t>
                  </w:r>
                  <w:r w:rsidRPr="00A552C3">
                    <w:rPr>
                      <w:iCs/>
                      <w:sz w:val="20"/>
                    </w:rPr>
                    <w:t xml:space="preserve">—The percentage of natural gas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88A2DF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5D24555" w14:textId="77777777" w:rsidR="003B46CE" w:rsidRPr="00A552C3" w:rsidRDefault="003B46CE" w:rsidP="003B46CE">
                  <w:pPr>
                    <w:spacing w:after="60"/>
                    <w:rPr>
                      <w:iCs/>
                      <w:sz w:val="20"/>
                    </w:rPr>
                  </w:pPr>
                  <w:r w:rsidRPr="00A552C3">
                    <w:rPr>
                      <w:iCs/>
                      <w:sz w:val="20"/>
                    </w:rPr>
                    <w:t xml:space="preserve">OILPERSU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EBAA95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A004CAC" w14:textId="77777777" w:rsidR="003B46CE" w:rsidRPr="00A552C3" w:rsidRDefault="003B46CE" w:rsidP="003B46CE">
                  <w:pPr>
                    <w:spacing w:after="60"/>
                    <w:rPr>
                      <w:i/>
                      <w:iCs/>
                      <w:sz w:val="20"/>
                    </w:rPr>
                  </w:pPr>
                  <w:r w:rsidRPr="00A552C3">
                    <w:rPr>
                      <w:i/>
                      <w:iCs/>
                      <w:sz w:val="20"/>
                    </w:rPr>
                    <w:t>Percent of Oil to Operate per Start</w:t>
                  </w:r>
                  <w:r w:rsidRPr="00A552C3">
                    <w:rPr>
                      <w:iCs/>
                      <w:sz w:val="20"/>
                    </w:rPr>
                    <w:t xml:space="preserve">—The percentage of fuel oil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AB36C9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81126A8" w14:textId="77777777" w:rsidR="003B46CE" w:rsidRPr="00A552C3" w:rsidRDefault="003B46CE" w:rsidP="003B46CE">
                  <w:pPr>
                    <w:spacing w:after="60"/>
                    <w:rPr>
                      <w:iCs/>
                      <w:sz w:val="20"/>
                    </w:rPr>
                  </w:pPr>
                  <w:r w:rsidRPr="00A552C3">
                    <w:rPr>
                      <w:iCs/>
                      <w:sz w:val="20"/>
                    </w:rPr>
                    <w:t xml:space="preserve">SFPERSU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504C60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32E1A4B" w14:textId="77777777" w:rsidR="003B46CE" w:rsidRPr="00A552C3" w:rsidRDefault="003B46CE" w:rsidP="003B46CE">
                  <w:pPr>
                    <w:spacing w:after="60"/>
                    <w:rPr>
                      <w:i/>
                      <w:iCs/>
                      <w:sz w:val="20"/>
                    </w:rPr>
                  </w:pPr>
                  <w:r w:rsidRPr="00A552C3">
                    <w:rPr>
                      <w:i/>
                      <w:iCs/>
                      <w:sz w:val="20"/>
                    </w:rPr>
                    <w:t>Percent of Solid Fuel to Operate per Start</w:t>
                  </w:r>
                  <w:r w:rsidRPr="00A552C3">
                    <w:rPr>
                      <w:iCs/>
                      <w:sz w:val="20"/>
                    </w:rPr>
                    <w:t xml:space="preserve">—The percentage of solid fuel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00F637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05A93D0" w14:textId="77777777" w:rsidR="003B46CE" w:rsidRPr="00A552C3" w:rsidRDefault="003B46CE" w:rsidP="003B46CE">
                  <w:pPr>
                    <w:spacing w:after="60"/>
                    <w:rPr>
                      <w:iCs/>
                      <w:sz w:val="20"/>
                    </w:rPr>
                  </w:pPr>
                  <w:r w:rsidRPr="00A552C3">
                    <w:rPr>
                      <w:iCs/>
                      <w:sz w:val="20"/>
                    </w:rPr>
                    <w:t xml:space="preserve">GASPERME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DE53EB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EA30BFA" w14:textId="77777777" w:rsidR="003B46CE" w:rsidRPr="00A552C3" w:rsidRDefault="003B46CE" w:rsidP="003B46CE">
                  <w:pPr>
                    <w:spacing w:after="60"/>
                    <w:rPr>
                      <w:iCs/>
                      <w:sz w:val="20"/>
                    </w:rPr>
                  </w:pPr>
                  <w:r w:rsidRPr="00A552C3">
                    <w:rPr>
                      <w:i/>
                      <w:iCs/>
                      <w:sz w:val="20"/>
                    </w:rPr>
                    <w:t>Percent of Natural Gas to Operate at LSL</w:t>
                  </w:r>
                  <w:r w:rsidRPr="00A552C3">
                    <w:rPr>
                      <w:iCs/>
                      <w:sz w:val="20"/>
                    </w:rPr>
                    <w:t xml:space="preserve">—The percentage of natural gas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7D5F701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966B5EC" w14:textId="77777777" w:rsidR="003B46CE" w:rsidRPr="00A552C3" w:rsidRDefault="003B46CE" w:rsidP="003B46CE">
                  <w:pPr>
                    <w:spacing w:after="60"/>
                    <w:rPr>
                      <w:iCs/>
                      <w:sz w:val="20"/>
                    </w:rPr>
                  </w:pPr>
                  <w:r w:rsidRPr="00A552C3">
                    <w:rPr>
                      <w:iCs/>
                      <w:sz w:val="20"/>
                    </w:rPr>
                    <w:t xml:space="preserve">OILPERME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45E10B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37B3876F" w14:textId="77777777" w:rsidR="003B46CE" w:rsidRPr="00A552C3" w:rsidRDefault="003B46CE" w:rsidP="003B46CE">
                  <w:pPr>
                    <w:spacing w:after="60"/>
                    <w:rPr>
                      <w:iCs/>
                      <w:sz w:val="20"/>
                    </w:rPr>
                  </w:pPr>
                  <w:r w:rsidRPr="00A552C3">
                    <w:rPr>
                      <w:i/>
                      <w:iCs/>
                      <w:sz w:val="20"/>
                    </w:rPr>
                    <w:t>Percent of Oil to Operate at LSL</w:t>
                  </w:r>
                  <w:r w:rsidRPr="00A552C3">
                    <w:rPr>
                      <w:iCs/>
                      <w:sz w:val="20"/>
                    </w:rPr>
                    <w:t xml:space="preserve">—The percentage of fuel oil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7FD441E"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15BCFC3" w14:textId="77777777" w:rsidR="003B46CE" w:rsidRPr="00A552C3" w:rsidRDefault="003B46CE" w:rsidP="003B46CE">
                  <w:pPr>
                    <w:spacing w:after="60"/>
                    <w:rPr>
                      <w:iCs/>
                      <w:sz w:val="20"/>
                    </w:rPr>
                  </w:pPr>
                  <w:r w:rsidRPr="00A552C3">
                    <w:rPr>
                      <w:iCs/>
                      <w:sz w:val="20"/>
                    </w:rPr>
                    <w:t xml:space="preserve">SFPERME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A3E48AD" w14:textId="77777777" w:rsidR="003B46CE" w:rsidRPr="00A552C3" w:rsidRDefault="003B46CE" w:rsidP="003B46CE">
                  <w:pPr>
                    <w:spacing w:after="60"/>
                    <w:rPr>
                      <w:iCs/>
                      <w:sz w:val="20"/>
                    </w:rPr>
                  </w:pPr>
                  <w:r w:rsidRPr="00A552C3">
                    <w:rPr>
                      <w:iCs/>
                      <w:sz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276F0B5" w14:textId="77777777" w:rsidR="003B46CE" w:rsidRPr="00A552C3" w:rsidRDefault="003B46CE" w:rsidP="003B46CE">
                  <w:pPr>
                    <w:spacing w:after="60"/>
                    <w:rPr>
                      <w:iCs/>
                      <w:sz w:val="20"/>
                    </w:rPr>
                  </w:pPr>
                  <w:r w:rsidRPr="00A552C3">
                    <w:rPr>
                      <w:i/>
                      <w:iCs/>
                      <w:sz w:val="20"/>
                    </w:rPr>
                    <w:t>Percent of Solid Fuel to Operate at LSL</w:t>
                  </w:r>
                  <w:r w:rsidRPr="00A552C3">
                    <w:rPr>
                      <w:iCs/>
                      <w:sz w:val="20"/>
                    </w:rPr>
                    <w:t xml:space="preserve">—The percentage of solid fuel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1B293C6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A2B101D" w14:textId="77777777" w:rsidR="003B46CE" w:rsidRPr="00A552C3" w:rsidRDefault="003B46CE" w:rsidP="003B46CE">
                  <w:pPr>
                    <w:spacing w:after="60"/>
                    <w:rPr>
                      <w:iCs/>
                      <w:sz w:val="20"/>
                    </w:rPr>
                  </w:pPr>
                  <w:r w:rsidRPr="00A552C3">
                    <w:rPr>
                      <w:iCs/>
                      <w:sz w:val="20"/>
                    </w:rPr>
                    <w:t xml:space="preserve">DAFCRS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115DA83" w14:textId="77777777" w:rsidR="003B46CE" w:rsidRPr="00A552C3" w:rsidRDefault="003B46CE" w:rsidP="003B46CE">
                  <w:pPr>
                    <w:spacing w:after="60"/>
                    <w:rPr>
                      <w:iCs/>
                      <w:sz w:val="20"/>
                    </w:rPr>
                  </w:pPr>
                  <w:r w:rsidRPr="00A552C3">
                    <w:rPr>
                      <w:iCs/>
                      <w:sz w:val="20"/>
                    </w:rPr>
                    <w:t>MMBtu/Start</w:t>
                  </w:r>
                </w:p>
              </w:tc>
              <w:tc>
                <w:tcPr>
                  <w:tcW w:w="3342" w:type="pct"/>
                  <w:tcBorders>
                    <w:top w:val="single" w:sz="6" w:space="0" w:color="auto"/>
                    <w:left w:val="single" w:sz="6" w:space="0" w:color="auto"/>
                    <w:bottom w:val="single" w:sz="6" w:space="0" w:color="auto"/>
                    <w:right w:val="single" w:sz="4" w:space="0" w:color="auto"/>
                  </w:tcBorders>
                </w:tcPr>
                <w:p w14:paraId="2E6CB359" w14:textId="77777777" w:rsidR="003B46CE" w:rsidRPr="00A552C3" w:rsidRDefault="003B46CE" w:rsidP="003B46CE">
                  <w:pPr>
                    <w:spacing w:after="60"/>
                    <w:rPr>
                      <w:i/>
                      <w:iCs/>
                      <w:sz w:val="20"/>
                    </w:rPr>
                  </w:pPr>
                  <w:r w:rsidRPr="00A552C3">
                    <w:rPr>
                      <w:i/>
                      <w:iCs/>
                      <w:sz w:val="20"/>
                    </w:rPr>
                    <w:t>Day-Ahead Actual Fuel Consumption Rate per Start</w:t>
                  </w:r>
                  <w:r w:rsidRPr="00A552C3">
                    <w:rPr>
                      <w:iCs/>
                      <w:sz w:val="20"/>
                    </w:rPr>
                    <w:t xml:space="preserve">—The actual fuel consumption rate for Resource </w:t>
                  </w:r>
                  <w:r w:rsidRPr="00A552C3">
                    <w:rPr>
                      <w:i/>
                      <w:iCs/>
                      <w:sz w:val="20"/>
                    </w:rPr>
                    <w:t>r</w:t>
                  </w:r>
                  <w:r w:rsidRPr="00A552C3">
                    <w:rPr>
                      <w:iCs/>
                      <w:sz w:val="20"/>
                    </w:rPr>
                    <w:t xml:space="preserve"> to startup per start type </w:t>
                  </w:r>
                  <w:r w:rsidRPr="00A552C3">
                    <w:rPr>
                      <w:i/>
                      <w:iCs/>
                      <w:sz w:val="20"/>
                    </w:rPr>
                    <w:t>s</w:t>
                  </w:r>
                  <w:r w:rsidRPr="00A552C3">
                    <w:rPr>
                      <w:iCs/>
                      <w:sz w:val="20"/>
                    </w:rPr>
                    <w:t xml:space="preserve">, adjusted by VOXR as defined in the Verifiable Cost Manual.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3.3, Startup Fuel Consumption.</w:t>
                  </w:r>
                </w:p>
              </w:tc>
            </w:tr>
            <w:tr w:rsidR="003B46CE" w:rsidRPr="00A552C3" w14:paraId="4DA7F173"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7FF9B9B" w14:textId="77777777" w:rsidR="003B46CE" w:rsidRPr="00A552C3" w:rsidRDefault="003B46CE" w:rsidP="003B46CE">
                  <w:pPr>
                    <w:spacing w:after="60"/>
                    <w:rPr>
                      <w:iCs/>
                      <w:sz w:val="20"/>
                    </w:rPr>
                  </w:pPr>
                  <w:r w:rsidRPr="00A552C3">
                    <w:rPr>
                      <w:iCs/>
                      <w:sz w:val="20"/>
                    </w:rPr>
                    <w:t xml:space="preserve">VOMS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014EC4" w14:textId="77777777" w:rsidR="003B46CE" w:rsidRPr="00A552C3" w:rsidRDefault="003B46CE" w:rsidP="003B46CE">
                  <w:pPr>
                    <w:spacing w:after="60"/>
                    <w:rPr>
                      <w:iCs/>
                      <w:sz w:val="20"/>
                    </w:rPr>
                  </w:pPr>
                  <w:r w:rsidRPr="00A552C3">
                    <w:rPr>
                      <w:sz w:val="20"/>
                    </w:rPr>
                    <w:t>$/Start</w:t>
                  </w:r>
                </w:p>
              </w:tc>
              <w:tc>
                <w:tcPr>
                  <w:tcW w:w="3342" w:type="pct"/>
                  <w:tcBorders>
                    <w:top w:val="single" w:sz="6" w:space="0" w:color="auto"/>
                    <w:left w:val="single" w:sz="6" w:space="0" w:color="auto"/>
                    <w:bottom w:val="single" w:sz="6" w:space="0" w:color="auto"/>
                    <w:right w:val="single" w:sz="4" w:space="0" w:color="auto"/>
                  </w:tcBorders>
                </w:tcPr>
                <w:p w14:paraId="01379DA8" w14:textId="77777777" w:rsidR="003B46CE" w:rsidRPr="00A552C3" w:rsidRDefault="003B46CE" w:rsidP="003B46CE">
                  <w:pPr>
                    <w:spacing w:after="60"/>
                    <w:rPr>
                      <w:i/>
                      <w:iCs/>
                      <w:sz w:val="20"/>
                    </w:rPr>
                  </w:pPr>
                  <w:r w:rsidRPr="00A552C3">
                    <w:rPr>
                      <w:i/>
                      <w:sz w:val="20"/>
                    </w:rPr>
                    <w:t>Variable Operations and Maintenance Cost per Start</w:t>
                  </w:r>
                  <w:r w:rsidRPr="00A552C3">
                    <w:rPr>
                      <w:iCs/>
                      <w:sz w:val="20"/>
                    </w:rPr>
                    <w:t>—</w:t>
                  </w:r>
                  <w:r w:rsidRPr="00A552C3">
                    <w:rPr>
                      <w:sz w:val="20"/>
                    </w:rPr>
                    <w:t xml:space="preserve">The operations and maintenance cost for Resource </w:t>
                  </w:r>
                  <w:r w:rsidRPr="00A552C3">
                    <w:rPr>
                      <w:i/>
                      <w:sz w:val="20"/>
                    </w:rPr>
                    <w:t>r</w:t>
                  </w:r>
                  <w:r w:rsidRPr="00A552C3">
                    <w:rPr>
                      <w:sz w:val="20"/>
                    </w:rPr>
                    <w:t xml:space="preserve"> to startup, per start </w:t>
                  </w:r>
                  <w:r w:rsidRPr="00A552C3">
                    <w:rPr>
                      <w:i/>
                      <w:sz w:val="20"/>
                    </w:rPr>
                    <w:t>s</w:t>
                  </w:r>
                  <w:r w:rsidRPr="00A552C3">
                    <w:rPr>
                      <w:sz w:val="20"/>
                    </w:rPr>
                    <w:t xml:space="preserve">, including an adjustment for emissions costs.  Where for a Combined Cycle Train, the Resource </w:t>
                  </w:r>
                  <w:r w:rsidRPr="00A552C3">
                    <w:rPr>
                      <w:i/>
                      <w:sz w:val="20"/>
                    </w:rPr>
                    <w:t>r</w:t>
                  </w:r>
                  <w:r w:rsidRPr="00A552C3">
                    <w:rPr>
                      <w:sz w:val="20"/>
                    </w:rPr>
                    <w:t xml:space="preserve"> is a Combined Cycle Generation Resource within the Combined Cycle Train.  For additional information, see Verifiable Cost Manual Section 3.2, Submitting Startup Costs.</w:t>
                  </w:r>
                </w:p>
              </w:tc>
            </w:tr>
            <w:tr w:rsidR="003B46CE" w:rsidRPr="00A552C3" w14:paraId="5D4BB63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EE6A431" w14:textId="77777777" w:rsidR="003B46CE" w:rsidRPr="00A552C3" w:rsidRDefault="003B46CE" w:rsidP="003B46CE">
                  <w:pPr>
                    <w:spacing w:after="60"/>
                    <w:rPr>
                      <w:iCs/>
                      <w:sz w:val="20"/>
                    </w:rPr>
                  </w:pPr>
                  <w:r w:rsidRPr="00A552C3">
                    <w:rPr>
                      <w:iCs/>
                      <w:sz w:val="20"/>
                    </w:rPr>
                    <w:t xml:space="preserve">VOMLSL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135C1D2"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6595CD8" w14:textId="77777777" w:rsidR="003B46CE" w:rsidRPr="00A552C3" w:rsidRDefault="003B46CE" w:rsidP="003B46CE">
                  <w:pPr>
                    <w:spacing w:after="60"/>
                    <w:rPr>
                      <w:i/>
                      <w:iCs/>
                      <w:sz w:val="20"/>
                    </w:rPr>
                  </w:pPr>
                  <w:r w:rsidRPr="00A552C3">
                    <w:rPr>
                      <w:i/>
                      <w:iCs/>
                      <w:sz w:val="20"/>
                    </w:rPr>
                    <w:t>Variable Operations and Maintenance Cost at LSL</w:t>
                  </w:r>
                  <w:r w:rsidRPr="00A552C3">
                    <w:rPr>
                      <w:iCs/>
                      <w:sz w:val="20"/>
                    </w:rPr>
                    <w:t xml:space="preserve">—The operations and maintenance cost for Resource </w:t>
                  </w:r>
                  <w:r w:rsidRPr="00A552C3">
                    <w:rPr>
                      <w:i/>
                      <w:iCs/>
                      <w:sz w:val="20"/>
                    </w:rPr>
                    <w:t>r</w:t>
                  </w:r>
                  <w:r w:rsidRPr="00A552C3">
                    <w:rPr>
                      <w:iCs/>
                      <w:sz w:val="20"/>
                    </w:rPr>
                    <w:t xml:space="preserve"> to operate at LSL, including an adjustment for emissions costs.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4.2, Submitting Minimum Energy Costs.</w:t>
                  </w:r>
                </w:p>
              </w:tc>
            </w:tr>
            <w:tr w:rsidR="003B46CE" w:rsidRPr="00A552C3" w14:paraId="0A52EDC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C9A3D9D" w14:textId="77777777" w:rsidR="003B46CE" w:rsidRPr="00A552C3" w:rsidRDefault="003B46CE" w:rsidP="003B46CE">
                  <w:pPr>
                    <w:spacing w:after="60"/>
                    <w:rPr>
                      <w:iCs/>
                      <w:sz w:val="20"/>
                    </w:rPr>
                  </w:pPr>
                  <w:r w:rsidRPr="00A552C3">
                    <w:rPr>
                      <w:iCs/>
                      <w:sz w:val="20"/>
                    </w:rPr>
                    <w:t xml:space="preserve">LSL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43A7D84" w14:textId="77777777" w:rsidR="003B46CE" w:rsidRPr="00A552C3" w:rsidRDefault="003B46CE" w:rsidP="003B46CE">
                  <w:pPr>
                    <w:spacing w:after="60"/>
                    <w:rPr>
                      <w:iCs/>
                      <w:sz w:val="20"/>
                    </w:rPr>
                  </w:pPr>
                  <w:r w:rsidRPr="00A552C3">
                    <w:rPr>
                      <w:iCs/>
                      <w:sz w:val="20"/>
                    </w:rPr>
                    <w:t>MW</w:t>
                  </w:r>
                </w:p>
              </w:tc>
              <w:tc>
                <w:tcPr>
                  <w:tcW w:w="3342" w:type="pct"/>
                  <w:tcBorders>
                    <w:top w:val="single" w:sz="6" w:space="0" w:color="auto"/>
                    <w:left w:val="single" w:sz="6" w:space="0" w:color="auto"/>
                    <w:bottom w:val="single" w:sz="6" w:space="0" w:color="auto"/>
                    <w:right w:val="single" w:sz="4" w:space="0" w:color="auto"/>
                  </w:tcBorders>
                </w:tcPr>
                <w:p w14:paraId="52EDDD63" w14:textId="77777777" w:rsidR="003B46CE" w:rsidRPr="00A552C3" w:rsidRDefault="003B46CE" w:rsidP="003B46CE">
                  <w:pPr>
                    <w:spacing w:after="60"/>
                    <w:rPr>
                      <w:i/>
                      <w:iCs/>
                      <w:sz w:val="20"/>
                    </w:rPr>
                  </w:pPr>
                  <w:r w:rsidRPr="00A552C3">
                    <w:rPr>
                      <w:i/>
                      <w:iCs/>
                      <w:sz w:val="20"/>
                    </w:rPr>
                    <w:t>Low Sustained Limit</w:t>
                  </w:r>
                  <w:r w:rsidRPr="00A552C3">
                    <w:rPr>
                      <w:iCs/>
                      <w:sz w:val="20"/>
                    </w:rPr>
                    <w:t xml:space="preserve">—The LSL of Generation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hour that includes the Settlement Interval </w:t>
                  </w:r>
                  <w:r w:rsidRPr="00A552C3">
                    <w:rPr>
                      <w:i/>
                      <w:iCs/>
                      <w:sz w:val="20"/>
                    </w:rPr>
                    <w:t>i</w:t>
                  </w:r>
                  <w:r w:rsidRPr="00A552C3">
                    <w:rPr>
                      <w:iCs/>
                      <w:sz w:val="20"/>
                    </w:rPr>
                    <w:t xml:space="preserve">, as submitted in the COP.  Where for a Combined Cycle Train, the Resource </w:t>
                  </w:r>
                  <w:r w:rsidRPr="00A552C3">
                    <w:rPr>
                      <w:i/>
                      <w:iCs/>
                      <w:sz w:val="20"/>
                    </w:rPr>
                    <w:t>r</w:t>
                  </w:r>
                  <w:r w:rsidRPr="00A552C3">
                    <w:rPr>
                      <w:iCs/>
                      <w:sz w:val="20"/>
                    </w:rPr>
                    <w:t xml:space="preserve"> is a Combined Cycle Generation Resource within the Combined Cycle Train.  </w:t>
                  </w:r>
                </w:p>
              </w:tc>
            </w:tr>
            <w:tr w:rsidR="003B46CE" w:rsidRPr="00A552C3" w14:paraId="7290A5A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A793B85" w14:textId="77777777" w:rsidR="003B46CE" w:rsidRPr="00A552C3" w:rsidRDefault="003B46CE" w:rsidP="003B46CE">
                  <w:pPr>
                    <w:spacing w:after="60"/>
                    <w:rPr>
                      <w:iCs/>
                      <w:sz w:val="20"/>
                    </w:rPr>
                  </w:pPr>
                  <w:r w:rsidRPr="00A552C3">
                    <w:rPr>
                      <w:iCs/>
                      <w:sz w:val="20"/>
                    </w:rPr>
                    <w:lastRenderedPageBreak/>
                    <w:t xml:space="preserve">RTMG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7ED2EB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3124F9D1" w14:textId="77777777" w:rsidR="003B46CE" w:rsidRPr="00A552C3" w:rsidRDefault="003B46CE" w:rsidP="003B46CE">
                  <w:pPr>
                    <w:spacing w:after="60"/>
                    <w:rPr>
                      <w:i/>
                      <w:iCs/>
                      <w:sz w:val="20"/>
                    </w:rPr>
                  </w:pPr>
                  <w:r w:rsidRPr="00A552C3">
                    <w:rPr>
                      <w:i/>
                      <w:iCs/>
                      <w:sz w:val="20"/>
                    </w:rPr>
                    <w:t>Real-Time Metered Generation per QSE per Resource by Settlement Interval by hour</w:t>
                  </w:r>
                  <w:r w:rsidRPr="00A552C3">
                    <w:rPr>
                      <w:iCs/>
                      <w:sz w:val="20"/>
                    </w:rPr>
                    <w:t xml:space="preserve">—The Real-Time energy from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50B3839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22F2878" w14:textId="77777777" w:rsidR="003B46CE" w:rsidRPr="00A552C3" w:rsidRDefault="003B46CE" w:rsidP="003B46CE">
                  <w:pPr>
                    <w:spacing w:after="60"/>
                    <w:rPr>
                      <w:iCs/>
                      <w:sz w:val="20"/>
                    </w:rPr>
                  </w:pPr>
                  <w:r w:rsidRPr="00A552C3">
                    <w:rPr>
                      <w:iCs/>
                      <w:sz w:val="20"/>
                    </w:rPr>
                    <w:t xml:space="preserve">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305DBB"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1888BC7B" w14:textId="77777777" w:rsidR="003B46CE" w:rsidRPr="00A552C3" w:rsidRDefault="003B46CE" w:rsidP="003B46CE">
                  <w:pPr>
                    <w:spacing w:after="60"/>
                    <w:rPr>
                      <w:i/>
                      <w:iCs/>
                      <w:sz w:val="20"/>
                    </w:rPr>
                  </w:pPr>
                  <w:r w:rsidRPr="00A552C3">
                    <w:rPr>
                      <w:i/>
                      <w:iCs/>
                      <w:sz w:val="20"/>
                    </w:rPr>
                    <w:t>Average Heat Rate per Resource</w:t>
                  </w:r>
                  <w:r w:rsidRPr="00A552C3">
                    <w:rPr>
                      <w:iCs/>
                      <w:sz w:val="20"/>
                    </w:rPr>
                    <w:t xml:space="preserve">– The verifiable average heat rate for the Resource </w:t>
                  </w:r>
                  <w:r w:rsidRPr="00A552C3">
                    <w:rPr>
                      <w:i/>
                      <w:iCs/>
                      <w:sz w:val="20"/>
                    </w:rPr>
                    <w:t>r</w:t>
                  </w:r>
                  <w:r w:rsidRPr="00A552C3">
                    <w:rPr>
                      <w:iCs/>
                      <w:sz w:val="20"/>
                    </w:rPr>
                    <w:t xml:space="preserve">, for the operating level,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D7458B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1CC0795" w14:textId="77777777" w:rsidR="003B46CE" w:rsidRPr="00A552C3" w:rsidRDefault="003B46CE" w:rsidP="003B46CE">
                  <w:pPr>
                    <w:spacing w:after="60"/>
                    <w:rPr>
                      <w:iCs/>
                      <w:sz w:val="20"/>
                    </w:rPr>
                  </w:pPr>
                  <w:r w:rsidRPr="00A552C3">
                    <w:rPr>
                      <w:iCs/>
                      <w:sz w:val="20"/>
                    </w:rPr>
                    <w:t xml:space="preserve">OM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B4B9CCB"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ECB0463" w14:textId="77777777" w:rsidR="003B46CE" w:rsidRPr="00A552C3" w:rsidRDefault="003B46CE" w:rsidP="003B46CE">
                  <w:pPr>
                    <w:spacing w:after="60"/>
                    <w:rPr>
                      <w:i/>
                      <w:iCs/>
                      <w:sz w:val="20"/>
                    </w:rPr>
                  </w:pPr>
                  <w:r w:rsidRPr="00A552C3">
                    <w:rPr>
                      <w:i/>
                      <w:iCs/>
                      <w:sz w:val="20"/>
                    </w:rPr>
                    <w:t>Verifiable Operations and Maintenance Cost Above LSL</w:t>
                  </w:r>
                  <w:r w:rsidRPr="00A552C3">
                    <w:rPr>
                      <w:iCs/>
                      <w:sz w:val="20"/>
                    </w:rPr>
                    <w:t xml:space="preserve">– The O&amp;M cost for Resource </w:t>
                  </w:r>
                  <w:r w:rsidRPr="00A552C3">
                    <w:rPr>
                      <w:i/>
                      <w:iCs/>
                      <w:sz w:val="20"/>
                    </w:rPr>
                    <w:t>r</w:t>
                  </w:r>
                  <w:r w:rsidRPr="00A552C3">
                    <w:rPr>
                      <w:iCs/>
                      <w:sz w:val="20"/>
                    </w:rPr>
                    <w:t xml:space="preserve"> to operate above LSL.  Where for a Combined Cycle Train, the Resource </w:t>
                  </w:r>
                  <w:r w:rsidRPr="00A552C3">
                    <w:rPr>
                      <w:i/>
                      <w:iCs/>
                      <w:sz w:val="20"/>
                    </w:rPr>
                    <w:t>r</w:t>
                  </w:r>
                  <w:r w:rsidRPr="00A552C3">
                    <w:rPr>
                      <w:iCs/>
                      <w:sz w:val="20"/>
                    </w:rPr>
                    <w:t xml:space="preserve"> is a Combined Cycle Generation Resource within the Combined Cycle Train.  See the Verifiable Cost Manual for additional information. </w:t>
                  </w:r>
                </w:p>
              </w:tc>
            </w:tr>
            <w:tr w:rsidR="003B46CE" w:rsidRPr="00A552C3" w14:paraId="122BAE9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37BCC48" w14:textId="77777777" w:rsidR="003B46CE" w:rsidRPr="00A552C3" w:rsidRDefault="003B46CE" w:rsidP="003B46CE">
                  <w:pPr>
                    <w:spacing w:after="60"/>
                    <w:rPr>
                      <w:iCs/>
                      <w:sz w:val="20"/>
                    </w:rPr>
                  </w:pPr>
                  <w:r w:rsidRPr="00A552C3">
                    <w:rPr>
                      <w:iCs/>
                      <w:sz w:val="20"/>
                    </w:rPr>
                    <w:t xml:space="preserve">SWIHR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3F58A64C"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6F077AB" w14:textId="77777777" w:rsidR="003B46CE" w:rsidRPr="00A552C3" w:rsidRDefault="003B46CE" w:rsidP="003B46CE">
                  <w:pPr>
                    <w:spacing w:after="60"/>
                    <w:rPr>
                      <w:iCs/>
                      <w:sz w:val="20"/>
                    </w:rPr>
                  </w:pPr>
                  <w:r w:rsidRPr="00A552C3">
                    <w:rPr>
                      <w:i/>
                      <w:iCs/>
                      <w:sz w:val="20"/>
                    </w:rPr>
                    <w:t>Switchable Generation Instructed Hours</w:t>
                  </w:r>
                  <w:r w:rsidRPr="00A552C3">
                    <w:rPr>
                      <w:iCs/>
                      <w:sz w:val="20"/>
                    </w:rPr>
                    <w:t xml:space="preserve">—The total number of Switchable Generation instructed hours,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w:t>
                  </w:r>
                  <w:r w:rsidRPr="00A552C3">
                    <w:rPr>
                      <w:i/>
                      <w:iCs/>
                      <w:sz w:val="20"/>
                    </w:rPr>
                    <w:t>d</w:t>
                  </w:r>
                  <w:r w:rsidRPr="00A552C3">
                    <w:rPr>
                      <w:iCs/>
                      <w:sz w:val="20"/>
                    </w:rPr>
                    <w:t>.  When one or more Combined Cycle Generation Resources are committed by ERCOT, the total number of instructed hours is calculated for the Combined Cycle Train for all switchable instructed Combined Cycle Generation Resources.</w:t>
                  </w:r>
                </w:p>
              </w:tc>
            </w:tr>
            <w:tr w:rsidR="003B46CE" w:rsidRPr="00A552C3" w14:paraId="022A832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D5BE08" w14:textId="77777777" w:rsidR="003B46CE" w:rsidRPr="00A552C3" w:rsidRDefault="003B46CE" w:rsidP="003B46CE">
                  <w:pPr>
                    <w:spacing w:after="60"/>
                    <w:rPr>
                      <w:iCs/>
                      <w:sz w:val="20"/>
                    </w:rPr>
                  </w:pPr>
                  <w:r w:rsidRPr="00A552C3">
                    <w:rPr>
                      <w:iCs/>
                      <w:sz w:val="20"/>
                    </w:rPr>
                    <w:t>SFP</w:t>
                  </w:r>
                </w:p>
              </w:tc>
              <w:tc>
                <w:tcPr>
                  <w:tcW w:w="692" w:type="pct"/>
                  <w:tcBorders>
                    <w:top w:val="single" w:sz="6" w:space="0" w:color="auto"/>
                    <w:left w:val="single" w:sz="6" w:space="0" w:color="auto"/>
                    <w:bottom w:val="single" w:sz="6" w:space="0" w:color="auto"/>
                    <w:right w:val="single" w:sz="6" w:space="0" w:color="auto"/>
                  </w:tcBorders>
                </w:tcPr>
                <w:p w14:paraId="12E8175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6CD3532B" w14:textId="77777777" w:rsidR="003B46CE" w:rsidRPr="00A552C3" w:rsidRDefault="003B46CE" w:rsidP="003B46CE">
                  <w:pPr>
                    <w:spacing w:after="60"/>
                    <w:rPr>
                      <w:i/>
                      <w:iCs/>
                      <w:sz w:val="20"/>
                    </w:rPr>
                  </w:pPr>
                  <w:r w:rsidRPr="00A552C3">
                    <w:rPr>
                      <w:iCs/>
                      <w:sz w:val="20"/>
                    </w:rPr>
                    <w:t xml:space="preserve">Solid Fuel Price—The solid fuel index price is $1.50.  </w:t>
                  </w:r>
                </w:p>
              </w:tc>
            </w:tr>
            <w:tr w:rsidR="003B46CE" w:rsidRPr="00A552C3" w14:paraId="62EFEF0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3F6EDDA" w14:textId="77777777" w:rsidR="003B46CE" w:rsidRPr="00A552C3" w:rsidRDefault="003B46CE" w:rsidP="003B46CE">
                  <w:pPr>
                    <w:spacing w:after="60"/>
                    <w:rPr>
                      <w:iCs/>
                      <w:sz w:val="20"/>
                    </w:rPr>
                  </w:pPr>
                  <w:r w:rsidRPr="00A552C3">
                    <w:rPr>
                      <w:iCs/>
                      <w:sz w:val="20"/>
                    </w:rPr>
                    <w:t xml:space="preserve">GASPEROL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30F86E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5B66FE8" w14:textId="77777777" w:rsidR="003B46CE" w:rsidRPr="00A552C3" w:rsidRDefault="003B46CE" w:rsidP="003B46CE">
                  <w:pPr>
                    <w:spacing w:after="60"/>
                    <w:rPr>
                      <w:i/>
                      <w:iCs/>
                      <w:sz w:val="20"/>
                    </w:rPr>
                  </w:pPr>
                  <w:r w:rsidRPr="00A552C3">
                    <w:rPr>
                      <w:i/>
                      <w:iCs/>
                      <w:sz w:val="20"/>
                    </w:rPr>
                    <w:t>Percent of Natural Gas to Operate Above LSL</w:t>
                  </w:r>
                  <w:r w:rsidRPr="00A552C3">
                    <w:rPr>
                      <w:iCs/>
                      <w:sz w:val="20"/>
                    </w:rPr>
                    <w:t xml:space="preserve">—The percentage of natural gas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520413A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9B1878E" w14:textId="77777777" w:rsidR="003B46CE" w:rsidRPr="00A552C3" w:rsidRDefault="003B46CE" w:rsidP="003B46CE">
                  <w:pPr>
                    <w:spacing w:after="60"/>
                    <w:rPr>
                      <w:iCs/>
                      <w:sz w:val="20"/>
                    </w:rPr>
                  </w:pPr>
                  <w:r w:rsidRPr="00A552C3">
                    <w:rPr>
                      <w:iCs/>
                      <w:sz w:val="20"/>
                    </w:rPr>
                    <w:t xml:space="preserve">OILPEROL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1AAA2C4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0D716388" w14:textId="77777777" w:rsidR="003B46CE" w:rsidRPr="00A552C3" w:rsidRDefault="003B46CE" w:rsidP="003B46CE">
                  <w:pPr>
                    <w:spacing w:after="60"/>
                    <w:rPr>
                      <w:iCs/>
                      <w:sz w:val="20"/>
                    </w:rPr>
                  </w:pPr>
                  <w:r w:rsidRPr="00A552C3">
                    <w:rPr>
                      <w:i/>
                      <w:iCs/>
                      <w:sz w:val="20"/>
                    </w:rPr>
                    <w:t>Percent of Oil to Operate Above LSL</w:t>
                  </w:r>
                  <w:r w:rsidRPr="00A552C3">
                    <w:rPr>
                      <w:iCs/>
                      <w:sz w:val="20"/>
                    </w:rPr>
                    <w:t xml:space="preserve">—The percentage of fuel oil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5017A0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173A154" w14:textId="77777777" w:rsidR="003B46CE" w:rsidRPr="00A552C3" w:rsidRDefault="003B46CE" w:rsidP="003B46CE">
                  <w:pPr>
                    <w:spacing w:after="60"/>
                    <w:rPr>
                      <w:iCs/>
                      <w:sz w:val="20"/>
                    </w:rPr>
                  </w:pPr>
                  <w:r w:rsidRPr="00A552C3">
                    <w:rPr>
                      <w:iCs/>
                      <w:sz w:val="20"/>
                    </w:rPr>
                    <w:t xml:space="preserve">SFPEROL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C00BFF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3D09C1A" w14:textId="77777777" w:rsidR="003B46CE" w:rsidRPr="00A552C3" w:rsidRDefault="003B46CE" w:rsidP="003B46CE">
                  <w:pPr>
                    <w:spacing w:after="60"/>
                    <w:rPr>
                      <w:iCs/>
                      <w:sz w:val="20"/>
                    </w:rPr>
                  </w:pPr>
                  <w:r w:rsidRPr="00A552C3">
                    <w:rPr>
                      <w:i/>
                      <w:iCs/>
                      <w:sz w:val="20"/>
                    </w:rPr>
                    <w:t>Percent of Solid Fuel to Operate Above LSL</w:t>
                  </w:r>
                  <w:r w:rsidRPr="00A552C3">
                    <w:rPr>
                      <w:iCs/>
                      <w:sz w:val="20"/>
                    </w:rPr>
                    <w:t xml:space="preserve">—The percentage of solid fuel used by Resource </w:t>
                  </w:r>
                  <w:r w:rsidRPr="00A552C3">
                    <w:rPr>
                      <w:i/>
                      <w:iCs/>
                      <w:sz w:val="20"/>
                    </w:rPr>
                    <w:t>r</w:t>
                  </w:r>
                  <w:r w:rsidRPr="00A552C3">
                    <w:rPr>
                      <w:iCs/>
                      <w:sz w:val="20"/>
                    </w:rPr>
                    <w:t xml:space="preserve"> 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80CFFF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4B3E7B7" w14:textId="77777777" w:rsidR="003B46CE" w:rsidRPr="00A552C3" w:rsidRDefault="003B46CE" w:rsidP="003B46CE">
                  <w:pPr>
                    <w:spacing w:after="60"/>
                    <w:rPr>
                      <w:iCs/>
                      <w:sz w:val="20"/>
                    </w:rPr>
                  </w:pPr>
                  <w:r w:rsidRPr="00A552C3">
                    <w:rPr>
                      <w:iCs/>
                      <w:sz w:val="20"/>
                    </w:rPr>
                    <w:t xml:space="preserve">ADJSWSUC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24CD2AA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DEA13F8" w14:textId="77777777" w:rsidR="003B46CE" w:rsidRPr="00A552C3" w:rsidRDefault="003B46CE" w:rsidP="003B46CE">
                  <w:pPr>
                    <w:spacing w:after="60"/>
                    <w:rPr>
                      <w:iCs/>
                      <w:sz w:val="20"/>
                      <w:highlight w:val="yellow"/>
                    </w:rPr>
                  </w:pPr>
                  <w:r w:rsidRPr="00A552C3">
                    <w:rPr>
                      <w:i/>
                      <w:iCs/>
                      <w:sz w:val="20"/>
                    </w:rPr>
                    <w:t>Adjustment to Switchable Generation</w:t>
                  </w:r>
                  <w:r w:rsidRPr="00A552C3">
                    <w:rPr>
                      <w:iCs/>
                      <w:sz w:val="20"/>
                    </w:rPr>
                    <w:t xml:space="preserve"> </w:t>
                  </w:r>
                  <w:r w:rsidRPr="00A552C3">
                    <w:rPr>
                      <w:i/>
                      <w:iCs/>
                      <w:sz w:val="20"/>
                    </w:rPr>
                    <w:t xml:space="preserve">Start-Up Cost </w:t>
                  </w:r>
                  <w:r w:rsidRPr="00A552C3">
                    <w:rPr>
                      <w:iCs/>
                      <w:sz w:val="20"/>
                    </w:rPr>
                    <w:t xml:space="preserve">— Adjustment to Switchable Generation Start-up Cost for Resource </w:t>
                  </w:r>
                  <w:r w:rsidRPr="00A552C3">
                    <w:rPr>
                      <w:i/>
                      <w:iCs/>
                      <w:sz w:val="20"/>
                    </w:rPr>
                    <w:t xml:space="preserve">r </w:t>
                  </w:r>
                  <w:r w:rsidRPr="00A552C3">
                    <w:rPr>
                      <w:iCs/>
                      <w:sz w:val="20"/>
                    </w:rPr>
                    <w:t>represented by QSE</w:t>
                  </w:r>
                  <w:r w:rsidRPr="00A552C3">
                    <w:rPr>
                      <w:i/>
                      <w:iCs/>
                      <w:sz w:val="20"/>
                    </w:rPr>
                    <w:t xml:space="preserve"> q</w:t>
                  </w:r>
                  <w:r w:rsidRPr="00A552C3">
                    <w:rPr>
                      <w:iCs/>
                      <w:sz w:val="20"/>
                    </w:rPr>
                    <w:t xml:space="preserve">,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This adjustment may include eligible startup transition costs for a Combined Cycle Train or costs for any SWGR not captured in other billing determinants.</w:t>
                  </w:r>
                </w:p>
              </w:tc>
            </w:tr>
            <w:tr w:rsidR="003B46CE" w:rsidRPr="00A552C3" w14:paraId="2952AB9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C56028" w14:textId="77777777" w:rsidR="003B46CE" w:rsidRPr="00A552C3" w:rsidRDefault="003B46CE" w:rsidP="003B46CE">
                  <w:pPr>
                    <w:spacing w:after="60"/>
                    <w:rPr>
                      <w:iCs/>
                      <w:sz w:val="20"/>
                    </w:rPr>
                  </w:pPr>
                  <w:r w:rsidRPr="00A552C3">
                    <w:rPr>
                      <w:iCs/>
                      <w:sz w:val="20"/>
                    </w:rPr>
                    <w:t xml:space="preserve">RCGSC </w:t>
                  </w:r>
                  <w:r w:rsidRPr="00A552C3">
                    <w:rPr>
                      <w:iCs/>
                      <w:sz w:val="20"/>
                      <w:vertAlign w:val="subscript"/>
                    </w:rPr>
                    <w:t xml:space="preserve">s, </w:t>
                  </w:r>
                  <w:r w:rsidRPr="00A552C3">
                    <w:rPr>
                      <w:i/>
                      <w:iCs/>
                      <w:sz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7006B0CD" w14:textId="77777777" w:rsidR="003B46CE" w:rsidRPr="00A552C3" w:rsidRDefault="003B46CE" w:rsidP="003B46CE">
                  <w:pPr>
                    <w:spacing w:after="60"/>
                    <w:rPr>
                      <w:iCs/>
                      <w:sz w:val="20"/>
                    </w:rPr>
                  </w:pPr>
                  <w:r w:rsidRPr="00A552C3">
                    <w:rPr>
                      <w:iCs/>
                      <w:sz w:val="20"/>
                    </w:rPr>
                    <w:t>$/Start</w:t>
                  </w:r>
                </w:p>
              </w:tc>
              <w:tc>
                <w:tcPr>
                  <w:tcW w:w="3342" w:type="pct"/>
                  <w:tcBorders>
                    <w:top w:val="single" w:sz="6" w:space="0" w:color="auto"/>
                    <w:left w:val="single" w:sz="6" w:space="0" w:color="auto"/>
                    <w:bottom w:val="single" w:sz="6" w:space="0" w:color="auto"/>
                    <w:right w:val="single" w:sz="4" w:space="0" w:color="auto"/>
                  </w:tcBorders>
                </w:tcPr>
                <w:p w14:paraId="4BB9933F" w14:textId="77777777" w:rsidR="003B46CE" w:rsidRPr="00A552C3" w:rsidRDefault="003B46CE" w:rsidP="003B46CE">
                  <w:pPr>
                    <w:spacing w:after="60"/>
                    <w:rPr>
                      <w:i/>
                      <w:iCs/>
                      <w:sz w:val="20"/>
                    </w:rPr>
                  </w:pPr>
                  <w:r w:rsidRPr="00A552C3">
                    <w:rPr>
                      <w:i/>
                      <w:iCs/>
                      <w:sz w:val="20"/>
                    </w:rPr>
                    <w:t>Resource Category Generic Startup Cost</w:t>
                  </w:r>
                  <w:r w:rsidRPr="00A552C3">
                    <w:rPr>
                      <w:iCs/>
                      <w:sz w:val="20"/>
                    </w:rPr>
                    <w:t xml:space="preserve">—The Resource Category Generic Startup Cost cap for the category of the Resource </w:t>
                  </w:r>
                  <w:r w:rsidRPr="00A552C3">
                    <w:rPr>
                      <w:i/>
                      <w:iCs/>
                      <w:sz w:val="20"/>
                    </w:rPr>
                    <w:t>rc</w:t>
                  </w:r>
                  <w:r w:rsidRPr="00A552C3">
                    <w:rPr>
                      <w:iCs/>
                      <w:sz w:val="20"/>
                    </w:rPr>
                    <w:t>, according to Section 4.4.9.2.3, Startup Offer and Minimum-Energy Offer Generic Caps, for the Operating Day.</w:t>
                  </w:r>
                </w:p>
              </w:tc>
            </w:tr>
            <w:tr w:rsidR="003B46CE" w:rsidRPr="00A552C3" w14:paraId="0714414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38D48D8" w14:textId="77777777" w:rsidR="003B46CE" w:rsidRPr="00A552C3" w:rsidRDefault="003B46CE" w:rsidP="003B46CE">
                  <w:pPr>
                    <w:spacing w:after="60"/>
                    <w:rPr>
                      <w:iCs/>
                      <w:sz w:val="20"/>
                    </w:rPr>
                  </w:pPr>
                  <w:r w:rsidRPr="00A552C3">
                    <w:rPr>
                      <w:iCs/>
                      <w:sz w:val="20"/>
                    </w:rPr>
                    <w:t xml:space="preserve">RCGMEC </w:t>
                  </w:r>
                  <w:r w:rsidRPr="00A552C3">
                    <w:rPr>
                      <w:i/>
                      <w:iCs/>
                      <w:sz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3E307EE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6580539B" w14:textId="77777777" w:rsidR="003B46CE" w:rsidRPr="00A552C3" w:rsidRDefault="003B46CE" w:rsidP="003B46CE">
                  <w:pPr>
                    <w:spacing w:after="60"/>
                    <w:rPr>
                      <w:iCs/>
                      <w:sz w:val="20"/>
                    </w:rPr>
                  </w:pPr>
                  <w:r w:rsidRPr="00A552C3">
                    <w:rPr>
                      <w:i/>
                      <w:iCs/>
                      <w:sz w:val="20"/>
                    </w:rPr>
                    <w:t>Resource Category Generic Minimum-Energy Cost</w:t>
                  </w:r>
                  <w:r w:rsidRPr="00A552C3">
                    <w:rPr>
                      <w:iCs/>
                      <w:sz w:val="20"/>
                    </w:rPr>
                    <w:t xml:space="preserve">—The Resource Category Generic Minimum Energy Cost cap for the category of the Resource </w:t>
                  </w:r>
                  <w:r w:rsidRPr="00A552C3">
                    <w:rPr>
                      <w:i/>
                      <w:iCs/>
                      <w:sz w:val="20"/>
                    </w:rPr>
                    <w:t>rc</w:t>
                  </w:r>
                  <w:r w:rsidRPr="00A552C3">
                    <w:rPr>
                      <w:iCs/>
                      <w:sz w:val="20"/>
                    </w:rPr>
                    <w:t>, according to Section 4.4.9.2.3, for the Operating Day.</w:t>
                  </w:r>
                </w:p>
              </w:tc>
            </w:tr>
            <w:tr w:rsidR="003B46CE" w:rsidRPr="00A552C3" w14:paraId="32E9DEF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F19A7E0" w14:textId="77777777" w:rsidR="003B46CE" w:rsidRPr="00A552C3" w:rsidRDefault="003B46CE" w:rsidP="003B46CE">
                  <w:pPr>
                    <w:spacing w:after="60"/>
                    <w:rPr>
                      <w:iCs/>
                      <w:sz w:val="20"/>
                    </w:rPr>
                  </w:pPr>
                  <w:r w:rsidRPr="00A552C3">
                    <w:rPr>
                      <w:iCs/>
                      <w:sz w:val="20"/>
                    </w:rPr>
                    <w:lastRenderedPageBreak/>
                    <w:t xml:space="preserve">PAHR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0649F6BF"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5E8BC3F8" w14:textId="77777777" w:rsidR="003B46CE" w:rsidRPr="00A552C3" w:rsidRDefault="003B46CE" w:rsidP="003B46CE">
                  <w:pPr>
                    <w:spacing w:after="60"/>
                    <w:rPr>
                      <w:i/>
                      <w:iCs/>
                      <w:sz w:val="20"/>
                    </w:rPr>
                  </w:pPr>
                  <w:r w:rsidRPr="00A552C3">
                    <w:rPr>
                      <w:i/>
                      <w:iCs/>
                      <w:sz w:val="20"/>
                    </w:rPr>
                    <w:t>Proxy Average Heat Rate-</w:t>
                  </w:r>
                  <w:r w:rsidRPr="00A552C3">
                    <w:rPr>
                      <w:iCs/>
                      <w:sz w:val="20"/>
                    </w:rPr>
                    <w:t xml:space="preserve"> The proxy average heat rate for the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6BA3A2B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11C0D83" w14:textId="77777777" w:rsidR="003B46CE" w:rsidRPr="00A552C3" w:rsidRDefault="003B46CE" w:rsidP="003B46CE">
                  <w:pPr>
                    <w:spacing w:after="60"/>
                    <w:rPr>
                      <w:iCs/>
                      <w:sz w:val="20"/>
                    </w:rPr>
                  </w:pPr>
                  <w:r w:rsidRPr="00A552C3">
                    <w:rPr>
                      <w:iCs/>
                      <w:sz w:val="20"/>
                    </w:rPr>
                    <w:t xml:space="preserve">STOM </w:t>
                  </w:r>
                  <w:r w:rsidRPr="00A552C3">
                    <w:rPr>
                      <w:i/>
                      <w:iCs/>
                      <w:sz w:val="20"/>
                      <w:vertAlign w:val="subscript"/>
                    </w:rPr>
                    <w:t>rc</w:t>
                  </w:r>
                  <w:r w:rsidRPr="00A552C3">
                    <w:rPr>
                      <w:iCs/>
                      <w:sz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3C3F3B9F"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hideMark/>
                </w:tcPr>
                <w:p w14:paraId="60DF2537" w14:textId="77777777" w:rsidR="003B46CE" w:rsidRPr="00A552C3" w:rsidRDefault="003B46CE" w:rsidP="003B46CE">
                  <w:pPr>
                    <w:spacing w:after="60"/>
                    <w:rPr>
                      <w:iCs/>
                      <w:sz w:val="20"/>
                    </w:rPr>
                  </w:pPr>
                  <w:r w:rsidRPr="00A552C3">
                    <w:rPr>
                      <w:i/>
                      <w:iCs/>
                      <w:sz w:val="20"/>
                    </w:rPr>
                    <w:t xml:space="preserve">Standard Operations and Maintenance Cost - </w:t>
                  </w:r>
                  <w:r w:rsidRPr="00A552C3">
                    <w:rPr>
                      <w:iCs/>
                      <w:sz w:val="20"/>
                    </w:rPr>
                    <w:t xml:space="preserve">The standard O&amp;M cost for the Resource Category </w:t>
                  </w:r>
                  <w:r w:rsidRPr="00A552C3">
                    <w:rPr>
                      <w:i/>
                      <w:iCs/>
                      <w:sz w:val="20"/>
                    </w:rPr>
                    <w:t>rc</w:t>
                  </w:r>
                  <w:r w:rsidRPr="00A552C3">
                    <w:rPr>
                      <w:iCs/>
                      <w:sz w:val="20"/>
                    </w:rPr>
                    <w:t xml:space="preserve"> for operations above LSL, shall be set to the minimum energy variable O&amp;M costs, as described in paragraph (6)(c) of Section 5.6.1, Verifiable Costs.  </w:t>
                  </w:r>
                </w:p>
              </w:tc>
            </w:tr>
            <w:tr w:rsidR="003B46CE" w:rsidRPr="00A552C3" w14:paraId="758975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A74536" w14:textId="77777777" w:rsidR="003B46CE" w:rsidRPr="00A552C3" w:rsidRDefault="003B46CE" w:rsidP="003B46CE">
                  <w:pPr>
                    <w:spacing w:after="60"/>
                    <w:rPr>
                      <w:iCs/>
                      <w:sz w:val="20"/>
                    </w:rPr>
                  </w:pPr>
                  <w:r w:rsidRPr="00A552C3">
                    <w:rPr>
                      <w:iCs/>
                      <w:sz w:val="20"/>
                    </w:rPr>
                    <w:t xml:space="preserve">RTSPP </w:t>
                  </w:r>
                  <w:r w:rsidRPr="00A552C3">
                    <w:rPr>
                      <w:i/>
                      <w:iCs/>
                      <w:sz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F1721ED"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457D5DEF" w14:textId="77777777" w:rsidR="003B46CE" w:rsidRPr="00A552C3" w:rsidRDefault="003B46CE" w:rsidP="003B46CE">
                  <w:pPr>
                    <w:spacing w:after="60"/>
                    <w:rPr>
                      <w:i/>
                      <w:iCs/>
                      <w:sz w:val="20"/>
                    </w:rPr>
                  </w:pPr>
                  <w:r w:rsidRPr="00A552C3">
                    <w:rPr>
                      <w:i/>
                      <w:iCs/>
                      <w:sz w:val="20"/>
                    </w:rPr>
                    <w:t>Real-Time Settlement Point Price</w:t>
                  </w:r>
                  <w:r w:rsidRPr="00A552C3">
                    <w:rPr>
                      <w:iCs/>
                      <w:sz w:val="20"/>
                    </w:rPr>
                    <w:t xml:space="preserve">—The Real-Time Settlement Point Price at Settlement Point </w:t>
                  </w:r>
                  <w:r w:rsidRPr="00A552C3">
                    <w:rPr>
                      <w:i/>
                      <w:iCs/>
                      <w:sz w:val="20"/>
                    </w:rPr>
                    <w:t>p</w:t>
                  </w:r>
                  <w:r w:rsidRPr="00A552C3">
                    <w:rPr>
                      <w:iCs/>
                      <w:sz w:val="20"/>
                    </w:rPr>
                    <w:t xml:space="preserve">, for the 15-minute Settlement Interval </w:t>
                  </w:r>
                  <w:r w:rsidRPr="00A552C3">
                    <w:rPr>
                      <w:i/>
                      <w:iCs/>
                      <w:sz w:val="20"/>
                    </w:rPr>
                    <w:t>i</w:t>
                  </w:r>
                  <w:r w:rsidRPr="00A552C3">
                    <w:rPr>
                      <w:iCs/>
                      <w:sz w:val="20"/>
                    </w:rPr>
                    <w:t>.</w:t>
                  </w:r>
                </w:p>
              </w:tc>
            </w:tr>
            <w:tr w:rsidR="003B46CE" w:rsidRPr="00A552C3" w14:paraId="3E9243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74AEF0" w14:textId="77777777" w:rsidR="003B46CE" w:rsidRPr="00A552C3" w:rsidRDefault="003B46CE" w:rsidP="003B46CE">
                  <w:pPr>
                    <w:spacing w:after="60"/>
                    <w:rPr>
                      <w:iCs/>
                      <w:sz w:val="20"/>
                    </w:rPr>
                  </w:pPr>
                  <w:r w:rsidRPr="00A552C3">
                    <w:rPr>
                      <w:iCs/>
                      <w:sz w:val="20"/>
                    </w:rPr>
                    <w:t>FIP</w:t>
                  </w:r>
                </w:p>
              </w:tc>
              <w:tc>
                <w:tcPr>
                  <w:tcW w:w="692" w:type="pct"/>
                  <w:tcBorders>
                    <w:top w:val="single" w:sz="6" w:space="0" w:color="auto"/>
                    <w:left w:val="single" w:sz="6" w:space="0" w:color="auto"/>
                    <w:bottom w:val="single" w:sz="6" w:space="0" w:color="auto"/>
                    <w:right w:val="single" w:sz="6" w:space="0" w:color="auto"/>
                  </w:tcBorders>
                </w:tcPr>
                <w:p w14:paraId="58680A79"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66A344" w14:textId="77777777" w:rsidR="003B46CE" w:rsidRPr="00A552C3" w:rsidRDefault="003B46CE" w:rsidP="003B46CE">
                  <w:pPr>
                    <w:spacing w:after="60"/>
                    <w:rPr>
                      <w:i/>
                      <w:iCs/>
                      <w:sz w:val="20"/>
                    </w:rPr>
                  </w:pPr>
                  <w:r w:rsidRPr="00A552C3">
                    <w:rPr>
                      <w:i/>
                      <w:iCs/>
                      <w:sz w:val="20"/>
                    </w:rPr>
                    <w:t>Fuel Index Price</w:t>
                  </w:r>
                  <w:r w:rsidRPr="00A552C3">
                    <w:rPr>
                      <w:iCs/>
                      <w:sz w:val="20"/>
                    </w:rPr>
                    <w:t>—As defined in Section 2.1, Definitions.</w:t>
                  </w:r>
                </w:p>
              </w:tc>
            </w:tr>
            <w:tr w:rsidR="003B46CE" w:rsidRPr="00A552C3" w14:paraId="2C0EEF0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C2E4011" w14:textId="77777777" w:rsidR="003B46CE" w:rsidRPr="00A552C3" w:rsidRDefault="003B46CE" w:rsidP="003B46CE">
                  <w:pPr>
                    <w:spacing w:after="60"/>
                    <w:rPr>
                      <w:iCs/>
                      <w:sz w:val="20"/>
                    </w:rPr>
                  </w:pPr>
                  <w:r w:rsidRPr="00A552C3">
                    <w:rPr>
                      <w:iCs/>
                      <w:sz w:val="20"/>
                    </w:rPr>
                    <w:t>FOP</w:t>
                  </w:r>
                </w:p>
              </w:tc>
              <w:tc>
                <w:tcPr>
                  <w:tcW w:w="692" w:type="pct"/>
                  <w:tcBorders>
                    <w:top w:val="single" w:sz="6" w:space="0" w:color="auto"/>
                    <w:left w:val="single" w:sz="6" w:space="0" w:color="auto"/>
                    <w:bottom w:val="single" w:sz="6" w:space="0" w:color="auto"/>
                    <w:right w:val="single" w:sz="6" w:space="0" w:color="auto"/>
                  </w:tcBorders>
                </w:tcPr>
                <w:p w14:paraId="655C8F6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F5A02F" w14:textId="77777777" w:rsidR="003B46CE" w:rsidRPr="00A552C3" w:rsidRDefault="003B46CE" w:rsidP="003B46CE">
                  <w:pPr>
                    <w:spacing w:after="60"/>
                    <w:rPr>
                      <w:iCs/>
                      <w:sz w:val="20"/>
                    </w:rPr>
                  </w:pPr>
                  <w:r w:rsidRPr="00A552C3">
                    <w:rPr>
                      <w:i/>
                      <w:iCs/>
                      <w:sz w:val="20"/>
                    </w:rPr>
                    <w:t>Fuel Oil Price</w:t>
                  </w:r>
                  <w:r w:rsidRPr="00A552C3">
                    <w:rPr>
                      <w:iCs/>
                      <w:sz w:val="20"/>
                    </w:rPr>
                    <w:t>—As defined in Section 2.1.</w:t>
                  </w:r>
                </w:p>
              </w:tc>
            </w:tr>
            <w:tr w:rsidR="003B46CE" w:rsidRPr="00A552C3" w14:paraId="165BCFF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3F4FC71" w14:textId="77777777" w:rsidR="003B46CE" w:rsidRPr="00A552C3" w:rsidRDefault="003B46CE" w:rsidP="003B46CE">
                  <w:pPr>
                    <w:spacing w:after="60"/>
                    <w:rPr>
                      <w:i/>
                      <w:iCs/>
                      <w:sz w:val="20"/>
                    </w:rPr>
                  </w:pPr>
                  <w:r w:rsidRPr="00A552C3">
                    <w:rPr>
                      <w:iCs/>
                      <w:sz w:val="20"/>
                    </w:rPr>
                    <w:t xml:space="preserve">FA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78856286"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3021A8F7" w14:textId="77777777" w:rsidR="003B46CE" w:rsidRPr="00A552C3" w:rsidRDefault="003B46CE" w:rsidP="003B46CE">
                  <w:pPr>
                    <w:spacing w:after="60"/>
                    <w:rPr>
                      <w:iCs/>
                      <w:sz w:val="20"/>
                    </w:rPr>
                  </w:pPr>
                  <w:r w:rsidRPr="00A552C3">
                    <w:rPr>
                      <w:i/>
                      <w:iCs/>
                      <w:sz w:val="20"/>
                    </w:rPr>
                    <w:t>Fuel Adder</w:t>
                  </w:r>
                  <w:r w:rsidRPr="00A552C3">
                    <w:rPr>
                      <w:iCs/>
                      <w:sz w:val="20"/>
                    </w:rPr>
                    <w:t xml:space="preserve"> — The fuel adder is the average cost above the index price Resource </w:t>
                  </w:r>
                  <w:r w:rsidRPr="00A552C3">
                    <w:rPr>
                      <w:i/>
                      <w:iCs/>
                      <w:sz w:val="20"/>
                    </w:rPr>
                    <w:t xml:space="preserve">r </w:t>
                  </w:r>
                  <w:r w:rsidRPr="00A552C3">
                    <w:rPr>
                      <w:iCs/>
                      <w:sz w:val="20"/>
                    </w:rPr>
                    <w:t xml:space="preserve">has paid to obtain fuel.  Where for a Combined Cycle Train, the Resource </w:t>
                  </w:r>
                  <w:r w:rsidRPr="00A552C3">
                    <w:rPr>
                      <w:i/>
                      <w:iCs/>
                      <w:sz w:val="20"/>
                    </w:rPr>
                    <w:t xml:space="preserve">r </w:t>
                  </w:r>
                  <w:r w:rsidRPr="00A552C3">
                    <w:rPr>
                      <w:iCs/>
                      <w:sz w:val="20"/>
                    </w:rPr>
                    <w:t xml:space="preserve">is a Combined Cycle Generation Resource within the Combined Cycle Train.  See the Verifiable Cost Manual for additional information. </w:t>
                  </w:r>
                </w:p>
              </w:tc>
            </w:tr>
            <w:tr w:rsidR="003B46CE" w:rsidRPr="00A552C3" w14:paraId="11062EA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B4708F5" w14:textId="77777777" w:rsidR="003B46CE" w:rsidRPr="00A552C3" w:rsidRDefault="003B46CE" w:rsidP="003B46CE">
                  <w:pPr>
                    <w:spacing w:after="60"/>
                    <w:rPr>
                      <w:iCs/>
                      <w:sz w:val="20"/>
                    </w:rPr>
                  </w:pPr>
                  <w:r w:rsidRPr="00A552C3">
                    <w:rPr>
                      <w:iCs/>
                      <w:sz w:val="20"/>
                    </w:rPr>
                    <w:t xml:space="preserve">EMREAMT </w:t>
                  </w:r>
                  <w:r w:rsidRPr="00A552C3">
                    <w:rPr>
                      <w:i/>
                      <w:iCs/>
                      <w:sz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4F2F75FF"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ACE8D0D" w14:textId="77777777" w:rsidR="003B46CE" w:rsidRPr="00A552C3" w:rsidRDefault="003B46CE" w:rsidP="003B46CE">
                  <w:pPr>
                    <w:spacing w:after="60"/>
                    <w:rPr>
                      <w:iCs/>
                      <w:sz w:val="20"/>
                    </w:rPr>
                  </w:pPr>
                  <w:r w:rsidRPr="00A552C3">
                    <w:rPr>
                      <w:i/>
                      <w:iCs/>
                      <w:sz w:val="20"/>
                    </w:rPr>
                    <w:t>Emergency Energy Amount per QSE per Settlement Point per unit per interval</w:t>
                  </w:r>
                  <w:r w:rsidRPr="00A552C3">
                    <w:rPr>
                      <w:iCs/>
                      <w:sz w:val="20"/>
                    </w:rPr>
                    <w:t xml:space="preserve">—The payment to QSE </w:t>
                  </w:r>
                  <w:r w:rsidRPr="00A552C3">
                    <w:rPr>
                      <w:i/>
                      <w:iCs/>
                      <w:sz w:val="20"/>
                    </w:rPr>
                    <w:t>q</w:t>
                  </w:r>
                  <w:r w:rsidRPr="00A552C3">
                    <w:rPr>
                      <w:iCs/>
                      <w:sz w:val="20"/>
                    </w:rPr>
                    <w:t xml:space="preserve">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for the 15-minute Settlement Interval </w:t>
                  </w:r>
                  <w:r w:rsidRPr="00A552C3">
                    <w:rPr>
                      <w:i/>
                      <w:iCs/>
                      <w:sz w:val="20"/>
                    </w:rPr>
                    <w:t>i</w:t>
                  </w:r>
                  <w:r w:rsidRPr="00A552C3">
                    <w:rPr>
                      <w:iCs/>
                      <w:sz w:val="20"/>
                    </w:rPr>
                    <w:t>.  Payment for emergency energy is made to the Combined Cycle Train.</w:t>
                  </w:r>
                </w:p>
              </w:tc>
            </w:tr>
            <w:tr w:rsidR="003B46CE" w:rsidRPr="00A552C3" w14:paraId="20151FA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377031" w14:textId="77777777" w:rsidR="003B46CE" w:rsidRPr="00A552C3" w:rsidRDefault="003B46CE" w:rsidP="003B46CE">
                  <w:pPr>
                    <w:spacing w:after="60"/>
                    <w:rPr>
                      <w:iCs/>
                      <w:sz w:val="20"/>
                    </w:rPr>
                  </w:pPr>
                  <w:r w:rsidRPr="00A552C3">
                    <w:rPr>
                      <w:iCs/>
                      <w:sz w:val="20"/>
                    </w:rPr>
                    <w:t xml:space="preserve">VSSVARAMT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AD7C6E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2F5F06C" w14:textId="77777777" w:rsidR="003B46CE" w:rsidRPr="00A552C3" w:rsidRDefault="003B46CE" w:rsidP="003B46CE">
                  <w:pPr>
                    <w:spacing w:after="60"/>
                    <w:rPr>
                      <w:iCs/>
                      <w:sz w:val="20"/>
                    </w:rPr>
                  </w:pPr>
                  <w:r w:rsidRPr="00A552C3">
                    <w:rPr>
                      <w:i/>
                      <w:iCs/>
                      <w:sz w:val="20"/>
                    </w:rPr>
                    <w:t>Voltage Support Service VAr Amount per QSE per Generation Resource -</w:t>
                  </w:r>
                  <w:r w:rsidRPr="00A552C3">
                    <w:rPr>
                      <w:iCs/>
                      <w:sz w:val="20"/>
                    </w:rPr>
                    <w:t xml:space="preserve"> The payment to QSE </w:t>
                  </w:r>
                  <w:r w:rsidRPr="00A552C3">
                    <w:rPr>
                      <w:i/>
                      <w:iCs/>
                      <w:sz w:val="20"/>
                    </w:rPr>
                    <w:t>q</w:t>
                  </w:r>
                  <w:r w:rsidRPr="00A552C3">
                    <w:rPr>
                      <w:iCs/>
                      <w:sz w:val="20"/>
                    </w:rPr>
                    <w:t xml:space="preserve"> for the VSS provided by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w:t>
                  </w:r>
                  <w:r w:rsidRPr="00A552C3">
                    <w:rPr>
                      <w:iCs/>
                      <w:sz w:val="20"/>
                    </w:rPr>
                    <w:t xml:space="preserve"> is a Combined Cycle Train.</w:t>
                  </w:r>
                </w:p>
              </w:tc>
            </w:tr>
            <w:tr w:rsidR="003B46CE" w:rsidRPr="00A552C3" w14:paraId="08815A2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CEB6A" w14:textId="77777777" w:rsidR="003B46CE" w:rsidRPr="00A552C3" w:rsidRDefault="003B46CE" w:rsidP="003B46CE">
                  <w:pPr>
                    <w:spacing w:after="60"/>
                    <w:rPr>
                      <w:iCs/>
                      <w:sz w:val="20"/>
                    </w:rPr>
                  </w:pPr>
                  <w:r w:rsidRPr="00A552C3">
                    <w:rPr>
                      <w:iCs/>
                      <w:sz w:val="20"/>
                    </w:rPr>
                    <w:t xml:space="preserve">VSSEAMT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E902ADC"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1BC8FC3C" w14:textId="77777777" w:rsidR="003B46CE" w:rsidRPr="00A552C3" w:rsidRDefault="003B46CE" w:rsidP="003B46CE">
                  <w:pPr>
                    <w:spacing w:after="60"/>
                    <w:rPr>
                      <w:iCs/>
                      <w:sz w:val="20"/>
                    </w:rPr>
                  </w:pPr>
                  <w:r w:rsidRPr="00A552C3">
                    <w:rPr>
                      <w:i/>
                      <w:iCs/>
                      <w:sz w:val="20"/>
                    </w:rPr>
                    <w:t>Voltage Support Service Energy Amount per QSE per Generation Resource</w:t>
                  </w:r>
                  <w:r w:rsidRPr="00A552C3">
                    <w:rPr>
                      <w:iCs/>
                      <w:sz w:val="20"/>
                    </w:rPr>
                    <w:t xml:space="preserve">—The lost opportunity payment to QSE </w:t>
                  </w:r>
                  <w:r w:rsidRPr="00A552C3">
                    <w:rPr>
                      <w:i/>
                      <w:iCs/>
                      <w:sz w:val="20"/>
                    </w:rPr>
                    <w:t>q</w:t>
                  </w:r>
                  <w:r w:rsidRPr="00A552C3">
                    <w:rPr>
                      <w:iCs/>
                      <w:sz w:val="20"/>
                    </w:rPr>
                    <w:t xml:space="preserve"> for ERCOT-directed VSS from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 </w:t>
                  </w:r>
                  <w:r w:rsidRPr="00A552C3">
                    <w:rPr>
                      <w:iCs/>
                      <w:sz w:val="20"/>
                    </w:rPr>
                    <w:t>is a Combined Cycle Train.</w:t>
                  </w:r>
                </w:p>
              </w:tc>
            </w:tr>
            <w:tr w:rsidR="003B46CE" w:rsidRPr="00A552C3" w14:paraId="652263E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B264F" w14:textId="77777777" w:rsidR="003B46CE" w:rsidRPr="00A552C3" w:rsidRDefault="003B46CE" w:rsidP="003B46CE">
                  <w:pPr>
                    <w:spacing w:after="60"/>
                    <w:rPr>
                      <w:iCs/>
                      <w:sz w:val="20"/>
                    </w:rPr>
                  </w:pPr>
                  <w:r w:rsidRPr="00A552C3">
                    <w:rPr>
                      <w:sz w:val="20"/>
                    </w:rPr>
                    <w:t xml:space="preserve">RTRUREV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5AA996BD"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708BC09" w14:textId="77777777" w:rsidR="003B46CE" w:rsidRPr="00A552C3" w:rsidRDefault="003B46CE" w:rsidP="003B46CE">
                  <w:pPr>
                    <w:spacing w:after="60"/>
                    <w:rPr>
                      <w:i/>
                      <w:iCs/>
                      <w:sz w:val="20"/>
                    </w:rPr>
                  </w:pPr>
                  <w:r w:rsidRPr="00A552C3">
                    <w:rPr>
                      <w:i/>
                      <w:sz w:val="20"/>
                    </w:rPr>
                    <w:t>Real-Time Reg-Up Revenue</w:t>
                  </w:r>
                  <w:r w:rsidRPr="00A552C3">
                    <w:rPr>
                      <w:sz w:val="20"/>
                    </w:rPr>
                    <w:t xml:space="preserve">— The Real-Time Reg-Up revenue for QSE </w:t>
                  </w:r>
                  <w:r w:rsidRPr="00A552C3">
                    <w:rPr>
                      <w:i/>
                      <w:sz w:val="20"/>
                    </w:rPr>
                    <w:t xml:space="preserve">q </w:t>
                  </w:r>
                  <w:r w:rsidRPr="00A552C3">
                    <w:rPr>
                      <w:sz w:val="20"/>
                    </w:rPr>
                    <w:t>calculated for</w:t>
                  </w:r>
                  <w:r w:rsidRPr="00A552C3">
                    <w:rPr>
                      <w:i/>
                      <w:sz w:val="20"/>
                    </w:rPr>
                    <w:t xml:space="preserve"> </w:t>
                  </w:r>
                  <w:r w:rsidRPr="00A552C3">
                    <w:rPr>
                      <w:sz w:val="20"/>
                    </w:rPr>
                    <w:t xml:space="preserve">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E16B55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35FB5C9" w14:textId="77777777" w:rsidR="003B46CE" w:rsidRPr="00A552C3" w:rsidRDefault="003B46CE" w:rsidP="003B46CE">
                  <w:pPr>
                    <w:spacing w:after="60"/>
                    <w:rPr>
                      <w:sz w:val="20"/>
                    </w:rPr>
                  </w:pPr>
                  <w:r w:rsidRPr="00A552C3">
                    <w:rPr>
                      <w:sz w:val="20"/>
                    </w:rPr>
                    <w:t xml:space="preserve">RTRDREV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9CDDF8C"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A05DDB2" w14:textId="77777777" w:rsidR="003B46CE" w:rsidRPr="00A552C3" w:rsidRDefault="003B46CE" w:rsidP="003B46CE">
                  <w:pPr>
                    <w:spacing w:after="60"/>
                    <w:rPr>
                      <w:i/>
                      <w:sz w:val="20"/>
                    </w:rPr>
                  </w:pPr>
                  <w:r w:rsidRPr="00A552C3">
                    <w:rPr>
                      <w:i/>
                      <w:sz w:val="20"/>
                    </w:rPr>
                    <w:t>Real-Time Reg-Down Revenue</w:t>
                  </w:r>
                  <w:r w:rsidRPr="00A552C3">
                    <w:rPr>
                      <w:sz w:val="20"/>
                    </w:rPr>
                    <w:t xml:space="preserve">— The Real-Time Reg-Down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DCB024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83826AC" w14:textId="77777777" w:rsidR="003B46CE" w:rsidRPr="00A552C3" w:rsidRDefault="003B46CE" w:rsidP="003B46CE">
                  <w:pPr>
                    <w:spacing w:after="60"/>
                    <w:rPr>
                      <w:sz w:val="20"/>
                    </w:rPr>
                  </w:pPr>
                  <w:r w:rsidRPr="00A552C3">
                    <w:rPr>
                      <w:sz w:val="20"/>
                    </w:rPr>
                    <w:t xml:space="preserve">RTRRREV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6D305A51"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7305BA5A" w14:textId="77777777" w:rsidR="003B46CE" w:rsidRPr="00A552C3" w:rsidRDefault="003B46CE" w:rsidP="003B46CE">
                  <w:pPr>
                    <w:spacing w:after="60"/>
                    <w:rPr>
                      <w:i/>
                      <w:sz w:val="20"/>
                    </w:rPr>
                  </w:pPr>
                  <w:r w:rsidRPr="00A552C3">
                    <w:rPr>
                      <w:i/>
                      <w:sz w:val="20"/>
                    </w:rPr>
                    <w:t>Real-Time Responsive Reserve Revenue</w:t>
                  </w:r>
                  <w:r w:rsidRPr="00A552C3">
                    <w:rPr>
                      <w:sz w:val="20"/>
                    </w:rPr>
                    <w:t xml:space="preserve">— The Real-Time RRS revenue for QSE </w:t>
                  </w:r>
                  <w:r w:rsidRPr="00A552C3">
                    <w:rPr>
                      <w:i/>
                      <w:sz w:val="20"/>
                    </w:rPr>
                    <w:t xml:space="preserve">q </w:t>
                  </w:r>
                  <w:r w:rsidRPr="00A552C3">
                    <w:rPr>
                      <w:sz w:val="20"/>
                    </w:rPr>
                    <w:t xml:space="preserve">calculated for 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4F98FC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247508" w14:textId="77777777" w:rsidR="003B46CE" w:rsidRPr="00A552C3" w:rsidRDefault="003B46CE" w:rsidP="003B46CE">
                  <w:pPr>
                    <w:spacing w:after="60"/>
                    <w:rPr>
                      <w:sz w:val="20"/>
                    </w:rPr>
                  </w:pPr>
                  <w:r w:rsidRPr="00A552C3">
                    <w:rPr>
                      <w:sz w:val="20"/>
                    </w:rPr>
                    <w:t xml:space="preserve">RTNSREV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01AA6FB4"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028BFDEC" w14:textId="77777777" w:rsidR="003B46CE" w:rsidRPr="00A552C3" w:rsidRDefault="003B46CE" w:rsidP="003B46CE">
                  <w:pPr>
                    <w:spacing w:after="60"/>
                    <w:rPr>
                      <w:i/>
                      <w:sz w:val="20"/>
                    </w:rPr>
                  </w:pPr>
                  <w:r w:rsidRPr="00A552C3">
                    <w:rPr>
                      <w:i/>
                      <w:sz w:val="20"/>
                    </w:rPr>
                    <w:t>Real-Time Non-Spin Revenue</w:t>
                  </w:r>
                  <w:r w:rsidRPr="00A552C3">
                    <w:rPr>
                      <w:sz w:val="20"/>
                    </w:rPr>
                    <w:t xml:space="preserve">— The Real-Time Non-Spin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6D0247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B22AE05" w14:textId="77777777" w:rsidR="003B46CE" w:rsidRPr="00A552C3" w:rsidRDefault="003B46CE" w:rsidP="003B46CE">
                  <w:pPr>
                    <w:spacing w:after="60"/>
                    <w:rPr>
                      <w:sz w:val="20"/>
                    </w:rPr>
                  </w:pPr>
                  <w:r w:rsidRPr="00A552C3">
                    <w:rPr>
                      <w:sz w:val="20"/>
                    </w:rPr>
                    <w:t xml:space="preserve">RTECRREV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C7ACFF5"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E88B12F" w14:textId="77777777" w:rsidR="003B46CE" w:rsidRPr="00A552C3" w:rsidRDefault="003B46CE" w:rsidP="003B46CE">
                  <w:pPr>
                    <w:spacing w:after="60"/>
                    <w:rPr>
                      <w:i/>
                      <w:sz w:val="20"/>
                    </w:rPr>
                  </w:pPr>
                  <w:r w:rsidRPr="00A552C3">
                    <w:rPr>
                      <w:i/>
                      <w:sz w:val="20"/>
                    </w:rPr>
                    <w:t>Real-Time ERCOT Contingency Reserve Service Revenue</w:t>
                  </w:r>
                  <w:r w:rsidRPr="00A552C3">
                    <w:rPr>
                      <w:sz w:val="20"/>
                    </w:rPr>
                    <w:t xml:space="preserve">— The Real-Time ECRS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0B24D04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0B77CAB2" w14:textId="77777777" w:rsidR="003B46CE" w:rsidRPr="00A552C3" w:rsidRDefault="003B46CE" w:rsidP="003B46CE">
                  <w:pPr>
                    <w:spacing w:after="60"/>
                    <w:rPr>
                      <w:i/>
                      <w:iCs/>
                      <w:sz w:val="20"/>
                    </w:rPr>
                  </w:pPr>
                  <w:r w:rsidRPr="00A552C3">
                    <w:rPr>
                      <w:i/>
                      <w:iCs/>
                      <w:sz w:val="20"/>
                    </w:rPr>
                    <w:lastRenderedPageBreak/>
                    <w:t>q</w:t>
                  </w:r>
                </w:p>
              </w:tc>
              <w:tc>
                <w:tcPr>
                  <w:tcW w:w="692" w:type="pct"/>
                  <w:tcBorders>
                    <w:top w:val="single" w:sz="6" w:space="0" w:color="auto"/>
                    <w:left w:val="single" w:sz="6" w:space="0" w:color="auto"/>
                    <w:bottom w:val="single" w:sz="6" w:space="0" w:color="auto"/>
                    <w:right w:val="single" w:sz="6" w:space="0" w:color="auto"/>
                  </w:tcBorders>
                  <w:hideMark/>
                </w:tcPr>
                <w:p w14:paraId="0DA7CC55"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79569F29" w14:textId="77777777" w:rsidR="003B46CE" w:rsidRPr="00A552C3" w:rsidRDefault="003B46CE" w:rsidP="003B46CE">
                  <w:pPr>
                    <w:spacing w:after="60"/>
                    <w:rPr>
                      <w:iCs/>
                      <w:sz w:val="20"/>
                    </w:rPr>
                  </w:pPr>
                  <w:r w:rsidRPr="00A552C3">
                    <w:rPr>
                      <w:iCs/>
                      <w:sz w:val="20"/>
                    </w:rPr>
                    <w:t>A QSE.</w:t>
                  </w:r>
                </w:p>
              </w:tc>
            </w:tr>
            <w:tr w:rsidR="003B46CE" w:rsidRPr="00A552C3" w14:paraId="41F8A2F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1E56C1F5" w14:textId="77777777" w:rsidR="003B46CE" w:rsidRPr="00A552C3" w:rsidRDefault="003B46CE" w:rsidP="003B46CE">
                  <w:pPr>
                    <w:spacing w:after="60"/>
                    <w:rPr>
                      <w:i/>
                      <w:iCs/>
                      <w:sz w:val="20"/>
                    </w:rPr>
                  </w:pPr>
                  <w:r w:rsidRPr="00A552C3">
                    <w:rPr>
                      <w:i/>
                      <w:iCs/>
                      <w:sz w:val="20"/>
                    </w:rPr>
                    <w:t>r</w:t>
                  </w:r>
                </w:p>
              </w:tc>
              <w:tc>
                <w:tcPr>
                  <w:tcW w:w="692" w:type="pct"/>
                  <w:tcBorders>
                    <w:top w:val="single" w:sz="6" w:space="0" w:color="auto"/>
                    <w:left w:val="single" w:sz="6" w:space="0" w:color="auto"/>
                    <w:bottom w:val="single" w:sz="6" w:space="0" w:color="auto"/>
                    <w:right w:val="single" w:sz="6" w:space="0" w:color="auto"/>
                  </w:tcBorders>
                  <w:hideMark/>
                </w:tcPr>
                <w:p w14:paraId="015B9426"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14F1580" w14:textId="77777777" w:rsidR="003B46CE" w:rsidRPr="00A552C3" w:rsidRDefault="003B46CE" w:rsidP="003B46CE">
                  <w:pPr>
                    <w:spacing w:after="60"/>
                    <w:rPr>
                      <w:iCs/>
                      <w:sz w:val="20"/>
                    </w:rPr>
                  </w:pPr>
                  <w:r w:rsidRPr="00A552C3">
                    <w:rPr>
                      <w:iCs/>
                      <w:sz w:val="20"/>
                    </w:rPr>
                    <w:t>A Switchable Generation Resource.</w:t>
                  </w:r>
                </w:p>
              </w:tc>
            </w:tr>
            <w:tr w:rsidR="003B46CE" w:rsidRPr="00A552C3" w14:paraId="44D6596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7A90F6C5" w14:textId="77777777" w:rsidR="003B46CE" w:rsidRPr="00A552C3" w:rsidRDefault="003B46CE" w:rsidP="003B46CE">
                  <w:pPr>
                    <w:spacing w:after="60"/>
                    <w:rPr>
                      <w:i/>
                      <w:iCs/>
                      <w:sz w:val="20"/>
                    </w:rPr>
                  </w:pPr>
                  <w:r w:rsidRPr="00A552C3">
                    <w:rPr>
                      <w:i/>
                      <w:iCs/>
                      <w:sz w:val="20"/>
                    </w:rPr>
                    <w:t>d</w:t>
                  </w:r>
                </w:p>
              </w:tc>
              <w:tc>
                <w:tcPr>
                  <w:tcW w:w="692" w:type="pct"/>
                  <w:tcBorders>
                    <w:top w:val="single" w:sz="6" w:space="0" w:color="auto"/>
                    <w:left w:val="single" w:sz="6" w:space="0" w:color="auto"/>
                    <w:bottom w:val="single" w:sz="6" w:space="0" w:color="auto"/>
                    <w:right w:val="single" w:sz="6" w:space="0" w:color="auto"/>
                  </w:tcBorders>
                  <w:hideMark/>
                </w:tcPr>
                <w:p w14:paraId="2657D0A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1ECCF38" w14:textId="77777777" w:rsidR="003B46CE" w:rsidRPr="00A552C3" w:rsidRDefault="003B46CE" w:rsidP="003B46CE">
                  <w:pPr>
                    <w:spacing w:after="60"/>
                    <w:rPr>
                      <w:iCs/>
                      <w:sz w:val="20"/>
                    </w:rPr>
                  </w:pPr>
                  <w:r w:rsidRPr="00A552C3">
                    <w:rPr>
                      <w:iCs/>
                      <w:sz w:val="20"/>
                    </w:rPr>
                    <w:t xml:space="preserve">An Operating Day containing the RUC instruction to the SWGR. </w:t>
                  </w:r>
                </w:p>
              </w:tc>
            </w:tr>
            <w:tr w:rsidR="003B46CE" w:rsidRPr="00A552C3" w14:paraId="0B25EF1A"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31B2BD" w14:textId="77777777" w:rsidR="003B46CE" w:rsidRPr="00A552C3" w:rsidRDefault="003B46CE" w:rsidP="003B46CE">
                  <w:pPr>
                    <w:spacing w:after="60"/>
                    <w:rPr>
                      <w:i/>
                      <w:iCs/>
                      <w:sz w:val="20"/>
                    </w:rPr>
                  </w:pPr>
                  <w:r w:rsidRPr="00A552C3">
                    <w:rPr>
                      <w:i/>
                      <w:iCs/>
                      <w:sz w:val="20"/>
                    </w:rPr>
                    <w:t>i</w:t>
                  </w:r>
                </w:p>
              </w:tc>
              <w:tc>
                <w:tcPr>
                  <w:tcW w:w="692" w:type="pct"/>
                  <w:tcBorders>
                    <w:top w:val="single" w:sz="6" w:space="0" w:color="auto"/>
                    <w:left w:val="single" w:sz="6" w:space="0" w:color="auto"/>
                    <w:bottom w:val="single" w:sz="6" w:space="0" w:color="auto"/>
                    <w:right w:val="single" w:sz="6" w:space="0" w:color="auto"/>
                  </w:tcBorders>
                  <w:hideMark/>
                </w:tcPr>
                <w:p w14:paraId="03A2FE7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F07D93E" w14:textId="77777777" w:rsidR="003B46CE" w:rsidRPr="00A552C3" w:rsidRDefault="003B46CE" w:rsidP="003B46CE">
                  <w:pPr>
                    <w:spacing w:after="60"/>
                    <w:rPr>
                      <w:iCs/>
                      <w:sz w:val="20"/>
                    </w:rPr>
                  </w:pPr>
                  <w:r w:rsidRPr="00A552C3">
                    <w:rPr>
                      <w:iCs/>
                      <w:sz w:val="20"/>
                    </w:rPr>
                    <w:t>A 15-minute Settlement Interval within the hour of an Operating Day during which the SWGR is instructed by ERCOT.</w:t>
                  </w:r>
                </w:p>
              </w:tc>
            </w:tr>
            <w:tr w:rsidR="003B46CE" w:rsidRPr="00A552C3" w14:paraId="07B60D2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952682D" w14:textId="77777777" w:rsidR="003B46CE" w:rsidRPr="00A552C3" w:rsidRDefault="003B46CE" w:rsidP="003B46CE">
                  <w:pPr>
                    <w:spacing w:after="60"/>
                    <w:rPr>
                      <w:i/>
                      <w:iCs/>
                      <w:sz w:val="20"/>
                    </w:rPr>
                  </w:pPr>
                  <w:r w:rsidRPr="00A552C3">
                    <w:rPr>
                      <w:i/>
                      <w:iCs/>
                      <w:sz w:val="20"/>
                    </w:rPr>
                    <w:t>s</w:t>
                  </w:r>
                </w:p>
              </w:tc>
              <w:tc>
                <w:tcPr>
                  <w:tcW w:w="692" w:type="pct"/>
                  <w:tcBorders>
                    <w:top w:val="single" w:sz="6" w:space="0" w:color="auto"/>
                    <w:left w:val="single" w:sz="6" w:space="0" w:color="auto"/>
                    <w:bottom w:val="single" w:sz="6" w:space="0" w:color="auto"/>
                    <w:right w:val="single" w:sz="6" w:space="0" w:color="auto"/>
                  </w:tcBorders>
                  <w:hideMark/>
                </w:tcPr>
                <w:p w14:paraId="797354DF"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88BD6A3" w14:textId="77777777" w:rsidR="003B46CE" w:rsidRPr="00A552C3" w:rsidRDefault="003B46CE" w:rsidP="003B46CE">
                  <w:pPr>
                    <w:spacing w:after="60"/>
                    <w:rPr>
                      <w:iCs/>
                      <w:sz w:val="20"/>
                      <w:highlight w:val="yellow"/>
                    </w:rPr>
                  </w:pPr>
                  <w:r w:rsidRPr="00A552C3">
                    <w:rPr>
                      <w:iCs/>
                      <w:sz w:val="20"/>
                    </w:rPr>
                    <w:t xml:space="preserve">An ERCOT area start that is eligible to have its costs included in the Switchable Generation Cost Guarantee. </w:t>
                  </w:r>
                </w:p>
              </w:tc>
            </w:tr>
            <w:tr w:rsidR="003B46CE" w:rsidRPr="00A552C3" w14:paraId="6C94CCD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232DCA" w14:textId="77777777" w:rsidR="003B46CE" w:rsidRPr="00A552C3" w:rsidRDefault="003B46CE" w:rsidP="003B46CE">
                  <w:pPr>
                    <w:spacing w:after="60"/>
                    <w:rPr>
                      <w:i/>
                      <w:iCs/>
                      <w:sz w:val="20"/>
                    </w:rPr>
                  </w:pPr>
                  <w:r w:rsidRPr="00A552C3">
                    <w:rPr>
                      <w:i/>
                      <w:iCs/>
                      <w:sz w:val="20"/>
                    </w:rPr>
                    <w:t>rc</w:t>
                  </w:r>
                </w:p>
              </w:tc>
              <w:tc>
                <w:tcPr>
                  <w:tcW w:w="692" w:type="pct"/>
                  <w:tcBorders>
                    <w:top w:val="single" w:sz="6" w:space="0" w:color="auto"/>
                    <w:left w:val="single" w:sz="6" w:space="0" w:color="auto"/>
                    <w:bottom w:val="single" w:sz="6" w:space="0" w:color="auto"/>
                    <w:right w:val="single" w:sz="6" w:space="0" w:color="auto"/>
                  </w:tcBorders>
                  <w:hideMark/>
                </w:tcPr>
                <w:p w14:paraId="56A0870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76A1AD8" w14:textId="77777777" w:rsidR="003B46CE" w:rsidRPr="00A552C3" w:rsidRDefault="003B46CE" w:rsidP="003B46CE">
                  <w:pPr>
                    <w:spacing w:after="60"/>
                    <w:rPr>
                      <w:iCs/>
                      <w:sz w:val="20"/>
                    </w:rPr>
                  </w:pPr>
                  <w:r w:rsidRPr="00A552C3">
                    <w:rPr>
                      <w:iCs/>
                      <w:sz w:val="20"/>
                    </w:rPr>
                    <w:t>A Resource Category.</w:t>
                  </w:r>
                </w:p>
              </w:tc>
            </w:tr>
            <w:tr w:rsidR="003B46CE" w:rsidRPr="00A552C3" w14:paraId="4D83613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3838EC1" w14:textId="77777777" w:rsidR="003B46CE" w:rsidRPr="00A552C3" w:rsidRDefault="003B46CE" w:rsidP="003B46CE">
                  <w:pPr>
                    <w:spacing w:after="60"/>
                    <w:rPr>
                      <w:i/>
                      <w:iCs/>
                      <w:sz w:val="20"/>
                    </w:rPr>
                  </w:pPr>
                  <w:r w:rsidRPr="00A552C3">
                    <w:rPr>
                      <w:i/>
                      <w:iCs/>
                      <w:sz w:val="20"/>
                    </w:rPr>
                    <w:t>p</w:t>
                  </w:r>
                </w:p>
              </w:tc>
              <w:tc>
                <w:tcPr>
                  <w:tcW w:w="692" w:type="pct"/>
                  <w:tcBorders>
                    <w:top w:val="single" w:sz="6" w:space="0" w:color="auto"/>
                    <w:left w:val="single" w:sz="6" w:space="0" w:color="auto"/>
                    <w:bottom w:val="single" w:sz="6" w:space="0" w:color="auto"/>
                    <w:right w:val="single" w:sz="6" w:space="0" w:color="auto"/>
                  </w:tcBorders>
                </w:tcPr>
                <w:p w14:paraId="0908479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1DAE947E" w14:textId="77777777" w:rsidR="003B46CE" w:rsidRPr="00A552C3" w:rsidRDefault="003B46CE" w:rsidP="003B46CE">
                  <w:pPr>
                    <w:spacing w:after="60"/>
                    <w:rPr>
                      <w:iCs/>
                      <w:sz w:val="20"/>
                    </w:rPr>
                  </w:pPr>
                  <w:r w:rsidRPr="00A552C3">
                    <w:rPr>
                      <w:iCs/>
                      <w:sz w:val="20"/>
                    </w:rPr>
                    <w:t>A Resource Node Settlement Point.</w:t>
                  </w:r>
                </w:p>
              </w:tc>
            </w:tr>
          </w:tbl>
          <w:p w14:paraId="2EB83648" w14:textId="690333C9" w:rsidR="00BE571E" w:rsidRPr="00B37C4B" w:rsidRDefault="00BE571E" w:rsidP="00BE571E">
            <w:pPr>
              <w:pStyle w:val="H3"/>
            </w:pPr>
          </w:p>
        </w:tc>
      </w:tr>
    </w:tbl>
    <w:p w14:paraId="724B9467" w14:textId="04EA6F34" w:rsidR="00236104" w:rsidRPr="004502BD" w:rsidRDefault="00236104" w:rsidP="00236104">
      <w:pPr>
        <w:pStyle w:val="BodyTextNumbered"/>
        <w:spacing w:before="240"/>
      </w:pPr>
      <w:r w:rsidRPr="004502BD">
        <w:lastRenderedPageBreak/>
        <w:t>(</w:t>
      </w:r>
      <w:r>
        <w:t>2</w:t>
      </w:r>
      <w:r w:rsidRPr="004502BD">
        <w:t>)</w:t>
      </w:r>
      <w:r w:rsidRPr="004502BD">
        <w:tab/>
        <w:t xml:space="preserve">The total compensation to each QSE for the </w:t>
      </w:r>
      <w:r>
        <w:t xml:space="preserve">Switchable Generation </w:t>
      </w:r>
      <w:r w:rsidRPr="004502BD">
        <w:t>Make-Whole Payment for</w:t>
      </w:r>
      <w:r>
        <w:t xml:space="preserve"> </w:t>
      </w:r>
      <w:r w:rsidRPr="004502BD">
        <w:t>a</w:t>
      </w:r>
      <w:r>
        <w:t xml:space="preserve"> given hour in the </w:t>
      </w:r>
      <w:r w:rsidRPr="004502BD">
        <w:t>Operating Day is calculated as follows:</w:t>
      </w:r>
    </w:p>
    <w:p w14:paraId="58892190" w14:textId="77777777" w:rsidR="00236104" w:rsidRPr="0058136B" w:rsidRDefault="00236104" w:rsidP="00236104">
      <w:pPr>
        <w:pStyle w:val="BodyTextNumbered"/>
        <w:ind w:left="1440"/>
        <w:rPr>
          <w:b/>
          <w:i/>
          <w:vertAlign w:val="subscript"/>
          <w:lang w:val="es-ES"/>
        </w:rPr>
      </w:pPr>
      <w:r w:rsidRPr="008A543E">
        <w:rPr>
          <w:b/>
        </w:rPr>
        <w:t>SWMWAMTQSETOT</w:t>
      </w:r>
      <w:r w:rsidRPr="0058136B">
        <w:rPr>
          <w:b/>
        </w:rPr>
        <w:t xml:space="preserve"> </w:t>
      </w:r>
      <w:r w:rsidRPr="008A543E">
        <w:rPr>
          <w:b/>
          <w:i/>
          <w:vertAlign w:val="subscript"/>
        </w:rPr>
        <w:t>q</w:t>
      </w:r>
      <w:r w:rsidRPr="0058136B">
        <w:rPr>
          <w:b/>
          <w:i/>
          <w:vertAlign w:val="subscript"/>
        </w:rPr>
        <w:tab/>
      </w:r>
      <w:r w:rsidRPr="0058136B">
        <w:rPr>
          <w:b/>
        </w:rPr>
        <w:t xml:space="preserve">=  </w:t>
      </w:r>
      <w:r w:rsidRPr="008A543E">
        <w:rPr>
          <w:b/>
          <w:position w:val="-18"/>
        </w:rPr>
        <w:object w:dxaOrig="220" w:dyaOrig="420" w14:anchorId="149310FE">
          <v:shape id="_x0000_i1308" type="#_x0000_t75" style="width:12pt;height:24pt" o:ole="">
            <v:imagedata r:id="rId381" o:title=""/>
          </v:shape>
          <o:OLEObject Type="Embed" ProgID="Equation.3" ShapeID="_x0000_i1308" DrawAspect="Content" ObjectID="_1804653792" r:id="rId382"/>
        </w:object>
      </w:r>
      <w:r w:rsidRPr="008A543E">
        <w:rPr>
          <w:b/>
        </w:rPr>
        <w:t xml:space="preserve"> SWMWAMT </w:t>
      </w:r>
      <w:r w:rsidRPr="008A543E">
        <w:rPr>
          <w:b/>
          <w:i/>
          <w:vertAlign w:val="subscript"/>
        </w:rPr>
        <w:t>q, r</w:t>
      </w:r>
    </w:p>
    <w:p w14:paraId="1FD97724" w14:textId="77777777" w:rsidR="00236104" w:rsidRPr="004502BD" w:rsidRDefault="00236104" w:rsidP="00236104">
      <w:pPr>
        <w:pStyle w:val="BodyTextNumbered"/>
        <w:spacing w:after="0"/>
      </w:pPr>
      <w:r w:rsidRPr="004502B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5FDAF585"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BC7425" w14:textId="77777777" w:rsidR="00236104" w:rsidRPr="004502BD" w:rsidRDefault="00236104" w:rsidP="00BA73E7">
            <w:pPr>
              <w:pStyle w:val="TableHead"/>
            </w:pPr>
            <w:r w:rsidRPr="004502BD">
              <w:t>Variable</w:t>
            </w:r>
          </w:p>
        </w:tc>
        <w:tc>
          <w:tcPr>
            <w:tcW w:w="433" w:type="pct"/>
            <w:tcBorders>
              <w:top w:val="single" w:sz="4" w:space="0" w:color="auto"/>
              <w:left w:val="single" w:sz="4" w:space="0" w:color="auto"/>
              <w:bottom w:val="single" w:sz="4" w:space="0" w:color="auto"/>
              <w:right w:val="single" w:sz="4" w:space="0" w:color="auto"/>
            </w:tcBorders>
            <w:hideMark/>
          </w:tcPr>
          <w:p w14:paraId="7CC0A7FF"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05F9EBE2" w14:textId="77777777" w:rsidR="00236104" w:rsidRPr="004502BD" w:rsidRDefault="00236104" w:rsidP="00BA73E7">
            <w:pPr>
              <w:pStyle w:val="TableHead"/>
            </w:pPr>
            <w:r w:rsidRPr="004502BD">
              <w:t>Definition</w:t>
            </w:r>
          </w:p>
        </w:tc>
      </w:tr>
      <w:tr w:rsidR="00236104" w:rsidRPr="004502BD" w14:paraId="6AD8A9BF"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6E09E6E6" w14:textId="77777777" w:rsidR="00236104" w:rsidRPr="004502BD" w:rsidRDefault="00236104" w:rsidP="00BA73E7">
            <w:pPr>
              <w:pStyle w:val="TableBody"/>
            </w:pPr>
            <w:r w:rsidRPr="00C65DFA">
              <w:t>SWMWAMTQSETOT</w:t>
            </w:r>
            <w:r>
              <w:rPr>
                <w:b/>
              </w:rPr>
              <w:t xml:space="preserve"> </w:t>
            </w:r>
            <w:r w:rsidRPr="00067DC6">
              <w:rPr>
                <w:b/>
                <w:i/>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CEC01DD"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hideMark/>
          </w:tcPr>
          <w:p w14:paraId="55103BF3" w14:textId="77777777" w:rsidR="00236104" w:rsidRPr="004502BD" w:rsidRDefault="00236104" w:rsidP="00BA73E7">
            <w:pPr>
              <w:pStyle w:val="TableBody"/>
            </w:pPr>
            <w:r w:rsidRPr="00C65DFA">
              <w:rPr>
                <w:i/>
              </w:rPr>
              <w:t xml:space="preserve">Switchable </w:t>
            </w:r>
            <w:r>
              <w:rPr>
                <w:i/>
              </w:rPr>
              <w:t xml:space="preserve">Generation </w:t>
            </w:r>
            <w:r w:rsidRPr="00C65DFA">
              <w:rPr>
                <w:i/>
              </w:rPr>
              <w:t>Make-Whole Payment</w:t>
            </w:r>
            <w:r>
              <w:rPr>
                <w:i/>
              </w:rPr>
              <w:t xml:space="preserve"> per QSE</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FCCDCF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4F507BD" w14:textId="77777777" w:rsidR="00236104" w:rsidRPr="004502BD" w:rsidRDefault="00236104" w:rsidP="00BA73E7">
            <w:pPr>
              <w:pStyle w:val="TableBody"/>
              <w:rPr>
                <w:b/>
              </w:rPr>
            </w:pPr>
            <w:r w:rsidRPr="00C65DFA">
              <w:t xml:space="preserve">SWMWAMT </w:t>
            </w:r>
            <w:r w:rsidRPr="00C65DFA">
              <w:rPr>
                <w:i/>
                <w:vertAlign w:val="subscript"/>
              </w:rPr>
              <w:t>q,</w:t>
            </w:r>
            <w:r>
              <w:rPr>
                <w:i/>
                <w:vertAlign w:val="subscript"/>
              </w:rPr>
              <w:t xml:space="preserve"> </w:t>
            </w:r>
            <w:r w:rsidRPr="00C65DFA">
              <w:rPr>
                <w:i/>
                <w:vertAlign w:val="subscript"/>
              </w:rPr>
              <w:t>r</w:t>
            </w:r>
          </w:p>
        </w:tc>
        <w:tc>
          <w:tcPr>
            <w:tcW w:w="433" w:type="pct"/>
            <w:tcBorders>
              <w:top w:val="single" w:sz="4" w:space="0" w:color="auto"/>
              <w:left w:val="single" w:sz="4" w:space="0" w:color="auto"/>
              <w:bottom w:val="single" w:sz="4" w:space="0" w:color="auto"/>
              <w:right w:val="single" w:sz="4" w:space="0" w:color="auto"/>
            </w:tcBorders>
          </w:tcPr>
          <w:p w14:paraId="1736A12C"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5D1E1B6" w14:textId="77777777" w:rsidR="00236104" w:rsidRPr="004A7166" w:rsidRDefault="00236104" w:rsidP="00BA73E7">
            <w:pPr>
              <w:pStyle w:val="TableBody"/>
              <w:rPr>
                <w:i/>
              </w:rPr>
            </w:pPr>
            <w:r w:rsidRPr="00C65DFA">
              <w:rPr>
                <w:i/>
              </w:rPr>
              <w:t xml:space="preserve">Switchable </w:t>
            </w:r>
            <w:r>
              <w:rPr>
                <w:i/>
              </w:rPr>
              <w:t xml:space="preserve">Generation </w:t>
            </w:r>
            <w:r w:rsidRPr="00C65DFA">
              <w:rPr>
                <w:i/>
              </w:rPr>
              <w:t>Make-Whole Payment</w:t>
            </w:r>
            <w:r w:rsidRPr="00C65DFA">
              <w:t xml:space="preserve">—The </w:t>
            </w:r>
            <w:r>
              <w:t xml:space="preserve">Switchable Generation </w:t>
            </w:r>
            <w:r w:rsidRPr="00C65DFA">
              <w:t xml:space="preserve">Make-Whole Payment to the QSE </w:t>
            </w:r>
            <w:r w:rsidRPr="00C65DFA">
              <w:rPr>
                <w:i/>
              </w:rPr>
              <w:t>q,</w:t>
            </w:r>
            <w:r w:rsidRPr="00C65DFA">
              <w:t xml:space="preserve"> for Resource </w:t>
            </w:r>
            <w:r w:rsidRPr="00C65DFA">
              <w:rPr>
                <w:i/>
              </w:rPr>
              <w:t>r</w:t>
            </w:r>
            <w:r w:rsidRPr="00C65DFA">
              <w:t xml:space="preserve">, for the </w:t>
            </w:r>
            <w:r>
              <w:t>hour</w:t>
            </w:r>
            <w:r w:rsidRPr="00C65DFA">
              <w:t xml:space="preserve">.  Where for a Combined Cycle Train, the Resource </w:t>
            </w:r>
            <w:r w:rsidRPr="00C65DFA">
              <w:rPr>
                <w:i/>
              </w:rPr>
              <w:t xml:space="preserve">r </w:t>
            </w:r>
            <w:r w:rsidRPr="00C65DFA">
              <w:t>is the Combined Cycle Train.</w:t>
            </w:r>
          </w:p>
        </w:tc>
      </w:tr>
      <w:tr w:rsidR="00236104" w:rsidRPr="004502BD" w14:paraId="512AF95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14574AC" w14:textId="77777777" w:rsidR="00236104" w:rsidRPr="004502BD"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hideMark/>
          </w:tcPr>
          <w:p w14:paraId="1099EA64"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7BC1B433" w14:textId="77777777" w:rsidR="00236104" w:rsidRPr="004502BD" w:rsidRDefault="00236104" w:rsidP="00BA73E7">
            <w:pPr>
              <w:pStyle w:val="TableBody"/>
            </w:pPr>
            <w:r w:rsidRPr="004502BD">
              <w:t>A QSE.</w:t>
            </w:r>
          </w:p>
        </w:tc>
      </w:tr>
      <w:tr w:rsidR="00236104" w:rsidRPr="004502BD" w14:paraId="69AB95D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8AD7A44" w14:textId="77777777" w:rsidR="00236104" w:rsidRPr="004502BD" w:rsidRDefault="00236104" w:rsidP="00BA73E7">
            <w:pPr>
              <w:pStyle w:val="TableBody"/>
              <w:rPr>
                <w:i/>
              </w:rPr>
            </w:pPr>
            <w:r w:rsidRPr="004502BD">
              <w:rPr>
                <w:i/>
              </w:rPr>
              <w:t>r</w:t>
            </w:r>
          </w:p>
        </w:tc>
        <w:tc>
          <w:tcPr>
            <w:tcW w:w="433" w:type="pct"/>
            <w:tcBorders>
              <w:top w:val="single" w:sz="4" w:space="0" w:color="auto"/>
              <w:left w:val="single" w:sz="4" w:space="0" w:color="auto"/>
              <w:bottom w:val="single" w:sz="4" w:space="0" w:color="auto"/>
              <w:right w:val="single" w:sz="4" w:space="0" w:color="auto"/>
            </w:tcBorders>
            <w:hideMark/>
          </w:tcPr>
          <w:p w14:paraId="32386ADB"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3968199E" w14:textId="77777777" w:rsidR="00236104" w:rsidRPr="004502BD" w:rsidRDefault="00236104" w:rsidP="00BA73E7">
            <w:pPr>
              <w:pStyle w:val="TableBody"/>
            </w:pPr>
            <w:r w:rsidRPr="004502BD">
              <w:t xml:space="preserve">A </w:t>
            </w:r>
            <w:r>
              <w:t xml:space="preserve">Switchable </w:t>
            </w:r>
            <w:r w:rsidRPr="004502BD">
              <w:t>Generation Resource.</w:t>
            </w:r>
          </w:p>
        </w:tc>
      </w:tr>
    </w:tbl>
    <w:p w14:paraId="76A14CD2" w14:textId="7AAEE3B6" w:rsidR="00236104" w:rsidRPr="00236104" w:rsidRDefault="00236104" w:rsidP="00236104">
      <w:pPr>
        <w:pStyle w:val="H4"/>
        <w:spacing w:before="480"/>
        <w:ind w:left="1267" w:hanging="1267"/>
      </w:pPr>
      <w:bookmarkStart w:id="2660" w:name="_Toc189044477"/>
      <w:r w:rsidRPr="00236104">
        <w:t>6.6.12.2</w:t>
      </w:r>
      <w:r w:rsidRPr="00236104">
        <w:tab/>
        <w:t>Switchable Generation Make-Whole Charge</w:t>
      </w:r>
      <w:bookmarkEnd w:id="2660"/>
      <w:r w:rsidRPr="00236104">
        <w:t xml:space="preserve"> </w:t>
      </w:r>
    </w:p>
    <w:p w14:paraId="250D1910" w14:textId="77777777" w:rsidR="00236104" w:rsidRPr="00830ABD" w:rsidRDefault="00236104" w:rsidP="00236104">
      <w:pPr>
        <w:spacing w:after="240"/>
        <w:ind w:left="720" w:hanging="720"/>
      </w:pPr>
      <w:r w:rsidRPr="00830ABD">
        <w:t>(1)</w:t>
      </w:r>
      <w:r w:rsidRPr="00830ABD">
        <w:tab/>
        <w:t>The total cost for Switchable Generation Make-Whole Payments associated with SWGRs that switch to the ERCOT Control Area from a non-ERCOT Control Area pursuant to an ERCOT RU</w:t>
      </w:r>
      <w:r>
        <w:t>C</w:t>
      </w:r>
      <w:r w:rsidRPr="00830ABD">
        <w:t xml:space="preserve"> instruction for an actual or anticipated EEA condition is allocated to QSEs representing Load based on HLRS.  The Switchable Generation Make-Whole Charge for a given hour is calculated as follows:  </w:t>
      </w:r>
    </w:p>
    <w:p w14:paraId="02874F8F" w14:textId="77777777" w:rsidR="00236104" w:rsidRPr="008A543E" w:rsidRDefault="00236104" w:rsidP="00236104">
      <w:pPr>
        <w:tabs>
          <w:tab w:val="left" w:pos="2610"/>
          <w:tab w:val="left" w:pos="3060"/>
        </w:tabs>
        <w:spacing w:after="240"/>
        <w:ind w:left="3060" w:hanging="2340"/>
        <w:rPr>
          <w:b/>
          <w:bCs/>
          <w:i/>
          <w:szCs w:val="24"/>
          <w:vertAlign w:val="subscript"/>
        </w:rPr>
      </w:pPr>
      <w:r w:rsidRPr="008A543E">
        <w:rPr>
          <w:b/>
          <w:bCs/>
          <w:szCs w:val="24"/>
        </w:rPr>
        <w:t xml:space="preserve">LASWMWAMT </w:t>
      </w:r>
      <w:r w:rsidRPr="008A543E">
        <w:rPr>
          <w:b/>
          <w:bCs/>
          <w:i/>
          <w:szCs w:val="24"/>
          <w:vertAlign w:val="subscript"/>
        </w:rPr>
        <w:t>q</w:t>
      </w:r>
      <w:r w:rsidRPr="008A543E">
        <w:rPr>
          <w:b/>
          <w:bCs/>
          <w:szCs w:val="24"/>
        </w:rPr>
        <w:tab/>
      </w:r>
      <w:r w:rsidRPr="008A543E">
        <w:rPr>
          <w:b/>
        </w:rPr>
        <w:tab/>
      </w:r>
      <w:r w:rsidRPr="008A543E">
        <w:rPr>
          <w:b/>
          <w:bCs/>
          <w:szCs w:val="24"/>
        </w:rPr>
        <w:t>=</w:t>
      </w:r>
      <w:r w:rsidRPr="008A543E">
        <w:rPr>
          <w:b/>
          <w:bCs/>
          <w:szCs w:val="24"/>
        </w:rPr>
        <w:tab/>
        <w:t xml:space="preserve">(-1) * </w:t>
      </w:r>
      <w:r w:rsidRPr="008A543E">
        <w:rPr>
          <w:b/>
          <w:szCs w:val="24"/>
        </w:rPr>
        <w:t>SWMWAMTTOT</w:t>
      </w:r>
      <w:r w:rsidRPr="008A543E">
        <w:rPr>
          <w:b/>
          <w:bCs/>
          <w:szCs w:val="24"/>
        </w:rPr>
        <w:t xml:space="preserve"> * HLRS </w:t>
      </w:r>
      <w:r w:rsidRPr="008A543E">
        <w:rPr>
          <w:b/>
          <w:bCs/>
          <w:i/>
          <w:szCs w:val="24"/>
          <w:vertAlign w:val="subscript"/>
        </w:rPr>
        <w:t>q</w:t>
      </w:r>
    </w:p>
    <w:p w14:paraId="1C03E523" w14:textId="77777777" w:rsidR="00236104" w:rsidRPr="00830ABD" w:rsidRDefault="00236104" w:rsidP="00236104">
      <w:pPr>
        <w:spacing w:before="240" w:after="240"/>
        <w:ind w:left="3600" w:hanging="2880"/>
        <w:rPr>
          <w:bCs/>
          <w:szCs w:val="24"/>
        </w:rPr>
      </w:pPr>
      <w:r w:rsidRPr="00830ABD">
        <w:rPr>
          <w:bCs/>
          <w:szCs w:val="24"/>
        </w:rPr>
        <w:t>Where:</w:t>
      </w:r>
    </w:p>
    <w:p w14:paraId="5C7A2E6E" w14:textId="77777777" w:rsidR="00236104" w:rsidRPr="00830ABD" w:rsidRDefault="00236104" w:rsidP="00236104">
      <w:pPr>
        <w:tabs>
          <w:tab w:val="left" w:pos="2610"/>
          <w:tab w:val="left" w:pos="3060"/>
        </w:tabs>
        <w:spacing w:after="240"/>
        <w:ind w:left="3060" w:hanging="2340"/>
        <w:rPr>
          <w:bCs/>
          <w:szCs w:val="24"/>
        </w:rPr>
      </w:pPr>
      <w:r w:rsidRPr="00830ABD">
        <w:rPr>
          <w:bCs/>
          <w:szCs w:val="24"/>
        </w:rPr>
        <w:t>SWMWAMTTOT</w:t>
      </w:r>
      <w:r>
        <w:tab/>
      </w:r>
      <w:r>
        <w:tab/>
      </w:r>
      <w:r w:rsidRPr="00830ABD">
        <w:rPr>
          <w:bCs/>
          <w:szCs w:val="24"/>
        </w:rPr>
        <w:t>=</w:t>
      </w:r>
      <w:r w:rsidRPr="00830ABD">
        <w:rPr>
          <w:bCs/>
          <w:szCs w:val="24"/>
        </w:rPr>
        <w:tab/>
        <w:t xml:space="preserve"> </w:t>
      </w:r>
      <w:r w:rsidR="00DD0A69">
        <w:rPr>
          <w:bCs/>
          <w:position w:val="-22"/>
          <w:szCs w:val="24"/>
        </w:rPr>
        <w:pict w14:anchorId="68FF9CE3">
          <v:shape id="_x0000_i1309" type="#_x0000_t75" style="width:12pt;height:30pt">
            <v:imagedata r:id="rId383" o:title=""/>
          </v:shape>
        </w:pict>
      </w:r>
      <w:r w:rsidRPr="00830ABD">
        <w:rPr>
          <w:bCs/>
          <w:color w:val="000000"/>
          <w:szCs w:val="24"/>
        </w:rPr>
        <w:t xml:space="preserve"> </w:t>
      </w:r>
      <w:r w:rsidRPr="00830ABD">
        <w:rPr>
          <w:bCs/>
          <w:szCs w:val="24"/>
        </w:rPr>
        <w:t>SWMWAMTQSETOT</w:t>
      </w:r>
      <w:r w:rsidRPr="00830ABD">
        <w:rPr>
          <w:b/>
          <w:bCs/>
          <w:szCs w:val="24"/>
        </w:rPr>
        <w:t xml:space="preserve"> </w:t>
      </w:r>
      <w:r w:rsidRPr="00830ABD">
        <w:rPr>
          <w:bCs/>
          <w:i/>
          <w:szCs w:val="24"/>
          <w:vertAlign w:val="subscript"/>
        </w:rPr>
        <w:t>q</w:t>
      </w:r>
    </w:p>
    <w:p w14:paraId="56542413" w14:textId="77777777" w:rsidR="00236104" w:rsidRPr="00830ABD" w:rsidRDefault="00236104" w:rsidP="00236104">
      <w:pPr>
        <w:spacing w:before="120"/>
        <w:rPr>
          <w:szCs w:val="24"/>
        </w:rPr>
      </w:pPr>
      <w:r w:rsidRPr="00830ABD">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6764DF7C"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F8DF3D" w14:textId="77777777" w:rsidR="00236104" w:rsidRPr="004A7166" w:rsidRDefault="00236104" w:rsidP="00BA73E7">
            <w:pPr>
              <w:pStyle w:val="TableHead"/>
            </w:pPr>
            <w:r w:rsidRPr="004A7166">
              <w:lastRenderedPageBreak/>
              <w:t>Variable</w:t>
            </w:r>
          </w:p>
        </w:tc>
        <w:tc>
          <w:tcPr>
            <w:tcW w:w="433" w:type="pct"/>
            <w:tcBorders>
              <w:top w:val="single" w:sz="4" w:space="0" w:color="auto"/>
              <w:left w:val="single" w:sz="4" w:space="0" w:color="auto"/>
              <w:bottom w:val="single" w:sz="4" w:space="0" w:color="auto"/>
              <w:right w:val="single" w:sz="4" w:space="0" w:color="auto"/>
            </w:tcBorders>
            <w:hideMark/>
          </w:tcPr>
          <w:p w14:paraId="0A992E69"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31962060" w14:textId="77777777" w:rsidR="00236104" w:rsidRPr="004502BD" w:rsidRDefault="00236104" w:rsidP="00BA73E7">
            <w:pPr>
              <w:pStyle w:val="TableHead"/>
            </w:pPr>
            <w:r w:rsidRPr="004502BD">
              <w:t>Definition</w:t>
            </w:r>
          </w:p>
        </w:tc>
      </w:tr>
      <w:tr w:rsidR="00236104" w:rsidRPr="004502BD" w14:paraId="2E1941C1"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3DE855F" w14:textId="77777777" w:rsidR="00236104" w:rsidRPr="004502BD" w:rsidRDefault="00236104" w:rsidP="00BA73E7">
            <w:pPr>
              <w:pStyle w:val="TableBody"/>
            </w:pPr>
            <w:r w:rsidRPr="005D1BEB">
              <w:rPr>
                <w:bCs/>
              </w:rPr>
              <w:t>LA</w:t>
            </w:r>
            <w:r>
              <w:rPr>
                <w:bCs/>
              </w:rPr>
              <w:t>SWMW</w:t>
            </w:r>
            <w:r w:rsidRPr="002B4F4F">
              <w:rPr>
                <w:bCs/>
              </w:rPr>
              <w:t>AMT</w:t>
            </w:r>
            <w:r w:rsidRPr="001752E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2AAF4183"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0711AAE" w14:textId="77777777" w:rsidR="00236104" w:rsidRPr="00AB0B35" w:rsidRDefault="00236104" w:rsidP="00BA73E7">
            <w:pPr>
              <w:pStyle w:val="TableBody"/>
              <w:rPr>
                <w:i/>
              </w:rPr>
            </w:pPr>
            <w:r w:rsidRPr="00AB0B35">
              <w:rPr>
                <w:i/>
              </w:rPr>
              <w:t xml:space="preserve">Load Allocated </w:t>
            </w:r>
            <w:r>
              <w:rPr>
                <w:i/>
              </w:rPr>
              <w:t>Switchable Generation Make-Whole Charge Amount</w:t>
            </w:r>
            <w:r w:rsidRPr="00ED4A39">
              <w:rPr>
                <w:i/>
                <w:iCs w:val="0"/>
              </w:rPr>
              <w:t xml:space="preserve">– </w:t>
            </w:r>
            <w:r w:rsidRPr="004502BD">
              <w:t xml:space="preserve">The </w:t>
            </w:r>
            <w:r>
              <w:t>allocated</w:t>
            </w:r>
            <w:r w:rsidRPr="00AB0B35">
              <w:t xml:space="preserve"> charge to QSE</w:t>
            </w:r>
            <w:r>
              <w:t xml:space="preserve"> </w:t>
            </w:r>
            <w:r>
              <w:rPr>
                <w:i/>
              </w:rPr>
              <w:t>q</w:t>
            </w:r>
            <w:r w:rsidRPr="00AB0B35">
              <w:t xml:space="preserve"> for </w:t>
            </w:r>
            <w:r>
              <w:t>Switchable Generation Make-Whole Payments.</w:t>
            </w:r>
          </w:p>
        </w:tc>
      </w:tr>
      <w:tr w:rsidR="00236104" w:rsidRPr="004502BD" w14:paraId="78C03208"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9FC59F7" w14:textId="77777777" w:rsidR="00236104" w:rsidRPr="004502BD" w:rsidRDefault="00236104" w:rsidP="00BA73E7">
            <w:pPr>
              <w:pStyle w:val="TableBody"/>
            </w:pPr>
            <w:r w:rsidRPr="00C65DFA">
              <w:t>SWMWAMT</w:t>
            </w:r>
            <w:r w:rsidRPr="004502BD">
              <w:t>TOT</w:t>
            </w:r>
          </w:p>
        </w:tc>
        <w:tc>
          <w:tcPr>
            <w:tcW w:w="433" w:type="pct"/>
            <w:tcBorders>
              <w:top w:val="single" w:sz="4" w:space="0" w:color="auto"/>
              <w:left w:val="single" w:sz="4" w:space="0" w:color="auto"/>
              <w:bottom w:val="single" w:sz="4" w:space="0" w:color="auto"/>
              <w:right w:val="single" w:sz="4" w:space="0" w:color="auto"/>
            </w:tcBorders>
          </w:tcPr>
          <w:p w14:paraId="01140BD6"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7916BF92" w14:textId="77777777" w:rsidR="00236104" w:rsidRPr="00AB0B35" w:rsidRDefault="00236104" w:rsidP="00BA73E7">
            <w:pPr>
              <w:pStyle w:val="TableBody"/>
              <w:rPr>
                <w:i/>
              </w:rPr>
            </w:pPr>
            <w:r w:rsidRPr="00250272">
              <w:rPr>
                <w:i/>
              </w:rPr>
              <w:t xml:space="preserve">Switchable </w:t>
            </w:r>
            <w:r>
              <w:rPr>
                <w:i/>
              </w:rPr>
              <w:t xml:space="preserve">Generation </w:t>
            </w:r>
            <w:r w:rsidRPr="00250272">
              <w:rPr>
                <w:i/>
              </w:rPr>
              <w:t xml:space="preserve">Make-Whole Payment </w:t>
            </w:r>
            <w:r>
              <w:rPr>
                <w:i/>
              </w:rPr>
              <w:t>Total</w:t>
            </w:r>
            <w:r w:rsidRPr="00250272">
              <w:rPr>
                <w:i/>
              </w:rPr>
              <w:t>—</w:t>
            </w:r>
            <w:r w:rsidRPr="00067DC6">
              <w:t xml:space="preserve">The </w:t>
            </w:r>
            <w:r>
              <w:t xml:space="preserve">total </w:t>
            </w:r>
            <w:r w:rsidRPr="00067DC6">
              <w:t>Switchable Generation Make-Whole Payment</w:t>
            </w:r>
            <w:r>
              <w:t>s</w:t>
            </w:r>
            <w:r w:rsidRPr="00067DC6">
              <w:t xml:space="preserve"> to all QSEs for the hour</w:t>
            </w:r>
            <w:r>
              <w:t>.</w:t>
            </w:r>
            <w:r w:rsidRPr="00250272">
              <w:rPr>
                <w:i/>
              </w:rPr>
              <w:t xml:space="preserve">  </w:t>
            </w:r>
          </w:p>
        </w:tc>
      </w:tr>
      <w:tr w:rsidR="00236104" w:rsidRPr="004502BD" w14:paraId="27034025"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004C5B2A" w14:textId="77777777" w:rsidR="00236104" w:rsidRPr="00C65DFA" w:rsidDel="00FF5D22" w:rsidRDefault="00236104" w:rsidP="00BA73E7">
            <w:pPr>
              <w:pStyle w:val="TableBody"/>
            </w:pPr>
            <w:r w:rsidRPr="00C65DFA">
              <w:t>SWMWAMTQSETOT</w:t>
            </w:r>
            <w:r>
              <w:rPr>
                <w:b/>
              </w:rPr>
              <w:t xml:space="preserve"> </w:t>
            </w:r>
            <w:r w:rsidRPr="003C547A">
              <w:rPr>
                <w:b/>
                <w:i/>
                <w:vertAlign w:val="subscript"/>
              </w:rPr>
              <w:t>q</w:t>
            </w:r>
          </w:p>
        </w:tc>
        <w:tc>
          <w:tcPr>
            <w:tcW w:w="433" w:type="pct"/>
            <w:tcBorders>
              <w:top w:val="single" w:sz="4" w:space="0" w:color="auto"/>
              <w:left w:val="single" w:sz="4" w:space="0" w:color="auto"/>
              <w:bottom w:val="single" w:sz="4" w:space="0" w:color="auto"/>
              <w:right w:val="single" w:sz="4" w:space="0" w:color="auto"/>
            </w:tcBorders>
          </w:tcPr>
          <w:p w14:paraId="0C521049"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43477293" w14:textId="77777777" w:rsidR="00236104" w:rsidRPr="00250272" w:rsidRDefault="00236104" w:rsidP="00BA73E7">
            <w:pPr>
              <w:pStyle w:val="TableBody"/>
              <w:rPr>
                <w:i/>
              </w:rPr>
            </w:pPr>
            <w:r w:rsidRPr="00C65DFA">
              <w:rPr>
                <w:i/>
              </w:rPr>
              <w:t xml:space="preserve">Switchable </w:t>
            </w:r>
            <w:r>
              <w:rPr>
                <w:i/>
              </w:rPr>
              <w:t xml:space="preserve">Generation </w:t>
            </w:r>
            <w:r w:rsidRPr="00C65DFA">
              <w:rPr>
                <w:i/>
              </w:rPr>
              <w:t>Make-Whole Payment</w:t>
            </w:r>
            <w:r>
              <w:rPr>
                <w:i/>
              </w:rPr>
              <w:t xml:space="preserve"> per QSE </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CFD72B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42C09253" w14:textId="77777777" w:rsidR="00236104" w:rsidRPr="00C65DFA" w:rsidRDefault="00236104" w:rsidP="00BA73E7">
            <w:pPr>
              <w:pStyle w:val="TableBody"/>
            </w:pPr>
            <w:r w:rsidRPr="00132FF5">
              <w:t>HLRS</w:t>
            </w:r>
            <w:r w:rsidRPr="00067DC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70BA4D8B" w14:textId="77777777" w:rsidR="00236104" w:rsidRPr="004502BD" w:rsidRDefault="00236104" w:rsidP="00BA73E7">
            <w:pPr>
              <w:pStyle w:val="TableBody"/>
            </w:pPr>
            <w:r w:rsidRPr="00132FF5">
              <w:t>none</w:t>
            </w:r>
          </w:p>
        </w:tc>
        <w:tc>
          <w:tcPr>
            <w:tcW w:w="3174" w:type="pct"/>
            <w:tcBorders>
              <w:top w:val="single" w:sz="4" w:space="0" w:color="auto"/>
              <w:left w:val="single" w:sz="4" w:space="0" w:color="auto"/>
              <w:bottom w:val="single" w:sz="4" w:space="0" w:color="auto"/>
              <w:right w:val="single" w:sz="4" w:space="0" w:color="auto"/>
            </w:tcBorders>
          </w:tcPr>
          <w:p w14:paraId="363DD411" w14:textId="77777777" w:rsidR="00236104" w:rsidRPr="00250272" w:rsidRDefault="00236104" w:rsidP="00BA73E7">
            <w:pPr>
              <w:pStyle w:val="TableBody"/>
              <w:rPr>
                <w:i/>
              </w:rPr>
            </w:pPr>
            <w:r w:rsidRPr="00FA31E9">
              <w:rPr>
                <w:i/>
              </w:rPr>
              <w:t xml:space="preserve">The </w:t>
            </w:r>
            <w:r>
              <w:rPr>
                <w:i/>
              </w:rPr>
              <w:t>H</w:t>
            </w:r>
            <w:r w:rsidRPr="00FA31E9">
              <w:rPr>
                <w:i/>
              </w:rPr>
              <w:t>ourly L</w:t>
            </w:r>
            <w:r>
              <w:rPr>
                <w:i/>
              </w:rPr>
              <w:t xml:space="preserve">oad </w:t>
            </w:r>
            <w:r w:rsidRPr="00FA31E9">
              <w:rPr>
                <w:i/>
              </w:rPr>
              <w:t>R</w:t>
            </w:r>
            <w:r>
              <w:rPr>
                <w:i/>
              </w:rPr>
              <w:t>atio</w:t>
            </w:r>
            <w:r w:rsidRPr="00FA31E9">
              <w:rPr>
                <w:i/>
              </w:rPr>
              <w:t xml:space="preserve"> S</w:t>
            </w:r>
            <w:r>
              <w:rPr>
                <w:i/>
              </w:rPr>
              <w:t>hare</w:t>
            </w:r>
            <w:r w:rsidRPr="00FA31E9">
              <w:rPr>
                <w:i/>
              </w:rPr>
              <w:t xml:space="preserve"> calculated for QSE q for the hour</w:t>
            </w:r>
            <w:r w:rsidRPr="00132FF5">
              <w:t>.  See Section 6.6.2.4, QSE Load Ratio Share for an Operating Hour.</w:t>
            </w:r>
          </w:p>
        </w:tc>
      </w:tr>
      <w:tr w:rsidR="00236104" w:rsidRPr="004502BD" w14:paraId="20CDE28D"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2265E20" w14:textId="77777777" w:rsidR="00236104" w:rsidRPr="00D52A9E"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tcPr>
          <w:p w14:paraId="34F5B97B" w14:textId="77777777" w:rsidR="00236104" w:rsidRPr="00D52A9E"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tcPr>
          <w:p w14:paraId="51D984F1" w14:textId="77777777" w:rsidR="00236104" w:rsidRPr="00D52A9E" w:rsidRDefault="00236104" w:rsidP="00BA73E7">
            <w:pPr>
              <w:pStyle w:val="TableBody"/>
            </w:pPr>
            <w:r w:rsidRPr="004502BD">
              <w:t>A QSE.</w:t>
            </w:r>
          </w:p>
        </w:tc>
      </w:tr>
    </w:tbl>
    <w:p w14:paraId="1578FC43" w14:textId="3DD28978" w:rsidR="00236104" w:rsidRPr="00236104" w:rsidRDefault="00236104" w:rsidP="00236104">
      <w:pPr>
        <w:pStyle w:val="H4"/>
        <w:spacing w:before="480"/>
        <w:ind w:left="1267" w:hanging="1267"/>
      </w:pPr>
      <w:bookmarkStart w:id="2661" w:name="_Toc189044478"/>
      <w:r w:rsidRPr="00236104">
        <w:t>6.6.12.3</w:t>
      </w:r>
      <w:r w:rsidRPr="00236104">
        <w:tab/>
        <w:t>Miscellaneous Invoice for Switchable Generation Make-Whole Payments and Charges</w:t>
      </w:r>
      <w:bookmarkEnd w:id="2661"/>
      <w:r w:rsidRPr="00236104">
        <w:t xml:space="preserve"> </w:t>
      </w:r>
    </w:p>
    <w:p w14:paraId="5D72634A" w14:textId="77777777" w:rsidR="00236104" w:rsidRDefault="00236104" w:rsidP="00236104">
      <w:pPr>
        <w:spacing w:after="240"/>
        <w:ind w:left="720" w:hanging="720"/>
      </w:pPr>
      <w:r w:rsidRPr="004502BD">
        <w:t>(1)</w:t>
      </w:r>
      <w:r w:rsidRPr="004502BD">
        <w:tab/>
      </w:r>
      <w:r>
        <w:t xml:space="preserve">All approved disputes shall be settled as described in Section 9.14.2, </w:t>
      </w:r>
      <w:r w:rsidRPr="00067DC6">
        <w:t>Notice of Dispute</w:t>
      </w:r>
      <w:r>
        <w:t>.</w:t>
      </w:r>
      <w:r w:rsidDel="00A8410F">
        <w:t xml:space="preserve"> </w:t>
      </w:r>
    </w:p>
    <w:p w14:paraId="0857FCA1" w14:textId="77777777" w:rsidR="00236104" w:rsidRDefault="00236104" w:rsidP="00236104">
      <w:pPr>
        <w:spacing w:after="240"/>
        <w:ind w:left="720" w:hanging="720"/>
        <w:rPr>
          <w:bCs/>
        </w:rPr>
      </w:pPr>
      <w:r>
        <w:rPr>
          <w:bCs/>
          <w:iCs/>
        </w:rPr>
        <w:t xml:space="preserve">(2) </w:t>
      </w:r>
      <w:r>
        <w:rPr>
          <w:bCs/>
          <w:iCs/>
        </w:rPr>
        <w:tab/>
      </w:r>
      <w:r w:rsidRPr="00AF0BBA">
        <w:rPr>
          <w:bCs/>
          <w:iCs/>
        </w:rPr>
        <w:t>ERCOT shall issue a miscellaneous Invo</w:t>
      </w:r>
      <w:r w:rsidRPr="006A2E6F">
        <w:rPr>
          <w:bCs/>
          <w:iCs/>
        </w:rPr>
        <w:t xml:space="preserve">ice to a </w:t>
      </w:r>
      <w:r w:rsidRPr="006A2E6F">
        <w:t>QSE</w:t>
      </w:r>
      <w:r w:rsidRPr="006A2E6F">
        <w:rPr>
          <w:bCs/>
          <w:iCs/>
        </w:rPr>
        <w:t xml:space="preserve"> for </w:t>
      </w:r>
      <w:r w:rsidRPr="006A2E6F">
        <w:rPr>
          <w:bCs/>
        </w:rPr>
        <w:t>Switchable Generation Make-Whole Payments as described in Section 6.6.12.1, Switchable Generation Make-Whole Payment.</w:t>
      </w:r>
      <w:r w:rsidRPr="00AF0BBA">
        <w:rPr>
          <w:bCs/>
        </w:rPr>
        <w:t xml:space="preserve">  </w:t>
      </w:r>
    </w:p>
    <w:p w14:paraId="328371CC" w14:textId="77777777" w:rsidR="00236104" w:rsidRPr="00CB41C3" w:rsidRDefault="00236104" w:rsidP="00236104">
      <w:pPr>
        <w:spacing w:after="240"/>
        <w:ind w:left="720" w:hanging="720"/>
        <w:rPr>
          <w:bCs/>
          <w:iCs/>
        </w:rPr>
      </w:pPr>
      <w:r w:rsidRPr="00CB41C3">
        <w:rPr>
          <w:bCs/>
          <w:iCs/>
        </w:rPr>
        <w:t xml:space="preserve">(3)       ERCOT shall issue a miscellaneous Invoice to the QSE representing Load based on the HLRS as described in Section 6.6.12.2, Switchable Generation Make-Whole Charge. </w:t>
      </w:r>
    </w:p>
    <w:p w14:paraId="77B1799F" w14:textId="760E5A5B" w:rsidR="00234FA4" w:rsidRDefault="00236104" w:rsidP="00236104">
      <w:pPr>
        <w:spacing w:after="240"/>
        <w:ind w:left="720" w:hanging="720"/>
      </w:pPr>
      <w:r w:rsidRPr="00AF0BBA">
        <w:t>(</w:t>
      </w:r>
      <w:r>
        <w:t>4</w:t>
      </w:r>
      <w:r w:rsidRPr="00AF0BBA">
        <w:t xml:space="preserve">) </w:t>
      </w:r>
      <w:r w:rsidRPr="00AF0BBA">
        <w:tab/>
        <w:t xml:space="preserve">ERCOT </w:t>
      </w:r>
      <w:r w:rsidRPr="00236104">
        <w:rPr>
          <w:bCs/>
        </w:rPr>
        <w:t>shall</w:t>
      </w:r>
      <w:r w:rsidRPr="00AF0BBA">
        <w:t xml:space="preserve"> issue a Market Notice</w:t>
      </w:r>
      <w:r>
        <w:t xml:space="preserve"> in conjunction with the issuance of the miscellaneous Invoice.</w:t>
      </w:r>
    </w:p>
    <w:p w14:paraId="5F4A6E1E" w14:textId="77777777" w:rsidR="00EE47CF" w:rsidRPr="00EE47CF" w:rsidRDefault="00EE47CF" w:rsidP="00EE47CF">
      <w:pPr>
        <w:pStyle w:val="H3"/>
        <w:spacing w:before="480"/>
      </w:pPr>
      <w:bookmarkStart w:id="2662" w:name="_Toc189044479"/>
      <w:r w:rsidRPr="002935C8">
        <w:t>6.6.13</w:t>
      </w:r>
      <w:r w:rsidRPr="002935C8">
        <w:tab/>
        <w:t>Wholesale Storage Load Reconciliation for ESRs Operating in a Private Microgrid Island</w:t>
      </w:r>
      <w:bookmarkEnd w:id="2662"/>
    </w:p>
    <w:p w14:paraId="456F61EB" w14:textId="71C2FDB5" w:rsidR="00EE47CF" w:rsidRDefault="00EE47CF" w:rsidP="00EE47CF">
      <w:pPr>
        <w:spacing w:after="240"/>
        <w:ind w:left="720" w:hanging="720"/>
        <w:rPr>
          <w:rFonts w:cs="Arial"/>
          <w:color w:val="201F1E"/>
        </w:rPr>
      </w:pPr>
      <w:r w:rsidRPr="002935C8">
        <w:t>(1)</w:t>
      </w:r>
      <w:r w:rsidRPr="002935C8">
        <w:tab/>
      </w:r>
      <w:bookmarkStart w:id="2663" w:name="_Hlk100001339"/>
      <w:bookmarkStart w:id="2664" w:name="_Hlk100005710"/>
      <w:r w:rsidRPr="002935C8">
        <w:t xml:space="preserve">A QSE representing an ESR operating in a Private Microgrid Island (PMI) configuration shall, within 96 hours of the end of such operations, submit a Settlement and billing dispute notifying ERCOT of the date and time that PMI operation began and ended. </w:t>
      </w:r>
      <w:bookmarkStart w:id="2665" w:name="_Hlk100002098"/>
      <w:r w:rsidRPr="002935C8">
        <w:t xml:space="preserve"> </w:t>
      </w:r>
      <w:r>
        <w:t xml:space="preserve">The QSE shall also notify the interconnecting Transmission and/or Distribution Service Provider(s) (TDSP(s)) of the time and date the PMI configuration began and ended within 96 hours of the end of such operations.  </w:t>
      </w:r>
      <w:r w:rsidRPr="002935C8">
        <w:t xml:space="preserve">Following the submission of such a dispute, ERCOT shall use the outflow quantities recorded by the ERCOT-Polled Settlement (EPS) Meter measuring the ESR’s gross output net of any internal telemetered auxiliary Load, combined with any telemetered integrated auxiliary Load to determine the amount of Load served by the Resource during the period of PMI operation.  ERCOT shall then determine the minimum whole number of Operating Days including and successively preceding the beginning of PMI operation for which the cumulative amount of WSL consumed on those Operating Days would equal or exceed the amount of Load served by the Resource during the period of PMI operation.  ERCOT shall grant the </w:t>
      </w:r>
      <w:r w:rsidRPr="002935C8">
        <w:lastRenderedPageBreak/>
        <w:t xml:space="preserve">dispute and recharacterize all WSL previously settled on each such Operating Day as non-WSL.  </w:t>
      </w:r>
      <w:bookmarkEnd w:id="2663"/>
      <w:bookmarkEnd w:id="2665"/>
      <w:r w:rsidRPr="002935C8">
        <w:t xml:space="preserve">The adjustment to Settlements based on the recharacterization of WSL </w:t>
      </w:r>
      <w:r w:rsidRPr="002935C8">
        <w:rPr>
          <w:rFonts w:cs="Arial"/>
          <w:color w:val="201F1E"/>
        </w:rPr>
        <w:t>will be included in the RTM Final Settlement and/or RTM True-Up Settlement for each Operating Day.</w:t>
      </w:r>
      <w:bookmarkEnd w:id="2664"/>
    </w:p>
    <w:p w14:paraId="5F183220" w14:textId="77777777" w:rsidR="00281DEA" w:rsidRDefault="00281DEA" w:rsidP="000445FA">
      <w:pPr>
        <w:pStyle w:val="H3"/>
        <w:spacing w:before="480"/>
      </w:pPr>
      <w:bookmarkStart w:id="2666" w:name="_Toc189044480"/>
      <w:r>
        <w:t>6.6.14</w:t>
      </w:r>
      <w:r>
        <w:tab/>
        <w:t>Firm Fuel Supply Service Capability</w:t>
      </w:r>
      <w:bookmarkEnd w:id="2666"/>
    </w:p>
    <w:p w14:paraId="3E47EEDC" w14:textId="77777777" w:rsidR="00281DEA" w:rsidRPr="003F160F" w:rsidRDefault="00281DEA" w:rsidP="00F510E2">
      <w:pPr>
        <w:pStyle w:val="H4"/>
        <w:spacing w:before="480"/>
        <w:ind w:left="1267" w:hanging="1267"/>
      </w:pPr>
      <w:bookmarkStart w:id="2667" w:name="_Toc189044481"/>
      <w:r w:rsidRPr="003F160F">
        <w:t>6.6.14.1</w:t>
      </w:r>
      <w:r w:rsidRPr="003F160F">
        <w:tab/>
        <w:t>Firm Fuel Supply Service Fuel Replacement Costs Recovery</w:t>
      </w:r>
      <w:bookmarkEnd w:id="2667"/>
    </w:p>
    <w:p w14:paraId="68A343B6" w14:textId="5862C569" w:rsidR="00281DEA" w:rsidRPr="008C62A0" w:rsidRDefault="00281DEA" w:rsidP="00281DEA">
      <w:pPr>
        <w:pStyle w:val="BodyTextNumbered"/>
      </w:pPr>
      <w:r w:rsidRPr="00AA20BE">
        <w:t>(1)</w:t>
      </w:r>
      <w:r w:rsidRPr="00AA20BE">
        <w:tab/>
        <w:t xml:space="preserve">If ERCOT </w:t>
      </w:r>
      <w:r>
        <w:t>approves</w:t>
      </w:r>
      <w:r w:rsidRPr="00AA20BE">
        <w:t xml:space="preserve"> a </w:t>
      </w:r>
      <w:r>
        <w:t xml:space="preserve">Firm Fuel Supply Service Resource (FFSSR) </w:t>
      </w:r>
      <w:r w:rsidRPr="00AA20BE">
        <w:t xml:space="preserve">to switch to </w:t>
      </w:r>
      <w:r>
        <w:t>consume the reserved fuel</w:t>
      </w:r>
      <w:r w:rsidR="00792AED" w:rsidRPr="00792AED">
        <w:t xml:space="preserve"> </w:t>
      </w:r>
      <w:r w:rsidR="00792AED" w:rsidRPr="00DF6D6B">
        <w:t>and directs or approves a restocking pursuant to paragraph (5) of Section 3.14.5, Firm Fuel Supply Service</w:t>
      </w:r>
      <w:r w:rsidRPr="00AA20BE">
        <w:t xml:space="preserve">, </w:t>
      </w:r>
      <w:r>
        <w:t xml:space="preserve">ERCOT shall pay </w:t>
      </w:r>
      <w:r w:rsidRPr="00AA20BE">
        <w:t xml:space="preserve">the QSE representing the </w:t>
      </w:r>
      <w:r>
        <w:t>FFSSR for the replacement of burned fuel, if the QSE has</w:t>
      </w:r>
      <w:r w:rsidRPr="00AA20BE">
        <w:t>:</w:t>
      </w:r>
    </w:p>
    <w:p w14:paraId="5A699C7E" w14:textId="77777777" w:rsidR="00281DEA" w:rsidRDefault="00281DEA" w:rsidP="00281DEA">
      <w:pPr>
        <w:spacing w:after="240"/>
        <w:ind w:left="1440" w:hanging="720"/>
      </w:pPr>
      <w:r>
        <w:t>(a)</w:t>
      </w:r>
      <w:r>
        <w:tab/>
        <w:t>C</w:t>
      </w:r>
      <w:r w:rsidRPr="00C42B52">
        <w:t>omplied with</w:t>
      </w:r>
      <w:r>
        <w:t xml:space="preserve"> the Firm Fuel Supply Service (FFSS) i</w:t>
      </w:r>
      <w:r w:rsidRPr="00C42B52">
        <w:t xml:space="preserve">nstruction to switch to </w:t>
      </w:r>
      <w:r>
        <w:t>the reserved fuel</w:t>
      </w:r>
      <w:r w:rsidRPr="00C42B52">
        <w:t>;</w:t>
      </w:r>
    </w:p>
    <w:p w14:paraId="20A585E3" w14:textId="77777777" w:rsidR="00281DEA" w:rsidRPr="00F057BA" w:rsidRDefault="00281DEA" w:rsidP="00281DEA">
      <w:pPr>
        <w:spacing w:after="240"/>
        <w:ind w:left="1440" w:hanging="720"/>
      </w:pPr>
      <w:r w:rsidRPr="00F057BA">
        <w:t>(</w:t>
      </w:r>
      <w:r>
        <w:t>b</w:t>
      </w:r>
      <w:r w:rsidRPr="00F057BA">
        <w:t>)</w:t>
      </w:r>
      <w:r w:rsidRPr="00F057BA">
        <w:tab/>
        <w:t xml:space="preserve">Submitted a Settlement and billing dispute consistent with the dispute process described in Section 9.14, Settlement and Billing Dispute Process;  </w:t>
      </w:r>
    </w:p>
    <w:p w14:paraId="090E0F77" w14:textId="6B0872F2" w:rsidR="00281DEA" w:rsidRPr="00C42B52" w:rsidRDefault="00281DEA" w:rsidP="00281DEA">
      <w:pPr>
        <w:spacing w:after="240"/>
        <w:ind w:left="1440" w:hanging="720"/>
      </w:pPr>
      <w:r w:rsidRPr="00C42B52">
        <w:t>(</w:t>
      </w:r>
      <w:r>
        <w:t>c</w:t>
      </w:r>
      <w:r w:rsidRPr="00C42B52">
        <w:t>)</w:t>
      </w:r>
      <w:r w:rsidRPr="00C42B52">
        <w:tab/>
      </w:r>
      <w:r w:rsidRPr="00F057BA">
        <w:t>Submit</w:t>
      </w:r>
      <w:r>
        <w:t>ted</w:t>
      </w:r>
      <w:r w:rsidRPr="00F057BA">
        <w:t xml:space="preserve"> the following within </w:t>
      </w:r>
      <w:r>
        <w:t>90 days</w:t>
      </w:r>
      <w:r w:rsidRPr="00F057BA">
        <w:t xml:space="preserve"> of the issuance of a RTM Initial Statement for </w:t>
      </w:r>
      <w:r>
        <w:t xml:space="preserve">the </w:t>
      </w:r>
      <w:r w:rsidRPr="00F057BA">
        <w:t xml:space="preserve">Operating Day on which </w:t>
      </w:r>
      <w:r>
        <w:t>the FFSS instruction was issued:</w:t>
      </w:r>
    </w:p>
    <w:p w14:paraId="7B73EBF8" w14:textId="77777777" w:rsidR="00281DEA" w:rsidRDefault="00281DEA" w:rsidP="00281DEA">
      <w:pPr>
        <w:spacing w:after="240"/>
        <w:ind w:left="2160" w:hanging="720"/>
      </w:pPr>
      <w:r>
        <w:t>(i)</w:t>
      </w:r>
      <w:r>
        <w:tab/>
      </w:r>
      <w:r w:rsidRPr="00BB3C99">
        <w:t>An attestation signed by an officer or executive with authority to bind the QSE stating that the information contained in the dispute is accurate</w:t>
      </w:r>
      <w:r>
        <w:t>;</w:t>
      </w:r>
    </w:p>
    <w:p w14:paraId="29307B96" w14:textId="77777777" w:rsidR="00281DEA" w:rsidRDefault="00281DEA" w:rsidP="00281DEA">
      <w:pPr>
        <w:spacing w:after="240"/>
        <w:ind w:left="2160" w:hanging="720"/>
      </w:pPr>
      <w:r>
        <w:t>(ii)</w:t>
      </w:r>
      <w:r>
        <w:tab/>
      </w:r>
      <w:r w:rsidRPr="00987D98">
        <w:t>For each deployment of FFSS,</w:t>
      </w:r>
      <w:r>
        <w:t xml:space="preserve"> t</w:t>
      </w:r>
      <w:r w:rsidRPr="00C42B52">
        <w:t xml:space="preserve">he </w:t>
      </w:r>
      <w:r>
        <w:t>quantity of total fuel consumed for the hours in each instance when FFSS was deployed;</w:t>
      </w:r>
    </w:p>
    <w:p w14:paraId="4401F1F3" w14:textId="77777777" w:rsidR="00281DEA" w:rsidRDefault="00281DEA" w:rsidP="00281DEA">
      <w:pPr>
        <w:spacing w:after="240"/>
        <w:ind w:left="2160" w:hanging="720"/>
      </w:pPr>
      <w:r>
        <w:t>(iii)</w:t>
      </w:r>
      <w:r>
        <w:tab/>
      </w:r>
      <w:r w:rsidRPr="00BB3C99">
        <w:t>For thermal units, the input-output equation or other documentation that allows for verification of fuel consumption for the hours when FFSS was deployed</w:t>
      </w:r>
      <w:r>
        <w:t>;</w:t>
      </w:r>
    </w:p>
    <w:p w14:paraId="3FD7C203" w14:textId="77777777" w:rsidR="006E1C22" w:rsidRDefault="006E1C22" w:rsidP="006E1C22">
      <w:pPr>
        <w:spacing w:after="240"/>
        <w:ind w:left="2160" w:hanging="720"/>
      </w:pPr>
      <w:r>
        <w:t>(iv)</w:t>
      </w:r>
      <w:r>
        <w:tab/>
        <w:t>The heat content of the fuel, in terms of MMBtu/gal or similar units of measurement;</w:t>
      </w:r>
    </w:p>
    <w:p w14:paraId="19ABC38F" w14:textId="64E6A24A" w:rsidR="00281DEA" w:rsidRDefault="00281DEA" w:rsidP="00281DEA">
      <w:pPr>
        <w:spacing w:after="240"/>
        <w:ind w:left="2160" w:hanging="720"/>
      </w:pPr>
      <w:r>
        <w:t>(v)</w:t>
      </w:r>
      <w:r>
        <w:tab/>
        <w:t>The dollar amount and quantity of fuel purchased to replace the consumed fuel;</w:t>
      </w:r>
    </w:p>
    <w:p w14:paraId="6D79F4FA" w14:textId="3E78BD22" w:rsidR="00281DEA" w:rsidRDefault="00281DEA" w:rsidP="00281DEA">
      <w:pPr>
        <w:spacing w:after="240"/>
        <w:ind w:left="2160" w:hanging="720"/>
      </w:pPr>
      <w:r w:rsidRPr="00351C8F">
        <w:t>(</w:t>
      </w:r>
      <w:r>
        <w:t>v</w:t>
      </w:r>
      <w:r w:rsidR="006E1C22">
        <w:t>i</w:t>
      </w:r>
      <w:r w:rsidRPr="00351C8F">
        <w:t>)</w:t>
      </w:r>
      <w:r w:rsidRPr="00351C8F">
        <w:tab/>
        <w:t xml:space="preserve">Sufficient documentation to support the QSE’s </w:t>
      </w:r>
      <w:r>
        <w:t>determination</w:t>
      </w:r>
      <w:r w:rsidRPr="00351C8F">
        <w:t xml:space="preserve"> of the amount </w:t>
      </w:r>
      <w:r>
        <w:t xml:space="preserve">and cost </w:t>
      </w:r>
      <w:r w:rsidRPr="00351C8F">
        <w:t xml:space="preserve">of </w:t>
      </w:r>
      <w:r>
        <w:t>replaced fuel; and</w:t>
      </w:r>
      <w:r w:rsidRPr="00C42B52">
        <w:t xml:space="preserve"> </w:t>
      </w:r>
    </w:p>
    <w:p w14:paraId="3F259490" w14:textId="1E408659" w:rsidR="00792AED" w:rsidRPr="00DF6D6B" w:rsidRDefault="00281DEA" w:rsidP="00792AED">
      <w:pPr>
        <w:spacing w:after="240"/>
        <w:ind w:left="2160" w:hanging="720"/>
      </w:pPr>
      <w:r>
        <w:t>(vi</w:t>
      </w:r>
      <w:r w:rsidR="006E1C22">
        <w:t>i</w:t>
      </w:r>
      <w:r>
        <w:t>)</w:t>
      </w:r>
      <w:r>
        <w:tab/>
      </w:r>
      <w:r w:rsidRPr="00A413CF">
        <w:t>Any other technical documentation</w:t>
      </w:r>
      <w:r>
        <w:t xml:space="preserve"> within the possession of the QSE or Resource Entity which</w:t>
      </w:r>
      <w:r w:rsidRPr="00A413CF">
        <w:t xml:space="preserve"> ERCOT finds</w:t>
      </w:r>
      <w:r w:rsidRPr="008A630A">
        <w:t xml:space="preserve"> </w:t>
      </w:r>
      <w:r>
        <w:t>reasonably</w:t>
      </w:r>
      <w:r w:rsidRPr="00A413CF">
        <w:t xml:space="preserve"> necessary to verify </w:t>
      </w:r>
      <w:r>
        <w:t>paragraphs (i) through (v</w:t>
      </w:r>
      <w:r w:rsidR="006E1C22">
        <w:t>i</w:t>
      </w:r>
      <w:r>
        <w:t xml:space="preserve">) above.  Any additional request from ERCOT </w:t>
      </w:r>
      <w:r>
        <w:lastRenderedPageBreak/>
        <w:t>for documentation or clarification of previously submitted documentation must be honored within 15 Business Days.</w:t>
      </w:r>
      <w:r w:rsidRPr="00834567">
        <w:t xml:space="preserve">  </w:t>
      </w:r>
      <w:r w:rsidR="00792AED" w:rsidRPr="00DF6D6B">
        <w:t xml:space="preserve">  </w:t>
      </w:r>
    </w:p>
    <w:p w14:paraId="7AB80537" w14:textId="1FC11E73" w:rsidR="00281DEA" w:rsidRDefault="00792AED" w:rsidP="00792AED">
      <w:pPr>
        <w:pStyle w:val="BodyTextNumbered"/>
      </w:pPr>
      <w:r w:rsidRPr="00DF6D6B">
        <w:t>(2)</w:t>
      </w:r>
      <w:r w:rsidRPr="00DF6D6B">
        <w:tab/>
        <w:t>In addition to the requirements under paragraph (1)(c) above, for a Generation Resource that was awarded FFSS using reserved fuel based on a Firm Gas Storage Agreement and is requesting compensation for the cost of the replaced fuel, the QSE or Resource Entity representing the FFSSR must show proof that it purchased and nominated fuel in sufficient quantities (in MMBtu) that was consumed during the FFSS deployment and that its actual receipts and deliveries of such replacement fuel conformed with its nominated quantities.</w:t>
      </w:r>
    </w:p>
    <w:p w14:paraId="00AD0C7D" w14:textId="63245925" w:rsidR="00281DEA" w:rsidRDefault="00281DEA" w:rsidP="00281DEA">
      <w:pPr>
        <w:pStyle w:val="BodyTextNumbered"/>
      </w:pPr>
      <w:r>
        <w:t>(</w:t>
      </w:r>
      <w:r w:rsidR="00792AED">
        <w:t>3</w:t>
      </w:r>
      <w:r>
        <w:t>)</w:t>
      </w:r>
      <w:r>
        <w:tab/>
        <w:t xml:space="preserve">The </w:t>
      </w:r>
      <w:r w:rsidRPr="000064BF">
        <w:t xml:space="preserve">Firm Fuel Supply Service Fuel Replacement Cost </w:t>
      </w:r>
      <w:r>
        <w:t xml:space="preserve">shall only represent the replacement fuel costs not recovered during the FFSS deployment period through Day-Ahead energy sales and Real-Time energy imbalance settlement </w:t>
      </w:r>
      <w:r w:rsidRPr="00D90D69">
        <w:t>revenues</w:t>
      </w:r>
      <w:r>
        <w:t xml:space="preserve"> related to the Resource with the FFSS award</w:t>
      </w:r>
      <w:r w:rsidRPr="00F64458">
        <w:t>.</w:t>
      </w:r>
      <w:r w:rsidR="00792AED" w:rsidRPr="00792AED">
        <w:rPr>
          <w:shd w:val="clear" w:color="auto" w:fill="FFFFFF"/>
        </w:rPr>
        <w:t xml:space="preserve"> </w:t>
      </w:r>
      <w:r w:rsidR="00792AED">
        <w:rPr>
          <w:shd w:val="clear" w:color="auto" w:fill="FFFFFF"/>
        </w:rPr>
        <w:t xml:space="preserve"> </w:t>
      </w:r>
      <w:r w:rsidR="00792AED" w:rsidRPr="00DF6D6B">
        <w:rPr>
          <w:shd w:val="clear" w:color="auto" w:fill="FFFFFF"/>
        </w:rPr>
        <w:t>In addition, the Firm Fuel Supply Service Fuel Replacement Cost shall only include commodity and variable transportation costs directly attributable to the replenishment of fuel for the FFSSR.</w:t>
      </w:r>
    </w:p>
    <w:p w14:paraId="5032E45D" w14:textId="77777777" w:rsidR="00AD58D8" w:rsidRPr="00AD58D8" w:rsidRDefault="00AD58D8" w:rsidP="00AD58D8">
      <w:pPr>
        <w:spacing w:after="240"/>
        <w:ind w:left="720" w:hanging="720"/>
        <w:rPr>
          <w:iCs/>
          <w:shd w:val="clear" w:color="auto" w:fill="FFFFFF"/>
        </w:rPr>
      </w:pPr>
      <w:r w:rsidRPr="00AD58D8">
        <w:rPr>
          <w:iCs/>
        </w:rPr>
        <w:t xml:space="preserve">(4) </w:t>
      </w:r>
      <w:r w:rsidRPr="00AD58D8">
        <w:rPr>
          <w:iCs/>
        </w:rPr>
        <w:tab/>
        <w:t xml:space="preserve">If, after ERCOT approval, the fuel that was burned during FFSS deployment is replaced using existing fuel inventories, the </w:t>
      </w:r>
      <w:r w:rsidRPr="00AD58D8">
        <w:rPr>
          <w:iCs/>
          <w:shd w:val="clear" w:color="auto" w:fill="FFFFFF"/>
        </w:rPr>
        <w:t>Firm Fuel Supply Service Fuel Replacement Cost may be based on:</w:t>
      </w:r>
    </w:p>
    <w:p w14:paraId="4B6FB6CD" w14:textId="77777777" w:rsidR="00AD58D8" w:rsidRPr="00AD58D8" w:rsidRDefault="00AD58D8" w:rsidP="00AD58D8">
      <w:pPr>
        <w:spacing w:after="240"/>
        <w:ind w:left="1440" w:hanging="720"/>
        <w:rPr>
          <w:szCs w:val="24"/>
        </w:rPr>
      </w:pPr>
      <w:r w:rsidRPr="00AD58D8">
        <w:rPr>
          <w:szCs w:val="24"/>
        </w:rPr>
        <w:t>(a)</w:t>
      </w:r>
      <w:r w:rsidRPr="00AD58D8">
        <w:rPr>
          <w:szCs w:val="24"/>
        </w:rPr>
        <w:tab/>
        <w:t>New fuel purchases made within 30 days after ERCOT approves the restock of the burned fuel as described in paragraph (6) of Section 3.14.5; or</w:t>
      </w:r>
    </w:p>
    <w:p w14:paraId="17C4A959" w14:textId="77777777" w:rsidR="00AD58D8" w:rsidRPr="00AD58D8" w:rsidRDefault="00AD58D8" w:rsidP="00AD58D8">
      <w:pPr>
        <w:spacing w:after="240"/>
        <w:ind w:left="1440" w:hanging="720"/>
        <w:rPr>
          <w:szCs w:val="24"/>
        </w:rPr>
      </w:pPr>
      <w:r w:rsidRPr="00AD58D8">
        <w:rPr>
          <w:szCs w:val="24"/>
        </w:rPr>
        <w:t>(b)</w:t>
      </w:r>
      <w:r w:rsidRPr="00AD58D8">
        <w:rPr>
          <w:szCs w:val="24"/>
        </w:rPr>
        <w:tab/>
        <w:t>The Fuel Oil Index Price (FOP) for the Operating Day the QSE received approval to restock fuel, which includes $0.05/gallon to cover the cost of transportation.</w:t>
      </w:r>
    </w:p>
    <w:p w14:paraId="09C4D47B" w14:textId="66418761" w:rsidR="00281DEA" w:rsidRDefault="00281DEA" w:rsidP="000445FA">
      <w:pPr>
        <w:pStyle w:val="BodyTextNumbered"/>
      </w:pPr>
      <w:r>
        <w:t>(</w:t>
      </w:r>
      <w:r w:rsidR="00AD58D8">
        <w:t>5</w:t>
      </w:r>
      <w:r>
        <w:t>)</w:t>
      </w:r>
      <w:r>
        <w:tab/>
        <w:t xml:space="preserve">ERCOT shall allocate any approved fuel replacement costs to the hours of the corresponding FFSS deployment period </w:t>
      </w:r>
      <w:r w:rsidRPr="00D90D69">
        <w:t>when the fuel was consumed</w:t>
      </w:r>
      <w:r>
        <w:t xml:space="preserve"> following ERCOT’s approval to switch to utilize the awarded FFSS.</w:t>
      </w:r>
    </w:p>
    <w:p w14:paraId="5F182795" w14:textId="77777777" w:rsidR="00281DEA" w:rsidRDefault="00281DEA" w:rsidP="00426931">
      <w:pPr>
        <w:pStyle w:val="H4"/>
        <w:spacing w:before="480"/>
        <w:ind w:left="1267" w:hanging="1267"/>
      </w:pPr>
      <w:bookmarkStart w:id="2668" w:name="_Toc189044482"/>
      <w:r>
        <w:t>6.6.14.2</w:t>
      </w:r>
      <w:r>
        <w:tab/>
        <w:t>Firm Fuel Supply Service Hourly Standby Fee Payment and Fuel Replacement Cost Recovery</w:t>
      </w:r>
      <w:bookmarkEnd w:id="2668"/>
    </w:p>
    <w:p w14:paraId="160F9B52" w14:textId="77777777" w:rsidR="00426931" w:rsidRPr="00426931" w:rsidRDefault="00426931" w:rsidP="00426931">
      <w:pPr>
        <w:ind w:left="720" w:hanging="720"/>
      </w:pPr>
      <w:r w:rsidRPr="00426931">
        <w:t>(1)</w:t>
      </w:r>
      <w:r w:rsidRPr="00426931">
        <w:tab/>
        <w:t xml:space="preserve">ERCOT shall pay </w:t>
      </w:r>
      <w:r w:rsidRPr="00426931">
        <w:rPr>
          <w:iCs/>
        </w:rPr>
        <w:t>the FFSS</w:t>
      </w:r>
      <w:r w:rsidRPr="00426931">
        <w:t xml:space="preserve"> Hourly Standby Fee to the QSE representing </w:t>
      </w:r>
      <w:r w:rsidRPr="00426931">
        <w:rPr>
          <w:iCs/>
        </w:rPr>
        <w:t>the primary Generation Resource</w:t>
      </w:r>
      <w:r w:rsidRPr="00426931">
        <w:t xml:space="preserve">.  This standby fee is determined through a competitive bidding process, with an adjustment for reliability based on an Hourly Rolling Equivalent Availability Factor, as well as adjustments for capacity and deployment. </w:t>
      </w:r>
    </w:p>
    <w:p w14:paraId="6FC656AD" w14:textId="77777777" w:rsidR="00426931" w:rsidRPr="00426931" w:rsidRDefault="00426931" w:rsidP="00426931">
      <w:r w:rsidRPr="00426931">
        <w:t xml:space="preserve"> </w:t>
      </w:r>
    </w:p>
    <w:p w14:paraId="26F82C67" w14:textId="77777777" w:rsidR="00426931" w:rsidRPr="00426931" w:rsidRDefault="00426931" w:rsidP="00426931">
      <w:pPr>
        <w:spacing w:after="240"/>
        <w:ind w:left="720" w:hanging="720"/>
      </w:pPr>
      <w:r w:rsidRPr="00426931">
        <w:t>(2)</w:t>
      </w:r>
      <w:r w:rsidRPr="00426931">
        <w:tab/>
        <w:t>The FFSSR will be considered available when calculating the FFSS Hourly Rolling Equivalent Availability Factor:</w:t>
      </w:r>
    </w:p>
    <w:p w14:paraId="19CC2125" w14:textId="77777777" w:rsidR="00426931" w:rsidRPr="00426931" w:rsidRDefault="00426931" w:rsidP="00426931">
      <w:pPr>
        <w:spacing w:after="240"/>
        <w:ind w:left="1410" w:hanging="720"/>
      </w:pPr>
      <w:r w:rsidRPr="00426931">
        <w:t>(a)</w:t>
      </w:r>
      <w:r w:rsidRPr="00426931">
        <w:tab/>
        <w:t xml:space="preserve">During each non-FFSS deployment hour for which the FFSSR shows available in its Availability Plan; </w:t>
      </w:r>
    </w:p>
    <w:p w14:paraId="472044FC" w14:textId="5DF1A029" w:rsidR="00426931" w:rsidRPr="00426931" w:rsidRDefault="00426931" w:rsidP="00426931">
      <w:pPr>
        <w:spacing w:after="240"/>
        <w:ind w:left="1410" w:hanging="720"/>
      </w:pPr>
      <w:r w:rsidRPr="00426931">
        <w:lastRenderedPageBreak/>
        <w:t>(b)</w:t>
      </w:r>
      <w:r w:rsidRPr="00426931">
        <w:tab/>
        <w:t xml:space="preserve">During any successful FFSS deployment of the FFSSR in which the FFSSR shows available in its Availability Plan; </w:t>
      </w:r>
    </w:p>
    <w:p w14:paraId="3C034865" w14:textId="531E3DF9" w:rsidR="00426931" w:rsidRPr="00426931" w:rsidRDefault="00426931" w:rsidP="00426931">
      <w:pPr>
        <w:spacing w:after="240"/>
        <w:ind w:left="1410" w:hanging="720"/>
      </w:pPr>
      <w:r w:rsidRPr="00426931">
        <w:t>(c)</w:t>
      </w:r>
      <w:r w:rsidRPr="00426931">
        <w:tab/>
      </w:r>
      <w:r w:rsidR="005C7988" w:rsidRPr="000A0348">
        <w:rPr>
          <w:szCs w:val="24"/>
        </w:rPr>
        <w:t>If the reserved fuel was exhausted during an FFSS deployment, starting the hour after the FFSSR has consumed all the fuel reserved to provide FFSS, through the approved hours when reserved fuel for FFSS is being restocked following a final approval from ERCOT to do so, per paragraph (5) of Section 3.14.5, Firm Fuel Supply Service;</w:t>
      </w:r>
    </w:p>
    <w:p w14:paraId="508537AB" w14:textId="2DAD707F" w:rsidR="005C7988" w:rsidRPr="00E5321E" w:rsidRDefault="00426931" w:rsidP="005C7988">
      <w:pPr>
        <w:spacing w:after="240"/>
        <w:ind w:left="1410" w:hanging="720"/>
      </w:pPr>
      <w:r w:rsidRPr="00426931">
        <w:t>(d)</w:t>
      </w:r>
      <w:r w:rsidRPr="00426931">
        <w:tab/>
      </w:r>
      <w:r w:rsidR="005C7988" w:rsidRPr="00E5321E">
        <w:t>In the event the FFSSR has consumed all the fuel reserved to provide FFSS and ERCOT does not issue an instruction or approval to restore FFSS capability, the FFSSR shall be considered to be available for the remainder of the FFSS obligation period in progress; or</w:t>
      </w:r>
    </w:p>
    <w:p w14:paraId="64FD2427" w14:textId="1BF8387B" w:rsidR="00426931" w:rsidRPr="00426931" w:rsidRDefault="005C7988" w:rsidP="0087426F">
      <w:pPr>
        <w:spacing w:after="240"/>
        <w:ind w:left="1410" w:hanging="720"/>
      </w:pPr>
      <w:r w:rsidRPr="00E5321E">
        <w:t>(e)</w:t>
      </w:r>
      <w:r w:rsidRPr="00E5321E">
        <w:tab/>
        <w:t>If the FFSSR was deployed to provide FFSS and, as a result, has exhausted its emission hours allocated for the FFSSR, as specified in the FFSS Offer Submission Form.</w:t>
      </w:r>
    </w:p>
    <w:p w14:paraId="5E60E7B9" w14:textId="308FD1E4" w:rsidR="00426931" w:rsidRPr="00426931" w:rsidRDefault="00426931" w:rsidP="0087426F">
      <w:pPr>
        <w:spacing w:after="240"/>
        <w:ind w:left="720" w:hanging="720"/>
      </w:pPr>
      <w:r w:rsidRPr="00426931">
        <w:t>(3)</w:t>
      </w:r>
      <w:r w:rsidRPr="00426931">
        <w:tab/>
        <w:t>The FFSS Hourly Standby Fee is subject to reduction and</w:t>
      </w:r>
      <w:r w:rsidRPr="00426931">
        <w:rPr>
          <w:iCs/>
        </w:rPr>
        <w:t xml:space="preserve"> claw-back provisions as described in Section 8.1.1.2.1.6, </w:t>
      </w:r>
      <w:r w:rsidRPr="00426931">
        <w:t>Firm Fuel Supply Service Resource Qualification, Testing, Decertification, and Recertification</w:t>
      </w:r>
      <w:r w:rsidRPr="00426931">
        <w:rPr>
          <w:iCs/>
        </w:rPr>
        <w:t>.</w:t>
      </w:r>
      <w:r w:rsidRPr="00426931">
        <w:t xml:space="preserve">  </w:t>
      </w:r>
    </w:p>
    <w:p w14:paraId="46A69234" w14:textId="77777777" w:rsidR="00426931" w:rsidRPr="00426931" w:rsidRDefault="00426931" w:rsidP="00426931">
      <w:pPr>
        <w:spacing w:after="240"/>
        <w:ind w:left="720" w:hanging="720"/>
      </w:pPr>
      <w:r w:rsidRPr="00426931">
        <w:t>(4)</w:t>
      </w:r>
      <w:r w:rsidRPr="00426931">
        <w:tab/>
        <w:t>ERCOT shall pay an FFSS payment to each QSE for each FFSSR.  The FFSS payment for each hour of November 15, through March 15, i.e., during the FFSS obligation period, is calculated as follows:</w:t>
      </w:r>
    </w:p>
    <w:p w14:paraId="7F43A13D"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 </w:t>
      </w:r>
      <w:r w:rsidRPr="00426931">
        <w:rPr>
          <w:b/>
          <w:bCs/>
          <w:i/>
          <w:szCs w:val="24"/>
          <w:vertAlign w:val="subscript"/>
        </w:rPr>
        <w:t>q, r, h</w:t>
      </w:r>
      <w:r w:rsidRPr="00426931">
        <w:rPr>
          <w:b/>
          <w:bCs/>
          <w:szCs w:val="24"/>
        </w:rPr>
        <w:tab/>
        <w:t>=</w:t>
      </w:r>
      <w:r w:rsidRPr="00426931">
        <w:rPr>
          <w:b/>
          <w:bCs/>
          <w:szCs w:val="24"/>
        </w:rPr>
        <w:tab/>
        <w:t>(-1) * (FFSSSBF</w:t>
      </w:r>
      <w:r w:rsidRPr="00426931">
        <w:rPr>
          <w:b/>
          <w:bCs/>
          <w:i/>
          <w:szCs w:val="24"/>
          <w:vertAlign w:val="subscript"/>
        </w:rPr>
        <w:t xml:space="preserve"> q, r, h </w:t>
      </w:r>
      <w:r w:rsidRPr="00426931">
        <w:rPr>
          <w:b/>
          <w:bCs/>
          <w:i/>
          <w:szCs w:val="24"/>
        </w:rPr>
        <w:t xml:space="preserve">+ </w:t>
      </w:r>
      <w:r w:rsidRPr="00426931">
        <w:rPr>
          <w:b/>
          <w:bCs/>
          <w:szCs w:val="24"/>
        </w:rPr>
        <w:t xml:space="preserve">FFSSFRC </w:t>
      </w:r>
      <w:r w:rsidRPr="00426931">
        <w:rPr>
          <w:b/>
          <w:bCs/>
          <w:i/>
          <w:szCs w:val="24"/>
          <w:vertAlign w:val="subscript"/>
        </w:rPr>
        <w:t>q, r, h</w:t>
      </w:r>
      <w:r w:rsidRPr="00426931">
        <w:rPr>
          <w:b/>
          <w:bCs/>
          <w:szCs w:val="24"/>
        </w:rPr>
        <w:t>)</w:t>
      </w:r>
    </w:p>
    <w:p w14:paraId="608DA4E2" w14:textId="77777777" w:rsidR="00426931" w:rsidRPr="00426931" w:rsidRDefault="00426931" w:rsidP="00426931">
      <w:pPr>
        <w:tabs>
          <w:tab w:val="left" w:pos="2250"/>
          <w:tab w:val="left" w:pos="3150"/>
          <w:tab w:val="left" w:pos="3960"/>
        </w:tabs>
        <w:spacing w:after="240"/>
        <w:ind w:left="3960" w:hanging="3240"/>
        <w:rPr>
          <w:szCs w:val="24"/>
        </w:rPr>
      </w:pPr>
      <w:r w:rsidRPr="00426931">
        <w:rPr>
          <w:szCs w:val="24"/>
        </w:rPr>
        <w:t>Where:</w:t>
      </w:r>
    </w:p>
    <w:p w14:paraId="34FB5888" w14:textId="77777777" w:rsidR="00426931" w:rsidRPr="00426931" w:rsidRDefault="00426931" w:rsidP="00426931">
      <w:pPr>
        <w:spacing w:after="240"/>
        <w:ind w:left="2315" w:hanging="1595"/>
        <w:rPr>
          <w:iCs/>
        </w:rPr>
      </w:pPr>
      <w:r w:rsidRPr="00426931">
        <w:rPr>
          <w:iCs/>
        </w:rPr>
        <w:t>FFSSSBF</w:t>
      </w:r>
      <w:r w:rsidRPr="00426931">
        <w:rPr>
          <w:i/>
          <w:iCs/>
          <w:vertAlign w:val="subscript"/>
        </w:rPr>
        <w:t xml:space="preserve"> q, r, h</w:t>
      </w:r>
      <w:r w:rsidRPr="00426931">
        <w:rPr>
          <w:iCs/>
        </w:rPr>
        <w:tab/>
        <w:t>=</w:t>
      </w:r>
      <w:r w:rsidRPr="00426931">
        <w:rPr>
          <w:iCs/>
        </w:rPr>
        <w:tab/>
        <w:t xml:space="preserve"> FFSSAWARD </w:t>
      </w:r>
      <w:r w:rsidRPr="00426931">
        <w:rPr>
          <w:i/>
          <w:iCs/>
          <w:vertAlign w:val="subscript"/>
        </w:rPr>
        <w:t>q, r, h</w:t>
      </w:r>
      <w:r w:rsidRPr="00426931">
        <w:rPr>
          <w:iCs/>
        </w:rPr>
        <w:t xml:space="preserve"> * </w:t>
      </w:r>
      <w:r w:rsidRPr="00426931">
        <w:rPr>
          <w:iCs/>
          <w:lang w:val="pt-BR"/>
        </w:rPr>
        <w:t xml:space="preserve">FFSSCRF </w:t>
      </w:r>
      <w:r w:rsidRPr="00426931">
        <w:rPr>
          <w:i/>
          <w:iCs/>
          <w:vertAlign w:val="subscript"/>
        </w:rPr>
        <w:t>q, r, h</w:t>
      </w:r>
      <w:r w:rsidRPr="00426931">
        <w:rPr>
          <w:iCs/>
        </w:rPr>
        <w:t xml:space="preserve"> * FFSSARF </w:t>
      </w:r>
      <w:r w:rsidRPr="00426931">
        <w:rPr>
          <w:i/>
          <w:iCs/>
          <w:vertAlign w:val="subscript"/>
        </w:rPr>
        <w:t>q, r, h</w:t>
      </w:r>
      <w:r w:rsidRPr="00426931">
        <w:rPr>
          <w:iCs/>
        </w:rPr>
        <w:t xml:space="preserve"> * (1 - FFSSDRP</w:t>
      </w:r>
      <w:r w:rsidRPr="00426931">
        <w:rPr>
          <w:i/>
          <w:iCs/>
          <w:vertAlign w:val="subscript"/>
        </w:rPr>
        <w:t xml:space="preserve"> q, r, h</w:t>
      </w:r>
      <w:r w:rsidRPr="00426931">
        <w:rPr>
          <w:iCs/>
        </w:rPr>
        <w:t>)</w:t>
      </w:r>
    </w:p>
    <w:p w14:paraId="2980187F" w14:textId="77777777" w:rsidR="00426931" w:rsidRPr="00426931" w:rsidRDefault="00426931" w:rsidP="00426931">
      <w:pPr>
        <w:spacing w:after="240"/>
        <w:ind w:firstLine="720"/>
        <w:rPr>
          <w:iCs/>
        </w:rPr>
      </w:pPr>
      <w:r w:rsidRPr="00426931">
        <w:rPr>
          <w:iCs/>
        </w:rPr>
        <w:t>FFSSAWARD</w:t>
      </w:r>
      <w:r w:rsidRPr="00426931">
        <w:rPr>
          <w:i/>
          <w:iCs/>
          <w:vertAlign w:val="subscript"/>
        </w:rPr>
        <w:t xml:space="preserve"> q, r, h</w:t>
      </w:r>
      <w:r w:rsidRPr="00426931">
        <w:rPr>
          <w:iCs/>
        </w:rPr>
        <w:t xml:space="preserve"> = FFSSPR</w:t>
      </w:r>
      <w:r w:rsidRPr="00426931">
        <w:rPr>
          <w:i/>
          <w:iCs/>
          <w:vertAlign w:val="subscript"/>
        </w:rPr>
        <w:t xml:space="preserve"> q, r, h</w:t>
      </w:r>
      <w:r w:rsidRPr="00426931">
        <w:rPr>
          <w:iCs/>
        </w:rPr>
        <w:t xml:space="preserve"> * FFSSACAP</w:t>
      </w:r>
      <w:r w:rsidRPr="00426931">
        <w:rPr>
          <w:i/>
          <w:iCs/>
          <w:vertAlign w:val="subscript"/>
        </w:rPr>
        <w:t xml:space="preserve"> q, r, h</w:t>
      </w:r>
      <w:r w:rsidRPr="00426931">
        <w:rPr>
          <w:iCs/>
          <w:sz w:val="16"/>
          <w:szCs w:val="16"/>
        </w:rPr>
        <w:t xml:space="preserve"> </w:t>
      </w:r>
    </w:p>
    <w:p w14:paraId="323897BB" w14:textId="77777777" w:rsidR="00426931" w:rsidRPr="00426931" w:rsidRDefault="00426931" w:rsidP="00426931">
      <w:pPr>
        <w:spacing w:after="240"/>
        <w:ind w:firstLine="720"/>
        <w:rPr>
          <w:iCs/>
        </w:rPr>
      </w:pPr>
      <w:r w:rsidRPr="00426931">
        <w:rPr>
          <w:iCs/>
        </w:rPr>
        <w:t>And:</w:t>
      </w:r>
    </w:p>
    <w:p w14:paraId="4021A15F" w14:textId="77777777" w:rsidR="00426931" w:rsidRPr="00426931" w:rsidRDefault="00426931" w:rsidP="00426931">
      <w:pPr>
        <w:spacing w:after="240"/>
        <w:ind w:firstLine="720"/>
      </w:pPr>
      <w:r w:rsidRPr="00426931">
        <w:t>FFSS Capacity Reduction Factor</w:t>
      </w:r>
    </w:p>
    <w:p w14:paraId="65389B71" w14:textId="77777777" w:rsidR="00426931" w:rsidRPr="00426931" w:rsidRDefault="00426931" w:rsidP="00426931">
      <w:pPr>
        <w:spacing w:after="240"/>
        <w:ind w:firstLine="720"/>
      </w:pPr>
      <w:r w:rsidRPr="00426931">
        <w:t xml:space="preserve">If (FFSSTCAP </w:t>
      </w:r>
      <w:r w:rsidRPr="00426931">
        <w:rPr>
          <w:i/>
          <w:vertAlign w:val="subscript"/>
        </w:rPr>
        <w:t>q, r, h</w:t>
      </w:r>
      <w:r w:rsidRPr="00426931">
        <w:t xml:space="preserve"> ≥ FFSSACAP </w:t>
      </w:r>
      <w:r w:rsidRPr="00426931">
        <w:rPr>
          <w:i/>
          <w:vertAlign w:val="subscript"/>
        </w:rPr>
        <w:t>q, r, h</w:t>
      </w:r>
      <w:r w:rsidRPr="00426931">
        <w:t xml:space="preserve">) </w:t>
      </w:r>
    </w:p>
    <w:p w14:paraId="47B02766" w14:textId="77777777" w:rsidR="00426931" w:rsidRPr="00426931" w:rsidRDefault="00426931" w:rsidP="00426931">
      <w:pPr>
        <w:spacing w:after="240"/>
        <w:ind w:firstLine="720"/>
        <w:rPr>
          <w:lang w:val="pt-BR"/>
        </w:rPr>
      </w:pPr>
      <w:r w:rsidRPr="00426931">
        <w:rPr>
          <w:lang w:val="pt-BR"/>
        </w:rPr>
        <w:t xml:space="preserve">Then: </w:t>
      </w:r>
      <w:r w:rsidRPr="00426931">
        <w:rPr>
          <w:lang w:val="pt-BR"/>
        </w:rPr>
        <w:tab/>
      </w:r>
      <w:r w:rsidRPr="00426931">
        <w:rPr>
          <w:lang w:val="pt-BR"/>
        </w:rPr>
        <w:tab/>
        <w:t xml:space="preserve">FFSSCRF </w:t>
      </w:r>
      <w:r w:rsidRPr="00426931">
        <w:rPr>
          <w:i/>
          <w:vertAlign w:val="subscript"/>
          <w:lang w:val="pt-BR"/>
        </w:rPr>
        <w:t>q, r, h</w:t>
      </w:r>
      <w:r w:rsidRPr="00426931">
        <w:rPr>
          <w:lang w:val="pt-BR"/>
        </w:rPr>
        <w:t xml:space="preserve">  = 1</w:t>
      </w:r>
    </w:p>
    <w:p w14:paraId="4BE45CBB" w14:textId="77777777" w:rsidR="00426931" w:rsidRPr="00426931" w:rsidRDefault="00426931" w:rsidP="00426931">
      <w:pPr>
        <w:ind w:firstLine="720"/>
        <w:rPr>
          <w:sz w:val="32"/>
          <w:szCs w:val="32"/>
          <w:lang w:val="pt-BR"/>
        </w:rPr>
      </w:pPr>
      <w:r w:rsidRPr="00426931">
        <w:rPr>
          <w:lang w:val="pt-BR"/>
        </w:rPr>
        <w:t>Otherwise:</w:t>
      </w:r>
      <w:r w:rsidRPr="00426931">
        <w:rPr>
          <w:lang w:val="pt-BR"/>
        </w:rPr>
        <w:tab/>
        <w:t xml:space="preserve">FFSSCRF </w:t>
      </w:r>
      <w:r w:rsidRPr="00426931">
        <w:rPr>
          <w:i/>
          <w:vertAlign w:val="subscript"/>
          <w:lang w:val="pt-BR"/>
        </w:rPr>
        <w:t>q, r, h</w:t>
      </w:r>
      <w:r w:rsidRPr="00426931">
        <w:rPr>
          <w:lang w:val="pt-BR"/>
        </w:rPr>
        <w:t xml:space="preserve"> = Max (0, 1 – 2 * (FFSSACAP </w:t>
      </w:r>
      <w:r w:rsidRPr="00426931">
        <w:rPr>
          <w:i/>
          <w:vertAlign w:val="subscript"/>
          <w:lang w:val="pt-BR"/>
        </w:rPr>
        <w:t xml:space="preserve">q, r, h </w:t>
      </w:r>
      <w:r w:rsidRPr="00426931">
        <w:rPr>
          <w:lang w:val="pt-BR"/>
        </w:rPr>
        <w:t xml:space="preserve">– FFSSTCAP </w:t>
      </w:r>
      <w:r w:rsidRPr="00426931">
        <w:rPr>
          <w:i/>
          <w:vertAlign w:val="subscript"/>
          <w:lang w:val="pt-BR"/>
        </w:rPr>
        <w:t>q, r, h</w:t>
      </w:r>
      <w:r w:rsidRPr="00426931">
        <w:rPr>
          <w:lang w:val="pt-BR"/>
        </w:rPr>
        <w:t xml:space="preserve">) </w:t>
      </w:r>
      <w:r w:rsidRPr="00426931">
        <w:rPr>
          <w:b/>
          <w:sz w:val="32"/>
          <w:szCs w:val="32"/>
          <w:lang w:val="pt-BR"/>
        </w:rPr>
        <w:t>/</w:t>
      </w:r>
      <w:r w:rsidRPr="00426931">
        <w:rPr>
          <w:sz w:val="32"/>
          <w:szCs w:val="32"/>
          <w:lang w:val="pt-BR"/>
        </w:rPr>
        <w:t xml:space="preserve"> </w:t>
      </w:r>
    </w:p>
    <w:p w14:paraId="12C64243" w14:textId="77777777" w:rsidR="00426931" w:rsidRPr="00426931" w:rsidRDefault="00426931" w:rsidP="00426931">
      <w:pPr>
        <w:spacing w:after="240"/>
        <w:ind w:left="1440" w:firstLine="720"/>
        <w:rPr>
          <w:lang w:val="pt-BR"/>
        </w:rPr>
      </w:pPr>
      <w:r w:rsidRPr="00426931">
        <w:rPr>
          <w:lang w:val="pt-BR"/>
        </w:rPr>
        <w:t xml:space="preserve">FFSSACAP </w:t>
      </w:r>
      <w:r w:rsidRPr="00426931">
        <w:rPr>
          <w:i/>
          <w:vertAlign w:val="subscript"/>
          <w:lang w:val="pt-BR"/>
        </w:rPr>
        <w:t>q, r, h</w:t>
      </w:r>
      <w:r w:rsidRPr="00426931">
        <w:rPr>
          <w:lang w:val="pt-BR"/>
        </w:rPr>
        <w:t>)</w:t>
      </w:r>
    </w:p>
    <w:p w14:paraId="5AE8AD06" w14:textId="77777777" w:rsidR="00426931" w:rsidRPr="00426931" w:rsidRDefault="00426931" w:rsidP="00426931">
      <w:pPr>
        <w:spacing w:after="240"/>
        <w:ind w:firstLine="720"/>
      </w:pPr>
      <w:r w:rsidRPr="00426931">
        <w:t>FFSS Availability Reduction Factor</w:t>
      </w:r>
    </w:p>
    <w:p w14:paraId="2B42B139" w14:textId="77777777" w:rsidR="00426931" w:rsidRPr="00426931" w:rsidRDefault="00426931" w:rsidP="00426931">
      <w:pPr>
        <w:spacing w:after="240"/>
        <w:ind w:firstLine="720"/>
        <w:rPr>
          <w:lang w:val="pt-BR"/>
        </w:rPr>
      </w:pPr>
      <w:r w:rsidRPr="00426931">
        <w:rPr>
          <w:lang w:val="pt-BR"/>
        </w:rPr>
        <w:lastRenderedPageBreak/>
        <w:t xml:space="preserve">If (FFSSHREAF </w:t>
      </w:r>
      <w:r w:rsidRPr="00426931">
        <w:rPr>
          <w:i/>
          <w:vertAlign w:val="subscript"/>
          <w:lang w:val="pt-BR"/>
        </w:rPr>
        <w:t>q, r, h</w:t>
      </w:r>
      <w:r w:rsidRPr="00426931">
        <w:rPr>
          <w:lang w:val="pt-BR"/>
        </w:rPr>
        <w:t xml:space="preserve"> </w:t>
      </w:r>
      <w:r w:rsidRPr="00426931">
        <w:sym w:font="Symbol" w:char="F0B3"/>
      </w:r>
      <w:r w:rsidRPr="00426931">
        <w:rPr>
          <w:lang w:val="pt-BR"/>
        </w:rPr>
        <w:t xml:space="preserve"> 0.90)</w:t>
      </w:r>
    </w:p>
    <w:p w14:paraId="38959CB7" w14:textId="77777777" w:rsidR="00426931" w:rsidRPr="00426931" w:rsidRDefault="00426931" w:rsidP="00426931">
      <w:pPr>
        <w:spacing w:after="240"/>
        <w:ind w:firstLine="720"/>
        <w:rPr>
          <w:lang w:val="pt-BR"/>
        </w:rPr>
      </w:pPr>
      <w:r w:rsidRPr="00426931">
        <w:rPr>
          <w:lang w:val="pt-BR"/>
        </w:rPr>
        <w:t>Then:</w:t>
      </w:r>
      <w:r w:rsidRPr="00426931">
        <w:rPr>
          <w:lang w:val="pt-BR"/>
        </w:rPr>
        <w:tab/>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1</w:t>
      </w:r>
    </w:p>
    <w:p w14:paraId="5EA9FD7B" w14:textId="77777777" w:rsidR="00426931" w:rsidRPr="00426931" w:rsidRDefault="00426931" w:rsidP="00426931">
      <w:pPr>
        <w:spacing w:after="240"/>
        <w:ind w:firstLine="720"/>
        <w:rPr>
          <w:lang w:val="pt-BR"/>
        </w:rPr>
      </w:pPr>
      <w:r w:rsidRPr="00426931">
        <w:rPr>
          <w:lang w:val="pt-BR"/>
        </w:rPr>
        <w:t>Otherwise:</w:t>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xml:space="preserve">= Max (0, 1 - (0.90 - FFSSHREAF </w:t>
      </w:r>
      <w:r w:rsidRPr="00426931">
        <w:rPr>
          <w:i/>
          <w:vertAlign w:val="subscript"/>
          <w:lang w:val="pt-BR"/>
        </w:rPr>
        <w:t>q, r, h</w:t>
      </w:r>
      <w:r w:rsidRPr="00426931">
        <w:rPr>
          <w:lang w:val="pt-BR"/>
        </w:rPr>
        <w:t>) * 2)</w:t>
      </w:r>
    </w:p>
    <w:p w14:paraId="3A6E5231" w14:textId="77777777" w:rsidR="00426931" w:rsidRPr="00426931" w:rsidRDefault="00426931" w:rsidP="00426931">
      <w:pPr>
        <w:spacing w:after="240"/>
        <w:ind w:firstLine="720"/>
      </w:pPr>
      <w:r w:rsidRPr="00426931">
        <w:t>FFSS Hourly Rolling Equivalent Availability Factor</w:t>
      </w:r>
    </w:p>
    <w:p w14:paraId="3553FAF7" w14:textId="77777777" w:rsidR="00426931" w:rsidRPr="00426931" w:rsidRDefault="00426931" w:rsidP="00426931">
      <w:pPr>
        <w:spacing w:after="240"/>
        <w:ind w:left="3600" w:hanging="2160"/>
        <w:rPr>
          <w:iCs/>
          <w:lang w:val="pt-BR"/>
        </w:rPr>
      </w:pPr>
    </w:p>
    <w:p w14:paraId="71CFB569" w14:textId="77777777" w:rsidR="00426931" w:rsidRPr="00426931" w:rsidRDefault="00426931" w:rsidP="00426931">
      <w:pPr>
        <w:spacing w:after="240"/>
        <w:ind w:left="3600" w:hanging="2160"/>
        <w:rPr>
          <w:iCs/>
          <w:lang w:val="pt-BR"/>
        </w:rPr>
      </w:pPr>
      <w:r w:rsidRPr="00426931">
        <w:rPr>
          <w:lang w:val="pt-BR"/>
        </w:rPr>
        <w:t xml:space="preserve">FFSSHREAF </w:t>
      </w:r>
      <w:r w:rsidRPr="00426931">
        <w:rPr>
          <w:i/>
          <w:vertAlign w:val="subscript"/>
          <w:lang w:val="pt-BR"/>
        </w:rPr>
        <w:t>q, r, h</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w:rPr>
                <w:rFonts w:ascii="Cambria Math" w:hAnsi="Cambria Math"/>
                <w:lang w:val="pt-BR"/>
              </w:rPr>
              <m:t>(</m:t>
            </m:r>
          </m:e>
        </m:nary>
      </m:oMath>
      <w:r w:rsidRPr="00426931">
        <w:rPr>
          <w:lang w:val="pt-BR"/>
        </w:rPr>
        <w:t xml:space="preserve">max(AVCAP </w:t>
      </w:r>
      <w:r w:rsidRPr="00426931">
        <w:rPr>
          <w:i/>
          <w:vertAlign w:val="subscript"/>
          <w:lang w:val="pt-BR"/>
        </w:rPr>
        <w:t>q, r, hr</w:t>
      </w:r>
      <w:r w:rsidRPr="00426931">
        <w:rPr>
          <w:iCs/>
          <w:lang w:val="pt-BR"/>
        </w:rPr>
        <w:t>))</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m:rPr>
                <m:sty m:val="p"/>
              </m:rPr>
              <w:rPr>
                <w:rFonts w:ascii="Cambria Math" w:hAnsi="Cambria Math"/>
                <w:lang w:val="pt-BR"/>
              </w:rPr>
              <m:t>(</m:t>
            </m:r>
          </m:e>
        </m:nary>
      </m:oMath>
      <w:r w:rsidRPr="00426931">
        <w:t xml:space="preserve">FFSSACAP </w:t>
      </w:r>
      <w:r w:rsidRPr="00426931">
        <w:rPr>
          <w:i/>
          <w:vertAlign w:val="subscript"/>
          <w:lang w:val="pt-BR"/>
        </w:rPr>
        <w:t>q, r, hr</w:t>
      </w:r>
      <w:r w:rsidRPr="00426931">
        <w:rPr>
          <w:iCs/>
          <w:lang w:val="pt-BR"/>
        </w:rPr>
        <w:t>)</w:t>
      </w:r>
    </w:p>
    <w:p w14:paraId="486F7BA0" w14:textId="77777777" w:rsidR="00426931" w:rsidRPr="00426931" w:rsidRDefault="00426931" w:rsidP="00426931">
      <w:pPr>
        <w:spacing w:after="240"/>
        <w:ind w:left="2880" w:hanging="2160"/>
      </w:pPr>
      <w:r w:rsidRPr="00426931">
        <w:rPr>
          <w:iCs/>
          <w:lang w:val="pt-BR"/>
        </w:rPr>
        <w:t>Where,</w:t>
      </w:r>
    </w:p>
    <w:p w14:paraId="77E673FA" w14:textId="77777777" w:rsidR="00426931" w:rsidRPr="00426931" w:rsidRDefault="00426931" w:rsidP="00426931">
      <w:pPr>
        <w:spacing w:after="240"/>
        <w:ind w:left="720" w:firstLine="720"/>
        <w:rPr>
          <w:lang w:val="pt-BR"/>
        </w:rPr>
      </w:pPr>
      <w:r w:rsidRPr="00426931">
        <w:rPr>
          <w:lang w:val="pt-BR"/>
        </w:rPr>
        <w:t>If the Resource is a Combined Cycle Train:</w:t>
      </w:r>
    </w:p>
    <w:p w14:paraId="5EFC2944" w14:textId="77777777" w:rsidR="00426931" w:rsidRPr="00426931" w:rsidRDefault="00426931" w:rsidP="00426931">
      <w:pPr>
        <w:spacing w:after="120"/>
        <w:ind w:left="3118" w:hanging="1710"/>
        <w:rPr>
          <w:i/>
          <w:vertAlign w:val="subscript"/>
          <w:lang w:val="pt-BR"/>
        </w:rPr>
      </w:pPr>
      <w:r w:rsidRPr="00426931">
        <w:rPr>
          <w:lang w:val="pt-BR"/>
        </w:rPr>
        <w:t>AVCAP</w:t>
      </w:r>
      <w:r w:rsidRPr="00426931">
        <w:rPr>
          <w:i/>
          <w:vertAlign w:val="subscript"/>
          <w:lang w:val="pt-BR"/>
        </w:rPr>
        <w:t xml:space="preserve">q, r, hr </w:t>
      </w:r>
      <w:r w:rsidRPr="00426931">
        <w:rPr>
          <w:lang w:val="pt-BR"/>
        </w:rPr>
        <w:t xml:space="preserve"> = max</w:t>
      </w:r>
      <w:r w:rsidRPr="00426931">
        <w:rPr>
          <w:i/>
          <w:vertAlign w:val="subscript"/>
          <w:lang w:val="pt-BR"/>
        </w:rPr>
        <w:t>train,hr</w:t>
      </w:r>
      <w:r w:rsidRPr="00426931">
        <w:rPr>
          <w:lang w:val="pt-BR"/>
        </w:rPr>
        <w:t xml:space="preserve"> (max(FFSEDFLAG </w:t>
      </w:r>
      <w:r w:rsidRPr="00426931">
        <w:rPr>
          <w:i/>
          <w:iCs/>
          <w:vertAlign w:val="subscript"/>
          <w:lang w:val="pt-BR"/>
        </w:rPr>
        <w:t>q, train, hr</w:t>
      </w:r>
      <w:r w:rsidRPr="00426931">
        <w:rPr>
          <w:lang w:val="pt-BR"/>
        </w:rPr>
        <w:t xml:space="preserve">, FFSSAFLAG </w:t>
      </w:r>
      <w:r w:rsidRPr="00426931">
        <w:rPr>
          <w:i/>
          <w:vertAlign w:val="subscript"/>
          <w:lang w:val="pt-BR"/>
        </w:rPr>
        <w:t>q, ccgr,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ccgr, hr</w:t>
      </w:r>
      <w:r w:rsidRPr="00426931">
        <w:rPr>
          <w:lang w:val="pt-BR"/>
        </w:rPr>
        <w:t xml:space="preserve">, </w:t>
      </w:r>
      <w:r w:rsidRPr="00426931">
        <w:t>FFSSACAP</w:t>
      </w:r>
      <w:r w:rsidRPr="00426931">
        <w:rPr>
          <w:i/>
          <w:vertAlign w:val="subscript"/>
          <w:lang w:val="pt-BR"/>
        </w:rPr>
        <w:t>q, train, hr</w:t>
      </w:r>
      <w:r w:rsidRPr="00426931">
        <w:rPr>
          <w:iCs/>
          <w:lang w:val="pt-BR"/>
        </w:rPr>
        <w:t>))</w:t>
      </w:r>
    </w:p>
    <w:p w14:paraId="0AC801D4" w14:textId="77777777" w:rsidR="00426931" w:rsidRPr="00426931" w:rsidRDefault="00426931" w:rsidP="00426931">
      <w:pPr>
        <w:spacing w:after="240"/>
        <w:ind w:left="720" w:firstLine="720"/>
        <w:rPr>
          <w:lang w:val="pt-BR"/>
        </w:rPr>
      </w:pPr>
      <w:r w:rsidRPr="00426931">
        <w:rPr>
          <w:lang w:val="pt-BR"/>
        </w:rPr>
        <w:t>Otherwise:</w:t>
      </w:r>
    </w:p>
    <w:p w14:paraId="35FAD99D" w14:textId="77777777" w:rsidR="00426931" w:rsidRPr="00426931" w:rsidRDefault="00426931" w:rsidP="00426931">
      <w:pPr>
        <w:spacing w:after="120"/>
        <w:ind w:left="3118" w:hanging="1710"/>
        <w:rPr>
          <w:iCs/>
          <w:lang w:val="pt-BR"/>
        </w:rPr>
      </w:pPr>
      <w:r w:rsidRPr="00426931">
        <w:rPr>
          <w:lang w:val="pt-BR"/>
        </w:rPr>
        <w:t xml:space="preserve">AVCAP </w:t>
      </w:r>
      <w:r w:rsidRPr="00426931">
        <w:rPr>
          <w:i/>
          <w:iCs/>
          <w:vertAlign w:val="subscript"/>
          <w:lang w:val="pt-BR"/>
        </w:rPr>
        <w:t>q, r, hr</w:t>
      </w:r>
      <w:r w:rsidRPr="00426931">
        <w:rPr>
          <w:lang w:val="pt-BR"/>
        </w:rPr>
        <w:t xml:space="preserve"> = max(FFSEDFLAG </w:t>
      </w:r>
      <w:r w:rsidRPr="00426931">
        <w:rPr>
          <w:i/>
          <w:iCs/>
          <w:vertAlign w:val="subscript"/>
          <w:lang w:val="pt-BR"/>
        </w:rPr>
        <w:t>q, r, hr</w:t>
      </w:r>
      <w:r w:rsidRPr="00426931">
        <w:rPr>
          <w:lang w:val="pt-BR"/>
        </w:rPr>
        <w:t xml:space="preserve">, FFSSAFLAG </w:t>
      </w:r>
      <w:r w:rsidRPr="00426931">
        <w:rPr>
          <w:i/>
          <w:vertAlign w:val="subscript"/>
          <w:lang w:val="pt-BR"/>
        </w:rPr>
        <w:t>q, 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r, hr</w:t>
      </w:r>
      <w:r w:rsidRPr="00426931">
        <w:rPr>
          <w:lang w:val="pt-BR"/>
        </w:rPr>
        <w:t xml:space="preserve">, </w:t>
      </w:r>
      <w:r w:rsidRPr="00426931">
        <w:t xml:space="preserve">FFSSACAP </w:t>
      </w:r>
      <w:r w:rsidRPr="00426931">
        <w:rPr>
          <w:i/>
          <w:vertAlign w:val="subscript"/>
          <w:lang w:val="pt-BR"/>
        </w:rPr>
        <w:t>q, r, hr</w:t>
      </w:r>
      <w:r w:rsidRPr="00426931">
        <w:rPr>
          <w:iCs/>
          <w:lang w:val="pt-BR"/>
        </w:rPr>
        <w:t>)</w:t>
      </w:r>
    </w:p>
    <w:p w14:paraId="737B2D54" w14:textId="77777777" w:rsidR="00426931" w:rsidRPr="00426931" w:rsidRDefault="00426931" w:rsidP="00426931">
      <w:pPr>
        <w:spacing w:after="240"/>
        <w:ind w:left="1440"/>
        <w:rPr>
          <w:lang w:val="pt-BR"/>
        </w:rPr>
      </w:pPr>
      <w:r w:rsidRPr="00426931">
        <w:t>Availability for a Combined Cycle Train will be determined pursuant to terms set forth in the RFP but no more than once per hour.</w:t>
      </w:r>
      <w:r w:rsidRPr="00426931">
        <w:rPr>
          <w:lang w:val="pt-BR"/>
        </w:rPr>
        <w:t xml:space="preserve"> </w:t>
      </w:r>
    </w:p>
    <w:p w14:paraId="5786F2CA" w14:textId="77777777" w:rsidR="00426931" w:rsidRPr="00426931" w:rsidRDefault="00426931" w:rsidP="00426931">
      <w:r w:rsidRPr="00426931">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1632"/>
        <w:gridCol w:w="5697"/>
      </w:tblGrid>
      <w:tr w:rsidR="00426931" w:rsidRPr="00426931" w14:paraId="02B949CA" w14:textId="77777777" w:rsidTr="00426931">
        <w:trPr>
          <w:cantSplit/>
          <w:trHeight w:val="332"/>
          <w:tblHeader/>
        </w:trPr>
        <w:tc>
          <w:tcPr>
            <w:tcW w:w="2483" w:type="dxa"/>
            <w:tcBorders>
              <w:top w:val="single" w:sz="4" w:space="0" w:color="auto"/>
              <w:left w:val="single" w:sz="4" w:space="0" w:color="auto"/>
              <w:bottom w:val="single" w:sz="4" w:space="0" w:color="auto"/>
              <w:right w:val="single" w:sz="4" w:space="0" w:color="auto"/>
            </w:tcBorders>
            <w:hideMark/>
          </w:tcPr>
          <w:p w14:paraId="6F1D1236" w14:textId="77777777" w:rsidR="00426931" w:rsidRPr="00426931" w:rsidRDefault="00426931" w:rsidP="00426931">
            <w:pPr>
              <w:spacing w:after="120"/>
              <w:rPr>
                <w:b/>
                <w:bCs/>
                <w:iCs/>
                <w:sz w:val="20"/>
              </w:rPr>
            </w:pPr>
            <w:r w:rsidRPr="00426931">
              <w:rPr>
                <w:b/>
                <w:bCs/>
                <w:sz w:val="20"/>
              </w:rPr>
              <w:t>Variable</w:t>
            </w:r>
          </w:p>
        </w:tc>
        <w:tc>
          <w:tcPr>
            <w:tcW w:w="1632" w:type="dxa"/>
            <w:tcBorders>
              <w:top w:val="single" w:sz="4" w:space="0" w:color="auto"/>
              <w:left w:val="single" w:sz="4" w:space="0" w:color="auto"/>
              <w:bottom w:val="single" w:sz="4" w:space="0" w:color="auto"/>
              <w:right w:val="single" w:sz="4" w:space="0" w:color="auto"/>
            </w:tcBorders>
            <w:hideMark/>
          </w:tcPr>
          <w:p w14:paraId="495091DC" w14:textId="77777777" w:rsidR="00426931" w:rsidRPr="00426931" w:rsidRDefault="00426931" w:rsidP="00426931">
            <w:pPr>
              <w:spacing w:after="120"/>
              <w:rPr>
                <w:b/>
                <w:iCs/>
                <w:sz w:val="20"/>
              </w:rPr>
            </w:pPr>
            <w:r w:rsidRPr="00426931">
              <w:rPr>
                <w:b/>
                <w:iCs/>
                <w:sz w:val="20"/>
              </w:rPr>
              <w:t>Unit</w:t>
            </w:r>
          </w:p>
        </w:tc>
        <w:tc>
          <w:tcPr>
            <w:tcW w:w="5697" w:type="dxa"/>
            <w:tcBorders>
              <w:top w:val="single" w:sz="4" w:space="0" w:color="auto"/>
              <w:left w:val="single" w:sz="4" w:space="0" w:color="auto"/>
              <w:bottom w:val="single" w:sz="4" w:space="0" w:color="auto"/>
              <w:right w:val="single" w:sz="4" w:space="0" w:color="auto"/>
            </w:tcBorders>
            <w:hideMark/>
          </w:tcPr>
          <w:p w14:paraId="32F882A9" w14:textId="77777777" w:rsidR="00426931" w:rsidRPr="00426931" w:rsidRDefault="00426931" w:rsidP="00426931">
            <w:pPr>
              <w:spacing w:after="120"/>
              <w:rPr>
                <w:b/>
                <w:iCs/>
                <w:sz w:val="20"/>
              </w:rPr>
            </w:pPr>
            <w:r w:rsidRPr="00426931">
              <w:rPr>
                <w:b/>
                <w:iCs/>
                <w:sz w:val="20"/>
              </w:rPr>
              <w:t>Definition</w:t>
            </w:r>
          </w:p>
        </w:tc>
      </w:tr>
      <w:tr w:rsidR="00426931" w:rsidRPr="00426931" w14:paraId="6E4292F6"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508D4C" w14:textId="77777777" w:rsidR="00426931" w:rsidRPr="00426931" w:rsidRDefault="00426931" w:rsidP="00426931">
            <w:pPr>
              <w:spacing w:after="60"/>
              <w:rPr>
                <w:bCs/>
                <w:iCs/>
                <w:sz w:val="20"/>
              </w:rPr>
            </w:pPr>
            <w:r w:rsidRPr="00426931">
              <w:rPr>
                <w:bCs/>
                <w:iCs/>
                <w:sz w:val="20"/>
              </w:rPr>
              <w:t xml:space="preserve">FFSSAMT </w:t>
            </w:r>
            <w:r w:rsidRPr="00426931">
              <w:rPr>
                <w:bCs/>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424957F5"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12C01717" w14:textId="77777777" w:rsidR="00426931" w:rsidRPr="00426931" w:rsidRDefault="00426931" w:rsidP="00426931">
            <w:pPr>
              <w:spacing w:after="60"/>
              <w:rPr>
                <w:iCs/>
                <w:sz w:val="20"/>
              </w:rPr>
            </w:pPr>
            <w:r w:rsidRPr="00426931">
              <w:rPr>
                <w:i/>
                <w:iCs/>
                <w:sz w:val="20"/>
              </w:rPr>
              <w:t>Firm Fuel Supply Service Amount per QSE per Resource by hour</w:t>
            </w:r>
            <w:r w:rsidRPr="00426931">
              <w:rPr>
                <w:iCs/>
                <w:sz w:val="20"/>
              </w:rPr>
              <w:t xml:space="preserve">—The payment to QSE </w:t>
            </w:r>
            <w:r w:rsidRPr="00426931">
              <w:rPr>
                <w:i/>
                <w:iCs/>
                <w:sz w:val="20"/>
              </w:rPr>
              <w:t>q</w:t>
            </w:r>
            <w:r w:rsidRPr="00426931">
              <w:rPr>
                <w:iCs/>
                <w:sz w:val="20"/>
              </w:rPr>
              <w:t xml:space="preserve"> assigned to the FFSS for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27A0C6E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B0CDDC2" w14:textId="77777777" w:rsidR="00426931" w:rsidRPr="00426931" w:rsidRDefault="00426931" w:rsidP="00426931">
            <w:pPr>
              <w:spacing w:after="60"/>
              <w:rPr>
                <w:bCs/>
                <w:iCs/>
                <w:sz w:val="20"/>
              </w:rPr>
            </w:pPr>
            <w:r w:rsidRPr="00426931">
              <w:rPr>
                <w:bCs/>
                <w:iCs/>
                <w:sz w:val="20"/>
              </w:rPr>
              <w:t xml:space="preserve">FFSSAWARD </w:t>
            </w:r>
            <w:r w:rsidRPr="00426931">
              <w:rPr>
                <w:bCs/>
                <w:i/>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07A40EA8"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3BD2F8D5" w14:textId="77777777" w:rsidR="00426931" w:rsidRPr="00426931" w:rsidRDefault="00426931" w:rsidP="00426931">
            <w:pPr>
              <w:spacing w:after="60"/>
              <w:rPr>
                <w:i/>
                <w:iCs/>
                <w:sz w:val="20"/>
              </w:rPr>
            </w:pPr>
            <w:r w:rsidRPr="00426931">
              <w:rPr>
                <w:i/>
                <w:iCs/>
                <w:sz w:val="20"/>
              </w:rPr>
              <w:t>Firm Fuel Supply Service Award Amount per QSE by hour—</w:t>
            </w:r>
            <w:r w:rsidRPr="00426931">
              <w:rPr>
                <w:sz w:val="20"/>
              </w:rPr>
              <w:t xml:space="preserve">The payment to the QSE </w:t>
            </w:r>
            <w:r w:rsidRPr="00426931">
              <w:rPr>
                <w:i/>
                <w:iCs/>
                <w:sz w:val="20"/>
              </w:rPr>
              <w:t>q</w:t>
            </w:r>
            <w:r w:rsidRPr="00426931">
              <w:rPr>
                <w:sz w:val="20"/>
              </w:rPr>
              <w:t xml:space="preserve"> for the FFSS awarded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each hour </w:t>
            </w:r>
            <w:r w:rsidRPr="00426931">
              <w:rPr>
                <w:i/>
                <w:iCs/>
                <w:sz w:val="20"/>
              </w:rPr>
              <w:t>h</w:t>
            </w:r>
            <w:r w:rsidRPr="00426931">
              <w:rPr>
                <w:sz w:val="20"/>
              </w:rPr>
              <w:t xml:space="preserve">, </w:t>
            </w:r>
            <w:r w:rsidRPr="00426931">
              <w:rPr>
                <w:iCs/>
                <w:sz w:val="20"/>
              </w:rPr>
              <w:t>during the awarded FFSS obligation period.</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7F6FBD9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DFAE58E" w14:textId="77777777" w:rsidR="00426931" w:rsidRPr="00426931" w:rsidRDefault="00426931" w:rsidP="00426931">
            <w:pPr>
              <w:spacing w:after="60"/>
              <w:rPr>
                <w:iCs/>
                <w:sz w:val="20"/>
              </w:rPr>
            </w:pPr>
            <w:r w:rsidRPr="00426931">
              <w:rPr>
                <w:iCs/>
                <w:sz w:val="20"/>
              </w:rPr>
              <w:t xml:space="preserve">FFSSPR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D45526C" w14:textId="77777777" w:rsidR="00426931" w:rsidRPr="00426931" w:rsidRDefault="00426931" w:rsidP="00426931">
            <w:pPr>
              <w:spacing w:after="60"/>
              <w:rPr>
                <w:iCs/>
                <w:sz w:val="20"/>
              </w:rPr>
            </w:pPr>
            <w:r w:rsidRPr="00426931">
              <w:rPr>
                <w:iCs/>
                <w:sz w:val="20"/>
              </w:rPr>
              <w:t>$/MW per hour</w:t>
            </w:r>
          </w:p>
        </w:tc>
        <w:tc>
          <w:tcPr>
            <w:tcW w:w="5697" w:type="dxa"/>
            <w:tcBorders>
              <w:top w:val="single" w:sz="4" w:space="0" w:color="auto"/>
              <w:left w:val="single" w:sz="4" w:space="0" w:color="auto"/>
              <w:bottom w:val="single" w:sz="4" w:space="0" w:color="auto"/>
              <w:right w:val="single" w:sz="4" w:space="0" w:color="auto"/>
            </w:tcBorders>
            <w:hideMark/>
          </w:tcPr>
          <w:p w14:paraId="6777F144" w14:textId="77777777" w:rsidR="00426931" w:rsidRPr="00426931" w:rsidRDefault="00426931" w:rsidP="00426931">
            <w:pPr>
              <w:spacing w:after="60"/>
              <w:rPr>
                <w:iCs/>
                <w:sz w:val="20"/>
              </w:rPr>
            </w:pPr>
            <w:r w:rsidRPr="00426931">
              <w:rPr>
                <w:i/>
                <w:iCs/>
                <w:sz w:val="20"/>
              </w:rPr>
              <w:t>Firm Fuel Supply Service Price per QSE per Resource by hour</w:t>
            </w:r>
            <w:r w:rsidRPr="00426931">
              <w:rPr>
                <w:iCs/>
                <w:sz w:val="20"/>
              </w:rPr>
              <w:t xml:space="preserve">—The standby price of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as specified in the FFSS award.  Where for a Combined Cycle Train, the Resource </w:t>
            </w:r>
            <w:r w:rsidRPr="00426931">
              <w:rPr>
                <w:i/>
                <w:iCs/>
                <w:sz w:val="20"/>
              </w:rPr>
              <w:t xml:space="preserve">r </w:t>
            </w:r>
            <w:r w:rsidRPr="00426931">
              <w:rPr>
                <w:iCs/>
                <w:sz w:val="20"/>
              </w:rPr>
              <w:t>is the Combined Cycle Train.</w:t>
            </w:r>
          </w:p>
        </w:tc>
      </w:tr>
      <w:tr w:rsidR="00426931" w:rsidRPr="00426931" w14:paraId="53030747"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C9BF78" w14:textId="77777777" w:rsidR="00426931" w:rsidRPr="00426931" w:rsidRDefault="00426931" w:rsidP="00426931">
            <w:pPr>
              <w:spacing w:after="60"/>
              <w:rPr>
                <w:iCs/>
                <w:sz w:val="20"/>
              </w:rPr>
            </w:pPr>
            <w:r w:rsidRPr="00426931">
              <w:rPr>
                <w:iCs/>
                <w:sz w:val="20"/>
              </w:rPr>
              <w:t xml:space="preserve">FFSSCRF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62C3489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78C5B022"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Capacity Reduction Factor per QSE per Resource by hour</w:t>
            </w:r>
            <w:r w:rsidRPr="00426931">
              <w:rPr>
                <w:iCs/>
                <w:sz w:val="20"/>
              </w:rPr>
              <w:t xml:space="preserve">—The capacity reduction factor assigned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5CE9BFC2"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63B239B" w14:textId="77777777" w:rsidR="00426931" w:rsidRPr="00426931" w:rsidRDefault="00426931" w:rsidP="00426931">
            <w:pPr>
              <w:spacing w:after="60"/>
              <w:rPr>
                <w:iCs/>
                <w:sz w:val="20"/>
              </w:rPr>
            </w:pPr>
            <w:r w:rsidRPr="00426931">
              <w:rPr>
                <w:iCs/>
                <w:sz w:val="20"/>
              </w:rPr>
              <w:lastRenderedPageBreak/>
              <w:t xml:space="preserve">HSL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15D1D1F8"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2D70D6B6" w14:textId="77777777" w:rsidR="00426931" w:rsidRPr="00426931" w:rsidRDefault="00426931" w:rsidP="00426931">
            <w:pPr>
              <w:spacing w:after="60"/>
              <w:rPr>
                <w:i/>
                <w:iCs/>
                <w:sz w:val="20"/>
              </w:rPr>
            </w:pPr>
            <w:r w:rsidRPr="00426931">
              <w:rPr>
                <w:i/>
                <w:sz w:val="20"/>
              </w:rPr>
              <w:t>High Sustained Limit</w:t>
            </w:r>
            <w:r w:rsidRPr="00426931">
              <w:rPr>
                <w:iCs/>
                <w:sz w:val="20"/>
              </w:rPr>
              <w:t xml:space="preserve">—The HSL of the primary Generation Resource or the alternate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submitted in the COP, for the hour </w:t>
            </w:r>
            <w:r w:rsidRPr="00426931">
              <w:rPr>
                <w:i/>
                <w:sz w:val="20"/>
              </w:rPr>
              <w:t>h</w:t>
            </w:r>
            <w:r w:rsidRPr="00426931">
              <w:rPr>
                <w:iCs/>
                <w:sz w:val="20"/>
              </w:rPr>
              <w:t xml:space="preserve">.  Where for a combined cycle Resource </w:t>
            </w:r>
            <w:r w:rsidRPr="00426931">
              <w:rPr>
                <w:i/>
                <w:sz w:val="20"/>
              </w:rPr>
              <w:t>r</w:t>
            </w:r>
            <w:r w:rsidRPr="00426931">
              <w:rPr>
                <w:iCs/>
                <w:sz w:val="20"/>
              </w:rPr>
              <w:t xml:space="preserve"> is a Combined Cycle Generation Resource.</w:t>
            </w:r>
          </w:p>
        </w:tc>
      </w:tr>
      <w:tr w:rsidR="00426931" w:rsidRPr="00426931" w14:paraId="557D0D03"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E6E65CC" w14:textId="77777777" w:rsidR="00426931" w:rsidRPr="00426931" w:rsidRDefault="00426931" w:rsidP="00426931">
            <w:pPr>
              <w:spacing w:after="60"/>
              <w:rPr>
                <w:iCs/>
                <w:sz w:val="20"/>
                <w:highlight w:val="yellow"/>
              </w:rPr>
            </w:pPr>
            <w:r w:rsidRPr="00426931">
              <w:rPr>
                <w:iCs/>
                <w:sz w:val="20"/>
              </w:rPr>
              <w:t xml:space="preserve">FFSSFRC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3C44014D" w14:textId="77777777" w:rsidR="00426931" w:rsidRPr="00426931" w:rsidRDefault="00426931" w:rsidP="00426931">
            <w:pPr>
              <w:spacing w:after="60"/>
              <w:rPr>
                <w:iCs/>
                <w:sz w:val="20"/>
              </w:rPr>
            </w:pPr>
            <w:r w:rsidRPr="00426931">
              <w:rPr>
                <w:iCs/>
                <w:sz w:val="20"/>
              </w:rPr>
              <w:t>$ per hour</w:t>
            </w:r>
          </w:p>
        </w:tc>
        <w:tc>
          <w:tcPr>
            <w:tcW w:w="5697" w:type="dxa"/>
            <w:tcBorders>
              <w:top w:val="single" w:sz="4" w:space="0" w:color="auto"/>
              <w:left w:val="single" w:sz="4" w:space="0" w:color="auto"/>
              <w:bottom w:val="single" w:sz="4" w:space="0" w:color="auto"/>
              <w:right w:val="single" w:sz="4" w:space="0" w:color="auto"/>
            </w:tcBorders>
            <w:hideMark/>
          </w:tcPr>
          <w:p w14:paraId="17F2B7AC" w14:textId="77777777" w:rsidR="00426931" w:rsidRPr="00426931" w:rsidRDefault="00426931" w:rsidP="00426931">
            <w:pPr>
              <w:spacing w:after="60"/>
              <w:rPr>
                <w:i/>
                <w:iCs/>
                <w:sz w:val="20"/>
              </w:rPr>
            </w:pPr>
            <w:r w:rsidRPr="00426931">
              <w:rPr>
                <w:i/>
                <w:sz w:val="20"/>
              </w:rPr>
              <w:t>Firm Fuel Supply Service Fuel Replacement Cost</w:t>
            </w:r>
            <w:r w:rsidRPr="00426931">
              <w:rPr>
                <w:iCs/>
                <w:sz w:val="20"/>
              </w:rPr>
              <w:t xml:space="preserve">—The fuel costs and fees to replace the burned fuel by the FFSSR, not recovered during the FFSS deployment period, paid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each FFSS instructed hour.  Where for a Combined Cycle Train, the Resource </w:t>
            </w:r>
            <w:r w:rsidRPr="00426931">
              <w:rPr>
                <w:i/>
                <w:sz w:val="20"/>
              </w:rPr>
              <w:t>r</w:t>
            </w:r>
            <w:r w:rsidRPr="00426931">
              <w:rPr>
                <w:iCs/>
                <w:sz w:val="20"/>
              </w:rPr>
              <w:t xml:space="preserve"> is the Combined Cycle Train.</w:t>
            </w:r>
          </w:p>
        </w:tc>
      </w:tr>
      <w:tr w:rsidR="00426931" w:rsidRPr="00426931" w14:paraId="2B5552F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9690987" w14:textId="77777777" w:rsidR="00426931" w:rsidRPr="00426931" w:rsidRDefault="00426931" w:rsidP="00426931">
            <w:pPr>
              <w:spacing w:after="60"/>
              <w:rPr>
                <w:iCs/>
                <w:sz w:val="20"/>
              </w:rPr>
            </w:pPr>
            <w:r w:rsidRPr="00426931">
              <w:rPr>
                <w:iCs/>
                <w:sz w:val="20"/>
              </w:rPr>
              <w:t>FFSSDRP</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0D9F46E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270C57E" w14:textId="77777777" w:rsidR="00426931" w:rsidRPr="00426931" w:rsidRDefault="00426931" w:rsidP="00426931">
            <w:pPr>
              <w:spacing w:after="60"/>
              <w:rPr>
                <w:i/>
                <w:iCs/>
                <w:sz w:val="20"/>
              </w:rPr>
            </w:pPr>
            <w:r w:rsidRPr="00426931">
              <w:rPr>
                <w:i/>
                <w:iCs/>
                <w:sz w:val="20"/>
              </w:rPr>
              <w:t>Firm Fuel Supply Service Deployment Reduction Percentage</w:t>
            </w:r>
            <w:r w:rsidRPr="00426931">
              <w:rPr>
                <w:iCs/>
                <w:sz w:val="20"/>
              </w:rPr>
              <w:t>—</w:t>
            </w:r>
            <w:r w:rsidRPr="00426931">
              <w:rPr>
                <w:sz w:val="20"/>
              </w:rPr>
              <w:t xml:space="preserve">The percentage of the </w:t>
            </w:r>
            <w:r w:rsidRPr="00426931">
              <w:rPr>
                <w:iCs/>
                <w:sz w:val="20"/>
              </w:rPr>
              <w:t>Firm Fuel Supply Service Standby Fee subject to clawback per paragraphs (9) through (16) of Section 8.1.1.2.1.6, Firm Fuel Supply Service Resource Qualification, Testing, Decertification, and Recertification,</w:t>
            </w:r>
            <w:r w:rsidRPr="00426931">
              <w:rPr>
                <w:i/>
                <w:iCs/>
                <w:sz w:val="20"/>
              </w:rPr>
              <w:t xml:space="preserve"> </w:t>
            </w:r>
            <w:r w:rsidRPr="00426931">
              <w:rPr>
                <w:sz w:val="20"/>
              </w:rPr>
              <w:t xml:space="preserve">for the QSE </w:t>
            </w:r>
            <w:r w:rsidRPr="00426931">
              <w:rPr>
                <w:i/>
                <w:iCs/>
                <w:sz w:val="20"/>
              </w:rPr>
              <w:t>q</w:t>
            </w:r>
            <w:r w:rsidRPr="00426931">
              <w:rPr>
                <w:sz w:val="20"/>
              </w:rPr>
              <w:t xml:space="preserve">, assigned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the hour </w:t>
            </w:r>
            <w:r w:rsidRPr="00426931">
              <w:rPr>
                <w:i/>
                <w:iCs/>
                <w:sz w:val="20"/>
              </w:rPr>
              <w:t>h</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2052883E"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35D49B8" w14:textId="77777777" w:rsidR="00426931" w:rsidRPr="00426931" w:rsidRDefault="00426931" w:rsidP="00426931">
            <w:pPr>
              <w:spacing w:after="60"/>
              <w:rPr>
                <w:iCs/>
                <w:sz w:val="20"/>
              </w:rPr>
            </w:pPr>
            <w:r w:rsidRPr="00426931">
              <w:rPr>
                <w:iCs/>
                <w:sz w:val="20"/>
              </w:rPr>
              <w:t>FFSSSBF</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2CE1C5DA"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6C7003E6" w14:textId="77777777" w:rsidR="00426931" w:rsidRPr="00426931" w:rsidRDefault="00426931" w:rsidP="00426931">
            <w:pPr>
              <w:spacing w:after="60"/>
              <w:rPr>
                <w:iCs/>
                <w:sz w:val="20"/>
              </w:rPr>
            </w:pPr>
            <w:r w:rsidRPr="00426931">
              <w:rPr>
                <w:i/>
                <w:sz w:val="20"/>
              </w:rPr>
              <w:t>Firm Fuel Supply Service Standby Fee per QSE per Resource by hour</w:t>
            </w:r>
            <w:r w:rsidRPr="00426931">
              <w:rPr>
                <w:iCs/>
                <w:sz w:val="20"/>
              </w:rPr>
              <w:t xml:space="preserve">—The standby fee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63C1B80D"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416567" w14:textId="77777777" w:rsidR="00426931" w:rsidRPr="00426931" w:rsidRDefault="00426931" w:rsidP="00426931">
            <w:pPr>
              <w:spacing w:after="60"/>
              <w:rPr>
                <w:iCs/>
                <w:sz w:val="20"/>
              </w:rPr>
            </w:pPr>
            <w:r w:rsidRPr="00426931">
              <w:rPr>
                <w:iCs/>
                <w:sz w:val="20"/>
              </w:rPr>
              <w:t xml:space="preserve">FFSSTCAP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CDBE0B4"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1A4853C0"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Testing Capacity per QSE per Resource</w:t>
            </w:r>
            <w:r w:rsidRPr="00426931">
              <w:rPr>
                <w:iCs/>
                <w:sz w:val="20"/>
              </w:rPr>
              <w:t xml:space="preserve">—The tested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48EAFB6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BEB99F" w14:textId="77777777" w:rsidR="00426931" w:rsidRPr="00426931" w:rsidRDefault="00426931" w:rsidP="00426931">
            <w:pPr>
              <w:spacing w:after="60"/>
              <w:rPr>
                <w:iCs/>
                <w:sz w:val="20"/>
              </w:rPr>
            </w:pPr>
            <w:r w:rsidRPr="00426931">
              <w:rPr>
                <w:iCs/>
                <w:sz w:val="20"/>
              </w:rPr>
              <w:t xml:space="preserve">FFSSACAP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44E3B5A5"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6EBC4D36"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Awarded Capacity per QSE per Resource</w:t>
            </w:r>
            <w:r w:rsidRPr="00426931">
              <w:rPr>
                <w:iCs/>
                <w:sz w:val="20"/>
              </w:rPr>
              <w:t xml:space="preserve">—The awarded FFSS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specified in the FFSS award, applicable to each hour of November 15 through March 15 during the awarded FFSS obligation period.  Where for a Combined Cycle Train, the Resource </w:t>
            </w:r>
            <w:r w:rsidRPr="00426931">
              <w:rPr>
                <w:i/>
                <w:sz w:val="20"/>
              </w:rPr>
              <w:t>r</w:t>
            </w:r>
            <w:r w:rsidRPr="00426931">
              <w:rPr>
                <w:iCs/>
                <w:sz w:val="20"/>
              </w:rPr>
              <w:t xml:space="preserve"> is the Combined Cycle Train.</w:t>
            </w:r>
          </w:p>
        </w:tc>
      </w:tr>
      <w:tr w:rsidR="00426931" w:rsidRPr="00426931" w14:paraId="0ADD3CD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9BAFF05" w14:textId="77777777" w:rsidR="00426931" w:rsidRPr="00426931" w:rsidRDefault="00426931" w:rsidP="00426931">
            <w:pPr>
              <w:spacing w:after="60"/>
              <w:rPr>
                <w:iCs/>
                <w:sz w:val="20"/>
              </w:rPr>
            </w:pPr>
            <w:r w:rsidRPr="00426931">
              <w:rPr>
                <w:iCs/>
                <w:sz w:val="20"/>
              </w:rPr>
              <w:t xml:space="preserve">FFSSARF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15D65EE7"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5C036F9A" w14:textId="77777777" w:rsidR="00426931" w:rsidRPr="00426931" w:rsidRDefault="00426931" w:rsidP="00426931">
            <w:pPr>
              <w:spacing w:after="60"/>
              <w:rPr>
                <w:iCs/>
                <w:sz w:val="20"/>
              </w:rPr>
            </w:pPr>
            <w:r w:rsidRPr="00426931">
              <w:rPr>
                <w:i/>
                <w:iCs/>
                <w:sz w:val="20"/>
              </w:rPr>
              <w:t>Firm Fuel Supply Service Availability Reduction Factor per QSE per Resource by hour</w:t>
            </w:r>
            <w:r w:rsidRPr="00426931">
              <w:rPr>
                <w:iCs/>
                <w:sz w:val="20"/>
              </w:rPr>
              <w:t xml:space="preserve">—The availability reduction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7A5A7B3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472D78B" w14:textId="77777777" w:rsidR="00426931" w:rsidRPr="00426931" w:rsidRDefault="00426931" w:rsidP="00426931">
            <w:pPr>
              <w:spacing w:after="60"/>
              <w:rPr>
                <w:iCs/>
                <w:sz w:val="20"/>
              </w:rPr>
            </w:pPr>
            <w:r w:rsidRPr="00426931">
              <w:rPr>
                <w:iCs/>
                <w:sz w:val="20"/>
              </w:rPr>
              <w:t xml:space="preserve">FFSSHREAF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24C3E37D"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09FAECC8" w14:textId="77777777" w:rsidR="00426931" w:rsidRPr="00426931" w:rsidRDefault="00426931" w:rsidP="00426931">
            <w:pPr>
              <w:spacing w:after="60"/>
              <w:rPr>
                <w:iCs/>
                <w:sz w:val="20"/>
              </w:rPr>
            </w:pPr>
            <w:r w:rsidRPr="00426931">
              <w:rPr>
                <w:i/>
                <w:iCs/>
                <w:sz w:val="20"/>
              </w:rPr>
              <w:t>Firm Fuel Supply Service Hourly Rolling Equivalent Availability Factor per QSE per Resource by hour</w:t>
            </w:r>
            <w:r w:rsidRPr="00426931">
              <w:rPr>
                <w:iCs/>
                <w:sz w:val="20"/>
              </w:rPr>
              <w:t xml:space="preserve">—The equivalent availability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over 1,452 hours, for the hour.  Where for a Combined Cycle Train, the Resource </w:t>
            </w:r>
            <w:r w:rsidRPr="00426931">
              <w:rPr>
                <w:i/>
                <w:iCs/>
                <w:sz w:val="20"/>
              </w:rPr>
              <w:t xml:space="preserve">r </w:t>
            </w:r>
            <w:r w:rsidRPr="00426931">
              <w:rPr>
                <w:iCs/>
                <w:sz w:val="20"/>
              </w:rPr>
              <w:t>is the Combined Cycle Train.</w:t>
            </w:r>
          </w:p>
        </w:tc>
      </w:tr>
      <w:tr w:rsidR="00426931" w:rsidRPr="00426931" w14:paraId="31C8D150"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36B10B" w14:textId="77777777" w:rsidR="00426931" w:rsidRPr="00426931" w:rsidRDefault="00426931" w:rsidP="00426931">
            <w:pPr>
              <w:spacing w:after="60"/>
              <w:rPr>
                <w:iCs/>
                <w:sz w:val="20"/>
              </w:rPr>
            </w:pPr>
            <w:r w:rsidRPr="00426931">
              <w:rPr>
                <w:iCs/>
                <w:sz w:val="20"/>
              </w:rPr>
              <w:t xml:space="preserve">FFSSAFLAG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5932E3C3"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05897EB" w14:textId="77777777" w:rsidR="00426931" w:rsidRPr="00426931" w:rsidRDefault="00426931" w:rsidP="00426931">
            <w:pPr>
              <w:spacing w:after="60"/>
              <w:rPr>
                <w:iCs/>
                <w:sz w:val="20"/>
              </w:rPr>
            </w:pPr>
            <w:r w:rsidRPr="00426931">
              <w:rPr>
                <w:i/>
                <w:iCs/>
                <w:sz w:val="20"/>
              </w:rPr>
              <w:t>Firm Fuel Supply Service Availability Flag per QSE per Resource by hour</w:t>
            </w:r>
            <w:r w:rsidRPr="00426931">
              <w:rPr>
                <w:iCs/>
                <w:sz w:val="20"/>
              </w:rPr>
              <w:t>—The flag of the availability assigned to the primary Generation Resource or the alternate Generation Resource</w:t>
            </w:r>
            <w:r w:rsidRPr="00426931">
              <w:rPr>
                <w:i/>
                <w:iCs/>
                <w:sz w:val="20"/>
              </w:rPr>
              <w:t xml:space="preserve"> r</w:t>
            </w:r>
            <w:r w:rsidRPr="00426931">
              <w:rPr>
                <w:iCs/>
                <w:sz w:val="20"/>
              </w:rPr>
              <w:t xml:space="preserve"> represented by QSE </w:t>
            </w:r>
            <w:r w:rsidRPr="00426931">
              <w:rPr>
                <w:i/>
                <w:iCs/>
                <w:sz w:val="20"/>
              </w:rPr>
              <w:t>q</w:t>
            </w:r>
            <w:r w:rsidRPr="00426931">
              <w:rPr>
                <w:iCs/>
                <w:sz w:val="20"/>
              </w:rPr>
              <w:t xml:space="preserve">, 1 for available and 0 for unavailable, for the hour.  Where for a Combined Cycle Train, the Resource </w:t>
            </w:r>
            <w:r w:rsidRPr="00426931">
              <w:rPr>
                <w:i/>
                <w:iCs/>
                <w:sz w:val="20"/>
              </w:rPr>
              <w:t xml:space="preserve">r </w:t>
            </w:r>
            <w:r w:rsidRPr="00426931">
              <w:rPr>
                <w:iCs/>
                <w:sz w:val="20"/>
              </w:rPr>
              <w:t>is a Combined Cycle Generation Resource within the Combined Cycle Train.</w:t>
            </w:r>
          </w:p>
        </w:tc>
      </w:tr>
      <w:tr w:rsidR="00426931" w:rsidRPr="00426931" w14:paraId="0298E8F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012B3B9" w14:textId="77777777" w:rsidR="00426931" w:rsidRPr="00426931" w:rsidRDefault="00426931" w:rsidP="00426931">
            <w:pPr>
              <w:spacing w:after="60"/>
              <w:rPr>
                <w:iCs/>
                <w:sz w:val="20"/>
              </w:rPr>
            </w:pPr>
            <w:r w:rsidRPr="00426931">
              <w:rPr>
                <w:iCs/>
                <w:sz w:val="20"/>
              </w:rPr>
              <w:lastRenderedPageBreak/>
              <w:t xml:space="preserve">FFSEDFLAG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68856286"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C7D8D0D" w14:textId="26A08F5F" w:rsidR="00A36EAA" w:rsidRPr="00426931" w:rsidRDefault="00426931" w:rsidP="00426931">
            <w:pPr>
              <w:spacing w:after="60"/>
              <w:rPr>
                <w:i/>
                <w:iCs/>
                <w:sz w:val="20"/>
              </w:rPr>
            </w:pPr>
            <w:r w:rsidRPr="00426931">
              <w:rPr>
                <w:i/>
                <w:iCs/>
                <w:sz w:val="20"/>
              </w:rPr>
              <w:t>Firm Fuel Supply Event Deployment Flag per QSE per Resource by hour</w:t>
            </w:r>
            <w:r w:rsidRPr="00426931">
              <w:rPr>
                <w:iCs/>
                <w:sz w:val="20"/>
              </w:rPr>
              <w:t>—</w:t>
            </w:r>
            <w:r w:rsidR="005C7988" w:rsidRPr="005C7988">
              <w:rPr>
                <w:iCs/>
                <w:sz w:val="20"/>
              </w:rPr>
              <w:t xml:space="preserve">The flag assigned to the primary Generation Resource </w:t>
            </w:r>
            <w:r w:rsidR="005C7988" w:rsidRPr="005C7988">
              <w:rPr>
                <w:i/>
                <w:sz w:val="20"/>
              </w:rPr>
              <w:t>r</w:t>
            </w:r>
            <w:r w:rsidR="005C7988" w:rsidRPr="005C7988">
              <w:rPr>
                <w:iCs/>
                <w:sz w:val="20"/>
              </w:rPr>
              <w:t xml:space="preserve">, represented by QSE </w:t>
            </w:r>
            <w:r w:rsidR="005C7988" w:rsidRPr="005C7988">
              <w:rPr>
                <w:i/>
                <w:sz w:val="20"/>
              </w:rPr>
              <w:t>q</w:t>
            </w:r>
            <w:r w:rsidR="005C7988" w:rsidRPr="005C7988">
              <w:rPr>
                <w:iCs/>
                <w:sz w:val="20"/>
              </w:rPr>
              <w:t xml:space="preserve">, that is used to determine if the FFSSR is considered available, as described in paragraph (2)(c) through (2)(e) above, 1 for available and 0 for unavailable, for the hour.  Where for a Combined Cycle Train, the Resource </w:t>
            </w:r>
            <w:r w:rsidR="005C7988" w:rsidRPr="005C7988">
              <w:rPr>
                <w:i/>
                <w:sz w:val="20"/>
              </w:rPr>
              <w:t>r</w:t>
            </w:r>
            <w:r w:rsidR="005C7988" w:rsidRPr="005C7988">
              <w:rPr>
                <w:iCs/>
                <w:sz w:val="20"/>
              </w:rPr>
              <w:t xml:space="preserve"> is the Combined Cycle Train.</w:t>
            </w:r>
          </w:p>
          <w:p w14:paraId="60218FDD" w14:textId="7CC569EC" w:rsidR="00426931" w:rsidRPr="00426931" w:rsidRDefault="00426931" w:rsidP="00426931">
            <w:pPr>
              <w:spacing w:after="60"/>
              <w:rPr>
                <w:i/>
                <w:iCs/>
                <w:sz w:val="20"/>
              </w:rPr>
            </w:pPr>
          </w:p>
        </w:tc>
      </w:tr>
      <w:tr w:rsidR="00426931" w:rsidRPr="00426931" w14:paraId="7D00366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F2DA00C" w14:textId="77777777" w:rsidR="00426931" w:rsidRPr="00426931" w:rsidRDefault="00426931" w:rsidP="00426931">
            <w:pPr>
              <w:spacing w:after="60"/>
              <w:rPr>
                <w:iCs/>
                <w:sz w:val="20"/>
              </w:rPr>
            </w:pPr>
            <w:r w:rsidRPr="00426931">
              <w:rPr>
                <w:iCs/>
                <w:sz w:val="20"/>
                <w:lang w:val="pt-BR"/>
              </w:rPr>
              <w:t xml:space="preserve">AVCAP </w:t>
            </w:r>
            <w:r w:rsidRPr="00426931">
              <w:rPr>
                <w:i/>
                <w:iCs/>
                <w:sz w:val="20"/>
                <w:vertAlign w:val="subscript"/>
                <w:lang w:val="pt-BR"/>
              </w:rPr>
              <w:t>q, r, hr</w:t>
            </w:r>
          </w:p>
        </w:tc>
        <w:tc>
          <w:tcPr>
            <w:tcW w:w="1632" w:type="dxa"/>
            <w:tcBorders>
              <w:top w:val="single" w:sz="4" w:space="0" w:color="auto"/>
              <w:left w:val="single" w:sz="4" w:space="0" w:color="auto"/>
              <w:bottom w:val="single" w:sz="4" w:space="0" w:color="auto"/>
              <w:right w:val="single" w:sz="4" w:space="0" w:color="auto"/>
            </w:tcBorders>
            <w:hideMark/>
          </w:tcPr>
          <w:p w14:paraId="5461CA2C"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4695D459" w14:textId="77777777" w:rsidR="00426931" w:rsidRPr="00426931" w:rsidRDefault="00426931" w:rsidP="00426931">
            <w:pPr>
              <w:spacing w:after="60"/>
              <w:rPr>
                <w:i/>
                <w:iCs/>
                <w:sz w:val="20"/>
              </w:rPr>
            </w:pPr>
            <w:r w:rsidRPr="00426931">
              <w:rPr>
                <w:i/>
                <w:iCs/>
                <w:sz w:val="20"/>
              </w:rPr>
              <w:t>Available Capacity per Resource by hour</w:t>
            </w:r>
            <w:r w:rsidRPr="00426931">
              <w:rPr>
                <w:iCs/>
                <w:sz w:val="20"/>
              </w:rPr>
              <w:t xml:space="preserve">—The available capacity assigned to the primary Generation Resource </w:t>
            </w:r>
            <w:r w:rsidRPr="00426931">
              <w:rPr>
                <w:i/>
                <w:sz w:val="20"/>
              </w:rPr>
              <w:t xml:space="preserve">r </w:t>
            </w:r>
            <w:r w:rsidRPr="00426931">
              <w:rPr>
                <w:iCs/>
                <w:sz w:val="20"/>
              </w:rPr>
              <w:t xml:space="preserve">represented by QSE </w:t>
            </w:r>
            <w:r w:rsidRPr="00426931">
              <w:rPr>
                <w:i/>
                <w:sz w:val="20"/>
              </w:rPr>
              <w:t>q</w:t>
            </w:r>
            <w:r w:rsidRPr="00426931">
              <w:rPr>
                <w:iCs/>
                <w:sz w:val="20"/>
              </w:rPr>
              <w:t xml:space="preserve"> as calculated for the hour. Where for a Combined Cycle Train, the Resource </w:t>
            </w:r>
            <w:r w:rsidRPr="00426931">
              <w:rPr>
                <w:i/>
                <w:iCs/>
                <w:sz w:val="20"/>
              </w:rPr>
              <w:t xml:space="preserve">r </w:t>
            </w:r>
            <w:r w:rsidRPr="00426931">
              <w:rPr>
                <w:iCs/>
                <w:sz w:val="20"/>
              </w:rPr>
              <w:t>is the Combined Cycle Train.</w:t>
            </w:r>
          </w:p>
        </w:tc>
      </w:tr>
      <w:tr w:rsidR="00426931" w:rsidRPr="00426931" w14:paraId="44D5D7B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C3489C8" w14:textId="77777777" w:rsidR="00426931" w:rsidRPr="00426931" w:rsidRDefault="00426931" w:rsidP="00426931">
            <w:pPr>
              <w:spacing w:after="60"/>
              <w:rPr>
                <w:i/>
                <w:iCs/>
                <w:sz w:val="20"/>
              </w:rPr>
            </w:pPr>
            <w:r w:rsidRPr="00426931">
              <w:rPr>
                <w:i/>
                <w:iCs/>
                <w:sz w:val="20"/>
              </w:rPr>
              <w:t>q</w:t>
            </w:r>
          </w:p>
        </w:tc>
        <w:tc>
          <w:tcPr>
            <w:tcW w:w="1632" w:type="dxa"/>
            <w:tcBorders>
              <w:top w:val="single" w:sz="4" w:space="0" w:color="auto"/>
              <w:left w:val="single" w:sz="4" w:space="0" w:color="auto"/>
              <w:bottom w:val="single" w:sz="4" w:space="0" w:color="auto"/>
              <w:right w:val="single" w:sz="4" w:space="0" w:color="auto"/>
            </w:tcBorders>
            <w:hideMark/>
          </w:tcPr>
          <w:p w14:paraId="56966824"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326068A" w14:textId="77777777" w:rsidR="00426931" w:rsidRPr="00426931" w:rsidRDefault="00426931" w:rsidP="00426931">
            <w:pPr>
              <w:spacing w:after="60"/>
              <w:rPr>
                <w:iCs/>
                <w:sz w:val="20"/>
              </w:rPr>
            </w:pPr>
            <w:r w:rsidRPr="00426931">
              <w:rPr>
                <w:iCs/>
                <w:sz w:val="20"/>
              </w:rPr>
              <w:t>A QSE.</w:t>
            </w:r>
          </w:p>
        </w:tc>
      </w:tr>
      <w:tr w:rsidR="00426931" w:rsidRPr="00426931" w14:paraId="095FA209"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AC068EE" w14:textId="77777777" w:rsidR="00426931" w:rsidRPr="00426931" w:rsidRDefault="00426931" w:rsidP="00426931">
            <w:pPr>
              <w:spacing w:after="60"/>
              <w:rPr>
                <w:i/>
                <w:iCs/>
                <w:sz w:val="20"/>
              </w:rPr>
            </w:pPr>
            <w:r w:rsidRPr="00426931">
              <w:rPr>
                <w:i/>
                <w:iCs/>
                <w:sz w:val="20"/>
              </w:rPr>
              <w:t>r</w:t>
            </w:r>
          </w:p>
        </w:tc>
        <w:tc>
          <w:tcPr>
            <w:tcW w:w="1632" w:type="dxa"/>
            <w:tcBorders>
              <w:top w:val="single" w:sz="4" w:space="0" w:color="auto"/>
              <w:left w:val="single" w:sz="4" w:space="0" w:color="auto"/>
              <w:bottom w:val="single" w:sz="4" w:space="0" w:color="auto"/>
              <w:right w:val="single" w:sz="4" w:space="0" w:color="auto"/>
            </w:tcBorders>
            <w:hideMark/>
          </w:tcPr>
          <w:p w14:paraId="2286652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8E44CB6"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r w:rsidR="00426931" w:rsidRPr="00426931" w14:paraId="47D93F0B"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4D7E46C" w14:textId="77777777" w:rsidR="00426931" w:rsidRPr="00426931" w:rsidRDefault="00426931" w:rsidP="00426931">
            <w:pPr>
              <w:spacing w:after="60"/>
              <w:rPr>
                <w:i/>
                <w:iCs/>
                <w:sz w:val="20"/>
              </w:rPr>
            </w:pPr>
            <w:r w:rsidRPr="00426931">
              <w:rPr>
                <w:i/>
                <w:iCs/>
                <w:sz w:val="20"/>
              </w:rPr>
              <w:t>hr</w:t>
            </w:r>
          </w:p>
        </w:tc>
        <w:tc>
          <w:tcPr>
            <w:tcW w:w="1632" w:type="dxa"/>
            <w:tcBorders>
              <w:top w:val="single" w:sz="4" w:space="0" w:color="auto"/>
              <w:left w:val="single" w:sz="4" w:space="0" w:color="auto"/>
              <w:bottom w:val="single" w:sz="4" w:space="0" w:color="auto"/>
              <w:right w:val="single" w:sz="4" w:space="0" w:color="auto"/>
            </w:tcBorders>
            <w:hideMark/>
          </w:tcPr>
          <w:p w14:paraId="5962E31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41ADE93A" w14:textId="77777777" w:rsidR="00426931" w:rsidRPr="00426931" w:rsidRDefault="00426931" w:rsidP="00426931">
            <w:pPr>
              <w:spacing w:after="60"/>
              <w:rPr>
                <w:iCs/>
                <w:sz w:val="20"/>
              </w:rPr>
            </w:pPr>
            <w:r w:rsidRPr="00426931">
              <w:rPr>
                <w:iCs/>
                <w:sz w:val="20"/>
              </w:rPr>
              <w:t>The index of a given hour and the previous 1,451 hours counted only during each hour of November 15 through March 15 during the awarded FFSS obligation period.</w:t>
            </w:r>
          </w:p>
        </w:tc>
      </w:tr>
      <w:tr w:rsidR="00426931" w:rsidRPr="00426931" w14:paraId="2F77FB5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4547531" w14:textId="77777777" w:rsidR="00426931" w:rsidRPr="00426931" w:rsidRDefault="00426931" w:rsidP="00426931">
            <w:pPr>
              <w:spacing w:after="60"/>
              <w:rPr>
                <w:i/>
                <w:iCs/>
                <w:sz w:val="20"/>
              </w:rPr>
            </w:pPr>
            <w:r w:rsidRPr="00426931">
              <w:rPr>
                <w:i/>
                <w:iCs/>
                <w:sz w:val="20"/>
              </w:rPr>
              <w:t>h</w:t>
            </w:r>
          </w:p>
        </w:tc>
        <w:tc>
          <w:tcPr>
            <w:tcW w:w="1632" w:type="dxa"/>
            <w:tcBorders>
              <w:top w:val="single" w:sz="4" w:space="0" w:color="auto"/>
              <w:left w:val="single" w:sz="4" w:space="0" w:color="auto"/>
              <w:bottom w:val="single" w:sz="4" w:space="0" w:color="auto"/>
              <w:right w:val="single" w:sz="4" w:space="0" w:color="auto"/>
            </w:tcBorders>
            <w:hideMark/>
          </w:tcPr>
          <w:p w14:paraId="6720BDBA"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E1B7C2F" w14:textId="77777777" w:rsidR="00426931" w:rsidRPr="00426931" w:rsidRDefault="00426931" w:rsidP="00426931">
            <w:pPr>
              <w:spacing w:after="60"/>
              <w:rPr>
                <w:iCs/>
                <w:sz w:val="20"/>
              </w:rPr>
            </w:pPr>
            <w:r w:rsidRPr="00426931">
              <w:rPr>
                <w:iCs/>
                <w:sz w:val="20"/>
              </w:rPr>
              <w:t>The Operating Hour.</w:t>
            </w:r>
          </w:p>
        </w:tc>
      </w:tr>
      <w:tr w:rsidR="00426931" w:rsidRPr="00426931" w14:paraId="455BB46F"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28F1A0DB" w14:textId="77777777" w:rsidR="00426931" w:rsidRPr="00426931" w:rsidRDefault="00426931" w:rsidP="00426931">
            <w:pPr>
              <w:spacing w:after="60"/>
              <w:rPr>
                <w:i/>
                <w:iCs/>
                <w:sz w:val="20"/>
              </w:rPr>
            </w:pPr>
            <w:r w:rsidRPr="00426931">
              <w:rPr>
                <w:i/>
                <w:iCs/>
                <w:sz w:val="20"/>
              </w:rPr>
              <w:t>train</w:t>
            </w:r>
          </w:p>
        </w:tc>
        <w:tc>
          <w:tcPr>
            <w:tcW w:w="1632" w:type="dxa"/>
            <w:tcBorders>
              <w:top w:val="single" w:sz="4" w:space="0" w:color="auto"/>
              <w:left w:val="single" w:sz="4" w:space="0" w:color="auto"/>
              <w:bottom w:val="single" w:sz="4" w:space="0" w:color="auto"/>
              <w:right w:val="single" w:sz="4" w:space="0" w:color="auto"/>
            </w:tcBorders>
            <w:hideMark/>
          </w:tcPr>
          <w:p w14:paraId="58B4B525" w14:textId="77777777" w:rsidR="00426931" w:rsidRPr="00426931" w:rsidRDefault="00426931" w:rsidP="00426931">
            <w:pPr>
              <w:spacing w:after="60"/>
              <w:rPr>
                <w:iCs/>
                <w:sz w:val="20"/>
              </w:rPr>
            </w:pPr>
            <w:r w:rsidRPr="00426931">
              <w:rPr>
                <w:iCs/>
                <w:sz w:val="20"/>
              </w:rPr>
              <w:t xml:space="preserve">none </w:t>
            </w:r>
          </w:p>
        </w:tc>
        <w:tc>
          <w:tcPr>
            <w:tcW w:w="5697" w:type="dxa"/>
            <w:tcBorders>
              <w:top w:val="single" w:sz="4" w:space="0" w:color="auto"/>
              <w:left w:val="single" w:sz="4" w:space="0" w:color="auto"/>
              <w:bottom w:val="single" w:sz="4" w:space="0" w:color="auto"/>
              <w:right w:val="single" w:sz="4" w:space="0" w:color="auto"/>
            </w:tcBorders>
            <w:hideMark/>
          </w:tcPr>
          <w:p w14:paraId="27962023" w14:textId="77777777" w:rsidR="00426931" w:rsidRPr="00426931" w:rsidRDefault="00426931" w:rsidP="00426931">
            <w:pPr>
              <w:spacing w:after="60"/>
              <w:rPr>
                <w:iCs/>
                <w:sz w:val="20"/>
              </w:rPr>
            </w:pPr>
            <w:r w:rsidRPr="00426931">
              <w:rPr>
                <w:iCs/>
                <w:sz w:val="20"/>
              </w:rPr>
              <w:t>A Combined Cycle Train or an alternate Combined Cycle Train approved by ERCOT.</w:t>
            </w:r>
          </w:p>
        </w:tc>
      </w:tr>
      <w:tr w:rsidR="00426931" w:rsidRPr="00426931" w14:paraId="63A8D75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A25D85E" w14:textId="77777777" w:rsidR="00426931" w:rsidRPr="00426931" w:rsidRDefault="00426931" w:rsidP="00426931">
            <w:pPr>
              <w:spacing w:after="60"/>
              <w:rPr>
                <w:i/>
                <w:sz w:val="20"/>
              </w:rPr>
            </w:pPr>
            <w:r w:rsidRPr="00426931">
              <w:rPr>
                <w:i/>
                <w:sz w:val="20"/>
              </w:rPr>
              <w:t>ccgr</w:t>
            </w:r>
          </w:p>
        </w:tc>
        <w:tc>
          <w:tcPr>
            <w:tcW w:w="1632" w:type="dxa"/>
            <w:tcBorders>
              <w:top w:val="single" w:sz="4" w:space="0" w:color="auto"/>
              <w:left w:val="single" w:sz="4" w:space="0" w:color="auto"/>
              <w:bottom w:val="single" w:sz="4" w:space="0" w:color="auto"/>
              <w:right w:val="single" w:sz="4" w:space="0" w:color="auto"/>
            </w:tcBorders>
            <w:hideMark/>
          </w:tcPr>
          <w:p w14:paraId="48EA8A6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8CB8B38" w14:textId="77777777" w:rsidR="00426931" w:rsidRPr="00426931" w:rsidRDefault="00426931" w:rsidP="00426931">
            <w:pPr>
              <w:spacing w:after="60"/>
              <w:rPr>
                <w:iCs/>
                <w:sz w:val="20"/>
              </w:rPr>
            </w:pPr>
            <w:r w:rsidRPr="00426931">
              <w:rPr>
                <w:iCs/>
                <w:sz w:val="20"/>
              </w:rPr>
              <w:t>A Combined Cycle Generation Resource within the Combined Cycle Train.</w:t>
            </w:r>
          </w:p>
        </w:tc>
      </w:tr>
    </w:tbl>
    <w:p w14:paraId="5F59B89C" w14:textId="77777777" w:rsidR="00426931" w:rsidRPr="00426931" w:rsidRDefault="00426931" w:rsidP="00426931">
      <w:pPr>
        <w:spacing w:before="240" w:after="240"/>
        <w:ind w:left="720" w:hanging="720"/>
      </w:pPr>
      <w:r w:rsidRPr="00426931">
        <w:t>(5)</w:t>
      </w:r>
      <w:r w:rsidRPr="00426931">
        <w:tab/>
        <w:t>The total of the payments to each QSE for all FFSSRs represented by this QSE for a given hour is calculated as follows:</w:t>
      </w:r>
    </w:p>
    <w:p w14:paraId="100C259F"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FFSSAMTQSETOT </w:t>
      </w:r>
      <w:r w:rsidRPr="00426931">
        <w:rPr>
          <w:b/>
          <w:bCs/>
          <w:i/>
          <w:szCs w:val="24"/>
          <w:vertAlign w:val="subscript"/>
        </w:rPr>
        <w:t>q</w:t>
      </w:r>
      <w:r w:rsidRPr="00426931">
        <w:rPr>
          <w:b/>
          <w:bCs/>
          <w:szCs w:val="24"/>
        </w:rPr>
        <w:tab/>
        <w:t>=</w:t>
      </w:r>
      <w:r w:rsidRPr="00426931">
        <w:rPr>
          <w:b/>
          <w:bCs/>
          <w:szCs w:val="24"/>
        </w:rPr>
        <w:tab/>
      </w:r>
      <w:r w:rsidRPr="00426931">
        <w:rPr>
          <w:b/>
          <w:bCs/>
          <w:position w:val="-18"/>
          <w:szCs w:val="24"/>
        </w:rPr>
        <w:object w:dxaOrig="240" w:dyaOrig="420" w14:anchorId="4584E345">
          <v:shape id="_x0000_i1310" type="#_x0000_t75" style="width:12pt;height:24pt" o:ole="">
            <v:imagedata r:id="rId237" o:title=""/>
          </v:shape>
          <o:OLEObject Type="Embed" ProgID="Equation.3" ShapeID="_x0000_i1310" DrawAspect="Content" ObjectID="_1804653793" r:id="rId384"/>
        </w:object>
      </w:r>
      <w:r w:rsidRPr="00426931">
        <w:rPr>
          <w:b/>
          <w:bCs/>
          <w:szCs w:val="24"/>
        </w:rPr>
        <w:t xml:space="preserve">FFSSAMT </w:t>
      </w:r>
      <w:r w:rsidRPr="00426931">
        <w:rPr>
          <w:b/>
          <w:bCs/>
          <w:i/>
          <w:szCs w:val="24"/>
          <w:vertAlign w:val="subscript"/>
        </w:rPr>
        <w:t>q, r</w:t>
      </w:r>
    </w:p>
    <w:p w14:paraId="3D0BFC49" w14:textId="77777777" w:rsidR="00426931" w:rsidRPr="00426931" w:rsidRDefault="00426931" w:rsidP="00426931">
      <w:r w:rsidRPr="00426931">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426931" w:rsidRPr="00426931" w14:paraId="0C07F16E" w14:textId="77777777" w:rsidTr="00426931">
        <w:trPr>
          <w:cantSplit/>
          <w:tblHeader/>
        </w:trPr>
        <w:tc>
          <w:tcPr>
            <w:tcW w:w="1998" w:type="dxa"/>
            <w:tcBorders>
              <w:top w:val="single" w:sz="4" w:space="0" w:color="auto"/>
              <w:left w:val="single" w:sz="4" w:space="0" w:color="auto"/>
              <w:bottom w:val="single" w:sz="4" w:space="0" w:color="auto"/>
              <w:right w:val="single" w:sz="4" w:space="0" w:color="auto"/>
            </w:tcBorders>
            <w:hideMark/>
          </w:tcPr>
          <w:p w14:paraId="0FDA46DA" w14:textId="77777777" w:rsidR="00426931" w:rsidRPr="00426931" w:rsidRDefault="00426931" w:rsidP="00426931">
            <w:pPr>
              <w:spacing w:after="120"/>
              <w:rPr>
                <w:b/>
                <w:iCs/>
                <w:sz w:val="20"/>
              </w:rPr>
            </w:pPr>
            <w:r w:rsidRPr="00426931">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43DCD3DD" w14:textId="77777777" w:rsidR="00426931" w:rsidRPr="00426931" w:rsidRDefault="00426931" w:rsidP="00426931">
            <w:pPr>
              <w:spacing w:after="120"/>
              <w:rPr>
                <w:b/>
                <w:iCs/>
                <w:sz w:val="20"/>
              </w:rPr>
            </w:pPr>
            <w:r w:rsidRPr="00426931">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09B8A7BF" w14:textId="77777777" w:rsidR="00426931" w:rsidRPr="00426931" w:rsidRDefault="00426931" w:rsidP="00426931">
            <w:pPr>
              <w:spacing w:after="120"/>
              <w:rPr>
                <w:b/>
                <w:iCs/>
                <w:sz w:val="20"/>
              </w:rPr>
            </w:pPr>
            <w:r w:rsidRPr="00426931">
              <w:rPr>
                <w:b/>
                <w:iCs/>
                <w:sz w:val="20"/>
              </w:rPr>
              <w:t>Definition</w:t>
            </w:r>
          </w:p>
        </w:tc>
      </w:tr>
      <w:tr w:rsidR="00426931" w:rsidRPr="00426931" w14:paraId="3FD2D3DF"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27C5AE6D" w14:textId="77777777" w:rsidR="00426931" w:rsidRPr="00426931" w:rsidRDefault="00426931" w:rsidP="00426931">
            <w:pPr>
              <w:spacing w:after="60"/>
              <w:rPr>
                <w:iCs/>
                <w:sz w:val="20"/>
              </w:rPr>
            </w:pPr>
            <w:r w:rsidRPr="00426931">
              <w:rPr>
                <w:iCs/>
                <w:sz w:val="20"/>
              </w:rPr>
              <w:t>FFSSAMTQSETOT</w:t>
            </w:r>
            <w:r w:rsidRPr="00426931">
              <w:rPr>
                <w:i/>
                <w:iCs/>
                <w:sz w:val="20"/>
              </w:rPr>
              <w:t xml:space="preserve"> </w:t>
            </w:r>
            <w:r w:rsidRPr="00426931">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65C15E8B"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654D742" w14:textId="77777777" w:rsidR="00426931" w:rsidRPr="00426931" w:rsidRDefault="00426931" w:rsidP="00426931">
            <w:pPr>
              <w:spacing w:after="60"/>
              <w:rPr>
                <w:iCs/>
                <w:sz w:val="20"/>
              </w:rPr>
            </w:pPr>
            <w:r w:rsidRPr="00426931">
              <w:rPr>
                <w:i/>
                <w:iCs/>
                <w:sz w:val="20"/>
              </w:rPr>
              <w:t>Firm Fuel Supply Service Amount QSE Total per QSE</w:t>
            </w:r>
            <w:r w:rsidRPr="00426931">
              <w:rPr>
                <w:iCs/>
                <w:sz w:val="20"/>
              </w:rPr>
              <w:sym w:font="Symbol" w:char="F0BE"/>
            </w:r>
            <w:r w:rsidRPr="00426931">
              <w:rPr>
                <w:iCs/>
                <w:sz w:val="20"/>
              </w:rPr>
              <w:t xml:space="preserve">The total of the payments to QSE </w:t>
            </w:r>
            <w:r w:rsidRPr="00426931">
              <w:rPr>
                <w:i/>
                <w:iCs/>
                <w:sz w:val="20"/>
              </w:rPr>
              <w:t>q</w:t>
            </w:r>
            <w:r w:rsidRPr="00426931">
              <w:rPr>
                <w:iCs/>
                <w:sz w:val="20"/>
              </w:rPr>
              <w:t xml:space="preserve"> for FFSS provided by all the FFSS Resources represented by this QSE for the hour.</w:t>
            </w:r>
          </w:p>
        </w:tc>
      </w:tr>
      <w:tr w:rsidR="00426931" w:rsidRPr="00426931" w14:paraId="75DBE1F8"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1616E423" w14:textId="77777777" w:rsidR="00426931" w:rsidRPr="00426931" w:rsidRDefault="00426931" w:rsidP="00426931">
            <w:pPr>
              <w:spacing w:after="60"/>
              <w:rPr>
                <w:iCs/>
                <w:sz w:val="20"/>
              </w:rPr>
            </w:pPr>
            <w:r w:rsidRPr="00426931">
              <w:rPr>
                <w:iCs/>
                <w:sz w:val="20"/>
              </w:rPr>
              <w:t xml:space="preserve">FFSSAMT </w:t>
            </w:r>
            <w:r w:rsidRPr="00426931">
              <w:rPr>
                <w:i/>
                <w:iCs/>
                <w:sz w:val="20"/>
                <w:vertAlign w:val="subscript"/>
              </w:rPr>
              <w:t>q, r</w:t>
            </w:r>
          </w:p>
        </w:tc>
        <w:tc>
          <w:tcPr>
            <w:tcW w:w="0" w:type="auto"/>
            <w:tcBorders>
              <w:top w:val="single" w:sz="4" w:space="0" w:color="auto"/>
              <w:left w:val="single" w:sz="4" w:space="0" w:color="auto"/>
              <w:bottom w:val="single" w:sz="4" w:space="0" w:color="auto"/>
              <w:right w:val="single" w:sz="4" w:space="0" w:color="auto"/>
            </w:tcBorders>
            <w:hideMark/>
          </w:tcPr>
          <w:p w14:paraId="073AC931"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7545124C" w14:textId="77777777" w:rsidR="00426931" w:rsidRPr="00426931" w:rsidRDefault="00426931" w:rsidP="00426931">
            <w:pPr>
              <w:spacing w:after="60"/>
              <w:rPr>
                <w:iCs/>
                <w:sz w:val="20"/>
              </w:rPr>
            </w:pPr>
            <w:r w:rsidRPr="00426931">
              <w:rPr>
                <w:i/>
                <w:iCs/>
                <w:sz w:val="20"/>
              </w:rPr>
              <w:t>Firm Fuel Supply Service Amount per QSE per Resource</w:t>
            </w:r>
            <w:r w:rsidRPr="00426931">
              <w:rPr>
                <w:iCs/>
                <w:sz w:val="20"/>
              </w:rPr>
              <w:t xml:space="preserve">—The payment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51DDF34D"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0F78EABF" w14:textId="77777777" w:rsidR="00426931" w:rsidRPr="00426931" w:rsidRDefault="00426931" w:rsidP="00426931">
            <w:pPr>
              <w:spacing w:after="60"/>
              <w:rPr>
                <w:i/>
                <w:iCs/>
                <w:sz w:val="20"/>
              </w:rPr>
            </w:pPr>
            <w:r w:rsidRPr="00426931">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2CD25A69"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CE32A64" w14:textId="77777777" w:rsidR="00426931" w:rsidRPr="00426931" w:rsidRDefault="00426931" w:rsidP="00426931">
            <w:pPr>
              <w:spacing w:after="60"/>
              <w:rPr>
                <w:iCs/>
                <w:sz w:val="20"/>
              </w:rPr>
            </w:pPr>
            <w:r w:rsidRPr="00426931">
              <w:rPr>
                <w:iCs/>
                <w:sz w:val="20"/>
              </w:rPr>
              <w:t>A QSE.</w:t>
            </w:r>
          </w:p>
        </w:tc>
      </w:tr>
      <w:tr w:rsidR="00426931" w:rsidRPr="00426931" w14:paraId="38216D42"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4ACBBAEC" w14:textId="03B7EFBF" w:rsidR="00426931" w:rsidRPr="00426931" w:rsidRDefault="008417AF" w:rsidP="00426931">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4CEC36F"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B2C28AF"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bl>
    <w:p w14:paraId="08D5AA10" w14:textId="77777777" w:rsidR="00281DEA" w:rsidRDefault="00281DEA" w:rsidP="00281DEA">
      <w:pPr>
        <w:pStyle w:val="H4"/>
        <w:spacing w:before="480"/>
        <w:ind w:left="1267" w:hanging="1267"/>
      </w:pPr>
      <w:bookmarkStart w:id="2669" w:name="_Toc189044483"/>
      <w:r>
        <w:t>6.6.14.3</w:t>
      </w:r>
      <w:r>
        <w:tab/>
        <w:t>Firm Fuel Supply Service Capacity Charge</w:t>
      </w:r>
      <w:bookmarkEnd w:id="2669"/>
    </w:p>
    <w:p w14:paraId="07E9DDFE" w14:textId="77777777" w:rsidR="00281DEA" w:rsidRDefault="00281DEA" w:rsidP="00281DEA">
      <w:pPr>
        <w:pStyle w:val="BodyTextNumbered"/>
        <w:spacing w:before="240"/>
      </w:pPr>
      <w:r>
        <w:t>(1)</w:t>
      </w:r>
      <w:r>
        <w:tab/>
        <w:t>ERCOT shall allocate the total FFSS capacity and fuel replacement payment to the QSEs representing Loads based on an hourly LRS.  The resulting charge to each QSE for a given hour is calculated as follows:</w:t>
      </w:r>
    </w:p>
    <w:p w14:paraId="31F5FE67" w14:textId="77777777" w:rsidR="00281DEA" w:rsidRDefault="00281DEA" w:rsidP="00281DEA">
      <w:pPr>
        <w:pStyle w:val="FormulaBold"/>
      </w:pPr>
      <w:r>
        <w:lastRenderedPageBreak/>
        <w:t xml:space="preserve">LAFFSSAMT </w:t>
      </w:r>
      <w:r>
        <w:rPr>
          <w:i/>
          <w:vertAlign w:val="subscript"/>
        </w:rPr>
        <w:t>q</w:t>
      </w:r>
      <w:r>
        <w:tab/>
        <w:t>=</w:t>
      </w:r>
      <w:r>
        <w:tab/>
        <w:t xml:space="preserve">(-1) * FFSSAMTTOT * HLRS </w:t>
      </w:r>
      <w:r>
        <w:rPr>
          <w:i/>
          <w:vertAlign w:val="subscript"/>
        </w:rPr>
        <w:t>q</w:t>
      </w:r>
    </w:p>
    <w:p w14:paraId="452D7C30" w14:textId="77777777" w:rsidR="00281DEA" w:rsidRDefault="00281DEA" w:rsidP="00281DEA">
      <w:pPr>
        <w:pStyle w:val="BodyText"/>
      </w:pPr>
      <w:r>
        <w:t>Where:</w:t>
      </w:r>
    </w:p>
    <w:p w14:paraId="7D02198F" w14:textId="77777777" w:rsidR="00281DEA" w:rsidRDefault="00281DEA" w:rsidP="00281DEA">
      <w:pPr>
        <w:pStyle w:val="Formula"/>
        <w:ind w:left="2880" w:hanging="2160"/>
      </w:pPr>
      <w:r>
        <w:t>FFSSAMTTOT</w:t>
      </w:r>
      <w:r>
        <w:tab/>
        <w:t>=</w:t>
      </w:r>
      <w:r>
        <w:tab/>
      </w:r>
      <w:r w:rsidRPr="006F784F">
        <w:rPr>
          <w:position w:val="-22"/>
        </w:rPr>
        <w:object w:dxaOrig="255" w:dyaOrig="555" w14:anchorId="33BC6FC2">
          <v:shape id="_x0000_i1311" type="#_x0000_t75" style="width:12pt;height:30pt" o:ole="">
            <v:imagedata r:id="rId291" o:title=""/>
          </v:shape>
          <o:OLEObject Type="Embed" ProgID="Equation.3" ShapeID="_x0000_i1311" DrawAspect="Content" ObjectID="_1804653794" r:id="rId385"/>
        </w:object>
      </w:r>
      <w:r>
        <w:t xml:space="preserve">FFSSAMTQSETOT </w:t>
      </w:r>
      <w:r>
        <w:rPr>
          <w:i/>
          <w:vertAlign w:val="subscript"/>
        </w:rPr>
        <w:t>q</w:t>
      </w:r>
    </w:p>
    <w:p w14:paraId="549B7C7B" w14:textId="77777777" w:rsidR="00281DEA" w:rsidRDefault="00281DEA" w:rsidP="00281DEA">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281DEA" w14:paraId="1E2292D9" w14:textId="77777777" w:rsidTr="00D90E98">
        <w:tc>
          <w:tcPr>
            <w:tcW w:w="1998" w:type="dxa"/>
          </w:tcPr>
          <w:p w14:paraId="6C036C7F" w14:textId="77777777" w:rsidR="00281DEA" w:rsidRDefault="00281DEA" w:rsidP="00D90E98">
            <w:pPr>
              <w:pStyle w:val="TableHead"/>
            </w:pPr>
            <w:r>
              <w:t>Variable</w:t>
            </w:r>
          </w:p>
        </w:tc>
        <w:tc>
          <w:tcPr>
            <w:tcW w:w="0" w:type="auto"/>
          </w:tcPr>
          <w:p w14:paraId="5A6640F7" w14:textId="77777777" w:rsidR="00281DEA" w:rsidRDefault="00281DEA" w:rsidP="00D90E98">
            <w:pPr>
              <w:pStyle w:val="TableHead"/>
            </w:pPr>
            <w:r>
              <w:t>Unit</w:t>
            </w:r>
          </w:p>
        </w:tc>
        <w:tc>
          <w:tcPr>
            <w:tcW w:w="0" w:type="auto"/>
          </w:tcPr>
          <w:p w14:paraId="1FD73540" w14:textId="77777777" w:rsidR="00281DEA" w:rsidRDefault="00281DEA" w:rsidP="00D90E98">
            <w:pPr>
              <w:pStyle w:val="TableHead"/>
            </w:pPr>
            <w:r>
              <w:t>Definition</w:t>
            </w:r>
          </w:p>
        </w:tc>
      </w:tr>
      <w:tr w:rsidR="00281DEA" w14:paraId="5AB0239A" w14:textId="77777777" w:rsidTr="00D90E98">
        <w:trPr>
          <w:cantSplit/>
        </w:trPr>
        <w:tc>
          <w:tcPr>
            <w:tcW w:w="1998" w:type="dxa"/>
          </w:tcPr>
          <w:p w14:paraId="2F6843F5" w14:textId="77777777" w:rsidR="00281DEA" w:rsidRDefault="00281DEA" w:rsidP="00D90E98">
            <w:pPr>
              <w:pStyle w:val="TableBody"/>
            </w:pPr>
            <w:r>
              <w:t xml:space="preserve">LAFFSSAMT </w:t>
            </w:r>
            <w:r w:rsidRPr="00E15B17">
              <w:rPr>
                <w:i/>
                <w:vertAlign w:val="subscript"/>
              </w:rPr>
              <w:t>q</w:t>
            </w:r>
          </w:p>
        </w:tc>
        <w:tc>
          <w:tcPr>
            <w:tcW w:w="0" w:type="auto"/>
          </w:tcPr>
          <w:p w14:paraId="4E03DF86" w14:textId="77777777" w:rsidR="00281DEA" w:rsidRDefault="00281DEA" w:rsidP="00D90E98">
            <w:pPr>
              <w:pStyle w:val="TableBody"/>
            </w:pPr>
            <w:r>
              <w:t>$</w:t>
            </w:r>
          </w:p>
        </w:tc>
        <w:tc>
          <w:tcPr>
            <w:tcW w:w="0" w:type="auto"/>
          </w:tcPr>
          <w:p w14:paraId="05A30980" w14:textId="77777777" w:rsidR="00281DEA" w:rsidRDefault="00281DEA" w:rsidP="00D90E98">
            <w:pPr>
              <w:pStyle w:val="TableBody"/>
            </w:pPr>
            <w:r>
              <w:rPr>
                <w:i/>
              </w:rPr>
              <w:t>Load-Allocated Firm Fuel Supply Service Amount per QSE</w:t>
            </w:r>
            <w:r>
              <w:t xml:space="preserve">—The charge allocated to QSE </w:t>
            </w:r>
            <w:r>
              <w:rPr>
                <w:i/>
              </w:rPr>
              <w:t>q</w:t>
            </w:r>
            <w:r>
              <w:t xml:space="preserve"> for the FFSS, for the hour.</w:t>
            </w:r>
          </w:p>
        </w:tc>
      </w:tr>
      <w:tr w:rsidR="00281DEA" w14:paraId="2BCCDB32" w14:textId="77777777" w:rsidTr="00D90E98">
        <w:trPr>
          <w:cantSplit/>
        </w:trPr>
        <w:tc>
          <w:tcPr>
            <w:tcW w:w="1998" w:type="dxa"/>
          </w:tcPr>
          <w:p w14:paraId="3252BC50" w14:textId="77777777" w:rsidR="00281DEA" w:rsidRDefault="00281DEA" w:rsidP="00D90E98">
            <w:pPr>
              <w:pStyle w:val="TableBody"/>
            </w:pPr>
            <w:r>
              <w:t xml:space="preserve">FFSSAMTQSETOT </w:t>
            </w:r>
            <w:r w:rsidRPr="00E15B17">
              <w:rPr>
                <w:i/>
                <w:iCs w:val="0"/>
                <w:vertAlign w:val="subscript"/>
              </w:rPr>
              <w:t>q</w:t>
            </w:r>
          </w:p>
        </w:tc>
        <w:tc>
          <w:tcPr>
            <w:tcW w:w="0" w:type="auto"/>
          </w:tcPr>
          <w:p w14:paraId="2B0F1C16" w14:textId="77777777" w:rsidR="00281DEA" w:rsidRDefault="00281DEA" w:rsidP="00D90E98">
            <w:pPr>
              <w:pStyle w:val="TableBody"/>
            </w:pPr>
            <w:r>
              <w:t>$</w:t>
            </w:r>
          </w:p>
        </w:tc>
        <w:tc>
          <w:tcPr>
            <w:tcW w:w="0" w:type="auto"/>
          </w:tcPr>
          <w:p w14:paraId="7DB5355B" w14:textId="77777777" w:rsidR="00281DEA" w:rsidRDefault="00281DEA" w:rsidP="00D90E98">
            <w:pPr>
              <w:pStyle w:val="TableBody"/>
            </w:pPr>
            <w:r>
              <w:rPr>
                <w:i/>
              </w:rPr>
              <w:t>Firm Fuel Supply Service Amount QSE Total per QSE</w:t>
            </w:r>
            <w:r>
              <w:sym w:font="Symbol" w:char="F0BE"/>
            </w:r>
            <w:r>
              <w:t xml:space="preserve">The total of the payments to QSE </w:t>
            </w:r>
            <w:r>
              <w:rPr>
                <w:i/>
              </w:rPr>
              <w:t>q</w:t>
            </w:r>
            <w:r>
              <w:t xml:space="preserve"> for FFSS provided by all the FFSSRs represented by this QSE for the hour.</w:t>
            </w:r>
          </w:p>
        </w:tc>
      </w:tr>
      <w:tr w:rsidR="00281DEA" w14:paraId="28EA32F9" w14:textId="77777777" w:rsidTr="00D90E98">
        <w:trPr>
          <w:cantSplit/>
        </w:trPr>
        <w:tc>
          <w:tcPr>
            <w:tcW w:w="1998" w:type="dxa"/>
          </w:tcPr>
          <w:p w14:paraId="6D01DFCF" w14:textId="77777777" w:rsidR="00281DEA" w:rsidRDefault="00281DEA" w:rsidP="00D90E98">
            <w:pPr>
              <w:pStyle w:val="TableBody"/>
            </w:pPr>
            <w:r>
              <w:t>FFSSAMTTOT</w:t>
            </w:r>
          </w:p>
        </w:tc>
        <w:tc>
          <w:tcPr>
            <w:tcW w:w="0" w:type="auto"/>
          </w:tcPr>
          <w:p w14:paraId="7BF3EF72" w14:textId="77777777" w:rsidR="00281DEA" w:rsidRDefault="00281DEA" w:rsidP="00D90E98">
            <w:pPr>
              <w:pStyle w:val="TableBody"/>
            </w:pPr>
            <w:r>
              <w:t>$</w:t>
            </w:r>
          </w:p>
        </w:tc>
        <w:tc>
          <w:tcPr>
            <w:tcW w:w="0" w:type="auto"/>
          </w:tcPr>
          <w:p w14:paraId="5835F44E" w14:textId="77777777" w:rsidR="00281DEA" w:rsidRDefault="00281DEA" w:rsidP="00D90E98">
            <w:pPr>
              <w:pStyle w:val="TableBody"/>
            </w:pPr>
            <w:r>
              <w:rPr>
                <w:i/>
              </w:rPr>
              <w:t>Firm Fuel Supply Service Amount QSE Total ERCOT-Wide—</w:t>
            </w:r>
            <w:r>
              <w:t>The total of the payments to all QSEs for FFSS for the hour.</w:t>
            </w:r>
          </w:p>
        </w:tc>
      </w:tr>
      <w:tr w:rsidR="00281DEA" w14:paraId="7C6DF40C" w14:textId="77777777" w:rsidTr="00D90E98">
        <w:trPr>
          <w:cantSplit/>
        </w:trPr>
        <w:tc>
          <w:tcPr>
            <w:tcW w:w="1998" w:type="dxa"/>
          </w:tcPr>
          <w:p w14:paraId="3BB23DBE" w14:textId="77777777" w:rsidR="00281DEA" w:rsidRDefault="00281DEA" w:rsidP="00D90E98">
            <w:pPr>
              <w:pStyle w:val="TableBody"/>
            </w:pPr>
            <w:r>
              <w:t xml:space="preserve">HLRS </w:t>
            </w:r>
            <w:r w:rsidRPr="00E15B17">
              <w:rPr>
                <w:i/>
                <w:vertAlign w:val="subscript"/>
              </w:rPr>
              <w:t>q</w:t>
            </w:r>
          </w:p>
        </w:tc>
        <w:tc>
          <w:tcPr>
            <w:tcW w:w="0" w:type="auto"/>
          </w:tcPr>
          <w:p w14:paraId="3FF78035" w14:textId="77777777" w:rsidR="00281DEA" w:rsidRDefault="00281DEA" w:rsidP="00D90E98">
            <w:pPr>
              <w:pStyle w:val="TableBody"/>
            </w:pPr>
            <w:r>
              <w:t>none</w:t>
            </w:r>
          </w:p>
        </w:tc>
        <w:tc>
          <w:tcPr>
            <w:tcW w:w="0" w:type="auto"/>
          </w:tcPr>
          <w:p w14:paraId="14FE5776" w14:textId="77777777" w:rsidR="00281DEA" w:rsidRDefault="00281DEA" w:rsidP="00D90E98">
            <w:pPr>
              <w:pStyle w:val="TableBody"/>
            </w:pPr>
            <w:r>
              <w:t xml:space="preserve">The hourly LRS calculated for QSE </w:t>
            </w:r>
            <w:r>
              <w:rPr>
                <w:i/>
              </w:rPr>
              <w:t>q</w:t>
            </w:r>
            <w:r>
              <w:t xml:space="preserve"> for the hour.  See Section 6.6.2.4, QSE Load Ratio Share for an Operating Hour.</w:t>
            </w:r>
          </w:p>
        </w:tc>
      </w:tr>
      <w:tr w:rsidR="00281DEA" w14:paraId="34B30D92" w14:textId="77777777" w:rsidTr="00D90E98">
        <w:trPr>
          <w:cantSplit/>
        </w:trPr>
        <w:tc>
          <w:tcPr>
            <w:tcW w:w="1998" w:type="dxa"/>
            <w:tcBorders>
              <w:top w:val="single" w:sz="4" w:space="0" w:color="auto"/>
              <w:left w:val="single" w:sz="4" w:space="0" w:color="auto"/>
              <w:bottom w:val="single" w:sz="4" w:space="0" w:color="auto"/>
              <w:right w:val="single" w:sz="4" w:space="0" w:color="auto"/>
            </w:tcBorders>
          </w:tcPr>
          <w:p w14:paraId="21387AAE" w14:textId="77777777" w:rsidR="00281DEA" w:rsidRPr="00E15B17" w:rsidRDefault="00281DEA" w:rsidP="00D90E98">
            <w:pPr>
              <w:pStyle w:val="TableBody"/>
              <w:rPr>
                <w:i/>
              </w:rPr>
            </w:pPr>
            <w:r>
              <w:rPr>
                <w:i/>
              </w:rPr>
              <w:t>q</w:t>
            </w:r>
          </w:p>
        </w:tc>
        <w:tc>
          <w:tcPr>
            <w:tcW w:w="0" w:type="auto"/>
            <w:tcBorders>
              <w:top w:val="single" w:sz="4" w:space="0" w:color="auto"/>
              <w:left w:val="single" w:sz="4" w:space="0" w:color="auto"/>
              <w:bottom w:val="single" w:sz="4" w:space="0" w:color="auto"/>
              <w:right w:val="single" w:sz="4" w:space="0" w:color="auto"/>
            </w:tcBorders>
          </w:tcPr>
          <w:p w14:paraId="0EC724AE" w14:textId="77777777" w:rsidR="00281DEA" w:rsidRDefault="00281DEA" w:rsidP="00D90E98">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08D6D4EC" w14:textId="77777777" w:rsidR="00281DEA" w:rsidRDefault="00281DEA" w:rsidP="00D90E98">
            <w:pPr>
              <w:pStyle w:val="TableBody"/>
            </w:pPr>
            <w:r>
              <w:t>A QSE.</w:t>
            </w:r>
          </w:p>
        </w:tc>
      </w:tr>
    </w:tbl>
    <w:p w14:paraId="6E93B2C8" w14:textId="77777777" w:rsidR="001F04FD" w:rsidRDefault="001F04FD" w:rsidP="001F04FD">
      <w:pPr>
        <w:pStyle w:val="H2"/>
        <w:spacing w:before="480"/>
        <w:ind w:left="907" w:hanging="907"/>
      </w:pPr>
      <w:bookmarkStart w:id="2670" w:name="_Toc189044484"/>
      <w:r>
        <w:t>6.7</w:t>
      </w:r>
      <w:r>
        <w:tab/>
        <w:t>Real-Time Settlement Calculations for the Ancillary Services</w:t>
      </w:r>
      <w:bookmarkEnd w:id="2586"/>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70"/>
    </w:p>
    <w:p w14:paraId="333EA3C2" w14:textId="77777777" w:rsidR="001F04FD" w:rsidRDefault="001F04FD" w:rsidP="001F04FD">
      <w:pPr>
        <w:pStyle w:val="H3"/>
      </w:pPr>
      <w:bookmarkStart w:id="2671" w:name="_Toc109009423"/>
      <w:bookmarkStart w:id="2672" w:name="_Toc397505046"/>
      <w:bookmarkStart w:id="2673" w:name="_Toc402357178"/>
      <w:bookmarkStart w:id="2674" w:name="_Toc422486558"/>
      <w:bookmarkStart w:id="2675" w:name="_Toc433093411"/>
      <w:bookmarkStart w:id="2676" w:name="_Toc433093569"/>
      <w:bookmarkStart w:id="2677" w:name="_Toc440874799"/>
      <w:bookmarkStart w:id="2678" w:name="_Toc448142356"/>
      <w:bookmarkStart w:id="2679" w:name="_Toc448142513"/>
      <w:bookmarkStart w:id="2680" w:name="_Toc458770354"/>
      <w:bookmarkStart w:id="2681" w:name="_Toc459294322"/>
      <w:bookmarkStart w:id="2682" w:name="_Toc463262816"/>
      <w:bookmarkStart w:id="2683" w:name="_Toc468286889"/>
      <w:bookmarkStart w:id="2684" w:name="_Toc481502929"/>
      <w:bookmarkStart w:id="2685" w:name="_Toc496080097"/>
      <w:bookmarkStart w:id="2686" w:name="_Toc189044485"/>
      <w:r>
        <w:t>6.7.1</w:t>
      </w:r>
      <w:r>
        <w:tab/>
        <w:t>Payments for Ancillary Service Capacity Sold in a Supplemental Ancillary Services Market</w:t>
      </w:r>
      <w:bookmarkEnd w:id="2671"/>
      <w:bookmarkEnd w:id="2672"/>
      <w:bookmarkEnd w:id="2673"/>
      <w:bookmarkEnd w:id="2674"/>
      <w:r>
        <w:t xml:space="preserve"> (SASM) </w:t>
      </w:r>
      <w:r w:rsidRPr="00671790">
        <w:t>or Reconfiguration Supplemental Ancillary Services Market (RSASM)</w:t>
      </w:r>
      <w:bookmarkEnd w:id="2675"/>
      <w:bookmarkEnd w:id="2676"/>
      <w:bookmarkEnd w:id="2677"/>
      <w:bookmarkEnd w:id="2678"/>
      <w:bookmarkEnd w:id="2679"/>
      <w:bookmarkEnd w:id="2680"/>
      <w:bookmarkEnd w:id="2681"/>
      <w:bookmarkEnd w:id="2682"/>
      <w:bookmarkEnd w:id="2683"/>
      <w:bookmarkEnd w:id="2684"/>
      <w:bookmarkEnd w:id="2685"/>
      <w:bookmarkEnd w:id="2686"/>
    </w:p>
    <w:p w14:paraId="051D221F" w14:textId="77777777" w:rsidR="001F04FD" w:rsidRDefault="001F04FD" w:rsidP="001F04FD">
      <w:pPr>
        <w:pStyle w:val="BodyText"/>
        <w:ind w:left="720" w:hanging="720"/>
      </w:pPr>
      <w:r>
        <w:t>(1)</w:t>
      </w:r>
      <w:r>
        <w:tab/>
        <w:t xml:space="preserve">If a Supplemental Ancillary Services Market (SASM) </w:t>
      </w:r>
      <w:r w:rsidRPr="00671790">
        <w:t xml:space="preserve">or a Reconfiguration Supplemental Ancillary Services Market (RSASM) </w:t>
      </w:r>
      <w:r>
        <w:t>is executed for one or more Operating Hours for any reason, ERCOT shall pay Qualified Scheduling Entities (QSEs) for their Ancillary Service Offers cleared in the SASM</w:t>
      </w:r>
      <w:r w:rsidRPr="00671790">
        <w:t xml:space="preserve"> or RSASM</w:t>
      </w:r>
      <w:r>
        <w:t>, based on the Market Clearing Price for Capacity (MCPC) for that SASM</w:t>
      </w:r>
      <w:r w:rsidRPr="00671790">
        <w:t xml:space="preserve"> or RSASM</w:t>
      </w:r>
      <w:r>
        <w:t xml:space="preserve"> and that service.  By service and by SASM</w:t>
      </w:r>
      <w:r w:rsidRPr="00671790">
        <w:t xml:space="preserve"> or RSASM</w:t>
      </w:r>
      <w:r>
        <w:t>, the payment to each QSE for a given Operating Hour is calculated as follows:</w:t>
      </w:r>
    </w:p>
    <w:p w14:paraId="49B2AE2B" w14:textId="69ECDC14" w:rsidR="001F04FD" w:rsidRDefault="001F04FD" w:rsidP="001F04FD">
      <w:pPr>
        <w:pStyle w:val="BodyTextNumbered"/>
        <w:ind w:left="1440"/>
      </w:pPr>
      <w:r>
        <w:t>(a)</w:t>
      </w:r>
      <w:r>
        <w:tab/>
        <w:t>For Regulation Up</w:t>
      </w:r>
      <w:r w:rsidR="00F510E2">
        <w:t xml:space="preserve"> Service</w:t>
      </w:r>
      <w:r>
        <w:t xml:space="preserve"> (Reg-Up), if applicable:</w:t>
      </w:r>
    </w:p>
    <w:p w14:paraId="66D07638" w14:textId="77777777" w:rsidR="001F04FD" w:rsidRDefault="001F04FD" w:rsidP="001F04FD">
      <w:pPr>
        <w:pStyle w:val="FormulaBold"/>
        <w:rPr>
          <w:i/>
          <w:vertAlign w:val="subscript"/>
        </w:rPr>
      </w:pPr>
      <w:r>
        <w:t xml:space="preserve">RTPCRUAMT </w:t>
      </w:r>
      <w:r>
        <w:rPr>
          <w:i/>
          <w:vertAlign w:val="subscript"/>
        </w:rPr>
        <w:t>q, m</w:t>
      </w:r>
      <w:r>
        <w:tab/>
        <w:t>=</w:t>
      </w:r>
      <w:r>
        <w:tab/>
        <w:t xml:space="preserve">(-1) * MCPCRU </w:t>
      </w:r>
      <w:r>
        <w:rPr>
          <w:i/>
          <w:vertAlign w:val="subscript"/>
        </w:rPr>
        <w:t>m</w:t>
      </w:r>
      <w:r>
        <w:t xml:space="preserve"> * RTPCRU </w:t>
      </w:r>
      <w:r>
        <w:rPr>
          <w:i/>
          <w:vertAlign w:val="subscript"/>
        </w:rPr>
        <w:t>q, m</w:t>
      </w:r>
    </w:p>
    <w:p w14:paraId="665430F0" w14:textId="77777777" w:rsidR="001F04FD" w:rsidRDefault="001F04FD" w:rsidP="001F04FD">
      <w:pPr>
        <w:pStyle w:val="BodyText"/>
        <w:rPr>
          <w:lang w:val="pt-BR"/>
        </w:rPr>
      </w:pPr>
      <w:r>
        <w:rPr>
          <w:lang w:val="pt-BR"/>
        </w:rPr>
        <w:t>Where:</w:t>
      </w:r>
    </w:p>
    <w:p w14:paraId="46E644EC" w14:textId="77777777" w:rsidR="001F04FD" w:rsidRDefault="001F04FD" w:rsidP="001F04FD">
      <w:pPr>
        <w:pStyle w:val="Formula"/>
        <w:ind w:left="2880" w:hanging="2160"/>
        <w:rPr>
          <w:lang w:val="pt-BR"/>
        </w:rPr>
      </w:pPr>
      <w:r>
        <w:rPr>
          <w:lang w:val="pt-BR"/>
        </w:rPr>
        <w:t xml:space="preserve">RTPCRU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3132AEA5">
          <v:shape id="_x0000_i1312" type="#_x0000_t75" style="width:12pt;height:24pt" o:ole="">
            <v:imagedata r:id="rId386" o:title=""/>
          </v:shape>
          <o:OLEObject Type="Embed" ProgID="Equation.3" ShapeID="_x0000_i1312" DrawAspect="Content" ObjectID="_1804653795" r:id="rId387"/>
        </w:object>
      </w:r>
      <w:r>
        <w:rPr>
          <w:lang w:val="pt-BR"/>
        </w:rPr>
        <w:t>PCRUR</w:t>
      </w:r>
      <w:r>
        <w:rPr>
          <w:i/>
          <w:lang w:val="pt-BR"/>
        </w:rPr>
        <w:t xml:space="preserve"> </w:t>
      </w:r>
      <w:r>
        <w:rPr>
          <w:i/>
          <w:vertAlign w:val="subscript"/>
          <w:lang w:val="pt-BR"/>
        </w:rPr>
        <w:t xml:space="preserve"> q, r, m</w:t>
      </w:r>
    </w:p>
    <w:p w14:paraId="0AEEF47E"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1F04FD" w14:paraId="46CEE39F" w14:textId="77777777" w:rsidTr="00AC4DEE">
        <w:trPr>
          <w:cantSplit/>
          <w:tblHeader/>
        </w:trPr>
        <w:tc>
          <w:tcPr>
            <w:tcW w:w="1565" w:type="dxa"/>
          </w:tcPr>
          <w:p w14:paraId="0C2648B0" w14:textId="77777777" w:rsidR="001F04FD" w:rsidRDefault="001F04FD" w:rsidP="00AC4DEE">
            <w:pPr>
              <w:pStyle w:val="TableHead"/>
            </w:pPr>
            <w:r>
              <w:t>Variable</w:t>
            </w:r>
          </w:p>
        </w:tc>
        <w:tc>
          <w:tcPr>
            <w:tcW w:w="948" w:type="dxa"/>
          </w:tcPr>
          <w:p w14:paraId="33BF4348" w14:textId="77777777" w:rsidR="001F04FD" w:rsidRDefault="001F04FD" w:rsidP="00AC4DEE">
            <w:pPr>
              <w:pStyle w:val="TableHead"/>
            </w:pPr>
            <w:r>
              <w:t>Unit</w:t>
            </w:r>
          </w:p>
        </w:tc>
        <w:tc>
          <w:tcPr>
            <w:tcW w:w="6948" w:type="dxa"/>
          </w:tcPr>
          <w:p w14:paraId="4B84F59A" w14:textId="77777777" w:rsidR="001F04FD" w:rsidRDefault="001F04FD" w:rsidP="00AC4DEE">
            <w:pPr>
              <w:pStyle w:val="TableHead"/>
            </w:pPr>
            <w:r>
              <w:t>Description</w:t>
            </w:r>
          </w:p>
        </w:tc>
      </w:tr>
      <w:tr w:rsidR="001F04FD" w14:paraId="6B5AC5D0" w14:textId="77777777" w:rsidTr="00AC4DEE">
        <w:trPr>
          <w:cantSplit/>
        </w:trPr>
        <w:tc>
          <w:tcPr>
            <w:tcW w:w="1565" w:type="dxa"/>
          </w:tcPr>
          <w:p w14:paraId="09FF19F7" w14:textId="77777777" w:rsidR="001F04FD" w:rsidRDefault="001F04FD" w:rsidP="00AC4DEE">
            <w:pPr>
              <w:pStyle w:val="TableBody"/>
            </w:pPr>
            <w:r>
              <w:t xml:space="preserve">RTPCRUAMT </w:t>
            </w:r>
            <w:r w:rsidRPr="00C26BA9">
              <w:rPr>
                <w:i/>
                <w:vertAlign w:val="subscript"/>
              </w:rPr>
              <w:t>q, m</w:t>
            </w:r>
          </w:p>
        </w:tc>
        <w:tc>
          <w:tcPr>
            <w:tcW w:w="948" w:type="dxa"/>
          </w:tcPr>
          <w:p w14:paraId="1A93CBFC" w14:textId="77777777" w:rsidR="001F04FD" w:rsidRDefault="001F04FD" w:rsidP="00AC4DEE">
            <w:pPr>
              <w:pStyle w:val="TableBody"/>
            </w:pPr>
            <w:r>
              <w:t>$</w:t>
            </w:r>
          </w:p>
        </w:tc>
        <w:tc>
          <w:tcPr>
            <w:tcW w:w="6948" w:type="dxa"/>
          </w:tcPr>
          <w:p w14:paraId="33053F51" w14:textId="77777777" w:rsidR="001F04FD" w:rsidRDefault="001F04FD" w:rsidP="00AC4DEE">
            <w:pPr>
              <w:pStyle w:val="TableBody"/>
            </w:pPr>
            <w:r>
              <w:rPr>
                <w:i/>
              </w:rPr>
              <w:t>Procured Capacity for Reg-Up Amount by QSE by market</w:t>
            </w:r>
            <w:r>
              <w:t xml:space="preserve">—The payment to QSE </w:t>
            </w:r>
            <w:r>
              <w:rPr>
                <w:i/>
              </w:rPr>
              <w:t>q</w:t>
            </w:r>
            <w:r>
              <w:t xml:space="preserve"> for the Ancillary Service Offers cleared in the market </w:t>
            </w:r>
            <w:r>
              <w:rPr>
                <w:i/>
              </w:rPr>
              <w:t>m</w:t>
            </w:r>
            <w:r>
              <w:t xml:space="preserve"> to provide Reg-Up, for the hour.</w:t>
            </w:r>
          </w:p>
        </w:tc>
      </w:tr>
      <w:tr w:rsidR="001F04FD" w14:paraId="2ABE32DA"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1463B008" w14:textId="77777777" w:rsidR="001F04FD" w:rsidRDefault="001F04FD" w:rsidP="00AC4DEE">
            <w:pPr>
              <w:pStyle w:val="TableBody"/>
            </w:pPr>
            <w:r>
              <w:lastRenderedPageBreak/>
              <w:t xml:space="preserve">MCPCRU </w:t>
            </w:r>
            <w:r w:rsidRPr="00C26BA9">
              <w:rPr>
                <w:i/>
                <w:vertAlign w:val="subscript"/>
              </w:rPr>
              <w:t>m</w:t>
            </w:r>
          </w:p>
        </w:tc>
        <w:tc>
          <w:tcPr>
            <w:tcW w:w="948" w:type="dxa"/>
            <w:tcBorders>
              <w:top w:val="single" w:sz="4" w:space="0" w:color="auto"/>
              <w:left w:val="single" w:sz="4" w:space="0" w:color="auto"/>
              <w:bottom w:val="single" w:sz="4" w:space="0" w:color="auto"/>
              <w:right w:val="single" w:sz="4" w:space="0" w:color="auto"/>
            </w:tcBorders>
          </w:tcPr>
          <w:p w14:paraId="4F64D2EF" w14:textId="77777777" w:rsidR="001F04FD" w:rsidRDefault="001F04FD" w:rsidP="00AC4DEE">
            <w:pPr>
              <w:pStyle w:val="TableBody"/>
            </w:pPr>
            <w:r>
              <w:t>$/MW per hour</w:t>
            </w:r>
          </w:p>
        </w:tc>
        <w:tc>
          <w:tcPr>
            <w:tcW w:w="6948" w:type="dxa"/>
            <w:tcBorders>
              <w:top w:val="single" w:sz="4" w:space="0" w:color="auto"/>
              <w:left w:val="single" w:sz="4" w:space="0" w:color="auto"/>
              <w:bottom w:val="single" w:sz="4" w:space="0" w:color="auto"/>
              <w:right w:val="single" w:sz="4" w:space="0" w:color="auto"/>
            </w:tcBorders>
          </w:tcPr>
          <w:p w14:paraId="69FD0538" w14:textId="77777777" w:rsidR="001F04FD" w:rsidRDefault="001F04FD" w:rsidP="00AC4DEE">
            <w:pPr>
              <w:pStyle w:val="TableBody"/>
              <w:rPr>
                <w:i/>
              </w:rPr>
            </w:pPr>
            <w:r>
              <w:rPr>
                <w:i/>
              </w:rPr>
              <w:t>Market Clearing Price for Capacity for Reg-Up by market—</w:t>
            </w:r>
            <w:r>
              <w:t xml:space="preserve">The MCPC for Reg-Up from the market </w:t>
            </w:r>
            <w:r>
              <w:rPr>
                <w:i/>
              </w:rPr>
              <w:t>m</w:t>
            </w:r>
            <w:r>
              <w:t>, for the hour.</w:t>
            </w:r>
          </w:p>
        </w:tc>
      </w:tr>
      <w:tr w:rsidR="001F04FD" w14:paraId="360B10B7"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DB1922F" w14:textId="77777777" w:rsidR="001F04FD" w:rsidRDefault="001F04FD" w:rsidP="00AC4DEE">
            <w:pPr>
              <w:pStyle w:val="TableBody"/>
            </w:pPr>
            <w:r>
              <w:t xml:space="preserve">RTPCRU </w:t>
            </w:r>
            <w:r w:rsidRPr="00C26BA9">
              <w:rPr>
                <w:i/>
                <w:vertAlign w:val="subscript"/>
              </w:rPr>
              <w:t>q, m</w:t>
            </w:r>
          </w:p>
        </w:tc>
        <w:tc>
          <w:tcPr>
            <w:tcW w:w="948" w:type="dxa"/>
            <w:tcBorders>
              <w:top w:val="single" w:sz="4" w:space="0" w:color="auto"/>
              <w:left w:val="single" w:sz="4" w:space="0" w:color="auto"/>
              <w:bottom w:val="single" w:sz="4" w:space="0" w:color="auto"/>
              <w:right w:val="single" w:sz="4" w:space="0" w:color="auto"/>
            </w:tcBorders>
          </w:tcPr>
          <w:p w14:paraId="00420FBC"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0162600A" w14:textId="77777777" w:rsidR="001F04FD" w:rsidRDefault="001F04FD" w:rsidP="00AC4DEE">
            <w:pPr>
              <w:pStyle w:val="TableBody"/>
              <w:rPr>
                <w:i/>
              </w:rPr>
            </w:pPr>
            <w:r>
              <w:rPr>
                <w:i/>
              </w:rPr>
              <w:t>Procured Capacity for Reg-Up by QSE by market—</w:t>
            </w:r>
            <w:r>
              <w:t xml:space="preserve">The portion of QSE </w:t>
            </w:r>
            <w:r>
              <w:rPr>
                <w:i/>
              </w:rPr>
              <w:t>q</w:t>
            </w:r>
            <w:r>
              <w:t xml:space="preserve">’s Ancillary Service Offers cleared in the market </w:t>
            </w:r>
            <w:r>
              <w:rPr>
                <w:i/>
              </w:rPr>
              <w:t>m</w:t>
            </w:r>
            <w:r>
              <w:t xml:space="preserve"> to provide Reg-Up, for the hour.</w:t>
            </w:r>
          </w:p>
        </w:tc>
      </w:tr>
      <w:tr w:rsidR="001F04FD" w14:paraId="4A66303E"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18CFD5B" w14:textId="77777777" w:rsidR="001F04FD" w:rsidRDefault="001F04FD" w:rsidP="00AC4DEE">
            <w:pPr>
              <w:pStyle w:val="TableBody"/>
            </w:pPr>
            <w:r>
              <w:t xml:space="preserve">PCRUR </w:t>
            </w:r>
            <w:r w:rsidRPr="00C26BA9">
              <w:rPr>
                <w:i/>
                <w:vertAlign w:val="subscript"/>
              </w:rPr>
              <w:t>q, r, m</w:t>
            </w:r>
          </w:p>
        </w:tc>
        <w:tc>
          <w:tcPr>
            <w:tcW w:w="948" w:type="dxa"/>
            <w:tcBorders>
              <w:top w:val="single" w:sz="4" w:space="0" w:color="auto"/>
              <w:left w:val="single" w:sz="4" w:space="0" w:color="auto"/>
              <w:bottom w:val="single" w:sz="4" w:space="0" w:color="auto"/>
              <w:right w:val="single" w:sz="4" w:space="0" w:color="auto"/>
            </w:tcBorders>
          </w:tcPr>
          <w:p w14:paraId="78E0660B"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53B7B9F8" w14:textId="77777777" w:rsidR="001F04FD" w:rsidRDefault="001F04FD" w:rsidP="00AC4DEE">
            <w:pPr>
              <w:pStyle w:val="TableBody"/>
            </w:pPr>
            <w:r>
              <w:rPr>
                <w:i/>
              </w:rPr>
              <w:t>Procured Capacity for Reg-Up from Resource per Resource per QSE by market</w:t>
            </w:r>
            <w:r>
              <w:t xml:space="preserve">—The Reg-Up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7B2F5C03"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4D55897F" w14:textId="77777777" w:rsidR="001F04FD" w:rsidRPr="00C26BA9" w:rsidRDefault="001F04FD" w:rsidP="00AC4DEE">
            <w:pPr>
              <w:pStyle w:val="TableBody"/>
              <w:rPr>
                <w:i/>
              </w:rPr>
            </w:pPr>
            <w:r w:rsidRPr="00C26BA9">
              <w:rPr>
                <w:i/>
              </w:rPr>
              <w:t>m</w:t>
            </w:r>
          </w:p>
        </w:tc>
        <w:tc>
          <w:tcPr>
            <w:tcW w:w="948" w:type="dxa"/>
            <w:tcBorders>
              <w:top w:val="single" w:sz="4" w:space="0" w:color="auto"/>
              <w:left w:val="single" w:sz="4" w:space="0" w:color="auto"/>
              <w:bottom w:val="single" w:sz="4" w:space="0" w:color="auto"/>
              <w:right w:val="single" w:sz="4" w:space="0" w:color="auto"/>
            </w:tcBorders>
          </w:tcPr>
          <w:p w14:paraId="6588B835"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490FB8BF" w14:textId="77777777" w:rsidR="001F04FD" w:rsidRDefault="001F04FD" w:rsidP="00AC4DEE">
            <w:pPr>
              <w:pStyle w:val="TableBody"/>
            </w:pPr>
            <w:r>
              <w:t>An Ancillary Service market (SASM</w:t>
            </w:r>
            <w:r w:rsidRPr="00671790">
              <w:t xml:space="preserve"> or RSASM</w:t>
            </w:r>
            <w:r>
              <w:t>).</w:t>
            </w:r>
          </w:p>
        </w:tc>
      </w:tr>
      <w:tr w:rsidR="001F04FD" w14:paraId="06E9EDF8"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2E9DD1E" w14:textId="77777777" w:rsidR="001F04FD" w:rsidRPr="00C26BA9" w:rsidRDefault="001F04FD" w:rsidP="00AC4DEE">
            <w:pPr>
              <w:pStyle w:val="TableBody"/>
              <w:rPr>
                <w:i/>
              </w:rPr>
            </w:pPr>
            <w:r>
              <w:rPr>
                <w:i/>
              </w:rPr>
              <w:t>q</w:t>
            </w:r>
          </w:p>
        </w:tc>
        <w:tc>
          <w:tcPr>
            <w:tcW w:w="948" w:type="dxa"/>
            <w:tcBorders>
              <w:top w:val="single" w:sz="4" w:space="0" w:color="auto"/>
              <w:left w:val="single" w:sz="4" w:space="0" w:color="auto"/>
              <w:bottom w:val="single" w:sz="4" w:space="0" w:color="auto"/>
              <w:right w:val="single" w:sz="4" w:space="0" w:color="auto"/>
            </w:tcBorders>
          </w:tcPr>
          <w:p w14:paraId="40D4B5D2"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B4FFEAC" w14:textId="77777777" w:rsidR="001F04FD" w:rsidRDefault="001F04FD" w:rsidP="00AC4DEE">
            <w:pPr>
              <w:pStyle w:val="TableBody"/>
            </w:pPr>
            <w:r>
              <w:t>A QSE.</w:t>
            </w:r>
          </w:p>
        </w:tc>
      </w:tr>
      <w:tr w:rsidR="001F04FD" w14:paraId="40EA8D19"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75B02A2" w14:textId="77777777" w:rsidR="001F04FD" w:rsidRPr="00C26BA9" w:rsidRDefault="001F04FD" w:rsidP="00AC4DEE">
            <w:pPr>
              <w:pStyle w:val="TableBody"/>
              <w:rPr>
                <w:i/>
              </w:rPr>
            </w:pPr>
            <w:r>
              <w:rPr>
                <w:i/>
              </w:rPr>
              <w:t>r</w:t>
            </w:r>
          </w:p>
        </w:tc>
        <w:tc>
          <w:tcPr>
            <w:tcW w:w="948" w:type="dxa"/>
            <w:tcBorders>
              <w:top w:val="single" w:sz="4" w:space="0" w:color="auto"/>
              <w:left w:val="single" w:sz="4" w:space="0" w:color="auto"/>
              <w:bottom w:val="single" w:sz="4" w:space="0" w:color="auto"/>
              <w:right w:val="single" w:sz="4" w:space="0" w:color="auto"/>
            </w:tcBorders>
          </w:tcPr>
          <w:p w14:paraId="5980DBE3"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F8087E7" w14:textId="77777777" w:rsidR="001F04FD" w:rsidRDefault="001F04FD" w:rsidP="00AC4DEE">
            <w:pPr>
              <w:pStyle w:val="TableBody"/>
            </w:pPr>
            <w:r>
              <w:t>A Generation Resource.</w:t>
            </w:r>
          </w:p>
        </w:tc>
      </w:tr>
    </w:tbl>
    <w:p w14:paraId="0133CC4E" w14:textId="77777777" w:rsidR="001F04FD" w:rsidRDefault="001F04FD" w:rsidP="001F04FD"/>
    <w:p w14:paraId="3B31861B" w14:textId="2F028396" w:rsidR="001F04FD" w:rsidRDefault="001F04FD" w:rsidP="001F04FD">
      <w:pPr>
        <w:pStyle w:val="BodyTextNumbered"/>
        <w:ind w:left="1440"/>
      </w:pPr>
      <w:r>
        <w:t>(b)</w:t>
      </w:r>
      <w:r>
        <w:tab/>
        <w:t>For Regulation Down</w:t>
      </w:r>
      <w:r w:rsidR="00F510E2">
        <w:t xml:space="preserve"> Service</w:t>
      </w:r>
      <w:r>
        <w:t xml:space="preserve"> (Reg-Down), if applicable:</w:t>
      </w:r>
    </w:p>
    <w:p w14:paraId="75F2955F" w14:textId="77777777" w:rsidR="001F04FD" w:rsidRDefault="001F04FD" w:rsidP="001F04FD">
      <w:pPr>
        <w:pStyle w:val="FormulaBold"/>
      </w:pPr>
      <w:r>
        <w:t xml:space="preserve">RTPCRDAMT </w:t>
      </w:r>
      <w:r>
        <w:rPr>
          <w:i/>
          <w:vertAlign w:val="subscript"/>
        </w:rPr>
        <w:t>q, m</w:t>
      </w:r>
      <w:r>
        <w:tab/>
        <w:t>=</w:t>
      </w:r>
      <w:r>
        <w:tab/>
        <w:t xml:space="preserve">(-1) * MCPCRD </w:t>
      </w:r>
      <w:r>
        <w:rPr>
          <w:i/>
          <w:vertAlign w:val="subscript"/>
        </w:rPr>
        <w:t>m</w:t>
      </w:r>
      <w:r>
        <w:t xml:space="preserve"> * RTPCRD </w:t>
      </w:r>
      <w:r>
        <w:rPr>
          <w:i/>
          <w:vertAlign w:val="subscript"/>
        </w:rPr>
        <w:t>q, m</w:t>
      </w:r>
    </w:p>
    <w:p w14:paraId="76594177" w14:textId="77777777" w:rsidR="001F04FD" w:rsidRDefault="001F04FD" w:rsidP="001F04FD">
      <w:pPr>
        <w:pStyle w:val="BodyText"/>
      </w:pPr>
      <w:r>
        <w:t>Where:</w:t>
      </w:r>
    </w:p>
    <w:p w14:paraId="5931580F" w14:textId="77777777" w:rsidR="001F04FD" w:rsidRDefault="001F04FD" w:rsidP="001F04FD">
      <w:pPr>
        <w:pStyle w:val="Formula"/>
        <w:ind w:left="2880" w:hanging="2160"/>
      </w:pPr>
      <w:r>
        <w:t xml:space="preserve">RTPCRD </w:t>
      </w:r>
      <w:r>
        <w:rPr>
          <w:i/>
          <w:vertAlign w:val="subscript"/>
        </w:rPr>
        <w:t>q,</w:t>
      </w:r>
      <w:r>
        <w:rPr>
          <w:vertAlign w:val="subscript"/>
        </w:rPr>
        <w:t xml:space="preserve"> </w:t>
      </w:r>
      <w:r>
        <w:rPr>
          <w:i/>
          <w:vertAlign w:val="subscript"/>
        </w:rPr>
        <w:t>m</w:t>
      </w:r>
      <w:r>
        <w:tab/>
        <w:t>=</w:t>
      </w:r>
      <w:r>
        <w:tab/>
      </w:r>
      <w:r w:rsidRPr="006F784F">
        <w:rPr>
          <w:position w:val="-18"/>
        </w:rPr>
        <w:object w:dxaOrig="225" w:dyaOrig="420" w14:anchorId="0062C54A">
          <v:shape id="_x0000_i1313" type="#_x0000_t75" style="width:12pt;height:24pt" o:ole="">
            <v:imagedata r:id="rId386" o:title=""/>
          </v:shape>
          <o:OLEObject Type="Embed" ProgID="Equation.3" ShapeID="_x0000_i1313" DrawAspect="Content" ObjectID="_1804653796" r:id="rId388"/>
        </w:object>
      </w:r>
      <w:r>
        <w:t>PCRDR</w:t>
      </w:r>
      <w:r>
        <w:rPr>
          <w:i/>
        </w:rPr>
        <w:t xml:space="preserve"> </w:t>
      </w:r>
      <w:r>
        <w:rPr>
          <w:i/>
          <w:vertAlign w:val="subscript"/>
        </w:rPr>
        <w:t>r, q, m</w:t>
      </w:r>
    </w:p>
    <w:p w14:paraId="550C0B98"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30A34212" w14:textId="77777777" w:rsidTr="00AC4DEE">
        <w:trPr>
          <w:cantSplit/>
          <w:tblHeader/>
        </w:trPr>
        <w:tc>
          <w:tcPr>
            <w:tcW w:w="2153" w:type="dxa"/>
          </w:tcPr>
          <w:p w14:paraId="4A259F62" w14:textId="77777777" w:rsidR="001F04FD" w:rsidRDefault="001F04FD" w:rsidP="00AC4DEE">
            <w:pPr>
              <w:pStyle w:val="TableHead"/>
            </w:pPr>
            <w:r>
              <w:t>Variable</w:t>
            </w:r>
          </w:p>
        </w:tc>
        <w:tc>
          <w:tcPr>
            <w:tcW w:w="810" w:type="dxa"/>
          </w:tcPr>
          <w:p w14:paraId="2060524A" w14:textId="77777777" w:rsidR="001F04FD" w:rsidRDefault="001F04FD" w:rsidP="00AC4DEE">
            <w:pPr>
              <w:pStyle w:val="TableHead"/>
            </w:pPr>
            <w:r>
              <w:t>Unit</w:t>
            </w:r>
          </w:p>
        </w:tc>
        <w:tc>
          <w:tcPr>
            <w:tcW w:w="6498" w:type="dxa"/>
          </w:tcPr>
          <w:p w14:paraId="2A4192A3" w14:textId="77777777" w:rsidR="001F04FD" w:rsidRDefault="001F04FD" w:rsidP="00AC4DEE">
            <w:pPr>
              <w:pStyle w:val="TableHead"/>
            </w:pPr>
            <w:r>
              <w:t>Description</w:t>
            </w:r>
          </w:p>
        </w:tc>
      </w:tr>
      <w:tr w:rsidR="001F04FD" w14:paraId="565DF255" w14:textId="77777777" w:rsidTr="00AC4DEE">
        <w:trPr>
          <w:cantSplit/>
        </w:trPr>
        <w:tc>
          <w:tcPr>
            <w:tcW w:w="2153" w:type="dxa"/>
          </w:tcPr>
          <w:p w14:paraId="022A71A1" w14:textId="77777777" w:rsidR="001F04FD" w:rsidRDefault="001F04FD" w:rsidP="00AC4DEE">
            <w:pPr>
              <w:pStyle w:val="TableBody"/>
            </w:pPr>
            <w:r>
              <w:t xml:space="preserve">RTPCRDAMT </w:t>
            </w:r>
            <w:r w:rsidRPr="00C26BA9">
              <w:rPr>
                <w:i/>
                <w:vertAlign w:val="subscript"/>
              </w:rPr>
              <w:t>q, m</w:t>
            </w:r>
          </w:p>
        </w:tc>
        <w:tc>
          <w:tcPr>
            <w:tcW w:w="810" w:type="dxa"/>
          </w:tcPr>
          <w:p w14:paraId="3155CCBC" w14:textId="77777777" w:rsidR="001F04FD" w:rsidRDefault="001F04FD" w:rsidP="00AC4DEE">
            <w:pPr>
              <w:pStyle w:val="TableBody"/>
            </w:pPr>
            <w:r>
              <w:t>$</w:t>
            </w:r>
          </w:p>
        </w:tc>
        <w:tc>
          <w:tcPr>
            <w:tcW w:w="6498" w:type="dxa"/>
          </w:tcPr>
          <w:p w14:paraId="439C1853" w14:textId="77777777" w:rsidR="001F04FD" w:rsidRDefault="001F04FD" w:rsidP="00AC4DEE">
            <w:pPr>
              <w:pStyle w:val="TableBody"/>
            </w:pPr>
            <w:r>
              <w:rPr>
                <w:i/>
              </w:rPr>
              <w:t>Procured Capacity for Reg-Down Amount by QSE by market</w:t>
            </w:r>
            <w:r>
              <w:t xml:space="preserve">—The payment to QSE </w:t>
            </w:r>
            <w:r>
              <w:rPr>
                <w:i/>
              </w:rPr>
              <w:t>q</w:t>
            </w:r>
            <w:r>
              <w:t xml:space="preserve"> for the Ancillary Service Offers cleared in the market </w:t>
            </w:r>
            <w:r>
              <w:rPr>
                <w:i/>
              </w:rPr>
              <w:t>m</w:t>
            </w:r>
            <w:r>
              <w:t xml:space="preserve"> to provide Reg-Down, for the hour.</w:t>
            </w:r>
          </w:p>
        </w:tc>
      </w:tr>
      <w:tr w:rsidR="001F04FD" w14:paraId="1B514D06"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6D2679F9" w14:textId="77777777" w:rsidR="001F04FD" w:rsidRDefault="001F04FD" w:rsidP="00AC4DEE">
            <w:pPr>
              <w:pStyle w:val="TableBody"/>
            </w:pPr>
            <w:r>
              <w:t xml:space="preserve">MCPCRD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78223027"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529E3B2F" w14:textId="77777777" w:rsidR="001F04FD" w:rsidRDefault="001F04FD" w:rsidP="00AC4DEE">
            <w:pPr>
              <w:pStyle w:val="TableBody"/>
              <w:rPr>
                <w:i/>
              </w:rPr>
            </w:pPr>
            <w:r>
              <w:rPr>
                <w:i/>
              </w:rPr>
              <w:t xml:space="preserve"> Market Clearing Price for Capacity for Reg-Down by market—</w:t>
            </w:r>
            <w:r>
              <w:t xml:space="preserve">The MCPC for Reg-Down from the market </w:t>
            </w:r>
            <w:r>
              <w:rPr>
                <w:i/>
              </w:rPr>
              <w:t>m</w:t>
            </w:r>
            <w:r>
              <w:t>, for the hour.</w:t>
            </w:r>
          </w:p>
        </w:tc>
      </w:tr>
      <w:tr w:rsidR="001F04FD" w14:paraId="26EF90CB"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9049595" w14:textId="77777777" w:rsidR="001F04FD" w:rsidRDefault="001F04FD" w:rsidP="00AC4DEE">
            <w:pPr>
              <w:pStyle w:val="TableBody"/>
            </w:pPr>
            <w:r>
              <w:t xml:space="preserve">RTPCRD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FEB23A8"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AC3DC84" w14:textId="77777777" w:rsidR="001F04FD" w:rsidRDefault="001F04FD" w:rsidP="00AC4DEE">
            <w:pPr>
              <w:pStyle w:val="TableBody"/>
              <w:rPr>
                <w:i/>
              </w:rPr>
            </w:pPr>
            <w:r>
              <w:rPr>
                <w:i/>
              </w:rPr>
              <w:t>Procured Capacity for Reg-Down by QSE by market—</w:t>
            </w:r>
            <w:r>
              <w:t xml:space="preserve">The portion of QSE </w:t>
            </w:r>
            <w:r>
              <w:rPr>
                <w:i/>
              </w:rPr>
              <w:t>q</w:t>
            </w:r>
            <w:r>
              <w:t xml:space="preserve">’s Ancillary Service Offers cleared in the market </w:t>
            </w:r>
            <w:r>
              <w:rPr>
                <w:i/>
              </w:rPr>
              <w:t>m</w:t>
            </w:r>
            <w:r>
              <w:t xml:space="preserve"> to provide Reg-Down, for the hour.</w:t>
            </w:r>
          </w:p>
        </w:tc>
      </w:tr>
      <w:tr w:rsidR="001F04FD" w14:paraId="7BF5652F"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F92713F" w14:textId="77777777" w:rsidR="001F04FD" w:rsidRDefault="001F04FD" w:rsidP="00AC4DEE">
            <w:pPr>
              <w:pStyle w:val="TableBody"/>
            </w:pPr>
            <w:r>
              <w:t xml:space="preserve">PCRDR </w:t>
            </w:r>
            <w:r w:rsidRPr="00C26BA9">
              <w:rPr>
                <w:i/>
                <w:vertAlign w:val="subscript"/>
              </w:rPr>
              <w:t>r,</w:t>
            </w:r>
            <w:r w:rsidRPr="00C26BA9">
              <w:rPr>
                <w:i/>
              </w:rPr>
              <w:t xml:space="preserve">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00F4BE3"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25DF20AD" w14:textId="77777777" w:rsidR="001F04FD" w:rsidRDefault="001F04FD" w:rsidP="00AC4DEE">
            <w:pPr>
              <w:pStyle w:val="TableBody"/>
            </w:pPr>
            <w:r>
              <w:rPr>
                <w:i/>
              </w:rPr>
              <w:t>Procured Capacity for Reg-Down from Resource per Resource per QSE by market</w:t>
            </w:r>
            <w:r>
              <w:t xml:space="preserve">—The Reg-Down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15F9F4C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037C233" w14:textId="77777777" w:rsidR="001F04FD" w:rsidRPr="00CE0FC9" w:rsidRDefault="001F04FD" w:rsidP="00AC4DEE">
            <w:pPr>
              <w:pStyle w:val="TableBody"/>
              <w:rPr>
                <w:i/>
              </w:rPr>
            </w:pPr>
            <w:r>
              <w:rPr>
                <w:i/>
              </w:rPr>
              <w:t>m</w:t>
            </w:r>
          </w:p>
        </w:tc>
        <w:tc>
          <w:tcPr>
            <w:tcW w:w="810" w:type="dxa"/>
            <w:tcBorders>
              <w:top w:val="single" w:sz="4" w:space="0" w:color="auto"/>
              <w:left w:val="single" w:sz="4" w:space="0" w:color="auto"/>
              <w:bottom w:val="single" w:sz="4" w:space="0" w:color="auto"/>
              <w:right w:val="single" w:sz="4" w:space="0" w:color="auto"/>
            </w:tcBorders>
          </w:tcPr>
          <w:p w14:paraId="4621D766"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B5138BA" w14:textId="77777777" w:rsidR="001F04FD" w:rsidRDefault="001F04FD" w:rsidP="00AC4DEE">
            <w:pPr>
              <w:pStyle w:val="TableBody"/>
            </w:pPr>
            <w:r>
              <w:t>An Ancillary Service market (SASM or RSASM).</w:t>
            </w:r>
          </w:p>
        </w:tc>
      </w:tr>
      <w:tr w:rsidR="001F04FD" w14:paraId="041C6578"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130AC38"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334BBB15"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7B54ED31" w14:textId="77777777" w:rsidR="001F04FD" w:rsidRDefault="001F04FD" w:rsidP="00AC4DEE">
            <w:pPr>
              <w:pStyle w:val="TableBody"/>
            </w:pPr>
            <w:r>
              <w:t>A QSE.</w:t>
            </w:r>
          </w:p>
        </w:tc>
      </w:tr>
      <w:tr w:rsidR="001F04FD" w14:paraId="2C2EB8E5"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06D5907"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0DFD305F"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5356349" w14:textId="77777777" w:rsidR="001F04FD" w:rsidRDefault="001F04FD" w:rsidP="00AC4DEE">
            <w:pPr>
              <w:pStyle w:val="TableBody"/>
            </w:pPr>
            <w:r>
              <w:t>A Generation Resource.</w:t>
            </w:r>
          </w:p>
        </w:tc>
      </w:tr>
    </w:tbl>
    <w:p w14:paraId="1777E6B6" w14:textId="77777777" w:rsidR="001F04FD" w:rsidRDefault="001F04FD" w:rsidP="001F04FD"/>
    <w:p w14:paraId="6DDA8C76" w14:textId="77777777" w:rsidR="001F04FD" w:rsidRDefault="001F04FD" w:rsidP="001F04FD">
      <w:pPr>
        <w:pStyle w:val="BodyTextNumbered"/>
        <w:ind w:left="1440"/>
      </w:pPr>
      <w:r>
        <w:t>(c)</w:t>
      </w:r>
      <w:r>
        <w:tab/>
      </w:r>
      <w:r w:rsidRPr="004D678D">
        <w:t>For Responsive Reserve (RRS), if applicable:</w:t>
      </w:r>
    </w:p>
    <w:p w14:paraId="744B7B7B" w14:textId="77777777" w:rsidR="001F04FD" w:rsidRDefault="001F04FD" w:rsidP="001F04FD">
      <w:pPr>
        <w:pStyle w:val="FormulaBold"/>
      </w:pPr>
      <w:r>
        <w:t xml:space="preserve">RTPCRRAMT </w:t>
      </w:r>
      <w:r>
        <w:rPr>
          <w:i/>
          <w:vertAlign w:val="subscript"/>
        </w:rPr>
        <w:t>q, m</w:t>
      </w:r>
      <w:r>
        <w:tab/>
        <w:t>=</w:t>
      </w:r>
      <w:r>
        <w:tab/>
        <w:t xml:space="preserve">(-1) * MCPCRR </w:t>
      </w:r>
      <w:r>
        <w:rPr>
          <w:i/>
          <w:vertAlign w:val="subscript"/>
        </w:rPr>
        <w:t>m</w:t>
      </w:r>
      <w:r>
        <w:t xml:space="preserve"> * RTPCRR </w:t>
      </w:r>
      <w:r>
        <w:rPr>
          <w:i/>
          <w:vertAlign w:val="subscript"/>
        </w:rPr>
        <w:t>q, m</w:t>
      </w:r>
    </w:p>
    <w:p w14:paraId="0ECD1E30" w14:textId="77777777" w:rsidR="001F04FD" w:rsidRDefault="001F04FD" w:rsidP="001F04FD">
      <w:pPr>
        <w:pStyle w:val="BodyText"/>
        <w:rPr>
          <w:lang w:val="pt-BR"/>
        </w:rPr>
      </w:pPr>
      <w:r>
        <w:rPr>
          <w:lang w:val="pt-BR"/>
        </w:rPr>
        <w:t>Where:</w:t>
      </w:r>
    </w:p>
    <w:p w14:paraId="6E0BDEB1" w14:textId="77777777" w:rsidR="001F04FD" w:rsidRDefault="001F04FD" w:rsidP="001F04FD">
      <w:pPr>
        <w:pStyle w:val="Formula"/>
        <w:ind w:left="2880" w:hanging="2160"/>
        <w:rPr>
          <w:lang w:val="pt-BR"/>
        </w:rPr>
      </w:pPr>
      <w:r>
        <w:rPr>
          <w:lang w:val="pt-BR"/>
        </w:rPr>
        <w:lastRenderedPageBreak/>
        <w:t xml:space="preserve">RTPCRR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68375716">
          <v:shape id="_x0000_i1314" type="#_x0000_t75" style="width:12pt;height:24pt" o:ole="">
            <v:imagedata r:id="rId386" o:title=""/>
          </v:shape>
          <o:OLEObject Type="Embed" ProgID="Equation.3" ShapeID="_x0000_i1314" DrawAspect="Content" ObjectID="_1804653797" r:id="rId389"/>
        </w:object>
      </w:r>
      <w:r>
        <w:rPr>
          <w:lang w:val="pt-BR"/>
        </w:rPr>
        <w:t>PCRRR</w:t>
      </w:r>
      <w:r>
        <w:rPr>
          <w:i/>
          <w:lang w:val="pt-BR"/>
        </w:rPr>
        <w:t xml:space="preserve"> </w:t>
      </w:r>
      <w:r>
        <w:rPr>
          <w:i/>
          <w:vertAlign w:val="subscript"/>
          <w:lang w:val="pt-BR"/>
        </w:rPr>
        <w:t xml:space="preserve"> q, r, m</w:t>
      </w:r>
    </w:p>
    <w:p w14:paraId="586B2289"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6C644757" w14:textId="77777777" w:rsidTr="00AC4DEE">
        <w:trPr>
          <w:cantSplit/>
          <w:tblHeader/>
        </w:trPr>
        <w:tc>
          <w:tcPr>
            <w:tcW w:w="2153" w:type="dxa"/>
          </w:tcPr>
          <w:p w14:paraId="2118D3E3" w14:textId="77777777" w:rsidR="001F04FD" w:rsidRDefault="001F04FD" w:rsidP="00AC4DEE">
            <w:pPr>
              <w:pStyle w:val="TableHead"/>
            </w:pPr>
            <w:r>
              <w:t>Variable</w:t>
            </w:r>
          </w:p>
        </w:tc>
        <w:tc>
          <w:tcPr>
            <w:tcW w:w="810" w:type="dxa"/>
          </w:tcPr>
          <w:p w14:paraId="50857771" w14:textId="77777777" w:rsidR="001F04FD" w:rsidRDefault="001F04FD" w:rsidP="00AC4DEE">
            <w:pPr>
              <w:pStyle w:val="TableHead"/>
            </w:pPr>
            <w:r>
              <w:t>Unit</w:t>
            </w:r>
          </w:p>
        </w:tc>
        <w:tc>
          <w:tcPr>
            <w:tcW w:w="6498" w:type="dxa"/>
          </w:tcPr>
          <w:p w14:paraId="2B440AEF" w14:textId="77777777" w:rsidR="001F04FD" w:rsidRDefault="001F04FD" w:rsidP="00AC4DEE">
            <w:pPr>
              <w:pStyle w:val="TableHead"/>
            </w:pPr>
            <w:r>
              <w:t>Description</w:t>
            </w:r>
          </w:p>
        </w:tc>
      </w:tr>
      <w:tr w:rsidR="001F04FD" w14:paraId="6AF9FA54" w14:textId="77777777" w:rsidTr="00AC4DEE">
        <w:trPr>
          <w:cantSplit/>
        </w:trPr>
        <w:tc>
          <w:tcPr>
            <w:tcW w:w="2153" w:type="dxa"/>
          </w:tcPr>
          <w:p w14:paraId="5E11D09C" w14:textId="77777777" w:rsidR="001F04FD" w:rsidRDefault="001F04FD" w:rsidP="00AC4DEE">
            <w:pPr>
              <w:pStyle w:val="TableBody"/>
            </w:pPr>
            <w:r>
              <w:t xml:space="preserve">RTPCRRAMT </w:t>
            </w:r>
            <w:r w:rsidRPr="00C26BA9">
              <w:rPr>
                <w:i/>
                <w:vertAlign w:val="subscript"/>
              </w:rPr>
              <w:t>q, m</w:t>
            </w:r>
          </w:p>
        </w:tc>
        <w:tc>
          <w:tcPr>
            <w:tcW w:w="810" w:type="dxa"/>
          </w:tcPr>
          <w:p w14:paraId="6C7CE230" w14:textId="77777777" w:rsidR="001F04FD" w:rsidRDefault="001F04FD" w:rsidP="00AC4DEE">
            <w:pPr>
              <w:pStyle w:val="TableBody"/>
            </w:pPr>
            <w:r>
              <w:t>$</w:t>
            </w:r>
          </w:p>
        </w:tc>
        <w:tc>
          <w:tcPr>
            <w:tcW w:w="6498" w:type="dxa"/>
          </w:tcPr>
          <w:p w14:paraId="0DFE2C66" w14:textId="77777777" w:rsidR="001F04FD" w:rsidRDefault="001F04FD" w:rsidP="00AC4DEE">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RRS, for the hour.</w:t>
            </w:r>
          </w:p>
        </w:tc>
      </w:tr>
      <w:tr w:rsidR="001F04FD" w14:paraId="1A07F25E"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30547FA" w14:textId="77777777" w:rsidR="001F04FD" w:rsidRDefault="001F04FD" w:rsidP="00AC4DEE">
            <w:pPr>
              <w:pStyle w:val="TableBody"/>
            </w:pPr>
            <w:r>
              <w:t>MCPCRR</w:t>
            </w:r>
            <w:r w:rsidRPr="00C26BA9">
              <w:rPr>
                <w:i/>
              </w:rPr>
              <w:t xml:space="preserve">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4CA7052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3E7E9ADD" w14:textId="77777777" w:rsidR="001F04FD" w:rsidRDefault="001F04FD" w:rsidP="00AC4DEE">
            <w:pPr>
              <w:pStyle w:val="TableBody"/>
              <w:rPr>
                <w:i/>
              </w:rPr>
            </w:pPr>
            <w:r>
              <w:rPr>
                <w:i/>
              </w:rPr>
              <w:t>Market Clearing Price for Capacity for Responsive Reserve by market—</w:t>
            </w:r>
            <w:r>
              <w:t xml:space="preserve">The MCPC for RRS from the market </w:t>
            </w:r>
            <w:r>
              <w:rPr>
                <w:i/>
              </w:rPr>
              <w:t>m</w:t>
            </w:r>
            <w:r>
              <w:t>, for the hour.</w:t>
            </w:r>
          </w:p>
        </w:tc>
      </w:tr>
      <w:tr w:rsidR="001F04FD" w14:paraId="3D19DD6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DE9D112" w14:textId="77777777" w:rsidR="001F04FD" w:rsidRDefault="001F04FD" w:rsidP="00AC4DEE">
            <w:pPr>
              <w:pStyle w:val="TableBody"/>
            </w:pPr>
            <w:r>
              <w:t xml:space="preserve">RTPCRR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E067FF9"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6A684487" w14:textId="77777777" w:rsidR="001F04FD" w:rsidRDefault="001F04FD" w:rsidP="00AC4DEE">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RRS, for the hour.</w:t>
            </w:r>
          </w:p>
        </w:tc>
      </w:tr>
      <w:tr w:rsidR="001F04FD" w14:paraId="379AC050"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244FF457" w14:textId="77777777" w:rsidR="001F04FD" w:rsidRDefault="001F04FD" w:rsidP="00AC4DEE">
            <w:pPr>
              <w:pStyle w:val="TableBody"/>
            </w:pPr>
            <w:r>
              <w:t xml:space="preserve">PCRRR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2A5D765D"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E928F92" w14:textId="77777777" w:rsidR="001F04FD" w:rsidRDefault="001F04FD" w:rsidP="00AC4DEE">
            <w:pPr>
              <w:pStyle w:val="TableBody"/>
            </w:pPr>
            <w:r>
              <w:rPr>
                <w:i/>
              </w:rPr>
              <w:t>Procured Capacity for Responsive Reserve from Resource per Resource per QSE by market</w:t>
            </w:r>
            <w:r>
              <w:t xml:space="preserve">—The RRS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64C0BF29"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6D08299"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82EF0A3"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BD27AE0" w14:textId="77777777" w:rsidR="001F04FD" w:rsidRDefault="001F04FD" w:rsidP="00AC4DEE">
            <w:pPr>
              <w:pStyle w:val="TableBody"/>
            </w:pPr>
            <w:r>
              <w:t>An Ancillary Service market (SASM or RSASM).</w:t>
            </w:r>
          </w:p>
        </w:tc>
      </w:tr>
      <w:tr w:rsidR="001F04FD" w14:paraId="0485C933"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172754A"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2F0A7937"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3FD90AF2" w14:textId="77777777" w:rsidR="001F04FD" w:rsidRDefault="001F04FD" w:rsidP="00AC4DEE">
            <w:pPr>
              <w:pStyle w:val="TableBody"/>
            </w:pPr>
            <w:r>
              <w:t>A QSE.</w:t>
            </w:r>
          </w:p>
        </w:tc>
      </w:tr>
      <w:tr w:rsidR="001F04FD" w14:paraId="557682C2"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B84507E"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3E10B6A2"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223B3BEC" w14:textId="77777777" w:rsidR="001F04FD" w:rsidRDefault="001F04FD" w:rsidP="00AC4DEE">
            <w:pPr>
              <w:pStyle w:val="TableBody"/>
            </w:pPr>
            <w:r>
              <w:t>A Generation Resource.</w:t>
            </w:r>
          </w:p>
        </w:tc>
      </w:tr>
    </w:tbl>
    <w:p w14:paraId="3E8324E4" w14:textId="77777777" w:rsidR="001F04FD" w:rsidRDefault="001F04FD" w:rsidP="001F04FD"/>
    <w:p w14:paraId="482B258E" w14:textId="77777777" w:rsidR="001F04FD" w:rsidRDefault="001F04FD" w:rsidP="001F04FD">
      <w:pPr>
        <w:pStyle w:val="BodyTextNumbered"/>
        <w:ind w:left="1440"/>
      </w:pPr>
      <w:r>
        <w:t>(d)</w:t>
      </w:r>
      <w:r>
        <w:tab/>
        <w:t>For Non-Spinning Reserve (Non-Spin), if applicable:</w:t>
      </w:r>
    </w:p>
    <w:p w14:paraId="3A4C938D" w14:textId="77777777" w:rsidR="001F04FD" w:rsidRDefault="001F04FD" w:rsidP="001F04FD">
      <w:pPr>
        <w:pStyle w:val="FormulaBold"/>
      </w:pPr>
      <w:r>
        <w:t xml:space="preserve">RTPCNSAMT </w:t>
      </w:r>
      <w:r>
        <w:rPr>
          <w:i/>
          <w:vertAlign w:val="subscript"/>
        </w:rPr>
        <w:t>q, m</w:t>
      </w:r>
      <w:r>
        <w:tab/>
        <w:t>=</w:t>
      </w:r>
      <w:r>
        <w:tab/>
        <w:t xml:space="preserve">(-1) * MCPCNS </w:t>
      </w:r>
      <w:r>
        <w:rPr>
          <w:i/>
          <w:vertAlign w:val="subscript"/>
        </w:rPr>
        <w:t>m</w:t>
      </w:r>
      <w:r>
        <w:t xml:space="preserve"> * RTPCNS </w:t>
      </w:r>
      <w:r>
        <w:rPr>
          <w:i/>
          <w:vertAlign w:val="subscript"/>
        </w:rPr>
        <w:t>q, m</w:t>
      </w:r>
    </w:p>
    <w:p w14:paraId="26C54F55" w14:textId="77777777" w:rsidR="001F04FD" w:rsidRDefault="001F04FD" w:rsidP="001F04FD">
      <w:pPr>
        <w:pStyle w:val="BodyText"/>
        <w:rPr>
          <w:lang w:val="pt-BR"/>
        </w:rPr>
      </w:pPr>
      <w:r>
        <w:rPr>
          <w:lang w:val="pt-BR"/>
        </w:rPr>
        <w:t>Where:</w:t>
      </w:r>
    </w:p>
    <w:p w14:paraId="7A8131D0" w14:textId="77777777" w:rsidR="001F04FD" w:rsidRDefault="001F04FD" w:rsidP="001F04FD">
      <w:pPr>
        <w:pStyle w:val="Formula"/>
        <w:ind w:left="2880" w:hanging="2160"/>
        <w:rPr>
          <w:lang w:val="pt-BR"/>
        </w:rPr>
      </w:pPr>
      <w:r>
        <w:rPr>
          <w:lang w:val="pt-BR"/>
        </w:rPr>
        <w:t xml:space="preserve">RTPCNS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2E14D178">
          <v:shape id="_x0000_i1315" type="#_x0000_t75" style="width:12pt;height:24pt" o:ole="">
            <v:imagedata r:id="rId386" o:title=""/>
          </v:shape>
          <o:OLEObject Type="Embed" ProgID="Equation.3" ShapeID="_x0000_i1315" DrawAspect="Content" ObjectID="_1804653798" r:id="rId390"/>
        </w:object>
      </w:r>
      <w:r>
        <w:rPr>
          <w:lang w:val="pt-BR"/>
        </w:rPr>
        <w:t>PCNSR</w:t>
      </w:r>
      <w:r>
        <w:rPr>
          <w:i/>
          <w:lang w:val="pt-BR"/>
        </w:rPr>
        <w:t xml:space="preserve"> </w:t>
      </w:r>
      <w:r>
        <w:rPr>
          <w:i/>
          <w:vertAlign w:val="subscript"/>
          <w:lang w:val="pt-BR"/>
        </w:rPr>
        <w:t xml:space="preserve"> q, r, m</w:t>
      </w:r>
    </w:p>
    <w:p w14:paraId="4960F2C5" w14:textId="77777777" w:rsidR="001F04FD" w:rsidRDefault="001F04FD" w:rsidP="001F04FD">
      <w:r>
        <w:t>The above variables are defined as follows:</w:t>
      </w: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1F04FD" w14:paraId="581F4566" w14:textId="77777777" w:rsidTr="00F371D4">
        <w:trPr>
          <w:cantSplit/>
          <w:tblHeader/>
        </w:trPr>
        <w:tc>
          <w:tcPr>
            <w:tcW w:w="2181" w:type="dxa"/>
          </w:tcPr>
          <w:p w14:paraId="274E534C" w14:textId="77777777" w:rsidR="001F04FD" w:rsidRDefault="001F04FD" w:rsidP="00AC4DEE">
            <w:pPr>
              <w:pStyle w:val="TableHead"/>
            </w:pPr>
            <w:r>
              <w:t>Variable</w:t>
            </w:r>
          </w:p>
        </w:tc>
        <w:tc>
          <w:tcPr>
            <w:tcW w:w="820" w:type="dxa"/>
          </w:tcPr>
          <w:p w14:paraId="02DE5B63" w14:textId="77777777" w:rsidR="001F04FD" w:rsidRDefault="001F04FD" w:rsidP="00AC4DEE">
            <w:pPr>
              <w:pStyle w:val="TableHead"/>
            </w:pPr>
            <w:r>
              <w:t>Unit</w:t>
            </w:r>
          </w:p>
        </w:tc>
        <w:tc>
          <w:tcPr>
            <w:tcW w:w="6582" w:type="dxa"/>
          </w:tcPr>
          <w:p w14:paraId="27649119" w14:textId="77777777" w:rsidR="001F04FD" w:rsidRDefault="001F04FD" w:rsidP="00AC4DEE">
            <w:pPr>
              <w:pStyle w:val="TableHead"/>
            </w:pPr>
            <w:r>
              <w:t>Description</w:t>
            </w:r>
          </w:p>
        </w:tc>
      </w:tr>
      <w:tr w:rsidR="001F04FD" w14:paraId="409CA309" w14:textId="77777777" w:rsidTr="00F371D4">
        <w:trPr>
          <w:cantSplit/>
        </w:trPr>
        <w:tc>
          <w:tcPr>
            <w:tcW w:w="2181" w:type="dxa"/>
          </w:tcPr>
          <w:p w14:paraId="42B63851" w14:textId="77777777" w:rsidR="001F04FD" w:rsidRDefault="001F04FD" w:rsidP="00AC4DEE">
            <w:pPr>
              <w:pStyle w:val="TableBody"/>
            </w:pPr>
            <w:r>
              <w:t xml:space="preserve">RTPCNSAMT </w:t>
            </w:r>
            <w:r w:rsidRPr="00C26BA9">
              <w:rPr>
                <w:i/>
                <w:vertAlign w:val="subscript"/>
              </w:rPr>
              <w:t>q, m</w:t>
            </w:r>
          </w:p>
        </w:tc>
        <w:tc>
          <w:tcPr>
            <w:tcW w:w="820" w:type="dxa"/>
          </w:tcPr>
          <w:p w14:paraId="639B423B" w14:textId="77777777" w:rsidR="001F04FD" w:rsidRDefault="001F04FD" w:rsidP="00AC4DEE">
            <w:pPr>
              <w:pStyle w:val="TableBody"/>
            </w:pPr>
            <w:r>
              <w:t>$</w:t>
            </w:r>
          </w:p>
        </w:tc>
        <w:tc>
          <w:tcPr>
            <w:tcW w:w="6582" w:type="dxa"/>
          </w:tcPr>
          <w:p w14:paraId="5648C439" w14:textId="77777777" w:rsidR="001F04FD" w:rsidRDefault="001F04FD" w:rsidP="00AC4DEE">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r>
      <w:tr w:rsidR="001F04FD" w14:paraId="7902F4A7"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427726D" w14:textId="77777777" w:rsidR="001F04FD" w:rsidRDefault="001F04FD" w:rsidP="00AC4DEE">
            <w:pPr>
              <w:pStyle w:val="TableBody"/>
            </w:pPr>
            <w:r>
              <w:t xml:space="preserve">MCPCNS </w:t>
            </w:r>
            <w:r w:rsidRPr="00C26BA9">
              <w:rPr>
                <w:i/>
                <w:vertAlign w:val="subscript"/>
              </w:rPr>
              <w:t>m</w:t>
            </w:r>
          </w:p>
        </w:tc>
        <w:tc>
          <w:tcPr>
            <w:tcW w:w="820" w:type="dxa"/>
            <w:tcBorders>
              <w:top w:val="single" w:sz="4" w:space="0" w:color="auto"/>
              <w:left w:val="single" w:sz="4" w:space="0" w:color="auto"/>
              <w:bottom w:val="single" w:sz="4" w:space="0" w:color="auto"/>
              <w:right w:val="single" w:sz="4" w:space="0" w:color="auto"/>
            </w:tcBorders>
          </w:tcPr>
          <w:p w14:paraId="085D977E" w14:textId="77777777" w:rsidR="001F04FD" w:rsidRDefault="001F04FD" w:rsidP="00AC4DEE">
            <w:pPr>
              <w:pStyle w:val="TableBody"/>
            </w:pPr>
            <w:r>
              <w:t>$/MW per hour</w:t>
            </w:r>
          </w:p>
        </w:tc>
        <w:tc>
          <w:tcPr>
            <w:tcW w:w="6582" w:type="dxa"/>
            <w:tcBorders>
              <w:top w:val="single" w:sz="4" w:space="0" w:color="auto"/>
              <w:left w:val="single" w:sz="4" w:space="0" w:color="auto"/>
              <w:bottom w:val="single" w:sz="4" w:space="0" w:color="auto"/>
              <w:right w:val="single" w:sz="4" w:space="0" w:color="auto"/>
            </w:tcBorders>
          </w:tcPr>
          <w:p w14:paraId="098972BA" w14:textId="77777777" w:rsidR="001F04FD" w:rsidRDefault="001F04FD" w:rsidP="00AC4DEE">
            <w:pPr>
              <w:pStyle w:val="TableBody"/>
              <w:rPr>
                <w:i/>
              </w:rPr>
            </w:pPr>
            <w:r>
              <w:rPr>
                <w:i/>
              </w:rPr>
              <w:t xml:space="preserve"> Market Clearing Price for Capacity for Non-Spin by market—</w:t>
            </w:r>
            <w:r>
              <w:t xml:space="preserve">The MCPC for Non-Spin from the market </w:t>
            </w:r>
            <w:r>
              <w:rPr>
                <w:i/>
              </w:rPr>
              <w:t>m</w:t>
            </w:r>
            <w:r>
              <w:t>, for the hour.</w:t>
            </w:r>
          </w:p>
        </w:tc>
      </w:tr>
      <w:tr w:rsidR="001F04FD" w14:paraId="5D435F69"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1709585" w14:textId="77777777" w:rsidR="001F04FD" w:rsidRDefault="001F04FD" w:rsidP="00AC4DEE">
            <w:pPr>
              <w:pStyle w:val="TableBody"/>
            </w:pPr>
            <w:r>
              <w:t xml:space="preserve">RTPCNS </w:t>
            </w:r>
            <w:r w:rsidRPr="00C26BA9">
              <w:rPr>
                <w:i/>
                <w:vertAlign w:val="subscript"/>
              </w:rPr>
              <w:t>q, m</w:t>
            </w:r>
          </w:p>
        </w:tc>
        <w:tc>
          <w:tcPr>
            <w:tcW w:w="820" w:type="dxa"/>
            <w:tcBorders>
              <w:top w:val="single" w:sz="4" w:space="0" w:color="auto"/>
              <w:left w:val="single" w:sz="4" w:space="0" w:color="auto"/>
              <w:bottom w:val="single" w:sz="4" w:space="0" w:color="auto"/>
              <w:right w:val="single" w:sz="4" w:space="0" w:color="auto"/>
            </w:tcBorders>
          </w:tcPr>
          <w:p w14:paraId="5724C3B1"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387435DE" w14:textId="77777777" w:rsidR="001F04FD" w:rsidRDefault="001F04FD" w:rsidP="00AC4DEE">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r>
      <w:tr w:rsidR="001F04FD" w14:paraId="3F3FB761"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7CB03035" w14:textId="77777777" w:rsidR="001F04FD" w:rsidRDefault="001F04FD" w:rsidP="00AC4DEE">
            <w:pPr>
              <w:pStyle w:val="TableBody"/>
            </w:pPr>
            <w:r>
              <w:t xml:space="preserve">PCNSR </w:t>
            </w:r>
            <w:r w:rsidRPr="00C26BA9">
              <w:rPr>
                <w:i/>
                <w:vertAlign w:val="subscript"/>
              </w:rPr>
              <w:t>q,r, m</w:t>
            </w:r>
          </w:p>
        </w:tc>
        <w:tc>
          <w:tcPr>
            <w:tcW w:w="820" w:type="dxa"/>
            <w:tcBorders>
              <w:top w:val="single" w:sz="4" w:space="0" w:color="auto"/>
              <w:left w:val="single" w:sz="4" w:space="0" w:color="auto"/>
              <w:bottom w:val="single" w:sz="4" w:space="0" w:color="auto"/>
              <w:right w:val="single" w:sz="4" w:space="0" w:color="auto"/>
            </w:tcBorders>
          </w:tcPr>
          <w:p w14:paraId="0E366522"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57D270D6" w14:textId="77777777" w:rsidR="001F04FD" w:rsidRDefault="001F04FD" w:rsidP="00AC4DEE">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2B13643E"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A6AE4D3" w14:textId="77777777" w:rsidR="001F04FD" w:rsidRPr="00CE0FC9" w:rsidRDefault="001F04FD" w:rsidP="00AC4DEE">
            <w:pPr>
              <w:pStyle w:val="TableBody"/>
              <w:rPr>
                <w:i/>
              </w:rPr>
            </w:pPr>
            <w:r w:rsidRPr="00D661BC">
              <w:rPr>
                <w:i/>
              </w:rPr>
              <w:t>m</w:t>
            </w:r>
          </w:p>
        </w:tc>
        <w:tc>
          <w:tcPr>
            <w:tcW w:w="820" w:type="dxa"/>
            <w:tcBorders>
              <w:top w:val="single" w:sz="4" w:space="0" w:color="auto"/>
              <w:left w:val="single" w:sz="4" w:space="0" w:color="auto"/>
              <w:bottom w:val="single" w:sz="4" w:space="0" w:color="auto"/>
              <w:right w:val="single" w:sz="4" w:space="0" w:color="auto"/>
            </w:tcBorders>
          </w:tcPr>
          <w:p w14:paraId="41D92B4C"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435EE8BD" w14:textId="77777777" w:rsidR="001F04FD" w:rsidRDefault="001F04FD" w:rsidP="00AC4DEE">
            <w:pPr>
              <w:pStyle w:val="TableBody"/>
            </w:pPr>
            <w:r>
              <w:t>An Ancillary Service market (SASM or RSASM).</w:t>
            </w:r>
          </w:p>
        </w:tc>
      </w:tr>
      <w:tr w:rsidR="001F04FD" w14:paraId="50BF5C33"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21F9603D" w14:textId="77777777" w:rsidR="001F04FD" w:rsidRPr="00CE0FC9" w:rsidRDefault="001F04FD" w:rsidP="00AC4DEE">
            <w:pPr>
              <w:pStyle w:val="TableBody"/>
              <w:rPr>
                <w:i/>
              </w:rPr>
            </w:pPr>
            <w:r w:rsidRPr="00D661BC">
              <w:rPr>
                <w:i/>
              </w:rPr>
              <w:t>q</w:t>
            </w:r>
          </w:p>
        </w:tc>
        <w:tc>
          <w:tcPr>
            <w:tcW w:w="820" w:type="dxa"/>
            <w:tcBorders>
              <w:top w:val="single" w:sz="4" w:space="0" w:color="auto"/>
              <w:left w:val="single" w:sz="4" w:space="0" w:color="auto"/>
              <w:bottom w:val="single" w:sz="4" w:space="0" w:color="auto"/>
              <w:right w:val="single" w:sz="4" w:space="0" w:color="auto"/>
            </w:tcBorders>
          </w:tcPr>
          <w:p w14:paraId="76EDC319"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1A62861A" w14:textId="77777777" w:rsidR="001F04FD" w:rsidRDefault="001F04FD" w:rsidP="00AC4DEE">
            <w:pPr>
              <w:pStyle w:val="TableBody"/>
            </w:pPr>
            <w:r>
              <w:t>A QSE.</w:t>
            </w:r>
          </w:p>
        </w:tc>
      </w:tr>
      <w:tr w:rsidR="001F04FD" w14:paraId="4FF5162A"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840F8AD" w14:textId="77777777" w:rsidR="001F04FD" w:rsidRPr="00CE0FC9" w:rsidRDefault="001F04FD" w:rsidP="00AC4DEE">
            <w:pPr>
              <w:pStyle w:val="TableBody"/>
              <w:rPr>
                <w:i/>
              </w:rPr>
            </w:pPr>
            <w:r w:rsidRPr="00D661BC">
              <w:rPr>
                <w:i/>
              </w:rPr>
              <w:lastRenderedPageBreak/>
              <w:t>r</w:t>
            </w:r>
          </w:p>
        </w:tc>
        <w:tc>
          <w:tcPr>
            <w:tcW w:w="820" w:type="dxa"/>
            <w:tcBorders>
              <w:top w:val="single" w:sz="4" w:space="0" w:color="auto"/>
              <w:left w:val="single" w:sz="4" w:space="0" w:color="auto"/>
              <w:bottom w:val="single" w:sz="4" w:space="0" w:color="auto"/>
              <w:right w:val="single" w:sz="4" w:space="0" w:color="auto"/>
            </w:tcBorders>
          </w:tcPr>
          <w:p w14:paraId="4F90F11E"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067EF7CD" w14:textId="77777777" w:rsidR="001F04FD" w:rsidRDefault="001F04FD" w:rsidP="00AC4DEE">
            <w:pPr>
              <w:pStyle w:val="TableBody"/>
            </w:pPr>
            <w:r>
              <w:t>A Generation Resource.</w:t>
            </w:r>
          </w:p>
        </w:tc>
      </w:tr>
    </w:tbl>
    <w:p w14:paraId="0FEF3A6B" w14:textId="77777777" w:rsidR="00F371D4" w:rsidRPr="00F77320" w:rsidRDefault="00F371D4" w:rsidP="00F371D4">
      <w:pPr>
        <w:spacing w:before="240" w:after="240"/>
        <w:ind w:left="1440" w:hanging="720"/>
        <w:rPr>
          <w:iCs/>
        </w:rPr>
      </w:pPr>
      <w:r w:rsidRPr="0003648D">
        <w:t>(e)</w:t>
      </w:r>
      <w:r w:rsidRPr="0003648D">
        <w:tab/>
      </w:r>
      <w:r w:rsidRPr="00F77320">
        <w:rPr>
          <w:iCs/>
        </w:rPr>
        <w:t>For ERCOT Contingency Reserve Service (ECRS), if applicable:</w:t>
      </w:r>
    </w:p>
    <w:p w14:paraId="67A0C50E" w14:textId="77777777" w:rsidR="00F371D4" w:rsidRPr="00B9372B" w:rsidRDefault="00F371D4" w:rsidP="00F371D4">
      <w:pPr>
        <w:tabs>
          <w:tab w:val="left" w:pos="2340"/>
          <w:tab w:val="left" w:pos="3420"/>
        </w:tabs>
        <w:spacing w:after="240"/>
        <w:ind w:left="3420" w:hanging="2700"/>
        <w:rPr>
          <w:b/>
          <w:bCs/>
        </w:rPr>
      </w:pPr>
      <w:r w:rsidRPr="00B9372B">
        <w:rPr>
          <w:b/>
          <w:bCs/>
        </w:rPr>
        <w:t xml:space="preserve">RTPCECRAMT </w:t>
      </w:r>
      <w:r w:rsidRPr="00B9372B">
        <w:rPr>
          <w:b/>
          <w:bCs/>
          <w:i/>
          <w:vertAlign w:val="subscript"/>
        </w:rPr>
        <w:t>q, m</w:t>
      </w:r>
      <w:r w:rsidRPr="00B9372B">
        <w:rPr>
          <w:b/>
          <w:bCs/>
        </w:rPr>
        <w:tab/>
        <w:t>=</w:t>
      </w:r>
      <w:r w:rsidRPr="00B9372B">
        <w:rPr>
          <w:b/>
          <w:bCs/>
        </w:rPr>
        <w:tab/>
        <w:t xml:space="preserve">(-1) * MCPCECR </w:t>
      </w:r>
      <w:r w:rsidRPr="00B9372B">
        <w:rPr>
          <w:b/>
          <w:bCs/>
          <w:i/>
          <w:vertAlign w:val="subscript"/>
        </w:rPr>
        <w:t>m</w:t>
      </w:r>
      <w:r w:rsidRPr="00B9372B">
        <w:rPr>
          <w:b/>
          <w:bCs/>
        </w:rPr>
        <w:t xml:space="preserve"> * RTPCECR </w:t>
      </w:r>
      <w:r w:rsidRPr="00B9372B">
        <w:rPr>
          <w:b/>
          <w:bCs/>
          <w:i/>
          <w:vertAlign w:val="subscript"/>
        </w:rPr>
        <w:t>q, m</w:t>
      </w:r>
    </w:p>
    <w:p w14:paraId="1DB48E0B" w14:textId="77777777" w:rsidR="00F371D4" w:rsidRPr="00F77320" w:rsidRDefault="00F371D4" w:rsidP="00F371D4">
      <w:pPr>
        <w:spacing w:before="120" w:after="120"/>
        <w:rPr>
          <w:lang w:val="pt-BR"/>
        </w:rPr>
      </w:pPr>
      <w:r w:rsidRPr="00F77320">
        <w:rPr>
          <w:lang w:val="pt-BR"/>
        </w:rPr>
        <w:t>Where:</w:t>
      </w:r>
    </w:p>
    <w:p w14:paraId="32B9FB50" w14:textId="77777777" w:rsidR="00F371D4" w:rsidRPr="00F77320" w:rsidRDefault="00F371D4" w:rsidP="00F371D4">
      <w:pPr>
        <w:tabs>
          <w:tab w:val="left" w:pos="2340"/>
          <w:tab w:val="left" w:pos="3420"/>
        </w:tabs>
        <w:spacing w:after="240"/>
        <w:ind w:left="3420" w:hanging="2700"/>
        <w:rPr>
          <w:bCs/>
          <w:lang w:val="pt-BR"/>
        </w:rPr>
      </w:pPr>
      <w:r w:rsidRPr="00F77320">
        <w:rPr>
          <w:bCs/>
          <w:lang w:val="pt-BR"/>
        </w:rPr>
        <w:t xml:space="preserve">RTPCECR </w:t>
      </w:r>
      <w:r w:rsidRPr="00F77320">
        <w:rPr>
          <w:bCs/>
          <w:i/>
          <w:vertAlign w:val="subscript"/>
          <w:lang w:val="pt-BR"/>
        </w:rPr>
        <w:t>q,</w:t>
      </w:r>
      <w:r w:rsidRPr="00F77320">
        <w:rPr>
          <w:bCs/>
          <w:vertAlign w:val="subscript"/>
          <w:lang w:val="pt-BR"/>
        </w:rPr>
        <w:t xml:space="preserve"> </w:t>
      </w:r>
      <w:r w:rsidRPr="00F77320">
        <w:rPr>
          <w:bCs/>
          <w:i/>
          <w:vertAlign w:val="subscript"/>
          <w:lang w:val="pt-BR"/>
        </w:rPr>
        <w:t>m</w:t>
      </w:r>
      <w:r w:rsidRPr="00F77320">
        <w:rPr>
          <w:bCs/>
          <w:lang w:val="pt-BR"/>
        </w:rPr>
        <w:tab/>
        <w:t>=</w:t>
      </w:r>
      <w:r w:rsidRPr="00F77320">
        <w:rPr>
          <w:bCs/>
          <w:lang w:val="pt-BR"/>
        </w:rPr>
        <w:tab/>
      </w:r>
      <w:r w:rsidRPr="00F77320">
        <w:rPr>
          <w:bCs/>
          <w:position w:val="-18"/>
        </w:rPr>
        <w:object w:dxaOrig="225" w:dyaOrig="420" w14:anchorId="7E6F53CF">
          <v:shape id="_x0000_i1316" type="#_x0000_t75" style="width:12pt;height:24pt" o:ole="">
            <v:imagedata r:id="rId386" o:title=""/>
          </v:shape>
          <o:OLEObject Type="Embed" ProgID="Equation.3" ShapeID="_x0000_i1316" DrawAspect="Content" ObjectID="_1804653799" r:id="rId391"/>
        </w:object>
      </w:r>
      <w:r w:rsidRPr="00F77320">
        <w:rPr>
          <w:bCs/>
          <w:lang w:val="pt-BR"/>
        </w:rPr>
        <w:t>PCECRR</w:t>
      </w:r>
      <w:r w:rsidRPr="00F77320">
        <w:rPr>
          <w:bCs/>
          <w:i/>
          <w:lang w:val="pt-BR"/>
        </w:rPr>
        <w:t xml:space="preserve"> </w:t>
      </w:r>
      <w:r w:rsidRPr="00F77320">
        <w:rPr>
          <w:bCs/>
          <w:i/>
          <w:vertAlign w:val="subscript"/>
          <w:lang w:val="pt-BR"/>
        </w:rPr>
        <w:t xml:space="preserve"> q, r, m</w:t>
      </w:r>
    </w:p>
    <w:p w14:paraId="23EAF233" w14:textId="77777777" w:rsidR="00F371D4" w:rsidRPr="00F77320" w:rsidRDefault="00F371D4" w:rsidP="00F371D4">
      <w:r w:rsidRPr="00F77320">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F371D4" w:rsidRPr="00F77320" w14:paraId="0BB6CF3F" w14:textId="77777777" w:rsidTr="00B82144">
        <w:trPr>
          <w:cantSplit/>
          <w:tblHeader/>
        </w:trPr>
        <w:tc>
          <w:tcPr>
            <w:tcW w:w="2153" w:type="dxa"/>
          </w:tcPr>
          <w:p w14:paraId="075A429B" w14:textId="77777777" w:rsidR="00F371D4" w:rsidRPr="00F77320" w:rsidRDefault="00F371D4" w:rsidP="00B82144">
            <w:pPr>
              <w:spacing w:after="240"/>
              <w:rPr>
                <w:b/>
                <w:iCs/>
                <w:sz w:val="20"/>
              </w:rPr>
            </w:pPr>
            <w:r w:rsidRPr="00F77320">
              <w:rPr>
                <w:b/>
                <w:iCs/>
                <w:sz w:val="20"/>
              </w:rPr>
              <w:t>Variable</w:t>
            </w:r>
          </w:p>
        </w:tc>
        <w:tc>
          <w:tcPr>
            <w:tcW w:w="810" w:type="dxa"/>
          </w:tcPr>
          <w:p w14:paraId="2CB9F101" w14:textId="77777777" w:rsidR="00F371D4" w:rsidRPr="00F77320" w:rsidRDefault="00F371D4" w:rsidP="00B82144">
            <w:pPr>
              <w:spacing w:after="240"/>
              <w:rPr>
                <w:b/>
                <w:iCs/>
                <w:sz w:val="20"/>
              </w:rPr>
            </w:pPr>
            <w:r w:rsidRPr="00F77320">
              <w:rPr>
                <w:b/>
                <w:iCs/>
                <w:sz w:val="20"/>
              </w:rPr>
              <w:t>Unit</w:t>
            </w:r>
          </w:p>
        </w:tc>
        <w:tc>
          <w:tcPr>
            <w:tcW w:w="6392" w:type="dxa"/>
          </w:tcPr>
          <w:p w14:paraId="745F6BC8" w14:textId="77777777" w:rsidR="00F371D4" w:rsidRPr="00F77320" w:rsidRDefault="00F371D4" w:rsidP="00B82144">
            <w:pPr>
              <w:spacing w:after="240"/>
              <w:rPr>
                <w:b/>
                <w:iCs/>
                <w:sz w:val="20"/>
              </w:rPr>
            </w:pPr>
            <w:r w:rsidRPr="00F77320">
              <w:rPr>
                <w:b/>
                <w:iCs/>
                <w:sz w:val="20"/>
              </w:rPr>
              <w:t>Description</w:t>
            </w:r>
          </w:p>
        </w:tc>
      </w:tr>
      <w:tr w:rsidR="00F371D4" w:rsidRPr="00F77320" w14:paraId="50B90D9D" w14:textId="77777777" w:rsidTr="00B82144">
        <w:trPr>
          <w:cantSplit/>
        </w:trPr>
        <w:tc>
          <w:tcPr>
            <w:tcW w:w="2153" w:type="dxa"/>
          </w:tcPr>
          <w:p w14:paraId="7F395376" w14:textId="77777777" w:rsidR="00F371D4" w:rsidRPr="00F77320" w:rsidRDefault="00F371D4" w:rsidP="00B82144">
            <w:pPr>
              <w:spacing w:after="60"/>
              <w:rPr>
                <w:iCs/>
                <w:sz w:val="20"/>
              </w:rPr>
            </w:pPr>
            <w:r w:rsidRPr="00F77320">
              <w:rPr>
                <w:iCs/>
                <w:sz w:val="20"/>
              </w:rPr>
              <w:t xml:space="preserve">RTPCECRAMT </w:t>
            </w:r>
            <w:r w:rsidRPr="00F77320">
              <w:rPr>
                <w:i/>
                <w:iCs/>
                <w:sz w:val="20"/>
                <w:vertAlign w:val="subscript"/>
              </w:rPr>
              <w:t>q, m</w:t>
            </w:r>
          </w:p>
        </w:tc>
        <w:tc>
          <w:tcPr>
            <w:tcW w:w="810" w:type="dxa"/>
          </w:tcPr>
          <w:p w14:paraId="5543E32E" w14:textId="77777777" w:rsidR="00F371D4" w:rsidRPr="00F77320" w:rsidRDefault="00F371D4" w:rsidP="00B82144">
            <w:pPr>
              <w:spacing w:after="60"/>
              <w:rPr>
                <w:iCs/>
                <w:sz w:val="20"/>
              </w:rPr>
            </w:pPr>
            <w:r w:rsidRPr="00F77320">
              <w:rPr>
                <w:iCs/>
                <w:sz w:val="20"/>
              </w:rPr>
              <w:t>$</w:t>
            </w:r>
          </w:p>
        </w:tc>
        <w:tc>
          <w:tcPr>
            <w:tcW w:w="6392" w:type="dxa"/>
          </w:tcPr>
          <w:p w14:paraId="286F4BBB" w14:textId="77777777" w:rsidR="00F371D4" w:rsidRPr="00F77320" w:rsidRDefault="00F371D4" w:rsidP="00B82144">
            <w:pPr>
              <w:spacing w:after="60"/>
              <w:rPr>
                <w:iCs/>
                <w:sz w:val="20"/>
              </w:rPr>
            </w:pPr>
            <w:r w:rsidRPr="00F77320">
              <w:rPr>
                <w:i/>
                <w:iCs/>
                <w:sz w:val="20"/>
              </w:rPr>
              <w:t>Procured Capacity for ERCOT Contingency Reserve Service Amount by QSE by market</w:t>
            </w:r>
            <w:r w:rsidRPr="00F77320">
              <w:rPr>
                <w:iCs/>
                <w:sz w:val="20"/>
              </w:rPr>
              <w:t xml:space="preserve">—The payment to QSE </w:t>
            </w:r>
            <w:r w:rsidRPr="00F77320">
              <w:rPr>
                <w:i/>
                <w:iCs/>
                <w:sz w:val="20"/>
              </w:rPr>
              <w:t>q</w:t>
            </w:r>
            <w:r w:rsidRPr="00F77320">
              <w:rPr>
                <w:iCs/>
                <w:sz w:val="20"/>
              </w:rPr>
              <w:t xml:space="preserve"> for the Ancillary Service Offer cleared in the market </w:t>
            </w:r>
            <w:r w:rsidRPr="00F77320">
              <w:rPr>
                <w:i/>
                <w:iCs/>
                <w:sz w:val="20"/>
              </w:rPr>
              <w:t>m</w:t>
            </w:r>
            <w:r w:rsidRPr="00F77320">
              <w:rPr>
                <w:iCs/>
                <w:sz w:val="20"/>
              </w:rPr>
              <w:t xml:space="preserve"> to provide ECRS, for the hour.</w:t>
            </w:r>
          </w:p>
        </w:tc>
      </w:tr>
      <w:tr w:rsidR="00F371D4" w:rsidRPr="00F77320" w14:paraId="60B770D8"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4C2137" w14:textId="77777777" w:rsidR="00F371D4" w:rsidRPr="00F77320" w:rsidRDefault="00F371D4" w:rsidP="00B82144">
            <w:pPr>
              <w:spacing w:after="60"/>
              <w:rPr>
                <w:iCs/>
                <w:sz w:val="20"/>
              </w:rPr>
            </w:pPr>
            <w:r w:rsidRPr="00F77320">
              <w:rPr>
                <w:iCs/>
                <w:sz w:val="20"/>
              </w:rPr>
              <w:t>MCPCECR</w:t>
            </w:r>
            <w:r w:rsidRPr="00F77320">
              <w:rPr>
                <w:i/>
                <w:iCs/>
                <w:sz w:val="20"/>
              </w:rPr>
              <w:t xml:space="preserve"> </w:t>
            </w:r>
            <w:r w:rsidRPr="00F77320">
              <w:rPr>
                <w:i/>
                <w:iCs/>
                <w:sz w:val="20"/>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11A32B60" w14:textId="77777777" w:rsidR="00F371D4" w:rsidRPr="00F77320" w:rsidRDefault="00F371D4" w:rsidP="00B82144">
            <w:pPr>
              <w:spacing w:after="60"/>
              <w:rPr>
                <w:iCs/>
                <w:sz w:val="20"/>
              </w:rPr>
            </w:pPr>
            <w:r w:rsidRPr="00F77320">
              <w:rPr>
                <w:iCs/>
                <w:sz w:val="20"/>
              </w:rPr>
              <w:t>$/MW per hour</w:t>
            </w:r>
          </w:p>
        </w:tc>
        <w:tc>
          <w:tcPr>
            <w:tcW w:w="6392" w:type="dxa"/>
            <w:tcBorders>
              <w:top w:val="single" w:sz="4" w:space="0" w:color="auto"/>
              <w:left w:val="single" w:sz="4" w:space="0" w:color="auto"/>
              <w:bottom w:val="single" w:sz="4" w:space="0" w:color="auto"/>
              <w:right w:val="single" w:sz="4" w:space="0" w:color="auto"/>
            </w:tcBorders>
          </w:tcPr>
          <w:p w14:paraId="3BC3C709" w14:textId="77777777" w:rsidR="00F371D4" w:rsidRPr="00F77320" w:rsidRDefault="00F371D4" w:rsidP="00B82144">
            <w:pPr>
              <w:spacing w:after="60"/>
              <w:rPr>
                <w:i/>
                <w:iCs/>
                <w:sz w:val="20"/>
              </w:rPr>
            </w:pPr>
            <w:r w:rsidRPr="00F77320">
              <w:rPr>
                <w:i/>
                <w:iCs/>
                <w:sz w:val="20"/>
              </w:rPr>
              <w:t>Market Clearing Price for Capacity for ERCOT Contingency Reserve Service by market—</w:t>
            </w:r>
            <w:r w:rsidRPr="00F77320">
              <w:rPr>
                <w:iCs/>
                <w:sz w:val="20"/>
              </w:rPr>
              <w:t xml:space="preserve">The MCPC for ECRS from the market </w:t>
            </w:r>
            <w:r w:rsidRPr="00F77320">
              <w:rPr>
                <w:i/>
                <w:iCs/>
                <w:sz w:val="20"/>
              </w:rPr>
              <w:t>m</w:t>
            </w:r>
            <w:r w:rsidRPr="00F77320">
              <w:rPr>
                <w:iCs/>
                <w:sz w:val="20"/>
              </w:rPr>
              <w:t>, for the hour.</w:t>
            </w:r>
          </w:p>
        </w:tc>
      </w:tr>
      <w:tr w:rsidR="00F371D4" w:rsidRPr="00F77320" w14:paraId="462A9F3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87100BB" w14:textId="77777777" w:rsidR="00F371D4" w:rsidRPr="00F77320" w:rsidRDefault="00F371D4" w:rsidP="00B82144">
            <w:pPr>
              <w:spacing w:after="60"/>
              <w:rPr>
                <w:iCs/>
                <w:sz w:val="20"/>
              </w:rPr>
            </w:pPr>
            <w:r w:rsidRPr="00F77320">
              <w:rPr>
                <w:iCs/>
                <w:sz w:val="20"/>
              </w:rPr>
              <w:t xml:space="preserve">RTPCECR </w:t>
            </w:r>
            <w:r w:rsidRPr="00F77320">
              <w:rPr>
                <w:i/>
                <w:iCs/>
                <w:sz w:val="20"/>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22360637"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991E43" w14:textId="77777777" w:rsidR="00F371D4" w:rsidRPr="00F77320" w:rsidRDefault="00F371D4" w:rsidP="00B82144">
            <w:pPr>
              <w:spacing w:after="60"/>
              <w:rPr>
                <w:i/>
                <w:iCs/>
                <w:sz w:val="20"/>
              </w:rPr>
            </w:pPr>
            <w:r w:rsidRPr="00F77320">
              <w:rPr>
                <w:i/>
                <w:iCs/>
                <w:sz w:val="20"/>
              </w:rPr>
              <w:t>Procured Capacity for ERCOT Contingency Reserve Service by QSE by market—</w:t>
            </w:r>
            <w:r w:rsidRPr="00F77320">
              <w:rPr>
                <w:iCs/>
                <w:sz w:val="20"/>
              </w:rPr>
              <w:t xml:space="preserve">The portion of QSE </w:t>
            </w:r>
            <w:r w:rsidRPr="00F77320">
              <w:rPr>
                <w:i/>
                <w:iCs/>
                <w:sz w:val="20"/>
              </w:rPr>
              <w:t>q</w:t>
            </w:r>
            <w:r w:rsidRPr="00F77320">
              <w:rPr>
                <w:iCs/>
                <w:sz w:val="20"/>
              </w:rPr>
              <w:t xml:space="preserve"> Ancillary Service Offers cleared in the market </w:t>
            </w:r>
            <w:r w:rsidRPr="00F77320">
              <w:rPr>
                <w:i/>
                <w:iCs/>
                <w:sz w:val="20"/>
              </w:rPr>
              <w:t>m</w:t>
            </w:r>
            <w:r w:rsidRPr="00F77320">
              <w:rPr>
                <w:iCs/>
                <w:sz w:val="20"/>
              </w:rPr>
              <w:t xml:space="preserve"> to provide ECRS, for the hour.</w:t>
            </w:r>
          </w:p>
        </w:tc>
      </w:tr>
      <w:tr w:rsidR="00F371D4" w:rsidRPr="00F77320" w14:paraId="7759D1E4"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C2C027C" w14:textId="77777777" w:rsidR="00F371D4" w:rsidRPr="00F77320" w:rsidRDefault="00F371D4" w:rsidP="00B82144">
            <w:pPr>
              <w:spacing w:after="60"/>
              <w:rPr>
                <w:iCs/>
                <w:sz w:val="20"/>
              </w:rPr>
            </w:pPr>
            <w:r w:rsidRPr="00F77320">
              <w:rPr>
                <w:iCs/>
                <w:sz w:val="20"/>
              </w:rPr>
              <w:t xml:space="preserve">PCECRR </w:t>
            </w:r>
            <w:r w:rsidRPr="00F77320">
              <w:rPr>
                <w:i/>
                <w:iCs/>
                <w:sz w:val="20"/>
                <w:vertAlign w:val="subscript"/>
              </w:rPr>
              <w:t>q, r, m</w:t>
            </w:r>
          </w:p>
        </w:tc>
        <w:tc>
          <w:tcPr>
            <w:tcW w:w="810" w:type="dxa"/>
            <w:tcBorders>
              <w:top w:val="single" w:sz="4" w:space="0" w:color="auto"/>
              <w:left w:val="single" w:sz="4" w:space="0" w:color="auto"/>
              <w:bottom w:val="single" w:sz="4" w:space="0" w:color="auto"/>
              <w:right w:val="single" w:sz="4" w:space="0" w:color="auto"/>
            </w:tcBorders>
          </w:tcPr>
          <w:p w14:paraId="6F683DA3"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119A51" w14:textId="77777777" w:rsidR="00F371D4" w:rsidRPr="00F77320" w:rsidRDefault="00F371D4" w:rsidP="00B82144">
            <w:pPr>
              <w:spacing w:after="60"/>
              <w:rPr>
                <w:iCs/>
                <w:sz w:val="20"/>
              </w:rPr>
            </w:pPr>
            <w:r w:rsidRPr="00F77320">
              <w:rPr>
                <w:i/>
                <w:iCs/>
                <w:sz w:val="20"/>
              </w:rPr>
              <w:t>Procured Capacity for ERCOT Contingency Reserve Service from Resource per Resource per QSE by market</w:t>
            </w:r>
            <w:r w:rsidRPr="00F77320">
              <w:rPr>
                <w:iCs/>
                <w:sz w:val="20"/>
              </w:rPr>
              <w:t xml:space="preserve">—The ECRS capacity quantity awarded to QSE </w:t>
            </w:r>
            <w:r w:rsidRPr="00F77320">
              <w:rPr>
                <w:i/>
                <w:iCs/>
                <w:sz w:val="20"/>
              </w:rPr>
              <w:t>q</w:t>
            </w:r>
            <w:r w:rsidRPr="00F77320">
              <w:rPr>
                <w:iCs/>
                <w:sz w:val="20"/>
              </w:rPr>
              <w:t xml:space="preserve"> in the market </w:t>
            </w:r>
            <w:r w:rsidRPr="00F77320">
              <w:rPr>
                <w:i/>
                <w:iCs/>
                <w:sz w:val="20"/>
              </w:rPr>
              <w:t>m</w:t>
            </w:r>
            <w:r w:rsidRPr="00F77320">
              <w:rPr>
                <w:iCs/>
                <w:sz w:val="20"/>
              </w:rPr>
              <w:t xml:space="preserve"> for Resource </w:t>
            </w:r>
            <w:r w:rsidRPr="00F77320">
              <w:rPr>
                <w:i/>
                <w:iCs/>
                <w:sz w:val="20"/>
              </w:rPr>
              <w:t>r</w:t>
            </w:r>
            <w:r w:rsidRPr="00F77320">
              <w:rPr>
                <w:iCs/>
                <w:sz w:val="20"/>
              </w:rPr>
              <w:t xml:space="preserve"> for the hour.  Where for a Combined Cycle Train, the Resource </w:t>
            </w:r>
            <w:r w:rsidRPr="00F77320">
              <w:rPr>
                <w:i/>
                <w:iCs/>
                <w:sz w:val="20"/>
              </w:rPr>
              <w:t xml:space="preserve">r </w:t>
            </w:r>
            <w:r w:rsidRPr="00F77320">
              <w:rPr>
                <w:iCs/>
                <w:sz w:val="20"/>
              </w:rPr>
              <w:t>is a Combined Cycle Generation Resource within the Combined Cycle Train.</w:t>
            </w:r>
          </w:p>
        </w:tc>
      </w:tr>
      <w:tr w:rsidR="00F371D4" w:rsidRPr="00F77320" w14:paraId="60C80C7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4BD60812" w14:textId="77777777" w:rsidR="00F371D4" w:rsidRPr="00F77320" w:rsidRDefault="00F371D4" w:rsidP="00B82144">
            <w:pPr>
              <w:spacing w:after="60"/>
              <w:rPr>
                <w:i/>
                <w:iCs/>
                <w:sz w:val="20"/>
              </w:rPr>
            </w:pPr>
            <w:r w:rsidRPr="00F77320">
              <w:rPr>
                <w:i/>
                <w:iCs/>
                <w:sz w:val="20"/>
              </w:rPr>
              <w:t>m</w:t>
            </w:r>
          </w:p>
        </w:tc>
        <w:tc>
          <w:tcPr>
            <w:tcW w:w="810" w:type="dxa"/>
            <w:tcBorders>
              <w:top w:val="single" w:sz="4" w:space="0" w:color="auto"/>
              <w:left w:val="single" w:sz="4" w:space="0" w:color="auto"/>
              <w:bottom w:val="single" w:sz="4" w:space="0" w:color="auto"/>
              <w:right w:val="single" w:sz="4" w:space="0" w:color="auto"/>
            </w:tcBorders>
          </w:tcPr>
          <w:p w14:paraId="6D007846"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4612F82F" w14:textId="77777777" w:rsidR="00F371D4" w:rsidRPr="00F77320" w:rsidRDefault="00F371D4" w:rsidP="00B82144">
            <w:pPr>
              <w:spacing w:after="60"/>
              <w:rPr>
                <w:iCs/>
                <w:sz w:val="20"/>
              </w:rPr>
            </w:pPr>
            <w:r w:rsidRPr="00F77320">
              <w:rPr>
                <w:iCs/>
                <w:sz w:val="20"/>
              </w:rPr>
              <w:t>An Ancillary Service market (SASM or RSASM).</w:t>
            </w:r>
          </w:p>
        </w:tc>
      </w:tr>
      <w:tr w:rsidR="00F371D4" w:rsidRPr="00F77320" w14:paraId="7F4DCC5B"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59453C7" w14:textId="77777777" w:rsidR="00F371D4" w:rsidRPr="00F77320" w:rsidRDefault="00F371D4" w:rsidP="00B82144">
            <w:pPr>
              <w:spacing w:after="60"/>
              <w:rPr>
                <w:i/>
                <w:iCs/>
                <w:sz w:val="20"/>
              </w:rPr>
            </w:pPr>
            <w:r w:rsidRPr="00F77320">
              <w:rPr>
                <w:i/>
                <w:iCs/>
                <w:sz w:val="20"/>
              </w:rPr>
              <w:t>q</w:t>
            </w:r>
          </w:p>
        </w:tc>
        <w:tc>
          <w:tcPr>
            <w:tcW w:w="810" w:type="dxa"/>
            <w:tcBorders>
              <w:top w:val="single" w:sz="4" w:space="0" w:color="auto"/>
              <w:left w:val="single" w:sz="4" w:space="0" w:color="auto"/>
              <w:bottom w:val="single" w:sz="4" w:space="0" w:color="auto"/>
              <w:right w:val="single" w:sz="4" w:space="0" w:color="auto"/>
            </w:tcBorders>
          </w:tcPr>
          <w:p w14:paraId="565EEBDB"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128B266D" w14:textId="77777777" w:rsidR="00F371D4" w:rsidRPr="00F77320" w:rsidRDefault="00F371D4" w:rsidP="00B82144">
            <w:pPr>
              <w:spacing w:after="60"/>
              <w:rPr>
                <w:iCs/>
                <w:sz w:val="20"/>
              </w:rPr>
            </w:pPr>
            <w:r w:rsidRPr="00F77320">
              <w:rPr>
                <w:iCs/>
                <w:sz w:val="20"/>
              </w:rPr>
              <w:t>A QSE.</w:t>
            </w:r>
          </w:p>
        </w:tc>
      </w:tr>
      <w:tr w:rsidR="00F371D4" w:rsidRPr="00F77320" w14:paraId="4EB7A67C"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A5B811" w14:textId="77777777" w:rsidR="00F371D4" w:rsidRPr="00F77320" w:rsidRDefault="00F371D4" w:rsidP="00B82144">
            <w:pPr>
              <w:spacing w:after="60"/>
              <w:rPr>
                <w:i/>
                <w:iCs/>
                <w:sz w:val="20"/>
              </w:rPr>
            </w:pPr>
            <w:r w:rsidRPr="00F77320">
              <w:rPr>
                <w:i/>
                <w:iCs/>
                <w:sz w:val="20"/>
              </w:rPr>
              <w:t>r</w:t>
            </w:r>
          </w:p>
        </w:tc>
        <w:tc>
          <w:tcPr>
            <w:tcW w:w="810" w:type="dxa"/>
            <w:tcBorders>
              <w:top w:val="single" w:sz="4" w:space="0" w:color="auto"/>
              <w:left w:val="single" w:sz="4" w:space="0" w:color="auto"/>
              <w:bottom w:val="single" w:sz="4" w:space="0" w:color="auto"/>
              <w:right w:val="single" w:sz="4" w:space="0" w:color="auto"/>
            </w:tcBorders>
          </w:tcPr>
          <w:p w14:paraId="7E934B80"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73C459D8" w14:textId="77777777" w:rsidR="00F371D4" w:rsidRPr="00F77320" w:rsidRDefault="00F371D4" w:rsidP="00B82144">
            <w:pPr>
              <w:spacing w:after="60"/>
              <w:rPr>
                <w:iCs/>
                <w:sz w:val="20"/>
              </w:rPr>
            </w:pPr>
            <w:r w:rsidRPr="00F77320">
              <w:rPr>
                <w:iCs/>
                <w:sz w:val="20"/>
              </w:rPr>
              <w:t>A Generation Resource.</w:t>
            </w:r>
          </w:p>
        </w:tc>
      </w:tr>
    </w:tbl>
    <w:p w14:paraId="086026EC" w14:textId="77777777" w:rsidR="004727D2" w:rsidRDefault="004727D2"/>
    <w:p w14:paraId="413CEB54" w14:textId="77777777" w:rsidR="00221BB6" w:rsidRPr="00221BB6" w:rsidRDefault="00221BB6" w:rsidP="00221BB6">
      <w:bookmarkStart w:id="2687" w:name="_Toc448142357"/>
      <w:bookmarkStart w:id="2688" w:name="_Toc448142514"/>
      <w:bookmarkStart w:id="2689" w:name="_Toc458770355"/>
      <w:bookmarkStart w:id="2690" w:name="_Toc459294323"/>
      <w:bookmarkStart w:id="2691" w:name="_Toc463262817"/>
      <w:bookmarkStart w:id="2692" w:name="_Toc468286890"/>
      <w:bookmarkStart w:id="2693" w:name="_Toc481502930"/>
      <w:bookmarkStart w:id="2694" w:name="_Toc49608009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39A0A7C1" w14:textId="77777777" w:rsidTr="001138B9">
        <w:trPr>
          <w:trHeight w:val="206"/>
        </w:trPr>
        <w:tc>
          <w:tcPr>
            <w:tcW w:w="9350" w:type="dxa"/>
            <w:shd w:val="pct12" w:color="auto" w:fill="auto"/>
          </w:tcPr>
          <w:p w14:paraId="78503F7D" w14:textId="3796F723" w:rsidR="00221BB6" w:rsidRPr="00B06583" w:rsidRDefault="00221BB6" w:rsidP="00792C7F">
            <w:pPr>
              <w:pStyle w:val="Instructions"/>
              <w:spacing w:before="120"/>
            </w:pPr>
            <w:r>
              <w:t>[NPRR1010:  Delete Section 6.7.1 above upon system implementation of the Real-Time Co-Optimization (RTC) project</w:t>
            </w:r>
            <w:r w:rsidR="00792C7F">
              <w:t>.</w:t>
            </w:r>
            <w:r>
              <w:t>]</w:t>
            </w:r>
          </w:p>
        </w:tc>
      </w:tr>
    </w:tbl>
    <w:p w14:paraId="5BB48306" w14:textId="77777777" w:rsidR="001F04FD" w:rsidRPr="0050685E" w:rsidRDefault="001F04FD" w:rsidP="001F04FD">
      <w:pPr>
        <w:keepNext/>
        <w:tabs>
          <w:tab w:val="left" w:pos="1080"/>
        </w:tabs>
        <w:spacing w:before="480" w:after="240"/>
        <w:ind w:left="1080" w:hanging="1080"/>
        <w:outlineLvl w:val="2"/>
        <w:rPr>
          <w:b/>
          <w:bCs/>
          <w:i/>
        </w:rPr>
      </w:pPr>
      <w:bookmarkStart w:id="2695" w:name="_Toc189044486"/>
      <w:bookmarkStart w:id="2696" w:name="_Hlk135904161"/>
      <w:r w:rsidRPr="0050685E">
        <w:rPr>
          <w:b/>
          <w:bCs/>
          <w:i/>
        </w:rPr>
        <w:t>6.7.2</w:t>
      </w:r>
      <w:r w:rsidRPr="0050685E">
        <w:rPr>
          <w:b/>
          <w:bCs/>
          <w:i/>
        </w:rPr>
        <w:tab/>
        <w:t>Payments for Ancillary Service Capacity Assigned in Real-Time Operations</w:t>
      </w:r>
      <w:bookmarkEnd w:id="2687"/>
      <w:bookmarkEnd w:id="2688"/>
      <w:bookmarkEnd w:id="2689"/>
      <w:bookmarkEnd w:id="2690"/>
      <w:bookmarkEnd w:id="2691"/>
      <w:bookmarkEnd w:id="2692"/>
      <w:bookmarkEnd w:id="2693"/>
      <w:bookmarkEnd w:id="2694"/>
      <w:bookmarkEnd w:id="2695"/>
    </w:p>
    <w:p w14:paraId="37136DF3" w14:textId="1FDFD2DF" w:rsidR="001F04FD" w:rsidRPr="0050685E" w:rsidRDefault="001F04FD" w:rsidP="001F04FD">
      <w:pPr>
        <w:ind w:left="720" w:hanging="720"/>
      </w:pPr>
      <w:r w:rsidRPr="0050685E">
        <w:t>(1)</w:t>
      </w:r>
      <w:r w:rsidRPr="0050685E">
        <w:tab/>
        <w:t xml:space="preserve">Resources that have received an Ancillary Service Assignment during a Watch as set forth in paragraph (4) of Section 6.5.9.3.3, </w:t>
      </w:r>
      <w:r>
        <w:t xml:space="preserve">Watch, </w:t>
      </w:r>
      <w:r w:rsidRPr="0050685E">
        <w:t xml:space="preserve">may receive a payment for the un-deployed quantity of Ancillary Service reserves associated with each hour of the Ancillary Service Assignment </w:t>
      </w:r>
      <w:r w:rsidRPr="0050685E">
        <w:rPr>
          <w:szCs w:val="24"/>
        </w:rPr>
        <w:t xml:space="preserve">if the Resource’s dispatch is limited by the Ancillary Service </w:t>
      </w:r>
      <w:r>
        <w:rPr>
          <w:szCs w:val="24"/>
        </w:rPr>
        <w:t>A</w:t>
      </w:r>
      <w:r w:rsidRPr="0050685E">
        <w:rPr>
          <w:szCs w:val="24"/>
        </w:rPr>
        <w:t>ssignment</w:t>
      </w:r>
      <w:r w:rsidRPr="0050685E">
        <w:t xml:space="preserve">.  ERCOT will provide a Verbal Dispatch Instruction (VDI) to every QSE with an On-Line Resource with an Ancillary Service Assignment.  The QSE must file a Settlement dispute to be considered for the Real-Time assigned Ancillary Services </w:t>
      </w:r>
      <w:r w:rsidRPr="0050685E">
        <w:lastRenderedPageBreak/>
        <w:t xml:space="preserve">payment amount.  The payment to each QSE and Resource for the 15-minute Settlement Interval in which the Resource received an Ancillary Service Assignment </w:t>
      </w:r>
      <w:r w:rsidRPr="0050685E">
        <w:rPr>
          <w:szCs w:val="24"/>
        </w:rPr>
        <w:t>will be made when the Resource is dispatched to its High Ancillary Service Limit (HASL) in at least one Security</w:t>
      </w:r>
      <w:r w:rsidR="00446EB7">
        <w:rPr>
          <w:szCs w:val="24"/>
        </w:rPr>
        <w:t>-</w:t>
      </w:r>
      <w:r w:rsidRPr="0050685E">
        <w:rPr>
          <w:szCs w:val="24"/>
        </w:rPr>
        <w:t xml:space="preserve">Constrained Economic Dispatch (SCED) interval in the 15-minute Settlement Interval. The payment </w:t>
      </w:r>
      <w:r w:rsidRPr="0050685E">
        <w:t>shall be calculated as follows.</w:t>
      </w:r>
    </w:p>
    <w:p w14:paraId="7F6DC4E9" w14:textId="77777777" w:rsidR="001F04FD" w:rsidRPr="0050685E" w:rsidRDefault="001F04FD" w:rsidP="001F04FD"/>
    <w:bookmarkEnd w:id="2696"/>
    <w:p w14:paraId="5553B856" w14:textId="3DA29529" w:rsidR="00F371D4" w:rsidRDefault="00F371D4" w:rsidP="00F371D4">
      <w:pPr>
        <w:spacing w:after="240"/>
        <w:ind w:left="1440" w:hanging="720"/>
      </w:pPr>
      <w:r w:rsidRPr="0003648D">
        <w:t>(a)</w:t>
      </w:r>
      <w:r w:rsidRPr="0003648D">
        <w:tab/>
        <w:t>For Reg-Up, if applicable:</w:t>
      </w:r>
    </w:p>
    <w:p w14:paraId="07D3A26C" w14:textId="77777777" w:rsidR="00F371D4" w:rsidRPr="00F641A1" w:rsidRDefault="00F371D4" w:rsidP="00F371D4">
      <w:pPr>
        <w:spacing w:after="240"/>
        <w:ind w:left="3600" w:hanging="2880"/>
        <w:rPr>
          <w:b/>
          <w:i/>
          <w:vertAlign w:val="subscript"/>
        </w:rPr>
      </w:pPr>
      <w:r>
        <w:rPr>
          <w:b/>
        </w:rPr>
        <w:t>RTAU</w:t>
      </w:r>
      <w:r w:rsidRPr="001065E9">
        <w:rPr>
          <w:b/>
        </w:rPr>
        <w:t>R</w:t>
      </w:r>
      <w:r>
        <w:rPr>
          <w:b/>
        </w:rPr>
        <w:t>UAMT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443C81C">
          <v:shape id="_x0000_i1317" type="#_x0000_t75" style="width:12pt;height:24pt" o:ole="">
            <v:imagedata r:id="rId386" o:title=""/>
          </v:shape>
          <o:OLEObject Type="Embed" ProgID="Equation.3" ShapeID="_x0000_i1317" DrawAspect="Content" ObjectID="_1804653800" r:id="rId392"/>
        </w:object>
      </w:r>
      <w:r>
        <w:rPr>
          <w:b/>
        </w:rPr>
        <w:t xml:space="preserve"> RTAU</w:t>
      </w:r>
      <w:r w:rsidRPr="00F641A1">
        <w:rPr>
          <w:b/>
        </w:rPr>
        <w:t>R</w:t>
      </w:r>
      <w:r>
        <w:rPr>
          <w:b/>
        </w:rPr>
        <w:t>U</w:t>
      </w:r>
      <w:r w:rsidRPr="00F641A1">
        <w:rPr>
          <w:b/>
        </w:rPr>
        <w:t xml:space="preserve">AMT </w:t>
      </w:r>
      <w:r w:rsidRPr="00F641A1">
        <w:rPr>
          <w:b/>
          <w:i/>
          <w:vertAlign w:val="subscript"/>
        </w:rPr>
        <w:t xml:space="preserve">q r, p, i </w:t>
      </w:r>
    </w:p>
    <w:p w14:paraId="5D0AC147" w14:textId="77777777" w:rsidR="00F371D4" w:rsidRPr="0003648D" w:rsidRDefault="00F371D4" w:rsidP="00F371D4">
      <w:pPr>
        <w:spacing w:after="240"/>
      </w:pPr>
      <w:r w:rsidRPr="0003648D">
        <w:t>Where:</w:t>
      </w:r>
    </w:p>
    <w:p w14:paraId="00A5BBE8" w14:textId="77777777" w:rsidR="00F371D4" w:rsidRPr="0062620E" w:rsidRDefault="00F371D4" w:rsidP="00F371D4">
      <w:pPr>
        <w:spacing w:after="240"/>
        <w:ind w:left="3600" w:hanging="2880"/>
      </w:pPr>
      <w:r w:rsidRPr="0062620E">
        <w:t xml:space="preserve">RTAURUAMT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p,</w:t>
      </w:r>
      <w:r>
        <w:rPr>
          <w:i/>
          <w:vertAlign w:val="subscript"/>
        </w:rPr>
        <w:t xml:space="preserve"> </w:t>
      </w:r>
      <w:r w:rsidRPr="0062620E">
        <w:rPr>
          <w:i/>
          <w:vertAlign w:val="subscript"/>
        </w:rPr>
        <w:t>i</w:t>
      </w:r>
      <w:r>
        <w:t xml:space="preserve"> </w:t>
      </w:r>
      <w:r w:rsidRPr="0062620E">
        <w:t>=</w:t>
      </w:r>
      <w:r w:rsidRPr="0062620E">
        <w:tab/>
        <w:t xml:space="preserve">(-1) * 1/4 * RTAURUR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r w:rsidRPr="001C53B8">
        <w:t xml:space="preserve"> - RTRDP</w:t>
      </w:r>
      <w:r w:rsidRPr="0062620E">
        <w:t>)</w:t>
      </w:r>
    </w:p>
    <w:p w14:paraId="7126511A" w14:textId="77777777" w:rsidR="00F371D4" w:rsidRPr="0003648D" w:rsidRDefault="00F371D4" w:rsidP="00F371D4">
      <w:pPr>
        <w:spacing w:after="240"/>
        <w:ind w:left="2880" w:hanging="2160"/>
        <w:rPr>
          <w:bCs/>
        </w:rPr>
      </w:pPr>
      <w:r w:rsidRPr="0003648D">
        <w:rPr>
          <w:bCs/>
        </w:rPr>
        <w:t>RTRSVPOR</w:t>
      </w:r>
      <w:r w:rsidRPr="0003648D">
        <w:rPr>
          <w:bCs/>
        </w:rPr>
        <w:tab/>
        <w:t>=</w:t>
      </w:r>
      <w:r w:rsidRPr="0003648D">
        <w:rPr>
          <w:bCs/>
        </w:rPr>
        <w:tab/>
      </w:r>
      <w:r>
        <w:rPr>
          <w:noProof/>
          <w:position w:val="-22"/>
        </w:rPr>
        <w:drawing>
          <wp:inline distT="0" distB="0" distL="0" distR="0" wp14:anchorId="27FA30A7" wp14:editId="44294318">
            <wp:extent cx="142875" cy="295275"/>
            <wp:effectExtent l="0" t="0" r="9525" b="9525"/>
            <wp:docPr id="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 xml:space="preserve">(RNWF </w:t>
      </w:r>
      <w:r w:rsidRPr="0003648D">
        <w:rPr>
          <w:bCs/>
          <w:i/>
          <w:iCs/>
          <w:vertAlign w:val="subscript"/>
        </w:rPr>
        <w:t xml:space="preserve">y </w:t>
      </w:r>
      <w:r w:rsidRPr="0003648D">
        <w:rPr>
          <w:bCs/>
        </w:rPr>
        <w:t>* RTORPA</w:t>
      </w:r>
      <w:r w:rsidRPr="0003648D">
        <w:rPr>
          <w:bCs/>
          <w:i/>
          <w:iCs/>
          <w:vertAlign w:val="subscript"/>
        </w:rPr>
        <w:t xml:space="preserve"> y</w:t>
      </w:r>
      <w:r w:rsidRPr="0003648D">
        <w:rPr>
          <w:bCs/>
        </w:rPr>
        <w:t>)</w:t>
      </w:r>
    </w:p>
    <w:p w14:paraId="66023786" w14:textId="77777777" w:rsidR="00F371D4" w:rsidRPr="0040142E" w:rsidRDefault="00F371D4" w:rsidP="00F371D4">
      <w:pPr>
        <w:spacing w:after="240"/>
        <w:ind w:left="2880" w:hanging="2160"/>
      </w:pPr>
      <w:r w:rsidRPr="006E4321">
        <w:rPr>
          <w:bCs/>
        </w:rPr>
        <w:t>RTRDP</w:t>
      </w:r>
      <w:r w:rsidRPr="006E4321">
        <w:rPr>
          <w:bCs/>
        </w:rPr>
        <w:tab/>
      </w:r>
      <w:r w:rsidRPr="006E4321">
        <w:t>=</w:t>
      </w:r>
      <w:r w:rsidRPr="006E4321">
        <w:tab/>
      </w:r>
      <w:r w:rsidRPr="0040142E">
        <w:rPr>
          <w:position w:val="-22"/>
        </w:rPr>
        <w:object w:dxaOrig="225" w:dyaOrig="465" w14:anchorId="7760BD86">
          <v:shape id="_x0000_i1318" type="#_x0000_t75" style="width:12pt;height:18pt" o:ole="">
            <v:imagedata r:id="rId22" o:title=""/>
          </v:shape>
          <o:OLEObject Type="Embed" ProgID="Equation.3" ShapeID="_x0000_i1318" DrawAspect="Content" ObjectID="_1804653801" r:id="rId394"/>
        </w:object>
      </w:r>
      <w:r w:rsidRPr="006E4321">
        <w:t>(RNWF</w:t>
      </w:r>
      <w:r w:rsidRPr="0040142E">
        <w:rPr>
          <w:i/>
          <w:iCs/>
          <w:vertAlign w:val="subscript"/>
        </w:rPr>
        <w:t xml:space="preserve"> y </w:t>
      </w:r>
      <w:r w:rsidRPr="0040142E">
        <w:t>* RTORDPA</w:t>
      </w:r>
      <w:r w:rsidRPr="0040142E">
        <w:rPr>
          <w:i/>
          <w:iCs/>
          <w:vertAlign w:val="subscript"/>
        </w:rPr>
        <w:t xml:space="preserve"> y</w:t>
      </w:r>
      <w:r w:rsidRPr="0040142E">
        <w:t>)</w:t>
      </w:r>
    </w:p>
    <w:p w14:paraId="7E18F667" w14:textId="77777777" w:rsidR="00F371D4" w:rsidRPr="0003648D" w:rsidRDefault="00F371D4" w:rsidP="00F371D4">
      <w:pPr>
        <w:widowControl w:val="0"/>
        <w:spacing w:after="240"/>
        <w:ind w:left="720"/>
        <w:rPr>
          <w:rFonts w:ascii="Arial" w:hAnsi="Arial" w:cs="Arial"/>
        </w:rPr>
      </w:pPr>
      <w:r w:rsidRPr="0003648D">
        <w:t xml:space="preserve">RNWF </w:t>
      </w:r>
      <w:r w:rsidRPr="0003648D">
        <w:rPr>
          <w:i/>
          <w:vertAlign w:val="subscript"/>
        </w:rPr>
        <w:t>y</w:t>
      </w:r>
      <w:r w:rsidRPr="0003648D">
        <w:rPr>
          <w:b/>
          <w:bCs/>
        </w:rPr>
        <w:tab/>
      </w:r>
      <w:r w:rsidRPr="0003648D">
        <w:rPr>
          <w:b/>
          <w:bCs/>
        </w:rPr>
        <w:tab/>
      </w:r>
      <w:r w:rsidRPr="0003648D">
        <w:t>=</w:t>
      </w:r>
      <w:r w:rsidRPr="0003648D">
        <w:rPr>
          <w:b/>
          <w:bCs/>
        </w:rPr>
        <w:tab/>
      </w:r>
      <w:r w:rsidRPr="0003648D">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Pr>
          <w:noProof/>
          <w:position w:val="-22"/>
        </w:rPr>
        <w:drawing>
          <wp:inline distT="0" distB="0" distL="0" distR="0" wp14:anchorId="7DFFD40B" wp14:editId="5A76B284">
            <wp:extent cx="142875" cy="295275"/>
            <wp:effectExtent l="0" t="0" r="9525" b="9525"/>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TLMP </w:t>
      </w:r>
      <w:r w:rsidRPr="0003648D">
        <w:rPr>
          <w:i/>
          <w:vertAlign w:val="subscript"/>
        </w:rPr>
        <w:t>y</w:t>
      </w:r>
    </w:p>
    <w:p w14:paraId="1EB1CEBF" w14:textId="77777777" w:rsidR="00F371D4" w:rsidRPr="0003648D" w:rsidRDefault="00F371D4" w:rsidP="00F371D4">
      <w:r w:rsidRPr="0003648D">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F371D4" w:rsidRPr="0003648D" w14:paraId="0E9D6573" w14:textId="77777777" w:rsidTr="00B82144">
        <w:trPr>
          <w:cantSplit/>
          <w:tblHeader/>
        </w:trPr>
        <w:tc>
          <w:tcPr>
            <w:tcW w:w="1352" w:type="pct"/>
            <w:tcBorders>
              <w:top w:val="single" w:sz="4" w:space="0" w:color="auto"/>
              <w:left w:val="single" w:sz="4" w:space="0" w:color="auto"/>
              <w:bottom w:val="single" w:sz="4" w:space="0" w:color="auto"/>
              <w:right w:val="single" w:sz="4" w:space="0" w:color="auto"/>
            </w:tcBorders>
          </w:tcPr>
          <w:p w14:paraId="26553CA5" w14:textId="77777777" w:rsidR="00F371D4" w:rsidRPr="0003648D" w:rsidRDefault="00F371D4" w:rsidP="00B82144">
            <w:pPr>
              <w:pStyle w:val="TableHead"/>
            </w:pPr>
            <w:r w:rsidRPr="0003648D">
              <w:t>Variable</w:t>
            </w:r>
          </w:p>
        </w:tc>
        <w:tc>
          <w:tcPr>
            <w:tcW w:w="491" w:type="pct"/>
            <w:tcBorders>
              <w:top w:val="single" w:sz="4" w:space="0" w:color="auto"/>
              <w:left w:val="single" w:sz="4" w:space="0" w:color="auto"/>
              <w:bottom w:val="single" w:sz="4" w:space="0" w:color="auto"/>
              <w:right w:val="single" w:sz="4" w:space="0" w:color="auto"/>
            </w:tcBorders>
          </w:tcPr>
          <w:p w14:paraId="2F0455D1" w14:textId="77777777" w:rsidR="00F371D4" w:rsidRPr="0003648D" w:rsidRDefault="00F371D4" w:rsidP="00B82144">
            <w:pPr>
              <w:pStyle w:val="TableHead"/>
            </w:pPr>
            <w:r w:rsidRPr="0003648D">
              <w:t>Unit</w:t>
            </w:r>
          </w:p>
        </w:tc>
        <w:tc>
          <w:tcPr>
            <w:tcW w:w="3157" w:type="pct"/>
            <w:tcBorders>
              <w:top w:val="single" w:sz="4" w:space="0" w:color="auto"/>
              <w:left w:val="single" w:sz="4" w:space="0" w:color="auto"/>
              <w:bottom w:val="single" w:sz="4" w:space="0" w:color="auto"/>
              <w:right w:val="single" w:sz="4" w:space="0" w:color="auto"/>
            </w:tcBorders>
          </w:tcPr>
          <w:p w14:paraId="545CFE87" w14:textId="77777777" w:rsidR="00F371D4" w:rsidRPr="0003648D" w:rsidRDefault="00F371D4" w:rsidP="00B82144">
            <w:pPr>
              <w:pStyle w:val="TableHead"/>
            </w:pPr>
            <w:r w:rsidRPr="0003648D">
              <w:t>Description</w:t>
            </w:r>
          </w:p>
        </w:tc>
      </w:tr>
      <w:tr w:rsidR="00F371D4" w:rsidRPr="0003648D" w14:paraId="02330E50"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4749AF8A" w14:textId="77777777" w:rsidR="00F371D4" w:rsidRPr="0003648D" w:rsidRDefault="00F371D4" w:rsidP="00B82144">
            <w:pPr>
              <w:pStyle w:val="TableHead"/>
              <w:rPr>
                <w:b w:val="0"/>
              </w:rPr>
            </w:pPr>
            <w:r>
              <w:rPr>
                <w:b w:val="0"/>
              </w:rPr>
              <w:t>RTAU</w:t>
            </w:r>
            <w:r w:rsidRPr="0003648D">
              <w:rPr>
                <w:b w:val="0"/>
              </w:rPr>
              <w:t>R</w:t>
            </w:r>
            <w:r>
              <w:rPr>
                <w:b w:val="0"/>
              </w:rPr>
              <w:t>UAMTQSETO</w:t>
            </w:r>
            <w:r w:rsidRPr="0003648D">
              <w:rPr>
                <w:b w:val="0"/>
              </w:rPr>
              <w:t xml:space="preserve">T </w:t>
            </w:r>
            <w:r>
              <w:rPr>
                <w:b w:val="0"/>
                <w:i/>
                <w:vertAlign w:val="subscript"/>
              </w:rPr>
              <w:t>q</w:t>
            </w:r>
          </w:p>
        </w:tc>
        <w:tc>
          <w:tcPr>
            <w:tcW w:w="491" w:type="pct"/>
            <w:tcBorders>
              <w:top w:val="single" w:sz="4" w:space="0" w:color="auto"/>
              <w:left w:val="single" w:sz="4" w:space="0" w:color="auto"/>
              <w:bottom w:val="single" w:sz="4" w:space="0" w:color="auto"/>
              <w:right w:val="single" w:sz="4" w:space="0" w:color="auto"/>
            </w:tcBorders>
          </w:tcPr>
          <w:p w14:paraId="70E014E6"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5F8EBE9A" w14:textId="394D4663" w:rsidR="00F371D4" w:rsidRPr="0003648D" w:rsidRDefault="00F371D4" w:rsidP="00B82144">
            <w:pPr>
              <w:pStyle w:val="TableHead"/>
              <w:rPr>
                <w:b w:val="0"/>
                <w:i/>
              </w:rPr>
            </w:pPr>
            <w:r w:rsidRPr="0003648D">
              <w:rPr>
                <w:b w:val="0"/>
                <w:i/>
              </w:rPr>
              <w:t xml:space="preserve">Real-Time Assigned Un-Deployed </w:t>
            </w:r>
            <w:r>
              <w:rPr>
                <w:b w:val="0"/>
                <w:i/>
              </w:rPr>
              <w:t>Regulation Up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w:t>
            </w:r>
            <w:r>
              <w:rPr>
                <w:b w:val="0"/>
              </w:rPr>
              <w:t xml:space="preserve">Ancillary Service Assignment. </w:t>
            </w:r>
          </w:p>
        </w:tc>
      </w:tr>
      <w:tr w:rsidR="00F371D4" w:rsidRPr="0003648D" w14:paraId="4F7F7DCB"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7BB8C9E8" w14:textId="77777777" w:rsidR="00F371D4" w:rsidRPr="0003648D" w:rsidRDefault="00F371D4" w:rsidP="00B82144">
            <w:pPr>
              <w:pStyle w:val="TableHead"/>
              <w:rPr>
                <w:b w:val="0"/>
              </w:rPr>
            </w:pPr>
            <w:r w:rsidRPr="0003648D">
              <w:rPr>
                <w:b w:val="0"/>
              </w:rPr>
              <w:t>RTAURUAMT</w:t>
            </w:r>
            <w:r>
              <w:rPr>
                <w:b w:val="0"/>
              </w:rPr>
              <w:t xml:space="preserve"> </w:t>
            </w:r>
            <w:r w:rsidRPr="0003648D">
              <w:rPr>
                <w:b w:val="0"/>
                <w:i/>
                <w:vertAlign w:val="subscript"/>
              </w:rPr>
              <w:t>q</w:t>
            </w:r>
            <w:r w:rsidRPr="0003648D">
              <w:rPr>
                <w:b w:val="0"/>
                <w:vertAlign w:val="subscript"/>
              </w:rPr>
              <w:t>,</w:t>
            </w:r>
            <w:r>
              <w:rPr>
                <w:b w:val="0"/>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7B26C7FC"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19D30550" w14:textId="77777777" w:rsidR="00F371D4" w:rsidRPr="0003648D" w:rsidRDefault="00F371D4" w:rsidP="00B82144">
            <w:pPr>
              <w:pStyle w:val="TableHead"/>
              <w:rPr>
                <w:b w:val="0"/>
                <w:i/>
              </w:rPr>
            </w:pPr>
            <w:r w:rsidRPr="0003648D">
              <w:rPr>
                <w:b w:val="0"/>
                <w:i/>
              </w:rPr>
              <w:t>Real-Time Assigned Un-Deployed Regulation Up Payment Amount per Resource per QSE</w:t>
            </w:r>
            <w:r w:rsidRPr="0003648D">
              <w:sym w:font="Symbol" w:char="F0BE"/>
            </w:r>
            <w:r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6F6185E9"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6909A345" w14:textId="77777777" w:rsidR="00F371D4" w:rsidRPr="0003648D" w:rsidRDefault="00F371D4" w:rsidP="00B82144">
            <w:pPr>
              <w:pStyle w:val="TableHead"/>
              <w:rPr>
                <w:b w:val="0"/>
              </w:rPr>
            </w:pPr>
            <w:r w:rsidRPr="0003648D">
              <w:rPr>
                <w:b w:val="0"/>
              </w:rPr>
              <w:t>RTAURUR</w:t>
            </w:r>
            <w:r w:rsidRPr="0003648D">
              <w:rPr>
                <w:b w:val="0"/>
                <w:i/>
                <w:vertAlign w:val="subscript"/>
              </w:rPr>
              <w:t xml:space="preserve"> q,</w:t>
            </w:r>
            <w:r>
              <w:rPr>
                <w:b w:val="0"/>
                <w:i/>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31C975B2" w14:textId="77777777" w:rsidR="00F371D4" w:rsidRPr="0003648D" w:rsidRDefault="00F371D4" w:rsidP="00B82144">
            <w:pPr>
              <w:pStyle w:val="TableHead"/>
              <w:rPr>
                <w:b w:val="0"/>
              </w:rPr>
            </w:pPr>
            <w:r w:rsidRPr="0003648D">
              <w:rPr>
                <w:b w:val="0"/>
              </w:rPr>
              <w:t>MW</w:t>
            </w:r>
          </w:p>
        </w:tc>
        <w:tc>
          <w:tcPr>
            <w:tcW w:w="3157" w:type="pct"/>
            <w:tcBorders>
              <w:top w:val="single" w:sz="4" w:space="0" w:color="auto"/>
              <w:left w:val="single" w:sz="4" w:space="0" w:color="auto"/>
              <w:bottom w:val="single" w:sz="4" w:space="0" w:color="auto"/>
              <w:right w:val="single" w:sz="4" w:space="0" w:color="auto"/>
            </w:tcBorders>
          </w:tcPr>
          <w:p w14:paraId="18B4E929" w14:textId="77777777" w:rsidR="00F371D4" w:rsidRPr="0003648D" w:rsidRDefault="00F371D4" w:rsidP="00B82144">
            <w:pPr>
              <w:pStyle w:val="TableHead"/>
              <w:rPr>
                <w:b w:val="0"/>
                <w:i/>
              </w:rPr>
            </w:pPr>
            <w:r w:rsidRPr="0003648D">
              <w:rPr>
                <w:b w:val="0"/>
                <w:i/>
              </w:rPr>
              <w:t>Real-Time Assigned Un-Deployed Regulation Up Quantity per Resource per QSE</w:t>
            </w:r>
            <w:r w:rsidRPr="0003648D">
              <w:sym w:font="Symbol" w:char="F0BE"/>
            </w:r>
            <w:r w:rsidRPr="0003648D">
              <w:rPr>
                <w:b w:val="0"/>
              </w:rPr>
              <w:t>The quantity of un-deployed</w:t>
            </w:r>
            <w:r w:rsidRPr="0003648D">
              <w:rPr>
                <w:b w:val="0"/>
                <w:i/>
              </w:rPr>
              <w:t xml:space="preserve"> </w:t>
            </w:r>
            <w:r w:rsidRPr="0003648D">
              <w:rPr>
                <w:b w:val="0"/>
              </w:rPr>
              <w:t xml:space="preserve">Reg-Up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7F5CCA52"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0B5B287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432B4700" w14:textId="77777777" w:rsidR="00F371D4" w:rsidRPr="0003648D" w:rsidRDefault="00F371D4" w:rsidP="00B82144">
            <w:pPr>
              <w:pStyle w:val="TableHead"/>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6E4F9D92" w14:textId="77777777" w:rsidR="00F371D4" w:rsidRPr="0003648D" w:rsidRDefault="00F371D4" w:rsidP="00B82144">
            <w:pPr>
              <w:pStyle w:val="TableHead"/>
              <w:rPr>
                <w:b w:val="0"/>
                <w:i/>
              </w:rPr>
            </w:pPr>
            <w:r w:rsidRPr="0003648D">
              <w:rPr>
                <w:b w:val="0"/>
                <w:i/>
              </w:rPr>
              <w:t>Real-Time Settlement Point Price per Settlement Point</w:t>
            </w:r>
            <w:r w:rsidRPr="0003648D">
              <w:sym w:font="Symbol" w:char="F0BE"/>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E1AD438" w14:textId="77777777" w:rsidTr="00B82144">
        <w:trPr>
          <w:cantSplit/>
        </w:trPr>
        <w:tc>
          <w:tcPr>
            <w:tcW w:w="1352" w:type="pct"/>
          </w:tcPr>
          <w:p w14:paraId="25CA955D" w14:textId="77777777" w:rsidR="00F371D4" w:rsidRPr="0003648D" w:rsidRDefault="00F371D4" w:rsidP="00B82144">
            <w:pPr>
              <w:pStyle w:val="tablebody0"/>
              <w:rPr>
                <w:i/>
              </w:rPr>
            </w:pPr>
            <w:r w:rsidRPr="0003648D">
              <w:t>RTRSVPOR</w:t>
            </w:r>
          </w:p>
        </w:tc>
        <w:tc>
          <w:tcPr>
            <w:tcW w:w="491" w:type="pct"/>
          </w:tcPr>
          <w:p w14:paraId="67D0E813" w14:textId="77777777" w:rsidR="00F371D4" w:rsidRPr="0003648D" w:rsidRDefault="00F371D4" w:rsidP="00B82144">
            <w:pPr>
              <w:pStyle w:val="tablebody0"/>
            </w:pPr>
            <w:r w:rsidRPr="0003648D">
              <w:t>$/MWh</w:t>
            </w:r>
          </w:p>
        </w:tc>
        <w:tc>
          <w:tcPr>
            <w:tcW w:w="3157" w:type="pct"/>
          </w:tcPr>
          <w:p w14:paraId="54641231"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1A3A6C9F" w14:textId="77777777" w:rsidTr="00B82144">
        <w:trPr>
          <w:cantSplit/>
        </w:trPr>
        <w:tc>
          <w:tcPr>
            <w:tcW w:w="1352" w:type="pct"/>
          </w:tcPr>
          <w:p w14:paraId="064C29D6" w14:textId="77777777" w:rsidR="00F371D4" w:rsidRPr="00A02D58" w:rsidRDefault="00F371D4" w:rsidP="00B82144">
            <w:pPr>
              <w:pStyle w:val="tablebody0"/>
            </w:pPr>
            <w:r w:rsidRPr="00181BDE">
              <w:lastRenderedPageBreak/>
              <w:t>RTRDP</w:t>
            </w:r>
          </w:p>
        </w:tc>
        <w:tc>
          <w:tcPr>
            <w:tcW w:w="491" w:type="pct"/>
          </w:tcPr>
          <w:p w14:paraId="32EDA0C7" w14:textId="77777777" w:rsidR="00F371D4" w:rsidRPr="00A02D58" w:rsidRDefault="00F371D4" w:rsidP="00B82144">
            <w:pPr>
              <w:pStyle w:val="tablebody0"/>
            </w:pPr>
            <w:r w:rsidRPr="00181BDE">
              <w:t>$/MWh</w:t>
            </w:r>
          </w:p>
        </w:tc>
        <w:tc>
          <w:tcPr>
            <w:tcW w:w="3157" w:type="pct"/>
          </w:tcPr>
          <w:p w14:paraId="613DC84F" w14:textId="77777777" w:rsidR="00F371D4" w:rsidRPr="00A02D58" w:rsidRDefault="00F371D4" w:rsidP="00B82144">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F371D4" w:rsidRPr="0003648D" w14:paraId="3A379441" w14:textId="77777777" w:rsidTr="00B82144">
        <w:trPr>
          <w:cantSplit/>
        </w:trPr>
        <w:tc>
          <w:tcPr>
            <w:tcW w:w="1352" w:type="pct"/>
          </w:tcPr>
          <w:p w14:paraId="4E65D525" w14:textId="77777777" w:rsidR="00F371D4" w:rsidRPr="0003648D" w:rsidRDefault="00F371D4" w:rsidP="00B82144">
            <w:pPr>
              <w:pStyle w:val="tablebody0"/>
            </w:pPr>
            <w:r w:rsidRPr="0003648D">
              <w:t xml:space="preserve">TLMP </w:t>
            </w:r>
            <w:r w:rsidRPr="0003648D">
              <w:rPr>
                <w:i/>
                <w:vertAlign w:val="subscript"/>
              </w:rPr>
              <w:t>y</w:t>
            </w:r>
          </w:p>
        </w:tc>
        <w:tc>
          <w:tcPr>
            <w:tcW w:w="491" w:type="pct"/>
          </w:tcPr>
          <w:p w14:paraId="33AECDED" w14:textId="77777777" w:rsidR="00F371D4" w:rsidRPr="0003648D" w:rsidRDefault="00F371D4" w:rsidP="00B82144">
            <w:pPr>
              <w:pStyle w:val="tablebody0"/>
              <w:rPr>
                <w:iCs/>
              </w:rPr>
            </w:pPr>
            <w:r w:rsidRPr="0003648D">
              <w:t>second</w:t>
            </w:r>
          </w:p>
        </w:tc>
        <w:tc>
          <w:tcPr>
            <w:tcW w:w="3157" w:type="pct"/>
          </w:tcPr>
          <w:p w14:paraId="541EBCA3"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26AB8093" w14:textId="77777777" w:rsidTr="00B82144">
        <w:trPr>
          <w:cantSplit/>
        </w:trPr>
        <w:tc>
          <w:tcPr>
            <w:tcW w:w="1352" w:type="pct"/>
          </w:tcPr>
          <w:p w14:paraId="013F4FB1" w14:textId="77777777" w:rsidR="00F371D4" w:rsidRPr="0003648D" w:rsidRDefault="00F371D4" w:rsidP="00B82144">
            <w:pPr>
              <w:pStyle w:val="tablebody0"/>
              <w:rPr>
                <w:i/>
              </w:rPr>
            </w:pPr>
            <w:r w:rsidRPr="0003648D">
              <w:t xml:space="preserve">RNWF </w:t>
            </w:r>
            <w:r w:rsidRPr="0003648D">
              <w:rPr>
                <w:i/>
                <w:vertAlign w:val="subscript"/>
              </w:rPr>
              <w:t>y</w:t>
            </w:r>
          </w:p>
        </w:tc>
        <w:tc>
          <w:tcPr>
            <w:tcW w:w="491" w:type="pct"/>
          </w:tcPr>
          <w:p w14:paraId="74E0F71D" w14:textId="77777777" w:rsidR="00F371D4" w:rsidRPr="0003648D" w:rsidRDefault="00F371D4" w:rsidP="00B82144">
            <w:pPr>
              <w:pStyle w:val="tablebody0"/>
            </w:pPr>
            <w:r w:rsidRPr="0003648D">
              <w:t>none</w:t>
            </w:r>
          </w:p>
        </w:tc>
        <w:tc>
          <w:tcPr>
            <w:tcW w:w="3157" w:type="pct"/>
          </w:tcPr>
          <w:p w14:paraId="75750E1E"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46CC4C06"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C703BA1"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8AC5A1F" w14:textId="77777777" w:rsidR="00F371D4" w:rsidRPr="0003648D" w:rsidRDefault="00F371D4" w:rsidP="00B82144">
            <w:pPr>
              <w:pStyle w:val="TableHead"/>
              <w:spacing w:after="60"/>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270A0771"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96D3218"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8D5115" w14:textId="77777777" w:rsidR="00F371D4" w:rsidRPr="00A02D58" w:rsidRDefault="00F371D4" w:rsidP="00B82144">
            <w:pPr>
              <w:spacing w:after="60"/>
              <w:rPr>
                <w:sz w:val="20"/>
              </w:rPr>
            </w:pPr>
            <w:r w:rsidRPr="000F4F25">
              <w:rPr>
                <w:sz w:val="20"/>
              </w:rPr>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66C505F" w14:textId="77777777" w:rsidR="00F371D4" w:rsidRPr="00A02D58" w:rsidRDefault="00F371D4" w:rsidP="00B82144">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545419C3" w14:textId="77777777" w:rsidR="00F371D4" w:rsidRPr="00A02D58" w:rsidRDefault="00F371D4" w:rsidP="00B82144">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F371D4" w:rsidRPr="0003648D" w14:paraId="237DA60C"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D279DE8" w14:textId="77777777" w:rsidR="00F371D4" w:rsidRPr="0003648D" w:rsidRDefault="00F371D4" w:rsidP="00B82144">
            <w:pPr>
              <w:pStyle w:val="TableHead"/>
              <w:spacing w:after="60"/>
              <w:rPr>
                <w:b w:val="0"/>
                <w:i/>
              </w:rPr>
            </w:pPr>
            <w:r w:rsidRPr="0003648D">
              <w:rPr>
                <w:b w:val="0"/>
                <w:i/>
              </w:rPr>
              <w:t>q</w:t>
            </w:r>
          </w:p>
        </w:tc>
        <w:tc>
          <w:tcPr>
            <w:tcW w:w="491" w:type="pct"/>
            <w:tcBorders>
              <w:top w:val="single" w:sz="4" w:space="0" w:color="auto"/>
              <w:left w:val="single" w:sz="4" w:space="0" w:color="auto"/>
              <w:bottom w:val="single" w:sz="4" w:space="0" w:color="auto"/>
              <w:right w:val="single" w:sz="4" w:space="0" w:color="auto"/>
            </w:tcBorders>
          </w:tcPr>
          <w:p w14:paraId="63E1A94B"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3287E2E" w14:textId="77777777" w:rsidR="00F371D4" w:rsidRPr="0003648D" w:rsidRDefault="00F371D4" w:rsidP="00B82144">
            <w:pPr>
              <w:pStyle w:val="TableHead"/>
              <w:spacing w:after="60"/>
              <w:rPr>
                <w:b w:val="0"/>
              </w:rPr>
            </w:pPr>
            <w:r w:rsidRPr="0003648D">
              <w:rPr>
                <w:b w:val="0"/>
              </w:rPr>
              <w:t>A QSE.</w:t>
            </w:r>
          </w:p>
        </w:tc>
      </w:tr>
      <w:tr w:rsidR="00F371D4" w:rsidRPr="0003648D" w14:paraId="3D1A4EC1"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57CD16" w14:textId="77777777" w:rsidR="00F371D4" w:rsidRPr="0003648D" w:rsidRDefault="00F371D4" w:rsidP="00B82144">
            <w:pPr>
              <w:pStyle w:val="TableHead"/>
              <w:spacing w:after="60"/>
              <w:rPr>
                <w:b w:val="0"/>
                <w:i/>
              </w:rPr>
            </w:pPr>
            <w:r>
              <w:rPr>
                <w:b w:val="0"/>
                <w:i/>
              </w:rPr>
              <w:t>r</w:t>
            </w:r>
          </w:p>
        </w:tc>
        <w:tc>
          <w:tcPr>
            <w:tcW w:w="491" w:type="pct"/>
            <w:tcBorders>
              <w:top w:val="single" w:sz="4" w:space="0" w:color="auto"/>
              <w:left w:val="single" w:sz="4" w:space="0" w:color="auto"/>
              <w:bottom w:val="single" w:sz="4" w:space="0" w:color="auto"/>
              <w:right w:val="single" w:sz="4" w:space="0" w:color="auto"/>
            </w:tcBorders>
          </w:tcPr>
          <w:p w14:paraId="11639DB6"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35A604F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that was allocated Reg-Up Ancillary Service Assignment by the QSE.</w:t>
            </w:r>
          </w:p>
        </w:tc>
      </w:tr>
      <w:tr w:rsidR="00F371D4" w:rsidRPr="0003648D" w14:paraId="5A0C58BA"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354C0AB8" w14:textId="77777777" w:rsidR="00F371D4" w:rsidRPr="0003648D" w:rsidRDefault="00F371D4" w:rsidP="00B82144">
            <w:pPr>
              <w:pStyle w:val="TableHead"/>
              <w:spacing w:after="60"/>
              <w:rPr>
                <w:b w:val="0"/>
                <w:i/>
              </w:rPr>
            </w:pPr>
            <w:r>
              <w:rPr>
                <w:b w:val="0"/>
                <w:i/>
              </w:rPr>
              <w:t>p</w:t>
            </w:r>
          </w:p>
        </w:tc>
        <w:tc>
          <w:tcPr>
            <w:tcW w:w="491" w:type="pct"/>
            <w:tcBorders>
              <w:top w:val="single" w:sz="4" w:space="0" w:color="auto"/>
              <w:left w:val="single" w:sz="4" w:space="0" w:color="auto"/>
              <w:bottom w:val="single" w:sz="4" w:space="0" w:color="auto"/>
              <w:right w:val="single" w:sz="4" w:space="0" w:color="auto"/>
            </w:tcBorders>
          </w:tcPr>
          <w:p w14:paraId="41440F0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B028099" w14:textId="77777777" w:rsidR="00F371D4" w:rsidRPr="0003648D" w:rsidRDefault="00F371D4" w:rsidP="00B82144">
            <w:pPr>
              <w:pStyle w:val="TableHead"/>
              <w:spacing w:after="60"/>
              <w:rPr>
                <w:b w:val="0"/>
                <w:i/>
              </w:rPr>
            </w:pPr>
            <w:r w:rsidRPr="0003648D">
              <w:rPr>
                <w:b w:val="0"/>
              </w:rPr>
              <w:t>A Settlement Point for the Resource Node that was allocated Reg-Up Ancillary Service Assignment by the QSE.</w:t>
            </w:r>
          </w:p>
        </w:tc>
      </w:tr>
      <w:tr w:rsidR="00F371D4" w:rsidRPr="0003648D" w14:paraId="5A520883"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B4CE2F" w14:textId="77777777" w:rsidR="00F371D4" w:rsidRPr="0003648D" w:rsidRDefault="00F371D4" w:rsidP="00B82144">
            <w:pPr>
              <w:pStyle w:val="TableHead"/>
              <w:spacing w:after="60"/>
              <w:rPr>
                <w:b w:val="0"/>
                <w:i/>
              </w:rPr>
            </w:pPr>
            <w:r w:rsidRPr="0003648D">
              <w:rPr>
                <w:b w:val="0"/>
                <w:i/>
              </w:rPr>
              <w:t>i</w:t>
            </w:r>
          </w:p>
        </w:tc>
        <w:tc>
          <w:tcPr>
            <w:tcW w:w="491" w:type="pct"/>
            <w:tcBorders>
              <w:top w:val="single" w:sz="4" w:space="0" w:color="auto"/>
              <w:left w:val="single" w:sz="4" w:space="0" w:color="auto"/>
              <w:bottom w:val="single" w:sz="4" w:space="0" w:color="auto"/>
              <w:right w:val="single" w:sz="4" w:space="0" w:color="auto"/>
            </w:tcBorders>
          </w:tcPr>
          <w:p w14:paraId="0156A929"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74A43354" w14:textId="77777777" w:rsidR="00F371D4" w:rsidRPr="0003648D" w:rsidRDefault="00F371D4" w:rsidP="00B82144">
            <w:pPr>
              <w:pStyle w:val="TableHead"/>
              <w:tabs>
                <w:tab w:val="left" w:pos="2010"/>
              </w:tabs>
              <w:spacing w:after="60"/>
              <w:rPr>
                <w:b w:val="0"/>
              </w:rPr>
            </w:pPr>
            <w:r w:rsidRPr="0003648D">
              <w:rPr>
                <w:b w:val="0"/>
              </w:rPr>
              <w:t xml:space="preserve">A 15-minute Settlement Interval in the Operating Hour. </w:t>
            </w:r>
          </w:p>
        </w:tc>
      </w:tr>
      <w:tr w:rsidR="00F371D4" w:rsidRPr="0003648D" w14:paraId="626DC3B7"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81D7DA8" w14:textId="77777777" w:rsidR="00F371D4" w:rsidRPr="0003648D" w:rsidRDefault="00F371D4" w:rsidP="00B82144">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3E6A575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10A699FA" w14:textId="77777777" w:rsidR="00F371D4" w:rsidRPr="0003648D" w:rsidRDefault="00F371D4" w:rsidP="00B82144">
            <w:pPr>
              <w:pStyle w:val="TableHead"/>
              <w:tabs>
                <w:tab w:val="left" w:pos="2010"/>
              </w:tabs>
              <w:spacing w:after="60"/>
              <w:rPr>
                <w:b w:val="0"/>
              </w:rPr>
            </w:pPr>
            <w:r w:rsidRPr="0003648D">
              <w:rPr>
                <w:b w:val="0"/>
              </w:rPr>
              <w:t>A SCED interval in the 15-minute Settlement Interval.</w:t>
            </w:r>
          </w:p>
        </w:tc>
      </w:tr>
    </w:tbl>
    <w:p w14:paraId="053BCD44" w14:textId="77777777" w:rsidR="00F371D4" w:rsidRPr="0003648D" w:rsidRDefault="00F371D4" w:rsidP="00F371D4">
      <w:pPr>
        <w:pStyle w:val="BodyTextNumbered"/>
        <w:spacing w:before="240"/>
        <w:ind w:left="1440"/>
      </w:pPr>
      <w:r w:rsidRPr="0003648D">
        <w:t>(b)</w:t>
      </w:r>
      <w:r w:rsidRPr="0003648D">
        <w:tab/>
        <w:t xml:space="preserve">For </w:t>
      </w:r>
      <w:r>
        <w:t>RRS</w:t>
      </w:r>
      <w:r w:rsidRPr="0003648D">
        <w:t>, if applicable:</w:t>
      </w:r>
    </w:p>
    <w:p w14:paraId="623E565C" w14:textId="77777777" w:rsidR="00F371D4" w:rsidRPr="00817153" w:rsidRDefault="00F371D4" w:rsidP="00F371D4">
      <w:pPr>
        <w:spacing w:after="240"/>
        <w:ind w:left="2880" w:hanging="2160"/>
        <w:rPr>
          <w:b/>
          <w:i/>
          <w:vertAlign w:val="subscript"/>
        </w:rPr>
      </w:pPr>
      <w:r>
        <w:rPr>
          <w:b/>
        </w:rPr>
        <w:t>RTAURRAMT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5537E1E">
          <v:shape id="_x0000_i1319" type="#_x0000_t75" style="width:12pt;height:24pt" o:ole="">
            <v:imagedata r:id="rId386" o:title=""/>
          </v:shape>
          <o:OLEObject Type="Embed" ProgID="Equation.3" ShapeID="_x0000_i1319" DrawAspect="Content" ObjectID="_1804653802" r:id="rId396"/>
        </w:object>
      </w:r>
      <w:r>
        <w:rPr>
          <w:b/>
        </w:rPr>
        <w:t xml:space="preserve"> </w:t>
      </w:r>
      <w:r w:rsidRPr="0003648D">
        <w:rPr>
          <w:b/>
        </w:rPr>
        <w:t>RTAU</w:t>
      </w:r>
      <w:r>
        <w:rPr>
          <w:b/>
        </w:rPr>
        <w:t>R</w:t>
      </w:r>
      <w:r w:rsidRPr="0003648D">
        <w:rPr>
          <w:b/>
        </w:rPr>
        <w:t xml:space="preserve">RAMT </w:t>
      </w:r>
      <w:r w:rsidRPr="00F641A1">
        <w:rPr>
          <w:b/>
          <w:i/>
          <w:vertAlign w:val="subscript"/>
        </w:rPr>
        <w:t xml:space="preserve">q r, p, i </w:t>
      </w:r>
    </w:p>
    <w:p w14:paraId="0C83EB28" w14:textId="77777777" w:rsidR="00F371D4" w:rsidRPr="0003648D" w:rsidRDefault="00F371D4" w:rsidP="00F371D4">
      <w:pPr>
        <w:spacing w:after="240"/>
      </w:pPr>
      <w:r w:rsidRPr="0003648D">
        <w:t>Where:</w:t>
      </w:r>
    </w:p>
    <w:p w14:paraId="3BE107F1" w14:textId="77777777" w:rsidR="00F371D4" w:rsidRPr="00222BF6" w:rsidRDefault="00F371D4" w:rsidP="00F371D4">
      <w:pPr>
        <w:spacing w:after="240"/>
        <w:ind w:left="2880" w:hanging="2160"/>
      </w:pPr>
      <w:r w:rsidRPr="0062620E">
        <w:t>RTAU</w:t>
      </w:r>
      <w:r>
        <w:t>R</w:t>
      </w:r>
      <w:r w:rsidRPr="0062620E">
        <w:t xml:space="preserve">RAMT </w:t>
      </w:r>
      <w:r w:rsidRPr="0062620E">
        <w:rPr>
          <w:i/>
          <w:vertAlign w:val="subscript"/>
        </w:rPr>
        <w:t>q</w:t>
      </w:r>
      <w:r>
        <w:rPr>
          <w:i/>
          <w:vertAlign w:val="subscript"/>
        </w:rPr>
        <w:t>,</w:t>
      </w:r>
      <w:r w:rsidRPr="0062620E">
        <w:rPr>
          <w:i/>
          <w:vertAlign w:val="subscript"/>
        </w:rPr>
        <w:t xml:space="preserve"> r,</w:t>
      </w:r>
      <w:r>
        <w:rPr>
          <w:i/>
          <w:vertAlign w:val="subscript"/>
        </w:rPr>
        <w:t xml:space="preserve"> </w:t>
      </w:r>
      <w:r w:rsidRPr="0062620E">
        <w:rPr>
          <w:i/>
          <w:vertAlign w:val="subscript"/>
        </w:rPr>
        <w:t>p,</w:t>
      </w:r>
      <w:r>
        <w:rPr>
          <w:i/>
          <w:vertAlign w:val="subscript"/>
        </w:rPr>
        <w:t xml:space="preserve"> </w:t>
      </w:r>
      <w:r w:rsidRPr="0062620E">
        <w:rPr>
          <w:i/>
          <w:vertAlign w:val="subscript"/>
        </w:rPr>
        <w:t xml:space="preserve">i </w:t>
      </w:r>
      <w:r w:rsidRPr="0062620E">
        <w:rPr>
          <w:i/>
          <w:vertAlign w:val="subscript"/>
        </w:rPr>
        <w:tab/>
      </w:r>
      <w:r w:rsidRPr="0062620E">
        <w:t>=</w:t>
      </w:r>
      <w:r w:rsidRPr="0062620E">
        <w:tab/>
        <w:t>(-1) * 1/4 * RTAU</w:t>
      </w:r>
      <w:r>
        <w:t>R</w:t>
      </w:r>
      <w:r w:rsidRPr="0062620E">
        <w:t xml:space="preserve">RR </w:t>
      </w:r>
      <w:r w:rsidRPr="0062620E">
        <w:rPr>
          <w:i/>
          <w:vertAlign w:val="subscript"/>
        </w:rPr>
        <w:t>q, 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p>
    <w:p w14:paraId="42FA7B0C" w14:textId="77777777" w:rsidR="00F371D4" w:rsidRPr="00B57B59" w:rsidRDefault="00F371D4" w:rsidP="00F371D4">
      <w:pPr>
        <w:pStyle w:val="FormulaBold"/>
        <w:ind w:left="2880" w:hanging="2160"/>
        <w:rPr>
          <w:b w:val="0"/>
        </w:rPr>
      </w:pPr>
      <w:r w:rsidRPr="00B57B59">
        <w:rPr>
          <w:b w:val="0"/>
        </w:rPr>
        <w:t>RTRSVPOR</w:t>
      </w:r>
      <w:r w:rsidRPr="00B57B59">
        <w:rPr>
          <w:b w:val="0"/>
        </w:rPr>
        <w:tab/>
        <w:t>=</w:t>
      </w:r>
      <w:r w:rsidRPr="00B57B59">
        <w:rPr>
          <w:b w:val="0"/>
        </w:rPr>
        <w:tab/>
      </w:r>
      <w:r w:rsidRPr="00B57B59">
        <w:rPr>
          <w:b w:val="0"/>
          <w:position w:val="-22"/>
          <w:lang w:val="pt-BR"/>
        </w:rPr>
        <w:object w:dxaOrig="220" w:dyaOrig="460" w14:anchorId="2F1A105A">
          <v:shape id="_x0000_i1320" type="#_x0000_t75" style="width:12pt;height:18pt" o:ole="">
            <v:imagedata r:id="rId397" o:title=""/>
          </v:shape>
          <o:OLEObject Type="Embed" ProgID="Equation.3" ShapeID="_x0000_i1320" DrawAspect="Content" ObjectID="_1804653803" r:id="rId398"/>
        </w:object>
      </w:r>
      <w:r w:rsidRPr="00B57B59">
        <w:rPr>
          <w:b w:val="0"/>
        </w:rPr>
        <w:t xml:space="preserve">(RNWF </w:t>
      </w:r>
      <w:r w:rsidRPr="00B57B59">
        <w:rPr>
          <w:b w:val="0"/>
          <w:i/>
          <w:iCs/>
          <w:vertAlign w:val="subscript"/>
        </w:rPr>
        <w:t xml:space="preserve">y </w:t>
      </w:r>
      <w:r w:rsidRPr="00B57B59">
        <w:rPr>
          <w:b w:val="0"/>
        </w:rPr>
        <w:t>* RTORPA</w:t>
      </w:r>
      <w:r w:rsidRPr="00B57B59">
        <w:rPr>
          <w:b w:val="0"/>
          <w:i/>
          <w:iCs/>
          <w:vertAlign w:val="subscript"/>
        </w:rPr>
        <w:t xml:space="preserve"> y</w:t>
      </w:r>
      <w:r w:rsidRPr="00B57B59">
        <w:rPr>
          <w:b w:val="0"/>
        </w:rPr>
        <w:t xml:space="preserve">) </w:t>
      </w:r>
    </w:p>
    <w:p w14:paraId="1E4F54AD" w14:textId="77777777" w:rsidR="00F371D4" w:rsidRPr="0003648D" w:rsidRDefault="00F371D4" w:rsidP="00F371D4">
      <w:pPr>
        <w:pStyle w:val="BodyTextNumbered"/>
        <w:ind w:left="2880" w:hanging="2160"/>
      </w:pPr>
      <w:r w:rsidRPr="0003648D">
        <w:t xml:space="preserve">RNWF </w:t>
      </w:r>
      <w:r w:rsidRPr="0003648D">
        <w:rPr>
          <w:i/>
          <w:vertAlign w:val="subscript"/>
        </w:rPr>
        <w:t>y</w:t>
      </w:r>
      <w:r w:rsidRPr="0003648D">
        <w:tab/>
        <w:t>=</w:t>
      </w:r>
      <w:r w:rsidRPr="0003648D">
        <w:tab/>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Pr="0003648D">
        <w:rPr>
          <w:position w:val="-22"/>
        </w:rPr>
        <w:object w:dxaOrig="225" w:dyaOrig="465" w14:anchorId="15F2232A">
          <v:shape id="_x0000_i1321" type="#_x0000_t75" style="width:12pt;height:18pt" o:ole="">
            <v:imagedata r:id="rId22" o:title=""/>
          </v:shape>
          <o:OLEObject Type="Embed" ProgID="Equation.3" ShapeID="_x0000_i1321" DrawAspect="Content" ObjectID="_1804653804" r:id="rId399"/>
        </w:object>
      </w:r>
      <w:r w:rsidRPr="0003648D">
        <w:t xml:space="preserve">TLMP </w:t>
      </w:r>
      <w:r w:rsidRPr="0003648D">
        <w:rPr>
          <w:i/>
          <w:vertAlign w:val="subscript"/>
        </w:rPr>
        <w:t>y</w:t>
      </w:r>
    </w:p>
    <w:p w14:paraId="6470381A" w14:textId="77777777" w:rsidR="00F371D4" w:rsidRPr="0003648D" w:rsidRDefault="00F371D4" w:rsidP="00F371D4">
      <w:pPr>
        <w:pStyle w:val="BodyTextNumbered"/>
        <w:spacing w:after="0"/>
        <w:rPr>
          <w:lang w:val="es-ES"/>
        </w:rPr>
      </w:pPr>
      <w:r w:rsidRPr="0003648D">
        <w:t>The above variables are defined as follows:</w:t>
      </w:r>
      <w:r w:rsidRPr="0003648D">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03648D" w14:paraId="103D74E1"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402533AF" w14:textId="77777777" w:rsidR="00F371D4" w:rsidRPr="0003648D" w:rsidRDefault="00F371D4" w:rsidP="00B82144">
            <w:pPr>
              <w:pStyle w:val="TableHead"/>
            </w:pPr>
            <w:r w:rsidRPr="0003648D">
              <w:t>Variable</w:t>
            </w:r>
          </w:p>
        </w:tc>
        <w:tc>
          <w:tcPr>
            <w:tcW w:w="497" w:type="pct"/>
            <w:tcBorders>
              <w:top w:val="single" w:sz="4" w:space="0" w:color="auto"/>
              <w:left w:val="single" w:sz="4" w:space="0" w:color="auto"/>
              <w:bottom w:val="single" w:sz="4" w:space="0" w:color="auto"/>
              <w:right w:val="single" w:sz="4" w:space="0" w:color="auto"/>
            </w:tcBorders>
          </w:tcPr>
          <w:p w14:paraId="6E3C8C2D" w14:textId="77777777" w:rsidR="00F371D4" w:rsidRPr="0003648D" w:rsidRDefault="00F371D4" w:rsidP="00B82144">
            <w:pPr>
              <w:pStyle w:val="TableHead"/>
            </w:pPr>
            <w:r w:rsidRPr="0003648D">
              <w:t>Unit</w:t>
            </w:r>
          </w:p>
        </w:tc>
        <w:tc>
          <w:tcPr>
            <w:tcW w:w="3176" w:type="pct"/>
            <w:tcBorders>
              <w:top w:val="single" w:sz="4" w:space="0" w:color="auto"/>
              <w:left w:val="single" w:sz="4" w:space="0" w:color="auto"/>
              <w:bottom w:val="single" w:sz="4" w:space="0" w:color="auto"/>
              <w:right w:val="single" w:sz="4" w:space="0" w:color="auto"/>
            </w:tcBorders>
          </w:tcPr>
          <w:p w14:paraId="23DA7EC1" w14:textId="77777777" w:rsidR="00F371D4" w:rsidRPr="0003648D" w:rsidRDefault="00F371D4" w:rsidP="00B82144">
            <w:pPr>
              <w:pStyle w:val="TableHead"/>
            </w:pPr>
            <w:r w:rsidRPr="0003648D">
              <w:t>Description</w:t>
            </w:r>
          </w:p>
        </w:tc>
      </w:tr>
      <w:tr w:rsidR="00F371D4" w:rsidRPr="0003648D" w14:paraId="04DF9F4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0B98926" w14:textId="77777777" w:rsidR="00F371D4" w:rsidRPr="0003648D" w:rsidRDefault="00F371D4" w:rsidP="00B82144">
            <w:pPr>
              <w:pStyle w:val="TableHead"/>
              <w:rPr>
                <w:b w:val="0"/>
              </w:rPr>
            </w:pPr>
            <w:r w:rsidRPr="0003648D">
              <w:rPr>
                <w:b w:val="0"/>
              </w:rPr>
              <w:t>RTAU</w:t>
            </w:r>
            <w:r>
              <w:rPr>
                <w:b w:val="0"/>
              </w:rPr>
              <w:t>R</w:t>
            </w:r>
            <w:r w:rsidRPr="0003648D">
              <w:rPr>
                <w:b w:val="0"/>
              </w:rPr>
              <w:t>R</w:t>
            </w:r>
            <w:r>
              <w:rPr>
                <w:b w:val="0"/>
              </w:rPr>
              <w:t>AMTQSETO</w:t>
            </w:r>
            <w:r w:rsidRPr="0003648D">
              <w:rPr>
                <w:b w:val="0"/>
              </w:rPr>
              <w:t xml:space="preserve">T </w:t>
            </w:r>
            <w:r>
              <w:rPr>
                <w:b w:val="0"/>
                <w:i/>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08CF2D22"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0F0318EB" w14:textId="516E4E65" w:rsidR="00F371D4" w:rsidRPr="0003648D" w:rsidRDefault="00F371D4" w:rsidP="00B82144">
            <w:pPr>
              <w:pStyle w:val="TableHead"/>
              <w:rPr>
                <w:b w:val="0"/>
                <w:i/>
              </w:rPr>
            </w:pPr>
            <w:r w:rsidRPr="0003648D">
              <w:rPr>
                <w:b w:val="0"/>
                <w:i/>
              </w:rPr>
              <w:t>Real-Time</w:t>
            </w:r>
            <w:r>
              <w:rPr>
                <w:b w:val="0"/>
                <w:i/>
              </w:rPr>
              <w:t xml:space="preserve"> Assigned Un-Deployed Responsive Reserve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 xml:space="preserve">RRS Ancillary Service Assignment. </w:t>
            </w:r>
          </w:p>
        </w:tc>
      </w:tr>
      <w:tr w:rsidR="00F371D4" w:rsidRPr="0003648D" w14:paraId="76E52F2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1ED36B7" w14:textId="77777777" w:rsidR="00F371D4" w:rsidRPr="0003648D" w:rsidRDefault="00F371D4" w:rsidP="00B82144">
            <w:pPr>
              <w:pStyle w:val="TableHead"/>
              <w:rPr>
                <w:b w:val="0"/>
              </w:rPr>
            </w:pPr>
            <w:r w:rsidRPr="0003648D">
              <w:rPr>
                <w:b w:val="0"/>
              </w:rPr>
              <w:t>RTAU</w:t>
            </w:r>
            <w:r>
              <w:rPr>
                <w:b w:val="0"/>
              </w:rPr>
              <w:t>R</w:t>
            </w:r>
            <w:r w:rsidRPr="0003648D">
              <w:rPr>
                <w:b w:val="0"/>
              </w:rPr>
              <w:t xml:space="preserve">RAMT </w:t>
            </w:r>
            <w:r w:rsidRPr="0003648D">
              <w:rPr>
                <w:b w:val="0"/>
                <w:i/>
                <w:vertAlign w:val="subscript"/>
              </w:rPr>
              <w:t>q, r,</w:t>
            </w:r>
            <w:r>
              <w:rPr>
                <w:b w:val="0"/>
                <w:i/>
                <w:vertAlign w:val="subscript"/>
              </w:rPr>
              <w:t xml:space="preserve"> </w:t>
            </w:r>
            <w:r w:rsidRPr="0003648D">
              <w:rPr>
                <w:b w:val="0"/>
                <w:i/>
                <w:vertAlign w:val="subscript"/>
              </w:rPr>
              <w:t>p</w:t>
            </w:r>
            <w:r>
              <w:rPr>
                <w:b w:val="0"/>
                <w:i/>
                <w:vertAlign w:val="subscript"/>
              </w:rPr>
              <w:t>,</w:t>
            </w:r>
            <w:r w:rsidRPr="0003648D">
              <w:rPr>
                <w:i/>
                <w:vertAlign w:val="subscript"/>
              </w:rPr>
              <w:t xml:space="preserve"> </w:t>
            </w:r>
            <w:r w:rsidRPr="0003648D">
              <w:rPr>
                <w:b w:val="0"/>
                <w:i/>
                <w:vertAlign w:val="subscript"/>
              </w:rPr>
              <w:t>i</w:t>
            </w:r>
            <w:r w:rsidRPr="0003648D">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5458C380"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6C50E81A" w14:textId="1D88BF8E"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Payment Amount per Resource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R</w:t>
            </w:r>
            <w:r w:rsidRPr="0003648D">
              <w:rPr>
                <w:b w:val="0"/>
              </w:rPr>
              <w:t xml:space="preserve">RS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BCB8163"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514E8877" w14:textId="77777777" w:rsidR="00F371D4" w:rsidRPr="0003648D" w:rsidRDefault="00F371D4" w:rsidP="00B82144">
            <w:pPr>
              <w:spacing w:after="240"/>
            </w:pPr>
            <w:r w:rsidRPr="0003648D">
              <w:rPr>
                <w:sz w:val="20"/>
              </w:rPr>
              <w:lastRenderedPageBreak/>
              <w:t>RTAU</w:t>
            </w:r>
            <w:r>
              <w:rPr>
                <w:sz w:val="20"/>
              </w:rPr>
              <w:t>R</w:t>
            </w:r>
            <w:r w:rsidRPr="0003648D">
              <w:rPr>
                <w:sz w:val="20"/>
              </w:rPr>
              <w:t>RR</w:t>
            </w:r>
            <w:r w:rsidRPr="00C768E1">
              <w:rPr>
                <w:i/>
                <w:sz w:val="20"/>
                <w:vertAlign w:val="subscript"/>
              </w:rPr>
              <w:t xml:space="preserve"> q, r, p</w:t>
            </w:r>
          </w:p>
          <w:p w14:paraId="4CD617F8" w14:textId="77777777" w:rsidR="00F371D4" w:rsidRPr="0003648D" w:rsidRDefault="00F371D4" w:rsidP="00B82144">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4C625DA9" w14:textId="77777777" w:rsidR="00F371D4" w:rsidRPr="0003648D" w:rsidRDefault="00F371D4" w:rsidP="00B82144">
            <w:pPr>
              <w:pStyle w:val="TableHead"/>
              <w:rPr>
                <w:b w:val="0"/>
              </w:rPr>
            </w:pPr>
            <w:r w:rsidRPr="0003648D">
              <w:rPr>
                <w:b w:val="0"/>
              </w:rPr>
              <w:t>MW</w:t>
            </w:r>
          </w:p>
        </w:tc>
        <w:tc>
          <w:tcPr>
            <w:tcW w:w="3176" w:type="pct"/>
            <w:tcBorders>
              <w:top w:val="single" w:sz="4" w:space="0" w:color="auto"/>
              <w:left w:val="single" w:sz="4" w:space="0" w:color="auto"/>
              <w:bottom w:val="single" w:sz="4" w:space="0" w:color="auto"/>
              <w:right w:val="single" w:sz="4" w:space="0" w:color="auto"/>
            </w:tcBorders>
          </w:tcPr>
          <w:p w14:paraId="74AFEAB1" w14:textId="6FA96458"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Quantity per Resource per QSE</w:t>
            </w:r>
            <w:r w:rsidR="00FC35DE" w:rsidRPr="0003648D">
              <w:sym w:font="Symbol" w:char="F0BE"/>
            </w:r>
            <w:r w:rsidR="00FC35DE" w:rsidRPr="0003648D">
              <w:rPr>
                <w:b w:val="0"/>
                <w:i/>
              </w:rPr>
              <w:t xml:space="preserve"> </w:t>
            </w:r>
            <w:r w:rsidRPr="0003648D">
              <w:rPr>
                <w:b w:val="0"/>
              </w:rPr>
              <w:t xml:space="preserve">The quantity of un-deployed </w:t>
            </w:r>
            <w:r>
              <w:rPr>
                <w:b w:val="0"/>
              </w:rPr>
              <w:t>RRS</w:t>
            </w:r>
            <w:r w:rsidRPr="0003648D">
              <w:rPr>
                <w:b w:val="0"/>
              </w:rPr>
              <w:t xml:space="preserve">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the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285ABAF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92F7AD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5D87AB8B" w14:textId="77777777" w:rsidR="00F371D4" w:rsidRPr="0003648D" w:rsidRDefault="00F371D4" w:rsidP="00B82144">
            <w:pPr>
              <w:pStyle w:val="TableHead"/>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38CCEADC" w14:textId="301DF046" w:rsidR="00F371D4" w:rsidRPr="0003648D" w:rsidRDefault="00F371D4" w:rsidP="00B82144">
            <w:pPr>
              <w:pStyle w:val="TableHead"/>
              <w:rPr>
                <w:b w:val="0"/>
                <w:i/>
              </w:rPr>
            </w:pPr>
            <w:r w:rsidRPr="0003648D">
              <w:rPr>
                <w:b w:val="0"/>
                <w:i/>
              </w:rPr>
              <w:t>Real-Time Settlement Point Price per Settlement Point</w:t>
            </w:r>
            <w:r w:rsidRPr="0003648D">
              <w:rPr>
                <w:b w:val="0"/>
              </w:rPr>
              <w:sym w:font="Symbol" w:char="F0BE"/>
            </w:r>
            <w:r w:rsidRPr="0003648D">
              <w:rPr>
                <w:b w:val="0"/>
                <w:i/>
              </w:rPr>
              <w:t xml:space="preserve"> </w:t>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2D982EC3" w14:textId="77777777" w:rsidTr="00B82144">
        <w:trPr>
          <w:cantSplit/>
        </w:trPr>
        <w:tc>
          <w:tcPr>
            <w:tcW w:w="1327" w:type="pct"/>
          </w:tcPr>
          <w:p w14:paraId="3BC33C52" w14:textId="77777777" w:rsidR="00F371D4" w:rsidRPr="0003648D" w:rsidRDefault="00F371D4" w:rsidP="00B82144">
            <w:pPr>
              <w:pStyle w:val="tablebody0"/>
              <w:rPr>
                <w:i/>
              </w:rPr>
            </w:pPr>
            <w:r w:rsidRPr="0003648D">
              <w:t>RTRSVPOR</w:t>
            </w:r>
          </w:p>
        </w:tc>
        <w:tc>
          <w:tcPr>
            <w:tcW w:w="497" w:type="pct"/>
          </w:tcPr>
          <w:p w14:paraId="4BEDDE2B" w14:textId="77777777" w:rsidR="00F371D4" w:rsidRPr="0003648D" w:rsidRDefault="00F371D4" w:rsidP="00B82144">
            <w:pPr>
              <w:pStyle w:val="tablebody0"/>
            </w:pPr>
            <w:r w:rsidRPr="0003648D">
              <w:t>$/MWh</w:t>
            </w:r>
          </w:p>
        </w:tc>
        <w:tc>
          <w:tcPr>
            <w:tcW w:w="3176" w:type="pct"/>
          </w:tcPr>
          <w:p w14:paraId="7F71034A"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2D845AFB" w14:textId="77777777" w:rsidTr="00B82144">
        <w:trPr>
          <w:cantSplit/>
        </w:trPr>
        <w:tc>
          <w:tcPr>
            <w:tcW w:w="1327" w:type="pct"/>
          </w:tcPr>
          <w:p w14:paraId="4246B280" w14:textId="77777777" w:rsidR="00F371D4" w:rsidRPr="0003648D" w:rsidRDefault="00F371D4" w:rsidP="00B82144">
            <w:pPr>
              <w:pStyle w:val="tablebody0"/>
            </w:pPr>
            <w:r w:rsidRPr="0003648D">
              <w:t xml:space="preserve">TLMP </w:t>
            </w:r>
            <w:r w:rsidRPr="0003648D">
              <w:rPr>
                <w:i/>
                <w:vertAlign w:val="subscript"/>
              </w:rPr>
              <w:t>y</w:t>
            </w:r>
          </w:p>
        </w:tc>
        <w:tc>
          <w:tcPr>
            <w:tcW w:w="497" w:type="pct"/>
          </w:tcPr>
          <w:p w14:paraId="2D3AB32A" w14:textId="77777777" w:rsidR="00F371D4" w:rsidRPr="0003648D" w:rsidRDefault="00F371D4" w:rsidP="00B82144">
            <w:pPr>
              <w:pStyle w:val="tablebody0"/>
              <w:rPr>
                <w:iCs/>
              </w:rPr>
            </w:pPr>
            <w:r w:rsidRPr="0003648D">
              <w:t>second</w:t>
            </w:r>
          </w:p>
        </w:tc>
        <w:tc>
          <w:tcPr>
            <w:tcW w:w="3176" w:type="pct"/>
          </w:tcPr>
          <w:p w14:paraId="3FF823DB"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0C8C6472" w14:textId="77777777" w:rsidTr="00B82144">
        <w:trPr>
          <w:cantSplit/>
        </w:trPr>
        <w:tc>
          <w:tcPr>
            <w:tcW w:w="1327" w:type="pct"/>
          </w:tcPr>
          <w:p w14:paraId="49A32188" w14:textId="77777777" w:rsidR="00F371D4" w:rsidRPr="0003648D" w:rsidRDefault="00F371D4" w:rsidP="00B82144">
            <w:pPr>
              <w:pStyle w:val="tablebody0"/>
              <w:rPr>
                <w:i/>
              </w:rPr>
            </w:pPr>
            <w:r w:rsidRPr="0003648D">
              <w:t xml:space="preserve">RNWF </w:t>
            </w:r>
            <w:r w:rsidRPr="0003648D">
              <w:rPr>
                <w:i/>
                <w:vertAlign w:val="subscript"/>
              </w:rPr>
              <w:t>y</w:t>
            </w:r>
          </w:p>
        </w:tc>
        <w:tc>
          <w:tcPr>
            <w:tcW w:w="497" w:type="pct"/>
          </w:tcPr>
          <w:p w14:paraId="124A29CA" w14:textId="77777777" w:rsidR="00F371D4" w:rsidRPr="0003648D" w:rsidRDefault="00F371D4" w:rsidP="00B82144">
            <w:pPr>
              <w:pStyle w:val="tablebody0"/>
            </w:pPr>
            <w:r w:rsidRPr="0003648D">
              <w:t>none</w:t>
            </w:r>
          </w:p>
        </w:tc>
        <w:tc>
          <w:tcPr>
            <w:tcW w:w="3176" w:type="pct"/>
          </w:tcPr>
          <w:p w14:paraId="4231D385"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64DBE433"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F615B3"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BAB34E9" w14:textId="77777777" w:rsidR="00F371D4" w:rsidRPr="0003648D" w:rsidRDefault="00F371D4" w:rsidP="00B82144">
            <w:pPr>
              <w:pStyle w:val="TableHead"/>
              <w:spacing w:after="60"/>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7219DA62"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7D8C5E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2CE6971" w14:textId="77777777" w:rsidR="00F371D4" w:rsidRPr="00A02D58" w:rsidRDefault="00F371D4" w:rsidP="00B82144">
            <w:pPr>
              <w:spacing w:after="60"/>
              <w:rPr>
                <w:sz w:val="20"/>
              </w:rPr>
            </w:pPr>
            <w:r w:rsidRPr="00214781">
              <w:rPr>
                <w:sz w:val="20"/>
              </w:rPr>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23B009FD" w14:textId="77777777" w:rsidR="00F371D4" w:rsidRPr="00A02D58" w:rsidRDefault="00F371D4" w:rsidP="00B82144">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337C0501" w14:textId="77777777" w:rsidR="00F371D4" w:rsidRPr="00A02D58" w:rsidRDefault="00F371D4" w:rsidP="00B82144">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F371D4" w:rsidRPr="0003648D" w14:paraId="2C23FD6F"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22C7D18" w14:textId="77777777" w:rsidR="00F371D4" w:rsidRPr="0003648D" w:rsidRDefault="00F371D4" w:rsidP="00B82144">
            <w:pPr>
              <w:pStyle w:val="TableHead"/>
              <w:spacing w:after="60"/>
              <w:rPr>
                <w:b w:val="0"/>
                <w:i/>
              </w:rPr>
            </w:pPr>
            <w:r w:rsidRPr="0003648D">
              <w:rPr>
                <w:b w:val="0"/>
                <w:i/>
              </w:rPr>
              <w:t>q</w:t>
            </w:r>
          </w:p>
        </w:tc>
        <w:tc>
          <w:tcPr>
            <w:tcW w:w="497" w:type="pct"/>
            <w:tcBorders>
              <w:top w:val="single" w:sz="4" w:space="0" w:color="auto"/>
              <w:left w:val="single" w:sz="4" w:space="0" w:color="auto"/>
              <w:bottom w:val="single" w:sz="4" w:space="0" w:color="auto"/>
              <w:right w:val="single" w:sz="4" w:space="0" w:color="auto"/>
            </w:tcBorders>
          </w:tcPr>
          <w:p w14:paraId="4FC7BD36"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3CB2A300" w14:textId="77777777" w:rsidR="00F371D4" w:rsidRPr="0003648D" w:rsidRDefault="00F371D4" w:rsidP="00B82144">
            <w:pPr>
              <w:pStyle w:val="TableHead"/>
              <w:spacing w:after="60"/>
              <w:rPr>
                <w:b w:val="0"/>
              </w:rPr>
            </w:pPr>
            <w:r w:rsidRPr="0003648D">
              <w:rPr>
                <w:b w:val="0"/>
              </w:rPr>
              <w:t>A QSE.</w:t>
            </w:r>
          </w:p>
        </w:tc>
      </w:tr>
      <w:tr w:rsidR="00F371D4" w:rsidRPr="0003648D" w14:paraId="26386A6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BBE5B45" w14:textId="77777777" w:rsidR="00F371D4" w:rsidRPr="0003648D" w:rsidRDefault="00F371D4" w:rsidP="00B82144">
            <w:pPr>
              <w:pStyle w:val="TableHead"/>
              <w:spacing w:after="60"/>
              <w:rPr>
                <w:b w:val="0"/>
                <w:i/>
              </w:rPr>
            </w:pPr>
            <w:r w:rsidRPr="0003648D">
              <w:rPr>
                <w:b w:val="0"/>
                <w:i/>
              </w:rPr>
              <w:t>r</w:t>
            </w:r>
          </w:p>
        </w:tc>
        <w:tc>
          <w:tcPr>
            <w:tcW w:w="497" w:type="pct"/>
            <w:tcBorders>
              <w:top w:val="single" w:sz="4" w:space="0" w:color="auto"/>
              <w:left w:val="single" w:sz="4" w:space="0" w:color="auto"/>
              <w:bottom w:val="single" w:sz="4" w:space="0" w:color="auto"/>
              <w:right w:val="single" w:sz="4" w:space="0" w:color="auto"/>
            </w:tcBorders>
          </w:tcPr>
          <w:p w14:paraId="50C05F00"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7F09636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 xml:space="preserve">that was allocated </w:t>
            </w:r>
            <w:r>
              <w:rPr>
                <w:b w:val="0"/>
              </w:rPr>
              <w:t>RRS</w:t>
            </w:r>
            <w:r w:rsidRPr="0003648D">
              <w:rPr>
                <w:b w:val="0"/>
              </w:rPr>
              <w:t xml:space="preserve"> Ancillary Service Assignment by the QSE.</w:t>
            </w:r>
          </w:p>
        </w:tc>
      </w:tr>
      <w:tr w:rsidR="00F371D4" w:rsidRPr="0003648D" w14:paraId="74166C38"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D569336" w14:textId="77777777" w:rsidR="00F371D4" w:rsidRPr="0003648D" w:rsidRDefault="00F371D4" w:rsidP="00B82144">
            <w:pPr>
              <w:pStyle w:val="TableHead"/>
              <w:spacing w:after="60"/>
              <w:rPr>
                <w:b w:val="0"/>
                <w:i/>
              </w:rPr>
            </w:pPr>
            <w:r w:rsidRPr="0003648D">
              <w:rPr>
                <w:b w:val="0"/>
                <w:i/>
              </w:rPr>
              <w:t>p</w:t>
            </w:r>
          </w:p>
        </w:tc>
        <w:tc>
          <w:tcPr>
            <w:tcW w:w="497" w:type="pct"/>
            <w:tcBorders>
              <w:top w:val="single" w:sz="4" w:space="0" w:color="auto"/>
              <w:left w:val="single" w:sz="4" w:space="0" w:color="auto"/>
              <w:bottom w:val="single" w:sz="4" w:space="0" w:color="auto"/>
              <w:right w:val="single" w:sz="4" w:space="0" w:color="auto"/>
            </w:tcBorders>
          </w:tcPr>
          <w:p w14:paraId="5D5A5562"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6D8A777A" w14:textId="77777777" w:rsidR="00F371D4" w:rsidRPr="0003648D" w:rsidRDefault="00F371D4" w:rsidP="00B82144">
            <w:pPr>
              <w:pStyle w:val="TableHead"/>
              <w:spacing w:after="60"/>
              <w:rPr>
                <w:b w:val="0"/>
                <w:i/>
              </w:rPr>
            </w:pPr>
            <w:r w:rsidRPr="0003648D">
              <w:rPr>
                <w:b w:val="0"/>
              </w:rPr>
              <w:t xml:space="preserve">A Settlement Point for the Resource Node that was allocated </w:t>
            </w:r>
            <w:r>
              <w:rPr>
                <w:b w:val="0"/>
              </w:rPr>
              <w:t>RRS</w:t>
            </w:r>
            <w:r w:rsidRPr="0003648D">
              <w:rPr>
                <w:b w:val="0"/>
              </w:rPr>
              <w:t xml:space="preserve"> Ancillary Service Assignment by the QSE.</w:t>
            </w:r>
          </w:p>
        </w:tc>
      </w:tr>
      <w:tr w:rsidR="00F371D4" w:rsidRPr="0003648D" w14:paraId="1A415F3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B428593" w14:textId="77777777" w:rsidR="00F371D4" w:rsidRPr="0003648D" w:rsidRDefault="00F371D4" w:rsidP="00B82144">
            <w:pPr>
              <w:pStyle w:val="TableHead"/>
              <w:spacing w:after="60"/>
              <w:rPr>
                <w:b w:val="0"/>
                <w:i/>
              </w:rPr>
            </w:pPr>
            <w:r w:rsidRPr="0003648D">
              <w:rPr>
                <w:b w:val="0"/>
                <w:i/>
              </w:rPr>
              <w:t>i</w:t>
            </w:r>
          </w:p>
        </w:tc>
        <w:tc>
          <w:tcPr>
            <w:tcW w:w="497" w:type="pct"/>
            <w:tcBorders>
              <w:top w:val="single" w:sz="4" w:space="0" w:color="auto"/>
              <w:left w:val="single" w:sz="4" w:space="0" w:color="auto"/>
              <w:bottom w:val="single" w:sz="4" w:space="0" w:color="auto"/>
              <w:right w:val="single" w:sz="4" w:space="0" w:color="auto"/>
            </w:tcBorders>
          </w:tcPr>
          <w:p w14:paraId="620B1B2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5F1DEE07" w14:textId="77777777" w:rsidR="00F371D4" w:rsidRPr="0003648D" w:rsidRDefault="00F371D4" w:rsidP="00B82144">
            <w:pPr>
              <w:pStyle w:val="TableHead"/>
              <w:spacing w:after="60"/>
              <w:rPr>
                <w:b w:val="0"/>
              </w:rPr>
            </w:pPr>
            <w:r w:rsidRPr="0003648D">
              <w:rPr>
                <w:b w:val="0"/>
              </w:rPr>
              <w:t>A 15-minute Settlement Interval in the Operating Hour.</w:t>
            </w:r>
          </w:p>
        </w:tc>
      </w:tr>
      <w:tr w:rsidR="00F371D4" w:rsidRPr="0003648D" w14:paraId="44FC20BA"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EF285C" w14:textId="77777777" w:rsidR="00F371D4" w:rsidRPr="0003648D" w:rsidRDefault="00F371D4" w:rsidP="00B82144">
            <w:pPr>
              <w:pStyle w:val="TableHead"/>
              <w:spacing w:after="60"/>
              <w:rPr>
                <w:b w:val="0"/>
                <w:i/>
              </w:rPr>
            </w:pPr>
            <w:r w:rsidRPr="0003648D">
              <w:rPr>
                <w:b w:val="0"/>
                <w:i/>
              </w:rPr>
              <w:t>y</w:t>
            </w:r>
          </w:p>
        </w:tc>
        <w:tc>
          <w:tcPr>
            <w:tcW w:w="497" w:type="pct"/>
            <w:tcBorders>
              <w:top w:val="single" w:sz="4" w:space="0" w:color="auto"/>
              <w:left w:val="single" w:sz="4" w:space="0" w:color="auto"/>
              <w:bottom w:val="single" w:sz="4" w:space="0" w:color="auto"/>
              <w:right w:val="single" w:sz="4" w:space="0" w:color="auto"/>
            </w:tcBorders>
          </w:tcPr>
          <w:p w14:paraId="69EC27A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23BA8139" w14:textId="77777777" w:rsidR="00F371D4" w:rsidRPr="0003648D" w:rsidRDefault="00F371D4" w:rsidP="00B82144">
            <w:pPr>
              <w:pStyle w:val="TableHead"/>
              <w:spacing w:after="60"/>
              <w:rPr>
                <w:b w:val="0"/>
              </w:rPr>
            </w:pPr>
            <w:r w:rsidRPr="0003648D">
              <w:rPr>
                <w:b w:val="0"/>
              </w:rPr>
              <w:t>A SCED interval in the 15-minute Settlement Interval.</w:t>
            </w:r>
          </w:p>
        </w:tc>
      </w:tr>
    </w:tbl>
    <w:p w14:paraId="682C3DE1" w14:textId="77777777" w:rsidR="00F371D4" w:rsidRPr="00C94AB6" w:rsidRDefault="00F371D4" w:rsidP="00F371D4">
      <w:pPr>
        <w:spacing w:before="240" w:after="240"/>
        <w:ind w:left="1440" w:hanging="720"/>
        <w:rPr>
          <w:iCs/>
        </w:rPr>
      </w:pPr>
      <w:bookmarkStart w:id="2697" w:name="_Toc496080099"/>
      <w:bookmarkStart w:id="2698" w:name="_Toc397505047"/>
      <w:bookmarkStart w:id="2699" w:name="_Toc402357179"/>
      <w:bookmarkStart w:id="2700" w:name="_Toc422486559"/>
      <w:bookmarkStart w:id="2701" w:name="_Toc433093413"/>
      <w:bookmarkStart w:id="2702" w:name="_Toc433093571"/>
      <w:bookmarkStart w:id="2703" w:name="_Toc440874801"/>
      <w:bookmarkStart w:id="2704" w:name="_Toc448142358"/>
      <w:bookmarkStart w:id="2705" w:name="_Toc448142515"/>
      <w:bookmarkStart w:id="2706" w:name="_Toc458770356"/>
      <w:bookmarkStart w:id="2707" w:name="_Toc459294324"/>
      <w:bookmarkStart w:id="2708" w:name="_Toc463262818"/>
      <w:bookmarkStart w:id="2709" w:name="_Toc103141430"/>
      <w:bookmarkStart w:id="2710" w:name="_Toc109009424"/>
      <w:r w:rsidRPr="0003648D">
        <w:t>(c)</w:t>
      </w:r>
      <w:r w:rsidRPr="0003648D">
        <w:tab/>
      </w:r>
      <w:r w:rsidRPr="00C94AB6">
        <w:rPr>
          <w:iCs/>
        </w:rPr>
        <w:t>For ECRS, if applicable:</w:t>
      </w:r>
    </w:p>
    <w:p w14:paraId="044EDAF3" w14:textId="77777777" w:rsidR="00F371D4" w:rsidRPr="00C94AB6" w:rsidRDefault="00F371D4" w:rsidP="00F371D4">
      <w:pPr>
        <w:spacing w:after="240"/>
        <w:ind w:left="2880" w:hanging="2160"/>
        <w:rPr>
          <w:b/>
          <w:i/>
          <w:vertAlign w:val="subscript"/>
        </w:rPr>
      </w:pPr>
      <w:r w:rsidRPr="00C94AB6">
        <w:rPr>
          <w:b/>
        </w:rPr>
        <w:t>RTAUECRAMTQSETOT</w:t>
      </w:r>
      <w:r w:rsidRPr="00C94AB6">
        <w:rPr>
          <w:b/>
          <w:i/>
          <w:vertAlign w:val="subscript"/>
        </w:rPr>
        <w:t xml:space="preserve"> q = </w:t>
      </w:r>
      <w:r w:rsidRPr="00C94AB6">
        <w:rPr>
          <w:b/>
        </w:rPr>
        <w:t xml:space="preserve"> </w:t>
      </w:r>
      <w:r w:rsidRPr="00C94AB6">
        <w:rPr>
          <w:b/>
          <w:position w:val="-18"/>
        </w:rPr>
        <w:object w:dxaOrig="225" w:dyaOrig="420" w14:anchorId="1044D526">
          <v:shape id="_x0000_i1322" type="#_x0000_t75" style="width:12pt;height:24pt" o:ole="">
            <v:imagedata r:id="rId386" o:title=""/>
          </v:shape>
          <o:OLEObject Type="Embed" ProgID="Equation.3" ShapeID="_x0000_i1322" DrawAspect="Content" ObjectID="_1804653805" r:id="rId400"/>
        </w:object>
      </w:r>
      <w:r w:rsidRPr="00C94AB6">
        <w:rPr>
          <w:b/>
        </w:rPr>
        <w:t xml:space="preserve"> RTAUECRAMT </w:t>
      </w:r>
      <w:r w:rsidRPr="00C94AB6">
        <w:rPr>
          <w:b/>
          <w:i/>
          <w:vertAlign w:val="subscript"/>
        </w:rPr>
        <w:t xml:space="preserve">q r, p, i </w:t>
      </w:r>
    </w:p>
    <w:p w14:paraId="60325991" w14:textId="77777777" w:rsidR="00F371D4" w:rsidRPr="00C94AB6" w:rsidRDefault="00F371D4" w:rsidP="00F371D4">
      <w:pPr>
        <w:spacing w:after="240"/>
      </w:pPr>
      <w:r w:rsidRPr="00C94AB6">
        <w:t>Where:</w:t>
      </w:r>
    </w:p>
    <w:p w14:paraId="06A2FFD9" w14:textId="77777777" w:rsidR="00F371D4" w:rsidRPr="00C94AB6" w:rsidRDefault="00F371D4" w:rsidP="00F371D4">
      <w:pPr>
        <w:tabs>
          <w:tab w:val="left" w:pos="2880"/>
        </w:tabs>
        <w:spacing w:after="240"/>
        <w:ind w:left="3600" w:hanging="2880"/>
      </w:pPr>
      <w:r w:rsidRPr="00C94AB6">
        <w:t xml:space="preserve">RTAUECRAMT </w:t>
      </w:r>
      <w:r w:rsidRPr="00C94AB6">
        <w:rPr>
          <w:i/>
          <w:vertAlign w:val="subscript"/>
        </w:rPr>
        <w:t>q r,</w:t>
      </w:r>
      <w:r>
        <w:rPr>
          <w:i/>
          <w:vertAlign w:val="subscript"/>
        </w:rPr>
        <w:t xml:space="preserve"> </w:t>
      </w:r>
      <w:r w:rsidRPr="00C94AB6">
        <w:rPr>
          <w:i/>
          <w:vertAlign w:val="subscript"/>
        </w:rPr>
        <w:t>p,</w:t>
      </w:r>
      <w:r>
        <w:rPr>
          <w:i/>
          <w:vertAlign w:val="subscript"/>
        </w:rPr>
        <w:t xml:space="preserve"> </w:t>
      </w:r>
      <w:r w:rsidRPr="00C94AB6">
        <w:rPr>
          <w:i/>
          <w:vertAlign w:val="subscript"/>
        </w:rPr>
        <w:t>i</w:t>
      </w:r>
      <w:r>
        <w:rPr>
          <w:i/>
          <w:vertAlign w:val="subscript"/>
        </w:rPr>
        <w:t xml:space="preserve"> </w:t>
      </w:r>
      <w:r w:rsidRPr="00C94AB6">
        <w:t>=</w:t>
      </w:r>
      <w:r w:rsidRPr="00C94AB6">
        <w:tab/>
        <w:t xml:space="preserve">(-1) * 1/4 * RTAUECRR </w:t>
      </w:r>
      <w:r w:rsidRPr="00C94AB6">
        <w:rPr>
          <w:i/>
          <w:vertAlign w:val="subscript"/>
        </w:rPr>
        <w:t>q, r,</w:t>
      </w:r>
      <w:r>
        <w:rPr>
          <w:i/>
          <w:vertAlign w:val="subscript"/>
        </w:rPr>
        <w:t xml:space="preserve"> </w:t>
      </w:r>
      <w:r w:rsidRPr="00C94AB6">
        <w:rPr>
          <w:i/>
          <w:vertAlign w:val="subscript"/>
        </w:rPr>
        <w:t xml:space="preserve">p </w:t>
      </w:r>
      <w:r w:rsidRPr="00C94AB6">
        <w:t>* (RTSPP</w:t>
      </w:r>
      <w:r>
        <w:t xml:space="preserve"> </w:t>
      </w:r>
      <w:r w:rsidRPr="00C94AB6">
        <w:rPr>
          <w:i/>
          <w:vertAlign w:val="subscript"/>
        </w:rPr>
        <w:t>p,</w:t>
      </w:r>
      <w:r>
        <w:rPr>
          <w:i/>
          <w:vertAlign w:val="subscript"/>
        </w:rPr>
        <w:t xml:space="preserve"> </w:t>
      </w:r>
      <w:r w:rsidRPr="00C94AB6">
        <w:rPr>
          <w:i/>
          <w:vertAlign w:val="subscript"/>
        </w:rPr>
        <w:t xml:space="preserve">i </w:t>
      </w:r>
      <w:r w:rsidRPr="00C94AB6">
        <w:t xml:space="preserve">– RTRSVPOR </w:t>
      </w:r>
      <w:r w:rsidRPr="00C94AB6">
        <w:rPr>
          <w:b/>
        </w:rPr>
        <w:t xml:space="preserve">- </w:t>
      </w:r>
      <w:r w:rsidRPr="00C94AB6">
        <w:t>RTRDP)</w:t>
      </w:r>
    </w:p>
    <w:p w14:paraId="363DD816" w14:textId="77777777" w:rsidR="00F371D4" w:rsidRPr="00C94AB6" w:rsidRDefault="00F371D4" w:rsidP="00F371D4">
      <w:pPr>
        <w:spacing w:after="240"/>
        <w:ind w:left="2880" w:hanging="2160"/>
        <w:rPr>
          <w:bCs/>
        </w:rPr>
      </w:pPr>
      <w:r w:rsidRPr="00C94AB6">
        <w:rPr>
          <w:bCs/>
        </w:rPr>
        <w:t>RTRSVPOR</w:t>
      </w:r>
      <w:r w:rsidRPr="00C94AB6">
        <w:rPr>
          <w:bCs/>
        </w:rPr>
        <w:tab/>
        <w:t>=</w:t>
      </w:r>
      <w:r w:rsidRPr="00C94AB6">
        <w:rPr>
          <w:bCs/>
        </w:rPr>
        <w:tab/>
      </w:r>
      <w:r w:rsidRPr="00C94AB6">
        <w:rPr>
          <w:bCs/>
          <w:position w:val="-22"/>
          <w:lang w:val="pt-BR"/>
        </w:rPr>
        <w:object w:dxaOrig="220" w:dyaOrig="460" w14:anchorId="3BB1D32B">
          <v:shape id="_x0000_i1323" type="#_x0000_t75" style="width:12pt;height:18pt" o:ole="">
            <v:imagedata r:id="rId397" o:title=""/>
          </v:shape>
          <o:OLEObject Type="Embed" ProgID="Equation.3" ShapeID="_x0000_i1323" DrawAspect="Content" ObjectID="_1804653806" r:id="rId401"/>
        </w:object>
      </w:r>
      <w:r w:rsidRPr="00C94AB6">
        <w:rPr>
          <w:bCs/>
        </w:rPr>
        <w:t xml:space="preserve">(RNWF </w:t>
      </w:r>
      <w:r w:rsidRPr="00C94AB6">
        <w:rPr>
          <w:bCs/>
          <w:i/>
          <w:iCs/>
          <w:vertAlign w:val="subscript"/>
        </w:rPr>
        <w:t xml:space="preserve">y </w:t>
      </w:r>
      <w:r w:rsidRPr="00C94AB6">
        <w:rPr>
          <w:bCs/>
        </w:rPr>
        <w:t>* RTORPA</w:t>
      </w:r>
      <w:r w:rsidRPr="00C94AB6">
        <w:rPr>
          <w:bCs/>
          <w:i/>
          <w:iCs/>
          <w:vertAlign w:val="subscript"/>
        </w:rPr>
        <w:t xml:space="preserve"> y</w:t>
      </w:r>
      <w:r w:rsidRPr="00C94AB6">
        <w:rPr>
          <w:bCs/>
        </w:rPr>
        <w:t xml:space="preserve">) </w:t>
      </w:r>
    </w:p>
    <w:p w14:paraId="7D979CEE" w14:textId="77777777" w:rsidR="00F371D4" w:rsidRPr="00C94AB6" w:rsidRDefault="00F371D4" w:rsidP="00F371D4">
      <w:pPr>
        <w:spacing w:after="240"/>
        <w:ind w:left="2880" w:hanging="2160"/>
        <w:rPr>
          <w:bCs/>
        </w:rPr>
      </w:pPr>
      <w:r w:rsidRPr="00C94AB6">
        <w:rPr>
          <w:bCs/>
        </w:rPr>
        <w:t xml:space="preserve">RTRDP </w:t>
      </w:r>
      <w:r w:rsidRPr="00C94AB6">
        <w:rPr>
          <w:bCs/>
        </w:rPr>
        <w:tab/>
        <w:t>=</w:t>
      </w:r>
      <w:r w:rsidRPr="00C94AB6">
        <w:rPr>
          <w:bCs/>
        </w:rPr>
        <w:tab/>
      </w:r>
      <w:r w:rsidRPr="00C94AB6">
        <w:rPr>
          <w:bCs/>
          <w:position w:val="-22"/>
        </w:rPr>
        <w:object w:dxaOrig="225" w:dyaOrig="465" w14:anchorId="2FFEF396">
          <v:shape id="_x0000_i1324" type="#_x0000_t75" style="width:12pt;height:18pt" o:ole="">
            <v:imagedata r:id="rId22" o:title=""/>
          </v:shape>
          <o:OLEObject Type="Embed" ProgID="Equation.3" ShapeID="_x0000_i1324" DrawAspect="Content" ObjectID="_1804653807" r:id="rId402"/>
        </w:object>
      </w:r>
      <w:r w:rsidRPr="00C94AB6">
        <w:rPr>
          <w:bCs/>
        </w:rPr>
        <w:t xml:space="preserve">(RNWF </w:t>
      </w:r>
      <w:r w:rsidRPr="00C94AB6">
        <w:rPr>
          <w:bCs/>
          <w:i/>
          <w:iCs/>
          <w:vertAlign w:val="subscript"/>
        </w:rPr>
        <w:t xml:space="preserve">y </w:t>
      </w:r>
      <w:r w:rsidRPr="00C94AB6">
        <w:rPr>
          <w:bCs/>
        </w:rPr>
        <w:t>* RTORDPA</w:t>
      </w:r>
      <w:r w:rsidRPr="00C94AB6">
        <w:rPr>
          <w:bCs/>
          <w:i/>
          <w:iCs/>
          <w:vertAlign w:val="subscript"/>
        </w:rPr>
        <w:t xml:space="preserve"> y</w:t>
      </w:r>
      <w:r w:rsidRPr="00C94AB6">
        <w:rPr>
          <w:bCs/>
        </w:rPr>
        <w:t>)</w:t>
      </w:r>
    </w:p>
    <w:p w14:paraId="3C6C479A" w14:textId="77777777" w:rsidR="00F371D4" w:rsidRPr="00C94AB6" w:rsidRDefault="00F371D4" w:rsidP="00F371D4">
      <w:pPr>
        <w:spacing w:after="240"/>
        <w:ind w:left="2880" w:hanging="2160"/>
        <w:rPr>
          <w:iCs/>
        </w:rPr>
      </w:pPr>
      <w:r w:rsidRPr="00C94AB6">
        <w:rPr>
          <w:iCs/>
        </w:rPr>
        <w:t xml:space="preserve">RNWF </w:t>
      </w:r>
      <w:r w:rsidRPr="00C94AB6">
        <w:rPr>
          <w:i/>
          <w:iCs/>
          <w:vertAlign w:val="subscript"/>
        </w:rPr>
        <w:t>y</w:t>
      </w:r>
      <w:r w:rsidRPr="00C94AB6">
        <w:rPr>
          <w:iCs/>
        </w:rPr>
        <w:tab/>
        <w:t>=</w:t>
      </w:r>
      <w:r w:rsidRPr="00C94AB6">
        <w:rPr>
          <w:iCs/>
        </w:rPr>
        <w:tab/>
        <w:t xml:space="preserve">TLMP </w:t>
      </w:r>
      <w:r w:rsidRPr="00C94AB6">
        <w:rPr>
          <w:i/>
          <w:iCs/>
          <w:vertAlign w:val="subscript"/>
        </w:rPr>
        <w:t>y</w:t>
      </w:r>
      <w:r w:rsidRPr="00C94AB6">
        <w:rPr>
          <w:iCs/>
        </w:rPr>
        <w:t xml:space="preserve"> </w:t>
      </w:r>
      <w:r w:rsidRPr="00C94AB6">
        <w:rPr>
          <w:iCs/>
          <w:color w:val="000000"/>
          <w:sz w:val="32"/>
          <w:szCs w:val="32"/>
        </w:rPr>
        <w:t>/</w:t>
      </w:r>
      <w:r w:rsidRPr="00C94AB6">
        <w:rPr>
          <w:iCs/>
          <w:color w:val="000000"/>
        </w:rPr>
        <w:t xml:space="preserve"> </w:t>
      </w:r>
      <w:r w:rsidRPr="00C94AB6">
        <w:rPr>
          <w:iCs/>
          <w:position w:val="-22"/>
        </w:rPr>
        <w:object w:dxaOrig="225" w:dyaOrig="465" w14:anchorId="62D38899">
          <v:shape id="_x0000_i1325" type="#_x0000_t75" style="width:12pt;height:18pt" o:ole="">
            <v:imagedata r:id="rId22" o:title=""/>
          </v:shape>
          <o:OLEObject Type="Embed" ProgID="Equation.3" ShapeID="_x0000_i1325" DrawAspect="Content" ObjectID="_1804653808" r:id="rId403"/>
        </w:object>
      </w:r>
      <w:r w:rsidRPr="00C94AB6">
        <w:rPr>
          <w:iCs/>
        </w:rPr>
        <w:t xml:space="preserve">TLMP </w:t>
      </w:r>
      <w:r w:rsidRPr="00C94AB6">
        <w:rPr>
          <w:i/>
          <w:iCs/>
          <w:vertAlign w:val="subscript"/>
        </w:rPr>
        <w:t>y</w:t>
      </w:r>
    </w:p>
    <w:p w14:paraId="2103C394" w14:textId="77777777" w:rsidR="00F371D4" w:rsidRPr="00C94AB6" w:rsidRDefault="00F371D4" w:rsidP="00F371D4">
      <w:pPr>
        <w:ind w:left="720" w:hanging="720"/>
        <w:rPr>
          <w:iCs/>
          <w:lang w:val="es-ES"/>
        </w:rPr>
      </w:pPr>
      <w:r w:rsidRPr="00C94AB6">
        <w:rPr>
          <w:iCs/>
        </w:rPr>
        <w:lastRenderedPageBreak/>
        <w:t>The above variables are defined as follows:</w:t>
      </w:r>
      <w:r w:rsidRPr="00C94AB6">
        <w:rPr>
          <w:iCs/>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C94AB6" w14:paraId="23D02EEF"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2872B612" w14:textId="77777777" w:rsidR="00F371D4" w:rsidRPr="00C94AB6" w:rsidRDefault="00F371D4" w:rsidP="00B82144">
            <w:pPr>
              <w:spacing w:after="240"/>
              <w:rPr>
                <w:b/>
                <w:iCs/>
                <w:sz w:val="20"/>
              </w:rPr>
            </w:pPr>
            <w:r w:rsidRPr="00C94AB6">
              <w:rPr>
                <w:b/>
                <w:iCs/>
                <w:sz w:val="20"/>
              </w:rPr>
              <w:t>Variable</w:t>
            </w:r>
          </w:p>
        </w:tc>
        <w:tc>
          <w:tcPr>
            <w:tcW w:w="497" w:type="pct"/>
            <w:tcBorders>
              <w:top w:val="single" w:sz="4" w:space="0" w:color="auto"/>
              <w:left w:val="single" w:sz="4" w:space="0" w:color="auto"/>
              <w:bottom w:val="single" w:sz="4" w:space="0" w:color="auto"/>
              <w:right w:val="single" w:sz="4" w:space="0" w:color="auto"/>
            </w:tcBorders>
          </w:tcPr>
          <w:p w14:paraId="53BF97F2" w14:textId="77777777" w:rsidR="00F371D4" w:rsidRPr="00C94AB6" w:rsidRDefault="00F371D4" w:rsidP="00B82144">
            <w:pPr>
              <w:spacing w:after="240"/>
              <w:rPr>
                <w:b/>
                <w:iCs/>
                <w:sz w:val="20"/>
              </w:rPr>
            </w:pPr>
            <w:r w:rsidRPr="00C94AB6">
              <w:rPr>
                <w:b/>
                <w:iCs/>
                <w:sz w:val="20"/>
              </w:rPr>
              <w:t>Unit</w:t>
            </w:r>
          </w:p>
        </w:tc>
        <w:tc>
          <w:tcPr>
            <w:tcW w:w="3176" w:type="pct"/>
            <w:tcBorders>
              <w:top w:val="single" w:sz="4" w:space="0" w:color="auto"/>
              <w:left w:val="single" w:sz="4" w:space="0" w:color="auto"/>
              <w:bottom w:val="single" w:sz="4" w:space="0" w:color="auto"/>
              <w:right w:val="single" w:sz="4" w:space="0" w:color="auto"/>
            </w:tcBorders>
          </w:tcPr>
          <w:p w14:paraId="7834FCB9" w14:textId="77777777" w:rsidR="00F371D4" w:rsidRPr="00C94AB6" w:rsidRDefault="00F371D4" w:rsidP="00B82144">
            <w:pPr>
              <w:spacing w:after="240"/>
              <w:rPr>
                <w:b/>
                <w:iCs/>
                <w:sz w:val="20"/>
              </w:rPr>
            </w:pPr>
            <w:r w:rsidRPr="00C94AB6">
              <w:rPr>
                <w:b/>
                <w:iCs/>
                <w:sz w:val="20"/>
              </w:rPr>
              <w:t>Description</w:t>
            </w:r>
          </w:p>
        </w:tc>
      </w:tr>
      <w:tr w:rsidR="00F371D4" w:rsidRPr="00C94AB6" w14:paraId="21BA25ED"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A545B1" w14:textId="77777777" w:rsidR="00F371D4" w:rsidRPr="00C94AB6" w:rsidRDefault="00F371D4" w:rsidP="00B82144">
            <w:pPr>
              <w:spacing w:after="240"/>
              <w:rPr>
                <w:iCs/>
                <w:sz w:val="20"/>
              </w:rPr>
            </w:pPr>
            <w:r w:rsidRPr="00C94AB6">
              <w:rPr>
                <w:iCs/>
                <w:sz w:val="20"/>
              </w:rPr>
              <w:t xml:space="preserve">RTAUECRAMTQSETOT </w:t>
            </w:r>
            <w:r w:rsidRPr="00C94AB6">
              <w:rPr>
                <w:i/>
                <w:iCs/>
                <w:sz w:val="20"/>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536F59FC"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71DC0BB5" w14:textId="1265C1C8" w:rsidR="00F371D4" w:rsidRPr="00C94AB6" w:rsidRDefault="00F371D4" w:rsidP="00B82144">
            <w:pPr>
              <w:spacing w:after="240"/>
              <w:rPr>
                <w:i/>
                <w:iCs/>
                <w:sz w:val="20"/>
              </w:rPr>
            </w:pPr>
            <w:r w:rsidRPr="00C94AB6">
              <w:rPr>
                <w:i/>
                <w:iCs/>
                <w:sz w:val="20"/>
              </w:rPr>
              <w:t>Real-Time Assigned Un-Deployed ERCOT Contingency Reserve Service Payment Amount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w:t>
            </w:r>
          </w:p>
        </w:tc>
      </w:tr>
      <w:tr w:rsidR="00F371D4" w:rsidRPr="00C94AB6" w14:paraId="455024C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D4DC2A5" w14:textId="77777777" w:rsidR="00F371D4" w:rsidRPr="00C94AB6" w:rsidRDefault="00F371D4" w:rsidP="00B82144">
            <w:pPr>
              <w:spacing w:after="240"/>
              <w:rPr>
                <w:iCs/>
                <w:sz w:val="20"/>
              </w:rPr>
            </w:pPr>
            <w:r w:rsidRPr="00C94AB6">
              <w:rPr>
                <w:iCs/>
                <w:sz w:val="20"/>
              </w:rPr>
              <w:t xml:space="preserve">RTAUECRAMT </w:t>
            </w:r>
            <w:r w:rsidRPr="00C94AB6">
              <w:rPr>
                <w:i/>
                <w:iCs/>
                <w:sz w:val="20"/>
                <w:vertAlign w:val="subscript"/>
              </w:rPr>
              <w:t>q, r, p,</w:t>
            </w:r>
            <w:r w:rsidRPr="00C94AB6">
              <w:rPr>
                <w:b/>
                <w:i/>
                <w:iCs/>
                <w:sz w:val="20"/>
                <w:vertAlign w:val="subscript"/>
              </w:rPr>
              <w:t xml:space="preserve"> </w:t>
            </w:r>
            <w:r w:rsidRPr="00C94AB6">
              <w:rPr>
                <w:i/>
                <w:iCs/>
                <w:sz w:val="20"/>
                <w:vertAlign w:val="subscript"/>
              </w:rPr>
              <w:t>i</w:t>
            </w:r>
            <w:r w:rsidRPr="00C94AB6">
              <w:rPr>
                <w:iCs/>
                <w:sz w:val="20"/>
              </w:rPr>
              <w:t xml:space="preserve"> </w:t>
            </w:r>
          </w:p>
        </w:tc>
        <w:tc>
          <w:tcPr>
            <w:tcW w:w="497" w:type="pct"/>
            <w:tcBorders>
              <w:top w:val="single" w:sz="4" w:space="0" w:color="auto"/>
              <w:left w:val="single" w:sz="4" w:space="0" w:color="auto"/>
              <w:bottom w:val="single" w:sz="4" w:space="0" w:color="auto"/>
              <w:right w:val="single" w:sz="4" w:space="0" w:color="auto"/>
            </w:tcBorders>
          </w:tcPr>
          <w:p w14:paraId="2B313412"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19A76165" w14:textId="2E3ABF1E" w:rsidR="00F371D4" w:rsidRPr="00C94AB6" w:rsidRDefault="00F371D4" w:rsidP="00B82144">
            <w:pPr>
              <w:spacing w:after="240"/>
              <w:rPr>
                <w:i/>
                <w:iCs/>
                <w:sz w:val="20"/>
              </w:rPr>
            </w:pPr>
            <w:r w:rsidRPr="00C94AB6">
              <w:rPr>
                <w:i/>
                <w:iCs/>
                <w:sz w:val="20"/>
              </w:rPr>
              <w:t>Real-Time Assigned Un-Deployed ERCOT Contingency Reserve Service Payment Amount per Resource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to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3EAAB2D4"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2E9FABE7" w14:textId="77777777" w:rsidR="00F371D4" w:rsidRPr="00C94AB6" w:rsidRDefault="00F371D4" w:rsidP="00B82144">
            <w:pPr>
              <w:spacing w:after="240"/>
            </w:pPr>
            <w:r w:rsidRPr="00C94AB6">
              <w:rPr>
                <w:sz w:val="20"/>
              </w:rPr>
              <w:t>RTAUECRR</w:t>
            </w:r>
            <w:r w:rsidRPr="00C94AB6">
              <w:rPr>
                <w:i/>
                <w:sz w:val="20"/>
                <w:vertAlign w:val="subscript"/>
              </w:rPr>
              <w:t xml:space="preserve"> q, r, p</w:t>
            </w:r>
          </w:p>
          <w:p w14:paraId="3E928CF1" w14:textId="77777777" w:rsidR="00F371D4" w:rsidRPr="00C94AB6" w:rsidRDefault="00F371D4" w:rsidP="00B82144">
            <w:pPr>
              <w:spacing w:after="240"/>
              <w:rPr>
                <w:iCs/>
                <w:sz w:val="20"/>
              </w:rPr>
            </w:pPr>
          </w:p>
        </w:tc>
        <w:tc>
          <w:tcPr>
            <w:tcW w:w="497" w:type="pct"/>
            <w:tcBorders>
              <w:top w:val="single" w:sz="4" w:space="0" w:color="auto"/>
              <w:left w:val="single" w:sz="4" w:space="0" w:color="auto"/>
              <w:bottom w:val="single" w:sz="4" w:space="0" w:color="auto"/>
              <w:right w:val="single" w:sz="4" w:space="0" w:color="auto"/>
            </w:tcBorders>
          </w:tcPr>
          <w:p w14:paraId="1735D318" w14:textId="77777777" w:rsidR="00F371D4" w:rsidRPr="00C94AB6" w:rsidRDefault="00F371D4" w:rsidP="00B82144">
            <w:pPr>
              <w:spacing w:after="240"/>
              <w:rPr>
                <w:iCs/>
                <w:sz w:val="20"/>
              </w:rPr>
            </w:pPr>
            <w:r w:rsidRPr="00C94AB6">
              <w:rPr>
                <w:iCs/>
                <w:sz w:val="20"/>
              </w:rPr>
              <w:t>MW</w:t>
            </w:r>
          </w:p>
        </w:tc>
        <w:tc>
          <w:tcPr>
            <w:tcW w:w="3176" w:type="pct"/>
            <w:tcBorders>
              <w:top w:val="single" w:sz="4" w:space="0" w:color="auto"/>
              <w:left w:val="single" w:sz="4" w:space="0" w:color="auto"/>
              <w:bottom w:val="single" w:sz="4" w:space="0" w:color="auto"/>
              <w:right w:val="single" w:sz="4" w:space="0" w:color="auto"/>
            </w:tcBorders>
          </w:tcPr>
          <w:p w14:paraId="06EFF585" w14:textId="3A2C304E" w:rsidR="00F371D4" w:rsidRPr="00C94AB6" w:rsidRDefault="00F371D4" w:rsidP="00B82144">
            <w:pPr>
              <w:spacing w:after="240"/>
              <w:rPr>
                <w:i/>
                <w:iCs/>
                <w:sz w:val="20"/>
              </w:rPr>
            </w:pPr>
            <w:r w:rsidRPr="00C94AB6">
              <w:rPr>
                <w:i/>
                <w:iCs/>
                <w:sz w:val="20"/>
              </w:rPr>
              <w:t>Real-Time Assigned Un-Deployed ERCOT Contingency Reserve Service Quantity per Resource per QSE</w:t>
            </w:r>
            <w:r w:rsidR="00FC35DE" w:rsidRPr="0003648D">
              <w:sym w:font="Symbol" w:char="F0BE"/>
            </w:r>
            <w:r w:rsidR="00FC35DE" w:rsidRPr="0003648D">
              <w:rPr>
                <w:i/>
              </w:rPr>
              <w:t xml:space="preserve"> </w:t>
            </w:r>
            <w:r w:rsidRPr="00C94AB6">
              <w:rPr>
                <w:iCs/>
                <w:sz w:val="20"/>
              </w:rPr>
              <w:t xml:space="preserve">The quantity of un-deployed ECRS assigned under a Watch to a QSE </w:t>
            </w:r>
            <w:r w:rsidRPr="00C94AB6">
              <w:rPr>
                <w:i/>
                <w:iCs/>
                <w:sz w:val="20"/>
              </w:rPr>
              <w:t>q</w:t>
            </w:r>
            <w:r w:rsidRPr="00C94AB6">
              <w:rPr>
                <w:iCs/>
                <w:sz w:val="20"/>
              </w:rPr>
              <w:t xml:space="preserve"> for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hour.  Where for a Combined Cycle Train, the Resource </w:t>
            </w:r>
            <w:r w:rsidRPr="00C94AB6">
              <w:rPr>
                <w:i/>
                <w:iCs/>
                <w:sz w:val="20"/>
              </w:rPr>
              <w:t xml:space="preserve">r </w:t>
            </w:r>
            <w:r w:rsidRPr="00C94AB6">
              <w:rPr>
                <w:iCs/>
                <w:sz w:val="20"/>
              </w:rPr>
              <w:t>is a Combined Cycle Generation Resource within the Combined Cycle Train.</w:t>
            </w:r>
          </w:p>
        </w:tc>
      </w:tr>
      <w:tr w:rsidR="00F371D4" w:rsidRPr="00C94AB6" w14:paraId="4276EC6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359B3BBE" w14:textId="77777777" w:rsidR="00F371D4" w:rsidRPr="00C94AB6" w:rsidRDefault="00F371D4" w:rsidP="00B82144">
            <w:pPr>
              <w:spacing w:after="240"/>
              <w:rPr>
                <w:iCs/>
                <w:sz w:val="20"/>
                <w:vertAlign w:val="subscript"/>
              </w:rPr>
            </w:pPr>
            <w:r w:rsidRPr="00C94AB6">
              <w:rPr>
                <w:iCs/>
                <w:sz w:val="20"/>
              </w:rPr>
              <w:t xml:space="preserve">RTSPP </w:t>
            </w:r>
            <w:r w:rsidRPr="00C94AB6">
              <w:rPr>
                <w:i/>
                <w:iCs/>
                <w:sz w:val="20"/>
                <w:vertAlign w:val="subscript"/>
              </w:rPr>
              <w:t>p, i</w:t>
            </w:r>
          </w:p>
        </w:tc>
        <w:tc>
          <w:tcPr>
            <w:tcW w:w="497" w:type="pct"/>
            <w:tcBorders>
              <w:top w:val="single" w:sz="4" w:space="0" w:color="auto"/>
              <w:left w:val="single" w:sz="4" w:space="0" w:color="auto"/>
              <w:bottom w:val="single" w:sz="4" w:space="0" w:color="auto"/>
              <w:right w:val="single" w:sz="4" w:space="0" w:color="auto"/>
            </w:tcBorders>
          </w:tcPr>
          <w:p w14:paraId="1F4FC1DD" w14:textId="77777777" w:rsidR="00F371D4" w:rsidRPr="00C94AB6" w:rsidRDefault="00F371D4" w:rsidP="00B82144">
            <w:pPr>
              <w:spacing w:after="24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51CD0CF5" w14:textId="6CE3609F" w:rsidR="00F371D4" w:rsidRPr="00C94AB6" w:rsidRDefault="00F371D4" w:rsidP="00B82144">
            <w:pPr>
              <w:spacing w:after="240"/>
              <w:rPr>
                <w:i/>
                <w:iCs/>
                <w:sz w:val="20"/>
              </w:rPr>
            </w:pPr>
            <w:r w:rsidRPr="00C94AB6">
              <w:rPr>
                <w:i/>
                <w:iCs/>
                <w:sz w:val="20"/>
              </w:rPr>
              <w:t>Real-Time Settlement Point Price per Settlement Point</w:t>
            </w:r>
            <w:r w:rsidRPr="00C94AB6">
              <w:rPr>
                <w:iCs/>
                <w:sz w:val="20"/>
              </w:rPr>
              <w:sym w:font="Symbol" w:char="F0BE"/>
            </w:r>
            <w:r w:rsidRPr="00C94AB6">
              <w:rPr>
                <w:i/>
                <w:iCs/>
                <w:sz w:val="20"/>
              </w:rPr>
              <w:t xml:space="preserve"> </w:t>
            </w:r>
            <w:r w:rsidRPr="00C94AB6">
              <w:rPr>
                <w:iCs/>
                <w:sz w:val="20"/>
              </w:rPr>
              <w:t xml:space="preserve">The Real-Time Settlement Point Price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5BF186D4" w14:textId="77777777" w:rsidTr="00B82144">
        <w:trPr>
          <w:cantSplit/>
        </w:trPr>
        <w:tc>
          <w:tcPr>
            <w:tcW w:w="1327" w:type="pct"/>
          </w:tcPr>
          <w:p w14:paraId="6757ACEA" w14:textId="77777777" w:rsidR="00F371D4" w:rsidRPr="00C94AB6" w:rsidRDefault="00F371D4" w:rsidP="00B82144">
            <w:pPr>
              <w:spacing w:after="60"/>
              <w:rPr>
                <w:i/>
                <w:sz w:val="20"/>
              </w:rPr>
            </w:pPr>
            <w:r w:rsidRPr="00C94AB6">
              <w:rPr>
                <w:sz w:val="20"/>
              </w:rPr>
              <w:t>RTRSVPOR</w:t>
            </w:r>
          </w:p>
        </w:tc>
        <w:tc>
          <w:tcPr>
            <w:tcW w:w="497" w:type="pct"/>
          </w:tcPr>
          <w:p w14:paraId="29917F20" w14:textId="77777777" w:rsidR="00F371D4" w:rsidRPr="00C94AB6" w:rsidRDefault="00F371D4" w:rsidP="00B82144">
            <w:pPr>
              <w:spacing w:after="60"/>
              <w:rPr>
                <w:sz w:val="20"/>
              </w:rPr>
            </w:pPr>
            <w:r w:rsidRPr="00C94AB6">
              <w:rPr>
                <w:sz w:val="20"/>
              </w:rPr>
              <w:t>$/MWh</w:t>
            </w:r>
          </w:p>
        </w:tc>
        <w:tc>
          <w:tcPr>
            <w:tcW w:w="3176" w:type="pct"/>
          </w:tcPr>
          <w:p w14:paraId="4DC6BA9A" w14:textId="77777777" w:rsidR="00F371D4" w:rsidRPr="00C94AB6" w:rsidRDefault="00F371D4" w:rsidP="00B82144">
            <w:pPr>
              <w:spacing w:after="60"/>
              <w:rPr>
                <w:sz w:val="20"/>
              </w:rPr>
            </w:pPr>
            <w:r w:rsidRPr="00C94AB6">
              <w:rPr>
                <w:i/>
                <w:sz w:val="20"/>
              </w:rPr>
              <w:t>Real-Time Reserve Price for On-Line Reserves</w:t>
            </w:r>
            <w:r w:rsidRPr="00C94AB6">
              <w:rPr>
                <w:sz w:val="20"/>
              </w:rPr>
              <w:sym w:font="Symbol" w:char="F0BE"/>
            </w:r>
            <w:r w:rsidRPr="00C94AB6">
              <w:rPr>
                <w:sz w:val="20"/>
              </w:rPr>
              <w:t>The Real-Time Reserve Price for On-Line Reserves for the 15-minute Settlement Interval.</w:t>
            </w:r>
          </w:p>
        </w:tc>
      </w:tr>
      <w:tr w:rsidR="00F371D4" w:rsidRPr="00C94AB6" w14:paraId="7F96957A" w14:textId="77777777" w:rsidTr="00B82144">
        <w:trPr>
          <w:cantSplit/>
        </w:trPr>
        <w:tc>
          <w:tcPr>
            <w:tcW w:w="1327" w:type="pct"/>
          </w:tcPr>
          <w:p w14:paraId="5BCE4789" w14:textId="77777777" w:rsidR="00F371D4" w:rsidRPr="00C94AB6" w:rsidRDefault="00F371D4" w:rsidP="00B82144">
            <w:pPr>
              <w:spacing w:after="60"/>
              <w:rPr>
                <w:sz w:val="20"/>
              </w:rPr>
            </w:pPr>
            <w:r w:rsidRPr="00C94AB6">
              <w:rPr>
                <w:sz w:val="20"/>
              </w:rPr>
              <w:t>RTRDP</w:t>
            </w:r>
          </w:p>
        </w:tc>
        <w:tc>
          <w:tcPr>
            <w:tcW w:w="497" w:type="pct"/>
          </w:tcPr>
          <w:p w14:paraId="139B286A" w14:textId="77777777" w:rsidR="00F371D4" w:rsidRPr="00C94AB6" w:rsidRDefault="00F371D4" w:rsidP="00B82144">
            <w:pPr>
              <w:spacing w:after="60"/>
              <w:rPr>
                <w:sz w:val="20"/>
              </w:rPr>
            </w:pPr>
            <w:r w:rsidRPr="00C94AB6">
              <w:rPr>
                <w:sz w:val="20"/>
              </w:rPr>
              <w:t>$/MWh</w:t>
            </w:r>
          </w:p>
        </w:tc>
        <w:tc>
          <w:tcPr>
            <w:tcW w:w="3176" w:type="pct"/>
          </w:tcPr>
          <w:p w14:paraId="426A3596" w14:textId="77777777" w:rsidR="00F371D4" w:rsidRPr="00C94AB6" w:rsidRDefault="00F371D4" w:rsidP="00B82144">
            <w:pPr>
              <w:spacing w:after="60"/>
              <w:rPr>
                <w:i/>
                <w:sz w:val="20"/>
              </w:rPr>
            </w:pPr>
            <w:r w:rsidRPr="00C94AB6">
              <w:rPr>
                <w:i/>
                <w:sz w:val="20"/>
              </w:rPr>
              <w:t>Real-Time On-Line Reliability Deployment Price</w:t>
            </w:r>
            <w:r w:rsidRPr="00C94AB6">
              <w:rPr>
                <w:sz w:val="20"/>
              </w:rPr>
              <w:sym w:font="Symbol" w:char="F0BE"/>
            </w:r>
            <w:r w:rsidRPr="00C94AB6">
              <w:rPr>
                <w:sz w:val="20"/>
              </w:rPr>
              <w:t xml:space="preserve">The Real-Time price for the 15-minute Settlement Interval, reflecting the impact of reliability deployments on energy prices that is calculated </w:t>
            </w:r>
            <w:r w:rsidRPr="00C94AB6">
              <w:rPr>
                <w:bCs/>
                <w:sz w:val="20"/>
              </w:rPr>
              <w:t>from the Real-Time On-Line Reliability Deployment Price Adder</w:t>
            </w:r>
            <w:r w:rsidRPr="00C94AB6">
              <w:rPr>
                <w:sz w:val="20"/>
              </w:rPr>
              <w:t>.</w:t>
            </w:r>
          </w:p>
        </w:tc>
      </w:tr>
      <w:tr w:rsidR="00F371D4" w:rsidRPr="00C94AB6" w14:paraId="3ABB1AD5" w14:textId="77777777" w:rsidTr="00B82144">
        <w:trPr>
          <w:cantSplit/>
        </w:trPr>
        <w:tc>
          <w:tcPr>
            <w:tcW w:w="1327" w:type="pct"/>
          </w:tcPr>
          <w:p w14:paraId="4EF16F4B" w14:textId="77777777" w:rsidR="00F371D4" w:rsidRPr="00C94AB6" w:rsidRDefault="00F371D4" w:rsidP="00B82144">
            <w:pPr>
              <w:spacing w:after="60"/>
              <w:rPr>
                <w:sz w:val="20"/>
              </w:rPr>
            </w:pPr>
            <w:r w:rsidRPr="00C94AB6">
              <w:rPr>
                <w:sz w:val="20"/>
              </w:rPr>
              <w:t xml:space="preserve">TLMP </w:t>
            </w:r>
            <w:r w:rsidRPr="00C94AB6">
              <w:rPr>
                <w:i/>
                <w:sz w:val="20"/>
                <w:vertAlign w:val="subscript"/>
              </w:rPr>
              <w:t>y</w:t>
            </w:r>
          </w:p>
        </w:tc>
        <w:tc>
          <w:tcPr>
            <w:tcW w:w="497" w:type="pct"/>
          </w:tcPr>
          <w:p w14:paraId="1F476165" w14:textId="77777777" w:rsidR="00F371D4" w:rsidRPr="00C94AB6" w:rsidRDefault="00F371D4" w:rsidP="00B82144">
            <w:pPr>
              <w:spacing w:after="60"/>
              <w:rPr>
                <w:iCs/>
                <w:sz w:val="20"/>
              </w:rPr>
            </w:pPr>
            <w:r w:rsidRPr="00C94AB6">
              <w:rPr>
                <w:sz w:val="20"/>
              </w:rPr>
              <w:t>second</w:t>
            </w:r>
          </w:p>
        </w:tc>
        <w:tc>
          <w:tcPr>
            <w:tcW w:w="3176" w:type="pct"/>
          </w:tcPr>
          <w:p w14:paraId="10702EAB" w14:textId="77777777" w:rsidR="00F371D4" w:rsidRPr="00C94AB6" w:rsidRDefault="00F371D4" w:rsidP="00B82144">
            <w:pPr>
              <w:spacing w:after="60"/>
              <w:rPr>
                <w:sz w:val="20"/>
              </w:rPr>
            </w:pPr>
            <w:r w:rsidRPr="00C94AB6">
              <w:rPr>
                <w:i/>
                <w:iCs/>
                <w:sz w:val="20"/>
              </w:rPr>
              <w:t xml:space="preserve">Duration of </w:t>
            </w:r>
            <w:r w:rsidRPr="00C94AB6">
              <w:rPr>
                <w:i/>
                <w:sz w:val="20"/>
              </w:rPr>
              <w:t>SCED</w:t>
            </w:r>
            <w:r w:rsidRPr="00C94AB6">
              <w:rPr>
                <w:i/>
                <w:iCs/>
                <w:sz w:val="20"/>
              </w:rPr>
              <w:t xml:space="preserve"> interval per interval</w:t>
            </w:r>
            <w:r w:rsidRPr="00C94AB6">
              <w:rPr>
                <w:sz w:val="20"/>
              </w:rPr>
              <w:sym w:font="Symbol" w:char="F0BE"/>
            </w:r>
            <w:r w:rsidRPr="00C94AB6">
              <w:rPr>
                <w:sz w:val="20"/>
              </w:rPr>
              <w:t xml:space="preserve">The duration of the SCED interval </w:t>
            </w:r>
            <w:r w:rsidRPr="00C94AB6">
              <w:rPr>
                <w:i/>
                <w:iCs/>
                <w:sz w:val="20"/>
              </w:rPr>
              <w:t>y</w:t>
            </w:r>
            <w:r w:rsidRPr="00C94AB6">
              <w:rPr>
                <w:sz w:val="20"/>
              </w:rPr>
              <w:t>.</w:t>
            </w:r>
          </w:p>
        </w:tc>
      </w:tr>
      <w:tr w:rsidR="00F371D4" w:rsidRPr="00C94AB6" w14:paraId="2005327B" w14:textId="77777777" w:rsidTr="00B82144">
        <w:trPr>
          <w:cantSplit/>
        </w:trPr>
        <w:tc>
          <w:tcPr>
            <w:tcW w:w="1327" w:type="pct"/>
          </w:tcPr>
          <w:p w14:paraId="37012683" w14:textId="77777777" w:rsidR="00F371D4" w:rsidRPr="00C94AB6" w:rsidRDefault="00F371D4" w:rsidP="00B82144">
            <w:pPr>
              <w:spacing w:after="60"/>
              <w:rPr>
                <w:i/>
                <w:sz w:val="20"/>
              </w:rPr>
            </w:pPr>
            <w:r w:rsidRPr="00C94AB6">
              <w:rPr>
                <w:sz w:val="20"/>
              </w:rPr>
              <w:t xml:space="preserve">RNWF </w:t>
            </w:r>
            <w:r w:rsidRPr="00C94AB6">
              <w:rPr>
                <w:i/>
                <w:sz w:val="20"/>
                <w:vertAlign w:val="subscript"/>
              </w:rPr>
              <w:t>y</w:t>
            </w:r>
          </w:p>
        </w:tc>
        <w:tc>
          <w:tcPr>
            <w:tcW w:w="497" w:type="pct"/>
          </w:tcPr>
          <w:p w14:paraId="422F2DDB" w14:textId="77777777" w:rsidR="00F371D4" w:rsidRPr="00C94AB6" w:rsidRDefault="00F371D4" w:rsidP="00B82144">
            <w:pPr>
              <w:spacing w:after="60"/>
              <w:rPr>
                <w:sz w:val="20"/>
              </w:rPr>
            </w:pPr>
            <w:r w:rsidRPr="00C94AB6">
              <w:rPr>
                <w:sz w:val="20"/>
              </w:rPr>
              <w:t>none</w:t>
            </w:r>
          </w:p>
        </w:tc>
        <w:tc>
          <w:tcPr>
            <w:tcW w:w="3176" w:type="pct"/>
          </w:tcPr>
          <w:p w14:paraId="26FF023A" w14:textId="77777777" w:rsidR="00F371D4" w:rsidRPr="00C94AB6" w:rsidRDefault="00F371D4" w:rsidP="00B82144">
            <w:pPr>
              <w:spacing w:after="60"/>
              <w:rPr>
                <w:sz w:val="20"/>
              </w:rPr>
            </w:pPr>
            <w:r w:rsidRPr="00C94AB6">
              <w:rPr>
                <w:i/>
                <w:sz w:val="20"/>
              </w:rPr>
              <w:t>Resource Node Weighting Factor per interval</w:t>
            </w:r>
            <w:r w:rsidRPr="00C94AB6">
              <w:rPr>
                <w:sz w:val="20"/>
              </w:rPr>
              <w:sym w:font="Symbol" w:char="F0BE"/>
            </w:r>
            <w:r w:rsidRPr="00C94AB6">
              <w:rPr>
                <w:sz w:val="20"/>
              </w:rPr>
              <w:t xml:space="preserve">The weight used in the Resource Node Settlement Point Price calculation for the portion of the SCED interval </w:t>
            </w:r>
            <w:r w:rsidRPr="00C94AB6">
              <w:rPr>
                <w:i/>
                <w:sz w:val="20"/>
              </w:rPr>
              <w:t>y</w:t>
            </w:r>
            <w:r w:rsidRPr="00C94AB6">
              <w:rPr>
                <w:sz w:val="20"/>
              </w:rPr>
              <w:t xml:space="preserve"> within the 15-minute Settlement Interval.</w:t>
            </w:r>
          </w:p>
        </w:tc>
      </w:tr>
      <w:tr w:rsidR="00F371D4" w:rsidRPr="00C94AB6" w14:paraId="6E6C722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26E5022" w14:textId="77777777" w:rsidR="00F371D4" w:rsidRPr="00C94AB6" w:rsidRDefault="00F371D4" w:rsidP="00B82144">
            <w:pPr>
              <w:spacing w:after="60"/>
              <w:rPr>
                <w:sz w:val="20"/>
              </w:rPr>
            </w:pPr>
            <w:r w:rsidRPr="00C94AB6">
              <w:rPr>
                <w:sz w:val="20"/>
              </w:rPr>
              <w:t>RTORPA</w:t>
            </w:r>
            <w:r w:rsidRPr="00C94AB6">
              <w:rPr>
                <w:b/>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5D04EBB6"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20D38A46" w14:textId="77777777" w:rsidR="00F371D4" w:rsidRPr="00C94AB6" w:rsidRDefault="00F371D4" w:rsidP="00B82144">
            <w:pPr>
              <w:spacing w:after="60"/>
              <w:rPr>
                <w:i/>
                <w:iCs/>
                <w:sz w:val="20"/>
              </w:rPr>
            </w:pPr>
            <w:r w:rsidRPr="00C94AB6">
              <w:rPr>
                <w:i/>
                <w:iCs/>
                <w:sz w:val="20"/>
              </w:rPr>
              <w:t>Real-Time On-Line Reserve Price Adder per interval</w:t>
            </w:r>
            <w:r w:rsidRPr="00C94AB6">
              <w:rPr>
                <w:iCs/>
                <w:sz w:val="20"/>
              </w:rPr>
              <w:sym w:font="Symbol" w:char="F0BE"/>
            </w:r>
            <w:r w:rsidRPr="00C94AB6">
              <w:rPr>
                <w:iCs/>
                <w:sz w:val="20"/>
              </w:rPr>
              <w:t xml:space="preserve">The Real-Time On-Line Reserve Price Adder for the SCED interval </w:t>
            </w:r>
            <w:r w:rsidRPr="00C94AB6">
              <w:rPr>
                <w:i/>
                <w:iCs/>
                <w:sz w:val="20"/>
              </w:rPr>
              <w:t>y</w:t>
            </w:r>
            <w:r w:rsidRPr="00C94AB6">
              <w:rPr>
                <w:iCs/>
                <w:sz w:val="20"/>
              </w:rPr>
              <w:t>.</w:t>
            </w:r>
          </w:p>
        </w:tc>
      </w:tr>
      <w:tr w:rsidR="00F371D4" w:rsidRPr="00C94AB6" w14:paraId="276490DE"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1640A06" w14:textId="77777777" w:rsidR="00F371D4" w:rsidRPr="00C94AB6" w:rsidRDefault="00F371D4" w:rsidP="00B82144">
            <w:pPr>
              <w:spacing w:after="60"/>
              <w:rPr>
                <w:sz w:val="20"/>
              </w:rPr>
            </w:pPr>
            <w:r w:rsidRPr="00C94AB6">
              <w:rPr>
                <w:sz w:val="20"/>
              </w:rPr>
              <w:t>RTORDPA</w:t>
            </w:r>
            <w:r w:rsidRPr="00C94AB6">
              <w:rPr>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05E16984"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33999E8F" w14:textId="77777777" w:rsidR="00F371D4" w:rsidRPr="00C94AB6" w:rsidRDefault="00F371D4" w:rsidP="00B82144">
            <w:pPr>
              <w:spacing w:after="60"/>
              <w:rPr>
                <w:i/>
                <w:iCs/>
                <w:sz w:val="20"/>
              </w:rPr>
            </w:pPr>
            <w:r w:rsidRPr="00C94AB6">
              <w:rPr>
                <w:i/>
                <w:iCs/>
                <w:sz w:val="20"/>
              </w:rPr>
              <w:t>Real-Time On-Line Reliability Deployment Price Adder</w:t>
            </w:r>
            <w:r w:rsidRPr="00C94AB6">
              <w:rPr>
                <w:iCs/>
                <w:sz w:val="20"/>
              </w:rPr>
              <w:sym w:font="Symbol" w:char="F0BE"/>
            </w:r>
            <w:r w:rsidRPr="00C94AB6">
              <w:rPr>
                <w:iCs/>
                <w:sz w:val="20"/>
              </w:rPr>
              <w:t xml:space="preserve">The Real-Time Price Adder that captures the impact of reliability deployments on energy prices for the SCED interval </w:t>
            </w:r>
            <w:r w:rsidRPr="00C94AB6">
              <w:rPr>
                <w:i/>
                <w:iCs/>
                <w:sz w:val="20"/>
              </w:rPr>
              <w:t>y</w:t>
            </w:r>
            <w:r w:rsidRPr="00C94AB6">
              <w:rPr>
                <w:iCs/>
                <w:sz w:val="20"/>
              </w:rPr>
              <w:t>.</w:t>
            </w:r>
          </w:p>
        </w:tc>
      </w:tr>
      <w:tr w:rsidR="00F371D4" w:rsidRPr="00C94AB6" w14:paraId="5B2DBA5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1661F9" w14:textId="77777777" w:rsidR="00F371D4" w:rsidRPr="00C94AB6" w:rsidRDefault="00F371D4" w:rsidP="00B82144">
            <w:pPr>
              <w:spacing w:after="60"/>
              <w:rPr>
                <w:i/>
                <w:iCs/>
                <w:sz w:val="20"/>
              </w:rPr>
            </w:pPr>
            <w:r w:rsidRPr="00C94AB6">
              <w:rPr>
                <w:i/>
                <w:iCs/>
                <w:sz w:val="20"/>
              </w:rPr>
              <w:t>q</w:t>
            </w:r>
          </w:p>
        </w:tc>
        <w:tc>
          <w:tcPr>
            <w:tcW w:w="497" w:type="pct"/>
            <w:tcBorders>
              <w:top w:val="single" w:sz="4" w:space="0" w:color="auto"/>
              <w:left w:val="single" w:sz="4" w:space="0" w:color="auto"/>
              <w:bottom w:val="single" w:sz="4" w:space="0" w:color="auto"/>
              <w:right w:val="single" w:sz="4" w:space="0" w:color="auto"/>
            </w:tcBorders>
          </w:tcPr>
          <w:p w14:paraId="6DB978AD"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7F578246" w14:textId="77777777" w:rsidR="00F371D4" w:rsidRPr="00C94AB6" w:rsidRDefault="00F371D4" w:rsidP="00B82144">
            <w:pPr>
              <w:spacing w:after="60"/>
              <w:rPr>
                <w:iCs/>
                <w:sz w:val="20"/>
              </w:rPr>
            </w:pPr>
            <w:r w:rsidRPr="00C94AB6">
              <w:rPr>
                <w:iCs/>
                <w:sz w:val="20"/>
              </w:rPr>
              <w:t>A QSE.</w:t>
            </w:r>
          </w:p>
        </w:tc>
      </w:tr>
      <w:tr w:rsidR="00F371D4" w:rsidRPr="00C94AB6" w14:paraId="5CB4017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520EF2" w14:textId="77777777" w:rsidR="00F371D4" w:rsidRPr="00C94AB6" w:rsidRDefault="00F371D4" w:rsidP="00B82144">
            <w:pPr>
              <w:spacing w:after="60"/>
              <w:rPr>
                <w:i/>
                <w:iCs/>
                <w:sz w:val="20"/>
              </w:rPr>
            </w:pPr>
            <w:r w:rsidRPr="00C94AB6">
              <w:rPr>
                <w:i/>
                <w:iCs/>
                <w:sz w:val="20"/>
              </w:rPr>
              <w:t>r</w:t>
            </w:r>
          </w:p>
        </w:tc>
        <w:tc>
          <w:tcPr>
            <w:tcW w:w="497" w:type="pct"/>
            <w:tcBorders>
              <w:top w:val="single" w:sz="4" w:space="0" w:color="auto"/>
              <w:left w:val="single" w:sz="4" w:space="0" w:color="auto"/>
              <w:bottom w:val="single" w:sz="4" w:space="0" w:color="auto"/>
              <w:right w:val="single" w:sz="4" w:space="0" w:color="auto"/>
            </w:tcBorders>
          </w:tcPr>
          <w:p w14:paraId="5B14190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2D1012F5" w14:textId="77777777" w:rsidR="00F371D4" w:rsidRPr="00C94AB6" w:rsidRDefault="00F371D4" w:rsidP="00B82144">
            <w:pPr>
              <w:spacing w:after="60"/>
              <w:rPr>
                <w:i/>
                <w:iCs/>
                <w:sz w:val="20"/>
              </w:rPr>
            </w:pPr>
            <w:r w:rsidRPr="00C94AB6">
              <w:rPr>
                <w:iCs/>
                <w:sz w:val="20"/>
              </w:rPr>
              <w:t>A Generation Resource</w:t>
            </w:r>
            <w:r w:rsidRPr="00C94AB6">
              <w:rPr>
                <w:i/>
                <w:iCs/>
                <w:sz w:val="20"/>
              </w:rPr>
              <w:t xml:space="preserve"> </w:t>
            </w:r>
            <w:r w:rsidRPr="00C94AB6">
              <w:rPr>
                <w:iCs/>
                <w:sz w:val="20"/>
              </w:rPr>
              <w:t>that was allocated ECRS Ancillary Service Assignment by the QSE.</w:t>
            </w:r>
          </w:p>
        </w:tc>
      </w:tr>
      <w:tr w:rsidR="00F371D4" w:rsidRPr="00C94AB6" w14:paraId="062DFA6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A82DFC" w14:textId="77777777" w:rsidR="00F371D4" w:rsidRPr="00C94AB6" w:rsidRDefault="00F371D4" w:rsidP="00B82144">
            <w:pPr>
              <w:spacing w:after="60"/>
              <w:rPr>
                <w:i/>
                <w:iCs/>
                <w:sz w:val="20"/>
              </w:rPr>
            </w:pPr>
            <w:r w:rsidRPr="00C94AB6">
              <w:rPr>
                <w:i/>
                <w:iCs/>
                <w:sz w:val="20"/>
              </w:rPr>
              <w:t>p</w:t>
            </w:r>
          </w:p>
        </w:tc>
        <w:tc>
          <w:tcPr>
            <w:tcW w:w="497" w:type="pct"/>
            <w:tcBorders>
              <w:top w:val="single" w:sz="4" w:space="0" w:color="auto"/>
              <w:left w:val="single" w:sz="4" w:space="0" w:color="auto"/>
              <w:bottom w:val="single" w:sz="4" w:space="0" w:color="auto"/>
              <w:right w:val="single" w:sz="4" w:space="0" w:color="auto"/>
            </w:tcBorders>
          </w:tcPr>
          <w:p w14:paraId="4EF8DF88"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3CA44D15" w14:textId="77777777" w:rsidR="00F371D4" w:rsidRPr="00C94AB6" w:rsidRDefault="00F371D4" w:rsidP="00B82144">
            <w:pPr>
              <w:spacing w:after="60"/>
              <w:rPr>
                <w:i/>
                <w:iCs/>
                <w:sz w:val="20"/>
              </w:rPr>
            </w:pPr>
            <w:r w:rsidRPr="00C94AB6">
              <w:rPr>
                <w:iCs/>
                <w:sz w:val="20"/>
              </w:rPr>
              <w:t>A Settlement Point for the Resource Node that was allocated ECRS Ancillary Service Assignment by the QSE.</w:t>
            </w:r>
          </w:p>
        </w:tc>
      </w:tr>
      <w:tr w:rsidR="00F371D4" w:rsidRPr="00C94AB6" w14:paraId="622A504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CECA1E8" w14:textId="77777777" w:rsidR="00F371D4" w:rsidRPr="00C94AB6" w:rsidRDefault="00F371D4" w:rsidP="00B82144">
            <w:pPr>
              <w:spacing w:after="60"/>
              <w:rPr>
                <w:i/>
                <w:iCs/>
                <w:sz w:val="20"/>
              </w:rPr>
            </w:pPr>
            <w:r w:rsidRPr="00C94AB6">
              <w:rPr>
                <w:i/>
                <w:iCs/>
                <w:sz w:val="20"/>
              </w:rPr>
              <w:t>i</w:t>
            </w:r>
          </w:p>
        </w:tc>
        <w:tc>
          <w:tcPr>
            <w:tcW w:w="497" w:type="pct"/>
            <w:tcBorders>
              <w:top w:val="single" w:sz="4" w:space="0" w:color="auto"/>
              <w:left w:val="single" w:sz="4" w:space="0" w:color="auto"/>
              <w:bottom w:val="single" w:sz="4" w:space="0" w:color="auto"/>
              <w:right w:val="single" w:sz="4" w:space="0" w:color="auto"/>
            </w:tcBorders>
          </w:tcPr>
          <w:p w14:paraId="0D0BFC4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FD8FB38" w14:textId="77777777" w:rsidR="00F371D4" w:rsidRPr="00C94AB6" w:rsidRDefault="00F371D4" w:rsidP="00B82144">
            <w:pPr>
              <w:spacing w:after="60"/>
              <w:rPr>
                <w:iCs/>
                <w:sz w:val="20"/>
              </w:rPr>
            </w:pPr>
            <w:r w:rsidRPr="00C94AB6">
              <w:rPr>
                <w:iCs/>
                <w:sz w:val="20"/>
              </w:rPr>
              <w:t>A 15-minute Settlement Interval in the Operating Hour.</w:t>
            </w:r>
          </w:p>
        </w:tc>
      </w:tr>
      <w:tr w:rsidR="00F371D4" w:rsidRPr="00C94AB6" w14:paraId="7DC09EA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C55E7AB" w14:textId="77777777" w:rsidR="00F371D4" w:rsidRPr="00C94AB6" w:rsidRDefault="00F371D4" w:rsidP="00B82144">
            <w:pPr>
              <w:spacing w:after="60"/>
              <w:rPr>
                <w:i/>
                <w:iCs/>
                <w:sz w:val="20"/>
              </w:rPr>
            </w:pPr>
            <w:r w:rsidRPr="00C94AB6">
              <w:rPr>
                <w:i/>
                <w:iCs/>
                <w:sz w:val="20"/>
              </w:rPr>
              <w:t>y</w:t>
            </w:r>
          </w:p>
        </w:tc>
        <w:tc>
          <w:tcPr>
            <w:tcW w:w="497" w:type="pct"/>
            <w:tcBorders>
              <w:top w:val="single" w:sz="4" w:space="0" w:color="auto"/>
              <w:left w:val="single" w:sz="4" w:space="0" w:color="auto"/>
              <w:bottom w:val="single" w:sz="4" w:space="0" w:color="auto"/>
              <w:right w:val="single" w:sz="4" w:space="0" w:color="auto"/>
            </w:tcBorders>
          </w:tcPr>
          <w:p w14:paraId="56A54FFB"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EFA2741" w14:textId="77777777" w:rsidR="00F371D4" w:rsidRPr="00C94AB6" w:rsidRDefault="00F371D4" w:rsidP="00B82144">
            <w:pPr>
              <w:spacing w:after="60"/>
              <w:rPr>
                <w:iCs/>
                <w:sz w:val="20"/>
              </w:rPr>
            </w:pPr>
            <w:r w:rsidRPr="00C94AB6">
              <w:rPr>
                <w:iCs/>
                <w:sz w:val="20"/>
              </w:rPr>
              <w:t>A SCED interval in the 15-minute Settlement Interval.</w:t>
            </w:r>
          </w:p>
        </w:tc>
      </w:tr>
    </w:tbl>
    <w:p w14:paraId="2DCBB2A0"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F85F4B9" w14:textId="77777777" w:rsidTr="001138B9">
        <w:trPr>
          <w:trHeight w:val="206"/>
        </w:trPr>
        <w:tc>
          <w:tcPr>
            <w:tcW w:w="9350" w:type="dxa"/>
            <w:shd w:val="pct12" w:color="auto" w:fill="auto"/>
          </w:tcPr>
          <w:p w14:paraId="7A905E7E" w14:textId="543B581E" w:rsidR="00221BB6" w:rsidRPr="00B06583" w:rsidRDefault="00221BB6" w:rsidP="001F1397">
            <w:pPr>
              <w:pStyle w:val="Instructions"/>
              <w:spacing w:before="120"/>
            </w:pPr>
            <w:r>
              <w:lastRenderedPageBreak/>
              <w:t>[NPRR1010:  Delete Section 6.7.2 above upon system implementation of the Real-Time Co-Optimization (RTC) project</w:t>
            </w:r>
            <w:r w:rsidR="00792C7F">
              <w:t>.</w:t>
            </w:r>
            <w:r>
              <w:t>]</w:t>
            </w:r>
          </w:p>
        </w:tc>
      </w:tr>
    </w:tbl>
    <w:p w14:paraId="06CB1B29" w14:textId="77777777" w:rsidR="008C5104" w:rsidRPr="007779E2" w:rsidRDefault="008C5104" w:rsidP="008C5104">
      <w:pPr>
        <w:keepNext/>
        <w:widowControl w:val="0"/>
        <w:tabs>
          <w:tab w:val="left" w:pos="1260"/>
        </w:tabs>
        <w:spacing w:before="480" w:after="240"/>
        <w:ind w:left="1260" w:hanging="1260"/>
        <w:outlineLvl w:val="3"/>
        <w:rPr>
          <w:b/>
        </w:rPr>
      </w:pPr>
      <w:bookmarkStart w:id="2711" w:name="_Toc189044487"/>
      <w:r w:rsidRPr="007779E2">
        <w:rPr>
          <w:b/>
        </w:rPr>
        <w:t>6.7.2.1</w:t>
      </w:r>
      <w:r w:rsidRPr="007779E2">
        <w:rPr>
          <w:b/>
        </w:rPr>
        <w:tab/>
        <w:t>Charges for Infeasible Ancillary Service Capacity Due to Transmission Constraints</w:t>
      </w:r>
      <w:bookmarkEnd w:id="2697"/>
      <w:bookmarkEnd w:id="2711"/>
      <w:r w:rsidRPr="007779E2">
        <w:rPr>
          <w:b/>
        </w:rPr>
        <w:t xml:space="preserve"> </w:t>
      </w:r>
    </w:p>
    <w:p w14:paraId="38DD9C5B" w14:textId="77777777" w:rsidR="008C5104" w:rsidRPr="007779E2" w:rsidRDefault="008C5104" w:rsidP="008C5104">
      <w:pPr>
        <w:spacing w:after="240"/>
        <w:ind w:left="720" w:hanging="720"/>
      </w:pPr>
      <w:r>
        <w:t>(1)</w:t>
      </w:r>
      <w:r>
        <w:tab/>
      </w:r>
      <w:r w:rsidRPr="007779E2">
        <w:t>A charge to each QSE with Ancillary Service Supply Responsibility that is deemed infeasible by ERCOT as a result of a transmission con</w:t>
      </w:r>
      <w:r>
        <w:t>s</w:t>
      </w:r>
      <w:r w:rsidRPr="007779E2">
        <w:t>traint</w:t>
      </w:r>
      <w:r>
        <w:t>s</w:t>
      </w:r>
      <w:r w:rsidRPr="007779E2">
        <w:t>, whether or not a SASM is executed, is calculated as follows:</w:t>
      </w:r>
    </w:p>
    <w:p w14:paraId="28C42C32" w14:textId="77777777" w:rsidR="008C5104" w:rsidRPr="007779E2" w:rsidRDefault="008C5104" w:rsidP="008C5104">
      <w:pPr>
        <w:spacing w:after="240"/>
        <w:ind w:left="1260" w:hanging="540"/>
      </w:pPr>
      <w:r>
        <w:rPr>
          <w:iCs/>
        </w:rPr>
        <w:t>(a)</w:t>
      </w:r>
      <w:r>
        <w:rPr>
          <w:iCs/>
        </w:rPr>
        <w:tab/>
      </w:r>
      <w:r w:rsidRPr="007779E2">
        <w:rPr>
          <w:iCs/>
        </w:rPr>
        <w:t>For Reg-Up, if applicable:</w:t>
      </w:r>
    </w:p>
    <w:p w14:paraId="08E04B8A" w14:textId="77777777" w:rsidR="008C5104" w:rsidRPr="000468AC" w:rsidRDefault="008C5104" w:rsidP="008C5104">
      <w:pPr>
        <w:ind w:left="1080" w:firstLine="360"/>
        <w:rPr>
          <w:b/>
          <w:i/>
          <w:vertAlign w:val="subscript"/>
        </w:rPr>
      </w:pPr>
      <w:r w:rsidRPr="000468AC">
        <w:rPr>
          <w:b/>
        </w:rPr>
        <w:t xml:space="preserve">RUINFQAMT </w:t>
      </w:r>
      <w:r w:rsidRPr="000468AC">
        <w:rPr>
          <w:b/>
          <w:i/>
          <w:vertAlign w:val="subscript"/>
        </w:rPr>
        <w:t>q</w:t>
      </w:r>
      <w:r w:rsidRPr="000468AC">
        <w:rPr>
          <w:b/>
        </w:rPr>
        <w:t xml:space="preserve"> =  MCPCRU </w:t>
      </w:r>
      <w:r w:rsidRPr="000468AC">
        <w:rPr>
          <w:b/>
          <w:i/>
          <w:vertAlign w:val="subscript"/>
        </w:rPr>
        <w:t>DAM</w:t>
      </w:r>
      <w:r w:rsidRPr="000468AC">
        <w:rPr>
          <w:b/>
        </w:rPr>
        <w:t xml:space="preserve"> * RUINFQ </w:t>
      </w:r>
      <w:r w:rsidRPr="000468AC">
        <w:rPr>
          <w:b/>
          <w:i/>
          <w:vertAlign w:val="subscript"/>
        </w:rPr>
        <w:t>q</w:t>
      </w:r>
    </w:p>
    <w:p w14:paraId="1FBEAAA7" w14:textId="77777777" w:rsidR="008C5104" w:rsidRPr="007779E2" w:rsidRDefault="008C5104" w:rsidP="008C5104">
      <w:pPr>
        <w:ind w:left="1080" w:firstLine="360"/>
        <w:rPr>
          <w:vertAlign w:val="subscript"/>
        </w:rPr>
      </w:pPr>
    </w:p>
    <w:p w14:paraId="70A5810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589EA4C7" w14:textId="77777777" w:rsidTr="008C5104">
        <w:tc>
          <w:tcPr>
            <w:tcW w:w="1168" w:type="pct"/>
          </w:tcPr>
          <w:p w14:paraId="185340B6" w14:textId="77777777" w:rsidR="008C5104" w:rsidRPr="007779E2" w:rsidRDefault="008C5104" w:rsidP="008C5104">
            <w:pPr>
              <w:spacing w:after="240"/>
              <w:rPr>
                <w:b/>
                <w:iCs/>
                <w:sz w:val="20"/>
              </w:rPr>
            </w:pPr>
            <w:r w:rsidRPr="007779E2">
              <w:rPr>
                <w:b/>
                <w:iCs/>
                <w:sz w:val="20"/>
              </w:rPr>
              <w:t>Variable</w:t>
            </w:r>
          </w:p>
        </w:tc>
        <w:tc>
          <w:tcPr>
            <w:tcW w:w="386" w:type="pct"/>
          </w:tcPr>
          <w:p w14:paraId="4CE639E4" w14:textId="77777777" w:rsidR="008C5104" w:rsidRPr="007779E2" w:rsidRDefault="008C5104" w:rsidP="008C5104">
            <w:pPr>
              <w:spacing w:after="240"/>
              <w:rPr>
                <w:b/>
                <w:iCs/>
                <w:sz w:val="20"/>
              </w:rPr>
            </w:pPr>
            <w:r w:rsidRPr="007779E2">
              <w:rPr>
                <w:b/>
                <w:iCs/>
                <w:sz w:val="20"/>
              </w:rPr>
              <w:t>Unit</w:t>
            </w:r>
          </w:p>
        </w:tc>
        <w:tc>
          <w:tcPr>
            <w:tcW w:w="3446" w:type="pct"/>
          </w:tcPr>
          <w:p w14:paraId="3747CD60" w14:textId="77777777" w:rsidR="008C5104" w:rsidRPr="007779E2" w:rsidRDefault="008C5104" w:rsidP="008C5104">
            <w:pPr>
              <w:spacing w:after="240"/>
              <w:rPr>
                <w:b/>
                <w:iCs/>
                <w:sz w:val="20"/>
              </w:rPr>
            </w:pPr>
            <w:r w:rsidRPr="007779E2">
              <w:rPr>
                <w:b/>
                <w:iCs/>
                <w:sz w:val="20"/>
              </w:rPr>
              <w:t>Description</w:t>
            </w:r>
          </w:p>
        </w:tc>
      </w:tr>
      <w:tr w:rsidR="008C5104" w:rsidRPr="007779E2" w14:paraId="356528B5" w14:textId="77777777" w:rsidTr="008C5104">
        <w:tc>
          <w:tcPr>
            <w:tcW w:w="1168" w:type="pct"/>
          </w:tcPr>
          <w:p w14:paraId="59245C61" w14:textId="77777777" w:rsidR="008C5104" w:rsidRPr="007779E2" w:rsidRDefault="008C5104" w:rsidP="008C5104">
            <w:pPr>
              <w:spacing w:after="60"/>
              <w:rPr>
                <w:iCs/>
                <w:sz w:val="20"/>
              </w:rPr>
            </w:pPr>
            <w:r w:rsidRPr="007779E2">
              <w:rPr>
                <w:iCs/>
                <w:sz w:val="20"/>
              </w:rPr>
              <w:t xml:space="preserve">RUINFQAMT </w:t>
            </w:r>
            <w:r w:rsidRPr="007779E2">
              <w:rPr>
                <w:i/>
                <w:iCs/>
                <w:sz w:val="20"/>
                <w:vertAlign w:val="subscript"/>
              </w:rPr>
              <w:t>q</w:t>
            </w:r>
          </w:p>
        </w:tc>
        <w:tc>
          <w:tcPr>
            <w:tcW w:w="386" w:type="pct"/>
          </w:tcPr>
          <w:p w14:paraId="62F8D944" w14:textId="77777777" w:rsidR="008C5104" w:rsidRPr="007779E2" w:rsidRDefault="008C5104" w:rsidP="008C5104">
            <w:pPr>
              <w:spacing w:after="60"/>
              <w:rPr>
                <w:iCs/>
                <w:sz w:val="20"/>
              </w:rPr>
            </w:pPr>
            <w:r w:rsidRPr="007779E2">
              <w:rPr>
                <w:iCs/>
                <w:sz w:val="20"/>
              </w:rPr>
              <w:t>$</w:t>
            </w:r>
          </w:p>
        </w:tc>
        <w:tc>
          <w:tcPr>
            <w:tcW w:w="3446" w:type="pct"/>
          </w:tcPr>
          <w:p w14:paraId="7FB3F258" w14:textId="77777777" w:rsidR="008C5104" w:rsidRPr="007779E2" w:rsidRDefault="008C5104" w:rsidP="008C5104">
            <w:pPr>
              <w:spacing w:after="60"/>
              <w:rPr>
                <w:iCs/>
                <w:sz w:val="20"/>
              </w:rPr>
            </w:pPr>
            <w:r w:rsidRPr="007779E2">
              <w:rPr>
                <w:i/>
                <w:iCs/>
                <w:sz w:val="20"/>
              </w:rPr>
              <w:t>Reg-Up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Reg-Up, for the hour.</w:t>
            </w:r>
          </w:p>
        </w:tc>
      </w:tr>
      <w:tr w:rsidR="008C5104" w:rsidRPr="007779E2" w14:paraId="6A15E668" w14:textId="77777777" w:rsidTr="008C5104">
        <w:tc>
          <w:tcPr>
            <w:tcW w:w="1168" w:type="pct"/>
            <w:tcBorders>
              <w:top w:val="single" w:sz="4" w:space="0" w:color="auto"/>
              <w:left w:val="single" w:sz="4" w:space="0" w:color="auto"/>
              <w:bottom w:val="single" w:sz="4" w:space="0" w:color="auto"/>
              <w:right w:val="single" w:sz="4" w:space="0" w:color="auto"/>
            </w:tcBorders>
          </w:tcPr>
          <w:p w14:paraId="04D782A5" w14:textId="77777777" w:rsidR="008C5104" w:rsidRPr="007779E2" w:rsidRDefault="008C5104" w:rsidP="008C5104">
            <w:pPr>
              <w:spacing w:after="60"/>
              <w:rPr>
                <w:iCs/>
                <w:sz w:val="20"/>
              </w:rPr>
            </w:pPr>
            <w:r w:rsidRPr="007779E2">
              <w:rPr>
                <w:iCs/>
                <w:sz w:val="20"/>
              </w:rPr>
              <w:t xml:space="preserve">MCPCRU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5ABBB414"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6DF84FAF" w14:textId="77777777" w:rsidR="008C5104" w:rsidRPr="007779E2" w:rsidRDefault="008C5104" w:rsidP="008C5104">
            <w:pPr>
              <w:spacing w:after="60"/>
              <w:rPr>
                <w:i/>
                <w:iCs/>
                <w:sz w:val="20"/>
              </w:rPr>
            </w:pPr>
            <w:r w:rsidRPr="007779E2">
              <w:rPr>
                <w:i/>
                <w:iCs/>
                <w:sz w:val="20"/>
              </w:rPr>
              <w:t>Market Clearing Price for Capacity for Reg-Up in DAM</w:t>
            </w:r>
            <w:r w:rsidRPr="007779E2">
              <w:rPr>
                <w:iCs/>
                <w:sz w:val="20"/>
              </w:rPr>
              <w:t>—The DAM MCPC for Reg-Up</w:t>
            </w:r>
            <w:r w:rsidR="00EE4598" w:rsidRPr="007E46C9">
              <w:rPr>
                <w:iCs/>
                <w:sz w:val="20"/>
              </w:rPr>
              <w:t>,</w:t>
            </w:r>
            <w:r w:rsidRPr="007779E2">
              <w:rPr>
                <w:iCs/>
                <w:sz w:val="20"/>
              </w:rPr>
              <w:t xml:space="preserve"> for the hour.</w:t>
            </w:r>
          </w:p>
        </w:tc>
      </w:tr>
      <w:tr w:rsidR="008C5104" w:rsidRPr="007779E2" w14:paraId="060FCC35" w14:textId="77777777" w:rsidTr="008C5104">
        <w:tc>
          <w:tcPr>
            <w:tcW w:w="1168" w:type="pct"/>
            <w:tcBorders>
              <w:top w:val="single" w:sz="4" w:space="0" w:color="auto"/>
              <w:left w:val="single" w:sz="4" w:space="0" w:color="auto"/>
              <w:bottom w:val="single" w:sz="4" w:space="0" w:color="auto"/>
              <w:right w:val="single" w:sz="4" w:space="0" w:color="auto"/>
            </w:tcBorders>
          </w:tcPr>
          <w:p w14:paraId="65350B1B" w14:textId="77777777" w:rsidR="008C5104" w:rsidRPr="007779E2" w:rsidRDefault="008C5104" w:rsidP="008C5104">
            <w:pPr>
              <w:spacing w:after="60"/>
              <w:rPr>
                <w:iCs/>
                <w:sz w:val="20"/>
              </w:rPr>
            </w:pPr>
            <w:r w:rsidRPr="007779E2">
              <w:rPr>
                <w:iCs/>
                <w:sz w:val="20"/>
              </w:rPr>
              <w:t>RUINFQ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F7F728"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49D18608" w14:textId="77777777" w:rsidR="008C5104" w:rsidRPr="007779E2" w:rsidRDefault="008C5104" w:rsidP="008C5104">
            <w:pPr>
              <w:spacing w:after="60"/>
              <w:rPr>
                <w:i/>
                <w:iCs/>
                <w:sz w:val="20"/>
              </w:rPr>
            </w:pPr>
            <w:r w:rsidRPr="007779E2">
              <w:rPr>
                <w:i/>
                <w:iCs/>
                <w:sz w:val="20"/>
              </w:rPr>
              <w:t>Reg-Up Infeasible Quantity per QSE —</w:t>
            </w:r>
            <w:r w:rsidRPr="007779E2">
              <w:rPr>
                <w:iCs/>
                <w:sz w:val="20"/>
              </w:rPr>
              <w:t xml:space="preserve">QSE </w:t>
            </w:r>
            <w:r w:rsidRPr="007779E2">
              <w:rPr>
                <w:i/>
                <w:iCs/>
                <w:sz w:val="20"/>
              </w:rPr>
              <w:t>q</w:t>
            </w:r>
            <w:r w:rsidRPr="007779E2">
              <w:rPr>
                <w:iCs/>
                <w:sz w:val="20"/>
              </w:rPr>
              <w:t xml:space="preserve">’s total capacity associated with </w:t>
            </w:r>
            <w:r w:rsidRPr="00B34409">
              <w:rPr>
                <w:iCs/>
                <w:sz w:val="20"/>
              </w:rPr>
              <w:t>infeasibl</w:t>
            </w:r>
            <w:r>
              <w:rPr>
                <w:iCs/>
                <w:sz w:val="20"/>
              </w:rPr>
              <w:t>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Reg-Up, for the hour.</w:t>
            </w:r>
          </w:p>
        </w:tc>
      </w:tr>
      <w:tr w:rsidR="008C5104" w:rsidRPr="007779E2" w14:paraId="0F12A29C" w14:textId="77777777" w:rsidTr="008C5104">
        <w:tc>
          <w:tcPr>
            <w:tcW w:w="1168" w:type="pct"/>
            <w:tcBorders>
              <w:top w:val="single" w:sz="4" w:space="0" w:color="auto"/>
              <w:left w:val="single" w:sz="4" w:space="0" w:color="auto"/>
              <w:bottom w:val="single" w:sz="4" w:space="0" w:color="auto"/>
              <w:right w:val="single" w:sz="4" w:space="0" w:color="auto"/>
            </w:tcBorders>
          </w:tcPr>
          <w:p w14:paraId="2719C4ED"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2A4905E"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1E431894" w14:textId="77777777" w:rsidR="008C5104" w:rsidRPr="007779E2" w:rsidRDefault="008C5104" w:rsidP="008C5104">
            <w:pPr>
              <w:spacing w:after="60"/>
              <w:rPr>
                <w:iCs/>
                <w:sz w:val="20"/>
              </w:rPr>
            </w:pPr>
            <w:r w:rsidRPr="007779E2">
              <w:rPr>
                <w:iCs/>
                <w:sz w:val="20"/>
              </w:rPr>
              <w:t>A QSE.</w:t>
            </w:r>
          </w:p>
        </w:tc>
      </w:tr>
    </w:tbl>
    <w:p w14:paraId="58F50107" w14:textId="77777777" w:rsidR="008C5104" w:rsidRPr="007779E2" w:rsidRDefault="008C5104" w:rsidP="008C5104">
      <w:pPr>
        <w:spacing w:before="240" w:after="240"/>
        <w:ind w:left="1260" w:hanging="540"/>
      </w:pPr>
      <w:r w:rsidRPr="007779E2">
        <w:rPr>
          <w:iCs/>
        </w:rPr>
        <w:t>(b)</w:t>
      </w:r>
      <w:r w:rsidRPr="007779E2">
        <w:rPr>
          <w:iCs/>
        </w:rPr>
        <w:tab/>
        <w:t xml:space="preserve">For Reg-Down, if applicable: </w:t>
      </w:r>
    </w:p>
    <w:p w14:paraId="4A3558E3" w14:textId="77777777" w:rsidR="008C5104" w:rsidRPr="000468AC" w:rsidRDefault="008C5104" w:rsidP="008C5104">
      <w:pPr>
        <w:ind w:left="720" w:firstLine="720"/>
        <w:rPr>
          <w:b/>
          <w:vertAlign w:val="subscript"/>
        </w:rPr>
      </w:pPr>
      <w:r w:rsidRPr="000468AC">
        <w:rPr>
          <w:b/>
        </w:rPr>
        <w:t xml:space="preserve">RDINFQAMT </w:t>
      </w:r>
      <w:r w:rsidRPr="000468AC">
        <w:rPr>
          <w:b/>
          <w:i/>
          <w:vertAlign w:val="subscript"/>
        </w:rPr>
        <w:t>q</w:t>
      </w:r>
      <w:r w:rsidRPr="000468AC">
        <w:rPr>
          <w:b/>
        </w:rPr>
        <w:t xml:space="preserve"> =  MCPCRD </w:t>
      </w:r>
      <w:r w:rsidRPr="000468AC">
        <w:rPr>
          <w:b/>
          <w:i/>
          <w:vertAlign w:val="subscript"/>
        </w:rPr>
        <w:t>DAM</w:t>
      </w:r>
      <w:r w:rsidRPr="000468AC">
        <w:rPr>
          <w:b/>
        </w:rPr>
        <w:t xml:space="preserve"> * RDINFQ </w:t>
      </w:r>
      <w:r w:rsidRPr="000468AC">
        <w:rPr>
          <w:b/>
          <w:i/>
          <w:vertAlign w:val="subscript"/>
        </w:rPr>
        <w:t>q</w:t>
      </w:r>
    </w:p>
    <w:p w14:paraId="7B9FD327" w14:textId="77777777" w:rsidR="008C5104" w:rsidRPr="007779E2" w:rsidRDefault="008C5104" w:rsidP="008C5104">
      <w:pPr>
        <w:ind w:firstLine="720"/>
      </w:pPr>
    </w:p>
    <w:p w14:paraId="3D748571"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47F3A925" w14:textId="77777777" w:rsidTr="008C5104">
        <w:tc>
          <w:tcPr>
            <w:tcW w:w="1168" w:type="pct"/>
          </w:tcPr>
          <w:p w14:paraId="3A3006B5" w14:textId="77777777" w:rsidR="008C5104" w:rsidRPr="007779E2" w:rsidRDefault="008C5104" w:rsidP="008C5104">
            <w:pPr>
              <w:spacing w:after="240"/>
              <w:rPr>
                <w:b/>
                <w:iCs/>
                <w:sz w:val="20"/>
              </w:rPr>
            </w:pPr>
            <w:r w:rsidRPr="007779E2">
              <w:rPr>
                <w:b/>
                <w:iCs/>
                <w:sz w:val="20"/>
              </w:rPr>
              <w:t>Variable</w:t>
            </w:r>
          </w:p>
        </w:tc>
        <w:tc>
          <w:tcPr>
            <w:tcW w:w="386" w:type="pct"/>
          </w:tcPr>
          <w:p w14:paraId="5F7E329B" w14:textId="77777777" w:rsidR="008C5104" w:rsidRPr="007779E2" w:rsidRDefault="008C5104" w:rsidP="008C5104">
            <w:pPr>
              <w:spacing w:after="240"/>
              <w:rPr>
                <w:b/>
                <w:iCs/>
                <w:sz w:val="20"/>
              </w:rPr>
            </w:pPr>
            <w:r w:rsidRPr="007779E2">
              <w:rPr>
                <w:b/>
                <w:iCs/>
                <w:sz w:val="20"/>
              </w:rPr>
              <w:t>Unit</w:t>
            </w:r>
          </w:p>
        </w:tc>
        <w:tc>
          <w:tcPr>
            <w:tcW w:w="3446" w:type="pct"/>
          </w:tcPr>
          <w:p w14:paraId="076850E2" w14:textId="77777777" w:rsidR="008C5104" w:rsidRPr="007779E2" w:rsidRDefault="008C5104" w:rsidP="008C5104">
            <w:pPr>
              <w:spacing w:after="240"/>
              <w:rPr>
                <w:b/>
                <w:iCs/>
                <w:sz w:val="20"/>
              </w:rPr>
            </w:pPr>
            <w:r w:rsidRPr="007779E2">
              <w:rPr>
                <w:b/>
                <w:iCs/>
                <w:sz w:val="20"/>
              </w:rPr>
              <w:t>Description</w:t>
            </w:r>
          </w:p>
        </w:tc>
      </w:tr>
      <w:tr w:rsidR="008C5104" w:rsidRPr="007779E2" w14:paraId="5E32BCCB" w14:textId="77777777" w:rsidTr="008C5104">
        <w:tc>
          <w:tcPr>
            <w:tcW w:w="1168" w:type="pct"/>
          </w:tcPr>
          <w:p w14:paraId="69ACCF60" w14:textId="77777777" w:rsidR="008C5104" w:rsidRPr="007779E2" w:rsidRDefault="008C5104" w:rsidP="008C5104">
            <w:pPr>
              <w:spacing w:after="60"/>
              <w:rPr>
                <w:iCs/>
                <w:sz w:val="20"/>
              </w:rPr>
            </w:pPr>
            <w:r w:rsidRPr="007779E2">
              <w:rPr>
                <w:iCs/>
                <w:sz w:val="20"/>
              </w:rPr>
              <w:t xml:space="preserve">RDINFQAMT </w:t>
            </w:r>
            <w:r w:rsidRPr="007779E2">
              <w:rPr>
                <w:i/>
                <w:iCs/>
                <w:sz w:val="20"/>
                <w:vertAlign w:val="subscript"/>
              </w:rPr>
              <w:t>q</w:t>
            </w:r>
          </w:p>
        </w:tc>
        <w:tc>
          <w:tcPr>
            <w:tcW w:w="386" w:type="pct"/>
          </w:tcPr>
          <w:p w14:paraId="259C7509" w14:textId="77777777" w:rsidR="008C5104" w:rsidRPr="007779E2" w:rsidRDefault="008C5104" w:rsidP="008C5104">
            <w:pPr>
              <w:spacing w:after="60"/>
              <w:rPr>
                <w:iCs/>
                <w:sz w:val="20"/>
              </w:rPr>
            </w:pPr>
            <w:r w:rsidRPr="007779E2">
              <w:rPr>
                <w:iCs/>
                <w:sz w:val="20"/>
              </w:rPr>
              <w:t>$</w:t>
            </w:r>
          </w:p>
        </w:tc>
        <w:tc>
          <w:tcPr>
            <w:tcW w:w="3446" w:type="pct"/>
          </w:tcPr>
          <w:p w14:paraId="7E42A7F7" w14:textId="77777777" w:rsidR="008C5104" w:rsidRPr="007779E2" w:rsidRDefault="008C5104" w:rsidP="008C5104">
            <w:pPr>
              <w:spacing w:after="60"/>
              <w:rPr>
                <w:iCs/>
                <w:sz w:val="20"/>
              </w:rPr>
            </w:pPr>
            <w:r w:rsidRPr="007779E2">
              <w:rPr>
                <w:i/>
                <w:iCs/>
                <w:sz w:val="20"/>
              </w:rPr>
              <w:t>Reg-Down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Reg-Down, for the hour.</w:t>
            </w:r>
          </w:p>
        </w:tc>
      </w:tr>
      <w:tr w:rsidR="008C5104" w:rsidRPr="007779E2" w14:paraId="73B2EC15" w14:textId="77777777" w:rsidTr="008C5104">
        <w:tc>
          <w:tcPr>
            <w:tcW w:w="1168" w:type="pct"/>
            <w:tcBorders>
              <w:top w:val="single" w:sz="4" w:space="0" w:color="auto"/>
              <w:left w:val="single" w:sz="4" w:space="0" w:color="auto"/>
              <w:bottom w:val="single" w:sz="4" w:space="0" w:color="auto"/>
              <w:right w:val="single" w:sz="4" w:space="0" w:color="auto"/>
            </w:tcBorders>
          </w:tcPr>
          <w:p w14:paraId="5B81A092" w14:textId="77777777" w:rsidR="008C5104" w:rsidRPr="007779E2" w:rsidRDefault="008C5104" w:rsidP="008C5104">
            <w:pPr>
              <w:spacing w:after="60"/>
              <w:rPr>
                <w:iCs/>
                <w:sz w:val="20"/>
              </w:rPr>
            </w:pPr>
            <w:r w:rsidRPr="007779E2">
              <w:rPr>
                <w:iCs/>
                <w:sz w:val="20"/>
              </w:rPr>
              <w:t xml:space="preserve">MCPCRD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6F9DF4D"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0AF853C9" w14:textId="77777777" w:rsidR="008C5104" w:rsidRPr="007779E2" w:rsidRDefault="008C5104" w:rsidP="008C5104">
            <w:pPr>
              <w:spacing w:after="60"/>
              <w:rPr>
                <w:i/>
                <w:iCs/>
                <w:sz w:val="20"/>
              </w:rPr>
            </w:pPr>
            <w:r w:rsidRPr="007779E2">
              <w:rPr>
                <w:i/>
                <w:iCs/>
                <w:sz w:val="20"/>
              </w:rPr>
              <w:t>Market Clearing Price for Capacity for Reg-Down in DAM</w:t>
            </w:r>
            <w:r w:rsidRPr="007779E2">
              <w:rPr>
                <w:iCs/>
                <w:sz w:val="20"/>
              </w:rPr>
              <w:t>—The DAM MCPC for Reg-Down</w:t>
            </w:r>
            <w:r w:rsidR="00EE4598" w:rsidRPr="007E46C9">
              <w:rPr>
                <w:iCs/>
                <w:sz w:val="20"/>
              </w:rPr>
              <w:t>,</w:t>
            </w:r>
            <w:r w:rsidRPr="007779E2">
              <w:rPr>
                <w:iCs/>
                <w:sz w:val="20"/>
              </w:rPr>
              <w:t xml:space="preserve"> for the hour.</w:t>
            </w:r>
          </w:p>
        </w:tc>
      </w:tr>
      <w:tr w:rsidR="008C5104" w:rsidRPr="007779E2" w14:paraId="3B03EB39" w14:textId="77777777" w:rsidTr="008C5104">
        <w:tc>
          <w:tcPr>
            <w:tcW w:w="1168" w:type="pct"/>
            <w:tcBorders>
              <w:top w:val="single" w:sz="4" w:space="0" w:color="auto"/>
              <w:left w:val="single" w:sz="4" w:space="0" w:color="auto"/>
              <w:bottom w:val="single" w:sz="4" w:space="0" w:color="auto"/>
              <w:right w:val="single" w:sz="4" w:space="0" w:color="auto"/>
            </w:tcBorders>
          </w:tcPr>
          <w:p w14:paraId="3217C5F6" w14:textId="77777777" w:rsidR="008C5104" w:rsidRPr="007779E2" w:rsidRDefault="008C5104" w:rsidP="008C5104">
            <w:pPr>
              <w:spacing w:after="60"/>
              <w:rPr>
                <w:iCs/>
                <w:sz w:val="20"/>
              </w:rPr>
            </w:pPr>
            <w:r w:rsidRPr="007779E2">
              <w:rPr>
                <w:iCs/>
                <w:sz w:val="20"/>
              </w:rPr>
              <w:t>RDINFQ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55122A3C"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34EB1EA8" w14:textId="77777777" w:rsidR="008C5104" w:rsidRPr="007779E2" w:rsidRDefault="008C5104" w:rsidP="000809F8">
            <w:pPr>
              <w:spacing w:after="60"/>
              <w:rPr>
                <w:i/>
                <w:iCs/>
                <w:sz w:val="20"/>
              </w:rPr>
            </w:pPr>
            <w:r w:rsidRPr="007779E2">
              <w:rPr>
                <w:i/>
                <w:iCs/>
                <w:sz w:val="20"/>
              </w:rPr>
              <w:t>Reg-Down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Reg-Down, for the hou</w:t>
            </w:r>
            <w:r>
              <w:rPr>
                <w:iCs/>
                <w:sz w:val="20"/>
              </w:rPr>
              <w:t>r.</w:t>
            </w:r>
          </w:p>
        </w:tc>
      </w:tr>
      <w:tr w:rsidR="008C5104" w:rsidRPr="007779E2" w14:paraId="4463E7A3" w14:textId="77777777" w:rsidTr="008C5104">
        <w:tc>
          <w:tcPr>
            <w:tcW w:w="1168" w:type="pct"/>
            <w:tcBorders>
              <w:top w:val="single" w:sz="4" w:space="0" w:color="auto"/>
              <w:left w:val="single" w:sz="4" w:space="0" w:color="auto"/>
              <w:bottom w:val="single" w:sz="4" w:space="0" w:color="auto"/>
              <w:right w:val="single" w:sz="4" w:space="0" w:color="auto"/>
            </w:tcBorders>
          </w:tcPr>
          <w:p w14:paraId="2063BB88"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D1E115F"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758D2F7E" w14:textId="77777777" w:rsidR="008C5104" w:rsidRPr="007779E2" w:rsidRDefault="008C5104" w:rsidP="008C5104">
            <w:pPr>
              <w:spacing w:after="60"/>
              <w:rPr>
                <w:iCs/>
                <w:sz w:val="20"/>
              </w:rPr>
            </w:pPr>
            <w:r w:rsidRPr="007779E2">
              <w:rPr>
                <w:iCs/>
                <w:sz w:val="20"/>
              </w:rPr>
              <w:t>A QSE.</w:t>
            </w:r>
          </w:p>
        </w:tc>
      </w:tr>
    </w:tbl>
    <w:p w14:paraId="47BA4396" w14:textId="77777777" w:rsidR="008C5104" w:rsidRPr="007779E2" w:rsidRDefault="008C5104" w:rsidP="008C5104">
      <w:pPr>
        <w:spacing w:before="240" w:after="240"/>
        <w:ind w:left="1260" w:hanging="540"/>
      </w:pPr>
      <w:r w:rsidRPr="007779E2">
        <w:rPr>
          <w:iCs/>
        </w:rPr>
        <w:lastRenderedPageBreak/>
        <w:t>(c)</w:t>
      </w:r>
      <w:r w:rsidRPr="007779E2">
        <w:rPr>
          <w:iCs/>
        </w:rPr>
        <w:tab/>
        <w:t xml:space="preserve">For RRS, if applicable: </w:t>
      </w:r>
    </w:p>
    <w:p w14:paraId="4FBFB67F" w14:textId="77777777" w:rsidR="008C5104" w:rsidRPr="000468AC" w:rsidRDefault="008C5104" w:rsidP="008C5104">
      <w:pPr>
        <w:ind w:left="720" w:firstLine="720"/>
        <w:rPr>
          <w:b/>
          <w:vertAlign w:val="subscript"/>
        </w:rPr>
      </w:pPr>
      <w:r w:rsidRPr="000468AC">
        <w:rPr>
          <w:b/>
        </w:rPr>
        <w:t xml:space="preserve">RRINFQAMT </w:t>
      </w:r>
      <w:r w:rsidRPr="000468AC">
        <w:rPr>
          <w:b/>
          <w:i/>
          <w:vertAlign w:val="subscript"/>
        </w:rPr>
        <w:t>q</w:t>
      </w:r>
      <w:r w:rsidRPr="000468AC">
        <w:rPr>
          <w:b/>
        </w:rPr>
        <w:t xml:space="preserve"> =  MCPCRR </w:t>
      </w:r>
      <w:r w:rsidRPr="000468AC">
        <w:rPr>
          <w:b/>
          <w:i/>
          <w:vertAlign w:val="subscript"/>
        </w:rPr>
        <w:t>DAM</w:t>
      </w:r>
      <w:r w:rsidRPr="000468AC">
        <w:rPr>
          <w:b/>
        </w:rPr>
        <w:t xml:space="preserve"> * RRINFQ </w:t>
      </w:r>
      <w:r w:rsidRPr="000468AC">
        <w:rPr>
          <w:b/>
          <w:i/>
          <w:vertAlign w:val="subscript"/>
        </w:rPr>
        <w:t>q</w:t>
      </w:r>
    </w:p>
    <w:p w14:paraId="08C8FA49" w14:textId="77777777" w:rsidR="008C5104" w:rsidRPr="007779E2" w:rsidRDefault="008C5104" w:rsidP="008C5104">
      <w:pPr>
        <w:ind w:firstLine="720"/>
      </w:pPr>
    </w:p>
    <w:p w14:paraId="2136755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8C5104" w:rsidRPr="007779E2" w14:paraId="12FCAA90" w14:textId="77777777" w:rsidTr="008C5104">
        <w:tc>
          <w:tcPr>
            <w:tcW w:w="1162" w:type="pct"/>
          </w:tcPr>
          <w:p w14:paraId="413FAA79" w14:textId="77777777" w:rsidR="008C5104" w:rsidRPr="007779E2" w:rsidRDefault="008C5104" w:rsidP="008C5104">
            <w:pPr>
              <w:spacing w:after="240"/>
              <w:rPr>
                <w:b/>
                <w:iCs/>
                <w:sz w:val="20"/>
              </w:rPr>
            </w:pPr>
            <w:r w:rsidRPr="007779E2">
              <w:rPr>
                <w:b/>
                <w:iCs/>
                <w:sz w:val="20"/>
              </w:rPr>
              <w:t>Variable</w:t>
            </w:r>
          </w:p>
        </w:tc>
        <w:tc>
          <w:tcPr>
            <w:tcW w:w="386" w:type="pct"/>
          </w:tcPr>
          <w:p w14:paraId="427BBC13" w14:textId="77777777" w:rsidR="008C5104" w:rsidRPr="007779E2" w:rsidRDefault="008C5104" w:rsidP="008C5104">
            <w:pPr>
              <w:spacing w:after="240"/>
              <w:rPr>
                <w:b/>
                <w:iCs/>
                <w:sz w:val="20"/>
              </w:rPr>
            </w:pPr>
            <w:r w:rsidRPr="007779E2">
              <w:rPr>
                <w:b/>
                <w:iCs/>
                <w:sz w:val="20"/>
              </w:rPr>
              <w:t>Unit</w:t>
            </w:r>
          </w:p>
        </w:tc>
        <w:tc>
          <w:tcPr>
            <w:tcW w:w="3452" w:type="pct"/>
          </w:tcPr>
          <w:p w14:paraId="1FEAEFC2" w14:textId="77777777" w:rsidR="008C5104" w:rsidRPr="007779E2" w:rsidRDefault="008C5104" w:rsidP="008C5104">
            <w:pPr>
              <w:spacing w:after="240"/>
              <w:rPr>
                <w:b/>
                <w:iCs/>
                <w:sz w:val="20"/>
              </w:rPr>
            </w:pPr>
            <w:r w:rsidRPr="007779E2">
              <w:rPr>
                <w:b/>
                <w:iCs/>
                <w:sz w:val="20"/>
              </w:rPr>
              <w:t>Description</w:t>
            </w:r>
          </w:p>
        </w:tc>
      </w:tr>
      <w:tr w:rsidR="008C5104" w:rsidRPr="007779E2" w14:paraId="503D249E" w14:textId="77777777" w:rsidTr="008C5104">
        <w:tc>
          <w:tcPr>
            <w:tcW w:w="1162" w:type="pct"/>
          </w:tcPr>
          <w:p w14:paraId="02281BED" w14:textId="77777777" w:rsidR="008C5104" w:rsidRPr="007779E2" w:rsidRDefault="008C5104" w:rsidP="008C5104">
            <w:pPr>
              <w:spacing w:after="60"/>
              <w:rPr>
                <w:iCs/>
                <w:sz w:val="20"/>
              </w:rPr>
            </w:pPr>
            <w:r w:rsidRPr="007779E2">
              <w:rPr>
                <w:iCs/>
                <w:sz w:val="20"/>
              </w:rPr>
              <w:t xml:space="preserve">RRINFQAMT </w:t>
            </w:r>
            <w:r w:rsidRPr="007779E2">
              <w:rPr>
                <w:i/>
                <w:iCs/>
                <w:sz w:val="20"/>
                <w:vertAlign w:val="subscript"/>
              </w:rPr>
              <w:t>q</w:t>
            </w:r>
          </w:p>
        </w:tc>
        <w:tc>
          <w:tcPr>
            <w:tcW w:w="386" w:type="pct"/>
          </w:tcPr>
          <w:p w14:paraId="57C3FCC2" w14:textId="77777777" w:rsidR="008C5104" w:rsidRPr="007779E2" w:rsidRDefault="008C5104" w:rsidP="008C5104">
            <w:pPr>
              <w:spacing w:after="60"/>
              <w:rPr>
                <w:iCs/>
                <w:sz w:val="20"/>
              </w:rPr>
            </w:pPr>
            <w:r w:rsidRPr="007779E2">
              <w:rPr>
                <w:iCs/>
                <w:sz w:val="20"/>
              </w:rPr>
              <w:t>$</w:t>
            </w:r>
          </w:p>
        </w:tc>
        <w:tc>
          <w:tcPr>
            <w:tcW w:w="3452" w:type="pct"/>
          </w:tcPr>
          <w:p w14:paraId="14C47805" w14:textId="77777777" w:rsidR="008C5104" w:rsidRPr="007779E2" w:rsidRDefault="008C5104" w:rsidP="000809F8">
            <w:pPr>
              <w:spacing w:after="60"/>
              <w:rPr>
                <w:iCs/>
                <w:sz w:val="20"/>
              </w:rPr>
            </w:pPr>
            <w:r w:rsidRPr="007779E2">
              <w:rPr>
                <w:i/>
                <w:iCs/>
                <w:sz w:val="20"/>
              </w:rPr>
              <w:t>Responsive Reserve Infeasible Quantity Amount per</w:t>
            </w:r>
            <w:r>
              <w:rPr>
                <w:i/>
                <w:iCs/>
                <w:sz w:val="20"/>
              </w:rPr>
              <w:t xml:space="preserve"> </w:t>
            </w:r>
            <w:r w:rsidRPr="007779E2">
              <w:rPr>
                <w:i/>
                <w:iCs/>
                <w:sz w:val="20"/>
              </w:rPr>
              <w:t>QSE</w:t>
            </w:r>
            <w:r>
              <w:rPr>
                <w:iCs/>
                <w:sz w:val="20"/>
              </w:rPr>
              <w:t>—</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R</w:t>
            </w:r>
            <w:r>
              <w:rPr>
                <w:iCs/>
                <w:sz w:val="20"/>
              </w:rPr>
              <w:t>RS</w:t>
            </w:r>
            <w:r w:rsidRPr="007779E2">
              <w:rPr>
                <w:iCs/>
                <w:sz w:val="20"/>
              </w:rPr>
              <w:t>, for the hour.</w:t>
            </w:r>
          </w:p>
        </w:tc>
      </w:tr>
      <w:tr w:rsidR="008C5104" w:rsidRPr="007779E2" w14:paraId="08F20EA7" w14:textId="77777777" w:rsidTr="008C5104">
        <w:tc>
          <w:tcPr>
            <w:tcW w:w="1162" w:type="pct"/>
            <w:tcBorders>
              <w:top w:val="single" w:sz="4" w:space="0" w:color="auto"/>
              <w:left w:val="single" w:sz="4" w:space="0" w:color="auto"/>
              <w:bottom w:val="single" w:sz="4" w:space="0" w:color="auto"/>
              <w:right w:val="single" w:sz="4" w:space="0" w:color="auto"/>
            </w:tcBorders>
          </w:tcPr>
          <w:p w14:paraId="54B2A234" w14:textId="77777777" w:rsidR="008C5104" w:rsidRPr="007779E2" w:rsidRDefault="008C5104" w:rsidP="008C5104">
            <w:pPr>
              <w:spacing w:after="60"/>
              <w:rPr>
                <w:iCs/>
                <w:sz w:val="20"/>
              </w:rPr>
            </w:pPr>
            <w:r w:rsidRPr="007779E2">
              <w:rPr>
                <w:iCs/>
                <w:sz w:val="20"/>
              </w:rPr>
              <w:t xml:space="preserve">MCPCRR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640598CE" w14:textId="77777777" w:rsidR="008C5104" w:rsidRPr="007779E2" w:rsidRDefault="008C5104" w:rsidP="008C5104">
            <w:pPr>
              <w:spacing w:after="60"/>
              <w:rPr>
                <w:iCs/>
                <w:sz w:val="20"/>
              </w:rPr>
            </w:pPr>
            <w:r w:rsidRPr="007779E2">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5C3F09A" w14:textId="77777777" w:rsidR="008C5104" w:rsidRPr="007779E2" w:rsidRDefault="008C5104" w:rsidP="008C5104">
            <w:pPr>
              <w:spacing w:after="60"/>
              <w:rPr>
                <w:i/>
                <w:iCs/>
                <w:sz w:val="20"/>
              </w:rPr>
            </w:pPr>
            <w:r w:rsidRPr="007779E2">
              <w:rPr>
                <w:i/>
                <w:iCs/>
                <w:sz w:val="20"/>
              </w:rPr>
              <w:t>Market Clearing Price for Capacity for Responsive Reserve in DAM</w:t>
            </w:r>
            <w:r w:rsidRPr="007779E2">
              <w:rPr>
                <w:iCs/>
                <w:sz w:val="20"/>
              </w:rPr>
              <w:t xml:space="preserve">—The DAM MCPC for </w:t>
            </w:r>
            <w:r>
              <w:rPr>
                <w:iCs/>
                <w:sz w:val="20"/>
              </w:rPr>
              <w:t>RRS</w:t>
            </w:r>
            <w:r w:rsidR="00EE4598" w:rsidRPr="007E46C9">
              <w:rPr>
                <w:iCs/>
                <w:sz w:val="20"/>
              </w:rPr>
              <w:t>,</w:t>
            </w:r>
            <w:r w:rsidRPr="007779E2">
              <w:rPr>
                <w:iCs/>
                <w:sz w:val="20"/>
              </w:rPr>
              <w:t xml:space="preserve"> for the hour.</w:t>
            </w:r>
          </w:p>
        </w:tc>
      </w:tr>
      <w:tr w:rsidR="008C5104" w:rsidRPr="007779E2" w14:paraId="12B08E43" w14:textId="77777777" w:rsidTr="008C5104">
        <w:tc>
          <w:tcPr>
            <w:tcW w:w="1162" w:type="pct"/>
            <w:tcBorders>
              <w:top w:val="single" w:sz="4" w:space="0" w:color="auto"/>
              <w:left w:val="single" w:sz="4" w:space="0" w:color="auto"/>
              <w:bottom w:val="single" w:sz="4" w:space="0" w:color="auto"/>
              <w:right w:val="single" w:sz="4" w:space="0" w:color="auto"/>
            </w:tcBorders>
          </w:tcPr>
          <w:p w14:paraId="4928D3D1" w14:textId="77777777" w:rsidR="008C5104" w:rsidRPr="007779E2" w:rsidRDefault="008C5104" w:rsidP="008C5104">
            <w:pPr>
              <w:spacing w:after="60"/>
              <w:rPr>
                <w:iCs/>
                <w:sz w:val="20"/>
              </w:rPr>
            </w:pPr>
            <w:r w:rsidRPr="007779E2">
              <w:rPr>
                <w:iCs/>
                <w:sz w:val="20"/>
              </w:rPr>
              <w:t xml:space="preserve">RRINFQ </w:t>
            </w:r>
            <w:r w:rsidRPr="007779E2">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52C6C7" w14:textId="77777777" w:rsidR="008C5104" w:rsidRPr="007779E2" w:rsidRDefault="008C5104" w:rsidP="008C5104">
            <w:pPr>
              <w:spacing w:after="60"/>
              <w:rPr>
                <w:iCs/>
                <w:sz w:val="20"/>
              </w:rPr>
            </w:pPr>
            <w:r w:rsidRPr="007779E2">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08A08F92" w14:textId="77777777" w:rsidR="008C5104" w:rsidRPr="007779E2" w:rsidRDefault="008C5104" w:rsidP="000809F8">
            <w:pPr>
              <w:spacing w:after="60"/>
              <w:rPr>
                <w:i/>
                <w:iCs/>
                <w:sz w:val="20"/>
              </w:rPr>
            </w:pPr>
            <w:r w:rsidRPr="007779E2">
              <w:rPr>
                <w:i/>
                <w:iCs/>
                <w:sz w:val="20"/>
              </w:rPr>
              <w:t>Responsive Reserve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w:t>
            </w:r>
            <w:r>
              <w:rPr>
                <w:iCs/>
                <w:sz w:val="20"/>
              </w:rPr>
              <w:t>ry Service Supply Responsibilities</w:t>
            </w:r>
            <w:r>
              <w:rPr>
                <w:i/>
                <w:iCs/>
                <w:sz w:val="20"/>
              </w:rPr>
              <w:t xml:space="preserve"> </w:t>
            </w:r>
            <w:r w:rsidRPr="007779E2">
              <w:rPr>
                <w:iCs/>
                <w:sz w:val="20"/>
              </w:rPr>
              <w:t xml:space="preserve">for </w:t>
            </w:r>
            <w:r>
              <w:rPr>
                <w:iCs/>
                <w:sz w:val="20"/>
              </w:rPr>
              <w:t>RRS</w:t>
            </w:r>
            <w:r w:rsidRPr="007779E2">
              <w:rPr>
                <w:iCs/>
                <w:sz w:val="20"/>
              </w:rPr>
              <w:t>, for the hour.</w:t>
            </w:r>
          </w:p>
        </w:tc>
      </w:tr>
      <w:tr w:rsidR="008C5104" w:rsidRPr="007779E2" w14:paraId="5004C4AC" w14:textId="77777777" w:rsidTr="008C5104">
        <w:tc>
          <w:tcPr>
            <w:tcW w:w="1162" w:type="pct"/>
            <w:tcBorders>
              <w:top w:val="single" w:sz="4" w:space="0" w:color="auto"/>
              <w:left w:val="single" w:sz="4" w:space="0" w:color="auto"/>
              <w:bottom w:val="single" w:sz="4" w:space="0" w:color="auto"/>
              <w:right w:val="single" w:sz="4" w:space="0" w:color="auto"/>
            </w:tcBorders>
          </w:tcPr>
          <w:p w14:paraId="1A4E58FD" w14:textId="77777777" w:rsidR="008C5104" w:rsidRPr="007779E2" w:rsidRDefault="008C5104" w:rsidP="008C5104">
            <w:pPr>
              <w:spacing w:after="60"/>
              <w:rPr>
                <w:i/>
                <w:iCs/>
                <w:sz w:val="20"/>
              </w:rPr>
            </w:pPr>
            <w:r>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4AB8A1AC" w14:textId="77777777" w:rsidR="008C5104" w:rsidRPr="007779E2" w:rsidRDefault="008C5104" w:rsidP="008C5104">
            <w:pPr>
              <w:spacing w:after="60"/>
              <w:rPr>
                <w:iCs/>
                <w:sz w:val="20"/>
              </w:rPr>
            </w:pPr>
            <w:r w:rsidRPr="007779E2">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281F336E" w14:textId="77777777" w:rsidR="008C5104" w:rsidRPr="007779E2" w:rsidRDefault="008C5104" w:rsidP="008C5104">
            <w:pPr>
              <w:spacing w:after="60"/>
              <w:rPr>
                <w:iCs/>
                <w:sz w:val="20"/>
              </w:rPr>
            </w:pPr>
            <w:r w:rsidRPr="007779E2">
              <w:rPr>
                <w:iCs/>
                <w:sz w:val="20"/>
              </w:rPr>
              <w:t>A QSE.</w:t>
            </w:r>
          </w:p>
        </w:tc>
      </w:tr>
    </w:tbl>
    <w:p w14:paraId="61F9DFC9" w14:textId="77777777" w:rsidR="008C5104" w:rsidRPr="007779E2" w:rsidRDefault="008C5104" w:rsidP="008C5104">
      <w:pPr>
        <w:spacing w:before="240" w:after="240"/>
        <w:ind w:left="1260" w:hanging="540"/>
      </w:pPr>
      <w:r w:rsidRPr="007779E2">
        <w:rPr>
          <w:iCs/>
        </w:rPr>
        <w:t>(d)</w:t>
      </w:r>
      <w:r w:rsidRPr="007779E2">
        <w:rPr>
          <w:iCs/>
        </w:rPr>
        <w:tab/>
        <w:t xml:space="preserve">For Non-Spin, if applicable: </w:t>
      </w:r>
    </w:p>
    <w:p w14:paraId="4A0B1209" w14:textId="77777777" w:rsidR="008C5104" w:rsidRPr="000468AC" w:rsidRDefault="008C5104" w:rsidP="008C5104">
      <w:pPr>
        <w:ind w:left="720" w:firstLine="720"/>
        <w:rPr>
          <w:b/>
        </w:rPr>
      </w:pPr>
      <w:r w:rsidRPr="000468AC">
        <w:rPr>
          <w:b/>
        </w:rPr>
        <w:t xml:space="preserve">NSINFQAMT </w:t>
      </w:r>
      <w:r w:rsidRPr="000468AC">
        <w:rPr>
          <w:b/>
          <w:i/>
          <w:vertAlign w:val="subscript"/>
        </w:rPr>
        <w:t>q</w:t>
      </w:r>
      <w:r w:rsidRPr="000468AC">
        <w:rPr>
          <w:b/>
        </w:rPr>
        <w:t xml:space="preserve"> =  MCPCNS </w:t>
      </w:r>
      <w:r w:rsidRPr="000468AC">
        <w:rPr>
          <w:b/>
          <w:i/>
          <w:vertAlign w:val="subscript"/>
        </w:rPr>
        <w:t>DAM</w:t>
      </w:r>
      <w:r w:rsidRPr="000468AC">
        <w:rPr>
          <w:b/>
        </w:rPr>
        <w:t xml:space="preserve"> * NSINFQ </w:t>
      </w:r>
      <w:r w:rsidRPr="000468AC">
        <w:rPr>
          <w:b/>
          <w:i/>
          <w:vertAlign w:val="subscript"/>
        </w:rPr>
        <w:t>q</w:t>
      </w:r>
    </w:p>
    <w:p w14:paraId="25BFD251" w14:textId="77777777" w:rsidR="008C5104" w:rsidRPr="007779E2" w:rsidRDefault="008C5104" w:rsidP="008C5104"/>
    <w:p w14:paraId="4AF4283F" w14:textId="77777777" w:rsidR="008C5104" w:rsidRPr="007779E2" w:rsidRDefault="008C5104" w:rsidP="008C5104">
      <w:r w:rsidRPr="007779E2">
        <w:t>The above variables are defined as follows:</w:t>
      </w: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739"/>
        <w:gridCol w:w="6512"/>
      </w:tblGrid>
      <w:tr w:rsidR="008C5104" w:rsidRPr="007779E2" w14:paraId="4CD28E73" w14:textId="77777777" w:rsidTr="002F0DFA">
        <w:tc>
          <w:tcPr>
            <w:tcW w:w="1154" w:type="pct"/>
          </w:tcPr>
          <w:p w14:paraId="13B8C2EB" w14:textId="77777777" w:rsidR="008C5104" w:rsidRPr="007779E2" w:rsidRDefault="008C5104" w:rsidP="008C5104">
            <w:pPr>
              <w:spacing w:after="240"/>
              <w:rPr>
                <w:b/>
                <w:iCs/>
                <w:sz w:val="20"/>
              </w:rPr>
            </w:pPr>
            <w:r w:rsidRPr="007779E2">
              <w:rPr>
                <w:b/>
                <w:iCs/>
                <w:sz w:val="20"/>
              </w:rPr>
              <w:t>Variable</w:t>
            </w:r>
          </w:p>
        </w:tc>
        <w:tc>
          <w:tcPr>
            <w:tcW w:w="392" w:type="pct"/>
          </w:tcPr>
          <w:p w14:paraId="321A7688" w14:textId="77777777" w:rsidR="008C5104" w:rsidRPr="007779E2" w:rsidRDefault="008C5104" w:rsidP="008C5104">
            <w:pPr>
              <w:spacing w:after="240"/>
              <w:rPr>
                <w:b/>
                <w:iCs/>
                <w:sz w:val="20"/>
              </w:rPr>
            </w:pPr>
            <w:r w:rsidRPr="007779E2">
              <w:rPr>
                <w:b/>
                <w:iCs/>
                <w:sz w:val="20"/>
              </w:rPr>
              <w:t>Unit</w:t>
            </w:r>
          </w:p>
        </w:tc>
        <w:tc>
          <w:tcPr>
            <w:tcW w:w="3454" w:type="pct"/>
          </w:tcPr>
          <w:p w14:paraId="3C420BFC" w14:textId="77777777" w:rsidR="008C5104" w:rsidRPr="007779E2" w:rsidRDefault="008C5104" w:rsidP="008C5104">
            <w:pPr>
              <w:spacing w:after="240"/>
              <w:rPr>
                <w:b/>
                <w:iCs/>
                <w:sz w:val="20"/>
              </w:rPr>
            </w:pPr>
            <w:r w:rsidRPr="007779E2">
              <w:rPr>
                <w:b/>
                <w:iCs/>
                <w:sz w:val="20"/>
              </w:rPr>
              <w:t>Description</w:t>
            </w:r>
          </w:p>
        </w:tc>
      </w:tr>
      <w:tr w:rsidR="008C5104" w:rsidRPr="007779E2" w14:paraId="4A3555E3" w14:textId="77777777" w:rsidTr="002F0DFA">
        <w:tc>
          <w:tcPr>
            <w:tcW w:w="1154" w:type="pct"/>
          </w:tcPr>
          <w:p w14:paraId="44AFABB1" w14:textId="77777777" w:rsidR="008C5104" w:rsidRPr="007779E2" w:rsidRDefault="008C5104" w:rsidP="008C5104">
            <w:pPr>
              <w:spacing w:after="60"/>
              <w:rPr>
                <w:iCs/>
                <w:sz w:val="20"/>
              </w:rPr>
            </w:pPr>
            <w:r w:rsidRPr="007779E2">
              <w:rPr>
                <w:iCs/>
                <w:sz w:val="20"/>
              </w:rPr>
              <w:t xml:space="preserve">NSINFQAMT </w:t>
            </w:r>
            <w:r w:rsidRPr="007779E2">
              <w:rPr>
                <w:i/>
                <w:iCs/>
                <w:sz w:val="20"/>
                <w:vertAlign w:val="subscript"/>
              </w:rPr>
              <w:t>q</w:t>
            </w:r>
          </w:p>
        </w:tc>
        <w:tc>
          <w:tcPr>
            <w:tcW w:w="392" w:type="pct"/>
          </w:tcPr>
          <w:p w14:paraId="225A7DF1" w14:textId="77777777" w:rsidR="008C5104" w:rsidRPr="007779E2" w:rsidRDefault="008C5104" w:rsidP="008C5104">
            <w:pPr>
              <w:spacing w:after="60"/>
              <w:rPr>
                <w:iCs/>
                <w:sz w:val="20"/>
              </w:rPr>
            </w:pPr>
            <w:r w:rsidRPr="007779E2">
              <w:rPr>
                <w:iCs/>
                <w:sz w:val="20"/>
              </w:rPr>
              <w:t>$</w:t>
            </w:r>
          </w:p>
        </w:tc>
        <w:tc>
          <w:tcPr>
            <w:tcW w:w="3454" w:type="pct"/>
          </w:tcPr>
          <w:p w14:paraId="049E5BD3" w14:textId="77777777" w:rsidR="008C5104" w:rsidRPr="007779E2" w:rsidRDefault="008C5104" w:rsidP="008C5104">
            <w:pPr>
              <w:spacing w:after="60"/>
              <w:rPr>
                <w:iCs/>
                <w:sz w:val="20"/>
              </w:rPr>
            </w:pPr>
            <w:r w:rsidRPr="007779E2">
              <w:rPr>
                <w:i/>
                <w:iCs/>
                <w:sz w:val="20"/>
              </w:rPr>
              <w:t>Non-Spin Infeasible Quantity Amount per QSE</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Non-Spin, for the hour.</w:t>
            </w:r>
          </w:p>
        </w:tc>
      </w:tr>
      <w:tr w:rsidR="008C5104" w:rsidRPr="007779E2" w14:paraId="1A61902A" w14:textId="77777777" w:rsidTr="002F0DFA">
        <w:tc>
          <w:tcPr>
            <w:tcW w:w="1154" w:type="pct"/>
            <w:tcBorders>
              <w:top w:val="single" w:sz="4" w:space="0" w:color="auto"/>
              <w:left w:val="single" w:sz="4" w:space="0" w:color="auto"/>
              <w:bottom w:val="single" w:sz="4" w:space="0" w:color="auto"/>
              <w:right w:val="single" w:sz="4" w:space="0" w:color="auto"/>
            </w:tcBorders>
          </w:tcPr>
          <w:p w14:paraId="7B2CD40E" w14:textId="77777777" w:rsidR="008C5104" w:rsidRPr="007779E2" w:rsidRDefault="008C5104" w:rsidP="008C5104">
            <w:pPr>
              <w:spacing w:after="60"/>
              <w:rPr>
                <w:iCs/>
                <w:sz w:val="20"/>
              </w:rPr>
            </w:pPr>
            <w:r w:rsidRPr="007779E2">
              <w:rPr>
                <w:iCs/>
                <w:sz w:val="20"/>
              </w:rPr>
              <w:t xml:space="preserve">MCPCNS </w:t>
            </w:r>
            <w:r w:rsidRPr="007779E2">
              <w:rPr>
                <w:i/>
                <w:iCs/>
                <w:sz w:val="20"/>
                <w:vertAlign w:val="subscript"/>
              </w:rPr>
              <w:t>DAM</w:t>
            </w:r>
          </w:p>
        </w:tc>
        <w:tc>
          <w:tcPr>
            <w:tcW w:w="392" w:type="pct"/>
            <w:tcBorders>
              <w:top w:val="single" w:sz="4" w:space="0" w:color="auto"/>
              <w:left w:val="single" w:sz="4" w:space="0" w:color="auto"/>
              <w:bottom w:val="single" w:sz="4" w:space="0" w:color="auto"/>
              <w:right w:val="single" w:sz="4" w:space="0" w:color="auto"/>
            </w:tcBorders>
          </w:tcPr>
          <w:p w14:paraId="01D02130" w14:textId="77777777" w:rsidR="008C5104" w:rsidRPr="007779E2" w:rsidRDefault="008C5104" w:rsidP="008C5104">
            <w:pPr>
              <w:spacing w:after="60"/>
              <w:rPr>
                <w:iCs/>
                <w:sz w:val="20"/>
              </w:rPr>
            </w:pPr>
            <w:r w:rsidRPr="007779E2">
              <w:rPr>
                <w:iCs/>
                <w:sz w:val="20"/>
              </w:rPr>
              <w:t>$/MW per hour</w:t>
            </w:r>
          </w:p>
        </w:tc>
        <w:tc>
          <w:tcPr>
            <w:tcW w:w="3454" w:type="pct"/>
            <w:tcBorders>
              <w:top w:val="single" w:sz="4" w:space="0" w:color="auto"/>
              <w:left w:val="single" w:sz="4" w:space="0" w:color="auto"/>
              <w:bottom w:val="single" w:sz="4" w:space="0" w:color="auto"/>
              <w:right w:val="single" w:sz="4" w:space="0" w:color="auto"/>
            </w:tcBorders>
          </w:tcPr>
          <w:p w14:paraId="2895EAE8" w14:textId="77777777" w:rsidR="008C5104" w:rsidRPr="007779E2" w:rsidRDefault="008C5104" w:rsidP="008C5104">
            <w:pPr>
              <w:spacing w:after="60"/>
              <w:rPr>
                <w:i/>
                <w:iCs/>
                <w:sz w:val="20"/>
              </w:rPr>
            </w:pPr>
            <w:r w:rsidRPr="007779E2">
              <w:rPr>
                <w:i/>
                <w:iCs/>
                <w:sz w:val="20"/>
              </w:rPr>
              <w:t>Market Clearing Price for Capacity for Non-Spin in DAM</w:t>
            </w:r>
            <w:r w:rsidRPr="007779E2">
              <w:rPr>
                <w:iCs/>
                <w:sz w:val="20"/>
              </w:rPr>
              <w:t>—The DAM MCPC for Non-Spin</w:t>
            </w:r>
            <w:r w:rsidR="00EE4598" w:rsidRPr="007E46C9">
              <w:rPr>
                <w:iCs/>
                <w:sz w:val="20"/>
              </w:rPr>
              <w:t>,</w:t>
            </w:r>
            <w:r w:rsidRPr="007779E2">
              <w:rPr>
                <w:iCs/>
                <w:sz w:val="20"/>
              </w:rPr>
              <w:t xml:space="preserve"> for the hour.</w:t>
            </w:r>
          </w:p>
        </w:tc>
      </w:tr>
      <w:tr w:rsidR="008C5104" w:rsidRPr="007779E2" w14:paraId="5D857DCF" w14:textId="77777777" w:rsidTr="002F0DFA">
        <w:tc>
          <w:tcPr>
            <w:tcW w:w="1154" w:type="pct"/>
            <w:tcBorders>
              <w:top w:val="single" w:sz="4" w:space="0" w:color="auto"/>
              <w:left w:val="single" w:sz="4" w:space="0" w:color="auto"/>
              <w:bottom w:val="single" w:sz="4" w:space="0" w:color="auto"/>
              <w:right w:val="single" w:sz="4" w:space="0" w:color="auto"/>
            </w:tcBorders>
          </w:tcPr>
          <w:p w14:paraId="2BE4697C" w14:textId="77777777" w:rsidR="008C5104" w:rsidRPr="007779E2" w:rsidRDefault="008C5104" w:rsidP="008C5104">
            <w:pPr>
              <w:spacing w:after="60"/>
              <w:rPr>
                <w:iCs/>
                <w:sz w:val="20"/>
              </w:rPr>
            </w:pPr>
            <w:r w:rsidRPr="007779E2">
              <w:rPr>
                <w:iCs/>
                <w:sz w:val="20"/>
              </w:rPr>
              <w:t xml:space="preserve">NSINFQ </w:t>
            </w:r>
            <w:r w:rsidRPr="007779E2">
              <w:rPr>
                <w:i/>
                <w:iCs/>
                <w:sz w:val="20"/>
                <w:vertAlign w:val="subscript"/>
              </w:rPr>
              <w:t>q</w:t>
            </w:r>
          </w:p>
        </w:tc>
        <w:tc>
          <w:tcPr>
            <w:tcW w:w="392" w:type="pct"/>
            <w:tcBorders>
              <w:top w:val="single" w:sz="4" w:space="0" w:color="auto"/>
              <w:left w:val="single" w:sz="4" w:space="0" w:color="auto"/>
              <w:bottom w:val="single" w:sz="4" w:space="0" w:color="auto"/>
              <w:right w:val="single" w:sz="4" w:space="0" w:color="auto"/>
            </w:tcBorders>
          </w:tcPr>
          <w:p w14:paraId="74AF85CC" w14:textId="77777777" w:rsidR="008C5104" w:rsidRPr="007779E2" w:rsidRDefault="008C5104" w:rsidP="008C5104">
            <w:pPr>
              <w:spacing w:after="60"/>
              <w:rPr>
                <w:iCs/>
                <w:sz w:val="20"/>
              </w:rPr>
            </w:pPr>
            <w:r w:rsidRPr="007779E2">
              <w:rPr>
                <w:iCs/>
                <w:sz w:val="20"/>
              </w:rPr>
              <w:t>MW</w:t>
            </w:r>
          </w:p>
        </w:tc>
        <w:tc>
          <w:tcPr>
            <w:tcW w:w="3454" w:type="pct"/>
            <w:tcBorders>
              <w:top w:val="single" w:sz="4" w:space="0" w:color="auto"/>
              <w:left w:val="single" w:sz="4" w:space="0" w:color="auto"/>
              <w:bottom w:val="single" w:sz="4" w:space="0" w:color="auto"/>
              <w:right w:val="single" w:sz="4" w:space="0" w:color="auto"/>
            </w:tcBorders>
          </w:tcPr>
          <w:p w14:paraId="0CACD574" w14:textId="77777777" w:rsidR="008C5104" w:rsidRPr="007779E2" w:rsidRDefault="008C5104" w:rsidP="000809F8">
            <w:pPr>
              <w:spacing w:after="60"/>
              <w:rPr>
                <w:i/>
                <w:iCs/>
                <w:sz w:val="20"/>
              </w:rPr>
            </w:pPr>
            <w:r w:rsidRPr="007779E2">
              <w:rPr>
                <w:i/>
                <w:iCs/>
                <w:sz w:val="20"/>
              </w:rPr>
              <w:t>Non-Spin Infeasib</w:t>
            </w:r>
            <w:r w:rsidR="000809F8">
              <w:rPr>
                <w:i/>
                <w:iCs/>
                <w:sz w:val="20"/>
              </w:rPr>
              <w:t>le</w:t>
            </w:r>
            <w:r w:rsidRPr="007779E2">
              <w:rPr>
                <w:i/>
                <w:iCs/>
                <w:sz w:val="20"/>
              </w:rPr>
              <w:t xml:space="preserve"> Quantity per QSE—</w:t>
            </w:r>
            <w:r w:rsidRPr="007779E2">
              <w:rPr>
                <w:iCs/>
                <w:sz w:val="20"/>
              </w:rPr>
              <w:t xml:space="preserve">QSE </w:t>
            </w:r>
            <w:r w:rsidRPr="007779E2">
              <w:rPr>
                <w:i/>
                <w:iCs/>
                <w:sz w:val="20"/>
              </w:rPr>
              <w:t>q</w:t>
            </w:r>
            <w:r w:rsidRPr="007779E2">
              <w:rPr>
                <w:iCs/>
                <w:sz w:val="20"/>
              </w:rPr>
              <w:t xml:space="preserve">’s total capacity associated with </w:t>
            </w:r>
            <w:r>
              <w:rPr>
                <w:iCs/>
                <w:sz w:val="20"/>
              </w:rPr>
              <w:t xml:space="preserve">infeasible </w:t>
            </w:r>
            <w:r w:rsidRPr="007779E2">
              <w:rPr>
                <w:iCs/>
                <w:sz w:val="20"/>
              </w:rPr>
              <w:t>Ancillary Service Supply Responsibilit</w:t>
            </w:r>
            <w:r>
              <w:rPr>
                <w:iCs/>
                <w:sz w:val="20"/>
              </w:rPr>
              <w:t>ies</w:t>
            </w:r>
            <w:r w:rsidRPr="007779E2">
              <w:rPr>
                <w:iCs/>
                <w:sz w:val="20"/>
              </w:rPr>
              <w:t xml:space="preserve"> for Non-Spin, for the hour.</w:t>
            </w:r>
          </w:p>
        </w:tc>
      </w:tr>
      <w:tr w:rsidR="008C5104" w:rsidRPr="007779E2" w14:paraId="1C147B1E" w14:textId="77777777" w:rsidTr="002F0DFA">
        <w:tc>
          <w:tcPr>
            <w:tcW w:w="1154" w:type="pct"/>
            <w:tcBorders>
              <w:top w:val="single" w:sz="4" w:space="0" w:color="auto"/>
              <w:left w:val="single" w:sz="4" w:space="0" w:color="auto"/>
              <w:bottom w:val="single" w:sz="4" w:space="0" w:color="auto"/>
              <w:right w:val="single" w:sz="4" w:space="0" w:color="auto"/>
            </w:tcBorders>
          </w:tcPr>
          <w:p w14:paraId="653850A7" w14:textId="77777777" w:rsidR="008C5104" w:rsidRPr="007779E2" w:rsidRDefault="008C5104" w:rsidP="008C5104">
            <w:pPr>
              <w:spacing w:after="60"/>
              <w:rPr>
                <w:i/>
                <w:iCs/>
                <w:sz w:val="20"/>
              </w:rPr>
            </w:pPr>
            <w:r w:rsidRPr="007779E2">
              <w:rPr>
                <w:i/>
                <w:iCs/>
                <w:sz w:val="20"/>
              </w:rPr>
              <w:t>q</w:t>
            </w:r>
          </w:p>
        </w:tc>
        <w:tc>
          <w:tcPr>
            <w:tcW w:w="392" w:type="pct"/>
            <w:tcBorders>
              <w:top w:val="single" w:sz="4" w:space="0" w:color="auto"/>
              <w:left w:val="single" w:sz="4" w:space="0" w:color="auto"/>
              <w:bottom w:val="single" w:sz="4" w:space="0" w:color="auto"/>
              <w:right w:val="single" w:sz="4" w:space="0" w:color="auto"/>
            </w:tcBorders>
          </w:tcPr>
          <w:p w14:paraId="3C7B0A6F" w14:textId="77777777" w:rsidR="008C5104" w:rsidRPr="007779E2" w:rsidRDefault="008C5104" w:rsidP="008C5104">
            <w:pPr>
              <w:spacing w:after="60"/>
              <w:rPr>
                <w:iCs/>
                <w:sz w:val="20"/>
              </w:rPr>
            </w:pPr>
            <w:r w:rsidRPr="007779E2">
              <w:rPr>
                <w:iCs/>
                <w:sz w:val="20"/>
              </w:rPr>
              <w:t>none</w:t>
            </w:r>
          </w:p>
        </w:tc>
        <w:tc>
          <w:tcPr>
            <w:tcW w:w="3454" w:type="pct"/>
            <w:tcBorders>
              <w:top w:val="single" w:sz="4" w:space="0" w:color="auto"/>
              <w:left w:val="single" w:sz="4" w:space="0" w:color="auto"/>
              <w:bottom w:val="single" w:sz="4" w:space="0" w:color="auto"/>
              <w:right w:val="single" w:sz="4" w:space="0" w:color="auto"/>
            </w:tcBorders>
          </w:tcPr>
          <w:p w14:paraId="574C1027" w14:textId="77777777" w:rsidR="008C5104" w:rsidRPr="007779E2" w:rsidRDefault="008C5104" w:rsidP="008C5104">
            <w:pPr>
              <w:spacing w:after="60"/>
              <w:rPr>
                <w:iCs/>
                <w:sz w:val="20"/>
              </w:rPr>
            </w:pPr>
            <w:r w:rsidRPr="007779E2">
              <w:rPr>
                <w:iCs/>
                <w:sz w:val="20"/>
              </w:rPr>
              <w:t>A QSE.</w:t>
            </w:r>
          </w:p>
        </w:tc>
      </w:tr>
    </w:tbl>
    <w:p w14:paraId="6C1D4F06" w14:textId="77777777" w:rsidR="002F0DFA" w:rsidRPr="00BA035F" w:rsidRDefault="002F0DFA" w:rsidP="002F0DFA">
      <w:pPr>
        <w:spacing w:before="240" w:after="240"/>
        <w:ind w:left="1440" w:hanging="720"/>
      </w:pPr>
      <w:r>
        <w:rPr>
          <w:iCs/>
        </w:rPr>
        <w:t>(e)</w:t>
      </w:r>
      <w:r>
        <w:rPr>
          <w:iCs/>
        </w:rPr>
        <w:tab/>
      </w:r>
      <w:r w:rsidRPr="00BA035F">
        <w:rPr>
          <w:iCs/>
        </w:rPr>
        <w:t xml:space="preserve">For ECRS, if applicable: </w:t>
      </w:r>
    </w:p>
    <w:p w14:paraId="3B6D799D" w14:textId="77777777" w:rsidR="002F0DFA" w:rsidRPr="00BA035F" w:rsidRDefault="002F0DFA" w:rsidP="002F0DFA">
      <w:pPr>
        <w:ind w:left="720" w:firstLine="720"/>
        <w:rPr>
          <w:b/>
          <w:vertAlign w:val="subscript"/>
        </w:rPr>
      </w:pPr>
      <w:r w:rsidRPr="00BA035F">
        <w:rPr>
          <w:b/>
        </w:rPr>
        <w:t xml:space="preserve">ECRINFQAMT </w:t>
      </w:r>
      <w:r w:rsidRPr="00BA035F">
        <w:rPr>
          <w:b/>
          <w:i/>
          <w:vertAlign w:val="subscript"/>
        </w:rPr>
        <w:t>q</w:t>
      </w:r>
      <w:r w:rsidRPr="00BA035F">
        <w:rPr>
          <w:b/>
        </w:rPr>
        <w:t xml:space="preserve"> =  MCPCECR </w:t>
      </w:r>
      <w:r w:rsidRPr="00BA035F">
        <w:rPr>
          <w:b/>
          <w:i/>
          <w:vertAlign w:val="subscript"/>
        </w:rPr>
        <w:t>DAM</w:t>
      </w:r>
      <w:r w:rsidRPr="00BA035F">
        <w:rPr>
          <w:b/>
        </w:rPr>
        <w:t xml:space="preserve"> * ECRINFQ </w:t>
      </w:r>
      <w:r w:rsidRPr="00BA035F">
        <w:rPr>
          <w:b/>
          <w:i/>
          <w:vertAlign w:val="subscript"/>
        </w:rPr>
        <w:t>q</w:t>
      </w:r>
    </w:p>
    <w:p w14:paraId="71DF4D2E" w14:textId="77777777" w:rsidR="002F0DFA" w:rsidRPr="00BA035F" w:rsidRDefault="002F0DFA" w:rsidP="002F0DFA">
      <w:pPr>
        <w:ind w:firstLine="720"/>
      </w:pPr>
    </w:p>
    <w:p w14:paraId="1EA0D30D" w14:textId="77777777" w:rsidR="002F0DFA" w:rsidRPr="00BA035F" w:rsidRDefault="002F0DFA" w:rsidP="002F0DFA">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2F0DFA" w:rsidRPr="00BA035F" w14:paraId="42B144A3" w14:textId="77777777" w:rsidTr="00B82144">
        <w:tc>
          <w:tcPr>
            <w:tcW w:w="1162" w:type="pct"/>
          </w:tcPr>
          <w:p w14:paraId="1ACD5E96" w14:textId="77777777" w:rsidR="002F0DFA" w:rsidRPr="00BA035F" w:rsidRDefault="002F0DFA" w:rsidP="00B82144">
            <w:pPr>
              <w:spacing w:after="240"/>
              <w:rPr>
                <w:b/>
                <w:iCs/>
                <w:sz w:val="20"/>
              </w:rPr>
            </w:pPr>
            <w:r w:rsidRPr="00BA035F">
              <w:rPr>
                <w:b/>
                <w:iCs/>
                <w:sz w:val="20"/>
              </w:rPr>
              <w:t>Variable</w:t>
            </w:r>
          </w:p>
        </w:tc>
        <w:tc>
          <w:tcPr>
            <w:tcW w:w="386" w:type="pct"/>
          </w:tcPr>
          <w:p w14:paraId="53B25132" w14:textId="77777777" w:rsidR="002F0DFA" w:rsidRPr="00BA035F" w:rsidRDefault="002F0DFA" w:rsidP="00B82144">
            <w:pPr>
              <w:spacing w:after="240"/>
              <w:rPr>
                <w:b/>
                <w:iCs/>
                <w:sz w:val="20"/>
              </w:rPr>
            </w:pPr>
            <w:r w:rsidRPr="00BA035F">
              <w:rPr>
                <w:b/>
                <w:iCs/>
                <w:sz w:val="20"/>
              </w:rPr>
              <w:t>Unit</w:t>
            </w:r>
          </w:p>
        </w:tc>
        <w:tc>
          <w:tcPr>
            <w:tcW w:w="3452" w:type="pct"/>
          </w:tcPr>
          <w:p w14:paraId="7AE1C78C" w14:textId="77777777" w:rsidR="002F0DFA" w:rsidRPr="00BA035F" w:rsidRDefault="002F0DFA" w:rsidP="00B82144">
            <w:pPr>
              <w:spacing w:after="240"/>
              <w:rPr>
                <w:b/>
                <w:iCs/>
                <w:sz w:val="20"/>
              </w:rPr>
            </w:pPr>
            <w:r w:rsidRPr="00BA035F">
              <w:rPr>
                <w:b/>
                <w:iCs/>
                <w:sz w:val="20"/>
              </w:rPr>
              <w:t>Description</w:t>
            </w:r>
          </w:p>
        </w:tc>
      </w:tr>
      <w:tr w:rsidR="002F0DFA" w:rsidRPr="00BA035F" w14:paraId="324EF5D3" w14:textId="77777777" w:rsidTr="00B82144">
        <w:tc>
          <w:tcPr>
            <w:tcW w:w="1162" w:type="pct"/>
          </w:tcPr>
          <w:p w14:paraId="25A307F2" w14:textId="77777777" w:rsidR="002F0DFA" w:rsidRPr="00BA035F" w:rsidRDefault="002F0DFA" w:rsidP="00B82144">
            <w:pPr>
              <w:spacing w:after="60"/>
              <w:rPr>
                <w:iCs/>
                <w:sz w:val="20"/>
              </w:rPr>
            </w:pPr>
            <w:r w:rsidRPr="00BA035F">
              <w:rPr>
                <w:iCs/>
                <w:sz w:val="20"/>
              </w:rPr>
              <w:t xml:space="preserve">ECRINFQAMT </w:t>
            </w:r>
            <w:r w:rsidRPr="00BA035F">
              <w:rPr>
                <w:i/>
                <w:iCs/>
                <w:sz w:val="20"/>
                <w:vertAlign w:val="subscript"/>
              </w:rPr>
              <w:t>q</w:t>
            </w:r>
          </w:p>
        </w:tc>
        <w:tc>
          <w:tcPr>
            <w:tcW w:w="386" w:type="pct"/>
          </w:tcPr>
          <w:p w14:paraId="7A748383" w14:textId="77777777" w:rsidR="002F0DFA" w:rsidRPr="00BA035F" w:rsidRDefault="002F0DFA" w:rsidP="00B82144">
            <w:pPr>
              <w:spacing w:after="60"/>
              <w:rPr>
                <w:iCs/>
                <w:sz w:val="20"/>
              </w:rPr>
            </w:pPr>
            <w:r w:rsidRPr="00BA035F">
              <w:rPr>
                <w:iCs/>
                <w:sz w:val="20"/>
              </w:rPr>
              <w:t>$</w:t>
            </w:r>
          </w:p>
        </w:tc>
        <w:tc>
          <w:tcPr>
            <w:tcW w:w="3452" w:type="pct"/>
          </w:tcPr>
          <w:p w14:paraId="62E6260F" w14:textId="77777777" w:rsidR="002F0DFA" w:rsidRPr="00BA035F" w:rsidRDefault="002F0DFA" w:rsidP="00B82144">
            <w:pPr>
              <w:spacing w:after="60"/>
              <w:rPr>
                <w:iCs/>
                <w:sz w:val="20"/>
              </w:rPr>
            </w:pPr>
            <w:r w:rsidRPr="00BA035F">
              <w:rPr>
                <w:i/>
                <w:iCs/>
                <w:sz w:val="20"/>
              </w:rPr>
              <w:t>ERCOT Contingency Reserve Service Infeasible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infeasible deployment of Ancillary Service Supply Responsibilities for ECRS, for the hour.</w:t>
            </w:r>
          </w:p>
        </w:tc>
      </w:tr>
      <w:tr w:rsidR="002F0DFA" w:rsidRPr="00BA035F" w14:paraId="75F11DB2" w14:textId="77777777" w:rsidTr="00B82144">
        <w:tc>
          <w:tcPr>
            <w:tcW w:w="1162" w:type="pct"/>
            <w:tcBorders>
              <w:top w:val="single" w:sz="4" w:space="0" w:color="auto"/>
              <w:left w:val="single" w:sz="4" w:space="0" w:color="auto"/>
              <w:bottom w:val="single" w:sz="4" w:space="0" w:color="auto"/>
              <w:right w:val="single" w:sz="4" w:space="0" w:color="auto"/>
            </w:tcBorders>
          </w:tcPr>
          <w:p w14:paraId="1A397A78" w14:textId="77777777" w:rsidR="002F0DFA" w:rsidRPr="00BA035F" w:rsidRDefault="002F0DFA" w:rsidP="00B82144">
            <w:pPr>
              <w:spacing w:after="60"/>
              <w:rPr>
                <w:iCs/>
                <w:sz w:val="20"/>
              </w:rPr>
            </w:pPr>
            <w:r w:rsidRPr="00BA035F">
              <w:rPr>
                <w:iCs/>
                <w:sz w:val="20"/>
              </w:rPr>
              <w:t xml:space="preserve">MCPCECR </w:t>
            </w:r>
            <w:r w:rsidRPr="00BA035F">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2A1C06C4" w14:textId="77777777" w:rsidR="002F0DFA" w:rsidRPr="00BA035F" w:rsidRDefault="002F0DFA" w:rsidP="00B82144">
            <w:pPr>
              <w:spacing w:after="60"/>
              <w:rPr>
                <w:iCs/>
                <w:sz w:val="20"/>
              </w:rPr>
            </w:pPr>
            <w:r w:rsidRPr="00BA035F">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103C5763" w14:textId="77777777" w:rsidR="002F0DFA" w:rsidRPr="00BA035F" w:rsidRDefault="002F0DFA" w:rsidP="00B82144">
            <w:pPr>
              <w:spacing w:after="60"/>
              <w:rPr>
                <w:i/>
                <w:iCs/>
                <w:sz w:val="20"/>
              </w:rPr>
            </w:pPr>
            <w:r w:rsidRPr="00BA035F">
              <w:rPr>
                <w:i/>
                <w:iCs/>
                <w:sz w:val="20"/>
              </w:rPr>
              <w:t>Market Clearing Price for Capacity for ERCOT Contingency Reserve Service in DAM</w:t>
            </w:r>
            <w:r w:rsidRPr="00BA035F">
              <w:rPr>
                <w:iCs/>
                <w:sz w:val="20"/>
              </w:rPr>
              <w:t>—The DAM MCPC for ECRS, for the hour.</w:t>
            </w:r>
          </w:p>
        </w:tc>
      </w:tr>
      <w:tr w:rsidR="002F0DFA" w:rsidRPr="00BA035F" w14:paraId="79F0CEBD" w14:textId="77777777" w:rsidTr="00B82144">
        <w:tc>
          <w:tcPr>
            <w:tcW w:w="1162" w:type="pct"/>
            <w:tcBorders>
              <w:top w:val="single" w:sz="4" w:space="0" w:color="auto"/>
              <w:left w:val="single" w:sz="4" w:space="0" w:color="auto"/>
              <w:bottom w:val="single" w:sz="4" w:space="0" w:color="auto"/>
              <w:right w:val="single" w:sz="4" w:space="0" w:color="auto"/>
            </w:tcBorders>
          </w:tcPr>
          <w:p w14:paraId="3E0D205D" w14:textId="77777777" w:rsidR="002F0DFA" w:rsidRPr="00BA035F" w:rsidRDefault="002F0DFA" w:rsidP="00B82144">
            <w:pPr>
              <w:spacing w:after="60"/>
              <w:rPr>
                <w:iCs/>
                <w:sz w:val="20"/>
              </w:rPr>
            </w:pPr>
            <w:r w:rsidRPr="00BA035F">
              <w:rPr>
                <w:iCs/>
                <w:sz w:val="20"/>
              </w:rPr>
              <w:lastRenderedPageBreak/>
              <w:t xml:space="preserve">ECRINFQ </w:t>
            </w:r>
            <w:r w:rsidRPr="00BA035F">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189F5C71" w14:textId="77777777" w:rsidR="002F0DFA" w:rsidRPr="00BA035F" w:rsidRDefault="002F0DFA" w:rsidP="00B82144">
            <w:pPr>
              <w:spacing w:after="60"/>
              <w:rPr>
                <w:iCs/>
                <w:sz w:val="20"/>
              </w:rPr>
            </w:pPr>
            <w:r w:rsidRPr="00BA035F">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34AA078F" w14:textId="77777777" w:rsidR="002F0DFA" w:rsidRPr="00BA035F" w:rsidRDefault="002F0DFA" w:rsidP="00B82144">
            <w:pPr>
              <w:spacing w:after="60"/>
              <w:rPr>
                <w:i/>
                <w:iCs/>
                <w:sz w:val="20"/>
              </w:rPr>
            </w:pPr>
            <w:r w:rsidRPr="00BA035F">
              <w:rPr>
                <w:i/>
                <w:iCs/>
                <w:sz w:val="20"/>
              </w:rPr>
              <w:t>ERCOT Contingency Reserve Service Infeasib</w:t>
            </w:r>
            <w:r>
              <w:rPr>
                <w:i/>
                <w:iCs/>
                <w:sz w:val="20"/>
              </w:rPr>
              <w:t>le</w:t>
            </w:r>
            <w:r w:rsidRPr="00BA035F">
              <w:rPr>
                <w:i/>
                <w:iCs/>
                <w:sz w:val="20"/>
              </w:rPr>
              <w:t xml:space="preserve"> Quantity per QSE —</w:t>
            </w:r>
            <w:r w:rsidRPr="00BA035F">
              <w:rPr>
                <w:iCs/>
                <w:sz w:val="20"/>
              </w:rPr>
              <w:t xml:space="preserve">QSE </w:t>
            </w:r>
            <w:r w:rsidRPr="00BA035F">
              <w:rPr>
                <w:i/>
                <w:iCs/>
                <w:sz w:val="20"/>
              </w:rPr>
              <w:t>q</w:t>
            </w:r>
            <w:r w:rsidRPr="00BA035F">
              <w:rPr>
                <w:iCs/>
                <w:sz w:val="20"/>
              </w:rPr>
              <w:t>’s total capacity associated with infeasible</w:t>
            </w:r>
            <w:r w:rsidRPr="00BA035F">
              <w:rPr>
                <w:i/>
                <w:iCs/>
                <w:sz w:val="20"/>
              </w:rPr>
              <w:t xml:space="preserve"> </w:t>
            </w:r>
            <w:r w:rsidRPr="00BA035F">
              <w:rPr>
                <w:iCs/>
                <w:sz w:val="20"/>
              </w:rPr>
              <w:t>Ancillary Service Supply Responsibilities</w:t>
            </w:r>
            <w:r w:rsidRPr="00BA035F">
              <w:rPr>
                <w:i/>
                <w:iCs/>
                <w:sz w:val="20"/>
              </w:rPr>
              <w:t xml:space="preserve"> </w:t>
            </w:r>
            <w:r w:rsidRPr="00BA035F">
              <w:rPr>
                <w:iCs/>
                <w:sz w:val="20"/>
              </w:rPr>
              <w:t>for ECRS, for the hour.</w:t>
            </w:r>
          </w:p>
        </w:tc>
      </w:tr>
      <w:tr w:rsidR="002F0DFA" w:rsidRPr="00BA035F" w14:paraId="5B123DAF" w14:textId="77777777" w:rsidTr="00B82144">
        <w:tc>
          <w:tcPr>
            <w:tcW w:w="1162" w:type="pct"/>
            <w:tcBorders>
              <w:top w:val="single" w:sz="4" w:space="0" w:color="auto"/>
              <w:left w:val="single" w:sz="4" w:space="0" w:color="auto"/>
              <w:bottom w:val="single" w:sz="4" w:space="0" w:color="auto"/>
              <w:right w:val="single" w:sz="4" w:space="0" w:color="auto"/>
            </w:tcBorders>
          </w:tcPr>
          <w:p w14:paraId="2638280A" w14:textId="77777777" w:rsidR="002F0DFA" w:rsidRPr="00BA035F" w:rsidRDefault="002F0DFA" w:rsidP="00B82144">
            <w:pPr>
              <w:spacing w:after="60"/>
              <w:rPr>
                <w:i/>
                <w:iCs/>
                <w:sz w:val="20"/>
              </w:rPr>
            </w:pPr>
            <w:r w:rsidRPr="00BA035F">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5364D961" w14:textId="77777777" w:rsidR="002F0DFA" w:rsidRPr="00BA035F" w:rsidRDefault="002F0DFA" w:rsidP="00B82144">
            <w:pPr>
              <w:spacing w:after="60"/>
              <w:rPr>
                <w:iCs/>
                <w:sz w:val="20"/>
              </w:rPr>
            </w:pPr>
            <w:r w:rsidRPr="00BA035F">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5EF43E98" w14:textId="77777777" w:rsidR="002F0DFA" w:rsidRPr="00BA035F" w:rsidRDefault="002F0DFA" w:rsidP="00B82144">
            <w:pPr>
              <w:spacing w:after="60"/>
              <w:rPr>
                <w:iCs/>
                <w:sz w:val="20"/>
              </w:rPr>
            </w:pPr>
            <w:r w:rsidRPr="00BA035F">
              <w:rPr>
                <w:iCs/>
                <w:sz w:val="20"/>
              </w:rPr>
              <w:t>A QSE.</w:t>
            </w:r>
          </w:p>
        </w:tc>
      </w:tr>
    </w:tbl>
    <w:p w14:paraId="58C3E44C" w14:textId="77777777" w:rsidR="00036295" w:rsidRDefault="00036295"/>
    <w:p w14:paraId="6ED1733B" w14:textId="77777777" w:rsidR="00221BB6" w:rsidRPr="00221BB6" w:rsidRDefault="00221BB6" w:rsidP="00221BB6">
      <w:bookmarkStart w:id="2712" w:name="_Toc468286892"/>
      <w:bookmarkStart w:id="2713" w:name="_Toc481502932"/>
      <w:bookmarkStart w:id="2714" w:name="_Toc49608010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1ED1E223" w14:textId="77777777" w:rsidTr="001138B9">
        <w:trPr>
          <w:trHeight w:val="206"/>
        </w:trPr>
        <w:tc>
          <w:tcPr>
            <w:tcW w:w="9350" w:type="dxa"/>
            <w:shd w:val="pct12" w:color="auto" w:fill="auto"/>
          </w:tcPr>
          <w:p w14:paraId="743E8DC6" w14:textId="586D0FF2" w:rsidR="00221BB6" w:rsidRPr="00B06583" w:rsidRDefault="00221BB6" w:rsidP="007656A7">
            <w:pPr>
              <w:pStyle w:val="Instructions"/>
              <w:spacing w:before="120"/>
            </w:pPr>
            <w:r>
              <w:t>[NPRR1010:  Delete Section 6.7.2.1 above upon system implementation of the Real-Time Co-Optimization (RTC) project</w:t>
            </w:r>
            <w:r w:rsidR="008C3F9B">
              <w:t>.</w:t>
            </w:r>
            <w:r>
              <w:t>]</w:t>
            </w:r>
          </w:p>
        </w:tc>
      </w:tr>
    </w:tbl>
    <w:p w14:paraId="2CEA73F7" w14:textId="77777777" w:rsidR="00D655D2" w:rsidRDefault="00D655D2" w:rsidP="00D655D2">
      <w:pPr>
        <w:pStyle w:val="H3"/>
        <w:spacing w:before="0" w:after="0"/>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D655D2" w:rsidRPr="00E566EB" w14:paraId="15E064E1" w14:textId="77777777" w:rsidTr="00236030">
        <w:tc>
          <w:tcPr>
            <w:tcW w:w="9558" w:type="dxa"/>
            <w:shd w:val="pct12" w:color="auto" w:fill="auto"/>
          </w:tcPr>
          <w:p w14:paraId="396FA34C" w14:textId="77777777" w:rsidR="00D655D2" w:rsidRDefault="00D655D2" w:rsidP="00236030">
            <w:pPr>
              <w:pStyle w:val="Instructions"/>
              <w:spacing w:before="120"/>
            </w:pPr>
            <w:r>
              <w:t>[NPRR841</w:t>
            </w:r>
            <w:r w:rsidR="003C1ACD">
              <w:t xml:space="preserve"> and NPRR863</w:t>
            </w:r>
            <w:r>
              <w:t xml:space="preserve">:  Insert </w:t>
            </w:r>
            <w:r w:rsidR="003C1ACD">
              <w:t xml:space="preserve">applicable portions of </w:t>
            </w:r>
            <w:r>
              <w:t>Section 6.7.2.2 below upon system implementation:]</w:t>
            </w:r>
          </w:p>
          <w:p w14:paraId="0AD868EA" w14:textId="77777777" w:rsidR="00F46726" w:rsidRPr="000547B6" w:rsidRDefault="00F46726" w:rsidP="00F46726">
            <w:pPr>
              <w:keepNext/>
              <w:widowControl w:val="0"/>
              <w:tabs>
                <w:tab w:val="left" w:pos="1260"/>
              </w:tabs>
              <w:spacing w:after="240"/>
              <w:ind w:left="1260" w:hanging="1260"/>
              <w:outlineLvl w:val="3"/>
              <w:rPr>
                <w:b/>
              </w:rPr>
            </w:pPr>
            <w:bookmarkStart w:id="2715" w:name="_Toc189044488"/>
            <w:r w:rsidRPr="00D04014">
              <w:rPr>
                <w:b/>
              </w:rPr>
              <w:t>6.7.2.2</w:t>
            </w:r>
            <w:r w:rsidRPr="00D04014">
              <w:rPr>
                <w:b/>
              </w:rPr>
              <w:tab/>
              <w:t xml:space="preserve">Real-Time Adjustments to </w:t>
            </w:r>
            <w:r>
              <w:rPr>
                <w:b/>
              </w:rPr>
              <w:t>Day-Ahead Make Whole Payments</w:t>
            </w:r>
            <w:r w:rsidRPr="00D04014">
              <w:rPr>
                <w:b/>
              </w:rPr>
              <w:t xml:space="preserve"> due to Ancillary Services Infeasibility Charges</w:t>
            </w:r>
            <w:bookmarkEnd w:id="2715"/>
          </w:p>
          <w:p w14:paraId="2B3D855E" w14:textId="77777777" w:rsidR="00F46726" w:rsidRDefault="00F46726" w:rsidP="00F46726">
            <w:pPr>
              <w:spacing w:after="240"/>
              <w:ind w:left="720" w:hanging="720"/>
            </w:pPr>
            <w:r w:rsidRPr="007E46C9">
              <w:rPr>
                <w:iCs/>
              </w:rPr>
              <w:t>(</w:t>
            </w:r>
            <w:r>
              <w:rPr>
                <w:iCs/>
              </w:rPr>
              <w:t>1</w:t>
            </w:r>
            <w:r w:rsidRPr="007E46C9">
              <w:rPr>
                <w:iCs/>
              </w:rPr>
              <w:t>)</w:t>
            </w:r>
            <w:r w:rsidRPr="007E46C9">
              <w:rPr>
                <w:iCs/>
              </w:rPr>
              <w:tab/>
            </w:r>
            <w:r>
              <w:rPr>
                <w:iCs/>
              </w:rPr>
              <w:t>ERCOT shall pay the</w:t>
            </w:r>
            <w:r w:rsidRPr="007E46C9">
              <w:rPr>
                <w:iCs/>
              </w:rPr>
              <w:t xml:space="preserve"> QSE for which ERCOT </w:t>
            </w:r>
            <w:r>
              <w:rPr>
                <w:iCs/>
              </w:rPr>
              <w:t xml:space="preserve">calculates a charge for infeasible </w:t>
            </w:r>
            <w:r w:rsidRPr="007E46C9">
              <w:rPr>
                <w:iCs/>
              </w:rPr>
              <w:t xml:space="preserve">Ancillary Service </w:t>
            </w:r>
            <w:r>
              <w:rPr>
                <w:iCs/>
              </w:rPr>
              <w:t>capacity due to transmission constraints a Real-Time Day-Ahead Make-Whole Payment for an eligible Resource for each Operating Hour in a DAM commitment period.</w:t>
            </w:r>
          </w:p>
          <w:p w14:paraId="72322F00" w14:textId="77777777" w:rsidR="00F46726" w:rsidRPr="007E46C9" w:rsidRDefault="00F46726" w:rsidP="00F46726">
            <w:pPr>
              <w:spacing w:after="240"/>
              <w:ind w:left="720" w:hanging="720"/>
              <w:rPr>
                <w:iCs/>
              </w:rPr>
            </w:pPr>
            <w:r>
              <w:rPr>
                <w:lang w:val="pt-BR"/>
              </w:rPr>
              <w:t>(2)</w:t>
            </w:r>
            <w:r>
              <w:rPr>
                <w:lang w:val="pt-BR"/>
              </w:rPr>
              <w:tab/>
              <w:t>T</w:t>
            </w:r>
            <w:r w:rsidRPr="00A16315">
              <w:rPr>
                <w:lang w:val="pt-BR"/>
              </w:rPr>
              <w:t xml:space="preserve">he guaranteed cost, energy revenue, and </w:t>
            </w:r>
            <w:r>
              <w:rPr>
                <w:lang w:val="pt-BR"/>
              </w:rPr>
              <w:t>A</w:t>
            </w:r>
            <w:r w:rsidRPr="00A16315">
              <w:rPr>
                <w:lang w:val="pt-BR"/>
              </w:rPr>
              <w:t xml:space="preserve">ncillary </w:t>
            </w:r>
            <w:r>
              <w:rPr>
                <w:lang w:val="pt-BR"/>
              </w:rPr>
              <w:t>S</w:t>
            </w:r>
            <w:r w:rsidRPr="00A16315">
              <w:rPr>
                <w:lang w:val="pt-BR"/>
              </w:rPr>
              <w:t xml:space="preserve">ervice revenue calculated for each Combined Cycle Generation Resource are each summed for the Combined Cycle Train, and the </w:t>
            </w:r>
            <w:r>
              <w:rPr>
                <w:lang w:val="pt-BR"/>
              </w:rPr>
              <w:t xml:space="preserve">Real-Time </w:t>
            </w:r>
            <w:r>
              <w:rPr>
                <w:iCs/>
              </w:rPr>
              <w:t>Day-Ahead</w:t>
            </w:r>
            <w:r>
              <w:rPr>
                <w:lang w:val="pt-BR"/>
              </w:rPr>
              <w:t xml:space="preserve"> M</w:t>
            </w:r>
            <w:r w:rsidRPr="00A16315">
              <w:rPr>
                <w:lang w:val="pt-BR"/>
              </w:rPr>
              <w:t xml:space="preserve">ake-Whole Amount is calculated for the Combined Cycle </w:t>
            </w:r>
            <w:r>
              <w:rPr>
                <w:lang w:val="pt-BR"/>
              </w:rPr>
              <w:t>Train.</w:t>
            </w:r>
          </w:p>
          <w:p w14:paraId="0A421AA0" w14:textId="77777777" w:rsidR="00F46726" w:rsidRPr="009E5A27" w:rsidRDefault="00F46726" w:rsidP="00F46726">
            <w:pPr>
              <w:pStyle w:val="FormulaBold"/>
            </w:pPr>
            <w:r w:rsidRPr="00A331D7">
              <w:rPr>
                <w:iCs/>
              </w:rPr>
              <w:t xml:space="preserve"> </w:t>
            </w:r>
            <w:r w:rsidRPr="00A331D7">
              <w:rPr>
                <w:color w:val="000000"/>
              </w:rPr>
              <w:t>RTDAMWAMT</w:t>
            </w:r>
            <w:r w:rsidRPr="00A331D7">
              <w:rPr>
                <w:i/>
                <w:vertAlign w:val="subscript"/>
              </w:rPr>
              <w:t xml:space="preserve"> q, r,</w:t>
            </w:r>
            <w:r w:rsidR="00E74C8B">
              <w:rPr>
                <w:i/>
                <w:vertAlign w:val="subscript"/>
              </w:rPr>
              <w:t xml:space="preserve"> </w:t>
            </w:r>
            <w:r w:rsidRPr="00A331D7">
              <w:rPr>
                <w:i/>
                <w:vertAlign w:val="subscript"/>
              </w:rPr>
              <w:t xml:space="preserve">p, h  </w:t>
            </w:r>
            <w:r w:rsidRPr="00A331D7">
              <w:t>=  (-1)*Max(0,</w:t>
            </w:r>
            <w:r w:rsidRPr="00A331D7">
              <w:rPr>
                <w:i/>
                <w:vertAlign w:val="subscript"/>
              </w:rPr>
              <w:t xml:space="preserve"> </w:t>
            </w:r>
            <w:r w:rsidRPr="00A331D7">
              <w:t>DAMGCOST</w:t>
            </w:r>
            <w:r w:rsidR="001F0DC8">
              <w:t xml:space="preserve"> </w:t>
            </w:r>
            <w:r w:rsidR="00065EC3" w:rsidRPr="00A331D7">
              <w:rPr>
                <w:i/>
                <w:color w:val="000000"/>
                <w:vertAlign w:val="subscript"/>
              </w:rPr>
              <w:t>q</w:t>
            </w:r>
            <w:r w:rsidR="00065EC3" w:rsidRPr="00A331D7">
              <w:rPr>
                <w:i/>
                <w:vertAlign w:val="subscript"/>
              </w:rPr>
              <w:t>,</w:t>
            </w:r>
            <w:r w:rsidR="00065EC3">
              <w:rPr>
                <w:i/>
                <w:vertAlign w:val="subscript"/>
              </w:rPr>
              <w:t xml:space="preserve"> </w:t>
            </w:r>
            <w:r w:rsidR="00065EC3" w:rsidRPr="00A331D7">
              <w:rPr>
                <w:i/>
                <w:vertAlign w:val="subscript"/>
              </w:rPr>
              <w:t>r, p</w:t>
            </w:r>
            <w:r w:rsidR="00065EC3" w:rsidRPr="00A331D7">
              <w:t xml:space="preserve"> </w:t>
            </w:r>
            <w:r w:rsidRPr="00A331D7">
              <w:t xml:space="preserve">+ </w:t>
            </w:r>
            <w:r w:rsidRPr="00A331D7">
              <w:rPr>
                <w:position w:val="-28"/>
              </w:rPr>
              <w:object w:dxaOrig="460" w:dyaOrig="540" w14:anchorId="4008BF36">
                <v:shape id="_x0000_i1326" type="#_x0000_t75" style="width:18pt;height:30pt" o:ole="">
                  <v:imagedata r:id="rId404" o:title=""/>
                </v:shape>
                <o:OLEObject Type="Embed" ProgID="Equation.3" ShapeID="_x0000_i1326" DrawAspect="Content" ObjectID="_1804653809" r:id="rId405"/>
              </w:object>
            </w:r>
            <w:r w:rsidRPr="00A331D7">
              <w:t>DAEREV</w:t>
            </w:r>
            <w:r w:rsidR="001F0DC8">
              <w:t xml:space="preserve"> </w:t>
            </w:r>
            <w:r w:rsidRPr="00A331D7">
              <w:rPr>
                <w:i/>
                <w:vertAlign w:val="subscript"/>
              </w:rPr>
              <w:t xml:space="preserve">q, r, p, h </w:t>
            </w:r>
            <w:r w:rsidRPr="00A331D7">
              <w:t xml:space="preserve">+ </w:t>
            </w:r>
            <w:r w:rsidRPr="00A331D7">
              <w:rPr>
                <w:position w:val="-28"/>
              </w:rPr>
              <w:object w:dxaOrig="460" w:dyaOrig="540" w14:anchorId="2A9C580E">
                <v:shape id="_x0000_i1327" type="#_x0000_t75" style="width:18pt;height:30pt" o:ole="">
                  <v:imagedata r:id="rId404" o:title=""/>
                </v:shape>
                <o:OLEObject Type="Embed" ProgID="Equation.3" ShapeID="_x0000_i1327" DrawAspect="Content" ObjectID="_1804653810" r:id="rId406"/>
              </w:object>
            </w:r>
            <w:r w:rsidRPr="00A331D7">
              <w:t>INFQAR</w:t>
            </w:r>
            <w:r w:rsidR="001F0DC8">
              <w:t xml:space="preserve"> </w:t>
            </w:r>
            <w:r w:rsidRPr="00A331D7">
              <w:rPr>
                <w:i/>
                <w:vertAlign w:val="subscript"/>
              </w:rPr>
              <w:t>q, r, p, h</w:t>
            </w:r>
            <w:r w:rsidRPr="00A331D7">
              <w:t xml:space="preserve"> + </w:t>
            </w:r>
            <w:r w:rsidRPr="00A331D7">
              <w:rPr>
                <w:position w:val="-28"/>
              </w:rPr>
              <w:object w:dxaOrig="460" w:dyaOrig="540" w14:anchorId="4AEAD7F8">
                <v:shape id="_x0000_i1328" type="#_x0000_t75" style="width:18pt;height:30pt" o:ole="">
                  <v:imagedata r:id="rId404" o:title=""/>
                </v:shape>
                <o:OLEObject Type="Embed" ProgID="Equation.3" ShapeID="_x0000_i1328" DrawAspect="Content" ObjectID="_1804653811" r:id="rId407"/>
              </w:object>
            </w:r>
            <w:r w:rsidRPr="00A331D7">
              <w:t>DAASREV</w:t>
            </w:r>
            <w:r w:rsidRPr="00A331D7">
              <w:rPr>
                <w:i/>
                <w:vertAlign w:val="subscript"/>
              </w:rPr>
              <w:t xml:space="preserve"> q, r, h</w:t>
            </w:r>
            <w:r w:rsidRPr="00A331D7">
              <w:t xml:space="preserve"> + </w:t>
            </w:r>
            <w:r w:rsidRPr="00A331D7">
              <w:rPr>
                <w:position w:val="-28"/>
              </w:rPr>
              <w:object w:dxaOrig="460" w:dyaOrig="540" w14:anchorId="2E6C187E">
                <v:shape id="_x0000_i1329" type="#_x0000_t75" style="width:18pt;height:30pt" o:ole="">
                  <v:imagedata r:id="rId404" o:title=""/>
                </v:shape>
                <o:OLEObject Type="Embed" ProgID="Equation.3" ShapeID="_x0000_i1329" DrawAspect="Content" ObjectID="_1804653812" r:id="rId408"/>
              </w:object>
            </w:r>
            <w:r w:rsidRPr="00A331D7">
              <w:t>DAMWAMT</w:t>
            </w:r>
            <w:r w:rsidR="001F0DC8">
              <w:t xml:space="preserve"> </w:t>
            </w:r>
            <w:r w:rsidRPr="00A331D7">
              <w:rPr>
                <w:i/>
                <w:vertAlign w:val="subscript"/>
              </w:rPr>
              <w:t>q, r, p, h</w:t>
            </w:r>
            <w:r w:rsidRPr="00A331D7">
              <w:t>) * ASINFQR</w:t>
            </w:r>
            <w:r w:rsidR="001F0DC8">
              <w:t xml:space="preserve"> </w:t>
            </w:r>
            <w:r w:rsidRPr="00A331D7">
              <w:rPr>
                <w:i/>
                <w:vertAlign w:val="subscript"/>
              </w:rPr>
              <w:t xml:space="preserve">q, r, p, h </w:t>
            </w:r>
            <w:r w:rsidRPr="00A331D7">
              <w:t xml:space="preserve">/ </w:t>
            </w:r>
            <w:r w:rsidRPr="00A331D7">
              <w:rPr>
                <w:position w:val="-28"/>
              </w:rPr>
              <w:object w:dxaOrig="460" w:dyaOrig="540" w14:anchorId="03F4539F">
                <v:shape id="_x0000_i1330" type="#_x0000_t75" style="width:18pt;height:30pt" o:ole="">
                  <v:imagedata r:id="rId404" o:title=""/>
                </v:shape>
                <o:OLEObject Type="Embed" ProgID="Equation.3" ShapeID="_x0000_i1330" DrawAspect="Content" ObjectID="_1804653813" r:id="rId409"/>
              </w:object>
            </w:r>
            <w:r w:rsidRPr="00A331D7">
              <w:t>ASINF</w:t>
            </w:r>
            <w:r w:rsidRPr="007873B3">
              <w:t>Q</w:t>
            </w:r>
            <w:r>
              <w:t>R</w:t>
            </w:r>
            <w:r w:rsidR="001F0DC8">
              <w:t xml:space="preserve"> </w:t>
            </w:r>
            <w:r w:rsidRPr="003626D9">
              <w:rPr>
                <w:i/>
                <w:vertAlign w:val="subscript"/>
              </w:rPr>
              <w:t>q, r,</w:t>
            </w:r>
            <w:r w:rsidRPr="00FD17F8">
              <w:rPr>
                <w:i/>
                <w:vertAlign w:val="subscript"/>
              </w:rPr>
              <w:t xml:space="preserve"> </w:t>
            </w:r>
            <w:r>
              <w:rPr>
                <w:i/>
                <w:vertAlign w:val="subscript"/>
              </w:rPr>
              <w:t>p,</w:t>
            </w:r>
            <w:r w:rsidRPr="003626D9">
              <w:rPr>
                <w:i/>
                <w:vertAlign w:val="subscript"/>
              </w:rPr>
              <w:t xml:space="preserve"> h</w:t>
            </w:r>
            <w:r>
              <w:rPr>
                <w:i/>
                <w:vertAlign w:val="subscript"/>
              </w:rPr>
              <w:t xml:space="preserve"> </w:t>
            </w:r>
          </w:p>
          <w:p w14:paraId="250416E9" w14:textId="77777777" w:rsidR="00F46726" w:rsidRPr="00E41B5C" w:rsidRDefault="00F46726" w:rsidP="00F46726">
            <w:pPr>
              <w:spacing w:after="240"/>
              <w:rPr>
                <w:bCs/>
                <w:lang w:val="pt-BR"/>
              </w:rPr>
            </w:pPr>
            <w:r w:rsidRPr="009E5A27">
              <w:rPr>
                <w:bCs/>
                <w:lang w:val="pt-BR"/>
              </w:rPr>
              <w:t>Where:</w:t>
            </w:r>
          </w:p>
          <w:p w14:paraId="28EFB79F" w14:textId="77777777" w:rsidR="00F46726" w:rsidRPr="004228A8" w:rsidRDefault="00F46726" w:rsidP="00065EC3">
            <w:pPr>
              <w:spacing w:after="240"/>
              <w:ind w:left="720"/>
              <w:rPr>
                <w:i/>
                <w:vertAlign w:val="subscript"/>
              </w:rPr>
            </w:pPr>
            <w:r w:rsidRPr="000064DA">
              <w:t>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DB47EE">
              <w:rPr>
                <w:i/>
                <w:vertAlign w:val="subscript"/>
              </w:rPr>
              <w:t xml:space="preserve"> </w:t>
            </w:r>
            <w:r w:rsidRPr="000064DA">
              <w:rPr>
                <w:i/>
              </w:rPr>
              <w:t>=</w:t>
            </w:r>
            <w:r w:rsidRPr="004228A8">
              <w:rPr>
                <w:i/>
                <w:vertAlign w:val="subscript"/>
              </w:rPr>
              <w:t xml:space="preserve"> </w:t>
            </w:r>
            <w:r w:rsidRPr="000064DA">
              <w:t>RUINFQ</w:t>
            </w:r>
            <w:r w:rsidRPr="00A663EC">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 xml:space="preserve">h </w:t>
            </w:r>
            <w:r w:rsidRPr="004228A8">
              <w:t>+ RDINFQ</w:t>
            </w:r>
            <w:r>
              <w:t>AR</w:t>
            </w:r>
            <w:r w:rsidR="001F0DC8">
              <w:t xml:space="preserve"> </w:t>
            </w:r>
            <w:r w:rsidRPr="000064DA">
              <w:rPr>
                <w:i/>
                <w:vertAlign w:val="subscript"/>
              </w:rPr>
              <w:t>q</w:t>
            </w:r>
            <w:r w:rsidRPr="004228A8">
              <w:rPr>
                <w:i/>
                <w:vertAlign w:val="subscript"/>
              </w:rPr>
              <w:t>, 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rPr>
                <w:i/>
                <w:vertAlign w:val="subscript"/>
              </w:rPr>
              <w:t xml:space="preserve"> </w:t>
            </w:r>
            <w:r w:rsidRPr="004228A8">
              <w:t>+ RRINFQA</w:t>
            </w:r>
            <w:r>
              <w:t>R</w:t>
            </w:r>
            <w:r w:rsidR="001F0DC8">
              <w:t xml:space="preserve"> </w:t>
            </w:r>
            <w:r w:rsidRPr="000064DA">
              <w:rPr>
                <w:i/>
                <w:vertAlign w:val="subscript"/>
              </w:rPr>
              <w:t>q</w:t>
            </w:r>
            <w:r w:rsidR="00065EC3">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t xml:space="preserve"> +</w:t>
            </w:r>
            <w:r w:rsidRPr="004228A8">
              <w:t xml:space="preserve"> NSINFQA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003C1ACD" w:rsidRPr="004228A8">
              <w:t xml:space="preserve"> + </w:t>
            </w:r>
            <w:r w:rsidR="003C1ACD">
              <w:t>EC</w:t>
            </w:r>
            <w:r w:rsidR="003C1ACD" w:rsidRPr="004228A8">
              <w:t>RINFQA</w:t>
            </w:r>
            <w:r w:rsidR="003C1ACD">
              <w:t xml:space="preserve">R </w:t>
            </w:r>
            <w:r w:rsidR="003C1ACD" w:rsidRPr="000064DA">
              <w:rPr>
                <w:i/>
                <w:vertAlign w:val="subscript"/>
              </w:rPr>
              <w:t>q</w:t>
            </w:r>
            <w:r w:rsidR="003C1ACD">
              <w:rPr>
                <w:i/>
                <w:vertAlign w:val="subscript"/>
              </w:rPr>
              <w:t xml:space="preserve">, </w:t>
            </w:r>
            <w:r w:rsidR="003C1ACD" w:rsidRPr="004228A8">
              <w:rPr>
                <w:i/>
                <w:vertAlign w:val="subscript"/>
              </w:rPr>
              <w:t>r,</w:t>
            </w:r>
            <w:r w:rsidR="003C1ACD" w:rsidRPr="00FD17F8">
              <w:rPr>
                <w:i/>
                <w:vertAlign w:val="subscript"/>
              </w:rPr>
              <w:t xml:space="preserve"> </w:t>
            </w:r>
            <w:r w:rsidR="003C1ACD">
              <w:rPr>
                <w:i/>
                <w:vertAlign w:val="subscript"/>
              </w:rPr>
              <w:t>p,</w:t>
            </w:r>
            <w:r w:rsidR="003C1ACD" w:rsidRPr="00064701">
              <w:rPr>
                <w:i/>
                <w:vertAlign w:val="subscript"/>
              </w:rPr>
              <w:t xml:space="preserve"> </w:t>
            </w:r>
            <w:r w:rsidR="003C1ACD" w:rsidRPr="004228A8">
              <w:rPr>
                <w:i/>
                <w:vertAlign w:val="subscript"/>
              </w:rPr>
              <w:t>h</w:t>
            </w:r>
          </w:p>
          <w:p w14:paraId="0F641379" w14:textId="77777777" w:rsidR="00F46726" w:rsidRPr="00DB47EE" w:rsidRDefault="00F46726" w:rsidP="00F46726">
            <w:pPr>
              <w:spacing w:after="240"/>
            </w:pPr>
            <w:r w:rsidRPr="00DB47EE">
              <w:t xml:space="preserve">And, </w:t>
            </w:r>
          </w:p>
          <w:p w14:paraId="0D4BD217" w14:textId="77777777" w:rsidR="00F46726" w:rsidRPr="004228A8" w:rsidRDefault="00F46726" w:rsidP="00F46726">
            <w:pPr>
              <w:spacing w:after="240"/>
              <w:ind w:left="1260" w:hanging="540"/>
            </w:pPr>
            <w:r w:rsidRPr="000064DA">
              <w:t>RUINFQ</w:t>
            </w:r>
            <w:r w:rsidRPr="003626D9">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 xml:space="preserve">r, </w:t>
            </w:r>
            <w:r>
              <w:rPr>
                <w:i/>
                <w:vertAlign w:val="subscript"/>
              </w:rPr>
              <w:t>p,</w:t>
            </w:r>
            <w:r w:rsidRPr="00064701">
              <w:rPr>
                <w:i/>
                <w:vertAlign w:val="subscript"/>
              </w:rPr>
              <w:t xml:space="preserve"> </w:t>
            </w:r>
            <w:r w:rsidRPr="004228A8">
              <w:rPr>
                <w:i/>
                <w:vertAlign w:val="subscript"/>
              </w:rPr>
              <w:t xml:space="preserve">h </w:t>
            </w:r>
            <w:r w:rsidRPr="00065EC3">
              <w:rPr>
                <w:i/>
              </w:rPr>
              <w:t xml:space="preserve">=  </w:t>
            </w:r>
            <w:r w:rsidRPr="000064DA">
              <w:t>MCPCRU</w:t>
            </w:r>
            <w:r w:rsidRPr="000064DA">
              <w:rPr>
                <w:i/>
                <w:vertAlign w:val="subscript"/>
              </w:rPr>
              <w:t>DAM</w:t>
            </w:r>
            <w:r w:rsidRPr="004228A8">
              <w:rPr>
                <w:rFonts w:ascii="Arial" w:hAnsi="Arial" w:cs="Arial"/>
                <w:lang w:val="fr-FR"/>
              </w:rPr>
              <w:t xml:space="preserve"> </w:t>
            </w:r>
            <w:r w:rsidRPr="004228A8">
              <w:rPr>
                <w:rFonts w:ascii="Arial" w:hAnsi="Arial" w:cs="Arial"/>
                <w:sz w:val="52"/>
                <w:szCs w:val="52"/>
                <w:vertAlign w:val="subscript"/>
                <w:lang w:val="fr-FR"/>
              </w:rPr>
              <w:t>*</w:t>
            </w:r>
            <w:r w:rsidRPr="004228A8">
              <w:rPr>
                <w:rFonts w:ascii="Arial" w:hAnsi="Arial" w:cs="Arial"/>
                <w:lang w:val="fr-FR"/>
              </w:rPr>
              <w:t xml:space="preserve"> </w:t>
            </w:r>
            <w:r w:rsidRPr="000064DA">
              <w:t>RUINFQR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30C77A9F" w14:textId="77777777" w:rsidR="00F46726" w:rsidRPr="004228A8" w:rsidRDefault="00F46726" w:rsidP="00F46726">
            <w:pPr>
              <w:spacing w:after="240"/>
              <w:ind w:left="1260" w:hanging="540"/>
            </w:pPr>
            <w:r w:rsidRPr="004228A8">
              <w:lastRenderedPageBreak/>
              <w:t>RDINFQA</w:t>
            </w:r>
            <w:r>
              <w:t>R</w:t>
            </w:r>
            <w:r w:rsidR="001F0DC8">
              <w:t xml:space="preserve"> </w:t>
            </w:r>
            <w:r w:rsidRPr="004228A8">
              <w:rPr>
                <w:i/>
                <w:vertAlign w:val="subscript"/>
              </w:rPr>
              <w:t>q,</w:t>
            </w:r>
            <w:r w:rsidR="001F0DC8">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MCPCRD</w:t>
            </w:r>
            <w:r w:rsidRPr="00DB47EE">
              <w:rPr>
                <w:i/>
                <w:vertAlign w:val="subscript"/>
              </w:rPr>
              <w:t>DAM</w:t>
            </w:r>
            <w:r w:rsidRPr="000064DA">
              <w:rPr>
                <w:i/>
                <w:vertAlign w:val="subscript"/>
              </w:rPr>
              <w:t xml:space="preserve"> </w:t>
            </w:r>
            <w:r w:rsidRPr="001F0DC8">
              <w:rPr>
                <w:rFonts w:ascii="Arial" w:hAnsi="Arial" w:cs="Arial"/>
                <w:sz w:val="52"/>
                <w:szCs w:val="52"/>
                <w:vertAlign w:val="subscript"/>
                <w:lang w:val="fr-FR"/>
              </w:rPr>
              <w:t>*</w:t>
            </w:r>
            <w:r w:rsidRPr="00DB47EE">
              <w:rPr>
                <w:rFonts w:ascii="Arial" w:hAnsi="Arial" w:cs="Arial"/>
                <w:lang w:val="fr-FR"/>
              </w:rPr>
              <w:t xml:space="preserve"> </w:t>
            </w:r>
            <w:r w:rsidRPr="000064DA">
              <w:t>RDINFQR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6FB7FD6D" w14:textId="77777777" w:rsidR="00F46726" w:rsidRPr="004228A8" w:rsidRDefault="00F46726" w:rsidP="00F46726">
            <w:pPr>
              <w:spacing w:after="240"/>
              <w:ind w:left="1260" w:hanging="540"/>
            </w:pPr>
            <w:r w:rsidRPr="004228A8">
              <w:t>RRINFQ</w:t>
            </w:r>
            <w:r>
              <w:t>AR</w:t>
            </w:r>
            <w:r w:rsidR="001F0DC8">
              <w:t xml:space="preserve">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MCPCRR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RRINFQR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00822C5F" w14:textId="77777777" w:rsidR="00F46726" w:rsidRPr="004228A8" w:rsidRDefault="00F46726" w:rsidP="00F46726">
            <w:pPr>
              <w:spacing w:after="240"/>
              <w:ind w:left="1260" w:hanging="540"/>
            </w:pPr>
            <w:r w:rsidRPr="004228A8">
              <w:t>NSINFQA</w:t>
            </w:r>
            <w:r>
              <w:t>R</w:t>
            </w:r>
            <w:r w:rsidR="001F0DC8">
              <w:t xml:space="preserve"> </w:t>
            </w:r>
            <w:r w:rsidRPr="004228A8">
              <w:rPr>
                <w:i/>
                <w:vertAlign w:val="subscript"/>
              </w:rPr>
              <w:t>q</w:t>
            </w:r>
            <w:r w:rsidRPr="00DB47EE">
              <w:rPr>
                <w:i/>
                <w:vertAlign w:val="subscript"/>
              </w:rPr>
              <w:t>,</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MCPCNS</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NSINFQR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1CECF009" w14:textId="77777777" w:rsidR="003C1ACD" w:rsidRPr="004228A8" w:rsidRDefault="003C1ACD" w:rsidP="003C1ACD">
            <w:pPr>
              <w:spacing w:after="240"/>
              <w:ind w:left="1260" w:hanging="540"/>
            </w:pPr>
            <w:r>
              <w:t>EC</w:t>
            </w:r>
            <w:r w:rsidRPr="004228A8">
              <w:t>RINFQ</w:t>
            </w:r>
            <w:r>
              <w:t xml:space="preserve">AR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w:t>
            </w:r>
            <w:r>
              <w:t>EC</w:t>
            </w:r>
            <w:r w:rsidRPr="000064DA">
              <w:t>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t>EC</w:t>
            </w:r>
            <w:r w:rsidRPr="000064DA">
              <w:t>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48C15399" w14:textId="77777777" w:rsidR="00E74C8B" w:rsidRDefault="00F46726" w:rsidP="00065EC3">
            <w:pPr>
              <w:ind w:left="1267" w:hanging="547"/>
            </w:pPr>
            <w:r w:rsidRPr="004228A8">
              <w:t>ASINFQ</w:t>
            </w:r>
            <w:r>
              <w:t>R</w:t>
            </w:r>
            <w:r w:rsidR="001F0DC8">
              <w:t xml:space="preserve"> </w:t>
            </w:r>
            <w:r w:rsidRPr="004C0093">
              <w:rPr>
                <w:i/>
                <w:vertAlign w:val="subscript"/>
              </w:rPr>
              <w:t xml:space="preserve">q, r, </w:t>
            </w:r>
            <w:r>
              <w:rPr>
                <w:i/>
                <w:vertAlign w:val="subscript"/>
              </w:rPr>
              <w:t>p,</w:t>
            </w:r>
            <w:r w:rsidRPr="00064701">
              <w:rPr>
                <w:i/>
                <w:vertAlign w:val="subscript"/>
              </w:rPr>
              <w:t xml:space="preserve"> </w:t>
            </w:r>
            <w:r w:rsidRPr="004C0093">
              <w:rPr>
                <w:i/>
                <w:vertAlign w:val="subscript"/>
              </w:rPr>
              <w:t>h</w:t>
            </w:r>
            <w:r w:rsidRPr="004228A8">
              <w:rPr>
                <w:i/>
                <w:vertAlign w:val="subscript"/>
              </w:rPr>
              <w:t xml:space="preserve"> </w:t>
            </w:r>
            <w:r w:rsidRPr="004228A8">
              <w:rPr>
                <w:i/>
              </w:rPr>
              <w:t>=</w:t>
            </w:r>
            <w:r w:rsidRPr="004228A8">
              <w:rPr>
                <w:i/>
                <w:vertAlign w:val="subscript"/>
              </w:rPr>
              <w:t xml:space="preserve"> </w:t>
            </w:r>
            <w:r w:rsidRPr="00DB47EE">
              <w:t>RUINFQ</w:t>
            </w:r>
            <w:r>
              <w:t>R</w:t>
            </w:r>
            <w:r w:rsidR="001F0DC8">
              <w:t xml:space="preserve"> </w:t>
            </w:r>
            <w:r w:rsidRPr="00DB47EE">
              <w:rPr>
                <w:i/>
                <w:vertAlign w:val="subscript"/>
              </w:rPr>
              <w:t xml:space="preserve">q, r, </w:t>
            </w:r>
            <w:r>
              <w:rPr>
                <w:i/>
                <w:vertAlign w:val="subscript"/>
              </w:rPr>
              <w:t>p,</w:t>
            </w:r>
            <w:r w:rsidRPr="00064701">
              <w:rPr>
                <w:i/>
                <w:vertAlign w:val="subscript"/>
              </w:rPr>
              <w:t xml:space="preserve"> </w:t>
            </w:r>
            <w:r w:rsidRPr="00DB47EE">
              <w:rPr>
                <w:i/>
                <w:vertAlign w:val="subscript"/>
              </w:rPr>
              <w:t xml:space="preserve">h </w:t>
            </w:r>
            <w:r w:rsidRPr="00DB47EE">
              <w:t>+ RDINFQ</w:t>
            </w:r>
            <w:r>
              <w:t>R</w:t>
            </w:r>
            <w:r w:rsidR="001F0DC8">
              <w:t xml:space="preserve"> </w:t>
            </w:r>
            <w:r w:rsidRPr="00DB47EE">
              <w:rPr>
                <w:i/>
                <w:vertAlign w:val="subscript"/>
              </w:rPr>
              <w:t>q,</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854E01">
              <w:rPr>
                <w:i/>
                <w:vertAlign w:val="subscript"/>
              </w:rPr>
              <w:t xml:space="preserve">h </w:t>
            </w:r>
            <w:r w:rsidRPr="009E5A27">
              <w:t>+ RRINFQ</w:t>
            </w:r>
            <w:r>
              <w:t>R</w:t>
            </w:r>
            <w:r w:rsidR="001F0DC8">
              <w:t xml:space="preserve"> </w:t>
            </w:r>
            <w:r w:rsidRPr="009E5A27">
              <w:rPr>
                <w:i/>
                <w:vertAlign w:val="subscript"/>
              </w:rPr>
              <w:t>q,</w:t>
            </w:r>
            <w:r>
              <w:rPr>
                <w:i/>
                <w:vertAlign w:val="subscript"/>
              </w:rPr>
              <w:t xml:space="preserve"> </w:t>
            </w:r>
            <w:r w:rsidRPr="009E5A27">
              <w:rPr>
                <w:i/>
                <w:vertAlign w:val="subscript"/>
              </w:rPr>
              <w:t xml:space="preserve">r, </w:t>
            </w:r>
            <w:r>
              <w:rPr>
                <w:i/>
                <w:vertAlign w:val="subscript"/>
              </w:rPr>
              <w:t>p,</w:t>
            </w:r>
            <w:r w:rsidRPr="00064701">
              <w:rPr>
                <w:i/>
                <w:vertAlign w:val="subscript"/>
              </w:rPr>
              <w:t xml:space="preserve"> </w:t>
            </w:r>
            <w:r w:rsidRPr="009E5A27">
              <w:rPr>
                <w:i/>
                <w:vertAlign w:val="subscript"/>
              </w:rPr>
              <w:t>h</w:t>
            </w:r>
            <w:r w:rsidRPr="009E5A27">
              <w:t xml:space="preserve"> + </w:t>
            </w:r>
          </w:p>
          <w:p w14:paraId="3BB1011E" w14:textId="77777777" w:rsidR="00F46726" w:rsidRPr="009E5A27" w:rsidRDefault="00F46726" w:rsidP="003C1ACD">
            <w:pPr>
              <w:spacing w:after="240"/>
              <w:ind w:left="3150" w:hanging="540"/>
              <w:rPr>
                <w:i/>
                <w:vertAlign w:val="subscript"/>
              </w:rPr>
            </w:pPr>
            <w:r w:rsidRPr="003C1ACD">
              <w:rPr>
                <w:szCs w:val="24"/>
              </w:rPr>
              <w:t>NSINFQR</w:t>
            </w:r>
            <w:r w:rsidR="001F0DC8">
              <w:t xml:space="preserve"> </w:t>
            </w:r>
            <w:r w:rsidRPr="009E5A27">
              <w:rPr>
                <w:i/>
                <w:vertAlign w:val="subscript"/>
              </w:rPr>
              <w:t>q,</w:t>
            </w:r>
            <w:r>
              <w:rPr>
                <w:i/>
                <w:vertAlign w:val="subscript"/>
              </w:rPr>
              <w:t xml:space="preserve"> </w:t>
            </w:r>
            <w:r w:rsidRPr="009E5A27">
              <w:rPr>
                <w:i/>
                <w:vertAlign w:val="subscript"/>
              </w:rPr>
              <w:t>r,</w:t>
            </w:r>
            <w:r w:rsidRPr="00E41B5C">
              <w:rPr>
                <w:i/>
                <w:vertAlign w:val="subscript"/>
              </w:rPr>
              <w:t xml:space="preserve"> </w:t>
            </w:r>
            <w:r>
              <w:rPr>
                <w:i/>
                <w:vertAlign w:val="subscript"/>
              </w:rPr>
              <w:t>p,</w:t>
            </w:r>
            <w:r w:rsidRPr="00064701">
              <w:rPr>
                <w:i/>
                <w:vertAlign w:val="subscript"/>
              </w:rPr>
              <w:t xml:space="preserve"> </w:t>
            </w:r>
            <w:r w:rsidRPr="00E60B40">
              <w:rPr>
                <w:i/>
                <w:vertAlign w:val="subscript"/>
              </w:rPr>
              <w:t>h</w:t>
            </w:r>
            <w:r w:rsidR="003C1ACD" w:rsidRPr="009E5A27">
              <w:t xml:space="preserve"> + </w:t>
            </w:r>
            <w:r w:rsidR="003C1ACD">
              <w:t>EC</w:t>
            </w:r>
            <w:r w:rsidR="003C1ACD" w:rsidRPr="009E5A27">
              <w:t>RINFQ</w:t>
            </w:r>
            <w:r w:rsidR="003C1ACD">
              <w:t xml:space="preserve">R </w:t>
            </w:r>
            <w:r w:rsidR="003C1ACD" w:rsidRPr="009E5A27">
              <w:rPr>
                <w:i/>
                <w:vertAlign w:val="subscript"/>
              </w:rPr>
              <w:t>q,</w:t>
            </w:r>
            <w:r w:rsidR="003C1ACD">
              <w:rPr>
                <w:i/>
                <w:vertAlign w:val="subscript"/>
              </w:rPr>
              <w:t xml:space="preserve"> </w:t>
            </w:r>
            <w:r w:rsidR="003C1ACD" w:rsidRPr="009E5A27">
              <w:rPr>
                <w:i/>
                <w:vertAlign w:val="subscript"/>
              </w:rPr>
              <w:t xml:space="preserve">r, </w:t>
            </w:r>
            <w:r w:rsidR="003C1ACD">
              <w:rPr>
                <w:i/>
                <w:vertAlign w:val="subscript"/>
              </w:rPr>
              <w:t>p,</w:t>
            </w:r>
            <w:r w:rsidR="003C1ACD" w:rsidRPr="00064701">
              <w:rPr>
                <w:i/>
                <w:vertAlign w:val="subscript"/>
              </w:rPr>
              <w:t xml:space="preserve"> </w:t>
            </w:r>
            <w:r w:rsidR="003C1ACD" w:rsidRPr="009E5A27">
              <w:rPr>
                <w:i/>
                <w:vertAlign w:val="subscript"/>
              </w:rPr>
              <w:t>h</w:t>
            </w:r>
          </w:p>
          <w:p w14:paraId="1084A6AE" w14:textId="77777777" w:rsidR="00F46726" w:rsidRPr="004C0093" w:rsidRDefault="00F46726" w:rsidP="00F46726">
            <w:r w:rsidRPr="004C009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236030" w:rsidRPr="004C0093" w14:paraId="1BA29FE8" w14:textId="77777777" w:rsidTr="00236030">
              <w:tc>
                <w:tcPr>
                  <w:tcW w:w="1154" w:type="pct"/>
                  <w:shd w:val="clear" w:color="auto" w:fill="auto"/>
                </w:tcPr>
                <w:p w14:paraId="4BFB1F53" w14:textId="77777777" w:rsidR="00236030" w:rsidRPr="004C0093" w:rsidRDefault="00236030" w:rsidP="00236030">
                  <w:pPr>
                    <w:spacing w:after="240"/>
                    <w:rPr>
                      <w:b/>
                      <w:iCs/>
                      <w:sz w:val="20"/>
                    </w:rPr>
                  </w:pPr>
                  <w:r w:rsidRPr="004C0093">
                    <w:rPr>
                      <w:b/>
                      <w:iCs/>
                      <w:sz w:val="20"/>
                    </w:rPr>
                    <w:t>Variable</w:t>
                  </w:r>
                </w:p>
              </w:tc>
              <w:tc>
                <w:tcPr>
                  <w:tcW w:w="456" w:type="pct"/>
                  <w:shd w:val="clear" w:color="auto" w:fill="auto"/>
                </w:tcPr>
                <w:p w14:paraId="7BEDA33E" w14:textId="77777777" w:rsidR="00236030" w:rsidRPr="004C0093" w:rsidRDefault="00236030" w:rsidP="00236030">
                  <w:pPr>
                    <w:spacing w:after="240"/>
                    <w:rPr>
                      <w:b/>
                      <w:iCs/>
                      <w:sz w:val="20"/>
                    </w:rPr>
                  </w:pPr>
                  <w:r w:rsidRPr="004C0093">
                    <w:rPr>
                      <w:b/>
                      <w:iCs/>
                      <w:sz w:val="20"/>
                    </w:rPr>
                    <w:t>Unit</w:t>
                  </w:r>
                </w:p>
              </w:tc>
              <w:tc>
                <w:tcPr>
                  <w:tcW w:w="3390" w:type="pct"/>
                  <w:shd w:val="clear" w:color="auto" w:fill="auto"/>
                </w:tcPr>
                <w:p w14:paraId="669C7789" w14:textId="77777777" w:rsidR="00236030" w:rsidRPr="004C0093" w:rsidRDefault="00236030" w:rsidP="00236030">
                  <w:pPr>
                    <w:spacing w:after="240"/>
                    <w:rPr>
                      <w:b/>
                      <w:iCs/>
                      <w:sz w:val="20"/>
                    </w:rPr>
                  </w:pPr>
                  <w:r w:rsidRPr="004C0093">
                    <w:rPr>
                      <w:b/>
                      <w:iCs/>
                      <w:sz w:val="20"/>
                    </w:rPr>
                    <w:t>Description</w:t>
                  </w:r>
                </w:p>
              </w:tc>
            </w:tr>
            <w:tr w:rsidR="00236030" w:rsidRPr="004C0093" w14:paraId="423DF24B" w14:textId="77777777" w:rsidTr="00236030">
              <w:tc>
                <w:tcPr>
                  <w:tcW w:w="1154" w:type="pct"/>
                  <w:shd w:val="clear" w:color="auto" w:fill="auto"/>
                </w:tcPr>
                <w:p w14:paraId="48DD58A7" w14:textId="77777777" w:rsidR="00236030" w:rsidRPr="004C0093" w:rsidRDefault="00236030" w:rsidP="00236030">
                  <w:pPr>
                    <w:spacing w:after="60"/>
                    <w:rPr>
                      <w:iCs/>
                      <w:sz w:val="20"/>
                    </w:rPr>
                  </w:pPr>
                  <w:r w:rsidRPr="004C0093">
                    <w:rPr>
                      <w:color w:val="000000"/>
                      <w:sz w:val="20"/>
                    </w:rPr>
                    <w:t>RTDA</w:t>
                  </w:r>
                  <w:r>
                    <w:rPr>
                      <w:color w:val="000000"/>
                      <w:sz w:val="20"/>
                    </w:rPr>
                    <w:t>M</w:t>
                  </w:r>
                  <w:r w:rsidRPr="004C0093">
                    <w:rPr>
                      <w:color w:val="000000"/>
                      <w:sz w:val="20"/>
                    </w:rPr>
                    <w:t>WA</w:t>
                  </w:r>
                  <w:r>
                    <w:rPr>
                      <w:color w:val="000000"/>
                      <w:sz w:val="20"/>
                    </w:rPr>
                    <w:t>MT</w:t>
                  </w:r>
                  <w:r w:rsidRPr="004C0093">
                    <w:rPr>
                      <w:i/>
                      <w:vertAlign w:val="subscript"/>
                    </w:rPr>
                    <w:t xml:space="preserve"> </w:t>
                  </w:r>
                  <w:r w:rsidRPr="001E48BD">
                    <w:rPr>
                      <w:i/>
                      <w:sz w:val="20"/>
                      <w:vertAlign w:val="subscript"/>
                    </w:rPr>
                    <w:t>q,</w:t>
                  </w:r>
                  <w:r>
                    <w:rPr>
                      <w:i/>
                      <w:sz w:val="20"/>
                      <w:vertAlign w:val="subscript"/>
                    </w:rPr>
                    <w:t xml:space="preserve"> </w:t>
                  </w:r>
                  <w:r w:rsidRPr="001E48BD">
                    <w:rPr>
                      <w:i/>
                      <w:sz w:val="20"/>
                      <w:vertAlign w:val="subscript"/>
                    </w:rPr>
                    <w:t>r, p, h</w:t>
                  </w:r>
                  <w:r w:rsidRPr="004C0093">
                    <w:rPr>
                      <w:i/>
                      <w:sz w:val="20"/>
                      <w:vertAlign w:val="subscript"/>
                    </w:rPr>
                    <w:t xml:space="preserve">  </w:t>
                  </w:r>
                </w:p>
              </w:tc>
              <w:tc>
                <w:tcPr>
                  <w:tcW w:w="456" w:type="pct"/>
                  <w:shd w:val="clear" w:color="auto" w:fill="auto"/>
                </w:tcPr>
                <w:p w14:paraId="6E9EE28B"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6065F391" w14:textId="77777777" w:rsidR="00236030" w:rsidRPr="004C0093" w:rsidRDefault="00236030" w:rsidP="00236030">
                  <w:pPr>
                    <w:spacing w:after="60"/>
                    <w:rPr>
                      <w:iCs/>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09A661A4" w14:textId="77777777" w:rsidTr="00236030">
              <w:tc>
                <w:tcPr>
                  <w:tcW w:w="1154" w:type="pct"/>
                  <w:shd w:val="clear" w:color="auto" w:fill="auto"/>
                </w:tcPr>
                <w:p w14:paraId="5D85014F" w14:textId="77777777" w:rsidR="00236030" w:rsidRPr="004C0093" w:rsidRDefault="00236030" w:rsidP="00236030">
                  <w:pPr>
                    <w:spacing w:after="60"/>
                    <w:rPr>
                      <w:sz w:val="20"/>
                    </w:rPr>
                  </w:pPr>
                  <w:r w:rsidRPr="004C0093">
                    <w:rPr>
                      <w:sz w:val="20"/>
                    </w:rPr>
                    <w:t xml:space="preserve">DAMGCOST </w:t>
                  </w:r>
                  <w:r w:rsidRPr="004C0093">
                    <w:rPr>
                      <w:i/>
                      <w:sz w:val="20"/>
                      <w:vertAlign w:val="subscript"/>
                      <w:lang w:val="pt-BR"/>
                    </w:rPr>
                    <w:t>q,</w:t>
                  </w:r>
                  <w:r w:rsidRPr="00B019A1">
                    <w:rPr>
                      <w:i/>
                      <w:sz w:val="20"/>
                      <w:vertAlign w:val="subscript"/>
                      <w:lang w:val="pt-BR"/>
                    </w:rPr>
                    <w:t xml:space="preserve"> r, </w:t>
                  </w:r>
                  <w:r w:rsidRPr="000064DA">
                    <w:rPr>
                      <w:i/>
                      <w:sz w:val="20"/>
                      <w:vertAlign w:val="subscript"/>
                    </w:rPr>
                    <w:t>p</w:t>
                  </w:r>
                </w:p>
              </w:tc>
              <w:tc>
                <w:tcPr>
                  <w:tcW w:w="456" w:type="pct"/>
                  <w:shd w:val="clear" w:color="auto" w:fill="auto"/>
                </w:tcPr>
                <w:p w14:paraId="52901A4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7D4CE2D1" w14:textId="77777777" w:rsidR="00236030" w:rsidRPr="004C0093" w:rsidRDefault="00236030" w:rsidP="00236030">
                  <w:pPr>
                    <w:spacing w:after="60"/>
                    <w:rPr>
                      <w:i/>
                      <w:sz w:val="20"/>
                    </w:rPr>
                  </w:pPr>
                  <w:r w:rsidRPr="004C0093">
                    <w:rPr>
                      <w:i/>
                      <w:sz w:val="20"/>
                    </w:rPr>
                    <w:t xml:space="preserve">Day-Ahead Market Guaranteed Amount per QSE per Resource per Settlement Point </w:t>
                  </w:r>
                  <w:r w:rsidRPr="004C0093">
                    <w:rPr>
                      <w:sz w:val="20"/>
                    </w:rPr>
                    <w:sym w:font="Symbol" w:char="F0BE"/>
                  </w:r>
                  <w:r w:rsidRPr="004C0093">
                    <w:rPr>
                      <w:i/>
                      <w:sz w:val="20"/>
                    </w:rPr>
                    <w:t xml:space="preserve"> </w:t>
                  </w:r>
                  <w:r w:rsidRPr="004C0093">
                    <w:rPr>
                      <w:sz w:val="20"/>
                    </w:rPr>
                    <w:t xml:space="preserve">The sum of the Startup Cost and the operating energy costs of the DAM-committed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for the DAM-commitment period.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6AA6530" w14:textId="77777777" w:rsidTr="00236030">
              <w:tc>
                <w:tcPr>
                  <w:tcW w:w="1154" w:type="pct"/>
                  <w:shd w:val="clear" w:color="auto" w:fill="auto"/>
                </w:tcPr>
                <w:p w14:paraId="4EFC91D7" w14:textId="77777777" w:rsidR="00236030" w:rsidRPr="004C0093" w:rsidRDefault="00236030" w:rsidP="00236030">
                  <w:pPr>
                    <w:spacing w:after="60"/>
                    <w:rPr>
                      <w:sz w:val="20"/>
                    </w:rPr>
                  </w:pPr>
                  <w:r w:rsidRPr="004C0093">
                    <w:rPr>
                      <w:sz w:val="20"/>
                      <w:lang w:val="pt-BR"/>
                    </w:rPr>
                    <w:t xml:space="preserve">DAEREV </w:t>
                  </w:r>
                  <w:r w:rsidRPr="004C0093">
                    <w:rPr>
                      <w:i/>
                      <w:sz w:val="20"/>
                      <w:vertAlign w:val="subscript"/>
                      <w:lang w:val="pt-BR"/>
                    </w:rPr>
                    <w:t>q,</w:t>
                  </w:r>
                  <w:r>
                    <w:rPr>
                      <w:i/>
                      <w:sz w:val="20"/>
                      <w:vertAlign w:val="subscript"/>
                      <w:lang w:val="pt-BR"/>
                    </w:rPr>
                    <w:t xml:space="preserve"> </w:t>
                  </w:r>
                  <w:r w:rsidRPr="004C0093">
                    <w:rPr>
                      <w:i/>
                      <w:sz w:val="20"/>
                      <w:vertAlign w:val="subscript"/>
                      <w:lang w:val="pt-BR"/>
                    </w:rPr>
                    <w:t>r</w:t>
                  </w:r>
                  <w:r w:rsidRPr="00B019A1">
                    <w:rPr>
                      <w:i/>
                      <w:sz w:val="20"/>
                      <w:vertAlign w:val="subscript"/>
                      <w:lang w:val="pt-BR"/>
                    </w:rPr>
                    <w:t xml:space="preserve">, </w:t>
                  </w:r>
                  <w:r w:rsidRPr="000064DA">
                    <w:rPr>
                      <w:i/>
                      <w:sz w:val="20"/>
                      <w:vertAlign w:val="subscript"/>
                    </w:rPr>
                    <w:t xml:space="preserve">p, </w:t>
                  </w:r>
                  <w:r w:rsidRPr="00B019A1">
                    <w:rPr>
                      <w:i/>
                      <w:sz w:val="20"/>
                      <w:vertAlign w:val="subscript"/>
                      <w:lang w:val="pt-BR"/>
                    </w:rPr>
                    <w:t>h</w:t>
                  </w:r>
                </w:p>
              </w:tc>
              <w:tc>
                <w:tcPr>
                  <w:tcW w:w="456" w:type="pct"/>
                  <w:shd w:val="clear" w:color="auto" w:fill="auto"/>
                </w:tcPr>
                <w:p w14:paraId="4A73C6F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56A4ADBF" w14:textId="77777777" w:rsidR="00236030" w:rsidRPr="004C0093" w:rsidRDefault="00236030" w:rsidP="00236030">
                  <w:pPr>
                    <w:spacing w:after="60"/>
                    <w:rPr>
                      <w:i/>
                      <w:sz w:val="20"/>
                    </w:rPr>
                  </w:pPr>
                  <w:r w:rsidRPr="004C0093">
                    <w:rPr>
                      <w:i/>
                      <w:sz w:val="20"/>
                    </w:rPr>
                    <w:t>Day-Ahead Energy Revenue per QSE per Resource per Settlement Point per hour</w:t>
                  </w:r>
                  <w:r w:rsidRPr="004C0093">
                    <w:rPr>
                      <w:sz w:val="20"/>
                    </w:rPr>
                    <w:t xml:space="preserve"> </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based on the DAM Settlement Point Price,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AB9E67" w14:textId="77777777" w:rsidTr="00236030">
              <w:tc>
                <w:tcPr>
                  <w:tcW w:w="1154" w:type="pct"/>
                  <w:shd w:val="clear" w:color="auto" w:fill="auto"/>
                </w:tcPr>
                <w:p w14:paraId="51F88C06" w14:textId="77777777" w:rsidR="00236030" w:rsidRPr="004C0093" w:rsidRDefault="00236030" w:rsidP="00236030">
                  <w:pPr>
                    <w:spacing w:after="60"/>
                    <w:rPr>
                      <w:sz w:val="20"/>
                    </w:rPr>
                  </w:pPr>
                  <w:r w:rsidRPr="004C0093">
                    <w:rPr>
                      <w:sz w:val="20"/>
                    </w:rPr>
                    <w:t>INFQA</w:t>
                  </w:r>
                  <w:r>
                    <w:rPr>
                      <w:sz w:val="20"/>
                    </w:rPr>
                    <w:t>R</w:t>
                  </w:r>
                  <w:r w:rsidR="001F0DC8">
                    <w:rPr>
                      <w:sz w:val="20"/>
                    </w:rPr>
                    <w:t xml:space="preserve"> </w:t>
                  </w:r>
                  <w:r w:rsidRPr="000064DA">
                    <w:rPr>
                      <w:i/>
                      <w:sz w:val="22"/>
                      <w:vertAlign w:val="subscript"/>
                    </w:rPr>
                    <w:t>q, r, p, h</w:t>
                  </w:r>
                </w:p>
              </w:tc>
              <w:tc>
                <w:tcPr>
                  <w:tcW w:w="456" w:type="pct"/>
                  <w:shd w:val="clear" w:color="auto" w:fill="auto"/>
                </w:tcPr>
                <w:p w14:paraId="472094C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7F76A08" w14:textId="77777777" w:rsidR="00236030" w:rsidRPr="004C0093" w:rsidRDefault="00236030" w:rsidP="00236030">
                  <w:pPr>
                    <w:spacing w:after="60"/>
                    <w:rPr>
                      <w:i/>
                      <w:sz w:val="20"/>
                    </w:rPr>
                  </w:pPr>
                  <w:r w:rsidRPr="004C0093">
                    <w:rPr>
                      <w:i/>
                      <w:sz w:val="20"/>
                    </w:rPr>
                    <w:t>Infeasible Quantity Amount per QSE per Resource per Settlement Point per hour</w:t>
                  </w:r>
                  <w:r w:rsidRPr="004C0093">
                    <w:rPr>
                      <w:sz w:val="20"/>
                    </w:rPr>
                    <w:t xml:space="preserve"> —The </w:t>
                  </w:r>
                  <w:r>
                    <w:rPr>
                      <w:sz w:val="20"/>
                    </w:rPr>
                    <w:t>dollar amount</w:t>
                  </w:r>
                  <w:r w:rsidRPr="004C0093">
                    <w:rPr>
                      <w:sz w:val="20"/>
                    </w:rPr>
                    <w:t xml:space="preserve"> to QSE </w:t>
                  </w:r>
                  <w:r w:rsidRPr="004C0093">
                    <w:rPr>
                      <w:i/>
                      <w:sz w:val="20"/>
                    </w:rPr>
                    <w:t>q</w:t>
                  </w:r>
                  <w:r w:rsidRPr="004C0093">
                    <w:rPr>
                      <w:sz w:val="20"/>
                    </w:rPr>
                    <w:t xml:space="preserve"> for Resource </w:t>
                  </w:r>
                  <w:r w:rsidRPr="000064DA">
                    <w:rPr>
                      <w:i/>
                      <w:sz w:val="20"/>
                    </w:rPr>
                    <w:t>r</w:t>
                  </w:r>
                  <w:r w:rsidRPr="004C0093">
                    <w:rPr>
                      <w:sz w:val="20"/>
                    </w:rPr>
                    <w:t xml:space="preserve"> of its total capacity associated with infeasible deployment of Ancillary Service Supply </w:t>
                  </w:r>
                  <w:r w:rsidRPr="004C0093">
                    <w:rPr>
                      <w:iCs/>
                      <w:sz w:val="20"/>
                    </w:rPr>
                    <w:t>Responsibility</w:t>
                  </w:r>
                  <w:r w:rsidRPr="004C0093">
                    <w:rPr>
                      <w:sz w:val="20"/>
                    </w:rPr>
                    <w:t xml:space="preserve">, for the hour </w:t>
                  </w:r>
                  <w:r w:rsidRPr="004C0093">
                    <w:rPr>
                      <w:i/>
                      <w:sz w:val="20"/>
                    </w:rPr>
                    <w:t>h</w:t>
                  </w:r>
                  <w:r w:rsidRPr="004C0093">
                    <w:rPr>
                      <w:sz w:val="20"/>
                    </w:rPr>
                    <w:t>.</w:t>
                  </w:r>
                  <w:r>
                    <w:rPr>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2C8EFA4" w14:textId="77777777" w:rsidTr="00236030">
              <w:tc>
                <w:tcPr>
                  <w:tcW w:w="1154" w:type="pct"/>
                  <w:shd w:val="clear" w:color="auto" w:fill="auto"/>
                </w:tcPr>
                <w:p w14:paraId="47E8CC08" w14:textId="77777777" w:rsidR="00236030" w:rsidRPr="001F0DC8" w:rsidRDefault="00236030" w:rsidP="00236030">
                  <w:pPr>
                    <w:spacing w:after="60"/>
                    <w:rPr>
                      <w:sz w:val="20"/>
                    </w:rPr>
                  </w:pPr>
                  <w:r w:rsidRPr="001F0DC8">
                    <w:rPr>
                      <w:sz w:val="20"/>
                    </w:rPr>
                    <w:t xml:space="preserve">DAMWAMT </w:t>
                  </w:r>
                  <w:r w:rsidRPr="001F0DC8">
                    <w:rPr>
                      <w:i/>
                      <w:sz w:val="20"/>
                      <w:vertAlign w:val="subscript"/>
                      <w:lang w:val="pt-BR"/>
                    </w:rPr>
                    <w:t xml:space="preserve">q, </w:t>
                  </w:r>
                  <w:r w:rsidR="001F0DC8" w:rsidRPr="001F0DC8">
                    <w:rPr>
                      <w:i/>
                      <w:sz w:val="20"/>
                      <w:vertAlign w:val="subscript"/>
                    </w:rPr>
                    <w:t>r, p, h</w:t>
                  </w:r>
                </w:p>
              </w:tc>
              <w:tc>
                <w:tcPr>
                  <w:tcW w:w="456" w:type="pct"/>
                  <w:shd w:val="clear" w:color="auto" w:fill="auto"/>
                </w:tcPr>
                <w:p w14:paraId="48E8171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0AC99795" w14:textId="77777777" w:rsidR="00236030" w:rsidRPr="004C0093" w:rsidRDefault="00236030" w:rsidP="00236030">
                  <w:pPr>
                    <w:spacing w:after="60"/>
                    <w:rPr>
                      <w:i/>
                      <w:iCs/>
                      <w:sz w:val="20"/>
                    </w:rPr>
                  </w:pPr>
                  <w:r w:rsidRPr="004C0093">
                    <w:rPr>
                      <w:i/>
                      <w:sz w:val="20"/>
                    </w:rPr>
                    <w:t>Day-Ahead Make-Whole Payment per QSE per Resource per Settlement Point per hour</w:t>
                  </w:r>
                  <w:r w:rsidRPr="004C0093">
                    <w:rPr>
                      <w:sz w:val="20"/>
                    </w:rPr>
                    <w:t xml:space="preserve"> </w:t>
                  </w:r>
                  <w:r w:rsidRPr="004C0093">
                    <w:rPr>
                      <w:sz w:val="20"/>
                    </w:rPr>
                    <w:sym w:font="Symbol" w:char="F0BE"/>
                  </w:r>
                  <w:r w:rsidRPr="004C0093">
                    <w:rPr>
                      <w:sz w:val="20"/>
                    </w:rPr>
                    <w:t xml:space="preserve">The payment to QSE </w:t>
                  </w:r>
                  <w:r w:rsidRPr="004C0093">
                    <w:rPr>
                      <w:i/>
                      <w:sz w:val="20"/>
                    </w:rPr>
                    <w:t>q</w:t>
                  </w:r>
                  <w:r w:rsidRPr="004C0093">
                    <w:rPr>
                      <w:sz w:val="20"/>
                    </w:rPr>
                    <w:t xml:space="preserve"> to make-whole the Startup Cost and energy cost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53B40E72" w14:textId="77777777" w:rsidTr="00236030">
              <w:trPr>
                <w:trHeight w:val="1178"/>
              </w:trPr>
              <w:tc>
                <w:tcPr>
                  <w:tcW w:w="1154" w:type="pct"/>
                  <w:shd w:val="clear" w:color="auto" w:fill="auto"/>
                </w:tcPr>
                <w:p w14:paraId="219E4F7B" w14:textId="77777777" w:rsidR="00236030" w:rsidRPr="001F0DC8" w:rsidRDefault="00236030" w:rsidP="00236030">
                  <w:pPr>
                    <w:spacing w:after="60"/>
                    <w:rPr>
                      <w:sz w:val="20"/>
                    </w:rPr>
                  </w:pPr>
                  <w:r w:rsidRPr="001F0DC8">
                    <w:rPr>
                      <w:sz w:val="20"/>
                      <w:lang w:val="pt-BR"/>
                    </w:rPr>
                    <w:lastRenderedPageBreak/>
                    <w:t xml:space="preserve">DAASREV </w:t>
                  </w:r>
                  <w:r w:rsidRPr="001F0DC8">
                    <w:rPr>
                      <w:i/>
                      <w:sz w:val="20"/>
                      <w:vertAlign w:val="subscript"/>
                      <w:lang w:val="pt-BR"/>
                    </w:rPr>
                    <w:t>q, r, h</w:t>
                  </w:r>
                </w:p>
              </w:tc>
              <w:tc>
                <w:tcPr>
                  <w:tcW w:w="456" w:type="pct"/>
                  <w:shd w:val="clear" w:color="auto" w:fill="auto"/>
                </w:tcPr>
                <w:p w14:paraId="515BE08C"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CC243E9" w14:textId="77777777" w:rsidR="00236030" w:rsidRPr="004C0093" w:rsidRDefault="00236030" w:rsidP="00065EC3">
                  <w:pPr>
                    <w:spacing w:after="60"/>
                    <w:rPr>
                      <w:i/>
                      <w:iCs/>
                      <w:sz w:val="20"/>
                    </w:rPr>
                  </w:pPr>
                  <w:r w:rsidRPr="004C0093">
                    <w:rPr>
                      <w:i/>
                      <w:sz w:val="20"/>
                    </w:rPr>
                    <w:t>Day-Ahead Ancillary Service Revenue per QSE per Resource by hour</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represented by QSE </w:t>
                  </w:r>
                  <w:r w:rsidRPr="004C0093">
                    <w:rPr>
                      <w:i/>
                      <w:sz w:val="20"/>
                    </w:rPr>
                    <w:t>q</w:t>
                  </w:r>
                  <w:r w:rsidRPr="004C0093">
                    <w:rPr>
                      <w:sz w:val="20"/>
                    </w:rPr>
                    <w:t xml:space="preserve">, based on the MCPC for each Ancillary Service in the DAM,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40F0B7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D9B0C39" w14:textId="77777777" w:rsidR="00236030" w:rsidRPr="001F0DC8" w:rsidRDefault="00236030" w:rsidP="00236030">
                  <w:pPr>
                    <w:spacing w:after="60"/>
                    <w:rPr>
                      <w:iCs/>
                      <w:sz w:val="20"/>
                    </w:rPr>
                  </w:pPr>
                  <w:r w:rsidRPr="001F0DC8">
                    <w:rPr>
                      <w:sz w:val="20"/>
                    </w:rPr>
                    <w:t xml:space="preserve">RUINFQAR </w:t>
                  </w:r>
                  <w:r w:rsidRPr="001F0DC8">
                    <w:rPr>
                      <w:i/>
                      <w:sz w:val="20"/>
                      <w:vertAlign w:val="subscript"/>
                    </w:rPr>
                    <w:t>q, r, p, h</w:t>
                  </w:r>
                </w:p>
                <w:p w14:paraId="0030B443"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78021BD"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99B40BB" w14:textId="77777777" w:rsidR="00236030" w:rsidRPr="004C0093" w:rsidRDefault="00236030" w:rsidP="00236030">
                  <w:pPr>
                    <w:spacing w:after="60"/>
                    <w:rPr>
                      <w:i/>
                      <w:iCs/>
                      <w:sz w:val="20"/>
                    </w:rPr>
                  </w:pPr>
                  <w:r>
                    <w:rPr>
                      <w:i/>
                      <w:iCs/>
                      <w:sz w:val="20"/>
                    </w:rPr>
                    <w:t xml:space="preserve">Reg-Up </w:t>
                  </w:r>
                  <w:r w:rsidRPr="004C0093">
                    <w:rPr>
                      <w:i/>
                      <w:iCs/>
                      <w:sz w:val="20"/>
                    </w:rPr>
                    <w:t xml:space="preserve">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capacity associated with infeasible deployment of 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F74B73">
                    <w:rPr>
                      <w:sz w:val="20"/>
                    </w:rPr>
                    <w:t xml:space="preserve">Where for a Combined Cycle Train, the Resource </w:t>
                  </w:r>
                  <w:r w:rsidRPr="00F74B73">
                    <w:rPr>
                      <w:i/>
                      <w:sz w:val="20"/>
                    </w:rPr>
                    <w:t xml:space="preserve">r </w:t>
                  </w:r>
                  <w:r w:rsidRPr="00F74B73">
                    <w:rPr>
                      <w:sz w:val="20"/>
                    </w:rPr>
                    <w:t>is a Combined Cycle Generation Resource within the Combined Cycle Train.</w:t>
                  </w:r>
                </w:p>
              </w:tc>
            </w:tr>
            <w:tr w:rsidR="00236030" w:rsidRPr="004C0093" w14:paraId="4504F3AA"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037C3A7" w14:textId="77777777" w:rsidR="00236030" w:rsidRPr="001F0DC8" w:rsidRDefault="00236030" w:rsidP="00236030">
                  <w:pPr>
                    <w:spacing w:after="60"/>
                    <w:rPr>
                      <w:iCs/>
                      <w:sz w:val="20"/>
                    </w:rPr>
                  </w:pPr>
                  <w:r w:rsidRPr="001F0DC8">
                    <w:rPr>
                      <w:iCs/>
                      <w:sz w:val="20"/>
                    </w:rPr>
                    <w:t xml:space="preserve">MCPCRU </w:t>
                  </w:r>
                  <w:r w:rsidRPr="001F0DC8">
                    <w:rPr>
                      <w:i/>
                      <w:iCs/>
                      <w:sz w:val="20"/>
                      <w:vertAlign w:val="subscript"/>
                    </w:rPr>
                    <w:t>DAM</w:t>
                  </w:r>
                </w:p>
                <w:p w14:paraId="165994F8"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5B4A386"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DF1EC58" w14:textId="77777777" w:rsidR="00236030" w:rsidRPr="004C0093" w:rsidRDefault="00236030" w:rsidP="00236030">
                  <w:pPr>
                    <w:spacing w:after="60"/>
                    <w:rPr>
                      <w:i/>
                      <w:iCs/>
                      <w:sz w:val="20"/>
                    </w:rPr>
                  </w:pPr>
                  <w:r w:rsidRPr="004C0093">
                    <w:rPr>
                      <w:i/>
                      <w:iCs/>
                      <w:sz w:val="20"/>
                    </w:rPr>
                    <w:t>Market Clearing Price for Capacity for Reg-Up in DAM</w:t>
                  </w:r>
                  <w:r w:rsidRPr="004C0093">
                    <w:rPr>
                      <w:iCs/>
                      <w:sz w:val="20"/>
                    </w:rPr>
                    <w:t>—The DAM MCPC for Reg-Up for the hour.</w:t>
                  </w:r>
                </w:p>
              </w:tc>
            </w:tr>
            <w:tr w:rsidR="00236030" w:rsidRPr="004C0093" w14:paraId="60D5E3C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A0498CC" w14:textId="77777777" w:rsidR="00236030" w:rsidRPr="001F0DC8" w:rsidRDefault="00236030" w:rsidP="00236030">
                  <w:pPr>
                    <w:spacing w:after="60"/>
                    <w:rPr>
                      <w:iCs/>
                      <w:sz w:val="20"/>
                    </w:rPr>
                  </w:pPr>
                  <w:r w:rsidRPr="001F0DC8">
                    <w:rPr>
                      <w:sz w:val="20"/>
                    </w:rPr>
                    <w:t xml:space="preserve">RDINFQAR </w:t>
                  </w:r>
                  <w:r w:rsidRPr="001F0DC8">
                    <w:rPr>
                      <w:i/>
                      <w:sz w:val="20"/>
                      <w:vertAlign w:val="subscript"/>
                    </w:rPr>
                    <w:t>q, r, p, h</w:t>
                  </w:r>
                </w:p>
                <w:p w14:paraId="4D66B45B"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821F6A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9FF43B9" w14:textId="77777777" w:rsidR="00236030" w:rsidRPr="004C0093" w:rsidRDefault="00236030" w:rsidP="00236030">
                  <w:pPr>
                    <w:spacing w:after="60"/>
                    <w:rPr>
                      <w:i/>
                      <w:iCs/>
                      <w:sz w:val="20"/>
                    </w:rPr>
                  </w:pPr>
                  <w:r w:rsidRPr="004C0093">
                    <w:rPr>
                      <w:i/>
                      <w:iCs/>
                      <w:sz w:val="20"/>
                    </w:rPr>
                    <w:t xml:space="preserve">Reg-Down 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E07DF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88F2AE6" w14:textId="77777777" w:rsidR="00236030" w:rsidRPr="001F0DC8" w:rsidRDefault="00236030" w:rsidP="00236030">
                  <w:pPr>
                    <w:spacing w:after="60"/>
                    <w:rPr>
                      <w:iCs/>
                      <w:sz w:val="20"/>
                    </w:rPr>
                  </w:pPr>
                  <w:r w:rsidRPr="001F0DC8">
                    <w:rPr>
                      <w:iCs/>
                      <w:sz w:val="20"/>
                    </w:rPr>
                    <w:t xml:space="preserve">MCPCRD </w:t>
                  </w:r>
                  <w:r w:rsidRPr="001F0DC8">
                    <w:rPr>
                      <w:i/>
                      <w:iCs/>
                      <w:sz w:val="20"/>
                      <w:vertAlign w:val="subscript"/>
                    </w:rPr>
                    <w:t>DAM</w:t>
                  </w:r>
                </w:p>
                <w:p w14:paraId="776D6D7A"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C0DDCCD"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ADC8B7F" w14:textId="77777777" w:rsidR="00236030" w:rsidRPr="004C0093" w:rsidRDefault="00236030" w:rsidP="00236030">
                  <w:pPr>
                    <w:spacing w:after="60"/>
                    <w:rPr>
                      <w:i/>
                      <w:iCs/>
                      <w:sz w:val="20"/>
                    </w:rPr>
                  </w:pPr>
                  <w:r w:rsidRPr="004C0093">
                    <w:rPr>
                      <w:i/>
                      <w:iCs/>
                      <w:sz w:val="20"/>
                    </w:rPr>
                    <w:t>Market Clearing Price for Capacity for Reg-Down in DAM</w:t>
                  </w:r>
                  <w:r w:rsidRPr="004C0093">
                    <w:rPr>
                      <w:iCs/>
                      <w:sz w:val="20"/>
                    </w:rPr>
                    <w:t>—The DAM MCPC for Reg-Down for the hour.</w:t>
                  </w:r>
                </w:p>
              </w:tc>
            </w:tr>
            <w:tr w:rsidR="00236030" w:rsidRPr="004C0093" w14:paraId="6DCCAEE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4D9698" w14:textId="77777777" w:rsidR="00236030" w:rsidRPr="001F0DC8" w:rsidRDefault="00236030" w:rsidP="00236030">
                  <w:pPr>
                    <w:spacing w:after="60"/>
                    <w:rPr>
                      <w:iCs/>
                      <w:sz w:val="20"/>
                    </w:rPr>
                  </w:pPr>
                  <w:r w:rsidRPr="001F0DC8">
                    <w:rPr>
                      <w:sz w:val="20"/>
                    </w:rPr>
                    <w:t>RRINFQAR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F9716AB"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24D629C" w14:textId="77777777" w:rsidR="00236030" w:rsidRPr="004C0093" w:rsidRDefault="00236030" w:rsidP="000809F8">
                  <w:pPr>
                    <w:spacing w:after="60"/>
                    <w:rPr>
                      <w:i/>
                      <w:iCs/>
                      <w:sz w:val="20"/>
                    </w:rPr>
                  </w:pPr>
                  <w:r w:rsidRPr="004C0093">
                    <w:rPr>
                      <w:i/>
                      <w:iCs/>
                      <w:sz w:val="20"/>
                    </w:rPr>
                    <w:t xml:space="preserve">Responsive 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236031B4"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05E782F" w14:textId="77777777" w:rsidR="00236030" w:rsidRPr="001F0DC8" w:rsidRDefault="00236030" w:rsidP="00236030">
                  <w:pPr>
                    <w:spacing w:after="60"/>
                    <w:rPr>
                      <w:iCs/>
                      <w:sz w:val="20"/>
                    </w:rPr>
                  </w:pPr>
                  <w:r w:rsidRPr="001F0DC8">
                    <w:rPr>
                      <w:iCs/>
                      <w:sz w:val="20"/>
                    </w:rPr>
                    <w:t xml:space="preserve">MCPCRR </w:t>
                  </w:r>
                  <w:r w:rsidRPr="001F0DC8">
                    <w:rPr>
                      <w:i/>
                      <w:iCs/>
                      <w:sz w:val="20"/>
                      <w:vertAlign w:val="subscript"/>
                    </w:rPr>
                    <w:t>DAM</w:t>
                  </w:r>
                </w:p>
                <w:p w14:paraId="233590B2"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FCCC89"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53F95BC" w14:textId="77777777" w:rsidR="00236030" w:rsidRPr="004C0093" w:rsidRDefault="00236030" w:rsidP="000809F8">
                  <w:pPr>
                    <w:spacing w:after="60"/>
                    <w:rPr>
                      <w:i/>
                      <w:iCs/>
                      <w:sz w:val="20"/>
                    </w:rPr>
                  </w:pPr>
                  <w:r w:rsidRPr="004C0093">
                    <w:rPr>
                      <w:i/>
                      <w:iCs/>
                      <w:sz w:val="20"/>
                    </w:rPr>
                    <w:t>Market Clearing Price for Capacity for Responsive Reserve in DAM</w:t>
                  </w:r>
                  <w:r w:rsidRPr="004C0093">
                    <w:rPr>
                      <w:iCs/>
                      <w:sz w:val="20"/>
                    </w:rPr>
                    <w:t>—The DAM MCPC for RR</w:t>
                  </w:r>
                  <w:r w:rsidR="00065EC3">
                    <w:rPr>
                      <w:iCs/>
                      <w:sz w:val="20"/>
                    </w:rPr>
                    <w:t xml:space="preserve">S </w:t>
                  </w:r>
                  <w:r w:rsidRPr="004C0093">
                    <w:rPr>
                      <w:iCs/>
                      <w:sz w:val="20"/>
                    </w:rPr>
                    <w:t>for the hour.</w:t>
                  </w:r>
                </w:p>
              </w:tc>
            </w:tr>
            <w:tr w:rsidR="00236030" w:rsidRPr="004C0093" w14:paraId="1609F64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C5F8927" w14:textId="77777777" w:rsidR="00236030" w:rsidRPr="001F0DC8" w:rsidRDefault="00236030" w:rsidP="00236030">
                  <w:pPr>
                    <w:spacing w:after="60"/>
                    <w:rPr>
                      <w:iCs/>
                      <w:sz w:val="20"/>
                    </w:rPr>
                  </w:pPr>
                  <w:r w:rsidRPr="001F0DC8">
                    <w:rPr>
                      <w:iCs/>
                      <w:sz w:val="20"/>
                    </w:rPr>
                    <w:t xml:space="preserve">NSINFQAR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81D70F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C8283DF" w14:textId="77777777" w:rsidR="00236030" w:rsidRPr="004C0093" w:rsidRDefault="00236030" w:rsidP="00236030">
                  <w:pPr>
                    <w:spacing w:after="60"/>
                    <w:rPr>
                      <w:i/>
                      <w:iCs/>
                      <w:sz w:val="20"/>
                    </w:rPr>
                  </w:pPr>
                  <w:r w:rsidRPr="004C0093">
                    <w:rPr>
                      <w:i/>
                      <w:iCs/>
                      <w:sz w:val="20"/>
                    </w:rPr>
                    <w:t xml:space="preserve">Non-Spin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F1ED7CD"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73ABE38" w14:textId="77777777" w:rsidR="00236030" w:rsidRPr="001F0DC8" w:rsidRDefault="00236030" w:rsidP="00236030">
                  <w:pPr>
                    <w:spacing w:after="60"/>
                    <w:rPr>
                      <w:iCs/>
                      <w:sz w:val="20"/>
                    </w:rPr>
                  </w:pPr>
                  <w:r w:rsidRPr="001F0DC8">
                    <w:rPr>
                      <w:iCs/>
                      <w:sz w:val="20"/>
                    </w:rPr>
                    <w:t xml:space="preserve">MCPCNS </w:t>
                  </w:r>
                  <w:r w:rsidRPr="001F0DC8">
                    <w:rPr>
                      <w:i/>
                      <w:iCs/>
                      <w:sz w:val="20"/>
                      <w:vertAlign w:val="subscript"/>
                    </w:rPr>
                    <w:t>DAM</w:t>
                  </w:r>
                </w:p>
                <w:p w14:paraId="43A02071"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096E6F"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1DE7AEF" w14:textId="77777777" w:rsidR="00236030" w:rsidRPr="004C0093" w:rsidRDefault="00236030" w:rsidP="00236030">
                  <w:pPr>
                    <w:spacing w:after="60"/>
                    <w:rPr>
                      <w:i/>
                      <w:iCs/>
                      <w:sz w:val="20"/>
                    </w:rPr>
                  </w:pPr>
                  <w:r w:rsidRPr="004C0093">
                    <w:rPr>
                      <w:i/>
                      <w:iCs/>
                      <w:sz w:val="20"/>
                    </w:rPr>
                    <w:t>Market Clearing Price for Capacity for Non-Spin Service in DAM</w:t>
                  </w:r>
                  <w:r w:rsidRPr="004C0093">
                    <w:rPr>
                      <w:iCs/>
                      <w:sz w:val="20"/>
                    </w:rPr>
                    <w:t>—The DAM MCPC for N</w:t>
                  </w:r>
                  <w:r>
                    <w:rPr>
                      <w:iCs/>
                      <w:sz w:val="20"/>
                    </w:rPr>
                    <w:t>on-</w:t>
                  </w:r>
                  <w:r w:rsidRPr="004C0093">
                    <w:rPr>
                      <w:iCs/>
                      <w:sz w:val="20"/>
                    </w:rPr>
                    <w:t>S</w:t>
                  </w:r>
                  <w:r>
                    <w:rPr>
                      <w:iCs/>
                      <w:sz w:val="20"/>
                    </w:rPr>
                    <w:t>pin</w:t>
                  </w:r>
                  <w:r w:rsidRPr="004C0093">
                    <w:rPr>
                      <w:iCs/>
                      <w:sz w:val="20"/>
                    </w:rPr>
                    <w:t xml:space="preserve"> for the hour.</w:t>
                  </w:r>
                </w:p>
              </w:tc>
            </w:tr>
            <w:tr w:rsidR="0058435E" w:rsidRPr="004C0093" w14:paraId="1D6DF1D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D49970E" w14:textId="77777777" w:rsidR="0058435E" w:rsidRPr="001F0DC8" w:rsidRDefault="0058435E" w:rsidP="0058435E">
                  <w:pPr>
                    <w:spacing w:after="60"/>
                    <w:rPr>
                      <w:iCs/>
                      <w:sz w:val="20"/>
                    </w:rPr>
                  </w:pPr>
                  <w:r>
                    <w:rPr>
                      <w:sz w:val="20"/>
                    </w:rPr>
                    <w:t>EC</w:t>
                  </w:r>
                  <w:r w:rsidRPr="001F0DC8">
                    <w:rPr>
                      <w:sz w:val="20"/>
                    </w:rPr>
                    <w:t xml:space="preserve">RINFQAR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34EE26" w14:textId="77777777" w:rsidR="0058435E" w:rsidRPr="004C0093" w:rsidRDefault="0058435E" w:rsidP="0058435E">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0D73D" w14:textId="77777777" w:rsidR="0058435E" w:rsidRPr="004C0093" w:rsidRDefault="0058435E" w:rsidP="0058435E">
                  <w:pPr>
                    <w:spacing w:after="60"/>
                    <w:rPr>
                      <w:i/>
                      <w:iCs/>
                      <w:sz w:val="20"/>
                    </w:rPr>
                  </w:pPr>
                  <w:r w:rsidRPr="006714C4">
                    <w:rPr>
                      <w:i/>
                      <w:iCs/>
                      <w:sz w:val="20"/>
                    </w:rPr>
                    <w:t>ERCOT Contingency Reserve Service</w:t>
                  </w:r>
                  <w:r w:rsidRPr="004C0093">
                    <w:rPr>
                      <w:i/>
                      <w:iCs/>
                      <w:sz w:val="20"/>
                    </w:rPr>
                    <w:t xml:space="p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58435E" w:rsidRPr="004C0093" w14:paraId="0BBA69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DE28A50" w14:textId="77777777" w:rsidR="0058435E" w:rsidRPr="001F0DC8" w:rsidRDefault="0058435E" w:rsidP="0058435E">
                  <w:pPr>
                    <w:spacing w:after="60"/>
                    <w:rPr>
                      <w:iCs/>
                      <w:sz w:val="20"/>
                    </w:rPr>
                  </w:pPr>
                  <w:r w:rsidRPr="001F0DC8">
                    <w:rPr>
                      <w:iCs/>
                      <w:sz w:val="20"/>
                    </w:rPr>
                    <w:t>MCPC</w:t>
                  </w:r>
                  <w:r>
                    <w:rPr>
                      <w:iCs/>
                      <w:sz w:val="20"/>
                    </w:rPr>
                    <w:t>EC</w:t>
                  </w:r>
                  <w:r w:rsidRPr="001F0DC8">
                    <w:rPr>
                      <w:iCs/>
                      <w:sz w:val="20"/>
                    </w:rPr>
                    <w:t xml:space="preserve">R </w:t>
                  </w:r>
                  <w:r w:rsidRPr="001F0DC8">
                    <w:rPr>
                      <w:i/>
                      <w:iCs/>
                      <w:sz w:val="20"/>
                      <w:vertAlign w:val="subscript"/>
                    </w:rPr>
                    <w:t>DAM</w:t>
                  </w:r>
                </w:p>
                <w:p w14:paraId="16E0D90F" w14:textId="77777777" w:rsidR="0058435E" w:rsidRPr="001F0DC8" w:rsidRDefault="0058435E" w:rsidP="0058435E">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AF3DE8E" w14:textId="77777777" w:rsidR="0058435E" w:rsidRPr="004C0093" w:rsidRDefault="0058435E" w:rsidP="0058435E">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DB9B7" w14:textId="77777777" w:rsidR="0058435E" w:rsidRPr="004C0093" w:rsidRDefault="0058435E" w:rsidP="0058435E">
                  <w:pPr>
                    <w:spacing w:after="60"/>
                    <w:rPr>
                      <w:i/>
                      <w:iCs/>
                      <w:sz w:val="20"/>
                    </w:rPr>
                  </w:pPr>
                  <w:r w:rsidRPr="004C0093">
                    <w:rPr>
                      <w:i/>
                      <w:iCs/>
                      <w:sz w:val="20"/>
                    </w:rPr>
                    <w:t xml:space="preserve">Market Clearing Price for Capacity for </w:t>
                  </w:r>
                  <w:r w:rsidRPr="006714C4">
                    <w:rPr>
                      <w:i/>
                      <w:iCs/>
                      <w:sz w:val="20"/>
                    </w:rPr>
                    <w:t>ERCOT Contingency Reserve Service</w:t>
                  </w:r>
                  <w:r w:rsidRPr="004C0093">
                    <w:rPr>
                      <w:i/>
                      <w:iCs/>
                      <w:sz w:val="20"/>
                    </w:rPr>
                    <w:t xml:space="preserve"> in DAM</w:t>
                  </w:r>
                  <w:r w:rsidRPr="004C0093">
                    <w:rPr>
                      <w:iCs/>
                      <w:sz w:val="20"/>
                    </w:rPr>
                    <w:t xml:space="preserve">—The DAM MCPC for </w:t>
                  </w:r>
                  <w:r>
                    <w:rPr>
                      <w:iCs/>
                      <w:sz w:val="20"/>
                    </w:rPr>
                    <w:t>EC</w:t>
                  </w:r>
                  <w:r w:rsidRPr="004C0093">
                    <w:rPr>
                      <w:iCs/>
                      <w:sz w:val="20"/>
                    </w:rPr>
                    <w:t>R</w:t>
                  </w:r>
                  <w:r>
                    <w:rPr>
                      <w:iCs/>
                      <w:sz w:val="20"/>
                    </w:rPr>
                    <w:t xml:space="preserve">S </w:t>
                  </w:r>
                  <w:r w:rsidRPr="004C0093">
                    <w:rPr>
                      <w:iCs/>
                      <w:sz w:val="20"/>
                    </w:rPr>
                    <w:t>for the hour.</w:t>
                  </w:r>
                </w:p>
              </w:tc>
            </w:tr>
            <w:tr w:rsidR="00236030" w:rsidRPr="004C0093" w14:paraId="7CADCD0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97EE878" w14:textId="77777777" w:rsidR="00236030" w:rsidRPr="001F0DC8" w:rsidRDefault="00236030" w:rsidP="00236030">
                  <w:pPr>
                    <w:spacing w:after="60"/>
                    <w:rPr>
                      <w:iCs/>
                      <w:sz w:val="20"/>
                    </w:rPr>
                  </w:pPr>
                  <w:r w:rsidRPr="001F0DC8">
                    <w:rPr>
                      <w:sz w:val="20"/>
                    </w:rPr>
                    <w:t>ASINFQR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A8F39F"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970529" w14:textId="77777777" w:rsidR="00236030" w:rsidRPr="004C0093" w:rsidRDefault="00236030" w:rsidP="00236030">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lastRenderedPageBreak/>
                    <w:t>Ancillary Service Supply Responsibility,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3C3E15A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29FB5A0" w14:textId="77777777" w:rsidR="00236030" w:rsidRPr="001F0DC8" w:rsidRDefault="00236030" w:rsidP="00236030">
                  <w:pPr>
                    <w:spacing w:after="60"/>
                    <w:rPr>
                      <w:sz w:val="20"/>
                    </w:rPr>
                  </w:pPr>
                  <w:r w:rsidRPr="001F0DC8">
                    <w:rPr>
                      <w:iCs/>
                      <w:sz w:val="20"/>
                    </w:rPr>
                    <w:lastRenderedPageBreak/>
                    <w:t xml:space="preserve">RUINFQR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4078F9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11BA2B7" w14:textId="77777777" w:rsidR="00236030" w:rsidRPr="004C0093" w:rsidRDefault="00236030" w:rsidP="00236030">
                  <w:pPr>
                    <w:spacing w:after="60"/>
                    <w:rPr>
                      <w:i/>
                      <w:iCs/>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w:t>
                  </w:r>
                  <w:r w:rsidRPr="00065EC3">
                    <w:rPr>
                      <w:iCs/>
                      <w:sz w:val="20"/>
                    </w:rPr>
                    <w:t>total</w:t>
                  </w:r>
                  <w:r w:rsidRPr="004C0093">
                    <w:rPr>
                      <w:i/>
                      <w:iCs/>
                      <w:sz w:val="20"/>
                    </w:rPr>
                    <w:t xml:space="preserve">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416394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D28DD4" w14:textId="77777777" w:rsidR="00236030" w:rsidRPr="001F0DC8" w:rsidRDefault="00236030" w:rsidP="00236030">
                  <w:pPr>
                    <w:spacing w:after="60"/>
                    <w:rPr>
                      <w:iCs/>
                      <w:sz w:val="20"/>
                    </w:rPr>
                  </w:pPr>
                  <w:r w:rsidRPr="001F0DC8">
                    <w:rPr>
                      <w:iCs/>
                      <w:sz w:val="20"/>
                    </w:rPr>
                    <w:t xml:space="preserve">RDINFQR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97BAC9"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3E57069" w14:textId="77777777" w:rsidR="00236030" w:rsidRPr="004C0093" w:rsidRDefault="00236030" w:rsidP="00236030">
                  <w:pPr>
                    <w:spacing w:after="60"/>
                    <w:rPr>
                      <w:i/>
                      <w:iCs/>
                      <w:sz w:val="20"/>
                    </w:rPr>
                  </w:pPr>
                  <w:r w:rsidRPr="004C0093">
                    <w:rPr>
                      <w:i/>
                      <w:iCs/>
                      <w:sz w:val="20"/>
                    </w:rPr>
                    <w:t>Reg-Down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635CD0B3"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39EFC34" w14:textId="77777777" w:rsidR="00236030" w:rsidRPr="001F0DC8" w:rsidRDefault="00236030" w:rsidP="00236030">
                  <w:pPr>
                    <w:spacing w:after="60"/>
                    <w:rPr>
                      <w:iCs/>
                      <w:sz w:val="20"/>
                    </w:rPr>
                  </w:pPr>
                  <w:r w:rsidRPr="001F0DC8">
                    <w:rPr>
                      <w:iCs/>
                      <w:sz w:val="20"/>
                    </w:rPr>
                    <w:t xml:space="preserve">RRINFQR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3E3A5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F50370E" w14:textId="77777777" w:rsidR="00236030" w:rsidRPr="004C0093" w:rsidRDefault="00236030" w:rsidP="00236030">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607AE2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ABF6134" w14:textId="77777777" w:rsidR="00236030" w:rsidRPr="001F0DC8" w:rsidRDefault="00236030" w:rsidP="00236030">
                  <w:pPr>
                    <w:spacing w:after="60"/>
                    <w:rPr>
                      <w:sz w:val="20"/>
                    </w:rPr>
                  </w:pPr>
                  <w:r w:rsidRPr="001F0DC8">
                    <w:rPr>
                      <w:iCs/>
                      <w:sz w:val="20"/>
                    </w:rPr>
                    <w:t xml:space="preserve">NSINFQR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B01039A"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0F3DA3A" w14:textId="77777777" w:rsidR="00236030" w:rsidRPr="004C0093" w:rsidRDefault="00236030" w:rsidP="00236030">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 </w:t>
                  </w:r>
                  <w:r w:rsidRPr="004C0093">
                    <w:rPr>
                      <w:iCs/>
                      <w:sz w:val="20"/>
                    </w:rPr>
                    <w:t>total capacity associated with infeasible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4C0093" w14:paraId="57C7F61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FB0C1CC" w14:textId="77777777" w:rsidR="003C098F" w:rsidRPr="000064DA" w:rsidRDefault="003C098F" w:rsidP="003C098F">
                  <w:pPr>
                    <w:spacing w:after="60"/>
                    <w:rPr>
                      <w:i/>
                      <w:sz w:val="20"/>
                    </w:rPr>
                  </w:pPr>
                  <w:r>
                    <w:rPr>
                      <w:iCs/>
                      <w:sz w:val="20"/>
                    </w:rPr>
                    <w:t>EC</w:t>
                  </w:r>
                  <w:r w:rsidRPr="001F0DC8">
                    <w:rPr>
                      <w:iCs/>
                      <w:sz w:val="20"/>
                    </w:rPr>
                    <w:t xml:space="preserve">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B07686E" w14:textId="77777777" w:rsidR="003C098F" w:rsidRPr="004C0093" w:rsidRDefault="003C098F" w:rsidP="003C098F">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63E1C14" w14:textId="77777777" w:rsidR="003C098F" w:rsidRPr="000064DA" w:rsidRDefault="003C098F" w:rsidP="003C098F">
                  <w:pPr>
                    <w:spacing w:after="60"/>
                    <w:rPr>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4FE614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D39C859" w14:textId="77777777" w:rsidR="00236030" w:rsidRPr="000064DA" w:rsidRDefault="00236030" w:rsidP="00236030">
                  <w:pPr>
                    <w:spacing w:after="60"/>
                    <w:rPr>
                      <w:i/>
                      <w:sz w:val="20"/>
                    </w:rPr>
                  </w:pPr>
                  <w:r w:rsidRPr="000064DA">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CC7C3F1"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6B4C493" w14:textId="77777777" w:rsidR="00236030" w:rsidRPr="004C0093" w:rsidRDefault="00236030" w:rsidP="00236030">
                  <w:pPr>
                    <w:spacing w:after="60"/>
                    <w:rPr>
                      <w:i/>
                      <w:iCs/>
                      <w:sz w:val="20"/>
                    </w:rPr>
                  </w:pPr>
                  <w:r w:rsidRPr="000064DA">
                    <w:rPr>
                      <w:iCs/>
                      <w:sz w:val="20"/>
                    </w:rPr>
                    <w:t>An hour in the DAM-commitment period.</w:t>
                  </w:r>
                </w:p>
              </w:tc>
            </w:tr>
            <w:tr w:rsidR="00236030" w:rsidRPr="004C0093" w14:paraId="69F43AD6"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8BE3DB6" w14:textId="77777777" w:rsidR="00236030" w:rsidRPr="004C0093" w:rsidRDefault="00236030" w:rsidP="00236030">
                  <w:pPr>
                    <w:spacing w:after="60"/>
                    <w:rPr>
                      <w:i/>
                      <w:iCs/>
                      <w:sz w:val="20"/>
                    </w:rPr>
                  </w:pPr>
                  <w:r w:rsidRPr="004C0093">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55258FE"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32CD501" w14:textId="77777777" w:rsidR="00236030" w:rsidRPr="004C0093" w:rsidRDefault="00236030" w:rsidP="00236030">
                  <w:pPr>
                    <w:spacing w:after="60"/>
                    <w:rPr>
                      <w:iCs/>
                      <w:sz w:val="20"/>
                    </w:rPr>
                  </w:pPr>
                  <w:r w:rsidRPr="004C0093">
                    <w:rPr>
                      <w:iCs/>
                      <w:sz w:val="20"/>
                    </w:rPr>
                    <w:t>A QSE.</w:t>
                  </w:r>
                </w:p>
              </w:tc>
            </w:tr>
            <w:tr w:rsidR="00236030" w:rsidRPr="004C0093" w14:paraId="1135D5B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821BC7" w14:textId="77777777" w:rsidR="00236030" w:rsidRPr="004C0093" w:rsidRDefault="00236030" w:rsidP="00236030">
                  <w:pPr>
                    <w:spacing w:after="60"/>
                    <w:rPr>
                      <w:i/>
                      <w:iCs/>
                      <w:sz w:val="20"/>
                    </w:rPr>
                  </w:pPr>
                  <w:r w:rsidRPr="004C0093">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F7091AF"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91D219" w14:textId="77777777" w:rsidR="00236030" w:rsidRPr="004C0093" w:rsidRDefault="00236030" w:rsidP="00236030">
                  <w:pPr>
                    <w:spacing w:after="60"/>
                    <w:rPr>
                      <w:iCs/>
                      <w:sz w:val="20"/>
                    </w:rPr>
                  </w:pPr>
                  <w:r w:rsidRPr="000064DA">
                    <w:rPr>
                      <w:iCs/>
                      <w:sz w:val="20"/>
                    </w:rPr>
                    <w:t>A DAM-committed Generation Resource.</w:t>
                  </w:r>
                </w:p>
              </w:tc>
            </w:tr>
            <w:tr w:rsidR="00236030" w:rsidRPr="004C0093" w14:paraId="408B746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55602B" w14:textId="77777777" w:rsidR="00236030" w:rsidRPr="004C0093" w:rsidRDefault="00236030" w:rsidP="00236030">
                  <w:pPr>
                    <w:spacing w:after="60"/>
                    <w:rPr>
                      <w:i/>
                      <w:iCs/>
                      <w:sz w:val="20"/>
                    </w:rPr>
                  </w:pPr>
                  <w:r>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B57276A" w14:textId="77777777" w:rsidR="00236030" w:rsidRPr="004C0093" w:rsidRDefault="00236030" w:rsidP="00236030">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98FE686" w14:textId="77777777" w:rsidR="00236030" w:rsidRPr="00B019A1" w:rsidRDefault="00236030" w:rsidP="00236030">
                  <w:pPr>
                    <w:spacing w:after="60"/>
                    <w:rPr>
                      <w:iCs/>
                      <w:sz w:val="20"/>
                    </w:rPr>
                  </w:pPr>
                  <w:r w:rsidRPr="009D409E">
                    <w:rPr>
                      <w:iCs/>
                      <w:sz w:val="20"/>
                    </w:rPr>
                    <w:t>A Resource Node Settlement Point.</w:t>
                  </w:r>
                </w:p>
              </w:tc>
            </w:tr>
          </w:tbl>
          <w:p w14:paraId="40FE59F5" w14:textId="77777777" w:rsidR="003904E6" w:rsidRDefault="003904E6" w:rsidP="003904E6">
            <w:pPr>
              <w:pStyle w:val="BodyTextNumbered"/>
              <w:spacing w:before="240"/>
            </w:pPr>
            <w:r>
              <w:t>(3)</w:t>
            </w:r>
            <w:r>
              <w:tab/>
              <w:t xml:space="preserve">The total Real-Time </w:t>
            </w:r>
            <w:r>
              <w:rPr>
                <w:iCs/>
              </w:rPr>
              <w:t>Day-Ahead</w:t>
            </w:r>
            <w:r>
              <w:t xml:space="preserve"> Make-Whole Payments to each QSE for Generation Resources for a given hour is calculated as follows:</w:t>
            </w:r>
          </w:p>
          <w:p w14:paraId="78CDD61B" w14:textId="77777777" w:rsidR="003904E6" w:rsidRDefault="003904E6" w:rsidP="003904E6">
            <w:pPr>
              <w:pStyle w:val="FormulaBold"/>
              <w:rPr>
                <w:i/>
                <w:vertAlign w:val="subscript"/>
              </w:rPr>
            </w:pPr>
            <w:r w:rsidRPr="005F2651">
              <w:rPr>
                <w:color w:val="000000"/>
              </w:rPr>
              <w:t>RTDAMWA</w:t>
            </w:r>
            <w:r>
              <w:rPr>
                <w:color w:val="000000"/>
              </w:rPr>
              <w:t>MT</w:t>
            </w:r>
            <w:r>
              <w:t xml:space="preserve">QSETOT </w:t>
            </w:r>
            <w:r>
              <w:rPr>
                <w:i/>
                <w:vertAlign w:val="subscript"/>
              </w:rPr>
              <w:t>q,</w:t>
            </w:r>
            <w:r w:rsidR="001F0DC8">
              <w:rPr>
                <w:i/>
                <w:vertAlign w:val="subscript"/>
              </w:rPr>
              <w:t xml:space="preserve"> </w:t>
            </w:r>
            <w:r>
              <w:rPr>
                <w:i/>
                <w:vertAlign w:val="subscript"/>
              </w:rPr>
              <w:t>h</w:t>
            </w:r>
            <w:r>
              <w:tab/>
              <w:t xml:space="preserve"> = </w:t>
            </w:r>
            <w:r w:rsidRPr="006F784F">
              <w:rPr>
                <w:position w:val="-18"/>
              </w:rPr>
              <w:object w:dxaOrig="225" w:dyaOrig="420" w14:anchorId="4F38B6EE">
                <v:shape id="_x0000_i1331" type="#_x0000_t75" style="width:12pt;height:24pt" o:ole="">
                  <v:imagedata r:id="rId237" o:title=""/>
                </v:shape>
                <o:OLEObject Type="Embed" ProgID="Equation.3" ShapeID="_x0000_i1331" DrawAspect="Content" ObjectID="_1804653814" r:id="rId410"/>
              </w:object>
            </w:r>
            <w:r w:rsidRPr="00304F53">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 xml:space="preserve">q, r, </w:t>
            </w:r>
            <w:r>
              <w:rPr>
                <w:i/>
                <w:vertAlign w:val="subscript"/>
              </w:rPr>
              <w:t>p,</w:t>
            </w:r>
            <w:r w:rsidRPr="004C0093">
              <w:rPr>
                <w:i/>
                <w:vertAlign w:val="subscript"/>
              </w:rPr>
              <w:t xml:space="preserve"> h</w:t>
            </w:r>
            <w:r w:rsidRPr="004228A8">
              <w:rPr>
                <w:i/>
                <w:vertAlign w:val="subscript"/>
              </w:rPr>
              <w:t xml:space="preserve">  </w:t>
            </w:r>
          </w:p>
          <w:p w14:paraId="0B9BBC4D" w14:textId="77777777" w:rsidR="003904E6" w:rsidRPr="00703801" w:rsidRDefault="003904E6" w:rsidP="003904E6">
            <w:pPr>
              <w:pStyle w:val="BodyTextNumbered"/>
            </w:pPr>
            <w:r w:rsidRPr="00703801">
              <w:t>And,</w:t>
            </w:r>
          </w:p>
          <w:p w14:paraId="70939E6D" w14:textId="4194B57A" w:rsidR="003904E6" w:rsidRDefault="003904E6" w:rsidP="003904E6">
            <w:pPr>
              <w:pStyle w:val="FormulaBold"/>
            </w:pPr>
            <w:r w:rsidRPr="005F2651">
              <w:rPr>
                <w:color w:val="000000"/>
              </w:rPr>
              <w:t>RTDAMWA</w:t>
            </w:r>
            <w:r>
              <w:rPr>
                <w:color w:val="000000"/>
              </w:rPr>
              <w:t>MT</w:t>
            </w:r>
            <w:r>
              <w:t>TOT</w:t>
            </w:r>
            <w:r w:rsidRPr="00197458">
              <w:rPr>
                <w:i/>
                <w:vertAlign w:val="subscript"/>
              </w:rPr>
              <w:t xml:space="preserve"> </w:t>
            </w:r>
            <w:r>
              <w:rPr>
                <w:i/>
                <w:vertAlign w:val="subscript"/>
              </w:rPr>
              <w:t>h</w:t>
            </w:r>
            <w:r>
              <w:tab/>
              <w:t xml:space="preserve"> = </w:t>
            </w:r>
            <w:r w:rsidR="00952F33" w:rsidRPr="00F74B73">
              <w:rPr>
                <w:position w:val="-22"/>
              </w:rPr>
              <w:object w:dxaOrig="220" w:dyaOrig="460" w14:anchorId="4DCE9CD4">
                <v:shape id="_x0000_i1332" type="#_x0000_t75" style="width:18pt;height:24pt" o:ole="">
                  <v:imagedata r:id="rId383" o:title=""/>
                </v:shape>
                <o:OLEObject Type="Embed" ProgID="Equation.3" ShapeID="_x0000_i1332" DrawAspect="Content" ObjectID="_1804653815" r:id="rId411"/>
              </w:object>
            </w:r>
            <w:r w:rsidRPr="00304F53">
              <w:rPr>
                <w:color w:val="000000"/>
              </w:rPr>
              <w:t xml:space="preserve"> </w:t>
            </w:r>
            <w:r w:rsidRPr="005F2651">
              <w:rPr>
                <w:color w:val="000000"/>
              </w:rPr>
              <w:t>RTDAMWA</w:t>
            </w:r>
            <w:r>
              <w:rPr>
                <w:color w:val="000000"/>
              </w:rPr>
              <w:t>MT</w:t>
            </w:r>
            <w:r>
              <w:t xml:space="preserve">QSETOT </w:t>
            </w:r>
            <w:r>
              <w:rPr>
                <w:i/>
                <w:vertAlign w:val="subscript"/>
              </w:rPr>
              <w:t>q, h</w:t>
            </w:r>
          </w:p>
          <w:p w14:paraId="6A31AE3C" w14:textId="77777777" w:rsidR="003904E6" w:rsidRDefault="003904E6" w:rsidP="003904E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904E6" w14:paraId="447E76AE" w14:textId="77777777" w:rsidTr="002A7BFB">
              <w:trPr>
                <w:cantSplit/>
                <w:tblHeader/>
              </w:trPr>
              <w:tc>
                <w:tcPr>
                  <w:tcW w:w="1296" w:type="pct"/>
                </w:tcPr>
                <w:p w14:paraId="0EF630B5" w14:textId="77777777" w:rsidR="003904E6" w:rsidRDefault="003904E6" w:rsidP="003904E6">
                  <w:pPr>
                    <w:pStyle w:val="TableHead"/>
                  </w:pPr>
                  <w:r>
                    <w:t>Variable</w:t>
                  </w:r>
                </w:p>
              </w:tc>
              <w:tc>
                <w:tcPr>
                  <w:tcW w:w="316" w:type="pct"/>
                </w:tcPr>
                <w:p w14:paraId="15B73B5D" w14:textId="77777777" w:rsidR="003904E6" w:rsidRDefault="003904E6" w:rsidP="003904E6">
                  <w:pPr>
                    <w:pStyle w:val="TableHead"/>
                  </w:pPr>
                  <w:r>
                    <w:t>Unit</w:t>
                  </w:r>
                </w:p>
              </w:tc>
              <w:tc>
                <w:tcPr>
                  <w:tcW w:w="3388" w:type="pct"/>
                </w:tcPr>
                <w:p w14:paraId="316D2DB0" w14:textId="77777777" w:rsidR="003904E6" w:rsidRDefault="003904E6" w:rsidP="003904E6">
                  <w:pPr>
                    <w:pStyle w:val="TableHead"/>
                  </w:pPr>
                  <w:r>
                    <w:t>Definition</w:t>
                  </w:r>
                </w:p>
              </w:tc>
            </w:tr>
            <w:tr w:rsidR="003904E6" w14:paraId="277CB8DE" w14:textId="77777777" w:rsidTr="002A7BFB">
              <w:trPr>
                <w:cantSplit/>
              </w:trPr>
              <w:tc>
                <w:tcPr>
                  <w:tcW w:w="1296" w:type="pct"/>
                </w:tcPr>
                <w:p w14:paraId="429BBE76" w14:textId="77777777" w:rsidR="003904E6" w:rsidRPr="004C0093" w:rsidRDefault="003904E6" w:rsidP="003904E6">
                  <w:pPr>
                    <w:pStyle w:val="TableBody"/>
                    <w:rPr>
                      <w:color w:val="000000"/>
                    </w:rPr>
                  </w:pPr>
                  <w:r w:rsidRPr="005F2651">
                    <w:rPr>
                      <w:color w:val="000000"/>
                    </w:rPr>
                    <w:t>RTDAMWA</w:t>
                  </w:r>
                  <w:r>
                    <w:rPr>
                      <w:color w:val="000000"/>
                    </w:rPr>
                    <w:t>MT</w:t>
                  </w:r>
                  <w:r>
                    <w:t xml:space="preserve">QSETOT </w:t>
                  </w:r>
                  <w:r>
                    <w:rPr>
                      <w:i/>
                      <w:vertAlign w:val="subscript"/>
                    </w:rPr>
                    <w:t>q, h</w:t>
                  </w:r>
                </w:p>
              </w:tc>
              <w:tc>
                <w:tcPr>
                  <w:tcW w:w="316" w:type="pct"/>
                </w:tcPr>
                <w:p w14:paraId="6BE6991E" w14:textId="77777777" w:rsidR="003904E6" w:rsidRDefault="003904E6" w:rsidP="003904E6">
                  <w:pPr>
                    <w:pStyle w:val="TableBody"/>
                  </w:pPr>
                  <w:r>
                    <w:t>$</w:t>
                  </w:r>
                </w:p>
              </w:tc>
              <w:tc>
                <w:tcPr>
                  <w:tcW w:w="3388" w:type="pct"/>
                </w:tcPr>
                <w:p w14:paraId="088D1574" w14:textId="77777777" w:rsidR="003904E6" w:rsidRPr="004C0093" w:rsidRDefault="003904E6" w:rsidP="003904E6">
                  <w:pPr>
                    <w:pStyle w:val="TableBody"/>
                    <w:rPr>
                      <w:i/>
                    </w:rPr>
                  </w:pPr>
                  <w:r w:rsidRPr="004C0093">
                    <w:rPr>
                      <w:i/>
                    </w:rPr>
                    <w:t xml:space="preserve">Real-Time Day-Ahead Make-Whole Payment </w:t>
                  </w:r>
                  <w:r>
                    <w:rPr>
                      <w:i/>
                    </w:rPr>
                    <w:t xml:space="preserve">Amount </w:t>
                  </w:r>
                  <w:r w:rsidRPr="004C0093">
                    <w:rPr>
                      <w:i/>
                    </w:rPr>
                    <w:t>per QSE per hour</w:t>
                  </w:r>
                  <w:r w:rsidRPr="004C0093">
                    <w:sym w:font="Symbol" w:char="F0BE"/>
                  </w:r>
                  <w:r w:rsidRPr="004C0093">
                    <w:t xml:space="preserve">The Real-Time calculated payment to QSE </w:t>
                  </w:r>
                  <w:r w:rsidRPr="004C0093">
                    <w:rPr>
                      <w:i/>
                    </w:rPr>
                    <w:t>q</w:t>
                  </w:r>
                  <w:r w:rsidRPr="004C0093">
                    <w:t xml:space="preserve"> to make-whole the Startup </w:t>
                  </w:r>
                  <w:r>
                    <w:t xml:space="preserve">Cost </w:t>
                  </w:r>
                  <w:r w:rsidRPr="004C0093">
                    <w:t xml:space="preserve">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p>
              </w:tc>
            </w:tr>
            <w:tr w:rsidR="003904E6" w14:paraId="443B14A1" w14:textId="77777777" w:rsidTr="002A7BFB">
              <w:trPr>
                <w:cantSplit/>
              </w:trPr>
              <w:tc>
                <w:tcPr>
                  <w:tcW w:w="1296" w:type="pct"/>
                </w:tcPr>
                <w:p w14:paraId="76CCD930" w14:textId="77777777" w:rsidR="003904E6" w:rsidRDefault="003904E6" w:rsidP="003904E6">
                  <w:pPr>
                    <w:pStyle w:val="TableBody"/>
                  </w:pPr>
                  <w:r w:rsidRPr="004C0093">
                    <w:rPr>
                      <w:color w:val="000000"/>
                    </w:rPr>
                    <w:lastRenderedPageBreak/>
                    <w:t>RTDA</w:t>
                  </w:r>
                  <w:r>
                    <w:rPr>
                      <w:color w:val="000000"/>
                    </w:rPr>
                    <w:t>M</w:t>
                  </w:r>
                  <w:r w:rsidRPr="004C0093">
                    <w:rPr>
                      <w:color w:val="000000"/>
                    </w:rPr>
                    <w:t>WA</w:t>
                  </w:r>
                  <w:r>
                    <w:rPr>
                      <w:color w:val="000000"/>
                    </w:rPr>
                    <w:t>MT</w:t>
                  </w:r>
                  <w:r w:rsidRPr="004C0093">
                    <w:rPr>
                      <w:i/>
                      <w:vertAlign w:val="subscript"/>
                    </w:rPr>
                    <w:t xml:space="preserve"> q, r, </w:t>
                  </w:r>
                  <w:r>
                    <w:rPr>
                      <w:i/>
                      <w:vertAlign w:val="subscript"/>
                    </w:rPr>
                    <w:t xml:space="preserve">p, </w:t>
                  </w:r>
                  <w:r w:rsidRPr="004C0093">
                    <w:rPr>
                      <w:i/>
                      <w:vertAlign w:val="subscript"/>
                    </w:rPr>
                    <w:t xml:space="preserve">h  </w:t>
                  </w:r>
                </w:p>
              </w:tc>
              <w:tc>
                <w:tcPr>
                  <w:tcW w:w="316" w:type="pct"/>
                </w:tcPr>
                <w:p w14:paraId="2BB4FDA6" w14:textId="77777777" w:rsidR="003904E6" w:rsidRDefault="003904E6" w:rsidP="003904E6">
                  <w:pPr>
                    <w:pStyle w:val="TableBody"/>
                  </w:pPr>
                  <w:r>
                    <w:t>$</w:t>
                  </w:r>
                </w:p>
              </w:tc>
              <w:tc>
                <w:tcPr>
                  <w:tcW w:w="3388" w:type="pct"/>
                </w:tcPr>
                <w:p w14:paraId="5973A2D8" w14:textId="77777777" w:rsidR="003904E6" w:rsidRDefault="003904E6" w:rsidP="003904E6">
                  <w:pPr>
                    <w:pStyle w:val="TableBody"/>
                  </w:pPr>
                  <w:r w:rsidRPr="004C0093">
                    <w:rPr>
                      <w:i/>
                    </w:rPr>
                    <w:t xml:space="preserve">Real-Time Day-Ahead Make-Whole Payment </w:t>
                  </w:r>
                  <w:r>
                    <w:rPr>
                      <w:i/>
                    </w:rPr>
                    <w:t xml:space="preserve">Amount </w:t>
                  </w:r>
                  <w:r w:rsidRPr="004C0093">
                    <w:rPr>
                      <w:i/>
                    </w:rPr>
                    <w:t>per QSE per Resource per Settlement Point per hour</w:t>
                  </w:r>
                  <w:r w:rsidRPr="004C0093">
                    <w:t xml:space="preserve"> </w:t>
                  </w:r>
                  <w:r w:rsidRPr="004C0093">
                    <w:sym w:font="Symbol" w:char="F0BE"/>
                  </w:r>
                  <w:r w:rsidRPr="004C0093">
                    <w:t xml:space="preserve">The Real-Time calculated payment to QSE </w:t>
                  </w:r>
                  <w:r w:rsidRPr="004C0093">
                    <w:rPr>
                      <w:i/>
                    </w:rPr>
                    <w:t>q</w:t>
                  </w:r>
                  <w:r w:rsidRPr="004C0093">
                    <w:t xml:space="preserve"> to make-whole the Startup and </w:t>
                  </w:r>
                  <w:r>
                    <w:t>e</w:t>
                  </w:r>
                  <w:r w:rsidRPr="004C0093">
                    <w:t xml:space="preserve">nergy costs of Resource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r>
                    <w:t xml:space="preserve">For a </w:t>
                  </w:r>
                  <w:r w:rsidRPr="004C0093">
                    <w:t>Combined Cycle Generation Resource is committed in the DAM, payment is made to the Combined Cycle Train for the DAM-committed Combined Cycle Generation Resource.</w:t>
                  </w:r>
                </w:p>
              </w:tc>
            </w:tr>
            <w:tr w:rsidR="003904E6" w14:paraId="3FC61EA2" w14:textId="77777777" w:rsidTr="002A7BFB">
              <w:trPr>
                <w:cantSplit/>
              </w:trPr>
              <w:tc>
                <w:tcPr>
                  <w:tcW w:w="1296" w:type="pct"/>
                </w:tcPr>
                <w:p w14:paraId="29934E5D" w14:textId="77777777" w:rsidR="003904E6" w:rsidRPr="004C0093" w:rsidRDefault="003904E6" w:rsidP="003904E6">
                  <w:pPr>
                    <w:pStyle w:val="TableBody"/>
                    <w:rPr>
                      <w:color w:val="000000"/>
                    </w:rPr>
                  </w:pPr>
                  <w:r w:rsidRPr="005F2651">
                    <w:rPr>
                      <w:color w:val="000000"/>
                    </w:rPr>
                    <w:t>RTDAMWA</w:t>
                  </w:r>
                  <w:r>
                    <w:rPr>
                      <w:color w:val="000000"/>
                    </w:rPr>
                    <w:t>MT</w:t>
                  </w:r>
                  <w:r>
                    <w:t>TOT</w:t>
                  </w:r>
                  <w:r>
                    <w:rPr>
                      <w:i/>
                      <w:vertAlign w:val="subscript"/>
                    </w:rPr>
                    <w:t xml:space="preserve"> h</w:t>
                  </w:r>
                </w:p>
              </w:tc>
              <w:tc>
                <w:tcPr>
                  <w:tcW w:w="316" w:type="pct"/>
                </w:tcPr>
                <w:p w14:paraId="13321284" w14:textId="77777777" w:rsidR="003904E6" w:rsidRDefault="003904E6" w:rsidP="003904E6">
                  <w:pPr>
                    <w:pStyle w:val="TableBody"/>
                  </w:pPr>
                  <w:r>
                    <w:t>$</w:t>
                  </w:r>
                </w:p>
              </w:tc>
              <w:tc>
                <w:tcPr>
                  <w:tcW w:w="3388" w:type="pct"/>
                </w:tcPr>
                <w:p w14:paraId="02FD056F" w14:textId="77777777" w:rsidR="003904E6" w:rsidRPr="004C0093" w:rsidRDefault="003904E6" w:rsidP="003904E6">
                  <w:pPr>
                    <w:pStyle w:val="TableBody"/>
                    <w:rPr>
                      <w:i/>
                    </w:rPr>
                  </w:pPr>
                  <w:r w:rsidRPr="004C0093">
                    <w:rPr>
                      <w:i/>
                    </w:rPr>
                    <w:t xml:space="preserve">Real-Time Day-Ahead Make-Whole Payment </w:t>
                  </w:r>
                  <w:r>
                    <w:rPr>
                      <w:i/>
                    </w:rPr>
                    <w:t xml:space="preserve">Amount per </w:t>
                  </w:r>
                  <w:r w:rsidRPr="004C0093">
                    <w:rPr>
                      <w:i/>
                    </w:rPr>
                    <w:t>hour</w:t>
                  </w:r>
                  <w:r w:rsidRPr="004C0093">
                    <w:sym w:font="Symbol" w:char="F0BE"/>
                  </w:r>
                  <w:r w:rsidRPr="004C0093">
                    <w:t xml:space="preserve">The Real-Time calculated payment to </w:t>
                  </w:r>
                  <w:r>
                    <w:t xml:space="preserve">all </w:t>
                  </w:r>
                  <w:r w:rsidRPr="004C0093">
                    <w:t>QSE</w:t>
                  </w:r>
                  <w:r>
                    <w:t>s</w:t>
                  </w:r>
                  <w:r w:rsidRPr="004C0093">
                    <w:t xml:space="preserve"> to make-whole the Startup 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for the hour </w:t>
                  </w:r>
                  <w:r w:rsidRPr="004C0093">
                    <w:rPr>
                      <w:i/>
                    </w:rPr>
                    <w:t>h</w:t>
                  </w:r>
                  <w:r w:rsidRPr="004C0093">
                    <w:t xml:space="preserve">.  </w:t>
                  </w:r>
                </w:p>
              </w:tc>
            </w:tr>
            <w:tr w:rsidR="003904E6" w14:paraId="4ECBC046"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E92063F" w14:textId="77777777" w:rsidR="003904E6" w:rsidRPr="00D661BC" w:rsidRDefault="003904E6" w:rsidP="003904E6">
                  <w:pPr>
                    <w:pStyle w:val="TableBody"/>
                    <w:rPr>
                      <w:i/>
                    </w:rPr>
                  </w:pPr>
                  <w:r>
                    <w:rPr>
                      <w:i/>
                    </w:rPr>
                    <w:t>h</w:t>
                  </w:r>
                </w:p>
              </w:tc>
              <w:tc>
                <w:tcPr>
                  <w:tcW w:w="316" w:type="pct"/>
                  <w:tcBorders>
                    <w:top w:val="single" w:sz="4" w:space="0" w:color="auto"/>
                    <w:left w:val="single" w:sz="4" w:space="0" w:color="auto"/>
                    <w:bottom w:val="single" w:sz="4" w:space="0" w:color="auto"/>
                    <w:right w:val="single" w:sz="4" w:space="0" w:color="auto"/>
                  </w:tcBorders>
                </w:tcPr>
                <w:p w14:paraId="33065DC1"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164777CD" w14:textId="77777777" w:rsidR="003904E6" w:rsidRDefault="003904E6" w:rsidP="003904E6">
                  <w:pPr>
                    <w:pStyle w:val="TableBody"/>
                  </w:pPr>
                  <w:r w:rsidRPr="003530E3">
                    <w:rPr>
                      <w:iCs w:val="0"/>
                    </w:rPr>
                    <w:t>An hour in the DAM-commitment period</w:t>
                  </w:r>
                  <w:r>
                    <w:rPr>
                      <w:iCs w:val="0"/>
                    </w:rPr>
                    <w:t>.</w:t>
                  </w:r>
                </w:p>
              </w:tc>
            </w:tr>
            <w:tr w:rsidR="003904E6" w14:paraId="45029AC0"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799C1E3C" w14:textId="77777777" w:rsidR="003904E6" w:rsidRPr="00A24281" w:rsidRDefault="003904E6" w:rsidP="003904E6">
                  <w:pPr>
                    <w:pStyle w:val="TableBody"/>
                    <w:rPr>
                      <w:i/>
                    </w:rPr>
                  </w:pPr>
                  <w:r w:rsidRPr="00D661BC">
                    <w:rPr>
                      <w:i/>
                    </w:rPr>
                    <w:t>q</w:t>
                  </w:r>
                </w:p>
              </w:tc>
              <w:tc>
                <w:tcPr>
                  <w:tcW w:w="316" w:type="pct"/>
                  <w:tcBorders>
                    <w:top w:val="single" w:sz="4" w:space="0" w:color="auto"/>
                    <w:left w:val="single" w:sz="4" w:space="0" w:color="auto"/>
                    <w:bottom w:val="single" w:sz="4" w:space="0" w:color="auto"/>
                    <w:right w:val="single" w:sz="4" w:space="0" w:color="auto"/>
                  </w:tcBorders>
                </w:tcPr>
                <w:p w14:paraId="7540D7B5"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53A03AF5" w14:textId="77777777" w:rsidR="003904E6" w:rsidRDefault="003904E6" w:rsidP="003904E6">
                  <w:pPr>
                    <w:pStyle w:val="TableBody"/>
                  </w:pPr>
                  <w:r>
                    <w:t>A QSE.</w:t>
                  </w:r>
                </w:p>
              </w:tc>
            </w:tr>
            <w:tr w:rsidR="003904E6" w14:paraId="42254D31"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0FF7981C" w14:textId="77777777" w:rsidR="003904E6" w:rsidRPr="00A24281" w:rsidRDefault="003904E6" w:rsidP="003904E6">
                  <w:pPr>
                    <w:pStyle w:val="TableBody"/>
                    <w:rPr>
                      <w:i/>
                    </w:rPr>
                  </w:pPr>
                  <w:r w:rsidRPr="00D661BC">
                    <w:rPr>
                      <w:i/>
                    </w:rPr>
                    <w:t>r</w:t>
                  </w:r>
                </w:p>
              </w:tc>
              <w:tc>
                <w:tcPr>
                  <w:tcW w:w="316" w:type="pct"/>
                  <w:tcBorders>
                    <w:top w:val="single" w:sz="4" w:space="0" w:color="auto"/>
                    <w:left w:val="single" w:sz="4" w:space="0" w:color="auto"/>
                    <w:bottom w:val="single" w:sz="4" w:space="0" w:color="auto"/>
                    <w:right w:val="single" w:sz="4" w:space="0" w:color="auto"/>
                  </w:tcBorders>
                </w:tcPr>
                <w:p w14:paraId="28933447"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324953EC" w14:textId="77777777" w:rsidR="003904E6" w:rsidRDefault="003904E6" w:rsidP="003904E6">
                  <w:pPr>
                    <w:pStyle w:val="TableBody"/>
                  </w:pPr>
                  <w:r w:rsidRPr="003530E3">
                    <w:rPr>
                      <w:iCs w:val="0"/>
                    </w:rPr>
                    <w:t>A DAM-committed Generation Resource</w:t>
                  </w:r>
                  <w:r>
                    <w:rPr>
                      <w:iCs w:val="0"/>
                    </w:rPr>
                    <w:t>.</w:t>
                  </w:r>
                </w:p>
              </w:tc>
            </w:tr>
            <w:tr w:rsidR="003904E6" w14:paraId="0C007C1B"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C0F1D14" w14:textId="77777777" w:rsidR="003904E6" w:rsidRPr="00D661BC" w:rsidRDefault="003904E6" w:rsidP="003904E6">
                  <w:pPr>
                    <w:pStyle w:val="TableBody"/>
                    <w:rPr>
                      <w:i/>
                    </w:rPr>
                  </w:pPr>
                  <w:r>
                    <w:rPr>
                      <w:i/>
                      <w:iCs w:val="0"/>
                    </w:rPr>
                    <w:t>p</w:t>
                  </w:r>
                </w:p>
              </w:tc>
              <w:tc>
                <w:tcPr>
                  <w:tcW w:w="316" w:type="pct"/>
                  <w:tcBorders>
                    <w:top w:val="single" w:sz="4" w:space="0" w:color="auto"/>
                    <w:left w:val="single" w:sz="4" w:space="0" w:color="auto"/>
                    <w:bottom w:val="single" w:sz="4" w:space="0" w:color="auto"/>
                    <w:right w:val="single" w:sz="4" w:space="0" w:color="auto"/>
                  </w:tcBorders>
                </w:tcPr>
                <w:p w14:paraId="5ADB5EA8" w14:textId="77777777" w:rsidR="003904E6" w:rsidRDefault="003904E6" w:rsidP="003904E6">
                  <w:pPr>
                    <w:pStyle w:val="TableBody"/>
                  </w:pPr>
                  <w:r>
                    <w:rPr>
                      <w:iCs w:val="0"/>
                    </w:rPr>
                    <w:t>none</w:t>
                  </w:r>
                </w:p>
              </w:tc>
              <w:tc>
                <w:tcPr>
                  <w:tcW w:w="3388" w:type="pct"/>
                  <w:tcBorders>
                    <w:top w:val="single" w:sz="4" w:space="0" w:color="auto"/>
                    <w:left w:val="single" w:sz="4" w:space="0" w:color="auto"/>
                    <w:bottom w:val="single" w:sz="4" w:space="0" w:color="auto"/>
                    <w:right w:val="single" w:sz="4" w:space="0" w:color="auto"/>
                  </w:tcBorders>
                </w:tcPr>
                <w:p w14:paraId="2CCB3D6E" w14:textId="77777777" w:rsidR="003904E6" w:rsidRPr="003530E3" w:rsidRDefault="003904E6" w:rsidP="003904E6">
                  <w:pPr>
                    <w:pStyle w:val="TableBody"/>
                    <w:rPr>
                      <w:iCs w:val="0"/>
                    </w:rPr>
                  </w:pPr>
                  <w:r w:rsidRPr="009D409E">
                    <w:t>A Resource Node Settlement Point.</w:t>
                  </w:r>
                </w:p>
              </w:tc>
            </w:tr>
          </w:tbl>
          <w:p w14:paraId="09A5D4CE" w14:textId="77777777" w:rsidR="00293D76" w:rsidRPr="007779E2" w:rsidRDefault="003904E6" w:rsidP="00293D76">
            <w:pPr>
              <w:spacing w:before="240" w:after="240"/>
              <w:ind w:left="720" w:hanging="720"/>
            </w:pPr>
            <w:r w:rsidRPr="007E46C9">
              <w:rPr>
                <w:iCs/>
              </w:rPr>
              <w:t xml:space="preserve"> </w:t>
            </w:r>
            <w:r w:rsidR="00293D76" w:rsidRPr="007E46C9">
              <w:rPr>
                <w:iCs/>
              </w:rPr>
              <w:t>(</w:t>
            </w:r>
            <w:r w:rsidR="00293D76">
              <w:rPr>
                <w:iCs/>
              </w:rPr>
              <w:t>4</w:t>
            </w:r>
            <w:r w:rsidR="00293D76" w:rsidRPr="007E46C9">
              <w:rPr>
                <w:iCs/>
              </w:rPr>
              <w:t>)</w:t>
            </w:r>
            <w:r w:rsidR="00293D76" w:rsidRPr="007E46C9">
              <w:rPr>
                <w:iCs/>
              </w:rPr>
              <w:tab/>
            </w:r>
            <w:r w:rsidR="00293D76">
              <w:rPr>
                <w:iCs/>
              </w:rPr>
              <w:t>For e</w:t>
            </w:r>
            <w:r w:rsidR="00293D76" w:rsidRPr="007E46C9">
              <w:rPr>
                <w:iCs/>
              </w:rPr>
              <w:t xml:space="preserve">ach QSE for which ERCOT </w:t>
            </w:r>
            <w:r w:rsidR="00293D76">
              <w:rPr>
                <w:iCs/>
              </w:rPr>
              <w:t xml:space="preserve">calculates a Real-Time DAM Make-Whole payment an adjustment for each Ancillary Service is computed </w:t>
            </w:r>
            <w:r w:rsidR="00293D76" w:rsidRPr="007779E2">
              <w:t>as follows:</w:t>
            </w:r>
          </w:p>
          <w:p w14:paraId="39E190C5" w14:textId="77777777" w:rsidR="00293D76" w:rsidRDefault="00293D76" w:rsidP="00293D76">
            <w:pPr>
              <w:spacing w:after="240"/>
              <w:ind w:left="1260" w:hanging="540"/>
              <w:rPr>
                <w:i/>
                <w:vertAlign w:val="subscript"/>
              </w:rPr>
            </w:pPr>
            <w:r>
              <w:rPr>
                <w:color w:val="000000"/>
              </w:rPr>
              <w:t>RUMWINFA</w:t>
            </w:r>
            <w:r w:rsidRPr="00806A30">
              <w:rPr>
                <w:i/>
                <w:vertAlign w:val="subscript"/>
              </w:rPr>
              <w:t xml:space="preserve"> </w:t>
            </w:r>
            <w:r>
              <w:rPr>
                <w:i/>
                <w:vertAlign w:val="subscript"/>
              </w:rPr>
              <w:t>q ,</w:t>
            </w:r>
            <w:r w:rsidRPr="004C0093">
              <w:rPr>
                <w:i/>
                <w:vertAlign w:val="subscript"/>
              </w:rPr>
              <w:t xml:space="preserve">h  </w:t>
            </w:r>
            <w:r w:rsidRPr="004C0093">
              <w:t>=</w:t>
            </w:r>
            <w:r w:rsidRPr="004057CD">
              <w:rPr>
                <w:position w:val="-18"/>
                <w:lang w:val="pt-BR"/>
              </w:rPr>
              <w:object w:dxaOrig="220" w:dyaOrig="420" w14:anchorId="0A635F17">
                <v:shape id="_x0000_i1333" type="#_x0000_t75" style="width:12pt;height:24pt" o:ole="">
                  <v:imagedata r:id="rId412" o:title=""/>
                </v:shape>
                <o:OLEObject Type="Embed" ProgID="Equation.3" ShapeID="_x0000_i1333" DrawAspect="Content" ObjectID="_1804653816" r:id="rId413"/>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rsidRPr="004C0093">
              <w:rPr>
                <w:i/>
                <w:vertAlign w:val="subscript"/>
              </w:rPr>
              <w:t xml:space="preserve"> </w:t>
            </w:r>
            <w:r>
              <w:t xml:space="preserve">* </w:t>
            </w:r>
            <w:r>
              <w:rPr>
                <w:lang w:val="pt-BR"/>
              </w:rPr>
              <w:t>R</w:t>
            </w:r>
            <w:r w:rsidRPr="00E07CAD">
              <w:t>UINFQ</w:t>
            </w:r>
            <w:r>
              <w:t>R</w:t>
            </w:r>
            <w:r w:rsidRPr="00E07CAD">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1D7B964F" w14:textId="77777777" w:rsidR="00293D76" w:rsidRPr="00E07CAD" w:rsidRDefault="00293D76" w:rsidP="00293D76">
            <w:pPr>
              <w:spacing w:after="240"/>
              <w:ind w:left="1260" w:hanging="540"/>
              <w:rPr>
                <w:i/>
                <w:vertAlign w:val="subscript"/>
              </w:rPr>
            </w:pPr>
            <w:r>
              <w:rPr>
                <w:color w:val="000000"/>
              </w:rPr>
              <w:t>RDMWINFA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2143A251">
                <v:shape id="_x0000_i1334" type="#_x0000_t75" style="width:12pt;height:24pt" o:ole="">
                  <v:imagedata r:id="rId412" o:title=""/>
                </v:shape>
                <o:OLEObject Type="Embed" ProgID="Equation.3" ShapeID="_x0000_i1334" DrawAspect="Content" ObjectID="_1804653817" r:id="rId414"/>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t>* RD</w:t>
            </w:r>
            <w:r w:rsidRPr="00E07CAD">
              <w:t>INFQ</w:t>
            </w:r>
            <w:r>
              <w:t>R</w:t>
            </w:r>
            <w:r w:rsidRPr="00E07CAD">
              <w:t xml:space="preserve"> </w:t>
            </w:r>
            <w:r w:rsidRPr="004C0093">
              <w:rPr>
                <w:i/>
                <w:vertAlign w:val="subscript"/>
              </w:rPr>
              <w:t xml:space="preserve">q, r, </w:t>
            </w:r>
            <w:r>
              <w:rPr>
                <w:i/>
                <w:vertAlign w:val="subscript"/>
              </w:rPr>
              <w:t>p,</w:t>
            </w:r>
            <w:r w:rsidRPr="004C0093">
              <w:rPr>
                <w:i/>
                <w:vertAlign w:val="subscript"/>
              </w:rPr>
              <w:t xml:space="preserve"> 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p>
          <w:p w14:paraId="294205C7" w14:textId="77777777" w:rsidR="00293D76" w:rsidRPr="00E07CAD" w:rsidRDefault="00293D76" w:rsidP="00293D76">
            <w:pPr>
              <w:spacing w:after="240"/>
              <w:ind w:left="1260" w:hanging="540"/>
              <w:rPr>
                <w:i/>
                <w:vertAlign w:val="subscript"/>
              </w:rPr>
            </w:pPr>
            <w:r>
              <w:rPr>
                <w:color w:val="000000"/>
              </w:rPr>
              <w:t>RRMWINFA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3AB6B04E">
                <v:shape id="_x0000_i1335" type="#_x0000_t75" style="width:12pt;height:24pt" o:ole="">
                  <v:imagedata r:id="rId412" o:title=""/>
                </v:shape>
                <o:OLEObject Type="Embed" ProgID="Equation.3" ShapeID="_x0000_i1335" DrawAspect="Content" ObjectID="_1804653818" r:id="rId415"/>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xml:space="preserve">* </w:t>
            </w:r>
            <w:r w:rsidRPr="00E07CAD">
              <w:t>R</w:t>
            </w:r>
            <w:r>
              <w:t>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64E47C28" w14:textId="77777777" w:rsidR="00293D76" w:rsidRPr="00E07CAD" w:rsidRDefault="00293D76" w:rsidP="00293D76">
            <w:pPr>
              <w:spacing w:after="240"/>
              <w:ind w:left="1260" w:hanging="540"/>
              <w:rPr>
                <w:i/>
                <w:vertAlign w:val="subscript"/>
              </w:rPr>
            </w:pPr>
            <w:r>
              <w:rPr>
                <w:color w:val="000000"/>
              </w:rPr>
              <w:t>NSMWINFA</w:t>
            </w:r>
            <w:r w:rsidR="003E2347">
              <w:rPr>
                <w:color w:val="000000"/>
              </w:rPr>
              <w:t xml:space="preserve"> </w:t>
            </w:r>
            <w:r>
              <w:rPr>
                <w:i/>
                <w:vertAlign w:val="subscript"/>
              </w:rPr>
              <w:t>q,</w:t>
            </w:r>
            <w:r w:rsidRPr="004C0093">
              <w:rPr>
                <w:i/>
                <w:vertAlign w:val="subscript"/>
              </w:rPr>
              <w:t xml:space="preserve"> h  </w:t>
            </w:r>
            <w:r w:rsidRPr="004C0093">
              <w:t>=</w:t>
            </w:r>
            <w:r w:rsidRPr="004057CD">
              <w:rPr>
                <w:position w:val="-18"/>
                <w:lang w:val="pt-BR"/>
              </w:rPr>
              <w:object w:dxaOrig="220" w:dyaOrig="420" w14:anchorId="0D9660A1">
                <v:shape id="_x0000_i1336" type="#_x0000_t75" style="width:12pt;height:24pt" o:ole="">
                  <v:imagedata r:id="rId412" o:title=""/>
                </v:shape>
                <o:OLEObject Type="Embed" ProgID="Equation.3" ShapeID="_x0000_i1336" DrawAspect="Content" ObjectID="_1804653819" r:id="rId416"/>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4228A8">
              <w:rPr>
                <w:i/>
                <w:vertAlign w:val="subscript"/>
              </w:rPr>
              <w:t xml:space="preserve">  </w:t>
            </w:r>
            <w:r>
              <w:t>* NS</w:t>
            </w:r>
            <w:r w:rsidRPr="00E07CAD">
              <w:t>INFQ</w:t>
            </w:r>
            <w:r>
              <w:t>R</w:t>
            </w:r>
            <w:r w:rsidRPr="00E07CAD">
              <w:t xml:space="preserve"> </w:t>
            </w:r>
            <w:r w:rsidRPr="004C0093">
              <w:rPr>
                <w:i/>
                <w:vertAlign w:val="subscript"/>
              </w:rPr>
              <w:t>q, r,</w:t>
            </w:r>
            <w:r w:rsidRPr="003D17C5">
              <w:rPr>
                <w:i/>
                <w:vertAlign w:val="subscript"/>
              </w:rPr>
              <w:t xml:space="preserve">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C7BF4B5" w14:textId="77777777" w:rsidR="003C098F" w:rsidRPr="00E07CAD" w:rsidRDefault="003C098F" w:rsidP="003C098F">
            <w:pPr>
              <w:spacing w:after="240"/>
              <w:ind w:left="1260" w:hanging="540"/>
              <w:rPr>
                <w:i/>
                <w:vertAlign w:val="subscript"/>
              </w:rPr>
            </w:pPr>
            <w:r>
              <w:rPr>
                <w:color w:val="000000"/>
              </w:rPr>
              <w:t>ECRMWINFA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5D05AE1E">
                <v:shape id="_x0000_i1337" type="#_x0000_t75" style="width:12pt;height:24pt" o:ole="">
                  <v:imagedata r:id="rId412" o:title=""/>
                </v:shape>
                <o:OLEObject Type="Embed" ProgID="Equation.3" ShapeID="_x0000_i1337" DrawAspect="Content" ObjectID="_1804653820" r:id="rId417"/>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ECRINFQR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A6785FE" w14:textId="77777777" w:rsidR="00D655D2" w:rsidRDefault="00293D76" w:rsidP="001F0DC8">
            <w:pPr>
              <w:spacing w:before="120"/>
            </w:pPr>
            <w:r w:rsidRPr="004228A8">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1F0DC8" w:rsidRPr="007873B3" w14:paraId="066B1EA3" w14:textId="77777777" w:rsidTr="002A7BFB">
              <w:tc>
                <w:tcPr>
                  <w:tcW w:w="1154" w:type="pct"/>
                  <w:shd w:val="clear" w:color="auto" w:fill="auto"/>
                </w:tcPr>
                <w:p w14:paraId="608C2AA0" w14:textId="77777777" w:rsidR="001F0DC8" w:rsidRPr="000064DA" w:rsidRDefault="001F0DC8" w:rsidP="001F0DC8">
                  <w:pPr>
                    <w:spacing w:after="240"/>
                    <w:rPr>
                      <w:b/>
                      <w:iCs/>
                      <w:sz w:val="20"/>
                    </w:rPr>
                  </w:pPr>
                  <w:r w:rsidRPr="000064DA">
                    <w:rPr>
                      <w:b/>
                      <w:iCs/>
                      <w:sz w:val="20"/>
                    </w:rPr>
                    <w:t>Variable</w:t>
                  </w:r>
                </w:p>
              </w:tc>
              <w:tc>
                <w:tcPr>
                  <w:tcW w:w="456" w:type="pct"/>
                  <w:shd w:val="clear" w:color="auto" w:fill="auto"/>
                </w:tcPr>
                <w:p w14:paraId="7C4C35A8" w14:textId="77777777" w:rsidR="001F0DC8" w:rsidRPr="000064DA" w:rsidRDefault="001F0DC8" w:rsidP="001F0DC8">
                  <w:pPr>
                    <w:spacing w:after="240"/>
                    <w:rPr>
                      <w:b/>
                      <w:iCs/>
                      <w:sz w:val="20"/>
                    </w:rPr>
                  </w:pPr>
                  <w:r w:rsidRPr="000064DA">
                    <w:rPr>
                      <w:b/>
                      <w:iCs/>
                      <w:sz w:val="20"/>
                    </w:rPr>
                    <w:t>Unit</w:t>
                  </w:r>
                </w:p>
              </w:tc>
              <w:tc>
                <w:tcPr>
                  <w:tcW w:w="3390" w:type="pct"/>
                  <w:shd w:val="clear" w:color="auto" w:fill="auto"/>
                </w:tcPr>
                <w:p w14:paraId="12B35FB3" w14:textId="77777777" w:rsidR="001F0DC8" w:rsidRPr="000064DA" w:rsidRDefault="001F0DC8" w:rsidP="001F0DC8">
                  <w:pPr>
                    <w:spacing w:after="240"/>
                    <w:rPr>
                      <w:b/>
                      <w:iCs/>
                      <w:sz w:val="20"/>
                    </w:rPr>
                  </w:pPr>
                  <w:r w:rsidRPr="000064DA">
                    <w:rPr>
                      <w:b/>
                      <w:iCs/>
                      <w:sz w:val="20"/>
                    </w:rPr>
                    <w:t>Description</w:t>
                  </w:r>
                </w:p>
              </w:tc>
            </w:tr>
            <w:tr w:rsidR="001F0DC8" w:rsidRPr="007873B3" w14:paraId="44573639" w14:textId="77777777" w:rsidTr="002A7BFB">
              <w:tc>
                <w:tcPr>
                  <w:tcW w:w="1154" w:type="pct"/>
                  <w:shd w:val="clear" w:color="auto" w:fill="auto"/>
                </w:tcPr>
                <w:p w14:paraId="56830710" w14:textId="77777777" w:rsidR="001F0DC8" w:rsidRPr="003E2347" w:rsidRDefault="001F0DC8" w:rsidP="001F0DC8">
                  <w:pPr>
                    <w:spacing w:after="240"/>
                    <w:rPr>
                      <w:iCs/>
                      <w:sz w:val="20"/>
                    </w:rPr>
                  </w:pPr>
                  <w:r w:rsidRPr="003E2347">
                    <w:rPr>
                      <w:color w:val="000000"/>
                      <w:sz w:val="20"/>
                    </w:rPr>
                    <w:t>RUMWINFA</w:t>
                  </w:r>
                  <w:r w:rsidRPr="003E2347">
                    <w:rPr>
                      <w:i/>
                      <w:sz w:val="20"/>
                      <w:vertAlign w:val="subscript"/>
                    </w:rPr>
                    <w:t xml:space="preserve"> q, h </w:t>
                  </w:r>
                </w:p>
              </w:tc>
              <w:tc>
                <w:tcPr>
                  <w:tcW w:w="456" w:type="pct"/>
                  <w:shd w:val="clear" w:color="auto" w:fill="auto"/>
                </w:tcPr>
                <w:p w14:paraId="7BB2E553" w14:textId="77777777" w:rsidR="001F0DC8" w:rsidRPr="000064DA" w:rsidRDefault="001F0DC8" w:rsidP="001F0DC8">
                  <w:pPr>
                    <w:spacing w:after="60"/>
                    <w:rPr>
                      <w:iCs/>
                      <w:sz w:val="20"/>
                    </w:rPr>
                  </w:pPr>
                  <w:r w:rsidRPr="000064DA">
                    <w:rPr>
                      <w:iCs/>
                      <w:sz w:val="20"/>
                    </w:rPr>
                    <w:t>$</w:t>
                  </w:r>
                </w:p>
              </w:tc>
              <w:tc>
                <w:tcPr>
                  <w:tcW w:w="3390" w:type="pct"/>
                  <w:shd w:val="clear" w:color="auto" w:fill="auto"/>
                </w:tcPr>
                <w:p w14:paraId="19148C4D" w14:textId="77777777" w:rsidR="001F0DC8" w:rsidRPr="000064DA" w:rsidRDefault="001F0DC8" w:rsidP="001F0DC8">
                  <w:pPr>
                    <w:spacing w:after="60"/>
                    <w:rPr>
                      <w:iCs/>
                      <w:sz w:val="20"/>
                    </w:rPr>
                  </w:pPr>
                  <w:r>
                    <w:rPr>
                      <w:i/>
                      <w:sz w:val="20"/>
                    </w:rPr>
                    <w:t>Regulation 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Regulation Up Ancillary Service,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17D06848" w14:textId="77777777" w:rsidTr="002A7BFB">
              <w:tc>
                <w:tcPr>
                  <w:tcW w:w="1154" w:type="pct"/>
                  <w:shd w:val="clear" w:color="auto" w:fill="auto"/>
                </w:tcPr>
                <w:p w14:paraId="60C7F0C9" w14:textId="77777777" w:rsidR="001F0DC8" w:rsidRPr="003E2347" w:rsidRDefault="001F0DC8" w:rsidP="001F0DC8">
                  <w:pPr>
                    <w:spacing w:after="60"/>
                    <w:rPr>
                      <w:color w:val="000000"/>
                      <w:sz w:val="20"/>
                    </w:rPr>
                  </w:pPr>
                  <w:r w:rsidRPr="003E2347">
                    <w:rPr>
                      <w:color w:val="000000"/>
                      <w:sz w:val="20"/>
                    </w:rPr>
                    <w:t xml:space="preserve">RDMWINFA </w:t>
                  </w:r>
                  <w:r w:rsidRPr="003E2347">
                    <w:rPr>
                      <w:i/>
                      <w:sz w:val="20"/>
                      <w:vertAlign w:val="subscript"/>
                    </w:rPr>
                    <w:t>q, h</w:t>
                  </w:r>
                </w:p>
              </w:tc>
              <w:tc>
                <w:tcPr>
                  <w:tcW w:w="456" w:type="pct"/>
                  <w:shd w:val="clear" w:color="auto" w:fill="auto"/>
                </w:tcPr>
                <w:p w14:paraId="716D452E" w14:textId="77777777" w:rsidR="001F0DC8" w:rsidRPr="004228A8" w:rsidRDefault="001F0DC8" w:rsidP="001F0DC8">
                  <w:pPr>
                    <w:spacing w:after="60"/>
                    <w:rPr>
                      <w:iCs/>
                      <w:sz w:val="20"/>
                    </w:rPr>
                  </w:pPr>
                  <w:r>
                    <w:rPr>
                      <w:iCs/>
                      <w:sz w:val="20"/>
                    </w:rPr>
                    <w:t>$</w:t>
                  </w:r>
                </w:p>
              </w:tc>
              <w:tc>
                <w:tcPr>
                  <w:tcW w:w="3390" w:type="pct"/>
                  <w:shd w:val="clear" w:color="auto" w:fill="auto"/>
                </w:tcPr>
                <w:p w14:paraId="0803E0B6" w14:textId="77777777" w:rsidR="001F0DC8" w:rsidRPr="004C0093" w:rsidRDefault="001F0DC8" w:rsidP="00065EC3">
                  <w:pPr>
                    <w:spacing w:after="60"/>
                    <w:rPr>
                      <w:i/>
                      <w:sz w:val="20"/>
                    </w:rPr>
                  </w:pPr>
                  <w:r>
                    <w:rPr>
                      <w:i/>
                      <w:sz w:val="20"/>
                    </w:rPr>
                    <w:t xml:space="preserve">Regulation Down Make-Whole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Reg</w:t>
                  </w:r>
                  <w:r w:rsidR="00065EC3">
                    <w:rPr>
                      <w:sz w:val="20"/>
                    </w:rPr>
                    <w:t>-Down</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379E801E" w14:textId="77777777" w:rsidTr="002A7BFB">
              <w:tc>
                <w:tcPr>
                  <w:tcW w:w="1154" w:type="pct"/>
                  <w:shd w:val="clear" w:color="auto" w:fill="auto"/>
                </w:tcPr>
                <w:p w14:paraId="313D548B" w14:textId="77777777" w:rsidR="001F0DC8" w:rsidRPr="003E2347" w:rsidRDefault="001F0DC8" w:rsidP="001F0DC8">
                  <w:pPr>
                    <w:spacing w:after="60"/>
                    <w:rPr>
                      <w:color w:val="000000"/>
                      <w:sz w:val="20"/>
                    </w:rPr>
                  </w:pPr>
                  <w:r w:rsidRPr="003E2347">
                    <w:rPr>
                      <w:color w:val="000000"/>
                      <w:sz w:val="20"/>
                    </w:rPr>
                    <w:t xml:space="preserve">RRMWINFA </w:t>
                  </w:r>
                  <w:r w:rsidRPr="003E2347">
                    <w:rPr>
                      <w:i/>
                      <w:sz w:val="20"/>
                      <w:vertAlign w:val="subscript"/>
                    </w:rPr>
                    <w:t>q, h</w:t>
                  </w:r>
                </w:p>
              </w:tc>
              <w:tc>
                <w:tcPr>
                  <w:tcW w:w="456" w:type="pct"/>
                  <w:shd w:val="clear" w:color="auto" w:fill="auto"/>
                </w:tcPr>
                <w:p w14:paraId="18E12FCA" w14:textId="77777777" w:rsidR="001F0DC8" w:rsidRDefault="001F0DC8" w:rsidP="001F0DC8">
                  <w:pPr>
                    <w:spacing w:after="60"/>
                    <w:rPr>
                      <w:iCs/>
                      <w:sz w:val="20"/>
                    </w:rPr>
                  </w:pPr>
                  <w:r>
                    <w:rPr>
                      <w:iCs/>
                      <w:sz w:val="20"/>
                    </w:rPr>
                    <w:t>$</w:t>
                  </w:r>
                </w:p>
              </w:tc>
              <w:tc>
                <w:tcPr>
                  <w:tcW w:w="3390" w:type="pct"/>
                  <w:shd w:val="clear" w:color="auto" w:fill="auto"/>
                </w:tcPr>
                <w:p w14:paraId="11F32350" w14:textId="77777777" w:rsidR="001F0DC8" w:rsidRPr="004C0093" w:rsidRDefault="001F0DC8" w:rsidP="00065EC3">
                  <w:pPr>
                    <w:spacing w:after="60"/>
                    <w:rPr>
                      <w:i/>
                      <w:sz w:val="20"/>
                    </w:rPr>
                  </w:pPr>
                  <w:r>
                    <w:rPr>
                      <w:i/>
                      <w:sz w:val="20"/>
                    </w:rPr>
                    <w:t xml:space="preserve">Responsive 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w:t>
                  </w:r>
                  <w:r w:rsidR="00065EC3">
                    <w:rPr>
                      <w:sz w:val="20"/>
                    </w:rPr>
                    <w:t>RS</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8A34D64" w14:textId="77777777" w:rsidTr="002A7BFB">
              <w:tc>
                <w:tcPr>
                  <w:tcW w:w="1154" w:type="pct"/>
                  <w:shd w:val="clear" w:color="auto" w:fill="auto"/>
                </w:tcPr>
                <w:p w14:paraId="56A5C062" w14:textId="77777777" w:rsidR="001F0DC8" w:rsidRPr="003E2347" w:rsidRDefault="001F0DC8" w:rsidP="001F0DC8">
                  <w:pPr>
                    <w:spacing w:after="60"/>
                    <w:rPr>
                      <w:color w:val="000000"/>
                      <w:sz w:val="20"/>
                    </w:rPr>
                  </w:pPr>
                  <w:r w:rsidRPr="003E2347">
                    <w:rPr>
                      <w:color w:val="000000"/>
                      <w:sz w:val="20"/>
                    </w:rPr>
                    <w:t xml:space="preserve">NSMWINFA </w:t>
                  </w:r>
                  <w:r w:rsidRPr="003E2347">
                    <w:rPr>
                      <w:i/>
                      <w:sz w:val="20"/>
                      <w:vertAlign w:val="subscript"/>
                    </w:rPr>
                    <w:t>q, h</w:t>
                  </w:r>
                </w:p>
              </w:tc>
              <w:tc>
                <w:tcPr>
                  <w:tcW w:w="456" w:type="pct"/>
                  <w:shd w:val="clear" w:color="auto" w:fill="auto"/>
                </w:tcPr>
                <w:p w14:paraId="2FD2665D" w14:textId="77777777" w:rsidR="001F0DC8" w:rsidRDefault="001F0DC8" w:rsidP="001F0DC8">
                  <w:pPr>
                    <w:spacing w:after="60"/>
                    <w:rPr>
                      <w:iCs/>
                      <w:sz w:val="20"/>
                    </w:rPr>
                  </w:pPr>
                  <w:r>
                    <w:rPr>
                      <w:iCs/>
                      <w:sz w:val="20"/>
                    </w:rPr>
                    <w:t>$</w:t>
                  </w:r>
                </w:p>
              </w:tc>
              <w:tc>
                <w:tcPr>
                  <w:tcW w:w="3390" w:type="pct"/>
                  <w:shd w:val="clear" w:color="auto" w:fill="auto"/>
                </w:tcPr>
                <w:p w14:paraId="35ADD3CE" w14:textId="77777777" w:rsidR="001F0DC8" w:rsidRPr="004C0093" w:rsidRDefault="001F0DC8" w:rsidP="00065EC3">
                  <w:pPr>
                    <w:spacing w:after="60"/>
                    <w:rPr>
                      <w:i/>
                      <w:sz w:val="20"/>
                    </w:rPr>
                  </w:pPr>
                  <w:r>
                    <w:rPr>
                      <w:i/>
                      <w:sz w:val="20"/>
                    </w:rPr>
                    <w:t xml:space="preserve">Non-Spin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lastRenderedPageBreak/>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3C098F" w:rsidRPr="007873B3" w14:paraId="7C06BFE6" w14:textId="77777777" w:rsidTr="002A7BFB">
              <w:tc>
                <w:tcPr>
                  <w:tcW w:w="1154" w:type="pct"/>
                  <w:shd w:val="clear" w:color="auto" w:fill="auto"/>
                </w:tcPr>
                <w:p w14:paraId="5BDCE113" w14:textId="77777777" w:rsidR="003C098F" w:rsidRPr="003E2347" w:rsidRDefault="003C098F" w:rsidP="003C098F">
                  <w:pPr>
                    <w:spacing w:after="60"/>
                    <w:rPr>
                      <w:color w:val="000000"/>
                      <w:sz w:val="20"/>
                    </w:rPr>
                  </w:pPr>
                  <w:r>
                    <w:rPr>
                      <w:color w:val="000000"/>
                      <w:sz w:val="20"/>
                    </w:rPr>
                    <w:lastRenderedPageBreak/>
                    <w:t>EC</w:t>
                  </w:r>
                  <w:r w:rsidRPr="003E2347">
                    <w:rPr>
                      <w:color w:val="000000"/>
                      <w:sz w:val="20"/>
                    </w:rPr>
                    <w:t xml:space="preserve">RMWINFA </w:t>
                  </w:r>
                  <w:r w:rsidRPr="003E2347">
                    <w:rPr>
                      <w:i/>
                      <w:sz w:val="20"/>
                      <w:vertAlign w:val="subscript"/>
                    </w:rPr>
                    <w:t>q, h</w:t>
                  </w:r>
                </w:p>
              </w:tc>
              <w:tc>
                <w:tcPr>
                  <w:tcW w:w="456" w:type="pct"/>
                  <w:shd w:val="clear" w:color="auto" w:fill="auto"/>
                </w:tcPr>
                <w:p w14:paraId="43B37762" w14:textId="77777777" w:rsidR="003C098F" w:rsidRDefault="003C098F" w:rsidP="003C098F">
                  <w:pPr>
                    <w:spacing w:after="60"/>
                    <w:rPr>
                      <w:iCs/>
                      <w:sz w:val="20"/>
                    </w:rPr>
                  </w:pPr>
                  <w:r>
                    <w:rPr>
                      <w:iCs/>
                      <w:sz w:val="20"/>
                    </w:rPr>
                    <w:t>$</w:t>
                  </w:r>
                </w:p>
              </w:tc>
              <w:tc>
                <w:tcPr>
                  <w:tcW w:w="3390" w:type="pct"/>
                  <w:shd w:val="clear" w:color="auto" w:fill="auto"/>
                </w:tcPr>
                <w:p w14:paraId="56F7D081" w14:textId="77777777" w:rsidR="003C098F" w:rsidRDefault="003C098F" w:rsidP="003C098F">
                  <w:pPr>
                    <w:spacing w:after="60"/>
                    <w:rPr>
                      <w:i/>
                      <w:sz w:val="20"/>
                    </w:rPr>
                  </w:pPr>
                  <w:r w:rsidRPr="006714C4">
                    <w:rPr>
                      <w:i/>
                      <w:sz w:val="20"/>
                    </w:rPr>
                    <w:t>ERCOT Contingency Reserve Service</w:t>
                  </w:r>
                  <w:r>
                    <w:rPr>
                      <w:i/>
                      <w:sz w:val="20"/>
                    </w:rPr>
                    <w:t xml:space="p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ECRS,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FAAB555" w14:textId="77777777" w:rsidTr="002A7BFB">
              <w:tc>
                <w:tcPr>
                  <w:tcW w:w="1154" w:type="pct"/>
                  <w:shd w:val="clear" w:color="auto" w:fill="auto"/>
                </w:tcPr>
                <w:p w14:paraId="29FCCEFF" w14:textId="77777777" w:rsidR="001F0DC8" w:rsidRPr="003E2347" w:rsidRDefault="001F0DC8" w:rsidP="001F0DC8">
                  <w:pPr>
                    <w:spacing w:after="60"/>
                    <w:rPr>
                      <w:color w:val="000000"/>
                      <w:sz w:val="20"/>
                    </w:rPr>
                  </w:pPr>
                  <w:r w:rsidRPr="003E2347">
                    <w:rPr>
                      <w:color w:val="000000"/>
                      <w:sz w:val="20"/>
                    </w:rPr>
                    <w:t>RTDAMWAMT</w:t>
                  </w:r>
                  <w:r w:rsidRPr="003E2347">
                    <w:rPr>
                      <w:i/>
                      <w:sz w:val="20"/>
                      <w:vertAlign w:val="subscript"/>
                    </w:rPr>
                    <w:t xml:space="preserve"> q, r, p, h  </w:t>
                  </w:r>
                </w:p>
              </w:tc>
              <w:tc>
                <w:tcPr>
                  <w:tcW w:w="456" w:type="pct"/>
                  <w:shd w:val="clear" w:color="auto" w:fill="auto"/>
                </w:tcPr>
                <w:p w14:paraId="629DCA9A" w14:textId="77777777" w:rsidR="001F0DC8" w:rsidRPr="004228A8" w:rsidRDefault="001F0DC8" w:rsidP="001F0DC8">
                  <w:pPr>
                    <w:spacing w:after="60"/>
                    <w:rPr>
                      <w:iCs/>
                      <w:sz w:val="20"/>
                    </w:rPr>
                  </w:pPr>
                  <w:r>
                    <w:rPr>
                      <w:iCs/>
                      <w:sz w:val="20"/>
                    </w:rPr>
                    <w:t>$</w:t>
                  </w:r>
                </w:p>
              </w:tc>
              <w:tc>
                <w:tcPr>
                  <w:tcW w:w="3390" w:type="pct"/>
                  <w:shd w:val="clear" w:color="auto" w:fill="auto"/>
                </w:tcPr>
                <w:p w14:paraId="5A72581A" w14:textId="77777777" w:rsidR="001F0DC8" w:rsidRPr="004C0093" w:rsidRDefault="001F0DC8" w:rsidP="001F0DC8">
                  <w:pPr>
                    <w:spacing w:after="60"/>
                    <w:rPr>
                      <w:i/>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sidRPr="004C0093" w:rsidDel="00282BD0">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1F0DC8" w:rsidRPr="007873B3" w14:paraId="33BC87B2" w14:textId="77777777" w:rsidTr="002A7BFB">
              <w:tc>
                <w:tcPr>
                  <w:tcW w:w="1154" w:type="pct"/>
                  <w:shd w:val="clear" w:color="auto" w:fill="auto"/>
                </w:tcPr>
                <w:p w14:paraId="02FB808F" w14:textId="77777777" w:rsidR="001F0DC8" w:rsidRPr="003E2347" w:rsidRDefault="001F0DC8" w:rsidP="001F0DC8">
                  <w:pPr>
                    <w:spacing w:after="60"/>
                    <w:rPr>
                      <w:color w:val="000000"/>
                      <w:sz w:val="20"/>
                    </w:rPr>
                  </w:pPr>
                  <w:r w:rsidRPr="003E2347">
                    <w:rPr>
                      <w:iCs/>
                      <w:sz w:val="20"/>
                    </w:rPr>
                    <w:t xml:space="preserve">RUINFQR </w:t>
                  </w:r>
                  <w:r w:rsidRPr="003E2347">
                    <w:rPr>
                      <w:i/>
                      <w:sz w:val="20"/>
                      <w:vertAlign w:val="subscript"/>
                    </w:rPr>
                    <w:t>q, r, p, h</w:t>
                  </w:r>
                </w:p>
              </w:tc>
              <w:tc>
                <w:tcPr>
                  <w:tcW w:w="456" w:type="pct"/>
                  <w:shd w:val="clear" w:color="auto" w:fill="auto"/>
                </w:tcPr>
                <w:p w14:paraId="057F9909" w14:textId="77777777" w:rsidR="001F0DC8" w:rsidRPr="004228A8" w:rsidRDefault="001F0DC8" w:rsidP="001F0DC8">
                  <w:pPr>
                    <w:spacing w:after="60"/>
                    <w:rPr>
                      <w:iCs/>
                      <w:sz w:val="20"/>
                    </w:rPr>
                  </w:pPr>
                  <w:r>
                    <w:rPr>
                      <w:iCs/>
                      <w:sz w:val="20"/>
                    </w:rPr>
                    <w:t>MW</w:t>
                  </w:r>
                </w:p>
              </w:tc>
              <w:tc>
                <w:tcPr>
                  <w:tcW w:w="3390" w:type="pct"/>
                  <w:shd w:val="clear" w:color="auto" w:fill="auto"/>
                </w:tcPr>
                <w:p w14:paraId="0B1EB2C3" w14:textId="77777777" w:rsidR="001F0DC8" w:rsidRPr="004C0093" w:rsidRDefault="001F0DC8" w:rsidP="001F0DC8">
                  <w:pPr>
                    <w:spacing w:after="60"/>
                    <w:rPr>
                      <w:i/>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total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68D64330" w14:textId="77777777" w:rsidTr="002A7BFB">
              <w:tc>
                <w:tcPr>
                  <w:tcW w:w="1154" w:type="pct"/>
                  <w:shd w:val="clear" w:color="auto" w:fill="auto"/>
                </w:tcPr>
                <w:p w14:paraId="62AE9055" w14:textId="77777777" w:rsidR="001F0DC8" w:rsidRPr="003E2347" w:rsidRDefault="001F0DC8" w:rsidP="001F0DC8">
                  <w:pPr>
                    <w:spacing w:after="60"/>
                    <w:rPr>
                      <w:iCs/>
                      <w:sz w:val="20"/>
                    </w:rPr>
                  </w:pPr>
                  <w:r w:rsidRPr="003E2347">
                    <w:rPr>
                      <w:iCs/>
                      <w:sz w:val="20"/>
                    </w:rPr>
                    <w:t xml:space="preserve">RDINFQR </w:t>
                  </w:r>
                  <w:r w:rsidRPr="003E2347">
                    <w:rPr>
                      <w:i/>
                      <w:sz w:val="20"/>
                      <w:vertAlign w:val="subscript"/>
                    </w:rPr>
                    <w:t>q, r, p, h</w:t>
                  </w:r>
                </w:p>
              </w:tc>
              <w:tc>
                <w:tcPr>
                  <w:tcW w:w="456" w:type="pct"/>
                  <w:shd w:val="clear" w:color="auto" w:fill="auto"/>
                </w:tcPr>
                <w:p w14:paraId="5DE3E990" w14:textId="77777777" w:rsidR="001F0DC8" w:rsidRDefault="001F0DC8" w:rsidP="001F0DC8">
                  <w:pPr>
                    <w:spacing w:after="60"/>
                    <w:rPr>
                      <w:iCs/>
                      <w:sz w:val="20"/>
                    </w:rPr>
                  </w:pPr>
                  <w:r>
                    <w:rPr>
                      <w:iCs/>
                      <w:sz w:val="20"/>
                    </w:rPr>
                    <w:t>MW</w:t>
                  </w:r>
                </w:p>
              </w:tc>
              <w:tc>
                <w:tcPr>
                  <w:tcW w:w="3390" w:type="pct"/>
                  <w:shd w:val="clear" w:color="auto" w:fill="auto"/>
                </w:tcPr>
                <w:p w14:paraId="0B842D9B" w14:textId="77777777" w:rsidR="001F0DC8" w:rsidRPr="004C0093" w:rsidRDefault="001F0DC8" w:rsidP="001F0DC8">
                  <w:pPr>
                    <w:spacing w:after="60"/>
                    <w:rPr>
                      <w:i/>
                      <w:iCs/>
                      <w:sz w:val="20"/>
                    </w:rPr>
                  </w:pPr>
                  <w:r w:rsidRPr="004C0093">
                    <w:rPr>
                      <w:i/>
                      <w:iCs/>
                      <w:sz w:val="20"/>
                    </w:rPr>
                    <w:t>Reg-Down Infeasib</w:t>
                  </w:r>
                  <w:r>
                    <w:rPr>
                      <w:i/>
                      <w:iCs/>
                      <w:sz w:val="20"/>
                    </w:rPr>
                    <w:t>le</w:t>
                  </w:r>
                  <w:r w:rsidRPr="004C0093">
                    <w:rPr>
                      <w:i/>
                      <w:iCs/>
                      <w:sz w:val="20"/>
                    </w:rPr>
                    <w:t xml:space="preserve"> Quantity</w:t>
                  </w:r>
                  <w:r w:rsidRPr="004C0093">
                    <w:rPr>
                      <w:i/>
                      <w:sz w:val="20"/>
                    </w:rPr>
                    <w:t xml:space="preserve"> 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453975F4" w14:textId="77777777" w:rsidTr="002A7BFB">
              <w:tc>
                <w:tcPr>
                  <w:tcW w:w="1154" w:type="pct"/>
                  <w:shd w:val="clear" w:color="auto" w:fill="auto"/>
                </w:tcPr>
                <w:p w14:paraId="7EDC64E5" w14:textId="77777777" w:rsidR="001F0DC8" w:rsidRPr="003E2347" w:rsidRDefault="001F0DC8" w:rsidP="001F0DC8">
                  <w:pPr>
                    <w:spacing w:after="60"/>
                    <w:rPr>
                      <w:iCs/>
                      <w:sz w:val="20"/>
                    </w:rPr>
                  </w:pPr>
                  <w:r w:rsidRPr="003E2347">
                    <w:rPr>
                      <w:iCs/>
                      <w:sz w:val="20"/>
                    </w:rPr>
                    <w:t xml:space="preserve">RRINFQR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817AAF0" w14:textId="77777777" w:rsidR="001F0DC8" w:rsidRDefault="001F0DC8" w:rsidP="001F0DC8">
                  <w:pPr>
                    <w:spacing w:after="60"/>
                    <w:rPr>
                      <w:iCs/>
                      <w:sz w:val="20"/>
                    </w:rPr>
                  </w:pPr>
                  <w:r>
                    <w:rPr>
                      <w:iCs/>
                      <w:sz w:val="20"/>
                    </w:rPr>
                    <w:t>MW</w:t>
                  </w:r>
                </w:p>
              </w:tc>
              <w:tc>
                <w:tcPr>
                  <w:tcW w:w="3390" w:type="pct"/>
                  <w:shd w:val="clear" w:color="auto" w:fill="auto"/>
                </w:tcPr>
                <w:p w14:paraId="6F059BDE" w14:textId="77777777" w:rsidR="001F0DC8" w:rsidRPr="004C0093" w:rsidRDefault="001F0DC8" w:rsidP="001F0DC8">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52630D72" w14:textId="77777777" w:rsidTr="002A7BFB">
              <w:tc>
                <w:tcPr>
                  <w:tcW w:w="1154" w:type="pct"/>
                  <w:shd w:val="clear" w:color="auto" w:fill="auto"/>
                </w:tcPr>
                <w:p w14:paraId="486EF778" w14:textId="77777777" w:rsidR="001F0DC8" w:rsidRPr="003E2347" w:rsidRDefault="001F0DC8" w:rsidP="001F0DC8">
                  <w:pPr>
                    <w:spacing w:after="60"/>
                    <w:rPr>
                      <w:iCs/>
                      <w:sz w:val="20"/>
                    </w:rPr>
                  </w:pPr>
                  <w:r w:rsidRPr="003E2347">
                    <w:rPr>
                      <w:iCs/>
                      <w:sz w:val="20"/>
                    </w:rPr>
                    <w:t xml:space="preserve">NSINFQR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4188AA9" w14:textId="77777777" w:rsidR="001F0DC8" w:rsidRDefault="001F0DC8" w:rsidP="001F0DC8">
                  <w:pPr>
                    <w:spacing w:after="60"/>
                    <w:rPr>
                      <w:iCs/>
                      <w:sz w:val="20"/>
                    </w:rPr>
                  </w:pPr>
                  <w:r>
                    <w:rPr>
                      <w:iCs/>
                      <w:sz w:val="20"/>
                    </w:rPr>
                    <w:t>MW</w:t>
                  </w:r>
                </w:p>
              </w:tc>
              <w:tc>
                <w:tcPr>
                  <w:tcW w:w="3390" w:type="pct"/>
                  <w:shd w:val="clear" w:color="auto" w:fill="auto"/>
                </w:tcPr>
                <w:p w14:paraId="1C8C6DF5" w14:textId="77777777" w:rsidR="001F0DC8" w:rsidRPr="004C0093" w:rsidRDefault="001F0DC8" w:rsidP="001F0DC8">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 Ancillary Service Supply Responsibility for Non-Spin,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7873B3" w14:paraId="60008731" w14:textId="77777777" w:rsidTr="002A7BFB">
              <w:tc>
                <w:tcPr>
                  <w:tcW w:w="1154" w:type="pct"/>
                  <w:shd w:val="clear" w:color="auto" w:fill="auto"/>
                </w:tcPr>
                <w:p w14:paraId="3D07A628" w14:textId="77777777" w:rsidR="003C098F" w:rsidRPr="003E2347" w:rsidRDefault="003C098F" w:rsidP="003C098F">
                  <w:pPr>
                    <w:spacing w:after="60"/>
                    <w:rPr>
                      <w:iCs/>
                      <w:sz w:val="20"/>
                    </w:rPr>
                  </w:pPr>
                  <w:r>
                    <w:rPr>
                      <w:iCs/>
                      <w:sz w:val="20"/>
                    </w:rPr>
                    <w:t>EC</w:t>
                  </w:r>
                  <w:r w:rsidRPr="003E2347">
                    <w:rPr>
                      <w:iCs/>
                      <w:sz w:val="20"/>
                    </w:rPr>
                    <w:t xml:space="preserve">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97E1AE7" w14:textId="77777777" w:rsidR="003C098F" w:rsidRDefault="003C098F" w:rsidP="003C098F">
                  <w:pPr>
                    <w:spacing w:after="60"/>
                    <w:rPr>
                      <w:iCs/>
                      <w:sz w:val="20"/>
                    </w:rPr>
                  </w:pPr>
                  <w:r>
                    <w:rPr>
                      <w:iCs/>
                      <w:sz w:val="20"/>
                    </w:rPr>
                    <w:t>MW</w:t>
                  </w:r>
                </w:p>
              </w:tc>
              <w:tc>
                <w:tcPr>
                  <w:tcW w:w="3390" w:type="pct"/>
                  <w:shd w:val="clear" w:color="auto" w:fill="auto"/>
                </w:tcPr>
                <w:p w14:paraId="25DB0FF9" w14:textId="77777777" w:rsidR="003C098F" w:rsidRPr="004C0093" w:rsidRDefault="003C098F" w:rsidP="003C098F">
                  <w:pPr>
                    <w:spacing w:after="60"/>
                    <w:rPr>
                      <w:i/>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0C461FF8" w14:textId="77777777" w:rsidTr="002A7BFB">
              <w:tc>
                <w:tcPr>
                  <w:tcW w:w="1154" w:type="pct"/>
                  <w:shd w:val="clear" w:color="auto" w:fill="auto"/>
                </w:tcPr>
                <w:p w14:paraId="0F4F4470" w14:textId="77777777" w:rsidR="001F0DC8" w:rsidRPr="003E2347" w:rsidRDefault="001F0DC8" w:rsidP="001F0DC8">
                  <w:pPr>
                    <w:spacing w:after="60"/>
                    <w:rPr>
                      <w:iCs/>
                      <w:sz w:val="20"/>
                    </w:rPr>
                  </w:pPr>
                  <w:r w:rsidRPr="003E2347">
                    <w:rPr>
                      <w:sz w:val="20"/>
                    </w:rPr>
                    <w:t>ASINFQR</w:t>
                  </w:r>
                  <w:r w:rsidR="003E2347" w:rsidRPr="003E2347">
                    <w:rPr>
                      <w:sz w:val="20"/>
                    </w:rPr>
                    <w:t xml:space="preserve"> </w:t>
                  </w:r>
                  <w:r w:rsidRPr="003E2347">
                    <w:rPr>
                      <w:i/>
                      <w:sz w:val="20"/>
                      <w:vertAlign w:val="subscript"/>
                    </w:rPr>
                    <w:t>q, r, p, h</w:t>
                  </w:r>
                </w:p>
              </w:tc>
              <w:tc>
                <w:tcPr>
                  <w:tcW w:w="456" w:type="pct"/>
                  <w:shd w:val="clear" w:color="auto" w:fill="auto"/>
                </w:tcPr>
                <w:p w14:paraId="6F0123CC" w14:textId="77777777" w:rsidR="001F0DC8" w:rsidRDefault="001F0DC8" w:rsidP="001F0DC8">
                  <w:pPr>
                    <w:spacing w:after="60"/>
                    <w:rPr>
                      <w:iCs/>
                      <w:sz w:val="20"/>
                    </w:rPr>
                  </w:pPr>
                  <w:r>
                    <w:rPr>
                      <w:iCs/>
                      <w:sz w:val="20"/>
                    </w:rPr>
                    <w:t>MW</w:t>
                  </w:r>
                </w:p>
              </w:tc>
              <w:tc>
                <w:tcPr>
                  <w:tcW w:w="3390" w:type="pct"/>
                  <w:shd w:val="clear" w:color="auto" w:fill="auto"/>
                </w:tcPr>
                <w:p w14:paraId="19C74245" w14:textId="77777777" w:rsidR="001F0DC8" w:rsidRPr="004C0093" w:rsidRDefault="001F0DC8" w:rsidP="001F0DC8">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2A28BA2E" w14:textId="77777777" w:rsidTr="002A7BFB">
              <w:tc>
                <w:tcPr>
                  <w:tcW w:w="1154" w:type="pct"/>
                  <w:tcBorders>
                    <w:top w:val="single" w:sz="4" w:space="0" w:color="auto"/>
                    <w:left w:val="single" w:sz="4" w:space="0" w:color="auto"/>
                    <w:bottom w:val="single" w:sz="4" w:space="0" w:color="auto"/>
                    <w:right w:val="single" w:sz="4" w:space="0" w:color="auto"/>
                  </w:tcBorders>
                  <w:shd w:val="clear" w:color="auto" w:fill="auto"/>
                </w:tcPr>
                <w:p w14:paraId="79452AD5" w14:textId="77777777" w:rsidR="001F0DC8" w:rsidRPr="003E2347" w:rsidRDefault="001F0DC8" w:rsidP="001F0DC8">
                  <w:pPr>
                    <w:spacing w:after="60"/>
                    <w:rPr>
                      <w:i/>
                      <w:sz w:val="20"/>
                    </w:rPr>
                  </w:pPr>
                  <w:r w:rsidRPr="003E2347">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D8920FE"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C3949A" w14:textId="77777777" w:rsidR="001F0DC8" w:rsidRPr="000064DA" w:rsidRDefault="001F0DC8" w:rsidP="001F0DC8">
                  <w:pPr>
                    <w:spacing w:after="60"/>
                    <w:rPr>
                      <w:i/>
                      <w:iCs/>
                      <w:sz w:val="20"/>
                    </w:rPr>
                  </w:pPr>
                  <w:r w:rsidRPr="003530E3">
                    <w:rPr>
                      <w:iCs/>
                      <w:sz w:val="20"/>
                    </w:rPr>
                    <w:t>An hour in the DAM-commitment period.</w:t>
                  </w:r>
                </w:p>
              </w:tc>
            </w:tr>
            <w:tr w:rsidR="001F0DC8" w:rsidRPr="007873B3" w14:paraId="47166BFE"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77B2F34" w14:textId="77777777" w:rsidR="001F0DC8" w:rsidRPr="003E2347" w:rsidRDefault="001F0DC8" w:rsidP="001F0DC8">
                  <w:pPr>
                    <w:spacing w:after="60"/>
                    <w:rPr>
                      <w:i/>
                      <w:iCs/>
                      <w:sz w:val="20"/>
                    </w:rPr>
                  </w:pPr>
                  <w:r w:rsidRPr="003E2347">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BCEDC72"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9EBD34F" w14:textId="77777777" w:rsidR="001F0DC8" w:rsidRPr="000064DA" w:rsidRDefault="001F0DC8" w:rsidP="001F0DC8">
                  <w:pPr>
                    <w:spacing w:after="60"/>
                    <w:rPr>
                      <w:iCs/>
                      <w:sz w:val="20"/>
                    </w:rPr>
                  </w:pPr>
                  <w:r w:rsidRPr="000064DA">
                    <w:rPr>
                      <w:iCs/>
                      <w:sz w:val="20"/>
                    </w:rPr>
                    <w:t>A QSE.</w:t>
                  </w:r>
                </w:p>
              </w:tc>
            </w:tr>
            <w:tr w:rsidR="001F0DC8" w:rsidRPr="007873B3" w14:paraId="5E8FF8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239D780" w14:textId="77777777" w:rsidR="001F0DC8" w:rsidRPr="003E2347" w:rsidRDefault="001F0DC8" w:rsidP="001F0DC8">
                  <w:pPr>
                    <w:spacing w:after="60"/>
                    <w:rPr>
                      <w:i/>
                      <w:iCs/>
                      <w:sz w:val="20"/>
                    </w:rPr>
                  </w:pPr>
                  <w:r w:rsidRPr="003E2347">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00D1660"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12048A6" w14:textId="77777777" w:rsidR="001F0DC8" w:rsidRPr="000064DA" w:rsidRDefault="001F0DC8" w:rsidP="001F0DC8">
                  <w:pPr>
                    <w:spacing w:after="60"/>
                    <w:rPr>
                      <w:iCs/>
                      <w:sz w:val="20"/>
                    </w:rPr>
                  </w:pPr>
                  <w:r w:rsidRPr="003530E3">
                    <w:rPr>
                      <w:iCs/>
                      <w:sz w:val="20"/>
                    </w:rPr>
                    <w:t>A DAM-committed Generation Resource</w:t>
                  </w:r>
                  <w:r>
                    <w:rPr>
                      <w:iCs/>
                      <w:sz w:val="20"/>
                    </w:rPr>
                    <w:t>.</w:t>
                  </w:r>
                </w:p>
              </w:tc>
            </w:tr>
            <w:tr w:rsidR="001F0DC8" w:rsidRPr="007873B3" w14:paraId="1CFF51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42DB138" w14:textId="77777777" w:rsidR="001F0DC8" w:rsidRPr="003E2347" w:rsidRDefault="001F0DC8" w:rsidP="001F0DC8">
                  <w:pPr>
                    <w:spacing w:after="60"/>
                    <w:rPr>
                      <w:i/>
                      <w:iCs/>
                      <w:sz w:val="20"/>
                    </w:rPr>
                  </w:pPr>
                  <w:r w:rsidRPr="003E2347">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F49EE3" w14:textId="77777777" w:rsidR="001F0DC8" w:rsidRPr="00B019A1" w:rsidRDefault="001F0DC8" w:rsidP="001F0DC8">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E8059BB" w14:textId="77777777" w:rsidR="001F0DC8" w:rsidRPr="003530E3" w:rsidRDefault="001F0DC8" w:rsidP="001F0DC8">
                  <w:pPr>
                    <w:spacing w:after="60"/>
                    <w:rPr>
                      <w:iCs/>
                      <w:sz w:val="20"/>
                    </w:rPr>
                  </w:pPr>
                  <w:r w:rsidRPr="009D409E">
                    <w:rPr>
                      <w:iCs/>
                      <w:sz w:val="20"/>
                    </w:rPr>
                    <w:t>A Resource Node Settlement Point.</w:t>
                  </w:r>
                </w:p>
              </w:tc>
            </w:tr>
          </w:tbl>
          <w:p w14:paraId="09D6F0CB" w14:textId="77777777" w:rsidR="001F0DC8" w:rsidRPr="00F00076" w:rsidRDefault="001F0DC8" w:rsidP="00293D76">
            <w:pPr>
              <w:spacing w:before="120" w:after="240"/>
              <w:rPr>
                <w:b/>
                <w:i/>
                <w:iCs/>
              </w:rPr>
            </w:pPr>
          </w:p>
        </w:tc>
      </w:tr>
    </w:tbl>
    <w:p w14:paraId="48A92732"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7C41445F" w14:textId="77777777" w:rsidTr="001138B9">
        <w:trPr>
          <w:trHeight w:val="206"/>
        </w:trPr>
        <w:tc>
          <w:tcPr>
            <w:tcW w:w="9350" w:type="dxa"/>
            <w:shd w:val="pct12" w:color="auto" w:fill="auto"/>
          </w:tcPr>
          <w:p w14:paraId="1C5176A4" w14:textId="2A1CFB94" w:rsidR="00221BB6" w:rsidRPr="00B06583" w:rsidRDefault="00221BB6" w:rsidP="008C3F9B">
            <w:pPr>
              <w:pStyle w:val="Instructions"/>
              <w:spacing w:before="120"/>
            </w:pPr>
            <w:r>
              <w:lastRenderedPageBreak/>
              <w:t>[NPRR1010:  Delete Section 6.7.2.2 above upon system implementation of the Real-Time Co-Optimization (RTC) project</w:t>
            </w:r>
            <w:r w:rsidR="008C3F9B">
              <w:t>.</w:t>
            </w:r>
            <w:r>
              <w:t>]</w:t>
            </w:r>
          </w:p>
        </w:tc>
      </w:tr>
    </w:tbl>
    <w:p w14:paraId="5C8ACA01" w14:textId="514F2BD3" w:rsidR="001F04FD" w:rsidRPr="000149E5" w:rsidRDefault="001F04FD" w:rsidP="001F04FD">
      <w:pPr>
        <w:pStyle w:val="H3"/>
        <w:spacing w:before="480"/>
      </w:pPr>
      <w:bookmarkStart w:id="2716" w:name="_Toc189044489"/>
      <w:r w:rsidRPr="000149E5">
        <w:t>6.7.</w:t>
      </w:r>
      <w:r>
        <w:t>3</w:t>
      </w:r>
      <w:r w:rsidRPr="000149E5">
        <w:tab/>
        <w:t xml:space="preserve">Charges for </w:t>
      </w:r>
      <w:r w:rsidR="00745851">
        <w:t xml:space="preserve">a Failure to Provide </w:t>
      </w:r>
      <w:r w:rsidRPr="000149E5">
        <w:t>Ancillary Service</w:t>
      </w:r>
      <w:bookmarkEnd w:id="2698"/>
      <w:bookmarkEnd w:id="2699"/>
      <w:bookmarkEnd w:id="2700"/>
      <w:bookmarkEnd w:id="2701"/>
      <w:bookmarkEnd w:id="2702"/>
      <w:bookmarkEnd w:id="2703"/>
      <w:bookmarkEnd w:id="2704"/>
      <w:bookmarkEnd w:id="2705"/>
      <w:bookmarkEnd w:id="2706"/>
      <w:bookmarkEnd w:id="2707"/>
      <w:bookmarkEnd w:id="2708"/>
      <w:bookmarkEnd w:id="2712"/>
      <w:bookmarkEnd w:id="2713"/>
      <w:bookmarkEnd w:id="2714"/>
      <w:bookmarkEnd w:id="2716"/>
    </w:p>
    <w:p w14:paraId="2C47F057" w14:textId="77777777" w:rsidR="00745851" w:rsidRPr="00DD1A20" w:rsidRDefault="00745851" w:rsidP="00745851">
      <w:pPr>
        <w:spacing w:after="240"/>
        <w:ind w:left="720" w:hanging="720"/>
      </w:pPr>
      <w:bookmarkStart w:id="2717" w:name="_Toc103141433"/>
      <w:bookmarkStart w:id="2718" w:name="_Toc109009425"/>
      <w:bookmarkStart w:id="2719" w:name="_Toc397505049"/>
      <w:bookmarkStart w:id="2720" w:name="_Toc402357181"/>
      <w:bookmarkStart w:id="2721" w:name="_Toc422486561"/>
      <w:bookmarkStart w:id="2722" w:name="_Toc433093414"/>
      <w:bookmarkStart w:id="2723" w:name="_Toc433093572"/>
      <w:bookmarkStart w:id="2724" w:name="_Toc440874802"/>
      <w:bookmarkStart w:id="2725" w:name="_Toc448142359"/>
      <w:bookmarkStart w:id="2726" w:name="_Toc448142516"/>
      <w:bookmarkStart w:id="2727" w:name="_Toc458770357"/>
      <w:bookmarkStart w:id="2728" w:name="_Toc459294325"/>
      <w:bookmarkStart w:id="2729" w:name="_Toc463262819"/>
      <w:bookmarkStart w:id="2730" w:name="_Toc468286893"/>
      <w:bookmarkStart w:id="2731" w:name="_Toc481502933"/>
      <w:bookmarkStart w:id="2732" w:name="_Toc496080101"/>
      <w:bookmarkEnd w:id="2709"/>
      <w:bookmarkEnd w:id="2710"/>
      <w:r w:rsidRPr="00DD1A20">
        <w:t>(1)</w:t>
      </w:r>
      <w:r w:rsidRPr="00DD1A20">
        <w:tab/>
        <w:t xml:space="preserve">A charge to each QSE that fails to provide its Ancillary Service Supply Responsibility, whether or not a SASM is executed due to its failure to provide, is calculated by service for a given Operating Hour, as follows: </w:t>
      </w:r>
    </w:p>
    <w:p w14:paraId="5EDBFEFD" w14:textId="77777777" w:rsidR="00745851" w:rsidRPr="00DD1A20" w:rsidRDefault="00745851" w:rsidP="00745851">
      <w:pPr>
        <w:spacing w:after="240"/>
        <w:ind w:left="1440" w:hanging="720"/>
        <w:rPr>
          <w:iCs/>
        </w:rPr>
      </w:pPr>
      <w:r w:rsidRPr="00DD1A20">
        <w:rPr>
          <w:iCs/>
        </w:rPr>
        <w:t>(a)</w:t>
      </w:r>
      <w:r w:rsidRPr="00DD1A20">
        <w:rPr>
          <w:iCs/>
        </w:rPr>
        <w:tab/>
        <w:t>The t</w:t>
      </w:r>
      <w:r w:rsidRPr="00DD1A20">
        <w:t>otal charge of failure on Ancillary Service Supply Responsibility for</w:t>
      </w:r>
      <w:r w:rsidRPr="00DD1A20">
        <w:rPr>
          <w:iCs/>
        </w:rPr>
        <w:t xml:space="preserve"> Reg-Up by QSE, if applicable:</w:t>
      </w:r>
    </w:p>
    <w:p w14:paraId="38D21165" w14:textId="77777777" w:rsidR="00745851" w:rsidRPr="00DD1A20" w:rsidRDefault="00745851" w:rsidP="00745851">
      <w:pPr>
        <w:spacing w:after="240"/>
        <w:ind w:left="2880" w:hanging="2160"/>
        <w:rPr>
          <w:b/>
          <w:i/>
          <w:vertAlign w:val="subscript"/>
        </w:rPr>
      </w:pPr>
      <w:r w:rsidRPr="00DD1A20">
        <w:rPr>
          <w:b/>
        </w:rPr>
        <w:t xml:space="preserve">RUFQAMTQSETOT </w:t>
      </w:r>
      <w:r w:rsidRPr="00DD1A20">
        <w:rPr>
          <w:b/>
          <w:i/>
          <w:vertAlign w:val="subscript"/>
        </w:rPr>
        <w:t>q</w:t>
      </w:r>
      <w:r w:rsidRPr="00DD1A20">
        <w:rPr>
          <w:b/>
        </w:rPr>
        <w:tab/>
        <w:t>=</w:t>
      </w:r>
      <w:r w:rsidRPr="00DD1A20">
        <w:rPr>
          <w:b/>
        </w:rPr>
        <w:tab/>
        <w:t xml:space="preserve">RUFQAMT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RRUFQAMT </w:t>
      </w:r>
      <w:r w:rsidRPr="00DD1A20">
        <w:rPr>
          <w:b/>
          <w:i/>
          <w:vertAlign w:val="subscript"/>
        </w:rPr>
        <w:t>q</w:t>
      </w:r>
    </w:p>
    <w:p w14:paraId="6DF20F3A" w14:textId="77777777" w:rsidR="00745851" w:rsidRPr="00DD1A20" w:rsidRDefault="00745851" w:rsidP="00745851">
      <w:pPr>
        <w:spacing w:after="240"/>
        <w:ind w:left="1440" w:hanging="720"/>
        <w:rPr>
          <w:iCs/>
        </w:rPr>
      </w:pPr>
      <w:r w:rsidRPr="00DD1A20">
        <w:t>Where:</w:t>
      </w:r>
    </w:p>
    <w:p w14:paraId="7A3F2578" w14:textId="77777777" w:rsidR="00745851" w:rsidRPr="00DD1A20" w:rsidRDefault="00745851" w:rsidP="00745851">
      <w:pPr>
        <w:tabs>
          <w:tab w:val="left" w:pos="2340"/>
          <w:tab w:val="left" w:pos="3420"/>
        </w:tabs>
        <w:spacing w:after="240"/>
        <w:ind w:left="3420" w:hanging="2700"/>
        <w:rPr>
          <w:bCs/>
        </w:rPr>
      </w:pPr>
      <w:r w:rsidRPr="00DD1A20">
        <w:t xml:space="preserve">RUFQAMT </w:t>
      </w:r>
      <w:r w:rsidRPr="00DD1A20">
        <w:rPr>
          <w:i/>
          <w:vertAlign w:val="subscript"/>
        </w:rPr>
        <w:t>q</w:t>
      </w:r>
      <w:r w:rsidRPr="00DD1A20">
        <w:tab/>
        <w:t xml:space="preserve">=    Max(MCPCRU </w:t>
      </w:r>
      <w:r w:rsidRPr="00DD1A20">
        <w:rPr>
          <w:i/>
          <w:vertAlign w:val="subscript"/>
        </w:rPr>
        <w:t>m</w:t>
      </w:r>
      <w:r w:rsidRPr="00DD1A20">
        <w:t xml:space="preserve">, AVGRTASIP) * (RUFQ </w:t>
      </w:r>
      <w:r w:rsidRPr="00DD1A20">
        <w:rPr>
          <w:i/>
          <w:vertAlign w:val="subscript"/>
        </w:rPr>
        <w:t>q</w:t>
      </w:r>
      <w:r w:rsidRPr="00C22DE9">
        <w:rPr>
          <w:iCs/>
          <w:vertAlign w:val="subscript"/>
        </w:rPr>
        <w:t xml:space="preserve"> </w:t>
      </w:r>
      <w:r w:rsidRPr="00DD1A20">
        <w:t>+</w:t>
      </w:r>
      <w:r w:rsidRPr="00C22DE9">
        <w:rPr>
          <w:iCs/>
          <w:vertAlign w:val="subscript"/>
        </w:rPr>
        <w:t xml:space="preserve"> </w:t>
      </w:r>
      <w:r w:rsidRPr="00DD1A20">
        <w:t xml:space="preserve">TRUFQ </w:t>
      </w:r>
      <w:r w:rsidRPr="00DD1A20">
        <w:rPr>
          <w:i/>
          <w:vertAlign w:val="subscript"/>
        </w:rPr>
        <w:t>q</w:t>
      </w:r>
      <w:r w:rsidRPr="00DD1A20">
        <w:t>)</w:t>
      </w:r>
    </w:p>
    <w:p w14:paraId="638D611B" w14:textId="77777777" w:rsidR="00745851" w:rsidRPr="00DD1A20" w:rsidRDefault="00745851" w:rsidP="00745851">
      <w:pPr>
        <w:spacing w:after="240"/>
        <w:ind w:left="720"/>
        <w:rPr>
          <w:bCs/>
          <w:i/>
          <w:vertAlign w:val="subscript"/>
        </w:rPr>
      </w:pPr>
      <w:r w:rsidRPr="00DD1A20">
        <w:t xml:space="preserve">RRUFQAMT </w:t>
      </w:r>
      <w:r w:rsidRPr="00DD1A20">
        <w:rPr>
          <w:i/>
          <w:vertAlign w:val="subscript"/>
        </w:rPr>
        <w:t>q</w:t>
      </w:r>
      <w:r w:rsidRPr="00DD1A20">
        <w:tab/>
      </w:r>
      <w:r w:rsidRPr="00DD1A20">
        <w:tab/>
        <w:t>=</w:t>
      </w:r>
      <w:r w:rsidRPr="00DD1A20">
        <w:tab/>
        <w:t xml:space="preserve">MCPCRU </w:t>
      </w:r>
      <w:r w:rsidRPr="00DD1A20">
        <w:rPr>
          <w:bCs/>
          <w:i/>
          <w:vertAlign w:val="subscript"/>
        </w:rPr>
        <w:t>rs</w:t>
      </w:r>
      <w:r w:rsidRPr="00DD1A20">
        <w:t xml:space="preserve"> * RRUFQ </w:t>
      </w:r>
      <w:r w:rsidRPr="00DD1A20">
        <w:rPr>
          <w:i/>
          <w:vertAlign w:val="subscript"/>
        </w:rPr>
        <w:t>q,</w:t>
      </w:r>
      <w:r w:rsidRPr="00DD1A20">
        <w:t xml:space="preserve"> </w:t>
      </w:r>
      <w:r w:rsidRPr="00DD1A20">
        <w:rPr>
          <w:bCs/>
          <w:i/>
          <w:vertAlign w:val="subscript"/>
        </w:rPr>
        <w:t>rs</w:t>
      </w:r>
    </w:p>
    <w:p w14:paraId="41D33408" w14:textId="77777777" w:rsidR="00745851" w:rsidRPr="00DD1A20" w:rsidRDefault="00745851" w:rsidP="00745851">
      <w:pPr>
        <w:spacing w:after="240"/>
        <w:ind w:left="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67F9E00">
          <v:shape id="_x0000_i1338" type="#_x0000_t75" style="width:12pt;height:30pt" o:ole="">
            <v:imagedata r:id="rId418" o:title=""/>
          </v:shape>
          <o:OLEObject Type="Embed" ProgID="Equation.3" ShapeID="_x0000_i1338" DrawAspect="Content" ObjectID="_1804653821" r:id="rId419"/>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E7FEDF9" w14:textId="77777777" w:rsidR="00745851" w:rsidRPr="00DD1A20" w:rsidRDefault="00745851" w:rsidP="00745851">
      <w:pPr>
        <w:spacing w:after="240"/>
        <w:ind w:firstLine="720"/>
      </w:pPr>
      <w:r w:rsidRPr="00DD1A20">
        <w:t>Where for all Resources:</w:t>
      </w:r>
    </w:p>
    <w:p w14:paraId="6CD945D7" w14:textId="77777777" w:rsidR="00745851" w:rsidRPr="00DD1A20" w:rsidRDefault="00745851" w:rsidP="00745851">
      <w:pPr>
        <w:spacing w:after="120"/>
        <w:ind w:leftChars="300" w:left="2880" w:hangingChars="900" w:hanging="2160"/>
        <w:rPr>
          <w:bCs/>
          <w:iCs/>
        </w:rPr>
      </w:pPr>
      <w:r w:rsidRPr="00DD1A20">
        <w:t xml:space="preserve">TRUFQ </w:t>
      </w:r>
      <w:r w:rsidRPr="00DD1A20">
        <w:rPr>
          <w:i/>
          <w:vertAlign w:val="subscript"/>
        </w:rPr>
        <w:t xml:space="preserve">q </w:t>
      </w:r>
      <w:r w:rsidRPr="00DD1A20">
        <w:rPr>
          <w:bCs/>
          <w:lang w:val="fr-FR"/>
        </w:rPr>
        <w:t>=</w:t>
      </w:r>
      <w:r w:rsidRPr="00DD1A20">
        <w:rPr>
          <w:i/>
          <w:vertAlign w:val="subscript"/>
        </w:rPr>
        <w:t xml:space="preserve"> </w:t>
      </w:r>
      <w:r w:rsidRPr="00DD1A20">
        <w:rPr>
          <w:iCs/>
        </w:rPr>
        <w:t>Max ([(</w:t>
      </w:r>
      <w:r w:rsidRPr="00DD1A20">
        <w:rPr>
          <w:bCs/>
          <w:lang w:val="fr-FR"/>
        </w:rPr>
        <w:t xml:space="preserve">SARUQ </w:t>
      </w:r>
      <w:r w:rsidRPr="00DD1A20">
        <w:rPr>
          <w:bCs/>
          <w:i/>
          <w:vertAlign w:val="subscript"/>
          <w:lang w:val="fr-FR"/>
        </w:rPr>
        <w:t xml:space="preserve">q </w:t>
      </w:r>
      <w:r w:rsidRPr="00DD1A20">
        <w:rPr>
          <w:bCs/>
          <w:iCs/>
        </w:rPr>
        <w:t>+ RUTRSQ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23DA3009" wp14:editId="04717DCC">
            <wp:extent cx="142875" cy="2762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(RTPCRU </w:t>
      </w:r>
      <w:r w:rsidRPr="00DD1A20">
        <w:rPr>
          <w:bCs/>
          <w:i/>
          <w:vertAlign w:val="subscript"/>
          <w:lang w:val="es-ES"/>
        </w:rPr>
        <w:t>q, m</w:t>
      </w:r>
      <w:r w:rsidRPr="00DD1A20">
        <w:rPr>
          <w:bCs/>
          <w:lang w:val="es-ES"/>
        </w:rPr>
        <w:t xml:space="preserve">) + PCRU </w:t>
      </w:r>
      <w:r w:rsidRPr="00DD1A20">
        <w:rPr>
          <w:bCs/>
          <w:i/>
          <w:vertAlign w:val="subscript"/>
          <w:lang w:val="es-ES"/>
        </w:rPr>
        <w:t>q</w:t>
      </w:r>
      <w:r w:rsidRPr="00DD1A20">
        <w:rPr>
          <w:bCs/>
          <w:lang w:val="es-ES"/>
        </w:rPr>
        <w:t xml:space="preserve"> + RUCRUQ </w:t>
      </w:r>
      <w:r w:rsidRPr="00DD1A20">
        <w:rPr>
          <w:bCs/>
          <w:i/>
          <w:vertAlign w:val="subscript"/>
          <w:lang w:val="es-ES"/>
        </w:rPr>
        <w:t>q</w:t>
      </w:r>
      <w:r w:rsidRPr="00DD1A20">
        <w:rPr>
          <w:bCs/>
          <w:lang w:val="es-ES"/>
        </w:rPr>
        <w:t>) – (</w:t>
      </w:r>
      <w:r w:rsidRPr="00DD1A20">
        <w:rPr>
          <w:bCs/>
          <w:iCs/>
        </w:rPr>
        <w:t>RUTRPQ</w:t>
      </w:r>
      <w:r w:rsidRPr="00DD1A20">
        <w:rPr>
          <w:bCs/>
          <w:i/>
          <w:vertAlign w:val="subscript"/>
          <w:lang w:val="es-ES"/>
        </w:rPr>
        <w:t xml:space="preserve"> q</w:t>
      </w:r>
      <w:r w:rsidRPr="00DD1A20">
        <w:rPr>
          <w:bCs/>
          <w:iCs/>
        </w:rPr>
        <w:t xml:space="preserve"> + </w:t>
      </w:r>
      <w:r w:rsidRPr="00DD1A20">
        <w:rPr>
          <w:bCs/>
          <w:lang w:val="es-ES"/>
        </w:rPr>
        <w:t xml:space="preserve">RUFQ </w:t>
      </w:r>
      <w:r w:rsidRPr="00DD1A20">
        <w:rPr>
          <w:bCs/>
          <w:i/>
          <w:vertAlign w:val="subscript"/>
          <w:lang w:val="es-ES"/>
        </w:rPr>
        <w:t>q</w:t>
      </w:r>
      <w:r w:rsidRPr="00DD1A20">
        <w:rPr>
          <w:bCs/>
          <w:lang w:val="es-ES"/>
        </w:rPr>
        <w:t xml:space="preserve"> + RRUFQ</w:t>
      </w:r>
      <w:r w:rsidRPr="00DD1A20">
        <w:rPr>
          <w:bCs/>
          <w:i/>
          <w:vertAlign w:val="subscript"/>
          <w:lang w:val="es-ES"/>
        </w:rPr>
        <w:t xml:space="preserve"> q,</w:t>
      </w:r>
      <w:r w:rsidRPr="00DD1A20">
        <w:rPr>
          <w:i/>
          <w:iCs/>
          <w:vertAlign w:val="subscript"/>
        </w:rPr>
        <w:t xml:space="preserve"> rs</w:t>
      </w:r>
      <w:r w:rsidRPr="00DD1A20">
        <w:rPr>
          <w:bCs/>
          <w:lang w:val="es-ES"/>
        </w:rPr>
        <w:t xml:space="preserve"> + RUINFQ</w:t>
      </w:r>
      <w:r w:rsidRPr="00DD1A20">
        <w:rPr>
          <w:bCs/>
          <w:i/>
          <w:vertAlign w:val="subscript"/>
          <w:lang w:val="es-ES"/>
        </w:rPr>
        <w:t xml:space="preserve"> 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58DD4109">
          <v:shape id="_x0000_i1339" type="#_x0000_t75" style="width:12pt;height:24pt" o:ole="">
            <v:imagedata r:id="rId159" o:title=""/>
          </v:shape>
          <o:OLEObject Type="Embed" ProgID="Equation.3" ShapeID="_x0000_i1339" DrawAspect="Content" ObjectID="_1804653822" r:id="rId421"/>
        </w:object>
      </w:r>
      <w:r w:rsidRPr="00DD1A20">
        <w:rPr>
          <w:bCs/>
          <w:iCs/>
        </w:rPr>
        <w:t xml:space="preserve">TELRUR </w:t>
      </w:r>
      <w:r w:rsidRPr="00DD1A20">
        <w:rPr>
          <w:bCs/>
          <w:i/>
          <w:vertAlign w:val="subscript"/>
          <w:lang w:val="es-ES"/>
        </w:rPr>
        <w:t>q, r</w:t>
      </w:r>
      <w:r w:rsidRPr="00DD1A20">
        <w:rPr>
          <w:bCs/>
          <w:iCs/>
          <w:lang w:val="es-ES"/>
        </w:rPr>
        <w:t>, 0)</w:t>
      </w:r>
    </w:p>
    <w:p w14:paraId="665947E2" w14:textId="77777777" w:rsidR="00745851" w:rsidRPr="00DD1A20" w:rsidRDefault="00745851" w:rsidP="00745851">
      <w:pPr>
        <w:spacing w:after="240"/>
        <w:ind w:leftChars="300" w:left="2880" w:hangingChars="900" w:hanging="2160"/>
        <w:rPr>
          <w:bCs/>
          <w:i/>
          <w:vertAlign w:val="subscript"/>
          <w:lang w:val="fr-FR"/>
        </w:rPr>
      </w:pPr>
      <w:r w:rsidRPr="00DD1A20">
        <w:rPr>
          <w:bCs/>
          <w:lang w:val="fr-FR"/>
        </w:rPr>
        <w:t xml:space="preserve">SARUQ </w:t>
      </w:r>
      <w:r w:rsidRPr="00DD1A20">
        <w:rPr>
          <w:bCs/>
          <w:i/>
          <w:vertAlign w:val="subscript"/>
          <w:lang w:val="fr-FR"/>
        </w:rPr>
        <w:t xml:space="preserve">q </w:t>
      </w:r>
      <w:r w:rsidRPr="00DD1A20">
        <w:rPr>
          <w:bCs/>
          <w:lang w:val="fr-FR"/>
        </w:rPr>
        <w:t xml:space="preserve">= DASARUQ </w:t>
      </w:r>
      <w:r w:rsidRPr="00DD1A20">
        <w:rPr>
          <w:bCs/>
          <w:i/>
          <w:vertAlign w:val="subscript"/>
          <w:lang w:val="fr-FR"/>
        </w:rPr>
        <w:t>q</w:t>
      </w:r>
      <w:r w:rsidRPr="00DD1A20">
        <w:rPr>
          <w:bCs/>
          <w:lang w:val="fr-FR"/>
        </w:rPr>
        <w:t xml:space="preserve"> + RTSARUQ </w:t>
      </w:r>
      <w:r w:rsidRPr="00DD1A20">
        <w:rPr>
          <w:bCs/>
          <w:i/>
          <w:vertAlign w:val="subscript"/>
          <w:lang w:val="fr-FR"/>
        </w:rPr>
        <w:t>q</w:t>
      </w:r>
    </w:p>
    <w:p w14:paraId="0A278FD5"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32F5DFEC" w14:textId="77777777" w:rsidTr="00507A85">
        <w:tc>
          <w:tcPr>
            <w:tcW w:w="1049" w:type="pct"/>
          </w:tcPr>
          <w:p w14:paraId="2AC592FB" w14:textId="77777777" w:rsidR="00745851" w:rsidRPr="00DD1A20" w:rsidRDefault="00745851" w:rsidP="00507A85">
            <w:pPr>
              <w:spacing w:after="240"/>
              <w:rPr>
                <w:b/>
                <w:iCs/>
                <w:sz w:val="20"/>
              </w:rPr>
            </w:pPr>
            <w:r w:rsidRPr="00DD1A20">
              <w:rPr>
                <w:b/>
                <w:iCs/>
                <w:sz w:val="20"/>
              </w:rPr>
              <w:t>Variable</w:t>
            </w:r>
          </w:p>
        </w:tc>
        <w:tc>
          <w:tcPr>
            <w:tcW w:w="449" w:type="pct"/>
          </w:tcPr>
          <w:p w14:paraId="78A46E4A" w14:textId="77777777" w:rsidR="00745851" w:rsidRPr="00DD1A20" w:rsidRDefault="00745851" w:rsidP="00507A85">
            <w:pPr>
              <w:spacing w:after="240"/>
              <w:rPr>
                <w:b/>
                <w:iCs/>
                <w:sz w:val="20"/>
              </w:rPr>
            </w:pPr>
            <w:r w:rsidRPr="00DD1A20">
              <w:rPr>
                <w:b/>
                <w:iCs/>
                <w:sz w:val="20"/>
              </w:rPr>
              <w:t>Unit</w:t>
            </w:r>
          </w:p>
        </w:tc>
        <w:tc>
          <w:tcPr>
            <w:tcW w:w="3502" w:type="pct"/>
          </w:tcPr>
          <w:p w14:paraId="5727F52F" w14:textId="77777777" w:rsidR="00745851" w:rsidRPr="00DD1A20" w:rsidRDefault="00745851" w:rsidP="00507A85">
            <w:pPr>
              <w:spacing w:after="240"/>
              <w:rPr>
                <w:b/>
                <w:iCs/>
                <w:sz w:val="20"/>
              </w:rPr>
            </w:pPr>
            <w:r w:rsidRPr="00DD1A20">
              <w:rPr>
                <w:b/>
                <w:iCs/>
                <w:sz w:val="20"/>
              </w:rPr>
              <w:t>Description</w:t>
            </w:r>
          </w:p>
        </w:tc>
      </w:tr>
      <w:tr w:rsidR="00745851" w:rsidRPr="00DD1A20" w14:paraId="3A92DB38" w14:textId="77777777" w:rsidTr="00507A85">
        <w:tc>
          <w:tcPr>
            <w:tcW w:w="1049" w:type="pct"/>
          </w:tcPr>
          <w:p w14:paraId="1D9C1E07" w14:textId="77777777" w:rsidR="00745851" w:rsidRPr="00DD1A20" w:rsidRDefault="00745851" w:rsidP="00507A85">
            <w:pPr>
              <w:spacing w:after="60"/>
              <w:rPr>
                <w:iCs/>
                <w:sz w:val="20"/>
              </w:rPr>
            </w:pPr>
            <w:r w:rsidRPr="00DD1A20">
              <w:rPr>
                <w:iCs/>
                <w:sz w:val="20"/>
              </w:rPr>
              <w:t xml:space="preserve">RUFQAMTQSETOT </w:t>
            </w:r>
            <w:r w:rsidRPr="00DD1A20">
              <w:rPr>
                <w:i/>
                <w:iCs/>
                <w:sz w:val="20"/>
                <w:vertAlign w:val="subscript"/>
              </w:rPr>
              <w:t>q</w:t>
            </w:r>
          </w:p>
        </w:tc>
        <w:tc>
          <w:tcPr>
            <w:tcW w:w="449" w:type="pct"/>
          </w:tcPr>
          <w:p w14:paraId="0938BC5A" w14:textId="77777777" w:rsidR="00745851" w:rsidRPr="00DD1A20" w:rsidRDefault="00745851" w:rsidP="00507A85">
            <w:pPr>
              <w:spacing w:after="60"/>
              <w:rPr>
                <w:iCs/>
                <w:sz w:val="20"/>
              </w:rPr>
            </w:pPr>
            <w:r w:rsidRPr="00DD1A20">
              <w:rPr>
                <w:iCs/>
                <w:sz w:val="20"/>
              </w:rPr>
              <w:t>$</w:t>
            </w:r>
          </w:p>
        </w:tc>
        <w:tc>
          <w:tcPr>
            <w:tcW w:w="3502" w:type="pct"/>
          </w:tcPr>
          <w:p w14:paraId="609E78F3" w14:textId="77777777" w:rsidR="00745851" w:rsidRPr="00DD1A20" w:rsidRDefault="00745851" w:rsidP="00507A85">
            <w:pPr>
              <w:spacing w:after="60"/>
              <w:rPr>
                <w:i/>
                <w:iCs/>
                <w:sz w:val="20"/>
              </w:rPr>
            </w:pPr>
            <w:r w:rsidRPr="00DD1A20">
              <w:rPr>
                <w:i/>
                <w:iCs/>
                <w:sz w:val="20"/>
              </w:rPr>
              <w:t>Reg-Up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Reg-Up, for the hour.</w:t>
            </w:r>
          </w:p>
        </w:tc>
      </w:tr>
      <w:tr w:rsidR="00745851" w:rsidRPr="00DD1A20" w14:paraId="1BFFFCC4" w14:textId="77777777" w:rsidTr="00507A85">
        <w:tc>
          <w:tcPr>
            <w:tcW w:w="1049" w:type="pct"/>
          </w:tcPr>
          <w:p w14:paraId="2EF0BE20" w14:textId="77777777" w:rsidR="00745851" w:rsidRPr="00DD1A20" w:rsidRDefault="00745851" w:rsidP="00507A85">
            <w:pPr>
              <w:spacing w:after="60"/>
              <w:rPr>
                <w:iCs/>
                <w:sz w:val="20"/>
              </w:rPr>
            </w:pPr>
            <w:r w:rsidRPr="00DD1A20">
              <w:rPr>
                <w:iCs/>
                <w:sz w:val="20"/>
              </w:rPr>
              <w:t xml:space="preserve">RRUFQAMT </w:t>
            </w:r>
            <w:r w:rsidRPr="00DD1A20">
              <w:rPr>
                <w:i/>
                <w:iCs/>
                <w:sz w:val="20"/>
                <w:vertAlign w:val="subscript"/>
              </w:rPr>
              <w:t>q</w:t>
            </w:r>
          </w:p>
        </w:tc>
        <w:tc>
          <w:tcPr>
            <w:tcW w:w="449" w:type="pct"/>
          </w:tcPr>
          <w:p w14:paraId="64BA8FBD" w14:textId="77777777" w:rsidR="00745851" w:rsidRPr="00DD1A20" w:rsidRDefault="00745851" w:rsidP="00507A85">
            <w:pPr>
              <w:spacing w:after="60"/>
              <w:rPr>
                <w:iCs/>
                <w:sz w:val="20"/>
              </w:rPr>
            </w:pPr>
            <w:r w:rsidRPr="00DD1A20">
              <w:rPr>
                <w:iCs/>
                <w:sz w:val="20"/>
              </w:rPr>
              <w:t>$</w:t>
            </w:r>
          </w:p>
        </w:tc>
        <w:tc>
          <w:tcPr>
            <w:tcW w:w="3502" w:type="pct"/>
          </w:tcPr>
          <w:p w14:paraId="642935C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Reg-Up, for the hour.</w:t>
            </w:r>
          </w:p>
        </w:tc>
      </w:tr>
      <w:tr w:rsidR="00745851" w:rsidRPr="00DD1A20" w14:paraId="3233BDB8" w14:textId="77777777" w:rsidTr="00507A85">
        <w:tc>
          <w:tcPr>
            <w:tcW w:w="1049" w:type="pct"/>
          </w:tcPr>
          <w:p w14:paraId="4690A1E7" w14:textId="77777777" w:rsidR="00745851" w:rsidRPr="00DD1A20" w:rsidRDefault="00745851" w:rsidP="00507A85">
            <w:pPr>
              <w:spacing w:after="60"/>
              <w:rPr>
                <w:iCs/>
                <w:sz w:val="20"/>
              </w:rPr>
            </w:pPr>
            <w:r w:rsidRPr="00DD1A20">
              <w:rPr>
                <w:iCs/>
                <w:sz w:val="20"/>
              </w:rPr>
              <w:t xml:space="preserve">RUFQAMT </w:t>
            </w:r>
            <w:r w:rsidRPr="00DD1A20">
              <w:rPr>
                <w:i/>
                <w:iCs/>
                <w:sz w:val="20"/>
                <w:vertAlign w:val="subscript"/>
              </w:rPr>
              <w:t>q</w:t>
            </w:r>
          </w:p>
        </w:tc>
        <w:tc>
          <w:tcPr>
            <w:tcW w:w="449" w:type="pct"/>
          </w:tcPr>
          <w:p w14:paraId="359FE553" w14:textId="77777777" w:rsidR="00745851" w:rsidRPr="00DD1A20" w:rsidRDefault="00745851" w:rsidP="00507A85">
            <w:pPr>
              <w:spacing w:after="60"/>
              <w:rPr>
                <w:iCs/>
                <w:sz w:val="20"/>
              </w:rPr>
            </w:pPr>
            <w:r w:rsidRPr="00DD1A20">
              <w:rPr>
                <w:iCs/>
                <w:sz w:val="20"/>
              </w:rPr>
              <w:t>$</w:t>
            </w:r>
          </w:p>
        </w:tc>
        <w:tc>
          <w:tcPr>
            <w:tcW w:w="3502" w:type="pct"/>
          </w:tcPr>
          <w:p w14:paraId="522D62CA" w14:textId="77777777" w:rsidR="00745851" w:rsidRPr="00DD1A20" w:rsidRDefault="00745851" w:rsidP="00507A85">
            <w:pPr>
              <w:spacing w:after="60"/>
              <w:rPr>
                <w:iCs/>
                <w:sz w:val="20"/>
              </w:rPr>
            </w:pP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Reg-Up, for the hour.</w:t>
            </w:r>
          </w:p>
        </w:tc>
      </w:tr>
      <w:tr w:rsidR="00745851" w:rsidRPr="00DD1A20" w14:paraId="1566EF60" w14:textId="77777777" w:rsidTr="00507A85">
        <w:tc>
          <w:tcPr>
            <w:tcW w:w="1049" w:type="pct"/>
            <w:tcBorders>
              <w:top w:val="single" w:sz="4" w:space="0" w:color="auto"/>
              <w:left w:val="single" w:sz="4" w:space="0" w:color="auto"/>
              <w:bottom w:val="single" w:sz="4" w:space="0" w:color="auto"/>
              <w:right w:val="single" w:sz="4" w:space="0" w:color="auto"/>
            </w:tcBorders>
          </w:tcPr>
          <w:p w14:paraId="060209A0" w14:textId="77777777" w:rsidR="00745851" w:rsidRPr="00DD1A20" w:rsidRDefault="00745851" w:rsidP="00507A85">
            <w:pPr>
              <w:spacing w:after="60"/>
              <w:rPr>
                <w:iCs/>
                <w:sz w:val="20"/>
              </w:rPr>
            </w:pPr>
            <w:r w:rsidRPr="00DD1A20">
              <w:rPr>
                <w:iCs/>
                <w:sz w:val="20"/>
              </w:rPr>
              <w:lastRenderedPageBreak/>
              <w:t>MCPCRU</w:t>
            </w:r>
            <w:r w:rsidRPr="00DD1A20">
              <w:rPr>
                <w:i/>
                <w:iCs/>
                <w:sz w:val="20"/>
              </w:rPr>
              <w:t xml:space="preserve">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1737E112"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55C22DE1" w14:textId="77777777" w:rsidR="00745851" w:rsidRPr="00DD1A20" w:rsidRDefault="00745851" w:rsidP="00507A85">
            <w:pPr>
              <w:spacing w:after="60"/>
              <w:rPr>
                <w:i/>
                <w:iCs/>
                <w:sz w:val="20"/>
              </w:rPr>
            </w:pPr>
            <w:r w:rsidRPr="00DD1A20">
              <w:rPr>
                <w:i/>
                <w:iCs/>
                <w:sz w:val="20"/>
              </w:rPr>
              <w:t>Market Clearing Price for Capacity for Reg-Up by market—</w:t>
            </w:r>
            <w:r w:rsidRPr="00DD1A20">
              <w:rPr>
                <w:iCs/>
                <w:sz w:val="20"/>
              </w:rPr>
              <w:t xml:space="preserve">The MCPC for Reg-Up in the market </w:t>
            </w:r>
            <w:r w:rsidRPr="00DD1A20">
              <w:rPr>
                <w:i/>
                <w:iCs/>
                <w:sz w:val="20"/>
              </w:rPr>
              <w:t>m</w:t>
            </w:r>
            <w:r w:rsidRPr="00DD1A20">
              <w:rPr>
                <w:iCs/>
                <w:sz w:val="20"/>
              </w:rPr>
              <w:t>, for the hour.</w:t>
            </w:r>
          </w:p>
        </w:tc>
      </w:tr>
      <w:tr w:rsidR="00745851" w:rsidRPr="00DD1A20" w14:paraId="26713525" w14:textId="77777777" w:rsidTr="00507A85">
        <w:tc>
          <w:tcPr>
            <w:tcW w:w="1049" w:type="pct"/>
            <w:tcBorders>
              <w:top w:val="single" w:sz="4" w:space="0" w:color="auto"/>
              <w:left w:val="single" w:sz="4" w:space="0" w:color="auto"/>
              <w:bottom w:val="single" w:sz="4" w:space="0" w:color="auto"/>
              <w:right w:val="single" w:sz="4" w:space="0" w:color="auto"/>
            </w:tcBorders>
          </w:tcPr>
          <w:p w14:paraId="28F9F92A" w14:textId="77777777" w:rsidR="00745851" w:rsidRPr="00DD1A20" w:rsidRDefault="00745851" w:rsidP="00507A85">
            <w:pPr>
              <w:spacing w:after="60"/>
              <w:rPr>
                <w:iCs/>
                <w:sz w:val="20"/>
              </w:rPr>
            </w:pPr>
            <w:r w:rsidRPr="00DD1A20">
              <w:rPr>
                <w:sz w:val="20"/>
              </w:rPr>
              <w:t xml:space="preserve">MCPCRU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18D87815"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3837D78" w14:textId="77777777" w:rsidR="00745851" w:rsidRPr="00DD1A20" w:rsidRDefault="00745851" w:rsidP="00507A85">
            <w:pPr>
              <w:spacing w:after="60"/>
              <w:rPr>
                <w:i/>
                <w:iCs/>
                <w:sz w:val="20"/>
              </w:rPr>
            </w:pPr>
            <w:r w:rsidRPr="00DD1A20">
              <w:rPr>
                <w:i/>
                <w:sz w:val="20"/>
              </w:rPr>
              <w:t>Market Clearing Price for Capacity for Reg-Up by RSASM—</w:t>
            </w:r>
            <w:r w:rsidRPr="00DD1A20">
              <w:rPr>
                <w:sz w:val="20"/>
              </w:rPr>
              <w:t xml:space="preserve">The MCPC for Reg-Up in the RSASM </w:t>
            </w:r>
            <w:r w:rsidRPr="00DD1A20">
              <w:rPr>
                <w:i/>
                <w:sz w:val="20"/>
              </w:rPr>
              <w:t>rs</w:t>
            </w:r>
            <w:r w:rsidRPr="00DD1A20">
              <w:rPr>
                <w:sz w:val="20"/>
              </w:rPr>
              <w:t>, for the hour.</w:t>
            </w:r>
          </w:p>
        </w:tc>
      </w:tr>
      <w:tr w:rsidR="00745851" w:rsidRPr="00DD1A20" w14:paraId="4A5E9E90" w14:textId="77777777" w:rsidTr="00507A85">
        <w:tc>
          <w:tcPr>
            <w:tcW w:w="1049" w:type="pct"/>
            <w:tcBorders>
              <w:top w:val="single" w:sz="4" w:space="0" w:color="auto"/>
              <w:left w:val="single" w:sz="4" w:space="0" w:color="auto"/>
              <w:bottom w:val="single" w:sz="4" w:space="0" w:color="auto"/>
              <w:right w:val="single" w:sz="4" w:space="0" w:color="auto"/>
            </w:tcBorders>
          </w:tcPr>
          <w:p w14:paraId="60108A08" w14:textId="77777777" w:rsidR="00745851" w:rsidRPr="00DD1A20" w:rsidRDefault="00745851" w:rsidP="00507A85">
            <w:pPr>
              <w:spacing w:after="60"/>
              <w:rPr>
                <w:iCs/>
                <w:sz w:val="20"/>
              </w:rPr>
            </w:pPr>
            <w:r w:rsidRPr="00DD1A20">
              <w:rPr>
                <w:iCs/>
                <w:sz w:val="20"/>
              </w:rPr>
              <w:t xml:space="preserve">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58C3A95"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FB052A1" w14:textId="77777777" w:rsidR="00745851" w:rsidRPr="00DD1A20" w:rsidRDefault="00745851" w:rsidP="00507A85">
            <w:pPr>
              <w:spacing w:after="60"/>
              <w:rPr>
                <w:i/>
                <w:iCs/>
                <w:sz w:val="20"/>
              </w:rPr>
            </w:pPr>
            <w:r w:rsidRPr="00DD1A20">
              <w:rPr>
                <w:i/>
                <w:iCs/>
                <w:sz w:val="20"/>
              </w:rPr>
              <w:t>Reg-Up Failure Quantity per QSE—</w:t>
            </w:r>
            <w:r w:rsidRPr="00DD1A20">
              <w:rPr>
                <w:iCs/>
                <w:sz w:val="20"/>
              </w:rPr>
              <w:t xml:space="preserve">QSE </w:t>
            </w:r>
            <w:r w:rsidRPr="00DD1A20">
              <w:rPr>
                <w:i/>
                <w:iCs/>
                <w:sz w:val="20"/>
              </w:rPr>
              <w:t>q</w:t>
            </w:r>
            <w:r w:rsidRPr="00DD1A20">
              <w:rPr>
                <w:iCs/>
                <w:sz w:val="20"/>
              </w:rPr>
              <w:t xml:space="preserve"> total capacity associated with failures on its Ancillary Service Supply Responsibility for Reg-Up, for the hour.</w:t>
            </w:r>
          </w:p>
        </w:tc>
      </w:tr>
      <w:tr w:rsidR="00745851" w:rsidRPr="00DD1A20" w14:paraId="0088614E" w14:textId="77777777" w:rsidTr="00507A85">
        <w:tc>
          <w:tcPr>
            <w:tcW w:w="1049" w:type="pct"/>
            <w:tcBorders>
              <w:top w:val="single" w:sz="4" w:space="0" w:color="auto"/>
              <w:left w:val="single" w:sz="4" w:space="0" w:color="auto"/>
              <w:bottom w:val="single" w:sz="4" w:space="0" w:color="auto"/>
              <w:right w:val="single" w:sz="4" w:space="0" w:color="auto"/>
            </w:tcBorders>
          </w:tcPr>
          <w:p w14:paraId="2AF5DD5F" w14:textId="77777777" w:rsidR="00745851" w:rsidRPr="00DD1A20" w:rsidRDefault="00745851" w:rsidP="00507A85">
            <w:pPr>
              <w:spacing w:after="60"/>
              <w:rPr>
                <w:sz w:val="20"/>
              </w:rPr>
            </w:pPr>
            <w:r w:rsidRPr="00DD1A20">
              <w:rPr>
                <w:sz w:val="20"/>
              </w:rPr>
              <w:t xml:space="preserve">RRUFQ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353A3DE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666CB0D" w14:textId="77777777" w:rsidR="00745851" w:rsidRPr="00DD1A20" w:rsidRDefault="00745851" w:rsidP="00507A85">
            <w:pPr>
              <w:spacing w:after="60"/>
              <w:rPr>
                <w:sz w:val="20"/>
              </w:rPr>
            </w:pPr>
            <w:r w:rsidRPr="00DD1A20">
              <w:rPr>
                <w:i/>
                <w:sz w:val="20"/>
              </w:rPr>
              <w:t>Reconfiguration Reg-Up Failure Quantity per QSE—</w:t>
            </w:r>
            <w:r w:rsidRPr="00DD1A20">
              <w:rPr>
                <w:sz w:val="20"/>
              </w:rPr>
              <w:t xml:space="preserve">QSE </w:t>
            </w:r>
            <w:r w:rsidRPr="00DD1A20">
              <w:rPr>
                <w:i/>
                <w:sz w:val="20"/>
              </w:rPr>
              <w:t>q</w:t>
            </w:r>
            <w:r w:rsidRPr="00DD1A20">
              <w:rPr>
                <w:sz w:val="20"/>
              </w:rPr>
              <w:t xml:space="preserve"> total capacity associated with reconfiguration reductions on its Ancillary Service Supply Responsibility for Reg-Up, for the hour.</w:t>
            </w:r>
          </w:p>
        </w:tc>
      </w:tr>
      <w:tr w:rsidR="00745851" w:rsidRPr="00DD1A20" w14:paraId="2153EF4C" w14:textId="77777777" w:rsidTr="00507A85">
        <w:tc>
          <w:tcPr>
            <w:tcW w:w="1049" w:type="pct"/>
            <w:tcBorders>
              <w:top w:val="single" w:sz="4" w:space="0" w:color="auto"/>
              <w:left w:val="single" w:sz="4" w:space="0" w:color="auto"/>
              <w:bottom w:val="single" w:sz="4" w:space="0" w:color="auto"/>
              <w:right w:val="single" w:sz="4" w:space="0" w:color="auto"/>
            </w:tcBorders>
          </w:tcPr>
          <w:p w14:paraId="0B09ADED" w14:textId="77777777" w:rsidR="00745851" w:rsidRPr="00DD1A20" w:rsidRDefault="00745851" w:rsidP="00507A85">
            <w:pPr>
              <w:spacing w:after="60"/>
              <w:rPr>
                <w:i/>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0D62269B"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96FCE8F" w14:textId="77777777" w:rsidR="00745851" w:rsidRPr="00DD1A20" w:rsidRDefault="00745851" w:rsidP="00507A85">
            <w:pPr>
              <w:spacing w:after="60"/>
              <w:rPr>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Real-Time On-Line Reliability Deployment Price Adder.</w:t>
            </w:r>
          </w:p>
        </w:tc>
      </w:tr>
      <w:tr w:rsidR="00745851" w:rsidRPr="00DD1A20" w14:paraId="2B62E230" w14:textId="77777777" w:rsidTr="00507A85">
        <w:tc>
          <w:tcPr>
            <w:tcW w:w="1049" w:type="pct"/>
            <w:tcBorders>
              <w:top w:val="single" w:sz="4" w:space="0" w:color="auto"/>
              <w:left w:val="single" w:sz="4" w:space="0" w:color="auto"/>
              <w:bottom w:val="single" w:sz="4" w:space="0" w:color="auto"/>
              <w:right w:val="single" w:sz="4" w:space="0" w:color="auto"/>
            </w:tcBorders>
          </w:tcPr>
          <w:p w14:paraId="2C10004E" w14:textId="77777777" w:rsidR="00745851" w:rsidRPr="00DD1A20" w:rsidRDefault="00745851" w:rsidP="00507A85">
            <w:pPr>
              <w:spacing w:after="60"/>
              <w:rPr>
                <w:i/>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7CE86951"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7B1D3ABA" w14:textId="77777777" w:rsidR="00745851" w:rsidRPr="00DD1A20" w:rsidRDefault="00745851" w:rsidP="00507A85">
            <w:pPr>
              <w:spacing w:after="60"/>
              <w:rPr>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27BFAECD" w14:textId="77777777" w:rsidTr="00507A85">
        <w:tc>
          <w:tcPr>
            <w:tcW w:w="1049" w:type="pct"/>
            <w:tcBorders>
              <w:top w:val="single" w:sz="4" w:space="0" w:color="auto"/>
              <w:left w:val="single" w:sz="4" w:space="0" w:color="auto"/>
              <w:bottom w:val="single" w:sz="4" w:space="0" w:color="auto"/>
              <w:right w:val="single" w:sz="4" w:space="0" w:color="auto"/>
            </w:tcBorders>
          </w:tcPr>
          <w:p w14:paraId="0B8C2594" w14:textId="77777777" w:rsidR="00745851" w:rsidRPr="00DD1A20" w:rsidRDefault="00745851" w:rsidP="00507A85">
            <w:pPr>
              <w:spacing w:after="60"/>
              <w:rPr>
                <w:i/>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1A8A65F3"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A75E42F" w14:textId="77777777" w:rsidR="00745851" w:rsidRPr="00DD1A20" w:rsidRDefault="00745851" w:rsidP="00507A85">
            <w:pPr>
              <w:spacing w:after="60"/>
              <w:rPr>
                <w:sz w:val="20"/>
              </w:rPr>
            </w:pPr>
            <w:r w:rsidRPr="00DD1A20">
              <w:rPr>
                <w:i/>
                <w:sz w:val="20"/>
              </w:rPr>
              <w:t>Average Real-Time Ancillary Service Imbalance Price</w:t>
            </w:r>
            <w:r w:rsidRPr="00DD1A20">
              <w:rPr>
                <w:i/>
                <w:iCs/>
                <w:sz w:val="20"/>
              </w:rPr>
              <w:t>—</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Real-Time Ancillary Service Imbalance Payment or Charge, for the Operating Hour.</w:t>
            </w:r>
          </w:p>
        </w:tc>
      </w:tr>
      <w:tr w:rsidR="00745851" w:rsidRPr="00DD1A20" w14:paraId="3AB498BD" w14:textId="77777777" w:rsidTr="00507A85">
        <w:tc>
          <w:tcPr>
            <w:tcW w:w="1049" w:type="pct"/>
            <w:tcBorders>
              <w:top w:val="single" w:sz="4" w:space="0" w:color="auto"/>
              <w:left w:val="single" w:sz="4" w:space="0" w:color="auto"/>
              <w:bottom w:val="single" w:sz="4" w:space="0" w:color="auto"/>
              <w:right w:val="single" w:sz="4" w:space="0" w:color="auto"/>
            </w:tcBorders>
          </w:tcPr>
          <w:p w14:paraId="7FA1AC23" w14:textId="77777777" w:rsidR="00745851" w:rsidRPr="00DD1A20" w:rsidRDefault="00745851" w:rsidP="00507A85">
            <w:pPr>
              <w:spacing w:after="60"/>
              <w:rPr>
                <w:i/>
                <w:sz w:val="20"/>
              </w:rPr>
            </w:pPr>
            <w:r w:rsidRPr="00DD1A20">
              <w:rPr>
                <w:bCs/>
                <w:iCs/>
                <w:sz w:val="20"/>
                <w:lang w:val="fr-FR"/>
              </w:rPr>
              <w:t xml:space="preserve">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855A75C"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9025CF3" w14:textId="77777777" w:rsidR="00745851" w:rsidRPr="00DD1A20" w:rsidRDefault="00745851" w:rsidP="00507A85">
            <w:pPr>
              <w:spacing w:after="60"/>
              <w:rPr>
                <w:sz w:val="20"/>
              </w:rPr>
            </w:pPr>
            <w:r w:rsidRPr="00DD1A20">
              <w:rPr>
                <w:i/>
                <w:iCs/>
                <w:sz w:val="20"/>
              </w:rPr>
              <w:t>Total Self-Arranged Reg-Up Quantity per QSE for all markets</w:t>
            </w:r>
            <w:r w:rsidRPr="00DD1A20">
              <w:rPr>
                <w:iCs/>
                <w:sz w:val="20"/>
              </w:rPr>
              <w:t xml:space="preserve">—The sum of all self-arranged Reg-Up quantities submitted by QSE </w:t>
            </w:r>
            <w:r w:rsidRPr="00DD1A20">
              <w:rPr>
                <w:i/>
                <w:iCs/>
                <w:sz w:val="20"/>
              </w:rPr>
              <w:t>q</w:t>
            </w:r>
            <w:r w:rsidRPr="00DD1A20">
              <w:rPr>
                <w:iCs/>
                <w:sz w:val="20"/>
              </w:rPr>
              <w:t xml:space="preserve"> for DAM and all SASMs.</w:t>
            </w:r>
          </w:p>
        </w:tc>
      </w:tr>
      <w:tr w:rsidR="00745851" w:rsidRPr="00DD1A20" w14:paraId="0F6DAE11" w14:textId="77777777" w:rsidTr="00507A85">
        <w:tc>
          <w:tcPr>
            <w:tcW w:w="1049" w:type="pct"/>
            <w:tcBorders>
              <w:top w:val="single" w:sz="4" w:space="0" w:color="auto"/>
              <w:left w:val="single" w:sz="4" w:space="0" w:color="auto"/>
              <w:bottom w:val="single" w:sz="4" w:space="0" w:color="auto"/>
              <w:right w:val="single" w:sz="4" w:space="0" w:color="auto"/>
            </w:tcBorders>
          </w:tcPr>
          <w:p w14:paraId="3D5468EC" w14:textId="77777777" w:rsidR="00745851" w:rsidRPr="00DD1A20" w:rsidRDefault="00745851" w:rsidP="00507A85">
            <w:pPr>
              <w:spacing w:after="60"/>
              <w:rPr>
                <w:i/>
                <w:sz w:val="20"/>
              </w:rPr>
            </w:pPr>
            <w:r w:rsidRPr="00DD1A20">
              <w:rPr>
                <w:bCs/>
                <w:sz w:val="20"/>
              </w:rPr>
              <w:t>RUTRSQ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6A49EC8A"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1045CED" w14:textId="77777777" w:rsidR="00745851" w:rsidRPr="00DD1A20" w:rsidRDefault="00745851" w:rsidP="00507A85">
            <w:pPr>
              <w:spacing w:after="60"/>
              <w:rPr>
                <w:sz w:val="20"/>
              </w:rPr>
            </w:pPr>
            <w:r w:rsidRPr="00DD1A20">
              <w:rPr>
                <w:i/>
                <w:sz w:val="20"/>
              </w:rPr>
              <w:t>Reg-Up Trade Sale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Sale for Reg-Up, for the hour.  The time-weighted average value is rounded to 0.1 MW.</w:t>
            </w:r>
          </w:p>
        </w:tc>
      </w:tr>
      <w:tr w:rsidR="00745851" w:rsidRPr="00DD1A20" w14:paraId="797FA63D" w14:textId="77777777" w:rsidTr="00507A85">
        <w:tc>
          <w:tcPr>
            <w:tcW w:w="1049" w:type="pct"/>
            <w:tcBorders>
              <w:top w:val="single" w:sz="4" w:space="0" w:color="auto"/>
              <w:left w:val="single" w:sz="4" w:space="0" w:color="auto"/>
              <w:bottom w:val="single" w:sz="4" w:space="0" w:color="auto"/>
              <w:right w:val="single" w:sz="4" w:space="0" w:color="auto"/>
            </w:tcBorders>
          </w:tcPr>
          <w:p w14:paraId="7DBB7DF7" w14:textId="77777777" w:rsidR="00745851" w:rsidRPr="00DD1A20" w:rsidRDefault="00745851" w:rsidP="00507A85">
            <w:pPr>
              <w:spacing w:after="60"/>
              <w:rPr>
                <w:i/>
                <w:sz w:val="20"/>
              </w:rPr>
            </w:pPr>
            <w:r w:rsidRPr="00DD1A20">
              <w:rPr>
                <w:bCs/>
                <w:iCs/>
                <w:sz w:val="20"/>
                <w:lang w:val="es-ES"/>
              </w:rPr>
              <w:t xml:space="preserve">RTPCRU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1CDC6AF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F0121EF" w14:textId="77777777" w:rsidR="00745851" w:rsidRPr="00DD1A20" w:rsidRDefault="00745851" w:rsidP="00507A85">
            <w:pPr>
              <w:spacing w:after="60"/>
              <w:rPr>
                <w:sz w:val="20"/>
              </w:rPr>
            </w:pPr>
            <w:r w:rsidRPr="00DD1A20">
              <w:rPr>
                <w:i/>
                <w:iCs/>
                <w:sz w:val="20"/>
              </w:rPr>
              <w:t>Procured Capacity for Reg-Up by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Reg-Up, for the hour.</w:t>
            </w:r>
          </w:p>
        </w:tc>
      </w:tr>
      <w:tr w:rsidR="00745851" w:rsidRPr="00DD1A20" w14:paraId="5898045E" w14:textId="77777777" w:rsidTr="00507A85">
        <w:tc>
          <w:tcPr>
            <w:tcW w:w="1049" w:type="pct"/>
            <w:tcBorders>
              <w:top w:val="single" w:sz="4" w:space="0" w:color="auto"/>
              <w:left w:val="single" w:sz="4" w:space="0" w:color="auto"/>
              <w:bottom w:val="single" w:sz="4" w:space="0" w:color="auto"/>
              <w:right w:val="single" w:sz="4" w:space="0" w:color="auto"/>
            </w:tcBorders>
          </w:tcPr>
          <w:p w14:paraId="311958E3" w14:textId="77777777" w:rsidR="00745851" w:rsidRPr="00DD1A20" w:rsidRDefault="00745851" w:rsidP="00507A85">
            <w:pPr>
              <w:spacing w:after="60"/>
              <w:rPr>
                <w:i/>
                <w:sz w:val="20"/>
              </w:rPr>
            </w:pPr>
            <w:r w:rsidRPr="00DD1A20">
              <w:rPr>
                <w:bCs/>
                <w:iCs/>
                <w:sz w:val="20"/>
                <w:lang w:val="es-ES"/>
              </w:rPr>
              <w:t xml:space="preserve">PCRU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473D781"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5B1F3DF0" w14:textId="77777777" w:rsidR="00745851" w:rsidRPr="00DD1A20" w:rsidRDefault="00745851" w:rsidP="00507A85">
            <w:pPr>
              <w:spacing w:after="60"/>
              <w:rPr>
                <w:sz w:val="20"/>
              </w:rPr>
            </w:pPr>
            <w:r w:rsidRPr="00DD1A20">
              <w:rPr>
                <w:i/>
                <w:iCs/>
                <w:sz w:val="20"/>
              </w:rPr>
              <w:t>Procured Capacity for Reg-Up per QSE in DAM</w:t>
            </w:r>
            <w:r w:rsidRPr="00DD1A20">
              <w:rPr>
                <w:iCs/>
                <w:sz w:val="20"/>
              </w:rPr>
              <w:t xml:space="preserve">—The total Reg-Up Service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19145856" w14:textId="77777777" w:rsidTr="00507A85">
        <w:tc>
          <w:tcPr>
            <w:tcW w:w="1049" w:type="pct"/>
            <w:tcBorders>
              <w:top w:val="single" w:sz="4" w:space="0" w:color="auto"/>
              <w:left w:val="single" w:sz="4" w:space="0" w:color="auto"/>
              <w:bottom w:val="single" w:sz="4" w:space="0" w:color="auto"/>
              <w:right w:val="single" w:sz="4" w:space="0" w:color="auto"/>
            </w:tcBorders>
          </w:tcPr>
          <w:p w14:paraId="5AEC5E5E" w14:textId="77777777" w:rsidR="00745851" w:rsidRPr="00DD1A20" w:rsidRDefault="00745851" w:rsidP="00507A85">
            <w:pPr>
              <w:spacing w:after="60"/>
              <w:rPr>
                <w:i/>
                <w:sz w:val="20"/>
              </w:rPr>
            </w:pPr>
            <w:r w:rsidRPr="00DD1A20">
              <w:rPr>
                <w:bCs/>
                <w:iCs/>
                <w:sz w:val="20"/>
                <w:lang w:val="es-ES"/>
              </w:rPr>
              <w:t xml:space="preserve">RUCRUQ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8ED1C48"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7B62D1B7" w14:textId="77777777" w:rsidR="00745851" w:rsidRPr="00DD1A20" w:rsidRDefault="00745851" w:rsidP="00507A85">
            <w:pPr>
              <w:spacing w:after="60"/>
              <w:rPr>
                <w:sz w:val="20"/>
              </w:rPr>
            </w:pPr>
            <w:r w:rsidRPr="00DD1A20">
              <w:rPr>
                <w:i/>
                <w:sz w:val="20"/>
              </w:rPr>
              <w:t>RUC-committed for Reg-Up per QSE</w:t>
            </w:r>
            <w:r w:rsidRPr="00DD1A20">
              <w:rPr>
                <w:i/>
                <w:iCs/>
                <w:sz w:val="20"/>
              </w:rPr>
              <w:t>—</w:t>
            </w:r>
            <w:r w:rsidRPr="00DD1A20">
              <w:rPr>
                <w:sz w:val="20"/>
              </w:rPr>
              <w:t>The total</w:t>
            </w:r>
            <w:r w:rsidRPr="00DD1A20">
              <w:rPr>
                <w:iCs/>
                <w:sz w:val="20"/>
              </w:rPr>
              <w:t xml:space="preserve"> quantity of Reg-Up Service committed by the RUC Process for Resources represented by QSE </w:t>
            </w:r>
            <w:r w:rsidRPr="00DD1A20">
              <w:rPr>
                <w:i/>
                <w:sz w:val="20"/>
              </w:rPr>
              <w:t>q</w:t>
            </w:r>
            <w:r w:rsidRPr="00DD1A20">
              <w:rPr>
                <w:iCs/>
                <w:sz w:val="20"/>
              </w:rPr>
              <w:t>, for the hour</w:t>
            </w:r>
            <w:r>
              <w:rPr>
                <w:iCs/>
                <w:sz w:val="20"/>
              </w:rPr>
              <w:t>.</w:t>
            </w:r>
          </w:p>
        </w:tc>
      </w:tr>
      <w:tr w:rsidR="00745851" w:rsidRPr="00DD1A20" w14:paraId="4B641B21" w14:textId="77777777" w:rsidTr="00507A85">
        <w:tc>
          <w:tcPr>
            <w:tcW w:w="1049" w:type="pct"/>
            <w:tcBorders>
              <w:top w:val="single" w:sz="4" w:space="0" w:color="auto"/>
              <w:left w:val="single" w:sz="4" w:space="0" w:color="auto"/>
              <w:bottom w:val="single" w:sz="4" w:space="0" w:color="auto"/>
              <w:right w:val="single" w:sz="4" w:space="0" w:color="auto"/>
            </w:tcBorders>
          </w:tcPr>
          <w:p w14:paraId="3C8DA2A6" w14:textId="77777777" w:rsidR="00745851" w:rsidRPr="00DD1A20" w:rsidRDefault="00745851" w:rsidP="00507A85">
            <w:pPr>
              <w:spacing w:after="60"/>
              <w:rPr>
                <w:i/>
                <w:sz w:val="20"/>
              </w:rPr>
            </w:pPr>
            <w:r w:rsidRPr="00DD1A20">
              <w:rPr>
                <w:bCs/>
                <w:sz w:val="20"/>
              </w:rPr>
              <w:t>RUTRPQ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20A5981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0BC97A43" w14:textId="77777777" w:rsidR="00745851" w:rsidRPr="00DD1A20" w:rsidRDefault="00745851" w:rsidP="00507A85">
            <w:pPr>
              <w:spacing w:after="60"/>
              <w:rPr>
                <w:sz w:val="20"/>
              </w:rPr>
            </w:pPr>
            <w:r w:rsidRPr="00DD1A20">
              <w:rPr>
                <w:i/>
                <w:sz w:val="20"/>
              </w:rPr>
              <w:t>Reg-Up Trade Purchases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Reg-Up, for the hour.  The time-weighted average value is rounded to 0.1 MW.</w:t>
            </w:r>
          </w:p>
        </w:tc>
      </w:tr>
      <w:tr w:rsidR="00745851" w:rsidRPr="00DD1A20" w14:paraId="52E1580B" w14:textId="77777777" w:rsidTr="00507A85">
        <w:tc>
          <w:tcPr>
            <w:tcW w:w="1049" w:type="pct"/>
            <w:tcBorders>
              <w:top w:val="single" w:sz="4" w:space="0" w:color="auto"/>
              <w:left w:val="single" w:sz="4" w:space="0" w:color="auto"/>
              <w:bottom w:val="single" w:sz="4" w:space="0" w:color="auto"/>
              <w:right w:val="single" w:sz="4" w:space="0" w:color="auto"/>
            </w:tcBorders>
          </w:tcPr>
          <w:p w14:paraId="5A71A311" w14:textId="77777777" w:rsidR="00745851" w:rsidRPr="00DD1A20" w:rsidRDefault="00745851" w:rsidP="00507A85">
            <w:pPr>
              <w:spacing w:after="60"/>
              <w:rPr>
                <w:i/>
                <w:sz w:val="20"/>
              </w:rPr>
            </w:pPr>
            <w:r w:rsidRPr="00DD1A20">
              <w:rPr>
                <w:bCs/>
                <w:iCs/>
                <w:sz w:val="20"/>
                <w:lang w:val="es-ES"/>
              </w:rPr>
              <w:t>RUINFQ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489BA7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2C3214D" w14:textId="77777777" w:rsidR="00745851" w:rsidRPr="00DD1A20" w:rsidRDefault="00745851" w:rsidP="00507A85">
            <w:pPr>
              <w:spacing w:after="60"/>
              <w:rPr>
                <w:sz w:val="20"/>
              </w:rPr>
            </w:pPr>
            <w:r w:rsidRPr="00DD1A20">
              <w:rPr>
                <w:i/>
                <w:iCs/>
                <w:sz w:val="20"/>
              </w:rPr>
              <w:t>Reg-Up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Reg-Up, for the hour.</w:t>
            </w:r>
          </w:p>
        </w:tc>
      </w:tr>
      <w:tr w:rsidR="00745851" w:rsidRPr="00DD1A20" w14:paraId="72C59A56" w14:textId="77777777" w:rsidTr="00507A85">
        <w:tc>
          <w:tcPr>
            <w:tcW w:w="1049" w:type="pct"/>
            <w:tcBorders>
              <w:top w:val="single" w:sz="4" w:space="0" w:color="auto"/>
              <w:left w:val="single" w:sz="4" w:space="0" w:color="auto"/>
              <w:bottom w:val="single" w:sz="4" w:space="0" w:color="auto"/>
              <w:right w:val="single" w:sz="4" w:space="0" w:color="auto"/>
            </w:tcBorders>
          </w:tcPr>
          <w:p w14:paraId="29FB8C5E" w14:textId="77777777" w:rsidR="00745851" w:rsidRPr="00DD1A20" w:rsidRDefault="00745851" w:rsidP="00507A85">
            <w:pPr>
              <w:spacing w:after="60"/>
              <w:rPr>
                <w:i/>
                <w:sz w:val="20"/>
              </w:rPr>
            </w:pPr>
            <w:r w:rsidRPr="00DD1A20">
              <w:rPr>
                <w:bCs/>
                <w:sz w:val="20"/>
              </w:rPr>
              <w:t xml:space="preserve">TELRUR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244BAF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1C5F7F1" w14:textId="77777777" w:rsidR="00745851" w:rsidRPr="00DD1A20" w:rsidRDefault="00745851" w:rsidP="00507A85">
            <w:pPr>
              <w:spacing w:after="60"/>
              <w:rPr>
                <w:sz w:val="20"/>
              </w:rPr>
            </w:pPr>
            <w:r w:rsidRPr="00DD1A20">
              <w:rPr>
                <w:i/>
                <w:sz w:val="20"/>
              </w:rPr>
              <w:t>Telemetered Reg-Up Responsibility for the Resource</w:t>
            </w:r>
            <w:r w:rsidRPr="00DD1A20">
              <w:rPr>
                <w:i/>
                <w:iCs/>
                <w:sz w:val="20"/>
              </w:rPr>
              <w:t>—</w:t>
            </w:r>
            <w:r w:rsidRPr="00DD1A20">
              <w:rPr>
                <w:iCs/>
                <w:sz w:val="20"/>
              </w:rPr>
              <w:t xml:space="preserve">The time-weighted average telemetered Reg-Up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q</w:t>
            </w:r>
            <w:r w:rsidRPr="00DD1A20">
              <w:rPr>
                <w:iCs/>
                <w:sz w:val="20"/>
              </w:rPr>
              <w:t>, for the hour.  The time-weighted average value is rounded to 0.1 MW.</w:t>
            </w:r>
          </w:p>
        </w:tc>
      </w:tr>
      <w:tr w:rsidR="00745851" w:rsidRPr="00DD1A20" w14:paraId="5B998AC8" w14:textId="77777777" w:rsidTr="00507A85">
        <w:tc>
          <w:tcPr>
            <w:tcW w:w="1049" w:type="pct"/>
            <w:tcBorders>
              <w:top w:val="single" w:sz="4" w:space="0" w:color="auto"/>
              <w:left w:val="single" w:sz="4" w:space="0" w:color="auto"/>
              <w:bottom w:val="single" w:sz="4" w:space="0" w:color="auto"/>
              <w:right w:val="single" w:sz="4" w:space="0" w:color="auto"/>
            </w:tcBorders>
          </w:tcPr>
          <w:p w14:paraId="21BEC184" w14:textId="77777777" w:rsidR="00745851" w:rsidRPr="00DD1A20" w:rsidRDefault="00745851" w:rsidP="00507A85">
            <w:pPr>
              <w:spacing w:after="60"/>
              <w:rPr>
                <w:i/>
                <w:sz w:val="20"/>
              </w:rPr>
            </w:pPr>
            <w:r w:rsidRPr="00DD1A20">
              <w:rPr>
                <w:bCs/>
                <w:iCs/>
                <w:sz w:val="20"/>
                <w:lang w:val="fr-FR"/>
              </w:rPr>
              <w:t xml:space="preserve">DASARUQ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2E12AA90"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D262657" w14:textId="77777777" w:rsidR="00745851" w:rsidRPr="00DD1A20" w:rsidRDefault="00745851" w:rsidP="00507A85">
            <w:pPr>
              <w:spacing w:after="60"/>
              <w:rPr>
                <w:sz w:val="20"/>
              </w:rPr>
            </w:pPr>
            <w:r w:rsidRPr="00DD1A20">
              <w:rPr>
                <w:i/>
                <w:iCs/>
                <w:sz w:val="20"/>
              </w:rPr>
              <w:t>Day-Ahead Self-Arranged Reg-Up Quantity per QSE</w:t>
            </w:r>
            <w:r w:rsidRPr="00DD1A20">
              <w:rPr>
                <w:iCs/>
                <w:sz w:val="20"/>
              </w:rPr>
              <w:t xml:space="preserve">—The self-arranged Reg-Up quantity submitted by QSE </w:t>
            </w:r>
            <w:r w:rsidRPr="00DD1A20">
              <w:rPr>
                <w:i/>
                <w:iCs/>
                <w:sz w:val="20"/>
              </w:rPr>
              <w:t>q</w:t>
            </w:r>
            <w:r w:rsidRPr="00DD1A20">
              <w:rPr>
                <w:iCs/>
                <w:sz w:val="20"/>
              </w:rPr>
              <w:t xml:space="preserve"> before 1000 in the Day-Ahead.</w:t>
            </w:r>
          </w:p>
        </w:tc>
      </w:tr>
      <w:tr w:rsidR="00745851" w:rsidRPr="00DD1A20" w14:paraId="7A40F05D" w14:textId="77777777" w:rsidTr="00507A85">
        <w:tc>
          <w:tcPr>
            <w:tcW w:w="1049" w:type="pct"/>
            <w:tcBorders>
              <w:top w:val="single" w:sz="4" w:space="0" w:color="auto"/>
              <w:left w:val="single" w:sz="4" w:space="0" w:color="auto"/>
              <w:bottom w:val="single" w:sz="4" w:space="0" w:color="auto"/>
              <w:right w:val="single" w:sz="4" w:space="0" w:color="auto"/>
            </w:tcBorders>
          </w:tcPr>
          <w:p w14:paraId="2C6DF6D2" w14:textId="77777777" w:rsidR="00745851" w:rsidRPr="00DD1A20" w:rsidRDefault="00745851" w:rsidP="00507A85">
            <w:pPr>
              <w:spacing w:after="60"/>
              <w:rPr>
                <w:i/>
                <w:sz w:val="20"/>
              </w:rPr>
            </w:pPr>
            <w:r w:rsidRPr="00DD1A20">
              <w:rPr>
                <w:bCs/>
                <w:iCs/>
                <w:sz w:val="20"/>
                <w:lang w:val="fr-FR"/>
              </w:rPr>
              <w:t xml:space="preserve">RTSARUQ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1A299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5F31A33" w14:textId="77777777" w:rsidR="00745851" w:rsidRPr="00DD1A20" w:rsidRDefault="00745851" w:rsidP="00507A85">
            <w:pPr>
              <w:spacing w:after="60"/>
              <w:rPr>
                <w:sz w:val="20"/>
              </w:rPr>
            </w:pPr>
            <w:r w:rsidRPr="00DD1A20">
              <w:rPr>
                <w:i/>
                <w:iCs/>
                <w:sz w:val="20"/>
              </w:rPr>
              <w:t>Self-Arranged Reg-Up Quantity per QSE for all SASMs</w:t>
            </w:r>
            <w:r w:rsidRPr="00DD1A20">
              <w:rPr>
                <w:iCs/>
                <w:sz w:val="20"/>
              </w:rPr>
              <w:t xml:space="preserve">—The sum of all self-arranged Reg-Up quantities submitted by QSE </w:t>
            </w:r>
            <w:r w:rsidRPr="00DD1A20">
              <w:rPr>
                <w:i/>
                <w:iCs/>
                <w:sz w:val="20"/>
              </w:rPr>
              <w:t>q</w:t>
            </w:r>
            <w:r w:rsidRPr="00DD1A20">
              <w:rPr>
                <w:iCs/>
                <w:sz w:val="20"/>
              </w:rPr>
              <w:t xml:space="preserve"> for all SASMs due to an </w:t>
            </w:r>
            <w:r w:rsidRPr="00DD1A20">
              <w:rPr>
                <w:iCs/>
                <w:sz w:val="20"/>
              </w:rPr>
              <w:lastRenderedPageBreak/>
              <w:t>increase in the Ancillary Service Plan per Section 4.4.7.1, Self-Arranged Ancillary Service Quantities.</w:t>
            </w:r>
          </w:p>
        </w:tc>
      </w:tr>
      <w:tr w:rsidR="00745851" w:rsidRPr="00DD1A20" w14:paraId="775B315E" w14:textId="77777777" w:rsidTr="00507A85">
        <w:tc>
          <w:tcPr>
            <w:tcW w:w="1049" w:type="pct"/>
            <w:tcBorders>
              <w:top w:val="single" w:sz="4" w:space="0" w:color="auto"/>
              <w:left w:val="single" w:sz="4" w:space="0" w:color="auto"/>
              <w:bottom w:val="single" w:sz="4" w:space="0" w:color="auto"/>
              <w:right w:val="single" w:sz="4" w:space="0" w:color="auto"/>
            </w:tcBorders>
          </w:tcPr>
          <w:p w14:paraId="285217D2" w14:textId="77777777" w:rsidR="00745851" w:rsidRPr="00DD1A20" w:rsidRDefault="00745851" w:rsidP="00507A85">
            <w:pPr>
              <w:spacing w:after="60"/>
              <w:rPr>
                <w:i/>
                <w:sz w:val="20"/>
              </w:rPr>
            </w:pPr>
            <w:r w:rsidRPr="00DD1A20">
              <w:rPr>
                <w:iCs/>
                <w:sz w:val="20"/>
              </w:rPr>
              <w:lastRenderedPageBreak/>
              <w:t xml:space="preserve">TRUFQ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068ACD3"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7ABB1D2D" w14:textId="77777777" w:rsidR="00745851" w:rsidRPr="00DD1A20" w:rsidRDefault="00745851" w:rsidP="00507A85">
            <w:pPr>
              <w:spacing w:after="60"/>
              <w:rPr>
                <w:sz w:val="20"/>
              </w:rPr>
            </w:pPr>
            <w:r w:rsidRPr="00DD1A20">
              <w:rPr>
                <w:i/>
                <w:iCs/>
                <w:sz w:val="20"/>
              </w:rPr>
              <w:t>Telemetered Reg-Up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Reg-Up Responsibility sum to its Ancillary Service Supply Responsibility for Reg-Up as calculated per paragraph (1) of Section 4.4.7.4, </w:t>
            </w:r>
            <w:r>
              <w:rPr>
                <w:iCs/>
                <w:sz w:val="20"/>
              </w:rPr>
              <w:t xml:space="preserve">Ancillary Service Supply Responsibility, </w:t>
            </w:r>
            <w:r w:rsidRPr="00DD1A20">
              <w:rPr>
                <w:iCs/>
                <w:sz w:val="20"/>
              </w:rPr>
              <w:t>for the hour.</w:t>
            </w:r>
          </w:p>
        </w:tc>
      </w:tr>
      <w:tr w:rsidR="00745851" w:rsidRPr="00DD1A20" w14:paraId="035D3430" w14:textId="77777777" w:rsidTr="00507A85">
        <w:tc>
          <w:tcPr>
            <w:tcW w:w="1049" w:type="pct"/>
            <w:tcBorders>
              <w:top w:val="single" w:sz="4" w:space="0" w:color="auto"/>
              <w:left w:val="single" w:sz="4" w:space="0" w:color="auto"/>
              <w:bottom w:val="single" w:sz="4" w:space="0" w:color="auto"/>
              <w:right w:val="single" w:sz="4" w:space="0" w:color="auto"/>
            </w:tcBorders>
          </w:tcPr>
          <w:p w14:paraId="0081E441" w14:textId="77777777" w:rsidR="00745851" w:rsidRPr="00DD1A20" w:rsidRDefault="00745851" w:rsidP="00507A85">
            <w:pPr>
              <w:spacing w:after="60"/>
              <w:rPr>
                <w:i/>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121E43E5"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E1F5719" w14:textId="77777777" w:rsidR="00745851" w:rsidRPr="00DD1A20" w:rsidRDefault="00745851" w:rsidP="00507A85">
            <w:pPr>
              <w:spacing w:after="60"/>
              <w:rPr>
                <w:sz w:val="20"/>
              </w:rPr>
            </w:pPr>
            <w:r w:rsidRPr="00DD1A20">
              <w:rPr>
                <w:iCs/>
                <w:sz w:val="20"/>
              </w:rPr>
              <w:t>A 15-minute Settlement Interval within the Operating Hour.</w:t>
            </w:r>
          </w:p>
        </w:tc>
      </w:tr>
      <w:tr w:rsidR="00745851" w:rsidRPr="00DD1A20" w14:paraId="0A02982A" w14:textId="77777777" w:rsidTr="00507A85">
        <w:tc>
          <w:tcPr>
            <w:tcW w:w="1049" w:type="pct"/>
            <w:tcBorders>
              <w:top w:val="single" w:sz="4" w:space="0" w:color="auto"/>
              <w:left w:val="single" w:sz="4" w:space="0" w:color="auto"/>
              <w:bottom w:val="single" w:sz="4" w:space="0" w:color="auto"/>
              <w:right w:val="single" w:sz="4" w:space="0" w:color="auto"/>
            </w:tcBorders>
          </w:tcPr>
          <w:p w14:paraId="29A7C5F5"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2461FFCA"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5E9EB7EB"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676ED863" w14:textId="77777777" w:rsidTr="00507A85">
        <w:tc>
          <w:tcPr>
            <w:tcW w:w="1049" w:type="pct"/>
            <w:tcBorders>
              <w:top w:val="single" w:sz="4" w:space="0" w:color="auto"/>
              <w:left w:val="single" w:sz="4" w:space="0" w:color="auto"/>
              <w:bottom w:val="single" w:sz="4" w:space="0" w:color="auto"/>
              <w:right w:val="single" w:sz="4" w:space="0" w:color="auto"/>
            </w:tcBorders>
          </w:tcPr>
          <w:p w14:paraId="209440B4"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7282EAC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37555F2"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49633457" w14:textId="77777777" w:rsidTr="00507A85">
        <w:tc>
          <w:tcPr>
            <w:tcW w:w="1049" w:type="pct"/>
            <w:tcBorders>
              <w:top w:val="single" w:sz="4" w:space="0" w:color="auto"/>
              <w:left w:val="single" w:sz="4" w:space="0" w:color="auto"/>
              <w:bottom w:val="single" w:sz="4" w:space="0" w:color="auto"/>
              <w:right w:val="single" w:sz="4" w:space="0" w:color="auto"/>
            </w:tcBorders>
          </w:tcPr>
          <w:p w14:paraId="22704601"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483A476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ED1958D" w14:textId="77777777" w:rsidR="00745851" w:rsidRPr="00DD1A20" w:rsidRDefault="00745851" w:rsidP="00507A85">
            <w:pPr>
              <w:spacing w:after="60"/>
              <w:rPr>
                <w:iCs/>
                <w:sz w:val="20"/>
              </w:rPr>
            </w:pPr>
            <w:r w:rsidRPr="00DD1A20">
              <w:rPr>
                <w:iCs/>
                <w:sz w:val="20"/>
              </w:rPr>
              <w:t>A QSE.</w:t>
            </w:r>
          </w:p>
        </w:tc>
      </w:tr>
      <w:tr w:rsidR="00745851" w:rsidRPr="00DD1A20" w14:paraId="5B6B4B55" w14:textId="77777777" w:rsidTr="00507A85">
        <w:tc>
          <w:tcPr>
            <w:tcW w:w="1049" w:type="pct"/>
            <w:tcBorders>
              <w:top w:val="single" w:sz="4" w:space="0" w:color="auto"/>
              <w:left w:val="single" w:sz="4" w:space="0" w:color="auto"/>
              <w:bottom w:val="single" w:sz="4" w:space="0" w:color="auto"/>
              <w:right w:val="single" w:sz="4" w:space="0" w:color="auto"/>
            </w:tcBorders>
          </w:tcPr>
          <w:p w14:paraId="7DDBB9A7"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716E49E1"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F1533A7" w14:textId="77777777" w:rsidR="00745851" w:rsidRPr="00DD1A20" w:rsidRDefault="00745851" w:rsidP="00507A85">
            <w:pPr>
              <w:spacing w:after="60"/>
              <w:rPr>
                <w:iCs/>
                <w:sz w:val="20"/>
              </w:rPr>
            </w:pPr>
            <w:r w:rsidRPr="00DD1A20">
              <w:rPr>
                <w:iCs/>
                <w:sz w:val="20"/>
              </w:rPr>
              <w:t>A Resource that is qualified to provide Reg-Up.</w:t>
            </w:r>
          </w:p>
        </w:tc>
      </w:tr>
    </w:tbl>
    <w:p w14:paraId="3E35E886" w14:textId="77777777" w:rsidR="00745851" w:rsidRPr="00DD1A20" w:rsidRDefault="00745851" w:rsidP="00745851">
      <w:pPr>
        <w:spacing w:before="240" w:after="240"/>
        <w:ind w:left="1440" w:hanging="720"/>
        <w:rPr>
          <w:iCs/>
        </w:rPr>
      </w:pPr>
      <w:r w:rsidRPr="00DD1A20">
        <w:rPr>
          <w:iCs/>
        </w:rPr>
        <w:t>(b)</w:t>
      </w:r>
      <w:r w:rsidRPr="00DD1A20">
        <w:rPr>
          <w:iCs/>
        </w:rPr>
        <w:tab/>
        <w:t>The t</w:t>
      </w:r>
      <w:r w:rsidRPr="00DD1A20">
        <w:t>otal charge of failure on Ancillary Service Supply Responsibility for</w:t>
      </w:r>
      <w:r w:rsidRPr="00DD1A20">
        <w:rPr>
          <w:iCs/>
        </w:rPr>
        <w:t xml:space="preserve"> Reg-Down by QSE, if applicable:</w:t>
      </w:r>
    </w:p>
    <w:p w14:paraId="3526450E" w14:textId="77777777" w:rsidR="00745851" w:rsidRPr="00DD1A20" w:rsidRDefault="00745851" w:rsidP="00745851">
      <w:pPr>
        <w:spacing w:before="240" w:after="240"/>
        <w:ind w:left="2880" w:hanging="2160"/>
        <w:rPr>
          <w:iCs/>
        </w:rPr>
      </w:pPr>
      <w:r w:rsidRPr="00DD1A20">
        <w:rPr>
          <w:b/>
        </w:rPr>
        <w:t xml:space="preserve">RDFQAMTQSETOT </w:t>
      </w:r>
      <w:r w:rsidRPr="00DD1A20">
        <w:rPr>
          <w:b/>
          <w:i/>
          <w:vertAlign w:val="subscript"/>
        </w:rPr>
        <w:t>q</w:t>
      </w:r>
      <w:r w:rsidRPr="00DD1A20">
        <w:rPr>
          <w:b/>
          <w:i/>
          <w:vertAlign w:val="subscript"/>
        </w:rPr>
        <w:tab/>
      </w:r>
      <w:r w:rsidRPr="00DD1A20">
        <w:rPr>
          <w:b/>
        </w:rPr>
        <w:t>=</w:t>
      </w:r>
      <w:r w:rsidRPr="00DD1A20">
        <w:rPr>
          <w:b/>
        </w:rPr>
        <w:tab/>
        <w:t xml:space="preserve">RDFQAMT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RRDFQAMT </w:t>
      </w:r>
      <w:r w:rsidRPr="00DD1A20">
        <w:rPr>
          <w:b/>
          <w:i/>
          <w:vertAlign w:val="subscript"/>
        </w:rPr>
        <w:t>q</w:t>
      </w:r>
    </w:p>
    <w:p w14:paraId="183404E7" w14:textId="77777777" w:rsidR="00745851" w:rsidRPr="00DD1A20" w:rsidRDefault="00745851" w:rsidP="00745851">
      <w:pPr>
        <w:tabs>
          <w:tab w:val="left" w:pos="2340"/>
          <w:tab w:val="left" w:pos="3420"/>
        </w:tabs>
        <w:spacing w:after="240"/>
        <w:ind w:left="3420" w:hanging="2700"/>
        <w:rPr>
          <w:bCs/>
        </w:rPr>
      </w:pPr>
      <w:r w:rsidRPr="00DD1A20">
        <w:rPr>
          <w:bCs/>
        </w:rPr>
        <w:t>Where:</w:t>
      </w:r>
    </w:p>
    <w:p w14:paraId="1EACCB17" w14:textId="77777777" w:rsidR="00745851" w:rsidRPr="00DD1A20" w:rsidRDefault="00745851" w:rsidP="00745851">
      <w:pPr>
        <w:spacing w:after="240"/>
        <w:ind w:left="2880" w:hanging="2160"/>
        <w:rPr>
          <w:b/>
        </w:rPr>
      </w:pPr>
      <w:r w:rsidRPr="00DD1A20">
        <w:t xml:space="preserve">RDFQAMT </w:t>
      </w:r>
      <w:r w:rsidRPr="00DD1A20">
        <w:rPr>
          <w:i/>
          <w:vertAlign w:val="subscript"/>
        </w:rPr>
        <w:t>q</w:t>
      </w:r>
      <w:r w:rsidRPr="00DD1A20">
        <w:t xml:space="preserve">   =</w:t>
      </w:r>
      <w:r w:rsidRPr="00DD1A20">
        <w:tab/>
        <w:t>Max</w:t>
      </w:r>
      <w:r w:rsidRPr="00DD1A20" w:rsidDel="00C11E49">
        <w:t xml:space="preserve"> </w:t>
      </w:r>
      <w:r w:rsidRPr="00DD1A20">
        <w:t xml:space="preserve">(MCPCRD </w:t>
      </w:r>
      <w:r w:rsidRPr="00DD1A20">
        <w:rPr>
          <w:i/>
          <w:vertAlign w:val="subscript"/>
        </w:rPr>
        <w:t>m</w:t>
      </w:r>
      <w:r w:rsidRPr="00DD1A20">
        <w:t xml:space="preserve">, AVGRTASIP) * (RDFQ </w:t>
      </w:r>
      <w:r w:rsidRPr="00DD1A20">
        <w:rPr>
          <w:i/>
          <w:vertAlign w:val="subscript"/>
        </w:rPr>
        <w:t>q</w:t>
      </w:r>
      <w:r w:rsidRPr="00DD1A20">
        <w:t xml:space="preserve"> + TRDFQ </w:t>
      </w:r>
      <w:r w:rsidRPr="00DD1A20">
        <w:rPr>
          <w:i/>
          <w:vertAlign w:val="subscript"/>
        </w:rPr>
        <w:t>q</w:t>
      </w:r>
      <w:r w:rsidRPr="00DD1A20">
        <w:t>)</w:t>
      </w:r>
    </w:p>
    <w:p w14:paraId="65F7FB88" w14:textId="77777777" w:rsidR="00745851" w:rsidRPr="00DD1A20" w:rsidRDefault="00745851" w:rsidP="00745851">
      <w:pPr>
        <w:spacing w:before="240" w:after="240"/>
        <w:ind w:left="2880" w:hanging="2160"/>
        <w:rPr>
          <w:i/>
          <w:vertAlign w:val="subscript"/>
        </w:rPr>
      </w:pPr>
      <w:r w:rsidRPr="00DD1A20">
        <w:t xml:space="preserve">RRDFQAMT </w:t>
      </w:r>
      <w:r w:rsidRPr="00DD1A20">
        <w:rPr>
          <w:i/>
          <w:vertAlign w:val="subscript"/>
        </w:rPr>
        <w:t>q</w:t>
      </w:r>
      <w:r w:rsidRPr="00DD1A20">
        <w:tab/>
      </w:r>
      <w:r w:rsidRPr="00DD1A20">
        <w:tab/>
        <w:t>=</w:t>
      </w:r>
      <w:r w:rsidRPr="00DD1A20">
        <w:tab/>
        <w:t xml:space="preserve">MCPCRD </w:t>
      </w:r>
      <w:r w:rsidRPr="00DD1A20">
        <w:rPr>
          <w:i/>
          <w:vertAlign w:val="subscript"/>
        </w:rPr>
        <w:t>rs</w:t>
      </w:r>
      <w:r w:rsidRPr="00DD1A20">
        <w:t xml:space="preserve"> * RRDFQ </w:t>
      </w:r>
      <w:r w:rsidRPr="00DD1A20">
        <w:rPr>
          <w:i/>
          <w:vertAlign w:val="subscript"/>
        </w:rPr>
        <w:t>q,</w:t>
      </w:r>
      <w:r w:rsidRPr="00DD1A20">
        <w:t xml:space="preserve"> </w:t>
      </w:r>
      <w:r w:rsidRPr="00DD1A20">
        <w:rPr>
          <w:i/>
          <w:vertAlign w:val="subscript"/>
        </w:rPr>
        <w:t>rs</w:t>
      </w:r>
    </w:p>
    <w:p w14:paraId="757989DD"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B14EAB5">
          <v:shape id="_x0000_i1340" type="#_x0000_t75" style="width:12pt;height:30pt" o:ole="">
            <v:imagedata r:id="rId418" o:title=""/>
          </v:shape>
          <o:OLEObject Type="Embed" ProgID="Equation.3" ShapeID="_x0000_i1340" DrawAspect="Content" ObjectID="_1804653823" r:id="rId422"/>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2AACDFB" w14:textId="77777777" w:rsidR="00745851" w:rsidRPr="00DD1A20" w:rsidRDefault="00745851" w:rsidP="00745851">
      <w:pPr>
        <w:spacing w:after="240"/>
        <w:ind w:firstLine="720"/>
      </w:pPr>
      <w:r w:rsidRPr="00DD1A20">
        <w:t>Where for all Resources:</w:t>
      </w:r>
    </w:p>
    <w:p w14:paraId="7DAD0932" w14:textId="77777777" w:rsidR="00745851" w:rsidRPr="00DD1A20" w:rsidRDefault="00745851" w:rsidP="00745851">
      <w:pPr>
        <w:spacing w:after="240"/>
        <w:ind w:leftChars="300" w:left="2880" w:hangingChars="900" w:hanging="2160"/>
        <w:rPr>
          <w:bCs/>
          <w:iCs/>
        </w:rPr>
      </w:pPr>
      <w:r w:rsidRPr="00DD1A20">
        <w:t xml:space="preserve">TRDFQ </w:t>
      </w:r>
      <w:r w:rsidRPr="00DD1A20">
        <w:rPr>
          <w:i/>
          <w:vertAlign w:val="subscript"/>
        </w:rPr>
        <w:t xml:space="preserve">q </w:t>
      </w:r>
      <w:r w:rsidRPr="00DD1A20">
        <w:rPr>
          <w:bCs/>
          <w:lang w:val="fr-FR"/>
        </w:rPr>
        <w:t>=</w:t>
      </w:r>
      <w:r w:rsidRPr="00DD1A20">
        <w:rPr>
          <w:iCs/>
        </w:rPr>
        <w:t>Max ([(</w:t>
      </w:r>
      <w:r w:rsidRPr="00DD1A20">
        <w:rPr>
          <w:bCs/>
          <w:lang w:val="fr-FR"/>
        </w:rPr>
        <w:t xml:space="preserve">SARDQ </w:t>
      </w:r>
      <w:r w:rsidRPr="00DD1A20">
        <w:rPr>
          <w:bCs/>
          <w:i/>
          <w:vertAlign w:val="subscript"/>
          <w:lang w:val="fr-FR"/>
        </w:rPr>
        <w:t xml:space="preserve">q </w:t>
      </w:r>
      <w:r w:rsidRPr="00DD1A20">
        <w:rPr>
          <w:bCs/>
          <w:iCs/>
        </w:rPr>
        <w:t>+ RDTRSQ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10F3BB40" wp14:editId="71634C4E">
            <wp:extent cx="142875" cy="2762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(RTPCRD </w:t>
      </w:r>
      <w:r w:rsidRPr="00DD1A20">
        <w:rPr>
          <w:bCs/>
          <w:i/>
          <w:vertAlign w:val="subscript"/>
          <w:lang w:val="es-ES"/>
        </w:rPr>
        <w:t>q, m</w:t>
      </w:r>
      <w:r w:rsidRPr="00DD1A20">
        <w:rPr>
          <w:bCs/>
          <w:lang w:val="es-ES"/>
        </w:rPr>
        <w:t xml:space="preserve">) + PCRD </w:t>
      </w:r>
      <w:r w:rsidRPr="00DD1A20">
        <w:rPr>
          <w:bCs/>
          <w:i/>
          <w:vertAlign w:val="subscript"/>
          <w:lang w:val="es-ES"/>
        </w:rPr>
        <w:t>q</w:t>
      </w:r>
      <w:r w:rsidRPr="00DD1A20">
        <w:rPr>
          <w:bCs/>
          <w:lang w:val="es-ES"/>
        </w:rPr>
        <w:t xml:space="preserve"> + RUCRDQ </w:t>
      </w:r>
      <w:r w:rsidRPr="00DD1A20">
        <w:rPr>
          <w:bCs/>
          <w:i/>
          <w:vertAlign w:val="subscript"/>
          <w:lang w:val="es-ES"/>
        </w:rPr>
        <w:t>q</w:t>
      </w:r>
      <w:r w:rsidRPr="00DD1A20">
        <w:rPr>
          <w:bCs/>
          <w:lang w:val="es-ES"/>
        </w:rPr>
        <w:t>) – (</w:t>
      </w:r>
      <w:r w:rsidRPr="00DD1A20">
        <w:rPr>
          <w:bCs/>
          <w:iCs/>
        </w:rPr>
        <w:t>RDTRPQ</w:t>
      </w:r>
      <w:r w:rsidRPr="00DD1A20">
        <w:rPr>
          <w:bCs/>
          <w:i/>
          <w:vertAlign w:val="subscript"/>
          <w:lang w:val="es-ES"/>
        </w:rPr>
        <w:t xml:space="preserve"> q</w:t>
      </w:r>
      <w:r w:rsidRPr="00DD1A20">
        <w:rPr>
          <w:bCs/>
          <w:iCs/>
        </w:rPr>
        <w:t xml:space="preserve"> + </w:t>
      </w:r>
      <w:r w:rsidRPr="00DD1A20">
        <w:rPr>
          <w:bCs/>
          <w:lang w:val="es-ES"/>
        </w:rPr>
        <w:t xml:space="preserve">RDFQ </w:t>
      </w:r>
      <w:r w:rsidRPr="00DD1A20">
        <w:rPr>
          <w:bCs/>
          <w:i/>
          <w:vertAlign w:val="subscript"/>
          <w:lang w:val="es-ES"/>
        </w:rPr>
        <w:t>q</w:t>
      </w:r>
      <w:r w:rsidRPr="00DD1A20">
        <w:rPr>
          <w:bCs/>
          <w:lang w:val="es-ES"/>
        </w:rPr>
        <w:t xml:space="preserve"> + RRDFQ</w:t>
      </w:r>
      <w:r w:rsidRPr="00DD1A20">
        <w:rPr>
          <w:bCs/>
          <w:i/>
          <w:vertAlign w:val="subscript"/>
          <w:lang w:val="es-ES"/>
        </w:rPr>
        <w:t xml:space="preserve"> q</w:t>
      </w:r>
      <w:r w:rsidRPr="00DD1A20">
        <w:rPr>
          <w:bCs/>
          <w:lang w:val="es-ES"/>
        </w:rPr>
        <w:t xml:space="preserve"> + RDINFQ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C7D05EF">
          <v:shape id="_x0000_i1341" type="#_x0000_t75" style="width:12pt;height:24pt" o:ole="">
            <v:imagedata r:id="rId159" o:title=""/>
          </v:shape>
          <o:OLEObject Type="Embed" ProgID="Equation.3" ShapeID="_x0000_i1341" DrawAspect="Content" ObjectID="_1804653824" r:id="rId423"/>
        </w:object>
      </w:r>
      <w:r w:rsidRPr="00DD1A20">
        <w:rPr>
          <w:noProof/>
          <w:position w:val="-22"/>
        </w:rPr>
        <w:t xml:space="preserve"> </w:t>
      </w:r>
      <w:r w:rsidRPr="00DD1A20">
        <w:rPr>
          <w:bCs/>
          <w:iCs/>
        </w:rPr>
        <w:t xml:space="preserve">TELRDR </w:t>
      </w:r>
      <w:r w:rsidRPr="00DD1A20">
        <w:rPr>
          <w:bCs/>
          <w:i/>
          <w:vertAlign w:val="subscript"/>
          <w:lang w:val="es-ES"/>
        </w:rPr>
        <w:t>q, r</w:t>
      </w:r>
      <w:r w:rsidRPr="00DD1A20">
        <w:rPr>
          <w:bCs/>
          <w:iCs/>
          <w:lang w:val="es-ES"/>
        </w:rPr>
        <w:t>, 0)</w:t>
      </w:r>
    </w:p>
    <w:p w14:paraId="7246BC65" w14:textId="77777777" w:rsidR="00745851" w:rsidRPr="00DD1A20" w:rsidRDefault="00745851" w:rsidP="00745851">
      <w:pPr>
        <w:spacing w:after="240"/>
        <w:ind w:leftChars="300" w:left="2880" w:hangingChars="900" w:hanging="2160"/>
        <w:rPr>
          <w:bCs/>
          <w:lang w:val="fr-FR"/>
        </w:rPr>
      </w:pPr>
      <w:r w:rsidRPr="00DD1A20">
        <w:rPr>
          <w:bCs/>
          <w:lang w:val="fr-FR"/>
        </w:rPr>
        <w:t xml:space="preserve">SARDQ </w:t>
      </w:r>
      <w:r w:rsidRPr="00DD1A20">
        <w:rPr>
          <w:bCs/>
          <w:i/>
          <w:vertAlign w:val="subscript"/>
          <w:lang w:val="fr-FR"/>
        </w:rPr>
        <w:t xml:space="preserve">q </w:t>
      </w:r>
      <w:r w:rsidRPr="00DD1A20">
        <w:rPr>
          <w:bCs/>
          <w:lang w:val="fr-FR"/>
        </w:rPr>
        <w:t xml:space="preserve">= DASARDQ </w:t>
      </w:r>
      <w:r w:rsidRPr="00DD1A20">
        <w:rPr>
          <w:bCs/>
          <w:i/>
          <w:vertAlign w:val="subscript"/>
          <w:lang w:val="fr-FR"/>
        </w:rPr>
        <w:t>q</w:t>
      </w:r>
      <w:r w:rsidRPr="00DD1A20">
        <w:rPr>
          <w:bCs/>
          <w:lang w:val="fr-FR"/>
        </w:rPr>
        <w:t xml:space="preserve"> + RTSARDQ </w:t>
      </w:r>
      <w:r w:rsidRPr="00DD1A20">
        <w:rPr>
          <w:bCs/>
          <w:i/>
          <w:vertAlign w:val="subscript"/>
          <w:lang w:val="fr-FR"/>
        </w:rPr>
        <w:t>q</w:t>
      </w:r>
    </w:p>
    <w:p w14:paraId="1EB66B00" w14:textId="77777777" w:rsidR="00745851" w:rsidRPr="00DD1A20" w:rsidRDefault="00745851" w:rsidP="00745851"/>
    <w:p w14:paraId="57339FA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1C34EB1E" w14:textId="77777777" w:rsidTr="00507A85">
        <w:tc>
          <w:tcPr>
            <w:tcW w:w="1049" w:type="pct"/>
          </w:tcPr>
          <w:p w14:paraId="72810D3A" w14:textId="77777777" w:rsidR="00745851" w:rsidRPr="00DD1A20" w:rsidRDefault="00745851" w:rsidP="00507A85">
            <w:pPr>
              <w:spacing w:after="240"/>
              <w:rPr>
                <w:b/>
                <w:iCs/>
                <w:sz w:val="20"/>
              </w:rPr>
            </w:pPr>
            <w:r w:rsidRPr="00DD1A20">
              <w:rPr>
                <w:b/>
                <w:iCs/>
                <w:sz w:val="20"/>
              </w:rPr>
              <w:t>Variable</w:t>
            </w:r>
          </w:p>
        </w:tc>
        <w:tc>
          <w:tcPr>
            <w:tcW w:w="449" w:type="pct"/>
          </w:tcPr>
          <w:p w14:paraId="5BE56D6B" w14:textId="77777777" w:rsidR="00745851" w:rsidRPr="00DD1A20" w:rsidRDefault="00745851" w:rsidP="00507A85">
            <w:pPr>
              <w:spacing w:after="240"/>
              <w:rPr>
                <w:b/>
                <w:iCs/>
                <w:sz w:val="20"/>
              </w:rPr>
            </w:pPr>
            <w:r w:rsidRPr="00DD1A20">
              <w:rPr>
                <w:b/>
                <w:iCs/>
                <w:sz w:val="20"/>
              </w:rPr>
              <w:t>Unit</w:t>
            </w:r>
          </w:p>
        </w:tc>
        <w:tc>
          <w:tcPr>
            <w:tcW w:w="3502" w:type="pct"/>
          </w:tcPr>
          <w:p w14:paraId="0BA38BC0" w14:textId="77777777" w:rsidR="00745851" w:rsidRPr="00DD1A20" w:rsidRDefault="00745851" w:rsidP="00507A85">
            <w:pPr>
              <w:spacing w:after="240"/>
              <w:rPr>
                <w:b/>
                <w:iCs/>
                <w:sz w:val="20"/>
              </w:rPr>
            </w:pPr>
            <w:r w:rsidRPr="00DD1A20">
              <w:rPr>
                <w:b/>
                <w:iCs/>
                <w:sz w:val="20"/>
              </w:rPr>
              <w:t>Description</w:t>
            </w:r>
          </w:p>
        </w:tc>
      </w:tr>
      <w:tr w:rsidR="00745851" w:rsidRPr="00DD1A20" w14:paraId="03BF127B" w14:textId="77777777" w:rsidTr="00507A85">
        <w:tc>
          <w:tcPr>
            <w:tcW w:w="1049" w:type="pct"/>
          </w:tcPr>
          <w:p w14:paraId="352C9160" w14:textId="77777777" w:rsidR="00745851" w:rsidRPr="00DD1A20" w:rsidRDefault="00745851" w:rsidP="00507A85">
            <w:pPr>
              <w:spacing w:after="60"/>
              <w:rPr>
                <w:iCs/>
                <w:sz w:val="20"/>
              </w:rPr>
            </w:pPr>
            <w:r w:rsidRPr="00DD1A20">
              <w:rPr>
                <w:iCs/>
                <w:sz w:val="20"/>
              </w:rPr>
              <w:t xml:space="preserve">RDFQAMTQSETOT </w:t>
            </w:r>
            <w:r w:rsidRPr="00DD1A20">
              <w:rPr>
                <w:i/>
                <w:iCs/>
                <w:sz w:val="20"/>
                <w:vertAlign w:val="subscript"/>
              </w:rPr>
              <w:t>q</w:t>
            </w:r>
          </w:p>
        </w:tc>
        <w:tc>
          <w:tcPr>
            <w:tcW w:w="449" w:type="pct"/>
          </w:tcPr>
          <w:p w14:paraId="09D1E18D" w14:textId="77777777" w:rsidR="00745851" w:rsidRPr="00DD1A20" w:rsidRDefault="00745851" w:rsidP="00507A85">
            <w:pPr>
              <w:spacing w:after="60"/>
              <w:rPr>
                <w:iCs/>
                <w:sz w:val="20"/>
              </w:rPr>
            </w:pPr>
            <w:r w:rsidRPr="00DD1A20">
              <w:rPr>
                <w:iCs/>
                <w:sz w:val="20"/>
              </w:rPr>
              <w:t>$</w:t>
            </w:r>
          </w:p>
        </w:tc>
        <w:tc>
          <w:tcPr>
            <w:tcW w:w="3502" w:type="pct"/>
          </w:tcPr>
          <w:p w14:paraId="53C6913F" w14:textId="77777777" w:rsidR="00745851" w:rsidRPr="00DD1A20" w:rsidRDefault="00745851" w:rsidP="00507A85">
            <w:pPr>
              <w:spacing w:after="60"/>
              <w:rPr>
                <w:i/>
                <w:iCs/>
                <w:sz w:val="20"/>
              </w:rPr>
            </w:pPr>
            <w:r w:rsidRPr="00DD1A20">
              <w:rPr>
                <w:i/>
                <w:iCs/>
                <w:sz w:val="20"/>
              </w:rPr>
              <w:t>Reg-Down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Reg-Down, for the hour.</w:t>
            </w:r>
          </w:p>
        </w:tc>
      </w:tr>
      <w:tr w:rsidR="00745851" w:rsidRPr="00DD1A20" w14:paraId="0774BA49" w14:textId="77777777" w:rsidTr="00507A85">
        <w:tc>
          <w:tcPr>
            <w:tcW w:w="1049" w:type="pct"/>
          </w:tcPr>
          <w:p w14:paraId="54349E12" w14:textId="77777777" w:rsidR="00745851" w:rsidRPr="00DD1A20" w:rsidRDefault="00745851" w:rsidP="00507A85">
            <w:pPr>
              <w:spacing w:after="60"/>
              <w:rPr>
                <w:iCs/>
                <w:sz w:val="20"/>
              </w:rPr>
            </w:pPr>
            <w:r w:rsidRPr="00DD1A20">
              <w:rPr>
                <w:iCs/>
                <w:sz w:val="20"/>
              </w:rPr>
              <w:t xml:space="preserve">RRDFQAMT </w:t>
            </w:r>
            <w:r w:rsidRPr="00DD1A20">
              <w:rPr>
                <w:i/>
                <w:iCs/>
                <w:sz w:val="20"/>
                <w:vertAlign w:val="subscript"/>
              </w:rPr>
              <w:t>q</w:t>
            </w:r>
          </w:p>
        </w:tc>
        <w:tc>
          <w:tcPr>
            <w:tcW w:w="449" w:type="pct"/>
          </w:tcPr>
          <w:p w14:paraId="01A10AE2" w14:textId="77777777" w:rsidR="00745851" w:rsidRPr="00DD1A20" w:rsidRDefault="00745851" w:rsidP="00507A85">
            <w:pPr>
              <w:spacing w:after="60"/>
              <w:rPr>
                <w:iCs/>
                <w:sz w:val="20"/>
              </w:rPr>
            </w:pPr>
            <w:r w:rsidRPr="00DD1A20">
              <w:rPr>
                <w:iCs/>
                <w:sz w:val="20"/>
              </w:rPr>
              <w:t>$</w:t>
            </w:r>
          </w:p>
        </w:tc>
        <w:tc>
          <w:tcPr>
            <w:tcW w:w="3502" w:type="pct"/>
          </w:tcPr>
          <w:p w14:paraId="1A2B3AA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Reg-Down, for the hour.</w:t>
            </w:r>
          </w:p>
        </w:tc>
      </w:tr>
      <w:tr w:rsidR="00745851" w:rsidRPr="00DD1A20" w14:paraId="43A20D63" w14:textId="77777777" w:rsidTr="00507A85">
        <w:tc>
          <w:tcPr>
            <w:tcW w:w="1049" w:type="pct"/>
          </w:tcPr>
          <w:p w14:paraId="241B3D4E" w14:textId="77777777" w:rsidR="00745851" w:rsidRPr="00DD1A20" w:rsidRDefault="00745851" w:rsidP="00507A85">
            <w:pPr>
              <w:spacing w:after="60"/>
              <w:rPr>
                <w:iCs/>
                <w:sz w:val="20"/>
              </w:rPr>
            </w:pPr>
            <w:r w:rsidRPr="00DD1A20">
              <w:rPr>
                <w:iCs/>
                <w:sz w:val="20"/>
              </w:rPr>
              <w:lastRenderedPageBreak/>
              <w:t xml:space="preserve">RDFQAMT </w:t>
            </w:r>
            <w:r w:rsidRPr="00DD1A20">
              <w:rPr>
                <w:i/>
                <w:iCs/>
                <w:sz w:val="20"/>
                <w:vertAlign w:val="subscript"/>
              </w:rPr>
              <w:t>q</w:t>
            </w:r>
          </w:p>
        </w:tc>
        <w:tc>
          <w:tcPr>
            <w:tcW w:w="449" w:type="pct"/>
          </w:tcPr>
          <w:p w14:paraId="440B8CB3" w14:textId="77777777" w:rsidR="00745851" w:rsidRPr="00DD1A20" w:rsidRDefault="00745851" w:rsidP="00507A85">
            <w:pPr>
              <w:spacing w:after="60"/>
              <w:rPr>
                <w:iCs/>
                <w:sz w:val="20"/>
              </w:rPr>
            </w:pPr>
            <w:r w:rsidRPr="00DD1A20">
              <w:rPr>
                <w:iCs/>
                <w:sz w:val="20"/>
              </w:rPr>
              <w:t>$</w:t>
            </w:r>
          </w:p>
        </w:tc>
        <w:tc>
          <w:tcPr>
            <w:tcW w:w="3502" w:type="pct"/>
          </w:tcPr>
          <w:p w14:paraId="0A21896F" w14:textId="77777777" w:rsidR="00745851" w:rsidRPr="00DD1A20" w:rsidRDefault="00745851" w:rsidP="00507A85">
            <w:pPr>
              <w:spacing w:after="60"/>
              <w:rPr>
                <w:iCs/>
                <w:sz w:val="20"/>
              </w:rPr>
            </w:pP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Reg-Down, for the hour.</w:t>
            </w:r>
          </w:p>
        </w:tc>
      </w:tr>
      <w:tr w:rsidR="00745851" w:rsidRPr="00DD1A20" w14:paraId="661E1403" w14:textId="77777777" w:rsidTr="00507A85">
        <w:tc>
          <w:tcPr>
            <w:tcW w:w="1049" w:type="pct"/>
            <w:tcBorders>
              <w:top w:val="single" w:sz="4" w:space="0" w:color="auto"/>
              <w:left w:val="single" w:sz="4" w:space="0" w:color="auto"/>
              <w:bottom w:val="single" w:sz="4" w:space="0" w:color="auto"/>
              <w:right w:val="single" w:sz="4" w:space="0" w:color="auto"/>
            </w:tcBorders>
          </w:tcPr>
          <w:p w14:paraId="3AE8734B" w14:textId="77777777" w:rsidR="00745851" w:rsidRPr="00DD1A20" w:rsidRDefault="00745851" w:rsidP="00507A85">
            <w:pPr>
              <w:spacing w:after="60"/>
              <w:rPr>
                <w:iCs/>
                <w:sz w:val="20"/>
              </w:rPr>
            </w:pPr>
            <w:r w:rsidRPr="00DD1A20">
              <w:rPr>
                <w:iCs/>
                <w:sz w:val="20"/>
              </w:rPr>
              <w:t xml:space="preserve">MCPCRD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029BE668"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31E2D54F" w14:textId="77777777" w:rsidR="00745851" w:rsidRPr="00DD1A20" w:rsidRDefault="00745851" w:rsidP="00507A85">
            <w:pPr>
              <w:spacing w:after="60"/>
              <w:rPr>
                <w:i/>
                <w:iCs/>
                <w:sz w:val="20"/>
              </w:rPr>
            </w:pPr>
            <w:r w:rsidRPr="00DD1A20">
              <w:rPr>
                <w:i/>
                <w:iCs/>
                <w:sz w:val="20"/>
              </w:rPr>
              <w:t>Market Clearing Price for Capacity for Reg-Down by market—</w:t>
            </w:r>
            <w:r w:rsidRPr="00DD1A20">
              <w:rPr>
                <w:iCs/>
                <w:sz w:val="20"/>
              </w:rPr>
              <w:t xml:space="preserve">The MCPC for Reg-Down in the market </w:t>
            </w:r>
            <w:r w:rsidRPr="00DD1A20">
              <w:rPr>
                <w:i/>
                <w:iCs/>
                <w:sz w:val="20"/>
              </w:rPr>
              <w:t>m</w:t>
            </w:r>
            <w:r w:rsidRPr="00DD1A20">
              <w:rPr>
                <w:iCs/>
                <w:sz w:val="20"/>
              </w:rPr>
              <w:t>, for the hour.</w:t>
            </w:r>
          </w:p>
        </w:tc>
      </w:tr>
      <w:tr w:rsidR="00745851" w:rsidRPr="00DD1A20" w14:paraId="4D6F17CA" w14:textId="77777777" w:rsidTr="00507A85">
        <w:tc>
          <w:tcPr>
            <w:tcW w:w="1049" w:type="pct"/>
            <w:tcBorders>
              <w:top w:val="single" w:sz="4" w:space="0" w:color="auto"/>
              <w:left w:val="single" w:sz="4" w:space="0" w:color="auto"/>
              <w:bottom w:val="single" w:sz="4" w:space="0" w:color="auto"/>
              <w:right w:val="single" w:sz="4" w:space="0" w:color="auto"/>
            </w:tcBorders>
          </w:tcPr>
          <w:p w14:paraId="2AF29F8B" w14:textId="77777777" w:rsidR="00745851" w:rsidRPr="00DD1A20" w:rsidRDefault="00745851" w:rsidP="00507A85">
            <w:pPr>
              <w:spacing w:after="60"/>
              <w:rPr>
                <w:iCs/>
                <w:sz w:val="20"/>
              </w:rPr>
            </w:pPr>
            <w:r w:rsidRPr="00DD1A20">
              <w:rPr>
                <w:sz w:val="20"/>
              </w:rPr>
              <w:t xml:space="preserve">MCPCRD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38DF52EA"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6A7CB66B" w14:textId="77777777" w:rsidR="00745851" w:rsidRPr="00DD1A20" w:rsidRDefault="00745851" w:rsidP="00507A85">
            <w:pPr>
              <w:spacing w:after="60"/>
              <w:rPr>
                <w:i/>
                <w:iCs/>
                <w:sz w:val="20"/>
              </w:rPr>
            </w:pPr>
            <w:r w:rsidRPr="00DD1A20">
              <w:rPr>
                <w:i/>
                <w:sz w:val="20"/>
              </w:rPr>
              <w:t>Market Clearing Price for Capacity for Reg-Down by RSASM—</w:t>
            </w:r>
            <w:r w:rsidRPr="00DD1A20">
              <w:rPr>
                <w:sz w:val="20"/>
              </w:rPr>
              <w:t xml:space="preserve">The MCPC for Reg-Down in the RSASM </w:t>
            </w:r>
            <w:r w:rsidRPr="00DD1A20">
              <w:rPr>
                <w:i/>
                <w:sz w:val="20"/>
              </w:rPr>
              <w:t>rs</w:t>
            </w:r>
            <w:r w:rsidRPr="00DD1A20">
              <w:rPr>
                <w:sz w:val="20"/>
              </w:rPr>
              <w:t>, for the hour.</w:t>
            </w:r>
          </w:p>
        </w:tc>
      </w:tr>
      <w:tr w:rsidR="00745851" w:rsidRPr="00DD1A20" w14:paraId="7C803AEE" w14:textId="77777777" w:rsidTr="00507A85">
        <w:tc>
          <w:tcPr>
            <w:tcW w:w="1049" w:type="pct"/>
            <w:tcBorders>
              <w:top w:val="single" w:sz="4" w:space="0" w:color="auto"/>
              <w:left w:val="single" w:sz="4" w:space="0" w:color="auto"/>
              <w:bottom w:val="single" w:sz="4" w:space="0" w:color="auto"/>
              <w:right w:val="single" w:sz="4" w:space="0" w:color="auto"/>
            </w:tcBorders>
          </w:tcPr>
          <w:p w14:paraId="39F06FF5" w14:textId="77777777" w:rsidR="00745851" w:rsidRPr="00DD1A20" w:rsidRDefault="00745851" w:rsidP="00507A85">
            <w:pPr>
              <w:spacing w:after="60"/>
              <w:rPr>
                <w:iCs/>
                <w:sz w:val="20"/>
              </w:rPr>
            </w:pPr>
            <w:r w:rsidRPr="00DD1A20">
              <w:rPr>
                <w:iCs/>
                <w:sz w:val="20"/>
              </w:rPr>
              <w:t>RDFQ</w:t>
            </w:r>
            <w:r w:rsidRPr="00DD1A20">
              <w:rPr>
                <w:i/>
                <w:iCs/>
                <w:sz w:val="20"/>
              </w:rPr>
              <w:t xml:space="preserve">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5803E018"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7B8ED9C" w14:textId="77777777" w:rsidR="00745851" w:rsidRPr="00DD1A20" w:rsidRDefault="00745851" w:rsidP="00507A85">
            <w:pPr>
              <w:spacing w:after="60"/>
              <w:rPr>
                <w:i/>
                <w:iCs/>
                <w:sz w:val="20"/>
              </w:rPr>
            </w:pPr>
            <w:r w:rsidRPr="00DD1A20">
              <w:rPr>
                <w:i/>
                <w:iCs/>
                <w:sz w:val="20"/>
              </w:rPr>
              <w:t>Reg-Down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Reg-Down, for the hour.</w:t>
            </w:r>
          </w:p>
        </w:tc>
      </w:tr>
      <w:tr w:rsidR="00745851" w:rsidRPr="00DD1A20" w14:paraId="3F0B1466" w14:textId="77777777" w:rsidTr="00507A85">
        <w:tc>
          <w:tcPr>
            <w:tcW w:w="1049" w:type="pct"/>
            <w:tcBorders>
              <w:top w:val="single" w:sz="4" w:space="0" w:color="auto"/>
              <w:left w:val="single" w:sz="4" w:space="0" w:color="auto"/>
              <w:bottom w:val="single" w:sz="4" w:space="0" w:color="auto"/>
              <w:right w:val="single" w:sz="4" w:space="0" w:color="auto"/>
            </w:tcBorders>
          </w:tcPr>
          <w:p w14:paraId="5E61C4AE" w14:textId="77777777" w:rsidR="00745851" w:rsidRPr="00DD1A20" w:rsidRDefault="00745851" w:rsidP="00507A85">
            <w:pPr>
              <w:spacing w:after="60"/>
              <w:rPr>
                <w:iCs/>
                <w:sz w:val="20"/>
              </w:rPr>
            </w:pPr>
            <w:r w:rsidRPr="00DD1A20">
              <w:rPr>
                <w:sz w:val="20"/>
              </w:rPr>
              <w:t xml:space="preserve">RRDFQ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67C329BD" w14:textId="77777777" w:rsidR="00745851" w:rsidRPr="00DD1A20" w:rsidRDefault="00745851" w:rsidP="00507A85">
            <w:pPr>
              <w:spacing w:after="60"/>
              <w:rPr>
                <w:iCs/>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45253265" w14:textId="77777777" w:rsidR="00745851" w:rsidRPr="00DD1A20" w:rsidRDefault="00745851" w:rsidP="00507A85">
            <w:pPr>
              <w:spacing w:after="60"/>
              <w:rPr>
                <w:iCs/>
                <w:sz w:val="20"/>
              </w:rPr>
            </w:pPr>
            <w:r w:rsidRPr="00DD1A20">
              <w:rPr>
                <w:i/>
                <w:sz w:val="20"/>
              </w:rPr>
              <w:t>Reconfiguration Reg-Down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Reg-Down, for the hour.</w:t>
            </w:r>
          </w:p>
        </w:tc>
      </w:tr>
      <w:tr w:rsidR="00745851" w:rsidRPr="00DD1A20" w14:paraId="25E3E46F" w14:textId="77777777" w:rsidTr="00507A85">
        <w:tc>
          <w:tcPr>
            <w:tcW w:w="1049" w:type="pct"/>
            <w:tcBorders>
              <w:top w:val="single" w:sz="4" w:space="0" w:color="auto"/>
              <w:left w:val="single" w:sz="4" w:space="0" w:color="auto"/>
              <w:bottom w:val="single" w:sz="4" w:space="0" w:color="auto"/>
              <w:right w:val="single" w:sz="4" w:space="0" w:color="auto"/>
            </w:tcBorders>
          </w:tcPr>
          <w:p w14:paraId="271A6060" w14:textId="77777777" w:rsidR="00745851" w:rsidRPr="00DD1A20" w:rsidRDefault="00745851" w:rsidP="00507A85">
            <w:pPr>
              <w:spacing w:after="60"/>
              <w:rPr>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39F01C1E"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4B736B30" w14:textId="77777777" w:rsidR="00745851" w:rsidRPr="00DD1A20" w:rsidRDefault="00745851" w:rsidP="00507A85">
            <w:pPr>
              <w:spacing w:after="60"/>
              <w:rPr>
                <w:i/>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52078508" w14:textId="77777777" w:rsidTr="00507A85">
        <w:tc>
          <w:tcPr>
            <w:tcW w:w="1049" w:type="pct"/>
            <w:tcBorders>
              <w:top w:val="single" w:sz="4" w:space="0" w:color="auto"/>
              <w:left w:val="single" w:sz="4" w:space="0" w:color="auto"/>
              <w:bottom w:val="single" w:sz="4" w:space="0" w:color="auto"/>
              <w:right w:val="single" w:sz="4" w:space="0" w:color="auto"/>
            </w:tcBorders>
          </w:tcPr>
          <w:p w14:paraId="32BF418E" w14:textId="77777777" w:rsidR="00745851" w:rsidRPr="00DD1A20" w:rsidRDefault="00745851" w:rsidP="00507A85">
            <w:pPr>
              <w:spacing w:after="60"/>
              <w:rPr>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E42A625"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DECD72D" w14:textId="77777777" w:rsidR="00745851" w:rsidRPr="00DD1A20" w:rsidRDefault="00745851" w:rsidP="00507A85">
            <w:pPr>
              <w:spacing w:after="60"/>
              <w:rPr>
                <w:i/>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3CAFAD96" w14:textId="77777777" w:rsidTr="00507A85">
        <w:tc>
          <w:tcPr>
            <w:tcW w:w="1049" w:type="pct"/>
            <w:tcBorders>
              <w:top w:val="single" w:sz="4" w:space="0" w:color="auto"/>
              <w:left w:val="single" w:sz="4" w:space="0" w:color="auto"/>
              <w:bottom w:val="single" w:sz="4" w:space="0" w:color="auto"/>
              <w:right w:val="single" w:sz="4" w:space="0" w:color="auto"/>
            </w:tcBorders>
          </w:tcPr>
          <w:p w14:paraId="058759C7" w14:textId="77777777" w:rsidR="00745851" w:rsidRPr="00DD1A20" w:rsidRDefault="00745851" w:rsidP="00507A85">
            <w:pPr>
              <w:spacing w:after="60"/>
              <w:rPr>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348BE0EA"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75403EA1" w14:textId="77777777" w:rsidR="00745851" w:rsidRPr="00DD1A20" w:rsidRDefault="00745851" w:rsidP="00507A85">
            <w:pPr>
              <w:autoSpaceDE w:val="0"/>
              <w:autoSpaceDN w:val="0"/>
              <w:adjustRightInd w:val="0"/>
              <w:rPr>
                <w:i/>
                <w:iCs/>
                <w:color w:val="000000"/>
                <w:sz w:val="20"/>
              </w:rPr>
            </w:pPr>
            <w:r w:rsidRPr="00DD1A20">
              <w:rPr>
                <w:i/>
                <w:color w:val="000000"/>
                <w:sz w:val="20"/>
              </w:rPr>
              <w:t xml:space="preserve">Average Real-Time </w:t>
            </w:r>
            <w:r w:rsidRPr="00DD1A20">
              <w:rPr>
                <w:i/>
                <w:iCs/>
                <w:color w:val="000000"/>
                <w:sz w:val="20"/>
              </w:rPr>
              <w:t xml:space="preserve">Ancillary Service Imbalance </w:t>
            </w:r>
            <w:r w:rsidRPr="00DD1A20">
              <w:rPr>
                <w:i/>
                <w:color w:val="000000"/>
                <w:sz w:val="20"/>
              </w:rPr>
              <w:t>Price</w:t>
            </w:r>
            <w:r w:rsidRPr="00DD1A20">
              <w:rPr>
                <w:color w:val="000000"/>
                <w:sz w:val="20"/>
              </w:rPr>
              <w:t>—</w:t>
            </w:r>
            <w:r w:rsidRPr="00DD1A20">
              <w:rPr>
                <w:iCs/>
                <w:color w:val="000000"/>
                <w:sz w:val="20"/>
              </w:rPr>
              <w:t>T</w:t>
            </w:r>
            <w:r w:rsidRPr="00DD1A20">
              <w:rPr>
                <w:color w:val="000000"/>
                <w:sz w:val="20"/>
              </w:rPr>
              <w:t>he average of the sum of the Real-Time On-Line Reliability Deployment Price and the Real-Time Reserve Price for On-Line Reserves used in the calculation of Real</w:t>
            </w:r>
            <w:r>
              <w:rPr>
                <w:color w:val="000000"/>
                <w:sz w:val="20"/>
              </w:rPr>
              <w:t>-</w:t>
            </w:r>
            <w:r w:rsidRPr="00DD1A20">
              <w:rPr>
                <w:color w:val="000000"/>
                <w:sz w:val="20"/>
              </w:rPr>
              <w:t>Time Ancillary Service Imbalance Amount per Section 6.7.5 for the Operating Hour.</w:t>
            </w:r>
          </w:p>
        </w:tc>
      </w:tr>
      <w:tr w:rsidR="00745851" w:rsidRPr="00DD1A20" w14:paraId="0386525B" w14:textId="77777777" w:rsidTr="00507A85">
        <w:tc>
          <w:tcPr>
            <w:tcW w:w="1049" w:type="pct"/>
            <w:tcBorders>
              <w:top w:val="single" w:sz="4" w:space="0" w:color="auto"/>
              <w:left w:val="single" w:sz="4" w:space="0" w:color="auto"/>
              <w:bottom w:val="single" w:sz="4" w:space="0" w:color="auto"/>
              <w:right w:val="single" w:sz="4" w:space="0" w:color="auto"/>
            </w:tcBorders>
          </w:tcPr>
          <w:p w14:paraId="3AA31A26" w14:textId="77777777" w:rsidR="00745851" w:rsidRPr="00DD1A20" w:rsidRDefault="00745851" w:rsidP="00507A85">
            <w:pPr>
              <w:spacing w:after="60"/>
              <w:rPr>
                <w:iCs/>
                <w:sz w:val="20"/>
              </w:rPr>
            </w:pPr>
            <w:r w:rsidRPr="00DD1A20">
              <w:rPr>
                <w:bCs/>
                <w:iCs/>
                <w:sz w:val="20"/>
                <w:lang w:val="fr-FR"/>
              </w:rPr>
              <w:t xml:space="preserve">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E2F08A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D6C019B" w14:textId="77777777" w:rsidR="00745851" w:rsidRPr="00DD1A20" w:rsidRDefault="00745851" w:rsidP="00507A85">
            <w:pPr>
              <w:autoSpaceDE w:val="0"/>
              <w:autoSpaceDN w:val="0"/>
              <w:adjustRightInd w:val="0"/>
              <w:rPr>
                <w:i/>
                <w:color w:val="000000"/>
                <w:sz w:val="20"/>
              </w:rPr>
            </w:pPr>
            <w:r w:rsidRPr="00DD1A20">
              <w:rPr>
                <w:i/>
                <w:color w:val="000000"/>
                <w:sz w:val="20"/>
              </w:rPr>
              <w:t>Total Self-Arranged Reg-Down Quantity per QSE for all markets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DAM and all SASMs.</w:t>
            </w:r>
          </w:p>
        </w:tc>
      </w:tr>
      <w:tr w:rsidR="00745851" w:rsidRPr="00DD1A20" w14:paraId="3C233424" w14:textId="77777777" w:rsidTr="00507A85">
        <w:tc>
          <w:tcPr>
            <w:tcW w:w="1049" w:type="pct"/>
            <w:tcBorders>
              <w:top w:val="single" w:sz="4" w:space="0" w:color="auto"/>
              <w:left w:val="single" w:sz="4" w:space="0" w:color="auto"/>
              <w:bottom w:val="single" w:sz="4" w:space="0" w:color="auto"/>
              <w:right w:val="single" w:sz="4" w:space="0" w:color="auto"/>
            </w:tcBorders>
          </w:tcPr>
          <w:p w14:paraId="531225A1" w14:textId="77777777" w:rsidR="00745851" w:rsidRPr="00DD1A20" w:rsidRDefault="00745851" w:rsidP="00507A85">
            <w:pPr>
              <w:spacing w:after="60"/>
              <w:rPr>
                <w:iCs/>
                <w:sz w:val="20"/>
              </w:rPr>
            </w:pPr>
            <w:r w:rsidRPr="00DD1A20">
              <w:rPr>
                <w:bCs/>
                <w:sz w:val="20"/>
              </w:rPr>
              <w:t>RDTRSQ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7A3A70A5"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F005E02"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Sale per QSE</w:t>
            </w:r>
            <w:r w:rsidRPr="00DD1A20">
              <w:rPr>
                <w:color w:val="000000"/>
                <w:sz w:val="20"/>
              </w:rPr>
              <w:t xml:space="preserve">—QSE </w:t>
            </w:r>
            <w:r w:rsidRPr="00DD1A20">
              <w:rPr>
                <w:i/>
                <w:color w:val="000000"/>
                <w:sz w:val="20"/>
              </w:rPr>
              <w:t>q</w:t>
            </w:r>
            <w:r w:rsidRPr="00DD1A20">
              <w:rPr>
                <w:color w:val="000000"/>
                <w:sz w:val="20"/>
              </w:rPr>
              <w:t>’s total time-weighted average capacity Trade Sale for Reg-Down, for the hour.  The time-weighted average value is rounded to 0.1 MW.</w:t>
            </w:r>
          </w:p>
        </w:tc>
      </w:tr>
      <w:tr w:rsidR="00745851" w:rsidRPr="00DD1A20" w14:paraId="6EC1E5C8" w14:textId="77777777" w:rsidTr="00507A85">
        <w:tc>
          <w:tcPr>
            <w:tcW w:w="1049" w:type="pct"/>
            <w:tcBorders>
              <w:top w:val="single" w:sz="4" w:space="0" w:color="auto"/>
              <w:left w:val="single" w:sz="4" w:space="0" w:color="auto"/>
              <w:bottom w:val="single" w:sz="4" w:space="0" w:color="auto"/>
              <w:right w:val="single" w:sz="4" w:space="0" w:color="auto"/>
            </w:tcBorders>
          </w:tcPr>
          <w:p w14:paraId="2D941282" w14:textId="77777777" w:rsidR="00745851" w:rsidRPr="00DD1A20" w:rsidRDefault="00745851" w:rsidP="00507A85">
            <w:pPr>
              <w:spacing w:after="60"/>
              <w:rPr>
                <w:iCs/>
                <w:sz w:val="20"/>
              </w:rPr>
            </w:pPr>
            <w:r w:rsidRPr="00DD1A20">
              <w:rPr>
                <w:bCs/>
                <w:iCs/>
                <w:sz w:val="20"/>
                <w:lang w:val="es-ES"/>
              </w:rPr>
              <w:t xml:space="preserve">RTPCRD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2496DF5E"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B03E054"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by QSE by market—</w:t>
            </w:r>
            <w:r w:rsidRPr="00DD1A20">
              <w:rPr>
                <w:color w:val="000000"/>
                <w:sz w:val="20"/>
              </w:rPr>
              <w:t xml:space="preserve">The MW portion of QSE </w:t>
            </w:r>
            <w:r w:rsidRPr="00DD1A20">
              <w:rPr>
                <w:i/>
                <w:color w:val="000000"/>
                <w:sz w:val="20"/>
              </w:rPr>
              <w:t>q</w:t>
            </w:r>
            <w:r w:rsidRPr="00DD1A20">
              <w:rPr>
                <w:color w:val="000000"/>
                <w:sz w:val="20"/>
              </w:rPr>
              <w:t xml:space="preserve">’s Ancillary Service Offers cleared in the market </w:t>
            </w:r>
            <w:r w:rsidRPr="00DD1A20">
              <w:rPr>
                <w:i/>
                <w:color w:val="000000"/>
                <w:sz w:val="20"/>
              </w:rPr>
              <w:t>m</w:t>
            </w:r>
            <w:r w:rsidRPr="00DD1A20">
              <w:rPr>
                <w:color w:val="000000"/>
                <w:sz w:val="20"/>
              </w:rPr>
              <w:t xml:space="preserve"> (SASM or RSASM) to provide Reg-Down, for the hour.</w:t>
            </w:r>
          </w:p>
        </w:tc>
      </w:tr>
      <w:tr w:rsidR="00745851" w:rsidRPr="00DD1A20" w14:paraId="2FF4A186" w14:textId="77777777" w:rsidTr="00507A85">
        <w:tc>
          <w:tcPr>
            <w:tcW w:w="1049" w:type="pct"/>
            <w:tcBorders>
              <w:top w:val="single" w:sz="4" w:space="0" w:color="auto"/>
              <w:left w:val="single" w:sz="4" w:space="0" w:color="auto"/>
              <w:bottom w:val="single" w:sz="4" w:space="0" w:color="auto"/>
              <w:right w:val="single" w:sz="4" w:space="0" w:color="auto"/>
            </w:tcBorders>
          </w:tcPr>
          <w:p w14:paraId="1F991FBF" w14:textId="77777777" w:rsidR="00745851" w:rsidRPr="00DD1A20" w:rsidRDefault="00745851" w:rsidP="00507A85">
            <w:pPr>
              <w:spacing w:after="60"/>
              <w:rPr>
                <w:iCs/>
                <w:sz w:val="20"/>
              </w:rPr>
            </w:pPr>
            <w:r w:rsidRPr="00DD1A20">
              <w:rPr>
                <w:bCs/>
                <w:iCs/>
                <w:sz w:val="20"/>
                <w:lang w:val="es-ES"/>
              </w:rPr>
              <w:t xml:space="preserve">PCRD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063A00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8FFFF5F"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per QSE in DAM</w:t>
            </w:r>
            <w:r w:rsidRPr="00DD1A20">
              <w:rPr>
                <w:color w:val="000000"/>
                <w:sz w:val="20"/>
              </w:rPr>
              <w:t xml:space="preserve">—The total Reg-Down capacity quantity awarded to QSE </w:t>
            </w:r>
            <w:r w:rsidRPr="00DD1A20">
              <w:rPr>
                <w:i/>
                <w:color w:val="000000"/>
                <w:sz w:val="20"/>
              </w:rPr>
              <w:t>q</w:t>
            </w:r>
            <w:r w:rsidRPr="00DD1A20">
              <w:rPr>
                <w:color w:val="000000"/>
                <w:sz w:val="20"/>
              </w:rPr>
              <w:t xml:space="preserve"> in the DAM for all the Resources represented by the QSE, for the hour.</w:t>
            </w:r>
          </w:p>
        </w:tc>
      </w:tr>
      <w:tr w:rsidR="00745851" w:rsidRPr="00DD1A20" w14:paraId="4A274FD5" w14:textId="77777777" w:rsidTr="00507A85">
        <w:tc>
          <w:tcPr>
            <w:tcW w:w="1049" w:type="pct"/>
            <w:tcBorders>
              <w:top w:val="single" w:sz="4" w:space="0" w:color="auto"/>
              <w:left w:val="single" w:sz="4" w:space="0" w:color="auto"/>
              <w:bottom w:val="single" w:sz="4" w:space="0" w:color="auto"/>
              <w:right w:val="single" w:sz="4" w:space="0" w:color="auto"/>
            </w:tcBorders>
          </w:tcPr>
          <w:p w14:paraId="56E56C7E" w14:textId="77777777" w:rsidR="00745851" w:rsidRPr="00DD1A20" w:rsidRDefault="00745851" w:rsidP="00507A85">
            <w:pPr>
              <w:spacing w:after="60"/>
              <w:rPr>
                <w:iCs/>
                <w:sz w:val="20"/>
              </w:rPr>
            </w:pPr>
            <w:r w:rsidRPr="00DD1A20">
              <w:rPr>
                <w:bCs/>
                <w:iCs/>
                <w:sz w:val="20"/>
                <w:lang w:val="es-ES"/>
              </w:rPr>
              <w:t xml:space="preserve">RUCRDQ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A7FFD4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5B2589E0" w14:textId="77777777" w:rsidR="00745851" w:rsidRPr="00DD1A20" w:rsidRDefault="00745851" w:rsidP="00507A85">
            <w:pPr>
              <w:autoSpaceDE w:val="0"/>
              <w:autoSpaceDN w:val="0"/>
              <w:adjustRightInd w:val="0"/>
              <w:rPr>
                <w:i/>
                <w:color w:val="000000"/>
                <w:sz w:val="20"/>
              </w:rPr>
            </w:pPr>
            <w:r w:rsidRPr="00DD1A20">
              <w:rPr>
                <w:i/>
                <w:iCs/>
                <w:color w:val="000000"/>
                <w:sz w:val="20"/>
              </w:rPr>
              <w:t>RUC-committed for Reg-Down per QSE</w:t>
            </w:r>
            <w:r w:rsidRPr="00DD1A20">
              <w:rPr>
                <w:color w:val="000000"/>
                <w:sz w:val="20"/>
              </w:rPr>
              <w:t xml:space="preserve">—The total quantity of Reg-Down committed by the RUC Process for </w:t>
            </w:r>
            <w:r w:rsidRPr="00DD1A20">
              <w:rPr>
                <w:iCs/>
                <w:color w:val="000000"/>
                <w:sz w:val="20"/>
              </w:rPr>
              <w:t xml:space="preserve">Resources represented by QSE </w:t>
            </w:r>
            <w:r w:rsidRPr="00DD1A20">
              <w:rPr>
                <w:i/>
                <w:color w:val="000000"/>
                <w:sz w:val="20"/>
              </w:rPr>
              <w:t>q</w:t>
            </w:r>
            <w:r w:rsidRPr="00DD1A20">
              <w:rPr>
                <w:iCs/>
                <w:color w:val="000000"/>
                <w:sz w:val="20"/>
              </w:rPr>
              <w:t>, for the hour.</w:t>
            </w:r>
          </w:p>
        </w:tc>
      </w:tr>
      <w:tr w:rsidR="00745851" w:rsidRPr="00DD1A20" w14:paraId="263BD251" w14:textId="77777777" w:rsidTr="00507A85">
        <w:tc>
          <w:tcPr>
            <w:tcW w:w="1049" w:type="pct"/>
            <w:tcBorders>
              <w:top w:val="single" w:sz="4" w:space="0" w:color="auto"/>
              <w:left w:val="single" w:sz="4" w:space="0" w:color="auto"/>
              <w:bottom w:val="single" w:sz="4" w:space="0" w:color="auto"/>
              <w:right w:val="single" w:sz="4" w:space="0" w:color="auto"/>
            </w:tcBorders>
          </w:tcPr>
          <w:p w14:paraId="612E8913" w14:textId="77777777" w:rsidR="00745851" w:rsidRPr="00DD1A20" w:rsidRDefault="00745851" w:rsidP="00507A85">
            <w:pPr>
              <w:spacing w:after="60"/>
              <w:rPr>
                <w:iCs/>
                <w:sz w:val="20"/>
              </w:rPr>
            </w:pPr>
            <w:r w:rsidRPr="00DD1A20">
              <w:rPr>
                <w:bCs/>
                <w:sz w:val="20"/>
              </w:rPr>
              <w:t>RDTRPQ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14D90E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7BD5A3E"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Purchases per QSE</w:t>
            </w:r>
            <w:r w:rsidRPr="00DD1A20">
              <w:rPr>
                <w:color w:val="000000"/>
                <w:sz w:val="20"/>
              </w:rPr>
              <w:t xml:space="preserve">—QSE </w:t>
            </w:r>
            <w:r w:rsidRPr="00DD1A20">
              <w:rPr>
                <w:i/>
                <w:color w:val="000000"/>
                <w:sz w:val="20"/>
              </w:rPr>
              <w:t>q</w:t>
            </w:r>
            <w:r w:rsidRPr="00DD1A20">
              <w:rPr>
                <w:color w:val="000000"/>
                <w:sz w:val="20"/>
              </w:rPr>
              <w:t>’s total time-weighted average capacity Trade Purchase</w:t>
            </w:r>
            <w:r w:rsidRPr="00DD1A20">
              <w:rPr>
                <w:i/>
                <w:color w:val="000000"/>
                <w:sz w:val="20"/>
              </w:rPr>
              <w:t xml:space="preserve"> </w:t>
            </w:r>
            <w:r w:rsidRPr="00DD1A20">
              <w:rPr>
                <w:color w:val="000000"/>
                <w:sz w:val="20"/>
              </w:rPr>
              <w:t>for Reg-Down, for the hour.  The time-weighted average value is rounded to 0.1 MW.</w:t>
            </w:r>
          </w:p>
        </w:tc>
      </w:tr>
      <w:tr w:rsidR="00745851" w:rsidRPr="00DD1A20" w14:paraId="36A04DB3" w14:textId="77777777" w:rsidTr="00507A85">
        <w:tc>
          <w:tcPr>
            <w:tcW w:w="1049" w:type="pct"/>
            <w:tcBorders>
              <w:top w:val="single" w:sz="4" w:space="0" w:color="auto"/>
              <w:left w:val="single" w:sz="4" w:space="0" w:color="auto"/>
              <w:bottom w:val="single" w:sz="4" w:space="0" w:color="auto"/>
              <w:right w:val="single" w:sz="4" w:space="0" w:color="auto"/>
            </w:tcBorders>
          </w:tcPr>
          <w:p w14:paraId="60004670" w14:textId="77777777" w:rsidR="00745851" w:rsidRPr="00DD1A20" w:rsidRDefault="00745851" w:rsidP="00507A85">
            <w:pPr>
              <w:spacing w:after="60"/>
              <w:rPr>
                <w:iCs/>
                <w:sz w:val="20"/>
              </w:rPr>
            </w:pPr>
            <w:r w:rsidRPr="00DD1A20">
              <w:rPr>
                <w:bCs/>
                <w:iCs/>
                <w:sz w:val="20"/>
                <w:lang w:val="es-ES"/>
              </w:rPr>
              <w:t>RDINFQ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59B2E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D5F2878" w14:textId="77777777" w:rsidR="00745851" w:rsidRPr="00DD1A20" w:rsidRDefault="00745851" w:rsidP="00507A85">
            <w:pPr>
              <w:autoSpaceDE w:val="0"/>
              <w:autoSpaceDN w:val="0"/>
              <w:adjustRightInd w:val="0"/>
              <w:rPr>
                <w:i/>
                <w:color w:val="000000"/>
                <w:sz w:val="20"/>
              </w:rPr>
            </w:pPr>
            <w:r w:rsidRPr="00DD1A20">
              <w:rPr>
                <w:i/>
                <w:color w:val="000000"/>
                <w:sz w:val="20"/>
              </w:rPr>
              <w:t>Reg-Down Infeasible Quantity per QSE—</w:t>
            </w:r>
            <w:r w:rsidRPr="00DD1A20">
              <w:rPr>
                <w:color w:val="000000"/>
                <w:sz w:val="20"/>
              </w:rPr>
              <w:t xml:space="preserve">QSE </w:t>
            </w:r>
            <w:r w:rsidRPr="00DD1A20">
              <w:rPr>
                <w:i/>
                <w:color w:val="000000"/>
                <w:sz w:val="20"/>
              </w:rPr>
              <w:t>q</w:t>
            </w:r>
            <w:r w:rsidRPr="00DD1A20">
              <w:rPr>
                <w:color w:val="000000"/>
                <w:sz w:val="20"/>
              </w:rPr>
              <w:t>’s total capacity associated with infeasible</w:t>
            </w:r>
            <w:r w:rsidRPr="00DD1A20">
              <w:rPr>
                <w:i/>
                <w:color w:val="000000"/>
                <w:sz w:val="20"/>
              </w:rPr>
              <w:t xml:space="preserve"> </w:t>
            </w:r>
            <w:r w:rsidRPr="00DD1A20">
              <w:rPr>
                <w:color w:val="000000"/>
                <w:sz w:val="20"/>
              </w:rPr>
              <w:t>Ancillary Service Supply Responsibilities</w:t>
            </w:r>
            <w:r w:rsidRPr="00DD1A20">
              <w:rPr>
                <w:i/>
                <w:color w:val="000000"/>
                <w:sz w:val="20"/>
              </w:rPr>
              <w:t xml:space="preserve"> </w:t>
            </w:r>
            <w:r w:rsidRPr="00DD1A20">
              <w:rPr>
                <w:color w:val="000000"/>
                <w:sz w:val="20"/>
              </w:rPr>
              <w:t>for Reg-Down, for the hour.</w:t>
            </w:r>
          </w:p>
        </w:tc>
      </w:tr>
      <w:tr w:rsidR="00745851" w:rsidRPr="00DD1A20" w14:paraId="1C4793D5" w14:textId="77777777" w:rsidTr="00507A85">
        <w:tc>
          <w:tcPr>
            <w:tcW w:w="1049" w:type="pct"/>
            <w:tcBorders>
              <w:top w:val="single" w:sz="4" w:space="0" w:color="auto"/>
              <w:left w:val="single" w:sz="4" w:space="0" w:color="auto"/>
              <w:bottom w:val="single" w:sz="4" w:space="0" w:color="auto"/>
              <w:right w:val="single" w:sz="4" w:space="0" w:color="auto"/>
            </w:tcBorders>
          </w:tcPr>
          <w:p w14:paraId="3ED19828" w14:textId="77777777" w:rsidR="00745851" w:rsidRPr="00DD1A20" w:rsidRDefault="00745851" w:rsidP="00507A85">
            <w:pPr>
              <w:spacing w:after="60"/>
              <w:rPr>
                <w:iCs/>
                <w:sz w:val="20"/>
              </w:rPr>
            </w:pPr>
            <w:r w:rsidRPr="00DD1A20">
              <w:rPr>
                <w:bCs/>
                <w:sz w:val="20"/>
              </w:rPr>
              <w:t>TELRDR</w:t>
            </w:r>
            <w:r>
              <w:rPr>
                <w:bCs/>
                <w:i/>
                <w:iCs/>
                <w:sz w:val="20"/>
                <w:vertAlign w:val="subscript"/>
                <w:lang w:val="es-ES"/>
              </w:rPr>
              <w:t xml:space="preserve">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9C6FEF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230FC30" w14:textId="77777777" w:rsidR="00745851" w:rsidRPr="00DD1A20" w:rsidRDefault="00745851" w:rsidP="00507A85">
            <w:pPr>
              <w:autoSpaceDE w:val="0"/>
              <w:autoSpaceDN w:val="0"/>
              <w:adjustRightInd w:val="0"/>
              <w:rPr>
                <w:i/>
                <w:color w:val="000000"/>
                <w:sz w:val="20"/>
              </w:rPr>
            </w:pPr>
            <w:r w:rsidRPr="00DD1A20">
              <w:rPr>
                <w:i/>
                <w:iCs/>
                <w:color w:val="000000"/>
                <w:sz w:val="20"/>
              </w:rPr>
              <w:t>Telemetered Reg-Down Responsibility for the Resource</w:t>
            </w:r>
            <w:r w:rsidRPr="00DD1A20">
              <w:rPr>
                <w:color w:val="000000"/>
                <w:sz w:val="20"/>
              </w:rPr>
              <w:t xml:space="preserve">—The time-weighted average telemetered Reg-Down </w:t>
            </w:r>
            <w:r w:rsidRPr="00DD1A20">
              <w:rPr>
                <w:color w:val="000000"/>
                <w:sz w:val="20"/>
                <w:szCs w:val="18"/>
              </w:rPr>
              <w:t xml:space="preserve">Ancillary Service Resource </w:t>
            </w:r>
            <w:r w:rsidRPr="00DD1A20">
              <w:rPr>
                <w:color w:val="000000"/>
                <w:sz w:val="20"/>
              </w:rPr>
              <w:t xml:space="preserve">Responsibility for the Resource </w:t>
            </w:r>
            <w:r w:rsidRPr="00DD1A20">
              <w:rPr>
                <w:i/>
                <w:iCs/>
                <w:color w:val="000000"/>
                <w:sz w:val="20"/>
              </w:rPr>
              <w:t>r</w:t>
            </w:r>
            <w:r w:rsidRPr="00DD1A20">
              <w:rPr>
                <w:color w:val="000000"/>
                <w:sz w:val="20"/>
              </w:rPr>
              <w:t xml:space="preserve"> that is qualified to provide Reg-Down Ancillary Service, represented by QSE </w:t>
            </w:r>
            <w:r w:rsidRPr="00DD1A20">
              <w:rPr>
                <w:i/>
                <w:iCs/>
                <w:color w:val="000000"/>
                <w:sz w:val="20"/>
              </w:rPr>
              <w:t>q,</w:t>
            </w:r>
            <w:r w:rsidRPr="00DD1A20">
              <w:rPr>
                <w:color w:val="000000"/>
                <w:sz w:val="20"/>
              </w:rPr>
              <w:t xml:space="preserve"> for the hour.  The time-weighted average value is rounded to 0.1 MW.</w:t>
            </w:r>
          </w:p>
        </w:tc>
      </w:tr>
      <w:tr w:rsidR="00745851" w:rsidRPr="00DD1A20" w14:paraId="081DB928" w14:textId="77777777" w:rsidTr="00507A85">
        <w:tc>
          <w:tcPr>
            <w:tcW w:w="1049" w:type="pct"/>
            <w:tcBorders>
              <w:top w:val="single" w:sz="4" w:space="0" w:color="auto"/>
              <w:left w:val="single" w:sz="4" w:space="0" w:color="auto"/>
              <w:bottom w:val="single" w:sz="4" w:space="0" w:color="auto"/>
              <w:right w:val="single" w:sz="4" w:space="0" w:color="auto"/>
            </w:tcBorders>
          </w:tcPr>
          <w:p w14:paraId="00FF166B" w14:textId="77777777" w:rsidR="00745851" w:rsidRPr="00DD1A20" w:rsidRDefault="00745851" w:rsidP="00507A85">
            <w:pPr>
              <w:spacing w:after="60"/>
              <w:rPr>
                <w:iCs/>
                <w:sz w:val="20"/>
              </w:rPr>
            </w:pPr>
            <w:r w:rsidRPr="00DD1A20">
              <w:rPr>
                <w:bCs/>
                <w:iCs/>
                <w:sz w:val="20"/>
                <w:lang w:val="fr-FR"/>
              </w:rPr>
              <w:lastRenderedPageBreak/>
              <w:t xml:space="preserve">DASARDQ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550BB7A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3D913EA9" w14:textId="77777777" w:rsidR="00745851" w:rsidRPr="00DD1A20" w:rsidRDefault="00745851" w:rsidP="00507A85">
            <w:pPr>
              <w:autoSpaceDE w:val="0"/>
              <w:autoSpaceDN w:val="0"/>
              <w:adjustRightInd w:val="0"/>
              <w:rPr>
                <w:i/>
                <w:color w:val="000000"/>
                <w:sz w:val="20"/>
              </w:rPr>
            </w:pPr>
            <w:r w:rsidRPr="00DD1A20">
              <w:rPr>
                <w:i/>
                <w:color w:val="000000"/>
                <w:sz w:val="20"/>
              </w:rPr>
              <w:t>Day-Ahead Self-Arranged Reg-Down Quantity per QSE</w:t>
            </w:r>
            <w:r w:rsidRPr="00DD1A20">
              <w:rPr>
                <w:color w:val="000000"/>
                <w:sz w:val="20"/>
              </w:rPr>
              <w:t xml:space="preserve">—The self-arranged Reg-Down quantity submitted by QSE </w:t>
            </w:r>
            <w:r w:rsidRPr="00DD1A20">
              <w:rPr>
                <w:i/>
                <w:color w:val="000000"/>
                <w:sz w:val="20"/>
              </w:rPr>
              <w:t>q</w:t>
            </w:r>
            <w:r w:rsidRPr="00DD1A20">
              <w:rPr>
                <w:color w:val="000000"/>
                <w:sz w:val="20"/>
              </w:rPr>
              <w:t xml:space="preserve"> before 1000 in the Day-Ahead.</w:t>
            </w:r>
          </w:p>
        </w:tc>
      </w:tr>
      <w:tr w:rsidR="00745851" w:rsidRPr="00DD1A20" w14:paraId="64D33CD5" w14:textId="77777777" w:rsidTr="00507A85">
        <w:tc>
          <w:tcPr>
            <w:tcW w:w="1049" w:type="pct"/>
            <w:tcBorders>
              <w:top w:val="single" w:sz="4" w:space="0" w:color="auto"/>
              <w:left w:val="single" w:sz="4" w:space="0" w:color="auto"/>
              <w:bottom w:val="single" w:sz="4" w:space="0" w:color="auto"/>
              <w:right w:val="single" w:sz="4" w:space="0" w:color="auto"/>
            </w:tcBorders>
          </w:tcPr>
          <w:p w14:paraId="7754EC40" w14:textId="77777777" w:rsidR="00745851" w:rsidRPr="00DD1A20" w:rsidRDefault="00745851" w:rsidP="00507A85">
            <w:pPr>
              <w:spacing w:after="60"/>
              <w:rPr>
                <w:iCs/>
                <w:sz w:val="20"/>
              </w:rPr>
            </w:pPr>
            <w:r w:rsidRPr="00DD1A20">
              <w:rPr>
                <w:bCs/>
                <w:iCs/>
                <w:sz w:val="20"/>
                <w:lang w:val="fr-FR"/>
              </w:rPr>
              <w:t xml:space="preserve">RTSARDQ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0FF8405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1C95BCA" w14:textId="77777777" w:rsidR="00745851" w:rsidRPr="00DD1A20" w:rsidRDefault="00745851" w:rsidP="00507A85">
            <w:pPr>
              <w:autoSpaceDE w:val="0"/>
              <w:autoSpaceDN w:val="0"/>
              <w:adjustRightInd w:val="0"/>
              <w:rPr>
                <w:i/>
                <w:color w:val="000000"/>
                <w:sz w:val="20"/>
              </w:rPr>
            </w:pPr>
            <w:r w:rsidRPr="00DD1A20">
              <w:rPr>
                <w:i/>
                <w:color w:val="000000"/>
                <w:sz w:val="20"/>
              </w:rPr>
              <w:t>Self-Arranged Reg-Down Quantity per QSE for all SASMs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all SASMs due to an increase in the Ancillary Service Plan per Section 4.4.7.1.</w:t>
            </w:r>
          </w:p>
        </w:tc>
      </w:tr>
      <w:tr w:rsidR="00745851" w:rsidRPr="00DD1A20" w14:paraId="307A0731" w14:textId="77777777" w:rsidTr="00507A85">
        <w:tc>
          <w:tcPr>
            <w:tcW w:w="1049" w:type="pct"/>
            <w:tcBorders>
              <w:top w:val="single" w:sz="4" w:space="0" w:color="auto"/>
              <w:left w:val="single" w:sz="4" w:space="0" w:color="auto"/>
              <w:bottom w:val="single" w:sz="4" w:space="0" w:color="auto"/>
              <w:right w:val="single" w:sz="4" w:space="0" w:color="auto"/>
            </w:tcBorders>
          </w:tcPr>
          <w:p w14:paraId="16D1992A" w14:textId="77777777" w:rsidR="00745851" w:rsidRPr="00DD1A20" w:rsidRDefault="00745851" w:rsidP="00507A85">
            <w:pPr>
              <w:spacing w:after="60"/>
              <w:rPr>
                <w:bCs/>
                <w:iCs/>
                <w:sz w:val="20"/>
                <w:lang w:val="fr-FR"/>
              </w:rPr>
            </w:pPr>
            <w:r w:rsidRPr="00DD1A20">
              <w:rPr>
                <w:iCs/>
                <w:sz w:val="20"/>
              </w:rPr>
              <w:t xml:space="preserve">TRDFQ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01ED9550"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285C242" w14:textId="77777777" w:rsidR="00745851" w:rsidRPr="00DD1A20" w:rsidRDefault="00745851" w:rsidP="00507A85">
            <w:pPr>
              <w:spacing w:after="60"/>
              <w:rPr>
                <w:i/>
                <w:iCs/>
                <w:sz w:val="20"/>
              </w:rPr>
            </w:pPr>
            <w:r w:rsidRPr="00DD1A20">
              <w:rPr>
                <w:i/>
                <w:iCs/>
                <w:sz w:val="20"/>
              </w:rPr>
              <w:t>Telemetered Reg-Down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Reg-Down Responsibility sum to its Ancillary Service Supply Responsibility for Reg-Down as calculated per paragraph (1) of Section 4.4.7.4, for the hour.</w:t>
            </w:r>
          </w:p>
        </w:tc>
      </w:tr>
      <w:tr w:rsidR="00745851" w:rsidRPr="00DD1A20" w14:paraId="01F3271A" w14:textId="77777777" w:rsidTr="00507A85">
        <w:tc>
          <w:tcPr>
            <w:tcW w:w="1049" w:type="pct"/>
            <w:tcBorders>
              <w:top w:val="single" w:sz="4" w:space="0" w:color="auto"/>
              <w:left w:val="single" w:sz="4" w:space="0" w:color="auto"/>
              <w:bottom w:val="single" w:sz="4" w:space="0" w:color="auto"/>
              <w:right w:val="single" w:sz="4" w:space="0" w:color="auto"/>
            </w:tcBorders>
          </w:tcPr>
          <w:p w14:paraId="5472A988" w14:textId="77777777" w:rsidR="00745851" w:rsidRPr="00DD1A20" w:rsidRDefault="00745851" w:rsidP="00507A85">
            <w:pPr>
              <w:spacing w:after="60"/>
              <w:rPr>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4DDEB23A"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3684384"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07B1CBF9" w14:textId="77777777" w:rsidTr="00507A85">
        <w:tc>
          <w:tcPr>
            <w:tcW w:w="1049" w:type="pct"/>
            <w:tcBorders>
              <w:top w:val="single" w:sz="4" w:space="0" w:color="auto"/>
              <w:left w:val="single" w:sz="4" w:space="0" w:color="auto"/>
              <w:bottom w:val="single" w:sz="4" w:space="0" w:color="auto"/>
              <w:right w:val="single" w:sz="4" w:space="0" w:color="auto"/>
            </w:tcBorders>
          </w:tcPr>
          <w:p w14:paraId="682FC591"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0BBB4391"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2A1BCDC5"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B4C2C5A" w14:textId="77777777" w:rsidTr="00507A85">
        <w:tc>
          <w:tcPr>
            <w:tcW w:w="1049" w:type="pct"/>
            <w:tcBorders>
              <w:top w:val="single" w:sz="4" w:space="0" w:color="auto"/>
              <w:left w:val="single" w:sz="4" w:space="0" w:color="auto"/>
              <w:bottom w:val="single" w:sz="4" w:space="0" w:color="auto"/>
              <w:right w:val="single" w:sz="4" w:space="0" w:color="auto"/>
            </w:tcBorders>
          </w:tcPr>
          <w:p w14:paraId="4AEAB4EC"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292B94AF"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7F3B3FA"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5B669B64" w14:textId="77777777" w:rsidTr="00507A85">
        <w:tc>
          <w:tcPr>
            <w:tcW w:w="1049" w:type="pct"/>
            <w:tcBorders>
              <w:top w:val="single" w:sz="4" w:space="0" w:color="auto"/>
              <w:left w:val="single" w:sz="4" w:space="0" w:color="auto"/>
              <w:bottom w:val="single" w:sz="4" w:space="0" w:color="auto"/>
              <w:right w:val="single" w:sz="4" w:space="0" w:color="auto"/>
            </w:tcBorders>
          </w:tcPr>
          <w:p w14:paraId="244E4AD2"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9910C2"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D24E4B5" w14:textId="77777777" w:rsidR="00745851" w:rsidRPr="00DD1A20" w:rsidRDefault="00745851" w:rsidP="00507A85">
            <w:pPr>
              <w:spacing w:after="60"/>
              <w:rPr>
                <w:iCs/>
                <w:sz w:val="20"/>
              </w:rPr>
            </w:pPr>
            <w:r w:rsidRPr="00DD1A20">
              <w:rPr>
                <w:iCs/>
                <w:sz w:val="20"/>
              </w:rPr>
              <w:t>A QSE.</w:t>
            </w:r>
          </w:p>
        </w:tc>
      </w:tr>
      <w:tr w:rsidR="00745851" w:rsidRPr="00DD1A20" w14:paraId="0206A692" w14:textId="77777777" w:rsidTr="00507A85">
        <w:trPr>
          <w:trHeight w:val="143"/>
        </w:trPr>
        <w:tc>
          <w:tcPr>
            <w:tcW w:w="1049" w:type="pct"/>
            <w:tcBorders>
              <w:top w:val="single" w:sz="4" w:space="0" w:color="auto"/>
              <w:left w:val="single" w:sz="4" w:space="0" w:color="auto"/>
              <w:bottom w:val="single" w:sz="4" w:space="0" w:color="auto"/>
              <w:right w:val="single" w:sz="4" w:space="0" w:color="auto"/>
            </w:tcBorders>
          </w:tcPr>
          <w:p w14:paraId="0A64288B"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F740E79"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625C17B7" w14:textId="77777777" w:rsidR="00745851" w:rsidRPr="00DD1A20" w:rsidRDefault="00745851" w:rsidP="00507A85">
            <w:pPr>
              <w:spacing w:after="60"/>
              <w:rPr>
                <w:iCs/>
                <w:sz w:val="20"/>
              </w:rPr>
            </w:pPr>
            <w:r w:rsidRPr="00DD1A20">
              <w:rPr>
                <w:iCs/>
                <w:sz w:val="20"/>
              </w:rPr>
              <w:t>A Resource that is qualified to provide Reg-Down.</w:t>
            </w:r>
          </w:p>
        </w:tc>
      </w:tr>
    </w:tbl>
    <w:p w14:paraId="5430CF68" w14:textId="77777777" w:rsidR="00745851" w:rsidRPr="00DD1A20" w:rsidRDefault="00745851" w:rsidP="00745851">
      <w:pPr>
        <w:spacing w:before="240" w:after="240"/>
        <w:ind w:left="1440" w:hanging="720"/>
        <w:rPr>
          <w:iCs/>
        </w:rPr>
      </w:pPr>
      <w:r w:rsidRPr="00DD1A20">
        <w:rPr>
          <w:iCs/>
        </w:rPr>
        <w:t>(c)</w:t>
      </w:r>
      <w:r w:rsidRPr="00DD1A20">
        <w:rPr>
          <w:iCs/>
        </w:rPr>
        <w:tab/>
        <w:t>The t</w:t>
      </w:r>
      <w:r w:rsidRPr="00DD1A20">
        <w:t>otal charge of failure on Ancillary Service Supply Responsibility for</w:t>
      </w:r>
      <w:r w:rsidRPr="00DD1A20">
        <w:rPr>
          <w:iCs/>
        </w:rPr>
        <w:t xml:space="preserve"> RRS by QSE, if applicable:</w:t>
      </w:r>
    </w:p>
    <w:p w14:paraId="6F91B49A" w14:textId="77777777" w:rsidR="00745851" w:rsidRPr="00DD1A20" w:rsidRDefault="00745851" w:rsidP="00745851">
      <w:pPr>
        <w:spacing w:before="240" w:after="240"/>
        <w:ind w:left="2880" w:hanging="2160"/>
        <w:rPr>
          <w:b/>
          <w:i/>
          <w:vertAlign w:val="subscript"/>
        </w:rPr>
      </w:pPr>
      <w:r w:rsidRPr="00DD1A20">
        <w:rPr>
          <w:b/>
        </w:rPr>
        <w:t xml:space="preserve">RRFQAMTQSETOT </w:t>
      </w:r>
      <w:r w:rsidRPr="00DD1A20">
        <w:rPr>
          <w:b/>
          <w:i/>
          <w:vertAlign w:val="subscript"/>
        </w:rPr>
        <w:t>q</w:t>
      </w:r>
      <w:r w:rsidRPr="00DD1A20">
        <w:rPr>
          <w:b/>
          <w:i/>
          <w:vertAlign w:val="subscript"/>
        </w:rPr>
        <w:tab/>
      </w:r>
      <w:r w:rsidRPr="00DD1A20">
        <w:rPr>
          <w:b/>
        </w:rPr>
        <w:t>=</w:t>
      </w:r>
      <w:r w:rsidRPr="00DD1A20">
        <w:rPr>
          <w:b/>
        </w:rPr>
        <w:tab/>
        <w:t xml:space="preserve">RRFQAMT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RRRFQAMT </w:t>
      </w:r>
      <w:r w:rsidRPr="00DD1A20">
        <w:rPr>
          <w:b/>
          <w:i/>
          <w:vertAlign w:val="subscript"/>
        </w:rPr>
        <w:t>q</w:t>
      </w:r>
    </w:p>
    <w:p w14:paraId="43CA7766" w14:textId="77777777" w:rsidR="00745851" w:rsidRPr="00DD1A20" w:rsidRDefault="00745851" w:rsidP="00745851">
      <w:pPr>
        <w:spacing w:before="240" w:after="240"/>
        <w:ind w:left="1440" w:hanging="720"/>
        <w:rPr>
          <w:iCs/>
        </w:rPr>
      </w:pPr>
      <w:r w:rsidRPr="00DD1A20">
        <w:t>Where:</w:t>
      </w:r>
    </w:p>
    <w:p w14:paraId="49535CD8" w14:textId="77777777" w:rsidR="00745851" w:rsidRPr="00DD1A20" w:rsidRDefault="00745851" w:rsidP="00745851">
      <w:pPr>
        <w:spacing w:after="240"/>
        <w:ind w:left="2880" w:hanging="2160"/>
        <w:rPr>
          <w:bCs/>
        </w:rPr>
      </w:pPr>
      <w:r w:rsidRPr="00DD1A20">
        <w:t xml:space="preserve">RRFQAMT </w:t>
      </w:r>
      <w:r w:rsidRPr="00DD1A20">
        <w:rPr>
          <w:i/>
          <w:vertAlign w:val="subscript"/>
        </w:rPr>
        <w:t>q</w:t>
      </w:r>
      <w:r w:rsidRPr="00DD1A20">
        <w:t xml:space="preserve">    =</w:t>
      </w:r>
      <w:r w:rsidRPr="00DD1A20">
        <w:tab/>
        <w:t>Max</w:t>
      </w:r>
      <w:r w:rsidRPr="00DD1A20">
        <w:rPr>
          <w:iCs/>
        </w:rPr>
        <w:t>(</w:t>
      </w:r>
      <w:r w:rsidRPr="00DD1A20">
        <w:t xml:space="preserve">MCPCRR </w:t>
      </w:r>
      <w:r w:rsidRPr="00DD1A20">
        <w:rPr>
          <w:i/>
          <w:vertAlign w:val="subscript"/>
        </w:rPr>
        <w:t>m</w:t>
      </w:r>
      <w:r w:rsidRPr="00DD1A20">
        <w:t xml:space="preserve">, AVGRTASIP) * (RRFQ </w:t>
      </w:r>
      <w:r w:rsidRPr="00DD1A20">
        <w:rPr>
          <w:i/>
          <w:vertAlign w:val="subscript"/>
        </w:rPr>
        <w:t xml:space="preserve">q </w:t>
      </w:r>
      <w:r w:rsidRPr="00DD1A20">
        <w:t xml:space="preserve">+ TRRFQ </w:t>
      </w:r>
      <w:r w:rsidRPr="00DD1A20">
        <w:rPr>
          <w:i/>
          <w:vertAlign w:val="subscript"/>
        </w:rPr>
        <w:t>q</w:t>
      </w:r>
      <w:r w:rsidRPr="00DD1A20">
        <w:t>)</w:t>
      </w:r>
    </w:p>
    <w:p w14:paraId="1E1DADAD" w14:textId="77777777" w:rsidR="00745851" w:rsidRPr="00DD1A20" w:rsidRDefault="00745851" w:rsidP="00745851">
      <w:pPr>
        <w:spacing w:before="240" w:after="240"/>
        <w:ind w:left="2880" w:hanging="2160"/>
        <w:rPr>
          <w:bCs/>
          <w:i/>
          <w:vertAlign w:val="subscript"/>
        </w:rPr>
      </w:pPr>
      <w:r w:rsidRPr="00DD1A20">
        <w:t xml:space="preserve">RRRFQAMT </w:t>
      </w:r>
      <w:r w:rsidRPr="00DD1A20">
        <w:rPr>
          <w:i/>
          <w:vertAlign w:val="subscript"/>
        </w:rPr>
        <w:t>q</w:t>
      </w:r>
      <w:r w:rsidRPr="00DD1A20">
        <w:tab/>
      </w:r>
      <w:r w:rsidRPr="00DD1A20">
        <w:tab/>
        <w:t>=</w:t>
      </w:r>
      <w:r w:rsidRPr="00DD1A20">
        <w:tab/>
      </w:r>
      <w:r w:rsidRPr="00DD1A20">
        <w:rPr>
          <w:bCs/>
        </w:rPr>
        <w:t xml:space="preserve">MCPCRR </w:t>
      </w:r>
      <w:r w:rsidRPr="00DD1A20">
        <w:rPr>
          <w:bCs/>
          <w:i/>
          <w:vertAlign w:val="subscript"/>
        </w:rPr>
        <w:t>rs</w:t>
      </w:r>
      <w:r w:rsidRPr="00DD1A20">
        <w:rPr>
          <w:bCs/>
        </w:rPr>
        <w:t xml:space="preserve"> * RRRFQ </w:t>
      </w:r>
      <w:r w:rsidRPr="00DD1A20">
        <w:rPr>
          <w:i/>
          <w:vertAlign w:val="subscript"/>
        </w:rPr>
        <w:t>q,</w:t>
      </w:r>
      <w:r w:rsidRPr="00DD1A20">
        <w:rPr>
          <w:bCs/>
        </w:rPr>
        <w:t xml:space="preserve"> </w:t>
      </w:r>
      <w:r w:rsidRPr="00DD1A20">
        <w:rPr>
          <w:bCs/>
          <w:i/>
          <w:vertAlign w:val="subscript"/>
        </w:rPr>
        <w:t>rs</w:t>
      </w:r>
    </w:p>
    <w:p w14:paraId="739C8C34"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5359760B">
          <v:shape id="_x0000_i1342" type="#_x0000_t75" style="width:12pt;height:30pt" o:ole="">
            <v:imagedata r:id="rId418" o:title=""/>
          </v:shape>
          <o:OLEObject Type="Embed" ProgID="Equation.3" ShapeID="_x0000_i1342" DrawAspect="Content" ObjectID="_1804653825" r:id="rId424"/>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7BB963C" w14:textId="77777777" w:rsidR="00745851" w:rsidRPr="00DD1A20" w:rsidRDefault="00745851" w:rsidP="00745851">
      <w:pPr>
        <w:spacing w:after="240"/>
        <w:ind w:firstLine="720"/>
      </w:pPr>
      <w:r w:rsidRPr="00DD1A20">
        <w:t>Where for all Resources:</w:t>
      </w:r>
    </w:p>
    <w:p w14:paraId="527F52A3" w14:textId="77777777" w:rsidR="00745851" w:rsidRPr="00DD1A20" w:rsidRDefault="00745851" w:rsidP="00745851">
      <w:pPr>
        <w:spacing w:after="240"/>
        <w:ind w:leftChars="300" w:left="2880" w:hangingChars="900" w:hanging="2160"/>
        <w:rPr>
          <w:bCs/>
          <w:iCs/>
        </w:rPr>
      </w:pPr>
      <w:r w:rsidRPr="00DD1A20">
        <w:t xml:space="preserve">TRRFQ </w:t>
      </w:r>
      <w:r w:rsidRPr="00DD1A20">
        <w:rPr>
          <w:i/>
          <w:vertAlign w:val="subscript"/>
        </w:rPr>
        <w:t>q =</w:t>
      </w:r>
      <w:r w:rsidRPr="00DD1A20">
        <w:rPr>
          <w:iCs/>
        </w:rPr>
        <w:t xml:space="preserve"> Max([(</w:t>
      </w:r>
      <w:r w:rsidRPr="00DD1A20">
        <w:rPr>
          <w:bCs/>
          <w:lang w:val="fr-FR"/>
        </w:rPr>
        <w:t xml:space="preserve">SARRQ </w:t>
      </w:r>
      <w:r w:rsidRPr="00DD1A20">
        <w:rPr>
          <w:bCs/>
          <w:i/>
          <w:vertAlign w:val="subscript"/>
          <w:lang w:val="fr-FR"/>
        </w:rPr>
        <w:t xml:space="preserve">q </w:t>
      </w:r>
      <w:r w:rsidRPr="00DD1A20">
        <w:rPr>
          <w:bCs/>
          <w:iCs/>
        </w:rPr>
        <w:t>+ RRTRSQ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0973462C" wp14:editId="2657C6F3">
            <wp:extent cx="142875" cy="2762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(RTPCRR </w:t>
      </w:r>
      <w:r w:rsidRPr="00DD1A20">
        <w:rPr>
          <w:bCs/>
          <w:i/>
          <w:vertAlign w:val="subscript"/>
          <w:lang w:val="es-ES"/>
        </w:rPr>
        <w:t>q, m</w:t>
      </w:r>
      <w:r w:rsidRPr="00DD1A20">
        <w:rPr>
          <w:bCs/>
          <w:lang w:val="es-ES"/>
        </w:rPr>
        <w:t xml:space="preserve">) + PCRR </w:t>
      </w:r>
      <w:r w:rsidRPr="00DD1A20">
        <w:rPr>
          <w:bCs/>
          <w:i/>
          <w:vertAlign w:val="subscript"/>
          <w:lang w:val="es-ES"/>
        </w:rPr>
        <w:t>q</w:t>
      </w:r>
      <w:r w:rsidRPr="00DD1A20">
        <w:rPr>
          <w:bCs/>
          <w:lang w:val="es-ES"/>
        </w:rPr>
        <w:t xml:space="preserve"> + RUCRRQ </w:t>
      </w:r>
      <w:r w:rsidRPr="00DD1A20">
        <w:rPr>
          <w:bCs/>
          <w:i/>
          <w:vertAlign w:val="subscript"/>
          <w:lang w:val="es-ES"/>
        </w:rPr>
        <w:t>q</w:t>
      </w:r>
      <w:r w:rsidRPr="00DD1A20">
        <w:rPr>
          <w:bCs/>
          <w:lang w:val="es-ES"/>
        </w:rPr>
        <w:t>) – (</w:t>
      </w:r>
      <w:r w:rsidRPr="00DD1A20">
        <w:rPr>
          <w:bCs/>
          <w:iCs/>
        </w:rPr>
        <w:t>RRTRPQ</w:t>
      </w:r>
      <w:r w:rsidRPr="00DD1A20">
        <w:rPr>
          <w:bCs/>
          <w:i/>
          <w:vertAlign w:val="subscript"/>
          <w:lang w:val="es-ES"/>
        </w:rPr>
        <w:t xml:space="preserve"> q</w:t>
      </w:r>
      <w:r w:rsidRPr="00DD1A20">
        <w:rPr>
          <w:bCs/>
          <w:iCs/>
        </w:rPr>
        <w:t xml:space="preserve"> + </w:t>
      </w:r>
      <w:r w:rsidRPr="00DD1A20">
        <w:rPr>
          <w:bCs/>
          <w:lang w:val="es-ES"/>
        </w:rPr>
        <w:t xml:space="preserve">RRFQ </w:t>
      </w:r>
      <w:r w:rsidRPr="00DD1A20">
        <w:rPr>
          <w:bCs/>
          <w:i/>
          <w:vertAlign w:val="subscript"/>
          <w:lang w:val="es-ES"/>
        </w:rPr>
        <w:t>q</w:t>
      </w:r>
      <w:r w:rsidRPr="00DD1A20">
        <w:rPr>
          <w:bCs/>
          <w:lang w:val="es-ES"/>
        </w:rPr>
        <w:t xml:space="preserve"> + RRRFQ</w:t>
      </w:r>
      <w:r w:rsidRPr="00DD1A20">
        <w:rPr>
          <w:bCs/>
          <w:i/>
          <w:vertAlign w:val="subscript"/>
          <w:lang w:val="es-ES"/>
        </w:rPr>
        <w:t xml:space="preserve"> q</w:t>
      </w:r>
      <w:r w:rsidRPr="00DD1A20">
        <w:rPr>
          <w:bCs/>
          <w:lang w:val="es-ES"/>
        </w:rPr>
        <w:t xml:space="preserve"> + RRINFQ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A126421">
          <v:shape id="_x0000_i1343" type="#_x0000_t75" style="width:12pt;height:24pt" o:ole="">
            <v:imagedata r:id="rId159" o:title=""/>
          </v:shape>
          <o:OLEObject Type="Embed" ProgID="Equation.3" ShapeID="_x0000_i1343" DrawAspect="Content" ObjectID="_1804653826" r:id="rId425"/>
        </w:object>
      </w:r>
      <w:r w:rsidRPr="00DD1A20">
        <w:rPr>
          <w:noProof/>
          <w:position w:val="-22"/>
        </w:rPr>
        <w:t xml:space="preserve"> </w:t>
      </w:r>
      <w:r w:rsidRPr="00DD1A20">
        <w:rPr>
          <w:bCs/>
          <w:iCs/>
        </w:rPr>
        <w:t xml:space="preserve">TELRRSRC </w:t>
      </w:r>
      <w:r w:rsidRPr="00DD1A20">
        <w:rPr>
          <w:bCs/>
          <w:i/>
          <w:vertAlign w:val="subscript"/>
          <w:lang w:val="es-ES"/>
        </w:rPr>
        <w:t>q, r</w:t>
      </w:r>
      <w:r w:rsidRPr="00DD1A20">
        <w:rPr>
          <w:bCs/>
          <w:iCs/>
          <w:lang w:val="es-ES"/>
        </w:rPr>
        <w:t>, 0)</w:t>
      </w:r>
    </w:p>
    <w:p w14:paraId="7992250E"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RRS deployment event:</w:t>
      </w:r>
    </w:p>
    <w:p w14:paraId="76A4953A" w14:textId="77777777" w:rsidR="00745851" w:rsidRPr="00DD1A20" w:rsidRDefault="00745851" w:rsidP="00745851">
      <w:pPr>
        <w:spacing w:after="240"/>
        <w:ind w:leftChars="300" w:left="2880" w:hangingChars="900" w:hanging="2160"/>
        <w:rPr>
          <w:bCs/>
          <w:iCs/>
          <w:lang w:val="es-ES"/>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 </w:t>
      </w:r>
      <w:r w:rsidRPr="00DD1A20">
        <w:rPr>
          <w:bCs/>
          <w:i/>
          <w:vertAlign w:val="subscript"/>
          <w:lang w:val="es-ES"/>
        </w:rPr>
        <w:t>q, r</w:t>
      </w:r>
      <w:r w:rsidRPr="00DD1A20">
        <w:rPr>
          <w:bCs/>
          <w:iCs/>
          <w:lang w:val="es-ES"/>
        </w:rPr>
        <w:t xml:space="preserve">, TELRRSR </w:t>
      </w:r>
      <w:r w:rsidRPr="00DD1A20">
        <w:rPr>
          <w:bCs/>
          <w:i/>
          <w:vertAlign w:val="subscript"/>
          <w:lang w:val="es-ES"/>
        </w:rPr>
        <w:t>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 xml:space="preserve">which will be used from deployment </w:t>
      </w:r>
      <w:r w:rsidRPr="00DD1A20">
        <w:rPr>
          <w:bCs/>
          <w:iCs/>
          <w:lang w:val="es-ES"/>
        </w:rPr>
        <w:t>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sidRPr="00DD1A20">
        <w:t>will be the time of the first deployment</w:t>
      </w:r>
    </w:p>
    <w:p w14:paraId="22FDB7C0" w14:textId="77777777" w:rsidR="00745851" w:rsidRPr="00DD1A20" w:rsidRDefault="00745851" w:rsidP="00745851">
      <w:pPr>
        <w:spacing w:after="240"/>
        <w:ind w:leftChars="300" w:left="780" w:hangingChars="25" w:hanging="60"/>
        <w:rPr>
          <w:bCs/>
          <w:iCs/>
        </w:rPr>
      </w:pPr>
      <w:r w:rsidRPr="00DD1A20">
        <w:rPr>
          <w:bCs/>
          <w:iCs/>
        </w:rPr>
        <w:lastRenderedPageBreak/>
        <w:t>Where for Load Resources, other than Controllable Load Resources, prior to an RRS deployment event:</w:t>
      </w:r>
    </w:p>
    <w:p w14:paraId="7A7F06F4" w14:textId="77777777" w:rsidR="00745851" w:rsidRPr="00DD1A20" w:rsidRDefault="00745851" w:rsidP="00745851">
      <w:pPr>
        <w:spacing w:after="240"/>
        <w:ind w:leftChars="300" w:left="2880" w:hangingChars="900" w:hanging="2160"/>
        <w:rPr>
          <w:bCs/>
          <w:iCs/>
          <w:lang w:val="fr-FR"/>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sidRPr="00DD1A20">
        <w:rPr>
          <w:bCs/>
          <w:iCs/>
          <w:lang w:val="es-ES"/>
        </w:rPr>
        <w:t xml:space="preserve">, TELRRSR </w:t>
      </w:r>
      <w:r w:rsidRPr="00DD1A20">
        <w:rPr>
          <w:bCs/>
          <w:i/>
          <w:vertAlign w:val="subscript"/>
          <w:lang w:val="es-ES"/>
        </w:rPr>
        <w:t>q, r</w:t>
      </w:r>
      <w:r w:rsidRPr="00DD1A20">
        <w:rPr>
          <w:bCs/>
          <w:iCs/>
          <w:lang w:val="es-ES"/>
        </w:rPr>
        <w:t xml:space="preserve">) </w:t>
      </w:r>
    </w:p>
    <w:p w14:paraId="763AC668" w14:textId="77777777" w:rsidR="00745851" w:rsidRPr="00DD1A20" w:rsidRDefault="00745851" w:rsidP="00745851">
      <w:pPr>
        <w:spacing w:after="240"/>
        <w:ind w:leftChars="300" w:left="2880" w:hangingChars="900" w:hanging="2160"/>
        <w:rPr>
          <w:bCs/>
          <w:lang w:val="fr-FR"/>
        </w:rPr>
      </w:pPr>
      <w:r w:rsidRPr="00DD1A20">
        <w:rPr>
          <w:bCs/>
          <w:lang w:val="fr-FR"/>
        </w:rPr>
        <w:t xml:space="preserve">SARRQ </w:t>
      </w:r>
      <w:r w:rsidRPr="00DD1A20">
        <w:rPr>
          <w:bCs/>
          <w:i/>
          <w:vertAlign w:val="subscript"/>
          <w:lang w:val="fr-FR"/>
        </w:rPr>
        <w:t xml:space="preserve">q </w:t>
      </w:r>
      <w:r w:rsidRPr="00DD1A20">
        <w:rPr>
          <w:bCs/>
          <w:lang w:val="fr-FR"/>
        </w:rPr>
        <w:t xml:space="preserve">= DASARRQ </w:t>
      </w:r>
      <w:r w:rsidRPr="00DD1A20">
        <w:rPr>
          <w:bCs/>
          <w:i/>
          <w:vertAlign w:val="subscript"/>
          <w:lang w:val="fr-FR"/>
        </w:rPr>
        <w:t>q</w:t>
      </w:r>
      <w:r w:rsidRPr="00DD1A20">
        <w:rPr>
          <w:bCs/>
          <w:lang w:val="fr-FR"/>
        </w:rPr>
        <w:t xml:space="preserve"> + RTSARRQ </w:t>
      </w:r>
      <w:r w:rsidRPr="00DD1A20">
        <w:rPr>
          <w:bCs/>
          <w:i/>
          <w:vertAlign w:val="subscript"/>
          <w:lang w:val="fr-FR"/>
        </w:rPr>
        <w:t>q</w:t>
      </w:r>
    </w:p>
    <w:p w14:paraId="47DA8914"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840"/>
        <w:gridCol w:w="6560"/>
      </w:tblGrid>
      <w:tr w:rsidR="00745851" w:rsidRPr="00DD1A20" w14:paraId="1859F8BB" w14:textId="77777777" w:rsidTr="00507A85">
        <w:tc>
          <w:tcPr>
            <w:tcW w:w="1043" w:type="pct"/>
          </w:tcPr>
          <w:p w14:paraId="25C9A380" w14:textId="77777777" w:rsidR="00745851" w:rsidRPr="00DD1A20" w:rsidRDefault="00745851" w:rsidP="00507A85">
            <w:pPr>
              <w:spacing w:after="240"/>
              <w:rPr>
                <w:b/>
                <w:iCs/>
                <w:sz w:val="20"/>
              </w:rPr>
            </w:pPr>
            <w:r w:rsidRPr="00DD1A20">
              <w:rPr>
                <w:b/>
                <w:iCs/>
                <w:sz w:val="20"/>
              </w:rPr>
              <w:t>Variable</w:t>
            </w:r>
          </w:p>
        </w:tc>
        <w:tc>
          <w:tcPr>
            <w:tcW w:w="449" w:type="pct"/>
          </w:tcPr>
          <w:p w14:paraId="43923A2B" w14:textId="77777777" w:rsidR="00745851" w:rsidRPr="00DD1A20" w:rsidRDefault="00745851" w:rsidP="00507A85">
            <w:pPr>
              <w:spacing w:after="240"/>
              <w:rPr>
                <w:b/>
                <w:iCs/>
                <w:sz w:val="20"/>
              </w:rPr>
            </w:pPr>
            <w:r w:rsidRPr="00DD1A20">
              <w:rPr>
                <w:b/>
                <w:iCs/>
                <w:sz w:val="20"/>
              </w:rPr>
              <w:t>Unit</w:t>
            </w:r>
          </w:p>
        </w:tc>
        <w:tc>
          <w:tcPr>
            <w:tcW w:w="3508" w:type="pct"/>
          </w:tcPr>
          <w:p w14:paraId="5BCE6733" w14:textId="77777777" w:rsidR="00745851" w:rsidRPr="00DD1A20" w:rsidRDefault="00745851" w:rsidP="00507A85">
            <w:pPr>
              <w:spacing w:after="240"/>
              <w:rPr>
                <w:b/>
                <w:iCs/>
                <w:sz w:val="20"/>
              </w:rPr>
            </w:pPr>
            <w:r w:rsidRPr="00DD1A20">
              <w:rPr>
                <w:b/>
                <w:iCs/>
                <w:sz w:val="20"/>
              </w:rPr>
              <w:t>Description</w:t>
            </w:r>
          </w:p>
        </w:tc>
      </w:tr>
      <w:tr w:rsidR="00745851" w:rsidRPr="00DD1A20" w14:paraId="282D1D16" w14:textId="77777777" w:rsidTr="00507A85">
        <w:tc>
          <w:tcPr>
            <w:tcW w:w="1043" w:type="pct"/>
          </w:tcPr>
          <w:p w14:paraId="4EA7D24F" w14:textId="77777777" w:rsidR="00745851" w:rsidRPr="00DD1A20" w:rsidRDefault="00745851" w:rsidP="00507A85">
            <w:pPr>
              <w:spacing w:after="60"/>
              <w:rPr>
                <w:iCs/>
                <w:sz w:val="20"/>
              </w:rPr>
            </w:pPr>
            <w:r w:rsidRPr="00DD1A20">
              <w:rPr>
                <w:iCs/>
                <w:sz w:val="20"/>
              </w:rPr>
              <w:t>RRFQAMTQSETOT</w:t>
            </w:r>
            <w:r w:rsidRPr="00DD1A20">
              <w:rPr>
                <w:i/>
                <w:iCs/>
                <w:sz w:val="20"/>
              </w:rPr>
              <w:t xml:space="preserve"> </w:t>
            </w:r>
            <w:r w:rsidRPr="00DD1A20">
              <w:rPr>
                <w:i/>
                <w:iCs/>
                <w:sz w:val="20"/>
                <w:vertAlign w:val="subscript"/>
              </w:rPr>
              <w:t>q</w:t>
            </w:r>
          </w:p>
        </w:tc>
        <w:tc>
          <w:tcPr>
            <w:tcW w:w="449" w:type="pct"/>
          </w:tcPr>
          <w:p w14:paraId="173BF944" w14:textId="77777777" w:rsidR="00745851" w:rsidRPr="00DD1A20" w:rsidRDefault="00745851" w:rsidP="00507A85">
            <w:pPr>
              <w:spacing w:after="60"/>
              <w:rPr>
                <w:iCs/>
                <w:sz w:val="20"/>
              </w:rPr>
            </w:pPr>
            <w:r w:rsidRPr="00DD1A20">
              <w:rPr>
                <w:iCs/>
                <w:sz w:val="20"/>
              </w:rPr>
              <w:t>$</w:t>
            </w:r>
          </w:p>
        </w:tc>
        <w:tc>
          <w:tcPr>
            <w:tcW w:w="3508" w:type="pct"/>
          </w:tcPr>
          <w:p w14:paraId="72D67400" w14:textId="77777777" w:rsidR="00745851" w:rsidRPr="00DD1A20" w:rsidRDefault="00745851" w:rsidP="00507A85">
            <w:pPr>
              <w:spacing w:after="60"/>
              <w:rPr>
                <w:i/>
                <w:iCs/>
                <w:sz w:val="20"/>
              </w:rPr>
            </w:pPr>
            <w:r w:rsidRPr="00DD1A20">
              <w:rPr>
                <w:i/>
                <w:iCs/>
                <w:sz w:val="20"/>
              </w:rPr>
              <w:t>Responsive Reserve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RRS, for the hour.</w:t>
            </w:r>
          </w:p>
        </w:tc>
      </w:tr>
      <w:tr w:rsidR="00745851" w:rsidRPr="00DD1A20" w14:paraId="218FDD19" w14:textId="77777777" w:rsidTr="00507A85">
        <w:tc>
          <w:tcPr>
            <w:tcW w:w="1043" w:type="pct"/>
          </w:tcPr>
          <w:p w14:paraId="65C19CD9" w14:textId="77777777" w:rsidR="00745851" w:rsidRPr="00DD1A20" w:rsidRDefault="00745851" w:rsidP="00507A85">
            <w:pPr>
              <w:spacing w:after="60"/>
              <w:rPr>
                <w:iCs/>
                <w:sz w:val="20"/>
              </w:rPr>
            </w:pPr>
            <w:r w:rsidRPr="00DD1A20">
              <w:rPr>
                <w:iCs/>
                <w:sz w:val="20"/>
              </w:rPr>
              <w:t>RRRFQAMT</w:t>
            </w:r>
            <w:r w:rsidRPr="00DD1A20">
              <w:rPr>
                <w:i/>
                <w:iCs/>
                <w:sz w:val="20"/>
              </w:rPr>
              <w:t xml:space="preserve"> </w:t>
            </w:r>
            <w:r w:rsidRPr="00DD1A20">
              <w:rPr>
                <w:i/>
                <w:iCs/>
                <w:sz w:val="20"/>
                <w:vertAlign w:val="subscript"/>
              </w:rPr>
              <w:t>q</w:t>
            </w:r>
          </w:p>
        </w:tc>
        <w:tc>
          <w:tcPr>
            <w:tcW w:w="449" w:type="pct"/>
          </w:tcPr>
          <w:p w14:paraId="4FAB1217" w14:textId="77777777" w:rsidR="00745851" w:rsidRPr="00DD1A20" w:rsidRDefault="00745851" w:rsidP="00507A85">
            <w:pPr>
              <w:spacing w:after="60"/>
              <w:rPr>
                <w:iCs/>
                <w:sz w:val="20"/>
              </w:rPr>
            </w:pPr>
            <w:r w:rsidRPr="00DD1A20">
              <w:rPr>
                <w:iCs/>
                <w:sz w:val="20"/>
              </w:rPr>
              <w:t>$</w:t>
            </w:r>
          </w:p>
        </w:tc>
        <w:tc>
          <w:tcPr>
            <w:tcW w:w="3508" w:type="pct"/>
          </w:tcPr>
          <w:p w14:paraId="70E1CD5A"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RRS, for the hour.</w:t>
            </w:r>
          </w:p>
        </w:tc>
      </w:tr>
      <w:tr w:rsidR="00745851" w:rsidRPr="00DD1A20" w14:paraId="20952256" w14:textId="77777777" w:rsidTr="00507A85">
        <w:tc>
          <w:tcPr>
            <w:tcW w:w="1043" w:type="pct"/>
          </w:tcPr>
          <w:p w14:paraId="2721D509" w14:textId="77777777" w:rsidR="00745851" w:rsidRPr="00DD1A20" w:rsidRDefault="00745851" w:rsidP="00507A85">
            <w:pPr>
              <w:spacing w:after="60"/>
              <w:rPr>
                <w:iCs/>
                <w:sz w:val="20"/>
              </w:rPr>
            </w:pPr>
            <w:r w:rsidRPr="00DD1A20">
              <w:rPr>
                <w:iCs/>
                <w:sz w:val="20"/>
              </w:rPr>
              <w:t>RRFQAMT</w:t>
            </w:r>
            <w:r w:rsidRPr="00DD1A20">
              <w:rPr>
                <w:i/>
                <w:iCs/>
                <w:sz w:val="20"/>
              </w:rPr>
              <w:t xml:space="preserve"> </w:t>
            </w:r>
            <w:r w:rsidRPr="00DD1A20">
              <w:rPr>
                <w:i/>
                <w:iCs/>
                <w:sz w:val="20"/>
                <w:vertAlign w:val="subscript"/>
              </w:rPr>
              <w:t>q</w:t>
            </w:r>
          </w:p>
        </w:tc>
        <w:tc>
          <w:tcPr>
            <w:tcW w:w="449" w:type="pct"/>
          </w:tcPr>
          <w:p w14:paraId="57F682A6" w14:textId="77777777" w:rsidR="00745851" w:rsidRPr="00DD1A20" w:rsidRDefault="00745851" w:rsidP="00507A85">
            <w:pPr>
              <w:spacing w:after="60"/>
              <w:rPr>
                <w:iCs/>
                <w:sz w:val="20"/>
              </w:rPr>
            </w:pPr>
            <w:r w:rsidRPr="00DD1A20">
              <w:rPr>
                <w:iCs/>
                <w:sz w:val="20"/>
              </w:rPr>
              <w:t>$</w:t>
            </w:r>
          </w:p>
        </w:tc>
        <w:tc>
          <w:tcPr>
            <w:tcW w:w="3508" w:type="pct"/>
          </w:tcPr>
          <w:p w14:paraId="26FF05FA" w14:textId="77777777" w:rsidR="00745851" w:rsidRPr="00DD1A20" w:rsidRDefault="00745851" w:rsidP="00507A85">
            <w:pPr>
              <w:spacing w:after="60"/>
              <w:rPr>
                <w:iCs/>
                <w:sz w:val="20"/>
              </w:rPr>
            </w:pP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RRS, for the hour.</w:t>
            </w:r>
          </w:p>
        </w:tc>
      </w:tr>
      <w:tr w:rsidR="00745851" w:rsidRPr="00DD1A20" w14:paraId="57E75AFE" w14:textId="77777777" w:rsidTr="00507A85">
        <w:tc>
          <w:tcPr>
            <w:tcW w:w="1043" w:type="pct"/>
            <w:tcBorders>
              <w:top w:val="single" w:sz="4" w:space="0" w:color="auto"/>
              <w:left w:val="single" w:sz="4" w:space="0" w:color="auto"/>
              <w:bottom w:val="single" w:sz="4" w:space="0" w:color="auto"/>
              <w:right w:val="single" w:sz="4" w:space="0" w:color="auto"/>
            </w:tcBorders>
          </w:tcPr>
          <w:p w14:paraId="145300E8" w14:textId="77777777" w:rsidR="00745851" w:rsidRPr="00DD1A20" w:rsidRDefault="00745851" w:rsidP="00507A85">
            <w:pPr>
              <w:spacing w:after="60"/>
              <w:rPr>
                <w:iCs/>
                <w:sz w:val="20"/>
              </w:rPr>
            </w:pPr>
            <w:r w:rsidRPr="00DD1A20">
              <w:rPr>
                <w:iCs/>
                <w:sz w:val="20"/>
              </w:rPr>
              <w:t xml:space="preserve">MCPCRR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4F567895" w14:textId="77777777" w:rsidR="00745851" w:rsidRPr="00DD1A20" w:rsidRDefault="00745851" w:rsidP="00507A85">
            <w:pPr>
              <w:spacing w:after="60"/>
              <w:rPr>
                <w:iCs/>
                <w:sz w:val="20"/>
              </w:rPr>
            </w:pPr>
            <w:r w:rsidRPr="00DD1A20">
              <w:rPr>
                <w:iCs/>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435CBDBA" w14:textId="77777777" w:rsidR="00745851" w:rsidRPr="00DD1A20" w:rsidRDefault="00745851" w:rsidP="00507A85">
            <w:pPr>
              <w:spacing w:after="60"/>
              <w:rPr>
                <w:i/>
                <w:iCs/>
                <w:sz w:val="20"/>
              </w:rPr>
            </w:pPr>
            <w:r w:rsidRPr="00DD1A20">
              <w:rPr>
                <w:i/>
                <w:iCs/>
                <w:sz w:val="20"/>
              </w:rPr>
              <w:t>Market Clearing Price for Capacity for Responsive Reserve per market—</w:t>
            </w:r>
            <w:r w:rsidRPr="00DD1A20">
              <w:rPr>
                <w:iCs/>
                <w:sz w:val="20"/>
              </w:rPr>
              <w:t xml:space="preserve">The MCPC for RRS in the market </w:t>
            </w:r>
            <w:r w:rsidRPr="00DD1A20">
              <w:rPr>
                <w:i/>
                <w:iCs/>
                <w:sz w:val="20"/>
              </w:rPr>
              <w:t>m</w:t>
            </w:r>
            <w:r w:rsidRPr="00DD1A20">
              <w:rPr>
                <w:iCs/>
                <w:sz w:val="20"/>
              </w:rPr>
              <w:t>, for the hour.</w:t>
            </w:r>
          </w:p>
        </w:tc>
      </w:tr>
      <w:tr w:rsidR="00745851" w:rsidRPr="00DD1A20" w14:paraId="46409BE4" w14:textId="77777777" w:rsidTr="00507A85">
        <w:tc>
          <w:tcPr>
            <w:tcW w:w="1043" w:type="pct"/>
            <w:tcBorders>
              <w:top w:val="single" w:sz="4" w:space="0" w:color="auto"/>
              <w:left w:val="single" w:sz="4" w:space="0" w:color="auto"/>
              <w:bottom w:val="single" w:sz="4" w:space="0" w:color="auto"/>
              <w:right w:val="single" w:sz="4" w:space="0" w:color="auto"/>
            </w:tcBorders>
          </w:tcPr>
          <w:p w14:paraId="619A949E" w14:textId="77777777" w:rsidR="00745851" w:rsidRPr="00DD1A20" w:rsidRDefault="00745851" w:rsidP="00507A85">
            <w:pPr>
              <w:spacing w:after="60"/>
              <w:rPr>
                <w:iCs/>
                <w:sz w:val="20"/>
              </w:rPr>
            </w:pPr>
            <w:r w:rsidRPr="00DD1A20">
              <w:rPr>
                <w:sz w:val="20"/>
              </w:rPr>
              <w:t xml:space="preserve">MCPCRR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02446325"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149C2B94" w14:textId="77777777" w:rsidR="00745851" w:rsidRPr="00DD1A20" w:rsidRDefault="00745851" w:rsidP="00507A85">
            <w:pPr>
              <w:spacing w:after="60"/>
              <w:rPr>
                <w:i/>
                <w:iCs/>
                <w:sz w:val="20"/>
              </w:rPr>
            </w:pPr>
            <w:r w:rsidRPr="00DD1A20">
              <w:rPr>
                <w:i/>
                <w:sz w:val="20"/>
              </w:rPr>
              <w:t>Market Clearing Price for Capacity for Responsive Reserve per RSASM—</w:t>
            </w:r>
            <w:r w:rsidRPr="00DD1A20">
              <w:rPr>
                <w:sz w:val="20"/>
              </w:rPr>
              <w:t xml:space="preserve">The MCPC for RRS in the RSASM </w:t>
            </w:r>
            <w:r w:rsidRPr="00DD1A20">
              <w:rPr>
                <w:i/>
                <w:sz w:val="20"/>
              </w:rPr>
              <w:t>rs</w:t>
            </w:r>
            <w:r w:rsidRPr="00DD1A20">
              <w:rPr>
                <w:sz w:val="20"/>
              </w:rPr>
              <w:t>, for the hour.</w:t>
            </w:r>
          </w:p>
        </w:tc>
      </w:tr>
      <w:tr w:rsidR="00745851" w:rsidRPr="00DD1A20" w14:paraId="67B090B9" w14:textId="77777777" w:rsidTr="00507A85">
        <w:tc>
          <w:tcPr>
            <w:tcW w:w="1043" w:type="pct"/>
            <w:tcBorders>
              <w:top w:val="single" w:sz="4" w:space="0" w:color="auto"/>
              <w:left w:val="single" w:sz="4" w:space="0" w:color="auto"/>
              <w:bottom w:val="single" w:sz="4" w:space="0" w:color="auto"/>
              <w:right w:val="single" w:sz="4" w:space="0" w:color="auto"/>
            </w:tcBorders>
          </w:tcPr>
          <w:p w14:paraId="37A9637A" w14:textId="77777777" w:rsidR="00745851" w:rsidRPr="00DD1A20" w:rsidRDefault="00745851" w:rsidP="00507A85">
            <w:pPr>
              <w:spacing w:after="60"/>
              <w:rPr>
                <w:iCs/>
                <w:sz w:val="20"/>
              </w:rPr>
            </w:pPr>
            <w:r w:rsidRPr="00DD1A20">
              <w:rPr>
                <w:iCs/>
                <w:sz w:val="20"/>
              </w:rPr>
              <w:t xml:space="preserve">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85A1D81" w14:textId="77777777" w:rsidR="00745851" w:rsidRPr="00DD1A20" w:rsidRDefault="00745851" w:rsidP="00507A85">
            <w:pPr>
              <w:spacing w:after="60"/>
              <w:rPr>
                <w:iCs/>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42AC411" w14:textId="77777777" w:rsidR="00745851" w:rsidRPr="00DD1A20" w:rsidRDefault="00745851" w:rsidP="00507A85">
            <w:pPr>
              <w:spacing w:after="60"/>
              <w:rPr>
                <w:i/>
                <w:iCs/>
                <w:sz w:val="20"/>
              </w:rPr>
            </w:pPr>
            <w:r w:rsidRPr="00DD1A20">
              <w:rPr>
                <w:i/>
                <w:iCs/>
                <w:sz w:val="20"/>
              </w:rPr>
              <w:t>Responsive Reserve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RRS, for the hour.</w:t>
            </w:r>
          </w:p>
        </w:tc>
      </w:tr>
      <w:tr w:rsidR="00745851" w:rsidRPr="00DD1A20" w14:paraId="42143614" w14:textId="77777777" w:rsidTr="00507A85">
        <w:tc>
          <w:tcPr>
            <w:tcW w:w="1043" w:type="pct"/>
            <w:tcBorders>
              <w:top w:val="single" w:sz="4" w:space="0" w:color="auto"/>
              <w:left w:val="single" w:sz="4" w:space="0" w:color="auto"/>
              <w:bottom w:val="single" w:sz="4" w:space="0" w:color="auto"/>
              <w:right w:val="single" w:sz="4" w:space="0" w:color="auto"/>
            </w:tcBorders>
          </w:tcPr>
          <w:p w14:paraId="7BACED28" w14:textId="77777777" w:rsidR="00745851" w:rsidRPr="00DD1A20" w:rsidRDefault="00745851" w:rsidP="00507A85">
            <w:pPr>
              <w:spacing w:after="60"/>
              <w:rPr>
                <w:iCs/>
                <w:sz w:val="20"/>
              </w:rPr>
            </w:pPr>
            <w:r w:rsidRPr="00DD1A20">
              <w:rPr>
                <w:sz w:val="20"/>
              </w:rPr>
              <w:t>RRRFQ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49" w:type="pct"/>
            <w:tcBorders>
              <w:top w:val="single" w:sz="4" w:space="0" w:color="auto"/>
              <w:left w:val="single" w:sz="4" w:space="0" w:color="auto"/>
              <w:bottom w:val="single" w:sz="4" w:space="0" w:color="auto"/>
              <w:right w:val="single" w:sz="4" w:space="0" w:color="auto"/>
            </w:tcBorders>
          </w:tcPr>
          <w:p w14:paraId="34132393" w14:textId="77777777" w:rsidR="00745851" w:rsidRPr="00DD1A20" w:rsidRDefault="00745851" w:rsidP="00507A85">
            <w:pPr>
              <w:spacing w:after="60"/>
              <w:rPr>
                <w:iCs/>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5D48849C" w14:textId="77777777" w:rsidR="00745851" w:rsidRPr="00DD1A20" w:rsidRDefault="00745851" w:rsidP="00507A85">
            <w:pPr>
              <w:spacing w:after="60"/>
              <w:rPr>
                <w:iCs/>
                <w:sz w:val="20"/>
              </w:rPr>
            </w:pPr>
            <w:r w:rsidRPr="00DD1A20">
              <w:rPr>
                <w:i/>
                <w:sz w:val="20"/>
              </w:rPr>
              <w:t>Reconfiguration Responsive 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RRS, for the hour.</w:t>
            </w:r>
          </w:p>
        </w:tc>
      </w:tr>
      <w:tr w:rsidR="00745851" w:rsidRPr="00DD1A20" w14:paraId="28D9F4EB" w14:textId="77777777" w:rsidTr="00507A85">
        <w:tc>
          <w:tcPr>
            <w:tcW w:w="1043" w:type="pct"/>
            <w:tcBorders>
              <w:top w:val="single" w:sz="4" w:space="0" w:color="auto"/>
              <w:left w:val="single" w:sz="4" w:space="0" w:color="auto"/>
              <w:bottom w:val="single" w:sz="4" w:space="0" w:color="auto"/>
              <w:right w:val="single" w:sz="4" w:space="0" w:color="auto"/>
            </w:tcBorders>
          </w:tcPr>
          <w:p w14:paraId="1C6B7C34" w14:textId="77777777" w:rsidR="00745851" w:rsidRPr="00DD1A20" w:rsidRDefault="00745851" w:rsidP="00507A85">
            <w:pPr>
              <w:spacing w:after="60"/>
              <w:rPr>
                <w:bCs/>
                <w:iCs/>
                <w:sz w:val="20"/>
                <w:lang w:val="fr-FR"/>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2888FAF"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2BFD20A4"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92C3665" w14:textId="77777777" w:rsidTr="00507A85">
        <w:tc>
          <w:tcPr>
            <w:tcW w:w="1043" w:type="pct"/>
            <w:tcBorders>
              <w:top w:val="single" w:sz="4" w:space="0" w:color="auto"/>
              <w:left w:val="single" w:sz="4" w:space="0" w:color="auto"/>
              <w:bottom w:val="single" w:sz="4" w:space="0" w:color="auto"/>
              <w:right w:val="single" w:sz="4" w:space="0" w:color="auto"/>
            </w:tcBorders>
          </w:tcPr>
          <w:p w14:paraId="4C959DD5"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22D4D2A4"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59A1A462"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1B08F4D4" w14:textId="77777777" w:rsidTr="00507A85">
        <w:tc>
          <w:tcPr>
            <w:tcW w:w="1043" w:type="pct"/>
            <w:tcBorders>
              <w:top w:val="single" w:sz="4" w:space="0" w:color="auto"/>
              <w:left w:val="single" w:sz="4" w:space="0" w:color="auto"/>
              <w:bottom w:val="single" w:sz="4" w:space="0" w:color="auto"/>
              <w:right w:val="single" w:sz="4" w:space="0" w:color="auto"/>
            </w:tcBorders>
          </w:tcPr>
          <w:p w14:paraId="202F7EA9" w14:textId="77777777" w:rsidR="00745851" w:rsidRPr="00DD1A20" w:rsidRDefault="00745851" w:rsidP="00507A85">
            <w:pPr>
              <w:spacing w:after="60"/>
              <w:rPr>
                <w:bCs/>
                <w:iCs/>
                <w:sz w:val="20"/>
                <w:lang w:val="fr-FR"/>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591AD530"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75716A53" w14:textId="77777777" w:rsidR="00745851" w:rsidRPr="00DD1A20" w:rsidRDefault="00745851" w:rsidP="00507A85">
            <w:pPr>
              <w:spacing w:after="60"/>
              <w:rPr>
                <w:i/>
                <w:iCs/>
                <w:sz w:val="20"/>
              </w:rPr>
            </w:pPr>
            <w:r w:rsidRPr="00DD1A20">
              <w:rPr>
                <w:i/>
                <w:iCs/>
                <w:sz w:val="20"/>
              </w:rPr>
              <w:t xml:space="preserve">Average Real-Time </w:t>
            </w:r>
            <w:r w:rsidRPr="00DD1A20">
              <w:rPr>
                <w:i/>
                <w:sz w:val="20"/>
              </w:rPr>
              <w:t xml:space="preserve">Ancillary Service Imbalance </w:t>
            </w:r>
            <w:r w:rsidRPr="00DD1A20">
              <w:rPr>
                <w:i/>
                <w:iCs/>
                <w:sz w:val="20"/>
              </w:rPr>
              <w:t>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27C08B3F" w14:textId="77777777" w:rsidTr="00507A85">
        <w:tc>
          <w:tcPr>
            <w:tcW w:w="1043" w:type="pct"/>
            <w:tcBorders>
              <w:top w:val="single" w:sz="4" w:space="0" w:color="auto"/>
              <w:left w:val="single" w:sz="4" w:space="0" w:color="auto"/>
              <w:bottom w:val="single" w:sz="4" w:space="0" w:color="auto"/>
              <w:right w:val="single" w:sz="4" w:space="0" w:color="auto"/>
            </w:tcBorders>
          </w:tcPr>
          <w:p w14:paraId="41A53A77" w14:textId="77777777" w:rsidR="00745851" w:rsidRPr="00DD1A20" w:rsidRDefault="00745851" w:rsidP="00507A85">
            <w:pPr>
              <w:spacing w:after="60"/>
              <w:rPr>
                <w:sz w:val="20"/>
              </w:rPr>
            </w:pPr>
            <w:r w:rsidRPr="00DD1A20">
              <w:rPr>
                <w:bCs/>
                <w:iCs/>
                <w:sz w:val="20"/>
                <w:lang w:val="fr-FR"/>
              </w:rPr>
              <w:t xml:space="preserve">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AC0ABB6"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C886611" w14:textId="77777777" w:rsidR="00745851" w:rsidRPr="00DD1A20" w:rsidRDefault="00745851" w:rsidP="00507A85">
            <w:pPr>
              <w:spacing w:after="60"/>
              <w:rPr>
                <w:i/>
                <w:sz w:val="20"/>
              </w:rPr>
            </w:pPr>
            <w:r w:rsidRPr="00DD1A20">
              <w:rPr>
                <w:i/>
                <w:iCs/>
                <w:sz w:val="20"/>
              </w:rPr>
              <w:t>Total Self-Arranged Responsive Reserve Quantity per QSE for all markets</w:t>
            </w:r>
            <w:r w:rsidRPr="00DD1A20">
              <w:rPr>
                <w:iCs/>
                <w:sz w:val="20"/>
              </w:rPr>
              <w:t xml:space="preserve">—The sum of all self-arranged RRS quantities submitted by QSE </w:t>
            </w:r>
            <w:r w:rsidRPr="00DD1A20">
              <w:rPr>
                <w:i/>
                <w:iCs/>
                <w:sz w:val="20"/>
              </w:rPr>
              <w:t>q</w:t>
            </w:r>
            <w:r w:rsidRPr="00DD1A20">
              <w:rPr>
                <w:iCs/>
                <w:sz w:val="20"/>
              </w:rPr>
              <w:t xml:space="preserve"> for DAM and all SASMs.</w:t>
            </w:r>
          </w:p>
        </w:tc>
      </w:tr>
      <w:tr w:rsidR="00745851" w:rsidRPr="00DD1A20" w14:paraId="6C656E5A" w14:textId="77777777" w:rsidTr="00507A85">
        <w:tc>
          <w:tcPr>
            <w:tcW w:w="1043" w:type="pct"/>
            <w:tcBorders>
              <w:top w:val="single" w:sz="4" w:space="0" w:color="auto"/>
              <w:left w:val="single" w:sz="4" w:space="0" w:color="auto"/>
              <w:bottom w:val="single" w:sz="4" w:space="0" w:color="auto"/>
              <w:right w:val="single" w:sz="4" w:space="0" w:color="auto"/>
            </w:tcBorders>
          </w:tcPr>
          <w:p w14:paraId="20AAA709" w14:textId="77777777" w:rsidR="00745851" w:rsidRPr="00DD1A20" w:rsidRDefault="00745851" w:rsidP="00507A85">
            <w:pPr>
              <w:spacing w:after="60"/>
              <w:rPr>
                <w:sz w:val="20"/>
              </w:rPr>
            </w:pPr>
            <w:r w:rsidRPr="00DD1A20">
              <w:rPr>
                <w:bCs/>
                <w:sz w:val="20"/>
              </w:rPr>
              <w:t>RRTRSQ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4DD6D21F"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47BE89" w14:textId="77777777" w:rsidR="00745851" w:rsidRPr="00DD1A20" w:rsidRDefault="00745851" w:rsidP="00507A85">
            <w:pPr>
              <w:spacing w:after="60"/>
              <w:rPr>
                <w:i/>
                <w:sz w:val="20"/>
              </w:rPr>
            </w:pPr>
            <w:r w:rsidRPr="00DD1A20">
              <w:rPr>
                <w:i/>
                <w:sz w:val="20"/>
              </w:rPr>
              <w:t>Responsive Reserve Trade Sale per QSE</w:t>
            </w:r>
            <w:r w:rsidRPr="00DD1A20">
              <w:rPr>
                <w:iCs/>
                <w:sz w:val="20"/>
              </w:rPr>
              <w:t xml:space="preserve">—QSE </w:t>
            </w:r>
            <w:r w:rsidRPr="00DD1A20">
              <w:rPr>
                <w:i/>
                <w:iCs/>
                <w:sz w:val="20"/>
              </w:rPr>
              <w:t>q</w:t>
            </w:r>
            <w:r w:rsidRPr="00DD1A20">
              <w:rPr>
                <w:iCs/>
                <w:sz w:val="20"/>
              </w:rPr>
              <w:t>’s total time-weighted average capacity Trade Sale for RRS, for the hour.  The time-weighted average value is rounded to 0.1 MW.</w:t>
            </w:r>
          </w:p>
        </w:tc>
      </w:tr>
      <w:tr w:rsidR="00745851" w:rsidRPr="00DD1A20" w14:paraId="21D9606B" w14:textId="77777777" w:rsidTr="00507A85">
        <w:tc>
          <w:tcPr>
            <w:tcW w:w="1043" w:type="pct"/>
            <w:tcBorders>
              <w:top w:val="single" w:sz="4" w:space="0" w:color="auto"/>
              <w:left w:val="single" w:sz="4" w:space="0" w:color="auto"/>
              <w:bottom w:val="single" w:sz="4" w:space="0" w:color="auto"/>
              <w:right w:val="single" w:sz="4" w:space="0" w:color="auto"/>
            </w:tcBorders>
          </w:tcPr>
          <w:p w14:paraId="0A4751B5" w14:textId="77777777" w:rsidR="00745851" w:rsidRPr="00DD1A20" w:rsidRDefault="00745851" w:rsidP="00507A85">
            <w:pPr>
              <w:spacing w:after="60"/>
              <w:rPr>
                <w:sz w:val="20"/>
              </w:rPr>
            </w:pPr>
            <w:r w:rsidRPr="00DD1A20">
              <w:rPr>
                <w:bCs/>
                <w:iCs/>
                <w:sz w:val="20"/>
                <w:lang w:val="es-ES"/>
              </w:rPr>
              <w:lastRenderedPageBreak/>
              <w:t xml:space="preserve">RTPCRR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6D164C84"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0B8253E6" w14:textId="77777777" w:rsidR="00745851" w:rsidRPr="00DD1A20" w:rsidRDefault="00745851" w:rsidP="00507A85">
            <w:pPr>
              <w:spacing w:after="60"/>
              <w:rPr>
                <w:i/>
                <w:sz w:val="20"/>
              </w:rPr>
            </w:pPr>
            <w:r w:rsidRPr="00DD1A20">
              <w:rPr>
                <w:i/>
                <w:iCs/>
                <w:sz w:val="20"/>
              </w:rPr>
              <w:t>Procured Capacity for Responsive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RRS, for the hour.</w:t>
            </w:r>
          </w:p>
        </w:tc>
      </w:tr>
      <w:tr w:rsidR="00745851" w:rsidRPr="00DD1A20" w14:paraId="30630614" w14:textId="77777777" w:rsidTr="00507A85">
        <w:tc>
          <w:tcPr>
            <w:tcW w:w="1043" w:type="pct"/>
            <w:tcBorders>
              <w:top w:val="single" w:sz="4" w:space="0" w:color="auto"/>
              <w:left w:val="single" w:sz="4" w:space="0" w:color="auto"/>
              <w:bottom w:val="single" w:sz="4" w:space="0" w:color="auto"/>
              <w:right w:val="single" w:sz="4" w:space="0" w:color="auto"/>
            </w:tcBorders>
          </w:tcPr>
          <w:p w14:paraId="2B54B5C0" w14:textId="77777777" w:rsidR="00745851" w:rsidRPr="00DD1A20" w:rsidRDefault="00745851" w:rsidP="00507A85">
            <w:pPr>
              <w:spacing w:after="60"/>
              <w:rPr>
                <w:sz w:val="20"/>
              </w:rPr>
            </w:pPr>
            <w:r w:rsidRPr="00DD1A20">
              <w:rPr>
                <w:bCs/>
                <w:iCs/>
                <w:sz w:val="20"/>
                <w:lang w:val="es-ES"/>
              </w:rPr>
              <w:t xml:space="preserve">PCRR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6BCD4829"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D563CB0" w14:textId="77777777" w:rsidR="00745851" w:rsidRPr="00DD1A20" w:rsidRDefault="00745851" w:rsidP="00507A85">
            <w:pPr>
              <w:spacing w:after="60"/>
              <w:rPr>
                <w:i/>
                <w:sz w:val="20"/>
              </w:rPr>
            </w:pPr>
            <w:r w:rsidRPr="00DD1A20">
              <w:rPr>
                <w:i/>
                <w:iCs/>
                <w:sz w:val="20"/>
              </w:rPr>
              <w:t>Procured Capacity for Responsive Reserve per QSE in DAM</w:t>
            </w:r>
            <w:r w:rsidRPr="00DD1A20">
              <w:rPr>
                <w:iCs/>
                <w:sz w:val="20"/>
              </w:rPr>
              <w:t xml:space="preserve">—The total RRS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576274A3" w14:textId="77777777" w:rsidTr="00507A85">
        <w:tc>
          <w:tcPr>
            <w:tcW w:w="1043" w:type="pct"/>
            <w:tcBorders>
              <w:top w:val="single" w:sz="4" w:space="0" w:color="auto"/>
              <w:left w:val="single" w:sz="4" w:space="0" w:color="auto"/>
              <w:bottom w:val="single" w:sz="4" w:space="0" w:color="auto"/>
              <w:right w:val="single" w:sz="4" w:space="0" w:color="auto"/>
            </w:tcBorders>
          </w:tcPr>
          <w:p w14:paraId="61ECF472" w14:textId="77777777" w:rsidR="00745851" w:rsidRPr="00DD1A20" w:rsidRDefault="00745851" w:rsidP="00507A85">
            <w:pPr>
              <w:spacing w:after="60"/>
              <w:rPr>
                <w:sz w:val="20"/>
              </w:rPr>
            </w:pPr>
            <w:r w:rsidRPr="00DD1A20">
              <w:rPr>
                <w:bCs/>
                <w:iCs/>
                <w:sz w:val="20"/>
                <w:lang w:val="es-ES"/>
              </w:rPr>
              <w:t xml:space="preserve">RUCRRQ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A6AA8A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8D6114C" w14:textId="77777777" w:rsidR="00745851" w:rsidRPr="00DD1A20" w:rsidRDefault="00745851" w:rsidP="00507A85">
            <w:pPr>
              <w:spacing w:after="60"/>
              <w:rPr>
                <w:iCs/>
                <w:sz w:val="20"/>
              </w:rPr>
            </w:pPr>
            <w:r w:rsidRPr="00DD1A20">
              <w:rPr>
                <w:i/>
                <w:sz w:val="20"/>
              </w:rPr>
              <w:t>RUC-committed for Responsive Reserve per QSE</w:t>
            </w:r>
            <w:r w:rsidRPr="00DD1A20">
              <w:rPr>
                <w:iCs/>
                <w:sz w:val="20"/>
              </w:rPr>
              <w:t xml:space="preserve">—The total quantity of RRS committed by the RUC Process for Resources represented by QSE </w:t>
            </w:r>
            <w:r w:rsidRPr="00DD1A20">
              <w:rPr>
                <w:i/>
                <w:sz w:val="20"/>
              </w:rPr>
              <w:t>q</w:t>
            </w:r>
            <w:r w:rsidRPr="00DD1A20">
              <w:rPr>
                <w:iCs/>
                <w:sz w:val="20"/>
              </w:rPr>
              <w:t>, for the hour.</w:t>
            </w:r>
          </w:p>
        </w:tc>
      </w:tr>
      <w:tr w:rsidR="00745851" w:rsidRPr="00DD1A20" w14:paraId="65D6C5A3" w14:textId="77777777" w:rsidTr="00507A85">
        <w:tc>
          <w:tcPr>
            <w:tcW w:w="1043" w:type="pct"/>
            <w:tcBorders>
              <w:top w:val="single" w:sz="4" w:space="0" w:color="auto"/>
              <w:left w:val="single" w:sz="4" w:space="0" w:color="auto"/>
              <w:bottom w:val="single" w:sz="4" w:space="0" w:color="auto"/>
              <w:right w:val="single" w:sz="4" w:space="0" w:color="auto"/>
            </w:tcBorders>
          </w:tcPr>
          <w:p w14:paraId="77217DDC" w14:textId="77777777" w:rsidR="00745851" w:rsidRPr="00DD1A20" w:rsidRDefault="00745851" w:rsidP="00507A85">
            <w:pPr>
              <w:spacing w:after="60"/>
              <w:rPr>
                <w:sz w:val="20"/>
              </w:rPr>
            </w:pPr>
            <w:r w:rsidRPr="00DD1A20">
              <w:rPr>
                <w:bCs/>
                <w:sz w:val="20"/>
              </w:rPr>
              <w:t>RRTRPQ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AE6494C"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F96C37F" w14:textId="77777777" w:rsidR="00745851" w:rsidRPr="00DD1A20" w:rsidRDefault="00745851" w:rsidP="00507A85">
            <w:pPr>
              <w:spacing w:after="60"/>
              <w:rPr>
                <w:i/>
                <w:sz w:val="20"/>
              </w:rPr>
            </w:pPr>
            <w:r w:rsidRPr="00DD1A20">
              <w:rPr>
                <w:i/>
                <w:sz w:val="20"/>
              </w:rPr>
              <w:t>Responsive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RRS, for the hour.  The time-weighted average value is rounded to 0.1 MW.</w:t>
            </w:r>
          </w:p>
        </w:tc>
      </w:tr>
      <w:tr w:rsidR="00745851" w:rsidRPr="00DD1A20" w14:paraId="1581D5E8" w14:textId="77777777" w:rsidTr="00507A85">
        <w:tc>
          <w:tcPr>
            <w:tcW w:w="1043" w:type="pct"/>
            <w:tcBorders>
              <w:top w:val="single" w:sz="4" w:space="0" w:color="auto"/>
              <w:left w:val="single" w:sz="4" w:space="0" w:color="auto"/>
              <w:bottom w:val="single" w:sz="4" w:space="0" w:color="auto"/>
              <w:right w:val="single" w:sz="4" w:space="0" w:color="auto"/>
            </w:tcBorders>
          </w:tcPr>
          <w:p w14:paraId="7B68EAA2" w14:textId="77777777" w:rsidR="00745851" w:rsidRPr="00DD1A20" w:rsidRDefault="00745851" w:rsidP="00507A85">
            <w:pPr>
              <w:spacing w:after="60"/>
              <w:rPr>
                <w:sz w:val="20"/>
              </w:rPr>
            </w:pPr>
            <w:r w:rsidRPr="00DD1A20">
              <w:rPr>
                <w:bCs/>
                <w:iCs/>
                <w:sz w:val="20"/>
                <w:lang w:val="es-ES"/>
              </w:rPr>
              <w:t>RRINFQ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2FE42B0"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6F511AE6" w14:textId="77777777" w:rsidR="00745851" w:rsidRPr="00DD1A20" w:rsidRDefault="00745851" w:rsidP="00507A85">
            <w:pPr>
              <w:spacing w:after="60"/>
              <w:rPr>
                <w:i/>
                <w:sz w:val="20"/>
              </w:rPr>
            </w:pPr>
            <w:r w:rsidRPr="00DD1A20">
              <w:rPr>
                <w:i/>
                <w:iCs/>
                <w:sz w:val="20"/>
              </w:rPr>
              <w:t>Responsive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RRS, for the hour.</w:t>
            </w:r>
          </w:p>
        </w:tc>
      </w:tr>
      <w:tr w:rsidR="00745851" w:rsidRPr="00DD1A20" w14:paraId="5902C1BF" w14:textId="77777777" w:rsidTr="00507A85">
        <w:tc>
          <w:tcPr>
            <w:tcW w:w="1043" w:type="pct"/>
            <w:tcBorders>
              <w:top w:val="single" w:sz="4" w:space="0" w:color="auto"/>
              <w:left w:val="single" w:sz="4" w:space="0" w:color="auto"/>
              <w:bottom w:val="single" w:sz="4" w:space="0" w:color="auto"/>
              <w:right w:val="single" w:sz="4" w:space="0" w:color="auto"/>
            </w:tcBorders>
          </w:tcPr>
          <w:p w14:paraId="30F7E280"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0B90B56"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F4BCFB" w14:textId="77777777" w:rsidR="00745851" w:rsidRPr="00DD1A20" w:rsidRDefault="00745851" w:rsidP="00507A85">
            <w:pPr>
              <w:spacing w:after="60"/>
              <w:rPr>
                <w:iCs/>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6B1EA352" w14:textId="77777777" w:rsidTr="00507A85">
        <w:tc>
          <w:tcPr>
            <w:tcW w:w="1043" w:type="pct"/>
            <w:tcBorders>
              <w:top w:val="single" w:sz="4" w:space="0" w:color="auto"/>
              <w:left w:val="single" w:sz="4" w:space="0" w:color="auto"/>
              <w:bottom w:val="single" w:sz="4" w:space="0" w:color="auto"/>
              <w:right w:val="single" w:sz="4" w:space="0" w:color="auto"/>
            </w:tcBorders>
          </w:tcPr>
          <w:p w14:paraId="59CFB10C" w14:textId="77777777" w:rsidR="00745851" w:rsidRPr="00DD1A20" w:rsidRDefault="00745851" w:rsidP="00507A85">
            <w:pPr>
              <w:spacing w:after="60"/>
              <w:rPr>
                <w:bCs/>
                <w:sz w:val="20"/>
              </w:rPr>
            </w:pPr>
            <w:r w:rsidRPr="00DD1A20">
              <w:rPr>
                <w:bCs/>
                <w:sz w:val="20"/>
              </w:rPr>
              <w:t xml:space="preserve">TELRRSRC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FC81272"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09786746" w14:textId="77777777" w:rsidR="00745851" w:rsidRPr="00DD1A20" w:rsidRDefault="00745851" w:rsidP="00507A85">
            <w:pPr>
              <w:spacing w:after="60"/>
              <w:rPr>
                <w:i/>
                <w:sz w:val="20"/>
              </w:rPr>
            </w:pPr>
            <w:r w:rsidRPr="00DD1A20">
              <w:rPr>
                <w:i/>
                <w:sz w:val="20"/>
              </w:rPr>
              <w:t>Telemetered Responsive Reserve Responsibility for the Resource as Calculated</w:t>
            </w:r>
            <w:r w:rsidRPr="00DD1A20">
              <w:rPr>
                <w:iCs/>
                <w:sz w:val="20"/>
              </w:rPr>
              <w:t xml:space="preserve">—The calculated comparison of the time-weighted average telemetered RRS </w:t>
            </w:r>
            <w:r w:rsidRPr="00DD1A20">
              <w:rPr>
                <w:iCs/>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w:t>
            </w:r>
          </w:p>
        </w:tc>
      </w:tr>
      <w:tr w:rsidR="00745851" w:rsidRPr="00DD1A20" w14:paraId="1485A287" w14:textId="77777777" w:rsidTr="00507A85">
        <w:tc>
          <w:tcPr>
            <w:tcW w:w="1043" w:type="pct"/>
            <w:tcBorders>
              <w:top w:val="single" w:sz="4" w:space="0" w:color="auto"/>
              <w:left w:val="single" w:sz="4" w:space="0" w:color="auto"/>
              <w:bottom w:val="single" w:sz="4" w:space="0" w:color="auto"/>
              <w:right w:val="single" w:sz="4" w:space="0" w:color="auto"/>
            </w:tcBorders>
          </w:tcPr>
          <w:p w14:paraId="116C7827" w14:textId="77777777" w:rsidR="00745851" w:rsidRPr="00DD1A20" w:rsidRDefault="00745851" w:rsidP="00507A85">
            <w:pPr>
              <w:spacing w:after="60"/>
              <w:rPr>
                <w:bCs/>
                <w:sz w:val="20"/>
              </w:rPr>
            </w:pPr>
            <w:r w:rsidRPr="00DD1A20">
              <w:rPr>
                <w:bCs/>
                <w:sz w:val="20"/>
                <w:lang w:val="es-ES"/>
              </w:rPr>
              <w:t>NPF</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094A3149"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7E516B13"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 xml:space="preserve">The average NPF from Load Resource other than Controllable Load Resources </w:t>
            </w:r>
            <w:r w:rsidRPr="00DD1A20">
              <w:rPr>
                <w:i/>
                <w:iCs/>
                <w:sz w:val="20"/>
                <w:szCs w:val="18"/>
              </w:rPr>
              <w:t>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5CC7FBF" w14:textId="77777777" w:rsidTr="00507A85">
        <w:tc>
          <w:tcPr>
            <w:tcW w:w="1043" w:type="pct"/>
            <w:tcBorders>
              <w:top w:val="single" w:sz="4" w:space="0" w:color="auto"/>
              <w:left w:val="single" w:sz="4" w:space="0" w:color="auto"/>
              <w:bottom w:val="single" w:sz="4" w:space="0" w:color="auto"/>
              <w:right w:val="single" w:sz="4" w:space="0" w:color="auto"/>
            </w:tcBorders>
          </w:tcPr>
          <w:p w14:paraId="65B8DACD" w14:textId="77777777" w:rsidR="00745851" w:rsidRPr="00DD1A20" w:rsidRDefault="00745851" w:rsidP="00507A85">
            <w:pPr>
              <w:spacing w:after="60"/>
              <w:rPr>
                <w:bCs/>
                <w:sz w:val="20"/>
                <w:lang w:val="es-ES"/>
              </w:rPr>
            </w:pPr>
            <w:r w:rsidRPr="00DD1A20">
              <w:rPr>
                <w:bCs/>
                <w:sz w:val="20"/>
                <w:lang w:val="es-ES"/>
              </w:rPr>
              <w:t>LPC</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7FAEC86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6F4C1B9E" w14:textId="77777777" w:rsidR="00745851" w:rsidRPr="00DD1A20" w:rsidRDefault="00745851" w:rsidP="00507A85">
            <w:pPr>
              <w:spacing w:after="60"/>
              <w:rPr>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 xml:space="preserve">The average </w:t>
            </w:r>
            <w:r>
              <w:rPr>
                <w:sz w:val="20"/>
                <w:szCs w:val="18"/>
              </w:rPr>
              <w:t>Low Power Consumption (</w:t>
            </w:r>
            <w:r w:rsidRPr="00DD1A20">
              <w:rPr>
                <w:sz w:val="20"/>
                <w:szCs w:val="18"/>
              </w:rPr>
              <w:t>LPC</w:t>
            </w:r>
            <w:r>
              <w:rPr>
                <w:sz w:val="20"/>
                <w:szCs w:val="18"/>
              </w:rPr>
              <w:t>)</w:t>
            </w:r>
            <w:r w:rsidRPr="00DD1A20">
              <w:rPr>
                <w:sz w:val="20"/>
                <w:szCs w:val="18"/>
              </w:rPr>
              <w:t xml:space="preserve">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C57A420" w14:textId="77777777" w:rsidTr="00507A85">
        <w:tc>
          <w:tcPr>
            <w:tcW w:w="1043" w:type="pct"/>
            <w:tcBorders>
              <w:top w:val="single" w:sz="4" w:space="0" w:color="auto"/>
              <w:left w:val="single" w:sz="4" w:space="0" w:color="auto"/>
              <w:bottom w:val="single" w:sz="4" w:space="0" w:color="auto"/>
              <w:right w:val="single" w:sz="4" w:space="0" w:color="auto"/>
            </w:tcBorders>
          </w:tcPr>
          <w:p w14:paraId="214DAC43" w14:textId="77777777" w:rsidR="00745851" w:rsidRPr="00DD1A20" w:rsidRDefault="00745851" w:rsidP="00507A85">
            <w:pPr>
              <w:spacing w:after="60"/>
              <w:rPr>
                <w:bCs/>
                <w:sz w:val="20"/>
              </w:rPr>
            </w:pPr>
            <w:r w:rsidRPr="00DD1A20">
              <w:rPr>
                <w:bCs/>
                <w:iCs/>
                <w:sz w:val="20"/>
                <w:lang w:val="fr-FR"/>
              </w:rPr>
              <w:t xml:space="preserve">DASARRQ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3BD65311"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283D8D04" w14:textId="77777777" w:rsidR="00745851" w:rsidRPr="00DD1A20" w:rsidRDefault="00745851" w:rsidP="00507A85">
            <w:pPr>
              <w:spacing w:after="60"/>
              <w:rPr>
                <w:i/>
                <w:sz w:val="20"/>
              </w:rPr>
            </w:pPr>
            <w:r w:rsidRPr="00DD1A20">
              <w:rPr>
                <w:i/>
                <w:iCs/>
                <w:sz w:val="20"/>
              </w:rPr>
              <w:t>Day-Ahead Self-Arranged Responsive Reserve Quantity per QSE</w:t>
            </w:r>
            <w:r w:rsidRPr="00DD1A20">
              <w:rPr>
                <w:iCs/>
                <w:sz w:val="20"/>
              </w:rPr>
              <w:t xml:space="preserve">—The self-arranged RRS quantity submitted by QSE </w:t>
            </w:r>
            <w:r w:rsidRPr="00DD1A20">
              <w:rPr>
                <w:i/>
                <w:iCs/>
                <w:sz w:val="20"/>
              </w:rPr>
              <w:t>q</w:t>
            </w:r>
            <w:r w:rsidRPr="00DD1A20">
              <w:rPr>
                <w:iCs/>
                <w:sz w:val="20"/>
              </w:rPr>
              <w:t xml:space="preserve"> before 1000 in the Day-Ahead.</w:t>
            </w:r>
          </w:p>
        </w:tc>
      </w:tr>
      <w:tr w:rsidR="00745851" w:rsidRPr="00DD1A20" w14:paraId="2E9E71B6" w14:textId="77777777" w:rsidTr="00507A85">
        <w:tc>
          <w:tcPr>
            <w:tcW w:w="1043" w:type="pct"/>
            <w:tcBorders>
              <w:top w:val="single" w:sz="4" w:space="0" w:color="auto"/>
              <w:left w:val="single" w:sz="4" w:space="0" w:color="auto"/>
              <w:bottom w:val="single" w:sz="4" w:space="0" w:color="auto"/>
              <w:right w:val="single" w:sz="4" w:space="0" w:color="auto"/>
            </w:tcBorders>
          </w:tcPr>
          <w:p w14:paraId="29403904" w14:textId="77777777" w:rsidR="00745851" w:rsidRPr="00DD1A20" w:rsidRDefault="00745851" w:rsidP="00507A85">
            <w:pPr>
              <w:spacing w:after="60"/>
              <w:rPr>
                <w:bCs/>
                <w:iCs/>
                <w:sz w:val="20"/>
                <w:lang w:val="fr-FR"/>
              </w:rPr>
            </w:pPr>
            <w:r w:rsidRPr="00DD1A20">
              <w:rPr>
                <w:bCs/>
                <w:iCs/>
                <w:sz w:val="20"/>
                <w:lang w:val="fr-FR"/>
              </w:rPr>
              <w:t xml:space="preserve">RTSARRQ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FD81CAE"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0D10AF7" w14:textId="77777777" w:rsidR="00745851" w:rsidRPr="00DD1A20" w:rsidRDefault="00745851" w:rsidP="00507A85">
            <w:pPr>
              <w:spacing w:after="60"/>
              <w:rPr>
                <w:i/>
                <w:sz w:val="20"/>
              </w:rPr>
            </w:pPr>
            <w:r w:rsidRPr="00DD1A20">
              <w:rPr>
                <w:i/>
                <w:iCs/>
                <w:sz w:val="20"/>
              </w:rPr>
              <w:t>Self-Arranged Responsive Reserve Quantity per QSE for all SASMs</w:t>
            </w:r>
            <w:r w:rsidRPr="00DD1A20">
              <w:rPr>
                <w:iCs/>
                <w:sz w:val="20"/>
              </w:rPr>
              <w:t xml:space="preserve">—The sum of all self-arranged RRS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16128FA2" w14:textId="77777777" w:rsidTr="00507A85">
        <w:tc>
          <w:tcPr>
            <w:tcW w:w="1043" w:type="pct"/>
            <w:tcBorders>
              <w:top w:val="single" w:sz="4" w:space="0" w:color="auto"/>
              <w:left w:val="single" w:sz="4" w:space="0" w:color="auto"/>
              <w:bottom w:val="single" w:sz="4" w:space="0" w:color="auto"/>
              <w:right w:val="single" w:sz="4" w:space="0" w:color="auto"/>
            </w:tcBorders>
          </w:tcPr>
          <w:p w14:paraId="0F7D0DA4" w14:textId="77777777" w:rsidR="00745851" w:rsidRPr="00DD1A20" w:rsidRDefault="00745851" w:rsidP="00507A85">
            <w:pPr>
              <w:spacing w:after="60"/>
              <w:rPr>
                <w:iCs/>
                <w:sz w:val="20"/>
              </w:rPr>
            </w:pPr>
            <w:r w:rsidRPr="00DD1A20">
              <w:rPr>
                <w:iCs/>
                <w:sz w:val="20"/>
              </w:rPr>
              <w:t xml:space="preserve">TRRFQ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4B80FABC" w14:textId="77777777" w:rsidR="00745851" w:rsidRPr="00DD1A20" w:rsidRDefault="00745851" w:rsidP="00507A85">
            <w:pPr>
              <w:spacing w:after="60"/>
              <w:rPr>
                <w:sz w:val="20"/>
              </w:rPr>
            </w:pPr>
            <w:r w:rsidRPr="00DD1A20">
              <w:rPr>
                <w:color w:val="000000"/>
                <w:sz w:val="20"/>
              </w:rPr>
              <w:t>MW</w:t>
            </w:r>
          </w:p>
        </w:tc>
        <w:tc>
          <w:tcPr>
            <w:tcW w:w="3508" w:type="pct"/>
            <w:tcBorders>
              <w:top w:val="single" w:sz="4" w:space="0" w:color="auto"/>
              <w:left w:val="single" w:sz="4" w:space="0" w:color="auto"/>
              <w:bottom w:val="single" w:sz="4" w:space="0" w:color="auto"/>
              <w:right w:val="single" w:sz="4" w:space="0" w:color="auto"/>
            </w:tcBorders>
          </w:tcPr>
          <w:p w14:paraId="2E1FD3F1" w14:textId="77777777" w:rsidR="00745851" w:rsidRPr="00DD1A20" w:rsidRDefault="00745851" w:rsidP="00507A85">
            <w:pPr>
              <w:autoSpaceDE w:val="0"/>
              <w:autoSpaceDN w:val="0"/>
              <w:adjustRightInd w:val="0"/>
              <w:rPr>
                <w:i/>
                <w:color w:val="000000"/>
                <w:sz w:val="20"/>
              </w:rPr>
            </w:pPr>
            <w:r w:rsidRPr="00DD1A20">
              <w:rPr>
                <w:i/>
                <w:color w:val="000000"/>
                <w:sz w:val="20"/>
              </w:rPr>
              <w:t>Telemetered Responsive Reserve Failure Quantity per QSE—</w:t>
            </w:r>
            <w:r w:rsidRPr="00DD1A20">
              <w:rPr>
                <w:color w:val="000000"/>
                <w:sz w:val="20"/>
              </w:rPr>
              <w:t xml:space="preserve">Calculated failure quantity for QSE </w:t>
            </w:r>
            <w:r w:rsidRPr="00C22DE9">
              <w:rPr>
                <w:i/>
                <w:iCs/>
                <w:color w:val="000000"/>
                <w:sz w:val="20"/>
              </w:rPr>
              <w:t>q</w:t>
            </w:r>
            <w:r w:rsidRPr="00DD1A20">
              <w:rPr>
                <w:color w:val="000000"/>
                <w:sz w:val="20"/>
              </w:rPr>
              <w:t xml:space="preserve"> by comparing its average telemetered Responsive Reserve Responsibility sum to its Ancillary Service Supply Responsibility for RRS as calculated per paragraph (1) of Section 4.4.7.4, for the hour.</w:t>
            </w:r>
          </w:p>
        </w:tc>
      </w:tr>
      <w:tr w:rsidR="00745851" w:rsidRPr="00DD1A20" w14:paraId="67FC1EA5" w14:textId="77777777" w:rsidTr="00507A85">
        <w:tc>
          <w:tcPr>
            <w:tcW w:w="1043" w:type="pct"/>
            <w:tcBorders>
              <w:top w:val="single" w:sz="4" w:space="0" w:color="auto"/>
              <w:left w:val="single" w:sz="4" w:space="0" w:color="auto"/>
              <w:bottom w:val="single" w:sz="4" w:space="0" w:color="auto"/>
              <w:right w:val="single" w:sz="4" w:space="0" w:color="auto"/>
            </w:tcBorders>
          </w:tcPr>
          <w:p w14:paraId="611CED7A" w14:textId="77777777" w:rsidR="00745851" w:rsidRPr="00DD1A20" w:rsidRDefault="00745851" w:rsidP="00507A85">
            <w:pPr>
              <w:spacing w:after="60"/>
              <w:rPr>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2DCF40EE" w14:textId="77777777" w:rsidR="00745851" w:rsidRPr="00DD1A20" w:rsidRDefault="00745851" w:rsidP="00507A85">
            <w:pPr>
              <w:spacing w:after="60"/>
              <w:rPr>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02FABB9D"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311CE794" w14:textId="77777777" w:rsidTr="00507A85">
        <w:tc>
          <w:tcPr>
            <w:tcW w:w="1043" w:type="pct"/>
            <w:tcBorders>
              <w:top w:val="single" w:sz="4" w:space="0" w:color="auto"/>
              <w:left w:val="single" w:sz="4" w:space="0" w:color="auto"/>
              <w:bottom w:val="single" w:sz="4" w:space="0" w:color="auto"/>
              <w:right w:val="single" w:sz="4" w:space="0" w:color="auto"/>
            </w:tcBorders>
          </w:tcPr>
          <w:p w14:paraId="4E308B04"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3751F896" w14:textId="77777777" w:rsidR="00745851" w:rsidRPr="00DD1A20" w:rsidRDefault="00745851" w:rsidP="00507A85">
            <w:pPr>
              <w:spacing w:after="60"/>
              <w:rPr>
                <w:iCs/>
                <w:sz w:val="20"/>
              </w:rPr>
            </w:pPr>
            <w:r w:rsidRPr="00DD1A20">
              <w:rPr>
                <w:sz w:val="20"/>
              </w:rPr>
              <w:t>None</w:t>
            </w:r>
          </w:p>
        </w:tc>
        <w:tc>
          <w:tcPr>
            <w:tcW w:w="3508" w:type="pct"/>
            <w:tcBorders>
              <w:top w:val="single" w:sz="4" w:space="0" w:color="auto"/>
              <w:left w:val="single" w:sz="4" w:space="0" w:color="auto"/>
              <w:bottom w:val="single" w:sz="4" w:space="0" w:color="auto"/>
              <w:right w:val="single" w:sz="4" w:space="0" w:color="auto"/>
            </w:tcBorders>
          </w:tcPr>
          <w:p w14:paraId="5EBA6E0E"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F76AE8C" w14:textId="77777777" w:rsidTr="00507A85">
        <w:tc>
          <w:tcPr>
            <w:tcW w:w="1043" w:type="pct"/>
            <w:tcBorders>
              <w:top w:val="single" w:sz="4" w:space="0" w:color="auto"/>
              <w:left w:val="single" w:sz="4" w:space="0" w:color="auto"/>
              <w:bottom w:val="single" w:sz="4" w:space="0" w:color="auto"/>
              <w:right w:val="single" w:sz="4" w:space="0" w:color="auto"/>
            </w:tcBorders>
          </w:tcPr>
          <w:p w14:paraId="3CECE019"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665DF5EC"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3DB04C94"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2CA0F0FD" w14:textId="77777777" w:rsidTr="00507A85">
        <w:tc>
          <w:tcPr>
            <w:tcW w:w="1043" w:type="pct"/>
            <w:tcBorders>
              <w:top w:val="single" w:sz="4" w:space="0" w:color="auto"/>
              <w:left w:val="single" w:sz="4" w:space="0" w:color="auto"/>
              <w:bottom w:val="single" w:sz="4" w:space="0" w:color="auto"/>
              <w:right w:val="single" w:sz="4" w:space="0" w:color="auto"/>
            </w:tcBorders>
          </w:tcPr>
          <w:p w14:paraId="7712F019"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2C91D49D"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7196434E" w14:textId="77777777" w:rsidR="00745851" w:rsidRPr="00DD1A20" w:rsidRDefault="00745851" w:rsidP="00507A85">
            <w:pPr>
              <w:spacing w:after="60"/>
              <w:rPr>
                <w:iCs/>
                <w:sz w:val="20"/>
              </w:rPr>
            </w:pPr>
            <w:r w:rsidRPr="00DD1A20">
              <w:rPr>
                <w:iCs/>
                <w:sz w:val="20"/>
              </w:rPr>
              <w:t>A QSE.</w:t>
            </w:r>
          </w:p>
        </w:tc>
      </w:tr>
      <w:tr w:rsidR="00745851" w:rsidRPr="00DD1A20" w14:paraId="3B8F62C6" w14:textId="77777777" w:rsidTr="00507A85">
        <w:tc>
          <w:tcPr>
            <w:tcW w:w="1043" w:type="pct"/>
            <w:tcBorders>
              <w:top w:val="single" w:sz="4" w:space="0" w:color="auto"/>
              <w:left w:val="single" w:sz="4" w:space="0" w:color="auto"/>
              <w:bottom w:val="single" w:sz="4" w:space="0" w:color="auto"/>
              <w:right w:val="single" w:sz="4" w:space="0" w:color="auto"/>
            </w:tcBorders>
          </w:tcPr>
          <w:p w14:paraId="3549D1E2"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6C0598E0"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2DC6B80C" w14:textId="77777777" w:rsidR="00745851" w:rsidRPr="00DD1A20" w:rsidRDefault="00745851" w:rsidP="00507A85">
            <w:pPr>
              <w:spacing w:after="60"/>
              <w:rPr>
                <w:iCs/>
                <w:sz w:val="20"/>
              </w:rPr>
            </w:pPr>
            <w:r w:rsidRPr="00DD1A20">
              <w:rPr>
                <w:iCs/>
                <w:sz w:val="20"/>
              </w:rPr>
              <w:t>A Resource that is qualified to provide RRS.</w:t>
            </w:r>
          </w:p>
        </w:tc>
      </w:tr>
    </w:tbl>
    <w:p w14:paraId="06CD2B89" w14:textId="77777777" w:rsidR="00745851" w:rsidRPr="00DD1A20" w:rsidRDefault="00745851" w:rsidP="00745851">
      <w:pPr>
        <w:spacing w:before="240" w:after="240"/>
        <w:ind w:left="1440" w:hanging="720"/>
        <w:rPr>
          <w:iCs/>
        </w:rPr>
      </w:pPr>
      <w:r w:rsidRPr="00DD1A20">
        <w:rPr>
          <w:iCs/>
        </w:rPr>
        <w:t>(d)</w:t>
      </w:r>
      <w:r w:rsidRPr="00DD1A20">
        <w:rPr>
          <w:iCs/>
        </w:rPr>
        <w:tab/>
        <w:t>The t</w:t>
      </w:r>
      <w:r w:rsidRPr="00DD1A20">
        <w:t>otal charge of failure on Ancillary Service Supply Responsibility for</w:t>
      </w:r>
      <w:r w:rsidRPr="00DD1A20">
        <w:rPr>
          <w:iCs/>
        </w:rPr>
        <w:t xml:space="preserve"> Non-Spin by QSE, if applicable:</w:t>
      </w:r>
    </w:p>
    <w:p w14:paraId="080BE5F0" w14:textId="77777777" w:rsidR="00745851" w:rsidRPr="00DD1A20" w:rsidRDefault="00745851" w:rsidP="00745851">
      <w:pPr>
        <w:spacing w:before="240" w:after="240"/>
        <w:ind w:left="2880" w:hanging="2160"/>
        <w:rPr>
          <w:b/>
          <w:i/>
          <w:vertAlign w:val="subscript"/>
        </w:rPr>
      </w:pPr>
      <w:r w:rsidRPr="00DD1A20">
        <w:rPr>
          <w:b/>
        </w:rPr>
        <w:t xml:space="preserve">NSFQAMTQSETOT </w:t>
      </w:r>
      <w:r w:rsidRPr="00DD1A20">
        <w:rPr>
          <w:b/>
          <w:i/>
          <w:vertAlign w:val="subscript"/>
        </w:rPr>
        <w:t>q</w:t>
      </w:r>
      <w:r w:rsidRPr="00DD1A20">
        <w:rPr>
          <w:b/>
        </w:rPr>
        <w:tab/>
        <w:t>=</w:t>
      </w:r>
      <w:r w:rsidRPr="00DD1A20">
        <w:rPr>
          <w:b/>
        </w:rPr>
        <w:tab/>
        <w:t xml:space="preserve">NSFQAMT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RNSFQAMT </w:t>
      </w:r>
      <w:r w:rsidRPr="00DD1A20">
        <w:rPr>
          <w:b/>
          <w:i/>
          <w:vertAlign w:val="subscript"/>
        </w:rPr>
        <w:t>q</w:t>
      </w:r>
    </w:p>
    <w:p w14:paraId="4B80E062" w14:textId="77777777" w:rsidR="00745851" w:rsidRPr="00DD1A20" w:rsidRDefault="00745851" w:rsidP="00745851">
      <w:pPr>
        <w:spacing w:before="240" w:after="240"/>
        <w:ind w:left="1440" w:hanging="720"/>
        <w:rPr>
          <w:iCs/>
        </w:rPr>
      </w:pPr>
      <w:r w:rsidRPr="00DD1A20">
        <w:t>Where:</w:t>
      </w:r>
    </w:p>
    <w:p w14:paraId="2A2CF249" w14:textId="77777777" w:rsidR="00745851" w:rsidRPr="00DD1A20" w:rsidRDefault="00745851" w:rsidP="00745851">
      <w:pPr>
        <w:spacing w:before="240" w:after="240"/>
        <w:ind w:left="3420" w:hanging="2700"/>
        <w:rPr>
          <w:bCs/>
        </w:rPr>
      </w:pPr>
      <w:r w:rsidRPr="00DD1A20">
        <w:lastRenderedPageBreak/>
        <w:t xml:space="preserve">NSFQAMT </w:t>
      </w:r>
      <w:r w:rsidRPr="00DD1A20">
        <w:rPr>
          <w:i/>
          <w:vertAlign w:val="subscript"/>
        </w:rPr>
        <w:t>q</w:t>
      </w:r>
      <w:r w:rsidRPr="00DD1A20">
        <w:t xml:space="preserve">    =      Max </w:t>
      </w:r>
      <w:r w:rsidRPr="00DD1A20">
        <w:rPr>
          <w:iCs/>
        </w:rPr>
        <w:t>(</w:t>
      </w:r>
      <w:r w:rsidRPr="00DD1A20">
        <w:t xml:space="preserve">MCPCNS </w:t>
      </w:r>
      <w:r w:rsidRPr="00DD1A20">
        <w:rPr>
          <w:i/>
          <w:vertAlign w:val="subscript"/>
        </w:rPr>
        <w:t>m</w:t>
      </w:r>
      <w:r w:rsidRPr="00DD1A20">
        <w:t xml:space="preserve">, AVGRTASIP) * (NSFQ </w:t>
      </w:r>
      <w:r w:rsidRPr="00DD1A20">
        <w:rPr>
          <w:i/>
          <w:vertAlign w:val="subscript"/>
        </w:rPr>
        <w:t>q</w:t>
      </w:r>
      <w:r w:rsidRPr="00DD1A20">
        <w:t xml:space="preserve"> + TNSFQ </w:t>
      </w:r>
      <w:r w:rsidRPr="00DD1A20">
        <w:rPr>
          <w:i/>
          <w:vertAlign w:val="subscript"/>
        </w:rPr>
        <w:t>q</w:t>
      </w:r>
      <w:r w:rsidRPr="00DD1A20">
        <w:t>)</w:t>
      </w:r>
    </w:p>
    <w:p w14:paraId="19579677" w14:textId="77777777" w:rsidR="00745851" w:rsidRPr="00DD1A20" w:rsidRDefault="00745851" w:rsidP="00745851">
      <w:pPr>
        <w:spacing w:before="240" w:after="240"/>
        <w:ind w:left="1440" w:hanging="720"/>
        <w:rPr>
          <w:bCs/>
          <w:i/>
          <w:vertAlign w:val="subscript"/>
        </w:rPr>
      </w:pPr>
      <w:r w:rsidRPr="00DD1A20">
        <w:t xml:space="preserve">RNSFQAMT </w:t>
      </w:r>
      <w:r w:rsidRPr="00DD1A20">
        <w:rPr>
          <w:i/>
          <w:vertAlign w:val="subscript"/>
        </w:rPr>
        <w:t>q</w:t>
      </w:r>
      <w:r w:rsidRPr="00DD1A20">
        <w:tab/>
      </w:r>
      <w:r w:rsidRPr="00DD1A20">
        <w:tab/>
        <w:t>=</w:t>
      </w:r>
      <w:r w:rsidRPr="00DD1A20">
        <w:tab/>
      </w:r>
      <w:r w:rsidRPr="00DD1A20">
        <w:rPr>
          <w:bCs/>
        </w:rPr>
        <w:t xml:space="preserve">MCPCNS </w:t>
      </w:r>
      <w:r w:rsidRPr="00DD1A20">
        <w:rPr>
          <w:bCs/>
          <w:i/>
          <w:vertAlign w:val="subscript"/>
        </w:rPr>
        <w:t>rs</w:t>
      </w:r>
      <w:r w:rsidRPr="00DD1A20">
        <w:rPr>
          <w:bCs/>
        </w:rPr>
        <w:t xml:space="preserve"> * RNSFQ</w:t>
      </w:r>
      <w:r w:rsidRPr="00DD1A20">
        <w:rPr>
          <w:i/>
          <w:vertAlign w:val="subscript"/>
        </w:rPr>
        <w:t xml:space="preserve"> q,</w:t>
      </w:r>
      <w:r w:rsidRPr="00DD1A20">
        <w:rPr>
          <w:bCs/>
        </w:rPr>
        <w:t xml:space="preserve"> </w:t>
      </w:r>
      <w:r w:rsidRPr="00DD1A20">
        <w:rPr>
          <w:bCs/>
          <w:i/>
          <w:vertAlign w:val="subscript"/>
        </w:rPr>
        <w:t>rs</w:t>
      </w:r>
    </w:p>
    <w:p w14:paraId="503412B2" w14:textId="77777777" w:rsidR="00745851" w:rsidRPr="00DD1A20" w:rsidRDefault="00745851" w:rsidP="00745851">
      <w:pPr>
        <w:spacing w:after="240"/>
        <w:ind w:firstLine="720"/>
      </w:pPr>
      <w:r w:rsidRPr="00DD1A20">
        <w:t>AVGRTASIP</w:t>
      </w:r>
      <w:r w:rsidRPr="00DD1A20">
        <w:tab/>
      </w:r>
      <w:r w:rsidRPr="00DD1A20">
        <w:tab/>
      </w:r>
      <w:r w:rsidRPr="00DD1A20">
        <w:tab/>
        <w:t xml:space="preserve">= </w:t>
      </w:r>
      <w:r w:rsidRPr="00DD1A20">
        <w:tab/>
      </w:r>
      <w:r w:rsidRPr="00DD1A20">
        <w:rPr>
          <w:position w:val="-20"/>
        </w:rPr>
        <w:object w:dxaOrig="260" w:dyaOrig="580" w14:anchorId="1E98218E">
          <v:shape id="_x0000_i1344" type="#_x0000_t75" style="width:12pt;height:30pt" o:ole="">
            <v:imagedata r:id="rId418" o:title=""/>
          </v:shape>
          <o:OLEObject Type="Embed" ProgID="Equation.3" ShapeID="_x0000_i1344" DrawAspect="Content" ObjectID="_1804653827" r:id="rId426"/>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78BE0ABB" w14:textId="77777777" w:rsidR="00745851" w:rsidRPr="00DD1A20" w:rsidRDefault="00745851" w:rsidP="00745851">
      <w:pPr>
        <w:spacing w:after="240"/>
        <w:ind w:firstLine="720"/>
      </w:pPr>
      <w:r w:rsidRPr="00DD1A20">
        <w:t>Where for all Resources:</w:t>
      </w:r>
    </w:p>
    <w:p w14:paraId="2DAEA07F" w14:textId="77777777" w:rsidR="00745851" w:rsidRPr="00DD1A20" w:rsidRDefault="00745851" w:rsidP="00745851">
      <w:pPr>
        <w:spacing w:after="240"/>
        <w:ind w:leftChars="300" w:left="2880" w:hangingChars="900" w:hanging="2160"/>
        <w:rPr>
          <w:bCs/>
          <w:iCs/>
        </w:rPr>
      </w:pPr>
      <w:r w:rsidRPr="00DD1A20">
        <w:t xml:space="preserve">TNSFQ </w:t>
      </w:r>
      <w:r w:rsidRPr="00DD1A20">
        <w:rPr>
          <w:i/>
          <w:vertAlign w:val="subscript"/>
        </w:rPr>
        <w:t>q =</w:t>
      </w:r>
      <w:r w:rsidRPr="00DD1A20">
        <w:rPr>
          <w:iCs/>
        </w:rPr>
        <w:t xml:space="preserve"> Max([(</w:t>
      </w:r>
      <w:r w:rsidRPr="00DD1A20">
        <w:rPr>
          <w:bCs/>
          <w:lang w:val="fr-FR"/>
        </w:rPr>
        <w:t xml:space="preserve">SANSQ </w:t>
      </w:r>
      <w:r w:rsidRPr="00DD1A20">
        <w:rPr>
          <w:bCs/>
          <w:i/>
          <w:vertAlign w:val="subscript"/>
          <w:lang w:val="fr-FR"/>
        </w:rPr>
        <w:t xml:space="preserve">q </w:t>
      </w:r>
      <w:r w:rsidRPr="00DD1A20">
        <w:rPr>
          <w:bCs/>
          <w:iCs/>
        </w:rPr>
        <w:t xml:space="preserve">+ NSTRSQ </w:t>
      </w:r>
      <w:r w:rsidRPr="00DD1A20">
        <w:rPr>
          <w:bCs/>
          <w:i/>
          <w:vertAlign w:val="subscript"/>
        </w:rPr>
        <w:t>q</w:t>
      </w:r>
      <w:r w:rsidRPr="00DD1A20">
        <w:rPr>
          <w:bCs/>
          <w:iCs/>
        </w:rPr>
        <w:t xml:space="preserve"> + </w:t>
      </w:r>
      <w:r w:rsidRPr="00DD1A20">
        <w:rPr>
          <w:noProof/>
          <w:position w:val="-20"/>
        </w:rPr>
        <w:drawing>
          <wp:inline distT="0" distB="0" distL="0" distR="0" wp14:anchorId="10781E43" wp14:editId="6B2DBCD7">
            <wp:extent cx="142875" cy="2762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(RTPCNS </w:t>
      </w:r>
      <w:r w:rsidRPr="00DD1A20">
        <w:rPr>
          <w:bCs/>
          <w:i/>
          <w:vertAlign w:val="subscript"/>
          <w:lang w:val="es-ES"/>
        </w:rPr>
        <w:t>q, m</w:t>
      </w:r>
      <w:r w:rsidRPr="00DD1A20">
        <w:rPr>
          <w:bCs/>
          <w:lang w:val="es-ES"/>
        </w:rPr>
        <w:t xml:space="preserve">) + PCNS </w:t>
      </w:r>
      <w:r w:rsidRPr="00DD1A20">
        <w:rPr>
          <w:bCs/>
          <w:i/>
          <w:vertAlign w:val="subscript"/>
          <w:lang w:val="es-ES"/>
        </w:rPr>
        <w:t>q</w:t>
      </w:r>
      <w:r w:rsidRPr="00DD1A20">
        <w:rPr>
          <w:bCs/>
          <w:lang w:val="es-ES"/>
        </w:rPr>
        <w:t xml:space="preserve"> + RUCNSQ </w:t>
      </w:r>
      <w:r w:rsidRPr="00DD1A20">
        <w:rPr>
          <w:bCs/>
          <w:i/>
          <w:vertAlign w:val="subscript"/>
          <w:lang w:val="es-ES"/>
        </w:rPr>
        <w:t>q</w:t>
      </w:r>
      <w:r w:rsidRPr="00DD1A20">
        <w:rPr>
          <w:bCs/>
          <w:lang w:val="es-ES"/>
        </w:rPr>
        <w:t>) – (</w:t>
      </w:r>
      <w:r w:rsidRPr="00DD1A20">
        <w:rPr>
          <w:bCs/>
          <w:iCs/>
        </w:rPr>
        <w:t xml:space="preserve">NSTRPQ </w:t>
      </w:r>
      <w:r w:rsidRPr="00DD1A20">
        <w:rPr>
          <w:bCs/>
          <w:i/>
          <w:vertAlign w:val="subscript"/>
        </w:rPr>
        <w:t>q</w:t>
      </w:r>
      <w:r w:rsidRPr="00DD1A20">
        <w:rPr>
          <w:bCs/>
          <w:iCs/>
        </w:rPr>
        <w:t xml:space="preserve"> + </w:t>
      </w:r>
      <w:r w:rsidRPr="00DD1A20">
        <w:rPr>
          <w:bCs/>
          <w:lang w:val="es-ES"/>
        </w:rPr>
        <w:t xml:space="preserve">NSFQ </w:t>
      </w:r>
      <w:r w:rsidRPr="00DD1A20">
        <w:rPr>
          <w:bCs/>
          <w:i/>
          <w:vertAlign w:val="subscript"/>
          <w:lang w:val="es-ES"/>
        </w:rPr>
        <w:t>q</w:t>
      </w:r>
      <w:r w:rsidRPr="00DD1A20">
        <w:rPr>
          <w:bCs/>
          <w:lang w:val="es-ES"/>
        </w:rPr>
        <w:t xml:space="preserve"> + RNSFQ</w:t>
      </w:r>
      <w:r w:rsidRPr="00DD1A20">
        <w:rPr>
          <w:bCs/>
          <w:i/>
          <w:vertAlign w:val="subscript"/>
          <w:lang w:val="es-ES"/>
        </w:rPr>
        <w:t xml:space="preserve"> q</w:t>
      </w:r>
      <w:r w:rsidRPr="00DD1A20">
        <w:rPr>
          <w:bCs/>
          <w:lang w:val="es-ES"/>
        </w:rPr>
        <w:t xml:space="preserve"> + NSINFQ </w:t>
      </w:r>
      <w:r w:rsidRPr="00DD1A20">
        <w:rPr>
          <w:bCs/>
          <w:i/>
          <w:iCs/>
          <w:vertAlign w:val="subscript"/>
          <w:lang w:val="es-ES"/>
        </w:rPr>
        <w:t>q</w:t>
      </w:r>
      <w:r w:rsidRPr="00DD1A20">
        <w:rPr>
          <w:bCs/>
          <w:lang w:val="es-ES"/>
        </w:rPr>
        <w:t>)</w:t>
      </w:r>
      <w:r w:rsidRPr="00DD1A20">
        <w:rPr>
          <w:bCs/>
          <w:iCs/>
        </w:rPr>
        <w:t xml:space="preserve">] </w:t>
      </w:r>
      <w:r w:rsidRPr="00DD1A20">
        <w:rPr>
          <w:bCs/>
          <w:lang w:val="es-ES"/>
        </w:rPr>
        <w:t>–</w:t>
      </w:r>
      <w:r w:rsidRPr="00DD1A20">
        <w:rPr>
          <w:position w:val="-18"/>
        </w:rPr>
        <w:object w:dxaOrig="225" w:dyaOrig="420" w14:anchorId="4D4BF6B6">
          <v:shape id="_x0000_i1345" type="#_x0000_t75" style="width:12pt;height:24pt" o:ole="">
            <v:imagedata r:id="rId159" o:title=""/>
          </v:shape>
          <o:OLEObject Type="Embed" ProgID="Equation.3" ShapeID="_x0000_i1345" DrawAspect="Content" ObjectID="_1804653828" r:id="rId427"/>
        </w:object>
      </w:r>
      <w:r w:rsidRPr="00DD1A20">
        <w:rPr>
          <w:bCs/>
          <w:iCs/>
        </w:rPr>
        <w:t>TELNSRC</w:t>
      </w:r>
      <w:r w:rsidRPr="00DD1A20">
        <w:rPr>
          <w:bCs/>
          <w:i/>
          <w:vertAlign w:val="subscript"/>
          <w:lang w:val="es-ES"/>
        </w:rPr>
        <w:t xml:space="preserve"> q, r</w:t>
      </w:r>
      <w:r w:rsidRPr="00DD1A20">
        <w:rPr>
          <w:bCs/>
          <w:iCs/>
          <w:lang w:val="es-ES"/>
        </w:rPr>
        <w:t>, 0)</w:t>
      </w:r>
    </w:p>
    <w:p w14:paraId="1F4FE5A8" w14:textId="77777777" w:rsidR="00745851" w:rsidRPr="00DD1A20" w:rsidRDefault="00745851" w:rsidP="00745851">
      <w:pPr>
        <w:spacing w:after="240"/>
        <w:ind w:leftChars="300" w:left="780" w:hangingChars="25" w:hanging="60"/>
        <w:rPr>
          <w:bCs/>
          <w:iCs/>
        </w:rPr>
      </w:pPr>
      <w:r w:rsidRPr="00C22DE9">
        <w:t>Where</w:t>
      </w:r>
      <w:r w:rsidRPr="00DD1A20">
        <w:rPr>
          <w:bCs/>
          <w:iCs/>
        </w:rPr>
        <w:t xml:space="preserve"> for Load Resources, other than Controllable Load Resources, during a Non-Spin deployment event:</w:t>
      </w:r>
    </w:p>
    <w:p w14:paraId="572A1660" w14:textId="77777777" w:rsidR="00745851" w:rsidRPr="00DD1A20" w:rsidRDefault="00745851" w:rsidP="00745851">
      <w:pPr>
        <w:spacing w:after="240"/>
        <w:ind w:leftChars="300" w:left="2880" w:hangingChars="900" w:hanging="2160"/>
      </w:pPr>
      <w:r w:rsidRPr="00DD1A20">
        <w:rPr>
          <w:bCs/>
          <w:iCs/>
        </w:rPr>
        <w:t xml:space="preserve">TELNSRC </w:t>
      </w:r>
      <w:r w:rsidRPr="00DD1A20">
        <w:rPr>
          <w:bCs/>
          <w:i/>
          <w:vertAlign w:val="subscript"/>
        </w:rPr>
        <w:t>q</w:t>
      </w:r>
      <w:r w:rsidRPr="00DD1A20">
        <w:rPr>
          <w:bCs/>
          <w:i/>
          <w:vertAlign w:val="subscript"/>
          <w:lang w:val="es-ES"/>
        </w:rPr>
        <w:t xml:space="preserve">, r  </w:t>
      </w:r>
      <w:r w:rsidRPr="00DD1A20">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which will be used 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 xml:space="preserve">q, </w:t>
      </w:r>
      <w:r>
        <w:rPr>
          <w:bCs/>
          <w:i/>
          <w:vertAlign w:val="subscript"/>
          <w:lang w:val="es-ES"/>
        </w:rPr>
        <w:t>r</w:t>
      </w:r>
      <w:r w:rsidRPr="00DD1A20">
        <w:rPr>
          <w:bCs/>
          <w:iCs/>
          <w:lang w:val="es-ES"/>
        </w:rPr>
        <w:t xml:space="preserve"> </w:t>
      </w:r>
      <w:r w:rsidRPr="00DD1A20">
        <w:t>will be the time of the first deployment</w:t>
      </w:r>
    </w:p>
    <w:p w14:paraId="04A9517F"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 Non-Spin deployment event:</w:t>
      </w:r>
    </w:p>
    <w:p w14:paraId="6EA828D6" w14:textId="77777777" w:rsidR="00745851" w:rsidRPr="00DD1A20" w:rsidRDefault="00745851" w:rsidP="00745851">
      <w:pPr>
        <w:spacing w:after="240"/>
        <w:ind w:leftChars="300" w:left="2880" w:hangingChars="900" w:hanging="2160"/>
        <w:rPr>
          <w:bCs/>
          <w:iCs/>
          <w:lang w:val="fr-FR"/>
        </w:rPr>
      </w:pPr>
      <w:r w:rsidRPr="00DD1A20">
        <w:rPr>
          <w:bCs/>
          <w:iCs/>
        </w:rPr>
        <w:t>TELNSRC</w:t>
      </w:r>
      <w:r w:rsidRPr="00DD1A20">
        <w:rPr>
          <w:bCs/>
          <w:i/>
          <w:vertAlign w:val="subscript"/>
        </w:rPr>
        <w:t xml:space="preserve"> q, </w:t>
      </w:r>
      <w:r w:rsidRPr="00DD1A20">
        <w:rPr>
          <w:bCs/>
          <w:i/>
          <w:vertAlign w:val="subscript"/>
          <w:lang w:val="es-ES"/>
        </w:rPr>
        <w:t>r</w:t>
      </w:r>
      <w:r w:rsidRPr="00DD1A20">
        <w:rPr>
          <w:bCs/>
          <w:iCs/>
        </w:rPr>
        <w:t xml:space="preserve"> </w:t>
      </w:r>
      <w:r w:rsidRPr="00DD1A20">
        <w:t>=</w:t>
      </w:r>
      <w:r w:rsidRPr="00DD1A20">
        <w:rPr>
          <w:bCs/>
          <w:iCs/>
        </w:rPr>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p>
    <w:p w14:paraId="44338052" w14:textId="77777777" w:rsidR="00745851" w:rsidRPr="00DD1A20" w:rsidRDefault="00745851" w:rsidP="00745851">
      <w:pPr>
        <w:spacing w:after="240"/>
        <w:ind w:leftChars="300" w:left="2880" w:hangingChars="900" w:hanging="2160"/>
        <w:rPr>
          <w:bCs/>
          <w:lang w:val="fr-FR"/>
        </w:rPr>
      </w:pPr>
      <w:r w:rsidRPr="00DD1A20">
        <w:rPr>
          <w:bCs/>
          <w:lang w:val="fr-FR"/>
        </w:rPr>
        <w:t xml:space="preserve">SANSQ </w:t>
      </w:r>
      <w:r w:rsidRPr="00DD1A20">
        <w:rPr>
          <w:bCs/>
          <w:i/>
          <w:vertAlign w:val="subscript"/>
          <w:lang w:val="fr-FR"/>
        </w:rPr>
        <w:t xml:space="preserve">q </w:t>
      </w:r>
      <w:r w:rsidRPr="00DD1A20">
        <w:rPr>
          <w:bCs/>
          <w:lang w:val="fr-FR"/>
        </w:rPr>
        <w:t xml:space="preserve">= DASANSQ </w:t>
      </w:r>
      <w:r w:rsidRPr="00DD1A20">
        <w:rPr>
          <w:bCs/>
          <w:i/>
          <w:vertAlign w:val="subscript"/>
          <w:lang w:val="fr-FR"/>
        </w:rPr>
        <w:t>q</w:t>
      </w:r>
      <w:r w:rsidRPr="00DD1A20">
        <w:rPr>
          <w:bCs/>
          <w:lang w:val="fr-FR"/>
        </w:rPr>
        <w:t xml:space="preserve"> + RTSANSQ </w:t>
      </w:r>
      <w:r w:rsidRPr="00DD1A20">
        <w:rPr>
          <w:bCs/>
          <w:i/>
          <w:vertAlign w:val="subscript"/>
          <w:lang w:val="fr-FR"/>
        </w:rPr>
        <w:t>q</w:t>
      </w:r>
    </w:p>
    <w:p w14:paraId="06CE96E5" w14:textId="77777777" w:rsidR="00745851" w:rsidRPr="00DD1A20" w:rsidRDefault="00745851" w:rsidP="00745851">
      <w:r w:rsidRPr="00DD1A20">
        <w:t>The above variables are defined as follows:</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839"/>
        <w:gridCol w:w="6421"/>
      </w:tblGrid>
      <w:tr w:rsidR="00745851" w:rsidRPr="00DD1A20" w14:paraId="48AEA769" w14:textId="77777777" w:rsidTr="00507A85">
        <w:tc>
          <w:tcPr>
            <w:tcW w:w="1054" w:type="pct"/>
          </w:tcPr>
          <w:p w14:paraId="3E7F7F25" w14:textId="77777777" w:rsidR="00745851" w:rsidRPr="00DD1A20" w:rsidRDefault="00745851" w:rsidP="00507A85">
            <w:pPr>
              <w:spacing w:after="240"/>
              <w:rPr>
                <w:b/>
                <w:iCs/>
                <w:sz w:val="20"/>
              </w:rPr>
            </w:pPr>
            <w:r w:rsidRPr="00DD1A20">
              <w:rPr>
                <w:b/>
                <w:iCs/>
                <w:sz w:val="20"/>
              </w:rPr>
              <w:t>Variable</w:t>
            </w:r>
          </w:p>
        </w:tc>
        <w:tc>
          <w:tcPr>
            <w:tcW w:w="456" w:type="pct"/>
          </w:tcPr>
          <w:p w14:paraId="3C3D91DF" w14:textId="77777777" w:rsidR="00745851" w:rsidRPr="00DD1A20" w:rsidRDefault="00745851" w:rsidP="00507A85">
            <w:pPr>
              <w:spacing w:after="240"/>
              <w:rPr>
                <w:b/>
                <w:iCs/>
                <w:sz w:val="20"/>
              </w:rPr>
            </w:pPr>
            <w:r w:rsidRPr="00DD1A20">
              <w:rPr>
                <w:b/>
                <w:iCs/>
                <w:sz w:val="20"/>
              </w:rPr>
              <w:t>Unit</w:t>
            </w:r>
          </w:p>
        </w:tc>
        <w:tc>
          <w:tcPr>
            <w:tcW w:w="3490" w:type="pct"/>
          </w:tcPr>
          <w:p w14:paraId="2111F347" w14:textId="77777777" w:rsidR="00745851" w:rsidRPr="00DD1A20" w:rsidRDefault="00745851" w:rsidP="00507A85">
            <w:pPr>
              <w:spacing w:after="240"/>
              <w:rPr>
                <w:b/>
                <w:iCs/>
                <w:sz w:val="20"/>
              </w:rPr>
            </w:pPr>
            <w:r w:rsidRPr="00DD1A20">
              <w:rPr>
                <w:b/>
                <w:iCs/>
                <w:sz w:val="20"/>
              </w:rPr>
              <w:t>Description</w:t>
            </w:r>
          </w:p>
        </w:tc>
      </w:tr>
      <w:tr w:rsidR="00745851" w:rsidRPr="00DD1A20" w14:paraId="445ACAEB" w14:textId="77777777" w:rsidTr="00507A85">
        <w:tc>
          <w:tcPr>
            <w:tcW w:w="1054" w:type="pct"/>
          </w:tcPr>
          <w:p w14:paraId="6F593EF5" w14:textId="77777777" w:rsidR="00745851" w:rsidRPr="00DD1A20" w:rsidRDefault="00745851" w:rsidP="00507A85">
            <w:pPr>
              <w:spacing w:after="60"/>
              <w:rPr>
                <w:iCs/>
                <w:sz w:val="20"/>
              </w:rPr>
            </w:pPr>
            <w:r w:rsidRPr="00DD1A20">
              <w:rPr>
                <w:iCs/>
                <w:sz w:val="20"/>
              </w:rPr>
              <w:t xml:space="preserve">NSFQAMTQSETOT </w:t>
            </w:r>
            <w:r w:rsidRPr="00DD1A20">
              <w:rPr>
                <w:i/>
                <w:iCs/>
                <w:sz w:val="20"/>
                <w:vertAlign w:val="subscript"/>
              </w:rPr>
              <w:t>q</w:t>
            </w:r>
          </w:p>
        </w:tc>
        <w:tc>
          <w:tcPr>
            <w:tcW w:w="456" w:type="pct"/>
          </w:tcPr>
          <w:p w14:paraId="4DD138B6" w14:textId="77777777" w:rsidR="00745851" w:rsidRPr="00DD1A20" w:rsidRDefault="00745851" w:rsidP="00507A85">
            <w:pPr>
              <w:spacing w:after="60"/>
              <w:rPr>
                <w:iCs/>
                <w:sz w:val="20"/>
              </w:rPr>
            </w:pPr>
            <w:r w:rsidRPr="00DD1A20">
              <w:rPr>
                <w:iCs/>
                <w:sz w:val="20"/>
              </w:rPr>
              <w:t>$</w:t>
            </w:r>
          </w:p>
        </w:tc>
        <w:tc>
          <w:tcPr>
            <w:tcW w:w="3490" w:type="pct"/>
          </w:tcPr>
          <w:p w14:paraId="6E7973C2" w14:textId="77777777" w:rsidR="00745851" w:rsidRPr="00DD1A20" w:rsidRDefault="00745851" w:rsidP="00507A85">
            <w:pPr>
              <w:spacing w:after="60"/>
              <w:rPr>
                <w:i/>
                <w:iCs/>
                <w:sz w:val="20"/>
              </w:rPr>
            </w:pPr>
            <w:r w:rsidRPr="00DD1A20">
              <w:rPr>
                <w:i/>
                <w:iCs/>
                <w:sz w:val="20"/>
              </w:rPr>
              <w:t>Non-Spin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Non-Spin, for the hour.</w:t>
            </w:r>
          </w:p>
        </w:tc>
      </w:tr>
      <w:tr w:rsidR="00745851" w:rsidRPr="00DD1A20" w14:paraId="45A7EC77" w14:textId="77777777" w:rsidTr="00507A85">
        <w:tc>
          <w:tcPr>
            <w:tcW w:w="1054" w:type="pct"/>
          </w:tcPr>
          <w:p w14:paraId="6A277382" w14:textId="77777777" w:rsidR="00745851" w:rsidRPr="00DD1A20" w:rsidRDefault="00745851" w:rsidP="00507A85">
            <w:pPr>
              <w:spacing w:after="60"/>
              <w:rPr>
                <w:iCs/>
                <w:sz w:val="20"/>
              </w:rPr>
            </w:pPr>
            <w:r w:rsidRPr="00DD1A20">
              <w:rPr>
                <w:iCs/>
                <w:sz w:val="20"/>
              </w:rPr>
              <w:t xml:space="preserve">RNSFQAMT </w:t>
            </w:r>
            <w:r w:rsidRPr="00DD1A20">
              <w:rPr>
                <w:i/>
                <w:iCs/>
                <w:sz w:val="20"/>
                <w:vertAlign w:val="subscript"/>
              </w:rPr>
              <w:t>q</w:t>
            </w:r>
          </w:p>
        </w:tc>
        <w:tc>
          <w:tcPr>
            <w:tcW w:w="456" w:type="pct"/>
          </w:tcPr>
          <w:p w14:paraId="06872FC7" w14:textId="77777777" w:rsidR="00745851" w:rsidRPr="00DD1A20" w:rsidRDefault="00745851" w:rsidP="00507A85">
            <w:pPr>
              <w:spacing w:after="60"/>
              <w:rPr>
                <w:iCs/>
                <w:sz w:val="20"/>
              </w:rPr>
            </w:pPr>
            <w:r w:rsidRPr="00DD1A20">
              <w:rPr>
                <w:iCs/>
                <w:sz w:val="20"/>
              </w:rPr>
              <w:t>$</w:t>
            </w:r>
          </w:p>
        </w:tc>
        <w:tc>
          <w:tcPr>
            <w:tcW w:w="3490" w:type="pct"/>
          </w:tcPr>
          <w:p w14:paraId="0B4087D7"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Non-Spin, for the hour.</w:t>
            </w:r>
          </w:p>
        </w:tc>
      </w:tr>
      <w:tr w:rsidR="00745851" w:rsidRPr="00DD1A20" w14:paraId="28F8FE88" w14:textId="77777777" w:rsidTr="00507A85">
        <w:tc>
          <w:tcPr>
            <w:tcW w:w="1054" w:type="pct"/>
          </w:tcPr>
          <w:p w14:paraId="56277542" w14:textId="77777777" w:rsidR="00745851" w:rsidRPr="00DD1A20" w:rsidRDefault="00745851" w:rsidP="00507A85">
            <w:pPr>
              <w:spacing w:after="60"/>
              <w:rPr>
                <w:iCs/>
                <w:sz w:val="20"/>
              </w:rPr>
            </w:pPr>
            <w:r w:rsidRPr="00DD1A20">
              <w:rPr>
                <w:iCs/>
                <w:sz w:val="20"/>
              </w:rPr>
              <w:t xml:space="preserve">NSFQAMT </w:t>
            </w:r>
            <w:r w:rsidRPr="00DD1A20">
              <w:rPr>
                <w:i/>
                <w:iCs/>
                <w:sz w:val="20"/>
                <w:vertAlign w:val="subscript"/>
              </w:rPr>
              <w:t>q</w:t>
            </w:r>
          </w:p>
        </w:tc>
        <w:tc>
          <w:tcPr>
            <w:tcW w:w="456" w:type="pct"/>
          </w:tcPr>
          <w:p w14:paraId="42CA519F" w14:textId="77777777" w:rsidR="00745851" w:rsidRPr="00DD1A20" w:rsidRDefault="00745851" w:rsidP="00507A85">
            <w:pPr>
              <w:spacing w:after="60"/>
              <w:rPr>
                <w:iCs/>
                <w:sz w:val="20"/>
              </w:rPr>
            </w:pPr>
            <w:r w:rsidRPr="00DD1A20">
              <w:rPr>
                <w:iCs/>
                <w:sz w:val="20"/>
              </w:rPr>
              <w:t>$</w:t>
            </w:r>
          </w:p>
        </w:tc>
        <w:tc>
          <w:tcPr>
            <w:tcW w:w="3490" w:type="pct"/>
          </w:tcPr>
          <w:p w14:paraId="66AA2923" w14:textId="77777777" w:rsidR="00745851" w:rsidRPr="00DD1A20" w:rsidRDefault="00745851" w:rsidP="00507A85">
            <w:pPr>
              <w:spacing w:after="60"/>
              <w:rPr>
                <w:iCs/>
                <w:sz w:val="20"/>
              </w:rPr>
            </w:pP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Non-Spin, for the hour.</w:t>
            </w:r>
          </w:p>
        </w:tc>
      </w:tr>
      <w:tr w:rsidR="00745851" w:rsidRPr="00DD1A20" w14:paraId="6090212A" w14:textId="77777777" w:rsidTr="00507A85">
        <w:tc>
          <w:tcPr>
            <w:tcW w:w="1054" w:type="pct"/>
            <w:tcBorders>
              <w:top w:val="single" w:sz="4" w:space="0" w:color="auto"/>
              <w:left w:val="single" w:sz="4" w:space="0" w:color="auto"/>
              <w:bottom w:val="single" w:sz="4" w:space="0" w:color="auto"/>
              <w:right w:val="single" w:sz="4" w:space="0" w:color="auto"/>
            </w:tcBorders>
          </w:tcPr>
          <w:p w14:paraId="73496093" w14:textId="77777777" w:rsidR="00745851" w:rsidRPr="00DD1A20" w:rsidRDefault="00745851" w:rsidP="00507A85">
            <w:pPr>
              <w:spacing w:after="60"/>
              <w:rPr>
                <w:iCs/>
                <w:sz w:val="20"/>
              </w:rPr>
            </w:pPr>
            <w:r w:rsidRPr="00DD1A20">
              <w:rPr>
                <w:iCs/>
                <w:sz w:val="20"/>
              </w:rPr>
              <w:t xml:space="preserve">MCPCNS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610AD7F1" w14:textId="77777777" w:rsidR="00745851" w:rsidRPr="00DD1A20" w:rsidRDefault="00745851" w:rsidP="00507A85">
            <w:pPr>
              <w:spacing w:after="60"/>
              <w:rPr>
                <w:iCs/>
                <w:sz w:val="20"/>
              </w:rPr>
            </w:pPr>
            <w:r w:rsidRPr="00DD1A20">
              <w:rPr>
                <w:iCs/>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780B3228" w14:textId="77777777" w:rsidR="00745851" w:rsidRPr="00DD1A20" w:rsidRDefault="00745851" w:rsidP="00507A85">
            <w:pPr>
              <w:spacing w:after="60"/>
              <w:rPr>
                <w:i/>
                <w:iCs/>
                <w:sz w:val="20"/>
              </w:rPr>
            </w:pPr>
            <w:r w:rsidRPr="00DD1A20">
              <w:rPr>
                <w:i/>
                <w:iCs/>
                <w:sz w:val="20"/>
              </w:rPr>
              <w:t>Market Clearing Price for Capacity for Non-Spin by market—</w:t>
            </w:r>
            <w:r w:rsidRPr="00DD1A20">
              <w:rPr>
                <w:iCs/>
                <w:sz w:val="20"/>
              </w:rPr>
              <w:t xml:space="preserve">The MCPC for Non-Spin in the market </w:t>
            </w:r>
            <w:r w:rsidRPr="00DD1A20">
              <w:rPr>
                <w:i/>
                <w:iCs/>
                <w:sz w:val="20"/>
              </w:rPr>
              <w:t>m</w:t>
            </w:r>
            <w:r w:rsidRPr="00DD1A20">
              <w:rPr>
                <w:iCs/>
                <w:sz w:val="20"/>
              </w:rPr>
              <w:t>, for the hour.</w:t>
            </w:r>
          </w:p>
        </w:tc>
      </w:tr>
      <w:tr w:rsidR="00745851" w:rsidRPr="00DD1A20" w14:paraId="750CDC51" w14:textId="77777777" w:rsidTr="00507A85">
        <w:tc>
          <w:tcPr>
            <w:tcW w:w="1054" w:type="pct"/>
            <w:tcBorders>
              <w:top w:val="single" w:sz="4" w:space="0" w:color="auto"/>
              <w:left w:val="single" w:sz="4" w:space="0" w:color="auto"/>
              <w:bottom w:val="single" w:sz="4" w:space="0" w:color="auto"/>
              <w:right w:val="single" w:sz="4" w:space="0" w:color="auto"/>
            </w:tcBorders>
          </w:tcPr>
          <w:p w14:paraId="1455332F" w14:textId="77777777" w:rsidR="00745851" w:rsidRPr="00DD1A20" w:rsidRDefault="00745851" w:rsidP="00507A85">
            <w:pPr>
              <w:spacing w:after="60"/>
              <w:rPr>
                <w:iCs/>
                <w:sz w:val="20"/>
              </w:rPr>
            </w:pPr>
            <w:r w:rsidRPr="00DD1A20">
              <w:rPr>
                <w:sz w:val="20"/>
              </w:rPr>
              <w:lastRenderedPageBreak/>
              <w:t xml:space="preserve">MCPCNS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23994D45"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4B361693" w14:textId="77777777" w:rsidR="00745851" w:rsidRPr="00DD1A20" w:rsidRDefault="00745851" w:rsidP="00507A85">
            <w:pPr>
              <w:spacing w:after="60"/>
              <w:rPr>
                <w:i/>
                <w:iCs/>
                <w:sz w:val="20"/>
              </w:rPr>
            </w:pPr>
            <w:r w:rsidRPr="00DD1A20">
              <w:rPr>
                <w:i/>
                <w:sz w:val="20"/>
              </w:rPr>
              <w:t>Market Clearing Price for Capacity for Non-Spin by RSASM—</w:t>
            </w:r>
            <w:r w:rsidRPr="00DD1A20">
              <w:rPr>
                <w:sz w:val="20"/>
              </w:rPr>
              <w:t xml:space="preserve">The MCPC for Non-Spin in the RSASM </w:t>
            </w:r>
            <w:r w:rsidRPr="00DD1A20">
              <w:rPr>
                <w:i/>
                <w:sz w:val="20"/>
              </w:rPr>
              <w:t>rs</w:t>
            </w:r>
            <w:r w:rsidRPr="00DD1A20">
              <w:rPr>
                <w:sz w:val="20"/>
              </w:rPr>
              <w:t>, for the hour.</w:t>
            </w:r>
          </w:p>
        </w:tc>
      </w:tr>
      <w:tr w:rsidR="00745851" w:rsidRPr="00DD1A20" w14:paraId="202E1CD1" w14:textId="77777777" w:rsidTr="00507A85">
        <w:tc>
          <w:tcPr>
            <w:tcW w:w="1054" w:type="pct"/>
            <w:tcBorders>
              <w:top w:val="single" w:sz="4" w:space="0" w:color="auto"/>
              <w:left w:val="single" w:sz="4" w:space="0" w:color="auto"/>
              <w:bottom w:val="single" w:sz="4" w:space="0" w:color="auto"/>
              <w:right w:val="single" w:sz="4" w:space="0" w:color="auto"/>
            </w:tcBorders>
          </w:tcPr>
          <w:p w14:paraId="096D043E" w14:textId="77777777" w:rsidR="00745851" w:rsidRPr="00DD1A20" w:rsidRDefault="00745851" w:rsidP="00507A85">
            <w:pPr>
              <w:spacing w:after="60"/>
              <w:rPr>
                <w:iCs/>
                <w:sz w:val="20"/>
              </w:rPr>
            </w:pPr>
            <w:r w:rsidRPr="00DD1A20">
              <w:rPr>
                <w:iCs/>
                <w:sz w:val="20"/>
              </w:rPr>
              <w:t xml:space="preserve">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64878E5" w14:textId="77777777" w:rsidR="00745851" w:rsidRPr="00DD1A20" w:rsidRDefault="00745851" w:rsidP="00507A85">
            <w:pPr>
              <w:spacing w:after="60"/>
              <w:rPr>
                <w:iCs/>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552AFC7" w14:textId="77777777" w:rsidR="00745851" w:rsidRPr="00DD1A20" w:rsidRDefault="00745851" w:rsidP="00507A85">
            <w:pPr>
              <w:spacing w:after="60"/>
              <w:rPr>
                <w:i/>
                <w:iCs/>
                <w:sz w:val="20"/>
              </w:rPr>
            </w:pPr>
            <w:r w:rsidRPr="00DD1A20">
              <w:rPr>
                <w:i/>
                <w:iCs/>
                <w:sz w:val="20"/>
              </w:rPr>
              <w:t>Non-Spin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Non-Spin, for the hour.</w:t>
            </w:r>
          </w:p>
        </w:tc>
      </w:tr>
      <w:tr w:rsidR="00745851" w:rsidRPr="00DD1A20" w14:paraId="4AFB3875" w14:textId="77777777" w:rsidTr="00507A85">
        <w:tc>
          <w:tcPr>
            <w:tcW w:w="1054" w:type="pct"/>
            <w:tcBorders>
              <w:top w:val="single" w:sz="4" w:space="0" w:color="auto"/>
              <w:left w:val="single" w:sz="4" w:space="0" w:color="auto"/>
              <w:bottom w:val="single" w:sz="4" w:space="0" w:color="auto"/>
              <w:right w:val="single" w:sz="4" w:space="0" w:color="auto"/>
            </w:tcBorders>
          </w:tcPr>
          <w:p w14:paraId="24144842" w14:textId="77777777" w:rsidR="00745851" w:rsidRPr="00DD1A20" w:rsidRDefault="00745851" w:rsidP="00507A85">
            <w:pPr>
              <w:spacing w:after="60"/>
              <w:rPr>
                <w:iCs/>
                <w:sz w:val="20"/>
              </w:rPr>
            </w:pPr>
            <w:r w:rsidRPr="00DD1A20">
              <w:rPr>
                <w:sz w:val="20"/>
              </w:rPr>
              <w:t xml:space="preserve">RNSFQ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3924C6A5" w14:textId="77777777" w:rsidR="00745851" w:rsidRPr="00DD1A20" w:rsidRDefault="00745851" w:rsidP="00507A85">
            <w:pPr>
              <w:spacing w:after="60"/>
              <w:rPr>
                <w:iCs/>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2E58A65" w14:textId="77777777" w:rsidR="00745851" w:rsidRPr="00DD1A20" w:rsidRDefault="00745851" w:rsidP="00507A85">
            <w:pPr>
              <w:spacing w:after="60"/>
              <w:rPr>
                <w:iCs/>
                <w:sz w:val="20"/>
              </w:rPr>
            </w:pPr>
            <w:r w:rsidRPr="00DD1A20">
              <w:rPr>
                <w:i/>
                <w:sz w:val="20"/>
              </w:rPr>
              <w:t>Reconfiguration Non-Spin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Non-Spin, for the hour.</w:t>
            </w:r>
          </w:p>
        </w:tc>
      </w:tr>
      <w:tr w:rsidR="00745851" w:rsidRPr="00DD1A20" w14:paraId="2B040967" w14:textId="77777777" w:rsidTr="00507A85">
        <w:tc>
          <w:tcPr>
            <w:tcW w:w="1054" w:type="pct"/>
            <w:tcBorders>
              <w:top w:val="single" w:sz="4" w:space="0" w:color="auto"/>
              <w:left w:val="single" w:sz="4" w:space="0" w:color="auto"/>
              <w:bottom w:val="single" w:sz="4" w:space="0" w:color="auto"/>
              <w:right w:val="single" w:sz="4" w:space="0" w:color="auto"/>
            </w:tcBorders>
          </w:tcPr>
          <w:p w14:paraId="22B1AC55" w14:textId="77777777" w:rsidR="00745851" w:rsidRPr="00DD1A20" w:rsidRDefault="00745851" w:rsidP="00507A85">
            <w:pPr>
              <w:spacing w:after="60"/>
              <w:rPr>
                <w:bCs/>
                <w:iCs/>
                <w:sz w:val="20"/>
                <w:lang w:val="fr-FR"/>
              </w:rPr>
            </w:pPr>
            <w:r w:rsidRPr="00DD1A20">
              <w:rPr>
                <w:sz w:val="20"/>
              </w:rPr>
              <w:t xml:space="preserve">RTRDP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52D0BD4"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7C2B7A69"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7DDE9E34" w14:textId="77777777" w:rsidTr="00507A85">
        <w:tc>
          <w:tcPr>
            <w:tcW w:w="1054" w:type="pct"/>
            <w:tcBorders>
              <w:top w:val="single" w:sz="4" w:space="0" w:color="auto"/>
              <w:left w:val="single" w:sz="4" w:space="0" w:color="auto"/>
              <w:bottom w:val="single" w:sz="4" w:space="0" w:color="auto"/>
              <w:right w:val="single" w:sz="4" w:space="0" w:color="auto"/>
            </w:tcBorders>
          </w:tcPr>
          <w:p w14:paraId="54E9869D"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DDE18D8"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6C6BC7D8"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239F5AF6" w14:textId="77777777" w:rsidTr="00507A85">
        <w:tc>
          <w:tcPr>
            <w:tcW w:w="1054" w:type="pct"/>
            <w:tcBorders>
              <w:top w:val="single" w:sz="4" w:space="0" w:color="auto"/>
              <w:left w:val="single" w:sz="4" w:space="0" w:color="auto"/>
              <w:bottom w:val="single" w:sz="4" w:space="0" w:color="auto"/>
              <w:right w:val="single" w:sz="4" w:space="0" w:color="auto"/>
            </w:tcBorders>
          </w:tcPr>
          <w:p w14:paraId="60683117" w14:textId="77777777" w:rsidR="00745851" w:rsidRPr="00DD1A20" w:rsidRDefault="00745851" w:rsidP="00507A85">
            <w:pPr>
              <w:spacing w:after="60"/>
              <w:rPr>
                <w:bCs/>
                <w:iCs/>
                <w:sz w:val="20"/>
                <w:lang w:val="fr-FR"/>
              </w:rPr>
            </w:pPr>
            <w:r w:rsidRPr="00DD1A20">
              <w:rPr>
                <w:iCs/>
                <w:sz w:val="20"/>
              </w:rPr>
              <w:t>AVGRTASIP</w:t>
            </w:r>
          </w:p>
        </w:tc>
        <w:tc>
          <w:tcPr>
            <w:tcW w:w="456" w:type="pct"/>
            <w:tcBorders>
              <w:top w:val="single" w:sz="4" w:space="0" w:color="auto"/>
              <w:left w:val="single" w:sz="4" w:space="0" w:color="auto"/>
              <w:bottom w:val="single" w:sz="4" w:space="0" w:color="auto"/>
              <w:right w:val="single" w:sz="4" w:space="0" w:color="auto"/>
            </w:tcBorders>
          </w:tcPr>
          <w:p w14:paraId="18303778"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0CCCB097" w14:textId="77777777" w:rsidR="00745851" w:rsidRPr="00DD1A20" w:rsidRDefault="00745851" w:rsidP="00507A85">
            <w:pPr>
              <w:spacing w:after="60"/>
              <w:rPr>
                <w:i/>
                <w:iCs/>
                <w:sz w:val="20"/>
              </w:rPr>
            </w:pPr>
            <w:r w:rsidRPr="00DD1A20">
              <w:rPr>
                <w:i/>
                <w:sz w:val="20"/>
              </w:rPr>
              <w:t>Average Real-Time Ancillary Service Imbalance 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48B75C87" w14:textId="77777777" w:rsidTr="00507A85">
        <w:tc>
          <w:tcPr>
            <w:tcW w:w="1054" w:type="pct"/>
            <w:tcBorders>
              <w:top w:val="single" w:sz="4" w:space="0" w:color="auto"/>
              <w:left w:val="single" w:sz="4" w:space="0" w:color="auto"/>
              <w:bottom w:val="single" w:sz="4" w:space="0" w:color="auto"/>
              <w:right w:val="single" w:sz="4" w:space="0" w:color="auto"/>
            </w:tcBorders>
          </w:tcPr>
          <w:p w14:paraId="33715B7F" w14:textId="77777777" w:rsidR="00745851" w:rsidRPr="00DD1A20" w:rsidRDefault="00745851" w:rsidP="00507A85">
            <w:pPr>
              <w:spacing w:after="60"/>
              <w:rPr>
                <w:sz w:val="20"/>
              </w:rPr>
            </w:pPr>
            <w:r w:rsidRPr="00DD1A20">
              <w:rPr>
                <w:bCs/>
                <w:iCs/>
                <w:sz w:val="20"/>
                <w:lang w:val="fr-FR"/>
              </w:rPr>
              <w:t xml:space="preserve">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1ECFDF98"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27C1967F" w14:textId="77777777" w:rsidR="00745851" w:rsidRPr="00DD1A20" w:rsidRDefault="00745851" w:rsidP="00507A85">
            <w:pPr>
              <w:spacing w:after="60"/>
              <w:rPr>
                <w:i/>
                <w:sz w:val="20"/>
              </w:rPr>
            </w:pPr>
            <w:r w:rsidRPr="00DD1A20">
              <w:rPr>
                <w:i/>
                <w:iCs/>
                <w:sz w:val="20"/>
              </w:rPr>
              <w:t>Total Self-Arranged Non-Spin Quantity per QSE for all markets</w:t>
            </w:r>
            <w:r w:rsidRPr="00DD1A20">
              <w:rPr>
                <w:iCs/>
                <w:sz w:val="20"/>
              </w:rPr>
              <w:t xml:space="preserve">—The sum of all self-arranged Non-Spin quantities submitted by QSE </w:t>
            </w:r>
            <w:r w:rsidRPr="00DD1A20">
              <w:rPr>
                <w:i/>
                <w:iCs/>
                <w:sz w:val="20"/>
              </w:rPr>
              <w:t>q</w:t>
            </w:r>
            <w:r w:rsidRPr="00DD1A20">
              <w:rPr>
                <w:iCs/>
                <w:sz w:val="20"/>
              </w:rPr>
              <w:t xml:space="preserve"> for DAM and all SASMs.</w:t>
            </w:r>
          </w:p>
        </w:tc>
      </w:tr>
      <w:tr w:rsidR="00745851" w:rsidRPr="00DD1A20" w14:paraId="01008CFB" w14:textId="77777777" w:rsidTr="00507A85">
        <w:tc>
          <w:tcPr>
            <w:tcW w:w="1054" w:type="pct"/>
            <w:tcBorders>
              <w:top w:val="single" w:sz="4" w:space="0" w:color="auto"/>
              <w:left w:val="single" w:sz="4" w:space="0" w:color="auto"/>
              <w:bottom w:val="single" w:sz="4" w:space="0" w:color="auto"/>
              <w:right w:val="single" w:sz="4" w:space="0" w:color="auto"/>
            </w:tcBorders>
          </w:tcPr>
          <w:p w14:paraId="3D659171" w14:textId="77777777" w:rsidR="00745851" w:rsidRPr="00DD1A20" w:rsidRDefault="00745851" w:rsidP="00507A85">
            <w:pPr>
              <w:spacing w:after="60"/>
              <w:rPr>
                <w:sz w:val="20"/>
              </w:rPr>
            </w:pPr>
            <w:r w:rsidRPr="00DD1A20">
              <w:rPr>
                <w:bCs/>
                <w:sz w:val="20"/>
              </w:rPr>
              <w:t>NSTRSQ</w:t>
            </w:r>
            <w:r w:rsidRPr="00DD1A20">
              <w:rPr>
                <w:bCs/>
                <w:i/>
                <w:iCs/>
                <w:sz w:val="20"/>
                <w:vertAlign w:val="subscript"/>
                <w:lang w:val="fr-FR"/>
              </w:rPr>
              <w:t xml:space="preserve"> q</w:t>
            </w:r>
          </w:p>
        </w:tc>
        <w:tc>
          <w:tcPr>
            <w:tcW w:w="456" w:type="pct"/>
            <w:tcBorders>
              <w:top w:val="single" w:sz="4" w:space="0" w:color="auto"/>
              <w:left w:val="single" w:sz="4" w:space="0" w:color="auto"/>
              <w:bottom w:val="single" w:sz="4" w:space="0" w:color="auto"/>
              <w:right w:val="single" w:sz="4" w:space="0" w:color="auto"/>
            </w:tcBorders>
          </w:tcPr>
          <w:p w14:paraId="7C897330"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0150228" w14:textId="77777777" w:rsidR="00745851" w:rsidRPr="00DD1A20" w:rsidRDefault="00745851" w:rsidP="00507A85">
            <w:pPr>
              <w:spacing w:after="60"/>
              <w:rPr>
                <w:i/>
                <w:sz w:val="20"/>
              </w:rPr>
            </w:pPr>
            <w:r w:rsidRPr="00DD1A20">
              <w:rPr>
                <w:i/>
                <w:sz w:val="20"/>
              </w:rPr>
              <w:t>Non-Spinning Reserve Trade Sale per QSE</w:t>
            </w:r>
            <w:r w:rsidRPr="00DD1A20">
              <w:rPr>
                <w:iCs/>
                <w:sz w:val="20"/>
              </w:rPr>
              <w:t xml:space="preserve">—QSE </w:t>
            </w:r>
            <w:r w:rsidRPr="00DD1A20">
              <w:rPr>
                <w:i/>
                <w:iCs/>
                <w:sz w:val="20"/>
              </w:rPr>
              <w:t>q</w:t>
            </w:r>
            <w:r w:rsidRPr="00DD1A20">
              <w:rPr>
                <w:iCs/>
                <w:sz w:val="20"/>
              </w:rPr>
              <w:t>’s total time-weighted average capacity Trade Sale for Non-Spin, for the hour.  The time-weighted average value is rounded to 0.1 MW.</w:t>
            </w:r>
          </w:p>
        </w:tc>
      </w:tr>
      <w:tr w:rsidR="00745851" w:rsidRPr="00DD1A20" w14:paraId="348CB0D7" w14:textId="77777777" w:rsidTr="00507A85">
        <w:tc>
          <w:tcPr>
            <w:tcW w:w="1054" w:type="pct"/>
            <w:tcBorders>
              <w:top w:val="single" w:sz="4" w:space="0" w:color="auto"/>
              <w:left w:val="single" w:sz="4" w:space="0" w:color="auto"/>
              <w:bottom w:val="single" w:sz="4" w:space="0" w:color="auto"/>
              <w:right w:val="single" w:sz="4" w:space="0" w:color="auto"/>
            </w:tcBorders>
          </w:tcPr>
          <w:p w14:paraId="0D2D2180" w14:textId="77777777" w:rsidR="00745851" w:rsidRPr="00DD1A20" w:rsidRDefault="00745851" w:rsidP="00507A85">
            <w:pPr>
              <w:spacing w:after="60"/>
              <w:rPr>
                <w:sz w:val="20"/>
              </w:rPr>
            </w:pPr>
            <w:r w:rsidRPr="00DD1A20">
              <w:rPr>
                <w:bCs/>
                <w:iCs/>
                <w:sz w:val="20"/>
                <w:lang w:val="es-ES"/>
              </w:rPr>
              <w:t xml:space="preserve">RTPCNS </w:t>
            </w:r>
            <w:r w:rsidRPr="00DD1A20">
              <w:rPr>
                <w:bCs/>
                <w:i/>
                <w:iCs/>
                <w:sz w:val="20"/>
                <w:vertAlign w:val="subscript"/>
                <w:lang w:val="es-ES"/>
              </w:rPr>
              <w:t>q, m</w:t>
            </w:r>
          </w:p>
        </w:tc>
        <w:tc>
          <w:tcPr>
            <w:tcW w:w="456" w:type="pct"/>
            <w:tcBorders>
              <w:top w:val="single" w:sz="4" w:space="0" w:color="auto"/>
              <w:left w:val="single" w:sz="4" w:space="0" w:color="auto"/>
              <w:bottom w:val="single" w:sz="4" w:space="0" w:color="auto"/>
              <w:right w:val="single" w:sz="4" w:space="0" w:color="auto"/>
            </w:tcBorders>
          </w:tcPr>
          <w:p w14:paraId="176AD457"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7860CC5B" w14:textId="77777777" w:rsidR="00745851" w:rsidRPr="00DD1A20" w:rsidRDefault="00745851" w:rsidP="00507A85">
            <w:pPr>
              <w:spacing w:after="60"/>
              <w:rPr>
                <w:i/>
                <w:sz w:val="20"/>
              </w:rPr>
            </w:pPr>
            <w:r w:rsidRPr="00DD1A20">
              <w:rPr>
                <w:i/>
                <w:iCs/>
                <w:sz w:val="20"/>
              </w:rPr>
              <w:t>Procured Capacity for Non-Spin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Non-Spin, for the hour.</w:t>
            </w:r>
          </w:p>
        </w:tc>
      </w:tr>
      <w:tr w:rsidR="00745851" w:rsidRPr="00DD1A20" w14:paraId="4310EF2B" w14:textId="77777777" w:rsidTr="00507A85">
        <w:tc>
          <w:tcPr>
            <w:tcW w:w="1054" w:type="pct"/>
            <w:tcBorders>
              <w:top w:val="single" w:sz="4" w:space="0" w:color="auto"/>
              <w:left w:val="single" w:sz="4" w:space="0" w:color="auto"/>
              <w:bottom w:val="single" w:sz="4" w:space="0" w:color="auto"/>
              <w:right w:val="single" w:sz="4" w:space="0" w:color="auto"/>
            </w:tcBorders>
          </w:tcPr>
          <w:p w14:paraId="1468E806" w14:textId="77777777" w:rsidR="00745851" w:rsidRPr="00DD1A20" w:rsidRDefault="00745851" w:rsidP="00507A85">
            <w:pPr>
              <w:spacing w:after="60"/>
              <w:rPr>
                <w:sz w:val="20"/>
              </w:rPr>
            </w:pPr>
            <w:r w:rsidRPr="00DD1A20">
              <w:rPr>
                <w:bCs/>
                <w:iCs/>
                <w:sz w:val="20"/>
                <w:lang w:val="es-ES"/>
              </w:rPr>
              <w:t xml:space="preserve">PCNS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1799DF56"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05199FB7" w14:textId="77777777" w:rsidR="00745851" w:rsidRPr="00DD1A20" w:rsidRDefault="00745851" w:rsidP="00507A85">
            <w:pPr>
              <w:spacing w:after="60"/>
              <w:rPr>
                <w:i/>
                <w:sz w:val="20"/>
              </w:rPr>
            </w:pPr>
            <w:r w:rsidRPr="00DD1A20">
              <w:rPr>
                <w:i/>
                <w:iCs/>
                <w:sz w:val="20"/>
              </w:rPr>
              <w:t>Procured Capacity for Non-Spin Reserve per QSE in DAM</w:t>
            </w:r>
            <w:r w:rsidRPr="00DD1A20">
              <w:rPr>
                <w:iCs/>
                <w:sz w:val="20"/>
              </w:rPr>
              <w:t xml:space="preserve">—The total Non-Spin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35F74CDD" w14:textId="77777777" w:rsidTr="00507A85">
        <w:tc>
          <w:tcPr>
            <w:tcW w:w="1054" w:type="pct"/>
            <w:tcBorders>
              <w:top w:val="single" w:sz="4" w:space="0" w:color="auto"/>
              <w:left w:val="single" w:sz="4" w:space="0" w:color="auto"/>
              <w:bottom w:val="single" w:sz="4" w:space="0" w:color="auto"/>
              <w:right w:val="single" w:sz="4" w:space="0" w:color="auto"/>
            </w:tcBorders>
          </w:tcPr>
          <w:p w14:paraId="7BB42D98" w14:textId="77777777" w:rsidR="00745851" w:rsidRPr="00DD1A20" w:rsidRDefault="00745851" w:rsidP="00507A85">
            <w:pPr>
              <w:spacing w:after="60"/>
              <w:rPr>
                <w:sz w:val="20"/>
              </w:rPr>
            </w:pPr>
            <w:r w:rsidRPr="00DD1A20">
              <w:rPr>
                <w:bCs/>
                <w:iCs/>
                <w:sz w:val="20"/>
                <w:lang w:val="es-ES"/>
              </w:rPr>
              <w:t xml:space="preserve">RUCNSQ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4A460C6A"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C57236F" w14:textId="77777777" w:rsidR="00745851" w:rsidRPr="00DD1A20" w:rsidRDefault="00745851" w:rsidP="00507A85">
            <w:pPr>
              <w:spacing w:after="60"/>
              <w:rPr>
                <w:i/>
                <w:sz w:val="20"/>
              </w:rPr>
            </w:pPr>
            <w:r w:rsidRPr="00DD1A20">
              <w:rPr>
                <w:i/>
                <w:sz w:val="20"/>
              </w:rPr>
              <w:t>RUC-committed for Non-Spin Reserve per QSE</w:t>
            </w:r>
            <w:r w:rsidRPr="00DD1A20">
              <w:rPr>
                <w:iCs/>
                <w:sz w:val="20"/>
              </w:rPr>
              <w:t>—The total quantity of Non-Spin committed by the RUC Process for Resources</w:t>
            </w:r>
            <w:r w:rsidRPr="00DD1A20">
              <w:rPr>
                <w:sz w:val="20"/>
              </w:rPr>
              <w:t xml:space="preserve"> represented by QSE </w:t>
            </w:r>
            <w:r w:rsidRPr="00DD1A20">
              <w:rPr>
                <w:i/>
                <w:iCs/>
                <w:sz w:val="20"/>
              </w:rPr>
              <w:t>q</w:t>
            </w:r>
            <w:r w:rsidRPr="00DD1A20">
              <w:rPr>
                <w:iCs/>
                <w:sz w:val="20"/>
              </w:rPr>
              <w:t>, for the hour.</w:t>
            </w:r>
          </w:p>
        </w:tc>
      </w:tr>
      <w:tr w:rsidR="00745851" w:rsidRPr="00DD1A20" w14:paraId="7719E9C5" w14:textId="77777777" w:rsidTr="00507A85">
        <w:tc>
          <w:tcPr>
            <w:tcW w:w="1054" w:type="pct"/>
            <w:tcBorders>
              <w:top w:val="single" w:sz="4" w:space="0" w:color="auto"/>
              <w:left w:val="single" w:sz="4" w:space="0" w:color="auto"/>
              <w:bottom w:val="single" w:sz="4" w:space="0" w:color="auto"/>
              <w:right w:val="single" w:sz="4" w:space="0" w:color="auto"/>
            </w:tcBorders>
          </w:tcPr>
          <w:p w14:paraId="6B4C97B8" w14:textId="77777777" w:rsidR="00745851" w:rsidRPr="00DD1A20" w:rsidRDefault="00745851" w:rsidP="00507A85">
            <w:pPr>
              <w:spacing w:after="60"/>
              <w:rPr>
                <w:sz w:val="20"/>
              </w:rPr>
            </w:pPr>
            <w:r w:rsidRPr="00DD1A20">
              <w:rPr>
                <w:bCs/>
                <w:sz w:val="20"/>
              </w:rPr>
              <w:t>NSTRPQ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74655B1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6F6454E6" w14:textId="77777777" w:rsidR="00745851" w:rsidRPr="00DD1A20" w:rsidRDefault="00745851" w:rsidP="00507A85">
            <w:pPr>
              <w:spacing w:after="60"/>
              <w:rPr>
                <w:i/>
                <w:sz w:val="20"/>
              </w:rPr>
            </w:pPr>
            <w:r w:rsidRPr="00DD1A20">
              <w:rPr>
                <w:i/>
                <w:sz w:val="20"/>
              </w:rPr>
              <w:t>Non-Spin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Non-Spin, for the hour.  The time-weighted average value is rounded to 0.1 MW.</w:t>
            </w:r>
          </w:p>
        </w:tc>
      </w:tr>
      <w:tr w:rsidR="00745851" w:rsidRPr="00DD1A20" w14:paraId="14DEB79E" w14:textId="77777777" w:rsidTr="00507A85">
        <w:tc>
          <w:tcPr>
            <w:tcW w:w="1054" w:type="pct"/>
            <w:tcBorders>
              <w:top w:val="single" w:sz="4" w:space="0" w:color="auto"/>
              <w:left w:val="single" w:sz="4" w:space="0" w:color="auto"/>
              <w:bottom w:val="single" w:sz="4" w:space="0" w:color="auto"/>
              <w:right w:val="single" w:sz="4" w:space="0" w:color="auto"/>
            </w:tcBorders>
          </w:tcPr>
          <w:p w14:paraId="382A3243" w14:textId="77777777" w:rsidR="00745851" w:rsidRPr="00DD1A20" w:rsidRDefault="00745851" w:rsidP="00507A85">
            <w:pPr>
              <w:spacing w:after="60"/>
              <w:rPr>
                <w:sz w:val="20"/>
              </w:rPr>
            </w:pPr>
            <w:r w:rsidRPr="00DD1A20">
              <w:rPr>
                <w:bCs/>
                <w:iCs/>
                <w:sz w:val="20"/>
                <w:lang w:val="es-ES"/>
              </w:rPr>
              <w:t>NSINFQ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45D70C61"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6602CF7C" w14:textId="77777777" w:rsidR="00745851" w:rsidRPr="00DD1A20" w:rsidRDefault="00745851" w:rsidP="00507A85">
            <w:pPr>
              <w:spacing w:after="60"/>
              <w:rPr>
                <w:i/>
                <w:sz w:val="20"/>
              </w:rPr>
            </w:pPr>
            <w:r w:rsidRPr="00DD1A20">
              <w:rPr>
                <w:i/>
                <w:iCs/>
                <w:sz w:val="20"/>
              </w:rPr>
              <w:t>Non-Spin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Non-Spin, for the hour.</w:t>
            </w:r>
          </w:p>
        </w:tc>
      </w:tr>
      <w:tr w:rsidR="00745851" w:rsidRPr="00DD1A20" w14:paraId="354CC708" w14:textId="77777777" w:rsidTr="00507A85">
        <w:tc>
          <w:tcPr>
            <w:tcW w:w="1054" w:type="pct"/>
            <w:tcBorders>
              <w:top w:val="single" w:sz="4" w:space="0" w:color="auto"/>
              <w:left w:val="single" w:sz="4" w:space="0" w:color="auto"/>
              <w:bottom w:val="single" w:sz="4" w:space="0" w:color="auto"/>
              <w:right w:val="single" w:sz="4" w:space="0" w:color="auto"/>
            </w:tcBorders>
          </w:tcPr>
          <w:p w14:paraId="3F36EDA2" w14:textId="77777777" w:rsidR="00745851" w:rsidRPr="00DD1A20" w:rsidRDefault="00745851" w:rsidP="00507A85">
            <w:pPr>
              <w:spacing w:after="60"/>
              <w:rPr>
                <w:sz w:val="20"/>
              </w:rPr>
            </w:pPr>
            <w:r w:rsidRPr="00DD1A20">
              <w:rPr>
                <w:bCs/>
                <w:sz w:val="20"/>
              </w:rPr>
              <w:t xml:space="preserve">TELNSR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3947336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B8B97D5" w14:textId="77777777" w:rsidR="00745851" w:rsidRPr="00DD1A20" w:rsidRDefault="00745851" w:rsidP="00507A85">
            <w:pPr>
              <w:spacing w:after="60"/>
              <w:rPr>
                <w:i/>
                <w:sz w:val="20"/>
              </w:rPr>
            </w:pPr>
            <w:r w:rsidRPr="00DD1A20">
              <w:rPr>
                <w:i/>
                <w:sz w:val="20"/>
              </w:rPr>
              <w:t>Telemetered Non-Spin Reserve Responsibility for the Resource</w:t>
            </w:r>
            <w:r w:rsidRPr="00DD1A20">
              <w:rPr>
                <w:iCs/>
                <w:sz w:val="20"/>
              </w:rPr>
              <w:t xml:space="preserve">—The time-weighted average telemetered Non-Spin </w:t>
            </w:r>
            <w:r w:rsidRPr="00DD1A20">
              <w:rPr>
                <w:iCs/>
                <w:sz w:val="20"/>
                <w:szCs w:val="18"/>
              </w:rPr>
              <w:t xml:space="preserve">Ancillary Service Resource </w:t>
            </w:r>
            <w:r w:rsidRPr="00DD1A20">
              <w:rPr>
                <w:iCs/>
                <w:sz w:val="20"/>
              </w:rPr>
              <w:t>Responsibility for the Resource, for the hour.  The time-weighted average value is rounded to 0.1 MW.</w:t>
            </w:r>
          </w:p>
        </w:tc>
      </w:tr>
      <w:tr w:rsidR="00745851" w:rsidRPr="00DD1A20" w14:paraId="4819BDC2" w14:textId="77777777" w:rsidTr="00507A85">
        <w:tc>
          <w:tcPr>
            <w:tcW w:w="1054" w:type="pct"/>
            <w:tcBorders>
              <w:top w:val="single" w:sz="4" w:space="0" w:color="auto"/>
              <w:left w:val="single" w:sz="4" w:space="0" w:color="auto"/>
              <w:bottom w:val="single" w:sz="4" w:space="0" w:color="auto"/>
              <w:right w:val="single" w:sz="4" w:space="0" w:color="auto"/>
            </w:tcBorders>
          </w:tcPr>
          <w:p w14:paraId="5D7C5319" w14:textId="77777777" w:rsidR="00745851" w:rsidRPr="00DD1A20" w:rsidRDefault="00745851" w:rsidP="00507A85">
            <w:pPr>
              <w:spacing w:after="60"/>
              <w:rPr>
                <w:bCs/>
                <w:sz w:val="20"/>
              </w:rPr>
            </w:pPr>
            <w:r w:rsidRPr="00DD1A20">
              <w:rPr>
                <w:bCs/>
                <w:sz w:val="20"/>
              </w:rPr>
              <w:t xml:space="preserve">TELNSRC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058CD415"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06B0CF9F" w14:textId="77777777" w:rsidR="00745851" w:rsidRPr="00DD1A20" w:rsidRDefault="00745851" w:rsidP="00507A85">
            <w:pPr>
              <w:spacing w:after="60"/>
              <w:rPr>
                <w:i/>
                <w:sz w:val="20"/>
              </w:rPr>
            </w:pPr>
            <w:r w:rsidRPr="00DD1A20">
              <w:rPr>
                <w:i/>
                <w:sz w:val="20"/>
              </w:rPr>
              <w:t>Telemetered Non-Spin Reserve Responsibility for the Resource as Calculated</w:t>
            </w:r>
            <w:r w:rsidRPr="00DD1A20">
              <w:rPr>
                <w:iCs/>
                <w:sz w:val="20"/>
              </w:rPr>
              <w:t xml:space="preserve">—The time-weighted average calculated telemetered Non-Spin </w:t>
            </w:r>
            <w:r w:rsidRPr="00DD1A20">
              <w:rPr>
                <w:iCs/>
                <w:sz w:val="20"/>
                <w:szCs w:val="18"/>
              </w:rPr>
              <w:t xml:space="preserve">Ancillary Service Resource </w:t>
            </w:r>
            <w:r w:rsidRPr="00DD1A20">
              <w:rPr>
                <w:iCs/>
                <w:sz w:val="20"/>
              </w:rPr>
              <w:t>Responsibility as compared to available capacity for the Resource, for the hour.</w:t>
            </w:r>
          </w:p>
        </w:tc>
      </w:tr>
      <w:tr w:rsidR="00745851" w:rsidRPr="00DD1A20" w14:paraId="2CEB6FD8" w14:textId="77777777" w:rsidTr="00507A85">
        <w:tc>
          <w:tcPr>
            <w:tcW w:w="1054" w:type="pct"/>
            <w:tcBorders>
              <w:top w:val="single" w:sz="4" w:space="0" w:color="auto"/>
              <w:left w:val="single" w:sz="4" w:space="0" w:color="auto"/>
              <w:bottom w:val="single" w:sz="4" w:space="0" w:color="auto"/>
              <w:right w:val="single" w:sz="4" w:space="0" w:color="auto"/>
            </w:tcBorders>
          </w:tcPr>
          <w:p w14:paraId="1E91A1C2" w14:textId="77777777" w:rsidR="00745851" w:rsidRPr="00DD1A20" w:rsidRDefault="00745851" w:rsidP="00507A85">
            <w:pPr>
              <w:spacing w:after="60"/>
              <w:rPr>
                <w:sz w:val="20"/>
              </w:rPr>
            </w:pPr>
            <w:r w:rsidRPr="00DD1A20">
              <w:rPr>
                <w:bCs/>
                <w:sz w:val="20"/>
                <w:lang w:val="es-ES"/>
              </w:rPr>
              <w:lastRenderedPageBreak/>
              <w:t>NPF</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53F740A1"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F774052"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The average NPF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169F8D4A" w14:textId="77777777" w:rsidTr="00507A85">
        <w:tc>
          <w:tcPr>
            <w:tcW w:w="1054" w:type="pct"/>
            <w:tcBorders>
              <w:top w:val="single" w:sz="4" w:space="0" w:color="auto"/>
              <w:left w:val="single" w:sz="4" w:space="0" w:color="auto"/>
              <w:bottom w:val="single" w:sz="4" w:space="0" w:color="auto"/>
              <w:right w:val="single" w:sz="4" w:space="0" w:color="auto"/>
            </w:tcBorders>
          </w:tcPr>
          <w:p w14:paraId="5F2E7414" w14:textId="77777777" w:rsidR="00745851" w:rsidRPr="00DD1A20" w:rsidRDefault="00745851" w:rsidP="00507A85">
            <w:pPr>
              <w:spacing w:after="60"/>
              <w:rPr>
                <w:sz w:val="20"/>
              </w:rPr>
            </w:pPr>
            <w:r w:rsidRPr="00DD1A20">
              <w:rPr>
                <w:bCs/>
                <w:sz w:val="20"/>
                <w:lang w:val="es-ES"/>
              </w:rPr>
              <w:t>LPC</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14280F77"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FE606CB" w14:textId="77777777" w:rsidR="00745851" w:rsidRPr="00DD1A20" w:rsidRDefault="00745851" w:rsidP="00507A85">
            <w:pPr>
              <w:spacing w:after="60"/>
              <w:rPr>
                <w:i/>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The average LPC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6F43ACBA" w14:textId="77777777" w:rsidTr="00507A85">
        <w:tc>
          <w:tcPr>
            <w:tcW w:w="1054" w:type="pct"/>
            <w:tcBorders>
              <w:top w:val="single" w:sz="4" w:space="0" w:color="auto"/>
              <w:left w:val="single" w:sz="4" w:space="0" w:color="auto"/>
              <w:bottom w:val="single" w:sz="4" w:space="0" w:color="auto"/>
              <w:right w:val="single" w:sz="4" w:space="0" w:color="auto"/>
            </w:tcBorders>
          </w:tcPr>
          <w:p w14:paraId="01FC06CF" w14:textId="77777777" w:rsidR="00745851" w:rsidRPr="00DD1A20" w:rsidRDefault="00745851" w:rsidP="00507A85">
            <w:pPr>
              <w:spacing w:after="60"/>
              <w:rPr>
                <w:sz w:val="20"/>
              </w:rPr>
            </w:pPr>
            <w:r w:rsidRPr="00DD1A20">
              <w:rPr>
                <w:bCs/>
                <w:iCs/>
                <w:sz w:val="20"/>
                <w:lang w:val="fr-FR"/>
              </w:rPr>
              <w:t xml:space="preserve">DASANSQ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3C9DEC25"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1792316" w14:textId="77777777" w:rsidR="00745851" w:rsidRPr="00DD1A20" w:rsidRDefault="00745851" w:rsidP="00507A85">
            <w:pPr>
              <w:spacing w:after="60"/>
              <w:rPr>
                <w:i/>
                <w:sz w:val="20"/>
              </w:rPr>
            </w:pPr>
            <w:r w:rsidRPr="00DD1A20">
              <w:rPr>
                <w:i/>
                <w:iCs/>
                <w:sz w:val="20"/>
              </w:rPr>
              <w:t>Day-Ahead Self-Arranged Non-Spin Reserve Quantity per QSE</w:t>
            </w:r>
            <w:r w:rsidRPr="00DD1A20">
              <w:rPr>
                <w:iCs/>
                <w:sz w:val="20"/>
              </w:rPr>
              <w:t xml:space="preserve">—The self-arranged Non-Spin quantity submitted by QSE </w:t>
            </w:r>
            <w:r w:rsidRPr="00DD1A20">
              <w:rPr>
                <w:i/>
                <w:iCs/>
                <w:sz w:val="20"/>
              </w:rPr>
              <w:t>q</w:t>
            </w:r>
            <w:r w:rsidRPr="00DD1A20">
              <w:rPr>
                <w:iCs/>
                <w:sz w:val="20"/>
              </w:rPr>
              <w:t xml:space="preserve"> before 1000 in the Day-Ahead.</w:t>
            </w:r>
          </w:p>
        </w:tc>
      </w:tr>
      <w:tr w:rsidR="00745851" w:rsidRPr="00DD1A20" w14:paraId="225930B3" w14:textId="77777777" w:rsidTr="00507A85">
        <w:tc>
          <w:tcPr>
            <w:tcW w:w="1054" w:type="pct"/>
            <w:tcBorders>
              <w:top w:val="single" w:sz="4" w:space="0" w:color="auto"/>
              <w:left w:val="single" w:sz="4" w:space="0" w:color="auto"/>
              <w:bottom w:val="single" w:sz="4" w:space="0" w:color="auto"/>
              <w:right w:val="single" w:sz="4" w:space="0" w:color="auto"/>
            </w:tcBorders>
          </w:tcPr>
          <w:p w14:paraId="12463C15" w14:textId="77777777" w:rsidR="00745851" w:rsidRPr="00DD1A20" w:rsidRDefault="00745851" w:rsidP="00507A85">
            <w:pPr>
              <w:spacing w:after="60"/>
              <w:rPr>
                <w:sz w:val="20"/>
              </w:rPr>
            </w:pPr>
            <w:r w:rsidRPr="00DD1A20">
              <w:rPr>
                <w:bCs/>
                <w:iCs/>
                <w:sz w:val="20"/>
                <w:lang w:val="fr-FR"/>
              </w:rPr>
              <w:t xml:space="preserve">RTSANSQ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2B7BA34F"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4134D196" w14:textId="77777777" w:rsidR="00745851" w:rsidRPr="00DD1A20" w:rsidRDefault="00745851" w:rsidP="00507A85">
            <w:pPr>
              <w:spacing w:after="60"/>
              <w:rPr>
                <w:i/>
                <w:sz w:val="20"/>
              </w:rPr>
            </w:pPr>
            <w:r w:rsidRPr="00DD1A20">
              <w:rPr>
                <w:i/>
                <w:iCs/>
                <w:sz w:val="20"/>
              </w:rPr>
              <w:t>Self-Arranged Non-Spinning Reserve Quantity per QSE for all SASMs</w:t>
            </w:r>
            <w:r w:rsidRPr="00DD1A20">
              <w:rPr>
                <w:iCs/>
                <w:sz w:val="20"/>
              </w:rPr>
              <w:t xml:space="preserve">—The sum of all self-arranged Non-Spin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22211454" w14:textId="77777777" w:rsidTr="00507A85">
        <w:tc>
          <w:tcPr>
            <w:tcW w:w="1054" w:type="pct"/>
            <w:tcBorders>
              <w:top w:val="single" w:sz="4" w:space="0" w:color="auto"/>
              <w:left w:val="single" w:sz="4" w:space="0" w:color="auto"/>
              <w:bottom w:val="single" w:sz="4" w:space="0" w:color="auto"/>
              <w:right w:val="single" w:sz="4" w:space="0" w:color="auto"/>
            </w:tcBorders>
          </w:tcPr>
          <w:p w14:paraId="52AE0843" w14:textId="77777777" w:rsidR="00745851" w:rsidRPr="00DD1A20" w:rsidRDefault="00745851" w:rsidP="00507A85">
            <w:pPr>
              <w:spacing w:after="60"/>
              <w:rPr>
                <w:iCs/>
                <w:sz w:val="20"/>
              </w:rPr>
            </w:pPr>
            <w:r w:rsidRPr="00DD1A20">
              <w:rPr>
                <w:iCs/>
                <w:sz w:val="20"/>
              </w:rPr>
              <w:t xml:space="preserve">TNSFQ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797FC5E2"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35D75D3F" w14:textId="77777777" w:rsidR="00745851" w:rsidRPr="00DD1A20" w:rsidRDefault="00745851" w:rsidP="00507A85">
            <w:pPr>
              <w:spacing w:after="60"/>
              <w:rPr>
                <w:i/>
                <w:sz w:val="20"/>
              </w:rPr>
            </w:pPr>
            <w:r w:rsidRPr="00DD1A20">
              <w:rPr>
                <w:i/>
                <w:iCs/>
                <w:sz w:val="20"/>
              </w:rPr>
              <w:t>Telemetered Non-Spin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Non-Spin Responsibility to its Ancillary Service Supply Responsibility for Non-Spin as calculated per paragraph (1) of Section 4.4.7.4, for the hour.</w:t>
            </w:r>
          </w:p>
        </w:tc>
      </w:tr>
      <w:tr w:rsidR="00745851" w:rsidRPr="00DD1A20" w14:paraId="458BFA80" w14:textId="77777777" w:rsidTr="00507A85">
        <w:tc>
          <w:tcPr>
            <w:tcW w:w="1054" w:type="pct"/>
            <w:tcBorders>
              <w:top w:val="single" w:sz="4" w:space="0" w:color="auto"/>
              <w:left w:val="single" w:sz="4" w:space="0" w:color="auto"/>
              <w:bottom w:val="single" w:sz="4" w:space="0" w:color="auto"/>
              <w:right w:val="single" w:sz="4" w:space="0" w:color="auto"/>
            </w:tcBorders>
          </w:tcPr>
          <w:p w14:paraId="6A159735" w14:textId="77777777" w:rsidR="00745851" w:rsidRPr="00DD1A20" w:rsidRDefault="00745851" w:rsidP="00507A85">
            <w:pPr>
              <w:spacing w:after="60"/>
              <w:rPr>
                <w:sz w:val="20"/>
              </w:rPr>
            </w:pPr>
            <w:r w:rsidRPr="00DD1A20">
              <w:rPr>
                <w:i/>
                <w:iCs/>
                <w:sz w:val="20"/>
              </w:rPr>
              <w:t>i</w:t>
            </w:r>
          </w:p>
        </w:tc>
        <w:tc>
          <w:tcPr>
            <w:tcW w:w="456" w:type="pct"/>
            <w:tcBorders>
              <w:top w:val="single" w:sz="4" w:space="0" w:color="auto"/>
              <w:left w:val="single" w:sz="4" w:space="0" w:color="auto"/>
              <w:bottom w:val="single" w:sz="4" w:space="0" w:color="auto"/>
              <w:right w:val="single" w:sz="4" w:space="0" w:color="auto"/>
            </w:tcBorders>
          </w:tcPr>
          <w:p w14:paraId="5956AB09" w14:textId="77777777" w:rsidR="00745851" w:rsidRPr="00DD1A20" w:rsidRDefault="00745851" w:rsidP="00507A85">
            <w:pPr>
              <w:spacing w:after="60"/>
              <w:rPr>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6CEC6FDA"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755A9AFC" w14:textId="77777777" w:rsidTr="00507A85">
        <w:tc>
          <w:tcPr>
            <w:tcW w:w="1054" w:type="pct"/>
            <w:tcBorders>
              <w:top w:val="single" w:sz="4" w:space="0" w:color="auto"/>
              <w:left w:val="single" w:sz="4" w:space="0" w:color="auto"/>
              <w:bottom w:val="single" w:sz="4" w:space="0" w:color="auto"/>
              <w:right w:val="single" w:sz="4" w:space="0" w:color="auto"/>
            </w:tcBorders>
          </w:tcPr>
          <w:p w14:paraId="2615E787"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315FF684" w14:textId="77777777" w:rsidR="00745851" w:rsidRPr="00DD1A20" w:rsidRDefault="00745851" w:rsidP="00507A85">
            <w:pPr>
              <w:spacing w:after="60"/>
              <w:rPr>
                <w:iCs/>
                <w:sz w:val="20"/>
              </w:rPr>
            </w:pPr>
            <w:r w:rsidRPr="00DD1A20">
              <w:rPr>
                <w:sz w:val="20"/>
              </w:rPr>
              <w:t>None</w:t>
            </w:r>
          </w:p>
        </w:tc>
        <w:tc>
          <w:tcPr>
            <w:tcW w:w="3490" w:type="pct"/>
            <w:tcBorders>
              <w:top w:val="single" w:sz="4" w:space="0" w:color="auto"/>
              <w:left w:val="single" w:sz="4" w:space="0" w:color="auto"/>
              <w:bottom w:val="single" w:sz="4" w:space="0" w:color="auto"/>
              <w:right w:val="single" w:sz="4" w:space="0" w:color="auto"/>
            </w:tcBorders>
          </w:tcPr>
          <w:p w14:paraId="498102F0"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5BA93C0C" w14:textId="77777777" w:rsidTr="00507A85">
        <w:tc>
          <w:tcPr>
            <w:tcW w:w="1054" w:type="pct"/>
            <w:tcBorders>
              <w:top w:val="single" w:sz="4" w:space="0" w:color="auto"/>
              <w:left w:val="single" w:sz="4" w:space="0" w:color="auto"/>
              <w:bottom w:val="single" w:sz="4" w:space="0" w:color="auto"/>
              <w:right w:val="single" w:sz="4" w:space="0" w:color="auto"/>
            </w:tcBorders>
          </w:tcPr>
          <w:p w14:paraId="2FF8A1AB"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705EFB27"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06D605CD"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D5ABDA9" w14:textId="77777777" w:rsidTr="00507A85">
        <w:tc>
          <w:tcPr>
            <w:tcW w:w="1054" w:type="pct"/>
            <w:tcBorders>
              <w:top w:val="single" w:sz="4" w:space="0" w:color="auto"/>
              <w:left w:val="single" w:sz="4" w:space="0" w:color="auto"/>
              <w:bottom w:val="single" w:sz="4" w:space="0" w:color="auto"/>
              <w:right w:val="single" w:sz="4" w:space="0" w:color="auto"/>
            </w:tcBorders>
          </w:tcPr>
          <w:p w14:paraId="06718981"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4CB4D7FA"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50CE81EA" w14:textId="77777777" w:rsidR="00745851" w:rsidRPr="00DD1A20" w:rsidRDefault="00745851" w:rsidP="00507A85">
            <w:pPr>
              <w:spacing w:after="60"/>
              <w:rPr>
                <w:iCs/>
                <w:sz w:val="20"/>
              </w:rPr>
            </w:pPr>
            <w:r w:rsidRPr="00DD1A20">
              <w:rPr>
                <w:iCs/>
                <w:sz w:val="20"/>
              </w:rPr>
              <w:t>A QSE.</w:t>
            </w:r>
          </w:p>
        </w:tc>
      </w:tr>
      <w:tr w:rsidR="00745851" w:rsidRPr="00DD1A20" w14:paraId="58075BAC" w14:textId="77777777" w:rsidTr="00507A85">
        <w:tc>
          <w:tcPr>
            <w:tcW w:w="1054" w:type="pct"/>
            <w:tcBorders>
              <w:top w:val="single" w:sz="4" w:space="0" w:color="auto"/>
              <w:left w:val="single" w:sz="4" w:space="0" w:color="auto"/>
              <w:bottom w:val="single" w:sz="4" w:space="0" w:color="auto"/>
              <w:right w:val="single" w:sz="4" w:space="0" w:color="auto"/>
            </w:tcBorders>
          </w:tcPr>
          <w:p w14:paraId="3D2AB318" w14:textId="77777777" w:rsidR="00745851" w:rsidRPr="00DD1A20" w:rsidRDefault="00745851" w:rsidP="00507A85">
            <w:pPr>
              <w:spacing w:after="60"/>
              <w:rPr>
                <w:i/>
                <w:iCs/>
                <w:sz w:val="20"/>
              </w:rPr>
            </w:pPr>
            <w:r w:rsidRPr="00DD1A20">
              <w:rPr>
                <w:i/>
                <w:iCs/>
                <w:sz w:val="20"/>
              </w:rPr>
              <w:t>r</w:t>
            </w:r>
          </w:p>
        </w:tc>
        <w:tc>
          <w:tcPr>
            <w:tcW w:w="456" w:type="pct"/>
            <w:tcBorders>
              <w:top w:val="single" w:sz="4" w:space="0" w:color="auto"/>
              <w:left w:val="single" w:sz="4" w:space="0" w:color="auto"/>
              <w:bottom w:val="single" w:sz="4" w:space="0" w:color="auto"/>
              <w:right w:val="single" w:sz="4" w:space="0" w:color="auto"/>
            </w:tcBorders>
          </w:tcPr>
          <w:p w14:paraId="2A256A20"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78650F42" w14:textId="77777777" w:rsidR="00745851" w:rsidRPr="00DD1A20" w:rsidRDefault="00745851" w:rsidP="00507A85">
            <w:pPr>
              <w:spacing w:after="60"/>
              <w:rPr>
                <w:iCs/>
                <w:sz w:val="20"/>
              </w:rPr>
            </w:pPr>
            <w:r w:rsidRPr="00DD1A20">
              <w:rPr>
                <w:iCs/>
                <w:sz w:val="20"/>
              </w:rPr>
              <w:t>A Resource that is qualified to provide Non-Spin.</w:t>
            </w:r>
          </w:p>
        </w:tc>
      </w:tr>
    </w:tbl>
    <w:p w14:paraId="2D54C9B3" w14:textId="77777777" w:rsidR="00745851" w:rsidRPr="00DD1A20" w:rsidRDefault="00745851" w:rsidP="00745851">
      <w:pPr>
        <w:spacing w:before="240" w:after="240"/>
        <w:ind w:left="1440" w:hanging="720"/>
      </w:pPr>
      <w:r w:rsidRPr="00DD1A20">
        <w:rPr>
          <w:iCs/>
        </w:rPr>
        <w:t>(e)</w:t>
      </w:r>
      <w:r w:rsidRPr="00DD1A20">
        <w:rPr>
          <w:iCs/>
        </w:rPr>
        <w:tab/>
      </w:r>
      <w:r w:rsidRPr="00DD1A20">
        <w:t>The t</w:t>
      </w:r>
      <w:r w:rsidRPr="00DD1A20">
        <w:rPr>
          <w:iCs/>
        </w:rPr>
        <w:t>otal charge of failure on Ancillary Service Supply Responsibility for</w:t>
      </w:r>
      <w:r w:rsidRPr="00DD1A20">
        <w:t xml:space="preserve"> ECRS by QSE, if applicable:</w:t>
      </w:r>
    </w:p>
    <w:p w14:paraId="28CAA74E" w14:textId="77777777" w:rsidR="00745851" w:rsidRPr="00DD1A20" w:rsidRDefault="00745851" w:rsidP="00745851">
      <w:pPr>
        <w:spacing w:before="240" w:after="240"/>
        <w:ind w:left="2880" w:hanging="2160"/>
        <w:rPr>
          <w:b/>
          <w:i/>
          <w:iCs/>
          <w:vertAlign w:val="subscript"/>
        </w:rPr>
      </w:pPr>
      <w:r w:rsidRPr="00DD1A20">
        <w:rPr>
          <w:b/>
          <w:iCs/>
        </w:rPr>
        <w:t xml:space="preserve">ECRFQAMTQSETOT </w:t>
      </w:r>
      <w:r w:rsidRPr="00DD1A20">
        <w:rPr>
          <w:b/>
          <w:i/>
          <w:iCs/>
          <w:vertAlign w:val="subscript"/>
        </w:rPr>
        <w:t>q</w:t>
      </w:r>
      <w:r w:rsidRPr="00DD1A20">
        <w:rPr>
          <w:b/>
          <w:i/>
          <w:iCs/>
          <w:vertAlign w:val="subscript"/>
        </w:rPr>
        <w:tab/>
      </w:r>
      <w:r w:rsidRPr="00DD1A20">
        <w:rPr>
          <w:b/>
          <w:iCs/>
        </w:rPr>
        <w:t>=</w:t>
      </w:r>
      <w:r w:rsidRPr="00DD1A20">
        <w:rPr>
          <w:b/>
          <w:iCs/>
        </w:rPr>
        <w:tab/>
        <w:t xml:space="preserve">ECRFQAMT </w:t>
      </w:r>
      <w:r w:rsidRPr="00DD1A20">
        <w:rPr>
          <w:b/>
          <w:i/>
          <w:iCs/>
          <w:vertAlign w:val="subscript"/>
        </w:rPr>
        <w:t xml:space="preserve">q </w:t>
      </w:r>
      <w:r w:rsidRPr="00DD1A20">
        <w:rPr>
          <w:b/>
          <w:i/>
          <w:iCs/>
        </w:rPr>
        <w:t>+</w:t>
      </w:r>
      <w:r w:rsidRPr="00DD1A20">
        <w:rPr>
          <w:b/>
          <w:i/>
          <w:iCs/>
          <w:vertAlign w:val="subscript"/>
        </w:rPr>
        <w:t xml:space="preserve"> </w:t>
      </w:r>
      <w:r w:rsidRPr="00DD1A20">
        <w:rPr>
          <w:b/>
          <w:iCs/>
        </w:rPr>
        <w:t xml:space="preserve">RECRFQAMT </w:t>
      </w:r>
      <w:r w:rsidRPr="00DD1A20">
        <w:rPr>
          <w:b/>
          <w:i/>
          <w:iCs/>
          <w:vertAlign w:val="subscript"/>
        </w:rPr>
        <w:t>q</w:t>
      </w:r>
    </w:p>
    <w:p w14:paraId="0181158F" w14:textId="77777777" w:rsidR="00745851" w:rsidRPr="00DD1A20" w:rsidRDefault="00745851" w:rsidP="00745851">
      <w:pPr>
        <w:spacing w:before="240" w:after="240"/>
        <w:ind w:left="1440" w:hanging="720"/>
      </w:pPr>
      <w:r w:rsidRPr="00DD1A20">
        <w:rPr>
          <w:iCs/>
        </w:rPr>
        <w:t>Where:</w:t>
      </w:r>
    </w:p>
    <w:p w14:paraId="5024C798" w14:textId="77777777" w:rsidR="00745851" w:rsidRPr="00DD1A20" w:rsidRDefault="00745851" w:rsidP="00745851">
      <w:pPr>
        <w:spacing w:after="240"/>
        <w:ind w:left="2880" w:hanging="2160"/>
        <w:rPr>
          <w:bCs/>
        </w:rPr>
      </w:pPr>
      <w:r w:rsidRPr="00DD1A20">
        <w:t xml:space="preserve">ECRFQAMT </w:t>
      </w:r>
      <w:r w:rsidRPr="00DD1A20">
        <w:rPr>
          <w:i/>
          <w:vertAlign w:val="subscript"/>
        </w:rPr>
        <w:t>q</w:t>
      </w:r>
      <w:r w:rsidRPr="00DD1A20">
        <w:t xml:space="preserve"> =</w:t>
      </w:r>
      <w:r w:rsidRPr="00DD1A20">
        <w:tab/>
        <w:t xml:space="preserve">Max(MCPCECR </w:t>
      </w:r>
      <w:r w:rsidRPr="00DD1A20">
        <w:rPr>
          <w:i/>
          <w:vertAlign w:val="subscript"/>
        </w:rPr>
        <w:t>m</w:t>
      </w:r>
      <w:r w:rsidRPr="00DD1A20">
        <w:t xml:space="preserve">, AVGRTASIP) * (ECRFQ </w:t>
      </w:r>
      <w:r w:rsidRPr="00DD1A20">
        <w:rPr>
          <w:i/>
          <w:vertAlign w:val="subscript"/>
        </w:rPr>
        <w:t xml:space="preserve">q </w:t>
      </w:r>
      <w:r w:rsidRPr="00DD1A20">
        <w:t xml:space="preserve">+ TECRFQ </w:t>
      </w:r>
      <w:r w:rsidRPr="00DD1A20">
        <w:rPr>
          <w:i/>
          <w:vertAlign w:val="subscript"/>
        </w:rPr>
        <w:t>q</w:t>
      </w:r>
      <w:r w:rsidRPr="00DD1A20">
        <w:t>)</w:t>
      </w:r>
    </w:p>
    <w:p w14:paraId="2E09F859" w14:textId="77777777" w:rsidR="00745851" w:rsidRPr="00DD1A20" w:rsidRDefault="00745851" w:rsidP="00745851">
      <w:pPr>
        <w:spacing w:before="240" w:after="240"/>
        <w:ind w:left="2880" w:hanging="2160"/>
        <w:rPr>
          <w:bCs/>
          <w:i/>
          <w:iCs/>
          <w:vertAlign w:val="subscript"/>
        </w:rPr>
      </w:pPr>
      <w:r w:rsidRPr="00DD1A20">
        <w:rPr>
          <w:iCs/>
        </w:rPr>
        <w:t xml:space="preserve">RECRFQAMT </w:t>
      </w:r>
      <w:r w:rsidRPr="00DD1A20">
        <w:rPr>
          <w:i/>
          <w:iCs/>
          <w:vertAlign w:val="subscript"/>
        </w:rPr>
        <w:t>q</w:t>
      </w:r>
      <w:r w:rsidRPr="00DD1A20">
        <w:rPr>
          <w:iCs/>
        </w:rPr>
        <w:tab/>
      </w:r>
      <w:r w:rsidRPr="00DD1A20">
        <w:rPr>
          <w:iCs/>
        </w:rPr>
        <w:tab/>
        <w:t>=</w:t>
      </w:r>
      <w:r w:rsidRPr="00DD1A20">
        <w:rPr>
          <w:iCs/>
        </w:rPr>
        <w:tab/>
      </w:r>
      <w:r w:rsidRPr="00DD1A20">
        <w:rPr>
          <w:bCs/>
          <w:iCs/>
        </w:rPr>
        <w:t xml:space="preserve">MCPCECR </w:t>
      </w:r>
      <w:r w:rsidRPr="00DD1A20">
        <w:rPr>
          <w:bCs/>
          <w:i/>
          <w:iCs/>
          <w:vertAlign w:val="subscript"/>
        </w:rPr>
        <w:t>rs</w:t>
      </w:r>
      <w:r w:rsidRPr="00DD1A20">
        <w:rPr>
          <w:bCs/>
          <w:iCs/>
        </w:rPr>
        <w:t xml:space="preserve"> * RECRFQ </w:t>
      </w:r>
      <w:r w:rsidRPr="00DD1A20">
        <w:rPr>
          <w:i/>
          <w:iCs/>
          <w:vertAlign w:val="subscript"/>
        </w:rPr>
        <w:t>q,</w:t>
      </w:r>
      <w:r w:rsidRPr="00DD1A20">
        <w:rPr>
          <w:bCs/>
          <w:iCs/>
        </w:rPr>
        <w:t xml:space="preserve"> </w:t>
      </w:r>
      <w:r w:rsidRPr="00DD1A20">
        <w:rPr>
          <w:bCs/>
          <w:i/>
          <w:iCs/>
          <w:vertAlign w:val="subscript"/>
        </w:rPr>
        <w:t>rs</w:t>
      </w:r>
    </w:p>
    <w:p w14:paraId="4F894360" w14:textId="77777777" w:rsidR="00745851" w:rsidRPr="00DD1A20" w:rsidRDefault="00745851" w:rsidP="00745851">
      <w:pPr>
        <w:spacing w:after="240"/>
        <w:ind w:firstLine="720"/>
      </w:pPr>
      <w:r w:rsidRPr="00DD1A20">
        <w:t xml:space="preserve">AVGRTASIP </w:t>
      </w:r>
      <w:r w:rsidRPr="00DD1A20">
        <w:tab/>
      </w:r>
      <w:r w:rsidRPr="00DD1A20">
        <w:tab/>
        <w:t xml:space="preserve">            = </w:t>
      </w:r>
      <w:r w:rsidRPr="00DD1A20">
        <w:tab/>
      </w:r>
      <w:r w:rsidRPr="00DD1A20">
        <w:rPr>
          <w:position w:val="-20"/>
        </w:rPr>
        <w:object w:dxaOrig="260" w:dyaOrig="580" w14:anchorId="764491CF">
          <v:shape id="_x0000_i1346" type="#_x0000_t75" style="width:12pt;height:30pt" o:ole="">
            <v:imagedata r:id="rId418" o:title=""/>
          </v:shape>
          <o:OLEObject Type="Embed" ProgID="Equation.3" ShapeID="_x0000_i1346" DrawAspect="Content" ObjectID="_1804653829" r:id="rId428"/>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FEA99EE" w14:textId="77777777" w:rsidR="00745851" w:rsidRPr="00DD1A20" w:rsidRDefault="00745851" w:rsidP="00745851">
      <w:pPr>
        <w:spacing w:after="240"/>
        <w:ind w:firstLine="720"/>
      </w:pPr>
      <w:r w:rsidRPr="00DD1A20">
        <w:t>Where for all Resources:</w:t>
      </w:r>
    </w:p>
    <w:p w14:paraId="46203A6B" w14:textId="77777777" w:rsidR="00745851" w:rsidRPr="00DD1A20" w:rsidRDefault="00745851" w:rsidP="00745851">
      <w:pPr>
        <w:spacing w:after="120"/>
        <w:ind w:leftChars="300" w:left="2880" w:hangingChars="900" w:hanging="2160"/>
        <w:rPr>
          <w:bCs/>
          <w:iCs/>
        </w:rPr>
      </w:pPr>
      <w:r w:rsidRPr="00DD1A20">
        <w:t xml:space="preserve">TECRFQ </w:t>
      </w:r>
      <w:r w:rsidRPr="00DD1A20">
        <w:rPr>
          <w:i/>
          <w:vertAlign w:val="subscript"/>
        </w:rPr>
        <w:t>q =</w:t>
      </w:r>
      <w:r w:rsidRPr="00DD1A20">
        <w:rPr>
          <w:iCs/>
        </w:rPr>
        <w:t xml:space="preserve"> Max ([(</w:t>
      </w:r>
      <w:r w:rsidRPr="00DD1A20">
        <w:rPr>
          <w:bCs/>
          <w:lang w:val="fr-FR"/>
        </w:rPr>
        <w:t xml:space="preserve">SAECRQ </w:t>
      </w:r>
      <w:r w:rsidRPr="00DD1A20">
        <w:rPr>
          <w:bCs/>
          <w:i/>
          <w:vertAlign w:val="subscript"/>
          <w:lang w:val="fr-FR"/>
        </w:rPr>
        <w:t xml:space="preserve">q </w:t>
      </w:r>
      <w:r w:rsidRPr="00DD1A20">
        <w:rPr>
          <w:bCs/>
          <w:iCs/>
        </w:rPr>
        <w:t>+ ECRTRSQ</w:t>
      </w:r>
      <w:r w:rsidRPr="00DD1A20">
        <w:rPr>
          <w:bCs/>
          <w:i/>
          <w:vertAlign w:val="subscript"/>
          <w:lang w:val="fr-FR"/>
        </w:rPr>
        <w:t xml:space="preserve"> q</w:t>
      </w:r>
      <w:r w:rsidRPr="00DD1A20">
        <w:rPr>
          <w:bCs/>
          <w:iCs/>
        </w:rPr>
        <w:t xml:space="preserve"> +</w:t>
      </w:r>
      <w:r>
        <w:rPr>
          <w:bCs/>
          <w:iCs/>
        </w:rPr>
        <w:t xml:space="preserve"> </w:t>
      </w:r>
      <w:r w:rsidRPr="00DD1A20">
        <w:rPr>
          <w:noProof/>
          <w:position w:val="-20"/>
        </w:rPr>
        <w:drawing>
          <wp:inline distT="0" distB="0" distL="0" distR="0" wp14:anchorId="54B26F67" wp14:editId="5C68A074">
            <wp:extent cx="142875" cy="2762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iCs/>
        </w:rPr>
        <w:t xml:space="preserve"> </w:t>
      </w:r>
      <w:r w:rsidRPr="00DD1A20">
        <w:rPr>
          <w:bCs/>
          <w:lang w:val="es-ES"/>
        </w:rPr>
        <w:t xml:space="preserve">(RTPCECR </w:t>
      </w:r>
      <w:r w:rsidRPr="00DD1A20">
        <w:rPr>
          <w:bCs/>
          <w:i/>
          <w:vertAlign w:val="subscript"/>
          <w:lang w:val="es-ES"/>
        </w:rPr>
        <w:t>q, m</w:t>
      </w:r>
      <w:r w:rsidRPr="00DD1A20">
        <w:rPr>
          <w:bCs/>
          <w:lang w:val="es-ES"/>
        </w:rPr>
        <w:t xml:space="preserve">) + PCECR </w:t>
      </w:r>
      <w:r w:rsidRPr="00DD1A20">
        <w:rPr>
          <w:bCs/>
          <w:i/>
          <w:vertAlign w:val="subscript"/>
          <w:lang w:val="es-ES"/>
        </w:rPr>
        <w:t>q</w:t>
      </w:r>
      <w:r w:rsidRPr="00DD1A20">
        <w:rPr>
          <w:bCs/>
          <w:lang w:val="es-ES"/>
        </w:rPr>
        <w:t xml:space="preserve"> + RUCECRQ </w:t>
      </w:r>
      <w:r w:rsidRPr="00DD1A20">
        <w:rPr>
          <w:bCs/>
          <w:i/>
          <w:vertAlign w:val="subscript"/>
          <w:lang w:val="es-ES"/>
        </w:rPr>
        <w:t>q</w:t>
      </w:r>
      <w:r w:rsidRPr="00DD1A20">
        <w:rPr>
          <w:bCs/>
          <w:lang w:val="es-ES"/>
        </w:rPr>
        <w:t>) – (</w:t>
      </w:r>
      <w:r w:rsidRPr="00DD1A20">
        <w:rPr>
          <w:bCs/>
          <w:iCs/>
        </w:rPr>
        <w:t>ECRTRPQ</w:t>
      </w:r>
      <w:r w:rsidRPr="00DD1A20">
        <w:rPr>
          <w:bCs/>
          <w:i/>
          <w:vertAlign w:val="subscript"/>
          <w:lang w:val="fr-FR"/>
        </w:rPr>
        <w:t xml:space="preserve"> q</w:t>
      </w:r>
      <w:r w:rsidRPr="00DD1A20">
        <w:rPr>
          <w:bCs/>
          <w:iCs/>
        </w:rPr>
        <w:t xml:space="preserve"> + ECR</w:t>
      </w:r>
      <w:r w:rsidRPr="00DD1A20">
        <w:rPr>
          <w:bCs/>
          <w:lang w:val="es-ES"/>
        </w:rPr>
        <w:t xml:space="preserve">FQ </w:t>
      </w:r>
      <w:r w:rsidRPr="00DD1A20">
        <w:rPr>
          <w:bCs/>
          <w:i/>
          <w:vertAlign w:val="subscript"/>
          <w:lang w:val="es-ES"/>
        </w:rPr>
        <w:t>q</w:t>
      </w:r>
      <w:r w:rsidRPr="00DD1A20">
        <w:rPr>
          <w:bCs/>
          <w:lang w:val="es-ES"/>
        </w:rPr>
        <w:t xml:space="preserve"> + RECRFQ</w:t>
      </w:r>
      <w:r w:rsidRPr="00DD1A20">
        <w:rPr>
          <w:bCs/>
          <w:i/>
          <w:vertAlign w:val="subscript"/>
          <w:lang w:val="es-ES"/>
        </w:rPr>
        <w:t xml:space="preserve"> q</w:t>
      </w:r>
      <w:r w:rsidRPr="00DD1A20">
        <w:rPr>
          <w:bCs/>
          <w:lang w:val="es-ES"/>
        </w:rPr>
        <w:t xml:space="preserve"> + ECRINFQ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bCs/>
          <w:iCs/>
        </w:rPr>
        <w:t xml:space="preserve"> </w:t>
      </w:r>
      <w:r w:rsidRPr="00DD1A20">
        <w:rPr>
          <w:position w:val="-18"/>
        </w:rPr>
        <w:object w:dxaOrig="225" w:dyaOrig="420" w14:anchorId="3F9AAF68">
          <v:shape id="_x0000_i1347" type="#_x0000_t75" style="width:12pt;height:24pt" o:ole="">
            <v:imagedata r:id="rId159" o:title=""/>
          </v:shape>
          <o:OLEObject Type="Embed" ProgID="Equation.3" ShapeID="_x0000_i1347" DrawAspect="Content" ObjectID="_1804653830" r:id="rId429"/>
        </w:object>
      </w:r>
      <w:r w:rsidRPr="00DD1A20">
        <w:rPr>
          <w:bCs/>
          <w:iCs/>
        </w:rPr>
        <w:t>TELECRRC</w:t>
      </w:r>
      <w:r w:rsidRPr="00DD1A20">
        <w:rPr>
          <w:bCs/>
          <w:i/>
          <w:vertAlign w:val="subscript"/>
          <w:lang w:val="es-ES"/>
        </w:rPr>
        <w:t xml:space="preserve"> q, r</w:t>
      </w:r>
      <w:r w:rsidRPr="00DD1A20">
        <w:rPr>
          <w:bCs/>
          <w:iCs/>
          <w:lang w:val="es-ES"/>
        </w:rPr>
        <w:t>, 0)</w:t>
      </w:r>
    </w:p>
    <w:p w14:paraId="5D6DF77B"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ECRS deployment event:</w:t>
      </w:r>
    </w:p>
    <w:p w14:paraId="5EBC1701" w14:textId="77777777" w:rsidR="00745851" w:rsidRPr="00DD1A20" w:rsidRDefault="00745851" w:rsidP="00745851">
      <w:pPr>
        <w:spacing w:after="240"/>
        <w:ind w:leftChars="300" w:left="2880" w:hangingChars="900" w:hanging="2160"/>
      </w:pPr>
      <w:r w:rsidRPr="00DD1A20">
        <w:rPr>
          <w:bCs/>
          <w:iCs/>
        </w:rPr>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 xml:space="preserve">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 xml:space="preserve">which will be used </w:t>
      </w:r>
      <w:r>
        <w:rPr>
          <w:bCs/>
          <w:iCs/>
          <w:lang w:val="es-ES"/>
        </w:rPr>
        <w:lastRenderedPageBreak/>
        <w:t>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Pr>
          <w:bCs/>
          <w:iCs/>
          <w:lang w:val="es-ES"/>
        </w:rPr>
        <w:t xml:space="preserve"> </w:t>
      </w:r>
      <w:r w:rsidRPr="00DD1A20">
        <w:t>will be the time of the first deployment</w:t>
      </w:r>
    </w:p>
    <w:p w14:paraId="70CB5BB9"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an ECRS deployment event:</w:t>
      </w:r>
    </w:p>
    <w:p w14:paraId="448ACAA8" w14:textId="77777777" w:rsidR="00745851" w:rsidRPr="00DD1A20" w:rsidRDefault="00745851" w:rsidP="00745851">
      <w:pPr>
        <w:spacing w:after="240"/>
        <w:ind w:leftChars="300" w:left="2880" w:hangingChars="900" w:hanging="2160"/>
        <w:rPr>
          <w:bCs/>
          <w:iCs/>
          <w:lang w:val="fr-FR"/>
        </w:rPr>
      </w:pPr>
      <w:r w:rsidRPr="00DD1A20">
        <w:rPr>
          <w:bCs/>
          <w:iCs/>
        </w:rPr>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NPF</w:t>
      </w:r>
      <w:r w:rsidRPr="00DD1A20">
        <w:rPr>
          <w:bCs/>
          <w:i/>
          <w:vertAlign w:val="subscript"/>
          <w:lang w:val="es-ES"/>
        </w:rPr>
        <w:t xml:space="preserve"> q,</w:t>
      </w:r>
      <w:r>
        <w:rPr>
          <w:bCs/>
          <w:i/>
          <w:vertAlign w:val="subscript"/>
          <w:lang w:val="es-ES"/>
        </w:rPr>
        <w:t xml:space="preserve"> </w:t>
      </w:r>
      <w:r w:rsidRPr="00DD1A20">
        <w:rPr>
          <w:bCs/>
          <w:i/>
          <w:vertAlign w:val="subscript"/>
          <w:lang w:val="es-ES"/>
        </w:rPr>
        <w:t>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p>
    <w:p w14:paraId="1B8D7204" w14:textId="77777777" w:rsidR="00745851" w:rsidRPr="00DD1A20" w:rsidRDefault="00745851" w:rsidP="00745851">
      <w:pPr>
        <w:spacing w:after="240"/>
        <w:ind w:leftChars="300" w:left="2880" w:hangingChars="900" w:hanging="2160"/>
        <w:rPr>
          <w:bCs/>
          <w:lang w:val="fr-FR"/>
        </w:rPr>
      </w:pPr>
      <w:r w:rsidRPr="00DD1A20">
        <w:rPr>
          <w:bCs/>
          <w:lang w:val="fr-FR"/>
        </w:rPr>
        <w:t xml:space="preserve">SAECRQ </w:t>
      </w:r>
      <w:r w:rsidRPr="00DD1A20">
        <w:rPr>
          <w:bCs/>
          <w:i/>
          <w:vertAlign w:val="subscript"/>
          <w:lang w:val="fr-FR"/>
        </w:rPr>
        <w:t xml:space="preserve">q </w:t>
      </w:r>
      <w:r w:rsidRPr="00DD1A20">
        <w:rPr>
          <w:bCs/>
          <w:lang w:val="fr-FR"/>
        </w:rPr>
        <w:t xml:space="preserve">= DASAECRQ </w:t>
      </w:r>
      <w:r w:rsidRPr="00DD1A20">
        <w:rPr>
          <w:bCs/>
          <w:i/>
          <w:vertAlign w:val="subscript"/>
          <w:lang w:val="fr-FR"/>
        </w:rPr>
        <w:t>q</w:t>
      </w:r>
      <w:r w:rsidRPr="00DD1A20">
        <w:rPr>
          <w:bCs/>
          <w:lang w:val="fr-FR"/>
        </w:rPr>
        <w:t xml:space="preserve"> + RTSAECRQ </w:t>
      </w:r>
      <w:r w:rsidRPr="00DD1A20">
        <w:rPr>
          <w:bCs/>
          <w:i/>
          <w:vertAlign w:val="subscript"/>
          <w:lang w:val="fr-FR"/>
        </w:rPr>
        <w:t>q</w:t>
      </w:r>
    </w:p>
    <w:p w14:paraId="1C5BB4E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853"/>
        <w:gridCol w:w="6392"/>
      </w:tblGrid>
      <w:tr w:rsidR="00745851" w:rsidRPr="00DD1A20" w14:paraId="1F97B20B" w14:textId="77777777" w:rsidTr="00507A85">
        <w:tc>
          <w:tcPr>
            <w:tcW w:w="1126" w:type="pct"/>
          </w:tcPr>
          <w:p w14:paraId="0537FDA1" w14:textId="77777777" w:rsidR="00745851" w:rsidRPr="00DD1A20" w:rsidRDefault="00745851" w:rsidP="00507A85">
            <w:pPr>
              <w:spacing w:after="240"/>
              <w:rPr>
                <w:b/>
                <w:iCs/>
                <w:sz w:val="20"/>
              </w:rPr>
            </w:pPr>
            <w:r w:rsidRPr="00DD1A20">
              <w:rPr>
                <w:b/>
                <w:iCs/>
                <w:sz w:val="20"/>
              </w:rPr>
              <w:t>Variable</w:t>
            </w:r>
          </w:p>
        </w:tc>
        <w:tc>
          <w:tcPr>
            <w:tcW w:w="456" w:type="pct"/>
          </w:tcPr>
          <w:p w14:paraId="5009B8B1" w14:textId="77777777" w:rsidR="00745851" w:rsidRPr="00DD1A20" w:rsidRDefault="00745851" w:rsidP="00507A85">
            <w:pPr>
              <w:spacing w:after="240"/>
              <w:rPr>
                <w:b/>
                <w:iCs/>
                <w:sz w:val="20"/>
              </w:rPr>
            </w:pPr>
            <w:r w:rsidRPr="00DD1A20">
              <w:rPr>
                <w:b/>
                <w:iCs/>
                <w:sz w:val="20"/>
              </w:rPr>
              <w:t>Unit</w:t>
            </w:r>
          </w:p>
        </w:tc>
        <w:tc>
          <w:tcPr>
            <w:tcW w:w="3418" w:type="pct"/>
          </w:tcPr>
          <w:p w14:paraId="1FFF48C7" w14:textId="77777777" w:rsidR="00745851" w:rsidRPr="00DD1A20" w:rsidRDefault="00745851" w:rsidP="00507A85">
            <w:pPr>
              <w:spacing w:after="240"/>
              <w:rPr>
                <w:b/>
                <w:iCs/>
                <w:sz w:val="20"/>
              </w:rPr>
            </w:pPr>
            <w:r w:rsidRPr="00DD1A20">
              <w:rPr>
                <w:b/>
                <w:iCs/>
                <w:sz w:val="20"/>
              </w:rPr>
              <w:t>Description</w:t>
            </w:r>
          </w:p>
        </w:tc>
      </w:tr>
      <w:tr w:rsidR="00745851" w:rsidRPr="00DD1A20" w14:paraId="7F03638F" w14:textId="77777777" w:rsidTr="00507A85">
        <w:tc>
          <w:tcPr>
            <w:tcW w:w="1126" w:type="pct"/>
          </w:tcPr>
          <w:p w14:paraId="199608DF" w14:textId="77777777" w:rsidR="00745851" w:rsidRPr="00DD1A20" w:rsidRDefault="00745851" w:rsidP="00507A85">
            <w:pPr>
              <w:spacing w:after="60"/>
              <w:rPr>
                <w:iCs/>
                <w:sz w:val="20"/>
              </w:rPr>
            </w:pPr>
            <w:r w:rsidRPr="00DD1A20">
              <w:rPr>
                <w:iCs/>
                <w:sz w:val="20"/>
              </w:rPr>
              <w:t>ECRFQAMTQSETOT</w:t>
            </w:r>
            <w:r w:rsidRPr="00DD1A20">
              <w:rPr>
                <w:i/>
                <w:iCs/>
                <w:sz w:val="20"/>
              </w:rPr>
              <w:t xml:space="preserve"> </w:t>
            </w:r>
            <w:r w:rsidRPr="00DD1A20">
              <w:rPr>
                <w:i/>
                <w:iCs/>
                <w:sz w:val="20"/>
                <w:vertAlign w:val="subscript"/>
              </w:rPr>
              <w:t>q</w:t>
            </w:r>
          </w:p>
        </w:tc>
        <w:tc>
          <w:tcPr>
            <w:tcW w:w="456" w:type="pct"/>
          </w:tcPr>
          <w:p w14:paraId="2BDF0152" w14:textId="77777777" w:rsidR="00745851" w:rsidRPr="00DD1A20" w:rsidRDefault="00745851" w:rsidP="00507A85">
            <w:pPr>
              <w:spacing w:after="60"/>
              <w:rPr>
                <w:iCs/>
                <w:sz w:val="20"/>
              </w:rPr>
            </w:pPr>
            <w:r w:rsidRPr="00DD1A20">
              <w:rPr>
                <w:iCs/>
                <w:sz w:val="20"/>
              </w:rPr>
              <w:t>$</w:t>
            </w:r>
          </w:p>
        </w:tc>
        <w:tc>
          <w:tcPr>
            <w:tcW w:w="3418" w:type="pct"/>
          </w:tcPr>
          <w:p w14:paraId="25426402" w14:textId="77777777" w:rsidR="00745851" w:rsidRPr="00DD1A20" w:rsidRDefault="00745851" w:rsidP="00507A85">
            <w:pPr>
              <w:spacing w:after="60"/>
              <w:rPr>
                <w:i/>
                <w:iCs/>
                <w:sz w:val="20"/>
              </w:rPr>
            </w:pPr>
            <w:r w:rsidRPr="00DD1A20">
              <w:rPr>
                <w:i/>
                <w:iCs/>
                <w:sz w:val="20"/>
              </w:rPr>
              <w:t>ERCOT Contingency Reserve Service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ECRS, for the hour.</w:t>
            </w:r>
          </w:p>
        </w:tc>
      </w:tr>
      <w:tr w:rsidR="00745851" w:rsidRPr="00DD1A20" w14:paraId="667FD9AF" w14:textId="77777777" w:rsidTr="00507A85">
        <w:tc>
          <w:tcPr>
            <w:tcW w:w="1126" w:type="pct"/>
          </w:tcPr>
          <w:p w14:paraId="400F660D" w14:textId="77777777" w:rsidR="00745851" w:rsidRPr="00DD1A20" w:rsidRDefault="00745851" w:rsidP="00507A85">
            <w:pPr>
              <w:spacing w:after="60"/>
              <w:rPr>
                <w:iCs/>
                <w:sz w:val="20"/>
              </w:rPr>
            </w:pPr>
            <w:r w:rsidRPr="00DD1A20">
              <w:rPr>
                <w:iCs/>
                <w:sz w:val="20"/>
              </w:rPr>
              <w:t>RECRFQAMT</w:t>
            </w:r>
            <w:r w:rsidRPr="00DD1A20">
              <w:rPr>
                <w:i/>
                <w:iCs/>
                <w:sz w:val="20"/>
              </w:rPr>
              <w:t xml:space="preserve"> </w:t>
            </w:r>
            <w:r w:rsidRPr="00DD1A20">
              <w:rPr>
                <w:i/>
                <w:iCs/>
                <w:sz w:val="20"/>
                <w:vertAlign w:val="subscript"/>
              </w:rPr>
              <w:t>q</w:t>
            </w:r>
          </w:p>
        </w:tc>
        <w:tc>
          <w:tcPr>
            <w:tcW w:w="456" w:type="pct"/>
          </w:tcPr>
          <w:p w14:paraId="29CAD95D" w14:textId="77777777" w:rsidR="00745851" w:rsidRPr="00DD1A20" w:rsidRDefault="00745851" w:rsidP="00507A85">
            <w:pPr>
              <w:spacing w:after="60"/>
              <w:rPr>
                <w:iCs/>
                <w:sz w:val="20"/>
              </w:rPr>
            </w:pPr>
            <w:r w:rsidRPr="00DD1A20">
              <w:rPr>
                <w:iCs/>
                <w:sz w:val="20"/>
              </w:rPr>
              <w:t>$</w:t>
            </w:r>
          </w:p>
        </w:tc>
        <w:tc>
          <w:tcPr>
            <w:tcW w:w="3418" w:type="pct"/>
          </w:tcPr>
          <w:p w14:paraId="66019A0D"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ECRS, for the hour.</w:t>
            </w:r>
          </w:p>
        </w:tc>
      </w:tr>
      <w:tr w:rsidR="00745851" w:rsidRPr="00DD1A20" w14:paraId="2DBB5DD7" w14:textId="77777777" w:rsidTr="00507A85">
        <w:tc>
          <w:tcPr>
            <w:tcW w:w="1126" w:type="pct"/>
          </w:tcPr>
          <w:p w14:paraId="51CEFD2B" w14:textId="77777777" w:rsidR="00745851" w:rsidRPr="00DD1A20" w:rsidRDefault="00745851" w:rsidP="00507A85">
            <w:pPr>
              <w:spacing w:after="60"/>
              <w:rPr>
                <w:iCs/>
                <w:sz w:val="20"/>
              </w:rPr>
            </w:pPr>
            <w:r w:rsidRPr="00DD1A20">
              <w:rPr>
                <w:iCs/>
                <w:sz w:val="20"/>
              </w:rPr>
              <w:t>ECRFQAMT</w:t>
            </w:r>
            <w:r w:rsidRPr="00DD1A20">
              <w:rPr>
                <w:i/>
                <w:iCs/>
                <w:sz w:val="20"/>
              </w:rPr>
              <w:t xml:space="preserve"> </w:t>
            </w:r>
            <w:r w:rsidRPr="00DD1A20">
              <w:rPr>
                <w:i/>
                <w:iCs/>
                <w:sz w:val="20"/>
                <w:vertAlign w:val="subscript"/>
              </w:rPr>
              <w:t>q</w:t>
            </w:r>
          </w:p>
        </w:tc>
        <w:tc>
          <w:tcPr>
            <w:tcW w:w="456" w:type="pct"/>
          </w:tcPr>
          <w:p w14:paraId="0CD3385C" w14:textId="77777777" w:rsidR="00745851" w:rsidRPr="00DD1A20" w:rsidRDefault="00745851" w:rsidP="00507A85">
            <w:pPr>
              <w:spacing w:after="60"/>
              <w:rPr>
                <w:iCs/>
                <w:sz w:val="20"/>
              </w:rPr>
            </w:pPr>
            <w:r w:rsidRPr="00DD1A20">
              <w:rPr>
                <w:iCs/>
                <w:sz w:val="20"/>
              </w:rPr>
              <w:t>$</w:t>
            </w:r>
          </w:p>
        </w:tc>
        <w:tc>
          <w:tcPr>
            <w:tcW w:w="3418" w:type="pct"/>
          </w:tcPr>
          <w:p w14:paraId="1E25DDD1" w14:textId="77777777" w:rsidR="00745851" w:rsidRPr="00DD1A20" w:rsidRDefault="00745851" w:rsidP="00507A85">
            <w:pPr>
              <w:spacing w:after="60"/>
              <w:rPr>
                <w:iCs/>
                <w:sz w:val="20"/>
              </w:rPr>
            </w:pP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ECRS, for the hour.</w:t>
            </w:r>
          </w:p>
        </w:tc>
      </w:tr>
      <w:tr w:rsidR="00745851" w:rsidRPr="00DD1A20" w14:paraId="50980FCD" w14:textId="77777777" w:rsidTr="00507A85">
        <w:tc>
          <w:tcPr>
            <w:tcW w:w="1126" w:type="pct"/>
          </w:tcPr>
          <w:p w14:paraId="080BBC74" w14:textId="77777777" w:rsidR="00745851" w:rsidRPr="00DD1A20" w:rsidRDefault="00745851" w:rsidP="00507A85">
            <w:pPr>
              <w:spacing w:after="60"/>
              <w:rPr>
                <w:iCs/>
                <w:sz w:val="20"/>
              </w:rPr>
            </w:pPr>
            <w:r w:rsidRPr="00DD1A20">
              <w:rPr>
                <w:iCs/>
                <w:sz w:val="20"/>
              </w:rPr>
              <w:t xml:space="preserve">RTRDP </w:t>
            </w:r>
            <w:r w:rsidRPr="00DD1A20">
              <w:rPr>
                <w:i/>
                <w:iCs/>
                <w:sz w:val="20"/>
                <w:vertAlign w:val="subscript"/>
              </w:rPr>
              <w:t>i</w:t>
            </w:r>
          </w:p>
        </w:tc>
        <w:tc>
          <w:tcPr>
            <w:tcW w:w="456" w:type="pct"/>
          </w:tcPr>
          <w:p w14:paraId="45495C39" w14:textId="77777777" w:rsidR="00745851" w:rsidRPr="00DD1A20" w:rsidRDefault="00745851" w:rsidP="00507A85">
            <w:pPr>
              <w:spacing w:after="60"/>
              <w:rPr>
                <w:sz w:val="20"/>
              </w:rPr>
            </w:pPr>
            <w:r w:rsidRPr="00DD1A20">
              <w:rPr>
                <w:iCs/>
                <w:sz w:val="20"/>
              </w:rPr>
              <w:t>$/MWh</w:t>
            </w:r>
          </w:p>
        </w:tc>
        <w:tc>
          <w:tcPr>
            <w:tcW w:w="3418" w:type="pct"/>
          </w:tcPr>
          <w:p w14:paraId="2A63C562" w14:textId="77777777" w:rsidR="00745851" w:rsidRPr="00DD1A20" w:rsidRDefault="00745851" w:rsidP="00507A85">
            <w:pPr>
              <w:spacing w:after="60"/>
              <w:rPr>
                <w:i/>
                <w:sz w:val="20"/>
              </w:rPr>
            </w:pPr>
            <w:r w:rsidRPr="00DD1A20">
              <w:rPr>
                <w:i/>
                <w:sz w:val="20"/>
              </w:rPr>
              <w:t>Real-Time On-Line Reliability Deployment Price</w:t>
            </w:r>
            <w:r w:rsidRPr="00DD1A20">
              <w:rPr>
                <w:i/>
                <w:iCs/>
                <w:sz w:val="20"/>
              </w:rPr>
              <w:t>—</w:t>
            </w:r>
            <w:r w:rsidRPr="00DD1A20">
              <w:rPr>
                <w:sz w:val="20"/>
              </w:rPr>
              <w:t>The Real-Time price for the 15-minute Settlement Interval</w:t>
            </w:r>
            <w:r w:rsidRPr="00DD1A20">
              <w:rPr>
                <w:iCs/>
                <w:sz w:val="20"/>
              </w:rPr>
              <w:t xml:space="preserve"> </w:t>
            </w:r>
            <w:r w:rsidRPr="00DD1A20">
              <w:rPr>
                <w:i/>
                <w:iCs/>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6A8330E" w14:textId="77777777" w:rsidTr="00507A85">
        <w:tc>
          <w:tcPr>
            <w:tcW w:w="1126" w:type="pct"/>
          </w:tcPr>
          <w:p w14:paraId="74A30516" w14:textId="77777777" w:rsidR="00745851" w:rsidRPr="00DD1A20" w:rsidRDefault="00745851" w:rsidP="00507A85">
            <w:pPr>
              <w:spacing w:after="60"/>
              <w:rPr>
                <w:iCs/>
                <w:sz w:val="20"/>
              </w:rPr>
            </w:pPr>
            <w:r w:rsidRPr="00DD1A20">
              <w:rPr>
                <w:iCs/>
                <w:sz w:val="20"/>
              </w:rPr>
              <w:t xml:space="preserve">RTRSVPOR </w:t>
            </w:r>
            <w:r w:rsidRPr="00DD1A20">
              <w:rPr>
                <w:i/>
                <w:iCs/>
                <w:sz w:val="20"/>
                <w:vertAlign w:val="subscript"/>
              </w:rPr>
              <w:t>i</w:t>
            </w:r>
          </w:p>
        </w:tc>
        <w:tc>
          <w:tcPr>
            <w:tcW w:w="456" w:type="pct"/>
          </w:tcPr>
          <w:p w14:paraId="2D070020" w14:textId="77777777" w:rsidR="00745851" w:rsidRPr="00DD1A20" w:rsidRDefault="00745851" w:rsidP="00507A85">
            <w:pPr>
              <w:spacing w:after="60"/>
              <w:rPr>
                <w:sz w:val="20"/>
              </w:rPr>
            </w:pPr>
            <w:r w:rsidRPr="00DD1A20">
              <w:rPr>
                <w:iCs/>
                <w:sz w:val="20"/>
              </w:rPr>
              <w:t>$/MWh</w:t>
            </w:r>
          </w:p>
        </w:tc>
        <w:tc>
          <w:tcPr>
            <w:tcW w:w="3418" w:type="pct"/>
          </w:tcPr>
          <w:tbl>
            <w:tblPr>
              <w:tblW w:w="0" w:type="auto"/>
              <w:tblBorders>
                <w:top w:val="nil"/>
                <w:left w:val="nil"/>
                <w:bottom w:val="nil"/>
                <w:right w:val="nil"/>
              </w:tblBorders>
              <w:tblLook w:val="0000" w:firstRow="0" w:lastRow="0" w:firstColumn="0" w:lastColumn="0" w:noHBand="0" w:noVBand="0"/>
            </w:tblPr>
            <w:tblGrid>
              <w:gridCol w:w="6176"/>
            </w:tblGrid>
            <w:tr w:rsidR="00745851" w:rsidRPr="00DD1A20" w14:paraId="1090C56E" w14:textId="77777777" w:rsidTr="00507A85">
              <w:trPr>
                <w:trHeight w:val="363"/>
              </w:trPr>
              <w:tc>
                <w:tcPr>
                  <w:tcW w:w="0" w:type="auto"/>
                </w:tcPr>
                <w:p w14:paraId="009C8B18" w14:textId="77777777" w:rsidR="00745851" w:rsidRPr="00DD1A20" w:rsidRDefault="00745851" w:rsidP="00507A85">
                  <w:pPr>
                    <w:autoSpaceDE w:val="0"/>
                    <w:autoSpaceDN w:val="0"/>
                    <w:adjustRightInd w:val="0"/>
                    <w:ind w:left="-58"/>
                    <w:rPr>
                      <w:color w:val="000000"/>
                      <w:sz w:val="20"/>
                    </w:rPr>
                  </w:pPr>
                  <w:r w:rsidRPr="00DD1A20">
                    <w:rPr>
                      <w:i/>
                      <w:iCs/>
                      <w:color w:val="000000"/>
                      <w:sz w:val="20"/>
                    </w:rPr>
                    <w:t>Real-Time Reserve Price for On-Line Reserves—</w:t>
                  </w:r>
                  <w:r w:rsidRPr="00DD1A20">
                    <w:rPr>
                      <w:color w:val="000000"/>
                      <w:sz w:val="20"/>
                    </w:rPr>
                    <w:t>The Real-Time Reserve Price for On-Line Reserves for the 15-minute Settlement Interval</w:t>
                  </w:r>
                  <w:r w:rsidRPr="00DD1A20">
                    <w:rPr>
                      <w:iCs/>
                      <w:color w:val="000000"/>
                      <w:sz w:val="20"/>
                    </w:rPr>
                    <w:t xml:space="preserve"> </w:t>
                  </w:r>
                  <w:r w:rsidRPr="00DD1A20">
                    <w:rPr>
                      <w:i/>
                      <w:iCs/>
                      <w:color w:val="000000"/>
                      <w:sz w:val="20"/>
                    </w:rPr>
                    <w:t>i</w:t>
                  </w:r>
                  <w:r w:rsidRPr="00DD1A20">
                    <w:rPr>
                      <w:color w:val="000000"/>
                      <w:sz w:val="20"/>
                    </w:rPr>
                    <w:t xml:space="preserve">. </w:t>
                  </w:r>
                </w:p>
              </w:tc>
            </w:tr>
          </w:tbl>
          <w:p w14:paraId="1CF2B8CC" w14:textId="77777777" w:rsidR="00745851" w:rsidRPr="00DD1A20" w:rsidRDefault="00745851" w:rsidP="00507A85">
            <w:pPr>
              <w:spacing w:after="60"/>
              <w:rPr>
                <w:i/>
                <w:sz w:val="20"/>
              </w:rPr>
            </w:pPr>
          </w:p>
        </w:tc>
      </w:tr>
      <w:tr w:rsidR="00745851" w:rsidRPr="00DD1A20" w14:paraId="4C3CD76A" w14:textId="77777777" w:rsidTr="00507A85">
        <w:tc>
          <w:tcPr>
            <w:tcW w:w="1126" w:type="pct"/>
          </w:tcPr>
          <w:p w14:paraId="1DBB601D" w14:textId="77777777" w:rsidR="00745851" w:rsidRPr="00DD1A20" w:rsidRDefault="00745851" w:rsidP="00507A85">
            <w:pPr>
              <w:spacing w:after="60"/>
              <w:rPr>
                <w:iCs/>
                <w:sz w:val="20"/>
              </w:rPr>
            </w:pPr>
            <w:r w:rsidRPr="00DD1A20">
              <w:rPr>
                <w:sz w:val="20"/>
              </w:rPr>
              <w:t>AVGRTASIP</w:t>
            </w:r>
          </w:p>
        </w:tc>
        <w:tc>
          <w:tcPr>
            <w:tcW w:w="456" w:type="pct"/>
          </w:tcPr>
          <w:p w14:paraId="38630753" w14:textId="77777777" w:rsidR="00745851" w:rsidRPr="00DD1A20" w:rsidRDefault="00745851" w:rsidP="00507A85">
            <w:pPr>
              <w:spacing w:after="60"/>
              <w:rPr>
                <w:sz w:val="20"/>
              </w:rPr>
            </w:pPr>
            <w:r w:rsidRPr="00DD1A20">
              <w:rPr>
                <w:sz w:val="20"/>
              </w:rPr>
              <w:t>$/MW per hour</w:t>
            </w:r>
          </w:p>
        </w:tc>
        <w:tc>
          <w:tcPr>
            <w:tcW w:w="3418" w:type="pct"/>
          </w:tcPr>
          <w:p w14:paraId="4A1CC19F" w14:textId="77777777" w:rsidR="00745851" w:rsidRPr="00DD1A20" w:rsidRDefault="00745851" w:rsidP="00507A85">
            <w:pPr>
              <w:spacing w:after="60"/>
              <w:rPr>
                <w:i/>
                <w:sz w:val="20"/>
              </w:rPr>
            </w:pPr>
            <w:r w:rsidRPr="00DD1A20">
              <w:rPr>
                <w:i/>
                <w:sz w:val="20"/>
              </w:rPr>
              <w:t xml:space="preserve">Average Real-Time </w:t>
            </w:r>
            <w:r w:rsidRPr="00DD1A20">
              <w:rPr>
                <w:i/>
                <w:iCs/>
                <w:sz w:val="20"/>
              </w:rPr>
              <w:t xml:space="preserve">Ancillary Service Imbalance </w:t>
            </w:r>
            <w:r w:rsidRPr="00DD1A20">
              <w:rPr>
                <w:i/>
                <w:sz w:val="20"/>
              </w:rPr>
              <w:t>Price</w:t>
            </w:r>
            <w:r w:rsidRPr="00DD1A20">
              <w:t>—</w:t>
            </w:r>
            <w:r w:rsidRPr="00DD1A20">
              <w:rPr>
                <w:sz w:val="20"/>
              </w:rPr>
              <w:t>The average of the sum of the Real-Time On-Line Reliability Deployment Price and the Real-Time Reserve Price for On-Line Reserves used in the calculation of Real</w:t>
            </w:r>
            <w:r>
              <w:rPr>
                <w:sz w:val="20"/>
              </w:rPr>
              <w:t>-</w:t>
            </w:r>
            <w:r w:rsidRPr="00DD1A20">
              <w:rPr>
                <w:sz w:val="20"/>
              </w:rPr>
              <w:t>Time Ancillary Service Imbalance Amount per Section 6.7.5 for the Operating Hour.</w:t>
            </w:r>
          </w:p>
        </w:tc>
      </w:tr>
      <w:tr w:rsidR="00745851" w:rsidRPr="00DD1A20" w14:paraId="51298886" w14:textId="77777777" w:rsidTr="00507A85">
        <w:tc>
          <w:tcPr>
            <w:tcW w:w="1126" w:type="pct"/>
          </w:tcPr>
          <w:p w14:paraId="5520D180" w14:textId="77777777" w:rsidR="00745851" w:rsidRPr="00DD1A20" w:rsidRDefault="00745851" w:rsidP="00507A85">
            <w:pPr>
              <w:spacing w:after="60"/>
              <w:rPr>
                <w:iCs/>
                <w:sz w:val="20"/>
              </w:rPr>
            </w:pPr>
            <w:r w:rsidRPr="00DD1A20">
              <w:rPr>
                <w:iCs/>
                <w:sz w:val="20"/>
              </w:rPr>
              <w:t xml:space="preserve">SAECRQ </w:t>
            </w:r>
            <w:r w:rsidRPr="00DD1A20">
              <w:rPr>
                <w:i/>
                <w:sz w:val="20"/>
                <w:vertAlign w:val="subscript"/>
              </w:rPr>
              <w:t>q</w:t>
            </w:r>
          </w:p>
        </w:tc>
        <w:tc>
          <w:tcPr>
            <w:tcW w:w="456" w:type="pct"/>
          </w:tcPr>
          <w:p w14:paraId="67120D17" w14:textId="77777777" w:rsidR="00745851" w:rsidRPr="00DD1A20" w:rsidRDefault="00745851" w:rsidP="00507A85">
            <w:pPr>
              <w:spacing w:after="60"/>
              <w:rPr>
                <w:iCs/>
                <w:sz w:val="20"/>
              </w:rPr>
            </w:pPr>
            <w:r w:rsidRPr="00DD1A20">
              <w:rPr>
                <w:sz w:val="20"/>
              </w:rPr>
              <w:t>MW</w:t>
            </w:r>
          </w:p>
        </w:tc>
        <w:tc>
          <w:tcPr>
            <w:tcW w:w="3418" w:type="pct"/>
          </w:tcPr>
          <w:p w14:paraId="3A8D1348" w14:textId="77777777" w:rsidR="00745851" w:rsidRPr="00DD1A20" w:rsidRDefault="00745851" w:rsidP="00507A85">
            <w:pPr>
              <w:spacing w:after="60"/>
              <w:rPr>
                <w:i/>
                <w:sz w:val="20"/>
              </w:rPr>
            </w:pPr>
            <w:r w:rsidRPr="00DD1A20">
              <w:rPr>
                <w:i/>
                <w:sz w:val="20"/>
              </w:rPr>
              <w:t>Total Self-Arranged ERCOT Contingency Reserve Service Quantity per QSE for all markets—</w:t>
            </w:r>
            <w:r w:rsidRPr="00DD1A20">
              <w:rPr>
                <w:iCs/>
                <w:sz w:val="20"/>
              </w:rPr>
              <w:t xml:space="preserve">The sum of all self-arranged ECRS quantities submitted by QSE </w:t>
            </w:r>
            <w:r w:rsidRPr="00DD1A20">
              <w:rPr>
                <w:i/>
                <w:sz w:val="20"/>
              </w:rPr>
              <w:t>q</w:t>
            </w:r>
            <w:r w:rsidRPr="00DD1A20">
              <w:rPr>
                <w:iCs/>
                <w:sz w:val="20"/>
              </w:rPr>
              <w:t xml:space="preserve"> for DAM and all SASMs.</w:t>
            </w:r>
          </w:p>
        </w:tc>
      </w:tr>
      <w:tr w:rsidR="00745851" w:rsidRPr="00DD1A20" w14:paraId="06CF9EB5" w14:textId="77777777" w:rsidTr="00507A85">
        <w:tc>
          <w:tcPr>
            <w:tcW w:w="1126" w:type="pct"/>
          </w:tcPr>
          <w:p w14:paraId="41674E94" w14:textId="77777777" w:rsidR="00745851" w:rsidRPr="00DD1A20" w:rsidRDefault="00745851" w:rsidP="00507A85">
            <w:pPr>
              <w:spacing w:after="60"/>
              <w:rPr>
                <w:iCs/>
                <w:sz w:val="20"/>
              </w:rPr>
            </w:pPr>
            <w:r w:rsidRPr="00DD1A20">
              <w:rPr>
                <w:iCs/>
                <w:sz w:val="20"/>
              </w:rPr>
              <w:t xml:space="preserve">ECRTRSQ </w:t>
            </w:r>
            <w:r w:rsidRPr="00DD1A20">
              <w:rPr>
                <w:i/>
                <w:sz w:val="20"/>
                <w:vertAlign w:val="subscript"/>
              </w:rPr>
              <w:t>q</w:t>
            </w:r>
          </w:p>
        </w:tc>
        <w:tc>
          <w:tcPr>
            <w:tcW w:w="456" w:type="pct"/>
          </w:tcPr>
          <w:p w14:paraId="333E4BB3" w14:textId="77777777" w:rsidR="00745851" w:rsidRPr="000E4CFB" w:rsidRDefault="00745851" w:rsidP="00507A85">
            <w:pPr>
              <w:spacing w:after="60"/>
              <w:rPr>
                <w:iCs/>
                <w:sz w:val="20"/>
              </w:rPr>
            </w:pPr>
            <w:r w:rsidRPr="00C22DE9">
              <w:rPr>
                <w:iCs/>
                <w:sz w:val="20"/>
              </w:rPr>
              <w:t>MW</w:t>
            </w:r>
          </w:p>
        </w:tc>
        <w:tc>
          <w:tcPr>
            <w:tcW w:w="3418" w:type="pct"/>
          </w:tcPr>
          <w:p w14:paraId="77EAD3E3" w14:textId="77777777" w:rsidR="00745851" w:rsidRPr="00DD1A20" w:rsidRDefault="00745851" w:rsidP="00507A85">
            <w:pPr>
              <w:spacing w:after="60"/>
              <w:rPr>
                <w:i/>
                <w:sz w:val="20"/>
              </w:rPr>
            </w:pPr>
            <w:r w:rsidRPr="00DD1A20">
              <w:rPr>
                <w:i/>
                <w:sz w:val="20"/>
              </w:rPr>
              <w:t>ERCOT Contingency Reserve Service Trade Sale per QSE</w:t>
            </w:r>
            <w:r w:rsidRPr="00DD1A20">
              <w:t>—</w:t>
            </w:r>
            <w:r w:rsidRPr="00DD1A20">
              <w:rPr>
                <w:iCs/>
                <w:sz w:val="20"/>
              </w:rPr>
              <w:t xml:space="preserve">QSE </w:t>
            </w:r>
            <w:r w:rsidRPr="00DD1A20">
              <w:rPr>
                <w:i/>
                <w:sz w:val="20"/>
              </w:rPr>
              <w:t>q’s</w:t>
            </w:r>
            <w:r w:rsidRPr="00DD1A20">
              <w:rPr>
                <w:iCs/>
                <w:sz w:val="20"/>
              </w:rPr>
              <w:t xml:space="preserve"> total time-weighted average capacity Trade Sale for ECRS, for the hour.  </w:t>
            </w:r>
            <w:r w:rsidRPr="00DD1A20">
              <w:rPr>
                <w:sz w:val="20"/>
              </w:rPr>
              <w:t>The time-weighted average value is rounded to 0.1 MW.</w:t>
            </w:r>
          </w:p>
        </w:tc>
      </w:tr>
      <w:tr w:rsidR="00745851" w:rsidRPr="00DD1A20" w14:paraId="1CB857E0" w14:textId="77777777" w:rsidTr="00507A85">
        <w:tc>
          <w:tcPr>
            <w:tcW w:w="1126" w:type="pct"/>
          </w:tcPr>
          <w:p w14:paraId="66084750" w14:textId="77777777" w:rsidR="00745851" w:rsidRPr="00DD1A20" w:rsidRDefault="00745851" w:rsidP="00507A85">
            <w:pPr>
              <w:spacing w:after="60"/>
              <w:rPr>
                <w:iCs/>
                <w:sz w:val="20"/>
              </w:rPr>
            </w:pPr>
            <w:r w:rsidRPr="00DD1A20">
              <w:rPr>
                <w:iCs/>
                <w:sz w:val="20"/>
              </w:rPr>
              <w:t xml:space="preserve">RTPCECR </w:t>
            </w:r>
            <w:r w:rsidRPr="00DD1A20">
              <w:rPr>
                <w:i/>
                <w:sz w:val="20"/>
                <w:vertAlign w:val="subscript"/>
              </w:rPr>
              <w:t>q, m</w:t>
            </w:r>
          </w:p>
        </w:tc>
        <w:tc>
          <w:tcPr>
            <w:tcW w:w="456" w:type="pct"/>
          </w:tcPr>
          <w:p w14:paraId="66A4C5CA" w14:textId="77777777" w:rsidR="00745851" w:rsidRPr="00DD1A20" w:rsidRDefault="00745851" w:rsidP="00507A85">
            <w:pPr>
              <w:spacing w:after="60"/>
              <w:rPr>
                <w:iCs/>
                <w:sz w:val="20"/>
              </w:rPr>
            </w:pPr>
            <w:r w:rsidRPr="00DD1A20">
              <w:rPr>
                <w:iCs/>
                <w:sz w:val="20"/>
              </w:rPr>
              <w:t>MW</w:t>
            </w:r>
          </w:p>
        </w:tc>
        <w:tc>
          <w:tcPr>
            <w:tcW w:w="3418" w:type="pct"/>
          </w:tcPr>
          <w:p w14:paraId="5A44CEA4" w14:textId="77777777" w:rsidR="00745851" w:rsidRPr="00DD1A20" w:rsidRDefault="00745851" w:rsidP="00507A85">
            <w:pPr>
              <w:spacing w:after="60"/>
              <w:rPr>
                <w:i/>
                <w:sz w:val="20"/>
              </w:rPr>
            </w:pPr>
            <w:r w:rsidRPr="00DD1A20">
              <w:rPr>
                <w:i/>
                <w:sz w:val="20"/>
              </w:rPr>
              <w:t>Procured Capacity for ERCOT Contingency Reserve Service per QSE by market</w:t>
            </w:r>
            <w:r w:rsidRPr="00DD1A20">
              <w:t>—</w:t>
            </w:r>
            <w:r w:rsidRPr="00DD1A20">
              <w:rPr>
                <w:iCs/>
                <w:sz w:val="20"/>
              </w:rPr>
              <w:t xml:space="preserve">The MW portion of QSE </w:t>
            </w:r>
            <w:r w:rsidRPr="00DD1A20">
              <w:rPr>
                <w:i/>
                <w:sz w:val="20"/>
              </w:rPr>
              <w:t xml:space="preserve">q’s </w:t>
            </w:r>
            <w:r w:rsidRPr="00DD1A20">
              <w:rPr>
                <w:iCs/>
                <w:sz w:val="20"/>
              </w:rPr>
              <w:t xml:space="preserve">Ancillary Service Offers cleared in the market </w:t>
            </w:r>
            <w:r w:rsidRPr="00C22DE9">
              <w:rPr>
                <w:i/>
                <w:sz w:val="20"/>
              </w:rPr>
              <w:t>m</w:t>
            </w:r>
            <w:r w:rsidRPr="00DD1A20">
              <w:rPr>
                <w:sz w:val="20"/>
              </w:rPr>
              <w:t xml:space="preserve"> (SASM or RSASM)</w:t>
            </w:r>
            <w:r w:rsidRPr="00DD1A20">
              <w:rPr>
                <w:iCs/>
                <w:sz w:val="20"/>
              </w:rPr>
              <w:t xml:space="preserve"> to provide ECRS, for the hour.</w:t>
            </w:r>
          </w:p>
        </w:tc>
      </w:tr>
      <w:tr w:rsidR="00745851" w:rsidRPr="00DD1A20" w14:paraId="724911C9" w14:textId="77777777" w:rsidTr="00507A85">
        <w:tc>
          <w:tcPr>
            <w:tcW w:w="1126" w:type="pct"/>
          </w:tcPr>
          <w:p w14:paraId="670FEE3C" w14:textId="77777777" w:rsidR="00745851" w:rsidRPr="00DD1A20" w:rsidRDefault="00745851" w:rsidP="00507A85">
            <w:pPr>
              <w:spacing w:after="60"/>
              <w:rPr>
                <w:iCs/>
                <w:sz w:val="20"/>
              </w:rPr>
            </w:pPr>
            <w:r w:rsidRPr="00DD1A20">
              <w:rPr>
                <w:iCs/>
                <w:sz w:val="20"/>
              </w:rPr>
              <w:t xml:space="preserve">PCECR </w:t>
            </w:r>
            <w:r w:rsidRPr="00DD1A20">
              <w:rPr>
                <w:i/>
                <w:sz w:val="20"/>
                <w:vertAlign w:val="subscript"/>
              </w:rPr>
              <w:t>q</w:t>
            </w:r>
          </w:p>
        </w:tc>
        <w:tc>
          <w:tcPr>
            <w:tcW w:w="456" w:type="pct"/>
          </w:tcPr>
          <w:p w14:paraId="69336709" w14:textId="77777777" w:rsidR="00745851" w:rsidRPr="00DD1A20" w:rsidRDefault="00745851" w:rsidP="00507A85">
            <w:pPr>
              <w:spacing w:after="60"/>
              <w:rPr>
                <w:iCs/>
                <w:sz w:val="20"/>
              </w:rPr>
            </w:pPr>
            <w:r w:rsidRPr="00DD1A20">
              <w:rPr>
                <w:sz w:val="20"/>
              </w:rPr>
              <w:t>MW</w:t>
            </w:r>
          </w:p>
        </w:tc>
        <w:tc>
          <w:tcPr>
            <w:tcW w:w="3418" w:type="pct"/>
          </w:tcPr>
          <w:p w14:paraId="7404AC0B" w14:textId="77777777" w:rsidR="00745851" w:rsidRPr="00DD1A20" w:rsidRDefault="00745851" w:rsidP="00507A85">
            <w:pPr>
              <w:spacing w:after="60"/>
              <w:rPr>
                <w:i/>
                <w:sz w:val="20"/>
              </w:rPr>
            </w:pPr>
            <w:r w:rsidRPr="00DD1A20">
              <w:rPr>
                <w:i/>
                <w:sz w:val="20"/>
              </w:rPr>
              <w:t>Procured Capacity for ERCOT Contingency Reserve Service per QSE in DAM—</w:t>
            </w:r>
            <w:r w:rsidRPr="00DD1A20">
              <w:rPr>
                <w:iCs/>
                <w:sz w:val="20"/>
              </w:rPr>
              <w:t>The total ECRS capacity quantity awarded to QSE</w:t>
            </w:r>
            <w:r w:rsidRPr="00DD1A20">
              <w:rPr>
                <w:i/>
                <w:sz w:val="20"/>
              </w:rPr>
              <w:t xml:space="preserve"> q</w:t>
            </w:r>
            <w:r w:rsidRPr="00DD1A20">
              <w:rPr>
                <w:iCs/>
                <w:sz w:val="20"/>
              </w:rPr>
              <w:t xml:space="preserve"> in the DAM for all the Resources represented by the QSE, for the hour.</w:t>
            </w:r>
          </w:p>
        </w:tc>
      </w:tr>
      <w:tr w:rsidR="00745851" w:rsidRPr="00DD1A20" w14:paraId="455CCB49" w14:textId="77777777" w:rsidTr="00507A85">
        <w:tc>
          <w:tcPr>
            <w:tcW w:w="1126" w:type="pct"/>
          </w:tcPr>
          <w:p w14:paraId="783C4C85" w14:textId="77777777" w:rsidR="00745851" w:rsidRPr="00DD1A20" w:rsidRDefault="00745851" w:rsidP="00507A85">
            <w:pPr>
              <w:spacing w:after="60"/>
              <w:rPr>
                <w:iCs/>
                <w:sz w:val="20"/>
              </w:rPr>
            </w:pPr>
            <w:r w:rsidRPr="00DD1A20">
              <w:rPr>
                <w:iCs/>
                <w:sz w:val="20"/>
              </w:rPr>
              <w:lastRenderedPageBreak/>
              <w:t xml:space="preserve">RUCECRQ </w:t>
            </w:r>
            <w:r w:rsidRPr="00DD1A20">
              <w:rPr>
                <w:i/>
                <w:sz w:val="20"/>
                <w:vertAlign w:val="subscript"/>
              </w:rPr>
              <w:t>q</w:t>
            </w:r>
          </w:p>
        </w:tc>
        <w:tc>
          <w:tcPr>
            <w:tcW w:w="456" w:type="pct"/>
          </w:tcPr>
          <w:p w14:paraId="3C5077F0" w14:textId="77777777" w:rsidR="00745851" w:rsidRPr="000E4CFB" w:rsidRDefault="00745851" w:rsidP="00507A85">
            <w:pPr>
              <w:spacing w:after="60"/>
              <w:rPr>
                <w:iCs/>
                <w:sz w:val="20"/>
              </w:rPr>
            </w:pPr>
            <w:r w:rsidRPr="00C22DE9">
              <w:rPr>
                <w:iCs/>
                <w:sz w:val="20"/>
              </w:rPr>
              <w:t>MW</w:t>
            </w:r>
          </w:p>
        </w:tc>
        <w:tc>
          <w:tcPr>
            <w:tcW w:w="3418" w:type="pct"/>
          </w:tcPr>
          <w:p w14:paraId="76160222" w14:textId="77777777" w:rsidR="00745851" w:rsidRPr="00DD1A20" w:rsidRDefault="00745851" w:rsidP="00507A85">
            <w:pPr>
              <w:spacing w:after="60"/>
              <w:rPr>
                <w:i/>
                <w:sz w:val="20"/>
              </w:rPr>
            </w:pPr>
            <w:r w:rsidRPr="00DD1A20">
              <w:rPr>
                <w:i/>
                <w:sz w:val="20"/>
              </w:rPr>
              <w:t>RUC-committed for ERCOT Contingency Reserve Service per QSE</w:t>
            </w:r>
            <w:r w:rsidRPr="00DD1A20">
              <w:t>—</w:t>
            </w:r>
            <w:r w:rsidRPr="00DD1A20">
              <w:rPr>
                <w:sz w:val="20"/>
              </w:rPr>
              <w:t xml:space="preserve">The total quantity of ECRS committed by the RUC Process for </w:t>
            </w:r>
            <w:r w:rsidRPr="00DD1A20">
              <w:rPr>
                <w:iCs/>
                <w:sz w:val="20"/>
              </w:rPr>
              <w:t>Resources</w:t>
            </w:r>
            <w:r>
              <w:rPr>
                <w:iCs/>
                <w:sz w:val="20"/>
              </w:rPr>
              <w:t xml:space="preserve"> </w:t>
            </w:r>
            <w:r w:rsidRPr="00DD1A20">
              <w:rPr>
                <w:iCs/>
                <w:sz w:val="20"/>
              </w:rPr>
              <w:t xml:space="preserve">represented by QSE </w:t>
            </w:r>
            <w:r w:rsidRPr="00DD1A20">
              <w:rPr>
                <w:i/>
                <w:sz w:val="20"/>
              </w:rPr>
              <w:t>q</w:t>
            </w:r>
            <w:r w:rsidRPr="00DD1A20">
              <w:rPr>
                <w:iCs/>
                <w:sz w:val="20"/>
              </w:rPr>
              <w:t>, for the hour.</w:t>
            </w:r>
          </w:p>
        </w:tc>
      </w:tr>
      <w:tr w:rsidR="00745851" w:rsidRPr="00DD1A20" w14:paraId="063A5C3F" w14:textId="77777777" w:rsidTr="00507A85">
        <w:tc>
          <w:tcPr>
            <w:tcW w:w="1126" w:type="pct"/>
          </w:tcPr>
          <w:p w14:paraId="13EF8FF5" w14:textId="77777777" w:rsidR="00745851" w:rsidRPr="00DD1A20" w:rsidRDefault="00745851" w:rsidP="00507A85">
            <w:pPr>
              <w:spacing w:after="60"/>
              <w:rPr>
                <w:iCs/>
                <w:sz w:val="20"/>
              </w:rPr>
            </w:pPr>
            <w:r w:rsidRPr="00DD1A20">
              <w:rPr>
                <w:iCs/>
                <w:sz w:val="20"/>
              </w:rPr>
              <w:t>ECRTRPQ</w:t>
            </w:r>
            <w:r w:rsidRPr="00DD1A20">
              <w:rPr>
                <w:i/>
                <w:sz w:val="20"/>
              </w:rPr>
              <w:t xml:space="preserve"> </w:t>
            </w:r>
            <w:r w:rsidRPr="00DD1A20">
              <w:rPr>
                <w:i/>
                <w:sz w:val="20"/>
                <w:vertAlign w:val="subscript"/>
              </w:rPr>
              <w:t>q</w:t>
            </w:r>
          </w:p>
        </w:tc>
        <w:tc>
          <w:tcPr>
            <w:tcW w:w="456" w:type="pct"/>
          </w:tcPr>
          <w:p w14:paraId="687254B6" w14:textId="77777777" w:rsidR="00745851" w:rsidRPr="00DD1A20" w:rsidRDefault="00745851" w:rsidP="00507A85">
            <w:pPr>
              <w:spacing w:after="60"/>
              <w:rPr>
                <w:iCs/>
                <w:sz w:val="20"/>
              </w:rPr>
            </w:pPr>
            <w:r w:rsidRPr="00DD1A20">
              <w:rPr>
                <w:iCs/>
                <w:sz w:val="20"/>
              </w:rPr>
              <w:t>MW</w:t>
            </w:r>
          </w:p>
        </w:tc>
        <w:tc>
          <w:tcPr>
            <w:tcW w:w="3418" w:type="pct"/>
          </w:tcPr>
          <w:p w14:paraId="0528B87E" w14:textId="77777777" w:rsidR="00745851" w:rsidRPr="00DD1A20" w:rsidRDefault="00745851" w:rsidP="00507A85">
            <w:pPr>
              <w:spacing w:after="60"/>
              <w:rPr>
                <w:i/>
                <w:sz w:val="20"/>
              </w:rPr>
            </w:pPr>
            <w:r w:rsidRPr="00DD1A20">
              <w:rPr>
                <w:i/>
                <w:sz w:val="20"/>
              </w:rPr>
              <w:t>ERCOT Contingency Reserve Service Trade Purchases per QSE</w:t>
            </w:r>
            <w:r w:rsidRPr="00DD1A20">
              <w:t>—</w:t>
            </w:r>
            <w:r w:rsidRPr="00DD1A20">
              <w:rPr>
                <w:iCs/>
                <w:sz w:val="20"/>
              </w:rPr>
              <w:t xml:space="preserve">QSE </w:t>
            </w:r>
            <w:r w:rsidRPr="00DD1A20">
              <w:rPr>
                <w:i/>
                <w:sz w:val="20"/>
              </w:rPr>
              <w:t>q’s</w:t>
            </w:r>
            <w:r w:rsidRPr="00DD1A20">
              <w:rPr>
                <w:iCs/>
                <w:sz w:val="20"/>
              </w:rPr>
              <w:t xml:space="preserve"> total time-weighted average capacity Trade Purchase for ECRS, for the hour.  </w:t>
            </w:r>
            <w:r w:rsidRPr="00DD1A20">
              <w:rPr>
                <w:sz w:val="20"/>
              </w:rPr>
              <w:t>The time-weighted average value is rounded to 0.1 MW.</w:t>
            </w:r>
          </w:p>
        </w:tc>
      </w:tr>
      <w:tr w:rsidR="00745851" w:rsidRPr="00DD1A20" w14:paraId="1F5D4730" w14:textId="77777777" w:rsidTr="00507A85">
        <w:tc>
          <w:tcPr>
            <w:tcW w:w="1126" w:type="pct"/>
          </w:tcPr>
          <w:p w14:paraId="07F17F48" w14:textId="77777777" w:rsidR="00745851" w:rsidRPr="00DD1A20" w:rsidRDefault="00745851" w:rsidP="00507A85">
            <w:pPr>
              <w:spacing w:after="60"/>
              <w:rPr>
                <w:iCs/>
                <w:sz w:val="20"/>
              </w:rPr>
            </w:pPr>
            <w:r w:rsidRPr="00DD1A20">
              <w:rPr>
                <w:iCs/>
                <w:sz w:val="20"/>
              </w:rPr>
              <w:t>ECRINFQ</w:t>
            </w:r>
            <w:r w:rsidRPr="00DD1A20">
              <w:rPr>
                <w:i/>
                <w:sz w:val="20"/>
              </w:rPr>
              <w:t xml:space="preserve"> </w:t>
            </w:r>
            <w:r w:rsidRPr="00DD1A20">
              <w:rPr>
                <w:i/>
                <w:sz w:val="20"/>
                <w:vertAlign w:val="subscript"/>
              </w:rPr>
              <w:t>q</w:t>
            </w:r>
          </w:p>
        </w:tc>
        <w:tc>
          <w:tcPr>
            <w:tcW w:w="456" w:type="pct"/>
          </w:tcPr>
          <w:p w14:paraId="56ACAEF1" w14:textId="77777777" w:rsidR="00745851" w:rsidRPr="00DD1A20" w:rsidRDefault="00745851" w:rsidP="00507A85">
            <w:pPr>
              <w:spacing w:after="60"/>
              <w:rPr>
                <w:iCs/>
                <w:sz w:val="20"/>
              </w:rPr>
            </w:pPr>
            <w:r w:rsidRPr="00DD1A20">
              <w:rPr>
                <w:iCs/>
                <w:sz w:val="20"/>
              </w:rPr>
              <w:t>MW</w:t>
            </w:r>
          </w:p>
        </w:tc>
        <w:tc>
          <w:tcPr>
            <w:tcW w:w="3418" w:type="pct"/>
          </w:tcPr>
          <w:p w14:paraId="39C03FD3" w14:textId="77777777" w:rsidR="00745851" w:rsidRPr="00DD1A20" w:rsidRDefault="00745851" w:rsidP="00507A85">
            <w:pPr>
              <w:spacing w:after="60"/>
              <w:rPr>
                <w:i/>
                <w:sz w:val="20"/>
              </w:rPr>
            </w:pPr>
            <w:r w:rsidRPr="00DD1A20">
              <w:rPr>
                <w:i/>
                <w:sz w:val="20"/>
              </w:rPr>
              <w:t>ERCOT Contingency Reserve Service Infeasible Quantity per QSE—</w:t>
            </w:r>
            <w:r w:rsidRPr="00DD1A20">
              <w:rPr>
                <w:iCs/>
                <w:sz w:val="20"/>
              </w:rPr>
              <w:t xml:space="preserve">QSE </w:t>
            </w:r>
            <w:r w:rsidRPr="00DD1A20">
              <w:rPr>
                <w:i/>
                <w:sz w:val="20"/>
              </w:rPr>
              <w:t>q’s</w:t>
            </w:r>
            <w:r w:rsidRPr="00DD1A20">
              <w:rPr>
                <w:iCs/>
                <w:sz w:val="20"/>
              </w:rPr>
              <w:t xml:space="preserve"> total capacity associated with infeasible Ancillary Service Supply Responsibilities for ECRS, for the hour.</w:t>
            </w:r>
          </w:p>
        </w:tc>
      </w:tr>
      <w:tr w:rsidR="00745851" w:rsidRPr="00DD1A20" w14:paraId="45D7B591" w14:textId="77777777" w:rsidTr="00507A85">
        <w:tc>
          <w:tcPr>
            <w:tcW w:w="1126" w:type="pct"/>
          </w:tcPr>
          <w:p w14:paraId="5880C57E" w14:textId="77777777" w:rsidR="00745851" w:rsidRPr="00DD1A20" w:rsidRDefault="00745851" w:rsidP="00507A85">
            <w:pPr>
              <w:spacing w:after="60"/>
              <w:rPr>
                <w:iCs/>
                <w:sz w:val="20"/>
              </w:rPr>
            </w:pPr>
            <w:r w:rsidRPr="00DD1A20">
              <w:rPr>
                <w:iCs/>
                <w:sz w:val="20"/>
              </w:rPr>
              <w:t xml:space="preserve">TELECRR </w:t>
            </w:r>
            <w:r w:rsidRPr="00DD1A20">
              <w:rPr>
                <w:i/>
                <w:sz w:val="20"/>
                <w:vertAlign w:val="subscript"/>
              </w:rPr>
              <w:t>q, r</w:t>
            </w:r>
          </w:p>
        </w:tc>
        <w:tc>
          <w:tcPr>
            <w:tcW w:w="456" w:type="pct"/>
          </w:tcPr>
          <w:p w14:paraId="5F25506F" w14:textId="77777777" w:rsidR="00745851" w:rsidRPr="000E4CFB" w:rsidRDefault="00745851" w:rsidP="00507A85">
            <w:pPr>
              <w:spacing w:after="60"/>
              <w:rPr>
                <w:iCs/>
                <w:sz w:val="20"/>
              </w:rPr>
            </w:pPr>
            <w:r w:rsidRPr="00C22DE9">
              <w:rPr>
                <w:iCs/>
                <w:sz w:val="20"/>
              </w:rPr>
              <w:t>MW</w:t>
            </w:r>
          </w:p>
        </w:tc>
        <w:tc>
          <w:tcPr>
            <w:tcW w:w="3418" w:type="pct"/>
          </w:tcPr>
          <w:p w14:paraId="358B8E1D" w14:textId="77777777" w:rsidR="00745851" w:rsidRPr="00DD1A20" w:rsidRDefault="00745851" w:rsidP="00507A85">
            <w:pPr>
              <w:spacing w:after="60"/>
              <w:rPr>
                <w:i/>
                <w:sz w:val="20"/>
              </w:rPr>
            </w:pPr>
            <w:r w:rsidRPr="00DD1A20">
              <w:rPr>
                <w:i/>
                <w:sz w:val="20"/>
              </w:rPr>
              <w:t>Telemetered ERCOT Contingency Reserve Service Responsibility for the Resource</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 xml:space="preserve">for the hour.  </w:t>
            </w:r>
            <w:r w:rsidRPr="00DD1A20">
              <w:rPr>
                <w:sz w:val="20"/>
              </w:rPr>
              <w:t>The time-weighted average value is rounded to 0.1 MW.</w:t>
            </w:r>
          </w:p>
        </w:tc>
      </w:tr>
      <w:tr w:rsidR="00745851" w:rsidRPr="00DD1A20" w14:paraId="33701B33" w14:textId="77777777" w:rsidTr="00507A85">
        <w:tc>
          <w:tcPr>
            <w:tcW w:w="1126" w:type="pct"/>
          </w:tcPr>
          <w:p w14:paraId="7F5D5D01" w14:textId="77777777" w:rsidR="00745851" w:rsidRPr="00DD1A20" w:rsidRDefault="00745851" w:rsidP="00507A85">
            <w:pPr>
              <w:spacing w:after="60"/>
              <w:rPr>
                <w:iCs/>
                <w:sz w:val="20"/>
              </w:rPr>
            </w:pPr>
            <w:r w:rsidRPr="00DD1A20">
              <w:rPr>
                <w:iCs/>
                <w:sz w:val="20"/>
              </w:rPr>
              <w:t xml:space="preserve">TELECRRC </w:t>
            </w:r>
            <w:r w:rsidRPr="00DD1A20">
              <w:rPr>
                <w:i/>
                <w:sz w:val="20"/>
                <w:vertAlign w:val="subscript"/>
              </w:rPr>
              <w:t>q, r</w:t>
            </w:r>
          </w:p>
        </w:tc>
        <w:tc>
          <w:tcPr>
            <w:tcW w:w="456" w:type="pct"/>
          </w:tcPr>
          <w:p w14:paraId="3BC5EDB1" w14:textId="77777777" w:rsidR="00745851" w:rsidRPr="00237AE8" w:rsidRDefault="00745851" w:rsidP="00507A85">
            <w:pPr>
              <w:spacing w:after="60"/>
              <w:rPr>
                <w:iCs/>
                <w:sz w:val="20"/>
              </w:rPr>
            </w:pPr>
            <w:r w:rsidRPr="00237AE8">
              <w:rPr>
                <w:iCs/>
                <w:sz w:val="20"/>
              </w:rPr>
              <w:t>MW</w:t>
            </w:r>
          </w:p>
        </w:tc>
        <w:tc>
          <w:tcPr>
            <w:tcW w:w="3418" w:type="pct"/>
          </w:tcPr>
          <w:p w14:paraId="333C82BB" w14:textId="77777777" w:rsidR="00745851" w:rsidRPr="00DD1A20" w:rsidRDefault="00745851" w:rsidP="00507A85">
            <w:pPr>
              <w:spacing w:after="60"/>
              <w:rPr>
                <w:i/>
                <w:sz w:val="20"/>
              </w:rPr>
            </w:pPr>
            <w:r w:rsidRPr="00DD1A20">
              <w:rPr>
                <w:i/>
                <w:sz w:val="20"/>
              </w:rPr>
              <w:t>Telemetered ERCOT Contingency Reserve Service Responsibility for the Resource as Calculated</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for the hour.</w:t>
            </w:r>
          </w:p>
        </w:tc>
      </w:tr>
      <w:tr w:rsidR="00745851" w:rsidRPr="00DD1A20" w14:paraId="62E7FF5B" w14:textId="77777777" w:rsidTr="00507A85">
        <w:tc>
          <w:tcPr>
            <w:tcW w:w="1126" w:type="pct"/>
          </w:tcPr>
          <w:p w14:paraId="6ED03024" w14:textId="77777777" w:rsidR="00745851" w:rsidRPr="00DD1A20" w:rsidRDefault="00745851" w:rsidP="00507A85">
            <w:pPr>
              <w:spacing w:after="60"/>
              <w:rPr>
                <w:iCs/>
                <w:sz w:val="20"/>
              </w:rPr>
            </w:pPr>
            <w:r w:rsidRPr="00DD1A20">
              <w:rPr>
                <w:iCs/>
                <w:sz w:val="20"/>
              </w:rPr>
              <w:t>NPF</w:t>
            </w:r>
            <w:r w:rsidRPr="00DD1A20">
              <w:rPr>
                <w:i/>
                <w:sz w:val="20"/>
                <w:vertAlign w:val="subscript"/>
              </w:rPr>
              <w:t xml:space="preserve"> q, r</w:t>
            </w:r>
          </w:p>
        </w:tc>
        <w:tc>
          <w:tcPr>
            <w:tcW w:w="456" w:type="pct"/>
          </w:tcPr>
          <w:p w14:paraId="43D3D342" w14:textId="77777777" w:rsidR="00745851" w:rsidRPr="000E4CFB" w:rsidRDefault="00745851" w:rsidP="00507A85">
            <w:pPr>
              <w:spacing w:after="60"/>
              <w:rPr>
                <w:iCs/>
                <w:sz w:val="20"/>
              </w:rPr>
            </w:pPr>
            <w:r w:rsidRPr="00237AE8">
              <w:rPr>
                <w:iCs/>
                <w:sz w:val="20"/>
              </w:rPr>
              <w:t>MW</w:t>
            </w:r>
          </w:p>
        </w:tc>
        <w:tc>
          <w:tcPr>
            <w:tcW w:w="3418" w:type="pct"/>
          </w:tcPr>
          <w:p w14:paraId="305C6052" w14:textId="77777777" w:rsidR="00745851" w:rsidRPr="00DD1A20" w:rsidRDefault="00745851" w:rsidP="00507A85">
            <w:pPr>
              <w:spacing w:after="60"/>
              <w:rPr>
                <w:i/>
                <w:sz w:val="20"/>
              </w:rPr>
            </w:pPr>
            <w:r w:rsidRPr="00DD1A20">
              <w:rPr>
                <w:i/>
                <w:sz w:val="20"/>
              </w:rPr>
              <w:t>Non-Controllable Load Resource Net Power Consumption for the QSE</w:t>
            </w:r>
            <w:r w:rsidRPr="00DD1A20">
              <w:t>—</w:t>
            </w:r>
            <w:r w:rsidRPr="00DD1A20">
              <w:rPr>
                <w:iCs/>
                <w:sz w:val="20"/>
              </w:rPr>
              <w:t xml:space="preserve">The average NPF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1C05181C" w14:textId="77777777" w:rsidTr="00507A85">
        <w:tc>
          <w:tcPr>
            <w:tcW w:w="1126" w:type="pct"/>
          </w:tcPr>
          <w:p w14:paraId="793C3087" w14:textId="77777777" w:rsidR="00745851" w:rsidRPr="00DD1A20" w:rsidRDefault="00745851" w:rsidP="00507A85">
            <w:pPr>
              <w:spacing w:after="60"/>
              <w:rPr>
                <w:iCs/>
                <w:sz w:val="20"/>
              </w:rPr>
            </w:pPr>
            <w:r w:rsidRPr="00DD1A20">
              <w:rPr>
                <w:iCs/>
                <w:sz w:val="20"/>
              </w:rPr>
              <w:t>LPC</w:t>
            </w:r>
            <w:r w:rsidRPr="00DD1A20">
              <w:rPr>
                <w:i/>
                <w:sz w:val="20"/>
                <w:vertAlign w:val="subscript"/>
              </w:rPr>
              <w:t xml:space="preserve"> q, r</w:t>
            </w:r>
          </w:p>
        </w:tc>
        <w:tc>
          <w:tcPr>
            <w:tcW w:w="456" w:type="pct"/>
          </w:tcPr>
          <w:p w14:paraId="151EAF85" w14:textId="77777777" w:rsidR="00745851" w:rsidRPr="000E4CFB" w:rsidRDefault="00745851" w:rsidP="00507A85">
            <w:pPr>
              <w:spacing w:after="60"/>
              <w:rPr>
                <w:iCs/>
                <w:sz w:val="20"/>
              </w:rPr>
            </w:pPr>
            <w:r w:rsidRPr="00237AE8">
              <w:rPr>
                <w:iCs/>
                <w:sz w:val="20"/>
              </w:rPr>
              <w:t>MW</w:t>
            </w:r>
          </w:p>
        </w:tc>
        <w:tc>
          <w:tcPr>
            <w:tcW w:w="3418" w:type="pct"/>
          </w:tcPr>
          <w:p w14:paraId="55403A30" w14:textId="77777777" w:rsidR="00745851" w:rsidRPr="00DD1A20" w:rsidRDefault="00745851" w:rsidP="00507A85">
            <w:pPr>
              <w:spacing w:after="60"/>
              <w:rPr>
                <w:i/>
                <w:sz w:val="20"/>
              </w:rPr>
            </w:pPr>
            <w:r w:rsidRPr="00DD1A20">
              <w:rPr>
                <w:i/>
                <w:sz w:val="20"/>
              </w:rPr>
              <w:t>Non-Controllable Load Resource Low Power Consumption for the QSE</w:t>
            </w:r>
            <w:r w:rsidRPr="00DD1A20">
              <w:t>—</w:t>
            </w:r>
            <w:r w:rsidRPr="00DD1A20">
              <w:rPr>
                <w:iCs/>
                <w:sz w:val="20"/>
              </w:rPr>
              <w:t xml:space="preserve">The average LPC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3A4EBA34" w14:textId="77777777" w:rsidTr="00507A85">
        <w:tc>
          <w:tcPr>
            <w:tcW w:w="1126" w:type="pct"/>
          </w:tcPr>
          <w:p w14:paraId="0A7AA764" w14:textId="77777777" w:rsidR="00745851" w:rsidRPr="00DD1A20" w:rsidRDefault="00745851" w:rsidP="00507A85">
            <w:pPr>
              <w:spacing w:after="60"/>
              <w:rPr>
                <w:iCs/>
                <w:sz w:val="20"/>
              </w:rPr>
            </w:pPr>
            <w:r w:rsidRPr="00DD1A20">
              <w:rPr>
                <w:iCs/>
                <w:sz w:val="20"/>
              </w:rPr>
              <w:t xml:space="preserve">DASAECRQ </w:t>
            </w:r>
            <w:r w:rsidRPr="00DD1A20">
              <w:rPr>
                <w:i/>
                <w:sz w:val="20"/>
                <w:vertAlign w:val="subscript"/>
              </w:rPr>
              <w:t>q</w:t>
            </w:r>
          </w:p>
        </w:tc>
        <w:tc>
          <w:tcPr>
            <w:tcW w:w="456" w:type="pct"/>
          </w:tcPr>
          <w:p w14:paraId="1E746A2B" w14:textId="77777777" w:rsidR="00745851" w:rsidRPr="00DD1A20" w:rsidRDefault="00745851" w:rsidP="00507A85">
            <w:pPr>
              <w:spacing w:after="60"/>
              <w:rPr>
                <w:iCs/>
                <w:sz w:val="20"/>
              </w:rPr>
            </w:pPr>
            <w:r w:rsidRPr="00DD1A20">
              <w:rPr>
                <w:iCs/>
                <w:sz w:val="20"/>
              </w:rPr>
              <w:t>MW</w:t>
            </w:r>
          </w:p>
        </w:tc>
        <w:tc>
          <w:tcPr>
            <w:tcW w:w="3418" w:type="pct"/>
          </w:tcPr>
          <w:p w14:paraId="7319A7FE" w14:textId="77777777" w:rsidR="00745851" w:rsidRPr="00DD1A20" w:rsidRDefault="00745851" w:rsidP="00507A85">
            <w:pPr>
              <w:spacing w:after="60"/>
              <w:rPr>
                <w:i/>
                <w:iCs/>
                <w:sz w:val="20"/>
              </w:rPr>
            </w:pPr>
            <w:r w:rsidRPr="00DD1A20">
              <w:rPr>
                <w:i/>
                <w:iCs/>
                <w:sz w:val="20"/>
              </w:rPr>
              <w:t xml:space="preserve">Day-Ahead Self-Arranged </w:t>
            </w:r>
            <w:r w:rsidRPr="00DD1A20">
              <w:rPr>
                <w:i/>
                <w:sz w:val="20"/>
              </w:rPr>
              <w:t xml:space="preserve">ERCOT Contingency Reserve Service </w:t>
            </w:r>
            <w:r w:rsidRPr="00DD1A20">
              <w:rPr>
                <w:i/>
                <w:iCs/>
                <w:sz w:val="20"/>
              </w:rPr>
              <w:t>Quantity per QSE</w:t>
            </w:r>
            <w:r w:rsidRPr="00DD1A20">
              <w:rPr>
                <w:iCs/>
                <w:sz w:val="20"/>
              </w:rPr>
              <w:t>—The self-arranged</w:t>
            </w:r>
            <w:r w:rsidRPr="00595F3F">
              <w:rPr>
                <w:iCs/>
                <w:sz w:val="20"/>
              </w:rPr>
              <w:t xml:space="preserve"> </w:t>
            </w:r>
            <w:r w:rsidRPr="00237AE8">
              <w:rPr>
                <w:sz w:val="20"/>
              </w:rPr>
              <w:t>ECRS</w:t>
            </w:r>
            <w:r w:rsidRPr="00DD1A20">
              <w:rPr>
                <w:iCs/>
                <w:sz w:val="20"/>
              </w:rPr>
              <w:t xml:space="preserve"> quantity submitted by QSE </w:t>
            </w:r>
            <w:r w:rsidRPr="00DD1A20">
              <w:rPr>
                <w:i/>
                <w:iCs/>
                <w:sz w:val="20"/>
              </w:rPr>
              <w:t>q</w:t>
            </w:r>
            <w:r w:rsidRPr="00DD1A20">
              <w:rPr>
                <w:iCs/>
                <w:sz w:val="20"/>
              </w:rPr>
              <w:t xml:space="preserve"> before 1000 in the Day-Ahead.</w:t>
            </w:r>
          </w:p>
        </w:tc>
      </w:tr>
      <w:tr w:rsidR="00745851" w:rsidRPr="00DD1A20" w14:paraId="1A39862D" w14:textId="77777777" w:rsidTr="00507A85">
        <w:tc>
          <w:tcPr>
            <w:tcW w:w="1126" w:type="pct"/>
          </w:tcPr>
          <w:p w14:paraId="794A2B56" w14:textId="77777777" w:rsidR="00745851" w:rsidRPr="00DD1A20" w:rsidRDefault="00745851" w:rsidP="00507A85">
            <w:pPr>
              <w:spacing w:after="60"/>
              <w:rPr>
                <w:iCs/>
                <w:sz w:val="20"/>
              </w:rPr>
            </w:pPr>
            <w:r w:rsidRPr="00DD1A20">
              <w:rPr>
                <w:iCs/>
                <w:sz w:val="20"/>
              </w:rPr>
              <w:t xml:space="preserve">RTSAECRQ </w:t>
            </w:r>
            <w:r w:rsidRPr="00DD1A20">
              <w:rPr>
                <w:i/>
                <w:sz w:val="20"/>
                <w:vertAlign w:val="subscript"/>
              </w:rPr>
              <w:t>q</w:t>
            </w:r>
          </w:p>
        </w:tc>
        <w:tc>
          <w:tcPr>
            <w:tcW w:w="456" w:type="pct"/>
          </w:tcPr>
          <w:p w14:paraId="2D6D8944" w14:textId="77777777" w:rsidR="00745851" w:rsidRPr="00DD1A20" w:rsidRDefault="00745851" w:rsidP="00507A85">
            <w:pPr>
              <w:spacing w:after="60"/>
              <w:rPr>
                <w:iCs/>
                <w:sz w:val="20"/>
              </w:rPr>
            </w:pPr>
            <w:r w:rsidRPr="00DD1A20">
              <w:rPr>
                <w:iCs/>
                <w:sz w:val="20"/>
              </w:rPr>
              <w:t>MW</w:t>
            </w:r>
          </w:p>
        </w:tc>
        <w:tc>
          <w:tcPr>
            <w:tcW w:w="3418" w:type="pct"/>
          </w:tcPr>
          <w:p w14:paraId="5E37B577" w14:textId="77777777" w:rsidR="00745851" w:rsidRPr="00DD1A20" w:rsidRDefault="00745851" w:rsidP="00507A85">
            <w:pPr>
              <w:spacing w:after="60"/>
              <w:rPr>
                <w:i/>
                <w:iCs/>
                <w:sz w:val="20"/>
              </w:rPr>
            </w:pPr>
            <w:r w:rsidRPr="00DD1A20">
              <w:rPr>
                <w:i/>
                <w:iCs/>
                <w:sz w:val="20"/>
              </w:rPr>
              <w:t xml:space="preserve">Self-Arranged </w:t>
            </w:r>
            <w:r w:rsidRPr="00DD1A20">
              <w:rPr>
                <w:i/>
                <w:sz w:val="20"/>
              </w:rPr>
              <w:t xml:space="preserve">ERCOT Contingency Reserve Service </w:t>
            </w:r>
            <w:r w:rsidRPr="00DD1A20">
              <w:rPr>
                <w:i/>
                <w:iCs/>
                <w:sz w:val="20"/>
              </w:rPr>
              <w:t>Quantity per QSE for all SASMs</w:t>
            </w:r>
            <w:r w:rsidRPr="00DD1A20">
              <w:rPr>
                <w:iCs/>
                <w:sz w:val="20"/>
              </w:rPr>
              <w:t xml:space="preserve">—The sum of all self-arranged ECRS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03E83940" w14:textId="77777777" w:rsidTr="00507A85">
        <w:tc>
          <w:tcPr>
            <w:tcW w:w="1126" w:type="pct"/>
            <w:tcBorders>
              <w:top w:val="single" w:sz="4" w:space="0" w:color="auto"/>
              <w:left w:val="single" w:sz="4" w:space="0" w:color="auto"/>
              <w:bottom w:val="single" w:sz="4" w:space="0" w:color="auto"/>
              <w:right w:val="single" w:sz="4" w:space="0" w:color="auto"/>
            </w:tcBorders>
          </w:tcPr>
          <w:p w14:paraId="2BDD2E10" w14:textId="77777777" w:rsidR="00745851" w:rsidRPr="00DD1A20" w:rsidRDefault="00745851" w:rsidP="00507A85">
            <w:pPr>
              <w:spacing w:after="60"/>
              <w:rPr>
                <w:iCs/>
                <w:sz w:val="20"/>
              </w:rPr>
            </w:pPr>
            <w:r w:rsidRPr="00DD1A20">
              <w:rPr>
                <w:iCs/>
                <w:sz w:val="20"/>
              </w:rPr>
              <w:t xml:space="preserve">MCPCECR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5F3CDAC0" w14:textId="77777777" w:rsidR="00745851" w:rsidRPr="00DD1A20" w:rsidRDefault="00745851" w:rsidP="00507A85">
            <w:pPr>
              <w:spacing w:after="60"/>
              <w:rPr>
                <w:iCs/>
                <w:sz w:val="20"/>
              </w:rPr>
            </w:pPr>
            <w:r w:rsidRPr="00DD1A20">
              <w:rPr>
                <w:iCs/>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3CA0E7C5" w14:textId="77777777" w:rsidR="00745851" w:rsidRPr="00DD1A20" w:rsidRDefault="00745851" w:rsidP="00507A85">
            <w:pPr>
              <w:spacing w:after="60"/>
              <w:rPr>
                <w:i/>
                <w:iCs/>
                <w:sz w:val="20"/>
              </w:rPr>
            </w:pPr>
            <w:r w:rsidRPr="00DD1A20">
              <w:rPr>
                <w:i/>
                <w:iCs/>
                <w:sz w:val="20"/>
              </w:rPr>
              <w:t>Market Clearing Price for Capacity for ERCOT Contingency Reserve Service per market—</w:t>
            </w:r>
            <w:r w:rsidRPr="00DD1A20">
              <w:rPr>
                <w:iCs/>
                <w:sz w:val="20"/>
              </w:rPr>
              <w:t xml:space="preserve">The MCPC for ECRS in the market </w:t>
            </w:r>
            <w:r w:rsidRPr="00DD1A20">
              <w:rPr>
                <w:i/>
                <w:iCs/>
                <w:sz w:val="20"/>
              </w:rPr>
              <w:t>m</w:t>
            </w:r>
            <w:r w:rsidRPr="00DD1A20">
              <w:rPr>
                <w:iCs/>
                <w:sz w:val="20"/>
              </w:rPr>
              <w:t>, for the hour.</w:t>
            </w:r>
          </w:p>
        </w:tc>
      </w:tr>
      <w:tr w:rsidR="00745851" w:rsidRPr="00DD1A20" w14:paraId="1A083E1B" w14:textId="77777777" w:rsidTr="00507A85">
        <w:tc>
          <w:tcPr>
            <w:tcW w:w="1126" w:type="pct"/>
            <w:tcBorders>
              <w:top w:val="single" w:sz="4" w:space="0" w:color="auto"/>
              <w:left w:val="single" w:sz="4" w:space="0" w:color="auto"/>
              <w:bottom w:val="single" w:sz="4" w:space="0" w:color="auto"/>
              <w:right w:val="single" w:sz="4" w:space="0" w:color="auto"/>
            </w:tcBorders>
          </w:tcPr>
          <w:p w14:paraId="7EE90711" w14:textId="77777777" w:rsidR="00745851" w:rsidRPr="00DD1A20" w:rsidRDefault="00745851" w:rsidP="00507A85">
            <w:pPr>
              <w:spacing w:after="60"/>
              <w:rPr>
                <w:iCs/>
                <w:sz w:val="20"/>
              </w:rPr>
            </w:pPr>
            <w:r w:rsidRPr="00DD1A20">
              <w:rPr>
                <w:sz w:val="20"/>
              </w:rPr>
              <w:t xml:space="preserve">MCPCECR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4CC10791" w14:textId="77777777" w:rsidR="00745851" w:rsidRPr="00DD1A20" w:rsidRDefault="00745851" w:rsidP="00507A85">
            <w:pPr>
              <w:spacing w:after="60"/>
              <w:rPr>
                <w:iCs/>
                <w:sz w:val="20"/>
              </w:rPr>
            </w:pPr>
            <w:r w:rsidRPr="00DD1A20">
              <w:rPr>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244C3133" w14:textId="77777777" w:rsidR="00745851" w:rsidRPr="00DD1A20" w:rsidRDefault="00745851" w:rsidP="00507A85">
            <w:pPr>
              <w:spacing w:after="60"/>
              <w:rPr>
                <w:i/>
                <w:iCs/>
                <w:sz w:val="20"/>
              </w:rPr>
            </w:pPr>
            <w:r w:rsidRPr="00DD1A20">
              <w:rPr>
                <w:i/>
                <w:sz w:val="20"/>
              </w:rPr>
              <w:t xml:space="preserve">Market Clearing Price for Capacity for </w:t>
            </w:r>
            <w:r w:rsidRPr="00DD1A20">
              <w:rPr>
                <w:i/>
                <w:iCs/>
                <w:sz w:val="20"/>
              </w:rPr>
              <w:t>ERCOT Contingency Reserve Service</w:t>
            </w:r>
            <w:r w:rsidRPr="00DD1A20">
              <w:rPr>
                <w:i/>
                <w:sz w:val="20"/>
              </w:rPr>
              <w:t xml:space="preserve"> per RSASM—</w:t>
            </w:r>
            <w:r w:rsidRPr="00DD1A20">
              <w:rPr>
                <w:sz w:val="20"/>
              </w:rPr>
              <w:t xml:space="preserve">The MCPC for ECRS in the RSASM </w:t>
            </w:r>
            <w:r w:rsidRPr="00DD1A20">
              <w:rPr>
                <w:i/>
                <w:sz w:val="20"/>
              </w:rPr>
              <w:t>rs</w:t>
            </w:r>
            <w:r w:rsidRPr="00DD1A20">
              <w:rPr>
                <w:sz w:val="20"/>
              </w:rPr>
              <w:t>, for the hour.</w:t>
            </w:r>
          </w:p>
        </w:tc>
      </w:tr>
      <w:tr w:rsidR="00745851" w:rsidRPr="00DD1A20" w14:paraId="0CF7C022" w14:textId="77777777" w:rsidTr="00507A85">
        <w:tc>
          <w:tcPr>
            <w:tcW w:w="1126" w:type="pct"/>
            <w:tcBorders>
              <w:top w:val="single" w:sz="4" w:space="0" w:color="auto"/>
              <w:left w:val="single" w:sz="4" w:space="0" w:color="auto"/>
              <w:bottom w:val="single" w:sz="4" w:space="0" w:color="auto"/>
              <w:right w:val="single" w:sz="4" w:space="0" w:color="auto"/>
            </w:tcBorders>
          </w:tcPr>
          <w:p w14:paraId="49435DB6" w14:textId="77777777" w:rsidR="00745851" w:rsidRPr="00DD1A20" w:rsidRDefault="00745851" w:rsidP="00507A85">
            <w:pPr>
              <w:spacing w:after="60"/>
              <w:rPr>
                <w:iCs/>
                <w:sz w:val="20"/>
              </w:rPr>
            </w:pPr>
            <w:r w:rsidRPr="00DD1A20">
              <w:rPr>
                <w:iCs/>
                <w:sz w:val="20"/>
              </w:rPr>
              <w:t xml:space="preserve">ECRFQ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86EE908" w14:textId="77777777" w:rsidR="00745851" w:rsidRPr="00DD1A20" w:rsidRDefault="00745851" w:rsidP="00507A85">
            <w:pPr>
              <w:spacing w:after="60"/>
              <w:rPr>
                <w:iCs/>
                <w:sz w:val="20"/>
              </w:rPr>
            </w:pPr>
            <w:r w:rsidRPr="00DD1A20">
              <w:rPr>
                <w:iCs/>
                <w:sz w:val="20"/>
              </w:rPr>
              <w:t>MW</w:t>
            </w:r>
          </w:p>
        </w:tc>
        <w:tc>
          <w:tcPr>
            <w:tcW w:w="3418" w:type="pct"/>
            <w:tcBorders>
              <w:top w:val="single" w:sz="4" w:space="0" w:color="auto"/>
              <w:left w:val="single" w:sz="4" w:space="0" w:color="auto"/>
              <w:bottom w:val="single" w:sz="4" w:space="0" w:color="auto"/>
              <w:right w:val="single" w:sz="4" w:space="0" w:color="auto"/>
            </w:tcBorders>
          </w:tcPr>
          <w:p w14:paraId="11EEB08D" w14:textId="77777777" w:rsidR="00745851" w:rsidRPr="00DD1A20" w:rsidRDefault="00745851" w:rsidP="00507A85">
            <w:pPr>
              <w:spacing w:after="60"/>
              <w:rPr>
                <w:i/>
                <w:iCs/>
                <w:sz w:val="20"/>
              </w:rPr>
            </w:pPr>
            <w:r w:rsidRPr="00DD1A20">
              <w:rPr>
                <w:i/>
                <w:iCs/>
                <w:sz w:val="20"/>
              </w:rPr>
              <w:t>ERCOT Contingency Reserve Service Failure Quantity per QSE</w:t>
            </w:r>
            <w:r w:rsidRPr="00DD1A20">
              <w:rPr>
                <w:i/>
                <w:sz w:val="20"/>
              </w:rPr>
              <w:t>—</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ECRS, for the hour.</w:t>
            </w:r>
          </w:p>
        </w:tc>
      </w:tr>
      <w:tr w:rsidR="00745851" w:rsidRPr="00DD1A20" w14:paraId="0A4C9854" w14:textId="77777777" w:rsidTr="00507A85">
        <w:tc>
          <w:tcPr>
            <w:tcW w:w="1126" w:type="pct"/>
            <w:tcBorders>
              <w:top w:val="single" w:sz="4" w:space="0" w:color="auto"/>
              <w:left w:val="single" w:sz="4" w:space="0" w:color="auto"/>
              <w:bottom w:val="single" w:sz="4" w:space="0" w:color="auto"/>
              <w:right w:val="single" w:sz="4" w:space="0" w:color="auto"/>
            </w:tcBorders>
          </w:tcPr>
          <w:p w14:paraId="17928097" w14:textId="77777777" w:rsidR="00745851" w:rsidRPr="00DD1A20" w:rsidRDefault="00745851" w:rsidP="00507A85">
            <w:pPr>
              <w:spacing w:after="60"/>
              <w:rPr>
                <w:iCs/>
                <w:sz w:val="20"/>
              </w:rPr>
            </w:pPr>
            <w:r w:rsidRPr="00DD1A20">
              <w:rPr>
                <w:sz w:val="20"/>
              </w:rPr>
              <w:t>RECRFQ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6A5BE916" w14:textId="77777777" w:rsidR="00745851" w:rsidRPr="00DD1A20" w:rsidRDefault="00745851" w:rsidP="00507A85">
            <w:pPr>
              <w:spacing w:after="60"/>
              <w:rPr>
                <w:iCs/>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6309CEBA" w14:textId="77777777" w:rsidR="00745851" w:rsidRPr="00DD1A20" w:rsidRDefault="00745851" w:rsidP="00507A85">
            <w:pPr>
              <w:spacing w:after="60"/>
              <w:rPr>
                <w:iCs/>
                <w:sz w:val="20"/>
              </w:rPr>
            </w:pPr>
            <w:r w:rsidRPr="00DD1A20">
              <w:rPr>
                <w:i/>
                <w:sz w:val="20"/>
              </w:rPr>
              <w:t xml:space="preserve">Reconfiguration </w:t>
            </w:r>
            <w:r w:rsidRPr="00DD1A20">
              <w:rPr>
                <w:i/>
                <w:iCs/>
                <w:sz w:val="20"/>
              </w:rPr>
              <w:t>ERCOT Contingency Reserve Service</w:t>
            </w:r>
            <w:r w:rsidRPr="00DD1A20">
              <w:rPr>
                <w:i/>
                <w:sz w:val="20"/>
              </w:rPr>
              <w:t xml:space="p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ECRS, for the hour.</w:t>
            </w:r>
          </w:p>
        </w:tc>
      </w:tr>
      <w:tr w:rsidR="00745851" w:rsidRPr="00DD1A20" w14:paraId="64ECBF54" w14:textId="77777777" w:rsidTr="00507A85">
        <w:tc>
          <w:tcPr>
            <w:tcW w:w="1126" w:type="pct"/>
            <w:tcBorders>
              <w:top w:val="single" w:sz="4" w:space="0" w:color="auto"/>
              <w:left w:val="single" w:sz="4" w:space="0" w:color="auto"/>
              <w:bottom w:val="single" w:sz="4" w:space="0" w:color="auto"/>
              <w:right w:val="single" w:sz="4" w:space="0" w:color="auto"/>
            </w:tcBorders>
          </w:tcPr>
          <w:p w14:paraId="377C916D"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40E3E44E"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01BA58C9" w14:textId="77777777" w:rsidR="00745851" w:rsidRPr="00DD1A20" w:rsidRDefault="00745851" w:rsidP="00507A85">
            <w:pPr>
              <w:spacing w:after="60"/>
              <w:rPr>
                <w:i/>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25525BD6" w14:textId="77777777" w:rsidTr="00507A85">
        <w:tc>
          <w:tcPr>
            <w:tcW w:w="1126" w:type="pct"/>
            <w:tcBorders>
              <w:top w:val="single" w:sz="4" w:space="0" w:color="auto"/>
              <w:left w:val="single" w:sz="4" w:space="0" w:color="auto"/>
              <w:bottom w:val="single" w:sz="4" w:space="0" w:color="auto"/>
              <w:right w:val="single" w:sz="4" w:space="0" w:color="auto"/>
            </w:tcBorders>
          </w:tcPr>
          <w:p w14:paraId="6974EF14" w14:textId="77777777" w:rsidR="00745851" w:rsidRPr="00DD1A20" w:rsidRDefault="00745851" w:rsidP="00507A85">
            <w:pPr>
              <w:spacing w:after="60"/>
              <w:rPr>
                <w:sz w:val="20"/>
              </w:rPr>
            </w:pPr>
            <w:r w:rsidRPr="00DD1A20">
              <w:rPr>
                <w:sz w:val="20"/>
              </w:rPr>
              <w:t xml:space="preserve">TECRFQ </w:t>
            </w:r>
            <w:r w:rsidRPr="00DD1A20">
              <w:rPr>
                <w:i/>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4604C2E2"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3FB5322A" w14:textId="77777777" w:rsidR="00745851" w:rsidRPr="00DD1A20" w:rsidRDefault="00745851" w:rsidP="00507A85">
            <w:pPr>
              <w:autoSpaceDE w:val="0"/>
              <w:autoSpaceDN w:val="0"/>
              <w:adjustRightInd w:val="0"/>
              <w:ind w:left="-58"/>
              <w:rPr>
                <w:i/>
                <w:color w:val="000000"/>
                <w:sz w:val="20"/>
              </w:rPr>
            </w:pPr>
            <w:r w:rsidRPr="00DD1A20">
              <w:rPr>
                <w:i/>
                <w:color w:val="000000"/>
                <w:sz w:val="20"/>
              </w:rPr>
              <w:t>Telemetered ERCOT Contingency Reserve Service Failure Quantity per QSE—</w:t>
            </w:r>
            <w:r w:rsidRPr="00DD1A20">
              <w:rPr>
                <w:color w:val="000000"/>
                <w:sz w:val="20"/>
              </w:rPr>
              <w:t xml:space="preserve">Calculated failure quantity for QSE </w:t>
            </w:r>
            <w:r w:rsidRPr="00DD1A20">
              <w:rPr>
                <w:i/>
                <w:iCs/>
                <w:color w:val="000000"/>
                <w:sz w:val="20"/>
              </w:rPr>
              <w:t xml:space="preserve">q </w:t>
            </w:r>
            <w:r w:rsidRPr="00DD1A20">
              <w:rPr>
                <w:color w:val="000000"/>
                <w:sz w:val="20"/>
              </w:rPr>
              <w:t xml:space="preserve">by comparing its average telemetered ECRS Responsibility to its Ancillary Service Supply </w:t>
            </w:r>
            <w:r w:rsidRPr="00DD1A20">
              <w:rPr>
                <w:color w:val="000000"/>
                <w:sz w:val="20"/>
              </w:rPr>
              <w:lastRenderedPageBreak/>
              <w:t>Responsibility for ECRS as calculated per paragraph (1) of Section 4.4.7.4, for the hour.</w:t>
            </w:r>
          </w:p>
        </w:tc>
      </w:tr>
      <w:tr w:rsidR="00745851" w:rsidRPr="00DD1A20" w14:paraId="64C8F5D6" w14:textId="77777777" w:rsidTr="00507A85">
        <w:tc>
          <w:tcPr>
            <w:tcW w:w="1126" w:type="pct"/>
            <w:tcBorders>
              <w:top w:val="single" w:sz="4" w:space="0" w:color="auto"/>
              <w:left w:val="single" w:sz="4" w:space="0" w:color="auto"/>
              <w:bottom w:val="single" w:sz="4" w:space="0" w:color="auto"/>
              <w:right w:val="single" w:sz="4" w:space="0" w:color="auto"/>
            </w:tcBorders>
          </w:tcPr>
          <w:p w14:paraId="6399EDC4" w14:textId="77777777" w:rsidR="00745851" w:rsidRPr="00DD1A20" w:rsidRDefault="00745851" w:rsidP="00507A85">
            <w:pPr>
              <w:spacing w:after="60"/>
              <w:rPr>
                <w:sz w:val="20"/>
              </w:rPr>
            </w:pPr>
            <w:r w:rsidRPr="00DD1A20">
              <w:rPr>
                <w:i/>
                <w:sz w:val="20"/>
              </w:rPr>
              <w:lastRenderedPageBreak/>
              <w:t>i</w:t>
            </w:r>
          </w:p>
        </w:tc>
        <w:tc>
          <w:tcPr>
            <w:tcW w:w="456" w:type="pct"/>
            <w:tcBorders>
              <w:top w:val="single" w:sz="4" w:space="0" w:color="auto"/>
              <w:left w:val="single" w:sz="4" w:space="0" w:color="auto"/>
              <w:bottom w:val="single" w:sz="4" w:space="0" w:color="auto"/>
              <w:right w:val="single" w:sz="4" w:space="0" w:color="auto"/>
            </w:tcBorders>
          </w:tcPr>
          <w:p w14:paraId="23436DEB" w14:textId="77777777" w:rsidR="00745851" w:rsidRPr="00DD1A20" w:rsidRDefault="00745851" w:rsidP="00507A85">
            <w:pPr>
              <w:spacing w:after="60"/>
              <w:rPr>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6CDC918E" w14:textId="77777777" w:rsidR="00745851" w:rsidRPr="00DD1A20" w:rsidRDefault="00745851" w:rsidP="00507A85">
            <w:pPr>
              <w:spacing w:after="60"/>
              <w:rPr>
                <w:i/>
                <w:sz w:val="20"/>
              </w:rPr>
            </w:pPr>
            <w:r w:rsidRPr="00DD1A20">
              <w:rPr>
                <w:sz w:val="20"/>
              </w:rPr>
              <w:t>A 15-minute Settlement Interval within the Operating Hour.</w:t>
            </w:r>
          </w:p>
        </w:tc>
      </w:tr>
      <w:tr w:rsidR="00745851" w:rsidRPr="00DD1A20" w14:paraId="1139850F" w14:textId="77777777" w:rsidTr="00507A85">
        <w:tc>
          <w:tcPr>
            <w:tcW w:w="1126" w:type="pct"/>
            <w:tcBorders>
              <w:top w:val="single" w:sz="4" w:space="0" w:color="auto"/>
              <w:left w:val="single" w:sz="4" w:space="0" w:color="auto"/>
              <w:bottom w:val="single" w:sz="4" w:space="0" w:color="auto"/>
              <w:right w:val="single" w:sz="4" w:space="0" w:color="auto"/>
            </w:tcBorders>
          </w:tcPr>
          <w:p w14:paraId="0C8BF953"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70E88BD0"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2448A047"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15F63CEE" w14:textId="77777777" w:rsidTr="00507A85">
        <w:tc>
          <w:tcPr>
            <w:tcW w:w="1126" w:type="pct"/>
            <w:tcBorders>
              <w:top w:val="single" w:sz="4" w:space="0" w:color="auto"/>
              <w:left w:val="single" w:sz="4" w:space="0" w:color="auto"/>
              <w:bottom w:val="single" w:sz="4" w:space="0" w:color="auto"/>
              <w:right w:val="single" w:sz="4" w:space="0" w:color="auto"/>
            </w:tcBorders>
          </w:tcPr>
          <w:p w14:paraId="66B24BF1"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61183EEE"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7A331D41"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7DF79E6" w14:textId="77777777" w:rsidTr="00507A85">
        <w:tc>
          <w:tcPr>
            <w:tcW w:w="1126" w:type="pct"/>
            <w:tcBorders>
              <w:top w:val="single" w:sz="4" w:space="0" w:color="auto"/>
              <w:left w:val="single" w:sz="4" w:space="0" w:color="auto"/>
              <w:bottom w:val="single" w:sz="4" w:space="0" w:color="auto"/>
              <w:right w:val="single" w:sz="4" w:space="0" w:color="auto"/>
            </w:tcBorders>
          </w:tcPr>
          <w:p w14:paraId="228C22BF"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751DBA46"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107FF4D0" w14:textId="77777777" w:rsidR="00745851" w:rsidRPr="00DD1A20" w:rsidRDefault="00745851" w:rsidP="00507A85">
            <w:pPr>
              <w:spacing w:after="60"/>
              <w:rPr>
                <w:iCs/>
                <w:sz w:val="20"/>
              </w:rPr>
            </w:pPr>
            <w:r w:rsidRPr="00DD1A20">
              <w:rPr>
                <w:iCs/>
                <w:sz w:val="20"/>
              </w:rPr>
              <w:t>A QSE.</w:t>
            </w:r>
          </w:p>
        </w:tc>
      </w:tr>
      <w:tr w:rsidR="00745851" w:rsidRPr="00DD1A20" w14:paraId="39238CB8" w14:textId="77777777" w:rsidTr="00507A85">
        <w:trPr>
          <w:trHeight w:val="161"/>
        </w:trPr>
        <w:tc>
          <w:tcPr>
            <w:tcW w:w="1126" w:type="pct"/>
            <w:tcBorders>
              <w:top w:val="single" w:sz="4" w:space="0" w:color="auto"/>
              <w:left w:val="single" w:sz="4" w:space="0" w:color="auto"/>
              <w:bottom w:val="single" w:sz="4" w:space="0" w:color="auto"/>
              <w:right w:val="single" w:sz="4" w:space="0" w:color="auto"/>
            </w:tcBorders>
          </w:tcPr>
          <w:p w14:paraId="73543814" w14:textId="77777777" w:rsidR="00745851" w:rsidRPr="00DD1A20" w:rsidRDefault="00745851" w:rsidP="00507A85">
            <w:pPr>
              <w:spacing w:after="60"/>
              <w:rPr>
                <w:i/>
                <w:iCs/>
                <w:sz w:val="20"/>
              </w:rPr>
            </w:pPr>
            <w:r w:rsidRPr="00DD1A20">
              <w:rPr>
                <w:i/>
                <w:sz w:val="20"/>
              </w:rPr>
              <w:t>r</w:t>
            </w:r>
          </w:p>
        </w:tc>
        <w:tc>
          <w:tcPr>
            <w:tcW w:w="456" w:type="pct"/>
            <w:tcBorders>
              <w:top w:val="single" w:sz="4" w:space="0" w:color="auto"/>
              <w:left w:val="single" w:sz="4" w:space="0" w:color="auto"/>
              <w:bottom w:val="single" w:sz="4" w:space="0" w:color="auto"/>
              <w:right w:val="single" w:sz="4" w:space="0" w:color="auto"/>
            </w:tcBorders>
          </w:tcPr>
          <w:p w14:paraId="00F85B12"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52CA6222" w14:textId="77777777" w:rsidR="00745851" w:rsidRPr="00DD1A20" w:rsidRDefault="00745851" w:rsidP="00507A85">
            <w:pPr>
              <w:spacing w:after="60"/>
              <w:rPr>
                <w:iCs/>
                <w:sz w:val="20"/>
              </w:rPr>
            </w:pPr>
            <w:r w:rsidRPr="00DD1A20">
              <w:rPr>
                <w:sz w:val="20"/>
              </w:rPr>
              <w:t>A Resource that is qualified to provide ECRS.</w:t>
            </w:r>
          </w:p>
        </w:tc>
      </w:tr>
    </w:tbl>
    <w:p w14:paraId="65AB846E" w14:textId="77777777" w:rsidR="00070608" w:rsidRPr="00221BB6" w:rsidRDefault="00070608"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43D0AFD" w14:textId="77777777" w:rsidTr="001138B9">
        <w:trPr>
          <w:trHeight w:val="206"/>
        </w:trPr>
        <w:tc>
          <w:tcPr>
            <w:tcW w:w="9350" w:type="dxa"/>
            <w:shd w:val="pct12" w:color="auto" w:fill="auto"/>
          </w:tcPr>
          <w:p w14:paraId="0E058146" w14:textId="41CAF539" w:rsidR="00221BB6" w:rsidRPr="00B06583" w:rsidRDefault="00221BB6" w:rsidP="008222B8">
            <w:pPr>
              <w:pStyle w:val="Instructions"/>
              <w:spacing w:before="120"/>
            </w:pPr>
            <w:r>
              <w:t>[NPRR1010:  Delete Section 6.7.3 above upon system implementation of the Real-Time Co-Optimization (RTC) project</w:t>
            </w:r>
            <w:r w:rsidR="008C3F9B">
              <w:t>.</w:t>
            </w:r>
            <w:r>
              <w:t>]</w:t>
            </w:r>
          </w:p>
        </w:tc>
      </w:tr>
    </w:tbl>
    <w:p w14:paraId="51557BBE" w14:textId="77777777" w:rsidR="001F04FD" w:rsidRDefault="001F04FD" w:rsidP="001F04FD">
      <w:pPr>
        <w:pStyle w:val="H3"/>
        <w:spacing w:before="480"/>
      </w:pPr>
      <w:bookmarkStart w:id="2733" w:name="_Toc189044490"/>
      <w:r>
        <w:t>6.7.4</w:t>
      </w:r>
      <w:r>
        <w:tab/>
        <w:t>Adjustments to Cost Allocations for Ancillary Services Procurement</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14:paraId="577902D6" w14:textId="45F80E0E" w:rsidR="008C5104" w:rsidRPr="007E46C9" w:rsidRDefault="008C5104" w:rsidP="008C5104">
      <w:pPr>
        <w:spacing w:after="240"/>
        <w:ind w:left="720" w:hanging="720"/>
        <w:rPr>
          <w:iCs/>
        </w:rPr>
      </w:pPr>
      <w:r w:rsidRPr="007E46C9">
        <w:rPr>
          <w:iCs/>
        </w:rPr>
        <w:t>(1)</w:t>
      </w:r>
      <w:r w:rsidRPr="007E46C9">
        <w:rPr>
          <w:iCs/>
        </w:rPr>
        <w:tab/>
        <w: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t>
      </w:r>
    </w:p>
    <w:p w14:paraId="586EAB46" w14:textId="77777777" w:rsidR="008C5104" w:rsidRPr="007E46C9" w:rsidRDefault="008C5104" w:rsidP="008C5104">
      <w:pPr>
        <w:spacing w:after="240"/>
        <w:ind w:left="720" w:hanging="720"/>
        <w:rPr>
          <w:iCs/>
        </w:rPr>
      </w:pPr>
      <w:r w:rsidRPr="007E46C9">
        <w:rPr>
          <w:iCs/>
        </w:rPr>
        <w:t>(2)</w:t>
      </w:r>
      <w:r w:rsidRPr="007E46C9">
        <w:rPr>
          <w:iCs/>
        </w:rPr>
        <w:tab/>
        <w:t>For Reg-Up, if applicable:</w:t>
      </w:r>
    </w:p>
    <w:p w14:paraId="28AD8CF9" w14:textId="77777777" w:rsidR="008C5104" w:rsidRPr="007E46C9" w:rsidRDefault="008C5104" w:rsidP="008C5104">
      <w:pPr>
        <w:spacing w:after="240"/>
        <w:ind w:left="1440" w:hanging="720"/>
      </w:pPr>
      <w:r w:rsidRPr="007E46C9">
        <w:t>(a)</w:t>
      </w:r>
      <w:r w:rsidRPr="007E46C9">
        <w:tab/>
        <w:t>The net total costs for Reg-Up for a given Operating Hour is calculated as follows:</w:t>
      </w:r>
    </w:p>
    <w:p w14:paraId="2505FF8E" w14:textId="0DA0B1DB" w:rsidR="008C5104" w:rsidRDefault="008C5104" w:rsidP="008C5104">
      <w:pPr>
        <w:spacing w:after="120"/>
        <w:ind w:left="2880" w:hanging="2160"/>
        <w:rPr>
          <w:b/>
          <w:bCs/>
        </w:rPr>
      </w:pPr>
      <w:r w:rsidRPr="007E46C9">
        <w:rPr>
          <w:b/>
          <w:bCs/>
        </w:rPr>
        <w:t>RUCOSTTOT</w:t>
      </w:r>
      <w:r w:rsidRPr="007E46C9">
        <w:rPr>
          <w:b/>
          <w:bCs/>
        </w:rPr>
        <w:tab/>
        <w:t>=</w:t>
      </w:r>
      <w:r w:rsidRPr="007E46C9">
        <w:rPr>
          <w:b/>
          <w:bCs/>
        </w:rPr>
        <w:tab/>
        <w:t>(-1) * (</w:t>
      </w:r>
      <w:r w:rsidR="00A94020">
        <w:rPr>
          <w:b/>
          <w:bCs/>
          <w:noProof/>
          <w:position w:val="-20"/>
        </w:rPr>
        <w:drawing>
          <wp:inline distT="0" distB="0" distL="0" distR="0" wp14:anchorId="369AD666" wp14:editId="3E3B8D18">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(RTPCRUAMTTOT </w:t>
      </w:r>
      <w:r w:rsidRPr="007E46C9">
        <w:rPr>
          <w:b/>
          <w:bCs/>
          <w:i/>
          <w:vertAlign w:val="subscript"/>
        </w:rPr>
        <w:t>m</w:t>
      </w:r>
      <w:r w:rsidRPr="007E46C9">
        <w:rPr>
          <w:b/>
          <w:bCs/>
        </w:rPr>
        <w:t xml:space="preserve">) + </w:t>
      </w:r>
      <w:r w:rsidRPr="007E46C9">
        <w:rPr>
          <w:b/>
          <w:bCs/>
        </w:rPr>
        <w:tab/>
      </w:r>
      <w:r w:rsidRPr="007E46C9">
        <w:rPr>
          <w:b/>
          <w:bCs/>
        </w:rPr>
        <w:tab/>
      </w:r>
      <w:r w:rsidRPr="007E46C9">
        <w:rPr>
          <w:b/>
          <w:bCs/>
        </w:rPr>
        <w:tab/>
        <w:t>PCRUAMTTOT</w:t>
      </w:r>
      <w:r w:rsidRPr="007E46C9">
        <w:rPr>
          <w:b/>
          <w:bCs/>
          <w:i/>
          <w:vertAlign w:val="subscript"/>
        </w:rPr>
        <w:t xml:space="preserve"> </w:t>
      </w:r>
      <w:r w:rsidRPr="007E46C9">
        <w:rPr>
          <w:b/>
          <w:bCs/>
        </w:rPr>
        <w:t xml:space="preserve"> + RUFQAMTTOT</w:t>
      </w:r>
      <w:r>
        <w:rPr>
          <w:b/>
          <w:bCs/>
        </w:rPr>
        <w:t xml:space="preserve"> </w:t>
      </w:r>
      <w:r w:rsidRPr="00E8083C">
        <w:rPr>
          <w:b/>
          <w:bCs/>
        </w:rPr>
        <w:t>+</w:t>
      </w:r>
      <w:r>
        <w:rPr>
          <w:b/>
          <w:bCs/>
        </w:rPr>
        <w:t xml:space="preserve"> </w:t>
      </w:r>
    </w:p>
    <w:p w14:paraId="7229AEEB" w14:textId="77777777" w:rsidR="008C5104" w:rsidRPr="007E46C9" w:rsidRDefault="008C5104" w:rsidP="008C5104">
      <w:pPr>
        <w:spacing w:after="240"/>
        <w:ind w:left="2880" w:firstLine="720"/>
        <w:rPr>
          <w:b/>
          <w:bCs/>
        </w:rPr>
      </w:pPr>
      <w:r w:rsidRPr="00E8083C">
        <w:rPr>
          <w:b/>
          <w:bCs/>
        </w:rPr>
        <w:t>RUINFQAMTTOT</w:t>
      </w:r>
      <w:r w:rsidRPr="007E46C9">
        <w:rPr>
          <w:b/>
          <w:bCs/>
        </w:rPr>
        <w:t>)</w:t>
      </w:r>
    </w:p>
    <w:p w14:paraId="44286063" w14:textId="77777777" w:rsidR="008C5104" w:rsidRPr="007E46C9" w:rsidRDefault="008C5104" w:rsidP="008C5104">
      <w:pPr>
        <w:spacing w:after="240"/>
        <w:rPr>
          <w:iCs/>
        </w:rPr>
      </w:pPr>
      <w:r w:rsidRPr="007E46C9">
        <w:rPr>
          <w:iCs/>
        </w:rPr>
        <w:t xml:space="preserve">Where: </w:t>
      </w:r>
    </w:p>
    <w:p w14:paraId="5C0688E9" w14:textId="77777777" w:rsidR="008C5104" w:rsidRPr="007E46C9" w:rsidRDefault="008C5104" w:rsidP="008C5104">
      <w:r w:rsidRPr="007E46C9">
        <w:t>Total payment of SASM- and RSASM-procured capacity for Reg-Up by market</w:t>
      </w:r>
    </w:p>
    <w:p w14:paraId="01BF2F69" w14:textId="0738247E" w:rsidR="008C5104" w:rsidRPr="007E46C9" w:rsidRDefault="008C5104" w:rsidP="008C5104">
      <w:pPr>
        <w:spacing w:after="240"/>
        <w:ind w:leftChars="300" w:left="2880" w:hangingChars="900" w:hanging="2160"/>
        <w:rPr>
          <w:bCs/>
          <w:i/>
          <w:vertAlign w:val="subscript"/>
        </w:rPr>
      </w:pPr>
      <w:r w:rsidRPr="007E46C9">
        <w:rPr>
          <w:bCs/>
        </w:rPr>
        <w:t xml:space="preserve">RTPCRUAMTTOT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6D1FD1D5" wp14:editId="7E40638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RTPCRUAMT </w:t>
      </w:r>
      <w:r w:rsidRPr="007E46C9">
        <w:rPr>
          <w:bCs/>
          <w:i/>
          <w:vertAlign w:val="subscript"/>
        </w:rPr>
        <w:t xml:space="preserve">q, m </w:t>
      </w:r>
    </w:p>
    <w:p w14:paraId="1E8A7DAD" w14:textId="77777777" w:rsidR="008C5104" w:rsidRPr="007E46C9" w:rsidRDefault="008C5104" w:rsidP="008C5104">
      <w:r w:rsidRPr="007E46C9">
        <w:t>Total payment of DAM-procured capacity for Reg-Up</w:t>
      </w:r>
    </w:p>
    <w:p w14:paraId="420427F9" w14:textId="6C0986C8" w:rsidR="008C5104" w:rsidRPr="007E46C9" w:rsidRDefault="008C5104" w:rsidP="008C5104">
      <w:pPr>
        <w:spacing w:after="240"/>
        <w:ind w:leftChars="300" w:left="2880" w:hangingChars="900" w:hanging="2160"/>
        <w:rPr>
          <w:bCs/>
        </w:rPr>
      </w:pPr>
      <w:r w:rsidRPr="007E46C9">
        <w:rPr>
          <w:bCs/>
        </w:rPr>
        <w:t>PCRUAMTTOT</w:t>
      </w:r>
      <w:r w:rsidRPr="007E46C9">
        <w:rPr>
          <w:bCs/>
        </w:rPr>
        <w:tab/>
      </w:r>
      <w:r w:rsidRPr="007E46C9">
        <w:rPr>
          <w:bCs/>
        </w:rPr>
        <w:tab/>
        <w:t>=</w:t>
      </w:r>
      <w:r w:rsidRPr="007E46C9">
        <w:rPr>
          <w:bCs/>
        </w:rPr>
        <w:tab/>
      </w:r>
      <w:r w:rsidR="00A94020">
        <w:rPr>
          <w:bCs/>
          <w:noProof/>
          <w:position w:val="-22"/>
        </w:rPr>
        <w:drawing>
          <wp:inline distT="0" distB="0" distL="0" distR="0" wp14:anchorId="78C1BCDB" wp14:editId="115103C0">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PCRUAMT </w:t>
      </w:r>
      <w:r w:rsidRPr="007E46C9">
        <w:rPr>
          <w:bCs/>
          <w:i/>
          <w:vertAlign w:val="subscript"/>
        </w:rPr>
        <w:t>q</w:t>
      </w:r>
    </w:p>
    <w:p w14:paraId="347E48EF" w14:textId="77777777" w:rsidR="008C5104" w:rsidRPr="007E46C9" w:rsidRDefault="008C5104" w:rsidP="008C5104">
      <w:r w:rsidRPr="007E46C9">
        <w:t>Total charge of failure on Ancillary Service Supply Responsibility for Reg-Up</w:t>
      </w:r>
    </w:p>
    <w:p w14:paraId="6BC0CB9E" w14:textId="42695527" w:rsidR="008C5104" w:rsidRPr="007E46C9" w:rsidRDefault="008C5104" w:rsidP="008C5104">
      <w:pPr>
        <w:spacing w:after="240"/>
        <w:ind w:leftChars="300" w:left="2880" w:hangingChars="900" w:hanging="2160"/>
        <w:rPr>
          <w:bCs/>
          <w:i/>
          <w:vertAlign w:val="subscript"/>
        </w:rPr>
      </w:pPr>
      <w:r w:rsidRPr="007E46C9">
        <w:rPr>
          <w:bCs/>
        </w:rPr>
        <w:t>RUFQAMTTOT</w:t>
      </w:r>
      <w:r w:rsidRPr="007E46C9">
        <w:rPr>
          <w:bCs/>
        </w:rPr>
        <w:tab/>
      </w:r>
      <w:r w:rsidRPr="007E46C9">
        <w:rPr>
          <w:bCs/>
        </w:rPr>
        <w:tab/>
        <w:t>=</w:t>
      </w:r>
      <w:r w:rsidRPr="007E46C9">
        <w:rPr>
          <w:bCs/>
        </w:rPr>
        <w:tab/>
      </w:r>
      <w:r w:rsidR="00A94020">
        <w:rPr>
          <w:bCs/>
          <w:noProof/>
          <w:position w:val="-22"/>
        </w:rPr>
        <w:drawing>
          <wp:inline distT="0" distB="0" distL="0" distR="0" wp14:anchorId="3B770DBA" wp14:editId="208FA994">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RUFQAMTQSETOT </w:t>
      </w:r>
      <w:r w:rsidRPr="007E46C9">
        <w:rPr>
          <w:bCs/>
          <w:i/>
          <w:vertAlign w:val="subscript"/>
        </w:rPr>
        <w:t>q</w:t>
      </w:r>
    </w:p>
    <w:p w14:paraId="5E506196"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Reg-Up by QSE</w:t>
      </w:r>
    </w:p>
    <w:p w14:paraId="4CBC94A1" w14:textId="0691A0E3" w:rsidR="008C5104" w:rsidRPr="007E46C9" w:rsidRDefault="008C5104" w:rsidP="008C5104">
      <w:pPr>
        <w:spacing w:after="240"/>
        <w:ind w:leftChars="300" w:left="2880" w:hangingChars="900" w:hanging="2160"/>
        <w:rPr>
          <w:bCs/>
        </w:rPr>
      </w:pPr>
      <w:r w:rsidRPr="007E46C9">
        <w:rPr>
          <w:bCs/>
        </w:rPr>
        <w:lastRenderedPageBreak/>
        <w:t xml:space="preserve">RTPCRUAMTQSETOT </w:t>
      </w:r>
      <w:r w:rsidRPr="0046190C">
        <w:rPr>
          <w:bCs/>
          <w:i/>
          <w:vertAlign w:val="subscript"/>
        </w:rPr>
        <w:t>q</w:t>
      </w:r>
      <w:r w:rsidRPr="007E46C9">
        <w:rPr>
          <w:bCs/>
        </w:rPr>
        <w:tab/>
        <w:t>=</w:t>
      </w:r>
      <w:r w:rsidRPr="007E46C9">
        <w:rPr>
          <w:bCs/>
        </w:rPr>
        <w:tab/>
      </w:r>
      <w:r w:rsidR="00A94020">
        <w:rPr>
          <w:bCs/>
          <w:noProof/>
          <w:position w:val="-20"/>
        </w:rPr>
        <w:drawing>
          <wp:inline distT="0" distB="0" distL="0" distR="0" wp14:anchorId="61566F43" wp14:editId="7ABB82B0">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RTPCRUAMT </w:t>
      </w:r>
      <w:r w:rsidRPr="007E46C9">
        <w:rPr>
          <w:bCs/>
          <w:i/>
          <w:vertAlign w:val="subscript"/>
        </w:rPr>
        <w:t>q, m</w:t>
      </w:r>
    </w:p>
    <w:p w14:paraId="799EB5DB" w14:textId="77777777" w:rsidR="008C5104" w:rsidRDefault="008C5104" w:rsidP="008C5104">
      <w:r>
        <w:t>Total charge of infeasible Ancillary Service Supply Responsibility for Reg-Up</w:t>
      </w:r>
    </w:p>
    <w:p w14:paraId="58B39CCD" w14:textId="77777777" w:rsidR="008C5104" w:rsidRDefault="008C5104" w:rsidP="00EE4598">
      <w:pPr>
        <w:spacing w:after="240"/>
        <w:ind w:left="2880" w:hanging="2160"/>
      </w:pPr>
      <w:r>
        <w:t>RUINFQAMTTOT</w:t>
      </w:r>
      <w:r>
        <w:tab/>
        <w:t>=</w:t>
      </w:r>
      <w:r>
        <w:tab/>
      </w:r>
      <w:r w:rsidRPr="006F784F">
        <w:rPr>
          <w:position w:val="-22"/>
          <w:lang w:val="pt-BR"/>
        </w:rPr>
        <w:object w:dxaOrig="225" w:dyaOrig="465" w14:anchorId="4BF73D3F">
          <v:shape id="_x0000_i1348" type="#_x0000_t75" style="width:12pt;height:18pt" o:ole="">
            <v:imagedata r:id="rId432" o:title=""/>
          </v:shape>
          <o:OLEObject Type="Embed" ProgID="Equation.3" ShapeID="_x0000_i1348" DrawAspect="Content" ObjectID="_1804653831" r:id="rId433"/>
        </w:object>
      </w:r>
      <w:r w:rsidRPr="002A7C17">
        <w:t xml:space="preserve"> </w:t>
      </w:r>
      <w:r>
        <w:t xml:space="preserve">RUINFQAMT </w:t>
      </w:r>
      <w:r w:rsidRPr="00E8083C">
        <w:rPr>
          <w:i/>
          <w:vertAlign w:val="subscript"/>
        </w:rPr>
        <w:t>q</w:t>
      </w:r>
    </w:p>
    <w:p w14:paraId="7D934341" w14:textId="77777777" w:rsidR="008C5104" w:rsidRPr="007E46C9" w:rsidRDefault="008C5104" w:rsidP="008C5104">
      <w:r w:rsidRPr="007E46C9">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8C5104" w:rsidRPr="007E46C9" w14:paraId="0B13E45E" w14:textId="77777777" w:rsidTr="008C5104">
        <w:tc>
          <w:tcPr>
            <w:tcW w:w="1315" w:type="pct"/>
          </w:tcPr>
          <w:p w14:paraId="15880C34" w14:textId="77777777" w:rsidR="008C5104" w:rsidRPr="007E46C9" w:rsidRDefault="008C5104" w:rsidP="008C5104">
            <w:pPr>
              <w:spacing w:after="120"/>
              <w:rPr>
                <w:b/>
                <w:iCs/>
                <w:sz w:val="20"/>
              </w:rPr>
            </w:pPr>
            <w:r w:rsidRPr="007E46C9">
              <w:rPr>
                <w:b/>
                <w:iCs/>
                <w:sz w:val="20"/>
              </w:rPr>
              <w:t>Variable</w:t>
            </w:r>
          </w:p>
        </w:tc>
        <w:tc>
          <w:tcPr>
            <w:tcW w:w="326" w:type="pct"/>
          </w:tcPr>
          <w:p w14:paraId="1F48D679" w14:textId="77777777" w:rsidR="008C5104" w:rsidRPr="007E46C9" w:rsidRDefault="008C5104" w:rsidP="008C5104">
            <w:pPr>
              <w:spacing w:after="120"/>
              <w:rPr>
                <w:b/>
                <w:iCs/>
                <w:sz w:val="20"/>
              </w:rPr>
            </w:pPr>
            <w:r w:rsidRPr="007E46C9">
              <w:rPr>
                <w:b/>
                <w:iCs/>
                <w:sz w:val="20"/>
              </w:rPr>
              <w:t>Unit</w:t>
            </w:r>
          </w:p>
        </w:tc>
        <w:tc>
          <w:tcPr>
            <w:tcW w:w="3359" w:type="pct"/>
          </w:tcPr>
          <w:p w14:paraId="4858A08C" w14:textId="77777777" w:rsidR="008C5104" w:rsidRPr="007E46C9" w:rsidRDefault="008C5104" w:rsidP="008C5104">
            <w:pPr>
              <w:spacing w:after="120"/>
              <w:rPr>
                <w:b/>
                <w:iCs/>
                <w:sz w:val="20"/>
              </w:rPr>
            </w:pPr>
            <w:r w:rsidRPr="007E46C9">
              <w:rPr>
                <w:b/>
                <w:iCs/>
                <w:sz w:val="20"/>
              </w:rPr>
              <w:t>Description</w:t>
            </w:r>
          </w:p>
        </w:tc>
      </w:tr>
      <w:tr w:rsidR="008C5104" w:rsidRPr="007E46C9" w14:paraId="45FBB38B" w14:textId="77777777" w:rsidTr="008C5104">
        <w:tc>
          <w:tcPr>
            <w:tcW w:w="1315" w:type="pct"/>
          </w:tcPr>
          <w:p w14:paraId="152CA4E5" w14:textId="77777777" w:rsidR="008C5104" w:rsidRPr="007E46C9" w:rsidRDefault="008C5104" w:rsidP="008C5104">
            <w:pPr>
              <w:spacing w:after="60"/>
              <w:rPr>
                <w:iCs/>
                <w:sz w:val="20"/>
              </w:rPr>
            </w:pPr>
            <w:r w:rsidRPr="007E46C9">
              <w:rPr>
                <w:iCs/>
                <w:sz w:val="20"/>
              </w:rPr>
              <w:t>RUCOSTTOT</w:t>
            </w:r>
          </w:p>
        </w:tc>
        <w:tc>
          <w:tcPr>
            <w:tcW w:w="326" w:type="pct"/>
          </w:tcPr>
          <w:p w14:paraId="6CBEA840" w14:textId="77777777" w:rsidR="008C5104" w:rsidRPr="007E46C9" w:rsidRDefault="008C5104" w:rsidP="008C5104">
            <w:pPr>
              <w:spacing w:after="60"/>
              <w:rPr>
                <w:iCs/>
                <w:sz w:val="20"/>
              </w:rPr>
            </w:pPr>
            <w:r w:rsidRPr="007E46C9">
              <w:rPr>
                <w:iCs/>
                <w:sz w:val="20"/>
              </w:rPr>
              <w:t>$</w:t>
            </w:r>
          </w:p>
        </w:tc>
        <w:tc>
          <w:tcPr>
            <w:tcW w:w="3359" w:type="pct"/>
          </w:tcPr>
          <w:p w14:paraId="69498EE4" w14:textId="77777777" w:rsidR="008C5104" w:rsidRPr="007E46C9" w:rsidRDefault="008C5104" w:rsidP="008C5104">
            <w:pPr>
              <w:spacing w:after="60"/>
              <w:rPr>
                <w:iCs/>
                <w:sz w:val="20"/>
              </w:rPr>
            </w:pPr>
            <w:r w:rsidRPr="007E46C9">
              <w:rPr>
                <w:i/>
                <w:iCs/>
                <w:sz w:val="20"/>
              </w:rPr>
              <w:t>Reg-Up Cost Total</w:t>
            </w:r>
            <w:r w:rsidRPr="007E46C9">
              <w:rPr>
                <w:iCs/>
                <w:sz w:val="20"/>
              </w:rPr>
              <w:t>—The net total costs for Reg-Up for the hour.</w:t>
            </w:r>
          </w:p>
        </w:tc>
      </w:tr>
      <w:tr w:rsidR="008C5104" w:rsidRPr="007E46C9" w14:paraId="496FAFCF" w14:textId="77777777" w:rsidTr="008C5104">
        <w:tc>
          <w:tcPr>
            <w:tcW w:w="1315" w:type="pct"/>
            <w:tcBorders>
              <w:top w:val="single" w:sz="4" w:space="0" w:color="auto"/>
              <w:left w:val="single" w:sz="4" w:space="0" w:color="auto"/>
              <w:bottom w:val="single" w:sz="4" w:space="0" w:color="auto"/>
              <w:right w:val="single" w:sz="4" w:space="0" w:color="auto"/>
            </w:tcBorders>
          </w:tcPr>
          <w:p w14:paraId="6423B8DB" w14:textId="77777777" w:rsidR="008C5104" w:rsidRPr="007E46C9" w:rsidRDefault="008C5104" w:rsidP="008C5104">
            <w:pPr>
              <w:spacing w:after="60"/>
              <w:rPr>
                <w:iCs/>
                <w:sz w:val="20"/>
              </w:rPr>
            </w:pPr>
            <w:r w:rsidRPr="007E46C9">
              <w:rPr>
                <w:iCs/>
                <w:sz w:val="20"/>
              </w:rPr>
              <w:t xml:space="preserve">RTPCRUAMTTOT </w:t>
            </w:r>
            <w:r w:rsidRPr="007E46C9">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49778FD6"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AD5DC43" w14:textId="77777777" w:rsidR="008C5104" w:rsidRPr="007E46C9" w:rsidRDefault="008C5104" w:rsidP="008C5104">
            <w:pPr>
              <w:spacing w:after="60"/>
              <w:rPr>
                <w:i/>
                <w:iCs/>
                <w:sz w:val="20"/>
              </w:rPr>
            </w:pPr>
            <w:r w:rsidRPr="007E46C9">
              <w:rPr>
                <w:i/>
                <w:iCs/>
                <w:sz w:val="20"/>
              </w:rPr>
              <w:t>Procured Capacity for Reg-Up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Reg-Up, for the hour.</w:t>
            </w:r>
          </w:p>
        </w:tc>
      </w:tr>
      <w:tr w:rsidR="008C5104" w:rsidRPr="007E46C9" w14:paraId="4EB456D9" w14:textId="77777777" w:rsidTr="008C5104">
        <w:tc>
          <w:tcPr>
            <w:tcW w:w="1315" w:type="pct"/>
            <w:tcBorders>
              <w:top w:val="single" w:sz="4" w:space="0" w:color="auto"/>
              <w:left w:val="single" w:sz="4" w:space="0" w:color="auto"/>
              <w:bottom w:val="single" w:sz="4" w:space="0" w:color="auto"/>
              <w:right w:val="single" w:sz="4" w:space="0" w:color="auto"/>
            </w:tcBorders>
          </w:tcPr>
          <w:p w14:paraId="5CB87E40" w14:textId="77777777" w:rsidR="008C5104" w:rsidRPr="007E46C9" w:rsidRDefault="008C5104" w:rsidP="008C5104">
            <w:pPr>
              <w:spacing w:after="60"/>
              <w:rPr>
                <w:iCs/>
                <w:sz w:val="20"/>
              </w:rPr>
            </w:pPr>
            <w:r w:rsidRPr="007E46C9">
              <w:rPr>
                <w:iCs/>
                <w:sz w:val="20"/>
              </w:rPr>
              <w:t xml:space="preserve">RTPCRUAMT </w:t>
            </w:r>
            <w:r w:rsidRPr="007E46C9">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2CD0463A"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22E4E7" w14:textId="77777777" w:rsidR="008C5104" w:rsidRPr="007E46C9" w:rsidRDefault="008C5104" w:rsidP="008C5104">
            <w:pPr>
              <w:spacing w:after="60"/>
              <w:rPr>
                <w:i/>
                <w:iCs/>
                <w:sz w:val="20"/>
              </w:rPr>
            </w:pPr>
            <w:r w:rsidRPr="007E46C9">
              <w:rPr>
                <w:i/>
                <w:iCs/>
                <w:sz w:val="20"/>
              </w:rPr>
              <w:t>Procured Capacity for Reg-Up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Reg-Up, for the hour.</w:t>
            </w:r>
          </w:p>
        </w:tc>
      </w:tr>
      <w:tr w:rsidR="008C5104" w:rsidRPr="007E46C9" w14:paraId="4A409890" w14:textId="77777777" w:rsidTr="008C5104">
        <w:tc>
          <w:tcPr>
            <w:tcW w:w="1315" w:type="pct"/>
            <w:tcBorders>
              <w:top w:val="single" w:sz="4" w:space="0" w:color="auto"/>
              <w:left w:val="single" w:sz="4" w:space="0" w:color="auto"/>
              <w:bottom w:val="single" w:sz="4" w:space="0" w:color="auto"/>
              <w:right w:val="single" w:sz="4" w:space="0" w:color="auto"/>
            </w:tcBorders>
          </w:tcPr>
          <w:p w14:paraId="77749001" w14:textId="77777777" w:rsidR="008C5104" w:rsidRPr="007E46C9" w:rsidRDefault="008C5104" w:rsidP="008C5104">
            <w:pPr>
              <w:spacing w:after="60"/>
              <w:rPr>
                <w:iCs/>
                <w:sz w:val="20"/>
              </w:rPr>
            </w:pPr>
            <w:r w:rsidRPr="007E46C9">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4DC57A03"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BE6A47A" w14:textId="77777777" w:rsidR="008C5104" w:rsidRPr="007E46C9" w:rsidRDefault="008C5104" w:rsidP="008C5104">
            <w:pPr>
              <w:spacing w:after="60"/>
              <w:rPr>
                <w:i/>
                <w:iCs/>
                <w:sz w:val="20"/>
              </w:rPr>
            </w:pPr>
            <w:r w:rsidRPr="007E46C9">
              <w:rPr>
                <w:i/>
                <w:iCs/>
                <w:sz w:val="20"/>
              </w:rPr>
              <w:t>Reg-Up Failure Quantity Amount Total</w:t>
            </w:r>
            <w:r w:rsidRPr="007E46C9">
              <w:rPr>
                <w:iCs/>
                <w:sz w:val="20"/>
              </w:rPr>
              <w:t>—The total charges to all QSEs for their capacity associated with failures and reconfiguration reductions on their Ancillary Service Supply Responsibilities for Reg-Up, for the hour.</w:t>
            </w:r>
          </w:p>
        </w:tc>
      </w:tr>
      <w:tr w:rsidR="008C5104" w:rsidRPr="007E46C9" w14:paraId="3FE7367E" w14:textId="77777777" w:rsidTr="008C5104">
        <w:tc>
          <w:tcPr>
            <w:tcW w:w="1315" w:type="pct"/>
            <w:tcBorders>
              <w:top w:val="single" w:sz="4" w:space="0" w:color="auto"/>
              <w:left w:val="single" w:sz="4" w:space="0" w:color="auto"/>
              <w:bottom w:val="single" w:sz="4" w:space="0" w:color="auto"/>
              <w:right w:val="single" w:sz="4" w:space="0" w:color="auto"/>
            </w:tcBorders>
          </w:tcPr>
          <w:p w14:paraId="2B29A7A7" w14:textId="77777777" w:rsidR="008C5104" w:rsidRPr="007E46C9" w:rsidRDefault="008C5104" w:rsidP="008C5104">
            <w:pPr>
              <w:spacing w:after="60"/>
              <w:rPr>
                <w:iCs/>
                <w:sz w:val="20"/>
              </w:rPr>
            </w:pPr>
            <w:r w:rsidRPr="007E46C9">
              <w:rPr>
                <w:iCs/>
                <w:sz w:val="20"/>
              </w:rPr>
              <w:t xml:space="preserve">RUFQAMTQSETOT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78117540"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0CC124F" w14:textId="77777777" w:rsidR="008C5104" w:rsidRPr="007E46C9" w:rsidRDefault="008C5104" w:rsidP="008C5104">
            <w:pPr>
              <w:spacing w:after="60"/>
              <w:rPr>
                <w:i/>
                <w:iCs/>
                <w:sz w:val="20"/>
              </w:rPr>
            </w:pPr>
            <w:r w:rsidRPr="007E46C9">
              <w:rPr>
                <w:i/>
                <w:iCs/>
                <w:sz w:val="20"/>
              </w:rPr>
              <w:t>Reg-Up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Reg-Up, for the hour.</w:t>
            </w:r>
          </w:p>
        </w:tc>
      </w:tr>
      <w:tr w:rsidR="008C5104" w:rsidRPr="007E46C9" w14:paraId="74FB316F" w14:textId="77777777" w:rsidTr="008C5104">
        <w:tc>
          <w:tcPr>
            <w:tcW w:w="1315" w:type="pct"/>
            <w:tcBorders>
              <w:top w:val="single" w:sz="4" w:space="0" w:color="auto"/>
              <w:left w:val="single" w:sz="4" w:space="0" w:color="auto"/>
              <w:bottom w:val="single" w:sz="4" w:space="0" w:color="auto"/>
              <w:right w:val="single" w:sz="4" w:space="0" w:color="auto"/>
            </w:tcBorders>
          </w:tcPr>
          <w:p w14:paraId="242258CA" w14:textId="77777777" w:rsidR="008C5104" w:rsidRPr="007E46C9" w:rsidRDefault="008C5104" w:rsidP="008C5104">
            <w:pPr>
              <w:spacing w:after="60"/>
              <w:rPr>
                <w:iCs/>
                <w:sz w:val="20"/>
              </w:rPr>
            </w:pPr>
            <w:r w:rsidRPr="007E46C9">
              <w:rPr>
                <w:iCs/>
                <w:sz w:val="20"/>
              </w:rPr>
              <w:t xml:space="preserve">RTPCRUAMTQSETOT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4B50F21"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1124559" w14:textId="77777777" w:rsidR="008C5104" w:rsidRPr="007E46C9" w:rsidRDefault="008C5104" w:rsidP="008C5104">
            <w:pPr>
              <w:spacing w:after="60"/>
              <w:rPr>
                <w:iCs/>
                <w:sz w:val="20"/>
              </w:rPr>
            </w:pPr>
            <w:r w:rsidRPr="007E46C9">
              <w:rPr>
                <w:i/>
                <w:iCs/>
                <w:sz w:val="20"/>
              </w:rPr>
              <w:t>Procured Capacity for Reg-Up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Reg-Up, for the hour.</w:t>
            </w:r>
          </w:p>
        </w:tc>
      </w:tr>
      <w:tr w:rsidR="008C5104" w:rsidRPr="007E46C9" w14:paraId="243C8C2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63A461D0" w14:textId="77777777" w:rsidR="008C5104" w:rsidRPr="007E46C9" w:rsidRDefault="008C5104" w:rsidP="008C5104">
            <w:pPr>
              <w:spacing w:after="60"/>
              <w:rPr>
                <w:iCs/>
                <w:sz w:val="20"/>
              </w:rPr>
            </w:pPr>
            <w:r w:rsidRPr="007E46C9">
              <w:rPr>
                <w:iCs/>
                <w:sz w:val="20"/>
              </w:rPr>
              <w:t xml:space="preserve">PCRUAMT </w:t>
            </w:r>
            <w:r w:rsidRPr="007E46C9">
              <w:rPr>
                <w:i/>
                <w:iCs/>
                <w:sz w:val="20"/>
                <w:vertAlign w:val="subscript"/>
              </w:rPr>
              <w:t>q</w:t>
            </w:r>
          </w:p>
        </w:tc>
        <w:tc>
          <w:tcPr>
            <w:tcW w:w="326" w:type="pct"/>
          </w:tcPr>
          <w:p w14:paraId="34495762" w14:textId="77777777" w:rsidR="008C5104" w:rsidRPr="007E46C9" w:rsidRDefault="008C5104" w:rsidP="008C5104">
            <w:pPr>
              <w:spacing w:after="60"/>
              <w:rPr>
                <w:iCs/>
                <w:sz w:val="20"/>
              </w:rPr>
            </w:pPr>
            <w:r w:rsidRPr="007E46C9">
              <w:rPr>
                <w:iCs/>
                <w:sz w:val="20"/>
              </w:rPr>
              <w:t>$</w:t>
            </w:r>
          </w:p>
        </w:tc>
        <w:tc>
          <w:tcPr>
            <w:tcW w:w="3359" w:type="pct"/>
          </w:tcPr>
          <w:p w14:paraId="7CAA16E0" w14:textId="77777777" w:rsidR="008C5104" w:rsidRPr="007E46C9" w:rsidRDefault="008C5104" w:rsidP="008C5104">
            <w:pPr>
              <w:spacing w:after="60"/>
              <w:rPr>
                <w:iCs/>
                <w:sz w:val="20"/>
              </w:rPr>
            </w:pPr>
            <w:r w:rsidRPr="007E46C9">
              <w:rPr>
                <w:i/>
                <w:iCs/>
                <w:sz w:val="20"/>
              </w:rPr>
              <w:t>Procured Capacity for Reg-Up Amount per QSE in DAM</w:t>
            </w:r>
            <w:r w:rsidRPr="007E46C9">
              <w:rPr>
                <w:iCs/>
                <w:sz w:val="20"/>
              </w:rPr>
              <w:t xml:space="preserve">—The DAM Reg-Up payment for QSE </w:t>
            </w:r>
            <w:r w:rsidRPr="007E46C9">
              <w:rPr>
                <w:i/>
                <w:iCs/>
                <w:sz w:val="20"/>
              </w:rPr>
              <w:t>q</w:t>
            </w:r>
            <w:r w:rsidR="00EE4598" w:rsidRPr="007E46C9">
              <w:rPr>
                <w:iCs/>
                <w:sz w:val="20"/>
              </w:rPr>
              <w:t>,</w:t>
            </w:r>
            <w:r w:rsidRPr="007E46C9">
              <w:rPr>
                <w:iCs/>
                <w:sz w:val="20"/>
              </w:rPr>
              <w:t xml:space="preserve"> for the hour.</w:t>
            </w:r>
          </w:p>
        </w:tc>
      </w:tr>
      <w:tr w:rsidR="008C5104" w:rsidRPr="007E46C9" w14:paraId="026FAFC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1D8B876" w14:textId="77777777" w:rsidR="008C5104" w:rsidRPr="007E46C9" w:rsidRDefault="008C5104" w:rsidP="008C5104">
            <w:pPr>
              <w:spacing w:after="60"/>
              <w:rPr>
                <w:iCs/>
                <w:sz w:val="20"/>
              </w:rPr>
            </w:pPr>
            <w:r w:rsidRPr="00736C3C">
              <w:rPr>
                <w:sz w:val="20"/>
              </w:rPr>
              <w:t>RU</w:t>
            </w:r>
            <w:r>
              <w:rPr>
                <w:sz w:val="20"/>
              </w:rPr>
              <w:t>INF</w:t>
            </w:r>
            <w:r w:rsidRPr="00736C3C">
              <w:rPr>
                <w:sz w:val="20"/>
              </w:rPr>
              <w:t>QAMTTOT</w:t>
            </w:r>
          </w:p>
        </w:tc>
        <w:tc>
          <w:tcPr>
            <w:tcW w:w="326" w:type="pct"/>
          </w:tcPr>
          <w:p w14:paraId="322964FA" w14:textId="77777777" w:rsidR="008C5104" w:rsidRPr="007E46C9" w:rsidRDefault="008C5104" w:rsidP="008C5104">
            <w:pPr>
              <w:spacing w:after="60"/>
              <w:rPr>
                <w:iCs/>
                <w:sz w:val="20"/>
              </w:rPr>
            </w:pPr>
            <w:r>
              <w:rPr>
                <w:sz w:val="20"/>
              </w:rPr>
              <w:t>$</w:t>
            </w:r>
          </w:p>
        </w:tc>
        <w:tc>
          <w:tcPr>
            <w:tcW w:w="3359" w:type="pct"/>
          </w:tcPr>
          <w:p w14:paraId="7913AA0D" w14:textId="77777777" w:rsidR="008C5104" w:rsidRPr="007E46C9" w:rsidRDefault="008C5104" w:rsidP="008C5104">
            <w:pPr>
              <w:spacing w:after="60"/>
              <w:rPr>
                <w:i/>
                <w:iCs/>
                <w:sz w:val="20"/>
              </w:rPr>
            </w:pPr>
            <w:r w:rsidRPr="002F2E4C">
              <w:rPr>
                <w:i/>
                <w:sz w:val="20"/>
              </w:rPr>
              <w:t>Reg-Up Infeasible Quantity Amount</w:t>
            </w:r>
            <w:r>
              <w:rPr>
                <w:i/>
                <w:sz w:val="20"/>
              </w:rPr>
              <w:t xml:space="preserve"> Total </w:t>
            </w:r>
            <w:r w:rsidRPr="002F2E4C">
              <w:rPr>
                <w:i/>
                <w:sz w:val="20"/>
              </w:rPr>
              <w:t xml:space="preserve">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w:t>
            </w:r>
            <w:r>
              <w:rPr>
                <w:sz w:val="20"/>
              </w:rPr>
              <w:t>ry Service Supply Responsibilities</w:t>
            </w:r>
            <w:r w:rsidRPr="002F2E4C">
              <w:rPr>
                <w:sz w:val="20"/>
              </w:rPr>
              <w:t xml:space="preserve"> for Reg-Up, for the hour.</w:t>
            </w:r>
          </w:p>
        </w:tc>
      </w:tr>
      <w:tr w:rsidR="008C5104" w:rsidRPr="007E46C9" w14:paraId="1C236B6E"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11B662D9" w14:textId="77777777" w:rsidR="008C5104" w:rsidRPr="007E46C9" w:rsidRDefault="008C5104" w:rsidP="008C5104">
            <w:pPr>
              <w:spacing w:after="60"/>
              <w:rPr>
                <w:iCs/>
                <w:sz w:val="20"/>
              </w:rPr>
            </w:pPr>
            <w:r w:rsidRPr="00736C3C">
              <w:rPr>
                <w:sz w:val="20"/>
              </w:rPr>
              <w:t>RUINFQAMT</w:t>
            </w:r>
            <w:r>
              <w:rPr>
                <w:sz w:val="20"/>
              </w:rPr>
              <w:t xml:space="preserve"> </w:t>
            </w:r>
            <w:r w:rsidRPr="00E8083C">
              <w:rPr>
                <w:i/>
                <w:sz w:val="20"/>
                <w:vertAlign w:val="subscript"/>
              </w:rPr>
              <w:t>q</w:t>
            </w:r>
          </w:p>
        </w:tc>
        <w:tc>
          <w:tcPr>
            <w:tcW w:w="326" w:type="pct"/>
          </w:tcPr>
          <w:p w14:paraId="1CFAC93F" w14:textId="77777777" w:rsidR="008C5104" w:rsidRPr="007E46C9" w:rsidRDefault="008C5104" w:rsidP="008C5104">
            <w:pPr>
              <w:spacing w:after="60"/>
              <w:rPr>
                <w:iCs/>
                <w:sz w:val="20"/>
              </w:rPr>
            </w:pPr>
            <w:r>
              <w:rPr>
                <w:sz w:val="20"/>
              </w:rPr>
              <w:t>$</w:t>
            </w:r>
          </w:p>
        </w:tc>
        <w:tc>
          <w:tcPr>
            <w:tcW w:w="3359" w:type="pct"/>
          </w:tcPr>
          <w:p w14:paraId="5C073905" w14:textId="77777777" w:rsidR="008C5104" w:rsidRPr="007E46C9" w:rsidRDefault="008C5104" w:rsidP="008C5104">
            <w:pPr>
              <w:spacing w:after="60"/>
              <w:rPr>
                <w:i/>
                <w:iCs/>
                <w:sz w:val="20"/>
              </w:rPr>
            </w:pPr>
            <w:r w:rsidRPr="00736C3C">
              <w:rPr>
                <w:i/>
                <w:sz w:val="20"/>
              </w:rPr>
              <w:t>Reg-Up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 Service Supply Responsibilit</w:t>
            </w:r>
            <w:r>
              <w:rPr>
                <w:sz w:val="20"/>
              </w:rPr>
              <w:t>ies</w:t>
            </w:r>
            <w:r w:rsidRPr="00736C3C">
              <w:rPr>
                <w:sz w:val="20"/>
              </w:rPr>
              <w:t xml:space="preserve"> for Reg-Up, for the hour</w:t>
            </w:r>
            <w:r w:rsidRPr="003B731C">
              <w:t>.</w:t>
            </w:r>
          </w:p>
        </w:tc>
      </w:tr>
      <w:tr w:rsidR="008C5104" w:rsidRPr="007E46C9" w14:paraId="28102B8D" w14:textId="77777777" w:rsidTr="008C5104">
        <w:tc>
          <w:tcPr>
            <w:tcW w:w="1315" w:type="pct"/>
            <w:tcBorders>
              <w:top w:val="single" w:sz="4" w:space="0" w:color="auto"/>
              <w:left w:val="single" w:sz="4" w:space="0" w:color="auto"/>
              <w:bottom w:val="single" w:sz="4" w:space="0" w:color="auto"/>
              <w:right w:val="single" w:sz="4" w:space="0" w:color="auto"/>
            </w:tcBorders>
          </w:tcPr>
          <w:p w14:paraId="15DD230B" w14:textId="77777777" w:rsidR="008C5104" w:rsidRPr="007E46C9" w:rsidRDefault="008C5104" w:rsidP="008C5104">
            <w:pPr>
              <w:spacing w:after="60"/>
              <w:rPr>
                <w:sz w:val="20"/>
              </w:rPr>
            </w:pPr>
            <w:r w:rsidRPr="007E46C9">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5F962CCB" w14:textId="77777777" w:rsidR="008C5104" w:rsidRPr="007E46C9" w:rsidRDefault="008C5104" w:rsidP="008C5104">
            <w:pPr>
              <w:spacing w:after="60"/>
              <w:rPr>
                <w:sz w:val="20"/>
              </w:rPr>
            </w:pPr>
            <w:r w:rsidRPr="007E46C9">
              <w:rPr>
                <w:sz w:val="20"/>
              </w:rPr>
              <w:t>$</w:t>
            </w:r>
          </w:p>
        </w:tc>
        <w:tc>
          <w:tcPr>
            <w:tcW w:w="3359" w:type="pct"/>
            <w:tcBorders>
              <w:top w:val="single" w:sz="4" w:space="0" w:color="auto"/>
              <w:left w:val="single" w:sz="4" w:space="0" w:color="auto"/>
              <w:bottom w:val="single" w:sz="4" w:space="0" w:color="auto"/>
              <w:right w:val="single" w:sz="4" w:space="0" w:color="auto"/>
            </w:tcBorders>
          </w:tcPr>
          <w:p w14:paraId="1F4152BF" w14:textId="77777777" w:rsidR="008C5104" w:rsidRPr="007E46C9" w:rsidRDefault="008C5104" w:rsidP="008C5104">
            <w:pPr>
              <w:spacing w:after="60"/>
              <w:rPr>
                <w:sz w:val="20"/>
              </w:rPr>
            </w:pPr>
            <w:r w:rsidRPr="007E46C9">
              <w:rPr>
                <w:i/>
                <w:sz w:val="20"/>
              </w:rPr>
              <w:t>Procured Capacity for Reg-Up Amount Total in DAM</w:t>
            </w:r>
            <w:r w:rsidRPr="007E46C9">
              <w:rPr>
                <w:sz w:val="20"/>
              </w:rPr>
              <w:t>—The total of the DAM Reg-Up payments for all QSEs</w:t>
            </w:r>
            <w:r w:rsidR="00EE4598" w:rsidRPr="007E46C9">
              <w:rPr>
                <w:iCs/>
                <w:sz w:val="20"/>
              </w:rPr>
              <w:t>,</w:t>
            </w:r>
            <w:r w:rsidRPr="007E46C9">
              <w:rPr>
                <w:sz w:val="20"/>
              </w:rPr>
              <w:t xml:space="preserve"> for the hour.</w:t>
            </w:r>
          </w:p>
        </w:tc>
      </w:tr>
      <w:tr w:rsidR="008C5104" w:rsidRPr="007E46C9" w14:paraId="265DAE73" w14:textId="77777777" w:rsidTr="008C5104">
        <w:tc>
          <w:tcPr>
            <w:tcW w:w="1315" w:type="pct"/>
            <w:tcBorders>
              <w:top w:val="single" w:sz="4" w:space="0" w:color="auto"/>
              <w:left w:val="single" w:sz="4" w:space="0" w:color="auto"/>
              <w:bottom w:val="single" w:sz="4" w:space="0" w:color="auto"/>
              <w:right w:val="single" w:sz="4" w:space="0" w:color="auto"/>
            </w:tcBorders>
          </w:tcPr>
          <w:p w14:paraId="0F63829D" w14:textId="77777777" w:rsidR="008C5104" w:rsidRPr="007E46C9" w:rsidRDefault="008C5104" w:rsidP="008C5104">
            <w:pPr>
              <w:spacing w:after="60"/>
              <w:rPr>
                <w:i/>
                <w:iCs/>
                <w:sz w:val="20"/>
              </w:rPr>
            </w:pPr>
            <w:r w:rsidRPr="007E46C9">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779671F6"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19EDBA8" w14:textId="77777777" w:rsidR="008C5104" w:rsidRPr="007E46C9" w:rsidRDefault="008C5104" w:rsidP="008C5104">
            <w:pPr>
              <w:spacing w:after="60"/>
              <w:rPr>
                <w:iCs/>
                <w:sz w:val="20"/>
              </w:rPr>
            </w:pPr>
            <w:r w:rsidRPr="007E46C9">
              <w:rPr>
                <w:iCs/>
                <w:sz w:val="20"/>
              </w:rPr>
              <w:t>A QSE.</w:t>
            </w:r>
          </w:p>
        </w:tc>
      </w:tr>
      <w:tr w:rsidR="008C5104" w:rsidRPr="007E46C9" w14:paraId="2B7F33A9" w14:textId="77777777" w:rsidTr="008C5104">
        <w:tc>
          <w:tcPr>
            <w:tcW w:w="1315" w:type="pct"/>
            <w:tcBorders>
              <w:top w:val="single" w:sz="4" w:space="0" w:color="auto"/>
              <w:left w:val="single" w:sz="4" w:space="0" w:color="auto"/>
              <w:bottom w:val="single" w:sz="4" w:space="0" w:color="auto"/>
              <w:right w:val="single" w:sz="4" w:space="0" w:color="auto"/>
            </w:tcBorders>
          </w:tcPr>
          <w:p w14:paraId="72FA3343" w14:textId="77777777" w:rsidR="008C5104" w:rsidRPr="007E46C9" w:rsidRDefault="008C5104" w:rsidP="008C5104">
            <w:pPr>
              <w:spacing w:after="60"/>
              <w:rPr>
                <w:i/>
                <w:iCs/>
                <w:sz w:val="20"/>
              </w:rPr>
            </w:pPr>
            <w:r w:rsidRPr="007E46C9">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038D881B"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7AB2389"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49ED9BA8"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A4849" w14:paraId="4DDBE6A9" w14:textId="77777777" w:rsidTr="002A7BFB">
        <w:trPr>
          <w:trHeight w:val="1547"/>
        </w:trPr>
        <w:tc>
          <w:tcPr>
            <w:tcW w:w="9576" w:type="dxa"/>
            <w:shd w:val="pct12" w:color="auto" w:fill="auto"/>
          </w:tcPr>
          <w:p w14:paraId="3B795DE3" w14:textId="77777777" w:rsidR="004A4849" w:rsidRDefault="004A4849" w:rsidP="002A7BFB">
            <w:pPr>
              <w:pStyle w:val="Instructions"/>
              <w:spacing w:before="120"/>
            </w:pPr>
            <w:r>
              <w:t>[NPRR841:  Replace paragraph (a) above with the following upon system implementation:]</w:t>
            </w:r>
          </w:p>
          <w:p w14:paraId="3A13AFD9" w14:textId="77777777" w:rsidR="004A4849" w:rsidRPr="00E5030A" w:rsidRDefault="004A4849" w:rsidP="004A4849">
            <w:pPr>
              <w:spacing w:after="240"/>
              <w:ind w:left="1440" w:hanging="720"/>
            </w:pPr>
            <w:r w:rsidRPr="00E5030A">
              <w:t>(a)</w:t>
            </w:r>
            <w:r w:rsidRPr="00E5030A">
              <w:tab/>
              <w:t>The net total costs for Reg-Up for a given Operating Hour is calculated as follows:</w:t>
            </w:r>
          </w:p>
          <w:p w14:paraId="204DDE44" w14:textId="1D3999BA" w:rsidR="004A4849" w:rsidRPr="00E5030A" w:rsidRDefault="004A4849" w:rsidP="004A4849">
            <w:pPr>
              <w:spacing w:after="120"/>
              <w:ind w:left="2880" w:hanging="2160"/>
              <w:rPr>
                <w:b/>
                <w:bCs/>
              </w:rPr>
            </w:pPr>
            <w:r w:rsidRPr="00E5030A">
              <w:rPr>
                <w:b/>
                <w:bCs/>
              </w:rPr>
              <w:t>RUCOSTTOT</w:t>
            </w:r>
            <w:r w:rsidRPr="00E5030A">
              <w:rPr>
                <w:b/>
                <w:bCs/>
              </w:rPr>
              <w:tab/>
              <w:t>=</w:t>
            </w:r>
            <w:r w:rsidRPr="00E5030A">
              <w:rPr>
                <w:b/>
                <w:bCs/>
              </w:rPr>
              <w:tab/>
              <w:t>(-1) * (</w:t>
            </w:r>
            <w:r w:rsidR="00A94020">
              <w:rPr>
                <w:b/>
                <w:bCs/>
                <w:noProof/>
                <w:position w:val="-20"/>
              </w:rPr>
              <w:drawing>
                <wp:inline distT="0" distB="0" distL="0" distR="0" wp14:anchorId="66F586E8" wp14:editId="2FC1146E">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(RTPCRUAMTTOT </w:t>
            </w:r>
            <w:r w:rsidRPr="00E5030A">
              <w:rPr>
                <w:b/>
                <w:bCs/>
                <w:i/>
                <w:vertAlign w:val="subscript"/>
              </w:rPr>
              <w:t>m</w:t>
            </w:r>
            <w:r w:rsidRPr="00E5030A">
              <w:rPr>
                <w:b/>
                <w:bCs/>
              </w:rPr>
              <w:t xml:space="preserve">) + </w:t>
            </w:r>
            <w:r w:rsidRPr="00E5030A">
              <w:rPr>
                <w:b/>
                <w:bCs/>
              </w:rPr>
              <w:tab/>
            </w:r>
            <w:r w:rsidRPr="00E5030A">
              <w:rPr>
                <w:b/>
                <w:bCs/>
              </w:rPr>
              <w:tab/>
            </w:r>
            <w:r w:rsidRPr="00E5030A">
              <w:rPr>
                <w:b/>
                <w:bCs/>
              </w:rPr>
              <w:tab/>
              <w:t>PCRUAMTTOT</w:t>
            </w:r>
            <w:r w:rsidRPr="00E5030A">
              <w:rPr>
                <w:b/>
                <w:bCs/>
                <w:i/>
                <w:vertAlign w:val="subscript"/>
              </w:rPr>
              <w:t xml:space="preserve"> </w:t>
            </w:r>
            <w:r w:rsidRPr="00E5030A">
              <w:rPr>
                <w:b/>
                <w:bCs/>
              </w:rPr>
              <w:t xml:space="preserve"> + RUFQAMTTOT + </w:t>
            </w:r>
          </w:p>
          <w:p w14:paraId="6654A6A6" w14:textId="77777777" w:rsidR="004A4849" w:rsidRPr="00E5030A" w:rsidRDefault="004A4849" w:rsidP="004A4849">
            <w:pPr>
              <w:spacing w:after="240"/>
              <w:ind w:left="2880" w:firstLine="720"/>
              <w:rPr>
                <w:b/>
                <w:bCs/>
              </w:rPr>
            </w:pPr>
            <w:r w:rsidRPr="00E5030A">
              <w:rPr>
                <w:b/>
                <w:bCs/>
              </w:rPr>
              <w:lastRenderedPageBreak/>
              <w:t>RUINFQAMTTOT</w:t>
            </w:r>
            <w:r w:rsidRPr="003675AD">
              <w:rPr>
                <w:b/>
                <w:bCs/>
              </w:rPr>
              <w:t xml:space="preserve"> + </w:t>
            </w:r>
            <w:r w:rsidRPr="003675AD">
              <w:rPr>
                <w:b/>
                <w:color w:val="000000"/>
              </w:rPr>
              <w:t>RUMWINFATOT</w:t>
            </w:r>
            <w:r w:rsidRPr="00E5030A">
              <w:rPr>
                <w:b/>
                <w:bCs/>
              </w:rPr>
              <w:t>)</w:t>
            </w:r>
          </w:p>
          <w:p w14:paraId="588A273D" w14:textId="77777777" w:rsidR="004A4849" w:rsidRPr="00E5030A" w:rsidRDefault="004A4849" w:rsidP="004A4849">
            <w:pPr>
              <w:spacing w:after="240"/>
              <w:rPr>
                <w:iCs/>
              </w:rPr>
            </w:pPr>
            <w:r w:rsidRPr="00E5030A">
              <w:rPr>
                <w:iCs/>
              </w:rPr>
              <w:t xml:space="preserve">Where: </w:t>
            </w:r>
          </w:p>
          <w:p w14:paraId="47102F71" w14:textId="77777777" w:rsidR="004A4849" w:rsidRPr="00E5030A" w:rsidRDefault="004A4849" w:rsidP="004A4849">
            <w:r w:rsidRPr="00E5030A">
              <w:t>Total payment of SASM- and RSASM-procured capacity for Reg-Up by market</w:t>
            </w:r>
          </w:p>
          <w:p w14:paraId="52F8EB8D" w14:textId="66F034F8" w:rsidR="004A4849" w:rsidRPr="00E5030A" w:rsidRDefault="004A4849" w:rsidP="004A4849">
            <w:pPr>
              <w:spacing w:after="240"/>
              <w:ind w:leftChars="300" w:left="2880" w:hangingChars="900" w:hanging="2160"/>
              <w:rPr>
                <w:bCs/>
                <w:i/>
                <w:vertAlign w:val="subscript"/>
              </w:rPr>
            </w:pPr>
            <w:r w:rsidRPr="00E5030A">
              <w:rPr>
                <w:bCs/>
              </w:rPr>
              <w:t xml:space="preserve">RTPCRUAMTTOT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74455722" wp14:editId="0C6056D7">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RTPCRUAMT </w:t>
            </w:r>
            <w:r w:rsidRPr="00E5030A">
              <w:rPr>
                <w:bCs/>
                <w:i/>
                <w:vertAlign w:val="subscript"/>
              </w:rPr>
              <w:t xml:space="preserve">q, m </w:t>
            </w:r>
          </w:p>
          <w:p w14:paraId="32715079" w14:textId="77777777" w:rsidR="004A4849" w:rsidRPr="00E5030A" w:rsidRDefault="004A4849" w:rsidP="004A4849">
            <w:r w:rsidRPr="00E5030A">
              <w:t>Total payment of DAM-procured capacity for Reg-Up</w:t>
            </w:r>
          </w:p>
          <w:p w14:paraId="4028FA0A" w14:textId="0D7450A4" w:rsidR="004A4849" w:rsidRPr="00E5030A" w:rsidRDefault="004A4849" w:rsidP="004A4849">
            <w:pPr>
              <w:spacing w:after="240"/>
              <w:ind w:leftChars="300" w:left="2880" w:hangingChars="900" w:hanging="2160"/>
              <w:rPr>
                <w:bCs/>
              </w:rPr>
            </w:pPr>
            <w:r w:rsidRPr="00E5030A">
              <w:rPr>
                <w:bCs/>
              </w:rPr>
              <w:t>PCRUAMTTOT</w:t>
            </w:r>
            <w:r w:rsidRPr="00E5030A">
              <w:rPr>
                <w:bCs/>
              </w:rPr>
              <w:tab/>
            </w:r>
            <w:r w:rsidRPr="00E5030A">
              <w:rPr>
                <w:bCs/>
              </w:rPr>
              <w:tab/>
              <w:t>=</w:t>
            </w:r>
            <w:r w:rsidRPr="00E5030A">
              <w:rPr>
                <w:bCs/>
              </w:rPr>
              <w:tab/>
            </w:r>
            <w:r w:rsidR="00A94020">
              <w:rPr>
                <w:bCs/>
                <w:noProof/>
                <w:position w:val="-22"/>
              </w:rPr>
              <w:drawing>
                <wp:inline distT="0" distB="0" distL="0" distR="0" wp14:anchorId="232C9FED" wp14:editId="779E42C4">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PCRUAMT </w:t>
            </w:r>
            <w:r w:rsidRPr="00E5030A">
              <w:rPr>
                <w:bCs/>
                <w:i/>
                <w:vertAlign w:val="subscript"/>
              </w:rPr>
              <w:t>q</w:t>
            </w:r>
          </w:p>
          <w:p w14:paraId="7F0D216E" w14:textId="77777777" w:rsidR="004A4849" w:rsidRPr="00E5030A" w:rsidRDefault="004A4849" w:rsidP="004A4849">
            <w:r w:rsidRPr="00E5030A">
              <w:t>Total charge of failure on Ancillary Service Supply Responsibility for Reg-Up</w:t>
            </w:r>
          </w:p>
          <w:p w14:paraId="35C863F6" w14:textId="5BB9DA3A" w:rsidR="004A4849" w:rsidRPr="00E5030A" w:rsidRDefault="004A4849" w:rsidP="004A4849">
            <w:pPr>
              <w:spacing w:after="240"/>
              <w:ind w:leftChars="300" w:left="2880" w:hangingChars="900" w:hanging="2160"/>
              <w:rPr>
                <w:bCs/>
                <w:i/>
                <w:vertAlign w:val="subscript"/>
              </w:rPr>
            </w:pPr>
            <w:r w:rsidRPr="00E5030A">
              <w:rPr>
                <w:bCs/>
              </w:rPr>
              <w:t>RUFQAMTTOT</w:t>
            </w:r>
            <w:r w:rsidRPr="00E5030A">
              <w:rPr>
                <w:bCs/>
              </w:rPr>
              <w:tab/>
            </w:r>
            <w:r w:rsidRPr="00E5030A">
              <w:rPr>
                <w:bCs/>
              </w:rPr>
              <w:tab/>
              <w:t>=</w:t>
            </w:r>
            <w:r w:rsidRPr="00E5030A">
              <w:rPr>
                <w:bCs/>
              </w:rPr>
              <w:tab/>
            </w:r>
            <w:r w:rsidR="00A94020">
              <w:rPr>
                <w:bCs/>
                <w:noProof/>
                <w:position w:val="-22"/>
              </w:rPr>
              <w:drawing>
                <wp:inline distT="0" distB="0" distL="0" distR="0" wp14:anchorId="02000238" wp14:editId="65828875">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RUFQAMTQSETOT </w:t>
            </w:r>
            <w:r w:rsidRPr="00E5030A">
              <w:rPr>
                <w:bCs/>
                <w:i/>
                <w:vertAlign w:val="subscript"/>
              </w:rPr>
              <w:t>q</w:t>
            </w:r>
          </w:p>
          <w:p w14:paraId="63AF9687" w14:textId="77777777" w:rsidR="004A4849" w:rsidRPr="00E5030A" w:rsidRDefault="004A4849" w:rsidP="004A4849">
            <w:pPr>
              <w:tabs>
                <w:tab w:val="left" w:pos="2160"/>
                <w:tab w:val="left" w:pos="2880"/>
              </w:tabs>
              <w:ind w:left="300" w:hangingChars="125" w:hanging="300"/>
              <w:rPr>
                <w:bCs/>
              </w:rPr>
            </w:pPr>
            <w:r w:rsidRPr="00E5030A">
              <w:rPr>
                <w:bCs/>
              </w:rPr>
              <w:t>Total payment of SASM- and RSASM-procured capacity for Reg-Up by QSE</w:t>
            </w:r>
          </w:p>
          <w:p w14:paraId="622EA1CA" w14:textId="10AE8297" w:rsidR="004A4849" w:rsidRPr="00E5030A" w:rsidRDefault="004A4849" w:rsidP="004A4849">
            <w:pPr>
              <w:spacing w:after="240"/>
              <w:ind w:leftChars="300" w:left="2880" w:hangingChars="900" w:hanging="2160"/>
              <w:rPr>
                <w:bCs/>
              </w:rPr>
            </w:pPr>
            <w:r w:rsidRPr="00E5030A">
              <w:rPr>
                <w:bCs/>
              </w:rPr>
              <w:t xml:space="preserve">RTPCRUAMTQSETOT </w:t>
            </w:r>
            <w:r w:rsidRPr="00E5030A">
              <w:rPr>
                <w:bCs/>
                <w:i/>
                <w:vertAlign w:val="subscript"/>
              </w:rPr>
              <w:t>q</w:t>
            </w:r>
            <w:r w:rsidRPr="00E5030A">
              <w:rPr>
                <w:bCs/>
              </w:rPr>
              <w:tab/>
              <w:t>=</w:t>
            </w:r>
            <w:r w:rsidRPr="00E5030A">
              <w:rPr>
                <w:bCs/>
              </w:rPr>
              <w:tab/>
            </w:r>
            <w:r w:rsidR="00A94020">
              <w:rPr>
                <w:bCs/>
                <w:noProof/>
                <w:position w:val="-20"/>
              </w:rPr>
              <w:drawing>
                <wp:inline distT="0" distB="0" distL="0" distR="0" wp14:anchorId="5561DDE2" wp14:editId="7C8B8D09">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RTPCRUAMT </w:t>
            </w:r>
            <w:r w:rsidRPr="00E5030A">
              <w:rPr>
                <w:bCs/>
                <w:i/>
                <w:vertAlign w:val="subscript"/>
              </w:rPr>
              <w:t>q, m</w:t>
            </w:r>
          </w:p>
          <w:p w14:paraId="3201C00A" w14:textId="77777777" w:rsidR="004A4849" w:rsidRPr="00E5030A" w:rsidRDefault="004A4849" w:rsidP="004A4849">
            <w:r w:rsidRPr="00E5030A">
              <w:t>Total charge of infeasible Ancillary Service Supply Responsibility for Reg-Up</w:t>
            </w:r>
          </w:p>
          <w:p w14:paraId="08310A91" w14:textId="55434736" w:rsidR="004A4849" w:rsidRPr="00E5030A" w:rsidRDefault="004A4849" w:rsidP="004A4849">
            <w:pPr>
              <w:spacing w:after="240"/>
              <w:ind w:left="2880" w:hanging="2160"/>
            </w:pPr>
            <w:r w:rsidRPr="00E5030A">
              <w:t>RUINFQAMTTOT</w:t>
            </w:r>
            <w:r w:rsidRPr="00E5030A">
              <w:tab/>
              <w:t>=</w:t>
            </w:r>
            <w:r w:rsidRPr="00E5030A">
              <w:tab/>
            </w:r>
            <w:r w:rsidR="00A94020">
              <w:rPr>
                <w:noProof/>
                <w:position w:val="-22"/>
              </w:rPr>
              <w:drawing>
                <wp:inline distT="0" distB="0" distL="0" distR="0" wp14:anchorId="268A0225" wp14:editId="26DF0804">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RUINFQAMT </w:t>
            </w:r>
            <w:r w:rsidRPr="00E5030A">
              <w:rPr>
                <w:i/>
                <w:vertAlign w:val="subscript"/>
              </w:rPr>
              <w:t>q</w:t>
            </w:r>
          </w:p>
          <w:p w14:paraId="5C6F025D" w14:textId="77777777" w:rsidR="004A4849" w:rsidRDefault="004A4849" w:rsidP="00065EC3">
            <w:pPr>
              <w:pStyle w:val="Formula"/>
              <w:ind w:leftChars="9" w:left="322" w:hangingChars="125" w:hanging="300"/>
            </w:pPr>
            <w:r>
              <w:t>Total Real-Time DAM Make-Whole Payment for Reg-Up</w:t>
            </w:r>
          </w:p>
          <w:p w14:paraId="29BA91A3" w14:textId="77777777" w:rsidR="004A4849" w:rsidRDefault="004A4849" w:rsidP="004A4849">
            <w:pPr>
              <w:spacing w:after="240"/>
              <w:ind w:left="2880" w:hanging="2160"/>
            </w:pPr>
            <w:r w:rsidRPr="00E5030A">
              <w:t>RUMWINFATOT</w:t>
            </w:r>
            <w:r>
              <w:tab/>
              <w:t>=</w:t>
            </w:r>
            <w:r>
              <w:tab/>
            </w:r>
            <w:r w:rsidRPr="004C0093">
              <w:rPr>
                <w:position w:val="-22"/>
                <w:lang w:val="pt-BR"/>
              </w:rPr>
              <w:object w:dxaOrig="220" w:dyaOrig="460" w14:anchorId="17810429">
                <v:shape id="_x0000_i1349" type="#_x0000_t75" style="width:12pt;height:18pt" o:ole="">
                  <v:imagedata r:id="rId434" o:title=""/>
                </v:shape>
                <o:OLEObject Type="Embed" ProgID="Equation.3" ShapeID="_x0000_i1349" DrawAspect="Content" ObjectID="_1804653832" r:id="rId435"/>
              </w:object>
            </w:r>
            <w:r w:rsidRPr="00627431">
              <w:rPr>
                <w:color w:val="000000"/>
              </w:rPr>
              <w:t xml:space="preserve"> </w:t>
            </w:r>
            <w:r>
              <w:rPr>
                <w:color w:val="000000"/>
              </w:rPr>
              <w:t xml:space="preserve">RUMWINFA </w:t>
            </w:r>
            <w:r>
              <w:rPr>
                <w:i/>
                <w:vertAlign w:val="subscript"/>
              </w:rPr>
              <w:t>q,</w:t>
            </w:r>
            <w:r w:rsidRPr="004C0093">
              <w:rPr>
                <w:i/>
                <w:vertAlign w:val="subscript"/>
              </w:rPr>
              <w:t xml:space="preserve"> h  </w:t>
            </w:r>
          </w:p>
          <w:p w14:paraId="7571EA9C" w14:textId="77777777" w:rsidR="004A4849" w:rsidRPr="00E5030A" w:rsidRDefault="004A4849" w:rsidP="004A4849">
            <w:r w:rsidRPr="00E5030A">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6A63DD" w:rsidRPr="00E5030A" w14:paraId="71242FA2" w14:textId="77777777" w:rsidTr="002A7BFB">
              <w:tc>
                <w:tcPr>
                  <w:tcW w:w="1315" w:type="pct"/>
                </w:tcPr>
                <w:p w14:paraId="2E425F0E" w14:textId="77777777" w:rsidR="006A63DD" w:rsidRPr="00E5030A" w:rsidRDefault="006A63DD" w:rsidP="006A63DD">
                  <w:pPr>
                    <w:spacing w:after="120"/>
                    <w:rPr>
                      <w:b/>
                      <w:iCs/>
                      <w:sz w:val="20"/>
                    </w:rPr>
                  </w:pPr>
                  <w:r w:rsidRPr="00E5030A">
                    <w:rPr>
                      <w:b/>
                      <w:iCs/>
                      <w:sz w:val="20"/>
                    </w:rPr>
                    <w:t>Variable</w:t>
                  </w:r>
                </w:p>
              </w:tc>
              <w:tc>
                <w:tcPr>
                  <w:tcW w:w="326" w:type="pct"/>
                </w:tcPr>
                <w:p w14:paraId="434563A5" w14:textId="77777777" w:rsidR="006A63DD" w:rsidRPr="00E5030A" w:rsidRDefault="006A63DD" w:rsidP="006A63DD">
                  <w:pPr>
                    <w:spacing w:after="120"/>
                    <w:rPr>
                      <w:b/>
                      <w:iCs/>
                      <w:sz w:val="20"/>
                    </w:rPr>
                  </w:pPr>
                  <w:r w:rsidRPr="00E5030A">
                    <w:rPr>
                      <w:b/>
                      <w:iCs/>
                      <w:sz w:val="20"/>
                    </w:rPr>
                    <w:t>Unit</w:t>
                  </w:r>
                </w:p>
              </w:tc>
              <w:tc>
                <w:tcPr>
                  <w:tcW w:w="3359" w:type="pct"/>
                </w:tcPr>
                <w:p w14:paraId="580C7653" w14:textId="77777777" w:rsidR="006A63DD" w:rsidRPr="00E5030A" w:rsidRDefault="006A63DD" w:rsidP="006A63DD">
                  <w:pPr>
                    <w:spacing w:after="120"/>
                    <w:rPr>
                      <w:b/>
                      <w:iCs/>
                      <w:sz w:val="20"/>
                    </w:rPr>
                  </w:pPr>
                  <w:r w:rsidRPr="00E5030A">
                    <w:rPr>
                      <w:b/>
                      <w:iCs/>
                      <w:sz w:val="20"/>
                    </w:rPr>
                    <w:t>Description</w:t>
                  </w:r>
                </w:p>
              </w:tc>
            </w:tr>
            <w:tr w:rsidR="006A63DD" w:rsidRPr="00E5030A" w14:paraId="7DC5F6B3" w14:textId="77777777" w:rsidTr="002A7BFB">
              <w:tc>
                <w:tcPr>
                  <w:tcW w:w="1315" w:type="pct"/>
                </w:tcPr>
                <w:p w14:paraId="14443FC2" w14:textId="77777777" w:rsidR="006A63DD" w:rsidRPr="00E5030A" w:rsidRDefault="006A63DD" w:rsidP="006A63DD">
                  <w:pPr>
                    <w:spacing w:after="60"/>
                    <w:rPr>
                      <w:iCs/>
                      <w:sz w:val="20"/>
                    </w:rPr>
                  </w:pPr>
                  <w:r w:rsidRPr="00E5030A">
                    <w:rPr>
                      <w:iCs/>
                      <w:sz w:val="20"/>
                    </w:rPr>
                    <w:t>RUCOSTTOT</w:t>
                  </w:r>
                </w:p>
              </w:tc>
              <w:tc>
                <w:tcPr>
                  <w:tcW w:w="326" w:type="pct"/>
                </w:tcPr>
                <w:p w14:paraId="194EAA27" w14:textId="77777777" w:rsidR="006A63DD" w:rsidRPr="00E5030A" w:rsidRDefault="006A63DD" w:rsidP="006A63DD">
                  <w:pPr>
                    <w:spacing w:after="60"/>
                    <w:rPr>
                      <w:iCs/>
                      <w:sz w:val="20"/>
                    </w:rPr>
                  </w:pPr>
                  <w:r w:rsidRPr="00E5030A">
                    <w:rPr>
                      <w:iCs/>
                      <w:sz w:val="20"/>
                    </w:rPr>
                    <w:t>$</w:t>
                  </w:r>
                </w:p>
              </w:tc>
              <w:tc>
                <w:tcPr>
                  <w:tcW w:w="3359" w:type="pct"/>
                </w:tcPr>
                <w:p w14:paraId="79E2683D" w14:textId="77777777" w:rsidR="006A63DD" w:rsidRPr="00E5030A" w:rsidRDefault="006A63DD" w:rsidP="006A63DD">
                  <w:pPr>
                    <w:spacing w:after="60"/>
                    <w:rPr>
                      <w:iCs/>
                      <w:sz w:val="20"/>
                    </w:rPr>
                  </w:pPr>
                  <w:r w:rsidRPr="00E5030A">
                    <w:rPr>
                      <w:i/>
                      <w:iCs/>
                      <w:sz w:val="20"/>
                    </w:rPr>
                    <w:t>Reg-Up Cost Total</w:t>
                  </w:r>
                  <w:r w:rsidRPr="00E5030A">
                    <w:rPr>
                      <w:iCs/>
                      <w:sz w:val="20"/>
                    </w:rPr>
                    <w:t>—The net total costs for Reg-Up for the hour.</w:t>
                  </w:r>
                </w:p>
              </w:tc>
            </w:tr>
            <w:tr w:rsidR="006A63DD" w:rsidRPr="00E5030A" w14:paraId="676A84A3" w14:textId="77777777" w:rsidTr="002A7BFB">
              <w:tc>
                <w:tcPr>
                  <w:tcW w:w="1315" w:type="pct"/>
                  <w:tcBorders>
                    <w:top w:val="single" w:sz="4" w:space="0" w:color="auto"/>
                    <w:left w:val="single" w:sz="4" w:space="0" w:color="auto"/>
                    <w:bottom w:val="single" w:sz="4" w:space="0" w:color="auto"/>
                    <w:right w:val="single" w:sz="4" w:space="0" w:color="auto"/>
                  </w:tcBorders>
                </w:tcPr>
                <w:p w14:paraId="2E962BB0" w14:textId="77777777" w:rsidR="006A63DD" w:rsidRPr="00E5030A" w:rsidRDefault="006A63DD" w:rsidP="006A63DD">
                  <w:pPr>
                    <w:spacing w:after="60"/>
                    <w:rPr>
                      <w:iCs/>
                      <w:sz w:val="20"/>
                    </w:rPr>
                  </w:pPr>
                  <w:r w:rsidRPr="00E5030A">
                    <w:rPr>
                      <w:iCs/>
                      <w:sz w:val="20"/>
                    </w:rPr>
                    <w:t xml:space="preserve">RTPCRUAMTTOT </w:t>
                  </w:r>
                  <w:r w:rsidRPr="00E5030A">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5216BFC0"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C70729" w14:textId="77777777" w:rsidR="006A63DD" w:rsidRPr="00E5030A" w:rsidRDefault="006A63DD" w:rsidP="006A63DD">
                  <w:pPr>
                    <w:spacing w:after="60"/>
                    <w:rPr>
                      <w:i/>
                      <w:iCs/>
                      <w:sz w:val="20"/>
                    </w:rPr>
                  </w:pPr>
                  <w:r w:rsidRPr="00E5030A">
                    <w:rPr>
                      <w:i/>
                      <w:iCs/>
                      <w:sz w:val="20"/>
                    </w:rPr>
                    <w:t>Procured Capacity for Reg-Up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Reg-Up, for the hour.</w:t>
                  </w:r>
                </w:p>
              </w:tc>
            </w:tr>
            <w:tr w:rsidR="006A63DD" w:rsidRPr="00E5030A" w14:paraId="5E830FF6" w14:textId="77777777" w:rsidTr="002A7BFB">
              <w:tc>
                <w:tcPr>
                  <w:tcW w:w="1315" w:type="pct"/>
                  <w:tcBorders>
                    <w:top w:val="single" w:sz="4" w:space="0" w:color="auto"/>
                    <w:left w:val="single" w:sz="4" w:space="0" w:color="auto"/>
                    <w:bottom w:val="single" w:sz="4" w:space="0" w:color="auto"/>
                    <w:right w:val="single" w:sz="4" w:space="0" w:color="auto"/>
                  </w:tcBorders>
                </w:tcPr>
                <w:p w14:paraId="7C6F4BC2" w14:textId="77777777" w:rsidR="006A63DD" w:rsidRPr="009200FD" w:rsidRDefault="006A63DD" w:rsidP="006A63DD">
                  <w:pPr>
                    <w:spacing w:after="60"/>
                    <w:rPr>
                      <w:iCs/>
                      <w:sz w:val="20"/>
                    </w:rPr>
                  </w:pPr>
                  <w:r w:rsidRPr="0004464F">
                    <w:rPr>
                      <w:color w:val="000000"/>
                      <w:sz w:val="20"/>
                    </w:rPr>
                    <w:t>RUMWINFA</w:t>
                  </w:r>
                  <w:r w:rsidRPr="004C0093">
                    <w:rPr>
                      <w:color w:val="000000"/>
                      <w:sz w:val="20"/>
                    </w:rPr>
                    <w:t>TOT</w:t>
                  </w:r>
                  <w:r>
                    <w:rPr>
                      <w:i/>
                      <w:sz w:val="20"/>
                      <w:vertAlign w:val="subscript"/>
                    </w:rPr>
                    <w:t xml:space="preserve"> </w:t>
                  </w:r>
                </w:p>
              </w:tc>
              <w:tc>
                <w:tcPr>
                  <w:tcW w:w="326" w:type="pct"/>
                  <w:tcBorders>
                    <w:top w:val="single" w:sz="4" w:space="0" w:color="auto"/>
                    <w:left w:val="single" w:sz="4" w:space="0" w:color="auto"/>
                    <w:bottom w:val="single" w:sz="4" w:space="0" w:color="auto"/>
                    <w:right w:val="single" w:sz="4" w:space="0" w:color="auto"/>
                  </w:tcBorders>
                </w:tcPr>
                <w:p w14:paraId="54BA5CEB"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C8B7E90"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r w:rsidRPr="004C0093">
                    <w:rPr>
                      <w:sz w:val="20"/>
                    </w:rPr>
                    <w:t xml:space="preserve"> </w:t>
                  </w:r>
                </w:p>
              </w:tc>
            </w:tr>
            <w:tr w:rsidR="006A63DD" w:rsidRPr="00E5030A" w14:paraId="52573C50" w14:textId="77777777" w:rsidTr="002A7BFB">
              <w:tc>
                <w:tcPr>
                  <w:tcW w:w="1315" w:type="pct"/>
                  <w:tcBorders>
                    <w:top w:val="single" w:sz="4" w:space="0" w:color="auto"/>
                    <w:left w:val="single" w:sz="4" w:space="0" w:color="auto"/>
                    <w:bottom w:val="single" w:sz="4" w:space="0" w:color="auto"/>
                    <w:right w:val="single" w:sz="4" w:space="0" w:color="auto"/>
                  </w:tcBorders>
                </w:tcPr>
                <w:p w14:paraId="65082C4D" w14:textId="77777777" w:rsidR="006A63DD" w:rsidRPr="009200FD" w:rsidRDefault="006A63DD" w:rsidP="006A63DD">
                  <w:pPr>
                    <w:spacing w:after="60"/>
                    <w:rPr>
                      <w:iCs/>
                      <w:sz w:val="20"/>
                    </w:rPr>
                  </w:pPr>
                  <w:r w:rsidRPr="003530E3">
                    <w:rPr>
                      <w:color w:val="000000"/>
                      <w:sz w:val="20"/>
                    </w:rPr>
                    <w:t>RUMWINFA</w:t>
                  </w:r>
                  <w:r>
                    <w:rPr>
                      <w:color w:val="000000"/>
                      <w:sz w:val="20"/>
                    </w:rPr>
                    <w:t xml:space="preserve"> </w:t>
                  </w:r>
                  <w:r w:rsidRPr="004C0093">
                    <w:rPr>
                      <w:i/>
                      <w:sz w:val="20"/>
                      <w:vertAlign w:val="subscript"/>
                    </w:rPr>
                    <w:t>q</w:t>
                  </w:r>
                  <w:r>
                    <w:rPr>
                      <w:i/>
                      <w:sz w:val="20"/>
                      <w:vertAlign w:val="subscript"/>
                    </w:rPr>
                    <w:t>, h</w:t>
                  </w:r>
                </w:p>
              </w:tc>
              <w:tc>
                <w:tcPr>
                  <w:tcW w:w="326" w:type="pct"/>
                  <w:tcBorders>
                    <w:top w:val="single" w:sz="4" w:space="0" w:color="auto"/>
                    <w:left w:val="single" w:sz="4" w:space="0" w:color="auto"/>
                    <w:bottom w:val="single" w:sz="4" w:space="0" w:color="auto"/>
                    <w:right w:val="single" w:sz="4" w:space="0" w:color="auto"/>
                  </w:tcBorders>
                </w:tcPr>
                <w:p w14:paraId="0598814F"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6A5666D"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6A63DD" w:rsidRPr="00E5030A" w14:paraId="75DEA86A" w14:textId="77777777" w:rsidTr="002A7BFB">
              <w:tc>
                <w:tcPr>
                  <w:tcW w:w="1315" w:type="pct"/>
                  <w:tcBorders>
                    <w:top w:val="single" w:sz="4" w:space="0" w:color="auto"/>
                    <w:left w:val="single" w:sz="4" w:space="0" w:color="auto"/>
                    <w:bottom w:val="single" w:sz="4" w:space="0" w:color="auto"/>
                    <w:right w:val="single" w:sz="4" w:space="0" w:color="auto"/>
                  </w:tcBorders>
                </w:tcPr>
                <w:p w14:paraId="77B1A54C" w14:textId="77777777" w:rsidR="006A63DD" w:rsidRPr="00E5030A" w:rsidRDefault="006A63DD" w:rsidP="006A63DD">
                  <w:pPr>
                    <w:spacing w:after="60"/>
                    <w:rPr>
                      <w:iCs/>
                      <w:sz w:val="20"/>
                    </w:rPr>
                  </w:pPr>
                  <w:r w:rsidRPr="00E5030A">
                    <w:rPr>
                      <w:iCs/>
                      <w:sz w:val="20"/>
                    </w:rPr>
                    <w:t xml:space="preserve">RTPCRUAMT </w:t>
                  </w:r>
                  <w:r w:rsidRPr="00E5030A">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751F4573"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BB83BE5" w14:textId="77777777" w:rsidR="006A63DD" w:rsidRPr="00E5030A" w:rsidRDefault="006A63DD" w:rsidP="006A63DD">
                  <w:pPr>
                    <w:spacing w:after="60"/>
                    <w:rPr>
                      <w:i/>
                      <w:iCs/>
                      <w:sz w:val="20"/>
                    </w:rPr>
                  </w:pPr>
                  <w:r w:rsidRPr="00E5030A">
                    <w:rPr>
                      <w:i/>
                      <w:iCs/>
                      <w:sz w:val="20"/>
                    </w:rPr>
                    <w:t>Procured Capacity for Reg-Up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Reg-Up, for the hour.</w:t>
                  </w:r>
                </w:p>
              </w:tc>
            </w:tr>
            <w:tr w:rsidR="006A63DD" w:rsidRPr="00E5030A" w14:paraId="453A81BB" w14:textId="77777777" w:rsidTr="002A7BFB">
              <w:tc>
                <w:tcPr>
                  <w:tcW w:w="1315" w:type="pct"/>
                  <w:tcBorders>
                    <w:top w:val="single" w:sz="4" w:space="0" w:color="auto"/>
                    <w:left w:val="single" w:sz="4" w:space="0" w:color="auto"/>
                    <w:bottom w:val="single" w:sz="4" w:space="0" w:color="auto"/>
                    <w:right w:val="single" w:sz="4" w:space="0" w:color="auto"/>
                  </w:tcBorders>
                </w:tcPr>
                <w:p w14:paraId="79EFDDBF" w14:textId="77777777" w:rsidR="006A63DD" w:rsidRPr="00E5030A" w:rsidRDefault="006A63DD" w:rsidP="006A63DD">
                  <w:pPr>
                    <w:spacing w:after="60"/>
                    <w:rPr>
                      <w:iCs/>
                      <w:sz w:val="20"/>
                    </w:rPr>
                  </w:pPr>
                  <w:r w:rsidRPr="00E5030A">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021AD051"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9B66481" w14:textId="77777777" w:rsidR="006A63DD" w:rsidRPr="00E5030A" w:rsidRDefault="006A63DD" w:rsidP="006A63DD">
                  <w:pPr>
                    <w:spacing w:after="60"/>
                    <w:rPr>
                      <w:i/>
                      <w:iCs/>
                      <w:sz w:val="20"/>
                    </w:rPr>
                  </w:pPr>
                  <w:r w:rsidRPr="00E5030A">
                    <w:rPr>
                      <w:i/>
                      <w:iCs/>
                      <w:sz w:val="20"/>
                    </w:rPr>
                    <w:t>Reg-Up Failure Quantity Amount Total</w:t>
                  </w:r>
                  <w:r w:rsidRPr="00E5030A">
                    <w:rPr>
                      <w:iCs/>
                      <w:sz w:val="20"/>
                    </w:rPr>
                    <w:t>—The total charges to all QSEs for their capacity associated with failures and reconfiguration reductions on their Ancillary Service Supply Responsibilities for Reg-Up, for the hour.</w:t>
                  </w:r>
                </w:p>
              </w:tc>
            </w:tr>
            <w:tr w:rsidR="006A63DD" w:rsidRPr="00E5030A" w14:paraId="5E8B8DF9" w14:textId="77777777" w:rsidTr="002A7BFB">
              <w:tc>
                <w:tcPr>
                  <w:tcW w:w="1315" w:type="pct"/>
                  <w:tcBorders>
                    <w:top w:val="single" w:sz="4" w:space="0" w:color="auto"/>
                    <w:left w:val="single" w:sz="4" w:space="0" w:color="auto"/>
                    <w:bottom w:val="single" w:sz="4" w:space="0" w:color="auto"/>
                    <w:right w:val="single" w:sz="4" w:space="0" w:color="auto"/>
                  </w:tcBorders>
                </w:tcPr>
                <w:p w14:paraId="708FBDBE" w14:textId="77777777" w:rsidR="006A63DD" w:rsidRPr="00E5030A" w:rsidRDefault="006A63DD" w:rsidP="006A63DD">
                  <w:pPr>
                    <w:spacing w:after="60"/>
                    <w:rPr>
                      <w:iCs/>
                      <w:sz w:val="20"/>
                    </w:rPr>
                  </w:pPr>
                  <w:r w:rsidRPr="00E5030A">
                    <w:rPr>
                      <w:iCs/>
                      <w:sz w:val="20"/>
                    </w:rPr>
                    <w:lastRenderedPageBreak/>
                    <w:t xml:space="preserve">RUFQAMTQSETOT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56F27E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45B52FE" w14:textId="77777777" w:rsidR="006A63DD" w:rsidRPr="00E5030A" w:rsidRDefault="006A63DD" w:rsidP="006A63DD">
                  <w:pPr>
                    <w:spacing w:after="60"/>
                    <w:rPr>
                      <w:i/>
                      <w:iCs/>
                      <w:sz w:val="20"/>
                    </w:rPr>
                  </w:pPr>
                  <w:r w:rsidRPr="00E5030A">
                    <w:rPr>
                      <w:i/>
                      <w:iCs/>
                      <w:sz w:val="20"/>
                    </w:rPr>
                    <w:t>Reg-Up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Reg-Up, for the hour.</w:t>
                  </w:r>
                </w:p>
              </w:tc>
            </w:tr>
            <w:tr w:rsidR="006A63DD" w:rsidRPr="00E5030A" w14:paraId="222DCE8F" w14:textId="77777777" w:rsidTr="002A7BFB">
              <w:tc>
                <w:tcPr>
                  <w:tcW w:w="1315" w:type="pct"/>
                  <w:tcBorders>
                    <w:top w:val="single" w:sz="4" w:space="0" w:color="auto"/>
                    <w:left w:val="single" w:sz="4" w:space="0" w:color="auto"/>
                    <w:bottom w:val="single" w:sz="4" w:space="0" w:color="auto"/>
                    <w:right w:val="single" w:sz="4" w:space="0" w:color="auto"/>
                  </w:tcBorders>
                </w:tcPr>
                <w:p w14:paraId="2AD27009" w14:textId="77777777" w:rsidR="006A63DD" w:rsidRPr="00E5030A" w:rsidRDefault="006A63DD" w:rsidP="006A63DD">
                  <w:pPr>
                    <w:spacing w:after="60"/>
                    <w:rPr>
                      <w:iCs/>
                      <w:sz w:val="20"/>
                    </w:rPr>
                  </w:pPr>
                  <w:r w:rsidRPr="00E5030A">
                    <w:rPr>
                      <w:iCs/>
                      <w:sz w:val="20"/>
                    </w:rPr>
                    <w:t xml:space="preserve">RTPCRUAMTQSETOT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6620D64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14C9F0F6" w14:textId="77777777" w:rsidR="006A63DD" w:rsidRPr="00E5030A" w:rsidRDefault="006A63DD" w:rsidP="006A63DD">
                  <w:pPr>
                    <w:spacing w:after="60"/>
                    <w:rPr>
                      <w:iCs/>
                      <w:sz w:val="20"/>
                    </w:rPr>
                  </w:pPr>
                  <w:r w:rsidRPr="00E5030A">
                    <w:rPr>
                      <w:i/>
                      <w:iCs/>
                      <w:sz w:val="20"/>
                    </w:rPr>
                    <w:t>Procured Capacity for Reg-Up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Reg-Up, for the hour.</w:t>
                  </w:r>
                </w:p>
              </w:tc>
            </w:tr>
            <w:tr w:rsidR="006A63DD" w:rsidRPr="00E5030A" w14:paraId="743F9B91"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5259F879" w14:textId="77777777" w:rsidR="006A63DD" w:rsidRPr="00E5030A" w:rsidRDefault="006A63DD" w:rsidP="006A63DD">
                  <w:pPr>
                    <w:spacing w:after="60"/>
                    <w:rPr>
                      <w:iCs/>
                      <w:sz w:val="20"/>
                    </w:rPr>
                  </w:pPr>
                  <w:r w:rsidRPr="00E5030A">
                    <w:rPr>
                      <w:iCs/>
                      <w:sz w:val="20"/>
                    </w:rPr>
                    <w:t xml:space="preserve">PCRUAMT </w:t>
                  </w:r>
                  <w:r w:rsidRPr="00E5030A">
                    <w:rPr>
                      <w:i/>
                      <w:iCs/>
                      <w:sz w:val="20"/>
                      <w:vertAlign w:val="subscript"/>
                    </w:rPr>
                    <w:t>q</w:t>
                  </w:r>
                </w:p>
              </w:tc>
              <w:tc>
                <w:tcPr>
                  <w:tcW w:w="326" w:type="pct"/>
                </w:tcPr>
                <w:p w14:paraId="609E2075" w14:textId="77777777" w:rsidR="006A63DD" w:rsidRPr="00E5030A" w:rsidRDefault="006A63DD" w:rsidP="006A63DD">
                  <w:pPr>
                    <w:spacing w:after="60"/>
                    <w:rPr>
                      <w:iCs/>
                      <w:sz w:val="20"/>
                    </w:rPr>
                  </w:pPr>
                  <w:r w:rsidRPr="00E5030A">
                    <w:rPr>
                      <w:iCs/>
                      <w:sz w:val="20"/>
                    </w:rPr>
                    <w:t>$</w:t>
                  </w:r>
                </w:p>
              </w:tc>
              <w:tc>
                <w:tcPr>
                  <w:tcW w:w="3359" w:type="pct"/>
                </w:tcPr>
                <w:p w14:paraId="2D5014ED" w14:textId="77777777" w:rsidR="006A63DD" w:rsidRPr="00E5030A" w:rsidRDefault="006A63DD" w:rsidP="006A63DD">
                  <w:pPr>
                    <w:spacing w:after="60"/>
                    <w:rPr>
                      <w:iCs/>
                      <w:sz w:val="20"/>
                    </w:rPr>
                  </w:pPr>
                  <w:r w:rsidRPr="00E5030A">
                    <w:rPr>
                      <w:i/>
                      <w:iCs/>
                      <w:sz w:val="20"/>
                    </w:rPr>
                    <w:t>Procured Capacity for Reg-Up Amount per QSE in DAM</w:t>
                  </w:r>
                  <w:r w:rsidRPr="00E5030A">
                    <w:rPr>
                      <w:iCs/>
                      <w:sz w:val="20"/>
                    </w:rPr>
                    <w:t xml:space="preserve">—The DAM Reg-Up payment for QSE </w:t>
                  </w:r>
                  <w:r w:rsidRPr="00E5030A">
                    <w:rPr>
                      <w:i/>
                      <w:iCs/>
                      <w:sz w:val="20"/>
                    </w:rPr>
                    <w:t>q</w:t>
                  </w:r>
                  <w:r w:rsidRPr="00E5030A">
                    <w:rPr>
                      <w:iCs/>
                      <w:sz w:val="20"/>
                    </w:rPr>
                    <w:t>, for the hour.</w:t>
                  </w:r>
                </w:p>
              </w:tc>
            </w:tr>
            <w:tr w:rsidR="006A63DD" w:rsidRPr="00E5030A" w14:paraId="134DFB2A"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73FF0DA" w14:textId="77777777" w:rsidR="006A63DD" w:rsidRPr="00E5030A" w:rsidRDefault="006A63DD" w:rsidP="006A63DD">
                  <w:pPr>
                    <w:spacing w:after="60"/>
                    <w:rPr>
                      <w:iCs/>
                      <w:sz w:val="20"/>
                    </w:rPr>
                  </w:pPr>
                  <w:r w:rsidRPr="00E5030A">
                    <w:rPr>
                      <w:sz w:val="20"/>
                    </w:rPr>
                    <w:t>RUINFQAMTTOT</w:t>
                  </w:r>
                </w:p>
              </w:tc>
              <w:tc>
                <w:tcPr>
                  <w:tcW w:w="326" w:type="pct"/>
                </w:tcPr>
                <w:p w14:paraId="7B07B9AD" w14:textId="77777777" w:rsidR="006A63DD" w:rsidRPr="00E5030A" w:rsidRDefault="006A63DD" w:rsidP="006A63DD">
                  <w:pPr>
                    <w:spacing w:after="60"/>
                    <w:rPr>
                      <w:iCs/>
                      <w:sz w:val="20"/>
                    </w:rPr>
                  </w:pPr>
                  <w:r w:rsidRPr="00E5030A">
                    <w:rPr>
                      <w:sz w:val="20"/>
                    </w:rPr>
                    <w:t>$</w:t>
                  </w:r>
                </w:p>
              </w:tc>
              <w:tc>
                <w:tcPr>
                  <w:tcW w:w="3359" w:type="pct"/>
                </w:tcPr>
                <w:p w14:paraId="726B23EC" w14:textId="77777777" w:rsidR="006A63DD" w:rsidRPr="00E5030A" w:rsidRDefault="006A63DD" w:rsidP="006A63DD">
                  <w:pPr>
                    <w:spacing w:after="60"/>
                    <w:rPr>
                      <w:i/>
                      <w:iCs/>
                      <w:sz w:val="20"/>
                    </w:rPr>
                  </w:pPr>
                  <w:r w:rsidRPr="00E5030A">
                    <w:rPr>
                      <w:i/>
                      <w:sz w:val="20"/>
                    </w:rPr>
                    <w:t xml:space="preserve">Reg-Up Infeasible Quantity Amount Total  </w:t>
                  </w:r>
                  <w:r w:rsidRPr="00E5030A">
                    <w:rPr>
                      <w:sz w:val="20"/>
                    </w:rPr>
                    <w:t>— The charge to all QSEs for their total capacity associated with infeasible deployment of Ancillary Service Supply Responsibilities for Reg-Up, for the hour.</w:t>
                  </w:r>
                </w:p>
              </w:tc>
            </w:tr>
            <w:tr w:rsidR="006A63DD" w:rsidRPr="00E5030A" w14:paraId="7EAADFE6"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31A9396C" w14:textId="77777777" w:rsidR="006A63DD" w:rsidRPr="00E5030A" w:rsidRDefault="006A63DD" w:rsidP="006A63DD">
                  <w:pPr>
                    <w:spacing w:after="60"/>
                    <w:rPr>
                      <w:iCs/>
                      <w:sz w:val="20"/>
                    </w:rPr>
                  </w:pPr>
                  <w:r w:rsidRPr="00E5030A">
                    <w:rPr>
                      <w:sz w:val="20"/>
                    </w:rPr>
                    <w:t xml:space="preserve">RUINFQAMT </w:t>
                  </w:r>
                  <w:r w:rsidRPr="00E5030A">
                    <w:rPr>
                      <w:i/>
                      <w:sz w:val="20"/>
                      <w:vertAlign w:val="subscript"/>
                    </w:rPr>
                    <w:t>q</w:t>
                  </w:r>
                </w:p>
              </w:tc>
              <w:tc>
                <w:tcPr>
                  <w:tcW w:w="326" w:type="pct"/>
                </w:tcPr>
                <w:p w14:paraId="440CC2CB" w14:textId="77777777" w:rsidR="006A63DD" w:rsidRPr="00E5030A" w:rsidRDefault="006A63DD" w:rsidP="006A63DD">
                  <w:pPr>
                    <w:spacing w:after="60"/>
                    <w:rPr>
                      <w:iCs/>
                      <w:sz w:val="20"/>
                    </w:rPr>
                  </w:pPr>
                  <w:r w:rsidRPr="00E5030A">
                    <w:rPr>
                      <w:sz w:val="20"/>
                    </w:rPr>
                    <w:t>$</w:t>
                  </w:r>
                </w:p>
              </w:tc>
              <w:tc>
                <w:tcPr>
                  <w:tcW w:w="3359" w:type="pct"/>
                </w:tcPr>
                <w:p w14:paraId="3899C86D" w14:textId="77777777" w:rsidR="006A63DD" w:rsidRPr="00E5030A" w:rsidRDefault="006A63DD" w:rsidP="00065EC3">
                  <w:pPr>
                    <w:rPr>
                      <w:i/>
                      <w:iCs/>
                      <w:sz w:val="20"/>
                    </w:rPr>
                  </w:pPr>
                  <w:r w:rsidRPr="00E5030A">
                    <w:rPr>
                      <w:i/>
                      <w:sz w:val="20"/>
                    </w:rPr>
                    <w:t>Reg-Up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Reg-Up, for the hour</w:t>
                  </w:r>
                  <w:r w:rsidRPr="00E5030A">
                    <w:t>.</w:t>
                  </w:r>
                </w:p>
              </w:tc>
            </w:tr>
            <w:tr w:rsidR="006A63DD" w:rsidRPr="00E5030A" w14:paraId="47C49B98" w14:textId="77777777" w:rsidTr="002A7BFB">
              <w:tc>
                <w:tcPr>
                  <w:tcW w:w="1315" w:type="pct"/>
                  <w:tcBorders>
                    <w:top w:val="single" w:sz="4" w:space="0" w:color="auto"/>
                    <w:left w:val="single" w:sz="4" w:space="0" w:color="auto"/>
                    <w:bottom w:val="single" w:sz="4" w:space="0" w:color="auto"/>
                    <w:right w:val="single" w:sz="4" w:space="0" w:color="auto"/>
                  </w:tcBorders>
                </w:tcPr>
                <w:p w14:paraId="7C5C86BE" w14:textId="77777777" w:rsidR="006A63DD" w:rsidRPr="00E5030A" w:rsidRDefault="006A63DD" w:rsidP="006A63DD">
                  <w:pPr>
                    <w:spacing w:after="60"/>
                    <w:rPr>
                      <w:sz w:val="20"/>
                    </w:rPr>
                  </w:pPr>
                  <w:r w:rsidRPr="00E5030A">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04AA2189" w14:textId="77777777" w:rsidR="006A63DD" w:rsidRPr="00E5030A" w:rsidRDefault="006A63DD" w:rsidP="006A63DD">
                  <w:pPr>
                    <w:spacing w:after="60"/>
                    <w:rPr>
                      <w:sz w:val="20"/>
                    </w:rPr>
                  </w:pPr>
                  <w:r w:rsidRPr="00E5030A">
                    <w:rPr>
                      <w:sz w:val="20"/>
                    </w:rPr>
                    <w:t>$</w:t>
                  </w:r>
                </w:p>
              </w:tc>
              <w:tc>
                <w:tcPr>
                  <w:tcW w:w="3359" w:type="pct"/>
                  <w:tcBorders>
                    <w:top w:val="single" w:sz="4" w:space="0" w:color="auto"/>
                    <w:left w:val="single" w:sz="4" w:space="0" w:color="auto"/>
                    <w:bottom w:val="single" w:sz="4" w:space="0" w:color="auto"/>
                    <w:right w:val="single" w:sz="4" w:space="0" w:color="auto"/>
                  </w:tcBorders>
                </w:tcPr>
                <w:p w14:paraId="0DD537A6" w14:textId="77777777" w:rsidR="006A63DD" w:rsidRPr="00E5030A" w:rsidRDefault="006A63DD" w:rsidP="006A63DD">
                  <w:pPr>
                    <w:spacing w:after="60"/>
                    <w:rPr>
                      <w:sz w:val="20"/>
                    </w:rPr>
                  </w:pPr>
                  <w:r w:rsidRPr="00E5030A">
                    <w:rPr>
                      <w:i/>
                      <w:sz w:val="20"/>
                    </w:rPr>
                    <w:t>Procured Capacity for Reg-Up Amount Total in DAM</w:t>
                  </w:r>
                  <w:r w:rsidRPr="00E5030A">
                    <w:rPr>
                      <w:sz w:val="20"/>
                    </w:rPr>
                    <w:t>—The total of the DAM Reg-Up payments for all QSEs</w:t>
                  </w:r>
                  <w:r w:rsidRPr="00E5030A">
                    <w:rPr>
                      <w:iCs/>
                      <w:sz w:val="20"/>
                    </w:rPr>
                    <w:t>,</w:t>
                  </w:r>
                  <w:r w:rsidRPr="00E5030A">
                    <w:rPr>
                      <w:sz w:val="20"/>
                    </w:rPr>
                    <w:t xml:space="preserve"> for the hour.</w:t>
                  </w:r>
                </w:p>
              </w:tc>
            </w:tr>
            <w:tr w:rsidR="006A63DD" w:rsidRPr="00E5030A" w14:paraId="37AF3414" w14:textId="77777777" w:rsidTr="002A7BFB">
              <w:tc>
                <w:tcPr>
                  <w:tcW w:w="1315" w:type="pct"/>
                  <w:tcBorders>
                    <w:top w:val="single" w:sz="4" w:space="0" w:color="auto"/>
                    <w:left w:val="single" w:sz="4" w:space="0" w:color="auto"/>
                    <w:bottom w:val="single" w:sz="4" w:space="0" w:color="auto"/>
                    <w:right w:val="single" w:sz="4" w:space="0" w:color="auto"/>
                  </w:tcBorders>
                </w:tcPr>
                <w:p w14:paraId="5C91EA36" w14:textId="77777777" w:rsidR="006A63DD" w:rsidRPr="00E5030A" w:rsidRDefault="006A63DD" w:rsidP="006A63DD">
                  <w:pPr>
                    <w:spacing w:after="60"/>
                    <w:rPr>
                      <w:i/>
                      <w:iCs/>
                      <w:sz w:val="20"/>
                    </w:rPr>
                  </w:pPr>
                  <w:r w:rsidRPr="00E5030A">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64D30B35"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0F61D82F" w14:textId="77777777" w:rsidR="006A63DD" w:rsidRPr="00E5030A" w:rsidRDefault="006A63DD" w:rsidP="006A63DD">
                  <w:pPr>
                    <w:spacing w:after="60"/>
                    <w:rPr>
                      <w:iCs/>
                      <w:sz w:val="20"/>
                    </w:rPr>
                  </w:pPr>
                  <w:r w:rsidRPr="00E5030A">
                    <w:rPr>
                      <w:iCs/>
                      <w:sz w:val="20"/>
                    </w:rPr>
                    <w:t>A QSE.</w:t>
                  </w:r>
                </w:p>
              </w:tc>
            </w:tr>
            <w:tr w:rsidR="006A63DD" w:rsidRPr="00E5030A" w14:paraId="0AB6CFA3" w14:textId="77777777" w:rsidTr="002A7BFB">
              <w:tc>
                <w:tcPr>
                  <w:tcW w:w="1315" w:type="pct"/>
                  <w:tcBorders>
                    <w:top w:val="single" w:sz="4" w:space="0" w:color="auto"/>
                    <w:left w:val="single" w:sz="4" w:space="0" w:color="auto"/>
                    <w:bottom w:val="single" w:sz="4" w:space="0" w:color="auto"/>
                    <w:right w:val="single" w:sz="4" w:space="0" w:color="auto"/>
                  </w:tcBorders>
                </w:tcPr>
                <w:p w14:paraId="576DB529" w14:textId="77777777" w:rsidR="006A63DD" w:rsidRPr="00E5030A" w:rsidRDefault="006A63DD" w:rsidP="006A63DD">
                  <w:pPr>
                    <w:spacing w:after="60"/>
                    <w:rPr>
                      <w:i/>
                      <w:iCs/>
                      <w:sz w:val="20"/>
                    </w:rPr>
                  </w:pPr>
                  <w:r w:rsidRPr="00E5030A">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26CBD431"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74981DA9" w14:textId="77777777" w:rsidR="006A63DD" w:rsidRPr="00E5030A" w:rsidRDefault="006A63DD" w:rsidP="006A63DD">
                  <w:pPr>
                    <w:spacing w:after="60"/>
                    <w:rPr>
                      <w:iCs/>
                      <w:sz w:val="20"/>
                    </w:rPr>
                  </w:pPr>
                  <w:r w:rsidRPr="00E5030A">
                    <w:rPr>
                      <w:iCs/>
                      <w:sz w:val="20"/>
                    </w:rPr>
                    <w:t>An Ancillary Service market (SASM or RSASM) for the given Operating Hour.</w:t>
                  </w:r>
                </w:p>
              </w:tc>
            </w:tr>
          </w:tbl>
          <w:p w14:paraId="224861C7" w14:textId="77777777" w:rsidR="004A4849" w:rsidRPr="006C5A42" w:rsidRDefault="004A4849" w:rsidP="002A7BFB">
            <w:pPr>
              <w:spacing w:after="240"/>
              <w:ind w:left="1440" w:hanging="720"/>
            </w:pPr>
          </w:p>
        </w:tc>
      </w:tr>
    </w:tbl>
    <w:p w14:paraId="082CB34B"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Reg-Up for the Operating Hour is calculated as follows:</w:t>
      </w:r>
    </w:p>
    <w:p w14:paraId="35E70C2E" w14:textId="77777777" w:rsidR="008C5104" w:rsidRPr="007E46C9" w:rsidRDefault="008C5104" w:rsidP="008C5104">
      <w:pPr>
        <w:spacing w:after="240"/>
        <w:ind w:left="2880" w:hanging="2160"/>
        <w:rPr>
          <w:b/>
          <w:bCs/>
        </w:rPr>
      </w:pPr>
      <w:r w:rsidRPr="007E46C9">
        <w:rPr>
          <w:b/>
          <w:bCs/>
        </w:rPr>
        <w:t xml:space="preserve">RUCOST </w:t>
      </w:r>
      <w:r w:rsidRPr="007E46C9">
        <w:rPr>
          <w:b/>
          <w:bCs/>
          <w:i/>
          <w:vertAlign w:val="subscript"/>
        </w:rPr>
        <w:t>q</w:t>
      </w:r>
      <w:r w:rsidRPr="007E46C9">
        <w:rPr>
          <w:b/>
          <w:bCs/>
        </w:rPr>
        <w:tab/>
        <w:t>=</w:t>
      </w:r>
      <w:r w:rsidRPr="007E46C9">
        <w:rPr>
          <w:b/>
          <w:bCs/>
        </w:rPr>
        <w:tab/>
        <w:t xml:space="preserve">RUPR * RUQ </w:t>
      </w:r>
      <w:r w:rsidRPr="007E46C9">
        <w:rPr>
          <w:b/>
          <w:bCs/>
          <w:i/>
          <w:vertAlign w:val="subscript"/>
        </w:rPr>
        <w:t>q</w:t>
      </w:r>
    </w:p>
    <w:p w14:paraId="7BCB0292" w14:textId="77777777" w:rsidR="008C5104" w:rsidRPr="007E46C9" w:rsidRDefault="008C5104" w:rsidP="008C5104">
      <w:pPr>
        <w:spacing w:after="240"/>
        <w:rPr>
          <w:iCs/>
        </w:rPr>
      </w:pPr>
      <w:r w:rsidRPr="007E46C9">
        <w:rPr>
          <w:iCs/>
        </w:rPr>
        <w:t>Where:</w:t>
      </w:r>
    </w:p>
    <w:p w14:paraId="362E8E48"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RUPR</w:t>
      </w:r>
      <w:r w:rsidRPr="007E46C9">
        <w:rPr>
          <w:bCs/>
        </w:rPr>
        <w:tab/>
      </w:r>
      <w:r w:rsidRPr="007E46C9">
        <w:rPr>
          <w:bCs/>
        </w:rPr>
        <w:tab/>
        <w:t>=</w:t>
      </w:r>
      <w:r w:rsidRPr="007E46C9">
        <w:rPr>
          <w:bCs/>
        </w:rPr>
        <w:tab/>
        <w:t>RUCOSTTOT / RUQTOT</w:t>
      </w:r>
    </w:p>
    <w:p w14:paraId="331521B8" w14:textId="0A0A6D4D" w:rsidR="008C5104" w:rsidRPr="007E46C9" w:rsidRDefault="008C5104" w:rsidP="008C5104">
      <w:pPr>
        <w:tabs>
          <w:tab w:val="left" w:pos="2160"/>
          <w:tab w:val="left" w:pos="2880"/>
        </w:tabs>
        <w:spacing w:after="120"/>
        <w:ind w:leftChars="300" w:left="2880" w:hangingChars="900" w:hanging="2160"/>
        <w:rPr>
          <w:bCs/>
        </w:rPr>
      </w:pPr>
      <w:r w:rsidRPr="007E46C9">
        <w:rPr>
          <w:bCs/>
        </w:rPr>
        <w:t>RUQTOT</w:t>
      </w:r>
      <w:r w:rsidRPr="007E46C9">
        <w:rPr>
          <w:bCs/>
        </w:rPr>
        <w:tab/>
      </w:r>
      <w:r w:rsidRPr="007E46C9">
        <w:rPr>
          <w:bCs/>
        </w:rPr>
        <w:tab/>
        <w:t>=</w:t>
      </w:r>
      <w:r w:rsidRPr="007E46C9">
        <w:rPr>
          <w:bCs/>
        </w:rPr>
        <w:tab/>
      </w:r>
      <w:r w:rsidR="00A94020">
        <w:rPr>
          <w:bCs/>
          <w:noProof/>
          <w:position w:val="-22"/>
        </w:rPr>
        <w:drawing>
          <wp:inline distT="0" distB="0" distL="0" distR="0" wp14:anchorId="4B894DA5" wp14:editId="72AA4AF4">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RUQ </w:t>
      </w:r>
      <w:r w:rsidRPr="007E46C9">
        <w:rPr>
          <w:bCs/>
          <w:i/>
          <w:vertAlign w:val="subscript"/>
        </w:rPr>
        <w:t>q</w:t>
      </w:r>
    </w:p>
    <w:p w14:paraId="4CBB6736"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RUQ </w:t>
      </w:r>
      <w:r w:rsidRPr="007E46C9">
        <w:rPr>
          <w:bCs/>
          <w:i/>
          <w:vertAlign w:val="subscript"/>
        </w:rPr>
        <w:t>q</w:t>
      </w:r>
      <w:r w:rsidRPr="007E46C9">
        <w:rPr>
          <w:bCs/>
        </w:rPr>
        <w:tab/>
      </w:r>
      <w:r w:rsidRPr="007E46C9">
        <w:rPr>
          <w:bCs/>
        </w:rPr>
        <w:tab/>
        <w:t>=</w:t>
      </w:r>
      <w:r w:rsidRPr="007E46C9">
        <w:rPr>
          <w:bCs/>
        </w:rPr>
        <w:tab/>
        <w:t xml:space="preserve">RUO </w:t>
      </w:r>
      <w:r w:rsidRPr="007E46C9">
        <w:rPr>
          <w:bCs/>
          <w:i/>
          <w:vertAlign w:val="subscript"/>
        </w:rPr>
        <w:t>q</w:t>
      </w:r>
      <w:r w:rsidRPr="007E46C9">
        <w:rPr>
          <w:bCs/>
        </w:rPr>
        <w:t xml:space="preserve"> – SARUQ </w:t>
      </w:r>
      <w:r w:rsidRPr="007E46C9">
        <w:rPr>
          <w:bCs/>
          <w:i/>
          <w:vertAlign w:val="subscript"/>
        </w:rPr>
        <w:t>q</w:t>
      </w:r>
    </w:p>
    <w:p w14:paraId="4C735483" w14:textId="08FD47D0"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RUO </w:t>
      </w:r>
      <w:r w:rsidRPr="007E46C9">
        <w:rPr>
          <w:bCs/>
          <w:i/>
          <w:vertAlign w:val="subscript"/>
        </w:rPr>
        <w:t>q</w:t>
      </w:r>
      <w:r w:rsidRPr="007E46C9">
        <w:rPr>
          <w:bCs/>
        </w:rPr>
        <w:tab/>
      </w:r>
      <w:r w:rsidRPr="007E46C9">
        <w:rPr>
          <w:bCs/>
        </w:rPr>
        <w:tab/>
        <w:t>=</w:t>
      </w:r>
      <w:r w:rsidRPr="007E46C9">
        <w:rPr>
          <w:bCs/>
        </w:rPr>
        <w:tab/>
      </w:r>
      <w:r w:rsidR="00A94020">
        <w:rPr>
          <w:bCs/>
          <w:noProof/>
          <w:position w:val="-22"/>
        </w:rPr>
        <w:drawing>
          <wp:inline distT="0" distB="0" distL="0" distR="0" wp14:anchorId="6D7487FC" wp14:editId="128EBD3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(SARUQ </w:t>
      </w:r>
      <w:r w:rsidRPr="007E46C9">
        <w:rPr>
          <w:bCs/>
          <w:i/>
          <w:vertAlign w:val="subscript"/>
        </w:rPr>
        <w:t>q</w:t>
      </w:r>
      <w:r w:rsidRPr="007E46C9">
        <w:rPr>
          <w:bCs/>
        </w:rPr>
        <w:t xml:space="preserve"> + </w:t>
      </w:r>
      <w:r w:rsidR="00A94020">
        <w:rPr>
          <w:bCs/>
          <w:noProof/>
          <w:position w:val="-20"/>
        </w:rPr>
        <w:drawing>
          <wp:inline distT="0" distB="0" distL="0" distR="0" wp14:anchorId="2A91AE9B" wp14:editId="5D99CF5B">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 </w:t>
      </w:r>
      <w:r w:rsidRPr="007E46C9">
        <w:rPr>
          <w:bCs/>
          <w:i/>
          <w:vertAlign w:val="subscript"/>
        </w:rPr>
        <w:t>q, m</w:t>
      </w:r>
      <w:r w:rsidRPr="007E46C9">
        <w:rPr>
          <w:bCs/>
        </w:rPr>
        <w:t>)</w:t>
      </w:r>
      <w:r w:rsidRPr="007E46C9">
        <w:rPr>
          <w:bCs/>
          <w:i/>
        </w:rPr>
        <w:t xml:space="preserve"> </w:t>
      </w:r>
      <w:r w:rsidRPr="007E46C9">
        <w:rPr>
          <w:bCs/>
        </w:rPr>
        <w:t xml:space="preserve">+ PCRU </w:t>
      </w:r>
      <w:r w:rsidRPr="007E46C9">
        <w:rPr>
          <w:bCs/>
          <w:i/>
          <w:vertAlign w:val="subscript"/>
        </w:rPr>
        <w:t xml:space="preserve">q </w:t>
      </w:r>
      <w:r w:rsidRPr="007E46C9">
        <w:rPr>
          <w:bCs/>
        </w:rPr>
        <w:t xml:space="preserve">–   </w:t>
      </w:r>
    </w:p>
    <w:p w14:paraId="7F7E13E1" w14:textId="77777777" w:rsidR="008C5104" w:rsidRPr="007E46C9" w:rsidRDefault="008C5104" w:rsidP="008C5104">
      <w:pPr>
        <w:tabs>
          <w:tab w:val="left" w:pos="2160"/>
          <w:tab w:val="left" w:pos="2880"/>
        </w:tabs>
        <w:spacing w:after="120"/>
        <w:ind w:leftChars="300" w:left="2880" w:hangingChars="900" w:hanging="2160"/>
        <w:rPr>
          <w:bCs/>
          <w:vertAlign w:val="subscript"/>
        </w:rPr>
      </w:pPr>
      <w:r w:rsidRPr="007E46C9">
        <w:rPr>
          <w:bCs/>
        </w:rPr>
        <w:t xml:space="preserve">                                                 RUFQ</w:t>
      </w:r>
      <w:r w:rsidRPr="007E46C9">
        <w:rPr>
          <w:bCs/>
          <w:i/>
        </w:rPr>
        <w:t xml:space="preserve"> </w:t>
      </w:r>
      <w:r w:rsidRPr="007E46C9">
        <w:rPr>
          <w:bCs/>
          <w:i/>
          <w:vertAlign w:val="subscript"/>
        </w:rPr>
        <w:t xml:space="preserve">q </w:t>
      </w:r>
      <w:r w:rsidRPr="007E46C9">
        <w:rPr>
          <w:bCs/>
        </w:rPr>
        <w:t>– RRUFQ</w:t>
      </w:r>
      <w:r w:rsidRPr="007E46C9">
        <w:rPr>
          <w:bCs/>
          <w:i/>
        </w:rPr>
        <w:t xml:space="preserve"> </w:t>
      </w:r>
      <w:r w:rsidRPr="007E46C9">
        <w:rPr>
          <w:bCs/>
          <w:i/>
          <w:vertAlign w:val="subscript"/>
        </w:rPr>
        <w:t>q</w:t>
      </w:r>
      <w:r w:rsidRPr="007E46C9">
        <w:rPr>
          <w:bCs/>
        </w:rPr>
        <w:t>) * HLRS</w:t>
      </w:r>
      <w:r w:rsidRPr="007E46C9">
        <w:rPr>
          <w:bCs/>
          <w:i/>
        </w:rPr>
        <w:t xml:space="preserve"> </w:t>
      </w:r>
      <w:r w:rsidRPr="007E46C9">
        <w:rPr>
          <w:bCs/>
          <w:i/>
          <w:vertAlign w:val="subscript"/>
        </w:rPr>
        <w:t>q</w:t>
      </w:r>
    </w:p>
    <w:p w14:paraId="22CDAD54" w14:textId="77777777" w:rsidR="008C5104" w:rsidRPr="007E46C9" w:rsidRDefault="008C5104" w:rsidP="008C5104">
      <w:pPr>
        <w:tabs>
          <w:tab w:val="left" w:pos="2160"/>
          <w:tab w:val="left" w:pos="2880"/>
        </w:tabs>
        <w:spacing w:after="120"/>
        <w:ind w:leftChars="300" w:left="2880" w:hangingChars="900" w:hanging="2160"/>
        <w:rPr>
          <w:bCs/>
          <w:vertAlign w:val="subscript"/>
          <w:lang w:val="fr-FR"/>
        </w:rPr>
      </w:pPr>
      <w:r w:rsidRPr="007E46C9">
        <w:rPr>
          <w:bCs/>
          <w:lang w:val="fr-FR"/>
        </w:rPr>
        <w:t xml:space="preserve">SARUQ </w:t>
      </w:r>
      <w:r w:rsidRPr="007E46C9">
        <w:rPr>
          <w:bCs/>
          <w:i/>
          <w:vertAlign w:val="subscript"/>
          <w:lang w:val="fr-FR"/>
        </w:rPr>
        <w:t>q</w:t>
      </w:r>
      <w:r w:rsidRPr="007E46C9">
        <w:rPr>
          <w:bCs/>
          <w:vertAlign w:val="subscript"/>
          <w:lang w:val="fr-FR"/>
        </w:rPr>
        <w:tab/>
      </w:r>
      <w:r w:rsidRPr="007E46C9">
        <w:rPr>
          <w:bCs/>
          <w:vertAlign w:val="subscript"/>
          <w:lang w:val="fr-FR"/>
        </w:rPr>
        <w:tab/>
      </w:r>
      <w:r w:rsidRPr="007E46C9">
        <w:rPr>
          <w:bCs/>
          <w:lang w:val="fr-FR"/>
        </w:rPr>
        <w:t>=</w:t>
      </w:r>
      <w:r w:rsidRPr="007E46C9">
        <w:rPr>
          <w:bCs/>
          <w:lang w:val="fr-FR"/>
        </w:rPr>
        <w:tab/>
        <w:t xml:space="preserve">DASARUQ </w:t>
      </w:r>
      <w:r w:rsidRPr="007E46C9">
        <w:rPr>
          <w:bCs/>
          <w:i/>
          <w:vertAlign w:val="subscript"/>
          <w:lang w:val="fr-FR"/>
        </w:rPr>
        <w:t>q</w:t>
      </w:r>
      <w:r w:rsidRPr="007E46C9">
        <w:rPr>
          <w:bCs/>
          <w:lang w:val="fr-FR"/>
        </w:rPr>
        <w:t xml:space="preserve"> + RTSARUQ </w:t>
      </w:r>
      <w:r w:rsidRPr="007E46C9">
        <w:rPr>
          <w:bCs/>
          <w:i/>
          <w:vertAlign w:val="subscript"/>
          <w:lang w:val="fr-FR"/>
        </w:rPr>
        <w:t>q</w:t>
      </w:r>
    </w:p>
    <w:p w14:paraId="477F3C78" w14:textId="77777777" w:rsidR="008C5104" w:rsidRPr="007E46C9" w:rsidRDefault="008C5104" w:rsidP="008C5104">
      <w:pPr>
        <w:tabs>
          <w:tab w:val="left" w:pos="2160"/>
          <w:tab w:val="left" w:pos="2880"/>
        </w:tabs>
        <w:spacing w:after="120"/>
        <w:ind w:leftChars="300" w:left="2880" w:hangingChars="900" w:hanging="2160"/>
        <w:rPr>
          <w:bCs/>
          <w:lang w:val="fr-FR"/>
        </w:rPr>
      </w:pPr>
    </w:p>
    <w:p w14:paraId="773F8FF9"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487D283C" w14:textId="77777777" w:rsidTr="008C5104">
        <w:tc>
          <w:tcPr>
            <w:tcW w:w="849" w:type="pct"/>
          </w:tcPr>
          <w:p w14:paraId="5C832F21" w14:textId="77777777" w:rsidR="008C5104" w:rsidRPr="007E46C9" w:rsidRDefault="008C5104" w:rsidP="008C5104">
            <w:pPr>
              <w:keepNext/>
              <w:spacing w:after="120"/>
              <w:rPr>
                <w:b/>
                <w:iCs/>
                <w:sz w:val="20"/>
              </w:rPr>
            </w:pPr>
            <w:r w:rsidRPr="007E46C9">
              <w:rPr>
                <w:b/>
                <w:iCs/>
                <w:sz w:val="20"/>
              </w:rPr>
              <w:t>Variable</w:t>
            </w:r>
          </w:p>
        </w:tc>
        <w:tc>
          <w:tcPr>
            <w:tcW w:w="460" w:type="pct"/>
          </w:tcPr>
          <w:p w14:paraId="2FB3DF94" w14:textId="77777777" w:rsidR="008C5104" w:rsidRPr="007E46C9" w:rsidRDefault="008C5104" w:rsidP="008C5104">
            <w:pPr>
              <w:keepNext/>
              <w:spacing w:after="120"/>
              <w:rPr>
                <w:b/>
                <w:iCs/>
                <w:sz w:val="20"/>
              </w:rPr>
            </w:pPr>
            <w:r w:rsidRPr="007E46C9">
              <w:rPr>
                <w:b/>
                <w:iCs/>
                <w:sz w:val="20"/>
              </w:rPr>
              <w:t>Unit</w:t>
            </w:r>
          </w:p>
        </w:tc>
        <w:tc>
          <w:tcPr>
            <w:tcW w:w="3691" w:type="pct"/>
          </w:tcPr>
          <w:p w14:paraId="2294FB65"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7C638C7D" w14:textId="77777777" w:rsidTr="008C5104">
        <w:tc>
          <w:tcPr>
            <w:tcW w:w="849" w:type="pct"/>
          </w:tcPr>
          <w:p w14:paraId="047D57C6"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0" w:type="pct"/>
          </w:tcPr>
          <w:p w14:paraId="579CEF77" w14:textId="77777777" w:rsidR="008C5104" w:rsidRPr="007E46C9" w:rsidRDefault="008C5104" w:rsidP="008C5104">
            <w:pPr>
              <w:keepNext/>
              <w:spacing w:after="60"/>
              <w:rPr>
                <w:iCs/>
                <w:sz w:val="20"/>
              </w:rPr>
            </w:pPr>
            <w:r w:rsidRPr="007E46C9">
              <w:rPr>
                <w:iCs/>
                <w:sz w:val="20"/>
              </w:rPr>
              <w:t>$</w:t>
            </w:r>
          </w:p>
        </w:tc>
        <w:tc>
          <w:tcPr>
            <w:tcW w:w="3691" w:type="pct"/>
          </w:tcPr>
          <w:p w14:paraId="3A9B8C56" w14:textId="77777777" w:rsidR="008C5104" w:rsidRPr="007E46C9" w:rsidRDefault="008C5104" w:rsidP="008C5104">
            <w:pPr>
              <w:keepNext/>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685B39A1" w14:textId="77777777" w:rsidTr="008C5104">
        <w:tc>
          <w:tcPr>
            <w:tcW w:w="849" w:type="pct"/>
            <w:tcBorders>
              <w:top w:val="single" w:sz="4" w:space="0" w:color="auto"/>
              <w:left w:val="single" w:sz="4" w:space="0" w:color="auto"/>
              <w:bottom w:val="single" w:sz="4" w:space="0" w:color="auto"/>
              <w:right w:val="single" w:sz="4" w:space="0" w:color="auto"/>
            </w:tcBorders>
          </w:tcPr>
          <w:p w14:paraId="1211A208" w14:textId="77777777" w:rsidR="008C5104" w:rsidRPr="007E46C9" w:rsidRDefault="008C5104" w:rsidP="008C5104">
            <w:pPr>
              <w:spacing w:after="60"/>
              <w:rPr>
                <w:iCs/>
                <w:sz w:val="20"/>
              </w:rPr>
            </w:pPr>
            <w:r w:rsidRPr="007E46C9">
              <w:rPr>
                <w:iCs/>
                <w:sz w:val="20"/>
              </w:rPr>
              <w:t>RUPR</w:t>
            </w:r>
          </w:p>
        </w:tc>
        <w:tc>
          <w:tcPr>
            <w:tcW w:w="460" w:type="pct"/>
            <w:tcBorders>
              <w:top w:val="single" w:sz="4" w:space="0" w:color="auto"/>
              <w:left w:val="single" w:sz="4" w:space="0" w:color="auto"/>
              <w:bottom w:val="single" w:sz="4" w:space="0" w:color="auto"/>
              <w:right w:val="single" w:sz="4" w:space="0" w:color="auto"/>
            </w:tcBorders>
          </w:tcPr>
          <w:p w14:paraId="4981C1E1"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F7BEB1" w14:textId="77777777" w:rsidR="008C5104" w:rsidRPr="007E46C9" w:rsidRDefault="008C5104" w:rsidP="008C5104">
            <w:pPr>
              <w:spacing w:after="60"/>
              <w:rPr>
                <w:i/>
                <w:iCs/>
                <w:sz w:val="20"/>
              </w:rPr>
            </w:pPr>
            <w:r w:rsidRPr="007E46C9">
              <w:rPr>
                <w:i/>
                <w:iCs/>
                <w:sz w:val="20"/>
              </w:rPr>
              <w:t>Reg-Up Price—</w:t>
            </w:r>
            <w:r w:rsidRPr="007E46C9">
              <w:rPr>
                <w:iCs/>
                <w:sz w:val="20"/>
              </w:rPr>
              <w:t>The price for Reg-Up calculated based on the net total costs for Reg-Up, for the hour.</w:t>
            </w:r>
          </w:p>
        </w:tc>
      </w:tr>
      <w:tr w:rsidR="008C5104" w:rsidRPr="007E46C9" w14:paraId="6E5774E7" w14:textId="77777777" w:rsidTr="008C5104">
        <w:tc>
          <w:tcPr>
            <w:tcW w:w="849" w:type="pct"/>
            <w:tcBorders>
              <w:top w:val="single" w:sz="4" w:space="0" w:color="auto"/>
              <w:left w:val="single" w:sz="4" w:space="0" w:color="auto"/>
              <w:bottom w:val="single" w:sz="4" w:space="0" w:color="auto"/>
              <w:right w:val="single" w:sz="4" w:space="0" w:color="auto"/>
            </w:tcBorders>
          </w:tcPr>
          <w:p w14:paraId="0EBED193" w14:textId="77777777" w:rsidR="008C5104" w:rsidRPr="007E46C9" w:rsidRDefault="008C5104" w:rsidP="008C5104">
            <w:pPr>
              <w:spacing w:after="60"/>
              <w:rPr>
                <w:iCs/>
                <w:sz w:val="20"/>
              </w:rPr>
            </w:pPr>
            <w:r w:rsidRPr="007E46C9">
              <w:rPr>
                <w:iCs/>
                <w:sz w:val="20"/>
              </w:rPr>
              <w:lastRenderedPageBreak/>
              <w:t>RUCOSTTOT</w:t>
            </w:r>
          </w:p>
        </w:tc>
        <w:tc>
          <w:tcPr>
            <w:tcW w:w="460" w:type="pct"/>
            <w:tcBorders>
              <w:top w:val="single" w:sz="4" w:space="0" w:color="auto"/>
              <w:left w:val="single" w:sz="4" w:space="0" w:color="auto"/>
              <w:bottom w:val="single" w:sz="4" w:space="0" w:color="auto"/>
              <w:right w:val="single" w:sz="4" w:space="0" w:color="auto"/>
            </w:tcBorders>
          </w:tcPr>
          <w:p w14:paraId="497AA016"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005C41DD" w14:textId="77777777" w:rsidR="008C5104" w:rsidRPr="007E46C9" w:rsidRDefault="008C5104" w:rsidP="00637160">
            <w:pPr>
              <w:spacing w:after="60"/>
              <w:rPr>
                <w:i/>
                <w:iCs/>
                <w:sz w:val="20"/>
              </w:rPr>
            </w:pPr>
            <w:r w:rsidRPr="007E46C9">
              <w:rPr>
                <w:i/>
                <w:iCs/>
                <w:sz w:val="20"/>
              </w:rPr>
              <w:t>Reg-Up Cost Total</w:t>
            </w:r>
            <w:r w:rsidRPr="007E46C9">
              <w:rPr>
                <w:iCs/>
                <w:sz w:val="20"/>
              </w:rPr>
              <w:t>—The net total costs for Reg-Up</w:t>
            </w:r>
            <w:r w:rsidR="00637160">
              <w:rPr>
                <w:iCs/>
                <w:sz w:val="20"/>
              </w:rPr>
              <w:t>,</w:t>
            </w:r>
            <w:r w:rsidRPr="007E46C9">
              <w:rPr>
                <w:iCs/>
                <w:sz w:val="20"/>
              </w:rPr>
              <w:t xml:space="preserve"> for the hour.  See item</w:t>
            </w:r>
            <w:r w:rsidR="00637160">
              <w:rPr>
                <w:iCs/>
                <w:sz w:val="20"/>
              </w:rPr>
              <w:t xml:space="preserve"> (2)</w:t>
            </w:r>
            <w:r w:rsidRPr="007E46C9">
              <w:rPr>
                <w:iCs/>
                <w:sz w:val="20"/>
              </w:rPr>
              <w:t>(a) above.</w:t>
            </w:r>
          </w:p>
        </w:tc>
      </w:tr>
      <w:tr w:rsidR="008C5104" w:rsidRPr="007E46C9" w14:paraId="397A982A" w14:textId="77777777" w:rsidTr="008C5104">
        <w:tc>
          <w:tcPr>
            <w:tcW w:w="849" w:type="pct"/>
            <w:tcBorders>
              <w:top w:val="single" w:sz="4" w:space="0" w:color="auto"/>
              <w:left w:val="single" w:sz="4" w:space="0" w:color="auto"/>
              <w:bottom w:val="single" w:sz="4" w:space="0" w:color="auto"/>
              <w:right w:val="single" w:sz="4" w:space="0" w:color="auto"/>
            </w:tcBorders>
          </w:tcPr>
          <w:p w14:paraId="2C2CB5E9" w14:textId="77777777" w:rsidR="008C5104" w:rsidRPr="007E46C9" w:rsidRDefault="008C5104" w:rsidP="008C5104">
            <w:pPr>
              <w:spacing w:after="60"/>
              <w:rPr>
                <w:iCs/>
                <w:sz w:val="20"/>
              </w:rPr>
            </w:pPr>
            <w:r w:rsidRPr="007E46C9">
              <w:rPr>
                <w:iCs/>
                <w:sz w:val="20"/>
              </w:rPr>
              <w:t>RUQTOT</w:t>
            </w:r>
          </w:p>
        </w:tc>
        <w:tc>
          <w:tcPr>
            <w:tcW w:w="460" w:type="pct"/>
            <w:tcBorders>
              <w:top w:val="single" w:sz="4" w:space="0" w:color="auto"/>
              <w:left w:val="single" w:sz="4" w:space="0" w:color="auto"/>
              <w:bottom w:val="single" w:sz="4" w:space="0" w:color="auto"/>
              <w:right w:val="single" w:sz="4" w:space="0" w:color="auto"/>
            </w:tcBorders>
          </w:tcPr>
          <w:p w14:paraId="4A4B746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BBD5534" w14:textId="77777777" w:rsidR="008C5104" w:rsidRPr="007E46C9" w:rsidRDefault="008C5104" w:rsidP="008C5104">
            <w:pPr>
              <w:spacing w:after="60"/>
              <w:rPr>
                <w:i/>
                <w:iCs/>
                <w:sz w:val="20"/>
              </w:rPr>
            </w:pPr>
            <w:r w:rsidRPr="007E46C9">
              <w:rPr>
                <w:i/>
                <w:iCs/>
                <w:sz w:val="20"/>
              </w:rPr>
              <w:t>Reg-Up Quantity Total</w:t>
            </w:r>
            <w:r w:rsidRPr="007E46C9">
              <w:rPr>
                <w:iCs/>
                <w:sz w:val="20"/>
              </w:rPr>
              <w:t>—The sum of every QSE’s Ancillary Service Obligation minus its self-arranged Reg-Up quantity in the DAM and any and all SASMs</w:t>
            </w:r>
            <w:r w:rsidR="00637160" w:rsidRPr="007E46C9">
              <w:rPr>
                <w:iCs/>
                <w:sz w:val="20"/>
              </w:rPr>
              <w:t>,</w:t>
            </w:r>
            <w:r w:rsidRPr="007E46C9">
              <w:rPr>
                <w:iCs/>
                <w:sz w:val="20"/>
              </w:rPr>
              <w:t xml:space="preserve"> for the hour.</w:t>
            </w:r>
          </w:p>
        </w:tc>
      </w:tr>
      <w:tr w:rsidR="008C5104" w:rsidRPr="007E46C9" w14:paraId="5498AE23" w14:textId="77777777" w:rsidTr="008C5104">
        <w:tc>
          <w:tcPr>
            <w:tcW w:w="849" w:type="pct"/>
            <w:tcBorders>
              <w:top w:val="single" w:sz="4" w:space="0" w:color="auto"/>
              <w:left w:val="single" w:sz="4" w:space="0" w:color="auto"/>
              <w:bottom w:val="single" w:sz="4" w:space="0" w:color="auto"/>
              <w:right w:val="single" w:sz="4" w:space="0" w:color="auto"/>
            </w:tcBorders>
          </w:tcPr>
          <w:p w14:paraId="2F2C48CB" w14:textId="77777777" w:rsidR="008C5104" w:rsidRPr="007E46C9" w:rsidRDefault="008C5104" w:rsidP="008C5104">
            <w:pPr>
              <w:spacing w:after="60"/>
              <w:rPr>
                <w:iCs/>
                <w:sz w:val="20"/>
              </w:rPr>
            </w:pPr>
            <w:r w:rsidRPr="007E46C9">
              <w:rPr>
                <w:iCs/>
                <w:sz w:val="20"/>
              </w:rPr>
              <w:t xml:space="preserve">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F15C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6820222" w14:textId="77777777" w:rsidR="008C5104" w:rsidRPr="007E46C9" w:rsidRDefault="008C5104" w:rsidP="008C5104">
            <w:pPr>
              <w:spacing w:after="60"/>
              <w:rPr>
                <w:i/>
                <w:iCs/>
                <w:sz w:val="20"/>
              </w:rPr>
            </w:pPr>
            <w:r w:rsidRPr="007E46C9">
              <w:rPr>
                <w:i/>
                <w:iCs/>
                <w:sz w:val="20"/>
              </w:rPr>
              <w:t>Reg-Up Quantity per QSE</w:t>
            </w:r>
            <w:r w:rsidRPr="007E46C9">
              <w:rPr>
                <w:iCs/>
                <w:sz w:val="20"/>
              </w:rPr>
              <w:t xml:space="preserve">—The QSE </w:t>
            </w:r>
            <w:r w:rsidRPr="007E46C9">
              <w:rPr>
                <w:i/>
                <w:iCs/>
                <w:sz w:val="20"/>
              </w:rPr>
              <w:t>q</w:t>
            </w:r>
            <w:r w:rsidRPr="007E46C9">
              <w:rPr>
                <w:iCs/>
                <w:sz w:val="20"/>
              </w:rPr>
              <w:t>’s Ancillary Service Obligation minus its self-arranged Reg-Up quantity in the DAM and any and all SASMs</w:t>
            </w:r>
            <w:r w:rsidR="00637160">
              <w:rPr>
                <w:iCs/>
                <w:sz w:val="20"/>
              </w:rPr>
              <w:t>,</w:t>
            </w:r>
            <w:r w:rsidRPr="007E46C9">
              <w:rPr>
                <w:iCs/>
                <w:sz w:val="20"/>
              </w:rPr>
              <w:t xml:space="preserve"> for the hour.</w:t>
            </w:r>
          </w:p>
        </w:tc>
      </w:tr>
      <w:tr w:rsidR="008C5104" w:rsidRPr="007E46C9" w14:paraId="013687AB" w14:textId="77777777" w:rsidTr="008C5104">
        <w:tc>
          <w:tcPr>
            <w:tcW w:w="849" w:type="pct"/>
            <w:tcBorders>
              <w:top w:val="single" w:sz="4" w:space="0" w:color="auto"/>
              <w:left w:val="single" w:sz="4" w:space="0" w:color="auto"/>
              <w:bottom w:val="single" w:sz="4" w:space="0" w:color="auto"/>
              <w:right w:val="single" w:sz="4" w:space="0" w:color="auto"/>
            </w:tcBorders>
          </w:tcPr>
          <w:p w14:paraId="005D621D" w14:textId="77777777" w:rsidR="008C5104" w:rsidRPr="007E46C9" w:rsidRDefault="008C5104" w:rsidP="008C5104">
            <w:pPr>
              <w:spacing w:after="60"/>
              <w:rPr>
                <w:iCs/>
                <w:sz w:val="20"/>
              </w:rPr>
            </w:pPr>
            <w:r w:rsidRPr="007E46C9">
              <w:rPr>
                <w:iCs/>
                <w:sz w:val="20"/>
              </w:rPr>
              <w:t xml:space="preserve">RUO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989AD8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1D205D4" w14:textId="77777777" w:rsidR="008C5104" w:rsidRPr="007E46C9" w:rsidRDefault="008C5104" w:rsidP="008C5104">
            <w:pPr>
              <w:spacing w:after="60"/>
              <w:rPr>
                <w:i/>
                <w:iCs/>
                <w:sz w:val="20"/>
              </w:rPr>
            </w:pPr>
            <w:r w:rsidRPr="007E46C9">
              <w:rPr>
                <w:i/>
                <w:iCs/>
                <w:sz w:val="20"/>
              </w:rPr>
              <w:t>Reg-Up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12565F31" w14:textId="77777777" w:rsidTr="008C5104">
        <w:tc>
          <w:tcPr>
            <w:tcW w:w="849" w:type="pct"/>
            <w:tcBorders>
              <w:top w:val="single" w:sz="4" w:space="0" w:color="auto"/>
              <w:left w:val="single" w:sz="4" w:space="0" w:color="auto"/>
              <w:bottom w:val="single" w:sz="4" w:space="0" w:color="auto"/>
              <w:right w:val="single" w:sz="4" w:space="0" w:color="auto"/>
            </w:tcBorders>
          </w:tcPr>
          <w:p w14:paraId="23FF5528" w14:textId="77777777" w:rsidR="008C5104" w:rsidRPr="007E46C9" w:rsidRDefault="008C5104" w:rsidP="008C5104">
            <w:pPr>
              <w:spacing w:after="60"/>
              <w:rPr>
                <w:iCs/>
                <w:sz w:val="20"/>
              </w:rPr>
            </w:pPr>
            <w:r w:rsidRPr="007E46C9">
              <w:rPr>
                <w:iCs/>
                <w:sz w:val="20"/>
              </w:rPr>
              <w:t xml:space="preserve">DASARUQ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72B58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CABB547" w14:textId="77777777" w:rsidR="008C5104" w:rsidRPr="007E46C9" w:rsidRDefault="008C5104" w:rsidP="008C5104">
            <w:pPr>
              <w:spacing w:after="60"/>
              <w:rPr>
                <w:i/>
                <w:iCs/>
                <w:sz w:val="20"/>
              </w:rPr>
            </w:pPr>
            <w:r w:rsidRPr="007E46C9">
              <w:rPr>
                <w:i/>
                <w:iCs/>
                <w:sz w:val="20"/>
              </w:rPr>
              <w:t>Day-Ahead Self-Arranged Reg-Up Quantity per QSE</w:t>
            </w:r>
            <w:r w:rsidRPr="007E46C9">
              <w:rPr>
                <w:iCs/>
                <w:sz w:val="20"/>
              </w:rPr>
              <w:t xml:space="preserve">—The self-arranged Reg-Up quantity submitted by QSE </w:t>
            </w:r>
            <w:r w:rsidRPr="007E46C9">
              <w:rPr>
                <w:i/>
                <w:iCs/>
                <w:sz w:val="20"/>
              </w:rPr>
              <w:t>q</w:t>
            </w:r>
            <w:r w:rsidRPr="007E46C9">
              <w:rPr>
                <w:iCs/>
                <w:sz w:val="20"/>
              </w:rPr>
              <w:t xml:space="preserve"> before 1000 in the Day-Ahead.</w:t>
            </w:r>
          </w:p>
        </w:tc>
      </w:tr>
      <w:tr w:rsidR="008C5104" w:rsidRPr="007E46C9" w14:paraId="22D450F6" w14:textId="77777777" w:rsidTr="008C5104">
        <w:tc>
          <w:tcPr>
            <w:tcW w:w="849" w:type="pct"/>
            <w:tcBorders>
              <w:top w:val="single" w:sz="4" w:space="0" w:color="auto"/>
              <w:left w:val="single" w:sz="4" w:space="0" w:color="auto"/>
              <w:bottom w:val="single" w:sz="4" w:space="0" w:color="auto"/>
              <w:right w:val="single" w:sz="4" w:space="0" w:color="auto"/>
            </w:tcBorders>
          </w:tcPr>
          <w:p w14:paraId="168E965F" w14:textId="77777777" w:rsidR="008C5104" w:rsidRPr="007E46C9" w:rsidRDefault="008C5104" w:rsidP="008C5104">
            <w:pPr>
              <w:spacing w:after="60"/>
              <w:rPr>
                <w:iCs/>
                <w:sz w:val="20"/>
              </w:rPr>
            </w:pPr>
            <w:r w:rsidRPr="007E46C9">
              <w:rPr>
                <w:iCs/>
                <w:sz w:val="20"/>
              </w:rPr>
              <w:t xml:space="preserve">RTSARUQ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72B7D7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A7A59CF" w14:textId="77777777" w:rsidR="008C5104" w:rsidRPr="007E46C9" w:rsidRDefault="008C5104" w:rsidP="008C5104">
            <w:pPr>
              <w:spacing w:after="60"/>
              <w:rPr>
                <w:i/>
                <w:iCs/>
                <w:sz w:val="20"/>
              </w:rPr>
            </w:pPr>
            <w:r w:rsidRPr="007E46C9">
              <w:rPr>
                <w:i/>
                <w:iCs/>
                <w:sz w:val="20"/>
              </w:rPr>
              <w:t>Self-Arranged Reg-Up Quantity per QSE for all SASMs</w:t>
            </w:r>
            <w:r w:rsidRPr="007E46C9">
              <w:rPr>
                <w:iCs/>
                <w:sz w:val="20"/>
              </w:rPr>
              <w:t xml:space="preserve">—The sum of all self-arranged Reg-Up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Pr>
                <w:iCs/>
                <w:sz w:val="20"/>
              </w:rPr>
              <w:t>,</w:t>
            </w:r>
            <w:r w:rsidRPr="00A94A62">
              <w:rPr>
                <w:iCs/>
                <w:sz w:val="20"/>
              </w:rPr>
              <w:t xml:space="preserve"> Self-Arranged Ancillary Service Quantities</w:t>
            </w:r>
            <w:r w:rsidRPr="007E46C9">
              <w:rPr>
                <w:iCs/>
                <w:sz w:val="20"/>
              </w:rPr>
              <w:t>.</w:t>
            </w:r>
          </w:p>
        </w:tc>
      </w:tr>
      <w:tr w:rsidR="008C5104" w:rsidRPr="007E46C9" w14:paraId="65478D4B" w14:textId="77777777" w:rsidTr="008C5104">
        <w:tc>
          <w:tcPr>
            <w:tcW w:w="849" w:type="pct"/>
            <w:tcBorders>
              <w:top w:val="single" w:sz="4" w:space="0" w:color="auto"/>
              <w:left w:val="single" w:sz="4" w:space="0" w:color="auto"/>
              <w:bottom w:val="single" w:sz="4" w:space="0" w:color="auto"/>
              <w:right w:val="single" w:sz="4" w:space="0" w:color="auto"/>
            </w:tcBorders>
          </w:tcPr>
          <w:p w14:paraId="4632C363" w14:textId="77777777" w:rsidR="008C5104" w:rsidRPr="007E46C9" w:rsidRDefault="008C5104" w:rsidP="008C5104">
            <w:pPr>
              <w:spacing w:after="60"/>
              <w:rPr>
                <w:iCs/>
                <w:sz w:val="20"/>
              </w:rPr>
            </w:pPr>
            <w:r w:rsidRPr="007E46C9">
              <w:rPr>
                <w:iCs/>
                <w:sz w:val="20"/>
              </w:rPr>
              <w:t xml:space="preserve">RTPCRU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47E748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248FE11" w14:textId="77777777" w:rsidR="008C5104" w:rsidRPr="007E46C9" w:rsidRDefault="008C5104" w:rsidP="008C5104">
            <w:pPr>
              <w:spacing w:after="60"/>
              <w:rPr>
                <w:i/>
                <w:iCs/>
                <w:sz w:val="20"/>
              </w:rPr>
            </w:pPr>
            <w:r w:rsidRPr="007E46C9">
              <w:rPr>
                <w:i/>
                <w:iCs/>
                <w:sz w:val="20"/>
              </w:rPr>
              <w:t>Procured Capacity for Reg-Up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Reg-Up, for the hour.</w:t>
            </w:r>
          </w:p>
        </w:tc>
      </w:tr>
      <w:tr w:rsidR="008C5104" w:rsidRPr="007E46C9" w14:paraId="6AF46CAC" w14:textId="77777777" w:rsidTr="008C5104">
        <w:tc>
          <w:tcPr>
            <w:tcW w:w="849" w:type="pct"/>
            <w:tcBorders>
              <w:top w:val="single" w:sz="4" w:space="0" w:color="auto"/>
              <w:left w:val="single" w:sz="4" w:space="0" w:color="auto"/>
              <w:bottom w:val="single" w:sz="4" w:space="0" w:color="auto"/>
              <w:right w:val="single" w:sz="4" w:space="0" w:color="auto"/>
            </w:tcBorders>
          </w:tcPr>
          <w:p w14:paraId="05045C27" w14:textId="77777777" w:rsidR="008C5104" w:rsidRPr="007E46C9" w:rsidRDefault="008C5104" w:rsidP="008C5104">
            <w:pPr>
              <w:spacing w:after="60"/>
              <w:rPr>
                <w:iCs/>
                <w:sz w:val="20"/>
              </w:rPr>
            </w:pPr>
            <w:r w:rsidRPr="007E46C9">
              <w:rPr>
                <w:iCs/>
                <w:sz w:val="20"/>
              </w:rPr>
              <w:t xml:space="preserve">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34FF8D8"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0A448A" w14:textId="77777777" w:rsidR="008C5104" w:rsidRPr="007E46C9" w:rsidRDefault="008C5104" w:rsidP="008C5104">
            <w:pPr>
              <w:spacing w:after="60"/>
              <w:rPr>
                <w:iCs/>
                <w:sz w:val="20"/>
              </w:rPr>
            </w:pPr>
            <w:r w:rsidRPr="007E46C9">
              <w:rPr>
                <w:i/>
                <w:iCs/>
                <w:sz w:val="20"/>
              </w:rPr>
              <w:t>Reg-Up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Reg-Up, for the hour.</w:t>
            </w:r>
          </w:p>
        </w:tc>
      </w:tr>
      <w:tr w:rsidR="008C5104" w:rsidRPr="007E46C9" w14:paraId="4F7003EC" w14:textId="77777777" w:rsidTr="008C5104">
        <w:tc>
          <w:tcPr>
            <w:tcW w:w="849" w:type="pct"/>
            <w:tcBorders>
              <w:top w:val="single" w:sz="4" w:space="0" w:color="auto"/>
              <w:left w:val="single" w:sz="4" w:space="0" w:color="auto"/>
              <w:bottom w:val="single" w:sz="4" w:space="0" w:color="auto"/>
              <w:right w:val="single" w:sz="4" w:space="0" w:color="auto"/>
            </w:tcBorders>
          </w:tcPr>
          <w:p w14:paraId="3DF9FD24" w14:textId="77777777" w:rsidR="008C5104" w:rsidRPr="007E46C9" w:rsidRDefault="008C5104" w:rsidP="008C5104">
            <w:pPr>
              <w:spacing w:after="60"/>
              <w:rPr>
                <w:iCs/>
                <w:sz w:val="20"/>
              </w:rPr>
            </w:pPr>
            <w:r w:rsidRPr="007E46C9">
              <w:rPr>
                <w:sz w:val="20"/>
              </w:rPr>
              <w:t xml:space="preserve">RRUFQ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713541"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414DD06" w14:textId="77777777" w:rsidR="008C5104" w:rsidRPr="007E46C9" w:rsidRDefault="008C5104" w:rsidP="008C5104">
            <w:pPr>
              <w:spacing w:after="60"/>
              <w:rPr>
                <w:i/>
                <w:iCs/>
                <w:sz w:val="20"/>
              </w:rPr>
            </w:pPr>
            <w:r w:rsidRPr="007E46C9">
              <w:rPr>
                <w:i/>
                <w:sz w:val="20"/>
              </w:rPr>
              <w:t>Reconfiguration Reg-Up Failure Quantity per QSE—</w:t>
            </w:r>
            <w:r w:rsidRPr="007E46C9">
              <w:rPr>
                <w:sz w:val="20"/>
              </w:rPr>
              <w:t xml:space="preserve">QSE </w:t>
            </w:r>
            <w:r w:rsidRPr="007E46C9">
              <w:rPr>
                <w:i/>
                <w:sz w:val="20"/>
              </w:rPr>
              <w:t>q</w:t>
            </w:r>
            <w:r w:rsidRPr="007E46C9">
              <w:rPr>
                <w:sz w:val="20"/>
              </w:rPr>
              <w:t xml:space="preserve"> total capacity associated with reconfiguration reductions on its Ancillary Service Supply Responsibility for Reg-Up, for the hour.</w:t>
            </w:r>
          </w:p>
        </w:tc>
      </w:tr>
      <w:tr w:rsidR="008C5104" w:rsidRPr="007E46C9" w14:paraId="66D379B0" w14:textId="77777777" w:rsidTr="008C5104">
        <w:tc>
          <w:tcPr>
            <w:tcW w:w="849" w:type="pct"/>
            <w:tcBorders>
              <w:top w:val="single" w:sz="4" w:space="0" w:color="auto"/>
              <w:left w:val="single" w:sz="4" w:space="0" w:color="auto"/>
              <w:bottom w:val="single" w:sz="4" w:space="0" w:color="auto"/>
              <w:right w:val="single" w:sz="4" w:space="0" w:color="auto"/>
            </w:tcBorders>
          </w:tcPr>
          <w:p w14:paraId="17535F49"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47B323B"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54302E9"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 QSE Load Ratio Share for an Operating Hour.</w:t>
            </w:r>
          </w:p>
        </w:tc>
      </w:tr>
      <w:tr w:rsidR="008C5104" w:rsidRPr="007E46C9" w14:paraId="302C9E51" w14:textId="77777777" w:rsidTr="008C5104">
        <w:tc>
          <w:tcPr>
            <w:tcW w:w="849" w:type="pct"/>
            <w:tcBorders>
              <w:top w:val="single" w:sz="4" w:space="0" w:color="auto"/>
              <w:left w:val="single" w:sz="4" w:space="0" w:color="auto"/>
              <w:bottom w:val="single" w:sz="4" w:space="0" w:color="auto"/>
              <w:right w:val="single" w:sz="4" w:space="0" w:color="auto"/>
            </w:tcBorders>
          </w:tcPr>
          <w:p w14:paraId="59F034FF" w14:textId="77777777" w:rsidR="008C5104" w:rsidRPr="007E46C9" w:rsidRDefault="008C5104" w:rsidP="008C5104">
            <w:pPr>
              <w:rPr>
                <w:sz w:val="20"/>
              </w:rPr>
            </w:pPr>
            <w:r w:rsidRPr="007E46C9">
              <w:rPr>
                <w:sz w:val="20"/>
              </w:rPr>
              <w:t xml:space="preserve">PCRU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F2DEF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3F870B" w14:textId="77777777" w:rsidR="008C5104" w:rsidRPr="007E46C9" w:rsidRDefault="008C5104" w:rsidP="008C5104">
            <w:pPr>
              <w:rPr>
                <w:sz w:val="20"/>
              </w:rPr>
            </w:pPr>
            <w:r w:rsidRPr="007E46C9">
              <w:rPr>
                <w:i/>
                <w:sz w:val="20"/>
              </w:rPr>
              <w:t>Procured Capacity for Reg-Up per QSE in DAM</w:t>
            </w:r>
            <w:r w:rsidRPr="007E46C9">
              <w:rPr>
                <w:sz w:val="20"/>
              </w:rPr>
              <w:t xml:space="preserve">—The total Reg-Up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71A87D58" w14:textId="77777777" w:rsidTr="008C5104">
        <w:tc>
          <w:tcPr>
            <w:tcW w:w="849" w:type="pct"/>
            <w:tcBorders>
              <w:top w:val="single" w:sz="4" w:space="0" w:color="auto"/>
              <w:left w:val="single" w:sz="4" w:space="0" w:color="auto"/>
              <w:bottom w:val="single" w:sz="4" w:space="0" w:color="auto"/>
              <w:right w:val="single" w:sz="4" w:space="0" w:color="auto"/>
            </w:tcBorders>
          </w:tcPr>
          <w:p w14:paraId="3AC263CA" w14:textId="77777777" w:rsidR="008C5104" w:rsidRPr="007E46C9" w:rsidRDefault="008C5104" w:rsidP="008C5104">
            <w:pPr>
              <w:spacing w:after="60"/>
              <w:rPr>
                <w:sz w:val="20"/>
              </w:rPr>
            </w:pPr>
            <w:r w:rsidRPr="007E46C9">
              <w:rPr>
                <w:sz w:val="20"/>
              </w:rPr>
              <w:t>SARUQ</w:t>
            </w:r>
            <w:r w:rsidRPr="007E46C9">
              <w:rPr>
                <w:sz w:val="20"/>
                <w:vertAlign w:val="subscript"/>
              </w:rPr>
              <w:t xml:space="preserve">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E7B1878"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366967F" w14:textId="77777777" w:rsidR="008C5104" w:rsidRPr="007E46C9" w:rsidRDefault="008C5104" w:rsidP="008C5104">
            <w:pPr>
              <w:spacing w:after="60"/>
              <w:rPr>
                <w:sz w:val="20"/>
              </w:rPr>
            </w:pPr>
            <w:r w:rsidRPr="007E46C9">
              <w:rPr>
                <w:i/>
                <w:sz w:val="20"/>
              </w:rPr>
              <w:t>Total Self-Arranged Reg-Up Quantity per QSE for all markets</w:t>
            </w:r>
            <w:r w:rsidRPr="007E46C9">
              <w:rPr>
                <w:sz w:val="20"/>
              </w:rPr>
              <w:t xml:space="preserve">—The sum of all self-arranged Reg-Up quantities submitted by QSE </w:t>
            </w:r>
            <w:r w:rsidRPr="007E46C9">
              <w:rPr>
                <w:i/>
                <w:sz w:val="20"/>
              </w:rPr>
              <w:t>q</w:t>
            </w:r>
            <w:r w:rsidRPr="007E46C9">
              <w:rPr>
                <w:sz w:val="20"/>
              </w:rPr>
              <w:t xml:space="preserve"> for DAM and all SASMs.</w:t>
            </w:r>
          </w:p>
        </w:tc>
      </w:tr>
      <w:tr w:rsidR="008C5104" w:rsidRPr="007E46C9" w14:paraId="187EDC3B" w14:textId="77777777" w:rsidTr="008C5104">
        <w:tc>
          <w:tcPr>
            <w:tcW w:w="849" w:type="pct"/>
            <w:tcBorders>
              <w:top w:val="single" w:sz="4" w:space="0" w:color="auto"/>
              <w:left w:val="single" w:sz="4" w:space="0" w:color="auto"/>
              <w:bottom w:val="single" w:sz="4" w:space="0" w:color="auto"/>
              <w:right w:val="single" w:sz="4" w:space="0" w:color="auto"/>
            </w:tcBorders>
          </w:tcPr>
          <w:p w14:paraId="67DD98CB"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3B3B9F74"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960FAB5" w14:textId="77777777" w:rsidR="008C5104" w:rsidRPr="007E46C9" w:rsidRDefault="008C5104" w:rsidP="008C5104">
            <w:pPr>
              <w:spacing w:after="60"/>
              <w:rPr>
                <w:iCs/>
                <w:sz w:val="20"/>
              </w:rPr>
            </w:pPr>
            <w:r w:rsidRPr="007E46C9">
              <w:rPr>
                <w:iCs/>
                <w:sz w:val="20"/>
              </w:rPr>
              <w:t>A QSE.</w:t>
            </w:r>
          </w:p>
        </w:tc>
      </w:tr>
      <w:tr w:rsidR="008C5104" w:rsidRPr="007E46C9" w14:paraId="6589C1E9" w14:textId="77777777" w:rsidTr="008C5104">
        <w:tc>
          <w:tcPr>
            <w:tcW w:w="849" w:type="pct"/>
            <w:tcBorders>
              <w:top w:val="single" w:sz="4" w:space="0" w:color="auto"/>
              <w:left w:val="single" w:sz="4" w:space="0" w:color="auto"/>
              <w:bottom w:val="single" w:sz="4" w:space="0" w:color="auto"/>
              <w:right w:val="single" w:sz="4" w:space="0" w:color="auto"/>
            </w:tcBorders>
          </w:tcPr>
          <w:p w14:paraId="55D37B41"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2D2C52D1"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871EC7A" w14:textId="77777777" w:rsidR="008C5104" w:rsidRPr="007E46C9" w:rsidRDefault="008C5104" w:rsidP="008C5104">
            <w:pPr>
              <w:spacing w:after="60"/>
              <w:rPr>
                <w:iCs/>
                <w:sz w:val="20"/>
              </w:rPr>
            </w:pPr>
            <w:r w:rsidRPr="007E46C9">
              <w:rPr>
                <w:iCs/>
                <w:sz w:val="20"/>
              </w:rPr>
              <w:t>A SASM for the given Operating Hour.</w:t>
            </w:r>
          </w:p>
        </w:tc>
      </w:tr>
    </w:tbl>
    <w:p w14:paraId="70E0ED52" w14:textId="77777777" w:rsidR="008C5104" w:rsidRPr="007E46C9" w:rsidRDefault="008C5104" w:rsidP="008C5104"/>
    <w:p w14:paraId="7FFD4F48" w14:textId="77777777" w:rsidR="008C5104" w:rsidRPr="007E46C9" w:rsidRDefault="008C5104" w:rsidP="008C5104">
      <w:pPr>
        <w:spacing w:after="240"/>
        <w:ind w:left="1440" w:hanging="720"/>
      </w:pPr>
      <w:r w:rsidRPr="007E46C9">
        <w:t>(c)</w:t>
      </w:r>
      <w:r w:rsidRPr="007E46C9">
        <w:tab/>
        <w:t>The adjustment to each QSE’s DAM charge for the Reg-Up for the Operating Hour, due to changes during the Adjustment Period or Real-Time operations, is calculated as follows:</w:t>
      </w:r>
    </w:p>
    <w:p w14:paraId="33D77DF6" w14:textId="77777777" w:rsidR="008C5104" w:rsidRPr="007E46C9" w:rsidRDefault="008C5104" w:rsidP="008C5104">
      <w:pPr>
        <w:spacing w:after="240"/>
        <w:ind w:left="2880" w:hanging="2160"/>
      </w:pPr>
      <w:r w:rsidRPr="007E46C9">
        <w:rPr>
          <w:b/>
        </w:rPr>
        <w:t xml:space="preserve">RTRUAMT </w:t>
      </w:r>
      <w:r w:rsidRPr="007E46C9">
        <w:rPr>
          <w:b/>
          <w:i/>
          <w:vertAlign w:val="subscript"/>
        </w:rPr>
        <w:t>q</w:t>
      </w:r>
      <w:r w:rsidRPr="007E46C9">
        <w:rPr>
          <w:b/>
          <w:vertAlign w:val="subscript"/>
        </w:rPr>
        <w:tab/>
      </w:r>
      <w:r w:rsidRPr="007E46C9">
        <w:rPr>
          <w:b/>
          <w:vertAlign w:val="subscript"/>
        </w:rPr>
        <w:tab/>
      </w:r>
      <w:r w:rsidRPr="007E46C9">
        <w:rPr>
          <w:b/>
        </w:rPr>
        <w:t>=</w:t>
      </w:r>
      <w:r w:rsidRPr="007E46C9">
        <w:rPr>
          <w:b/>
        </w:rPr>
        <w:tab/>
        <w:t xml:space="preserve">RUCOST </w:t>
      </w:r>
      <w:r w:rsidRPr="007E46C9">
        <w:rPr>
          <w:b/>
          <w:i/>
          <w:vertAlign w:val="subscript"/>
        </w:rPr>
        <w:t>q</w:t>
      </w:r>
      <w:r w:rsidRPr="007E46C9">
        <w:rPr>
          <w:b/>
        </w:rPr>
        <w:t xml:space="preserve"> – DARUAMT </w:t>
      </w:r>
      <w:r w:rsidRPr="007E46C9">
        <w:rPr>
          <w:b/>
          <w:i/>
          <w:vertAlign w:val="subscript"/>
        </w:rPr>
        <w:t>q</w:t>
      </w:r>
    </w:p>
    <w:p w14:paraId="6D08032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52D25594" w14:textId="77777777" w:rsidTr="008C5104">
        <w:tc>
          <w:tcPr>
            <w:tcW w:w="824" w:type="pct"/>
          </w:tcPr>
          <w:p w14:paraId="676D151A" w14:textId="77777777" w:rsidR="008C5104" w:rsidRPr="007E46C9" w:rsidRDefault="008C5104" w:rsidP="008C5104">
            <w:pPr>
              <w:spacing w:after="120"/>
              <w:rPr>
                <w:b/>
                <w:iCs/>
                <w:sz w:val="20"/>
              </w:rPr>
            </w:pPr>
            <w:r w:rsidRPr="007E46C9">
              <w:rPr>
                <w:b/>
                <w:iCs/>
                <w:sz w:val="20"/>
              </w:rPr>
              <w:t>Variable</w:t>
            </w:r>
          </w:p>
        </w:tc>
        <w:tc>
          <w:tcPr>
            <w:tcW w:w="463" w:type="pct"/>
          </w:tcPr>
          <w:p w14:paraId="5ECF7A0F" w14:textId="77777777" w:rsidR="008C5104" w:rsidRPr="007E46C9" w:rsidRDefault="008C5104" w:rsidP="008C5104">
            <w:pPr>
              <w:spacing w:after="120"/>
              <w:rPr>
                <w:b/>
                <w:iCs/>
                <w:sz w:val="20"/>
              </w:rPr>
            </w:pPr>
            <w:r w:rsidRPr="007E46C9">
              <w:rPr>
                <w:b/>
                <w:iCs/>
                <w:sz w:val="20"/>
              </w:rPr>
              <w:t>Unit</w:t>
            </w:r>
          </w:p>
        </w:tc>
        <w:tc>
          <w:tcPr>
            <w:tcW w:w="3713" w:type="pct"/>
          </w:tcPr>
          <w:p w14:paraId="588A75B4" w14:textId="77777777" w:rsidR="008C5104" w:rsidRPr="007E46C9" w:rsidRDefault="008C5104" w:rsidP="008C5104">
            <w:pPr>
              <w:spacing w:after="120"/>
              <w:rPr>
                <w:b/>
                <w:iCs/>
                <w:sz w:val="20"/>
              </w:rPr>
            </w:pPr>
            <w:r w:rsidRPr="007E46C9">
              <w:rPr>
                <w:b/>
                <w:iCs/>
                <w:sz w:val="20"/>
              </w:rPr>
              <w:t>Description</w:t>
            </w:r>
          </w:p>
        </w:tc>
      </w:tr>
      <w:tr w:rsidR="008C5104" w:rsidRPr="007E46C9" w14:paraId="021DF483" w14:textId="77777777" w:rsidTr="008C5104">
        <w:tc>
          <w:tcPr>
            <w:tcW w:w="824" w:type="pct"/>
          </w:tcPr>
          <w:p w14:paraId="6A29EAC6" w14:textId="77777777" w:rsidR="008C5104" w:rsidRPr="007E46C9" w:rsidRDefault="008C5104" w:rsidP="008C5104">
            <w:pPr>
              <w:spacing w:after="60"/>
              <w:rPr>
                <w:iCs/>
                <w:sz w:val="20"/>
              </w:rPr>
            </w:pPr>
            <w:r w:rsidRPr="007E46C9">
              <w:rPr>
                <w:iCs/>
                <w:sz w:val="20"/>
              </w:rPr>
              <w:t xml:space="preserve">RTRUAMT </w:t>
            </w:r>
            <w:r w:rsidRPr="007E46C9">
              <w:rPr>
                <w:i/>
                <w:iCs/>
                <w:sz w:val="20"/>
                <w:vertAlign w:val="subscript"/>
              </w:rPr>
              <w:t>q</w:t>
            </w:r>
          </w:p>
        </w:tc>
        <w:tc>
          <w:tcPr>
            <w:tcW w:w="463" w:type="pct"/>
          </w:tcPr>
          <w:p w14:paraId="6520B03A" w14:textId="77777777" w:rsidR="008C5104" w:rsidRPr="007E46C9" w:rsidRDefault="008C5104" w:rsidP="008C5104">
            <w:pPr>
              <w:spacing w:after="60"/>
              <w:rPr>
                <w:iCs/>
                <w:sz w:val="20"/>
              </w:rPr>
            </w:pPr>
            <w:r w:rsidRPr="007E46C9">
              <w:rPr>
                <w:iCs/>
                <w:sz w:val="20"/>
              </w:rPr>
              <w:t>$</w:t>
            </w:r>
          </w:p>
        </w:tc>
        <w:tc>
          <w:tcPr>
            <w:tcW w:w="3713" w:type="pct"/>
          </w:tcPr>
          <w:p w14:paraId="32159C67" w14:textId="77777777" w:rsidR="008C5104" w:rsidRPr="007E46C9" w:rsidRDefault="008C5104" w:rsidP="008C5104">
            <w:pPr>
              <w:spacing w:after="60"/>
              <w:rPr>
                <w:iCs/>
                <w:sz w:val="20"/>
              </w:rPr>
            </w:pPr>
            <w:r w:rsidRPr="007E46C9">
              <w:rPr>
                <w:i/>
                <w:iCs/>
                <w:sz w:val="20"/>
              </w:rPr>
              <w:t>Real-Time Reg-Up Amount per QSE</w:t>
            </w:r>
            <w:r w:rsidRPr="007E46C9">
              <w:rPr>
                <w:iCs/>
                <w:sz w:val="20"/>
              </w:rPr>
              <w:t xml:space="preserve">—The adjustment to QSE </w:t>
            </w:r>
            <w:r w:rsidRPr="007E46C9">
              <w:rPr>
                <w:i/>
                <w:iCs/>
                <w:sz w:val="20"/>
              </w:rPr>
              <w:t>q</w:t>
            </w:r>
            <w:r w:rsidRPr="007E46C9">
              <w:rPr>
                <w:iCs/>
                <w:sz w:val="20"/>
              </w:rPr>
              <w:t>’s share of the costs for Reg-Up, for the hour.</w:t>
            </w:r>
          </w:p>
        </w:tc>
      </w:tr>
      <w:tr w:rsidR="008C5104" w:rsidRPr="007E46C9" w14:paraId="22E12631" w14:textId="77777777" w:rsidTr="008C5104">
        <w:tc>
          <w:tcPr>
            <w:tcW w:w="824" w:type="pct"/>
          </w:tcPr>
          <w:p w14:paraId="5239F7F1"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3" w:type="pct"/>
          </w:tcPr>
          <w:p w14:paraId="14E9B4CB" w14:textId="77777777" w:rsidR="008C5104" w:rsidRPr="007E46C9" w:rsidRDefault="008C5104" w:rsidP="008C5104">
            <w:pPr>
              <w:spacing w:after="60"/>
              <w:rPr>
                <w:iCs/>
                <w:sz w:val="20"/>
              </w:rPr>
            </w:pPr>
            <w:r w:rsidRPr="007E46C9">
              <w:rPr>
                <w:iCs/>
                <w:sz w:val="20"/>
              </w:rPr>
              <w:t>$</w:t>
            </w:r>
          </w:p>
        </w:tc>
        <w:tc>
          <w:tcPr>
            <w:tcW w:w="3713" w:type="pct"/>
          </w:tcPr>
          <w:p w14:paraId="64C98ADD" w14:textId="77777777" w:rsidR="008C5104" w:rsidRPr="007E46C9" w:rsidRDefault="008C5104" w:rsidP="008C5104">
            <w:pPr>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2AC4F53C" w14:textId="77777777" w:rsidTr="008C5104">
        <w:tc>
          <w:tcPr>
            <w:tcW w:w="824" w:type="pct"/>
          </w:tcPr>
          <w:p w14:paraId="3282DA7A" w14:textId="77777777" w:rsidR="008C5104" w:rsidRPr="007E46C9" w:rsidRDefault="008C5104" w:rsidP="008C5104">
            <w:pPr>
              <w:spacing w:after="60"/>
              <w:rPr>
                <w:iCs/>
                <w:sz w:val="20"/>
              </w:rPr>
            </w:pPr>
            <w:r w:rsidRPr="007E46C9">
              <w:rPr>
                <w:iCs/>
                <w:sz w:val="20"/>
              </w:rPr>
              <w:t xml:space="preserve">DARUAMT </w:t>
            </w:r>
            <w:r w:rsidRPr="007E46C9">
              <w:rPr>
                <w:i/>
                <w:iCs/>
                <w:sz w:val="20"/>
                <w:vertAlign w:val="subscript"/>
              </w:rPr>
              <w:t>q</w:t>
            </w:r>
          </w:p>
        </w:tc>
        <w:tc>
          <w:tcPr>
            <w:tcW w:w="463" w:type="pct"/>
          </w:tcPr>
          <w:p w14:paraId="61044865" w14:textId="77777777" w:rsidR="008C5104" w:rsidRPr="007E46C9" w:rsidRDefault="008C5104" w:rsidP="008C5104">
            <w:pPr>
              <w:spacing w:after="60"/>
              <w:rPr>
                <w:iCs/>
                <w:sz w:val="20"/>
              </w:rPr>
            </w:pPr>
            <w:r w:rsidRPr="007E46C9">
              <w:rPr>
                <w:iCs/>
                <w:sz w:val="20"/>
              </w:rPr>
              <w:t>$</w:t>
            </w:r>
          </w:p>
        </w:tc>
        <w:tc>
          <w:tcPr>
            <w:tcW w:w="3713" w:type="pct"/>
          </w:tcPr>
          <w:p w14:paraId="7C5A2EDE" w14:textId="77777777" w:rsidR="008C5104" w:rsidRPr="007E46C9" w:rsidRDefault="008C5104" w:rsidP="008C5104">
            <w:pPr>
              <w:spacing w:after="60"/>
              <w:rPr>
                <w:iCs/>
                <w:sz w:val="20"/>
              </w:rPr>
            </w:pPr>
            <w:r w:rsidRPr="007E46C9">
              <w:rPr>
                <w:i/>
                <w:iCs/>
                <w:sz w:val="20"/>
              </w:rPr>
              <w:t>Day-Ahead Reg-Up Amount per QSE</w:t>
            </w:r>
            <w:r w:rsidRPr="007E46C9">
              <w:rPr>
                <w:iCs/>
                <w:sz w:val="20"/>
              </w:rPr>
              <w:t xml:space="preserve">—QSE </w:t>
            </w:r>
            <w:r w:rsidRPr="007E46C9">
              <w:rPr>
                <w:i/>
                <w:iCs/>
                <w:sz w:val="20"/>
              </w:rPr>
              <w:t>q</w:t>
            </w:r>
            <w:r w:rsidRPr="007E46C9">
              <w:rPr>
                <w:iCs/>
                <w:sz w:val="20"/>
              </w:rPr>
              <w:t>’s share of the DAM cost for Reg-Up, for the hour.</w:t>
            </w:r>
          </w:p>
        </w:tc>
      </w:tr>
      <w:tr w:rsidR="008C5104" w:rsidRPr="007E46C9" w14:paraId="1333B814" w14:textId="77777777" w:rsidTr="008C5104">
        <w:tc>
          <w:tcPr>
            <w:tcW w:w="824" w:type="pct"/>
            <w:tcBorders>
              <w:top w:val="single" w:sz="4" w:space="0" w:color="auto"/>
              <w:left w:val="single" w:sz="4" w:space="0" w:color="auto"/>
              <w:bottom w:val="single" w:sz="4" w:space="0" w:color="auto"/>
              <w:right w:val="single" w:sz="4" w:space="0" w:color="auto"/>
            </w:tcBorders>
          </w:tcPr>
          <w:p w14:paraId="6100B891"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73B56E3C"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252F2A7" w14:textId="77777777" w:rsidR="008C5104" w:rsidRPr="007E46C9" w:rsidRDefault="008C5104" w:rsidP="008C5104">
            <w:pPr>
              <w:spacing w:after="60"/>
              <w:rPr>
                <w:iCs/>
                <w:sz w:val="20"/>
              </w:rPr>
            </w:pPr>
            <w:r w:rsidRPr="007E46C9">
              <w:rPr>
                <w:iCs/>
                <w:sz w:val="20"/>
              </w:rPr>
              <w:t>A QSE.</w:t>
            </w:r>
          </w:p>
        </w:tc>
      </w:tr>
    </w:tbl>
    <w:p w14:paraId="42298EB6" w14:textId="77777777" w:rsidR="008C5104" w:rsidRPr="007E46C9" w:rsidRDefault="008C5104" w:rsidP="008C5104">
      <w:pPr>
        <w:spacing w:before="240" w:after="240"/>
        <w:ind w:left="720" w:hanging="720"/>
        <w:rPr>
          <w:iCs/>
        </w:rPr>
      </w:pPr>
      <w:r w:rsidRPr="007E46C9">
        <w:rPr>
          <w:iCs/>
        </w:rPr>
        <w:lastRenderedPageBreak/>
        <w:t>(3)</w:t>
      </w:r>
      <w:r w:rsidRPr="007E46C9">
        <w:rPr>
          <w:iCs/>
        </w:rPr>
        <w:tab/>
        <w:t>For Reg-Down, if applicable:</w:t>
      </w:r>
    </w:p>
    <w:p w14:paraId="4F54C5D7" w14:textId="77777777" w:rsidR="008C5104" w:rsidRPr="007E46C9" w:rsidRDefault="008C5104" w:rsidP="008C5104">
      <w:pPr>
        <w:spacing w:after="240"/>
        <w:ind w:left="1440" w:hanging="720"/>
      </w:pPr>
      <w:r w:rsidRPr="007E46C9">
        <w:t>(a)</w:t>
      </w:r>
      <w:r w:rsidRPr="007E46C9">
        <w:tab/>
        <w:t>The net total costs for Reg-Down for a given Operating Hour is calculated as follows:</w:t>
      </w:r>
    </w:p>
    <w:p w14:paraId="0236AE43" w14:textId="03858E9C" w:rsidR="008C5104" w:rsidRDefault="008C5104" w:rsidP="008C5104">
      <w:pPr>
        <w:spacing w:after="120"/>
        <w:ind w:left="3600" w:hanging="2880"/>
        <w:rPr>
          <w:b/>
          <w:bCs/>
        </w:rPr>
      </w:pPr>
      <w:r w:rsidRPr="007E46C9">
        <w:rPr>
          <w:b/>
          <w:bCs/>
        </w:rPr>
        <w:t>RDCOSTTOT</w:t>
      </w:r>
      <w:r w:rsidRPr="007E46C9">
        <w:rPr>
          <w:b/>
          <w:bCs/>
        </w:rPr>
        <w:tab/>
        <w:t>=</w:t>
      </w:r>
      <w:r w:rsidRPr="007E46C9">
        <w:rPr>
          <w:b/>
          <w:bCs/>
        </w:rPr>
        <w:tab/>
        <w:t>(-1) * (</w:t>
      </w:r>
      <w:r w:rsidR="00A94020">
        <w:rPr>
          <w:b/>
          <w:bCs/>
          <w:noProof/>
          <w:position w:val="-20"/>
        </w:rPr>
        <w:drawing>
          <wp:inline distT="0" distB="0" distL="0" distR="0" wp14:anchorId="31E4450E" wp14:editId="44837E00">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(RTPCRDAMTTOT </w:t>
      </w:r>
      <w:r w:rsidRPr="007E46C9">
        <w:rPr>
          <w:b/>
          <w:bCs/>
          <w:i/>
          <w:vertAlign w:val="subscript"/>
        </w:rPr>
        <w:t>m</w:t>
      </w:r>
      <w:r w:rsidRPr="007E46C9">
        <w:rPr>
          <w:b/>
          <w:bCs/>
        </w:rPr>
        <w:t xml:space="preserve">) + </w:t>
      </w:r>
      <w:r w:rsidRPr="007E46C9">
        <w:rPr>
          <w:b/>
          <w:bCs/>
        </w:rPr>
        <w:tab/>
        <w:t>PCRDAMTTOT + RDFQAMTTOT</w:t>
      </w:r>
      <w:r w:rsidRPr="00D66F53">
        <w:rPr>
          <w:b/>
          <w:bCs/>
        </w:rPr>
        <w:t xml:space="preserve"> +</w:t>
      </w:r>
    </w:p>
    <w:p w14:paraId="06C7FC10" w14:textId="77777777" w:rsidR="008C5104" w:rsidRPr="007E46C9" w:rsidRDefault="008C5104" w:rsidP="008C5104">
      <w:pPr>
        <w:spacing w:after="240"/>
        <w:ind w:left="3600" w:firstLine="720"/>
        <w:rPr>
          <w:b/>
          <w:bCs/>
        </w:rPr>
      </w:pPr>
      <w:r w:rsidRPr="00D66F53">
        <w:rPr>
          <w:b/>
          <w:bCs/>
        </w:rPr>
        <w:t>RDINFQAMTTOT</w:t>
      </w:r>
      <w:r w:rsidRPr="007E46C9">
        <w:rPr>
          <w:b/>
          <w:bCs/>
        </w:rPr>
        <w:t>)</w:t>
      </w:r>
    </w:p>
    <w:p w14:paraId="411D9C60" w14:textId="77777777" w:rsidR="008C5104" w:rsidRPr="007E46C9" w:rsidRDefault="008C5104" w:rsidP="008C5104">
      <w:pPr>
        <w:spacing w:after="240"/>
        <w:rPr>
          <w:iCs/>
        </w:rPr>
      </w:pPr>
      <w:r w:rsidRPr="007E46C9">
        <w:rPr>
          <w:iCs/>
        </w:rPr>
        <w:t xml:space="preserve">Where: </w:t>
      </w:r>
    </w:p>
    <w:p w14:paraId="2804DFF1" w14:textId="77777777" w:rsidR="008C5104" w:rsidRPr="007E46C9" w:rsidRDefault="008C5104" w:rsidP="008C5104">
      <w:r w:rsidRPr="007E46C9">
        <w:t>Total payment of SASM- and RSASM-procured capacity for Reg-Down by market</w:t>
      </w:r>
    </w:p>
    <w:p w14:paraId="5E0FD945" w14:textId="234FA01B" w:rsidR="008C5104" w:rsidRPr="007E46C9" w:rsidRDefault="008C5104" w:rsidP="008C5104">
      <w:pPr>
        <w:spacing w:after="240"/>
        <w:ind w:leftChars="300" w:left="2880" w:hangingChars="900" w:hanging="2160"/>
        <w:rPr>
          <w:bCs/>
          <w:vertAlign w:val="subscript"/>
        </w:rPr>
      </w:pPr>
      <w:r w:rsidRPr="007E46C9">
        <w:rPr>
          <w:bCs/>
        </w:rPr>
        <w:t xml:space="preserve">RTPCRDAMTTOT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D39EE46" wp14:editId="7D00D09A">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RTPCRDAMT </w:t>
      </w:r>
      <w:r w:rsidRPr="007E46C9">
        <w:rPr>
          <w:bCs/>
          <w:i/>
          <w:vertAlign w:val="subscript"/>
        </w:rPr>
        <w:t xml:space="preserve">q, m </w:t>
      </w:r>
    </w:p>
    <w:p w14:paraId="210F192A" w14:textId="77777777" w:rsidR="008C5104" w:rsidRPr="007E46C9" w:rsidRDefault="008C5104" w:rsidP="008C5104">
      <w:r w:rsidRPr="007E46C9">
        <w:t>Total payment of DAM-procured capacity for Reg-Down</w:t>
      </w:r>
    </w:p>
    <w:p w14:paraId="5B4525B7" w14:textId="14D283C2" w:rsidR="008C5104" w:rsidRPr="007E46C9" w:rsidRDefault="008C5104" w:rsidP="008C5104">
      <w:pPr>
        <w:spacing w:after="240"/>
        <w:ind w:leftChars="300" w:left="2880" w:hangingChars="900" w:hanging="2160"/>
        <w:rPr>
          <w:bCs/>
        </w:rPr>
      </w:pPr>
      <w:r w:rsidRPr="007E46C9">
        <w:rPr>
          <w:bCs/>
        </w:rPr>
        <w:t>PCRDAMTTOT</w:t>
      </w:r>
      <w:r w:rsidRPr="007E46C9">
        <w:rPr>
          <w:bCs/>
          <w:i/>
          <w:vertAlign w:val="subscript"/>
        </w:rPr>
        <w:tab/>
      </w:r>
      <w:r w:rsidRPr="007E46C9">
        <w:rPr>
          <w:bCs/>
          <w:i/>
          <w:vertAlign w:val="subscript"/>
        </w:rPr>
        <w:tab/>
      </w:r>
      <w:r w:rsidRPr="007E46C9">
        <w:rPr>
          <w:bCs/>
        </w:rPr>
        <w:t>=</w:t>
      </w:r>
      <w:r w:rsidRPr="007E46C9">
        <w:rPr>
          <w:bCs/>
        </w:rPr>
        <w:tab/>
      </w:r>
      <w:r w:rsidRPr="007E46C9">
        <w:rPr>
          <w:bCs/>
          <w:i/>
          <w:vertAlign w:val="subscript"/>
        </w:rPr>
        <w:t xml:space="preserve"> </w:t>
      </w:r>
      <w:r w:rsidR="00A94020">
        <w:rPr>
          <w:bCs/>
          <w:noProof/>
          <w:position w:val="-22"/>
        </w:rPr>
        <w:drawing>
          <wp:inline distT="0" distB="0" distL="0" distR="0" wp14:anchorId="5276B225" wp14:editId="14DD9CBC">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PCRDAMT </w:t>
      </w:r>
      <w:r w:rsidRPr="007E46C9">
        <w:rPr>
          <w:bCs/>
          <w:i/>
          <w:vertAlign w:val="subscript"/>
        </w:rPr>
        <w:t>q</w:t>
      </w:r>
    </w:p>
    <w:p w14:paraId="06C4C5EF" w14:textId="77777777" w:rsidR="008C5104" w:rsidRPr="007E46C9" w:rsidRDefault="008C5104" w:rsidP="008C5104">
      <w:r w:rsidRPr="007E46C9">
        <w:t>Total charge of failure on Ancillary Service Supply Responsibility for Reg-Down</w:t>
      </w:r>
    </w:p>
    <w:p w14:paraId="45EA1D3E" w14:textId="4137F8E6" w:rsidR="008C5104" w:rsidRPr="007E46C9" w:rsidRDefault="008C5104" w:rsidP="008C5104">
      <w:pPr>
        <w:spacing w:after="240"/>
        <w:ind w:leftChars="300" w:left="2880" w:hangingChars="900" w:hanging="2160"/>
        <w:rPr>
          <w:bCs/>
          <w:i/>
          <w:vertAlign w:val="subscript"/>
        </w:rPr>
      </w:pPr>
      <w:r w:rsidRPr="007E46C9">
        <w:rPr>
          <w:bCs/>
        </w:rPr>
        <w:t>RDFQAMTTOT</w:t>
      </w:r>
      <w:r w:rsidRPr="007E46C9">
        <w:rPr>
          <w:bCs/>
        </w:rPr>
        <w:tab/>
      </w:r>
      <w:r w:rsidRPr="007E46C9">
        <w:rPr>
          <w:bCs/>
        </w:rPr>
        <w:tab/>
        <w:t>=</w:t>
      </w:r>
      <w:r w:rsidRPr="007E46C9">
        <w:rPr>
          <w:bCs/>
        </w:rPr>
        <w:tab/>
      </w:r>
      <w:r w:rsidR="00A94020">
        <w:rPr>
          <w:bCs/>
          <w:noProof/>
          <w:position w:val="-22"/>
        </w:rPr>
        <w:drawing>
          <wp:inline distT="0" distB="0" distL="0" distR="0" wp14:anchorId="2E9D108E" wp14:editId="1B41AA89">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RDFQAMTQSETOT </w:t>
      </w:r>
      <w:r w:rsidRPr="007E46C9">
        <w:rPr>
          <w:bCs/>
          <w:i/>
          <w:vertAlign w:val="subscript"/>
        </w:rPr>
        <w:t>q</w:t>
      </w:r>
    </w:p>
    <w:p w14:paraId="4170AEF0"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Reg-Down by QSE</w:t>
      </w:r>
    </w:p>
    <w:p w14:paraId="1AF3F7BE" w14:textId="713BC9BF" w:rsidR="008C5104" w:rsidRPr="007E46C9" w:rsidRDefault="008C5104" w:rsidP="008C5104">
      <w:pPr>
        <w:spacing w:after="240"/>
        <w:ind w:leftChars="300" w:left="2880" w:hangingChars="900" w:hanging="2160"/>
        <w:rPr>
          <w:bCs/>
          <w:i/>
          <w:vertAlign w:val="subscript"/>
        </w:rPr>
      </w:pPr>
      <w:r w:rsidRPr="007E46C9">
        <w:rPr>
          <w:bCs/>
        </w:rPr>
        <w:t xml:space="preserve">RTPCRDAMTQSETOT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5A90ECA1" wp14:editId="05BAFAFF">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RTPCRDAMT </w:t>
      </w:r>
      <w:r w:rsidRPr="007E46C9">
        <w:rPr>
          <w:bCs/>
          <w:i/>
          <w:vertAlign w:val="subscript"/>
        </w:rPr>
        <w:t>q, m</w:t>
      </w:r>
    </w:p>
    <w:p w14:paraId="1C74039A" w14:textId="77777777" w:rsidR="008C5104" w:rsidRDefault="008C5104" w:rsidP="008C5104">
      <w:r>
        <w:t>Total charge of infeasible Ancillary Service Supply Responsibility for Reg-Down</w:t>
      </w:r>
    </w:p>
    <w:p w14:paraId="29BADAAD" w14:textId="77777777" w:rsidR="008C5104" w:rsidRDefault="008C5104" w:rsidP="00EE4598">
      <w:pPr>
        <w:spacing w:after="240"/>
        <w:ind w:left="2880" w:hanging="2160"/>
      </w:pPr>
      <w:r>
        <w:t>RDINF</w:t>
      </w:r>
      <w:r w:rsidRPr="0070611B">
        <w:t>QAMT</w:t>
      </w:r>
      <w:r>
        <w:t>TOT</w:t>
      </w:r>
      <w:r>
        <w:tab/>
        <w:t>=</w:t>
      </w:r>
      <w:r>
        <w:tab/>
      </w:r>
      <w:r w:rsidRPr="006F784F">
        <w:rPr>
          <w:position w:val="-22"/>
          <w:lang w:val="pt-BR"/>
        </w:rPr>
        <w:object w:dxaOrig="225" w:dyaOrig="465" w14:anchorId="04D2BC8D">
          <v:shape id="_x0000_i1350" type="#_x0000_t75" style="width:12pt;height:18pt" o:ole="">
            <v:imagedata r:id="rId432" o:title=""/>
          </v:shape>
          <o:OLEObject Type="Embed" ProgID="Equation.3" ShapeID="_x0000_i1350" DrawAspect="Content" ObjectID="_1804653833" r:id="rId437"/>
        </w:object>
      </w:r>
      <w:r w:rsidRPr="002A7C17">
        <w:t xml:space="preserve"> </w:t>
      </w:r>
      <w:r>
        <w:t xml:space="preserve">RDINFQAMT </w:t>
      </w:r>
      <w:r w:rsidRPr="00D66F53">
        <w:rPr>
          <w:i/>
          <w:vertAlign w:val="subscript"/>
        </w:rPr>
        <w:t>q</w:t>
      </w:r>
      <w:r>
        <w:rPr>
          <w:vertAlign w:val="subscript"/>
        </w:rPr>
        <w:t xml:space="preserve"> </w:t>
      </w:r>
    </w:p>
    <w:p w14:paraId="0063ED60"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8C5104" w:rsidRPr="007E46C9" w14:paraId="32494CE3" w14:textId="77777777" w:rsidTr="008C5104">
        <w:trPr>
          <w:tblHeader/>
        </w:trPr>
        <w:tc>
          <w:tcPr>
            <w:tcW w:w="1278" w:type="pct"/>
          </w:tcPr>
          <w:p w14:paraId="14963D24" w14:textId="77777777" w:rsidR="008C5104" w:rsidRPr="007E46C9" w:rsidRDefault="008C5104" w:rsidP="008C5104">
            <w:pPr>
              <w:spacing w:after="120"/>
              <w:rPr>
                <w:b/>
                <w:iCs/>
                <w:sz w:val="20"/>
              </w:rPr>
            </w:pPr>
            <w:r w:rsidRPr="007E46C9">
              <w:rPr>
                <w:b/>
                <w:iCs/>
                <w:sz w:val="20"/>
              </w:rPr>
              <w:t>Variable</w:t>
            </w:r>
          </w:p>
        </w:tc>
        <w:tc>
          <w:tcPr>
            <w:tcW w:w="376" w:type="pct"/>
          </w:tcPr>
          <w:p w14:paraId="62B44992" w14:textId="77777777" w:rsidR="008C5104" w:rsidRPr="007E46C9" w:rsidRDefault="008C5104" w:rsidP="008C5104">
            <w:pPr>
              <w:spacing w:after="120"/>
              <w:rPr>
                <w:b/>
                <w:iCs/>
                <w:sz w:val="20"/>
              </w:rPr>
            </w:pPr>
            <w:r w:rsidRPr="007E46C9">
              <w:rPr>
                <w:b/>
                <w:iCs/>
                <w:sz w:val="20"/>
              </w:rPr>
              <w:t>Unit</w:t>
            </w:r>
          </w:p>
        </w:tc>
        <w:tc>
          <w:tcPr>
            <w:tcW w:w="3346" w:type="pct"/>
          </w:tcPr>
          <w:p w14:paraId="397756CA" w14:textId="77777777" w:rsidR="008C5104" w:rsidRPr="007E46C9" w:rsidRDefault="008C5104" w:rsidP="008C5104">
            <w:pPr>
              <w:spacing w:after="120"/>
              <w:rPr>
                <w:b/>
                <w:iCs/>
                <w:sz w:val="20"/>
              </w:rPr>
            </w:pPr>
            <w:r w:rsidRPr="007E46C9">
              <w:rPr>
                <w:b/>
                <w:iCs/>
                <w:sz w:val="20"/>
              </w:rPr>
              <w:t>Description</w:t>
            </w:r>
          </w:p>
        </w:tc>
      </w:tr>
      <w:tr w:rsidR="008C5104" w:rsidRPr="007E46C9" w14:paraId="2963F2CB" w14:textId="77777777" w:rsidTr="008C5104">
        <w:tc>
          <w:tcPr>
            <w:tcW w:w="1278" w:type="pct"/>
          </w:tcPr>
          <w:p w14:paraId="41178192" w14:textId="77777777" w:rsidR="008C5104" w:rsidRPr="007E46C9" w:rsidRDefault="008C5104" w:rsidP="008C5104">
            <w:pPr>
              <w:spacing w:after="60"/>
              <w:rPr>
                <w:iCs/>
                <w:sz w:val="20"/>
              </w:rPr>
            </w:pPr>
            <w:r w:rsidRPr="007E46C9">
              <w:rPr>
                <w:iCs/>
                <w:sz w:val="20"/>
              </w:rPr>
              <w:t>RDCOSTTOT</w:t>
            </w:r>
          </w:p>
        </w:tc>
        <w:tc>
          <w:tcPr>
            <w:tcW w:w="376" w:type="pct"/>
          </w:tcPr>
          <w:p w14:paraId="3DD2A777" w14:textId="77777777" w:rsidR="008C5104" w:rsidRPr="007E46C9" w:rsidRDefault="008C5104" w:rsidP="008C5104">
            <w:pPr>
              <w:spacing w:after="60"/>
              <w:rPr>
                <w:iCs/>
                <w:sz w:val="20"/>
              </w:rPr>
            </w:pPr>
            <w:r w:rsidRPr="007E46C9">
              <w:rPr>
                <w:iCs/>
                <w:sz w:val="20"/>
              </w:rPr>
              <w:t>$</w:t>
            </w:r>
          </w:p>
        </w:tc>
        <w:tc>
          <w:tcPr>
            <w:tcW w:w="3346" w:type="pct"/>
          </w:tcPr>
          <w:p w14:paraId="556F4982" w14:textId="77777777" w:rsidR="008C5104" w:rsidRPr="007E46C9" w:rsidRDefault="008C5104" w:rsidP="008C5104">
            <w:pPr>
              <w:spacing w:after="60"/>
              <w:rPr>
                <w:iCs/>
                <w:sz w:val="20"/>
              </w:rPr>
            </w:pPr>
            <w:r w:rsidRPr="007E46C9">
              <w:rPr>
                <w:i/>
                <w:iCs/>
                <w:sz w:val="20"/>
              </w:rPr>
              <w:t>Reg-Down Cost Total</w:t>
            </w:r>
            <w:r w:rsidRPr="007E46C9">
              <w:rPr>
                <w:iCs/>
                <w:sz w:val="20"/>
              </w:rPr>
              <w:t>—The net total costs for Reg-Down</w:t>
            </w:r>
            <w:r w:rsidR="00EE4598" w:rsidRPr="007E46C9">
              <w:rPr>
                <w:iCs/>
                <w:sz w:val="20"/>
              </w:rPr>
              <w:t>,</w:t>
            </w:r>
            <w:r w:rsidRPr="007E46C9">
              <w:rPr>
                <w:iCs/>
                <w:sz w:val="20"/>
              </w:rPr>
              <w:t xml:space="preserve"> for the hour.</w:t>
            </w:r>
          </w:p>
        </w:tc>
      </w:tr>
      <w:tr w:rsidR="008C5104" w:rsidRPr="007E46C9" w14:paraId="058EAD38" w14:textId="77777777" w:rsidTr="008C5104">
        <w:tc>
          <w:tcPr>
            <w:tcW w:w="1278" w:type="pct"/>
            <w:tcBorders>
              <w:top w:val="single" w:sz="4" w:space="0" w:color="auto"/>
              <w:left w:val="single" w:sz="4" w:space="0" w:color="auto"/>
              <w:bottom w:val="single" w:sz="4" w:space="0" w:color="auto"/>
              <w:right w:val="single" w:sz="4" w:space="0" w:color="auto"/>
            </w:tcBorders>
          </w:tcPr>
          <w:p w14:paraId="7A66252B" w14:textId="77777777" w:rsidR="008C5104" w:rsidRPr="007E46C9" w:rsidRDefault="008C5104" w:rsidP="008C5104">
            <w:pPr>
              <w:spacing w:after="60"/>
              <w:rPr>
                <w:iCs/>
                <w:sz w:val="20"/>
              </w:rPr>
            </w:pPr>
            <w:r w:rsidRPr="007E46C9">
              <w:rPr>
                <w:iCs/>
                <w:sz w:val="20"/>
              </w:rPr>
              <w:t xml:space="preserve">RTPCRDAMTTOT </w:t>
            </w:r>
            <w:r w:rsidRPr="007E46C9">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3BACD12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FE028EB" w14:textId="77777777" w:rsidR="008C5104" w:rsidRPr="007E46C9" w:rsidRDefault="008C5104" w:rsidP="008C5104">
            <w:pPr>
              <w:spacing w:after="60"/>
              <w:rPr>
                <w:i/>
                <w:iCs/>
                <w:sz w:val="20"/>
              </w:rPr>
            </w:pPr>
            <w:r w:rsidRPr="007E46C9">
              <w:rPr>
                <w:i/>
                <w:iCs/>
                <w:sz w:val="20"/>
              </w:rPr>
              <w:t>Procured Capacity for Reg-Down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Reg-Down, for the hour.</w:t>
            </w:r>
          </w:p>
        </w:tc>
      </w:tr>
      <w:tr w:rsidR="008C5104" w:rsidRPr="007E46C9" w14:paraId="4B7D5DB6" w14:textId="77777777" w:rsidTr="008C5104">
        <w:tc>
          <w:tcPr>
            <w:tcW w:w="1278" w:type="pct"/>
            <w:tcBorders>
              <w:top w:val="single" w:sz="4" w:space="0" w:color="auto"/>
              <w:left w:val="single" w:sz="4" w:space="0" w:color="auto"/>
              <w:bottom w:val="single" w:sz="4" w:space="0" w:color="auto"/>
              <w:right w:val="single" w:sz="4" w:space="0" w:color="auto"/>
            </w:tcBorders>
          </w:tcPr>
          <w:p w14:paraId="4D97FBE9" w14:textId="77777777" w:rsidR="008C5104" w:rsidRPr="007E46C9" w:rsidRDefault="008C5104" w:rsidP="008C5104">
            <w:pPr>
              <w:spacing w:after="60"/>
              <w:rPr>
                <w:iCs/>
                <w:sz w:val="20"/>
              </w:rPr>
            </w:pPr>
            <w:r w:rsidRPr="007E46C9">
              <w:rPr>
                <w:iCs/>
                <w:sz w:val="20"/>
              </w:rPr>
              <w:t xml:space="preserve">RTPCRDAMT </w:t>
            </w:r>
            <w:r w:rsidRPr="007E46C9">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5AA7E6D2"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764EE392" w14:textId="77777777" w:rsidR="008C5104" w:rsidRPr="007E46C9" w:rsidRDefault="008C5104" w:rsidP="008C5104">
            <w:pPr>
              <w:spacing w:after="60"/>
              <w:rPr>
                <w:i/>
                <w:iCs/>
                <w:sz w:val="20"/>
              </w:rPr>
            </w:pPr>
            <w:r w:rsidRPr="007E46C9">
              <w:rPr>
                <w:i/>
                <w:iCs/>
                <w:sz w:val="20"/>
              </w:rPr>
              <w:t>Procured Capacity for Reg-Down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Reg-Down, for the hour.</w:t>
            </w:r>
          </w:p>
        </w:tc>
      </w:tr>
      <w:tr w:rsidR="008C5104" w:rsidRPr="007E46C9" w14:paraId="0AC7B541" w14:textId="77777777" w:rsidTr="008C5104">
        <w:tc>
          <w:tcPr>
            <w:tcW w:w="1278" w:type="pct"/>
            <w:tcBorders>
              <w:top w:val="single" w:sz="4" w:space="0" w:color="auto"/>
              <w:left w:val="single" w:sz="4" w:space="0" w:color="auto"/>
              <w:bottom w:val="single" w:sz="4" w:space="0" w:color="auto"/>
              <w:right w:val="single" w:sz="4" w:space="0" w:color="auto"/>
            </w:tcBorders>
          </w:tcPr>
          <w:p w14:paraId="2380EAC2" w14:textId="77777777" w:rsidR="008C5104" w:rsidRPr="007E46C9" w:rsidRDefault="008C5104" w:rsidP="008C5104">
            <w:pPr>
              <w:spacing w:after="60"/>
              <w:rPr>
                <w:iCs/>
                <w:sz w:val="20"/>
              </w:rPr>
            </w:pPr>
            <w:r w:rsidRPr="007E46C9">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23BACD93"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06D439D" w14:textId="77777777" w:rsidR="008C5104" w:rsidRPr="007E46C9" w:rsidRDefault="008C5104" w:rsidP="008C5104">
            <w:pPr>
              <w:spacing w:after="60"/>
              <w:rPr>
                <w:i/>
                <w:iCs/>
                <w:sz w:val="20"/>
              </w:rPr>
            </w:pPr>
            <w:r w:rsidRPr="007E46C9">
              <w:rPr>
                <w:i/>
                <w:iCs/>
                <w:sz w:val="20"/>
              </w:rPr>
              <w:t>Reg-Down Failure Quantity Amount Total</w:t>
            </w:r>
            <w:r w:rsidRPr="007E46C9">
              <w:rPr>
                <w:iCs/>
                <w:sz w:val="20"/>
              </w:rPr>
              <w:t>—The total charges to all QSEs for their capacity associated with failures on their Ancillary Service Supply Responsibilities for Reg-Down, for the hour.</w:t>
            </w:r>
          </w:p>
        </w:tc>
      </w:tr>
      <w:tr w:rsidR="008C5104" w:rsidRPr="007E46C9" w14:paraId="4C5F1AA8" w14:textId="77777777" w:rsidTr="008C5104">
        <w:tc>
          <w:tcPr>
            <w:tcW w:w="1278" w:type="pct"/>
            <w:tcBorders>
              <w:top w:val="single" w:sz="4" w:space="0" w:color="auto"/>
              <w:left w:val="single" w:sz="4" w:space="0" w:color="auto"/>
              <w:bottom w:val="single" w:sz="4" w:space="0" w:color="auto"/>
              <w:right w:val="single" w:sz="4" w:space="0" w:color="auto"/>
            </w:tcBorders>
          </w:tcPr>
          <w:p w14:paraId="2A814293" w14:textId="77777777" w:rsidR="008C5104" w:rsidRPr="007E46C9" w:rsidRDefault="008C5104" w:rsidP="008C5104">
            <w:pPr>
              <w:spacing w:after="60"/>
              <w:rPr>
                <w:iCs/>
                <w:sz w:val="20"/>
              </w:rPr>
            </w:pPr>
            <w:r w:rsidRPr="007E46C9">
              <w:rPr>
                <w:iCs/>
                <w:sz w:val="20"/>
              </w:rPr>
              <w:t xml:space="preserve">RDFQAMTQSETOT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BE3D19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DEBDBE1" w14:textId="77777777" w:rsidR="008C5104" w:rsidRPr="007E46C9" w:rsidRDefault="008C5104" w:rsidP="008C5104">
            <w:pPr>
              <w:spacing w:after="60"/>
              <w:rPr>
                <w:i/>
                <w:iCs/>
                <w:sz w:val="20"/>
              </w:rPr>
            </w:pPr>
            <w:r w:rsidRPr="007E46C9">
              <w:rPr>
                <w:i/>
                <w:iCs/>
                <w:sz w:val="20"/>
              </w:rPr>
              <w:t>Reg-Down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Reg-Down, for the hour.</w:t>
            </w:r>
          </w:p>
        </w:tc>
      </w:tr>
      <w:tr w:rsidR="008C5104" w:rsidRPr="007E46C9" w14:paraId="70FCBD1D" w14:textId="77777777" w:rsidTr="008C5104">
        <w:tc>
          <w:tcPr>
            <w:tcW w:w="1278" w:type="pct"/>
            <w:tcBorders>
              <w:top w:val="single" w:sz="4" w:space="0" w:color="auto"/>
              <w:left w:val="single" w:sz="4" w:space="0" w:color="auto"/>
              <w:bottom w:val="single" w:sz="4" w:space="0" w:color="auto"/>
              <w:right w:val="single" w:sz="4" w:space="0" w:color="auto"/>
            </w:tcBorders>
          </w:tcPr>
          <w:p w14:paraId="778E89A7" w14:textId="77777777" w:rsidR="008C5104" w:rsidRPr="007E46C9" w:rsidRDefault="008C5104" w:rsidP="008C5104">
            <w:pPr>
              <w:spacing w:after="60"/>
              <w:rPr>
                <w:iCs/>
                <w:sz w:val="20"/>
              </w:rPr>
            </w:pPr>
            <w:r w:rsidRPr="007E46C9">
              <w:rPr>
                <w:iCs/>
                <w:sz w:val="20"/>
              </w:rPr>
              <w:t xml:space="preserve">RTPCRDAMTQSETOT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243B7B7"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AEBBE9F" w14:textId="77777777" w:rsidR="008C5104" w:rsidRPr="007E46C9" w:rsidRDefault="008C5104" w:rsidP="008C5104">
            <w:pPr>
              <w:spacing w:after="60"/>
              <w:rPr>
                <w:iCs/>
                <w:sz w:val="20"/>
              </w:rPr>
            </w:pPr>
            <w:r w:rsidRPr="007E46C9">
              <w:rPr>
                <w:i/>
                <w:iCs/>
                <w:sz w:val="20"/>
              </w:rPr>
              <w:t>Procured Capacity for Reg-Down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Reg-Down, for the hour.</w:t>
            </w:r>
          </w:p>
        </w:tc>
      </w:tr>
      <w:tr w:rsidR="008C5104" w:rsidRPr="007E46C9" w14:paraId="79CFC794" w14:textId="77777777" w:rsidTr="008C5104">
        <w:tc>
          <w:tcPr>
            <w:tcW w:w="1278" w:type="pct"/>
            <w:tcBorders>
              <w:top w:val="single" w:sz="4" w:space="0" w:color="auto"/>
              <w:left w:val="single" w:sz="4" w:space="0" w:color="auto"/>
              <w:bottom w:val="single" w:sz="4" w:space="0" w:color="auto"/>
              <w:right w:val="single" w:sz="4" w:space="0" w:color="auto"/>
            </w:tcBorders>
          </w:tcPr>
          <w:p w14:paraId="2AEFFC58" w14:textId="77777777" w:rsidR="008C5104" w:rsidRPr="007E46C9" w:rsidRDefault="008C5104" w:rsidP="008C5104">
            <w:pPr>
              <w:rPr>
                <w:b/>
                <w:sz w:val="20"/>
              </w:rPr>
            </w:pPr>
            <w:r w:rsidRPr="007E46C9">
              <w:rPr>
                <w:sz w:val="20"/>
              </w:rPr>
              <w:lastRenderedPageBreak/>
              <w:t xml:space="preserve">PCRDAMT </w:t>
            </w:r>
            <w:r w:rsidRPr="007E46C9">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53B08AB8" w14:textId="77777777" w:rsidR="008C5104" w:rsidRPr="007E46C9" w:rsidRDefault="008C5104" w:rsidP="008C5104">
            <w:pPr>
              <w:rPr>
                <w:b/>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36C68B03" w14:textId="77777777" w:rsidR="008C5104" w:rsidRPr="007E46C9" w:rsidRDefault="008C5104" w:rsidP="008C5104">
            <w:pPr>
              <w:rPr>
                <w:b/>
                <w:sz w:val="20"/>
              </w:rPr>
            </w:pPr>
            <w:r w:rsidRPr="007E46C9">
              <w:rPr>
                <w:i/>
                <w:sz w:val="20"/>
              </w:rPr>
              <w:t>Procured Capacity for Reg-Down Amount per QSE for DAM</w:t>
            </w:r>
            <w:r w:rsidRPr="007E46C9">
              <w:rPr>
                <w:sz w:val="20"/>
              </w:rPr>
              <w:t>—The DAM Reg-Down payment for QSE</w:t>
            </w:r>
            <w:r w:rsidRPr="007E46C9">
              <w:rPr>
                <w:i/>
                <w:sz w:val="20"/>
              </w:rPr>
              <w:t xml:space="preserve"> q</w:t>
            </w:r>
            <w:r w:rsidR="00EE4598" w:rsidRPr="007E46C9">
              <w:rPr>
                <w:iCs/>
                <w:sz w:val="20"/>
              </w:rPr>
              <w:t>,</w:t>
            </w:r>
            <w:r w:rsidRPr="007E46C9">
              <w:rPr>
                <w:sz w:val="20"/>
              </w:rPr>
              <w:t xml:space="preserve"> for the hour.</w:t>
            </w:r>
          </w:p>
        </w:tc>
      </w:tr>
      <w:tr w:rsidR="008C5104" w:rsidRPr="007E46C9" w14:paraId="7255C299" w14:textId="77777777" w:rsidTr="008C5104">
        <w:tc>
          <w:tcPr>
            <w:tcW w:w="1278" w:type="pct"/>
            <w:tcBorders>
              <w:top w:val="single" w:sz="4" w:space="0" w:color="auto"/>
              <w:left w:val="single" w:sz="4" w:space="0" w:color="auto"/>
              <w:bottom w:val="single" w:sz="4" w:space="0" w:color="auto"/>
              <w:right w:val="single" w:sz="4" w:space="0" w:color="auto"/>
            </w:tcBorders>
          </w:tcPr>
          <w:p w14:paraId="332882A3" w14:textId="77777777" w:rsidR="008C5104" w:rsidRPr="007E46C9" w:rsidRDefault="008C5104" w:rsidP="008C5104">
            <w:pPr>
              <w:rPr>
                <w:sz w:val="20"/>
              </w:rPr>
            </w:pPr>
            <w:r w:rsidRPr="007E46C9">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4286315" w14:textId="77777777" w:rsidR="008C5104" w:rsidRPr="007E46C9" w:rsidRDefault="008C5104" w:rsidP="008C5104">
            <w:pPr>
              <w:rPr>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0C6DFB7E" w14:textId="77777777" w:rsidR="008C5104" w:rsidRPr="007E46C9" w:rsidRDefault="008C5104" w:rsidP="008C5104">
            <w:pPr>
              <w:rPr>
                <w:sz w:val="20"/>
              </w:rPr>
            </w:pPr>
            <w:r w:rsidRPr="007E46C9">
              <w:rPr>
                <w:i/>
                <w:sz w:val="20"/>
              </w:rPr>
              <w:t>Procured Capacity for Reg-Down Amount Total in DAM</w:t>
            </w:r>
            <w:r w:rsidRPr="007E46C9">
              <w:rPr>
                <w:sz w:val="20"/>
              </w:rPr>
              <w:t>—The total of the DAM Reg-Down payments for all QSEs for the hour.</w:t>
            </w:r>
          </w:p>
        </w:tc>
      </w:tr>
      <w:tr w:rsidR="008C5104" w:rsidRPr="007E46C9" w14:paraId="107CC4D5" w14:textId="77777777" w:rsidTr="008C5104">
        <w:tc>
          <w:tcPr>
            <w:tcW w:w="1278" w:type="pct"/>
            <w:tcBorders>
              <w:top w:val="single" w:sz="4" w:space="0" w:color="auto"/>
              <w:left w:val="single" w:sz="4" w:space="0" w:color="auto"/>
              <w:bottom w:val="single" w:sz="4" w:space="0" w:color="auto"/>
              <w:right w:val="single" w:sz="4" w:space="0" w:color="auto"/>
            </w:tcBorders>
          </w:tcPr>
          <w:p w14:paraId="5F175FC4" w14:textId="77777777" w:rsidR="008C5104" w:rsidRPr="007E46C9" w:rsidRDefault="008C5104" w:rsidP="008C5104">
            <w:pPr>
              <w:spacing w:after="60"/>
              <w:rPr>
                <w:i/>
                <w:iCs/>
                <w:sz w:val="20"/>
              </w:rPr>
            </w:pPr>
            <w:r w:rsidRPr="00F662FF">
              <w:rPr>
                <w:sz w:val="20"/>
              </w:rPr>
              <w:t>RDINF</w:t>
            </w:r>
            <w:r w:rsidRPr="00736C3C">
              <w:rPr>
                <w:sz w:val="20"/>
              </w:rPr>
              <w:t>QAMTTOT</w:t>
            </w:r>
          </w:p>
        </w:tc>
        <w:tc>
          <w:tcPr>
            <w:tcW w:w="376" w:type="pct"/>
            <w:tcBorders>
              <w:top w:val="single" w:sz="4" w:space="0" w:color="auto"/>
              <w:left w:val="single" w:sz="4" w:space="0" w:color="auto"/>
              <w:bottom w:val="single" w:sz="4" w:space="0" w:color="auto"/>
              <w:right w:val="single" w:sz="4" w:space="0" w:color="auto"/>
            </w:tcBorders>
          </w:tcPr>
          <w:p w14:paraId="1EC1C98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0B5D2C65" w14:textId="77777777" w:rsidR="008C5104" w:rsidRPr="007E46C9" w:rsidRDefault="008C5104" w:rsidP="008C5104">
            <w:pPr>
              <w:spacing w:after="60"/>
              <w:rPr>
                <w:iCs/>
                <w:sz w:val="20"/>
              </w:rPr>
            </w:pPr>
            <w:r>
              <w:rPr>
                <w:i/>
                <w:sz w:val="20"/>
              </w:rPr>
              <w:t>Reg-Down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Reg-Down</w:t>
            </w:r>
            <w:r w:rsidRPr="002F2E4C">
              <w:rPr>
                <w:sz w:val="20"/>
              </w:rPr>
              <w:t>, for the hour.</w:t>
            </w:r>
          </w:p>
        </w:tc>
      </w:tr>
      <w:tr w:rsidR="008C5104" w:rsidRPr="007E46C9" w14:paraId="15D57120" w14:textId="77777777" w:rsidTr="008C5104">
        <w:tc>
          <w:tcPr>
            <w:tcW w:w="1278" w:type="pct"/>
            <w:tcBorders>
              <w:top w:val="single" w:sz="4" w:space="0" w:color="auto"/>
              <w:left w:val="single" w:sz="4" w:space="0" w:color="auto"/>
              <w:bottom w:val="single" w:sz="4" w:space="0" w:color="auto"/>
              <w:right w:val="single" w:sz="4" w:space="0" w:color="auto"/>
            </w:tcBorders>
          </w:tcPr>
          <w:p w14:paraId="1D97E451" w14:textId="77777777" w:rsidR="008C5104" w:rsidRPr="007E46C9" w:rsidRDefault="008C5104" w:rsidP="008C5104">
            <w:pPr>
              <w:spacing w:after="60"/>
              <w:rPr>
                <w:i/>
                <w:iCs/>
                <w:sz w:val="20"/>
              </w:rPr>
            </w:pPr>
            <w:r w:rsidRPr="00736C3C">
              <w:rPr>
                <w:sz w:val="20"/>
              </w:rPr>
              <w:t>RDINFQAMT</w:t>
            </w:r>
            <w:r>
              <w:rPr>
                <w:sz w:val="20"/>
              </w:rPr>
              <w:t xml:space="preserve"> </w:t>
            </w:r>
            <w:r w:rsidRPr="00D66F53">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71EAF1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1F302A5A" w14:textId="77777777" w:rsidR="008C5104" w:rsidRPr="007E46C9" w:rsidRDefault="008C5104" w:rsidP="008C5104">
            <w:pPr>
              <w:spacing w:after="60"/>
              <w:rPr>
                <w:iCs/>
                <w:sz w:val="20"/>
              </w:rPr>
            </w:pPr>
            <w:r w:rsidRPr="00736C3C">
              <w:rPr>
                <w:i/>
                <w:sz w:val="20"/>
              </w:rPr>
              <w:t>Reg-Down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w:t>
            </w:r>
            <w:r>
              <w:rPr>
                <w:sz w:val="20"/>
              </w:rPr>
              <w:t xml:space="preserve">its </w:t>
            </w:r>
            <w:r w:rsidRPr="00736C3C">
              <w:rPr>
                <w:sz w:val="20"/>
              </w:rPr>
              <w:t>Ancillary</w:t>
            </w:r>
            <w:r>
              <w:rPr>
                <w:sz w:val="20"/>
              </w:rPr>
              <w:t xml:space="preserve"> Service Supply Responsibilities</w:t>
            </w:r>
            <w:r w:rsidRPr="00736C3C">
              <w:rPr>
                <w:sz w:val="20"/>
              </w:rPr>
              <w:t xml:space="preserve"> for Reg-Down, for the hour.</w:t>
            </w:r>
          </w:p>
        </w:tc>
      </w:tr>
      <w:tr w:rsidR="008C5104" w:rsidRPr="007E46C9" w14:paraId="733A7173" w14:textId="77777777" w:rsidTr="008C5104">
        <w:tc>
          <w:tcPr>
            <w:tcW w:w="1278" w:type="pct"/>
            <w:tcBorders>
              <w:top w:val="single" w:sz="4" w:space="0" w:color="auto"/>
              <w:left w:val="single" w:sz="4" w:space="0" w:color="auto"/>
              <w:bottom w:val="single" w:sz="4" w:space="0" w:color="auto"/>
              <w:right w:val="single" w:sz="4" w:space="0" w:color="auto"/>
            </w:tcBorders>
          </w:tcPr>
          <w:p w14:paraId="38619578" w14:textId="77777777" w:rsidR="008C5104" w:rsidRPr="007E46C9" w:rsidRDefault="008C5104" w:rsidP="008C5104">
            <w:pPr>
              <w:spacing w:after="60"/>
              <w:rPr>
                <w:i/>
                <w:iCs/>
                <w:sz w:val="20"/>
              </w:rPr>
            </w:pPr>
            <w:r w:rsidRPr="007E46C9">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12AFE2F4"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0A273A0" w14:textId="77777777" w:rsidR="008C5104" w:rsidRPr="007E46C9" w:rsidRDefault="008C5104" w:rsidP="008C5104">
            <w:pPr>
              <w:spacing w:after="60"/>
              <w:rPr>
                <w:iCs/>
                <w:sz w:val="20"/>
              </w:rPr>
            </w:pPr>
            <w:r w:rsidRPr="007E46C9">
              <w:rPr>
                <w:iCs/>
                <w:sz w:val="20"/>
              </w:rPr>
              <w:t>A QSE.</w:t>
            </w:r>
          </w:p>
        </w:tc>
      </w:tr>
      <w:tr w:rsidR="008C5104" w:rsidRPr="007E46C9" w14:paraId="482FD417" w14:textId="77777777" w:rsidTr="008C5104">
        <w:tc>
          <w:tcPr>
            <w:tcW w:w="1278" w:type="pct"/>
            <w:tcBorders>
              <w:top w:val="single" w:sz="4" w:space="0" w:color="auto"/>
              <w:left w:val="single" w:sz="4" w:space="0" w:color="auto"/>
              <w:bottom w:val="single" w:sz="4" w:space="0" w:color="auto"/>
              <w:right w:val="single" w:sz="4" w:space="0" w:color="auto"/>
            </w:tcBorders>
          </w:tcPr>
          <w:p w14:paraId="241F4F0D" w14:textId="77777777" w:rsidR="008C5104" w:rsidRPr="007E46C9" w:rsidRDefault="008C5104" w:rsidP="008C5104">
            <w:pPr>
              <w:spacing w:after="60"/>
              <w:rPr>
                <w:i/>
                <w:iCs/>
                <w:sz w:val="20"/>
              </w:rPr>
            </w:pPr>
            <w:r w:rsidRPr="007E46C9">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602877EB"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B8D562E"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6DE844BA"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A63DD" w14:paraId="2527A01E" w14:textId="77777777" w:rsidTr="002A7BFB">
        <w:trPr>
          <w:trHeight w:val="1547"/>
        </w:trPr>
        <w:tc>
          <w:tcPr>
            <w:tcW w:w="9576" w:type="dxa"/>
            <w:shd w:val="pct12" w:color="auto" w:fill="auto"/>
          </w:tcPr>
          <w:p w14:paraId="02A193A0" w14:textId="77777777" w:rsidR="006A63DD" w:rsidRDefault="006A63DD" w:rsidP="002A7BFB">
            <w:pPr>
              <w:pStyle w:val="Instructions"/>
              <w:spacing w:before="120"/>
            </w:pPr>
            <w:r>
              <w:t>[NPRR841:  Replace paragraph (a) above with the following upon system implementation:]</w:t>
            </w:r>
          </w:p>
          <w:p w14:paraId="0BA924F0" w14:textId="77777777" w:rsidR="00A74F89" w:rsidRPr="00E5030A" w:rsidRDefault="00A74F89" w:rsidP="00A74F89">
            <w:pPr>
              <w:spacing w:after="240"/>
              <w:ind w:left="1440" w:hanging="720"/>
            </w:pPr>
            <w:r w:rsidRPr="00E5030A">
              <w:t>(a)</w:t>
            </w:r>
            <w:r w:rsidRPr="00E5030A">
              <w:tab/>
              <w:t>The net total costs for Reg-Down for a given Operating Hour is calculated as follows:</w:t>
            </w:r>
          </w:p>
          <w:p w14:paraId="72FACD6C" w14:textId="01E2F144" w:rsidR="00A74F89" w:rsidRPr="00E5030A" w:rsidRDefault="00A74F89" w:rsidP="00A74F89">
            <w:pPr>
              <w:spacing w:after="120"/>
              <w:ind w:left="3600" w:hanging="2880"/>
              <w:rPr>
                <w:b/>
                <w:bCs/>
              </w:rPr>
            </w:pPr>
            <w:r w:rsidRPr="00E5030A">
              <w:rPr>
                <w:b/>
                <w:bCs/>
              </w:rPr>
              <w:t>RDCOSTTOT</w:t>
            </w:r>
            <w:r w:rsidRPr="00E5030A">
              <w:rPr>
                <w:b/>
                <w:bCs/>
              </w:rPr>
              <w:tab/>
              <w:t>=</w:t>
            </w:r>
            <w:r w:rsidRPr="00E5030A">
              <w:rPr>
                <w:b/>
                <w:bCs/>
              </w:rPr>
              <w:tab/>
              <w:t>(-1) * (</w:t>
            </w:r>
            <w:r w:rsidR="00A94020">
              <w:rPr>
                <w:b/>
                <w:bCs/>
                <w:noProof/>
                <w:position w:val="-20"/>
              </w:rPr>
              <w:drawing>
                <wp:inline distT="0" distB="0" distL="0" distR="0" wp14:anchorId="23981B75" wp14:editId="48EE87F7">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(RTPCRDAMTTOT </w:t>
            </w:r>
            <w:r w:rsidRPr="00E5030A">
              <w:rPr>
                <w:b/>
                <w:bCs/>
                <w:i/>
                <w:vertAlign w:val="subscript"/>
              </w:rPr>
              <w:t>m</w:t>
            </w:r>
            <w:r w:rsidRPr="00E5030A">
              <w:rPr>
                <w:b/>
                <w:bCs/>
              </w:rPr>
              <w:t xml:space="preserve">) + </w:t>
            </w:r>
            <w:r w:rsidRPr="00E5030A">
              <w:rPr>
                <w:b/>
                <w:bCs/>
              </w:rPr>
              <w:tab/>
              <w:t>PCRDAMTTOT + RDFQAMTTOT +</w:t>
            </w:r>
          </w:p>
          <w:p w14:paraId="1AA7AEF3" w14:textId="77777777" w:rsidR="00A74F89" w:rsidRPr="00E5030A" w:rsidRDefault="00A74F89" w:rsidP="00A74F89">
            <w:pPr>
              <w:spacing w:after="240"/>
              <w:ind w:left="3600" w:firstLine="720"/>
              <w:rPr>
                <w:b/>
                <w:bCs/>
              </w:rPr>
            </w:pPr>
            <w:r w:rsidRPr="00E5030A">
              <w:rPr>
                <w:b/>
                <w:bCs/>
              </w:rPr>
              <w:t>RDINFQAMTTOT</w:t>
            </w:r>
            <w:r>
              <w:rPr>
                <w:b/>
                <w:bCs/>
              </w:rPr>
              <w:t xml:space="preserve"> </w:t>
            </w:r>
            <w:r>
              <w:t xml:space="preserve">+ </w:t>
            </w:r>
            <w:r w:rsidRPr="00D04014">
              <w:rPr>
                <w:b/>
                <w:bCs/>
              </w:rPr>
              <w:t>RDMWINFATOT</w:t>
            </w:r>
            <w:r w:rsidRPr="00E5030A">
              <w:rPr>
                <w:b/>
                <w:bCs/>
              </w:rPr>
              <w:t>)</w:t>
            </w:r>
          </w:p>
          <w:p w14:paraId="2DEF5B3F" w14:textId="77777777" w:rsidR="00A74F89" w:rsidRPr="00E5030A" w:rsidRDefault="00A74F89" w:rsidP="00A74F89">
            <w:pPr>
              <w:spacing w:after="240"/>
              <w:rPr>
                <w:iCs/>
              </w:rPr>
            </w:pPr>
            <w:r w:rsidRPr="00E5030A">
              <w:rPr>
                <w:iCs/>
              </w:rPr>
              <w:t xml:space="preserve">Where: </w:t>
            </w:r>
          </w:p>
          <w:p w14:paraId="528C57DA" w14:textId="77777777" w:rsidR="00A74F89" w:rsidRPr="00E5030A" w:rsidRDefault="00A74F89" w:rsidP="00A74F89">
            <w:r w:rsidRPr="00E5030A">
              <w:t>Total payment of SASM- and RSASM-procured capacity for Reg-Down by market</w:t>
            </w:r>
          </w:p>
          <w:p w14:paraId="6D132979" w14:textId="28076B97" w:rsidR="00A74F89" w:rsidRPr="00E5030A" w:rsidRDefault="00A74F89" w:rsidP="00A74F89">
            <w:pPr>
              <w:spacing w:after="240"/>
              <w:ind w:leftChars="300" w:left="2880" w:hangingChars="900" w:hanging="2160"/>
              <w:rPr>
                <w:bCs/>
                <w:vertAlign w:val="subscript"/>
              </w:rPr>
            </w:pPr>
            <w:r w:rsidRPr="00E5030A">
              <w:rPr>
                <w:bCs/>
              </w:rPr>
              <w:t xml:space="preserve">RTPCRDAMTTOT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1D620DC1" wp14:editId="4120F297">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RTPCRDAMT </w:t>
            </w:r>
            <w:r w:rsidRPr="00E5030A">
              <w:rPr>
                <w:bCs/>
                <w:i/>
                <w:vertAlign w:val="subscript"/>
              </w:rPr>
              <w:t xml:space="preserve">q, m </w:t>
            </w:r>
          </w:p>
          <w:p w14:paraId="132AFAA6" w14:textId="77777777" w:rsidR="00A74F89" w:rsidRPr="00E5030A" w:rsidRDefault="00A74F89" w:rsidP="00A74F89">
            <w:r w:rsidRPr="00E5030A">
              <w:t>Total payment of DAM-procured capacity for Reg-Down</w:t>
            </w:r>
          </w:p>
          <w:p w14:paraId="72DE7729" w14:textId="1FA350E3" w:rsidR="00A74F89" w:rsidRPr="00E5030A" w:rsidRDefault="00A74F89" w:rsidP="00A74F89">
            <w:pPr>
              <w:spacing w:after="240"/>
              <w:ind w:leftChars="300" w:left="2880" w:hangingChars="900" w:hanging="2160"/>
              <w:rPr>
                <w:bCs/>
              </w:rPr>
            </w:pPr>
            <w:r w:rsidRPr="00E5030A">
              <w:rPr>
                <w:bCs/>
              </w:rPr>
              <w:t>PCRDAMTTOT</w:t>
            </w:r>
            <w:r w:rsidRPr="00E5030A">
              <w:rPr>
                <w:bCs/>
                <w:i/>
                <w:vertAlign w:val="subscript"/>
              </w:rPr>
              <w:tab/>
            </w:r>
            <w:r w:rsidRPr="00E5030A">
              <w:rPr>
                <w:bCs/>
                <w:i/>
                <w:vertAlign w:val="subscript"/>
              </w:rPr>
              <w:tab/>
            </w:r>
            <w:r w:rsidRPr="00E5030A">
              <w:rPr>
                <w:bCs/>
              </w:rPr>
              <w:t>=</w:t>
            </w:r>
            <w:r w:rsidRPr="00E5030A">
              <w:rPr>
                <w:bCs/>
              </w:rPr>
              <w:tab/>
            </w:r>
            <w:r w:rsidRPr="00E5030A">
              <w:rPr>
                <w:bCs/>
                <w:i/>
                <w:vertAlign w:val="subscript"/>
              </w:rPr>
              <w:t xml:space="preserve"> </w:t>
            </w:r>
            <w:r w:rsidR="00A94020">
              <w:rPr>
                <w:bCs/>
                <w:noProof/>
                <w:position w:val="-22"/>
              </w:rPr>
              <w:drawing>
                <wp:inline distT="0" distB="0" distL="0" distR="0" wp14:anchorId="55B66C12" wp14:editId="0B3F8A24">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PCRDAMT </w:t>
            </w:r>
            <w:r w:rsidRPr="00E5030A">
              <w:rPr>
                <w:bCs/>
                <w:i/>
                <w:vertAlign w:val="subscript"/>
              </w:rPr>
              <w:t>q</w:t>
            </w:r>
          </w:p>
          <w:p w14:paraId="5B8E5D53" w14:textId="77777777" w:rsidR="00A74F89" w:rsidRPr="00E5030A" w:rsidRDefault="00A74F89" w:rsidP="00A74F89">
            <w:r w:rsidRPr="00E5030A">
              <w:t>Total charge of failure on Ancillary Service Supply Responsibility for Reg-Down</w:t>
            </w:r>
          </w:p>
          <w:p w14:paraId="7F9F15AF" w14:textId="5118EFDF" w:rsidR="00A74F89" w:rsidRPr="00E5030A" w:rsidRDefault="00A74F89" w:rsidP="00A74F89">
            <w:pPr>
              <w:spacing w:after="240"/>
              <w:ind w:leftChars="300" w:left="2880" w:hangingChars="900" w:hanging="2160"/>
              <w:rPr>
                <w:bCs/>
                <w:i/>
                <w:vertAlign w:val="subscript"/>
              </w:rPr>
            </w:pPr>
            <w:r w:rsidRPr="00E5030A">
              <w:rPr>
                <w:bCs/>
              </w:rPr>
              <w:t>RDFQAMTTOT</w:t>
            </w:r>
            <w:r w:rsidRPr="00E5030A">
              <w:rPr>
                <w:bCs/>
              </w:rPr>
              <w:tab/>
            </w:r>
            <w:r w:rsidRPr="00E5030A">
              <w:rPr>
                <w:bCs/>
              </w:rPr>
              <w:tab/>
              <w:t>=</w:t>
            </w:r>
            <w:r w:rsidRPr="00E5030A">
              <w:rPr>
                <w:bCs/>
              </w:rPr>
              <w:tab/>
            </w:r>
            <w:r w:rsidR="00A94020">
              <w:rPr>
                <w:bCs/>
                <w:noProof/>
                <w:position w:val="-22"/>
              </w:rPr>
              <w:drawing>
                <wp:inline distT="0" distB="0" distL="0" distR="0" wp14:anchorId="525CC8E7" wp14:editId="2E6E1B4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RDFQAMTQSETOT </w:t>
            </w:r>
            <w:r w:rsidRPr="00E5030A">
              <w:rPr>
                <w:bCs/>
                <w:i/>
                <w:vertAlign w:val="subscript"/>
              </w:rPr>
              <w:t>q</w:t>
            </w:r>
          </w:p>
          <w:p w14:paraId="150FE74B" w14:textId="77777777" w:rsidR="00A74F89" w:rsidRPr="00E5030A" w:rsidRDefault="00A74F89" w:rsidP="00A74F89">
            <w:pPr>
              <w:tabs>
                <w:tab w:val="left" w:pos="2160"/>
                <w:tab w:val="left" w:pos="2880"/>
              </w:tabs>
              <w:ind w:left="300" w:hangingChars="125" w:hanging="300"/>
              <w:rPr>
                <w:bCs/>
              </w:rPr>
            </w:pPr>
            <w:r w:rsidRPr="00E5030A">
              <w:rPr>
                <w:bCs/>
              </w:rPr>
              <w:t>Total payment of SASM- and RSASM-procured capacity for Reg-Down by QSE</w:t>
            </w:r>
          </w:p>
          <w:p w14:paraId="1E28E085" w14:textId="09D1A9D9" w:rsidR="00A74F89" w:rsidRPr="00E5030A" w:rsidRDefault="00A74F89" w:rsidP="00A74F89">
            <w:pPr>
              <w:spacing w:after="240"/>
              <w:ind w:leftChars="300" w:left="2880" w:hangingChars="900" w:hanging="2160"/>
              <w:rPr>
                <w:bCs/>
                <w:i/>
                <w:vertAlign w:val="subscript"/>
              </w:rPr>
            </w:pPr>
            <w:r w:rsidRPr="00E5030A">
              <w:rPr>
                <w:bCs/>
              </w:rPr>
              <w:t xml:space="preserve">RTPCRDAMTQSETOT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4C942201" wp14:editId="0395184B">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RTPCRDAMT </w:t>
            </w:r>
            <w:r w:rsidRPr="00E5030A">
              <w:rPr>
                <w:bCs/>
                <w:i/>
                <w:vertAlign w:val="subscript"/>
              </w:rPr>
              <w:t>q, m</w:t>
            </w:r>
          </w:p>
          <w:p w14:paraId="213A119B" w14:textId="77777777" w:rsidR="00A74F89" w:rsidRPr="00E5030A" w:rsidRDefault="00A74F89" w:rsidP="00A74F89">
            <w:r w:rsidRPr="00E5030A">
              <w:t>Total charge of infeasible Ancillary Service Supply Responsibility for Reg-Down</w:t>
            </w:r>
          </w:p>
          <w:p w14:paraId="4BC21F21" w14:textId="3759A89E" w:rsidR="00A74F89" w:rsidRPr="00E5030A" w:rsidRDefault="00A74F89" w:rsidP="00A74F89">
            <w:pPr>
              <w:spacing w:after="240"/>
              <w:ind w:left="2880" w:hanging="2160"/>
            </w:pPr>
            <w:r w:rsidRPr="00E5030A">
              <w:t>RDINFQAMTTOT</w:t>
            </w:r>
            <w:r w:rsidRPr="00E5030A">
              <w:tab/>
              <w:t>=</w:t>
            </w:r>
            <w:r w:rsidRPr="00E5030A">
              <w:tab/>
            </w:r>
            <w:r w:rsidR="00A94020">
              <w:rPr>
                <w:noProof/>
                <w:position w:val="-22"/>
              </w:rPr>
              <w:drawing>
                <wp:inline distT="0" distB="0" distL="0" distR="0" wp14:anchorId="69E96344" wp14:editId="09B672AA">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RDINFQAMT </w:t>
            </w:r>
            <w:r w:rsidRPr="00E5030A">
              <w:rPr>
                <w:i/>
                <w:vertAlign w:val="subscript"/>
              </w:rPr>
              <w:t>q</w:t>
            </w:r>
            <w:r w:rsidRPr="00E5030A">
              <w:rPr>
                <w:vertAlign w:val="subscript"/>
              </w:rPr>
              <w:t xml:space="preserve"> </w:t>
            </w:r>
          </w:p>
          <w:p w14:paraId="71311B30" w14:textId="77777777" w:rsidR="00A74F89" w:rsidRDefault="00A74F89" w:rsidP="00065EC3">
            <w:pPr>
              <w:pStyle w:val="Formula"/>
              <w:ind w:leftChars="9" w:left="322" w:hangingChars="125" w:hanging="300"/>
            </w:pPr>
            <w:r>
              <w:t xml:space="preserve">Total Real-Time </w:t>
            </w:r>
            <w:r>
              <w:rPr>
                <w:iCs/>
              </w:rPr>
              <w:t>Day-Ahead</w:t>
            </w:r>
            <w:r>
              <w:t xml:space="preserve"> Make-Whole Payment for Reg-Down</w:t>
            </w:r>
          </w:p>
          <w:p w14:paraId="03ECF75A" w14:textId="77777777" w:rsidR="00A74F89" w:rsidRDefault="00A74F89" w:rsidP="00A74F89">
            <w:pPr>
              <w:spacing w:after="240"/>
              <w:ind w:left="2880" w:hanging="2160"/>
            </w:pPr>
            <w:r w:rsidRPr="00E5030A">
              <w:lastRenderedPageBreak/>
              <w:t>RDMWINFATOT</w:t>
            </w:r>
            <w:r>
              <w:tab/>
              <w:t>=</w:t>
            </w:r>
            <w:r>
              <w:tab/>
            </w:r>
            <w:r w:rsidRPr="004C0093">
              <w:rPr>
                <w:position w:val="-22"/>
                <w:lang w:val="pt-BR"/>
              </w:rPr>
              <w:object w:dxaOrig="220" w:dyaOrig="460" w14:anchorId="39921EEA">
                <v:shape id="_x0000_i1351" type="#_x0000_t75" style="width:12pt;height:18pt" o:ole="">
                  <v:imagedata r:id="rId434" o:title=""/>
                </v:shape>
                <o:OLEObject Type="Embed" ProgID="Equation.3" ShapeID="_x0000_i1351" DrawAspect="Content" ObjectID="_1804653834" r:id="rId438"/>
              </w:object>
            </w:r>
            <w:r w:rsidRPr="00627431">
              <w:rPr>
                <w:color w:val="000000"/>
              </w:rPr>
              <w:t xml:space="preserve"> </w:t>
            </w:r>
            <w:r>
              <w:rPr>
                <w:color w:val="000000"/>
              </w:rPr>
              <w:t>RDMWINFA</w:t>
            </w:r>
            <w:r w:rsidRPr="00806A30">
              <w:rPr>
                <w:i/>
                <w:vertAlign w:val="subscript"/>
              </w:rPr>
              <w:t xml:space="preserve"> </w:t>
            </w:r>
            <w:r>
              <w:rPr>
                <w:i/>
                <w:vertAlign w:val="subscript"/>
              </w:rPr>
              <w:t>q,</w:t>
            </w:r>
            <w:r w:rsidRPr="004C0093">
              <w:rPr>
                <w:i/>
                <w:vertAlign w:val="subscript"/>
              </w:rPr>
              <w:t xml:space="preserve"> h  </w:t>
            </w:r>
          </w:p>
          <w:p w14:paraId="34D9F55D" w14:textId="77777777" w:rsidR="00A74F89" w:rsidRPr="00E5030A" w:rsidRDefault="00A74F89" w:rsidP="00A74F89">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91302C" w:rsidRPr="00E5030A" w14:paraId="14CE6BCE" w14:textId="77777777" w:rsidTr="002A7BFB">
              <w:trPr>
                <w:tblHeader/>
              </w:trPr>
              <w:tc>
                <w:tcPr>
                  <w:tcW w:w="1278" w:type="pct"/>
                </w:tcPr>
                <w:p w14:paraId="28A6B712" w14:textId="77777777" w:rsidR="0091302C" w:rsidRPr="00E5030A" w:rsidRDefault="0091302C" w:rsidP="0091302C">
                  <w:pPr>
                    <w:spacing w:after="120"/>
                    <w:rPr>
                      <w:b/>
                      <w:iCs/>
                      <w:sz w:val="20"/>
                    </w:rPr>
                  </w:pPr>
                  <w:r w:rsidRPr="00E5030A">
                    <w:rPr>
                      <w:b/>
                      <w:iCs/>
                      <w:sz w:val="20"/>
                    </w:rPr>
                    <w:t>Variable</w:t>
                  </w:r>
                </w:p>
              </w:tc>
              <w:tc>
                <w:tcPr>
                  <w:tcW w:w="376" w:type="pct"/>
                </w:tcPr>
                <w:p w14:paraId="1EC9EF8E" w14:textId="77777777" w:rsidR="0091302C" w:rsidRPr="00E5030A" w:rsidRDefault="0091302C" w:rsidP="0091302C">
                  <w:pPr>
                    <w:spacing w:after="120"/>
                    <w:rPr>
                      <w:b/>
                      <w:iCs/>
                      <w:sz w:val="20"/>
                    </w:rPr>
                  </w:pPr>
                  <w:r w:rsidRPr="00E5030A">
                    <w:rPr>
                      <w:b/>
                      <w:iCs/>
                      <w:sz w:val="20"/>
                    </w:rPr>
                    <w:t>Unit</w:t>
                  </w:r>
                </w:p>
              </w:tc>
              <w:tc>
                <w:tcPr>
                  <w:tcW w:w="3346" w:type="pct"/>
                </w:tcPr>
                <w:p w14:paraId="43F7CF09" w14:textId="77777777" w:rsidR="0091302C" w:rsidRPr="00E5030A" w:rsidRDefault="0091302C" w:rsidP="0091302C">
                  <w:pPr>
                    <w:spacing w:after="120"/>
                    <w:rPr>
                      <w:b/>
                      <w:iCs/>
                      <w:sz w:val="20"/>
                    </w:rPr>
                  </w:pPr>
                  <w:r w:rsidRPr="00E5030A">
                    <w:rPr>
                      <w:b/>
                      <w:iCs/>
                      <w:sz w:val="20"/>
                    </w:rPr>
                    <w:t>Description</w:t>
                  </w:r>
                </w:p>
              </w:tc>
            </w:tr>
            <w:tr w:rsidR="0091302C" w:rsidRPr="00E5030A" w14:paraId="112ADF9B" w14:textId="77777777" w:rsidTr="002A7BFB">
              <w:tc>
                <w:tcPr>
                  <w:tcW w:w="1278" w:type="pct"/>
                </w:tcPr>
                <w:p w14:paraId="4E0A8804" w14:textId="77777777" w:rsidR="0091302C" w:rsidRPr="00E5030A" w:rsidRDefault="0091302C" w:rsidP="0091302C">
                  <w:pPr>
                    <w:spacing w:after="60"/>
                    <w:rPr>
                      <w:iCs/>
                      <w:sz w:val="20"/>
                    </w:rPr>
                  </w:pPr>
                  <w:r w:rsidRPr="00E5030A">
                    <w:rPr>
                      <w:iCs/>
                      <w:sz w:val="20"/>
                    </w:rPr>
                    <w:t>RDCOSTTOT</w:t>
                  </w:r>
                </w:p>
              </w:tc>
              <w:tc>
                <w:tcPr>
                  <w:tcW w:w="376" w:type="pct"/>
                </w:tcPr>
                <w:p w14:paraId="0510D48D" w14:textId="77777777" w:rsidR="0091302C" w:rsidRPr="00E5030A" w:rsidRDefault="0091302C" w:rsidP="0091302C">
                  <w:pPr>
                    <w:spacing w:after="60"/>
                    <w:rPr>
                      <w:iCs/>
                      <w:sz w:val="20"/>
                    </w:rPr>
                  </w:pPr>
                  <w:r w:rsidRPr="00E5030A">
                    <w:rPr>
                      <w:iCs/>
                      <w:sz w:val="20"/>
                    </w:rPr>
                    <w:t>$</w:t>
                  </w:r>
                </w:p>
              </w:tc>
              <w:tc>
                <w:tcPr>
                  <w:tcW w:w="3346" w:type="pct"/>
                </w:tcPr>
                <w:p w14:paraId="71B6E98E" w14:textId="77777777" w:rsidR="0091302C" w:rsidRPr="00E5030A" w:rsidRDefault="0091302C" w:rsidP="0091302C">
                  <w:pPr>
                    <w:spacing w:after="60"/>
                    <w:rPr>
                      <w:iCs/>
                      <w:sz w:val="20"/>
                    </w:rPr>
                  </w:pPr>
                  <w:r w:rsidRPr="00E5030A">
                    <w:rPr>
                      <w:i/>
                      <w:iCs/>
                      <w:sz w:val="20"/>
                    </w:rPr>
                    <w:t>Reg-Down Cost Total</w:t>
                  </w:r>
                  <w:r w:rsidRPr="00E5030A">
                    <w:rPr>
                      <w:iCs/>
                      <w:sz w:val="20"/>
                    </w:rPr>
                    <w:t>—The net total costs for Reg-Down, for the hour.</w:t>
                  </w:r>
                </w:p>
              </w:tc>
            </w:tr>
            <w:tr w:rsidR="0091302C" w:rsidRPr="00E5030A" w14:paraId="4C9D24DF" w14:textId="77777777" w:rsidTr="002A7BFB">
              <w:tc>
                <w:tcPr>
                  <w:tcW w:w="1278" w:type="pct"/>
                  <w:tcBorders>
                    <w:top w:val="single" w:sz="4" w:space="0" w:color="auto"/>
                    <w:left w:val="single" w:sz="4" w:space="0" w:color="auto"/>
                    <w:bottom w:val="single" w:sz="4" w:space="0" w:color="auto"/>
                    <w:right w:val="single" w:sz="4" w:space="0" w:color="auto"/>
                  </w:tcBorders>
                </w:tcPr>
                <w:p w14:paraId="34D0E9E4" w14:textId="77777777" w:rsidR="0091302C" w:rsidRPr="00E5030A" w:rsidRDefault="0091302C" w:rsidP="0091302C">
                  <w:pPr>
                    <w:spacing w:after="60"/>
                    <w:rPr>
                      <w:iCs/>
                      <w:sz w:val="20"/>
                    </w:rPr>
                  </w:pPr>
                  <w:r w:rsidRPr="00E5030A">
                    <w:rPr>
                      <w:iCs/>
                      <w:sz w:val="20"/>
                    </w:rPr>
                    <w:t xml:space="preserve">RTPCRDAMTTOT </w:t>
                  </w:r>
                  <w:r w:rsidRPr="00E5030A">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4DA9AC97"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014EF1C1" w14:textId="77777777" w:rsidR="0091302C" w:rsidRPr="00E5030A" w:rsidRDefault="0091302C" w:rsidP="0091302C">
                  <w:pPr>
                    <w:spacing w:after="60"/>
                    <w:rPr>
                      <w:i/>
                      <w:iCs/>
                      <w:sz w:val="20"/>
                    </w:rPr>
                  </w:pPr>
                  <w:r w:rsidRPr="00E5030A">
                    <w:rPr>
                      <w:i/>
                      <w:iCs/>
                      <w:sz w:val="20"/>
                    </w:rPr>
                    <w:t>Procured Capacity for Reg-Down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Reg-Down, for the hour.</w:t>
                  </w:r>
                </w:p>
              </w:tc>
            </w:tr>
            <w:tr w:rsidR="0091302C" w:rsidRPr="00E5030A" w14:paraId="2D55193E" w14:textId="77777777" w:rsidTr="002A7BFB">
              <w:tc>
                <w:tcPr>
                  <w:tcW w:w="1278" w:type="pct"/>
                  <w:tcBorders>
                    <w:top w:val="single" w:sz="4" w:space="0" w:color="auto"/>
                    <w:left w:val="single" w:sz="4" w:space="0" w:color="auto"/>
                    <w:bottom w:val="single" w:sz="4" w:space="0" w:color="auto"/>
                    <w:right w:val="single" w:sz="4" w:space="0" w:color="auto"/>
                  </w:tcBorders>
                </w:tcPr>
                <w:p w14:paraId="439C5BD9" w14:textId="77777777" w:rsidR="0091302C" w:rsidRPr="00E5030A" w:rsidRDefault="0091302C" w:rsidP="0091302C">
                  <w:pPr>
                    <w:spacing w:after="60"/>
                    <w:rPr>
                      <w:iCs/>
                      <w:sz w:val="20"/>
                    </w:rPr>
                  </w:pPr>
                  <w:r w:rsidRPr="00E5030A">
                    <w:rPr>
                      <w:iCs/>
                      <w:sz w:val="20"/>
                    </w:rPr>
                    <w:t xml:space="preserve">RTPCRDAMT </w:t>
                  </w:r>
                  <w:r w:rsidRPr="00E5030A">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607C7B28"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28D99E1" w14:textId="77777777" w:rsidR="0091302C" w:rsidRPr="00E5030A" w:rsidRDefault="0091302C" w:rsidP="0091302C">
                  <w:pPr>
                    <w:spacing w:after="60"/>
                    <w:rPr>
                      <w:i/>
                      <w:iCs/>
                      <w:sz w:val="20"/>
                    </w:rPr>
                  </w:pPr>
                  <w:r w:rsidRPr="00E5030A">
                    <w:rPr>
                      <w:i/>
                      <w:iCs/>
                      <w:sz w:val="20"/>
                    </w:rPr>
                    <w:t>Procured Capacity for Reg-Down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Reg-Down, for the hour.</w:t>
                  </w:r>
                </w:p>
              </w:tc>
            </w:tr>
            <w:tr w:rsidR="0091302C" w:rsidRPr="00E5030A" w14:paraId="460899D8" w14:textId="77777777" w:rsidTr="002A7BFB">
              <w:tc>
                <w:tcPr>
                  <w:tcW w:w="1278" w:type="pct"/>
                  <w:tcBorders>
                    <w:top w:val="single" w:sz="4" w:space="0" w:color="auto"/>
                    <w:left w:val="single" w:sz="4" w:space="0" w:color="auto"/>
                    <w:bottom w:val="single" w:sz="4" w:space="0" w:color="auto"/>
                    <w:right w:val="single" w:sz="4" w:space="0" w:color="auto"/>
                  </w:tcBorders>
                </w:tcPr>
                <w:p w14:paraId="34B62475" w14:textId="77777777" w:rsidR="0091302C" w:rsidRPr="00E5030A" w:rsidRDefault="0091302C" w:rsidP="0091302C">
                  <w:pPr>
                    <w:spacing w:after="60"/>
                    <w:rPr>
                      <w:iCs/>
                      <w:sz w:val="20"/>
                    </w:rPr>
                  </w:pPr>
                  <w:r w:rsidRPr="00E5030A">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4AA17A8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FE6D866" w14:textId="77777777" w:rsidR="0091302C" w:rsidRPr="00E5030A" w:rsidRDefault="0091302C" w:rsidP="0091302C">
                  <w:pPr>
                    <w:spacing w:after="60"/>
                    <w:rPr>
                      <w:i/>
                      <w:iCs/>
                      <w:sz w:val="20"/>
                    </w:rPr>
                  </w:pPr>
                  <w:r w:rsidRPr="00E5030A">
                    <w:rPr>
                      <w:i/>
                      <w:iCs/>
                      <w:sz w:val="20"/>
                    </w:rPr>
                    <w:t>Reg-Down Failure Quantity Amount Total</w:t>
                  </w:r>
                  <w:r w:rsidRPr="00E5030A">
                    <w:rPr>
                      <w:iCs/>
                      <w:sz w:val="20"/>
                    </w:rPr>
                    <w:t>—The total charges to all QSEs for their capacity associated with failures on their Ancillary Service Supply Responsibilities for Reg-Down, for the hour.</w:t>
                  </w:r>
                </w:p>
              </w:tc>
            </w:tr>
            <w:tr w:rsidR="0091302C" w:rsidRPr="00E5030A" w14:paraId="2E011F7E" w14:textId="77777777" w:rsidTr="002A7BFB">
              <w:tc>
                <w:tcPr>
                  <w:tcW w:w="1278" w:type="pct"/>
                  <w:tcBorders>
                    <w:top w:val="single" w:sz="4" w:space="0" w:color="auto"/>
                    <w:left w:val="single" w:sz="4" w:space="0" w:color="auto"/>
                    <w:bottom w:val="single" w:sz="4" w:space="0" w:color="auto"/>
                    <w:right w:val="single" w:sz="4" w:space="0" w:color="auto"/>
                  </w:tcBorders>
                </w:tcPr>
                <w:p w14:paraId="5302D6AC" w14:textId="77777777" w:rsidR="0091302C" w:rsidRPr="00E5030A" w:rsidRDefault="0091302C" w:rsidP="0091302C">
                  <w:pPr>
                    <w:spacing w:after="60"/>
                    <w:rPr>
                      <w:iCs/>
                      <w:sz w:val="20"/>
                    </w:rPr>
                  </w:pPr>
                  <w:r w:rsidRPr="00D04014">
                    <w:rPr>
                      <w:iCs/>
                      <w:sz w:val="20"/>
                    </w:rPr>
                    <w:t>RDMWINFATOT</w:t>
                  </w:r>
                </w:p>
              </w:tc>
              <w:tc>
                <w:tcPr>
                  <w:tcW w:w="376" w:type="pct"/>
                  <w:tcBorders>
                    <w:top w:val="single" w:sz="4" w:space="0" w:color="auto"/>
                    <w:left w:val="single" w:sz="4" w:space="0" w:color="auto"/>
                    <w:bottom w:val="single" w:sz="4" w:space="0" w:color="auto"/>
                    <w:right w:val="single" w:sz="4" w:space="0" w:color="auto"/>
                  </w:tcBorders>
                </w:tcPr>
                <w:p w14:paraId="2EF27135"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5EDC73C" w14:textId="77777777" w:rsidR="0091302C" w:rsidRPr="00E5030A" w:rsidRDefault="0091302C" w:rsidP="0091302C">
                  <w:pPr>
                    <w:spacing w:after="60"/>
                    <w:rPr>
                      <w:i/>
                      <w:iCs/>
                      <w:sz w:val="20"/>
                    </w:rPr>
                  </w:pPr>
                  <w:r>
                    <w:rPr>
                      <w:i/>
                      <w:sz w:val="20"/>
                    </w:rPr>
                    <w:t>Reg-Down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91302C" w:rsidRPr="00E5030A" w14:paraId="7BB0B524" w14:textId="77777777" w:rsidTr="002A7BFB">
              <w:tc>
                <w:tcPr>
                  <w:tcW w:w="1278" w:type="pct"/>
                  <w:tcBorders>
                    <w:top w:val="single" w:sz="4" w:space="0" w:color="auto"/>
                    <w:left w:val="single" w:sz="4" w:space="0" w:color="auto"/>
                    <w:bottom w:val="single" w:sz="4" w:space="0" w:color="auto"/>
                    <w:right w:val="single" w:sz="4" w:space="0" w:color="auto"/>
                  </w:tcBorders>
                </w:tcPr>
                <w:p w14:paraId="7C21DE51" w14:textId="77777777" w:rsidR="0091302C" w:rsidRPr="00E5030A" w:rsidRDefault="0091302C" w:rsidP="0091302C">
                  <w:pPr>
                    <w:spacing w:after="60"/>
                    <w:rPr>
                      <w:iCs/>
                      <w:sz w:val="20"/>
                    </w:rPr>
                  </w:pPr>
                  <w:r w:rsidRPr="003530E3">
                    <w:rPr>
                      <w:color w:val="000000"/>
                      <w:sz w:val="20"/>
                    </w:rPr>
                    <w:t>R</w:t>
                  </w:r>
                  <w:r>
                    <w:rPr>
                      <w:color w:val="000000"/>
                      <w:sz w:val="20"/>
                    </w:rPr>
                    <w:t>D</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76" w:type="pct"/>
                  <w:tcBorders>
                    <w:top w:val="single" w:sz="4" w:space="0" w:color="auto"/>
                    <w:left w:val="single" w:sz="4" w:space="0" w:color="auto"/>
                    <w:bottom w:val="single" w:sz="4" w:space="0" w:color="auto"/>
                    <w:right w:val="single" w:sz="4" w:space="0" w:color="auto"/>
                  </w:tcBorders>
                </w:tcPr>
                <w:p w14:paraId="3A5AB672"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45161858" w14:textId="77777777" w:rsidR="0091302C" w:rsidRPr="00E5030A" w:rsidRDefault="0091302C" w:rsidP="00065EC3">
                  <w:pPr>
                    <w:spacing w:after="60"/>
                    <w:rPr>
                      <w:i/>
                      <w:iCs/>
                      <w:sz w:val="20"/>
                    </w:rPr>
                  </w:pPr>
                  <w:r>
                    <w:rPr>
                      <w:i/>
                      <w:sz w:val="20"/>
                    </w:rPr>
                    <w:t>Reg-Down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91302C" w:rsidRPr="00E5030A" w14:paraId="51150E39" w14:textId="77777777" w:rsidTr="002A7BFB">
              <w:tc>
                <w:tcPr>
                  <w:tcW w:w="1278" w:type="pct"/>
                  <w:tcBorders>
                    <w:top w:val="single" w:sz="4" w:space="0" w:color="auto"/>
                    <w:left w:val="single" w:sz="4" w:space="0" w:color="auto"/>
                    <w:bottom w:val="single" w:sz="4" w:space="0" w:color="auto"/>
                    <w:right w:val="single" w:sz="4" w:space="0" w:color="auto"/>
                  </w:tcBorders>
                </w:tcPr>
                <w:p w14:paraId="452229BA" w14:textId="77777777" w:rsidR="0091302C" w:rsidRPr="00E5030A" w:rsidRDefault="0091302C" w:rsidP="0091302C">
                  <w:pPr>
                    <w:spacing w:after="60"/>
                    <w:rPr>
                      <w:iCs/>
                      <w:sz w:val="20"/>
                    </w:rPr>
                  </w:pPr>
                  <w:r w:rsidRPr="00E5030A">
                    <w:rPr>
                      <w:iCs/>
                      <w:sz w:val="20"/>
                    </w:rPr>
                    <w:t xml:space="preserve">RDFQAMTQSETOT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AA7A3F4"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1C49AA40" w14:textId="77777777" w:rsidR="0091302C" w:rsidRPr="00E5030A" w:rsidRDefault="0091302C" w:rsidP="0091302C">
                  <w:pPr>
                    <w:spacing w:after="60"/>
                    <w:rPr>
                      <w:i/>
                      <w:iCs/>
                      <w:sz w:val="20"/>
                    </w:rPr>
                  </w:pPr>
                  <w:r w:rsidRPr="00E5030A">
                    <w:rPr>
                      <w:i/>
                      <w:iCs/>
                      <w:sz w:val="20"/>
                    </w:rPr>
                    <w:t>Reg-Down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Reg-Down, for the hour.</w:t>
                  </w:r>
                </w:p>
              </w:tc>
            </w:tr>
            <w:tr w:rsidR="0091302C" w:rsidRPr="00E5030A" w14:paraId="33735BEE" w14:textId="77777777" w:rsidTr="002A7BFB">
              <w:tc>
                <w:tcPr>
                  <w:tcW w:w="1278" w:type="pct"/>
                  <w:tcBorders>
                    <w:top w:val="single" w:sz="4" w:space="0" w:color="auto"/>
                    <w:left w:val="single" w:sz="4" w:space="0" w:color="auto"/>
                    <w:bottom w:val="single" w:sz="4" w:space="0" w:color="auto"/>
                    <w:right w:val="single" w:sz="4" w:space="0" w:color="auto"/>
                  </w:tcBorders>
                </w:tcPr>
                <w:p w14:paraId="2FCF8AA8" w14:textId="77777777" w:rsidR="0091302C" w:rsidRPr="00E5030A" w:rsidRDefault="0091302C" w:rsidP="0091302C">
                  <w:pPr>
                    <w:spacing w:after="60"/>
                    <w:rPr>
                      <w:iCs/>
                      <w:sz w:val="20"/>
                    </w:rPr>
                  </w:pPr>
                  <w:r w:rsidRPr="00E5030A">
                    <w:rPr>
                      <w:iCs/>
                      <w:sz w:val="20"/>
                    </w:rPr>
                    <w:t xml:space="preserve">RTPCRDAMTQSETOT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80722B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4CC0F4A" w14:textId="77777777" w:rsidR="0091302C" w:rsidRPr="00E5030A" w:rsidRDefault="0091302C" w:rsidP="0091302C">
                  <w:pPr>
                    <w:spacing w:after="60"/>
                    <w:rPr>
                      <w:iCs/>
                      <w:sz w:val="20"/>
                    </w:rPr>
                  </w:pPr>
                  <w:r w:rsidRPr="00E5030A">
                    <w:rPr>
                      <w:i/>
                      <w:iCs/>
                      <w:sz w:val="20"/>
                    </w:rPr>
                    <w:t>Procured Capacity for Reg-Down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Reg-Down, for the hour.</w:t>
                  </w:r>
                </w:p>
              </w:tc>
            </w:tr>
            <w:tr w:rsidR="0091302C" w:rsidRPr="00E5030A" w14:paraId="08F3893B" w14:textId="77777777" w:rsidTr="002A7BFB">
              <w:tc>
                <w:tcPr>
                  <w:tcW w:w="1278" w:type="pct"/>
                  <w:tcBorders>
                    <w:top w:val="single" w:sz="4" w:space="0" w:color="auto"/>
                    <w:left w:val="single" w:sz="4" w:space="0" w:color="auto"/>
                    <w:bottom w:val="single" w:sz="4" w:space="0" w:color="auto"/>
                    <w:right w:val="single" w:sz="4" w:space="0" w:color="auto"/>
                  </w:tcBorders>
                </w:tcPr>
                <w:p w14:paraId="6B9A8F54" w14:textId="77777777" w:rsidR="0091302C" w:rsidRPr="00E5030A" w:rsidRDefault="0091302C" w:rsidP="0091302C">
                  <w:pPr>
                    <w:rPr>
                      <w:b/>
                      <w:sz w:val="20"/>
                    </w:rPr>
                  </w:pPr>
                  <w:r w:rsidRPr="00E5030A">
                    <w:rPr>
                      <w:sz w:val="20"/>
                    </w:rPr>
                    <w:t xml:space="preserve">PCRDAMT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23796980" w14:textId="77777777" w:rsidR="0091302C" w:rsidRPr="00E5030A" w:rsidRDefault="0091302C" w:rsidP="0091302C">
                  <w:pPr>
                    <w:rPr>
                      <w:b/>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03D12134" w14:textId="77777777" w:rsidR="0091302C" w:rsidRPr="00E5030A" w:rsidRDefault="0091302C" w:rsidP="0091302C">
                  <w:pPr>
                    <w:rPr>
                      <w:b/>
                      <w:sz w:val="20"/>
                    </w:rPr>
                  </w:pPr>
                  <w:r w:rsidRPr="00E5030A">
                    <w:rPr>
                      <w:i/>
                      <w:sz w:val="20"/>
                    </w:rPr>
                    <w:t>Procured Capacity for Reg-Down Amount per QSE for DAM</w:t>
                  </w:r>
                  <w:r w:rsidRPr="00E5030A">
                    <w:rPr>
                      <w:sz w:val="20"/>
                    </w:rPr>
                    <w:t>—The DAM Reg-Down payment for QSE</w:t>
                  </w:r>
                  <w:r w:rsidRPr="00E5030A">
                    <w:rPr>
                      <w:i/>
                      <w:sz w:val="20"/>
                    </w:rPr>
                    <w:t xml:space="preserve"> q</w:t>
                  </w:r>
                  <w:r w:rsidRPr="00E5030A">
                    <w:rPr>
                      <w:iCs/>
                      <w:sz w:val="20"/>
                    </w:rPr>
                    <w:t>,</w:t>
                  </w:r>
                  <w:r w:rsidRPr="00E5030A">
                    <w:rPr>
                      <w:sz w:val="20"/>
                    </w:rPr>
                    <w:t xml:space="preserve"> for the hour.</w:t>
                  </w:r>
                </w:p>
              </w:tc>
            </w:tr>
            <w:tr w:rsidR="0091302C" w:rsidRPr="00E5030A" w14:paraId="1ABA92B6" w14:textId="77777777" w:rsidTr="002A7BFB">
              <w:tc>
                <w:tcPr>
                  <w:tcW w:w="1278" w:type="pct"/>
                  <w:tcBorders>
                    <w:top w:val="single" w:sz="4" w:space="0" w:color="auto"/>
                    <w:left w:val="single" w:sz="4" w:space="0" w:color="auto"/>
                    <w:bottom w:val="single" w:sz="4" w:space="0" w:color="auto"/>
                    <w:right w:val="single" w:sz="4" w:space="0" w:color="auto"/>
                  </w:tcBorders>
                </w:tcPr>
                <w:p w14:paraId="01E45EE6" w14:textId="77777777" w:rsidR="0091302C" w:rsidRPr="00E5030A" w:rsidRDefault="0091302C" w:rsidP="0091302C">
                  <w:pPr>
                    <w:rPr>
                      <w:sz w:val="20"/>
                    </w:rPr>
                  </w:pPr>
                  <w:r w:rsidRPr="00E5030A">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1195574" w14:textId="77777777" w:rsidR="0091302C" w:rsidRPr="00E5030A" w:rsidRDefault="0091302C" w:rsidP="0091302C">
                  <w:pPr>
                    <w:rPr>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33F009F4" w14:textId="77777777" w:rsidR="0091302C" w:rsidRPr="00E5030A" w:rsidRDefault="0091302C" w:rsidP="0091302C">
                  <w:pPr>
                    <w:rPr>
                      <w:sz w:val="20"/>
                    </w:rPr>
                  </w:pPr>
                  <w:r w:rsidRPr="00E5030A">
                    <w:rPr>
                      <w:i/>
                      <w:sz w:val="20"/>
                    </w:rPr>
                    <w:t>Procured Capacity for Reg-Down Amount Total in DAM</w:t>
                  </w:r>
                  <w:r w:rsidRPr="00E5030A">
                    <w:rPr>
                      <w:sz w:val="20"/>
                    </w:rPr>
                    <w:t>—The total of the DAM Reg-Down payments for all QSEs for the hour.</w:t>
                  </w:r>
                </w:p>
              </w:tc>
            </w:tr>
            <w:tr w:rsidR="0091302C" w:rsidRPr="00E5030A" w14:paraId="52F5186C" w14:textId="77777777" w:rsidTr="002A7BFB">
              <w:tc>
                <w:tcPr>
                  <w:tcW w:w="1278" w:type="pct"/>
                  <w:tcBorders>
                    <w:top w:val="single" w:sz="4" w:space="0" w:color="auto"/>
                    <w:left w:val="single" w:sz="4" w:space="0" w:color="auto"/>
                    <w:bottom w:val="single" w:sz="4" w:space="0" w:color="auto"/>
                    <w:right w:val="single" w:sz="4" w:space="0" w:color="auto"/>
                  </w:tcBorders>
                </w:tcPr>
                <w:p w14:paraId="029B0505" w14:textId="77777777" w:rsidR="0091302C" w:rsidRPr="00E5030A" w:rsidRDefault="0091302C" w:rsidP="0091302C">
                  <w:pPr>
                    <w:spacing w:after="60"/>
                    <w:rPr>
                      <w:i/>
                      <w:iCs/>
                      <w:sz w:val="20"/>
                    </w:rPr>
                  </w:pPr>
                  <w:r w:rsidRPr="00E5030A">
                    <w:rPr>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101C4D70"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28D37325" w14:textId="77777777" w:rsidR="0091302C" w:rsidRPr="00E5030A" w:rsidRDefault="0091302C" w:rsidP="0091302C">
                  <w:pPr>
                    <w:spacing w:after="60"/>
                    <w:rPr>
                      <w:iCs/>
                      <w:sz w:val="20"/>
                    </w:rPr>
                  </w:pPr>
                  <w:r w:rsidRPr="00E5030A">
                    <w:rPr>
                      <w:i/>
                      <w:sz w:val="20"/>
                    </w:rPr>
                    <w:t xml:space="preserve">Reg-Down Infeasible Quantity Amount Total </w:t>
                  </w:r>
                  <w:r w:rsidRPr="00E5030A">
                    <w:rPr>
                      <w:sz w:val="20"/>
                    </w:rPr>
                    <w:t>— The charge to all QSEs for their total capacity associated with infeasible deployment of Ancillary Service Supply Responsibilities for Reg-Down, for the hour.</w:t>
                  </w:r>
                </w:p>
              </w:tc>
            </w:tr>
            <w:tr w:rsidR="0091302C" w:rsidRPr="00E5030A" w14:paraId="0FCF7CB3" w14:textId="77777777" w:rsidTr="002A7BFB">
              <w:tc>
                <w:tcPr>
                  <w:tcW w:w="1278" w:type="pct"/>
                  <w:tcBorders>
                    <w:top w:val="single" w:sz="4" w:space="0" w:color="auto"/>
                    <w:left w:val="single" w:sz="4" w:space="0" w:color="auto"/>
                    <w:bottom w:val="single" w:sz="4" w:space="0" w:color="auto"/>
                    <w:right w:val="single" w:sz="4" w:space="0" w:color="auto"/>
                  </w:tcBorders>
                </w:tcPr>
                <w:p w14:paraId="1FB6DA1A" w14:textId="77777777" w:rsidR="0091302C" w:rsidRPr="00E5030A" w:rsidRDefault="0091302C" w:rsidP="0091302C">
                  <w:pPr>
                    <w:spacing w:after="60"/>
                    <w:rPr>
                      <w:i/>
                      <w:iCs/>
                      <w:sz w:val="20"/>
                    </w:rPr>
                  </w:pPr>
                  <w:r w:rsidRPr="00E5030A">
                    <w:rPr>
                      <w:sz w:val="20"/>
                    </w:rPr>
                    <w:t xml:space="preserve">RDINFQAMT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4D9DC61"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74E85345" w14:textId="77777777" w:rsidR="0091302C" w:rsidRPr="00E5030A" w:rsidRDefault="0091302C" w:rsidP="0091302C">
                  <w:pPr>
                    <w:spacing w:after="60"/>
                    <w:rPr>
                      <w:iCs/>
                      <w:sz w:val="20"/>
                    </w:rPr>
                  </w:pPr>
                  <w:r w:rsidRPr="00E5030A">
                    <w:rPr>
                      <w:i/>
                      <w:sz w:val="20"/>
                    </w:rPr>
                    <w:t>Reg-Down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its Ancillary Service Supply Responsibilities for Reg-Down, for the hour.</w:t>
                  </w:r>
                </w:p>
              </w:tc>
            </w:tr>
            <w:tr w:rsidR="0091302C" w:rsidRPr="00E5030A" w14:paraId="630F1DC2" w14:textId="77777777" w:rsidTr="002A7BFB">
              <w:tc>
                <w:tcPr>
                  <w:tcW w:w="1278" w:type="pct"/>
                  <w:tcBorders>
                    <w:top w:val="single" w:sz="4" w:space="0" w:color="auto"/>
                    <w:left w:val="single" w:sz="4" w:space="0" w:color="auto"/>
                    <w:bottom w:val="single" w:sz="4" w:space="0" w:color="auto"/>
                    <w:right w:val="single" w:sz="4" w:space="0" w:color="auto"/>
                  </w:tcBorders>
                </w:tcPr>
                <w:p w14:paraId="25EF919B" w14:textId="77777777" w:rsidR="0091302C" w:rsidRPr="00E5030A" w:rsidRDefault="0091302C" w:rsidP="0091302C">
                  <w:pPr>
                    <w:spacing w:after="60"/>
                    <w:rPr>
                      <w:i/>
                      <w:iCs/>
                      <w:sz w:val="20"/>
                    </w:rPr>
                  </w:pPr>
                  <w:r w:rsidRPr="00E5030A">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72B1B216"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609DA79" w14:textId="77777777" w:rsidR="0091302C" w:rsidRPr="00E5030A" w:rsidRDefault="0091302C" w:rsidP="0091302C">
                  <w:pPr>
                    <w:spacing w:after="60"/>
                    <w:rPr>
                      <w:iCs/>
                      <w:sz w:val="20"/>
                    </w:rPr>
                  </w:pPr>
                  <w:r w:rsidRPr="00E5030A">
                    <w:rPr>
                      <w:iCs/>
                      <w:sz w:val="20"/>
                    </w:rPr>
                    <w:t>A QSE.</w:t>
                  </w:r>
                </w:p>
              </w:tc>
            </w:tr>
            <w:tr w:rsidR="0091302C" w:rsidRPr="00E5030A" w14:paraId="5031BD47" w14:textId="77777777" w:rsidTr="002A7BFB">
              <w:tc>
                <w:tcPr>
                  <w:tcW w:w="1278" w:type="pct"/>
                  <w:tcBorders>
                    <w:top w:val="single" w:sz="4" w:space="0" w:color="auto"/>
                    <w:left w:val="single" w:sz="4" w:space="0" w:color="auto"/>
                    <w:bottom w:val="single" w:sz="4" w:space="0" w:color="auto"/>
                    <w:right w:val="single" w:sz="4" w:space="0" w:color="auto"/>
                  </w:tcBorders>
                </w:tcPr>
                <w:p w14:paraId="55F59875" w14:textId="77777777" w:rsidR="0091302C" w:rsidRPr="00E5030A" w:rsidRDefault="0091302C" w:rsidP="0091302C">
                  <w:pPr>
                    <w:spacing w:after="60"/>
                    <w:rPr>
                      <w:i/>
                      <w:iCs/>
                      <w:sz w:val="20"/>
                    </w:rPr>
                  </w:pPr>
                  <w:r w:rsidRPr="00E5030A">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49E69972"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E997532" w14:textId="77777777" w:rsidR="0091302C" w:rsidRPr="00E5030A" w:rsidRDefault="0091302C" w:rsidP="0091302C">
                  <w:pPr>
                    <w:spacing w:after="60"/>
                    <w:rPr>
                      <w:iCs/>
                      <w:sz w:val="20"/>
                    </w:rPr>
                  </w:pPr>
                  <w:r w:rsidRPr="00E5030A">
                    <w:rPr>
                      <w:iCs/>
                      <w:sz w:val="20"/>
                    </w:rPr>
                    <w:t>An Ancillary Service market (SASM or RSASM) for the given Operating Hour.</w:t>
                  </w:r>
                </w:p>
              </w:tc>
            </w:tr>
          </w:tbl>
          <w:p w14:paraId="1F373CE3" w14:textId="77777777" w:rsidR="006A63DD" w:rsidRPr="006C5A42" w:rsidRDefault="006A63DD" w:rsidP="006A63DD">
            <w:pPr>
              <w:spacing w:after="240"/>
            </w:pPr>
          </w:p>
        </w:tc>
      </w:tr>
    </w:tbl>
    <w:p w14:paraId="7C365598"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Reg-Down for the Operating Hour is calculated as follows:</w:t>
      </w:r>
    </w:p>
    <w:p w14:paraId="4B7E98FC" w14:textId="77777777" w:rsidR="008C5104" w:rsidRPr="007E46C9" w:rsidRDefault="008C5104" w:rsidP="008C5104">
      <w:pPr>
        <w:spacing w:after="240"/>
        <w:ind w:left="2880" w:hanging="2160"/>
        <w:rPr>
          <w:b/>
          <w:bCs/>
        </w:rPr>
      </w:pPr>
      <w:r w:rsidRPr="007E46C9">
        <w:rPr>
          <w:b/>
          <w:bCs/>
        </w:rPr>
        <w:t xml:space="preserve">RDCOST </w:t>
      </w:r>
      <w:r w:rsidRPr="007E46C9">
        <w:rPr>
          <w:b/>
          <w:bCs/>
          <w:i/>
          <w:vertAlign w:val="subscript"/>
        </w:rPr>
        <w:t>q</w:t>
      </w:r>
      <w:r w:rsidRPr="007E46C9">
        <w:rPr>
          <w:b/>
          <w:bCs/>
          <w:i/>
          <w:vertAlign w:val="subscript"/>
        </w:rPr>
        <w:tab/>
      </w:r>
      <w:r w:rsidRPr="007E46C9">
        <w:rPr>
          <w:b/>
          <w:bCs/>
        </w:rPr>
        <w:t>=</w:t>
      </w:r>
      <w:r w:rsidRPr="007E46C9">
        <w:rPr>
          <w:b/>
          <w:bCs/>
        </w:rPr>
        <w:tab/>
        <w:t xml:space="preserve">RDPR * RDQ </w:t>
      </w:r>
      <w:r w:rsidRPr="007E46C9">
        <w:rPr>
          <w:b/>
          <w:bCs/>
          <w:i/>
          <w:vertAlign w:val="subscript"/>
        </w:rPr>
        <w:t>q</w:t>
      </w:r>
    </w:p>
    <w:p w14:paraId="52BFE39F" w14:textId="77777777" w:rsidR="008C5104" w:rsidRPr="007E46C9" w:rsidRDefault="008C5104" w:rsidP="008C5104">
      <w:pPr>
        <w:spacing w:after="240"/>
        <w:rPr>
          <w:iCs/>
        </w:rPr>
      </w:pPr>
      <w:r w:rsidRPr="007E46C9">
        <w:rPr>
          <w:iCs/>
        </w:rPr>
        <w:t>Where:</w:t>
      </w:r>
    </w:p>
    <w:p w14:paraId="268C3011"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lastRenderedPageBreak/>
        <w:t>RDPR</w:t>
      </w:r>
      <w:r w:rsidRPr="007E46C9">
        <w:rPr>
          <w:bCs/>
        </w:rPr>
        <w:tab/>
      </w:r>
      <w:r w:rsidRPr="007E46C9">
        <w:rPr>
          <w:bCs/>
        </w:rPr>
        <w:tab/>
        <w:t>=</w:t>
      </w:r>
      <w:r w:rsidRPr="007E46C9">
        <w:rPr>
          <w:bCs/>
        </w:rPr>
        <w:tab/>
        <w:t>RDCOSTTOT / RDQTOT</w:t>
      </w:r>
    </w:p>
    <w:p w14:paraId="6B1CC5D4" w14:textId="585EEBB6" w:rsidR="008C5104" w:rsidRPr="007E46C9" w:rsidRDefault="008C5104" w:rsidP="008C5104">
      <w:pPr>
        <w:tabs>
          <w:tab w:val="left" w:pos="2160"/>
          <w:tab w:val="left" w:pos="2880"/>
        </w:tabs>
        <w:spacing w:after="120"/>
        <w:ind w:leftChars="300" w:left="2880" w:hangingChars="900" w:hanging="2160"/>
        <w:rPr>
          <w:bCs/>
        </w:rPr>
      </w:pPr>
      <w:r w:rsidRPr="007E46C9">
        <w:rPr>
          <w:bCs/>
        </w:rPr>
        <w:t>RDQTOT</w:t>
      </w:r>
      <w:r w:rsidRPr="007E46C9">
        <w:rPr>
          <w:bCs/>
        </w:rPr>
        <w:tab/>
      </w:r>
      <w:r w:rsidRPr="007E46C9">
        <w:rPr>
          <w:bCs/>
        </w:rPr>
        <w:tab/>
        <w:t>=</w:t>
      </w:r>
      <w:r w:rsidRPr="007E46C9">
        <w:rPr>
          <w:bCs/>
        </w:rPr>
        <w:tab/>
      </w:r>
      <w:r w:rsidR="00A94020">
        <w:rPr>
          <w:bCs/>
          <w:noProof/>
          <w:position w:val="-22"/>
        </w:rPr>
        <w:drawing>
          <wp:inline distT="0" distB="0" distL="0" distR="0" wp14:anchorId="35B8D079" wp14:editId="79E16EA7">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RDQ </w:t>
      </w:r>
      <w:r w:rsidRPr="007E46C9">
        <w:rPr>
          <w:bCs/>
          <w:i/>
          <w:vertAlign w:val="subscript"/>
        </w:rPr>
        <w:t>q</w:t>
      </w:r>
    </w:p>
    <w:p w14:paraId="49DE450F" w14:textId="77777777"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RDQ </w:t>
      </w:r>
      <w:r w:rsidRPr="007E46C9">
        <w:rPr>
          <w:bCs/>
          <w:i/>
          <w:vertAlign w:val="subscript"/>
          <w:lang w:val="it-IT"/>
        </w:rPr>
        <w:t>q</w:t>
      </w:r>
      <w:r w:rsidRPr="007E46C9">
        <w:rPr>
          <w:bCs/>
          <w:lang w:val="it-IT"/>
        </w:rPr>
        <w:tab/>
      </w:r>
      <w:r w:rsidRPr="007E46C9">
        <w:rPr>
          <w:bCs/>
          <w:lang w:val="it-IT"/>
        </w:rPr>
        <w:tab/>
        <w:t>=</w:t>
      </w:r>
      <w:r w:rsidRPr="007E46C9">
        <w:rPr>
          <w:bCs/>
          <w:lang w:val="it-IT"/>
        </w:rPr>
        <w:tab/>
        <w:t xml:space="preserve">RDO </w:t>
      </w:r>
      <w:r w:rsidRPr="007E46C9">
        <w:rPr>
          <w:bCs/>
          <w:i/>
          <w:vertAlign w:val="subscript"/>
          <w:lang w:val="it-IT"/>
        </w:rPr>
        <w:t>q</w:t>
      </w:r>
      <w:r w:rsidRPr="007E46C9">
        <w:rPr>
          <w:bCs/>
          <w:lang w:val="it-IT"/>
        </w:rPr>
        <w:t xml:space="preserve"> – SARDQ </w:t>
      </w:r>
      <w:r w:rsidRPr="007E46C9">
        <w:rPr>
          <w:bCs/>
          <w:i/>
          <w:vertAlign w:val="subscript"/>
          <w:lang w:val="it-IT"/>
        </w:rPr>
        <w:t>q</w:t>
      </w:r>
    </w:p>
    <w:p w14:paraId="6F0C31C7" w14:textId="7E0C1825"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RDO </w:t>
      </w:r>
      <w:r w:rsidRPr="007E46C9">
        <w:rPr>
          <w:bCs/>
          <w:i/>
          <w:vertAlign w:val="subscript"/>
          <w:lang w:val="it-IT"/>
        </w:rPr>
        <w:t>q</w:t>
      </w:r>
      <w:r w:rsidRPr="007E46C9">
        <w:rPr>
          <w:bCs/>
          <w:lang w:val="it-IT"/>
        </w:rPr>
        <w:tab/>
      </w:r>
      <w:r w:rsidRPr="007E46C9">
        <w:rPr>
          <w:bCs/>
          <w:lang w:val="it-IT"/>
        </w:rPr>
        <w:tab/>
        <w:t>=</w:t>
      </w:r>
      <w:r w:rsidRPr="007E46C9">
        <w:rPr>
          <w:bCs/>
          <w:lang w:val="it-IT"/>
        </w:rPr>
        <w:tab/>
      </w:r>
      <w:r w:rsidR="00A94020">
        <w:rPr>
          <w:bCs/>
          <w:noProof/>
          <w:position w:val="-22"/>
        </w:rPr>
        <w:drawing>
          <wp:inline distT="0" distB="0" distL="0" distR="0" wp14:anchorId="0E228727" wp14:editId="24842F02">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it-IT"/>
        </w:rPr>
        <w:t xml:space="preserve">(SARDQ </w:t>
      </w:r>
      <w:r w:rsidRPr="007E46C9">
        <w:rPr>
          <w:bCs/>
          <w:i/>
          <w:vertAlign w:val="subscript"/>
          <w:lang w:val="it-IT"/>
        </w:rPr>
        <w:t>q</w:t>
      </w:r>
      <w:r w:rsidRPr="007E46C9">
        <w:rPr>
          <w:bCs/>
          <w:lang w:val="it-IT"/>
        </w:rPr>
        <w:t xml:space="preserve"> + </w:t>
      </w:r>
      <w:r w:rsidR="00A94020">
        <w:rPr>
          <w:bCs/>
          <w:noProof/>
          <w:position w:val="-20"/>
        </w:rPr>
        <w:drawing>
          <wp:inline distT="0" distB="0" distL="0" distR="0" wp14:anchorId="5DA7AACC" wp14:editId="21551173">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it-IT"/>
        </w:rPr>
        <w:t xml:space="preserve">(RTPCRD </w:t>
      </w:r>
      <w:r w:rsidRPr="007E46C9">
        <w:rPr>
          <w:bCs/>
          <w:i/>
          <w:vertAlign w:val="subscript"/>
          <w:lang w:val="it-IT"/>
        </w:rPr>
        <w:t>q, m</w:t>
      </w:r>
      <w:r w:rsidRPr="007E46C9">
        <w:rPr>
          <w:bCs/>
          <w:lang w:val="it-IT"/>
        </w:rPr>
        <w:t xml:space="preserve">) + PCRD </w:t>
      </w:r>
      <w:r w:rsidRPr="007E46C9">
        <w:rPr>
          <w:bCs/>
          <w:i/>
          <w:vertAlign w:val="subscript"/>
          <w:lang w:val="it-IT"/>
        </w:rPr>
        <w:t>q</w:t>
      </w:r>
      <w:r w:rsidRPr="007E46C9">
        <w:rPr>
          <w:bCs/>
          <w:lang w:val="it-IT"/>
        </w:rPr>
        <w:t xml:space="preserve"> –  </w:t>
      </w:r>
    </w:p>
    <w:p w14:paraId="41DE9D9F" w14:textId="77777777" w:rsidR="008C5104" w:rsidRPr="007E46C9" w:rsidRDefault="008C5104" w:rsidP="008C5104">
      <w:pPr>
        <w:tabs>
          <w:tab w:val="left" w:pos="2160"/>
          <w:tab w:val="left" w:pos="2880"/>
        </w:tabs>
        <w:spacing w:after="120"/>
        <w:ind w:leftChars="300" w:left="2880" w:hangingChars="900" w:hanging="2160"/>
        <w:rPr>
          <w:bCs/>
          <w:i/>
          <w:vertAlign w:val="subscript"/>
          <w:lang w:val="it-IT"/>
        </w:rPr>
      </w:pPr>
      <w:r w:rsidRPr="007E46C9">
        <w:rPr>
          <w:bCs/>
          <w:lang w:val="it-IT"/>
        </w:rPr>
        <w:tab/>
      </w:r>
      <w:r w:rsidRPr="007E46C9">
        <w:rPr>
          <w:bCs/>
          <w:lang w:val="it-IT"/>
        </w:rPr>
        <w:tab/>
      </w:r>
      <w:r w:rsidRPr="007E46C9">
        <w:rPr>
          <w:bCs/>
          <w:lang w:val="it-IT"/>
        </w:rPr>
        <w:tab/>
        <w:t xml:space="preserve">RDFQ </w:t>
      </w:r>
      <w:r w:rsidRPr="007E46C9">
        <w:rPr>
          <w:bCs/>
          <w:i/>
          <w:vertAlign w:val="subscript"/>
          <w:lang w:val="it-IT"/>
        </w:rPr>
        <w:t>q</w:t>
      </w:r>
      <w:r w:rsidRPr="007E46C9">
        <w:rPr>
          <w:bCs/>
          <w:lang w:val="it-IT"/>
        </w:rPr>
        <w:t xml:space="preserve"> – RRDFQ </w:t>
      </w:r>
      <w:r w:rsidRPr="007E46C9">
        <w:rPr>
          <w:bCs/>
          <w:i/>
          <w:vertAlign w:val="subscript"/>
          <w:lang w:val="it-IT"/>
        </w:rPr>
        <w:t>q</w:t>
      </w:r>
      <w:r w:rsidRPr="007E46C9">
        <w:rPr>
          <w:bCs/>
          <w:lang w:val="it-IT"/>
        </w:rPr>
        <w:t xml:space="preserve">) * HLRS </w:t>
      </w:r>
      <w:r w:rsidRPr="007E46C9">
        <w:rPr>
          <w:bCs/>
          <w:i/>
          <w:vertAlign w:val="subscript"/>
          <w:lang w:val="it-IT"/>
        </w:rPr>
        <w:t>q</w:t>
      </w:r>
    </w:p>
    <w:p w14:paraId="1451C032" w14:textId="77777777" w:rsidR="008C5104" w:rsidRPr="007E46C9" w:rsidRDefault="008C5104" w:rsidP="008C5104">
      <w:pPr>
        <w:tabs>
          <w:tab w:val="left" w:pos="2160"/>
          <w:tab w:val="left" w:pos="2880"/>
        </w:tabs>
        <w:spacing w:after="120"/>
        <w:ind w:leftChars="300" w:left="2880" w:hangingChars="900" w:hanging="2160"/>
        <w:rPr>
          <w:bCs/>
          <w:lang w:val="fr-FR"/>
        </w:rPr>
      </w:pPr>
      <w:r w:rsidRPr="007E46C9">
        <w:rPr>
          <w:bCs/>
          <w:lang w:val="fr-FR"/>
        </w:rPr>
        <w:t xml:space="preserve">SARDQ </w:t>
      </w:r>
      <w:r w:rsidRPr="007E46C9">
        <w:rPr>
          <w:bCs/>
          <w:i/>
          <w:vertAlign w:val="subscript"/>
          <w:lang w:val="fr-FR"/>
        </w:rPr>
        <w:t>q</w:t>
      </w:r>
      <w:r w:rsidRPr="007E46C9">
        <w:rPr>
          <w:bCs/>
          <w:lang w:val="fr-FR"/>
        </w:rPr>
        <w:tab/>
      </w:r>
      <w:r w:rsidRPr="007E46C9">
        <w:rPr>
          <w:bCs/>
          <w:lang w:val="fr-FR"/>
        </w:rPr>
        <w:tab/>
        <w:t>=</w:t>
      </w:r>
      <w:r w:rsidRPr="007E46C9">
        <w:rPr>
          <w:bCs/>
          <w:lang w:val="fr-FR"/>
        </w:rPr>
        <w:tab/>
        <w:t xml:space="preserve">DASARDQ </w:t>
      </w:r>
      <w:r w:rsidRPr="007E46C9">
        <w:rPr>
          <w:bCs/>
          <w:i/>
          <w:vertAlign w:val="subscript"/>
          <w:lang w:val="fr-FR"/>
        </w:rPr>
        <w:t>q</w:t>
      </w:r>
      <w:r w:rsidRPr="007E46C9">
        <w:rPr>
          <w:bCs/>
          <w:lang w:val="fr-FR"/>
        </w:rPr>
        <w:t xml:space="preserve"> + RTSARDQ </w:t>
      </w:r>
      <w:r w:rsidRPr="007E46C9">
        <w:rPr>
          <w:bCs/>
          <w:i/>
          <w:vertAlign w:val="subscript"/>
          <w:lang w:val="fr-FR"/>
        </w:rPr>
        <w:t>q</w:t>
      </w:r>
    </w:p>
    <w:p w14:paraId="1F46F31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18E88DAD" w14:textId="77777777" w:rsidTr="008C5104">
        <w:trPr>
          <w:tblHeader/>
        </w:trPr>
        <w:tc>
          <w:tcPr>
            <w:tcW w:w="849" w:type="pct"/>
          </w:tcPr>
          <w:p w14:paraId="7FE78FCA" w14:textId="77777777" w:rsidR="008C5104" w:rsidRPr="007E46C9" w:rsidRDefault="008C5104" w:rsidP="008C5104">
            <w:pPr>
              <w:keepNext/>
              <w:spacing w:after="120"/>
              <w:rPr>
                <w:b/>
                <w:iCs/>
                <w:sz w:val="20"/>
              </w:rPr>
            </w:pPr>
            <w:r w:rsidRPr="007E46C9">
              <w:rPr>
                <w:b/>
                <w:iCs/>
                <w:sz w:val="20"/>
              </w:rPr>
              <w:t>Variable</w:t>
            </w:r>
          </w:p>
        </w:tc>
        <w:tc>
          <w:tcPr>
            <w:tcW w:w="460" w:type="pct"/>
          </w:tcPr>
          <w:p w14:paraId="7184368F" w14:textId="77777777" w:rsidR="008C5104" w:rsidRPr="007E46C9" w:rsidRDefault="008C5104" w:rsidP="008C5104">
            <w:pPr>
              <w:keepNext/>
              <w:spacing w:after="120"/>
              <w:rPr>
                <w:b/>
                <w:iCs/>
                <w:sz w:val="20"/>
              </w:rPr>
            </w:pPr>
            <w:r w:rsidRPr="007E46C9">
              <w:rPr>
                <w:b/>
                <w:iCs/>
                <w:sz w:val="20"/>
              </w:rPr>
              <w:t>Unit</w:t>
            </w:r>
          </w:p>
        </w:tc>
        <w:tc>
          <w:tcPr>
            <w:tcW w:w="3691" w:type="pct"/>
          </w:tcPr>
          <w:p w14:paraId="782E07A7"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2C61524C" w14:textId="77777777" w:rsidTr="008C5104">
        <w:tc>
          <w:tcPr>
            <w:tcW w:w="849" w:type="pct"/>
          </w:tcPr>
          <w:p w14:paraId="2C8FF101"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0" w:type="pct"/>
          </w:tcPr>
          <w:p w14:paraId="291D6DF5" w14:textId="77777777" w:rsidR="008C5104" w:rsidRPr="007E46C9" w:rsidRDefault="008C5104" w:rsidP="008C5104">
            <w:pPr>
              <w:keepNext/>
              <w:spacing w:after="60"/>
              <w:rPr>
                <w:iCs/>
                <w:sz w:val="20"/>
              </w:rPr>
            </w:pPr>
            <w:r w:rsidRPr="007E46C9">
              <w:rPr>
                <w:iCs/>
                <w:sz w:val="20"/>
              </w:rPr>
              <w:t>$</w:t>
            </w:r>
          </w:p>
        </w:tc>
        <w:tc>
          <w:tcPr>
            <w:tcW w:w="3691" w:type="pct"/>
          </w:tcPr>
          <w:p w14:paraId="69102B7D" w14:textId="77777777" w:rsidR="008C5104" w:rsidRPr="007E46C9" w:rsidRDefault="008C5104" w:rsidP="008C5104">
            <w:pPr>
              <w:keepNext/>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01A711EB" w14:textId="77777777" w:rsidTr="008C5104">
        <w:tc>
          <w:tcPr>
            <w:tcW w:w="849" w:type="pct"/>
            <w:tcBorders>
              <w:top w:val="single" w:sz="4" w:space="0" w:color="auto"/>
              <w:left w:val="single" w:sz="4" w:space="0" w:color="auto"/>
              <w:bottom w:val="single" w:sz="4" w:space="0" w:color="auto"/>
              <w:right w:val="single" w:sz="4" w:space="0" w:color="auto"/>
            </w:tcBorders>
          </w:tcPr>
          <w:p w14:paraId="2C9EF910" w14:textId="77777777" w:rsidR="008C5104" w:rsidRPr="007E46C9" w:rsidRDefault="008C5104" w:rsidP="008C5104">
            <w:pPr>
              <w:spacing w:after="60"/>
              <w:rPr>
                <w:iCs/>
                <w:sz w:val="20"/>
              </w:rPr>
            </w:pPr>
            <w:r w:rsidRPr="007E46C9">
              <w:rPr>
                <w:iCs/>
                <w:sz w:val="20"/>
              </w:rPr>
              <w:t>RDPR</w:t>
            </w:r>
          </w:p>
        </w:tc>
        <w:tc>
          <w:tcPr>
            <w:tcW w:w="460" w:type="pct"/>
            <w:tcBorders>
              <w:top w:val="single" w:sz="4" w:space="0" w:color="auto"/>
              <w:left w:val="single" w:sz="4" w:space="0" w:color="auto"/>
              <w:bottom w:val="single" w:sz="4" w:space="0" w:color="auto"/>
              <w:right w:val="single" w:sz="4" w:space="0" w:color="auto"/>
            </w:tcBorders>
          </w:tcPr>
          <w:p w14:paraId="69C5B147"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602EE228" w14:textId="77777777" w:rsidR="008C5104" w:rsidRPr="007E46C9" w:rsidRDefault="008C5104" w:rsidP="008C5104">
            <w:pPr>
              <w:spacing w:after="60"/>
              <w:rPr>
                <w:i/>
                <w:iCs/>
                <w:sz w:val="20"/>
              </w:rPr>
            </w:pPr>
            <w:r w:rsidRPr="007E46C9">
              <w:rPr>
                <w:i/>
                <w:iCs/>
                <w:sz w:val="20"/>
              </w:rPr>
              <w:t>Reg-Down Price—</w:t>
            </w:r>
            <w:r w:rsidRPr="007E46C9">
              <w:rPr>
                <w:iCs/>
                <w:sz w:val="20"/>
              </w:rPr>
              <w:t>The price for Reg-Down calculated based on the net total costs for Reg-Down, for the hour.</w:t>
            </w:r>
          </w:p>
        </w:tc>
      </w:tr>
      <w:tr w:rsidR="008C5104" w:rsidRPr="007E46C9" w14:paraId="70BFBAC9" w14:textId="77777777" w:rsidTr="008C5104">
        <w:tc>
          <w:tcPr>
            <w:tcW w:w="849" w:type="pct"/>
            <w:tcBorders>
              <w:top w:val="single" w:sz="4" w:space="0" w:color="auto"/>
              <w:left w:val="single" w:sz="4" w:space="0" w:color="auto"/>
              <w:bottom w:val="single" w:sz="4" w:space="0" w:color="auto"/>
              <w:right w:val="single" w:sz="4" w:space="0" w:color="auto"/>
            </w:tcBorders>
          </w:tcPr>
          <w:p w14:paraId="016721BE" w14:textId="77777777" w:rsidR="008C5104" w:rsidRPr="007E46C9" w:rsidRDefault="008C5104" w:rsidP="008C5104">
            <w:pPr>
              <w:spacing w:after="60"/>
              <w:rPr>
                <w:iCs/>
                <w:sz w:val="20"/>
              </w:rPr>
            </w:pPr>
            <w:r w:rsidRPr="007E46C9">
              <w:rPr>
                <w:iCs/>
                <w:sz w:val="20"/>
              </w:rPr>
              <w:t>RDCOSTTOT</w:t>
            </w:r>
          </w:p>
        </w:tc>
        <w:tc>
          <w:tcPr>
            <w:tcW w:w="460" w:type="pct"/>
            <w:tcBorders>
              <w:top w:val="single" w:sz="4" w:space="0" w:color="auto"/>
              <w:left w:val="single" w:sz="4" w:space="0" w:color="auto"/>
              <w:bottom w:val="single" w:sz="4" w:space="0" w:color="auto"/>
              <w:right w:val="single" w:sz="4" w:space="0" w:color="auto"/>
            </w:tcBorders>
          </w:tcPr>
          <w:p w14:paraId="6C86206E"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70972051" w14:textId="77777777" w:rsidR="008C5104" w:rsidRPr="007E46C9" w:rsidRDefault="008C5104" w:rsidP="008C5104">
            <w:pPr>
              <w:spacing w:after="60"/>
              <w:rPr>
                <w:i/>
                <w:iCs/>
                <w:sz w:val="20"/>
              </w:rPr>
            </w:pPr>
            <w:r w:rsidRPr="007E46C9">
              <w:rPr>
                <w:i/>
                <w:iCs/>
                <w:sz w:val="20"/>
              </w:rPr>
              <w:t>Reg-Down Cost Total</w:t>
            </w:r>
            <w:r w:rsidRPr="007E46C9">
              <w:rPr>
                <w:iCs/>
                <w:sz w:val="20"/>
              </w:rPr>
              <w:t>—The net total costs for Reg-Down</w:t>
            </w:r>
            <w:r w:rsidR="00637160" w:rsidRPr="007E46C9">
              <w:rPr>
                <w:iCs/>
                <w:sz w:val="20"/>
              </w:rPr>
              <w:t>,</w:t>
            </w:r>
            <w:r w:rsidRPr="007E46C9">
              <w:rPr>
                <w:iCs/>
                <w:sz w:val="20"/>
              </w:rPr>
              <w:t xml:space="preserve"> for the hour.  See item</w:t>
            </w:r>
            <w:r w:rsidR="00637160">
              <w:rPr>
                <w:iCs/>
                <w:sz w:val="20"/>
              </w:rPr>
              <w:t xml:space="preserve"> (3)</w:t>
            </w:r>
            <w:r w:rsidRPr="007E46C9">
              <w:rPr>
                <w:iCs/>
                <w:sz w:val="20"/>
              </w:rPr>
              <w:t>(a) above.</w:t>
            </w:r>
          </w:p>
        </w:tc>
      </w:tr>
      <w:tr w:rsidR="008C5104" w:rsidRPr="007E46C9" w14:paraId="14A840B2" w14:textId="77777777" w:rsidTr="008C5104">
        <w:tc>
          <w:tcPr>
            <w:tcW w:w="849" w:type="pct"/>
            <w:tcBorders>
              <w:top w:val="single" w:sz="4" w:space="0" w:color="auto"/>
              <w:left w:val="single" w:sz="4" w:space="0" w:color="auto"/>
              <w:bottom w:val="single" w:sz="4" w:space="0" w:color="auto"/>
              <w:right w:val="single" w:sz="4" w:space="0" w:color="auto"/>
            </w:tcBorders>
          </w:tcPr>
          <w:p w14:paraId="066D9880" w14:textId="77777777" w:rsidR="008C5104" w:rsidRPr="007E46C9" w:rsidRDefault="008C5104" w:rsidP="008C5104">
            <w:pPr>
              <w:spacing w:after="60"/>
              <w:rPr>
                <w:iCs/>
                <w:sz w:val="20"/>
              </w:rPr>
            </w:pPr>
            <w:r w:rsidRPr="007E46C9">
              <w:rPr>
                <w:iCs/>
                <w:sz w:val="20"/>
              </w:rPr>
              <w:t>RDQTOT</w:t>
            </w:r>
          </w:p>
        </w:tc>
        <w:tc>
          <w:tcPr>
            <w:tcW w:w="460" w:type="pct"/>
            <w:tcBorders>
              <w:top w:val="single" w:sz="4" w:space="0" w:color="auto"/>
              <w:left w:val="single" w:sz="4" w:space="0" w:color="auto"/>
              <w:bottom w:val="single" w:sz="4" w:space="0" w:color="auto"/>
              <w:right w:val="single" w:sz="4" w:space="0" w:color="auto"/>
            </w:tcBorders>
          </w:tcPr>
          <w:p w14:paraId="3580142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912795" w14:textId="77777777" w:rsidR="008C5104" w:rsidRPr="007E46C9" w:rsidRDefault="008C5104" w:rsidP="008C5104">
            <w:pPr>
              <w:spacing w:after="60"/>
              <w:rPr>
                <w:i/>
                <w:iCs/>
                <w:sz w:val="20"/>
              </w:rPr>
            </w:pPr>
            <w:r w:rsidRPr="007E46C9">
              <w:rPr>
                <w:i/>
                <w:iCs/>
                <w:sz w:val="20"/>
              </w:rPr>
              <w:t>Reg-Down Quantity Total</w:t>
            </w:r>
            <w:r w:rsidRPr="007E46C9">
              <w:rPr>
                <w:iCs/>
                <w:sz w:val="20"/>
              </w:rPr>
              <w:t>—The sum of every QSE’s Ancillary Service Obligation minus its self-arranged Reg-Down quantity in the DAM and any and all SASMs for the hour.</w:t>
            </w:r>
          </w:p>
        </w:tc>
      </w:tr>
      <w:tr w:rsidR="008C5104" w:rsidRPr="007E46C9" w14:paraId="3100259D" w14:textId="77777777" w:rsidTr="008C5104">
        <w:tc>
          <w:tcPr>
            <w:tcW w:w="849" w:type="pct"/>
            <w:tcBorders>
              <w:top w:val="single" w:sz="4" w:space="0" w:color="auto"/>
              <w:left w:val="single" w:sz="4" w:space="0" w:color="auto"/>
              <w:bottom w:val="single" w:sz="4" w:space="0" w:color="auto"/>
              <w:right w:val="single" w:sz="4" w:space="0" w:color="auto"/>
            </w:tcBorders>
          </w:tcPr>
          <w:p w14:paraId="15C69DAC" w14:textId="77777777" w:rsidR="008C5104" w:rsidRPr="007E46C9" w:rsidRDefault="008C5104" w:rsidP="008C5104">
            <w:pPr>
              <w:spacing w:after="60"/>
              <w:rPr>
                <w:iCs/>
                <w:sz w:val="20"/>
              </w:rPr>
            </w:pPr>
            <w:r w:rsidRPr="007E46C9">
              <w:rPr>
                <w:iCs/>
                <w:sz w:val="20"/>
              </w:rPr>
              <w:t xml:space="preserve">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F9B7B0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ACB36C0" w14:textId="77777777" w:rsidR="008C5104" w:rsidRPr="007E46C9" w:rsidRDefault="008C5104" w:rsidP="008C5104">
            <w:pPr>
              <w:spacing w:after="60"/>
              <w:rPr>
                <w:i/>
                <w:iCs/>
                <w:sz w:val="20"/>
              </w:rPr>
            </w:pPr>
            <w:r w:rsidRPr="007E46C9">
              <w:rPr>
                <w:i/>
                <w:iCs/>
                <w:sz w:val="20"/>
              </w:rPr>
              <w:t>Reg-Down Quantity per QSE</w:t>
            </w:r>
            <w:r w:rsidRPr="007E46C9">
              <w:rPr>
                <w:iCs/>
                <w:sz w:val="20"/>
              </w:rPr>
              <w:t xml:space="preserve">—The QSE </w:t>
            </w:r>
            <w:r w:rsidRPr="007E46C9">
              <w:rPr>
                <w:i/>
                <w:iCs/>
                <w:sz w:val="20"/>
              </w:rPr>
              <w:t>q</w:t>
            </w:r>
            <w:r w:rsidRPr="007E46C9">
              <w:rPr>
                <w:iCs/>
                <w:sz w:val="20"/>
              </w:rPr>
              <w:t>’s Ancillary Service Obligation minus its self-arranged Reg-Down quantity in the DAM and any and all SASMs</w:t>
            </w:r>
            <w:r w:rsidR="00637160" w:rsidRPr="007E46C9">
              <w:rPr>
                <w:iCs/>
                <w:sz w:val="20"/>
              </w:rPr>
              <w:t>,</w:t>
            </w:r>
            <w:r w:rsidRPr="007E46C9">
              <w:rPr>
                <w:iCs/>
                <w:sz w:val="20"/>
              </w:rPr>
              <w:t xml:space="preserve"> for the hour.</w:t>
            </w:r>
          </w:p>
        </w:tc>
      </w:tr>
      <w:tr w:rsidR="008C5104" w:rsidRPr="007E46C9" w14:paraId="17A401C5" w14:textId="77777777" w:rsidTr="008C5104">
        <w:tc>
          <w:tcPr>
            <w:tcW w:w="849" w:type="pct"/>
            <w:tcBorders>
              <w:top w:val="single" w:sz="4" w:space="0" w:color="auto"/>
              <w:left w:val="single" w:sz="4" w:space="0" w:color="auto"/>
              <w:bottom w:val="single" w:sz="4" w:space="0" w:color="auto"/>
              <w:right w:val="single" w:sz="4" w:space="0" w:color="auto"/>
            </w:tcBorders>
          </w:tcPr>
          <w:p w14:paraId="6DAFC4E9" w14:textId="77777777" w:rsidR="008C5104" w:rsidRPr="007E46C9" w:rsidRDefault="008C5104" w:rsidP="008C5104">
            <w:pPr>
              <w:spacing w:after="60"/>
              <w:rPr>
                <w:iCs/>
                <w:sz w:val="20"/>
              </w:rPr>
            </w:pPr>
            <w:r w:rsidRPr="007E46C9">
              <w:rPr>
                <w:iCs/>
                <w:sz w:val="20"/>
              </w:rPr>
              <w:t xml:space="preserve">RDO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22066C"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335D26BD" w14:textId="77777777" w:rsidR="008C5104" w:rsidRPr="007E46C9" w:rsidRDefault="008C5104" w:rsidP="008C5104">
            <w:pPr>
              <w:spacing w:after="60"/>
              <w:rPr>
                <w:i/>
                <w:iCs/>
                <w:sz w:val="20"/>
              </w:rPr>
            </w:pPr>
            <w:r w:rsidRPr="007E46C9">
              <w:rPr>
                <w:i/>
                <w:iCs/>
                <w:sz w:val="20"/>
              </w:rPr>
              <w:t>Reg-Down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79EEEBFD" w14:textId="77777777" w:rsidTr="008C5104">
        <w:tc>
          <w:tcPr>
            <w:tcW w:w="849" w:type="pct"/>
            <w:tcBorders>
              <w:top w:val="single" w:sz="4" w:space="0" w:color="auto"/>
              <w:left w:val="single" w:sz="4" w:space="0" w:color="auto"/>
              <w:bottom w:val="single" w:sz="4" w:space="0" w:color="auto"/>
              <w:right w:val="single" w:sz="4" w:space="0" w:color="auto"/>
            </w:tcBorders>
          </w:tcPr>
          <w:p w14:paraId="09E4A5A1" w14:textId="77777777" w:rsidR="008C5104" w:rsidRPr="007E46C9" w:rsidRDefault="008C5104" w:rsidP="008C5104">
            <w:pPr>
              <w:spacing w:after="60"/>
              <w:rPr>
                <w:iCs/>
                <w:sz w:val="20"/>
              </w:rPr>
            </w:pPr>
            <w:r w:rsidRPr="007E46C9">
              <w:rPr>
                <w:iCs/>
                <w:sz w:val="20"/>
              </w:rPr>
              <w:t xml:space="preserve">DASARDQ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3B2DAC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7F83C5" w14:textId="77777777" w:rsidR="008C5104" w:rsidRPr="007E46C9" w:rsidRDefault="008C5104" w:rsidP="008C5104">
            <w:pPr>
              <w:spacing w:after="60"/>
              <w:rPr>
                <w:i/>
                <w:iCs/>
                <w:sz w:val="20"/>
              </w:rPr>
            </w:pPr>
            <w:r w:rsidRPr="007E46C9">
              <w:rPr>
                <w:i/>
                <w:iCs/>
                <w:sz w:val="20"/>
              </w:rPr>
              <w:t>Self-Arranged Reg-Down Quantity per QSE for DAM</w:t>
            </w:r>
            <w:r w:rsidRPr="007E46C9">
              <w:rPr>
                <w:iCs/>
                <w:sz w:val="20"/>
              </w:rPr>
              <w:t xml:space="preserve">—The self-arranged Reg-Down quantity submitted by QSE </w:t>
            </w:r>
            <w:r w:rsidRPr="007E46C9">
              <w:rPr>
                <w:i/>
                <w:iCs/>
                <w:sz w:val="20"/>
              </w:rPr>
              <w:t>q</w:t>
            </w:r>
            <w:r w:rsidRPr="007E46C9">
              <w:rPr>
                <w:iCs/>
                <w:sz w:val="20"/>
              </w:rPr>
              <w:t xml:space="preserve"> before 1000 in the Day-Ahead.</w:t>
            </w:r>
          </w:p>
        </w:tc>
      </w:tr>
      <w:tr w:rsidR="008C5104" w:rsidRPr="007E46C9" w14:paraId="6780CB5A" w14:textId="77777777" w:rsidTr="008C5104">
        <w:tc>
          <w:tcPr>
            <w:tcW w:w="849" w:type="pct"/>
            <w:tcBorders>
              <w:top w:val="single" w:sz="4" w:space="0" w:color="auto"/>
              <w:left w:val="single" w:sz="4" w:space="0" w:color="auto"/>
              <w:bottom w:val="single" w:sz="4" w:space="0" w:color="auto"/>
              <w:right w:val="single" w:sz="4" w:space="0" w:color="auto"/>
            </w:tcBorders>
          </w:tcPr>
          <w:p w14:paraId="5DE0376E" w14:textId="77777777" w:rsidR="008C5104" w:rsidRPr="007E46C9" w:rsidRDefault="008C5104" w:rsidP="008C5104">
            <w:pPr>
              <w:spacing w:after="60"/>
              <w:rPr>
                <w:iCs/>
                <w:sz w:val="20"/>
              </w:rPr>
            </w:pPr>
            <w:r w:rsidRPr="007E46C9">
              <w:rPr>
                <w:iCs/>
                <w:sz w:val="20"/>
              </w:rPr>
              <w:t xml:space="preserve">RTSARDQ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DBB4D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5A49F52" w14:textId="77777777" w:rsidR="008C5104" w:rsidRPr="007E46C9" w:rsidRDefault="008C5104" w:rsidP="008C5104">
            <w:pPr>
              <w:spacing w:after="60"/>
              <w:rPr>
                <w:i/>
                <w:iCs/>
                <w:sz w:val="20"/>
              </w:rPr>
            </w:pPr>
            <w:r w:rsidRPr="007E46C9">
              <w:rPr>
                <w:i/>
                <w:iCs/>
                <w:sz w:val="20"/>
              </w:rPr>
              <w:t>Self-Arranged Reg-Down Quantity per QSE for all SASMs</w:t>
            </w:r>
            <w:r w:rsidRPr="007E46C9">
              <w:rPr>
                <w:iCs/>
                <w:sz w:val="20"/>
              </w:rPr>
              <w:t xml:space="preserve">—The sum of all self-arranged Reg-Down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D4924D3" w14:textId="77777777" w:rsidTr="008C5104">
        <w:tc>
          <w:tcPr>
            <w:tcW w:w="849" w:type="pct"/>
            <w:tcBorders>
              <w:top w:val="single" w:sz="4" w:space="0" w:color="auto"/>
              <w:left w:val="single" w:sz="4" w:space="0" w:color="auto"/>
              <w:bottom w:val="single" w:sz="4" w:space="0" w:color="auto"/>
              <w:right w:val="single" w:sz="4" w:space="0" w:color="auto"/>
            </w:tcBorders>
          </w:tcPr>
          <w:p w14:paraId="53062F3C" w14:textId="77777777" w:rsidR="008C5104" w:rsidRPr="007E46C9" w:rsidRDefault="008C5104" w:rsidP="008C5104">
            <w:pPr>
              <w:spacing w:after="60"/>
              <w:rPr>
                <w:iCs/>
                <w:sz w:val="20"/>
              </w:rPr>
            </w:pPr>
            <w:r w:rsidRPr="007E46C9">
              <w:rPr>
                <w:iCs/>
                <w:sz w:val="20"/>
              </w:rPr>
              <w:t xml:space="preserve">RTPCRD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F4EEE1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2107AF1" w14:textId="77777777" w:rsidR="008C5104" w:rsidRPr="007E46C9" w:rsidRDefault="008C5104" w:rsidP="008C5104">
            <w:pPr>
              <w:spacing w:after="60"/>
              <w:rPr>
                <w:i/>
                <w:iCs/>
                <w:sz w:val="20"/>
              </w:rPr>
            </w:pPr>
            <w:r w:rsidRPr="007E46C9">
              <w:rPr>
                <w:i/>
                <w:iCs/>
                <w:sz w:val="20"/>
              </w:rPr>
              <w:t>Procured Capacity for Reg-Down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Reg-Down, for the hour.</w:t>
            </w:r>
          </w:p>
        </w:tc>
      </w:tr>
      <w:tr w:rsidR="008C5104" w:rsidRPr="007E46C9" w14:paraId="1006E5B5" w14:textId="77777777" w:rsidTr="008C5104">
        <w:tc>
          <w:tcPr>
            <w:tcW w:w="849" w:type="pct"/>
            <w:tcBorders>
              <w:top w:val="single" w:sz="4" w:space="0" w:color="auto"/>
              <w:left w:val="single" w:sz="4" w:space="0" w:color="auto"/>
              <w:bottom w:val="single" w:sz="4" w:space="0" w:color="auto"/>
              <w:right w:val="single" w:sz="4" w:space="0" w:color="auto"/>
            </w:tcBorders>
          </w:tcPr>
          <w:p w14:paraId="0A16921E" w14:textId="77777777" w:rsidR="008C5104" w:rsidRPr="007E46C9" w:rsidRDefault="008C5104" w:rsidP="008C5104">
            <w:pPr>
              <w:spacing w:after="60"/>
              <w:rPr>
                <w:iCs/>
                <w:sz w:val="20"/>
              </w:rPr>
            </w:pPr>
            <w:r w:rsidRPr="007E46C9">
              <w:rPr>
                <w:iCs/>
                <w:sz w:val="20"/>
              </w:rPr>
              <w:t xml:space="preserve">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EF03CC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1575FE8" w14:textId="77777777" w:rsidR="008C5104" w:rsidRPr="007E46C9" w:rsidRDefault="008C5104" w:rsidP="008C5104">
            <w:pPr>
              <w:spacing w:after="60"/>
              <w:rPr>
                <w:iCs/>
                <w:sz w:val="20"/>
              </w:rPr>
            </w:pPr>
            <w:r w:rsidRPr="007E46C9">
              <w:rPr>
                <w:i/>
                <w:iCs/>
                <w:sz w:val="20"/>
              </w:rPr>
              <w:t>Reg-Down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Reg-Down, for the hour.</w:t>
            </w:r>
          </w:p>
        </w:tc>
      </w:tr>
      <w:tr w:rsidR="008C5104" w:rsidRPr="007E46C9" w14:paraId="46D89C8B" w14:textId="77777777" w:rsidTr="008C5104">
        <w:tc>
          <w:tcPr>
            <w:tcW w:w="849" w:type="pct"/>
            <w:tcBorders>
              <w:top w:val="single" w:sz="4" w:space="0" w:color="auto"/>
              <w:left w:val="single" w:sz="4" w:space="0" w:color="auto"/>
              <w:bottom w:val="single" w:sz="4" w:space="0" w:color="auto"/>
              <w:right w:val="single" w:sz="4" w:space="0" w:color="auto"/>
            </w:tcBorders>
          </w:tcPr>
          <w:p w14:paraId="73A6FA7D" w14:textId="77777777" w:rsidR="008C5104" w:rsidRPr="007E46C9" w:rsidRDefault="008C5104" w:rsidP="008C5104">
            <w:pPr>
              <w:spacing w:after="60"/>
              <w:rPr>
                <w:iCs/>
                <w:sz w:val="20"/>
              </w:rPr>
            </w:pPr>
            <w:r w:rsidRPr="007E46C9">
              <w:rPr>
                <w:sz w:val="20"/>
              </w:rPr>
              <w:t xml:space="preserve">RRDFQ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7E4796B"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312E499" w14:textId="77777777" w:rsidR="008C5104" w:rsidRPr="007E46C9" w:rsidRDefault="008C5104" w:rsidP="008C5104">
            <w:pPr>
              <w:spacing w:after="60"/>
              <w:rPr>
                <w:i/>
                <w:iCs/>
                <w:sz w:val="20"/>
              </w:rPr>
            </w:pPr>
            <w:r w:rsidRPr="007E46C9">
              <w:rPr>
                <w:i/>
                <w:sz w:val="20"/>
              </w:rPr>
              <w:t>Reconfiguration Reg-Down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Reg-Down, for the hour.</w:t>
            </w:r>
          </w:p>
        </w:tc>
      </w:tr>
      <w:tr w:rsidR="008C5104" w:rsidRPr="007E46C9" w14:paraId="44A04468" w14:textId="77777777" w:rsidTr="008C5104">
        <w:tc>
          <w:tcPr>
            <w:tcW w:w="849" w:type="pct"/>
            <w:tcBorders>
              <w:top w:val="single" w:sz="4" w:space="0" w:color="auto"/>
              <w:left w:val="single" w:sz="4" w:space="0" w:color="auto"/>
              <w:bottom w:val="single" w:sz="4" w:space="0" w:color="auto"/>
              <w:right w:val="single" w:sz="4" w:space="0" w:color="auto"/>
            </w:tcBorders>
          </w:tcPr>
          <w:p w14:paraId="7EFA6DF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8598507" w14:textId="77777777" w:rsidR="008C5104" w:rsidRPr="007E46C9" w:rsidRDefault="008C5104" w:rsidP="008C5104">
            <w:pPr>
              <w:spacing w:after="60"/>
              <w:rPr>
                <w:iCs/>
                <w:sz w:val="20"/>
              </w:rPr>
            </w:pPr>
          </w:p>
        </w:tc>
        <w:tc>
          <w:tcPr>
            <w:tcW w:w="3691" w:type="pct"/>
            <w:tcBorders>
              <w:top w:val="single" w:sz="4" w:space="0" w:color="auto"/>
              <w:left w:val="single" w:sz="4" w:space="0" w:color="auto"/>
              <w:bottom w:val="single" w:sz="4" w:space="0" w:color="auto"/>
              <w:right w:val="single" w:sz="4" w:space="0" w:color="auto"/>
            </w:tcBorders>
          </w:tcPr>
          <w:p w14:paraId="4D5157C0"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49651A50" w14:textId="77777777" w:rsidTr="008C5104">
        <w:tc>
          <w:tcPr>
            <w:tcW w:w="849" w:type="pct"/>
            <w:tcBorders>
              <w:top w:val="single" w:sz="4" w:space="0" w:color="auto"/>
              <w:left w:val="single" w:sz="4" w:space="0" w:color="auto"/>
              <w:bottom w:val="single" w:sz="4" w:space="0" w:color="auto"/>
              <w:right w:val="single" w:sz="4" w:space="0" w:color="auto"/>
            </w:tcBorders>
          </w:tcPr>
          <w:p w14:paraId="536D1396" w14:textId="77777777" w:rsidR="008C5104" w:rsidRPr="007E46C9" w:rsidRDefault="008C5104" w:rsidP="008C5104">
            <w:pPr>
              <w:rPr>
                <w:sz w:val="20"/>
              </w:rPr>
            </w:pPr>
            <w:r w:rsidRPr="007E46C9">
              <w:rPr>
                <w:sz w:val="20"/>
              </w:rPr>
              <w:t xml:space="preserve">PCRD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A95381D"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996631C" w14:textId="77777777" w:rsidR="008C5104" w:rsidRPr="007E46C9" w:rsidRDefault="008C5104" w:rsidP="008C5104">
            <w:pPr>
              <w:rPr>
                <w:sz w:val="20"/>
              </w:rPr>
            </w:pPr>
            <w:r w:rsidRPr="007E46C9">
              <w:rPr>
                <w:i/>
                <w:sz w:val="20"/>
              </w:rPr>
              <w:t>Procured Capacity for Reg-Down per QSE in DAM</w:t>
            </w:r>
            <w:r w:rsidRPr="007E46C9">
              <w:rPr>
                <w:sz w:val="20"/>
              </w:rPr>
              <w:t xml:space="preserve">—The total Reg-Down capacity quantity awarded to QSE </w:t>
            </w:r>
            <w:r w:rsidRPr="007E46C9">
              <w:rPr>
                <w:i/>
                <w:sz w:val="20"/>
              </w:rPr>
              <w:t>q</w:t>
            </w:r>
            <w:r w:rsidRPr="007E46C9">
              <w:rPr>
                <w:sz w:val="20"/>
              </w:rPr>
              <w:t xml:space="preserve"> in the DAM for all the Resources represented by the QSE</w:t>
            </w:r>
            <w:r w:rsidR="00637160" w:rsidRPr="007E46C9">
              <w:rPr>
                <w:iCs/>
                <w:sz w:val="20"/>
              </w:rPr>
              <w:t>,</w:t>
            </w:r>
            <w:r w:rsidRPr="007E46C9">
              <w:rPr>
                <w:sz w:val="20"/>
              </w:rPr>
              <w:t xml:space="preserve"> for the hour.</w:t>
            </w:r>
          </w:p>
        </w:tc>
      </w:tr>
      <w:tr w:rsidR="008C5104" w:rsidRPr="007E46C9" w14:paraId="67479CE7" w14:textId="77777777" w:rsidTr="008C5104">
        <w:tc>
          <w:tcPr>
            <w:tcW w:w="849" w:type="pct"/>
            <w:tcBorders>
              <w:top w:val="single" w:sz="4" w:space="0" w:color="auto"/>
              <w:left w:val="single" w:sz="4" w:space="0" w:color="auto"/>
              <w:bottom w:val="single" w:sz="4" w:space="0" w:color="auto"/>
              <w:right w:val="single" w:sz="4" w:space="0" w:color="auto"/>
            </w:tcBorders>
          </w:tcPr>
          <w:p w14:paraId="46AF538B" w14:textId="77777777" w:rsidR="008C5104" w:rsidRPr="007E46C9" w:rsidRDefault="008C5104" w:rsidP="008C5104">
            <w:pPr>
              <w:rPr>
                <w:sz w:val="20"/>
              </w:rPr>
            </w:pPr>
            <w:r w:rsidRPr="007E46C9">
              <w:rPr>
                <w:sz w:val="20"/>
              </w:rPr>
              <w:t xml:space="preserve">SARDQ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F24C5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AF11B8" w14:textId="77777777" w:rsidR="008C5104" w:rsidRPr="007E46C9" w:rsidRDefault="008C5104" w:rsidP="008C5104">
            <w:pPr>
              <w:rPr>
                <w:sz w:val="20"/>
              </w:rPr>
            </w:pPr>
            <w:r w:rsidRPr="007E46C9">
              <w:rPr>
                <w:i/>
                <w:sz w:val="20"/>
              </w:rPr>
              <w:t>Total Self-Arranged Reg-Down Quantity per QSE for all markets</w:t>
            </w:r>
            <w:r w:rsidRPr="007E46C9">
              <w:rPr>
                <w:sz w:val="20"/>
              </w:rPr>
              <w:t xml:space="preserve">—The sum of all self-arranged Reg-Down quantities submitted by QSE </w:t>
            </w:r>
            <w:r w:rsidRPr="007E46C9">
              <w:rPr>
                <w:i/>
                <w:sz w:val="20"/>
              </w:rPr>
              <w:t>q</w:t>
            </w:r>
            <w:r w:rsidRPr="007E46C9">
              <w:rPr>
                <w:sz w:val="20"/>
              </w:rPr>
              <w:t xml:space="preserve"> for DAM and all SASMs.</w:t>
            </w:r>
          </w:p>
        </w:tc>
      </w:tr>
      <w:tr w:rsidR="008C5104" w:rsidRPr="007E46C9" w14:paraId="53025C6F" w14:textId="77777777" w:rsidTr="008C5104">
        <w:trPr>
          <w:trHeight w:val="143"/>
        </w:trPr>
        <w:tc>
          <w:tcPr>
            <w:tcW w:w="849" w:type="pct"/>
            <w:tcBorders>
              <w:top w:val="single" w:sz="4" w:space="0" w:color="auto"/>
              <w:left w:val="single" w:sz="4" w:space="0" w:color="auto"/>
              <w:bottom w:val="single" w:sz="4" w:space="0" w:color="auto"/>
              <w:right w:val="single" w:sz="4" w:space="0" w:color="auto"/>
            </w:tcBorders>
          </w:tcPr>
          <w:p w14:paraId="415B3AAF"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3E73393"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7B26CBD" w14:textId="77777777" w:rsidR="008C5104" w:rsidRPr="007E46C9" w:rsidRDefault="008C5104" w:rsidP="008C5104">
            <w:pPr>
              <w:spacing w:after="60"/>
              <w:rPr>
                <w:iCs/>
                <w:sz w:val="20"/>
              </w:rPr>
            </w:pPr>
            <w:r w:rsidRPr="007E46C9">
              <w:rPr>
                <w:iCs/>
                <w:sz w:val="20"/>
              </w:rPr>
              <w:t>A QSE.</w:t>
            </w:r>
          </w:p>
        </w:tc>
      </w:tr>
      <w:tr w:rsidR="008C5104" w:rsidRPr="007E46C9" w14:paraId="022FACCB" w14:textId="77777777" w:rsidTr="008C5104">
        <w:tc>
          <w:tcPr>
            <w:tcW w:w="849" w:type="pct"/>
            <w:tcBorders>
              <w:top w:val="single" w:sz="4" w:space="0" w:color="auto"/>
              <w:left w:val="single" w:sz="4" w:space="0" w:color="auto"/>
              <w:bottom w:val="single" w:sz="4" w:space="0" w:color="auto"/>
              <w:right w:val="single" w:sz="4" w:space="0" w:color="auto"/>
            </w:tcBorders>
          </w:tcPr>
          <w:p w14:paraId="1CA0FCFF"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671680FA"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55ED5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7A049F91" w14:textId="77777777" w:rsidR="008C5104" w:rsidRPr="007E46C9" w:rsidRDefault="008C5104" w:rsidP="008C5104"/>
    <w:p w14:paraId="1E6A63E2" w14:textId="77777777" w:rsidR="008C5104" w:rsidRPr="007E46C9" w:rsidRDefault="008C5104" w:rsidP="008C5104">
      <w:pPr>
        <w:spacing w:after="240"/>
        <w:ind w:left="1440" w:hanging="720"/>
      </w:pPr>
      <w:r w:rsidRPr="007E46C9">
        <w:t>(c)</w:t>
      </w:r>
      <w:r w:rsidRPr="007E46C9">
        <w:tab/>
        <w:t>The adjustment to each QSE’s DAM charge for the Reg-Down for the Operating Hour, due to changes during the Adjustment Period or Real-Time operations, is calculated as follows:</w:t>
      </w:r>
    </w:p>
    <w:p w14:paraId="7286965D" w14:textId="77777777" w:rsidR="008C5104" w:rsidRPr="007E46C9" w:rsidRDefault="008C5104" w:rsidP="008C5104">
      <w:pPr>
        <w:spacing w:after="240"/>
        <w:ind w:left="2880" w:hanging="2160"/>
        <w:rPr>
          <w:b/>
          <w:bCs/>
        </w:rPr>
      </w:pPr>
      <w:r w:rsidRPr="007E46C9">
        <w:rPr>
          <w:b/>
          <w:bCs/>
        </w:rPr>
        <w:t xml:space="preserve">RTRDAMT </w:t>
      </w:r>
      <w:r w:rsidRPr="007E46C9">
        <w:rPr>
          <w:b/>
          <w:bCs/>
          <w:i/>
          <w:vertAlign w:val="subscript"/>
        </w:rPr>
        <w:t>q</w:t>
      </w:r>
      <w:r w:rsidRPr="007E46C9">
        <w:rPr>
          <w:b/>
          <w:bCs/>
        </w:rPr>
        <w:tab/>
        <w:t>=</w:t>
      </w:r>
      <w:r w:rsidRPr="007E46C9">
        <w:rPr>
          <w:b/>
          <w:bCs/>
        </w:rPr>
        <w:tab/>
        <w:t xml:space="preserve">RDCOST </w:t>
      </w:r>
      <w:r w:rsidRPr="007E46C9">
        <w:rPr>
          <w:b/>
          <w:bCs/>
          <w:i/>
          <w:vertAlign w:val="subscript"/>
        </w:rPr>
        <w:t>q</w:t>
      </w:r>
      <w:r w:rsidRPr="007E46C9">
        <w:rPr>
          <w:b/>
          <w:bCs/>
        </w:rPr>
        <w:t xml:space="preserve"> – DARDAMT </w:t>
      </w:r>
      <w:r w:rsidRPr="007E46C9">
        <w:rPr>
          <w:b/>
          <w:bCs/>
          <w:i/>
          <w:vertAlign w:val="subscript"/>
        </w:rPr>
        <w:t>q</w:t>
      </w:r>
    </w:p>
    <w:p w14:paraId="30434FA5"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28E5CD36" w14:textId="77777777" w:rsidTr="008C5104">
        <w:tc>
          <w:tcPr>
            <w:tcW w:w="824" w:type="pct"/>
          </w:tcPr>
          <w:p w14:paraId="2153291C" w14:textId="77777777" w:rsidR="008C5104" w:rsidRPr="007E46C9" w:rsidRDefault="008C5104" w:rsidP="008C5104">
            <w:pPr>
              <w:spacing w:after="120"/>
              <w:rPr>
                <w:b/>
                <w:iCs/>
                <w:sz w:val="20"/>
              </w:rPr>
            </w:pPr>
            <w:r w:rsidRPr="007E46C9">
              <w:rPr>
                <w:b/>
                <w:iCs/>
                <w:sz w:val="20"/>
              </w:rPr>
              <w:t>Variable</w:t>
            </w:r>
          </w:p>
        </w:tc>
        <w:tc>
          <w:tcPr>
            <w:tcW w:w="463" w:type="pct"/>
          </w:tcPr>
          <w:p w14:paraId="0E5CEB8B" w14:textId="77777777" w:rsidR="008C5104" w:rsidRPr="007E46C9" w:rsidRDefault="008C5104" w:rsidP="008C5104">
            <w:pPr>
              <w:spacing w:after="120"/>
              <w:rPr>
                <w:b/>
                <w:iCs/>
                <w:sz w:val="20"/>
              </w:rPr>
            </w:pPr>
            <w:r w:rsidRPr="007E46C9">
              <w:rPr>
                <w:b/>
                <w:iCs/>
                <w:sz w:val="20"/>
              </w:rPr>
              <w:t>Unit</w:t>
            </w:r>
          </w:p>
        </w:tc>
        <w:tc>
          <w:tcPr>
            <w:tcW w:w="3713" w:type="pct"/>
          </w:tcPr>
          <w:p w14:paraId="1DC4FB34" w14:textId="77777777" w:rsidR="008C5104" w:rsidRPr="007E46C9" w:rsidRDefault="008C5104" w:rsidP="008C5104">
            <w:pPr>
              <w:spacing w:after="120"/>
              <w:rPr>
                <w:b/>
                <w:iCs/>
                <w:sz w:val="20"/>
              </w:rPr>
            </w:pPr>
            <w:r w:rsidRPr="007E46C9">
              <w:rPr>
                <w:b/>
                <w:iCs/>
                <w:sz w:val="20"/>
              </w:rPr>
              <w:t>Description</w:t>
            </w:r>
          </w:p>
        </w:tc>
      </w:tr>
      <w:tr w:rsidR="008C5104" w:rsidRPr="007E46C9" w14:paraId="185D3644" w14:textId="77777777" w:rsidTr="008C5104">
        <w:tc>
          <w:tcPr>
            <w:tcW w:w="824" w:type="pct"/>
          </w:tcPr>
          <w:p w14:paraId="12FE69DC" w14:textId="77777777" w:rsidR="008C5104" w:rsidRPr="007E46C9" w:rsidRDefault="008C5104" w:rsidP="008C5104">
            <w:pPr>
              <w:spacing w:after="60"/>
              <w:rPr>
                <w:iCs/>
                <w:sz w:val="20"/>
              </w:rPr>
            </w:pPr>
            <w:r w:rsidRPr="007E46C9">
              <w:rPr>
                <w:iCs/>
                <w:sz w:val="20"/>
              </w:rPr>
              <w:t xml:space="preserve">RTRDAMT </w:t>
            </w:r>
            <w:r w:rsidRPr="007E46C9">
              <w:rPr>
                <w:i/>
                <w:iCs/>
                <w:sz w:val="20"/>
                <w:vertAlign w:val="subscript"/>
              </w:rPr>
              <w:t>q</w:t>
            </w:r>
          </w:p>
        </w:tc>
        <w:tc>
          <w:tcPr>
            <w:tcW w:w="463" w:type="pct"/>
          </w:tcPr>
          <w:p w14:paraId="452FDD36" w14:textId="77777777" w:rsidR="008C5104" w:rsidRPr="007E46C9" w:rsidRDefault="008C5104" w:rsidP="008C5104">
            <w:pPr>
              <w:spacing w:after="60"/>
              <w:rPr>
                <w:iCs/>
                <w:sz w:val="20"/>
              </w:rPr>
            </w:pPr>
            <w:r w:rsidRPr="007E46C9">
              <w:rPr>
                <w:iCs/>
                <w:sz w:val="20"/>
              </w:rPr>
              <w:t>$</w:t>
            </w:r>
          </w:p>
        </w:tc>
        <w:tc>
          <w:tcPr>
            <w:tcW w:w="3713" w:type="pct"/>
          </w:tcPr>
          <w:p w14:paraId="5846349C" w14:textId="77777777" w:rsidR="008C5104" w:rsidRPr="007E46C9" w:rsidRDefault="008C5104" w:rsidP="008C5104">
            <w:pPr>
              <w:spacing w:after="60"/>
              <w:rPr>
                <w:iCs/>
                <w:sz w:val="20"/>
              </w:rPr>
            </w:pPr>
            <w:r w:rsidRPr="007E46C9">
              <w:rPr>
                <w:i/>
                <w:iCs/>
                <w:sz w:val="20"/>
              </w:rPr>
              <w:t>Real-Time Reg-Down Amount per QSE</w:t>
            </w:r>
            <w:r w:rsidRPr="007E46C9">
              <w:rPr>
                <w:iCs/>
                <w:sz w:val="20"/>
              </w:rPr>
              <w:t xml:space="preserve">—The adjustment to QSE </w:t>
            </w:r>
            <w:r w:rsidRPr="007E46C9">
              <w:rPr>
                <w:i/>
                <w:iCs/>
                <w:sz w:val="20"/>
              </w:rPr>
              <w:t>q</w:t>
            </w:r>
            <w:r w:rsidRPr="007E46C9">
              <w:rPr>
                <w:iCs/>
                <w:sz w:val="20"/>
              </w:rPr>
              <w:t>’s share of the costs for Reg-Down, for the hour.</w:t>
            </w:r>
          </w:p>
        </w:tc>
      </w:tr>
      <w:tr w:rsidR="008C5104" w:rsidRPr="007E46C9" w14:paraId="0AAB9C9F" w14:textId="77777777" w:rsidTr="008C5104">
        <w:tc>
          <w:tcPr>
            <w:tcW w:w="824" w:type="pct"/>
          </w:tcPr>
          <w:p w14:paraId="4AF79044"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3" w:type="pct"/>
          </w:tcPr>
          <w:p w14:paraId="16665813" w14:textId="77777777" w:rsidR="008C5104" w:rsidRPr="007E46C9" w:rsidRDefault="008C5104" w:rsidP="008C5104">
            <w:pPr>
              <w:spacing w:after="60"/>
              <w:rPr>
                <w:iCs/>
                <w:sz w:val="20"/>
              </w:rPr>
            </w:pPr>
            <w:r w:rsidRPr="007E46C9">
              <w:rPr>
                <w:iCs/>
                <w:sz w:val="20"/>
              </w:rPr>
              <w:t>$</w:t>
            </w:r>
          </w:p>
        </w:tc>
        <w:tc>
          <w:tcPr>
            <w:tcW w:w="3713" w:type="pct"/>
          </w:tcPr>
          <w:p w14:paraId="6F4D7C6F" w14:textId="77777777" w:rsidR="008C5104" w:rsidRPr="007E46C9" w:rsidRDefault="008C5104" w:rsidP="008C5104">
            <w:pPr>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75F2CA76" w14:textId="77777777" w:rsidTr="008C5104">
        <w:tc>
          <w:tcPr>
            <w:tcW w:w="824" w:type="pct"/>
          </w:tcPr>
          <w:p w14:paraId="74A4419F" w14:textId="77777777" w:rsidR="008C5104" w:rsidRPr="007E46C9" w:rsidRDefault="008C5104" w:rsidP="008C5104">
            <w:pPr>
              <w:spacing w:after="60"/>
              <w:rPr>
                <w:iCs/>
                <w:sz w:val="20"/>
              </w:rPr>
            </w:pPr>
            <w:r w:rsidRPr="007E46C9">
              <w:rPr>
                <w:iCs/>
                <w:sz w:val="20"/>
              </w:rPr>
              <w:t xml:space="preserve">DARDAMT </w:t>
            </w:r>
            <w:r w:rsidRPr="007E46C9">
              <w:rPr>
                <w:i/>
                <w:iCs/>
                <w:sz w:val="20"/>
                <w:vertAlign w:val="subscript"/>
              </w:rPr>
              <w:t>q</w:t>
            </w:r>
          </w:p>
        </w:tc>
        <w:tc>
          <w:tcPr>
            <w:tcW w:w="463" w:type="pct"/>
          </w:tcPr>
          <w:p w14:paraId="5C766400" w14:textId="77777777" w:rsidR="008C5104" w:rsidRPr="007E46C9" w:rsidRDefault="008C5104" w:rsidP="008C5104">
            <w:pPr>
              <w:spacing w:after="60"/>
              <w:rPr>
                <w:iCs/>
                <w:sz w:val="20"/>
              </w:rPr>
            </w:pPr>
            <w:r w:rsidRPr="007E46C9">
              <w:rPr>
                <w:iCs/>
                <w:sz w:val="20"/>
              </w:rPr>
              <w:t>$</w:t>
            </w:r>
          </w:p>
        </w:tc>
        <w:tc>
          <w:tcPr>
            <w:tcW w:w="3713" w:type="pct"/>
          </w:tcPr>
          <w:p w14:paraId="44E73BED" w14:textId="77777777" w:rsidR="008C5104" w:rsidRPr="007E46C9" w:rsidRDefault="008C5104" w:rsidP="008C5104">
            <w:pPr>
              <w:spacing w:after="60"/>
              <w:rPr>
                <w:iCs/>
                <w:sz w:val="20"/>
              </w:rPr>
            </w:pPr>
            <w:r w:rsidRPr="007E46C9">
              <w:rPr>
                <w:i/>
                <w:iCs/>
                <w:sz w:val="20"/>
              </w:rPr>
              <w:t>Day-Ahead Reg-Down Amount per QSE</w:t>
            </w:r>
            <w:r w:rsidRPr="007E46C9">
              <w:rPr>
                <w:iCs/>
                <w:sz w:val="20"/>
              </w:rPr>
              <w:t xml:space="preserve">—QSE </w:t>
            </w:r>
            <w:r w:rsidRPr="007E46C9">
              <w:rPr>
                <w:i/>
                <w:iCs/>
                <w:sz w:val="20"/>
              </w:rPr>
              <w:t>q</w:t>
            </w:r>
            <w:r w:rsidRPr="007E46C9">
              <w:rPr>
                <w:iCs/>
                <w:sz w:val="20"/>
              </w:rPr>
              <w:t>’s share of the DAM cost for Reg-Down, for the hour.</w:t>
            </w:r>
          </w:p>
        </w:tc>
      </w:tr>
      <w:tr w:rsidR="008C5104" w:rsidRPr="007E46C9" w14:paraId="458FB538" w14:textId="77777777" w:rsidTr="008C5104">
        <w:tc>
          <w:tcPr>
            <w:tcW w:w="824" w:type="pct"/>
            <w:tcBorders>
              <w:top w:val="single" w:sz="4" w:space="0" w:color="auto"/>
              <w:left w:val="single" w:sz="4" w:space="0" w:color="auto"/>
              <w:bottom w:val="single" w:sz="4" w:space="0" w:color="auto"/>
              <w:right w:val="single" w:sz="4" w:space="0" w:color="auto"/>
            </w:tcBorders>
          </w:tcPr>
          <w:p w14:paraId="7E4E092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C0FEFF"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103458C" w14:textId="77777777" w:rsidR="008C5104" w:rsidRPr="007E46C9" w:rsidRDefault="008C5104" w:rsidP="008C5104">
            <w:pPr>
              <w:spacing w:after="60"/>
              <w:rPr>
                <w:iCs/>
                <w:sz w:val="20"/>
              </w:rPr>
            </w:pPr>
            <w:r w:rsidRPr="007E46C9">
              <w:rPr>
                <w:iCs/>
                <w:sz w:val="20"/>
              </w:rPr>
              <w:t>A QSE.</w:t>
            </w:r>
          </w:p>
        </w:tc>
      </w:tr>
    </w:tbl>
    <w:p w14:paraId="35280960" w14:textId="77777777" w:rsidR="008C5104" w:rsidRPr="007E46C9" w:rsidRDefault="008C5104" w:rsidP="008C5104">
      <w:pPr>
        <w:spacing w:before="240" w:after="240"/>
        <w:ind w:left="720" w:hanging="720"/>
        <w:rPr>
          <w:iCs/>
        </w:rPr>
      </w:pPr>
      <w:r w:rsidRPr="007E46C9">
        <w:rPr>
          <w:iCs/>
        </w:rPr>
        <w:t>(4)</w:t>
      </w:r>
      <w:r w:rsidRPr="007E46C9">
        <w:rPr>
          <w:iCs/>
        </w:rPr>
        <w:tab/>
        <w:t>For RRS, if applicable:</w:t>
      </w:r>
    </w:p>
    <w:p w14:paraId="5BFC6E28" w14:textId="77777777" w:rsidR="008C5104" w:rsidRPr="007E46C9" w:rsidRDefault="008C5104" w:rsidP="008C5104">
      <w:pPr>
        <w:spacing w:after="240"/>
        <w:ind w:left="1440" w:hanging="720"/>
      </w:pPr>
      <w:r w:rsidRPr="007E46C9">
        <w:t>(a)</w:t>
      </w:r>
      <w:r w:rsidRPr="007E46C9">
        <w:tab/>
        <w:t>The net total costs for RRS for a given Operating Hour is calculated as follows:</w:t>
      </w:r>
    </w:p>
    <w:p w14:paraId="7E1ADCE7" w14:textId="57EB02C1" w:rsidR="008C5104" w:rsidRDefault="008C5104" w:rsidP="008C5104">
      <w:pPr>
        <w:spacing w:after="120"/>
        <w:ind w:left="3600" w:hanging="2880"/>
        <w:rPr>
          <w:b/>
          <w:bCs/>
        </w:rPr>
      </w:pPr>
      <w:r w:rsidRPr="007E46C9">
        <w:rPr>
          <w:b/>
          <w:bCs/>
        </w:rPr>
        <w:t>RRCOSTTOT</w:t>
      </w:r>
      <w:r w:rsidRPr="007E46C9">
        <w:rPr>
          <w:b/>
          <w:bCs/>
        </w:rPr>
        <w:tab/>
        <w:t>=</w:t>
      </w:r>
      <w:r w:rsidRPr="007E46C9">
        <w:rPr>
          <w:b/>
          <w:bCs/>
        </w:rPr>
        <w:tab/>
        <w:t>(-1) * (</w:t>
      </w:r>
      <w:r w:rsidR="00A94020">
        <w:rPr>
          <w:b/>
          <w:bCs/>
          <w:noProof/>
          <w:position w:val="-20"/>
        </w:rPr>
        <w:drawing>
          <wp:inline distT="0" distB="0" distL="0" distR="0" wp14:anchorId="045046D4" wp14:editId="265CF9E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(RTPCRRAMTTOT </w:t>
      </w:r>
      <w:r w:rsidRPr="007E46C9">
        <w:rPr>
          <w:b/>
          <w:bCs/>
          <w:i/>
          <w:vertAlign w:val="subscript"/>
        </w:rPr>
        <w:t>m</w:t>
      </w:r>
      <w:r w:rsidRPr="007E46C9">
        <w:rPr>
          <w:rFonts w:ascii="Times New Roman Bold" w:hAnsi="Times New Roman Bold"/>
          <w:b/>
          <w:bCs/>
        </w:rPr>
        <w:t>)</w:t>
      </w:r>
      <w:r w:rsidRPr="007E46C9">
        <w:rPr>
          <w:b/>
          <w:bCs/>
        </w:rPr>
        <w:t xml:space="preserve"> +    </w:t>
      </w:r>
      <w:r w:rsidRPr="007E46C9">
        <w:rPr>
          <w:b/>
          <w:bCs/>
        </w:rPr>
        <w:tab/>
        <w:t>PCRRAMTTOT  + RRFQAMTTOT</w:t>
      </w:r>
      <w:r w:rsidRPr="00D66F53">
        <w:rPr>
          <w:b/>
          <w:bCs/>
        </w:rPr>
        <w:t xml:space="preserve"> + </w:t>
      </w:r>
    </w:p>
    <w:p w14:paraId="67998B18" w14:textId="77777777" w:rsidR="008C5104" w:rsidRPr="007E46C9" w:rsidRDefault="008C5104" w:rsidP="008C5104">
      <w:pPr>
        <w:spacing w:after="240"/>
        <w:ind w:left="3600" w:firstLine="720"/>
        <w:rPr>
          <w:b/>
          <w:bCs/>
        </w:rPr>
      </w:pPr>
      <w:r w:rsidRPr="00D66F53">
        <w:rPr>
          <w:b/>
          <w:bCs/>
        </w:rPr>
        <w:t>RRINFQAMTTOT</w:t>
      </w:r>
      <w:r w:rsidRPr="007E46C9">
        <w:rPr>
          <w:b/>
          <w:bCs/>
        </w:rPr>
        <w:t>)</w:t>
      </w:r>
    </w:p>
    <w:p w14:paraId="0879F742" w14:textId="77777777" w:rsidR="008C5104" w:rsidRPr="007E46C9" w:rsidRDefault="008C5104" w:rsidP="008C5104">
      <w:pPr>
        <w:spacing w:after="240"/>
        <w:rPr>
          <w:iCs/>
        </w:rPr>
      </w:pPr>
      <w:r w:rsidRPr="007E46C9">
        <w:rPr>
          <w:iCs/>
        </w:rPr>
        <w:t xml:space="preserve">Where: </w:t>
      </w:r>
    </w:p>
    <w:p w14:paraId="4A0F42CB" w14:textId="77777777" w:rsidR="008C5104" w:rsidRPr="007E46C9" w:rsidRDefault="008C5104" w:rsidP="008C5104">
      <w:r w:rsidRPr="007E46C9">
        <w:t>Total payment of SASM- and RSASM-procured capacity for RRS by market</w:t>
      </w:r>
    </w:p>
    <w:p w14:paraId="468238D7" w14:textId="62B20F2B" w:rsidR="008C5104" w:rsidRPr="007E46C9" w:rsidRDefault="008C5104" w:rsidP="008C5104">
      <w:pPr>
        <w:spacing w:after="240"/>
        <w:ind w:leftChars="300" w:left="2880" w:hangingChars="900" w:hanging="2160"/>
        <w:rPr>
          <w:bCs/>
          <w:i/>
          <w:vertAlign w:val="subscript"/>
        </w:rPr>
      </w:pPr>
      <w:r w:rsidRPr="007E46C9">
        <w:rPr>
          <w:bCs/>
        </w:rPr>
        <w:t xml:space="preserve">RTPCRRAMTTOT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6B9EA04" wp14:editId="1986C7F7">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0CCB7ACF" w14:textId="77777777" w:rsidR="008C5104" w:rsidRPr="007E46C9" w:rsidRDefault="008C5104" w:rsidP="008C5104">
      <w:r w:rsidRPr="007E46C9">
        <w:t>Total payment of DAM-procured capacity for RRS</w:t>
      </w:r>
    </w:p>
    <w:p w14:paraId="7532FD7C" w14:textId="1585BA99" w:rsidR="008C5104" w:rsidRPr="007E46C9" w:rsidRDefault="008C5104" w:rsidP="008C5104">
      <w:pPr>
        <w:spacing w:after="240"/>
        <w:ind w:leftChars="300" w:left="2880" w:hangingChars="900" w:hanging="2160"/>
        <w:rPr>
          <w:bCs/>
        </w:rPr>
      </w:pPr>
      <w:r w:rsidRPr="007E46C9">
        <w:rPr>
          <w:bCs/>
        </w:rPr>
        <w:t>PCRRAMTTOT</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75535B5D" wp14:editId="144AD2CD">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PCRRAMT </w:t>
      </w:r>
      <w:r w:rsidRPr="007E46C9">
        <w:rPr>
          <w:bCs/>
          <w:i/>
          <w:vertAlign w:val="subscript"/>
        </w:rPr>
        <w:t>q</w:t>
      </w:r>
    </w:p>
    <w:p w14:paraId="40337748" w14:textId="77777777" w:rsidR="008C5104" w:rsidRPr="007E46C9" w:rsidRDefault="008C5104" w:rsidP="008C5104">
      <w:r w:rsidRPr="007E46C9">
        <w:t>Total charge of failure on Ancillary Service Supply Responsibility for RRS</w:t>
      </w:r>
    </w:p>
    <w:p w14:paraId="1173DB1A" w14:textId="567C3087" w:rsidR="008C5104" w:rsidRPr="007E46C9" w:rsidRDefault="008C5104" w:rsidP="008C5104">
      <w:pPr>
        <w:spacing w:after="240"/>
        <w:ind w:leftChars="300" w:left="2880" w:hangingChars="900" w:hanging="2160"/>
        <w:rPr>
          <w:bCs/>
          <w:i/>
          <w:vertAlign w:val="subscript"/>
        </w:rPr>
      </w:pPr>
      <w:r w:rsidRPr="007E46C9">
        <w:rPr>
          <w:bCs/>
        </w:rPr>
        <w:t>RRFQAMTTOT</w:t>
      </w:r>
      <w:r w:rsidRPr="007E46C9">
        <w:rPr>
          <w:bCs/>
        </w:rPr>
        <w:tab/>
      </w:r>
      <w:r w:rsidRPr="007E46C9">
        <w:rPr>
          <w:bCs/>
        </w:rPr>
        <w:tab/>
        <w:t>=</w:t>
      </w:r>
      <w:r w:rsidRPr="007E46C9">
        <w:rPr>
          <w:bCs/>
        </w:rPr>
        <w:tab/>
      </w:r>
      <w:r w:rsidR="00A94020">
        <w:rPr>
          <w:bCs/>
          <w:noProof/>
          <w:position w:val="-22"/>
        </w:rPr>
        <w:drawing>
          <wp:inline distT="0" distB="0" distL="0" distR="0" wp14:anchorId="19E4FCAB" wp14:editId="73C7E3D4">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RRFQAMTQSETOT </w:t>
      </w:r>
      <w:r w:rsidRPr="007E46C9">
        <w:rPr>
          <w:bCs/>
          <w:i/>
          <w:vertAlign w:val="subscript"/>
        </w:rPr>
        <w:t>q</w:t>
      </w:r>
    </w:p>
    <w:p w14:paraId="24A93509" w14:textId="77777777" w:rsidR="008C5104" w:rsidRPr="007E46C9" w:rsidRDefault="008C5104" w:rsidP="008C5104">
      <w:pPr>
        <w:ind w:left="300" w:hangingChars="125" w:hanging="300"/>
        <w:rPr>
          <w:bCs/>
        </w:rPr>
      </w:pPr>
      <w:r w:rsidRPr="007E46C9">
        <w:rPr>
          <w:bCs/>
        </w:rPr>
        <w:t>Total payment of SASM- and RSASM-procured capacity RRS Service by QSE</w:t>
      </w:r>
    </w:p>
    <w:p w14:paraId="0A6463C7" w14:textId="4AC37BF2" w:rsidR="008C5104" w:rsidRPr="007E46C9" w:rsidRDefault="008C5104" w:rsidP="008C5104">
      <w:pPr>
        <w:spacing w:after="240"/>
        <w:ind w:leftChars="300" w:left="2880" w:hangingChars="900" w:hanging="2160"/>
        <w:rPr>
          <w:bCs/>
          <w:i/>
          <w:vertAlign w:val="subscript"/>
        </w:rPr>
      </w:pPr>
      <w:r w:rsidRPr="007E46C9">
        <w:rPr>
          <w:bCs/>
        </w:rPr>
        <w:t xml:space="preserve">RTPCRRAMTQSETOT </w:t>
      </w:r>
      <w:r w:rsidRPr="007E46C9">
        <w:rPr>
          <w:bCs/>
          <w:i/>
          <w:vertAlign w:val="subscript"/>
        </w:rPr>
        <w:t>q</w:t>
      </w:r>
      <w:r w:rsidRPr="007E46C9">
        <w:rPr>
          <w:bCs/>
        </w:rPr>
        <w:t xml:space="preserve"> </w:t>
      </w:r>
      <w:r w:rsidRPr="007E46C9">
        <w:rPr>
          <w:bCs/>
        </w:rPr>
        <w:tab/>
        <w:t>=</w:t>
      </w:r>
      <w:r w:rsidRPr="007E46C9">
        <w:rPr>
          <w:bCs/>
        </w:rPr>
        <w:tab/>
      </w:r>
      <w:r w:rsidR="00A94020">
        <w:rPr>
          <w:bCs/>
          <w:noProof/>
          <w:position w:val="-20"/>
        </w:rPr>
        <w:drawing>
          <wp:inline distT="0" distB="0" distL="0" distR="0" wp14:anchorId="00BDE598" wp14:editId="5B78F7B3">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48548409" w14:textId="77777777" w:rsidR="008C5104" w:rsidRDefault="008C5104" w:rsidP="008C5104">
      <w:r>
        <w:t>Total charge of infeasible Ancillary Service Supply Responsibility for RRS</w:t>
      </w:r>
    </w:p>
    <w:p w14:paraId="6D5A36B1" w14:textId="77777777" w:rsidR="008C5104" w:rsidRDefault="008C5104" w:rsidP="00EE4598">
      <w:pPr>
        <w:spacing w:after="240"/>
        <w:ind w:left="2880" w:hanging="2160"/>
      </w:pPr>
      <w:r>
        <w:t>RRINF</w:t>
      </w:r>
      <w:r w:rsidRPr="0070611B">
        <w:t>QAMT</w:t>
      </w:r>
      <w:r>
        <w:t>TOT</w:t>
      </w:r>
      <w:r>
        <w:tab/>
        <w:t>=</w:t>
      </w:r>
      <w:r>
        <w:tab/>
      </w:r>
      <w:r w:rsidRPr="006F784F">
        <w:rPr>
          <w:position w:val="-22"/>
          <w:lang w:val="pt-BR"/>
        </w:rPr>
        <w:object w:dxaOrig="225" w:dyaOrig="465" w14:anchorId="101DB7E9">
          <v:shape id="_x0000_i1352" type="#_x0000_t75" style="width:12pt;height:18pt" o:ole="">
            <v:imagedata r:id="rId432" o:title=""/>
          </v:shape>
          <o:OLEObject Type="Embed" ProgID="Equation.3" ShapeID="_x0000_i1352" DrawAspect="Content" ObjectID="_1804653835" r:id="rId439"/>
        </w:object>
      </w:r>
      <w:r w:rsidRPr="002A7C17">
        <w:t xml:space="preserve"> </w:t>
      </w:r>
      <w:r>
        <w:t xml:space="preserve">RRINFQAMT </w:t>
      </w:r>
      <w:r w:rsidRPr="00D66F53">
        <w:rPr>
          <w:i/>
          <w:vertAlign w:val="subscript"/>
        </w:rPr>
        <w:t>q</w:t>
      </w:r>
      <w:r>
        <w:rPr>
          <w:vertAlign w:val="subscript"/>
        </w:rPr>
        <w:t xml:space="preserve"> </w:t>
      </w:r>
    </w:p>
    <w:p w14:paraId="38F113F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C5104" w:rsidRPr="007E46C9" w14:paraId="5941B6DF" w14:textId="77777777" w:rsidTr="008C5104">
        <w:trPr>
          <w:tblHeader/>
        </w:trPr>
        <w:tc>
          <w:tcPr>
            <w:tcW w:w="1278" w:type="pct"/>
          </w:tcPr>
          <w:p w14:paraId="1396F745" w14:textId="77777777" w:rsidR="008C5104" w:rsidRPr="007E46C9" w:rsidRDefault="008C5104" w:rsidP="008C5104">
            <w:pPr>
              <w:spacing w:after="120"/>
              <w:rPr>
                <w:b/>
                <w:iCs/>
                <w:sz w:val="20"/>
              </w:rPr>
            </w:pPr>
            <w:r w:rsidRPr="007E46C9">
              <w:rPr>
                <w:b/>
                <w:iCs/>
                <w:sz w:val="20"/>
              </w:rPr>
              <w:lastRenderedPageBreak/>
              <w:t>Variable</w:t>
            </w:r>
          </w:p>
        </w:tc>
        <w:tc>
          <w:tcPr>
            <w:tcW w:w="329" w:type="pct"/>
          </w:tcPr>
          <w:p w14:paraId="2198C911" w14:textId="77777777" w:rsidR="008C5104" w:rsidRPr="007E46C9" w:rsidRDefault="008C5104" w:rsidP="008C5104">
            <w:pPr>
              <w:spacing w:after="120"/>
              <w:rPr>
                <w:b/>
                <w:iCs/>
                <w:sz w:val="20"/>
              </w:rPr>
            </w:pPr>
            <w:r w:rsidRPr="007E46C9">
              <w:rPr>
                <w:b/>
                <w:iCs/>
                <w:sz w:val="20"/>
              </w:rPr>
              <w:t>Unit</w:t>
            </w:r>
          </w:p>
        </w:tc>
        <w:tc>
          <w:tcPr>
            <w:tcW w:w="3393" w:type="pct"/>
          </w:tcPr>
          <w:p w14:paraId="7D665116" w14:textId="77777777" w:rsidR="008C5104" w:rsidRPr="007E46C9" w:rsidRDefault="008C5104" w:rsidP="008C5104">
            <w:pPr>
              <w:spacing w:after="120"/>
              <w:rPr>
                <w:b/>
                <w:iCs/>
                <w:sz w:val="20"/>
              </w:rPr>
            </w:pPr>
            <w:r w:rsidRPr="007E46C9">
              <w:rPr>
                <w:b/>
                <w:iCs/>
                <w:sz w:val="20"/>
              </w:rPr>
              <w:t>Description</w:t>
            </w:r>
          </w:p>
        </w:tc>
      </w:tr>
      <w:tr w:rsidR="008C5104" w:rsidRPr="007E46C9" w14:paraId="12458A15" w14:textId="77777777" w:rsidTr="008C5104">
        <w:tc>
          <w:tcPr>
            <w:tcW w:w="1278" w:type="pct"/>
          </w:tcPr>
          <w:p w14:paraId="491168D8" w14:textId="77777777" w:rsidR="008C5104" w:rsidRPr="007E46C9" w:rsidRDefault="008C5104" w:rsidP="008C5104">
            <w:pPr>
              <w:spacing w:after="60"/>
              <w:rPr>
                <w:iCs/>
                <w:sz w:val="20"/>
              </w:rPr>
            </w:pPr>
            <w:r w:rsidRPr="007E46C9">
              <w:rPr>
                <w:iCs/>
                <w:sz w:val="20"/>
              </w:rPr>
              <w:t>RRCOSTTOT</w:t>
            </w:r>
          </w:p>
        </w:tc>
        <w:tc>
          <w:tcPr>
            <w:tcW w:w="329" w:type="pct"/>
          </w:tcPr>
          <w:p w14:paraId="3BF00C86" w14:textId="77777777" w:rsidR="008C5104" w:rsidRPr="007E46C9" w:rsidRDefault="008C5104" w:rsidP="008C5104">
            <w:pPr>
              <w:spacing w:after="60"/>
              <w:rPr>
                <w:iCs/>
                <w:sz w:val="20"/>
              </w:rPr>
            </w:pPr>
            <w:r w:rsidRPr="007E46C9">
              <w:rPr>
                <w:iCs/>
                <w:sz w:val="20"/>
              </w:rPr>
              <w:t>$</w:t>
            </w:r>
          </w:p>
        </w:tc>
        <w:tc>
          <w:tcPr>
            <w:tcW w:w="3393" w:type="pct"/>
          </w:tcPr>
          <w:p w14:paraId="031D334C" w14:textId="77777777" w:rsidR="008C5104" w:rsidRPr="007E46C9" w:rsidRDefault="008C5104" w:rsidP="008C5104">
            <w:pPr>
              <w:spacing w:after="60"/>
              <w:rPr>
                <w:iCs/>
                <w:sz w:val="20"/>
              </w:rPr>
            </w:pPr>
            <w:r w:rsidRPr="007E46C9">
              <w:rPr>
                <w:i/>
                <w:iCs/>
                <w:sz w:val="20"/>
              </w:rPr>
              <w:t>Responsive Reserve Cost Total</w:t>
            </w:r>
            <w:r w:rsidRPr="007E46C9">
              <w:rPr>
                <w:iCs/>
                <w:sz w:val="20"/>
              </w:rPr>
              <w:t>—The net total costs for RRS</w:t>
            </w:r>
            <w:r w:rsidR="00EE4598" w:rsidRPr="007E46C9">
              <w:rPr>
                <w:iCs/>
                <w:sz w:val="20"/>
              </w:rPr>
              <w:t>,</w:t>
            </w:r>
            <w:r w:rsidRPr="007E46C9">
              <w:rPr>
                <w:iCs/>
                <w:sz w:val="20"/>
              </w:rPr>
              <w:t xml:space="preserve"> for the hour.</w:t>
            </w:r>
          </w:p>
        </w:tc>
      </w:tr>
      <w:tr w:rsidR="008C5104" w:rsidRPr="007E46C9" w14:paraId="40359592" w14:textId="77777777" w:rsidTr="008C5104">
        <w:tc>
          <w:tcPr>
            <w:tcW w:w="1278" w:type="pct"/>
            <w:tcBorders>
              <w:top w:val="single" w:sz="4" w:space="0" w:color="auto"/>
              <w:left w:val="single" w:sz="4" w:space="0" w:color="auto"/>
              <w:bottom w:val="single" w:sz="4" w:space="0" w:color="auto"/>
              <w:right w:val="single" w:sz="4" w:space="0" w:color="auto"/>
            </w:tcBorders>
          </w:tcPr>
          <w:p w14:paraId="10CF0633" w14:textId="77777777" w:rsidR="008C5104" w:rsidRPr="007E46C9" w:rsidRDefault="008C5104" w:rsidP="008C5104">
            <w:pPr>
              <w:spacing w:after="60"/>
              <w:rPr>
                <w:iCs/>
                <w:sz w:val="20"/>
              </w:rPr>
            </w:pPr>
            <w:r w:rsidRPr="007E46C9">
              <w:rPr>
                <w:iCs/>
                <w:sz w:val="20"/>
              </w:rPr>
              <w:t xml:space="preserve">RTPCRRAMTTOT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12D905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C07542F" w14:textId="77777777" w:rsidR="008C5104" w:rsidRPr="007E46C9" w:rsidRDefault="008C5104" w:rsidP="008C5104">
            <w:pPr>
              <w:spacing w:after="60"/>
              <w:rPr>
                <w:i/>
                <w:iCs/>
                <w:sz w:val="20"/>
              </w:rPr>
            </w:pPr>
            <w:r w:rsidRPr="007E46C9">
              <w:rPr>
                <w:i/>
                <w:iCs/>
                <w:sz w:val="20"/>
              </w:rPr>
              <w:t>Procured Capacity for Responsive Reserve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RRS, for the hour.</w:t>
            </w:r>
          </w:p>
        </w:tc>
      </w:tr>
      <w:tr w:rsidR="008C5104" w:rsidRPr="007E46C9" w14:paraId="7D26D3DC" w14:textId="77777777" w:rsidTr="008C5104">
        <w:tc>
          <w:tcPr>
            <w:tcW w:w="1278" w:type="pct"/>
            <w:tcBorders>
              <w:top w:val="single" w:sz="4" w:space="0" w:color="auto"/>
              <w:left w:val="single" w:sz="4" w:space="0" w:color="auto"/>
              <w:bottom w:val="single" w:sz="4" w:space="0" w:color="auto"/>
              <w:right w:val="single" w:sz="4" w:space="0" w:color="auto"/>
            </w:tcBorders>
          </w:tcPr>
          <w:p w14:paraId="62B7DDAD" w14:textId="77777777" w:rsidR="008C5104" w:rsidRPr="007E46C9" w:rsidRDefault="008C5104" w:rsidP="008C5104">
            <w:pPr>
              <w:spacing w:after="60"/>
              <w:rPr>
                <w:iCs/>
                <w:sz w:val="20"/>
              </w:rPr>
            </w:pPr>
            <w:r w:rsidRPr="007E46C9">
              <w:rPr>
                <w:iCs/>
                <w:sz w:val="20"/>
              </w:rPr>
              <w:t xml:space="preserve">RTPCRRAMT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42C0154E"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DFE3AE9" w14:textId="77777777" w:rsidR="008C5104" w:rsidRPr="007E46C9" w:rsidRDefault="008C5104" w:rsidP="008C5104">
            <w:pPr>
              <w:spacing w:after="60"/>
              <w:rPr>
                <w:i/>
                <w:iCs/>
                <w:sz w:val="20"/>
              </w:rPr>
            </w:pPr>
            <w:r w:rsidRPr="007E46C9">
              <w:rPr>
                <w:i/>
                <w:iCs/>
                <w:sz w:val="20"/>
              </w:rPr>
              <w:t>Procured Capacity for Responsive Reserve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RRS, for the hour.</w:t>
            </w:r>
          </w:p>
        </w:tc>
      </w:tr>
      <w:tr w:rsidR="008C5104" w:rsidRPr="007E46C9" w14:paraId="211E45E9" w14:textId="77777777" w:rsidTr="008C5104">
        <w:tc>
          <w:tcPr>
            <w:tcW w:w="1278" w:type="pct"/>
            <w:tcBorders>
              <w:top w:val="single" w:sz="4" w:space="0" w:color="auto"/>
              <w:left w:val="single" w:sz="4" w:space="0" w:color="auto"/>
              <w:bottom w:val="single" w:sz="4" w:space="0" w:color="auto"/>
              <w:right w:val="single" w:sz="4" w:space="0" w:color="auto"/>
            </w:tcBorders>
          </w:tcPr>
          <w:p w14:paraId="559A893E" w14:textId="77777777" w:rsidR="008C5104" w:rsidRPr="007E46C9" w:rsidRDefault="008C5104" w:rsidP="008C5104">
            <w:pPr>
              <w:spacing w:after="60"/>
              <w:rPr>
                <w:iCs/>
                <w:sz w:val="20"/>
              </w:rPr>
            </w:pPr>
            <w:r w:rsidRPr="007E46C9">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24900623"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44834CC" w14:textId="77777777" w:rsidR="008C5104" w:rsidRPr="007E46C9" w:rsidRDefault="008C5104" w:rsidP="008C5104">
            <w:pPr>
              <w:spacing w:after="60"/>
              <w:rPr>
                <w:i/>
                <w:iCs/>
                <w:sz w:val="20"/>
              </w:rPr>
            </w:pPr>
            <w:r w:rsidRPr="007E46C9">
              <w:rPr>
                <w:i/>
                <w:iCs/>
                <w:sz w:val="20"/>
              </w:rPr>
              <w:t>Responsive Reserve Failure Quantity Amount Total</w:t>
            </w:r>
            <w:r w:rsidRPr="007E46C9">
              <w:rPr>
                <w:iCs/>
                <w:sz w:val="20"/>
              </w:rPr>
              <w:t>—The total charges to all QSEs for their capacity associated with failures and reconfiguration reductions on their Ancillary Service Supply Responsibilities for RRS, for the hour.</w:t>
            </w:r>
          </w:p>
        </w:tc>
      </w:tr>
      <w:tr w:rsidR="008C5104" w:rsidRPr="007E46C9" w14:paraId="23ED9DA4" w14:textId="77777777" w:rsidTr="008C5104">
        <w:tc>
          <w:tcPr>
            <w:tcW w:w="1278" w:type="pct"/>
            <w:tcBorders>
              <w:top w:val="single" w:sz="4" w:space="0" w:color="auto"/>
              <w:left w:val="single" w:sz="4" w:space="0" w:color="auto"/>
              <w:bottom w:val="single" w:sz="4" w:space="0" w:color="auto"/>
              <w:right w:val="single" w:sz="4" w:space="0" w:color="auto"/>
            </w:tcBorders>
          </w:tcPr>
          <w:p w14:paraId="216CC048" w14:textId="77777777" w:rsidR="008C5104" w:rsidRPr="007E46C9" w:rsidRDefault="008C5104" w:rsidP="008C5104">
            <w:pPr>
              <w:spacing w:after="60"/>
              <w:rPr>
                <w:iCs/>
                <w:sz w:val="20"/>
              </w:rPr>
            </w:pPr>
            <w:r w:rsidRPr="007E46C9">
              <w:rPr>
                <w:iCs/>
                <w:sz w:val="20"/>
              </w:rPr>
              <w:t xml:space="preserve">RRFQAMTQSETOT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4194C51"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991A82D" w14:textId="77777777" w:rsidR="008C5104" w:rsidRPr="007E46C9" w:rsidRDefault="008C5104" w:rsidP="008C5104">
            <w:pPr>
              <w:spacing w:after="60"/>
              <w:rPr>
                <w:i/>
                <w:iCs/>
                <w:sz w:val="20"/>
              </w:rPr>
            </w:pPr>
            <w:r w:rsidRPr="007E46C9">
              <w:rPr>
                <w:i/>
                <w:iCs/>
                <w:sz w:val="20"/>
              </w:rPr>
              <w:t>Responsive Reserve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RRS, for the hour.</w:t>
            </w:r>
          </w:p>
        </w:tc>
      </w:tr>
      <w:tr w:rsidR="008C5104" w:rsidRPr="007E46C9" w14:paraId="4D6DAB36" w14:textId="77777777" w:rsidTr="008C5104">
        <w:tc>
          <w:tcPr>
            <w:tcW w:w="1278" w:type="pct"/>
            <w:tcBorders>
              <w:top w:val="single" w:sz="4" w:space="0" w:color="auto"/>
              <w:left w:val="single" w:sz="4" w:space="0" w:color="auto"/>
              <w:bottom w:val="single" w:sz="4" w:space="0" w:color="auto"/>
              <w:right w:val="single" w:sz="4" w:space="0" w:color="auto"/>
            </w:tcBorders>
          </w:tcPr>
          <w:p w14:paraId="6DC56781" w14:textId="77777777" w:rsidR="008C5104" w:rsidRPr="007E46C9" w:rsidRDefault="008C5104" w:rsidP="008C5104">
            <w:pPr>
              <w:spacing w:after="60"/>
              <w:rPr>
                <w:iCs/>
                <w:sz w:val="20"/>
              </w:rPr>
            </w:pPr>
            <w:r w:rsidRPr="007E46C9">
              <w:rPr>
                <w:iCs/>
                <w:sz w:val="20"/>
              </w:rPr>
              <w:t xml:space="preserve">RTPCRRAMTQSETOT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920B24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66435B9" w14:textId="77777777" w:rsidR="008C5104" w:rsidRPr="007E46C9" w:rsidRDefault="008C5104" w:rsidP="008C5104">
            <w:pPr>
              <w:spacing w:after="60"/>
              <w:rPr>
                <w:iCs/>
                <w:sz w:val="20"/>
              </w:rPr>
            </w:pPr>
            <w:r w:rsidRPr="007E46C9">
              <w:rPr>
                <w:i/>
                <w:iCs/>
                <w:sz w:val="20"/>
              </w:rPr>
              <w:t>Procured Capacity for Responsive Reserve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RRS, for the hour.</w:t>
            </w:r>
          </w:p>
        </w:tc>
      </w:tr>
      <w:tr w:rsidR="008C5104" w:rsidRPr="007E46C9" w14:paraId="1264D766" w14:textId="77777777" w:rsidTr="008C5104">
        <w:tc>
          <w:tcPr>
            <w:tcW w:w="1278" w:type="pct"/>
            <w:tcBorders>
              <w:top w:val="single" w:sz="4" w:space="0" w:color="auto"/>
              <w:left w:val="single" w:sz="4" w:space="0" w:color="auto"/>
              <w:bottom w:val="single" w:sz="4" w:space="0" w:color="auto"/>
              <w:right w:val="single" w:sz="4" w:space="0" w:color="auto"/>
            </w:tcBorders>
          </w:tcPr>
          <w:p w14:paraId="034E0885" w14:textId="77777777" w:rsidR="008C5104" w:rsidRPr="007E46C9" w:rsidRDefault="008C5104" w:rsidP="008C5104">
            <w:pPr>
              <w:rPr>
                <w:b/>
                <w:sz w:val="20"/>
              </w:rPr>
            </w:pPr>
            <w:r w:rsidRPr="007E46C9">
              <w:rPr>
                <w:sz w:val="20"/>
              </w:rPr>
              <w:t xml:space="preserve">PCRRAMT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A977E2" w14:textId="77777777" w:rsidR="008C5104" w:rsidRPr="007E46C9" w:rsidRDefault="008C5104" w:rsidP="008C5104">
            <w:pPr>
              <w:rPr>
                <w:b/>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77690153" w14:textId="77777777" w:rsidR="008C5104" w:rsidRPr="007E46C9" w:rsidRDefault="008C5104" w:rsidP="008C5104">
            <w:pPr>
              <w:rPr>
                <w:b/>
                <w:sz w:val="20"/>
              </w:rPr>
            </w:pPr>
            <w:r w:rsidRPr="007E46C9">
              <w:rPr>
                <w:i/>
                <w:sz w:val="20"/>
              </w:rPr>
              <w:t>Procured Capacity for Responsive Reserve Amount per QSE for DAM</w:t>
            </w:r>
            <w:r w:rsidRPr="007E46C9">
              <w:rPr>
                <w:sz w:val="20"/>
              </w:rPr>
              <w:t xml:space="preserve">—The DAM RRS payment for QSE </w:t>
            </w:r>
            <w:r w:rsidRPr="007E46C9">
              <w:rPr>
                <w:i/>
                <w:sz w:val="20"/>
              </w:rPr>
              <w:t>q</w:t>
            </w:r>
            <w:r w:rsidRPr="007E46C9">
              <w:rPr>
                <w:sz w:val="20"/>
              </w:rPr>
              <w:t>, for the hour.</w:t>
            </w:r>
          </w:p>
        </w:tc>
      </w:tr>
      <w:tr w:rsidR="008C5104" w:rsidRPr="007E46C9" w14:paraId="0F9C9EA4" w14:textId="77777777" w:rsidTr="008C5104">
        <w:tc>
          <w:tcPr>
            <w:tcW w:w="1278" w:type="pct"/>
            <w:tcBorders>
              <w:top w:val="single" w:sz="4" w:space="0" w:color="auto"/>
              <w:left w:val="single" w:sz="4" w:space="0" w:color="auto"/>
              <w:bottom w:val="single" w:sz="4" w:space="0" w:color="auto"/>
              <w:right w:val="single" w:sz="4" w:space="0" w:color="auto"/>
            </w:tcBorders>
          </w:tcPr>
          <w:p w14:paraId="41A81C7A" w14:textId="77777777" w:rsidR="008C5104" w:rsidRPr="007E46C9" w:rsidRDefault="008C5104" w:rsidP="008C5104">
            <w:pPr>
              <w:spacing w:after="60"/>
              <w:rPr>
                <w:sz w:val="20"/>
              </w:rPr>
            </w:pPr>
            <w:r w:rsidRPr="007E46C9">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959458A" w14:textId="77777777" w:rsidR="008C5104" w:rsidRPr="007E46C9" w:rsidRDefault="008C5104" w:rsidP="008C5104">
            <w:pPr>
              <w:spacing w:after="60"/>
              <w:rPr>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20CDBB71" w14:textId="77777777" w:rsidR="008C5104" w:rsidRPr="007E46C9" w:rsidRDefault="008C5104" w:rsidP="008C5104">
            <w:pPr>
              <w:spacing w:after="60"/>
              <w:rPr>
                <w:sz w:val="20"/>
              </w:rPr>
            </w:pPr>
            <w:r w:rsidRPr="007E46C9">
              <w:rPr>
                <w:i/>
                <w:sz w:val="20"/>
              </w:rPr>
              <w:t>Procured Capacity for Responsive Reserve Amount Total in DAM</w:t>
            </w:r>
            <w:r w:rsidRPr="007E46C9">
              <w:rPr>
                <w:sz w:val="20"/>
              </w:rPr>
              <w:t>—The total of the DAM RRS payments for all QSEs, for the hour.</w:t>
            </w:r>
          </w:p>
        </w:tc>
      </w:tr>
      <w:tr w:rsidR="008C5104" w:rsidRPr="007E46C9" w14:paraId="0207A87E" w14:textId="77777777" w:rsidTr="008C5104">
        <w:tc>
          <w:tcPr>
            <w:tcW w:w="1278" w:type="pct"/>
            <w:tcBorders>
              <w:top w:val="single" w:sz="4" w:space="0" w:color="auto"/>
              <w:left w:val="single" w:sz="4" w:space="0" w:color="auto"/>
              <w:bottom w:val="single" w:sz="4" w:space="0" w:color="auto"/>
              <w:right w:val="single" w:sz="4" w:space="0" w:color="auto"/>
            </w:tcBorders>
          </w:tcPr>
          <w:p w14:paraId="067EC316" w14:textId="77777777" w:rsidR="008C5104" w:rsidRPr="007E46C9" w:rsidRDefault="008C5104" w:rsidP="008C5104">
            <w:pPr>
              <w:spacing w:after="60"/>
              <w:rPr>
                <w:sz w:val="20"/>
              </w:rPr>
            </w:pPr>
            <w:r w:rsidRPr="00F662FF">
              <w:rPr>
                <w:sz w:val="20"/>
              </w:rPr>
              <w:t>RRINF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80EDDBC"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7D5D5EB8" w14:textId="77777777" w:rsidR="008C5104" w:rsidRPr="007E46C9" w:rsidRDefault="008C5104" w:rsidP="008C5104">
            <w:pPr>
              <w:spacing w:after="60"/>
              <w:rPr>
                <w:i/>
                <w:sz w:val="20"/>
              </w:rPr>
            </w:pPr>
            <w:r>
              <w:rPr>
                <w:i/>
                <w:sz w:val="20"/>
              </w:rPr>
              <w:t>Responsive Reserve</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RRS</w:t>
            </w:r>
            <w:r w:rsidRPr="002F2E4C">
              <w:rPr>
                <w:sz w:val="20"/>
              </w:rPr>
              <w:t>, for the hour.</w:t>
            </w:r>
          </w:p>
        </w:tc>
      </w:tr>
      <w:tr w:rsidR="008C5104" w:rsidRPr="007E46C9" w14:paraId="7CCA4184" w14:textId="77777777" w:rsidTr="008C5104">
        <w:tc>
          <w:tcPr>
            <w:tcW w:w="1278" w:type="pct"/>
            <w:tcBorders>
              <w:top w:val="single" w:sz="4" w:space="0" w:color="auto"/>
              <w:left w:val="single" w:sz="4" w:space="0" w:color="auto"/>
              <w:bottom w:val="single" w:sz="4" w:space="0" w:color="auto"/>
              <w:right w:val="single" w:sz="4" w:space="0" w:color="auto"/>
            </w:tcBorders>
          </w:tcPr>
          <w:p w14:paraId="7AD78FC2" w14:textId="77777777" w:rsidR="008C5104" w:rsidRPr="007E46C9" w:rsidRDefault="008C5104" w:rsidP="008C5104">
            <w:pPr>
              <w:spacing w:after="60"/>
              <w:rPr>
                <w:sz w:val="20"/>
              </w:rPr>
            </w:pPr>
            <w:r w:rsidRPr="00736C3C">
              <w:rPr>
                <w:sz w:val="20"/>
              </w:rPr>
              <w:t>RRINFQAMT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B30934"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0174E6E3" w14:textId="77777777" w:rsidR="008C5104" w:rsidRPr="007E46C9" w:rsidRDefault="008C5104" w:rsidP="008C5104">
            <w:pPr>
              <w:spacing w:after="60"/>
              <w:rPr>
                <w:i/>
                <w:sz w:val="20"/>
              </w:rPr>
            </w:pPr>
            <w:r w:rsidRPr="00736C3C">
              <w:rPr>
                <w:i/>
                <w:sz w:val="20"/>
              </w:rPr>
              <w:t>R</w:t>
            </w:r>
            <w:r>
              <w:rPr>
                <w:i/>
                <w:sz w:val="20"/>
              </w:rPr>
              <w:t>esponsive Reserve</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w:t>
            </w:r>
            <w:r>
              <w:rPr>
                <w:sz w:val="20"/>
              </w:rPr>
              <w:t xml:space="preserve"> </w:t>
            </w:r>
            <w:r w:rsidRPr="00736C3C">
              <w:rPr>
                <w:sz w:val="20"/>
              </w:rPr>
              <w:t>Ancillary</w:t>
            </w:r>
            <w:r>
              <w:rPr>
                <w:sz w:val="20"/>
              </w:rPr>
              <w:t xml:space="preserve"> Service Supply Responsibilities</w:t>
            </w:r>
            <w:r w:rsidRPr="00736C3C">
              <w:rPr>
                <w:sz w:val="20"/>
              </w:rPr>
              <w:t xml:space="preserve"> for </w:t>
            </w:r>
            <w:r>
              <w:rPr>
                <w:sz w:val="20"/>
              </w:rPr>
              <w:t>RRS</w:t>
            </w:r>
            <w:r w:rsidRPr="00736C3C">
              <w:rPr>
                <w:sz w:val="20"/>
              </w:rPr>
              <w:t>, for the hour.</w:t>
            </w:r>
          </w:p>
        </w:tc>
      </w:tr>
      <w:tr w:rsidR="008C5104" w:rsidRPr="007E46C9" w14:paraId="6FCEB99A" w14:textId="77777777" w:rsidTr="008C5104">
        <w:tc>
          <w:tcPr>
            <w:tcW w:w="1278" w:type="pct"/>
            <w:tcBorders>
              <w:top w:val="single" w:sz="4" w:space="0" w:color="auto"/>
              <w:left w:val="single" w:sz="4" w:space="0" w:color="auto"/>
              <w:bottom w:val="single" w:sz="4" w:space="0" w:color="auto"/>
              <w:right w:val="single" w:sz="4" w:space="0" w:color="auto"/>
            </w:tcBorders>
          </w:tcPr>
          <w:p w14:paraId="764067DA"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1FDD082A"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D8EF15F" w14:textId="77777777" w:rsidR="008C5104" w:rsidRPr="007E46C9" w:rsidRDefault="008C5104" w:rsidP="008C5104">
            <w:pPr>
              <w:spacing w:after="60"/>
              <w:rPr>
                <w:iCs/>
                <w:sz w:val="20"/>
              </w:rPr>
            </w:pPr>
            <w:r w:rsidRPr="007E46C9">
              <w:rPr>
                <w:iCs/>
                <w:sz w:val="20"/>
              </w:rPr>
              <w:t>A QSE.</w:t>
            </w:r>
          </w:p>
        </w:tc>
      </w:tr>
      <w:tr w:rsidR="008C5104" w:rsidRPr="007E46C9" w14:paraId="32E127A8" w14:textId="77777777" w:rsidTr="008C5104">
        <w:tc>
          <w:tcPr>
            <w:tcW w:w="1278" w:type="pct"/>
            <w:tcBorders>
              <w:top w:val="single" w:sz="4" w:space="0" w:color="auto"/>
              <w:left w:val="single" w:sz="4" w:space="0" w:color="auto"/>
              <w:bottom w:val="single" w:sz="4" w:space="0" w:color="auto"/>
              <w:right w:val="single" w:sz="4" w:space="0" w:color="auto"/>
            </w:tcBorders>
          </w:tcPr>
          <w:p w14:paraId="68B33EF5"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3F831A24"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38EA8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02BB36BF"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2672B" w14:paraId="54A5E987" w14:textId="77777777" w:rsidTr="002A7BFB">
        <w:trPr>
          <w:trHeight w:val="1547"/>
        </w:trPr>
        <w:tc>
          <w:tcPr>
            <w:tcW w:w="9576" w:type="dxa"/>
            <w:shd w:val="pct12" w:color="auto" w:fill="auto"/>
          </w:tcPr>
          <w:p w14:paraId="632FE147" w14:textId="77777777" w:rsidR="00F2672B" w:rsidRDefault="00F2672B" w:rsidP="002A7BFB">
            <w:pPr>
              <w:pStyle w:val="Instructions"/>
              <w:spacing w:before="120"/>
            </w:pPr>
            <w:r>
              <w:t>[NPRR841:  Replace paragraph (a) above with the following upon system implementation:]</w:t>
            </w:r>
          </w:p>
          <w:p w14:paraId="3EE23ADC" w14:textId="77777777" w:rsidR="00F2672B" w:rsidRPr="00E5030A" w:rsidRDefault="00F2672B" w:rsidP="00F2672B">
            <w:pPr>
              <w:spacing w:after="240"/>
              <w:ind w:left="1440" w:hanging="720"/>
            </w:pPr>
            <w:r w:rsidRPr="00E5030A">
              <w:t>(a)</w:t>
            </w:r>
            <w:r w:rsidRPr="00E5030A">
              <w:tab/>
              <w:t>The net total costs for RRS for a given Operating Hour is calculated as follows:</w:t>
            </w:r>
          </w:p>
          <w:p w14:paraId="07F8E124" w14:textId="65E2C855" w:rsidR="00F2672B" w:rsidRPr="00E5030A" w:rsidRDefault="00F2672B" w:rsidP="00F2672B">
            <w:pPr>
              <w:spacing w:after="120"/>
              <w:ind w:left="3600" w:hanging="2880"/>
              <w:rPr>
                <w:b/>
                <w:bCs/>
              </w:rPr>
            </w:pPr>
            <w:r w:rsidRPr="00E5030A">
              <w:rPr>
                <w:b/>
                <w:bCs/>
              </w:rPr>
              <w:t>RRCOSTTOT</w:t>
            </w:r>
            <w:r w:rsidRPr="00E5030A">
              <w:rPr>
                <w:b/>
                <w:bCs/>
              </w:rPr>
              <w:tab/>
              <w:t>=</w:t>
            </w:r>
            <w:r w:rsidRPr="00E5030A">
              <w:rPr>
                <w:b/>
                <w:bCs/>
              </w:rPr>
              <w:tab/>
              <w:t>(-1) * (</w:t>
            </w:r>
            <w:r w:rsidR="00A94020">
              <w:rPr>
                <w:b/>
                <w:bCs/>
                <w:noProof/>
                <w:position w:val="-20"/>
              </w:rPr>
              <w:drawing>
                <wp:inline distT="0" distB="0" distL="0" distR="0" wp14:anchorId="5F252841" wp14:editId="4AF64C88">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(RTPCRRAMTTOT </w:t>
            </w:r>
            <w:r w:rsidRPr="00E5030A">
              <w:rPr>
                <w:b/>
                <w:bCs/>
                <w:i/>
                <w:vertAlign w:val="subscript"/>
              </w:rPr>
              <w:t>m</w:t>
            </w:r>
            <w:r w:rsidRPr="00E5030A">
              <w:rPr>
                <w:rFonts w:ascii="Times New Roman Bold" w:hAnsi="Times New Roman Bold"/>
                <w:b/>
                <w:bCs/>
              </w:rPr>
              <w:t>)</w:t>
            </w:r>
            <w:r w:rsidRPr="00E5030A">
              <w:rPr>
                <w:b/>
                <w:bCs/>
              </w:rPr>
              <w:t xml:space="preserve"> +    </w:t>
            </w:r>
            <w:r w:rsidRPr="00E5030A">
              <w:rPr>
                <w:b/>
                <w:bCs/>
              </w:rPr>
              <w:tab/>
              <w:t xml:space="preserve">PCRRAMTTOT  + RRFQAMTTOT + </w:t>
            </w:r>
          </w:p>
          <w:p w14:paraId="71E1E609" w14:textId="77777777" w:rsidR="00F2672B" w:rsidRPr="00E5030A" w:rsidRDefault="00F2672B" w:rsidP="00F2672B">
            <w:pPr>
              <w:spacing w:after="240"/>
              <w:ind w:left="3600" w:firstLine="720"/>
              <w:rPr>
                <w:b/>
                <w:bCs/>
              </w:rPr>
            </w:pPr>
            <w:r w:rsidRPr="00E5030A">
              <w:rPr>
                <w:b/>
                <w:bCs/>
              </w:rPr>
              <w:t>RRINFQAMTTOT</w:t>
            </w:r>
            <w:r>
              <w:rPr>
                <w:b/>
                <w:bCs/>
              </w:rPr>
              <w:t xml:space="preserve"> </w:t>
            </w:r>
            <w:r w:rsidRPr="003675AD">
              <w:rPr>
                <w:b/>
              </w:rPr>
              <w:t xml:space="preserve">+ </w:t>
            </w:r>
            <w:r w:rsidRPr="003675AD">
              <w:rPr>
                <w:b/>
                <w:color w:val="000000"/>
              </w:rPr>
              <w:t>RRMWINFATOT</w:t>
            </w:r>
            <w:r w:rsidRPr="00E5030A">
              <w:rPr>
                <w:b/>
                <w:bCs/>
              </w:rPr>
              <w:t>)</w:t>
            </w:r>
          </w:p>
          <w:p w14:paraId="0242DDCF" w14:textId="77777777" w:rsidR="00F2672B" w:rsidRPr="00E5030A" w:rsidRDefault="00F2672B" w:rsidP="00F2672B">
            <w:pPr>
              <w:spacing w:after="240"/>
              <w:rPr>
                <w:iCs/>
              </w:rPr>
            </w:pPr>
            <w:r w:rsidRPr="00E5030A">
              <w:rPr>
                <w:iCs/>
              </w:rPr>
              <w:t xml:space="preserve">Where: </w:t>
            </w:r>
          </w:p>
          <w:p w14:paraId="5A440F76" w14:textId="77777777" w:rsidR="00F2672B" w:rsidRPr="00E5030A" w:rsidRDefault="00F2672B" w:rsidP="00F2672B">
            <w:r w:rsidRPr="00E5030A">
              <w:t>Total payment of SASM- and RSASM-procured capacity for RRS by market</w:t>
            </w:r>
          </w:p>
          <w:p w14:paraId="001203BB" w14:textId="49C9E38C" w:rsidR="00F2672B" w:rsidRPr="00E5030A" w:rsidRDefault="00F2672B" w:rsidP="00F2672B">
            <w:pPr>
              <w:spacing w:after="240"/>
              <w:ind w:leftChars="300" w:left="2880" w:hangingChars="900" w:hanging="2160"/>
              <w:rPr>
                <w:bCs/>
                <w:i/>
                <w:vertAlign w:val="subscript"/>
              </w:rPr>
            </w:pPr>
            <w:r w:rsidRPr="00E5030A">
              <w:rPr>
                <w:bCs/>
              </w:rPr>
              <w:t xml:space="preserve">RTPCRRAMTTOT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2F863D50" wp14:editId="10C0A6C1">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4E25C997" w14:textId="77777777" w:rsidR="00F2672B" w:rsidRPr="00E5030A" w:rsidRDefault="00F2672B" w:rsidP="00F2672B">
            <w:r w:rsidRPr="00E5030A">
              <w:lastRenderedPageBreak/>
              <w:t>Total payment of DAM-procured capacity for RRS</w:t>
            </w:r>
          </w:p>
          <w:p w14:paraId="1AB38997" w14:textId="4E92B127" w:rsidR="00F2672B" w:rsidRPr="00E5030A" w:rsidRDefault="00F2672B" w:rsidP="00F2672B">
            <w:pPr>
              <w:spacing w:after="240"/>
              <w:ind w:leftChars="300" w:left="2880" w:hangingChars="900" w:hanging="2160"/>
              <w:rPr>
                <w:bCs/>
              </w:rPr>
            </w:pPr>
            <w:r w:rsidRPr="00E5030A">
              <w:rPr>
                <w:bCs/>
              </w:rPr>
              <w:t>PCRRAMTTOT</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4BEAF33D" wp14:editId="6F69F2C0">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PCRRAMT </w:t>
            </w:r>
            <w:r w:rsidRPr="00E5030A">
              <w:rPr>
                <w:bCs/>
                <w:i/>
                <w:vertAlign w:val="subscript"/>
              </w:rPr>
              <w:t>q</w:t>
            </w:r>
          </w:p>
          <w:p w14:paraId="74B21DE6" w14:textId="77777777" w:rsidR="00F2672B" w:rsidRPr="00E5030A" w:rsidRDefault="00F2672B" w:rsidP="00F2672B">
            <w:r w:rsidRPr="00E5030A">
              <w:t>Total charge of failure on Ancillary Service Supply Responsibility for RRS</w:t>
            </w:r>
          </w:p>
          <w:p w14:paraId="7031FBA9" w14:textId="6BBDD9C2" w:rsidR="00F2672B" w:rsidRPr="00E5030A" w:rsidRDefault="00F2672B" w:rsidP="00F2672B">
            <w:pPr>
              <w:spacing w:after="240"/>
              <w:ind w:leftChars="300" w:left="2880" w:hangingChars="900" w:hanging="2160"/>
              <w:rPr>
                <w:bCs/>
                <w:i/>
                <w:vertAlign w:val="subscript"/>
              </w:rPr>
            </w:pPr>
            <w:r w:rsidRPr="00E5030A">
              <w:rPr>
                <w:bCs/>
              </w:rPr>
              <w:t>RRFQAMTTOT</w:t>
            </w:r>
            <w:r w:rsidRPr="00E5030A">
              <w:rPr>
                <w:bCs/>
              </w:rPr>
              <w:tab/>
            </w:r>
            <w:r w:rsidRPr="00E5030A">
              <w:rPr>
                <w:bCs/>
              </w:rPr>
              <w:tab/>
              <w:t>=</w:t>
            </w:r>
            <w:r w:rsidRPr="00E5030A">
              <w:rPr>
                <w:bCs/>
              </w:rPr>
              <w:tab/>
            </w:r>
            <w:r w:rsidR="00A94020">
              <w:rPr>
                <w:bCs/>
                <w:noProof/>
                <w:position w:val="-22"/>
              </w:rPr>
              <w:drawing>
                <wp:inline distT="0" distB="0" distL="0" distR="0" wp14:anchorId="0F824873" wp14:editId="0012C936">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RRFQAMTQSETOT </w:t>
            </w:r>
            <w:r w:rsidRPr="00E5030A">
              <w:rPr>
                <w:bCs/>
                <w:i/>
                <w:vertAlign w:val="subscript"/>
              </w:rPr>
              <w:t>q</w:t>
            </w:r>
          </w:p>
          <w:p w14:paraId="48906D04" w14:textId="77777777" w:rsidR="00F2672B" w:rsidRPr="00E5030A" w:rsidRDefault="00F2672B" w:rsidP="00F2672B">
            <w:pPr>
              <w:ind w:left="300" w:hangingChars="125" w:hanging="300"/>
              <w:rPr>
                <w:bCs/>
              </w:rPr>
            </w:pPr>
            <w:r w:rsidRPr="00E5030A">
              <w:rPr>
                <w:bCs/>
              </w:rPr>
              <w:t xml:space="preserve">Total payment of SASM- and RSASM-procured capacity </w:t>
            </w:r>
            <w:r w:rsidR="000809F8">
              <w:rPr>
                <w:bCs/>
              </w:rPr>
              <w:t xml:space="preserve">for </w:t>
            </w:r>
            <w:r w:rsidRPr="00E5030A">
              <w:rPr>
                <w:bCs/>
              </w:rPr>
              <w:t>RRS by QSE</w:t>
            </w:r>
          </w:p>
          <w:p w14:paraId="67B31E93" w14:textId="7C33ACBD" w:rsidR="00F2672B" w:rsidRPr="00E5030A" w:rsidRDefault="00F2672B" w:rsidP="00F2672B">
            <w:pPr>
              <w:spacing w:after="240"/>
              <w:ind w:leftChars="300" w:left="2880" w:hangingChars="900" w:hanging="2160"/>
              <w:rPr>
                <w:bCs/>
                <w:i/>
                <w:vertAlign w:val="subscript"/>
              </w:rPr>
            </w:pPr>
            <w:r w:rsidRPr="00E5030A">
              <w:rPr>
                <w:bCs/>
              </w:rPr>
              <w:t xml:space="preserve">RTPCRRAMTQSETOT </w:t>
            </w:r>
            <w:r w:rsidRPr="00E5030A">
              <w:rPr>
                <w:bCs/>
                <w:i/>
                <w:vertAlign w:val="subscript"/>
              </w:rPr>
              <w:t>q</w:t>
            </w:r>
            <w:r w:rsidRPr="00E5030A">
              <w:rPr>
                <w:bCs/>
              </w:rPr>
              <w:t xml:space="preserve"> </w:t>
            </w:r>
            <w:r w:rsidRPr="00E5030A">
              <w:rPr>
                <w:bCs/>
              </w:rPr>
              <w:tab/>
              <w:t>=</w:t>
            </w:r>
            <w:r w:rsidRPr="00E5030A">
              <w:rPr>
                <w:bCs/>
              </w:rPr>
              <w:tab/>
            </w:r>
            <w:r w:rsidR="00A94020">
              <w:rPr>
                <w:bCs/>
                <w:noProof/>
                <w:position w:val="-20"/>
              </w:rPr>
              <w:drawing>
                <wp:inline distT="0" distB="0" distL="0" distR="0" wp14:anchorId="14221CBA" wp14:editId="5550149D">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5DA8CB5C" w14:textId="77777777" w:rsidR="00F2672B" w:rsidRPr="00E5030A" w:rsidRDefault="00F2672B" w:rsidP="00F2672B">
            <w:r w:rsidRPr="00E5030A">
              <w:t>Total charge of infeasible Ancillary Service Supply Responsibility for RRS</w:t>
            </w:r>
          </w:p>
          <w:p w14:paraId="2F8E8015" w14:textId="7320CCC6" w:rsidR="00F2672B" w:rsidRPr="00E5030A" w:rsidRDefault="00F2672B" w:rsidP="00F2672B">
            <w:pPr>
              <w:spacing w:after="240"/>
              <w:ind w:left="2880" w:hanging="2160"/>
            </w:pPr>
            <w:r w:rsidRPr="00E5030A">
              <w:t>RRINFQAMTTOT</w:t>
            </w:r>
            <w:r w:rsidRPr="00E5030A">
              <w:tab/>
              <w:t>=</w:t>
            </w:r>
            <w:r w:rsidRPr="00E5030A">
              <w:tab/>
            </w:r>
            <w:r w:rsidR="00A94020">
              <w:rPr>
                <w:noProof/>
                <w:position w:val="-22"/>
              </w:rPr>
              <w:drawing>
                <wp:inline distT="0" distB="0" distL="0" distR="0" wp14:anchorId="7BB4C0D7" wp14:editId="0A1C1A12">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RRINFQAMT </w:t>
            </w:r>
            <w:r w:rsidRPr="00E5030A">
              <w:rPr>
                <w:i/>
                <w:vertAlign w:val="subscript"/>
              </w:rPr>
              <w:t>q</w:t>
            </w:r>
            <w:r w:rsidRPr="00E5030A">
              <w:rPr>
                <w:vertAlign w:val="subscript"/>
              </w:rPr>
              <w:t xml:space="preserve"> </w:t>
            </w:r>
          </w:p>
          <w:p w14:paraId="08D4828B" w14:textId="77777777" w:rsidR="00F2672B" w:rsidRDefault="00F2672B" w:rsidP="00065EC3">
            <w:pPr>
              <w:pStyle w:val="Formula"/>
              <w:ind w:leftChars="8" w:left="319" w:hangingChars="125" w:hanging="300"/>
            </w:pPr>
            <w:r>
              <w:t xml:space="preserve">Total Real-Time </w:t>
            </w:r>
            <w:r>
              <w:rPr>
                <w:iCs/>
              </w:rPr>
              <w:t>Day-Ahead</w:t>
            </w:r>
            <w:r>
              <w:t xml:space="preserve"> Make-Whole Payment for RRS</w:t>
            </w:r>
          </w:p>
          <w:p w14:paraId="5BA0CAF6" w14:textId="77777777" w:rsidR="00F2672B" w:rsidRDefault="00F2672B" w:rsidP="00F2672B">
            <w:pPr>
              <w:spacing w:after="240"/>
              <w:ind w:left="2880" w:hanging="2160"/>
            </w:pPr>
            <w:r w:rsidRPr="00F074B4">
              <w:t>RRMWINFATOT</w:t>
            </w:r>
            <w:r>
              <w:tab/>
              <w:t>=</w:t>
            </w:r>
            <w:r>
              <w:tab/>
            </w:r>
            <w:r w:rsidRPr="004C0093">
              <w:rPr>
                <w:position w:val="-22"/>
                <w:lang w:val="pt-BR"/>
              </w:rPr>
              <w:object w:dxaOrig="220" w:dyaOrig="460" w14:anchorId="6056FDED">
                <v:shape id="_x0000_i1353" type="#_x0000_t75" style="width:12pt;height:18pt" o:ole="">
                  <v:imagedata r:id="rId434" o:title=""/>
                </v:shape>
                <o:OLEObject Type="Embed" ProgID="Equation.3" ShapeID="_x0000_i1353" DrawAspect="Content" ObjectID="_1804653836" r:id="rId440"/>
              </w:object>
            </w:r>
            <w:r w:rsidRPr="00627431">
              <w:rPr>
                <w:color w:val="000000"/>
              </w:rPr>
              <w:t xml:space="preserve"> </w:t>
            </w:r>
            <w:r>
              <w:rPr>
                <w:color w:val="000000"/>
              </w:rPr>
              <w:t>RRMWINFA</w:t>
            </w:r>
            <w:r w:rsidRPr="004C0093" w:rsidDel="00601212">
              <w:rPr>
                <w:color w:val="000000"/>
              </w:rPr>
              <w:t xml:space="preserve"> </w:t>
            </w:r>
            <w:r>
              <w:rPr>
                <w:i/>
                <w:vertAlign w:val="subscript"/>
              </w:rPr>
              <w:t>q,</w:t>
            </w:r>
            <w:r w:rsidRPr="004C0093">
              <w:rPr>
                <w:i/>
                <w:vertAlign w:val="subscript"/>
              </w:rPr>
              <w:t xml:space="preserve"> h  </w:t>
            </w:r>
          </w:p>
          <w:p w14:paraId="42972F9C" w14:textId="77777777" w:rsidR="00F2672B" w:rsidRPr="00E5030A" w:rsidRDefault="00F2672B" w:rsidP="00F2672B">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753A11" w:rsidRPr="00E5030A" w14:paraId="3FCFC14C" w14:textId="77777777" w:rsidTr="002A7BFB">
              <w:trPr>
                <w:tblHeader/>
              </w:trPr>
              <w:tc>
                <w:tcPr>
                  <w:tcW w:w="1278" w:type="pct"/>
                </w:tcPr>
                <w:p w14:paraId="3D0A5142" w14:textId="77777777" w:rsidR="00753A11" w:rsidRPr="00E5030A" w:rsidRDefault="00753A11" w:rsidP="00753A11">
                  <w:pPr>
                    <w:spacing w:after="120"/>
                    <w:rPr>
                      <w:b/>
                      <w:iCs/>
                      <w:sz w:val="20"/>
                    </w:rPr>
                  </w:pPr>
                  <w:r w:rsidRPr="00E5030A">
                    <w:rPr>
                      <w:b/>
                      <w:iCs/>
                      <w:sz w:val="20"/>
                    </w:rPr>
                    <w:t>Variable</w:t>
                  </w:r>
                </w:p>
              </w:tc>
              <w:tc>
                <w:tcPr>
                  <w:tcW w:w="329" w:type="pct"/>
                </w:tcPr>
                <w:p w14:paraId="4FDC25CB" w14:textId="77777777" w:rsidR="00753A11" w:rsidRPr="00E5030A" w:rsidRDefault="00753A11" w:rsidP="00753A11">
                  <w:pPr>
                    <w:spacing w:after="120"/>
                    <w:rPr>
                      <w:b/>
                      <w:iCs/>
                      <w:sz w:val="20"/>
                    </w:rPr>
                  </w:pPr>
                  <w:r w:rsidRPr="00E5030A">
                    <w:rPr>
                      <w:b/>
                      <w:iCs/>
                      <w:sz w:val="20"/>
                    </w:rPr>
                    <w:t>Unit</w:t>
                  </w:r>
                </w:p>
              </w:tc>
              <w:tc>
                <w:tcPr>
                  <w:tcW w:w="3393" w:type="pct"/>
                </w:tcPr>
                <w:p w14:paraId="4BA2CE43" w14:textId="77777777" w:rsidR="00753A11" w:rsidRPr="00E5030A" w:rsidRDefault="00753A11" w:rsidP="00753A11">
                  <w:pPr>
                    <w:spacing w:after="120"/>
                    <w:rPr>
                      <w:b/>
                      <w:iCs/>
                      <w:sz w:val="20"/>
                    </w:rPr>
                  </w:pPr>
                  <w:r w:rsidRPr="00E5030A">
                    <w:rPr>
                      <w:b/>
                      <w:iCs/>
                      <w:sz w:val="20"/>
                    </w:rPr>
                    <w:t>Description</w:t>
                  </w:r>
                </w:p>
              </w:tc>
            </w:tr>
            <w:tr w:rsidR="00753A11" w:rsidRPr="00E5030A" w14:paraId="6F43BC4E" w14:textId="77777777" w:rsidTr="002A7BFB">
              <w:tc>
                <w:tcPr>
                  <w:tcW w:w="1278" w:type="pct"/>
                </w:tcPr>
                <w:p w14:paraId="20375C19" w14:textId="77777777" w:rsidR="00753A11" w:rsidRPr="00E5030A" w:rsidRDefault="00753A11" w:rsidP="00753A11">
                  <w:pPr>
                    <w:spacing w:after="60"/>
                    <w:rPr>
                      <w:iCs/>
                      <w:sz w:val="20"/>
                    </w:rPr>
                  </w:pPr>
                  <w:r w:rsidRPr="00E5030A">
                    <w:rPr>
                      <w:iCs/>
                      <w:sz w:val="20"/>
                    </w:rPr>
                    <w:t>RRCOSTTOT</w:t>
                  </w:r>
                </w:p>
              </w:tc>
              <w:tc>
                <w:tcPr>
                  <w:tcW w:w="329" w:type="pct"/>
                </w:tcPr>
                <w:p w14:paraId="06D4FC9C" w14:textId="77777777" w:rsidR="00753A11" w:rsidRPr="00E5030A" w:rsidRDefault="00753A11" w:rsidP="00753A11">
                  <w:pPr>
                    <w:spacing w:after="60"/>
                    <w:rPr>
                      <w:iCs/>
                      <w:sz w:val="20"/>
                    </w:rPr>
                  </w:pPr>
                  <w:r w:rsidRPr="00E5030A">
                    <w:rPr>
                      <w:iCs/>
                      <w:sz w:val="20"/>
                    </w:rPr>
                    <w:t>$</w:t>
                  </w:r>
                </w:p>
              </w:tc>
              <w:tc>
                <w:tcPr>
                  <w:tcW w:w="3393" w:type="pct"/>
                </w:tcPr>
                <w:p w14:paraId="33EB91C3" w14:textId="77777777" w:rsidR="00753A11" w:rsidRPr="00E5030A" w:rsidRDefault="00753A11" w:rsidP="00753A11">
                  <w:pPr>
                    <w:spacing w:after="60"/>
                    <w:rPr>
                      <w:iCs/>
                      <w:sz w:val="20"/>
                    </w:rPr>
                  </w:pPr>
                  <w:r w:rsidRPr="00E5030A">
                    <w:rPr>
                      <w:i/>
                      <w:iCs/>
                      <w:sz w:val="20"/>
                    </w:rPr>
                    <w:t>Responsive Reserve Cost Total</w:t>
                  </w:r>
                  <w:r w:rsidRPr="00E5030A">
                    <w:rPr>
                      <w:iCs/>
                      <w:sz w:val="20"/>
                    </w:rPr>
                    <w:t>—The net total costs for RRS, for the hour.</w:t>
                  </w:r>
                </w:p>
              </w:tc>
            </w:tr>
            <w:tr w:rsidR="00753A11" w:rsidRPr="00E5030A" w14:paraId="19835C0B" w14:textId="77777777" w:rsidTr="002A7BFB">
              <w:tc>
                <w:tcPr>
                  <w:tcW w:w="1278" w:type="pct"/>
                  <w:tcBorders>
                    <w:top w:val="single" w:sz="4" w:space="0" w:color="auto"/>
                    <w:left w:val="single" w:sz="4" w:space="0" w:color="auto"/>
                    <w:bottom w:val="single" w:sz="4" w:space="0" w:color="auto"/>
                    <w:right w:val="single" w:sz="4" w:space="0" w:color="auto"/>
                  </w:tcBorders>
                </w:tcPr>
                <w:p w14:paraId="149BEDB5" w14:textId="77777777" w:rsidR="00753A11" w:rsidRPr="00E5030A" w:rsidRDefault="00753A11" w:rsidP="00753A11">
                  <w:pPr>
                    <w:spacing w:after="60"/>
                    <w:rPr>
                      <w:iCs/>
                      <w:sz w:val="20"/>
                    </w:rPr>
                  </w:pPr>
                  <w:r w:rsidRPr="00E5030A">
                    <w:rPr>
                      <w:iCs/>
                      <w:sz w:val="20"/>
                    </w:rPr>
                    <w:t xml:space="preserve">RTPCRRAMTTOT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3CFAE57D"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042B0C0" w14:textId="77777777" w:rsidR="00753A11" w:rsidRPr="00E5030A" w:rsidRDefault="00753A11" w:rsidP="00753A11">
                  <w:pPr>
                    <w:spacing w:after="60"/>
                    <w:rPr>
                      <w:i/>
                      <w:iCs/>
                      <w:sz w:val="20"/>
                    </w:rPr>
                  </w:pPr>
                  <w:r w:rsidRPr="00E5030A">
                    <w:rPr>
                      <w:i/>
                      <w:iCs/>
                      <w:sz w:val="20"/>
                    </w:rPr>
                    <w:t>Procured Capacity for Responsive Reserve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RRS, for the hour.</w:t>
                  </w:r>
                </w:p>
              </w:tc>
            </w:tr>
            <w:tr w:rsidR="00753A11" w:rsidRPr="00E5030A" w14:paraId="12DE049D" w14:textId="77777777" w:rsidTr="002A7BFB">
              <w:tc>
                <w:tcPr>
                  <w:tcW w:w="1278" w:type="pct"/>
                  <w:tcBorders>
                    <w:top w:val="single" w:sz="4" w:space="0" w:color="auto"/>
                    <w:left w:val="single" w:sz="4" w:space="0" w:color="auto"/>
                    <w:bottom w:val="single" w:sz="4" w:space="0" w:color="auto"/>
                    <w:right w:val="single" w:sz="4" w:space="0" w:color="auto"/>
                  </w:tcBorders>
                </w:tcPr>
                <w:p w14:paraId="5F6EBE81" w14:textId="77777777" w:rsidR="00753A11" w:rsidRPr="00E5030A" w:rsidRDefault="00753A11" w:rsidP="00753A11">
                  <w:pPr>
                    <w:spacing w:after="60"/>
                    <w:rPr>
                      <w:iCs/>
                      <w:sz w:val="20"/>
                    </w:rPr>
                  </w:pPr>
                  <w:r w:rsidRPr="00E5030A">
                    <w:rPr>
                      <w:iCs/>
                      <w:sz w:val="20"/>
                    </w:rPr>
                    <w:t xml:space="preserve">RTPCRRAMT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368F3F06"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071A545" w14:textId="77777777" w:rsidR="00753A11" w:rsidRPr="00E5030A" w:rsidRDefault="00753A11" w:rsidP="00753A11">
                  <w:pPr>
                    <w:spacing w:after="60"/>
                    <w:rPr>
                      <w:i/>
                      <w:iCs/>
                      <w:sz w:val="20"/>
                    </w:rPr>
                  </w:pPr>
                  <w:r w:rsidRPr="00E5030A">
                    <w:rPr>
                      <w:i/>
                      <w:iCs/>
                      <w:sz w:val="20"/>
                    </w:rPr>
                    <w:t>Procured Capacity for Responsive Reserve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RRS, for the hour.</w:t>
                  </w:r>
                </w:p>
              </w:tc>
            </w:tr>
            <w:tr w:rsidR="00753A11" w:rsidRPr="00E5030A" w14:paraId="38A963D4" w14:textId="77777777" w:rsidTr="002A7BFB">
              <w:tc>
                <w:tcPr>
                  <w:tcW w:w="1278" w:type="pct"/>
                  <w:tcBorders>
                    <w:top w:val="single" w:sz="4" w:space="0" w:color="auto"/>
                    <w:left w:val="single" w:sz="4" w:space="0" w:color="auto"/>
                    <w:bottom w:val="single" w:sz="4" w:space="0" w:color="auto"/>
                    <w:right w:val="single" w:sz="4" w:space="0" w:color="auto"/>
                  </w:tcBorders>
                </w:tcPr>
                <w:p w14:paraId="6A63A584" w14:textId="77777777" w:rsidR="00753A11" w:rsidRPr="00E5030A" w:rsidRDefault="00753A11" w:rsidP="00753A11">
                  <w:pPr>
                    <w:spacing w:after="60"/>
                    <w:rPr>
                      <w:iCs/>
                      <w:sz w:val="20"/>
                    </w:rPr>
                  </w:pPr>
                  <w:r w:rsidRPr="00E5030A">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0BD1B8C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7AAA5DA" w14:textId="77777777" w:rsidR="00753A11" w:rsidRPr="00E5030A" w:rsidRDefault="00753A11" w:rsidP="00753A11">
                  <w:pPr>
                    <w:spacing w:after="60"/>
                    <w:rPr>
                      <w:i/>
                      <w:iCs/>
                      <w:sz w:val="20"/>
                    </w:rPr>
                  </w:pPr>
                  <w:r w:rsidRPr="00E5030A">
                    <w:rPr>
                      <w:i/>
                      <w:iCs/>
                      <w:sz w:val="20"/>
                    </w:rPr>
                    <w:t>Responsive Reserve Failure Quantity Amount Total</w:t>
                  </w:r>
                  <w:r w:rsidRPr="00E5030A">
                    <w:rPr>
                      <w:iCs/>
                      <w:sz w:val="20"/>
                    </w:rPr>
                    <w:t>—The total charges to all QSEs for their capacity associated with failures and reconfiguration reductions on their Ancillary Service Supply Responsibilities for RRS, for the hour.</w:t>
                  </w:r>
                </w:p>
              </w:tc>
            </w:tr>
            <w:tr w:rsidR="00753A11" w:rsidRPr="00E5030A" w14:paraId="641EDC74" w14:textId="77777777" w:rsidTr="002A7BFB">
              <w:tc>
                <w:tcPr>
                  <w:tcW w:w="1278" w:type="pct"/>
                  <w:tcBorders>
                    <w:top w:val="single" w:sz="4" w:space="0" w:color="auto"/>
                    <w:left w:val="single" w:sz="4" w:space="0" w:color="auto"/>
                    <w:bottom w:val="single" w:sz="4" w:space="0" w:color="auto"/>
                    <w:right w:val="single" w:sz="4" w:space="0" w:color="auto"/>
                  </w:tcBorders>
                </w:tcPr>
                <w:p w14:paraId="5567885E"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FE75B81"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69AE7080"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753A11" w:rsidRPr="00E5030A" w14:paraId="12C94EBC" w14:textId="77777777" w:rsidTr="002A7BFB">
              <w:tc>
                <w:tcPr>
                  <w:tcW w:w="1278" w:type="pct"/>
                  <w:tcBorders>
                    <w:top w:val="single" w:sz="4" w:space="0" w:color="auto"/>
                    <w:left w:val="single" w:sz="4" w:space="0" w:color="auto"/>
                    <w:bottom w:val="single" w:sz="4" w:space="0" w:color="auto"/>
                    <w:right w:val="single" w:sz="4" w:space="0" w:color="auto"/>
                  </w:tcBorders>
                </w:tcPr>
                <w:p w14:paraId="0EFC34F2"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C87E37B"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42ECF09"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753A11" w:rsidRPr="00E5030A" w14:paraId="5C4F746E" w14:textId="77777777" w:rsidTr="002A7BFB">
              <w:tc>
                <w:tcPr>
                  <w:tcW w:w="1278" w:type="pct"/>
                  <w:tcBorders>
                    <w:top w:val="single" w:sz="4" w:space="0" w:color="auto"/>
                    <w:left w:val="single" w:sz="4" w:space="0" w:color="auto"/>
                    <w:bottom w:val="single" w:sz="4" w:space="0" w:color="auto"/>
                    <w:right w:val="single" w:sz="4" w:space="0" w:color="auto"/>
                  </w:tcBorders>
                </w:tcPr>
                <w:p w14:paraId="4FDE3A31" w14:textId="77777777" w:rsidR="00753A11" w:rsidRPr="00E5030A" w:rsidRDefault="00753A11" w:rsidP="00753A11">
                  <w:pPr>
                    <w:spacing w:after="60"/>
                    <w:rPr>
                      <w:iCs/>
                      <w:sz w:val="20"/>
                    </w:rPr>
                  </w:pPr>
                  <w:r w:rsidRPr="00E5030A">
                    <w:rPr>
                      <w:iCs/>
                      <w:sz w:val="20"/>
                    </w:rPr>
                    <w:t xml:space="preserve">RRFQAMTQSETOT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6B56F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FF45AE1" w14:textId="77777777" w:rsidR="00753A11" w:rsidRPr="00E5030A" w:rsidRDefault="00753A11" w:rsidP="00753A11">
                  <w:pPr>
                    <w:spacing w:after="60"/>
                    <w:rPr>
                      <w:i/>
                      <w:iCs/>
                      <w:sz w:val="20"/>
                    </w:rPr>
                  </w:pPr>
                  <w:r w:rsidRPr="00E5030A">
                    <w:rPr>
                      <w:i/>
                      <w:iCs/>
                      <w:sz w:val="20"/>
                    </w:rPr>
                    <w:t>Responsive Reserve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RRS, for the hour.</w:t>
                  </w:r>
                </w:p>
              </w:tc>
            </w:tr>
            <w:tr w:rsidR="00753A11" w:rsidRPr="00E5030A" w14:paraId="62B19B21" w14:textId="77777777" w:rsidTr="002A7BFB">
              <w:tc>
                <w:tcPr>
                  <w:tcW w:w="1278" w:type="pct"/>
                  <w:tcBorders>
                    <w:top w:val="single" w:sz="4" w:space="0" w:color="auto"/>
                    <w:left w:val="single" w:sz="4" w:space="0" w:color="auto"/>
                    <w:bottom w:val="single" w:sz="4" w:space="0" w:color="auto"/>
                    <w:right w:val="single" w:sz="4" w:space="0" w:color="auto"/>
                  </w:tcBorders>
                </w:tcPr>
                <w:p w14:paraId="6F328230" w14:textId="77777777" w:rsidR="00753A11" w:rsidRPr="00E5030A" w:rsidRDefault="00753A11" w:rsidP="00753A11">
                  <w:pPr>
                    <w:spacing w:after="60"/>
                    <w:rPr>
                      <w:iCs/>
                      <w:sz w:val="20"/>
                    </w:rPr>
                  </w:pPr>
                  <w:r w:rsidRPr="00E5030A">
                    <w:rPr>
                      <w:iCs/>
                      <w:sz w:val="20"/>
                    </w:rPr>
                    <w:t xml:space="preserve">RTPCRRAMTQSETOT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FB970A8"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23DBBD" w14:textId="77777777" w:rsidR="00753A11" w:rsidRPr="00E5030A" w:rsidRDefault="00753A11" w:rsidP="00753A11">
                  <w:pPr>
                    <w:spacing w:after="60"/>
                    <w:rPr>
                      <w:iCs/>
                      <w:sz w:val="20"/>
                    </w:rPr>
                  </w:pPr>
                  <w:r w:rsidRPr="00E5030A">
                    <w:rPr>
                      <w:i/>
                      <w:iCs/>
                      <w:sz w:val="20"/>
                    </w:rPr>
                    <w:t>Procured Capacity for Responsive Reserve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RRS, for the hour.</w:t>
                  </w:r>
                </w:p>
              </w:tc>
            </w:tr>
            <w:tr w:rsidR="00753A11" w:rsidRPr="00E5030A" w14:paraId="367372CB" w14:textId="77777777" w:rsidTr="002A7BFB">
              <w:tc>
                <w:tcPr>
                  <w:tcW w:w="1278" w:type="pct"/>
                  <w:tcBorders>
                    <w:top w:val="single" w:sz="4" w:space="0" w:color="auto"/>
                    <w:left w:val="single" w:sz="4" w:space="0" w:color="auto"/>
                    <w:bottom w:val="single" w:sz="4" w:space="0" w:color="auto"/>
                    <w:right w:val="single" w:sz="4" w:space="0" w:color="auto"/>
                  </w:tcBorders>
                </w:tcPr>
                <w:p w14:paraId="5299270A" w14:textId="77777777" w:rsidR="00753A11" w:rsidRPr="00E5030A" w:rsidRDefault="00753A11" w:rsidP="00753A11">
                  <w:pPr>
                    <w:rPr>
                      <w:b/>
                      <w:sz w:val="20"/>
                    </w:rPr>
                  </w:pPr>
                  <w:r w:rsidRPr="00E5030A">
                    <w:rPr>
                      <w:sz w:val="20"/>
                    </w:rPr>
                    <w:lastRenderedPageBreak/>
                    <w:t xml:space="preserve">PCRRAMT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87B939B" w14:textId="77777777" w:rsidR="00753A11" w:rsidRPr="00E5030A" w:rsidRDefault="00753A11" w:rsidP="00753A11">
                  <w:pPr>
                    <w:rPr>
                      <w:b/>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17DA8D82" w14:textId="77777777" w:rsidR="00753A11" w:rsidRPr="00E5030A" w:rsidRDefault="00753A11" w:rsidP="000809F8">
                  <w:pPr>
                    <w:rPr>
                      <w:b/>
                      <w:sz w:val="20"/>
                    </w:rPr>
                  </w:pPr>
                  <w:r w:rsidRPr="00E5030A">
                    <w:rPr>
                      <w:i/>
                      <w:sz w:val="20"/>
                    </w:rPr>
                    <w:t xml:space="preserve">Procured Capacity for Responsive Reserve Amount per QSE </w:t>
                  </w:r>
                  <w:r w:rsidR="000809F8">
                    <w:rPr>
                      <w:i/>
                      <w:sz w:val="20"/>
                    </w:rPr>
                    <w:t>in</w:t>
                  </w:r>
                  <w:r w:rsidRPr="00E5030A">
                    <w:rPr>
                      <w:i/>
                      <w:sz w:val="20"/>
                    </w:rPr>
                    <w:t xml:space="preserve"> DAM</w:t>
                  </w:r>
                  <w:r w:rsidRPr="00E5030A">
                    <w:rPr>
                      <w:sz w:val="20"/>
                    </w:rPr>
                    <w:t xml:space="preserve">—The DAM RRS payment for QSE </w:t>
                  </w:r>
                  <w:r w:rsidRPr="00E5030A">
                    <w:rPr>
                      <w:i/>
                      <w:sz w:val="20"/>
                    </w:rPr>
                    <w:t>q</w:t>
                  </w:r>
                  <w:r w:rsidRPr="00E5030A">
                    <w:rPr>
                      <w:sz w:val="20"/>
                    </w:rPr>
                    <w:t>, for the hour.</w:t>
                  </w:r>
                </w:p>
              </w:tc>
            </w:tr>
            <w:tr w:rsidR="00753A11" w:rsidRPr="00E5030A" w14:paraId="08C1E744" w14:textId="77777777" w:rsidTr="002A7BFB">
              <w:tc>
                <w:tcPr>
                  <w:tcW w:w="1278" w:type="pct"/>
                  <w:tcBorders>
                    <w:top w:val="single" w:sz="4" w:space="0" w:color="auto"/>
                    <w:left w:val="single" w:sz="4" w:space="0" w:color="auto"/>
                    <w:bottom w:val="single" w:sz="4" w:space="0" w:color="auto"/>
                    <w:right w:val="single" w:sz="4" w:space="0" w:color="auto"/>
                  </w:tcBorders>
                </w:tcPr>
                <w:p w14:paraId="0607A2ED" w14:textId="77777777" w:rsidR="00753A11" w:rsidRPr="00E5030A" w:rsidRDefault="00753A11" w:rsidP="00753A11">
                  <w:pPr>
                    <w:spacing w:after="60"/>
                    <w:rPr>
                      <w:sz w:val="20"/>
                    </w:rPr>
                  </w:pPr>
                  <w:r w:rsidRPr="00E5030A">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E021505"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60ED4020" w14:textId="77777777" w:rsidR="00753A11" w:rsidRPr="00E5030A" w:rsidRDefault="00753A11" w:rsidP="00753A11">
                  <w:pPr>
                    <w:spacing w:after="60"/>
                    <w:rPr>
                      <w:sz w:val="20"/>
                    </w:rPr>
                  </w:pPr>
                  <w:r w:rsidRPr="00E5030A">
                    <w:rPr>
                      <w:i/>
                      <w:sz w:val="20"/>
                    </w:rPr>
                    <w:t>Procured Capacity for Responsive Reserve Amount Total in DAM</w:t>
                  </w:r>
                  <w:r w:rsidRPr="00E5030A">
                    <w:rPr>
                      <w:sz w:val="20"/>
                    </w:rPr>
                    <w:t>—The total of the DAM RRS payments for all QSEs, for the hour.</w:t>
                  </w:r>
                </w:p>
              </w:tc>
            </w:tr>
            <w:tr w:rsidR="00753A11" w:rsidRPr="00E5030A" w14:paraId="7B67B6B4" w14:textId="77777777" w:rsidTr="002A7BFB">
              <w:tc>
                <w:tcPr>
                  <w:tcW w:w="1278" w:type="pct"/>
                  <w:tcBorders>
                    <w:top w:val="single" w:sz="4" w:space="0" w:color="auto"/>
                    <w:left w:val="single" w:sz="4" w:space="0" w:color="auto"/>
                    <w:bottom w:val="single" w:sz="4" w:space="0" w:color="auto"/>
                    <w:right w:val="single" w:sz="4" w:space="0" w:color="auto"/>
                  </w:tcBorders>
                </w:tcPr>
                <w:p w14:paraId="11D1D4CD" w14:textId="77777777" w:rsidR="00753A11" w:rsidRPr="00E5030A" w:rsidRDefault="00753A11" w:rsidP="00753A11">
                  <w:pPr>
                    <w:spacing w:after="60"/>
                    <w:rPr>
                      <w:sz w:val="20"/>
                    </w:rPr>
                  </w:pPr>
                  <w:r w:rsidRPr="00E5030A">
                    <w:rPr>
                      <w:sz w:val="20"/>
                    </w:rPr>
                    <w:t>RRINFQAMTTOT</w:t>
                  </w:r>
                </w:p>
              </w:tc>
              <w:tc>
                <w:tcPr>
                  <w:tcW w:w="329" w:type="pct"/>
                  <w:tcBorders>
                    <w:top w:val="single" w:sz="4" w:space="0" w:color="auto"/>
                    <w:left w:val="single" w:sz="4" w:space="0" w:color="auto"/>
                    <w:bottom w:val="single" w:sz="4" w:space="0" w:color="auto"/>
                    <w:right w:val="single" w:sz="4" w:space="0" w:color="auto"/>
                  </w:tcBorders>
                </w:tcPr>
                <w:p w14:paraId="39DD7FAF"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017833CB" w14:textId="77777777" w:rsidR="00753A11" w:rsidRPr="00E5030A" w:rsidRDefault="00753A11" w:rsidP="00753A11">
                  <w:pPr>
                    <w:spacing w:after="60"/>
                    <w:rPr>
                      <w:i/>
                      <w:sz w:val="20"/>
                    </w:rPr>
                  </w:pPr>
                  <w:r w:rsidRPr="00E5030A">
                    <w:rPr>
                      <w:i/>
                      <w:sz w:val="20"/>
                    </w:rPr>
                    <w:t xml:space="preserve">Responsive Reserve Infeasible Quantity Amount Total </w:t>
                  </w:r>
                  <w:r w:rsidRPr="00E5030A">
                    <w:rPr>
                      <w:sz w:val="20"/>
                    </w:rPr>
                    <w:t>— The charge to all QSEs for their total capacity associated with infeasible deployment of Ancillary Service Supply Responsibilities for RRS, for the hour.</w:t>
                  </w:r>
                </w:p>
              </w:tc>
            </w:tr>
            <w:tr w:rsidR="00753A11" w:rsidRPr="00E5030A" w14:paraId="5808BA93" w14:textId="77777777" w:rsidTr="002A7BFB">
              <w:tc>
                <w:tcPr>
                  <w:tcW w:w="1278" w:type="pct"/>
                  <w:tcBorders>
                    <w:top w:val="single" w:sz="4" w:space="0" w:color="auto"/>
                    <w:left w:val="single" w:sz="4" w:space="0" w:color="auto"/>
                    <w:bottom w:val="single" w:sz="4" w:space="0" w:color="auto"/>
                    <w:right w:val="single" w:sz="4" w:space="0" w:color="auto"/>
                  </w:tcBorders>
                </w:tcPr>
                <w:p w14:paraId="54D90DED" w14:textId="77777777" w:rsidR="00753A11" w:rsidRPr="00E5030A" w:rsidRDefault="00753A11" w:rsidP="00753A11">
                  <w:pPr>
                    <w:spacing w:after="60"/>
                    <w:rPr>
                      <w:sz w:val="20"/>
                    </w:rPr>
                  </w:pPr>
                  <w:r w:rsidRPr="00E5030A">
                    <w:rPr>
                      <w:sz w:val="20"/>
                    </w:rPr>
                    <w:t xml:space="preserve">RRINFQAMT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5F8301D"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3D5A9B68" w14:textId="77777777" w:rsidR="00753A11" w:rsidRPr="00E5030A" w:rsidRDefault="00753A11" w:rsidP="00753A11">
                  <w:pPr>
                    <w:spacing w:after="60"/>
                    <w:rPr>
                      <w:i/>
                      <w:sz w:val="20"/>
                    </w:rPr>
                  </w:pPr>
                  <w:r w:rsidRPr="00E5030A">
                    <w:rPr>
                      <w:i/>
                      <w:sz w:val="20"/>
                    </w:rPr>
                    <w:t>Responsive Reserve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RRS, for the hour.</w:t>
                  </w:r>
                </w:p>
              </w:tc>
            </w:tr>
            <w:tr w:rsidR="00753A11" w:rsidRPr="00E5030A" w14:paraId="299C79BB" w14:textId="77777777" w:rsidTr="002A7BFB">
              <w:tc>
                <w:tcPr>
                  <w:tcW w:w="1278" w:type="pct"/>
                  <w:tcBorders>
                    <w:top w:val="single" w:sz="4" w:space="0" w:color="auto"/>
                    <w:left w:val="single" w:sz="4" w:space="0" w:color="auto"/>
                    <w:bottom w:val="single" w:sz="4" w:space="0" w:color="auto"/>
                    <w:right w:val="single" w:sz="4" w:space="0" w:color="auto"/>
                  </w:tcBorders>
                </w:tcPr>
                <w:p w14:paraId="61EA726A" w14:textId="77777777" w:rsidR="00753A11" w:rsidRPr="00E5030A" w:rsidRDefault="00753A11" w:rsidP="00753A11">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7A34449D"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423941C2" w14:textId="77777777" w:rsidR="00753A11" w:rsidRPr="00E5030A" w:rsidRDefault="00753A11" w:rsidP="00753A11">
                  <w:pPr>
                    <w:spacing w:after="60"/>
                    <w:rPr>
                      <w:iCs/>
                      <w:sz w:val="20"/>
                    </w:rPr>
                  </w:pPr>
                  <w:r w:rsidRPr="00E5030A">
                    <w:rPr>
                      <w:iCs/>
                      <w:sz w:val="20"/>
                    </w:rPr>
                    <w:t>A QSE.</w:t>
                  </w:r>
                </w:p>
              </w:tc>
            </w:tr>
            <w:tr w:rsidR="00753A11" w:rsidRPr="00E5030A" w14:paraId="1C53E3F3" w14:textId="77777777" w:rsidTr="002A7BFB">
              <w:tc>
                <w:tcPr>
                  <w:tcW w:w="1278" w:type="pct"/>
                  <w:tcBorders>
                    <w:top w:val="single" w:sz="4" w:space="0" w:color="auto"/>
                    <w:left w:val="single" w:sz="4" w:space="0" w:color="auto"/>
                    <w:bottom w:val="single" w:sz="4" w:space="0" w:color="auto"/>
                    <w:right w:val="single" w:sz="4" w:space="0" w:color="auto"/>
                  </w:tcBorders>
                </w:tcPr>
                <w:p w14:paraId="72F6D4FF" w14:textId="77777777" w:rsidR="00753A11" w:rsidRPr="00E5030A" w:rsidRDefault="00753A11" w:rsidP="00753A11">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2562138"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3D450815" w14:textId="77777777" w:rsidR="00753A11" w:rsidRPr="00E5030A" w:rsidRDefault="00753A11" w:rsidP="00753A11">
                  <w:pPr>
                    <w:spacing w:after="60"/>
                    <w:rPr>
                      <w:iCs/>
                      <w:sz w:val="20"/>
                    </w:rPr>
                  </w:pPr>
                  <w:r w:rsidRPr="00E5030A">
                    <w:rPr>
                      <w:iCs/>
                      <w:sz w:val="20"/>
                    </w:rPr>
                    <w:t>An Ancillary Service market (SASM or RSASM) for the given Operating Hour.</w:t>
                  </w:r>
                </w:p>
              </w:tc>
            </w:tr>
          </w:tbl>
          <w:p w14:paraId="595CB558" w14:textId="77777777" w:rsidR="00F2672B" w:rsidRPr="006C5A42" w:rsidRDefault="00F2672B" w:rsidP="002A7BFB">
            <w:pPr>
              <w:spacing w:after="240"/>
            </w:pPr>
          </w:p>
        </w:tc>
      </w:tr>
    </w:tbl>
    <w:p w14:paraId="7BFCC3D8" w14:textId="77777777" w:rsidR="008C5104" w:rsidRPr="007E46C9" w:rsidRDefault="008C5104" w:rsidP="008A4924">
      <w:pPr>
        <w:spacing w:before="240" w:after="240"/>
        <w:ind w:left="1440" w:hanging="720"/>
      </w:pPr>
      <w:r w:rsidRPr="007E46C9">
        <w:lastRenderedPageBreak/>
        <w:t>(b)</w:t>
      </w:r>
      <w:r w:rsidRPr="007E46C9">
        <w:tab/>
        <w:t>Each QSE’s share of the net total costs for RRS for the Operating Hour is calculated as follows:</w:t>
      </w:r>
    </w:p>
    <w:p w14:paraId="2AF23393" w14:textId="77777777" w:rsidR="008C5104" w:rsidRPr="007E46C9" w:rsidRDefault="008C5104" w:rsidP="008C5104">
      <w:pPr>
        <w:spacing w:after="240"/>
        <w:ind w:left="2880" w:hanging="2160"/>
        <w:rPr>
          <w:b/>
          <w:bCs/>
        </w:rPr>
      </w:pPr>
      <w:r w:rsidRPr="007E46C9">
        <w:rPr>
          <w:b/>
          <w:bCs/>
        </w:rPr>
        <w:t xml:space="preserve">RRCOST </w:t>
      </w:r>
      <w:r w:rsidRPr="007E46C9">
        <w:rPr>
          <w:b/>
          <w:bCs/>
          <w:i/>
          <w:vertAlign w:val="subscript"/>
        </w:rPr>
        <w:t>q</w:t>
      </w:r>
      <w:r w:rsidRPr="007E46C9">
        <w:rPr>
          <w:b/>
          <w:bCs/>
          <w:i/>
          <w:vertAlign w:val="subscript"/>
        </w:rPr>
        <w:tab/>
      </w:r>
      <w:r w:rsidRPr="007E46C9">
        <w:rPr>
          <w:b/>
          <w:bCs/>
        </w:rPr>
        <w:t>=</w:t>
      </w:r>
      <w:r w:rsidRPr="007E46C9">
        <w:rPr>
          <w:b/>
          <w:bCs/>
        </w:rPr>
        <w:tab/>
        <w:t xml:space="preserve">RRPR * RRQ </w:t>
      </w:r>
      <w:r w:rsidRPr="007E46C9">
        <w:rPr>
          <w:b/>
          <w:bCs/>
          <w:i/>
          <w:vertAlign w:val="subscript"/>
        </w:rPr>
        <w:t>q</w:t>
      </w:r>
    </w:p>
    <w:p w14:paraId="28B15CDB" w14:textId="77777777" w:rsidR="008C5104" w:rsidRPr="007E46C9" w:rsidRDefault="008C5104" w:rsidP="008C5104">
      <w:pPr>
        <w:spacing w:after="240"/>
        <w:rPr>
          <w:iCs/>
        </w:rPr>
      </w:pPr>
      <w:r w:rsidRPr="007E46C9">
        <w:rPr>
          <w:iCs/>
        </w:rPr>
        <w:t>Where:</w:t>
      </w:r>
    </w:p>
    <w:p w14:paraId="3743F7DB" w14:textId="77777777" w:rsidR="008C5104" w:rsidRPr="007E46C9" w:rsidRDefault="008C5104" w:rsidP="008C5104">
      <w:pPr>
        <w:spacing w:after="120"/>
        <w:ind w:leftChars="300" w:left="2880" w:hangingChars="900" w:hanging="2160"/>
        <w:rPr>
          <w:bCs/>
        </w:rPr>
      </w:pPr>
      <w:r w:rsidRPr="007E46C9">
        <w:rPr>
          <w:bCs/>
        </w:rPr>
        <w:t>RRPR</w:t>
      </w:r>
      <w:r w:rsidRPr="007E46C9">
        <w:rPr>
          <w:bCs/>
        </w:rPr>
        <w:tab/>
        <w:t>=</w:t>
      </w:r>
      <w:r w:rsidRPr="007E46C9">
        <w:rPr>
          <w:bCs/>
        </w:rPr>
        <w:tab/>
        <w:t>RRCOSTTOT / RRQTOT</w:t>
      </w:r>
    </w:p>
    <w:p w14:paraId="45884C2C" w14:textId="0C42650C" w:rsidR="008C5104" w:rsidRPr="007E46C9" w:rsidRDefault="008C5104" w:rsidP="008C5104">
      <w:pPr>
        <w:spacing w:after="120"/>
        <w:ind w:leftChars="300" w:left="2880" w:hangingChars="900" w:hanging="2160"/>
        <w:rPr>
          <w:bCs/>
        </w:rPr>
      </w:pPr>
      <w:r w:rsidRPr="007E46C9">
        <w:rPr>
          <w:bCs/>
        </w:rPr>
        <w:t>RRQTOT</w:t>
      </w:r>
      <w:r w:rsidRPr="007E46C9">
        <w:rPr>
          <w:bCs/>
        </w:rPr>
        <w:tab/>
        <w:t>=</w:t>
      </w:r>
      <w:r w:rsidRPr="007E46C9">
        <w:rPr>
          <w:bCs/>
        </w:rPr>
        <w:tab/>
      </w:r>
      <w:r w:rsidR="00A94020">
        <w:rPr>
          <w:bCs/>
          <w:noProof/>
          <w:position w:val="-22"/>
        </w:rPr>
        <w:drawing>
          <wp:inline distT="0" distB="0" distL="0" distR="0" wp14:anchorId="045856D3" wp14:editId="3280A4E3">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RRQ </w:t>
      </w:r>
      <w:r w:rsidRPr="007E46C9">
        <w:rPr>
          <w:bCs/>
          <w:i/>
          <w:vertAlign w:val="subscript"/>
        </w:rPr>
        <w:t>q</w:t>
      </w:r>
    </w:p>
    <w:p w14:paraId="18DF15FE" w14:textId="77777777" w:rsidR="008C5104" w:rsidRPr="007E46C9" w:rsidRDefault="008C5104" w:rsidP="008C5104">
      <w:pPr>
        <w:spacing w:after="120"/>
        <w:ind w:leftChars="300" w:left="2880" w:hangingChars="900" w:hanging="2160"/>
        <w:rPr>
          <w:bCs/>
          <w:lang w:val="es-ES"/>
        </w:rPr>
      </w:pPr>
      <w:r w:rsidRPr="007E46C9">
        <w:rPr>
          <w:bCs/>
          <w:lang w:val="es-ES"/>
        </w:rPr>
        <w:t xml:space="preserve">RRQ </w:t>
      </w:r>
      <w:r w:rsidRPr="007E46C9">
        <w:rPr>
          <w:bCs/>
          <w:i/>
          <w:vertAlign w:val="subscript"/>
          <w:lang w:val="es-ES"/>
        </w:rPr>
        <w:t>q</w:t>
      </w:r>
      <w:r w:rsidRPr="007E46C9">
        <w:rPr>
          <w:bCs/>
          <w:lang w:val="es-ES"/>
        </w:rPr>
        <w:tab/>
        <w:t>=</w:t>
      </w:r>
      <w:r w:rsidRPr="007E46C9">
        <w:rPr>
          <w:bCs/>
          <w:lang w:val="es-ES"/>
        </w:rPr>
        <w:tab/>
        <w:t xml:space="preserve">RRO </w:t>
      </w:r>
      <w:r w:rsidRPr="007E46C9">
        <w:rPr>
          <w:bCs/>
          <w:i/>
          <w:vertAlign w:val="subscript"/>
          <w:lang w:val="es-ES"/>
        </w:rPr>
        <w:t>q</w:t>
      </w:r>
      <w:r w:rsidRPr="007E46C9">
        <w:rPr>
          <w:bCs/>
          <w:lang w:val="es-ES"/>
        </w:rPr>
        <w:t xml:space="preserve"> – SARRQ </w:t>
      </w:r>
      <w:r w:rsidRPr="007E46C9">
        <w:rPr>
          <w:bCs/>
          <w:i/>
          <w:vertAlign w:val="subscript"/>
          <w:lang w:val="es-ES"/>
        </w:rPr>
        <w:t>q</w:t>
      </w:r>
    </w:p>
    <w:p w14:paraId="415B7B3A" w14:textId="1A679B93" w:rsidR="008C5104" w:rsidRPr="007E46C9" w:rsidRDefault="008C5104" w:rsidP="008C5104">
      <w:pPr>
        <w:spacing w:after="120"/>
        <w:ind w:leftChars="300" w:left="2880" w:hangingChars="900" w:hanging="2160"/>
        <w:rPr>
          <w:bCs/>
          <w:lang w:val="es-ES"/>
        </w:rPr>
      </w:pPr>
      <w:r w:rsidRPr="007E46C9">
        <w:rPr>
          <w:bCs/>
          <w:lang w:val="es-ES"/>
        </w:rPr>
        <w:t xml:space="preserve">RRO </w:t>
      </w:r>
      <w:r w:rsidRPr="007E46C9">
        <w:rPr>
          <w:bCs/>
          <w:i/>
          <w:vertAlign w:val="subscript"/>
          <w:lang w:val="es-ES"/>
        </w:rPr>
        <w:t>q</w:t>
      </w:r>
      <w:r w:rsidRPr="007E46C9">
        <w:rPr>
          <w:bCs/>
          <w:lang w:val="es-ES"/>
        </w:rPr>
        <w:tab/>
        <w:t>=</w:t>
      </w:r>
      <w:r w:rsidRPr="007E46C9">
        <w:rPr>
          <w:bCs/>
          <w:lang w:val="es-ES"/>
        </w:rPr>
        <w:tab/>
      </w:r>
      <w:r w:rsidR="00A94020">
        <w:rPr>
          <w:bCs/>
          <w:noProof/>
          <w:position w:val="-22"/>
        </w:rPr>
        <w:drawing>
          <wp:inline distT="0" distB="0" distL="0" distR="0" wp14:anchorId="4C079B71" wp14:editId="5117D588">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es-ES"/>
        </w:rPr>
        <w:t>(SARRQ</w:t>
      </w:r>
      <w:r w:rsidRPr="007E46C9">
        <w:rPr>
          <w:bCs/>
          <w:i/>
          <w:vertAlign w:val="subscript"/>
          <w:lang w:val="es-ES"/>
        </w:rPr>
        <w:t>q</w:t>
      </w:r>
      <w:r w:rsidRPr="007E46C9">
        <w:rPr>
          <w:bCs/>
          <w:lang w:val="es-ES"/>
        </w:rPr>
        <w:t xml:space="preserve"> + </w:t>
      </w:r>
      <w:r w:rsidR="00A94020">
        <w:rPr>
          <w:bCs/>
          <w:noProof/>
          <w:position w:val="-20"/>
        </w:rPr>
        <w:drawing>
          <wp:inline distT="0" distB="0" distL="0" distR="0" wp14:anchorId="5AE32021" wp14:editId="404BBF15">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es-ES"/>
        </w:rPr>
        <w:t xml:space="preserve">(RTPCRR </w:t>
      </w:r>
      <w:r w:rsidRPr="007E46C9">
        <w:rPr>
          <w:bCs/>
          <w:i/>
          <w:vertAlign w:val="subscript"/>
          <w:lang w:val="es-ES"/>
        </w:rPr>
        <w:t>q, m</w:t>
      </w:r>
      <w:r w:rsidRPr="007E46C9">
        <w:rPr>
          <w:bCs/>
          <w:lang w:val="es-ES"/>
        </w:rPr>
        <w:t xml:space="preserve">) + PCRR </w:t>
      </w:r>
      <w:r w:rsidRPr="007E46C9">
        <w:rPr>
          <w:bCs/>
          <w:i/>
          <w:vertAlign w:val="subscript"/>
          <w:lang w:val="es-ES"/>
        </w:rPr>
        <w:t>q</w:t>
      </w:r>
      <w:r w:rsidRPr="007E46C9">
        <w:rPr>
          <w:bCs/>
          <w:lang w:val="es-ES"/>
        </w:rPr>
        <w:t xml:space="preserve"> –  </w:t>
      </w:r>
    </w:p>
    <w:p w14:paraId="6D93449F" w14:textId="77777777" w:rsidR="008C5104" w:rsidRPr="007E46C9" w:rsidRDefault="008C5104" w:rsidP="008C5104">
      <w:pPr>
        <w:spacing w:after="120"/>
        <w:ind w:leftChars="1200" w:left="2880" w:firstLine="720"/>
        <w:rPr>
          <w:bCs/>
          <w:i/>
          <w:vertAlign w:val="subscript"/>
          <w:lang w:val="es-ES"/>
        </w:rPr>
      </w:pPr>
      <w:r w:rsidRPr="007E46C9">
        <w:rPr>
          <w:bCs/>
          <w:lang w:val="es-ES"/>
        </w:rPr>
        <w:t xml:space="preserve">RRFQ </w:t>
      </w:r>
      <w:r w:rsidRPr="007E46C9">
        <w:rPr>
          <w:bCs/>
          <w:i/>
          <w:vertAlign w:val="subscript"/>
          <w:lang w:val="es-ES"/>
        </w:rPr>
        <w:t>q</w:t>
      </w:r>
      <w:r w:rsidRPr="007E46C9">
        <w:rPr>
          <w:bCs/>
          <w:lang w:val="es-ES"/>
        </w:rPr>
        <w:t xml:space="preserve"> – RRRFQ </w:t>
      </w:r>
      <w:r w:rsidRPr="007E46C9">
        <w:rPr>
          <w:bCs/>
          <w:i/>
          <w:vertAlign w:val="subscript"/>
          <w:lang w:val="es-ES"/>
        </w:rPr>
        <w:t>q</w:t>
      </w:r>
      <w:r w:rsidRPr="007E46C9">
        <w:rPr>
          <w:bCs/>
          <w:lang w:val="es-ES"/>
        </w:rPr>
        <w:t xml:space="preserve">) * HLRS </w:t>
      </w:r>
      <w:r w:rsidRPr="007E46C9">
        <w:rPr>
          <w:bCs/>
          <w:i/>
          <w:vertAlign w:val="subscript"/>
          <w:lang w:val="es-ES"/>
        </w:rPr>
        <w:t>q</w:t>
      </w:r>
    </w:p>
    <w:p w14:paraId="45BC7ED3" w14:textId="77777777" w:rsidR="008C5104" w:rsidRPr="007E46C9" w:rsidRDefault="008C5104" w:rsidP="00EE4598">
      <w:pPr>
        <w:spacing w:after="240"/>
        <w:ind w:leftChars="300" w:left="2880" w:hangingChars="900" w:hanging="2160"/>
        <w:rPr>
          <w:bCs/>
          <w:lang w:val="fr-FR"/>
        </w:rPr>
      </w:pPr>
      <w:r w:rsidRPr="007E46C9">
        <w:rPr>
          <w:bCs/>
          <w:lang w:val="fr-FR"/>
        </w:rPr>
        <w:t xml:space="preserve">SARRQ </w:t>
      </w:r>
      <w:r w:rsidRPr="007E46C9">
        <w:rPr>
          <w:bCs/>
          <w:i/>
          <w:vertAlign w:val="subscript"/>
          <w:lang w:val="fr-FR"/>
        </w:rPr>
        <w:t>q</w:t>
      </w:r>
      <w:r w:rsidRPr="007E46C9">
        <w:rPr>
          <w:bCs/>
          <w:lang w:val="fr-FR"/>
        </w:rPr>
        <w:tab/>
        <w:t>=</w:t>
      </w:r>
      <w:r w:rsidRPr="007E46C9">
        <w:rPr>
          <w:bCs/>
          <w:lang w:val="fr-FR"/>
        </w:rPr>
        <w:tab/>
        <w:t xml:space="preserve">DASARRQ </w:t>
      </w:r>
      <w:r w:rsidRPr="007E46C9">
        <w:rPr>
          <w:bCs/>
          <w:i/>
          <w:vertAlign w:val="subscript"/>
          <w:lang w:val="fr-FR"/>
        </w:rPr>
        <w:t>q</w:t>
      </w:r>
      <w:r w:rsidRPr="007E46C9">
        <w:rPr>
          <w:bCs/>
          <w:lang w:val="fr-FR"/>
        </w:rPr>
        <w:t xml:space="preserve"> + RTSARRQ </w:t>
      </w:r>
      <w:r w:rsidRPr="007E46C9">
        <w:rPr>
          <w:bCs/>
          <w:i/>
          <w:vertAlign w:val="subscript"/>
          <w:lang w:val="fr-FR"/>
        </w:rPr>
        <w:t>q</w:t>
      </w:r>
    </w:p>
    <w:p w14:paraId="6B5A304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07890D68" w14:textId="77777777" w:rsidTr="008C5104">
        <w:trPr>
          <w:tblHeader/>
        </w:trPr>
        <w:tc>
          <w:tcPr>
            <w:tcW w:w="849" w:type="pct"/>
          </w:tcPr>
          <w:p w14:paraId="7DFA1204" w14:textId="77777777" w:rsidR="008C5104" w:rsidRPr="007E46C9" w:rsidRDefault="008C5104" w:rsidP="008C5104">
            <w:pPr>
              <w:keepNext/>
              <w:spacing w:after="120"/>
              <w:rPr>
                <w:b/>
                <w:iCs/>
                <w:sz w:val="20"/>
              </w:rPr>
            </w:pPr>
            <w:r w:rsidRPr="007E46C9">
              <w:rPr>
                <w:b/>
                <w:iCs/>
                <w:sz w:val="20"/>
              </w:rPr>
              <w:t>Variable</w:t>
            </w:r>
          </w:p>
        </w:tc>
        <w:tc>
          <w:tcPr>
            <w:tcW w:w="460" w:type="pct"/>
          </w:tcPr>
          <w:p w14:paraId="7D920C93" w14:textId="77777777" w:rsidR="008C5104" w:rsidRPr="007E46C9" w:rsidRDefault="008C5104" w:rsidP="008C5104">
            <w:pPr>
              <w:keepNext/>
              <w:spacing w:after="120"/>
              <w:rPr>
                <w:b/>
                <w:iCs/>
                <w:sz w:val="20"/>
              </w:rPr>
            </w:pPr>
            <w:r w:rsidRPr="007E46C9">
              <w:rPr>
                <w:b/>
                <w:iCs/>
                <w:sz w:val="20"/>
              </w:rPr>
              <w:t>Unit</w:t>
            </w:r>
          </w:p>
        </w:tc>
        <w:tc>
          <w:tcPr>
            <w:tcW w:w="3691" w:type="pct"/>
          </w:tcPr>
          <w:p w14:paraId="66F95D9C"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C68EE5B" w14:textId="77777777" w:rsidTr="008C5104">
        <w:tc>
          <w:tcPr>
            <w:tcW w:w="849" w:type="pct"/>
          </w:tcPr>
          <w:p w14:paraId="2FD3F931"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0" w:type="pct"/>
          </w:tcPr>
          <w:p w14:paraId="720B9F4B" w14:textId="77777777" w:rsidR="008C5104" w:rsidRPr="007E46C9" w:rsidRDefault="008C5104" w:rsidP="008C5104">
            <w:pPr>
              <w:keepNext/>
              <w:spacing w:after="60"/>
              <w:rPr>
                <w:iCs/>
                <w:sz w:val="20"/>
              </w:rPr>
            </w:pPr>
            <w:r w:rsidRPr="007E46C9">
              <w:rPr>
                <w:iCs/>
                <w:sz w:val="20"/>
              </w:rPr>
              <w:t>$</w:t>
            </w:r>
          </w:p>
        </w:tc>
        <w:tc>
          <w:tcPr>
            <w:tcW w:w="3691" w:type="pct"/>
          </w:tcPr>
          <w:p w14:paraId="42EAFFED" w14:textId="77777777" w:rsidR="008C5104" w:rsidRPr="007E46C9" w:rsidRDefault="008C5104" w:rsidP="008C5104">
            <w:pPr>
              <w:keepNext/>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6BA0DEFE" w14:textId="77777777" w:rsidTr="008C5104">
        <w:tc>
          <w:tcPr>
            <w:tcW w:w="849" w:type="pct"/>
            <w:tcBorders>
              <w:top w:val="single" w:sz="4" w:space="0" w:color="auto"/>
              <w:left w:val="single" w:sz="4" w:space="0" w:color="auto"/>
              <w:bottom w:val="single" w:sz="4" w:space="0" w:color="auto"/>
              <w:right w:val="single" w:sz="4" w:space="0" w:color="auto"/>
            </w:tcBorders>
          </w:tcPr>
          <w:p w14:paraId="708CE8EE" w14:textId="77777777" w:rsidR="008C5104" w:rsidRPr="007E46C9" w:rsidRDefault="008C5104" w:rsidP="008C5104">
            <w:pPr>
              <w:spacing w:after="60"/>
              <w:rPr>
                <w:iCs/>
                <w:sz w:val="20"/>
              </w:rPr>
            </w:pPr>
            <w:r w:rsidRPr="007E46C9">
              <w:rPr>
                <w:iCs/>
                <w:sz w:val="20"/>
              </w:rPr>
              <w:t>RRPR</w:t>
            </w:r>
          </w:p>
        </w:tc>
        <w:tc>
          <w:tcPr>
            <w:tcW w:w="460" w:type="pct"/>
            <w:tcBorders>
              <w:top w:val="single" w:sz="4" w:space="0" w:color="auto"/>
              <w:left w:val="single" w:sz="4" w:space="0" w:color="auto"/>
              <w:bottom w:val="single" w:sz="4" w:space="0" w:color="auto"/>
              <w:right w:val="single" w:sz="4" w:space="0" w:color="auto"/>
            </w:tcBorders>
          </w:tcPr>
          <w:p w14:paraId="68D0E46D"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0D80E14" w14:textId="77777777" w:rsidR="008C5104" w:rsidRPr="007E46C9" w:rsidRDefault="008C5104" w:rsidP="008C5104">
            <w:pPr>
              <w:spacing w:after="60"/>
              <w:rPr>
                <w:i/>
                <w:iCs/>
                <w:sz w:val="20"/>
              </w:rPr>
            </w:pPr>
            <w:r w:rsidRPr="007E46C9">
              <w:rPr>
                <w:i/>
                <w:iCs/>
                <w:sz w:val="20"/>
              </w:rPr>
              <w:t>Responsive Reserve Price—</w:t>
            </w:r>
            <w:r w:rsidRPr="007E46C9">
              <w:rPr>
                <w:iCs/>
                <w:sz w:val="20"/>
              </w:rPr>
              <w:t>The price for RRS calculated based on the net total costs for RRS, for the hour.</w:t>
            </w:r>
          </w:p>
        </w:tc>
      </w:tr>
      <w:tr w:rsidR="008C5104" w:rsidRPr="007E46C9" w14:paraId="14FCEA73" w14:textId="77777777" w:rsidTr="008C5104">
        <w:tc>
          <w:tcPr>
            <w:tcW w:w="849" w:type="pct"/>
            <w:tcBorders>
              <w:top w:val="single" w:sz="4" w:space="0" w:color="auto"/>
              <w:left w:val="single" w:sz="4" w:space="0" w:color="auto"/>
              <w:bottom w:val="single" w:sz="4" w:space="0" w:color="auto"/>
              <w:right w:val="single" w:sz="4" w:space="0" w:color="auto"/>
            </w:tcBorders>
          </w:tcPr>
          <w:p w14:paraId="1597AC4A" w14:textId="77777777" w:rsidR="008C5104" w:rsidRPr="007E46C9" w:rsidRDefault="008C5104" w:rsidP="008C5104">
            <w:pPr>
              <w:spacing w:after="60"/>
              <w:rPr>
                <w:iCs/>
                <w:sz w:val="20"/>
              </w:rPr>
            </w:pPr>
            <w:r w:rsidRPr="007E46C9">
              <w:rPr>
                <w:iCs/>
                <w:sz w:val="20"/>
              </w:rPr>
              <w:t>RRCOSTTOT</w:t>
            </w:r>
          </w:p>
        </w:tc>
        <w:tc>
          <w:tcPr>
            <w:tcW w:w="460" w:type="pct"/>
            <w:tcBorders>
              <w:top w:val="single" w:sz="4" w:space="0" w:color="auto"/>
              <w:left w:val="single" w:sz="4" w:space="0" w:color="auto"/>
              <w:bottom w:val="single" w:sz="4" w:space="0" w:color="auto"/>
              <w:right w:val="single" w:sz="4" w:space="0" w:color="auto"/>
            </w:tcBorders>
          </w:tcPr>
          <w:p w14:paraId="76B949A7"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3D4B8367" w14:textId="77777777" w:rsidR="008C5104" w:rsidRPr="007E46C9" w:rsidRDefault="008C5104" w:rsidP="008C5104">
            <w:pPr>
              <w:spacing w:after="60"/>
              <w:rPr>
                <w:i/>
                <w:iCs/>
                <w:sz w:val="20"/>
              </w:rPr>
            </w:pPr>
            <w:r w:rsidRPr="007E46C9">
              <w:rPr>
                <w:i/>
                <w:iCs/>
                <w:sz w:val="20"/>
              </w:rPr>
              <w:t>Responsive Reserve Cost Total</w:t>
            </w:r>
            <w:r w:rsidRPr="007E46C9">
              <w:rPr>
                <w:iCs/>
                <w:sz w:val="20"/>
              </w:rPr>
              <w:t>—The net total costs for RRS</w:t>
            </w:r>
            <w:r w:rsidR="00637160" w:rsidRPr="007E46C9">
              <w:rPr>
                <w:iCs/>
                <w:sz w:val="20"/>
              </w:rPr>
              <w:t>,</w:t>
            </w:r>
            <w:r w:rsidRPr="007E46C9">
              <w:rPr>
                <w:iCs/>
                <w:sz w:val="20"/>
              </w:rPr>
              <w:t xml:space="preserve"> for the hour.  See item</w:t>
            </w:r>
            <w:r w:rsidR="00637160">
              <w:rPr>
                <w:iCs/>
                <w:sz w:val="20"/>
              </w:rPr>
              <w:t xml:space="preserve"> (4)</w:t>
            </w:r>
            <w:r w:rsidRPr="007E46C9">
              <w:rPr>
                <w:iCs/>
                <w:sz w:val="20"/>
              </w:rPr>
              <w:t>(a) above.</w:t>
            </w:r>
          </w:p>
        </w:tc>
      </w:tr>
      <w:tr w:rsidR="008C5104" w:rsidRPr="007E46C9" w14:paraId="5FB45CC3" w14:textId="77777777" w:rsidTr="008C5104">
        <w:tc>
          <w:tcPr>
            <w:tcW w:w="849" w:type="pct"/>
            <w:tcBorders>
              <w:top w:val="single" w:sz="4" w:space="0" w:color="auto"/>
              <w:left w:val="single" w:sz="4" w:space="0" w:color="auto"/>
              <w:bottom w:val="single" w:sz="4" w:space="0" w:color="auto"/>
              <w:right w:val="single" w:sz="4" w:space="0" w:color="auto"/>
            </w:tcBorders>
          </w:tcPr>
          <w:p w14:paraId="45BB040F" w14:textId="77777777" w:rsidR="008C5104" w:rsidRPr="007E46C9" w:rsidRDefault="008C5104" w:rsidP="008C5104">
            <w:pPr>
              <w:spacing w:after="60"/>
              <w:rPr>
                <w:iCs/>
                <w:sz w:val="20"/>
              </w:rPr>
            </w:pPr>
            <w:r w:rsidRPr="007E46C9">
              <w:rPr>
                <w:iCs/>
                <w:sz w:val="20"/>
              </w:rPr>
              <w:t>RRQTOT</w:t>
            </w:r>
          </w:p>
        </w:tc>
        <w:tc>
          <w:tcPr>
            <w:tcW w:w="460" w:type="pct"/>
            <w:tcBorders>
              <w:top w:val="single" w:sz="4" w:space="0" w:color="auto"/>
              <w:left w:val="single" w:sz="4" w:space="0" w:color="auto"/>
              <w:bottom w:val="single" w:sz="4" w:space="0" w:color="auto"/>
              <w:right w:val="single" w:sz="4" w:space="0" w:color="auto"/>
            </w:tcBorders>
          </w:tcPr>
          <w:p w14:paraId="32979BD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D41C876" w14:textId="77777777" w:rsidR="008C5104" w:rsidRPr="007E46C9" w:rsidRDefault="008C5104" w:rsidP="008C5104">
            <w:pPr>
              <w:spacing w:after="60"/>
              <w:rPr>
                <w:i/>
                <w:iCs/>
                <w:sz w:val="20"/>
              </w:rPr>
            </w:pPr>
            <w:r w:rsidRPr="007E46C9">
              <w:rPr>
                <w:i/>
                <w:iCs/>
                <w:sz w:val="20"/>
              </w:rPr>
              <w:t>Responsive Reserve Quantity Total</w:t>
            </w:r>
            <w:r w:rsidRPr="007E46C9">
              <w:rPr>
                <w:iCs/>
                <w:sz w:val="20"/>
              </w:rPr>
              <w:t>—The sum of every QSE’s Ancillary Service Obligation minus its self-arranged RRS quantity in the DAM and any and all SASMs for the hour.</w:t>
            </w:r>
          </w:p>
        </w:tc>
      </w:tr>
      <w:tr w:rsidR="008C5104" w:rsidRPr="007E46C9" w14:paraId="67E3E2A3" w14:textId="77777777" w:rsidTr="008C5104">
        <w:tc>
          <w:tcPr>
            <w:tcW w:w="849" w:type="pct"/>
            <w:tcBorders>
              <w:top w:val="single" w:sz="4" w:space="0" w:color="auto"/>
              <w:left w:val="single" w:sz="4" w:space="0" w:color="auto"/>
              <w:bottom w:val="single" w:sz="4" w:space="0" w:color="auto"/>
              <w:right w:val="single" w:sz="4" w:space="0" w:color="auto"/>
            </w:tcBorders>
          </w:tcPr>
          <w:p w14:paraId="25579576" w14:textId="77777777" w:rsidR="008C5104" w:rsidRPr="007E46C9" w:rsidRDefault="008C5104" w:rsidP="008C5104">
            <w:pPr>
              <w:spacing w:after="60"/>
              <w:rPr>
                <w:iCs/>
                <w:sz w:val="20"/>
              </w:rPr>
            </w:pPr>
            <w:r w:rsidRPr="007E46C9">
              <w:rPr>
                <w:iCs/>
                <w:sz w:val="20"/>
              </w:rPr>
              <w:t xml:space="preserve">RRQ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C0D839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D7D3841" w14:textId="77777777" w:rsidR="008C5104" w:rsidRPr="007E46C9" w:rsidRDefault="008C5104" w:rsidP="008C5104">
            <w:pPr>
              <w:spacing w:after="60"/>
              <w:rPr>
                <w:i/>
                <w:iCs/>
                <w:sz w:val="20"/>
              </w:rPr>
            </w:pPr>
            <w:r w:rsidRPr="007E46C9">
              <w:rPr>
                <w:i/>
                <w:iCs/>
                <w:sz w:val="20"/>
              </w:rPr>
              <w:t>Responsive Reserve Quantity per QSE</w:t>
            </w:r>
            <w:r w:rsidRPr="007E46C9">
              <w:rPr>
                <w:iCs/>
                <w:sz w:val="20"/>
              </w:rPr>
              <w:t xml:space="preserve">—The QSE </w:t>
            </w:r>
            <w:r w:rsidRPr="007E46C9">
              <w:rPr>
                <w:i/>
                <w:iCs/>
                <w:sz w:val="20"/>
              </w:rPr>
              <w:t>q</w:t>
            </w:r>
            <w:r w:rsidRPr="007E46C9">
              <w:rPr>
                <w:iCs/>
                <w:sz w:val="20"/>
              </w:rPr>
              <w:t>’s Ancillary Service Obligation minus its self-arranged RRS quantity in the DAM and any and all SASMs</w:t>
            </w:r>
            <w:r w:rsidR="00EE4598" w:rsidRPr="007E46C9">
              <w:rPr>
                <w:iCs/>
                <w:sz w:val="20"/>
              </w:rPr>
              <w:t>,</w:t>
            </w:r>
            <w:r w:rsidRPr="007E46C9">
              <w:rPr>
                <w:iCs/>
                <w:sz w:val="20"/>
              </w:rPr>
              <w:t xml:space="preserve"> for the hour.</w:t>
            </w:r>
          </w:p>
        </w:tc>
      </w:tr>
      <w:tr w:rsidR="008C5104" w:rsidRPr="007E46C9" w14:paraId="41D29C61" w14:textId="77777777" w:rsidTr="008C5104">
        <w:tc>
          <w:tcPr>
            <w:tcW w:w="849" w:type="pct"/>
            <w:tcBorders>
              <w:top w:val="single" w:sz="4" w:space="0" w:color="auto"/>
              <w:left w:val="single" w:sz="4" w:space="0" w:color="auto"/>
              <w:bottom w:val="single" w:sz="4" w:space="0" w:color="auto"/>
              <w:right w:val="single" w:sz="4" w:space="0" w:color="auto"/>
            </w:tcBorders>
          </w:tcPr>
          <w:p w14:paraId="2C7A7CEE" w14:textId="77777777" w:rsidR="008C5104" w:rsidRPr="007E46C9" w:rsidRDefault="008C5104" w:rsidP="008C5104">
            <w:pPr>
              <w:spacing w:after="60"/>
              <w:rPr>
                <w:iCs/>
                <w:sz w:val="20"/>
              </w:rPr>
            </w:pPr>
            <w:r w:rsidRPr="007E46C9">
              <w:rPr>
                <w:iCs/>
                <w:sz w:val="20"/>
              </w:rPr>
              <w:lastRenderedPageBreak/>
              <w:t xml:space="preserve">RRO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21777A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955F632" w14:textId="77777777" w:rsidR="008C5104" w:rsidRPr="007E46C9" w:rsidRDefault="008C5104" w:rsidP="008C5104">
            <w:pPr>
              <w:spacing w:after="60"/>
              <w:rPr>
                <w:i/>
                <w:iCs/>
                <w:sz w:val="20"/>
              </w:rPr>
            </w:pPr>
            <w:r w:rsidRPr="007E46C9">
              <w:rPr>
                <w:i/>
                <w:iCs/>
                <w:sz w:val="20"/>
              </w:rPr>
              <w:t>Responsive Reserve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22559452" w14:textId="77777777" w:rsidTr="008C5104">
        <w:tc>
          <w:tcPr>
            <w:tcW w:w="849" w:type="pct"/>
            <w:tcBorders>
              <w:top w:val="single" w:sz="4" w:space="0" w:color="auto"/>
              <w:left w:val="single" w:sz="4" w:space="0" w:color="auto"/>
              <w:bottom w:val="single" w:sz="4" w:space="0" w:color="auto"/>
              <w:right w:val="single" w:sz="4" w:space="0" w:color="auto"/>
            </w:tcBorders>
          </w:tcPr>
          <w:p w14:paraId="47C60244" w14:textId="77777777" w:rsidR="008C5104" w:rsidRPr="007E46C9" w:rsidRDefault="008C5104" w:rsidP="008C5104">
            <w:pPr>
              <w:spacing w:after="60"/>
              <w:rPr>
                <w:iCs/>
                <w:sz w:val="20"/>
              </w:rPr>
            </w:pPr>
            <w:r w:rsidRPr="007E46C9">
              <w:rPr>
                <w:iCs/>
                <w:sz w:val="20"/>
              </w:rPr>
              <w:t>DASARRQ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251BA0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45B6C46" w14:textId="77777777" w:rsidR="008C5104" w:rsidRPr="007E46C9" w:rsidRDefault="008C5104" w:rsidP="008C5104">
            <w:pPr>
              <w:spacing w:after="60"/>
              <w:rPr>
                <w:i/>
                <w:iCs/>
                <w:sz w:val="20"/>
              </w:rPr>
            </w:pPr>
            <w:r w:rsidRPr="007E46C9">
              <w:rPr>
                <w:i/>
                <w:iCs/>
                <w:sz w:val="20"/>
              </w:rPr>
              <w:t>Day-Ahead Self-Arranged Responsive Reserve Quantity per QSE</w:t>
            </w:r>
            <w:r w:rsidRPr="007E46C9">
              <w:rPr>
                <w:iCs/>
                <w:sz w:val="20"/>
              </w:rPr>
              <w:t xml:space="preserve">—The self-arranged RRS quantity submitted by QSE </w:t>
            </w:r>
            <w:r w:rsidRPr="007E46C9">
              <w:rPr>
                <w:i/>
                <w:iCs/>
                <w:sz w:val="20"/>
              </w:rPr>
              <w:t>q</w:t>
            </w:r>
            <w:r w:rsidRPr="007E46C9">
              <w:rPr>
                <w:iCs/>
                <w:sz w:val="20"/>
              </w:rPr>
              <w:t xml:space="preserve"> before 1000 in the Day-Ahead.</w:t>
            </w:r>
          </w:p>
        </w:tc>
      </w:tr>
      <w:tr w:rsidR="008C5104" w:rsidRPr="007E46C9" w14:paraId="765E1431" w14:textId="77777777" w:rsidTr="008C5104">
        <w:tc>
          <w:tcPr>
            <w:tcW w:w="849" w:type="pct"/>
            <w:tcBorders>
              <w:top w:val="single" w:sz="4" w:space="0" w:color="auto"/>
              <w:left w:val="single" w:sz="4" w:space="0" w:color="auto"/>
              <w:bottom w:val="single" w:sz="4" w:space="0" w:color="auto"/>
              <w:right w:val="single" w:sz="4" w:space="0" w:color="auto"/>
            </w:tcBorders>
          </w:tcPr>
          <w:p w14:paraId="4827CDED" w14:textId="77777777" w:rsidR="008C5104" w:rsidRPr="007E46C9" w:rsidRDefault="008C5104" w:rsidP="008C5104">
            <w:pPr>
              <w:spacing w:after="60"/>
              <w:rPr>
                <w:iCs/>
                <w:sz w:val="20"/>
              </w:rPr>
            </w:pPr>
            <w:r w:rsidRPr="007E46C9">
              <w:rPr>
                <w:iCs/>
                <w:sz w:val="20"/>
              </w:rPr>
              <w:t>RTSARRQ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13E98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8F266CA" w14:textId="77777777" w:rsidR="008C5104" w:rsidRPr="007E46C9" w:rsidRDefault="008C5104" w:rsidP="008C5104">
            <w:pPr>
              <w:spacing w:after="60"/>
              <w:rPr>
                <w:i/>
                <w:iCs/>
                <w:sz w:val="20"/>
              </w:rPr>
            </w:pPr>
            <w:r w:rsidRPr="007E46C9">
              <w:rPr>
                <w:i/>
                <w:iCs/>
                <w:sz w:val="20"/>
              </w:rPr>
              <w:t>Self-Arranged Responsive Reserve Quantity per QSE for all SASMs</w:t>
            </w:r>
            <w:r w:rsidRPr="007E46C9">
              <w:rPr>
                <w:iCs/>
                <w:sz w:val="20"/>
              </w:rPr>
              <w:t xml:space="preserve">—The sum of all self-arranged RRS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1D302BFE" w14:textId="77777777" w:rsidTr="008C5104">
        <w:tc>
          <w:tcPr>
            <w:tcW w:w="849" w:type="pct"/>
            <w:tcBorders>
              <w:top w:val="single" w:sz="4" w:space="0" w:color="auto"/>
              <w:left w:val="single" w:sz="4" w:space="0" w:color="auto"/>
              <w:bottom w:val="single" w:sz="4" w:space="0" w:color="auto"/>
              <w:right w:val="single" w:sz="4" w:space="0" w:color="auto"/>
            </w:tcBorders>
          </w:tcPr>
          <w:p w14:paraId="1239A094" w14:textId="77777777" w:rsidR="008C5104" w:rsidRPr="007E46C9" w:rsidRDefault="008C5104" w:rsidP="008C5104">
            <w:pPr>
              <w:spacing w:after="60"/>
              <w:rPr>
                <w:iCs/>
                <w:sz w:val="20"/>
              </w:rPr>
            </w:pPr>
            <w:r w:rsidRPr="007E46C9">
              <w:rPr>
                <w:iCs/>
                <w:sz w:val="20"/>
              </w:rPr>
              <w:t xml:space="preserve">RTPCRR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47D1FC2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DC301FD" w14:textId="77777777" w:rsidR="008C5104" w:rsidRPr="007E46C9" w:rsidRDefault="008C5104" w:rsidP="008C5104">
            <w:pPr>
              <w:spacing w:after="60"/>
              <w:rPr>
                <w:i/>
                <w:iCs/>
                <w:sz w:val="20"/>
              </w:rPr>
            </w:pPr>
            <w:r w:rsidRPr="007E46C9">
              <w:rPr>
                <w:i/>
                <w:iCs/>
                <w:sz w:val="20"/>
              </w:rPr>
              <w:t>Procured Capacity for Responsive Reserve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RRS, for the hour.</w:t>
            </w:r>
          </w:p>
        </w:tc>
      </w:tr>
      <w:tr w:rsidR="008C5104" w:rsidRPr="007E46C9" w14:paraId="2C0A7CCC" w14:textId="77777777" w:rsidTr="008C5104">
        <w:tc>
          <w:tcPr>
            <w:tcW w:w="849" w:type="pct"/>
            <w:tcBorders>
              <w:top w:val="single" w:sz="4" w:space="0" w:color="auto"/>
              <w:left w:val="single" w:sz="4" w:space="0" w:color="auto"/>
              <w:bottom w:val="single" w:sz="4" w:space="0" w:color="auto"/>
              <w:right w:val="single" w:sz="4" w:space="0" w:color="auto"/>
            </w:tcBorders>
          </w:tcPr>
          <w:p w14:paraId="5C146406" w14:textId="77777777" w:rsidR="008C5104" w:rsidRPr="007E46C9" w:rsidRDefault="008C5104" w:rsidP="008C5104">
            <w:pPr>
              <w:spacing w:after="60"/>
              <w:rPr>
                <w:iCs/>
                <w:sz w:val="20"/>
              </w:rPr>
            </w:pPr>
            <w:r w:rsidRPr="007E46C9">
              <w:rPr>
                <w:iCs/>
                <w:sz w:val="20"/>
              </w:rPr>
              <w:t xml:space="preserve">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4E0F3A"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EAADDC3" w14:textId="77777777" w:rsidR="008C5104" w:rsidRPr="007E46C9" w:rsidRDefault="008C5104" w:rsidP="008C5104">
            <w:pPr>
              <w:spacing w:after="60"/>
              <w:rPr>
                <w:iCs/>
                <w:sz w:val="20"/>
              </w:rPr>
            </w:pPr>
            <w:r w:rsidRPr="007E46C9">
              <w:rPr>
                <w:i/>
                <w:iCs/>
                <w:sz w:val="20"/>
              </w:rPr>
              <w:t>Responsive Reserve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RRS, for the hour.</w:t>
            </w:r>
          </w:p>
        </w:tc>
      </w:tr>
      <w:tr w:rsidR="008C5104" w:rsidRPr="007E46C9" w14:paraId="516C530D" w14:textId="77777777" w:rsidTr="008C5104">
        <w:tc>
          <w:tcPr>
            <w:tcW w:w="849" w:type="pct"/>
            <w:tcBorders>
              <w:top w:val="single" w:sz="4" w:space="0" w:color="auto"/>
              <w:left w:val="single" w:sz="4" w:space="0" w:color="auto"/>
              <w:bottom w:val="single" w:sz="4" w:space="0" w:color="auto"/>
              <w:right w:val="single" w:sz="4" w:space="0" w:color="auto"/>
            </w:tcBorders>
          </w:tcPr>
          <w:p w14:paraId="29627ACC" w14:textId="77777777" w:rsidR="008C5104" w:rsidRPr="007E46C9" w:rsidRDefault="008C5104" w:rsidP="008C5104">
            <w:pPr>
              <w:spacing w:after="60"/>
              <w:rPr>
                <w:iCs/>
                <w:sz w:val="20"/>
              </w:rPr>
            </w:pPr>
            <w:r w:rsidRPr="007E46C9">
              <w:rPr>
                <w:sz w:val="20"/>
              </w:rPr>
              <w:t xml:space="preserve">RRRFQ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20DB209"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73D984" w14:textId="77777777" w:rsidR="008C5104" w:rsidRPr="007E46C9" w:rsidRDefault="008C5104" w:rsidP="008C5104">
            <w:pPr>
              <w:spacing w:after="60"/>
              <w:rPr>
                <w:i/>
                <w:iCs/>
                <w:sz w:val="20"/>
              </w:rPr>
            </w:pPr>
            <w:r w:rsidRPr="007E46C9">
              <w:rPr>
                <w:i/>
                <w:sz w:val="20"/>
              </w:rPr>
              <w:t>Reconfiguration Responsive Reserve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RRS, for the hour.</w:t>
            </w:r>
          </w:p>
        </w:tc>
      </w:tr>
      <w:tr w:rsidR="008C5104" w:rsidRPr="007E46C9" w14:paraId="2ADBAC7E" w14:textId="77777777" w:rsidTr="008C5104">
        <w:tc>
          <w:tcPr>
            <w:tcW w:w="849" w:type="pct"/>
            <w:tcBorders>
              <w:top w:val="single" w:sz="4" w:space="0" w:color="auto"/>
              <w:left w:val="single" w:sz="4" w:space="0" w:color="auto"/>
              <w:bottom w:val="single" w:sz="4" w:space="0" w:color="auto"/>
              <w:right w:val="single" w:sz="4" w:space="0" w:color="auto"/>
            </w:tcBorders>
          </w:tcPr>
          <w:p w14:paraId="43BAF91B"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6F36369"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239B4D8"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2DE4BC1A" w14:textId="77777777" w:rsidTr="008C5104">
        <w:tc>
          <w:tcPr>
            <w:tcW w:w="849" w:type="pct"/>
            <w:tcBorders>
              <w:top w:val="single" w:sz="4" w:space="0" w:color="auto"/>
              <w:left w:val="single" w:sz="4" w:space="0" w:color="auto"/>
              <w:bottom w:val="single" w:sz="4" w:space="0" w:color="auto"/>
              <w:right w:val="single" w:sz="4" w:space="0" w:color="auto"/>
            </w:tcBorders>
          </w:tcPr>
          <w:p w14:paraId="48753883" w14:textId="77777777" w:rsidR="008C5104" w:rsidRPr="007E46C9" w:rsidRDefault="008C5104" w:rsidP="008C5104">
            <w:pPr>
              <w:rPr>
                <w:sz w:val="20"/>
              </w:rPr>
            </w:pPr>
            <w:r w:rsidRPr="007E46C9">
              <w:rPr>
                <w:sz w:val="20"/>
              </w:rPr>
              <w:t xml:space="preserve">PCRR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5405D227"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7E5C16D4" w14:textId="77777777" w:rsidR="008C5104" w:rsidRPr="007E46C9" w:rsidRDefault="008C5104" w:rsidP="008C5104">
            <w:pPr>
              <w:rPr>
                <w:sz w:val="20"/>
              </w:rPr>
            </w:pPr>
            <w:r w:rsidRPr="007E46C9">
              <w:rPr>
                <w:i/>
                <w:sz w:val="20"/>
              </w:rPr>
              <w:t>Procured Capacity for Responsive Reserve per QSE in DAM</w:t>
            </w:r>
            <w:r w:rsidRPr="007E46C9">
              <w:rPr>
                <w:sz w:val="20"/>
              </w:rPr>
              <w:t xml:space="preserve">—The total RRS capacity quantity awarded to QSE </w:t>
            </w:r>
            <w:r w:rsidRPr="007E46C9">
              <w:rPr>
                <w:i/>
                <w:sz w:val="20"/>
              </w:rPr>
              <w:t>q</w:t>
            </w:r>
            <w:r w:rsidRPr="007E46C9">
              <w:rPr>
                <w:sz w:val="20"/>
              </w:rPr>
              <w:t xml:space="preserve"> in the DAM for all the Resources represented by the QSE</w:t>
            </w:r>
            <w:r w:rsidR="00637160" w:rsidRPr="007E46C9">
              <w:rPr>
                <w:sz w:val="20"/>
              </w:rPr>
              <w:t>,</w:t>
            </w:r>
            <w:r w:rsidRPr="007E46C9">
              <w:rPr>
                <w:sz w:val="20"/>
              </w:rPr>
              <w:t xml:space="preserve"> for the hour.</w:t>
            </w:r>
          </w:p>
        </w:tc>
      </w:tr>
      <w:tr w:rsidR="008C5104" w:rsidRPr="007E46C9" w14:paraId="6FF34B5C" w14:textId="77777777" w:rsidTr="008C5104">
        <w:tc>
          <w:tcPr>
            <w:tcW w:w="849" w:type="pct"/>
            <w:tcBorders>
              <w:top w:val="single" w:sz="4" w:space="0" w:color="auto"/>
              <w:left w:val="single" w:sz="4" w:space="0" w:color="auto"/>
              <w:bottom w:val="single" w:sz="4" w:space="0" w:color="auto"/>
              <w:right w:val="single" w:sz="4" w:space="0" w:color="auto"/>
            </w:tcBorders>
          </w:tcPr>
          <w:p w14:paraId="3B10F94D" w14:textId="77777777" w:rsidR="008C5104" w:rsidRPr="007E46C9" w:rsidRDefault="008C5104" w:rsidP="008C5104">
            <w:pPr>
              <w:spacing w:after="60"/>
              <w:rPr>
                <w:sz w:val="20"/>
              </w:rPr>
            </w:pPr>
            <w:r w:rsidRPr="007E46C9">
              <w:rPr>
                <w:sz w:val="20"/>
              </w:rPr>
              <w:t xml:space="preserve">SARRQ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38E03C"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1FF086E" w14:textId="77777777" w:rsidR="008C5104" w:rsidRPr="007E46C9" w:rsidRDefault="008C5104" w:rsidP="008C5104">
            <w:pPr>
              <w:spacing w:after="60"/>
              <w:rPr>
                <w:i/>
                <w:sz w:val="20"/>
              </w:rPr>
            </w:pPr>
            <w:r w:rsidRPr="007E46C9">
              <w:rPr>
                <w:i/>
                <w:sz w:val="20"/>
              </w:rPr>
              <w:t>Total Self-Arranged Responsive Reserve Quantity per QSE for all markets</w:t>
            </w:r>
            <w:r w:rsidRPr="007E46C9">
              <w:rPr>
                <w:sz w:val="20"/>
              </w:rPr>
              <w:t xml:space="preserve">—The sum of all self-arranged RRS quantities submitted by QSE </w:t>
            </w:r>
            <w:r w:rsidRPr="007E46C9">
              <w:rPr>
                <w:i/>
                <w:sz w:val="20"/>
              </w:rPr>
              <w:t>q</w:t>
            </w:r>
            <w:r w:rsidRPr="007E46C9">
              <w:rPr>
                <w:sz w:val="20"/>
              </w:rPr>
              <w:t xml:space="preserve"> for DAM and all SASMs.</w:t>
            </w:r>
          </w:p>
        </w:tc>
      </w:tr>
      <w:tr w:rsidR="008C5104" w:rsidRPr="007E46C9" w14:paraId="59E5EDBD" w14:textId="77777777" w:rsidTr="008C5104">
        <w:tc>
          <w:tcPr>
            <w:tcW w:w="849" w:type="pct"/>
            <w:tcBorders>
              <w:top w:val="single" w:sz="4" w:space="0" w:color="auto"/>
              <w:left w:val="single" w:sz="4" w:space="0" w:color="auto"/>
              <w:bottom w:val="single" w:sz="4" w:space="0" w:color="auto"/>
              <w:right w:val="single" w:sz="4" w:space="0" w:color="auto"/>
            </w:tcBorders>
          </w:tcPr>
          <w:p w14:paraId="639EFBBC"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52C4A1D"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F242D2C" w14:textId="77777777" w:rsidR="008C5104" w:rsidRPr="007E46C9" w:rsidRDefault="008C5104" w:rsidP="008C5104">
            <w:pPr>
              <w:spacing w:after="60"/>
              <w:rPr>
                <w:iCs/>
                <w:sz w:val="20"/>
              </w:rPr>
            </w:pPr>
            <w:r w:rsidRPr="007E46C9">
              <w:rPr>
                <w:iCs/>
                <w:sz w:val="20"/>
              </w:rPr>
              <w:t>A QSE.</w:t>
            </w:r>
          </w:p>
        </w:tc>
      </w:tr>
      <w:tr w:rsidR="008C5104" w:rsidRPr="007E46C9" w14:paraId="197E241E" w14:textId="77777777" w:rsidTr="008C5104">
        <w:tc>
          <w:tcPr>
            <w:tcW w:w="849" w:type="pct"/>
            <w:tcBorders>
              <w:top w:val="single" w:sz="4" w:space="0" w:color="auto"/>
              <w:left w:val="single" w:sz="4" w:space="0" w:color="auto"/>
              <w:bottom w:val="single" w:sz="4" w:space="0" w:color="auto"/>
              <w:right w:val="single" w:sz="4" w:space="0" w:color="auto"/>
            </w:tcBorders>
          </w:tcPr>
          <w:p w14:paraId="64DE5622"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409B3476"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D38721A"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173C501E" w14:textId="77777777" w:rsidR="008C5104" w:rsidRPr="007E46C9" w:rsidRDefault="008C5104" w:rsidP="008C5104"/>
    <w:p w14:paraId="7FDA51BB" w14:textId="77777777" w:rsidR="008C5104" w:rsidRPr="007E46C9" w:rsidRDefault="008C5104" w:rsidP="008C5104">
      <w:pPr>
        <w:spacing w:after="240"/>
        <w:ind w:left="1440" w:hanging="720"/>
      </w:pPr>
      <w:r w:rsidRPr="007E46C9">
        <w:t>(c)</w:t>
      </w:r>
      <w:r w:rsidRPr="007E46C9">
        <w:tab/>
        <w:t>The adjustment to each QSE’s DAM charge for the RRS for the Operating Hour, due to changes during the Adjustment Period or Real-Time operations, is calculated as follows:</w:t>
      </w:r>
    </w:p>
    <w:p w14:paraId="757E7408" w14:textId="77777777" w:rsidR="008C5104" w:rsidRPr="007E46C9" w:rsidRDefault="008C5104" w:rsidP="008C5104">
      <w:pPr>
        <w:spacing w:after="240"/>
        <w:ind w:left="2880" w:hanging="2160"/>
        <w:rPr>
          <w:b/>
          <w:bCs/>
          <w:lang w:val="pt-BR"/>
        </w:rPr>
      </w:pPr>
      <w:r w:rsidRPr="007E46C9">
        <w:rPr>
          <w:b/>
          <w:bCs/>
          <w:lang w:val="pt-BR"/>
        </w:rPr>
        <w:t xml:space="preserve">RTRRAMT </w:t>
      </w:r>
      <w:r w:rsidRPr="007E46C9">
        <w:rPr>
          <w:b/>
          <w:bCs/>
          <w:i/>
          <w:vertAlign w:val="subscript"/>
          <w:lang w:val="pt-BR"/>
        </w:rPr>
        <w:t>q</w:t>
      </w:r>
      <w:r w:rsidRPr="007E46C9">
        <w:rPr>
          <w:b/>
          <w:bCs/>
          <w:lang w:val="pt-BR"/>
        </w:rPr>
        <w:tab/>
        <w:t>=</w:t>
      </w:r>
      <w:r w:rsidRPr="007E46C9">
        <w:rPr>
          <w:b/>
          <w:bCs/>
          <w:lang w:val="pt-BR"/>
        </w:rPr>
        <w:tab/>
        <w:t xml:space="preserve">RRCOST </w:t>
      </w:r>
      <w:r w:rsidRPr="007E46C9">
        <w:rPr>
          <w:b/>
          <w:bCs/>
          <w:i/>
          <w:vertAlign w:val="subscript"/>
          <w:lang w:val="pt-BR"/>
        </w:rPr>
        <w:t>q</w:t>
      </w:r>
      <w:r w:rsidRPr="007E46C9">
        <w:rPr>
          <w:b/>
          <w:bCs/>
          <w:lang w:val="pt-BR"/>
        </w:rPr>
        <w:t xml:space="preserve"> – DARRAMT </w:t>
      </w:r>
      <w:r w:rsidRPr="007E46C9">
        <w:rPr>
          <w:b/>
          <w:bCs/>
          <w:i/>
          <w:vertAlign w:val="subscript"/>
          <w:lang w:val="pt-BR"/>
        </w:rPr>
        <w:t>q</w:t>
      </w:r>
    </w:p>
    <w:p w14:paraId="0F3655EA"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137C8ADC" w14:textId="77777777" w:rsidTr="008C5104">
        <w:trPr>
          <w:cantSplit/>
        </w:trPr>
        <w:tc>
          <w:tcPr>
            <w:tcW w:w="824" w:type="pct"/>
          </w:tcPr>
          <w:p w14:paraId="328AA0FD" w14:textId="77777777" w:rsidR="008C5104" w:rsidRPr="007E46C9" w:rsidRDefault="008C5104" w:rsidP="008C5104">
            <w:pPr>
              <w:spacing w:after="120"/>
              <w:rPr>
                <w:b/>
                <w:iCs/>
                <w:sz w:val="20"/>
              </w:rPr>
            </w:pPr>
            <w:r w:rsidRPr="007E46C9">
              <w:rPr>
                <w:b/>
                <w:iCs/>
                <w:sz w:val="20"/>
              </w:rPr>
              <w:t>Variable</w:t>
            </w:r>
          </w:p>
        </w:tc>
        <w:tc>
          <w:tcPr>
            <w:tcW w:w="463" w:type="pct"/>
          </w:tcPr>
          <w:p w14:paraId="0B4EDF7B" w14:textId="77777777" w:rsidR="008C5104" w:rsidRPr="007E46C9" w:rsidRDefault="008C5104" w:rsidP="008C5104">
            <w:pPr>
              <w:spacing w:after="120"/>
              <w:rPr>
                <w:b/>
                <w:iCs/>
                <w:sz w:val="20"/>
              </w:rPr>
            </w:pPr>
            <w:r w:rsidRPr="007E46C9">
              <w:rPr>
                <w:b/>
                <w:iCs/>
                <w:sz w:val="20"/>
              </w:rPr>
              <w:t>Unit</w:t>
            </w:r>
          </w:p>
        </w:tc>
        <w:tc>
          <w:tcPr>
            <w:tcW w:w="3713" w:type="pct"/>
          </w:tcPr>
          <w:p w14:paraId="6BE035CB" w14:textId="77777777" w:rsidR="008C5104" w:rsidRPr="007E46C9" w:rsidRDefault="008C5104" w:rsidP="008C5104">
            <w:pPr>
              <w:spacing w:after="120"/>
              <w:rPr>
                <w:b/>
                <w:iCs/>
                <w:sz w:val="20"/>
              </w:rPr>
            </w:pPr>
            <w:r w:rsidRPr="007E46C9">
              <w:rPr>
                <w:b/>
                <w:iCs/>
                <w:sz w:val="20"/>
              </w:rPr>
              <w:t>Description</w:t>
            </w:r>
          </w:p>
        </w:tc>
      </w:tr>
      <w:tr w:rsidR="008C5104" w:rsidRPr="007E46C9" w14:paraId="4AB47D44" w14:textId="77777777" w:rsidTr="008C5104">
        <w:trPr>
          <w:cantSplit/>
        </w:trPr>
        <w:tc>
          <w:tcPr>
            <w:tcW w:w="824" w:type="pct"/>
          </w:tcPr>
          <w:p w14:paraId="2BE7D2CB" w14:textId="77777777" w:rsidR="008C5104" w:rsidRPr="007E46C9" w:rsidRDefault="008C5104" w:rsidP="008C5104">
            <w:pPr>
              <w:spacing w:after="60"/>
              <w:rPr>
                <w:iCs/>
                <w:sz w:val="20"/>
              </w:rPr>
            </w:pPr>
            <w:r w:rsidRPr="007E46C9">
              <w:rPr>
                <w:iCs/>
                <w:sz w:val="20"/>
              </w:rPr>
              <w:t xml:space="preserve">RTRRAMT </w:t>
            </w:r>
            <w:r w:rsidRPr="007E46C9">
              <w:rPr>
                <w:i/>
                <w:iCs/>
                <w:sz w:val="20"/>
                <w:vertAlign w:val="subscript"/>
              </w:rPr>
              <w:t>q</w:t>
            </w:r>
          </w:p>
        </w:tc>
        <w:tc>
          <w:tcPr>
            <w:tcW w:w="463" w:type="pct"/>
          </w:tcPr>
          <w:p w14:paraId="778E8A69" w14:textId="77777777" w:rsidR="008C5104" w:rsidRPr="007E46C9" w:rsidRDefault="008C5104" w:rsidP="008C5104">
            <w:pPr>
              <w:spacing w:after="60"/>
              <w:rPr>
                <w:iCs/>
                <w:sz w:val="20"/>
              </w:rPr>
            </w:pPr>
            <w:r w:rsidRPr="007E46C9">
              <w:rPr>
                <w:iCs/>
                <w:sz w:val="20"/>
              </w:rPr>
              <w:t>$</w:t>
            </w:r>
          </w:p>
        </w:tc>
        <w:tc>
          <w:tcPr>
            <w:tcW w:w="3713" w:type="pct"/>
          </w:tcPr>
          <w:p w14:paraId="3260E817" w14:textId="77777777" w:rsidR="008C5104" w:rsidRPr="007E46C9" w:rsidRDefault="008C5104" w:rsidP="008C5104">
            <w:pPr>
              <w:spacing w:after="60"/>
              <w:rPr>
                <w:iCs/>
                <w:sz w:val="20"/>
              </w:rPr>
            </w:pPr>
            <w:r w:rsidRPr="007E46C9">
              <w:rPr>
                <w:i/>
                <w:iCs/>
                <w:sz w:val="20"/>
              </w:rPr>
              <w:t>Real-Time Responsive Reserve Amount per QSE</w:t>
            </w:r>
            <w:r w:rsidRPr="007E46C9">
              <w:rPr>
                <w:iCs/>
                <w:sz w:val="20"/>
              </w:rPr>
              <w:t xml:space="preserve">—The adjustment to QSE </w:t>
            </w:r>
            <w:r w:rsidRPr="007E46C9">
              <w:rPr>
                <w:i/>
                <w:iCs/>
                <w:sz w:val="20"/>
              </w:rPr>
              <w:t>q</w:t>
            </w:r>
            <w:r w:rsidRPr="007E46C9">
              <w:rPr>
                <w:iCs/>
                <w:sz w:val="20"/>
              </w:rPr>
              <w:t>’s share of the costs for RRS, for the hour.</w:t>
            </w:r>
          </w:p>
        </w:tc>
      </w:tr>
      <w:tr w:rsidR="008C5104" w:rsidRPr="007E46C9" w14:paraId="285FFA9B" w14:textId="77777777" w:rsidTr="008C5104">
        <w:trPr>
          <w:cantSplit/>
        </w:trPr>
        <w:tc>
          <w:tcPr>
            <w:tcW w:w="824" w:type="pct"/>
          </w:tcPr>
          <w:p w14:paraId="09367B6A"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3" w:type="pct"/>
          </w:tcPr>
          <w:p w14:paraId="0A293F98" w14:textId="77777777" w:rsidR="008C5104" w:rsidRPr="007E46C9" w:rsidRDefault="008C5104" w:rsidP="008C5104">
            <w:pPr>
              <w:spacing w:after="60"/>
              <w:rPr>
                <w:iCs/>
                <w:sz w:val="20"/>
              </w:rPr>
            </w:pPr>
            <w:r w:rsidRPr="007E46C9">
              <w:rPr>
                <w:iCs/>
                <w:sz w:val="20"/>
              </w:rPr>
              <w:t>$</w:t>
            </w:r>
          </w:p>
        </w:tc>
        <w:tc>
          <w:tcPr>
            <w:tcW w:w="3713" w:type="pct"/>
          </w:tcPr>
          <w:p w14:paraId="6B795287" w14:textId="77777777" w:rsidR="008C5104" w:rsidRPr="007E46C9" w:rsidRDefault="008C5104" w:rsidP="008C5104">
            <w:pPr>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3E49C9F0" w14:textId="77777777" w:rsidTr="008C5104">
        <w:trPr>
          <w:cantSplit/>
        </w:trPr>
        <w:tc>
          <w:tcPr>
            <w:tcW w:w="824" w:type="pct"/>
          </w:tcPr>
          <w:p w14:paraId="051DE600" w14:textId="77777777" w:rsidR="008C5104" w:rsidRPr="007E46C9" w:rsidRDefault="008C5104" w:rsidP="008C5104">
            <w:pPr>
              <w:spacing w:after="60"/>
              <w:rPr>
                <w:iCs/>
                <w:sz w:val="20"/>
              </w:rPr>
            </w:pPr>
            <w:r w:rsidRPr="007E46C9">
              <w:rPr>
                <w:iCs/>
                <w:sz w:val="20"/>
              </w:rPr>
              <w:t xml:space="preserve">DARRAMT </w:t>
            </w:r>
            <w:r w:rsidRPr="007E46C9">
              <w:rPr>
                <w:i/>
                <w:iCs/>
                <w:sz w:val="20"/>
                <w:vertAlign w:val="subscript"/>
              </w:rPr>
              <w:t>q</w:t>
            </w:r>
          </w:p>
        </w:tc>
        <w:tc>
          <w:tcPr>
            <w:tcW w:w="463" w:type="pct"/>
          </w:tcPr>
          <w:p w14:paraId="670D51BC" w14:textId="77777777" w:rsidR="008C5104" w:rsidRPr="007E46C9" w:rsidRDefault="008C5104" w:rsidP="008C5104">
            <w:pPr>
              <w:spacing w:after="60"/>
              <w:rPr>
                <w:iCs/>
                <w:sz w:val="20"/>
              </w:rPr>
            </w:pPr>
            <w:r w:rsidRPr="007E46C9">
              <w:rPr>
                <w:iCs/>
                <w:sz w:val="20"/>
              </w:rPr>
              <w:t>$</w:t>
            </w:r>
          </w:p>
        </w:tc>
        <w:tc>
          <w:tcPr>
            <w:tcW w:w="3713" w:type="pct"/>
          </w:tcPr>
          <w:p w14:paraId="05057AEF" w14:textId="77777777" w:rsidR="008C5104" w:rsidRPr="007E46C9" w:rsidRDefault="008C5104" w:rsidP="008C5104">
            <w:pPr>
              <w:spacing w:after="60"/>
              <w:rPr>
                <w:iCs/>
                <w:sz w:val="20"/>
              </w:rPr>
            </w:pPr>
            <w:r w:rsidRPr="007E46C9">
              <w:rPr>
                <w:i/>
                <w:iCs/>
                <w:sz w:val="20"/>
              </w:rPr>
              <w:t>Day-Ahead Responsive Reserve Amount per QSE</w:t>
            </w:r>
            <w:r w:rsidRPr="007E46C9">
              <w:rPr>
                <w:iCs/>
                <w:sz w:val="20"/>
              </w:rPr>
              <w:t xml:space="preserve">—QSE </w:t>
            </w:r>
            <w:r w:rsidRPr="007E46C9">
              <w:rPr>
                <w:i/>
                <w:iCs/>
                <w:sz w:val="20"/>
              </w:rPr>
              <w:t>q</w:t>
            </w:r>
            <w:r w:rsidRPr="007E46C9">
              <w:rPr>
                <w:iCs/>
                <w:sz w:val="20"/>
              </w:rPr>
              <w:t>’s share of the DAM cost for RRS, for the hour.</w:t>
            </w:r>
          </w:p>
        </w:tc>
      </w:tr>
      <w:tr w:rsidR="008C5104" w:rsidRPr="007E46C9" w14:paraId="124A6EAE" w14:textId="77777777" w:rsidTr="008C5104">
        <w:trPr>
          <w:cantSplit/>
        </w:trPr>
        <w:tc>
          <w:tcPr>
            <w:tcW w:w="824" w:type="pct"/>
            <w:tcBorders>
              <w:top w:val="single" w:sz="4" w:space="0" w:color="auto"/>
              <w:left w:val="single" w:sz="4" w:space="0" w:color="auto"/>
              <w:bottom w:val="single" w:sz="4" w:space="0" w:color="auto"/>
              <w:right w:val="single" w:sz="4" w:space="0" w:color="auto"/>
            </w:tcBorders>
          </w:tcPr>
          <w:p w14:paraId="2FD4CEFC"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156860"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51E1A5" w14:textId="77777777" w:rsidR="008C5104" w:rsidRPr="007E46C9" w:rsidRDefault="008C5104" w:rsidP="008C5104">
            <w:pPr>
              <w:spacing w:after="60"/>
              <w:rPr>
                <w:iCs/>
                <w:sz w:val="20"/>
              </w:rPr>
            </w:pPr>
            <w:r w:rsidRPr="007E46C9">
              <w:rPr>
                <w:iCs/>
                <w:sz w:val="20"/>
              </w:rPr>
              <w:t>A QSE.</w:t>
            </w:r>
          </w:p>
        </w:tc>
      </w:tr>
    </w:tbl>
    <w:p w14:paraId="4C84C6BA" w14:textId="77777777" w:rsidR="008C5104" w:rsidRPr="007E46C9" w:rsidRDefault="008C5104" w:rsidP="008C5104">
      <w:pPr>
        <w:spacing w:before="240" w:after="240"/>
        <w:ind w:left="720" w:hanging="720"/>
        <w:rPr>
          <w:iCs/>
        </w:rPr>
      </w:pPr>
      <w:r w:rsidRPr="007E46C9">
        <w:rPr>
          <w:iCs/>
        </w:rPr>
        <w:t>(5)</w:t>
      </w:r>
      <w:r w:rsidRPr="007E46C9">
        <w:rPr>
          <w:iCs/>
        </w:rPr>
        <w:tab/>
        <w:t>For Non-Spin, if applicable:</w:t>
      </w:r>
    </w:p>
    <w:p w14:paraId="1CC8AC48" w14:textId="77777777" w:rsidR="008C5104" w:rsidRPr="007E46C9" w:rsidRDefault="008C5104" w:rsidP="008C5104">
      <w:pPr>
        <w:spacing w:after="240"/>
        <w:ind w:left="1440" w:hanging="720"/>
      </w:pPr>
      <w:r w:rsidRPr="007E46C9">
        <w:t>(a)</w:t>
      </w:r>
      <w:r w:rsidRPr="007E46C9">
        <w:tab/>
        <w:t>The net total costs for Non-Spin for a given Operating Hour is calculated as follows:</w:t>
      </w:r>
    </w:p>
    <w:p w14:paraId="59861069" w14:textId="6442BB4B" w:rsidR="008C5104" w:rsidRDefault="008C5104" w:rsidP="008C5104">
      <w:pPr>
        <w:spacing w:after="120"/>
        <w:ind w:left="3600" w:hanging="2880"/>
        <w:rPr>
          <w:b/>
          <w:bCs/>
        </w:rPr>
      </w:pPr>
      <w:r w:rsidRPr="007E46C9">
        <w:rPr>
          <w:b/>
          <w:bCs/>
        </w:rPr>
        <w:lastRenderedPageBreak/>
        <w:t xml:space="preserve">NSCOSTTOT </w:t>
      </w:r>
      <w:r w:rsidRPr="007E46C9">
        <w:rPr>
          <w:b/>
          <w:bCs/>
        </w:rPr>
        <w:tab/>
        <w:t>=</w:t>
      </w:r>
      <w:r w:rsidRPr="007E46C9">
        <w:rPr>
          <w:b/>
          <w:bCs/>
        </w:rPr>
        <w:tab/>
        <w:t>(-1) * (</w:t>
      </w:r>
      <w:r w:rsidR="00A94020">
        <w:rPr>
          <w:b/>
          <w:bCs/>
          <w:noProof/>
          <w:position w:val="-20"/>
        </w:rPr>
        <w:drawing>
          <wp:inline distT="0" distB="0" distL="0" distR="0" wp14:anchorId="56548946" wp14:editId="5AC21F97">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(RTPCNSAMTTOT </w:t>
      </w:r>
      <w:r w:rsidRPr="007E46C9">
        <w:rPr>
          <w:b/>
          <w:bCs/>
          <w:i/>
          <w:vertAlign w:val="subscript"/>
        </w:rPr>
        <w:t>m</w:t>
      </w:r>
      <w:r w:rsidRPr="007E46C9">
        <w:rPr>
          <w:bCs/>
        </w:rPr>
        <w:t>)</w:t>
      </w:r>
      <w:r w:rsidRPr="007E46C9">
        <w:rPr>
          <w:b/>
          <w:bCs/>
        </w:rPr>
        <w:t xml:space="preserve"> + </w:t>
      </w:r>
      <w:r w:rsidRPr="007E46C9">
        <w:rPr>
          <w:b/>
          <w:bCs/>
        </w:rPr>
        <w:tab/>
        <w:t>PCNSAMTTOT + NSFQAMTTOT</w:t>
      </w:r>
      <w:r w:rsidRPr="00D26EA8">
        <w:rPr>
          <w:b/>
          <w:bCs/>
        </w:rPr>
        <w:t xml:space="preserve"> + </w:t>
      </w:r>
    </w:p>
    <w:p w14:paraId="07306636" w14:textId="77777777" w:rsidR="008C5104" w:rsidRPr="007E46C9" w:rsidRDefault="008C5104" w:rsidP="008C5104">
      <w:pPr>
        <w:spacing w:after="240"/>
        <w:ind w:left="3600" w:firstLine="720"/>
        <w:rPr>
          <w:b/>
          <w:bCs/>
        </w:rPr>
      </w:pPr>
      <w:r w:rsidRPr="00D26EA8">
        <w:rPr>
          <w:b/>
          <w:bCs/>
        </w:rPr>
        <w:t>NSINFQAMTTOT</w:t>
      </w:r>
      <w:r w:rsidRPr="007E46C9">
        <w:rPr>
          <w:b/>
          <w:bCs/>
        </w:rPr>
        <w:t>)</w:t>
      </w:r>
    </w:p>
    <w:p w14:paraId="66CDE5D4" w14:textId="77777777" w:rsidR="008C5104" w:rsidRPr="007E46C9" w:rsidRDefault="008C5104" w:rsidP="008C5104">
      <w:pPr>
        <w:spacing w:after="240"/>
        <w:rPr>
          <w:iCs/>
        </w:rPr>
      </w:pPr>
      <w:r w:rsidRPr="007E46C9">
        <w:rPr>
          <w:iCs/>
        </w:rPr>
        <w:t xml:space="preserve">Where: </w:t>
      </w:r>
    </w:p>
    <w:p w14:paraId="03F6E969" w14:textId="77777777" w:rsidR="008C5104" w:rsidRPr="007E46C9" w:rsidRDefault="008C5104" w:rsidP="008C5104">
      <w:r w:rsidRPr="007E46C9">
        <w:t>Total payment of SASM- and RSASM-procured capacity for Non-Spin by market</w:t>
      </w:r>
    </w:p>
    <w:p w14:paraId="32650A22" w14:textId="31161BBF" w:rsidR="008C5104" w:rsidRPr="007E46C9" w:rsidRDefault="008C5104" w:rsidP="008C5104">
      <w:pPr>
        <w:spacing w:after="240"/>
        <w:ind w:leftChars="300" w:left="2880" w:hangingChars="900" w:hanging="2160"/>
        <w:rPr>
          <w:bCs/>
        </w:rPr>
      </w:pPr>
      <w:r w:rsidRPr="007E46C9">
        <w:rPr>
          <w:bCs/>
        </w:rPr>
        <w:t xml:space="preserve">RTPCNSAMTTOT </w:t>
      </w:r>
      <w:r w:rsidRPr="007E46C9">
        <w:rPr>
          <w:bCs/>
          <w:i/>
          <w:vertAlign w:val="subscript"/>
        </w:rPr>
        <w:t>m</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042322DE" wp14:editId="5BA70275">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69427B89" w14:textId="77777777" w:rsidR="008C5104" w:rsidRPr="007E46C9" w:rsidRDefault="008C5104" w:rsidP="008C5104">
      <w:r w:rsidRPr="007E46C9">
        <w:t>Total payment of DAM-procured capacity for Non-Spin</w:t>
      </w:r>
    </w:p>
    <w:p w14:paraId="368A3806" w14:textId="67D46FB3" w:rsidR="008C5104" w:rsidRPr="007E46C9" w:rsidRDefault="008C5104" w:rsidP="008C5104">
      <w:pPr>
        <w:spacing w:after="240"/>
        <w:ind w:leftChars="300" w:left="2880" w:hangingChars="900" w:hanging="2160"/>
        <w:rPr>
          <w:bCs/>
        </w:rPr>
      </w:pPr>
      <w:r w:rsidRPr="007E46C9">
        <w:rPr>
          <w:bCs/>
        </w:rPr>
        <w:t>PCNSAMTTOT</w:t>
      </w:r>
      <w:r w:rsidRPr="007E46C9">
        <w:rPr>
          <w:bCs/>
        </w:rPr>
        <w:tab/>
      </w:r>
      <w:r w:rsidRPr="007E46C9">
        <w:rPr>
          <w:bCs/>
        </w:rPr>
        <w:tab/>
        <w:t>=</w:t>
      </w:r>
      <w:r w:rsidRPr="007E46C9">
        <w:rPr>
          <w:bCs/>
        </w:rPr>
        <w:tab/>
      </w:r>
      <w:r w:rsidR="00A94020">
        <w:rPr>
          <w:bCs/>
          <w:noProof/>
          <w:position w:val="-22"/>
        </w:rPr>
        <w:drawing>
          <wp:inline distT="0" distB="0" distL="0" distR="0" wp14:anchorId="52FD495B" wp14:editId="399A1996">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PCNSAMT </w:t>
      </w:r>
      <w:r w:rsidRPr="007E46C9">
        <w:rPr>
          <w:bCs/>
          <w:i/>
          <w:vertAlign w:val="subscript"/>
        </w:rPr>
        <w:t>q</w:t>
      </w:r>
    </w:p>
    <w:p w14:paraId="6F93FE51" w14:textId="77777777" w:rsidR="008C5104" w:rsidRPr="007E46C9" w:rsidRDefault="008C5104" w:rsidP="008C5104">
      <w:r w:rsidRPr="007E46C9">
        <w:t>Total charge of failure on Ancillary Service Supply Responsibility for Non-Spin</w:t>
      </w:r>
    </w:p>
    <w:p w14:paraId="1B9055D9" w14:textId="7B957754" w:rsidR="008C5104" w:rsidRPr="007E46C9" w:rsidRDefault="008C5104" w:rsidP="008C5104">
      <w:pPr>
        <w:spacing w:after="240"/>
        <w:ind w:leftChars="300" w:left="2880" w:hangingChars="900" w:hanging="2160"/>
        <w:rPr>
          <w:bCs/>
        </w:rPr>
      </w:pPr>
      <w:r w:rsidRPr="007E46C9">
        <w:rPr>
          <w:bCs/>
        </w:rPr>
        <w:t>NSFQAMTTOT</w:t>
      </w:r>
      <w:r w:rsidRPr="007E46C9">
        <w:rPr>
          <w:bCs/>
        </w:rPr>
        <w:tab/>
      </w:r>
      <w:r w:rsidRPr="007E46C9">
        <w:rPr>
          <w:bCs/>
        </w:rPr>
        <w:tab/>
        <w:t>=</w:t>
      </w:r>
      <w:r w:rsidRPr="007E46C9">
        <w:rPr>
          <w:bCs/>
        </w:rPr>
        <w:tab/>
      </w:r>
      <w:r w:rsidR="00A94020">
        <w:rPr>
          <w:bCs/>
          <w:noProof/>
          <w:position w:val="-22"/>
        </w:rPr>
        <w:drawing>
          <wp:inline distT="0" distB="0" distL="0" distR="0" wp14:anchorId="59F4166D" wp14:editId="57D0AD4E">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NSFQAMTQSETOT </w:t>
      </w:r>
      <w:r w:rsidRPr="007E46C9">
        <w:rPr>
          <w:bCs/>
          <w:i/>
          <w:vertAlign w:val="subscript"/>
        </w:rPr>
        <w:t>q</w:t>
      </w:r>
    </w:p>
    <w:p w14:paraId="0B3A3961" w14:textId="77777777" w:rsidR="008C5104" w:rsidRPr="007E46C9" w:rsidRDefault="008C5104" w:rsidP="008C5104">
      <w:pPr>
        <w:ind w:left="300" w:hangingChars="125" w:hanging="300"/>
        <w:rPr>
          <w:bCs/>
        </w:rPr>
      </w:pPr>
      <w:r w:rsidRPr="007E46C9">
        <w:rPr>
          <w:bCs/>
        </w:rPr>
        <w:t>Total payment of SASM- and RSASM-procured capacity for Non-Spin by QSE</w:t>
      </w:r>
    </w:p>
    <w:p w14:paraId="53B80605" w14:textId="1B7417AA" w:rsidR="008C5104" w:rsidRPr="007E46C9" w:rsidRDefault="008C5104" w:rsidP="008C5104">
      <w:pPr>
        <w:spacing w:after="240"/>
        <w:ind w:leftChars="300" w:left="2880" w:hangingChars="900" w:hanging="2160"/>
        <w:rPr>
          <w:bCs/>
          <w:i/>
          <w:vertAlign w:val="subscript"/>
        </w:rPr>
      </w:pPr>
      <w:r w:rsidRPr="007E46C9">
        <w:rPr>
          <w:bCs/>
        </w:rPr>
        <w:t xml:space="preserve">RTPCNSAMTQSETOT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040D42CC" wp14:editId="066CEAB0">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55CBC81B" w14:textId="77777777" w:rsidR="008C5104" w:rsidRDefault="008C5104" w:rsidP="008C5104">
      <w:r>
        <w:t>Total charge of infeasible Ancillary Service Supply Responsibility for Non-Spin</w:t>
      </w:r>
    </w:p>
    <w:p w14:paraId="05C888EE" w14:textId="77777777" w:rsidR="008C5104" w:rsidRDefault="008C5104" w:rsidP="00EE4598">
      <w:pPr>
        <w:spacing w:after="240"/>
        <w:ind w:left="2880" w:hanging="2160"/>
        <w:rPr>
          <w:i/>
          <w:vertAlign w:val="subscript"/>
        </w:rPr>
      </w:pPr>
      <w:r>
        <w:t>NSINFQAMTTOT</w:t>
      </w:r>
      <w:r>
        <w:tab/>
        <w:t>=</w:t>
      </w:r>
      <w:r>
        <w:tab/>
      </w:r>
      <w:r w:rsidRPr="006F784F">
        <w:rPr>
          <w:position w:val="-22"/>
          <w:lang w:val="pt-BR"/>
        </w:rPr>
        <w:object w:dxaOrig="225" w:dyaOrig="465" w14:anchorId="0BC82E81">
          <v:shape id="_x0000_i1354" type="#_x0000_t75" style="width:12pt;height:18pt" o:ole="">
            <v:imagedata r:id="rId432" o:title=""/>
          </v:shape>
          <o:OLEObject Type="Embed" ProgID="Equation.3" ShapeID="_x0000_i1354" DrawAspect="Content" ObjectID="_1804653837" r:id="rId441"/>
        </w:object>
      </w:r>
      <w:r w:rsidRPr="002A7C17">
        <w:t xml:space="preserve"> </w:t>
      </w:r>
      <w:r>
        <w:t xml:space="preserve">NSINFQAMT </w:t>
      </w:r>
      <w:r w:rsidRPr="00D26EA8">
        <w:rPr>
          <w:i/>
          <w:vertAlign w:val="subscript"/>
        </w:rPr>
        <w:t>q</w:t>
      </w:r>
    </w:p>
    <w:p w14:paraId="7939D31F"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8C5104" w:rsidRPr="007E46C9" w14:paraId="78435C5B" w14:textId="77777777" w:rsidTr="008C5104">
        <w:trPr>
          <w:tblHeader/>
        </w:trPr>
        <w:tc>
          <w:tcPr>
            <w:tcW w:w="1231" w:type="pct"/>
          </w:tcPr>
          <w:p w14:paraId="3A654319" w14:textId="77777777" w:rsidR="008C5104" w:rsidRPr="007E46C9" w:rsidRDefault="008C5104" w:rsidP="008C5104">
            <w:pPr>
              <w:spacing w:after="120"/>
              <w:rPr>
                <w:b/>
                <w:iCs/>
                <w:sz w:val="20"/>
              </w:rPr>
            </w:pPr>
            <w:r w:rsidRPr="007E46C9">
              <w:rPr>
                <w:b/>
                <w:iCs/>
                <w:sz w:val="20"/>
              </w:rPr>
              <w:t>Variable</w:t>
            </w:r>
          </w:p>
        </w:tc>
        <w:tc>
          <w:tcPr>
            <w:tcW w:w="329" w:type="pct"/>
          </w:tcPr>
          <w:p w14:paraId="59CBF337" w14:textId="77777777" w:rsidR="008C5104" w:rsidRPr="007E46C9" w:rsidRDefault="008C5104" w:rsidP="008C5104">
            <w:pPr>
              <w:spacing w:after="120"/>
              <w:rPr>
                <w:b/>
                <w:iCs/>
                <w:sz w:val="20"/>
              </w:rPr>
            </w:pPr>
            <w:r w:rsidRPr="007E46C9">
              <w:rPr>
                <w:b/>
                <w:iCs/>
                <w:sz w:val="20"/>
              </w:rPr>
              <w:t>Unit</w:t>
            </w:r>
          </w:p>
        </w:tc>
        <w:tc>
          <w:tcPr>
            <w:tcW w:w="3440" w:type="pct"/>
          </w:tcPr>
          <w:p w14:paraId="003E7CB8" w14:textId="77777777" w:rsidR="008C5104" w:rsidRPr="007E46C9" w:rsidRDefault="008C5104" w:rsidP="008C5104">
            <w:pPr>
              <w:spacing w:after="120"/>
              <w:rPr>
                <w:b/>
                <w:iCs/>
                <w:sz w:val="20"/>
              </w:rPr>
            </w:pPr>
            <w:r w:rsidRPr="007E46C9">
              <w:rPr>
                <w:b/>
                <w:iCs/>
                <w:sz w:val="20"/>
              </w:rPr>
              <w:t>Description</w:t>
            </w:r>
          </w:p>
        </w:tc>
      </w:tr>
      <w:tr w:rsidR="008C5104" w:rsidRPr="007E46C9" w14:paraId="35A9A819" w14:textId="77777777" w:rsidTr="008C5104">
        <w:tc>
          <w:tcPr>
            <w:tcW w:w="1231" w:type="pct"/>
          </w:tcPr>
          <w:p w14:paraId="4B3B1422" w14:textId="77777777" w:rsidR="008C5104" w:rsidRPr="007E46C9" w:rsidRDefault="008C5104" w:rsidP="008C5104">
            <w:pPr>
              <w:spacing w:after="60"/>
              <w:rPr>
                <w:iCs/>
                <w:sz w:val="20"/>
              </w:rPr>
            </w:pPr>
            <w:r w:rsidRPr="007E46C9">
              <w:rPr>
                <w:iCs/>
                <w:sz w:val="20"/>
              </w:rPr>
              <w:t>NSCOSTTOT</w:t>
            </w:r>
          </w:p>
        </w:tc>
        <w:tc>
          <w:tcPr>
            <w:tcW w:w="329" w:type="pct"/>
          </w:tcPr>
          <w:p w14:paraId="348034FE" w14:textId="77777777" w:rsidR="008C5104" w:rsidRPr="007E46C9" w:rsidRDefault="008C5104" w:rsidP="008C5104">
            <w:pPr>
              <w:spacing w:after="60"/>
              <w:rPr>
                <w:iCs/>
                <w:sz w:val="20"/>
              </w:rPr>
            </w:pPr>
            <w:r w:rsidRPr="007E46C9">
              <w:rPr>
                <w:iCs/>
                <w:sz w:val="20"/>
              </w:rPr>
              <w:t>$</w:t>
            </w:r>
          </w:p>
        </w:tc>
        <w:tc>
          <w:tcPr>
            <w:tcW w:w="3440" w:type="pct"/>
          </w:tcPr>
          <w:p w14:paraId="357DC98B" w14:textId="77777777" w:rsidR="008C5104" w:rsidRPr="007E46C9" w:rsidRDefault="008C5104" w:rsidP="008C5104">
            <w:pPr>
              <w:spacing w:after="60"/>
              <w:rPr>
                <w:iCs/>
                <w:sz w:val="20"/>
              </w:rPr>
            </w:pPr>
            <w:r w:rsidRPr="007E46C9">
              <w:rPr>
                <w:i/>
                <w:iCs/>
                <w:sz w:val="20"/>
              </w:rPr>
              <w:t>Non-Spin Cost Total</w:t>
            </w:r>
            <w:r w:rsidRPr="007E46C9">
              <w:rPr>
                <w:iCs/>
                <w:sz w:val="20"/>
              </w:rPr>
              <w:t>—The net total costs for Non-Spin</w:t>
            </w:r>
            <w:r w:rsidR="00EE4598" w:rsidRPr="007E46C9">
              <w:rPr>
                <w:iCs/>
                <w:sz w:val="20"/>
              </w:rPr>
              <w:t>,</w:t>
            </w:r>
            <w:r w:rsidRPr="007E46C9">
              <w:rPr>
                <w:iCs/>
                <w:sz w:val="20"/>
              </w:rPr>
              <w:t xml:space="preserve"> for the hour.</w:t>
            </w:r>
          </w:p>
        </w:tc>
      </w:tr>
      <w:tr w:rsidR="008C5104" w:rsidRPr="007E46C9" w14:paraId="7A89208E" w14:textId="77777777" w:rsidTr="008C5104">
        <w:tc>
          <w:tcPr>
            <w:tcW w:w="1231" w:type="pct"/>
            <w:tcBorders>
              <w:top w:val="single" w:sz="4" w:space="0" w:color="auto"/>
              <w:left w:val="single" w:sz="4" w:space="0" w:color="auto"/>
              <w:bottom w:val="single" w:sz="4" w:space="0" w:color="auto"/>
              <w:right w:val="single" w:sz="4" w:space="0" w:color="auto"/>
            </w:tcBorders>
          </w:tcPr>
          <w:p w14:paraId="48A28F50" w14:textId="77777777" w:rsidR="008C5104" w:rsidRPr="007E46C9" w:rsidRDefault="008C5104" w:rsidP="008C5104">
            <w:pPr>
              <w:spacing w:after="60"/>
              <w:rPr>
                <w:iCs/>
                <w:sz w:val="20"/>
              </w:rPr>
            </w:pPr>
            <w:r w:rsidRPr="007E46C9">
              <w:rPr>
                <w:iCs/>
                <w:sz w:val="20"/>
              </w:rPr>
              <w:t xml:space="preserve">RTPCNSAMTTOT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1F60CDCD"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FC3EDDD" w14:textId="77777777" w:rsidR="008C5104" w:rsidRPr="007E46C9" w:rsidRDefault="008C5104" w:rsidP="008C5104">
            <w:pPr>
              <w:spacing w:after="60"/>
              <w:rPr>
                <w:i/>
                <w:iCs/>
                <w:sz w:val="20"/>
              </w:rPr>
            </w:pPr>
            <w:r w:rsidRPr="007E46C9">
              <w:rPr>
                <w:i/>
                <w:iCs/>
                <w:sz w:val="20"/>
              </w:rPr>
              <w:t>Procured Capacity for Non-Spin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Non-Spin, for the hour.</w:t>
            </w:r>
          </w:p>
        </w:tc>
      </w:tr>
      <w:tr w:rsidR="008C5104" w:rsidRPr="007E46C9" w14:paraId="598F57B5" w14:textId="77777777" w:rsidTr="008C5104">
        <w:tc>
          <w:tcPr>
            <w:tcW w:w="1231" w:type="pct"/>
            <w:tcBorders>
              <w:top w:val="single" w:sz="4" w:space="0" w:color="auto"/>
              <w:left w:val="single" w:sz="4" w:space="0" w:color="auto"/>
              <w:bottom w:val="single" w:sz="4" w:space="0" w:color="auto"/>
              <w:right w:val="single" w:sz="4" w:space="0" w:color="auto"/>
            </w:tcBorders>
          </w:tcPr>
          <w:p w14:paraId="79B2EFA7" w14:textId="77777777" w:rsidR="008C5104" w:rsidRPr="007E46C9" w:rsidRDefault="008C5104" w:rsidP="008C5104">
            <w:pPr>
              <w:spacing w:after="60"/>
              <w:rPr>
                <w:iCs/>
                <w:sz w:val="20"/>
              </w:rPr>
            </w:pPr>
            <w:r w:rsidRPr="007E46C9">
              <w:rPr>
                <w:iCs/>
                <w:sz w:val="20"/>
              </w:rPr>
              <w:t xml:space="preserve">RTPCNSAMT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0A0D479"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5041B13" w14:textId="77777777" w:rsidR="008C5104" w:rsidRPr="007E46C9" w:rsidRDefault="008C5104" w:rsidP="008C5104">
            <w:pPr>
              <w:spacing w:after="60"/>
              <w:rPr>
                <w:i/>
                <w:iCs/>
                <w:sz w:val="20"/>
              </w:rPr>
            </w:pPr>
            <w:r w:rsidRPr="007E46C9">
              <w:rPr>
                <w:i/>
                <w:iCs/>
                <w:sz w:val="20"/>
              </w:rPr>
              <w:t>Procured Capacity for Non-Spin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Non-Spin, for the hour.</w:t>
            </w:r>
          </w:p>
        </w:tc>
      </w:tr>
      <w:tr w:rsidR="008C5104" w:rsidRPr="007E46C9" w14:paraId="5BF8B6E2" w14:textId="77777777" w:rsidTr="008C5104">
        <w:tc>
          <w:tcPr>
            <w:tcW w:w="1231" w:type="pct"/>
            <w:tcBorders>
              <w:top w:val="single" w:sz="4" w:space="0" w:color="auto"/>
              <w:left w:val="single" w:sz="4" w:space="0" w:color="auto"/>
              <w:bottom w:val="single" w:sz="4" w:space="0" w:color="auto"/>
              <w:right w:val="single" w:sz="4" w:space="0" w:color="auto"/>
            </w:tcBorders>
          </w:tcPr>
          <w:p w14:paraId="6B24903F" w14:textId="77777777" w:rsidR="008C5104" w:rsidRPr="007E46C9" w:rsidRDefault="008C5104" w:rsidP="008C5104">
            <w:pPr>
              <w:spacing w:after="60"/>
              <w:rPr>
                <w:iCs/>
                <w:sz w:val="20"/>
              </w:rPr>
            </w:pPr>
            <w:r w:rsidRPr="007E46C9">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74BEA463"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0B5728F" w14:textId="77777777" w:rsidR="008C5104" w:rsidRPr="007E46C9" w:rsidRDefault="008C5104" w:rsidP="008C5104">
            <w:pPr>
              <w:spacing w:after="60"/>
              <w:rPr>
                <w:i/>
                <w:iCs/>
                <w:sz w:val="20"/>
              </w:rPr>
            </w:pPr>
            <w:r w:rsidRPr="007E46C9">
              <w:rPr>
                <w:i/>
                <w:iCs/>
                <w:sz w:val="20"/>
              </w:rPr>
              <w:t>Non-Spin Failure Quantity Amount Total</w:t>
            </w:r>
            <w:r w:rsidRPr="007E46C9">
              <w:rPr>
                <w:iCs/>
                <w:sz w:val="20"/>
              </w:rPr>
              <w:t>—The total charges to all QSEs for their capacity associated with failures and reconfiguration reductions on their Ancillary Service Supply Responsibilities for Non-Spin, for the hour.</w:t>
            </w:r>
          </w:p>
        </w:tc>
      </w:tr>
      <w:tr w:rsidR="008C5104" w:rsidRPr="007E46C9" w14:paraId="16E1CF94" w14:textId="77777777" w:rsidTr="008C5104">
        <w:tc>
          <w:tcPr>
            <w:tcW w:w="1231" w:type="pct"/>
            <w:tcBorders>
              <w:top w:val="single" w:sz="4" w:space="0" w:color="auto"/>
              <w:left w:val="single" w:sz="4" w:space="0" w:color="auto"/>
              <w:bottom w:val="single" w:sz="4" w:space="0" w:color="auto"/>
              <w:right w:val="single" w:sz="4" w:space="0" w:color="auto"/>
            </w:tcBorders>
          </w:tcPr>
          <w:p w14:paraId="6F8CDB42" w14:textId="77777777" w:rsidR="008C5104" w:rsidRPr="007E46C9" w:rsidRDefault="008C5104" w:rsidP="008C5104">
            <w:pPr>
              <w:spacing w:after="60"/>
              <w:rPr>
                <w:iCs/>
                <w:sz w:val="20"/>
              </w:rPr>
            </w:pPr>
            <w:r w:rsidRPr="007E46C9">
              <w:rPr>
                <w:iCs/>
                <w:sz w:val="20"/>
              </w:rPr>
              <w:t xml:space="preserve">NSFQAMTQSETOT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9C4670B"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EB1D268" w14:textId="77777777" w:rsidR="008C5104" w:rsidRPr="007E46C9" w:rsidRDefault="008C5104" w:rsidP="008C5104">
            <w:pPr>
              <w:spacing w:after="60"/>
              <w:rPr>
                <w:i/>
                <w:iCs/>
                <w:sz w:val="20"/>
              </w:rPr>
            </w:pPr>
            <w:r w:rsidRPr="007E46C9">
              <w:rPr>
                <w:i/>
                <w:iCs/>
                <w:sz w:val="20"/>
              </w:rPr>
              <w:t>Non-Spin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Non-Spin, for the hour.</w:t>
            </w:r>
          </w:p>
        </w:tc>
      </w:tr>
      <w:tr w:rsidR="008C5104" w:rsidRPr="007E46C9" w14:paraId="21C8115E" w14:textId="77777777" w:rsidTr="008C5104">
        <w:tc>
          <w:tcPr>
            <w:tcW w:w="1231" w:type="pct"/>
            <w:tcBorders>
              <w:top w:val="single" w:sz="4" w:space="0" w:color="auto"/>
              <w:left w:val="single" w:sz="4" w:space="0" w:color="auto"/>
              <w:bottom w:val="single" w:sz="4" w:space="0" w:color="auto"/>
              <w:right w:val="single" w:sz="4" w:space="0" w:color="auto"/>
            </w:tcBorders>
          </w:tcPr>
          <w:p w14:paraId="6FE5148A" w14:textId="77777777" w:rsidR="008C5104" w:rsidRPr="007E46C9" w:rsidRDefault="008C5104" w:rsidP="008C5104">
            <w:pPr>
              <w:spacing w:after="60"/>
              <w:rPr>
                <w:iCs/>
                <w:sz w:val="20"/>
              </w:rPr>
            </w:pPr>
            <w:r w:rsidRPr="007E46C9">
              <w:rPr>
                <w:iCs/>
                <w:sz w:val="20"/>
              </w:rPr>
              <w:t xml:space="preserve">RTPCNSAMTQSETOT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51DFAE"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9FEDF44" w14:textId="77777777" w:rsidR="008C5104" w:rsidRPr="007E46C9" w:rsidRDefault="008C5104" w:rsidP="008C5104">
            <w:pPr>
              <w:spacing w:after="60"/>
              <w:rPr>
                <w:iCs/>
                <w:sz w:val="20"/>
              </w:rPr>
            </w:pPr>
            <w:r w:rsidRPr="007E46C9">
              <w:rPr>
                <w:i/>
                <w:iCs/>
                <w:sz w:val="20"/>
              </w:rPr>
              <w:t>Procured Capacity for Non-Spin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Non-Spin, for the hour.</w:t>
            </w:r>
          </w:p>
        </w:tc>
      </w:tr>
      <w:tr w:rsidR="008C5104" w:rsidRPr="007E46C9" w14:paraId="03053200" w14:textId="77777777" w:rsidTr="008C5104">
        <w:tc>
          <w:tcPr>
            <w:tcW w:w="1231" w:type="pct"/>
            <w:tcBorders>
              <w:top w:val="single" w:sz="4" w:space="0" w:color="auto"/>
              <w:left w:val="single" w:sz="4" w:space="0" w:color="auto"/>
              <w:bottom w:val="single" w:sz="4" w:space="0" w:color="auto"/>
              <w:right w:val="single" w:sz="4" w:space="0" w:color="auto"/>
            </w:tcBorders>
          </w:tcPr>
          <w:p w14:paraId="134EF893" w14:textId="77777777" w:rsidR="008C5104" w:rsidRPr="007E46C9" w:rsidRDefault="008C5104" w:rsidP="008C5104">
            <w:pPr>
              <w:rPr>
                <w:b/>
                <w:sz w:val="20"/>
              </w:rPr>
            </w:pPr>
            <w:r w:rsidRPr="007E46C9">
              <w:rPr>
                <w:sz w:val="20"/>
              </w:rPr>
              <w:t xml:space="preserve">PCNSAMT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7A2E66F" w14:textId="77777777" w:rsidR="008C5104" w:rsidRPr="007E46C9" w:rsidRDefault="008C5104" w:rsidP="008C5104">
            <w:pPr>
              <w:rPr>
                <w:b/>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1F6F11A9" w14:textId="77777777" w:rsidR="008C5104" w:rsidRPr="007E46C9" w:rsidRDefault="008C5104" w:rsidP="008C5104">
            <w:pPr>
              <w:rPr>
                <w:b/>
                <w:sz w:val="20"/>
              </w:rPr>
            </w:pPr>
            <w:r w:rsidRPr="007E46C9">
              <w:rPr>
                <w:i/>
                <w:sz w:val="20"/>
              </w:rPr>
              <w:t>Procured Capacity for Non-Spin Amount per QSE in DAM—</w:t>
            </w:r>
            <w:r w:rsidRPr="007E46C9">
              <w:rPr>
                <w:sz w:val="20"/>
              </w:rPr>
              <w:t>The DAM Non-Spin payment for QSE</w:t>
            </w:r>
            <w:r w:rsidRPr="007E46C9">
              <w:rPr>
                <w:i/>
                <w:sz w:val="20"/>
              </w:rPr>
              <w:t xml:space="preserve"> q</w:t>
            </w:r>
            <w:r w:rsidR="00637160" w:rsidRPr="007E46C9">
              <w:rPr>
                <w:sz w:val="20"/>
              </w:rPr>
              <w:t>,</w:t>
            </w:r>
            <w:r w:rsidRPr="007E46C9">
              <w:rPr>
                <w:sz w:val="20"/>
              </w:rPr>
              <w:t xml:space="preserve"> for the hour.</w:t>
            </w:r>
          </w:p>
        </w:tc>
      </w:tr>
      <w:tr w:rsidR="008C5104" w:rsidRPr="007E46C9" w14:paraId="6092B0B3" w14:textId="77777777" w:rsidTr="008C5104">
        <w:tc>
          <w:tcPr>
            <w:tcW w:w="1231" w:type="pct"/>
            <w:tcBorders>
              <w:top w:val="single" w:sz="4" w:space="0" w:color="auto"/>
              <w:left w:val="single" w:sz="4" w:space="0" w:color="auto"/>
              <w:bottom w:val="single" w:sz="4" w:space="0" w:color="auto"/>
              <w:right w:val="single" w:sz="4" w:space="0" w:color="auto"/>
            </w:tcBorders>
          </w:tcPr>
          <w:p w14:paraId="795BE6EA" w14:textId="77777777" w:rsidR="008C5104" w:rsidRPr="007E46C9" w:rsidRDefault="008C5104" w:rsidP="008C5104">
            <w:pPr>
              <w:spacing w:after="60"/>
              <w:rPr>
                <w:sz w:val="20"/>
              </w:rPr>
            </w:pPr>
            <w:r w:rsidRPr="007E46C9">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55B692B3" w14:textId="77777777" w:rsidR="008C5104" w:rsidRPr="007E46C9" w:rsidRDefault="008C5104" w:rsidP="008C5104">
            <w:pPr>
              <w:spacing w:after="60"/>
              <w:rPr>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5826B8F7" w14:textId="77777777" w:rsidR="008C5104" w:rsidRPr="007E46C9" w:rsidRDefault="008C5104" w:rsidP="008C5104">
            <w:pPr>
              <w:spacing w:after="60"/>
              <w:rPr>
                <w:sz w:val="20"/>
              </w:rPr>
            </w:pPr>
            <w:r w:rsidRPr="007E46C9">
              <w:rPr>
                <w:i/>
                <w:sz w:val="20"/>
              </w:rPr>
              <w:t>Procured Capacity for Non-Spin Amount Total in DAM</w:t>
            </w:r>
            <w:r w:rsidRPr="007E46C9">
              <w:rPr>
                <w:sz w:val="20"/>
              </w:rPr>
              <w:t>—The total of the DAM Non-Spin payments for all QSEs</w:t>
            </w:r>
            <w:r w:rsidR="00637160" w:rsidRPr="007E46C9">
              <w:rPr>
                <w:sz w:val="20"/>
              </w:rPr>
              <w:t>,</w:t>
            </w:r>
            <w:r w:rsidRPr="007E46C9">
              <w:rPr>
                <w:sz w:val="20"/>
              </w:rPr>
              <w:t xml:space="preserve"> for the hour.</w:t>
            </w:r>
          </w:p>
        </w:tc>
      </w:tr>
      <w:tr w:rsidR="008C5104" w:rsidRPr="007E46C9" w14:paraId="7B9199E8" w14:textId="77777777" w:rsidTr="008C5104">
        <w:tc>
          <w:tcPr>
            <w:tcW w:w="1231" w:type="pct"/>
            <w:tcBorders>
              <w:top w:val="single" w:sz="4" w:space="0" w:color="auto"/>
              <w:left w:val="single" w:sz="4" w:space="0" w:color="auto"/>
              <w:bottom w:val="single" w:sz="4" w:space="0" w:color="auto"/>
              <w:right w:val="single" w:sz="4" w:space="0" w:color="auto"/>
            </w:tcBorders>
          </w:tcPr>
          <w:p w14:paraId="76919C1D" w14:textId="77777777" w:rsidR="008C5104" w:rsidRPr="007E46C9" w:rsidRDefault="008C5104" w:rsidP="008C5104">
            <w:pPr>
              <w:spacing w:after="60"/>
              <w:rPr>
                <w:sz w:val="20"/>
              </w:rPr>
            </w:pPr>
            <w:r w:rsidRPr="00F662FF">
              <w:rPr>
                <w:sz w:val="20"/>
              </w:rPr>
              <w:lastRenderedPageBreak/>
              <w:t>NSINF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B1F039D"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7FDA7A45" w14:textId="77777777" w:rsidR="008C5104" w:rsidRPr="007E46C9" w:rsidRDefault="008C5104" w:rsidP="008C5104">
            <w:pPr>
              <w:spacing w:after="60"/>
              <w:rPr>
                <w:i/>
                <w:sz w:val="20"/>
              </w:rPr>
            </w:pPr>
            <w:r>
              <w:rPr>
                <w:i/>
                <w:sz w:val="20"/>
              </w:rPr>
              <w:t>Non-Spin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Non-Spin</w:t>
            </w:r>
            <w:r w:rsidRPr="002F2E4C">
              <w:rPr>
                <w:sz w:val="20"/>
              </w:rPr>
              <w:t>, for the hour.</w:t>
            </w:r>
          </w:p>
        </w:tc>
      </w:tr>
      <w:tr w:rsidR="008C5104" w:rsidRPr="007E46C9" w14:paraId="068CD6B0" w14:textId="77777777" w:rsidTr="008C5104">
        <w:tc>
          <w:tcPr>
            <w:tcW w:w="1231" w:type="pct"/>
            <w:tcBorders>
              <w:top w:val="single" w:sz="4" w:space="0" w:color="auto"/>
              <w:left w:val="single" w:sz="4" w:space="0" w:color="auto"/>
              <w:bottom w:val="single" w:sz="4" w:space="0" w:color="auto"/>
              <w:right w:val="single" w:sz="4" w:space="0" w:color="auto"/>
            </w:tcBorders>
          </w:tcPr>
          <w:p w14:paraId="1BCA4867" w14:textId="77777777" w:rsidR="008C5104" w:rsidRPr="007E46C9" w:rsidRDefault="008C5104" w:rsidP="008C5104">
            <w:pPr>
              <w:spacing w:after="60"/>
              <w:rPr>
                <w:sz w:val="20"/>
              </w:rPr>
            </w:pPr>
            <w:r w:rsidRPr="003B731C">
              <w:rPr>
                <w:sz w:val="20"/>
              </w:rPr>
              <w:t>NSINFQAMT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485948"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0495EC09" w14:textId="77777777" w:rsidR="008C5104" w:rsidRPr="007E46C9" w:rsidRDefault="008C5104" w:rsidP="008C5104">
            <w:pPr>
              <w:spacing w:after="60"/>
              <w:rPr>
                <w:i/>
                <w:sz w:val="20"/>
              </w:rPr>
            </w:pPr>
            <w:r>
              <w:rPr>
                <w:i/>
                <w:sz w:val="20"/>
              </w:rPr>
              <w:t>Non-Spin</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w:t>
            </w:r>
            <w:r>
              <w:rPr>
                <w:sz w:val="20"/>
              </w:rPr>
              <w:t xml:space="preserve"> Service Supply Responsibilities</w:t>
            </w:r>
            <w:r w:rsidRPr="00736C3C">
              <w:rPr>
                <w:sz w:val="20"/>
              </w:rPr>
              <w:t xml:space="preserve"> for </w:t>
            </w:r>
            <w:r>
              <w:rPr>
                <w:sz w:val="20"/>
              </w:rPr>
              <w:t>Non-Spin</w:t>
            </w:r>
            <w:r w:rsidRPr="00736C3C">
              <w:rPr>
                <w:sz w:val="20"/>
              </w:rPr>
              <w:t>, for the hour.</w:t>
            </w:r>
          </w:p>
        </w:tc>
      </w:tr>
      <w:tr w:rsidR="008C5104" w:rsidRPr="007E46C9" w14:paraId="4E458644" w14:textId="77777777" w:rsidTr="008C5104">
        <w:tc>
          <w:tcPr>
            <w:tcW w:w="1231" w:type="pct"/>
            <w:tcBorders>
              <w:top w:val="single" w:sz="4" w:space="0" w:color="auto"/>
              <w:left w:val="single" w:sz="4" w:space="0" w:color="auto"/>
              <w:bottom w:val="single" w:sz="4" w:space="0" w:color="auto"/>
              <w:right w:val="single" w:sz="4" w:space="0" w:color="auto"/>
            </w:tcBorders>
          </w:tcPr>
          <w:p w14:paraId="6414C101"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0B3D1D8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2A1A50C" w14:textId="77777777" w:rsidR="008C5104" w:rsidRPr="007E46C9" w:rsidRDefault="008C5104" w:rsidP="008C5104">
            <w:pPr>
              <w:spacing w:after="60"/>
              <w:rPr>
                <w:iCs/>
                <w:sz w:val="20"/>
              </w:rPr>
            </w:pPr>
            <w:r w:rsidRPr="007E46C9">
              <w:rPr>
                <w:iCs/>
                <w:sz w:val="20"/>
              </w:rPr>
              <w:t>A QSE.</w:t>
            </w:r>
          </w:p>
        </w:tc>
      </w:tr>
      <w:tr w:rsidR="008C5104" w:rsidRPr="007E46C9" w14:paraId="74DC22F0" w14:textId="77777777" w:rsidTr="008C5104">
        <w:tc>
          <w:tcPr>
            <w:tcW w:w="1231" w:type="pct"/>
            <w:tcBorders>
              <w:top w:val="single" w:sz="4" w:space="0" w:color="auto"/>
              <w:left w:val="single" w:sz="4" w:space="0" w:color="auto"/>
              <w:bottom w:val="single" w:sz="4" w:space="0" w:color="auto"/>
              <w:right w:val="single" w:sz="4" w:space="0" w:color="auto"/>
            </w:tcBorders>
          </w:tcPr>
          <w:p w14:paraId="5C3CAE6D"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FC6FA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555339C5"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3C35525D"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4CA4" w14:paraId="6A09FB25" w14:textId="77777777" w:rsidTr="002914A3">
        <w:trPr>
          <w:trHeight w:val="566"/>
        </w:trPr>
        <w:tc>
          <w:tcPr>
            <w:tcW w:w="9576" w:type="dxa"/>
            <w:shd w:val="pct12" w:color="auto" w:fill="auto"/>
          </w:tcPr>
          <w:p w14:paraId="64A59951" w14:textId="77777777" w:rsidR="00124CA4" w:rsidRDefault="00124CA4" w:rsidP="002A7BFB">
            <w:pPr>
              <w:pStyle w:val="Instructions"/>
              <w:spacing w:before="120"/>
            </w:pPr>
            <w:r>
              <w:t>[NPRR841:  Replace paragraph (a) above with the following upon system implementation:]</w:t>
            </w:r>
          </w:p>
          <w:p w14:paraId="3FF7A8F8" w14:textId="77777777" w:rsidR="00124CA4" w:rsidRPr="00E5030A" w:rsidRDefault="00124CA4" w:rsidP="00124CA4">
            <w:pPr>
              <w:spacing w:after="240"/>
              <w:ind w:left="1440" w:hanging="720"/>
            </w:pPr>
            <w:r w:rsidRPr="00E5030A">
              <w:t>(a)</w:t>
            </w:r>
            <w:r w:rsidRPr="00E5030A">
              <w:tab/>
              <w:t>The net total costs for Non-Spin for a given Operating Hour is calculated as follows:</w:t>
            </w:r>
          </w:p>
          <w:p w14:paraId="1B1A0531" w14:textId="5770FA2B" w:rsidR="00124CA4" w:rsidRPr="00E5030A" w:rsidRDefault="00124CA4" w:rsidP="00124CA4">
            <w:pPr>
              <w:spacing w:after="120"/>
              <w:ind w:left="3600" w:hanging="2880"/>
              <w:rPr>
                <w:b/>
                <w:bCs/>
              </w:rPr>
            </w:pPr>
            <w:r w:rsidRPr="00E5030A">
              <w:rPr>
                <w:b/>
                <w:bCs/>
              </w:rPr>
              <w:t xml:space="preserve">NSCOSTTOT </w:t>
            </w:r>
            <w:r w:rsidRPr="00E5030A">
              <w:rPr>
                <w:b/>
                <w:bCs/>
              </w:rPr>
              <w:tab/>
              <w:t>=</w:t>
            </w:r>
            <w:r w:rsidRPr="00E5030A">
              <w:rPr>
                <w:b/>
                <w:bCs/>
              </w:rPr>
              <w:tab/>
              <w:t>(-1) * (</w:t>
            </w:r>
            <w:r w:rsidR="00A94020">
              <w:rPr>
                <w:b/>
                <w:bCs/>
                <w:noProof/>
                <w:position w:val="-20"/>
              </w:rPr>
              <w:drawing>
                <wp:inline distT="0" distB="0" distL="0" distR="0" wp14:anchorId="19ACCCA7" wp14:editId="2BDCFA09">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(RTPCNSAMTTOT </w:t>
            </w:r>
            <w:r w:rsidRPr="00E5030A">
              <w:rPr>
                <w:b/>
                <w:bCs/>
                <w:i/>
                <w:vertAlign w:val="subscript"/>
              </w:rPr>
              <w:t>m</w:t>
            </w:r>
            <w:r w:rsidRPr="00E5030A">
              <w:rPr>
                <w:bCs/>
              </w:rPr>
              <w:t>)</w:t>
            </w:r>
            <w:r w:rsidRPr="00E5030A">
              <w:rPr>
                <w:b/>
                <w:bCs/>
              </w:rPr>
              <w:t xml:space="preserve"> + </w:t>
            </w:r>
            <w:r w:rsidRPr="00E5030A">
              <w:rPr>
                <w:b/>
                <w:bCs/>
              </w:rPr>
              <w:tab/>
              <w:t xml:space="preserve">PCNSAMTTOT + NSFQAMTTOT + </w:t>
            </w:r>
          </w:p>
          <w:p w14:paraId="5045ED22" w14:textId="77777777" w:rsidR="00124CA4" w:rsidRPr="00E5030A" w:rsidRDefault="00124CA4" w:rsidP="00124CA4">
            <w:pPr>
              <w:spacing w:after="240"/>
              <w:ind w:left="3600" w:firstLine="720"/>
              <w:rPr>
                <w:b/>
                <w:bCs/>
              </w:rPr>
            </w:pPr>
            <w:r w:rsidRPr="00E5030A">
              <w:rPr>
                <w:b/>
                <w:bCs/>
              </w:rPr>
              <w:t>NSINFQAMTTOT</w:t>
            </w:r>
            <w:r>
              <w:rPr>
                <w:b/>
                <w:bCs/>
              </w:rPr>
              <w:t xml:space="preserve"> </w:t>
            </w:r>
            <w:r w:rsidRPr="003675AD">
              <w:rPr>
                <w:b/>
              </w:rPr>
              <w:t xml:space="preserve">+ </w:t>
            </w:r>
            <w:r w:rsidRPr="003675AD">
              <w:rPr>
                <w:b/>
                <w:color w:val="000000"/>
              </w:rPr>
              <w:t>NSMWINFATOT</w:t>
            </w:r>
            <w:r w:rsidRPr="00E5030A">
              <w:rPr>
                <w:b/>
                <w:bCs/>
              </w:rPr>
              <w:t>)</w:t>
            </w:r>
          </w:p>
          <w:p w14:paraId="25A7245E" w14:textId="77777777" w:rsidR="00124CA4" w:rsidRPr="00E5030A" w:rsidRDefault="00124CA4" w:rsidP="00124CA4">
            <w:pPr>
              <w:spacing w:after="240"/>
              <w:rPr>
                <w:iCs/>
              </w:rPr>
            </w:pPr>
            <w:r w:rsidRPr="00E5030A">
              <w:rPr>
                <w:iCs/>
              </w:rPr>
              <w:t xml:space="preserve">Where: </w:t>
            </w:r>
          </w:p>
          <w:p w14:paraId="182AFD06" w14:textId="77777777" w:rsidR="00124CA4" w:rsidRPr="00E5030A" w:rsidRDefault="00124CA4" w:rsidP="00124CA4">
            <w:r w:rsidRPr="00E5030A">
              <w:t>Total payment of SASM- and RSASM-procured capacity for Non-Spin by market</w:t>
            </w:r>
          </w:p>
          <w:p w14:paraId="44397E9C" w14:textId="743D52D0" w:rsidR="00124CA4" w:rsidRPr="00E5030A" w:rsidRDefault="00124CA4" w:rsidP="00124CA4">
            <w:pPr>
              <w:spacing w:after="240"/>
              <w:ind w:leftChars="300" w:left="2880" w:hangingChars="900" w:hanging="2160"/>
              <w:rPr>
                <w:bCs/>
              </w:rPr>
            </w:pPr>
            <w:r w:rsidRPr="00E5030A">
              <w:rPr>
                <w:bCs/>
              </w:rPr>
              <w:t xml:space="preserve">RTPCNSAMTTOT </w:t>
            </w:r>
            <w:r w:rsidRPr="00E5030A">
              <w:rPr>
                <w:bCs/>
                <w:i/>
                <w:vertAlign w:val="subscript"/>
              </w:rPr>
              <w:t>m</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1533E894" wp14:editId="54D46BED">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6CBAFFAF" w14:textId="77777777" w:rsidR="00124CA4" w:rsidRPr="00E5030A" w:rsidRDefault="00124CA4" w:rsidP="00124CA4">
            <w:r w:rsidRPr="00E5030A">
              <w:t>Total payment of DAM-procured capacity for Non-Spin</w:t>
            </w:r>
          </w:p>
          <w:p w14:paraId="5CEFD4AF" w14:textId="52E4893E" w:rsidR="00124CA4" w:rsidRPr="00E5030A" w:rsidRDefault="00124CA4" w:rsidP="00124CA4">
            <w:pPr>
              <w:spacing w:after="240"/>
              <w:ind w:leftChars="300" w:left="2880" w:hangingChars="900" w:hanging="2160"/>
              <w:rPr>
                <w:bCs/>
              </w:rPr>
            </w:pPr>
            <w:r w:rsidRPr="00E5030A">
              <w:rPr>
                <w:bCs/>
              </w:rPr>
              <w:t>PCNSAMTTOT</w:t>
            </w:r>
            <w:r w:rsidRPr="00E5030A">
              <w:rPr>
                <w:bCs/>
              </w:rPr>
              <w:tab/>
            </w:r>
            <w:r w:rsidRPr="00E5030A">
              <w:rPr>
                <w:bCs/>
              </w:rPr>
              <w:tab/>
              <w:t>=</w:t>
            </w:r>
            <w:r w:rsidRPr="00E5030A">
              <w:rPr>
                <w:bCs/>
              </w:rPr>
              <w:tab/>
            </w:r>
            <w:r w:rsidR="00A94020">
              <w:rPr>
                <w:bCs/>
                <w:noProof/>
                <w:position w:val="-22"/>
              </w:rPr>
              <w:drawing>
                <wp:inline distT="0" distB="0" distL="0" distR="0" wp14:anchorId="036E3B4E" wp14:editId="7FA75E95">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PCNSAMT </w:t>
            </w:r>
            <w:r w:rsidRPr="00E5030A">
              <w:rPr>
                <w:bCs/>
                <w:i/>
                <w:vertAlign w:val="subscript"/>
              </w:rPr>
              <w:t>q</w:t>
            </w:r>
          </w:p>
          <w:p w14:paraId="77BF1E01" w14:textId="77777777" w:rsidR="00124CA4" w:rsidRPr="00E5030A" w:rsidRDefault="00124CA4" w:rsidP="00124CA4">
            <w:r w:rsidRPr="00E5030A">
              <w:t>Total charge of failure on Ancillary Service Supply Responsibility for Non-Spin</w:t>
            </w:r>
          </w:p>
          <w:p w14:paraId="79EF03CC" w14:textId="5C6A3975" w:rsidR="00124CA4" w:rsidRPr="00E5030A" w:rsidRDefault="00124CA4" w:rsidP="00124CA4">
            <w:pPr>
              <w:spacing w:after="240"/>
              <w:ind w:leftChars="300" w:left="2880" w:hangingChars="900" w:hanging="2160"/>
              <w:rPr>
                <w:bCs/>
              </w:rPr>
            </w:pPr>
            <w:r w:rsidRPr="00E5030A">
              <w:rPr>
                <w:bCs/>
              </w:rPr>
              <w:t>NSFQAMTTOT</w:t>
            </w:r>
            <w:r w:rsidRPr="00E5030A">
              <w:rPr>
                <w:bCs/>
              </w:rPr>
              <w:tab/>
            </w:r>
            <w:r w:rsidRPr="00E5030A">
              <w:rPr>
                <w:bCs/>
              </w:rPr>
              <w:tab/>
              <w:t>=</w:t>
            </w:r>
            <w:r w:rsidRPr="00E5030A">
              <w:rPr>
                <w:bCs/>
              </w:rPr>
              <w:tab/>
            </w:r>
            <w:r w:rsidR="00A94020">
              <w:rPr>
                <w:bCs/>
                <w:noProof/>
                <w:position w:val="-22"/>
              </w:rPr>
              <w:drawing>
                <wp:inline distT="0" distB="0" distL="0" distR="0" wp14:anchorId="36E5C207" wp14:editId="04195F5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NSFQAMTQSETOT </w:t>
            </w:r>
            <w:r w:rsidRPr="00E5030A">
              <w:rPr>
                <w:bCs/>
                <w:i/>
                <w:vertAlign w:val="subscript"/>
              </w:rPr>
              <w:t>q</w:t>
            </w:r>
          </w:p>
          <w:p w14:paraId="617197A0" w14:textId="77777777" w:rsidR="00124CA4" w:rsidRPr="00E5030A" w:rsidRDefault="00124CA4" w:rsidP="00124CA4">
            <w:pPr>
              <w:ind w:left="300" w:hangingChars="125" w:hanging="300"/>
              <w:rPr>
                <w:bCs/>
              </w:rPr>
            </w:pPr>
            <w:r w:rsidRPr="00E5030A">
              <w:rPr>
                <w:bCs/>
              </w:rPr>
              <w:t>Total payment of SASM- and RSASM-procured capacity for Non-Spin by QSE</w:t>
            </w:r>
          </w:p>
          <w:p w14:paraId="5DD2D254" w14:textId="7E2B0F5D" w:rsidR="00124CA4" w:rsidRPr="00E5030A" w:rsidRDefault="00124CA4" w:rsidP="00124CA4">
            <w:pPr>
              <w:spacing w:after="240"/>
              <w:ind w:leftChars="300" w:left="2880" w:hangingChars="900" w:hanging="2160"/>
              <w:rPr>
                <w:bCs/>
                <w:i/>
                <w:vertAlign w:val="subscript"/>
              </w:rPr>
            </w:pPr>
            <w:r w:rsidRPr="00E5030A">
              <w:rPr>
                <w:bCs/>
              </w:rPr>
              <w:t xml:space="preserve">RTPCNSAMTQSETOT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27516435" wp14:editId="02D9F224">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7BDBCE5B" w14:textId="77777777" w:rsidR="00124CA4" w:rsidRPr="00E5030A" w:rsidRDefault="00124CA4" w:rsidP="00124CA4">
            <w:r w:rsidRPr="00E5030A">
              <w:t>Total charge of infeasible Ancillary Service Supply Responsibility for Non-Spin</w:t>
            </w:r>
          </w:p>
          <w:p w14:paraId="3A888433" w14:textId="614F06E3" w:rsidR="00124CA4" w:rsidRPr="00E5030A" w:rsidRDefault="00124CA4" w:rsidP="00124CA4">
            <w:pPr>
              <w:spacing w:after="240"/>
              <w:ind w:left="2880" w:hanging="2160"/>
              <w:rPr>
                <w:i/>
                <w:vertAlign w:val="subscript"/>
              </w:rPr>
            </w:pPr>
            <w:r w:rsidRPr="00E5030A">
              <w:t>NSINFQAMTTOT</w:t>
            </w:r>
            <w:r w:rsidRPr="00E5030A">
              <w:tab/>
              <w:t>=</w:t>
            </w:r>
            <w:r w:rsidRPr="00E5030A">
              <w:tab/>
            </w:r>
            <w:r w:rsidR="00A94020">
              <w:rPr>
                <w:noProof/>
                <w:position w:val="-22"/>
              </w:rPr>
              <w:drawing>
                <wp:inline distT="0" distB="0" distL="0" distR="0" wp14:anchorId="787DFAAD" wp14:editId="1F8C380D">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NSINFQAMT </w:t>
            </w:r>
            <w:r w:rsidRPr="00E5030A">
              <w:rPr>
                <w:i/>
                <w:vertAlign w:val="subscript"/>
              </w:rPr>
              <w:t>q</w:t>
            </w:r>
          </w:p>
          <w:p w14:paraId="22447E35" w14:textId="77777777" w:rsidR="00124CA4" w:rsidRDefault="00124CA4" w:rsidP="00065EC3">
            <w:pPr>
              <w:pStyle w:val="Formula"/>
              <w:ind w:leftChars="9" w:left="322" w:hangingChars="125" w:hanging="300"/>
            </w:pPr>
            <w:r>
              <w:t xml:space="preserve">Total Real-Time </w:t>
            </w:r>
            <w:r>
              <w:rPr>
                <w:iCs/>
              </w:rPr>
              <w:t>Day-Ahead</w:t>
            </w:r>
            <w:r>
              <w:t xml:space="preserve"> Make-Whole Payment for Non-Spin </w:t>
            </w:r>
          </w:p>
          <w:p w14:paraId="38AA7D63" w14:textId="77777777" w:rsidR="00124CA4" w:rsidRDefault="00124CA4" w:rsidP="00124CA4">
            <w:pPr>
              <w:spacing w:after="240"/>
              <w:ind w:leftChars="300" w:left="2880" w:hangingChars="900" w:hanging="2160"/>
            </w:pPr>
            <w:r w:rsidRPr="00AE4A9E">
              <w:rPr>
                <w:bCs/>
              </w:rPr>
              <w:t>NSMWINFATOT</w:t>
            </w:r>
            <w:r>
              <w:tab/>
              <w:t>=</w:t>
            </w:r>
            <w:r>
              <w:tab/>
            </w:r>
            <w:r w:rsidRPr="004C0093">
              <w:rPr>
                <w:position w:val="-22"/>
                <w:lang w:val="pt-BR"/>
              </w:rPr>
              <w:object w:dxaOrig="220" w:dyaOrig="460" w14:anchorId="1406AC3F">
                <v:shape id="_x0000_i1355" type="#_x0000_t75" style="width:12pt;height:18pt" o:ole="">
                  <v:imagedata r:id="rId434" o:title=""/>
                </v:shape>
                <o:OLEObject Type="Embed" ProgID="Equation.3" ShapeID="_x0000_i1355" DrawAspect="Content" ObjectID="_1804653838" r:id="rId442"/>
              </w:object>
            </w:r>
            <w:r w:rsidRPr="00627431">
              <w:rPr>
                <w:color w:val="000000"/>
              </w:rPr>
              <w:t xml:space="preserve"> </w:t>
            </w:r>
            <w:r>
              <w:rPr>
                <w:color w:val="000000"/>
              </w:rPr>
              <w:t>NSMWINFA</w:t>
            </w:r>
            <w:r w:rsidRPr="004C0093" w:rsidDel="003A6C36">
              <w:rPr>
                <w:color w:val="000000"/>
              </w:rPr>
              <w:t xml:space="preserve"> </w:t>
            </w:r>
            <w:r>
              <w:rPr>
                <w:i/>
                <w:vertAlign w:val="subscript"/>
              </w:rPr>
              <w:t>q,</w:t>
            </w:r>
            <w:r w:rsidRPr="004C0093">
              <w:rPr>
                <w:i/>
                <w:vertAlign w:val="subscript"/>
              </w:rPr>
              <w:t xml:space="preserve"> h  </w:t>
            </w:r>
          </w:p>
          <w:p w14:paraId="7F991966" w14:textId="77777777" w:rsidR="00124CA4" w:rsidRDefault="00124CA4" w:rsidP="002914A3">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2914A3" w:rsidRPr="00E5030A" w14:paraId="479FFF9C" w14:textId="77777777" w:rsidTr="002A7BFB">
              <w:trPr>
                <w:tblHeader/>
              </w:trPr>
              <w:tc>
                <w:tcPr>
                  <w:tcW w:w="1231" w:type="pct"/>
                </w:tcPr>
                <w:p w14:paraId="2F706779" w14:textId="77777777" w:rsidR="002914A3" w:rsidRPr="00E5030A" w:rsidRDefault="002914A3" w:rsidP="002914A3">
                  <w:pPr>
                    <w:spacing w:after="120"/>
                    <w:rPr>
                      <w:b/>
                      <w:iCs/>
                      <w:sz w:val="20"/>
                    </w:rPr>
                  </w:pPr>
                  <w:r w:rsidRPr="00E5030A">
                    <w:rPr>
                      <w:b/>
                      <w:iCs/>
                      <w:sz w:val="20"/>
                    </w:rPr>
                    <w:lastRenderedPageBreak/>
                    <w:t>Variable</w:t>
                  </w:r>
                </w:p>
              </w:tc>
              <w:tc>
                <w:tcPr>
                  <w:tcW w:w="329" w:type="pct"/>
                </w:tcPr>
                <w:p w14:paraId="063E6BE5" w14:textId="77777777" w:rsidR="002914A3" w:rsidRPr="00E5030A" w:rsidRDefault="002914A3" w:rsidP="002914A3">
                  <w:pPr>
                    <w:spacing w:after="120"/>
                    <w:rPr>
                      <w:b/>
                      <w:iCs/>
                      <w:sz w:val="20"/>
                    </w:rPr>
                  </w:pPr>
                  <w:r w:rsidRPr="00E5030A">
                    <w:rPr>
                      <w:b/>
                      <w:iCs/>
                      <w:sz w:val="20"/>
                    </w:rPr>
                    <w:t>Unit</w:t>
                  </w:r>
                </w:p>
              </w:tc>
              <w:tc>
                <w:tcPr>
                  <w:tcW w:w="3440" w:type="pct"/>
                </w:tcPr>
                <w:p w14:paraId="23BDE8FD" w14:textId="77777777" w:rsidR="002914A3" w:rsidRPr="00E5030A" w:rsidRDefault="002914A3" w:rsidP="002914A3">
                  <w:pPr>
                    <w:spacing w:after="120"/>
                    <w:rPr>
                      <w:b/>
                      <w:iCs/>
                      <w:sz w:val="20"/>
                    </w:rPr>
                  </w:pPr>
                  <w:r w:rsidRPr="00E5030A">
                    <w:rPr>
                      <w:b/>
                      <w:iCs/>
                      <w:sz w:val="20"/>
                    </w:rPr>
                    <w:t>Description</w:t>
                  </w:r>
                </w:p>
              </w:tc>
            </w:tr>
            <w:tr w:rsidR="002914A3" w:rsidRPr="00E5030A" w14:paraId="24EFDCD3" w14:textId="77777777" w:rsidTr="002A7BFB">
              <w:tc>
                <w:tcPr>
                  <w:tcW w:w="1231" w:type="pct"/>
                </w:tcPr>
                <w:p w14:paraId="601DEB5F" w14:textId="77777777" w:rsidR="002914A3" w:rsidRPr="00E5030A" w:rsidRDefault="002914A3" w:rsidP="002914A3">
                  <w:pPr>
                    <w:spacing w:after="60"/>
                    <w:rPr>
                      <w:iCs/>
                      <w:sz w:val="20"/>
                    </w:rPr>
                  </w:pPr>
                  <w:r w:rsidRPr="00E5030A">
                    <w:rPr>
                      <w:iCs/>
                      <w:sz w:val="20"/>
                    </w:rPr>
                    <w:t>NSCOSTTOT</w:t>
                  </w:r>
                </w:p>
              </w:tc>
              <w:tc>
                <w:tcPr>
                  <w:tcW w:w="329" w:type="pct"/>
                </w:tcPr>
                <w:p w14:paraId="76DB8455" w14:textId="77777777" w:rsidR="002914A3" w:rsidRPr="00E5030A" w:rsidRDefault="002914A3" w:rsidP="002914A3">
                  <w:pPr>
                    <w:spacing w:after="60"/>
                    <w:rPr>
                      <w:iCs/>
                      <w:sz w:val="20"/>
                    </w:rPr>
                  </w:pPr>
                  <w:r w:rsidRPr="00E5030A">
                    <w:rPr>
                      <w:iCs/>
                      <w:sz w:val="20"/>
                    </w:rPr>
                    <w:t>$</w:t>
                  </w:r>
                </w:p>
              </w:tc>
              <w:tc>
                <w:tcPr>
                  <w:tcW w:w="3440" w:type="pct"/>
                </w:tcPr>
                <w:p w14:paraId="5E70B580" w14:textId="77777777" w:rsidR="002914A3" w:rsidRPr="00E5030A" w:rsidRDefault="002914A3" w:rsidP="002914A3">
                  <w:pPr>
                    <w:spacing w:after="60"/>
                    <w:rPr>
                      <w:iCs/>
                      <w:sz w:val="20"/>
                    </w:rPr>
                  </w:pPr>
                  <w:r w:rsidRPr="00E5030A">
                    <w:rPr>
                      <w:i/>
                      <w:iCs/>
                      <w:sz w:val="20"/>
                    </w:rPr>
                    <w:t>Non-Spin Cost Total</w:t>
                  </w:r>
                  <w:r w:rsidRPr="00E5030A">
                    <w:rPr>
                      <w:iCs/>
                      <w:sz w:val="20"/>
                    </w:rPr>
                    <w:t>—The net total costs for Non-Spin, for the hour.</w:t>
                  </w:r>
                </w:p>
              </w:tc>
            </w:tr>
            <w:tr w:rsidR="002914A3" w:rsidRPr="00E5030A" w14:paraId="7BD46BA9" w14:textId="77777777" w:rsidTr="002A7BFB">
              <w:tc>
                <w:tcPr>
                  <w:tcW w:w="1231" w:type="pct"/>
                  <w:tcBorders>
                    <w:top w:val="single" w:sz="4" w:space="0" w:color="auto"/>
                    <w:left w:val="single" w:sz="4" w:space="0" w:color="auto"/>
                    <w:bottom w:val="single" w:sz="4" w:space="0" w:color="auto"/>
                    <w:right w:val="single" w:sz="4" w:space="0" w:color="auto"/>
                  </w:tcBorders>
                </w:tcPr>
                <w:p w14:paraId="20F73EA8" w14:textId="77777777" w:rsidR="002914A3" w:rsidRPr="00E5030A" w:rsidRDefault="002914A3" w:rsidP="002914A3">
                  <w:pPr>
                    <w:spacing w:after="60"/>
                    <w:rPr>
                      <w:iCs/>
                      <w:sz w:val="20"/>
                    </w:rPr>
                  </w:pPr>
                  <w:r w:rsidRPr="00E5030A">
                    <w:rPr>
                      <w:iCs/>
                      <w:sz w:val="20"/>
                    </w:rPr>
                    <w:t xml:space="preserve">RTPCNSAMTTOT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482B68C1"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45E9705" w14:textId="77777777" w:rsidR="002914A3" w:rsidRPr="00E5030A" w:rsidRDefault="002914A3" w:rsidP="002914A3">
                  <w:pPr>
                    <w:spacing w:after="60"/>
                    <w:rPr>
                      <w:i/>
                      <w:iCs/>
                      <w:sz w:val="20"/>
                    </w:rPr>
                  </w:pPr>
                  <w:r w:rsidRPr="00E5030A">
                    <w:rPr>
                      <w:i/>
                      <w:iCs/>
                      <w:sz w:val="20"/>
                    </w:rPr>
                    <w:t>Procured Capacity for Non-Spin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Non-Spin, for the hour.</w:t>
                  </w:r>
                </w:p>
              </w:tc>
            </w:tr>
            <w:tr w:rsidR="002914A3" w:rsidRPr="00E5030A" w14:paraId="1DDF035C" w14:textId="77777777" w:rsidTr="002A7BFB">
              <w:tc>
                <w:tcPr>
                  <w:tcW w:w="1231" w:type="pct"/>
                  <w:tcBorders>
                    <w:top w:val="single" w:sz="4" w:space="0" w:color="auto"/>
                    <w:left w:val="single" w:sz="4" w:space="0" w:color="auto"/>
                    <w:bottom w:val="single" w:sz="4" w:space="0" w:color="auto"/>
                    <w:right w:val="single" w:sz="4" w:space="0" w:color="auto"/>
                  </w:tcBorders>
                </w:tcPr>
                <w:p w14:paraId="1F333239" w14:textId="77777777" w:rsidR="002914A3" w:rsidRPr="00E5030A" w:rsidRDefault="002914A3" w:rsidP="002914A3">
                  <w:pPr>
                    <w:spacing w:after="60"/>
                    <w:rPr>
                      <w:iCs/>
                      <w:sz w:val="20"/>
                    </w:rPr>
                  </w:pPr>
                  <w:r w:rsidRPr="00E5030A">
                    <w:rPr>
                      <w:iCs/>
                      <w:sz w:val="20"/>
                    </w:rPr>
                    <w:t xml:space="preserve">RTPCNSAMT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A1A8A0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372EEA4B" w14:textId="77777777" w:rsidR="002914A3" w:rsidRPr="00E5030A" w:rsidRDefault="002914A3" w:rsidP="002914A3">
                  <w:pPr>
                    <w:spacing w:after="60"/>
                    <w:rPr>
                      <w:i/>
                      <w:iCs/>
                      <w:sz w:val="20"/>
                    </w:rPr>
                  </w:pPr>
                  <w:r w:rsidRPr="00E5030A">
                    <w:rPr>
                      <w:i/>
                      <w:iCs/>
                      <w:sz w:val="20"/>
                    </w:rPr>
                    <w:t>Procured Capacity for Non-Spin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Non-Spin, for the hour.</w:t>
                  </w:r>
                </w:p>
              </w:tc>
            </w:tr>
            <w:tr w:rsidR="002914A3" w:rsidRPr="00E5030A" w14:paraId="021BAAA7" w14:textId="77777777" w:rsidTr="002A7BFB">
              <w:tc>
                <w:tcPr>
                  <w:tcW w:w="1231" w:type="pct"/>
                  <w:tcBorders>
                    <w:top w:val="single" w:sz="4" w:space="0" w:color="auto"/>
                    <w:left w:val="single" w:sz="4" w:space="0" w:color="auto"/>
                    <w:bottom w:val="single" w:sz="4" w:space="0" w:color="auto"/>
                    <w:right w:val="single" w:sz="4" w:space="0" w:color="auto"/>
                  </w:tcBorders>
                </w:tcPr>
                <w:p w14:paraId="0F90982C" w14:textId="77777777" w:rsidR="002914A3" w:rsidRPr="00E5030A" w:rsidRDefault="002914A3" w:rsidP="002914A3">
                  <w:pPr>
                    <w:spacing w:after="60"/>
                    <w:rPr>
                      <w:iCs/>
                      <w:sz w:val="20"/>
                    </w:rPr>
                  </w:pPr>
                  <w:r w:rsidRPr="00E5030A">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392A88DB"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D10E3B" w14:textId="77777777" w:rsidR="002914A3" w:rsidRPr="00E5030A" w:rsidRDefault="002914A3" w:rsidP="002914A3">
                  <w:pPr>
                    <w:spacing w:after="60"/>
                    <w:rPr>
                      <w:i/>
                      <w:iCs/>
                      <w:sz w:val="20"/>
                    </w:rPr>
                  </w:pPr>
                  <w:r w:rsidRPr="00E5030A">
                    <w:rPr>
                      <w:i/>
                      <w:iCs/>
                      <w:sz w:val="20"/>
                    </w:rPr>
                    <w:t>Non-Spin Failure Quantity Amount Total</w:t>
                  </w:r>
                  <w:r w:rsidRPr="00E5030A">
                    <w:rPr>
                      <w:iCs/>
                      <w:sz w:val="20"/>
                    </w:rPr>
                    <w:t>—The total charges to all QSEs for their capacity associated with failures and reconfiguration reductions on their Ancillary Service Supply Responsibilities for Non-Spin, for the hour.</w:t>
                  </w:r>
                </w:p>
              </w:tc>
            </w:tr>
            <w:tr w:rsidR="002914A3" w:rsidRPr="00E5030A" w14:paraId="41604243" w14:textId="77777777" w:rsidTr="002A7BFB">
              <w:tc>
                <w:tcPr>
                  <w:tcW w:w="1231" w:type="pct"/>
                  <w:tcBorders>
                    <w:top w:val="single" w:sz="4" w:space="0" w:color="auto"/>
                    <w:left w:val="single" w:sz="4" w:space="0" w:color="auto"/>
                    <w:bottom w:val="single" w:sz="4" w:space="0" w:color="auto"/>
                    <w:right w:val="single" w:sz="4" w:space="0" w:color="auto"/>
                  </w:tcBorders>
                </w:tcPr>
                <w:p w14:paraId="7A6E8B80" w14:textId="77777777" w:rsidR="002914A3" w:rsidRPr="00E5030A" w:rsidRDefault="002914A3" w:rsidP="002914A3">
                  <w:pPr>
                    <w:spacing w:after="60"/>
                    <w:rPr>
                      <w:iCs/>
                      <w:sz w:val="20"/>
                    </w:rPr>
                  </w:pPr>
                  <w:r>
                    <w:rPr>
                      <w:color w:val="000000"/>
                      <w:sz w:val="20"/>
                    </w:rPr>
                    <w:t>NS</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DEAAE9A"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393984"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2914A3" w:rsidRPr="00E5030A" w14:paraId="71A05478" w14:textId="77777777" w:rsidTr="002A7BFB">
              <w:tc>
                <w:tcPr>
                  <w:tcW w:w="1231" w:type="pct"/>
                  <w:tcBorders>
                    <w:top w:val="single" w:sz="4" w:space="0" w:color="auto"/>
                    <w:left w:val="single" w:sz="4" w:space="0" w:color="auto"/>
                    <w:bottom w:val="single" w:sz="4" w:space="0" w:color="auto"/>
                    <w:right w:val="single" w:sz="4" w:space="0" w:color="auto"/>
                  </w:tcBorders>
                </w:tcPr>
                <w:p w14:paraId="24DADEDB" w14:textId="77777777" w:rsidR="002914A3" w:rsidRPr="00E5030A" w:rsidRDefault="002914A3" w:rsidP="002914A3">
                  <w:pPr>
                    <w:spacing w:after="60"/>
                    <w:rPr>
                      <w:iCs/>
                      <w:sz w:val="20"/>
                    </w:rPr>
                  </w:pPr>
                  <w:r>
                    <w:rPr>
                      <w:color w:val="000000"/>
                      <w:sz w:val="20"/>
                    </w:rPr>
                    <w:t>NS</w:t>
                  </w:r>
                  <w:r w:rsidRPr="003530E3">
                    <w:rPr>
                      <w:color w:val="000000"/>
                      <w:sz w:val="20"/>
                    </w:rPr>
                    <w:t>MWINFA</w:t>
                  </w:r>
                  <w:r w:rsidDel="003A6C36">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BA43B37"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6680AE01"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2914A3" w:rsidRPr="00E5030A" w14:paraId="6CD03001" w14:textId="77777777" w:rsidTr="002A7BFB">
              <w:tc>
                <w:tcPr>
                  <w:tcW w:w="1231" w:type="pct"/>
                  <w:tcBorders>
                    <w:top w:val="single" w:sz="4" w:space="0" w:color="auto"/>
                    <w:left w:val="single" w:sz="4" w:space="0" w:color="auto"/>
                    <w:bottom w:val="single" w:sz="4" w:space="0" w:color="auto"/>
                    <w:right w:val="single" w:sz="4" w:space="0" w:color="auto"/>
                  </w:tcBorders>
                </w:tcPr>
                <w:p w14:paraId="2ED58651" w14:textId="77777777" w:rsidR="002914A3" w:rsidRPr="00E5030A" w:rsidRDefault="002914A3" w:rsidP="002914A3">
                  <w:pPr>
                    <w:spacing w:after="60"/>
                    <w:rPr>
                      <w:iCs/>
                      <w:sz w:val="20"/>
                    </w:rPr>
                  </w:pPr>
                  <w:r w:rsidRPr="00E5030A">
                    <w:rPr>
                      <w:iCs/>
                      <w:sz w:val="20"/>
                    </w:rPr>
                    <w:t xml:space="preserve">NSFQAMTQSETOT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08E9BA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09F73C47" w14:textId="77777777" w:rsidR="002914A3" w:rsidRPr="00E5030A" w:rsidRDefault="002914A3" w:rsidP="002914A3">
                  <w:pPr>
                    <w:spacing w:after="60"/>
                    <w:rPr>
                      <w:i/>
                      <w:iCs/>
                      <w:sz w:val="20"/>
                    </w:rPr>
                  </w:pPr>
                  <w:r w:rsidRPr="00E5030A">
                    <w:rPr>
                      <w:i/>
                      <w:iCs/>
                      <w:sz w:val="20"/>
                    </w:rPr>
                    <w:t>Non-Spin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Non-Spin, for the hour.</w:t>
                  </w:r>
                </w:p>
              </w:tc>
            </w:tr>
            <w:tr w:rsidR="002914A3" w:rsidRPr="00E5030A" w14:paraId="1E60E1C3" w14:textId="77777777" w:rsidTr="002A7BFB">
              <w:tc>
                <w:tcPr>
                  <w:tcW w:w="1231" w:type="pct"/>
                  <w:tcBorders>
                    <w:top w:val="single" w:sz="4" w:space="0" w:color="auto"/>
                    <w:left w:val="single" w:sz="4" w:space="0" w:color="auto"/>
                    <w:bottom w:val="single" w:sz="4" w:space="0" w:color="auto"/>
                    <w:right w:val="single" w:sz="4" w:space="0" w:color="auto"/>
                  </w:tcBorders>
                </w:tcPr>
                <w:p w14:paraId="09CE89C2" w14:textId="77777777" w:rsidR="002914A3" w:rsidRPr="00E5030A" w:rsidRDefault="002914A3" w:rsidP="002914A3">
                  <w:pPr>
                    <w:spacing w:after="60"/>
                    <w:rPr>
                      <w:iCs/>
                      <w:sz w:val="20"/>
                    </w:rPr>
                  </w:pPr>
                  <w:r w:rsidRPr="00E5030A">
                    <w:rPr>
                      <w:iCs/>
                      <w:sz w:val="20"/>
                    </w:rPr>
                    <w:t xml:space="preserve">RTPCNSAMTQSETOT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3878076"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058166C" w14:textId="77777777" w:rsidR="002914A3" w:rsidRPr="00E5030A" w:rsidRDefault="002914A3" w:rsidP="002914A3">
                  <w:pPr>
                    <w:spacing w:after="60"/>
                    <w:rPr>
                      <w:iCs/>
                      <w:sz w:val="20"/>
                    </w:rPr>
                  </w:pPr>
                  <w:r w:rsidRPr="00E5030A">
                    <w:rPr>
                      <w:i/>
                      <w:iCs/>
                      <w:sz w:val="20"/>
                    </w:rPr>
                    <w:t>Procured Capacity for Non-Spin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Non-Spin, for the hour.</w:t>
                  </w:r>
                </w:p>
              </w:tc>
            </w:tr>
            <w:tr w:rsidR="002914A3" w:rsidRPr="00E5030A" w14:paraId="4660C499" w14:textId="77777777" w:rsidTr="002A7BFB">
              <w:tc>
                <w:tcPr>
                  <w:tcW w:w="1231" w:type="pct"/>
                  <w:tcBorders>
                    <w:top w:val="single" w:sz="4" w:space="0" w:color="auto"/>
                    <w:left w:val="single" w:sz="4" w:space="0" w:color="auto"/>
                    <w:bottom w:val="single" w:sz="4" w:space="0" w:color="auto"/>
                    <w:right w:val="single" w:sz="4" w:space="0" w:color="auto"/>
                  </w:tcBorders>
                </w:tcPr>
                <w:p w14:paraId="05C1B5FB" w14:textId="77777777" w:rsidR="002914A3" w:rsidRPr="00E5030A" w:rsidRDefault="002914A3" w:rsidP="002914A3">
                  <w:pPr>
                    <w:rPr>
                      <w:b/>
                      <w:sz w:val="20"/>
                    </w:rPr>
                  </w:pPr>
                  <w:r w:rsidRPr="00E5030A">
                    <w:rPr>
                      <w:sz w:val="20"/>
                    </w:rPr>
                    <w:t xml:space="preserve">PCNSAMT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36F243D" w14:textId="77777777" w:rsidR="002914A3" w:rsidRPr="00E5030A" w:rsidRDefault="002914A3" w:rsidP="002914A3">
                  <w:pPr>
                    <w:rPr>
                      <w:b/>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09CE31FF" w14:textId="77777777" w:rsidR="002914A3" w:rsidRPr="00E5030A" w:rsidRDefault="002914A3" w:rsidP="002914A3">
                  <w:pPr>
                    <w:rPr>
                      <w:b/>
                      <w:sz w:val="20"/>
                    </w:rPr>
                  </w:pPr>
                  <w:r w:rsidRPr="00E5030A">
                    <w:rPr>
                      <w:i/>
                      <w:sz w:val="20"/>
                    </w:rPr>
                    <w:t>Procured Capacity for Non-Spin Amount per QSE in DAM—</w:t>
                  </w:r>
                  <w:r w:rsidRPr="00E5030A">
                    <w:rPr>
                      <w:sz w:val="20"/>
                    </w:rPr>
                    <w:t>The DAM Non-Spin payment for QSE</w:t>
                  </w:r>
                  <w:r w:rsidRPr="00E5030A">
                    <w:rPr>
                      <w:i/>
                      <w:sz w:val="20"/>
                    </w:rPr>
                    <w:t xml:space="preserve"> q</w:t>
                  </w:r>
                  <w:r w:rsidRPr="00E5030A">
                    <w:rPr>
                      <w:sz w:val="20"/>
                    </w:rPr>
                    <w:t>, for the hour.</w:t>
                  </w:r>
                </w:p>
              </w:tc>
            </w:tr>
            <w:tr w:rsidR="002914A3" w:rsidRPr="00E5030A" w14:paraId="522DE6CB" w14:textId="77777777" w:rsidTr="002A7BFB">
              <w:tc>
                <w:tcPr>
                  <w:tcW w:w="1231" w:type="pct"/>
                  <w:tcBorders>
                    <w:top w:val="single" w:sz="4" w:space="0" w:color="auto"/>
                    <w:left w:val="single" w:sz="4" w:space="0" w:color="auto"/>
                    <w:bottom w:val="single" w:sz="4" w:space="0" w:color="auto"/>
                    <w:right w:val="single" w:sz="4" w:space="0" w:color="auto"/>
                  </w:tcBorders>
                </w:tcPr>
                <w:p w14:paraId="09630DEF" w14:textId="77777777" w:rsidR="002914A3" w:rsidRPr="00E5030A" w:rsidRDefault="002914A3" w:rsidP="002914A3">
                  <w:pPr>
                    <w:spacing w:after="60"/>
                    <w:rPr>
                      <w:sz w:val="20"/>
                    </w:rPr>
                  </w:pPr>
                  <w:r w:rsidRPr="00E5030A">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381A2FF7"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5FAEDBAA" w14:textId="77777777" w:rsidR="002914A3" w:rsidRPr="00E5030A" w:rsidRDefault="002914A3" w:rsidP="002914A3">
                  <w:pPr>
                    <w:spacing w:after="60"/>
                    <w:rPr>
                      <w:sz w:val="20"/>
                    </w:rPr>
                  </w:pPr>
                  <w:r w:rsidRPr="00E5030A">
                    <w:rPr>
                      <w:i/>
                      <w:sz w:val="20"/>
                    </w:rPr>
                    <w:t>Procured Capacity for Non-Spin Amount Total in DAM</w:t>
                  </w:r>
                  <w:r w:rsidRPr="00E5030A">
                    <w:rPr>
                      <w:sz w:val="20"/>
                    </w:rPr>
                    <w:t>—The total of the DAM Non-Spin payments for all QSEs, for the hour.</w:t>
                  </w:r>
                </w:p>
              </w:tc>
            </w:tr>
            <w:tr w:rsidR="002914A3" w:rsidRPr="00E5030A" w14:paraId="18C4F946" w14:textId="77777777" w:rsidTr="002A7BFB">
              <w:tc>
                <w:tcPr>
                  <w:tcW w:w="1231" w:type="pct"/>
                  <w:tcBorders>
                    <w:top w:val="single" w:sz="4" w:space="0" w:color="auto"/>
                    <w:left w:val="single" w:sz="4" w:space="0" w:color="auto"/>
                    <w:bottom w:val="single" w:sz="4" w:space="0" w:color="auto"/>
                    <w:right w:val="single" w:sz="4" w:space="0" w:color="auto"/>
                  </w:tcBorders>
                </w:tcPr>
                <w:p w14:paraId="45FBD203" w14:textId="77777777" w:rsidR="002914A3" w:rsidRPr="00E5030A" w:rsidRDefault="002914A3" w:rsidP="002914A3">
                  <w:pPr>
                    <w:spacing w:after="60"/>
                    <w:rPr>
                      <w:sz w:val="20"/>
                    </w:rPr>
                  </w:pPr>
                  <w:r w:rsidRPr="00E5030A">
                    <w:rPr>
                      <w:sz w:val="20"/>
                    </w:rPr>
                    <w:t>NSINFQAMTTOT</w:t>
                  </w:r>
                </w:p>
              </w:tc>
              <w:tc>
                <w:tcPr>
                  <w:tcW w:w="329" w:type="pct"/>
                  <w:tcBorders>
                    <w:top w:val="single" w:sz="4" w:space="0" w:color="auto"/>
                    <w:left w:val="single" w:sz="4" w:space="0" w:color="auto"/>
                    <w:bottom w:val="single" w:sz="4" w:space="0" w:color="auto"/>
                    <w:right w:val="single" w:sz="4" w:space="0" w:color="auto"/>
                  </w:tcBorders>
                </w:tcPr>
                <w:p w14:paraId="68B495E1"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72E6BBF1" w14:textId="77777777" w:rsidR="002914A3" w:rsidRPr="00E5030A" w:rsidRDefault="002914A3" w:rsidP="002914A3">
                  <w:pPr>
                    <w:spacing w:after="60"/>
                    <w:rPr>
                      <w:i/>
                      <w:sz w:val="20"/>
                    </w:rPr>
                  </w:pPr>
                  <w:r w:rsidRPr="00E5030A">
                    <w:rPr>
                      <w:i/>
                      <w:sz w:val="20"/>
                    </w:rPr>
                    <w:t xml:space="preserve">Non-Spin Infeasible Quantity Amount Total </w:t>
                  </w:r>
                  <w:r w:rsidRPr="00E5030A">
                    <w:rPr>
                      <w:sz w:val="20"/>
                    </w:rPr>
                    <w:t>— The charge to all QSEs for their total capacity associated with infeasible deployment of Ancillary Service Supply Responsibilities for Non-Spin, for the hour.</w:t>
                  </w:r>
                </w:p>
              </w:tc>
            </w:tr>
            <w:tr w:rsidR="002914A3" w:rsidRPr="00E5030A" w14:paraId="79E6F386" w14:textId="77777777" w:rsidTr="002A7BFB">
              <w:tc>
                <w:tcPr>
                  <w:tcW w:w="1231" w:type="pct"/>
                  <w:tcBorders>
                    <w:top w:val="single" w:sz="4" w:space="0" w:color="auto"/>
                    <w:left w:val="single" w:sz="4" w:space="0" w:color="auto"/>
                    <w:bottom w:val="single" w:sz="4" w:space="0" w:color="auto"/>
                    <w:right w:val="single" w:sz="4" w:space="0" w:color="auto"/>
                  </w:tcBorders>
                </w:tcPr>
                <w:p w14:paraId="579BBB7C" w14:textId="77777777" w:rsidR="002914A3" w:rsidRPr="00E5030A" w:rsidRDefault="002914A3" w:rsidP="002914A3">
                  <w:pPr>
                    <w:spacing w:after="60"/>
                    <w:rPr>
                      <w:sz w:val="20"/>
                    </w:rPr>
                  </w:pPr>
                  <w:r w:rsidRPr="00E5030A">
                    <w:rPr>
                      <w:sz w:val="20"/>
                    </w:rPr>
                    <w:t xml:space="preserve">NSINFQAMT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C7461B6"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67D5388A" w14:textId="77777777" w:rsidR="002914A3" w:rsidRPr="00E5030A" w:rsidRDefault="002914A3" w:rsidP="002914A3">
                  <w:pPr>
                    <w:spacing w:after="60"/>
                    <w:rPr>
                      <w:i/>
                      <w:sz w:val="20"/>
                    </w:rPr>
                  </w:pPr>
                  <w:r w:rsidRPr="00E5030A">
                    <w:rPr>
                      <w:i/>
                      <w:sz w:val="20"/>
                    </w:rPr>
                    <w:t>Non-Spin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Non-Spin, for the hour.</w:t>
                  </w:r>
                </w:p>
              </w:tc>
            </w:tr>
            <w:tr w:rsidR="002914A3" w:rsidRPr="00E5030A" w14:paraId="0DD0552F" w14:textId="77777777" w:rsidTr="002A7BFB">
              <w:tc>
                <w:tcPr>
                  <w:tcW w:w="1231" w:type="pct"/>
                  <w:tcBorders>
                    <w:top w:val="single" w:sz="4" w:space="0" w:color="auto"/>
                    <w:left w:val="single" w:sz="4" w:space="0" w:color="auto"/>
                    <w:bottom w:val="single" w:sz="4" w:space="0" w:color="auto"/>
                    <w:right w:val="single" w:sz="4" w:space="0" w:color="auto"/>
                  </w:tcBorders>
                </w:tcPr>
                <w:p w14:paraId="2C196360" w14:textId="77777777" w:rsidR="002914A3" w:rsidRPr="00E5030A" w:rsidRDefault="002914A3" w:rsidP="002914A3">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650631EA"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39B5C842" w14:textId="77777777" w:rsidR="002914A3" w:rsidRPr="00E5030A" w:rsidRDefault="002914A3" w:rsidP="002914A3">
                  <w:pPr>
                    <w:spacing w:after="60"/>
                    <w:rPr>
                      <w:iCs/>
                      <w:sz w:val="20"/>
                    </w:rPr>
                  </w:pPr>
                  <w:r w:rsidRPr="00E5030A">
                    <w:rPr>
                      <w:iCs/>
                      <w:sz w:val="20"/>
                    </w:rPr>
                    <w:t>A QSE.</w:t>
                  </w:r>
                </w:p>
              </w:tc>
            </w:tr>
            <w:tr w:rsidR="002914A3" w:rsidRPr="00E5030A" w14:paraId="3B93C18F" w14:textId="77777777" w:rsidTr="002A7BFB">
              <w:tc>
                <w:tcPr>
                  <w:tcW w:w="1231" w:type="pct"/>
                  <w:tcBorders>
                    <w:top w:val="single" w:sz="4" w:space="0" w:color="auto"/>
                    <w:left w:val="single" w:sz="4" w:space="0" w:color="auto"/>
                    <w:bottom w:val="single" w:sz="4" w:space="0" w:color="auto"/>
                    <w:right w:val="single" w:sz="4" w:space="0" w:color="auto"/>
                  </w:tcBorders>
                </w:tcPr>
                <w:p w14:paraId="0C60B150" w14:textId="77777777" w:rsidR="002914A3" w:rsidRPr="00E5030A" w:rsidRDefault="002914A3" w:rsidP="002914A3">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747EF73E"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5DFF3AB" w14:textId="77777777" w:rsidR="002914A3" w:rsidRPr="00E5030A" w:rsidRDefault="002914A3" w:rsidP="002914A3">
                  <w:pPr>
                    <w:spacing w:after="60"/>
                    <w:rPr>
                      <w:iCs/>
                      <w:sz w:val="20"/>
                    </w:rPr>
                  </w:pPr>
                  <w:r w:rsidRPr="00E5030A">
                    <w:rPr>
                      <w:iCs/>
                      <w:sz w:val="20"/>
                    </w:rPr>
                    <w:t>An Ancillary Service market (SASM or RSASM) for the given Operating Hour.</w:t>
                  </w:r>
                </w:p>
              </w:tc>
            </w:tr>
          </w:tbl>
          <w:p w14:paraId="2E756E01" w14:textId="77777777" w:rsidR="00124CA4" w:rsidRPr="006C5A42" w:rsidRDefault="00124CA4" w:rsidP="00124CA4">
            <w:pPr>
              <w:spacing w:after="240"/>
            </w:pPr>
          </w:p>
        </w:tc>
      </w:tr>
    </w:tbl>
    <w:p w14:paraId="1BF4B208" w14:textId="77777777" w:rsidR="008C5104" w:rsidRPr="007E46C9" w:rsidRDefault="008C5104" w:rsidP="008A4924">
      <w:pPr>
        <w:spacing w:before="240" w:after="240"/>
        <w:ind w:left="1440" w:hanging="720"/>
      </w:pPr>
      <w:r w:rsidRPr="007E46C9">
        <w:lastRenderedPageBreak/>
        <w:t>(b)</w:t>
      </w:r>
      <w:r w:rsidRPr="007E46C9">
        <w:tab/>
        <w:t>Each QSE’s share of the net total costs for Non-Spin for the Operating Hour is calculated as follows:</w:t>
      </w:r>
    </w:p>
    <w:p w14:paraId="155E8C7D" w14:textId="77777777" w:rsidR="008C5104" w:rsidRPr="007E46C9" w:rsidRDefault="008C5104" w:rsidP="008C5104">
      <w:pPr>
        <w:spacing w:after="240"/>
        <w:ind w:left="2880" w:hanging="2160"/>
        <w:rPr>
          <w:b/>
          <w:bCs/>
        </w:rPr>
      </w:pPr>
      <w:r w:rsidRPr="007E46C9">
        <w:rPr>
          <w:b/>
          <w:bCs/>
        </w:rPr>
        <w:t xml:space="preserve">NSCOST </w:t>
      </w:r>
      <w:r w:rsidRPr="007E46C9">
        <w:rPr>
          <w:b/>
          <w:bCs/>
          <w:i/>
          <w:vertAlign w:val="subscript"/>
        </w:rPr>
        <w:t>q</w:t>
      </w:r>
      <w:r w:rsidRPr="007E46C9">
        <w:rPr>
          <w:b/>
          <w:bCs/>
        </w:rPr>
        <w:tab/>
        <w:t>=</w:t>
      </w:r>
      <w:r w:rsidRPr="007E46C9">
        <w:rPr>
          <w:b/>
          <w:bCs/>
        </w:rPr>
        <w:tab/>
        <w:t xml:space="preserve">NSPR * NSQ </w:t>
      </w:r>
      <w:r w:rsidRPr="007E46C9">
        <w:rPr>
          <w:b/>
          <w:bCs/>
          <w:i/>
          <w:vertAlign w:val="subscript"/>
        </w:rPr>
        <w:t>q</w:t>
      </w:r>
    </w:p>
    <w:p w14:paraId="674057FF" w14:textId="77777777" w:rsidR="008C5104" w:rsidRPr="007E46C9" w:rsidRDefault="008C5104" w:rsidP="008C5104">
      <w:pPr>
        <w:spacing w:after="240"/>
        <w:rPr>
          <w:iCs/>
        </w:rPr>
      </w:pPr>
      <w:r w:rsidRPr="007E46C9">
        <w:rPr>
          <w:iCs/>
        </w:rPr>
        <w:t>Where:</w:t>
      </w:r>
    </w:p>
    <w:p w14:paraId="2A7CC182" w14:textId="77777777" w:rsidR="008C5104" w:rsidRPr="007E46C9" w:rsidRDefault="008C5104" w:rsidP="008C5104">
      <w:pPr>
        <w:spacing w:after="120"/>
        <w:ind w:leftChars="300" w:left="2880" w:hangingChars="900" w:hanging="2160"/>
        <w:rPr>
          <w:bCs/>
        </w:rPr>
      </w:pPr>
      <w:r w:rsidRPr="007E46C9">
        <w:rPr>
          <w:bCs/>
        </w:rPr>
        <w:t>NSPR</w:t>
      </w:r>
      <w:r w:rsidRPr="007E46C9">
        <w:rPr>
          <w:bCs/>
        </w:rPr>
        <w:tab/>
        <w:t>=</w:t>
      </w:r>
      <w:r w:rsidRPr="007E46C9">
        <w:rPr>
          <w:bCs/>
        </w:rPr>
        <w:tab/>
        <w:t>NSCOSTTOT / NSQTOT</w:t>
      </w:r>
    </w:p>
    <w:p w14:paraId="0F1852F9" w14:textId="32AC4644" w:rsidR="008C5104" w:rsidRPr="007E46C9" w:rsidRDefault="008C5104" w:rsidP="008C5104">
      <w:pPr>
        <w:spacing w:after="120"/>
        <w:ind w:leftChars="300" w:left="2880" w:hangingChars="900" w:hanging="2160"/>
        <w:rPr>
          <w:bCs/>
        </w:rPr>
      </w:pPr>
      <w:r w:rsidRPr="007E46C9">
        <w:rPr>
          <w:bCs/>
        </w:rPr>
        <w:t>NSQTOT</w:t>
      </w:r>
      <w:r w:rsidRPr="007E46C9">
        <w:rPr>
          <w:bCs/>
        </w:rPr>
        <w:tab/>
        <w:t>=</w:t>
      </w:r>
      <w:r w:rsidRPr="007E46C9">
        <w:rPr>
          <w:bCs/>
        </w:rPr>
        <w:tab/>
      </w:r>
      <w:r w:rsidR="00A94020">
        <w:rPr>
          <w:bCs/>
          <w:noProof/>
          <w:position w:val="-22"/>
        </w:rPr>
        <w:drawing>
          <wp:inline distT="0" distB="0" distL="0" distR="0" wp14:anchorId="5F0AA7DB" wp14:editId="6FB29FE0">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NSQ </w:t>
      </w:r>
      <w:r w:rsidRPr="007E46C9">
        <w:rPr>
          <w:bCs/>
          <w:i/>
          <w:vertAlign w:val="subscript"/>
        </w:rPr>
        <w:t>q</w:t>
      </w:r>
    </w:p>
    <w:p w14:paraId="3333DD85" w14:textId="77777777" w:rsidR="008C5104" w:rsidRPr="007E46C9" w:rsidRDefault="008C5104" w:rsidP="008C5104">
      <w:pPr>
        <w:spacing w:after="120"/>
        <w:ind w:leftChars="300" w:left="2880" w:hangingChars="900" w:hanging="2160"/>
        <w:rPr>
          <w:bCs/>
          <w:lang w:val="fr-FR"/>
        </w:rPr>
      </w:pPr>
      <w:r w:rsidRPr="007E46C9">
        <w:rPr>
          <w:bCs/>
          <w:lang w:val="fr-FR"/>
        </w:rPr>
        <w:lastRenderedPageBreak/>
        <w:t xml:space="preserve">NSQ </w:t>
      </w:r>
      <w:r w:rsidRPr="007E46C9">
        <w:rPr>
          <w:bCs/>
          <w:i/>
          <w:vertAlign w:val="subscript"/>
          <w:lang w:val="fr-FR"/>
        </w:rPr>
        <w:t>q</w:t>
      </w:r>
      <w:r w:rsidRPr="007E46C9">
        <w:rPr>
          <w:bCs/>
          <w:lang w:val="fr-FR"/>
        </w:rPr>
        <w:tab/>
        <w:t>=</w:t>
      </w:r>
      <w:r w:rsidRPr="007E46C9">
        <w:rPr>
          <w:bCs/>
          <w:lang w:val="fr-FR"/>
        </w:rPr>
        <w:tab/>
        <w:t xml:space="preserve">NSO </w:t>
      </w:r>
      <w:r w:rsidRPr="007E46C9">
        <w:rPr>
          <w:bCs/>
          <w:i/>
          <w:vertAlign w:val="subscript"/>
          <w:lang w:val="fr-FR"/>
        </w:rPr>
        <w:t>q</w:t>
      </w:r>
      <w:r w:rsidRPr="007E46C9">
        <w:rPr>
          <w:bCs/>
          <w:lang w:val="fr-FR"/>
        </w:rPr>
        <w:t xml:space="preserve"> – SANSQ </w:t>
      </w:r>
      <w:r w:rsidRPr="007E46C9">
        <w:rPr>
          <w:bCs/>
          <w:i/>
          <w:vertAlign w:val="subscript"/>
          <w:lang w:val="fr-FR"/>
        </w:rPr>
        <w:t>q</w:t>
      </w:r>
    </w:p>
    <w:p w14:paraId="67C60098" w14:textId="7C1A1CEA" w:rsidR="008C5104" w:rsidRPr="007E46C9" w:rsidRDefault="008C5104" w:rsidP="008C5104">
      <w:pPr>
        <w:spacing w:after="120"/>
        <w:ind w:leftChars="300" w:left="2880" w:hangingChars="900" w:hanging="2160"/>
        <w:rPr>
          <w:bCs/>
          <w:lang w:val="fr-FR"/>
        </w:rPr>
      </w:pPr>
      <w:r w:rsidRPr="007E46C9">
        <w:rPr>
          <w:bCs/>
          <w:lang w:val="fr-FR"/>
        </w:rPr>
        <w:t xml:space="preserve">NSO </w:t>
      </w:r>
      <w:r w:rsidRPr="007E46C9">
        <w:rPr>
          <w:bCs/>
          <w:i/>
          <w:vertAlign w:val="subscript"/>
          <w:lang w:val="fr-FR"/>
        </w:rPr>
        <w:t>q</w:t>
      </w:r>
      <w:r w:rsidRPr="007E46C9">
        <w:rPr>
          <w:bCs/>
          <w:lang w:val="fr-FR"/>
        </w:rPr>
        <w:tab/>
        <w:t>=</w:t>
      </w:r>
      <w:r w:rsidRPr="007E46C9">
        <w:rPr>
          <w:bCs/>
          <w:lang w:val="fr-FR"/>
        </w:rPr>
        <w:tab/>
      </w:r>
      <w:r w:rsidR="00A94020">
        <w:rPr>
          <w:bCs/>
          <w:noProof/>
          <w:position w:val="-22"/>
        </w:rPr>
        <w:drawing>
          <wp:inline distT="0" distB="0" distL="0" distR="0" wp14:anchorId="36D65486" wp14:editId="39B1FBEA">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fr-FR"/>
        </w:rPr>
        <w:t xml:space="preserve">(SANSQ </w:t>
      </w:r>
      <w:r w:rsidRPr="007E46C9">
        <w:rPr>
          <w:bCs/>
          <w:i/>
          <w:vertAlign w:val="subscript"/>
          <w:lang w:val="fr-FR"/>
        </w:rPr>
        <w:t>q</w:t>
      </w:r>
      <w:r w:rsidRPr="007E46C9">
        <w:rPr>
          <w:bCs/>
          <w:lang w:val="fr-FR"/>
        </w:rPr>
        <w:t xml:space="preserve"> + </w:t>
      </w:r>
      <w:r w:rsidR="00A94020">
        <w:rPr>
          <w:bCs/>
          <w:noProof/>
          <w:position w:val="-20"/>
        </w:rPr>
        <w:drawing>
          <wp:inline distT="0" distB="0" distL="0" distR="0" wp14:anchorId="57757BF5" wp14:editId="03B661D6">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fr-FR"/>
        </w:rPr>
        <w:t xml:space="preserve">(RTPCNS </w:t>
      </w:r>
      <w:r w:rsidRPr="007E46C9">
        <w:rPr>
          <w:bCs/>
          <w:i/>
          <w:vertAlign w:val="subscript"/>
          <w:lang w:val="fr-FR"/>
        </w:rPr>
        <w:t>q, m</w:t>
      </w:r>
      <w:r w:rsidRPr="007E46C9">
        <w:rPr>
          <w:bCs/>
          <w:lang w:val="fr-FR"/>
        </w:rPr>
        <w:t xml:space="preserve">) + PCNS </w:t>
      </w:r>
      <w:r w:rsidRPr="007E46C9">
        <w:rPr>
          <w:bCs/>
          <w:i/>
          <w:vertAlign w:val="subscript"/>
          <w:lang w:val="fr-FR"/>
        </w:rPr>
        <w:t xml:space="preserve">q </w:t>
      </w:r>
      <w:r w:rsidRPr="007E46C9">
        <w:rPr>
          <w:bCs/>
          <w:lang w:val="fr-FR"/>
        </w:rPr>
        <w:t xml:space="preserve">– </w:t>
      </w:r>
    </w:p>
    <w:p w14:paraId="3211B9C9" w14:textId="77777777" w:rsidR="008C5104" w:rsidRPr="007E46C9" w:rsidRDefault="008C5104" w:rsidP="008C5104">
      <w:pPr>
        <w:spacing w:after="120"/>
        <w:ind w:leftChars="1200" w:left="2880" w:firstLine="720"/>
        <w:rPr>
          <w:bCs/>
          <w:i/>
          <w:vertAlign w:val="subscript"/>
          <w:lang w:val="fr-FR"/>
        </w:rPr>
      </w:pPr>
      <w:r w:rsidRPr="007E46C9">
        <w:rPr>
          <w:bCs/>
          <w:lang w:val="fr-FR"/>
        </w:rPr>
        <w:t xml:space="preserve">NSFQ </w:t>
      </w:r>
      <w:r w:rsidRPr="007E46C9">
        <w:rPr>
          <w:bCs/>
          <w:i/>
          <w:vertAlign w:val="subscript"/>
          <w:lang w:val="fr-FR"/>
        </w:rPr>
        <w:t xml:space="preserve">q </w:t>
      </w:r>
      <w:r w:rsidRPr="007E46C9">
        <w:rPr>
          <w:bCs/>
          <w:lang w:val="fr-FR"/>
        </w:rPr>
        <w:t xml:space="preserve">– RNSFQ </w:t>
      </w:r>
      <w:r w:rsidRPr="007E46C9">
        <w:rPr>
          <w:bCs/>
          <w:i/>
          <w:vertAlign w:val="subscript"/>
          <w:lang w:val="fr-FR"/>
        </w:rPr>
        <w:t>q</w:t>
      </w:r>
      <w:r w:rsidRPr="007E46C9">
        <w:rPr>
          <w:bCs/>
          <w:lang w:val="fr-FR"/>
        </w:rPr>
        <w:t xml:space="preserve">) * HLRS </w:t>
      </w:r>
      <w:r w:rsidRPr="007E46C9">
        <w:rPr>
          <w:bCs/>
          <w:i/>
          <w:vertAlign w:val="subscript"/>
          <w:lang w:val="fr-FR"/>
        </w:rPr>
        <w:t>q</w:t>
      </w:r>
    </w:p>
    <w:p w14:paraId="6D112371" w14:textId="77777777" w:rsidR="008C5104" w:rsidRPr="007E46C9" w:rsidRDefault="008C5104" w:rsidP="00EE4598">
      <w:pPr>
        <w:spacing w:after="240"/>
        <w:ind w:leftChars="300" w:left="2880" w:hangingChars="900" w:hanging="2160"/>
        <w:rPr>
          <w:bCs/>
          <w:lang w:val="fr-FR"/>
        </w:rPr>
      </w:pPr>
      <w:r w:rsidRPr="007E46C9">
        <w:rPr>
          <w:bCs/>
          <w:lang w:val="fr-FR"/>
        </w:rPr>
        <w:t xml:space="preserve">SANSQ </w:t>
      </w:r>
      <w:r w:rsidRPr="007E46C9">
        <w:rPr>
          <w:bCs/>
          <w:i/>
          <w:vertAlign w:val="subscript"/>
          <w:lang w:val="fr-FR"/>
        </w:rPr>
        <w:t>q</w:t>
      </w:r>
      <w:r w:rsidRPr="007E46C9">
        <w:rPr>
          <w:bCs/>
          <w:i/>
          <w:vertAlign w:val="subscript"/>
          <w:lang w:val="fr-FR"/>
        </w:rPr>
        <w:tab/>
      </w:r>
      <w:r w:rsidRPr="007E46C9">
        <w:rPr>
          <w:bCs/>
          <w:lang w:val="fr-FR"/>
        </w:rPr>
        <w:t>=</w:t>
      </w:r>
      <w:r w:rsidRPr="007E46C9">
        <w:rPr>
          <w:bCs/>
          <w:lang w:val="fr-FR"/>
        </w:rPr>
        <w:tab/>
        <w:t xml:space="preserve">DASANSQ </w:t>
      </w:r>
      <w:r w:rsidRPr="007E46C9">
        <w:rPr>
          <w:bCs/>
          <w:i/>
          <w:vertAlign w:val="subscript"/>
          <w:lang w:val="fr-FR"/>
        </w:rPr>
        <w:t>q</w:t>
      </w:r>
      <w:r w:rsidRPr="007E46C9">
        <w:rPr>
          <w:bCs/>
          <w:lang w:val="fr-FR"/>
        </w:rPr>
        <w:t xml:space="preserve"> + RTSANSQ </w:t>
      </w:r>
      <w:r w:rsidRPr="007E46C9">
        <w:rPr>
          <w:bCs/>
          <w:i/>
          <w:vertAlign w:val="subscript"/>
          <w:lang w:val="fr-FR"/>
        </w:rPr>
        <w:t>q</w:t>
      </w:r>
    </w:p>
    <w:p w14:paraId="45899492" w14:textId="77777777" w:rsidR="008C5104" w:rsidRPr="007E46C9" w:rsidRDefault="008C5104" w:rsidP="008C5104">
      <w:pPr>
        <w:tabs>
          <w:tab w:val="left" w:pos="2160"/>
          <w:tab w:val="left" w:pos="2880"/>
        </w:tabs>
        <w:ind w:leftChars="31" w:left="374" w:hangingChars="125" w:hanging="300"/>
        <w:rPr>
          <w:bCs/>
        </w:rPr>
      </w:pPr>
      <w:r w:rsidRPr="007E46C9">
        <w:rPr>
          <w:bCs/>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2F3EF5E3" w14:textId="77777777" w:rsidTr="008C5104">
        <w:trPr>
          <w:tblHeader/>
        </w:trPr>
        <w:tc>
          <w:tcPr>
            <w:tcW w:w="849" w:type="pct"/>
          </w:tcPr>
          <w:p w14:paraId="4A157BE1" w14:textId="77777777" w:rsidR="008C5104" w:rsidRPr="007E46C9" w:rsidRDefault="008C5104" w:rsidP="008C5104">
            <w:pPr>
              <w:keepNext/>
              <w:spacing w:after="120"/>
              <w:rPr>
                <w:b/>
                <w:iCs/>
                <w:sz w:val="20"/>
              </w:rPr>
            </w:pPr>
            <w:r w:rsidRPr="007E46C9">
              <w:rPr>
                <w:b/>
                <w:iCs/>
                <w:sz w:val="20"/>
              </w:rPr>
              <w:t>Variable</w:t>
            </w:r>
          </w:p>
        </w:tc>
        <w:tc>
          <w:tcPr>
            <w:tcW w:w="460" w:type="pct"/>
          </w:tcPr>
          <w:p w14:paraId="353E5496" w14:textId="77777777" w:rsidR="008C5104" w:rsidRPr="007E46C9" w:rsidRDefault="008C5104" w:rsidP="008C5104">
            <w:pPr>
              <w:keepNext/>
              <w:spacing w:after="120"/>
              <w:rPr>
                <w:b/>
                <w:iCs/>
                <w:sz w:val="20"/>
              </w:rPr>
            </w:pPr>
            <w:r w:rsidRPr="007E46C9">
              <w:rPr>
                <w:b/>
                <w:iCs/>
                <w:sz w:val="20"/>
              </w:rPr>
              <w:t>Unit</w:t>
            </w:r>
          </w:p>
        </w:tc>
        <w:tc>
          <w:tcPr>
            <w:tcW w:w="3691" w:type="pct"/>
          </w:tcPr>
          <w:p w14:paraId="333FBCE9"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EE7FFF0" w14:textId="77777777" w:rsidTr="008C5104">
        <w:tc>
          <w:tcPr>
            <w:tcW w:w="849" w:type="pct"/>
          </w:tcPr>
          <w:p w14:paraId="1D6BC4A2"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0" w:type="pct"/>
          </w:tcPr>
          <w:p w14:paraId="4A63330C" w14:textId="77777777" w:rsidR="008C5104" w:rsidRPr="007E46C9" w:rsidRDefault="008C5104" w:rsidP="008C5104">
            <w:pPr>
              <w:keepNext/>
              <w:spacing w:after="60"/>
              <w:rPr>
                <w:iCs/>
                <w:sz w:val="20"/>
              </w:rPr>
            </w:pPr>
            <w:r w:rsidRPr="007E46C9">
              <w:rPr>
                <w:iCs/>
                <w:sz w:val="20"/>
              </w:rPr>
              <w:t>$</w:t>
            </w:r>
          </w:p>
        </w:tc>
        <w:tc>
          <w:tcPr>
            <w:tcW w:w="3691" w:type="pct"/>
          </w:tcPr>
          <w:p w14:paraId="5AAA360A" w14:textId="77777777" w:rsidR="008C5104" w:rsidRPr="007E46C9" w:rsidRDefault="008C5104" w:rsidP="008C5104">
            <w:pPr>
              <w:keepNext/>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0E6182E" w14:textId="77777777" w:rsidTr="008C5104">
        <w:tc>
          <w:tcPr>
            <w:tcW w:w="849" w:type="pct"/>
            <w:tcBorders>
              <w:top w:val="single" w:sz="4" w:space="0" w:color="auto"/>
              <w:left w:val="single" w:sz="4" w:space="0" w:color="auto"/>
              <w:bottom w:val="single" w:sz="4" w:space="0" w:color="auto"/>
              <w:right w:val="single" w:sz="4" w:space="0" w:color="auto"/>
            </w:tcBorders>
          </w:tcPr>
          <w:p w14:paraId="35528004" w14:textId="77777777" w:rsidR="008C5104" w:rsidRPr="007E46C9" w:rsidRDefault="008C5104" w:rsidP="008C5104">
            <w:pPr>
              <w:spacing w:after="60"/>
              <w:rPr>
                <w:iCs/>
                <w:sz w:val="20"/>
              </w:rPr>
            </w:pPr>
            <w:r w:rsidRPr="007E46C9">
              <w:rPr>
                <w:iCs/>
                <w:sz w:val="20"/>
              </w:rPr>
              <w:t>NSPR</w:t>
            </w:r>
          </w:p>
        </w:tc>
        <w:tc>
          <w:tcPr>
            <w:tcW w:w="460" w:type="pct"/>
            <w:tcBorders>
              <w:top w:val="single" w:sz="4" w:space="0" w:color="auto"/>
              <w:left w:val="single" w:sz="4" w:space="0" w:color="auto"/>
              <w:bottom w:val="single" w:sz="4" w:space="0" w:color="auto"/>
              <w:right w:val="single" w:sz="4" w:space="0" w:color="auto"/>
            </w:tcBorders>
          </w:tcPr>
          <w:p w14:paraId="3905ED86"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375FFE1" w14:textId="77777777" w:rsidR="008C5104" w:rsidRPr="007E46C9" w:rsidRDefault="008C5104" w:rsidP="008C5104">
            <w:pPr>
              <w:spacing w:after="60"/>
              <w:rPr>
                <w:i/>
                <w:iCs/>
                <w:sz w:val="20"/>
              </w:rPr>
            </w:pPr>
            <w:r w:rsidRPr="007E46C9">
              <w:rPr>
                <w:i/>
                <w:iCs/>
                <w:sz w:val="20"/>
              </w:rPr>
              <w:t>Non-Spin Price—</w:t>
            </w:r>
            <w:r w:rsidRPr="007E46C9">
              <w:rPr>
                <w:iCs/>
                <w:sz w:val="20"/>
              </w:rPr>
              <w:t>The price for Non-Spin calculated based on the net total costs for Non-Spin, for the hour.</w:t>
            </w:r>
          </w:p>
        </w:tc>
      </w:tr>
      <w:tr w:rsidR="008C5104" w:rsidRPr="007E46C9" w14:paraId="37CDEEAD" w14:textId="77777777" w:rsidTr="008C5104">
        <w:tc>
          <w:tcPr>
            <w:tcW w:w="849" w:type="pct"/>
            <w:tcBorders>
              <w:top w:val="single" w:sz="4" w:space="0" w:color="auto"/>
              <w:left w:val="single" w:sz="4" w:space="0" w:color="auto"/>
              <w:bottom w:val="single" w:sz="4" w:space="0" w:color="auto"/>
              <w:right w:val="single" w:sz="4" w:space="0" w:color="auto"/>
            </w:tcBorders>
          </w:tcPr>
          <w:p w14:paraId="263A7474" w14:textId="77777777" w:rsidR="008C5104" w:rsidRPr="007E46C9" w:rsidRDefault="008C5104" w:rsidP="008C5104">
            <w:pPr>
              <w:spacing w:after="60"/>
              <w:rPr>
                <w:iCs/>
                <w:sz w:val="20"/>
              </w:rPr>
            </w:pPr>
            <w:r w:rsidRPr="007E46C9">
              <w:rPr>
                <w:iCs/>
                <w:sz w:val="20"/>
              </w:rPr>
              <w:t>NSCOSTTOT</w:t>
            </w:r>
          </w:p>
        </w:tc>
        <w:tc>
          <w:tcPr>
            <w:tcW w:w="460" w:type="pct"/>
            <w:tcBorders>
              <w:top w:val="single" w:sz="4" w:space="0" w:color="auto"/>
              <w:left w:val="single" w:sz="4" w:space="0" w:color="auto"/>
              <w:bottom w:val="single" w:sz="4" w:space="0" w:color="auto"/>
              <w:right w:val="single" w:sz="4" w:space="0" w:color="auto"/>
            </w:tcBorders>
          </w:tcPr>
          <w:p w14:paraId="2B925484"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27C125A5" w14:textId="77777777" w:rsidR="008C5104" w:rsidRPr="007E46C9" w:rsidRDefault="008C5104" w:rsidP="008C5104">
            <w:pPr>
              <w:spacing w:after="60"/>
              <w:rPr>
                <w:i/>
                <w:iCs/>
                <w:sz w:val="20"/>
              </w:rPr>
            </w:pPr>
            <w:r w:rsidRPr="007E46C9">
              <w:rPr>
                <w:i/>
                <w:iCs/>
                <w:sz w:val="20"/>
              </w:rPr>
              <w:t>Non-Spin Cost Total</w:t>
            </w:r>
            <w:r w:rsidRPr="007E46C9">
              <w:rPr>
                <w:iCs/>
                <w:sz w:val="20"/>
              </w:rPr>
              <w:t>—The net total costs for Non-Spin for the hour.  See item</w:t>
            </w:r>
            <w:r w:rsidR="00637160">
              <w:rPr>
                <w:iCs/>
                <w:sz w:val="20"/>
              </w:rPr>
              <w:t xml:space="preserve"> (5)</w:t>
            </w:r>
            <w:r w:rsidRPr="007E46C9">
              <w:rPr>
                <w:iCs/>
                <w:sz w:val="20"/>
              </w:rPr>
              <w:t>(a) above.</w:t>
            </w:r>
          </w:p>
        </w:tc>
      </w:tr>
      <w:tr w:rsidR="008C5104" w:rsidRPr="007E46C9" w14:paraId="2D203FDE" w14:textId="77777777" w:rsidTr="008C5104">
        <w:tc>
          <w:tcPr>
            <w:tcW w:w="849" w:type="pct"/>
            <w:tcBorders>
              <w:top w:val="single" w:sz="4" w:space="0" w:color="auto"/>
              <w:left w:val="single" w:sz="4" w:space="0" w:color="auto"/>
              <w:bottom w:val="single" w:sz="4" w:space="0" w:color="auto"/>
              <w:right w:val="single" w:sz="4" w:space="0" w:color="auto"/>
            </w:tcBorders>
          </w:tcPr>
          <w:p w14:paraId="724A447A" w14:textId="77777777" w:rsidR="008C5104" w:rsidRPr="007E46C9" w:rsidRDefault="008C5104" w:rsidP="008C5104">
            <w:pPr>
              <w:spacing w:after="60"/>
              <w:rPr>
                <w:iCs/>
                <w:sz w:val="20"/>
              </w:rPr>
            </w:pPr>
            <w:r w:rsidRPr="007E46C9">
              <w:rPr>
                <w:iCs/>
                <w:sz w:val="20"/>
              </w:rPr>
              <w:t>NSQTOT</w:t>
            </w:r>
          </w:p>
        </w:tc>
        <w:tc>
          <w:tcPr>
            <w:tcW w:w="460" w:type="pct"/>
            <w:tcBorders>
              <w:top w:val="single" w:sz="4" w:space="0" w:color="auto"/>
              <w:left w:val="single" w:sz="4" w:space="0" w:color="auto"/>
              <w:bottom w:val="single" w:sz="4" w:space="0" w:color="auto"/>
              <w:right w:val="single" w:sz="4" w:space="0" w:color="auto"/>
            </w:tcBorders>
          </w:tcPr>
          <w:p w14:paraId="2631F029"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64D727D7" w14:textId="77777777" w:rsidR="008C5104" w:rsidRPr="007E46C9" w:rsidRDefault="008C5104" w:rsidP="008C5104">
            <w:pPr>
              <w:spacing w:after="60"/>
              <w:rPr>
                <w:i/>
                <w:iCs/>
                <w:sz w:val="20"/>
              </w:rPr>
            </w:pPr>
            <w:r w:rsidRPr="007E46C9">
              <w:rPr>
                <w:i/>
                <w:iCs/>
                <w:sz w:val="20"/>
              </w:rPr>
              <w:t>Non-Spin Quantity Total</w:t>
            </w:r>
            <w:r w:rsidRPr="007E46C9">
              <w:rPr>
                <w:iCs/>
                <w:sz w:val="20"/>
              </w:rPr>
              <w:t>—The sum of every QSE’s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9EC3DA9" w14:textId="77777777" w:rsidTr="008C5104">
        <w:tc>
          <w:tcPr>
            <w:tcW w:w="849" w:type="pct"/>
            <w:tcBorders>
              <w:top w:val="single" w:sz="4" w:space="0" w:color="auto"/>
              <w:left w:val="single" w:sz="4" w:space="0" w:color="auto"/>
              <w:bottom w:val="single" w:sz="4" w:space="0" w:color="auto"/>
              <w:right w:val="single" w:sz="4" w:space="0" w:color="auto"/>
            </w:tcBorders>
          </w:tcPr>
          <w:p w14:paraId="493EFC8B" w14:textId="77777777" w:rsidR="008C5104" w:rsidRPr="007E46C9" w:rsidRDefault="008C5104" w:rsidP="008C5104">
            <w:pPr>
              <w:spacing w:after="60"/>
              <w:rPr>
                <w:iCs/>
                <w:sz w:val="20"/>
              </w:rPr>
            </w:pPr>
            <w:r w:rsidRPr="007E46C9">
              <w:rPr>
                <w:iCs/>
                <w:sz w:val="20"/>
              </w:rPr>
              <w:t xml:space="preserve">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06B329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7B81B43B" w14:textId="77777777" w:rsidR="008C5104" w:rsidRPr="007E46C9" w:rsidRDefault="008C5104" w:rsidP="008C5104">
            <w:pPr>
              <w:spacing w:after="60"/>
              <w:rPr>
                <w:i/>
                <w:iCs/>
                <w:sz w:val="20"/>
              </w:rPr>
            </w:pPr>
            <w:r w:rsidRPr="007E46C9">
              <w:rPr>
                <w:i/>
                <w:iCs/>
                <w:sz w:val="20"/>
              </w:rPr>
              <w:t>Non-Spin Quantity per QSE</w:t>
            </w:r>
            <w:r w:rsidRPr="007E46C9">
              <w:rPr>
                <w:iCs/>
                <w:sz w:val="20"/>
              </w:rPr>
              <w:t xml:space="preserve">—The difference in QSE </w:t>
            </w:r>
            <w:r w:rsidRPr="007E46C9">
              <w:rPr>
                <w:i/>
                <w:iCs/>
                <w:sz w:val="20"/>
              </w:rPr>
              <w:t>q</w:t>
            </w:r>
            <w:r w:rsidRPr="007E46C9">
              <w:rPr>
                <w:iCs/>
                <w:sz w:val="20"/>
              </w:rPr>
              <w:t>’s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D9EEB24" w14:textId="77777777" w:rsidTr="008C5104">
        <w:tc>
          <w:tcPr>
            <w:tcW w:w="849" w:type="pct"/>
            <w:tcBorders>
              <w:top w:val="single" w:sz="4" w:space="0" w:color="auto"/>
              <w:left w:val="single" w:sz="4" w:space="0" w:color="auto"/>
              <w:bottom w:val="single" w:sz="4" w:space="0" w:color="auto"/>
              <w:right w:val="single" w:sz="4" w:space="0" w:color="auto"/>
            </w:tcBorders>
          </w:tcPr>
          <w:p w14:paraId="37064A8C" w14:textId="77777777" w:rsidR="008C5104" w:rsidRPr="007E46C9" w:rsidRDefault="008C5104" w:rsidP="008C5104">
            <w:pPr>
              <w:spacing w:after="60"/>
              <w:rPr>
                <w:iCs/>
                <w:sz w:val="20"/>
              </w:rPr>
            </w:pPr>
            <w:r w:rsidRPr="007E46C9">
              <w:rPr>
                <w:iCs/>
                <w:sz w:val="20"/>
              </w:rPr>
              <w:t xml:space="preserve">NSO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766A1A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754070B" w14:textId="77777777" w:rsidR="008C5104" w:rsidRPr="007E46C9" w:rsidRDefault="008C5104" w:rsidP="008C5104">
            <w:pPr>
              <w:spacing w:after="60"/>
              <w:rPr>
                <w:i/>
                <w:iCs/>
                <w:sz w:val="20"/>
              </w:rPr>
            </w:pPr>
            <w:r w:rsidRPr="007E46C9">
              <w:rPr>
                <w:i/>
                <w:iCs/>
                <w:sz w:val="20"/>
              </w:rPr>
              <w:t>Non-Spin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4E846453" w14:textId="77777777" w:rsidTr="008C5104">
        <w:tc>
          <w:tcPr>
            <w:tcW w:w="849" w:type="pct"/>
            <w:tcBorders>
              <w:top w:val="single" w:sz="4" w:space="0" w:color="auto"/>
              <w:left w:val="single" w:sz="4" w:space="0" w:color="auto"/>
              <w:bottom w:val="single" w:sz="4" w:space="0" w:color="auto"/>
              <w:right w:val="single" w:sz="4" w:space="0" w:color="auto"/>
            </w:tcBorders>
          </w:tcPr>
          <w:p w14:paraId="14AF9C1F" w14:textId="77777777" w:rsidR="008C5104" w:rsidRPr="007E46C9" w:rsidRDefault="008C5104" w:rsidP="008C5104">
            <w:pPr>
              <w:spacing w:after="60"/>
              <w:rPr>
                <w:iCs/>
                <w:sz w:val="20"/>
              </w:rPr>
            </w:pPr>
            <w:r w:rsidRPr="007E46C9">
              <w:rPr>
                <w:iCs/>
                <w:sz w:val="20"/>
              </w:rPr>
              <w:t xml:space="preserve">DASANSQ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005152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E091C02" w14:textId="77777777" w:rsidR="008C5104" w:rsidRPr="007E46C9" w:rsidRDefault="008C5104" w:rsidP="008C5104">
            <w:pPr>
              <w:spacing w:after="60"/>
              <w:rPr>
                <w:i/>
                <w:iCs/>
                <w:sz w:val="20"/>
              </w:rPr>
            </w:pPr>
            <w:r w:rsidRPr="007E46C9">
              <w:rPr>
                <w:i/>
                <w:iCs/>
                <w:sz w:val="20"/>
              </w:rPr>
              <w:t>Day-Ahead Self-Arranged Non-Spin Quantity per QSE for DAM</w:t>
            </w:r>
            <w:r w:rsidRPr="007E46C9">
              <w:rPr>
                <w:iCs/>
                <w:sz w:val="20"/>
              </w:rPr>
              <w:t xml:space="preserve">—The self-arranged Non-Spin quantity submitted by QSE </w:t>
            </w:r>
            <w:r w:rsidRPr="007E46C9">
              <w:rPr>
                <w:i/>
                <w:iCs/>
                <w:sz w:val="20"/>
              </w:rPr>
              <w:t>q</w:t>
            </w:r>
            <w:r w:rsidRPr="007E46C9">
              <w:rPr>
                <w:iCs/>
                <w:sz w:val="20"/>
              </w:rPr>
              <w:t xml:space="preserve"> before 1000 in the Day-Ahead.</w:t>
            </w:r>
          </w:p>
        </w:tc>
      </w:tr>
      <w:tr w:rsidR="008C5104" w:rsidRPr="007E46C9" w14:paraId="4D1B7087" w14:textId="77777777" w:rsidTr="008C5104">
        <w:trPr>
          <w:cantSplit/>
        </w:trPr>
        <w:tc>
          <w:tcPr>
            <w:tcW w:w="849" w:type="pct"/>
            <w:tcBorders>
              <w:top w:val="single" w:sz="4" w:space="0" w:color="auto"/>
              <w:left w:val="single" w:sz="4" w:space="0" w:color="auto"/>
              <w:bottom w:val="single" w:sz="4" w:space="0" w:color="auto"/>
              <w:right w:val="single" w:sz="4" w:space="0" w:color="auto"/>
            </w:tcBorders>
          </w:tcPr>
          <w:p w14:paraId="480997B2" w14:textId="77777777" w:rsidR="008C5104" w:rsidRPr="007E46C9" w:rsidRDefault="008C5104" w:rsidP="008C5104">
            <w:pPr>
              <w:spacing w:after="60"/>
              <w:rPr>
                <w:iCs/>
                <w:sz w:val="20"/>
              </w:rPr>
            </w:pPr>
            <w:r w:rsidRPr="007E46C9">
              <w:rPr>
                <w:iCs/>
                <w:sz w:val="20"/>
              </w:rPr>
              <w:t xml:space="preserve">RTSANSQ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30D75C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266D607D" w14:textId="77777777" w:rsidR="008C5104" w:rsidRPr="007E46C9" w:rsidRDefault="008C5104" w:rsidP="008C5104">
            <w:pPr>
              <w:spacing w:after="60"/>
              <w:rPr>
                <w:i/>
                <w:iCs/>
                <w:sz w:val="20"/>
              </w:rPr>
            </w:pPr>
            <w:r w:rsidRPr="007E46C9">
              <w:rPr>
                <w:i/>
                <w:iCs/>
                <w:sz w:val="20"/>
              </w:rPr>
              <w:t>Self-Arranged Non-Spin Quantity per QSE for all SASMs</w:t>
            </w:r>
            <w:r w:rsidRPr="007E46C9">
              <w:rPr>
                <w:iCs/>
                <w:sz w:val="20"/>
              </w:rPr>
              <w:t xml:space="preserve">—The sum of all self-arranged Non-Spin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656C7B3" w14:textId="77777777" w:rsidTr="008C5104">
        <w:tc>
          <w:tcPr>
            <w:tcW w:w="849" w:type="pct"/>
            <w:tcBorders>
              <w:top w:val="single" w:sz="4" w:space="0" w:color="auto"/>
              <w:left w:val="single" w:sz="4" w:space="0" w:color="auto"/>
              <w:bottom w:val="single" w:sz="4" w:space="0" w:color="auto"/>
              <w:right w:val="single" w:sz="4" w:space="0" w:color="auto"/>
            </w:tcBorders>
          </w:tcPr>
          <w:p w14:paraId="30B8D212" w14:textId="77777777" w:rsidR="008C5104" w:rsidRPr="007E46C9" w:rsidRDefault="008C5104" w:rsidP="008C5104">
            <w:pPr>
              <w:spacing w:after="60"/>
              <w:rPr>
                <w:iCs/>
                <w:sz w:val="20"/>
              </w:rPr>
            </w:pPr>
            <w:r w:rsidRPr="007E46C9">
              <w:rPr>
                <w:iCs/>
                <w:sz w:val="20"/>
              </w:rPr>
              <w:t xml:space="preserve">RTPCNS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D5FCD0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48C914" w14:textId="77777777" w:rsidR="008C5104" w:rsidRPr="007E46C9" w:rsidRDefault="008C5104" w:rsidP="008C5104">
            <w:pPr>
              <w:spacing w:after="60"/>
              <w:rPr>
                <w:i/>
                <w:iCs/>
                <w:sz w:val="20"/>
              </w:rPr>
            </w:pPr>
            <w:r w:rsidRPr="007E46C9">
              <w:rPr>
                <w:i/>
                <w:iCs/>
                <w:sz w:val="20"/>
              </w:rPr>
              <w:t>Procured Capacity for Non-Spin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Non-Spin, for the hour.</w:t>
            </w:r>
          </w:p>
        </w:tc>
      </w:tr>
      <w:tr w:rsidR="008C5104" w:rsidRPr="007E46C9" w14:paraId="1BA0F46A" w14:textId="77777777" w:rsidTr="008C5104">
        <w:tc>
          <w:tcPr>
            <w:tcW w:w="849" w:type="pct"/>
            <w:tcBorders>
              <w:top w:val="single" w:sz="4" w:space="0" w:color="auto"/>
              <w:left w:val="single" w:sz="4" w:space="0" w:color="auto"/>
              <w:bottom w:val="single" w:sz="4" w:space="0" w:color="auto"/>
              <w:right w:val="single" w:sz="4" w:space="0" w:color="auto"/>
            </w:tcBorders>
          </w:tcPr>
          <w:p w14:paraId="0A380A27" w14:textId="77777777" w:rsidR="008C5104" w:rsidRPr="007E46C9" w:rsidRDefault="008C5104" w:rsidP="008C5104">
            <w:pPr>
              <w:spacing w:after="60"/>
              <w:rPr>
                <w:iCs/>
                <w:sz w:val="20"/>
              </w:rPr>
            </w:pPr>
            <w:r w:rsidRPr="007E46C9">
              <w:rPr>
                <w:iCs/>
                <w:sz w:val="20"/>
              </w:rPr>
              <w:t xml:space="preserve">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EA31C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83FD81" w14:textId="77777777" w:rsidR="008C5104" w:rsidRPr="007E46C9" w:rsidRDefault="008C5104" w:rsidP="008C5104">
            <w:pPr>
              <w:spacing w:after="60"/>
              <w:rPr>
                <w:iCs/>
                <w:sz w:val="20"/>
              </w:rPr>
            </w:pPr>
            <w:r w:rsidRPr="007E46C9">
              <w:rPr>
                <w:i/>
                <w:iCs/>
                <w:sz w:val="20"/>
              </w:rPr>
              <w:t>Non-Spin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Non-Spin, for the hour.</w:t>
            </w:r>
          </w:p>
        </w:tc>
      </w:tr>
      <w:tr w:rsidR="008C5104" w:rsidRPr="007E46C9" w14:paraId="7DF5D5DA" w14:textId="77777777" w:rsidTr="008C5104">
        <w:tc>
          <w:tcPr>
            <w:tcW w:w="849" w:type="pct"/>
            <w:tcBorders>
              <w:top w:val="single" w:sz="4" w:space="0" w:color="auto"/>
              <w:left w:val="single" w:sz="4" w:space="0" w:color="auto"/>
              <w:bottom w:val="single" w:sz="4" w:space="0" w:color="auto"/>
              <w:right w:val="single" w:sz="4" w:space="0" w:color="auto"/>
            </w:tcBorders>
          </w:tcPr>
          <w:p w14:paraId="08CD42FB" w14:textId="77777777" w:rsidR="008C5104" w:rsidRPr="007E46C9" w:rsidRDefault="008C5104" w:rsidP="008C5104">
            <w:pPr>
              <w:spacing w:after="60"/>
              <w:rPr>
                <w:iCs/>
                <w:sz w:val="20"/>
              </w:rPr>
            </w:pPr>
            <w:r w:rsidRPr="007E46C9">
              <w:rPr>
                <w:sz w:val="20"/>
              </w:rPr>
              <w:t xml:space="preserve">RNSFQ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58F3AB3"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CBC29D" w14:textId="77777777" w:rsidR="008C5104" w:rsidRPr="007E46C9" w:rsidRDefault="008C5104" w:rsidP="008C5104">
            <w:pPr>
              <w:spacing w:after="60"/>
              <w:rPr>
                <w:i/>
                <w:iCs/>
                <w:sz w:val="20"/>
              </w:rPr>
            </w:pPr>
            <w:r w:rsidRPr="007E46C9">
              <w:rPr>
                <w:i/>
                <w:sz w:val="20"/>
              </w:rPr>
              <w:t>Reconfiguration Non-Spin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Non-Spin, for the hour.</w:t>
            </w:r>
          </w:p>
        </w:tc>
      </w:tr>
      <w:tr w:rsidR="008C5104" w:rsidRPr="007E46C9" w14:paraId="5F4A2BBD" w14:textId="77777777" w:rsidTr="008C5104">
        <w:tc>
          <w:tcPr>
            <w:tcW w:w="849" w:type="pct"/>
            <w:tcBorders>
              <w:top w:val="single" w:sz="4" w:space="0" w:color="auto"/>
              <w:left w:val="single" w:sz="4" w:space="0" w:color="auto"/>
              <w:bottom w:val="single" w:sz="4" w:space="0" w:color="auto"/>
              <w:right w:val="single" w:sz="4" w:space="0" w:color="auto"/>
            </w:tcBorders>
          </w:tcPr>
          <w:p w14:paraId="5B19FDB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F271027"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8A36442"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68FB06FF" w14:textId="77777777" w:rsidTr="008C5104">
        <w:tc>
          <w:tcPr>
            <w:tcW w:w="849" w:type="pct"/>
            <w:tcBorders>
              <w:top w:val="single" w:sz="4" w:space="0" w:color="auto"/>
              <w:left w:val="single" w:sz="4" w:space="0" w:color="auto"/>
              <w:bottom w:val="single" w:sz="4" w:space="0" w:color="auto"/>
              <w:right w:val="single" w:sz="4" w:space="0" w:color="auto"/>
            </w:tcBorders>
          </w:tcPr>
          <w:p w14:paraId="3B7CE3DA" w14:textId="77777777" w:rsidR="008C5104" w:rsidRPr="007E46C9" w:rsidRDefault="008C5104" w:rsidP="008C5104">
            <w:pPr>
              <w:rPr>
                <w:sz w:val="20"/>
              </w:rPr>
            </w:pPr>
            <w:r w:rsidRPr="007E46C9">
              <w:rPr>
                <w:sz w:val="20"/>
              </w:rPr>
              <w:t xml:space="preserve">PCNS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13DF524"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00F242D8" w14:textId="77777777" w:rsidR="008C5104" w:rsidRPr="007E46C9" w:rsidRDefault="008C5104" w:rsidP="008C5104">
            <w:pPr>
              <w:rPr>
                <w:sz w:val="20"/>
              </w:rPr>
            </w:pPr>
            <w:r w:rsidRPr="007E46C9">
              <w:rPr>
                <w:i/>
                <w:sz w:val="20"/>
              </w:rPr>
              <w:t>Procured Capacity for Non-Spin Service per QSE in DAM</w:t>
            </w:r>
            <w:r w:rsidRPr="007E46C9">
              <w:rPr>
                <w:sz w:val="20"/>
              </w:rPr>
              <w:t xml:space="preserve">—The total Non-Spin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30F53BA7" w14:textId="77777777" w:rsidTr="008C5104">
        <w:tc>
          <w:tcPr>
            <w:tcW w:w="849" w:type="pct"/>
            <w:tcBorders>
              <w:top w:val="single" w:sz="4" w:space="0" w:color="auto"/>
              <w:left w:val="single" w:sz="4" w:space="0" w:color="auto"/>
              <w:bottom w:val="single" w:sz="4" w:space="0" w:color="auto"/>
              <w:right w:val="single" w:sz="4" w:space="0" w:color="auto"/>
            </w:tcBorders>
          </w:tcPr>
          <w:p w14:paraId="01485D20" w14:textId="77777777" w:rsidR="008C5104" w:rsidRPr="007E46C9" w:rsidRDefault="008C5104" w:rsidP="008C5104">
            <w:pPr>
              <w:spacing w:after="60"/>
              <w:rPr>
                <w:iCs/>
                <w:sz w:val="20"/>
              </w:rPr>
            </w:pPr>
            <w:r w:rsidRPr="007E46C9">
              <w:rPr>
                <w:iCs/>
                <w:sz w:val="20"/>
              </w:rPr>
              <w:t xml:space="preserve">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29569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CEAA628" w14:textId="77777777" w:rsidR="008C5104" w:rsidRPr="007E46C9" w:rsidRDefault="008C5104" w:rsidP="008C5104">
            <w:pPr>
              <w:spacing w:after="60"/>
              <w:rPr>
                <w:i/>
                <w:iCs/>
                <w:sz w:val="20"/>
              </w:rPr>
            </w:pPr>
            <w:r w:rsidRPr="007E46C9">
              <w:rPr>
                <w:i/>
                <w:iCs/>
                <w:sz w:val="20"/>
              </w:rPr>
              <w:t>Total Self-Arranged Non-Spin Supplied Quantity per QSE for all markets</w:t>
            </w:r>
            <w:r w:rsidRPr="007E46C9">
              <w:rPr>
                <w:iCs/>
                <w:sz w:val="20"/>
              </w:rPr>
              <w:t xml:space="preserve">—The sum of all self-arranged Non-Spin quantities submitted by QSE </w:t>
            </w:r>
            <w:r w:rsidRPr="007E46C9">
              <w:rPr>
                <w:i/>
                <w:iCs/>
                <w:sz w:val="20"/>
              </w:rPr>
              <w:t>q</w:t>
            </w:r>
            <w:r w:rsidRPr="007E46C9">
              <w:rPr>
                <w:iCs/>
                <w:sz w:val="20"/>
              </w:rPr>
              <w:t xml:space="preserve"> for DAM and all SASMs.</w:t>
            </w:r>
          </w:p>
        </w:tc>
      </w:tr>
      <w:tr w:rsidR="008C5104" w:rsidRPr="007E46C9" w14:paraId="78B7C80C" w14:textId="77777777" w:rsidTr="008C5104">
        <w:tc>
          <w:tcPr>
            <w:tcW w:w="849" w:type="pct"/>
            <w:tcBorders>
              <w:top w:val="single" w:sz="4" w:space="0" w:color="auto"/>
              <w:left w:val="single" w:sz="4" w:space="0" w:color="auto"/>
              <w:bottom w:val="single" w:sz="4" w:space="0" w:color="auto"/>
              <w:right w:val="single" w:sz="4" w:space="0" w:color="auto"/>
            </w:tcBorders>
          </w:tcPr>
          <w:p w14:paraId="4AFE3774" w14:textId="77777777" w:rsidR="008C5104" w:rsidRPr="007E46C9" w:rsidRDefault="008C5104" w:rsidP="008C5104">
            <w:pPr>
              <w:spacing w:after="60"/>
              <w:rPr>
                <w:i/>
                <w:sz w:val="20"/>
              </w:rPr>
            </w:pPr>
            <w:r w:rsidRPr="007E46C9">
              <w:rPr>
                <w:i/>
                <w:sz w:val="20"/>
              </w:rPr>
              <w:t>q</w:t>
            </w:r>
          </w:p>
        </w:tc>
        <w:tc>
          <w:tcPr>
            <w:tcW w:w="460" w:type="pct"/>
            <w:tcBorders>
              <w:top w:val="single" w:sz="4" w:space="0" w:color="auto"/>
              <w:left w:val="single" w:sz="4" w:space="0" w:color="auto"/>
              <w:bottom w:val="single" w:sz="4" w:space="0" w:color="auto"/>
              <w:right w:val="single" w:sz="4" w:space="0" w:color="auto"/>
            </w:tcBorders>
          </w:tcPr>
          <w:p w14:paraId="15A2496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0DE72D0B" w14:textId="77777777" w:rsidR="008C5104" w:rsidRPr="007E46C9" w:rsidRDefault="008C5104" w:rsidP="008C5104">
            <w:pPr>
              <w:spacing w:after="60"/>
              <w:rPr>
                <w:sz w:val="20"/>
              </w:rPr>
            </w:pPr>
            <w:r w:rsidRPr="007E46C9">
              <w:rPr>
                <w:sz w:val="20"/>
              </w:rPr>
              <w:t>A QSE.</w:t>
            </w:r>
          </w:p>
        </w:tc>
      </w:tr>
      <w:tr w:rsidR="008C5104" w:rsidRPr="007E46C9" w14:paraId="4C3AD089" w14:textId="77777777" w:rsidTr="008C5104">
        <w:tc>
          <w:tcPr>
            <w:tcW w:w="849" w:type="pct"/>
            <w:tcBorders>
              <w:top w:val="single" w:sz="4" w:space="0" w:color="auto"/>
              <w:left w:val="single" w:sz="4" w:space="0" w:color="auto"/>
              <w:bottom w:val="single" w:sz="4" w:space="0" w:color="auto"/>
              <w:right w:val="single" w:sz="4" w:space="0" w:color="auto"/>
            </w:tcBorders>
          </w:tcPr>
          <w:p w14:paraId="3D827862" w14:textId="77777777" w:rsidR="008C5104" w:rsidRPr="007E46C9" w:rsidRDefault="008C5104" w:rsidP="008C5104">
            <w:pPr>
              <w:spacing w:after="60"/>
              <w:rPr>
                <w:i/>
                <w:sz w:val="20"/>
              </w:rPr>
            </w:pPr>
            <w:r w:rsidRPr="007E46C9">
              <w:rPr>
                <w:i/>
                <w:sz w:val="20"/>
              </w:rPr>
              <w:t>m</w:t>
            </w:r>
          </w:p>
        </w:tc>
        <w:tc>
          <w:tcPr>
            <w:tcW w:w="460" w:type="pct"/>
            <w:tcBorders>
              <w:top w:val="single" w:sz="4" w:space="0" w:color="auto"/>
              <w:left w:val="single" w:sz="4" w:space="0" w:color="auto"/>
              <w:bottom w:val="single" w:sz="4" w:space="0" w:color="auto"/>
              <w:right w:val="single" w:sz="4" w:space="0" w:color="auto"/>
            </w:tcBorders>
          </w:tcPr>
          <w:p w14:paraId="5151238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30CD3A1A" w14:textId="77777777" w:rsidR="008C5104" w:rsidRPr="007E46C9" w:rsidRDefault="008C5104" w:rsidP="008C5104">
            <w:pPr>
              <w:spacing w:after="60"/>
              <w:rPr>
                <w:sz w:val="20"/>
              </w:rPr>
            </w:pPr>
            <w:r w:rsidRPr="007E46C9">
              <w:rPr>
                <w:sz w:val="20"/>
              </w:rPr>
              <w:t>An Ancillary Service market (SASM or RSASM) for the given Operating Hour.</w:t>
            </w:r>
          </w:p>
        </w:tc>
      </w:tr>
    </w:tbl>
    <w:p w14:paraId="075EF07D" w14:textId="77777777" w:rsidR="008C5104" w:rsidRPr="007E46C9" w:rsidRDefault="008C5104" w:rsidP="008C5104"/>
    <w:p w14:paraId="603CA148" w14:textId="77777777" w:rsidR="008C5104" w:rsidRPr="007E46C9" w:rsidRDefault="008C5104" w:rsidP="008C5104">
      <w:pPr>
        <w:spacing w:after="240"/>
        <w:ind w:left="1440" w:hanging="720"/>
      </w:pPr>
      <w:r w:rsidRPr="007E46C9">
        <w:lastRenderedPageBreak/>
        <w:t>(c)</w:t>
      </w:r>
      <w:r w:rsidRPr="007E46C9">
        <w:tab/>
        <w:t>The adjustment to each QSE’s DAM charge for the Non-Spin for the Operating Hour, due to changes during the Adjustment Period or Real-Time operations, is calculated as follows:</w:t>
      </w:r>
    </w:p>
    <w:p w14:paraId="11043800" w14:textId="77777777" w:rsidR="008C5104" w:rsidRPr="007E46C9" w:rsidRDefault="008C5104" w:rsidP="008C5104">
      <w:pPr>
        <w:spacing w:after="240"/>
        <w:ind w:left="2880" w:hanging="2160"/>
        <w:rPr>
          <w:b/>
          <w:bCs/>
          <w:lang w:val="pt-BR"/>
        </w:rPr>
      </w:pPr>
      <w:r w:rsidRPr="007E46C9">
        <w:rPr>
          <w:b/>
          <w:bCs/>
          <w:lang w:val="pt-BR"/>
        </w:rPr>
        <w:t xml:space="preserve">RTNSAMT </w:t>
      </w:r>
      <w:r w:rsidRPr="007E46C9">
        <w:rPr>
          <w:b/>
          <w:bCs/>
          <w:i/>
          <w:vertAlign w:val="subscript"/>
          <w:lang w:val="pt-BR"/>
        </w:rPr>
        <w:t>q</w:t>
      </w:r>
      <w:r w:rsidRPr="007E46C9">
        <w:rPr>
          <w:b/>
          <w:bCs/>
          <w:lang w:val="pt-BR"/>
        </w:rPr>
        <w:tab/>
        <w:t>=</w:t>
      </w:r>
      <w:r w:rsidRPr="007E46C9">
        <w:rPr>
          <w:b/>
          <w:bCs/>
          <w:lang w:val="pt-BR"/>
        </w:rPr>
        <w:tab/>
        <w:t xml:space="preserve">NSCOST </w:t>
      </w:r>
      <w:r w:rsidRPr="007E46C9">
        <w:rPr>
          <w:b/>
          <w:bCs/>
          <w:i/>
          <w:vertAlign w:val="subscript"/>
          <w:lang w:val="pt-BR"/>
        </w:rPr>
        <w:t>q</w:t>
      </w:r>
      <w:r w:rsidRPr="007E46C9">
        <w:rPr>
          <w:b/>
          <w:bCs/>
          <w:lang w:val="pt-BR"/>
        </w:rPr>
        <w:t xml:space="preserve"> – DANSAMT </w:t>
      </w:r>
      <w:r w:rsidRPr="007E46C9">
        <w:rPr>
          <w:b/>
          <w:bCs/>
          <w:i/>
          <w:vertAlign w:val="subscript"/>
          <w:lang w:val="pt-BR"/>
        </w:rPr>
        <w:t>q</w:t>
      </w:r>
    </w:p>
    <w:p w14:paraId="69E5209A" w14:textId="77777777" w:rsidR="008C5104" w:rsidRPr="007E46C9" w:rsidRDefault="008C5104" w:rsidP="008C5104">
      <w:r w:rsidRPr="007E46C9">
        <w:t>The above variables are defined as follows:</w:t>
      </w: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8C5104" w:rsidRPr="007E46C9" w14:paraId="255E0182" w14:textId="77777777" w:rsidTr="006E1ADE">
        <w:tc>
          <w:tcPr>
            <w:tcW w:w="824" w:type="pct"/>
          </w:tcPr>
          <w:p w14:paraId="1620B486" w14:textId="77777777" w:rsidR="008C5104" w:rsidRPr="007E46C9" w:rsidRDefault="008C5104" w:rsidP="008C5104">
            <w:pPr>
              <w:spacing w:after="120"/>
              <w:rPr>
                <w:b/>
                <w:iCs/>
                <w:sz w:val="20"/>
              </w:rPr>
            </w:pPr>
            <w:r w:rsidRPr="007E46C9">
              <w:rPr>
                <w:b/>
                <w:iCs/>
                <w:sz w:val="20"/>
              </w:rPr>
              <w:t>Variable</w:t>
            </w:r>
          </w:p>
        </w:tc>
        <w:tc>
          <w:tcPr>
            <w:tcW w:w="463" w:type="pct"/>
          </w:tcPr>
          <w:p w14:paraId="7FBA46D4" w14:textId="77777777" w:rsidR="008C5104" w:rsidRPr="007E46C9" w:rsidRDefault="008C5104" w:rsidP="008C5104">
            <w:pPr>
              <w:spacing w:after="120"/>
              <w:rPr>
                <w:b/>
                <w:iCs/>
                <w:sz w:val="20"/>
              </w:rPr>
            </w:pPr>
            <w:r w:rsidRPr="007E46C9">
              <w:rPr>
                <w:b/>
                <w:iCs/>
                <w:sz w:val="20"/>
              </w:rPr>
              <w:t>Unit</w:t>
            </w:r>
          </w:p>
        </w:tc>
        <w:tc>
          <w:tcPr>
            <w:tcW w:w="3713" w:type="pct"/>
          </w:tcPr>
          <w:p w14:paraId="283C1E2A" w14:textId="77777777" w:rsidR="008C5104" w:rsidRPr="007E46C9" w:rsidRDefault="008C5104" w:rsidP="008C5104">
            <w:pPr>
              <w:spacing w:after="120"/>
              <w:rPr>
                <w:b/>
                <w:iCs/>
                <w:sz w:val="20"/>
              </w:rPr>
            </w:pPr>
            <w:r w:rsidRPr="007E46C9">
              <w:rPr>
                <w:b/>
                <w:iCs/>
                <w:sz w:val="20"/>
              </w:rPr>
              <w:t>Description</w:t>
            </w:r>
          </w:p>
        </w:tc>
      </w:tr>
      <w:tr w:rsidR="008C5104" w:rsidRPr="007E46C9" w14:paraId="6FC6BDE0" w14:textId="77777777" w:rsidTr="006E1ADE">
        <w:tc>
          <w:tcPr>
            <w:tcW w:w="824" w:type="pct"/>
          </w:tcPr>
          <w:p w14:paraId="226CA04F" w14:textId="77777777" w:rsidR="008C5104" w:rsidRPr="007E46C9" w:rsidRDefault="008C5104" w:rsidP="008C5104">
            <w:pPr>
              <w:spacing w:after="60"/>
              <w:rPr>
                <w:iCs/>
                <w:sz w:val="20"/>
              </w:rPr>
            </w:pPr>
            <w:r w:rsidRPr="007E46C9">
              <w:rPr>
                <w:iCs/>
                <w:sz w:val="20"/>
              </w:rPr>
              <w:t xml:space="preserve">RTNSAMT </w:t>
            </w:r>
            <w:r w:rsidRPr="007E46C9">
              <w:rPr>
                <w:i/>
                <w:iCs/>
                <w:sz w:val="20"/>
                <w:vertAlign w:val="subscript"/>
              </w:rPr>
              <w:t>q</w:t>
            </w:r>
          </w:p>
        </w:tc>
        <w:tc>
          <w:tcPr>
            <w:tcW w:w="463" w:type="pct"/>
          </w:tcPr>
          <w:p w14:paraId="3C4EC680" w14:textId="77777777" w:rsidR="008C5104" w:rsidRPr="007E46C9" w:rsidRDefault="008C5104" w:rsidP="008C5104">
            <w:pPr>
              <w:spacing w:after="60"/>
              <w:rPr>
                <w:iCs/>
                <w:sz w:val="20"/>
              </w:rPr>
            </w:pPr>
            <w:r w:rsidRPr="007E46C9">
              <w:rPr>
                <w:iCs/>
                <w:sz w:val="20"/>
              </w:rPr>
              <w:t>$</w:t>
            </w:r>
          </w:p>
        </w:tc>
        <w:tc>
          <w:tcPr>
            <w:tcW w:w="3713" w:type="pct"/>
          </w:tcPr>
          <w:p w14:paraId="3521E123" w14:textId="77777777" w:rsidR="008C5104" w:rsidRPr="007E46C9" w:rsidRDefault="008C5104" w:rsidP="008C5104">
            <w:pPr>
              <w:spacing w:after="60"/>
              <w:rPr>
                <w:iCs/>
                <w:sz w:val="20"/>
              </w:rPr>
            </w:pPr>
            <w:r w:rsidRPr="007E46C9">
              <w:rPr>
                <w:i/>
                <w:iCs/>
                <w:sz w:val="20"/>
              </w:rPr>
              <w:t>Real-Time Non-Spin Amount per QSE</w:t>
            </w:r>
            <w:r w:rsidRPr="007E46C9">
              <w:rPr>
                <w:iCs/>
                <w:sz w:val="20"/>
              </w:rPr>
              <w:t xml:space="preserve">—The adjustment to QSE </w:t>
            </w:r>
            <w:r w:rsidRPr="007E46C9">
              <w:rPr>
                <w:i/>
                <w:iCs/>
                <w:sz w:val="20"/>
              </w:rPr>
              <w:t>q</w:t>
            </w:r>
            <w:r w:rsidRPr="007E46C9">
              <w:rPr>
                <w:iCs/>
                <w:sz w:val="20"/>
              </w:rPr>
              <w:t>’s share of the costs for Non-Spin, for the hour.</w:t>
            </w:r>
          </w:p>
        </w:tc>
      </w:tr>
      <w:tr w:rsidR="008C5104" w:rsidRPr="007E46C9" w14:paraId="5857C4CE" w14:textId="77777777" w:rsidTr="006E1ADE">
        <w:tc>
          <w:tcPr>
            <w:tcW w:w="824" w:type="pct"/>
          </w:tcPr>
          <w:p w14:paraId="366F2320"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3" w:type="pct"/>
          </w:tcPr>
          <w:p w14:paraId="60A35A11" w14:textId="77777777" w:rsidR="008C5104" w:rsidRPr="007E46C9" w:rsidRDefault="008C5104" w:rsidP="008C5104">
            <w:pPr>
              <w:spacing w:after="60"/>
              <w:rPr>
                <w:iCs/>
                <w:sz w:val="20"/>
              </w:rPr>
            </w:pPr>
            <w:r w:rsidRPr="007E46C9">
              <w:rPr>
                <w:iCs/>
                <w:sz w:val="20"/>
              </w:rPr>
              <w:t>$</w:t>
            </w:r>
          </w:p>
        </w:tc>
        <w:tc>
          <w:tcPr>
            <w:tcW w:w="3713" w:type="pct"/>
          </w:tcPr>
          <w:p w14:paraId="75C3170A" w14:textId="77777777" w:rsidR="008C5104" w:rsidRPr="007E46C9" w:rsidRDefault="008C5104" w:rsidP="008C5104">
            <w:pPr>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56F0B20" w14:textId="77777777" w:rsidTr="006E1ADE">
        <w:tc>
          <w:tcPr>
            <w:tcW w:w="824" w:type="pct"/>
          </w:tcPr>
          <w:p w14:paraId="3A25FB83" w14:textId="77777777" w:rsidR="008C5104" w:rsidRPr="007E46C9" w:rsidRDefault="008C5104" w:rsidP="008C5104">
            <w:pPr>
              <w:spacing w:after="60"/>
              <w:rPr>
                <w:iCs/>
                <w:sz w:val="20"/>
              </w:rPr>
            </w:pPr>
            <w:r w:rsidRPr="007E46C9">
              <w:rPr>
                <w:iCs/>
                <w:sz w:val="20"/>
              </w:rPr>
              <w:t xml:space="preserve">DANSAMT </w:t>
            </w:r>
            <w:r w:rsidRPr="007E46C9">
              <w:rPr>
                <w:i/>
                <w:iCs/>
                <w:sz w:val="20"/>
                <w:vertAlign w:val="subscript"/>
              </w:rPr>
              <w:t>q</w:t>
            </w:r>
          </w:p>
        </w:tc>
        <w:tc>
          <w:tcPr>
            <w:tcW w:w="463" w:type="pct"/>
          </w:tcPr>
          <w:p w14:paraId="5E2EA0E9" w14:textId="77777777" w:rsidR="008C5104" w:rsidRPr="007E46C9" w:rsidRDefault="008C5104" w:rsidP="008C5104">
            <w:pPr>
              <w:spacing w:after="60"/>
              <w:rPr>
                <w:iCs/>
                <w:sz w:val="20"/>
              </w:rPr>
            </w:pPr>
            <w:r w:rsidRPr="007E46C9">
              <w:rPr>
                <w:iCs/>
                <w:sz w:val="20"/>
              </w:rPr>
              <w:t>$</w:t>
            </w:r>
          </w:p>
        </w:tc>
        <w:tc>
          <w:tcPr>
            <w:tcW w:w="3713" w:type="pct"/>
          </w:tcPr>
          <w:p w14:paraId="3DE0000F" w14:textId="77777777" w:rsidR="008C5104" w:rsidRPr="007E46C9" w:rsidRDefault="008C5104" w:rsidP="008C5104">
            <w:pPr>
              <w:spacing w:after="60"/>
              <w:rPr>
                <w:iCs/>
                <w:sz w:val="20"/>
              </w:rPr>
            </w:pPr>
            <w:r w:rsidRPr="007E46C9">
              <w:rPr>
                <w:i/>
                <w:iCs/>
                <w:sz w:val="20"/>
              </w:rPr>
              <w:t>Day-Ahead Non-Spin Amount per QSE</w:t>
            </w:r>
            <w:r w:rsidRPr="007E46C9">
              <w:rPr>
                <w:iCs/>
                <w:sz w:val="20"/>
              </w:rPr>
              <w:t xml:space="preserve">—QSE </w:t>
            </w:r>
            <w:r w:rsidRPr="007E46C9">
              <w:rPr>
                <w:i/>
                <w:iCs/>
                <w:sz w:val="20"/>
              </w:rPr>
              <w:t>q</w:t>
            </w:r>
            <w:r w:rsidRPr="007E46C9">
              <w:rPr>
                <w:iCs/>
                <w:sz w:val="20"/>
              </w:rPr>
              <w:t>’s share of the DAM cost for Non-Spin, for the hour.</w:t>
            </w:r>
          </w:p>
        </w:tc>
      </w:tr>
      <w:tr w:rsidR="008C5104" w:rsidRPr="007E46C9" w14:paraId="6CB5B95F" w14:textId="77777777" w:rsidTr="006E1ADE">
        <w:tc>
          <w:tcPr>
            <w:tcW w:w="824" w:type="pct"/>
            <w:tcBorders>
              <w:top w:val="single" w:sz="4" w:space="0" w:color="auto"/>
              <w:left w:val="single" w:sz="4" w:space="0" w:color="auto"/>
              <w:bottom w:val="single" w:sz="4" w:space="0" w:color="auto"/>
              <w:right w:val="single" w:sz="4" w:space="0" w:color="auto"/>
            </w:tcBorders>
          </w:tcPr>
          <w:p w14:paraId="200AB60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55F4DCA4"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2DC153B9" w14:textId="77777777" w:rsidR="008C5104" w:rsidRPr="007E46C9" w:rsidRDefault="008C5104" w:rsidP="008C5104">
            <w:pPr>
              <w:spacing w:after="60"/>
              <w:rPr>
                <w:iCs/>
                <w:sz w:val="20"/>
              </w:rPr>
            </w:pPr>
            <w:r w:rsidRPr="007E46C9">
              <w:rPr>
                <w:iCs/>
                <w:sz w:val="20"/>
              </w:rPr>
              <w:t>A QSE.</w:t>
            </w:r>
          </w:p>
        </w:tc>
      </w:tr>
    </w:tbl>
    <w:p w14:paraId="2078A8BA" w14:textId="18005F2D" w:rsidR="006E1ADE" w:rsidRPr="0003648D" w:rsidRDefault="006E1ADE" w:rsidP="006E1ADE">
      <w:pPr>
        <w:spacing w:before="240" w:after="240"/>
        <w:ind w:left="720" w:hanging="720"/>
        <w:rPr>
          <w:iCs/>
        </w:rPr>
      </w:pPr>
      <w:bookmarkStart w:id="2734" w:name="_Hlk135905291"/>
      <w:r w:rsidRPr="0003648D">
        <w:rPr>
          <w:iCs/>
        </w:rPr>
        <w:t>(</w:t>
      </w:r>
      <w:r>
        <w:rPr>
          <w:iCs/>
        </w:rPr>
        <w:t>6</w:t>
      </w:r>
      <w:r w:rsidRPr="0003648D">
        <w:rPr>
          <w:iCs/>
        </w:rPr>
        <w:t>)</w:t>
      </w:r>
      <w:r w:rsidRPr="0003648D">
        <w:rPr>
          <w:iCs/>
        </w:rPr>
        <w:tab/>
        <w:t xml:space="preserve">For </w:t>
      </w:r>
      <w:r>
        <w:rPr>
          <w:iCs/>
        </w:rPr>
        <w:t>ECRS</w:t>
      </w:r>
      <w:r w:rsidRPr="0003648D">
        <w:rPr>
          <w:iCs/>
        </w:rPr>
        <w:t>, if applicable:</w:t>
      </w:r>
    </w:p>
    <w:p w14:paraId="4FEDA922" w14:textId="77777777" w:rsidR="006E1ADE" w:rsidRPr="0003648D" w:rsidRDefault="006E1ADE" w:rsidP="006E1ADE">
      <w:pPr>
        <w:spacing w:after="240"/>
        <w:ind w:left="1440" w:hanging="720"/>
      </w:pPr>
      <w:r w:rsidRPr="0003648D">
        <w:t>(a)</w:t>
      </w:r>
      <w:r w:rsidRPr="0003648D">
        <w:tab/>
        <w:t xml:space="preserve">The net total costs for </w:t>
      </w:r>
      <w:r>
        <w:t>ECRS</w:t>
      </w:r>
      <w:r w:rsidRPr="0003648D">
        <w:t xml:space="preserve"> for a given Operating Hour is calculated as follows:</w:t>
      </w:r>
    </w:p>
    <w:p w14:paraId="6B7E54B7" w14:textId="3A31E61B" w:rsidR="006E1ADE" w:rsidRPr="0003648D" w:rsidRDefault="006E1ADE" w:rsidP="006E1ADE">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3923C7E" wp14:editId="51C97F9F">
            <wp:extent cx="142875" cy="2762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6884E8BD" w14:textId="77777777" w:rsidR="006E1ADE" w:rsidRPr="0003648D" w:rsidRDefault="006E1ADE" w:rsidP="006E1ADE">
      <w:pPr>
        <w:spacing w:after="240"/>
        <w:ind w:left="3600" w:firstLine="720"/>
        <w:rPr>
          <w:b/>
          <w:bCs/>
        </w:rPr>
      </w:pPr>
      <w:r>
        <w:rPr>
          <w:b/>
          <w:bCs/>
        </w:rPr>
        <w:t>EC</w:t>
      </w:r>
      <w:r w:rsidRPr="0003648D">
        <w:rPr>
          <w:b/>
          <w:bCs/>
        </w:rPr>
        <w:t>RINFQAMTTOT)</w:t>
      </w:r>
    </w:p>
    <w:p w14:paraId="4DE18907" w14:textId="77777777" w:rsidR="006E1ADE" w:rsidRPr="0003648D" w:rsidRDefault="006E1ADE" w:rsidP="006E1ADE">
      <w:pPr>
        <w:spacing w:after="240"/>
        <w:rPr>
          <w:iCs/>
        </w:rPr>
      </w:pPr>
      <w:r w:rsidRPr="0003648D">
        <w:rPr>
          <w:iCs/>
        </w:rPr>
        <w:t xml:space="preserve">Where: </w:t>
      </w:r>
    </w:p>
    <w:p w14:paraId="6052C0BC" w14:textId="77777777" w:rsidR="006E1ADE" w:rsidRPr="0003648D" w:rsidRDefault="006E1ADE" w:rsidP="006E1ADE">
      <w:r w:rsidRPr="0003648D">
        <w:t xml:space="preserve">Total payment of SASM- and RSASM-procured capacity for </w:t>
      </w:r>
      <w:r>
        <w:t>ECRS</w:t>
      </w:r>
      <w:r w:rsidRPr="0003648D">
        <w:t xml:space="preserve"> by market</w:t>
      </w:r>
    </w:p>
    <w:p w14:paraId="61B8DB6A" w14:textId="68E6DC36"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1C275B1C" wp14:editId="1C4046BF">
            <wp:extent cx="142875" cy="2952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0BC659A9" w14:textId="77777777" w:rsidR="006E1ADE" w:rsidRPr="0003648D" w:rsidRDefault="006E1ADE" w:rsidP="006E1ADE">
      <w:r w:rsidRPr="0003648D">
        <w:t xml:space="preserve">Total payment of DAM-procured capacity for </w:t>
      </w:r>
      <w:r>
        <w:t>ECRS</w:t>
      </w:r>
    </w:p>
    <w:p w14:paraId="536A6E4D" w14:textId="18100790" w:rsidR="006E1ADE" w:rsidRPr="0003648D" w:rsidRDefault="006E1ADE" w:rsidP="006E1ADE">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CDEF087" wp14:editId="79ADB545">
            <wp:extent cx="142875" cy="2952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35166BDF" w14:textId="77777777" w:rsidR="006E1ADE" w:rsidRPr="0003648D" w:rsidRDefault="006E1ADE" w:rsidP="006E1ADE">
      <w:r w:rsidRPr="0003648D">
        <w:t xml:space="preserve">Total charge of failure on Ancillary Service Supply Responsibility for </w:t>
      </w:r>
      <w:r>
        <w:t>ECRS</w:t>
      </w:r>
    </w:p>
    <w:p w14:paraId="38351311" w14:textId="0F36E61D" w:rsidR="006E1ADE" w:rsidRPr="0003648D" w:rsidRDefault="006E1ADE" w:rsidP="006E1ADE">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7FBE3D16" wp14:editId="2CF35CAB">
            <wp:extent cx="142875" cy="2952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672950D6" w14:textId="77777777" w:rsidR="006E1ADE" w:rsidRPr="0003648D" w:rsidRDefault="006E1ADE" w:rsidP="006E1ADE">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370EFD88" w14:textId="6ECF7718"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03A7139" wp14:editId="4AE92F7C">
            <wp:extent cx="142875" cy="2762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55211170" w14:textId="77777777" w:rsidR="006E1ADE" w:rsidRPr="0003648D" w:rsidRDefault="006E1ADE" w:rsidP="006E1ADE">
      <w:r w:rsidRPr="0003648D">
        <w:t xml:space="preserve">Total charge of infeasible Ancillary Service Supply Responsibility for </w:t>
      </w:r>
      <w:r>
        <w:t>ECRS</w:t>
      </w:r>
    </w:p>
    <w:p w14:paraId="70A6D704" w14:textId="77777777" w:rsidR="006E1ADE" w:rsidRPr="0003648D" w:rsidRDefault="006E1ADE" w:rsidP="006E1ADE">
      <w:pPr>
        <w:spacing w:after="240"/>
        <w:ind w:left="2880" w:hanging="2160"/>
      </w:pPr>
      <w:r>
        <w:t>EC</w:t>
      </w:r>
      <w:r w:rsidRPr="0003648D">
        <w:t>RINFQAMTTOT</w:t>
      </w:r>
      <w:r w:rsidRPr="0003648D">
        <w:tab/>
        <w:t>=</w:t>
      </w:r>
      <w:r w:rsidRPr="0003648D">
        <w:tab/>
      </w:r>
      <w:r w:rsidRPr="0003648D">
        <w:rPr>
          <w:position w:val="-22"/>
          <w:lang w:val="pt-BR"/>
        </w:rPr>
        <w:object w:dxaOrig="225" w:dyaOrig="465" w14:anchorId="1D1677D8">
          <v:shape id="_x0000_i1356" type="#_x0000_t75" style="width:12pt;height:24pt" o:ole="">
            <v:imagedata r:id="rId432" o:title=""/>
          </v:shape>
          <o:OLEObject Type="Embed" ProgID="Equation.3" ShapeID="_x0000_i1356" DrawAspect="Content" ObjectID="_1804653839" r:id="rId443"/>
        </w:object>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4B93B2C8"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6E1ADE" w:rsidRPr="0003648D" w14:paraId="4B83BBC7" w14:textId="77777777" w:rsidTr="00B82144">
        <w:trPr>
          <w:tblHeader/>
        </w:trPr>
        <w:tc>
          <w:tcPr>
            <w:tcW w:w="1278" w:type="pct"/>
          </w:tcPr>
          <w:p w14:paraId="7C3E8615" w14:textId="77777777" w:rsidR="006E1ADE" w:rsidRPr="0003648D" w:rsidRDefault="006E1ADE" w:rsidP="00B82144">
            <w:pPr>
              <w:spacing w:after="120"/>
              <w:rPr>
                <w:b/>
                <w:iCs/>
                <w:sz w:val="20"/>
              </w:rPr>
            </w:pPr>
            <w:r w:rsidRPr="0003648D">
              <w:rPr>
                <w:b/>
                <w:iCs/>
                <w:sz w:val="20"/>
              </w:rPr>
              <w:lastRenderedPageBreak/>
              <w:t>Variable</w:t>
            </w:r>
          </w:p>
        </w:tc>
        <w:tc>
          <w:tcPr>
            <w:tcW w:w="329" w:type="pct"/>
          </w:tcPr>
          <w:p w14:paraId="05AAD542" w14:textId="77777777" w:rsidR="006E1ADE" w:rsidRPr="0003648D" w:rsidRDefault="006E1ADE" w:rsidP="00B82144">
            <w:pPr>
              <w:spacing w:after="120"/>
              <w:rPr>
                <w:b/>
                <w:iCs/>
                <w:sz w:val="20"/>
              </w:rPr>
            </w:pPr>
            <w:r w:rsidRPr="0003648D">
              <w:rPr>
                <w:b/>
                <w:iCs/>
                <w:sz w:val="20"/>
              </w:rPr>
              <w:t>Unit</w:t>
            </w:r>
          </w:p>
        </w:tc>
        <w:tc>
          <w:tcPr>
            <w:tcW w:w="3393" w:type="pct"/>
          </w:tcPr>
          <w:p w14:paraId="05C401BF" w14:textId="77777777" w:rsidR="006E1ADE" w:rsidRPr="0003648D" w:rsidRDefault="006E1ADE" w:rsidP="00B82144">
            <w:pPr>
              <w:spacing w:after="120"/>
              <w:rPr>
                <w:b/>
                <w:iCs/>
                <w:sz w:val="20"/>
              </w:rPr>
            </w:pPr>
            <w:r w:rsidRPr="0003648D">
              <w:rPr>
                <w:b/>
                <w:iCs/>
                <w:sz w:val="20"/>
              </w:rPr>
              <w:t>Description</w:t>
            </w:r>
          </w:p>
        </w:tc>
      </w:tr>
      <w:tr w:rsidR="006E1ADE" w:rsidRPr="0003648D" w14:paraId="029E90CC" w14:textId="77777777" w:rsidTr="00B82144">
        <w:tc>
          <w:tcPr>
            <w:tcW w:w="1278" w:type="pct"/>
          </w:tcPr>
          <w:p w14:paraId="17C78E66"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5DAE8F02" w14:textId="77777777" w:rsidR="006E1ADE" w:rsidRPr="0003648D" w:rsidRDefault="006E1ADE" w:rsidP="00B82144">
            <w:pPr>
              <w:spacing w:after="60"/>
              <w:rPr>
                <w:iCs/>
                <w:sz w:val="20"/>
              </w:rPr>
            </w:pPr>
            <w:r w:rsidRPr="0003648D">
              <w:rPr>
                <w:iCs/>
                <w:sz w:val="20"/>
              </w:rPr>
              <w:t>$</w:t>
            </w:r>
          </w:p>
        </w:tc>
        <w:tc>
          <w:tcPr>
            <w:tcW w:w="3393" w:type="pct"/>
          </w:tcPr>
          <w:p w14:paraId="0CB12329" w14:textId="77777777" w:rsidR="006E1ADE" w:rsidRPr="0003648D" w:rsidRDefault="006E1ADE" w:rsidP="00B82144">
            <w:pPr>
              <w:spacing w:after="60"/>
              <w:rPr>
                <w:iCs/>
                <w:sz w:val="20"/>
              </w:rPr>
            </w:pPr>
            <w:r w:rsidRPr="006B6435">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143908B8" w14:textId="77777777" w:rsidTr="00B82144">
        <w:tc>
          <w:tcPr>
            <w:tcW w:w="1278" w:type="pct"/>
            <w:tcBorders>
              <w:top w:val="single" w:sz="4" w:space="0" w:color="auto"/>
              <w:left w:val="single" w:sz="4" w:space="0" w:color="auto"/>
              <w:bottom w:val="single" w:sz="4" w:space="0" w:color="auto"/>
              <w:right w:val="single" w:sz="4" w:space="0" w:color="auto"/>
            </w:tcBorders>
          </w:tcPr>
          <w:p w14:paraId="18259EB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6471D63"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13F4B50"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48DF037" w14:textId="77777777" w:rsidTr="00B82144">
        <w:tc>
          <w:tcPr>
            <w:tcW w:w="1278" w:type="pct"/>
            <w:tcBorders>
              <w:top w:val="single" w:sz="4" w:space="0" w:color="auto"/>
              <w:left w:val="single" w:sz="4" w:space="0" w:color="auto"/>
              <w:bottom w:val="single" w:sz="4" w:space="0" w:color="auto"/>
              <w:right w:val="single" w:sz="4" w:space="0" w:color="auto"/>
            </w:tcBorders>
          </w:tcPr>
          <w:p w14:paraId="6B102759"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5C27D7C"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154FD7F"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F43B930" w14:textId="77777777" w:rsidTr="00B82144">
        <w:tc>
          <w:tcPr>
            <w:tcW w:w="1278" w:type="pct"/>
            <w:tcBorders>
              <w:top w:val="single" w:sz="4" w:space="0" w:color="auto"/>
              <w:left w:val="single" w:sz="4" w:space="0" w:color="auto"/>
              <w:bottom w:val="single" w:sz="4" w:space="0" w:color="auto"/>
              <w:right w:val="single" w:sz="4" w:space="0" w:color="auto"/>
            </w:tcBorders>
          </w:tcPr>
          <w:p w14:paraId="34454A38"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613D10D2"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EBB3741"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6004E710" w14:textId="77777777" w:rsidTr="00B82144">
        <w:tc>
          <w:tcPr>
            <w:tcW w:w="1278" w:type="pct"/>
            <w:tcBorders>
              <w:top w:val="single" w:sz="4" w:space="0" w:color="auto"/>
              <w:left w:val="single" w:sz="4" w:space="0" w:color="auto"/>
              <w:bottom w:val="single" w:sz="4" w:space="0" w:color="auto"/>
              <w:right w:val="single" w:sz="4" w:space="0" w:color="auto"/>
            </w:tcBorders>
          </w:tcPr>
          <w:p w14:paraId="14245AF4"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1C20780"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BA69092"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6E1ADE" w:rsidRPr="0003648D" w14:paraId="10209503" w14:textId="77777777" w:rsidTr="00B82144">
        <w:tc>
          <w:tcPr>
            <w:tcW w:w="1278" w:type="pct"/>
            <w:tcBorders>
              <w:top w:val="single" w:sz="4" w:space="0" w:color="auto"/>
              <w:left w:val="single" w:sz="4" w:space="0" w:color="auto"/>
              <w:bottom w:val="single" w:sz="4" w:space="0" w:color="auto"/>
              <w:right w:val="single" w:sz="4" w:space="0" w:color="auto"/>
            </w:tcBorders>
          </w:tcPr>
          <w:p w14:paraId="3721293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E377CCD"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BB7914" w14:textId="77777777" w:rsidR="006E1ADE" w:rsidRPr="0003648D" w:rsidRDefault="006E1ADE" w:rsidP="00B82144">
            <w:pPr>
              <w:spacing w:after="60"/>
              <w:rPr>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5A995D00" w14:textId="77777777" w:rsidTr="00B82144">
        <w:tc>
          <w:tcPr>
            <w:tcW w:w="1278" w:type="pct"/>
            <w:tcBorders>
              <w:top w:val="single" w:sz="4" w:space="0" w:color="auto"/>
              <w:left w:val="single" w:sz="4" w:space="0" w:color="auto"/>
              <w:bottom w:val="single" w:sz="4" w:space="0" w:color="auto"/>
              <w:right w:val="single" w:sz="4" w:space="0" w:color="auto"/>
            </w:tcBorders>
          </w:tcPr>
          <w:p w14:paraId="4D015607" w14:textId="77777777" w:rsidR="006E1ADE" w:rsidRPr="0003648D" w:rsidRDefault="006E1ADE" w:rsidP="00B82144">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74E3564"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E6317EB" w14:textId="77777777" w:rsidR="006E1ADE" w:rsidRPr="0003648D" w:rsidRDefault="006E1ADE" w:rsidP="00B82144">
            <w:pPr>
              <w:rPr>
                <w:b/>
                <w:sz w:val="20"/>
              </w:rPr>
            </w:pPr>
            <w:r w:rsidRPr="0003648D">
              <w:rPr>
                <w:i/>
                <w:sz w:val="20"/>
              </w:rPr>
              <w:t xml:space="preserve">Procured Capacity for </w:t>
            </w:r>
            <w:r w:rsidRPr="006B6435">
              <w:rPr>
                <w:i/>
                <w:iCs/>
                <w:sz w:val="20"/>
              </w:rPr>
              <w:t>ERCOT Contingency Reserve Service</w:t>
            </w:r>
            <w:r w:rsidRPr="0003648D">
              <w:rPr>
                <w:i/>
                <w:sz w:val="20"/>
              </w:rPr>
              <w:t xml:space="preserve"> Amount per QSE for DAM</w:t>
            </w:r>
            <w:r w:rsidRPr="0003648D">
              <w:rPr>
                <w:sz w:val="20"/>
              </w:rPr>
              <w:t xml:space="preserve">—The DAM </w:t>
            </w:r>
            <w:r>
              <w:rPr>
                <w:sz w:val="20"/>
              </w:rPr>
              <w:t>EC</w:t>
            </w:r>
            <w:r w:rsidRPr="0003648D">
              <w:rPr>
                <w:sz w:val="20"/>
              </w:rPr>
              <w:t xml:space="preserve">RS payment for QSE </w:t>
            </w:r>
            <w:r w:rsidRPr="0003648D">
              <w:rPr>
                <w:i/>
                <w:sz w:val="20"/>
              </w:rPr>
              <w:t>q</w:t>
            </w:r>
            <w:r w:rsidRPr="0003648D">
              <w:rPr>
                <w:sz w:val="20"/>
              </w:rPr>
              <w:t>, for the hour.</w:t>
            </w:r>
          </w:p>
        </w:tc>
      </w:tr>
      <w:tr w:rsidR="006E1ADE" w:rsidRPr="0003648D" w14:paraId="425498E1" w14:textId="77777777" w:rsidTr="00B82144">
        <w:tc>
          <w:tcPr>
            <w:tcW w:w="1278" w:type="pct"/>
            <w:tcBorders>
              <w:top w:val="single" w:sz="4" w:space="0" w:color="auto"/>
              <w:left w:val="single" w:sz="4" w:space="0" w:color="auto"/>
              <w:bottom w:val="single" w:sz="4" w:space="0" w:color="auto"/>
              <w:right w:val="single" w:sz="4" w:space="0" w:color="auto"/>
            </w:tcBorders>
          </w:tcPr>
          <w:p w14:paraId="48919F8B"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15A26978"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2B4EF7F" w14:textId="77777777" w:rsidR="006E1ADE" w:rsidRPr="0003648D" w:rsidRDefault="006E1ADE" w:rsidP="00B82144">
            <w:pPr>
              <w:spacing w:after="60"/>
              <w:rPr>
                <w:sz w:val="20"/>
              </w:rPr>
            </w:pPr>
            <w:r w:rsidRPr="0003648D">
              <w:rPr>
                <w:i/>
                <w:sz w:val="20"/>
              </w:rPr>
              <w:t xml:space="preserve">Procured Capacity for </w:t>
            </w:r>
            <w:r w:rsidRPr="006B6435">
              <w:rPr>
                <w:i/>
                <w:iCs/>
                <w:sz w:val="20"/>
              </w:rPr>
              <w:t>ERCOT Contingency Reserve Service</w:t>
            </w:r>
            <w:r w:rsidRPr="0003648D">
              <w:rPr>
                <w:i/>
                <w:sz w:val="20"/>
              </w:rPr>
              <w:t xml:space="preserve"> Amount Total in DAM</w:t>
            </w:r>
            <w:r w:rsidRPr="0003648D">
              <w:rPr>
                <w:sz w:val="20"/>
              </w:rPr>
              <w:t xml:space="preserve">—The total of the DAM </w:t>
            </w:r>
            <w:r>
              <w:rPr>
                <w:sz w:val="20"/>
              </w:rPr>
              <w:t>EC</w:t>
            </w:r>
            <w:r w:rsidRPr="0003648D">
              <w:rPr>
                <w:sz w:val="20"/>
              </w:rPr>
              <w:t>RS payments for all QSEs, for the hour.</w:t>
            </w:r>
          </w:p>
        </w:tc>
      </w:tr>
      <w:tr w:rsidR="006E1ADE" w:rsidRPr="0003648D" w14:paraId="32F1296D" w14:textId="77777777" w:rsidTr="00B82144">
        <w:tc>
          <w:tcPr>
            <w:tcW w:w="1278" w:type="pct"/>
            <w:tcBorders>
              <w:top w:val="single" w:sz="4" w:space="0" w:color="auto"/>
              <w:left w:val="single" w:sz="4" w:space="0" w:color="auto"/>
              <w:bottom w:val="single" w:sz="4" w:space="0" w:color="auto"/>
              <w:right w:val="single" w:sz="4" w:space="0" w:color="auto"/>
            </w:tcBorders>
          </w:tcPr>
          <w:p w14:paraId="4279BCFD"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53541A2A"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5C7C9872"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w:t>
            </w:r>
            <w:r w:rsidRPr="0003648D">
              <w:rPr>
                <w:sz w:val="20"/>
              </w:rPr>
              <w:t>RS, for the hour.</w:t>
            </w:r>
          </w:p>
        </w:tc>
      </w:tr>
      <w:tr w:rsidR="006E1ADE" w:rsidRPr="0003648D" w14:paraId="1ED8E78B" w14:textId="77777777" w:rsidTr="00B82144">
        <w:tc>
          <w:tcPr>
            <w:tcW w:w="1278" w:type="pct"/>
            <w:tcBorders>
              <w:top w:val="single" w:sz="4" w:space="0" w:color="auto"/>
              <w:left w:val="single" w:sz="4" w:space="0" w:color="auto"/>
              <w:bottom w:val="single" w:sz="4" w:space="0" w:color="auto"/>
              <w:right w:val="single" w:sz="4" w:space="0" w:color="auto"/>
            </w:tcBorders>
          </w:tcPr>
          <w:p w14:paraId="68CF1688"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BA05ABC"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C5DDC1"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w:t>
            </w:r>
            <w:r w:rsidRPr="0003648D">
              <w:rPr>
                <w:sz w:val="20"/>
              </w:rPr>
              <w:t>RS, for the hour.</w:t>
            </w:r>
          </w:p>
        </w:tc>
      </w:tr>
      <w:tr w:rsidR="006E1ADE" w:rsidRPr="0003648D" w14:paraId="7D043F3E" w14:textId="77777777" w:rsidTr="00B82144">
        <w:tc>
          <w:tcPr>
            <w:tcW w:w="1278" w:type="pct"/>
            <w:tcBorders>
              <w:top w:val="single" w:sz="4" w:space="0" w:color="auto"/>
              <w:left w:val="single" w:sz="4" w:space="0" w:color="auto"/>
              <w:bottom w:val="single" w:sz="4" w:space="0" w:color="auto"/>
              <w:right w:val="single" w:sz="4" w:space="0" w:color="auto"/>
            </w:tcBorders>
          </w:tcPr>
          <w:p w14:paraId="02377C58"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25A9F2F8"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3DAD404" w14:textId="77777777" w:rsidR="006E1ADE" w:rsidRPr="0003648D" w:rsidRDefault="006E1ADE" w:rsidP="00B82144">
            <w:pPr>
              <w:spacing w:after="60"/>
              <w:rPr>
                <w:iCs/>
                <w:sz w:val="20"/>
              </w:rPr>
            </w:pPr>
            <w:r w:rsidRPr="0003648D">
              <w:rPr>
                <w:iCs/>
                <w:sz w:val="20"/>
              </w:rPr>
              <w:t>A QSE.</w:t>
            </w:r>
          </w:p>
        </w:tc>
      </w:tr>
      <w:tr w:rsidR="006E1ADE" w:rsidRPr="0003648D" w14:paraId="12706BB4" w14:textId="77777777" w:rsidTr="00B82144">
        <w:tc>
          <w:tcPr>
            <w:tcW w:w="1278" w:type="pct"/>
            <w:tcBorders>
              <w:top w:val="single" w:sz="4" w:space="0" w:color="auto"/>
              <w:left w:val="single" w:sz="4" w:space="0" w:color="auto"/>
              <w:bottom w:val="single" w:sz="4" w:space="0" w:color="auto"/>
              <w:right w:val="single" w:sz="4" w:space="0" w:color="auto"/>
            </w:tcBorders>
          </w:tcPr>
          <w:p w14:paraId="26FB2AA8"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CA02FB3"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8529022"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7DE09BE6" w14:textId="77777777" w:rsidR="006E1ADE" w:rsidRPr="0003648D" w:rsidRDefault="006E1ADE" w:rsidP="006E1A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E1ADE" w:rsidRPr="0003648D" w14:paraId="7D691F96" w14:textId="77777777" w:rsidTr="006E1ADE">
        <w:trPr>
          <w:trHeight w:val="1016"/>
        </w:trPr>
        <w:tc>
          <w:tcPr>
            <w:tcW w:w="9576" w:type="dxa"/>
            <w:shd w:val="pct12" w:color="auto" w:fill="auto"/>
          </w:tcPr>
          <w:p w14:paraId="2CC9B9A5" w14:textId="77777777" w:rsidR="006E1ADE" w:rsidRPr="0003648D" w:rsidRDefault="006E1ADE" w:rsidP="00B82144">
            <w:pPr>
              <w:pStyle w:val="Instructions"/>
              <w:spacing w:before="120"/>
            </w:pPr>
            <w:r w:rsidRPr="0003648D">
              <w:t>[NPRR841:  Replace paragraph (a) above with the following upon system implementation:]</w:t>
            </w:r>
          </w:p>
          <w:p w14:paraId="51E3C8C8" w14:textId="77777777" w:rsidR="006E1ADE" w:rsidRPr="0003648D" w:rsidRDefault="006E1ADE" w:rsidP="00B82144">
            <w:pPr>
              <w:spacing w:after="240"/>
              <w:ind w:left="1440" w:hanging="720"/>
            </w:pPr>
            <w:r w:rsidRPr="0003648D">
              <w:t>(a)</w:t>
            </w:r>
            <w:r w:rsidRPr="0003648D">
              <w:tab/>
              <w:t xml:space="preserve">The net total costs for </w:t>
            </w:r>
            <w:r>
              <w:t>EC</w:t>
            </w:r>
            <w:r w:rsidRPr="0003648D">
              <w:t>RS for a given Operating Hour is calculated as follows:</w:t>
            </w:r>
          </w:p>
          <w:p w14:paraId="2A9A7254" w14:textId="0D8E637A" w:rsidR="006E1ADE" w:rsidRPr="0003648D" w:rsidRDefault="006E1ADE" w:rsidP="00B82144">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2004EAC" wp14:editId="6F64EABE">
                  <wp:extent cx="142875" cy="276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0220D9E9" w14:textId="77777777" w:rsidR="006E1ADE" w:rsidRPr="0003648D" w:rsidRDefault="006E1ADE" w:rsidP="00B82144">
            <w:pPr>
              <w:spacing w:after="240"/>
              <w:ind w:left="3600" w:firstLine="720"/>
              <w:rPr>
                <w:b/>
                <w:bCs/>
              </w:rPr>
            </w:pPr>
            <w:r>
              <w:rPr>
                <w:b/>
                <w:bCs/>
              </w:rPr>
              <w:t>EC</w:t>
            </w:r>
            <w:r w:rsidRPr="0003648D">
              <w:rPr>
                <w:b/>
                <w:bCs/>
              </w:rPr>
              <w:t xml:space="preserve">RINFQAMTTOT </w:t>
            </w:r>
            <w:r w:rsidRPr="0003648D">
              <w:rPr>
                <w:b/>
              </w:rPr>
              <w:t xml:space="preserve">+ </w:t>
            </w:r>
            <w:r>
              <w:rPr>
                <w:b/>
                <w:color w:val="000000"/>
              </w:rPr>
              <w:t>EC</w:t>
            </w:r>
            <w:r w:rsidRPr="0003648D">
              <w:rPr>
                <w:b/>
                <w:color w:val="000000"/>
              </w:rPr>
              <w:t>RMWINFATOT</w:t>
            </w:r>
            <w:r w:rsidRPr="0003648D">
              <w:rPr>
                <w:b/>
                <w:bCs/>
              </w:rPr>
              <w:t>)</w:t>
            </w:r>
          </w:p>
          <w:p w14:paraId="41546782" w14:textId="77777777" w:rsidR="006E1ADE" w:rsidRPr="0003648D" w:rsidRDefault="006E1ADE" w:rsidP="00B82144">
            <w:pPr>
              <w:spacing w:after="240"/>
              <w:rPr>
                <w:iCs/>
              </w:rPr>
            </w:pPr>
            <w:r w:rsidRPr="0003648D">
              <w:rPr>
                <w:iCs/>
              </w:rPr>
              <w:t xml:space="preserve">Where: </w:t>
            </w:r>
          </w:p>
          <w:p w14:paraId="5E13B1FB" w14:textId="77777777" w:rsidR="006E1ADE" w:rsidRPr="0003648D" w:rsidRDefault="006E1ADE" w:rsidP="00B82144">
            <w:r w:rsidRPr="0003648D">
              <w:lastRenderedPageBreak/>
              <w:t xml:space="preserve">Total payment of SASM- and RSASM-procured capacity for </w:t>
            </w:r>
            <w:r>
              <w:t>ECRS</w:t>
            </w:r>
            <w:r w:rsidRPr="0003648D">
              <w:t xml:space="preserve"> by market</w:t>
            </w:r>
          </w:p>
          <w:p w14:paraId="349FCD2A" w14:textId="516ECF5D"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60D6CE9C" wp14:editId="2C4796BE">
                  <wp:extent cx="142875" cy="2952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718E9C12" w14:textId="77777777" w:rsidR="006E1ADE" w:rsidRPr="0003648D" w:rsidRDefault="006E1ADE" w:rsidP="00B82144">
            <w:r w:rsidRPr="0003648D">
              <w:t xml:space="preserve">Total payment of DAM-procured capacity for </w:t>
            </w:r>
            <w:r>
              <w:t>ECRS</w:t>
            </w:r>
          </w:p>
          <w:p w14:paraId="07065A40" w14:textId="1550D6C6" w:rsidR="006E1ADE" w:rsidRPr="0003648D" w:rsidRDefault="006E1ADE" w:rsidP="00B82144">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BC1245F" wp14:editId="7FD7CFEE">
                  <wp:extent cx="142875" cy="2952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19C0F888" w14:textId="77777777" w:rsidR="006E1ADE" w:rsidRPr="0003648D" w:rsidRDefault="006E1ADE" w:rsidP="00B82144">
            <w:r w:rsidRPr="0003648D">
              <w:t xml:space="preserve">Total charge of failure on Ancillary Service Supply Responsibility for </w:t>
            </w:r>
            <w:r>
              <w:t>ECRS</w:t>
            </w:r>
          </w:p>
          <w:p w14:paraId="1B0B447D" w14:textId="21F25113" w:rsidR="006E1ADE" w:rsidRPr="0003648D" w:rsidRDefault="006E1ADE" w:rsidP="00B82144">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2B9D17FF" wp14:editId="34E3CB12">
                  <wp:extent cx="142875" cy="2952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1A4F230A" w14:textId="77777777" w:rsidR="006E1ADE" w:rsidRPr="0003648D" w:rsidRDefault="006E1ADE" w:rsidP="00B82144">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68FFEFE0" w14:textId="48F20E12"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4AE500D" wp14:editId="7A70802C">
                  <wp:extent cx="142875" cy="2762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3DA25BE3" w14:textId="77777777" w:rsidR="006E1ADE" w:rsidRPr="0003648D" w:rsidRDefault="006E1ADE" w:rsidP="00B82144">
            <w:r w:rsidRPr="0003648D">
              <w:t xml:space="preserve">Total charge of infeasible Ancillary Service Supply Responsibility for </w:t>
            </w:r>
            <w:r>
              <w:t>ECRS</w:t>
            </w:r>
          </w:p>
          <w:p w14:paraId="18ABE271" w14:textId="6A946547" w:rsidR="006E1ADE" w:rsidRPr="0003648D" w:rsidRDefault="006E1ADE" w:rsidP="00B82144">
            <w:pPr>
              <w:spacing w:after="240"/>
              <w:ind w:left="2880" w:hanging="2160"/>
            </w:pPr>
            <w:r>
              <w:t>EC</w:t>
            </w:r>
            <w:r w:rsidRPr="0003648D">
              <w:t>RINFQAMTTOT</w:t>
            </w:r>
            <w:r w:rsidRPr="0003648D">
              <w:tab/>
              <w:t>=</w:t>
            </w:r>
            <w:r w:rsidRPr="0003648D">
              <w:tab/>
            </w:r>
            <w:r>
              <w:rPr>
                <w:noProof/>
                <w:position w:val="-22"/>
              </w:rPr>
              <w:drawing>
                <wp:inline distT="0" distB="0" distL="0" distR="0" wp14:anchorId="6E41E853" wp14:editId="35647976">
                  <wp:extent cx="142875" cy="2952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151ACDC3" w14:textId="77777777" w:rsidR="006E1ADE" w:rsidRPr="0003648D" w:rsidRDefault="006E1ADE" w:rsidP="00B82144">
            <w:pPr>
              <w:pStyle w:val="Formula"/>
              <w:ind w:left="2880" w:hanging="2160"/>
            </w:pPr>
            <w:r w:rsidRPr="0003648D">
              <w:t xml:space="preserve">Total Real-Time </w:t>
            </w:r>
            <w:r w:rsidRPr="0003648D">
              <w:rPr>
                <w:iCs/>
              </w:rPr>
              <w:t>Day-Ahead</w:t>
            </w:r>
            <w:r w:rsidRPr="0003648D">
              <w:t xml:space="preserve"> Make-Whole Payment for </w:t>
            </w:r>
            <w:r>
              <w:t>ECRS</w:t>
            </w:r>
          </w:p>
          <w:p w14:paraId="40547AF8" w14:textId="77777777" w:rsidR="006E1ADE" w:rsidRPr="0003648D" w:rsidRDefault="006E1ADE" w:rsidP="00B82144">
            <w:pPr>
              <w:spacing w:after="240"/>
              <w:ind w:left="2880" w:hanging="2160"/>
            </w:pPr>
            <w:r>
              <w:t>EC</w:t>
            </w:r>
            <w:r w:rsidRPr="0003648D">
              <w:t>RMWINFATOT</w:t>
            </w:r>
            <w:r w:rsidRPr="0003648D">
              <w:tab/>
              <w:t>=</w:t>
            </w:r>
            <w:r w:rsidRPr="0003648D">
              <w:tab/>
            </w:r>
            <w:r w:rsidRPr="0003648D">
              <w:rPr>
                <w:position w:val="-22"/>
                <w:lang w:val="pt-BR"/>
              </w:rPr>
              <w:object w:dxaOrig="220" w:dyaOrig="460" w14:anchorId="717A9DAD">
                <v:shape id="_x0000_i1357" type="#_x0000_t75" style="width:12pt;height:24pt" o:ole="">
                  <v:imagedata r:id="rId434" o:title=""/>
                </v:shape>
                <o:OLEObject Type="Embed" ProgID="Equation.3" ShapeID="_x0000_i1357" DrawAspect="Content" ObjectID="_1804653840" r:id="rId444"/>
              </w:object>
            </w:r>
            <w:r w:rsidRPr="0003648D">
              <w:rPr>
                <w:color w:val="000000"/>
              </w:rPr>
              <w:t xml:space="preserve"> </w:t>
            </w:r>
            <w:r>
              <w:rPr>
                <w:color w:val="000000"/>
              </w:rPr>
              <w:t>EC</w:t>
            </w:r>
            <w:r w:rsidRPr="0003648D">
              <w:rPr>
                <w:color w:val="000000"/>
              </w:rPr>
              <w:t>RMWINFA</w:t>
            </w:r>
            <w:r w:rsidRPr="0003648D" w:rsidDel="00601212">
              <w:rPr>
                <w:color w:val="000000"/>
              </w:rPr>
              <w:t xml:space="preserve"> </w:t>
            </w:r>
            <w:r w:rsidRPr="0003648D">
              <w:rPr>
                <w:i/>
                <w:vertAlign w:val="subscript"/>
              </w:rPr>
              <w:t xml:space="preserve">q, h  </w:t>
            </w:r>
          </w:p>
          <w:p w14:paraId="03FE60BA" w14:textId="77777777" w:rsidR="006E1ADE" w:rsidRPr="0003648D" w:rsidRDefault="006E1ADE" w:rsidP="00B82144">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6E1ADE" w:rsidRPr="0003648D" w14:paraId="0F64C4F5" w14:textId="77777777" w:rsidTr="00B82144">
              <w:trPr>
                <w:tblHeader/>
              </w:trPr>
              <w:tc>
                <w:tcPr>
                  <w:tcW w:w="1278" w:type="pct"/>
                </w:tcPr>
                <w:p w14:paraId="50D170DF" w14:textId="77777777" w:rsidR="006E1ADE" w:rsidRPr="0003648D" w:rsidRDefault="006E1ADE" w:rsidP="00B82144">
                  <w:pPr>
                    <w:spacing w:after="120"/>
                    <w:rPr>
                      <w:b/>
                      <w:iCs/>
                      <w:sz w:val="20"/>
                    </w:rPr>
                  </w:pPr>
                  <w:r w:rsidRPr="0003648D">
                    <w:rPr>
                      <w:b/>
                      <w:iCs/>
                      <w:sz w:val="20"/>
                    </w:rPr>
                    <w:t>Variable</w:t>
                  </w:r>
                </w:p>
              </w:tc>
              <w:tc>
                <w:tcPr>
                  <w:tcW w:w="329" w:type="pct"/>
                </w:tcPr>
                <w:p w14:paraId="0DE408C9" w14:textId="77777777" w:rsidR="006E1ADE" w:rsidRPr="0003648D" w:rsidRDefault="006E1ADE" w:rsidP="00B82144">
                  <w:pPr>
                    <w:spacing w:after="120"/>
                    <w:rPr>
                      <w:b/>
                      <w:iCs/>
                      <w:sz w:val="20"/>
                    </w:rPr>
                  </w:pPr>
                  <w:r w:rsidRPr="0003648D">
                    <w:rPr>
                      <w:b/>
                      <w:iCs/>
                      <w:sz w:val="20"/>
                    </w:rPr>
                    <w:t>Unit</w:t>
                  </w:r>
                </w:p>
              </w:tc>
              <w:tc>
                <w:tcPr>
                  <w:tcW w:w="3393" w:type="pct"/>
                </w:tcPr>
                <w:p w14:paraId="0031BE78" w14:textId="77777777" w:rsidR="006E1ADE" w:rsidRPr="0003648D" w:rsidRDefault="006E1ADE" w:rsidP="00B82144">
                  <w:pPr>
                    <w:spacing w:after="120"/>
                    <w:rPr>
                      <w:b/>
                      <w:iCs/>
                      <w:sz w:val="20"/>
                    </w:rPr>
                  </w:pPr>
                  <w:r w:rsidRPr="0003648D">
                    <w:rPr>
                      <w:b/>
                      <w:iCs/>
                      <w:sz w:val="20"/>
                    </w:rPr>
                    <w:t>Description</w:t>
                  </w:r>
                </w:p>
              </w:tc>
            </w:tr>
            <w:tr w:rsidR="006E1ADE" w:rsidRPr="0003648D" w14:paraId="28174320" w14:textId="77777777" w:rsidTr="00B82144">
              <w:tc>
                <w:tcPr>
                  <w:tcW w:w="1278" w:type="pct"/>
                </w:tcPr>
                <w:p w14:paraId="27E4A9CC"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0A52C133" w14:textId="77777777" w:rsidR="006E1ADE" w:rsidRPr="0003648D" w:rsidRDefault="006E1ADE" w:rsidP="00B82144">
                  <w:pPr>
                    <w:spacing w:after="60"/>
                    <w:rPr>
                      <w:iCs/>
                      <w:sz w:val="20"/>
                    </w:rPr>
                  </w:pPr>
                  <w:r w:rsidRPr="0003648D">
                    <w:rPr>
                      <w:iCs/>
                      <w:sz w:val="20"/>
                    </w:rPr>
                    <w:t>$</w:t>
                  </w:r>
                </w:p>
              </w:tc>
              <w:tc>
                <w:tcPr>
                  <w:tcW w:w="3393" w:type="pct"/>
                </w:tcPr>
                <w:p w14:paraId="23CA6F29"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663CA03A" w14:textId="77777777" w:rsidTr="00B82144">
              <w:tc>
                <w:tcPr>
                  <w:tcW w:w="1278" w:type="pct"/>
                  <w:tcBorders>
                    <w:top w:val="single" w:sz="4" w:space="0" w:color="auto"/>
                    <w:left w:val="single" w:sz="4" w:space="0" w:color="auto"/>
                    <w:bottom w:val="single" w:sz="4" w:space="0" w:color="auto"/>
                    <w:right w:val="single" w:sz="4" w:space="0" w:color="auto"/>
                  </w:tcBorders>
                </w:tcPr>
                <w:p w14:paraId="1F76E431"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2F1CDCCE"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4F9CBD"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595A0A5A" w14:textId="77777777" w:rsidTr="00B82144">
              <w:tc>
                <w:tcPr>
                  <w:tcW w:w="1278" w:type="pct"/>
                  <w:tcBorders>
                    <w:top w:val="single" w:sz="4" w:space="0" w:color="auto"/>
                    <w:left w:val="single" w:sz="4" w:space="0" w:color="auto"/>
                    <w:bottom w:val="single" w:sz="4" w:space="0" w:color="auto"/>
                    <w:right w:val="single" w:sz="4" w:space="0" w:color="auto"/>
                  </w:tcBorders>
                </w:tcPr>
                <w:p w14:paraId="3EDBB94C"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E6070F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4D9FA0A"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C5E8255" w14:textId="77777777" w:rsidTr="00B82144">
              <w:tc>
                <w:tcPr>
                  <w:tcW w:w="1278" w:type="pct"/>
                  <w:tcBorders>
                    <w:top w:val="single" w:sz="4" w:space="0" w:color="auto"/>
                    <w:left w:val="single" w:sz="4" w:space="0" w:color="auto"/>
                    <w:bottom w:val="single" w:sz="4" w:space="0" w:color="auto"/>
                    <w:right w:val="single" w:sz="4" w:space="0" w:color="auto"/>
                  </w:tcBorders>
                </w:tcPr>
                <w:p w14:paraId="6E4C0BCA"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766D303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5DF236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13AE6A71" w14:textId="77777777" w:rsidTr="00B82144">
              <w:tc>
                <w:tcPr>
                  <w:tcW w:w="1278" w:type="pct"/>
                  <w:tcBorders>
                    <w:top w:val="single" w:sz="4" w:space="0" w:color="auto"/>
                    <w:left w:val="single" w:sz="4" w:space="0" w:color="auto"/>
                    <w:bottom w:val="single" w:sz="4" w:space="0" w:color="auto"/>
                    <w:right w:val="single" w:sz="4" w:space="0" w:color="auto"/>
                  </w:tcBorders>
                </w:tcPr>
                <w:p w14:paraId="00BAD525" w14:textId="77777777" w:rsidR="006E1ADE" w:rsidRPr="0003648D" w:rsidRDefault="006E1ADE" w:rsidP="00B82144">
                  <w:pPr>
                    <w:spacing w:after="60"/>
                    <w:rPr>
                      <w:iCs/>
                      <w:sz w:val="20"/>
                    </w:rPr>
                  </w:pPr>
                  <w:r>
                    <w:rPr>
                      <w:color w:val="000000"/>
                      <w:sz w:val="20"/>
                    </w:rPr>
                    <w:t>EC</w:t>
                  </w:r>
                  <w:r w:rsidRPr="0003648D">
                    <w:rPr>
                      <w:color w:val="000000"/>
                      <w:sz w:val="20"/>
                    </w:rPr>
                    <w:t>RMWINFATOT</w:t>
                  </w:r>
                </w:p>
              </w:tc>
              <w:tc>
                <w:tcPr>
                  <w:tcW w:w="329" w:type="pct"/>
                  <w:tcBorders>
                    <w:top w:val="single" w:sz="4" w:space="0" w:color="auto"/>
                    <w:left w:val="single" w:sz="4" w:space="0" w:color="auto"/>
                    <w:bottom w:val="single" w:sz="4" w:space="0" w:color="auto"/>
                    <w:right w:val="single" w:sz="4" w:space="0" w:color="auto"/>
                  </w:tcBorders>
                </w:tcPr>
                <w:p w14:paraId="1A8F8D0A"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0226CA3"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total</w:t>
                  </w:r>
                  <w:r w:rsidRPr="0003648D">
                    <w:rPr>
                      <w:sz w:val="20"/>
                    </w:rPr>
                    <w:sym w:font="Symbol" w:char="F0BE"/>
                  </w:r>
                  <w:r w:rsidRPr="0003648D">
                    <w:rPr>
                      <w:sz w:val="20"/>
                    </w:rPr>
                    <w:t xml:space="preserve"> The total Real-Time calculated payment to all QSEs</w:t>
                  </w:r>
                  <w:r w:rsidRPr="0003648D">
                    <w:rPr>
                      <w:i/>
                      <w:sz w:val="20"/>
                    </w:rPr>
                    <w:t>,</w:t>
                  </w:r>
                  <w:r w:rsidRPr="0003648D">
                    <w:rPr>
                      <w:sz w:val="20"/>
                    </w:rPr>
                    <w:t xml:space="preserve"> for their contribution of </w:t>
                  </w:r>
                  <w:r>
                    <w:rPr>
                      <w:sz w:val="20"/>
                    </w:rPr>
                    <w:t>ECRS</w:t>
                  </w:r>
                  <w:r w:rsidRPr="0003648D">
                    <w:rPr>
                      <w:sz w:val="20"/>
                    </w:rPr>
                    <w:t>, to make-whole the Startup and energy costs of all Resources committed in the DAM, for the hour.</w:t>
                  </w:r>
                </w:p>
              </w:tc>
            </w:tr>
            <w:tr w:rsidR="006E1ADE" w:rsidRPr="0003648D" w14:paraId="1FE3926A" w14:textId="77777777" w:rsidTr="00B82144">
              <w:tc>
                <w:tcPr>
                  <w:tcW w:w="1278" w:type="pct"/>
                  <w:tcBorders>
                    <w:top w:val="single" w:sz="4" w:space="0" w:color="auto"/>
                    <w:left w:val="single" w:sz="4" w:space="0" w:color="auto"/>
                    <w:bottom w:val="single" w:sz="4" w:space="0" w:color="auto"/>
                    <w:right w:val="single" w:sz="4" w:space="0" w:color="auto"/>
                  </w:tcBorders>
                </w:tcPr>
                <w:p w14:paraId="25363C3E" w14:textId="77777777" w:rsidR="006E1ADE" w:rsidRPr="0003648D" w:rsidRDefault="006E1ADE" w:rsidP="00B82144">
                  <w:pPr>
                    <w:spacing w:after="60"/>
                    <w:rPr>
                      <w:iCs/>
                      <w:sz w:val="20"/>
                    </w:rPr>
                  </w:pPr>
                  <w:r>
                    <w:rPr>
                      <w:color w:val="000000"/>
                      <w:sz w:val="20"/>
                    </w:rPr>
                    <w:t>EC</w:t>
                  </w:r>
                  <w:r w:rsidRPr="0003648D">
                    <w:rPr>
                      <w:color w:val="000000"/>
                      <w:sz w:val="20"/>
                    </w:rPr>
                    <w:t xml:space="preserve">RMWINFA </w:t>
                  </w:r>
                  <w:r w:rsidRPr="0003648D">
                    <w:rPr>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2CB1E7C9"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015D044"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per QSE per hour</w:t>
                  </w:r>
                  <w:r w:rsidRPr="0003648D">
                    <w:rPr>
                      <w:sz w:val="20"/>
                    </w:rPr>
                    <w:sym w:font="Symbol" w:char="F0BE"/>
                  </w:r>
                  <w:r w:rsidRPr="0003648D">
                    <w:rPr>
                      <w:sz w:val="20"/>
                    </w:rPr>
                    <w:t xml:space="preserve"> The total Real-Time calculated payment to QSE </w:t>
                  </w:r>
                  <w:r w:rsidRPr="0003648D">
                    <w:rPr>
                      <w:i/>
                      <w:sz w:val="20"/>
                    </w:rPr>
                    <w:t>q,</w:t>
                  </w:r>
                  <w:r w:rsidRPr="0003648D">
                    <w:rPr>
                      <w:sz w:val="20"/>
                    </w:rPr>
                    <w:t xml:space="preserve"> for its contribution of </w:t>
                  </w:r>
                  <w:r>
                    <w:rPr>
                      <w:sz w:val="20"/>
                    </w:rPr>
                    <w:t>ECRS</w:t>
                  </w:r>
                  <w:r w:rsidRPr="0003648D">
                    <w:rPr>
                      <w:sz w:val="20"/>
                    </w:rPr>
                    <w:t xml:space="preserve">, to make-whole the Startup and energy costs of all Resources committed in the DAM, for the hour </w:t>
                  </w:r>
                  <w:r w:rsidRPr="0003648D">
                    <w:rPr>
                      <w:i/>
                      <w:sz w:val="20"/>
                    </w:rPr>
                    <w:t>h</w:t>
                  </w:r>
                  <w:r w:rsidRPr="0003648D">
                    <w:rPr>
                      <w:sz w:val="20"/>
                    </w:rPr>
                    <w:t xml:space="preserve">.  </w:t>
                  </w:r>
                </w:p>
              </w:tc>
            </w:tr>
            <w:tr w:rsidR="006E1ADE" w:rsidRPr="0003648D" w14:paraId="4DB1279D" w14:textId="77777777" w:rsidTr="00B82144">
              <w:tc>
                <w:tcPr>
                  <w:tcW w:w="1278" w:type="pct"/>
                  <w:tcBorders>
                    <w:top w:val="single" w:sz="4" w:space="0" w:color="auto"/>
                    <w:left w:val="single" w:sz="4" w:space="0" w:color="auto"/>
                    <w:bottom w:val="single" w:sz="4" w:space="0" w:color="auto"/>
                    <w:right w:val="single" w:sz="4" w:space="0" w:color="auto"/>
                  </w:tcBorders>
                </w:tcPr>
                <w:p w14:paraId="7874B63C"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08011CF"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C380F56"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w:t>
                  </w:r>
                  <w:r w:rsidRPr="0003648D">
                    <w:rPr>
                      <w:iCs/>
                      <w:sz w:val="20"/>
                    </w:rPr>
                    <w:lastRenderedPageBreak/>
                    <w:t xml:space="preserve">and reconfiguration reductions on its Ancillary Service Supply Responsibility for </w:t>
                  </w:r>
                  <w:r>
                    <w:rPr>
                      <w:iCs/>
                      <w:sz w:val="20"/>
                    </w:rPr>
                    <w:t>ECRS</w:t>
                  </w:r>
                  <w:r w:rsidRPr="0003648D">
                    <w:rPr>
                      <w:iCs/>
                      <w:sz w:val="20"/>
                    </w:rPr>
                    <w:t>, for the hour.</w:t>
                  </w:r>
                </w:p>
              </w:tc>
            </w:tr>
            <w:tr w:rsidR="006E1ADE" w:rsidRPr="0003648D" w14:paraId="7075F225" w14:textId="77777777" w:rsidTr="00B82144">
              <w:tc>
                <w:tcPr>
                  <w:tcW w:w="1278" w:type="pct"/>
                  <w:tcBorders>
                    <w:top w:val="single" w:sz="4" w:space="0" w:color="auto"/>
                    <w:left w:val="single" w:sz="4" w:space="0" w:color="auto"/>
                    <w:bottom w:val="single" w:sz="4" w:space="0" w:color="auto"/>
                    <w:right w:val="single" w:sz="4" w:space="0" w:color="auto"/>
                  </w:tcBorders>
                </w:tcPr>
                <w:p w14:paraId="204995EB" w14:textId="77777777" w:rsidR="006E1ADE" w:rsidRPr="0003648D" w:rsidRDefault="006E1ADE" w:rsidP="00B82144">
                  <w:pPr>
                    <w:spacing w:after="60"/>
                    <w:rPr>
                      <w:iCs/>
                      <w:sz w:val="20"/>
                    </w:rPr>
                  </w:pPr>
                  <w:r w:rsidRPr="0003648D">
                    <w:rPr>
                      <w:iCs/>
                      <w:sz w:val="20"/>
                    </w:rPr>
                    <w:lastRenderedPageBreak/>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0910B8"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0D32D18" w14:textId="77777777" w:rsidR="006E1ADE" w:rsidRPr="0003648D" w:rsidRDefault="006E1ADE" w:rsidP="00B82144">
                  <w:pPr>
                    <w:spacing w:after="60"/>
                    <w:rPr>
                      <w:iCs/>
                      <w:sz w:val="20"/>
                    </w:rPr>
                  </w:pPr>
                  <w:r w:rsidRPr="0003648D">
                    <w:rPr>
                      <w:i/>
                      <w:iCs/>
                      <w:sz w:val="20"/>
                    </w:rPr>
                    <w:t xml:space="preserve">Procured Capacity for </w:t>
                  </w:r>
                  <w:r>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413934A5" w14:textId="77777777" w:rsidTr="00B82144">
              <w:tc>
                <w:tcPr>
                  <w:tcW w:w="1278" w:type="pct"/>
                  <w:tcBorders>
                    <w:top w:val="single" w:sz="4" w:space="0" w:color="auto"/>
                    <w:left w:val="single" w:sz="4" w:space="0" w:color="auto"/>
                    <w:bottom w:val="single" w:sz="4" w:space="0" w:color="auto"/>
                    <w:right w:val="single" w:sz="4" w:space="0" w:color="auto"/>
                  </w:tcBorders>
                </w:tcPr>
                <w:p w14:paraId="77D75C2A" w14:textId="77777777" w:rsidR="006E1ADE" w:rsidRPr="0003648D" w:rsidRDefault="006E1ADE" w:rsidP="00B82144">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F7B8A9"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973F98C" w14:textId="77777777" w:rsidR="006E1ADE" w:rsidRPr="0003648D" w:rsidRDefault="006E1ADE" w:rsidP="00B82144">
                  <w:pPr>
                    <w:rPr>
                      <w:b/>
                      <w:sz w:val="20"/>
                    </w:rPr>
                  </w:pPr>
                  <w:r w:rsidRPr="0003648D">
                    <w:rPr>
                      <w:i/>
                      <w:sz w:val="20"/>
                    </w:rPr>
                    <w:t xml:space="preserve">Procured Capacity for </w:t>
                  </w:r>
                  <w:r>
                    <w:rPr>
                      <w:i/>
                      <w:sz w:val="20"/>
                    </w:rPr>
                    <w:t>ERCOT Contingency Reserve Service</w:t>
                  </w:r>
                  <w:r w:rsidRPr="0003648D">
                    <w:rPr>
                      <w:i/>
                      <w:sz w:val="20"/>
                    </w:rPr>
                    <w:t xml:space="preserve"> Amount per QSE for DAM</w:t>
                  </w:r>
                  <w:r w:rsidRPr="0003648D">
                    <w:rPr>
                      <w:sz w:val="20"/>
                    </w:rPr>
                    <w:t xml:space="preserve">—The DAM </w:t>
                  </w:r>
                  <w:r>
                    <w:rPr>
                      <w:sz w:val="20"/>
                    </w:rPr>
                    <w:t>ECRS</w:t>
                  </w:r>
                  <w:r w:rsidRPr="0003648D">
                    <w:rPr>
                      <w:sz w:val="20"/>
                    </w:rPr>
                    <w:t xml:space="preserve"> payment for QSE </w:t>
                  </w:r>
                  <w:r w:rsidRPr="0003648D">
                    <w:rPr>
                      <w:i/>
                      <w:sz w:val="20"/>
                    </w:rPr>
                    <w:t>q</w:t>
                  </w:r>
                  <w:r w:rsidRPr="0003648D">
                    <w:rPr>
                      <w:sz w:val="20"/>
                    </w:rPr>
                    <w:t>, for the hour.</w:t>
                  </w:r>
                </w:p>
              </w:tc>
            </w:tr>
            <w:tr w:rsidR="006E1ADE" w:rsidRPr="0003648D" w14:paraId="7E141825" w14:textId="77777777" w:rsidTr="00B82144">
              <w:tc>
                <w:tcPr>
                  <w:tcW w:w="1278" w:type="pct"/>
                  <w:tcBorders>
                    <w:top w:val="single" w:sz="4" w:space="0" w:color="auto"/>
                    <w:left w:val="single" w:sz="4" w:space="0" w:color="auto"/>
                    <w:bottom w:val="single" w:sz="4" w:space="0" w:color="auto"/>
                    <w:right w:val="single" w:sz="4" w:space="0" w:color="auto"/>
                  </w:tcBorders>
                </w:tcPr>
                <w:p w14:paraId="4AA56E0A"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477B5624"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61A47B1E" w14:textId="77777777" w:rsidR="006E1ADE" w:rsidRPr="0003648D" w:rsidRDefault="006E1ADE" w:rsidP="00B82144">
                  <w:pPr>
                    <w:spacing w:after="60"/>
                    <w:rPr>
                      <w:sz w:val="20"/>
                    </w:rPr>
                  </w:pPr>
                  <w:r w:rsidRPr="0003648D">
                    <w:rPr>
                      <w:i/>
                      <w:sz w:val="20"/>
                    </w:rPr>
                    <w:t xml:space="preserve">Procured Capacity for </w:t>
                  </w:r>
                  <w:r>
                    <w:rPr>
                      <w:i/>
                      <w:sz w:val="20"/>
                    </w:rPr>
                    <w:t>ERCOT Contingency Reserve Service</w:t>
                  </w:r>
                  <w:r w:rsidRPr="0003648D">
                    <w:rPr>
                      <w:i/>
                      <w:sz w:val="20"/>
                    </w:rPr>
                    <w:t xml:space="preserve"> Amount Total in DAM</w:t>
                  </w:r>
                  <w:r w:rsidRPr="0003648D">
                    <w:rPr>
                      <w:sz w:val="20"/>
                    </w:rPr>
                    <w:t xml:space="preserve">—The total of the DAM </w:t>
                  </w:r>
                  <w:r>
                    <w:rPr>
                      <w:sz w:val="20"/>
                    </w:rPr>
                    <w:t>ECRS</w:t>
                  </w:r>
                  <w:r w:rsidRPr="0003648D">
                    <w:rPr>
                      <w:sz w:val="20"/>
                    </w:rPr>
                    <w:t xml:space="preserve"> payments for all QSEs, for the hour.</w:t>
                  </w:r>
                </w:p>
              </w:tc>
            </w:tr>
            <w:tr w:rsidR="006E1ADE" w:rsidRPr="0003648D" w14:paraId="45CA52B3" w14:textId="77777777" w:rsidTr="00B82144">
              <w:tc>
                <w:tcPr>
                  <w:tcW w:w="1278" w:type="pct"/>
                  <w:tcBorders>
                    <w:top w:val="single" w:sz="4" w:space="0" w:color="auto"/>
                    <w:left w:val="single" w:sz="4" w:space="0" w:color="auto"/>
                    <w:bottom w:val="single" w:sz="4" w:space="0" w:color="auto"/>
                    <w:right w:val="single" w:sz="4" w:space="0" w:color="auto"/>
                  </w:tcBorders>
                </w:tcPr>
                <w:p w14:paraId="63EF3302"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6A84BF65"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AF8692"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ECRS</w:t>
                  </w:r>
                  <w:r w:rsidRPr="0003648D">
                    <w:rPr>
                      <w:sz w:val="20"/>
                    </w:rPr>
                    <w:t>, for the hour.</w:t>
                  </w:r>
                </w:p>
              </w:tc>
            </w:tr>
            <w:tr w:rsidR="006E1ADE" w:rsidRPr="0003648D" w14:paraId="43DE6C9A" w14:textId="77777777" w:rsidTr="00B82144">
              <w:tc>
                <w:tcPr>
                  <w:tcW w:w="1278" w:type="pct"/>
                  <w:tcBorders>
                    <w:top w:val="single" w:sz="4" w:space="0" w:color="auto"/>
                    <w:left w:val="single" w:sz="4" w:space="0" w:color="auto"/>
                    <w:bottom w:val="single" w:sz="4" w:space="0" w:color="auto"/>
                    <w:right w:val="single" w:sz="4" w:space="0" w:color="auto"/>
                  </w:tcBorders>
                </w:tcPr>
                <w:p w14:paraId="7DD377B1"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4A3A9E7"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5B9CC47"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ECRS</w:t>
                  </w:r>
                  <w:r w:rsidRPr="0003648D">
                    <w:rPr>
                      <w:sz w:val="20"/>
                    </w:rPr>
                    <w:t>, for the hour.</w:t>
                  </w:r>
                </w:p>
              </w:tc>
            </w:tr>
            <w:tr w:rsidR="006E1ADE" w:rsidRPr="0003648D" w14:paraId="3E864D31" w14:textId="77777777" w:rsidTr="00B82144">
              <w:tc>
                <w:tcPr>
                  <w:tcW w:w="1278" w:type="pct"/>
                  <w:tcBorders>
                    <w:top w:val="single" w:sz="4" w:space="0" w:color="auto"/>
                    <w:left w:val="single" w:sz="4" w:space="0" w:color="auto"/>
                    <w:bottom w:val="single" w:sz="4" w:space="0" w:color="auto"/>
                    <w:right w:val="single" w:sz="4" w:space="0" w:color="auto"/>
                  </w:tcBorders>
                </w:tcPr>
                <w:p w14:paraId="46F91B40"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5D972EC7"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BEA81E8" w14:textId="77777777" w:rsidR="006E1ADE" w:rsidRPr="0003648D" w:rsidRDefault="006E1ADE" w:rsidP="00B82144">
                  <w:pPr>
                    <w:spacing w:after="60"/>
                    <w:rPr>
                      <w:iCs/>
                      <w:sz w:val="20"/>
                    </w:rPr>
                  </w:pPr>
                  <w:r w:rsidRPr="0003648D">
                    <w:rPr>
                      <w:iCs/>
                      <w:sz w:val="20"/>
                    </w:rPr>
                    <w:t>A QSE.</w:t>
                  </w:r>
                </w:p>
              </w:tc>
            </w:tr>
            <w:tr w:rsidR="006E1ADE" w:rsidRPr="0003648D" w14:paraId="43E496D0" w14:textId="77777777" w:rsidTr="00B82144">
              <w:tc>
                <w:tcPr>
                  <w:tcW w:w="1278" w:type="pct"/>
                  <w:tcBorders>
                    <w:top w:val="single" w:sz="4" w:space="0" w:color="auto"/>
                    <w:left w:val="single" w:sz="4" w:space="0" w:color="auto"/>
                    <w:bottom w:val="single" w:sz="4" w:space="0" w:color="auto"/>
                    <w:right w:val="single" w:sz="4" w:space="0" w:color="auto"/>
                  </w:tcBorders>
                </w:tcPr>
                <w:p w14:paraId="414C1536"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D68C3D"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7CECEE9"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337A7F0F" w14:textId="77777777" w:rsidR="006E1ADE" w:rsidRPr="0003648D" w:rsidRDefault="006E1ADE" w:rsidP="00B82144">
            <w:pPr>
              <w:spacing w:after="240"/>
            </w:pPr>
          </w:p>
        </w:tc>
      </w:tr>
    </w:tbl>
    <w:p w14:paraId="44EDC616" w14:textId="77777777" w:rsidR="006E1ADE" w:rsidRPr="0003648D" w:rsidRDefault="006E1ADE" w:rsidP="006E1ADE">
      <w:pPr>
        <w:spacing w:before="240" w:after="240"/>
        <w:ind w:left="1440" w:hanging="720"/>
      </w:pPr>
      <w:r w:rsidRPr="0003648D">
        <w:lastRenderedPageBreak/>
        <w:t>(b)</w:t>
      </w:r>
      <w:r w:rsidRPr="0003648D">
        <w:tab/>
        <w:t xml:space="preserve">Each QSE’s share of the net total costs for </w:t>
      </w:r>
      <w:r>
        <w:t>ECRS</w:t>
      </w:r>
      <w:r w:rsidRPr="0003648D">
        <w:t xml:space="preserve"> for the Operating Hour is calculated as follows:</w:t>
      </w:r>
    </w:p>
    <w:p w14:paraId="70D518EC" w14:textId="77777777" w:rsidR="006E1ADE" w:rsidRPr="0003648D" w:rsidRDefault="006E1ADE" w:rsidP="006E1ADE">
      <w:pPr>
        <w:spacing w:after="240"/>
        <w:ind w:left="2880" w:hanging="2160"/>
        <w:rPr>
          <w:b/>
          <w:bCs/>
        </w:rPr>
      </w:pPr>
      <w:r>
        <w:rPr>
          <w:b/>
          <w:bCs/>
        </w:rPr>
        <w:t>EC</w:t>
      </w:r>
      <w:r w:rsidRPr="0003648D">
        <w:rPr>
          <w:b/>
          <w:bCs/>
        </w:rPr>
        <w:t xml:space="preserve">RCOST </w:t>
      </w:r>
      <w:r w:rsidRPr="0003648D">
        <w:rPr>
          <w:b/>
          <w:bCs/>
          <w:i/>
          <w:vertAlign w:val="subscript"/>
        </w:rPr>
        <w:t>q</w:t>
      </w:r>
      <w:r w:rsidRPr="0003648D">
        <w:rPr>
          <w:b/>
          <w:bCs/>
          <w:i/>
          <w:vertAlign w:val="subscript"/>
        </w:rPr>
        <w:tab/>
      </w:r>
      <w:r w:rsidRPr="0003648D">
        <w:rPr>
          <w:b/>
          <w:bCs/>
        </w:rPr>
        <w:t>=</w:t>
      </w:r>
      <w:r w:rsidRPr="0003648D">
        <w:rPr>
          <w:b/>
          <w:bCs/>
        </w:rPr>
        <w:tab/>
      </w:r>
      <w:r>
        <w:rPr>
          <w:b/>
          <w:bCs/>
        </w:rPr>
        <w:t>EC</w:t>
      </w:r>
      <w:r w:rsidRPr="0003648D">
        <w:rPr>
          <w:b/>
          <w:bCs/>
        </w:rPr>
        <w:t xml:space="preserve">RPR * </w:t>
      </w:r>
      <w:r>
        <w:rPr>
          <w:b/>
          <w:bCs/>
        </w:rPr>
        <w:t>EC</w:t>
      </w:r>
      <w:r w:rsidRPr="0003648D">
        <w:rPr>
          <w:b/>
          <w:bCs/>
        </w:rPr>
        <w:t xml:space="preserve">RQ </w:t>
      </w:r>
      <w:r w:rsidRPr="0003648D">
        <w:rPr>
          <w:b/>
          <w:bCs/>
          <w:i/>
          <w:vertAlign w:val="subscript"/>
        </w:rPr>
        <w:t>q</w:t>
      </w:r>
    </w:p>
    <w:p w14:paraId="3A2A1B42" w14:textId="77777777" w:rsidR="006E1ADE" w:rsidRPr="0003648D" w:rsidRDefault="006E1ADE" w:rsidP="006E1ADE">
      <w:pPr>
        <w:spacing w:after="240"/>
        <w:rPr>
          <w:iCs/>
        </w:rPr>
      </w:pPr>
      <w:r w:rsidRPr="0003648D">
        <w:rPr>
          <w:iCs/>
        </w:rPr>
        <w:t>Where:</w:t>
      </w:r>
    </w:p>
    <w:p w14:paraId="7C6480D3" w14:textId="77777777" w:rsidR="006E1ADE" w:rsidRPr="0003648D" w:rsidRDefault="006E1ADE" w:rsidP="006E1ADE">
      <w:pPr>
        <w:spacing w:after="120"/>
        <w:ind w:leftChars="300" w:left="2880" w:hangingChars="900" w:hanging="2160"/>
        <w:rPr>
          <w:bCs/>
        </w:rPr>
      </w:pPr>
      <w:r>
        <w:rPr>
          <w:bCs/>
        </w:rPr>
        <w:t>EC</w:t>
      </w:r>
      <w:r w:rsidRPr="0003648D">
        <w:rPr>
          <w:bCs/>
        </w:rPr>
        <w:t>RPR</w:t>
      </w:r>
      <w:r w:rsidRPr="0003648D">
        <w:rPr>
          <w:bCs/>
        </w:rPr>
        <w:tab/>
        <w:t>=</w:t>
      </w:r>
      <w:r w:rsidRPr="0003648D">
        <w:rPr>
          <w:bCs/>
        </w:rPr>
        <w:tab/>
      </w:r>
      <w:r>
        <w:rPr>
          <w:bCs/>
        </w:rPr>
        <w:t>EC</w:t>
      </w:r>
      <w:r w:rsidRPr="0003648D">
        <w:rPr>
          <w:bCs/>
        </w:rPr>
        <w:t xml:space="preserve">RCOSTTOT / </w:t>
      </w:r>
      <w:r>
        <w:rPr>
          <w:bCs/>
        </w:rPr>
        <w:t>EC</w:t>
      </w:r>
      <w:r w:rsidRPr="0003648D">
        <w:rPr>
          <w:bCs/>
        </w:rPr>
        <w:t>RQTOT</w:t>
      </w:r>
    </w:p>
    <w:p w14:paraId="36AF144A" w14:textId="26217877" w:rsidR="006E1ADE" w:rsidRPr="0003648D" w:rsidRDefault="006E1ADE" w:rsidP="006E1ADE">
      <w:pPr>
        <w:spacing w:after="120"/>
        <w:ind w:leftChars="300" w:left="2880" w:hangingChars="900" w:hanging="2160"/>
        <w:rPr>
          <w:bCs/>
        </w:rPr>
      </w:pPr>
      <w:r>
        <w:rPr>
          <w:bCs/>
        </w:rPr>
        <w:t>EC</w:t>
      </w:r>
      <w:r w:rsidRPr="0003648D">
        <w:rPr>
          <w:bCs/>
        </w:rPr>
        <w:t>RQTOT</w:t>
      </w:r>
      <w:r w:rsidRPr="0003648D">
        <w:rPr>
          <w:bCs/>
        </w:rPr>
        <w:tab/>
        <w:t>=</w:t>
      </w:r>
      <w:r w:rsidRPr="0003648D">
        <w:rPr>
          <w:bCs/>
        </w:rPr>
        <w:tab/>
      </w:r>
      <w:r>
        <w:rPr>
          <w:noProof/>
          <w:position w:val="-22"/>
        </w:rPr>
        <w:drawing>
          <wp:inline distT="0" distB="0" distL="0" distR="0" wp14:anchorId="07FFFAD9" wp14:editId="1BC9C1EE">
            <wp:extent cx="142875" cy="2952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RQ </w:t>
      </w:r>
      <w:r w:rsidRPr="0003648D">
        <w:rPr>
          <w:bCs/>
          <w:i/>
          <w:vertAlign w:val="subscript"/>
        </w:rPr>
        <w:t>q</w:t>
      </w:r>
    </w:p>
    <w:p w14:paraId="75AA3B9D" w14:textId="77777777"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RQ </w:t>
      </w:r>
      <w:r w:rsidRPr="0003648D">
        <w:rPr>
          <w:bCs/>
          <w:i/>
          <w:vertAlign w:val="subscript"/>
          <w:lang w:val="es-ES"/>
        </w:rPr>
        <w:t>q</w:t>
      </w:r>
      <w:r w:rsidRPr="0003648D">
        <w:rPr>
          <w:bCs/>
          <w:lang w:val="es-ES"/>
        </w:rPr>
        <w:tab/>
        <w:t>=</w:t>
      </w:r>
      <w:r w:rsidRPr="0003648D">
        <w:rPr>
          <w:bCs/>
          <w:lang w:val="es-ES"/>
        </w:rPr>
        <w:tab/>
      </w:r>
      <w:r>
        <w:rPr>
          <w:bCs/>
          <w:lang w:val="es-ES"/>
        </w:rPr>
        <w:t>EC</w:t>
      </w:r>
      <w:r w:rsidRPr="0003648D">
        <w:rPr>
          <w:bCs/>
          <w:lang w:val="es-ES"/>
        </w:rPr>
        <w:t xml:space="preserve">RO </w:t>
      </w:r>
      <w:r w:rsidRPr="0003648D">
        <w:rPr>
          <w:bCs/>
          <w:i/>
          <w:vertAlign w:val="subscript"/>
          <w:lang w:val="es-ES"/>
        </w:rPr>
        <w:t>q</w:t>
      </w:r>
      <w:r w:rsidRPr="0003648D">
        <w:rPr>
          <w:bCs/>
          <w:lang w:val="es-ES"/>
        </w:rPr>
        <w:t xml:space="preserve"> – SA</w:t>
      </w:r>
      <w:r>
        <w:rPr>
          <w:bCs/>
          <w:lang w:val="es-ES"/>
        </w:rPr>
        <w:t>EC</w:t>
      </w:r>
      <w:r w:rsidRPr="0003648D">
        <w:rPr>
          <w:bCs/>
          <w:lang w:val="es-ES"/>
        </w:rPr>
        <w:t xml:space="preserve">RQ </w:t>
      </w:r>
      <w:r w:rsidRPr="0003648D">
        <w:rPr>
          <w:bCs/>
          <w:i/>
          <w:vertAlign w:val="subscript"/>
          <w:lang w:val="es-ES"/>
        </w:rPr>
        <w:t>q</w:t>
      </w:r>
    </w:p>
    <w:p w14:paraId="1EBDE2FC" w14:textId="00414B88"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RO </w:t>
      </w:r>
      <w:r w:rsidRPr="0003648D">
        <w:rPr>
          <w:bCs/>
          <w:i/>
          <w:vertAlign w:val="subscript"/>
          <w:lang w:val="es-ES"/>
        </w:rPr>
        <w:t>q</w:t>
      </w:r>
      <w:r w:rsidRPr="0003648D">
        <w:rPr>
          <w:bCs/>
          <w:lang w:val="es-ES"/>
        </w:rPr>
        <w:tab/>
        <w:t>=</w:t>
      </w:r>
      <w:r w:rsidRPr="0003648D">
        <w:rPr>
          <w:bCs/>
          <w:lang w:val="es-ES"/>
        </w:rPr>
        <w:tab/>
      </w:r>
      <w:r>
        <w:rPr>
          <w:noProof/>
          <w:position w:val="-22"/>
        </w:rPr>
        <w:drawing>
          <wp:inline distT="0" distB="0" distL="0" distR="0" wp14:anchorId="02471A32" wp14:editId="33708F96">
            <wp:extent cx="142875" cy="295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lang w:val="es-ES"/>
        </w:rPr>
        <w:t>(SA</w:t>
      </w:r>
      <w:r>
        <w:rPr>
          <w:bCs/>
          <w:lang w:val="es-ES"/>
        </w:rPr>
        <w:t>EC</w:t>
      </w:r>
      <w:r w:rsidRPr="0003648D">
        <w:rPr>
          <w:bCs/>
          <w:lang w:val="es-ES"/>
        </w:rPr>
        <w:t>RQ</w:t>
      </w:r>
      <w:r w:rsidRPr="0003648D">
        <w:rPr>
          <w:bCs/>
          <w:i/>
          <w:vertAlign w:val="subscript"/>
          <w:lang w:val="es-ES"/>
        </w:rPr>
        <w:t>q</w:t>
      </w:r>
      <w:r w:rsidRPr="0003648D">
        <w:rPr>
          <w:bCs/>
          <w:lang w:val="es-ES"/>
        </w:rPr>
        <w:t xml:space="preserve"> + </w:t>
      </w:r>
      <w:r>
        <w:rPr>
          <w:noProof/>
          <w:position w:val="-20"/>
        </w:rPr>
        <w:drawing>
          <wp:inline distT="0" distB="0" distL="0" distR="0" wp14:anchorId="7CC4AEF3" wp14:editId="7F26B247">
            <wp:extent cx="142875" cy="2762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lang w:val="es-ES"/>
        </w:rPr>
        <w:t>(RTPC</w:t>
      </w:r>
      <w:r>
        <w:rPr>
          <w:bCs/>
          <w:lang w:val="es-ES"/>
        </w:rPr>
        <w:t>EC</w:t>
      </w:r>
      <w:r w:rsidRPr="0003648D">
        <w:rPr>
          <w:bCs/>
          <w:lang w:val="es-ES"/>
        </w:rPr>
        <w:t xml:space="preserve">R </w:t>
      </w:r>
      <w:r w:rsidRPr="0003648D">
        <w:rPr>
          <w:bCs/>
          <w:i/>
          <w:vertAlign w:val="subscript"/>
          <w:lang w:val="es-ES"/>
        </w:rPr>
        <w:t>q, m</w:t>
      </w:r>
      <w:r w:rsidRPr="0003648D">
        <w:rPr>
          <w:bCs/>
          <w:lang w:val="es-ES"/>
        </w:rPr>
        <w:t>) + PC</w:t>
      </w:r>
      <w:r>
        <w:rPr>
          <w:bCs/>
          <w:lang w:val="es-ES"/>
        </w:rPr>
        <w:t>EC</w:t>
      </w:r>
      <w:r w:rsidRPr="0003648D">
        <w:rPr>
          <w:bCs/>
          <w:lang w:val="es-ES"/>
        </w:rPr>
        <w:t xml:space="preserve">R </w:t>
      </w:r>
      <w:r w:rsidRPr="0003648D">
        <w:rPr>
          <w:bCs/>
          <w:i/>
          <w:vertAlign w:val="subscript"/>
          <w:lang w:val="es-ES"/>
        </w:rPr>
        <w:t>q</w:t>
      </w:r>
      <w:r w:rsidRPr="0003648D">
        <w:rPr>
          <w:bCs/>
          <w:lang w:val="es-ES"/>
        </w:rPr>
        <w:t xml:space="preserve"> –  </w:t>
      </w:r>
    </w:p>
    <w:p w14:paraId="75B99537" w14:textId="77777777" w:rsidR="006E1ADE" w:rsidRPr="0003648D" w:rsidRDefault="006E1ADE" w:rsidP="006E1ADE">
      <w:pPr>
        <w:spacing w:after="120"/>
        <w:ind w:leftChars="1200" w:left="2880" w:firstLine="720"/>
        <w:rPr>
          <w:bCs/>
          <w:i/>
          <w:vertAlign w:val="subscript"/>
          <w:lang w:val="es-ES"/>
        </w:rPr>
      </w:pPr>
      <w:r>
        <w:rPr>
          <w:bCs/>
          <w:lang w:val="es-ES"/>
        </w:rPr>
        <w:t>EC</w:t>
      </w:r>
      <w:r w:rsidRPr="0003648D">
        <w:rPr>
          <w:bCs/>
          <w:lang w:val="es-ES"/>
        </w:rPr>
        <w:t xml:space="preserve">RFQ </w:t>
      </w:r>
      <w:r w:rsidRPr="0003648D">
        <w:rPr>
          <w:bCs/>
          <w:i/>
          <w:vertAlign w:val="subscript"/>
          <w:lang w:val="es-ES"/>
        </w:rPr>
        <w:t>q</w:t>
      </w:r>
      <w:r w:rsidRPr="0003648D">
        <w:rPr>
          <w:bCs/>
          <w:lang w:val="es-ES"/>
        </w:rPr>
        <w:t xml:space="preserve"> – </w:t>
      </w:r>
      <w:r>
        <w:rPr>
          <w:bCs/>
          <w:lang w:val="es-ES"/>
        </w:rPr>
        <w:t>REC</w:t>
      </w:r>
      <w:r w:rsidRPr="0003648D">
        <w:rPr>
          <w:bCs/>
          <w:lang w:val="es-ES"/>
        </w:rPr>
        <w:t xml:space="preserve">RFQ </w:t>
      </w:r>
      <w:r w:rsidRPr="0003648D">
        <w:rPr>
          <w:bCs/>
          <w:i/>
          <w:vertAlign w:val="subscript"/>
          <w:lang w:val="es-ES"/>
        </w:rPr>
        <w:t>q</w:t>
      </w:r>
      <w:r w:rsidRPr="0003648D">
        <w:rPr>
          <w:bCs/>
          <w:lang w:val="es-ES"/>
        </w:rPr>
        <w:t xml:space="preserve">) * HLRS </w:t>
      </w:r>
      <w:r w:rsidRPr="0003648D">
        <w:rPr>
          <w:bCs/>
          <w:i/>
          <w:vertAlign w:val="subscript"/>
          <w:lang w:val="es-ES"/>
        </w:rPr>
        <w:t>q</w:t>
      </w:r>
    </w:p>
    <w:p w14:paraId="6B9E5D9B" w14:textId="77777777" w:rsidR="006E1ADE" w:rsidRPr="0003648D" w:rsidRDefault="006E1ADE" w:rsidP="006E1ADE">
      <w:pPr>
        <w:spacing w:after="240"/>
        <w:ind w:leftChars="300" w:left="2880" w:hangingChars="900" w:hanging="2160"/>
        <w:rPr>
          <w:bCs/>
          <w:lang w:val="fr-FR"/>
        </w:rPr>
      </w:pPr>
      <w:r w:rsidRPr="0003648D">
        <w:rPr>
          <w:bCs/>
          <w:lang w:val="fr-FR"/>
        </w:rPr>
        <w:t>SA</w:t>
      </w:r>
      <w:r>
        <w:rPr>
          <w:bCs/>
          <w:lang w:val="fr-FR"/>
        </w:rPr>
        <w:t>EC</w:t>
      </w:r>
      <w:r w:rsidRPr="0003648D">
        <w:rPr>
          <w:bCs/>
          <w:lang w:val="fr-FR"/>
        </w:rPr>
        <w:t xml:space="preserve">RQ </w:t>
      </w:r>
      <w:r w:rsidRPr="0003648D">
        <w:rPr>
          <w:bCs/>
          <w:i/>
          <w:vertAlign w:val="subscript"/>
          <w:lang w:val="fr-FR"/>
        </w:rPr>
        <w:t>q</w:t>
      </w:r>
      <w:r w:rsidRPr="0003648D">
        <w:rPr>
          <w:bCs/>
          <w:lang w:val="fr-FR"/>
        </w:rPr>
        <w:tab/>
        <w:t>=</w:t>
      </w:r>
      <w:r w:rsidRPr="0003648D">
        <w:rPr>
          <w:bCs/>
          <w:lang w:val="fr-FR"/>
        </w:rPr>
        <w:tab/>
        <w:t>DASA</w:t>
      </w:r>
      <w:r>
        <w:rPr>
          <w:bCs/>
          <w:lang w:val="fr-FR"/>
        </w:rPr>
        <w:t>EC</w:t>
      </w:r>
      <w:r w:rsidRPr="0003648D">
        <w:rPr>
          <w:bCs/>
          <w:lang w:val="fr-FR"/>
        </w:rPr>
        <w:t xml:space="preserve">RQ </w:t>
      </w:r>
      <w:r w:rsidRPr="0003648D">
        <w:rPr>
          <w:bCs/>
          <w:i/>
          <w:vertAlign w:val="subscript"/>
          <w:lang w:val="fr-FR"/>
        </w:rPr>
        <w:t>q</w:t>
      </w:r>
      <w:r w:rsidRPr="0003648D">
        <w:rPr>
          <w:bCs/>
          <w:lang w:val="fr-FR"/>
        </w:rPr>
        <w:t xml:space="preserve"> + RTSA</w:t>
      </w:r>
      <w:r>
        <w:rPr>
          <w:bCs/>
          <w:lang w:val="fr-FR"/>
        </w:rPr>
        <w:t>EC</w:t>
      </w:r>
      <w:r w:rsidRPr="0003648D">
        <w:rPr>
          <w:bCs/>
          <w:lang w:val="fr-FR"/>
        </w:rPr>
        <w:t xml:space="preserve">RQ </w:t>
      </w:r>
      <w:r w:rsidRPr="0003648D">
        <w:rPr>
          <w:bCs/>
          <w:i/>
          <w:vertAlign w:val="subscript"/>
          <w:lang w:val="fr-FR"/>
        </w:rPr>
        <w:t>q</w:t>
      </w:r>
    </w:p>
    <w:p w14:paraId="357A029D" w14:textId="77777777" w:rsidR="006E1ADE" w:rsidRPr="0003648D" w:rsidRDefault="006E1ADE" w:rsidP="006E1ADE">
      <w:pPr>
        <w:keepNext/>
      </w:pPr>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6E1ADE" w:rsidRPr="0003648D" w14:paraId="0DFD196D" w14:textId="77777777" w:rsidTr="00B82144">
        <w:trPr>
          <w:tblHeader/>
        </w:trPr>
        <w:tc>
          <w:tcPr>
            <w:tcW w:w="849" w:type="pct"/>
          </w:tcPr>
          <w:p w14:paraId="24C30BE4" w14:textId="77777777" w:rsidR="006E1ADE" w:rsidRPr="0003648D" w:rsidRDefault="006E1ADE" w:rsidP="00B82144">
            <w:pPr>
              <w:keepNext/>
              <w:spacing w:after="120"/>
              <w:rPr>
                <w:b/>
                <w:iCs/>
                <w:sz w:val="20"/>
              </w:rPr>
            </w:pPr>
            <w:r w:rsidRPr="0003648D">
              <w:rPr>
                <w:b/>
                <w:iCs/>
                <w:sz w:val="20"/>
              </w:rPr>
              <w:t>Variable</w:t>
            </w:r>
          </w:p>
        </w:tc>
        <w:tc>
          <w:tcPr>
            <w:tcW w:w="460" w:type="pct"/>
          </w:tcPr>
          <w:p w14:paraId="69ABEEE9" w14:textId="77777777" w:rsidR="006E1ADE" w:rsidRPr="0003648D" w:rsidRDefault="006E1ADE" w:rsidP="00B82144">
            <w:pPr>
              <w:keepNext/>
              <w:spacing w:after="120"/>
              <w:rPr>
                <w:b/>
                <w:iCs/>
                <w:sz w:val="20"/>
              </w:rPr>
            </w:pPr>
            <w:r w:rsidRPr="0003648D">
              <w:rPr>
                <w:b/>
                <w:iCs/>
                <w:sz w:val="20"/>
              </w:rPr>
              <w:t>Unit</w:t>
            </w:r>
          </w:p>
        </w:tc>
        <w:tc>
          <w:tcPr>
            <w:tcW w:w="3691" w:type="pct"/>
          </w:tcPr>
          <w:p w14:paraId="03F94C9F" w14:textId="77777777" w:rsidR="006E1ADE" w:rsidRPr="0003648D" w:rsidRDefault="006E1ADE" w:rsidP="00B82144">
            <w:pPr>
              <w:keepNext/>
              <w:spacing w:after="120"/>
              <w:rPr>
                <w:b/>
                <w:iCs/>
                <w:sz w:val="20"/>
              </w:rPr>
            </w:pPr>
            <w:r w:rsidRPr="0003648D">
              <w:rPr>
                <w:b/>
                <w:iCs/>
                <w:sz w:val="20"/>
              </w:rPr>
              <w:t>Description</w:t>
            </w:r>
          </w:p>
        </w:tc>
      </w:tr>
      <w:tr w:rsidR="006E1ADE" w:rsidRPr="0003648D" w14:paraId="3EFD6929" w14:textId="77777777" w:rsidTr="00B82144">
        <w:tc>
          <w:tcPr>
            <w:tcW w:w="849" w:type="pct"/>
          </w:tcPr>
          <w:p w14:paraId="41C51DC6"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0" w:type="pct"/>
          </w:tcPr>
          <w:p w14:paraId="42141117" w14:textId="77777777" w:rsidR="006E1ADE" w:rsidRPr="0003648D" w:rsidRDefault="006E1ADE" w:rsidP="00B82144">
            <w:pPr>
              <w:keepNext/>
              <w:spacing w:after="60"/>
              <w:rPr>
                <w:iCs/>
                <w:sz w:val="20"/>
              </w:rPr>
            </w:pPr>
            <w:r w:rsidRPr="0003648D">
              <w:rPr>
                <w:iCs/>
                <w:sz w:val="20"/>
              </w:rPr>
              <w:t>$</w:t>
            </w:r>
          </w:p>
        </w:tc>
        <w:tc>
          <w:tcPr>
            <w:tcW w:w="3691" w:type="pct"/>
          </w:tcPr>
          <w:p w14:paraId="16E0893B" w14:textId="77777777" w:rsidR="006E1ADE" w:rsidRPr="0003648D" w:rsidRDefault="006E1ADE" w:rsidP="00B82144">
            <w:pPr>
              <w:keepNext/>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7BA4CE45" w14:textId="77777777" w:rsidTr="00B82144">
        <w:tc>
          <w:tcPr>
            <w:tcW w:w="849" w:type="pct"/>
            <w:tcBorders>
              <w:top w:val="single" w:sz="4" w:space="0" w:color="auto"/>
              <w:left w:val="single" w:sz="4" w:space="0" w:color="auto"/>
              <w:bottom w:val="single" w:sz="4" w:space="0" w:color="auto"/>
              <w:right w:val="single" w:sz="4" w:space="0" w:color="auto"/>
            </w:tcBorders>
          </w:tcPr>
          <w:p w14:paraId="1AB823BC" w14:textId="77777777" w:rsidR="006E1ADE" w:rsidRPr="0003648D" w:rsidRDefault="006E1ADE" w:rsidP="00B82144">
            <w:pPr>
              <w:spacing w:after="60"/>
              <w:rPr>
                <w:iCs/>
                <w:sz w:val="20"/>
              </w:rPr>
            </w:pPr>
            <w:r>
              <w:rPr>
                <w:iCs/>
                <w:sz w:val="20"/>
              </w:rPr>
              <w:t>EC</w:t>
            </w:r>
            <w:r w:rsidRPr="0003648D">
              <w:rPr>
                <w:iCs/>
                <w:sz w:val="20"/>
              </w:rPr>
              <w:t>RPR</w:t>
            </w:r>
          </w:p>
        </w:tc>
        <w:tc>
          <w:tcPr>
            <w:tcW w:w="460" w:type="pct"/>
            <w:tcBorders>
              <w:top w:val="single" w:sz="4" w:space="0" w:color="auto"/>
              <w:left w:val="single" w:sz="4" w:space="0" w:color="auto"/>
              <w:bottom w:val="single" w:sz="4" w:space="0" w:color="auto"/>
              <w:right w:val="single" w:sz="4" w:space="0" w:color="auto"/>
            </w:tcBorders>
          </w:tcPr>
          <w:p w14:paraId="253FB4F8" w14:textId="77777777" w:rsidR="006E1ADE" w:rsidRPr="0003648D" w:rsidRDefault="006E1ADE" w:rsidP="00B82144">
            <w:pPr>
              <w:spacing w:after="60"/>
              <w:rPr>
                <w:iCs/>
                <w:sz w:val="20"/>
              </w:rPr>
            </w:pPr>
            <w:r w:rsidRPr="0003648D">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80E677C"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Price—</w:t>
            </w:r>
            <w:r w:rsidRPr="0003648D">
              <w:rPr>
                <w:iCs/>
                <w:sz w:val="20"/>
              </w:rPr>
              <w:t xml:space="preserve">The price for </w:t>
            </w:r>
            <w:r>
              <w:rPr>
                <w:iCs/>
                <w:sz w:val="20"/>
              </w:rPr>
              <w:t>ECRS</w:t>
            </w:r>
            <w:r w:rsidRPr="0003648D">
              <w:rPr>
                <w:iCs/>
                <w:sz w:val="20"/>
              </w:rPr>
              <w:t xml:space="preserve"> calculated based on the net total costs for </w:t>
            </w:r>
            <w:r>
              <w:rPr>
                <w:iCs/>
                <w:sz w:val="20"/>
              </w:rPr>
              <w:t>ECRS</w:t>
            </w:r>
            <w:r w:rsidRPr="0003648D">
              <w:rPr>
                <w:iCs/>
                <w:sz w:val="20"/>
              </w:rPr>
              <w:t>, for the hour.</w:t>
            </w:r>
          </w:p>
        </w:tc>
      </w:tr>
      <w:tr w:rsidR="006E1ADE" w:rsidRPr="0003648D" w14:paraId="465B6997" w14:textId="77777777" w:rsidTr="00B82144">
        <w:tc>
          <w:tcPr>
            <w:tcW w:w="849" w:type="pct"/>
            <w:tcBorders>
              <w:top w:val="single" w:sz="4" w:space="0" w:color="auto"/>
              <w:left w:val="single" w:sz="4" w:space="0" w:color="auto"/>
              <w:bottom w:val="single" w:sz="4" w:space="0" w:color="auto"/>
              <w:right w:val="single" w:sz="4" w:space="0" w:color="auto"/>
            </w:tcBorders>
          </w:tcPr>
          <w:p w14:paraId="7C8A1F2E" w14:textId="77777777" w:rsidR="006E1ADE" w:rsidRPr="0003648D" w:rsidRDefault="006E1ADE" w:rsidP="00B82144">
            <w:pPr>
              <w:spacing w:after="60"/>
              <w:rPr>
                <w:iCs/>
                <w:sz w:val="20"/>
              </w:rPr>
            </w:pPr>
            <w:r>
              <w:rPr>
                <w:iCs/>
                <w:sz w:val="20"/>
              </w:rPr>
              <w:t>EC</w:t>
            </w:r>
            <w:r w:rsidRPr="0003648D">
              <w:rPr>
                <w:iCs/>
                <w:sz w:val="20"/>
              </w:rPr>
              <w:t>RCOSTTOT</w:t>
            </w:r>
          </w:p>
        </w:tc>
        <w:tc>
          <w:tcPr>
            <w:tcW w:w="460" w:type="pct"/>
            <w:tcBorders>
              <w:top w:val="single" w:sz="4" w:space="0" w:color="auto"/>
              <w:left w:val="single" w:sz="4" w:space="0" w:color="auto"/>
              <w:bottom w:val="single" w:sz="4" w:space="0" w:color="auto"/>
              <w:right w:val="single" w:sz="4" w:space="0" w:color="auto"/>
            </w:tcBorders>
          </w:tcPr>
          <w:p w14:paraId="59DB1A20" w14:textId="77777777" w:rsidR="006E1ADE" w:rsidRPr="0003648D" w:rsidRDefault="006E1ADE" w:rsidP="00B82144">
            <w:pPr>
              <w:spacing w:after="60"/>
              <w:rPr>
                <w:iCs/>
                <w:sz w:val="20"/>
              </w:rPr>
            </w:pPr>
            <w:r w:rsidRPr="0003648D">
              <w:rPr>
                <w:iCs/>
                <w:sz w:val="20"/>
              </w:rPr>
              <w:t>$</w:t>
            </w:r>
          </w:p>
        </w:tc>
        <w:tc>
          <w:tcPr>
            <w:tcW w:w="3691" w:type="pct"/>
            <w:tcBorders>
              <w:top w:val="single" w:sz="4" w:space="0" w:color="auto"/>
              <w:left w:val="single" w:sz="4" w:space="0" w:color="auto"/>
              <w:bottom w:val="single" w:sz="4" w:space="0" w:color="auto"/>
              <w:right w:val="single" w:sz="4" w:space="0" w:color="auto"/>
            </w:tcBorders>
          </w:tcPr>
          <w:p w14:paraId="4586258D" w14:textId="2572EE07" w:rsidR="006E1ADE" w:rsidRPr="0003648D" w:rsidRDefault="006E1ADE" w:rsidP="00B82144">
            <w:pPr>
              <w:spacing w:after="60"/>
              <w:rPr>
                <w:i/>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  See item (</w:t>
            </w:r>
            <w:r w:rsidR="00DE555F">
              <w:rPr>
                <w:iCs/>
                <w:sz w:val="20"/>
              </w:rPr>
              <w:t>6</w:t>
            </w:r>
            <w:r w:rsidRPr="0003648D">
              <w:rPr>
                <w:iCs/>
                <w:sz w:val="20"/>
              </w:rPr>
              <w:t>)(a) above.</w:t>
            </w:r>
          </w:p>
        </w:tc>
      </w:tr>
      <w:tr w:rsidR="006E1ADE" w:rsidRPr="0003648D" w14:paraId="08B63496" w14:textId="77777777" w:rsidTr="00B82144">
        <w:tc>
          <w:tcPr>
            <w:tcW w:w="849" w:type="pct"/>
            <w:tcBorders>
              <w:top w:val="single" w:sz="4" w:space="0" w:color="auto"/>
              <w:left w:val="single" w:sz="4" w:space="0" w:color="auto"/>
              <w:bottom w:val="single" w:sz="4" w:space="0" w:color="auto"/>
              <w:right w:val="single" w:sz="4" w:space="0" w:color="auto"/>
            </w:tcBorders>
          </w:tcPr>
          <w:p w14:paraId="3BEE97C1" w14:textId="77777777" w:rsidR="006E1ADE" w:rsidRPr="0003648D" w:rsidRDefault="006E1ADE" w:rsidP="00B82144">
            <w:pPr>
              <w:spacing w:after="60"/>
              <w:rPr>
                <w:iCs/>
                <w:sz w:val="20"/>
              </w:rPr>
            </w:pPr>
            <w:r>
              <w:rPr>
                <w:iCs/>
                <w:sz w:val="20"/>
              </w:rPr>
              <w:lastRenderedPageBreak/>
              <w:t>EC</w:t>
            </w:r>
            <w:r w:rsidRPr="0003648D">
              <w:rPr>
                <w:iCs/>
                <w:sz w:val="20"/>
              </w:rPr>
              <w:t>RQTOT</w:t>
            </w:r>
          </w:p>
        </w:tc>
        <w:tc>
          <w:tcPr>
            <w:tcW w:w="460" w:type="pct"/>
            <w:tcBorders>
              <w:top w:val="single" w:sz="4" w:space="0" w:color="auto"/>
              <w:left w:val="single" w:sz="4" w:space="0" w:color="auto"/>
              <w:bottom w:val="single" w:sz="4" w:space="0" w:color="auto"/>
              <w:right w:val="single" w:sz="4" w:space="0" w:color="auto"/>
            </w:tcBorders>
          </w:tcPr>
          <w:p w14:paraId="4B408F0B"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6BC813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Total</w:t>
            </w:r>
            <w:r w:rsidRPr="0003648D">
              <w:rPr>
                <w:iCs/>
                <w:sz w:val="20"/>
              </w:rPr>
              <w:t xml:space="preserve">—The sum of every QSE’s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2E4D9B29" w14:textId="77777777" w:rsidTr="00B82144">
        <w:tc>
          <w:tcPr>
            <w:tcW w:w="849" w:type="pct"/>
            <w:tcBorders>
              <w:top w:val="single" w:sz="4" w:space="0" w:color="auto"/>
              <w:left w:val="single" w:sz="4" w:space="0" w:color="auto"/>
              <w:bottom w:val="single" w:sz="4" w:space="0" w:color="auto"/>
              <w:right w:val="single" w:sz="4" w:space="0" w:color="auto"/>
            </w:tcBorders>
          </w:tcPr>
          <w:p w14:paraId="510C1FE7" w14:textId="77777777" w:rsidR="006E1ADE" w:rsidRPr="0003648D" w:rsidRDefault="006E1ADE" w:rsidP="00B82144">
            <w:pPr>
              <w:spacing w:after="60"/>
              <w:rPr>
                <w:iCs/>
                <w:sz w:val="20"/>
              </w:rPr>
            </w:pPr>
            <w:r>
              <w:rPr>
                <w:iCs/>
                <w:sz w:val="20"/>
              </w:rPr>
              <w:t>EC</w:t>
            </w:r>
            <w:r w:rsidRPr="0003648D">
              <w:rPr>
                <w:iCs/>
                <w:sz w:val="20"/>
              </w:rPr>
              <w:t xml:space="preserve">RQ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930D0B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0C3B042"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per QSE</w:t>
            </w:r>
            <w:r w:rsidRPr="0003648D">
              <w:rPr>
                <w:iCs/>
                <w:sz w:val="20"/>
              </w:rPr>
              <w:t xml:space="preserve">—The QSE </w:t>
            </w:r>
            <w:r w:rsidRPr="0003648D">
              <w:rPr>
                <w:i/>
                <w:iCs/>
                <w:sz w:val="20"/>
              </w:rPr>
              <w:t>q</w:t>
            </w:r>
            <w:r w:rsidRPr="0003648D">
              <w:rPr>
                <w:iCs/>
                <w:sz w:val="20"/>
              </w:rPr>
              <w:t xml:space="preserv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76DCD272" w14:textId="77777777" w:rsidTr="00B82144">
        <w:tc>
          <w:tcPr>
            <w:tcW w:w="849" w:type="pct"/>
            <w:tcBorders>
              <w:top w:val="single" w:sz="4" w:space="0" w:color="auto"/>
              <w:left w:val="single" w:sz="4" w:space="0" w:color="auto"/>
              <w:bottom w:val="single" w:sz="4" w:space="0" w:color="auto"/>
              <w:right w:val="single" w:sz="4" w:space="0" w:color="auto"/>
            </w:tcBorders>
          </w:tcPr>
          <w:p w14:paraId="72463CCC" w14:textId="77777777" w:rsidR="006E1ADE" w:rsidRPr="0003648D" w:rsidRDefault="006E1ADE" w:rsidP="00B82144">
            <w:pPr>
              <w:spacing w:after="60"/>
              <w:rPr>
                <w:iCs/>
                <w:sz w:val="20"/>
              </w:rPr>
            </w:pPr>
            <w:r>
              <w:rPr>
                <w:iCs/>
                <w:sz w:val="20"/>
              </w:rPr>
              <w:t>EC</w:t>
            </w:r>
            <w:r w:rsidRPr="0003648D">
              <w:rPr>
                <w:iCs/>
                <w:sz w:val="20"/>
              </w:rPr>
              <w:t xml:space="preserve">RO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975433"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785E631"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Obligation per QSE</w:t>
            </w:r>
            <w:r w:rsidRPr="0003648D">
              <w:rPr>
                <w:iCs/>
                <w:sz w:val="20"/>
              </w:rPr>
              <w:t xml:space="preserve">—The Ancillary Service Obligation of QSE </w:t>
            </w:r>
            <w:r w:rsidRPr="0003648D">
              <w:rPr>
                <w:i/>
                <w:iCs/>
                <w:sz w:val="20"/>
              </w:rPr>
              <w:t>q</w:t>
            </w:r>
            <w:r w:rsidRPr="0003648D">
              <w:rPr>
                <w:iCs/>
                <w:sz w:val="20"/>
              </w:rPr>
              <w:t>, for the hour.</w:t>
            </w:r>
          </w:p>
        </w:tc>
      </w:tr>
      <w:tr w:rsidR="006E1ADE" w:rsidRPr="0003648D" w14:paraId="1021531A" w14:textId="77777777" w:rsidTr="00B82144">
        <w:tc>
          <w:tcPr>
            <w:tcW w:w="849" w:type="pct"/>
            <w:tcBorders>
              <w:top w:val="single" w:sz="4" w:space="0" w:color="auto"/>
              <w:left w:val="single" w:sz="4" w:space="0" w:color="auto"/>
              <w:bottom w:val="single" w:sz="4" w:space="0" w:color="auto"/>
              <w:right w:val="single" w:sz="4" w:space="0" w:color="auto"/>
            </w:tcBorders>
          </w:tcPr>
          <w:p w14:paraId="108247CB" w14:textId="77777777" w:rsidR="006E1ADE" w:rsidRPr="0003648D" w:rsidRDefault="006E1ADE" w:rsidP="00B82144">
            <w:pPr>
              <w:spacing w:after="60"/>
              <w:rPr>
                <w:iCs/>
                <w:sz w:val="20"/>
              </w:rPr>
            </w:pPr>
            <w:r w:rsidRPr="0003648D">
              <w:rPr>
                <w:iCs/>
                <w:sz w:val="20"/>
              </w:rPr>
              <w:t>DASA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108EB45"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369C91" w14:textId="77777777" w:rsidR="006E1ADE" w:rsidRPr="0003648D" w:rsidRDefault="006E1ADE" w:rsidP="00B82144">
            <w:pPr>
              <w:spacing w:after="60"/>
              <w:rPr>
                <w:i/>
                <w:iCs/>
                <w:sz w:val="20"/>
              </w:rPr>
            </w:pPr>
            <w:r w:rsidRPr="0003648D">
              <w:rPr>
                <w:i/>
                <w:iCs/>
                <w:sz w:val="20"/>
              </w:rPr>
              <w:t xml:space="preserve">Day-Ahead Self-Arranged </w:t>
            </w:r>
            <w:r>
              <w:rPr>
                <w:i/>
                <w:iCs/>
                <w:sz w:val="20"/>
              </w:rPr>
              <w:t>ERCOT Contingency Reserve Service</w:t>
            </w:r>
            <w:r w:rsidRPr="0003648D">
              <w:rPr>
                <w:i/>
                <w:iCs/>
                <w:sz w:val="20"/>
              </w:rPr>
              <w:t xml:space="preserve"> Quantity per QSE</w:t>
            </w:r>
            <w:r w:rsidRPr="0003648D">
              <w:rPr>
                <w:iCs/>
                <w:sz w:val="20"/>
              </w:rPr>
              <w:t xml:space="preserve">—The self-arranged </w:t>
            </w:r>
            <w:r>
              <w:rPr>
                <w:iCs/>
                <w:sz w:val="20"/>
              </w:rPr>
              <w:t>ECRS</w:t>
            </w:r>
            <w:r w:rsidRPr="0003648D">
              <w:rPr>
                <w:iCs/>
                <w:sz w:val="20"/>
              </w:rPr>
              <w:t xml:space="preserve"> quantity submitted by QSE </w:t>
            </w:r>
            <w:r w:rsidRPr="0003648D">
              <w:rPr>
                <w:i/>
                <w:iCs/>
                <w:sz w:val="20"/>
              </w:rPr>
              <w:t>q</w:t>
            </w:r>
            <w:r w:rsidRPr="0003648D">
              <w:rPr>
                <w:iCs/>
                <w:sz w:val="20"/>
              </w:rPr>
              <w:t xml:space="preserve"> before 1000 in the Day-Ahead.</w:t>
            </w:r>
          </w:p>
        </w:tc>
      </w:tr>
      <w:tr w:rsidR="006E1ADE" w:rsidRPr="0003648D" w14:paraId="4E0C0A2D" w14:textId="77777777" w:rsidTr="00B82144">
        <w:tc>
          <w:tcPr>
            <w:tcW w:w="849" w:type="pct"/>
            <w:tcBorders>
              <w:top w:val="single" w:sz="4" w:space="0" w:color="auto"/>
              <w:left w:val="single" w:sz="4" w:space="0" w:color="auto"/>
              <w:bottom w:val="single" w:sz="4" w:space="0" w:color="auto"/>
              <w:right w:val="single" w:sz="4" w:space="0" w:color="auto"/>
            </w:tcBorders>
          </w:tcPr>
          <w:p w14:paraId="697DB9A0" w14:textId="77777777" w:rsidR="006E1ADE" w:rsidRPr="0003648D" w:rsidRDefault="006E1ADE" w:rsidP="00B82144">
            <w:pPr>
              <w:spacing w:after="60"/>
              <w:rPr>
                <w:iCs/>
                <w:sz w:val="20"/>
              </w:rPr>
            </w:pPr>
            <w:r w:rsidRPr="0003648D">
              <w:rPr>
                <w:iCs/>
                <w:sz w:val="20"/>
              </w:rPr>
              <w:t>RTSA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7471D4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E3ABA5B" w14:textId="77777777" w:rsidR="006E1ADE" w:rsidRPr="0003648D" w:rsidRDefault="006E1ADE" w:rsidP="00B82144">
            <w:pPr>
              <w:spacing w:after="60"/>
              <w:rPr>
                <w:i/>
                <w:iCs/>
                <w:sz w:val="20"/>
              </w:rPr>
            </w:pPr>
            <w:r w:rsidRPr="0003648D">
              <w:rPr>
                <w:i/>
                <w:iCs/>
                <w:sz w:val="20"/>
              </w:rPr>
              <w:t xml:space="preserve">Self-Arranged </w:t>
            </w:r>
            <w:r>
              <w:rPr>
                <w:i/>
                <w:iCs/>
                <w:sz w:val="20"/>
              </w:rPr>
              <w:t>ERCOT Contingency Reserve Service</w:t>
            </w:r>
            <w:r w:rsidRPr="0003648D">
              <w:rPr>
                <w:i/>
                <w:iCs/>
                <w:sz w:val="20"/>
              </w:rPr>
              <w:t xml:space="preserve"> Quantity per QSE for all SASMs</w:t>
            </w:r>
            <w:r w:rsidRPr="0003648D">
              <w:rPr>
                <w:iCs/>
                <w:sz w:val="20"/>
              </w:rPr>
              <w:t xml:space="preserve">—The sum of all self-arranged </w:t>
            </w:r>
            <w:r>
              <w:rPr>
                <w:iCs/>
                <w:sz w:val="20"/>
              </w:rPr>
              <w:t>ECRS</w:t>
            </w:r>
            <w:r w:rsidRPr="0003648D">
              <w:rPr>
                <w:iCs/>
                <w:sz w:val="20"/>
              </w:rPr>
              <w:t xml:space="preserve"> quantities submitted by QSE </w:t>
            </w:r>
            <w:r w:rsidRPr="0003648D">
              <w:rPr>
                <w:i/>
                <w:iCs/>
                <w:sz w:val="20"/>
              </w:rPr>
              <w:t>q</w:t>
            </w:r>
            <w:r w:rsidRPr="0003648D">
              <w:rPr>
                <w:iCs/>
                <w:sz w:val="20"/>
              </w:rPr>
              <w:t xml:space="preserve"> for all SASMs due to an increase in the Ancillary Service Plan per Section 4.4.7.1.</w:t>
            </w:r>
          </w:p>
        </w:tc>
      </w:tr>
      <w:tr w:rsidR="006E1ADE" w:rsidRPr="0003648D" w14:paraId="7056024C" w14:textId="77777777" w:rsidTr="00B82144">
        <w:tc>
          <w:tcPr>
            <w:tcW w:w="849" w:type="pct"/>
            <w:tcBorders>
              <w:top w:val="single" w:sz="4" w:space="0" w:color="auto"/>
              <w:left w:val="single" w:sz="4" w:space="0" w:color="auto"/>
              <w:bottom w:val="single" w:sz="4" w:space="0" w:color="auto"/>
              <w:right w:val="single" w:sz="4" w:space="0" w:color="auto"/>
            </w:tcBorders>
          </w:tcPr>
          <w:p w14:paraId="3EEF4760"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 </w:t>
            </w:r>
            <w:r w:rsidRPr="0003648D">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7C91FE58"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7D77952"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per QSE by market—</w:t>
            </w:r>
            <w:r w:rsidRPr="0003648D">
              <w:rPr>
                <w:iCs/>
                <w:sz w:val="20"/>
              </w:rPr>
              <w:t xml:space="preserve">The MW portion of QSE </w:t>
            </w:r>
            <w:r w:rsidRPr="0003648D">
              <w:rPr>
                <w:i/>
                <w:iCs/>
                <w:sz w:val="20"/>
              </w:rPr>
              <w:t>q</w:t>
            </w:r>
            <w:r w:rsidRPr="0003648D">
              <w:rPr>
                <w:iCs/>
                <w:sz w:val="20"/>
              </w:rPr>
              <w:t xml:space="preserve">’s Ancillary Service Offers cleared in the market </w:t>
            </w:r>
            <w:r w:rsidRPr="0003648D">
              <w:rPr>
                <w:i/>
                <w:iCs/>
                <w:sz w:val="20"/>
              </w:rPr>
              <w:t>m</w:t>
            </w:r>
            <w:r w:rsidRPr="0003648D">
              <w:rPr>
                <w:iCs/>
                <w:sz w:val="20"/>
              </w:rPr>
              <w:t xml:space="preserve"> to provide </w:t>
            </w:r>
            <w:r>
              <w:rPr>
                <w:iCs/>
                <w:sz w:val="20"/>
              </w:rPr>
              <w:t>ECRS</w:t>
            </w:r>
            <w:r w:rsidRPr="0003648D">
              <w:rPr>
                <w:iCs/>
                <w:sz w:val="20"/>
              </w:rPr>
              <w:t>, for the hour.</w:t>
            </w:r>
          </w:p>
        </w:tc>
      </w:tr>
      <w:tr w:rsidR="006E1ADE" w:rsidRPr="0003648D" w14:paraId="3FEC7D2E" w14:textId="77777777" w:rsidTr="00B82144">
        <w:tc>
          <w:tcPr>
            <w:tcW w:w="849" w:type="pct"/>
            <w:tcBorders>
              <w:top w:val="single" w:sz="4" w:space="0" w:color="auto"/>
              <w:left w:val="single" w:sz="4" w:space="0" w:color="auto"/>
              <w:bottom w:val="single" w:sz="4" w:space="0" w:color="auto"/>
              <w:right w:val="single" w:sz="4" w:space="0" w:color="auto"/>
            </w:tcBorders>
          </w:tcPr>
          <w:p w14:paraId="2EA310B3" w14:textId="77777777" w:rsidR="006E1ADE" w:rsidRPr="0003648D" w:rsidRDefault="006E1ADE" w:rsidP="00B82144">
            <w:pPr>
              <w:spacing w:after="60"/>
              <w:rPr>
                <w:iCs/>
                <w:sz w:val="20"/>
              </w:rPr>
            </w:pPr>
            <w:r>
              <w:rPr>
                <w:iCs/>
                <w:sz w:val="20"/>
              </w:rPr>
              <w:t>EC</w:t>
            </w:r>
            <w:r w:rsidRPr="0003648D">
              <w:rPr>
                <w:iCs/>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0C47CDE"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CF72252"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Failure Quantity per QSE—</w:t>
            </w:r>
            <w:r w:rsidRPr="0003648D">
              <w:rPr>
                <w:iCs/>
                <w:sz w:val="20"/>
              </w:rPr>
              <w:t xml:space="preserve">QSE </w:t>
            </w:r>
            <w:r w:rsidRPr="0003648D">
              <w:rPr>
                <w:i/>
                <w:iCs/>
                <w:sz w:val="20"/>
              </w:rPr>
              <w:t>q</w:t>
            </w:r>
            <w:r w:rsidRPr="0003648D">
              <w:rPr>
                <w:iCs/>
                <w:sz w:val="20"/>
              </w:rPr>
              <w:t xml:space="preserve">’s total capacity associated with failures on its Ancillary Service Supply Responsibility for </w:t>
            </w:r>
            <w:r>
              <w:rPr>
                <w:iCs/>
                <w:sz w:val="20"/>
              </w:rPr>
              <w:t>ECRS</w:t>
            </w:r>
            <w:r w:rsidRPr="0003648D">
              <w:rPr>
                <w:iCs/>
                <w:sz w:val="20"/>
              </w:rPr>
              <w:t>, for the hour.</w:t>
            </w:r>
          </w:p>
        </w:tc>
      </w:tr>
      <w:tr w:rsidR="006E1ADE" w:rsidRPr="0003648D" w14:paraId="6BD079CB" w14:textId="77777777" w:rsidTr="00B82144">
        <w:tc>
          <w:tcPr>
            <w:tcW w:w="849" w:type="pct"/>
            <w:tcBorders>
              <w:top w:val="single" w:sz="4" w:space="0" w:color="auto"/>
              <w:left w:val="single" w:sz="4" w:space="0" w:color="auto"/>
              <w:bottom w:val="single" w:sz="4" w:space="0" w:color="auto"/>
              <w:right w:val="single" w:sz="4" w:space="0" w:color="auto"/>
            </w:tcBorders>
          </w:tcPr>
          <w:p w14:paraId="6E8B1BEF" w14:textId="77777777" w:rsidR="006E1ADE" w:rsidRPr="0003648D" w:rsidRDefault="006E1ADE" w:rsidP="00B82144">
            <w:pPr>
              <w:spacing w:after="60"/>
              <w:rPr>
                <w:iCs/>
                <w:sz w:val="20"/>
              </w:rPr>
            </w:pPr>
            <w:r>
              <w:rPr>
                <w:sz w:val="20"/>
              </w:rPr>
              <w:t>REC</w:t>
            </w:r>
            <w:r w:rsidRPr="0003648D">
              <w:rPr>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9BB91F0" w14:textId="77777777" w:rsidR="006E1ADE" w:rsidRPr="0003648D" w:rsidRDefault="006E1ADE" w:rsidP="00B82144">
            <w:pPr>
              <w:spacing w:after="60"/>
              <w:rPr>
                <w:iCs/>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BDA969A" w14:textId="77777777" w:rsidR="006E1ADE" w:rsidRPr="0003648D" w:rsidRDefault="006E1ADE" w:rsidP="00B82144">
            <w:pPr>
              <w:spacing w:after="60"/>
              <w:rPr>
                <w:i/>
                <w:iCs/>
                <w:sz w:val="20"/>
              </w:rPr>
            </w:pPr>
            <w:r w:rsidRPr="0003648D">
              <w:rPr>
                <w:i/>
                <w:sz w:val="20"/>
              </w:rPr>
              <w:t xml:space="preserve">Reconfiguration </w:t>
            </w:r>
            <w:r>
              <w:rPr>
                <w:i/>
                <w:sz w:val="20"/>
              </w:rPr>
              <w:t>ERCOT Contingency Reserve Service</w:t>
            </w:r>
            <w:r w:rsidRPr="0003648D">
              <w:rPr>
                <w:i/>
                <w:sz w:val="20"/>
              </w:rPr>
              <w:t xml:space="preserve"> Failure Quantity per QSE—</w:t>
            </w:r>
            <w:r w:rsidRPr="0003648D">
              <w:rPr>
                <w:sz w:val="20"/>
              </w:rPr>
              <w:t xml:space="preserve">QSE </w:t>
            </w:r>
            <w:r w:rsidRPr="0003648D">
              <w:rPr>
                <w:i/>
                <w:sz w:val="20"/>
              </w:rPr>
              <w:t>q</w:t>
            </w:r>
            <w:r w:rsidRPr="0003648D">
              <w:rPr>
                <w:sz w:val="20"/>
              </w:rPr>
              <w:t xml:space="preserve">’s total capacity associated with reconfiguration reductions on its Ancillary Service Supply Responsibility for </w:t>
            </w:r>
            <w:r>
              <w:rPr>
                <w:sz w:val="20"/>
              </w:rPr>
              <w:t>ECRS</w:t>
            </w:r>
            <w:r w:rsidRPr="0003648D">
              <w:rPr>
                <w:sz w:val="20"/>
              </w:rPr>
              <w:t>, for the hour.</w:t>
            </w:r>
          </w:p>
        </w:tc>
      </w:tr>
      <w:tr w:rsidR="006E1ADE" w:rsidRPr="0003648D" w14:paraId="7C3DE8AF" w14:textId="77777777" w:rsidTr="00B82144">
        <w:tc>
          <w:tcPr>
            <w:tcW w:w="849" w:type="pct"/>
            <w:tcBorders>
              <w:top w:val="single" w:sz="4" w:space="0" w:color="auto"/>
              <w:left w:val="single" w:sz="4" w:space="0" w:color="auto"/>
              <w:bottom w:val="single" w:sz="4" w:space="0" w:color="auto"/>
              <w:right w:val="single" w:sz="4" w:space="0" w:color="auto"/>
            </w:tcBorders>
          </w:tcPr>
          <w:p w14:paraId="37DD5782" w14:textId="77777777" w:rsidR="006E1ADE" w:rsidRPr="0003648D" w:rsidRDefault="006E1ADE" w:rsidP="00B82144">
            <w:pPr>
              <w:spacing w:after="60"/>
              <w:rPr>
                <w:iCs/>
                <w:sz w:val="20"/>
              </w:rPr>
            </w:pPr>
            <w:r w:rsidRPr="0003648D">
              <w:rPr>
                <w:iCs/>
                <w:sz w:val="20"/>
              </w:rPr>
              <w:t xml:space="preserve">HLRS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172EC52"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0E0D450" w14:textId="77777777" w:rsidR="006E1ADE" w:rsidRPr="0003648D" w:rsidRDefault="006E1ADE" w:rsidP="00B82144">
            <w:pPr>
              <w:spacing w:after="60"/>
              <w:rPr>
                <w:iCs/>
                <w:sz w:val="20"/>
              </w:rPr>
            </w:pPr>
            <w:r w:rsidRPr="0003648D">
              <w:rPr>
                <w:i/>
                <w:iCs/>
                <w:sz w:val="20"/>
              </w:rPr>
              <w:t>The Hourly Load Ratio Share calculated for QSE q for the hour</w:t>
            </w:r>
            <w:r w:rsidRPr="0003648D">
              <w:rPr>
                <w:iCs/>
                <w:sz w:val="20"/>
              </w:rPr>
              <w:t>.  See Section 6.6.2.4.</w:t>
            </w:r>
          </w:p>
        </w:tc>
      </w:tr>
      <w:tr w:rsidR="006E1ADE" w:rsidRPr="0003648D" w14:paraId="1F775C26" w14:textId="77777777" w:rsidTr="00B82144">
        <w:tc>
          <w:tcPr>
            <w:tcW w:w="849" w:type="pct"/>
            <w:tcBorders>
              <w:top w:val="single" w:sz="4" w:space="0" w:color="auto"/>
              <w:left w:val="single" w:sz="4" w:space="0" w:color="auto"/>
              <w:bottom w:val="single" w:sz="4" w:space="0" w:color="auto"/>
              <w:right w:val="single" w:sz="4" w:space="0" w:color="auto"/>
            </w:tcBorders>
          </w:tcPr>
          <w:p w14:paraId="6E1489DE" w14:textId="77777777" w:rsidR="006E1ADE" w:rsidRPr="0003648D" w:rsidRDefault="006E1ADE" w:rsidP="00B82144">
            <w:pPr>
              <w:rPr>
                <w:sz w:val="20"/>
              </w:rPr>
            </w:pPr>
            <w:r w:rsidRPr="0003648D">
              <w:rPr>
                <w:sz w:val="20"/>
              </w:rPr>
              <w:t>PC</w:t>
            </w:r>
            <w:r>
              <w:rPr>
                <w:sz w:val="20"/>
              </w:rPr>
              <w:t>EC</w:t>
            </w:r>
            <w:r w:rsidRPr="0003648D">
              <w:rPr>
                <w:sz w:val="20"/>
              </w:rPr>
              <w:t xml:space="preserve">R </w:t>
            </w:r>
            <w:r w:rsidRPr="0003648D">
              <w:rPr>
                <w:i/>
                <w:sz w:val="20"/>
                <w:vertAlign w:val="subscript"/>
              </w:rPr>
              <w:t>q</w:t>
            </w:r>
            <w:r w:rsidRPr="0003648D">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24F9F313" w14:textId="77777777" w:rsidR="006E1ADE" w:rsidRPr="0003648D" w:rsidRDefault="006E1ADE" w:rsidP="00B82144">
            <w:pPr>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23EEE942" w14:textId="77777777" w:rsidR="006E1ADE" w:rsidRPr="0003648D" w:rsidRDefault="006E1ADE" w:rsidP="00B82144">
            <w:pPr>
              <w:rPr>
                <w:sz w:val="20"/>
              </w:rPr>
            </w:pPr>
            <w:r w:rsidRPr="0003648D">
              <w:rPr>
                <w:i/>
                <w:sz w:val="20"/>
              </w:rPr>
              <w:t xml:space="preserve">Procured Capacity for </w:t>
            </w:r>
            <w:r>
              <w:rPr>
                <w:i/>
                <w:sz w:val="20"/>
              </w:rPr>
              <w:t>ERCOT Contingency Reserve Service</w:t>
            </w:r>
            <w:r w:rsidRPr="0003648D">
              <w:rPr>
                <w:i/>
                <w:sz w:val="20"/>
              </w:rPr>
              <w:t xml:space="preserve"> per QSE in DAM</w:t>
            </w:r>
            <w:r w:rsidRPr="0003648D">
              <w:rPr>
                <w:sz w:val="20"/>
              </w:rPr>
              <w:t xml:space="preserve">—The total </w:t>
            </w:r>
            <w:r>
              <w:rPr>
                <w:sz w:val="20"/>
              </w:rPr>
              <w:t>ECRS</w:t>
            </w:r>
            <w:r w:rsidRPr="0003648D">
              <w:rPr>
                <w:sz w:val="20"/>
              </w:rPr>
              <w:t xml:space="preserve"> capacity quantity awarded to QSE </w:t>
            </w:r>
            <w:r w:rsidRPr="0003648D">
              <w:rPr>
                <w:i/>
                <w:sz w:val="20"/>
              </w:rPr>
              <w:t>q</w:t>
            </w:r>
            <w:r w:rsidRPr="0003648D">
              <w:rPr>
                <w:sz w:val="20"/>
              </w:rPr>
              <w:t xml:space="preserve"> in the DAM for all the Resources represented by the QSE, for the hour.</w:t>
            </w:r>
          </w:p>
        </w:tc>
      </w:tr>
      <w:tr w:rsidR="006E1ADE" w:rsidRPr="0003648D" w14:paraId="6643327C" w14:textId="77777777" w:rsidTr="00B82144">
        <w:tc>
          <w:tcPr>
            <w:tcW w:w="849" w:type="pct"/>
            <w:tcBorders>
              <w:top w:val="single" w:sz="4" w:space="0" w:color="auto"/>
              <w:left w:val="single" w:sz="4" w:space="0" w:color="auto"/>
              <w:bottom w:val="single" w:sz="4" w:space="0" w:color="auto"/>
              <w:right w:val="single" w:sz="4" w:space="0" w:color="auto"/>
            </w:tcBorders>
          </w:tcPr>
          <w:p w14:paraId="4116E91C" w14:textId="77777777" w:rsidR="006E1ADE" w:rsidRPr="0003648D" w:rsidRDefault="006E1ADE" w:rsidP="00B82144">
            <w:pPr>
              <w:spacing w:after="60"/>
              <w:rPr>
                <w:sz w:val="20"/>
              </w:rPr>
            </w:pPr>
            <w:r w:rsidRPr="0003648D">
              <w:rPr>
                <w:sz w:val="20"/>
              </w:rPr>
              <w:t>SA</w:t>
            </w:r>
            <w:r>
              <w:rPr>
                <w:sz w:val="20"/>
              </w:rPr>
              <w:t>EC</w:t>
            </w:r>
            <w:r w:rsidRPr="0003648D">
              <w:rPr>
                <w:sz w:val="20"/>
              </w:rPr>
              <w:t xml:space="preserve">RQ </w:t>
            </w:r>
            <w:r w:rsidRPr="0003648D">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6F99FB4" w14:textId="77777777" w:rsidR="006E1ADE" w:rsidRPr="0003648D" w:rsidRDefault="006E1ADE" w:rsidP="00B82144">
            <w:pPr>
              <w:spacing w:after="60"/>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1708FA3" w14:textId="77777777" w:rsidR="006E1ADE" w:rsidRPr="0003648D" w:rsidRDefault="006E1ADE" w:rsidP="00B82144">
            <w:pPr>
              <w:spacing w:after="60"/>
              <w:rPr>
                <w:i/>
                <w:sz w:val="20"/>
              </w:rPr>
            </w:pPr>
            <w:r w:rsidRPr="0003648D">
              <w:rPr>
                <w:i/>
                <w:sz w:val="20"/>
              </w:rPr>
              <w:t xml:space="preserve">Total Self-Arranged </w:t>
            </w:r>
            <w:r>
              <w:rPr>
                <w:i/>
                <w:sz w:val="20"/>
              </w:rPr>
              <w:t>ERCOT Contingency Reserve Service</w:t>
            </w:r>
            <w:r w:rsidRPr="0003648D">
              <w:rPr>
                <w:i/>
                <w:sz w:val="20"/>
              </w:rPr>
              <w:t xml:space="preserve"> Quantity per QSE for all markets</w:t>
            </w:r>
            <w:r w:rsidRPr="0003648D">
              <w:rPr>
                <w:sz w:val="20"/>
              </w:rPr>
              <w:t xml:space="preserve">—The sum of all self-arranged </w:t>
            </w:r>
            <w:r>
              <w:rPr>
                <w:sz w:val="20"/>
              </w:rPr>
              <w:t>ECRS</w:t>
            </w:r>
            <w:r w:rsidRPr="0003648D">
              <w:rPr>
                <w:sz w:val="20"/>
              </w:rPr>
              <w:t xml:space="preserve"> quantities submitted by QSE </w:t>
            </w:r>
            <w:r w:rsidRPr="0003648D">
              <w:rPr>
                <w:i/>
                <w:sz w:val="20"/>
              </w:rPr>
              <w:t>q</w:t>
            </w:r>
            <w:r w:rsidRPr="0003648D">
              <w:rPr>
                <w:sz w:val="20"/>
              </w:rPr>
              <w:t xml:space="preserve"> for DAM and all SASMs.</w:t>
            </w:r>
          </w:p>
        </w:tc>
      </w:tr>
      <w:tr w:rsidR="006E1ADE" w:rsidRPr="0003648D" w14:paraId="24DD5DDC" w14:textId="77777777" w:rsidTr="00B82144">
        <w:tc>
          <w:tcPr>
            <w:tcW w:w="849" w:type="pct"/>
            <w:tcBorders>
              <w:top w:val="single" w:sz="4" w:space="0" w:color="auto"/>
              <w:left w:val="single" w:sz="4" w:space="0" w:color="auto"/>
              <w:bottom w:val="single" w:sz="4" w:space="0" w:color="auto"/>
              <w:right w:val="single" w:sz="4" w:space="0" w:color="auto"/>
            </w:tcBorders>
          </w:tcPr>
          <w:p w14:paraId="3AF4A9D2" w14:textId="77777777" w:rsidR="006E1ADE" w:rsidRPr="0003648D" w:rsidRDefault="006E1ADE" w:rsidP="00B82144">
            <w:pPr>
              <w:spacing w:after="60"/>
              <w:rPr>
                <w:i/>
                <w:iCs/>
                <w:sz w:val="20"/>
              </w:rPr>
            </w:pPr>
            <w:r>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5723B0E8"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0F46A966" w14:textId="77777777" w:rsidR="006E1ADE" w:rsidRPr="0003648D" w:rsidRDefault="006E1ADE" w:rsidP="00B82144">
            <w:pPr>
              <w:spacing w:after="60"/>
              <w:rPr>
                <w:iCs/>
                <w:sz w:val="20"/>
              </w:rPr>
            </w:pPr>
            <w:r w:rsidRPr="0003648D">
              <w:rPr>
                <w:iCs/>
                <w:sz w:val="20"/>
              </w:rPr>
              <w:t>A QSE.</w:t>
            </w:r>
          </w:p>
        </w:tc>
      </w:tr>
      <w:tr w:rsidR="006E1ADE" w:rsidRPr="0003648D" w14:paraId="3B856DA6" w14:textId="77777777" w:rsidTr="00B82144">
        <w:tc>
          <w:tcPr>
            <w:tcW w:w="849" w:type="pct"/>
            <w:tcBorders>
              <w:top w:val="single" w:sz="4" w:space="0" w:color="auto"/>
              <w:left w:val="single" w:sz="4" w:space="0" w:color="auto"/>
              <w:bottom w:val="single" w:sz="4" w:space="0" w:color="auto"/>
              <w:right w:val="single" w:sz="4" w:space="0" w:color="auto"/>
            </w:tcBorders>
          </w:tcPr>
          <w:p w14:paraId="5B66966A" w14:textId="77777777" w:rsidR="006E1ADE" w:rsidRPr="0003648D" w:rsidRDefault="006E1ADE" w:rsidP="00B82144">
            <w:pPr>
              <w:spacing w:after="60"/>
              <w:rPr>
                <w:i/>
                <w:iCs/>
                <w:sz w:val="20"/>
              </w:rPr>
            </w:pPr>
            <w:r>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09A54404"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242F0953"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08CC5180" w14:textId="77777777" w:rsidR="006E1ADE" w:rsidRPr="0003648D" w:rsidRDefault="006E1ADE" w:rsidP="006E1ADE"/>
    <w:p w14:paraId="215F46F6" w14:textId="77777777" w:rsidR="006E1ADE" w:rsidRPr="0003648D" w:rsidRDefault="006E1ADE" w:rsidP="006E1ADE">
      <w:pPr>
        <w:spacing w:after="240"/>
        <w:ind w:left="1440" w:hanging="720"/>
      </w:pPr>
      <w:r w:rsidRPr="0003648D">
        <w:t>(c)</w:t>
      </w:r>
      <w:r w:rsidRPr="0003648D">
        <w:tab/>
        <w:t xml:space="preserve">The adjustment to each QSE’s DAM charge for the </w:t>
      </w:r>
      <w:r>
        <w:t>ECRS</w:t>
      </w:r>
      <w:r w:rsidRPr="0003648D">
        <w:t xml:space="preserve"> for the Operating Hour, due to changes during the Adjustment Period or Real-Time operations, is calculated as follows:</w:t>
      </w:r>
    </w:p>
    <w:p w14:paraId="5F320C54" w14:textId="77777777" w:rsidR="006E1ADE" w:rsidRPr="0003648D" w:rsidRDefault="006E1ADE" w:rsidP="006E1ADE">
      <w:pPr>
        <w:spacing w:after="240"/>
        <w:ind w:left="2880" w:hanging="2160"/>
        <w:rPr>
          <w:b/>
          <w:bCs/>
          <w:lang w:val="pt-BR"/>
        </w:rPr>
      </w:pPr>
      <w:r w:rsidRPr="0003648D">
        <w:rPr>
          <w:b/>
          <w:bCs/>
          <w:lang w:val="pt-BR"/>
        </w:rPr>
        <w:t>RT</w:t>
      </w:r>
      <w:r>
        <w:rPr>
          <w:b/>
          <w:bCs/>
          <w:lang w:val="pt-BR"/>
        </w:rPr>
        <w:t>EC</w:t>
      </w:r>
      <w:r w:rsidRPr="0003648D">
        <w:rPr>
          <w:b/>
          <w:bCs/>
          <w:lang w:val="pt-BR"/>
        </w:rPr>
        <w:t xml:space="preserve">RAMT </w:t>
      </w:r>
      <w:r w:rsidRPr="0003648D">
        <w:rPr>
          <w:b/>
          <w:bCs/>
          <w:i/>
          <w:vertAlign w:val="subscript"/>
          <w:lang w:val="pt-BR"/>
        </w:rPr>
        <w:t>q</w:t>
      </w:r>
      <w:r w:rsidRPr="0003648D">
        <w:rPr>
          <w:b/>
          <w:bCs/>
          <w:lang w:val="pt-BR"/>
        </w:rPr>
        <w:tab/>
        <w:t>=</w:t>
      </w:r>
      <w:r w:rsidRPr="0003648D">
        <w:rPr>
          <w:b/>
          <w:bCs/>
          <w:lang w:val="pt-BR"/>
        </w:rPr>
        <w:tab/>
      </w:r>
      <w:r>
        <w:rPr>
          <w:b/>
          <w:bCs/>
          <w:lang w:val="pt-BR"/>
        </w:rPr>
        <w:t>EC</w:t>
      </w:r>
      <w:r w:rsidRPr="0003648D">
        <w:rPr>
          <w:b/>
          <w:bCs/>
          <w:lang w:val="pt-BR"/>
        </w:rPr>
        <w:t xml:space="preserve">RCOST </w:t>
      </w:r>
      <w:r w:rsidRPr="0003648D">
        <w:rPr>
          <w:b/>
          <w:bCs/>
          <w:i/>
          <w:vertAlign w:val="subscript"/>
          <w:lang w:val="pt-BR"/>
        </w:rPr>
        <w:t>q</w:t>
      </w:r>
      <w:r w:rsidRPr="0003648D">
        <w:rPr>
          <w:b/>
          <w:bCs/>
          <w:lang w:val="pt-BR"/>
        </w:rPr>
        <w:t xml:space="preserve"> – DA</w:t>
      </w:r>
      <w:r>
        <w:rPr>
          <w:b/>
          <w:bCs/>
          <w:lang w:val="pt-BR"/>
        </w:rPr>
        <w:t>EC</w:t>
      </w:r>
      <w:r w:rsidRPr="0003648D">
        <w:rPr>
          <w:b/>
          <w:bCs/>
          <w:lang w:val="pt-BR"/>
        </w:rPr>
        <w:t xml:space="preserve">RAMT </w:t>
      </w:r>
      <w:r w:rsidRPr="0003648D">
        <w:rPr>
          <w:b/>
          <w:bCs/>
          <w:i/>
          <w:vertAlign w:val="subscript"/>
          <w:lang w:val="pt-BR"/>
        </w:rPr>
        <w:t>q</w:t>
      </w:r>
    </w:p>
    <w:p w14:paraId="1E0FDEDD"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6E1ADE" w:rsidRPr="0003648D" w14:paraId="2C828E22" w14:textId="77777777" w:rsidTr="00B82144">
        <w:trPr>
          <w:cantSplit/>
        </w:trPr>
        <w:tc>
          <w:tcPr>
            <w:tcW w:w="824" w:type="pct"/>
          </w:tcPr>
          <w:p w14:paraId="61E590C9" w14:textId="77777777" w:rsidR="006E1ADE" w:rsidRPr="0003648D" w:rsidRDefault="006E1ADE" w:rsidP="00B82144">
            <w:pPr>
              <w:spacing w:after="120"/>
              <w:rPr>
                <w:b/>
                <w:iCs/>
                <w:sz w:val="20"/>
              </w:rPr>
            </w:pPr>
            <w:r w:rsidRPr="0003648D">
              <w:rPr>
                <w:b/>
                <w:iCs/>
                <w:sz w:val="20"/>
              </w:rPr>
              <w:t>Variable</w:t>
            </w:r>
          </w:p>
        </w:tc>
        <w:tc>
          <w:tcPr>
            <w:tcW w:w="463" w:type="pct"/>
          </w:tcPr>
          <w:p w14:paraId="3EF05A51" w14:textId="77777777" w:rsidR="006E1ADE" w:rsidRPr="0003648D" w:rsidRDefault="006E1ADE" w:rsidP="00B82144">
            <w:pPr>
              <w:spacing w:after="120"/>
              <w:rPr>
                <w:b/>
                <w:iCs/>
                <w:sz w:val="20"/>
              </w:rPr>
            </w:pPr>
            <w:r w:rsidRPr="0003648D">
              <w:rPr>
                <w:b/>
                <w:iCs/>
                <w:sz w:val="20"/>
              </w:rPr>
              <w:t>Unit</w:t>
            </w:r>
          </w:p>
        </w:tc>
        <w:tc>
          <w:tcPr>
            <w:tcW w:w="3713" w:type="pct"/>
          </w:tcPr>
          <w:p w14:paraId="25C5B376" w14:textId="77777777" w:rsidR="006E1ADE" w:rsidRPr="0003648D" w:rsidRDefault="006E1ADE" w:rsidP="00B82144">
            <w:pPr>
              <w:spacing w:after="120"/>
              <w:rPr>
                <w:b/>
                <w:iCs/>
                <w:sz w:val="20"/>
              </w:rPr>
            </w:pPr>
            <w:r w:rsidRPr="0003648D">
              <w:rPr>
                <w:b/>
                <w:iCs/>
                <w:sz w:val="20"/>
              </w:rPr>
              <w:t>Description</w:t>
            </w:r>
          </w:p>
        </w:tc>
      </w:tr>
      <w:tr w:rsidR="006E1ADE" w:rsidRPr="0003648D" w14:paraId="3CABC9B8" w14:textId="77777777" w:rsidTr="00B82144">
        <w:trPr>
          <w:cantSplit/>
        </w:trPr>
        <w:tc>
          <w:tcPr>
            <w:tcW w:w="824" w:type="pct"/>
          </w:tcPr>
          <w:p w14:paraId="27938725" w14:textId="77777777" w:rsidR="006E1ADE" w:rsidRPr="0003648D" w:rsidRDefault="006E1ADE" w:rsidP="00B82144">
            <w:pPr>
              <w:spacing w:after="60"/>
              <w:rPr>
                <w:iCs/>
                <w:sz w:val="20"/>
              </w:rPr>
            </w:pPr>
            <w:r w:rsidRPr="0003648D">
              <w:rPr>
                <w:iCs/>
                <w:sz w:val="20"/>
              </w:rPr>
              <w:t>RT</w:t>
            </w:r>
            <w:r>
              <w:rPr>
                <w:iCs/>
                <w:sz w:val="20"/>
              </w:rPr>
              <w:t>EC</w:t>
            </w:r>
            <w:r w:rsidRPr="0003648D">
              <w:rPr>
                <w:iCs/>
                <w:sz w:val="20"/>
              </w:rPr>
              <w:t xml:space="preserve">RAMT </w:t>
            </w:r>
            <w:r w:rsidRPr="0003648D">
              <w:rPr>
                <w:i/>
                <w:iCs/>
                <w:sz w:val="20"/>
                <w:vertAlign w:val="subscript"/>
              </w:rPr>
              <w:t>q</w:t>
            </w:r>
          </w:p>
        </w:tc>
        <w:tc>
          <w:tcPr>
            <w:tcW w:w="463" w:type="pct"/>
          </w:tcPr>
          <w:p w14:paraId="61B45348" w14:textId="77777777" w:rsidR="006E1ADE" w:rsidRPr="0003648D" w:rsidRDefault="006E1ADE" w:rsidP="00B82144">
            <w:pPr>
              <w:spacing w:after="60"/>
              <w:rPr>
                <w:iCs/>
                <w:sz w:val="20"/>
              </w:rPr>
            </w:pPr>
            <w:r w:rsidRPr="0003648D">
              <w:rPr>
                <w:iCs/>
                <w:sz w:val="20"/>
              </w:rPr>
              <w:t>$</w:t>
            </w:r>
          </w:p>
        </w:tc>
        <w:tc>
          <w:tcPr>
            <w:tcW w:w="3713" w:type="pct"/>
          </w:tcPr>
          <w:p w14:paraId="5DEBDDE0" w14:textId="77777777" w:rsidR="006E1ADE" w:rsidRPr="0003648D" w:rsidRDefault="006E1ADE" w:rsidP="00B82144">
            <w:pPr>
              <w:spacing w:after="60"/>
              <w:rPr>
                <w:iCs/>
                <w:sz w:val="20"/>
              </w:rPr>
            </w:pPr>
            <w:r w:rsidRPr="0003648D">
              <w:rPr>
                <w:i/>
                <w:iCs/>
                <w:sz w:val="20"/>
              </w:rPr>
              <w:t xml:space="preserve">Real-Time </w:t>
            </w:r>
            <w:r>
              <w:rPr>
                <w:i/>
                <w:iCs/>
                <w:sz w:val="20"/>
              </w:rPr>
              <w:t>ERCOT Contingency Reserve Service</w:t>
            </w:r>
            <w:r w:rsidRPr="0003648D">
              <w:rPr>
                <w:i/>
                <w:iCs/>
                <w:sz w:val="20"/>
              </w:rPr>
              <w:t xml:space="preserve"> Amount per QSE</w:t>
            </w:r>
            <w:r w:rsidRPr="0003648D">
              <w:rPr>
                <w:iCs/>
                <w:sz w:val="20"/>
              </w:rPr>
              <w:t xml:space="preserve">—The adjustment to QSE </w:t>
            </w:r>
            <w:r w:rsidRPr="0003648D">
              <w:rPr>
                <w:i/>
                <w:iCs/>
                <w:sz w:val="20"/>
              </w:rPr>
              <w:t>q</w:t>
            </w:r>
            <w:r w:rsidRPr="0003648D">
              <w:rPr>
                <w:iCs/>
                <w:sz w:val="20"/>
              </w:rPr>
              <w:t xml:space="preserve">’s share of the costs for </w:t>
            </w:r>
            <w:r>
              <w:rPr>
                <w:iCs/>
                <w:sz w:val="20"/>
              </w:rPr>
              <w:t>ECRS</w:t>
            </w:r>
            <w:r w:rsidRPr="0003648D">
              <w:rPr>
                <w:iCs/>
                <w:sz w:val="20"/>
              </w:rPr>
              <w:t>, for the hour.</w:t>
            </w:r>
          </w:p>
        </w:tc>
      </w:tr>
      <w:tr w:rsidR="006E1ADE" w:rsidRPr="0003648D" w14:paraId="76B60380" w14:textId="77777777" w:rsidTr="00B82144">
        <w:trPr>
          <w:cantSplit/>
        </w:trPr>
        <w:tc>
          <w:tcPr>
            <w:tcW w:w="824" w:type="pct"/>
          </w:tcPr>
          <w:p w14:paraId="25666E8A"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3" w:type="pct"/>
          </w:tcPr>
          <w:p w14:paraId="65AB5DAD" w14:textId="77777777" w:rsidR="006E1ADE" w:rsidRPr="0003648D" w:rsidRDefault="006E1ADE" w:rsidP="00B82144">
            <w:pPr>
              <w:spacing w:after="60"/>
              <w:rPr>
                <w:iCs/>
                <w:sz w:val="20"/>
              </w:rPr>
            </w:pPr>
            <w:r w:rsidRPr="0003648D">
              <w:rPr>
                <w:iCs/>
                <w:sz w:val="20"/>
              </w:rPr>
              <w:t>$</w:t>
            </w:r>
          </w:p>
        </w:tc>
        <w:tc>
          <w:tcPr>
            <w:tcW w:w="3713" w:type="pct"/>
          </w:tcPr>
          <w:p w14:paraId="7A35A2DD"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0B392D4A" w14:textId="77777777" w:rsidTr="00B82144">
        <w:trPr>
          <w:cantSplit/>
        </w:trPr>
        <w:tc>
          <w:tcPr>
            <w:tcW w:w="824" w:type="pct"/>
          </w:tcPr>
          <w:p w14:paraId="3FB13239" w14:textId="77777777" w:rsidR="006E1ADE" w:rsidRPr="0003648D" w:rsidRDefault="006E1ADE" w:rsidP="00B82144">
            <w:pPr>
              <w:spacing w:after="60"/>
              <w:rPr>
                <w:iCs/>
                <w:sz w:val="20"/>
              </w:rPr>
            </w:pPr>
            <w:r w:rsidRPr="0003648D">
              <w:rPr>
                <w:iCs/>
                <w:sz w:val="20"/>
              </w:rPr>
              <w:t>DA</w:t>
            </w:r>
            <w:r>
              <w:rPr>
                <w:iCs/>
                <w:sz w:val="20"/>
              </w:rPr>
              <w:t>EC</w:t>
            </w:r>
            <w:r w:rsidRPr="0003648D">
              <w:rPr>
                <w:iCs/>
                <w:sz w:val="20"/>
              </w:rPr>
              <w:t xml:space="preserve">RAMT </w:t>
            </w:r>
            <w:r w:rsidRPr="0003648D">
              <w:rPr>
                <w:i/>
                <w:iCs/>
                <w:sz w:val="20"/>
                <w:vertAlign w:val="subscript"/>
              </w:rPr>
              <w:t>q</w:t>
            </w:r>
          </w:p>
        </w:tc>
        <w:tc>
          <w:tcPr>
            <w:tcW w:w="463" w:type="pct"/>
          </w:tcPr>
          <w:p w14:paraId="0BE07DC4" w14:textId="77777777" w:rsidR="006E1ADE" w:rsidRPr="0003648D" w:rsidRDefault="006E1ADE" w:rsidP="00B82144">
            <w:pPr>
              <w:spacing w:after="60"/>
              <w:rPr>
                <w:iCs/>
                <w:sz w:val="20"/>
              </w:rPr>
            </w:pPr>
            <w:r w:rsidRPr="0003648D">
              <w:rPr>
                <w:iCs/>
                <w:sz w:val="20"/>
              </w:rPr>
              <w:t>$</w:t>
            </w:r>
          </w:p>
        </w:tc>
        <w:tc>
          <w:tcPr>
            <w:tcW w:w="3713" w:type="pct"/>
          </w:tcPr>
          <w:p w14:paraId="3E457F80" w14:textId="77777777" w:rsidR="006E1ADE" w:rsidRPr="0003648D" w:rsidRDefault="006E1ADE" w:rsidP="00B82144">
            <w:pPr>
              <w:spacing w:after="60"/>
              <w:rPr>
                <w:iCs/>
                <w:sz w:val="20"/>
              </w:rPr>
            </w:pPr>
            <w:r w:rsidRPr="0003648D">
              <w:rPr>
                <w:i/>
                <w:iCs/>
                <w:sz w:val="20"/>
              </w:rPr>
              <w:t xml:space="preserve">Day-Ahead </w:t>
            </w:r>
            <w:r>
              <w:rPr>
                <w:i/>
                <w:iCs/>
                <w:sz w:val="20"/>
              </w:rPr>
              <w:t>ERCOT Contingency Reserve Service</w:t>
            </w:r>
            <w:r w:rsidRPr="0003648D">
              <w:rPr>
                <w:i/>
                <w:iCs/>
                <w:sz w:val="20"/>
              </w:rPr>
              <w:t xml:space="preserve"> Amount per QSE</w:t>
            </w:r>
            <w:r w:rsidRPr="0003648D">
              <w:rPr>
                <w:iCs/>
                <w:sz w:val="20"/>
              </w:rPr>
              <w:t xml:space="preserve">—QSE </w:t>
            </w:r>
            <w:r w:rsidRPr="0003648D">
              <w:rPr>
                <w:i/>
                <w:iCs/>
                <w:sz w:val="20"/>
              </w:rPr>
              <w:t>q</w:t>
            </w:r>
            <w:r w:rsidRPr="0003648D">
              <w:rPr>
                <w:iCs/>
                <w:sz w:val="20"/>
              </w:rPr>
              <w:t xml:space="preserve">’s share of the DAM cost for </w:t>
            </w:r>
            <w:r>
              <w:rPr>
                <w:iCs/>
                <w:sz w:val="20"/>
              </w:rPr>
              <w:t>ECRS</w:t>
            </w:r>
            <w:r w:rsidRPr="0003648D">
              <w:rPr>
                <w:iCs/>
                <w:sz w:val="20"/>
              </w:rPr>
              <w:t>, for the hour.</w:t>
            </w:r>
          </w:p>
        </w:tc>
      </w:tr>
      <w:tr w:rsidR="006E1ADE" w:rsidRPr="0003648D" w14:paraId="35269152" w14:textId="77777777" w:rsidTr="00B82144">
        <w:trPr>
          <w:cantSplit/>
        </w:trPr>
        <w:tc>
          <w:tcPr>
            <w:tcW w:w="824" w:type="pct"/>
            <w:tcBorders>
              <w:top w:val="single" w:sz="4" w:space="0" w:color="auto"/>
              <w:left w:val="single" w:sz="4" w:space="0" w:color="auto"/>
              <w:bottom w:val="single" w:sz="4" w:space="0" w:color="auto"/>
              <w:right w:val="single" w:sz="4" w:space="0" w:color="auto"/>
            </w:tcBorders>
          </w:tcPr>
          <w:p w14:paraId="2B8B36EB" w14:textId="77777777" w:rsidR="006E1ADE" w:rsidRPr="0003648D" w:rsidRDefault="006E1ADE" w:rsidP="00B82144">
            <w:pPr>
              <w:spacing w:after="60"/>
              <w:rPr>
                <w:i/>
                <w:iCs/>
                <w:sz w:val="20"/>
              </w:rPr>
            </w:pPr>
            <w:r w:rsidRPr="0003648D">
              <w:rPr>
                <w:i/>
                <w:iCs/>
                <w:sz w:val="20"/>
              </w:rPr>
              <w:lastRenderedPageBreak/>
              <w:t>q</w:t>
            </w:r>
          </w:p>
        </w:tc>
        <w:tc>
          <w:tcPr>
            <w:tcW w:w="463" w:type="pct"/>
            <w:tcBorders>
              <w:top w:val="single" w:sz="4" w:space="0" w:color="auto"/>
              <w:left w:val="single" w:sz="4" w:space="0" w:color="auto"/>
              <w:bottom w:val="single" w:sz="4" w:space="0" w:color="auto"/>
              <w:right w:val="single" w:sz="4" w:space="0" w:color="auto"/>
            </w:tcBorders>
          </w:tcPr>
          <w:p w14:paraId="16C69058" w14:textId="77777777" w:rsidR="006E1ADE" w:rsidRPr="0003648D" w:rsidRDefault="006E1ADE" w:rsidP="00B82144">
            <w:pPr>
              <w:spacing w:after="60"/>
              <w:rPr>
                <w:iCs/>
                <w:sz w:val="20"/>
              </w:rPr>
            </w:pPr>
            <w:r w:rsidRPr="0003648D">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9C3192" w14:textId="77777777" w:rsidR="006E1ADE" w:rsidRPr="0003648D" w:rsidRDefault="006E1ADE" w:rsidP="00B82144">
            <w:pPr>
              <w:spacing w:after="60"/>
              <w:rPr>
                <w:iCs/>
                <w:sz w:val="20"/>
              </w:rPr>
            </w:pPr>
            <w:r w:rsidRPr="0003648D">
              <w:rPr>
                <w:iCs/>
                <w:sz w:val="20"/>
              </w:rPr>
              <w:t>A QSE.</w:t>
            </w:r>
          </w:p>
        </w:tc>
      </w:tr>
      <w:bookmarkEnd w:id="2734"/>
    </w:tbl>
    <w:p w14:paraId="12955133" w14:textId="77777777" w:rsidR="003C098F" w:rsidRDefault="003C098F"/>
    <w:p w14:paraId="0B539F11" w14:textId="77777777" w:rsidR="008871B2" w:rsidRPr="00221BB6" w:rsidRDefault="008871B2" w:rsidP="008871B2">
      <w:bookmarkStart w:id="2735" w:name="_Toc397505050"/>
      <w:bookmarkStart w:id="2736" w:name="_Toc402357182"/>
      <w:bookmarkStart w:id="2737" w:name="_Toc422486562"/>
      <w:bookmarkStart w:id="2738" w:name="_Toc433093415"/>
      <w:bookmarkStart w:id="2739" w:name="_Toc433093573"/>
      <w:bookmarkStart w:id="2740" w:name="_Toc440874803"/>
      <w:bookmarkStart w:id="2741" w:name="_Toc448142360"/>
      <w:bookmarkStart w:id="2742" w:name="_Toc448142517"/>
      <w:bookmarkStart w:id="2743" w:name="_Toc458770358"/>
      <w:bookmarkStart w:id="2744" w:name="_Toc459294326"/>
      <w:bookmarkStart w:id="2745" w:name="_Toc463262820"/>
      <w:bookmarkStart w:id="2746" w:name="_Toc468286895"/>
      <w:bookmarkStart w:id="2747" w:name="_Toc481502935"/>
      <w:bookmarkStart w:id="2748" w:name="_Toc49608010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871B2" w14:paraId="74B8967A" w14:textId="77777777" w:rsidTr="001138B9">
        <w:trPr>
          <w:trHeight w:val="206"/>
        </w:trPr>
        <w:tc>
          <w:tcPr>
            <w:tcW w:w="9350" w:type="dxa"/>
            <w:shd w:val="pct12" w:color="auto" w:fill="auto"/>
          </w:tcPr>
          <w:p w14:paraId="32B32A4D" w14:textId="1672A4C5" w:rsidR="008871B2" w:rsidRDefault="008871B2" w:rsidP="008871B2">
            <w:pPr>
              <w:pStyle w:val="Instructions"/>
              <w:spacing w:before="120"/>
            </w:pPr>
            <w:r>
              <w:t>[NPRR1010</w:t>
            </w:r>
            <w:r w:rsidR="00103BC5">
              <w:t xml:space="preserve"> and NPRR1245</w:t>
            </w:r>
            <w:r>
              <w:t xml:space="preserve">:  Replace Section 6.7.4 above </w:t>
            </w:r>
            <w:r w:rsidR="008C3F9B">
              <w:t xml:space="preserve">with the following </w:t>
            </w:r>
            <w:r>
              <w:t>upon system implementation of the Real-Time Co-Optimization (RTC) project:]</w:t>
            </w:r>
          </w:p>
          <w:p w14:paraId="05724ED1" w14:textId="3589618D" w:rsidR="008871B2" w:rsidRDefault="008871B2" w:rsidP="008871B2">
            <w:pPr>
              <w:pStyle w:val="H3"/>
            </w:pPr>
            <w:bookmarkStart w:id="2749" w:name="_Toc60040748"/>
            <w:bookmarkStart w:id="2750" w:name="_Toc65151807"/>
            <w:bookmarkStart w:id="2751" w:name="_Toc80174833"/>
            <w:bookmarkStart w:id="2752" w:name="_Toc108712599"/>
            <w:bookmarkStart w:id="2753" w:name="_Toc112417718"/>
            <w:bookmarkStart w:id="2754" w:name="_Toc119310387"/>
            <w:bookmarkStart w:id="2755" w:name="_Toc125966320"/>
            <w:bookmarkStart w:id="2756" w:name="_Toc135992419"/>
            <w:bookmarkStart w:id="2757" w:name="_Toc170303614"/>
            <w:bookmarkStart w:id="2758" w:name="_Toc175157518"/>
            <w:bookmarkStart w:id="2759" w:name="_Toc189044491"/>
            <w:r>
              <w:t>6.7.4</w:t>
            </w:r>
            <w:r>
              <w:tab/>
              <w:t>Real-Time Settlement for Updated Day-Ahead Market Ancillary Service Obligations</w:t>
            </w:r>
            <w:bookmarkEnd w:id="2749"/>
            <w:bookmarkEnd w:id="2750"/>
            <w:bookmarkEnd w:id="2751"/>
            <w:bookmarkEnd w:id="2752"/>
            <w:bookmarkEnd w:id="2753"/>
            <w:bookmarkEnd w:id="2754"/>
            <w:bookmarkEnd w:id="2755"/>
            <w:bookmarkEnd w:id="2756"/>
            <w:bookmarkEnd w:id="2757"/>
            <w:bookmarkEnd w:id="2758"/>
            <w:bookmarkEnd w:id="2759"/>
          </w:p>
          <w:p w14:paraId="0D4661C6" w14:textId="77777777" w:rsidR="008871B2" w:rsidRDefault="008871B2" w:rsidP="008871B2">
            <w:pPr>
              <w:spacing w:after="240"/>
              <w:ind w:left="720" w:hanging="720"/>
              <w:rPr>
                <w:iCs/>
              </w:rPr>
            </w:pPr>
            <w:r>
              <w:t>(1)</w:t>
            </w:r>
            <w:r>
              <w:tab/>
            </w:r>
            <w:r>
              <w:rPr>
                <w:iCs/>
              </w:rPr>
              <w:t xml:space="preserve">Each QSE is charged or paid for net obligations for each Ancillary Service procured in the DAM.  DAM costs are calculated for each QSE in accordance with Section 4.6.4, Settlement of Ancillary Services Procured in the DAM.  DAM net total costs for Ancillary Service procured in the DAM are re-calculated for each QSE under this Section based on Real-Time Load Ratio Share (LRS).  </w:t>
            </w:r>
            <w:r>
              <w:t xml:space="preserve">Payments and/or charges for Ancillary Service obligations are calculated by Operating Hour as follows:      </w:t>
            </w:r>
          </w:p>
          <w:p w14:paraId="6021A518" w14:textId="77777777" w:rsidR="008871B2" w:rsidRDefault="008871B2" w:rsidP="008871B2">
            <w:pPr>
              <w:pStyle w:val="BodyTextNumbered"/>
              <w:ind w:left="1440"/>
              <w:rPr>
                <w:iCs/>
              </w:rPr>
            </w:pPr>
            <w:r>
              <w:rPr>
                <w:iCs/>
              </w:rPr>
              <w:t>(a)</w:t>
            </w:r>
            <w:r>
              <w:rPr>
                <w:iCs/>
              </w:rPr>
              <w:tab/>
              <w:t>For Regulation Up Service (Reg-Up), if applicable:</w:t>
            </w:r>
          </w:p>
          <w:p w14:paraId="05C78475" w14:textId="77777777" w:rsidR="008871B2" w:rsidRDefault="008871B2" w:rsidP="008871B2">
            <w:pPr>
              <w:pStyle w:val="BodyTextNumbered"/>
              <w:ind w:left="1440"/>
              <w:rPr>
                <w:iCs/>
              </w:rPr>
            </w:pPr>
            <w:r>
              <w:rPr>
                <w:iCs/>
              </w:rPr>
              <w:t xml:space="preserve">DARTPCRUAMT </w:t>
            </w:r>
            <w:r>
              <w:rPr>
                <w:i/>
                <w:iCs/>
                <w:vertAlign w:val="subscript"/>
              </w:rPr>
              <w:t>q</w:t>
            </w:r>
            <w:r>
              <w:rPr>
                <w:iCs/>
                <w:vertAlign w:val="subscript"/>
              </w:rPr>
              <w:t xml:space="preserve">  </w:t>
            </w:r>
            <w:r>
              <w:rPr>
                <w:iCs/>
              </w:rPr>
              <w:t>=  (DARUNOBL</w:t>
            </w:r>
            <w:r>
              <w:rPr>
                <w:iCs/>
                <w:vertAlign w:val="subscript"/>
              </w:rPr>
              <w:t xml:space="preserve"> </w:t>
            </w:r>
            <w:r>
              <w:rPr>
                <w:i/>
                <w:iCs/>
                <w:vertAlign w:val="subscript"/>
              </w:rPr>
              <w:t>q</w:t>
            </w:r>
            <w:r>
              <w:rPr>
                <w:iCs/>
              </w:rPr>
              <w:t xml:space="preserve"> -</w:t>
            </w:r>
            <w:r>
              <w:rPr>
                <w:i/>
                <w:iCs/>
                <w:vertAlign w:val="subscript"/>
              </w:rPr>
              <w:t xml:space="preserve"> </w:t>
            </w:r>
            <w:r>
              <w:rPr>
                <w:iCs/>
              </w:rPr>
              <w:t xml:space="preserve">DASARUQ </w:t>
            </w:r>
            <w:r>
              <w:rPr>
                <w:i/>
                <w:iCs/>
                <w:vertAlign w:val="subscript"/>
              </w:rPr>
              <w:t>q</w:t>
            </w:r>
            <w:r>
              <w:rPr>
                <w:iCs/>
              </w:rPr>
              <w:t xml:space="preserve">) * DARUPR - DARUAMT </w:t>
            </w:r>
            <w:r>
              <w:rPr>
                <w:i/>
                <w:iCs/>
                <w:vertAlign w:val="subscript"/>
              </w:rPr>
              <w:t>q</w:t>
            </w:r>
          </w:p>
          <w:p w14:paraId="52311DD9" w14:textId="77777777" w:rsidR="008871B2" w:rsidRDefault="008871B2" w:rsidP="008871B2">
            <w:pPr>
              <w:pStyle w:val="BodyText"/>
              <w:tabs>
                <w:tab w:val="left" w:pos="2340"/>
              </w:tabs>
              <w:rPr>
                <w:iCs w:val="0"/>
                <w:szCs w:val="24"/>
                <w:lang w:val="pt-BR"/>
              </w:rPr>
            </w:pPr>
            <w:r>
              <w:rPr>
                <w:lang w:val="pt-BR"/>
              </w:rPr>
              <w:t>Where:</w:t>
            </w:r>
          </w:p>
          <w:p w14:paraId="4152E127" w14:textId="77777777" w:rsidR="008871B2" w:rsidRDefault="008871B2" w:rsidP="008871B2">
            <w:pPr>
              <w:pStyle w:val="BodyTextNumbered"/>
              <w:ind w:left="1440"/>
              <w:rPr>
                <w:iCs/>
                <w:vertAlign w:val="subscript"/>
              </w:rPr>
            </w:pPr>
            <w:r>
              <w:rPr>
                <w:iCs/>
              </w:rPr>
              <w:t xml:space="preserve">DARUNOBL </w:t>
            </w:r>
            <w:r>
              <w:rPr>
                <w:i/>
                <w:iCs/>
                <w:vertAlign w:val="subscript"/>
              </w:rPr>
              <w:t>q</w:t>
            </w:r>
            <w:r>
              <w:rPr>
                <w:iCs/>
              </w:rPr>
              <w:tab/>
              <w:t>=  DAPCRU</w:t>
            </w:r>
            <w:r>
              <w:rPr>
                <w:iCs/>
                <w:lang w:val="pt-BR"/>
              </w:rPr>
              <w:t xml:space="preserve">QTOT </w:t>
            </w:r>
            <w:r>
              <w:rPr>
                <w:iCs/>
              </w:rPr>
              <w:t xml:space="preserve">* HLRS </w:t>
            </w:r>
            <w:r>
              <w:rPr>
                <w:i/>
                <w:iCs/>
                <w:vertAlign w:val="subscript"/>
              </w:rPr>
              <w:t>q</w:t>
            </w:r>
          </w:p>
          <w:p w14:paraId="23946E69" w14:textId="1B1AB2F4" w:rsidR="008871B2" w:rsidRDefault="008871B2" w:rsidP="008871B2">
            <w:pPr>
              <w:pStyle w:val="BodyTextNumbered"/>
              <w:ind w:left="1440"/>
              <w:rPr>
                <w:iCs/>
                <w:lang w:val="pt-BR"/>
              </w:rPr>
            </w:pPr>
            <w:r>
              <w:rPr>
                <w:iCs/>
              </w:rPr>
              <w:t>DAPCRU</w:t>
            </w:r>
            <w:r>
              <w:rPr>
                <w:iCs/>
                <w:lang w:val="pt-BR"/>
              </w:rPr>
              <w:t>QTOT  =</w:t>
            </w:r>
            <w:r w:rsidR="00443E82" w:rsidRPr="00D476E3">
              <w:rPr>
                <w:iCs/>
                <w:position w:val="-22"/>
              </w:rPr>
              <w:object w:dxaOrig="285" w:dyaOrig="285" w14:anchorId="34420ED6">
                <v:shape id="_x0000_i1358" type="#_x0000_t75" style="width:18pt;height:35.4pt" o:ole="">
                  <v:imagedata r:id="rId445" o:title=""/>
                </v:shape>
                <o:OLEObject Type="Embed" ProgID="Equation.3" ShapeID="_x0000_i1358" DrawAspect="Content" ObjectID="_1804653841" r:id="rId446"/>
              </w:object>
            </w:r>
            <w:r>
              <w:rPr>
                <w:iCs/>
              </w:rPr>
              <w:t xml:space="preserve"> (</w:t>
            </w:r>
            <w:r>
              <w:rPr>
                <w:iCs/>
                <w:position w:val="-18"/>
              </w:rPr>
              <w:object w:dxaOrig="285" w:dyaOrig="570" w14:anchorId="7A48EF3C">
                <v:shape id="_x0000_i1359" type="#_x0000_t75" style="width:12pt;height:30pt" o:ole="">
                  <v:imagedata r:id="rId386" o:title=""/>
                </v:shape>
                <o:OLEObject Type="Embed" ProgID="Equation.3" ShapeID="_x0000_i1359" DrawAspect="Content" ObjectID="_1804653842" r:id="rId447"/>
              </w:object>
            </w:r>
            <w:r>
              <w:rPr>
                <w:iCs/>
              </w:rPr>
              <w:t>PCRUR</w:t>
            </w:r>
            <w:r>
              <w:rPr>
                <w:i/>
                <w:iCs/>
              </w:rPr>
              <w:t xml:space="preserve"> </w:t>
            </w:r>
            <w:r>
              <w:rPr>
                <w:i/>
                <w:iCs/>
                <w:vertAlign w:val="subscript"/>
              </w:rPr>
              <w:t>r, q, DAM</w:t>
            </w:r>
            <w:r>
              <w:rPr>
                <w:iCs/>
              </w:rPr>
              <w:t xml:space="preserve"> </w:t>
            </w:r>
            <w:r>
              <w:rPr>
                <w:i/>
                <w:iCs/>
              </w:rPr>
              <w:t xml:space="preserve">+ </w:t>
            </w:r>
            <w:r>
              <w:rPr>
                <w:iCs/>
              </w:rPr>
              <w:t xml:space="preserve">DARUOAWD </w:t>
            </w:r>
            <w:r>
              <w:rPr>
                <w:i/>
                <w:iCs/>
                <w:vertAlign w:val="subscript"/>
              </w:rPr>
              <w:t xml:space="preserve">q </w:t>
            </w:r>
            <w:r>
              <w:rPr>
                <w:iCs/>
              </w:rPr>
              <w:t>+</w:t>
            </w:r>
            <w:r>
              <w:rPr>
                <w:i/>
                <w:iCs/>
                <w:vertAlign w:val="subscript"/>
              </w:rPr>
              <w:t xml:space="preserve"> </w:t>
            </w:r>
            <w:r>
              <w:rPr>
                <w:iCs/>
              </w:rPr>
              <w:t xml:space="preserve">DASARUQ </w:t>
            </w:r>
            <w:r>
              <w:rPr>
                <w:i/>
                <w:iCs/>
                <w:vertAlign w:val="subscript"/>
              </w:rPr>
              <w:t>q</w:t>
            </w:r>
            <w:r>
              <w:rPr>
                <w:iCs/>
                <w:color w:val="000000"/>
              </w:rPr>
              <w:t xml:space="preserve">) </w:t>
            </w:r>
          </w:p>
          <w:p w14:paraId="105C7270"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1761AAF"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459EE052"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7B10750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41660261" w14:textId="77777777" w:rsidR="008871B2" w:rsidRDefault="008871B2" w:rsidP="008871B2">
                  <w:pPr>
                    <w:pStyle w:val="TableHead"/>
                  </w:pPr>
                  <w:r>
                    <w:t>Description</w:t>
                  </w:r>
                </w:p>
              </w:tc>
            </w:tr>
            <w:tr w:rsidR="008871B2" w14:paraId="1193686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AEA5E14" w14:textId="77777777" w:rsidR="008871B2" w:rsidRPr="001F5155" w:rsidRDefault="008871B2" w:rsidP="008871B2">
                  <w:pPr>
                    <w:pStyle w:val="TableBody"/>
                  </w:pPr>
                  <w:r w:rsidRPr="00221A13">
                    <w:t xml:space="preserve">DARTPCRUAMT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C27E91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2257202" w14:textId="170BA937" w:rsidR="008871B2" w:rsidRDefault="008871B2" w:rsidP="008871B2">
                  <w:pPr>
                    <w:pStyle w:val="TableBody"/>
                  </w:pPr>
                  <w:r>
                    <w:rPr>
                      <w:i/>
                    </w:rPr>
                    <w:t>Day-Ahead Updated Real-Time Procured Capacity for Reg-Up Amount by QSE</w:t>
                  </w:r>
                  <w:r w:rsidR="00AA0DDA" w:rsidRPr="00A552C3">
                    <w:t>—</w:t>
                  </w:r>
                  <w:r>
                    <w:t xml:space="preserve">The payment or charge to QSE </w:t>
                  </w:r>
                  <w:r>
                    <w:rPr>
                      <w:i/>
                    </w:rPr>
                    <w:t>q</w:t>
                  </w:r>
                  <w:r>
                    <w:t xml:space="preserve"> for Reg-Up, for the re-calculated Real-Time obligation, for the Operating Hour.</w:t>
                  </w:r>
                </w:p>
              </w:tc>
            </w:tr>
            <w:tr w:rsidR="008871B2" w14:paraId="6AD4BE4B"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F1921AA" w14:textId="77777777" w:rsidR="008871B2" w:rsidRDefault="008871B2" w:rsidP="008871B2">
                  <w:pPr>
                    <w:pStyle w:val="TableBody"/>
                  </w:pPr>
                  <w:r>
                    <w:t>DARUPR</w:t>
                  </w:r>
                </w:p>
              </w:tc>
              <w:tc>
                <w:tcPr>
                  <w:tcW w:w="990" w:type="dxa"/>
                  <w:tcBorders>
                    <w:top w:val="single" w:sz="4" w:space="0" w:color="auto"/>
                    <w:left w:val="single" w:sz="4" w:space="0" w:color="auto"/>
                    <w:bottom w:val="single" w:sz="4" w:space="0" w:color="auto"/>
                    <w:right w:val="single" w:sz="4" w:space="0" w:color="auto"/>
                  </w:tcBorders>
                  <w:hideMark/>
                </w:tcPr>
                <w:p w14:paraId="622D6653"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02BB69C1" w14:textId="77777777" w:rsidR="008871B2" w:rsidRDefault="008871B2" w:rsidP="008871B2">
                  <w:pPr>
                    <w:pStyle w:val="TableBody"/>
                    <w:rPr>
                      <w:i/>
                    </w:rPr>
                  </w:pPr>
                  <w:r>
                    <w:rPr>
                      <w:i/>
                    </w:rPr>
                    <w:t>Day-Ahead Reg-Up Price</w:t>
                  </w:r>
                  <w:r>
                    <w:t>—The DAM Reg-Up price for the Operating Hour.</w:t>
                  </w:r>
                </w:p>
              </w:tc>
            </w:tr>
            <w:tr w:rsidR="008871B2" w14:paraId="79752A2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E953164" w14:textId="77777777" w:rsidR="008871B2" w:rsidRDefault="008871B2" w:rsidP="008871B2">
                  <w:pPr>
                    <w:pStyle w:val="TableBody"/>
                  </w:pPr>
                  <w:r>
                    <w:t>DARUNOBL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C94BAB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30CB11C3" w14:textId="77777777" w:rsidR="008871B2" w:rsidRDefault="008871B2" w:rsidP="008871B2">
                  <w:pPr>
                    <w:pStyle w:val="TableBody"/>
                    <w:rPr>
                      <w:i/>
                    </w:rPr>
                  </w:pPr>
                  <w:r>
                    <w:rPr>
                      <w:i/>
                    </w:rPr>
                    <w:t>Day-Ahead Reg-Up New Obligation per QSE—</w:t>
                  </w:r>
                  <w:r>
                    <w:t xml:space="preserve">The updated Reg-Up Ancillary Service Obligation in Real-Time for QSE </w:t>
                  </w:r>
                  <w:r>
                    <w:rPr>
                      <w:i/>
                    </w:rPr>
                    <w:t>q</w:t>
                  </w:r>
                  <w:r>
                    <w:t xml:space="preserve"> for the Operating Hour.</w:t>
                  </w:r>
                </w:p>
              </w:tc>
            </w:tr>
            <w:tr w:rsidR="008871B2" w14:paraId="126144B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EDFCD00" w14:textId="77777777" w:rsidR="008871B2" w:rsidRDefault="008871B2" w:rsidP="008871B2">
                  <w:pPr>
                    <w:pStyle w:val="TableBody"/>
                    <w:rPr>
                      <w:i/>
                    </w:rPr>
                  </w:pPr>
                  <w:r>
                    <w:t xml:space="preserve">DARUAMT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AC84B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41165FAD" w14:textId="77777777" w:rsidR="008871B2" w:rsidRDefault="008871B2" w:rsidP="008871B2">
                  <w:pPr>
                    <w:pStyle w:val="TableBody"/>
                  </w:pPr>
                  <w:r>
                    <w:rPr>
                      <w:i/>
                    </w:rPr>
                    <w:t>Day-Ahead Reg-Up Amount per QSE</w:t>
                  </w:r>
                  <w:r>
                    <w:t xml:space="preserve">—QSE </w:t>
                  </w:r>
                  <w:r>
                    <w:rPr>
                      <w:i/>
                    </w:rPr>
                    <w:t>q</w:t>
                  </w:r>
                  <w:r>
                    <w:t>’s share of the DAM costs for Reg-Up for the Operating Hour.</w:t>
                  </w:r>
                </w:p>
              </w:tc>
            </w:tr>
            <w:tr w:rsidR="008871B2" w14:paraId="1EEFC1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96FF25" w14:textId="77777777" w:rsidR="008871B2" w:rsidRDefault="008871B2" w:rsidP="008871B2">
                  <w:pPr>
                    <w:pStyle w:val="TableBody"/>
                  </w:pPr>
                  <w:r>
                    <w:t xml:space="preserve">PCRUR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3C70B4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6087EA7" w14:textId="77777777" w:rsidR="008871B2" w:rsidRDefault="008871B2" w:rsidP="008871B2">
                  <w:pPr>
                    <w:pStyle w:val="TableBody"/>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8871B2" w14:paraId="39A63D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ECD2D1D" w14:textId="77777777" w:rsidR="008871B2" w:rsidRDefault="008871B2" w:rsidP="008871B2">
                  <w:pPr>
                    <w:pStyle w:val="TableBody"/>
                  </w:pPr>
                  <w:r>
                    <w:t xml:space="preserve">DARUOAWD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048B03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F9DF3FF" w14:textId="6D9E395F" w:rsidR="008871B2" w:rsidRDefault="008871B2" w:rsidP="008871B2">
                  <w:pPr>
                    <w:pStyle w:val="TableBody"/>
                    <w:rPr>
                      <w:i/>
                    </w:rPr>
                  </w:pPr>
                  <w:r>
                    <w:rPr>
                      <w:i/>
                    </w:rPr>
                    <w:t>Day-Ahead Reg-Up Award for the QSE</w:t>
                  </w:r>
                  <w:r>
                    <w:t xml:space="preserve">—The Reg-Up Only capacity awarded in the DAM to QSE </w:t>
                  </w:r>
                  <w:r>
                    <w:rPr>
                      <w:i/>
                    </w:rPr>
                    <w:t>q</w:t>
                  </w:r>
                  <w:r>
                    <w:t xml:space="preserve"> for the Operating Hour.</w:t>
                  </w:r>
                </w:p>
              </w:tc>
            </w:tr>
            <w:tr w:rsidR="008871B2" w14:paraId="314E3385"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98B8221" w14:textId="77777777" w:rsidR="008871B2" w:rsidRDefault="008871B2" w:rsidP="008871B2">
                  <w:pPr>
                    <w:pStyle w:val="TableBody"/>
                  </w:pPr>
                  <w:r>
                    <w:lastRenderedPageBreak/>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380BF1D2"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48EA38"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for the Operating Hour.</w:t>
                  </w:r>
                </w:p>
              </w:tc>
            </w:tr>
            <w:tr w:rsidR="008871B2" w14:paraId="023B70B6"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01B529B" w14:textId="77777777" w:rsidR="008871B2" w:rsidRDefault="008871B2" w:rsidP="008871B2">
                  <w:pPr>
                    <w:pStyle w:val="TableBody"/>
                  </w:pPr>
                  <w:r>
                    <w:t xml:space="preserve">DAPCRUQTOT  </w:t>
                  </w:r>
                </w:p>
              </w:tc>
              <w:tc>
                <w:tcPr>
                  <w:tcW w:w="990" w:type="dxa"/>
                  <w:tcBorders>
                    <w:top w:val="single" w:sz="4" w:space="0" w:color="auto"/>
                    <w:left w:val="single" w:sz="4" w:space="0" w:color="auto"/>
                    <w:bottom w:val="single" w:sz="4" w:space="0" w:color="auto"/>
                    <w:right w:val="single" w:sz="4" w:space="0" w:color="auto"/>
                  </w:tcBorders>
                  <w:hideMark/>
                </w:tcPr>
                <w:p w14:paraId="533CBD4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C354240" w14:textId="77777777" w:rsidR="008871B2" w:rsidRDefault="008871B2" w:rsidP="008871B2">
                  <w:pPr>
                    <w:pStyle w:val="TableBody"/>
                    <w:rPr>
                      <w:i/>
                    </w:rPr>
                  </w:pPr>
                  <w:r>
                    <w:rPr>
                      <w:i/>
                    </w:rPr>
                    <w:t>Day-Ahead Procured Capacity for Reg-Up Total</w:t>
                  </w:r>
                  <w:r>
                    <w:t>—The total Reg-Up capacity for all QSEs for all Reg-Up awarded and self-arranged in the DAM for the Operating Hour.</w:t>
                  </w:r>
                </w:p>
              </w:tc>
            </w:tr>
            <w:tr w:rsidR="008871B2" w14:paraId="65DE8E72"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D5FB954" w14:textId="77777777" w:rsidR="008871B2" w:rsidRDefault="008871B2" w:rsidP="008871B2">
                  <w:pPr>
                    <w:pStyle w:val="TableBody"/>
                  </w:pPr>
                  <w:r>
                    <w:t xml:space="preserve">DASARUQ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C55A2B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C50E143" w14:textId="77777777" w:rsidR="008871B2" w:rsidRDefault="008871B2" w:rsidP="008871B2">
                  <w:pPr>
                    <w:pStyle w:val="TableBody"/>
                    <w:rPr>
                      <w:i/>
                    </w:rPr>
                  </w:pPr>
                  <w:r>
                    <w:rPr>
                      <w:i/>
                    </w:rPr>
                    <w:t>Day-Ahead Self-Arranged Reg-Up Quantity per QSE</w:t>
                  </w:r>
                  <w:r>
                    <w:t xml:space="preserve">—The self-arranged Reg-Up capacity submitted by QSE </w:t>
                  </w:r>
                  <w:r>
                    <w:rPr>
                      <w:i/>
                    </w:rPr>
                    <w:t>q</w:t>
                  </w:r>
                  <w:r>
                    <w:t xml:space="preserve"> before 1000 in the DAM for the Operating Hour.</w:t>
                  </w:r>
                </w:p>
              </w:tc>
            </w:tr>
            <w:tr w:rsidR="008871B2" w14:paraId="719D1500"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60B93B7"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52EA754"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9D5FED0" w14:textId="77777777" w:rsidR="008871B2" w:rsidRDefault="008871B2" w:rsidP="008871B2">
                  <w:pPr>
                    <w:pStyle w:val="TableBody"/>
                  </w:pPr>
                  <w:r>
                    <w:t>A QSE.</w:t>
                  </w:r>
                </w:p>
              </w:tc>
            </w:tr>
            <w:tr w:rsidR="008871B2" w14:paraId="275288E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23B9DFB"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4287F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10A1B968" w14:textId="77777777" w:rsidR="008871B2" w:rsidRDefault="008871B2" w:rsidP="008871B2">
                  <w:pPr>
                    <w:pStyle w:val="TableBody"/>
                  </w:pPr>
                  <w:r>
                    <w:t>A Resource.</w:t>
                  </w:r>
                </w:p>
              </w:tc>
            </w:tr>
          </w:tbl>
          <w:p w14:paraId="245AA949" w14:textId="77777777" w:rsidR="008871B2" w:rsidRDefault="008871B2" w:rsidP="008871B2">
            <w:pPr>
              <w:pStyle w:val="BodyTextNumbered"/>
              <w:spacing w:before="240"/>
              <w:ind w:left="1440"/>
              <w:rPr>
                <w:iCs/>
              </w:rPr>
            </w:pPr>
            <w:r>
              <w:rPr>
                <w:iCs/>
              </w:rPr>
              <w:t>(b)</w:t>
            </w:r>
            <w:r>
              <w:rPr>
                <w:iCs/>
              </w:rPr>
              <w:tab/>
              <w:t>For Regulation Down Service (Reg-Down), if applicable:</w:t>
            </w:r>
          </w:p>
          <w:p w14:paraId="451D252B" w14:textId="77777777" w:rsidR="008871B2" w:rsidRDefault="008871B2" w:rsidP="008871B2">
            <w:pPr>
              <w:pStyle w:val="BodyTextNumbered"/>
              <w:ind w:left="1440"/>
              <w:rPr>
                <w:iCs/>
              </w:rPr>
            </w:pPr>
            <w:r>
              <w:rPr>
                <w:iCs/>
              </w:rPr>
              <w:t xml:space="preserve">DARTPCRDAMT </w:t>
            </w:r>
            <w:r>
              <w:rPr>
                <w:i/>
                <w:iCs/>
                <w:vertAlign w:val="subscript"/>
              </w:rPr>
              <w:t>q</w:t>
            </w:r>
            <w:r>
              <w:rPr>
                <w:iCs/>
                <w:vertAlign w:val="subscript"/>
              </w:rPr>
              <w:t xml:space="preserve"> </w:t>
            </w:r>
            <w:r>
              <w:rPr>
                <w:iCs/>
              </w:rPr>
              <w:t>= (DARDNOBL</w:t>
            </w:r>
            <w:r>
              <w:rPr>
                <w:iCs/>
                <w:vertAlign w:val="subscript"/>
              </w:rPr>
              <w:t xml:space="preserve"> </w:t>
            </w:r>
            <w:r>
              <w:rPr>
                <w:i/>
                <w:iCs/>
                <w:vertAlign w:val="subscript"/>
              </w:rPr>
              <w:t>q</w:t>
            </w:r>
            <w:r>
              <w:rPr>
                <w:iCs/>
                <w:vertAlign w:val="subscript"/>
              </w:rPr>
              <w:t xml:space="preserve"> </w:t>
            </w:r>
            <w:r>
              <w:rPr>
                <w:iCs/>
              </w:rPr>
              <w:t xml:space="preserve">- DASARDQ </w:t>
            </w:r>
            <w:r>
              <w:rPr>
                <w:i/>
                <w:iCs/>
                <w:vertAlign w:val="subscript"/>
              </w:rPr>
              <w:t>q</w:t>
            </w:r>
            <w:r>
              <w:rPr>
                <w:iCs/>
              </w:rPr>
              <w:t xml:space="preserve">) * DARDPR - DARDAMT </w:t>
            </w:r>
            <w:r>
              <w:rPr>
                <w:i/>
                <w:iCs/>
                <w:vertAlign w:val="subscript"/>
              </w:rPr>
              <w:t>q</w:t>
            </w:r>
          </w:p>
          <w:p w14:paraId="0A27BFB0" w14:textId="77777777" w:rsidR="008871B2" w:rsidRDefault="008871B2" w:rsidP="008871B2">
            <w:pPr>
              <w:pStyle w:val="BodyText"/>
              <w:rPr>
                <w:iCs w:val="0"/>
                <w:szCs w:val="24"/>
                <w:lang w:val="pt-BR"/>
              </w:rPr>
            </w:pPr>
            <w:r>
              <w:rPr>
                <w:lang w:val="pt-BR"/>
              </w:rPr>
              <w:t>Where:</w:t>
            </w:r>
          </w:p>
          <w:p w14:paraId="31F166FB" w14:textId="77777777" w:rsidR="008871B2" w:rsidRDefault="008871B2" w:rsidP="008871B2">
            <w:pPr>
              <w:pStyle w:val="BodyTextNumbered"/>
              <w:ind w:left="1440"/>
              <w:rPr>
                <w:iCs/>
              </w:rPr>
            </w:pPr>
            <w:r>
              <w:rPr>
                <w:iCs/>
              </w:rPr>
              <w:t xml:space="preserve">DARDNOBL </w:t>
            </w:r>
            <w:r>
              <w:rPr>
                <w:i/>
                <w:iCs/>
                <w:vertAlign w:val="subscript"/>
              </w:rPr>
              <w:t xml:space="preserve">q     </w:t>
            </w:r>
            <w:r>
              <w:rPr>
                <w:iCs/>
              </w:rPr>
              <w:t xml:space="preserve">=  DAPCRDQTOT * HLRS </w:t>
            </w:r>
            <w:r>
              <w:rPr>
                <w:i/>
                <w:iCs/>
                <w:vertAlign w:val="subscript"/>
              </w:rPr>
              <w:t>q</w:t>
            </w:r>
            <w:r>
              <w:rPr>
                <w:iCs/>
              </w:rPr>
              <w:t xml:space="preserve"> </w:t>
            </w:r>
          </w:p>
          <w:p w14:paraId="15086CD3" w14:textId="1AF84C21" w:rsidR="008871B2" w:rsidRDefault="008871B2" w:rsidP="008871B2">
            <w:pPr>
              <w:pStyle w:val="BodyTextNumbered"/>
              <w:ind w:left="1440"/>
              <w:rPr>
                <w:iCs/>
              </w:rPr>
            </w:pPr>
            <w:r>
              <w:rPr>
                <w:iCs/>
              </w:rPr>
              <w:t xml:space="preserve">DAPCRDQTOT       = </w:t>
            </w:r>
            <w:r w:rsidR="00443E82" w:rsidRPr="00443E82">
              <w:rPr>
                <w:iCs/>
                <w:position w:val="-22"/>
              </w:rPr>
              <w:object w:dxaOrig="285" w:dyaOrig="285" w14:anchorId="5B0EC383">
                <v:shape id="_x0000_i1360" type="#_x0000_t75" style="width:30pt;height:30pt" o:ole="">
                  <v:imagedata r:id="rId445" o:title=""/>
                </v:shape>
                <o:OLEObject Type="Embed" ProgID="Equation.3" ShapeID="_x0000_i1360" DrawAspect="Content" ObjectID="_1804653843" r:id="rId448"/>
              </w:object>
            </w:r>
            <w:r>
              <w:rPr>
                <w:iCs/>
              </w:rPr>
              <w:t xml:space="preserve"> (</w:t>
            </w:r>
            <w:r>
              <w:rPr>
                <w:iCs/>
                <w:position w:val="-18"/>
              </w:rPr>
              <w:object w:dxaOrig="285" w:dyaOrig="570" w14:anchorId="606F5606">
                <v:shape id="_x0000_i1361" type="#_x0000_t75" style="width:12pt;height:30pt" o:ole="">
                  <v:imagedata r:id="rId386" o:title=""/>
                </v:shape>
                <o:OLEObject Type="Embed" ProgID="Equation.3" ShapeID="_x0000_i1361" DrawAspect="Content" ObjectID="_1804653844" r:id="rId449"/>
              </w:object>
            </w:r>
            <w:r>
              <w:rPr>
                <w:iCs/>
              </w:rPr>
              <w:t>PCRDR</w:t>
            </w:r>
            <w:r>
              <w:rPr>
                <w:i/>
                <w:iCs/>
              </w:rPr>
              <w:t xml:space="preserve"> </w:t>
            </w:r>
            <w:r>
              <w:rPr>
                <w:i/>
                <w:iCs/>
                <w:vertAlign w:val="subscript"/>
              </w:rPr>
              <w:t>r, q, DAM</w:t>
            </w:r>
            <w:r>
              <w:rPr>
                <w:iCs/>
              </w:rPr>
              <w:t xml:space="preserve"> + DARDOAWD </w:t>
            </w:r>
            <w:r>
              <w:rPr>
                <w:i/>
                <w:iCs/>
                <w:vertAlign w:val="subscript"/>
              </w:rPr>
              <w:t>q</w:t>
            </w:r>
            <w:r>
              <w:rPr>
                <w:iCs/>
              </w:rPr>
              <w:t xml:space="preserve"> + DASARDQ </w:t>
            </w:r>
            <w:r>
              <w:rPr>
                <w:i/>
                <w:iCs/>
                <w:vertAlign w:val="subscript"/>
              </w:rPr>
              <w:t>q</w:t>
            </w:r>
            <w:r>
              <w:rPr>
                <w:iCs/>
              </w:rPr>
              <w:t>)</w:t>
            </w:r>
          </w:p>
          <w:p w14:paraId="7F43929F" w14:textId="77777777" w:rsidR="008871B2" w:rsidRDefault="008871B2" w:rsidP="008871B2">
            <w:pPr>
              <w:pStyle w:val="BodyText"/>
              <w:spacing w:after="0"/>
              <w:rPr>
                <w:iCs w:val="0"/>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B89EC9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5E5CD1E6"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29ED5360"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0A45628" w14:textId="77777777" w:rsidR="008871B2" w:rsidRDefault="008871B2" w:rsidP="008871B2">
                  <w:pPr>
                    <w:pStyle w:val="TableHead"/>
                  </w:pPr>
                  <w:r>
                    <w:t>Description</w:t>
                  </w:r>
                </w:p>
              </w:tc>
            </w:tr>
            <w:tr w:rsidR="008871B2" w14:paraId="0BDB5B5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45451459" w14:textId="77777777" w:rsidR="008871B2" w:rsidRPr="001F5155" w:rsidRDefault="008871B2" w:rsidP="008871B2">
                  <w:pPr>
                    <w:pStyle w:val="TableBody"/>
                  </w:pPr>
                  <w:r w:rsidRPr="00221A13">
                    <w:t xml:space="preserve">DARTPCRDAMT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62A717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5501250" w14:textId="7C0EF15B" w:rsidR="008871B2" w:rsidRDefault="008871B2" w:rsidP="008871B2">
                  <w:pPr>
                    <w:pStyle w:val="TableBody"/>
                  </w:pPr>
                  <w:r>
                    <w:rPr>
                      <w:i/>
                    </w:rPr>
                    <w:t>Day-Ahead Updated Real-Time Procured Capacity for Reg-Down Amount by QSE</w:t>
                  </w:r>
                  <w:r w:rsidR="00CF4B13" w:rsidRPr="00A552C3">
                    <w:t>—</w:t>
                  </w:r>
                  <w:r>
                    <w:t xml:space="preserve">The payment or charge to QSE </w:t>
                  </w:r>
                  <w:r>
                    <w:rPr>
                      <w:i/>
                    </w:rPr>
                    <w:t>q</w:t>
                  </w:r>
                  <w:r>
                    <w:t xml:space="preserve"> for Reg-Down, for the re-calculated Real-Time obligation, for the Operating Hour.</w:t>
                  </w:r>
                </w:p>
              </w:tc>
            </w:tr>
            <w:tr w:rsidR="008871B2" w14:paraId="604FFADA"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4C9928" w14:textId="77777777" w:rsidR="008871B2" w:rsidRDefault="008871B2" w:rsidP="008871B2">
                  <w:pPr>
                    <w:pStyle w:val="TableBody"/>
                  </w:pPr>
                  <w:r>
                    <w:t>DARDPR</w:t>
                  </w:r>
                </w:p>
              </w:tc>
              <w:tc>
                <w:tcPr>
                  <w:tcW w:w="990" w:type="dxa"/>
                  <w:tcBorders>
                    <w:top w:val="single" w:sz="4" w:space="0" w:color="auto"/>
                    <w:left w:val="single" w:sz="4" w:space="0" w:color="auto"/>
                    <w:bottom w:val="single" w:sz="4" w:space="0" w:color="auto"/>
                    <w:right w:val="single" w:sz="4" w:space="0" w:color="auto"/>
                  </w:tcBorders>
                  <w:hideMark/>
                </w:tcPr>
                <w:p w14:paraId="0A9C9157"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3380692F" w14:textId="77777777" w:rsidR="008871B2" w:rsidRDefault="008871B2" w:rsidP="008871B2">
                  <w:pPr>
                    <w:pStyle w:val="TableBody"/>
                    <w:rPr>
                      <w:i/>
                    </w:rPr>
                  </w:pPr>
                  <w:r>
                    <w:rPr>
                      <w:i/>
                    </w:rPr>
                    <w:t>Day-Ahead Reg-Down Price</w:t>
                  </w:r>
                  <w:r>
                    <w:t>—The DAM Reg-Down price for the Operating Hour.</w:t>
                  </w:r>
                </w:p>
              </w:tc>
            </w:tr>
            <w:tr w:rsidR="008871B2" w14:paraId="63A073A4"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75761AC" w14:textId="77777777" w:rsidR="008871B2" w:rsidRDefault="008871B2" w:rsidP="008871B2">
                  <w:pPr>
                    <w:pStyle w:val="TableBody"/>
                  </w:pPr>
                  <w:r>
                    <w:t>DARDNOBL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E4AF393"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6F446A" w14:textId="77E8F38D" w:rsidR="008871B2" w:rsidRDefault="008871B2" w:rsidP="0014600D">
                  <w:pPr>
                    <w:pStyle w:val="TableBody"/>
                    <w:rPr>
                      <w:i/>
                    </w:rPr>
                  </w:pPr>
                  <w:r>
                    <w:rPr>
                      <w:i/>
                    </w:rPr>
                    <w:t>Day-Ahead Reg-Down New Obligation per QSE—</w:t>
                  </w:r>
                  <w:r>
                    <w:t xml:space="preserve">The updated Reg-Down Ancillary Service Obligation in Real-Time, for QSE </w:t>
                  </w:r>
                  <w:r w:rsidRPr="00221A13">
                    <w:rPr>
                      <w:i/>
                    </w:rPr>
                    <w:t>q</w:t>
                  </w:r>
                  <w:r>
                    <w:t>, for the Operating Hour.</w:t>
                  </w:r>
                </w:p>
              </w:tc>
            </w:tr>
            <w:tr w:rsidR="008871B2" w14:paraId="36C8DA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D815251" w14:textId="77777777" w:rsidR="008871B2" w:rsidRDefault="008871B2" w:rsidP="008871B2">
                  <w:pPr>
                    <w:pStyle w:val="TableBody"/>
                    <w:rPr>
                      <w:i/>
                    </w:rPr>
                  </w:pPr>
                  <w:r>
                    <w:t xml:space="preserve">DARDAMT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53FAA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68DBE42" w14:textId="77777777" w:rsidR="008871B2" w:rsidRDefault="008871B2" w:rsidP="008871B2">
                  <w:pPr>
                    <w:pStyle w:val="TableBody"/>
                  </w:pPr>
                  <w:r>
                    <w:rPr>
                      <w:i/>
                    </w:rPr>
                    <w:t>Day-Ahead Reg-Down Amount per QSE</w:t>
                  </w:r>
                  <w:r>
                    <w:t xml:space="preserve">—QSE </w:t>
                  </w:r>
                  <w:r>
                    <w:rPr>
                      <w:i/>
                    </w:rPr>
                    <w:t>q</w:t>
                  </w:r>
                  <w:r>
                    <w:t>’s share of the DAM cost for Reg-Down, for the Operating Hour.</w:t>
                  </w:r>
                </w:p>
              </w:tc>
            </w:tr>
            <w:tr w:rsidR="008871B2" w14:paraId="7DF153B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276D35B" w14:textId="77777777" w:rsidR="008871B2" w:rsidRDefault="008871B2" w:rsidP="008871B2">
                  <w:pPr>
                    <w:pStyle w:val="TableBody"/>
                  </w:pPr>
                  <w:r>
                    <w:t xml:space="preserve">PCRDR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97379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B3CFE37" w14:textId="77777777" w:rsidR="008871B2" w:rsidRDefault="008871B2" w:rsidP="008871B2">
                  <w:pPr>
                    <w:pStyle w:val="TableBody"/>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51D63C3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E25046C" w14:textId="77777777" w:rsidR="008871B2" w:rsidRDefault="008871B2" w:rsidP="008871B2">
                  <w:pPr>
                    <w:pStyle w:val="TableBody"/>
                  </w:pPr>
                  <w:r>
                    <w:t xml:space="preserve">DARDOAWD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D276997"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0AB533" w14:textId="14A607F1" w:rsidR="008871B2" w:rsidRDefault="008871B2" w:rsidP="008871B2">
                  <w:pPr>
                    <w:pStyle w:val="TableBody"/>
                  </w:pPr>
                  <w:r>
                    <w:rPr>
                      <w:i/>
                    </w:rPr>
                    <w:t>Day-Ahead Reg-Down Only Award for the QSE</w:t>
                  </w:r>
                  <w:r>
                    <w:t xml:space="preserve">—The Reg-Down Only capacity awarded in the DAM to QSE </w:t>
                  </w:r>
                  <w:r>
                    <w:rPr>
                      <w:i/>
                    </w:rPr>
                    <w:t>q</w:t>
                  </w:r>
                  <w:r>
                    <w:t xml:space="preserve"> for the Operating Hour.</w:t>
                  </w:r>
                </w:p>
              </w:tc>
            </w:tr>
            <w:tr w:rsidR="008871B2" w14:paraId="781986F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2D1104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49695445"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8D2BFEB" w14:textId="132C21B8" w:rsidR="008871B2" w:rsidRDefault="008871B2" w:rsidP="008871B2">
                  <w:pPr>
                    <w:pStyle w:val="TableBody"/>
                  </w:pPr>
                  <w:r>
                    <w:rPr>
                      <w:i/>
                    </w:rPr>
                    <w:t>Hourly Load Ratio Share per QSE</w:t>
                  </w:r>
                  <w:r>
                    <w:t>—The Real-Time as defined in Section 6.6.2.4, QSE Load Ratio Share for an Operating Hour</w:t>
                  </w:r>
                  <w:r w:rsidR="000D534C">
                    <w:t>,</w:t>
                  </w:r>
                  <w:r>
                    <w:t xml:space="preserve"> for QSE </w:t>
                  </w:r>
                  <w:r>
                    <w:rPr>
                      <w:i/>
                    </w:rPr>
                    <w:t>q</w:t>
                  </w:r>
                  <w:r>
                    <w:t>, for the Operating Hour.</w:t>
                  </w:r>
                </w:p>
              </w:tc>
            </w:tr>
            <w:tr w:rsidR="008871B2" w14:paraId="15B03B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5AACF6" w14:textId="77777777" w:rsidR="008871B2" w:rsidRDefault="008871B2" w:rsidP="008871B2">
                  <w:pPr>
                    <w:pStyle w:val="TableBody"/>
                  </w:pPr>
                  <w:r>
                    <w:t xml:space="preserve">DAPCRDQTOT  </w:t>
                  </w:r>
                </w:p>
              </w:tc>
              <w:tc>
                <w:tcPr>
                  <w:tcW w:w="990" w:type="dxa"/>
                  <w:tcBorders>
                    <w:top w:val="single" w:sz="4" w:space="0" w:color="auto"/>
                    <w:left w:val="single" w:sz="4" w:space="0" w:color="auto"/>
                    <w:bottom w:val="single" w:sz="4" w:space="0" w:color="auto"/>
                    <w:right w:val="single" w:sz="4" w:space="0" w:color="auto"/>
                  </w:tcBorders>
                  <w:hideMark/>
                </w:tcPr>
                <w:p w14:paraId="5FAA11F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A7F0359" w14:textId="77777777" w:rsidR="008871B2" w:rsidRDefault="008871B2" w:rsidP="008871B2">
                  <w:pPr>
                    <w:pStyle w:val="TableBody"/>
                    <w:rPr>
                      <w:i/>
                    </w:rPr>
                  </w:pPr>
                  <w:r>
                    <w:rPr>
                      <w:i/>
                    </w:rPr>
                    <w:t>Day-Ahead Procured Capacity for Reg-Down Total</w:t>
                  </w:r>
                  <w:r>
                    <w:t>—The total Reg-Down capacity for all QSEs for all Reg-Down awarded and self-arranged, in the DAM for the Operating Hour.</w:t>
                  </w:r>
                </w:p>
              </w:tc>
            </w:tr>
            <w:tr w:rsidR="008871B2" w14:paraId="2B98D3D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4D5899C" w14:textId="77777777" w:rsidR="008871B2" w:rsidRDefault="008871B2" w:rsidP="008871B2">
                  <w:pPr>
                    <w:pStyle w:val="TableBody"/>
                  </w:pPr>
                  <w:r>
                    <w:lastRenderedPageBreak/>
                    <w:t xml:space="preserve">DASARDQ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F0CE82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D323E9D" w14:textId="77777777" w:rsidR="008871B2" w:rsidRDefault="008871B2" w:rsidP="008871B2">
                  <w:pPr>
                    <w:pStyle w:val="TableBody"/>
                  </w:pPr>
                  <w:r>
                    <w:rPr>
                      <w:i/>
                    </w:rPr>
                    <w:t>Day-Ahead Self-Arranged Reg-Down Quantity per QSE</w:t>
                  </w:r>
                  <w:r>
                    <w:t xml:space="preserve">—The self-arranged Reg-Down capacity submitted by QSE </w:t>
                  </w:r>
                  <w:r>
                    <w:rPr>
                      <w:i/>
                    </w:rPr>
                    <w:t>q</w:t>
                  </w:r>
                  <w:r>
                    <w:t xml:space="preserve"> before 1000 in the DAM for the Operating Hour.</w:t>
                  </w:r>
                </w:p>
              </w:tc>
            </w:tr>
            <w:tr w:rsidR="008871B2" w14:paraId="75773BD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103D1E6"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98228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9712A79" w14:textId="77777777" w:rsidR="008871B2" w:rsidRDefault="008871B2" w:rsidP="008871B2">
                  <w:pPr>
                    <w:pStyle w:val="TableBody"/>
                  </w:pPr>
                  <w:r>
                    <w:t>A QSE.</w:t>
                  </w:r>
                </w:p>
              </w:tc>
            </w:tr>
            <w:tr w:rsidR="008871B2" w14:paraId="13B7D699"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A3FD024"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7D20ECE3"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32CAB62" w14:textId="77777777" w:rsidR="008871B2" w:rsidRDefault="008871B2" w:rsidP="008871B2">
                  <w:pPr>
                    <w:pStyle w:val="TableBody"/>
                  </w:pPr>
                  <w:r>
                    <w:t>A Resource.</w:t>
                  </w:r>
                </w:p>
              </w:tc>
            </w:tr>
          </w:tbl>
          <w:p w14:paraId="0EB07923" w14:textId="77777777" w:rsidR="008871B2" w:rsidRDefault="008871B2" w:rsidP="008871B2">
            <w:pPr>
              <w:pStyle w:val="BodyTextNumbered"/>
              <w:spacing w:before="240"/>
              <w:ind w:left="1440"/>
              <w:rPr>
                <w:iCs/>
              </w:rPr>
            </w:pPr>
            <w:r>
              <w:rPr>
                <w:iCs/>
              </w:rPr>
              <w:t>(c)</w:t>
            </w:r>
            <w:r>
              <w:rPr>
                <w:iCs/>
              </w:rPr>
              <w:tab/>
              <w:t>For Responsive Reserve (RRS), if applicable:</w:t>
            </w:r>
          </w:p>
          <w:p w14:paraId="2323E71E" w14:textId="77777777" w:rsidR="008871B2" w:rsidRDefault="008871B2" w:rsidP="008871B2">
            <w:pPr>
              <w:pStyle w:val="BodyTextNumbered"/>
              <w:ind w:left="1440"/>
              <w:rPr>
                <w:iCs/>
              </w:rPr>
            </w:pPr>
            <w:r>
              <w:rPr>
                <w:iCs/>
              </w:rPr>
              <w:t xml:space="preserve">DARTPCRRAMT </w:t>
            </w:r>
            <w:r>
              <w:rPr>
                <w:i/>
                <w:iCs/>
                <w:vertAlign w:val="subscript"/>
              </w:rPr>
              <w:t>q</w:t>
            </w:r>
            <w:r>
              <w:rPr>
                <w:iCs/>
              </w:rPr>
              <w:t xml:space="preserve">  =  (DARRNOBL </w:t>
            </w:r>
            <w:r>
              <w:rPr>
                <w:i/>
                <w:iCs/>
                <w:vertAlign w:val="subscript"/>
              </w:rPr>
              <w:t>q</w:t>
            </w:r>
            <w:r>
              <w:rPr>
                <w:iCs/>
              </w:rPr>
              <w:t xml:space="preserve"> – DASARRQ </w:t>
            </w:r>
            <w:r>
              <w:rPr>
                <w:i/>
                <w:iCs/>
                <w:vertAlign w:val="subscript"/>
              </w:rPr>
              <w:t>q</w:t>
            </w:r>
            <w:r>
              <w:rPr>
                <w:iCs/>
              </w:rPr>
              <w:t xml:space="preserve">) * DARRPR - DARRAMT </w:t>
            </w:r>
            <w:r>
              <w:rPr>
                <w:i/>
                <w:iCs/>
                <w:vertAlign w:val="subscript"/>
              </w:rPr>
              <w:t>q</w:t>
            </w:r>
          </w:p>
          <w:p w14:paraId="3366349A" w14:textId="77777777" w:rsidR="008871B2" w:rsidRDefault="008871B2" w:rsidP="008871B2">
            <w:pPr>
              <w:pStyle w:val="BodyTextNumbered"/>
              <w:rPr>
                <w:iCs/>
              </w:rPr>
            </w:pPr>
            <w:r>
              <w:rPr>
                <w:iCs/>
              </w:rPr>
              <w:t>Where:</w:t>
            </w:r>
          </w:p>
          <w:p w14:paraId="72FCD574" w14:textId="77777777" w:rsidR="008871B2" w:rsidRDefault="008871B2" w:rsidP="008871B2">
            <w:pPr>
              <w:pStyle w:val="BodyTextNumbered"/>
              <w:ind w:left="1440"/>
              <w:rPr>
                <w:iCs/>
              </w:rPr>
            </w:pPr>
            <w:r>
              <w:rPr>
                <w:iCs/>
              </w:rPr>
              <w:t xml:space="preserve">DARRNOBL </w:t>
            </w:r>
            <w:r>
              <w:rPr>
                <w:i/>
                <w:iCs/>
                <w:vertAlign w:val="subscript"/>
              </w:rPr>
              <w:t>q</w:t>
            </w:r>
            <w:r>
              <w:rPr>
                <w:iCs/>
              </w:rPr>
              <w:tab/>
              <w:t xml:space="preserve">=  DAPCRRQTOT * HLRS </w:t>
            </w:r>
            <w:r>
              <w:rPr>
                <w:i/>
                <w:iCs/>
                <w:vertAlign w:val="subscript"/>
              </w:rPr>
              <w:t>q</w:t>
            </w:r>
            <w:r>
              <w:rPr>
                <w:iCs/>
              </w:rPr>
              <w:t xml:space="preserve"> </w:t>
            </w:r>
          </w:p>
          <w:p w14:paraId="6895B75A" w14:textId="2A31696E" w:rsidR="008871B2" w:rsidRDefault="008871B2" w:rsidP="008871B2">
            <w:pPr>
              <w:pStyle w:val="BodyTextNumbered"/>
              <w:ind w:left="1440"/>
              <w:rPr>
                <w:iCs/>
              </w:rPr>
            </w:pPr>
            <w:r>
              <w:rPr>
                <w:iCs/>
              </w:rPr>
              <w:t xml:space="preserve">DAPCRRQTOT  =  </w:t>
            </w:r>
            <w:r w:rsidR="00103BC5">
              <w:rPr>
                <w:iCs/>
                <w:position w:val="-22"/>
              </w:rPr>
              <w:object w:dxaOrig="285" w:dyaOrig="285" w14:anchorId="2A44116D">
                <v:shape id="_x0000_i1362" type="#_x0000_t75" style="width:18pt;height:30pt" o:ole="">
                  <v:imagedata r:id="rId445" o:title=""/>
                </v:shape>
                <o:OLEObject Type="Embed" ProgID="Equation.3" ShapeID="_x0000_i1362" DrawAspect="Content" ObjectID="_1804653845" r:id="rId450"/>
              </w:object>
            </w:r>
            <w:r>
              <w:rPr>
                <w:iCs/>
              </w:rPr>
              <w:t>(</w:t>
            </w:r>
            <w:r w:rsidR="00103BC5" w:rsidRPr="00D476E3">
              <w:rPr>
                <w:iCs/>
                <w:position w:val="-18"/>
              </w:rPr>
              <w:object w:dxaOrig="285" w:dyaOrig="570" w14:anchorId="5675BD60">
                <v:shape id="_x0000_i1363" type="#_x0000_t75" style="width:12pt;height:30pt" o:ole="">
                  <v:imagedata r:id="rId386" o:title=""/>
                </v:shape>
                <o:OLEObject Type="Embed" ProgID="Equation.3" ShapeID="_x0000_i1363" DrawAspect="Content" ObjectID="_1804653846" r:id="rId451"/>
              </w:object>
            </w:r>
            <w:r>
              <w:rPr>
                <w:iCs/>
              </w:rPr>
              <w:fldChar w:fldCharType="begin"/>
            </w:r>
            <w:r>
              <w:rPr>
                <w:iCs/>
              </w:rPr>
              <w:fldChar w:fldCharType="separate"/>
            </w:r>
            <w:r>
              <w:rPr>
                <w:iCs/>
                <w:noProof/>
                <w:position w:val="-18"/>
              </w:rPr>
              <w:drawing>
                <wp:inline distT="0" distB="0" distL="0" distR="0" wp14:anchorId="105D55FF" wp14:editId="3C95B40F">
                  <wp:extent cx="155575" cy="31051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5575" cy="310515"/>
                          </a:xfrm>
                          <a:prstGeom prst="rect">
                            <a:avLst/>
                          </a:prstGeom>
                          <a:noFill/>
                          <a:ln>
                            <a:noFill/>
                          </a:ln>
                        </pic:spPr>
                      </pic:pic>
                    </a:graphicData>
                  </a:graphic>
                </wp:inline>
              </w:drawing>
            </w:r>
            <w:r>
              <w:rPr>
                <w:iCs/>
              </w:rPr>
              <w:fldChar w:fldCharType="end"/>
            </w:r>
            <w:r>
              <w:rPr>
                <w:iCs/>
              </w:rPr>
              <w:t>PCRRR</w:t>
            </w:r>
            <w:r>
              <w:rPr>
                <w:i/>
                <w:iCs/>
              </w:rPr>
              <w:t xml:space="preserve"> </w:t>
            </w:r>
            <w:r>
              <w:rPr>
                <w:i/>
                <w:iCs/>
                <w:vertAlign w:val="subscript"/>
              </w:rPr>
              <w:t>r, q, DAM</w:t>
            </w:r>
            <w:r>
              <w:rPr>
                <w:iCs/>
              </w:rPr>
              <w:t xml:space="preserve"> + DARROAWD </w:t>
            </w:r>
            <w:r>
              <w:rPr>
                <w:i/>
                <w:iCs/>
                <w:vertAlign w:val="subscript"/>
              </w:rPr>
              <w:t>q</w:t>
            </w:r>
            <w:r>
              <w:rPr>
                <w:iCs/>
              </w:rPr>
              <w:t xml:space="preserve"> + DASARRQ </w:t>
            </w:r>
            <w:r>
              <w:rPr>
                <w:i/>
                <w:iCs/>
                <w:vertAlign w:val="subscript"/>
              </w:rPr>
              <w:t>q</w:t>
            </w:r>
            <w:r>
              <w:rPr>
                <w:iCs/>
              </w:rPr>
              <w:t>)</w:t>
            </w:r>
          </w:p>
          <w:p w14:paraId="52A7ED68"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4"/>
              <w:gridCol w:w="6260"/>
            </w:tblGrid>
            <w:tr w:rsidR="008871B2" w14:paraId="0FFD73D1"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0F4B9656" w14:textId="77777777" w:rsidR="008871B2" w:rsidRPr="00CC1DA5"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61D315C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79F6E6B4" w14:textId="77777777" w:rsidR="008871B2" w:rsidRDefault="008871B2" w:rsidP="008871B2">
                  <w:pPr>
                    <w:pStyle w:val="TableHead"/>
                  </w:pPr>
                  <w:r>
                    <w:t>Description</w:t>
                  </w:r>
                </w:p>
              </w:tc>
            </w:tr>
            <w:tr w:rsidR="008871B2" w14:paraId="5C4C60A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950C61C" w14:textId="77777777" w:rsidR="008871B2" w:rsidRPr="00CC1DA5" w:rsidRDefault="008871B2" w:rsidP="008871B2">
                  <w:pPr>
                    <w:pStyle w:val="TableBody"/>
                  </w:pPr>
                  <w:r w:rsidRPr="00233C78">
                    <w:t xml:space="preserve">DARTPCRRAMT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ACCE7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1EB55EE" w14:textId="1661A35D" w:rsidR="008871B2" w:rsidRDefault="008871B2" w:rsidP="008871B2">
                  <w:pPr>
                    <w:pStyle w:val="TableBody"/>
                  </w:pPr>
                  <w:r>
                    <w:rPr>
                      <w:i/>
                    </w:rPr>
                    <w:t>Day-Ahead Updated Real-Time Procured Capacity for Responsive Reserve Amount by QSE</w:t>
                  </w:r>
                  <w:r w:rsidR="001C51B4" w:rsidRPr="00A552C3">
                    <w:t>—</w:t>
                  </w:r>
                  <w:r>
                    <w:t xml:space="preserve">The payment or charge to QSE </w:t>
                  </w:r>
                  <w:r>
                    <w:rPr>
                      <w:i/>
                    </w:rPr>
                    <w:t>q</w:t>
                  </w:r>
                  <w:r>
                    <w:t xml:space="preserve"> for RRS, for the re-calculated Real-Time obligation, for the Operating Hour.</w:t>
                  </w:r>
                </w:p>
              </w:tc>
            </w:tr>
            <w:tr w:rsidR="008871B2" w14:paraId="24A3B48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24D4A9" w14:textId="77777777" w:rsidR="008871B2" w:rsidRDefault="008871B2" w:rsidP="008871B2">
                  <w:pPr>
                    <w:pStyle w:val="TableBody"/>
                  </w:pPr>
                  <w:r>
                    <w:t>DARRPR</w:t>
                  </w:r>
                </w:p>
              </w:tc>
              <w:tc>
                <w:tcPr>
                  <w:tcW w:w="990" w:type="dxa"/>
                  <w:tcBorders>
                    <w:top w:val="single" w:sz="4" w:space="0" w:color="auto"/>
                    <w:left w:val="single" w:sz="4" w:space="0" w:color="auto"/>
                    <w:bottom w:val="single" w:sz="4" w:space="0" w:color="auto"/>
                    <w:right w:val="single" w:sz="4" w:space="0" w:color="auto"/>
                  </w:tcBorders>
                  <w:hideMark/>
                </w:tcPr>
                <w:p w14:paraId="14FF4A1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0CAF19C" w14:textId="77777777" w:rsidR="008871B2" w:rsidRDefault="008871B2" w:rsidP="008871B2">
                  <w:pPr>
                    <w:pStyle w:val="TableBody"/>
                    <w:rPr>
                      <w:i/>
                    </w:rPr>
                  </w:pPr>
                  <w:r>
                    <w:rPr>
                      <w:i/>
                    </w:rPr>
                    <w:t>Day-Ahead Responsive Reserve Price</w:t>
                  </w:r>
                  <w:r>
                    <w:t>—The DAM RRS price for the Operating Hour.</w:t>
                  </w:r>
                </w:p>
              </w:tc>
            </w:tr>
            <w:tr w:rsidR="008871B2" w14:paraId="5C3B0D5D"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7527EFB" w14:textId="77777777" w:rsidR="008871B2" w:rsidRDefault="008871B2" w:rsidP="008871B2">
                  <w:pPr>
                    <w:pStyle w:val="TableBody"/>
                  </w:pPr>
                  <w:r>
                    <w:t>DARRNOBL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2DE4364"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3CC35DC" w14:textId="77777777" w:rsidR="008871B2" w:rsidRDefault="008871B2" w:rsidP="008871B2">
                  <w:pPr>
                    <w:pStyle w:val="TableBody"/>
                    <w:rPr>
                      <w:i/>
                    </w:rPr>
                  </w:pPr>
                  <w:r>
                    <w:rPr>
                      <w:i/>
                    </w:rPr>
                    <w:t>Day-Ahead Responsive Reserve New Obligation per QSE—</w:t>
                  </w:r>
                  <w:r>
                    <w:t xml:space="preserve">The updated RRS Ancillary Service Obligation in Real-Time for QSE </w:t>
                  </w:r>
                  <w:r w:rsidRPr="00233C78">
                    <w:rPr>
                      <w:i/>
                    </w:rPr>
                    <w:t>q</w:t>
                  </w:r>
                  <w:r>
                    <w:t xml:space="preserve"> for the Operating Hour.</w:t>
                  </w:r>
                </w:p>
              </w:tc>
            </w:tr>
            <w:tr w:rsidR="008871B2" w14:paraId="55BE82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07C9DD2" w14:textId="77777777" w:rsidR="008871B2" w:rsidRDefault="008871B2" w:rsidP="008871B2">
                  <w:pPr>
                    <w:pStyle w:val="TableBody"/>
                  </w:pPr>
                  <w:r>
                    <w:t xml:space="preserve">DARRAMT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7BF76D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73F62CE" w14:textId="77777777" w:rsidR="008871B2" w:rsidRDefault="008871B2" w:rsidP="008871B2">
                  <w:pPr>
                    <w:pStyle w:val="TableBody"/>
                    <w:rPr>
                      <w:i/>
                    </w:rPr>
                  </w:pPr>
                  <w:r>
                    <w:rPr>
                      <w:i/>
                    </w:rPr>
                    <w:t>Day-Ahead Responsive Reserve Amount per QSE</w:t>
                  </w:r>
                  <w:r>
                    <w:t xml:space="preserve">—QSE </w:t>
                  </w:r>
                  <w:r>
                    <w:rPr>
                      <w:i/>
                    </w:rPr>
                    <w:t>q</w:t>
                  </w:r>
                  <w:r>
                    <w:t>’s share of the DAM cost for RRS for the Operating Hour.</w:t>
                  </w:r>
                </w:p>
              </w:tc>
            </w:tr>
            <w:tr w:rsidR="008871B2" w14:paraId="12FCC7D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89AB659" w14:textId="77777777" w:rsidR="008871B2" w:rsidRDefault="008871B2" w:rsidP="008871B2">
                  <w:pPr>
                    <w:pStyle w:val="TableBody"/>
                  </w:pPr>
                  <w:r>
                    <w:t xml:space="preserve">PCRRR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252220A"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3F0ABD5" w14:textId="77777777" w:rsidR="008871B2" w:rsidRDefault="008871B2" w:rsidP="008871B2">
                  <w:pPr>
                    <w:pStyle w:val="TableBody"/>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737E4F9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8A9B09" w14:textId="77777777" w:rsidR="008871B2" w:rsidRDefault="008871B2" w:rsidP="008871B2">
                  <w:pPr>
                    <w:pStyle w:val="TableBody"/>
                  </w:pPr>
                  <w:r>
                    <w:t xml:space="preserve">DARROAWD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E6A5049"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F96B3D9" w14:textId="0DC4718C" w:rsidR="008871B2" w:rsidRDefault="008871B2" w:rsidP="008871B2">
                  <w:pPr>
                    <w:pStyle w:val="TableBody"/>
                  </w:pPr>
                  <w:r>
                    <w:rPr>
                      <w:i/>
                    </w:rPr>
                    <w:t>Day-Ahead Responsive Reserve Only Award for the QSE</w:t>
                  </w:r>
                  <w:r>
                    <w:t xml:space="preserve">—The RRS Only capacity awarded in the DAM to QSE </w:t>
                  </w:r>
                  <w:r>
                    <w:rPr>
                      <w:i/>
                    </w:rPr>
                    <w:t>q</w:t>
                  </w:r>
                  <w:r>
                    <w:t xml:space="preserve"> for the Operating Hour.  </w:t>
                  </w:r>
                </w:p>
              </w:tc>
            </w:tr>
            <w:tr w:rsidR="008871B2" w14:paraId="3BDBC04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BF4F4F"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7952573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6EA0C03" w14:textId="2D540CB7" w:rsidR="008871B2" w:rsidRDefault="008871B2" w:rsidP="008871B2">
                  <w:pPr>
                    <w:pStyle w:val="TableBody"/>
                  </w:pPr>
                  <w:r w:rsidRPr="00952F33">
                    <w:rPr>
                      <w:i/>
                      <w:iCs w:val="0"/>
                    </w:rPr>
                    <w:t>Hourly Load Ratio Share per QSE</w:t>
                  </w:r>
                  <w:r>
                    <w:t>—The Real-Time LRS as defined in Section 6.6.2.4, QSE Load Ratio Share for an Operating Hour</w:t>
                  </w:r>
                  <w:r w:rsidR="00CA3010">
                    <w:t>,</w:t>
                  </w:r>
                  <w:r>
                    <w:t xml:space="preserve"> for QSE </w:t>
                  </w:r>
                  <w:r>
                    <w:rPr>
                      <w:i/>
                    </w:rPr>
                    <w:t>q</w:t>
                  </w:r>
                  <w:r>
                    <w:t xml:space="preserve"> for the Operating Hour.</w:t>
                  </w:r>
                </w:p>
              </w:tc>
            </w:tr>
            <w:tr w:rsidR="008871B2" w14:paraId="586A560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786D5BC8" w14:textId="77777777" w:rsidR="008871B2" w:rsidRDefault="008871B2" w:rsidP="008871B2">
                  <w:pPr>
                    <w:pStyle w:val="TableBody"/>
                  </w:pPr>
                  <w:r>
                    <w:t xml:space="preserve">DAPCRRQTOT  </w:t>
                  </w:r>
                </w:p>
              </w:tc>
              <w:tc>
                <w:tcPr>
                  <w:tcW w:w="990" w:type="dxa"/>
                  <w:tcBorders>
                    <w:top w:val="single" w:sz="4" w:space="0" w:color="auto"/>
                    <w:left w:val="single" w:sz="4" w:space="0" w:color="auto"/>
                    <w:bottom w:val="single" w:sz="4" w:space="0" w:color="auto"/>
                    <w:right w:val="single" w:sz="4" w:space="0" w:color="auto"/>
                  </w:tcBorders>
                  <w:hideMark/>
                </w:tcPr>
                <w:p w14:paraId="1666F3A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69D3797" w14:textId="0433306E" w:rsidR="008871B2" w:rsidRDefault="008871B2" w:rsidP="008871B2">
                  <w:pPr>
                    <w:pStyle w:val="TableBody"/>
                  </w:pPr>
                  <w:r>
                    <w:rPr>
                      <w:i/>
                    </w:rPr>
                    <w:t>Day-Ahead Procured Capacity for Responsive Reserve Total</w:t>
                  </w:r>
                  <w:r>
                    <w:t>—The total RRS capacity for all QSEs for all RRS awarded and self-arranged in the DAM for the Operating Hour.</w:t>
                  </w:r>
                </w:p>
              </w:tc>
            </w:tr>
            <w:tr w:rsidR="008871B2" w14:paraId="70153CE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272160B" w14:textId="77777777" w:rsidR="008871B2" w:rsidRDefault="008871B2" w:rsidP="008871B2">
                  <w:pPr>
                    <w:pStyle w:val="TableBody"/>
                  </w:pPr>
                  <w:r>
                    <w:t xml:space="preserve">DASARRQ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DC467E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2D21250" w14:textId="77777777" w:rsidR="008871B2" w:rsidRDefault="008871B2" w:rsidP="008871B2">
                  <w:pPr>
                    <w:pStyle w:val="TableBody"/>
                    <w:rPr>
                      <w:i/>
                    </w:rPr>
                  </w:pPr>
                  <w:r>
                    <w:rPr>
                      <w:i/>
                    </w:rPr>
                    <w:t>Day-Ahead Self-Arranged Responsive Reserve Quantity per QSE</w:t>
                  </w:r>
                  <w:r>
                    <w:t xml:space="preserve">—The self-arranged RRS capacity submitted by QSE </w:t>
                  </w:r>
                  <w:r>
                    <w:rPr>
                      <w:i/>
                    </w:rPr>
                    <w:t>q</w:t>
                  </w:r>
                  <w:r>
                    <w:t xml:space="preserve"> before 1000 in the DAM for the Operating Hour.</w:t>
                  </w:r>
                </w:p>
              </w:tc>
            </w:tr>
            <w:tr w:rsidR="008871B2" w14:paraId="63213ED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CF8DAA"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7AA1E1"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A0F69A" w14:textId="77777777" w:rsidR="008871B2" w:rsidRDefault="008871B2" w:rsidP="008871B2">
                  <w:pPr>
                    <w:pStyle w:val="TableBody"/>
                  </w:pPr>
                  <w:r>
                    <w:t>A QSE.</w:t>
                  </w:r>
                </w:p>
              </w:tc>
            </w:tr>
            <w:tr w:rsidR="008871B2" w14:paraId="2EEF81F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D73E611"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24DE39B"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1218B72" w14:textId="77777777" w:rsidR="008871B2" w:rsidRDefault="008871B2" w:rsidP="008871B2">
                  <w:pPr>
                    <w:pStyle w:val="TableBody"/>
                  </w:pPr>
                  <w:r>
                    <w:t>A Resource.</w:t>
                  </w:r>
                </w:p>
              </w:tc>
            </w:tr>
          </w:tbl>
          <w:p w14:paraId="3559836C" w14:textId="77777777" w:rsidR="008871B2" w:rsidRDefault="008871B2" w:rsidP="008871B2">
            <w:pPr>
              <w:pStyle w:val="BodyTextNumbered"/>
              <w:spacing w:before="240"/>
              <w:ind w:left="1440"/>
              <w:rPr>
                <w:iCs/>
              </w:rPr>
            </w:pPr>
            <w:r>
              <w:rPr>
                <w:iCs/>
              </w:rPr>
              <w:lastRenderedPageBreak/>
              <w:t>(d)</w:t>
            </w:r>
            <w:r>
              <w:rPr>
                <w:iCs/>
              </w:rPr>
              <w:tab/>
              <w:t xml:space="preserve">For Non-Spinning Reserve (Non-Spin), if applicable: </w:t>
            </w:r>
          </w:p>
          <w:p w14:paraId="4613A3E5" w14:textId="77777777" w:rsidR="008871B2" w:rsidRDefault="008871B2" w:rsidP="008871B2">
            <w:pPr>
              <w:pStyle w:val="BodyTextNumbered"/>
              <w:ind w:left="1440"/>
              <w:rPr>
                <w:iCs/>
              </w:rPr>
            </w:pPr>
            <w:r>
              <w:rPr>
                <w:iCs/>
              </w:rPr>
              <w:t xml:space="preserve">DARTPCNSAMT </w:t>
            </w:r>
            <w:r>
              <w:rPr>
                <w:i/>
                <w:iCs/>
                <w:vertAlign w:val="subscript"/>
              </w:rPr>
              <w:t>q</w:t>
            </w:r>
            <w:r>
              <w:rPr>
                <w:iCs/>
              </w:rPr>
              <w:t xml:space="preserve"> = (DANSNOBL </w:t>
            </w:r>
            <w:r>
              <w:rPr>
                <w:i/>
                <w:iCs/>
                <w:vertAlign w:val="subscript"/>
              </w:rPr>
              <w:t>q</w:t>
            </w:r>
            <w:r>
              <w:rPr>
                <w:iCs/>
              </w:rPr>
              <w:t xml:space="preserve"> – DASANSQ </w:t>
            </w:r>
            <w:r>
              <w:rPr>
                <w:i/>
                <w:iCs/>
                <w:vertAlign w:val="subscript"/>
              </w:rPr>
              <w:t>q</w:t>
            </w:r>
            <w:r>
              <w:rPr>
                <w:iCs/>
              </w:rPr>
              <w:t xml:space="preserve">) * DANSPR - DANSAMT </w:t>
            </w:r>
            <w:r>
              <w:rPr>
                <w:i/>
                <w:iCs/>
                <w:vertAlign w:val="subscript"/>
              </w:rPr>
              <w:t>q</w:t>
            </w:r>
          </w:p>
          <w:p w14:paraId="7A8363FA" w14:textId="77777777" w:rsidR="008871B2" w:rsidRDefault="008871B2" w:rsidP="008871B2">
            <w:pPr>
              <w:pStyle w:val="BodyTextNumbered"/>
              <w:rPr>
                <w:iCs/>
              </w:rPr>
            </w:pPr>
            <w:r>
              <w:rPr>
                <w:iCs/>
              </w:rPr>
              <w:t>Where:</w:t>
            </w:r>
          </w:p>
          <w:p w14:paraId="1D9F5B38" w14:textId="77777777" w:rsidR="008871B2" w:rsidRDefault="008871B2" w:rsidP="008871B2">
            <w:pPr>
              <w:pStyle w:val="BodyTextNumbered"/>
              <w:ind w:left="1440"/>
              <w:rPr>
                <w:iCs/>
              </w:rPr>
            </w:pPr>
            <w:r>
              <w:rPr>
                <w:iCs/>
              </w:rPr>
              <w:t xml:space="preserve">DANSNOBL </w:t>
            </w:r>
            <w:r>
              <w:rPr>
                <w:i/>
                <w:iCs/>
                <w:vertAlign w:val="subscript"/>
              </w:rPr>
              <w:t xml:space="preserve">q </w:t>
            </w:r>
            <w:r>
              <w:rPr>
                <w:iCs/>
              </w:rPr>
              <w:t xml:space="preserve">    =  DAPCNSQTOT * HLRS </w:t>
            </w:r>
            <w:r>
              <w:rPr>
                <w:i/>
                <w:iCs/>
                <w:vertAlign w:val="subscript"/>
              </w:rPr>
              <w:t>q</w:t>
            </w:r>
            <w:r>
              <w:rPr>
                <w:iCs/>
              </w:rPr>
              <w:t xml:space="preserve"> </w:t>
            </w:r>
          </w:p>
          <w:p w14:paraId="057B2E51" w14:textId="3F88722B" w:rsidR="008871B2" w:rsidRDefault="008871B2" w:rsidP="008871B2">
            <w:pPr>
              <w:pStyle w:val="BodyTextNumbered"/>
              <w:ind w:left="1440"/>
              <w:rPr>
                <w:iCs/>
              </w:rPr>
            </w:pPr>
            <w:r>
              <w:rPr>
                <w:iCs/>
              </w:rPr>
              <w:t xml:space="preserve">DAPCNSQTOT      =  </w:t>
            </w:r>
            <w:r w:rsidR="00443E82">
              <w:rPr>
                <w:iCs/>
                <w:position w:val="-22"/>
              </w:rPr>
              <w:object w:dxaOrig="285" w:dyaOrig="285" w14:anchorId="67B8D17B">
                <v:shape id="_x0000_i1364" type="#_x0000_t75" style="width:30pt;height:30pt" o:ole="">
                  <v:imagedata r:id="rId445" o:title=""/>
                </v:shape>
                <o:OLEObject Type="Embed" ProgID="Equation.3" ShapeID="_x0000_i1364" DrawAspect="Content" ObjectID="_1804653847" r:id="rId453"/>
              </w:object>
            </w:r>
            <w:r>
              <w:rPr>
                <w:iCs/>
              </w:rPr>
              <w:t xml:space="preserve"> (</w:t>
            </w:r>
            <w:r>
              <w:rPr>
                <w:iCs/>
                <w:position w:val="-18"/>
              </w:rPr>
              <w:object w:dxaOrig="285" w:dyaOrig="570" w14:anchorId="38493E37">
                <v:shape id="_x0000_i1365" type="#_x0000_t75" style="width:12pt;height:30pt" o:ole="">
                  <v:imagedata r:id="rId386" o:title=""/>
                </v:shape>
                <o:OLEObject Type="Embed" ProgID="Equation.3" ShapeID="_x0000_i1365" DrawAspect="Content" ObjectID="_1804653848" r:id="rId454"/>
              </w:object>
            </w:r>
            <w:r>
              <w:rPr>
                <w:iCs/>
              </w:rPr>
              <w:t>PCNSR</w:t>
            </w:r>
            <w:r>
              <w:rPr>
                <w:i/>
                <w:iCs/>
              </w:rPr>
              <w:t xml:space="preserve"> </w:t>
            </w:r>
            <w:r>
              <w:rPr>
                <w:i/>
                <w:iCs/>
                <w:vertAlign w:val="subscript"/>
              </w:rPr>
              <w:t>r, q, DAM</w:t>
            </w:r>
            <w:r>
              <w:rPr>
                <w:iCs/>
              </w:rPr>
              <w:t xml:space="preserve"> + DANSOAWD </w:t>
            </w:r>
            <w:r>
              <w:rPr>
                <w:i/>
                <w:iCs/>
                <w:vertAlign w:val="subscript"/>
              </w:rPr>
              <w:t>q</w:t>
            </w:r>
            <w:r>
              <w:rPr>
                <w:iCs/>
              </w:rPr>
              <w:t xml:space="preserve"> + DASANSQ </w:t>
            </w:r>
            <w:r>
              <w:rPr>
                <w:i/>
                <w:iCs/>
                <w:vertAlign w:val="subscript"/>
              </w:rPr>
              <w:t>q</w:t>
            </w:r>
            <w:r>
              <w:rPr>
                <w:iCs/>
              </w:rPr>
              <w:t>)</w:t>
            </w:r>
          </w:p>
          <w:p w14:paraId="61AC8B07" w14:textId="77777777" w:rsidR="008871B2" w:rsidRDefault="008871B2" w:rsidP="008871B2">
            <w:pPr>
              <w:pStyle w:val="BodyTextNumbered"/>
              <w:spacing w:after="0"/>
              <w:rPr>
                <w:iCs/>
              </w:rPr>
            </w:pPr>
            <w:r>
              <w:rPr>
                <w:iCs/>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964"/>
              <w:gridCol w:w="6261"/>
            </w:tblGrid>
            <w:tr w:rsidR="008871B2" w14:paraId="5D8F401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35E6ED3" w14:textId="77777777" w:rsidR="008871B2" w:rsidRPr="00D222D9"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48CE61FA"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30919F0B" w14:textId="77777777" w:rsidR="008871B2" w:rsidRDefault="008871B2" w:rsidP="008871B2">
                  <w:pPr>
                    <w:pStyle w:val="TableHead"/>
                  </w:pPr>
                  <w:r>
                    <w:t>Description</w:t>
                  </w:r>
                </w:p>
              </w:tc>
            </w:tr>
            <w:tr w:rsidR="008871B2" w14:paraId="06AED8C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B998233" w14:textId="77777777" w:rsidR="008871B2" w:rsidRPr="00D222D9" w:rsidRDefault="008871B2" w:rsidP="008871B2">
                  <w:pPr>
                    <w:pStyle w:val="TableBody"/>
                  </w:pPr>
                  <w:r w:rsidRPr="00233C78">
                    <w:t xml:space="preserve">DARTPCNSAMT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B24B6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3A8B2247" w14:textId="5B147372" w:rsidR="008871B2" w:rsidRDefault="008871B2" w:rsidP="008871B2">
                  <w:pPr>
                    <w:pStyle w:val="TableBody"/>
                  </w:pPr>
                  <w:r>
                    <w:rPr>
                      <w:i/>
                    </w:rPr>
                    <w:t>Day-Ahead Updated Real-Time Procured Capacity for Non-Spin Amount by QSE</w:t>
                  </w:r>
                  <w:r w:rsidR="004B6A08" w:rsidRPr="00A552C3">
                    <w:t>—</w:t>
                  </w:r>
                  <w:r>
                    <w:t xml:space="preserve">The payment or charge to QSE </w:t>
                  </w:r>
                  <w:r w:rsidRPr="00233C78">
                    <w:rPr>
                      <w:i/>
                    </w:rPr>
                    <w:t>q</w:t>
                  </w:r>
                  <w:r>
                    <w:t xml:space="preserve"> for Non-Spin for the re-calculated Real-Time obligation for the Operating Hour.</w:t>
                  </w:r>
                </w:p>
              </w:tc>
            </w:tr>
            <w:tr w:rsidR="008871B2" w14:paraId="4681267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CBE5195" w14:textId="77777777" w:rsidR="008871B2" w:rsidRDefault="008871B2" w:rsidP="008871B2">
                  <w:pPr>
                    <w:pStyle w:val="TableBody"/>
                  </w:pPr>
                  <w:r>
                    <w:t>DANSPR</w:t>
                  </w:r>
                </w:p>
              </w:tc>
              <w:tc>
                <w:tcPr>
                  <w:tcW w:w="990" w:type="dxa"/>
                  <w:tcBorders>
                    <w:top w:val="single" w:sz="4" w:space="0" w:color="auto"/>
                    <w:left w:val="single" w:sz="4" w:space="0" w:color="auto"/>
                    <w:bottom w:val="single" w:sz="4" w:space="0" w:color="auto"/>
                    <w:right w:val="single" w:sz="4" w:space="0" w:color="auto"/>
                  </w:tcBorders>
                  <w:hideMark/>
                </w:tcPr>
                <w:p w14:paraId="2C4CA96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40CB4CF" w14:textId="77777777" w:rsidR="008871B2" w:rsidRDefault="008871B2" w:rsidP="008871B2">
                  <w:pPr>
                    <w:pStyle w:val="TableBody"/>
                    <w:rPr>
                      <w:i/>
                    </w:rPr>
                  </w:pPr>
                  <w:r>
                    <w:rPr>
                      <w:i/>
                    </w:rPr>
                    <w:t>Day-Ahead Non-Spin Price</w:t>
                  </w:r>
                  <w:r>
                    <w:t>—The DAM Non-Spin price for the Operating Hour.</w:t>
                  </w:r>
                </w:p>
              </w:tc>
            </w:tr>
            <w:tr w:rsidR="008871B2" w14:paraId="2AB4884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3AE7993" w14:textId="77777777" w:rsidR="008871B2" w:rsidRDefault="008871B2" w:rsidP="008871B2">
                  <w:pPr>
                    <w:pStyle w:val="TableBody"/>
                  </w:pPr>
                  <w:r>
                    <w:t>DANSNOBL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77AF96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3BDFD8C" w14:textId="3ED46BDF" w:rsidR="008871B2" w:rsidRDefault="008871B2" w:rsidP="00D222D9">
                  <w:pPr>
                    <w:pStyle w:val="TableBody"/>
                    <w:rPr>
                      <w:i/>
                    </w:rPr>
                  </w:pPr>
                  <w:r>
                    <w:rPr>
                      <w:i/>
                    </w:rPr>
                    <w:t>Day-Ahead Non-Spin New Obligation per QSE—</w:t>
                  </w:r>
                  <w:r>
                    <w:t xml:space="preserve">The updated Non-Spin Ancillary Service Obligation in Real-Time for QSE </w:t>
                  </w:r>
                  <w:r>
                    <w:rPr>
                      <w:i/>
                    </w:rPr>
                    <w:t>q</w:t>
                  </w:r>
                  <w:r>
                    <w:t xml:space="preserve"> for the Operating Hour.</w:t>
                  </w:r>
                </w:p>
              </w:tc>
            </w:tr>
            <w:tr w:rsidR="008871B2" w14:paraId="181E5CB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ADCC9E8" w14:textId="77777777" w:rsidR="008871B2" w:rsidRDefault="008871B2" w:rsidP="008871B2">
                  <w:pPr>
                    <w:pStyle w:val="TableBody"/>
                  </w:pPr>
                  <w:r>
                    <w:t xml:space="preserve">PCNSR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3AB96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EE66785" w14:textId="77777777" w:rsidR="008871B2" w:rsidRDefault="008871B2" w:rsidP="008871B2">
                  <w:pPr>
                    <w:pStyle w:val="TableBody"/>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15DCB48E"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FD8AF93" w14:textId="77777777" w:rsidR="008871B2" w:rsidRDefault="008871B2" w:rsidP="008871B2">
                  <w:pPr>
                    <w:pStyle w:val="TableBody"/>
                  </w:pPr>
                  <w:r>
                    <w:t xml:space="preserve">DANSOAWD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6D4905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3B22FB2" w14:textId="3DF36C1E" w:rsidR="008871B2" w:rsidRDefault="008871B2" w:rsidP="008871B2">
                  <w:pPr>
                    <w:pStyle w:val="TableBody"/>
                    <w:rPr>
                      <w:i/>
                    </w:rPr>
                  </w:pPr>
                  <w:r>
                    <w:rPr>
                      <w:i/>
                    </w:rPr>
                    <w:t>Day-Ahead Non-Spin Only Award for the QSE</w:t>
                  </w:r>
                  <w:r>
                    <w:t xml:space="preserve">—The Non-Spin Only capacity awarded in the DAM to QSE </w:t>
                  </w:r>
                  <w:r>
                    <w:rPr>
                      <w:i/>
                    </w:rPr>
                    <w:t>q</w:t>
                  </w:r>
                  <w:r>
                    <w:t xml:space="preserve"> for the Operating Hour.  </w:t>
                  </w:r>
                </w:p>
              </w:tc>
            </w:tr>
            <w:tr w:rsidR="008871B2" w14:paraId="1CA03C4D"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076CD9" w14:textId="77777777" w:rsidR="008871B2" w:rsidRDefault="008871B2" w:rsidP="008871B2">
                  <w:pPr>
                    <w:pStyle w:val="TableBody"/>
                    <w:rPr>
                      <w:i/>
                    </w:rPr>
                  </w:pPr>
                  <w:r>
                    <w:t xml:space="preserve">DANSAMT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AE7A2B0"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3591C51" w14:textId="77777777" w:rsidR="008871B2" w:rsidRDefault="008871B2" w:rsidP="008871B2">
                  <w:pPr>
                    <w:pStyle w:val="TableBody"/>
                  </w:pPr>
                  <w:r>
                    <w:rPr>
                      <w:i/>
                    </w:rPr>
                    <w:t>Day-Ahead Non-Spin Amount per QSE</w:t>
                  </w:r>
                  <w:r>
                    <w:t xml:space="preserve">—QSE </w:t>
                  </w:r>
                  <w:r>
                    <w:rPr>
                      <w:i/>
                    </w:rPr>
                    <w:t>q</w:t>
                  </w:r>
                  <w:r>
                    <w:t>’s share of the DAM cost for Non-Spin for the Operating Hour.</w:t>
                  </w:r>
                </w:p>
              </w:tc>
            </w:tr>
            <w:tr w:rsidR="008871B2" w14:paraId="2DC60AF1"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A360687"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15A5377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E4EBD6D" w14:textId="71EBC264" w:rsidR="008871B2" w:rsidRDefault="008871B2" w:rsidP="008871B2">
                  <w:pPr>
                    <w:pStyle w:val="TableBody"/>
                  </w:pPr>
                  <w:r w:rsidRPr="00221A13">
                    <w:rPr>
                      <w:i/>
                    </w:rPr>
                    <w:t>Hourly Load Ratio Share per QSE</w:t>
                  </w:r>
                  <w:r>
                    <w:t>—The Real-Time LRS as defined in Section 6.6.2.4, QSE Load Ratio Share for an Operating Hour</w:t>
                  </w:r>
                  <w:r w:rsidR="00972E17">
                    <w:t>,</w:t>
                  </w:r>
                  <w:r>
                    <w:t xml:space="preserve"> for QSE </w:t>
                  </w:r>
                  <w:r>
                    <w:rPr>
                      <w:i/>
                    </w:rPr>
                    <w:t>q</w:t>
                  </w:r>
                  <w:r>
                    <w:t xml:space="preserve"> for the Operating Hour.</w:t>
                  </w:r>
                </w:p>
              </w:tc>
            </w:tr>
            <w:tr w:rsidR="008871B2" w14:paraId="55B2690A"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19E7B45" w14:textId="77777777" w:rsidR="008871B2" w:rsidRDefault="008871B2" w:rsidP="008871B2">
                  <w:pPr>
                    <w:pStyle w:val="TableBody"/>
                  </w:pPr>
                  <w:r>
                    <w:t xml:space="preserve">DAPCNSQTOT  </w:t>
                  </w:r>
                </w:p>
              </w:tc>
              <w:tc>
                <w:tcPr>
                  <w:tcW w:w="990" w:type="dxa"/>
                  <w:tcBorders>
                    <w:top w:val="single" w:sz="4" w:space="0" w:color="auto"/>
                    <w:left w:val="single" w:sz="4" w:space="0" w:color="auto"/>
                    <w:bottom w:val="single" w:sz="4" w:space="0" w:color="auto"/>
                    <w:right w:val="single" w:sz="4" w:space="0" w:color="auto"/>
                  </w:tcBorders>
                  <w:hideMark/>
                </w:tcPr>
                <w:p w14:paraId="57EBD6F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DA38859" w14:textId="44C576D9" w:rsidR="008871B2" w:rsidRDefault="008871B2" w:rsidP="008871B2">
                  <w:pPr>
                    <w:pStyle w:val="TableBody"/>
                  </w:pPr>
                  <w:r>
                    <w:rPr>
                      <w:i/>
                    </w:rPr>
                    <w:t>Day-Ahead Procured Capacity for Non-Spin Total</w:t>
                  </w:r>
                  <w:r>
                    <w:t>—The total Non-Spin capacity for all QSEs for all Non-Spin awarded and self-arranged in the DAM for the Operating Hour.</w:t>
                  </w:r>
                </w:p>
              </w:tc>
            </w:tr>
            <w:tr w:rsidR="008871B2" w14:paraId="64AB13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749301" w14:textId="77777777" w:rsidR="008871B2" w:rsidRDefault="008871B2" w:rsidP="008871B2">
                  <w:pPr>
                    <w:pStyle w:val="TableBody"/>
                  </w:pPr>
                  <w:r>
                    <w:t xml:space="preserve">DASANSQ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B38563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B4F84EB" w14:textId="77777777" w:rsidR="008871B2" w:rsidRDefault="008871B2" w:rsidP="008871B2">
                  <w:pPr>
                    <w:pStyle w:val="TableBody"/>
                  </w:pPr>
                  <w:r>
                    <w:rPr>
                      <w:i/>
                    </w:rPr>
                    <w:t>Day-Ahead Self-Arranged Non-Spin Quantity per QSE</w:t>
                  </w:r>
                  <w:r>
                    <w:t xml:space="preserve">—The self-arranged Non-Spin capacity submitted by QSE </w:t>
                  </w:r>
                  <w:r>
                    <w:rPr>
                      <w:i/>
                    </w:rPr>
                    <w:t>q</w:t>
                  </w:r>
                  <w:r>
                    <w:t xml:space="preserve"> before 1000 in the DAM for the Operating Hour.</w:t>
                  </w:r>
                </w:p>
              </w:tc>
            </w:tr>
            <w:tr w:rsidR="008871B2" w14:paraId="6CBA20D5"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121BA189"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4910CD2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49B167B" w14:textId="77777777" w:rsidR="008871B2" w:rsidRDefault="008871B2" w:rsidP="008871B2">
                  <w:pPr>
                    <w:pStyle w:val="TableBody"/>
                  </w:pPr>
                  <w:r>
                    <w:t>A QSE.</w:t>
                  </w:r>
                </w:p>
              </w:tc>
            </w:tr>
            <w:tr w:rsidR="008871B2" w14:paraId="62C70B61"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B8A7567"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49C6CB28"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A6C9618" w14:textId="77777777" w:rsidR="008871B2" w:rsidRDefault="008871B2" w:rsidP="008871B2">
                  <w:pPr>
                    <w:pStyle w:val="TableBody"/>
                  </w:pPr>
                  <w:r>
                    <w:t>A Resource.</w:t>
                  </w:r>
                </w:p>
              </w:tc>
            </w:tr>
          </w:tbl>
          <w:p w14:paraId="090C8153" w14:textId="77777777" w:rsidR="008871B2" w:rsidRDefault="008871B2" w:rsidP="008871B2">
            <w:pPr>
              <w:pStyle w:val="BodyTextNumbered"/>
              <w:spacing w:before="240"/>
              <w:ind w:left="1440"/>
              <w:rPr>
                <w:iCs/>
              </w:rPr>
            </w:pPr>
            <w:r>
              <w:rPr>
                <w:iCs/>
              </w:rPr>
              <w:t>(e)</w:t>
            </w:r>
            <w:r>
              <w:rPr>
                <w:iCs/>
              </w:rPr>
              <w:tab/>
              <w:t>For ERCOT Contingency Reserve Service</w:t>
            </w:r>
            <w:r>
              <w:rPr>
                <w:i/>
                <w:sz w:val="20"/>
              </w:rPr>
              <w:t xml:space="preserve"> </w:t>
            </w:r>
            <w:r>
              <w:rPr>
                <w:iCs/>
              </w:rPr>
              <w:t>(ECRS), if applicable:</w:t>
            </w:r>
          </w:p>
          <w:p w14:paraId="3FCA1502" w14:textId="77777777" w:rsidR="008871B2" w:rsidRDefault="008871B2" w:rsidP="008871B2">
            <w:pPr>
              <w:pStyle w:val="BodyTextNumbered"/>
              <w:spacing w:after="0"/>
              <w:ind w:left="1440"/>
              <w:rPr>
                <w:iCs/>
              </w:rPr>
            </w:pPr>
            <w:r>
              <w:rPr>
                <w:iCs/>
              </w:rPr>
              <w:t xml:space="preserve">DARTPCECRAMT </w:t>
            </w:r>
            <w:r>
              <w:rPr>
                <w:i/>
                <w:iCs/>
                <w:vertAlign w:val="subscript"/>
              </w:rPr>
              <w:t>q</w:t>
            </w:r>
            <w:r>
              <w:rPr>
                <w:iCs/>
              </w:rPr>
              <w:t xml:space="preserve"> = (DAECRNOBL </w:t>
            </w:r>
            <w:r>
              <w:rPr>
                <w:i/>
                <w:iCs/>
                <w:vertAlign w:val="subscript"/>
              </w:rPr>
              <w:t>q</w:t>
            </w:r>
            <w:r>
              <w:rPr>
                <w:iCs/>
              </w:rPr>
              <w:t xml:space="preserve"> – DASAECRQ </w:t>
            </w:r>
            <w:r>
              <w:rPr>
                <w:i/>
                <w:iCs/>
                <w:vertAlign w:val="subscript"/>
              </w:rPr>
              <w:t>q</w:t>
            </w:r>
            <w:r>
              <w:rPr>
                <w:iCs/>
              </w:rPr>
              <w:t xml:space="preserve">) * DAECRPR –  </w:t>
            </w:r>
          </w:p>
          <w:p w14:paraId="4694CEFC" w14:textId="77777777" w:rsidR="008871B2" w:rsidRDefault="008871B2" w:rsidP="008871B2">
            <w:pPr>
              <w:pStyle w:val="BodyTextNumbered"/>
              <w:ind w:left="2880" w:firstLine="0"/>
              <w:rPr>
                <w:iCs/>
              </w:rPr>
            </w:pPr>
            <w:r>
              <w:rPr>
                <w:iCs/>
              </w:rPr>
              <w:t xml:space="preserve">      DAECRAMT </w:t>
            </w:r>
            <w:r>
              <w:rPr>
                <w:i/>
                <w:iCs/>
                <w:vertAlign w:val="subscript"/>
              </w:rPr>
              <w:t>q</w:t>
            </w:r>
          </w:p>
          <w:p w14:paraId="55D56A8B" w14:textId="77777777" w:rsidR="008871B2" w:rsidRDefault="008871B2" w:rsidP="008871B2">
            <w:pPr>
              <w:pStyle w:val="BodyTextNumbered"/>
              <w:rPr>
                <w:iCs/>
              </w:rPr>
            </w:pPr>
            <w:r>
              <w:rPr>
                <w:iCs/>
              </w:rPr>
              <w:lastRenderedPageBreak/>
              <w:t>Where:</w:t>
            </w:r>
          </w:p>
          <w:p w14:paraId="77653DE5" w14:textId="77777777" w:rsidR="008871B2" w:rsidRDefault="008871B2" w:rsidP="008871B2">
            <w:pPr>
              <w:pStyle w:val="BodyTextNumbered"/>
              <w:ind w:left="1440"/>
              <w:rPr>
                <w:iCs/>
              </w:rPr>
            </w:pPr>
            <w:r>
              <w:rPr>
                <w:iCs/>
              </w:rPr>
              <w:t xml:space="preserve">DAECRNOBL </w:t>
            </w:r>
            <w:r>
              <w:rPr>
                <w:i/>
                <w:iCs/>
                <w:vertAlign w:val="subscript"/>
              </w:rPr>
              <w:t>q</w:t>
            </w:r>
            <w:r>
              <w:rPr>
                <w:iCs/>
              </w:rPr>
              <w:t xml:space="preserve"> = DAPCECRQTOT * HLRS </w:t>
            </w:r>
            <w:r>
              <w:rPr>
                <w:i/>
                <w:iCs/>
                <w:vertAlign w:val="subscript"/>
              </w:rPr>
              <w:t>q</w:t>
            </w:r>
            <w:r>
              <w:rPr>
                <w:iCs/>
              </w:rPr>
              <w:t xml:space="preserve"> </w:t>
            </w:r>
          </w:p>
          <w:p w14:paraId="02046D83" w14:textId="0483E968" w:rsidR="008871B2" w:rsidRDefault="008871B2" w:rsidP="008871B2">
            <w:pPr>
              <w:pStyle w:val="BodyTextNumbered"/>
              <w:ind w:left="1440"/>
              <w:rPr>
                <w:iCs/>
              </w:rPr>
            </w:pPr>
            <w:r>
              <w:rPr>
                <w:iCs/>
              </w:rPr>
              <w:t xml:space="preserve">DAPCECRQTOT  =  </w:t>
            </w:r>
            <w:r w:rsidR="00443E82">
              <w:rPr>
                <w:iCs/>
                <w:position w:val="-22"/>
              </w:rPr>
              <w:object w:dxaOrig="285" w:dyaOrig="285" w14:anchorId="6CE49859">
                <v:shape id="_x0000_i1366" type="#_x0000_t75" style="width:30pt;height:30pt" o:ole="">
                  <v:imagedata r:id="rId445" o:title=""/>
                </v:shape>
                <o:OLEObject Type="Embed" ProgID="Equation.3" ShapeID="_x0000_i1366" DrawAspect="Content" ObjectID="_1804653849" r:id="rId455"/>
              </w:object>
            </w:r>
            <w:r>
              <w:rPr>
                <w:iCs/>
              </w:rPr>
              <w:t>(</w:t>
            </w:r>
            <w:r>
              <w:rPr>
                <w:iCs/>
                <w:position w:val="-18"/>
              </w:rPr>
              <w:object w:dxaOrig="285" w:dyaOrig="570" w14:anchorId="18B57C68">
                <v:shape id="_x0000_i1367" type="#_x0000_t75" style="width:12pt;height:30pt" o:ole="">
                  <v:imagedata r:id="rId386" o:title=""/>
                </v:shape>
                <o:OLEObject Type="Embed" ProgID="Equation.3" ShapeID="_x0000_i1367" DrawAspect="Content" ObjectID="_1804653850" r:id="rId456"/>
              </w:object>
            </w:r>
            <w:r>
              <w:rPr>
                <w:bCs/>
                <w:iCs/>
              </w:rPr>
              <w:t>PCECRR</w:t>
            </w:r>
            <w:r>
              <w:rPr>
                <w:bCs/>
                <w:i/>
                <w:iCs/>
              </w:rPr>
              <w:t xml:space="preserve"> </w:t>
            </w:r>
            <w:r>
              <w:rPr>
                <w:bCs/>
                <w:i/>
                <w:iCs/>
                <w:vertAlign w:val="subscript"/>
              </w:rPr>
              <w:t>r, q, DAM</w:t>
            </w:r>
            <w:r>
              <w:rPr>
                <w:iCs/>
              </w:rPr>
              <w:t xml:space="preserve"> + DAECROAWD </w:t>
            </w:r>
            <w:r>
              <w:rPr>
                <w:i/>
                <w:iCs/>
                <w:vertAlign w:val="subscript"/>
              </w:rPr>
              <w:t>q</w:t>
            </w:r>
            <w:r>
              <w:rPr>
                <w:iCs/>
              </w:rPr>
              <w:t xml:space="preserve"> + DASAECRQ </w:t>
            </w:r>
            <w:r>
              <w:rPr>
                <w:i/>
                <w:iCs/>
                <w:vertAlign w:val="subscript"/>
              </w:rPr>
              <w:t>q</w:t>
            </w:r>
            <w:r>
              <w:rPr>
                <w:iCs/>
              </w:rPr>
              <w:t>)</w:t>
            </w:r>
          </w:p>
          <w:p w14:paraId="7EE9DCAE"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83"/>
              <w:gridCol w:w="6248"/>
            </w:tblGrid>
            <w:tr w:rsidR="008871B2" w14:paraId="69AF9A2A" w14:textId="77777777" w:rsidTr="008871B2">
              <w:trPr>
                <w:cantSplit/>
                <w:tblHeader/>
              </w:trPr>
              <w:tc>
                <w:tcPr>
                  <w:tcW w:w="1973" w:type="dxa"/>
                  <w:tcBorders>
                    <w:top w:val="single" w:sz="4" w:space="0" w:color="auto"/>
                    <w:left w:val="single" w:sz="4" w:space="0" w:color="auto"/>
                    <w:bottom w:val="single" w:sz="4" w:space="0" w:color="auto"/>
                    <w:right w:val="single" w:sz="4" w:space="0" w:color="auto"/>
                  </w:tcBorders>
                  <w:hideMark/>
                </w:tcPr>
                <w:p w14:paraId="6CC3F1DA" w14:textId="77777777" w:rsidR="008871B2" w:rsidRPr="008E28C2" w:rsidRDefault="008871B2" w:rsidP="008871B2">
                  <w:pPr>
                    <w:pStyle w:val="TableHead"/>
                  </w:pPr>
                  <w:r w:rsidRPr="00221A13">
                    <w:rPr>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42225AB"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D0BD323" w14:textId="77777777" w:rsidR="008871B2" w:rsidRDefault="008871B2" w:rsidP="008871B2">
                  <w:pPr>
                    <w:pStyle w:val="TableHead"/>
                  </w:pPr>
                  <w:r>
                    <w:t>Description</w:t>
                  </w:r>
                </w:p>
              </w:tc>
            </w:tr>
            <w:tr w:rsidR="008871B2" w14:paraId="3C1E0680"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10BA1CCB" w14:textId="77777777" w:rsidR="008871B2" w:rsidRPr="008E28C2" w:rsidRDefault="008871B2" w:rsidP="008871B2">
                  <w:pPr>
                    <w:pStyle w:val="TableBody"/>
                  </w:pPr>
                  <w:r w:rsidRPr="00221A13">
                    <w:t xml:space="preserve">DARTPCECRAMT </w:t>
                  </w:r>
                  <w:r w:rsidRPr="00221A13">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4EEF61ED"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08C9431" w14:textId="2A1BDA2D" w:rsidR="008871B2" w:rsidRDefault="008871B2" w:rsidP="008871B2">
                  <w:pPr>
                    <w:pStyle w:val="TableBody"/>
                  </w:pPr>
                  <w:r>
                    <w:rPr>
                      <w:i/>
                    </w:rPr>
                    <w:t xml:space="preserve">Day-Ahead Updated Real-Time Procured Capacity for </w:t>
                  </w:r>
                  <w:r>
                    <w:rPr>
                      <w:i/>
                      <w:iCs w:val="0"/>
                    </w:rPr>
                    <w:t xml:space="preserve">ERCOT Contingency Reserve Service </w:t>
                  </w:r>
                  <w:r>
                    <w:rPr>
                      <w:i/>
                    </w:rPr>
                    <w:t>Amount by QSE</w:t>
                  </w:r>
                  <w:r w:rsidR="00B36370" w:rsidRPr="00A552C3">
                    <w:t>—</w:t>
                  </w:r>
                  <w:r>
                    <w:t xml:space="preserve">The payment or charge to QSE </w:t>
                  </w:r>
                  <w:r w:rsidRPr="00221A13">
                    <w:rPr>
                      <w:i/>
                    </w:rPr>
                    <w:t>q</w:t>
                  </w:r>
                  <w:r>
                    <w:t xml:space="preserve"> for ECRS for the re-calculated Real-Time obligation for the Operating Hour.</w:t>
                  </w:r>
                </w:p>
              </w:tc>
            </w:tr>
            <w:tr w:rsidR="008871B2" w14:paraId="7C7C1F9C"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6EC2926" w14:textId="77777777" w:rsidR="008871B2" w:rsidRDefault="008871B2" w:rsidP="008871B2">
                  <w:pPr>
                    <w:pStyle w:val="TableBody"/>
                  </w:pPr>
                  <w:r>
                    <w:t>DAECRPR</w:t>
                  </w:r>
                </w:p>
              </w:tc>
              <w:tc>
                <w:tcPr>
                  <w:tcW w:w="900" w:type="dxa"/>
                  <w:tcBorders>
                    <w:top w:val="single" w:sz="4" w:space="0" w:color="auto"/>
                    <w:left w:val="single" w:sz="4" w:space="0" w:color="auto"/>
                    <w:bottom w:val="single" w:sz="4" w:space="0" w:color="auto"/>
                    <w:right w:val="single" w:sz="4" w:space="0" w:color="auto"/>
                  </w:tcBorders>
                  <w:hideMark/>
                </w:tcPr>
                <w:p w14:paraId="0CF3900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6E9A56C" w14:textId="77777777" w:rsidR="008871B2" w:rsidRDefault="008871B2" w:rsidP="008871B2">
                  <w:pPr>
                    <w:pStyle w:val="TableBody"/>
                    <w:rPr>
                      <w:i/>
                    </w:rPr>
                  </w:pPr>
                  <w:r>
                    <w:rPr>
                      <w:i/>
                    </w:rPr>
                    <w:t>Day-Ahead ERCOT Contingency Reserve Price</w:t>
                  </w:r>
                  <w:r>
                    <w:t>—The DAM ECRS price for the Operating Hour.</w:t>
                  </w:r>
                </w:p>
              </w:tc>
            </w:tr>
            <w:tr w:rsidR="008871B2" w14:paraId="1E1502F8"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40D59BC8" w14:textId="77777777" w:rsidR="008871B2" w:rsidRDefault="008871B2" w:rsidP="008871B2">
                  <w:pPr>
                    <w:pStyle w:val="TableBody"/>
                  </w:pPr>
                  <w:r>
                    <w:t>DAECRNOBL</w:t>
                  </w:r>
                  <w:r>
                    <w:rPr>
                      <w:vertAlign w:val="subscript"/>
                    </w:rPr>
                    <w:t xml:space="preserve">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5DC62816"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5FCCB6E" w14:textId="763B2964" w:rsidR="008871B2" w:rsidRDefault="008871B2" w:rsidP="00B21E3A">
                  <w:pPr>
                    <w:pStyle w:val="TableBody"/>
                  </w:pPr>
                  <w:r>
                    <w:rPr>
                      <w:i/>
                    </w:rPr>
                    <w:t>Day-Ahead ERCOT Contingency Reserve Service New Obligation per QSE</w:t>
                  </w:r>
                  <w:r>
                    <w:t xml:space="preserve">—The updated ECRS Ancillary Service Obligation in Real-Time for QSE </w:t>
                  </w:r>
                  <w:r>
                    <w:rPr>
                      <w:i/>
                    </w:rPr>
                    <w:t>q</w:t>
                  </w:r>
                  <w:r>
                    <w:t xml:space="preserve"> for the Operating Hour.</w:t>
                  </w:r>
                </w:p>
              </w:tc>
            </w:tr>
            <w:tr w:rsidR="008871B2" w14:paraId="39808B3E"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271FACED" w14:textId="77777777" w:rsidR="008871B2" w:rsidRDefault="008871B2" w:rsidP="008871B2">
                  <w:pPr>
                    <w:pStyle w:val="TableBody"/>
                    <w:rPr>
                      <w:iCs w:val="0"/>
                    </w:rPr>
                  </w:pPr>
                  <w:r>
                    <w:t xml:space="preserve">PCECRR </w:t>
                  </w:r>
                  <w:r>
                    <w:rPr>
                      <w:i/>
                      <w:vertAlign w:val="subscript"/>
                    </w:rPr>
                    <w:t>r,</w:t>
                  </w:r>
                  <w:r>
                    <w:rPr>
                      <w:i/>
                    </w:rPr>
                    <w:t xml:space="preserve"> </w:t>
                  </w:r>
                  <w:r>
                    <w:rPr>
                      <w:i/>
                      <w:vertAlign w:val="subscript"/>
                    </w:rPr>
                    <w:t>q, DAM</w:t>
                  </w:r>
                </w:p>
              </w:tc>
              <w:tc>
                <w:tcPr>
                  <w:tcW w:w="900" w:type="dxa"/>
                  <w:tcBorders>
                    <w:top w:val="single" w:sz="4" w:space="0" w:color="auto"/>
                    <w:left w:val="single" w:sz="4" w:space="0" w:color="auto"/>
                    <w:bottom w:val="single" w:sz="4" w:space="0" w:color="auto"/>
                    <w:right w:val="single" w:sz="4" w:space="0" w:color="auto"/>
                  </w:tcBorders>
                  <w:hideMark/>
                </w:tcPr>
                <w:p w14:paraId="0539C8DB" w14:textId="77777777" w:rsidR="008871B2" w:rsidRDefault="008871B2" w:rsidP="008871B2">
                  <w:pPr>
                    <w:pStyle w:val="TableBody"/>
                    <w:rPr>
                      <w:iCs w:val="0"/>
                    </w:rPr>
                  </w:pPr>
                  <w:r>
                    <w:t>MW</w:t>
                  </w:r>
                </w:p>
              </w:tc>
              <w:tc>
                <w:tcPr>
                  <w:tcW w:w="6840" w:type="dxa"/>
                  <w:tcBorders>
                    <w:top w:val="single" w:sz="4" w:space="0" w:color="auto"/>
                    <w:left w:val="single" w:sz="4" w:space="0" w:color="auto"/>
                    <w:bottom w:val="single" w:sz="4" w:space="0" w:color="auto"/>
                    <w:right w:val="single" w:sz="4" w:space="0" w:color="auto"/>
                  </w:tcBorders>
                  <w:hideMark/>
                </w:tcPr>
                <w:p w14:paraId="14DB3B59" w14:textId="77777777" w:rsidR="008871B2" w:rsidRDefault="008871B2" w:rsidP="008871B2">
                  <w:pPr>
                    <w:pStyle w:val="TableBody"/>
                    <w:rPr>
                      <w:i/>
                    </w:rPr>
                  </w:pPr>
                  <w:r>
                    <w:rPr>
                      <w:i/>
                      <w:iCs w:val="0"/>
                    </w:rPr>
                    <w:t>Procured Capacity for ERCOT Contingency Reserve Service per Resource per QSE in DAM</w:t>
                  </w:r>
                  <w:r>
                    <w:rPr>
                      <w:iCs w:val="0"/>
                    </w:rPr>
                    <w:t xml:space="preserve">—The ECRS capacity awarded to QSE </w:t>
                  </w:r>
                  <w:r>
                    <w:rPr>
                      <w:i/>
                      <w:iCs w:val="0"/>
                    </w:rPr>
                    <w:t>q</w:t>
                  </w:r>
                  <w:r>
                    <w:rPr>
                      <w:iCs w:val="0"/>
                    </w:rPr>
                    <w:t xml:space="preserve"> in the DAM for Resource </w:t>
                  </w:r>
                  <w:r>
                    <w:rPr>
                      <w:i/>
                      <w:iCs w:val="0"/>
                    </w:rPr>
                    <w:t>r</w:t>
                  </w:r>
                  <w:r>
                    <w:rPr>
                      <w:iCs w:val="0"/>
                    </w:rPr>
                    <w:t xml:space="preserve"> for the </w:t>
                  </w:r>
                  <w:r>
                    <w:t>Operating Hour</w:t>
                  </w:r>
                  <w:r>
                    <w:rPr>
                      <w:iCs w:val="0"/>
                    </w:rPr>
                    <w:t xml:space="preserve">.  Where for a Combined Cycle Train, the Resource </w:t>
                  </w:r>
                  <w:r>
                    <w:rPr>
                      <w:i/>
                      <w:iCs w:val="0"/>
                    </w:rPr>
                    <w:t xml:space="preserve">r </w:t>
                  </w:r>
                  <w:r>
                    <w:rPr>
                      <w:iCs w:val="0"/>
                    </w:rPr>
                    <w:t>is a Combined Cycle Generation Resource within the Combined Cycle Train.</w:t>
                  </w:r>
                </w:p>
              </w:tc>
            </w:tr>
            <w:tr w:rsidR="008871B2" w14:paraId="0AC12D9F"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136A8F0F" w14:textId="77777777" w:rsidR="008871B2" w:rsidRDefault="008871B2" w:rsidP="008871B2">
                  <w:pPr>
                    <w:pStyle w:val="TableBody"/>
                    <w:rPr>
                      <w:iCs w:val="0"/>
                    </w:rPr>
                  </w:pPr>
                  <w:r>
                    <w:t>DAECROAWD</w:t>
                  </w:r>
                  <w:r>
                    <w:rPr>
                      <w:i/>
                      <w:iCs w:val="0"/>
                    </w:rPr>
                    <w:t xml:space="preserve"> </w:t>
                  </w:r>
                  <w:r>
                    <w:rPr>
                      <w:i/>
                      <w:iCs w:val="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79FEFB8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6036186" w14:textId="44BBF046" w:rsidR="008871B2" w:rsidRDefault="008871B2" w:rsidP="008871B2">
                  <w:pPr>
                    <w:pStyle w:val="TableBody"/>
                    <w:rPr>
                      <w:i/>
                    </w:rPr>
                  </w:pPr>
                  <w:r>
                    <w:rPr>
                      <w:i/>
                    </w:rPr>
                    <w:t xml:space="preserve">Day-Ahead </w:t>
                  </w:r>
                  <w:r>
                    <w:rPr>
                      <w:i/>
                      <w:iCs w:val="0"/>
                    </w:rPr>
                    <w:t>ERCOT Contingency Reserve Service Only</w:t>
                  </w:r>
                  <w:r>
                    <w:rPr>
                      <w:i/>
                    </w:rPr>
                    <w:t xml:space="preserve"> Award for the QSE—</w:t>
                  </w:r>
                  <w:r>
                    <w:t xml:space="preserve">The </w:t>
                  </w:r>
                  <w:r>
                    <w:rPr>
                      <w:iCs w:val="0"/>
                    </w:rPr>
                    <w:t>ECRS</w:t>
                  </w:r>
                  <w:r>
                    <w:t xml:space="preserve"> Only capacity awarded in the DAM to QSE </w:t>
                  </w:r>
                  <w:r>
                    <w:rPr>
                      <w:i/>
                    </w:rPr>
                    <w:t>q</w:t>
                  </w:r>
                  <w:r>
                    <w:t xml:space="preserve"> for the Operating Hour.  </w:t>
                  </w:r>
                </w:p>
              </w:tc>
            </w:tr>
            <w:tr w:rsidR="008871B2" w14:paraId="0542E79E"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2FFFDB5E" w14:textId="77777777" w:rsidR="008871B2" w:rsidRDefault="008871B2" w:rsidP="008871B2">
                  <w:pPr>
                    <w:pStyle w:val="TableBody"/>
                    <w:rPr>
                      <w:i/>
                    </w:rPr>
                  </w:pPr>
                  <w:r>
                    <w:rPr>
                      <w:iCs w:val="0"/>
                    </w:rPr>
                    <w:t xml:space="preserve">DAECRAMT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58F7E3E"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6CEAC2DF" w14:textId="77777777" w:rsidR="008871B2" w:rsidRDefault="008871B2" w:rsidP="008871B2">
                  <w:pPr>
                    <w:pStyle w:val="TableBody"/>
                  </w:pPr>
                  <w:r>
                    <w:rPr>
                      <w:i/>
                    </w:rPr>
                    <w:t>Day-Ahead ERCOT Contingency Reserve Amount per QSE</w:t>
                  </w:r>
                  <w:r>
                    <w:t xml:space="preserve">—QSE </w:t>
                  </w:r>
                  <w:r>
                    <w:rPr>
                      <w:i/>
                    </w:rPr>
                    <w:t>q</w:t>
                  </w:r>
                  <w:r>
                    <w:t>’s share of the DAM cost for ECRS for the Operating Hour.</w:t>
                  </w:r>
                </w:p>
              </w:tc>
            </w:tr>
            <w:tr w:rsidR="008871B2" w14:paraId="17F78D5B"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72BC3C96" w14:textId="77777777" w:rsidR="008871B2" w:rsidRDefault="008871B2" w:rsidP="008871B2">
                  <w:pPr>
                    <w:pStyle w:val="TableBody"/>
                  </w:pPr>
                  <w:r>
                    <w:t>HLRS</w:t>
                  </w:r>
                  <w:r>
                    <w:rPr>
                      <w:i/>
                      <w:vertAlign w:val="subscript"/>
                    </w:rPr>
                    <w:t xml:space="preserve"> q</w:t>
                  </w:r>
                </w:p>
              </w:tc>
              <w:tc>
                <w:tcPr>
                  <w:tcW w:w="900" w:type="dxa"/>
                  <w:tcBorders>
                    <w:top w:val="single" w:sz="4" w:space="0" w:color="auto"/>
                    <w:left w:val="single" w:sz="4" w:space="0" w:color="auto"/>
                    <w:bottom w:val="single" w:sz="4" w:space="0" w:color="auto"/>
                    <w:right w:val="single" w:sz="4" w:space="0" w:color="auto"/>
                  </w:tcBorders>
                  <w:hideMark/>
                </w:tcPr>
                <w:p w14:paraId="3A6D3C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B41E35" w14:textId="1B789EDD" w:rsidR="008871B2" w:rsidRDefault="008871B2" w:rsidP="008871B2">
                  <w:pPr>
                    <w:pStyle w:val="TableBody"/>
                  </w:pPr>
                  <w:r>
                    <w:rPr>
                      <w:i/>
                    </w:rPr>
                    <w:t>Hourly Load Ratio Share per QSE</w:t>
                  </w:r>
                  <w:r>
                    <w:t>—The Real-Time LRS as defined in Section 6.6.2.4, QSE Load Ratio Share for an Operating Hour</w:t>
                  </w:r>
                  <w:r w:rsidR="00CA3010">
                    <w:t>,</w:t>
                  </w:r>
                  <w:r>
                    <w:t xml:space="preserve"> for QSE </w:t>
                  </w:r>
                  <w:r>
                    <w:rPr>
                      <w:i/>
                    </w:rPr>
                    <w:t>q</w:t>
                  </w:r>
                  <w:r>
                    <w:t xml:space="preserve"> for the Operating Hour.</w:t>
                  </w:r>
                </w:p>
              </w:tc>
            </w:tr>
            <w:tr w:rsidR="008871B2" w14:paraId="6F1B4047"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EF69515" w14:textId="77777777" w:rsidR="008871B2" w:rsidRDefault="008871B2" w:rsidP="008871B2">
                  <w:pPr>
                    <w:pStyle w:val="TableBody"/>
                  </w:pPr>
                  <w:r>
                    <w:t xml:space="preserve">DAPCECRQTOT  </w:t>
                  </w:r>
                </w:p>
              </w:tc>
              <w:tc>
                <w:tcPr>
                  <w:tcW w:w="900" w:type="dxa"/>
                  <w:tcBorders>
                    <w:top w:val="single" w:sz="4" w:space="0" w:color="auto"/>
                    <w:left w:val="single" w:sz="4" w:space="0" w:color="auto"/>
                    <w:bottom w:val="single" w:sz="4" w:space="0" w:color="auto"/>
                    <w:right w:val="single" w:sz="4" w:space="0" w:color="auto"/>
                  </w:tcBorders>
                  <w:hideMark/>
                </w:tcPr>
                <w:p w14:paraId="24C202E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1F50059" w14:textId="77777777" w:rsidR="008871B2" w:rsidRDefault="008871B2" w:rsidP="008871B2">
                  <w:pPr>
                    <w:pStyle w:val="TableBody"/>
                  </w:pPr>
                  <w:r>
                    <w:rPr>
                      <w:i/>
                    </w:rPr>
                    <w:t>Day-Ahead Procured Capacity for ERCOT Contingency Reserve Total</w:t>
                  </w:r>
                  <w:r>
                    <w:t>—The total ECRS capacity for all QSEs for all ECRS awarded and self-arranged in the DAM for the Operating Hour.</w:t>
                  </w:r>
                </w:p>
              </w:tc>
            </w:tr>
            <w:tr w:rsidR="008871B2" w14:paraId="00C3A0D9"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37DDDDB" w14:textId="77777777" w:rsidR="008871B2" w:rsidRDefault="008871B2" w:rsidP="008871B2">
                  <w:pPr>
                    <w:pStyle w:val="TableBody"/>
                  </w:pPr>
                  <w:r>
                    <w:t xml:space="preserve">DASAECRQ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EB4C9F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8B5C7ED" w14:textId="77777777" w:rsidR="008871B2" w:rsidRDefault="008871B2" w:rsidP="008871B2">
                  <w:pPr>
                    <w:pStyle w:val="TableBody"/>
                  </w:pPr>
                  <w:r>
                    <w:rPr>
                      <w:i/>
                    </w:rPr>
                    <w:t>Day-Ahead Self-Arranged ERCOT Contingency Reserve Quantity per QSE</w:t>
                  </w:r>
                  <w:r>
                    <w:t xml:space="preserve">—The self-arranged ECRS capacity submitted by QSE </w:t>
                  </w:r>
                  <w:r>
                    <w:rPr>
                      <w:i/>
                    </w:rPr>
                    <w:t>q</w:t>
                  </w:r>
                  <w:r>
                    <w:t xml:space="preserve"> before 1000 in the DAM for the Operating Hour.</w:t>
                  </w:r>
                </w:p>
              </w:tc>
            </w:tr>
            <w:tr w:rsidR="008871B2" w14:paraId="44EC7ABD"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BFE5ED3" w14:textId="77777777" w:rsidR="008871B2" w:rsidRDefault="008871B2" w:rsidP="008871B2">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1888B5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4F993E01" w14:textId="77777777" w:rsidR="008871B2" w:rsidRDefault="008871B2" w:rsidP="008871B2">
                  <w:pPr>
                    <w:pStyle w:val="TableBody"/>
                  </w:pPr>
                  <w:r>
                    <w:t>A QSE.</w:t>
                  </w:r>
                </w:p>
              </w:tc>
            </w:tr>
            <w:tr w:rsidR="008871B2" w14:paraId="59CC13B1"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3F2D7E5A" w14:textId="77777777" w:rsidR="008871B2" w:rsidRDefault="008871B2" w:rsidP="008871B2">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4F5506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E48B99" w14:textId="77777777" w:rsidR="008871B2" w:rsidRDefault="008871B2" w:rsidP="008871B2">
                  <w:pPr>
                    <w:pStyle w:val="TableBody"/>
                  </w:pPr>
                  <w:r>
                    <w:t>A Resource.</w:t>
                  </w:r>
                </w:p>
              </w:tc>
            </w:tr>
          </w:tbl>
          <w:p w14:paraId="220A0042" w14:textId="0AE94971" w:rsidR="008871B2" w:rsidRPr="00B06583" w:rsidRDefault="008871B2" w:rsidP="008871B2">
            <w:pPr>
              <w:pStyle w:val="Instructions"/>
              <w:spacing w:before="120"/>
            </w:pPr>
          </w:p>
        </w:tc>
      </w:tr>
    </w:tbl>
    <w:p w14:paraId="01B72A0B" w14:textId="77777777" w:rsidR="001F04FD" w:rsidRPr="0080555B" w:rsidRDefault="001F04FD" w:rsidP="001F04FD">
      <w:pPr>
        <w:pStyle w:val="H3"/>
        <w:spacing w:before="480"/>
        <w:ind w:left="0" w:firstLine="0"/>
      </w:pPr>
      <w:bookmarkStart w:id="2760" w:name="_Toc189044492"/>
      <w:bookmarkStart w:id="2761" w:name="_Hlk174606168"/>
      <w:bookmarkStart w:id="2762" w:name="_Hlk102565182"/>
      <w:r w:rsidRPr="0080555B">
        <w:lastRenderedPageBreak/>
        <w:t>6.7.</w:t>
      </w:r>
      <w:r>
        <w:t>5</w:t>
      </w:r>
      <w:r w:rsidRPr="0080555B">
        <w:tab/>
        <w:t>Real-Time Ancillary Service Imbalance Payment or Charge</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60"/>
    </w:p>
    <w:p w14:paraId="6AD49793" w14:textId="77777777" w:rsidR="001F04FD" w:rsidRDefault="001F04FD" w:rsidP="001F04FD">
      <w:pPr>
        <w:pStyle w:val="BodyTextNumbered"/>
        <w:rPr>
          <w:color w:val="000000"/>
        </w:rPr>
      </w:pPr>
      <w:r w:rsidRPr="0080555B">
        <w:t>(1)</w:t>
      </w:r>
      <w:r w:rsidRPr="0080555B">
        <w:tab/>
      </w:r>
      <w:r w:rsidRPr="0080555B">
        <w:rPr>
          <w:color w:val="000000"/>
        </w:rPr>
        <w:t xml:space="preserve">Based on the </w:t>
      </w:r>
      <w:r>
        <w:rPr>
          <w:color w:val="000000"/>
        </w:rPr>
        <w:t xml:space="preserve">Real-Time On-Line Reliability Deployment Price Adders, </w:t>
      </w:r>
      <w:r w:rsidRPr="0080555B">
        <w:rPr>
          <w:color w:val="000000"/>
        </w:rPr>
        <w:t>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t>
      </w:r>
    </w:p>
    <w:p w14:paraId="78C7C95A" w14:textId="77777777" w:rsidR="001F04FD" w:rsidRPr="0080555B" w:rsidRDefault="001F04FD" w:rsidP="001F04FD">
      <w:pPr>
        <w:pStyle w:val="BodyTextNumbered"/>
      </w:pPr>
      <w:r w:rsidRPr="0080555B">
        <w:lastRenderedPageBreak/>
        <w:t>(2)</w:t>
      </w:r>
      <w:r w:rsidRPr="0080555B">
        <w:tab/>
        <w:t>The payment or charge to each QSE for Ancillary Service imbalance is calculated based on the price calculation set forth in paragraph (</w:t>
      </w:r>
      <w:r>
        <w:t>1</w:t>
      </w:r>
      <w:r w:rsidR="008301B1">
        <w:t>2</w:t>
      </w:r>
      <w:r w:rsidRPr="0080555B">
        <w:t>) of Section 6.5.7.3, Security Constrained Economic Dispatch, and applied to the following amounts for each QSE:</w:t>
      </w:r>
    </w:p>
    <w:p w14:paraId="238488A5" w14:textId="77777777" w:rsidR="001F04FD" w:rsidRPr="0080555B" w:rsidRDefault="001F04FD" w:rsidP="001F04FD">
      <w:pPr>
        <w:pStyle w:val="List"/>
      </w:pPr>
      <w:r w:rsidRPr="0080555B">
        <w:t>(a)</w:t>
      </w:r>
      <w:r w:rsidRPr="0080555B">
        <w:tab/>
        <w:t xml:space="preserve">The amount of Real-Time </w:t>
      </w:r>
      <w:r>
        <w:t>M</w:t>
      </w:r>
      <w:r w:rsidRPr="0080555B">
        <w:t xml:space="preserve">etered </w:t>
      </w:r>
      <w:r>
        <w:t>Generation</w:t>
      </w:r>
      <w:r w:rsidRPr="0080555B">
        <w:t xml:space="preserve"> from all Generation Resources, represented by the QSE for the 15-minute Settlement Interval;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4C986BBC" w14:textId="77777777" w:rsidTr="000169BA">
        <w:trPr>
          <w:trHeight w:val="206"/>
        </w:trPr>
        <w:tc>
          <w:tcPr>
            <w:tcW w:w="9576" w:type="dxa"/>
            <w:shd w:val="pct12" w:color="auto" w:fill="auto"/>
          </w:tcPr>
          <w:p w14:paraId="37DE5F88" w14:textId="14CC7E7E" w:rsidR="00800062" w:rsidRDefault="00800062" w:rsidP="000169BA">
            <w:pPr>
              <w:pStyle w:val="Instructions"/>
              <w:spacing w:before="120"/>
            </w:pPr>
            <w:r>
              <w:t>[NPRR987:  Replace paragraph (a) above with the following upon system implementation:]</w:t>
            </w:r>
          </w:p>
          <w:p w14:paraId="6903A9DD" w14:textId="4729CA84" w:rsidR="00800062" w:rsidRPr="008F39F7" w:rsidRDefault="00800062" w:rsidP="00800062">
            <w:pPr>
              <w:spacing w:after="240"/>
              <w:ind w:left="1440" w:hanging="720"/>
            </w:pPr>
            <w:r w:rsidRPr="0021367F">
              <w:t>(a)</w:t>
            </w:r>
            <w:r w:rsidRPr="0021367F">
              <w:tab/>
              <w:t>The amount of Real-Time Metered Generation from all Generation Resources</w:t>
            </w:r>
            <w:r>
              <w:t xml:space="preserve"> and Energy Storage Resources (ESRs)</w:t>
            </w:r>
            <w:r w:rsidRPr="0021367F">
              <w:t>, represented by the QSE for the 15-minute Settlement Interval;</w:t>
            </w:r>
          </w:p>
        </w:tc>
      </w:tr>
    </w:tbl>
    <w:p w14:paraId="2E7ADAAA" w14:textId="0645411C" w:rsidR="001F04FD" w:rsidRDefault="001F04FD" w:rsidP="001B11AD">
      <w:pPr>
        <w:pStyle w:val="List"/>
        <w:spacing w:before="240"/>
      </w:pPr>
      <w:r w:rsidRPr="0080555B">
        <w:t>(b)</w:t>
      </w:r>
      <w:r w:rsidRPr="0080555B">
        <w:tab/>
        <w:t xml:space="preserve">The amount of On-Line capacity based on the telemetered High Sustained Limit (HSL) for all On-Line Generation Resources, the </w:t>
      </w:r>
      <w:r w:rsidRPr="00540AB6">
        <w:t xml:space="preserve">telemetered consumption from Load Resources with a validated </w:t>
      </w:r>
      <w:r w:rsidRPr="0080555B">
        <w:t xml:space="preserve">Ancillary Service Schedule for </w:t>
      </w:r>
      <w:r w:rsidR="006E1ADE">
        <w:t xml:space="preserve">ECRS or </w:t>
      </w:r>
      <w:r w:rsidRPr="0080555B">
        <w:t>RRS controlled by high-set under-frequency relay</w:t>
      </w:r>
      <w:r w:rsidR="00013237">
        <w:t xml:space="preserve"> or Non-Spin</w:t>
      </w:r>
      <w:r w:rsidRPr="0080555B">
        <w:t>, and the capacity from Controllable Load Resources available to SCED;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075DECE3" w14:textId="77777777" w:rsidTr="00060778">
        <w:trPr>
          <w:trHeight w:val="206"/>
        </w:trPr>
        <w:tc>
          <w:tcPr>
            <w:tcW w:w="9576" w:type="dxa"/>
            <w:shd w:val="pct12" w:color="auto" w:fill="auto"/>
          </w:tcPr>
          <w:p w14:paraId="3A23727E" w14:textId="6C935A8C" w:rsidR="004007D1" w:rsidRDefault="004007D1" w:rsidP="00060778">
            <w:pPr>
              <w:pStyle w:val="Instructions"/>
              <w:spacing w:before="120"/>
            </w:pPr>
            <w:r>
              <w:t>[</w:t>
            </w:r>
            <w:r w:rsidR="00800062">
              <w:t>NPRR987</w:t>
            </w:r>
            <w:r>
              <w:t>:  Replace</w:t>
            </w:r>
            <w:r w:rsidR="00800062">
              <w:t xml:space="preserve"> </w:t>
            </w:r>
            <w:r>
              <w:t>paragraph (b) above with the following upon system implementation:]</w:t>
            </w:r>
          </w:p>
          <w:p w14:paraId="7CEC113B" w14:textId="63C49B36" w:rsidR="004007D1" w:rsidRPr="008F39F7" w:rsidRDefault="004007D1" w:rsidP="004007D1">
            <w:pPr>
              <w:pStyle w:val="List"/>
            </w:pPr>
            <w:r w:rsidRPr="0080555B">
              <w:t>(b)</w:t>
            </w:r>
            <w:r w:rsidRPr="0080555B">
              <w:tab/>
              <w:t>The amount of On-Line capacity based on the telemetered High Sustained Limit (HSL) for all On-Line Generation Resources</w:t>
            </w:r>
            <w:r w:rsidR="00800062">
              <w:t xml:space="preserve"> and ESRs</w:t>
            </w:r>
            <w:r w:rsidRPr="0080555B">
              <w:t xml:space="preserve">, the </w:t>
            </w:r>
            <w:r w:rsidRPr="00540AB6">
              <w:t xml:space="preserve">telemetered consumption from Load Resources with a validated </w:t>
            </w:r>
            <w:r w:rsidRPr="0080555B">
              <w:t xml:space="preserve">Ancillary Service Schedule for </w:t>
            </w:r>
            <w:r>
              <w:t xml:space="preserve">ECRS or </w:t>
            </w:r>
            <w:r w:rsidRPr="0080555B">
              <w:t>RRS controlled by high-set under-frequency relay</w:t>
            </w:r>
            <w:r w:rsidR="005009AD">
              <w:t xml:space="preserve"> or Non-Spin</w:t>
            </w:r>
            <w:r w:rsidRPr="0080555B">
              <w:t>, and the capacity from Controllable Load Resources available to SCED</w:t>
            </w:r>
            <w:r w:rsidR="00800062">
              <w:t>, including capacity from modeled Controllable Load Resources associated with ESRs</w:t>
            </w:r>
            <w:r w:rsidRPr="0080555B">
              <w:t>;</w:t>
            </w:r>
          </w:p>
        </w:tc>
      </w:tr>
    </w:tbl>
    <w:p w14:paraId="39557C09" w14:textId="380144B2" w:rsidR="001F04FD" w:rsidRPr="0080555B" w:rsidRDefault="001F04FD" w:rsidP="00D56BB3">
      <w:pPr>
        <w:pStyle w:val="List"/>
        <w:spacing w:before="240"/>
      </w:pPr>
      <w:r>
        <w:t>(c</w:t>
      </w:r>
      <w:r w:rsidRPr="0080555B">
        <w:t>)</w:t>
      </w:r>
      <w:r w:rsidRPr="0080555B">
        <w:tab/>
        <w:t>The amount of Ancillary Service Resource Responsibility</w:t>
      </w:r>
      <w:r>
        <w:t xml:space="preserve"> for Reg-Up, </w:t>
      </w:r>
      <w:r w:rsidR="006E1ADE">
        <w:t xml:space="preserve">ECRS, </w:t>
      </w:r>
      <w:r>
        <w:t>RRS and Non-Spin</w:t>
      </w:r>
      <w:r w:rsidRPr="0080555B">
        <w:t xml:space="preserve"> for the QSE for the 15-minute Settlement Interval. </w:t>
      </w:r>
    </w:p>
    <w:p w14:paraId="2B38C94E" w14:textId="77777777" w:rsidR="001F04FD" w:rsidRPr="00B6611B" w:rsidRDefault="001F04FD" w:rsidP="00B55307">
      <w:pPr>
        <w:pStyle w:val="BodyTextNumbered"/>
      </w:pPr>
      <w:r w:rsidRPr="00B6611B">
        <w:rPr>
          <w:szCs w:val="24"/>
        </w:rPr>
        <w:t>(3)</w:t>
      </w:r>
      <w:r w:rsidRPr="00B6611B">
        <w:rPr>
          <w:szCs w:val="24"/>
        </w:rPr>
        <w:tab/>
      </w:r>
      <w:r w:rsidRPr="00B6611B">
        <w:t>Resources meeting one or more of the following conditions will be excluded from the amounts calculated pursuant to paragraphs (2)(a) and (b) above:</w:t>
      </w:r>
    </w:p>
    <w:p w14:paraId="3C8F8117" w14:textId="77777777" w:rsidR="001F04FD" w:rsidRPr="00B6611B" w:rsidRDefault="001F04FD" w:rsidP="00163B6D">
      <w:pPr>
        <w:pStyle w:val="List"/>
      </w:pPr>
      <w:r w:rsidRPr="00B6611B">
        <w:t>(</w:t>
      </w:r>
      <w:r w:rsidR="006F59E4">
        <w:t>a</w:t>
      </w:r>
      <w:r w:rsidRPr="00B6611B">
        <w:t>)</w:t>
      </w:r>
      <w:r w:rsidRPr="00B6611B">
        <w:tab/>
        <w:t>Nuclear Resources;</w:t>
      </w:r>
    </w:p>
    <w:p w14:paraId="68581B55" w14:textId="0EFBFB0D" w:rsidR="001F04FD" w:rsidRPr="00B6611B" w:rsidRDefault="001F04FD" w:rsidP="001F04FD">
      <w:pPr>
        <w:pStyle w:val="List"/>
      </w:pPr>
      <w:r w:rsidRPr="00B6611B">
        <w:t>(</w:t>
      </w:r>
      <w:r w:rsidR="006F59E4">
        <w:t>b</w:t>
      </w:r>
      <w:r w:rsidRPr="00B6611B">
        <w:t>)</w:t>
      </w:r>
      <w:r w:rsidRPr="00B6611B">
        <w:tab/>
        <w:t xml:space="preserve">Resources with a telemetered ONTEST, </w:t>
      </w:r>
      <w:r w:rsidR="00DE555F">
        <w:t xml:space="preserve">ONHOLD, </w:t>
      </w:r>
      <w:r w:rsidRPr="00B6611B">
        <w:t>STARTUP</w:t>
      </w:r>
      <w:r w:rsidRPr="00D443AA">
        <w:t xml:space="preserve"> </w:t>
      </w:r>
      <w:r w:rsidRPr="00D443AA">
        <w:rPr>
          <w:szCs w:val="24"/>
        </w:rPr>
        <w:t>(except Resources with Non-Spin Ancillary Service Resource Responsibility greater than zero)</w:t>
      </w:r>
      <w:r w:rsidRPr="00B6611B">
        <w:t>, or SHUTDOWN Resource Status excluding Resources telemetering both STARTUP Resource Status and greater than zero Non-Spin Ancillary Service Responsibility; or</w:t>
      </w:r>
    </w:p>
    <w:p w14:paraId="171D6CC4" w14:textId="35CE64C8" w:rsidR="001F04FD" w:rsidRPr="00980528" w:rsidRDefault="001F04FD" w:rsidP="00F969DB">
      <w:pPr>
        <w:pStyle w:val="List"/>
        <w:rPr>
          <w:szCs w:val="24"/>
        </w:rPr>
      </w:pPr>
      <w:r w:rsidRPr="00B6611B">
        <w:t>(</w:t>
      </w:r>
      <w:r w:rsidR="006F59E4">
        <w:t>c</w:t>
      </w:r>
      <w:r w:rsidRPr="00B6611B">
        <w:t>)</w:t>
      </w:r>
      <w:r w:rsidRPr="00B6611B">
        <w:tab/>
        <w:t xml:space="preserve">Resources with a telemetered net real power (in MW) less than 95% of their telemetered Low Sustained Limit (LSL) excluding Resources telemetering both </w:t>
      </w:r>
      <w:r w:rsidRPr="00B6611B">
        <w:lastRenderedPageBreak/>
        <w:t>STARTUP Resource Status and greater than zero Non-Spin Ancillary Service Responsibility.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6CB21869" w14:textId="77777777" w:rsidTr="000169BA">
        <w:trPr>
          <w:trHeight w:val="206"/>
        </w:trPr>
        <w:tc>
          <w:tcPr>
            <w:tcW w:w="9576" w:type="dxa"/>
            <w:shd w:val="pct12" w:color="auto" w:fill="auto"/>
          </w:tcPr>
          <w:p w14:paraId="56DEE4FE" w14:textId="6CECC287" w:rsidR="00800062" w:rsidRDefault="00800062" w:rsidP="000169BA">
            <w:pPr>
              <w:pStyle w:val="Instructions"/>
              <w:spacing w:before="120"/>
            </w:pPr>
            <w:r>
              <w:t>[NPRR987:  Replace paragraph (c) above with the following upon system implementation:]</w:t>
            </w:r>
          </w:p>
          <w:p w14:paraId="678A6CA3" w14:textId="77777777" w:rsidR="00800062" w:rsidRDefault="00800062" w:rsidP="00800062">
            <w:pPr>
              <w:spacing w:after="240"/>
              <w:ind w:left="1440" w:hanging="720"/>
            </w:pPr>
            <w:r w:rsidRPr="0021367F">
              <w:t>(c)</w:t>
            </w:r>
            <w:r w:rsidRPr="0021367F">
              <w:tab/>
              <w:t>Resources with a telemetered net real power (in MW) less than 95% of their telemetered Low Sustained Limit (LSL) excluding</w:t>
            </w:r>
            <w:r>
              <w:t xml:space="preserve"> the following: </w:t>
            </w:r>
          </w:p>
          <w:p w14:paraId="44769915" w14:textId="77777777" w:rsidR="00800062" w:rsidRDefault="00800062" w:rsidP="00800062">
            <w:pPr>
              <w:spacing w:after="240"/>
              <w:ind w:left="2160" w:hanging="720"/>
            </w:pPr>
            <w:r>
              <w:t>(i)</w:t>
            </w:r>
            <w:r>
              <w:tab/>
            </w:r>
            <w:r w:rsidRPr="009A6F07">
              <w:t>Resources telemetering both STARTUP Resource Status and greater than zero Non-Spin Ancillary Service Responsibility</w:t>
            </w:r>
            <w:r>
              <w:t>; or</w:t>
            </w:r>
          </w:p>
          <w:p w14:paraId="4003CBE6" w14:textId="1AE737FD" w:rsidR="00800062" w:rsidRPr="008F39F7" w:rsidRDefault="00800062" w:rsidP="00800062">
            <w:pPr>
              <w:spacing w:after="240"/>
              <w:ind w:left="2160" w:hanging="720"/>
            </w:pPr>
            <w:r>
              <w:t>(ii)</w:t>
            </w:r>
            <w:r>
              <w:tab/>
              <w:t>ESRs</w:t>
            </w:r>
            <w:r w:rsidRPr="009A6F07">
              <w:t>.</w:t>
            </w:r>
          </w:p>
        </w:tc>
      </w:tr>
    </w:tbl>
    <w:p w14:paraId="1BEE530C" w14:textId="648950CD" w:rsidR="00C552D9" w:rsidRDefault="001F04FD" w:rsidP="001B11AD">
      <w:pPr>
        <w:pStyle w:val="BodyTextNumbered"/>
        <w:spacing w:before="240"/>
      </w:pPr>
      <w:bookmarkStart w:id="2763" w:name="_Hlk156913587"/>
      <w:r w:rsidRPr="0080555B">
        <w:t>(4)</w:t>
      </w:r>
      <w:r w:rsidRPr="0080555B">
        <w:tab/>
      </w:r>
      <w:r w:rsidR="00B5219D" w:rsidRPr="00061A64">
        <w:t>Reliability Must-Run (RMR) Units and Reliability Unit Commitment (RUC) Resources On-Line during the hour due to an ERCOT instruction</w:t>
      </w:r>
      <w:r w:rsidR="00C552D9" w:rsidRPr="00C552D9">
        <w:rPr>
          <w:iCs/>
        </w:rPr>
        <w:t xml:space="preserve"> </w:t>
      </w:r>
      <w:r w:rsidR="00C552D9" w:rsidRPr="00EA71DD">
        <w:rPr>
          <w:iCs/>
        </w:rPr>
        <w:t>will be excluded from the amounts calculated for the 15-minute Settlement Interval pursuant to paragraphs (2)(a), (b), and (c) above</w:t>
      </w:r>
      <w:r w:rsidR="00B5219D" w:rsidRPr="00061A64">
        <w:t xml:space="preserve">, except </w:t>
      </w:r>
      <w:r w:rsidR="00B5219D">
        <w:t>for</w:t>
      </w:r>
      <w:r w:rsidR="00C552D9">
        <w:t>:</w:t>
      </w:r>
    </w:p>
    <w:p w14:paraId="407A8D72" w14:textId="08EAA8DD" w:rsidR="00C552D9" w:rsidRDefault="00C552D9" w:rsidP="00C552D9">
      <w:pPr>
        <w:pStyle w:val="List"/>
      </w:pPr>
      <w:r>
        <w:t>(a)</w:t>
      </w:r>
      <w:r>
        <w:tab/>
        <w:t>T</w:t>
      </w:r>
      <w:r w:rsidR="005728E5">
        <w:t>hose RUC Resources that had a Three-Part Supply Offer cleared in the DAM for the hour</w:t>
      </w:r>
      <w:r>
        <w:t>;</w:t>
      </w:r>
      <w:r w:rsidR="005728E5" w:rsidRPr="007A5ADA">
        <w:t xml:space="preserve"> </w:t>
      </w:r>
    </w:p>
    <w:p w14:paraId="6E4031AA" w14:textId="2A4E963A" w:rsidR="00C552D9" w:rsidRDefault="00C552D9" w:rsidP="00C552D9">
      <w:pPr>
        <w:pStyle w:val="List"/>
      </w:pPr>
      <w:r w:rsidRPr="00C552D9">
        <w:t>(b)</w:t>
      </w:r>
      <w:r w:rsidRPr="00C552D9">
        <w:tab/>
      </w:r>
      <w:r>
        <w:t>A</w:t>
      </w:r>
      <w:r w:rsidR="005728E5" w:rsidRPr="007A5ADA">
        <w:t xml:space="preserve"> Switchable Generation Resource (SWGR) released by a non-ERCOT Control Area </w:t>
      </w:r>
      <w:r w:rsidR="008301B1" w:rsidRPr="00C552D9">
        <w:rPr>
          <w:szCs w:val="24"/>
        </w:rPr>
        <w:t>Operator</w:t>
      </w:r>
      <w:r w:rsidR="008301B1">
        <w:t xml:space="preserve"> (CAO)</w:t>
      </w:r>
      <w:r w:rsidR="008301B1" w:rsidRPr="007A5ADA">
        <w:t xml:space="preserve"> to </w:t>
      </w:r>
      <w:r w:rsidR="005728E5" w:rsidRPr="007A5ADA">
        <w:t>operate in the ERCOT Control Area due to an ERCOT RUC instruction</w:t>
      </w:r>
      <w:r w:rsidR="005728E5">
        <w:t xml:space="preserve"> for an actual or anticipated Energy Emergency Alert (EEA) condition</w:t>
      </w:r>
      <w:r>
        <w:t>;</w:t>
      </w:r>
      <w:r w:rsidR="005728E5" w:rsidRPr="00061A64">
        <w:t xml:space="preserve"> </w:t>
      </w:r>
    </w:p>
    <w:p w14:paraId="5EE2495B" w14:textId="1193477F" w:rsidR="001F04FD" w:rsidRDefault="00C552D9" w:rsidP="00C552D9">
      <w:pPr>
        <w:pStyle w:val="List"/>
      </w:pPr>
      <w:r>
        <w:t>(c)</w:t>
      </w:r>
      <w:r>
        <w:tab/>
        <w:t>A</w:t>
      </w:r>
      <w:r w:rsidR="006722C1">
        <w:t>ny Combined Cycle Generation Resource that was RUC-committed from one On-Line configuration to a different configuration with additional capacity, as described in paragraph (3) of Section 5.5.2,</w:t>
      </w:r>
      <w:r w:rsidRPr="00C552D9">
        <w:rPr>
          <w:lang w:val="x-none" w:eastAsia="x-none"/>
        </w:rPr>
        <w:t xml:space="preserve"> </w:t>
      </w:r>
      <w:r w:rsidRPr="00EA71DD">
        <w:rPr>
          <w:lang w:val="x-none" w:eastAsia="x-none"/>
        </w:rPr>
        <w:t>Reliability Unit Commitment (RUC) Process</w:t>
      </w:r>
      <w:r w:rsidRPr="00EA71DD">
        <w:rPr>
          <w:lang w:eastAsia="x-none"/>
        </w:rPr>
        <w:t>;</w:t>
      </w:r>
      <w:r w:rsidR="006722C1">
        <w:t xml:space="preserve"> </w:t>
      </w:r>
      <w:r>
        <w:t>or</w:t>
      </w:r>
    </w:p>
    <w:p w14:paraId="043C12E0" w14:textId="00871033" w:rsidR="00C552D9" w:rsidRPr="0080555B" w:rsidRDefault="00C552D9" w:rsidP="00EF74C5">
      <w:pPr>
        <w:pStyle w:val="List"/>
      </w:pPr>
      <w:r>
        <w:t>(d)</w:t>
      </w:r>
      <w:r>
        <w:tab/>
      </w:r>
      <w:r w:rsidRPr="00EA71DD">
        <w:rPr>
          <w:lang w:val="x-none" w:eastAsia="x-none"/>
        </w:rPr>
        <w:t>Any RUC Resource committed by a RUC Dispatch Instruction where that Resource’s QSE subsequently opted out of RUC Settlement pursuant to paragraph (14) of Section 5.5.2.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132EA" w14:paraId="1550769B" w14:textId="77777777" w:rsidTr="00A16AF1">
        <w:trPr>
          <w:trHeight w:val="206"/>
        </w:trPr>
        <w:tc>
          <w:tcPr>
            <w:tcW w:w="9576" w:type="dxa"/>
            <w:shd w:val="pct12" w:color="auto" w:fill="auto"/>
          </w:tcPr>
          <w:bookmarkEnd w:id="2763"/>
          <w:p w14:paraId="2A252411" w14:textId="401E2DD0" w:rsidR="00C132EA" w:rsidRDefault="00C132EA" w:rsidP="00A16AF1">
            <w:pPr>
              <w:pStyle w:val="Instructions"/>
              <w:spacing w:before="120"/>
            </w:pPr>
            <w:r>
              <w:t>[</w:t>
            </w:r>
            <w:r w:rsidR="00614118">
              <w:t>NPRR885</w:t>
            </w:r>
            <w:r>
              <w:t>:  Replace paragraph (4) above with the following upon system implementation:]</w:t>
            </w:r>
          </w:p>
          <w:p w14:paraId="367C39EB" w14:textId="56F3C28A" w:rsidR="006F1BB9" w:rsidRDefault="00C132EA" w:rsidP="008A543E">
            <w:pPr>
              <w:pStyle w:val="BodyTextNumbered"/>
            </w:pPr>
            <w:bookmarkStart w:id="2764" w:name="_Hlk102564913"/>
            <w:r w:rsidRPr="0080555B">
              <w:t>(4)</w:t>
            </w:r>
            <w:r w:rsidRPr="0080555B">
              <w:tab/>
            </w:r>
            <w:r w:rsidRPr="00061A64">
              <w:t>Reliability Must-Run (RMR) Units</w:t>
            </w:r>
            <w:r w:rsidR="00614118">
              <w:t>, and Must-Run Alternatives (MRAs),</w:t>
            </w:r>
            <w:r w:rsidRPr="00061A64">
              <w:t xml:space="preserve"> and Reliability Unit Commitment (RUC) Resources On-Line during the hour due to an ERCOT instruction</w:t>
            </w:r>
            <w:r w:rsidR="006F1BB9" w:rsidRPr="00EA71DD">
              <w:rPr>
                <w:iCs/>
              </w:rPr>
              <w:t xml:space="preserve"> will be excluded from the amounts calculated for the 15-minute Settlement Interval pursuant to paragraphs (2)(a), (b), and (c) above except for:</w:t>
            </w:r>
            <w:r w:rsidR="000809F8">
              <w:t xml:space="preserve"> </w:t>
            </w:r>
          </w:p>
          <w:p w14:paraId="3AE02F86" w14:textId="7E200237" w:rsidR="006F1BB9" w:rsidRDefault="006F1BB9" w:rsidP="007472E5">
            <w:pPr>
              <w:pStyle w:val="BodyTextNumbered"/>
              <w:ind w:left="1410"/>
            </w:pPr>
            <w:r>
              <w:t>(a)</w:t>
            </w:r>
            <w:r w:rsidRPr="0080555B">
              <w:tab/>
            </w:r>
            <w:r>
              <w:t>T</w:t>
            </w:r>
            <w:r w:rsidR="000809F8">
              <w:t>hose RUC Resources that had a Three-Part Supply Offer cleared in the DAM for the hour</w:t>
            </w:r>
            <w:r>
              <w:t>;</w:t>
            </w:r>
          </w:p>
          <w:p w14:paraId="02FB2819" w14:textId="6BB1CEAA" w:rsidR="006F1BB9" w:rsidRDefault="006F1BB9" w:rsidP="007472E5">
            <w:pPr>
              <w:pStyle w:val="BodyTextNumbered"/>
              <w:ind w:left="1410"/>
            </w:pPr>
            <w:r>
              <w:lastRenderedPageBreak/>
              <w:t>(b)</w:t>
            </w:r>
            <w:r w:rsidRPr="0080555B">
              <w:tab/>
            </w:r>
            <w:r>
              <w:t>A</w:t>
            </w:r>
            <w:r w:rsidR="00234FA4" w:rsidRPr="007A5ADA">
              <w:t xml:space="preserve"> Switchable Generation Resource (SWGR) released by a non-ERCOT Control Area</w:t>
            </w:r>
            <w:r w:rsidR="008A543E" w:rsidRPr="007A5ADA">
              <w:t xml:space="preserve"> Operator</w:t>
            </w:r>
            <w:r w:rsidR="008A543E">
              <w:t xml:space="preserve"> (CAO)</w:t>
            </w:r>
            <w:r w:rsidR="008A543E" w:rsidRPr="007A5ADA">
              <w:t xml:space="preserve"> to operate in the ERCOT Control Area due to an ERCOT RUC instruction</w:t>
            </w:r>
            <w:r w:rsidR="008A543E">
              <w:t xml:space="preserve"> for an actual or anticipated Energy Emergency Alert (EEA) condition</w:t>
            </w:r>
            <w:r>
              <w:t>;</w:t>
            </w:r>
          </w:p>
          <w:p w14:paraId="50BFB447" w14:textId="02F63E89" w:rsidR="00C132EA" w:rsidRDefault="006F1BB9" w:rsidP="007472E5">
            <w:pPr>
              <w:pStyle w:val="BodyTextNumbered"/>
              <w:ind w:left="1410"/>
            </w:pPr>
            <w:r>
              <w:t>(c)</w:t>
            </w:r>
            <w:r w:rsidRPr="0080555B">
              <w:tab/>
            </w:r>
            <w:r>
              <w:t>A</w:t>
            </w:r>
            <w:r w:rsidR="00C132EA">
              <w:t>ny Combined Cycle Generation Resource that was RUC-committed from one On-Line configuration to a different configuration with additional capacity, as described in paragraph (3) of Section 5.5.2,</w:t>
            </w:r>
            <w:r w:rsidRPr="00EA71DD">
              <w:rPr>
                <w:lang w:eastAsia="x-none"/>
              </w:rPr>
              <w:t xml:space="preserve"> Reliability Unit Commitment (RUC) Process</w:t>
            </w:r>
            <w:r>
              <w:rPr>
                <w:lang w:eastAsia="x-none"/>
              </w:rPr>
              <w:t>; or</w:t>
            </w:r>
          </w:p>
          <w:p w14:paraId="6DE56B40" w14:textId="75921613" w:rsidR="006F1BB9" w:rsidRPr="008F39F7" w:rsidRDefault="006F1BB9" w:rsidP="007472E5">
            <w:pPr>
              <w:pStyle w:val="BodyTextNumbered"/>
              <w:ind w:left="1410"/>
            </w:pPr>
            <w:r>
              <w:t>(d)</w:t>
            </w:r>
            <w:r w:rsidRPr="0080555B">
              <w:tab/>
            </w:r>
            <w:r w:rsidRPr="00EA71DD">
              <w:rPr>
                <w:lang w:eastAsia="x-none"/>
              </w:rPr>
              <w:t>Any RUC Resource committed by a RUC Dispatch Instruction where that Resource’s QSE subsequently opted out of RUC Settlement pursuant to paragraph (14) of Section 5.5.2.</w:t>
            </w:r>
            <w:bookmarkEnd w:id="2764"/>
          </w:p>
        </w:tc>
      </w:tr>
    </w:tbl>
    <w:p w14:paraId="4AE2D1A1" w14:textId="77777777" w:rsidR="001F04FD" w:rsidRDefault="001F04FD" w:rsidP="008D7D6C">
      <w:pPr>
        <w:pStyle w:val="BodyTextNumbered"/>
        <w:spacing w:before="240"/>
      </w:pPr>
      <w:r w:rsidRPr="0080555B">
        <w:lastRenderedPageBreak/>
        <w:t>(5)</w:t>
      </w:r>
      <w:r w:rsidRPr="0080555B">
        <w:tab/>
      </w:r>
      <w:r>
        <w:t>The Real-Time Off-Line Reserve Capacity for the QSE (RTOFFCAP) shall be</w:t>
      </w:r>
      <w:r>
        <w:rPr>
          <w:color w:val="000000"/>
        </w:rPr>
        <w:t xml:space="preserve"> administratively </w:t>
      </w:r>
      <w:r>
        <w:t>set to zero when the SCED snapshot of the Physical Responsive Capability</w:t>
      </w:r>
      <w:r>
        <w:rPr>
          <w:color w:val="000000"/>
        </w:rPr>
        <w:t xml:space="preserve"> (</w:t>
      </w:r>
      <w:r>
        <w:t>PRC) is less than or equal to the PRC MW at which EEA Level 1 is initiated.</w:t>
      </w:r>
    </w:p>
    <w:p w14:paraId="7A90E59A" w14:textId="77777777" w:rsidR="001F04FD" w:rsidRDefault="001F04FD" w:rsidP="001F04FD">
      <w:pPr>
        <w:pStyle w:val="BodyTextNumbered"/>
      </w:pPr>
      <w:r w:rsidRPr="00B6611B">
        <w:t>(</w:t>
      </w:r>
      <w:r>
        <w:t>6</w:t>
      </w:r>
      <w:r w:rsidRPr="00B6611B">
        <w:t>)</w:t>
      </w:r>
      <w:r w:rsidRPr="00B6611B">
        <w:tab/>
        <w:t>Resources that ha</w:t>
      </w:r>
      <w:r>
        <w:t>ve a</w:t>
      </w:r>
      <w:r w:rsidRPr="00B6611B">
        <w:t xml:space="preserve"> </w:t>
      </w:r>
      <w:r>
        <w:t>U</w:t>
      </w:r>
      <w:r w:rsidRPr="00B6611B">
        <w:t xml:space="preserve">nder </w:t>
      </w:r>
      <w:r>
        <w:t>G</w:t>
      </w:r>
      <w:r w:rsidRPr="00B6611B">
        <w:t xml:space="preserve">eneration </w:t>
      </w:r>
      <w:r>
        <w:t>V</w:t>
      </w:r>
      <w:r w:rsidRPr="00B6611B">
        <w:t>olume</w:t>
      </w:r>
      <w:r>
        <w:t xml:space="preserve"> (UGEN)</w:t>
      </w:r>
      <w:r w:rsidRPr="00B6611B">
        <w:t xml:space="preserve"> greater than zero</w:t>
      </w:r>
      <w:r>
        <w:t xml:space="preserve">, and are not-exempt from a </w:t>
      </w:r>
      <w:r w:rsidRPr="00B6611B">
        <w:t>Base Point Deviation Charge</w:t>
      </w:r>
      <w:r>
        <w:t xml:space="preserve">, </w:t>
      </w:r>
      <w:r w:rsidRPr="00B6611B">
        <w:t>as set forth in Section 6.6.5</w:t>
      </w:r>
      <w:r>
        <w:t>,</w:t>
      </w:r>
      <w:r w:rsidRPr="00B6611B">
        <w:t xml:space="preserve"> Base Point Deviation Charge,</w:t>
      </w:r>
      <w:r>
        <w:t xml:space="preserve"> or are not already excluded in paragraphs (3) or (4) above,</w:t>
      </w:r>
      <w:r w:rsidRPr="00B6611B">
        <w:t xml:space="preserve"> for the 15-minute Settlement Interval</w:t>
      </w:r>
      <w:r>
        <w:t xml:space="preserve"> </w:t>
      </w:r>
      <w:r w:rsidRPr="00B6611B">
        <w:t xml:space="preserve">will </w:t>
      </w:r>
      <w:r>
        <w:t xml:space="preserve">have the UGEN amounts removed from </w:t>
      </w:r>
      <w:r w:rsidRPr="00B6611B">
        <w:t xml:space="preserve">the amounts calculated </w:t>
      </w:r>
      <w:r>
        <w:t xml:space="preserve">pursuant to </w:t>
      </w:r>
      <w:r w:rsidRPr="00B6611B">
        <w:t>paragraphs (2)(a) and (b) above</w:t>
      </w:r>
      <w: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20F10DCD" w14:textId="77777777" w:rsidTr="000169BA">
        <w:trPr>
          <w:trHeight w:val="206"/>
        </w:trPr>
        <w:tc>
          <w:tcPr>
            <w:tcW w:w="9576" w:type="dxa"/>
            <w:shd w:val="pct12" w:color="auto" w:fill="auto"/>
          </w:tcPr>
          <w:p w14:paraId="20901E2B" w14:textId="018D0950" w:rsidR="000169BA" w:rsidRDefault="000169BA" w:rsidP="000169BA">
            <w:pPr>
              <w:pStyle w:val="Instructions"/>
              <w:spacing w:before="120"/>
            </w:pPr>
            <w:r>
              <w:t>[NPRR987:  Replace paragraph (6) above with the following upon system implementation:]</w:t>
            </w:r>
          </w:p>
          <w:p w14:paraId="11A5CE89" w14:textId="0E16BDF7" w:rsidR="000169BA" w:rsidRPr="008F39F7" w:rsidRDefault="000169BA" w:rsidP="000169BA">
            <w:pPr>
              <w:spacing w:after="240"/>
              <w:ind w:left="720" w:hanging="720"/>
            </w:pPr>
            <w:r w:rsidRPr="0021367F">
              <w:t>(6)</w:t>
            </w:r>
            <w:r w:rsidRPr="0021367F">
              <w:tab/>
              <w:t>Resources that have a</w:t>
            </w:r>
            <w:r>
              <w:t>n</w:t>
            </w:r>
            <w:r w:rsidRPr="0021367F">
              <w:t xml:space="preserve"> Under Generation Volume (UGEN) </w:t>
            </w:r>
            <w:r>
              <w:t xml:space="preserve">or an Under Performance Volume (UPESR) </w:t>
            </w:r>
            <w:r w:rsidRPr="0021367F">
              <w:t>greater than zero, and are not</w:t>
            </w:r>
            <w:r>
              <w:t xml:space="preserve"> </w:t>
            </w:r>
            <w:r w:rsidRPr="0021367F">
              <w:t xml:space="preserve">exempt from a Base Point Deviation Charge, as set forth in Section 6.6.5, Base Point Deviation Charge, or are not already excluded in paragraphs (3) or (4) above, for the 15-minute Settlement Interval will have the UGEN </w:t>
            </w:r>
            <w:r>
              <w:t xml:space="preserve">or UPESR </w:t>
            </w:r>
            <w:r w:rsidRPr="0021367F">
              <w:t>amounts removed from the amounts calculated pursuant to paragraphs (2)(a) and (b) above.</w:t>
            </w:r>
          </w:p>
        </w:tc>
      </w:tr>
    </w:tbl>
    <w:p w14:paraId="23C5362A" w14:textId="7530935E" w:rsidR="001F04FD" w:rsidRPr="0080555B" w:rsidRDefault="001F04FD" w:rsidP="001B11AD">
      <w:pPr>
        <w:pStyle w:val="BodyTextNumbered"/>
        <w:spacing w:before="240"/>
      </w:pPr>
      <w:r>
        <w:t>(7)</w:t>
      </w:r>
      <w:r>
        <w:tab/>
      </w:r>
      <w:r w:rsidRPr="0080555B">
        <w:t xml:space="preserve">The payment or charge to each QSE for the Ancillary Service </w:t>
      </w:r>
      <w:r w:rsidR="008301B1">
        <w:t>i</w:t>
      </w:r>
      <w:r w:rsidRPr="0080555B">
        <w:t>mbalance for a given 15</w:t>
      </w:r>
      <w:r>
        <w:t>-</w:t>
      </w:r>
      <w:r w:rsidRPr="0080555B">
        <w:t>minute Settlement Interval is calculated as follows:</w:t>
      </w:r>
    </w:p>
    <w:p w14:paraId="5FBBAE6A" w14:textId="77777777" w:rsidR="001F04FD" w:rsidRDefault="001F04FD" w:rsidP="001F04FD">
      <w:pPr>
        <w:pStyle w:val="FormulaBold"/>
      </w:pPr>
      <w:r w:rsidRPr="000275BF">
        <w:t>RTASIAMT</w:t>
      </w:r>
      <w:r w:rsidRPr="000275BF">
        <w:rPr>
          <w:i/>
          <w:vertAlign w:val="subscript"/>
        </w:rPr>
        <w:t xml:space="preserve"> q</w:t>
      </w:r>
      <w:r w:rsidRPr="000275BF">
        <w:tab/>
        <w:t>=</w:t>
      </w:r>
      <w:r w:rsidRPr="000275BF">
        <w:tab/>
      </w:r>
      <w:r w:rsidRPr="000275BF">
        <w:tab/>
        <w:t xml:space="preserve">(-1) * </w:t>
      </w:r>
      <w:r>
        <w:t>[</w:t>
      </w:r>
      <w:r w:rsidRPr="000275BF">
        <w:t>(RTASOLIMB</w:t>
      </w:r>
      <w:r w:rsidRPr="000275BF">
        <w:rPr>
          <w:i/>
          <w:vertAlign w:val="subscript"/>
        </w:rPr>
        <w:t xml:space="preserve"> q</w:t>
      </w:r>
      <w:r w:rsidRPr="000275BF">
        <w:t xml:space="preserve"> * RTRSVPOR) + (RTASOFFIMB</w:t>
      </w:r>
      <w:r w:rsidRPr="000275BF">
        <w:rPr>
          <w:i/>
          <w:vertAlign w:val="subscript"/>
        </w:rPr>
        <w:t xml:space="preserve"> q</w:t>
      </w:r>
      <w:r w:rsidRPr="000275BF">
        <w:t xml:space="preserve"> * RTRSVPOFF)</w:t>
      </w:r>
      <w:r>
        <w:t>]</w:t>
      </w:r>
    </w:p>
    <w:p w14:paraId="3E1F0B73" w14:textId="77777777" w:rsidR="001F04FD" w:rsidRDefault="001F04FD" w:rsidP="001F04FD">
      <w:pPr>
        <w:pStyle w:val="FormulaBold"/>
      </w:pPr>
      <w:r w:rsidRPr="00193B05">
        <w:t>RT</w:t>
      </w:r>
      <w:r>
        <w:t>RD</w:t>
      </w:r>
      <w:r w:rsidRPr="00193B05">
        <w:t>ASIAMT</w:t>
      </w:r>
      <w:r w:rsidRPr="00193B05">
        <w:rPr>
          <w:i/>
          <w:vertAlign w:val="subscript"/>
        </w:rPr>
        <w:t xml:space="preserve"> q</w:t>
      </w:r>
      <w:r w:rsidRPr="00193B05">
        <w:t>=</w:t>
      </w:r>
      <w:r w:rsidRPr="00193B05">
        <w:tab/>
      </w:r>
      <w:r w:rsidRPr="00193B05">
        <w:tab/>
        <w:t>(-1) * (RTASOLIMB</w:t>
      </w:r>
      <w:r w:rsidRPr="00193B05">
        <w:rPr>
          <w:i/>
          <w:vertAlign w:val="subscript"/>
        </w:rPr>
        <w:t xml:space="preserve"> q</w:t>
      </w:r>
      <w:r w:rsidRPr="00193B05">
        <w:t xml:space="preserve"> * </w:t>
      </w:r>
      <w:r>
        <w:t>RTRDP)</w:t>
      </w:r>
    </w:p>
    <w:p w14:paraId="480706AE" w14:textId="77777777" w:rsidR="001F04FD" w:rsidRPr="0080555B" w:rsidRDefault="001F04FD" w:rsidP="001F04FD">
      <w:pPr>
        <w:spacing w:before="120" w:after="240"/>
      </w:pPr>
      <w:r w:rsidRPr="0080555B">
        <w:t>Where:</w:t>
      </w:r>
    </w:p>
    <w:p w14:paraId="50981B20" w14:textId="0A8F43A9" w:rsidR="001F04FD" w:rsidRPr="00602C41" w:rsidRDefault="001F04FD" w:rsidP="00B074A0">
      <w:pPr>
        <w:spacing w:after="240"/>
        <w:ind w:left="3600" w:hanging="2880"/>
      </w:pPr>
      <w:r w:rsidRPr="00602C41">
        <w:lastRenderedPageBreak/>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sidRPr="008F1530">
        <w:t xml:space="preserve"> </w:t>
      </w:r>
      <w:r w:rsidR="00013237" w:rsidRPr="00602C41">
        <w:t>–</w:t>
      </w:r>
      <w:r w:rsidR="00013237">
        <w:t xml:space="preserve"> </w:t>
      </w:r>
      <w:r w:rsidR="00013237" w:rsidRPr="00876C1F">
        <w:rPr>
          <w:bCs/>
        </w:rPr>
        <w:t>RTNCL</w:t>
      </w:r>
      <w:r w:rsidR="00013237">
        <w:rPr>
          <w:bCs/>
        </w:rPr>
        <w:t>RNSRESP</w:t>
      </w:r>
      <w:r w:rsidR="00013237" w:rsidRPr="00876C1F">
        <w:rPr>
          <w:bCs/>
          <w:i/>
          <w:vertAlign w:val="subscript"/>
        </w:rPr>
        <w:t xml:space="preserve"> q</w:t>
      </w:r>
      <w:r w:rsidR="00013237">
        <w:t xml:space="preserve"> </w:t>
      </w:r>
      <w:r>
        <w:t>– RTRMRRESP </w:t>
      </w:r>
      <w:r w:rsidRPr="00DB7534">
        <w:rPr>
          <w:i/>
          <w:vertAlign w:val="subscript"/>
        </w:rPr>
        <w:t>q</w:t>
      </w:r>
      <w:r w:rsidRPr="00602C41">
        <w:t>]</w:t>
      </w:r>
    </w:p>
    <w:p w14:paraId="76557343" w14:textId="77777777" w:rsidR="001F04FD" w:rsidRDefault="001F04FD" w:rsidP="00F468C2">
      <w:pPr>
        <w:spacing w:after="240"/>
      </w:pPr>
      <w:r w:rsidRPr="001E69BE">
        <w:t>Where:</w:t>
      </w:r>
    </w:p>
    <w:p w14:paraId="4733CCF9" w14:textId="77777777" w:rsidR="001F04FD" w:rsidRDefault="001F04FD" w:rsidP="001F04FD">
      <w:pPr>
        <w:spacing w:after="240"/>
        <w:rPr>
          <w:i/>
          <w:vertAlign w:val="subscript"/>
        </w:rPr>
      </w:pPr>
      <w:r>
        <w:tab/>
      </w:r>
      <w:r w:rsidRPr="00A94098">
        <w:t>RT</w:t>
      </w:r>
      <w:r>
        <w:t>ASOFF</w:t>
      </w:r>
      <w:r w:rsidRPr="000275BF">
        <w:rPr>
          <w:i/>
          <w:vertAlign w:val="subscript"/>
        </w:rPr>
        <w:t xml:space="preserve"> q</w:t>
      </w:r>
      <w:r w:rsidRPr="00A94098">
        <w:t xml:space="preserve"> =</w:t>
      </w:r>
      <w:r>
        <w:tab/>
      </w:r>
      <w:r>
        <w:tab/>
      </w:r>
      <w:r>
        <w:tab/>
      </w:r>
      <w:r w:rsidRPr="0010409C">
        <w:t xml:space="preserve">SYS_GEN_DISCFACTOR * </w:t>
      </w:r>
      <w:r w:rsidRPr="000275BF">
        <w:rPr>
          <w:position w:val="-18"/>
        </w:rPr>
        <w:object w:dxaOrig="225" w:dyaOrig="420" w14:anchorId="5753758C">
          <v:shape id="_x0000_i1368" type="#_x0000_t75" style="width:12pt;height:24pt" o:ole="">
            <v:imagedata r:id="rId159" o:title=""/>
          </v:shape>
          <o:OLEObject Type="Embed" ProgID="Equation.3" ShapeID="_x0000_i1368" DrawAspect="Content" ObjectID="_1804653851" r:id="rId457"/>
        </w:object>
      </w:r>
      <w:r w:rsidRPr="000275BF">
        <w:rPr>
          <w:position w:val="-22"/>
        </w:rPr>
        <w:object w:dxaOrig="225" w:dyaOrig="465" w14:anchorId="37D16C07">
          <v:shape id="_x0000_i1369" type="#_x0000_t75" style="width:12pt;height:18pt" o:ole="">
            <v:imagedata r:id="rId172" o:title=""/>
          </v:shape>
          <o:OLEObject Type="Embed" ProgID="Equation.3" ShapeID="_x0000_i1369" DrawAspect="Content" ObjectID="_1804653852" r:id="rId458"/>
        </w:object>
      </w:r>
      <w:r w:rsidRPr="00A94098">
        <w:t>RT</w:t>
      </w:r>
      <w:r>
        <w:t>ASOFFR</w:t>
      </w:r>
      <w:r w:rsidRPr="000275BF">
        <w:rPr>
          <w:i/>
          <w:vertAlign w:val="subscript"/>
        </w:rPr>
        <w:t xml:space="preserve"> q, r, p</w:t>
      </w:r>
    </w:p>
    <w:p w14:paraId="294B3B35" w14:textId="77777777" w:rsidR="001F04FD" w:rsidRDefault="001F04FD" w:rsidP="001F04FD">
      <w:pPr>
        <w:spacing w:after="240"/>
      </w:pPr>
      <w:r>
        <w:tab/>
      </w:r>
      <w:r w:rsidRPr="00C42571">
        <w:t>RTRUCNBBRESP</w:t>
      </w:r>
      <w:r>
        <w:t> </w:t>
      </w:r>
      <w:r w:rsidRPr="00DB7534">
        <w:rPr>
          <w:i/>
          <w:vertAlign w:val="subscript"/>
        </w:rPr>
        <w:t>q</w:t>
      </w:r>
      <w:r>
        <w:rPr>
          <w:vertAlign w:val="subscript"/>
        </w:rPr>
        <w:t xml:space="preserve">  </w:t>
      </w:r>
      <w:r w:rsidRPr="00B074A0">
        <w:t>=</w:t>
      </w:r>
      <w:r>
        <w:tab/>
      </w:r>
      <w:r w:rsidRPr="0010409C">
        <w:t xml:space="preserve">SYS_GEN_DISCFACTOR * </w:t>
      </w:r>
      <w:r w:rsidRPr="000275BF">
        <w:rPr>
          <w:position w:val="-18"/>
        </w:rPr>
        <w:object w:dxaOrig="225" w:dyaOrig="420" w14:anchorId="782A1F28">
          <v:shape id="_x0000_i1370" type="#_x0000_t75" style="width:12pt;height:24pt" o:ole="">
            <v:imagedata r:id="rId159" o:title=""/>
          </v:shape>
          <o:OLEObject Type="Embed" ProgID="Equation.3" ShapeID="_x0000_i1370" DrawAspect="Content" ObjectID="_1804653853" r:id="rId459"/>
        </w:object>
      </w:r>
      <w:r w:rsidRPr="00DD5118">
        <w:t xml:space="preserve"> </w:t>
      </w:r>
      <w:r>
        <w:t>RTRUCASA</w:t>
      </w:r>
      <w:r w:rsidRPr="000275BF">
        <w:rPr>
          <w:i/>
          <w:vertAlign w:val="subscript"/>
        </w:rPr>
        <w:t xml:space="preserve"> q, r</w:t>
      </w:r>
      <w:r>
        <w:t xml:space="preserve"> *  ¼</w:t>
      </w:r>
    </w:p>
    <w:p w14:paraId="0C70B1D3" w14:textId="41967EE0" w:rsidR="00013237" w:rsidRDefault="001F04FD" w:rsidP="00F468C2">
      <w:pPr>
        <w:spacing w:after="240"/>
      </w:pPr>
      <w:r>
        <w:rPr>
          <w:szCs w:val="18"/>
        </w:rPr>
        <w:tab/>
      </w:r>
      <w:r w:rsidR="00013237">
        <w:rPr>
          <w:szCs w:val="18"/>
        </w:rPr>
        <w:t>RTN</w:t>
      </w:r>
      <w:r w:rsidR="00013237" w:rsidRPr="00A60945">
        <w:rPr>
          <w:szCs w:val="18"/>
        </w:rPr>
        <w:t>CLRNSRESP</w:t>
      </w:r>
      <w:r w:rsidR="00013237">
        <w:rPr>
          <w:szCs w:val="18"/>
        </w:rPr>
        <w:t> </w:t>
      </w:r>
      <w:r w:rsidR="00013237" w:rsidRPr="00DB7534">
        <w:rPr>
          <w:i/>
          <w:vertAlign w:val="subscript"/>
        </w:rPr>
        <w:t>q</w:t>
      </w:r>
      <w:r w:rsidR="00013237">
        <w:rPr>
          <w:vertAlign w:val="subscript"/>
        </w:rPr>
        <w:t xml:space="preserve"> =</w:t>
      </w:r>
      <w:r w:rsidR="00013237">
        <w:rPr>
          <w:vertAlign w:val="subscript"/>
        </w:rPr>
        <w:tab/>
        <w:t xml:space="preserve"> </w:t>
      </w:r>
      <w:r w:rsidR="00013237">
        <w:t xml:space="preserve">        </w:t>
      </w:r>
      <w:r w:rsidR="00013237" w:rsidRPr="0010409C">
        <w:t xml:space="preserve">SYS_GEN_DISCFACTOR * </w:t>
      </w:r>
      <w:r w:rsidR="00013237" w:rsidRPr="000275BF">
        <w:rPr>
          <w:position w:val="-18"/>
        </w:rPr>
        <w:object w:dxaOrig="288" w:dyaOrig="438" w14:anchorId="5A629C5B">
          <v:shape id="_x0000_i1371" type="#_x0000_t75" style="width:12pt;height:24pt" o:ole="">
            <v:imagedata r:id="rId159" o:title=""/>
          </v:shape>
          <o:OLEObject Type="Embed" ProgID="Equation.3" ShapeID="_x0000_i1371" DrawAspect="Content" ObjectID="_1804653854" r:id="rId460"/>
        </w:object>
      </w:r>
      <w:r w:rsidR="00013237" w:rsidRPr="000275BF">
        <w:rPr>
          <w:position w:val="-22"/>
        </w:rPr>
        <w:object w:dxaOrig="288" w:dyaOrig="426" w14:anchorId="14152B73">
          <v:shape id="_x0000_i1372" type="#_x0000_t75" style="width:12pt;height:24pt" o:ole="">
            <v:imagedata r:id="rId172" o:title=""/>
          </v:shape>
          <o:OLEObject Type="Embed" ProgID="Equation.3" ShapeID="_x0000_i1372" DrawAspect="Content" ObjectID="_1804653855" r:id="rId461"/>
        </w:object>
      </w:r>
      <w:r w:rsidR="00013237" w:rsidRPr="0080555B">
        <w:t>RT</w:t>
      </w:r>
      <w:r w:rsidR="00013237">
        <w:t>N</w:t>
      </w:r>
      <w:r w:rsidR="00013237" w:rsidRPr="0080555B">
        <w:t>CLRNSRESP</w:t>
      </w:r>
      <w:r w:rsidR="00013237">
        <w:t>R</w:t>
      </w:r>
      <w:r w:rsidR="00013237" w:rsidRPr="000275BF">
        <w:rPr>
          <w:i/>
          <w:vertAlign w:val="subscript"/>
        </w:rPr>
        <w:t xml:space="preserve"> q, r, p</w:t>
      </w:r>
    </w:p>
    <w:p w14:paraId="02D3A2BB" w14:textId="596BA34E" w:rsidR="001F04FD" w:rsidRPr="003E514A" w:rsidRDefault="001F04FD" w:rsidP="00C02A98">
      <w:pPr>
        <w:pStyle w:val="FormulaBold"/>
        <w:tabs>
          <w:tab w:val="clear" w:pos="2250"/>
          <w:tab w:val="clear" w:pos="3150"/>
          <w:tab w:val="clear" w:pos="3960"/>
        </w:tabs>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775EDD">
        <w:rPr>
          <w:b w:val="0"/>
        </w:rPr>
        <w:t>SYS_GEN_DISCFACTOR *</w:t>
      </w:r>
      <w:r w:rsidRPr="0010409C">
        <w:t xml:space="preserve"> </w:t>
      </w:r>
      <w:r w:rsidRPr="003E514A">
        <w:rPr>
          <w:b w:val="0"/>
          <w:position w:val="-22"/>
        </w:rPr>
        <w:object w:dxaOrig="225" w:dyaOrig="465" w14:anchorId="7AD3DEAA">
          <v:shape id="_x0000_i1373" type="#_x0000_t75" style="width:12pt;height:18pt" o:ole="">
            <v:imagedata r:id="rId462" o:title=""/>
          </v:shape>
          <o:OLEObject Type="Embed" ProgID="Equation.3" ShapeID="_x0000_i1373" DrawAspect="Content" ObjectID="_1804653856" r:id="rId463"/>
        </w:object>
      </w:r>
      <w:r w:rsidRPr="003E514A">
        <w:rPr>
          <w:b w:val="0"/>
          <w:position w:val="-18"/>
        </w:rPr>
        <w:object w:dxaOrig="225" w:dyaOrig="420" w14:anchorId="2D1222BC">
          <v:shape id="_x0000_i1374" type="#_x0000_t75" style="width:12pt;height:24pt" o:ole="">
            <v:imagedata r:id="rId159" o:title=""/>
          </v:shape>
          <o:OLEObject Type="Embed" ProgID="Equation.3" ShapeID="_x0000_i1374" DrawAspect="Content" ObjectID="_1804653857" r:id="rId464"/>
        </w:object>
      </w:r>
      <w:r w:rsidRPr="003E514A">
        <w:rPr>
          <w:b w:val="0"/>
          <w:position w:val="-22"/>
        </w:rPr>
        <w:object w:dxaOrig="225" w:dyaOrig="465" w14:anchorId="2BCB4D41">
          <v:shape id="_x0000_i1375" type="#_x0000_t75" style="width:12pt;height:18pt" o:ole="">
            <v:imagedata r:id="rId172" o:title=""/>
          </v:shape>
          <o:OLEObject Type="Embed" ProgID="Equation.3" ShapeID="_x0000_i1375" DrawAspect="Content" ObjectID="_1804653858" r:id="rId465"/>
        </w:object>
      </w:r>
      <w:r w:rsidRPr="003E514A">
        <w:rPr>
          <w:b w:val="0"/>
        </w:rPr>
        <w:t>(HRRADJ</w:t>
      </w:r>
      <w:r w:rsidRPr="003E514A">
        <w:rPr>
          <w:b w:val="0"/>
          <w:i/>
          <w:vertAlign w:val="subscript"/>
        </w:rPr>
        <w:t xml:space="preserve"> q, r, p</w:t>
      </w:r>
      <w:r w:rsidRPr="003E514A">
        <w:rPr>
          <w:b w:val="0"/>
        </w:rPr>
        <w:t xml:space="preserve"> + </w:t>
      </w:r>
      <w:r w:rsidR="00BA7613" w:rsidRPr="004007D1">
        <w:rPr>
          <w:b w:val="0"/>
        </w:rPr>
        <w:t>HECRADJ</w:t>
      </w:r>
      <w:r w:rsidR="00BA7613" w:rsidRPr="004007D1">
        <w:rPr>
          <w:b w:val="0"/>
          <w:i/>
          <w:vertAlign w:val="subscript"/>
        </w:rPr>
        <w:t xml:space="preserve"> q, r, p</w:t>
      </w:r>
      <w:r w:rsidR="00BA7613" w:rsidRPr="004007D1">
        <w:rPr>
          <w:b w:val="0"/>
        </w:rPr>
        <w:t xml:space="preserve"> </w:t>
      </w:r>
      <w:r w:rsidR="00BA7613" w:rsidRPr="00E22517">
        <w:rPr>
          <w:b w:val="0"/>
        </w:rPr>
        <w:t>+</w:t>
      </w:r>
      <w:r w:rsidR="00BA7613">
        <w:rPr>
          <w:b w:val="0"/>
        </w:rPr>
        <w:t xml:space="preserve"> </w:t>
      </w:r>
      <w:r w:rsidRPr="003E514A">
        <w:rPr>
          <w:b w:val="0"/>
        </w:rPr>
        <w:t>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sidRPr="003E514A">
        <w:rPr>
          <w:b w:val="0"/>
        </w:rPr>
        <w:t>) *  ¼</w:t>
      </w:r>
    </w:p>
    <w:p w14:paraId="4E39AB18" w14:textId="77777777" w:rsidR="001F04FD" w:rsidRDefault="001F04FD" w:rsidP="00F969DB">
      <w:pPr>
        <w:pStyle w:val="FormulaBold"/>
        <w:tabs>
          <w:tab w:val="clear" w:pos="2250"/>
          <w:tab w:val="clear" w:pos="3150"/>
          <w:tab w:val="clear" w:pos="3960"/>
        </w:tabs>
        <w:ind w:left="3600" w:hanging="2880"/>
        <w:rPr>
          <w:rFonts w:ascii="Times New Roman Bold" w:hAnsi="Times New Roman Bold"/>
          <w:b w:val="0"/>
        </w:rPr>
      </w:pPr>
      <w:r w:rsidRPr="000275BF">
        <w:rPr>
          <w:b w:val="0"/>
        </w:rPr>
        <w:t xml:space="preserve">RTOLCAP </w:t>
      </w:r>
      <w:r w:rsidRPr="000275BF">
        <w:rPr>
          <w:b w:val="0"/>
          <w:i/>
          <w:vertAlign w:val="subscript"/>
        </w:rPr>
        <w:t xml:space="preserve">q </w:t>
      </w:r>
      <w:r w:rsidRPr="000275BF">
        <w:rPr>
          <w:b w:val="0"/>
        </w:rPr>
        <w:t>=</w:t>
      </w:r>
      <w:r>
        <w:rPr>
          <w:b w:val="0"/>
        </w:rPr>
        <w:tab/>
      </w:r>
      <w:r w:rsidRPr="000275BF">
        <w:rPr>
          <w:b w:val="0"/>
        </w:rPr>
        <w:t>(RTOLHSL</w:t>
      </w:r>
      <w:r w:rsidRPr="000275BF">
        <w:rPr>
          <w:b w:val="0"/>
          <w:i/>
          <w:vertAlign w:val="subscript"/>
        </w:rPr>
        <w:t xml:space="preserve"> q</w:t>
      </w:r>
      <w:r>
        <w:rPr>
          <w:b w:val="0"/>
          <w:i/>
          <w:vertAlign w:val="subscript"/>
        </w:rPr>
        <w:t xml:space="preserve"> </w:t>
      </w:r>
      <w:r w:rsidRPr="000275BF">
        <w:rPr>
          <w:b w:val="0"/>
        </w:rPr>
        <w:t>– RTMG</w:t>
      </w:r>
      <w:r>
        <w:rPr>
          <w:b w:val="0"/>
        </w:rPr>
        <w:t>Q</w:t>
      </w:r>
      <w:r w:rsidRPr="000275BF">
        <w:rPr>
          <w:b w:val="0"/>
        </w:rPr>
        <w:t xml:space="preserve"> </w:t>
      </w:r>
      <w:r w:rsidRPr="000275BF">
        <w:rPr>
          <w:b w:val="0"/>
          <w:i/>
          <w:vertAlign w:val="subscript"/>
        </w:rPr>
        <w:t>q</w:t>
      </w:r>
      <w:r>
        <w:rPr>
          <w:b w:val="0"/>
          <w:i/>
          <w:vertAlign w:val="subscript"/>
        </w:rPr>
        <w:t xml:space="preserve"> </w:t>
      </w:r>
      <w:r w:rsidRPr="007329DC">
        <w:rPr>
          <w:b w:val="0"/>
        </w:rPr>
        <w:t xml:space="preserve">– SYS_GEN_DISCFACTOR * </w:t>
      </w:r>
      <w:r>
        <w:rPr>
          <w:b w:val="0"/>
        </w:rPr>
        <w:t xml:space="preserve"> </w:t>
      </w:r>
      <w:r w:rsidRPr="007329DC">
        <w:rPr>
          <w:b w:val="0"/>
        </w:rPr>
        <w:t>(</w:t>
      </w:r>
      <w:r w:rsidRPr="002C0ED5">
        <w:rPr>
          <w:position w:val="-18"/>
        </w:rPr>
        <w:object w:dxaOrig="225" w:dyaOrig="420" w14:anchorId="0C97DF4A">
          <v:shape id="_x0000_i1376" type="#_x0000_t75" style="width:12pt;height:24pt" o:ole="">
            <v:imagedata r:id="rId159" o:title=""/>
          </v:shape>
          <o:OLEObject Type="Embed" ProgID="Equation.3" ShapeID="_x0000_i1376" DrawAspect="Content" ObjectID="_1804653859" r:id="rId466"/>
        </w:object>
      </w:r>
      <w:r w:rsidRPr="002C0ED5">
        <w:rPr>
          <w:position w:val="-22"/>
        </w:rPr>
        <w:object w:dxaOrig="225" w:dyaOrig="465" w14:anchorId="395DCCFC">
          <v:shape id="_x0000_i1377" type="#_x0000_t75" style="width:12pt;height:18pt" o:ole="">
            <v:imagedata r:id="rId172" o:title=""/>
          </v:shape>
          <o:OLEObject Type="Embed" ProgID="Equation.3" ShapeID="_x0000_i1377" DrawAspect="Content" ObjectID="_1804653860" r:id="rId467"/>
        </w:object>
      </w:r>
      <w:r w:rsidRPr="007329DC">
        <w:rPr>
          <w:b w:val="0"/>
        </w:rPr>
        <w:t xml:space="preserve">UGENA </w:t>
      </w:r>
      <w:r w:rsidRPr="007329DC">
        <w:rPr>
          <w:b w:val="0"/>
          <w:i/>
          <w:vertAlign w:val="subscript"/>
        </w:rPr>
        <w:t>q, r, p</w:t>
      </w:r>
      <w:r w:rsidRPr="007329DC">
        <w:rPr>
          <w:b w:val="0"/>
        </w:rPr>
        <w:t>)</w:t>
      </w:r>
      <w:r w:rsidRPr="000275BF">
        <w:rPr>
          <w:b w:val="0"/>
        </w:rPr>
        <w:t>) + RTCLRCAP</w:t>
      </w:r>
      <w:r w:rsidRPr="000275BF">
        <w:rPr>
          <w:b w:val="0"/>
          <w:i/>
          <w:vertAlign w:val="subscript"/>
        </w:rPr>
        <w:t xml:space="preserve"> q </w:t>
      </w:r>
      <w:r w:rsidRPr="000275BF">
        <w:rPr>
          <w:b w:val="0"/>
        </w:rPr>
        <w:t>+ RTNCLR</w:t>
      </w:r>
      <w:r>
        <w:rPr>
          <w:b w:val="0"/>
        </w:rPr>
        <w:t>CAP</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0D2F298B" w14:textId="77777777" w:rsidTr="000169BA">
        <w:trPr>
          <w:trHeight w:val="206"/>
        </w:trPr>
        <w:tc>
          <w:tcPr>
            <w:tcW w:w="9576" w:type="dxa"/>
            <w:shd w:val="pct12" w:color="auto" w:fill="auto"/>
          </w:tcPr>
          <w:p w14:paraId="5B3D2767" w14:textId="14EACAA7" w:rsidR="000169BA" w:rsidRDefault="000169BA" w:rsidP="000169BA">
            <w:pPr>
              <w:pStyle w:val="Instructions"/>
              <w:spacing w:before="120"/>
            </w:pPr>
            <w:r>
              <w:t>[NPRR987:  Replace the formula “</w:t>
            </w:r>
            <w:r w:rsidRPr="0021367F">
              <w:rPr>
                <w:bCs/>
              </w:rPr>
              <w:t xml:space="preserve">RTOLCAP </w:t>
            </w:r>
            <w:r w:rsidRPr="0021367F">
              <w:rPr>
                <w:bCs/>
                <w:vertAlign w:val="subscript"/>
              </w:rPr>
              <w:t>q</w:t>
            </w:r>
            <w:r>
              <w:t>” above with the following upon system implementation:]</w:t>
            </w:r>
          </w:p>
          <w:p w14:paraId="541D9021" w14:textId="563B6843" w:rsidR="000169BA" w:rsidRPr="000169BA" w:rsidRDefault="000169BA" w:rsidP="000169BA">
            <w:pPr>
              <w:spacing w:before="240" w:after="240"/>
              <w:ind w:left="3600" w:hanging="2880"/>
              <w:rPr>
                <w:rFonts w:ascii="Times New Roman Bold" w:hAnsi="Times New Roman Bold"/>
                <w:bCs/>
              </w:rPr>
            </w:pPr>
            <w:r w:rsidRPr="0021367F">
              <w:rPr>
                <w:bCs/>
              </w:rPr>
              <w:t xml:space="preserve">RTOLCAP </w:t>
            </w:r>
            <w:r w:rsidRPr="0021367F">
              <w:rPr>
                <w:bCs/>
                <w:i/>
                <w:vertAlign w:val="subscript"/>
              </w:rPr>
              <w:t xml:space="preserve">q </w:t>
            </w:r>
            <w:r w:rsidRPr="0021367F">
              <w:rPr>
                <w:bCs/>
              </w:rPr>
              <w:t>=</w:t>
            </w:r>
            <w:r w:rsidRPr="0021367F">
              <w:rPr>
                <w:bCs/>
              </w:rPr>
              <w:tab/>
              <w:t>(RTOLHSL</w:t>
            </w:r>
            <w:r w:rsidRPr="0021367F">
              <w:rPr>
                <w:bCs/>
                <w:i/>
                <w:vertAlign w:val="subscript"/>
              </w:rPr>
              <w:t xml:space="preserve"> q </w:t>
            </w:r>
            <w:r w:rsidRPr="0021367F">
              <w:rPr>
                <w:bCs/>
              </w:rPr>
              <w:t xml:space="preserve">– RTMGQ </w:t>
            </w:r>
            <w:r w:rsidRPr="0021367F">
              <w:rPr>
                <w:bCs/>
                <w:i/>
                <w:vertAlign w:val="subscript"/>
              </w:rPr>
              <w:t xml:space="preserve">q </w:t>
            </w:r>
            <w:r w:rsidRPr="0021367F">
              <w:rPr>
                <w:bCs/>
              </w:rPr>
              <w:t>– SYS_GEN_DISCFACTOR *  (</w:t>
            </w:r>
            <w:r w:rsidRPr="0021367F">
              <w:rPr>
                <w:b/>
                <w:bCs/>
                <w:position w:val="-18"/>
              </w:rPr>
              <w:object w:dxaOrig="225" w:dyaOrig="420" w14:anchorId="395FE65B">
                <v:shape id="_x0000_i1378" type="#_x0000_t75" style="width:12pt;height:24pt" o:ole="">
                  <v:imagedata r:id="rId159" o:title=""/>
                </v:shape>
                <o:OLEObject Type="Embed" ProgID="Equation.3" ShapeID="_x0000_i1378" DrawAspect="Content" ObjectID="_1804653861" r:id="rId468"/>
              </w:object>
            </w:r>
            <w:r w:rsidRPr="0021367F">
              <w:rPr>
                <w:b/>
                <w:bCs/>
                <w:position w:val="-22"/>
              </w:rPr>
              <w:object w:dxaOrig="225" w:dyaOrig="465" w14:anchorId="2F151550">
                <v:shape id="_x0000_i1379" type="#_x0000_t75" style="width:12pt;height:18pt" o:ole="">
                  <v:imagedata r:id="rId172" o:title=""/>
                </v:shape>
                <o:OLEObject Type="Embed" ProgID="Equation.3" ShapeID="_x0000_i1379" DrawAspect="Content" ObjectID="_1804653862" r:id="rId469"/>
              </w:object>
            </w:r>
            <w:r w:rsidRPr="0021367F">
              <w:rPr>
                <w:bCs/>
              </w:rPr>
              <w:t xml:space="preserve">(UGENA </w:t>
            </w:r>
            <w:r w:rsidRPr="0021367F">
              <w:rPr>
                <w:bCs/>
                <w:i/>
                <w:vertAlign w:val="subscript"/>
              </w:rPr>
              <w:t>q, r, p</w:t>
            </w:r>
            <w:r>
              <w:rPr>
                <w:b/>
              </w:rPr>
              <w:t xml:space="preserve"> + </w:t>
            </w:r>
            <w:r w:rsidRPr="00AA1C33">
              <w:t>UPESR</w:t>
            </w:r>
            <w:r>
              <w:t>A</w:t>
            </w:r>
            <w:r w:rsidRPr="00AA1C33">
              <w:rPr>
                <w:i/>
                <w:vertAlign w:val="subscript"/>
              </w:rPr>
              <w:t xml:space="preserve"> q, r, p</w:t>
            </w:r>
            <w:r w:rsidRPr="0021367F">
              <w:rPr>
                <w:bCs/>
              </w:rPr>
              <w:t>)</w:t>
            </w:r>
            <w:r>
              <w:rPr>
                <w:bCs/>
              </w:rPr>
              <w:t>)</w:t>
            </w:r>
            <w:r w:rsidRPr="0021367F">
              <w:rPr>
                <w:bCs/>
              </w:rPr>
              <w:t>) + RTCLRCAP</w:t>
            </w:r>
            <w:r w:rsidRPr="0021367F">
              <w:rPr>
                <w:bCs/>
                <w:i/>
                <w:vertAlign w:val="subscript"/>
              </w:rPr>
              <w:t xml:space="preserve"> q </w:t>
            </w:r>
            <w:r w:rsidRPr="0021367F">
              <w:rPr>
                <w:bCs/>
              </w:rPr>
              <w:t>+ RTNCLRCAP</w:t>
            </w:r>
            <w:r w:rsidRPr="0021367F">
              <w:rPr>
                <w:bCs/>
                <w:i/>
                <w:vertAlign w:val="subscript"/>
              </w:rPr>
              <w:t xml:space="preserve"> q</w:t>
            </w:r>
            <w:r w:rsidRPr="0021367F">
              <w:rPr>
                <w:rFonts w:ascii="Times New Roman Bold" w:hAnsi="Times New Roman Bold"/>
                <w:bCs/>
              </w:rPr>
              <w:t xml:space="preserve"> </w:t>
            </w:r>
            <w:r w:rsidRPr="00AA1C33">
              <w:rPr>
                <w:rFonts w:ascii="Times New Roman Bold" w:hAnsi="Times New Roman Bold"/>
                <w:b/>
                <w:bCs/>
              </w:rPr>
              <w:t xml:space="preserve">+ </w:t>
            </w:r>
            <w:r w:rsidRPr="00AA1C33">
              <w:rPr>
                <w:bCs/>
              </w:rPr>
              <w:t xml:space="preserve">RTESRCAP </w:t>
            </w:r>
            <w:r w:rsidRPr="00AA1C33">
              <w:rPr>
                <w:bCs/>
                <w:i/>
                <w:vertAlign w:val="subscript"/>
              </w:rPr>
              <w:t>q</w:t>
            </w:r>
          </w:p>
        </w:tc>
      </w:tr>
    </w:tbl>
    <w:p w14:paraId="15658845" w14:textId="77777777" w:rsidR="001F04FD" w:rsidRDefault="001F04FD" w:rsidP="001B11AD">
      <w:pPr>
        <w:spacing w:before="240"/>
      </w:pPr>
      <w:r w:rsidRPr="001E69BE">
        <w:t>Where</w:t>
      </w:r>
      <w:r>
        <w:t>:</w:t>
      </w:r>
    </w:p>
    <w:p w14:paraId="73297CA8" w14:textId="7D2FFC86" w:rsidR="00A53AA1" w:rsidRDefault="001F04FD" w:rsidP="00A53AA1">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00A53AA1" w:rsidRPr="00876C1F">
        <w:rPr>
          <w:bCs/>
        </w:rPr>
        <w:t>Min(Max(RTNCLRNPC</w:t>
      </w:r>
      <w:r w:rsidR="00A53AA1" w:rsidRPr="00876C1F">
        <w:rPr>
          <w:bCs/>
          <w:i/>
          <w:vertAlign w:val="subscript"/>
        </w:rPr>
        <w:t xml:space="preserve"> q</w:t>
      </w:r>
      <w:r w:rsidR="00A53AA1" w:rsidRPr="00876C1F">
        <w:rPr>
          <w:bCs/>
        </w:rPr>
        <w:t xml:space="preserve"> – RTNCLRLPC</w:t>
      </w:r>
      <w:r w:rsidR="00A53AA1" w:rsidRPr="00876C1F">
        <w:rPr>
          <w:bCs/>
          <w:i/>
          <w:vertAlign w:val="subscript"/>
        </w:rPr>
        <w:t xml:space="preserve"> q</w:t>
      </w:r>
      <w:r w:rsidR="00A53AA1" w:rsidRPr="00876C1F">
        <w:rPr>
          <w:bCs/>
        </w:rPr>
        <w:t xml:space="preserve">, 0.0), </w:t>
      </w:r>
      <w:r w:rsidR="00BA7613">
        <w:rPr>
          <w:bCs/>
        </w:rPr>
        <w:t>(</w:t>
      </w:r>
      <w:r w:rsidR="00BA7613" w:rsidRPr="0003648D">
        <w:rPr>
          <w:bCs/>
        </w:rPr>
        <w:t>RTNCLR</w:t>
      </w:r>
      <w:r w:rsidR="00BA7613">
        <w:rPr>
          <w:bCs/>
        </w:rPr>
        <w:t>ECR</w:t>
      </w:r>
      <w:r w:rsidR="00BA7613" w:rsidRPr="0003648D">
        <w:rPr>
          <w:bCs/>
        </w:rPr>
        <w:t>S</w:t>
      </w:r>
      <w:r w:rsidR="00BA7613" w:rsidRPr="0003648D">
        <w:rPr>
          <w:bCs/>
          <w:i/>
          <w:vertAlign w:val="subscript"/>
        </w:rPr>
        <w:t xml:space="preserve"> q </w:t>
      </w:r>
      <w:r w:rsidR="00BA7613" w:rsidRPr="00EF2396">
        <w:rPr>
          <w:bCs/>
          <w:i/>
        </w:rPr>
        <w:t xml:space="preserve">+ </w:t>
      </w:r>
      <w:r w:rsidR="00A53AA1" w:rsidRPr="00876C1F">
        <w:rPr>
          <w:bCs/>
        </w:rPr>
        <w:t>RTNCLRRRS</w:t>
      </w:r>
      <w:r w:rsidR="00A53AA1" w:rsidRPr="00876C1F">
        <w:rPr>
          <w:bCs/>
          <w:i/>
          <w:vertAlign w:val="subscript"/>
        </w:rPr>
        <w:t xml:space="preserve"> q</w:t>
      </w:r>
      <w:r w:rsidR="00BA7613" w:rsidRPr="00876C1F">
        <w:rPr>
          <w:bCs/>
        </w:rPr>
        <w:t>)</w:t>
      </w:r>
      <w:r w:rsidR="00A53AA1" w:rsidRPr="00876C1F">
        <w:rPr>
          <w:bCs/>
          <w:i/>
          <w:vertAlign w:val="subscript"/>
        </w:rPr>
        <w:t xml:space="preserve"> </w:t>
      </w:r>
      <w:r w:rsidR="00A53AA1" w:rsidRPr="00876C1F">
        <w:rPr>
          <w:bCs/>
        </w:rPr>
        <w:t>* 1.5)</w:t>
      </w:r>
    </w:p>
    <w:p w14:paraId="5E38BBE2" w14:textId="27FBDA1B" w:rsidR="001F04FD" w:rsidRDefault="00A53AA1" w:rsidP="00BA7613">
      <w:pPr>
        <w:tabs>
          <w:tab w:val="left" w:pos="2250"/>
          <w:tab w:val="left" w:pos="3150"/>
          <w:tab w:val="left" w:pos="3960"/>
        </w:tabs>
        <w:spacing w:after="240"/>
        <w:ind w:left="3600" w:hanging="2430"/>
        <w:rPr>
          <w:bCs/>
        </w:rPr>
      </w:pPr>
      <w:r w:rsidRPr="00A05195">
        <w:t>RTNCLR</w:t>
      </w:r>
      <w:r>
        <w:t>RRS</w:t>
      </w:r>
      <w:r w:rsidRPr="00A05195">
        <w:rPr>
          <w:i/>
          <w:vertAlign w:val="subscript"/>
        </w:rPr>
        <w:t xml:space="preserve"> q    </w:t>
      </w:r>
      <w:r w:rsidRPr="00A05195">
        <w:rPr>
          <w:i/>
        </w:rPr>
        <w:t>=</w:t>
      </w:r>
      <w:r w:rsidRPr="00A05195">
        <w:t xml:space="preserve"> </w:t>
      </w:r>
      <w:r w:rsidRPr="00A05195">
        <w:tab/>
      </w:r>
      <w:r>
        <w:tab/>
      </w:r>
      <w:r w:rsidRPr="00A05195">
        <w:t xml:space="preserve">SYS_GEN_DISCFACTOR * </w:t>
      </w:r>
      <w:r w:rsidR="00A94020">
        <w:rPr>
          <w:noProof/>
          <w:position w:val="-18"/>
        </w:rPr>
        <w:drawing>
          <wp:inline distT="0" distB="0" distL="0" distR="0" wp14:anchorId="5E8DB4BD" wp14:editId="031C9088">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7D5BA4A7" wp14:editId="12677A92">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C30EF">
        <w:t xml:space="preserve"> </w:t>
      </w:r>
      <w:r w:rsidRPr="00A05195">
        <w:t>RTNCLR</w:t>
      </w:r>
      <w:r>
        <w:t>RRS</w:t>
      </w:r>
      <w:r w:rsidRPr="00A05195">
        <w:rPr>
          <w:bCs/>
        </w:rPr>
        <w:t xml:space="preserve">R </w:t>
      </w:r>
      <w:r w:rsidRPr="00932083">
        <w:rPr>
          <w:i/>
          <w:vertAlign w:val="subscript"/>
        </w:rPr>
        <w:t>q, r, p</w:t>
      </w:r>
      <w:r w:rsidRPr="00A05195" w:rsidDel="00A53AA1">
        <w:rPr>
          <w:bCs/>
        </w:rPr>
        <w:t xml:space="preserve"> </w:t>
      </w:r>
    </w:p>
    <w:p w14:paraId="03EB188D" w14:textId="57430206" w:rsidR="00BA7613" w:rsidRPr="00A05195" w:rsidRDefault="00BA7613" w:rsidP="00BA7613">
      <w:pPr>
        <w:tabs>
          <w:tab w:val="left" w:pos="2250"/>
          <w:tab w:val="left" w:pos="3150"/>
          <w:tab w:val="left" w:pos="3960"/>
        </w:tabs>
        <w:spacing w:after="240"/>
        <w:ind w:left="3600" w:hanging="2430"/>
        <w:rPr>
          <w:bCs/>
        </w:rPr>
      </w:pPr>
      <w:r w:rsidRPr="0003648D">
        <w:t>RTNCLR</w:t>
      </w:r>
      <w:r>
        <w:t>ECR</w:t>
      </w:r>
      <w:r w:rsidRPr="0003648D">
        <w:t>S</w:t>
      </w:r>
      <w:r w:rsidRPr="0003648D">
        <w:rPr>
          <w:i/>
          <w:vertAlign w:val="subscript"/>
        </w:rPr>
        <w:t xml:space="preserve"> q    </w:t>
      </w:r>
      <w:r w:rsidRPr="0003648D">
        <w:rPr>
          <w:i/>
        </w:rPr>
        <w:t>=</w:t>
      </w:r>
      <w:r w:rsidRPr="0003648D">
        <w:t xml:space="preserve"> </w:t>
      </w:r>
      <w:r w:rsidRPr="0003648D">
        <w:tab/>
        <w:t xml:space="preserve">SYS_GEN_DISCFACTOR * </w:t>
      </w:r>
      <w:r>
        <w:rPr>
          <w:noProof/>
          <w:position w:val="-18"/>
        </w:rPr>
        <w:drawing>
          <wp:inline distT="0" distB="0" distL="0" distR="0" wp14:anchorId="40B1888E" wp14:editId="75D08A65">
            <wp:extent cx="142875" cy="266700"/>
            <wp:effectExtent l="0" t="0" r="9525" b="0"/>
            <wp:docPr id="15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noProof/>
          <w:position w:val="-22"/>
        </w:rPr>
        <w:drawing>
          <wp:inline distT="0" distB="0" distL="0" distR="0" wp14:anchorId="5C5A4A96" wp14:editId="0EEC4D1D">
            <wp:extent cx="142875" cy="295275"/>
            <wp:effectExtent l="0" t="0" r="9525" b="9525"/>
            <wp:docPr id="15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RTNCLR</w:t>
      </w:r>
      <w:r>
        <w:t>ECR</w:t>
      </w:r>
      <w:r w:rsidRPr="0003648D">
        <w:t>S</w:t>
      </w:r>
      <w:r w:rsidRPr="0003648D">
        <w:rPr>
          <w:bCs/>
        </w:rPr>
        <w:t xml:space="preserve">R </w:t>
      </w:r>
      <w:r w:rsidRPr="0003648D">
        <w:rPr>
          <w:i/>
          <w:vertAlign w:val="subscript"/>
        </w:rPr>
        <w:t>q, r, p</w:t>
      </w:r>
    </w:p>
    <w:p w14:paraId="4F2604B4" w14:textId="37ADA257" w:rsidR="001F04FD" w:rsidRPr="00A05195" w:rsidRDefault="001F04FD" w:rsidP="00F969DB">
      <w:pPr>
        <w:spacing w:after="240"/>
        <w:ind w:left="2880" w:hanging="1710"/>
        <w:rPr>
          <w:b/>
          <w:i/>
          <w:vertAlign w:val="subscript"/>
        </w:rPr>
      </w:pPr>
      <w:r w:rsidRPr="00A05195">
        <w:t>RTNCLRNP</w:t>
      </w:r>
      <w:r>
        <w:t>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628E3483" wp14:editId="520F7FF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4817F5A" wp14:editId="32CA242A">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RTNCLRNP</w:t>
      </w:r>
      <w:r>
        <w:rPr>
          <w:bCs/>
        </w:rPr>
        <w:t>C</w:t>
      </w:r>
      <w:r w:rsidRPr="00A05195">
        <w:rPr>
          <w:bCs/>
        </w:rPr>
        <w:t xml:space="preserve">R </w:t>
      </w:r>
      <w:r w:rsidRPr="00932083">
        <w:rPr>
          <w:i/>
          <w:vertAlign w:val="subscript"/>
        </w:rPr>
        <w:t>q, r, p</w:t>
      </w:r>
    </w:p>
    <w:p w14:paraId="008F4BBB" w14:textId="5C59A2AD" w:rsidR="001F04FD" w:rsidRPr="00932083" w:rsidRDefault="001F04FD" w:rsidP="001F04FD">
      <w:pPr>
        <w:spacing w:after="240"/>
        <w:ind w:left="2880" w:hanging="1710"/>
        <w:rPr>
          <w:bCs/>
        </w:rPr>
      </w:pPr>
      <w:r w:rsidRPr="00A05195">
        <w:t>RTNCLRL</w:t>
      </w:r>
      <w:r>
        <w:t>PC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76FF5989" wp14:editId="5F1FA71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3D1AE5AA" wp14:editId="314B420B">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RTNCLRL</w:t>
      </w:r>
      <w:r>
        <w:rPr>
          <w:bCs/>
        </w:rPr>
        <w:t>PC</w:t>
      </w:r>
      <w:r w:rsidRPr="00A05195">
        <w:rPr>
          <w:bCs/>
        </w:rPr>
        <w:t xml:space="preserve">R </w:t>
      </w:r>
      <w:r w:rsidRPr="00932083">
        <w:rPr>
          <w:i/>
          <w:vertAlign w:val="subscript"/>
        </w:rPr>
        <w:t>q, r, p</w:t>
      </w:r>
    </w:p>
    <w:p w14:paraId="1458EC59" w14:textId="77777777" w:rsidR="001F04FD" w:rsidRPr="00C42571" w:rsidRDefault="001F04FD" w:rsidP="001F04FD">
      <w:pPr>
        <w:spacing w:after="240"/>
        <w:ind w:left="2880" w:hanging="1710"/>
      </w:pPr>
      <w:r w:rsidRPr="00C42571">
        <w:lastRenderedPageBreak/>
        <w:t>RTOLHSL</w:t>
      </w:r>
      <w:r w:rsidRPr="000275BF">
        <w:rPr>
          <w:i/>
          <w:vertAlign w:val="subscript"/>
        </w:rPr>
        <w:t xml:space="preserve"> q</w:t>
      </w:r>
      <w:r w:rsidRPr="00C42571">
        <w:t xml:space="preserve"> =</w:t>
      </w:r>
      <w:r>
        <w:tab/>
      </w:r>
      <w:r>
        <w:tab/>
      </w:r>
      <w:r w:rsidRPr="0010409C">
        <w:t xml:space="preserve">SYS_GEN_DISCFACTOR * </w:t>
      </w:r>
      <w:r w:rsidRPr="000275BF">
        <w:rPr>
          <w:position w:val="-18"/>
        </w:rPr>
        <w:object w:dxaOrig="225" w:dyaOrig="420" w14:anchorId="4BE97F34">
          <v:shape id="_x0000_i1380" type="#_x0000_t75" style="width:12pt;height:24pt" o:ole="">
            <v:imagedata r:id="rId159" o:title=""/>
          </v:shape>
          <o:OLEObject Type="Embed" ProgID="Equation.3" ShapeID="_x0000_i1380" DrawAspect="Content" ObjectID="_1804653863" r:id="rId471"/>
        </w:object>
      </w:r>
      <w:r w:rsidRPr="000275BF">
        <w:rPr>
          <w:position w:val="-22"/>
        </w:rPr>
        <w:object w:dxaOrig="225" w:dyaOrig="465" w14:anchorId="57C1BC90">
          <v:shape id="_x0000_i1381" type="#_x0000_t75" style="width:12pt;height:18pt" o:ole="">
            <v:imagedata r:id="rId172" o:title=""/>
          </v:shape>
          <o:OLEObject Type="Embed" ProgID="Equation.3" ShapeID="_x0000_i1381" DrawAspect="Content" ObjectID="_1804653864" r:id="rId472"/>
        </w:object>
      </w:r>
      <w:r w:rsidRPr="00C42571">
        <w:t>RTOLHSLR</w:t>
      </w:r>
      <w:r>
        <w:t>A</w:t>
      </w:r>
      <w:r w:rsidRPr="000275BF">
        <w:rPr>
          <w:i/>
          <w:vertAlign w:val="subscript"/>
        </w:rPr>
        <w:t xml:space="preserve"> q, r, p</w:t>
      </w:r>
    </w:p>
    <w:p w14:paraId="326FDAA4" w14:textId="77777777" w:rsidR="001F04FD" w:rsidRDefault="001F04FD" w:rsidP="001F04FD">
      <w:pPr>
        <w:spacing w:after="240"/>
        <w:ind w:left="2880" w:hanging="1710"/>
      </w:pPr>
      <w:r w:rsidRPr="00A94098">
        <w:t>RT</w:t>
      </w:r>
      <w:r>
        <w:t>MGQ</w:t>
      </w:r>
      <w:r w:rsidRPr="000275BF">
        <w:rPr>
          <w:i/>
          <w:vertAlign w:val="subscript"/>
        </w:rPr>
        <w:t xml:space="preserve"> q</w:t>
      </w:r>
      <w:r w:rsidRPr="00A94098">
        <w:t xml:space="preserve"> =</w:t>
      </w:r>
      <w:r>
        <w:tab/>
      </w:r>
      <w:r>
        <w:tab/>
      </w:r>
      <w:r w:rsidRPr="0010409C">
        <w:t xml:space="preserve">SYS_GEN_DISCFACTOR * </w:t>
      </w:r>
      <w:r w:rsidRPr="000275BF">
        <w:rPr>
          <w:position w:val="-18"/>
        </w:rPr>
        <w:object w:dxaOrig="225" w:dyaOrig="420" w14:anchorId="3E6BD5E0">
          <v:shape id="_x0000_i1382" type="#_x0000_t75" style="width:12pt;height:24pt" o:ole="">
            <v:imagedata r:id="rId159" o:title=""/>
          </v:shape>
          <o:OLEObject Type="Embed" ProgID="Equation.3" ShapeID="_x0000_i1382" DrawAspect="Content" ObjectID="_1804653865" r:id="rId473"/>
        </w:object>
      </w:r>
      <w:r w:rsidRPr="000275BF">
        <w:rPr>
          <w:position w:val="-22"/>
        </w:rPr>
        <w:object w:dxaOrig="225" w:dyaOrig="465" w14:anchorId="49F8CBFD">
          <v:shape id="_x0000_i1383" type="#_x0000_t75" style="width:12pt;height:18pt" o:ole="">
            <v:imagedata r:id="rId172" o:title=""/>
          </v:shape>
          <o:OLEObject Type="Embed" ProgID="Equation.3" ShapeID="_x0000_i1383" DrawAspect="Content" ObjectID="_1804653866" r:id="rId474"/>
        </w:object>
      </w:r>
      <w:r w:rsidRPr="00A94098">
        <w:t>RT</w:t>
      </w:r>
      <w:r>
        <w:t>MGA</w:t>
      </w:r>
      <w:r w:rsidRPr="000275BF">
        <w:rPr>
          <w:i/>
          <w:vertAlign w:val="subscript"/>
        </w:rPr>
        <w:t xml:space="preserve"> q, r, p</w:t>
      </w:r>
      <w:r>
        <w:t xml:space="preserve"> </w:t>
      </w:r>
    </w:p>
    <w:p w14:paraId="08238F6C" w14:textId="77777777" w:rsidR="001F04FD" w:rsidRPr="00B6611B" w:rsidRDefault="001F04FD" w:rsidP="001F04FD">
      <w:pPr>
        <w:spacing w:after="240"/>
        <w:ind w:left="720" w:firstLine="720"/>
      </w:pPr>
      <w:r>
        <w:t xml:space="preserve">        </w:t>
      </w:r>
      <w:r w:rsidRPr="00B6611B">
        <w:t>If  RTMGA</w:t>
      </w:r>
      <w:r w:rsidRPr="00B6611B">
        <w:rPr>
          <w:i/>
          <w:vertAlign w:val="subscript"/>
        </w:rPr>
        <w:t xml:space="preserve"> q, r, p</w:t>
      </w:r>
      <w:r w:rsidRPr="00B6611B">
        <w:t xml:space="preserve"> &gt; RTOLHSLRA</w:t>
      </w:r>
      <w:r w:rsidRPr="00B6611B">
        <w:rPr>
          <w:i/>
          <w:vertAlign w:val="subscript"/>
        </w:rPr>
        <w:t xml:space="preserve"> q, r, p </w:t>
      </w:r>
      <w:r w:rsidRPr="00B6611B">
        <w:t xml:space="preserve"> </w:t>
      </w:r>
    </w:p>
    <w:p w14:paraId="5741E927" w14:textId="77777777" w:rsidR="001F04FD" w:rsidRPr="003E514A" w:rsidRDefault="001F04FD" w:rsidP="001F04FD">
      <w:pPr>
        <w:spacing w:after="240"/>
        <w:ind w:left="2880" w:hanging="1710"/>
        <w:rPr>
          <w:i/>
          <w:vertAlign w:val="subscript"/>
        </w:rPr>
      </w:pPr>
      <w:r w:rsidRPr="00B6611B">
        <w:t xml:space="preserve">            Then RTMGA</w:t>
      </w:r>
      <w:r w:rsidRPr="00B6611B">
        <w:rPr>
          <w:i/>
          <w:vertAlign w:val="subscript"/>
        </w:rPr>
        <w:t xml:space="preserve"> q, r, p</w:t>
      </w:r>
      <w:r w:rsidRPr="00B6611B">
        <w:t xml:space="preserve"> = RTOLHSLRA</w:t>
      </w:r>
      <w:r w:rsidRPr="00B6611B">
        <w:rPr>
          <w:i/>
          <w:vertAlign w:val="subscript"/>
        </w:rPr>
        <w:t xml:space="preserve"> q, r, p </w:t>
      </w:r>
      <w:r w:rsidRPr="00B6611B">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14D02991" w14:textId="77777777" w:rsidTr="000169BA">
        <w:trPr>
          <w:trHeight w:val="206"/>
        </w:trPr>
        <w:tc>
          <w:tcPr>
            <w:tcW w:w="9576" w:type="dxa"/>
            <w:shd w:val="pct12" w:color="auto" w:fill="auto"/>
          </w:tcPr>
          <w:p w14:paraId="1F226851" w14:textId="38E05134" w:rsidR="000169BA" w:rsidRDefault="000169BA" w:rsidP="000169BA">
            <w:pPr>
              <w:pStyle w:val="Instructions"/>
              <w:spacing w:before="120"/>
            </w:pPr>
            <w:r>
              <w:t>[NPRR987:  Insert the language below upon system implementation:]</w:t>
            </w:r>
          </w:p>
          <w:p w14:paraId="0608A5E0" w14:textId="1834D10A" w:rsidR="000169BA" w:rsidRPr="000169BA" w:rsidRDefault="000169BA" w:rsidP="000169BA">
            <w:pPr>
              <w:spacing w:after="240"/>
              <w:rPr>
                <w:i/>
                <w:vertAlign w:val="subscript"/>
              </w:rPr>
            </w:pPr>
            <w:r w:rsidRPr="001E69BE">
              <w:t>Where</w:t>
            </w:r>
            <w:r>
              <w:t xml:space="preserve"> for a Controllable Load Resource other than a modeled Controllable Load Resource associated with an Energy Storage Resource (ESR)</w:t>
            </w:r>
            <w:r w:rsidRPr="001E69BE">
              <w:t>:</w:t>
            </w:r>
          </w:p>
        </w:tc>
      </w:tr>
    </w:tbl>
    <w:p w14:paraId="169A673B" w14:textId="2C5C4CC5" w:rsidR="001F04FD" w:rsidRPr="009E20B5" w:rsidRDefault="001F04FD" w:rsidP="001B11AD">
      <w:pPr>
        <w:pStyle w:val="FormulaBold"/>
        <w:tabs>
          <w:tab w:val="clear" w:pos="2250"/>
          <w:tab w:val="clear" w:pos="3150"/>
          <w:tab w:val="clear" w:pos="3960"/>
        </w:tabs>
        <w:spacing w:before="240"/>
        <w:ind w:left="3600" w:hanging="2430"/>
        <w:rPr>
          <w:b w:val="0"/>
        </w:rPr>
      </w:pPr>
      <w:r w:rsidRPr="009E20B5">
        <w:rPr>
          <w:b w:val="0"/>
        </w:rPr>
        <w:t>RTCLRCAP</w:t>
      </w:r>
      <w:r w:rsidRPr="009E20B5">
        <w:rPr>
          <w:b w:val="0"/>
          <w:i/>
          <w:vertAlign w:val="subscript"/>
        </w:rPr>
        <w:t xml:space="preserve"> q</w:t>
      </w:r>
      <w:r w:rsidR="003459E8">
        <w:rPr>
          <w:b w:val="0"/>
          <w:i/>
          <w:vertAlign w:val="subscript"/>
        </w:rPr>
        <w:t xml:space="preserve"> </w:t>
      </w:r>
      <w:r w:rsidRPr="009E20B5">
        <w:rPr>
          <w:b w:val="0"/>
        </w:rPr>
        <w:t>=</w:t>
      </w:r>
      <w:r w:rsidRPr="009E20B5">
        <w:rPr>
          <w:b w:val="0"/>
        </w:rPr>
        <w:tab/>
        <w:t>RTCLRNP</w:t>
      </w:r>
      <w:r>
        <w:rPr>
          <w:b w:val="0"/>
        </w:rPr>
        <w:t>C</w:t>
      </w:r>
      <w:r w:rsidRPr="009E20B5">
        <w:rPr>
          <w:b w:val="0"/>
          <w:i/>
          <w:vertAlign w:val="subscript"/>
        </w:rPr>
        <w:t xml:space="preserve"> q</w:t>
      </w:r>
      <w:r w:rsidRPr="009E20B5">
        <w:rPr>
          <w:b w:val="0"/>
        </w:rPr>
        <w:t xml:space="preserve"> – RTCLRL</w:t>
      </w:r>
      <w:r>
        <w:rPr>
          <w:b w:val="0"/>
        </w:rPr>
        <w:t>PC</w:t>
      </w:r>
      <w:r w:rsidRPr="009E20B5">
        <w:rPr>
          <w:b w:val="0"/>
          <w:i/>
          <w:vertAlign w:val="subscript"/>
        </w:rPr>
        <w:t xml:space="preserve"> q</w:t>
      </w:r>
      <w:r w:rsidRPr="003E514A">
        <w:rPr>
          <w:b w:val="0"/>
        </w:rPr>
        <w:t xml:space="preserve"> + RTCLRREG</w:t>
      </w:r>
      <w:r w:rsidRPr="003E514A">
        <w:rPr>
          <w:b w:val="0"/>
          <w:i/>
          <w:vertAlign w:val="subscript"/>
        </w:rPr>
        <w:t xml:space="preserve"> q</w:t>
      </w:r>
    </w:p>
    <w:p w14:paraId="3E4874D6" w14:textId="57188299" w:rsidR="001F04FD" w:rsidRPr="00DD5118" w:rsidRDefault="001F04FD" w:rsidP="00F468C2">
      <w:pPr>
        <w:spacing w:after="240"/>
        <w:ind w:left="2880" w:hanging="1710"/>
        <w:rPr>
          <w:bCs/>
        </w:rPr>
      </w:pPr>
      <w:r w:rsidRPr="00177E15">
        <w:t>RTCLRNP</w:t>
      </w:r>
      <w:r>
        <w:t>C </w:t>
      </w:r>
      <w:r w:rsidRPr="00177E15">
        <w:rPr>
          <w:i/>
          <w:vertAlign w:val="subscript"/>
        </w:rPr>
        <w:t>q</w:t>
      </w:r>
      <w:r w:rsidR="003459E8">
        <w:rPr>
          <w:i/>
          <w:vertAlign w:val="subscript"/>
        </w:rPr>
        <w:t xml:space="preserve"> </w:t>
      </w:r>
      <w:r w:rsidRPr="001E69BE">
        <w:rPr>
          <w:bCs/>
        </w:rPr>
        <w:t>=</w:t>
      </w:r>
      <w:r>
        <w:rPr>
          <w:bCs/>
        </w:rPr>
        <w:tab/>
      </w:r>
      <w:r>
        <w:rPr>
          <w:bCs/>
        </w:rPr>
        <w:tab/>
      </w:r>
      <w:r w:rsidRPr="0010409C">
        <w:t xml:space="preserve">SYS_GEN_DISCFACTOR * </w:t>
      </w:r>
      <w:r w:rsidRPr="000275BF">
        <w:rPr>
          <w:position w:val="-18"/>
        </w:rPr>
        <w:object w:dxaOrig="225" w:dyaOrig="420" w14:anchorId="68B68C0A">
          <v:shape id="_x0000_i1384" type="#_x0000_t75" style="width:12pt;height:24pt" o:ole="">
            <v:imagedata r:id="rId159" o:title=""/>
          </v:shape>
          <o:OLEObject Type="Embed" ProgID="Equation.3" ShapeID="_x0000_i1384" DrawAspect="Content" ObjectID="_1804653867" r:id="rId475"/>
        </w:object>
      </w:r>
      <w:r w:rsidRPr="000275BF">
        <w:rPr>
          <w:position w:val="-22"/>
        </w:rPr>
        <w:object w:dxaOrig="225" w:dyaOrig="465" w14:anchorId="3E274163">
          <v:shape id="_x0000_i1385" type="#_x0000_t75" style="width:12pt;height:18pt" o:ole="">
            <v:imagedata r:id="rId172" o:title=""/>
          </v:shape>
          <o:OLEObject Type="Embed" ProgID="Equation.3" ShapeID="_x0000_i1385" DrawAspect="Content" ObjectID="_1804653868" r:id="rId476"/>
        </w:object>
      </w:r>
      <w:r w:rsidRPr="00DD5118">
        <w:rPr>
          <w:bCs/>
        </w:rPr>
        <w:t>RTCLRNP</w:t>
      </w:r>
      <w:r>
        <w:rPr>
          <w:bCs/>
        </w:rPr>
        <w:t>C</w:t>
      </w:r>
      <w:r w:rsidRPr="00DD5118">
        <w:rPr>
          <w:bCs/>
        </w:rPr>
        <w:t>R</w:t>
      </w:r>
      <w:r>
        <w:rPr>
          <w:bCs/>
        </w:rPr>
        <w:t xml:space="preserve"> </w:t>
      </w:r>
      <w:r w:rsidRPr="000275BF">
        <w:rPr>
          <w:b/>
          <w:i/>
          <w:vertAlign w:val="subscript"/>
        </w:rPr>
        <w:t>q, r, p</w:t>
      </w:r>
    </w:p>
    <w:p w14:paraId="7CB71D97" w14:textId="77777777" w:rsidR="001F04FD" w:rsidRPr="00DD5118" w:rsidRDefault="001F04FD" w:rsidP="001F04FD">
      <w:pPr>
        <w:spacing w:after="240"/>
        <w:ind w:left="2880" w:hanging="1710"/>
        <w:rPr>
          <w:bCs/>
        </w:rPr>
      </w:pPr>
      <w:r w:rsidRPr="00177E15">
        <w:t>RTCLRL</w:t>
      </w:r>
      <w:r>
        <w:t>PC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03044012">
          <v:shape id="_x0000_i1386" type="#_x0000_t75" style="width:12pt;height:24pt" o:ole="">
            <v:imagedata r:id="rId159" o:title=""/>
          </v:shape>
          <o:OLEObject Type="Embed" ProgID="Equation.3" ShapeID="_x0000_i1386" DrawAspect="Content" ObjectID="_1804653869" r:id="rId477"/>
        </w:object>
      </w:r>
      <w:r w:rsidRPr="000275BF">
        <w:rPr>
          <w:position w:val="-22"/>
        </w:rPr>
        <w:object w:dxaOrig="225" w:dyaOrig="465" w14:anchorId="551AA27E">
          <v:shape id="_x0000_i1387" type="#_x0000_t75" style="width:12pt;height:18pt" o:ole="">
            <v:imagedata r:id="rId172" o:title=""/>
          </v:shape>
          <o:OLEObject Type="Embed" ProgID="Equation.3" ShapeID="_x0000_i1387" DrawAspect="Content" ObjectID="_1804653870" r:id="rId478"/>
        </w:object>
      </w:r>
      <w:r w:rsidRPr="00DD5118">
        <w:rPr>
          <w:bCs/>
        </w:rPr>
        <w:t>RTCLRL</w:t>
      </w:r>
      <w:r>
        <w:rPr>
          <w:bCs/>
        </w:rPr>
        <w:t>PC</w:t>
      </w:r>
      <w:r w:rsidRPr="00DD5118">
        <w:rPr>
          <w:bCs/>
        </w:rPr>
        <w:t>R</w:t>
      </w:r>
      <w:r w:rsidRPr="000275BF">
        <w:rPr>
          <w:b/>
          <w:i/>
          <w:vertAlign w:val="subscript"/>
        </w:rPr>
        <w:t xml:space="preserve"> q, r, p</w:t>
      </w:r>
    </w:p>
    <w:p w14:paraId="7EAB237D" w14:textId="77777777" w:rsidR="001F04FD" w:rsidRPr="009E20B5" w:rsidRDefault="001F04FD" w:rsidP="00F468C2">
      <w:pPr>
        <w:pStyle w:val="FormulaBold"/>
        <w:tabs>
          <w:tab w:val="clear" w:pos="2250"/>
          <w:tab w:val="clear" w:pos="3150"/>
          <w:tab w:val="clear" w:pos="3960"/>
        </w:tabs>
        <w:ind w:left="3600" w:hanging="2430"/>
        <w:rPr>
          <w:b w:val="0"/>
        </w:rPr>
      </w:pPr>
      <w:r w:rsidRPr="003E514A">
        <w:rPr>
          <w:b w:val="0"/>
        </w:rPr>
        <w:t>RTCLRREG </w:t>
      </w:r>
      <w:r w:rsidRPr="003E514A">
        <w:rPr>
          <w:b w:val="0"/>
          <w:bCs w:val="0"/>
          <w:i/>
          <w:vertAlign w:val="subscript"/>
        </w:rPr>
        <w:t>q</w:t>
      </w:r>
      <w:r>
        <w:rPr>
          <w:b w:val="0"/>
          <w:bCs w:val="0"/>
          <w:i/>
          <w:vertAlign w:val="subscript"/>
        </w:rPr>
        <w:t xml:space="preserve"> </w:t>
      </w:r>
      <w:r w:rsidRPr="003E514A">
        <w:rPr>
          <w:b w:val="0"/>
          <w:bCs w:val="0"/>
        </w:rPr>
        <w:t>=</w:t>
      </w:r>
      <w:r>
        <w:rPr>
          <w:b w:val="0"/>
          <w:bCs w:val="0"/>
        </w:rPr>
        <w:tab/>
      </w:r>
      <w:r w:rsidRPr="00775EDD">
        <w:rPr>
          <w:b w:val="0"/>
        </w:rPr>
        <w:t>SYS_GEN_DISCFACTOR *</w:t>
      </w:r>
      <w:r w:rsidRPr="0010409C">
        <w:t xml:space="preserve"> </w:t>
      </w:r>
      <w:r w:rsidRPr="003E514A">
        <w:rPr>
          <w:b w:val="0"/>
          <w:position w:val="-18"/>
        </w:rPr>
        <w:object w:dxaOrig="225" w:dyaOrig="420" w14:anchorId="3F215885">
          <v:shape id="_x0000_i1388" type="#_x0000_t75" style="width:12pt;height:24pt" o:ole="">
            <v:imagedata r:id="rId159" o:title=""/>
          </v:shape>
          <o:OLEObject Type="Embed" ProgID="Equation.3" ShapeID="_x0000_i1388" DrawAspect="Content" ObjectID="_1804653871" r:id="rId479"/>
        </w:object>
      </w:r>
      <w:r w:rsidRPr="003E514A">
        <w:rPr>
          <w:b w:val="0"/>
          <w:position w:val="-22"/>
        </w:rPr>
        <w:object w:dxaOrig="225" w:dyaOrig="465" w14:anchorId="7D4DC5EC">
          <v:shape id="_x0000_i1389" type="#_x0000_t75" style="width:12pt;height:18pt" o:ole="">
            <v:imagedata r:id="rId172" o:title=""/>
          </v:shape>
          <o:OLEObject Type="Embed" ProgID="Equation.3" ShapeID="_x0000_i1389" DrawAspect="Content" ObjectID="_1804653872" r:id="rId480"/>
        </w:object>
      </w:r>
      <w:r w:rsidRPr="003E514A">
        <w:rPr>
          <w:b w:val="0"/>
          <w:bCs w:val="0"/>
        </w:rPr>
        <w:t xml:space="preserve"> </w:t>
      </w:r>
      <w:r w:rsidRPr="003E514A">
        <w:rPr>
          <w:b w:val="0"/>
        </w:rPr>
        <w:t>RTCLRREGR</w:t>
      </w:r>
      <w:r w:rsidRPr="003E514A">
        <w:rPr>
          <w:b w:val="0"/>
          <w:i/>
          <w:vertAlign w:val="subscript"/>
        </w:rPr>
        <w:t xml:space="preserve"> </w:t>
      </w:r>
      <w:r w:rsidRPr="009E20B5">
        <w:rPr>
          <w:b w:val="0"/>
          <w:i/>
          <w:vertAlign w:val="subscript"/>
        </w:rPr>
        <w:t>q, r, p</w:t>
      </w:r>
    </w:p>
    <w:p w14:paraId="74134D5D" w14:textId="77777777" w:rsidR="000169BA" w:rsidRPr="001E69BE" w:rsidRDefault="000169BA" w:rsidP="000169BA">
      <w:pPr>
        <w:spacing w:after="240"/>
      </w:pPr>
      <w:r w:rsidRPr="001E69BE">
        <w:t>Where:</w:t>
      </w:r>
    </w:p>
    <w:p w14:paraId="067D674D" w14:textId="04F064EC" w:rsidR="001F04FD" w:rsidRPr="000275BF" w:rsidRDefault="001F04FD" w:rsidP="001F04FD">
      <w:pPr>
        <w:pStyle w:val="FormulaBold"/>
        <w:tabs>
          <w:tab w:val="clear" w:pos="2250"/>
          <w:tab w:val="clear" w:pos="3150"/>
          <w:tab w:val="clear" w:pos="3960"/>
        </w:tabs>
        <w:ind w:left="3600" w:hanging="2430"/>
        <w:rPr>
          <w:b w:val="0"/>
        </w:rPr>
      </w:pPr>
      <w:r w:rsidRPr="000275BF">
        <w:rPr>
          <w:b w:val="0"/>
        </w:rPr>
        <w:t>RTRSVPOR</w:t>
      </w:r>
      <w:r w:rsidR="00B815D4">
        <w:rPr>
          <w:b w:val="0"/>
        </w:rPr>
        <w:t xml:space="preserve"> </w:t>
      </w:r>
      <w:r w:rsidRPr="000275BF">
        <w:rPr>
          <w:b w:val="0"/>
        </w:rPr>
        <w:t>=</w:t>
      </w:r>
      <w:r w:rsidRPr="000275BF">
        <w:rPr>
          <w:b w:val="0"/>
        </w:rPr>
        <w:tab/>
      </w:r>
      <w:r w:rsidR="00A94020">
        <w:rPr>
          <w:b w:val="0"/>
          <w:noProof/>
        </w:rPr>
        <w:drawing>
          <wp:inline distT="0" distB="0" distL="0" distR="0" wp14:anchorId="2BAEE63F" wp14:editId="6BDFD4B7">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RTORPA</w:t>
      </w:r>
      <w:r w:rsidRPr="000275BF">
        <w:rPr>
          <w:b w:val="0"/>
          <w:i/>
          <w:iCs/>
          <w:vertAlign w:val="subscript"/>
        </w:rPr>
        <w:t xml:space="preserve"> y</w:t>
      </w:r>
      <w:r w:rsidRPr="000275BF">
        <w:rPr>
          <w:b w:val="0"/>
        </w:rPr>
        <w:t>)</w:t>
      </w:r>
    </w:p>
    <w:p w14:paraId="13F0B63D" w14:textId="0F9E68DE" w:rsidR="001F04FD" w:rsidRPr="00602C41" w:rsidRDefault="001F04FD" w:rsidP="001F04F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00013237" w:rsidRPr="00602C41">
        <w:t xml:space="preserve"> + RT</w:t>
      </w:r>
      <w:r w:rsidR="00013237">
        <w:t>N</w:t>
      </w:r>
      <w:r w:rsidR="00013237" w:rsidRPr="00602C41">
        <w:t xml:space="preserve">CLRNSRESP </w:t>
      </w:r>
      <w:r w:rsidR="00013237" w:rsidRPr="00602C41">
        <w:rPr>
          <w:i/>
          <w:vertAlign w:val="subscript"/>
        </w:rPr>
        <w:t>q</w:t>
      </w:r>
      <w:r w:rsidRPr="00602C41">
        <w:t>)</w:t>
      </w:r>
    </w:p>
    <w:p w14:paraId="148BFDA8" w14:textId="1CB90FDF" w:rsidR="001F04FD" w:rsidRDefault="001F04FD" w:rsidP="00F468C2">
      <w:pPr>
        <w:pStyle w:val="FormulaBold"/>
        <w:tabs>
          <w:tab w:val="clear" w:pos="2250"/>
          <w:tab w:val="clear" w:pos="3150"/>
          <w:tab w:val="clear" w:pos="3960"/>
        </w:tabs>
        <w:ind w:left="3600" w:hanging="2430"/>
        <w:rPr>
          <w:b w:val="0"/>
          <w:i/>
          <w:vertAlign w:val="subscript"/>
        </w:rPr>
      </w:pPr>
      <w:r w:rsidRPr="000275BF">
        <w:rPr>
          <w:b w:val="0"/>
        </w:rPr>
        <w:t>RTOFFCAP</w:t>
      </w:r>
      <w:r w:rsidRPr="000275BF">
        <w:rPr>
          <w:b w:val="0"/>
          <w:i/>
          <w:vertAlign w:val="subscript"/>
        </w:rPr>
        <w:t xml:space="preserve"> q </w:t>
      </w:r>
      <w:r w:rsidRPr="000275BF">
        <w:rPr>
          <w:b w:val="0"/>
        </w:rPr>
        <w:t>=</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w:t>
      </w:r>
      <w:r w:rsidRPr="003275D8">
        <w:rPr>
          <w:rFonts w:ascii="Times New Roman Bold" w:hAnsi="Times New Roman Bold"/>
          <w:b w:val="0"/>
        </w:rPr>
        <w:t xml:space="preserve"> </w:t>
      </w:r>
      <w:r w:rsidR="00013237" w:rsidRPr="00210F92">
        <w:rPr>
          <w:b w:val="0"/>
        </w:rPr>
        <w:t>+ RTNCLRNSCAP</w:t>
      </w:r>
      <w:r w:rsidR="00013237" w:rsidRPr="00885CB2">
        <w:rPr>
          <w:bCs w:val="0"/>
          <w:i/>
          <w:vertAlign w:val="subscript"/>
        </w:rPr>
        <w:t xml:space="preserve"> </w:t>
      </w:r>
      <w:r w:rsidR="00013237" w:rsidRPr="00210F92">
        <w:rPr>
          <w:b w:val="0"/>
          <w:i/>
          <w:vertAlign w:val="subscript"/>
        </w:rPr>
        <w:t>q</w:t>
      </w:r>
    </w:p>
    <w:p w14:paraId="4C7FF3A5" w14:textId="40892C4D" w:rsidR="00013237" w:rsidRDefault="00013237" w:rsidP="00F468C2">
      <w:pPr>
        <w:tabs>
          <w:tab w:val="left" w:pos="2250"/>
          <w:tab w:val="left" w:pos="3150"/>
          <w:tab w:val="left" w:pos="3960"/>
        </w:tabs>
        <w:spacing w:after="240"/>
        <w:ind w:left="3600" w:hanging="2430"/>
        <w:rPr>
          <w:bCs/>
        </w:rPr>
      </w:pPr>
      <w:r w:rsidRPr="00A05195">
        <w:rPr>
          <w:bCs/>
        </w:rPr>
        <w:t>RTNCLR</w:t>
      </w:r>
      <w:r>
        <w:rPr>
          <w:bCs/>
        </w:rPr>
        <w:t>NS</w:t>
      </w:r>
      <w:r w:rsidRPr="00A05195">
        <w:rPr>
          <w:bCs/>
        </w:rPr>
        <w:t>CAP</w:t>
      </w:r>
      <w:r w:rsidRPr="00A05195">
        <w:rPr>
          <w:bCs/>
          <w:i/>
          <w:vertAlign w:val="subscript"/>
        </w:rPr>
        <w:t xml:space="preserve"> q    </w:t>
      </w:r>
      <w:r w:rsidRPr="00A05195">
        <w:rPr>
          <w:bCs/>
        </w:rPr>
        <w:t>=</w:t>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0.0), RTNCL</w:t>
      </w:r>
      <w:r>
        <w:rPr>
          <w:bCs/>
        </w:rPr>
        <w:t>RNS</w:t>
      </w:r>
      <w:r w:rsidRPr="00876C1F">
        <w:rPr>
          <w:bCs/>
          <w:i/>
          <w:vertAlign w:val="subscript"/>
        </w:rPr>
        <w:t xml:space="preserve"> q</w:t>
      </w:r>
      <w:r w:rsidRPr="00876C1F">
        <w:rPr>
          <w:bCs/>
        </w:rPr>
        <w:t xml:space="preserve"> * 1.5)</w:t>
      </w:r>
    </w:p>
    <w:p w14:paraId="50948E5D" w14:textId="2A2297B6" w:rsidR="00013237" w:rsidRPr="00013237" w:rsidRDefault="00013237" w:rsidP="00013237">
      <w:pPr>
        <w:pStyle w:val="FormulaBold"/>
        <w:tabs>
          <w:tab w:val="clear" w:pos="2250"/>
          <w:tab w:val="clear" w:pos="3150"/>
          <w:tab w:val="clear" w:pos="3960"/>
        </w:tabs>
        <w:ind w:left="3600" w:hanging="2430"/>
        <w:rPr>
          <w:rFonts w:ascii="Times New Roman Bold" w:hAnsi="Times New Roman Bold"/>
          <w:b w:val="0"/>
          <w:bCs w:val="0"/>
        </w:rPr>
      </w:pPr>
      <w:r w:rsidRPr="00013237">
        <w:rPr>
          <w:b w:val="0"/>
          <w:bCs w:val="0"/>
        </w:rPr>
        <w:t xml:space="preserve">RTNCLRNS </w:t>
      </w:r>
      <w:r w:rsidRPr="00013237">
        <w:rPr>
          <w:b w:val="0"/>
          <w:bCs w:val="0"/>
          <w:i/>
          <w:iCs/>
          <w:vertAlign w:val="subscript"/>
        </w:rPr>
        <w:t xml:space="preserve">q </w:t>
      </w:r>
      <w:r w:rsidRPr="00013237">
        <w:rPr>
          <w:b w:val="0"/>
          <w:bCs w:val="0"/>
        </w:rPr>
        <w:t>=</w:t>
      </w:r>
      <w:r w:rsidRPr="00013237">
        <w:rPr>
          <w:b w:val="0"/>
          <w:bCs w:val="0"/>
        </w:rPr>
        <w:tab/>
        <w:t xml:space="preserve">SYS_GEN_DISCFACTOR * </w:t>
      </w:r>
      <w:r w:rsidRPr="00013237">
        <w:rPr>
          <w:b w:val="0"/>
          <w:bCs w:val="0"/>
          <w:position w:val="-18"/>
        </w:rPr>
        <w:object w:dxaOrig="225" w:dyaOrig="420" w14:anchorId="6E26549B">
          <v:shape id="_x0000_i1390" type="#_x0000_t75" style="width:12pt;height:24pt" o:ole="">
            <v:imagedata r:id="rId159" o:title=""/>
          </v:shape>
          <o:OLEObject Type="Embed" ProgID="Equation.3" ShapeID="_x0000_i1390" DrawAspect="Content" ObjectID="_1804653873" r:id="rId481"/>
        </w:object>
      </w:r>
      <w:r w:rsidRPr="00013237">
        <w:rPr>
          <w:b w:val="0"/>
          <w:bCs w:val="0"/>
          <w:position w:val="-22"/>
        </w:rPr>
        <w:object w:dxaOrig="225" w:dyaOrig="465" w14:anchorId="4F88C1CF">
          <v:shape id="_x0000_i1391" type="#_x0000_t75" style="width:18pt;height:24pt" o:ole="">
            <v:imagedata r:id="rId172" o:title=""/>
          </v:shape>
          <o:OLEObject Type="Embed" ProgID="Equation.3" ShapeID="_x0000_i1391" DrawAspect="Content" ObjectID="_1804653874" r:id="rId482"/>
        </w:object>
      </w:r>
      <w:r w:rsidRPr="00013237">
        <w:rPr>
          <w:b w:val="0"/>
          <w:bCs w:val="0"/>
        </w:rPr>
        <w:t>RTNCLRNSR</w:t>
      </w:r>
      <w:r w:rsidRPr="00013237">
        <w:rPr>
          <w:b w:val="0"/>
          <w:bCs w:val="0"/>
          <w:i/>
          <w:vertAlign w:val="subscript"/>
        </w:rPr>
        <w:t xml:space="preserve"> q, r, p</w:t>
      </w:r>
    </w:p>
    <w:p w14:paraId="598ED20C" w14:textId="7C716EB9" w:rsidR="001F04FD" w:rsidRDefault="001F04FD" w:rsidP="00C02A98">
      <w:pPr>
        <w:pStyle w:val="FormulaBold"/>
        <w:tabs>
          <w:tab w:val="clear" w:pos="2250"/>
          <w:tab w:val="clear" w:pos="3150"/>
          <w:tab w:val="clear" w:pos="3960"/>
        </w:tabs>
        <w:ind w:left="3600" w:hanging="2520"/>
        <w:rPr>
          <w:b w:val="0"/>
        </w:rPr>
      </w:pPr>
      <w:r w:rsidRPr="000275BF">
        <w:rPr>
          <w:b w:val="0"/>
        </w:rPr>
        <w:t>RTRSVPOFF</w:t>
      </w:r>
      <w:r w:rsidR="00B815D4">
        <w:rPr>
          <w:b w:val="0"/>
        </w:rPr>
        <w:t xml:space="preserve"> </w:t>
      </w:r>
      <w:r w:rsidRPr="000275BF">
        <w:rPr>
          <w:b w:val="0"/>
        </w:rPr>
        <w:t>=</w:t>
      </w:r>
      <w:r w:rsidRPr="000275BF">
        <w:rPr>
          <w:b w:val="0"/>
        </w:rPr>
        <w:tab/>
      </w:r>
      <w:r w:rsidR="00A94020">
        <w:rPr>
          <w:b w:val="0"/>
          <w:noProof/>
        </w:rPr>
        <w:drawing>
          <wp:inline distT="0" distB="0" distL="0" distR="0" wp14:anchorId="6FC3CDEF" wp14:editId="67DEE54C">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RTOFFPA</w:t>
      </w:r>
      <w:r w:rsidRPr="000275BF">
        <w:rPr>
          <w:b w:val="0"/>
          <w:i/>
          <w:iCs/>
          <w:vertAlign w:val="subscript"/>
        </w:rPr>
        <w:t xml:space="preserve"> y</w:t>
      </w:r>
      <w:r w:rsidRPr="000275BF">
        <w:rPr>
          <w:b w:val="0"/>
        </w:rPr>
        <w:t>)</w:t>
      </w:r>
    </w:p>
    <w:p w14:paraId="571D0327" w14:textId="41E221BA" w:rsidR="001F04FD" w:rsidRPr="000275BF" w:rsidRDefault="001F04FD" w:rsidP="001F04FD">
      <w:pPr>
        <w:pStyle w:val="FormulaBold"/>
        <w:tabs>
          <w:tab w:val="clear" w:pos="2250"/>
          <w:tab w:val="clear" w:pos="3150"/>
          <w:tab w:val="clear" w:pos="3960"/>
        </w:tabs>
        <w:ind w:left="3600" w:hanging="2520"/>
        <w:rPr>
          <w:b w:val="0"/>
        </w:rPr>
      </w:pPr>
      <w:r w:rsidRPr="00695338">
        <w:rPr>
          <w:b w:val="0"/>
        </w:rPr>
        <w:t>RTRDP =</w:t>
      </w:r>
      <w:r w:rsidRPr="00695338">
        <w:rPr>
          <w:b w:val="0"/>
        </w:rPr>
        <w:tab/>
      </w:r>
      <w:r w:rsidR="000333B4" w:rsidRPr="00695338">
        <w:rPr>
          <w:b w:val="0"/>
          <w:position w:val="-22"/>
        </w:rPr>
        <w:object w:dxaOrig="225" w:dyaOrig="465" w14:anchorId="45C03BDD">
          <v:shape id="_x0000_i1392" type="#_x0000_t75" style="width:18pt;height:30pt" o:ole="">
            <v:imagedata r:id="rId22" o:title=""/>
          </v:shape>
          <o:OLEObject Type="Embed" ProgID="Equation.3" ShapeID="_x0000_i1392" DrawAspect="Content" ObjectID="_1804653875" r:id="rId483"/>
        </w:object>
      </w:r>
      <w:r w:rsidRPr="00695338">
        <w:rPr>
          <w:b w:val="0"/>
        </w:rPr>
        <w:t xml:space="preserve">(RNWF </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0F0EE57C" w14:textId="078045AA" w:rsidR="001F04FD" w:rsidRPr="000275BF" w:rsidRDefault="001F04FD" w:rsidP="001F04FD">
      <w:pPr>
        <w:pStyle w:val="FormulaBold"/>
        <w:tabs>
          <w:tab w:val="clear" w:pos="2250"/>
          <w:tab w:val="clear" w:pos="3150"/>
          <w:tab w:val="clear" w:pos="3960"/>
        </w:tabs>
        <w:ind w:left="3600" w:hanging="2520"/>
        <w:rPr>
          <w:b w:val="0"/>
        </w:rPr>
      </w:pPr>
      <w:r w:rsidRPr="000275BF">
        <w:rPr>
          <w:b w:val="0"/>
        </w:rPr>
        <w:lastRenderedPageBreak/>
        <w:t xml:space="preserve">RNWF </w:t>
      </w:r>
      <w:r w:rsidRPr="000275BF">
        <w:rPr>
          <w:b w:val="0"/>
          <w:i/>
          <w:vertAlign w:val="subscript"/>
        </w:rPr>
        <w:t>y</w:t>
      </w:r>
      <w:r w:rsidRPr="000275BF">
        <w:rPr>
          <w:b w:val="0"/>
        </w:rPr>
        <w:t>=</w:t>
      </w:r>
      <w:r w:rsidRPr="000275BF">
        <w:rPr>
          <w:b w:val="0"/>
        </w:rPr>
        <w:tab/>
        <w:t xml:space="preserve">TLMP </w:t>
      </w:r>
      <w:r w:rsidRPr="000275BF">
        <w:rPr>
          <w:b w:val="0"/>
          <w:i/>
          <w:vertAlign w:val="subscript"/>
        </w:rPr>
        <w:t>y</w:t>
      </w:r>
      <w:r w:rsidRPr="000275BF">
        <w:rPr>
          <w:b w:val="0"/>
        </w:rPr>
        <w:t xml:space="preserve"> </w:t>
      </w:r>
      <w:r w:rsidRPr="000275BF">
        <w:rPr>
          <w:b w:val="0"/>
          <w:color w:val="000000"/>
          <w:sz w:val="32"/>
          <w:szCs w:val="32"/>
        </w:rPr>
        <w:t>/</w:t>
      </w:r>
      <w:r w:rsidRPr="000275BF">
        <w:rPr>
          <w:b w:val="0"/>
          <w:color w:val="000000"/>
        </w:rPr>
        <w:t xml:space="preserve"> </w:t>
      </w:r>
      <w:r w:rsidR="000333B4" w:rsidRPr="000275BF">
        <w:rPr>
          <w:b w:val="0"/>
          <w:position w:val="-22"/>
        </w:rPr>
        <w:object w:dxaOrig="225" w:dyaOrig="465" w14:anchorId="7AC578CE">
          <v:shape id="_x0000_i1393" type="#_x0000_t75" style="width:18pt;height:30pt" o:ole="">
            <v:imagedata r:id="rId22" o:title=""/>
          </v:shape>
          <o:OLEObject Type="Embed" ProgID="Equation.3" ShapeID="_x0000_i1393" DrawAspect="Content" ObjectID="_1804653876" r:id="rId484"/>
        </w:object>
      </w:r>
      <w:r w:rsidRPr="000275BF">
        <w:rPr>
          <w:b w:val="0"/>
        </w:rPr>
        <w:t xml:space="preserve">TLMP </w:t>
      </w:r>
      <w:r w:rsidRPr="000275BF">
        <w:rPr>
          <w:b w:val="0"/>
          <w:i/>
          <w:vertAlign w:val="subscript"/>
        </w:rPr>
        <w: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54419BBC" w14:textId="77777777" w:rsidTr="000169BA">
        <w:trPr>
          <w:trHeight w:val="206"/>
        </w:trPr>
        <w:tc>
          <w:tcPr>
            <w:tcW w:w="9576" w:type="dxa"/>
            <w:shd w:val="pct12" w:color="auto" w:fill="auto"/>
          </w:tcPr>
          <w:p w14:paraId="42959B32" w14:textId="77777777" w:rsidR="000169BA" w:rsidRDefault="000169BA" w:rsidP="000169BA">
            <w:pPr>
              <w:pStyle w:val="Instructions"/>
              <w:spacing w:before="120"/>
            </w:pPr>
            <w:r>
              <w:t>[NPRR987:  Insert the language below upon system implementation:]</w:t>
            </w:r>
          </w:p>
          <w:p w14:paraId="7CEC2B82" w14:textId="77777777" w:rsidR="000169BA" w:rsidRPr="00372D9A" w:rsidRDefault="000169BA" w:rsidP="000169BA">
            <w:pPr>
              <w:pStyle w:val="ListParagraph"/>
              <w:spacing w:after="240"/>
              <w:ind w:left="0"/>
              <w:rPr>
                <w:rFonts w:cs="Arial"/>
                <w:iCs/>
              </w:rPr>
            </w:pPr>
            <w:r w:rsidRPr="00372D9A">
              <w:rPr>
                <w:rFonts w:cs="Arial"/>
                <w:iCs/>
              </w:rPr>
              <w:t xml:space="preserve">Where for an </w:t>
            </w:r>
            <w:r>
              <w:rPr>
                <w:rFonts w:cs="Arial"/>
                <w:iCs/>
              </w:rPr>
              <w:t>ESR</w:t>
            </w:r>
            <w:r w:rsidRPr="00372D9A">
              <w:rPr>
                <w:rFonts w:cs="Arial"/>
                <w:iCs/>
              </w:rPr>
              <w:t>:</w:t>
            </w:r>
          </w:p>
          <w:p w14:paraId="0B4E07B3" w14:textId="361956FB" w:rsidR="000169BA" w:rsidRDefault="000169BA" w:rsidP="000169BA">
            <w:pPr>
              <w:pStyle w:val="ColorfulList-Accent11"/>
              <w:spacing w:after="240"/>
              <w:ind w:left="1080"/>
              <w:jc w:val="both"/>
            </w:pPr>
            <w:r>
              <w:rPr>
                <w:rFonts w:cs="Arial"/>
                <w:iCs/>
              </w:rPr>
              <w:t>RTESRCAP</w:t>
            </w:r>
            <w:r>
              <w:rPr>
                <w:i/>
                <w:vertAlign w:val="subscript"/>
              </w:rPr>
              <w:t xml:space="preserve"> q </w:t>
            </w:r>
            <w:r>
              <w:rPr>
                <w:rFonts w:cs="Arial"/>
                <w:iCs/>
              </w:rPr>
              <w:t>=</w:t>
            </w:r>
            <w:r>
              <w:rPr>
                <w:noProof/>
              </w:rPr>
              <w:drawing>
                <wp:inline distT="0" distB="0" distL="0" distR="0" wp14:anchorId="39C3C6F3" wp14:editId="4E72C4BD">
                  <wp:extent cx="180975" cy="342900"/>
                  <wp:effectExtent l="0" t="0" r="9525" b="0"/>
                  <wp:docPr id="3311" name="Picture 33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5">
                            <a:extLst>
                              <a:ext uri="{28A0092B-C50C-407E-A947-70E740481C1C}">
                                <a14:useLocalDpi xmlns:a14="http://schemas.microsoft.com/office/drawing/2010/main" val="0"/>
                              </a:ext>
                            </a:extLst>
                          </a:blip>
                          <a:stretch>
                            <a:fillRect/>
                          </a:stretch>
                        </pic:blipFill>
                        <pic:spPr>
                          <a:xfrm>
                            <a:off x="0" y="0"/>
                            <a:ext cx="180975" cy="342900"/>
                          </a:xfrm>
                          <a:prstGeom prst="rect">
                            <a:avLst/>
                          </a:prstGeom>
                          <a:solidFill>
                            <a:schemeClr val="accent1"/>
                          </a:solidFill>
                        </pic:spPr>
                      </pic:pic>
                    </a:graphicData>
                  </a:graphic>
                </wp:inline>
              </w:drawing>
            </w:r>
            <w:r>
              <w:rPr>
                <w:rFonts w:cs="Arial"/>
                <w:iCs/>
              </w:rPr>
              <w:t xml:space="preserve">  </w:t>
            </w:r>
            <w:r>
              <w:rPr>
                <w:bCs/>
              </w:rPr>
              <w:t>(</w:t>
            </w:r>
            <w:r>
              <w:rPr>
                <w:rFonts w:cs="Arial"/>
                <w:iCs/>
              </w:rPr>
              <w:t>RTESRCAPR</w:t>
            </w:r>
            <w:r>
              <w:rPr>
                <w:i/>
                <w:vertAlign w:val="subscript"/>
              </w:rPr>
              <w:t xml:space="preserve"> q, g, p</w:t>
            </w:r>
            <w:r>
              <w:t>)</w:t>
            </w:r>
          </w:p>
          <w:p w14:paraId="4B8A200A" w14:textId="77777777" w:rsidR="000169BA" w:rsidRDefault="000169BA" w:rsidP="000169BA">
            <w:pPr>
              <w:pStyle w:val="ListParagraph"/>
              <w:spacing w:after="240"/>
              <w:ind w:left="0"/>
              <w:rPr>
                <w:rFonts w:cs="Arial"/>
                <w:iCs/>
              </w:rPr>
            </w:pPr>
            <w:r>
              <w:rPr>
                <w:rFonts w:cs="Arial"/>
                <w:iCs/>
              </w:rPr>
              <w:t>Where:</w:t>
            </w:r>
          </w:p>
          <w:p w14:paraId="006F98B2" w14:textId="679AB599" w:rsidR="000169BA" w:rsidRPr="000169BA" w:rsidRDefault="000169BA" w:rsidP="000169BA">
            <w:pPr>
              <w:pStyle w:val="ColorfulList-Accent11"/>
              <w:spacing w:after="240"/>
              <w:ind w:left="1080"/>
              <w:jc w:val="both"/>
            </w:pPr>
            <w:r w:rsidRPr="00372D9A">
              <w:rPr>
                <w:rFonts w:cs="Arial"/>
                <w:iCs/>
              </w:rPr>
              <w:t>RTESRCAP</w:t>
            </w:r>
            <w:r>
              <w:rPr>
                <w:rFonts w:cs="Arial"/>
                <w:iCs/>
              </w:rPr>
              <w:t>R</w:t>
            </w:r>
            <w:r w:rsidRPr="00372D9A">
              <w:rPr>
                <w:i/>
                <w:vertAlign w:val="subscript"/>
              </w:rPr>
              <w:t xml:space="preserve"> q</w:t>
            </w:r>
            <w:r>
              <w:rPr>
                <w:i/>
                <w:vertAlign w:val="subscript"/>
              </w:rPr>
              <w:t>, g, p</w:t>
            </w:r>
            <w:r w:rsidRPr="00372D9A" w:rsidDel="00EB725D">
              <w:t xml:space="preserve"> </w:t>
            </w:r>
            <w:r w:rsidRPr="00372D9A">
              <w:t xml:space="preserve"> </w:t>
            </w:r>
            <w:r>
              <w:rPr>
                <w:i/>
              </w:rPr>
              <w:t xml:space="preserve">= </w:t>
            </w:r>
            <w:r>
              <w:t>Min[(</w:t>
            </w:r>
            <w:r w:rsidRPr="0080555B">
              <w:t>RTOLHSL</w:t>
            </w:r>
            <w:r>
              <w:t xml:space="preserve">RA </w:t>
            </w:r>
            <w:r w:rsidRPr="0080555B">
              <w:rPr>
                <w:i/>
                <w:vertAlign w:val="subscript"/>
              </w:rPr>
              <w:t>q</w:t>
            </w:r>
            <w:r>
              <w:rPr>
                <w:i/>
                <w:vertAlign w:val="subscript"/>
              </w:rPr>
              <w:t>, r, p</w:t>
            </w:r>
            <w:r>
              <w:t xml:space="preserve"> – RTMGA </w:t>
            </w:r>
            <w:r w:rsidRPr="00372D9A">
              <w:rPr>
                <w:i/>
                <w:vertAlign w:val="subscript"/>
              </w:rPr>
              <w:t>q, r, p</w:t>
            </w:r>
            <w:r w:rsidRPr="00DF6799">
              <w:rPr>
                <w:i/>
              </w:rPr>
              <w:t xml:space="preserve"> </w:t>
            </w:r>
            <w:r>
              <w:t>+</w:t>
            </w:r>
            <w:r w:rsidRPr="00EB725D">
              <w:rPr>
                <w:bCs/>
              </w:rPr>
              <w:t xml:space="preserve"> </w:t>
            </w:r>
            <w:r w:rsidRPr="00372D9A">
              <w:rPr>
                <w:bCs/>
              </w:rPr>
              <w:t xml:space="preserve">RTCLRNPCR </w:t>
            </w:r>
            <w:r w:rsidRPr="00372D9A">
              <w:rPr>
                <w:i/>
                <w:vertAlign w:val="subscript"/>
              </w:rPr>
              <w:t>q, r, p</w:t>
            </w:r>
            <w:r>
              <w:t>),</w:t>
            </w:r>
            <w:r>
              <w:rPr>
                <w:vertAlign w:val="subscript"/>
              </w:rPr>
              <w:t xml:space="preserve"> </w:t>
            </w:r>
            <w:r>
              <w:rPr>
                <w:bCs/>
              </w:rPr>
              <w:t>(R</w:t>
            </w:r>
            <w:r w:rsidRPr="00372D9A">
              <w:rPr>
                <w:bCs/>
              </w:rPr>
              <w:t xml:space="preserve">TCLRNPCR </w:t>
            </w:r>
            <w:r w:rsidRPr="00372D9A">
              <w:rPr>
                <w:i/>
                <w:vertAlign w:val="subscript"/>
              </w:rPr>
              <w:t xml:space="preserve">q, r, p </w:t>
            </w:r>
            <w:r>
              <w:rPr>
                <w:i/>
                <w:vertAlign w:val="subscript"/>
              </w:rPr>
              <w:t xml:space="preserve"> </w:t>
            </w:r>
            <w:r w:rsidRPr="00602C41">
              <w:t>+</w:t>
            </w:r>
            <w:r>
              <w:t xml:space="preserve"> </w:t>
            </w:r>
            <w:r w:rsidRPr="00372D9A">
              <w:t>SOCT</w:t>
            </w:r>
            <w:r>
              <w:t xml:space="preserve"> </w:t>
            </w:r>
            <w:r w:rsidRPr="00372D9A">
              <w:rPr>
                <w:i/>
                <w:vertAlign w:val="subscript"/>
              </w:rPr>
              <w:t>q,</w:t>
            </w:r>
            <w:r>
              <w:rPr>
                <w:i/>
                <w:vertAlign w:val="subscript"/>
              </w:rPr>
              <w:t xml:space="preserve"> </w:t>
            </w:r>
            <w:r w:rsidRPr="00372D9A">
              <w:rPr>
                <w:i/>
                <w:vertAlign w:val="subscript"/>
              </w:rPr>
              <w:t>r</w:t>
            </w:r>
            <w:r>
              <w:t xml:space="preserve"> – SOCOM </w:t>
            </w:r>
            <w:r w:rsidRPr="00372D9A">
              <w:rPr>
                <w:i/>
                <w:vertAlign w:val="subscript"/>
              </w:rPr>
              <w:t>q,</w:t>
            </w:r>
            <w:r>
              <w:rPr>
                <w:i/>
                <w:vertAlign w:val="subscript"/>
              </w:rPr>
              <w:t xml:space="preserve"> </w:t>
            </w:r>
            <w:r w:rsidRPr="00372D9A">
              <w:rPr>
                <w:i/>
                <w:vertAlign w:val="subscript"/>
              </w:rPr>
              <w:t>r</w:t>
            </w:r>
            <w:r>
              <w:t>)]</w:t>
            </w:r>
          </w:p>
        </w:tc>
      </w:tr>
    </w:tbl>
    <w:p w14:paraId="49867241" w14:textId="77777777" w:rsidR="001F04FD" w:rsidRPr="000275BF" w:rsidRDefault="001F04FD" w:rsidP="001B11AD">
      <w:pPr>
        <w:pStyle w:val="Instructions"/>
        <w:spacing w:before="240" w:after="0"/>
        <w:ind w:left="720" w:hanging="720"/>
        <w:rPr>
          <w:b w:val="0"/>
          <w:i w:val="0"/>
        </w:rPr>
      </w:pPr>
      <w:r w:rsidRPr="000275BF">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4"/>
        <w:gridCol w:w="1133"/>
        <w:gridCol w:w="5763"/>
      </w:tblGrid>
      <w:tr w:rsidR="001F04FD" w:rsidRPr="0080555B" w14:paraId="42D0D44E" w14:textId="77777777" w:rsidTr="00356445">
        <w:trPr>
          <w:cantSplit/>
          <w:tblHeader/>
        </w:trPr>
        <w:tc>
          <w:tcPr>
            <w:tcW w:w="1312" w:type="pct"/>
          </w:tcPr>
          <w:p w14:paraId="45DA07E5" w14:textId="77777777" w:rsidR="001F04FD" w:rsidRPr="00CE4C14" w:rsidRDefault="001F04FD" w:rsidP="00AC4DEE">
            <w:pPr>
              <w:pStyle w:val="TableHead"/>
            </w:pPr>
            <w:r w:rsidRPr="00CE4C14">
              <w:t>Variable</w:t>
            </w:r>
          </w:p>
        </w:tc>
        <w:tc>
          <w:tcPr>
            <w:tcW w:w="606" w:type="pct"/>
          </w:tcPr>
          <w:p w14:paraId="586DC5B0" w14:textId="77777777" w:rsidR="001F04FD" w:rsidRPr="00CE4C14" w:rsidRDefault="001F04FD" w:rsidP="00AC4DEE">
            <w:pPr>
              <w:pStyle w:val="TableHead"/>
            </w:pPr>
            <w:r w:rsidRPr="00CE4C14">
              <w:t>Unit</w:t>
            </w:r>
          </w:p>
        </w:tc>
        <w:tc>
          <w:tcPr>
            <w:tcW w:w="3082" w:type="pct"/>
          </w:tcPr>
          <w:p w14:paraId="0645E78E" w14:textId="77777777" w:rsidR="001F04FD" w:rsidRPr="00CE4C14" w:rsidRDefault="001F04FD" w:rsidP="00AC4DEE">
            <w:pPr>
              <w:pStyle w:val="TableHead"/>
            </w:pPr>
            <w:r w:rsidRPr="00CE4C14">
              <w:t>Description</w:t>
            </w:r>
          </w:p>
        </w:tc>
      </w:tr>
      <w:tr w:rsidR="001F04FD" w:rsidRPr="0080555B" w14:paraId="60892F4F" w14:textId="77777777" w:rsidTr="00356445">
        <w:trPr>
          <w:cantSplit/>
        </w:trPr>
        <w:tc>
          <w:tcPr>
            <w:tcW w:w="1312" w:type="pct"/>
            <w:tcBorders>
              <w:bottom w:val="single" w:sz="4" w:space="0" w:color="auto"/>
            </w:tcBorders>
          </w:tcPr>
          <w:p w14:paraId="606D8422" w14:textId="77777777" w:rsidR="001F04FD" w:rsidRPr="0080555B" w:rsidRDefault="001F04FD" w:rsidP="00AC4DEE">
            <w:pPr>
              <w:pStyle w:val="tablebody0"/>
            </w:pPr>
            <w:r w:rsidRPr="0080555B">
              <w:t>RTASIAMT</w:t>
            </w:r>
            <w:r w:rsidRPr="0080555B">
              <w:rPr>
                <w:i/>
                <w:vertAlign w:val="subscript"/>
              </w:rPr>
              <w:t xml:space="preserve"> q</w:t>
            </w:r>
          </w:p>
        </w:tc>
        <w:tc>
          <w:tcPr>
            <w:tcW w:w="606" w:type="pct"/>
            <w:tcBorders>
              <w:bottom w:val="single" w:sz="4" w:space="0" w:color="auto"/>
            </w:tcBorders>
          </w:tcPr>
          <w:p w14:paraId="6472F759" w14:textId="77777777" w:rsidR="001F04FD" w:rsidRPr="0080555B" w:rsidRDefault="001F04FD" w:rsidP="00AC4DEE">
            <w:pPr>
              <w:pStyle w:val="tablebody0"/>
            </w:pPr>
            <w:r w:rsidRPr="0080555B">
              <w:t>$</w:t>
            </w:r>
          </w:p>
        </w:tc>
        <w:tc>
          <w:tcPr>
            <w:tcW w:w="3082" w:type="pct"/>
            <w:tcBorders>
              <w:bottom w:val="single" w:sz="4" w:space="0" w:color="auto"/>
            </w:tcBorders>
          </w:tcPr>
          <w:p w14:paraId="2987F9DC" w14:textId="77777777" w:rsidR="001F04FD" w:rsidRPr="0080555B" w:rsidRDefault="001F04FD" w:rsidP="00AC4DEE">
            <w:pPr>
              <w:pStyle w:val="tablebody0"/>
              <w:rPr>
                <w:i/>
              </w:rPr>
            </w:pPr>
            <w:r w:rsidRPr="0080555B">
              <w:rPr>
                <w:i/>
              </w:rPr>
              <w:t>Real-Time 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for the Real-Time Ancillary Service imbalance</w:t>
            </w:r>
            <w:r>
              <w:t xml:space="preserve"> associated with </w:t>
            </w:r>
            <w:r w:rsidRPr="006443E4">
              <w:t>Operating Reserve Demand Curve</w:t>
            </w:r>
            <w:r>
              <w:t xml:space="preserve"> (ORDC)</w:t>
            </w:r>
            <w:r w:rsidRPr="0080555B">
              <w:t xml:space="preserve"> </w:t>
            </w:r>
            <w:r w:rsidRPr="0080555B">
              <w:rPr>
                <w:iCs/>
              </w:rPr>
              <w:t>for each 15-minute Settlement Interval.</w:t>
            </w:r>
          </w:p>
        </w:tc>
      </w:tr>
      <w:tr w:rsidR="001F04FD" w:rsidRPr="0080555B" w14:paraId="13183668" w14:textId="77777777" w:rsidTr="00356445">
        <w:trPr>
          <w:cantSplit/>
        </w:trPr>
        <w:tc>
          <w:tcPr>
            <w:tcW w:w="1312" w:type="pct"/>
          </w:tcPr>
          <w:p w14:paraId="09E8C0FF" w14:textId="77777777" w:rsidR="001F04FD" w:rsidRPr="0080555B" w:rsidRDefault="001F04FD" w:rsidP="00AC4DEE">
            <w:pPr>
              <w:pStyle w:val="tablebody0"/>
            </w:pPr>
            <w:r>
              <w:t>RTRDASIAMT</w:t>
            </w:r>
            <w:r w:rsidRPr="0080555B">
              <w:rPr>
                <w:i/>
                <w:vertAlign w:val="subscript"/>
              </w:rPr>
              <w:t xml:space="preserve"> q</w:t>
            </w:r>
          </w:p>
        </w:tc>
        <w:tc>
          <w:tcPr>
            <w:tcW w:w="606" w:type="pct"/>
          </w:tcPr>
          <w:p w14:paraId="41409B34" w14:textId="77777777" w:rsidR="001F04FD" w:rsidRPr="0080555B" w:rsidRDefault="001F04FD" w:rsidP="00AC4DEE">
            <w:pPr>
              <w:pStyle w:val="tablebody0"/>
            </w:pPr>
            <w:r>
              <w:t>$</w:t>
            </w:r>
          </w:p>
        </w:tc>
        <w:tc>
          <w:tcPr>
            <w:tcW w:w="3082" w:type="pct"/>
          </w:tcPr>
          <w:p w14:paraId="668EE5F1" w14:textId="77777777" w:rsidR="001F04FD" w:rsidRPr="0080555B" w:rsidRDefault="001F04FD" w:rsidP="00AC4DEE">
            <w:pPr>
              <w:pStyle w:val="tablebody0"/>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 xml:space="preserve">for the Real-Time Ancillary Service imbalance </w:t>
            </w:r>
            <w:r>
              <w:t xml:space="preserve">associated with Reliability Deployments </w:t>
            </w:r>
            <w:r w:rsidRPr="0080555B">
              <w:rPr>
                <w:iCs/>
              </w:rPr>
              <w:t>for each 15-minute Settlement Interval.</w:t>
            </w:r>
          </w:p>
        </w:tc>
      </w:tr>
      <w:tr w:rsidR="001F04FD" w:rsidRPr="0080555B" w14:paraId="654AD657" w14:textId="77777777" w:rsidTr="00356445">
        <w:trPr>
          <w:cantSplit/>
        </w:trPr>
        <w:tc>
          <w:tcPr>
            <w:tcW w:w="1312" w:type="pct"/>
          </w:tcPr>
          <w:p w14:paraId="22EBDDD1" w14:textId="77777777" w:rsidR="001F04FD" w:rsidRPr="0080555B" w:rsidRDefault="001F04FD" w:rsidP="00AC4DEE">
            <w:pPr>
              <w:pStyle w:val="tablebody0"/>
            </w:pPr>
            <w:r w:rsidRPr="0080555B">
              <w:t>RTASOLIMB</w:t>
            </w:r>
            <w:r w:rsidRPr="0080555B">
              <w:rPr>
                <w:i/>
                <w:vertAlign w:val="subscript"/>
              </w:rPr>
              <w:t xml:space="preserve"> q</w:t>
            </w:r>
          </w:p>
        </w:tc>
        <w:tc>
          <w:tcPr>
            <w:tcW w:w="606" w:type="pct"/>
          </w:tcPr>
          <w:p w14:paraId="4DA970F1" w14:textId="77777777" w:rsidR="001F04FD" w:rsidRPr="0080555B" w:rsidRDefault="001F04FD" w:rsidP="00AC4DEE">
            <w:pPr>
              <w:pStyle w:val="tablebody0"/>
            </w:pPr>
            <w:r w:rsidRPr="0080555B">
              <w:t>MWh</w:t>
            </w:r>
          </w:p>
        </w:tc>
        <w:tc>
          <w:tcPr>
            <w:tcW w:w="3082" w:type="pct"/>
          </w:tcPr>
          <w:p w14:paraId="785EBB78" w14:textId="6259FC2D" w:rsidR="001F04FD" w:rsidRPr="0080555B" w:rsidRDefault="001F04FD" w:rsidP="00AC4DEE">
            <w:pPr>
              <w:pStyle w:val="tablebody0"/>
              <w:rPr>
                <w:i/>
              </w:rPr>
            </w:pPr>
            <w:r w:rsidRPr="0080555B">
              <w:rPr>
                <w:i/>
              </w:rPr>
              <w:t>Real</w:t>
            </w:r>
            <w:r w:rsidR="00CB79EB">
              <w:rPr>
                <w:i/>
              </w:rPr>
              <w:t>-</w:t>
            </w:r>
            <w:r w:rsidRPr="0080555B">
              <w:rPr>
                <w:i/>
              </w:rPr>
              <w:t>Time Ancillary Service On-Line Reserve Imbalance for the QSE</w:t>
            </w:r>
            <w:r w:rsidRPr="0080555B">
              <w:t xml:space="preserve"> </w:t>
            </w:r>
            <w:r w:rsidRPr="0080555B">
              <w:sym w:font="Symbol" w:char="F0BE"/>
            </w:r>
            <w:r w:rsidRPr="0080555B">
              <w:t xml:space="preserve">The Real-Time Ancillary Service On-Line reserve imbalance for the QSE </w:t>
            </w:r>
            <w:r w:rsidRPr="0080555B">
              <w:rPr>
                <w:i/>
              </w:rPr>
              <w:t>q</w:t>
            </w:r>
            <w:r w:rsidRPr="0080555B">
              <w:t xml:space="preserve">, for each 15-minute Settlement Interval.  </w:t>
            </w:r>
          </w:p>
        </w:tc>
      </w:tr>
      <w:tr w:rsidR="001F04FD" w:rsidRPr="0080555B" w14:paraId="4B891EEB" w14:textId="77777777" w:rsidTr="00356445">
        <w:trPr>
          <w:cantSplit/>
        </w:trPr>
        <w:tc>
          <w:tcPr>
            <w:tcW w:w="1312" w:type="pct"/>
          </w:tcPr>
          <w:p w14:paraId="030DA93E" w14:textId="77777777" w:rsidR="001F04FD" w:rsidRPr="0080555B" w:rsidRDefault="001F04FD" w:rsidP="00AC4DEE">
            <w:pPr>
              <w:pStyle w:val="tablebody0"/>
            </w:pPr>
            <w:r w:rsidRPr="0080555B">
              <w:t>RTORPA</w:t>
            </w:r>
            <w:r w:rsidRPr="0080555B">
              <w:rPr>
                <w:vertAlign w:val="subscript"/>
              </w:rPr>
              <w:t xml:space="preserve"> </w:t>
            </w:r>
            <w:r w:rsidRPr="00967A0A">
              <w:rPr>
                <w:i/>
                <w:vertAlign w:val="subscript"/>
              </w:rPr>
              <w:t>y</w:t>
            </w:r>
          </w:p>
        </w:tc>
        <w:tc>
          <w:tcPr>
            <w:tcW w:w="606" w:type="pct"/>
          </w:tcPr>
          <w:p w14:paraId="3E2256A3" w14:textId="77777777" w:rsidR="001F04FD" w:rsidRPr="0080555B" w:rsidRDefault="001F04FD" w:rsidP="00AC4DEE">
            <w:pPr>
              <w:pStyle w:val="tablebody0"/>
            </w:pPr>
            <w:r w:rsidRPr="0080555B">
              <w:t>$/MWh</w:t>
            </w:r>
          </w:p>
        </w:tc>
        <w:tc>
          <w:tcPr>
            <w:tcW w:w="3082" w:type="pct"/>
          </w:tcPr>
          <w:p w14:paraId="46627E03" w14:textId="77777777" w:rsidR="001F04FD" w:rsidRPr="0080555B" w:rsidRDefault="001F04FD" w:rsidP="00AC4DEE">
            <w:pPr>
              <w:pStyle w:val="tablebody0"/>
            </w:pPr>
            <w:r w:rsidRPr="0080555B">
              <w:rPr>
                <w:i/>
              </w:rPr>
              <w:t>Real-Time On-Line Reserve Price Adder per interval</w:t>
            </w:r>
            <w:r w:rsidRPr="0080555B">
              <w:sym w:font="Symbol" w:char="F0BE"/>
            </w:r>
            <w:r w:rsidRPr="0080555B">
              <w:t xml:space="preserve">The Real-Time Price Adder for On-Line Reserves for the SCED interval </w:t>
            </w:r>
            <w:r w:rsidRPr="0080555B">
              <w:rPr>
                <w:i/>
              </w:rPr>
              <w:t>y</w:t>
            </w:r>
            <w:r w:rsidRPr="0080555B">
              <w:t>.</w:t>
            </w:r>
          </w:p>
        </w:tc>
      </w:tr>
      <w:tr w:rsidR="001F04FD" w:rsidRPr="0080555B" w14:paraId="3B21200B" w14:textId="77777777" w:rsidTr="00356445">
        <w:trPr>
          <w:cantSplit/>
        </w:trPr>
        <w:tc>
          <w:tcPr>
            <w:tcW w:w="1312" w:type="pct"/>
          </w:tcPr>
          <w:p w14:paraId="6673F170" w14:textId="77777777" w:rsidR="001F04FD" w:rsidRPr="0080555B" w:rsidRDefault="001F04FD" w:rsidP="00AC4DEE">
            <w:pPr>
              <w:pStyle w:val="tablebody0"/>
            </w:pPr>
            <w:r w:rsidRPr="0080555B">
              <w:t xml:space="preserve">RTOFFPA </w:t>
            </w:r>
            <w:r w:rsidRPr="00967A0A">
              <w:rPr>
                <w:i/>
                <w:vertAlign w:val="subscript"/>
              </w:rPr>
              <w:t>y</w:t>
            </w:r>
          </w:p>
        </w:tc>
        <w:tc>
          <w:tcPr>
            <w:tcW w:w="606" w:type="pct"/>
          </w:tcPr>
          <w:p w14:paraId="09024E40" w14:textId="77777777" w:rsidR="001F04FD" w:rsidRPr="0080555B" w:rsidRDefault="001F04FD" w:rsidP="00AC4DEE">
            <w:pPr>
              <w:pStyle w:val="tablebody0"/>
            </w:pPr>
            <w:r w:rsidRPr="0080555B">
              <w:t>$/MWh</w:t>
            </w:r>
          </w:p>
        </w:tc>
        <w:tc>
          <w:tcPr>
            <w:tcW w:w="3082" w:type="pct"/>
          </w:tcPr>
          <w:p w14:paraId="3880AAB1" w14:textId="77777777" w:rsidR="001F04FD" w:rsidRPr="0080555B" w:rsidRDefault="001F04FD" w:rsidP="00AC4DEE">
            <w:pPr>
              <w:pStyle w:val="tablebody0"/>
              <w:rPr>
                <w:i/>
                <w:iCs/>
              </w:rPr>
            </w:pPr>
            <w:r w:rsidRPr="0080555B">
              <w:rPr>
                <w:i/>
              </w:rPr>
              <w:t>Real-Time Off-Line Reserve Price Adder per interval</w:t>
            </w:r>
            <w:r w:rsidRPr="0080555B">
              <w:sym w:font="Symbol" w:char="F0BE"/>
            </w:r>
            <w:r w:rsidRPr="0080555B">
              <w:t xml:space="preserve">The Real-Time Price Adder for Off-Line Reserves for the SCED interval </w:t>
            </w:r>
            <w:r w:rsidRPr="0080555B">
              <w:rPr>
                <w:i/>
              </w:rPr>
              <w:t>y</w:t>
            </w:r>
            <w:r w:rsidRPr="0080555B">
              <w:t>.</w:t>
            </w:r>
          </w:p>
        </w:tc>
      </w:tr>
      <w:tr w:rsidR="001F04FD" w:rsidRPr="0080555B" w14:paraId="38062739" w14:textId="77777777" w:rsidTr="00356445">
        <w:trPr>
          <w:cantSplit/>
        </w:trPr>
        <w:tc>
          <w:tcPr>
            <w:tcW w:w="1312" w:type="pct"/>
            <w:tcBorders>
              <w:bottom w:val="single" w:sz="4" w:space="0" w:color="auto"/>
            </w:tcBorders>
          </w:tcPr>
          <w:p w14:paraId="00D71460" w14:textId="77777777" w:rsidR="001F04FD" w:rsidRPr="0080555B" w:rsidRDefault="001F04FD" w:rsidP="00AC4DEE">
            <w:pPr>
              <w:pStyle w:val="tablebody0"/>
            </w:pPr>
            <w:r w:rsidRPr="0080555B">
              <w:t xml:space="preserve">TLMP </w:t>
            </w:r>
            <w:r w:rsidRPr="00967A0A">
              <w:rPr>
                <w:i/>
                <w:vertAlign w:val="subscript"/>
              </w:rPr>
              <w:t>y</w:t>
            </w:r>
          </w:p>
        </w:tc>
        <w:tc>
          <w:tcPr>
            <w:tcW w:w="606" w:type="pct"/>
            <w:tcBorders>
              <w:bottom w:val="single" w:sz="4" w:space="0" w:color="auto"/>
            </w:tcBorders>
          </w:tcPr>
          <w:p w14:paraId="56355A33" w14:textId="77777777" w:rsidR="001F04FD" w:rsidRPr="0080555B" w:rsidRDefault="001F04FD" w:rsidP="00AC4DEE">
            <w:pPr>
              <w:pStyle w:val="tablebody0"/>
              <w:rPr>
                <w:iCs/>
              </w:rPr>
            </w:pPr>
            <w:r w:rsidRPr="0080555B">
              <w:t>second</w:t>
            </w:r>
          </w:p>
        </w:tc>
        <w:tc>
          <w:tcPr>
            <w:tcW w:w="3082" w:type="pct"/>
            <w:tcBorders>
              <w:bottom w:val="single" w:sz="4" w:space="0" w:color="auto"/>
            </w:tcBorders>
          </w:tcPr>
          <w:p w14:paraId="57D240A0" w14:textId="77777777" w:rsidR="001F04FD" w:rsidRPr="0080555B" w:rsidRDefault="001F04FD" w:rsidP="00AC4DEE">
            <w:pPr>
              <w:pStyle w:val="tablebody0"/>
            </w:pPr>
            <w:r w:rsidRPr="0080555B">
              <w:rPr>
                <w:i/>
                <w:iCs/>
              </w:rPr>
              <w:t xml:space="preserve">Duration of </w:t>
            </w:r>
            <w:r w:rsidRPr="0080555B">
              <w:rPr>
                <w:i/>
              </w:rPr>
              <w:t>SCED</w:t>
            </w:r>
            <w:r w:rsidRPr="0080555B">
              <w:rPr>
                <w:i/>
                <w:iCs/>
              </w:rPr>
              <w:t xml:space="preserve"> interval per interval</w:t>
            </w:r>
            <w:r w:rsidRPr="0080555B">
              <w:sym w:font="Symbol" w:char="F0BE"/>
            </w:r>
            <w:r w:rsidRPr="0080555B">
              <w:t xml:space="preserve">The duration of the SCED interval </w:t>
            </w:r>
            <w:r w:rsidRPr="0080555B">
              <w:rPr>
                <w:i/>
                <w:iCs/>
              </w:rPr>
              <w:t>y</w:t>
            </w:r>
            <w:r w:rsidRPr="0080555B">
              <w:t>.</w:t>
            </w:r>
          </w:p>
        </w:tc>
      </w:tr>
      <w:tr w:rsidR="001F04FD" w:rsidRPr="0080555B" w14:paraId="192B322F" w14:textId="77777777" w:rsidTr="00356445">
        <w:trPr>
          <w:cantSplit/>
        </w:trPr>
        <w:tc>
          <w:tcPr>
            <w:tcW w:w="1312" w:type="pct"/>
            <w:tcBorders>
              <w:bottom w:val="single" w:sz="4" w:space="0" w:color="auto"/>
            </w:tcBorders>
          </w:tcPr>
          <w:p w14:paraId="5F1B7B2A" w14:textId="77777777" w:rsidR="001F04FD" w:rsidRPr="0080555B" w:rsidRDefault="001F04FD" w:rsidP="00AC4DEE">
            <w:pPr>
              <w:pStyle w:val="tablebody0"/>
            </w:pPr>
            <w:r w:rsidRPr="00181BDE">
              <w:t>RTRDP</w:t>
            </w:r>
          </w:p>
        </w:tc>
        <w:tc>
          <w:tcPr>
            <w:tcW w:w="606" w:type="pct"/>
            <w:tcBorders>
              <w:bottom w:val="single" w:sz="4" w:space="0" w:color="auto"/>
            </w:tcBorders>
          </w:tcPr>
          <w:p w14:paraId="3C50E2B5" w14:textId="77777777" w:rsidR="001F04FD" w:rsidRPr="0080555B" w:rsidRDefault="001F04FD" w:rsidP="00AC4DEE">
            <w:pPr>
              <w:pStyle w:val="tablebody0"/>
            </w:pPr>
            <w:r w:rsidRPr="00181BDE">
              <w:t>$/MWh</w:t>
            </w:r>
          </w:p>
        </w:tc>
        <w:tc>
          <w:tcPr>
            <w:tcW w:w="3082" w:type="pct"/>
            <w:tcBorders>
              <w:bottom w:val="single" w:sz="4" w:space="0" w:color="auto"/>
            </w:tcBorders>
          </w:tcPr>
          <w:p w14:paraId="06161B8A" w14:textId="6BD47041" w:rsidR="001F04FD" w:rsidRPr="0080555B" w:rsidRDefault="001F04FD" w:rsidP="00CC0885">
            <w:pPr>
              <w:pStyle w:val="tablebody0"/>
              <w:rPr>
                <w:i/>
                <w:iCs/>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rsidRPr="0080555B" w14:paraId="19D76CCF" w14:textId="77777777" w:rsidTr="00356445">
        <w:trPr>
          <w:cantSplit/>
        </w:trPr>
        <w:tc>
          <w:tcPr>
            <w:tcW w:w="1312" w:type="pct"/>
            <w:tcBorders>
              <w:bottom w:val="single" w:sz="4" w:space="0" w:color="auto"/>
            </w:tcBorders>
          </w:tcPr>
          <w:p w14:paraId="2930FFA1" w14:textId="77777777" w:rsidR="001F04FD" w:rsidRPr="0080555B" w:rsidRDefault="001F04FD" w:rsidP="00AC4DEE">
            <w:pPr>
              <w:pStyle w:val="tablebody0"/>
            </w:pPr>
            <w:r w:rsidRPr="00181BDE">
              <w:t>RTORDPA</w:t>
            </w:r>
            <w:r w:rsidRPr="00181BDE">
              <w:rPr>
                <w:vertAlign w:val="subscript"/>
              </w:rPr>
              <w:t xml:space="preserve"> </w:t>
            </w:r>
            <w:r w:rsidRPr="00967A0A">
              <w:rPr>
                <w:i/>
                <w:vertAlign w:val="subscript"/>
              </w:rPr>
              <w:t>y</w:t>
            </w:r>
          </w:p>
        </w:tc>
        <w:tc>
          <w:tcPr>
            <w:tcW w:w="606" w:type="pct"/>
            <w:tcBorders>
              <w:bottom w:val="single" w:sz="4" w:space="0" w:color="auto"/>
            </w:tcBorders>
          </w:tcPr>
          <w:p w14:paraId="57CB9310" w14:textId="77777777" w:rsidR="001F04FD" w:rsidRPr="0080555B" w:rsidRDefault="001F04FD" w:rsidP="00AC4DEE">
            <w:pPr>
              <w:pStyle w:val="tablebody0"/>
            </w:pPr>
            <w:r w:rsidRPr="00181BDE">
              <w:t>$/MWh</w:t>
            </w:r>
          </w:p>
        </w:tc>
        <w:tc>
          <w:tcPr>
            <w:tcW w:w="3082" w:type="pct"/>
            <w:tcBorders>
              <w:bottom w:val="single" w:sz="4" w:space="0" w:color="auto"/>
            </w:tcBorders>
          </w:tcPr>
          <w:p w14:paraId="37D5A2E8" w14:textId="77777777" w:rsidR="001F04FD" w:rsidRPr="0080555B" w:rsidRDefault="001F04FD" w:rsidP="00AC4DEE">
            <w:pPr>
              <w:pStyle w:val="tablebody0"/>
              <w:rPr>
                <w:i/>
                <w:iCs/>
              </w:rPr>
            </w:pPr>
            <w:r w:rsidRPr="00181BDE">
              <w:rPr>
                <w:i/>
              </w:rPr>
              <w:t>Real-Time On-Line Reliability Deployment Price Adder</w:t>
            </w:r>
            <w:r w:rsidRPr="00181BDE">
              <w:sym w:font="Symbol" w:char="F0BE"/>
            </w:r>
            <w:r w:rsidRPr="00181BDE">
              <w:t xml:space="preserve">The Real-Time Price Adder that captures the impact of reliability deployments on energy prices for the SCED interval </w:t>
            </w:r>
            <w:r w:rsidRPr="00181BDE">
              <w:rPr>
                <w:i/>
              </w:rPr>
              <w:t>y</w:t>
            </w:r>
            <w:r w:rsidRPr="00181BDE">
              <w:t>.</w:t>
            </w:r>
          </w:p>
        </w:tc>
      </w:tr>
      <w:tr w:rsidR="001F04FD" w:rsidRPr="0080555B" w14:paraId="7D189007" w14:textId="77777777" w:rsidTr="00356445">
        <w:trPr>
          <w:cantSplit/>
        </w:trPr>
        <w:tc>
          <w:tcPr>
            <w:tcW w:w="1312" w:type="pct"/>
          </w:tcPr>
          <w:p w14:paraId="78760275" w14:textId="77777777" w:rsidR="001F04FD" w:rsidRPr="0080555B" w:rsidRDefault="001F04FD" w:rsidP="00AC4DEE">
            <w:pPr>
              <w:pStyle w:val="tablebody0"/>
              <w:rPr>
                <w:i/>
              </w:rPr>
            </w:pPr>
            <w:r w:rsidRPr="0080555B">
              <w:t xml:space="preserve">RNWF </w:t>
            </w:r>
            <w:r w:rsidRPr="0080555B">
              <w:rPr>
                <w:i/>
                <w:vertAlign w:val="subscript"/>
              </w:rPr>
              <w:t>y</w:t>
            </w:r>
          </w:p>
        </w:tc>
        <w:tc>
          <w:tcPr>
            <w:tcW w:w="606" w:type="pct"/>
          </w:tcPr>
          <w:p w14:paraId="62494AB9" w14:textId="77777777" w:rsidR="001F04FD" w:rsidRPr="0080555B" w:rsidRDefault="001F04FD" w:rsidP="00AC4DEE">
            <w:pPr>
              <w:pStyle w:val="tablebody0"/>
            </w:pPr>
            <w:r w:rsidRPr="0080555B">
              <w:t>none</w:t>
            </w:r>
          </w:p>
        </w:tc>
        <w:tc>
          <w:tcPr>
            <w:tcW w:w="3082" w:type="pct"/>
          </w:tcPr>
          <w:p w14:paraId="30C47DBD" w14:textId="77777777" w:rsidR="001F04FD" w:rsidRPr="0080555B" w:rsidRDefault="001F04FD" w:rsidP="00AC4DEE">
            <w:pPr>
              <w:pStyle w:val="tablebody0"/>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15-minute Settlement Interval.</w:t>
            </w:r>
          </w:p>
        </w:tc>
      </w:tr>
      <w:tr w:rsidR="001F04FD" w:rsidRPr="0080555B" w14:paraId="1FF5DC27" w14:textId="77777777" w:rsidTr="00356445">
        <w:trPr>
          <w:cantSplit/>
        </w:trPr>
        <w:tc>
          <w:tcPr>
            <w:tcW w:w="1312" w:type="pct"/>
          </w:tcPr>
          <w:p w14:paraId="325A4A9D" w14:textId="77777777" w:rsidR="001F04FD" w:rsidRPr="0080555B" w:rsidRDefault="001F04FD" w:rsidP="00AC4DEE">
            <w:pPr>
              <w:pStyle w:val="tablebody0"/>
              <w:rPr>
                <w:i/>
              </w:rPr>
            </w:pPr>
            <w:r w:rsidRPr="0080555B">
              <w:t>RTRSVPOR</w:t>
            </w:r>
          </w:p>
        </w:tc>
        <w:tc>
          <w:tcPr>
            <w:tcW w:w="606" w:type="pct"/>
          </w:tcPr>
          <w:p w14:paraId="4CED3C6E" w14:textId="77777777" w:rsidR="001F04FD" w:rsidRPr="0080555B" w:rsidRDefault="001F04FD" w:rsidP="00AC4DEE">
            <w:pPr>
              <w:pStyle w:val="tablebody0"/>
            </w:pPr>
            <w:r w:rsidRPr="0080555B">
              <w:t>$/MWh</w:t>
            </w:r>
          </w:p>
        </w:tc>
        <w:tc>
          <w:tcPr>
            <w:tcW w:w="3082" w:type="pct"/>
          </w:tcPr>
          <w:p w14:paraId="4434282B" w14:textId="77777777" w:rsidR="001F04FD" w:rsidRPr="0080555B" w:rsidRDefault="001F04FD" w:rsidP="00AC4DEE">
            <w:pPr>
              <w:pStyle w:val="tablebody0"/>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rsidRPr="0080555B" w14:paraId="5ABC02D6" w14:textId="77777777" w:rsidTr="00356445">
        <w:trPr>
          <w:cantSplit/>
        </w:trPr>
        <w:tc>
          <w:tcPr>
            <w:tcW w:w="1312" w:type="pct"/>
          </w:tcPr>
          <w:p w14:paraId="360B988A" w14:textId="77777777" w:rsidR="001F04FD" w:rsidRPr="0080555B" w:rsidRDefault="001F04FD" w:rsidP="00AC4DEE">
            <w:pPr>
              <w:pStyle w:val="tablebody0"/>
            </w:pPr>
            <w:r w:rsidRPr="0080555B">
              <w:lastRenderedPageBreak/>
              <w:t>RTRSVPOFF</w:t>
            </w:r>
          </w:p>
        </w:tc>
        <w:tc>
          <w:tcPr>
            <w:tcW w:w="606" w:type="pct"/>
          </w:tcPr>
          <w:p w14:paraId="75E7ADD6" w14:textId="77777777" w:rsidR="001F04FD" w:rsidRPr="0080555B" w:rsidRDefault="001F04FD" w:rsidP="00AC4DEE">
            <w:pPr>
              <w:pStyle w:val="tablebody0"/>
            </w:pPr>
            <w:r w:rsidRPr="0080555B">
              <w:t>$/MWh</w:t>
            </w:r>
          </w:p>
        </w:tc>
        <w:tc>
          <w:tcPr>
            <w:tcW w:w="3082" w:type="pct"/>
          </w:tcPr>
          <w:p w14:paraId="5404E46D" w14:textId="77777777" w:rsidR="001F04FD" w:rsidRPr="0080555B" w:rsidRDefault="001F04FD" w:rsidP="00AC4DEE">
            <w:pPr>
              <w:pStyle w:val="tablebody0"/>
              <w:rPr>
                <w:i/>
              </w:rPr>
            </w:pPr>
            <w:r w:rsidRPr="0080555B">
              <w:rPr>
                <w:i/>
              </w:rPr>
              <w:t>Real-Time Reserve Price for Off-Line Reserves</w:t>
            </w:r>
            <w:r w:rsidRPr="0080555B">
              <w:sym w:font="Symbol" w:char="F0BE"/>
            </w:r>
            <w:r w:rsidRPr="0080555B">
              <w:t>The Real-Time Reserve Price for Off-Line Reserves for the 15-minute Settlement Interval.</w:t>
            </w:r>
          </w:p>
        </w:tc>
      </w:tr>
      <w:tr w:rsidR="001F04FD" w:rsidRPr="0080555B" w14:paraId="4A31520E" w14:textId="77777777" w:rsidTr="00356445">
        <w:trPr>
          <w:cantSplit/>
        </w:trPr>
        <w:tc>
          <w:tcPr>
            <w:tcW w:w="1312" w:type="pct"/>
          </w:tcPr>
          <w:p w14:paraId="79C5B264" w14:textId="77777777" w:rsidR="001F04FD" w:rsidRPr="0080555B" w:rsidRDefault="001F04FD" w:rsidP="00AC4DEE">
            <w:pPr>
              <w:pStyle w:val="tablebody0"/>
            </w:pPr>
            <w:r w:rsidRPr="0080555B">
              <w:t>RTOLCAP</w:t>
            </w:r>
            <w:r w:rsidRPr="0080555B">
              <w:rPr>
                <w:i/>
                <w:vertAlign w:val="subscript"/>
              </w:rPr>
              <w:t xml:space="preserve"> q</w:t>
            </w:r>
            <w:r w:rsidRPr="0080555B">
              <w:t xml:space="preserve">  </w:t>
            </w:r>
          </w:p>
        </w:tc>
        <w:tc>
          <w:tcPr>
            <w:tcW w:w="606" w:type="pct"/>
          </w:tcPr>
          <w:p w14:paraId="3059A0B0" w14:textId="77777777" w:rsidR="001F04FD" w:rsidRPr="0080555B" w:rsidRDefault="001F04FD" w:rsidP="00AC4DEE">
            <w:pPr>
              <w:pStyle w:val="tablebody0"/>
            </w:pPr>
            <w:r w:rsidRPr="0080555B">
              <w:t>MWh</w:t>
            </w:r>
          </w:p>
        </w:tc>
        <w:tc>
          <w:tcPr>
            <w:tcW w:w="3082" w:type="pct"/>
          </w:tcPr>
          <w:p w14:paraId="79764B3D" w14:textId="77777777" w:rsidR="001F04FD" w:rsidRPr="0080555B" w:rsidRDefault="001F04FD" w:rsidP="00AC4DEE">
            <w:pPr>
              <w:pStyle w:val="tablebody0"/>
              <w:rPr>
                <w:i/>
              </w:rPr>
            </w:pPr>
            <w:r w:rsidRPr="0080555B">
              <w:rPr>
                <w:i/>
              </w:rPr>
              <w:t xml:space="preserve">Real-Time On-Line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On-Line Resources available for the QSE </w:t>
            </w:r>
            <w:r w:rsidRPr="0080555B">
              <w:rPr>
                <w:i/>
              </w:rPr>
              <w:t>q</w:t>
            </w:r>
            <w:r w:rsidRPr="0080555B">
              <w:t>, for the 15-minute Settlement Interval.</w:t>
            </w:r>
          </w:p>
        </w:tc>
      </w:tr>
      <w:tr w:rsidR="001F04FD" w:rsidRPr="0080555B" w14:paraId="689E8275" w14:textId="77777777" w:rsidTr="00356445">
        <w:trPr>
          <w:cantSplit/>
        </w:trPr>
        <w:tc>
          <w:tcPr>
            <w:tcW w:w="1312" w:type="pct"/>
          </w:tcPr>
          <w:p w14:paraId="6125B654" w14:textId="77777777" w:rsidR="001F04FD" w:rsidRPr="0080555B" w:rsidRDefault="001F04FD" w:rsidP="00AC4DEE">
            <w:pPr>
              <w:pStyle w:val="tablebody0"/>
            </w:pPr>
            <w:r w:rsidRPr="0080555B">
              <w:t>RTOLHSL</w:t>
            </w:r>
            <w:r>
              <w:t>RA</w:t>
            </w:r>
            <w:r w:rsidRPr="0080555B">
              <w:t xml:space="preserve"> </w:t>
            </w:r>
            <w:r w:rsidRPr="0080555B">
              <w:rPr>
                <w:i/>
                <w:vertAlign w:val="subscript"/>
              </w:rPr>
              <w:t>q</w:t>
            </w:r>
            <w:r>
              <w:rPr>
                <w:i/>
                <w:vertAlign w:val="subscript"/>
              </w:rPr>
              <w:t>, r, p</w:t>
            </w:r>
          </w:p>
        </w:tc>
        <w:tc>
          <w:tcPr>
            <w:tcW w:w="606" w:type="pct"/>
          </w:tcPr>
          <w:p w14:paraId="7ED0AD26" w14:textId="77777777" w:rsidR="001F04FD" w:rsidRPr="0080555B" w:rsidRDefault="001F04FD" w:rsidP="00AC4DEE">
            <w:pPr>
              <w:pStyle w:val="tablebody0"/>
            </w:pPr>
            <w:r w:rsidRPr="0080555B">
              <w:t>MWh</w:t>
            </w:r>
          </w:p>
        </w:tc>
        <w:tc>
          <w:tcPr>
            <w:tcW w:w="3082" w:type="pct"/>
          </w:tcPr>
          <w:p w14:paraId="268F7594" w14:textId="77777777" w:rsidR="001F04FD" w:rsidRPr="00353A56" w:rsidRDefault="001F04FD" w:rsidP="00AC4DEE">
            <w:pPr>
              <w:pStyle w:val="tablebody0"/>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000F3CEA" w:rsidRPr="00D04442">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that is available to SCED, integrated over the 15-minute Settlement Interval</w:t>
            </w:r>
            <w:r w:rsidRPr="00B6611B">
              <w:rPr>
                <w:szCs w:val="18"/>
              </w:rPr>
              <w:t xml:space="preserve">, and </w:t>
            </w:r>
            <w:r w:rsidRPr="00B6611B">
              <w:t>adjusted pursuant to paragraphs (3)</w:t>
            </w:r>
            <w:r>
              <w:t xml:space="preserve"> and </w:t>
            </w:r>
            <w:r w:rsidRPr="00B6611B">
              <w:t>(4)</w:t>
            </w:r>
            <w:r>
              <w:t xml:space="preserve"> </w:t>
            </w:r>
            <w:r w:rsidRPr="00B6611B">
              <w:t>above</w:t>
            </w:r>
            <w:r w:rsidRPr="00A20AF6">
              <w:rPr>
                <w:szCs w:val="18"/>
              </w:rPr>
              <w:t>.</w:t>
            </w:r>
          </w:p>
        </w:tc>
      </w:tr>
      <w:tr w:rsidR="001F04FD" w:rsidRPr="0080555B" w14:paraId="1C1335FC" w14:textId="77777777" w:rsidTr="00356445">
        <w:trPr>
          <w:cantSplit/>
        </w:trPr>
        <w:tc>
          <w:tcPr>
            <w:tcW w:w="1312" w:type="pct"/>
          </w:tcPr>
          <w:p w14:paraId="23FFBE96" w14:textId="77777777" w:rsidR="001F04FD" w:rsidRPr="0080555B" w:rsidRDefault="001F04FD" w:rsidP="00AC4DEE">
            <w:pPr>
              <w:pStyle w:val="tablebody0"/>
            </w:pPr>
            <w:r w:rsidRPr="0080555B">
              <w:t xml:space="preserve">RTOLHSL </w:t>
            </w:r>
            <w:r w:rsidRPr="0080555B">
              <w:rPr>
                <w:i/>
                <w:vertAlign w:val="subscript"/>
              </w:rPr>
              <w:t>q</w:t>
            </w:r>
          </w:p>
        </w:tc>
        <w:tc>
          <w:tcPr>
            <w:tcW w:w="606" w:type="pct"/>
          </w:tcPr>
          <w:p w14:paraId="253F528A" w14:textId="77777777" w:rsidR="001F04FD" w:rsidRPr="0080555B" w:rsidRDefault="001F04FD" w:rsidP="00AC4DEE">
            <w:pPr>
              <w:pStyle w:val="tablebody0"/>
            </w:pPr>
            <w:r w:rsidRPr="0080555B">
              <w:t>MWh</w:t>
            </w:r>
          </w:p>
        </w:tc>
        <w:tc>
          <w:tcPr>
            <w:tcW w:w="3082" w:type="pct"/>
          </w:tcPr>
          <w:p w14:paraId="68F6F560" w14:textId="77777777" w:rsidR="00356445" w:rsidRPr="0080555B" w:rsidRDefault="001F04FD" w:rsidP="00AC4DEE">
            <w:pPr>
              <w:pStyle w:val="tablebody0"/>
              <w:rPr>
                <w:i/>
              </w:rPr>
            </w:pPr>
            <w:r w:rsidRPr="0080555B">
              <w:rPr>
                <w:i/>
              </w:rPr>
              <w:t>Real-Time On-Line High Sustained Limit for the QSE</w:t>
            </w:r>
            <w:r w:rsidRPr="0080555B">
              <w:sym w:font="Symbol" w:char="F0BE"/>
            </w:r>
            <w:r w:rsidRPr="0080555B">
              <w:t xml:space="preserve">The Real-Time telemetered HSL for all Generation Resources available to SCED, </w:t>
            </w:r>
            <w:r>
              <w:t xml:space="preserve">pursuant to paragraphs (3) and (4) above, </w:t>
            </w:r>
            <w:r w:rsidRPr="0080555B">
              <w:t xml:space="preserve">integrated over the 15-minute Settlement Interval for the QSE </w:t>
            </w:r>
            <w:r w:rsidRPr="0080555B">
              <w:rPr>
                <w:i/>
              </w:rPr>
              <w:t>q</w:t>
            </w:r>
            <w:r w:rsidRPr="00936D9F">
              <w:t>,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6693281A" w14:textId="77777777" w:rsidTr="005C5A9B">
              <w:trPr>
                <w:trHeight w:val="206"/>
              </w:trPr>
              <w:tc>
                <w:tcPr>
                  <w:tcW w:w="9576" w:type="dxa"/>
                  <w:shd w:val="pct12" w:color="auto" w:fill="auto"/>
                </w:tcPr>
                <w:p w14:paraId="6530596F" w14:textId="746298A0"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0AE3F74E" w14:textId="6A207652" w:rsidR="00356445" w:rsidRPr="0021367F" w:rsidRDefault="00356445" w:rsidP="00356445">
                  <w:pPr>
                    <w:spacing w:after="60"/>
                    <w:rPr>
                      <w:b/>
                      <w:i/>
                      <w:iCs/>
                      <w:sz w:val="20"/>
                    </w:rPr>
                  </w:pPr>
                  <w:r w:rsidRPr="0021367F">
                    <w:rPr>
                      <w:i/>
                      <w:sz w:val="20"/>
                    </w:rPr>
                    <w:t>Real-Time On-Line High Sustained Limit for the QSE</w:t>
                  </w:r>
                  <w:r w:rsidRPr="0021367F">
                    <w:rPr>
                      <w:sz w:val="20"/>
                    </w:rPr>
                    <w:sym w:font="Symbol" w:char="F0BE"/>
                  </w:r>
                  <w:r w:rsidRPr="0021367F">
                    <w:rPr>
                      <w:sz w:val="20"/>
                    </w:rPr>
                    <w:t>The</w:t>
                  </w:r>
                  <w:r>
                    <w:rPr>
                      <w:sz w:val="20"/>
                    </w:rPr>
                    <w:t xml:space="preserve"> integrated</w:t>
                  </w:r>
                  <w:r w:rsidRPr="0021367F">
                    <w:rPr>
                      <w:sz w:val="20"/>
                    </w:rPr>
                    <w:t xml:space="preserve"> Real-Time telemetered HSL for all Generation Resources</w:t>
                  </w:r>
                  <w:r w:rsidRPr="00AA1C33">
                    <w:rPr>
                      <w:sz w:val="20"/>
                    </w:rPr>
                    <w:t xml:space="preserve">, not including </w:t>
                  </w:r>
                  <w:r>
                    <w:rPr>
                      <w:sz w:val="20"/>
                    </w:rPr>
                    <w:t xml:space="preserve">modeled Generation Resources associated with </w:t>
                  </w:r>
                  <w:r w:rsidRPr="00AA1C33">
                    <w:rPr>
                      <w:sz w:val="20"/>
                    </w:rPr>
                    <w:t>E</w:t>
                  </w:r>
                  <w:r>
                    <w:rPr>
                      <w:sz w:val="20"/>
                    </w:rPr>
                    <w:t>SR</w:t>
                  </w:r>
                  <w:r w:rsidRPr="00AA1C33">
                    <w:rPr>
                      <w:sz w:val="20"/>
                    </w:rPr>
                    <w:t>s,</w:t>
                  </w:r>
                  <w:r w:rsidRPr="0021367F">
                    <w:rPr>
                      <w:sz w:val="20"/>
                    </w:rPr>
                    <w:t xml:space="preserve"> available to SCED, pursuant to paragraphs (3) and (4) above, </w:t>
                  </w:r>
                  <w:r>
                    <w:rPr>
                      <w:sz w:val="20"/>
                    </w:rPr>
                    <w:t xml:space="preserve">integrated </w:t>
                  </w:r>
                  <w:r w:rsidRPr="0021367F">
                    <w:rPr>
                      <w:sz w:val="20"/>
                    </w:rPr>
                    <w:t xml:space="preserve">over the 15-minute Settlement Interval for the QSE </w:t>
                  </w:r>
                  <w:r w:rsidRPr="0021367F">
                    <w:rPr>
                      <w:i/>
                      <w:sz w:val="20"/>
                    </w:rPr>
                    <w:t>q</w:t>
                  </w:r>
                  <w:r w:rsidRPr="0021367F">
                    <w:rPr>
                      <w:sz w:val="20"/>
                    </w:rPr>
                    <w:t>, discounted by the system-wide discount factor.</w:t>
                  </w:r>
                </w:p>
              </w:tc>
            </w:tr>
          </w:tbl>
          <w:p w14:paraId="094E4E01" w14:textId="14B46E44" w:rsidR="001F04FD" w:rsidRPr="0080555B" w:rsidRDefault="001F04FD" w:rsidP="00AC4DEE">
            <w:pPr>
              <w:pStyle w:val="tablebody0"/>
              <w:rPr>
                <w:i/>
              </w:rPr>
            </w:pPr>
          </w:p>
        </w:tc>
      </w:tr>
      <w:tr w:rsidR="001F04FD" w:rsidRPr="0080555B" w14:paraId="308C9828" w14:textId="77777777" w:rsidTr="00356445">
        <w:trPr>
          <w:cantSplit/>
        </w:trPr>
        <w:tc>
          <w:tcPr>
            <w:tcW w:w="1312" w:type="pct"/>
            <w:tcBorders>
              <w:bottom w:val="single" w:sz="4" w:space="0" w:color="auto"/>
            </w:tcBorders>
          </w:tcPr>
          <w:p w14:paraId="280AD22D" w14:textId="77777777" w:rsidR="001F04FD" w:rsidRPr="0080555B" w:rsidRDefault="001F04FD" w:rsidP="00AC4DEE">
            <w:pPr>
              <w:pStyle w:val="tablebody0"/>
            </w:pPr>
            <w:r w:rsidRPr="0080555B">
              <w:t xml:space="preserve">RTASRESP </w:t>
            </w:r>
            <w:r w:rsidRPr="0080555B">
              <w:rPr>
                <w:i/>
                <w:vertAlign w:val="subscript"/>
              </w:rPr>
              <w:t>q</w:t>
            </w:r>
          </w:p>
        </w:tc>
        <w:tc>
          <w:tcPr>
            <w:tcW w:w="606" w:type="pct"/>
            <w:tcBorders>
              <w:bottom w:val="single" w:sz="4" w:space="0" w:color="auto"/>
            </w:tcBorders>
          </w:tcPr>
          <w:p w14:paraId="422DC2B8" w14:textId="77777777" w:rsidR="001F04FD" w:rsidRPr="0080555B" w:rsidRDefault="001F04FD" w:rsidP="00AC4DEE">
            <w:pPr>
              <w:pStyle w:val="tablebody0"/>
            </w:pPr>
            <w:r w:rsidRPr="0080555B">
              <w:t>MW</w:t>
            </w:r>
          </w:p>
        </w:tc>
        <w:tc>
          <w:tcPr>
            <w:tcW w:w="3082" w:type="pct"/>
            <w:tcBorders>
              <w:bottom w:val="single" w:sz="4" w:space="0" w:color="auto"/>
            </w:tcBorders>
          </w:tcPr>
          <w:p w14:paraId="6715207F" w14:textId="204AFD10" w:rsidR="001F04FD" w:rsidRPr="0080555B" w:rsidRDefault="00B55307" w:rsidP="00417B4E">
            <w:pPr>
              <w:pStyle w:val="tablebody0"/>
              <w:rPr>
                <w:i/>
              </w:rPr>
            </w:pPr>
            <w:r w:rsidRPr="0003648D">
              <w:rPr>
                <w:i/>
              </w:rPr>
              <w:t>Real-Time Ancillary Service Supply Responsibility for the QSE</w:t>
            </w:r>
            <w:r w:rsidRPr="0003648D">
              <w:sym w:font="Symbol" w:char="F0BE"/>
            </w:r>
            <w:r w:rsidRPr="0003648D">
              <w:t xml:space="preserve">The Real-Time Ancillary Service Supply Responsibility for Reg-Up, </w:t>
            </w:r>
            <w:r>
              <w:t>ECRS</w:t>
            </w:r>
            <w:r w:rsidRPr="0003648D">
              <w:t xml:space="preserve">, </w:t>
            </w:r>
            <w:r>
              <w:t>RRS</w:t>
            </w:r>
            <w:r w:rsidRPr="0003648D">
              <w:t xml:space="preserve"> and Non-Spin pursuant to Section 4.4.7.4, Ancillary Service Supply Responsibility, for the QSE </w:t>
            </w:r>
            <w:r w:rsidRPr="0003648D">
              <w:rPr>
                <w:i/>
              </w:rPr>
              <w:t>q</w:t>
            </w:r>
            <w:r w:rsidRPr="0003648D">
              <w:t>, for the 15-minute Settlement Interval.</w:t>
            </w:r>
          </w:p>
        </w:tc>
      </w:tr>
      <w:tr w:rsidR="001F04FD" w:rsidRPr="0080555B" w14:paraId="218F0706" w14:textId="77777777" w:rsidTr="00356445">
        <w:trPr>
          <w:cantSplit/>
        </w:trPr>
        <w:tc>
          <w:tcPr>
            <w:tcW w:w="1312" w:type="pct"/>
          </w:tcPr>
          <w:p w14:paraId="1CB5FF37" w14:textId="77777777" w:rsidR="001F04FD" w:rsidRPr="0080555B" w:rsidRDefault="001F04FD" w:rsidP="00AC4DEE">
            <w:pPr>
              <w:pStyle w:val="tablebody0"/>
            </w:pPr>
            <w:r w:rsidRPr="0080555B">
              <w:t xml:space="preserve">RTCLRCAP </w:t>
            </w:r>
            <w:r w:rsidRPr="0080555B">
              <w:rPr>
                <w:i/>
                <w:vertAlign w:val="subscript"/>
              </w:rPr>
              <w:t>q</w:t>
            </w:r>
          </w:p>
        </w:tc>
        <w:tc>
          <w:tcPr>
            <w:tcW w:w="606" w:type="pct"/>
          </w:tcPr>
          <w:p w14:paraId="0D0C9BCD" w14:textId="77777777" w:rsidR="001F04FD" w:rsidRPr="0080555B" w:rsidRDefault="001F04FD" w:rsidP="00AC4DEE">
            <w:pPr>
              <w:pStyle w:val="tablebody0"/>
            </w:pPr>
            <w:r w:rsidRPr="0080555B">
              <w:t>MWh</w:t>
            </w:r>
          </w:p>
        </w:tc>
        <w:tc>
          <w:tcPr>
            <w:tcW w:w="3082" w:type="pct"/>
          </w:tcPr>
          <w:p w14:paraId="229DAED2" w14:textId="77777777" w:rsidR="00356445" w:rsidRPr="0080555B" w:rsidRDefault="001F04FD" w:rsidP="00AC4DEE">
            <w:pPr>
              <w:pStyle w:val="tablebody0"/>
              <w:rPr>
                <w:i/>
              </w:rPr>
            </w:pPr>
            <w:r w:rsidRPr="0080555B">
              <w:rPr>
                <w:i/>
              </w:rPr>
              <w:t>Real-Time Capacity from Controllable Load Resources for the QSE</w:t>
            </w:r>
            <w:r w:rsidRPr="0080555B">
              <w:t>—The Real-Time capacity</w:t>
            </w:r>
            <w:r w:rsidRPr="0010409C">
              <w:t xml:space="preserve"> and Reg</w:t>
            </w:r>
            <w:r>
              <w:t>-</w:t>
            </w:r>
            <w:r w:rsidRPr="0010409C">
              <w:t>Up minus Non-Spin</w:t>
            </w:r>
            <w:r w:rsidRPr="0080555B">
              <w:t xml:space="preserve"> available from all Controllable Load Resources available to SCED for the QSE </w:t>
            </w:r>
            <w:r w:rsidRPr="0080555B">
              <w:rPr>
                <w:i/>
              </w:rPr>
              <w:t>q</w:t>
            </w:r>
            <w:r w:rsidRPr="0080555B">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23682A22" w14:textId="77777777" w:rsidTr="005C5A9B">
              <w:trPr>
                <w:trHeight w:val="206"/>
              </w:trPr>
              <w:tc>
                <w:tcPr>
                  <w:tcW w:w="9576" w:type="dxa"/>
                  <w:shd w:val="pct12" w:color="auto" w:fill="auto"/>
                </w:tcPr>
                <w:p w14:paraId="16486C7B" w14:textId="77777777"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73767B61" w14:textId="758B1999" w:rsidR="00356445" w:rsidRPr="0021367F" w:rsidRDefault="00356445" w:rsidP="00356445">
                  <w:pPr>
                    <w:spacing w:after="60"/>
                    <w:rPr>
                      <w:b/>
                      <w:i/>
                      <w:iCs/>
                      <w:sz w:val="20"/>
                    </w:rPr>
                  </w:pPr>
                  <w:r w:rsidRPr="0021367F">
                    <w:rPr>
                      <w:i/>
                      <w:sz w:val="20"/>
                    </w:rPr>
                    <w:t>Real-Time Capacity from Controllable Load Resources for the QSE</w:t>
                  </w:r>
                  <w:r w:rsidRPr="0021367F">
                    <w:rPr>
                      <w:sz w:val="20"/>
                    </w:rPr>
                    <w:t>—The Real-Time capacity and Reg-Up minus Non-Spin available from all Controllable Load Resources</w:t>
                  </w:r>
                  <w:r w:rsidRPr="00AA1C33">
                    <w:rPr>
                      <w:sz w:val="20"/>
                    </w:rPr>
                    <w:t>, not including</w:t>
                  </w:r>
                  <w:r>
                    <w:rPr>
                      <w:sz w:val="20"/>
                    </w:rPr>
                    <w:t xml:space="preserve"> modeled Controllable Load Resources associated with </w:t>
                  </w:r>
                  <w:r w:rsidRPr="00AA1C33">
                    <w:rPr>
                      <w:sz w:val="20"/>
                    </w:rPr>
                    <w:t>E</w:t>
                  </w:r>
                  <w:r>
                    <w:rPr>
                      <w:sz w:val="20"/>
                    </w:rPr>
                    <w:t>SR</w:t>
                  </w:r>
                  <w:r w:rsidRPr="00AA1C33">
                    <w:rPr>
                      <w:sz w:val="20"/>
                    </w:rPr>
                    <w:t>s</w:t>
                  </w:r>
                  <w:r w:rsidRPr="0021367F">
                    <w:rPr>
                      <w:sz w:val="20"/>
                    </w:rPr>
                    <w:t xml:space="preserve"> available to SCED for the QSE </w:t>
                  </w:r>
                  <w:r w:rsidRPr="0021367F">
                    <w:rPr>
                      <w:i/>
                      <w:sz w:val="20"/>
                    </w:rPr>
                    <w:t>q</w:t>
                  </w:r>
                  <w:r w:rsidRPr="0021367F">
                    <w:rPr>
                      <w:sz w:val="20"/>
                    </w:rPr>
                    <w:t>, integrated over the 15-minute Settlement Interval.</w:t>
                  </w:r>
                </w:p>
              </w:tc>
            </w:tr>
          </w:tbl>
          <w:p w14:paraId="37C1D181" w14:textId="207AD081" w:rsidR="001F04FD" w:rsidRPr="0080555B" w:rsidRDefault="001F04FD" w:rsidP="00AC4DEE">
            <w:pPr>
              <w:pStyle w:val="tablebody0"/>
              <w:rPr>
                <w:i/>
              </w:rPr>
            </w:pPr>
          </w:p>
        </w:tc>
      </w:tr>
      <w:tr w:rsidR="001F04FD" w:rsidRPr="0080555B" w14:paraId="30485853" w14:textId="77777777" w:rsidTr="00356445">
        <w:trPr>
          <w:cantSplit/>
        </w:trPr>
        <w:tc>
          <w:tcPr>
            <w:tcW w:w="1312" w:type="pct"/>
            <w:tcBorders>
              <w:bottom w:val="single" w:sz="4" w:space="0" w:color="auto"/>
            </w:tcBorders>
          </w:tcPr>
          <w:p w14:paraId="070D3DC3" w14:textId="77777777" w:rsidR="001F04FD" w:rsidRPr="0080555B" w:rsidRDefault="001F04FD" w:rsidP="00AC4DEE">
            <w:pPr>
              <w:pStyle w:val="tablebody0"/>
            </w:pPr>
            <w:r w:rsidRPr="00A05195">
              <w:lastRenderedPageBreak/>
              <w:t>RTNCLRCAP</w:t>
            </w:r>
            <w:r w:rsidRPr="00A05195">
              <w:rPr>
                <w:b/>
                <w:i/>
                <w:vertAlign w:val="subscript"/>
              </w:rPr>
              <w:t xml:space="preserve"> q</w:t>
            </w:r>
          </w:p>
        </w:tc>
        <w:tc>
          <w:tcPr>
            <w:tcW w:w="606" w:type="pct"/>
            <w:tcBorders>
              <w:bottom w:val="single" w:sz="4" w:space="0" w:color="auto"/>
            </w:tcBorders>
          </w:tcPr>
          <w:p w14:paraId="22070762" w14:textId="77777777" w:rsidR="001F04FD" w:rsidRPr="0080555B" w:rsidRDefault="001F04FD" w:rsidP="00AC4DEE">
            <w:pPr>
              <w:pStyle w:val="tablebody0"/>
            </w:pPr>
            <w:r w:rsidRPr="00A05195">
              <w:t>MWh</w:t>
            </w:r>
          </w:p>
        </w:tc>
        <w:tc>
          <w:tcPr>
            <w:tcW w:w="3082" w:type="pct"/>
            <w:tcBorders>
              <w:bottom w:val="single" w:sz="4" w:space="0" w:color="auto"/>
            </w:tcBorders>
          </w:tcPr>
          <w:p w14:paraId="02B2EE28" w14:textId="53C73662" w:rsidR="00AF45BD" w:rsidRPr="0080555B" w:rsidRDefault="001F04FD" w:rsidP="00AC4DEE">
            <w:pPr>
              <w:pStyle w:val="tablebody0"/>
              <w:rPr>
                <w:i/>
              </w:rPr>
            </w:pPr>
            <w:r w:rsidRPr="00A05195">
              <w:rPr>
                <w:i/>
              </w:rPr>
              <w:t xml:space="preserve">Real-Time Capacity from Non-Controllable Load Resources carrying </w:t>
            </w:r>
            <w:r w:rsidR="00BA7613">
              <w:rPr>
                <w:i/>
              </w:rPr>
              <w:t>ERCOT Contingency Reserve or</w:t>
            </w:r>
            <w:r w:rsidR="00BA7613" w:rsidRPr="00A05195">
              <w:rPr>
                <w:i/>
              </w:rPr>
              <w:t xml:space="preserve"> </w:t>
            </w:r>
            <w:r w:rsidRPr="00A05195">
              <w:rPr>
                <w:i/>
              </w:rPr>
              <w:t>Responsive Reserve for the QSE</w:t>
            </w:r>
            <w:r w:rsidRPr="00A05195">
              <w:t xml:space="preserve">—The Real-Time </w:t>
            </w:r>
            <w:r>
              <w:t>c</w:t>
            </w:r>
            <w:r w:rsidRPr="00A05195">
              <w:t>apacity for a</w:t>
            </w:r>
            <w:r>
              <w:t>ll Load</w:t>
            </w:r>
            <w:r w:rsidRPr="00A05195">
              <w:t xml:space="preserve"> Resource</w:t>
            </w:r>
            <w:r>
              <w:t>s other than Controllable Load Resources</w:t>
            </w:r>
            <w:r w:rsidRPr="00A05195">
              <w:t xml:space="preserve"> that </w:t>
            </w:r>
            <w:r>
              <w:t>have</w:t>
            </w:r>
            <w:r w:rsidRPr="00A05195">
              <w:t xml:space="preserve"> a validated Real-Time </w:t>
            </w:r>
            <w:r w:rsidR="00BA7613">
              <w:t xml:space="preserve">ECRS or </w:t>
            </w:r>
            <w:r w:rsidRPr="00A05195">
              <w:t xml:space="preserve">RRS Ancillary Service Schedule for the QSE </w:t>
            </w:r>
            <w:r w:rsidRPr="00A05195">
              <w:rPr>
                <w:i/>
              </w:rPr>
              <w:t>q</w:t>
            </w:r>
            <w:r w:rsidRPr="00A05195">
              <w:t>, integrated over the 15-minute Settlement Interval.</w:t>
            </w:r>
          </w:p>
          <w:p w14:paraId="08C608B2" w14:textId="77777777" w:rsidR="001F04FD" w:rsidRPr="0080555B" w:rsidRDefault="001F04FD" w:rsidP="00AC4DEE">
            <w:pPr>
              <w:pStyle w:val="tablebody0"/>
              <w:rPr>
                <w:i/>
              </w:rPr>
            </w:pPr>
          </w:p>
        </w:tc>
      </w:tr>
      <w:tr w:rsidR="00327C76" w:rsidRPr="0080555B" w14:paraId="2E9367CB" w14:textId="77777777" w:rsidTr="00356445">
        <w:trPr>
          <w:cantSplit/>
        </w:trPr>
        <w:tc>
          <w:tcPr>
            <w:tcW w:w="1312" w:type="pct"/>
            <w:tcBorders>
              <w:bottom w:val="single" w:sz="4" w:space="0" w:color="auto"/>
            </w:tcBorders>
          </w:tcPr>
          <w:p w14:paraId="627142D0" w14:textId="77777777" w:rsidR="00327C76" w:rsidRPr="00A05195" w:rsidRDefault="00327C76" w:rsidP="00327C76">
            <w:pPr>
              <w:pStyle w:val="tablebody0"/>
            </w:pPr>
            <w:r>
              <w:t>RTNCLRRRS</w:t>
            </w:r>
            <w:r w:rsidRPr="00A05195">
              <w:rPr>
                <w:i/>
                <w:vertAlign w:val="subscript"/>
              </w:rPr>
              <w:t xml:space="preserve"> q</w:t>
            </w:r>
          </w:p>
        </w:tc>
        <w:tc>
          <w:tcPr>
            <w:tcW w:w="606" w:type="pct"/>
            <w:tcBorders>
              <w:bottom w:val="single" w:sz="4" w:space="0" w:color="auto"/>
            </w:tcBorders>
          </w:tcPr>
          <w:p w14:paraId="2E1D1D86" w14:textId="77777777" w:rsidR="00327C76" w:rsidRPr="00A05195" w:rsidRDefault="00327C76" w:rsidP="00327C76">
            <w:pPr>
              <w:pStyle w:val="tablebody0"/>
            </w:pPr>
            <w:r>
              <w:t>MWh</w:t>
            </w:r>
          </w:p>
        </w:tc>
        <w:tc>
          <w:tcPr>
            <w:tcW w:w="3082" w:type="pct"/>
            <w:tcBorders>
              <w:bottom w:val="single" w:sz="4" w:space="0" w:color="auto"/>
            </w:tcBorders>
          </w:tcPr>
          <w:p w14:paraId="2E02701A" w14:textId="77777777" w:rsidR="00327C76" w:rsidRPr="00A05195" w:rsidRDefault="00327C76" w:rsidP="00327C76">
            <w:pPr>
              <w:pStyle w:val="tablebody0"/>
              <w:rPr>
                <w:i/>
              </w:rPr>
            </w:pPr>
            <w:r w:rsidRPr="00A05195">
              <w:rPr>
                <w:i/>
              </w:rPr>
              <w:t>Real-Time Non-Controllable Load Resources Responsive Reserve for the QSE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Supply Responsibility</w:t>
            </w:r>
            <w:r w:rsidRPr="00A20AF6">
              <w:rPr>
                <w:szCs w:val="18"/>
              </w:rPr>
              <w:t xml:space="preserve"> </w:t>
            </w:r>
            <w:r w:rsidRPr="00A05195">
              <w:t>for a</w:t>
            </w:r>
            <w:r>
              <w:t>ll Load</w:t>
            </w:r>
            <w:r w:rsidRPr="00A05195">
              <w:t xml:space="preserve"> Resource</w:t>
            </w:r>
            <w:r>
              <w:t xml:space="preserve">s other than Controllable Load Resources for QSE </w:t>
            </w:r>
            <w:r>
              <w:rPr>
                <w:i/>
                <w:szCs w:val="18"/>
              </w:rPr>
              <w:t xml:space="preserve">q </w:t>
            </w:r>
            <w:r w:rsidRPr="00A20AF6">
              <w:rPr>
                <w:szCs w:val="18"/>
              </w:rPr>
              <w:t xml:space="preserve">discounted by the </w:t>
            </w:r>
            <w:r>
              <w:rPr>
                <w:szCs w:val="18"/>
              </w:rPr>
              <w:t>system-wide</w:t>
            </w:r>
            <w:r w:rsidRPr="00A20AF6">
              <w:rPr>
                <w:szCs w:val="18"/>
              </w:rPr>
              <w:t xml:space="preserve"> discount factor, integrated over the 15-minute Settlement Interval.</w:t>
            </w:r>
          </w:p>
        </w:tc>
      </w:tr>
      <w:tr w:rsidR="00327C76" w:rsidRPr="0080555B" w14:paraId="47446765" w14:textId="77777777" w:rsidTr="00356445">
        <w:trPr>
          <w:cantSplit/>
        </w:trPr>
        <w:tc>
          <w:tcPr>
            <w:tcW w:w="1312" w:type="pct"/>
            <w:tcBorders>
              <w:bottom w:val="single" w:sz="4" w:space="0" w:color="auto"/>
            </w:tcBorders>
          </w:tcPr>
          <w:p w14:paraId="6801A21F" w14:textId="77777777" w:rsidR="00327C76" w:rsidRPr="00A05195" w:rsidRDefault="00327C76" w:rsidP="00327C76">
            <w:pPr>
              <w:pStyle w:val="tablebody0"/>
            </w:pPr>
            <w:r>
              <w:t>RTNCLRRRSR</w:t>
            </w:r>
            <w:r w:rsidRPr="00A05195">
              <w:rPr>
                <w:i/>
                <w:vertAlign w:val="subscript"/>
              </w:rPr>
              <w:t xml:space="preserve"> q</w:t>
            </w:r>
            <w:r>
              <w:rPr>
                <w:i/>
                <w:vertAlign w:val="subscript"/>
              </w:rPr>
              <w:t>, r, p</w:t>
            </w:r>
          </w:p>
        </w:tc>
        <w:tc>
          <w:tcPr>
            <w:tcW w:w="606" w:type="pct"/>
            <w:tcBorders>
              <w:bottom w:val="single" w:sz="4" w:space="0" w:color="auto"/>
            </w:tcBorders>
          </w:tcPr>
          <w:p w14:paraId="21B57520" w14:textId="77777777" w:rsidR="00327C76" w:rsidRPr="00A05195" w:rsidRDefault="00327C76" w:rsidP="00327C76">
            <w:pPr>
              <w:pStyle w:val="tablebody0"/>
            </w:pPr>
            <w:r>
              <w:t>MWh</w:t>
            </w:r>
          </w:p>
        </w:tc>
        <w:tc>
          <w:tcPr>
            <w:tcW w:w="3082" w:type="pct"/>
            <w:tcBorders>
              <w:bottom w:val="single" w:sz="4" w:space="0" w:color="auto"/>
            </w:tcBorders>
          </w:tcPr>
          <w:p w14:paraId="495B1BC0" w14:textId="77777777" w:rsidR="00327C76" w:rsidRPr="00A05195" w:rsidRDefault="00327C76" w:rsidP="00327C76">
            <w:pPr>
              <w:pStyle w:val="tablebody0"/>
              <w:rPr>
                <w:i/>
              </w:rPr>
            </w:pPr>
            <w:r w:rsidRPr="00A05195">
              <w:rPr>
                <w:i/>
              </w:rPr>
              <w:t>Real-Time Non-Controllable Load Resource Responsive Reserve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Resource Responsibility</w:t>
            </w:r>
            <w:r w:rsidRPr="00A20AF6">
              <w:rPr>
                <w:szCs w:val="18"/>
              </w:rPr>
              <w:t xml:space="preserve"> for </w:t>
            </w:r>
            <w:r>
              <w:t>the Load</w:t>
            </w:r>
            <w:r w:rsidRPr="00A05195">
              <w:t xml:space="preserve"> Resource</w:t>
            </w:r>
            <w:r>
              <w:t xml:space="preserve"> </w:t>
            </w:r>
            <w:r>
              <w:rPr>
                <w:i/>
                <w:szCs w:val="18"/>
              </w:rPr>
              <w:t xml:space="preserve">r </w:t>
            </w:r>
            <w:r>
              <w:rPr>
                <w:szCs w:val="18"/>
              </w:rPr>
              <w:t xml:space="preserve">(which is not a </w:t>
            </w:r>
            <w:r w:rsidRPr="00A05195">
              <w:rPr>
                <w:szCs w:val="18"/>
              </w:rPr>
              <w:t>Controllable Load Resource</w:t>
            </w:r>
            <w:r>
              <w:rPr>
                <w:szCs w:val="18"/>
              </w:rPr>
              <w:t>)</w:t>
            </w:r>
            <w:r w:rsidRPr="006624C0">
              <w:t xml:space="preserve"> represented by QSE </w:t>
            </w:r>
            <w:r w:rsidRPr="006624C0">
              <w:rPr>
                <w:i/>
              </w:rPr>
              <w:t>q</w:t>
            </w:r>
            <w:r w:rsidRPr="006624C0">
              <w:t xml:space="preserve"> at Resource Node </w:t>
            </w:r>
            <w:r w:rsidRPr="006624C0">
              <w:rPr>
                <w:i/>
              </w:rPr>
              <w:t>p</w:t>
            </w:r>
            <w:r w:rsidRPr="00A20AF6">
              <w:rPr>
                <w:szCs w:val="18"/>
              </w:rPr>
              <w:t>, integrated over the 15-minute Settlement Interval.</w:t>
            </w:r>
          </w:p>
        </w:tc>
      </w:tr>
      <w:tr w:rsidR="00BA7613" w:rsidRPr="0080555B" w14:paraId="4321A2FF" w14:textId="77777777" w:rsidTr="00356445">
        <w:trPr>
          <w:cantSplit/>
        </w:trPr>
        <w:tc>
          <w:tcPr>
            <w:tcW w:w="1312" w:type="pct"/>
            <w:tcBorders>
              <w:bottom w:val="single" w:sz="4" w:space="0" w:color="auto"/>
            </w:tcBorders>
          </w:tcPr>
          <w:p w14:paraId="6EB882AA" w14:textId="7310A018" w:rsidR="00BA7613" w:rsidRDefault="00BA7613" w:rsidP="00BA7613">
            <w:pPr>
              <w:pStyle w:val="tablebody0"/>
            </w:pPr>
            <w:r w:rsidRPr="0003648D">
              <w:t>RTNCLR</w:t>
            </w:r>
            <w:r>
              <w:t>ECR</w:t>
            </w:r>
            <w:r w:rsidRPr="0003648D">
              <w:t>S</w:t>
            </w:r>
            <w:r w:rsidRPr="0003648D">
              <w:rPr>
                <w:i/>
                <w:vertAlign w:val="subscript"/>
              </w:rPr>
              <w:t xml:space="preserve"> q</w:t>
            </w:r>
          </w:p>
        </w:tc>
        <w:tc>
          <w:tcPr>
            <w:tcW w:w="606" w:type="pct"/>
            <w:tcBorders>
              <w:bottom w:val="single" w:sz="4" w:space="0" w:color="auto"/>
            </w:tcBorders>
          </w:tcPr>
          <w:p w14:paraId="3779AFB1" w14:textId="5FDAAE48" w:rsidR="00BA7613" w:rsidRDefault="00BA7613" w:rsidP="00BA7613">
            <w:pPr>
              <w:pStyle w:val="tablebody0"/>
            </w:pPr>
            <w:r w:rsidRPr="0003648D">
              <w:t>MWh</w:t>
            </w:r>
          </w:p>
        </w:tc>
        <w:tc>
          <w:tcPr>
            <w:tcW w:w="3082" w:type="pct"/>
            <w:tcBorders>
              <w:bottom w:val="single" w:sz="4" w:space="0" w:color="auto"/>
            </w:tcBorders>
          </w:tcPr>
          <w:p w14:paraId="5255DD8F" w14:textId="635CD9D8" w:rsidR="00BA7613" w:rsidRPr="00A05195" w:rsidRDefault="00BA7613" w:rsidP="00BA7613">
            <w:pPr>
              <w:pStyle w:val="tablebody0"/>
              <w:rPr>
                <w:i/>
              </w:rPr>
            </w:pPr>
            <w:r w:rsidRPr="0003648D">
              <w:rPr>
                <w:i/>
              </w:rPr>
              <w:t xml:space="preserve">Real-Time Non-Controllable Load Resources </w:t>
            </w:r>
            <w:r>
              <w:rPr>
                <w:i/>
              </w:rPr>
              <w:t xml:space="preserve">ERCOT Contingency Reserve </w:t>
            </w:r>
            <w:r w:rsidRPr="0003648D">
              <w:rPr>
                <w:i/>
              </w:rPr>
              <w:t xml:space="preserve"> for the QSE</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Supply Responsibility </w:t>
            </w:r>
            <w:r w:rsidRPr="0003648D">
              <w:t xml:space="preserve">for all Load Resources other than Controllable Load Resources for QSE </w:t>
            </w:r>
            <w:r w:rsidRPr="0003648D">
              <w:rPr>
                <w:i/>
                <w:szCs w:val="18"/>
              </w:rPr>
              <w:t xml:space="preserve">q </w:t>
            </w:r>
            <w:r w:rsidRPr="0003648D">
              <w:rPr>
                <w:szCs w:val="18"/>
              </w:rPr>
              <w:t>discounted by the system-wide discount factor, integrated over the 15-minute Settlement Interval.</w:t>
            </w:r>
          </w:p>
        </w:tc>
      </w:tr>
      <w:tr w:rsidR="00BA7613" w:rsidRPr="0080555B" w14:paraId="745BDCAA" w14:textId="77777777" w:rsidTr="00356445">
        <w:trPr>
          <w:cantSplit/>
        </w:trPr>
        <w:tc>
          <w:tcPr>
            <w:tcW w:w="1312" w:type="pct"/>
            <w:tcBorders>
              <w:bottom w:val="single" w:sz="4" w:space="0" w:color="auto"/>
            </w:tcBorders>
          </w:tcPr>
          <w:p w14:paraId="08B65A97" w14:textId="7C1E1D90" w:rsidR="00BA7613" w:rsidRDefault="00BA7613" w:rsidP="00BA7613">
            <w:pPr>
              <w:pStyle w:val="tablebody0"/>
            </w:pPr>
            <w:r w:rsidRPr="0003648D">
              <w:t>RTNCLR</w:t>
            </w:r>
            <w:r>
              <w:t>ECR</w:t>
            </w:r>
            <w:r w:rsidRPr="0003648D">
              <w:t>SR</w:t>
            </w:r>
            <w:r w:rsidRPr="0003648D">
              <w:rPr>
                <w:i/>
                <w:vertAlign w:val="subscript"/>
              </w:rPr>
              <w:t xml:space="preserve"> q, r, p</w:t>
            </w:r>
          </w:p>
        </w:tc>
        <w:tc>
          <w:tcPr>
            <w:tcW w:w="606" w:type="pct"/>
            <w:tcBorders>
              <w:bottom w:val="single" w:sz="4" w:space="0" w:color="auto"/>
            </w:tcBorders>
          </w:tcPr>
          <w:p w14:paraId="56BE16BD" w14:textId="2A61254F" w:rsidR="00BA7613" w:rsidRDefault="00BA7613" w:rsidP="00BA7613">
            <w:pPr>
              <w:pStyle w:val="tablebody0"/>
            </w:pPr>
            <w:r w:rsidRPr="0003648D">
              <w:t>MWh</w:t>
            </w:r>
          </w:p>
        </w:tc>
        <w:tc>
          <w:tcPr>
            <w:tcW w:w="3082" w:type="pct"/>
            <w:tcBorders>
              <w:bottom w:val="single" w:sz="4" w:space="0" w:color="auto"/>
            </w:tcBorders>
          </w:tcPr>
          <w:p w14:paraId="557B403A" w14:textId="6BE1153F" w:rsidR="00BA7613" w:rsidRPr="00A05195" w:rsidRDefault="00BA7613" w:rsidP="00BA7613">
            <w:pPr>
              <w:pStyle w:val="tablebody0"/>
              <w:rPr>
                <w:i/>
              </w:rPr>
            </w:pPr>
            <w:r w:rsidRPr="0003648D">
              <w:rPr>
                <w:i/>
              </w:rPr>
              <w:t xml:space="preserve">Real-Time Non-Controllable Load Resource </w:t>
            </w:r>
            <w:r>
              <w:rPr>
                <w:i/>
              </w:rPr>
              <w:t xml:space="preserve">ERCOT Contingency Reserve </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Resource Responsibility for </w:t>
            </w:r>
            <w:r w:rsidRPr="0003648D">
              <w:t xml:space="preserve">the Load Resource </w:t>
            </w:r>
            <w:r w:rsidRPr="0003648D">
              <w:rPr>
                <w:i/>
                <w:szCs w:val="18"/>
              </w:rPr>
              <w:t xml:space="preserve">r </w:t>
            </w:r>
            <w:r w:rsidRPr="0003648D">
              <w:rPr>
                <w:szCs w:val="18"/>
              </w:rPr>
              <w:t>(which is not a Controllable Load Resource)</w:t>
            </w:r>
            <w:r w:rsidRPr="0003648D">
              <w:t xml:space="preserve"> represented by QSE </w:t>
            </w:r>
            <w:r w:rsidRPr="0003648D">
              <w:rPr>
                <w:i/>
              </w:rPr>
              <w:t>q</w:t>
            </w:r>
            <w:r w:rsidRPr="0003648D">
              <w:t xml:space="preserve"> at Resource Node </w:t>
            </w:r>
            <w:r w:rsidRPr="0003648D">
              <w:rPr>
                <w:i/>
              </w:rPr>
              <w:t>p</w:t>
            </w:r>
            <w:r w:rsidRPr="0003648D">
              <w:rPr>
                <w:szCs w:val="18"/>
              </w:rPr>
              <w:t>, integrated over the 15-minute Settlement Interval.</w:t>
            </w:r>
          </w:p>
        </w:tc>
      </w:tr>
      <w:tr w:rsidR="00BE197B" w:rsidRPr="0080555B" w14:paraId="5AD1A8EE" w14:textId="77777777" w:rsidTr="00356445">
        <w:trPr>
          <w:cantSplit/>
        </w:trPr>
        <w:tc>
          <w:tcPr>
            <w:tcW w:w="1312" w:type="pct"/>
            <w:tcBorders>
              <w:bottom w:val="single" w:sz="4" w:space="0" w:color="auto"/>
            </w:tcBorders>
          </w:tcPr>
          <w:p w14:paraId="04A8E446" w14:textId="77777777" w:rsidR="00BE197B" w:rsidRPr="0080555B" w:rsidRDefault="00BE197B" w:rsidP="00BE197B">
            <w:pPr>
              <w:pStyle w:val="tablebody0"/>
            </w:pPr>
            <w:r w:rsidRPr="00A05195">
              <w:t>RTNCLRNP</w:t>
            </w:r>
            <w:r>
              <w:t>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5E4A0308" w14:textId="77777777" w:rsidR="00BE197B" w:rsidRPr="0080555B" w:rsidRDefault="00BE197B" w:rsidP="00BE197B">
            <w:pPr>
              <w:pStyle w:val="tablebody0"/>
            </w:pPr>
            <w:r w:rsidRPr="00A05195">
              <w:t>MWh</w:t>
            </w:r>
          </w:p>
        </w:tc>
        <w:tc>
          <w:tcPr>
            <w:tcW w:w="3082" w:type="pct"/>
            <w:tcBorders>
              <w:bottom w:val="single" w:sz="4" w:space="0" w:color="auto"/>
            </w:tcBorders>
          </w:tcPr>
          <w:p w14:paraId="58632D2F" w14:textId="22A3B572"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w:t>
            </w:r>
            <w:r>
              <w:rPr>
                <w:szCs w:val="18"/>
              </w:rPr>
              <w:t>.</w:t>
            </w:r>
          </w:p>
          <w:p w14:paraId="2F3336FF" w14:textId="77777777" w:rsidR="00BE197B" w:rsidRPr="0080555B" w:rsidRDefault="00BE197B" w:rsidP="00BE197B">
            <w:pPr>
              <w:pStyle w:val="tablebody0"/>
              <w:rPr>
                <w:i/>
              </w:rPr>
            </w:pPr>
          </w:p>
        </w:tc>
      </w:tr>
      <w:tr w:rsidR="00BE197B" w:rsidRPr="0080555B" w14:paraId="5DFC5250" w14:textId="77777777" w:rsidTr="00356445">
        <w:trPr>
          <w:cantSplit/>
        </w:trPr>
        <w:tc>
          <w:tcPr>
            <w:tcW w:w="1312" w:type="pct"/>
            <w:tcBorders>
              <w:bottom w:val="single" w:sz="4" w:space="0" w:color="auto"/>
            </w:tcBorders>
          </w:tcPr>
          <w:p w14:paraId="384A9990" w14:textId="77777777" w:rsidR="00BE197B" w:rsidRPr="0080555B" w:rsidRDefault="00BE197B" w:rsidP="00BE197B">
            <w:pPr>
              <w:pStyle w:val="tablebody0"/>
            </w:pPr>
            <w:r w:rsidRPr="00A05195">
              <w:t>RTNCLRL</w:t>
            </w:r>
            <w:r>
              <w:t>PC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20F200C2" w14:textId="77777777" w:rsidR="00BE197B" w:rsidRPr="0080555B" w:rsidRDefault="00BE197B" w:rsidP="00BE197B">
            <w:pPr>
              <w:pStyle w:val="tablebody0"/>
            </w:pPr>
            <w:r w:rsidRPr="00A05195">
              <w:t>MWh</w:t>
            </w:r>
          </w:p>
        </w:tc>
        <w:tc>
          <w:tcPr>
            <w:tcW w:w="3082" w:type="pct"/>
            <w:tcBorders>
              <w:bottom w:val="single" w:sz="4" w:space="0" w:color="auto"/>
            </w:tcBorders>
          </w:tcPr>
          <w:p w14:paraId="7F13C4FA" w14:textId="4A867D98" w:rsidR="00AF45BD" w:rsidRPr="0080555B" w:rsidRDefault="00BE197B" w:rsidP="00BE197B">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 xml:space="preserve">Ancillary Service </w:t>
            </w:r>
            <w:r>
              <w:t xml:space="preserve">Schedule </w:t>
            </w:r>
            <w:r w:rsidRPr="00A05195">
              <w:rPr>
                <w:szCs w:val="18"/>
              </w:rPr>
              <w:t>integrated over the 15-minute Settlement Interval</w:t>
            </w:r>
            <w:r w:rsidR="00234FA4">
              <w:rPr>
                <w:szCs w:val="18"/>
              </w:rPr>
              <w:t>.</w:t>
            </w:r>
            <w:r w:rsidRPr="00A05195" w:rsidDel="00374E0F">
              <w:rPr>
                <w:szCs w:val="18"/>
              </w:rPr>
              <w:t xml:space="preserve"> </w:t>
            </w:r>
          </w:p>
          <w:p w14:paraId="04B99100" w14:textId="77777777" w:rsidR="00BE197B" w:rsidRPr="0080555B" w:rsidRDefault="00BE197B" w:rsidP="00BE197B">
            <w:pPr>
              <w:pStyle w:val="tablebody0"/>
              <w:rPr>
                <w:i/>
              </w:rPr>
            </w:pPr>
          </w:p>
        </w:tc>
      </w:tr>
      <w:tr w:rsidR="00BE197B" w:rsidRPr="0080555B" w14:paraId="4EFEB95C" w14:textId="77777777" w:rsidTr="00356445">
        <w:trPr>
          <w:cantSplit/>
        </w:trPr>
        <w:tc>
          <w:tcPr>
            <w:tcW w:w="1312" w:type="pct"/>
            <w:tcBorders>
              <w:bottom w:val="single" w:sz="4" w:space="0" w:color="auto"/>
            </w:tcBorders>
          </w:tcPr>
          <w:p w14:paraId="33EEB270" w14:textId="77777777" w:rsidR="00BE197B" w:rsidRPr="0080555B" w:rsidRDefault="00BE197B" w:rsidP="00BE197B">
            <w:pPr>
              <w:pStyle w:val="tablebody0"/>
            </w:pPr>
            <w:r w:rsidRPr="00A05195">
              <w:t>RTNCLRNP</w:t>
            </w:r>
            <w:r>
              <w:t>C</w:t>
            </w:r>
            <w:r w:rsidRPr="00A05195">
              <w:rPr>
                <w:i/>
                <w:vertAlign w:val="subscript"/>
              </w:rPr>
              <w:t xml:space="preserve"> q</w:t>
            </w:r>
          </w:p>
        </w:tc>
        <w:tc>
          <w:tcPr>
            <w:tcW w:w="606" w:type="pct"/>
            <w:tcBorders>
              <w:bottom w:val="single" w:sz="4" w:space="0" w:color="auto"/>
            </w:tcBorders>
          </w:tcPr>
          <w:p w14:paraId="67403153" w14:textId="77777777" w:rsidR="00BE197B" w:rsidRPr="0080555B" w:rsidRDefault="00BE197B" w:rsidP="00BE197B">
            <w:pPr>
              <w:pStyle w:val="tablebody0"/>
            </w:pPr>
            <w:r w:rsidRPr="00A05195">
              <w:t>MWh</w:t>
            </w:r>
          </w:p>
        </w:tc>
        <w:tc>
          <w:tcPr>
            <w:tcW w:w="3082" w:type="pct"/>
            <w:tcBorders>
              <w:bottom w:val="single" w:sz="4" w:space="0" w:color="auto"/>
            </w:tcBorders>
          </w:tcPr>
          <w:p w14:paraId="4DD712F2" w14:textId="3B4A1260" w:rsidR="00BE197B"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tc>
      </w:tr>
      <w:tr w:rsidR="00BE197B" w:rsidRPr="0080555B" w14:paraId="081D0F4C" w14:textId="77777777" w:rsidTr="00356445">
        <w:trPr>
          <w:cantSplit/>
        </w:trPr>
        <w:tc>
          <w:tcPr>
            <w:tcW w:w="1312" w:type="pct"/>
            <w:tcBorders>
              <w:bottom w:val="single" w:sz="4" w:space="0" w:color="auto"/>
            </w:tcBorders>
          </w:tcPr>
          <w:p w14:paraId="1D19EA65" w14:textId="77777777" w:rsidR="00BE197B" w:rsidRPr="0080555B" w:rsidRDefault="00BE197B" w:rsidP="00BE197B">
            <w:pPr>
              <w:pStyle w:val="tablebody0"/>
            </w:pPr>
            <w:r w:rsidRPr="00A05195">
              <w:lastRenderedPageBreak/>
              <w:t>RTNCLR</w:t>
            </w:r>
            <w:r>
              <w:t>LPC</w:t>
            </w:r>
            <w:r w:rsidRPr="00A05195">
              <w:rPr>
                <w:i/>
                <w:vertAlign w:val="subscript"/>
              </w:rPr>
              <w:t xml:space="preserve"> q</w:t>
            </w:r>
          </w:p>
        </w:tc>
        <w:tc>
          <w:tcPr>
            <w:tcW w:w="606" w:type="pct"/>
            <w:tcBorders>
              <w:bottom w:val="single" w:sz="4" w:space="0" w:color="auto"/>
            </w:tcBorders>
          </w:tcPr>
          <w:p w14:paraId="0641F4B8" w14:textId="77777777" w:rsidR="00BE197B" w:rsidRPr="0080555B" w:rsidRDefault="00BE197B" w:rsidP="00BE197B">
            <w:pPr>
              <w:pStyle w:val="tablebody0"/>
            </w:pPr>
            <w:r w:rsidRPr="00A05195">
              <w:t>MWh</w:t>
            </w:r>
          </w:p>
        </w:tc>
        <w:tc>
          <w:tcPr>
            <w:tcW w:w="3082" w:type="pct"/>
            <w:tcBorders>
              <w:bottom w:val="single" w:sz="4" w:space="0" w:color="auto"/>
            </w:tcBorders>
          </w:tcPr>
          <w:p w14:paraId="2B55EA05" w14:textId="47E1C2FE" w:rsidR="00AF45BD" w:rsidRPr="0080555B" w:rsidRDefault="00BE197B" w:rsidP="00BE197B">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p w14:paraId="1B7C3C2B" w14:textId="77777777" w:rsidR="00BE197B" w:rsidRPr="0080555B" w:rsidRDefault="00BE197B" w:rsidP="00BE197B">
            <w:pPr>
              <w:pStyle w:val="tablebody0"/>
              <w:rPr>
                <w:i/>
              </w:rPr>
            </w:pPr>
          </w:p>
        </w:tc>
      </w:tr>
      <w:tr w:rsidR="00013237" w:rsidRPr="0080555B" w14:paraId="654D1BE5" w14:textId="77777777" w:rsidTr="00356445">
        <w:trPr>
          <w:cantSplit/>
        </w:trPr>
        <w:tc>
          <w:tcPr>
            <w:tcW w:w="1312" w:type="pct"/>
            <w:tcBorders>
              <w:bottom w:val="single" w:sz="4" w:space="0" w:color="auto"/>
            </w:tcBorders>
          </w:tcPr>
          <w:p w14:paraId="46230015" w14:textId="0565A2A3" w:rsidR="00013237" w:rsidRPr="00A05195" w:rsidRDefault="00013237" w:rsidP="00013237">
            <w:pPr>
              <w:pStyle w:val="tablebody0"/>
            </w:pPr>
            <w:r w:rsidRPr="00A05195">
              <w:t>RTNCLR</w:t>
            </w:r>
            <w:r>
              <w:t>NS</w:t>
            </w:r>
            <w:r w:rsidRPr="00A05195">
              <w:t>CAP</w:t>
            </w:r>
            <w:r w:rsidRPr="00A05195">
              <w:rPr>
                <w:b/>
                <w:i/>
                <w:vertAlign w:val="subscript"/>
              </w:rPr>
              <w:t xml:space="preserve"> q</w:t>
            </w:r>
          </w:p>
        </w:tc>
        <w:tc>
          <w:tcPr>
            <w:tcW w:w="606" w:type="pct"/>
            <w:tcBorders>
              <w:bottom w:val="single" w:sz="4" w:space="0" w:color="auto"/>
            </w:tcBorders>
          </w:tcPr>
          <w:p w14:paraId="47C6EDC9" w14:textId="271CFA18" w:rsidR="00013237" w:rsidRPr="00A05195" w:rsidRDefault="00013237" w:rsidP="00013237">
            <w:pPr>
              <w:pStyle w:val="tablebody0"/>
            </w:pPr>
            <w:r w:rsidRPr="00A05195">
              <w:t>MWh</w:t>
            </w:r>
          </w:p>
        </w:tc>
        <w:tc>
          <w:tcPr>
            <w:tcW w:w="3082" w:type="pct"/>
            <w:tcBorders>
              <w:bottom w:val="single" w:sz="4" w:space="0" w:color="auto"/>
            </w:tcBorders>
          </w:tcPr>
          <w:p w14:paraId="359D0ECA" w14:textId="1DB32B02" w:rsidR="00013237" w:rsidRPr="00A05195" w:rsidRDefault="00013237" w:rsidP="00013237">
            <w:pPr>
              <w:pStyle w:val="tablebody0"/>
              <w:rPr>
                <w:i/>
              </w:rPr>
            </w:pPr>
            <w:r w:rsidRPr="00A05195">
              <w:rPr>
                <w:i/>
              </w:rPr>
              <w:t xml:space="preserve">Real-Time Capacity from Non-Controllable Load Resources carrying </w:t>
            </w:r>
            <w:r>
              <w:rPr>
                <w:i/>
              </w:rPr>
              <w:t>Non-Spin</w:t>
            </w:r>
            <w:r w:rsidRPr="00A05195">
              <w:rPr>
                <w:i/>
              </w:rPr>
              <w:t xml:space="preserve"> for the QSE</w:t>
            </w:r>
            <w:r w:rsidRPr="00A05195">
              <w:t xml:space="preserve">—The Real-Time </w:t>
            </w:r>
            <w:r>
              <w:t>c</w:t>
            </w:r>
            <w:r w:rsidRPr="00A05195">
              <w:t>apacity for a</w:t>
            </w:r>
            <w:r>
              <w:t>ll Load</w:t>
            </w:r>
            <w:r w:rsidRPr="00A05195">
              <w:t xml:space="preserve"> Resource</w:t>
            </w:r>
            <w:r>
              <w:t>s that are not Controllable Load Resources</w:t>
            </w:r>
            <w:r w:rsidRPr="00A05195">
              <w:t xml:space="preserve"> </w:t>
            </w:r>
            <w:r>
              <w:t xml:space="preserve">and </w:t>
            </w:r>
            <w:r w:rsidRPr="00A05195">
              <w:t xml:space="preserve">that </w:t>
            </w:r>
            <w:r>
              <w:t>have</w:t>
            </w:r>
            <w:r w:rsidRPr="00A05195">
              <w:t xml:space="preserve"> a validated Real-Time </w:t>
            </w:r>
            <w:r>
              <w:t>Non-Spin</w:t>
            </w:r>
            <w:r w:rsidRPr="00A05195">
              <w:t xml:space="preserve"> Ancillary Service Schedule for the QSE </w:t>
            </w:r>
            <w:r w:rsidRPr="00A05195">
              <w:rPr>
                <w:i/>
              </w:rPr>
              <w:t>q</w:t>
            </w:r>
            <w:r w:rsidRPr="00A05195">
              <w:t>, integrated over the 15-minute Settlement Interval.</w:t>
            </w:r>
          </w:p>
        </w:tc>
      </w:tr>
      <w:tr w:rsidR="00013237" w:rsidRPr="0080555B" w14:paraId="4F3F11C0" w14:textId="77777777" w:rsidTr="00356445">
        <w:trPr>
          <w:cantSplit/>
        </w:trPr>
        <w:tc>
          <w:tcPr>
            <w:tcW w:w="1312" w:type="pct"/>
            <w:tcBorders>
              <w:bottom w:val="single" w:sz="4" w:space="0" w:color="auto"/>
            </w:tcBorders>
          </w:tcPr>
          <w:p w14:paraId="5898BB20" w14:textId="7D85BFB8" w:rsidR="00013237" w:rsidRPr="00A05195" w:rsidRDefault="00013237" w:rsidP="00013237">
            <w:pPr>
              <w:pStyle w:val="tablebody0"/>
            </w:pPr>
            <w:r w:rsidRPr="0080555B">
              <w:t>RT</w:t>
            </w:r>
            <w:r>
              <w:t>N</w:t>
            </w:r>
            <w:r w:rsidRPr="0080555B">
              <w: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764FA8C4" w14:textId="0F18E770" w:rsidR="00013237" w:rsidRPr="00A05195" w:rsidRDefault="00013237" w:rsidP="00013237">
            <w:pPr>
              <w:pStyle w:val="tablebody0"/>
            </w:pPr>
            <w:r w:rsidRPr="0080555B">
              <w:t>MWh</w:t>
            </w:r>
          </w:p>
        </w:tc>
        <w:tc>
          <w:tcPr>
            <w:tcW w:w="3082" w:type="pct"/>
            <w:tcBorders>
              <w:bottom w:val="single" w:sz="4" w:space="0" w:color="auto"/>
            </w:tcBorders>
          </w:tcPr>
          <w:p w14:paraId="690A67DA" w14:textId="49737540" w:rsidR="00013237" w:rsidRPr="00A05195" w:rsidRDefault="00013237" w:rsidP="00013237">
            <w:pPr>
              <w:pStyle w:val="tablebody0"/>
              <w:rPr>
                <w:i/>
              </w:rPr>
            </w:pPr>
            <w:r w:rsidRPr="00A20AF6">
              <w:rPr>
                <w:i/>
                <w:szCs w:val="18"/>
              </w:rPr>
              <w:t>Real-Time Non</w:t>
            </w:r>
            <w:r>
              <w:rPr>
                <w:i/>
                <w:szCs w:val="18"/>
              </w:rPr>
              <w:t>-</w:t>
            </w:r>
            <w:r w:rsidRPr="00A20AF6">
              <w:rPr>
                <w:i/>
                <w:szCs w:val="18"/>
              </w:rPr>
              <w:t xml:space="preserve">Spin Schedule for the </w:t>
            </w:r>
            <w:r>
              <w:rPr>
                <w:i/>
                <w:szCs w:val="18"/>
              </w:rPr>
              <w:t>Non-</w:t>
            </w:r>
            <w:r w:rsidRPr="00A20AF6">
              <w:rPr>
                <w:i/>
                <w:szCs w:val="18"/>
              </w:rPr>
              <w:t xml:space="preserve">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Pr>
                <w:szCs w:val="18"/>
              </w:rPr>
              <w:t>-</w:t>
            </w:r>
            <w:r w:rsidRPr="00A20AF6">
              <w:rPr>
                <w:szCs w:val="18"/>
              </w:rPr>
              <w:t>Time telemetered Non-Spin Ancillary Service Schedule for the Load Resource</w:t>
            </w:r>
            <w:r>
              <w:rPr>
                <w:i/>
                <w:szCs w:val="18"/>
              </w:rPr>
              <w:t xml:space="preserve"> r</w:t>
            </w:r>
            <w:r w:rsidRPr="006624C0">
              <w:t xml:space="preserve"> </w:t>
            </w:r>
            <w:r>
              <w:t xml:space="preserve">that is not a Controllable Load Resources </w:t>
            </w:r>
            <w:r w:rsidRPr="006624C0">
              <w:t xml:space="preserve">represented by QSE </w:t>
            </w:r>
            <w:r w:rsidRPr="006624C0">
              <w:rPr>
                <w:i/>
              </w:rPr>
              <w:t>q</w:t>
            </w:r>
            <w:r w:rsidRPr="006624C0">
              <w:t xml:space="preserve"> at Resource Node </w:t>
            </w:r>
            <w:r w:rsidRPr="006624C0">
              <w:rPr>
                <w:i/>
              </w:rPr>
              <w:t>p</w:t>
            </w:r>
            <w:r w:rsidRPr="00A20AF6">
              <w:rPr>
                <w:szCs w:val="18"/>
              </w:rPr>
              <w:t xml:space="preserve">, </w:t>
            </w:r>
            <w:r>
              <w:t>integrated</w:t>
            </w:r>
            <w:r w:rsidRPr="00A20AF6">
              <w:rPr>
                <w:szCs w:val="18"/>
              </w:rPr>
              <w:t xml:space="preserve"> over the 15-minute Settlement Interval.</w:t>
            </w:r>
          </w:p>
        </w:tc>
      </w:tr>
      <w:tr w:rsidR="00013237" w:rsidRPr="0080555B" w14:paraId="1F7FD213" w14:textId="77777777" w:rsidTr="00356445">
        <w:trPr>
          <w:cantSplit/>
        </w:trPr>
        <w:tc>
          <w:tcPr>
            <w:tcW w:w="1312" w:type="pct"/>
            <w:tcBorders>
              <w:bottom w:val="single" w:sz="4" w:space="0" w:color="auto"/>
            </w:tcBorders>
          </w:tcPr>
          <w:p w14:paraId="400A5683" w14:textId="6D65EF9D" w:rsidR="00013237" w:rsidRPr="00A05195" w:rsidRDefault="00013237" w:rsidP="00013237">
            <w:pPr>
              <w:pStyle w:val="tablebody0"/>
            </w:pPr>
            <w:r w:rsidRPr="0080555B">
              <w:t>RT</w:t>
            </w:r>
            <w:r>
              <w:t>N</w:t>
            </w:r>
            <w:r w:rsidRPr="0080555B">
              <w:t>CLRNS</w:t>
            </w:r>
            <w:r w:rsidRPr="0080555B">
              <w:rPr>
                <w:i/>
                <w:vertAlign w:val="subscript"/>
              </w:rPr>
              <w:t xml:space="preserve"> q</w:t>
            </w:r>
          </w:p>
        </w:tc>
        <w:tc>
          <w:tcPr>
            <w:tcW w:w="606" w:type="pct"/>
            <w:tcBorders>
              <w:bottom w:val="single" w:sz="4" w:space="0" w:color="auto"/>
            </w:tcBorders>
          </w:tcPr>
          <w:p w14:paraId="67A5C065" w14:textId="7AA6524B" w:rsidR="00013237" w:rsidRPr="00A05195" w:rsidRDefault="00013237" w:rsidP="00013237">
            <w:pPr>
              <w:pStyle w:val="tablebody0"/>
            </w:pPr>
            <w:r w:rsidRPr="0080555B">
              <w:t>MWh</w:t>
            </w:r>
          </w:p>
        </w:tc>
        <w:tc>
          <w:tcPr>
            <w:tcW w:w="3082" w:type="pct"/>
            <w:tcBorders>
              <w:bottom w:val="single" w:sz="4" w:space="0" w:color="auto"/>
            </w:tcBorders>
          </w:tcPr>
          <w:p w14:paraId="5CD2D69B" w14:textId="59AFF59D" w:rsidR="00013237" w:rsidRPr="00A05195" w:rsidRDefault="00013237" w:rsidP="00013237">
            <w:pPr>
              <w:pStyle w:val="tablebody0"/>
              <w:rPr>
                <w:i/>
              </w:rPr>
            </w:pPr>
            <w:r>
              <w:rPr>
                <w:i/>
              </w:rPr>
              <w:t>Real-Time Non-</w:t>
            </w:r>
            <w:r w:rsidRPr="0080555B">
              <w:rPr>
                <w:i/>
              </w:rPr>
              <w:t xml:space="preserve">Spin Schedule for </w:t>
            </w:r>
            <w:r>
              <w:rPr>
                <w:i/>
              </w:rPr>
              <w:t>Non-</w:t>
            </w:r>
            <w:r w:rsidRPr="0080555B">
              <w:rPr>
                <w:i/>
              </w:rPr>
              <w:t>Controllable Load Resources for the QSE</w:t>
            </w:r>
            <w:r w:rsidRPr="0080555B">
              <w:sym w:font="Symbol" w:char="F0BE"/>
            </w:r>
            <w:r w:rsidRPr="0080555B">
              <w:t>The Real</w:t>
            </w:r>
            <w:r>
              <w:t>-</w:t>
            </w:r>
            <w:r w:rsidRPr="0080555B">
              <w:t>Time telemetered Non-Spin Ancillary Service Schedule for all Load Resources</w:t>
            </w:r>
            <w:r>
              <w:t xml:space="preserve"> that are not Controllable Load Resources </w:t>
            </w:r>
            <w:r w:rsidRPr="0080555B">
              <w:t xml:space="preserve">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c>
      </w:tr>
      <w:tr w:rsidR="00013237" w:rsidRPr="0080555B" w14:paraId="6295322C" w14:textId="77777777" w:rsidTr="00356445">
        <w:trPr>
          <w:cantSplit/>
        </w:trPr>
        <w:tc>
          <w:tcPr>
            <w:tcW w:w="1312" w:type="pct"/>
            <w:tcBorders>
              <w:bottom w:val="single" w:sz="4" w:space="0" w:color="auto"/>
            </w:tcBorders>
          </w:tcPr>
          <w:p w14:paraId="71F91386" w14:textId="4E6E774E" w:rsidR="00013237" w:rsidRPr="00A05195" w:rsidRDefault="00013237" w:rsidP="00013237">
            <w:pPr>
              <w:pStyle w:val="tablebody0"/>
            </w:pPr>
            <w:r w:rsidRPr="00602C41">
              <w:t>RT</w:t>
            </w:r>
            <w:r>
              <w:t>N</w:t>
            </w:r>
            <w:r w:rsidRPr="00602C41">
              <w:t xml:space="preserve">CLRNSRESP </w:t>
            </w:r>
            <w:r w:rsidRPr="00602C41">
              <w:rPr>
                <w:i/>
                <w:vertAlign w:val="subscript"/>
              </w:rPr>
              <w:t>q</w:t>
            </w:r>
          </w:p>
        </w:tc>
        <w:tc>
          <w:tcPr>
            <w:tcW w:w="606" w:type="pct"/>
            <w:tcBorders>
              <w:bottom w:val="single" w:sz="4" w:space="0" w:color="auto"/>
            </w:tcBorders>
          </w:tcPr>
          <w:p w14:paraId="7B6EEAB8" w14:textId="7EE3BB0E" w:rsidR="00013237" w:rsidRPr="00A05195" w:rsidRDefault="00013237" w:rsidP="00013237">
            <w:pPr>
              <w:pStyle w:val="tablebody0"/>
            </w:pPr>
            <w:r w:rsidRPr="0080555B">
              <w:t>MW</w:t>
            </w:r>
            <w:r>
              <w:t>h</w:t>
            </w:r>
          </w:p>
        </w:tc>
        <w:tc>
          <w:tcPr>
            <w:tcW w:w="3082" w:type="pct"/>
            <w:tcBorders>
              <w:bottom w:val="single" w:sz="4" w:space="0" w:color="auto"/>
            </w:tcBorders>
          </w:tcPr>
          <w:p w14:paraId="692F9C89" w14:textId="018C127C"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 QSE</w:t>
            </w:r>
            <w:r w:rsidRPr="0080555B">
              <w:sym w:font="Symbol" w:char="F0BE"/>
            </w:r>
            <w:r w:rsidRPr="0080555B">
              <w:t xml:space="preserve">The Real Time </w:t>
            </w:r>
            <w:r>
              <w:t xml:space="preserve">telemetered </w:t>
            </w:r>
            <w:r w:rsidRPr="0080555B">
              <w:t xml:space="preserve">Non-Spin Ancillary Service Supply Responsibility for all Load Resources </w:t>
            </w:r>
            <w:r>
              <w:t>that are not Controllable Load Resources</w:t>
            </w:r>
            <w:r w:rsidRPr="0080555B">
              <w:t xml:space="preserve"> </w:t>
            </w:r>
            <w:r>
              <w:t>discounted by the system-wide discount factor</w:t>
            </w:r>
            <w:r w:rsidRPr="0080555B">
              <w:t xml:space="preserve"> for the QSE </w:t>
            </w:r>
            <w:r w:rsidRPr="0080555B">
              <w:rPr>
                <w:i/>
              </w:rPr>
              <w:t>q</w:t>
            </w:r>
            <w:r w:rsidRPr="0080555B">
              <w:t xml:space="preserve">, </w:t>
            </w:r>
            <w:r w:rsidRPr="00A94098">
              <w:rPr>
                <w:szCs w:val="18"/>
              </w:rPr>
              <w:t>integrated over</w:t>
            </w:r>
            <w:r w:rsidRPr="0080555B">
              <w:t xml:space="preserve"> the 15-minute Settlement Interval</w:t>
            </w:r>
            <w:r>
              <w:t>.</w:t>
            </w:r>
          </w:p>
        </w:tc>
      </w:tr>
      <w:tr w:rsidR="00013237" w:rsidRPr="0080555B" w14:paraId="3F36779A" w14:textId="77777777" w:rsidTr="00356445">
        <w:trPr>
          <w:cantSplit/>
        </w:trPr>
        <w:tc>
          <w:tcPr>
            <w:tcW w:w="1312" w:type="pct"/>
            <w:tcBorders>
              <w:bottom w:val="single" w:sz="4" w:space="0" w:color="auto"/>
            </w:tcBorders>
          </w:tcPr>
          <w:p w14:paraId="265B525B" w14:textId="75ADBF0A" w:rsidR="00013237" w:rsidRPr="00A05195" w:rsidRDefault="00013237" w:rsidP="00013237">
            <w:pPr>
              <w:pStyle w:val="tablebody0"/>
            </w:pPr>
            <w:r w:rsidRPr="00A45193">
              <w:t xml:space="preserve">RTNCLRNSRESPR </w:t>
            </w:r>
            <w:r w:rsidRPr="001710FA">
              <w:rPr>
                <w:i/>
                <w:iCs/>
                <w:vertAlign w:val="subscript"/>
              </w:rPr>
              <w:t>q, r, p</w:t>
            </w:r>
          </w:p>
        </w:tc>
        <w:tc>
          <w:tcPr>
            <w:tcW w:w="606" w:type="pct"/>
            <w:tcBorders>
              <w:bottom w:val="single" w:sz="4" w:space="0" w:color="auto"/>
            </w:tcBorders>
          </w:tcPr>
          <w:p w14:paraId="18732748" w14:textId="2586D1FB" w:rsidR="00013237" w:rsidRPr="00A05195" w:rsidRDefault="00013237" w:rsidP="00013237">
            <w:pPr>
              <w:pStyle w:val="tablebody0"/>
            </w:pPr>
            <w:r>
              <w:t>MWh</w:t>
            </w:r>
          </w:p>
        </w:tc>
        <w:tc>
          <w:tcPr>
            <w:tcW w:w="3082" w:type="pct"/>
            <w:tcBorders>
              <w:bottom w:val="single" w:sz="4" w:space="0" w:color="auto"/>
            </w:tcBorders>
          </w:tcPr>
          <w:p w14:paraId="14B6ADCE" w14:textId="4032460D"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Load Resource </w:t>
            </w:r>
            <w:r w:rsidRPr="0063479B">
              <w:rPr>
                <w:i/>
              </w:rPr>
              <w:t>r</w:t>
            </w:r>
            <w:r w:rsidRPr="006624C0">
              <w:t xml:space="preserve"> </w:t>
            </w:r>
            <w:r>
              <w:t>that is not a Controllable Load Resource re</w:t>
            </w:r>
            <w:r w:rsidRPr="006624C0">
              <w:t xml:space="preserve">presented by QSE </w:t>
            </w:r>
            <w:r w:rsidRPr="006624C0">
              <w:rPr>
                <w:i/>
              </w:rPr>
              <w:t>q</w:t>
            </w:r>
            <w:r w:rsidRPr="006624C0">
              <w:t xml:space="preserve"> at Resource Node </w:t>
            </w:r>
            <w:r w:rsidRPr="006624C0">
              <w:rPr>
                <w:i/>
              </w:rPr>
              <w:t>p</w:t>
            </w:r>
            <w:r w:rsidRPr="0080555B">
              <w:t xml:space="preserve">  </w:t>
            </w:r>
            <w:r w:rsidRPr="00A94098">
              <w:rPr>
                <w:szCs w:val="18"/>
              </w:rPr>
              <w:t>integrated over the 15-minute Settlement Interval.</w:t>
            </w:r>
          </w:p>
        </w:tc>
      </w:tr>
      <w:tr w:rsidR="00BE197B" w:rsidRPr="0080555B" w14:paraId="5BC93CD0" w14:textId="77777777" w:rsidTr="00356445">
        <w:trPr>
          <w:cantSplit/>
        </w:trPr>
        <w:tc>
          <w:tcPr>
            <w:tcW w:w="1312" w:type="pct"/>
            <w:tcBorders>
              <w:bottom w:val="single" w:sz="4" w:space="0" w:color="auto"/>
            </w:tcBorders>
          </w:tcPr>
          <w:p w14:paraId="5DE089A2" w14:textId="77777777" w:rsidR="00BE197B" w:rsidRPr="0080555B" w:rsidRDefault="00BE197B" w:rsidP="00BE197B">
            <w:pPr>
              <w:pStyle w:val="tablebody0"/>
            </w:pPr>
            <w:r w:rsidRPr="00A05195">
              <w:t>RTCLRNP</w:t>
            </w:r>
            <w:r>
              <w:t>C</w:t>
            </w:r>
            <w:r w:rsidRPr="00A05195">
              <w:t xml:space="preserve">R </w:t>
            </w:r>
            <w:r w:rsidRPr="00A05195">
              <w:rPr>
                <w:i/>
                <w:vertAlign w:val="subscript"/>
              </w:rPr>
              <w:t>q, r, p</w:t>
            </w:r>
          </w:p>
        </w:tc>
        <w:tc>
          <w:tcPr>
            <w:tcW w:w="606" w:type="pct"/>
            <w:tcBorders>
              <w:bottom w:val="single" w:sz="4" w:space="0" w:color="auto"/>
            </w:tcBorders>
          </w:tcPr>
          <w:p w14:paraId="0A0D0072" w14:textId="77777777" w:rsidR="00BE197B" w:rsidRPr="0080555B" w:rsidRDefault="00BE197B" w:rsidP="00BE197B">
            <w:pPr>
              <w:pStyle w:val="tablebody0"/>
            </w:pPr>
            <w:r w:rsidRPr="00A05195">
              <w:t>MWh</w:t>
            </w:r>
          </w:p>
        </w:tc>
        <w:tc>
          <w:tcPr>
            <w:tcW w:w="3082" w:type="pct"/>
            <w:tcBorders>
              <w:bottom w:val="single" w:sz="4" w:space="0" w:color="auto"/>
            </w:tcBorders>
          </w:tcPr>
          <w:p w14:paraId="1ED53C35" w14:textId="77777777" w:rsidR="00356445" w:rsidRPr="00A20AF6" w:rsidRDefault="00BE197B" w:rsidP="00BE197B">
            <w:pPr>
              <w:pStyle w:val="tablebody0"/>
              <w:rPr>
                <w:i/>
                <w:szCs w:val="18"/>
              </w:rPr>
            </w:pPr>
            <w:r w:rsidRPr="00A05195">
              <w:rPr>
                <w:i/>
                <w:szCs w:val="18"/>
              </w:rPr>
              <w:t xml:space="preserve">Real-Time Net Power </w:t>
            </w:r>
            <w:r>
              <w:rPr>
                <w:i/>
                <w:szCs w:val="18"/>
              </w:rPr>
              <w:t>Consumption</w:t>
            </w:r>
            <w:r w:rsidRPr="00A05195">
              <w:rPr>
                <w:i/>
                <w:szCs w:val="18"/>
              </w:rPr>
              <w:t xml:space="preserve"> from the Controllable Load Resource—</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E2148AB" w14:textId="77777777" w:rsidTr="005C5A9B">
              <w:trPr>
                <w:trHeight w:val="206"/>
              </w:trPr>
              <w:tc>
                <w:tcPr>
                  <w:tcW w:w="9576" w:type="dxa"/>
                  <w:shd w:val="pct12" w:color="auto" w:fill="auto"/>
                </w:tcPr>
                <w:p w14:paraId="75738568" w14:textId="74C679EF" w:rsidR="00356445" w:rsidRDefault="00356445" w:rsidP="00356445">
                  <w:pPr>
                    <w:pStyle w:val="Instructions"/>
                    <w:spacing w:before="120"/>
                  </w:pPr>
                  <w:r>
                    <w:t>[NPRR987:  Replace the description above with the following upon system implementation:]</w:t>
                  </w:r>
                </w:p>
                <w:p w14:paraId="6BD1E3E9" w14:textId="4A1D006B" w:rsidR="00356445" w:rsidRPr="00AF45BD" w:rsidRDefault="00356445" w:rsidP="00356445">
                  <w:pPr>
                    <w:pStyle w:val="tablebody0"/>
                    <w:rPr>
                      <w:i/>
                    </w:rPr>
                  </w:pPr>
                  <w:r w:rsidRPr="0021367F">
                    <w:rPr>
                      <w:i/>
                      <w:szCs w:val="18"/>
                    </w:rPr>
                    <w:t>Real-Time Net Power Consumption from the Controllable Load Resource—</w:t>
                  </w:r>
                  <w:r w:rsidRPr="0021367F">
                    <w:rPr>
                      <w:szCs w:val="18"/>
                    </w:rPr>
                    <w:t>The Real-Time net real power consumption from the Controllable Load Resource</w:t>
                  </w:r>
                  <w:r>
                    <w:rPr>
                      <w:szCs w:val="18"/>
                    </w:rPr>
                    <w:t xml:space="preserve"> </w:t>
                  </w:r>
                  <w:r w:rsidRPr="00C54C7A">
                    <w:rPr>
                      <w:szCs w:val="18"/>
                    </w:rPr>
                    <w:t>or modeled Controllable Loa</w:t>
                  </w:r>
                  <w:r>
                    <w:rPr>
                      <w:szCs w:val="18"/>
                    </w:rPr>
                    <w:t>d Resource associated with an ESR,</w:t>
                  </w:r>
                  <w:r w:rsidRPr="0021367F">
                    <w:rPr>
                      <w:szCs w:val="18"/>
                    </w:rPr>
                    <w:t xml:space="preserve"> </w:t>
                  </w:r>
                  <w:r w:rsidRPr="0021367F">
                    <w:rPr>
                      <w:i/>
                      <w:szCs w:val="18"/>
                    </w:rPr>
                    <w:t>r</w:t>
                  </w:r>
                  <w:r>
                    <w:rPr>
                      <w:i/>
                      <w:szCs w:val="18"/>
                    </w:rPr>
                    <w:t xml:space="preserve">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2FD6BACE" w14:textId="7556D278" w:rsidR="00BE197B" w:rsidRPr="00A20AF6" w:rsidRDefault="00BE197B" w:rsidP="00BE197B">
            <w:pPr>
              <w:pStyle w:val="tablebody0"/>
              <w:rPr>
                <w:i/>
                <w:szCs w:val="18"/>
              </w:rPr>
            </w:pPr>
          </w:p>
        </w:tc>
      </w:tr>
      <w:tr w:rsidR="00BE197B" w:rsidRPr="0080555B" w14:paraId="269A3DAC" w14:textId="77777777" w:rsidTr="00356445">
        <w:trPr>
          <w:cantSplit/>
        </w:trPr>
        <w:tc>
          <w:tcPr>
            <w:tcW w:w="1312" w:type="pct"/>
            <w:tcBorders>
              <w:bottom w:val="single" w:sz="4" w:space="0" w:color="auto"/>
            </w:tcBorders>
          </w:tcPr>
          <w:p w14:paraId="522ED872" w14:textId="77777777" w:rsidR="00BE197B" w:rsidRPr="0080555B" w:rsidRDefault="00BE197B" w:rsidP="00BE197B">
            <w:pPr>
              <w:pStyle w:val="tablebody0"/>
            </w:pPr>
            <w:r w:rsidRPr="00A05195">
              <w:lastRenderedPageBreak/>
              <w:t>RTCLRNP</w:t>
            </w:r>
            <w:r>
              <w:t>C</w:t>
            </w:r>
            <w:r w:rsidRPr="00A05195">
              <w:t xml:space="preserve"> </w:t>
            </w:r>
            <w:r w:rsidRPr="00A05195">
              <w:rPr>
                <w:i/>
                <w:vertAlign w:val="subscript"/>
              </w:rPr>
              <w:t>q</w:t>
            </w:r>
          </w:p>
        </w:tc>
        <w:tc>
          <w:tcPr>
            <w:tcW w:w="606" w:type="pct"/>
            <w:tcBorders>
              <w:bottom w:val="single" w:sz="4" w:space="0" w:color="auto"/>
            </w:tcBorders>
          </w:tcPr>
          <w:p w14:paraId="6A3261EE" w14:textId="77777777" w:rsidR="00BE197B" w:rsidRPr="0080555B" w:rsidRDefault="00BE197B" w:rsidP="00BE197B">
            <w:pPr>
              <w:pStyle w:val="tablebody0"/>
            </w:pPr>
            <w:r w:rsidRPr="00A05195">
              <w:t>MWh</w:t>
            </w:r>
          </w:p>
        </w:tc>
        <w:tc>
          <w:tcPr>
            <w:tcW w:w="3082" w:type="pct"/>
            <w:tcBorders>
              <w:bottom w:val="single" w:sz="4" w:space="0" w:color="auto"/>
            </w:tcBorders>
          </w:tcPr>
          <w:p w14:paraId="2883919A" w14:textId="77777777" w:rsidR="00356445" w:rsidRPr="0080555B" w:rsidRDefault="00BE197B" w:rsidP="00BE197B">
            <w:pPr>
              <w:pStyle w:val="tablebody0"/>
              <w:rPr>
                <w:i/>
              </w:rPr>
            </w:pPr>
            <w:r w:rsidRPr="00A05195">
              <w:rPr>
                <w:i/>
              </w:rPr>
              <w:t xml:space="preserve">Real-Time Net Power </w:t>
            </w:r>
            <w:r>
              <w:rPr>
                <w:i/>
              </w:rPr>
              <w:t>Consumption</w:t>
            </w:r>
            <w:r w:rsidRPr="00A05195">
              <w:rPr>
                <w:i/>
              </w:rPr>
              <w:t xml:space="preserve"> from Controllable Load Resources for the QSE</w:t>
            </w:r>
            <w:r w:rsidRPr="00A05195">
              <w:t xml:space="preserve">—The Real-Time net </w:t>
            </w:r>
            <w:r>
              <w:t xml:space="preserve">real </w:t>
            </w:r>
            <w:r w:rsidRPr="00A05195">
              <w:t xml:space="preserve">power </w:t>
            </w:r>
            <w:r>
              <w:t>consumption</w:t>
            </w:r>
            <w:r w:rsidRPr="00A05195">
              <w:t xml:space="preserve"> from all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7F8FC7C0" w14:textId="77777777" w:rsidTr="005C5A9B">
              <w:trPr>
                <w:trHeight w:val="206"/>
              </w:trPr>
              <w:tc>
                <w:tcPr>
                  <w:tcW w:w="9576" w:type="dxa"/>
                  <w:shd w:val="pct12" w:color="auto" w:fill="auto"/>
                </w:tcPr>
                <w:p w14:paraId="5A757C96" w14:textId="77777777" w:rsidR="00356445" w:rsidRDefault="00356445" w:rsidP="00356445">
                  <w:pPr>
                    <w:pStyle w:val="Instructions"/>
                    <w:spacing w:before="120"/>
                  </w:pPr>
                  <w:r>
                    <w:t>[NPRR987:  Replace the description above with the following upon system implementation:]</w:t>
                  </w:r>
                </w:p>
                <w:p w14:paraId="683976CF" w14:textId="62C2A280" w:rsidR="00356445" w:rsidRPr="00AF45BD" w:rsidRDefault="00356445" w:rsidP="00356445">
                  <w:pPr>
                    <w:pStyle w:val="tablebody0"/>
                    <w:rPr>
                      <w:i/>
                    </w:rPr>
                  </w:pPr>
                  <w:r w:rsidRPr="0021367F">
                    <w:rPr>
                      <w:i/>
                    </w:rPr>
                    <w:t>Real-Time Net Power Consumption from Controllable Load Resources for the QSE</w:t>
                  </w:r>
                  <w:r w:rsidRPr="0021367F">
                    <w:t>—The Real-Time net real power consumption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29E3E378" w14:textId="3879822C" w:rsidR="00BE197B" w:rsidRPr="0080555B" w:rsidRDefault="00BE197B" w:rsidP="00BE197B">
            <w:pPr>
              <w:pStyle w:val="tablebody0"/>
              <w:rPr>
                <w:i/>
              </w:rPr>
            </w:pPr>
          </w:p>
        </w:tc>
      </w:tr>
      <w:tr w:rsidR="00BE197B" w:rsidRPr="0080555B" w14:paraId="4CA7A2A0" w14:textId="77777777" w:rsidTr="00356445">
        <w:trPr>
          <w:cantSplit/>
          <w:trHeight w:val="728"/>
        </w:trPr>
        <w:tc>
          <w:tcPr>
            <w:tcW w:w="1312" w:type="pct"/>
            <w:tcBorders>
              <w:bottom w:val="single" w:sz="4" w:space="0" w:color="auto"/>
            </w:tcBorders>
          </w:tcPr>
          <w:p w14:paraId="063CC97A" w14:textId="77777777" w:rsidR="00BE197B" w:rsidRPr="0080555B" w:rsidRDefault="00BE197B" w:rsidP="00BE197B">
            <w:pPr>
              <w:pStyle w:val="tablebody0"/>
            </w:pPr>
            <w:r w:rsidRPr="00A05195">
              <w:t>RTCLRL</w:t>
            </w:r>
            <w:r>
              <w:t>PC</w:t>
            </w:r>
            <w:r w:rsidRPr="00A05195">
              <w:t xml:space="preserve">R </w:t>
            </w:r>
            <w:r w:rsidRPr="00A05195">
              <w:rPr>
                <w:i/>
                <w:vertAlign w:val="subscript"/>
              </w:rPr>
              <w:t>q, r, p</w:t>
            </w:r>
          </w:p>
        </w:tc>
        <w:tc>
          <w:tcPr>
            <w:tcW w:w="606" w:type="pct"/>
            <w:tcBorders>
              <w:bottom w:val="single" w:sz="4" w:space="0" w:color="auto"/>
            </w:tcBorders>
          </w:tcPr>
          <w:p w14:paraId="650A0690" w14:textId="77777777" w:rsidR="00BE197B" w:rsidRPr="0080555B" w:rsidRDefault="00BE197B" w:rsidP="00BE197B">
            <w:pPr>
              <w:pStyle w:val="tablebody0"/>
            </w:pPr>
            <w:r w:rsidRPr="00A05195">
              <w:t>MWh</w:t>
            </w:r>
          </w:p>
        </w:tc>
        <w:tc>
          <w:tcPr>
            <w:tcW w:w="3082" w:type="pct"/>
            <w:tcBorders>
              <w:bottom w:val="single" w:sz="4" w:space="0" w:color="auto"/>
            </w:tcBorders>
          </w:tcPr>
          <w:p w14:paraId="06862965" w14:textId="77777777" w:rsidR="00356445" w:rsidRPr="00A20AF6" w:rsidRDefault="00BE197B" w:rsidP="00BE197B">
            <w:pPr>
              <w:pStyle w:val="tablebody0"/>
              <w:rPr>
                <w:i/>
                <w:szCs w:val="18"/>
              </w:rPr>
            </w:pPr>
            <w:r w:rsidRPr="00A05195">
              <w:rPr>
                <w:i/>
                <w:szCs w:val="18"/>
              </w:rPr>
              <w:t xml:space="preserve">Real-Time Low </w:t>
            </w:r>
            <w:r>
              <w:rPr>
                <w:i/>
                <w:szCs w:val="18"/>
              </w:rPr>
              <w:t>Power Consumption</w:t>
            </w:r>
            <w:r w:rsidRPr="00A05195">
              <w:rPr>
                <w:i/>
                <w:szCs w:val="18"/>
              </w:rPr>
              <w:t xml:space="preserve"> for the Controllable Load Resource—</w:t>
            </w:r>
            <w:r w:rsidRPr="00A05195">
              <w:rPr>
                <w:szCs w:val="18"/>
              </w:rPr>
              <w:t>The Real-Time L</w:t>
            </w:r>
            <w:r>
              <w:rPr>
                <w:szCs w:val="18"/>
              </w:rPr>
              <w:t>PC</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AE9DDB7" w14:textId="77777777" w:rsidTr="005C5A9B">
              <w:trPr>
                <w:trHeight w:val="206"/>
              </w:trPr>
              <w:tc>
                <w:tcPr>
                  <w:tcW w:w="9576" w:type="dxa"/>
                  <w:shd w:val="pct12" w:color="auto" w:fill="auto"/>
                </w:tcPr>
                <w:p w14:paraId="63EEBE89" w14:textId="77777777" w:rsidR="00356445" w:rsidRDefault="00356445" w:rsidP="00356445">
                  <w:pPr>
                    <w:pStyle w:val="Instructions"/>
                    <w:spacing w:before="120"/>
                  </w:pPr>
                  <w:r>
                    <w:t>[NPRR987:  Replace the description above with the following upon system implementation:]</w:t>
                  </w:r>
                </w:p>
                <w:p w14:paraId="59108C79" w14:textId="064A48F8" w:rsidR="00356445" w:rsidRPr="00AF45BD" w:rsidRDefault="00356445" w:rsidP="00356445">
                  <w:pPr>
                    <w:pStyle w:val="tablebody0"/>
                    <w:rPr>
                      <w:i/>
                    </w:rPr>
                  </w:pPr>
                  <w:r w:rsidRPr="0021367F">
                    <w:rPr>
                      <w:i/>
                      <w:szCs w:val="18"/>
                    </w:rPr>
                    <w:t>Real-Time Low Power Consumption for the Controllable Load Resource—</w:t>
                  </w:r>
                  <w:r w:rsidRPr="0021367F">
                    <w:rPr>
                      <w:szCs w:val="18"/>
                    </w:rPr>
                    <w:t>The Real-Time LPC from the Controllable Load Resource</w:t>
                  </w:r>
                  <w:r>
                    <w:rPr>
                      <w:szCs w:val="18"/>
                    </w:rPr>
                    <w:t xml:space="preserve"> </w:t>
                  </w:r>
                  <w:r>
                    <w:t xml:space="preserve">or modeled Controllable Load Resource associated with an </w:t>
                  </w:r>
                  <w:r w:rsidRPr="00AA1C33">
                    <w:t>E</w:t>
                  </w:r>
                  <w:r>
                    <w:t>SR,</w:t>
                  </w:r>
                  <w:r w:rsidRPr="0021367F">
                    <w:rPr>
                      <w:szCs w:val="18"/>
                    </w:rPr>
                    <w:t xml:space="preserve"> </w:t>
                  </w:r>
                  <w:r w:rsidRPr="0021367F">
                    <w:rPr>
                      <w:i/>
                      <w:szCs w:val="18"/>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4CAAB9D3" w14:textId="5DEDCAB3" w:rsidR="00BE197B" w:rsidRPr="00A20AF6" w:rsidRDefault="00BE197B" w:rsidP="00BE197B">
            <w:pPr>
              <w:pStyle w:val="tablebody0"/>
              <w:rPr>
                <w:i/>
                <w:szCs w:val="18"/>
              </w:rPr>
            </w:pPr>
          </w:p>
        </w:tc>
      </w:tr>
      <w:tr w:rsidR="00BE197B" w:rsidRPr="0080555B" w14:paraId="29ACA810" w14:textId="77777777" w:rsidTr="00356445">
        <w:trPr>
          <w:cantSplit/>
        </w:trPr>
        <w:tc>
          <w:tcPr>
            <w:tcW w:w="1312" w:type="pct"/>
            <w:tcBorders>
              <w:bottom w:val="single" w:sz="4" w:space="0" w:color="auto"/>
            </w:tcBorders>
          </w:tcPr>
          <w:p w14:paraId="5616BF32" w14:textId="77777777" w:rsidR="00BE197B" w:rsidRPr="0080555B" w:rsidRDefault="00BE197B" w:rsidP="00BE197B">
            <w:pPr>
              <w:pStyle w:val="tablebody0"/>
            </w:pPr>
            <w:r w:rsidRPr="00A05195">
              <w:t>RTCLRL</w:t>
            </w:r>
            <w:r>
              <w:t>PC</w:t>
            </w:r>
            <w:r w:rsidRPr="00A05195">
              <w:t xml:space="preserve"> </w:t>
            </w:r>
            <w:r w:rsidRPr="00A05195">
              <w:rPr>
                <w:i/>
                <w:vertAlign w:val="subscript"/>
              </w:rPr>
              <w:t>q</w:t>
            </w:r>
          </w:p>
        </w:tc>
        <w:tc>
          <w:tcPr>
            <w:tcW w:w="606" w:type="pct"/>
            <w:tcBorders>
              <w:bottom w:val="single" w:sz="4" w:space="0" w:color="auto"/>
            </w:tcBorders>
          </w:tcPr>
          <w:p w14:paraId="41B1D0A8" w14:textId="77777777" w:rsidR="00BE197B" w:rsidRPr="0080555B" w:rsidRDefault="00BE197B" w:rsidP="00BE197B">
            <w:pPr>
              <w:pStyle w:val="tablebody0"/>
            </w:pPr>
            <w:r w:rsidRPr="00A05195">
              <w:t>MWh</w:t>
            </w:r>
          </w:p>
        </w:tc>
        <w:tc>
          <w:tcPr>
            <w:tcW w:w="3082" w:type="pct"/>
            <w:tcBorders>
              <w:bottom w:val="single" w:sz="4" w:space="0" w:color="auto"/>
            </w:tcBorders>
          </w:tcPr>
          <w:p w14:paraId="43FC9E16" w14:textId="77777777" w:rsidR="00356445" w:rsidRPr="0080555B" w:rsidRDefault="00BE197B" w:rsidP="00BE197B">
            <w:pPr>
              <w:pStyle w:val="tablebody0"/>
              <w:rPr>
                <w:i/>
              </w:rPr>
            </w:pPr>
            <w:r w:rsidRPr="00A05195">
              <w:rPr>
                <w:i/>
              </w:rPr>
              <w:t xml:space="preserve">Real-Time Low </w:t>
            </w:r>
            <w:r>
              <w:rPr>
                <w:i/>
              </w:rPr>
              <w:t>Power Consumption</w:t>
            </w:r>
            <w:r w:rsidRPr="00A05195">
              <w:rPr>
                <w:i/>
              </w:rPr>
              <w:t xml:space="preserve"> from Controllable Load Resources for the QSE</w:t>
            </w:r>
            <w:r w:rsidRPr="00A05195">
              <w:t>—The Real-Time L</w:t>
            </w:r>
            <w:r>
              <w:t>PC</w:t>
            </w:r>
            <w:r w:rsidRPr="00A05195">
              <w:t xml:space="preserve"> from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162A7D4C" w14:textId="77777777" w:rsidTr="005C5A9B">
              <w:trPr>
                <w:trHeight w:val="206"/>
              </w:trPr>
              <w:tc>
                <w:tcPr>
                  <w:tcW w:w="9576" w:type="dxa"/>
                  <w:shd w:val="pct12" w:color="auto" w:fill="auto"/>
                </w:tcPr>
                <w:p w14:paraId="4D499CD7" w14:textId="77777777" w:rsidR="00356445" w:rsidRDefault="00356445" w:rsidP="00356445">
                  <w:pPr>
                    <w:pStyle w:val="Instructions"/>
                    <w:spacing w:before="120"/>
                  </w:pPr>
                  <w:r>
                    <w:t>[NPRR987:  Replace the description above with the following upon system implementation:]</w:t>
                  </w:r>
                </w:p>
                <w:p w14:paraId="1C12BEB2" w14:textId="3EA74A14" w:rsidR="00356445" w:rsidRPr="00AF45BD" w:rsidRDefault="00356445" w:rsidP="00356445">
                  <w:pPr>
                    <w:pStyle w:val="tablebody0"/>
                    <w:rPr>
                      <w:i/>
                    </w:rPr>
                  </w:pPr>
                  <w:r w:rsidRPr="0021367F">
                    <w:rPr>
                      <w:i/>
                    </w:rPr>
                    <w:t>Real-Time Low Power Consumption from Controllable Load Resources for the QSE</w:t>
                  </w:r>
                  <w:r w:rsidRPr="0021367F">
                    <w:t>—The Real-Time LPC from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5D9EA1A9" w14:textId="394C6CF4" w:rsidR="00BE197B" w:rsidRPr="0080555B" w:rsidRDefault="00BE197B" w:rsidP="00BE197B">
            <w:pPr>
              <w:pStyle w:val="tablebody0"/>
              <w:rPr>
                <w:i/>
              </w:rPr>
            </w:pPr>
          </w:p>
        </w:tc>
      </w:tr>
      <w:tr w:rsidR="00BE197B" w:rsidRPr="0080555B" w14:paraId="641107FB" w14:textId="77777777" w:rsidTr="00356445">
        <w:trPr>
          <w:cantSplit/>
        </w:trPr>
        <w:tc>
          <w:tcPr>
            <w:tcW w:w="1312" w:type="pct"/>
            <w:tcBorders>
              <w:bottom w:val="single" w:sz="4" w:space="0" w:color="auto"/>
            </w:tcBorders>
          </w:tcPr>
          <w:p w14:paraId="5FB83538" w14:textId="77777777" w:rsidR="00BE197B" w:rsidRDefault="00BE197B" w:rsidP="00BE197B">
            <w:pPr>
              <w:pStyle w:val="tablebody0"/>
            </w:pPr>
            <w:r w:rsidRPr="00A05195">
              <w:t xml:space="preserve">RTCLRREG </w:t>
            </w:r>
            <w:r w:rsidRPr="00A05195">
              <w:rPr>
                <w:i/>
                <w:vertAlign w:val="subscript"/>
              </w:rPr>
              <w:t>q</w:t>
            </w:r>
          </w:p>
        </w:tc>
        <w:tc>
          <w:tcPr>
            <w:tcW w:w="606" w:type="pct"/>
            <w:tcBorders>
              <w:bottom w:val="single" w:sz="4" w:space="0" w:color="auto"/>
            </w:tcBorders>
          </w:tcPr>
          <w:p w14:paraId="38DE8328" w14:textId="77777777" w:rsidR="00BE197B" w:rsidRPr="004368B4" w:rsidRDefault="00BE197B" w:rsidP="00BE197B">
            <w:pPr>
              <w:pStyle w:val="tablebody0"/>
            </w:pPr>
            <w:r w:rsidRPr="00A05195">
              <w:t>MWh</w:t>
            </w:r>
          </w:p>
        </w:tc>
        <w:tc>
          <w:tcPr>
            <w:tcW w:w="3082" w:type="pct"/>
            <w:tcBorders>
              <w:bottom w:val="single" w:sz="4" w:space="0" w:color="auto"/>
            </w:tcBorders>
          </w:tcPr>
          <w:p w14:paraId="4B5A58E4" w14:textId="528707D6" w:rsidR="00BE197B" w:rsidRDefault="00BE197B" w:rsidP="00BE197B">
            <w:pPr>
              <w:pStyle w:val="tablebody0"/>
              <w:rPr>
                <w:i/>
              </w:rPr>
            </w:pPr>
            <w:r w:rsidRPr="00A05195">
              <w:rPr>
                <w:i/>
              </w:rPr>
              <w:t>Real-Time Controllable Load Resources Regulation-Up Schedule for the QSE</w:t>
            </w:r>
            <w:r w:rsidRPr="00A05195">
              <w:t xml:space="preserve">—The Real-Time Reg-Up Ancillary Service Schedule from all Controllable Load Resources </w:t>
            </w:r>
            <w:r w:rsidR="0098796C">
              <w:t xml:space="preserve">not available to SCED </w:t>
            </w:r>
            <w:r w:rsidRPr="00A05195">
              <w:t xml:space="preserve">with Primary Frequency Response for the QSE </w:t>
            </w:r>
            <w:r w:rsidRPr="00A05195">
              <w:rPr>
                <w:i/>
              </w:rPr>
              <w:t>q</w:t>
            </w:r>
            <w:r w:rsidRPr="00A05195">
              <w:t>, integrated over the 15-minute Settlement Interval</w:t>
            </w:r>
            <w:r w:rsidRPr="00A05195">
              <w:rPr>
                <w:szCs w:val="18"/>
              </w:rPr>
              <w:t xml:space="preserve"> discounted by the system-wide discount factor</w:t>
            </w:r>
            <w:r w:rsidRPr="00A05195">
              <w:t>.</w:t>
            </w:r>
          </w:p>
        </w:tc>
      </w:tr>
      <w:tr w:rsidR="00BE197B" w:rsidRPr="0080555B" w14:paraId="039A6C07" w14:textId="77777777" w:rsidTr="00356445">
        <w:trPr>
          <w:cantSplit/>
        </w:trPr>
        <w:tc>
          <w:tcPr>
            <w:tcW w:w="1312" w:type="pct"/>
            <w:tcBorders>
              <w:bottom w:val="single" w:sz="4" w:space="0" w:color="auto"/>
            </w:tcBorders>
          </w:tcPr>
          <w:p w14:paraId="7C6C0A43" w14:textId="77777777" w:rsidR="00BE197B" w:rsidRDefault="00BE197B" w:rsidP="00BE197B">
            <w:pPr>
              <w:pStyle w:val="tablebody0"/>
            </w:pPr>
            <w:r w:rsidRPr="00A05195">
              <w:lastRenderedPageBreak/>
              <w:t>RTCLRREGR</w:t>
            </w:r>
            <w:r w:rsidRPr="00A05195">
              <w:rPr>
                <w:vertAlign w:val="subscript"/>
              </w:rPr>
              <w:t xml:space="preserve"> </w:t>
            </w:r>
            <w:r w:rsidRPr="00A05195">
              <w:rPr>
                <w:i/>
                <w:vertAlign w:val="subscript"/>
              </w:rPr>
              <w:t>q, r, p</w:t>
            </w:r>
          </w:p>
        </w:tc>
        <w:tc>
          <w:tcPr>
            <w:tcW w:w="606" w:type="pct"/>
            <w:tcBorders>
              <w:bottom w:val="single" w:sz="4" w:space="0" w:color="auto"/>
            </w:tcBorders>
          </w:tcPr>
          <w:p w14:paraId="57D2A3A0" w14:textId="77777777" w:rsidR="00BE197B" w:rsidRPr="004368B4" w:rsidRDefault="00BE197B" w:rsidP="00BE197B">
            <w:pPr>
              <w:pStyle w:val="tablebody0"/>
            </w:pPr>
            <w:r w:rsidRPr="00A05195">
              <w:t>MWh</w:t>
            </w:r>
          </w:p>
        </w:tc>
        <w:tc>
          <w:tcPr>
            <w:tcW w:w="3082" w:type="pct"/>
            <w:tcBorders>
              <w:bottom w:val="single" w:sz="4" w:space="0" w:color="auto"/>
            </w:tcBorders>
          </w:tcPr>
          <w:p w14:paraId="46DC118F" w14:textId="01759888" w:rsidR="00BE197B" w:rsidRPr="008B4140" w:rsidRDefault="00BE197B" w:rsidP="00BE197B">
            <w:pPr>
              <w:pStyle w:val="tablebody0"/>
              <w:rPr>
                <w:i/>
                <w:szCs w:val="18"/>
                <w:lang w:val="pt-BR"/>
              </w:rPr>
            </w:pPr>
            <w:r w:rsidRPr="00A05195">
              <w:rPr>
                <w:i/>
                <w:szCs w:val="18"/>
                <w:lang w:val="pt-BR"/>
              </w:rPr>
              <w:t>Real-Time Controllable Load Resource Regulation-Up Schedule for the Resource</w:t>
            </w:r>
            <w:r w:rsidRPr="00A05195">
              <w:rPr>
                <w:szCs w:val="18"/>
                <w:lang w:val="pt-BR"/>
              </w:rPr>
              <w:t xml:space="preserve">—The </w:t>
            </w:r>
            <w:r w:rsidRPr="00A05195">
              <w:t>validated</w:t>
            </w:r>
            <w:r w:rsidRPr="00A05195">
              <w:rPr>
                <w:color w:val="FF0000"/>
              </w:rPr>
              <w:t xml:space="preserve"> </w:t>
            </w:r>
            <w:r w:rsidRPr="00A05195">
              <w:rPr>
                <w:szCs w:val="18"/>
                <w:lang w:val="pt-BR"/>
              </w:rPr>
              <w:t>Real-Time Reg-Up Ancillary Service Schedule for the Controllable Load Resource</w:t>
            </w:r>
            <w:r w:rsidR="001140F6">
              <w:t xml:space="preserve"> not available to SCED</w:t>
            </w:r>
            <w:r w:rsidRPr="00A05195">
              <w:rPr>
                <w:szCs w:val="18"/>
                <w:lang w:val="pt-BR"/>
              </w:rPr>
              <w:t xml:space="preserve"> </w:t>
            </w:r>
            <w:r w:rsidRPr="00A05195">
              <w:rPr>
                <w:i/>
                <w:szCs w:val="18"/>
                <w:lang w:val="pt-BR"/>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lang w:val="pt-BR"/>
              </w:rPr>
              <w:t xml:space="preserve"> </w:t>
            </w:r>
            <w:r w:rsidRPr="00A05195">
              <w:rPr>
                <w:szCs w:val="18"/>
                <w:lang w:val="pt-BR"/>
              </w:rPr>
              <w:t>with Primary Frequency Response, integrated over the 15-minute Settlement Interval</w:t>
            </w:r>
            <w:r w:rsidR="00C02A98">
              <w:rPr>
                <w:szCs w:val="18"/>
                <w:lang w:val="pt-BR"/>
              </w:rPr>
              <w:t>.</w:t>
            </w:r>
          </w:p>
        </w:tc>
      </w:tr>
      <w:tr w:rsidR="00BE197B" w:rsidRPr="0080555B" w14:paraId="1D287F71" w14:textId="77777777" w:rsidTr="00356445">
        <w:trPr>
          <w:cantSplit/>
        </w:trPr>
        <w:tc>
          <w:tcPr>
            <w:tcW w:w="1312" w:type="pct"/>
          </w:tcPr>
          <w:p w14:paraId="562EEA2F" w14:textId="77777777" w:rsidR="00BE197B" w:rsidRPr="0080555B" w:rsidRDefault="00BE197B" w:rsidP="00BE197B">
            <w:pPr>
              <w:pStyle w:val="tablebody0"/>
            </w:pPr>
            <w:r w:rsidRPr="0080555B">
              <w:t>RTMG</w:t>
            </w:r>
            <w:r>
              <w:t>A</w:t>
            </w:r>
            <w:r w:rsidRPr="0080555B">
              <w:t xml:space="preserve"> </w:t>
            </w:r>
            <w:r w:rsidRPr="00967A0A">
              <w:rPr>
                <w:i/>
                <w:vertAlign w:val="subscript"/>
              </w:rPr>
              <w:t>q, r, p</w:t>
            </w:r>
          </w:p>
        </w:tc>
        <w:tc>
          <w:tcPr>
            <w:tcW w:w="606" w:type="pct"/>
          </w:tcPr>
          <w:p w14:paraId="60DAFC44" w14:textId="77777777" w:rsidR="00BE197B" w:rsidRPr="0080555B" w:rsidRDefault="00BE197B" w:rsidP="00BE197B">
            <w:pPr>
              <w:pStyle w:val="tablebody0"/>
            </w:pPr>
            <w:r w:rsidRPr="0080555B">
              <w:t>MWh</w:t>
            </w:r>
          </w:p>
        </w:tc>
        <w:tc>
          <w:tcPr>
            <w:tcW w:w="3082" w:type="pct"/>
          </w:tcPr>
          <w:p w14:paraId="4C0CABD2" w14:textId="77777777" w:rsidR="00BE197B" w:rsidRPr="0080555B" w:rsidRDefault="00BE197B" w:rsidP="000F3CEA">
            <w:pPr>
              <w:pStyle w:val="tablebody0"/>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rsidRPr="00B6611B">
              <w:t>, pursuant to paragraphs (3)</w:t>
            </w:r>
            <w:r>
              <w:t xml:space="preserve"> and </w:t>
            </w:r>
            <w:r w:rsidRPr="00B6611B">
              <w:t>(4)</w:t>
            </w:r>
            <w:r>
              <w:t xml:space="preserve"> </w:t>
            </w:r>
            <w:r w:rsidRPr="00B6611B">
              <w:t>above</w:t>
            </w:r>
            <w:r>
              <w:rPr>
                <w:szCs w:val="18"/>
              </w:rPr>
              <w:t>,</w:t>
            </w:r>
            <w:r w:rsidRPr="0080555B">
              <w:t xml:space="preserve"> of Generation Resource </w:t>
            </w:r>
            <w:r w:rsidRPr="0080555B">
              <w:rPr>
                <w:i/>
              </w:rPr>
              <w:t>r</w:t>
            </w:r>
            <w:r w:rsidRPr="0080555B">
              <w:t xml:space="preserve"> </w:t>
            </w:r>
            <w:r w:rsidR="000F3CEA" w:rsidRPr="006624C0">
              <w:t xml:space="preserve">represented by QSE </w:t>
            </w:r>
            <w:r w:rsidR="000F3CEA" w:rsidRPr="006624C0">
              <w:rPr>
                <w:i/>
              </w:rPr>
              <w:t>q</w:t>
            </w:r>
            <w:r w:rsidR="000F3CEA" w:rsidRPr="0080555B">
              <w:t xml:space="preserve"> </w:t>
            </w:r>
            <w:r w:rsidRPr="0080555B">
              <w:t xml:space="preserve">at Resource Node </w:t>
            </w:r>
            <w:r w:rsidRPr="0080555B">
              <w:rPr>
                <w:i/>
              </w:rPr>
              <w:t>p</w:t>
            </w:r>
            <w:r w:rsidRPr="0080555B">
              <w:t xml:space="preserve"> in Real-Time for the 15-minute Settlement Interval.  Where for a Combined Cycle Train, the Resource </w:t>
            </w:r>
            <w:r w:rsidRPr="0080555B">
              <w:rPr>
                <w:i/>
              </w:rPr>
              <w:t xml:space="preserve">r </w:t>
            </w:r>
            <w:r w:rsidRPr="0080555B">
              <w:t>is the Combined Cycle Train.</w:t>
            </w:r>
          </w:p>
        </w:tc>
      </w:tr>
      <w:tr w:rsidR="00BE197B" w:rsidRPr="0080555B" w14:paraId="727DA11D" w14:textId="77777777" w:rsidTr="00356445">
        <w:trPr>
          <w:cantSplit/>
        </w:trPr>
        <w:tc>
          <w:tcPr>
            <w:tcW w:w="1312" w:type="pct"/>
          </w:tcPr>
          <w:p w14:paraId="35ADD7F6" w14:textId="77777777" w:rsidR="00BE197B" w:rsidRPr="0080555B" w:rsidRDefault="00BE197B" w:rsidP="00BE197B">
            <w:pPr>
              <w:pStyle w:val="tablebody0"/>
            </w:pPr>
            <w:r w:rsidRPr="0080555B">
              <w:t>RTMG</w:t>
            </w:r>
            <w:r>
              <w:t>Q</w:t>
            </w:r>
            <w:r w:rsidRPr="0080555B">
              <w:t xml:space="preserve"> </w:t>
            </w:r>
            <w:r w:rsidRPr="00625701">
              <w:rPr>
                <w:i/>
                <w:vertAlign w:val="subscript"/>
              </w:rPr>
              <w:t>q</w:t>
            </w:r>
          </w:p>
        </w:tc>
        <w:tc>
          <w:tcPr>
            <w:tcW w:w="606" w:type="pct"/>
          </w:tcPr>
          <w:p w14:paraId="6942BDE6" w14:textId="77777777" w:rsidR="00BE197B" w:rsidRPr="0080555B" w:rsidRDefault="00BE197B" w:rsidP="00BE197B">
            <w:pPr>
              <w:pStyle w:val="tablebody0"/>
            </w:pPr>
            <w:r w:rsidRPr="0080555B">
              <w:t>MWh</w:t>
            </w:r>
          </w:p>
        </w:tc>
        <w:tc>
          <w:tcPr>
            <w:tcW w:w="3082" w:type="pct"/>
          </w:tcPr>
          <w:p w14:paraId="1DAC949F" w14:textId="77777777" w:rsidR="00356445" w:rsidRPr="00353A56" w:rsidRDefault="00BE197B" w:rsidP="00BE197B">
            <w:pPr>
              <w:pStyle w:val="tablebody0"/>
              <w:rPr>
                <w:i/>
              </w:rPr>
            </w:pPr>
            <w:r w:rsidRPr="00A20AF6">
              <w:rPr>
                <w:i/>
                <w:szCs w:val="18"/>
              </w:rPr>
              <w:t>Real-Time Metered Generation per QSE</w:t>
            </w:r>
            <w:r w:rsidRPr="00A20AF6">
              <w:rPr>
                <w:szCs w:val="18"/>
              </w:rPr>
              <w:t>—The metered generation</w:t>
            </w:r>
            <w:r>
              <w:rPr>
                <w:szCs w:val="18"/>
              </w:rPr>
              <w:t xml:space="preserve">, </w:t>
            </w:r>
            <w:r>
              <w:t xml:space="preserve">discounted by the </w:t>
            </w:r>
            <w:r>
              <w:rPr>
                <w:szCs w:val="18"/>
              </w:rPr>
              <w:t>system-wide</w:t>
            </w:r>
            <w:r>
              <w:t xml:space="preserve"> discount factor,</w:t>
            </w:r>
            <w:r w:rsidRPr="00A20AF6">
              <w:rPr>
                <w:szCs w:val="18"/>
              </w:rPr>
              <w:t xml:space="preserve"> of all generation Resources represented by QSE </w:t>
            </w:r>
            <w:r>
              <w:rPr>
                <w:i/>
                <w:szCs w:val="18"/>
              </w:rPr>
              <w:t xml:space="preserve">q </w:t>
            </w:r>
            <w:r w:rsidRPr="00A20AF6">
              <w:rPr>
                <w:szCs w:val="18"/>
              </w:rPr>
              <w:t>in Real-Time for the 15-minute Settlement Interval</w:t>
            </w:r>
            <w:r>
              <w:rPr>
                <w:szCs w:val="18"/>
              </w:rPr>
              <w:t xml:space="preserve">, </w:t>
            </w:r>
            <w:r>
              <w:t>pursuant to paragraphs (3) and (4) above</w:t>
            </w:r>
            <w:r w:rsidRPr="00A20AF6">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7AAFC86" w14:textId="77777777" w:rsidTr="005C5A9B">
              <w:trPr>
                <w:trHeight w:val="206"/>
              </w:trPr>
              <w:tc>
                <w:tcPr>
                  <w:tcW w:w="9576" w:type="dxa"/>
                  <w:shd w:val="pct12" w:color="auto" w:fill="auto"/>
                </w:tcPr>
                <w:p w14:paraId="00CE53A2" w14:textId="77777777" w:rsidR="00356445" w:rsidRDefault="00356445" w:rsidP="00356445">
                  <w:pPr>
                    <w:pStyle w:val="Instructions"/>
                    <w:spacing w:before="120"/>
                  </w:pPr>
                  <w:r>
                    <w:t>[NPRR987:  Replace the description above with the following upon system implementation:]</w:t>
                  </w:r>
                </w:p>
                <w:p w14:paraId="066B265A" w14:textId="51853A8F" w:rsidR="00356445" w:rsidRPr="00AF45BD" w:rsidRDefault="00356445" w:rsidP="00356445">
                  <w:pPr>
                    <w:pStyle w:val="tablebody0"/>
                    <w:rPr>
                      <w:i/>
                    </w:rPr>
                  </w:pPr>
                  <w:r w:rsidRPr="0021367F">
                    <w:rPr>
                      <w:i/>
                      <w:szCs w:val="18"/>
                    </w:rPr>
                    <w:t>Real-Time Metered Generation per QSE</w:t>
                  </w:r>
                  <w:r w:rsidRPr="0021367F">
                    <w:rPr>
                      <w:szCs w:val="18"/>
                    </w:rPr>
                    <w:t xml:space="preserve">—The metered generation, </w:t>
                  </w:r>
                  <w:r w:rsidRPr="0021367F">
                    <w:t xml:space="preserve">discounted by the </w:t>
                  </w:r>
                  <w:r w:rsidRPr="0021367F">
                    <w:rPr>
                      <w:szCs w:val="18"/>
                    </w:rPr>
                    <w:t>system-wide</w:t>
                  </w:r>
                  <w:r w:rsidRPr="0021367F">
                    <w:t xml:space="preserve"> discount factor,</w:t>
                  </w:r>
                  <w:r w:rsidRPr="0021367F">
                    <w:rPr>
                      <w:szCs w:val="18"/>
                    </w:rPr>
                    <w:t xml:space="preserve"> of all </w:t>
                  </w:r>
                  <w:r>
                    <w:rPr>
                      <w:szCs w:val="18"/>
                    </w:rPr>
                    <w:t>G</w:t>
                  </w:r>
                  <w:r w:rsidRPr="0021367F">
                    <w:rPr>
                      <w:szCs w:val="18"/>
                    </w:rPr>
                    <w:t>eneration Resources</w:t>
                  </w:r>
                  <w:r w:rsidRPr="00AA1C33">
                    <w:t xml:space="preserve">, not including </w:t>
                  </w:r>
                  <w:r>
                    <w:t xml:space="preserve">modeled Generation Resources associated with </w:t>
                  </w:r>
                  <w:r w:rsidRPr="00AA1C33">
                    <w:t>E</w:t>
                  </w:r>
                  <w:r>
                    <w:t>SR</w:t>
                  </w:r>
                  <w:r w:rsidRPr="00AA1C33">
                    <w:t>s,</w:t>
                  </w:r>
                  <w:r w:rsidRPr="0021367F">
                    <w:rPr>
                      <w:szCs w:val="18"/>
                    </w:rPr>
                    <w:t xml:space="preserve"> represented by QSE </w:t>
                  </w:r>
                  <w:r w:rsidRPr="0021367F">
                    <w:rPr>
                      <w:i/>
                      <w:szCs w:val="18"/>
                    </w:rPr>
                    <w:t xml:space="preserve">q </w:t>
                  </w:r>
                  <w:r w:rsidRPr="0021367F">
                    <w:rPr>
                      <w:szCs w:val="18"/>
                    </w:rPr>
                    <w:t xml:space="preserve">in Real-Time for the 15-minute Settlement Interval, </w:t>
                  </w:r>
                  <w:r w:rsidRPr="0021367F">
                    <w:t>pursuant to paragraphs (3) and (4) above</w:t>
                  </w:r>
                  <w:r w:rsidRPr="0021367F">
                    <w:rPr>
                      <w:szCs w:val="18"/>
                    </w:rPr>
                    <w:t>.</w:t>
                  </w:r>
                </w:p>
              </w:tc>
            </w:tr>
          </w:tbl>
          <w:p w14:paraId="407C0FF9" w14:textId="703789C1" w:rsidR="00BE197B" w:rsidRPr="00353A56" w:rsidRDefault="00BE197B" w:rsidP="00BE197B">
            <w:pPr>
              <w:pStyle w:val="tablebody0"/>
              <w:rPr>
                <w:i/>
              </w:rPr>
            </w:pPr>
          </w:p>
        </w:tc>
      </w:tr>
      <w:tr w:rsidR="00356445" w:rsidRPr="0080555B" w14:paraId="17F70CAE" w14:textId="77777777" w:rsidTr="00356445">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56445" w14:paraId="07A9F87F" w14:textId="77777777" w:rsidTr="005C5A9B">
              <w:trPr>
                <w:trHeight w:val="206"/>
              </w:trPr>
              <w:tc>
                <w:tcPr>
                  <w:tcW w:w="9576" w:type="dxa"/>
                  <w:shd w:val="pct12" w:color="auto" w:fill="auto"/>
                </w:tcPr>
                <w:p w14:paraId="0BCA6C8E" w14:textId="69BB47C6" w:rsidR="00356445" w:rsidRDefault="00356445" w:rsidP="00356445">
                  <w:pPr>
                    <w:pStyle w:val="Instructions"/>
                    <w:spacing w:before="120"/>
                  </w:pPr>
                  <w:r>
                    <w:t>[</w:t>
                  </w:r>
                  <w:r w:rsidR="004F2298">
                    <w:t>NPRR987</w:t>
                  </w:r>
                  <w:r w:rsidRPr="00356445">
                    <w:t xml:space="preserve">:  Insert the variables “RTESRCAPR </w:t>
                  </w:r>
                  <w:r w:rsidRPr="00356445">
                    <w:rPr>
                      <w:vertAlign w:val="subscript"/>
                    </w:rPr>
                    <w:t>q, g, p</w:t>
                  </w:r>
                  <w:r w:rsidRPr="00356445">
                    <w:t xml:space="preserve">”, “RTESRCAP </w:t>
                  </w:r>
                  <w:r w:rsidRPr="00356445">
                    <w:rPr>
                      <w:vertAlign w:val="subscript"/>
                    </w:rPr>
                    <w:t>q</w:t>
                  </w:r>
                  <w:r w:rsidRPr="00356445">
                    <w:t xml:space="preserve">”, “SOCT </w:t>
                  </w:r>
                  <w:r w:rsidRPr="00356445">
                    <w:rPr>
                      <w:vertAlign w:val="subscript"/>
                    </w:rPr>
                    <w:t>q, r</w:t>
                  </w:r>
                  <w:r w:rsidRPr="00356445">
                    <w:t xml:space="preserve">”, and “SOCOM </w:t>
                  </w:r>
                  <w:r w:rsidRPr="00356445">
                    <w:rPr>
                      <w:vertAlign w:val="subscript"/>
                    </w:rPr>
                    <w:t>q, r</w:t>
                  </w:r>
                  <w:r w:rsidRPr="00356445">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56445" w:rsidRPr="0003648D" w14:paraId="61F6023B" w14:textId="77777777" w:rsidTr="005C5A9B">
                    <w:trPr>
                      <w:cantSplit/>
                    </w:trPr>
                    <w:tc>
                      <w:tcPr>
                        <w:tcW w:w="1279" w:type="pct"/>
                        <w:tcBorders>
                          <w:bottom w:val="single" w:sz="4" w:space="0" w:color="auto"/>
                        </w:tcBorders>
                      </w:tcPr>
                      <w:p w14:paraId="6FB33855" w14:textId="0427F9DE" w:rsidR="00356445" w:rsidRPr="0003648D" w:rsidRDefault="00356445" w:rsidP="00356445">
                        <w:pPr>
                          <w:pStyle w:val="tablebody0"/>
                        </w:pPr>
                        <w:r w:rsidRPr="00C265BC">
                          <w:t>RTESRC</w:t>
                        </w:r>
                        <w:r>
                          <w:t>APR</w:t>
                        </w:r>
                        <w:r w:rsidRPr="00C265BC">
                          <w:t xml:space="preserve"> </w:t>
                        </w:r>
                        <w:r w:rsidRPr="00C265BC">
                          <w:rPr>
                            <w:i/>
                            <w:vertAlign w:val="subscript"/>
                          </w:rPr>
                          <w:t xml:space="preserve">q, </w:t>
                        </w:r>
                        <w:r>
                          <w:rPr>
                            <w:i/>
                            <w:vertAlign w:val="subscript"/>
                          </w:rPr>
                          <w:t>g</w:t>
                        </w:r>
                        <w:r w:rsidRPr="00C265BC">
                          <w:rPr>
                            <w:i/>
                            <w:vertAlign w:val="subscript"/>
                          </w:rPr>
                          <w:t>, p</w:t>
                        </w:r>
                      </w:p>
                    </w:tc>
                    <w:tc>
                      <w:tcPr>
                        <w:tcW w:w="623" w:type="pct"/>
                        <w:tcBorders>
                          <w:bottom w:val="single" w:sz="4" w:space="0" w:color="auto"/>
                        </w:tcBorders>
                      </w:tcPr>
                      <w:p w14:paraId="49851049" w14:textId="0CA97106" w:rsidR="00356445" w:rsidRPr="0003648D" w:rsidRDefault="00356445" w:rsidP="00356445">
                        <w:pPr>
                          <w:pStyle w:val="tablebody0"/>
                        </w:pPr>
                        <w:r w:rsidRPr="00C265BC">
                          <w:t>MWh</w:t>
                        </w:r>
                      </w:p>
                    </w:tc>
                    <w:tc>
                      <w:tcPr>
                        <w:tcW w:w="3098" w:type="pct"/>
                        <w:tcBorders>
                          <w:bottom w:val="single" w:sz="4" w:space="0" w:color="auto"/>
                        </w:tcBorders>
                      </w:tcPr>
                      <w:p w14:paraId="10CEA0A8" w14:textId="4204ABB9" w:rsidR="00356445" w:rsidRPr="0003648D" w:rsidRDefault="00356445" w:rsidP="00356445">
                        <w:pPr>
                          <w:pStyle w:val="tablebody0"/>
                          <w:rPr>
                            <w:i/>
                          </w:rPr>
                        </w:pPr>
                        <w:r w:rsidRPr="00C265BC">
                          <w:rPr>
                            <w:i/>
                            <w:szCs w:val="18"/>
                          </w:rPr>
                          <w:t>Real-Time Capacity from an Energy Storage Resource</w:t>
                        </w:r>
                        <w:r w:rsidRPr="00C265BC">
                          <w:rPr>
                            <w:szCs w:val="18"/>
                          </w:rPr>
                          <w:t xml:space="preserve"> –</w:t>
                        </w:r>
                        <w:r w:rsidRPr="00C265BC">
                          <w:rPr>
                            <w:i/>
                            <w:szCs w:val="18"/>
                          </w:rPr>
                          <w:t xml:space="preserve"> </w:t>
                        </w:r>
                        <w:r w:rsidRPr="00C265BC">
                          <w:rPr>
                            <w:szCs w:val="18"/>
                          </w:rPr>
                          <w:t xml:space="preserve">Capacity provided by </w:t>
                        </w:r>
                        <w:r>
                          <w:rPr>
                            <w:szCs w:val="18"/>
                          </w:rPr>
                          <w:t xml:space="preserve">an </w:t>
                        </w:r>
                        <w:r w:rsidRPr="00C265BC">
                          <w:rPr>
                            <w:szCs w:val="18"/>
                          </w:rPr>
                          <w:t>E</w:t>
                        </w:r>
                        <w:r>
                          <w:rPr>
                            <w:szCs w:val="18"/>
                          </w:rPr>
                          <w:t xml:space="preserve">SR </w:t>
                        </w:r>
                        <w:r>
                          <w:rPr>
                            <w:i/>
                            <w:szCs w:val="18"/>
                          </w:rPr>
                          <w:t>g</w:t>
                        </w:r>
                        <w:r>
                          <w:rPr>
                            <w:szCs w:val="18"/>
                          </w:rPr>
                          <w:t>,</w:t>
                        </w:r>
                        <w:r w:rsidRPr="00C265BC">
                          <w:rPr>
                            <w:szCs w:val="18"/>
                          </w:rPr>
                          <w:t xml:space="preserve"> </w:t>
                        </w:r>
                        <w:r>
                          <w:rPr>
                            <w:szCs w:val="18"/>
                          </w:rPr>
                          <w:t xml:space="preserve">represented by QSE </w:t>
                        </w:r>
                        <w:r>
                          <w:rPr>
                            <w:i/>
                            <w:szCs w:val="18"/>
                          </w:rPr>
                          <w:t>q</w:t>
                        </w:r>
                        <w:r w:rsidRPr="0021367F">
                          <w:t xml:space="preserve"> at Resource Node </w:t>
                        </w:r>
                        <w:r w:rsidRPr="0021367F">
                          <w:rPr>
                            <w:i/>
                          </w:rPr>
                          <w:t>p</w:t>
                        </w:r>
                        <w:r>
                          <w:rPr>
                            <w:i/>
                            <w:szCs w:val="18"/>
                          </w:rPr>
                          <w:t xml:space="preserve">, </w:t>
                        </w:r>
                        <w:r w:rsidRPr="00C265BC">
                          <w:rPr>
                            <w:szCs w:val="18"/>
                          </w:rPr>
                          <w:t xml:space="preserve">which considers energy limitations of the </w:t>
                        </w:r>
                        <w:r>
                          <w:rPr>
                            <w:szCs w:val="18"/>
                          </w:rPr>
                          <w:t xml:space="preserve">ESR </w:t>
                        </w:r>
                        <w:r w:rsidRPr="00C265BC">
                          <w:rPr>
                            <w:szCs w:val="18"/>
                          </w:rPr>
                          <w:t>and potentially higher contribution when charging for the</w:t>
                        </w:r>
                        <w:r w:rsidRPr="00C265BC">
                          <w:t>15-minute Settlement Interval</w:t>
                        </w:r>
                        <w:r w:rsidRPr="00C265BC">
                          <w:rPr>
                            <w:i/>
                            <w:szCs w:val="18"/>
                          </w:rPr>
                          <w:t>.</w:t>
                        </w:r>
                      </w:p>
                    </w:tc>
                  </w:tr>
                  <w:tr w:rsidR="00356445" w:rsidRPr="0003648D" w14:paraId="2E126052" w14:textId="77777777" w:rsidTr="00356445">
                    <w:trPr>
                      <w:cantSplit/>
                    </w:trPr>
                    <w:tc>
                      <w:tcPr>
                        <w:tcW w:w="1279" w:type="pct"/>
                      </w:tcPr>
                      <w:p w14:paraId="35C069ED" w14:textId="4D995D50" w:rsidR="00356445" w:rsidRPr="0003648D" w:rsidRDefault="00356445" w:rsidP="00356445">
                        <w:pPr>
                          <w:pStyle w:val="tablebody0"/>
                        </w:pPr>
                        <w:r w:rsidRPr="00C265BC">
                          <w:t>RTESRC</w:t>
                        </w:r>
                        <w:r>
                          <w:t>AP</w:t>
                        </w:r>
                        <w:r w:rsidRPr="00C265BC">
                          <w:t xml:space="preserve"> </w:t>
                        </w:r>
                        <w:r>
                          <w:rPr>
                            <w:i/>
                            <w:vertAlign w:val="subscript"/>
                          </w:rPr>
                          <w:t>q</w:t>
                        </w:r>
                      </w:p>
                    </w:tc>
                    <w:tc>
                      <w:tcPr>
                        <w:tcW w:w="623" w:type="pct"/>
                      </w:tcPr>
                      <w:p w14:paraId="31AC706E" w14:textId="0F9DA7C6" w:rsidR="00356445" w:rsidRPr="0003648D" w:rsidRDefault="00356445" w:rsidP="00356445">
                        <w:pPr>
                          <w:pStyle w:val="tablebody0"/>
                        </w:pPr>
                        <w:r w:rsidRPr="00C265BC">
                          <w:t>MWh</w:t>
                        </w:r>
                      </w:p>
                    </w:tc>
                    <w:tc>
                      <w:tcPr>
                        <w:tcW w:w="3098" w:type="pct"/>
                      </w:tcPr>
                      <w:p w14:paraId="3F6202CE" w14:textId="2E3A0503" w:rsidR="00356445" w:rsidRPr="0003648D" w:rsidRDefault="00356445" w:rsidP="00356445">
                        <w:pPr>
                          <w:pStyle w:val="tablebody0"/>
                          <w:rPr>
                            <w:i/>
                          </w:rPr>
                        </w:pPr>
                        <w:r w:rsidRPr="00C265BC">
                          <w:rPr>
                            <w:i/>
                            <w:szCs w:val="18"/>
                          </w:rPr>
                          <w:t>Real-Time Capacity from Energy Storage Resource</w:t>
                        </w:r>
                        <w:r>
                          <w:rPr>
                            <w:i/>
                            <w:szCs w:val="18"/>
                          </w:rPr>
                          <w:t>s</w:t>
                        </w:r>
                        <w:r w:rsidRPr="00C265BC">
                          <w:rPr>
                            <w:i/>
                            <w:szCs w:val="18"/>
                          </w:rPr>
                          <w:t xml:space="preserve"> per QSE – </w:t>
                        </w:r>
                        <w:r w:rsidRPr="00C265BC">
                          <w:rPr>
                            <w:szCs w:val="18"/>
                          </w:rPr>
                          <w:t xml:space="preserve">Capacity provided by </w:t>
                        </w:r>
                        <w:r>
                          <w:rPr>
                            <w:szCs w:val="18"/>
                          </w:rPr>
                          <w:t xml:space="preserve">all </w:t>
                        </w:r>
                        <w:r w:rsidRPr="00C265BC">
                          <w:rPr>
                            <w:szCs w:val="18"/>
                          </w:rPr>
                          <w:t>ESRs</w:t>
                        </w:r>
                        <w:r>
                          <w:rPr>
                            <w:szCs w:val="18"/>
                          </w:rPr>
                          <w:t xml:space="preserve">, represented by QSE </w:t>
                        </w:r>
                        <w:r w:rsidRPr="00E31D77">
                          <w:rPr>
                            <w:i/>
                            <w:szCs w:val="18"/>
                          </w:rPr>
                          <w:t>q</w:t>
                        </w:r>
                        <w:r>
                          <w:rPr>
                            <w:szCs w:val="18"/>
                          </w:rPr>
                          <w:t>,</w:t>
                        </w:r>
                        <w:r w:rsidRPr="0021367F">
                          <w:t xml:space="preserve"> for the 15-minute Settlement Interval</w:t>
                        </w:r>
                        <w:r>
                          <w:rPr>
                            <w:szCs w:val="18"/>
                          </w:rPr>
                          <w:t xml:space="preserve">. </w:t>
                        </w:r>
                      </w:p>
                    </w:tc>
                  </w:tr>
                  <w:tr w:rsidR="00356445" w:rsidRPr="0003648D" w14:paraId="1E82BD99" w14:textId="77777777" w:rsidTr="00356445">
                    <w:trPr>
                      <w:cantSplit/>
                    </w:trPr>
                    <w:tc>
                      <w:tcPr>
                        <w:tcW w:w="1279" w:type="pct"/>
                      </w:tcPr>
                      <w:p w14:paraId="2C04C165" w14:textId="02DF12C5" w:rsidR="00356445" w:rsidRPr="0003648D" w:rsidRDefault="00356445" w:rsidP="00356445">
                        <w:pPr>
                          <w:pStyle w:val="tablebody0"/>
                        </w:pPr>
                        <w:r w:rsidRPr="00C265BC">
                          <w:t xml:space="preserve">SOCT </w:t>
                        </w:r>
                        <w:r w:rsidRPr="00C265BC">
                          <w:rPr>
                            <w:i/>
                            <w:vertAlign w:val="subscript"/>
                          </w:rPr>
                          <w:t>q,</w:t>
                        </w:r>
                        <w:r>
                          <w:rPr>
                            <w:i/>
                            <w:vertAlign w:val="subscript"/>
                          </w:rPr>
                          <w:t xml:space="preserve"> </w:t>
                        </w:r>
                        <w:r w:rsidRPr="00C265BC">
                          <w:rPr>
                            <w:i/>
                            <w:vertAlign w:val="subscript"/>
                          </w:rPr>
                          <w:t>r</w:t>
                        </w:r>
                      </w:p>
                    </w:tc>
                    <w:tc>
                      <w:tcPr>
                        <w:tcW w:w="623" w:type="pct"/>
                      </w:tcPr>
                      <w:p w14:paraId="4D7C1D34" w14:textId="42DFB867" w:rsidR="00356445" w:rsidRPr="0003648D" w:rsidRDefault="00356445" w:rsidP="00356445">
                        <w:pPr>
                          <w:pStyle w:val="tablebody0"/>
                        </w:pPr>
                        <w:r w:rsidRPr="00C265BC">
                          <w:t>MWh</w:t>
                        </w:r>
                      </w:p>
                    </w:tc>
                    <w:tc>
                      <w:tcPr>
                        <w:tcW w:w="3098" w:type="pct"/>
                      </w:tcPr>
                      <w:p w14:paraId="2D7938BF" w14:textId="1BB22109" w:rsidR="00356445" w:rsidRPr="0003648D" w:rsidRDefault="00356445" w:rsidP="00356445">
                        <w:pPr>
                          <w:pStyle w:val="tablebody0"/>
                          <w:rPr>
                            <w:i/>
                          </w:rPr>
                        </w:pPr>
                        <w:r w:rsidRPr="00C265BC">
                          <w:rPr>
                            <w:i/>
                          </w:rPr>
                          <w:t xml:space="preserve">State of Charge Telemetered by </w:t>
                        </w:r>
                        <w:r>
                          <w:rPr>
                            <w:i/>
                          </w:rPr>
                          <w:t xml:space="preserve">an </w:t>
                        </w:r>
                        <w:r w:rsidRPr="00C265BC">
                          <w:rPr>
                            <w:i/>
                          </w:rPr>
                          <w:t xml:space="preserve">Energy Storage Resource – </w:t>
                        </w:r>
                        <w:r w:rsidRPr="00C265BC">
                          <w:t xml:space="preserve">The </w:t>
                        </w:r>
                        <w:r>
                          <w:t xml:space="preserve">average </w:t>
                        </w:r>
                        <w:r w:rsidRPr="00C265BC">
                          <w:t xml:space="preserve">telemetered state of charge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p>
                    </w:tc>
                  </w:tr>
                  <w:tr w:rsidR="00356445" w:rsidRPr="0003648D" w14:paraId="440B5AAC" w14:textId="77777777" w:rsidTr="005C5A9B">
                    <w:trPr>
                      <w:cantSplit/>
                    </w:trPr>
                    <w:tc>
                      <w:tcPr>
                        <w:tcW w:w="1279" w:type="pct"/>
                        <w:tcBorders>
                          <w:bottom w:val="single" w:sz="4" w:space="0" w:color="auto"/>
                        </w:tcBorders>
                      </w:tcPr>
                      <w:p w14:paraId="4DD1E54C" w14:textId="1BAA2A0B" w:rsidR="00356445" w:rsidRPr="0003648D" w:rsidRDefault="00356445" w:rsidP="00356445">
                        <w:pPr>
                          <w:pStyle w:val="tablebody0"/>
                        </w:pPr>
                        <w:r w:rsidRPr="00C265BC">
                          <w:t xml:space="preserve">SOCOM </w:t>
                        </w:r>
                        <w:r w:rsidRPr="00C265BC">
                          <w:rPr>
                            <w:i/>
                            <w:vertAlign w:val="subscript"/>
                          </w:rPr>
                          <w:t>q,</w:t>
                        </w:r>
                        <w:r>
                          <w:rPr>
                            <w:i/>
                            <w:vertAlign w:val="subscript"/>
                          </w:rPr>
                          <w:t xml:space="preserve"> </w:t>
                        </w:r>
                        <w:r w:rsidRPr="00C265BC">
                          <w:rPr>
                            <w:i/>
                            <w:vertAlign w:val="subscript"/>
                          </w:rPr>
                          <w:t>r</w:t>
                        </w:r>
                      </w:p>
                    </w:tc>
                    <w:tc>
                      <w:tcPr>
                        <w:tcW w:w="623" w:type="pct"/>
                        <w:tcBorders>
                          <w:bottom w:val="single" w:sz="4" w:space="0" w:color="auto"/>
                        </w:tcBorders>
                      </w:tcPr>
                      <w:p w14:paraId="08567A71" w14:textId="6A1B9E51" w:rsidR="00356445" w:rsidRPr="0003648D" w:rsidRDefault="00356445" w:rsidP="00356445">
                        <w:pPr>
                          <w:pStyle w:val="tablebody0"/>
                        </w:pPr>
                        <w:r w:rsidRPr="00C265BC">
                          <w:t>MWh</w:t>
                        </w:r>
                      </w:p>
                    </w:tc>
                    <w:tc>
                      <w:tcPr>
                        <w:tcW w:w="3098" w:type="pct"/>
                        <w:tcBorders>
                          <w:bottom w:val="single" w:sz="4" w:space="0" w:color="auto"/>
                        </w:tcBorders>
                      </w:tcPr>
                      <w:p w14:paraId="78A3EEC1" w14:textId="40957DB7" w:rsidR="00356445" w:rsidRPr="0003648D" w:rsidRDefault="00356445" w:rsidP="00356445">
                        <w:pPr>
                          <w:pStyle w:val="tablebody0"/>
                          <w:rPr>
                            <w:i/>
                          </w:rPr>
                        </w:pPr>
                        <w:r w:rsidRPr="00C265BC">
                          <w:rPr>
                            <w:i/>
                          </w:rPr>
                          <w:t xml:space="preserve">State of Charge Operating Minimum for </w:t>
                        </w:r>
                        <w:r>
                          <w:rPr>
                            <w:i/>
                          </w:rPr>
                          <w:t xml:space="preserve">an </w:t>
                        </w:r>
                        <w:r w:rsidRPr="00C265BC">
                          <w:rPr>
                            <w:i/>
                          </w:rPr>
                          <w:t>Energy Storage Resource</w:t>
                        </w:r>
                        <w:r w:rsidRPr="00C265BC">
                          <w:t xml:space="preserve"> –</w:t>
                        </w:r>
                        <w:r>
                          <w:t>T</w:t>
                        </w:r>
                        <w:r w:rsidRPr="00C265BC">
                          <w:t xml:space="preserve">he </w:t>
                        </w:r>
                        <w:r>
                          <w:t xml:space="preserve">average </w:t>
                        </w:r>
                        <w:r w:rsidRPr="00C265BC">
                          <w:t xml:space="preserve">telemetered state of charge operating minimum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r>
                          <w:t>.</w:t>
                        </w:r>
                      </w:p>
                    </w:tc>
                  </w:tr>
                </w:tbl>
                <w:p w14:paraId="1205E835" w14:textId="77777777" w:rsidR="00356445" w:rsidRPr="00AF45BD" w:rsidRDefault="00356445" w:rsidP="00356445">
                  <w:pPr>
                    <w:pStyle w:val="tablebody0"/>
                    <w:rPr>
                      <w:i/>
                    </w:rPr>
                  </w:pPr>
                </w:p>
              </w:tc>
            </w:tr>
          </w:tbl>
          <w:p w14:paraId="787ABECF" w14:textId="77777777" w:rsidR="00356445" w:rsidRPr="0080555B" w:rsidRDefault="00356445" w:rsidP="00BE197B">
            <w:pPr>
              <w:pStyle w:val="tablebody0"/>
              <w:rPr>
                <w:i/>
              </w:rPr>
            </w:pPr>
          </w:p>
        </w:tc>
      </w:tr>
      <w:tr w:rsidR="00BE197B" w:rsidRPr="0080555B" w14:paraId="52FC9F74" w14:textId="77777777" w:rsidTr="00356445">
        <w:trPr>
          <w:cantSplit/>
        </w:trPr>
        <w:tc>
          <w:tcPr>
            <w:tcW w:w="1312" w:type="pct"/>
          </w:tcPr>
          <w:p w14:paraId="589AD7AF" w14:textId="77777777" w:rsidR="00BE197B" w:rsidRPr="0080555B" w:rsidRDefault="00BE197B" w:rsidP="00BE197B">
            <w:pPr>
              <w:pStyle w:val="tablebody0"/>
              <w:rPr>
                <w:i/>
              </w:rPr>
            </w:pPr>
            <w:r w:rsidRPr="0080555B">
              <w:t>RTASOFFIMB</w:t>
            </w:r>
            <w:r w:rsidRPr="0080555B">
              <w:rPr>
                <w:i/>
                <w:vertAlign w:val="subscript"/>
              </w:rPr>
              <w:t xml:space="preserve"> q</w:t>
            </w:r>
          </w:p>
        </w:tc>
        <w:tc>
          <w:tcPr>
            <w:tcW w:w="606" w:type="pct"/>
          </w:tcPr>
          <w:p w14:paraId="4751420B" w14:textId="77777777" w:rsidR="00BE197B" w:rsidRPr="0080555B" w:rsidRDefault="00BE197B" w:rsidP="00BE197B">
            <w:pPr>
              <w:pStyle w:val="tablebody0"/>
            </w:pPr>
            <w:r w:rsidRPr="0080555B">
              <w:t>MWh</w:t>
            </w:r>
          </w:p>
        </w:tc>
        <w:tc>
          <w:tcPr>
            <w:tcW w:w="3082" w:type="pct"/>
          </w:tcPr>
          <w:p w14:paraId="135F884D" w14:textId="77777777" w:rsidR="00BE197B" w:rsidRPr="0080555B" w:rsidRDefault="00BE197B" w:rsidP="00BE197B">
            <w:pPr>
              <w:pStyle w:val="tablebody0"/>
            </w:pPr>
            <w:r w:rsidRPr="0080555B">
              <w:rPr>
                <w:i/>
              </w:rPr>
              <w:t>Real-Time Ancillary Service Off-Line Reserve Imbalance for the QSE</w:t>
            </w:r>
            <w:r w:rsidRPr="0080555B">
              <w:sym w:font="Symbol" w:char="F0BE"/>
            </w:r>
            <w:r w:rsidRPr="0080555B">
              <w:t xml:space="preserve">The Real-Time Ancillary Service Off-Line reserve imbalance for the QSE </w:t>
            </w:r>
            <w:r w:rsidRPr="0080555B">
              <w:rPr>
                <w:i/>
              </w:rPr>
              <w:t>q</w:t>
            </w:r>
            <w:r w:rsidRPr="0080555B">
              <w:t xml:space="preserve">, for each 15-minute Settlement Interval.  </w:t>
            </w:r>
          </w:p>
        </w:tc>
      </w:tr>
      <w:tr w:rsidR="00BE197B" w:rsidRPr="0080555B" w14:paraId="24C55911" w14:textId="77777777" w:rsidTr="00356445">
        <w:trPr>
          <w:cantSplit/>
        </w:trPr>
        <w:tc>
          <w:tcPr>
            <w:tcW w:w="1312" w:type="pct"/>
          </w:tcPr>
          <w:p w14:paraId="407E08CC" w14:textId="77777777" w:rsidR="00BE197B" w:rsidRPr="0080555B" w:rsidRDefault="00BE197B" w:rsidP="00BE197B">
            <w:pPr>
              <w:pStyle w:val="tablebody0"/>
              <w:rPr>
                <w:i/>
              </w:rPr>
            </w:pPr>
            <w:r w:rsidRPr="0080555B">
              <w:lastRenderedPageBreak/>
              <w:t>RTOFFCAP</w:t>
            </w:r>
            <w:r w:rsidRPr="0080555B">
              <w:rPr>
                <w:i/>
                <w:vertAlign w:val="subscript"/>
              </w:rPr>
              <w:t xml:space="preserve"> q</w:t>
            </w:r>
            <w:r w:rsidRPr="0080555B">
              <w:t xml:space="preserve">  </w:t>
            </w:r>
          </w:p>
        </w:tc>
        <w:tc>
          <w:tcPr>
            <w:tcW w:w="606" w:type="pct"/>
          </w:tcPr>
          <w:p w14:paraId="3E2443EA" w14:textId="77777777" w:rsidR="00BE197B" w:rsidRPr="0080555B" w:rsidRDefault="00BE197B" w:rsidP="00BE197B">
            <w:pPr>
              <w:pStyle w:val="tablebody0"/>
            </w:pPr>
            <w:r w:rsidRPr="0080555B">
              <w:t>MWh</w:t>
            </w:r>
          </w:p>
        </w:tc>
        <w:tc>
          <w:tcPr>
            <w:tcW w:w="3082" w:type="pct"/>
          </w:tcPr>
          <w:p w14:paraId="29F0539D" w14:textId="77777777" w:rsidR="00E779AF" w:rsidRPr="0080555B" w:rsidRDefault="00BE197B" w:rsidP="00BE197B">
            <w:pPr>
              <w:pStyle w:val="tablebody0"/>
            </w:pPr>
            <w:r w:rsidRPr="0080555B">
              <w:rPr>
                <w:i/>
              </w:rPr>
              <w:t xml:space="preserve">Real-Time Off-Line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Off-Line Resources available for the QSE </w:t>
            </w:r>
            <w:r w:rsidRPr="0080555B">
              <w:rPr>
                <w:i/>
              </w:rPr>
              <w:t>q</w:t>
            </w:r>
            <w:r w:rsidRPr="0080555B">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694DBEC3" w14:textId="77777777" w:rsidTr="00745852">
              <w:trPr>
                <w:trHeight w:val="206"/>
              </w:trPr>
              <w:tc>
                <w:tcPr>
                  <w:tcW w:w="9576" w:type="dxa"/>
                  <w:shd w:val="pct12" w:color="auto" w:fill="auto"/>
                </w:tcPr>
                <w:p w14:paraId="03C467A9" w14:textId="663A627F" w:rsidR="00E779AF" w:rsidRDefault="00E779AF" w:rsidP="00E779AF">
                  <w:pPr>
                    <w:pStyle w:val="Instructions"/>
                    <w:spacing w:before="120"/>
                  </w:pPr>
                  <w:r>
                    <w:t>[NPRR1069:  Replace the description above with the following upon system implementation of NPRR987:]</w:t>
                  </w:r>
                </w:p>
                <w:p w14:paraId="20C965A9" w14:textId="1C79047C" w:rsidR="00E779AF" w:rsidRPr="00AF45BD" w:rsidRDefault="00E779AF" w:rsidP="00E779AF">
                  <w:pPr>
                    <w:pStyle w:val="tablebody0"/>
                    <w:rPr>
                      <w:i/>
                    </w:rPr>
                  </w:pPr>
                  <w:r w:rsidRPr="00C429FC">
                    <w:rPr>
                      <w:i/>
                    </w:rPr>
                    <w:t>Real-Time Off-Line Reserve Capacity for the QSE</w:t>
                  </w:r>
                  <w:r w:rsidRPr="00C429FC">
                    <w:sym w:font="Symbol" w:char="F0BE"/>
                  </w:r>
                  <w:r w:rsidRPr="00C429FC">
                    <w:t>The Real-Time reserve capacity of Off-Line Resources</w:t>
                  </w:r>
                  <w:r w:rsidRPr="00F92423">
                    <w:t>, not including modeled Generation Resources associated with ESRs,</w:t>
                  </w:r>
                  <w:r w:rsidRPr="00C429FC">
                    <w:t xml:space="preserve"> available for the QSE </w:t>
                  </w:r>
                  <w:r w:rsidRPr="00C429FC">
                    <w:rPr>
                      <w:i/>
                    </w:rPr>
                    <w:t>q</w:t>
                  </w:r>
                  <w:r w:rsidRPr="00C429FC">
                    <w:t>, for the 15-minute Settlement Interval.</w:t>
                  </w:r>
                </w:p>
              </w:tc>
            </w:tr>
          </w:tbl>
          <w:p w14:paraId="104E3EA1" w14:textId="41425CD6" w:rsidR="00BE197B" w:rsidRPr="0080555B" w:rsidRDefault="00BE197B" w:rsidP="00BE197B">
            <w:pPr>
              <w:pStyle w:val="tablebody0"/>
            </w:pPr>
          </w:p>
        </w:tc>
      </w:tr>
      <w:tr w:rsidR="00BE197B" w:rsidRPr="0080555B" w14:paraId="1F7B09ED" w14:textId="77777777" w:rsidTr="00356445">
        <w:trPr>
          <w:cantSplit/>
        </w:trPr>
        <w:tc>
          <w:tcPr>
            <w:tcW w:w="1312" w:type="pct"/>
          </w:tcPr>
          <w:p w14:paraId="41F6ABF4" w14:textId="77777777" w:rsidR="00BE197B" w:rsidRPr="008F1530" w:rsidRDefault="00BE197B" w:rsidP="00BE197B">
            <w:pPr>
              <w:pStyle w:val="tablebody0"/>
            </w:pPr>
            <w:r w:rsidRPr="0072763F">
              <w:t>RTCST30HSL</w:t>
            </w:r>
            <w:r w:rsidRPr="0080555B">
              <w:rPr>
                <w:i/>
                <w:vertAlign w:val="subscript"/>
              </w:rPr>
              <w:t xml:space="preserve"> q</w:t>
            </w:r>
          </w:p>
        </w:tc>
        <w:tc>
          <w:tcPr>
            <w:tcW w:w="606" w:type="pct"/>
          </w:tcPr>
          <w:p w14:paraId="2F2F941F" w14:textId="77777777" w:rsidR="00BE197B" w:rsidRPr="008F1530" w:rsidRDefault="00BE197B" w:rsidP="00BE197B">
            <w:pPr>
              <w:pStyle w:val="tablebody0"/>
            </w:pPr>
            <w:r w:rsidRPr="0080555B">
              <w:t>MWh</w:t>
            </w:r>
          </w:p>
        </w:tc>
        <w:tc>
          <w:tcPr>
            <w:tcW w:w="3082" w:type="pct"/>
          </w:tcPr>
          <w:p w14:paraId="63C112D4" w14:textId="77777777" w:rsidR="00E779AF" w:rsidRPr="00A62476" w:rsidRDefault="00BE197B" w:rsidP="00D13CF2">
            <w:pPr>
              <w:pStyle w:val="tablebody0"/>
              <w:rPr>
                <w:i/>
              </w:rPr>
            </w:pPr>
            <w:r>
              <w:rPr>
                <w:i/>
              </w:rPr>
              <w:t>Real-Time Generation Resources with Cold Start Available in 30 Minutes</w:t>
            </w:r>
            <w:r w:rsidRPr="0080555B">
              <w:sym w:font="Symbol" w:char="F0BE"/>
            </w:r>
            <w:r w:rsidRPr="0072763F">
              <w:t>The Real-Time telemetered HSLs of Generation Resources</w:t>
            </w:r>
            <w:r>
              <w:t xml:space="preserve">, excluding </w:t>
            </w:r>
            <w:r w:rsidR="00D13CF2">
              <w:t>Intermittent Renewable Resources (</w:t>
            </w:r>
            <w:r>
              <w:t>IRRs</w:t>
            </w:r>
            <w:r w:rsidR="00D13CF2">
              <w:t>)</w:t>
            </w:r>
            <w:r>
              <w:t>,</w:t>
            </w:r>
            <w:r w:rsidRPr="0072763F">
              <w:t xml:space="preserve"> </w:t>
            </w:r>
            <w:r>
              <w:t xml:space="preserve">that </w:t>
            </w:r>
            <w:r w:rsidRPr="0072763F">
              <w:t xml:space="preserve">have telemetered </w:t>
            </w:r>
            <w:r>
              <w:t xml:space="preserve">an </w:t>
            </w:r>
            <w:r w:rsidRPr="0072763F">
              <w:t xml:space="preserve">OFF Resource Status and can be started from a cold temperature state in 30 minutes for the QSE </w:t>
            </w:r>
            <w:r w:rsidRPr="00625701">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1812E4C4" w14:textId="77777777" w:rsidTr="00745852">
              <w:trPr>
                <w:trHeight w:val="206"/>
              </w:trPr>
              <w:tc>
                <w:tcPr>
                  <w:tcW w:w="9576" w:type="dxa"/>
                  <w:shd w:val="pct12" w:color="auto" w:fill="auto"/>
                </w:tcPr>
                <w:p w14:paraId="00FC2AF5" w14:textId="77777777" w:rsidR="00E779AF" w:rsidRDefault="00E779AF" w:rsidP="00E779AF">
                  <w:pPr>
                    <w:pStyle w:val="Instructions"/>
                    <w:spacing w:before="120"/>
                  </w:pPr>
                  <w:r>
                    <w:t>[NPRR1069:  Replace the description above with the following upon system implementation of NPRR987:]</w:t>
                  </w:r>
                </w:p>
                <w:p w14:paraId="6508A79B" w14:textId="2E764199" w:rsidR="00E779AF" w:rsidRPr="00AF45BD" w:rsidRDefault="00E779AF" w:rsidP="00E779AF">
                  <w:pPr>
                    <w:pStyle w:val="tablebody0"/>
                    <w:rPr>
                      <w:i/>
                    </w:rPr>
                  </w:pPr>
                  <w:r w:rsidRPr="00C429FC">
                    <w:rPr>
                      <w:i/>
                    </w:rPr>
                    <w:t>Real-Time Generation Resources with Cold Start Available in 30 Minutes</w:t>
                  </w:r>
                  <w:r w:rsidRPr="00C429FC">
                    <w:sym w:font="Symbol" w:char="F0BE"/>
                  </w:r>
                  <w:r w:rsidRPr="00C429FC">
                    <w:t>The Real-Time telemetered HSLs of Generation Resources, excluding Intermittent Renewable Resources (IRRs)</w:t>
                  </w:r>
                  <w:r w:rsidRPr="00F92423">
                    <w:t xml:space="preserve"> and modeled Generation Resources associated with ESRs</w:t>
                  </w:r>
                  <w:r w:rsidRPr="00C429FC">
                    <w:t xml:space="preserve">, that have telemetered an OFF Resource Status and can be started from a cold temperature state in 30 minutes for the QSE </w:t>
                  </w:r>
                  <w:r w:rsidRPr="00C429FC">
                    <w:rPr>
                      <w:i/>
                    </w:rPr>
                    <w:t>q</w:t>
                  </w:r>
                  <w:r w:rsidRPr="00C429FC">
                    <w:t>, time-weighted over the 15-minute Settlement Interval.</w:t>
                  </w:r>
                </w:p>
              </w:tc>
            </w:tr>
          </w:tbl>
          <w:p w14:paraId="4F5232FE" w14:textId="7551F215" w:rsidR="00BE197B" w:rsidRPr="00A62476" w:rsidRDefault="00BE197B" w:rsidP="00D13CF2">
            <w:pPr>
              <w:pStyle w:val="tablebody0"/>
              <w:rPr>
                <w:i/>
              </w:rPr>
            </w:pPr>
          </w:p>
        </w:tc>
      </w:tr>
      <w:tr w:rsidR="00BE197B" w:rsidRPr="0080555B" w14:paraId="1D94FB31" w14:textId="77777777" w:rsidTr="00356445">
        <w:trPr>
          <w:cantSplit/>
        </w:trPr>
        <w:tc>
          <w:tcPr>
            <w:tcW w:w="1312" w:type="pct"/>
            <w:tcBorders>
              <w:bottom w:val="single" w:sz="4" w:space="0" w:color="auto"/>
            </w:tcBorders>
          </w:tcPr>
          <w:p w14:paraId="4E387FCB" w14:textId="77777777" w:rsidR="00BE197B" w:rsidRPr="008F1530" w:rsidRDefault="00BE197B" w:rsidP="00BE197B">
            <w:pPr>
              <w:pStyle w:val="tablebody0"/>
            </w:pPr>
            <w:r w:rsidRPr="0072763F">
              <w:t>RTOFFNSHSL</w:t>
            </w:r>
            <w:r w:rsidRPr="0080555B">
              <w:rPr>
                <w:i/>
                <w:vertAlign w:val="subscript"/>
              </w:rPr>
              <w:t xml:space="preserve"> q</w:t>
            </w:r>
          </w:p>
        </w:tc>
        <w:tc>
          <w:tcPr>
            <w:tcW w:w="606" w:type="pct"/>
            <w:tcBorders>
              <w:bottom w:val="single" w:sz="4" w:space="0" w:color="auto"/>
            </w:tcBorders>
          </w:tcPr>
          <w:p w14:paraId="688B7F83" w14:textId="77777777" w:rsidR="00BE197B" w:rsidRPr="008F1530" w:rsidRDefault="00BE197B" w:rsidP="00BE197B">
            <w:pPr>
              <w:pStyle w:val="tablebody0"/>
            </w:pPr>
            <w:r w:rsidRPr="0080555B">
              <w:t>MWh</w:t>
            </w:r>
          </w:p>
        </w:tc>
        <w:tc>
          <w:tcPr>
            <w:tcW w:w="3082" w:type="pct"/>
            <w:tcBorders>
              <w:bottom w:val="single" w:sz="4" w:space="0" w:color="auto"/>
            </w:tcBorders>
          </w:tcPr>
          <w:p w14:paraId="6B59528F" w14:textId="083B2D36" w:rsidR="00C71420" w:rsidRPr="00A62476" w:rsidRDefault="00C71420" w:rsidP="00C71420">
            <w:pPr>
              <w:pStyle w:val="tablebody0"/>
              <w:rPr>
                <w:i/>
              </w:rPr>
            </w:pPr>
            <w:r>
              <w:rPr>
                <w:i/>
              </w:rPr>
              <w:t>Real-Time Generation Resources with Off-Line Non-Spin Schedule</w:t>
            </w:r>
            <w:r w:rsidRPr="0080555B">
              <w:sym w:font="Symbol" w:char="F0BE"/>
            </w:r>
            <w:r w:rsidRPr="0072763F">
              <w:t xml:space="preserve">The Real-Time telemetered HSLs of </w:t>
            </w:r>
            <w:r>
              <w:t xml:space="preserve">Off-Line </w:t>
            </w:r>
            <w:r w:rsidRPr="0072763F">
              <w:t xml:space="preserve">Generation Resources </w:t>
            </w:r>
            <w:r>
              <w:t>that</w:t>
            </w:r>
            <w:r w:rsidRPr="0072763F">
              <w:t xml:space="preserve"> have telemetered </w:t>
            </w:r>
            <w:r>
              <w:t xml:space="preserve">an </w:t>
            </w:r>
            <w:r w:rsidRPr="0072763F">
              <w:t>OFF</w:t>
            </w:r>
            <w:r>
              <w:t>NS</w:t>
            </w:r>
            <w:r w:rsidRPr="0072763F">
              <w:t xml:space="preserve"> Resource Status for the QSE </w:t>
            </w:r>
            <w:r w:rsidRPr="00051550">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6131C78" w14:textId="77777777" w:rsidTr="00C71420">
              <w:trPr>
                <w:trHeight w:val="206"/>
              </w:trPr>
              <w:tc>
                <w:tcPr>
                  <w:tcW w:w="5523" w:type="dxa"/>
                  <w:shd w:val="pct12" w:color="auto" w:fill="auto"/>
                </w:tcPr>
                <w:p w14:paraId="219E8BD0" w14:textId="77777777" w:rsidR="00C71420" w:rsidRDefault="00C71420" w:rsidP="00C71420">
                  <w:pPr>
                    <w:pStyle w:val="Instructions"/>
                    <w:spacing w:before="120"/>
                  </w:pPr>
                  <w:r>
                    <w:t>[NPRR1069:  Replace the description above with the following upon system implementation of NPRR987:]</w:t>
                  </w:r>
                </w:p>
                <w:p w14:paraId="3AA27945" w14:textId="5A6662C3" w:rsidR="00E779AF" w:rsidRPr="00AF45BD" w:rsidRDefault="00C71420" w:rsidP="00C71420">
                  <w:pPr>
                    <w:pStyle w:val="tablebody0"/>
                    <w:rPr>
                      <w:i/>
                    </w:rPr>
                  </w:pPr>
                  <w:r w:rsidRPr="00C429FC">
                    <w:rPr>
                      <w:i/>
                    </w:rPr>
                    <w:t>Real-Time Generation Resources with Off-Line Non-Spin Schedule</w:t>
                  </w:r>
                  <w:r w:rsidRPr="00C429FC">
                    <w:sym w:font="Symbol" w:char="F0BE"/>
                  </w:r>
                  <w:r w:rsidRPr="00C429FC">
                    <w:t xml:space="preserve">The Real-Time telemetered HSLs of </w:t>
                  </w:r>
                  <w:r>
                    <w:t xml:space="preserve">Off-Line </w:t>
                  </w:r>
                  <w:r w:rsidRPr="00C429FC">
                    <w:t>Generation Resources</w:t>
                  </w:r>
                  <w:r w:rsidRPr="00F92423">
                    <w:t>, not including modeled Generation Resources associated with ESRs,</w:t>
                  </w:r>
                  <w:r w:rsidRPr="00C429FC">
                    <w:t xml:space="preserve"> that have telemetered an OFFNS Resource Status for the QSE </w:t>
                  </w:r>
                  <w:r w:rsidRPr="00C429FC">
                    <w:rPr>
                      <w:i/>
                    </w:rPr>
                    <w:t>q</w:t>
                  </w:r>
                  <w:r w:rsidRPr="00C429FC">
                    <w:t>, time-weighted over the 15-minute Settlement Interval.</w:t>
                  </w:r>
                </w:p>
              </w:tc>
            </w:tr>
          </w:tbl>
          <w:p w14:paraId="4AA7AC97" w14:textId="513044C3" w:rsidR="00BE197B" w:rsidRPr="00A62476" w:rsidRDefault="00BE197B" w:rsidP="00417B4E">
            <w:pPr>
              <w:pStyle w:val="tablebody0"/>
              <w:rPr>
                <w:i/>
              </w:rPr>
            </w:pPr>
          </w:p>
        </w:tc>
      </w:tr>
      <w:tr w:rsidR="00BE197B" w:rsidRPr="0080555B" w14:paraId="2328AE1B" w14:textId="77777777" w:rsidTr="00356445">
        <w:trPr>
          <w:cantSplit/>
        </w:trPr>
        <w:tc>
          <w:tcPr>
            <w:tcW w:w="1312" w:type="pct"/>
          </w:tcPr>
          <w:p w14:paraId="77755493" w14:textId="77777777" w:rsidR="00BE197B" w:rsidRPr="0080555B" w:rsidRDefault="00BE197B" w:rsidP="00BE197B">
            <w:pPr>
              <w:pStyle w:val="tablebody0"/>
            </w:pPr>
            <w:r w:rsidRPr="0080555B">
              <w:lastRenderedPageBreak/>
              <w:t>RTASOFF</w:t>
            </w:r>
            <w:r>
              <w:t>R</w:t>
            </w:r>
            <w:r w:rsidRPr="0080555B">
              <w:t xml:space="preserve"> </w:t>
            </w:r>
            <w:r w:rsidRPr="0080555B">
              <w:rPr>
                <w:i/>
                <w:vertAlign w:val="subscript"/>
              </w:rPr>
              <w:t>q</w:t>
            </w:r>
            <w:r>
              <w:rPr>
                <w:i/>
                <w:vertAlign w:val="subscript"/>
              </w:rPr>
              <w:t>, r, p</w:t>
            </w:r>
          </w:p>
        </w:tc>
        <w:tc>
          <w:tcPr>
            <w:tcW w:w="606" w:type="pct"/>
          </w:tcPr>
          <w:p w14:paraId="6B3A7A12" w14:textId="77777777" w:rsidR="00BE197B" w:rsidRPr="0080555B" w:rsidRDefault="00BE197B" w:rsidP="00BE197B">
            <w:pPr>
              <w:pStyle w:val="tablebody0"/>
            </w:pPr>
            <w:r w:rsidRPr="0080555B">
              <w:t>MWh</w:t>
            </w:r>
          </w:p>
        </w:tc>
        <w:tc>
          <w:tcPr>
            <w:tcW w:w="3082" w:type="pct"/>
          </w:tcPr>
          <w:p w14:paraId="3D69E951" w14:textId="77777777" w:rsidR="00BE197B" w:rsidRPr="00353A56" w:rsidRDefault="00BE197B" w:rsidP="00417B4E">
            <w:pPr>
              <w:pStyle w:val="tablebody0"/>
              <w:rPr>
                <w:i/>
              </w:rPr>
            </w:pPr>
            <w:r w:rsidRPr="00A20AF6">
              <w:rPr>
                <w:i/>
                <w:szCs w:val="18"/>
              </w:rPr>
              <w:t>Real-Time Ancillary Service Schedule for the Off-Line Generation Resource</w:t>
            </w:r>
            <w:r w:rsidRPr="00A20AF6">
              <w:rPr>
                <w:szCs w:val="18"/>
              </w:rPr>
              <w:sym w:font="Symbol" w:char="F0BE"/>
            </w:r>
            <w:r w:rsidRPr="00A20AF6">
              <w:rPr>
                <w:szCs w:val="18"/>
              </w:rPr>
              <w:t xml:space="preserve">The </w:t>
            </w:r>
            <w:r w:rsidRPr="003E514A">
              <w:t xml:space="preserve">validated </w:t>
            </w:r>
            <w:r w:rsidRPr="0095592C">
              <w:rPr>
                <w:szCs w:val="18"/>
              </w:rPr>
              <w:t>Real</w:t>
            </w:r>
            <w:r w:rsidRPr="00A20AF6">
              <w:rPr>
                <w:szCs w:val="18"/>
              </w:rPr>
              <w:t xml:space="preserve">-Time telemetered Ancillary Service Schedule for the Off-Line Generation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Pr="00A20AF6">
              <w:rPr>
                <w:szCs w:val="18"/>
              </w:rPr>
              <w:t>, integrated over the 15-minute Settlement Interval.</w:t>
            </w:r>
          </w:p>
        </w:tc>
      </w:tr>
      <w:tr w:rsidR="00BE197B" w:rsidRPr="0080555B" w14:paraId="0F8F1085" w14:textId="77777777" w:rsidTr="00356445">
        <w:trPr>
          <w:cantSplit/>
        </w:trPr>
        <w:tc>
          <w:tcPr>
            <w:tcW w:w="1312" w:type="pct"/>
          </w:tcPr>
          <w:p w14:paraId="6AAC07F0" w14:textId="77777777" w:rsidR="00BE197B" w:rsidRPr="0080555B" w:rsidRDefault="00BE197B" w:rsidP="00BE197B">
            <w:pPr>
              <w:pStyle w:val="tablebody0"/>
              <w:rPr>
                <w:i/>
              </w:rPr>
            </w:pPr>
            <w:r w:rsidRPr="0080555B">
              <w:t xml:space="preserve">RTASOFF </w:t>
            </w:r>
            <w:r w:rsidRPr="0080555B">
              <w:rPr>
                <w:i/>
                <w:vertAlign w:val="subscript"/>
              </w:rPr>
              <w:t>q</w:t>
            </w:r>
          </w:p>
        </w:tc>
        <w:tc>
          <w:tcPr>
            <w:tcW w:w="606" w:type="pct"/>
          </w:tcPr>
          <w:p w14:paraId="64B982FD" w14:textId="77777777" w:rsidR="00BE197B" w:rsidRPr="0080555B" w:rsidRDefault="00BE197B" w:rsidP="00BE197B">
            <w:pPr>
              <w:pStyle w:val="tablebody0"/>
            </w:pPr>
            <w:r w:rsidRPr="0080555B">
              <w:t>MWh</w:t>
            </w:r>
          </w:p>
        </w:tc>
        <w:tc>
          <w:tcPr>
            <w:tcW w:w="3082" w:type="pct"/>
          </w:tcPr>
          <w:p w14:paraId="0EE498EC" w14:textId="77777777" w:rsidR="00E779AF" w:rsidRPr="0080555B" w:rsidRDefault="00BE197B" w:rsidP="00BE197B">
            <w:pPr>
              <w:pStyle w:val="tablebody0"/>
            </w:pPr>
            <w:r w:rsidRPr="0080555B">
              <w:rPr>
                <w:i/>
              </w:rPr>
              <w:t>Real-Time Ancillary Service Schedule for Off-Line Generation Resources for the QSE</w:t>
            </w:r>
            <w:r w:rsidRPr="0080555B">
              <w:sym w:font="Symbol" w:char="F0BE"/>
            </w:r>
            <w:r w:rsidRPr="0080555B">
              <w:t>The Real-Time telemetered Ancillary Service Schedule for all Off-Line Generation Resources</w:t>
            </w:r>
            <w:r w:rsidR="00417B4E" w:rsidRPr="000E5D97">
              <w:t xml:space="preserve"> </w:t>
            </w:r>
            <w:r w:rsidR="00417B4E" w:rsidRPr="000E5D97">
              <w:rPr>
                <w:szCs w:val="18"/>
              </w:rPr>
              <w:t>discounted by the system-wide discount factor</w:t>
            </w:r>
            <w:r>
              <w:t xml:space="preserve"> </w:t>
            </w:r>
            <w:r w:rsidRPr="0080555B">
              <w:t xml:space="preserve">for the QSE </w:t>
            </w:r>
            <w:r w:rsidRPr="0080555B">
              <w:rPr>
                <w:i/>
              </w:rPr>
              <w:t>q</w:t>
            </w:r>
            <w:r w:rsidRPr="0080555B">
              <w:t>, integrated over the 15-minute Settlement Interval.</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0700480" w14:textId="77777777" w:rsidTr="00745852">
              <w:trPr>
                <w:trHeight w:val="206"/>
              </w:trPr>
              <w:tc>
                <w:tcPr>
                  <w:tcW w:w="9576" w:type="dxa"/>
                  <w:shd w:val="pct12" w:color="auto" w:fill="auto"/>
                </w:tcPr>
                <w:p w14:paraId="72CB52A6" w14:textId="77777777" w:rsidR="00E779AF" w:rsidRDefault="00E779AF" w:rsidP="00E779AF">
                  <w:pPr>
                    <w:pStyle w:val="Instructions"/>
                    <w:spacing w:before="120"/>
                  </w:pPr>
                  <w:r>
                    <w:t>[NPRR1069:  Replace the description above with the following upon system implementation of NPRR987:]</w:t>
                  </w:r>
                </w:p>
                <w:p w14:paraId="7D2E9DFE" w14:textId="2AFD2034" w:rsidR="00E779AF" w:rsidRPr="00AF45BD" w:rsidRDefault="00E779AF" w:rsidP="00E779AF">
                  <w:pPr>
                    <w:pStyle w:val="tablebody0"/>
                    <w:rPr>
                      <w:i/>
                    </w:rPr>
                  </w:pPr>
                  <w:r w:rsidRPr="00C429FC">
                    <w:rPr>
                      <w:i/>
                    </w:rPr>
                    <w:t>Real-Time Ancillary Service Schedule for Off-Line Generation Resources for the QSE</w:t>
                  </w:r>
                  <w:r w:rsidRPr="00C429FC">
                    <w:sym w:font="Symbol" w:char="F0BE"/>
                  </w:r>
                  <w:r w:rsidRPr="00C429FC">
                    <w:t>The Real-Time telemetered Ancillary Service Schedule for all Off-Line Generation Resources</w:t>
                  </w:r>
                  <w:r w:rsidRPr="00F92423">
                    <w:t>, not including modeled Generation Resources associated with ESRs,</w:t>
                  </w:r>
                  <w:r w:rsidRPr="00C429FC">
                    <w:t xml:space="preserve"> </w:t>
                  </w:r>
                  <w:r w:rsidRPr="00C429FC">
                    <w:rPr>
                      <w:szCs w:val="18"/>
                    </w:rPr>
                    <w:t>discounted by the system-wide discount factor</w:t>
                  </w:r>
                  <w:r w:rsidRPr="00C429FC">
                    <w:t xml:space="preserve"> for the QSE </w:t>
                  </w:r>
                  <w:r w:rsidRPr="00C429FC">
                    <w:rPr>
                      <w:i/>
                    </w:rPr>
                    <w:t>q</w:t>
                  </w:r>
                  <w:r w:rsidRPr="00C429FC">
                    <w:t>, integrated over the 15-minute Settlement Interval.</w:t>
                  </w:r>
                </w:p>
              </w:tc>
            </w:tr>
          </w:tbl>
          <w:p w14:paraId="3BE306F7" w14:textId="51824D84" w:rsidR="00BE197B" w:rsidRPr="0080555B" w:rsidRDefault="00BE197B" w:rsidP="00BE197B">
            <w:pPr>
              <w:pStyle w:val="tablebody0"/>
            </w:pPr>
          </w:p>
        </w:tc>
      </w:tr>
      <w:tr w:rsidR="00BE197B" w:rsidRPr="0080555B" w14:paraId="027EE51F" w14:textId="77777777" w:rsidTr="00356445">
        <w:trPr>
          <w:cantSplit/>
        </w:trPr>
        <w:tc>
          <w:tcPr>
            <w:tcW w:w="1312" w:type="pct"/>
          </w:tcPr>
          <w:p w14:paraId="7E79692C" w14:textId="77777777" w:rsidR="00BE197B" w:rsidRPr="0080555B" w:rsidRDefault="00BE197B" w:rsidP="00BE197B">
            <w:pPr>
              <w:pStyle w:val="tablebody0"/>
            </w:pPr>
            <w:r>
              <w:t>HRRADJ</w:t>
            </w:r>
            <w:r w:rsidRPr="0080555B">
              <w:rPr>
                <w:i/>
                <w:vertAlign w:val="subscript"/>
              </w:rPr>
              <w:t xml:space="preserve"> q</w:t>
            </w:r>
            <w:r>
              <w:rPr>
                <w:i/>
                <w:vertAlign w:val="subscript"/>
              </w:rPr>
              <w:t>, r, p</w:t>
            </w:r>
          </w:p>
        </w:tc>
        <w:tc>
          <w:tcPr>
            <w:tcW w:w="606" w:type="pct"/>
          </w:tcPr>
          <w:p w14:paraId="12C4B94B" w14:textId="77777777" w:rsidR="00BE197B" w:rsidRPr="0080555B" w:rsidRDefault="00BE197B" w:rsidP="00BE197B">
            <w:pPr>
              <w:pStyle w:val="tablebody0"/>
            </w:pPr>
            <w:r w:rsidRPr="0080555B">
              <w:t xml:space="preserve">MW </w:t>
            </w:r>
          </w:p>
        </w:tc>
        <w:tc>
          <w:tcPr>
            <w:tcW w:w="3082" w:type="pct"/>
          </w:tcPr>
          <w:p w14:paraId="200532E9" w14:textId="77777777" w:rsidR="00BE197B" w:rsidRPr="00353A56" w:rsidRDefault="00BE197B" w:rsidP="000809F8">
            <w:pPr>
              <w:pStyle w:val="tablebody0"/>
              <w:rPr>
                <w:i/>
              </w:rPr>
            </w:pPr>
            <w:r w:rsidRPr="00A20AF6">
              <w:rPr>
                <w:i/>
                <w:szCs w:val="18"/>
              </w:rPr>
              <w:t>Ancillary Service Resource Responsibility Capacity for Responsive Reserve at Adjustment Period—</w:t>
            </w:r>
            <w:r w:rsidRPr="00A20AF6">
              <w:rPr>
                <w:szCs w:val="18"/>
              </w:rPr>
              <w:t xml:space="preserve">The </w:t>
            </w:r>
            <w:r w:rsidR="000809F8">
              <w:rPr>
                <w:szCs w:val="18"/>
              </w:rPr>
              <w:t xml:space="preserve">RRS </w:t>
            </w:r>
            <w:r w:rsidRPr="00A20AF6">
              <w:rPr>
                <w:szCs w:val="18"/>
              </w:rPr>
              <w:t xml:space="preserve">Ancillary Service </w:t>
            </w:r>
            <w:r>
              <w:rPr>
                <w:szCs w:val="18"/>
              </w:rPr>
              <w:t xml:space="preserve">Resource </w:t>
            </w:r>
            <w:r w:rsidRPr="00A20AF6">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 xml:space="preserve">as seen in the last </w:t>
            </w:r>
            <w:r>
              <w:rPr>
                <w:szCs w:val="18"/>
              </w:rPr>
              <w:t>Current Operating Plan (</w:t>
            </w:r>
            <w:r w:rsidRPr="00A20AF6">
              <w:rPr>
                <w:szCs w:val="18"/>
              </w:rPr>
              <w:t>COP</w:t>
            </w:r>
            <w:r>
              <w:rPr>
                <w:szCs w:val="18"/>
              </w:rPr>
              <w:t>)</w:t>
            </w:r>
            <w:r w:rsidRPr="00A20AF6">
              <w:rPr>
                <w:szCs w:val="18"/>
              </w:rPr>
              <w:t xml:space="preserve"> and Trades Snapshot at the end of the Adjustment Period, for the hour that includes the 15-minute </w:t>
            </w:r>
            <w:r>
              <w:rPr>
                <w:szCs w:val="18"/>
              </w:rPr>
              <w:t>S</w:t>
            </w:r>
            <w:r w:rsidRPr="00A20AF6">
              <w:rPr>
                <w:szCs w:val="18"/>
              </w:rPr>
              <w:t xml:space="preserve">ettlement </w:t>
            </w:r>
            <w:r>
              <w:rPr>
                <w:szCs w:val="18"/>
              </w:rPr>
              <w:t>I</w:t>
            </w:r>
            <w:r w:rsidRPr="00A20AF6">
              <w:rPr>
                <w:szCs w:val="18"/>
              </w:rPr>
              <w:t>nterval.</w:t>
            </w:r>
          </w:p>
        </w:tc>
      </w:tr>
      <w:tr w:rsidR="00BA7613" w:rsidRPr="0080555B" w14:paraId="3E9203C9" w14:textId="77777777" w:rsidTr="00356445">
        <w:trPr>
          <w:cantSplit/>
        </w:trPr>
        <w:tc>
          <w:tcPr>
            <w:tcW w:w="1312" w:type="pct"/>
          </w:tcPr>
          <w:p w14:paraId="3025A3EA" w14:textId="19925690" w:rsidR="00BA7613" w:rsidRDefault="00BA7613" w:rsidP="00BA7613">
            <w:pPr>
              <w:pStyle w:val="tablebody0"/>
            </w:pPr>
            <w:r w:rsidRPr="0003648D">
              <w:t>H</w:t>
            </w:r>
            <w:r>
              <w:t>EC</w:t>
            </w:r>
            <w:r w:rsidRPr="0003648D">
              <w:t>RADJ</w:t>
            </w:r>
            <w:r w:rsidRPr="0003648D">
              <w:rPr>
                <w:i/>
                <w:vertAlign w:val="subscript"/>
              </w:rPr>
              <w:t xml:space="preserve"> q, r, p</w:t>
            </w:r>
          </w:p>
        </w:tc>
        <w:tc>
          <w:tcPr>
            <w:tcW w:w="606" w:type="pct"/>
          </w:tcPr>
          <w:p w14:paraId="2F0E2598" w14:textId="1E0F9CB8" w:rsidR="00BA7613" w:rsidRPr="0080555B" w:rsidRDefault="00BA7613" w:rsidP="00BA7613">
            <w:pPr>
              <w:pStyle w:val="tablebody0"/>
            </w:pPr>
            <w:r w:rsidRPr="0003648D">
              <w:t xml:space="preserve">MW </w:t>
            </w:r>
          </w:p>
        </w:tc>
        <w:tc>
          <w:tcPr>
            <w:tcW w:w="3082" w:type="pct"/>
          </w:tcPr>
          <w:p w14:paraId="4CC50D0A" w14:textId="483AE6CD" w:rsidR="00BA7613" w:rsidRPr="00A20AF6" w:rsidRDefault="00BA7613" w:rsidP="00BA7613">
            <w:pPr>
              <w:pStyle w:val="tablebody0"/>
              <w:rPr>
                <w:i/>
                <w:szCs w:val="18"/>
              </w:rPr>
            </w:pPr>
            <w:r w:rsidRPr="0003648D">
              <w:rPr>
                <w:i/>
                <w:szCs w:val="18"/>
              </w:rPr>
              <w:t xml:space="preserve">Ancillary Service Resource Responsibility Capacity for </w:t>
            </w:r>
            <w:r>
              <w:rPr>
                <w:i/>
                <w:szCs w:val="18"/>
              </w:rPr>
              <w:t>ERCOT Contingency Reserve Service</w:t>
            </w:r>
            <w:r w:rsidRPr="0003648D">
              <w:rPr>
                <w:i/>
                <w:szCs w:val="18"/>
              </w:rPr>
              <w:t xml:space="preserve"> at Adjustment Period—</w:t>
            </w:r>
            <w:r w:rsidRPr="0003648D">
              <w:rPr>
                <w:szCs w:val="18"/>
              </w:rPr>
              <w:t xml:space="preserve">The </w:t>
            </w:r>
            <w:r>
              <w:rPr>
                <w:szCs w:val="18"/>
              </w:rPr>
              <w:t>ECRS</w:t>
            </w:r>
            <w:r w:rsidRPr="0003648D">
              <w:rPr>
                <w:szCs w:val="18"/>
              </w:rPr>
              <w:t xml:space="preserve"> Ancillary Service Resource Responsibility for the Resource </w:t>
            </w:r>
            <w:r w:rsidRPr="0003648D">
              <w:rPr>
                <w:i/>
                <w:szCs w:val="18"/>
              </w:rPr>
              <w:t xml:space="preserve">r </w:t>
            </w:r>
            <w:r w:rsidRPr="0003648D">
              <w:t xml:space="preserve">represented by QSE </w:t>
            </w:r>
            <w:r w:rsidRPr="0003648D">
              <w:rPr>
                <w:i/>
              </w:rPr>
              <w:t>q</w:t>
            </w:r>
            <w:r w:rsidRPr="0003648D">
              <w:t xml:space="preserve"> at Resource Node </w:t>
            </w:r>
            <w:r w:rsidRPr="0003648D">
              <w:rPr>
                <w:i/>
              </w:rPr>
              <w:t>p</w:t>
            </w:r>
            <w:r w:rsidRPr="0003648D">
              <w:rPr>
                <w:szCs w:val="18"/>
              </w:rPr>
              <w:t xml:space="preserve"> as seen in the last COP and Trades Snapshot at the end of the Adjustment Period, for the hour that includes the 15-minute Settlement Interval.</w:t>
            </w:r>
          </w:p>
        </w:tc>
      </w:tr>
      <w:tr w:rsidR="0009153B" w:rsidRPr="0080555B" w14:paraId="1395FF38" w14:textId="77777777" w:rsidTr="0009153B">
        <w:trPr>
          <w:cantSplit/>
        </w:trPr>
        <w:tc>
          <w:tcPr>
            <w:tcW w:w="5000" w:type="pct"/>
            <w:gridSpan w:val="3"/>
          </w:tcPr>
          <w:p w14:paraId="737967F4" w14:textId="77777777" w:rsidR="0009153B" w:rsidRPr="00A20AF6" w:rsidRDefault="0009153B" w:rsidP="00BE197B">
            <w:pPr>
              <w:pStyle w:val="tablebody0"/>
              <w:rPr>
                <w:i/>
                <w:szCs w:val="18"/>
              </w:rPr>
            </w:pPr>
          </w:p>
        </w:tc>
      </w:tr>
      <w:tr w:rsidR="00BE197B" w:rsidRPr="0080555B" w14:paraId="47666D76" w14:textId="77777777" w:rsidTr="00356445">
        <w:trPr>
          <w:cantSplit/>
        </w:trPr>
        <w:tc>
          <w:tcPr>
            <w:tcW w:w="1312" w:type="pct"/>
          </w:tcPr>
          <w:p w14:paraId="7C6CB951" w14:textId="77777777" w:rsidR="00BE197B" w:rsidRPr="0080555B" w:rsidRDefault="00BE197B" w:rsidP="00BE197B">
            <w:pPr>
              <w:pStyle w:val="tablebody0"/>
            </w:pPr>
            <w:r>
              <w:t>HRUADJ</w:t>
            </w:r>
            <w:r w:rsidRPr="0080555B">
              <w:rPr>
                <w:i/>
                <w:vertAlign w:val="subscript"/>
              </w:rPr>
              <w:t xml:space="preserve"> q</w:t>
            </w:r>
            <w:r>
              <w:rPr>
                <w:i/>
                <w:vertAlign w:val="subscript"/>
              </w:rPr>
              <w:t>, r, p</w:t>
            </w:r>
          </w:p>
        </w:tc>
        <w:tc>
          <w:tcPr>
            <w:tcW w:w="606" w:type="pct"/>
          </w:tcPr>
          <w:p w14:paraId="720E5E8B" w14:textId="77777777" w:rsidR="00BE197B" w:rsidRPr="0080555B" w:rsidRDefault="00BE197B" w:rsidP="00BE197B">
            <w:pPr>
              <w:pStyle w:val="tablebody0"/>
            </w:pPr>
            <w:r w:rsidRPr="0080555B">
              <w:t>MW</w:t>
            </w:r>
          </w:p>
        </w:tc>
        <w:tc>
          <w:tcPr>
            <w:tcW w:w="3082" w:type="pct"/>
          </w:tcPr>
          <w:p w14:paraId="2C4E0018" w14:textId="77777777" w:rsidR="00BE197B" w:rsidRPr="0080555B" w:rsidRDefault="00BE197B" w:rsidP="00BE197B">
            <w:pPr>
              <w:pStyle w:val="tablebody0"/>
              <w:rPr>
                <w:i/>
              </w:rPr>
            </w:pPr>
            <w:r w:rsidRPr="00A20AF6">
              <w:rPr>
                <w:i/>
                <w:szCs w:val="18"/>
              </w:rPr>
              <w:t>Ancillary Service Resource Responsibility Capacity for Reg-Up at Adjustment Period—</w:t>
            </w:r>
            <w:r w:rsidRPr="00A94098">
              <w:rPr>
                <w:szCs w:val="18"/>
              </w:rPr>
              <w:t xml:space="preserve">The Regulation Up Ancillary Service </w:t>
            </w:r>
            <w:r>
              <w:rPr>
                <w:szCs w:val="18"/>
              </w:rPr>
              <w:t xml:space="preserve">Resource </w:t>
            </w:r>
            <w:r w:rsidRPr="00A94098">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94098">
              <w:rPr>
                <w:szCs w:val="18"/>
              </w:rPr>
              <w:t xml:space="preserve"> </w:t>
            </w:r>
            <w:r w:rsidRPr="00A94098">
              <w:rPr>
                <w:szCs w:val="18"/>
              </w:rPr>
              <w:t xml:space="preserve">as seen in the last COP and Trades Snapshot at the end of the Adjustment Period, for the hour that includes the 15-minute </w:t>
            </w:r>
            <w:r>
              <w:rPr>
                <w:szCs w:val="18"/>
              </w:rPr>
              <w:t>S</w:t>
            </w:r>
            <w:r w:rsidRPr="00A94098">
              <w:rPr>
                <w:szCs w:val="18"/>
              </w:rPr>
              <w:t xml:space="preserve">ettlement </w:t>
            </w:r>
            <w:r>
              <w:rPr>
                <w:szCs w:val="18"/>
              </w:rPr>
              <w:t>I</w:t>
            </w:r>
            <w:r w:rsidRPr="00A94098">
              <w:rPr>
                <w:szCs w:val="18"/>
              </w:rPr>
              <w:t>nterval.</w:t>
            </w:r>
          </w:p>
        </w:tc>
      </w:tr>
      <w:tr w:rsidR="00BE197B" w:rsidRPr="0080555B" w14:paraId="61B6295A" w14:textId="77777777" w:rsidTr="00356445">
        <w:trPr>
          <w:cantSplit/>
        </w:trPr>
        <w:tc>
          <w:tcPr>
            <w:tcW w:w="1312" w:type="pct"/>
          </w:tcPr>
          <w:p w14:paraId="3F82326A" w14:textId="77777777" w:rsidR="00BE197B" w:rsidRPr="0080555B" w:rsidRDefault="00BE197B" w:rsidP="00BE197B">
            <w:pPr>
              <w:pStyle w:val="tablebody0"/>
            </w:pPr>
            <w:r>
              <w:t>HNSADJ</w:t>
            </w:r>
            <w:r w:rsidRPr="0080555B">
              <w:rPr>
                <w:i/>
                <w:vertAlign w:val="subscript"/>
              </w:rPr>
              <w:t xml:space="preserve"> q</w:t>
            </w:r>
            <w:r>
              <w:rPr>
                <w:i/>
                <w:vertAlign w:val="subscript"/>
              </w:rPr>
              <w:t>, r, p</w:t>
            </w:r>
          </w:p>
        </w:tc>
        <w:tc>
          <w:tcPr>
            <w:tcW w:w="606" w:type="pct"/>
          </w:tcPr>
          <w:p w14:paraId="00D4F197" w14:textId="77777777" w:rsidR="00BE197B" w:rsidRPr="0080555B" w:rsidRDefault="00BE197B" w:rsidP="00BE197B">
            <w:pPr>
              <w:pStyle w:val="tablebody0"/>
            </w:pPr>
            <w:r w:rsidRPr="0080555B">
              <w:t>MW</w:t>
            </w:r>
          </w:p>
        </w:tc>
        <w:tc>
          <w:tcPr>
            <w:tcW w:w="3082" w:type="pct"/>
          </w:tcPr>
          <w:p w14:paraId="0444E29C" w14:textId="77777777" w:rsidR="00BE197B" w:rsidRPr="00353A56" w:rsidRDefault="00BE197B" w:rsidP="00BE197B">
            <w:pPr>
              <w:pStyle w:val="tablebody0"/>
              <w:rPr>
                <w:i/>
              </w:rPr>
            </w:pPr>
            <w:r w:rsidRPr="00A20AF6">
              <w:rPr>
                <w:i/>
                <w:szCs w:val="18"/>
              </w:rPr>
              <w:t>Ancillary Service Resource Responsibility Capacity for Non-Spin at Adjustment Period—</w:t>
            </w:r>
            <w:r w:rsidRPr="00A20AF6">
              <w:rPr>
                <w:szCs w:val="18"/>
              </w:rPr>
              <w:t>The Non</w:t>
            </w:r>
            <w:r>
              <w:rPr>
                <w:szCs w:val="18"/>
              </w:rPr>
              <w:t>-</w:t>
            </w:r>
            <w:r w:rsidRPr="00A20AF6">
              <w:rPr>
                <w:szCs w:val="18"/>
              </w:rPr>
              <w:t xml:space="preserve">Spin Ancillary Service </w:t>
            </w:r>
            <w:r>
              <w:rPr>
                <w:szCs w:val="18"/>
              </w:rPr>
              <w:t xml:space="preserve">Resource </w:t>
            </w:r>
            <w:r w:rsidRPr="00A20AF6">
              <w:rPr>
                <w:szCs w:val="18"/>
              </w:rPr>
              <w:t xml:space="preserve">Responsibility for the Resource </w:t>
            </w:r>
            <w:r>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Pr>
                <w:i/>
                <w:szCs w:val="18"/>
              </w:rPr>
              <w:t xml:space="preserve"> </w:t>
            </w:r>
            <w:r w:rsidRPr="00A20AF6">
              <w:rPr>
                <w:szCs w:val="18"/>
              </w:rPr>
              <w:t>as seen in the last COP and Trades Snapshot at the end of the Adjustment Period, for the hour that includes the 15-minute Settlement Interval.</w:t>
            </w:r>
          </w:p>
        </w:tc>
      </w:tr>
      <w:tr w:rsidR="00BE197B" w:rsidRPr="0080555B" w14:paraId="72361832" w14:textId="77777777" w:rsidTr="00356445">
        <w:trPr>
          <w:cantSplit/>
        </w:trPr>
        <w:tc>
          <w:tcPr>
            <w:tcW w:w="1312" w:type="pct"/>
          </w:tcPr>
          <w:p w14:paraId="245D4D41" w14:textId="77777777" w:rsidR="00BE197B" w:rsidRPr="0080555B" w:rsidRDefault="00BE197B" w:rsidP="00BE197B">
            <w:pPr>
              <w:pStyle w:val="tablebody0"/>
            </w:pPr>
            <w:r>
              <w:lastRenderedPageBreak/>
              <w:t>RTRUCNBBRESP</w:t>
            </w:r>
            <w:r w:rsidRPr="0080555B">
              <w:t xml:space="preserve"> </w:t>
            </w:r>
            <w:r w:rsidRPr="0080555B">
              <w:rPr>
                <w:i/>
                <w:vertAlign w:val="subscript"/>
              </w:rPr>
              <w:t>q</w:t>
            </w:r>
          </w:p>
        </w:tc>
        <w:tc>
          <w:tcPr>
            <w:tcW w:w="606" w:type="pct"/>
          </w:tcPr>
          <w:p w14:paraId="2A696BE4" w14:textId="77777777" w:rsidR="00BE197B" w:rsidRPr="0080555B" w:rsidRDefault="00BE197B" w:rsidP="00BE197B">
            <w:pPr>
              <w:pStyle w:val="tablebody0"/>
            </w:pPr>
            <w:r w:rsidRPr="0080555B">
              <w:t>MW</w:t>
            </w:r>
            <w:r>
              <w:t>h</w:t>
            </w:r>
          </w:p>
        </w:tc>
        <w:tc>
          <w:tcPr>
            <w:tcW w:w="3082" w:type="pct"/>
          </w:tcPr>
          <w:p w14:paraId="295CC2ED" w14:textId="1A375D22" w:rsidR="000809F8" w:rsidRPr="000809F8" w:rsidRDefault="00BE197B" w:rsidP="00BE197B">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 xml:space="preserve">for Reg-Up, </w:t>
            </w:r>
            <w:r w:rsidR="008B2D35">
              <w:t xml:space="preserve">ECRS, </w:t>
            </w:r>
            <w:r>
              <w:t>RRS</w:t>
            </w:r>
            <w:r w:rsidR="008B2D35">
              <w:t>,</w:t>
            </w:r>
            <w:r>
              <w:t xml:space="preserve">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p w14:paraId="4714560D" w14:textId="77777777" w:rsidR="00BE197B" w:rsidRPr="000809F8" w:rsidRDefault="00BE197B" w:rsidP="00BE197B">
            <w:pPr>
              <w:pStyle w:val="tablebody0"/>
            </w:pPr>
          </w:p>
        </w:tc>
      </w:tr>
      <w:tr w:rsidR="00BE197B" w:rsidRPr="0080555B" w14:paraId="32DDAA95" w14:textId="77777777" w:rsidTr="00356445">
        <w:trPr>
          <w:cantSplit/>
          <w:trHeight w:val="962"/>
        </w:trPr>
        <w:tc>
          <w:tcPr>
            <w:tcW w:w="1312" w:type="pct"/>
          </w:tcPr>
          <w:p w14:paraId="204B3073" w14:textId="77777777" w:rsidR="00BE197B" w:rsidRPr="0080555B" w:rsidRDefault="00BE197B" w:rsidP="00BE197B">
            <w:pPr>
              <w:pStyle w:val="tablebody0"/>
            </w:pPr>
            <w:r>
              <w:t>RTRUCASA</w:t>
            </w:r>
            <w:r w:rsidRPr="000275BF">
              <w:rPr>
                <w:i/>
                <w:vertAlign w:val="subscript"/>
              </w:rPr>
              <w:t xml:space="preserve"> q, r</w:t>
            </w:r>
          </w:p>
        </w:tc>
        <w:tc>
          <w:tcPr>
            <w:tcW w:w="606" w:type="pct"/>
          </w:tcPr>
          <w:p w14:paraId="7F8E7009" w14:textId="77777777" w:rsidR="00BE197B" w:rsidRPr="0080555B" w:rsidRDefault="00BE197B" w:rsidP="00BE197B">
            <w:pPr>
              <w:pStyle w:val="tablebody0"/>
            </w:pPr>
            <w:r w:rsidRPr="0080555B">
              <w:t>MW</w:t>
            </w:r>
          </w:p>
        </w:tc>
        <w:tc>
          <w:tcPr>
            <w:tcW w:w="3082" w:type="pct"/>
          </w:tcPr>
          <w:p w14:paraId="166CF552" w14:textId="7C08F348" w:rsidR="00E741B2" w:rsidRPr="005642DB" w:rsidRDefault="00BE197B" w:rsidP="00BE197B">
            <w:pPr>
              <w:pStyle w:val="tablebody0"/>
            </w:pPr>
            <w:r>
              <w:rPr>
                <w:i/>
              </w:rPr>
              <w:t>Real-Time RUC Ancillary Service Awards</w:t>
            </w:r>
            <w:r w:rsidRPr="00A20AF6">
              <w:sym w:font="Symbol" w:char="F0BE"/>
            </w:r>
            <w:r>
              <w:t xml:space="preserve">The Real-Time Ancillary Service award to the RUC Resource </w:t>
            </w:r>
            <w:r>
              <w:rPr>
                <w:i/>
              </w:rPr>
              <w:t xml:space="preserve">r </w:t>
            </w:r>
            <w:r>
              <w:t xml:space="preserve">for Reg-Up, </w:t>
            </w:r>
            <w:r w:rsidR="008B2D35">
              <w:t xml:space="preserve">ECRS, </w:t>
            </w:r>
            <w:r>
              <w:t>RRS</w:t>
            </w:r>
            <w:r w:rsidR="00E741B2">
              <w:t>,</w:t>
            </w:r>
            <w:r>
              <w:t xml:space="preserve">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2164CB72" w14:textId="77777777" w:rsidR="00BE197B" w:rsidRPr="005642DB" w:rsidRDefault="00BE197B" w:rsidP="00BE197B">
            <w:pPr>
              <w:pStyle w:val="tablebody0"/>
            </w:pPr>
          </w:p>
        </w:tc>
      </w:tr>
      <w:bookmarkEnd w:id="2761"/>
      <w:tr w:rsidR="00BE197B" w:rsidRPr="0080555B" w14:paraId="05BC71B2" w14:textId="77777777" w:rsidTr="00356445">
        <w:trPr>
          <w:cantSplit/>
        </w:trPr>
        <w:tc>
          <w:tcPr>
            <w:tcW w:w="1312" w:type="pct"/>
          </w:tcPr>
          <w:p w14:paraId="6D4BDF1E" w14:textId="77777777" w:rsidR="00BE197B" w:rsidRPr="0080555B" w:rsidRDefault="00BE197B" w:rsidP="00BE197B">
            <w:pPr>
              <w:pStyle w:val="tablebody0"/>
            </w:pPr>
            <w:r>
              <w:t>RTRMRRESP</w:t>
            </w:r>
            <w:r w:rsidRPr="0080555B">
              <w:rPr>
                <w:i/>
                <w:vertAlign w:val="subscript"/>
              </w:rPr>
              <w:t xml:space="preserve"> q</w:t>
            </w:r>
          </w:p>
        </w:tc>
        <w:tc>
          <w:tcPr>
            <w:tcW w:w="606" w:type="pct"/>
          </w:tcPr>
          <w:p w14:paraId="12BB6D33" w14:textId="77777777" w:rsidR="00BE197B" w:rsidRPr="0080555B" w:rsidRDefault="00BE197B" w:rsidP="00BE197B">
            <w:pPr>
              <w:pStyle w:val="tablebody0"/>
            </w:pPr>
            <w:r w:rsidRPr="0080555B">
              <w:t>MW</w:t>
            </w:r>
            <w:r>
              <w:t>h</w:t>
            </w:r>
          </w:p>
        </w:tc>
        <w:tc>
          <w:tcPr>
            <w:tcW w:w="3082" w:type="pct"/>
          </w:tcPr>
          <w:p w14:paraId="3B58F533" w14:textId="5149622C" w:rsidR="00E741B2" w:rsidRPr="00353A56" w:rsidRDefault="00BE197B" w:rsidP="00BE197B">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w:t>
            </w:r>
            <w:r w:rsidR="008B2D35">
              <w:t xml:space="preserve">ECRS, </w:t>
            </w:r>
            <w:r>
              <w:t>RRS</w:t>
            </w:r>
            <w:r w:rsidR="00E741B2">
              <w:t>,</w:t>
            </w:r>
            <w:r>
              <w:t xml:space="preserve">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p w14:paraId="08B7942F" w14:textId="77777777" w:rsidR="00BE197B" w:rsidRPr="00353A56" w:rsidRDefault="00BE197B" w:rsidP="00BE197B">
            <w:pPr>
              <w:pStyle w:val="tablebody0"/>
              <w:rPr>
                <w:i/>
              </w:rPr>
            </w:pPr>
          </w:p>
        </w:tc>
      </w:tr>
      <w:tr w:rsidR="00BE197B" w:rsidRPr="0080555B" w14:paraId="20AA2E3B" w14:textId="77777777" w:rsidTr="00356445">
        <w:trPr>
          <w:cantSplit/>
        </w:trPr>
        <w:tc>
          <w:tcPr>
            <w:tcW w:w="1312" w:type="pct"/>
            <w:tcBorders>
              <w:bottom w:val="single" w:sz="4" w:space="0" w:color="auto"/>
            </w:tcBorders>
          </w:tcPr>
          <w:p w14:paraId="4F4E148E" w14:textId="77777777" w:rsidR="00BE197B" w:rsidRPr="0080555B" w:rsidRDefault="00BE197B" w:rsidP="00BE197B">
            <w:pPr>
              <w:pStyle w:val="tablebody0"/>
              <w:rPr>
                <w:i/>
              </w:rPr>
            </w:pPr>
            <w:r w:rsidRPr="0010409C">
              <w:t xml:space="preserve">SYS_GEN_DISCFACTOR </w:t>
            </w:r>
          </w:p>
        </w:tc>
        <w:tc>
          <w:tcPr>
            <w:tcW w:w="606" w:type="pct"/>
            <w:tcBorders>
              <w:bottom w:val="single" w:sz="4" w:space="0" w:color="auto"/>
            </w:tcBorders>
          </w:tcPr>
          <w:p w14:paraId="0177734A" w14:textId="77777777" w:rsidR="00BE197B" w:rsidRPr="0080555B" w:rsidRDefault="00BE197B" w:rsidP="00BE197B">
            <w:pPr>
              <w:pStyle w:val="tablebody0"/>
            </w:pPr>
            <w:r w:rsidRPr="0010409C">
              <w:t>none</w:t>
            </w:r>
          </w:p>
        </w:tc>
        <w:tc>
          <w:tcPr>
            <w:tcW w:w="3082" w:type="pct"/>
            <w:tcBorders>
              <w:bottom w:val="single" w:sz="4" w:space="0" w:color="auto"/>
            </w:tcBorders>
          </w:tcPr>
          <w:p w14:paraId="5E8EA058" w14:textId="77777777" w:rsidR="00BE197B" w:rsidRPr="0080555B" w:rsidRDefault="00BE197B" w:rsidP="00BE197B">
            <w:pPr>
              <w:pStyle w:val="tablebody0"/>
            </w:pPr>
            <w:r w:rsidRPr="0010409C">
              <w:rPr>
                <w:i/>
              </w:rPr>
              <w:t>System-Wide Discount Factor</w:t>
            </w:r>
            <w:r w:rsidRPr="0010409C">
              <w:t xml:space="preserve"> – The system-wide discount factor used to discount inputs used in the calculation of Real-Time Ancillary Services Imbalance payment or charge is calculated </w:t>
            </w:r>
            <w:r>
              <w:t>as</w:t>
            </w:r>
            <w:r w:rsidRPr="00E80CD2">
              <w:t xml:space="preserve"> the average of the </w:t>
            </w:r>
            <w:r>
              <w:t xml:space="preserve">currently approved </w:t>
            </w:r>
            <w:r w:rsidRPr="00E80CD2">
              <w:t xml:space="preserve">Reserve Discount Factors (RDFs) </w:t>
            </w:r>
            <w:r>
              <w:t>applied to the temperatures from the current</w:t>
            </w:r>
            <w:r w:rsidRPr="00E80CD2">
              <w:t xml:space="preserve"> Season from the year prior</w:t>
            </w:r>
            <w:r w:rsidRPr="0010409C">
              <w:t>.  </w:t>
            </w:r>
          </w:p>
        </w:tc>
      </w:tr>
      <w:tr w:rsidR="00BE197B" w:rsidRPr="0080555B" w14:paraId="4B204B7D" w14:textId="77777777" w:rsidTr="00356445">
        <w:trPr>
          <w:cantSplit/>
        </w:trPr>
        <w:tc>
          <w:tcPr>
            <w:tcW w:w="1312" w:type="pct"/>
            <w:tcBorders>
              <w:bottom w:val="single" w:sz="4" w:space="0" w:color="auto"/>
            </w:tcBorders>
          </w:tcPr>
          <w:p w14:paraId="3BBC5FB5" w14:textId="77777777" w:rsidR="00BE197B" w:rsidRPr="0010409C" w:rsidRDefault="00BE197B" w:rsidP="00BE197B">
            <w:pPr>
              <w:pStyle w:val="tablebody0"/>
            </w:pPr>
            <w:r w:rsidRPr="00747285">
              <w:t>UGEN</w:t>
            </w:r>
            <w:r w:rsidRPr="00B6611B">
              <w:rPr>
                <w:i/>
                <w:vertAlign w:val="subscript"/>
              </w:rPr>
              <w:t xml:space="preserve"> q, r, p</w:t>
            </w:r>
          </w:p>
        </w:tc>
        <w:tc>
          <w:tcPr>
            <w:tcW w:w="606" w:type="pct"/>
            <w:tcBorders>
              <w:bottom w:val="single" w:sz="4" w:space="0" w:color="auto"/>
            </w:tcBorders>
          </w:tcPr>
          <w:p w14:paraId="44B0672A" w14:textId="77777777" w:rsidR="00BE197B" w:rsidRPr="0010409C" w:rsidRDefault="00BE197B" w:rsidP="00BE197B">
            <w:pPr>
              <w:pStyle w:val="tablebody0"/>
            </w:pPr>
            <w:r>
              <w:t>MWh</w:t>
            </w:r>
          </w:p>
        </w:tc>
        <w:tc>
          <w:tcPr>
            <w:tcW w:w="3082" w:type="pct"/>
            <w:tcBorders>
              <w:bottom w:val="single" w:sz="4" w:space="0" w:color="auto"/>
            </w:tcBorders>
          </w:tcPr>
          <w:p w14:paraId="3E7289E1" w14:textId="77777777" w:rsidR="00BE197B" w:rsidRPr="0010409C" w:rsidRDefault="00BE197B" w:rsidP="00BE197B">
            <w:pPr>
              <w:pStyle w:val="tablebody0"/>
              <w:rPr>
                <w:i/>
              </w:rPr>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w:t>
            </w:r>
          </w:p>
        </w:tc>
      </w:tr>
      <w:tr w:rsidR="00BE197B" w:rsidRPr="0080555B" w14:paraId="201406EB" w14:textId="77777777" w:rsidTr="00356445">
        <w:trPr>
          <w:cantSplit/>
        </w:trPr>
        <w:tc>
          <w:tcPr>
            <w:tcW w:w="1312" w:type="pct"/>
            <w:tcBorders>
              <w:bottom w:val="single" w:sz="4" w:space="0" w:color="auto"/>
            </w:tcBorders>
          </w:tcPr>
          <w:p w14:paraId="30FCD094" w14:textId="77777777" w:rsidR="00BE197B" w:rsidRPr="0010409C" w:rsidRDefault="00BE197B" w:rsidP="00BE197B">
            <w:pPr>
              <w:pStyle w:val="tablebody0"/>
            </w:pPr>
            <w:r w:rsidRPr="00893150">
              <w:t>UGEN</w:t>
            </w:r>
            <w:r>
              <w:t>A</w:t>
            </w:r>
            <w:r w:rsidRPr="00B6611B">
              <w:rPr>
                <w:i/>
                <w:vertAlign w:val="subscript"/>
              </w:rPr>
              <w:t xml:space="preserve"> q, r, p</w:t>
            </w:r>
          </w:p>
        </w:tc>
        <w:tc>
          <w:tcPr>
            <w:tcW w:w="606" w:type="pct"/>
            <w:tcBorders>
              <w:bottom w:val="single" w:sz="4" w:space="0" w:color="auto"/>
            </w:tcBorders>
          </w:tcPr>
          <w:p w14:paraId="6DDA9342" w14:textId="77777777" w:rsidR="00BE197B" w:rsidRPr="0010409C" w:rsidRDefault="00BE197B" w:rsidP="00BE197B">
            <w:pPr>
              <w:pStyle w:val="tablebody0"/>
            </w:pPr>
            <w:r>
              <w:t>MWh</w:t>
            </w:r>
          </w:p>
        </w:tc>
        <w:tc>
          <w:tcPr>
            <w:tcW w:w="3082" w:type="pct"/>
            <w:tcBorders>
              <w:bottom w:val="single" w:sz="4" w:space="0" w:color="auto"/>
            </w:tcBorders>
          </w:tcPr>
          <w:p w14:paraId="75502E7A" w14:textId="77777777" w:rsidR="00BE197B" w:rsidRPr="0010409C" w:rsidRDefault="00BE197B" w:rsidP="00BE197B">
            <w:pPr>
              <w:pStyle w:val="tablebody0"/>
              <w:rPr>
                <w:i/>
              </w:rPr>
            </w:pPr>
            <w:r>
              <w:rPr>
                <w:i/>
              </w:rPr>
              <w:t xml:space="preserve">Adjusted </w:t>
            </w:r>
            <w:r w:rsidRPr="006624C0">
              <w:rPr>
                <w:i/>
              </w:rPr>
              <w:t>Under Generation Volumes per QSE per Settlement Point per Resource</w:t>
            </w:r>
            <w:r>
              <w:t xml:space="preserve">—The amount </w:t>
            </w:r>
            <w:r w:rsidRPr="006624C0">
              <w:t xml:space="preserve">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 xml:space="preserve"> adjusted pursuant to paragraph</w:t>
            </w:r>
            <w:r w:rsidRPr="00B6611B">
              <w:t xml:space="preserve"> (</w:t>
            </w:r>
            <w:r>
              <w:t>6) above.</w:t>
            </w:r>
          </w:p>
        </w:tc>
      </w:tr>
      <w:tr w:rsidR="004F2298" w:rsidRPr="0080555B" w14:paraId="3E7930A9"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142BD948" w14:textId="77777777" w:rsidTr="005C5A9B">
              <w:trPr>
                <w:trHeight w:val="206"/>
              </w:trPr>
              <w:tc>
                <w:tcPr>
                  <w:tcW w:w="9576" w:type="dxa"/>
                  <w:shd w:val="pct12" w:color="auto" w:fill="auto"/>
                </w:tcPr>
                <w:p w14:paraId="7B2F5D74" w14:textId="5AC50BDF" w:rsidR="004F2298" w:rsidRDefault="004F2298" w:rsidP="004F2298">
                  <w:pPr>
                    <w:pStyle w:val="Instructions"/>
                    <w:spacing w:before="120"/>
                  </w:pPr>
                  <w:r>
                    <w:t>[NPRR987</w:t>
                  </w:r>
                  <w:r w:rsidRPr="00356445">
                    <w:t>:  Insert the variabl</w:t>
                  </w:r>
                  <w:r w:rsidRPr="004F2298">
                    <w:t xml:space="preserve">es “UPESR </w:t>
                  </w:r>
                  <w:r w:rsidRPr="004F2298">
                    <w:rPr>
                      <w:vertAlign w:val="subscript"/>
                    </w:rPr>
                    <w:t>q, r, p</w:t>
                  </w:r>
                  <w:r w:rsidRPr="004F2298">
                    <w:t>” and “UPESRA</w:t>
                  </w:r>
                  <w:r w:rsidRPr="004F2298">
                    <w:rPr>
                      <w:vertAlign w:val="subscript"/>
                    </w:rPr>
                    <w:t xml:space="preserve"> q, r, p</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9ED9A7D" w14:textId="77777777" w:rsidTr="005C5A9B">
                    <w:trPr>
                      <w:cantSplit/>
                    </w:trPr>
                    <w:tc>
                      <w:tcPr>
                        <w:tcW w:w="1279" w:type="pct"/>
                        <w:tcBorders>
                          <w:bottom w:val="single" w:sz="4" w:space="0" w:color="auto"/>
                        </w:tcBorders>
                      </w:tcPr>
                      <w:p w14:paraId="63211251" w14:textId="4F4D0EF8" w:rsidR="004F2298" w:rsidRPr="0003648D" w:rsidRDefault="004F2298" w:rsidP="004F2298">
                        <w:pPr>
                          <w:pStyle w:val="tablebody0"/>
                        </w:pPr>
                        <w:r w:rsidRPr="00C265BC">
                          <w:t xml:space="preserve">UPESR </w:t>
                        </w:r>
                        <w:r w:rsidRPr="00C265BC">
                          <w:rPr>
                            <w:i/>
                            <w:vertAlign w:val="subscript"/>
                          </w:rPr>
                          <w:t>q, r, p</w:t>
                        </w:r>
                      </w:p>
                    </w:tc>
                    <w:tc>
                      <w:tcPr>
                        <w:tcW w:w="623" w:type="pct"/>
                        <w:tcBorders>
                          <w:bottom w:val="single" w:sz="4" w:space="0" w:color="auto"/>
                        </w:tcBorders>
                      </w:tcPr>
                      <w:p w14:paraId="06C88BEA" w14:textId="5A4432B2" w:rsidR="004F2298" w:rsidRPr="0003648D" w:rsidRDefault="004F2298" w:rsidP="004F2298">
                        <w:pPr>
                          <w:pStyle w:val="tablebody0"/>
                        </w:pPr>
                        <w:r w:rsidRPr="00C265BC">
                          <w:t>MWh</w:t>
                        </w:r>
                      </w:p>
                    </w:tc>
                    <w:tc>
                      <w:tcPr>
                        <w:tcW w:w="3098" w:type="pct"/>
                        <w:tcBorders>
                          <w:bottom w:val="single" w:sz="4" w:space="0" w:color="auto"/>
                        </w:tcBorders>
                      </w:tcPr>
                      <w:p w14:paraId="56AC455B" w14:textId="0559BCB8" w:rsidR="004F2298" w:rsidRPr="0003648D" w:rsidRDefault="004F2298" w:rsidP="004F2298">
                        <w:pPr>
                          <w:pStyle w:val="tablebody0"/>
                          <w:rPr>
                            <w:i/>
                          </w:rPr>
                        </w:pPr>
                        <w:r w:rsidRPr="00C265BC">
                          <w:rPr>
                            <w:i/>
                          </w:rPr>
                          <w:t>Under-Performance Volumes per QSE per Settlement Point per Resource</w:t>
                        </w:r>
                        <w:r w:rsidRPr="00C265BC">
                          <w:t xml:space="preserve">—The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w:t>
                        </w:r>
                      </w:p>
                    </w:tc>
                  </w:tr>
                  <w:tr w:rsidR="004F2298" w:rsidRPr="0003648D" w14:paraId="08AA0777" w14:textId="77777777" w:rsidTr="005C5A9B">
                    <w:trPr>
                      <w:cantSplit/>
                    </w:trPr>
                    <w:tc>
                      <w:tcPr>
                        <w:tcW w:w="1279" w:type="pct"/>
                      </w:tcPr>
                      <w:p w14:paraId="1B4C6C81" w14:textId="5EA9A174" w:rsidR="004F2298" w:rsidRPr="0003648D" w:rsidRDefault="004F2298" w:rsidP="004F2298">
                        <w:pPr>
                          <w:pStyle w:val="tablebody0"/>
                        </w:pPr>
                        <w:r w:rsidRPr="00C265BC">
                          <w:t>UPESRA</w:t>
                        </w:r>
                        <w:r w:rsidRPr="00C265BC">
                          <w:rPr>
                            <w:i/>
                            <w:vertAlign w:val="subscript"/>
                          </w:rPr>
                          <w:t xml:space="preserve"> q, r, p</w:t>
                        </w:r>
                      </w:p>
                    </w:tc>
                    <w:tc>
                      <w:tcPr>
                        <w:tcW w:w="623" w:type="pct"/>
                      </w:tcPr>
                      <w:p w14:paraId="5DEB4217" w14:textId="2CA3CB57" w:rsidR="004F2298" w:rsidRPr="0003648D" w:rsidRDefault="004F2298" w:rsidP="004F2298">
                        <w:pPr>
                          <w:pStyle w:val="tablebody0"/>
                        </w:pPr>
                        <w:r w:rsidRPr="00C265BC">
                          <w:t>MWh</w:t>
                        </w:r>
                      </w:p>
                    </w:tc>
                    <w:tc>
                      <w:tcPr>
                        <w:tcW w:w="3098" w:type="pct"/>
                      </w:tcPr>
                      <w:p w14:paraId="25535329" w14:textId="22BC872C" w:rsidR="004F2298" w:rsidRPr="0003648D" w:rsidRDefault="004F2298" w:rsidP="004F2298">
                        <w:pPr>
                          <w:pStyle w:val="tablebody0"/>
                          <w:rPr>
                            <w:i/>
                          </w:rPr>
                        </w:pPr>
                        <w:r w:rsidRPr="00C265BC">
                          <w:rPr>
                            <w:i/>
                          </w:rPr>
                          <w:t>Adjusted Under-Performance Volumes per QSE per Settlement Point per Resource</w:t>
                        </w:r>
                        <w:r w:rsidRPr="00C265BC">
                          <w:t xml:space="preserve"> — 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 adjusted pursuant to paragraph (6) above.</w:t>
                        </w:r>
                      </w:p>
                    </w:tc>
                  </w:tr>
                </w:tbl>
                <w:p w14:paraId="1BE7516F" w14:textId="77777777" w:rsidR="004F2298" w:rsidRPr="00AF45BD" w:rsidRDefault="004F2298" w:rsidP="004F2298">
                  <w:pPr>
                    <w:pStyle w:val="tablebody0"/>
                    <w:rPr>
                      <w:i/>
                    </w:rPr>
                  </w:pPr>
                </w:p>
              </w:tc>
            </w:tr>
          </w:tbl>
          <w:p w14:paraId="01D75F8C" w14:textId="77777777" w:rsidR="004F2298" w:rsidRPr="0080555B" w:rsidRDefault="004F2298" w:rsidP="00BE197B">
            <w:pPr>
              <w:pStyle w:val="tablebody0"/>
            </w:pPr>
          </w:p>
        </w:tc>
      </w:tr>
      <w:tr w:rsidR="00BE197B" w:rsidRPr="0080555B" w14:paraId="69798DA0" w14:textId="77777777" w:rsidTr="00356445">
        <w:trPr>
          <w:cantSplit/>
        </w:trPr>
        <w:tc>
          <w:tcPr>
            <w:tcW w:w="1312" w:type="pct"/>
          </w:tcPr>
          <w:p w14:paraId="3B5A1DF1" w14:textId="77777777" w:rsidR="00BE197B" w:rsidRPr="0080555B" w:rsidRDefault="00BE197B" w:rsidP="00BE197B">
            <w:pPr>
              <w:pStyle w:val="tablebody0"/>
            </w:pPr>
            <w:r w:rsidRPr="0080555B">
              <w:rPr>
                <w:i/>
              </w:rPr>
              <w:t>r</w:t>
            </w:r>
          </w:p>
        </w:tc>
        <w:tc>
          <w:tcPr>
            <w:tcW w:w="606" w:type="pct"/>
          </w:tcPr>
          <w:p w14:paraId="0B3B85B7" w14:textId="77777777" w:rsidR="00BE197B" w:rsidRPr="0080555B" w:rsidRDefault="00BE197B" w:rsidP="00BE197B">
            <w:pPr>
              <w:pStyle w:val="tablebody0"/>
            </w:pPr>
            <w:r w:rsidRPr="0080555B">
              <w:t>none</w:t>
            </w:r>
          </w:p>
        </w:tc>
        <w:tc>
          <w:tcPr>
            <w:tcW w:w="3082" w:type="pct"/>
          </w:tcPr>
          <w:p w14:paraId="058564D2" w14:textId="77777777" w:rsidR="00BE197B" w:rsidRPr="0080555B" w:rsidRDefault="00BE197B" w:rsidP="00BE197B">
            <w:pPr>
              <w:pStyle w:val="tablebody0"/>
              <w:rPr>
                <w:i/>
              </w:rPr>
            </w:pPr>
            <w:r w:rsidRPr="0080555B">
              <w:t>A Generation or Load Resource.</w:t>
            </w:r>
          </w:p>
        </w:tc>
      </w:tr>
      <w:tr w:rsidR="00BE197B" w:rsidRPr="0080555B" w14:paraId="23AEDCB9" w14:textId="77777777" w:rsidTr="00356445">
        <w:trPr>
          <w:cantSplit/>
        </w:trPr>
        <w:tc>
          <w:tcPr>
            <w:tcW w:w="1312" w:type="pct"/>
          </w:tcPr>
          <w:p w14:paraId="773B1BF2" w14:textId="77777777" w:rsidR="00BE197B" w:rsidRPr="0080555B" w:rsidRDefault="00BE197B" w:rsidP="00BE197B">
            <w:pPr>
              <w:pStyle w:val="tablebody0"/>
            </w:pPr>
            <w:r w:rsidRPr="0080555B">
              <w:rPr>
                <w:i/>
              </w:rPr>
              <w:lastRenderedPageBreak/>
              <w:t>y</w:t>
            </w:r>
          </w:p>
        </w:tc>
        <w:tc>
          <w:tcPr>
            <w:tcW w:w="606" w:type="pct"/>
          </w:tcPr>
          <w:p w14:paraId="31AC178A" w14:textId="77777777" w:rsidR="00BE197B" w:rsidRPr="0080555B" w:rsidRDefault="00BE197B" w:rsidP="00BE197B">
            <w:pPr>
              <w:pStyle w:val="tablebody0"/>
            </w:pPr>
            <w:r w:rsidRPr="0080555B">
              <w:t>none</w:t>
            </w:r>
          </w:p>
        </w:tc>
        <w:tc>
          <w:tcPr>
            <w:tcW w:w="3082" w:type="pct"/>
          </w:tcPr>
          <w:p w14:paraId="320FD017" w14:textId="77777777" w:rsidR="00BE197B" w:rsidRPr="0080555B" w:rsidRDefault="00BE197B" w:rsidP="00BE197B">
            <w:pPr>
              <w:pStyle w:val="tablebody0"/>
              <w:rPr>
                <w:i/>
              </w:rPr>
            </w:pPr>
            <w:r w:rsidRPr="0080555B">
              <w:t>A SCED interval in the 15-minute Settlement Interval.  The summation is over the total number of SCED runs that cover the 15-minute Settlement Interval.</w:t>
            </w:r>
          </w:p>
        </w:tc>
      </w:tr>
      <w:tr w:rsidR="00BE197B" w:rsidRPr="0080555B" w14:paraId="1A54151B" w14:textId="77777777" w:rsidTr="00356445">
        <w:trPr>
          <w:cantSplit/>
        </w:trPr>
        <w:tc>
          <w:tcPr>
            <w:tcW w:w="1312" w:type="pct"/>
          </w:tcPr>
          <w:p w14:paraId="06565AEF" w14:textId="77777777" w:rsidR="00BE197B" w:rsidRPr="0080555B" w:rsidRDefault="00BE197B" w:rsidP="00BE197B">
            <w:pPr>
              <w:pStyle w:val="tablebody0"/>
              <w:rPr>
                <w:i/>
              </w:rPr>
            </w:pPr>
            <w:r>
              <w:rPr>
                <w:i/>
              </w:rPr>
              <w:t>q</w:t>
            </w:r>
          </w:p>
        </w:tc>
        <w:tc>
          <w:tcPr>
            <w:tcW w:w="606" w:type="pct"/>
          </w:tcPr>
          <w:p w14:paraId="39EB3F5E" w14:textId="77777777" w:rsidR="00BE197B" w:rsidRPr="0080555B" w:rsidRDefault="00BE197B" w:rsidP="00BE197B">
            <w:pPr>
              <w:pStyle w:val="tablebody0"/>
            </w:pPr>
            <w:r w:rsidRPr="0080555B">
              <w:t>none</w:t>
            </w:r>
          </w:p>
        </w:tc>
        <w:tc>
          <w:tcPr>
            <w:tcW w:w="3082" w:type="pct"/>
          </w:tcPr>
          <w:p w14:paraId="10EACA00" w14:textId="77777777" w:rsidR="00BE197B" w:rsidRPr="0080555B" w:rsidRDefault="00BE197B" w:rsidP="00BE197B">
            <w:pPr>
              <w:pStyle w:val="tablebody0"/>
            </w:pPr>
            <w:r w:rsidRPr="0080555B">
              <w:t>A QSE.</w:t>
            </w:r>
          </w:p>
        </w:tc>
      </w:tr>
      <w:tr w:rsidR="000F3CEA" w:rsidRPr="0080555B" w14:paraId="2EB9B875" w14:textId="77777777" w:rsidTr="00356445">
        <w:trPr>
          <w:cantSplit/>
        </w:trPr>
        <w:tc>
          <w:tcPr>
            <w:tcW w:w="1312" w:type="pct"/>
          </w:tcPr>
          <w:p w14:paraId="26BA5BA4" w14:textId="77777777" w:rsidR="000F3CEA" w:rsidRDefault="000F3CEA" w:rsidP="000F3CEA">
            <w:pPr>
              <w:pStyle w:val="tablebody0"/>
              <w:rPr>
                <w:i/>
              </w:rPr>
            </w:pPr>
            <w:r w:rsidRPr="00D661BC">
              <w:rPr>
                <w:i/>
              </w:rPr>
              <w:t>p</w:t>
            </w:r>
          </w:p>
        </w:tc>
        <w:tc>
          <w:tcPr>
            <w:tcW w:w="606" w:type="pct"/>
          </w:tcPr>
          <w:p w14:paraId="565A6A35" w14:textId="77777777" w:rsidR="000F3CEA" w:rsidRPr="0080555B" w:rsidRDefault="000F3CEA" w:rsidP="000F3CEA">
            <w:pPr>
              <w:pStyle w:val="tablebody0"/>
            </w:pPr>
            <w:r>
              <w:t>none</w:t>
            </w:r>
          </w:p>
        </w:tc>
        <w:tc>
          <w:tcPr>
            <w:tcW w:w="3082" w:type="pct"/>
          </w:tcPr>
          <w:p w14:paraId="65A965F8" w14:textId="77777777" w:rsidR="000F3CEA" w:rsidRPr="0080555B" w:rsidRDefault="000F3CEA" w:rsidP="000F3CEA">
            <w:pPr>
              <w:pStyle w:val="tablebody0"/>
            </w:pPr>
            <w:r>
              <w:t>A Resource Node Settlement Point.</w:t>
            </w:r>
          </w:p>
        </w:tc>
      </w:tr>
      <w:tr w:rsidR="004F2298" w:rsidRPr="0080555B" w14:paraId="5957B86C"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0297DAEE" w14:textId="77777777" w:rsidTr="005C5A9B">
              <w:trPr>
                <w:trHeight w:val="206"/>
              </w:trPr>
              <w:tc>
                <w:tcPr>
                  <w:tcW w:w="9576" w:type="dxa"/>
                  <w:shd w:val="pct12" w:color="auto" w:fill="auto"/>
                </w:tcPr>
                <w:p w14:paraId="1F986F71" w14:textId="76A99381" w:rsidR="004F2298" w:rsidRDefault="004F2298" w:rsidP="004F2298">
                  <w:pPr>
                    <w:pStyle w:val="Instructions"/>
                    <w:spacing w:before="120"/>
                  </w:pPr>
                  <w:r>
                    <w:t>[NPRR987</w:t>
                  </w:r>
                  <w:r w:rsidRPr="00356445">
                    <w:t>:  Insert the variabl</w:t>
                  </w:r>
                  <w:r w:rsidRPr="004F2298">
                    <w:t>e “</w:t>
                  </w:r>
                  <w:r>
                    <w:t>g</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51C1454" w14:textId="77777777" w:rsidTr="005C5A9B">
                    <w:trPr>
                      <w:cantSplit/>
                    </w:trPr>
                    <w:tc>
                      <w:tcPr>
                        <w:tcW w:w="1279" w:type="pct"/>
                        <w:tcBorders>
                          <w:bottom w:val="single" w:sz="4" w:space="0" w:color="auto"/>
                        </w:tcBorders>
                      </w:tcPr>
                      <w:p w14:paraId="35F7FD52" w14:textId="3C861B45" w:rsidR="004F2298" w:rsidRPr="0003648D" w:rsidRDefault="004F2298" w:rsidP="004F2298">
                        <w:pPr>
                          <w:pStyle w:val="tablebody0"/>
                        </w:pPr>
                        <w:r>
                          <w:rPr>
                            <w:i/>
                          </w:rPr>
                          <w:t>g</w:t>
                        </w:r>
                      </w:p>
                    </w:tc>
                    <w:tc>
                      <w:tcPr>
                        <w:tcW w:w="623" w:type="pct"/>
                        <w:tcBorders>
                          <w:bottom w:val="single" w:sz="4" w:space="0" w:color="auto"/>
                        </w:tcBorders>
                      </w:tcPr>
                      <w:p w14:paraId="05BE0045" w14:textId="1074B344" w:rsidR="004F2298" w:rsidRPr="0003648D" w:rsidRDefault="004F2298" w:rsidP="004F2298">
                        <w:pPr>
                          <w:pStyle w:val="tablebody0"/>
                        </w:pPr>
                        <w:r>
                          <w:t>none</w:t>
                        </w:r>
                      </w:p>
                    </w:tc>
                    <w:tc>
                      <w:tcPr>
                        <w:tcW w:w="3098" w:type="pct"/>
                        <w:tcBorders>
                          <w:bottom w:val="single" w:sz="4" w:space="0" w:color="auto"/>
                        </w:tcBorders>
                      </w:tcPr>
                      <w:p w14:paraId="651D037F" w14:textId="49510038" w:rsidR="004F2298" w:rsidRPr="0003648D" w:rsidRDefault="004F2298" w:rsidP="004F2298">
                        <w:pPr>
                          <w:pStyle w:val="tablebody0"/>
                          <w:rPr>
                            <w:i/>
                          </w:rPr>
                        </w:pPr>
                        <w:r>
                          <w:t>An ESR.</w:t>
                        </w:r>
                      </w:p>
                    </w:tc>
                  </w:tr>
                </w:tbl>
                <w:p w14:paraId="30D5512C" w14:textId="77777777" w:rsidR="004F2298" w:rsidRPr="00AF45BD" w:rsidRDefault="004F2298" w:rsidP="004F2298">
                  <w:pPr>
                    <w:pStyle w:val="tablebody0"/>
                    <w:rPr>
                      <w:i/>
                    </w:rPr>
                  </w:pPr>
                </w:p>
              </w:tc>
            </w:tr>
          </w:tbl>
          <w:p w14:paraId="2FAB4A8C" w14:textId="77777777" w:rsidR="004F2298" w:rsidRDefault="004F2298" w:rsidP="000F3CEA">
            <w:pPr>
              <w:pStyle w:val="tablebody0"/>
            </w:pPr>
          </w:p>
        </w:tc>
      </w:tr>
    </w:tbl>
    <w:p w14:paraId="25E6206B" w14:textId="77DB2221" w:rsidR="001F04FD" w:rsidRPr="000275BF" w:rsidRDefault="001F04FD" w:rsidP="001F04FD">
      <w:pPr>
        <w:pStyle w:val="Instructions"/>
        <w:spacing w:before="240" w:after="120"/>
        <w:ind w:left="720" w:hanging="720"/>
        <w:rPr>
          <w:b w:val="0"/>
          <w:i w:val="0"/>
          <w:iCs w:val="0"/>
        </w:rPr>
      </w:pPr>
      <w:r w:rsidRPr="000275BF">
        <w:rPr>
          <w:b w:val="0"/>
          <w:i w:val="0"/>
        </w:rPr>
        <w:t>(</w:t>
      </w:r>
      <w:r>
        <w:rPr>
          <w:b w:val="0"/>
          <w:i w:val="0"/>
        </w:rPr>
        <w:t>8</w:t>
      </w:r>
      <w:r w:rsidRPr="000275BF">
        <w:rPr>
          <w:b w:val="0"/>
          <w:i w:val="0"/>
        </w:rPr>
        <w:t>)</w:t>
      </w:r>
      <w:r w:rsidRPr="000275BF">
        <w:rPr>
          <w:b w:val="0"/>
          <w:i w:val="0"/>
        </w:rPr>
        <w:tab/>
        <w:t>The payment to each QSE for the Ancillary Service reserves associated with RUC Resources that have received a RUC Dispatch to provide Ancillary Services in which the 15-minute Settlement Interval is part of a RUC Buy-Back Hour based on the RUC opt out prov</w:t>
      </w:r>
      <w:r w:rsidR="00B84541">
        <w:rPr>
          <w:b w:val="0"/>
          <w:i w:val="0"/>
        </w:rPr>
        <w:t>ision set forth in paragraph (1</w:t>
      </w:r>
      <w:r w:rsidR="00910305">
        <w:rPr>
          <w:b w:val="0"/>
          <w:i w:val="0"/>
        </w:rPr>
        <w:t>4</w:t>
      </w:r>
      <w:r w:rsidRPr="000275BF">
        <w:rPr>
          <w:b w:val="0"/>
          <w:i w:val="0"/>
        </w:rPr>
        <w:t>) of Section 5.5.2</w:t>
      </w:r>
      <w:r>
        <w:rPr>
          <w:b w:val="0"/>
          <w:i w:val="0"/>
        </w:rPr>
        <w:t xml:space="preserve"> </w:t>
      </w:r>
      <w:r w:rsidRPr="000275BF">
        <w:rPr>
          <w:b w:val="0"/>
          <w:i w:val="0"/>
        </w:rPr>
        <w:t>for a given 15-minute Settlement Interval is calculated as follows:</w:t>
      </w:r>
    </w:p>
    <w:p w14:paraId="08768064" w14:textId="77777777" w:rsidR="001F04FD" w:rsidRDefault="001F04FD" w:rsidP="001F04FD">
      <w:pPr>
        <w:spacing w:before="240" w:after="240"/>
        <w:ind w:left="3600" w:hanging="2434"/>
        <w:rPr>
          <w:b/>
        </w:rPr>
      </w:pPr>
      <w:r w:rsidRPr="000275BF">
        <w:rPr>
          <w:b/>
        </w:rPr>
        <w:t xml:space="preserve">RTRUCRSVAMT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RTRSVPOR)</w:t>
      </w:r>
    </w:p>
    <w:p w14:paraId="452835CC" w14:textId="77777777" w:rsidR="001F04FD" w:rsidRDefault="001F04FD" w:rsidP="001F04FD">
      <w:pPr>
        <w:spacing w:before="240" w:after="240"/>
        <w:ind w:left="3600" w:hanging="2434"/>
        <w:rPr>
          <w:b/>
        </w:rPr>
      </w:pPr>
      <w:r w:rsidRPr="000275BF">
        <w:rPr>
          <w:b/>
        </w:rPr>
        <w:t>RT</w:t>
      </w:r>
      <w:r>
        <w:rPr>
          <w:b/>
        </w:rPr>
        <w:t>RD</w:t>
      </w:r>
      <w:r w:rsidRPr="000275BF">
        <w:rPr>
          <w:b/>
        </w:rPr>
        <w:t xml:space="preserve">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w:t>
      </w:r>
      <w:r>
        <w:rPr>
          <w:b/>
        </w:rPr>
        <w:t>RTRDP</w:t>
      </w:r>
      <w:r w:rsidRPr="000275BF">
        <w:rPr>
          <w:b/>
        </w:rPr>
        <w:t>)</w:t>
      </w:r>
    </w:p>
    <w:p w14:paraId="32A4B92A" w14:textId="77777777" w:rsidR="001F04FD" w:rsidRPr="00A20AF6" w:rsidRDefault="001F04FD" w:rsidP="001F04FD">
      <w:pPr>
        <w:spacing w:after="240"/>
      </w:pPr>
      <w:r w:rsidRPr="00A20AF6">
        <w:t>Where:</w:t>
      </w:r>
    </w:p>
    <w:p w14:paraId="746042DE" w14:textId="77777777" w:rsidR="001F04FD" w:rsidRPr="000275BF" w:rsidRDefault="001F04FD" w:rsidP="001F04FD">
      <w:pPr>
        <w:spacing w:after="240"/>
        <w:ind w:left="720"/>
        <w:rPr>
          <w:b/>
        </w:rPr>
      </w:pPr>
      <w:r w:rsidRPr="00A20AF6">
        <w:t>RTRUCRESP</w:t>
      </w:r>
      <w:r>
        <w:t> </w:t>
      </w:r>
      <w:r w:rsidRPr="00DD42BD">
        <w:rPr>
          <w:i/>
          <w:vertAlign w:val="subscript"/>
        </w:rPr>
        <w:t>q</w:t>
      </w:r>
      <w:r w:rsidR="001C490B">
        <w:rPr>
          <w:i/>
          <w:vertAlign w:val="subscript"/>
        </w:rPr>
        <w:t xml:space="preserve"> </w:t>
      </w:r>
      <w:r w:rsidRPr="00B074A0">
        <w:t>=</w:t>
      </w:r>
      <w:r w:rsidRPr="00A20AF6">
        <w:t xml:space="preserve"> </w:t>
      </w:r>
      <w:r w:rsidRPr="000275BF">
        <w:rPr>
          <w:position w:val="-18"/>
        </w:rPr>
        <w:object w:dxaOrig="225" w:dyaOrig="420" w14:anchorId="04B869C8">
          <v:shape id="_x0000_i1394" type="#_x0000_t75" style="width:12pt;height:24pt" o:ole="">
            <v:imagedata r:id="rId159" o:title=""/>
          </v:shape>
          <o:OLEObject Type="Embed" ProgID="Equation.3" ShapeID="_x0000_i1394" DrawAspect="Content" ObjectID="_1804653877" r:id="rId486"/>
        </w:object>
      </w:r>
      <w:r w:rsidRPr="000275BF" w:rsidDel="0018509B">
        <w:t xml:space="preserve"> </w:t>
      </w:r>
      <w:r>
        <w:t>RTRUCASA</w:t>
      </w:r>
      <w:r w:rsidRPr="000275BF">
        <w:rPr>
          <w:i/>
          <w:vertAlign w:val="subscript"/>
        </w:rPr>
        <w:t xml:space="preserve"> q, r</w:t>
      </w:r>
      <w:r>
        <w:t xml:space="preserve"> * ¼</w:t>
      </w:r>
    </w:p>
    <w:p w14:paraId="2BF22AD9"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1F04FD" w:rsidRPr="00AF4E13" w14:paraId="46E2B527" w14:textId="77777777" w:rsidTr="00AC4DEE">
        <w:trPr>
          <w:cantSplit/>
          <w:tblHeader/>
        </w:trPr>
        <w:tc>
          <w:tcPr>
            <w:tcW w:w="1146" w:type="pct"/>
          </w:tcPr>
          <w:p w14:paraId="04628567" w14:textId="77777777" w:rsidR="001F04FD" w:rsidRPr="00CE4C14" w:rsidRDefault="001F04FD" w:rsidP="00AC4DEE">
            <w:pPr>
              <w:pStyle w:val="TableHead"/>
            </w:pPr>
            <w:r w:rsidRPr="00CE4C14">
              <w:t>Variable</w:t>
            </w:r>
          </w:p>
        </w:tc>
        <w:tc>
          <w:tcPr>
            <w:tcW w:w="675" w:type="pct"/>
          </w:tcPr>
          <w:p w14:paraId="52A4673B" w14:textId="77777777" w:rsidR="001F04FD" w:rsidRPr="00CE4C14" w:rsidRDefault="001F04FD" w:rsidP="00AC4DEE">
            <w:pPr>
              <w:pStyle w:val="TableHead"/>
            </w:pPr>
            <w:r w:rsidRPr="00CE4C14">
              <w:t>Unit</w:t>
            </w:r>
          </w:p>
        </w:tc>
        <w:tc>
          <w:tcPr>
            <w:tcW w:w="3179" w:type="pct"/>
          </w:tcPr>
          <w:p w14:paraId="08191FB9" w14:textId="77777777" w:rsidR="001F04FD" w:rsidRPr="00CE4C14" w:rsidRDefault="001F04FD" w:rsidP="00AC4DEE">
            <w:pPr>
              <w:pStyle w:val="TableHead"/>
            </w:pPr>
            <w:r w:rsidRPr="00CE4C14">
              <w:t>Description</w:t>
            </w:r>
          </w:p>
        </w:tc>
      </w:tr>
      <w:tr w:rsidR="001F04FD" w14:paraId="4D52A682" w14:textId="77777777" w:rsidTr="00AC4DEE">
        <w:trPr>
          <w:cantSplit/>
        </w:trPr>
        <w:tc>
          <w:tcPr>
            <w:tcW w:w="1146" w:type="pct"/>
            <w:tcBorders>
              <w:bottom w:val="single" w:sz="4" w:space="0" w:color="auto"/>
            </w:tcBorders>
          </w:tcPr>
          <w:p w14:paraId="024C74CF" w14:textId="77777777" w:rsidR="001F04FD" w:rsidRPr="00D106C5" w:rsidRDefault="001F04FD" w:rsidP="00AC4DEE">
            <w:pPr>
              <w:pStyle w:val="tablebody0"/>
            </w:pPr>
            <w:r w:rsidRPr="009612BC">
              <w:t>RTRUCRSV</w:t>
            </w:r>
            <w:r>
              <w:t>A</w:t>
            </w:r>
            <w:r w:rsidRPr="009612BC">
              <w:t>MT</w:t>
            </w:r>
            <w:r w:rsidRPr="00936D9F">
              <w:rPr>
                <w:vertAlign w:val="subscript"/>
              </w:rPr>
              <w:t xml:space="preserve"> </w:t>
            </w:r>
            <w:r w:rsidRPr="00967A0A">
              <w:rPr>
                <w:i/>
                <w:vertAlign w:val="subscript"/>
              </w:rPr>
              <w:t>q</w:t>
            </w:r>
          </w:p>
        </w:tc>
        <w:tc>
          <w:tcPr>
            <w:tcW w:w="675" w:type="pct"/>
            <w:tcBorders>
              <w:bottom w:val="single" w:sz="4" w:space="0" w:color="auto"/>
            </w:tcBorders>
          </w:tcPr>
          <w:p w14:paraId="4A29E24B" w14:textId="77777777" w:rsidR="001F04FD" w:rsidRPr="004368B4" w:rsidRDefault="001F04FD" w:rsidP="00AC4DEE">
            <w:pPr>
              <w:pStyle w:val="tablebody0"/>
            </w:pPr>
            <w:r w:rsidRPr="004368B4">
              <w:t>$</w:t>
            </w:r>
          </w:p>
        </w:tc>
        <w:tc>
          <w:tcPr>
            <w:tcW w:w="3179" w:type="pct"/>
            <w:tcBorders>
              <w:bottom w:val="single" w:sz="4" w:space="0" w:color="auto"/>
            </w:tcBorders>
          </w:tcPr>
          <w:p w14:paraId="43DB40D3" w14:textId="77777777" w:rsidR="001F04FD" w:rsidRDefault="001F04FD" w:rsidP="00AC4DEE">
            <w:pPr>
              <w:pStyle w:val="tablebody0"/>
              <w:rPr>
                <w:i/>
              </w:rPr>
            </w:pPr>
            <w:r>
              <w:rPr>
                <w:i/>
              </w:rPr>
              <w:t>Real-Time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ORDC</w:t>
            </w:r>
            <w:r w:rsidRPr="00997DBF">
              <w:t xml:space="preserve"> </w:t>
            </w:r>
            <w:r w:rsidRPr="00997DBF">
              <w:rPr>
                <w:iCs/>
              </w:rPr>
              <w:t>for each 15-minute Settlement Interval.</w:t>
            </w:r>
          </w:p>
        </w:tc>
      </w:tr>
      <w:tr w:rsidR="001F04FD" w14:paraId="711096E0" w14:textId="77777777" w:rsidTr="00AC4DEE">
        <w:trPr>
          <w:cantSplit/>
        </w:trPr>
        <w:tc>
          <w:tcPr>
            <w:tcW w:w="1146" w:type="pct"/>
          </w:tcPr>
          <w:p w14:paraId="76CAAA7B" w14:textId="77777777" w:rsidR="001F04FD" w:rsidRPr="00D106C5" w:rsidRDefault="001F04FD" w:rsidP="00AC4DEE">
            <w:pPr>
              <w:pStyle w:val="tablebody0"/>
            </w:pPr>
            <w:r w:rsidRPr="009612BC">
              <w:t>RT</w:t>
            </w:r>
            <w:r>
              <w:t>RD</w:t>
            </w:r>
            <w:r w:rsidRPr="009612BC">
              <w:t>RUCRSV</w:t>
            </w:r>
            <w:r>
              <w:t>A</w:t>
            </w:r>
            <w:r w:rsidRPr="009612BC">
              <w:t xml:space="preserve">MT </w:t>
            </w:r>
            <w:r w:rsidRPr="00967A0A">
              <w:rPr>
                <w:i/>
                <w:vertAlign w:val="subscript"/>
              </w:rPr>
              <w:t>q</w:t>
            </w:r>
          </w:p>
        </w:tc>
        <w:tc>
          <w:tcPr>
            <w:tcW w:w="675" w:type="pct"/>
          </w:tcPr>
          <w:p w14:paraId="57FB280B" w14:textId="77777777" w:rsidR="001F04FD" w:rsidRPr="004368B4" w:rsidRDefault="001F04FD" w:rsidP="00AC4DEE">
            <w:pPr>
              <w:pStyle w:val="tablebody0"/>
            </w:pPr>
            <w:r w:rsidRPr="004368B4">
              <w:t>$</w:t>
            </w:r>
          </w:p>
        </w:tc>
        <w:tc>
          <w:tcPr>
            <w:tcW w:w="3179" w:type="pct"/>
          </w:tcPr>
          <w:p w14:paraId="593C1579" w14:textId="77777777" w:rsidR="001F04FD" w:rsidRDefault="001F04FD" w:rsidP="00AC4DEE">
            <w:pPr>
              <w:pStyle w:val="tablebody0"/>
              <w:rPr>
                <w:i/>
              </w:rPr>
            </w:pPr>
            <w:r>
              <w:rPr>
                <w:i/>
              </w:rPr>
              <w:t>Real-Time Reliability Deployment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reliability deployments</w:t>
            </w:r>
            <w:r w:rsidRPr="00997DBF">
              <w:t xml:space="preserve"> </w:t>
            </w:r>
            <w:r w:rsidRPr="00997DBF">
              <w:rPr>
                <w:iCs/>
              </w:rPr>
              <w:t>for each 15-minute Settlement Interval.</w:t>
            </w:r>
          </w:p>
        </w:tc>
      </w:tr>
      <w:tr w:rsidR="001F04FD" w14:paraId="3B1F56D9" w14:textId="77777777" w:rsidTr="00AC4DEE">
        <w:trPr>
          <w:cantSplit/>
        </w:trPr>
        <w:tc>
          <w:tcPr>
            <w:tcW w:w="1146" w:type="pct"/>
            <w:tcBorders>
              <w:bottom w:val="single" w:sz="4" w:space="0" w:color="auto"/>
            </w:tcBorders>
          </w:tcPr>
          <w:p w14:paraId="2478FA00" w14:textId="77777777" w:rsidR="001F04FD" w:rsidRDefault="001F04FD" w:rsidP="00AC4DEE">
            <w:pPr>
              <w:pStyle w:val="tablebody0"/>
            </w:pPr>
            <w:r w:rsidRPr="00D106C5">
              <w:t>RT</w:t>
            </w:r>
            <w:r>
              <w:t>RUC</w:t>
            </w:r>
            <w:r w:rsidRPr="00D106C5">
              <w:t xml:space="preserve">RESP </w:t>
            </w:r>
            <w:r w:rsidRPr="0024448A">
              <w:rPr>
                <w:i/>
                <w:vertAlign w:val="subscript"/>
              </w:rPr>
              <w:t>q</w:t>
            </w:r>
          </w:p>
        </w:tc>
        <w:tc>
          <w:tcPr>
            <w:tcW w:w="675" w:type="pct"/>
            <w:tcBorders>
              <w:bottom w:val="single" w:sz="4" w:space="0" w:color="auto"/>
            </w:tcBorders>
          </w:tcPr>
          <w:p w14:paraId="501B97C2" w14:textId="77777777" w:rsidR="001F04FD" w:rsidRDefault="001F04FD" w:rsidP="00AC4DEE">
            <w:pPr>
              <w:pStyle w:val="tablebody0"/>
            </w:pPr>
            <w:r w:rsidRPr="004368B4">
              <w:t>MW</w:t>
            </w:r>
            <w:r>
              <w:t>h</w:t>
            </w:r>
          </w:p>
        </w:tc>
        <w:tc>
          <w:tcPr>
            <w:tcW w:w="3179" w:type="pct"/>
            <w:tcBorders>
              <w:bottom w:val="single" w:sz="4" w:space="0" w:color="auto"/>
            </w:tcBorders>
          </w:tcPr>
          <w:p w14:paraId="713FE41E" w14:textId="6BD212F2" w:rsidR="001F04FD" w:rsidRDefault="001F04FD" w:rsidP="00AC4DEE">
            <w:pPr>
              <w:pStyle w:val="tablebody0"/>
              <w:rPr>
                <w:i/>
              </w:rPr>
            </w:pPr>
            <w:r>
              <w:rPr>
                <w:i/>
              </w:rPr>
              <w:t>Real-Time RUC Ancillary Service Supply Responsibility for the QSE</w:t>
            </w:r>
            <w:r w:rsidRPr="00351F0F">
              <w:sym w:font="Symbol" w:char="F0BE"/>
            </w:r>
            <w:r w:rsidRPr="00351F0F">
              <w:t xml:space="preserve">The </w:t>
            </w:r>
            <w:r>
              <w:t xml:space="preserve">Real-Time Ancillary Service Supply Responsibility pursuant to the Ancillary Service awards for Reg-Up, </w:t>
            </w:r>
            <w:r w:rsidR="008B2D35">
              <w:t xml:space="preserve">ECRS, </w:t>
            </w:r>
            <w:r>
              <w:t>RRS</w:t>
            </w:r>
            <w:r w:rsidR="006E0A95">
              <w:t>,</w:t>
            </w:r>
            <w:r>
              <w:t xml:space="preserve"> and Non-Spin for all RUC Resources that </w:t>
            </w:r>
            <w:r w:rsidR="00B84541">
              <w:t>have opted out per paragraph (1</w:t>
            </w:r>
            <w:r w:rsidR="00910305">
              <w:t>4</w:t>
            </w:r>
            <w:r>
              <w:t xml:space="preserve">) of Section 5.5.2 for the QSE </w:t>
            </w:r>
            <w:r w:rsidRPr="00C356D0">
              <w:rPr>
                <w:i/>
              </w:rPr>
              <w:t>q</w:t>
            </w:r>
            <w:r w:rsidRPr="00351F0F">
              <w:t xml:space="preserve">, </w:t>
            </w:r>
            <w:r>
              <w:t>for the 15-minute Settlement Interval.</w:t>
            </w:r>
          </w:p>
        </w:tc>
      </w:tr>
      <w:tr w:rsidR="001F04FD" w14:paraId="28BB5DF6" w14:textId="77777777" w:rsidTr="00AC4DEE">
        <w:trPr>
          <w:cantSplit/>
        </w:trPr>
        <w:tc>
          <w:tcPr>
            <w:tcW w:w="1146" w:type="pct"/>
          </w:tcPr>
          <w:p w14:paraId="3C5397BA" w14:textId="77777777" w:rsidR="001F04FD" w:rsidRDefault="001F04FD" w:rsidP="00AC4DEE">
            <w:pPr>
              <w:pStyle w:val="tablebody0"/>
            </w:pPr>
            <w:r>
              <w:t>RTRUCASA</w:t>
            </w:r>
            <w:r w:rsidRPr="000275BF">
              <w:rPr>
                <w:i/>
                <w:vertAlign w:val="subscript"/>
              </w:rPr>
              <w:t xml:space="preserve"> q, r</w:t>
            </w:r>
          </w:p>
        </w:tc>
        <w:tc>
          <w:tcPr>
            <w:tcW w:w="675" w:type="pct"/>
          </w:tcPr>
          <w:p w14:paraId="6DF08CB0" w14:textId="77777777" w:rsidR="001F04FD" w:rsidRPr="004368B4" w:rsidRDefault="001F04FD" w:rsidP="00AC4DEE">
            <w:pPr>
              <w:pStyle w:val="tablebody0"/>
            </w:pPr>
            <w:r w:rsidRPr="0080555B">
              <w:t>MW</w:t>
            </w:r>
          </w:p>
        </w:tc>
        <w:tc>
          <w:tcPr>
            <w:tcW w:w="3179" w:type="pct"/>
          </w:tcPr>
          <w:p w14:paraId="40523F23" w14:textId="61DC6CB0" w:rsidR="006E0A95" w:rsidRPr="00E2332B" w:rsidRDefault="001F04FD" w:rsidP="00AC4DEE">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 xml:space="preserve">for Reg-Up, </w:t>
            </w:r>
            <w:r w:rsidR="008B2D35">
              <w:t xml:space="preserve">ECRS, </w:t>
            </w:r>
            <w:r>
              <w:t>RRS</w:t>
            </w:r>
            <w:r w:rsidR="006E0A95">
              <w:t>,</w:t>
            </w:r>
            <w:r>
              <w:t xml:space="preserve">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3C97DB0D" w14:textId="77777777" w:rsidR="001F04FD" w:rsidRPr="00E2332B" w:rsidRDefault="001F04FD" w:rsidP="00AC4DEE">
            <w:pPr>
              <w:pStyle w:val="tablebody0"/>
              <w:rPr>
                <w:i/>
              </w:rPr>
            </w:pPr>
          </w:p>
        </w:tc>
      </w:tr>
      <w:tr w:rsidR="001F04FD" w14:paraId="513BEB11" w14:textId="77777777" w:rsidTr="00AC4DEE">
        <w:trPr>
          <w:cantSplit/>
        </w:trPr>
        <w:tc>
          <w:tcPr>
            <w:tcW w:w="1146" w:type="pct"/>
            <w:tcBorders>
              <w:bottom w:val="single" w:sz="4" w:space="0" w:color="auto"/>
            </w:tcBorders>
          </w:tcPr>
          <w:p w14:paraId="371070D9" w14:textId="77777777" w:rsidR="001F04FD" w:rsidRDefault="001F04FD" w:rsidP="00AC4DEE">
            <w:pPr>
              <w:pStyle w:val="tablebody0"/>
              <w:rPr>
                <w:i/>
              </w:rPr>
            </w:pPr>
            <w:r>
              <w:lastRenderedPageBreak/>
              <w:t>RTRSVPOR</w:t>
            </w:r>
          </w:p>
        </w:tc>
        <w:tc>
          <w:tcPr>
            <w:tcW w:w="675" w:type="pct"/>
            <w:tcBorders>
              <w:bottom w:val="single" w:sz="4" w:space="0" w:color="auto"/>
            </w:tcBorders>
          </w:tcPr>
          <w:p w14:paraId="0CC5FD71" w14:textId="77777777" w:rsidR="001F04FD" w:rsidRPr="0080555B" w:rsidRDefault="001F04FD" w:rsidP="00AC4DEE">
            <w:pPr>
              <w:pStyle w:val="tablebody0"/>
            </w:pPr>
            <w:r w:rsidRPr="004368B4">
              <w:t>$/MWh</w:t>
            </w:r>
          </w:p>
        </w:tc>
        <w:tc>
          <w:tcPr>
            <w:tcW w:w="3179" w:type="pct"/>
            <w:tcBorders>
              <w:bottom w:val="single" w:sz="4" w:space="0" w:color="auto"/>
            </w:tcBorders>
          </w:tcPr>
          <w:p w14:paraId="22988BE7" w14:textId="77777777" w:rsidR="001F04FD" w:rsidRPr="0080555B" w:rsidRDefault="001F04FD" w:rsidP="00AC4DEE">
            <w:pPr>
              <w:pStyle w:val="tablebody0"/>
            </w:pPr>
            <w:r w:rsidRPr="00E2332B">
              <w:rPr>
                <w:i/>
              </w:rPr>
              <w:t>Real-Time Reserve Price</w:t>
            </w:r>
            <w:r>
              <w:rPr>
                <w:i/>
              </w:rPr>
              <w:t xml:space="preserve"> for</w:t>
            </w:r>
            <w:r w:rsidRPr="00E2332B">
              <w:rPr>
                <w:i/>
              </w:rPr>
              <w:t xml:space="preserve"> On-Line Reserves</w:t>
            </w:r>
            <w:r w:rsidRPr="00E2332B">
              <w:sym w:font="Symbol" w:char="F0BE"/>
            </w:r>
            <w:r w:rsidRPr="00E2332B">
              <w:t xml:space="preserve">The </w:t>
            </w:r>
            <w:r w:rsidRPr="00111608">
              <w:t xml:space="preserve">Real-Time Reserve Price for On-Line Reserves </w:t>
            </w:r>
            <w:r w:rsidRPr="00E2332B">
              <w:t>for the 15-minute Settlement Interval.</w:t>
            </w:r>
          </w:p>
        </w:tc>
      </w:tr>
      <w:tr w:rsidR="001F04FD" w14:paraId="71CDAA84" w14:textId="77777777" w:rsidTr="00AC4DEE">
        <w:trPr>
          <w:cantSplit/>
        </w:trPr>
        <w:tc>
          <w:tcPr>
            <w:tcW w:w="1146" w:type="pct"/>
            <w:tcBorders>
              <w:bottom w:val="single" w:sz="4" w:space="0" w:color="auto"/>
            </w:tcBorders>
          </w:tcPr>
          <w:p w14:paraId="02B5D654" w14:textId="77777777" w:rsidR="001F04FD" w:rsidRDefault="001F04FD" w:rsidP="00AC4DEE">
            <w:pPr>
              <w:pStyle w:val="tablebody0"/>
            </w:pPr>
            <w:r w:rsidRPr="00181BDE">
              <w:t>RTRDP</w:t>
            </w:r>
          </w:p>
        </w:tc>
        <w:tc>
          <w:tcPr>
            <w:tcW w:w="675" w:type="pct"/>
            <w:tcBorders>
              <w:bottom w:val="single" w:sz="4" w:space="0" w:color="auto"/>
            </w:tcBorders>
          </w:tcPr>
          <w:p w14:paraId="14EBFE41" w14:textId="77777777" w:rsidR="001F04FD" w:rsidRPr="004368B4" w:rsidRDefault="001F04FD" w:rsidP="00AC4DEE">
            <w:pPr>
              <w:pStyle w:val="tablebody0"/>
            </w:pPr>
            <w:r w:rsidRPr="00181BDE">
              <w:t>$/MWh</w:t>
            </w:r>
          </w:p>
        </w:tc>
        <w:tc>
          <w:tcPr>
            <w:tcW w:w="3179" w:type="pct"/>
            <w:tcBorders>
              <w:bottom w:val="single" w:sz="4" w:space="0" w:color="auto"/>
            </w:tcBorders>
          </w:tcPr>
          <w:p w14:paraId="3C85BDC3" w14:textId="4FE353F7" w:rsidR="001F04FD" w:rsidRPr="00E2332B" w:rsidRDefault="001F04FD" w:rsidP="00CC0885">
            <w:pPr>
              <w:pStyle w:val="tablebody0"/>
              <w:rPr>
                <w:i/>
              </w:rPr>
            </w:pPr>
            <w:r w:rsidRPr="00181BDE">
              <w:rPr>
                <w:i/>
              </w:rPr>
              <w:t xml:space="preserve">Real-Time On-Line Reliability Deployment Price </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14:paraId="6CF62C03" w14:textId="77777777" w:rsidTr="00AC4DEE">
        <w:trPr>
          <w:cantSplit/>
        </w:trPr>
        <w:tc>
          <w:tcPr>
            <w:tcW w:w="1146" w:type="pct"/>
          </w:tcPr>
          <w:p w14:paraId="7A13917F" w14:textId="77777777" w:rsidR="001F04FD" w:rsidRPr="00D106C5" w:rsidRDefault="001F04FD" w:rsidP="00AC4DEE">
            <w:pPr>
              <w:pStyle w:val="tablebody0"/>
            </w:pPr>
            <w:r>
              <w:rPr>
                <w:i/>
              </w:rPr>
              <w:t>q</w:t>
            </w:r>
          </w:p>
        </w:tc>
        <w:tc>
          <w:tcPr>
            <w:tcW w:w="675" w:type="pct"/>
          </w:tcPr>
          <w:p w14:paraId="5BC1A59A" w14:textId="77777777" w:rsidR="001F04FD" w:rsidRPr="004368B4" w:rsidRDefault="001F04FD" w:rsidP="00AC4DEE">
            <w:pPr>
              <w:pStyle w:val="tablebody0"/>
            </w:pPr>
            <w:r w:rsidRPr="0080555B">
              <w:t>none</w:t>
            </w:r>
          </w:p>
        </w:tc>
        <w:tc>
          <w:tcPr>
            <w:tcW w:w="3179" w:type="pct"/>
          </w:tcPr>
          <w:p w14:paraId="2EFAF783" w14:textId="77777777" w:rsidR="001F04FD" w:rsidRDefault="001F04FD" w:rsidP="00AC4DEE">
            <w:pPr>
              <w:pStyle w:val="tablebody0"/>
              <w:rPr>
                <w:i/>
              </w:rPr>
            </w:pPr>
            <w:r w:rsidRPr="0080555B">
              <w:t>A QSE.</w:t>
            </w:r>
          </w:p>
        </w:tc>
      </w:tr>
      <w:tr w:rsidR="00207DD7" w14:paraId="4EEE7A1A" w14:textId="77777777" w:rsidTr="00AC4DEE">
        <w:trPr>
          <w:cantSplit/>
        </w:trPr>
        <w:tc>
          <w:tcPr>
            <w:tcW w:w="1146" w:type="pct"/>
          </w:tcPr>
          <w:p w14:paraId="3B035D9C" w14:textId="1193865C" w:rsidR="00207DD7" w:rsidRDefault="008871B2" w:rsidP="00207DD7">
            <w:pPr>
              <w:pStyle w:val="tablebody0"/>
              <w:rPr>
                <w:i/>
              </w:rPr>
            </w:pPr>
            <w:r>
              <w:rPr>
                <w:i/>
              </w:rPr>
              <w:t>r</w:t>
            </w:r>
          </w:p>
        </w:tc>
        <w:tc>
          <w:tcPr>
            <w:tcW w:w="675" w:type="pct"/>
          </w:tcPr>
          <w:p w14:paraId="0B2B0084" w14:textId="77777777" w:rsidR="00207DD7" w:rsidRPr="0080555B" w:rsidRDefault="00207DD7" w:rsidP="00207DD7">
            <w:pPr>
              <w:pStyle w:val="tablebody0"/>
            </w:pPr>
            <w:r w:rsidRPr="0080555B">
              <w:t>none</w:t>
            </w:r>
          </w:p>
        </w:tc>
        <w:tc>
          <w:tcPr>
            <w:tcW w:w="3179" w:type="pct"/>
          </w:tcPr>
          <w:p w14:paraId="0BBF8F70" w14:textId="77777777" w:rsidR="00207DD7" w:rsidRPr="0080555B" w:rsidRDefault="00207DD7" w:rsidP="00207DD7">
            <w:pPr>
              <w:pStyle w:val="tablebody0"/>
            </w:pPr>
            <w:r w:rsidRPr="0080555B">
              <w:t>A Generation Resource.</w:t>
            </w:r>
          </w:p>
        </w:tc>
      </w:tr>
    </w:tbl>
    <w:p w14:paraId="26633614" w14:textId="77777777" w:rsidR="008871B2" w:rsidRPr="008871B2" w:rsidRDefault="008871B2" w:rsidP="008871B2">
      <w:pPr>
        <w:pStyle w:val="BodyText"/>
        <w:spacing w:after="0"/>
      </w:pPr>
      <w:bookmarkStart w:id="2765" w:name="_Toc397505051"/>
      <w:bookmarkStart w:id="2766" w:name="_Toc402357183"/>
      <w:bookmarkStart w:id="2767" w:name="_Toc412617247"/>
      <w:bookmarkStart w:id="2768" w:name="_Toc422486563"/>
      <w:bookmarkStart w:id="2769" w:name="_Toc433093416"/>
      <w:bookmarkStart w:id="2770" w:name="_Toc433093574"/>
      <w:bookmarkStart w:id="2771" w:name="_Toc440874804"/>
      <w:bookmarkStart w:id="2772" w:name="_Toc448142361"/>
      <w:bookmarkStart w:id="2773" w:name="_Toc448142518"/>
      <w:bookmarkStart w:id="2774" w:name="_Toc458770359"/>
      <w:bookmarkStart w:id="2775" w:name="_Toc459294327"/>
      <w:bookmarkStart w:id="2776" w:name="_Toc463262821"/>
      <w:bookmarkStart w:id="2777" w:name="_Toc468286896"/>
      <w:bookmarkStart w:id="2778" w:name="_Toc481502936"/>
      <w:bookmarkStart w:id="2779" w:name="_Toc496080103"/>
      <w:bookmarkEnd w:id="276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6945806" w14:textId="77777777" w:rsidTr="001138B9">
        <w:trPr>
          <w:trHeight w:val="206"/>
        </w:trPr>
        <w:tc>
          <w:tcPr>
            <w:tcW w:w="9350" w:type="dxa"/>
            <w:shd w:val="pct12" w:color="auto" w:fill="auto"/>
          </w:tcPr>
          <w:p w14:paraId="2D00864F" w14:textId="5BAF614D" w:rsidR="008871B2" w:rsidRDefault="008871B2" w:rsidP="001138B9">
            <w:pPr>
              <w:pStyle w:val="Instructions"/>
              <w:spacing w:before="120"/>
            </w:pPr>
            <w:r>
              <w:t xml:space="preserve">[NPRR1010:  Replace Section 6.7.5 above </w:t>
            </w:r>
            <w:r w:rsidR="00221A13">
              <w:t xml:space="preserve">with the following </w:t>
            </w:r>
            <w:r>
              <w:t>upon system implementation of the Real-Time Co-Optimization (RTC) project:]</w:t>
            </w:r>
          </w:p>
          <w:p w14:paraId="42064BBD" w14:textId="04368FE4" w:rsidR="008871B2" w:rsidRPr="008871B2" w:rsidRDefault="008871B2" w:rsidP="008871B2">
            <w:pPr>
              <w:keepNext/>
              <w:tabs>
                <w:tab w:val="left" w:pos="1080"/>
              </w:tabs>
              <w:spacing w:before="480" w:after="240"/>
              <w:outlineLvl w:val="2"/>
              <w:rPr>
                <w:b/>
                <w:bCs/>
                <w:i/>
              </w:rPr>
            </w:pPr>
            <w:bookmarkStart w:id="2780" w:name="_Toc60040750"/>
            <w:bookmarkStart w:id="2781" w:name="_Toc65151809"/>
            <w:bookmarkStart w:id="2782" w:name="_Toc80174835"/>
            <w:bookmarkStart w:id="2783" w:name="_Toc108712601"/>
            <w:bookmarkStart w:id="2784" w:name="_Toc112417720"/>
            <w:bookmarkStart w:id="2785" w:name="_Toc119310389"/>
            <w:bookmarkStart w:id="2786" w:name="_Toc125966322"/>
            <w:bookmarkStart w:id="2787" w:name="_Toc135992421"/>
            <w:bookmarkStart w:id="2788" w:name="_Toc170303616"/>
            <w:bookmarkStart w:id="2789" w:name="_Toc175157520"/>
            <w:bookmarkStart w:id="2790" w:name="_Toc189044493"/>
            <w:r>
              <w:rPr>
                <w:b/>
                <w:bCs/>
                <w:i/>
              </w:rPr>
              <w:t>6.7.5</w:t>
            </w:r>
            <w:r>
              <w:rPr>
                <w:b/>
                <w:bCs/>
                <w:i/>
              </w:rPr>
              <w:tab/>
              <w:t>Real-Time Ancillary Service Charges and Payments</w:t>
            </w:r>
            <w:bookmarkEnd w:id="2780"/>
            <w:bookmarkEnd w:id="2781"/>
            <w:bookmarkEnd w:id="2782"/>
            <w:bookmarkEnd w:id="2783"/>
            <w:bookmarkEnd w:id="2784"/>
            <w:bookmarkEnd w:id="2785"/>
            <w:bookmarkEnd w:id="2786"/>
            <w:bookmarkEnd w:id="2787"/>
            <w:bookmarkEnd w:id="2788"/>
            <w:bookmarkEnd w:id="2789"/>
            <w:bookmarkEnd w:id="2790"/>
          </w:p>
        </w:tc>
      </w:tr>
    </w:tbl>
    <w:p w14:paraId="02AEA42A"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A58F5B9" w14:textId="77777777" w:rsidTr="001138B9">
        <w:trPr>
          <w:trHeight w:val="206"/>
        </w:trPr>
        <w:tc>
          <w:tcPr>
            <w:tcW w:w="9350" w:type="dxa"/>
            <w:shd w:val="pct12" w:color="auto" w:fill="auto"/>
          </w:tcPr>
          <w:p w14:paraId="00DCA1A6" w14:textId="50BA416B" w:rsidR="008871B2" w:rsidRDefault="008871B2" w:rsidP="001138B9">
            <w:pPr>
              <w:pStyle w:val="Instructions"/>
              <w:spacing w:before="120"/>
            </w:pPr>
            <w:r>
              <w:t>[NPRR1010:  Insert Section 6.7.5.1 below upon system implementation of the Real-Time Co-Optimization (RTC) project:]</w:t>
            </w:r>
          </w:p>
          <w:p w14:paraId="6A204F76" w14:textId="77777777" w:rsidR="00CF5D7F" w:rsidRDefault="00CF5D7F" w:rsidP="00CF5D7F">
            <w:pPr>
              <w:pStyle w:val="H4"/>
              <w:spacing w:before="480"/>
            </w:pPr>
            <w:bookmarkStart w:id="2791" w:name="_Toc189044494"/>
            <w:r>
              <w:t>6.7.5.1</w:t>
            </w:r>
            <w:r>
              <w:tab/>
              <w:t>Real-Time Ancillary Service Imbalance Payment or Charge</w:t>
            </w:r>
            <w:bookmarkEnd w:id="2791"/>
          </w:p>
          <w:p w14:paraId="74953F3A" w14:textId="77777777" w:rsidR="00CF5D7F" w:rsidRDefault="00CF5D7F" w:rsidP="00CF5D7F">
            <w:pPr>
              <w:spacing w:after="240"/>
            </w:pPr>
            <w:r>
              <w:t>(1)</w:t>
            </w:r>
            <w:r>
              <w:tab/>
              <w:t>The payments or charges to each QSE for Real-Time Ancillary Services are as follows:</w:t>
            </w:r>
          </w:p>
          <w:p w14:paraId="1CA77A5A" w14:textId="77777777" w:rsidR="00CF5D7F" w:rsidRDefault="00CF5D7F" w:rsidP="00CF5D7F">
            <w:pPr>
              <w:spacing w:after="240"/>
              <w:ind w:left="1440" w:hanging="720"/>
            </w:pPr>
            <w:r>
              <w:t>(a)</w:t>
            </w:r>
            <w:r>
              <w:tab/>
              <w:t>Ancillary Service Imbalance payment or charges based on Real-Time Ancillary Service prices with an imbalance quantity determined by:</w:t>
            </w:r>
          </w:p>
          <w:p w14:paraId="600D7FEC" w14:textId="77777777" w:rsidR="00CF5D7F" w:rsidRDefault="00CF5D7F" w:rsidP="00CF5D7F">
            <w:pPr>
              <w:spacing w:after="240"/>
              <w:ind w:left="720" w:firstLine="720"/>
            </w:pPr>
            <w:r>
              <w:t>(i)</w:t>
            </w:r>
            <w:r>
              <w:tab/>
              <w:t>The Real-Time Ancillary Service awarded; minus</w:t>
            </w:r>
          </w:p>
          <w:p w14:paraId="00F1678A" w14:textId="77777777" w:rsidR="00CF5D7F" w:rsidRDefault="00CF5D7F" w:rsidP="00CF5D7F">
            <w:pPr>
              <w:spacing w:after="240"/>
              <w:ind w:left="2160" w:hanging="720"/>
            </w:pPr>
            <w:r>
              <w:t>(ii)</w:t>
            </w:r>
            <w:r>
              <w:tab/>
              <w:t>The amount of Day-Ahead Market (DAM) Ancillary Service awards cleared in the DAM; minus</w:t>
            </w:r>
          </w:p>
          <w:p w14:paraId="481DD4B3" w14:textId="77777777" w:rsidR="00CF5D7F" w:rsidRDefault="00CF5D7F" w:rsidP="00CF5D7F">
            <w:pPr>
              <w:spacing w:after="240"/>
              <w:ind w:left="2160" w:hanging="720"/>
            </w:pPr>
            <w:r>
              <w:t>(iii)</w:t>
            </w:r>
            <w:r>
              <w:tab/>
              <w:t>The amount of DAM Self Arranged Ancillary Services; plus</w:t>
            </w:r>
          </w:p>
          <w:p w14:paraId="3B75C061" w14:textId="77777777" w:rsidR="00CF5D7F" w:rsidRDefault="00CF5D7F" w:rsidP="00CF5D7F">
            <w:pPr>
              <w:spacing w:after="240"/>
              <w:ind w:left="2160" w:hanging="720"/>
            </w:pPr>
            <w:r>
              <w:t>(iv)</w:t>
            </w:r>
            <w:r>
              <w:tab/>
              <w:t>The amount of Ancillary Service Trades where the QSE is the buyer; minus</w:t>
            </w:r>
          </w:p>
          <w:p w14:paraId="2F621704" w14:textId="77777777" w:rsidR="00CF5D7F" w:rsidRDefault="00CF5D7F" w:rsidP="00CF5D7F">
            <w:pPr>
              <w:spacing w:after="240"/>
              <w:ind w:left="2160" w:hanging="720"/>
            </w:pPr>
            <w:r>
              <w:t>(v)</w:t>
            </w:r>
            <w:r>
              <w:tab/>
              <w:t>The amount of Ancillary Service Trades where the QSE is the seller.</w:t>
            </w:r>
          </w:p>
          <w:p w14:paraId="336B432E" w14:textId="77777777" w:rsidR="00CF5D7F" w:rsidRDefault="00CF5D7F" w:rsidP="00CF5D7F">
            <w:pPr>
              <w:spacing w:after="240"/>
              <w:ind w:left="1440" w:hanging="720"/>
            </w:pPr>
            <w:r>
              <w:t>(b)</w:t>
            </w:r>
            <w:r>
              <w:tab/>
              <w:t>Charges for Ancillary Service Only Offers purchased in the DAM.</w:t>
            </w:r>
          </w:p>
          <w:p w14:paraId="2B320E3D" w14:textId="6CE88B9D" w:rsidR="008871B2" w:rsidRPr="00CF5D7F" w:rsidRDefault="00CF5D7F" w:rsidP="00CF5D7F">
            <w:pPr>
              <w:spacing w:after="240"/>
              <w:ind w:left="1440" w:hanging="720"/>
            </w:pPr>
            <w:r>
              <w:t>(c)</w:t>
            </w:r>
            <w:r>
              <w:tab/>
              <w:t>Charges for any Ancillary Service trade overage per paragraph (7) of Section 4.4.7.1, Self-Arranged Ancillary Service Quantities.</w:t>
            </w:r>
          </w:p>
        </w:tc>
      </w:tr>
    </w:tbl>
    <w:p w14:paraId="01D7906B"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81E99F3" w14:textId="77777777" w:rsidTr="001138B9">
        <w:trPr>
          <w:trHeight w:val="206"/>
        </w:trPr>
        <w:tc>
          <w:tcPr>
            <w:tcW w:w="9350" w:type="dxa"/>
            <w:shd w:val="pct12" w:color="auto" w:fill="auto"/>
          </w:tcPr>
          <w:p w14:paraId="45CBF857" w14:textId="67F71E63" w:rsidR="008871B2" w:rsidRDefault="008871B2" w:rsidP="001138B9">
            <w:pPr>
              <w:pStyle w:val="Instructions"/>
              <w:spacing w:before="120"/>
            </w:pPr>
            <w:r>
              <w:t>[NPRR1010</w:t>
            </w:r>
            <w:r w:rsidR="00103BC5">
              <w:t xml:space="preserve"> and NPRR1245</w:t>
            </w:r>
            <w:r>
              <w:t>:  Insert Section 6.7.5.2 below upon system implementation of the Real-Time Co-Optimization (RTC) project:]</w:t>
            </w:r>
          </w:p>
          <w:p w14:paraId="559F60FC" w14:textId="77777777" w:rsidR="00352A0F" w:rsidRDefault="00352A0F" w:rsidP="00352A0F">
            <w:pPr>
              <w:pStyle w:val="H4"/>
              <w:spacing w:before="480"/>
            </w:pPr>
            <w:bookmarkStart w:id="2792" w:name="_Toc189044495"/>
            <w:bookmarkStart w:id="2793" w:name="_Hlk189036407"/>
            <w:r>
              <w:t>6.7.5.2</w:t>
            </w:r>
            <w:r>
              <w:tab/>
              <w:t>Regulation Up Service Payments and Charges</w:t>
            </w:r>
            <w:bookmarkEnd w:id="2792"/>
          </w:p>
          <w:p w14:paraId="5E587B83" w14:textId="588B8871" w:rsidR="00352A0F" w:rsidRDefault="00352A0F" w:rsidP="00352A0F">
            <w:r>
              <w:t>(1)</w:t>
            </w:r>
            <w:r>
              <w:tab/>
              <w:t>Reg-Up Imbalance Payment or Charge:</w:t>
            </w:r>
          </w:p>
          <w:p w14:paraId="038733E0" w14:textId="02E959DE" w:rsidR="00352A0F" w:rsidRDefault="00352A0F" w:rsidP="00352A0F">
            <w:pPr>
              <w:pStyle w:val="FormulaBold"/>
            </w:pPr>
            <w:r>
              <w:t>RTRUIMBAMT</w:t>
            </w:r>
            <w:r>
              <w:rPr>
                <w:i/>
                <w:vertAlign w:val="subscript"/>
              </w:rPr>
              <w:t xml:space="preserve"> q  </w:t>
            </w:r>
            <w:r>
              <w:t xml:space="preserve">= </w:t>
            </w:r>
            <w:r>
              <w:tab/>
              <w:t>(-1) * [</w:t>
            </w:r>
            <w:r>
              <w:rPr>
                <w:position w:val="-18"/>
              </w:rPr>
              <w:object w:dxaOrig="285" w:dyaOrig="570" w14:anchorId="73BC3085">
                <v:shape id="_x0000_i1395" type="#_x0000_t75" style="width:12pt;height:30pt" o:ole="">
                  <v:imagedata r:id="rId159" o:title=""/>
                </v:shape>
                <o:OLEObject Type="Embed" ProgID="Equation.3" ShapeID="_x0000_i1395" DrawAspect="Content" ObjectID="_1804653878" r:id="rId487"/>
              </w:object>
            </w:r>
            <w:r>
              <w:t>[</w:t>
            </w:r>
            <w:r>
              <w:rPr>
                <w:rStyle w:val="BodyTextChar"/>
              </w:rPr>
              <w:t xml:space="preserve">RTRUREV </w:t>
            </w:r>
            <w:r>
              <w:rPr>
                <w:i/>
                <w:vertAlign w:val="subscript"/>
                <w:lang w:val="it-IT"/>
              </w:rPr>
              <w:t xml:space="preserve">q, r </w:t>
            </w:r>
            <w:r>
              <w:t>– (1/4)</w:t>
            </w:r>
            <w:r w:rsidR="003900E4">
              <w:t xml:space="preserve"> </w:t>
            </w:r>
            <w:r>
              <w:t>* (PCRUR</w:t>
            </w:r>
            <w:r>
              <w:rPr>
                <w:i/>
              </w:rPr>
              <w:t xml:space="preserve"> </w:t>
            </w:r>
            <w:r>
              <w:rPr>
                <w:i/>
                <w:vertAlign w:val="subscript"/>
              </w:rPr>
              <w:t>r, q, DAM</w:t>
            </w:r>
            <w:r>
              <w:t xml:space="preserve"> * RTMCPCRU)] – (1/4)</w:t>
            </w:r>
            <w:r w:rsidR="003900E4">
              <w:t xml:space="preserve"> </w:t>
            </w:r>
            <w:r>
              <w:t>*</w:t>
            </w:r>
            <w:r w:rsidR="001050F2">
              <w:t xml:space="preserve"> </w:t>
            </w:r>
            <w:r>
              <w:t xml:space="preserve">(DASARUQ </w:t>
            </w:r>
            <w:r>
              <w:rPr>
                <w:i/>
                <w:vertAlign w:val="subscript"/>
              </w:rPr>
              <w:t>q</w:t>
            </w:r>
            <w:r>
              <w:t xml:space="preserve"> * RTMCPCRU) + (1/4) * (RUTP </w:t>
            </w:r>
            <w:r>
              <w:rPr>
                <w:i/>
                <w:vertAlign w:val="subscript"/>
              </w:rPr>
              <w:t>q</w:t>
            </w:r>
            <w:r>
              <w:t xml:space="preserve"> – RUTS </w:t>
            </w:r>
            <w:r>
              <w:rPr>
                <w:i/>
                <w:vertAlign w:val="subscript"/>
              </w:rPr>
              <w:t>q</w:t>
            </w:r>
            <w:r>
              <w:t>) * RTMCPCRU]</w:t>
            </w:r>
          </w:p>
          <w:p w14:paraId="74DDBF56" w14:textId="77777777" w:rsidR="00352A0F" w:rsidRDefault="00352A0F" w:rsidP="00352A0F">
            <w:pPr>
              <w:pStyle w:val="FormulaBold"/>
            </w:pPr>
            <w:r>
              <w:t xml:space="preserve">Where:   </w:t>
            </w:r>
          </w:p>
          <w:p w14:paraId="7A023176" w14:textId="77777777" w:rsidR="00352A0F" w:rsidRDefault="00352A0F" w:rsidP="00352A0F">
            <w:pPr>
              <w:pStyle w:val="FormulaBold"/>
            </w:pPr>
            <w:r>
              <w:rPr>
                <w:rStyle w:val="BodyTextChar"/>
              </w:rPr>
              <w:t xml:space="preserve">RTRUREV </w:t>
            </w:r>
            <w:r>
              <w:rPr>
                <w:i/>
                <w:vertAlign w:val="subscript"/>
                <w:lang w:val="it-IT"/>
              </w:rPr>
              <w:t xml:space="preserve">q, r </w:t>
            </w:r>
            <w:r>
              <w:rPr>
                <w:i/>
              </w:rPr>
              <w:t xml:space="preserve"> =  </w:t>
            </w:r>
            <w:r>
              <w:t>(1/4) * RTRUAWD</w:t>
            </w:r>
            <w:r>
              <w:rPr>
                <w:i/>
                <w:vertAlign w:val="subscript"/>
              </w:rPr>
              <w:t xml:space="preserve"> </w:t>
            </w:r>
            <w:r>
              <w:rPr>
                <w:i/>
                <w:vertAlign w:val="subscript"/>
                <w:lang w:val="it-IT"/>
              </w:rPr>
              <w:t>q, r</w:t>
            </w:r>
            <w:r>
              <w:t xml:space="preserve"> * RTMCPCRUR </w:t>
            </w:r>
            <w:r>
              <w:rPr>
                <w:i/>
                <w:vertAlign w:val="subscript"/>
                <w:lang w:val="it-IT"/>
              </w:rPr>
              <w:t xml:space="preserve">q, r </w:t>
            </w:r>
          </w:p>
          <w:p w14:paraId="4130795F" w14:textId="67EB0957" w:rsidR="00352A0F" w:rsidRDefault="00352A0F" w:rsidP="00352A0F">
            <w:pPr>
              <w:pStyle w:val="FormulaBold"/>
            </w:pPr>
            <w:r>
              <w:t xml:space="preserve">RTMCPCRUR </w:t>
            </w:r>
            <w:r>
              <w:rPr>
                <w:i/>
                <w:vertAlign w:val="subscript"/>
                <w:lang w:val="it-IT"/>
              </w:rPr>
              <w:t>q, r</w:t>
            </w:r>
            <w:r>
              <w:rPr>
                <w:i/>
              </w:rPr>
              <w:t xml:space="preserve"> = </w:t>
            </w:r>
            <w:r w:rsidR="00443E82">
              <w:rPr>
                <w:position w:val="-22"/>
              </w:rPr>
              <w:object w:dxaOrig="285" w:dyaOrig="285" w14:anchorId="159E668A">
                <v:shape id="_x0000_i1396" type="#_x0000_t75" style="width:30pt;height:30pt" o:ole="">
                  <v:imagedata r:id="rId22" o:title=""/>
                </v:shape>
                <o:OLEObject Type="Embed" ProgID="Equation.3" ShapeID="_x0000_i1396" DrawAspect="Content" ObjectID="_1804653879" r:id="rId488"/>
              </w:object>
            </w:r>
            <w:r>
              <w:t xml:space="preserve"> (RURWF</w:t>
            </w:r>
            <w:r>
              <w:rPr>
                <w:i/>
                <w:vertAlign w:val="subscript"/>
              </w:rPr>
              <w:t xml:space="preserve"> q, r, y</w:t>
            </w:r>
            <w:r>
              <w:t xml:space="preserve"> * (RTMCPCRUS</w:t>
            </w:r>
            <w:r>
              <w:rPr>
                <w:i/>
                <w:vertAlign w:val="subscript"/>
              </w:rPr>
              <w:t xml:space="preserve"> y</w:t>
            </w:r>
            <w:r>
              <w:t xml:space="preserve"> + RTRDPARUS </w:t>
            </w:r>
            <w:r>
              <w:rPr>
                <w:i/>
                <w:vertAlign w:val="subscript"/>
              </w:rPr>
              <w:t>y</w:t>
            </w:r>
            <w:r>
              <w:t>))</w:t>
            </w:r>
          </w:p>
          <w:p w14:paraId="7BAD14F0" w14:textId="475CB474" w:rsidR="00352A0F" w:rsidRDefault="00352A0F" w:rsidP="00352A0F">
            <w:pPr>
              <w:pStyle w:val="FormulaBold"/>
              <w:rPr>
                <w:i/>
                <w:vertAlign w:val="subscript"/>
              </w:rPr>
            </w:pPr>
            <w:r>
              <w:t>RTRUAWD</w:t>
            </w:r>
            <w:r>
              <w:rPr>
                <w:i/>
                <w:vertAlign w:val="subscript"/>
              </w:rPr>
              <w:t xml:space="preserve"> q, r  </w:t>
            </w:r>
            <w:r>
              <w:tab/>
              <w:t xml:space="preserve">=  </w:t>
            </w:r>
            <w:r w:rsidR="00443E82">
              <w:rPr>
                <w:position w:val="-22"/>
              </w:rPr>
              <w:object w:dxaOrig="285" w:dyaOrig="285" w14:anchorId="78D0784C">
                <v:shape id="_x0000_i1397" type="#_x0000_t75" style="width:30pt;height:30pt" o:ole="">
                  <v:imagedata r:id="rId22" o:title=""/>
                </v:shape>
                <o:OLEObject Type="Embed" ProgID="Equation.3" ShapeID="_x0000_i1397" DrawAspect="Content" ObjectID="_1804653880" r:id="rId489"/>
              </w:object>
            </w:r>
            <w:r>
              <w:t xml:space="preserve"> (RNWF </w:t>
            </w:r>
            <w:r>
              <w:rPr>
                <w:i/>
                <w:vertAlign w:val="subscript"/>
              </w:rPr>
              <w:t>y</w:t>
            </w:r>
            <w:r>
              <w:t xml:space="preserve"> * RTRUAWDS</w:t>
            </w:r>
            <w:r>
              <w:rPr>
                <w:i/>
                <w:vertAlign w:val="subscript"/>
              </w:rPr>
              <w:t xml:space="preserve"> q, r, y</w:t>
            </w:r>
            <w:r>
              <w:t>)</w:t>
            </w:r>
          </w:p>
          <w:p w14:paraId="3A093CD0" w14:textId="77777777" w:rsidR="00352A0F" w:rsidRDefault="00352A0F" w:rsidP="00352A0F">
            <w:pPr>
              <w:pStyle w:val="BodyTextNumbered"/>
              <w:ind w:left="0" w:firstLine="720"/>
            </w:pPr>
            <w:r>
              <w:t>Where:</w:t>
            </w:r>
          </w:p>
          <w:p w14:paraId="0F6EDAB2" w14:textId="1F01CCF1" w:rsidR="00352A0F" w:rsidRDefault="00352A0F" w:rsidP="00352A0F">
            <w:pPr>
              <w:pStyle w:val="NoSpacing"/>
              <w:rPr>
                <w:position w:val="-22"/>
              </w:rPr>
            </w:pPr>
            <w:r>
              <w:t xml:space="preserve">           RURWF</w:t>
            </w:r>
            <w:r>
              <w:rPr>
                <w:i/>
                <w:vertAlign w:val="subscript"/>
              </w:rPr>
              <w:t xml:space="preserve"> q, r, y</w:t>
            </w:r>
            <w:r>
              <w:rPr>
                <w:vertAlign w:val="subscript"/>
              </w:rPr>
              <w:tab/>
              <w:t xml:space="preserve"> </w:t>
            </w:r>
            <w:r>
              <w:t>=  [max(0.001, RTRUAWDS</w:t>
            </w:r>
            <w:r>
              <w:rPr>
                <w:i/>
                <w:vertAlign w:val="subscript"/>
              </w:rPr>
              <w:t xml:space="preserve"> q, r, y</w:t>
            </w:r>
            <w:r>
              <w:t>) * TLMP</w:t>
            </w:r>
            <w:r>
              <w:rPr>
                <w:i/>
                <w:vertAlign w:val="subscript"/>
              </w:rPr>
              <w:t xml:space="preserve"> y</w:t>
            </w:r>
            <w:r>
              <w:t>] / [</w:t>
            </w:r>
            <w:r w:rsidR="00221A13">
              <w:rPr>
                <w:b/>
                <w:position w:val="-22"/>
              </w:rPr>
              <w:object w:dxaOrig="285" w:dyaOrig="285" w14:anchorId="70A3F657">
                <v:shape id="_x0000_i1398" type="#_x0000_t75" style="width:24pt;height:24pt" o:ole="">
                  <v:imagedata r:id="rId22" o:title=""/>
                </v:shape>
                <o:OLEObject Type="Embed" ProgID="Equation.3" ShapeID="_x0000_i1398" DrawAspect="Content" ObjectID="_1804653881" r:id="rId490"/>
              </w:object>
            </w:r>
            <w:r>
              <w:t>max(0.001,</w:t>
            </w:r>
          </w:p>
          <w:p w14:paraId="2AC89E0E" w14:textId="53B068B5" w:rsidR="00352A0F" w:rsidRDefault="00352A0F" w:rsidP="00352A0F">
            <w:pPr>
              <w:pStyle w:val="NoSpacing"/>
              <w:rPr>
                <w:position w:val="-22"/>
              </w:rPr>
            </w:pPr>
            <w:r>
              <w:rPr>
                <w:position w:val="-22"/>
              </w:rPr>
              <w:t xml:space="preserve">                                         RTRUAWDS </w:t>
            </w:r>
            <w:r>
              <w:rPr>
                <w:i/>
                <w:position w:val="-22"/>
                <w:vertAlign w:val="subscript"/>
              </w:rPr>
              <w:t>q, r, y</w:t>
            </w:r>
            <w:r>
              <w:rPr>
                <w:position w:val="-22"/>
              </w:rPr>
              <w:t xml:space="preserve">) * TLMP </w:t>
            </w:r>
            <w:r>
              <w:rPr>
                <w:i/>
                <w:position w:val="-22"/>
                <w:vertAlign w:val="subscript"/>
              </w:rPr>
              <w:t>y</w:t>
            </w:r>
            <w:r>
              <w:rPr>
                <w:position w:val="-22"/>
              </w:rPr>
              <w:t>]</w:t>
            </w:r>
          </w:p>
          <w:p w14:paraId="6D644C2F" w14:textId="77777777" w:rsidR="00352A0F" w:rsidRDefault="00352A0F" w:rsidP="00352A0F">
            <w:pPr>
              <w:spacing w:after="240"/>
              <w:ind w:firstLine="720"/>
            </w:pPr>
            <w:r>
              <w:t>And:</w:t>
            </w:r>
          </w:p>
          <w:p w14:paraId="3BCBA3C1" w14:textId="14FB91B1" w:rsidR="00352A0F" w:rsidRDefault="00352A0F" w:rsidP="00352A0F">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0333B4">
              <w:rPr>
                <w:position w:val="-22"/>
                <w:szCs w:val="24"/>
              </w:rPr>
              <w:object w:dxaOrig="285" w:dyaOrig="285" w14:anchorId="5D2E55D3">
                <v:shape id="_x0000_i1399" type="#_x0000_t75" style="width:30pt;height:30pt" o:ole="">
                  <v:imagedata r:id="rId22" o:title=""/>
                </v:shape>
                <o:OLEObject Type="Embed" ProgID="Equation.3" ShapeID="_x0000_i1399" DrawAspect="Content" ObjectID="_1804653882" r:id="rId491"/>
              </w:object>
            </w:r>
            <w:r>
              <w:t xml:space="preserve">TLMP </w:t>
            </w:r>
            <w:r>
              <w:rPr>
                <w:i/>
                <w:vertAlign w:val="subscript"/>
              </w:rPr>
              <w:t>y</w:t>
            </w:r>
          </w:p>
          <w:p w14:paraId="0E56068C"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3639AD22"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545DDC3"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593E75"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EBDE651" w14:textId="77777777" w:rsidR="00352A0F" w:rsidRDefault="00352A0F" w:rsidP="00352A0F">
                  <w:pPr>
                    <w:pStyle w:val="TableHead"/>
                  </w:pPr>
                  <w:r>
                    <w:t>Description</w:t>
                  </w:r>
                </w:p>
              </w:tc>
            </w:tr>
            <w:tr w:rsidR="00352A0F" w14:paraId="2AD3A0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DB3C6EB" w14:textId="77777777" w:rsidR="00352A0F" w:rsidRDefault="00352A0F" w:rsidP="00352A0F">
                  <w:pPr>
                    <w:pStyle w:val="tablebody0"/>
                  </w:pPr>
                  <w:r>
                    <w:t xml:space="preserve">RTRUIMBAMT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4E30FD8"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5E3AF95" w14:textId="50A87CC0" w:rsidR="00352A0F" w:rsidRDefault="00352A0F" w:rsidP="00352A0F">
                  <w:pPr>
                    <w:pStyle w:val="tablebody0"/>
                    <w:rPr>
                      <w:i/>
                    </w:rPr>
                  </w:pPr>
                  <w:r>
                    <w:rPr>
                      <w:i/>
                    </w:rPr>
                    <w:t>Real-Time Reg-Up Imbalance Amount for the QSE</w:t>
                  </w:r>
                  <w:r>
                    <w:t xml:space="preserve">—The total payment or charge to QSE </w:t>
                  </w:r>
                  <w:r>
                    <w:rPr>
                      <w:i/>
                    </w:rPr>
                    <w:t>q</w:t>
                  </w:r>
                  <w:r>
                    <w:t xml:space="preserve"> for the Real-Time Reg-Up imbalance for each 15-minute Settlement Interval.</w:t>
                  </w:r>
                </w:p>
              </w:tc>
            </w:tr>
            <w:tr w:rsidR="00352A0F" w14:paraId="406676C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ADF4AC" w14:textId="77777777" w:rsidR="00352A0F" w:rsidRDefault="00352A0F" w:rsidP="00352A0F">
                  <w:pPr>
                    <w:pStyle w:val="tablebody0"/>
                  </w:pPr>
                  <w:r>
                    <w:t xml:space="preserve">RTRUREV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39027B4"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4FE73B" w14:textId="3FDC2655" w:rsidR="00352A0F" w:rsidRDefault="00352A0F" w:rsidP="00352A0F">
                  <w:pPr>
                    <w:pStyle w:val="tablebody0"/>
                    <w:rPr>
                      <w:i/>
                    </w:rPr>
                  </w:pPr>
                  <w:r>
                    <w:rPr>
                      <w:i/>
                    </w:rPr>
                    <w:t>Real-Time Reg-Up Revenue</w:t>
                  </w:r>
                  <w:r>
                    <w:t xml:space="preserve">—The Real-Time Reg-Up revenue for QSE </w:t>
                  </w:r>
                  <w:r>
                    <w:rPr>
                      <w:i/>
                    </w:rPr>
                    <w:t xml:space="preserve">q </w:t>
                  </w:r>
                  <w:r>
                    <w:t>calculated for</w:t>
                  </w:r>
                  <w:r>
                    <w:rPr>
                      <w:i/>
                    </w:rPr>
                    <w:t xml:space="preserve"> </w:t>
                  </w:r>
                  <w:r>
                    <w:t xml:space="preserve">Resource </w:t>
                  </w:r>
                  <w:r>
                    <w:rPr>
                      <w:i/>
                    </w:rPr>
                    <w:t xml:space="preserve">r </w:t>
                  </w:r>
                  <w:r>
                    <w:t xml:space="preserve">for the 15-minute Settlement Interval.  Where for a Combined Cycle Train, the Resource </w:t>
                  </w:r>
                  <w:r>
                    <w:rPr>
                      <w:i/>
                    </w:rPr>
                    <w:t>r</w:t>
                  </w:r>
                  <w:r>
                    <w:t xml:space="preserve"> is the Combined Cycle Train.</w:t>
                  </w:r>
                </w:p>
              </w:tc>
            </w:tr>
            <w:tr w:rsidR="00352A0F" w14:paraId="46956959"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E8BBC4" w14:textId="77777777" w:rsidR="00352A0F" w:rsidRDefault="00352A0F" w:rsidP="00352A0F">
                  <w:pPr>
                    <w:pStyle w:val="tablebody0"/>
                  </w:pPr>
                  <w:r>
                    <w:t>RTRDPARUS</w:t>
                  </w:r>
                  <w:r>
                    <w:rPr>
                      <w:rFonts w:ascii="Segoe UI" w:hAnsi="Segoe UI" w:cs="Segoe UI"/>
                      <w:color w:val="000000"/>
                    </w:rPr>
                    <w:t xml:space="preserve">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C781C81"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EA5395" w14:textId="505E11E2" w:rsidR="00352A0F" w:rsidRDefault="00352A0F" w:rsidP="00352A0F">
                  <w:pPr>
                    <w:pStyle w:val="tablebody0"/>
                    <w:rPr>
                      <w:i/>
                    </w:rPr>
                  </w:pPr>
                  <w:r>
                    <w:rPr>
                      <w:i/>
                      <w:szCs w:val="18"/>
                    </w:rPr>
                    <w:t xml:space="preserve">Real-Time </w:t>
                  </w:r>
                  <w:r>
                    <w:rPr>
                      <w:i/>
                    </w:rPr>
                    <w:t xml:space="preserve">Reliability Deployment Price Adder </w:t>
                  </w:r>
                  <w:r>
                    <w:rPr>
                      <w:i/>
                      <w:szCs w:val="18"/>
                    </w:rPr>
                    <w:t xml:space="preserve">for Ancillary Service for Reg-Up </w:t>
                  </w:r>
                  <w:r>
                    <w:rPr>
                      <w:i/>
                    </w:rPr>
                    <w:t>per SCED interval</w:t>
                  </w:r>
                  <w:r w:rsidR="00937CFE" w:rsidRPr="00A552C3">
                    <w:rPr>
                      <w:iCs/>
                    </w:rPr>
                    <w:t>—</w:t>
                  </w:r>
                  <w:r>
                    <w:t xml:space="preserve">The Real-Time price adder for Reg-Up that captures the impact of reliability deployments on Reg-Up prices for the SCED interval </w:t>
                  </w:r>
                  <w:r w:rsidRPr="00952F33">
                    <w:rPr>
                      <w:i/>
                      <w:iCs/>
                    </w:rPr>
                    <w:t>y</w:t>
                  </w:r>
                  <w:r>
                    <w:t>.</w:t>
                  </w:r>
                </w:p>
              </w:tc>
            </w:tr>
            <w:tr w:rsidR="00352A0F" w14:paraId="3B5629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CF75C96" w14:textId="77777777" w:rsidR="00352A0F" w:rsidRDefault="00352A0F" w:rsidP="00352A0F">
                  <w:pPr>
                    <w:pStyle w:val="tablebody0"/>
                  </w:pPr>
                  <w:r>
                    <w:lastRenderedPageBreak/>
                    <w:t>RTRUAWD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68A7DDDA"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F6DBAD" w14:textId="77D9B8BD" w:rsidR="00352A0F" w:rsidRDefault="00352A0F" w:rsidP="00352A0F">
                  <w:pPr>
                    <w:pStyle w:val="tablebody0"/>
                    <w:rPr>
                      <w:i/>
                    </w:rPr>
                  </w:pPr>
                  <w:r>
                    <w:rPr>
                      <w:i/>
                    </w:rPr>
                    <w:t>Real-Time Reg-Up Award per Resource per QSE</w:t>
                  </w:r>
                  <w:r>
                    <w:t xml:space="preserve">—The Reg-Up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352A0F" w14:paraId="0EFEA02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7F3F0A" w14:textId="518082A4" w:rsidR="00352A0F" w:rsidRDefault="00352A0F" w:rsidP="00352A0F">
                  <w:pPr>
                    <w:pStyle w:val="tablebody0"/>
                  </w:pPr>
                  <w:r>
                    <w:t xml:space="preserve">RTRUAWDS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3A24EA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4B1405B" w14:textId="1F895E0D" w:rsidR="00352A0F" w:rsidRDefault="00352A0F" w:rsidP="00352A0F">
                  <w:pPr>
                    <w:pStyle w:val="tablebody0"/>
                    <w:rPr>
                      <w:i/>
                    </w:rPr>
                  </w:pPr>
                  <w:r>
                    <w:rPr>
                      <w:i/>
                    </w:rPr>
                    <w:t>Real-Time Reg-Up Award per Resource per QSE per SCED interval</w:t>
                  </w:r>
                  <w:r w:rsidR="002018B0" w:rsidRPr="00A552C3">
                    <w:rPr>
                      <w:iCs/>
                    </w:rPr>
                    <w:t>—</w:t>
                  </w:r>
                  <w:r>
                    <w:t xml:space="preserve">The Reg-Up amount awarded to QSE </w:t>
                  </w:r>
                  <w:r>
                    <w:rPr>
                      <w:i/>
                    </w:rPr>
                    <w:t>q</w:t>
                  </w:r>
                  <w:r>
                    <w:t xml:space="preserve"> for Resource </w:t>
                  </w:r>
                  <w:r>
                    <w:rPr>
                      <w:i/>
                    </w:rPr>
                    <w:t xml:space="preserve">r </w:t>
                  </w:r>
                  <w:r>
                    <w:t>in Real-Time</w:t>
                  </w:r>
                  <w:r>
                    <w:rPr>
                      <w:i/>
                    </w:rPr>
                    <w:t xml:space="preserve"> </w:t>
                  </w:r>
                  <w:r>
                    <w:t xml:space="preserve">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352A0F" w14:paraId="0ACA02C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951C6E3" w14:textId="77777777" w:rsidR="00352A0F" w:rsidRDefault="00352A0F" w:rsidP="00352A0F">
                  <w:pPr>
                    <w:pStyle w:val="tablebody0"/>
                  </w:pPr>
                  <w:r>
                    <w:t xml:space="preserve">RTMCPCRUR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147D572"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BD44E3B" w14:textId="58623388" w:rsidR="00352A0F" w:rsidRDefault="00352A0F" w:rsidP="00352A0F">
                  <w:pPr>
                    <w:pStyle w:val="tablebody0"/>
                    <w:rPr>
                      <w:iCs/>
                    </w:rPr>
                  </w:pPr>
                  <w:r>
                    <w:rPr>
                      <w:i/>
                    </w:rPr>
                    <w:t>Real-Time Market Clearing Price for Capacity for Reg-Up per Resource per QSE</w:t>
                  </w:r>
                  <w:r>
                    <w:sym w:font="Symbol" w:char="F0BE"/>
                  </w:r>
                  <w:r>
                    <w:t xml:space="preserve">The Real-Time MCPC for Reg-Up for Resource </w:t>
                  </w:r>
                  <w:r>
                    <w:rPr>
                      <w:i/>
                    </w:rPr>
                    <w:t>r</w:t>
                  </w:r>
                  <w:r>
                    <w:t xml:space="preserve">, represented by QSE </w:t>
                  </w:r>
                  <w:r>
                    <w:rPr>
                      <w:i/>
                    </w:rPr>
                    <w:t xml:space="preserve">q </w:t>
                  </w:r>
                  <w:r>
                    <w:t xml:space="preserve">for the 15-minute Settlement Interval.  Where for a Combined Cycle Train, the Resource </w:t>
                  </w:r>
                  <w:r w:rsidRPr="00952F33">
                    <w:rPr>
                      <w:i/>
                      <w:iCs/>
                    </w:rPr>
                    <w:t>r</w:t>
                  </w:r>
                  <w:r>
                    <w:t xml:space="preserve"> is the Combined Cycle Train.</w:t>
                  </w:r>
                </w:p>
              </w:tc>
            </w:tr>
            <w:tr w:rsidR="00352A0F" w14:paraId="463F05B6"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2D961DD" w14:textId="77777777" w:rsidR="00352A0F" w:rsidRDefault="00352A0F" w:rsidP="00352A0F">
                  <w:pPr>
                    <w:pStyle w:val="tablebody0"/>
                  </w:pPr>
                  <w:r>
                    <w:t>RTMCPCRUS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688C1F65"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9D43CD" w14:textId="26DB9E49" w:rsidR="00352A0F" w:rsidRDefault="00352A0F" w:rsidP="00352A0F">
                  <w:pPr>
                    <w:pStyle w:val="tablebody0"/>
                    <w:rPr>
                      <w:i/>
                    </w:rPr>
                  </w:pPr>
                  <w:r>
                    <w:rPr>
                      <w:i/>
                      <w:szCs w:val="18"/>
                    </w:rPr>
                    <w:t xml:space="preserve">Real-Time Market Clearing Price for Capacity for Reg-Up </w:t>
                  </w:r>
                  <w:r>
                    <w:rPr>
                      <w:i/>
                    </w:rPr>
                    <w:t>per SCED interval</w:t>
                  </w:r>
                  <w:r w:rsidR="008841BB" w:rsidRPr="00A552C3">
                    <w:rPr>
                      <w:iCs/>
                    </w:rPr>
                    <w:t>—</w:t>
                  </w:r>
                  <w:r>
                    <w:t xml:space="preserve">The Real-Time MCPC for Reg-Up for the SCED interval </w:t>
                  </w:r>
                  <w:r>
                    <w:rPr>
                      <w:i/>
                    </w:rPr>
                    <w:t>y.</w:t>
                  </w:r>
                </w:p>
              </w:tc>
            </w:tr>
            <w:tr w:rsidR="00352A0F" w14:paraId="6BAED1D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CAE2B7" w14:textId="77777777" w:rsidR="00352A0F" w:rsidRDefault="00352A0F" w:rsidP="00352A0F">
                  <w:pPr>
                    <w:pStyle w:val="tablebody0"/>
                  </w:pPr>
                  <w:r>
                    <w:t xml:space="preserve">PCRUR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468913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990703" w14:textId="77777777" w:rsidR="00352A0F" w:rsidRDefault="00352A0F" w:rsidP="00352A0F">
                  <w:pPr>
                    <w:pStyle w:val="tablebody0"/>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352A0F" w14:paraId="7D159F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CB5C19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53D14BAC"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F50E2B3" w14:textId="570BCF90" w:rsidR="00352A0F" w:rsidRDefault="00352A0F" w:rsidP="00352A0F">
                  <w:pPr>
                    <w:pStyle w:val="tablebody0"/>
                    <w:rPr>
                      <w:i/>
                    </w:rPr>
                  </w:pPr>
                  <w:r>
                    <w:rPr>
                      <w:i/>
                      <w:szCs w:val="18"/>
                    </w:rPr>
                    <w:t>Real-Time Market Clearing Price for Capacity for Reg-Up</w:t>
                  </w:r>
                  <w:r w:rsidR="002D2D7F" w:rsidRPr="00A552C3">
                    <w:rPr>
                      <w:iCs/>
                    </w:rPr>
                    <w:t>—</w:t>
                  </w:r>
                  <w:r>
                    <w:t>The Real-Time MCPC for Reg-Up for the 15-minute Settlement Interval.</w:t>
                  </w:r>
                </w:p>
              </w:tc>
            </w:tr>
            <w:tr w:rsidR="00352A0F" w14:paraId="332C3F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181C91F" w14:textId="77777777" w:rsidR="00352A0F" w:rsidRDefault="00352A0F" w:rsidP="00352A0F">
                  <w:pPr>
                    <w:pStyle w:val="tablebody0"/>
                  </w:pPr>
                  <w:r>
                    <w:t>DASARUQ</w:t>
                  </w:r>
                  <w:r>
                    <w:rPr>
                      <w:b/>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B0D89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60A1CE" w14:textId="77777777" w:rsidR="00352A0F" w:rsidRDefault="00352A0F" w:rsidP="00352A0F">
                  <w:pPr>
                    <w:pStyle w:val="tablebody0"/>
                    <w:rPr>
                      <w:i/>
                    </w:rPr>
                  </w:pPr>
                  <w:r>
                    <w:rPr>
                      <w:i/>
                      <w:iCs/>
                    </w:rPr>
                    <w:t>Day-Ahead Self-Arranged Reg-Up Quantity per QSE</w:t>
                  </w:r>
                  <w:r>
                    <w:rPr>
                      <w:iCs/>
                    </w:rPr>
                    <w:t xml:space="preserve">—The self-arranged Reg-Up quantity submitted by QSE </w:t>
                  </w:r>
                  <w:r>
                    <w:rPr>
                      <w:i/>
                      <w:iCs/>
                    </w:rPr>
                    <w:t>q</w:t>
                  </w:r>
                  <w:r>
                    <w:rPr>
                      <w:iCs/>
                    </w:rPr>
                    <w:t xml:space="preserve"> before 1000 in the DAM for the Operating Hour.</w:t>
                  </w:r>
                </w:p>
              </w:tc>
            </w:tr>
            <w:tr w:rsidR="00352A0F" w14:paraId="52D219E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389AEB5" w14:textId="77777777" w:rsidR="00352A0F" w:rsidRDefault="00352A0F" w:rsidP="00352A0F">
                  <w:pPr>
                    <w:pStyle w:val="tablebody0"/>
                  </w:pPr>
                  <w:r>
                    <w:t>RUTP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140030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512A56" w14:textId="25C50C39" w:rsidR="00352A0F" w:rsidRDefault="00352A0F" w:rsidP="00352A0F">
                  <w:pPr>
                    <w:pStyle w:val="tablebody0"/>
                    <w:rPr>
                      <w:i/>
                    </w:rPr>
                  </w:pPr>
                  <w:r>
                    <w:rPr>
                      <w:i/>
                      <w:szCs w:val="18"/>
                    </w:rPr>
                    <w:t>Trade Purchases for Reg-Up for the QSE—</w:t>
                  </w:r>
                  <w:r>
                    <w:rPr>
                      <w:szCs w:val="18"/>
                    </w:rPr>
                    <w:t xml:space="preserve">The final approved trade purchases for QSE </w:t>
                  </w:r>
                  <w:r>
                    <w:rPr>
                      <w:i/>
                      <w:szCs w:val="18"/>
                    </w:rPr>
                    <w:t>q</w:t>
                  </w:r>
                  <w:r>
                    <w:rPr>
                      <w:szCs w:val="18"/>
                    </w:rPr>
                    <w:t xml:space="preserve"> for Reg-Up for the Operating Hour.</w:t>
                  </w:r>
                </w:p>
              </w:tc>
            </w:tr>
            <w:tr w:rsidR="00352A0F" w14:paraId="65742FF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138AC00" w14:textId="77777777" w:rsidR="00352A0F" w:rsidRDefault="00352A0F" w:rsidP="00352A0F">
                  <w:pPr>
                    <w:pStyle w:val="tablebody0"/>
                  </w:pPr>
                  <w:r>
                    <w:t>RUTS</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562B6A38"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96C799" w14:textId="4098A6FD" w:rsidR="00352A0F" w:rsidRDefault="00352A0F" w:rsidP="00352A0F">
                  <w:pPr>
                    <w:pStyle w:val="tablebody0"/>
                    <w:rPr>
                      <w:i/>
                    </w:rPr>
                  </w:pPr>
                  <w:r>
                    <w:rPr>
                      <w:i/>
                      <w:szCs w:val="18"/>
                    </w:rPr>
                    <w:t>Trade Sales for Reg-Up for the QSE—</w:t>
                  </w:r>
                  <w:r>
                    <w:rPr>
                      <w:szCs w:val="18"/>
                    </w:rPr>
                    <w:t xml:space="preserve">The final approved trade sales for QSE </w:t>
                  </w:r>
                  <w:r>
                    <w:rPr>
                      <w:i/>
                      <w:szCs w:val="18"/>
                    </w:rPr>
                    <w:t>q</w:t>
                  </w:r>
                  <w:r>
                    <w:rPr>
                      <w:szCs w:val="18"/>
                    </w:rPr>
                    <w:t xml:space="preserve"> for Reg-Up for the Operating Hour.</w:t>
                  </w:r>
                </w:p>
              </w:tc>
            </w:tr>
            <w:tr w:rsidR="00352A0F" w14:paraId="7E8C444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6017F4" w14:textId="77777777" w:rsidR="00352A0F" w:rsidRDefault="00352A0F" w:rsidP="00352A0F">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283B898" w14:textId="77777777" w:rsidR="00352A0F" w:rsidRDefault="00352A0F" w:rsidP="00352A0F">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4D6799" w14:textId="66B05FC2" w:rsidR="00352A0F" w:rsidRDefault="00352A0F" w:rsidP="00352A0F">
                  <w:pPr>
                    <w:pStyle w:val="tablebody0"/>
                    <w:rPr>
                      <w:i/>
                    </w:rPr>
                  </w:pPr>
                  <w:r>
                    <w:rPr>
                      <w:i/>
                      <w:iCs/>
                    </w:rPr>
                    <w:t xml:space="preserve">Duration of </w:t>
                  </w:r>
                  <w:r>
                    <w:rPr>
                      <w:i/>
                    </w:rPr>
                    <w:t>SCED</w:t>
                  </w:r>
                  <w:r>
                    <w:rPr>
                      <w:i/>
                      <w:iCs/>
                    </w:rPr>
                    <w:t xml:space="preserve"> interval per interval</w:t>
                  </w:r>
                  <w:r w:rsidR="003A72E3" w:rsidRPr="00A552C3">
                    <w:rPr>
                      <w:iCs/>
                    </w:rPr>
                    <w:t>—</w:t>
                  </w:r>
                  <w:r>
                    <w:t xml:space="preserve">The duration of the SCED interval </w:t>
                  </w:r>
                  <w:r>
                    <w:rPr>
                      <w:i/>
                      <w:iCs/>
                    </w:rPr>
                    <w:t>y</w:t>
                  </w:r>
                  <w:r>
                    <w:t>.</w:t>
                  </w:r>
                </w:p>
              </w:tc>
            </w:tr>
            <w:tr w:rsidR="00352A0F" w14:paraId="261B26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234C20" w14:textId="77777777" w:rsidR="00352A0F" w:rsidRDefault="00352A0F" w:rsidP="00352A0F">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32C51A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64527F9" w14:textId="68EF54C8" w:rsidR="00352A0F" w:rsidRDefault="00352A0F" w:rsidP="00352A0F">
                  <w:pPr>
                    <w:pStyle w:val="tablebody0"/>
                    <w:rPr>
                      <w:i/>
                    </w:rPr>
                  </w:pPr>
                  <w:r>
                    <w:rPr>
                      <w:i/>
                    </w:rPr>
                    <w:t>Resource Node Weighting Factor per interval</w:t>
                  </w:r>
                  <w:r w:rsidR="003A72E3" w:rsidRPr="00A552C3">
                    <w:rPr>
                      <w:iCs/>
                    </w:rPr>
                    <w:t>—</w:t>
                  </w:r>
                  <w:r>
                    <w:t xml:space="preserve">The weight used in the Ancillary Service award calculation for the portion of the SCED interval </w:t>
                  </w:r>
                  <w:r>
                    <w:rPr>
                      <w:i/>
                    </w:rPr>
                    <w:t>y</w:t>
                  </w:r>
                  <w:r>
                    <w:t xml:space="preserve"> within the Settlement Interval</w:t>
                  </w:r>
                  <w:r>
                    <w:rPr>
                      <w:i/>
                    </w:rPr>
                    <w:t>.</w:t>
                  </w:r>
                </w:p>
              </w:tc>
            </w:tr>
            <w:tr w:rsidR="00352A0F" w14:paraId="1DEFCCE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ADE676" w14:textId="75181B09" w:rsidR="00352A0F" w:rsidRDefault="00352A0F" w:rsidP="00352A0F">
                  <w:pPr>
                    <w:pStyle w:val="tablebody0"/>
                  </w:pPr>
                  <w:r>
                    <w:t xml:space="preserve">RURWF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C6F2D5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02B0872" w14:textId="181DC62B" w:rsidR="00352A0F" w:rsidRDefault="00352A0F" w:rsidP="00C1706D">
                  <w:pPr>
                    <w:pStyle w:val="tablebody0"/>
                    <w:rPr>
                      <w:i/>
                    </w:rPr>
                  </w:pPr>
                  <w:r>
                    <w:rPr>
                      <w:i/>
                    </w:rPr>
                    <w:t>Reg-Up Resource Node Weighting Factor per interval</w:t>
                  </w:r>
                  <w:r w:rsidR="003A72E3" w:rsidRPr="00A552C3">
                    <w:rPr>
                      <w:iCs/>
                    </w:rPr>
                    <w:t>—</w:t>
                  </w:r>
                  <w:r>
                    <w:t xml:space="preserve">The Reg-Up Resource weight, based on Reg-Up awards, used in the Real-Time MCPC calculation for the portion of the SCED interval </w:t>
                  </w:r>
                  <w:r>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352A0F" w14:paraId="1EAA18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94FC23" w14:textId="77777777" w:rsidR="00352A0F" w:rsidRDefault="00352A0F" w:rsidP="00352A0F">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59976FF"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B76FBE2" w14:textId="77777777" w:rsidR="00352A0F" w:rsidRDefault="00352A0F" w:rsidP="00352A0F">
                  <w:pPr>
                    <w:pStyle w:val="tablebody0"/>
                    <w:rPr>
                      <w:i/>
                    </w:rPr>
                  </w:pPr>
                  <w:r>
                    <w:t>A Resource.</w:t>
                  </w:r>
                </w:p>
              </w:tc>
            </w:tr>
            <w:tr w:rsidR="00352A0F" w14:paraId="35516C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E87E72A"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EBC2826"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35D173D" w14:textId="77777777" w:rsidR="00352A0F" w:rsidRDefault="00352A0F" w:rsidP="00352A0F">
                  <w:pPr>
                    <w:pStyle w:val="tablebody0"/>
                  </w:pPr>
                  <w:r>
                    <w:t>A QSE.</w:t>
                  </w:r>
                </w:p>
              </w:tc>
            </w:tr>
            <w:tr w:rsidR="00352A0F" w14:paraId="3746DC45"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B8A52E" w14:textId="77777777" w:rsidR="00352A0F" w:rsidRDefault="00352A0F" w:rsidP="00352A0F">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9A58F8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F811D1E" w14:textId="77777777" w:rsidR="00352A0F" w:rsidRDefault="00352A0F" w:rsidP="00352A0F">
                  <w:pPr>
                    <w:pStyle w:val="tablebody0"/>
                  </w:pPr>
                  <w:r>
                    <w:t>A SCED interval in the 15-minute Settlement Interval.</w:t>
                  </w:r>
                </w:p>
              </w:tc>
            </w:tr>
          </w:tbl>
          <w:p w14:paraId="736ED86D" w14:textId="77777777" w:rsidR="00352A0F" w:rsidRDefault="00352A0F" w:rsidP="00352A0F">
            <w:pPr>
              <w:spacing w:before="240" w:after="240"/>
            </w:pPr>
            <w:r>
              <w:t>(2)</w:t>
            </w:r>
            <w:r>
              <w:tab/>
              <w:t>Reg-Up Only Charge:</w:t>
            </w:r>
          </w:p>
          <w:p w14:paraId="7E71B585" w14:textId="77777777" w:rsidR="00352A0F" w:rsidRDefault="00352A0F" w:rsidP="00352A0F">
            <w:pPr>
              <w:pStyle w:val="FormulaBold"/>
            </w:pPr>
            <w:r>
              <w:lastRenderedPageBreak/>
              <w:t>RTRUOAMT</w:t>
            </w:r>
            <w:r>
              <w:rPr>
                <w:i/>
                <w:vertAlign w:val="subscript"/>
              </w:rPr>
              <w:t xml:space="preserve"> q  </w:t>
            </w:r>
            <w:r>
              <w:t xml:space="preserve">= </w:t>
            </w:r>
            <w:r>
              <w:tab/>
              <w:t xml:space="preserve">(1/4) * DARUOAWD </w:t>
            </w:r>
            <w:r>
              <w:rPr>
                <w:i/>
                <w:vertAlign w:val="subscript"/>
              </w:rPr>
              <w:t>q</w:t>
            </w:r>
            <w:r>
              <w:t xml:space="preserve"> * RTMCPCRU</w:t>
            </w:r>
          </w:p>
          <w:p w14:paraId="6B4DAD1E"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44F6EB91"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F75734"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D930BF"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2FD479" w14:textId="77777777" w:rsidR="00352A0F" w:rsidRDefault="00352A0F" w:rsidP="00352A0F">
                  <w:pPr>
                    <w:pStyle w:val="TableHead"/>
                  </w:pPr>
                  <w:r>
                    <w:t>Description</w:t>
                  </w:r>
                </w:p>
              </w:tc>
            </w:tr>
            <w:tr w:rsidR="00352A0F" w14:paraId="50C3129D"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FB7E9B3" w14:textId="77777777" w:rsidR="00352A0F" w:rsidRDefault="00352A0F" w:rsidP="00352A0F">
                  <w:pPr>
                    <w:pStyle w:val="tablebody0"/>
                  </w:pPr>
                  <w:r>
                    <w:t xml:space="preserve">RTRUOAMT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D8D5191"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17F03D7" w14:textId="3967818F" w:rsidR="00352A0F" w:rsidRDefault="00352A0F" w:rsidP="00352A0F">
                  <w:pPr>
                    <w:pStyle w:val="tablebody0"/>
                    <w:rPr>
                      <w:i/>
                    </w:rPr>
                  </w:pPr>
                  <w:r>
                    <w:rPr>
                      <w:i/>
                    </w:rPr>
                    <w:t>Real-Time Reg-Up Only Amount for the QSE</w:t>
                  </w:r>
                  <w:r>
                    <w:t xml:space="preserve">—The total charge to QSE </w:t>
                  </w:r>
                  <w:r>
                    <w:rPr>
                      <w:i/>
                    </w:rPr>
                    <w:t>q</w:t>
                  </w:r>
                  <w:r>
                    <w:t xml:space="preserve"> in Real-Time for Reg-Up Only awards for each 15-minute Settlement Interval.</w:t>
                  </w:r>
                </w:p>
              </w:tc>
            </w:tr>
            <w:tr w:rsidR="00352A0F" w14:paraId="2527664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AE041F" w14:textId="77777777" w:rsidR="00352A0F" w:rsidRDefault="00352A0F" w:rsidP="00352A0F">
                  <w:pPr>
                    <w:pStyle w:val="tablebody0"/>
                  </w:pPr>
                  <w:r>
                    <w:t xml:space="preserve">DARUOAWD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CE11977"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9ABBE8" w14:textId="5283C7FD" w:rsidR="00352A0F" w:rsidRDefault="00352A0F" w:rsidP="00352A0F">
                  <w:pPr>
                    <w:pStyle w:val="tablebody0"/>
                  </w:pPr>
                  <w:r>
                    <w:rPr>
                      <w:i/>
                    </w:rPr>
                    <w:t>Day-Ahead Reg-Up Only Award for the QSE</w:t>
                  </w:r>
                  <w:r>
                    <w:sym w:font="Symbol" w:char="F0BE"/>
                  </w:r>
                  <w:r>
                    <w:t xml:space="preserve">The Reg-Up only capacity awarded in the DAM to the QSE </w:t>
                  </w:r>
                  <w:r>
                    <w:rPr>
                      <w:i/>
                    </w:rPr>
                    <w:t>q</w:t>
                  </w:r>
                  <w:r>
                    <w:t xml:space="preserve"> for the </w:t>
                  </w:r>
                  <w:r>
                    <w:rPr>
                      <w:szCs w:val="18"/>
                    </w:rPr>
                    <w:t>Operating Hour</w:t>
                  </w:r>
                  <w:r>
                    <w:t>.</w:t>
                  </w:r>
                </w:p>
              </w:tc>
            </w:tr>
            <w:tr w:rsidR="00352A0F" w14:paraId="115514D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8CB2E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77B8F9D9"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55EC40" w14:textId="36C40A02" w:rsidR="00352A0F" w:rsidRDefault="00352A0F" w:rsidP="00352A0F">
                  <w:pPr>
                    <w:pStyle w:val="tablebody0"/>
                    <w:rPr>
                      <w:i/>
                    </w:rPr>
                  </w:pPr>
                  <w:r>
                    <w:rPr>
                      <w:i/>
                      <w:szCs w:val="18"/>
                    </w:rPr>
                    <w:t>Real-Time Market Clearing Price for Capacity for Reg-Up</w:t>
                  </w:r>
                  <w:r w:rsidR="003A72E3" w:rsidRPr="00A552C3">
                    <w:rPr>
                      <w:iCs/>
                    </w:rPr>
                    <w:t>—</w:t>
                  </w:r>
                  <w:r>
                    <w:t>The Real-Time MCPC for Reg-Up for the 15-minute Settlement Interval.</w:t>
                  </w:r>
                </w:p>
              </w:tc>
            </w:tr>
            <w:tr w:rsidR="00352A0F" w14:paraId="7ED1CBE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80C46EF"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A09EA5B"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70935A" w14:textId="77777777" w:rsidR="00352A0F" w:rsidRDefault="00352A0F" w:rsidP="00352A0F">
                  <w:pPr>
                    <w:pStyle w:val="tablebody0"/>
                  </w:pPr>
                  <w:r>
                    <w:t>A QSE.</w:t>
                  </w:r>
                </w:p>
              </w:tc>
            </w:tr>
          </w:tbl>
          <w:p w14:paraId="0C76ED9A" w14:textId="77777777" w:rsidR="00352A0F" w:rsidRDefault="00352A0F" w:rsidP="00352A0F">
            <w:pPr>
              <w:spacing w:before="240" w:after="240"/>
            </w:pPr>
            <w:r>
              <w:t>(3)</w:t>
            </w:r>
            <w:r>
              <w:tab/>
              <w:t>Reg-Up Trade Overage Charges:</w:t>
            </w:r>
          </w:p>
          <w:p w14:paraId="4985DDF3" w14:textId="77777777" w:rsidR="00352A0F" w:rsidRDefault="00352A0F" w:rsidP="00352A0F">
            <w:pPr>
              <w:pStyle w:val="FormulaBold"/>
            </w:pPr>
            <w:r>
              <w:t>RTRUTOAMT</w:t>
            </w:r>
            <w:r>
              <w:rPr>
                <w:i/>
                <w:vertAlign w:val="subscript"/>
              </w:rPr>
              <w:t xml:space="preserve"> q  </w:t>
            </w:r>
            <w:r>
              <w:t xml:space="preserve">= </w:t>
            </w:r>
            <w:r>
              <w:tab/>
              <w:t xml:space="preserve">(1/4) * RTRUTO </w:t>
            </w:r>
            <w:r>
              <w:rPr>
                <w:i/>
                <w:vertAlign w:val="subscript"/>
              </w:rPr>
              <w:t>q</w:t>
            </w:r>
            <w:r>
              <w:t xml:space="preserve"> * RTMCPCRU</w:t>
            </w:r>
          </w:p>
          <w:p w14:paraId="2FA0852D"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5F55693A"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C21D748"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94CA704"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CB037B2" w14:textId="77777777" w:rsidR="00352A0F" w:rsidRDefault="00352A0F" w:rsidP="00352A0F">
                  <w:pPr>
                    <w:pStyle w:val="TableHead"/>
                  </w:pPr>
                  <w:r>
                    <w:t>Description</w:t>
                  </w:r>
                </w:p>
              </w:tc>
            </w:tr>
            <w:tr w:rsidR="00352A0F" w14:paraId="014D5C77"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AB2AD6F" w14:textId="77777777" w:rsidR="00352A0F" w:rsidRDefault="00352A0F" w:rsidP="00352A0F">
                  <w:pPr>
                    <w:pStyle w:val="tablebody0"/>
                  </w:pPr>
                  <w:r>
                    <w:t xml:space="preserve">RTRUTOAMT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3B47395"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C3096D" w14:textId="7442985E" w:rsidR="00352A0F" w:rsidRDefault="00352A0F" w:rsidP="00352A0F">
                  <w:pPr>
                    <w:pStyle w:val="tablebody0"/>
                    <w:rPr>
                      <w:i/>
                    </w:rPr>
                  </w:pPr>
                  <w:r>
                    <w:rPr>
                      <w:i/>
                    </w:rPr>
                    <w:t>Real-Time Reg-Up Trade Overage Amount for the QSE</w:t>
                  </w:r>
                  <w:r>
                    <w:t xml:space="preserve">—The total charge to QSE </w:t>
                  </w:r>
                  <w:r>
                    <w:rPr>
                      <w:i/>
                    </w:rPr>
                    <w:t>q</w:t>
                  </w:r>
                  <w:r>
                    <w:t xml:space="preserve"> in Real-Time for Reg-Up trade overages for each 15-minute Settlement Interval.</w:t>
                  </w:r>
                </w:p>
              </w:tc>
            </w:tr>
            <w:tr w:rsidR="00352A0F" w14:paraId="5915742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E0E7BF" w14:textId="77777777" w:rsidR="00352A0F" w:rsidRDefault="00352A0F" w:rsidP="00352A0F">
                  <w:pPr>
                    <w:pStyle w:val="tablebody0"/>
                  </w:pPr>
                  <w:r>
                    <w:t xml:space="preserve">RTRUTO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2274BC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893CC67" w14:textId="1BA09B66" w:rsidR="00352A0F" w:rsidRDefault="00352A0F" w:rsidP="001759DA">
                  <w:pPr>
                    <w:pStyle w:val="tablebody0"/>
                  </w:pPr>
                  <w:r>
                    <w:rPr>
                      <w:i/>
                    </w:rPr>
                    <w:t>Real-Time Reg-Up Trade Overage for the QSE</w:t>
                  </w:r>
                  <w:r>
                    <w:sym w:font="Symbol" w:char="F0BE"/>
                  </w:r>
                  <w:r>
                    <w:t xml:space="preserve">The quantity of submitted Reg-Up trades in excess of DAM self-arrangement quantities for the QSE </w:t>
                  </w:r>
                  <w:r>
                    <w:rPr>
                      <w:i/>
                    </w:rPr>
                    <w:t>q</w:t>
                  </w:r>
                  <w:r>
                    <w:t xml:space="preserve"> for the </w:t>
                  </w:r>
                  <w:r>
                    <w:rPr>
                      <w:szCs w:val="18"/>
                    </w:rPr>
                    <w:t>Operating Hour</w:t>
                  </w:r>
                  <w:r>
                    <w:t>.</w:t>
                  </w:r>
                </w:p>
              </w:tc>
            </w:tr>
            <w:tr w:rsidR="00352A0F" w14:paraId="1D6992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7166D10"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2262D7AE"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4F8F205" w14:textId="7F87F8E8" w:rsidR="00352A0F" w:rsidRDefault="00352A0F" w:rsidP="00352A0F">
                  <w:pPr>
                    <w:pStyle w:val="tablebody0"/>
                    <w:rPr>
                      <w:i/>
                    </w:rPr>
                  </w:pPr>
                  <w:r>
                    <w:rPr>
                      <w:i/>
                      <w:szCs w:val="18"/>
                    </w:rPr>
                    <w:t>Real-Time Market Clearing Price for Capacity for Reg-Up</w:t>
                  </w:r>
                  <w:r w:rsidR="0028305D" w:rsidRPr="00A552C3">
                    <w:rPr>
                      <w:iCs/>
                    </w:rPr>
                    <w:t>—</w:t>
                  </w:r>
                  <w:r>
                    <w:t>The Real-Time MCPC for Reg-Up for the 15-minute Settlement Interval.</w:t>
                  </w:r>
                </w:p>
              </w:tc>
            </w:tr>
            <w:tr w:rsidR="00352A0F" w14:paraId="3A3CDE4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622DC39"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267703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549C5FA" w14:textId="77777777" w:rsidR="00352A0F" w:rsidRDefault="00352A0F" w:rsidP="00352A0F">
                  <w:pPr>
                    <w:pStyle w:val="tablebody0"/>
                  </w:pPr>
                  <w:r>
                    <w:t>A QSE.</w:t>
                  </w:r>
                </w:p>
              </w:tc>
            </w:tr>
            <w:bookmarkEnd w:id="2793"/>
          </w:tbl>
          <w:p w14:paraId="3D030689" w14:textId="295705C5" w:rsidR="008871B2" w:rsidRPr="008871B2" w:rsidRDefault="008871B2" w:rsidP="001138B9">
            <w:pPr>
              <w:keepNext/>
              <w:tabs>
                <w:tab w:val="left" w:pos="1080"/>
              </w:tabs>
              <w:spacing w:before="480" w:after="240"/>
              <w:outlineLvl w:val="2"/>
              <w:rPr>
                <w:b/>
                <w:bCs/>
                <w:i/>
              </w:rPr>
            </w:pPr>
          </w:p>
        </w:tc>
      </w:tr>
    </w:tbl>
    <w:p w14:paraId="0904D38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14369FB" w14:textId="77777777" w:rsidTr="001138B9">
        <w:trPr>
          <w:trHeight w:val="206"/>
        </w:trPr>
        <w:tc>
          <w:tcPr>
            <w:tcW w:w="9350" w:type="dxa"/>
            <w:shd w:val="pct12" w:color="auto" w:fill="auto"/>
          </w:tcPr>
          <w:p w14:paraId="19328F46" w14:textId="1E17FC6B" w:rsidR="008871B2" w:rsidRDefault="008871B2" w:rsidP="001138B9">
            <w:pPr>
              <w:pStyle w:val="Instructions"/>
              <w:spacing w:before="120"/>
            </w:pPr>
            <w:r>
              <w:t>[NPRR1010</w:t>
            </w:r>
            <w:r w:rsidR="00103BC5">
              <w:t xml:space="preserve"> and NPRR1245</w:t>
            </w:r>
            <w:r>
              <w:t>:  Insert Section 6.7.5.3 below upon system implementation of the Real-Time Co-Optimization (RTC) project:]</w:t>
            </w:r>
          </w:p>
          <w:p w14:paraId="70858E07" w14:textId="77777777" w:rsidR="007D4B3E" w:rsidRDefault="007D4B3E" w:rsidP="007D4B3E">
            <w:pPr>
              <w:pStyle w:val="H4"/>
              <w:spacing w:before="480"/>
            </w:pPr>
            <w:bookmarkStart w:id="2794" w:name="_Toc189044496"/>
            <w:r>
              <w:t>6.7.5.3</w:t>
            </w:r>
            <w:r>
              <w:tab/>
              <w:t>Regulation Down Service Payments and Charges</w:t>
            </w:r>
            <w:bookmarkEnd w:id="2794"/>
          </w:p>
          <w:p w14:paraId="29073DE7" w14:textId="079D4C40" w:rsidR="007D4B3E" w:rsidRDefault="007D4B3E" w:rsidP="007D4B3E">
            <w:r>
              <w:t>(1)</w:t>
            </w:r>
            <w:r>
              <w:tab/>
              <w:t>Reg-Down Imbalance Payment or Charge:</w:t>
            </w:r>
          </w:p>
          <w:p w14:paraId="15DE7F6B" w14:textId="627B20E6" w:rsidR="007D4B3E" w:rsidRDefault="007D4B3E" w:rsidP="007D4B3E">
            <w:pPr>
              <w:pStyle w:val="FormulaBold"/>
            </w:pPr>
            <w:r>
              <w:t>RTRDIMBAMT</w:t>
            </w:r>
            <w:r>
              <w:rPr>
                <w:i/>
                <w:vertAlign w:val="subscript"/>
              </w:rPr>
              <w:t xml:space="preserve"> q  </w:t>
            </w:r>
            <w:r>
              <w:t xml:space="preserve">= </w:t>
            </w:r>
            <w:r>
              <w:tab/>
              <w:t>(-1) * [</w:t>
            </w:r>
            <w:r>
              <w:rPr>
                <w:position w:val="-18"/>
              </w:rPr>
              <w:object w:dxaOrig="285" w:dyaOrig="570" w14:anchorId="1DD4572E">
                <v:shape id="_x0000_i1400" type="#_x0000_t75" style="width:12pt;height:30pt" o:ole="">
                  <v:imagedata r:id="rId159" o:title=""/>
                </v:shape>
                <o:OLEObject Type="Embed" ProgID="Equation.3" ShapeID="_x0000_i1400" DrawAspect="Content" ObjectID="_1804653883" r:id="rId492"/>
              </w:object>
            </w:r>
            <w:r>
              <w:t>[</w:t>
            </w:r>
            <w:r>
              <w:rPr>
                <w:rStyle w:val="BodyTextChar"/>
              </w:rPr>
              <w:t xml:space="preserve">RTRDREV </w:t>
            </w:r>
            <w:r>
              <w:rPr>
                <w:i/>
                <w:vertAlign w:val="subscript"/>
              </w:rPr>
              <w:t xml:space="preserve">q, r </w:t>
            </w:r>
            <w:r>
              <w:t>– (1/4) * (PCRDR</w:t>
            </w:r>
            <w:r>
              <w:rPr>
                <w:i/>
              </w:rPr>
              <w:t xml:space="preserve"> </w:t>
            </w:r>
            <w:r>
              <w:rPr>
                <w:i/>
                <w:vertAlign w:val="subscript"/>
              </w:rPr>
              <w:t>r, q, DAM</w:t>
            </w:r>
            <w:r>
              <w:t xml:space="preserve"> * RTMCPCRD)] – (1/4) * (DASARDQ </w:t>
            </w:r>
            <w:r>
              <w:rPr>
                <w:i/>
                <w:vertAlign w:val="subscript"/>
              </w:rPr>
              <w:t>q</w:t>
            </w:r>
            <w:r>
              <w:t xml:space="preserve"> * RTMCPCRD) + (1/4) * (RDTP </w:t>
            </w:r>
            <w:r>
              <w:rPr>
                <w:i/>
                <w:vertAlign w:val="subscript"/>
              </w:rPr>
              <w:t>q</w:t>
            </w:r>
            <w:r>
              <w:t xml:space="preserve"> – RDTS </w:t>
            </w:r>
            <w:r>
              <w:rPr>
                <w:i/>
                <w:vertAlign w:val="subscript"/>
              </w:rPr>
              <w:t>q</w:t>
            </w:r>
            <w:r>
              <w:t>) * RTMCPCRD]</w:t>
            </w:r>
          </w:p>
          <w:p w14:paraId="13CADDB4" w14:textId="77777777" w:rsidR="007D4B3E" w:rsidRDefault="007D4B3E" w:rsidP="007D4B3E">
            <w:pPr>
              <w:pStyle w:val="FormulaBold"/>
            </w:pPr>
            <w:r>
              <w:lastRenderedPageBreak/>
              <w:t xml:space="preserve">Where:   </w:t>
            </w:r>
          </w:p>
          <w:p w14:paraId="68A7EDD9" w14:textId="77777777" w:rsidR="007D4B3E" w:rsidRDefault="007D4B3E" w:rsidP="007D4B3E">
            <w:pPr>
              <w:pStyle w:val="FormulaBold"/>
            </w:pPr>
            <w:r>
              <w:rPr>
                <w:rStyle w:val="BodyTextChar"/>
              </w:rPr>
              <w:t xml:space="preserve">RTRDREV </w:t>
            </w:r>
            <w:r>
              <w:rPr>
                <w:i/>
                <w:vertAlign w:val="subscript"/>
              </w:rPr>
              <w:t xml:space="preserve">q, r </w:t>
            </w:r>
            <w:r>
              <w:rPr>
                <w:i/>
              </w:rPr>
              <w:t xml:space="preserve"> =     </w:t>
            </w:r>
            <w:r>
              <w:t>(1/4) * RTRDAWD</w:t>
            </w:r>
            <w:r>
              <w:rPr>
                <w:i/>
                <w:vertAlign w:val="subscript"/>
              </w:rPr>
              <w:t xml:space="preserve"> q, r</w:t>
            </w:r>
            <w:r>
              <w:t xml:space="preserve"> * RTMCPCRDR </w:t>
            </w:r>
            <w:r>
              <w:rPr>
                <w:i/>
                <w:vertAlign w:val="subscript"/>
              </w:rPr>
              <w:t>q,</w:t>
            </w:r>
            <w:r>
              <w:rPr>
                <w:i/>
              </w:rPr>
              <w:t xml:space="preserve"> </w:t>
            </w:r>
            <w:r>
              <w:rPr>
                <w:i/>
                <w:vertAlign w:val="subscript"/>
              </w:rPr>
              <w:t>r</w:t>
            </w:r>
          </w:p>
          <w:p w14:paraId="0D5C8529" w14:textId="3D922CA1" w:rsidR="007D4B3E" w:rsidRDefault="007D4B3E" w:rsidP="007D4B3E">
            <w:pPr>
              <w:pStyle w:val="FormulaBold"/>
            </w:pPr>
            <w:r>
              <w:t xml:space="preserve">RTMCPCRDR </w:t>
            </w:r>
            <w:r>
              <w:rPr>
                <w:i/>
                <w:vertAlign w:val="subscript"/>
              </w:rPr>
              <w:t>q, r</w:t>
            </w:r>
            <w:r>
              <w:rPr>
                <w:i/>
              </w:rPr>
              <w:t xml:space="preserve">  = </w:t>
            </w:r>
            <w:r w:rsidR="00936E32">
              <w:rPr>
                <w:position w:val="-22"/>
              </w:rPr>
              <w:object w:dxaOrig="285" w:dyaOrig="285" w14:anchorId="76213AE7">
                <v:shape id="_x0000_i1401" type="#_x0000_t75" style="width:30pt;height:30pt" o:ole="">
                  <v:imagedata r:id="rId22" o:title=""/>
                </v:shape>
                <o:OLEObject Type="Embed" ProgID="Equation.3" ShapeID="_x0000_i1401" DrawAspect="Content" ObjectID="_1804653884" r:id="rId493"/>
              </w:object>
            </w:r>
            <w:r>
              <w:t xml:space="preserve"> (RDRWF</w:t>
            </w:r>
            <w:r>
              <w:rPr>
                <w:i/>
                <w:vertAlign w:val="subscript"/>
              </w:rPr>
              <w:t xml:space="preserve"> q, r, y</w:t>
            </w:r>
            <w:r>
              <w:t xml:space="preserve"> * (RTMCPCRDS</w:t>
            </w:r>
            <w:r>
              <w:rPr>
                <w:i/>
                <w:vertAlign w:val="subscript"/>
              </w:rPr>
              <w:t xml:space="preserve"> y</w:t>
            </w:r>
            <w:r>
              <w:t xml:space="preserve"> + RTRDPARDS </w:t>
            </w:r>
            <w:r>
              <w:rPr>
                <w:i/>
                <w:vertAlign w:val="subscript"/>
              </w:rPr>
              <w:t>y</w:t>
            </w:r>
            <w:r>
              <w:t>))</w:t>
            </w:r>
          </w:p>
          <w:p w14:paraId="316D3BE1" w14:textId="111EDAA6" w:rsidR="007D4B3E" w:rsidRDefault="007D4B3E" w:rsidP="007D4B3E">
            <w:pPr>
              <w:pStyle w:val="FormulaBold"/>
              <w:rPr>
                <w:i/>
                <w:vertAlign w:val="subscript"/>
              </w:rPr>
            </w:pPr>
            <w:r>
              <w:t>RTRDAWD</w:t>
            </w:r>
            <w:r>
              <w:rPr>
                <w:i/>
                <w:vertAlign w:val="subscript"/>
              </w:rPr>
              <w:t xml:space="preserve"> q, r     </w:t>
            </w:r>
            <w:r>
              <w:t xml:space="preserve">=  </w:t>
            </w:r>
            <w:r w:rsidR="00936E32">
              <w:rPr>
                <w:position w:val="-22"/>
              </w:rPr>
              <w:object w:dxaOrig="285" w:dyaOrig="285" w14:anchorId="73DD9CC9">
                <v:shape id="_x0000_i1402" type="#_x0000_t75" style="width:30pt;height:30pt" o:ole="">
                  <v:imagedata r:id="rId22" o:title=""/>
                </v:shape>
                <o:OLEObject Type="Embed" ProgID="Equation.3" ShapeID="_x0000_i1402" DrawAspect="Content" ObjectID="_1804653885" r:id="rId494"/>
              </w:object>
            </w:r>
            <w:r>
              <w:t xml:space="preserve"> (RNWF </w:t>
            </w:r>
            <w:r>
              <w:rPr>
                <w:i/>
                <w:vertAlign w:val="subscript"/>
              </w:rPr>
              <w:t>y</w:t>
            </w:r>
            <w:r>
              <w:rPr>
                <w:vertAlign w:val="subscript"/>
              </w:rPr>
              <w:t xml:space="preserve"> </w:t>
            </w:r>
            <w:r>
              <w:t>* RTRDAWDS</w:t>
            </w:r>
            <w:r>
              <w:rPr>
                <w:i/>
                <w:vertAlign w:val="subscript"/>
              </w:rPr>
              <w:t xml:space="preserve"> q, r, y</w:t>
            </w:r>
            <w:r>
              <w:t>)</w:t>
            </w:r>
          </w:p>
          <w:p w14:paraId="469EF33D" w14:textId="77777777" w:rsidR="007D4B3E" w:rsidRDefault="007D4B3E" w:rsidP="007D4B3E">
            <w:pPr>
              <w:pStyle w:val="BodyTextNumbered"/>
              <w:ind w:left="0" w:firstLine="720"/>
            </w:pPr>
            <w:r>
              <w:t>Where:</w:t>
            </w:r>
          </w:p>
          <w:p w14:paraId="5AE65675" w14:textId="4969051D" w:rsidR="007D4B3E" w:rsidRDefault="007D4B3E" w:rsidP="007D4B3E">
            <w:pPr>
              <w:pStyle w:val="NoSpacing"/>
              <w:spacing w:after="240"/>
            </w:pPr>
            <w:r>
              <w:t xml:space="preserve">           RDRWF</w:t>
            </w:r>
            <w:r>
              <w:rPr>
                <w:i/>
                <w:vertAlign w:val="subscript"/>
              </w:rPr>
              <w:t xml:space="preserve"> q, r, y</w:t>
            </w:r>
            <w:r>
              <w:rPr>
                <w:vertAlign w:val="subscript"/>
              </w:rPr>
              <w:tab/>
              <w:t xml:space="preserve">  </w:t>
            </w:r>
            <w:r>
              <w:t>=  [max(0.001, RTRDAWDS</w:t>
            </w:r>
            <w:r>
              <w:rPr>
                <w:i/>
                <w:vertAlign w:val="subscript"/>
              </w:rPr>
              <w:t xml:space="preserve"> q, r, y</w:t>
            </w:r>
            <w:r>
              <w:t>) * TLMP</w:t>
            </w:r>
            <w:r>
              <w:rPr>
                <w:i/>
                <w:vertAlign w:val="subscript"/>
              </w:rPr>
              <w:t xml:space="preserve"> y</w:t>
            </w:r>
            <w:r>
              <w:t>] / [</w:t>
            </w:r>
            <w:r w:rsidR="00936E32">
              <w:rPr>
                <w:b/>
                <w:position w:val="-22"/>
              </w:rPr>
              <w:object w:dxaOrig="285" w:dyaOrig="285" w14:anchorId="17D4C861">
                <v:shape id="_x0000_i1403" type="#_x0000_t75" style="width:30pt;height:30pt" o:ole="">
                  <v:imagedata r:id="rId22" o:title=""/>
                </v:shape>
                <o:OLEObject Type="Embed" ProgID="Equation.3" ShapeID="_x0000_i1403" DrawAspect="Content" ObjectID="_1804653886" r:id="rId495"/>
              </w:object>
            </w:r>
            <w:r>
              <w:t>max(0.001,</w:t>
            </w:r>
          </w:p>
          <w:p w14:paraId="518FA48A" w14:textId="54A8844F" w:rsidR="007D4B3E" w:rsidRDefault="007D4B3E" w:rsidP="007D4B3E">
            <w:pPr>
              <w:pStyle w:val="NoSpacing"/>
              <w:spacing w:after="240"/>
              <w:ind w:firstLine="720"/>
              <w:rPr>
                <w:position w:val="-22"/>
              </w:rPr>
            </w:pPr>
            <w:r>
              <w:t xml:space="preserve"> </w:t>
            </w:r>
            <w:r>
              <w:tab/>
            </w:r>
            <w:r>
              <w:tab/>
              <w:t xml:space="preserve">      RTRDAWDS</w:t>
            </w:r>
            <w:r>
              <w:rPr>
                <w:i/>
                <w:vertAlign w:val="subscript"/>
              </w:rPr>
              <w:t xml:space="preserve"> q, r, y</w:t>
            </w:r>
            <w:r>
              <w:t>) * TLMP</w:t>
            </w:r>
            <w:r>
              <w:rPr>
                <w:i/>
                <w:vertAlign w:val="subscript"/>
              </w:rPr>
              <w:t xml:space="preserve"> y</w:t>
            </w:r>
            <w:r>
              <w:t>]</w:t>
            </w:r>
          </w:p>
          <w:p w14:paraId="0EA81A67" w14:textId="77777777" w:rsidR="007D4B3E" w:rsidRDefault="007D4B3E" w:rsidP="007D4B3E">
            <w:pPr>
              <w:spacing w:after="240"/>
              <w:ind w:firstLine="720"/>
            </w:pPr>
            <w:r>
              <w:t>And:</w:t>
            </w:r>
          </w:p>
          <w:p w14:paraId="620993D8" w14:textId="12ABB7E4" w:rsidR="007D4B3E" w:rsidRDefault="007D4B3E" w:rsidP="007D4B3E">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5917E05E">
                <v:shape id="_x0000_i1404" type="#_x0000_t75" style="width:30pt;height:30pt" o:ole="">
                  <v:imagedata r:id="rId22" o:title=""/>
                </v:shape>
                <o:OLEObject Type="Embed" ProgID="Equation.3" ShapeID="_x0000_i1404" DrawAspect="Content" ObjectID="_1804653887" r:id="rId496"/>
              </w:object>
            </w:r>
            <w:r>
              <w:t xml:space="preserve">TLMP </w:t>
            </w:r>
            <w:r>
              <w:rPr>
                <w:i/>
                <w:vertAlign w:val="subscript"/>
              </w:rPr>
              <w:t>y</w:t>
            </w:r>
          </w:p>
          <w:p w14:paraId="2479A8AD" w14:textId="77777777" w:rsidR="007D4B3E" w:rsidRDefault="007D4B3E" w:rsidP="007D4B3E">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0CA15053"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A48BB34"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342A93D"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F63397E" w14:textId="77777777" w:rsidR="007D4B3E" w:rsidRDefault="007D4B3E" w:rsidP="007D4B3E">
                  <w:pPr>
                    <w:pStyle w:val="TableHead"/>
                  </w:pPr>
                  <w:r>
                    <w:t>Description</w:t>
                  </w:r>
                </w:p>
              </w:tc>
            </w:tr>
            <w:tr w:rsidR="007D4B3E" w14:paraId="4A4A001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3933774" w14:textId="77777777" w:rsidR="007D4B3E" w:rsidRDefault="007D4B3E" w:rsidP="007D4B3E">
                  <w:pPr>
                    <w:pStyle w:val="tablebody0"/>
                  </w:pPr>
                  <w:r>
                    <w:t xml:space="preserve">RTRDIMBAMT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1C31290"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3AC0BB6" w14:textId="4A515A6B" w:rsidR="007D4B3E" w:rsidRDefault="007D4B3E" w:rsidP="007D4B3E">
                  <w:pPr>
                    <w:pStyle w:val="tablebody0"/>
                    <w:rPr>
                      <w:i/>
                    </w:rPr>
                  </w:pPr>
                  <w:r>
                    <w:rPr>
                      <w:i/>
                    </w:rPr>
                    <w:t>Real-Time Reg-Down Imbalance Amount for the QSE</w:t>
                  </w:r>
                  <w:r>
                    <w:t xml:space="preserve">—The total payment or charge to QSE </w:t>
                  </w:r>
                  <w:r>
                    <w:rPr>
                      <w:i/>
                    </w:rPr>
                    <w:t>q</w:t>
                  </w:r>
                  <w:r>
                    <w:t xml:space="preserve"> for the Real-Time Reg-Down imbalance for each 15-minute Settlement Interval.</w:t>
                  </w:r>
                </w:p>
              </w:tc>
            </w:tr>
            <w:tr w:rsidR="007D4B3E" w14:paraId="3F918BB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3F223F6" w14:textId="77777777" w:rsidR="007D4B3E" w:rsidRDefault="007D4B3E" w:rsidP="007D4B3E">
                  <w:pPr>
                    <w:pStyle w:val="tablebody0"/>
                  </w:pPr>
                  <w:r>
                    <w:t>RTRDAWD</w:t>
                  </w:r>
                  <w:r>
                    <w:rPr>
                      <w:vertAlign w:val="subscript"/>
                    </w:rPr>
                    <w:t xml:space="preserve">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B5A514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ED2AD8" w14:textId="7EC40F70" w:rsidR="007D4B3E" w:rsidRDefault="007D4B3E" w:rsidP="007D4B3E">
                  <w:pPr>
                    <w:pStyle w:val="tablebody0"/>
                    <w:rPr>
                      <w:i/>
                    </w:rPr>
                  </w:pPr>
                  <w:r>
                    <w:rPr>
                      <w:i/>
                    </w:rPr>
                    <w:t>Real-Time Reg-Down Award per Resource per QSE</w:t>
                  </w:r>
                  <w:r w:rsidR="008D5F67" w:rsidRPr="00A552C3">
                    <w:rPr>
                      <w:iCs/>
                    </w:rPr>
                    <w:t>—</w:t>
                  </w:r>
                  <w:r>
                    <w:t xml:space="preserve">The Reg-Down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7D4B3E" w14:paraId="69721FC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DA8DC5E" w14:textId="77777777" w:rsidR="007D4B3E" w:rsidRDefault="007D4B3E" w:rsidP="007D4B3E">
                  <w:pPr>
                    <w:pStyle w:val="tablebody0"/>
                  </w:pPr>
                  <w:r>
                    <w:t xml:space="preserve">RTRDREV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621ADE89"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3BD8062F" w14:textId="72828A93" w:rsidR="007D4B3E" w:rsidRDefault="007D4B3E" w:rsidP="007D4B3E">
                  <w:pPr>
                    <w:pStyle w:val="tablebody0"/>
                  </w:pPr>
                  <w:r>
                    <w:rPr>
                      <w:i/>
                    </w:rPr>
                    <w:t>Real-Time Reg-Down Revenue</w:t>
                  </w:r>
                  <w:r>
                    <w:t xml:space="preserve">—The Real-Time Reg-Down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D4B3E" w14:paraId="5262993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3AD66F" w14:textId="155018B0" w:rsidR="007D4B3E" w:rsidRDefault="007D4B3E" w:rsidP="007D4B3E">
                  <w:pPr>
                    <w:pStyle w:val="tablebody0"/>
                  </w:pPr>
                  <w:r>
                    <w:t>RTRDAWDS</w:t>
                  </w:r>
                  <w:r>
                    <w:rPr>
                      <w:vertAlign w:val="subscript"/>
                    </w:rPr>
                    <w:t xml:space="preserve">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1E414DCC"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524D0C" w14:textId="525B43ED" w:rsidR="007D4B3E" w:rsidRDefault="007D4B3E" w:rsidP="007D4B3E">
                  <w:pPr>
                    <w:pStyle w:val="tablebody0"/>
                    <w:rPr>
                      <w:i/>
                    </w:rPr>
                  </w:pPr>
                  <w:r>
                    <w:rPr>
                      <w:i/>
                    </w:rPr>
                    <w:t>Real-Time Reg-Down Award per Resource per QSE per SCED interval</w:t>
                  </w:r>
                  <w:r w:rsidR="00C2255C" w:rsidRPr="00A552C3">
                    <w:rPr>
                      <w:iCs/>
                    </w:rPr>
                    <w:t>—</w:t>
                  </w:r>
                  <w:r>
                    <w:t xml:space="preserve">The Reg-Down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D4B3E" w14:paraId="46827ED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B9C438C" w14:textId="77777777" w:rsidR="007D4B3E" w:rsidRDefault="007D4B3E" w:rsidP="007D4B3E">
                  <w:pPr>
                    <w:pStyle w:val="tablebody0"/>
                  </w:pPr>
                  <w:r>
                    <w:t xml:space="preserve">RTMCPCRDR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4D81BAA"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1AA1F61" w14:textId="67D5320A" w:rsidR="007D4B3E" w:rsidRDefault="007D4B3E" w:rsidP="007D4B3E">
                  <w:pPr>
                    <w:pStyle w:val="tablebody0"/>
                    <w:rPr>
                      <w:iCs/>
                    </w:rPr>
                  </w:pPr>
                  <w:r>
                    <w:rPr>
                      <w:i/>
                    </w:rPr>
                    <w:t>Real-Time Market Clearing Price for Capacity for Reg-Down per Resource per QSE</w:t>
                  </w:r>
                  <w:r>
                    <w:sym w:font="Symbol" w:char="F0BE"/>
                  </w:r>
                  <w:r>
                    <w:t xml:space="preserve">The Real-Time MCPC for Reg-Down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D4B3E" w14:paraId="5D171BA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747E2B5" w14:textId="77777777" w:rsidR="007D4B3E" w:rsidRDefault="007D4B3E" w:rsidP="007D4B3E">
                  <w:pPr>
                    <w:pStyle w:val="tablebody0"/>
                  </w:pPr>
                  <w:r>
                    <w:t>RTMCPCRDS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3BD0F7DF"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C1EFBD" w14:textId="6969B63F" w:rsidR="007D4B3E" w:rsidRDefault="007D4B3E" w:rsidP="007D4B3E">
                  <w:pPr>
                    <w:pStyle w:val="tablebody0"/>
                    <w:rPr>
                      <w:i/>
                    </w:rPr>
                  </w:pPr>
                  <w:r>
                    <w:rPr>
                      <w:i/>
                    </w:rPr>
                    <w:t>Real-Time Market Clearing Price for Capacity for Reg-Down per SCED interval</w:t>
                  </w:r>
                  <w:r w:rsidR="00C2255C" w:rsidRPr="00A552C3">
                    <w:rPr>
                      <w:iCs/>
                    </w:rPr>
                    <w:t>—</w:t>
                  </w:r>
                  <w:r>
                    <w:t xml:space="preserve">The Real-Time MCPC for Reg-Down for the SCED interval </w:t>
                  </w:r>
                  <w:r>
                    <w:rPr>
                      <w:i/>
                    </w:rPr>
                    <w:t>y.</w:t>
                  </w:r>
                </w:p>
              </w:tc>
            </w:tr>
            <w:tr w:rsidR="007D4B3E" w14:paraId="4D23B8F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8D728B" w14:textId="77777777" w:rsidR="007D4B3E" w:rsidRDefault="007D4B3E" w:rsidP="007D4B3E">
                  <w:pPr>
                    <w:pStyle w:val="tablebody0"/>
                  </w:pPr>
                  <w:r>
                    <w:lastRenderedPageBreak/>
                    <w:t xml:space="preserve">PCRDR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7F702F4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DD20558" w14:textId="77777777" w:rsidR="007D4B3E" w:rsidRDefault="007D4B3E" w:rsidP="007D4B3E">
                  <w:pPr>
                    <w:pStyle w:val="tablebody0"/>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D4B3E" w14:paraId="7D09D7DA"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E7AC353"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6A435D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4B19E12" w14:textId="181EF9BD" w:rsidR="007D4B3E" w:rsidRDefault="007D4B3E" w:rsidP="007D4B3E">
                  <w:pPr>
                    <w:pStyle w:val="tablebody0"/>
                    <w:rPr>
                      <w:i/>
                    </w:rPr>
                  </w:pPr>
                  <w:r>
                    <w:rPr>
                      <w:i/>
                    </w:rPr>
                    <w:t>Real-Time Market Clearing Price for Capacity for Reg-Down</w:t>
                  </w:r>
                  <w:r w:rsidR="00F074F6" w:rsidRPr="00A552C3">
                    <w:rPr>
                      <w:iCs/>
                    </w:rPr>
                    <w:t>—</w:t>
                  </w:r>
                  <w:r>
                    <w:t>The Real-Time MCPC for Reg-Down for the 15-minute Settlement Interval.</w:t>
                  </w:r>
                </w:p>
              </w:tc>
            </w:tr>
            <w:tr w:rsidR="007D4B3E" w14:paraId="2031462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DAAB2B0" w14:textId="77777777" w:rsidR="007D4B3E" w:rsidRDefault="007D4B3E" w:rsidP="007D4B3E">
                  <w:pPr>
                    <w:pStyle w:val="tablebody0"/>
                  </w:pPr>
                  <w:r>
                    <w:t xml:space="preserve">RTRDPARDS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8960ABE"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26D7CA" w14:textId="550BB044" w:rsidR="007D4B3E" w:rsidRDefault="007D4B3E" w:rsidP="007D4B3E">
                  <w:pPr>
                    <w:pStyle w:val="tablebody0"/>
                    <w:rPr>
                      <w:i/>
                    </w:rPr>
                  </w:pPr>
                  <w:r>
                    <w:rPr>
                      <w:i/>
                      <w:szCs w:val="18"/>
                    </w:rPr>
                    <w:t xml:space="preserve">Real-Time </w:t>
                  </w:r>
                  <w:r>
                    <w:rPr>
                      <w:i/>
                    </w:rPr>
                    <w:t xml:space="preserve">Reliability Deployment Price Adder </w:t>
                  </w:r>
                  <w:r>
                    <w:rPr>
                      <w:i/>
                      <w:szCs w:val="18"/>
                    </w:rPr>
                    <w:t xml:space="preserve">for Ancillary Service for Reg-Down </w:t>
                  </w:r>
                  <w:r>
                    <w:rPr>
                      <w:i/>
                    </w:rPr>
                    <w:t>per SCED interval</w:t>
                  </w:r>
                  <w:r w:rsidR="00F074F6" w:rsidRPr="00A552C3">
                    <w:rPr>
                      <w:iCs/>
                    </w:rPr>
                    <w:t>—</w:t>
                  </w:r>
                  <w:r>
                    <w:t xml:space="preserve">The Real-Time price adder for Reg-Down that captures the impact of reliability deployments on Reg-Down prices for the SCED interval </w:t>
                  </w:r>
                  <w:r>
                    <w:rPr>
                      <w:i/>
                    </w:rPr>
                    <w:t>y</w:t>
                  </w:r>
                  <w:r>
                    <w:t>.</w:t>
                  </w:r>
                </w:p>
              </w:tc>
            </w:tr>
            <w:tr w:rsidR="007D4B3E" w14:paraId="107789FB"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D5C79D2" w14:textId="77777777" w:rsidR="007D4B3E" w:rsidRDefault="007D4B3E" w:rsidP="007D4B3E">
                  <w:pPr>
                    <w:pStyle w:val="tablebody0"/>
                  </w:pPr>
                  <w:r>
                    <w:t>DASARDQ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FBA1D3D"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00B6F5" w14:textId="3C76021C" w:rsidR="007D4B3E" w:rsidRDefault="007D4B3E" w:rsidP="007D4B3E">
                  <w:pPr>
                    <w:pStyle w:val="tablebody0"/>
                    <w:rPr>
                      <w:i/>
                    </w:rPr>
                  </w:pPr>
                  <w:r>
                    <w:rPr>
                      <w:i/>
                      <w:iCs/>
                    </w:rPr>
                    <w:t>Day-Ahead Self-Arranged Reg-Down Quantity per QSE</w:t>
                  </w:r>
                  <w:r>
                    <w:rPr>
                      <w:iCs/>
                    </w:rPr>
                    <w:t xml:space="preserve">—The self-arranged Reg-Down quantity submitted by QSE </w:t>
                  </w:r>
                  <w:r>
                    <w:rPr>
                      <w:i/>
                      <w:iCs/>
                    </w:rPr>
                    <w:t>q</w:t>
                  </w:r>
                  <w:r>
                    <w:rPr>
                      <w:iCs/>
                    </w:rPr>
                    <w:t xml:space="preserve"> before 1000 in the DAM for the Operating Hour.</w:t>
                  </w:r>
                </w:p>
              </w:tc>
            </w:tr>
            <w:tr w:rsidR="007D4B3E" w14:paraId="03450B8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4F525C5" w14:textId="77777777" w:rsidR="007D4B3E" w:rsidRDefault="007D4B3E" w:rsidP="007D4B3E">
                  <w:pPr>
                    <w:pStyle w:val="tablebody0"/>
                  </w:pPr>
                  <w:r>
                    <w:t xml:space="preserve">RDTP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B6CA4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7A4210" w14:textId="3D69A827" w:rsidR="007D4B3E" w:rsidRDefault="007D4B3E" w:rsidP="007D4B3E">
                  <w:pPr>
                    <w:pStyle w:val="tablebody0"/>
                    <w:rPr>
                      <w:i/>
                    </w:rPr>
                  </w:pPr>
                  <w:r>
                    <w:rPr>
                      <w:i/>
                    </w:rPr>
                    <w:t>Trade Purchases for Reg-Down for the QSE</w:t>
                  </w:r>
                  <w:r>
                    <w:t>—</w:t>
                  </w:r>
                  <w:r>
                    <w:rPr>
                      <w:szCs w:val="18"/>
                    </w:rPr>
                    <w:t xml:space="preserve">The trade purchases for QSE </w:t>
                  </w:r>
                  <w:r>
                    <w:rPr>
                      <w:i/>
                      <w:szCs w:val="18"/>
                    </w:rPr>
                    <w:t>q</w:t>
                  </w:r>
                  <w:r>
                    <w:rPr>
                      <w:szCs w:val="18"/>
                    </w:rPr>
                    <w:t xml:space="preserve"> for Reg-Down for the Operating Hour.</w:t>
                  </w:r>
                </w:p>
              </w:tc>
            </w:tr>
            <w:tr w:rsidR="007D4B3E" w14:paraId="66D67218"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AD6DD02" w14:textId="77777777" w:rsidR="007D4B3E" w:rsidRDefault="007D4B3E" w:rsidP="007D4B3E">
                  <w:pPr>
                    <w:pStyle w:val="tablebody0"/>
                  </w:pPr>
                  <w:r>
                    <w:t xml:space="preserve">RDTS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E94F5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95EDF3" w14:textId="232B1757" w:rsidR="007D4B3E" w:rsidRDefault="007D4B3E" w:rsidP="007D4B3E">
                  <w:pPr>
                    <w:pStyle w:val="tablebody0"/>
                    <w:rPr>
                      <w:i/>
                    </w:rPr>
                  </w:pPr>
                  <w:r>
                    <w:rPr>
                      <w:i/>
                    </w:rPr>
                    <w:t>Trade Sales for Reg-Down for the QSE</w:t>
                  </w:r>
                  <w:r>
                    <w:t>—</w:t>
                  </w:r>
                  <w:r>
                    <w:rPr>
                      <w:szCs w:val="18"/>
                    </w:rPr>
                    <w:t xml:space="preserve">The trade sales for QSE </w:t>
                  </w:r>
                  <w:r>
                    <w:rPr>
                      <w:i/>
                      <w:szCs w:val="18"/>
                    </w:rPr>
                    <w:t>q</w:t>
                  </w:r>
                  <w:r>
                    <w:rPr>
                      <w:szCs w:val="18"/>
                    </w:rPr>
                    <w:t xml:space="preserve"> for Reg-Down for the Operating Hour.</w:t>
                  </w:r>
                </w:p>
              </w:tc>
            </w:tr>
            <w:tr w:rsidR="007D4B3E" w14:paraId="1778F58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BE3F55C" w14:textId="77777777" w:rsidR="007D4B3E" w:rsidRDefault="007D4B3E" w:rsidP="007D4B3E">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0348A0D1" w14:textId="77777777" w:rsidR="007D4B3E" w:rsidRDefault="007D4B3E" w:rsidP="007D4B3E">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144E35F7" w14:textId="47B2A432" w:rsidR="007D4B3E" w:rsidRDefault="007D4B3E" w:rsidP="007D4B3E">
                  <w:pPr>
                    <w:pStyle w:val="tablebody0"/>
                    <w:rPr>
                      <w:i/>
                    </w:rPr>
                  </w:pPr>
                  <w:r>
                    <w:rPr>
                      <w:i/>
                      <w:iCs/>
                    </w:rPr>
                    <w:t xml:space="preserve">Duration of </w:t>
                  </w:r>
                  <w:r>
                    <w:rPr>
                      <w:i/>
                    </w:rPr>
                    <w:t>SCED</w:t>
                  </w:r>
                  <w:r>
                    <w:rPr>
                      <w:i/>
                      <w:iCs/>
                    </w:rPr>
                    <w:t xml:space="preserve"> interval per interval</w:t>
                  </w:r>
                  <w:r w:rsidR="00ED75E9" w:rsidRPr="00A552C3">
                    <w:rPr>
                      <w:iCs/>
                    </w:rPr>
                    <w:t>—</w:t>
                  </w:r>
                  <w:r>
                    <w:t xml:space="preserve">The duration of the SCED interval </w:t>
                  </w:r>
                  <w:r>
                    <w:rPr>
                      <w:i/>
                      <w:iCs/>
                    </w:rPr>
                    <w:t>y</w:t>
                  </w:r>
                  <w:r>
                    <w:t>.</w:t>
                  </w:r>
                </w:p>
              </w:tc>
            </w:tr>
            <w:tr w:rsidR="007D4B3E" w14:paraId="14FA29F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66F7696" w14:textId="77777777" w:rsidR="007D4B3E" w:rsidRDefault="007D4B3E" w:rsidP="007D4B3E">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D2523B8"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4D831C5" w14:textId="6C41946A" w:rsidR="007D4B3E" w:rsidRDefault="007D4B3E" w:rsidP="007D4B3E">
                  <w:pPr>
                    <w:pStyle w:val="tablebody0"/>
                    <w:rPr>
                      <w:i/>
                    </w:rPr>
                  </w:pPr>
                  <w:r>
                    <w:rPr>
                      <w:i/>
                    </w:rPr>
                    <w:t>Resource Node Weighting Factor per interval</w:t>
                  </w:r>
                  <w:r w:rsidR="00ED75E9" w:rsidRPr="00A552C3">
                    <w:rPr>
                      <w:iCs/>
                    </w:rPr>
                    <w:t>—</w:t>
                  </w:r>
                  <w:r>
                    <w:t xml:space="preserve">The weight used in the Ancillary Service award calculation for the portion of the SCED interval </w:t>
                  </w:r>
                  <w:r w:rsidRPr="00952F33">
                    <w:rPr>
                      <w:i/>
                      <w:iCs/>
                    </w:rPr>
                    <w:t>y</w:t>
                  </w:r>
                  <w:r>
                    <w:t xml:space="preserve"> within the Settlement Interval.</w:t>
                  </w:r>
                </w:p>
              </w:tc>
            </w:tr>
            <w:tr w:rsidR="007D4B3E" w14:paraId="0EB4A48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C2787B8" w14:textId="4FD7C9B3" w:rsidR="007D4B3E" w:rsidRDefault="007D4B3E" w:rsidP="007D4B3E">
                  <w:pPr>
                    <w:pStyle w:val="tablebody0"/>
                  </w:pPr>
                  <w:r>
                    <w:t xml:space="preserve">RDRWF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38E8C23"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EA302F1" w14:textId="64B9B58A" w:rsidR="007D4B3E" w:rsidRDefault="007D4B3E" w:rsidP="007D4B3E">
                  <w:pPr>
                    <w:pStyle w:val="tablebody0"/>
                    <w:rPr>
                      <w:i/>
                    </w:rPr>
                  </w:pPr>
                  <w:r>
                    <w:rPr>
                      <w:i/>
                    </w:rPr>
                    <w:t>Regulation Down Resource Node Weighting Factor per interval</w:t>
                  </w:r>
                  <w:r w:rsidR="002854FC" w:rsidRPr="00A552C3">
                    <w:rPr>
                      <w:iCs/>
                    </w:rPr>
                    <w:t>—</w:t>
                  </w:r>
                  <w:r>
                    <w:t xml:space="preserve">The Reg-Down Resource weight, based on Reg-Down awards, used in the Real-Time MCPC calculation for the portion of the SCED interval </w:t>
                  </w:r>
                  <w:r w:rsidRPr="00952F33">
                    <w:rPr>
                      <w:i/>
                      <w:iCs/>
                    </w:rPr>
                    <w:t>y</w:t>
                  </w:r>
                  <w:r>
                    <w:t xml:space="preserve"> within the Settlement Interval.  Where for a Combined Cycle Train, the Resource </w:t>
                  </w:r>
                  <w:r w:rsidRPr="00952F33">
                    <w:rPr>
                      <w:i/>
                      <w:iCs/>
                    </w:rPr>
                    <w:t>r</w:t>
                  </w:r>
                  <w:r>
                    <w:t xml:space="preserve"> is a Combined Cycle Generation Resource within the Combined Cycle Train.   </w:t>
                  </w:r>
                </w:p>
              </w:tc>
            </w:tr>
            <w:tr w:rsidR="007D4B3E" w14:paraId="1FA7A9E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17B13F" w14:textId="77777777" w:rsidR="007D4B3E" w:rsidRDefault="007D4B3E" w:rsidP="007D4B3E">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7EF7833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870EFAD" w14:textId="77777777" w:rsidR="007D4B3E" w:rsidRDefault="007D4B3E" w:rsidP="007D4B3E">
                  <w:pPr>
                    <w:pStyle w:val="tablebody0"/>
                    <w:rPr>
                      <w:i/>
                    </w:rPr>
                  </w:pPr>
                  <w:r>
                    <w:t>A Resource.</w:t>
                  </w:r>
                </w:p>
              </w:tc>
            </w:tr>
            <w:tr w:rsidR="007D4B3E" w14:paraId="10065F09"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E2CAABF"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129F605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3ED1E1" w14:textId="77777777" w:rsidR="007D4B3E" w:rsidRDefault="007D4B3E" w:rsidP="007D4B3E">
                  <w:pPr>
                    <w:pStyle w:val="tablebody0"/>
                  </w:pPr>
                  <w:r>
                    <w:t>A QSE.</w:t>
                  </w:r>
                </w:p>
              </w:tc>
            </w:tr>
            <w:tr w:rsidR="007D4B3E" w14:paraId="688D032D"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F789BE2" w14:textId="77777777" w:rsidR="007D4B3E" w:rsidRDefault="007D4B3E" w:rsidP="007D4B3E">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1010F1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0AD6F21" w14:textId="77777777" w:rsidR="007D4B3E" w:rsidRDefault="007D4B3E" w:rsidP="007D4B3E">
                  <w:pPr>
                    <w:pStyle w:val="tablebody0"/>
                  </w:pPr>
                  <w:r>
                    <w:t>A SCED interval in the 15-minute Settlement Interval.</w:t>
                  </w:r>
                </w:p>
              </w:tc>
            </w:tr>
          </w:tbl>
          <w:p w14:paraId="3756BECB" w14:textId="77777777" w:rsidR="007D4B3E" w:rsidRDefault="007D4B3E" w:rsidP="007D4B3E">
            <w:pPr>
              <w:spacing w:before="240" w:after="240"/>
            </w:pPr>
            <w:r>
              <w:t>(2)</w:t>
            </w:r>
            <w:r>
              <w:tab/>
              <w:t>Reg-Down Only Charge:</w:t>
            </w:r>
          </w:p>
          <w:p w14:paraId="15E251F5" w14:textId="77777777" w:rsidR="007D4B3E" w:rsidRDefault="007D4B3E" w:rsidP="007D4B3E">
            <w:pPr>
              <w:pStyle w:val="FormulaBold"/>
            </w:pPr>
            <w:r>
              <w:t>RTRDOAMT</w:t>
            </w:r>
            <w:r>
              <w:rPr>
                <w:i/>
                <w:vertAlign w:val="subscript"/>
              </w:rPr>
              <w:t xml:space="preserve"> q  </w:t>
            </w:r>
            <w:r>
              <w:t xml:space="preserve">= </w:t>
            </w:r>
            <w:r>
              <w:tab/>
              <w:t xml:space="preserve">(1/4) * DARDOAWD </w:t>
            </w:r>
            <w:r>
              <w:rPr>
                <w:i/>
                <w:vertAlign w:val="subscript"/>
              </w:rPr>
              <w:t>q</w:t>
            </w:r>
            <w:r>
              <w:t xml:space="preserve"> * RTMCPCRD</w:t>
            </w:r>
          </w:p>
          <w:p w14:paraId="266EE02C" w14:textId="77777777" w:rsidR="007D4B3E" w:rsidRDefault="007D4B3E" w:rsidP="007D4B3E">
            <w:pPr>
              <w:pStyle w:val="Instructions"/>
              <w:spacing w:after="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4F464DEB"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069ACC5C"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B9E86C3"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A4E087" w14:textId="77777777" w:rsidR="007D4B3E" w:rsidRDefault="007D4B3E" w:rsidP="007D4B3E">
                  <w:pPr>
                    <w:pStyle w:val="TableHead"/>
                  </w:pPr>
                  <w:r>
                    <w:t>Description</w:t>
                  </w:r>
                </w:p>
              </w:tc>
            </w:tr>
            <w:tr w:rsidR="007D4B3E" w14:paraId="786B315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7281706" w14:textId="77777777" w:rsidR="007D4B3E" w:rsidRDefault="007D4B3E" w:rsidP="007D4B3E">
                  <w:pPr>
                    <w:pStyle w:val="tablebody0"/>
                  </w:pPr>
                  <w:r>
                    <w:t xml:space="preserve">RTRDOAMT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808152D"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9212A94" w14:textId="7A640956" w:rsidR="007D4B3E" w:rsidRDefault="007D4B3E" w:rsidP="007D4B3E">
                  <w:pPr>
                    <w:pStyle w:val="tablebody0"/>
                    <w:rPr>
                      <w:i/>
                    </w:rPr>
                  </w:pPr>
                  <w:r>
                    <w:rPr>
                      <w:i/>
                    </w:rPr>
                    <w:t>Real-Time Reg-Down Only Amount for the QSE</w:t>
                  </w:r>
                  <w:r>
                    <w:t xml:space="preserve">—The total charge to QSE </w:t>
                  </w:r>
                  <w:r>
                    <w:rPr>
                      <w:i/>
                    </w:rPr>
                    <w:t>q</w:t>
                  </w:r>
                  <w:r>
                    <w:t xml:space="preserve"> in Real-Time for Reg-Down only awards for each 15-minute Settlement Interval.</w:t>
                  </w:r>
                </w:p>
              </w:tc>
            </w:tr>
            <w:tr w:rsidR="007D4B3E" w14:paraId="1C65039F"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503AE2" w14:textId="77777777" w:rsidR="007D4B3E" w:rsidRDefault="007D4B3E" w:rsidP="007D4B3E">
                  <w:pPr>
                    <w:pStyle w:val="tablebody0"/>
                  </w:pPr>
                  <w:r>
                    <w:t xml:space="preserve">DARDOAWD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EFC225"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3F801AC" w14:textId="722C51AC" w:rsidR="007D4B3E" w:rsidRDefault="007D4B3E" w:rsidP="007D4B3E">
                  <w:pPr>
                    <w:pStyle w:val="tablebody0"/>
                    <w:rPr>
                      <w:i/>
                    </w:rPr>
                  </w:pPr>
                  <w:r>
                    <w:rPr>
                      <w:i/>
                    </w:rPr>
                    <w:t>Day-Ahead Reg-Down Only Award for the QSE</w:t>
                  </w:r>
                  <w:r>
                    <w:sym w:font="Symbol" w:char="F0BE"/>
                  </w:r>
                  <w:r>
                    <w:t xml:space="preserve">The Reg-Down only capacity awarded in the DAM to the QSE </w:t>
                  </w:r>
                  <w:r>
                    <w:rPr>
                      <w:i/>
                    </w:rPr>
                    <w:t>q</w:t>
                  </w:r>
                  <w:r>
                    <w:t xml:space="preserve"> for the </w:t>
                  </w:r>
                  <w:r>
                    <w:rPr>
                      <w:szCs w:val="18"/>
                    </w:rPr>
                    <w:t>Operating Hour</w:t>
                  </w:r>
                  <w:r>
                    <w:t>.</w:t>
                  </w:r>
                </w:p>
              </w:tc>
            </w:tr>
            <w:tr w:rsidR="007D4B3E" w14:paraId="395A2F7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A489FF5"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F2D78DB"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825742" w14:textId="26B8CCFB" w:rsidR="007D4B3E" w:rsidRDefault="007D4B3E" w:rsidP="007D4B3E">
                  <w:pPr>
                    <w:pStyle w:val="tablebody0"/>
                    <w:rPr>
                      <w:i/>
                    </w:rPr>
                  </w:pPr>
                  <w:r>
                    <w:rPr>
                      <w:i/>
                    </w:rPr>
                    <w:t>Real-Time Market Clearing Price for Capacity for Reg-Down</w:t>
                  </w:r>
                  <w:r w:rsidR="0065408B" w:rsidRPr="00A552C3">
                    <w:rPr>
                      <w:iCs/>
                    </w:rPr>
                    <w:t>—</w:t>
                  </w:r>
                  <w:r>
                    <w:t>The Real-Time MCPC for Reg-Down for the 15-minute Settlement Interval.</w:t>
                  </w:r>
                </w:p>
              </w:tc>
            </w:tr>
            <w:tr w:rsidR="007D4B3E" w14:paraId="1CA284A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3DB62FC" w14:textId="77777777" w:rsidR="007D4B3E" w:rsidRDefault="007D4B3E" w:rsidP="007D4B3E">
                  <w:pPr>
                    <w:pStyle w:val="tablebody0"/>
                    <w:rPr>
                      <w:i/>
                    </w:rPr>
                  </w:pPr>
                  <w:r>
                    <w:rPr>
                      <w:i/>
                    </w:rPr>
                    <w:lastRenderedPageBreak/>
                    <w:t>q</w:t>
                  </w:r>
                </w:p>
              </w:tc>
              <w:tc>
                <w:tcPr>
                  <w:tcW w:w="623" w:type="pct"/>
                  <w:tcBorders>
                    <w:top w:val="single" w:sz="4" w:space="0" w:color="auto"/>
                    <w:left w:val="single" w:sz="4" w:space="0" w:color="auto"/>
                    <w:bottom w:val="single" w:sz="4" w:space="0" w:color="auto"/>
                    <w:right w:val="single" w:sz="4" w:space="0" w:color="auto"/>
                  </w:tcBorders>
                  <w:hideMark/>
                </w:tcPr>
                <w:p w14:paraId="22714254"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E0A4FC1" w14:textId="77777777" w:rsidR="007D4B3E" w:rsidRDefault="007D4B3E" w:rsidP="007D4B3E">
                  <w:pPr>
                    <w:pStyle w:val="tablebody0"/>
                  </w:pPr>
                  <w:r>
                    <w:t>A QSE.</w:t>
                  </w:r>
                </w:p>
              </w:tc>
            </w:tr>
          </w:tbl>
          <w:p w14:paraId="21C76637" w14:textId="77777777" w:rsidR="007D4B3E" w:rsidRDefault="007D4B3E" w:rsidP="007D4B3E">
            <w:pPr>
              <w:spacing w:before="240" w:after="240"/>
            </w:pPr>
            <w:r>
              <w:t>(3)</w:t>
            </w:r>
            <w:r>
              <w:tab/>
              <w:t>Reg-Down Trade Overage Charge:</w:t>
            </w:r>
          </w:p>
          <w:p w14:paraId="79A90F43" w14:textId="77777777" w:rsidR="007D4B3E" w:rsidRDefault="007D4B3E" w:rsidP="007D4B3E">
            <w:pPr>
              <w:pStyle w:val="FormulaBold"/>
            </w:pPr>
            <w:r>
              <w:t>RTRDTOAMT</w:t>
            </w:r>
            <w:r>
              <w:rPr>
                <w:i/>
                <w:vertAlign w:val="subscript"/>
              </w:rPr>
              <w:t xml:space="preserve"> q  </w:t>
            </w:r>
            <w:r>
              <w:t xml:space="preserve">= </w:t>
            </w:r>
            <w:r>
              <w:tab/>
              <w:t xml:space="preserve">(1/4) * RTRDTO </w:t>
            </w:r>
            <w:r>
              <w:rPr>
                <w:i/>
                <w:vertAlign w:val="subscript"/>
              </w:rPr>
              <w:t>q</w:t>
            </w:r>
            <w:r>
              <w:t xml:space="preserve"> * RTMCPCRD</w:t>
            </w:r>
          </w:p>
          <w:p w14:paraId="65BB81E3" w14:textId="77777777" w:rsidR="007D4B3E" w:rsidRDefault="007D4B3E" w:rsidP="007D4B3E">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2085D5DC"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572C7BD"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F659B89"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80CDCF7" w14:textId="77777777" w:rsidR="007D4B3E" w:rsidRDefault="007D4B3E" w:rsidP="007D4B3E">
                  <w:pPr>
                    <w:pStyle w:val="TableHead"/>
                  </w:pPr>
                  <w:r>
                    <w:t>Description</w:t>
                  </w:r>
                </w:p>
              </w:tc>
            </w:tr>
            <w:tr w:rsidR="007D4B3E" w14:paraId="6F3DE59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96A2293" w14:textId="77777777" w:rsidR="007D4B3E" w:rsidRDefault="007D4B3E" w:rsidP="007D4B3E">
                  <w:pPr>
                    <w:pStyle w:val="tablebody0"/>
                  </w:pPr>
                  <w:r>
                    <w:t xml:space="preserve">RTRDTOAMT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BD5073"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C4069A" w14:textId="1A9C71AF" w:rsidR="007D4B3E" w:rsidRDefault="007D4B3E" w:rsidP="007D4B3E">
                  <w:pPr>
                    <w:pStyle w:val="tablebody0"/>
                    <w:rPr>
                      <w:i/>
                    </w:rPr>
                  </w:pPr>
                  <w:r>
                    <w:rPr>
                      <w:i/>
                    </w:rPr>
                    <w:t>Real-Time Reg-Down Trade Overage Amount for the QSE</w:t>
                  </w:r>
                  <w:r>
                    <w:t xml:space="preserve">—The total charge to QSE </w:t>
                  </w:r>
                  <w:r>
                    <w:rPr>
                      <w:i/>
                    </w:rPr>
                    <w:t>q</w:t>
                  </w:r>
                  <w:r>
                    <w:t xml:space="preserve"> in Real-Time for Reg-Down trade overages for each 15-minute Settlement Interval.</w:t>
                  </w:r>
                </w:p>
              </w:tc>
            </w:tr>
            <w:tr w:rsidR="007D4B3E" w14:paraId="5ADD06E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349E7D32" w14:textId="77777777" w:rsidR="007D4B3E" w:rsidRDefault="007D4B3E" w:rsidP="007D4B3E">
                  <w:pPr>
                    <w:pStyle w:val="tablebody0"/>
                  </w:pPr>
                  <w:r>
                    <w:t xml:space="preserve">RTRDTO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F35B3D1"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402BCD" w14:textId="273D54E7" w:rsidR="007D4B3E" w:rsidRDefault="007D4B3E" w:rsidP="007D4B3E">
                  <w:pPr>
                    <w:pStyle w:val="tablebody0"/>
                  </w:pPr>
                  <w:r>
                    <w:rPr>
                      <w:i/>
                    </w:rPr>
                    <w:t>Real-Time Reg-Down Trade Overage for the QSE</w:t>
                  </w:r>
                  <w:r>
                    <w:sym w:font="Symbol" w:char="F0BE"/>
                  </w:r>
                  <w:r>
                    <w:t xml:space="preserve">The quantity of submitted Reg-Down trades in excess of their DAM self- arrangement quantity for the QSE </w:t>
                  </w:r>
                  <w:r>
                    <w:rPr>
                      <w:i/>
                    </w:rPr>
                    <w:t>q</w:t>
                  </w:r>
                  <w:r>
                    <w:t xml:space="preserve"> for the </w:t>
                  </w:r>
                  <w:r>
                    <w:rPr>
                      <w:szCs w:val="18"/>
                    </w:rPr>
                    <w:t>Operating Hour</w:t>
                  </w:r>
                  <w:r>
                    <w:t>.</w:t>
                  </w:r>
                </w:p>
              </w:tc>
            </w:tr>
            <w:tr w:rsidR="007D4B3E" w14:paraId="7827760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C5EA4EE"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05EA369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53C5F7A" w14:textId="586CBF99" w:rsidR="007D4B3E" w:rsidRDefault="007D4B3E" w:rsidP="007D4B3E">
                  <w:pPr>
                    <w:pStyle w:val="tablebody0"/>
                    <w:rPr>
                      <w:i/>
                    </w:rPr>
                  </w:pPr>
                  <w:r>
                    <w:rPr>
                      <w:i/>
                    </w:rPr>
                    <w:t>Real-Time Market Clearing Price for Capacity for Reg-Down</w:t>
                  </w:r>
                  <w:r w:rsidR="006B6C59" w:rsidRPr="00A552C3">
                    <w:rPr>
                      <w:iCs/>
                    </w:rPr>
                    <w:t>—</w:t>
                  </w:r>
                  <w:r>
                    <w:t>The Real-Time MCPC for Reg-Down for the 15-minute Settlement Interval.</w:t>
                  </w:r>
                </w:p>
              </w:tc>
            </w:tr>
            <w:tr w:rsidR="007D4B3E" w14:paraId="62DAE2F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CE7D8EA"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57951EB"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A484DBC" w14:textId="77777777" w:rsidR="007D4B3E" w:rsidRDefault="007D4B3E" w:rsidP="007D4B3E">
                  <w:pPr>
                    <w:pStyle w:val="tablebody0"/>
                  </w:pPr>
                  <w:r>
                    <w:t>A QSE.</w:t>
                  </w:r>
                </w:p>
              </w:tc>
            </w:tr>
          </w:tbl>
          <w:p w14:paraId="43AF25A1" w14:textId="0FFCBA5D" w:rsidR="008871B2" w:rsidRPr="008871B2" w:rsidRDefault="008871B2" w:rsidP="001138B9">
            <w:pPr>
              <w:keepNext/>
              <w:tabs>
                <w:tab w:val="left" w:pos="1080"/>
              </w:tabs>
              <w:spacing w:before="480" w:after="240"/>
              <w:outlineLvl w:val="2"/>
              <w:rPr>
                <w:b/>
                <w:bCs/>
                <w:i/>
              </w:rPr>
            </w:pPr>
          </w:p>
        </w:tc>
      </w:tr>
    </w:tbl>
    <w:p w14:paraId="02458985"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5BEACA2" w14:textId="77777777" w:rsidTr="001138B9">
        <w:trPr>
          <w:trHeight w:val="206"/>
        </w:trPr>
        <w:tc>
          <w:tcPr>
            <w:tcW w:w="9350" w:type="dxa"/>
            <w:shd w:val="pct12" w:color="auto" w:fill="auto"/>
          </w:tcPr>
          <w:p w14:paraId="40B963CC" w14:textId="2E7C972E" w:rsidR="008871B2" w:rsidRDefault="008871B2" w:rsidP="001138B9">
            <w:pPr>
              <w:pStyle w:val="Instructions"/>
              <w:spacing w:before="120"/>
            </w:pPr>
            <w:r>
              <w:t>[NPRR1010</w:t>
            </w:r>
            <w:r w:rsidR="00103BC5">
              <w:t xml:space="preserve"> and NPRR1245</w:t>
            </w:r>
            <w:r>
              <w:t>:  Insert Section 6.7.5.4 below upon system implementation of the Real-Time Co-Optimization (RTC) project:]</w:t>
            </w:r>
          </w:p>
          <w:p w14:paraId="6807E9C0" w14:textId="77777777" w:rsidR="00BA2684" w:rsidRDefault="00BA2684" w:rsidP="00BA2684">
            <w:pPr>
              <w:pStyle w:val="H4"/>
              <w:spacing w:before="480"/>
            </w:pPr>
            <w:bookmarkStart w:id="2795" w:name="_Toc189044497"/>
            <w:r>
              <w:t>6.7.5.4</w:t>
            </w:r>
            <w:r>
              <w:tab/>
              <w:t>Responsive Reserve Payments and Charges</w:t>
            </w:r>
            <w:bookmarkEnd w:id="2795"/>
          </w:p>
          <w:p w14:paraId="129F4CC2" w14:textId="7B369F86" w:rsidR="00BA2684" w:rsidRDefault="00BA2684" w:rsidP="00BA2684">
            <w:r>
              <w:t>(1)</w:t>
            </w:r>
            <w:r>
              <w:tab/>
              <w:t>RRS Imbalance Payment or Charge:</w:t>
            </w:r>
          </w:p>
          <w:p w14:paraId="0450786F" w14:textId="20B5F0FF" w:rsidR="00BA2684" w:rsidRDefault="00BA2684" w:rsidP="00BA2684">
            <w:pPr>
              <w:pStyle w:val="FormulaBold"/>
            </w:pPr>
            <w:r>
              <w:t>RTRRIMBAMT</w:t>
            </w:r>
            <w:r>
              <w:rPr>
                <w:i/>
                <w:vertAlign w:val="subscript"/>
              </w:rPr>
              <w:t xml:space="preserve"> q  </w:t>
            </w:r>
            <w:r>
              <w:t xml:space="preserve">= </w:t>
            </w:r>
            <w:r>
              <w:tab/>
              <w:t>(-1) * [</w:t>
            </w:r>
            <w:r>
              <w:rPr>
                <w:position w:val="-18"/>
              </w:rPr>
              <w:object w:dxaOrig="285" w:dyaOrig="570" w14:anchorId="2B556C62">
                <v:shape id="_x0000_i1405" type="#_x0000_t75" style="width:12pt;height:30pt" o:ole="">
                  <v:imagedata r:id="rId159" o:title=""/>
                </v:shape>
                <o:OLEObject Type="Embed" ProgID="Equation.3" ShapeID="_x0000_i1405" DrawAspect="Content" ObjectID="_1804653888" r:id="rId497"/>
              </w:object>
            </w:r>
            <w:r>
              <w:t>[</w:t>
            </w:r>
            <w:r>
              <w:rPr>
                <w:rStyle w:val="BodyTextChar"/>
              </w:rPr>
              <w:t xml:space="preserve">RTRRREV </w:t>
            </w:r>
            <w:r>
              <w:rPr>
                <w:i/>
                <w:vertAlign w:val="subscript"/>
              </w:rPr>
              <w:t xml:space="preserve">q, r </w:t>
            </w:r>
            <w:r>
              <w:t>– (1/4) * (PCRRR</w:t>
            </w:r>
            <w:r>
              <w:rPr>
                <w:i/>
              </w:rPr>
              <w:t xml:space="preserve"> </w:t>
            </w:r>
            <w:r>
              <w:rPr>
                <w:i/>
                <w:vertAlign w:val="subscript"/>
              </w:rPr>
              <w:t>r, q, DAM</w:t>
            </w:r>
            <w:r>
              <w:t xml:space="preserve"> * RTMCPCRR)] – (1/4) * (DASARRQ </w:t>
            </w:r>
            <w:r>
              <w:rPr>
                <w:i/>
                <w:vertAlign w:val="subscript"/>
              </w:rPr>
              <w:t>q</w:t>
            </w:r>
            <w:r>
              <w:t xml:space="preserve"> * RTMCPCRR) + (1/4) * (RRTP </w:t>
            </w:r>
            <w:r>
              <w:rPr>
                <w:i/>
                <w:vertAlign w:val="subscript"/>
              </w:rPr>
              <w:t>q</w:t>
            </w:r>
            <w:r>
              <w:t xml:space="preserve"> – RRTS </w:t>
            </w:r>
            <w:r>
              <w:rPr>
                <w:i/>
                <w:vertAlign w:val="subscript"/>
              </w:rPr>
              <w:t>q</w:t>
            </w:r>
            <w:r>
              <w:t>) * RTMCPCRR]</w:t>
            </w:r>
          </w:p>
          <w:p w14:paraId="1E28F884" w14:textId="77777777" w:rsidR="00BA2684" w:rsidRDefault="00BA2684" w:rsidP="00BA2684">
            <w:pPr>
              <w:pStyle w:val="FormulaBold"/>
            </w:pPr>
            <w:r>
              <w:t xml:space="preserve">Where:   </w:t>
            </w:r>
          </w:p>
          <w:p w14:paraId="24D2B0A7" w14:textId="77777777" w:rsidR="00BA2684" w:rsidRDefault="00BA2684" w:rsidP="00BA2684">
            <w:pPr>
              <w:pStyle w:val="FormulaBold"/>
            </w:pPr>
            <w:r>
              <w:rPr>
                <w:rStyle w:val="BodyTextChar"/>
              </w:rPr>
              <w:t xml:space="preserve">RTRRREV </w:t>
            </w:r>
            <w:r>
              <w:rPr>
                <w:i/>
                <w:vertAlign w:val="subscript"/>
              </w:rPr>
              <w:t xml:space="preserve">q, r </w:t>
            </w:r>
            <w:r>
              <w:rPr>
                <w:i/>
              </w:rPr>
              <w:t xml:space="preserve"> =     </w:t>
            </w:r>
            <w:r>
              <w:t>(1/4) * RTRRAWD</w:t>
            </w:r>
            <w:r>
              <w:rPr>
                <w:i/>
                <w:vertAlign w:val="subscript"/>
              </w:rPr>
              <w:t xml:space="preserve"> q, r</w:t>
            </w:r>
            <w:r>
              <w:t xml:space="preserve"> * RTMCPCRRR </w:t>
            </w:r>
            <w:r>
              <w:rPr>
                <w:i/>
                <w:vertAlign w:val="subscript"/>
              </w:rPr>
              <w:t>q, r</w:t>
            </w:r>
          </w:p>
          <w:p w14:paraId="41CFC232" w14:textId="0B77FEB6" w:rsidR="00BA2684" w:rsidRDefault="00BA2684" w:rsidP="00BA2684">
            <w:pPr>
              <w:pStyle w:val="FormulaBold"/>
            </w:pPr>
            <w:r>
              <w:t xml:space="preserve">RTMCPCRRR </w:t>
            </w:r>
            <w:r>
              <w:rPr>
                <w:i/>
                <w:vertAlign w:val="subscript"/>
              </w:rPr>
              <w:t>q, r</w:t>
            </w:r>
            <w:r>
              <w:rPr>
                <w:i/>
              </w:rPr>
              <w:t xml:space="preserve"> = </w:t>
            </w:r>
            <w:r w:rsidR="00936E32">
              <w:rPr>
                <w:position w:val="-22"/>
              </w:rPr>
              <w:object w:dxaOrig="285" w:dyaOrig="285" w14:anchorId="072BB21D">
                <v:shape id="_x0000_i1406" type="#_x0000_t75" style="width:18pt;height:35.4pt" o:ole="">
                  <v:imagedata r:id="rId22" o:title=""/>
                </v:shape>
                <o:OLEObject Type="Embed" ProgID="Equation.3" ShapeID="_x0000_i1406" DrawAspect="Content" ObjectID="_1804653889" r:id="rId498"/>
              </w:object>
            </w:r>
            <w:r>
              <w:t xml:space="preserve"> (RRRWF</w:t>
            </w:r>
            <w:r>
              <w:rPr>
                <w:i/>
                <w:vertAlign w:val="subscript"/>
              </w:rPr>
              <w:t xml:space="preserve"> q, r, y</w:t>
            </w:r>
            <w:r>
              <w:t xml:space="preserve"> * (RTMCPCRRS</w:t>
            </w:r>
            <w:r>
              <w:rPr>
                <w:i/>
                <w:vertAlign w:val="subscript"/>
              </w:rPr>
              <w:t xml:space="preserve"> y</w:t>
            </w:r>
            <w:r>
              <w:t xml:space="preserve"> + RTRDPARRS </w:t>
            </w:r>
            <w:r>
              <w:rPr>
                <w:i/>
                <w:vertAlign w:val="subscript"/>
              </w:rPr>
              <w:t>y</w:t>
            </w:r>
            <w:r>
              <w:t>))</w:t>
            </w:r>
          </w:p>
          <w:p w14:paraId="5A59D599" w14:textId="76E2C8AB" w:rsidR="00BA2684" w:rsidRDefault="00BA2684" w:rsidP="00BA2684">
            <w:pPr>
              <w:pStyle w:val="FormulaBold"/>
            </w:pPr>
            <w:r>
              <w:t>RTRRAWD</w:t>
            </w:r>
            <w:r>
              <w:rPr>
                <w:i/>
                <w:vertAlign w:val="subscript"/>
              </w:rPr>
              <w:t xml:space="preserve"> q, r  </w:t>
            </w:r>
            <w:r>
              <w:tab/>
              <w:t xml:space="preserve">=  </w:t>
            </w:r>
            <w:r w:rsidR="00103BC5">
              <w:rPr>
                <w:position w:val="-22"/>
              </w:rPr>
              <w:object w:dxaOrig="285" w:dyaOrig="285" w14:anchorId="325CB317">
                <v:shape id="_x0000_i1407" type="#_x0000_t75" style="width:12pt;height:30pt" o:ole="">
                  <v:imagedata r:id="rId22" o:title=""/>
                </v:shape>
                <o:OLEObject Type="Embed" ProgID="Equation.3" ShapeID="_x0000_i1407" DrawAspect="Content" ObjectID="_1804653890" r:id="rId499"/>
              </w:object>
            </w:r>
            <w:r>
              <w:t xml:space="preserve"> (RNWF </w:t>
            </w:r>
            <w:r>
              <w:rPr>
                <w:i/>
                <w:vertAlign w:val="subscript"/>
              </w:rPr>
              <w:t>y</w:t>
            </w:r>
            <w:r>
              <w:rPr>
                <w:vertAlign w:val="subscript"/>
              </w:rPr>
              <w:t xml:space="preserve"> </w:t>
            </w:r>
            <w:r>
              <w:t>* RTRRAWDS</w:t>
            </w:r>
            <w:r>
              <w:rPr>
                <w:i/>
                <w:vertAlign w:val="subscript"/>
              </w:rPr>
              <w:t xml:space="preserve"> q, r, y</w:t>
            </w:r>
            <w:r>
              <w:t>)</w:t>
            </w:r>
          </w:p>
          <w:p w14:paraId="43643BD4" w14:textId="77777777" w:rsidR="00BA2684" w:rsidRDefault="00BA2684" w:rsidP="00BA2684">
            <w:pPr>
              <w:pStyle w:val="BodyTextNumbered"/>
              <w:ind w:left="0" w:firstLine="720"/>
            </w:pPr>
            <w:r>
              <w:t>Where:</w:t>
            </w:r>
          </w:p>
          <w:p w14:paraId="77580768" w14:textId="2B208ED7" w:rsidR="00BA2684" w:rsidRDefault="00BA2684" w:rsidP="00BA2684">
            <w:pPr>
              <w:pStyle w:val="NoSpacing"/>
            </w:pPr>
            <w:r>
              <w:lastRenderedPageBreak/>
              <w:t xml:space="preserve">           RRRWF</w:t>
            </w:r>
            <w:r>
              <w:rPr>
                <w:i/>
                <w:vertAlign w:val="subscript"/>
              </w:rPr>
              <w:t xml:space="preserve"> q, r, y</w:t>
            </w:r>
            <w:r>
              <w:rPr>
                <w:vertAlign w:val="subscript"/>
              </w:rPr>
              <w:t xml:space="preserve">  </w:t>
            </w:r>
            <w:r>
              <w:t>= [max(0.001, RTRRAWDS</w:t>
            </w:r>
            <w:r>
              <w:rPr>
                <w:i/>
                <w:vertAlign w:val="subscript"/>
              </w:rPr>
              <w:t xml:space="preserve"> q, r, y</w:t>
            </w:r>
            <w:r>
              <w:t>) * TLMP</w:t>
            </w:r>
            <w:r>
              <w:rPr>
                <w:i/>
                <w:vertAlign w:val="subscript"/>
              </w:rPr>
              <w:t xml:space="preserve"> y</w:t>
            </w:r>
            <w:r>
              <w:t>] / [</w:t>
            </w:r>
            <w:r w:rsidR="00936E32">
              <w:rPr>
                <w:b/>
                <w:position w:val="-22"/>
              </w:rPr>
              <w:object w:dxaOrig="285" w:dyaOrig="285" w14:anchorId="294F47CF">
                <v:shape id="_x0000_i1408" type="#_x0000_t75" style="width:30pt;height:30pt" o:ole="">
                  <v:imagedata r:id="rId22" o:title=""/>
                </v:shape>
                <o:OLEObject Type="Embed" ProgID="Equation.3" ShapeID="_x0000_i1408" DrawAspect="Content" ObjectID="_1804653891" r:id="rId500"/>
              </w:object>
            </w:r>
            <w:r>
              <w:t>max(0.001,</w:t>
            </w:r>
          </w:p>
          <w:p w14:paraId="0721275B" w14:textId="668510F0" w:rsidR="00BA2684" w:rsidRDefault="00BA2684" w:rsidP="00BA2684">
            <w:pPr>
              <w:pStyle w:val="NoSpacing"/>
              <w:rPr>
                <w:vertAlign w:val="subscript"/>
              </w:rPr>
            </w:pPr>
            <w:r>
              <w:t xml:space="preserve"> </w:t>
            </w:r>
            <w:r>
              <w:tab/>
            </w:r>
            <w:r>
              <w:tab/>
              <w:t xml:space="preserve">                RTRRAWDS</w:t>
            </w:r>
            <w:r>
              <w:rPr>
                <w:i/>
                <w:vertAlign w:val="subscript"/>
              </w:rPr>
              <w:t xml:space="preserve"> q, r, y</w:t>
            </w:r>
            <w:r>
              <w:t>) * TLMP</w:t>
            </w:r>
            <w:r>
              <w:rPr>
                <w:i/>
                <w:vertAlign w:val="subscript"/>
              </w:rPr>
              <w:t xml:space="preserve"> y</w:t>
            </w:r>
            <w:r>
              <w:t>]</w:t>
            </w:r>
            <w:r>
              <w:rPr>
                <w:vertAlign w:val="subscript"/>
              </w:rPr>
              <w:t xml:space="preserve"> </w:t>
            </w:r>
          </w:p>
          <w:p w14:paraId="1DEF8A3A" w14:textId="77777777" w:rsidR="00BA2684" w:rsidRDefault="00BA2684" w:rsidP="00BA2684">
            <w:pPr>
              <w:spacing w:after="240"/>
              <w:ind w:firstLine="720"/>
            </w:pPr>
            <w:r>
              <w:t>And:</w:t>
            </w:r>
          </w:p>
          <w:p w14:paraId="0996A771" w14:textId="4C364608" w:rsidR="00BA2684" w:rsidRDefault="00BA2684" w:rsidP="00BA2684">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103BC5">
              <w:rPr>
                <w:position w:val="-22"/>
                <w:szCs w:val="24"/>
              </w:rPr>
              <w:object w:dxaOrig="285" w:dyaOrig="285" w14:anchorId="61828A7E">
                <v:shape id="_x0000_i1409" type="#_x0000_t75" style="width:18pt;height:24pt" o:ole="">
                  <v:imagedata r:id="rId22" o:title=""/>
                </v:shape>
                <o:OLEObject Type="Embed" ProgID="Equation.3" ShapeID="_x0000_i1409" DrawAspect="Content" ObjectID="_1804653892" r:id="rId501"/>
              </w:object>
            </w:r>
            <w:r>
              <w:t xml:space="preserve">TLMP </w:t>
            </w:r>
            <w:r>
              <w:rPr>
                <w:i/>
                <w:vertAlign w:val="subscript"/>
              </w:rPr>
              <w:t>y</w:t>
            </w:r>
          </w:p>
          <w:p w14:paraId="73A261C1"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F0A108A"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78D22CC"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C7CC559"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9ABCDFD" w14:textId="77777777" w:rsidR="00BA2684" w:rsidRDefault="00BA2684" w:rsidP="00BA2684">
                  <w:pPr>
                    <w:pStyle w:val="TableHead"/>
                  </w:pPr>
                  <w:r>
                    <w:t>Description</w:t>
                  </w:r>
                </w:p>
              </w:tc>
            </w:tr>
            <w:tr w:rsidR="00BA2684" w14:paraId="1773AB9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0296FB9" w14:textId="77777777" w:rsidR="00BA2684" w:rsidRDefault="00BA2684" w:rsidP="00BA2684">
                  <w:pPr>
                    <w:pStyle w:val="tablebody0"/>
                  </w:pPr>
                  <w:r>
                    <w:t xml:space="preserve">RTRRIMBAMT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0AFF423"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93593CA" w14:textId="28260A6B" w:rsidR="00BA2684" w:rsidRDefault="00BA2684" w:rsidP="00BA2684">
                  <w:pPr>
                    <w:pStyle w:val="tablebody0"/>
                    <w:rPr>
                      <w:i/>
                    </w:rPr>
                  </w:pPr>
                  <w:r>
                    <w:rPr>
                      <w:i/>
                    </w:rPr>
                    <w:t>Real-Time Responsive Reserve Imbalance Amount for the QSE</w:t>
                  </w:r>
                  <w:r>
                    <w:t xml:space="preserve">—The total payment or charge to QSE </w:t>
                  </w:r>
                  <w:r>
                    <w:rPr>
                      <w:i/>
                    </w:rPr>
                    <w:t>q</w:t>
                  </w:r>
                  <w:r>
                    <w:t xml:space="preserve"> for the Real-Time RRS imbalance for each 15-minute Settlement Interval.</w:t>
                  </w:r>
                </w:p>
              </w:tc>
            </w:tr>
            <w:tr w:rsidR="00BA2684" w14:paraId="63B1DE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8B7562" w14:textId="074777ED" w:rsidR="00BA2684" w:rsidRDefault="00BA2684" w:rsidP="00BA2684">
                  <w:pPr>
                    <w:pStyle w:val="tablebody0"/>
                  </w:pPr>
                  <w:r>
                    <w:t>RTRRAWD</w:t>
                  </w:r>
                  <w:r>
                    <w:rPr>
                      <w:i/>
                      <w:vertAlign w:val="subscript"/>
                    </w:rPr>
                    <w:t xml:space="preserve"> q,</w:t>
                  </w:r>
                  <w:r w:rsidR="00DC7F61">
                    <w:rPr>
                      <w:i/>
                      <w:vertAlign w:val="subscript"/>
                    </w:rPr>
                    <w:t xml:space="preserve"> </w:t>
                  </w:r>
                  <w:r>
                    <w:rPr>
                      <w:i/>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40231827"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D626B0F" w14:textId="60CC1309" w:rsidR="00BA2684" w:rsidRDefault="00BA2684" w:rsidP="00BA2684">
                  <w:pPr>
                    <w:pStyle w:val="tablebody0"/>
                    <w:rPr>
                      <w:i/>
                    </w:rPr>
                  </w:pPr>
                  <w:r>
                    <w:rPr>
                      <w:i/>
                    </w:rPr>
                    <w:t>Real-Time Responsive Reserve Award per Resource per QSE</w:t>
                  </w:r>
                  <w:r>
                    <w:t xml:space="preserve">—The RRS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BA2684" w14:paraId="5C45399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9B50CEA" w14:textId="77777777" w:rsidR="00BA2684" w:rsidRDefault="00BA2684" w:rsidP="00BA2684">
                  <w:pPr>
                    <w:pStyle w:val="tablebody0"/>
                  </w:pPr>
                  <w:r>
                    <w:t xml:space="preserve">RTRRREV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71BD407A"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5F6F80" w14:textId="61F116FC" w:rsidR="00BA2684" w:rsidRDefault="00BA2684" w:rsidP="00BA2684">
                  <w:pPr>
                    <w:pStyle w:val="tablebody0"/>
                    <w:rPr>
                      <w:i/>
                    </w:rPr>
                  </w:pPr>
                  <w:r>
                    <w:rPr>
                      <w:i/>
                    </w:rPr>
                    <w:t>Real-Time Responsive Reserve Revenue</w:t>
                  </w:r>
                  <w:r>
                    <w:t xml:space="preserve">—The Real-Time RRS revenue for QSE </w:t>
                  </w:r>
                  <w:r>
                    <w:rPr>
                      <w:i/>
                    </w:rPr>
                    <w:t xml:space="preserve">q </w:t>
                  </w:r>
                  <w:r>
                    <w:t xml:space="preserve">calculated for Resource </w:t>
                  </w:r>
                  <w:r>
                    <w:rPr>
                      <w:i/>
                    </w:rPr>
                    <w:t xml:space="preserve">r </w:t>
                  </w:r>
                  <w:r>
                    <w:t xml:space="preserve">for the 15-minute Settlement Interval.  Where for a Combined Cycle Train, the Resource </w:t>
                  </w:r>
                  <w:r>
                    <w:rPr>
                      <w:i/>
                    </w:rPr>
                    <w:t>r</w:t>
                  </w:r>
                  <w:r>
                    <w:t xml:space="preserve"> is the Combined Cycle Train.</w:t>
                  </w:r>
                </w:p>
              </w:tc>
            </w:tr>
            <w:tr w:rsidR="00BA2684" w14:paraId="74594DD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C06479" w14:textId="77777777" w:rsidR="00BA2684" w:rsidRDefault="00BA2684" w:rsidP="00BA2684">
                  <w:pPr>
                    <w:pStyle w:val="tablebody0"/>
                  </w:pPr>
                  <w:r>
                    <w:t xml:space="preserve">RTRDPARRS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DDB5C61"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74010D" w14:textId="47A8F3EA" w:rsidR="00BA2684" w:rsidRDefault="00BA2684" w:rsidP="00BA2684">
                  <w:pPr>
                    <w:pStyle w:val="tablebody0"/>
                  </w:pPr>
                  <w:r>
                    <w:rPr>
                      <w:i/>
                    </w:rPr>
                    <w:t>Real-Time Reliability Deployment Price Adder for Ancillary Service for Responsive Reserve per SCED interval</w:t>
                  </w:r>
                  <w:r w:rsidR="003E4FCD" w:rsidRPr="00A552C3">
                    <w:rPr>
                      <w:iCs/>
                    </w:rPr>
                    <w:t>—</w:t>
                  </w:r>
                  <w:r>
                    <w:t xml:space="preserve">The Real-Time price adder for RRS that captures the impact of reliability deployments on RRS prices for the SCED interval </w:t>
                  </w:r>
                  <w:r w:rsidRPr="00DA6215">
                    <w:rPr>
                      <w:i/>
                      <w:iCs/>
                    </w:rPr>
                    <w:t>y</w:t>
                  </w:r>
                  <w:r>
                    <w:t xml:space="preserve">. </w:t>
                  </w:r>
                </w:p>
              </w:tc>
            </w:tr>
            <w:tr w:rsidR="00BA2684" w14:paraId="5B7C2FA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10B8C65" w14:textId="130183A9" w:rsidR="00BA2684" w:rsidRDefault="00BA2684" w:rsidP="00BA2684">
                  <w:pPr>
                    <w:pStyle w:val="tablebody0"/>
                  </w:pPr>
                  <w:r>
                    <w:t xml:space="preserve">RTRRAWDS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5315B22B"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260ED4C" w14:textId="59CE5779" w:rsidR="00BA2684" w:rsidRDefault="00BA2684" w:rsidP="00BA2684">
                  <w:pPr>
                    <w:pStyle w:val="tablebody0"/>
                    <w:rPr>
                      <w:i/>
                    </w:rPr>
                  </w:pPr>
                  <w:r>
                    <w:rPr>
                      <w:i/>
                    </w:rPr>
                    <w:t>Real-Time Responsive Reserve Award per Resource per QSE per SCED interval</w:t>
                  </w:r>
                  <w:r w:rsidR="003E4FCD" w:rsidRPr="00A552C3">
                    <w:rPr>
                      <w:iCs/>
                    </w:rPr>
                    <w:t>—</w:t>
                  </w:r>
                  <w:r>
                    <w:t xml:space="preserve">The RRS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BA2684" w14:paraId="7C7C5AE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63C4E71" w14:textId="77777777" w:rsidR="00BA2684" w:rsidRDefault="00BA2684" w:rsidP="00BA2684">
                  <w:pPr>
                    <w:pStyle w:val="tablebody0"/>
                  </w:pPr>
                  <w:r>
                    <w:t xml:space="preserve">RTMCPCRRR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29A27C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EF5F31C" w14:textId="5EC6CD42" w:rsidR="00BA2684" w:rsidRDefault="00BA2684" w:rsidP="00BA2684">
                  <w:pPr>
                    <w:pStyle w:val="tablebody0"/>
                    <w:rPr>
                      <w:iCs/>
                    </w:rPr>
                  </w:pPr>
                  <w:r>
                    <w:rPr>
                      <w:i/>
                    </w:rPr>
                    <w:t>Real-Time Market Clearing Price for Capacity for Responsive Reserve per Resource per QSE</w:t>
                  </w:r>
                  <w:r>
                    <w:sym w:font="Symbol" w:char="F0BE"/>
                  </w:r>
                  <w:r>
                    <w:t xml:space="preserve">The Real-Time MCPC for RRS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BA2684" w14:paraId="175908C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9B73E2F" w14:textId="77777777" w:rsidR="00BA2684" w:rsidRDefault="00BA2684" w:rsidP="00BA2684">
                  <w:pPr>
                    <w:pStyle w:val="tablebody0"/>
                  </w:pPr>
                  <w:r>
                    <w:t>RTMCPCRRS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15D95FD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3DF7D2" w14:textId="3B6701C2" w:rsidR="00BA2684" w:rsidRDefault="00BA2684" w:rsidP="000627E2">
                  <w:pPr>
                    <w:pStyle w:val="tablebody0"/>
                    <w:rPr>
                      <w:i/>
                    </w:rPr>
                  </w:pPr>
                  <w:r>
                    <w:rPr>
                      <w:i/>
                    </w:rPr>
                    <w:t>Real-Time Market Clearing Price for Capacity for Responsive Reserve per SCED interval</w:t>
                  </w:r>
                  <w:r w:rsidR="00595CA6" w:rsidRPr="00A552C3">
                    <w:rPr>
                      <w:iCs/>
                    </w:rPr>
                    <w:t>—</w:t>
                  </w:r>
                  <w:r>
                    <w:t xml:space="preserve">The Real-Time MCPC for RRS for the SCED interval </w:t>
                  </w:r>
                  <w:r>
                    <w:rPr>
                      <w:i/>
                    </w:rPr>
                    <w:t>y.</w:t>
                  </w:r>
                </w:p>
              </w:tc>
            </w:tr>
            <w:tr w:rsidR="00BA2684" w14:paraId="507F823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DB2C429" w14:textId="77777777" w:rsidR="00BA2684" w:rsidRDefault="00BA2684" w:rsidP="00BA2684">
                  <w:pPr>
                    <w:pStyle w:val="tablebody0"/>
                  </w:pPr>
                  <w:r>
                    <w:t xml:space="preserve">PCRRR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E1C3B2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C15197B" w14:textId="77777777" w:rsidR="00BA2684" w:rsidRDefault="00BA2684" w:rsidP="00BA2684">
                  <w:pPr>
                    <w:pStyle w:val="tablebody0"/>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BA2684" w14:paraId="1D64D9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46B4300F" w14:textId="77777777" w:rsidR="00BA2684" w:rsidRDefault="00BA2684" w:rsidP="00BA2684">
                  <w:pPr>
                    <w:pStyle w:val="tablebody0"/>
                  </w:pPr>
                  <w:r>
                    <w:t>RTMCPCRR</w:t>
                  </w:r>
                </w:p>
                <w:p w14:paraId="09A47762"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0584AC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DD91E1B" w14:textId="560BDCEA" w:rsidR="00BA2684" w:rsidRDefault="00BA2684" w:rsidP="00BA2684">
                  <w:pPr>
                    <w:pStyle w:val="tablebody0"/>
                    <w:rPr>
                      <w:i/>
                    </w:rPr>
                  </w:pPr>
                  <w:r>
                    <w:rPr>
                      <w:i/>
                    </w:rPr>
                    <w:t>Real-Time Market Clearing Price for Capacity for Responsive Reserve</w:t>
                  </w:r>
                  <w:r w:rsidR="002D3D7F" w:rsidRPr="00A552C3">
                    <w:rPr>
                      <w:iCs/>
                    </w:rPr>
                    <w:t>—</w:t>
                  </w:r>
                  <w:r>
                    <w:t>The Real-Time MCPC for RRS for the 15-minute Settlement Interval.</w:t>
                  </w:r>
                </w:p>
              </w:tc>
            </w:tr>
            <w:tr w:rsidR="00BA2684" w14:paraId="562AD5D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0FC18EC" w14:textId="77777777" w:rsidR="00BA2684" w:rsidRDefault="00BA2684" w:rsidP="00BA2684">
                  <w:pPr>
                    <w:pStyle w:val="tablebody0"/>
                  </w:pPr>
                  <w:r>
                    <w:t>DASARRQ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254EFE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F832B8F" w14:textId="77777777" w:rsidR="00BA2684" w:rsidRDefault="00BA2684" w:rsidP="00BA2684">
                  <w:pPr>
                    <w:pStyle w:val="tablebody0"/>
                    <w:rPr>
                      <w:i/>
                    </w:rPr>
                  </w:pPr>
                  <w:r>
                    <w:rPr>
                      <w:i/>
                      <w:iCs/>
                    </w:rPr>
                    <w:t>Day-Ahead Self-Arranged Responsive Reserve Quantity per QSE</w:t>
                  </w:r>
                  <w:r>
                    <w:rPr>
                      <w:iCs/>
                    </w:rPr>
                    <w:t xml:space="preserve">—The self-arranged RRS quantity submitted by QSE </w:t>
                  </w:r>
                  <w:r>
                    <w:rPr>
                      <w:i/>
                      <w:iCs/>
                    </w:rPr>
                    <w:t>q</w:t>
                  </w:r>
                  <w:r>
                    <w:rPr>
                      <w:iCs/>
                    </w:rPr>
                    <w:t xml:space="preserve"> before 1000 in the DAM for the Operating Hour.</w:t>
                  </w:r>
                </w:p>
              </w:tc>
            </w:tr>
            <w:tr w:rsidR="00BA2684" w14:paraId="1077DE5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45B0248" w14:textId="77777777" w:rsidR="00BA2684" w:rsidRDefault="00BA2684" w:rsidP="00BA2684">
                  <w:pPr>
                    <w:pStyle w:val="tablebody0"/>
                  </w:pPr>
                  <w:r>
                    <w:lastRenderedPageBreak/>
                    <w:t>RRTP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273682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070BFB8" w14:textId="6EE77B80" w:rsidR="00BA2684" w:rsidRDefault="00BA2684" w:rsidP="00BA2684">
                  <w:pPr>
                    <w:pStyle w:val="tablebody0"/>
                    <w:rPr>
                      <w:i/>
                    </w:rPr>
                  </w:pPr>
                  <w:r>
                    <w:rPr>
                      <w:i/>
                    </w:rPr>
                    <w:t>Trade Purchases for Responsive Reserve for the QSE</w:t>
                  </w:r>
                  <w:r>
                    <w:rPr>
                      <w:i/>
                      <w:szCs w:val="18"/>
                    </w:rPr>
                    <w:t>—</w:t>
                  </w:r>
                  <w:r>
                    <w:rPr>
                      <w:szCs w:val="18"/>
                    </w:rPr>
                    <w:t xml:space="preserve">The trade purchases for QSE </w:t>
                  </w:r>
                  <w:r>
                    <w:rPr>
                      <w:i/>
                      <w:szCs w:val="18"/>
                    </w:rPr>
                    <w:t>q</w:t>
                  </w:r>
                  <w:r>
                    <w:rPr>
                      <w:szCs w:val="18"/>
                    </w:rPr>
                    <w:t xml:space="preserve"> for RRS for the Operating Hour.</w:t>
                  </w:r>
                </w:p>
              </w:tc>
            </w:tr>
            <w:tr w:rsidR="00BA2684" w14:paraId="0F3929E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19AA4E5" w14:textId="77777777" w:rsidR="00BA2684" w:rsidRDefault="00BA2684" w:rsidP="00BA2684">
                  <w:pPr>
                    <w:pStyle w:val="tablebody0"/>
                  </w:pPr>
                  <w:r>
                    <w:t xml:space="preserve">RRTS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4B4E2DA"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A6F69C3" w14:textId="4CB9EA12" w:rsidR="00BA2684" w:rsidRDefault="00BA2684" w:rsidP="00BA2684">
                  <w:pPr>
                    <w:pStyle w:val="tablebody0"/>
                    <w:rPr>
                      <w:i/>
                    </w:rPr>
                  </w:pPr>
                  <w:r>
                    <w:rPr>
                      <w:i/>
                    </w:rPr>
                    <w:t>Trade Sales for Responsive Reserve for the QSE</w:t>
                  </w:r>
                  <w:r>
                    <w:rPr>
                      <w:i/>
                      <w:szCs w:val="18"/>
                    </w:rPr>
                    <w:t>—</w:t>
                  </w:r>
                  <w:r>
                    <w:rPr>
                      <w:szCs w:val="18"/>
                    </w:rPr>
                    <w:t xml:space="preserve">The trade sales for QSE </w:t>
                  </w:r>
                  <w:r>
                    <w:rPr>
                      <w:i/>
                      <w:szCs w:val="18"/>
                    </w:rPr>
                    <w:t>q</w:t>
                  </w:r>
                  <w:r>
                    <w:rPr>
                      <w:szCs w:val="18"/>
                    </w:rPr>
                    <w:t xml:space="preserve"> for RRS for the Operating Hour.</w:t>
                  </w:r>
                </w:p>
              </w:tc>
            </w:tr>
            <w:tr w:rsidR="00BA2684" w14:paraId="6C96F9DB"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08F7AE" w14:textId="77777777" w:rsidR="00BA2684" w:rsidRDefault="00BA2684" w:rsidP="00BA2684">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6129E9C" w14:textId="77777777" w:rsidR="00BA2684" w:rsidRDefault="00BA2684" w:rsidP="00BA2684">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035B9CB2" w14:textId="701C50E6" w:rsidR="00BA2684" w:rsidRDefault="00BA2684" w:rsidP="00BA2684">
                  <w:pPr>
                    <w:pStyle w:val="tablebody0"/>
                    <w:rPr>
                      <w:i/>
                    </w:rPr>
                  </w:pPr>
                  <w:r>
                    <w:rPr>
                      <w:i/>
                      <w:iCs/>
                    </w:rPr>
                    <w:t xml:space="preserve">Duration of </w:t>
                  </w:r>
                  <w:r>
                    <w:rPr>
                      <w:i/>
                    </w:rPr>
                    <w:t>SCED</w:t>
                  </w:r>
                  <w:r>
                    <w:rPr>
                      <w:i/>
                      <w:iCs/>
                    </w:rPr>
                    <w:t xml:space="preserve"> interval per interval</w:t>
                  </w:r>
                  <w:r w:rsidR="00A168E9" w:rsidRPr="00A552C3">
                    <w:rPr>
                      <w:iCs/>
                    </w:rPr>
                    <w:t>—</w:t>
                  </w:r>
                  <w:r>
                    <w:t xml:space="preserve">The duration of the SCED interval </w:t>
                  </w:r>
                  <w:r>
                    <w:rPr>
                      <w:i/>
                      <w:iCs/>
                    </w:rPr>
                    <w:t>y</w:t>
                  </w:r>
                  <w:r>
                    <w:t>.</w:t>
                  </w:r>
                </w:p>
              </w:tc>
            </w:tr>
            <w:tr w:rsidR="00BA2684" w14:paraId="0F4A21B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FC324D" w14:textId="77777777" w:rsidR="00BA2684" w:rsidRDefault="00BA2684" w:rsidP="00BA2684">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422BBF8"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391E6A6" w14:textId="3C4DE81D" w:rsidR="00BA2684" w:rsidRDefault="00BA2684" w:rsidP="00BA2684">
                  <w:pPr>
                    <w:pStyle w:val="tablebody0"/>
                    <w:rPr>
                      <w:i/>
                    </w:rPr>
                  </w:pPr>
                  <w:r>
                    <w:rPr>
                      <w:i/>
                    </w:rPr>
                    <w:t>Resource Node Weighting Factor per interval</w:t>
                  </w:r>
                  <w:r w:rsidR="005E5CA0" w:rsidRPr="00A552C3">
                    <w:rPr>
                      <w:iCs/>
                    </w:rPr>
                    <w:t>—</w:t>
                  </w:r>
                  <w:r>
                    <w:t xml:space="preserve">The weight used in the Ancillary Service award calculation for the portion of the SCED interval </w:t>
                  </w:r>
                  <w:r w:rsidRPr="00DA6215">
                    <w:rPr>
                      <w:i/>
                      <w:iCs/>
                    </w:rPr>
                    <w:t>y</w:t>
                  </w:r>
                  <w:r>
                    <w:t xml:space="preserve"> within the Settlement Interval.</w:t>
                  </w:r>
                </w:p>
              </w:tc>
            </w:tr>
            <w:tr w:rsidR="00BA2684" w14:paraId="45D0839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9FBE776" w14:textId="176EB0C1" w:rsidR="00BA2684" w:rsidRDefault="00BA2684" w:rsidP="00BA2684">
                  <w:pPr>
                    <w:pStyle w:val="tablebody0"/>
                  </w:pPr>
                  <w:r>
                    <w:t xml:space="preserve">RRRWF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3FEB5104"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18FD44E" w14:textId="6D61F255" w:rsidR="00BA2684" w:rsidRDefault="00BA2684" w:rsidP="00BA2684">
                  <w:pPr>
                    <w:pStyle w:val="tablebody0"/>
                    <w:rPr>
                      <w:i/>
                    </w:rPr>
                  </w:pPr>
                  <w:r>
                    <w:rPr>
                      <w:i/>
                    </w:rPr>
                    <w:t>Responsive Reserve Resource Node Weighting Factor per interval</w:t>
                  </w:r>
                  <w:r w:rsidR="006D707E" w:rsidRPr="00A552C3">
                    <w:rPr>
                      <w:iCs/>
                    </w:rPr>
                    <w:t>—</w:t>
                  </w:r>
                  <w:r>
                    <w:t xml:space="preserve">The RRS Resource weight, based on RRS awards, used in the Real-Time MCPC calculation for the portion of the SCED interval </w:t>
                  </w:r>
                  <w:r w:rsidRPr="00221A13">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BA2684" w14:paraId="7655DD68"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B55D841" w14:textId="77777777" w:rsidR="00BA2684" w:rsidRDefault="00BA2684" w:rsidP="00BA2684">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756149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C61FDE4" w14:textId="77777777" w:rsidR="00BA2684" w:rsidRDefault="00BA2684" w:rsidP="00BA2684">
                  <w:pPr>
                    <w:pStyle w:val="tablebody0"/>
                    <w:rPr>
                      <w:i/>
                    </w:rPr>
                  </w:pPr>
                  <w:r>
                    <w:t>A Resource.</w:t>
                  </w:r>
                </w:p>
              </w:tc>
            </w:tr>
            <w:tr w:rsidR="00BA2684" w14:paraId="31EAFF2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571BC6DB"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FA8A4E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3CC5BCF" w14:textId="77777777" w:rsidR="00BA2684" w:rsidRDefault="00BA2684" w:rsidP="00BA2684">
                  <w:pPr>
                    <w:pStyle w:val="tablebody0"/>
                  </w:pPr>
                  <w:r>
                    <w:t>A QSE.</w:t>
                  </w:r>
                </w:p>
              </w:tc>
            </w:tr>
            <w:tr w:rsidR="00BA2684" w14:paraId="04667AF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4A29D2" w14:textId="77777777" w:rsidR="00BA2684" w:rsidRDefault="00BA2684" w:rsidP="00BA2684">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7B3323CB"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3F12006" w14:textId="77777777" w:rsidR="00BA2684" w:rsidRDefault="00BA2684" w:rsidP="00BA2684">
                  <w:pPr>
                    <w:pStyle w:val="tablebody0"/>
                  </w:pPr>
                  <w:r>
                    <w:t>A SCED interval in the 15-minute Settlement Interval.</w:t>
                  </w:r>
                </w:p>
              </w:tc>
            </w:tr>
          </w:tbl>
          <w:p w14:paraId="7D7B7351" w14:textId="77777777" w:rsidR="00BA2684" w:rsidRDefault="00BA2684" w:rsidP="00BA2684">
            <w:pPr>
              <w:spacing w:before="240" w:after="240"/>
            </w:pPr>
            <w:r>
              <w:t>(2)</w:t>
            </w:r>
            <w:r>
              <w:tab/>
              <w:t>RRS Only Charge:</w:t>
            </w:r>
          </w:p>
          <w:p w14:paraId="0403F340" w14:textId="77777777" w:rsidR="00BA2684" w:rsidRDefault="00BA2684" w:rsidP="00BA2684">
            <w:pPr>
              <w:pStyle w:val="FormulaBold"/>
            </w:pPr>
            <w:r>
              <w:t>RTRROAMT</w:t>
            </w:r>
            <w:r>
              <w:rPr>
                <w:i/>
                <w:vertAlign w:val="subscript"/>
              </w:rPr>
              <w:t xml:space="preserve"> q  </w:t>
            </w:r>
            <w:r>
              <w:t xml:space="preserve">= </w:t>
            </w:r>
            <w:r>
              <w:tab/>
              <w:t xml:space="preserve">(1/4) * DARROAWD </w:t>
            </w:r>
            <w:r>
              <w:rPr>
                <w:i/>
                <w:vertAlign w:val="subscript"/>
              </w:rPr>
              <w:t>q</w:t>
            </w:r>
            <w:r>
              <w:t xml:space="preserve"> * RTMCPCRR</w:t>
            </w:r>
          </w:p>
          <w:p w14:paraId="26978570"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2EA2508"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E6F374"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01673D8"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86702FB" w14:textId="77777777" w:rsidR="00BA2684" w:rsidRDefault="00BA2684" w:rsidP="00BA2684">
                  <w:pPr>
                    <w:pStyle w:val="TableHead"/>
                  </w:pPr>
                  <w:r>
                    <w:t>Description</w:t>
                  </w:r>
                </w:p>
              </w:tc>
            </w:tr>
            <w:tr w:rsidR="00BA2684" w14:paraId="2A79238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9B998B" w14:textId="77777777" w:rsidR="00BA2684" w:rsidRDefault="00BA2684" w:rsidP="00BA2684">
                  <w:pPr>
                    <w:pStyle w:val="tablebody0"/>
                  </w:pPr>
                  <w:r>
                    <w:t xml:space="preserve">RTRROAMT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4A15"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B4CC046" w14:textId="3D8AC951" w:rsidR="00BA2684" w:rsidRDefault="00BA2684" w:rsidP="00BA2684">
                  <w:pPr>
                    <w:pStyle w:val="tablebody0"/>
                    <w:rPr>
                      <w:i/>
                    </w:rPr>
                  </w:pPr>
                  <w:r>
                    <w:rPr>
                      <w:i/>
                    </w:rPr>
                    <w:t>Real-Time Responsive Reserve Only Amount for the QSE</w:t>
                  </w:r>
                  <w:r>
                    <w:t xml:space="preserve">—The total charge to QSE </w:t>
                  </w:r>
                  <w:r>
                    <w:rPr>
                      <w:i/>
                    </w:rPr>
                    <w:t>q</w:t>
                  </w:r>
                  <w:r>
                    <w:t xml:space="preserve"> in Real-Time for RRS only awards for each 15-minute Settlement Interval.</w:t>
                  </w:r>
                </w:p>
              </w:tc>
            </w:tr>
            <w:tr w:rsidR="00BA2684" w14:paraId="47B7098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0455EE88" w14:textId="77777777" w:rsidR="00BA2684" w:rsidRDefault="00BA2684" w:rsidP="00BA2684">
                  <w:pPr>
                    <w:pStyle w:val="tablebody0"/>
                  </w:pPr>
                  <w:r>
                    <w:t xml:space="preserve">DARROAWD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AC991E"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B7AF933" w14:textId="5FBB4904" w:rsidR="00BA2684" w:rsidRDefault="00BA2684" w:rsidP="00BA2684">
                  <w:pPr>
                    <w:pStyle w:val="tablebody0"/>
                    <w:rPr>
                      <w:i/>
                    </w:rPr>
                  </w:pPr>
                  <w:r>
                    <w:rPr>
                      <w:i/>
                    </w:rPr>
                    <w:t>Day-Ahead Responsive Reserve Only Award for the QSE</w:t>
                  </w:r>
                  <w:r>
                    <w:sym w:font="Symbol" w:char="F0BE"/>
                  </w:r>
                  <w:r>
                    <w:t xml:space="preserve">The RRS only capacity awarded in the DAM to the QSE </w:t>
                  </w:r>
                  <w:r>
                    <w:rPr>
                      <w:i/>
                    </w:rPr>
                    <w:t>q</w:t>
                  </w:r>
                  <w:r>
                    <w:t xml:space="preserve"> for the </w:t>
                  </w:r>
                  <w:r>
                    <w:rPr>
                      <w:szCs w:val="18"/>
                    </w:rPr>
                    <w:t>Operating Hour</w:t>
                  </w:r>
                  <w:r>
                    <w:t>.</w:t>
                  </w:r>
                </w:p>
              </w:tc>
            </w:tr>
            <w:tr w:rsidR="00BA2684" w14:paraId="1A95A769"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53F6088A" w14:textId="77777777" w:rsidR="00BA2684" w:rsidRDefault="00BA2684" w:rsidP="00BA2684">
                  <w:pPr>
                    <w:pStyle w:val="tablebody0"/>
                  </w:pPr>
                  <w:r>
                    <w:t>RTMCPCRR</w:t>
                  </w:r>
                </w:p>
                <w:p w14:paraId="20B27751"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7998287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D54D5A9" w14:textId="132F803F" w:rsidR="00BA2684" w:rsidRDefault="00BA2684" w:rsidP="008B3E08">
                  <w:pPr>
                    <w:pStyle w:val="tablebody0"/>
                    <w:rPr>
                      <w:i/>
                    </w:rPr>
                  </w:pPr>
                  <w:r>
                    <w:rPr>
                      <w:i/>
                    </w:rPr>
                    <w:t>Real-Time Market Clearing Price for Capacity for Responsive Reserve</w:t>
                  </w:r>
                  <w:r w:rsidR="00DA4057" w:rsidRPr="00A552C3">
                    <w:rPr>
                      <w:iCs/>
                    </w:rPr>
                    <w:t>—</w:t>
                  </w:r>
                  <w:r>
                    <w:t>The Real-Time MCPC for RRS for the 15-minute Settlement Interval.</w:t>
                  </w:r>
                </w:p>
              </w:tc>
            </w:tr>
            <w:tr w:rsidR="00BA2684" w14:paraId="39451D8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A443A03"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672813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1D526FB" w14:textId="77777777" w:rsidR="00BA2684" w:rsidRDefault="00BA2684" w:rsidP="00BA2684">
                  <w:pPr>
                    <w:pStyle w:val="tablebody0"/>
                  </w:pPr>
                  <w:r>
                    <w:t>A QSE.</w:t>
                  </w:r>
                </w:p>
              </w:tc>
            </w:tr>
          </w:tbl>
          <w:p w14:paraId="2B8AED02" w14:textId="77777777" w:rsidR="00BA2684" w:rsidRDefault="00BA2684" w:rsidP="00BA2684">
            <w:pPr>
              <w:spacing w:before="240" w:after="240"/>
              <w:rPr>
                <w:i/>
                <w:iCs/>
              </w:rPr>
            </w:pPr>
            <w:r>
              <w:t>(3)</w:t>
            </w:r>
            <w:r>
              <w:tab/>
              <w:t xml:space="preserve">RRS Trade Overage Charge: </w:t>
            </w:r>
          </w:p>
          <w:p w14:paraId="0BB33035" w14:textId="77777777" w:rsidR="00BA2684" w:rsidRDefault="00BA2684" w:rsidP="00BA2684">
            <w:pPr>
              <w:pStyle w:val="FormulaBold"/>
            </w:pPr>
            <w:r>
              <w:t>RTRRTOAMT</w:t>
            </w:r>
            <w:r>
              <w:rPr>
                <w:i/>
                <w:vertAlign w:val="subscript"/>
              </w:rPr>
              <w:t xml:space="preserve"> q  </w:t>
            </w:r>
            <w:r>
              <w:t xml:space="preserve">= </w:t>
            </w:r>
            <w:r>
              <w:tab/>
              <w:t xml:space="preserve">(1/4) * RTRRTO </w:t>
            </w:r>
            <w:r>
              <w:rPr>
                <w:i/>
                <w:vertAlign w:val="subscript"/>
              </w:rPr>
              <w:t>q</w:t>
            </w:r>
            <w:r>
              <w:t xml:space="preserve"> * RTMCPCRR</w:t>
            </w:r>
          </w:p>
          <w:p w14:paraId="744D29DB" w14:textId="77777777" w:rsidR="00BA2684" w:rsidRDefault="00BA2684" w:rsidP="00BA2684">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0A6B66C"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F4BB723"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26BD87DE"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012146F" w14:textId="77777777" w:rsidR="00BA2684" w:rsidRDefault="00BA2684" w:rsidP="00BA2684">
                  <w:pPr>
                    <w:pStyle w:val="TableHead"/>
                  </w:pPr>
                  <w:r>
                    <w:t>Description</w:t>
                  </w:r>
                </w:p>
              </w:tc>
            </w:tr>
            <w:tr w:rsidR="00BA2684" w14:paraId="4C5D98E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B12DBD" w14:textId="77777777" w:rsidR="00BA2684" w:rsidRDefault="00BA2684" w:rsidP="00BA2684">
                  <w:pPr>
                    <w:pStyle w:val="tablebody0"/>
                  </w:pPr>
                  <w:r>
                    <w:t xml:space="preserve">RTRRTOAMT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34AA11"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D6D1223" w14:textId="51111C6B" w:rsidR="00BA2684" w:rsidRDefault="00BA2684" w:rsidP="00BA2684">
                  <w:pPr>
                    <w:pStyle w:val="tablebody0"/>
                    <w:rPr>
                      <w:i/>
                    </w:rPr>
                  </w:pPr>
                  <w:r>
                    <w:rPr>
                      <w:i/>
                    </w:rPr>
                    <w:t>Real-Time Responsive Reserve Trade Overage Amount for the QSE</w:t>
                  </w:r>
                  <w:r>
                    <w:t xml:space="preserve">—The total charge to QSE </w:t>
                  </w:r>
                  <w:r>
                    <w:rPr>
                      <w:i/>
                    </w:rPr>
                    <w:t>q</w:t>
                  </w:r>
                  <w:r>
                    <w:t xml:space="preserve"> in Real-Time for RRS trade overages for each 15-minute Settlement Interval.</w:t>
                  </w:r>
                </w:p>
              </w:tc>
            </w:tr>
            <w:tr w:rsidR="00BA2684" w14:paraId="36E0A007"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DBF23F1" w14:textId="77777777" w:rsidR="00BA2684" w:rsidRDefault="00BA2684" w:rsidP="00BA2684">
                  <w:pPr>
                    <w:pStyle w:val="tablebody0"/>
                  </w:pPr>
                  <w:r>
                    <w:t xml:space="preserve">RTRRTO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8D2A8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495EE37" w14:textId="20655B76" w:rsidR="00BA2684" w:rsidRDefault="00BA2684" w:rsidP="00BA2684">
                  <w:pPr>
                    <w:pStyle w:val="tablebody0"/>
                  </w:pPr>
                  <w:r>
                    <w:rPr>
                      <w:i/>
                    </w:rPr>
                    <w:t>Real-Time Responsive Reserve Trade Overage for the QSE</w:t>
                  </w:r>
                  <w:r>
                    <w:sym w:font="Symbol" w:char="F0BE"/>
                  </w:r>
                  <w:r>
                    <w:t xml:space="preserve">The quantity of submitted RRS trades in excess of their DAM self-arrangement quantity for the QSE </w:t>
                  </w:r>
                  <w:r>
                    <w:rPr>
                      <w:i/>
                    </w:rPr>
                    <w:t>q</w:t>
                  </w:r>
                  <w:r>
                    <w:t xml:space="preserve"> for the </w:t>
                  </w:r>
                  <w:r>
                    <w:rPr>
                      <w:szCs w:val="18"/>
                    </w:rPr>
                    <w:t>Operating Hour</w:t>
                  </w:r>
                  <w:r>
                    <w:t>.</w:t>
                  </w:r>
                </w:p>
              </w:tc>
            </w:tr>
            <w:tr w:rsidR="00BA2684" w14:paraId="1074A96D"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626803AF" w14:textId="77777777" w:rsidR="00BA2684" w:rsidRDefault="00BA2684" w:rsidP="00BA2684">
                  <w:pPr>
                    <w:pStyle w:val="tablebody0"/>
                  </w:pPr>
                  <w:r>
                    <w:lastRenderedPageBreak/>
                    <w:t>RTMCPCRR</w:t>
                  </w:r>
                </w:p>
                <w:p w14:paraId="4B6233EE"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116F05C2"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B3CA436" w14:textId="72355A1F" w:rsidR="00BA2684" w:rsidRDefault="00BA2684" w:rsidP="00BA2684">
                  <w:pPr>
                    <w:pStyle w:val="tablebody0"/>
                    <w:rPr>
                      <w:i/>
                    </w:rPr>
                  </w:pPr>
                  <w:r>
                    <w:rPr>
                      <w:i/>
                    </w:rPr>
                    <w:t>Real-Time Market Clearing Price for Capacity for Responsive Reserve</w:t>
                  </w:r>
                  <w:r w:rsidR="009C6688" w:rsidRPr="00A552C3">
                    <w:rPr>
                      <w:iCs/>
                    </w:rPr>
                    <w:t>—</w:t>
                  </w:r>
                  <w:r>
                    <w:t>The Real-Time MCPC for RRS for the 15-minute Settlement Interval.</w:t>
                  </w:r>
                </w:p>
              </w:tc>
            </w:tr>
            <w:tr w:rsidR="00BA2684" w14:paraId="4327778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946D2C"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672D2220"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830A1B" w14:textId="77777777" w:rsidR="00BA2684" w:rsidRDefault="00BA2684" w:rsidP="00BA2684">
                  <w:pPr>
                    <w:pStyle w:val="tablebody0"/>
                  </w:pPr>
                  <w:r>
                    <w:t>A QSE.</w:t>
                  </w:r>
                </w:p>
              </w:tc>
            </w:tr>
          </w:tbl>
          <w:p w14:paraId="23365098" w14:textId="1403758C" w:rsidR="008871B2" w:rsidRPr="008871B2" w:rsidRDefault="008871B2" w:rsidP="001138B9">
            <w:pPr>
              <w:keepNext/>
              <w:tabs>
                <w:tab w:val="left" w:pos="1080"/>
              </w:tabs>
              <w:spacing w:before="480" w:after="240"/>
              <w:outlineLvl w:val="2"/>
              <w:rPr>
                <w:b/>
                <w:bCs/>
                <w:i/>
              </w:rPr>
            </w:pPr>
          </w:p>
        </w:tc>
      </w:tr>
    </w:tbl>
    <w:p w14:paraId="2EF1C5C1"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2D4AC10" w14:textId="77777777" w:rsidTr="001138B9">
        <w:trPr>
          <w:trHeight w:val="206"/>
        </w:trPr>
        <w:tc>
          <w:tcPr>
            <w:tcW w:w="9350" w:type="dxa"/>
            <w:shd w:val="pct12" w:color="auto" w:fill="auto"/>
          </w:tcPr>
          <w:p w14:paraId="0C3C3D2E" w14:textId="3D3AA05F" w:rsidR="008871B2" w:rsidRDefault="008871B2" w:rsidP="001138B9">
            <w:pPr>
              <w:pStyle w:val="Instructions"/>
              <w:spacing w:before="120"/>
            </w:pPr>
            <w:r>
              <w:t>[NPRR1010</w:t>
            </w:r>
            <w:r w:rsidR="00857818">
              <w:t xml:space="preserve"> and NPRR1245</w:t>
            </w:r>
            <w:r>
              <w:t>:  Insert Section 6.7.5.5 below upon system implementation of the Real-Time Co-Optimization (RTC) project:]</w:t>
            </w:r>
          </w:p>
          <w:p w14:paraId="5CBB80BB" w14:textId="77777777" w:rsidR="00771428" w:rsidRDefault="00771428" w:rsidP="00771428">
            <w:pPr>
              <w:pStyle w:val="H4"/>
              <w:spacing w:before="480"/>
            </w:pPr>
            <w:bookmarkStart w:id="2796" w:name="_Toc189044498"/>
            <w:r>
              <w:t>6.7.5.5</w:t>
            </w:r>
            <w:r>
              <w:tab/>
              <w:t>Non-Spinning Reserve Service Payments and Charges</w:t>
            </w:r>
            <w:bookmarkEnd w:id="2796"/>
          </w:p>
          <w:p w14:paraId="20466193" w14:textId="6B5303BA" w:rsidR="00771428" w:rsidRDefault="00771428" w:rsidP="00771428">
            <w:r>
              <w:t>(1)</w:t>
            </w:r>
            <w:r>
              <w:tab/>
              <w:t>Non-Spin Imbalance Payment or Charge:</w:t>
            </w:r>
          </w:p>
          <w:p w14:paraId="471A08F6" w14:textId="54A3D010" w:rsidR="00771428" w:rsidRDefault="00771428" w:rsidP="00771428">
            <w:pPr>
              <w:pStyle w:val="FormulaBold"/>
            </w:pPr>
            <w:r>
              <w:t>RTNSIMBAMT</w:t>
            </w:r>
            <w:r>
              <w:rPr>
                <w:i/>
                <w:vertAlign w:val="subscript"/>
              </w:rPr>
              <w:t xml:space="preserve"> q  </w:t>
            </w:r>
            <w:r>
              <w:t xml:space="preserve">= </w:t>
            </w:r>
            <w:r>
              <w:tab/>
              <w:t>(-1) * [</w:t>
            </w:r>
            <w:r>
              <w:rPr>
                <w:position w:val="-18"/>
              </w:rPr>
              <w:object w:dxaOrig="285" w:dyaOrig="570" w14:anchorId="27725E43">
                <v:shape id="_x0000_i1410" type="#_x0000_t75" style="width:12pt;height:30pt" o:ole="">
                  <v:imagedata r:id="rId159" o:title=""/>
                </v:shape>
                <o:OLEObject Type="Embed" ProgID="Equation.3" ShapeID="_x0000_i1410" DrawAspect="Content" ObjectID="_1804653893" r:id="rId502"/>
              </w:object>
            </w:r>
            <w:r>
              <w:t>[</w:t>
            </w:r>
            <w:r>
              <w:rPr>
                <w:rStyle w:val="BodyTextChar"/>
              </w:rPr>
              <w:t xml:space="preserve">RTNSREV </w:t>
            </w:r>
            <w:r>
              <w:rPr>
                <w:i/>
                <w:vertAlign w:val="subscript"/>
              </w:rPr>
              <w:t xml:space="preserve">q, r </w:t>
            </w:r>
            <w:r>
              <w:t>– (1/4) * (PCNSR</w:t>
            </w:r>
            <w:r>
              <w:rPr>
                <w:i/>
              </w:rPr>
              <w:t xml:space="preserve"> </w:t>
            </w:r>
            <w:r>
              <w:rPr>
                <w:i/>
                <w:vertAlign w:val="subscript"/>
              </w:rPr>
              <w:t>r, q, DAM</w:t>
            </w:r>
            <w:r>
              <w:t xml:space="preserve"> * RTMCPCNS)] – (1/4) * (DASANSQ </w:t>
            </w:r>
            <w:r>
              <w:rPr>
                <w:i/>
                <w:vertAlign w:val="subscript"/>
              </w:rPr>
              <w:t>q</w:t>
            </w:r>
            <w:r>
              <w:t xml:space="preserve"> * RTMCPCNS) + (1/4) * (NSTP </w:t>
            </w:r>
            <w:r>
              <w:rPr>
                <w:i/>
                <w:vertAlign w:val="subscript"/>
              </w:rPr>
              <w:t>q</w:t>
            </w:r>
            <w:r>
              <w:t xml:space="preserve"> – NSTS </w:t>
            </w:r>
            <w:r>
              <w:rPr>
                <w:i/>
                <w:vertAlign w:val="subscript"/>
              </w:rPr>
              <w:t>q</w:t>
            </w:r>
            <w:r>
              <w:t>) * RTMCPCNS]</w:t>
            </w:r>
          </w:p>
          <w:p w14:paraId="4CD6A6EC" w14:textId="77777777" w:rsidR="00771428" w:rsidRDefault="00771428" w:rsidP="00771428">
            <w:pPr>
              <w:pStyle w:val="FormulaBold"/>
            </w:pPr>
            <w:r>
              <w:t xml:space="preserve">Where:   </w:t>
            </w:r>
          </w:p>
          <w:p w14:paraId="61CE989A" w14:textId="77777777" w:rsidR="00771428" w:rsidRDefault="00771428" w:rsidP="00771428">
            <w:pPr>
              <w:pStyle w:val="FormulaBold"/>
            </w:pPr>
            <w:r>
              <w:rPr>
                <w:rStyle w:val="BodyTextChar"/>
              </w:rPr>
              <w:t xml:space="preserve">RTNSREV </w:t>
            </w:r>
            <w:r>
              <w:rPr>
                <w:i/>
                <w:vertAlign w:val="subscript"/>
              </w:rPr>
              <w:t xml:space="preserve">q, r </w:t>
            </w:r>
            <w:r>
              <w:rPr>
                <w:i/>
              </w:rPr>
              <w:t xml:space="preserve"> =     </w:t>
            </w:r>
            <w:r>
              <w:t>(1/4) * RTNSAWD</w:t>
            </w:r>
            <w:r>
              <w:rPr>
                <w:i/>
                <w:vertAlign w:val="subscript"/>
              </w:rPr>
              <w:t xml:space="preserve"> q, r</w:t>
            </w:r>
            <w:r>
              <w:t xml:space="preserve"> * RTMCPCNSR </w:t>
            </w:r>
            <w:r>
              <w:rPr>
                <w:i/>
                <w:vertAlign w:val="subscript"/>
              </w:rPr>
              <w:t>q, r</w:t>
            </w:r>
          </w:p>
          <w:p w14:paraId="4DC1493A" w14:textId="0B5961F9" w:rsidR="00771428" w:rsidRDefault="00771428" w:rsidP="00771428">
            <w:pPr>
              <w:pStyle w:val="FormulaBold"/>
            </w:pPr>
            <w:r>
              <w:t xml:space="preserve">RTMCPCNSR </w:t>
            </w:r>
            <w:r>
              <w:rPr>
                <w:i/>
                <w:vertAlign w:val="subscript"/>
              </w:rPr>
              <w:t>q, r</w:t>
            </w:r>
            <w:r>
              <w:rPr>
                <w:i/>
              </w:rPr>
              <w:t xml:space="preserve"> = </w:t>
            </w:r>
            <w:r w:rsidR="00936E32">
              <w:rPr>
                <w:position w:val="-22"/>
              </w:rPr>
              <w:object w:dxaOrig="285" w:dyaOrig="285" w14:anchorId="6996F62C">
                <v:shape id="_x0000_i1411" type="#_x0000_t75" style="width:30pt;height:30pt" o:ole="">
                  <v:imagedata r:id="rId22" o:title=""/>
                </v:shape>
                <o:OLEObject Type="Embed" ProgID="Equation.3" ShapeID="_x0000_i1411" DrawAspect="Content" ObjectID="_1804653894" r:id="rId503"/>
              </w:object>
            </w:r>
            <w:r>
              <w:t xml:space="preserve"> (NSRWF</w:t>
            </w:r>
            <w:r>
              <w:rPr>
                <w:i/>
                <w:vertAlign w:val="subscript"/>
              </w:rPr>
              <w:t xml:space="preserve"> q, r, y</w:t>
            </w:r>
            <w:r>
              <w:t xml:space="preserve"> * (RTMCPCNSS</w:t>
            </w:r>
            <w:r>
              <w:rPr>
                <w:i/>
                <w:vertAlign w:val="subscript"/>
              </w:rPr>
              <w:t xml:space="preserve"> y</w:t>
            </w:r>
            <w:r>
              <w:t xml:space="preserve"> + RTRDPANSS </w:t>
            </w:r>
            <w:r>
              <w:rPr>
                <w:i/>
                <w:vertAlign w:val="subscript"/>
              </w:rPr>
              <w:t>y</w:t>
            </w:r>
            <w:r>
              <w:t>))</w:t>
            </w:r>
          </w:p>
          <w:p w14:paraId="0B230486" w14:textId="2D19526B" w:rsidR="00771428" w:rsidRDefault="00771428" w:rsidP="00771428">
            <w:pPr>
              <w:pStyle w:val="FormulaBold"/>
              <w:rPr>
                <w:i/>
                <w:vertAlign w:val="subscript"/>
              </w:rPr>
            </w:pPr>
            <w:r>
              <w:t>RTNSAWD</w:t>
            </w:r>
            <w:r>
              <w:rPr>
                <w:i/>
                <w:vertAlign w:val="subscript"/>
              </w:rPr>
              <w:t xml:space="preserve"> q, r  </w:t>
            </w:r>
            <w:r>
              <w:tab/>
              <w:t xml:space="preserve">=  </w:t>
            </w:r>
            <w:r w:rsidR="00936E32">
              <w:rPr>
                <w:position w:val="-22"/>
              </w:rPr>
              <w:object w:dxaOrig="285" w:dyaOrig="285" w14:anchorId="5F6EDAE9">
                <v:shape id="_x0000_i1412" type="#_x0000_t75" style="width:30pt;height:30pt" o:ole="">
                  <v:imagedata r:id="rId22" o:title=""/>
                </v:shape>
                <o:OLEObject Type="Embed" ProgID="Equation.3" ShapeID="_x0000_i1412" DrawAspect="Content" ObjectID="_1804653895" r:id="rId504"/>
              </w:object>
            </w:r>
            <w:r>
              <w:t xml:space="preserve"> (RNWF </w:t>
            </w:r>
            <w:r>
              <w:rPr>
                <w:i/>
                <w:vertAlign w:val="subscript"/>
              </w:rPr>
              <w:t>y</w:t>
            </w:r>
            <w:r>
              <w:rPr>
                <w:vertAlign w:val="subscript"/>
              </w:rPr>
              <w:t xml:space="preserve"> </w:t>
            </w:r>
            <w:r>
              <w:t>* RTNSAWDS</w:t>
            </w:r>
            <w:r>
              <w:rPr>
                <w:i/>
                <w:vertAlign w:val="subscript"/>
              </w:rPr>
              <w:t xml:space="preserve"> q, r, y</w:t>
            </w:r>
            <w:r>
              <w:t>)</w:t>
            </w:r>
          </w:p>
          <w:p w14:paraId="597142F9" w14:textId="77777777" w:rsidR="00771428" w:rsidRDefault="00771428" w:rsidP="00771428">
            <w:pPr>
              <w:pStyle w:val="FormulaBold"/>
            </w:pPr>
            <w:r>
              <w:t>Where:</w:t>
            </w:r>
          </w:p>
          <w:p w14:paraId="6923306F" w14:textId="23CFDD8C" w:rsidR="00771428" w:rsidRDefault="00771428" w:rsidP="00771428">
            <w:pPr>
              <w:pStyle w:val="NoSpacing"/>
              <w:spacing w:after="240"/>
              <w:ind w:left="720"/>
            </w:pPr>
            <w:r>
              <w:t>NSRWF</w:t>
            </w:r>
            <w:r>
              <w:rPr>
                <w:i/>
                <w:vertAlign w:val="subscript"/>
              </w:rPr>
              <w:t xml:space="preserve"> q, r, y</w:t>
            </w:r>
            <w:r>
              <w:rPr>
                <w:vertAlign w:val="subscript"/>
              </w:rPr>
              <w:t xml:space="preserve">   </w:t>
            </w:r>
            <w:r>
              <w:t>=  [max(0.001, RTNSAWDS</w:t>
            </w:r>
            <w:r>
              <w:rPr>
                <w:i/>
                <w:vertAlign w:val="subscript"/>
              </w:rPr>
              <w:t xml:space="preserve"> q, r, y</w:t>
            </w:r>
            <w:r>
              <w:t>) * TLMP</w:t>
            </w:r>
            <w:r>
              <w:rPr>
                <w:i/>
                <w:vertAlign w:val="subscript"/>
              </w:rPr>
              <w:t xml:space="preserve"> y</w:t>
            </w:r>
            <w:r>
              <w:t>] / [</w:t>
            </w:r>
            <w:r w:rsidR="00936E32">
              <w:rPr>
                <w:b/>
                <w:position w:val="-22"/>
              </w:rPr>
              <w:object w:dxaOrig="285" w:dyaOrig="285" w14:anchorId="3AD1102F">
                <v:shape id="_x0000_i1413" type="#_x0000_t75" style="width:24pt;height:24pt" o:ole="">
                  <v:imagedata r:id="rId22" o:title=""/>
                </v:shape>
                <o:OLEObject Type="Embed" ProgID="Equation.3" ShapeID="_x0000_i1413" DrawAspect="Content" ObjectID="_1804653896" r:id="rId505"/>
              </w:object>
            </w:r>
            <w:r>
              <w:t>max(0.001,</w:t>
            </w:r>
          </w:p>
          <w:p w14:paraId="0605F456" w14:textId="67952F7F" w:rsidR="00771428" w:rsidRDefault="00771428" w:rsidP="00771428">
            <w:pPr>
              <w:pStyle w:val="NoSpacing"/>
              <w:spacing w:after="240"/>
              <w:rPr>
                <w:vertAlign w:val="subscript"/>
              </w:rPr>
            </w:pPr>
            <w:r>
              <w:t xml:space="preserve">  </w:t>
            </w:r>
            <w:r>
              <w:tab/>
            </w:r>
            <w:r>
              <w:tab/>
            </w:r>
            <w:r>
              <w:tab/>
              <w:t xml:space="preserve">      RTNSAWDS</w:t>
            </w:r>
            <w:r>
              <w:rPr>
                <w:i/>
                <w:vertAlign w:val="subscript"/>
              </w:rPr>
              <w:t xml:space="preserve"> q, r, y</w:t>
            </w:r>
            <w:r>
              <w:t>) * TLMP</w:t>
            </w:r>
            <w:r>
              <w:rPr>
                <w:i/>
                <w:vertAlign w:val="subscript"/>
              </w:rPr>
              <w:t xml:space="preserve"> y</w:t>
            </w:r>
            <w:r>
              <w:t>]</w:t>
            </w:r>
            <w:r>
              <w:rPr>
                <w:vertAlign w:val="subscript"/>
              </w:rPr>
              <w:t xml:space="preserve"> </w:t>
            </w:r>
          </w:p>
          <w:p w14:paraId="2D7B2AD6" w14:textId="77777777" w:rsidR="00771428" w:rsidRDefault="00771428" w:rsidP="00771428">
            <w:pPr>
              <w:pStyle w:val="FormulaBold"/>
            </w:pPr>
            <w:r>
              <w:t>And:</w:t>
            </w:r>
          </w:p>
          <w:p w14:paraId="692711EE" w14:textId="55AF4266" w:rsidR="00771428" w:rsidRDefault="00771428" w:rsidP="00771428">
            <w:pPr>
              <w:spacing w:after="240"/>
              <w:ind w:firstLine="720"/>
              <w:rPr>
                <w:i/>
                <w:vertAlign w:val="subscript"/>
              </w:rPr>
            </w:pPr>
            <w:r>
              <w:t xml:space="preserve">RNWF </w:t>
            </w:r>
            <w:r>
              <w:rPr>
                <w:i/>
                <w:vertAlign w:val="subscript"/>
              </w:rPr>
              <w:t xml:space="preserve">y </w:t>
            </w:r>
            <w:r>
              <w:t>=</w:t>
            </w:r>
            <w:r>
              <w:tab/>
            </w:r>
            <w:r>
              <w:tab/>
              <w:t xml:space="preserve">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0166B85D">
                <v:shape id="_x0000_i1414" type="#_x0000_t75" style="width:24pt;height:24pt" o:ole="">
                  <v:imagedata r:id="rId22" o:title=""/>
                </v:shape>
                <o:OLEObject Type="Embed" ProgID="Equation.3" ShapeID="_x0000_i1414" DrawAspect="Content" ObjectID="_1804653897" r:id="rId506"/>
              </w:object>
            </w:r>
            <w:r>
              <w:t xml:space="preserve">TLMP </w:t>
            </w:r>
            <w:r>
              <w:rPr>
                <w:i/>
                <w:vertAlign w:val="subscript"/>
              </w:rPr>
              <w:t>y</w:t>
            </w:r>
          </w:p>
          <w:p w14:paraId="1AE7CE86"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0FA2377"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9EAB635"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C5CECB0"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3F1092F" w14:textId="77777777" w:rsidR="00771428" w:rsidRDefault="00771428" w:rsidP="00771428">
                  <w:pPr>
                    <w:pStyle w:val="TableHead"/>
                  </w:pPr>
                  <w:r>
                    <w:t>Description</w:t>
                  </w:r>
                </w:p>
              </w:tc>
            </w:tr>
            <w:tr w:rsidR="00771428" w14:paraId="6BA55300"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72F92CD" w14:textId="77777777" w:rsidR="00771428" w:rsidRDefault="00771428" w:rsidP="00771428">
                  <w:pPr>
                    <w:pStyle w:val="tablebody0"/>
                  </w:pPr>
                  <w:r>
                    <w:t xml:space="preserve">RTNSIMBAMT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1FA502"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409EBBB" w14:textId="1FC4155D" w:rsidR="00771428" w:rsidRDefault="00771428" w:rsidP="00771428">
                  <w:pPr>
                    <w:pStyle w:val="tablebody0"/>
                    <w:rPr>
                      <w:i/>
                    </w:rPr>
                  </w:pPr>
                  <w:r>
                    <w:rPr>
                      <w:i/>
                    </w:rPr>
                    <w:t>Real-Time Non-Spin Imbalance Amount for the QSE</w:t>
                  </w:r>
                  <w:r>
                    <w:t xml:space="preserve">—The total payment or charge to QSE </w:t>
                  </w:r>
                  <w:r>
                    <w:rPr>
                      <w:i/>
                    </w:rPr>
                    <w:t>q</w:t>
                  </w:r>
                  <w:r>
                    <w:t xml:space="preserve"> for the Real-Time Non-Spin imbalance for each 15-minute Settlement Interval.</w:t>
                  </w:r>
                </w:p>
              </w:tc>
            </w:tr>
            <w:tr w:rsidR="00771428" w14:paraId="47E15DF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06E20AF" w14:textId="77777777" w:rsidR="00771428" w:rsidRDefault="00771428" w:rsidP="00771428">
                  <w:pPr>
                    <w:pStyle w:val="tablebody0"/>
                  </w:pPr>
                  <w:r>
                    <w:lastRenderedPageBreak/>
                    <w:t>RTNSAWD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5BE8B2D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920BC38" w14:textId="382EFC7A" w:rsidR="00771428" w:rsidRDefault="00771428" w:rsidP="00771428">
                  <w:pPr>
                    <w:pStyle w:val="tablebody0"/>
                    <w:rPr>
                      <w:i/>
                    </w:rPr>
                  </w:pPr>
                  <w:r>
                    <w:rPr>
                      <w:i/>
                    </w:rPr>
                    <w:t>Real Time Non-Spin Award per Resource per QSE</w:t>
                  </w:r>
                  <w:r w:rsidR="00D90F6F" w:rsidRPr="00A552C3">
                    <w:rPr>
                      <w:iCs/>
                    </w:rPr>
                    <w:t>—</w:t>
                  </w:r>
                  <w:r>
                    <w:t xml:space="preserve">The Non-Spin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771428" w14:paraId="0CBEAC5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BDF0B0D" w14:textId="77777777" w:rsidR="00771428" w:rsidRDefault="00771428" w:rsidP="00771428">
                  <w:pPr>
                    <w:pStyle w:val="tablebody0"/>
                  </w:pPr>
                  <w:r>
                    <w:t xml:space="preserve">RTNSREV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6B7B349"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065CEE2" w14:textId="495C7A48" w:rsidR="00771428" w:rsidRDefault="00771428" w:rsidP="00771428">
                  <w:pPr>
                    <w:pStyle w:val="tablebody0"/>
                    <w:rPr>
                      <w:i/>
                    </w:rPr>
                  </w:pPr>
                  <w:r>
                    <w:rPr>
                      <w:i/>
                    </w:rPr>
                    <w:t>Real-Time Non-Spin Revenue</w:t>
                  </w:r>
                  <w:r>
                    <w:t xml:space="preserve">—The Real-Time Non-Spin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71428" w14:paraId="0804077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9E733CB" w14:textId="069AEABD" w:rsidR="00771428" w:rsidRDefault="00771428" w:rsidP="00771428">
                  <w:pPr>
                    <w:pStyle w:val="tablebody0"/>
                  </w:pPr>
                  <w:r>
                    <w:t>RTNSAWDS</w:t>
                  </w:r>
                  <w:r>
                    <w:rPr>
                      <w:i/>
                      <w:vertAlign w:val="subscript"/>
                    </w:rPr>
                    <w:t xml:space="preserve"> q, r, y</w:t>
                  </w:r>
                </w:p>
              </w:tc>
              <w:tc>
                <w:tcPr>
                  <w:tcW w:w="623" w:type="pct"/>
                  <w:tcBorders>
                    <w:top w:val="single" w:sz="4" w:space="0" w:color="auto"/>
                    <w:left w:val="single" w:sz="4" w:space="0" w:color="auto"/>
                    <w:bottom w:val="single" w:sz="4" w:space="0" w:color="auto"/>
                    <w:right w:val="single" w:sz="4" w:space="0" w:color="auto"/>
                  </w:tcBorders>
                  <w:hideMark/>
                </w:tcPr>
                <w:p w14:paraId="05BABB9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7BAE585" w14:textId="409A3E89" w:rsidR="00771428" w:rsidRDefault="00771428" w:rsidP="00771428">
                  <w:pPr>
                    <w:pStyle w:val="tablebody0"/>
                    <w:rPr>
                      <w:i/>
                    </w:rPr>
                  </w:pPr>
                  <w:r>
                    <w:rPr>
                      <w:i/>
                    </w:rPr>
                    <w:t>Real Time Non-Spin Award per Resource per QSE</w:t>
                  </w:r>
                  <w:r>
                    <w:t xml:space="preserve"> </w:t>
                  </w:r>
                  <w:r>
                    <w:rPr>
                      <w:i/>
                    </w:rPr>
                    <w:t>per SCED interval</w:t>
                  </w:r>
                  <w:r w:rsidR="002B1595" w:rsidRPr="00A552C3">
                    <w:rPr>
                      <w:iCs/>
                    </w:rPr>
                    <w:t>—</w:t>
                  </w:r>
                  <w:r>
                    <w:t xml:space="preserve">The Non-Spin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71428" w14:paraId="2FD27FD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D9F4C81" w14:textId="2A7C0A77" w:rsidR="00771428" w:rsidRDefault="00771428" w:rsidP="00771428">
                  <w:pPr>
                    <w:pStyle w:val="tablebody0"/>
                  </w:pPr>
                  <w:r>
                    <w:t xml:space="preserve">RTMCPCNSR </w:t>
                  </w:r>
                  <w:r>
                    <w:rPr>
                      <w:i/>
                      <w:vertAlign w:val="subscript"/>
                    </w:rPr>
                    <w:t>q,</w:t>
                  </w:r>
                  <w:r w:rsidR="00F42313">
                    <w:rPr>
                      <w:i/>
                      <w:vertAlign w:val="subscript"/>
                    </w:rPr>
                    <w:t xml:space="preserve"> </w:t>
                  </w:r>
                  <w:r>
                    <w:rPr>
                      <w:i/>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0346B66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D0301C" w14:textId="072A4245" w:rsidR="00771428" w:rsidRDefault="00771428" w:rsidP="00771428">
                  <w:pPr>
                    <w:pStyle w:val="tablebody0"/>
                    <w:rPr>
                      <w:iCs/>
                    </w:rPr>
                  </w:pPr>
                  <w:r>
                    <w:rPr>
                      <w:i/>
                    </w:rPr>
                    <w:t>Real-Time Market Clearing Price for Capacity for Non-Spin per Resource per QSE</w:t>
                  </w:r>
                  <w:r>
                    <w:sym w:font="Symbol" w:char="F0BE"/>
                  </w:r>
                  <w:r>
                    <w:t xml:space="preserve">The Real-Time MCPC for Non-Spin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71428" w14:paraId="6B7FD8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97F012B" w14:textId="77777777" w:rsidR="00771428" w:rsidRDefault="00771428" w:rsidP="00771428">
                  <w:pPr>
                    <w:pStyle w:val="tablebody0"/>
                  </w:pPr>
                  <w:r>
                    <w:t>RTMCPCNSS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585CB2F3"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749F66E" w14:textId="2CB7F498" w:rsidR="00771428" w:rsidRDefault="00771428" w:rsidP="00771428">
                  <w:pPr>
                    <w:pStyle w:val="tablebody0"/>
                    <w:rPr>
                      <w:i/>
                    </w:rPr>
                  </w:pPr>
                  <w:r>
                    <w:rPr>
                      <w:i/>
                    </w:rPr>
                    <w:t>Real-Time Market Clearing Price for Capacity for Non-Spin per SCED Interval</w:t>
                  </w:r>
                  <w:r w:rsidR="00F42313" w:rsidRPr="00A552C3">
                    <w:rPr>
                      <w:iCs/>
                    </w:rPr>
                    <w:t>—</w:t>
                  </w:r>
                  <w:r>
                    <w:t xml:space="preserve">The Real-Time MCPC for Non-Spin for the SCED interval </w:t>
                  </w:r>
                  <w:r>
                    <w:rPr>
                      <w:i/>
                    </w:rPr>
                    <w:t>y.</w:t>
                  </w:r>
                </w:p>
              </w:tc>
            </w:tr>
            <w:tr w:rsidR="00771428" w14:paraId="63F92B7C"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296925F" w14:textId="77777777" w:rsidR="00771428" w:rsidRDefault="00771428" w:rsidP="00771428">
                  <w:pPr>
                    <w:pStyle w:val="tablebody0"/>
                  </w:pPr>
                  <w:r>
                    <w:t xml:space="preserve">PCNSR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0579F8A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34472E9" w14:textId="77777777" w:rsidR="00771428" w:rsidRDefault="00771428" w:rsidP="00771428">
                  <w:pPr>
                    <w:pStyle w:val="tablebody0"/>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71428" w14:paraId="24D57F2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90621E4"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2B4F0C9C"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2A37BEA" w14:textId="1D98F8E5" w:rsidR="00771428" w:rsidRDefault="00771428" w:rsidP="00771428">
                  <w:pPr>
                    <w:pStyle w:val="tablebody0"/>
                    <w:rPr>
                      <w:i/>
                    </w:rPr>
                  </w:pPr>
                  <w:r>
                    <w:rPr>
                      <w:i/>
                    </w:rPr>
                    <w:t>Real-Time Market Clearing Price for Capacity for Non-Spin</w:t>
                  </w:r>
                  <w:r w:rsidR="00E328B4" w:rsidRPr="00A552C3">
                    <w:rPr>
                      <w:iCs/>
                    </w:rPr>
                    <w:t>—</w:t>
                  </w:r>
                  <w:r>
                    <w:t>The Real-Time MCPC for Non-Spin for the 15-minute Settlement Interval.</w:t>
                  </w:r>
                </w:p>
              </w:tc>
            </w:tr>
            <w:tr w:rsidR="00771428" w14:paraId="6B91B8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7C998C" w14:textId="77777777" w:rsidR="00771428" w:rsidRDefault="00771428" w:rsidP="00771428">
                  <w:pPr>
                    <w:pStyle w:val="tablebody0"/>
                  </w:pPr>
                  <w:r>
                    <w:t xml:space="preserve">RTRDPANSS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01B4C2E"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2463CA7" w14:textId="2797BE56" w:rsidR="00771428" w:rsidRDefault="00771428" w:rsidP="00771428">
                  <w:pPr>
                    <w:pStyle w:val="tablebody0"/>
                    <w:rPr>
                      <w:i/>
                    </w:rPr>
                  </w:pPr>
                  <w:r>
                    <w:rPr>
                      <w:i/>
                    </w:rPr>
                    <w:t>Real-Time Reliability Deployment Price Adder for Ancillary Service for Non-Spin per SCED interval</w:t>
                  </w:r>
                  <w:r w:rsidR="002B18C7" w:rsidRPr="00A552C3">
                    <w:rPr>
                      <w:iCs/>
                    </w:rPr>
                    <w:t>—</w:t>
                  </w:r>
                  <w:r>
                    <w:t xml:space="preserve">The Real-Time price adder for Non-Spin that captures the impact of reliability deployments on Non-Spin prices for the SCED interval </w:t>
                  </w:r>
                  <w:r>
                    <w:rPr>
                      <w:i/>
                    </w:rPr>
                    <w:t>y</w:t>
                  </w:r>
                  <w:r>
                    <w:t xml:space="preserve">. </w:t>
                  </w:r>
                </w:p>
              </w:tc>
            </w:tr>
            <w:tr w:rsidR="00771428" w14:paraId="10FDE1A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5FB435" w14:textId="77777777" w:rsidR="00771428" w:rsidRDefault="00771428" w:rsidP="00771428">
                  <w:pPr>
                    <w:pStyle w:val="tablebody0"/>
                  </w:pPr>
                  <w:r>
                    <w:t>DASANSQ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291279B"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5A90A53" w14:textId="77777777" w:rsidR="00771428" w:rsidRDefault="00771428" w:rsidP="00771428">
                  <w:pPr>
                    <w:pStyle w:val="tablebody0"/>
                    <w:rPr>
                      <w:i/>
                    </w:rPr>
                  </w:pPr>
                  <w:r>
                    <w:rPr>
                      <w:i/>
                      <w:iCs/>
                    </w:rPr>
                    <w:t>Day-Ahead Self-Arranged Non-Spin Quantity per QSE</w:t>
                  </w:r>
                  <w:r>
                    <w:rPr>
                      <w:iCs/>
                    </w:rPr>
                    <w:t xml:space="preserve">—The self-arranged Non-Spin quantity submitted by QSE </w:t>
                  </w:r>
                  <w:r>
                    <w:rPr>
                      <w:i/>
                      <w:iCs/>
                    </w:rPr>
                    <w:t>q</w:t>
                  </w:r>
                  <w:r>
                    <w:rPr>
                      <w:iCs/>
                    </w:rPr>
                    <w:t xml:space="preserve"> before 1000 in the DAM for the Operating Hour.</w:t>
                  </w:r>
                </w:p>
              </w:tc>
            </w:tr>
            <w:tr w:rsidR="00771428" w14:paraId="5A2B002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76C6A9CB" w14:textId="77777777" w:rsidR="00771428" w:rsidRDefault="00771428" w:rsidP="00771428">
                  <w:pPr>
                    <w:pStyle w:val="tablebody0"/>
                  </w:pPr>
                  <w:r>
                    <w:t xml:space="preserve">NSTP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E6CC0B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D290829" w14:textId="2B8ABE13" w:rsidR="00771428" w:rsidRDefault="00771428" w:rsidP="00771428">
                  <w:pPr>
                    <w:pStyle w:val="tablebody0"/>
                    <w:rPr>
                      <w:i/>
                    </w:rPr>
                  </w:pPr>
                  <w:r>
                    <w:rPr>
                      <w:i/>
                    </w:rPr>
                    <w:t>Trade Purchases for Non-Spin for the QSE</w:t>
                  </w:r>
                  <w:r>
                    <w:t>—</w:t>
                  </w:r>
                  <w:r>
                    <w:rPr>
                      <w:szCs w:val="18"/>
                    </w:rPr>
                    <w:t xml:space="preserve">The trade purchases for QSE </w:t>
                  </w:r>
                  <w:r>
                    <w:rPr>
                      <w:i/>
                      <w:szCs w:val="18"/>
                    </w:rPr>
                    <w:t>q</w:t>
                  </w:r>
                  <w:r>
                    <w:rPr>
                      <w:szCs w:val="18"/>
                    </w:rPr>
                    <w:t xml:space="preserve"> for Non-Spin for the Operating Hour.</w:t>
                  </w:r>
                </w:p>
              </w:tc>
            </w:tr>
            <w:tr w:rsidR="00771428" w14:paraId="234624A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EB10047" w14:textId="77777777" w:rsidR="00771428" w:rsidRDefault="00771428" w:rsidP="00771428">
                  <w:pPr>
                    <w:pStyle w:val="tablebody0"/>
                  </w:pPr>
                  <w:r>
                    <w:t xml:space="preserve">NSTS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647B29"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D5A5CA" w14:textId="283BEA98" w:rsidR="00771428" w:rsidRDefault="00771428" w:rsidP="00771428">
                  <w:pPr>
                    <w:pStyle w:val="tablebody0"/>
                    <w:rPr>
                      <w:i/>
                    </w:rPr>
                  </w:pPr>
                  <w:r>
                    <w:rPr>
                      <w:i/>
                      <w:szCs w:val="18"/>
                    </w:rPr>
                    <w:t>Trade Sales for Non-Spin for the QSE—</w:t>
                  </w:r>
                  <w:r>
                    <w:rPr>
                      <w:szCs w:val="18"/>
                    </w:rPr>
                    <w:t xml:space="preserve">The trade sales for QSE </w:t>
                  </w:r>
                  <w:r>
                    <w:rPr>
                      <w:i/>
                      <w:szCs w:val="18"/>
                    </w:rPr>
                    <w:t>q</w:t>
                  </w:r>
                  <w:r>
                    <w:rPr>
                      <w:szCs w:val="18"/>
                    </w:rPr>
                    <w:t xml:space="preserve"> for Non-Spin for the Operating Hour.</w:t>
                  </w:r>
                </w:p>
              </w:tc>
            </w:tr>
            <w:tr w:rsidR="00771428" w14:paraId="2A3427F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4F9E912" w14:textId="77777777" w:rsidR="00771428" w:rsidRDefault="00771428" w:rsidP="00771428">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26F4AC8" w14:textId="77777777" w:rsidR="00771428" w:rsidRDefault="00771428" w:rsidP="00771428">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949C11" w14:textId="1EFCD250" w:rsidR="00771428" w:rsidRDefault="00771428" w:rsidP="00771428">
                  <w:pPr>
                    <w:pStyle w:val="tablebody0"/>
                    <w:rPr>
                      <w:i/>
                    </w:rPr>
                  </w:pPr>
                  <w:r>
                    <w:rPr>
                      <w:i/>
                      <w:iCs/>
                    </w:rPr>
                    <w:t xml:space="preserve">Duration of </w:t>
                  </w:r>
                  <w:r>
                    <w:rPr>
                      <w:i/>
                    </w:rPr>
                    <w:t>SCED</w:t>
                  </w:r>
                  <w:r>
                    <w:rPr>
                      <w:i/>
                      <w:iCs/>
                    </w:rPr>
                    <w:t xml:space="preserve"> interval per interval</w:t>
                  </w:r>
                  <w:r w:rsidR="00566800" w:rsidRPr="00A552C3">
                    <w:rPr>
                      <w:iCs/>
                    </w:rPr>
                    <w:t>—</w:t>
                  </w:r>
                  <w:r>
                    <w:t xml:space="preserve">The duration of the SCED interval </w:t>
                  </w:r>
                  <w:r>
                    <w:rPr>
                      <w:i/>
                      <w:iCs/>
                    </w:rPr>
                    <w:t>y</w:t>
                  </w:r>
                  <w:r>
                    <w:t>.</w:t>
                  </w:r>
                </w:p>
              </w:tc>
            </w:tr>
            <w:tr w:rsidR="00771428" w14:paraId="40AD1F1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EE2F3C" w14:textId="77777777" w:rsidR="00771428" w:rsidRDefault="00771428" w:rsidP="00771428">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596D7FB"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6E88117" w14:textId="37446E89" w:rsidR="00771428" w:rsidRDefault="00771428" w:rsidP="00771428">
                  <w:pPr>
                    <w:pStyle w:val="tablebody0"/>
                    <w:rPr>
                      <w:i/>
                    </w:rPr>
                  </w:pPr>
                  <w:r>
                    <w:rPr>
                      <w:i/>
                    </w:rPr>
                    <w:t>Resource Node Weighting Factor per interval</w:t>
                  </w:r>
                  <w:r w:rsidR="00566800" w:rsidRPr="00A552C3">
                    <w:rPr>
                      <w:iCs/>
                    </w:rPr>
                    <w:t>—</w:t>
                  </w:r>
                  <w:r>
                    <w:t xml:space="preserve">The weight used in the Ancillary Service award calculation for the portion of the SCED interval </w:t>
                  </w:r>
                  <w:r w:rsidRPr="00DA6215">
                    <w:rPr>
                      <w:i/>
                      <w:iCs/>
                    </w:rPr>
                    <w:t>y</w:t>
                  </w:r>
                  <w:r>
                    <w:t xml:space="preserve"> within the Settlement Interval.</w:t>
                  </w:r>
                </w:p>
              </w:tc>
            </w:tr>
            <w:tr w:rsidR="00771428" w14:paraId="09B47BB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C8E264B" w14:textId="326A103F" w:rsidR="00771428" w:rsidRDefault="00771428" w:rsidP="00771428">
                  <w:pPr>
                    <w:pStyle w:val="tablebody0"/>
                  </w:pPr>
                  <w:r>
                    <w:t xml:space="preserve">NSRWF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045FF7E5"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0B5CE33" w14:textId="5D7F4A8F" w:rsidR="00771428" w:rsidRDefault="00771428" w:rsidP="00771428">
                  <w:pPr>
                    <w:pStyle w:val="tablebody0"/>
                    <w:rPr>
                      <w:i/>
                    </w:rPr>
                  </w:pPr>
                  <w:r>
                    <w:rPr>
                      <w:i/>
                    </w:rPr>
                    <w:t>Non-Spin Resource Node Weighting Factor per interval</w:t>
                  </w:r>
                  <w:r w:rsidR="00566800" w:rsidRPr="00A552C3">
                    <w:rPr>
                      <w:iCs/>
                    </w:rPr>
                    <w:t>—</w:t>
                  </w:r>
                  <w:r>
                    <w:t xml:space="preserve">The Non-Spin Resource weight, based on Non-Spin awards, used in the Real-Time MCPC calculation for the portion of the SCED interval </w:t>
                  </w:r>
                  <w:r w:rsidRPr="00233C78">
                    <w:rPr>
                      <w:i/>
                    </w:rPr>
                    <w:t>y</w:t>
                  </w:r>
                  <w:r>
                    <w:t xml:space="preserve"> within the Settlement Interval</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771428" w14:paraId="3D1E6DE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BFA87EC" w14:textId="77777777" w:rsidR="00771428" w:rsidRDefault="00771428" w:rsidP="00771428">
                  <w:pPr>
                    <w:pStyle w:val="tablebody0"/>
                  </w:pPr>
                  <w:r>
                    <w:rPr>
                      <w:i/>
                    </w:rPr>
                    <w:lastRenderedPageBreak/>
                    <w:t>r</w:t>
                  </w:r>
                </w:p>
              </w:tc>
              <w:tc>
                <w:tcPr>
                  <w:tcW w:w="623" w:type="pct"/>
                  <w:tcBorders>
                    <w:top w:val="single" w:sz="4" w:space="0" w:color="auto"/>
                    <w:left w:val="single" w:sz="4" w:space="0" w:color="auto"/>
                    <w:bottom w:val="single" w:sz="4" w:space="0" w:color="auto"/>
                    <w:right w:val="single" w:sz="4" w:space="0" w:color="auto"/>
                  </w:tcBorders>
                  <w:hideMark/>
                </w:tcPr>
                <w:p w14:paraId="053D5948"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D96CC0A" w14:textId="77777777" w:rsidR="00771428" w:rsidRDefault="00771428" w:rsidP="00771428">
                  <w:pPr>
                    <w:pStyle w:val="tablebody0"/>
                    <w:rPr>
                      <w:i/>
                    </w:rPr>
                  </w:pPr>
                  <w:r>
                    <w:t>A Resource.</w:t>
                  </w:r>
                </w:p>
              </w:tc>
            </w:tr>
            <w:tr w:rsidR="00771428" w14:paraId="6DA0ED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36B21B1"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FF856E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52B6A7D" w14:textId="77777777" w:rsidR="00771428" w:rsidRDefault="00771428" w:rsidP="00771428">
                  <w:pPr>
                    <w:pStyle w:val="tablebody0"/>
                  </w:pPr>
                  <w:r>
                    <w:t>A QSE.</w:t>
                  </w:r>
                </w:p>
              </w:tc>
            </w:tr>
            <w:tr w:rsidR="00771428" w14:paraId="61017DD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1B92C79" w14:textId="77777777" w:rsidR="00771428" w:rsidRDefault="00771428" w:rsidP="00771428">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47EC0189"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03CDF8" w14:textId="77777777" w:rsidR="00771428" w:rsidRDefault="00771428" w:rsidP="00771428">
                  <w:pPr>
                    <w:pStyle w:val="tablebody0"/>
                  </w:pPr>
                  <w:r>
                    <w:t>A SCED interval in the 15-minute Settlement Interval.</w:t>
                  </w:r>
                </w:p>
              </w:tc>
            </w:tr>
          </w:tbl>
          <w:p w14:paraId="41B94525" w14:textId="77777777" w:rsidR="00771428" w:rsidRDefault="00771428" w:rsidP="00771428">
            <w:pPr>
              <w:spacing w:before="240" w:after="240"/>
            </w:pPr>
            <w:r>
              <w:t>(2)</w:t>
            </w:r>
            <w:r>
              <w:tab/>
              <w:t>Non-Spin Only Charge:</w:t>
            </w:r>
          </w:p>
          <w:p w14:paraId="7B9E6D70" w14:textId="77777777" w:rsidR="00771428" w:rsidRDefault="00771428" w:rsidP="00771428">
            <w:pPr>
              <w:pStyle w:val="FormulaBold"/>
            </w:pPr>
            <w:r>
              <w:t>RTNSOAMT</w:t>
            </w:r>
            <w:r>
              <w:rPr>
                <w:i/>
                <w:vertAlign w:val="subscript"/>
              </w:rPr>
              <w:t xml:space="preserve"> q  </w:t>
            </w:r>
            <w:r>
              <w:t xml:space="preserve">= </w:t>
            </w:r>
            <w:r>
              <w:tab/>
              <w:t xml:space="preserve">(1/4) * DANSOAWD </w:t>
            </w:r>
            <w:r>
              <w:rPr>
                <w:i/>
                <w:vertAlign w:val="subscript"/>
              </w:rPr>
              <w:t>q</w:t>
            </w:r>
            <w:r>
              <w:t xml:space="preserve"> * RTMCPCNS</w:t>
            </w:r>
          </w:p>
          <w:p w14:paraId="07D94918"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BB97EB3"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5D5C44F"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64D8D31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6D2691EF" w14:textId="77777777" w:rsidR="00771428" w:rsidRDefault="00771428" w:rsidP="00771428">
                  <w:pPr>
                    <w:pStyle w:val="TableHead"/>
                  </w:pPr>
                  <w:r>
                    <w:t>Description</w:t>
                  </w:r>
                </w:p>
              </w:tc>
            </w:tr>
            <w:tr w:rsidR="00771428" w14:paraId="5AC6FFC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63E830E" w14:textId="77777777" w:rsidR="00771428" w:rsidRDefault="00771428" w:rsidP="00771428">
                  <w:pPr>
                    <w:pStyle w:val="tablebody0"/>
                  </w:pPr>
                  <w:r>
                    <w:t xml:space="preserve">RTNSOAMT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366475"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CB8DB6E" w14:textId="6613EC97" w:rsidR="00771428" w:rsidRDefault="00771428" w:rsidP="00771428">
                  <w:pPr>
                    <w:pStyle w:val="tablebody0"/>
                    <w:rPr>
                      <w:i/>
                    </w:rPr>
                  </w:pPr>
                  <w:r>
                    <w:rPr>
                      <w:i/>
                    </w:rPr>
                    <w:t>Real-Time Non-Spin Only Amount for the QSE</w:t>
                  </w:r>
                  <w:r>
                    <w:t xml:space="preserve">—The total charge to QSE </w:t>
                  </w:r>
                  <w:r>
                    <w:rPr>
                      <w:i/>
                    </w:rPr>
                    <w:t>q</w:t>
                  </w:r>
                  <w:r>
                    <w:t xml:space="preserve"> in Real-Time for Non-Spin only award for each 15-minute Settlement Interval.</w:t>
                  </w:r>
                </w:p>
              </w:tc>
            </w:tr>
            <w:tr w:rsidR="00771428" w14:paraId="505EC21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F4F2FAA" w14:textId="77777777" w:rsidR="00771428" w:rsidRDefault="00771428" w:rsidP="00771428">
                  <w:pPr>
                    <w:pStyle w:val="tablebody0"/>
                  </w:pPr>
                  <w:r>
                    <w:t xml:space="preserve">DANSOAWD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BE4535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5E0E7E" w14:textId="256840D0" w:rsidR="00771428" w:rsidRDefault="00771428" w:rsidP="00771428">
                  <w:pPr>
                    <w:pStyle w:val="tablebody0"/>
                    <w:rPr>
                      <w:i/>
                    </w:rPr>
                  </w:pPr>
                  <w:r>
                    <w:rPr>
                      <w:i/>
                    </w:rPr>
                    <w:t>Day-Ahead Non-Spin Only Award for the QSE</w:t>
                  </w:r>
                  <w:r>
                    <w:sym w:font="Symbol" w:char="F0BE"/>
                  </w:r>
                  <w:r>
                    <w:t xml:space="preserve">The Non-Spin only capacity awarded in the DAM to the QSE </w:t>
                  </w:r>
                  <w:r>
                    <w:rPr>
                      <w:i/>
                    </w:rPr>
                    <w:t>q</w:t>
                  </w:r>
                  <w:r>
                    <w:t xml:space="preserve"> for the </w:t>
                  </w:r>
                  <w:r>
                    <w:rPr>
                      <w:szCs w:val="18"/>
                    </w:rPr>
                    <w:t>Operating Hour</w:t>
                  </w:r>
                  <w:r>
                    <w:t>.</w:t>
                  </w:r>
                </w:p>
              </w:tc>
            </w:tr>
            <w:tr w:rsidR="00771428" w14:paraId="422575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E49407A"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B3B6AC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17C21B1" w14:textId="3BE0F2F8" w:rsidR="00771428" w:rsidRDefault="00771428" w:rsidP="00771428">
                  <w:pPr>
                    <w:pStyle w:val="tablebody0"/>
                    <w:rPr>
                      <w:i/>
                    </w:rPr>
                  </w:pPr>
                  <w:r>
                    <w:rPr>
                      <w:i/>
                    </w:rPr>
                    <w:t>Real-Time Market Clearing Price for Capacity for Non-Spin</w:t>
                  </w:r>
                  <w:r w:rsidR="00566800" w:rsidRPr="00A552C3">
                    <w:rPr>
                      <w:iCs/>
                    </w:rPr>
                    <w:t>—</w:t>
                  </w:r>
                  <w:r>
                    <w:t>The Real-Time MCPC for Non-Spin for the 15-minute Settlement Interval.</w:t>
                  </w:r>
                </w:p>
              </w:tc>
            </w:tr>
            <w:tr w:rsidR="00771428" w14:paraId="2A00400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21935B8"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C2EB09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639FF33" w14:textId="77777777" w:rsidR="00771428" w:rsidRDefault="00771428" w:rsidP="00771428">
                  <w:pPr>
                    <w:pStyle w:val="tablebody0"/>
                  </w:pPr>
                  <w:r>
                    <w:t>A QSE.</w:t>
                  </w:r>
                </w:p>
              </w:tc>
            </w:tr>
          </w:tbl>
          <w:p w14:paraId="66A48FED" w14:textId="3FD5DDF9" w:rsidR="00771428" w:rsidRDefault="00771428" w:rsidP="00771428">
            <w:pPr>
              <w:spacing w:before="240" w:after="240"/>
            </w:pPr>
            <w:r>
              <w:t>(3)</w:t>
            </w:r>
            <w:r>
              <w:tab/>
              <w:t>Non-Spin Trade Overage Charge:</w:t>
            </w:r>
          </w:p>
          <w:p w14:paraId="523252F5" w14:textId="77777777" w:rsidR="00771428" w:rsidRDefault="00771428" w:rsidP="00771428">
            <w:pPr>
              <w:pStyle w:val="FormulaBold"/>
            </w:pPr>
            <w:r>
              <w:t>RTNSTOAMT</w:t>
            </w:r>
            <w:r>
              <w:rPr>
                <w:i/>
                <w:vertAlign w:val="subscript"/>
              </w:rPr>
              <w:t xml:space="preserve"> q  </w:t>
            </w:r>
            <w:r>
              <w:t xml:space="preserve">= </w:t>
            </w:r>
            <w:r>
              <w:tab/>
              <w:t xml:space="preserve">(1/4) * RTNSTO </w:t>
            </w:r>
            <w:r>
              <w:rPr>
                <w:i/>
                <w:vertAlign w:val="subscript"/>
              </w:rPr>
              <w:t>q</w:t>
            </w:r>
            <w:r>
              <w:t xml:space="preserve"> * RTMCPCRNS</w:t>
            </w:r>
          </w:p>
          <w:p w14:paraId="6FA5755D" w14:textId="77777777" w:rsidR="00771428" w:rsidRDefault="00771428" w:rsidP="0077142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F4A31AA"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994745C"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F40C5C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42EFA999" w14:textId="77777777" w:rsidR="00771428" w:rsidRDefault="00771428" w:rsidP="00771428">
                  <w:pPr>
                    <w:pStyle w:val="TableHead"/>
                  </w:pPr>
                  <w:r>
                    <w:t>Description</w:t>
                  </w:r>
                </w:p>
              </w:tc>
            </w:tr>
            <w:tr w:rsidR="00771428" w14:paraId="173CEAD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C6033DA" w14:textId="77777777" w:rsidR="00771428" w:rsidRDefault="00771428" w:rsidP="00771428">
                  <w:pPr>
                    <w:pStyle w:val="tablebody0"/>
                  </w:pPr>
                  <w:r>
                    <w:t xml:space="preserve">RTNSTOAMT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1B21E04"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93667E7" w14:textId="0AB1770C" w:rsidR="00771428" w:rsidRDefault="00771428" w:rsidP="00771428">
                  <w:pPr>
                    <w:pStyle w:val="tablebody0"/>
                    <w:rPr>
                      <w:i/>
                    </w:rPr>
                  </w:pPr>
                  <w:r>
                    <w:rPr>
                      <w:i/>
                    </w:rPr>
                    <w:t>Real-Time Non-Spin Trade Overage Amount for the QSE</w:t>
                  </w:r>
                  <w:r>
                    <w:t xml:space="preserve">—The total charge to QSE </w:t>
                  </w:r>
                  <w:r>
                    <w:rPr>
                      <w:i/>
                    </w:rPr>
                    <w:t>q</w:t>
                  </w:r>
                  <w:r>
                    <w:t xml:space="preserve"> in Real-Time for Non-Spin trade overages for each 15-minute Settlement Interval.</w:t>
                  </w:r>
                </w:p>
              </w:tc>
            </w:tr>
            <w:tr w:rsidR="00771428" w14:paraId="4D6058E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70A702F" w14:textId="77777777" w:rsidR="00771428" w:rsidRDefault="00771428" w:rsidP="00771428">
                  <w:pPr>
                    <w:pStyle w:val="tablebody0"/>
                  </w:pPr>
                  <w:r>
                    <w:t xml:space="preserve">RTNSTO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7E7D64"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D9D0F4A" w14:textId="6C7D491C" w:rsidR="00771428" w:rsidRDefault="00771428" w:rsidP="00771428">
                  <w:pPr>
                    <w:pStyle w:val="tablebody0"/>
                  </w:pPr>
                  <w:r>
                    <w:rPr>
                      <w:i/>
                    </w:rPr>
                    <w:t>Real-Time Non-Spin Trade Overage for the QSE</w:t>
                  </w:r>
                  <w:r>
                    <w:sym w:font="Symbol" w:char="F0BE"/>
                  </w:r>
                  <w:r>
                    <w:t xml:space="preserve">The quantity of submitted Non-Spin trades in excess of their DAM self-arrangement quantity for the QSE </w:t>
                  </w:r>
                  <w:r>
                    <w:rPr>
                      <w:i/>
                    </w:rPr>
                    <w:t>q</w:t>
                  </w:r>
                  <w:r>
                    <w:t xml:space="preserve"> for the </w:t>
                  </w:r>
                  <w:r>
                    <w:rPr>
                      <w:szCs w:val="18"/>
                    </w:rPr>
                    <w:t>Operating Hour</w:t>
                  </w:r>
                  <w:r>
                    <w:t>.</w:t>
                  </w:r>
                </w:p>
              </w:tc>
            </w:tr>
            <w:tr w:rsidR="00771428" w14:paraId="054C029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4409481"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C8DDDDF"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9859904" w14:textId="59D9CD5B" w:rsidR="00771428" w:rsidRDefault="00771428" w:rsidP="00771428">
                  <w:pPr>
                    <w:pStyle w:val="tablebody0"/>
                    <w:rPr>
                      <w:i/>
                    </w:rPr>
                  </w:pPr>
                  <w:r>
                    <w:rPr>
                      <w:i/>
                    </w:rPr>
                    <w:t xml:space="preserve">Real-Time Market Clearing Price </w:t>
                  </w:r>
                  <w:r>
                    <w:rPr>
                      <w:bCs/>
                      <w:i/>
                      <w:lang w:val="pt-BR"/>
                    </w:rPr>
                    <w:t xml:space="preserve">for Capacity </w:t>
                  </w:r>
                  <w:r>
                    <w:rPr>
                      <w:i/>
                    </w:rPr>
                    <w:t>for Non-Spin</w:t>
                  </w:r>
                  <w:r w:rsidR="00566800" w:rsidRPr="00A552C3">
                    <w:rPr>
                      <w:iCs/>
                    </w:rPr>
                    <w:t>—</w:t>
                  </w:r>
                  <w:r>
                    <w:t>The Real-Time MCPC for Non-Spin for the 15-minute Settlement Interval.</w:t>
                  </w:r>
                </w:p>
              </w:tc>
            </w:tr>
            <w:tr w:rsidR="00771428" w14:paraId="49DD50E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0C80BF"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AB3FF13"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4D2DA8" w14:textId="77777777" w:rsidR="00771428" w:rsidRDefault="00771428" w:rsidP="00771428">
                  <w:pPr>
                    <w:pStyle w:val="tablebody0"/>
                  </w:pPr>
                  <w:r>
                    <w:t>A QSE.</w:t>
                  </w:r>
                </w:p>
              </w:tc>
            </w:tr>
          </w:tbl>
          <w:p w14:paraId="7E03CCCC" w14:textId="2AA1BA2A" w:rsidR="008871B2" w:rsidRPr="008871B2" w:rsidRDefault="008871B2" w:rsidP="001138B9">
            <w:pPr>
              <w:keepNext/>
              <w:tabs>
                <w:tab w:val="left" w:pos="1080"/>
              </w:tabs>
              <w:spacing w:before="480" w:after="240"/>
              <w:outlineLvl w:val="2"/>
              <w:rPr>
                <w:b/>
                <w:bCs/>
                <w:i/>
              </w:rPr>
            </w:pPr>
          </w:p>
        </w:tc>
      </w:tr>
    </w:tbl>
    <w:p w14:paraId="63D9C8B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ED24B0A" w14:textId="77777777" w:rsidTr="001138B9">
        <w:trPr>
          <w:trHeight w:val="206"/>
        </w:trPr>
        <w:tc>
          <w:tcPr>
            <w:tcW w:w="9350" w:type="dxa"/>
            <w:shd w:val="pct12" w:color="auto" w:fill="auto"/>
          </w:tcPr>
          <w:p w14:paraId="34F4F0EA" w14:textId="5531BCE4" w:rsidR="008871B2" w:rsidRDefault="008871B2" w:rsidP="001138B9">
            <w:pPr>
              <w:pStyle w:val="Instructions"/>
              <w:spacing w:before="120"/>
            </w:pPr>
            <w:r>
              <w:t>[NPRR1010</w:t>
            </w:r>
            <w:r w:rsidR="00857818">
              <w:t xml:space="preserve"> and NPRR1245</w:t>
            </w:r>
            <w:r>
              <w:t>:  Insert Section 6.7.5.6 below upon system implementation of the Real-Time Co-Optimization (RTC) project:]</w:t>
            </w:r>
          </w:p>
          <w:p w14:paraId="0B3694CF" w14:textId="77777777" w:rsidR="00CC5182" w:rsidRDefault="00CC5182" w:rsidP="00CC5182">
            <w:pPr>
              <w:pStyle w:val="H4"/>
              <w:spacing w:before="480"/>
            </w:pPr>
            <w:bookmarkStart w:id="2797" w:name="_Toc189044499"/>
            <w:r>
              <w:t>6.7.5.6</w:t>
            </w:r>
            <w:r>
              <w:tab/>
              <w:t>ERCOT Contingency Reserve Service Payments and Charges</w:t>
            </w:r>
            <w:bookmarkEnd w:id="2797"/>
          </w:p>
          <w:p w14:paraId="47F76F0A" w14:textId="77777777" w:rsidR="00CC5182" w:rsidRDefault="00CC5182" w:rsidP="00CC5182">
            <w:r>
              <w:t>(1)</w:t>
            </w:r>
            <w:r>
              <w:tab/>
              <w:t>ECRS Imbalance Payment or Charge:</w:t>
            </w:r>
          </w:p>
          <w:p w14:paraId="7A6BA20E" w14:textId="5652078A" w:rsidR="00CC5182" w:rsidRDefault="00CC5182" w:rsidP="00CC5182">
            <w:pPr>
              <w:pStyle w:val="FormulaBold"/>
              <w:ind w:left="2340" w:hanging="1620"/>
            </w:pPr>
            <w:r>
              <w:lastRenderedPageBreak/>
              <w:t>RTECRIMBAMT</w:t>
            </w:r>
            <w:r>
              <w:rPr>
                <w:i/>
                <w:vertAlign w:val="subscript"/>
              </w:rPr>
              <w:t xml:space="preserve"> q </w:t>
            </w:r>
            <w:r>
              <w:t>= (-1) * [</w:t>
            </w:r>
            <w:r>
              <w:rPr>
                <w:position w:val="-18"/>
              </w:rPr>
              <w:object w:dxaOrig="285" w:dyaOrig="570" w14:anchorId="7F822EF5">
                <v:shape id="_x0000_i1415" type="#_x0000_t75" style="width:12pt;height:30pt" o:ole="">
                  <v:imagedata r:id="rId159" o:title=""/>
                </v:shape>
                <o:OLEObject Type="Embed" ProgID="Equation.3" ShapeID="_x0000_i1415" DrawAspect="Content" ObjectID="_1804653898" r:id="rId507"/>
              </w:object>
            </w:r>
            <w:r>
              <w:t>[RTECRREV</w:t>
            </w:r>
            <w:r>
              <w:rPr>
                <w:i/>
                <w:vertAlign w:val="subscript"/>
              </w:rPr>
              <w:t xml:space="preserve">q, r </w:t>
            </w:r>
            <w:r>
              <w:t>– (1/4) * (PCECRR</w:t>
            </w:r>
            <w:r>
              <w:rPr>
                <w:i/>
              </w:rPr>
              <w:t xml:space="preserve"> </w:t>
            </w:r>
            <w:r>
              <w:rPr>
                <w:i/>
                <w:vertAlign w:val="subscript"/>
              </w:rPr>
              <w:t>r, q, DAM</w:t>
            </w:r>
            <w:r>
              <w:t xml:space="preserve"> *</w:t>
            </w:r>
          </w:p>
          <w:p w14:paraId="0E34E19C" w14:textId="77777777" w:rsidR="00CC5182" w:rsidRDefault="00CC5182" w:rsidP="00CC5182">
            <w:pPr>
              <w:pStyle w:val="FormulaBold"/>
              <w:ind w:left="2340" w:firstLine="270"/>
            </w:pPr>
            <w:r>
              <w:t xml:space="preserve">RTMCPCECR)] – (1/4) * (DASAECRQ </w:t>
            </w:r>
            <w:r>
              <w:rPr>
                <w:i/>
                <w:vertAlign w:val="subscript"/>
              </w:rPr>
              <w:t>q</w:t>
            </w:r>
            <w:r>
              <w:t xml:space="preserve"> * RTMCPCECR) + (1/4) * (ECRTP </w:t>
            </w:r>
            <w:r>
              <w:rPr>
                <w:i/>
                <w:vertAlign w:val="subscript"/>
              </w:rPr>
              <w:t>q</w:t>
            </w:r>
            <w:r>
              <w:t xml:space="preserve"> – ECRTS </w:t>
            </w:r>
            <w:r>
              <w:rPr>
                <w:i/>
                <w:vertAlign w:val="subscript"/>
              </w:rPr>
              <w:t>q</w:t>
            </w:r>
            <w:r>
              <w:t>) * RTMCPCECR]</w:t>
            </w:r>
          </w:p>
          <w:p w14:paraId="1DBFCE27" w14:textId="77777777" w:rsidR="00CC5182" w:rsidRDefault="00CC5182" w:rsidP="00CC5182">
            <w:pPr>
              <w:pStyle w:val="FormulaBold"/>
            </w:pPr>
            <w:r>
              <w:t xml:space="preserve">Where:   </w:t>
            </w:r>
          </w:p>
          <w:p w14:paraId="625475A6" w14:textId="77777777" w:rsidR="00CC5182" w:rsidRDefault="00CC5182" w:rsidP="00CC5182">
            <w:pPr>
              <w:pStyle w:val="FormulaBold"/>
            </w:pPr>
            <w:r>
              <w:rPr>
                <w:rStyle w:val="BodyTextChar"/>
              </w:rPr>
              <w:t>RT</w:t>
            </w:r>
            <w:r>
              <w:t>ECR</w:t>
            </w:r>
            <w:r>
              <w:rPr>
                <w:rStyle w:val="BodyTextChar"/>
              </w:rPr>
              <w:t xml:space="preserve">REV </w:t>
            </w:r>
            <w:r>
              <w:rPr>
                <w:i/>
                <w:vertAlign w:val="subscript"/>
              </w:rPr>
              <w:t xml:space="preserve">q, r </w:t>
            </w:r>
            <w:r>
              <w:rPr>
                <w:i/>
              </w:rPr>
              <w:t xml:space="preserve"> =     </w:t>
            </w:r>
            <w:r>
              <w:t>(1/4) * RTECRAWD</w:t>
            </w:r>
            <w:r>
              <w:rPr>
                <w:i/>
                <w:vertAlign w:val="subscript"/>
              </w:rPr>
              <w:t xml:space="preserve"> q, r</w:t>
            </w:r>
            <w:r>
              <w:t xml:space="preserve"> * RTMCPCECRR </w:t>
            </w:r>
            <w:r>
              <w:rPr>
                <w:i/>
                <w:vertAlign w:val="subscript"/>
              </w:rPr>
              <w:t>q,</w:t>
            </w:r>
            <w:r>
              <w:rPr>
                <w:i/>
              </w:rPr>
              <w:t xml:space="preserve"> </w:t>
            </w:r>
            <w:r>
              <w:rPr>
                <w:i/>
                <w:vertAlign w:val="subscript"/>
              </w:rPr>
              <w:t>r</w:t>
            </w:r>
          </w:p>
          <w:p w14:paraId="5D324615" w14:textId="23F82628" w:rsidR="00CC5182" w:rsidRDefault="00CC5182" w:rsidP="00CC5182">
            <w:pPr>
              <w:pStyle w:val="FormulaBold"/>
            </w:pPr>
            <w:r>
              <w:t xml:space="preserve">RTMCPCECRR </w:t>
            </w:r>
            <w:r>
              <w:rPr>
                <w:i/>
                <w:vertAlign w:val="subscript"/>
              </w:rPr>
              <w:t>q, r</w:t>
            </w:r>
            <w:r>
              <w:rPr>
                <w:i/>
              </w:rPr>
              <w:t xml:space="preserve"> = </w:t>
            </w:r>
            <w:r w:rsidR="00936E32">
              <w:rPr>
                <w:position w:val="-22"/>
              </w:rPr>
              <w:object w:dxaOrig="285" w:dyaOrig="285" w14:anchorId="40507B25">
                <v:shape id="_x0000_i1416" type="#_x0000_t75" style="width:24pt;height:24pt" o:ole="">
                  <v:imagedata r:id="rId22" o:title=""/>
                </v:shape>
                <o:OLEObject Type="Embed" ProgID="Equation.3" ShapeID="_x0000_i1416" DrawAspect="Content" ObjectID="_1804653899" r:id="rId508"/>
              </w:object>
            </w:r>
            <w:r>
              <w:t>(ECRRWF</w:t>
            </w:r>
            <w:r>
              <w:rPr>
                <w:i/>
                <w:vertAlign w:val="subscript"/>
              </w:rPr>
              <w:t xml:space="preserve"> q, r, y</w:t>
            </w:r>
            <w:r>
              <w:t xml:space="preserve"> * (RTMCPCECRS</w:t>
            </w:r>
            <w:r>
              <w:rPr>
                <w:i/>
                <w:vertAlign w:val="subscript"/>
              </w:rPr>
              <w:t xml:space="preserve"> y</w:t>
            </w:r>
            <w:r>
              <w:t xml:space="preserve"> + RTRDPAECRS </w:t>
            </w:r>
            <w:r>
              <w:rPr>
                <w:i/>
                <w:vertAlign w:val="subscript"/>
              </w:rPr>
              <w:t>y</w:t>
            </w:r>
            <w:r>
              <w:rPr>
                <w:i/>
              </w:rPr>
              <w:t>))</w:t>
            </w:r>
          </w:p>
          <w:p w14:paraId="6CB7793B" w14:textId="20F1C4F5" w:rsidR="00CC5182" w:rsidRDefault="00CC5182" w:rsidP="00CC5182">
            <w:pPr>
              <w:pStyle w:val="FormulaBold"/>
              <w:rPr>
                <w:i/>
                <w:vertAlign w:val="subscript"/>
              </w:rPr>
            </w:pPr>
            <w:r>
              <w:t>RTECRAWD</w:t>
            </w:r>
            <w:r>
              <w:rPr>
                <w:i/>
                <w:vertAlign w:val="subscript"/>
              </w:rPr>
              <w:t xml:space="preserve"> q,</w:t>
            </w:r>
            <w:r w:rsidR="000C051B">
              <w:rPr>
                <w:i/>
                <w:vertAlign w:val="subscript"/>
              </w:rPr>
              <w:t xml:space="preserve"> </w:t>
            </w:r>
            <w:r>
              <w:rPr>
                <w:i/>
                <w:vertAlign w:val="subscript"/>
              </w:rPr>
              <w:t xml:space="preserve">r  </w:t>
            </w:r>
            <w:r>
              <w:t xml:space="preserve"> =  </w:t>
            </w:r>
            <w:r w:rsidR="00936E32">
              <w:rPr>
                <w:position w:val="-22"/>
              </w:rPr>
              <w:object w:dxaOrig="285" w:dyaOrig="285" w14:anchorId="6A9103F2">
                <v:shape id="_x0000_i1417" type="#_x0000_t75" style="width:24pt;height:24pt" o:ole="">
                  <v:imagedata r:id="rId22" o:title=""/>
                </v:shape>
                <o:OLEObject Type="Embed" ProgID="Equation.3" ShapeID="_x0000_i1417" DrawAspect="Content" ObjectID="_1804653900" r:id="rId509"/>
              </w:object>
            </w:r>
            <w:r>
              <w:t xml:space="preserve"> (RNWF </w:t>
            </w:r>
            <w:r>
              <w:rPr>
                <w:i/>
                <w:vertAlign w:val="subscript"/>
              </w:rPr>
              <w:t>y</w:t>
            </w:r>
            <w:r>
              <w:rPr>
                <w:vertAlign w:val="subscript"/>
              </w:rPr>
              <w:t xml:space="preserve"> </w:t>
            </w:r>
            <w:r>
              <w:t>* RTECRAWDS</w:t>
            </w:r>
            <w:r>
              <w:rPr>
                <w:i/>
                <w:vertAlign w:val="subscript"/>
              </w:rPr>
              <w:t xml:space="preserve"> q, r, y</w:t>
            </w:r>
            <w:r>
              <w:t>)</w:t>
            </w:r>
          </w:p>
          <w:p w14:paraId="55B2B1F6" w14:textId="77777777" w:rsidR="00CC5182" w:rsidRDefault="00CC5182" w:rsidP="00CC5182">
            <w:pPr>
              <w:pStyle w:val="BodyTextNumbered"/>
              <w:ind w:left="0" w:firstLine="720"/>
            </w:pPr>
            <w:r>
              <w:t>Where:</w:t>
            </w:r>
          </w:p>
          <w:p w14:paraId="43620900" w14:textId="6DBC73A8" w:rsidR="00CC5182" w:rsidRDefault="00CC5182" w:rsidP="00CC5182">
            <w:pPr>
              <w:pStyle w:val="NoSpacing"/>
              <w:ind w:left="1440" w:hanging="720"/>
            </w:pPr>
            <w:r>
              <w:t>ECRRWF</w:t>
            </w:r>
            <w:r>
              <w:rPr>
                <w:i/>
                <w:vertAlign w:val="subscript"/>
              </w:rPr>
              <w:t xml:space="preserve"> q, r, y</w:t>
            </w:r>
            <w:r>
              <w:rPr>
                <w:vertAlign w:val="subscript"/>
              </w:rPr>
              <w:t xml:space="preserve"> </w:t>
            </w:r>
            <w:r>
              <w:t xml:space="preserve"> =    [max(0.001, RTECRAWDS</w:t>
            </w:r>
            <w:r>
              <w:rPr>
                <w:i/>
                <w:vertAlign w:val="subscript"/>
              </w:rPr>
              <w:t xml:space="preserve"> q, r, y</w:t>
            </w:r>
            <w:r>
              <w:t>) * TLMP</w:t>
            </w:r>
            <w:r>
              <w:rPr>
                <w:i/>
                <w:vertAlign w:val="subscript"/>
              </w:rPr>
              <w:t xml:space="preserve"> y</w:t>
            </w:r>
            <w:r>
              <w:t>] / [</w:t>
            </w:r>
            <w:r w:rsidR="00221A13">
              <w:rPr>
                <w:b/>
                <w:position w:val="-22"/>
              </w:rPr>
              <w:object w:dxaOrig="285" w:dyaOrig="285" w14:anchorId="58513C05">
                <v:shape id="_x0000_i1418" type="#_x0000_t75" style="width:24pt;height:24pt" o:ole="">
                  <v:imagedata r:id="rId22" o:title=""/>
                </v:shape>
                <o:OLEObject Type="Embed" ProgID="Equation.3" ShapeID="_x0000_i1418" DrawAspect="Content" ObjectID="_1804653901" r:id="rId510"/>
              </w:object>
            </w:r>
            <w:r>
              <w:t>max(0.001,</w:t>
            </w:r>
          </w:p>
          <w:p w14:paraId="23002EA7" w14:textId="71ADEFBC" w:rsidR="00CC5182" w:rsidRDefault="00CC5182" w:rsidP="00CC5182">
            <w:pPr>
              <w:pStyle w:val="NoSpacing"/>
              <w:spacing w:after="240"/>
              <w:ind w:left="2160" w:firstLine="720"/>
            </w:pPr>
            <w:r>
              <w:t>RTECRAWDS</w:t>
            </w:r>
            <w:r>
              <w:rPr>
                <w:i/>
                <w:vertAlign w:val="subscript"/>
              </w:rPr>
              <w:t xml:space="preserve"> q, r, y</w:t>
            </w:r>
            <w:r>
              <w:t>) * TLMP</w:t>
            </w:r>
            <w:r>
              <w:rPr>
                <w:i/>
                <w:vertAlign w:val="subscript"/>
              </w:rPr>
              <w:t xml:space="preserve"> y</w:t>
            </w:r>
            <w:r>
              <w:t>]</w:t>
            </w:r>
            <w:r>
              <w:rPr>
                <w:vertAlign w:val="subscript"/>
              </w:rPr>
              <w:t xml:space="preserve"> </w:t>
            </w:r>
          </w:p>
          <w:p w14:paraId="590A747D" w14:textId="77777777" w:rsidR="00CC5182" w:rsidRDefault="00CC5182" w:rsidP="00CC5182">
            <w:pPr>
              <w:pStyle w:val="NoSpacing"/>
              <w:spacing w:after="240"/>
              <w:ind w:left="1440" w:hanging="720"/>
            </w:pPr>
            <w:r>
              <w:t>And:</w:t>
            </w:r>
          </w:p>
          <w:p w14:paraId="0123C59E" w14:textId="7A9E0F5E" w:rsidR="00CC5182" w:rsidRDefault="00CC5182" w:rsidP="00CC5182">
            <w:pPr>
              <w:spacing w:after="240"/>
              <w:ind w:left="1440" w:hanging="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3F78753E">
                <v:shape id="_x0000_i1419" type="#_x0000_t75" style="width:24pt;height:24pt" o:ole="">
                  <v:imagedata r:id="rId22" o:title=""/>
                </v:shape>
                <o:OLEObject Type="Embed" ProgID="Equation.3" ShapeID="_x0000_i1419" DrawAspect="Content" ObjectID="_1804653902" r:id="rId511"/>
              </w:object>
            </w:r>
            <w:r>
              <w:t xml:space="preserve">TLMP </w:t>
            </w:r>
            <w:r>
              <w:rPr>
                <w:i/>
                <w:vertAlign w:val="subscript"/>
              </w:rPr>
              <w:t>y</w:t>
            </w:r>
          </w:p>
          <w:p w14:paraId="5460E895"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62F7DE16"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4C78016"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48996C6"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D69E80B" w14:textId="77777777" w:rsidR="00CC5182" w:rsidRDefault="00CC5182" w:rsidP="00CC5182">
                  <w:pPr>
                    <w:pStyle w:val="TableHead"/>
                  </w:pPr>
                  <w:r>
                    <w:t>Description</w:t>
                  </w:r>
                </w:p>
              </w:tc>
            </w:tr>
            <w:tr w:rsidR="00CC5182" w14:paraId="445F6B0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A0FE801" w14:textId="77777777" w:rsidR="00CC5182" w:rsidRDefault="00CC5182" w:rsidP="00CC5182">
                  <w:pPr>
                    <w:pStyle w:val="tablebody0"/>
                  </w:pPr>
                  <w:r>
                    <w:t xml:space="preserve">RTECRIMBAMT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F444B6D"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A0E5F00" w14:textId="38D2FB4E" w:rsidR="00CC5182" w:rsidRDefault="00CC5182" w:rsidP="00CC5182">
                  <w:pPr>
                    <w:pStyle w:val="tablebody0"/>
                    <w:rPr>
                      <w:i/>
                    </w:rPr>
                  </w:pPr>
                  <w:r>
                    <w:rPr>
                      <w:i/>
                    </w:rPr>
                    <w:t>Real-Time ERCOT Contingency Reserve Service Imbalance Amount for the QSE—</w:t>
                  </w:r>
                  <w:r>
                    <w:t xml:space="preserve">The total payment or charge to QSE </w:t>
                  </w:r>
                  <w:r w:rsidRPr="00221A13">
                    <w:rPr>
                      <w:i/>
                    </w:rPr>
                    <w:t>q</w:t>
                  </w:r>
                  <w:r>
                    <w:t xml:space="preserve"> for the Real-Time ECRS imbalance for each 15-minute Settlement Interval.</w:t>
                  </w:r>
                </w:p>
              </w:tc>
            </w:tr>
            <w:tr w:rsidR="00CC5182" w14:paraId="63A89BF7"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B98BD56" w14:textId="16D40808" w:rsidR="00CC5182" w:rsidRDefault="00CC5182" w:rsidP="00CC5182">
                  <w:pPr>
                    <w:pStyle w:val="tablebody0"/>
                  </w:pPr>
                  <w:r>
                    <w:t xml:space="preserve">RTECRAWD </w:t>
                  </w:r>
                  <w:r>
                    <w:rPr>
                      <w:vertAlign w:val="subscript"/>
                    </w:rPr>
                    <w:t>q,</w:t>
                  </w:r>
                  <w:r w:rsidR="00E74F4F">
                    <w:rPr>
                      <w:vertAlign w:val="subscript"/>
                    </w:rPr>
                    <w:t xml:space="preserve"> </w:t>
                  </w:r>
                  <w:r>
                    <w:rPr>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4DA45A0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51E3A20" w14:textId="6FBE8F5D" w:rsidR="00CC5182" w:rsidRDefault="00CC5182" w:rsidP="00CC5182">
                  <w:pPr>
                    <w:pStyle w:val="tablebody0"/>
                    <w:rPr>
                      <w:i/>
                    </w:rPr>
                  </w:pPr>
                  <w:r>
                    <w:rPr>
                      <w:i/>
                    </w:rPr>
                    <w:t>Real-Time ERCOT Contingency Reserve Service Award per Resource per QSE</w:t>
                  </w:r>
                  <w:r>
                    <w:sym w:font="Symbol" w:char="F0BE"/>
                  </w:r>
                  <w:r>
                    <w:t xml:space="preserve">The ECRS amount awarded to QSE </w:t>
                  </w:r>
                  <w:r>
                    <w:rPr>
                      <w:i/>
                    </w:rPr>
                    <w:t>q</w:t>
                  </w:r>
                  <w:r>
                    <w:t xml:space="preserve"> for Resource </w:t>
                  </w:r>
                  <w:r>
                    <w:rPr>
                      <w:i/>
                    </w:rPr>
                    <w:t>r</w:t>
                  </w:r>
                  <w:r>
                    <w:t xml:space="preserve"> in Real-Time for the 15-minute Settlement Interval.  Where for a Combined Cycle Train, the Resource </w:t>
                  </w:r>
                  <w:r>
                    <w:rPr>
                      <w:i/>
                    </w:rPr>
                    <w:t>r</w:t>
                  </w:r>
                  <w:r>
                    <w:t xml:space="preserve"> is a Combined Cycle Generation Resource within the Combined Cycle Train.</w:t>
                  </w:r>
                </w:p>
              </w:tc>
            </w:tr>
            <w:tr w:rsidR="00CC5182" w14:paraId="30AE376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74315D" w14:textId="77777777" w:rsidR="00CC5182" w:rsidRDefault="00CC5182" w:rsidP="00CC5182">
                  <w:pPr>
                    <w:pStyle w:val="tablebody0"/>
                  </w:pPr>
                  <w:r>
                    <w:t xml:space="preserve">RTECRREV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296A66F"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87BCE83" w14:textId="7C8EDC2A" w:rsidR="00CC5182" w:rsidRDefault="00CC5182" w:rsidP="00CC5182">
                  <w:pPr>
                    <w:pStyle w:val="tablebody0"/>
                    <w:rPr>
                      <w:i/>
                    </w:rPr>
                  </w:pPr>
                  <w:r>
                    <w:rPr>
                      <w:i/>
                    </w:rPr>
                    <w:t>Real-Time ERCOT Contingency Reserve Service Revenue</w:t>
                  </w:r>
                  <w:r>
                    <w:t xml:space="preserve">—The Real-Time ECRS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CC5182" w14:paraId="3A241E76"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6914783" w14:textId="0FA1415B" w:rsidR="00CC5182" w:rsidRDefault="00CC5182" w:rsidP="00CC5182">
                  <w:pPr>
                    <w:pStyle w:val="tablebody0"/>
                  </w:pPr>
                  <w:r>
                    <w:t xml:space="preserve">RTECRAWDS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2E712A2F"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6C0C63" w14:textId="45459330" w:rsidR="00CC5182" w:rsidRDefault="00CC5182" w:rsidP="00CC5182">
                  <w:pPr>
                    <w:pStyle w:val="tablebody0"/>
                    <w:rPr>
                      <w:i/>
                    </w:rPr>
                  </w:pPr>
                  <w:r>
                    <w:rPr>
                      <w:i/>
                    </w:rPr>
                    <w:t>Real-Time ERCOT Contingency Reserve Service Award per Resource per QSE per SCED interval</w:t>
                  </w:r>
                  <w:r w:rsidR="00E74F4F" w:rsidRPr="00A552C3">
                    <w:rPr>
                      <w:iCs/>
                    </w:rPr>
                    <w:t>—</w:t>
                  </w:r>
                  <w:r>
                    <w:t xml:space="preserve">The ECRS amount awarded to QSE </w:t>
                  </w:r>
                  <w:r>
                    <w:rPr>
                      <w:i/>
                    </w:rPr>
                    <w:t>q</w:t>
                  </w:r>
                  <w:r>
                    <w:t xml:space="preserve"> for Resource </w:t>
                  </w:r>
                  <w:r>
                    <w:rPr>
                      <w:i/>
                    </w:rPr>
                    <w:t>r</w:t>
                  </w:r>
                  <w:r>
                    <w:t xml:space="preserve"> in Real-Time for the SCED interval </w:t>
                  </w:r>
                  <w:r>
                    <w:rPr>
                      <w:i/>
                    </w:rPr>
                    <w:t>y.</w:t>
                  </w:r>
                  <w:r>
                    <w:t xml:space="preserve"> </w:t>
                  </w:r>
                  <w:r w:rsidR="00221A13">
                    <w:t xml:space="preserve"> </w:t>
                  </w:r>
                  <w:r>
                    <w:t xml:space="preserve">Where for a Combined Cycle Train, the Resource </w:t>
                  </w:r>
                  <w:r w:rsidRPr="00221A13">
                    <w:rPr>
                      <w:i/>
                    </w:rPr>
                    <w:t>r</w:t>
                  </w:r>
                  <w:r>
                    <w:t xml:space="preserve"> is the Combined Cycle Train.</w:t>
                  </w:r>
                </w:p>
              </w:tc>
            </w:tr>
            <w:tr w:rsidR="00CC5182" w14:paraId="3BB34EC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6B16F4F" w14:textId="77777777" w:rsidR="00CC5182" w:rsidRDefault="00CC5182" w:rsidP="00CC5182">
                  <w:pPr>
                    <w:pStyle w:val="tablebody0"/>
                  </w:pPr>
                  <w:r>
                    <w:lastRenderedPageBreak/>
                    <w:t xml:space="preserve">RTMCPCECRR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007E66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A1E691D" w14:textId="36834BC5" w:rsidR="00CC5182" w:rsidRDefault="00CC5182" w:rsidP="00CC5182">
                  <w:pPr>
                    <w:pStyle w:val="tablebody0"/>
                    <w:rPr>
                      <w:iCs/>
                    </w:rPr>
                  </w:pPr>
                  <w:r>
                    <w:rPr>
                      <w:i/>
                    </w:rPr>
                    <w:t>Real-Time Market Clearing Price for Capacity for ERCOT Contingency Reserve Service per Resource per QSE</w:t>
                  </w:r>
                  <w:r>
                    <w:sym w:font="Symbol" w:char="F0BE"/>
                  </w:r>
                  <w:r>
                    <w:t xml:space="preserve">The Real-Time MCPC for ECRS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CC5182" w14:paraId="27A584A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E13E6B" w14:textId="77777777" w:rsidR="00CC5182" w:rsidRDefault="00CC5182" w:rsidP="00CC5182">
                  <w:pPr>
                    <w:pStyle w:val="tablebody0"/>
                  </w:pPr>
                  <w:r>
                    <w:t>RTMCPCECRS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242475D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5C8E929" w14:textId="73497660"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per SCED Interval</w:t>
                  </w:r>
                  <w:r>
                    <w:t xml:space="preserve">—The Real-Time MCPC for ECRS for the SCED interval </w:t>
                  </w:r>
                  <w:r>
                    <w:rPr>
                      <w:i/>
                    </w:rPr>
                    <w:t>y.</w:t>
                  </w:r>
                </w:p>
              </w:tc>
            </w:tr>
            <w:tr w:rsidR="00CC5182" w14:paraId="5A327D0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DE4AA4" w14:textId="77777777" w:rsidR="00CC5182" w:rsidRDefault="00CC5182" w:rsidP="00CC5182">
                  <w:pPr>
                    <w:pStyle w:val="tablebody0"/>
                  </w:pPr>
                  <w:r>
                    <w:rPr>
                      <w:iCs/>
                    </w:rPr>
                    <w:t xml:space="preserve">PCECRR </w:t>
                  </w:r>
                  <w:r>
                    <w:rPr>
                      <w:i/>
                      <w:iCs/>
                      <w:vertAlign w:val="subscript"/>
                    </w:rPr>
                    <w:t>r,</w:t>
                  </w:r>
                  <w:r>
                    <w:rPr>
                      <w:i/>
                      <w:iCs/>
                    </w:rPr>
                    <w:t xml:space="preserve"> </w:t>
                  </w:r>
                  <w:r>
                    <w:rPr>
                      <w:i/>
                      <w:iCs/>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1E23EDB"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F924A1F" w14:textId="77777777" w:rsidR="00CC5182" w:rsidRDefault="00CC5182" w:rsidP="00CC5182">
                  <w:pPr>
                    <w:pStyle w:val="tablebody0"/>
                    <w:rPr>
                      <w:i/>
                    </w:rPr>
                  </w:pPr>
                  <w:r>
                    <w:rPr>
                      <w:i/>
                      <w:iCs/>
                    </w:rPr>
                    <w:t>Procured Capacity for ERCOT Contingency Reserve Service per Resource per QSE in DAM</w:t>
                  </w:r>
                  <w:r>
                    <w:rPr>
                      <w:iCs/>
                    </w:rPr>
                    <w:t xml:space="preserve">—The ECRS capacity awarded to QSE </w:t>
                  </w:r>
                  <w:r>
                    <w:rPr>
                      <w:i/>
                      <w:iCs/>
                    </w:rPr>
                    <w:t>q</w:t>
                  </w:r>
                  <w:r>
                    <w:rPr>
                      <w:iCs/>
                    </w:rPr>
                    <w:t xml:space="preserve"> in the DAM for Resource </w:t>
                  </w:r>
                  <w:r>
                    <w:rPr>
                      <w:i/>
                      <w:iCs/>
                    </w:rPr>
                    <w:t>r</w:t>
                  </w:r>
                  <w:r>
                    <w:rPr>
                      <w:iCs/>
                    </w:rPr>
                    <w:t xml:space="preserve"> for the </w:t>
                  </w:r>
                  <w:r>
                    <w:rPr>
                      <w:szCs w:val="18"/>
                    </w:rPr>
                    <w:t>Operating Hour</w:t>
                  </w:r>
                  <w:r>
                    <w:rPr>
                      <w:iCs/>
                    </w:rPr>
                    <w:t xml:space="preserve">.  Where for a Combined Cycle Train, the Resource </w:t>
                  </w:r>
                  <w:r>
                    <w:rPr>
                      <w:i/>
                      <w:iCs/>
                    </w:rPr>
                    <w:t xml:space="preserve">r </w:t>
                  </w:r>
                  <w:r>
                    <w:rPr>
                      <w:iCs/>
                    </w:rPr>
                    <w:t>is a Combined Cycle Generation Resource within the Combined Cycle Train.</w:t>
                  </w:r>
                </w:p>
              </w:tc>
            </w:tr>
            <w:tr w:rsidR="00CC5182" w14:paraId="5120D7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DF423E1"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7A1145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3A44CBE" w14:textId="4C0DF5A4" w:rsidR="00CC5182" w:rsidRDefault="00CC5182" w:rsidP="00CC5182">
                  <w:pPr>
                    <w:pStyle w:val="tablebody0"/>
                    <w:rPr>
                      <w:i/>
                    </w:rPr>
                  </w:pPr>
                  <w:r>
                    <w:rPr>
                      <w:i/>
                    </w:rPr>
                    <w:t>Real-Time Market Clearing Price for Capacity for ERCOT Contingency Reserve Service</w:t>
                  </w:r>
                  <w:r>
                    <w:t>—The Real-Time MCPC for ECRS for the 15-minute Settlement Interval.</w:t>
                  </w:r>
                </w:p>
              </w:tc>
            </w:tr>
            <w:tr w:rsidR="00CC5182" w14:paraId="17B04F9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73FD4E0C" w14:textId="77777777" w:rsidR="00CC5182" w:rsidRDefault="00CC5182" w:rsidP="00CC5182">
                  <w:pPr>
                    <w:pStyle w:val="tablebody0"/>
                  </w:pPr>
                  <w:r>
                    <w:t xml:space="preserve">RTRDPAECRS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57A80749"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2C6F22" w14:textId="4E956D25" w:rsidR="00CC5182" w:rsidRDefault="00CC5182" w:rsidP="00CC5182">
                  <w:pPr>
                    <w:pStyle w:val="tablebody0"/>
                    <w:rPr>
                      <w:i/>
                    </w:rPr>
                  </w:pPr>
                  <w:r>
                    <w:rPr>
                      <w:i/>
                    </w:rPr>
                    <w:t>Real-Time Reliability Deployment Price Adder for Ancillary Service for ERCOT Contingency Reserve Service per SCED interval</w:t>
                  </w:r>
                  <w:r w:rsidR="002341C4" w:rsidRPr="00A552C3">
                    <w:rPr>
                      <w:iCs/>
                    </w:rPr>
                    <w:t>—</w:t>
                  </w:r>
                  <w:r>
                    <w:t xml:space="preserve">The Real-Time price adder for ECRS that captures the impact of reliability deployments on ECRS prices for the SCED interval </w:t>
                  </w:r>
                  <w:r>
                    <w:rPr>
                      <w:i/>
                    </w:rPr>
                    <w:t>y</w:t>
                  </w:r>
                  <w:r>
                    <w:t xml:space="preserve">. </w:t>
                  </w:r>
                </w:p>
              </w:tc>
            </w:tr>
            <w:tr w:rsidR="00CC5182" w14:paraId="530872F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1EAC87F" w14:textId="77777777" w:rsidR="00CC5182" w:rsidRDefault="00CC5182" w:rsidP="00CC5182">
                  <w:pPr>
                    <w:pStyle w:val="tablebody0"/>
                  </w:pPr>
                  <w:r>
                    <w:t>DASAECRQ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71A8C27"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07F69BE" w14:textId="77777777" w:rsidR="00CC5182" w:rsidRDefault="00CC5182" w:rsidP="00CC5182">
                  <w:pPr>
                    <w:pStyle w:val="tablebody0"/>
                    <w:rPr>
                      <w:i/>
                    </w:rPr>
                  </w:pPr>
                  <w:r>
                    <w:rPr>
                      <w:i/>
                      <w:iCs/>
                    </w:rPr>
                    <w:t>Day-Ahead Self-Arranged ERCOT Contingency Reserve Service Quantity per QSE</w:t>
                  </w:r>
                  <w:r>
                    <w:rPr>
                      <w:iCs/>
                    </w:rPr>
                    <w:t xml:space="preserve">—The self-arranged ECRS quantity submitted by QSE </w:t>
                  </w:r>
                  <w:r>
                    <w:rPr>
                      <w:i/>
                      <w:iCs/>
                    </w:rPr>
                    <w:t>q</w:t>
                  </w:r>
                  <w:r>
                    <w:rPr>
                      <w:iCs/>
                    </w:rPr>
                    <w:t xml:space="preserve"> before 1000 in the DAM for the Operating Hour.</w:t>
                  </w:r>
                </w:p>
              </w:tc>
            </w:tr>
            <w:tr w:rsidR="00CC5182" w14:paraId="45C1662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630535E" w14:textId="77777777" w:rsidR="00CC5182" w:rsidRDefault="00CC5182" w:rsidP="00CC5182">
                  <w:pPr>
                    <w:pStyle w:val="tablebody0"/>
                  </w:pPr>
                  <w:r>
                    <w:t xml:space="preserve">ECRTP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FAEF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C2DDBC" w14:textId="5588F2BE" w:rsidR="00CC5182" w:rsidRDefault="00CC5182" w:rsidP="00CC5182">
                  <w:pPr>
                    <w:pStyle w:val="tablebody0"/>
                    <w:rPr>
                      <w:i/>
                    </w:rPr>
                  </w:pPr>
                  <w:r>
                    <w:rPr>
                      <w:i/>
                    </w:rPr>
                    <w:t>Trade Purchases for ERCOT Contingency Reserve Service for the QSE—</w:t>
                  </w:r>
                  <w:r>
                    <w:t xml:space="preserve">The trade purchases for QSE </w:t>
                  </w:r>
                  <w:r>
                    <w:rPr>
                      <w:i/>
                    </w:rPr>
                    <w:t>q</w:t>
                  </w:r>
                  <w:r>
                    <w:t xml:space="preserve"> for ECRS for the </w:t>
                  </w:r>
                  <w:r>
                    <w:rPr>
                      <w:szCs w:val="18"/>
                    </w:rPr>
                    <w:t>Operating Hour</w:t>
                  </w:r>
                  <w:r>
                    <w:t>.</w:t>
                  </w:r>
                </w:p>
              </w:tc>
            </w:tr>
            <w:tr w:rsidR="00CC5182" w14:paraId="0ABF458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7783BAF" w14:textId="77777777" w:rsidR="00CC5182" w:rsidRDefault="00CC5182" w:rsidP="00CC5182">
                  <w:pPr>
                    <w:pStyle w:val="tablebody0"/>
                  </w:pPr>
                  <w:r>
                    <w:t xml:space="preserve">ECRTS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A9682CA"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B244D89" w14:textId="01D535C0" w:rsidR="00CC5182" w:rsidRDefault="00CC5182" w:rsidP="00CC5182">
                  <w:pPr>
                    <w:pStyle w:val="tablebody0"/>
                    <w:rPr>
                      <w:i/>
                    </w:rPr>
                  </w:pPr>
                  <w:r>
                    <w:rPr>
                      <w:i/>
                    </w:rPr>
                    <w:t>Trade Sales for ERCOT Contingency Reserve Service for the QSE—</w:t>
                  </w:r>
                  <w:r>
                    <w:t xml:space="preserve">The trade sales for QSE </w:t>
                  </w:r>
                  <w:r>
                    <w:rPr>
                      <w:i/>
                    </w:rPr>
                    <w:t>q</w:t>
                  </w:r>
                  <w:r>
                    <w:t xml:space="preserve"> for ECRS for the </w:t>
                  </w:r>
                  <w:r>
                    <w:rPr>
                      <w:szCs w:val="18"/>
                    </w:rPr>
                    <w:t>Operating Hour</w:t>
                  </w:r>
                  <w:r>
                    <w:t>.</w:t>
                  </w:r>
                </w:p>
              </w:tc>
            </w:tr>
            <w:tr w:rsidR="00CC5182" w14:paraId="5EF5A55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6DC28AF" w14:textId="77777777" w:rsidR="00CC5182" w:rsidRDefault="00CC5182" w:rsidP="00CC5182">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711A215" w14:textId="77777777" w:rsidR="00CC5182" w:rsidRDefault="00CC5182" w:rsidP="00CC5182">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6A83D7AB" w14:textId="63E41125" w:rsidR="00CC5182" w:rsidRDefault="00CC5182" w:rsidP="00CC5182">
                  <w:pPr>
                    <w:pStyle w:val="tablebody0"/>
                    <w:rPr>
                      <w:i/>
                    </w:rPr>
                  </w:pPr>
                  <w:r>
                    <w:rPr>
                      <w:i/>
                      <w:iCs/>
                    </w:rPr>
                    <w:t xml:space="preserve">Duration of </w:t>
                  </w:r>
                  <w:r>
                    <w:rPr>
                      <w:i/>
                    </w:rPr>
                    <w:t>SCED</w:t>
                  </w:r>
                  <w:r>
                    <w:rPr>
                      <w:i/>
                      <w:iCs/>
                    </w:rPr>
                    <w:t xml:space="preserve"> interval per interval</w:t>
                  </w:r>
                  <w:r w:rsidR="00F63473" w:rsidRPr="00A552C3">
                    <w:rPr>
                      <w:iCs/>
                    </w:rPr>
                    <w:t>—</w:t>
                  </w:r>
                  <w:r>
                    <w:t xml:space="preserve">The duration of the SCED interval </w:t>
                  </w:r>
                  <w:r>
                    <w:rPr>
                      <w:i/>
                      <w:iCs/>
                    </w:rPr>
                    <w:t>y</w:t>
                  </w:r>
                  <w:r>
                    <w:t>.</w:t>
                  </w:r>
                </w:p>
              </w:tc>
            </w:tr>
            <w:tr w:rsidR="00CC5182" w14:paraId="4B1A236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0D5F6B8" w14:textId="77777777" w:rsidR="00CC5182" w:rsidRDefault="00CC5182" w:rsidP="00CC5182">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B66B61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E63F0D0" w14:textId="2D5CC273" w:rsidR="00CC5182" w:rsidRDefault="00CC5182" w:rsidP="00CC5182">
                  <w:pPr>
                    <w:pStyle w:val="tablebody0"/>
                    <w:rPr>
                      <w:i/>
                    </w:rPr>
                  </w:pPr>
                  <w:r>
                    <w:rPr>
                      <w:i/>
                    </w:rPr>
                    <w:t>Resource Node Weighting Factor per interval</w:t>
                  </w:r>
                  <w:r w:rsidR="00F63473" w:rsidRPr="00A552C3">
                    <w:rPr>
                      <w:iCs/>
                    </w:rPr>
                    <w:t>—</w:t>
                  </w:r>
                  <w:r>
                    <w:t xml:space="preserve">The weight used in the Ancillary Service award calculation for the portion of the SCED interval </w:t>
                  </w:r>
                  <w:r w:rsidRPr="00233C78">
                    <w:rPr>
                      <w:i/>
                    </w:rPr>
                    <w:t>y</w:t>
                  </w:r>
                  <w:r>
                    <w:t xml:space="preserve"> within the Settlement Interval.</w:t>
                  </w:r>
                </w:p>
              </w:tc>
            </w:tr>
            <w:tr w:rsidR="00CC5182" w14:paraId="4DCC703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44CDA121" w14:textId="5A9C7697" w:rsidR="00CC5182" w:rsidRDefault="00CC5182" w:rsidP="00CC5182">
                  <w:pPr>
                    <w:pStyle w:val="tablebody0"/>
                  </w:pPr>
                  <w:r>
                    <w:t xml:space="preserve">ECRRWF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1FAB3FF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C28DF4" w14:textId="6EA7AE21" w:rsidR="00CC5182" w:rsidRDefault="00CC5182" w:rsidP="00CC5182">
                  <w:pPr>
                    <w:pStyle w:val="tablebody0"/>
                    <w:rPr>
                      <w:i/>
                    </w:rPr>
                  </w:pPr>
                  <w:r>
                    <w:rPr>
                      <w:i/>
                    </w:rPr>
                    <w:t>ERCOT Contingency Reserve Service Resource Node Weighting Factor per interval</w:t>
                  </w:r>
                  <w:r w:rsidR="00F63473" w:rsidRPr="00A552C3">
                    <w:rPr>
                      <w:iCs/>
                    </w:rPr>
                    <w:t>—</w:t>
                  </w:r>
                  <w:r>
                    <w:t xml:space="preserve">The ECRS Resource weight, based on ECRS awards, used in the Real-Time MCPC calculation for the portion of the SCED interval </w:t>
                  </w:r>
                  <w:r w:rsidRPr="00233C78">
                    <w:rPr>
                      <w:i/>
                    </w:rPr>
                    <w:t>y</w:t>
                  </w:r>
                  <w:r>
                    <w:t xml:space="preserve"> within the Settlement Interval. </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CC5182" w14:paraId="794CD2B8"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36FA4FD1" w14:textId="77777777" w:rsidR="00CC5182" w:rsidRDefault="00CC5182" w:rsidP="00CC5182">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3BD4CA3C"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D5F3A4F" w14:textId="77777777" w:rsidR="00CC5182" w:rsidRDefault="00CC5182" w:rsidP="00CC5182">
                  <w:pPr>
                    <w:pStyle w:val="tablebody0"/>
                    <w:rPr>
                      <w:i/>
                    </w:rPr>
                  </w:pPr>
                  <w:r>
                    <w:t>A Resource.</w:t>
                  </w:r>
                </w:p>
              </w:tc>
            </w:tr>
            <w:tr w:rsidR="00CC5182" w14:paraId="19CD192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3CDDF3"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11B658E"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313CDDB" w14:textId="77777777" w:rsidR="00CC5182" w:rsidRDefault="00CC5182" w:rsidP="00CC5182">
                  <w:pPr>
                    <w:pStyle w:val="tablebody0"/>
                  </w:pPr>
                  <w:r>
                    <w:t>A QSE.</w:t>
                  </w:r>
                </w:p>
              </w:tc>
            </w:tr>
            <w:tr w:rsidR="00CC5182" w14:paraId="27F8BE7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C4B021F" w14:textId="77777777" w:rsidR="00CC5182" w:rsidRDefault="00CC5182" w:rsidP="00CC5182">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149D635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4F9A340" w14:textId="77777777" w:rsidR="00CC5182" w:rsidRDefault="00CC5182" w:rsidP="00CC5182">
                  <w:pPr>
                    <w:pStyle w:val="tablebody0"/>
                  </w:pPr>
                  <w:r>
                    <w:t>A SCED interval in the 15-minute Settlement Interval.</w:t>
                  </w:r>
                </w:p>
              </w:tc>
            </w:tr>
          </w:tbl>
          <w:p w14:paraId="2D5729EF" w14:textId="31D028A4" w:rsidR="00CC5182" w:rsidRDefault="00CC5182" w:rsidP="00CC5182">
            <w:pPr>
              <w:spacing w:before="240" w:after="240"/>
            </w:pPr>
            <w:r>
              <w:t>(2)</w:t>
            </w:r>
            <w:r>
              <w:tab/>
              <w:t>ECRS Only Charge:</w:t>
            </w:r>
          </w:p>
          <w:p w14:paraId="03F08062" w14:textId="77777777" w:rsidR="00CC5182" w:rsidRDefault="00CC5182" w:rsidP="00CC5182">
            <w:pPr>
              <w:pStyle w:val="FormulaBold"/>
            </w:pPr>
            <w:r>
              <w:t>RTECROAMT</w:t>
            </w:r>
            <w:r>
              <w:rPr>
                <w:i/>
                <w:vertAlign w:val="subscript"/>
              </w:rPr>
              <w:t xml:space="preserve"> q  </w:t>
            </w:r>
            <w:r>
              <w:t xml:space="preserve">= </w:t>
            </w:r>
            <w:r>
              <w:tab/>
              <w:t xml:space="preserve">(1/4) * DAECROAWD </w:t>
            </w:r>
            <w:r>
              <w:rPr>
                <w:i/>
                <w:vertAlign w:val="subscript"/>
              </w:rPr>
              <w:t>q</w:t>
            </w:r>
            <w:r>
              <w:t xml:space="preserve"> * RTMCPCECR</w:t>
            </w:r>
          </w:p>
          <w:p w14:paraId="3C79D8D0"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4AA07C79"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97F79A8" w14:textId="77777777" w:rsidR="00CC5182" w:rsidRDefault="00CC5182" w:rsidP="00CC5182">
                  <w:pPr>
                    <w:pStyle w:val="TableHead"/>
                  </w:pPr>
                  <w:r>
                    <w:lastRenderedPageBreak/>
                    <w:t>Variable</w:t>
                  </w:r>
                </w:p>
              </w:tc>
              <w:tc>
                <w:tcPr>
                  <w:tcW w:w="623" w:type="pct"/>
                  <w:tcBorders>
                    <w:top w:val="single" w:sz="4" w:space="0" w:color="auto"/>
                    <w:left w:val="single" w:sz="4" w:space="0" w:color="auto"/>
                    <w:bottom w:val="single" w:sz="4" w:space="0" w:color="auto"/>
                    <w:right w:val="single" w:sz="4" w:space="0" w:color="auto"/>
                  </w:tcBorders>
                  <w:hideMark/>
                </w:tcPr>
                <w:p w14:paraId="1A6AF08F"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39B5F37" w14:textId="77777777" w:rsidR="00CC5182" w:rsidRDefault="00CC5182" w:rsidP="00CC5182">
                  <w:pPr>
                    <w:pStyle w:val="TableHead"/>
                  </w:pPr>
                  <w:r>
                    <w:t>Description</w:t>
                  </w:r>
                </w:p>
              </w:tc>
            </w:tr>
            <w:tr w:rsidR="00CC5182" w14:paraId="228879B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9D41057" w14:textId="77777777" w:rsidR="00CC5182" w:rsidRDefault="00CC5182" w:rsidP="00CC5182">
                  <w:pPr>
                    <w:pStyle w:val="tablebody0"/>
                  </w:pPr>
                  <w:r>
                    <w:t xml:space="preserve">RTECROAMT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83A00A"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F9F6F94" w14:textId="19B3F0C6" w:rsidR="00CC5182" w:rsidRDefault="00CC5182" w:rsidP="00CC5182">
                  <w:pPr>
                    <w:pStyle w:val="tablebody0"/>
                    <w:rPr>
                      <w:i/>
                    </w:rPr>
                  </w:pPr>
                  <w:r>
                    <w:rPr>
                      <w:i/>
                    </w:rPr>
                    <w:t>Real-Time ERCOT Contingency Reserve Service Only Amount for the QSE—</w:t>
                  </w:r>
                  <w:r>
                    <w:t xml:space="preserve">The total charge to QSE </w:t>
                  </w:r>
                  <w:r>
                    <w:rPr>
                      <w:i/>
                    </w:rPr>
                    <w:t>q</w:t>
                  </w:r>
                  <w:r>
                    <w:t xml:space="preserve"> in Real-Time for ECRS only awards for each 15-minute Settlement Interval.</w:t>
                  </w:r>
                </w:p>
              </w:tc>
            </w:tr>
            <w:tr w:rsidR="00CC5182" w14:paraId="1C5066C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B1A875" w14:textId="77777777" w:rsidR="00CC5182" w:rsidRDefault="00CC5182" w:rsidP="00CC5182">
                  <w:pPr>
                    <w:pStyle w:val="tablebody0"/>
                  </w:pPr>
                  <w:r>
                    <w:t xml:space="preserve">DAECROAWD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29887F2"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0A3F08F" w14:textId="2728A390" w:rsidR="00CC5182" w:rsidRDefault="00CC5182" w:rsidP="00CC5182">
                  <w:pPr>
                    <w:pStyle w:val="tablebody0"/>
                    <w:rPr>
                      <w:i/>
                    </w:rPr>
                  </w:pPr>
                  <w:r>
                    <w:rPr>
                      <w:i/>
                    </w:rPr>
                    <w:t>Day-Ahead ERCOT Contingency Service Only Award for the QSE</w:t>
                  </w:r>
                  <w:r>
                    <w:sym w:font="Symbol" w:char="F0BE"/>
                  </w:r>
                  <w:r>
                    <w:t xml:space="preserve">The ECRS only capacity awarded in the DAM to the QSE </w:t>
                  </w:r>
                  <w:r>
                    <w:rPr>
                      <w:i/>
                    </w:rPr>
                    <w:t>q</w:t>
                  </w:r>
                  <w:r>
                    <w:t xml:space="preserve"> for the </w:t>
                  </w:r>
                  <w:r>
                    <w:rPr>
                      <w:szCs w:val="18"/>
                    </w:rPr>
                    <w:t>Operating Hour</w:t>
                  </w:r>
                  <w:r>
                    <w:t>.</w:t>
                  </w:r>
                </w:p>
              </w:tc>
            </w:tr>
            <w:tr w:rsidR="00CC5182" w14:paraId="005D961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383E66A"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062B4F98"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9940F3" w14:textId="6D22321E"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w:t>
                  </w:r>
                  <w:r>
                    <w:t>—The Real-Time MCPC for ECRS for the 15-minute Settlement Interval.</w:t>
                  </w:r>
                </w:p>
              </w:tc>
            </w:tr>
            <w:tr w:rsidR="00CC5182" w14:paraId="28870CE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1542589"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430B431"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B7D7F3C" w14:textId="77777777" w:rsidR="00CC5182" w:rsidRDefault="00CC5182" w:rsidP="00CC5182">
                  <w:pPr>
                    <w:pStyle w:val="tablebody0"/>
                  </w:pPr>
                  <w:r>
                    <w:t>A QSE.</w:t>
                  </w:r>
                </w:p>
              </w:tc>
            </w:tr>
          </w:tbl>
          <w:p w14:paraId="60077154" w14:textId="53E98F2D" w:rsidR="00CC5182" w:rsidRDefault="00CC5182" w:rsidP="00CC5182">
            <w:pPr>
              <w:spacing w:before="240" w:after="240"/>
            </w:pPr>
            <w:r>
              <w:t>(3)</w:t>
            </w:r>
            <w:r>
              <w:tab/>
              <w:t>ECRS Trade Overage Charge:</w:t>
            </w:r>
          </w:p>
          <w:p w14:paraId="18939B2E" w14:textId="77777777" w:rsidR="00CC5182" w:rsidRDefault="00CC5182" w:rsidP="00CC5182">
            <w:pPr>
              <w:pStyle w:val="FormulaBold"/>
            </w:pPr>
            <w:r>
              <w:t>RTECRTOAMT</w:t>
            </w:r>
            <w:r>
              <w:rPr>
                <w:i/>
                <w:vertAlign w:val="subscript"/>
              </w:rPr>
              <w:t xml:space="preserve"> q  </w:t>
            </w:r>
            <w:r>
              <w:t xml:space="preserve">= </w:t>
            </w:r>
            <w:r>
              <w:tab/>
              <w:t xml:space="preserve">(1/4) * RTECRTO </w:t>
            </w:r>
            <w:r>
              <w:rPr>
                <w:i/>
                <w:vertAlign w:val="subscript"/>
              </w:rPr>
              <w:t>q</w:t>
            </w:r>
            <w:r>
              <w:t xml:space="preserve"> * RTMCPCRECR</w:t>
            </w:r>
          </w:p>
          <w:p w14:paraId="71B4EA42" w14:textId="77777777" w:rsidR="00CC5182" w:rsidRDefault="00CC5182" w:rsidP="00CC5182">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3A1244E8"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48BC8CF"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1A37727"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71EF7B9" w14:textId="77777777" w:rsidR="00CC5182" w:rsidRDefault="00CC5182" w:rsidP="00CC5182">
                  <w:pPr>
                    <w:pStyle w:val="TableHead"/>
                  </w:pPr>
                  <w:r>
                    <w:t>Description</w:t>
                  </w:r>
                </w:p>
              </w:tc>
            </w:tr>
            <w:tr w:rsidR="00CC5182" w14:paraId="2586377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9EA43CF" w14:textId="77777777" w:rsidR="00CC5182" w:rsidRDefault="00CC5182" w:rsidP="00CC5182">
                  <w:pPr>
                    <w:pStyle w:val="tablebody0"/>
                  </w:pPr>
                  <w:r>
                    <w:t xml:space="preserve">RTECRTOAMT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3839A2"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707E91A" w14:textId="422688F0" w:rsidR="00CC5182" w:rsidRDefault="00CC5182" w:rsidP="00CC5182">
                  <w:pPr>
                    <w:pStyle w:val="tablebody0"/>
                    <w:rPr>
                      <w:i/>
                    </w:rPr>
                  </w:pPr>
                  <w:r>
                    <w:rPr>
                      <w:i/>
                    </w:rPr>
                    <w:t>Real-Time ERCOT Contingency Reserve Service Trade Overage Amount for the QSE</w:t>
                  </w:r>
                  <w:r>
                    <w:t xml:space="preserve">—The total charge to QSE </w:t>
                  </w:r>
                  <w:r>
                    <w:rPr>
                      <w:i/>
                    </w:rPr>
                    <w:t>q</w:t>
                  </w:r>
                  <w:r>
                    <w:t xml:space="preserve"> in Real-Time for ECRS trade overages for each 15-minute Settlement Interval.</w:t>
                  </w:r>
                </w:p>
              </w:tc>
            </w:tr>
            <w:tr w:rsidR="00CC5182" w14:paraId="5F4E76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90B2388" w14:textId="77777777" w:rsidR="00CC5182" w:rsidRDefault="00CC5182" w:rsidP="00CC5182">
                  <w:pPr>
                    <w:pStyle w:val="tablebody0"/>
                  </w:pPr>
                  <w:r>
                    <w:t xml:space="preserve">RTECRTO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D49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00DDFC5" w14:textId="6685DFAD" w:rsidR="00CC5182" w:rsidRDefault="00CC5182" w:rsidP="00CC5182">
                  <w:pPr>
                    <w:pStyle w:val="tablebody0"/>
                  </w:pPr>
                  <w:r>
                    <w:rPr>
                      <w:i/>
                    </w:rPr>
                    <w:t>Real-Time ERCOT Contingency Reserve Service Trade Overage for the QSE</w:t>
                  </w:r>
                  <w:r>
                    <w:sym w:font="Symbol" w:char="F0BE"/>
                  </w:r>
                  <w:r>
                    <w:t xml:space="preserve">The quantity of submitted ECRS trades in excess of their DAM self-arrangement quantity for the QSE </w:t>
                  </w:r>
                  <w:r>
                    <w:rPr>
                      <w:i/>
                    </w:rPr>
                    <w:t>q</w:t>
                  </w:r>
                  <w:r>
                    <w:t xml:space="preserve"> for the </w:t>
                  </w:r>
                  <w:r>
                    <w:rPr>
                      <w:szCs w:val="18"/>
                    </w:rPr>
                    <w:t>Operating Hour</w:t>
                  </w:r>
                  <w:r>
                    <w:t>.</w:t>
                  </w:r>
                </w:p>
              </w:tc>
            </w:tr>
            <w:tr w:rsidR="00CC5182" w14:paraId="3AD9F37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02A1E9C"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4AE526E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116845" w14:textId="46295D20"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w:t>
                  </w:r>
                  <w:r>
                    <w:t>—The Real-Time MCPC for ECRS for the 15-minute Settlement Interval.</w:t>
                  </w:r>
                </w:p>
              </w:tc>
            </w:tr>
            <w:tr w:rsidR="00CC5182" w14:paraId="4C90722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5CD765"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2C0110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D597954" w14:textId="77777777" w:rsidR="00CC5182" w:rsidRDefault="00CC5182" w:rsidP="00CC5182">
                  <w:pPr>
                    <w:pStyle w:val="tablebody0"/>
                  </w:pPr>
                  <w:r>
                    <w:t>A QSE.</w:t>
                  </w:r>
                </w:p>
              </w:tc>
            </w:tr>
          </w:tbl>
          <w:p w14:paraId="33CB06D8" w14:textId="423047EA" w:rsidR="008871B2" w:rsidRPr="008871B2" w:rsidRDefault="008871B2" w:rsidP="001138B9">
            <w:pPr>
              <w:keepNext/>
              <w:tabs>
                <w:tab w:val="left" w:pos="1080"/>
              </w:tabs>
              <w:spacing w:before="480" w:after="240"/>
              <w:outlineLvl w:val="2"/>
              <w:rPr>
                <w:b/>
                <w:bCs/>
                <w:i/>
              </w:rPr>
            </w:pPr>
          </w:p>
        </w:tc>
      </w:tr>
    </w:tbl>
    <w:p w14:paraId="3495657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DF163E1" w14:textId="77777777" w:rsidTr="001138B9">
        <w:trPr>
          <w:trHeight w:val="206"/>
        </w:trPr>
        <w:tc>
          <w:tcPr>
            <w:tcW w:w="9350" w:type="dxa"/>
            <w:shd w:val="pct12" w:color="auto" w:fill="auto"/>
          </w:tcPr>
          <w:p w14:paraId="6261A3B3" w14:textId="029E8127" w:rsidR="008871B2" w:rsidRDefault="008871B2" w:rsidP="001138B9">
            <w:pPr>
              <w:pStyle w:val="Instructions"/>
              <w:spacing w:before="120"/>
            </w:pPr>
            <w:r>
              <w:t>[NPRR1010</w:t>
            </w:r>
            <w:r w:rsidR="00857818">
              <w:t xml:space="preserve"> and NPRR1245</w:t>
            </w:r>
            <w:r>
              <w:t>:  Insert Section 6.7.5.7 below upon system implementation of the Real-Time Co-Optimization (RTC) project:]</w:t>
            </w:r>
          </w:p>
          <w:p w14:paraId="5497BAAF" w14:textId="77777777" w:rsidR="00CC5182" w:rsidRPr="00CC5182" w:rsidRDefault="00CC5182" w:rsidP="00CC5182">
            <w:pPr>
              <w:pStyle w:val="Heading4"/>
              <w:numPr>
                <w:ilvl w:val="0"/>
                <w:numId w:val="0"/>
              </w:numPr>
              <w:spacing w:before="480"/>
            </w:pPr>
            <w:bookmarkStart w:id="2798" w:name="_Toc189044500"/>
            <w:r w:rsidRPr="00CC5182">
              <w:rPr>
                <w:bCs w:val="0"/>
              </w:rPr>
              <w:t>6.7.5.7</w:t>
            </w:r>
            <w:r w:rsidRPr="00CC5182">
              <w:rPr>
                <w:bCs w:val="0"/>
              </w:rPr>
              <w:tab/>
              <w:t>Real-Time Derated Ancillary Service Capability Payment</w:t>
            </w:r>
            <w:bookmarkEnd w:id="2798"/>
          </w:p>
          <w:p w14:paraId="5BE1ABB5" w14:textId="77777777" w:rsidR="00CC5182" w:rsidRDefault="00CC5182" w:rsidP="00CC5182">
            <w:pPr>
              <w:spacing w:after="240"/>
              <w:ind w:left="720" w:hanging="720"/>
              <w:rPr>
                <w:color w:val="000000"/>
              </w:rPr>
            </w:pPr>
            <w:r>
              <w:rPr>
                <w:color w:val="000000"/>
              </w:rPr>
              <w:t>(1)</w:t>
            </w:r>
            <w:r>
              <w:rPr>
                <w:color w:val="000000"/>
              </w:rPr>
              <w:tab/>
              <w:t xml:space="preserve">If ERCOT manually reduces the amount of an Ancillary Service that may be awarded to a Resource in Real-Time under paragraph (6) of Section 6.4.9.1.1, Ancillary Service Awards, and the reduction reduces the payment the QSE would have received under Section 6.7.5.1, Real-Time Ancillary Service Imbalance Payment or Charge, the QSE may be eligible for a Real-Time derated Ancillary Service capability payment under this Section. </w:t>
            </w:r>
          </w:p>
          <w:p w14:paraId="7B851A50" w14:textId="77777777" w:rsidR="00CC5182" w:rsidRDefault="00CC5182" w:rsidP="00CC5182">
            <w:pPr>
              <w:spacing w:after="240"/>
              <w:ind w:left="720" w:hanging="720"/>
              <w:rPr>
                <w:color w:val="000000"/>
              </w:rPr>
            </w:pPr>
            <w:r>
              <w:rPr>
                <w:color w:val="000000"/>
              </w:rPr>
              <w:t>(2)</w:t>
            </w:r>
            <w:r>
              <w:rPr>
                <w:color w:val="000000"/>
              </w:rPr>
              <w:tab/>
              <w:t xml:space="preserve">In order to be eligible for a Real-Time derated Ancillary Service capability payment, the QSE must: </w:t>
            </w:r>
          </w:p>
          <w:p w14:paraId="3C4F6DEB" w14:textId="3BE661CD" w:rsidR="00CC5182" w:rsidRDefault="00CC5182" w:rsidP="00CC5182">
            <w:pPr>
              <w:spacing w:after="240"/>
              <w:ind w:left="1440" w:hanging="720"/>
              <w:rPr>
                <w:color w:val="000000"/>
              </w:rPr>
            </w:pPr>
            <w:r>
              <w:rPr>
                <w:color w:val="000000"/>
              </w:rPr>
              <w:lastRenderedPageBreak/>
              <w:t>(a)</w:t>
            </w:r>
            <w:r>
              <w:rPr>
                <w:color w:val="000000"/>
              </w:rPr>
              <w:tab/>
              <w:t>File a timely Settlement and billing dispute, identifying the following items, by Settlement Interval:</w:t>
            </w:r>
          </w:p>
          <w:p w14:paraId="77C61FD9" w14:textId="77777777" w:rsidR="00221A13" w:rsidRDefault="00CC5182" w:rsidP="00221A13">
            <w:pPr>
              <w:spacing w:after="240"/>
              <w:ind w:left="2160" w:hanging="720"/>
            </w:pPr>
            <w:r>
              <w:t>(i)</w:t>
            </w:r>
            <w:r>
              <w:tab/>
              <w:t>Dollar amount and calculation of the estimated Real-Time derated Ancillary Service capability payment;</w:t>
            </w:r>
          </w:p>
          <w:p w14:paraId="4E3897C7" w14:textId="1042D2C3" w:rsidR="00CC5182" w:rsidRPr="00221A13" w:rsidRDefault="00CC5182" w:rsidP="00221A13">
            <w:pPr>
              <w:spacing w:after="240"/>
              <w:ind w:left="2160" w:hanging="720"/>
            </w:pPr>
            <w:r>
              <w:t>(ii)</w:t>
            </w:r>
            <w:r>
              <w:tab/>
            </w:r>
            <w:r>
              <w:rPr>
                <w:color w:val="000000"/>
              </w:rPr>
              <w:t>The quantity of Ancillary Service awards, by Ancillary Service product, that were not awarded due to ERCOT’s manual reduction of the Resource’s Ancillary Service capability;</w:t>
            </w:r>
          </w:p>
          <w:p w14:paraId="6C238B1A" w14:textId="77777777" w:rsidR="00CC5182" w:rsidRDefault="00CC5182" w:rsidP="00CC5182">
            <w:pPr>
              <w:spacing w:after="240"/>
              <w:ind w:left="2160" w:hanging="720"/>
              <w:rPr>
                <w:color w:val="000000"/>
              </w:rPr>
            </w:pPr>
            <w:r>
              <w:rPr>
                <w:color w:val="000000"/>
              </w:rPr>
              <w:t>(iii)</w:t>
            </w:r>
            <w:r>
              <w:rPr>
                <w:color w:val="000000"/>
              </w:rPr>
              <w:tab/>
              <w:t>Any additional revenues earned by the QSE under Section 6.6.3.1, Real-Time Energy Imbalance Payment or Charge at a Resource Node; and</w:t>
            </w:r>
          </w:p>
          <w:p w14:paraId="2A9C4E2C" w14:textId="77777777" w:rsidR="00CC5182" w:rsidRDefault="00CC5182" w:rsidP="00CC5182">
            <w:pPr>
              <w:spacing w:after="240"/>
              <w:ind w:left="2160" w:hanging="720"/>
              <w:rPr>
                <w:color w:val="000000"/>
              </w:rPr>
            </w:pPr>
            <w:r>
              <w:rPr>
                <w:color w:val="000000"/>
              </w:rPr>
              <w:t>(iv)</w:t>
            </w:r>
            <w:r>
              <w:rPr>
                <w:color w:val="000000"/>
              </w:rPr>
              <w:tab/>
              <w:t>Any additional revenues earned by the QSE under Section 6.7.5.1, Real-Time Ancillary Service Imbalance Payment or Charge.</w:t>
            </w:r>
          </w:p>
          <w:p w14:paraId="496FACD9" w14:textId="6E9C3BC8" w:rsidR="00CC5182" w:rsidRDefault="00CC5182" w:rsidP="00CC5182">
            <w:pPr>
              <w:spacing w:after="240"/>
              <w:ind w:left="1440" w:hanging="720"/>
              <w:rPr>
                <w:color w:val="000000"/>
              </w:rPr>
            </w:pPr>
            <w:r>
              <w:rPr>
                <w:color w:val="000000"/>
              </w:rPr>
              <w:t>(b)</w:t>
            </w:r>
            <w:r>
              <w:rPr>
                <w:color w:val="000000"/>
              </w:rPr>
              <w:tab/>
              <w:t>Have submitted an Ancillary Service Offer for the disputed Settlement Interval(s).  The Ancillary Service Offer used to calculate the Real-Time derated Ancillary Service capability payment shall be the most recent offer received by ERCOT effective for the disputed Settlement Interval(s) before ERCOT manually reduced the amount of Ancillary Service to be awarded.</w:t>
            </w:r>
          </w:p>
          <w:p w14:paraId="5C46E9E1" w14:textId="77777777" w:rsidR="00CC5182" w:rsidRDefault="00CC5182" w:rsidP="00CC5182">
            <w:pPr>
              <w:spacing w:after="240"/>
              <w:ind w:left="720" w:hanging="720"/>
              <w:rPr>
                <w:color w:val="000000"/>
              </w:rPr>
            </w:pPr>
            <w:r>
              <w:rPr>
                <w:color w:val="000000"/>
              </w:rPr>
              <w:t>(3)</w:t>
            </w:r>
            <w:r>
              <w:rPr>
                <w:color w:val="000000"/>
              </w:rPr>
              <w:tab/>
              <w:t xml:space="preserve">ERCOT shall attempt to validate the calculations provided by the QSE, and may request additional supporting documentation or explanation with respect to the submitted materials within 15 Business Days of receipt.  Additional information requested by ERCOT must be provided by the QSE within 15 Business Days of ERCOT’s request.  Upon determination by ERCOT that no additional supporting documentation or explanation is needed from the disputing QSE, ERCOT shall notify the QSE of its acceptance or rejection of the claim for the </w:t>
            </w:r>
            <w:r>
              <w:t>Real-Time derated Ancillary Service capability payment</w:t>
            </w:r>
            <w:r>
              <w:rPr>
                <w:color w:val="000000"/>
              </w:rPr>
              <w:t xml:space="preserve"> within 15 Business Days.</w:t>
            </w:r>
          </w:p>
          <w:p w14:paraId="27874FE8" w14:textId="77777777" w:rsidR="00CC5182" w:rsidRDefault="00CC5182" w:rsidP="00CC5182">
            <w:pPr>
              <w:spacing w:after="240"/>
              <w:ind w:left="720" w:hanging="720"/>
              <w:rPr>
                <w:color w:val="000000"/>
              </w:rPr>
            </w:pPr>
            <w:r>
              <w:rPr>
                <w:color w:val="000000"/>
              </w:rPr>
              <w:t>(4)</w:t>
            </w:r>
            <w:r>
              <w:rPr>
                <w:color w:val="000000"/>
              </w:rPr>
              <w:tab/>
              <w:t>The price used to determine the derated MWs that were not awarded due to the manual reduction shall be the Real-Time MCPC for the Ancillary Service that was reduced.</w:t>
            </w:r>
          </w:p>
          <w:p w14:paraId="0D1131BB" w14:textId="76595BD3" w:rsidR="00CC5182" w:rsidRDefault="00CC5182" w:rsidP="00CC5182">
            <w:pPr>
              <w:spacing w:after="240"/>
              <w:ind w:left="720" w:hanging="720"/>
              <w:rPr>
                <w:color w:val="000000"/>
              </w:rPr>
            </w:pPr>
            <w:r>
              <w:rPr>
                <w:color w:val="000000"/>
              </w:rPr>
              <w:t>(5)</w:t>
            </w:r>
            <w:r>
              <w:rPr>
                <w:color w:val="000000"/>
              </w:rPr>
              <w:tab/>
              <w:t>The amount recoverable under this section shall be capped by the Real-Time MCPC for the Ancillary Service that was reduced, multiplied by the reduced quantity.</w:t>
            </w:r>
          </w:p>
          <w:p w14:paraId="67AD7A1E" w14:textId="77777777" w:rsidR="00CC5182" w:rsidRDefault="00CC5182" w:rsidP="00CC5182">
            <w:pPr>
              <w:spacing w:after="240"/>
              <w:ind w:left="720" w:hanging="720"/>
              <w:rPr>
                <w:color w:val="000000"/>
              </w:rPr>
            </w:pPr>
            <w:r>
              <w:rPr>
                <w:color w:val="000000"/>
              </w:rPr>
              <w:t>(6)</w:t>
            </w:r>
            <w:r>
              <w:rPr>
                <w:color w:val="000000"/>
              </w:rPr>
              <w:tab/>
              <w:t>The amount recoverable under this Section shall be reduced by any additional revenue received by the QSE, as determined in paragraphs (2)(a)(iii) and (2)(a)(iv) above. </w:t>
            </w:r>
          </w:p>
          <w:p w14:paraId="0532D108" w14:textId="77777777" w:rsidR="00CC5182" w:rsidRDefault="00CC5182" w:rsidP="00CC5182">
            <w:pPr>
              <w:spacing w:after="240"/>
              <w:ind w:left="720" w:hanging="720"/>
              <w:rPr>
                <w:color w:val="000000"/>
              </w:rPr>
            </w:pPr>
            <w:r>
              <w:rPr>
                <w:color w:val="000000"/>
              </w:rPr>
              <w:t>(7)</w:t>
            </w:r>
            <w:r>
              <w:rPr>
                <w:color w:val="000000"/>
              </w:rPr>
              <w:tab/>
              <w:t xml:space="preserve">The Real-Time derated Ancillary Service capability payment for a given 15-minute Settlement Interval is calculated as follows:  </w:t>
            </w:r>
          </w:p>
          <w:p w14:paraId="0989C440" w14:textId="3B25E287" w:rsidR="00CC5182" w:rsidRDefault="00CC5182" w:rsidP="00CC5182">
            <w:pPr>
              <w:spacing w:after="240"/>
              <w:ind w:left="2340" w:hanging="1620"/>
              <w:rPr>
                <w:color w:val="000000"/>
              </w:rPr>
            </w:pPr>
            <w:r>
              <w:rPr>
                <w:b/>
                <w:bCs/>
                <w:lang w:val="pt-BR"/>
              </w:rPr>
              <w:lastRenderedPageBreak/>
              <w:t xml:space="preserve">RTDASAMT </w:t>
            </w:r>
            <w:r>
              <w:rPr>
                <w:b/>
                <w:bCs/>
                <w:i/>
                <w:vertAlign w:val="subscript"/>
                <w:lang w:val="es-ES"/>
              </w:rPr>
              <w:t xml:space="preserve">q </w:t>
            </w:r>
            <w:r>
              <w:rPr>
                <w:b/>
                <w:bCs/>
                <w:lang w:val="pt-BR"/>
              </w:rPr>
              <w:t xml:space="preserve">= </w:t>
            </w:r>
            <w:r>
              <w:rPr>
                <w:b/>
                <w:bCs/>
                <w:vertAlign w:val="subscript"/>
                <w:lang w:val="es-ES"/>
              </w:rPr>
              <w:t xml:space="preserve"> </w:t>
            </w:r>
            <w:r>
              <w:rPr>
                <w:b/>
                <w:bCs/>
                <w:lang w:val="es-ES"/>
              </w:rPr>
              <w:t xml:space="preserve">(-1) * </w:t>
            </w:r>
            <w:r w:rsidR="00857818" w:rsidRPr="00D476E3">
              <w:rPr>
                <w:b/>
                <w:bCs/>
              </w:rPr>
              <w:t>Max [0,</w:t>
            </w:r>
            <w:r w:rsidR="00857818" w:rsidRPr="00D476E3">
              <w:t xml:space="preserve"> </w:t>
            </w:r>
            <w:r>
              <w:rPr>
                <w:b/>
                <w:bCs/>
                <w:lang w:val="es-ES"/>
              </w:rPr>
              <w:t>Min[(</w:t>
            </w:r>
            <w:r>
              <w:rPr>
                <w:b/>
                <w:bCs/>
                <w:lang w:val="pt-BR"/>
              </w:rPr>
              <w:t xml:space="preserve">RTRUILD </w:t>
            </w:r>
            <w:r>
              <w:rPr>
                <w:b/>
                <w:bCs/>
                <w:i/>
                <w:vertAlign w:val="subscript"/>
                <w:lang w:val="es-ES"/>
              </w:rPr>
              <w:t xml:space="preserve">q </w:t>
            </w:r>
            <w:r>
              <w:rPr>
                <w:b/>
                <w:bCs/>
                <w:lang w:val="pt-BR"/>
              </w:rPr>
              <w:t xml:space="preserve">+ RTRDILD </w:t>
            </w:r>
            <w:r>
              <w:rPr>
                <w:b/>
                <w:bCs/>
                <w:i/>
                <w:vertAlign w:val="subscript"/>
                <w:lang w:val="es-ES"/>
              </w:rPr>
              <w:t xml:space="preserve">q </w:t>
            </w:r>
            <w:r>
              <w:rPr>
                <w:b/>
                <w:bCs/>
                <w:lang w:val="pt-BR"/>
              </w:rPr>
              <w:t xml:space="preserve">+ RTRRILD </w:t>
            </w:r>
            <w:r>
              <w:rPr>
                <w:b/>
                <w:bCs/>
                <w:i/>
                <w:vertAlign w:val="subscript"/>
                <w:lang w:val="es-ES"/>
              </w:rPr>
              <w:t xml:space="preserve">q </w:t>
            </w:r>
            <w:r>
              <w:rPr>
                <w:b/>
                <w:bCs/>
                <w:lang w:val="pt-BR"/>
              </w:rPr>
              <w:t>+ RTNSILD</w:t>
            </w:r>
            <w:r w:rsidR="00857818">
              <w:rPr>
                <w:b/>
                <w:bCs/>
                <w:lang w:val="pt-BR"/>
              </w:rPr>
              <w:t xml:space="preserve"> </w:t>
            </w:r>
            <w:r>
              <w:rPr>
                <w:b/>
                <w:bCs/>
                <w:i/>
                <w:vertAlign w:val="subscript"/>
                <w:lang w:val="es-ES"/>
              </w:rPr>
              <w:t xml:space="preserve">q </w:t>
            </w:r>
            <w:r>
              <w:rPr>
                <w:b/>
                <w:bCs/>
                <w:lang w:val="pt-BR"/>
              </w:rPr>
              <w:t xml:space="preserve">+ RTECRILD </w:t>
            </w:r>
            <w:r>
              <w:rPr>
                <w:b/>
                <w:bCs/>
                <w:i/>
                <w:vertAlign w:val="subscript"/>
                <w:lang w:val="es-ES"/>
              </w:rPr>
              <w:t xml:space="preserve">q </w:t>
            </w:r>
            <w:r>
              <w:rPr>
                <w:b/>
                <w:bCs/>
                <w:i/>
                <w:vertAlign w:val="subscript"/>
                <w:lang w:val="pt-BR"/>
              </w:rPr>
              <w:t xml:space="preserve"> </w:t>
            </w:r>
            <w:r>
              <w:rPr>
                <w:b/>
                <w:bCs/>
                <w:lang w:val="pt-BR"/>
              </w:rPr>
              <w:t xml:space="preserve">– RTEIRD </w:t>
            </w:r>
            <w:r>
              <w:rPr>
                <w:i/>
                <w:iCs/>
                <w:sz w:val="20"/>
                <w:vertAlign w:val="subscript"/>
              </w:rPr>
              <w:t>q</w:t>
            </w:r>
            <w:r>
              <w:rPr>
                <w:b/>
                <w:bCs/>
                <w:lang w:val="pt-BR"/>
              </w:rPr>
              <w:t xml:space="preserve"> – RTASIRD</w:t>
            </w:r>
            <w:r>
              <w:rPr>
                <w:b/>
                <w:bCs/>
                <w:i/>
                <w:vertAlign w:val="subscript"/>
                <w:lang w:val="pt-BR"/>
              </w:rPr>
              <w:t xml:space="preserve"> q</w:t>
            </w:r>
            <w:r>
              <w:rPr>
                <w:b/>
                <w:bCs/>
                <w:lang w:val="es-ES"/>
              </w:rPr>
              <w:t xml:space="preserve">), </w:t>
            </w:r>
            <w:r>
              <w:rPr>
                <w:position w:val="-18"/>
                <w:szCs w:val="24"/>
              </w:rPr>
              <w:object w:dxaOrig="285" w:dyaOrig="570" w14:anchorId="7B5059F3">
                <v:shape id="_x0000_i1420" type="#_x0000_t75" style="width:12pt;height:30pt" o:ole="">
                  <v:imagedata r:id="rId159" o:title=""/>
                </v:shape>
                <o:OLEObject Type="Embed" ProgID="Equation.3" ShapeID="_x0000_i1420" DrawAspect="Content" ObjectID="_1804653903" r:id="rId512"/>
              </w:object>
            </w:r>
            <w:r>
              <w:rPr>
                <w:b/>
              </w:rPr>
              <w:t>RTDASCAP</w:t>
            </w:r>
            <w:r w:rsidR="00857818">
              <w:rPr>
                <w:b/>
              </w:rPr>
              <w:t xml:space="preserve"> </w:t>
            </w:r>
            <w:r>
              <w:rPr>
                <w:b/>
                <w:i/>
                <w:vertAlign w:val="subscript"/>
              </w:rPr>
              <w:t>q,</w:t>
            </w:r>
            <w:r w:rsidR="00857818">
              <w:rPr>
                <w:b/>
                <w:i/>
                <w:vertAlign w:val="subscript"/>
              </w:rPr>
              <w:t xml:space="preserve"> </w:t>
            </w:r>
            <w:r>
              <w:rPr>
                <w:b/>
                <w:i/>
                <w:vertAlign w:val="subscript"/>
              </w:rPr>
              <w:t>r</w:t>
            </w:r>
            <w:r>
              <w:rPr>
                <w:b/>
              </w:rPr>
              <w:t>]</w:t>
            </w:r>
            <w:r w:rsidR="00857818">
              <w:rPr>
                <w:b/>
              </w:rPr>
              <w:t>]</w:t>
            </w:r>
          </w:p>
          <w:p w14:paraId="053A8267" w14:textId="77777777" w:rsidR="00CC5182" w:rsidRDefault="00CC5182" w:rsidP="00CC5182">
            <w:pPr>
              <w:tabs>
                <w:tab w:val="left" w:pos="1440"/>
                <w:tab w:val="left" w:pos="2340"/>
              </w:tabs>
              <w:spacing w:after="240"/>
              <w:ind w:left="3420" w:hanging="2700"/>
              <w:jc w:val="both"/>
              <w:rPr>
                <w:bCs/>
                <w:lang w:val="pt-BR"/>
              </w:rPr>
            </w:pPr>
            <w:r>
              <w:rPr>
                <w:bCs/>
                <w:lang w:val="pt-BR"/>
              </w:rPr>
              <w:t>Where:</w:t>
            </w:r>
          </w:p>
          <w:p w14:paraId="6A91A38E" w14:textId="67083728" w:rsidR="00CC5182" w:rsidRDefault="00CC5182" w:rsidP="00857818">
            <w:pPr>
              <w:tabs>
                <w:tab w:val="left" w:pos="1440"/>
                <w:tab w:val="left" w:pos="2250"/>
              </w:tabs>
              <w:spacing w:after="240"/>
              <w:ind w:left="1980" w:hanging="1260"/>
              <w:jc w:val="both"/>
              <w:rPr>
                <w:bCs/>
                <w:i/>
                <w:vertAlign w:val="subscript"/>
                <w:lang w:val="pt-BR"/>
              </w:rPr>
            </w:pPr>
            <w:r>
              <w:t>RTDASCAP</w:t>
            </w:r>
            <w:r w:rsidR="00857818">
              <w:t xml:space="preserve"> </w:t>
            </w:r>
            <w:r>
              <w:rPr>
                <w:i/>
                <w:vertAlign w:val="subscript"/>
              </w:rPr>
              <w:t>q. r</w:t>
            </w:r>
            <w:r>
              <w:t xml:space="preserve"> =  (1/4) * (RTMCPCRU</w:t>
            </w:r>
            <w:r>
              <w:rPr>
                <w:bCs/>
                <w:lang w:val="pt-BR"/>
              </w:rPr>
              <w:t xml:space="preserve"> * RTRUDQ </w:t>
            </w:r>
            <w:r>
              <w:rPr>
                <w:bCs/>
                <w:i/>
                <w:vertAlign w:val="subscript"/>
                <w:lang w:val="pt-BR"/>
              </w:rPr>
              <w:t>q, r</w:t>
            </w:r>
            <w:r>
              <w:rPr>
                <w:b/>
                <w:bCs/>
                <w:i/>
                <w:vertAlign w:val="subscript"/>
                <w:lang w:val="es-ES"/>
              </w:rPr>
              <w:t xml:space="preserve"> </w:t>
            </w:r>
            <w:r>
              <w:rPr>
                <w:b/>
                <w:bCs/>
                <w:lang w:val="pt-BR"/>
              </w:rPr>
              <w:t>+</w:t>
            </w:r>
            <w:r w:rsidR="00857818">
              <w:rPr>
                <w:b/>
                <w:bCs/>
                <w:lang w:val="pt-BR"/>
              </w:rPr>
              <w:t xml:space="preserve"> </w:t>
            </w:r>
            <w:r>
              <w:t>RTMCPCRD</w:t>
            </w:r>
            <w:r>
              <w:rPr>
                <w:bCs/>
                <w:lang w:val="pt-BR"/>
              </w:rPr>
              <w:t xml:space="preserve"> * RTRDDQ </w:t>
            </w:r>
            <w:r>
              <w:rPr>
                <w:bCs/>
                <w:i/>
                <w:vertAlign w:val="subscript"/>
                <w:lang w:val="pt-BR"/>
              </w:rPr>
              <w:t>q, r</w:t>
            </w:r>
            <w:r w:rsidR="00857818">
              <w:rPr>
                <w:bCs/>
                <w:i/>
                <w:vertAlign w:val="subscript"/>
                <w:lang w:val="pt-BR"/>
              </w:rPr>
              <w:t xml:space="preserve"> </w:t>
            </w:r>
            <w:r>
              <w:rPr>
                <w:b/>
                <w:bCs/>
                <w:lang w:val="pt-BR"/>
              </w:rPr>
              <w:t xml:space="preserve">+ </w:t>
            </w:r>
            <w:r>
              <w:t>RTMCPCRR</w:t>
            </w:r>
            <w:r>
              <w:rPr>
                <w:bCs/>
                <w:lang w:val="pt-BR"/>
              </w:rPr>
              <w:t xml:space="preserve"> * RTRRDQ </w:t>
            </w:r>
            <w:r>
              <w:rPr>
                <w:bCs/>
                <w:i/>
                <w:vertAlign w:val="subscript"/>
                <w:lang w:val="pt-BR"/>
              </w:rPr>
              <w:t xml:space="preserve">q, r </w:t>
            </w:r>
            <w:r>
              <w:rPr>
                <w:b/>
                <w:bCs/>
                <w:lang w:val="pt-BR"/>
              </w:rPr>
              <w:t xml:space="preserve">+ </w:t>
            </w:r>
            <w:r>
              <w:t>RTMCPCNS</w:t>
            </w:r>
            <w:r>
              <w:rPr>
                <w:bCs/>
                <w:lang w:val="pt-BR"/>
              </w:rPr>
              <w:t xml:space="preserve"> * RTNSDQ </w:t>
            </w:r>
            <w:r>
              <w:rPr>
                <w:bCs/>
                <w:i/>
                <w:vertAlign w:val="subscript"/>
                <w:lang w:val="pt-BR"/>
              </w:rPr>
              <w:t xml:space="preserve">q, r </w:t>
            </w:r>
            <w:r>
              <w:rPr>
                <w:b/>
                <w:bCs/>
                <w:lang w:val="pt-BR"/>
              </w:rPr>
              <w:t xml:space="preserve">+ </w:t>
            </w:r>
            <w:r>
              <w:rPr>
                <w:bCs/>
                <w:i/>
                <w:vertAlign w:val="subscript"/>
                <w:lang w:val="pt-BR"/>
              </w:rPr>
              <w:t xml:space="preserve"> </w:t>
            </w:r>
          </w:p>
          <w:p w14:paraId="703C5F2A" w14:textId="4D00C99A" w:rsidR="00CC5182" w:rsidRDefault="00CC5182" w:rsidP="00CC5182">
            <w:pPr>
              <w:tabs>
                <w:tab w:val="left" w:pos="1440"/>
                <w:tab w:val="left" w:pos="2250"/>
              </w:tabs>
              <w:spacing w:before="240" w:after="240"/>
              <w:ind w:left="1980" w:hanging="1350"/>
              <w:jc w:val="both"/>
              <w:rPr>
                <w:bCs/>
                <w:lang w:val="pt-BR"/>
              </w:rPr>
            </w:pPr>
            <w:r>
              <w:rPr>
                <w:bCs/>
                <w:i/>
                <w:vertAlign w:val="subscript"/>
                <w:lang w:val="pt-BR"/>
              </w:rPr>
              <w:tab/>
            </w:r>
            <w:r>
              <w:rPr>
                <w:bCs/>
                <w:i/>
                <w:vertAlign w:val="subscript"/>
                <w:lang w:val="pt-BR"/>
              </w:rPr>
              <w:tab/>
            </w:r>
            <w:r>
              <w:t>RTMCPCECR</w:t>
            </w:r>
            <w:r>
              <w:rPr>
                <w:bCs/>
                <w:lang w:val="pt-BR"/>
              </w:rPr>
              <w:t xml:space="preserve"> * RTECRDQ </w:t>
            </w:r>
            <w:r>
              <w:rPr>
                <w:bCs/>
                <w:i/>
                <w:vertAlign w:val="subscript"/>
                <w:lang w:val="pt-BR"/>
              </w:rPr>
              <w:t>q, r</w:t>
            </w:r>
            <w:r>
              <w:rPr>
                <w:bCs/>
                <w:lang w:val="pt-BR"/>
              </w:rPr>
              <w:t>)</w:t>
            </w:r>
          </w:p>
          <w:p w14:paraId="571BD3A1"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39"/>
              <w:gridCol w:w="6273"/>
            </w:tblGrid>
            <w:tr w:rsidR="00CC5182" w14:paraId="5133637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92AD9D" w14:textId="77777777" w:rsidR="00CC5182" w:rsidRDefault="00CC5182" w:rsidP="00CC5182">
                  <w:pPr>
                    <w:spacing w:after="240"/>
                    <w:rPr>
                      <w:b/>
                      <w:iCs/>
                      <w:sz w:val="20"/>
                    </w:rPr>
                  </w:pPr>
                  <w:r>
                    <w:rPr>
                      <w:b/>
                      <w:iCs/>
                      <w:sz w:val="20"/>
                    </w:rPr>
                    <w:t>Variable</w:t>
                  </w:r>
                </w:p>
              </w:tc>
              <w:tc>
                <w:tcPr>
                  <w:tcW w:w="395" w:type="pct"/>
                  <w:tcBorders>
                    <w:top w:val="single" w:sz="4" w:space="0" w:color="auto"/>
                    <w:left w:val="single" w:sz="4" w:space="0" w:color="auto"/>
                    <w:bottom w:val="single" w:sz="4" w:space="0" w:color="auto"/>
                    <w:right w:val="single" w:sz="4" w:space="0" w:color="auto"/>
                  </w:tcBorders>
                  <w:hideMark/>
                </w:tcPr>
                <w:p w14:paraId="531B4FFA" w14:textId="77777777" w:rsidR="00CC5182" w:rsidRDefault="00CC5182" w:rsidP="00CC5182">
                  <w:pPr>
                    <w:spacing w:after="240"/>
                    <w:rPr>
                      <w:b/>
                      <w:iCs/>
                      <w:sz w:val="20"/>
                    </w:rPr>
                  </w:pPr>
                  <w:r>
                    <w:rPr>
                      <w:b/>
                      <w:iCs/>
                      <w:sz w:val="20"/>
                    </w:rPr>
                    <w:t>Unit</w:t>
                  </w:r>
                </w:p>
              </w:tc>
              <w:tc>
                <w:tcPr>
                  <w:tcW w:w="3448" w:type="pct"/>
                  <w:tcBorders>
                    <w:top w:val="single" w:sz="4" w:space="0" w:color="auto"/>
                    <w:left w:val="single" w:sz="4" w:space="0" w:color="auto"/>
                    <w:bottom w:val="single" w:sz="4" w:space="0" w:color="auto"/>
                    <w:right w:val="single" w:sz="4" w:space="0" w:color="auto"/>
                  </w:tcBorders>
                  <w:hideMark/>
                </w:tcPr>
                <w:p w14:paraId="59D811E5" w14:textId="77777777" w:rsidR="00CC5182" w:rsidRDefault="00CC5182" w:rsidP="00CC5182">
                  <w:pPr>
                    <w:spacing w:after="240"/>
                    <w:rPr>
                      <w:b/>
                      <w:iCs/>
                      <w:sz w:val="20"/>
                    </w:rPr>
                  </w:pPr>
                  <w:r>
                    <w:rPr>
                      <w:b/>
                      <w:iCs/>
                      <w:sz w:val="20"/>
                    </w:rPr>
                    <w:t>Description</w:t>
                  </w:r>
                </w:p>
              </w:tc>
            </w:tr>
            <w:tr w:rsidR="00CC5182" w14:paraId="4ECB1CA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B7CC8CB" w14:textId="77777777" w:rsidR="00CC5182" w:rsidRDefault="00CC5182" w:rsidP="00CC5182">
                  <w:pPr>
                    <w:spacing w:after="60"/>
                    <w:rPr>
                      <w:iCs/>
                      <w:sz w:val="20"/>
                    </w:rPr>
                  </w:pPr>
                  <w:r>
                    <w:rPr>
                      <w:bCs/>
                      <w:sz w:val="20"/>
                      <w:lang w:val="pt-BR"/>
                    </w:rPr>
                    <w:t>RTDASAMT</w:t>
                  </w:r>
                  <w:r>
                    <w:rPr>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D2FDC6D"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702822C7" w14:textId="77777777" w:rsidR="00CC5182" w:rsidRDefault="00CC5182" w:rsidP="00CC5182">
                  <w:pPr>
                    <w:spacing w:after="60"/>
                    <w:rPr>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resulting from a manual reduction of Ancillary Services by ERCOT for the 15-minute Settlement Interval.</w:t>
                  </w:r>
                </w:p>
              </w:tc>
            </w:tr>
            <w:tr w:rsidR="00CC5182" w14:paraId="73E9389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185118" w14:textId="77777777" w:rsidR="00CC5182" w:rsidRDefault="00CC5182" w:rsidP="00CC5182">
                  <w:pPr>
                    <w:spacing w:after="60"/>
                    <w:rPr>
                      <w:iCs/>
                      <w:sz w:val="20"/>
                    </w:rPr>
                  </w:pPr>
                  <w:r>
                    <w:rPr>
                      <w:bCs/>
                      <w:sz w:val="20"/>
                      <w:lang w:val="pt-BR"/>
                    </w:rPr>
                    <w:t>RTRUILD</w:t>
                  </w:r>
                  <w:r>
                    <w:rPr>
                      <w:b/>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7CEBF8A8"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3AF374D" w14:textId="1A6B55B8" w:rsidR="00CC5182" w:rsidRDefault="00CC5182" w:rsidP="00CC5182">
                  <w:pPr>
                    <w:spacing w:after="60"/>
                    <w:rPr>
                      <w:i/>
                      <w:iCs/>
                      <w:sz w:val="20"/>
                    </w:rPr>
                  </w:pPr>
                  <w:r>
                    <w:rPr>
                      <w:i/>
                      <w:iCs/>
                      <w:sz w:val="20"/>
                    </w:rPr>
                    <w:t>Real-Time Derated Regulation Up Imbalance Losses for Deration</w:t>
                  </w:r>
                  <w:r>
                    <w:rPr>
                      <w:iCs/>
                      <w:sz w:val="20"/>
                    </w:rPr>
                    <w:t xml:space="preserve">—The payments not made to QSE </w:t>
                  </w:r>
                  <w:r>
                    <w:rPr>
                      <w:i/>
                      <w:iCs/>
                      <w:sz w:val="20"/>
                    </w:rPr>
                    <w:t>q</w:t>
                  </w:r>
                  <w:r>
                    <w:rPr>
                      <w:iCs/>
                      <w:sz w:val="20"/>
                    </w:rPr>
                    <w:t xml:space="preserve"> under paragraph (1) of Section 6.7.5.2, Regulation</w:t>
                  </w:r>
                  <w:r w:rsidR="00221A13">
                    <w:rPr>
                      <w:iCs/>
                      <w:sz w:val="20"/>
                    </w:rPr>
                    <w:t xml:space="preserve"> </w:t>
                  </w:r>
                  <w:r>
                    <w:rPr>
                      <w:iCs/>
                      <w:sz w:val="20"/>
                    </w:rPr>
                    <w:t>Up Service Payments and Charges, for the 15-minute Settlement Interval.</w:t>
                  </w:r>
                </w:p>
              </w:tc>
            </w:tr>
            <w:tr w:rsidR="00CC5182" w14:paraId="3493585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552D2531" w14:textId="77777777" w:rsidR="00CC5182" w:rsidRDefault="00CC5182" w:rsidP="00CC5182">
                  <w:pPr>
                    <w:spacing w:after="60"/>
                    <w:rPr>
                      <w:bCs/>
                      <w:sz w:val="20"/>
                      <w:lang w:val="pt-BR"/>
                    </w:rPr>
                  </w:pPr>
                  <w:r>
                    <w:rPr>
                      <w:bCs/>
                      <w:sz w:val="20"/>
                      <w:lang w:val="pt-BR"/>
                    </w:rPr>
                    <w:t xml:space="preserve">RTRDILD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FF899F3"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3F36CE41" w14:textId="77777777" w:rsidR="00CC5182" w:rsidRDefault="00CC5182" w:rsidP="00CC5182">
                  <w:pPr>
                    <w:spacing w:after="60"/>
                    <w:rPr>
                      <w:bCs/>
                      <w:sz w:val="20"/>
                      <w:lang w:val="pt-BR"/>
                    </w:rPr>
                  </w:pPr>
                  <w:r>
                    <w:rPr>
                      <w:bCs/>
                      <w:i/>
                      <w:sz w:val="20"/>
                      <w:lang w:val="pt-BR"/>
                    </w:rPr>
                    <w:t>Real-Time Derated Regulation Down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6.7.5.3, Regulation Down Service Payments and Charges, for the 15-minute Settlement Interval.</w:t>
                  </w:r>
                </w:p>
              </w:tc>
            </w:tr>
            <w:tr w:rsidR="00CC5182" w14:paraId="590D18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3B03149" w14:textId="77777777" w:rsidR="00CC5182" w:rsidRDefault="00CC5182" w:rsidP="00CC5182">
                  <w:pPr>
                    <w:spacing w:after="60"/>
                    <w:rPr>
                      <w:bCs/>
                      <w:sz w:val="20"/>
                      <w:lang w:val="pt-BR"/>
                    </w:rPr>
                  </w:pPr>
                  <w:r>
                    <w:rPr>
                      <w:bCs/>
                      <w:sz w:val="20"/>
                      <w:lang w:val="pt-BR"/>
                    </w:rPr>
                    <w:t xml:space="preserve">RTRRILD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695F7BC8"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0F1CA5B0" w14:textId="77777777" w:rsidR="00CC5182" w:rsidRDefault="00CC5182" w:rsidP="00CC5182">
                  <w:pPr>
                    <w:spacing w:after="60"/>
                    <w:rPr>
                      <w:bCs/>
                      <w:sz w:val="20"/>
                      <w:lang w:val="pt-BR"/>
                    </w:rPr>
                  </w:pPr>
                  <w:r>
                    <w:rPr>
                      <w:bCs/>
                      <w:i/>
                      <w:sz w:val="20"/>
                      <w:lang w:val="pt-BR"/>
                    </w:rPr>
                    <w:t>Real-Time Derated Responsive Reserve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6.7.5.4, Responsive Reserve Payments and Charges, for the 15-minute Settlement Interval.</w:t>
                  </w:r>
                </w:p>
              </w:tc>
            </w:tr>
            <w:tr w:rsidR="00CC5182" w14:paraId="261B5764"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66BC5C7" w14:textId="77777777" w:rsidR="00CC5182" w:rsidRDefault="00CC5182" w:rsidP="00CC5182">
                  <w:pPr>
                    <w:spacing w:after="60"/>
                    <w:rPr>
                      <w:bCs/>
                      <w:sz w:val="20"/>
                      <w:lang w:val="pt-BR"/>
                    </w:rPr>
                  </w:pPr>
                  <w:r>
                    <w:rPr>
                      <w:bCs/>
                      <w:sz w:val="20"/>
                      <w:lang w:val="pt-BR"/>
                    </w:rPr>
                    <w:t xml:space="preserve">RTNSILD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4F8F4D04"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478A779B" w14:textId="77777777" w:rsidR="00CC5182" w:rsidRDefault="00CC5182" w:rsidP="00CC5182">
                  <w:pPr>
                    <w:spacing w:after="60"/>
                    <w:rPr>
                      <w:bCs/>
                      <w:sz w:val="20"/>
                      <w:lang w:val="pt-BR"/>
                    </w:rPr>
                  </w:pPr>
                  <w:r>
                    <w:rPr>
                      <w:bCs/>
                      <w:i/>
                      <w:sz w:val="20"/>
                      <w:lang w:val="pt-BR"/>
                    </w:rPr>
                    <w:t>Real-Time Derated Non-Spin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6.7.5.5, Non-Spinning Reserve Service Payments and Charges, for the 15-minute Settlement Interval.</w:t>
                  </w:r>
                </w:p>
              </w:tc>
            </w:tr>
            <w:tr w:rsidR="00CC5182" w14:paraId="1A54D85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01F46841" w14:textId="77777777" w:rsidR="00CC5182" w:rsidRDefault="00CC5182" w:rsidP="00CC5182">
                  <w:pPr>
                    <w:spacing w:after="60"/>
                    <w:rPr>
                      <w:bCs/>
                      <w:sz w:val="20"/>
                      <w:lang w:val="pt-BR"/>
                    </w:rPr>
                  </w:pPr>
                  <w:r>
                    <w:rPr>
                      <w:bCs/>
                      <w:sz w:val="20"/>
                      <w:lang w:val="pt-BR"/>
                    </w:rPr>
                    <w:t xml:space="preserve">RTECRILD </w:t>
                  </w:r>
                  <w:r>
                    <w:rPr>
                      <w:bCs/>
                      <w:sz w:val="20"/>
                      <w:vertAlign w:val="subscript"/>
                      <w:lang w:val="pt-BR"/>
                    </w:rPr>
                    <w:t>q</w:t>
                  </w:r>
                </w:p>
              </w:tc>
              <w:tc>
                <w:tcPr>
                  <w:tcW w:w="395" w:type="pct"/>
                  <w:tcBorders>
                    <w:top w:val="single" w:sz="4" w:space="0" w:color="auto"/>
                    <w:left w:val="single" w:sz="4" w:space="0" w:color="auto"/>
                    <w:bottom w:val="single" w:sz="4" w:space="0" w:color="auto"/>
                    <w:right w:val="single" w:sz="4" w:space="0" w:color="auto"/>
                  </w:tcBorders>
                  <w:hideMark/>
                </w:tcPr>
                <w:p w14:paraId="18503FAF"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59A7EDA6" w14:textId="77777777" w:rsidR="00CC5182" w:rsidRDefault="00CC5182" w:rsidP="00CC5182">
                  <w:pPr>
                    <w:spacing w:after="60"/>
                    <w:rPr>
                      <w:bCs/>
                      <w:sz w:val="20"/>
                      <w:lang w:val="pt-BR"/>
                    </w:rPr>
                  </w:pPr>
                  <w:r>
                    <w:rPr>
                      <w:bCs/>
                      <w:i/>
                      <w:sz w:val="20"/>
                      <w:lang w:val="pt-BR"/>
                    </w:rPr>
                    <w:t>Real-Time Derated ERCOT Contingency Reserve Service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6.7.5.6, ERCOT Contingency Reserve Service Payments and Charges, for the 15-minute Settlement Interval.</w:t>
                  </w:r>
                </w:p>
              </w:tc>
            </w:tr>
            <w:tr w:rsidR="00CC5182" w14:paraId="79029F5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3FB5B31" w14:textId="77777777" w:rsidR="00CC5182" w:rsidRDefault="00CC5182" w:rsidP="00CC5182">
                  <w:pPr>
                    <w:spacing w:after="60"/>
                    <w:rPr>
                      <w:bCs/>
                      <w:szCs w:val="24"/>
                    </w:rPr>
                  </w:pPr>
                  <w:r>
                    <w:rPr>
                      <w:bCs/>
                      <w:sz w:val="20"/>
                      <w:lang w:val="pt-BR"/>
                    </w:rPr>
                    <w:t>RTEIRD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1CE63062"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45DAE150" w14:textId="3D0028A9" w:rsidR="00CC5182" w:rsidRDefault="00CC5182" w:rsidP="00F12B75">
                  <w:pPr>
                    <w:spacing w:after="60"/>
                    <w:rPr>
                      <w:i/>
                      <w:iCs/>
                      <w:sz w:val="20"/>
                    </w:rPr>
                  </w:pPr>
                  <w:r>
                    <w:rPr>
                      <w:i/>
                      <w:iCs/>
                      <w:sz w:val="20"/>
                    </w:rPr>
                    <w:t>Real-Time Energy Imbalance Revenues for Deration</w:t>
                  </w:r>
                  <w:r>
                    <w:rPr>
                      <w:iCs/>
                      <w:sz w:val="20"/>
                    </w:rPr>
                    <w:t xml:space="preserve">—The additional payments to QSE </w:t>
                  </w:r>
                  <w:r>
                    <w:rPr>
                      <w:i/>
                      <w:iCs/>
                      <w:sz w:val="20"/>
                    </w:rPr>
                    <w:t>q</w:t>
                  </w:r>
                  <w:r>
                    <w:rPr>
                      <w:iCs/>
                      <w:sz w:val="20"/>
                    </w:rPr>
                    <w:t xml:space="preserve"> under Section 6.6.3.1.</w:t>
                  </w:r>
                </w:p>
              </w:tc>
            </w:tr>
            <w:tr w:rsidR="00CC5182" w14:paraId="71BB008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4A8A2CD" w14:textId="77777777" w:rsidR="00CC5182" w:rsidRDefault="00CC5182" w:rsidP="00CC5182">
                  <w:pPr>
                    <w:spacing w:after="60"/>
                    <w:rPr>
                      <w:bCs/>
                      <w:sz w:val="20"/>
                      <w:lang w:val="pt-BR"/>
                    </w:rPr>
                  </w:pPr>
                  <w:r>
                    <w:rPr>
                      <w:bCs/>
                      <w:sz w:val="20"/>
                      <w:lang w:val="pt-BR"/>
                    </w:rPr>
                    <w:t>RTASIRD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047A8198"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6ACA6614" w14:textId="77777777" w:rsidR="00CC5182" w:rsidRDefault="00CC5182" w:rsidP="00CC5182">
                  <w:pPr>
                    <w:spacing w:after="60"/>
                    <w:rPr>
                      <w:i/>
                      <w:iCs/>
                      <w:sz w:val="20"/>
                    </w:rPr>
                  </w:pPr>
                  <w:r>
                    <w:rPr>
                      <w:i/>
                      <w:iCs/>
                      <w:sz w:val="20"/>
                    </w:rPr>
                    <w:t>Real-Time Ancillary Service Imbalance Revenues for Deration</w:t>
                  </w:r>
                  <w:r>
                    <w:rPr>
                      <w:iCs/>
                      <w:sz w:val="20"/>
                    </w:rPr>
                    <w:t xml:space="preserve">—The additional Ancillary Service imbalance payments to QSE </w:t>
                  </w:r>
                  <w:r>
                    <w:rPr>
                      <w:i/>
                      <w:iCs/>
                      <w:sz w:val="20"/>
                    </w:rPr>
                    <w:t>q</w:t>
                  </w:r>
                  <w:r>
                    <w:rPr>
                      <w:iCs/>
                      <w:sz w:val="20"/>
                    </w:rPr>
                    <w:t xml:space="preserve"> for all Ancillary Service products for the 15-minute Settlement Interval.</w:t>
                  </w:r>
                </w:p>
              </w:tc>
            </w:tr>
            <w:tr w:rsidR="00CC5182" w14:paraId="61A31520"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E0F3CCA" w14:textId="77777777" w:rsidR="00CC5182" w:rsidRDefault="00CC5182" w:rsidP="00CC5182">
                  <w:pPr>
                    <w:spacing w:after="60"/>
                    <w:rPr>
                      <w:bCs/>
                      <w:sz w:val="20"/>
                      <w:lang w:val="pt-BR"/>
                    </w:rPr>
                  </w:pPr>
                  <w:r>
                    <w:rPr>
                      <w:bCs/>
                      <w:sz w:val="20"/>
                      <w:lang w:val="pt-BR"/>
                    </w:rPr>
                    <w:t>RTDASCAP</w:t>
                  </w:r>
                  <w:r>
                    <w:rPr>
                      <w:i/>
                      <w:iCs/>
                      <w:sz w:val="20"/>
                      <w:vertAlign w:val="subscript"/>
                    </w:rPr>
                    <w:t xml:space="preserve"> q, r</w:t>
                  </w:r>
                </w:p>
              </w:tc>
              <w:tc>
                <w:tcPr>
                  <w:tcW w:w="395" w:type="pct"/>
                  <w:tcBorders>
                    <w:top w:val="single" w:sz="4" w:space="0" w:color="auto"/>
                    <w:left w:val="single" w:sz="4" w:space="0" w:color="auto"/>
                    <w:bottom w:val="single" w:sz="4" w:space="0" w:color="auto"/>
                    <w:right w:val="single" w:sz="4" w:space="0" w:color="auto"/>
                  </w:tcBorders>
                  <w:hideMark/>
                </w:tcPr>
                <w:p w14:paraId="199BE8D4"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D3FBF85" w14:textId="7699BC77" w:rsidR="00CC5182" w:rsidRDefault="00CC5182" w:rsidP="00CC5182">
                  <w:pPr>
                    <w:autoSpaceDE w:val="0"/>
                    <w:autoSpaceDN w:val="0"/>
                    <w:rPr>
                      <w:sz w:val="20"/>
                    </w:rPr>
                  </w:pPr>
                  <w:r>
                    <w:rPr>
                      <w:i/>
                      <w:iCs/>
                      <w:sz w:val="20"/>
                    </w:rPr>
                    <w:t>Real-Time Derated Ancillary Service Payment Cap—</w:t>
                  </w:r>
                  <w:r>
                    <w:rPr>
                      <w:sz w:val="20"/>
                    </w:rPr>
                    <w:t xml:space="preserve">The amount recoverable for Resource </w:t>
                  </w:r>
                  <w:r>
                    <w:rPr>
                      <w:i/>
                      <w:sz w:val="20"/>
                    </w:rPr>
                    <w:t xml:space="preserve">r </w:t>
                  </w:r>
                  <w:r>
                    <w:rPr>
                      <w:sz w:val="20"/>
                    </w:rPr>
                    <w:t xml:space="preserve">represented by QSE </w:t>
                  </w:r>
                  <w:r>
                    <w:rPr>
                      <w:i/>
                      <w:sz w:val="20"/>
                    </w:rPr>
                    <w:t>q,</w:t>
                  </w:r>
                  <w:r>
                    <w:rPr>
                      <w:sz w:val="20"/>
                    </w:rPr>
                    <w:t xml:space="preserve"> capped by the Real-Time MCPC for the Ancillary Service product that was derated, multiplied by the quantity by which the Resource’s capability to provide the Ancillary Service was reduced for the 15-minute Settlement Interval. </w:t>
                  </w:r>
                  <w:r w:rsidR="00857818">
                    <w:rPr>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19304BD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86E553A" w14:textId="77777777" w:rsidR="00CC5182" w:rsidRDefault="00CC5182" w:rsidP="00CC5182">
                  <w:pPr>
                    <w:spacing w:after="60"/>
                    <w:rPr>
                      <w:bCs/>
                      <w:sz w:val="20"/>
                      <w:lang w:val="pt-BR"/>
                    </w:rPr>
                  </w:pPr>
                  <w:r>
                    <w:rPr>
                      <w:bCs/>
                      <w:sz w:val="20"/>
                      <w:lang w:val="pt-BR"/>
                    </w:rPr>
                    <w:lastRenderedPageBreak/>
                    <w:t xml:space="preserve">RTMCPCRU </w:t>
                  </w:r>
                </w:p>
              </w:tc>
              <w:tc>
                <w:tcPr>
                  <w:tcW w:w="395" w:type="pct"/>
                  <w:tcBorders>
                    <w:top w:val="single" w:sz="4" w:space="0" w:color="auto"/>
                    <w:left w:val="single" w:sz="4" w:space="0" w:color="auto"/>
                    <w:bottom w:val="single" w:sz="4" w:space="0" w:color="auto"/>
                    <w:right w:val="single" w:sz="4" w:space="0" w:color="auto"/>
                  </w:tcBorders>
                  <w:hideMark/>
                </w:tcPr>
                <w:p w14:paraId="4BC85B6D"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606837C4" w14:textId="2D86CB0E" w:rsidR="00CC5182" w:rsidRDefault="00CC5182" w:rsidP="00CC5182">
                  <w:pPr>
                    <w:spacing w:after="60"/>
                    <w:rPr>
                      <w:bCs/>
                      <w:sz w:val="20"/>
                      <w:lang w:val="pt-BR"/>
                    </w:rPr>
                  </w:pPr>
                  <w:r>
                    <w:rPr>
                      <w:bCs/>
                      <w:i/>
                      <w:sz w:val="20"/>
                      <w:lang w:val="pt-BR"/>
                    </w:rPr>
                    <w:t>Real-Time Market Clearing Price for Capacity for Regulation Up</w:t>
                  </w:r>
                  <w:r w:rsidR="00097790" w:rsidRPr="00A552C3">
                    <w:rPr>
                      <w:iCs/>
                      <w:sz w:val="20"/>
                    </w:rPr>
                    <w:t>—</w:t>
                  </w:r>
                  <w:r>
                    <w:rPr>
                      <w:bCs/>
                      <w:sz w:val="20"/>
                      <w:lang w:val="pt-BR"/>
                    </w:rPr>
                    <w:t xml:space="preserve">The Real-Time MCPC for Reg-Up for the 15-minute Settlement Interval. </w:t>
                  </w:r>
                </w:p>
              </w:tc>
            </w:tr>
            <w:tr w:rsidR="00CC5182" w14:paraId="604D9FE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CDB728A" w14:textId="77777777" w:rsidR="00CC5182" w:rsidRDefault="00CC5182" w:rsidP="00CC5182">
                  <w:pPr>
                    <w:spacing w:after="60"/>
                    <w:rPr>
                      <w:bCs/>
                      <w:sz w:val="20"/>
                      <w:lang w:val="pt-BR"/>
                    </w:rPr>
                  </w:pPr>
                  <w:r>
                    <w:rPr>
                      <w:bCs/>
                      <w:sz w:val="20"/>
                      <w:lang w:val="pt-BR"/>
                    </w:rPr>
                    <w:t>RTMCPCRD</w:t>
                  </w:r>
                </w:p>
              </w:tc>
              <w:tc>
                <w:tcPr>
                  <w:tcW w:w="395" w:type="pct"/>
                  <w:tcBorders>
                    <w:top w:val="single" w:sz="4" w:space="0" w:color="auto"/>
                    <w:left w:val="single" w:sz="4" w:space="0" w:color="auto"/>
                    <w:bottom w:val="single" w:sz="4" w:space="0" w:color="auto"/>
                    <w:right w:val="single" w:sz="4" w:space="0" w:color="auto"/>
                  </w:tcBorders>
                  <w:hideMark/>
                </w:tcPr>
                <w:p w14:paraId="39C611BE"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EA3785E" w14:textId="272890E2" w:rsidR="00CC5182" w:rsidRDefault="00CC5182" w:rsidP="00CC5182">
                  <w:pPr>
                    <w:spacing w:after="60"/>
                    <w:rPr>
                      <w:bCs/>
                      <w:sz w:val="20"/>
                      <w:lang w:val="pt-BR"/>
                    </w:rPr>
                  </w:pPr>
                  <w:r>
                    <w:rPr>
                      <w:bCs/>
                      <w:i/>
                      <w:sz w:val="20"/>
                      <w:lang w:val="pt-BR"/>
                    </w:rPr>
                    <w:t>Real-Time Market Clearing Price for Capacity for Regulation Down</w:t>
                  </w:r>
                  <w:r w:rsidR="00097790" w:rsidRPr="00A552C3">
                    <w:rPr>
                      <w:iCs/>
                      <w:sz w:val="20"/>
                    </w:rPr>
                    <w:t>—</w:t>
                  </w:r>
                  <w:r>
                    <w:rPr>
                      <w:bCs/>
                      <w:sz w:val="20"/>
                      <w:lang w:val="pt-BR"/>
                    </w:rPr>
                    <w:t>The Real-Time MCPC for Reg-Down for the 15-minute Settlement Interval.</w:t>
                  </w:r>
                </w:p>
              </w:tc>
            </w:tr>
            <w:tr w:rsidR="00CC5182" w14:paraId="64A5BF9F" w14:textId="77777777" w:rsidTr="00CC5182">
              <w:tc>
                <w:tcPr>
                  <w:tcW w:w="1157" w:type="pct"/>
                  <w:tcBorders>
                    <w:top w:val="single" w:sz="4" w:space="0" w:color="auto"/>
                    <w:left w:val="single" w:sz="4" w:space="0" w:color="auto"/>
                    <w:bottom w:val="single" w:sz="4" w:space="0" w:color="auto"/>
                    <w:right w:val="single" w:sz="4" w:space="0" w:color="auto"/>
                  </w:tcBorders>
                </w:tcPr>
                <w:p w14:paraId="00A0CE63" w14:textId="0DB86060" w:rsidR="00CC5182" w:rsidRPr="00621E3C" w:rsidRDefault="00CC5182" w:rsidP="00CC5182">
                  <w:pPr>
                    <w:spacing w:after="60"/>
                    <w:rPr>
                      <w:bCs/>
                      <w:szCs w:val="24"/>
                      <w:lang w:val="pt-BR"/>
                    </w:rPr>
                  </w:pPr>
                  <w:r>
                    <w:rPr>
                      <w:bCs/>
                      <w:sz w:val="20"/>
                      <w:lang w:val="pt-BR"/>
                    </w:rPr>
                    <w:t>RTMCPCRR</w:t>
                  </w:r>
                </w:p>
              </w:tc>
              <w:tc>
                <w:tcPr>
                  <w:tcW w:w="395" w:type="pct"/>
                  <w:tcBorders>
                    <w:top w:val="single" w:sz="4" w:space="0" w:color="auto"/>
                    <w:left w:val="single" w:sz="4" w:space="0" w:color="auto"/>
                    <w:bottom w:val="single" w:sz="4" w:space="0" w:color="auto"/>
                    <w:right w:val="single" w:sz="4" w:space="0" w:color="auto"/>
                  </w:tcBorders>
                  <w:hideMark/>
                </w:tcPr>
                <w:p w14:paraId="341A5002"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07C1E5D" w14:textId="5A4AFBCD" w:rsidR="00CC5182" w:rsidRDefault="00CC5182" w:rsidP="00CC5182">
                  <w:pPr>
                    <w:spacing w:after="60"/>
                    <w:rPr>
                      <w:bCs/>
                      <w:sz w:val="20"/>
                      <w:lang w:val="pt-BR"/>
                    </w:rPr>
                  </w:pPr>
                  <w:r>
                    <w:rPr>
                      <w:bCs/>
                      <w:i/>
                      <w:sz w:val="20"/>
                      <w:lang w:val="pt-BR"/>
                    </w:rPr>
                    <w:t>Real-Time Market Clearing Price for Capacity for Responsive Reserve</w:t>
                  </w:r>
                  <w:r w:rsidR="00AD3EB1" w:rsidRPr="00A552C3">
                    <w:rPr>
                      <w:iCs/>
                      <w:sz w:val="20"/>
                    </w:rPr>
                    <w:t>—</w:t>
                  </w:r>
                  <w:r>
                    <w:rPr>
                      <w:bCs/>
                      <w:sz w:val="20"/>
                      <w:lang w:val="pt-BR"/>
                    </w:rPr>
                    <w:t>The Real-Time MCPC for RRS for the 15-minute Settlement Interval.</w:t>
                  </w:r>
                </w:p>
              </w:tc>
            </w:tr>
            <w:tr w:rsidR="00CC5182" w14:paraId="055825E9"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5B5134C" w14:textId="77777777" w:rsidR="00CC5182" w:rsidRDefault="00CC5182" w:rsidP="00CC5182">
                  <w:pPr>
                    <w:spacing w:after="60"/>
                    <w:rPr>
                      <w:bCs/>
                      <w:sz w:val="20"/>
                      <w:lang w:val="pt-BR"/>
                    </w:rPr>
                  </w:pPr>
                  <w:r>
                    <w:rPr>
                      <w:bCs/>
                      <w:sz w:val="20"/>
                      <w:lang w:val="pt-BR"/>
                    </w:rPr>
                    <w:t>RTMCPCNS</w:t>
                  </w:r>
                </w:p>
              </w:tc>
              <w:tc>
                <w:tcPr>
                  <w:tcW w:w="395" w:type="pct"/>
                  <w:tcBorders>
                    <w:top w:val="single" w:sz="4" w:space="0" w:color="auto"/>
                    <w:left w:val="single" w:sz="4" w:space="0" w:color="auto"/>
                    <w:bottom w:val="single" w:sz="4" w:space="0" w:color="auto"/>
                    <w:right w:val="single" w:sz="4" w:space="0" w:color="auto"/>
                  </w:tcBorders>
                  <w:hideMark/>
                </w:tcPr>
                <w:p w14:paraId="4EB230F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250D2BDB" w14:textId="6FFECFED" w:rsidR="00CC5182" w:rsidRDefault="00CC5182" w:rsidP="00CC5182">
                  <w:pPr>
                    <w:spacing w:after="60"/>
                    <w:rPr>
                      <w:bCs/>
                      <w:sz w:val="20"/>
                      <w:lang w:val="pt-BR"/>
                    </w:rPr>
                  </w:pPr>
                  <w:r>
                    <w:rPr>
                      <w:bCs/>
                      <w:i/>
                      <w:sz w:val="20"/>
                      <w:lang w:val="pt-BR"/>
                    </w:rPr>
                    <w:t>Real-Time Market Clearing Price for Capacity for Non-Spin</w:t>
                  </w:r>
                  <w:r w:rsidR="00AD3EB1" w:rsidRPr="00A552C3">
                    <w:rPr>
                      <w:iCs/>
                      <w:sz w:val="20"/>
                    </w:rPr>
                    <w:t>—</w:t>
                  </w:r>
                  <w:r>
                    <w:rPr>
                      <w:bCs/>
                      <w:sz w:val="20"/>
                      <w:lang w:val="pt-BR"/>
                    </w:rPr>
                    <w:t>The Real-Time MCPC for Non-Spin for the 15-minute Settlement Interval.</w:t>
                  </w:r>
                </w:p>
              </w:tc>
            </w:tr>
            <w:tr w:rsidR="00CC5182" w14:paraId="771E61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1B31BB6" w14:textId="77777777" w:rsidR="00CC5182" w:rsidRDefault="00CC5182" w:rsidP="00CC5182">
                  <w:pPr>
                    <w:spacing w:after="60"/>
                    <w:rPr>
                      <w:bCs/>
                      <w:sz w:val="20"/>
                      <w:lang w:val="pt-BR"/>
                    </w:rPr>
                  </w:pPr>
                  <w:r>
                    <w:rPr>
                      <w:bCs/>
                      <w:sz w:val="20"/>
                      <w:lang w:val="pt-BR"/>
                    </w:rPr>
                    <w:t>RTMCPCECR</w:t>
                  </w:r>
                </w:p>
              </w:tc>
              <w:tc>
                <w:tcPr>
                  <w:tcW w:w="395" w:type="pct"/>
                  <w:tcBorders>
                    <w:top w:val="single" w:sz="4" w:space="0" w:color="auto"/>
                    <w:left w:val="single" w:sz="4" w:space="0" w:color="auto"/>
                    <w:bottom w:val="single" w:sz="4" w:space="0" w:color="auto"/>
                    <w:right w:val="single" w:sz="4" w:space="0" w:color="auto"/>
                  </w:tcBorders>
                  <w:hideMark/>
                </w:tcPr>
                <w:p w14:paraId="6F3AD434"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EEBCCD8" w14:textId="361C4B91" w:rsidR="00CC5182" w:rsidRDefault="00CC5182" w:rsidP="00CC5182">
                  <w:pPr>
                    <w:spacing w:after="60"/>
                    <w:rPr>
                      <w:bCs/>
                      <w:sz w:val="20"/>
                      <w:lang w:val="pt-BR"/>
                    </w:rPr>
                  </w:pPr>
                  <w:r>
                    <w:rPr>
                      <w:bCs/>
                      <w:i/>
                      <w:sz w:val="20"/>
                      <w:lang w:val="pt-BR"/>
                    </w:rPr>
                    <w:t>Real-Time Market Clearing Price for Capacity for ERCOT Contingency Reserve Service</w:t>
                  </w:r>
                  <w:r>
                    <w:rPr>
                      <w:bCs/>
                      <w:sz w:val="20"/>
                      <w:lang w:val="pt-BR"/>
                    </w:rPr>
                    <w:t>—The Real-Time MCPC for ECRS for the 15-minute Settlement Interval.</w:t>
                  </w:r>
                </w:p>
              </w:tc>
            </w:tr>
            <w:tr w:rsidR="00CC5182" w14:paraId="2EB54E67"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38955DE" w14:textId="77777777" w:rsidR="00CC5182" w:rsidRDefault="00CC5182" w:rsidP="00CC5182">
                  <w:pPr>
                    <w:spacing w:after="60"/>
                    <w:rPr>
                      <w:bCs/>
                      <w:i/>
                      <w:sz w:val="20"/>
                      <w:lang w:val="pt-BR"/>
                    </w:rPr>
                  </w:pPr>
                  <w:r>
                    <w:rPr>
                      <w:bCs/>
                      <w:sz w:val="20"/>
                      <w:lang w:val="pt-BR"/>
                    </w:rPr>
                    <w:t>RTRUDQ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6B00AE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A9E1C6D" w14:textId="6C6E180E" w:rsidR="00CC5182" w:rsidRDefault="00CC5182" w:rsidP="004A6858">
                  <w:pPr>
                    <w:spacing w:after="60"/>
                    <w:rPr>
                      <w:bCs/>
                      <w:sz w:val="20"/>
                      <w:lang w:val="pt-BR"/>
                    </w:rPr>
                  </w:pPr>
                  <w:r>
                    <w:rPr>
                      <w:bCs/>
                      <w:i/>
                      <w:sz w:val="20"/>
                      <w:lang w:val="pt-BR"/>
                    </w:rPr>
                    <w:t>Real-Time Regulation Up Derated Quantity</w:t>
                  </w:r>
                  <w:r w:rsidR="00041023" w:rsidRPr="00A552C3">
                    <w:rPr>
                      <w:iCs/>
                      <w:sz w:val="20"/>
                    </w:rPr>
                    <w:t>—</w:t>
                  </w:r>
                  <w:r>
                    <w:rPr>
                      <w:bCs/>
                      <w:sz w:val="20"/>
                      <w:lang w:val="pt-BR"/>
                    </w:rPr>
                    <w:t xml:space="preserve">The Reg-Up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EDE82C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C8D7FDC" w14:textId="77777777" w:rsidR="00CC5182" w:rsidRDefault="00CC5182" w:rsidP="00CC5182">
                  <w:pPr>
                    <w:spacing w:after="60"/>
                    <w:rPr>
                      <w:bCs/>
                      <w:sz w:val="20"/>
                      <w:lang w:val="pt-BR"/>
                    </w:rPr>
                  </w:pPr>
                  <w:r>
                    <w:rPr>
                      <w:bCs/>
                      <w:sz w:val="20"/>
                      <w:lang w:val="pt-BR"/>
                    </w:rPr>
                    <w:t>RTRDDQ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5B6F0ED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E990195" w14:textId="7FE8B040" w:rsidR="00CC5182" w:rsidRDefault="00CC5182" w:rsidP="004A6858">
                  <w:pPr>
                    <w:spacing w:after="60"/>
                    <w:rPr>
                      <w:bCs/>
                      <w:sz w:val="20"/>
                      <w:lang w:val="pt-BR"/>
                    </w:rPr>
                  </w:pPr>
                  <w:r>
                    <w:rPr>
                      <w:bCs/>
                      <w:i/>
                      <w:sz w:val="20"/>
                      <w:lang w:val="pt-BR"/>
                    </w:rPr>
                    <w:t>Real-Time Regulation Down Derated</w:t>
                  </w:r>
                  <w:r>
                    <w:rPr>
                      <w:bCs/>
                      <w:sz w:val="20"/>
                      <w:lang w:val="pt-BR"/>
                    </w:rPr>
                    <w:t xml:space="preserve"> </w:t>
                  </w:r>
                  <w:r>
                    <w:rPr>
                      <w:bCs/>
                      <w:i/>
                      <w:sz w:val="20"/>
                      <w:lang w:val="pt-BR"/>
                    </w:rPr>
                    <w:t>Quantity</w:t>
                  </w:r>
                  <w:r w:rsidR="00902CFF" w:rsidRPr="00A552C3">
                    <w:rPr>
                      <w:iCs/>
                      <w:sz w:val="20"/>
                    </w:rPr>
                    <w:t>—</w:t>
                  </w:r>
                  <w:r>
                    <w:rPr>
                      <w:bCs/>
                      <w:sz w:val="20"/>
                      <w:lang w:val="pt-BR"/>
                    </w:rPr>
                    <w:t xml:space="preserve">The Reg-Down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Pr>
                      <w:bCs/>
                      <w:sz w:val="20"/>
                      <w:lang w:val="pt-BR"/>
                    </w:rPr>
                    <w:t xml:space="preserve"> </w:t>
                  </w:r>
                  <w:r w:rsidR="006E3872">
                    <w:rPr>
                      <w:bCs/>
                      <w:sz w:val="20"/>
                      <w:lang w:val="pt-BR"/>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6671D7F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94CCBDD" w14:textId="77777777" w:rsidR="00CC5182" w:rsidRDefault="00CC5182" w:rsidP="00CC5182">
                  <w:pPr>
                    <w:spacing w:after="60"/>
                    <w:rPr>
                      <w:bCs/>
                      <w:sz w:val="20"/>
                      <w:lang w:val="pt-BR"/>
                    </w:rPr>
                  </w:pPr>
                  <w:r>
                    <w:rPr>
                      <w:bCs/>
                      <w:sz w:val="20"/>
                      <w:lang w:val="pt-BR"/>
                    </w:rPr>
                    <w:t>RTRRDQ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3235AB8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50018C57" w14:textId="4033CDEE" w:rsidR="00CC5182" w:rsidRDefault="00CC5182" w:rsidP="004A6858">
                  <w:pPr>
                    <w:spacing w:after="60"/>
                    <w:rPr>
                      <w:bCs/>
                      <w:sz w:val="20"/>
                      <w:lang w:val="pt-BR"/>
                    </w:rPr>
                  </w:pPr>
                  <w:r>
                    <w:rPr>
                      <w:bCs/>
                      <w:i/>
                      <w:sz w:val="20"/>
                      <w:lang w:val="pt-BR"/>
                    </w:rPr>
                    <w:t>Real-Time Responsive Reserve Derated Quantity</w:t>
                  </w:r>
                  <w:r w:rsidR="006E3872" w:rsidRPr="00A552C3">
                    <w:rPr>
                      <w:iCs/>
                      <w:sz w:val="20"/>
                    </w:rPr>
                    <w:t>—</w:t>
                  </w:r>
                  <w:r>
                    <w:rPr>
                      <w:bCs/>
                      <w:sz w:val="20"/>
                      <w:lang w:val="pt-BR"/>
                    </w:rPr>
                    <w:t xml:space="preserve">The RRS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5EB926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8763FCC" w14:textId="77777777" w:rsidR="00CC5182" w:rsidRDefault="00CC5182" w:rsidP="00CC5182">
                  <w:pPr>
                    <w:spacing w:after="60"/>
                    <w:rPr>
                      <w:bCs/>
                      <w:sz w:val="20"/>
                      <w:lang w:val="pt-BR"/>
                    </w:rPr>
                  </w:pPr>
                  <w:r>
                    <w:rPr>
                      <w:bCs/>
                      <w:sz w:val="20"/>
                      <w:lang w:val="pt-BR"/>
                    </w:rPr>
                    <w:t>RTECRDQ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B7A49A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0D677B22" w14:textId="03093543" w:rsidR="00CC5182" w:rsidRDefault="00CC5182" w:rsidP="00755483">
                  <w:pPr>
                    <w:spacing w:after="60"/>
                    <w:rPr>
                      <w:bCs/>
                      <w:sz w:val="20"/>
                      <w:lang w:val="pt-BR"/>
                    </w:rPr>
                  </w:pPr>
                  <w:r>
                    <w:rPr>
                      <w:bCs/>
                      <w:i/>
                      <w:sz w:val="20"/>
                      <w:lang w:val="pt-BR"/>
                    </w:rPr>
                    <w:t>Real-Time ERCOT Contingency Reserve Service Derated Quantity</w:t>
                  </w:r>
                  <w:r w:rsidR="006E3872" w:rsidRPr="00A552C3">
                    <w:rPr>
                      <w:iCs/>
                      <w:sz w:val="20"/>
                    </w:rPr>
                    <w:t>—</w:t>
                  </w:r>
                  <w:r>
                    <w:rPr>
                      <w:bCs/>
                      <w:sz w:val="20"/>
                      <w:lang w:val="pt-BR"/>
                    </w:rPr>
                    <w:t xml:space="preserve">The ECRS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Pr>
                      <w:bCs/>
                      <w:sz w:val="20"/>
                      <w:lang w:val="pt-BR"/>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067E30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95D5FF3" w14:textId="77777777" w:rsidR="00CC5182" w:rsidRDefault="00CC5182" w:rsidP="00CC5182">
                  <w:pPr>
                    <w:spacing w:after="60"/>
                    <w:rPr>
                      <w:bCs/>
                      <w:sz w:val="20"/>
                      <w:lang w:val="pt-BR"/>
                    </w:rPr>
                  </w:pPr>
                  <w:r>
                    <w:rPr>
                      <w:bCs/>
                      <w:sz w:val="20"/>
                      <w:lang w:val="pt-BR"/>
                    </w:rPr>
                    <w:t>RTNSDQ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1E36CCE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75EF19D" w14:textId="78DA98EE" w:rsidR="00CC5182" w:rsidRDefault="00CC5182" w:rsidP="00755483">
                  <w:pPr>
                    <w:spacing w:after="60"/>
                    <w:rPr>
                      <w:bCs/>
                      <w:sz w:val="20"/>
                      <w:lang w:val="pt-BR"/>
                    </w:rPr>
                  </w:pPr>
                  <w:r>
                    <w:rPr>
                      <w:bCs/>
                      <w:i/>
                      <w:sz w:val="20"/>
                      <w:lang w:val="pt-BR"/>
                    </w:rPr>
                    <w:t>Real-Time Non-Spin Derated Quantity</w:t>
                  </w:r>
                  <w:r w:rsidR="006E3872" w:rsidRPr="00A552C3">
                    <w:rPr>
                      <w:iCs/>
                      <w:sz w:val="20"/>
                    </w:rPr>
                    <w:t>—</w:t>
                  </w:r>
                  <w:r>
                    <w:rPr>
                      <w:bCs/>
                      <w:sz w:val="20"/>
                      <w:lang w:val="pt-BR"/>
                    </w:rPr>
                    <w:t>The Non</w:t>
                  </w:r>
                  <w:r w:rsidR="00221A13">
                    <w:rPr>
                      <w:bCs/>
                      <w:sz w:val="20"/>
                      <w:lang w:val="pt-BR"/>
                    </w:rPr>
                    <w:t>-</w:t>
                  </w:r>
                  <w:r>
                    <w:rPr>
                      <w:bCs/>
                      <w:sz w:val="20"/>
                      <w:lang w:val="pt-BR"/>
                    </w:rPr>
                    <w:t xml:space="preserve">Spin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00C8A61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C7CAECD" w14:textId="77777777" w:rsidR="00CC5182" w:rsidRDefault="00CC5182" w:rsidP="00CC5182">
                  <w:pPr>
                    <w:spacing w:after="60"/>
                    <w:rPr>
                      <w:bCs/>
                      <w:sz w:val="20"/>
                      <w:lang w:val="pt-BR"/>
                    </w:rPr>
                  </w:pPr>
                  <w:r>
                    <w:rPr>
                      <w:i/>
                      <w:sz w:val="20"/>
                    </w:rPr>
                    <w:t>q</w:t>
                  </w:r>
                </w:p>
              </w:tc>
              <w:tc>
                <w:tcPr>
                  <w:tcW w:w="395" w:type="pct"/>
                  <w:tcBorders>
                    <w:top w:val="single" w:sz="4" w:space="0" w:color="auto"/>
                    <w:left w:val="single" w:sz="4" w:space="0" w:color="auto"/>
                    <w:bottom w:val="single" w:sz="4" w:space="0" w:color="auto"/>
                    <w:right w:val="single" w:sz="4" w:space="0" w:color="auto"/>
                  </w:tcBorders>
                  <w:hideMark/>
                </w:tcPr>
                <w:p w14:paraId="164AB79B" w14:textId="77777777" w:rsidR="00CC5182" w:rsidRDefault="00CC5182" w:rsidP="00CC5182">
                  <w:pPr>
                    <w:spacing w:after="60"/>
                    <w:rPr>
                      <w:bCs/>
                      <w:sz w:val="20"/>
                      <w:lang w:val="pt-BR"/>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4B727393" w14:textId="77777777" w:rsidR="00CC5182" w:rsidRDefault="00CC5182" w:rsidP="00CC5182">
                  <w:pPr>
                    <w:spacing w:after="60"/>
                    <w:rPr>
                      <w:bCs/>
                      <w:i/>
                      <w:sz w:val="20"/>
                      <w:lang w:val="pt-BR"/>
                    </w:rPr>
                  </w:pPr>
                  <w:r>
                    <w:rPr>
                      <w:sz w:val="20"/>
                    </w:rPr>
                    <w:t>A QSE.</w:t>
                  </w:r>
                </w:p>
              </w:tc>
            </w:tr>
            <w:tr w:rsidR="00CC5182" w14:paraId="381771CD" w14:textId="77777777" w:rsidTr="00CC5182">
              <w:trPr>
                <w:trHeight w:val="89"/>
              </w:trPr>
              <w:tc>
                <w:tcPr>
                  <w:tcW w:w="1157" w:type="pct"/>
                  <w:tcBorders>
                    <w:top w:val="single" w:sz="4" w:space="0" w:color="auto"/>
                    <w:left w:val="single" w:sz="4" w:space="0" w:color="auto"/>
                    <w:bottom w:val="single" w:sz="4" w:space="0" w:color="auto"/>
                    <w:right w:val="single" w:sz="4" w:space="0" w:color="auto"/>
                  </w:tcBorders>
                  <w:hideMark/>
                </w:tcPr>
                <w:p w14:paraId="2C97C7F2" w14:textId="77777777" w:rsidR="00CC5182" w:rsidRDefault="00CC5182" w:rsidP="00CC5182">
                  <w:pPr>
                    <w:spacing w:after="60"/>
                    <w:rPr>
                      <w:i/>
                      <w:sz w:val="20"/>
                      <w:szCs w:val="24"/>
                    </w:rPr>
                  </w:pPr>
                  <w:r>
                    <w:rPr>
                      <w:i/>
                      <w:sz w:val="20"/>
                    </w:rPr>
                    <w:t>r</w:t>
                  </w:r>
                </w:p>
              </w:tc>
              <w:tc>
                <w:tcPr>
                  <w:tcW w:w="395" w:type="pct"/>
                  <w:tcBorders>
                    <w:top w:val="single" w:sz="4" w:space="0" w:color="auto"/>
                    <w:left w:val="single" w:sz="4" w:space="0" w:color="auto"/>
                    <w:bottom w:val="single" w:sz="4" w:space="0" w:color="auto"/>
                    <w:right w:val="single" w:sz="4" w:space="0" w:color="auto"/>
                  </w:tcBorders>
                  <w:hideMark/>
                </w:tcPr>
                <w:p w14:paraId="55DE6CB9" w14:textId="77777777" w:rsidR="00CC5182" w:rsidRDefault="00CC5182" w:rsidP="00CC5182">
                  <w:pPr>
                    <w:spacing w:after="60"/>
                    <w:rPr>
                      <w:sz w:val="20"/>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50FDEA6E" w14:textId="77777777" w:rsidR="00CC5182" w:rsidRDefault="00CC5182" w:rsidP="00CC5182">
                  <w:pPr>
                    <w:spacing w:after="60"/>
                    <w:rPr>
                      <w:sz w:val="20"/>
                    </w:rPr>
                  </w:pPr>
                  <w:r>
                    <w:rPr>
                      <w:sz w:val="20"/>
                    </w:rPr>
                    <w:t xml:space="preserve">A Resource. </w:t>
                  </w:r>
                </w:p>
              </w:tc>
            </w:tr>
          </w:tbl>
          <w:p w14:paraId="56D1E956" w14:textId="5F79DC57" w:rsidR="008871B2" w:rsidRPr="008871B2" w:rsidRDefault="008871B2" w:rsidP="001138B9">
            <w:pPr>
              <w:keepNext/>
              <w:tabs>
                <w:tab w:val="left" w:pos="1080"/>
              </w:tabs>
              <w:spacing w:before="480" w:after="240"/>
              <w:outlineLvl w:val="2"/>
              <w:rPr>
                <w:b/>
                <w:bCs/>
                <w:i/>
              </w:rPr>
            </w:pPr>
          </w:p>
        </w:tc>
      </w:tr>
    </w:tbl>
    <w:p w14:paraId="40918E3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51005B3" w14:textId="77777777" w:rsidTr="001138B9">
        <w:trPr>
          <w:trHeight w:val="206"/>
        </w:trPr>
        <w:tc>
          <w:tcPr>
            <w:tcW w:w="9350" w:type="dxa"/>
            <w:shd w:val="pct12" w:color="auto" w:fill="auto"/>
          </w:tcPr>
          <w:p w14:paraId="2B08FDBD" w14:textId="25D3A306" w:rsidR="008871B2" w:rsidRDefault="008871B2" w:rsidP="001138B9">
            <w:pPr>
              <w:pStyle w:val="Instructions"/>
              <w:spacing w:before="120"/>
            </w:pPr>
            <w:r>
              <w:t>[NPRR1010</w:t>
            </w:r>
            <w:r w:rsidR="00857818">
              <w:t xml:space="preserve"> and NPRR1245</w:t>
            </w:r>
            <w:r>
              <w:t>:  Insert Section 6.7.5.8 below upon system implementation of the Real-Time Co-Optimization (RTC) project:]</w:t>
            </w:r>
          </w:p>
          <w:p w14:paraId="5D4CC809" w14:textId="77777777" w:rsidR="00CC5182" w:rsidRPr="00CC5182" w:rsidRDefault="00CC5182" w:rsidP="00CC5182">
            <w:pPr>
              <w:pStyle w:val="Heading4"/>
              <w:numPr>
                <w:ilvl w:val="0"/>
                <w:numId w:val="0"/>
              </w:numPr>
            </w:pPr>
            <w:bookmarkStart w:id="2799" w:name="_Toc189044501"/>
            <w:r w:rsidRPr="00CC5182">
              <w:rPr>
                <w:bCs w:val="0"/>
              </w:rPr>
              <w:t>6.7.5.8</w:t>
            </w:r>
            <w:r w:rsidRPr="00CC5182">
              <w:rPr>
                <w:bCs w:val="0"/>
              </w:rPr>
              <w:tab/>
              <w:t>Real-Time Derated Ancillary Service Capability Charge</w:t>
            </w:r>
            <w:bookmarkEnd w:id="2799"/>
          </w:p>
          <w:p w14:paraId="65A2EBBE" w14:textId="62064FA5" w:rsidR="00CC5182" w:rsidRDefault="00CC5182" w:rsidP="00CC5182">
            <w:pPr>
              <w:pStyle w:val="BodyText"/>
              <w:ind w:left="720" w:hanging="720"/>
            </w:pPr>
            <w:r>
              <w:t>(1)</w:t>
            </w:r>
            <w:r>
              <w:tab/>
              <w:t xml:space="preserve">The total cost for Real-Time derated Ancillary Service payments is allocated to QSEs representing Load based on Load Ratio Share (LRS). </w:t>
            </w:r>
            <w:r w:rsidR="00221A13">
              <w:t xml:space="preserve"> </w:t>
            </w:r>
            <w:r>
              <w:t>The Real-Time derated Ancillary Service Payment allocations to each QSE for a given 15-minute Settlement Interval are calculated as follows:</w:t>
            </w:r>
          </w:p>
          <w:p w14:paraId="363AB622" w14:textId="77777777" w:rsidR="00CC5182" w:rsidRDefault="00CC5182" w:rsidP="00CC5182">
            <w:pPr>
              <w:pStyle w:val="BodyText"/>
              <w:ind w:left="1440"/>
            </w:pPr>
            <w:r>
              <w:t xml:space="preserve">LARTDASAMT </w:t>
            </w:r>
            <w:r>
              <w:rPr>
                <w:i/>
                <w:vertAlign w:val="subscript"/>
              </w:rPr>
              <w:t>q</w:t>
            </w:r>
            <w:r>
              <w:t xml:space="preserve"> =</w:t>
            </w:r>
            <w:r>
              <w:tab/>
              <w:t xml:space="preserve">(-1) * RTDASAMTTOT * LRS </w:t>
            </w:r>
            <w:r>
              <w:rPr>
                <w:i/>
                <w:vertAlign w:val="subscript"/>
              </w:rPr>
              <w:t>q</w:t>
            </w:r>
          </w:p>
          <w:p w14:paraId="056A1597" w14:textId="77777777" w:rsidR="00CC5182" w:rsidRDefault="00CC5182" w:rsidP="00CC5182">
            <w:pPr>
              <w:pStyle w:val="BodyText"/>
              <w:ind w:left="720" w:hanging="720"/>
            </w:pPr>
            <w:r>
              <w:tab/>
              <w:t>Where:</w:t>
            </w:r>
          </w:p>
          <w:p w14:paraId="51CAF029" w14:textId="49562F2D" w:rsidR="00CC5182" w:rsidRDefault="00CC5182" w:rsidP="00CC5182">
            <w:pPr>
              <w:pStyle w:val="BodyText"/>
              <w:ind w:left="720" w:firstLine="720"/>
              <w:rPr>
                <w:bCs/>
                <w:i/>
                <w:vertAlign w:val="subscript"/>
                <w:lang w:val="es-ES"/>
              </w:rPr>
            </w:pPr>
            <w:r>
              <w:lastRenderedPageBreak/>
              <w:t xml:space="preserve">RTDASAMTTOT = </w:t>
            </w:r>
            <w:r w:rsidR="00221A13">
              <w:rPr>
                <w:position w:val="-22"/>
                <w:szCs w:val="24"/>
              </w:rPr>
              <w:object w:dxaOrig="150" w:dyaOrig="285" w14:anchorId="7BD2B3E8">
                <v:shape id="_x0000_i1421" type="#_x0000_t75" style="width:12pt;height:24pt" o:ole="">
                  <v:imagedata r:id="rId327" o:title=""/>
                </v:shape>
                <o:OLEObject Type="Embed" ProgID="Equation.3" ShapeID="_x0000_i1421" DrawAspect="Content" ObjectID="_1804653904" r:id="rId513"/>
              </w:object>
            </w:r>
            <w:r>
              <w:t xml:space="preserve"> </w:t>
            </w:r>
            <w:r>
              <w:rPr>
                <w:bCs/>
                <w:lang w:val="pt-BR"/>
              </w:rPr>
              <w:t xml:space="preserve">RTDASAMT </w:t>
            </w:r>
            <w:r>
              <w:rPr>
                <w:bCs/>
                <w:i/>
                <w:vertAlign w:val="subscript"/>
                <w:lang w:val="es-ES"/>
              </w:rPr>
              <w:t>q</w:t>
            </w:r>
          </w:p>
          <w:p w14:paraId="716C3879" w14:textId="77777777" w:rsidR="00CC5182" w:rsidRPr="00CC5182" w:rsidRDefault="00CC5182" w:rsidP="00CC5182">
            <w:pPr>
              <w:pStyle w:val="Instructions"/>
              <w:spacing w:after="0"/>
              <w:ind w:left="720" w:hanging="720"/>
              <w:rPr>
                <w:b w:val="0"/>
                <w:i w:val="0"/>
              </w:rPr>
            </w:pPr>
            <w:r w:rsidRPr="00CC5182">
              <w:rPr>
                <w:b w:val="0"/>
                <w:i w:val="0"/>
                <w:iCs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03"/>
              <w:gridCol w:w="6290"/>
            </w:tblGrid>
            <w:tr w:rsidR="00CC5182" w14:paraId="73A178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5FBF6328" w14:textId="77777777" w:rsidR="00CC5182" w:rsidRDefault="00CC5182" w:rsidP="00CC5182">
                  <w:pPr>
                    <w:spacing w:after="240"/>
                    <w:rPr>
                      <w:b/>
                      <w:iCs/>
                      <w:sz w:val="20"/>
                    </w:rPr>
                  </w:pPr>
                  <w:r>
                    <w:rPr>
                      <w:b/>
                      <w:iCs/>
                      <w:sz w:val="20"/>
                    </w:rPr>
                    <w:t>Variable</w:t>
                  </w:r>
                </w:p>
              </w:tc>
              <w:tc>
                <w:tcPr>
                  <w:tcW w:w="386" w:type="pct"/>
                  <w:tcBorders>
                    <w:top w:val="single" w:sz="4" w:space="0" w:color="auto"/>
                    <w:left w:val="single" w:sz="4" w:space="0" w:color="auto"/>
                    <w:bottom w:val="single" w:sz="4" w:space="0" w:color="auto"/>
                    <w:right w:val="single" w:sz="4" w:space="0" w:color="auto"/>
                  </w:tcBorders>
                  <w:hideMark/>
                </w:tcPr>
                <w:p w14:paraId="4C4BD045" w14:textId="77777777" w:rsidR="00CC5182" w:rsidRDefault="00CC5182" w:rsidP="00CC5182">
                  <w:pPr>
                    <w:spacing w:after="240"/>
                    <w:rPr>
                      <w:b/>
                      <w:iCs/>
                      <w:sz w:val="20"/>
                    </w:rPr>
                  </w:pPr>
                  <w:r>
                    <w:rPr>
                      <w:b/>
                      <w:iCs/>
                      <w:sz w:val="20"/>
                    </w:rPr>
                    <w:t>Unit</w:t>
                  </w:r>
                </w:p>
              </w:tc>
              <w:tc>
                <w:tcPr>
                  <w:tcW w:w="3452" w:type="pct"/>
                  <w:tcBorders>
                    <w:top w:val="single" w:sz="4" w:space="0" w:color="auto"/>
                    <w:left w:val="single" w:sz="4" w:space="0" w:color="auto"/>
                    <w:bottom w:val="single" w:sz="4" w:space="0" w:color="auto"/>
                    <w:right w:val="single" w:sz="4" w:space="0" w:color="auto"/>
                  </w:tcBorders>
                  <w:hideMark/>
                </w:tcPr>
                <w:p w14:paraId="1381BFA2" w14:textId="77777777" w:rsidR="00CC5182" w:rsidRDefault="00CC5182" w:rsidP="00CC5182">
                  <w:pPr>
                    <w:spacing w:after="240"/>
                    <w:rPr>
                      <w:b/>
                      <w:iCs/>
                      <w:sz w:val="20"/>
                    </w:rPr>
                  </w:pPr>
                  <w:r>
                    <w:rPr>
                      <w:b/>
                      <w:iCs/>
                      <w:sz w:val="20"/>
                    </w:rPr>
                    <w:t>Description</w:t>
                  </w:r>
                </w:p>
              </w:tc>
            </w:tr>
            <w:tr w:rsidR="00CC5182" w14:paraId="6D0B7A60"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48B42E4" w14:textId="77777777" w:rsidR="00CC5182" w:rsidRDefault="00CC5182" w:rsidP="00CC5182">
                  <w:pPr>
                    <w:spacing w:after="60"/>
                    <w:rPr>
                      <w:iCs/>
                      <w:sz w:val="20"/>
                    </w:rPr>
                  </w:pPr>
                  <w:r>
                    <w:rPr>
                      <w:bCs/>
                      <w:sz w:val="20"/>
                      <w:lang w:val="pt-BR"/>
                    </w:rPr>
                    <w:t>LARTDASAMT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D91ECA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2231D6D5" w14:textId="4E287756" w:rsidR="00CC5182" w:rsidRDefault="00CC5182" w:rsidP="00CC5182">
                  <w:pPr>
                    <w:spacing w:after="60"/>
                    <w:rPr>
                      <w:iCs/>
                      <w:sz w:val="20"/>
                    </w:rPr>
                  </w:pPr>
                  <w:r>
                    <w:rPr>
                      <w:i/>
                      <w:iCs/>
                      <w:sz w:val="20"/>
                    </w:rPr>
                    <w:t>Load Allocated Real-Time Derated Ancillary Service Amount per QSE</w:t>
                  </w:r>
                  <w:r w:rsidR="00D4433A" w:rsidRPr="00A552C3">
                    <w:rPr>
                      <w:iCs/>
                      <w:sz w:val="20"/>
                    </w:rPr>
                    <w:t>—</w:t>
                  </w:r>
                  <w:r>
                    <w:rPr>
                      <w:iCs/>
                      <w:sz w:val="20"/>
                    </w:rPr>
                    <w:t xml:space="preserve">The charge to QSE </w:t>
                  </w:r>
                  <w:r>
                    <w:rPr>
                      <w:i/>
                      <w:iCs/>
                      <w:sz w:val="20"/>
                    </w:rPr>
                    <w:t>q</w:t>
                  </w:r>
                  <w:r>
                    <w:rPr>
                      <w:iCs/>
                      <w:sz w:val="20"/>
                    </w:rPr>
                    <w:t xml:space="preserve"> due to a manual reduction of Ancillary Services to be awarded for the 15-minute Settlement Interval.</w:t>
                  </w:r>
                </w:p>
              </w:tc>
            </w:tr>
            <w:tr w:rsidR="00CC5182" w14:paraId="7D6591BE"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6C629C46" w14:textId="77777777" w:rsidR="00CC5182" w:rsidRDefault="00CC5182" w:rsidP="00CC5182">
                  <w:pPr>
                    <w:spacing w:after="60"/>
                    <w:rPr>
                      <w:iCs/>
                      <w:sz w:val="20"/>
                    </w:rPr>
                  </w:pPr>
                  <w:r>
                    <w:rPr>
                      <w:bCs/>
                      <w:sz w:val="20"/>
                      <w:lang w:val="pt-BR"/>
                    </w:rPr>
                    <w:t>RTDASAMTTOT</w:t>
                  </w:r>
                </w:p>
              </w:tc>
              <w:tc>
                <w:tcPr>
                  <w:tcW w:w="386" w:type="pct"/>
                  <w:tcBorders>
                    <w:top w:val="single" w:sz="4" w:space="0" w:color="auto"/>
                    <w:left w:val="single" w:sz="4" w:space="0" w:color="auto"/>
                    <w:bottom w:val="single" w:sz="4" w:space="0" w:color="auto"/>
                    <w:right w:val="single" w:sz="4" w:space="0" w:color="auto"/>
                  </w:tcBorders>
                  <w:hideMark/>
                </w:tcPr>
                <w:p w14:paraId="1E121CB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37E593D8" w14:textId="0176EEF2" w:rsidR="00CC5182" w:rsidRDefault="00CC5182" w:rsidP="00CC5182">
                  <w:pPr>
                    <w:spacing w:after="60"/>
                    <w:rPr>
                      <w:i/>
                      <w:iCs/>
                      <w:sz w:val="20"/>
                    </w:rPr>
                  </w:pPr>
                  <w:r>
                    <w:rPr>
                      <w:i/>
                      <w:iCs/>
                      <w:sz w:val="20"/>
                    </w:rPr>
                    <w:t>Real-Time Derated Ancillary Service Amount Total</w:t>
                  </w:r>
                  <w:r>
                    <w:rPr>
                      <w:iCs/>
                      <w:sz w:val="20"/>
                    </w:rPr>
                    <w:t>—The total of all payments to all QSEs for amounts recoverable due to an ERCOT issued manual reduction of Ancillary Services to be awarded for the 15-minute Settlement Interval.</w:t>
                  </w:r>
                </w:p>
              </w:tc>
            </w:tr>
            <w:tr w:rsidR="00CC5182" w14:paraId="1B524B4D"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C9522C8" w14:textId="77777777" w:rsidR="00CC5182" w:rsidRDefault="00CC5182" w:rsidP="00CC5182">
                  <w:pPr>
                    <w:spacing w:after="60"/>
                    <w:rPr>
                      <w:bCs/>
                      <w:sz w:val="20"/>
                      <w:lang w:val="pt-BR"/>
                    </w:rPr>
                  </w:pPr>
                  <w:r>
                    <w:rPr>
                      <w:bCs/>
                      <w:sz w:val="20"/>
                      <w:lang w:val="pt-BR"/>
                    </w:rPr>
                    <w:t>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406416C4" w14:textId="77777777" w:rsidR="00CC5182" w:rsidRDefault="00CC5182" w:rsidP="00CC5182">
                  <w:pPr>
                    <w:spacing w:after="60"/>
                    <w:rPr>
                      <w:iCs/>
                      <w:sz w:val="20"/>
                      <w:szCs w:val="24"/>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5ACA3B50" w14:textId="77777777" w:rsidR="00CC5182" w:rsidRDefault="00CC5182" w:rsidP="00CC5182">
                  <w:pPr>
                    <w:spacing w:after="60"/>
                    <w:rPr>
                      <w:i/>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due to an ERCOT issued manual reduction of Ancillary Services to be awarded for the 15-minute Settlement Interval.</w:t>
                  </w:r>
                </w:p>
              </w:tc>
            </w:tr>
            <w:tr w:rsidR="00CC5182" w14:paraId="3E3BE3DB"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F1F7747" w14:textId="77777777" w:rsidR="00CC5182" w:rsidRDefault="00CC5182" w:rsidP="00CC5182">
                  <w:pPr>
                    <w:spacing w:after="60"/>
                    <w:rPr>
                      <w:bCs/>
                      <w:sz w:val="20"/>
                      <w:lang w:val="pt-BR"/>
                    </w:rPr>
                  </w:pPr>
                  <w:r>
                    <w:rPr>
                      <w:sz w:val="20"/>
                    </w:rPr>
                    <w:t>LRS</w:t>
                  </w:r>
                  <w:r>
                    <w:rPr>
                      <w:sz w:val="20"/>
                      <w:vertAlign w:val="subscript"/>
                    </w:rPr>
                    <w:t xml:space="preserve"> </w:t>
                  </w:r>
                  <w:r>
                    <w:rPr>
                      <w:i/>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52FC260" w14:textId="77777777" w:rsidR="00CC5182" w:rsidRDefault="00CC5182" w:rsidP="00CC5182">
                  <w:pPr>
                    <w:spacing w:after="60"/>
                    <w:rPr>
                      <w:iCs/>
                      <w:sz w:val="20"/>
                    </w:rPr>
                  </w:pPr>
                  <w:r>
                    <w:rPr>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4409FB7" w14:textId="77777777" w:rsidR="00CC5182" w:rsidRDefault="00CC5182" w:rsidP="00CC5182">
                  <w:pPr>
                    <w:spacing w:after="60"/>
                    <w:rPr>
                      <w:i/>
                      <w:iCs/>
                      <w:sz w:val="20"/>
                    </w:rPr>
                  </w:pPr>
                  <w:r>
                    <w:rPr>
                      <w:i/>
                      <w:sz w:val="20"/>
                    </w:rPr>
                    <w:t>Load Ratio Share per QSE</w:t>
                  </w:r>
                  <w:r>
                    <w:rPr>
                      <w:sz w:val="20"/>
                    </w:rPr>
                    <w:t xml:space="preserve">—The LRS as defined in Section 6.6.2.2, QSE Load Ratio Share for a 15-Minute Settlement Interval, for QSE </w:t>
                  </w:r>
                  <w:r>
                    <w:rPr>
                      <w:i/>
                      <w:sz w:val="20"/>
                    </w:rPr>
                    <w:t>q</w:t>
                  </w:r>
                  <w:r>
                    <w:rPr>
                      <w:sz w:val="20"/>
                    </w:rPr>
                    <w:t xml:space="preserve"> for the 15-minute Settlement Interval.</w:t>
                  </w:r>
                </w:p>
              </w:tc>
            </w:tr>
            <w:tr w:rsidR="00CC5182" w14:paraId="283344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AA12120" w14:textId="77777777" w:rsidR="00CC5182" w:rsidRDefault="00CC5182" w:rsidP="00CC5182">
                  <w:pPr>
                    <w:spacing w:after="60"/>
                    <w:rPr>
                      <w:bCs/>
                      <w:i/>
                      <w:sz w:val="20"/>
                      <w:lang w:val="pt-BR"/>
                    </w:rPr>
                  </w:pPr>
                  <w:r>
                    <w:rPr>
                      <w:bCs/>
                      <w:i/>
                      <w:sz w:val="20"/>
                      <w:lang w:val="pt-BR"/>
                    </w:rPr>
                    <w:t>q</w:t>
                  </w:r>
                </w:p>
              </w:tc>
              <w:tc>
                <w:tcPr>
                  <w:tcW w:w="386" w:type="pct"/>
                  <w:tcBorders>
                    <w:top w:val="single" w:sz="4" w:space="0" w:color="auto"/>
                    <w:left w:val="single" w:sz="4" w:space="0" w:color="auto"/>
                    <w:bottom w:val="single" w:sz="4" w:space="0" w:color="auto"/>
                    <w:right w:val="single" w:sz="4" w:space="0" w:color="auto"/>
                  </w:tcBorders>
                  <w:hideMark/>
                </w:tcPr>
                <w:p w14:paraId="328096ED" w14:textId="77777777" w:rsidR="00CC5182" w:rsidRDefault="00CC5182" w:rsidP="00CC5182">
                  <w:pPr>
                    <w:spacing w:after="60"/>
                    <w:rPr>
                      <w:iCs/>
                      <w:sz w:val="20"/>
                      <w:szCs w:val="24"/>
                    </w:rPr>
                  </w:pPr>
                  <w:r>
                    <w:rPr>
                      <w:iCs/>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A2AD4D2" w14:textId="77777777" w:rsidR="00CC5182" w:rsidRDefault="00CC5182" w:rsidP="00CC5182">
                  <w:pPr>
                    <w:spacing w:after="60"/>
                    <w:rPr>
                      <w:iCs/>
                      <w:sz w:val="20"/>
                    </w:rPr>
                  </w:pPr>
                  <w:r>
                    <w:rPr>
                      <w:iCs/>
                      <w:sz w:val="20"/>
                    </w:rPr>
                    <w:t>A QSE.</w:t>
                  </w:r>
                </w:p>
              </w:tc>
            </w:tr>
          </w:tbl>
          <w:p w14:paraId="12FB12E1" w14:textId="22F1B001" w:rsidR="008871B2" w:rsidRPr="008871B2" w:rsidRDefault="008871B2" w:rsidP="001138B9">
            <w:pPr>
              <w:keepNext/>
              <w:tabs>
                <w:tab w:val="left" w:pos="1080"/>
              </w:tabs>
              <w:spacing w:before="480" w:after="240"/>
              <w:outlineLvl w:val="2"/>
              <w:rPr>
                <w:b/>
                <w:bCs/>
                <w:i/>
              </w:rPr>
            </w:pPr>
          </w:p>
        </w:tc>
      </w:tr>
    </w:tbl>
    <w:p w14:paraId="2DCF1D0D" w14:textId="77777777" w:rsidR="001F04FD" w:rsidRPr="0080555B" w:rsidRDefault="001F04FD" w:rsidP="001F04FD">
      <w:pPr>
        <w:pStyle w:val="H3"/>
        <w:spacing w:before="480"/>
        <w:ind w:left="0" w:firstLine="0"/>
      </w:pPr>
      <w:bookmarkStart w:id="2800" w:name="_Toc189044502"/>
      <w:r w:rsidRPr="0080555B">
        <w:lastRenderedPageBreak/>
        <w:t>6.7.</w:t>
      </w:r>
      <w:r>
        <w:t>6</w:t>
      </w:r>
      <w:r w:rsidRPr="0080555B">
        <w:tab/>
        <w:t xml:space="preserve">Real-Time Ancillary Service Imbalance </w:t>
      </w:r>
      <w:r>
        <w:t>Revenue Neutrality Allocation</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800"/>
    </w:p>
    <w:p w14:paraId="7D9A3AE2" w14:textId="31E9F8D2" w:rsidR="001F04FD" w:rsidRPr="00213B85" w:rsidRDefault="001F04FD" w:rsidP="001F04FD">
      <w:pPr>
        <w:pStyle w:val="BodyText"/>
        <w:ind w:left="720" w:hanging="720"/>
        <w:rPr>
          <w:iCs w:val="0"/>
        </w:rPr>
      </w:pPr>
      <w:r>
        <w:t>(1)</w:t>
      </w:r>
      <w:r>
        <w:tab/>
        <w:t>The total cost for Ancillary Service Imbalance payments and charges</w:t>
      </w:r>
      <w:r w:rsidRPr="00991FAF">
        <w:t xml:space="preserve"> </w:t>
      </w:r>
      <w:r>
        <w:t>associated with ORDC and reliability deployments</w:t>
      </w:r>
      <w:r w:rsidRPr="00991FAF">
        <w:t xml:space="preserve"> is allocated to the QSEs representing</w:t>
      </w:r>
      <w:r>
        <w:t xml:space="preserve"> Load based on Load Ratio Share (LRS).  The Real-Time Ancillary Service imbalance revenue neutrality allocations to each QSE for a given 15-minute Settlement Interval are calculated as follows:</w:t>
      </w:r>
    </w:p>
    <w:p w14:paraId="20D1F507" w14:textId="77777777" w:rsidR="001F04FD" w:rsidRDefault="001F04FD" w:rsidP="001F04FD">
      <w:pPr>
        <w:pStyle w:val="FormulaBold"/>
        <w:ind w:left="3600" w:hanging="2430"/>
      </w:pPr>
      <w:r>
        <w:t xml:space="preserve">LAASIRNAMT </w:t>
      </w:r>
      <w:r>
        <w:rPr>
          <w:i/>
          <w:vertAlign w:val="subscript"/>
        </w:rPr>
        <w:t>q</w:t>
      </w:r>
      <w:r>
        <w:t>=</w:t>
      </w:r>
      <w:r>
        <w:tab/>
      </w:r>
      <w:r>
        <w:tab/>
        <w:t xml:space="preserve">(-1) * [(RTASIAMTTOT + RTRUCRSVAMTTOT) * LRS </w:t>
      </w:r>
      <w:r>
        <w:rPr>
          <w:i/>
          <w:vertAlign w:val="subscript"/>
        </w:rPr>
        <w:t>q</w:t>
      </w:r>
      <w:r w:rsidRPr="0005626C">
        <w:t>]</w:t>
      </w:r>
    </w:p>
    <w:p w14:paraId="31B1CA03" w14:textId="403BB4DC" w:rsidR="001F04FD" w:rsidRPr="007243C1" w:rsidRDefault="001F04FD" w:rsidP="001F04FD">
      <w:pPr>
        <w:pStyle w:val="FormulaBold"/>
        <w:ind w:left="3600" w:hanging="2430"/>
      </w:pPr>
      <w:r>
        <w:t xml:space="preserve">LARDASIRNAMT </w:t>
      </w:r>
      <w:r>
        <w:rPr>
          <w:i/>
          <w:vertAlign w:val="subscript"/>
        </w:rPr>
        <w:t>q</w:t>
      </w:r>
      <w:r>
        <w:t>=</w:t>
      </w:r>
      <w:r>
        <w:tab/>
        <w:t xml:space="preserve">(-1) * [(RTRDASIAMTTOT + RTRDRUCRSVAMTTOT) * LRS </w:t>
      </w:r>
      <w:r>
        <w:rPr>
          <w:i/>
          <w:vertAlign w:val="subscript"/>
        </w:rPr>
        <w:t>q</w:t>
      </w:r>
      <w:r w:rsidRPr="0005626C">
        <w:t>]</w:t>
      </w:r>
    </w:p>
    <w:p w14:paraId="0C9F9EF9" w14:textId="77777777" w:rsidR="001F04FD" w:rsidRDefault="001F04FD" w:rsidP="001F04FD">
      <w:pPr>
        <w:pStyle w:val="BodyText"/>
      </w:pPr>
      <w:r>
        <w:t>Where:</w:t>
      </w:r>
    </w:p>
    <w:p w14:paraId="62A26DAD" w14:textId="77777777" w:rsidR="001F04FD" w:rsidRDefault="001F04FD" w:rsidP="001F04FD">
      <w:pPr>
        <w:pStyle w:val="Formula"/>
        <w:ind w:leftChars="488" w:left="3600" w:hangingChars="1012" w:hanging="2429"/>
        <w:rPr>
          <w:i/>
          <w:vertAlign w:val="subscript"/>
        </w:rPr>
      </w:pPr>
      <w:r>
        <w:t>RTASIAMTTOT</w:t>
      </w:r>
      <w:r>
        <w:tab/>
      </w:r>
      <w:r>
        <w:tab/>
        <w:t>=</w:t>
      </w:r>
      <w:r>
        <w:tab/>
      </w:r>
      <w:r w:rsidRPr="006F784F">
        <w:rPr>
          <w:position w:val="-22"/>
        </w:rPr>
        <w:object w:dxaOrig="210" w:dyaOrig="465" w14:anchorId="31BEC359">
          <v:shape id="_x0000_i1422" type="#_x0000_t75" style="width:6pt;height:24pt" o:ole="">
            <v:imagedata r:id="rId324" o:title=""/>
          </v:shape>
          <o:OLEObject Type="Embed" ProgID="Equation.3" ShapeID="_x0000_i1422" DrawAspect="Content" ObjectID="_1804653905" r:id="rId514"/>
        </w:object>
      </w:r>
      <w:r>
        <w:t xml:space="preserve">RTASIAMT </w:t>
      </w:r>
      <w:r>
        <w:rPr>
          <w:i/>
          <w:vertAlign w:val="subscript"/>
        </w:rPr>
        <w:t>q</w:t>
      </w:r>
    </w:p>
    <w:p w14:paraId="0C568109" w14:textId="77777777" w:rsidR="001F04FD" w:rsidRDefault="001F04FD" w:rsidP="001F04FD">
      <w:pPr>
        <w:pStyle w:val="Formula"/>
        <w:ind w:leftChars="487" w:left="3598" w:hangingChars="1012" w:hanging="2429"/>
        <w:rPr>
          <w:i/>
          <w:vertAlign w:val="subscript"/>
        </w:rPr>
      </w:pPr>
      <w:r>
        <w:t>RTRUCRSVAMTTOT</w:t>
      </w:r>
      <w:r>
        <w:tab/>
        <w:t>=</w:t>
      </w:r>
      <w:r>
        <w:tab/>
      </w:r>
      <w:r w:rsidRPr="006F784F">
        <w:rPr>
          <w:position w:val="-22"/>
        </w:rPr>
        <w:object w:dxaOrig="210" w:dyaOrig="465" w14:anchorId="7E58EED1">
          <v:shape id="_x0000_i1423" type="#_x0000_t75" style="width:6pt;height:24pt" o:ole="">
            <v:imagedata r:id="rId324" o:title=""/>
          </v:shape>
          <o:OLEObject Type="Embed" ProgID="Equation.3" ShapeID="_x0000_i1423" DrawAspect="Content" ObjectID="_1804653906" r:id="rId515"/>
        </w:object>
      </w:r>
      <w:r>
        <w:t xml:space="preserve"> </w:t>
      </w:r>
      <w:r w:rsidRPr="00407DDC">
        <w:t>RTRUCRSV</w:t>
      </w:r>
      <w:r>
        <w:t>A</w:t>
      </w:r>
      <w:r w:rsidRPr="00407DDC">
        <w:t xml:space="preserve">MT </w:t>
      </w:r>
      <w:r w:rsidRPr="0080555B">
        <w:rPr>
          <w:i/>
          <w:vertAlign w:val="subscript"/>
        </w:rPr>
        <w:t>q</w:t>
      </w:r>
    </w:p>
    <w:p w14:paraId="6DA0DB0F" w14:textId="0E6D6660" w:rsidR="001F04FD" w:rsidRDefault="001F04FD" w:rsidP="001F04FD">
      <w:pPr>
        <w:pStyle w:val="Formula"/>
        <w:ind w:leftChars="488" w:left="3600" w:hangingChars="1012" w:hanging="2429"/>
        <w:rPr>
          <w:i/>
          <w:vertAlign w:val="subscript"/>
        </w:rPr>
      </w:pPr>
      <w:r>
        <w:t>RTRDASIAMTTOT</w:t>
      </w:r>
      <w:r>
        <w:tab/>
        <w:t>=</w:t>
      </w:r>
      <w:r>
        <w:tab/>
      </w:r>
      <w:r w:rsidRPr="006F784F">
        <w:rPr>
          <w:position w:val="-22"/>
        </w:rPr>
        <w:object w:dxaOrig="210" w:dyaOrig="465" w14:anchorId="34CEBEB0">
          <v:shape id="_x0000_i1424" type="#_x0000_t75" style="width:6pt;height:24pt" o:ole="">
            <v:imagedata r:id="rId324" o:title=""/>
          </v:shape>
          <o:OLEObject Type="Embed" ProgID="Equation.3" ShapeID="_x0000_i1424" DrawAspect="Content" ObjectID="_1804653907" r:id="rId516"/>
        </w:object>
      </w:r>
      <w:r>
        <w:t xml:space="preserve">RTRDASIAMT </w:t>
      </w:r>
      <w:r>
        <w:rPr>
          <w:i/>
          <w:vertAlign w:val="subscript"/>
        </w:rPr>
        <w:t>q</w:t>
      </w:r>
    </w:p>
    <w:p w14:paraId="4F00AF68" w14:textId="48AFD0BA" w:rsidR="001F04FD" w:rsidRDefault="001F04FD" w:rsidP="001F04FD">
      <w:pPr>
        <w:pStyle w:val="Formula"/>
        <w:ind w:leftChars="487" w:left="3598" w:hangingChars="1012" w:hanging="2429"/>
        <w:rPr>
          <w:i/>
          <w:vertAlign w:val="subscript"/>
        </w:rPr>
      </w:pPr>
      <w:r>
        <w:t>RTRDRUCRSVAMTTOT=</w:t>
      </w:r>
      <w:r>
        <w:tab/>
      </w:r>
      <w:r w:rsidRPr="006F784F">
        <w:rPr>
          <w:position w:val="-22"/>
        </w:rPr>
        <w:object w:dxaOrig="210" w:dyaOrig="465" w14:anchorId="7A763C07">
          <v:shape id="_x0000_i1425" type="#_x0000_t75" style="width:6pt;height:24pt" o:ole="">
            <v:imagedata r:id="rId324" o:title=""/>
          </v:shape>
          <o:OLEObject Type="Embed" ProgID="Equation.3" ShapeID="_x0000_i1425" DrawAspect="Content" ObjectID="_1804653908" r:id="rId517"/>
        </w:object>
      </w:r>
      <w:r>
        <w:t xml:space="preserve"> </w:t>
      </w:r>
      <w:r w:rsidRPr="00407DDC">
        <w:t>RT</w:t>
      </w:r>
      <w:r>
        <w:t>RD</w:t>
      </w:r>
      <w:r w:rsidRPr="00407DDC">
        <w:t>RUCRSV</w:t>
      </w:r>
      <w:r>
        <w:t>A</w:t>
      </w:r>
      <w:r w:rsidRPr="00407DDC">
        <w:t xml:space="preserve">MT </w:t>
      </w:r>
      <w:r w:rsidRPr="0080555B">
        <w:rPr>
          <w:i/>
          <w:vertAlign w:val="subscript"/>
        </w:rPr>
        <w:t>q</w:t>
      </w:r>
    </w:p>
    <w:p w14:paraId="6856046B" w14:textId="77777777" w:rsidR="001F04FD" w:rsidRDefault="001F04FD" w:rsidP="001F04FD">
      <w: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1F04FD" w14:paraId="140E9C5E" w14:textId="77777777" w:rsidTr="00AC4DEE">
        <w:trPr>
          <w:tblHeader/>
        </w:trPr>
        <w:tc>
          <w:tcPr>
            <w:tcW w:w="1244" w:type="pct"/>
          </w:tcPr>
          <w:p w14:paraId="46F45C54" w14:textId="77777777" w:rsidR="001F04FD" w:rsidRPr="00CE4C14" w:rsidRDefault="001F04FD" w:rsidP="00AC4DEE">
            <w:pPr>
              <w:pStyle w:val="TableHead"/>
            </w:pPr>
            <w:r w:rsidRPr="00CE4C14">
              <w:t>Variable</w:t>
            </w:r>
          </w:p>
        </w:tc>
        <w:tc>
          <w:tcPr>
            <w:tcW w:w="316" w:type="pct"/>
          </w:tcPr>
          <w:p w14:paraId="2786EC17" w14:textId="77777777" w:rsidR="001F04FD" w:rsidRPr="00CE4C14" w:rsidRDefault="001F04FD" w:rsidP="00AC4DEE">
            <w:pPr>
              <w:pStyle w:val="TableHead"/>
            </w:pPr>
            <w:r w:rsidRPr="00CE4C14">
              <w:t>Unit</w:t>
            </w:r>
          </w:p>
        </w:tc>
        <w:tc>
          <w:tcPr>
            <w:tcW w:w="3440" w:type="pct"/>
          </w:tcPr>
          <w:p w14:paraId="7E1C0592" w14:textId="77777777" w:rsidR="001F04FD" w:rsidRPr="00CE4C14" w:rsidRDefault="001F04FD" w:rsidP="00AC4DEE">
            <w:pPr>
              <w:pStyle w:val="TableHead"/>
            </w:pPr>
            <w:r w:rsidRPr="00CE4C14">
              <w:t>Definition</w:t>
            </w:r>
          </w:p>
        </w:tc>
      </w:tr>
      <w:tr w:rsidR="001F04FD" w14:paraId="14A16DC6" w14:textId="77777777" w:rsidTr="00AC4DEE">
        <w:tc>
          <w:tcPr>
            <w:tcW w:w="1244" w:type="pct"/>
          </w:tcPr>
          <w:p w14:paraId="0F916C09" w14:textId="77777777" w:rsidR="001F04FD" w:rsidRPr="00CE4C14" w:rsidRDefault="001F04FD" w:rsidP="00AC4DEE">
            <w:pPr>
              <w:pStyle w:val="TableBody"/>
            </w:pPr>
            <w:r w:rsidRPr="00CE4C14">
              <w:t xml:space="preserve">LAASIRNAMT </w:t>
            </w:r>
            <w:r w:rsidRPr="000275BF">
              <w:rPr>
                <w:i/>
                <w:vertAlign w:val="subscript"/>
              </w:rPr>
              <w:t>q</w:t>
            </w:r>
          </w:p>
        </w:tc>
        <w:tc>
          <w:tcPr>
            <w:tcW w:w="316" w:type="pct"/>
          </w:tcPr>
          <w:p w14:paraId="58EA5D59" w14:textId="77777777" w:rsidR="001F04FD" w:rsidRPr="00CE4C14" w:rsidRDefault="001F04FD" w:rsidP="00AC4DEE">
            <w:pPr>
              <w:pStyle w:val="TableBody"/>
            </w:pPr>
            <w:r w:rsidRPr="00CE4C14">
              <w:t>$</w:t>
            </w:r>
          </w:p>
        </w:tc>
        <w:tc>
          <w:tcPr>
            <w:tcW w:w="3440" w:type="pct"/>
          </w:tcPr>
          <w:p w14:paraId="320C157F" w14:textId="77777777" w:rsidR="001F04FD" w:rsidRPr="00CE4C14" w:rsidRDefault="001F04FD" w:rsidP="00AC4DEE">
            <w:pPr>
              <w:pStyle w:val="TableBody"/>
            </w:pPr>
            <w:r w:rsidRPr="00CE4C14">
              <w:rPr>
                <w:i/>
              </w:rPr>
              <w:t>Load-Allocated 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ORDC </w:t>
            </w:r>
            <w:r w:rsidRPr="00CE4C14">
              <w:t>for the 15-minute Settlement Interval.</w:t>
            </w:r>
          </w:p>
        </w:tc>
      </w:tr>
      <w:tr w:rsidR="001F04FD" w14:paraId="6C54BD72" w14:textId="77777777" w:rsidTr="00AC4DEE">
        <w:tc>
          <w:tcPr>
            <w:tcW w:w="1244" w:type="pct"/>
          </w:tcPr>
          <w:p w14:paraId="0FFD0718" w14:textId="03045DFF" w:rsidR="001F04FD" w:rsidRPr="00CE4C14" w:rsidRDefault="001F04FD" w:rsidP="00AC4DEE">
            <w:pPr>
              <w:pStyle w:val="TableBody"/>
            </w:pPr>
            <w:r w:rsidRPr="00CE4C14">
              <w:t>LA</w:t>
            </w:r>
            <w:r>
              <w:t>RD</w:t>
            </w:r>
            <w:r w:rsidRPr="00CE4C14">
              <w:t xml:space="preserve">ASIRNAMT </w:t>
            </w:r>
            <w:r w:rsidRPr="000275BF">
              <w:rPr>
                <w:i/>
                <w:vertAlign w:val="subscript"/>
              </w:rPr>
              <w:t>q</w:t>
            </w:r>
          </w:p>
        </w:tc>
        <w:tc>
          <w:tcPr>
            <w:tcW w:w="316" w:type="pct"/>
          </w:tcPr>
          <w:p w14:paraId="7905E61A" w14:textId="5996A40D" w:rsidR="001F04FD" w:rsidRPr="00CE4C14" w:rsidRDefault="001F04FD" w:rsidP="00AC4DEE">
            <w:pPr>
              <w:pStyle w:val="TableBody"/>
            </w:pPr>
            <w:r w:rsidRPr="00CE4C14">
              <w:t>$</w:t>
            </w:r>
          </w:p>
        </w:tc>
        <w:tc>
          <w:tcPr>
            <w:tcW w:w="3440" w:type="pct"/>
          </w:tcPr>
          <w:p w14:paraId="72597119" w14:textId="68F18A1D" w:rsidR="001F04FD" w:rsidRPr="00CE4C14" w:rsidRDefault="001F04FD" w:rsidP="00AC4DEE">
            <w:pPr>
              <w:pStyle w:val="TableBody"/>
              <w:rPr>
                <w:i/>
              </w:rPr>
            </w:pPr>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p>
        </w:tc>
      </w:tr>
      <w:tr w:rsidR="001F04FD" w14:paraId="068C9C55" w14:textId="77777777" w:rsidTr="00AC4DEE">
        <w:tc>
          <w:tcPr>
            <w:tcW w:w="1244" w:type="pct"/>
          </w:tcPr>
          <w:p w14:paraId="09F4B7E0" w14:textId="77777777" w:rsidR="001F04FD" w:rsidRPr="00CE4C14" w:rsidRDefault="001F04FD" w:rsidP="00AC4DEE">
            <w:pPr>
              <w:pStyle w:val="TableBody"/>
            </w:pPr>
            <w:r w:rsidRPr="00CE4C14">
              <w:t>RTASIAMTTOT</w:t>
            </w:r>
          </w:p>
        </w:tc>
        <w:tc>
          <w:tcPr>
            <w:tcW w:w="316" w:type="pct"/>
          </w:tcPr>
          <w:p w14:paraId="0C3ED0CA" w14:textId="77777777" w:rsidR="001F04FD" w:rsidRPr="00CE4C14" w:rsidRDefault="001F04FD" w:rsidP="00AC4DEE">
            <w:pPr>
              <w:pStyle w:val="TableBody"/>
            </w:pPr>
            <w:r w:rsidRPr="00CE4C14">
              <w:t>$</w:t>
            </w:r>
          </w:p>
        </w:tc>
        <w:tc>
          <w:tcPr>
            <w:tcW w:w="3440" w:type="pct"/>
          </w:tcPr>
          <w:p w14:paraId="60DC82A3" w14:textId="77777777" w:rsidR="001F04FD" w:rsidRPr="00CE4C14" w:rsidRDefault="001F04FD" w:rsidP="00AC4DEE">
            <w:pPr>
              <w:pStyle w:val="TableBody"/>
              <w:rPr>
                <w:i/>
              </w:rPr>
            </w:pPr>
            <w:r w:rsidRPr="00CE4C14">
              <w:rPr>
                <w:i/>
              </w:rPr>
              <w:t>Real-Time Ancillary Service Imbalance Market Total Amount</w:t>
            </w:r>
            <w:r w:rsidRPr="00CE4C14">
              <w:t>—</w:t>
            </w:r>
            <w:r w:rsidRPr="00CE4C14">
              <w:rPr>
                <w:iCs w:val="0"/>
              </w:rPr>
              <w:t xml:space="preserve">The total payment or charge to all QSEs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66688771" w14:textId="77777777" w:rsidTr="00AC4DEE">
        <w:tc>
          <w:tcPr>
            <w:tcW w:w="1244" w:type="pct"/>
          </w:tcPr>
          <w:p w14:paraId="5B5618AF" w14:textId="77777777" w:rsidR="001F04FD" w:rsidRPr="00CE4C14" w:rsidRDefault="001F04FD" w:rsidP="00AC4DEE">
            <w:pPr>
              <w:pStyle w:val="TableBody"/>
            </w:pPr>
            <w:r w:rsidRPr="00CE4C14">
              <w:t>RTASIAMT</w:t>
            </w:r>
            <w:r w:rsidRPr="00CE4C14">
              <w:rPr>
                <w:i/>
                <w:vertAlign w:val="subscript"/>
              </w:rPr>
              <w:t xml:space="preserve"> q</w:t>
            </w:r>
          </w:p>
        </w:tc>
        <w:tc>
          <w:tcPr>
            <w:tcW w:w="316" w:type="pct"/>
          </w:tcPr>
          <w:p w14:paraId="10FDC712" w14:textId="77777777" w:rsidR="001F04FD" w:rsidRPr="00CE4C14" w:rsidRDefault="001F04FD" w:rsidP="00AC4DEE">
            <w:pPr>
              <w:pStyle w:val="TableBody"/>
            </w:pPr>
            <w:r w:rsidRPr="00CE4C14">
              <w:t>$</w:t>
            </w:r>
          </w:p>
        </w:tc>
        <w:tc>
          <w:tcPr>
            <w:tcW w:w="3440" w:type="pct"/>
          </w:tcPr>
          <w:p w14:paraId="72CABAAE" w14:textId="77777777" w:rsidR="001F04FD" w:rsidRPr="00CE4C14" w:rsidRDefault="001F04FD" w:rsidP="00AC4DEE">
            <w:pPr>
              <w:pStyle w:val="TableBody"/>
            </w:pPr>
            <w:r w:rsidRPr="00CE4C14">
              <w:rPr>
                <w:i/>
              </w:rPr>
              <w:t>Real-Time Ancillary Service Imbalance Amount</w:t>
            </w:r>
            <w:r w:rsidRPr="00CE4C14">
              <w:t>—</w:t>
            </w:r>
            <w:r w:rsidRPr="00CE4C14">
              <w:rPr>
                <w:iCs w:val="0"/>
              </w:rPr>
              <w:t xml:space="preserve">The total payment or charge to QSE </w:t>
            </w:r>
            <w:r w:rsidRPr="00CE4C14">
              <w:rPr>
                <w:i/>
                <w:iCs w:val="0"/>
              </w:rPr>
              <w:t>q</w:t>
            </w:r>
            <w:r w:rsidRPr="00CE4C14">
              <w:rPr>
                <w:iCs w:val="0"/>
              </w:rPr>
              <w:t xml:space="preserve">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508CCCD7" w14:textId="77777777" w:rsidTr="00AC4DEE">
        <w:tc>
          <w:tcPr>
            <w:tcW w:w="1244" w:type="pct"/>
          </w:tcPr>
          <w:p w14:paraId="5320D8FC" w14:textId="4F46E0EC" w:rsidR="001F04FD" w:rsidRPr="00CE4C14" w:rsidRDefault="001F04FD" w:rsidP="00AC4DEE">
            <w:pPr>
              <w:pStyle w:val="TableBody"/>
            </w:pPr>
            <w:r>
              <w:t>RTRDASIAMTTOT</w:t>
            </w:r>
          </w:p>
        </w:tc>
        <w:tc>
          <w:tcPr>
            <w:tcW w:w="316" w:type="pct"/>
          </w:tcPr>
          <w:p w14:paraId="2E311AB5" w14:textId="6D2F9FE3" w:rsidR="001F04FD" w:rsidRPr="00CE4C14" w:rsidRDefault="001F04FD" w:rsidP="00AC4DEE">
            <w:pPr>
              <w:pStyle w:val="TableBody"/>
            </w:pPr>
            <w:r>
              <w:t>$</w:t>
            </w:r>
          </w:p>
        </w:tc>
        <w:tc>
          <w:tcPr>
            <w:tcW w:w="3440" w:type="pct"/>
          </w:tcPr>
          <w:p w14:paraId="2CDA5F75" w14:textId="069046D4"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32ED9E2" w14:textId="77777777" w:rsidTr="00AC4DEE">
        <w:tc>
          <w:tcPr>
            <w:tcW w:w="1244" w:type="pct"/>
          </w:tcPr>
          <w:p w14:paraId="449B3CEE" w14:textId="7FC6AEFE" w:rsidR="001F04FD" w:rsidRPr="00213B85" w:rsidRDefault="001F04FD" w:rsidP="00AC4DEE">
            <w:pPr>
              <w:pStyle w:val="TableBody"/>
            </w:pPr>
            <w:r>
              <w:t xml:space="preserve">RTRDASIAMT </w:t>
            </w:r>
            <w:r>
              <w:rPr>
                <w:i/>
                <w:vertAlign w:val="subscript"/>
              </w:rPr>
              <w:t>q</w:t>
            </w:r>
          </w:p>
        </w:tc>
        <w:tc>
          <w:tcPr>
            <w:tcW w:w="316" w:type="pct"/>
          </w:tcPr>
          <w:p w14:paraId="127D54B9" w14:textId="04343B3E" w:rsidR="001F04FD" w:rsidRPr="00CE4C14" w:rsidRDefault="001F04FD" w:rsidP="00AC4DEE">
            <w:pPr>
              <w:pStyle w:val="TableBody"/>
            </w:pPr>
            <w:r>
              <w:t>$</w:t>
            </w:r>
          </w:p>
        </w:tc>
        <w:tc>
          <w:tcPr>
            <w:tcW w:w="3440" w:type="pct"/>
          </w:tcPr>
          <w:p w14:paraId="6D280403" w14:textId="0168A7A6"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D17B8E1" w14:textId="77777777" w:rsidTr="00AC4DEE">
        <w:tc>
          <w:tcPr>
            <w:tcW w:w="1244" w:type="pct"/>
          </w:tcPr>
          <w:p w14:paraId="27697112" w14:textId="77777777" w:rsidR="001F04FD" w:rsidRPr="00CE4C14" w:rsidRDefault="001F04FD" w:rsidP="00AC4DEE">
            <w:pPr>
              <w:pStyle w:val="TableBody"/>
            </w:pPr>
            <w:r w:rsidRPr="00CE4C14">
              <w:t>RTRUCRSVAMTTOT</w:t>
            </w:r>
          </w:p>
        </w:tc>
        <w:tc>
          <w:tcPr>
            <w:tcW w:w="316" w:type="pct"/>
          </w:tcPr>
          <w:p w14:paraId="13237B56" w14:textId="77777777" w:rsidR="001F04FD" w:rsidRPr="00CE4C14" w:rsidRDefault="001F04FD" w:rsidP="00AC4DEE">
            <w:pPr>
              <w:pStyle w:val="TableBody"/>
            </w:pPr>
            <w:r w:rsidRPr="00CE4C14">
              <w:t>$</w:t>
            </w:r>
          </w:p>
        </w:tc>
        <w:tc>
          <w:tcPr>
            <w:tcW w:w="3440" w:type="pct"/>
          </w:tcPr>
          <w:p w14:paraId="533F43C5" w14:textId="77777777" w:rsidR="001F04FD" w:rsidRPr="00CE4C14" w:rsidRDefault="001F04FD" w:rsidP="00AC4DEE">
            <w:pPr>
              <w:pStyle w:val="TableBody"/>
              <w:rPr>
                <w:i/>
              </w:rPr>
            </w:pPr>
            <w:r w:rsidRPr="00CE4C14">
              <w:rPr>
                <w:i/>
              </w:rPr>
              <w:t>Real-Time RUC Ancillary Service Reserve Market Total Amount</w:t>
            </w:r>
            <w:r w:rsidRPr="00CE4C14">
              <w:t>—</w:t>
            </w:r>
            <w:r w:rsidRPr="00CE4C14">
              <w:rPr>
                <w:iCs w:val="0"/>
              </w:rPr>
              <w:t xml:space="preserve">The total payment to all QSEs </w:t>
            </w:r>
            <w:r w:rsidRPr="00CE4C14">
              <w:t xml:space="preserve">for the Real-Time RUC Ancillary Service reserve payments </w:t>
            </w:r>
            <w:r>
              <w:t xml:space="preserve">associated with ORDC </w:t>
            </w:r>
            <w:r w:rsidRPr="00CE4C14">
              <w:rPr>
                <w:iCs w:val="0"/>
              </w:rPr>
              <w:t>for each 15-minute Settlement Interval.</w:t>
            </w:r>
          </w:p>
        </w:tc>
      </w:tr>
      <w:tr w:rsidR="001F04FD" w14:paraId="26CFD4C8" w14:textId="77777777" w:rsidTr="00AC4DEE">
        <w:tc>
          <w:tcPr>
            <w:tcW w:w="1244" w:type="pct"/>
          </w:tcPr>
          <w:p w14:paraId="521C612F" w14:textId="77777777" w:rsidR="001F04FD" w:rsidRPr="00CE4C14" w:rsidRDefault="001F04FD" w:rsidP="00AC4DEE">
            <w:pPr>
              <w:pStyle w:val="TableBody"/>
            </w:pPr>
            <w:r w:rsidRPr="00CE4C14">
              <w:t xml:space="preserve">RTRUCRSVAMT </w:t>
            </w:r>
            <w:r w:rsidRPr="00CE4C14">
              <w:rPr>
                <w:i/>
                <w:vertAlign w:val="subscript"/>
              </w:rPr>
              <w:t>q</w:t>
            </w:r>
          </w:p>
        </w:tc>
        <w:tc>
          <w:tcPr>
            <w:tcW w:w="316" w:type="pct"/>
          </w:tcPr>
          <w:p w14:paraId="25C932ED" w14:textId="77777777" w:rsidR="001F04FD" w:rsidRPr="00CE4C14" w:rsidRDefault="001F04FD" w:rsidP="00AC4DEE">
            <w:pPr>
              <w:pStyle w:val="TableBody"/>
            </w:pPr>
            <w:r w:rsidRPr="00CE4C14">
              <w:t>$</w:t>
            </w:r>
          </w:p>
        </w:tc>
        <w:tc>
          <w:tcPr>
            <w:tcW w:w="3440" w:type="pct"/>
          </w:tcPr>
          <w:p w14:paraId="32B36253" w14:textId="77777777" w:rsidR="001F04FD" w:rsidRPr="00CE4C14" w:rsidRDefault="001F04FD" w:rsidP="00AC4DEE">
            <w:pPr>
              <w:pStyle w:val="TableBody"/>
              <w:rPr>
                <w:i/>
              </w:rPr>
            </w:pPr>
            <w:r w:rsidRPr="00CE4C14">
              <w:rPr>
                <w:i/>
              </w:rPr>
              <w:t>Real-Time RUC Ancillary Service Reserve Amount</w:t>
            </w:r>
            <w:r w:rsidRPr="00CE4C14">
              <w:t>—</w:t>
            </w:r>
            <w:r w:rsidRPr="00CE4C14">
              <w:rPr>
                <w:iCs w:val="0"/>
              </w:rPr>
              <w:t xml:space="preserve">The total payment to QSE </w:t>
            </w:r>
            <w:r w:rsidRPr="00CE4C14">
              <w:rPr>
                <w:i/>
                <w:iCs w:val="0"/>
              </w:rPr>
              <w:t>q</w:t>
            </w:r>
            <w:r w:rsidRPr="00CE4C14">
              <w:rPr>
                <w:iCs w:val="0"/>
              </w:rPr>
              <w:t xml:space="preserve"> </w:t>
            </w:r>
            <w:r w:rsidRPr="00CE4C14">
              <w:t>for the Real-Time RUC Ancillary Service reserve payment</w:t>
            </w:r>
            <w:r>
              <w:t xml:space="preserve"> associated with ORDC</w:t>
            </w:r>
            <w:r w:rsidRPr="00CE4C14">
              <w:t xml:space="preserve"> </w:t>
            </w:r>
            <w:r w:rsidRPr="00CE4C14">
              <w:rPr>
                <w:iCs w:val="0"/>
              </w:rPr>
              <w:t>for each 15-minute Settlement Interval.</w:t>
            </w:r>
          </w:p>
        </w:tc>
      </w:tr>
      <w:tr w:rsidR="001F04FD" w14:paraId="01FDDB2A" w14:textId="77777777" w:rsidTr="00AC4DEE">
        <w:tc>
          <w:tcPr>
            <w:tcW w:w="1244" w:type="pct"/>
          </w:tcPr>
          <w:p w14:paraId="0E22D334" w14:textId="25C2654F" w:rsidR="001F04FD" w:rsidRPr="00CE4C14" w:rsidRDefault="001F04FD" w:rsidP="00AC4DEE">
            <w:pPr>
              <w:pStyle w:val="TableBody"/>
            </w:pPr>
            <w:r>
              <w:t>RTRDRUCRSVAMTTOT</w:t>
            </w:r>
          </w:p>
        </w:tc>
        <w:tc>
          <w:tcPr>
            <w:tcW w:w="316" w:type="pct"/>
          </w:tcPr>
          <w:p w14:paraId="690D1D7F" w14:textId="2DB55D58" w:rsidR="001F04FD" w:rsidRPr="00CE4C14" w:rsidRDefault="001F04FD" w:rsidP="00AC4DEE">
            <w:pPr>
              <w:pStyle w:val="TableBody"/>
            </w:pPr>
            <w:r>
              <w:t>$</w:t>
            </w:r>
          </w:p>
        </w:tc>
        <w:tc>
          <w:tcPr>
            <w:tcW w:w="3440" w:type="pct"/>
          </w:tcPr>
          <w:p w14:paraId="37318666" w14:textId="6BF22A6F" w:rsidR="001F04FD" w:rsidRPr="00CE4C14" w:rsidRDefault="001F04FD" w:rsidP="00AC4DEE">
            <w:pPr>
              <w:pStyle w:val="TableBody"/>
            </w:pPr>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763D887F" w14:textId="77777777" w:rsidTr="00AC4DEE">
        <w:tc>
          <w:tcPr>
            <w:tcW w:w="1244" w:type="pct"/>
          </w:tcPr>
          <w:p w14:paraId="02CD8126" w14:textId="68D73E61" w:rsidR="001F04FD" w:rsidRPr="00CE4C14" w:rsidRDefault="001F04FD" w:rsidP="00AC4DEE">
            <w:pPr>
              <w:pStyle w:val="TableBody"/>
            </w:pPr>
            <w:r w:rsidRPr="00407DDC">
              <w:t>RT</w:t>
            </w:r>
            <w:r>
              <w:t>RD</w:t>
            </w:r>
            <w:r w:rsidRPr="00407DDC">
              <w:t>RUCRSV</w:t>
            </w:r>
            <w:r>
              <w:t>A</w:t>
            </w:r>
            <w:r w:rsidRPr="00407DDC">
              <w:t xml:space="preserve">MT </w:t>
            </w:r>
            <w:r w:rsidRPr="0080555B">
              <w:rPr>
                <w:i/>
                <w:vertAlign w:val="subscript"/>
              </w:rPr>
              <w:t>q</w:t>
            </w:r>
          </w:p>
        </w:tc>
        <w:tc>
          <w:tcPr>
            <w:tcW w:w="316" w:type="pct"/>
          </w:tcPr>
          <w:p w14:paraId="20E04CB3" w14:textId="2480FDD6" w:rsidR="001F04FD" w:rsidRPr="00CE4C14" w:rsidRDefault="001F04FD" w:rsidP="00AC4DEE">
            <w:pPr>
              <w:pStyle w:val="TableBody"/>
            </w:pPr>
            <w:r>
              <w:t>$</w:t>
            </w:r>
          </w:p>
        </w:tc>
        <w:tc>
          <w:tcPr>
            <w:tcW w:w="3440" w:type="pct"/>
          </w:tcPr>
          <w:p w14:paraId="57EB3AD9" w14:textId="068497D6" w:rsidR="001F04FD" w:rsidRPr="00CE4C14" w:rsidRDefault="001F04FD" w:rsidP="00AC4DEE">
            <w:pPr>
              <w:pStyle w:val="TableBody"/>
            </w:pPr>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281E069D" w14:textId="77777777" w:rsidTr="00AC4DEE">
        <w:tc>
          <w:tcPr>
            <w:tcW w:w="1244" w:type="pct"/>
          </w:tcPr>
          <w:p w14:paraId="31AA5F08" w14:textId="77777777" w:rsidR="001F04FD" w:rsidRPr="00CE4C14" w:rsidRDefault="001F04FD" w:rsidP="00AC4DEE">
            <w:pPr>
              <w:pStyle w:val="TableBody"/>
            </w:pPr>
            <w:r w:rsidRPr="00CE4C14">
              <w:t xml:space="preserve">LRS </w:t>
            </w:r>
            <w:r w:rsidRPr="00CE4C14">
              <w:rPr>
                <w:i/>
                <w:vertAlign w:val="subscript"/>
              </w:rPr>
              <w:t>q</w:t>
            </w:r>
          </w:p>
        </w:tc>
        <w:tc>
          <w:tcPr>
            <w:tcW w:w="316" w:type="pct"/>
          </w:tcPr>
          <w:p w14:paraId="700C8926" w14:textId="77777777" w:rsidR="001F04FD" w:rsidRPr="00CE4C14" w:rsidRDefault="001F04FD" w:rsidP="00AC4DEE">
            <w:pPr>
              <w:pStyle w:val="TableBody"/>
            </w:pPr>
            <w:r w:rsidRPr="00CE4C14">
              <w:t>none</w:t>
            </w:r>
          </w:p>
        </w:tc>
        <w:tc>
          <w:tcPr>
            <w:tcW w:w="3440" w:type="pct"/>
          </w:tcPr>
          <w:p w14:paraId="2BF66F71" w14:textId="77777777" w:rsidR="001F04FD" w:rsidRPr="00CE4C14" w:rsidRDefault="001F04FD" w:rsidP="00AC4DEE">
            <w:pPr>
              <w:pStyle w:val="TableBody"/>
            </w:pPr>
            <w:r w:rsidRPr="00CE4C14">
              <w:t xml:space="preserve">The LRS calculated for QSE </w:t>
            </w:r>
            <w:r w:rsidRPr="00CE4C14">
              <w:rPr>
                <w:i/>
              </w:rPr>
              <w:t>q</w:t>
            </w:r>
            <w:r w:rsidRPr="00CE4C14">
              <w:t xml:space="preserve"> for the 15-minute Settlement Interval.  See Section 6.6.2.2, QSE Load Ratio Share for a 15-Minute Settlement Interval.</w:t>
            </w:r>
          </w:p>
        </w:tc>
      </w:tr>
      <w:tr w:rsidR="001F04FD" w14:paraId="7232E30A" w14:textId="77777777" w:rsidTr="00AC4DEE">
        <w:tc>
          <w:tcPr>
            <w:tcW w:w="1244" w:type="pct"/>
          </w:tcPr>
          <w:p w14:paraId="22F0703B" w14:textId="77777777" w:rsidR="001F04FD" w:rsidRPr="000275BF" w:rsidRDefault="001F04FD" w:rsidP="00AC4DEE">
            <w:pPr>
              <w:pStyle w:val="TableBody"/>
              <w:rPr>
                <w:i/>
              </w:rPr>
            </w:pPr>
            <w:r w:rsidRPr="000275BF">
              <w:rPr>
                <w:i/>
              </w:rPr>
              <w:t>q</w:t>
            </w:r>
          </w:p>
        </w:tc>
        <w:tc>
          <w:tcPr>
            <w:tcW w:w="316" w:type="pct"/>
          </w:tcPr>
          <w:p w14:paraId="7D0E4DF0" w14:textId="77777777" w:rsidR="001F04FD" w:rsidRPr="00CE4C14" w:rsidRDefault="001F04FD" w:rsidP="00AC4DEE">
            <w:pPr>
              <w:pStyle w:val="TableBody"/>
            </w:pPr>
            <w:r w:rsidRPr="00CE4C14">
              <w:t>none</w:t>
            </w:r>
          </w:p>
        </w:tc>
        <w:tc>
          <w:tcPr>
            <w:tcW w:w="3440" w:type="pct"/>
          </w:tcPr>
          <w:p w14:paraId="28D0ED78" w14:textId="77777777" w:rsidR="001F04FD" w:rsidRPr="00CE4C14" w:rsidRDefault="001F04FD" w:rsidP="00AC4DEE">
            <w:pPr>
              <w:pStyle w:val="TableBody"/>
              <w:rPr>
                <w:i/>
              </w:rPr>
            </w:pPr>
            <w:r w:rsidRPr="00CE4C14">
              <w:t>A QSE.</w:t>
            </w:r>
          </w:p>
        </w:tc>
      </w:tr>
    </w:tbl>
    <w:p w14:paraId="00D7BDD7" w14:textId="77777777" w:rsidR="000E1BF8" w:rsidRPr="000E1BF8" w:rsidRDefault="000E1BF8" w:rsidP="000E1BF8">
      <w:pPr>
        <w:keepNext/>
        <w:tabs>
          <w:tab w:val="left" w:pos="1080"/>
        </w:tabs>
        <w:ind w:left="1080" w:hanging="1080"/>
        <w:outlineLvl w:val="2"/>
        <w:rPr>
          <w:b/>
          <w:bCs/>
        </w:rPr>
      </w:pPr>
      <w:bookmarkStart w:id="2801" w:name="_Toc448142362"/>
      <w:bookmarkStart w:id="2802" w:name="_Toc448142519"/>
      <w:bookmarkStart w:id="2803" w:name="_Toc458770360"/>
      <w:bookmarkStart w:id="2804" w:name="_Toc459294328"/>
      <w:bookmarkStart w:id="2805" w:name="_Toc463262822"/>
      <w:bookmarkStart w:id="2806" w:name="_Toc468286897"/>
      <w:bookmarkStart w:id="2807" w:name="_Toc481502937"/>
      <w:bookmarkStart w:id="2808" w:name="_Toc49608010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772A670" w14:textId="77777777" w:rsidTr="001138B9">
        <w:trPr>
          <w:trHeight w:val="206"/>
        </w:trPr>
        <w:tc>
          <w:tcPr>
            <w:tcW w:w="9350" w:type="dxa"/>
            <w:shd w:val="pct12" w:color="auto" w:fill="auto"/>
          </w:tcPr>
          <w:p w14:paraId="1582D419" w14:textId="274EF183" w:rsidR="000E1BF8" w:rsidRDefault="000E1BF8" w:rsidP="001138B9">
            <w:pPr>
              <w:pStyle w:val="Instructions"/>
              <w:spacing w:before="120"/>
            </w:pPr>
            <w:r>
              <w:t xml:space="preserve">[NPRR1010:  Replace Section 6.7.6 above </w:t>
            </w:r>
            <w:r w:rsidR="00221A13">
              <w:t xml:space="preserve">with the following </w:t>
            </w:r>
            <w:r>
              <w:t>upon system implementation of the Real-Time Co-Optimization (RTC) project:]</w:t>
            </w:r>
          </w:p>
          <w:p w14:paraId="3AD63211" w14:textId="77777777" w:rsidR="000E1BF8" w:rsidRDefault="000E1BF8" w:rsidP="000E1BF8">
            <w:pPr>
              <w:keepNext/>
              <w:tabs>
                <w:tab w:val="left" w:pos="1080"/>
              </w:tabs>
              <w:spacing w:before="480" w:after="240"/>
              <w:outlineLvl w:val="2"/>
              <w:rPr>
                <w:b/>
                <w:bCs/>
                <w:i/>
              </w:rPr>
            </w:pPr>
            <w:bookmarkStart w:id="2809" w:name="_Toc60040760"/>
            <w:bookmarkStart w:id="2810" w:name="_Toc65151819"/>
            <w:bookmarkStart w:id="2811" w:name="_Toc80174845"/>
            <w:bookmarkStart w:id="2812" w:name="_Toc108712611"/>
            <w:bookmarkStart w:id="2813" w:name="_Toc112417730"/>
            <w:bookmarkStart w:id="2814" w:name="_Toc119310399"/>
            <w:bookmarkStart w:id="2815" w:name="_Toc125966332"/>
            <w:bookmarkStart w:id="2816" w:name="_Toc135992431"/>
            <w:bookmarkStart w:id="2817" w:name="_Toc170303626"/>
            <w:bookmarkStart w:id="2818" w:name="_Toc175157530"/>
            <w:bookmarkStart w:id="2819" w:name="_Toc189044503"/>
            <w:r>
              <w:rPr>
                <w:b/>
                <w:bCs/>
                <w:i/>
              </w:rPr>
              <w:lastRenderedPageBreak/>
              <w:t>6.7.6</w:t>
            </w:r>
            <w:r>
              <w:rPr>
                <w:b/>
                <w:bCs/>
                <w:i/>
              </w:rPr>
              <w:tab/>
              <w:t>Real-Time Ancillary Service Revenue Neutrality Allocation</w:t>
            </w:r>
            <w:bookmarkEnd w:id="2809"/>
            <w:bookmarkEnd w:id="2810"/>
            <w:bookmarkEnd w:id="2811"/>
            <w:bookmarkEnd w:id="2812"/>
            <w:bookmarkEnd w:id="2813"/>
            <w:bookmarkEnd w:id="2814"/>
            <w:bookmarkEnd w:id="2815"/>
            <w:bookmarkEnd w:id="2816"/>
            <w:bookmarkEnd w:id="2817"/>
            <w:bookmarkEnd w:id="2818"/>
            <w:bookmarkEnd w:id="2819"/>
          </w:p>
          <w:p w14:paraId="464B8227" w14:textId="77777777" w:rsidR="000E1BF8" w:rsidRDefault="000E1BF8" w:rsidP="000E1BF8">
            <w:pPr>
              <w:pStyle w:val="BodyText"/>
              <w:ind w:left="720" w:hanging="720"/>
              <w:rPr>
                <w:szCs w:val="24"/>
              </w:rPr>
            </w:pPr>
            <w:r>
              <w:t>(1)</w:t>
            </w:r>
            <w:r>
              <w:tab/>
              <w:t>The total cost for Real-Time Ancillary Service payments and charges is allocated to the QSEs representing Load based on Load Ratio Share (LRS).  The Real-Time Ancillary Service allocations to each QSE for a given 15-minute Settlement Interval are calculated as follows:</w:t>
            </w:r>
          </w:p>
          <w:p w14:paraId="59CCF30D" w14:textId="77777777" w:rsidR="000E1BF8" w:rsidRDefault="000E1BF8" w:rsidP="000E1BF8">
            <w:pPr>
              <w:pStyle w:val="BodyText"/>
              <w:ind w:left="1440" w:hanging="720"/>
            </w:pPr>
            <w:r>
              <w:t>(a)         For Reg-Up:</w:t>
            </w:r>
          </w:p>
          <w:p w14:paraId="26950E3E" w14:textId="77777777" w:rsidR="000E1BF8" w:rsidRDefault="000E1BF8" w:rsidP="000E1BF8">
            <w:pPr>
              <w:pStyle w:val="BodyText"/>
              <w:spacing w:after="0"/>
              <w:ind w:left="1440" w:hanging="720"/>
            </w:pPr>
            <w:r>
              <w:t xml:space="preserve">LARTRUAMT </w:t>
            </w:r>
            <w:r>
              <w:rPr>
                <w:i/>
                <w:vertAlign w:val="subscript"/>
              </w:rPr>
              <w:t>q</w:t>
            </w:r>
            <w:r>
              <w:t xml:space="preserve"> =</w:t>
            </w:r>
            <w:r>
              <w:tab/>
              <w:t xml:space="preserve">(-1) * (RTRUIMBAMTTOT + RTRUOAMTTOT + </w:t>
            </w:r>
          </w:p>
          <w:p w14:paraId="3F50362B" w14:textId="77777777" w:rsidR="000E1BF8" w:rsidRDefault="000E1BF8" w:rsidP="000E1BF8">
            <w:pPr>
              <w:pStyle w:val="BodyText"/>
              <w:ind w:left="2160" w:firstLine="720"/>
            </w:pPr>
            <w:r>
              <w:t xml:space="preserve">RTRUTOAMTTOT) * LRS </w:t>
            </w:r>
            <w:r>
              <w:rPr>
                <w:i/>
                <w:vertAlign w:val="subscript"/>
              </w:rPr>
              <w:t>q</w:t>
            </w:r>
          </w:p>
          <w:p w14:paraId="033ADAB4" w14:textId="77777777" w:rsidR="000E1BF8" w:rsidRDefault="000E1BF8" w:rsidP="000E1BF8">
            <w:pPr>
              <w:pStyle w:val="BodyText"/>
              <w:ind w:left="1440" w:hanging="720"/>
            </w:pPr>
            <w:r>
              <w:t>Where:</w:t>
            </w:r>
          </w:p>
          <w:p w14:paraId="03E4DF05" w14:textId="52E48932" w:rsidR="000E1BF8" w:rsidRDefault="000E1BF8" w:rsidP="000E1BF8">
            <w:pPr>
              <w:pStyle w:val="BodyText"/>
              <w:ind w:left="1440" w:hanging="720"/>
            </w:pPr>
            <w:r>
              <w:t xml:space="preserve">RTRUIMBAMTTOT = </w:t>
            </w:r>
            <w:r>
              <w:rPr>
                <w:noProof/>
              </w:rPr>
              <w:drawing>
                <wp:inline distT="0" distB="0" distL="0" distR="0" wp14:anchorId="3A07EF48" wp14:editId="6DE7062B">
                  <wp:extent cx="146685" cy="293370"/>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(RTRUIMBAMT </w:t>
            </w:r>
            <w:r>
              <w:rPr>
                <w:i/>
                <w:vertAlign w:val="subscript"/>
              </w:rPr>
              <w:t>q</w:t>
            </w:r>
            <w:r>
              <w:t>)</w:t>
            </w:r>
          </w:p>
          <w:p w14:paraId="7E4C7C0F" w14:textId="6F1AB5C6" w:rsidR="000E1BF8" w:rsidRDefault="000E1BF8" w:rsidP="000E1BF8">
            <w:pPr>
              <w:pStyle w:val="BodyText"/>
              <w:ind w:left="1440" w:hanging="720"/>
            </w:pPr>
            <w:r>
              <w:t xml:space="preserve">RTRUOAMTTOT = </w:t>
            </w:r>
            <w:r>
              <w:rPr>
                <w:noProof/>
              </w:rPr>
              <w:drawing>
                <wp:inline distT="0" distB="0" distL="0" distR="0" wp14:anchorId="5D73684F" wp14:editId="373E60F7">
                  <wp:extent cx="146685" cy="293370"/>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(RTRUOAMT </w:t>
            </w:r>
            <w:r>
              <w:rPr>
                <w:i/>
                <w:vertAlign w:val="subscript"/>
              </w:rPr>
              <w:t>q</w:t>
            </w:r>
            <w:r>
              <w:t>)</w:t>
            </w:r>
          </w:p>
          <w:p w14:paraId="574059F4" w14:textId="558987B3" w:rsidR="000E1BF8" w:rsidRDefault="000E1BF8" w:rsidP="000E1BF8">
            <w:pPr>
              <w:pStyle w:val="BodyText"/>
              <w:ind w:left="1440" w:hanging="720"/>
            </w:pPr>
            <w:r>
              <w:t xml:space="preserve">RTRUTOAMTTOT = </w:t>
            </w:r>
            <w:r>
              <w:rPr>
                <w:noProof/>
              </w:rPr>
              <w:drawing>
                <wp:inline distT="0" distB="0" distL="0" distR="0" wp14:anchorId="2F757FA8" wp14:editId="64D18934">
                  <wp:extent cx="146685" cy="293370"/>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(RTRUTOAMT </w:t>
            </w:r>
            <w:r>
              <w:rPr>
                <w:i/>
                <w:vertAlign w:val="subscript"/>
              </w:rPr>
              <w:t>q</w:t>
            </w:r>
            <w:r>
              <w:t>)</w:t>
            </w:r>
          </w:p>
          <w:p w14:paraId="5AC7C2C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73F72359"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3C881DAA"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4CE6E6A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512AD9EC" w14:textId="77777777" w:rsidR="000E1BF8" w:rsidRDefault="000E1BF8" w:rsidP="000E1BF8">
                  <w:pPr>
                    <w:pStyle w:val="TableHead"/>
                  </w:pPr>
                  <w:r>
                    <w:t>Description</w:t>
                  </w:r>
                </w:p>
              </w:tc>
            </w:tr>
            <w:tr w:rsidR="000E1BF8" w14:paraId="12842B9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B140DC2" w14:textId="77777777" w:rsidR="000E1BF8" w:rsidRDefault="000E1BF8" w:rsidP="000E1BF8">
                  <w:pPr>
                    <w:pStyle w:val="tablebody0"/>
                  </w:pPr>
                  <w:r>
                    <w:t xml:space="preserve">LARTRUAMT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B60B23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7A14FEE" w14:textId="77777777" w:rsidR="000E1BF8" w:rsidRDefault="000E1BF8" w:rsidP="000E1BF8">
                  <w:pPr>
                    <w:pStyle w:val="tablebody0"/>
                    <w:rPr>
                      <w:i/>
                    </w:rPr>
                  </w:pPr>
                  <w:r>
                    <w:rPr>
                      <w:i/>
                    </w:rPr>
                    <w:t>Load-Allocated Real-Time Reg-Up Amount for the QSE</w:t>
                  </w:r>
                  <w:r>
                    <w:t xml:space="preserve">— The QSE </w:t>
                  </w:r>
                  <w:r>
                    <w:rPr>
                      <w:i/>
                    </w:rPr>
                    <w:t>q</w:t>
                  </w:r>
                  <w:r>
                    <w:softHyphen/>
                    <w:t>’s share of the total Real-Time Reg-Up amount for the 15-minute Settlement Interval.</w:t>
                  </w:r>
                </w:p>
              </w:tc>
            </w:tr>
            <w:tr w:rsidR="000E1BF8" w14:paraId="2EA511D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389EAD1" w14:textId="77777777" w:rsidR="000E1BF8" w:rsidRDefault="000E1BF8" w:rsidP="000E1BF8">
                  <w:pPr>
                    <w:pStyle w:val="tablebody0"/>
                  </w:pPr>
                  <w:r>
                    <w:t xml:space="preserve">RTRUIMBAMT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D024A64"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2BEC988D" w14:textId="77777777" w:rsidR="000E1BF8" w:rsidRDefault="000E1BF8" w:rsidP="000E1BF8">
                  <w:pPr>
                    <w:pStyle w:val="tablebody0"/>
                    <w:rPr>
                      <w:i/>
                    </w:rPr>
                  </w:pPr>
                  <w:r>
                    <w:rPr>
                      <w:i/>
                    </w:rPr>
                    <w:t xml:space="preserve">Real-Time Reg-Up Imbalance Amount for the QSE - </w:t>
                  </w:r>
                  <w:r>
                    <w:t xml:space="preserve">The total payment or charge to QSE </w:t>
                  </w:r>
                  <w:r>
                    <w:rPr>
                      <w:i/>
                    </w:rPr>
                    <w:t>q</w:t>
                  </w:r>
                  <w:r>
                    <w:t xml:space="preserve"> for the Real-Time Reg-Up imbalance for each 15-minute Settlement Interval.</w:t>
                  </w:r>
                </w:p>
              </w:tc>
            </w:tr>
            <w:tr w:rsidR="000E1BF8" w14:paraId="1E69BE4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DAB57C7" w14:textId="77777777" w:rsidR="000E1BF8" w:rsidRDefault="000E1BF8" w:rsidP="000E1BF8">
                  <w:pPr>
                    <w:pStyle w:val="tablebody0"/>
                  </w:pPr>
                  <w:r>
                    <w:t xml:space="preserve">RTRUOAMT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15336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06CF116" w14:textId="77777777" w:rsidR="000E1BF8" w:rsidRDefault="000E1BF8" w:rsidP="000E1BF8">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0E1BF8" w14:paraId="2ABBF84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B63ECD" w14:textId="77777777" w:rsidR="000E1BF8" w:rsidRDefault="000E1BF8" w:rsidP="000E1BF8">
                  <w:pPr>
                    <w:pStyle w:val="tablebody0"/>
                  </w:pPr>
                  <w:r>
                    <w:t>RTRUIMBAMTTOT</w:t>
                  </w:r>
                </w:p>
              </w:tc>
              <w:tc>
                <w:tcPr>
                  <w:tcW w:w="675" w:type="pct"/>
                  <w:tcBorders>
                    <w:top w:val="single" w:sz="4" w:space="0" w:color="auto"/>
                    <w:left w:val="single" w:sz="4" w:space="0" w:color="auto"/>
                    <w:bottom w:val="single" w:sz="4" w:space="0" w:color="auto"/>
                    <w:right w:val="single" w:sz="4" w:space="0" w:color="auto"/>
                  </w:tcBorders>
                  <w:hideMark/>
                </w:tcPr>
                <w:p w14:paraId="3F942C7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27AC3F2" w14:textId="77777777" w:rsidR="000E1BF8" w:rsidRDefault="000E1BF8" w:rsidP="000E1BF8">
                  <w:pPr>
                    <w:pStyle w:val="tablebody0"/>
                    <w:rPr>
                      <w:i/>
                    </w:rPr>
                  </w:pPr>
                  <w:r>
                    <w:rPr>
                      <w:i/>
                    </w:rPr>
                    <w:t xml:space="preserve">Real-Time Reg-Up Imbalance Market Total Amount - </w:t>
                  </w:r>
                  <w:r>
                    <w:t>The total payment or charge to all QSEs for the Real-Time Reg-Up imbalance for each 15-minute Settlement Interval.</w:t>
                  </w:r>
                </w:p>
              </w:tc>
            </w:tr>
            <w:tr w:rsidR="000E1BF8" w14:paraId="6B68519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8307BB6" w14:textId="77777777" w:rsidR="000E1BF8" w:rsidRDefault="000E1BF8" w:rsidP="000E1BF8">
                  <w:pPr>
                    <w:pStyle w:val="tablebody0"/>
                  </w:pPr>
                  <w:r>
                    <w:t>RTRUOAMTTOT</w:t>
                  </w:r>
                </w:p>
              </w:tc>
              <w:tc>
                <w:tcPr>
                  <w:tcW w:w="675" w:type="pct"/>
                  <w:tcBorders>
                    <w:top w:val="single" w:sz="4" w:space="0" w:color="auto"/>
                    <w:left w:val="single" w:sz="4" w:space="0" w:color="auto"/>
                    <w:bottom w:val="single" w:sz="4" w:space="0" w:color="auto"/>
                    <w:right w:val="single" w:sz="4" w:space="0" w:color="auto"/>
                  </w:tcBorders>
                  <w:hideMark/>
                </w:tcPr>
                <w:p w14:paraId="4706A64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52584E6" w14:textId="77777777" w:rsidR="000E1BF8" w:rsidRDefault="000E1BF8" w:rsidP="000E1BF8">
                  <w:pPr>
                    <w:pStyle w:val="tablebody0"/>
                    <w:rPr>
                      <w:i/>
                    </w:rPr>
                  </w:pPr>
                  <w:r>
                    <w:rPr>
                      <w:i/>
                    </w:rPr>
                    <w:t xml:space="preserve">Real-Time Reg-Up Only Market Total Amount - </w:t>
                  </w:r>
                  <w:r>
                    <w:t>The total charge to all QSEs in Real-Time for Reg-Up only awards for each 15-minute Settlement Interval.</w:t>
                  </w:r>
                </w:p>
              </w:tc>
            </w:tr>
            <w:tr w:rsidR="000E1BF8" w14:paraId="4230243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C0F9049" w14:textId="77777777" w:rsidR="000E1BF8" w:rsidRDefault="000E1BF8" w:rsidP="000E1BF8">
                  <w:pPr>
                    <w:pStyle w:val="tablebody0"/>
                  </w:pPr>
                  <w:r>
                    <w:t xml:space="preserve">RTRUTOAMT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C1F066E"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D466F7E" w14:textId="77777777" w:rsidR="000E1BF8" w:rsidRDefault="000E1BF8" w:rsidP="000E1BF8">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0E1BF8" w14:paraId="51D0025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BE94989" w14:textId="77777777" w:rsidR="000E1BF8" w:rsidRDefault="000E1BF8" w:rsidP="000E1BF8">
                  <w:pPr>
                    <w:pStyle w:val="tablebody0"/>
                  </w:pPr>
                  <w:r>
                    <w:t>RTRUTOAMTTOT</w:t>
                  </w:r>
                </w:p>
              </w:tc>
              <w:tc>
                <w:tcPr>
                  <w:tcW w:w="675" w:type="pct"/>
                  <w:tcBorders>
                    <w:top w:val="single" w:sz="4" w:space="0" w:color="auto"/>
                    <w:left w:val="single" w:sz="4" w:space="0" w:color="auto"/>
                    <w:bottom w:val="single" w:sz="4" w:space="0" w:color="auto"/>
                    <w:right w:val="single" w:sz="4" w:space="0" w:color="auto"/>
                  </w:tcBorders>
                  <w:hideMark/>
                </w:tcPr>
                <w:p w14:paraId="4FB6EF8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80FD0F4" w14:textId="77777777" w:rsidR="000E1BF8" w:rsidRDefault="000E1BF8" w:rsidP="000E1BF8">
                  <w:pPr>
                    <w:pStyle w:val="tablebody0"/>
                    <w:rPr>
                      <w:i/>
                    </w:rPr>
                  </w:pPr>
                  <w:r>
                    <w:rPr>
                      <w:i/>
                    </w:rPr>
                    <w:t xml:space="preserve">Real-Time Reg-Up Trade Overage Total Amount </w:t>
                  </w:r>
                  <w:r>
                    <w:t>— The total charge to all QSEs for Real-Time Reg-Up trade overages for each 15-minute Settlement Interval.</w:t>
                  </w:r>
                </w:p>
              </w:tc>
            </w:tr>
            <w:tr w:rsidR="000E1BF8" w14:paraId="65BF9FD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3F6E4C7" w14:textId="77777777" w:rsidR="000E1BF8" w:rsidRDefault="000E1BF8" w:rsidP="000E1BF8">
                  <w:pPr>
                    <w:pStyle w:val="tablebody0"/>
                  </w:pPr>
                  <w:r>
                    <w:lastRenderedPageBreak/>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1B374F8"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C9B1D4A" w14:textId="77777777" w:rsidR="000E1BF8" w:rsidRDefault="000E1BF8" w:rsidP="000E1BF8">
                  <w:pPr>
                    <w:pStyle w:val="tablebody0"/>
                    <w:rPr>
                      <w:i/>
                    </w:rPr>
                  </w:pPr>
                  <w:r>
                    <w:rPr>
                      <w:i/>
                    </w:rPr>
                    <w:t>Load Ratio Share per QSE</w:t>
                  </w:r>
                  <w:r>
                    <w:t xml:space="preserve">—The LRS as defined in Section 6.6.2.2, QSE Load Ratio Share for a 15-Minute Settlement Interval, for QSE </w:t>
                  </w:r>
                  <w:r>
                    <w:rPr>
                      <w:i/>
                    </w:rPr>
                    <w:t>q</w:t>
                  </w:r>
                  <w:r>
                    <w:t xml:space="preserve"> for the 15-minute Settlement Interval.</w:t>
                  </w:r>
                </w:p>
              </w:tc>
            </w:tr>
            <w:tr w:rsidR="000E1BF8" w14:paraId="550C548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3649E0E"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46103E7A"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8399B6B" w14:textId="77777777" w:rsidR="000E1BF8" w:rsidRDefault="000E1BF8" w:rsidP="000E1BF8">
                  <w:pPr>
                    <w:pStyle w:val="tablebody0"/>
                    <w:rPr>
                      <w:i/>
                    </w:rPr>
                  </w:pPr>
                  <w:r>
                    <w:t>A QSE.</w:t>
                  </w:r>
                </w:p>
              </w:tc>
            </w:tr>
          </w:tbl>
          <w:p w14:paraId="551488A7" w14:textId="77777777" w:rsidR="000E1BF8" w:rsidRDefault="000E1BF8" w:rsidP="000E1BF8">
            <w:pPr>
              <w:pStyle w:val="BodyText"/>
              <w:spacing w:before="240"/>
              <w:ind w:left="1440" w:hanging="720"/>
            </w:pPr>
            <w:r>
              <w:t>(b)         For Reg-Down:</w:t>
            </w:r>
          </w:p>
          <w:p w14:paraId="0FCB49EF" w14:textId="77777777" w:rsidR="000E1BF8" w:rsidRDefault="000E1BF8" w:rsidP="000E1BF8">
            <w:pPr>
              <w:ind w:left="1440" w:hanging="720"/>
            </w:pPr>
            <w:r>
              <w:t xml:space="preserve">LARTRDAMT </w:t>
            </w:r>
            <w:r>
              <w:rPr>
                <w:i/>
                <w:vertAlign w:val="subscript"/>
              </w:rPr>
              <w:t>q</w:t>
            </w:r>
            <w:r>
              <w:t xml:space="preserve"> =</w:t>
            </w:r>
            <w:r>
              <w:tab/>
              <w:t>(-1)</w:t>
            </w:r>
            <w:r>
              <w:rPr>
                <w:b/>
              </w:rPr>
              <w:t xml:space="preserve"> * (</w:t>
            </w:r>
            <w:r>
              <w:t xml:space="preserve">RTRDIMBAMTTOT + RTRDOAMTTOT + </w:t>
            </w:r>
          </w:p>
          <w:p w14:paraId="04E01272" w14:textId="77777777" w:rsidR="000E1BF8" w:rsidRDefault="000E1BF8" w:rsidP="000E1BF8">
            <w:pPr>
              <w:spacing w:after="240"/>
              <w:ind w:left="2160" w:firstLine="720"/>
              <w:rPr>
                <w:i/>
                <w:vertAlign w:val="subscript"/>
              </w:rPr>
            </w:pPr>
            <w:r>
              <w:t xml:space="preserve">RTRDTOAMTTOT) * LRS </w:t>
            </w:r>
            <w:r>
              <w:rPr>
                <w:i/>
                <w:vertAlign w:val="subscript"/>
              </w:rPr>
              <w:t>q</w:t>
            </w:r>
          </w:p>
          <w:p w14:paraId="233050DE" w14:textId="77777777" w:rsidR="000E1BF8" w:rsidRDefault="000E1BF8" w:rsidP="000E1BF8">
            <w:pPr>
              <w:spacing w:after="240"/>
              <w:ind w:left="1440" w:hanging="720"/>
            </w:pPr>
            <w:r>
              <w:t>Where:</w:t>
            </w:r>
          </w:p>
          <w:p w14:paraId="0F9B29FF" w14:textId="5DA64DF5" w:rsidR="000E1BF8" w:rsidRDefault="000E1BF8" w:rsidP="000E1BF8">
            <w:pPr>
              <w:pStyle w:val="BodyText"/>
              <w:ind w:left="1440" w:hanging="720"/>
            </w:pPr>
            <w:r>
              <w:t xml:space="preserve">RTRDIMBAMTTOT = </w:t>
            </w:r>
            <w:r>
              <w:rPr>
                <w:noProof/>
                <w:position w:val="-22"/>
              </w:rPr>
              <w:drawing>
                <wp:inline distT="0" distB="0" distL="0" distR="0" wp14:anchorId="49AF2B85" wp14:editId="32435F28">
                  <wp:extent cx="146685" cy="293370"/>
                  <wp:effectExtent l="0" t="0" r="571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(RTRDIMBAMT </w:t>
            </w:r>
            <w:r>
              <w:rPr>
                <w:i/>
                <w:vertAlign w:val="subscript"/>
              </w:rPr>
              <w:t>q</w:t>
            </w:r>
            <w:r>
              <w:t>)</w:t>
            </w:r>
          </w:p>
          <w:p w14:paraId="4EA6CAD7" w14:textId="44593558" w:rsidR="000E1BF8" w:rsidRDefault="000E1BF8" w:rsidP="000E1BF8">
            <w:pPr>
              <w:spacing w:after="240"/>
              <w:ind w:left="1440" w:hanging="720"/>
            </w:pPr>
            <w:r>
              <w:t xml:space="preserve">RTRDOAMTTOT = </w:t>
            </w:r>
            <w:r>
              <w:rPr>
                <w:noProof/>
                <w:position w:val="-22"/>
              </w:rPr>
              <w:drawing>
                <wp:inline distT="0" distB="0" distL="0" distR="0" wp14:anchorId="60255ED6" wp14:editId="129DA1E9">
                  <wp:extent cx="146685" cy="293370"/>
                  <wp:effectExtent l="0" t="0" r="571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(RTRDOAMT </w:t>
            </w:r>
            <w:r>
              <w:rPr>
                <w:i/>
                <w:vertAlign w:val="subscript"/>
              </w:rPr>
              <w:t>q</w:t>
            </w:r>
            <w:r>
              <w:t>)</w:t>
            </w:r>
          </w:p>
          <w:p w14:paraId="6FC08493" w14:textId="6A271C05" w:rsidR="000E1BF8" w:rsidRDefault="000E1BF8" w:rsidP="000E1BF8">
            <w:pPr>
              <w:spacing w:after="240"/>
              <w:ind w:left="1440" w:hanging="720"/>
            </w:pPr>
            <w:r>
              <w:t xml:space="preserve">RTRDTOAMTTOT = </w:t>
            </w:r>
            <w:r>
              <w:rPr>
                <w:noProof/>
                <w:position w:val="-22"/>
              </w:rPr>
              <w:drawing>
                <wp:inline distT="0" distB="0" distL="0" distR="0" wp14:anchorId="14B42990" wp14:editId="24AF0A33">
                  <wp:extent cx="146685" cy="293370"/>
                  <wp:effectExtent l="0" t="0" r="571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(RTRDTOAMT </w:t>
            </w:r>
            <w:r>
              <w:rPr>
                <w:i/>
                <w:vertAlign w:val="subscript"/>
              </w:rPr>
              <w:t>q</w:t>
            </w:r>
            <w:r>
              <w:t>)</w:t>
            </w:r>
          </w:p>
          <w:p w14:paraId="47AAFFE0"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0D70946"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627139D"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4281C58"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31D41930" w14:textId="77777777" w:rsidR="000E1BF8" w:rsidRDefault="000E1BF8" w:rsidP="000E1BF8">
                  <w:pPr>
                    <w:pStyle w:val="TableHead"/>
                  </w:pPr>
                  <w:r>
                    <w:t>Description</w:t>
                  </w:r>
                </w:p>
              </w:tc>
            </w:tr>
            <w:tr w:rsidR="000E1BF8" w14:paraId="6F6FF36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48B9D2B" w14:textId="77777777" w:rsidR="000E1BF8" w:rsidRDefault="000E1BF8" w:rsidP="000E1BF8">
                  <w:pPr>
                    <w:pStyle w:val="tablebody0"/>
                  </w:pPr>
                  <w:r>
                    <w:t xml:space="preserve">LARTRDAMT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3B19533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59926BD" w14:textId="77777777" w:rsidR="000E1BF8" w:rsidRDefault="000E1BF8" w:rsidP="000E1BF8">
                  <w:pPr>
                    <w:pStyle w:val="tablebody0"/>
                    <w:rPr>
                      <w:i/>
                    </w:rPr>
                  </w:pPr>
                  <w:r>
                    <w:rPr>
                      <w:i/>
                    </w:rPr>
                    <w:t>Load-Allocated Real-Time Reg-Down Amount for the QSE</w:t>
                  </w:r>
                  <w:r>
                    <w:t xml:space="preserve"> </w:t>
                  </w:r>
                  <w:r>
                    <w:sym w:font="Symbol" w:char="F0BE"/>
                  </w:r>
                  <w:r>
                    <w:t xml:space="preserve"> The QSE </w:t>
                  </w:r>
                  <w:r>
                    <w:rPr>
                      <w:i/>
                    </w:rPr>
                    <w:t>q</w:t>
                  </w:r>
                  <w:r>
                    <w:t>’s share of the total Real-Time Reg-Down amount for the 15-minute Settlement Interval.</w:t>
                  </w:r>
                </w:p>
              </w:tc>
            </w:tr>
            <w:tr w:rsidR="000E1BF8" w14:paraId="311FCF2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4D8BE75" w14:textId="77777777" w:rsidR="000E1BF8" w:rsidRDefault="000E1BF8" w:rsidP="000E1BF8">
                  <w:pPr>
                    <w:pStyle w:val="tablebody0"/>
                  </w:pPr>
                  <w:r>
                    <w:t xml:space="preserve">RTRDIMBAMT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A0F6FD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D423CB5" w14:textId="77777777" w:rsidR="000E1BF8" w:rsidRDefault="000E1BF8" w:rsidP="000E1BF8">
                  <w:pPr>
                    <w:pStyle w:val="tablebody0"/>
                    <w:rPr>
                      <w:i/>
                    </w:rPr>
                  </w:pPr>
                  <w:r>
                    <w:rPr>
                      <w:i/>
                    </w:rPr>
                    <w:t xml:space="preserve">Real-Time Reg-Down Imbalance Amount for the QSE - </w:t>
                  </w:r>
                  <w:r>
                    <w:t xml:space="preserve">The total payment or charge to QSE </w:t>
                  </w:r>
                  <w:r>
                    <w:rPr>
                      <w:i/>
                    </w:rPr>
                    <w:t>q</w:t>
                  </w:r>
                  <w:r>
                    <w:t xml:space="preserve"> for the Real-Time Reg-Down imbalance for each 15-minute Settlement Interval.</w:t>
                  </w:r>
                </w:p>
              </w:tc>
            </w:tr>
            <w:tr w:rsidR="000E1BF8" w14:paraId="133077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C5C1957" w14:textId="77777777" w:rsidR="000E1BF8" w:rsidRDefault="000E1BF8" w:rsidP="000E1BF8">
                  <w:pPr>
                    <w:pStyle w:val="tablebody0"/>
                  </w:pPr>
                  <w:r>
                    <w:t xml:space="preserve">RTRDOAMT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444DB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09AF186" w14:textId="77777777" w:rsidR="000E1BF8" w:rsidRDefault="000E1BF8" w:rsidP="000E1BF8">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0E1BF8" w14:paraId="6A092F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52F6BF" w14:textId="77777777" w:rsidR="000E1BF8" w:rsidRDefault="000E1BF8" w:rsidP="000E1BF8">
                  <w:pPr>
                    <w:pStyle w:val="tablebody0"/>
                  </w:pPr>
                  <w:r>
                    <w:t>RTRDIMBAMTTOT</w:t>
                  </w:r>
                </w:p>
              </w:tc>
              <w:tc>
                <w:tcPr>
                  <w:tcW w:w="675" w:type="pct"/>
                  <w:tcBorders>
                    <w:top w:val="single" w:sz="4" w:space="0" w:color="auto"/>
                    <w:left w:val="single" w:sz="4" w:space="0" w:color="auto"/>
                    <w:bottom w:val="single" w:sz="4" w:space="0" w:color="auto"/>
                    <w:right w:val="single" w:sz="4" w:space="0" w:color="auto"/>
                  </w:tcBorders>
                  <w:hideMark/>
                </w:tcPr>
                <w:p w14:paraId="1AD0E7DD"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B5BC108" w14:textId="77777777" w:rsidR="000E1BF8" w:rsidRDefault="000E1BF8" w:rsidP="000E1BF8">
                  <w:pPr>
                    <w:pStyle w:val="tablebody0"/>
                    <w:rPr>
                      <w:i/>
                    </w:rPr>
                  </w:pPr>
                  <w:r>
                    <w:rPr>
                      <w:i/>
                    </w:rPr>
                    <w:t xml:space="preserve">Real-Time Reg-Down Imbalance Market Total Amount - </w:t>
                  </w:r>
                  <w:r>
                    <w:t>The total payment or charge to all QSEs for the Real-Time Reg-Down imbalance for each 15-minute Settlement Interval.</w:t>
                  </w:r>
                </w:p>
              </w:tc>
            </w:tr>
            <w:tr w:rsidR="000E1BF8" w14:paraId="3E3AAF12"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D624CBE"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3F271EF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ADBD301" w14:textId="77777777" w:rsidR="000E1BF8" w:rsidRDefault="000E1BF8" w:rsidP="000E1BF8">
                  <w:pPr>
                    <w:pStyle w:val="tablebody0"/>
                    <w:rPr>
                      <w:i/>
                    </w:rPr>
                  </w:pPr>
                  <w:r>
                    <w:rPr>
                      <w:i/>
                    </w:rPr>
                    <w:t xml:space="preserve">Real-Time Reg-Down Only Market Total Amount - </w:t>
                  </w:r>
                  <w:r>
                    <w:t>The total charge to all QSEs in Real-Time for Reg-Down only awards for each 15-minute Settlement Interval.</w:t>
                  </w:r>
                </w:p>
              </w:tc>
            </w:tr>
            <w:tr w:rsidR="000E1BF8" w14:paraId="1FFAD1B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C5B19FB" w14:textId="77777777" w:rsidR="000E1BF8" w:rsidRDefault="000E1BF8" w:rsidP="000E1BF8">
                  <w:pPr>
                    <w:pStyle w:val="tablebody0"/>
                  </w:pPr>
                  <w:r>
                    <w:t xml:space="preserve">RTRDTOAMT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E00A7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A1C050E" w14:textId="77777777" w:rsidR="000E1BF8" w:rsidRDefault="000E1BF8" w:rsidP="000E1BF8">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0E1BF8" w14:paraId="13EF7A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44C150C"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25D056B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49B4694" w14:textId="77777777" w:rsidR="000E1BF8" w:rsidRDefault="000E1BF8" w:rsidP="000E1BF8">
                  <w:pPr>
                    <w:pStyle w:val="tablebody0"/>
                    <w:rPr>
                      <w:i/>
                    </w:rPr>
                  </w:pPr>
                  <w:r>
                    <w:rPr>
                      <w:i/>
                    </w:rPr>
                    <w:t xml:space="preserve">Real-Time Reg-Down Trade Overage Total Amount </w:t>
                  </w:r>
                  <w:r>
                    <w:t>— The total charge to all QSEs for Real-Time Reg-Down trade overages for each 15-minute Settlement Interval.</w:t>
                  </w:r>
                </w:p>
              </w:tc>
            </w:tr>
            <w:tr w:rsidR="000E1BF8" w14:paraId="4F165216"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292559"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68ABA1F"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43131B97" w14:textId="4A24AAD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4ECB505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657F4DA"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17592764"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48D2C9" w14:textId="77777777" w:rsidR="000E1BF8" w:rsidRDefault="000E1BF8" w:rsidP="000E1BF8">
                  <w:pPr>
                    <w:pStyle w:val="tablebody0"/>
                    <w:rPr>
                      <w:i/>
                    </w:rPr>
                  </w:pPr>
                  <w:r>
                    <w:t>A QSE.</w:t>
                  </w:r>
                </w:p>
              </w:tc>
            </w:tr>
          </w:tbl>
          <w:p w14:paraId="68D62C50" w14:textId="77777777" w:rsidR="000E1BF8" w:rsidRDefault="000E1BF8" w:rsidP="000E1BF8">
            <w:pPr>
              <w:pStyle w:val="BodyText"/>
              <w:spacing w:before="240"/>
              <w:ind w:left="1440" w:hanging="720"/>
            </w:pPr>
            <w:r>
              <w:lastRenderedPageBreak/>
              <w:t xml:space="preserve"> (c)         For Responsive Reserve (RRS):</w:t>
            </w:r>
          </w:p>
          <w:p w14:paraId="7B6EEBED" w14:textId="77777777" w:rsidR="000E1BF8" w:rsidRDefault="000E1BF8" w:rsidP="000E1BF8">
            <w:pPr>
              <w:spacing w:before="240"/>
              <w:ind w:left="1440" w:hanging="720"/>
            </w:pPr>
            <w:r>
              <w:t xml:space="preserve">LARTRRAMT </w:t>
            </w:r>
            <w:r>
              <w:rPr>
                <w:i/>
                <w:vertAlign w:val="subscript"/>
              </w:rPr>
              <w:t>q</w:t>
            </w:r>
            <w:r>
              <w:t xml:space="preserve"> =</w:t>
            </w:r>
            <w:r>
              <w:tab/>
              <w:t>(-1)</w:t>
            </w:r>
            <w:r>
              <w:rPr>
                <w:b/>
              </w:rPr>
              <w:t xml:space="preserve"> * (</w:t>
            </w:r>
            <w:r>
              <w:t xml:space="preserve">RTRRIMBAMTTOT + RTRROAMTTOT + </w:t>
            </w:r>
          </w:p>
          <w:p w14:paraId="695DCE65" w14:textId="77777777" w:rsidR="000E1BF8" w:rsidRDefault="000E1BF8" w:rsidP="000E1BF8">
            <w:pPr>
              <w:spacing w:after="240"/>
              <w:ind w:left="2160" w:firstLine="720"/>
              <w:rPr>
                <w:i/>
                <w:vertAlign w:val="subscript"/>
              </w:rPr>
            </w:pPr>
            <w:r>
              <w:t xml:space="preserve">RTRRTOAMTTOT) * LRS </w:t>
            </w:r>
            <w:r>
              <w:rPr>
                <w:i/>
                <w:vertAlign w:val="subscript"/>
              </w:rPr>
              <w:t>q</w:t>
            </w:r>
          </w:p>
          <w:p w14:paraId="4EC3D6BA" w14:textId="77777777" w:rsidR="000E1BF8" w:rsidRDefault="000E1BF8" w:rsidP="000E1BF8">
            <w:pPr>
              <w:spacing w:before="240"/>
              <w:ind w:left="1440" w:hanging="720"/>
            </w:pPr>
            <w:r>
              <w:t>Where:</w:t>
            </w:r>
          </w:p>
          <w:p w14:paraId="4A1175D6" w14:textId="26831399" w:rsidR="000E1BF8" w:rsidRDefault="000E1BF8" w:rsidP="000E1BF8">
            <w:pPr>
              <w:spacing w:after="240"/>
              <w:ind w:left="1440" w:hanging="720"/>
            </w:pPr>
            <w:r>
              <w:t xml:space="preserve">RTRRIMBAMTTOT = </w:t>
            </w:r>
            <w:r>
              <w:rPr>
                <w:noProof/>
              </w:rPr>
              <w:drawing>
                <wp:inline distT="0" distB="0" distL="0" distR="0" wp14:anchorId="5EAB296A" wp14:editId="27D80D4D">
                  <wp:extent cx="146685" cy="293370"/>
                  <wp:effectExtent l="0" t="0" r="571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(RTRRIMBAMT </w:t>
            </w:r>
            <w:r>
              <w:rPr>
                <w:i/>
                <w:vertAlign w:val="subscript"/>
              </w:rPr>
              <w:t>q</w:t>
            </w:r>
            <w:r>
              <w:t>)</w:t>
            </w:r>
          </w:p>
          <w:p w14:paraId="1AE26B89" w14:textId="3C739C4F" w:rsidR="000E1BF8" w:rsidRDefault="000E1BF8" w:rsidP="000E1BF8">
            <w:pPr>
              <w:spacing w:after="240"/>
              <w:ind w:left="1440" w:hanging="720"/>
            </w:pPr>
            <w:r>
              <w:t xml:space="preserve">RTRROAMTTOT = </w:t>
            </w:r>
            <w:r>
              <w:rPr>
                <w:noProof/>
              </w:rPr>
              <w:drawing>
                <wp:inline distT="0" distB="0" distL="0" distR="0" wp14:anchorId="6760B8DF" wp14:editId="551FB51A">
                  <wp:extent cx="146685" cy="293370"/>
                  <wp:effectExtent l="0" t="0" r="571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(RTRROAMT </w:t>
            </w:r>
            <w:r>
              <w:rPr>
                <w:i/>
                <w:vertAlign w:val="subscript"/>
              </w:rPr>
              <w:t>q</w:t>
            </w:r>
            <w:r>
              <w:t>)</w:t>
            </w:r>
          </w:p>
          <w:p w14:paraId="7B44239C" w14:textId="64C1C265" w:rsidR="000E1BF8" w:rsidRDefault="000E1BF8" w:rsidP="000E1BF8">
            <w:pPr>
              <w:spacing w:after="240"/>
              <w:ind w:left="1440" w:hanging="720"/>
            </w:pPr>
            <w:r>
              <w:t xml:space="preserve">RTRRTOAMTTOT = </w:t>
            </w:r>
            <w:r>
              <w:rPr>
                <w:noProof/>
              </w:rPr>
              <w:drawing>
                <wp:inline distT="0" distB="0" distL="0" distR="0" wp14:anchorId="04A13C66" wp14:editId="379831F8">
                  <wp:extent cx="146685" cy="293370"/>
                  <wp:effectExtent l="0" t="0" r="571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(RTRRTOAMT </w:t>
            </w:r>
            <w:r>
              <w:rPr>
                <w:i/>
                <w:vertAlign w:val="subscript"/>
              </w:rPr>
              <w:t>q</w:t>
            </w:r>
            <w:r>
              <w:t>)</w:t>
            </w:r>
          </w:p>
          <w:p w14:paraId="0017046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3C76140"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E105FC0"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536000D"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23ACB5CE" w14:textId="77777777" w:rsidR="000E1BF8" w:rsidRDefault="000E1BF8" w:rsidP="000E1BF8">
                  <w:pPr>
                    <w:pStyle w:val="TableHead"/>
                  </w:pPr>
                  <w:r>
                    <w:t>Description</w:t>
                  </w:r>
                </w:p>
              </w:tc>
            </w:tr>
            <w:tr w:rsidR="000E1BF8" w14:paraId="7B7114B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EA9DAF" w14:textId="77777777" w:rsidR="000E1BF8" w:rsidRDefault="000E1BF8" w:rsidP="000E1BF8">
                  <w:pPr>
                    <w:pStyle w:val="tablebody0"/>
                  </w:pPr>
                  <w:r>
                    <w:t xml:space="preserve">LARTRRAMT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AFF659"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28AA1E1" w14:textId="77777777" w:rsidR="000E1BF8" w:rsidRDefault="000E1BF8" w:rsidP="000E1BF8">
                  <w:pPr>
                    <w:pStyle w:val="tablebody0"/>
                    <w:rPr>
                      <w:i/>
                    </w:rPr>
                  </w:pPr>
                  <w:r>
                    <w:rPr>
                      <w:i/>
                    </w:rPr>
                    <w:t>Load-Allocated Real-Time Responsive Reserve Amount for the QSE</w:t>
                  </w:r>
                  <w:r>
                    <w:t xml:space="preserve"> </w:t>
                  </w:r>
                  <w:r>
                    <w:sym w:font="Symbol" w:char="F0BE"/>
                  </w:r>
                  <w:r>
                    <w:t xml:space="preserve"> The QSE’s share of the total Real-Time RRS amount for the 15-minute Settlement Interval.</w:t>
                  </w:r>
                </w:p>
              </w:tc>
            </w:tr>
            <w:tr w:rsidR="000E1BF8" w14:paraId="0083BDC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C34CAD5" w14:textId="77777777" w:rsidR="000E1BF8" w:rsidRDefault="000E1BF8" w:rsidP="000E1BF8">
                  <w:pPr>
                    <w:pStyle w:val="tablebody0"/>
                  </w:pPr>
                  <w:r>
                    <w:t xml:space="preserve">RTRRIMBAMT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50562E1C"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533D51F" w14:textId="77777777" w:rsidR="000E1BF8" w:rsidRDefault="000E1BF8" w:rsidP="000E1BF8">
                  <w:pPr>
                    <w:pStyle w:val="tablebody0"/>
                    <w:rPr>
                      <w:i/>
                    </w:rPr>
                  </w:pPr>
                  <w:r>
                    <w:rPr>
                      <w:i/>
                    </w:rPr>
                    <w:t xml:space="preserve">Real-Time Responsive Reserve Imbalance Amount for the QSE - </w:t>
                  </w:r>
                  <w:r>
                    <w:t xml:space="preserve">The total payment or charge to QSE </w:t>
                  </w:r>
                  <w:r>
                    <w:rPr>
                      <w:i/>
                    </w:rPr>
                    <w:t>q</w:t>
                  </w:r>
                  <w:r>
                    <w:t xml:space="preserve"> for the Real-Time RRS imbalance for each 15-minute Settlement Interval.</w:t>
                  </w:r>
                </w:p>
              </w:tc>
            </w:tr>
            <w:tr w:rsidR="000E1BF8" w14:paraId="415F37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149259" w14:textId="77777777" w:rsidR="000E1BF8" w:rsidRDefault="000E1BF8" w:rsidP="000E1BF8">
                  <w:pPr>
                    <w:pStyle w:val="tablebody0"/>
                  </w:pPr>
                  <w:r>
                    <w:t xml:space="preserve">RTRROAMT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53F415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6BB7AB4" w14:textId="77777777" w:rsidR="000E1BF8" w:rsidRDefault="000E1BF8" w:rsidP="000E1BF8">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0E1BF8" w14:paraId="4405820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CD31B31" w14:textId="77777777" w:rsidR="000E1BF8" w:rsidRDefault="000E1BF8" w:rsidP="000E1BF8">
                  <w:pPr>
                    <w:pStyle w:val="tablebody0"/>
                  </w:pPr>
                  <w:r>
                    <w:t>RTRRIMBAMTTOT</w:t>
                  </w:r>
                </w:p>
              </w:tc>
              <w:tc>
                <w:tcPr>
                  <w:tcW w:w="675" w:type="pct"/>
                  <w:tcBorders>
                    <w:top w:val="single" w:sz="4" w:space="0" w:color="auto"/>
                    <w:left w:val="single" w:sz="4" w:space="0" w:color="auto"/>
                    <w:bottom w:val="single" w:sz="4" w:space="0" w:color="auto"/>
                    <w:right w:val="single" w:sz="4" w:space="0" w:color="auto"/>
                  </w:tcBorders>
                  <w:hideMark/>
                </w:tcPr>
                <w:p w14:paraId="49C73311"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FEEE36" w14:textId="77777777" w:rsidR="000E1BF8" w:rsidRDefault="000E1BF8" w:rsidP="000E1BF8">
                  <w:pPr>
                    <w:pStyle w:val="tablebody0"/>
                    <w:rPr>
                      <w:i/>
                    </w:rPr>
                  </w:pPr>
                  <w:r>
                    <w:rPr>
                      <w:i/>
                    </w:rPr>
                    <w:t xml:space="preserve">Real-Time Responsive Reserve Imbalance Market Total Amount - </w:t>
                  </w:r>
                  <w:r>
                    <w:t>The total payment or charge to all QSEs for the Real-Time RRS imbalance for each 15-minute Settlement Interval.</w:t>
                  </w:r>
                </w:p>
              </w:tc>
            </w:tr>
            <w:tr w:rsidR="000E1BF8" w14:paraId="2E21209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25B376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2069BFAB"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3EAB4A7" w14:textId="77777777" w:rsidR="000E1BF8" w:rsidRDefault="000E1BF8" w:rsidP="000E1BF8">
                  <w:pPr>
                    <w:pStyle w:val="tablebody0"/>
                    <w:rPr>
                      <w:i/>
                    </w:rPr>
                  </w:pPr>
                  <w:r>
                    <w:rPr>
                      <w:i/>
                    </w:rPr>
                    <w:t xml:space="preserve">Real-Time Responsive Reserve Only Market Total Amount - </w:t>
                  </w:r>
                  <w:r>
                    <w:t>The total charge to all QSEs in Real-Time for RRS only awards for each 15-minute Settlement Interval.</w:t>
                  </w:r>
                </w:p>
              </w:tc>
            </w:tr>
            <w:tr w:rsidR="000E1BF8" w14:paraId="465A912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7ED1ED8" w14:textId="77777777" w:rsidR="000E1BF8" w:rsidRDefault="000E1BF8" w:rsidP="000E1BF8">
                  <w:pPr>
                    <w:pStyle w:val="tablebody0"/>
                  </w:pPr>
                  <w:r>
                    <w:t xml:space="preserve">RTRRTOAMT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EC52F5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DB51104" w14:textId="77777777" w:rsidR="000E1BF8" w:rsidRDefault="000E1BF8" w:rsidP="000E1BF8">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0E1BF8" w14:paraId="02C5686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B7F890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06B938D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AC6AC1C" w14:textId="77777777" w:rsidR="000E1BF8" w:rsidRDefault="000E1BF8" w:rsidP="000E1BF8">
                  <w:pPr>
                    <w:pStyle w:val="tablebody0"/>
                    <w:rPr>
                      <w:i/>
                    </w:rPr>
                  </w:pPr>
                  <w:r>
                    <w:rPr>
                      <w:i/>
                    </w:rPr>
                    <w:t xml:space="preserve">Real-Time Responsive Reserve Trade Overage Total Amount </w:t>
                  </w:r>
                  <w:r>
                    <w:t>— The total charge to all QSEs for Real-Time RRS trade overages for each 15-minute Settlement Interval.</w:t>
                  </w:r>
                </w:p>
              </w:tc>
            </w:tr>
            <w:tr w:rsidR="000E1BF8" w14:paraId="3D8100B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2A356"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981006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04F81D19" w14:textId="7BBA027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269243E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05C5B3"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0D7E2D9C"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3CA87B62" w14:textId="77777777" w:rsidR="000E1BF8" w:rsidRDefault="000E1BF8" w:rsidP="000E1BF8">
                  <w:pPr>
                    <w:pStyle w:val="tablebody0"/>
                    <w:rPr>
                      <w:i/>
                    </w:rPr>
                  </w:pPr>
                  <w:r>
                    <w:t>A QSE.</w:t>
                  </w:r>
                </w:p>
              </w:tc>
            </w:tr>
          </w:tbl>
          <w:p w14:paraId="5443E4EF" w14:textId="77777777" w:rsidR="000E1BF8" w:rsidRDefault="000E1BF8" w:rsidP="000E1BF8">
            <w:pPr>
              <w:pStyle w:val="BodyText"/>
              <w:spacing w:before="240"/>
              <w:ind w:left="1440" w:hanging="720"/>
            </w:pPr>
            <w:r>
              <w:t>(d)         For Non-Spin:</w:t>
            </w:r>
          </w:p>
          <w:p w14:paraId="4BB293DE" w14:textId="77777777" w:rsidR="000E1BF8" w:rsidRDefault="000E1BF8" w:rsidP="000E1BF8">
            <w:pPr>
              <w:pStyle w:val="BodyText"/>
              <w:spacing w:before="240" w:after="0"/>
              <w:ind w:left="1440" w:hanging="720"/>
            </w:pPr>
            <w:r>
              <w:t xml:space="preserve">LARTNSAMT </w:t>
            </w:r>
            <w:r>
              <w:rPr>
                <w:i/>
                <w:vertAlign w:val="subscript"/>
              </w:rPr>
              <w:t>q</w:t>
            </w:r>
            <w:r>
              <w:t xml:space="preserve"> =</w:t>
            </w:r>
            <w:r>
              <w:tab/>
              <w:t xml:space="preserve">(-1) * (RTNSIMBAMTTOT + RTNSOAMTTOT + </w:t>
            </w:r>
          </w:p>
          <w:p w14:paraId="1CDF8CD5" w14:textId="77777777" w:rsidR="000E1BF8" w:rsidRDefault="000E1BF8" w:rsidP="000E1BF8">
            <w:pPr>
              <w:pStyle w:val="BodyText"/>
              <w:ind w:left="2160" w:firstLine="720"/>
            </w:pPr>
            <w:r>
              <w:t xml:space="preserve">RTNSTOAMTTOT) * LRS </w:t>
            </w:r>
            <w:r>
              <w:rPr>
                <w:i/>
                <w:vertAlign w:val="subscript"/>
              </w:rPr>
              <w:t>q</w:t>
            </w:r>
          </w:p>
          <w:p w14:paraId="472A9168" w14:textId="77777777" w:rsidR="000E1BF8" w:rsidRDefault="000E1BF8" w:rsidP="000E1BF8">
            <w:pPr>
              <w:pStyle w:val="BodyText"/>
              <w:ind w:left="1440" w:hanging="720"/>
            </w:pPr>
            <w:r>
              <w:lastRenderedPageBreak/>
              <w:t>Where:</w:t>
            </w:r>
          </w:p>
          <w:p w14:paraId="47192E4E" w14:textId="0D31C648" w:rsidR="000E1BF8" w:rsidRDefault="000E1BF8" w:rsidP="000E1BF8">
            <w:pPr>
              <w:pStyle w:val="BodyText"/>
              <w:ind w:left="1440" w:hanging="720"/>
            </w:pPr>
            <w:r>
              <w:t xml:space="preserve">RTNSIMBAMTTOT = </w:t>
            </w:r>
            <w:r>
              <w:rPr>
                <w:noProof/>
              </w:rPr>
              <w:drawing>
                <wp:inline distT="0" distB="0" distL="0" distR="0" wp14:anchorId="3896D26C" wp14:editId="2675B872">
                  <wp:extent cx="146685" cy="293370"/>
                  <wp:effectExtent l="0" t="0" r="571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(RTNSIMBAMT </w:t>
            </w:r>
            <w:r>
              <w:rPr>
                <w:i/>
                <w:vertAlign w:val="subscript"/>
              </w:rPr>
              <w:t>q</w:t>
            </w:r>
            <w:r>
              <w:t>)</w:t>
            </w:r>
          </w:p>
          <w:p w14:paraId="2C1232EA" w14:textId="216EC9D6" w:rsidR="000E1BF8" w:rsidRDefault="000E1BF8" w:rsidP="000E1BF8">
            <w:pPr>
              <w:pStyle w:val="BodyText"/>
              <w:ind w:left="1440" w:hanging="720"/>
            </w:pPr>
            <w:r>
              <w:t xml:space="preserve">RTNSOAMTTOT = </w:t>
            </w:r>
            <w:r>
              <w:rPr>
                <w:noProof/>
              </w:rPr>
              <w:drawing>
                <wp:inline distT="0" distB="0" distL="0" distR="0" wp14:anchorId="0D134A03" wp14:editId="5AD11065">
                  <wp:extent cx="146685" cy="293370"/>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(RTNSOAMT </w:t>
            </w:r>
            <w:r>
              <w:rPr>
                <w:i/>
                <w:vertAlign w:val="subscript"/>
              </w:rPr>
              <w:t>q</w:t>
            </w:r>
            <w:r>
              <w:t>)</w:t>
            </w:r>
          </w:p>
          <w:p w14:paraId="513806E9" w14:textId="490BDC32" w:rsidR="000E1BF8" w:rsidRDefault="000E1BF8" w:rsidP="000E1BF8">
            <w:pPr>
              <w:pStyle w:val="BodyText"/>
              <w:ind w:left="1440" w:hanging="720"/>
            </w:pPr>
            <w:r>
              <w:t xml:space="preserve">RTNSTOAMTTOT = </w:t>
            </w:r>
            <w:r>
              <w:rPr>
                <w:noProof/>
              </w:rPr>
              <w:drawing>
                <wp:inline distT="0" distB="0" distL="0" distR="0" wp14:anchorId="380B0139" wp14:editId="2BCBEB3A">
                  <wp:extent cx="146685" cy="293370"/>
                  <wp:effectExtent l="0" t="0" r="571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(RTNSTOAMT </w:t>
            </w:r>
            <w:r>
              <w:rPr>
                <w:i/>
                <w:vertAlign w:val="subscript"/>
              </w:rPr>
              <w:t>q</w:t>
            </w:r>
            <w:r>
              <w:t>)</w:t>
            </w:r>
          </w:p>
          <w:p w14:paraId="6D6DF28E"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560E6B31"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2DFF3097"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31F7E63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0E470819" w14:textId="77777777" w:rsidR="000E1BF8" w:rsidRDefault="000E1BF8" w:rsidP="000E1BF8">
                  <w:pPr>
                    <w:pStyle w:val="TableHead"/>
                  </w:pPr>
                  <w:r>
                    <w:t>Description</w:t>
                  </w:r>
                </w:p>
              </w:tc>
            </w:tr>
            <w:tr w:rsidR="000E1BF8" w14:paraId="6956A17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3314EA" w14:textId="77777777" w:rsidR="000E1BF8" w:rsidRDefault="000E1BF8" w:rsidP="000E1BF8">
                  <w:pPr>
                    <w:pStyle w:val="tablebody0"/>
                  </w:pPr>
                  <w:r>
                    <w:t xml:space="preserve">LARTNSAMT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CB60D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F3F4568" w14:textId="77777777" w:rsidR="000E1BF8" w:rsidRDefault="000E1BF8" w:rsidP="000E1BF8">
                  <w:pPr>
                    <w:pStyle w:val="tablebody0"/>
                    <w:rPr>
                      <w:i/>
                    </w:rPr>
                  </w:pPr>
                  <w:r>
                    <w:rPr>
                      <w:i/>
                    </w:rPr>
                    <w:t>Load-Allocated Real-Time Non-Spin Amount for the QSE</w:t>
                  </w:r>
                  <w:r>
                    <w:t xml:space="preserve"> </w:t>
                  </w:r>
                  <w:r>
                    <w:sym w:font="Symbol" w:char="F0BE"/>
                  </w:r>
                  <w:r>
                    <w:t xml:space="preserve"> The QSE’s share of the total Real-Time Non-Spin amount for the 15-minute Settlement Interval.</w:t>
                  </w:r>
                </w:p>
              </w:tc>
            </w:tr>
            <w:tr w:rsidR="000E1BF8" w14:paraId="1390155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B7C2CDD" w14:textId="77777777" w:rsidR="000E1BF8" w:rsidRDefault="000E1BF8" w:rsidP="000E1BF8">
                  <w:pPr>
                    <w:pStyle w:val="tablebody0"/>
                  </w:pPr>
                  <w:r>
                    <w:t xml:space="preserve">RTNSIMBAMT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5D1F8B2"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33E9969" w14:textId="77777777" w:rsidR="000E1BF8" w:rsidRDefault="000E1BF8" w:rsidP="000E1BF8">
                  <w:pPr>
                    <w:pStyle w:val="tablebody0"/>
                    <w:rPr>
                      <w:i/>
                    </w:rPr>
                  </w:pPr>
                  <w:r>
                    <w:rPr>
                      <w:i/>
                    </w:rPr>
                    <w:t xml:space="preserve">Real-Time Non-Spin Imbalance Amount for the QSE - </w:t>
                  </w:r>
                  <w:r>
                    <w:t xml:space="preserve">The total payment or charge to QSE </w:t>
                  </w:r>
                  <w:r>
                    <w:rPr>
                      <w:i/>
                    </w:rPr>
                    <w:t>q</w:t>
                  </w:r>
                  <w:r>
                    <w:t xml:space="preserve"> for the Real-Time Non-Spin imbalance for each 15-minute Settlement Interval.</w:t>
                  </w:r>
                </w:p>
              </w:tc>
            </w:tr>
            <w:tr w:rsidR="000E1BF8" w14:paraId="5AB0A53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8F1C99" w14:textId="77777777" w:rsidR="000E1BF8" w:rsidRDefault="000E1BF8" w:rsidP="000E1BF8">
                  <w:pPr>
                    <w:pStyle w:val="tablebody0"/>
                  </w:pPr>
                  <w:r>
                    <w:t xml:space="preserve">RTNSOAMT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248E55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92E038" w14:textId="77777777" w:rsidR="000E1BF8" w:rsidRDefault="000E1BF8" w:rsidP="000E1BF8">
                  <w:pPr>
                    <w:pStyle w:val="tablebody0"/>
                    <w:rPr>
                      <w:i/>
                    </w:rPr>
                  </w:pPr>
                  <w:r>
                    <w:rPr>
                      <w:i/>
                    </w:rPr>
                    <w:t>Real-Time Non-Spin Only Amount for the QSE</w:t>
                  </w:r>
                  <w:r>
                    <w:t xml:space="preserve">— The total charge to QSE </w:t>
                  </w:r>
                  <w:r>
                    <w:rPr>
                      <w:i/>
                    </w:rPr>
                    <w:t>q</w:t>
                  </w:r>
                  <w:r>
                    <w:t xml:space="preserve"> in Real-Time for Non-Spin only awards for each 15-minute Settlement Interval.</w:t>
                  </w:r>
                </w:p>
              </w:tc>
            </w:tr>
            <w:tr w:rsidR="000E1BF8" w14:paraId="6E9970C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BF7697" w14:textId="77777777" w:rsidR="000E1BF8" w:rsidRDefault="000E1BF8" w:rsidP="000E1BF8">
                  <w:pPr>
                    <w:pStyle w:val="tablebody0"/>
                  </w:pPr>
                  <w:r>
                    <w:t>RTNSIMBAMTTOT</w:t>
                  </w:r>
                </w:p>
              </w:tc>
              <w:tc>
                <w:tcPr>
                  <w:tcW w:w="675" w:type="pct"/>
                  <w:tcBorders>
                    <w:top w:val="single" w:sz="4" w:space="0" w:color="auto"/>
                    <w:left w:val="single" w:sz="4" w:space="0" w:color="auto"/>
                    <w:bottom w:val="single" w:sz="4" w:space="0" w:color="auto"/>
                    <w:right w:val="single" w:sz="4" w:space="0" w:color="auto"/>
                  </w:tcBorders>
                  <w:hideMark/>
                </w:tcPr>
                <w:p w14:paraId="5D35547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F77D94" w14:textId="77777777" w:rsidR="000E1BF8" w:rsidRDefault="000E1BF8" w:rsidP="000E1BF8">
                  <w:pPr>
                    <w:pStyle w:val="tablebody0"/>
                    <w:rPr>
                      <w:i/>
                    </w:rPr>
                  </w:pPr>
                  <w:r>
                    <w:rPr>
                      <w:i/>
                    </w:rPr>
                    <w:t xml:space="preserve">Real-Time Non-Spin Imbalance Market Total Amount - </w:t>
                  </w:r>
                  <w:r>
                    <w:t>The total payment or charge to all QSEs for the Real-Time Non-Spin imbalance for each 15-minute Settlement Interval.</w:t>
                  </w:r>
                </w:p>
              </w:tc>
            </w:tr>
            <w:tr w:rsidR="000E1BF8" w14:paraId="1E0948F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F877BBA"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5BA2395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7F2708" w14:textId="77777777" w:rsidR="000E1BF8" w:rsidRDefault="000E1BF8" w:rsidP="000E1BF8">
                  <w:pPr>
                    <w:pStyle w:val="tablebody0"/>
                    <w:rPr>
                      <w:i/>
                    </w:rPr>
                  </w:pPr>
                  <w:r>
                    <w:rPr>
                      <w:i/>
                    </w:rPr>
                    <w:t xml:space="preserve">Real-Time Non-Spin Only Market Total Amount - </w:t>
                  </w:r>
                  <w:r>
                    <w:t>The total charge to all QSEs in Real-Time for Non-Spin only awards for each 15-minute Settlement Interval.</w:t>
                  </w:r>
                </w:p>
              </w:tc>
            </w:tr>
            <w:tr w:rsidR="000E1BF8" w14:paraId="127679B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418E63" w14:textId="77777777" w:rsidR="000E1BF8" w:rsidRDefault="000E1BF8" w:rsidP="000E1BF8">
                  <w:pPr>
                    <w:pStyle w:val="tablebody0"/>
                  </w:pPr>
                  <w:r>
                    <w:t xml:space="preserve">RTNSTOAMT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F00579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B2C02DB" w14:textId="77777777" w:rsidR="000E1BF8" w:rsidRDefault="000E1BF8" w:rsidP="000E1BF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0E1BF8" w14:paraId="5065BE6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627C8D4"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1F50501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71CA152" w14:textId="77777777" w:rsidR="000E1BF8" w:rsidRDefault="000E1BF8" w:rsidP="000E1BF8">
                  <w:pPr>
                    <w:pStyle w:val="tablebody0"/>
                    <w:rPr>
                      <w:i/>
                    </w:rPr>
                  </w:pPr>
                  <w:r>
                    <w:rPr>
                      <w:i/>
                    </w:rPr>
                    <w:t xml:space="preserve">Real-Time Non-Spin Trade Overage Total Amount </w:t>
                  </w:r>
                  <w:r>
                    <w:t>— The total charge to all QSEs for Real-Time Non-Spin trade overages for each 15-minute Settlement Interval.</w:t>
                  </w:r>
                </w:p>
              </w:tc>
            </w:tr>
            <w:tr w:rsidR="000E1BF8" w14:paraId="6AFB36B4"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53ED1"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87BEE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BB2873E" w14:textId="5C8019BC"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6326D6C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26E87C9"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255BEF2E"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F38449" w14:textId="77777777" w:rsidR="000E1BF8" w:rsidRDefault="000E1BF8" w:rsidP="000E1BF8">
                  <w:pPr>
                    <w:pStyle w:val="tablebody0"/>
                    <w:rPr>
                      <w:i/>
                    </w:rPr>
                  </w:pPr>
                  <w:r>
                    <w:t>A QSE.</w:t>
                  </w:r>
                </w:p>
              </w:tc>
            </w:tr>
          </w:tbl>
          <w:p w14:paraId="640AB6EE" w14:textId="77777777" w:rsidR="000E1BF8" w:rsidRDefault="000E1BF8" w:rsidP="000E1BF8">
            <w:pPr>
              <w:pStyle w:val="BodyText"/>
              <w:spacing w:before="240"/>
              <w:ind w:left="1440" w:hanging="720"/>
            </w:pPr>
            <w:r>
              <w:t xml:space="preserve"> (e)         For ERCOT Contingency Reserve Service (ECRS):</w:t>
            </w:r>
          </w:p>
          <w:p w14:paraId="0A18C778" w14:textId="77777777" w:rsidR="000E1BF8" w:rsidRDefault="000E1BF8" w:rsidP="000E1BF8">
            <w:pPr>
              <w:pStyle w:val="BodyText"/>
              <w:spacing w:after="0"/>
              <w:ind w:left="1440" w:hanging="720"/>
            </w:pPr>
            <w:r>
              <w:t xml:space="preserve">LARTECRAMT </w:t>
            </w:r>
            <w:r>
              <w:rPr>
                <w:i/>
                <w:vertAlign w:val="subscript"/>
              </w:rPr>
              <w:t>q</w:t>
            </w:r>
            <w:r>
              <w:t xml:space="preserve"> = (-1) * (RTECRIMBAMTTOT + RTECROAMTTOT + </w:t>
            </w:r>
          </w:p>
          <w:p w14:paraId="73A8F57F" w14:textId="77777777" w:rsidR="000E1BF8" w:rsidRDefault="000E1BF8" w:rsidP="000E1BF8">
            <w:pPr>
              <w:pStyle w:val="BodyText"/>
              <w:ind w:left="1440" w:hanging="720"/>
            </w:pPr>
            <w:r>
              <w:t xml:space="preserve"> </w:t>
            </w:r>
            <w:r>
              <w:tab/>
            </w:r>
            <w:r>
              <w:tab/>
            </w:r>
            <w:r>
              <w:tab/>
              <w:t xml:space="preserve">RTECRTOAMTTOT) * LRS </w:t>
            </w:r>
            <w:r>
              <w:rPr>
                <w:i/>
                <w:vertAlign w:val="subscript"/>
              </w:rPr>
              <w:t>q</w:t>
            </w:r>
          </w:p>
          <w:p w14:paraId="33DEFE1A" w14:textId="77777777" w:rsidR="000E1BF8" w:rsidRDefault="000E1BF8" w:rsidP="000E1BF8">
            <w:pPr>
              <w:pStyle w:val="BodyText"/>
              <w:ind w:left="1440" w:hanging="720"/>
            </w:pPr>
            <w:r>
              <w:t>Where:</w:t>
            </w:r>
          </w:p>
          <w:p w14:paraId="0CC6F3C1" w14:textId="79ADCE49" w:rsidR="000E1BF8" w:rsidRDefault="000E1BF8" w:rsidP="000E1BF8">
            <w:pPr>
              <w:pStyle w:val="BodyText"/>
              <w:ind w:left="1440" w:hanging="720"/>
            </w:pPr>
            <w:r>
              <w:t xml:space="preserve">RTECRIMBAMTTOT = </w:t>
            </w:r>
            <w:r>
              <w:rPr>
                <w:noProof/>
              </w:rPr>
              <w:drawing>
                <wp:inline distT="0" distB="0" distL="0" distR="0" wp14:anchorId="193AC106" wp14:editId="20CD2915">
                  <wp:extent cx="146685" cy="29337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(RTECRIMBAMT </w:t>
            </w:r>
            <w:r>
              <w:rPr>
                <w:i/>
                <w:vertAlign w:val="subscript"/>
              </w:rPr>
              <w:t>q</w:t>
            </w:r>
            <w:r>
              <w:t>)</w:t>
            </w:r>
          </w:p>
          <w:p w14:paraId="4781F174" w14:textId="21450932" w:rsidR="000E1BF8" w:rsidRDefault="000E1BF8" w:rsidP="000E1BF8">
            <w:pPr>
              <w:pStyle w:val="BodyText"/>
              <w:ind w:left="1440" w:hanging="720"/>
            </w:pPr>
            <w:r>
              <w:lastRenderedPageBreak/>
              <w:t xml:space="preserve">RTECROAMTTOT = </w:t>
            </w:r>
            <w:r>
              <w:rPr>
                <w:noProof/>
                <w:position w:val="-22"/>
              </w:rPr>
              <w:drawing>
                <wp:inline distT="0" distB="0" distL="0" distR="0" wp14:anchorId="7E0BCA6F" wp14:editId="4E7CB553">
                  <wp:extent cx="146685" cy="293370"/>
                  <wp:effectExtent l="0" t="0" r="571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(RTECROAMT </w:t>
            </w:r>
            <w:r>
              <w:rPr>
                <w:i/>
                <w:vertAlign w:val="subscript"/>
              </w:rPr>
              <w:t>q</w:t>
            </w:r>
            <w:r>
              <w:t>)</w:t>
            </w:r>
          </w:p>
          <w:p w14:paraId="5F18CDC6" w14:textId="42654DFF" w:rsidR="000E1BF8" w:rsidRDefault="000E1BF8" w:rsidP="000E1BF8">
            <w:pPr>
              <w:pStyle w:val="BodyText"/>
              <w:ind w:left="1440" w:hanging="720"/>
            </w:pPr>
            <w:r>
              <w:t xml:space="preserve">RTECRTOAMTTOT = </w:t>
            </w:r>
            <w:r>
              <w:rPr>
                <w:noProof/>
                <w:position w:val="-22"/>
              </w:rPr>
              <w:drawing>
                <wp:inline distT="0" distB="0" distL="0" distR="0" wp14:anchorId="2561FA90" wp14:editId="0D4C47A5">
                  <wp:extent cx="146685" cy="293370"/>
                  <wp:effectExtent l="0" t="0" r="5715"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(RTECRTOAMT </w:t>
            </w:r>
            <w:r>
              <w:rPr>
                <w:i/>
                <w:vertAlign w:val="subscript"/>
              </w:rPr>
              <w:t>q</w:t>
            </w:r>
            <w:r>
              <w:t>)</w:t>
            </w:r>
          </w:p>
          <w:p w14:paraId="559B0E94"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25"/>
              <w:gridCol w:w="1162"/>
              <w:gridCol w:w="5723"/>
            </w:tblGrid>
            <w:tr w:rsidR="000E1BF8" w14:paraId="0A111364" w14:textId="77777777" w:rsidTr="000E1BF8">
              <w:trPr>
                <w:cantSplit/>
                <w:tblHeader/>
              </w:trPr>
              <w:tc>
                <w:tcPr>
                  <w:tcW w:w="1221" w:type="pct"/>
                  <w:tcBorders>
                    <w:top w:val="single" w:sz="4" w:space="0" w:color="auto"/>
                    <w:left w:val="single" w:sz="4" w:space="0" w:color="auto"/>
                    <w:bottom w:val="single" w:sz="4" w:space="0" w:color="auto"/>
                    <w:right w:val="single" w:sz="4" w:space="0" w:color="auto"/>
                  </w:tcBorders>
                  <w:hideMark/>
                </w:tcPr>
                <w:p w14:paraId="388B21F4" w14:textId="77777777" w:rsidR="000E1BF8" w:rsidRDefault="000E1BF8" w:rsidP="000E1BF8">
                  <w:pPr>
                    <w:pStyle w:val="TableHead"/>
                  </w:pPr>
                  <w:r>
                    <w:rPr>
                      <w:b w:val="0"/>
                      <w:iCs w:val="0"/>
                    </w:rPr>
                    <w:t>Variable</w:t>
                  </w:r>
                </w:p>
              </w:tc>
              <w:tc>
                <w:tcPr>
                  <w:tcW w:w="638" w:type="pct"/>
                  <w:tcBorders>
                    <w:top w:val="single" w:sz="4" w:space="0" w:color="auto"/>
                    <w:left w:val="single" w:sz="4" w:space="0" w:color="auto"/>
                    <w:bottom w:val="single" w:sz="4" w:space="0" w:color="auto"/>
                    <w:right w:val="single" w:sz="4" w:space="0" w:color="auto"/>
                  </w:tcBorders>
                  <w:hideMark/>
                </w:tcPr>
                <w:p w14:paraId="4CA24D7B" w14:textId="77777777" w:rsidR="000E1BF8" w:rsidRDefault="000E1BF8" w:rsidP="000E1BF8">
                  <w:pPr>
                    <w:pStyle w:val="TableHead"/>
                  </w:pPr>
                  <w:r>
                    <w:t>Unit</w:t>
                  </w:r>
                </w:p>
              </w:tc>
              <w:tc>
                <w:tcPr>
                  <w:tcW w:w="3141" w:type="pct"/>
                  <w:tcBorders>
                    <w:top w:val="single" w:sz="4" w:space="0" w:color="auto"/>
                    <w:left w:val="single" w:sz="4" w:space="0" w:color="auto"/>
                    <w:bottom w:val="single" w:sz="4" w:space="0" w:color="auto"/>
                    <w:right w:val="single" w:sz="4" w:space="0" w:color="auto"/>
                  </w:tcBorders>
                  <w:hideMark/>
                </w:tcPr>
                <w:p w14:paraId="0983383C" w14:textId="77777777" w:rsidR="000E1BF8" w:rsidRDefault="000E1BF8" w:rsidP="000E1BF8">
                  <w:pPr>
                    <w:pStyle w:val="TableHead"/>
                  </w:pPr>
                  <w:r>
                    <w:t>Description</w:t>
                  </w:r>
                </w:p>
              </w:tc>
            </w:tr>
            <w:tr w:rsidR="000E1BF8" w14:paraId="0D899DA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C21A2A4" w14:textId="77777777" w:rsidR="000E1BF8" w:rsidRDefault="000E1BF8" w:rsidP="000E1BF8">
                  <w:pPr>
                    <w:pStyle w:val="tablebody0"/>
                  </w:pPr>
                  <w:r>
                    <w:t xml:space="preserve">LARTECRAMT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1695A13"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1B16558" w14:textId="77777777" w:rsidR="000E1BF8" w:rsidRDefault="000E1BF8" w:rsidP="000E1BF8">
                  <w:pPr>
                    <w:pStyle w:val="tablebody0"/>
                    <w:rPr>
                      <w:i/>
                    </w:rPr>
                  </w:pPr>
                  <w:r>
                    <w:rPr>
                      <w:i/>
                    </w:rPr>
                    <w:t xml:space="preserve">Load-Allocated Real-Time ERCOT Contingency Reserve Service Amount for the QSE - </w:t>
                  </w:r>
                  <w:r>
                    <w:t xml:space="preserve">The QSE </w:t>
                  </w:r>
                  <w:r>
                    <w:rPr>
                      <w:i/>
                    </w:rPr>
                    <w:t>q</w:t>
                  </w:r>
                  <w:r>
                    <w:t>’s share of the total Real-Time ECRS amount for the 15-minute Settlement Interval.</w:t>
                  </w:r>
                </w:p>
              </w:tc>
            </w:tr>
            <w:tr w:rsidR="000E1BF8" w14:paraId="6D5BB47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3723B2E" w14:textId="77777777" w:rsidR="000E1BF8" w:rsidRDefault="000E1BF8" w:rsidP="000E1BF8">
                  <w:pPr>
                    <w:pStyle w:val="tablebody0"/>
                  </w:pPr>
                  <w:r>
                    <w:t xml:space="preserve">RTECRIMBAMT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00553BF1"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60E93323" w14:textId="77777777" w:rsidR="000E1BF8" w:rsidRDefault="000E1BF8" w:rsidP="000E1BF8">
                  <w:pPr>
                    <w:pStyle w:val="tablebody0"/>
                    <w:rPr>
                      <w:i/>
                    </w:rPr>
                  </w:pPr>
                  <w:r>
                    <w:rPr>
                      <w:i/>
                    </w:rPr>
                    <w:t xml:space="preserve">Real-Time ERCOT Contingency Reserve Service Imbalance Amount for the QSE - </w:t>
                  </w:r>
                  <w:r>
                    <w:t xml:space="preserve">The total payment or charge to QSE </w:t>
                  </w:r>
                  <w:r>
                    <w:rPr>
                      <w:i/>
                    </w:rPr>
                    <w:t>q</w:t>
                  </w:r>
                  <w:r>
                    <w:t xml:space="preserve"> for the Real-Time ECRS imbalance for each 15-minute Settlement Interval.</w:t>
                  </w:r>
                </w:p>
              </w:tc>
            </w:tr>
            <w:tr w:rsidR="000E1BF8" w14:paraId="6EE3DC44"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226E68F" w14:textId="77777777" w:rsidR="000E1BF8" w:rsidRDefault="000E1BF8" w:rsidP="000E1BF8">
                  <w:pPr>
                    <w:pStyle w:val="tablebody0"/>
                  </w:pPr>
                  <w:r>
                    <w:t xml:space="preserve">RTECROAMT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5967F81B"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4A5FCE7" w14:textId="77777777" w:rsidR="000E1BF8" w:rsidRDefault="000E1BF8" w:rsidP="000E1BF8">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0E1BF8" w14:paraId="38697C83"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861F4E" w14:textId="77777777" w:rsidR="000E1BF8" w:rsidRDefault="000E1BF8" w:rsidP="000E1BF8">
                  <w:pPr>
                    <w:pStyle w:val="tablebody0"/>
                  </w:pPr>
                  <w:r>
                    <w:t>RTECRIMBAMTTOT</w:t>
                  </w:r>
                </w:p>
              </w:tc>
              <w:tc>
                <w:tcPr>
                  <w:tcW w:w="638" w:type="pct"/>
                  <w:tcBorders>
                    <w:top w:val="single" w:sz="4" w:space="0" w:color="auto"/>
                    <w:left w:val="single" w:sz="4" w:space="0" w:color="auto"/>
                    <w:bottom w:val="single" w:sz="4" w:space="0" w:color="auto"/>
                    <w:right w:val="single" w:sz="4" w:space="0" w:color="auto"/>
                  </w:tcBorders>
                  <w:hideMark/>
                </w:tcPr>
                <w:p w14:paraId="526BBDE4"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A60A368" w14:textId="77777777" w:rsidR="000E1BF8" w:rsidRDefault="000E1BF8" w:rsidP="000E1BF8">
                  <w:pPr>
                    <w:pStyle w:val="tablebody0"/>
                    <w:rPr>
                      <w:i/>
                    </w:rPr>
                  </w:pPr>
                  <w:r>
                    <w:rPr>
                      <w:i/>
                    </w:rPr>
                    <w:t xml:space="preserve">Real-Time ERCOT Contingency Reserve Service Imbalance Market Total Amount - </w:t>
                  </w:r>
                  <w:r>
                    <w:t>The total payment or charge to all QSEs for the Real-Time ECRS imbalance for each 15-minute Settlement Interval.</w:t>
                  </w:r>
                </w:p>
              </w:tc>
            </w:tr>
            <w:tr w:rsidR="000E1BF8" w14:paraId="2EE68248"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1DA7C1D"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75D84C28"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5EEA2C1" w14:textId="77777777" w:rsidR="000E1BF8" w:rsidRDefault="000E1BF8" w:rsidP="000E1BF8">
                  <w:pPr>
                    <w:pStyle w:val="tablebody0"/>
                    <w:rPr>
                      <w:i/>
                    </w:rPr>
                  </w:pPr>
                  <w:r>
                    <w:rPr>
                      <w:i/>
                    </w:rPr>
                    <w:t xml:space="preserve">Real-Time ERCOT Contingency Reserve Service Only Market Total Amount - </w:t>
                  </w:r>
                  <w:r>
                    <w:t>The total charge to all QSEs in Real-Time for ECRS only awards for each 15-minute Settlement Interval.</w:t>
                  </w:r>
                </w:p>
              </w:tc>
            </w:tr>
            <w:tr w:rsidR="000E1BF8" w14:paraId="4CAAEAC7"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C20D886" w14:textId="77777777" w:rsidR="000E1BF8" w:rsidRDefault="000E1BF8" w:rsidP="000E1BF8">
                  <w:pPr>
                    <w:pStyle w:val="tablebody0"/>
                  </w:pPr>
                  <w:r>
                    <w:t xml:space="preserve">RTECRTOAMT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731F7ABF"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19B4EB13" w14:textId="77777777" w:rsidR="000E1BF8" w:rsidRDefault="000E1BF8" w:rsidP="000E1BF8">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0E1BF8" w14:paraId="7C2BC4EF"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3FDBAF2"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47F9A9E9"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4FF81ADF" w14:textId="77777777" w:rsidR="000E1BF8" w:rsidRDefault="000E1BF8" w:rsidP="000E1BF8">
                  <w:pPr>
                    <w:pStyle w:val="tablebody0"/>
                    <w:rPr>
                      <w:i/>
                    </w:rPr>
                  </w:pPr>
                  <w:r>
                    <w:rPr>
                      <w:i/>
                    </w:rPr>
                    <w:t xml:space="preserve">Real-Time ERCOT Contingency Reserve Service Trade Overage Total Amount </w:t>
                  </w:r>
                  <w:r>
                    <w:t>— The total charge to all QSEs for Real-Time ECRS trade overages for each 15-minute Settlement Interval.</w:t>
                  </w:r>
                </w:p>
              </w:tc>
            </w:tr>
            <w:tr w:rsidR="000E1BF8" w14:paraId="098149D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2F028E" w14:textId="77777777" w:rsidR="000E1BF8" w:rsidRDefault="000E1BF8" w:rsidP="000E1BF8">
                  <w:pPr>
                    <w:pStyle w:val="tablebody0"/>
                    <w:rPr>
                      <w:b/>
                    </w:rPr>
                  </w:pPr>
                  <w:r>
                    <w:t>LRS</w:t>
                  </w:r>
                  <w:r>
                    <w:rPr>
                      <w:vertAlign w:val="subscript"/>
                    </w:rPr>
                    <w:t xml:space="preserve">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481D3A2"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43A0C3B8" w14:textId="6E3E4D56"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39FCF5F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FFA17A4" w14:textId="77777777" w:rsidR="000E1BF8" w:rsidRDefault="000E1BF8" w:rsidP="000E1BF8">
                  <w:pPr>
                    <w:pStyle w:val="tablebody0"/>
                  </w:pPr>
                  <w:r>
                    <w:rPr>
                      <w:i/>
                    </w:rPr>
                    <w:t>q</w:t>
                  </w:r>
                </w:p>
              </w:tc>
              <w:tc>
                <w:tcPr>
                  <w:tcW w:w="638" w:type="pct"/>
                  <w:tcBorders>
                    <w:top w:val="single" w:sz="4" w:space="0" w:color="auto"/>
                    <w:left w:val="single" w:sz="4" w:space="0" w:color="auto"/>
                    <w:bottom w:val="single" w:sz="4" w:space="0" w:color="auto"/>
                    <w:right w:val="single" w:sz="4" w:space="0" w:color="auto"/>
                  </w:tcBorders>
                  <w:hideMark/>
                </w:tcPr>
                <w:p w14:paraId="7869CF4F"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0E42F6A6" w14:textId="77777777" w:rsidR="000E1BF8" w:rsidRDefault="000E1BF8" w:rsidP="000E1BF8">
                  <w:pPr>
                    <w:pStyle w:val="tablebody0"/>
                    <w:rPr>
                      <w:i/>
                    </w:rPr>
                  </w:pPr>
                  <w:r>
                    <w:t>A QSE.</w:t>
                  </w:r>
                </w:p>
              </w:tc>
            </w:tr>
          </w:tbl>
          <w:p w14:paraId="2D119AF6" w14:textId="24EBB050" w:rsidR="000E1BF8" w:rsidRPr="00A4149C" w:rsidRDefault="000E1BF8" w:rsidP="001138B9">
            <w:pPr>
              <w:spacing w:after="240"/>
              <w:ind w:left="720" w:hanging="720"/>
            </w:pPr>
          </w:p>
        </w:tc>
      </w:tr>
    </w:tbl>
    <w:p w14:paraId="253CFDA8" w14:textId="69C8AB50" w:rsidR="001F04FD" w:rsidRPr="004A2B16" w:rsidRDefault="001F04FD" w:rsidP="001F04FD">
      <w:pPr>
        <w:keepNext/>
        <w:tabs>
          <w:tab w:val="left" w:pos="1080"/>
        </w:tabs>
        <w:spacing w:before="480" w:after="240"/>
        <w:ind w:left="1080" w:hanging="1080"/>
        <w:outlineLvl w:val="2"/>
        <w:rPr>
          <w:b/>
          <w:bCs/>
          <w:i/>
        </w:rPr>
      </w:pPr>
      <w:bookmarkStart w:id="2820" w:name="_Toc189044504"/>
      <w:r w:rsidRPr="004A2B16">
        <w:rPr>
          <w:b/>
          <w:bCs/>
          <w:i/>
        </w:rPr>
        <w:lastRenderedPageBreak/>
        <w:t>6.7.</w:t>
      </w:r>
      <w:r>
        <w:rPr>
          <w:b/>
          <w:bCs/>
          <w:i/>
        </w:rPr>
        <w:t>7</w:t>
      </w:r>
      <w:r w:rsidRPr="004A2B16">
        <w:rPr>
          <w:b/>
          <w:bCs/>
          <w:i/>
        </w:rPr>
        <w:tab/>
        <w:t>Adjustments to Net Cost Allocations for Real-Time Ancillary Services</w:t>
      </w:r>
      <w:bookmarkEnd w:id="2801"/>
      <w:bookmarkEnd w:id="2802"/>
      <w:bookmarkEnd w:id="2803"/>
      <w:bookmarkEnd w:id="2804"/>
      <w:bookmarkEnd w:id="2805"/>
      <w:bookmarkEnd w:id="2806"/>
      <w:bookmarkEnd w:id="2807"/>
      <w:bookmarkEnd w:id="2808"/>
      <w:bookmarkEnd w:id="2820"/>
    </w:p>
    <w:p w14:paraId="2FDBD5CC" w14:textId="63371BFE" w:rsidR="001F04FD" w:rsidRPr="004A2B16" w:rsidRDefault="001F04FD" w:rsidP="001F04FD">
      <w:pPr>
        <w:spacing w:before="120" w:after="240"/>
        <w:rPr>
          <w:szCs w:val="24"/>
        </w:rPr>
      </w:pPr>
      <w:r w:rsidRPr="004A2B16">
        <w:rPr>
          <w:szCs w:val="24"/>
        </w:rPr>
        <w:t>If ERCOT assigns Ancillary Service during a Watch, the incremental cost for assigned Ancillary Service is calculated in this section.</w:t>
      </w:r>
    </w:p>
    <w:p w14:paraId="1FA5BCB1" w14:textId="77777777" w:rsidR="001F04FD" w:rsidRPr="004A2B16" w:rsidRDefault="001F04FD" w:rsidP="001F04FD">
      <w:pPr>
        <w:spacing w:after="240"/>
        <w:ind w:left="720" w:hanging="720"/>
        <w:rPr>
          <w:iCs/>
        </w:rPr>
      </w:pPr>
      <w:r w:rsidRPr="004A2B16">
        <w:rPr>
          <w:iCs/>
        </w:rPr>
        <w:t>(1)</w:t>
      </w:r>
      <w:r w:rsidRPr="004A2B16">
        <w:rPr>
          <w:iCs/>
        </w:rPr>
        <w:tab/>
        <w:t>For Reg-Up, if applicable:</w:t>
      </w:r>
    </w:p>
    <w:p w14:paraId="34449404" w14:textId="77777777" w:rsidR="001F04FD" w:rsidRPr="004A2B16" w:rsidRDefault="001F04FD" w:rsidP="001F04FD">
      <w:pPr>
        <w:spacing w:after="240"/>
        <w:ind w:left="1440" w:hanging="720"/>
      </w:pPr>
      <w:r w:rsidRPr="004A2B16">
        <w:t>(a)</w:t>
      </w:r>
      <w:r w:rsidRPr="004A2B16">
        <w:tab/>
        <w:t>The total costs for Reg-Up for a given Operating Hour during a Watch is calculated as follows:</w:t>
      </w:r>
    </w:p>
    <w:p w14:paraId="45EF1C65" w14:textId="77777777" w:rsidR="001F04FD" w:rsidRPr="004A2B16" w:rsidRDefault="001F04FD" w:rsidP="001F04FD">
      <w:pPr>
        <w:spacing w:after="240"/>
        <w:ind w:left="2880" w:hanging="2160"/>
        <w:rPr>
          <w:b/>
          <w:bCs/>
          <w:szCs w:val="24"/>
        </w:rPr>
      </w:pPr>
      <w:r w:rsidRPr="004A2B16">
        <w:rPr>
          <w:b/>
          <w:bCs/>
          <w:szCs w:val="24"/>
        </w:rPr>
        <w:t>ARUCOSTTOT</w:t>
      </w:r>
      <w:r w:rsidRPr="004A2B16">
        <w:rPr>
          <w:b/>
          <w:bCs/>
          <w:szCs w:val="24"/>
        </w:rPr>
        <w:tab/>
        <w:t>=</w:t>
      </w:r>
      <w:r w:rsidRPr="004A2B16">
        <w:rPr>
          <w:b/>
          <w:bCs/>
          <w:szCs w:val="24"/>
        </w:rPr>
        <w:tab/>
        <w:t>(-1) * RTAURUAMTTOT + RUCOSTTOT</w:t>
      </w:r>
    </w:p>
    <w:p w14:paraId="0121185A" w14:textId="77777777" w:rsidR="001F04FD" w:rsidRPr="000A1457" w:rsidRDefault="001F04FD" w:rsidP="001F04FD">
      <w:pPr>
        <w:spacing w:after="240"/>
        <w:rPr>
          <w:bCs/>
          <w:szCs w:val="24"/>
        </w:rPr>
      </w:pPr>
      <w:r w:rsidRPr="000A1457">
        <w:rPr>
          <w:bCs/>
          <w:szCs w:val="24"/>
        </w:rPr>
        <w:t xml:space="preserve">Where: </w:t>
      </w:r>
    </w:p>
    <w:p w14:paraId="6DAFD703" w14:textId="77777777" w:rsidR="001F04FD" w:rsidRPr="004A2B16" w:rsidRDefault="001F04FD" w:rsidP="001F04FD">
      <w:pPr>
        <w:spacing w:after="240"/>
        <w:ind w:left="720"/>
        <w:rPr>
          <w:szCs w:val="24"/>
        </w:rPr>
      </w:pPr>
      <w:r w:rsidRPr="004A2B16">
        <w:rPr>
          <w:szCs w:val="24"/>
        </w:rPr>
        <w:lastRenderedPageBreak/>
        <w:t>Total payment of Real-Time Ancillary Service Assignment procured capacity for un-deployed Reg-Up</w:t>
      </w:r>
    </w:p>
    <w:p w14:paraId="0DD86F47" w14:textId="1EA062EF" w:rsidR="001F04FD" w:rsidRPr="004A2B16" w:rsidRDefault="001F04FD" w:rsidP="001F04FD">
      <w:pPr>
        <w:spacing w:after="240"/>
        <w:ind w:left="2880" w:hanging="2160"/>
        <w:rPr>
          <w:szCs w:val="24"/>
        </w:rPr>
      </w:pPr>
      <w:r w:rsidRPr="004A2B16">
        <w:rPr>
          <w:bCs/>
          <w:szCs w:val="24"/>
        </w:rPr>
        <w:t>RTAURUAMT</w:t>
      </w:r>
      <w:r w:rsidRPr="004A2B16">
        <w:rPr>
          <w:szCs w:val="24"/>
        </w:rPr>
        <w:t>TOT</w:t>
      </w:r>
      <w:r w:rsidRPr="004A2B16">
        <w:rPr>
          <w:szCs w:val="24"/>
        </w:rPr>
        <w:tab/>
        <w:t>=</w:t>
      </w:r>
      <w:r w:rsidRPr="004A2B16">
        <w:rPr>
          <w:szCs w:val="24"/>
        </w:rPr>
        <w:tab/>
      </w:r>
      <w:r w:rsidR="00A94020">
        <w:rPr>
          <w:noProof/>
          <w:position w:val="-30"/>
          <w:szCs w:val="24"/>
        </w:rPr>
        <w:drawing>
          <wp:inline distT="0" distB="0" distL="0" distR="0" wp14:anchorId="24E9CD6F" wp14:editId="20A2BFAF">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387ADC96" wp14:editId="230A8808">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00A94020">
        <w:rPr>
          <w:noProof/>
          <w:position w:val="-30"/>
          <w:szCs w:val="24"/>
        </w:rPr>
        <w:drawing>
          <wp:inline distT="0" distB="0" distL="0" distR="0" wp14:anchorId="5C6D4859" wp14:editId="69E13727">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677D60B6" wp14:editId="25C189E7">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4A2B16">
        <w:rPr>
          <w:szCs w:val="24"/>
        </w:rPr>
        <w:t>RTAURUAMT</w:t>
      </w:r>
      <w:r w:rsidRPr="004A2B16">
        <w:rPr>
          <w:b/>
          <w:szCs w:val="24"/>
        </w:rPr>
        <w:t xml:space="preserve"> </w:t>
      </w:r>
      <w:r w:rsidRPr="004A2B16">
        <w:rPr>
          <w:i/>
          <w:szCs w:val="24"/>
          <w:vertAlign w:val="subscript"/>
        </w:rPr>
        <w:t>q,r,p, i</w:t>
      </w:r>
    </w:p>
    <w:p w14:paraId="4331A613" w14:textId="77777777" w:rsidR="001F04FD" w:rsidRPr="004A2B16" w:rsidRDefault="001F04FD" w:rsidP="001F04FD">
      <w:pPr>
        <w:rPr>
          <w:szCs w:val="24"/>
        </w:rPr>
      </w:pPr>
      <w:r w:rsidRPr="004A2B16">
        <w:rPr>
          <w:szCs w:val="24"/>
        </w:rPr>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6752F75D" w14:textId="77777777" w:rsidTr="00AC4DEE">
        <w:tc>
          <w:tcPr>
            <w:tcW w:w="1191" w:type="pct"/>
          </w:tcPr>
          <w:p w14:paraId="62BCF1FB" w14:textId="77777777" w:rsidR="001F04FD" w:rsidRPr="00A02D58" w:rsidRDefault="001F04FD" w:rsidP="00AC4DEE">
            <w:pPr>
              <w:pStyle w:val="TableHead"/>
            </w:pPr>
            <w:r w:rsidRPr="00A02D58">
              <w:t>Variable</w:t>
            </w:r>
          </w:p>
        </w:tc>
        <w:tc>
          <w:tcPr>
            <w:tcW w:w="335" w:type="pct"/>
          </w:tcPr>
          <w:p w14:paraId="059C042D" w14:textId="77777777" w:rsidR="001F04FD" w:rsidRPr="00A02D58" w:rsidRDefault="001F04FD" w:rsidP="00AC4DEE">
            <w:pPr>
              <w:pStyle w:val="TableHead"/>
            </w:pPr>
            <w:r w:rsidRPr="00A02D58">
              <w:t>Unit</w:t>
            </w:r>
          </w:p>
        </w:tc>
        <w:tc>
          <w:tcPr>
            <w:tcW w:w="3474" w:type="pct"/>
          </w:tcPr>
          <w:p w14:paraId="4D58EB98" w14:textId="77777777" w:rsidR="001F04FD" w:rsidRPr="00A02D58" w:rsidRDefault="001F04FD" w:rsidP="00AC4DEE">
            <w:pPr>
              <w:pStyle w:val="TableHead"/>
            </w:pPr>
            <w:r w:rsidRPr="00A02D58">
              <w:t>Description</w:t>
            </w:r>
          </w:p>
        </w:tc>
      </w:tr>
      <w:tr w:rsidR="001F04FD" w:rsidRPr="00A02D58" w14:paraId="509EAD03" w14:textId="77777777" w:rsidTr="00AC4DEE">
        <w:tc>
          <w:tcPr>
            <w:tcW w:w="1191" w:type="pct"/>
          </w:tcPr>
          <w:p w14:paraId="74E8A01F" w14:textId="77777777" w:rsidR="001F04FD" w:rsidRPr="007E037D" w:rsidRDefault="001F04FD" w:rsidP="00AC4DEE">
            <w:pPr>
              <w:pStyle w:val="TableBody"/>
            </w:pPr>
            <w:r w:rsidRPr="007E037D">
              <w:t>ARUCOSTTOT</w:t>
            </w:r>
          </w:p>
        </w:tc>
        <w:tc>
          <w:tcPr>
            <w:tcW w:w="335" w:type="pct"/>
          </w:tcPr>
          <w:p w14:paraId="1B53B056" w14:textId="77777777" w:rsidR="001F04FD" w:rsidRDefault="001F04FD" w:rsidP="00AC4DEE">
            <w:pPr>
              <w:pStyle w:val="TableBody"/>
            </w:pPr>
            <w:r w:rsidRPr="007E037D">
              <w:t>$</w:t>
            </w:r>
          </w:p>
        </w:tc>
        <w:tc>
          <w:tcPr>
            <w:tcW w:w="3474" w:type="pct"/>
          </w:tcPr>
          <w:p w14:paraId="74A09C72" w14:textId="77777777" w:rsidR="001F04FD" w:rsidRPr="00A02D58" w:rsidRDefault="001F04FD" w:rsidP="00AC4DEE">
            <w:pPr>
              <w:pStyle w:val="TableBody"/>
            </w:pPr>
            <w:r w:rsidRPr="004A2B16">
              <w:rPr>
                <w:i/>
              </w:rPr>
              <w:t>Reg-Up Cost Total</w:t>
            </w:r>
            <w:r w:rsidRPr="00A02D58">
              <w:t>—The total costs for Reg-Up</w:t>
            </w:r>
            <w:r>
              <w:t xml:space="preserve"> that includes costs of assigned Ancillary Service during a Watch for the hour.</w:t>
            </w:r>
          </w:p>
        </w:tc>
      </w:tr>
      <w:tr w:rsidR="001F04FD" w:rsidRPr="00A02D58" w14:paraId="05D55809" w14:textId="77777777" w:rsidTr="00AC4DEE">
        <w:tc>
          <w:tcPr>
            <w:tcW w:w="1191" w:type="pct"/>
          </w:tcPr>
          <w:p w14:paraId="72601FA2" w14:textId="77777777" w:rsidR="001F04FD" w:rsidRDefault="001F04FD" w:rsidP="00AC4DEE">
            <w:pPr>
              <w:pStyle w:val="TableBody"/>
            </w:pPr>
            <w:r>
              <w:t>RUCOSTTOT</w:t>
            </w:r>
          </w:p>
        </w:tc>
        <w:tc>
          <w:tcPr>
            <w:tcW w:w="335" w:type="pct"/>
          </w:tcPr>
          <w:p w14:paraId="6CAA77FE" w14:textId="77777777" w:rsidR="001F04FD" w:rsidRPr="00A02D58" w:rsidRDefault="001F04FD" w:rsidP="00AC4DEE">
            <w:pPr>
              <w:pStyle w:val="TableBody"/>
            </w:pPr>
            <w:r>
              <w:t>$</w:t>
            </w:r>
          </w:p>
        </w:tc>
        <w:tc>
          <w:tcPr>
            <w:tcW w:w="3474" w:type="pct"/>
          </w:tcPr>
          <w:p w14:paraId="62CA4C13" w14:textId="77777777" w:rsidR="001F04FD" w:rsidRPr="004A2B16" w:rsidRDefault="001F04FD" w:rsidP="00AC4DEE">
            <w:pPr>
              <w:pStyle w:val="TableBody"/>
            </w:pPr>
            <w:r w:rsidRPr="004A2B16">
              <w:rPr>
                <w:i/>
              </w:rPr>
              <w:t>Reg-Up Cost Total</w:t>
            </w:r>
            <w:r w:rsidRPr="00A02D58">
              <w:t>—The net total costs for Reg-Up for the hour.</w:t>
            </w:r>
          </w:p>
        </w:tc>
      </w:tr>
      <w:tr w:rsidR="001F04FD" w:rsidRPr="00A02D58" w14:paraId="72D05B91" w14:textId="77777777" w:rsidTr="00AC4DEE">
        <w:tc>
          <w:tcPr>
            <w:tcW w:w="1191" w:type="pct"/>
            <w:tcBorders>
              <w:top w:val="single" w:sz="4" w:space="0" w:color="auto"/>
              <w:left w:val="single" w:sz="4" w:space="0" w:color="auto"/>
              <w:bottom w:val="single" w:sz="4" w:space="0" w:color="auto"/>
              <w:right w:val="single" w:sz="4" w:space="0" w:color="auto"/>
            </w:tcBorders>
          </w:tcPr>
          <w:p w14:paraId="649F10A8" w14:textId="77777777" w:rsidR="001F04FD" w:rsidRPr="00131358" w:rsidRDefault="001F04FD" w:rsidP="00AC4DEE">
            <w:pPr>
              <w:pStyle w:val="TableBody"/>
            </w:pPr>
            <w:r w:rsidRPr="004A2B16">
              <w:t>RTAURUAMT</w:t>
            </w:r>
            <w:r w:rsidRPr="00131358">
              <w:t>TOT</w:t>
            </w:r>
          </w:p>
        </w:tc>
        <w:tc>
          <w:tcPr>
            <w:tcW w:w="335" w:type="pct"/>
            <w:tcBorders>
              <w:top w:val="single" w:sz="4" w:space="0" w:color="auto"/>
              <w:left w:val="single" w:sz="4" w:space="0" w:color="auto"/>
              <w:bottom w:val="single" w:sz="4" w:space="0" w:color="auto"/>
              <w:right w:val="single" w:sz="4" w:space="0" w:color="auto"/>
            </w:tcBorders>
          </w:tcPr>
          <w:p w14:paraId="454EF07F"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006D0E75" w14:textId="77777777" w:rsidR="001F04FD" w:rsidRPr="005D75C3" w:rsidRDefault="001F04FD" w:rsidP="00AC4DEE">
            <w:pPr>
              <w:pStyle w:val="TableBody"/>
            </w:pPr>
            <w:r w:rsidRPr="004A2B16">
              <w:rPr>
                <w:i/>
              </w:rPr>
              <w:t>Real-Time Assigned Un-Deployed Regulation Up Payment Amount Total for all QSEs</w:t>
            </w:r>
            <w:r w:rsidRPr="00A02D58">
              <w:t>—</w:t>
            </w:r>
            <w:r w:rsidRPr="00131358">
              <w:t xml:space="preserve">The payments to all </w:t>
            </w:r>
            <w:r w:rsidRPr="005D75C3">
              <w:t>QSEs for the Real-Time un-deployed Reg-Up Ancillary Service Assignment for the hour.</w:t>
            </w:r>
          </w:p>
        </w:tc>
      </w:tr>
      <w:tr w:rsidR="001F04FD" w:rsidRPr="00A02D58" w14:paraId="190A9C29" w14:textId="77777777" w:rsidTr="00AC4DEE">
        <w:tc>
          <w:tcPr>
            <w:tcW w:w="1191" w:type="pct"/>
            <w:tcBorders>
              <w:top w:val="single" w:sz="4" w:space="0" w:color="auto"/>
              <w:left w:val="single" w:sz="4" w:space="0" w:color="auto"/>
              <w:bottom w:val="single" w:sz="4" w:space="0" w:color="auto"/>
              <w:right w:val="single" w:sz="4" w:space="0" w:color="auto"/>
            </w:tcBorders>
          </w:tcPr>
          <w:p w14:paraId="3E55CB4E" w14:textId="77777777" w:rsidR="001F04FD" w:rsidRPr="00131358" w:rsidRDefault="001F04FD" w:rsidP="00AC4DEE">
            <w:pPr>
              <w:pStyle w:val="TableBody"/>
            </w:pPr>
            <w:r w:rsidRPr="00456718">
              <w:t>RTAURUAMT</w:t>
            </w:r>
            <w:r w:rsidRPr="004A2B16">
              <w:t xml:space="preserve"> </w:t>
            </w:r>
            <w:r w:rsidRPr="004A2B16">
              <w:rPr>
                <w:i/>
                <w:vertAlign w:val="subscript"/>
              </w:rPr>
              <w:t>q,r,p,i</w:t>
            </w:r>
          </w:p>
        </w:tc>
        <w:tc>
          <w:tcPr>
            <w:tcW w:w="335" w:type="pct"/>
            <w:tcBorders>
              <w:top w:val="single" w:sz="4" w:space="0" w:color="auto"/>
              <w:left w:val="single" w:sz="4" w:space="0" w:color="auto"/>
              <w:bottom w:val="single" w:sz="4" w:space="0" w:color="auto"/>
              <w:right w:val="single" w:sz="4" w:space="0" w:color="auto"/>
            </w:tcBorders>
          </w:tcPr>
          <w:p w14:paraId="7C65377D"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520EB38A" w14:textId="77777777" w:rsidR="001F04FD" w:rsidRPr="00A87906" w:rsidRDefault="001F04FD" w:rsidP="00AC4DEE">
            <w:pPr>
              <w:pStyle w:val="TableBody"/>
            </w:pPr>
            <w:r w:rsidRPr="004A2B16">
              <w:rPr>
                <w:i/>
              </w:rPr>
              <w:t>Real-Time Assigned Un-Deployed Regulation Up Payment Amount per QSE</w:t>
            </w:r>
            <w:r w:rsidRPr="00A02D58">
              <w:t>—</w:t>
            </w:r>
            <w:r w:rsidRPr="00131358">
              <w:t xml:space="preserve">The payment to QSE </w:t>
            </w:r>
            <w:r w:rsidRPr="000A1457">
              <w:rPr>
                <w:i/>
              </w:rPr>
              <w:t>q</w:t>
            </w:r>
            <w:r w:rsidRPr="005D75C3">
              <w:t xml:space="preserve"> for a Real-Time un-deployed Reg-Up Ancillary Service Assig</w:t>
            </w:r>
            <w:r w:rsidRPr="00E51F31">
              <w:t xml:space="preserve">nment to Resource </w:t>
            </w:r>
            <w:r w:rsidRPr="000A1457">
              <w:rPr>
                <w:i/>
              </w:rPr>
              <w:t>r</w:t>
            </w:r>
            <w:r w:rsidRPr="00AB6F41">
              <w:t xml:space="preserve"> at Settlement Point </w:t>
            </w:r>
            <w:r w:rsidRPr="000A1457">
              <w:rPr>
                <w:i/>
              </w:rPr>
              <w:t>p</w:t>
            </w:r>
            <w:r w:rsidRPr="00AB6F41">
              <w:t xml:space="preserve"> for the 15-minute Settlement Interval </w:t>
            </w:r>
            <w:r w:rsidRPr="000A1457">
              <w:rPr>
                <w:i/>
              </w:rPr>
              <w:t>i</w:t>
            </w:r>
            <w:r w:rsidRPr="00A87906">
              <w:t>.</w:t>
            </w:r>
          </w:p>
        </w:tc>
      </w:tr>
      <w:tr w:rsidR="001F04FD" w:rsidRPr="00A02D58" w14:paraId="13AD47EE" w14:textId="77777777" w:rsidTr="00AC4DEE">
        <w:tc>
          <w:tcPr>
            <w:tcW w:w="1191" w:type="pct"/>
            <w:tcBorders>
              <w:top w:val="single" w:sz="4" w:space="0" w:color="auto"/>
              <w:left w:val="single" w:sz="4" w:space="0" w:color="auto"/>
              <w:bottom w:val="single" w:sz="4" w:space="0" w:color="auto"/>
              <w:right w:val="single" w:sz="4" w:space="0" w:color="auto"/>
            </w:tcBorders>
          </w:tcPr>
          <w:p w14:paraId="4715A15E" w14:textId="77777777" w:rsidR="001F04FD" w:rsidRPr="004A2B16" w:rsidRDefault="001F04FD" w:rsidP="00AC4DEE">
            <w:pPr>
              <w:pStyle w:val="TableBody"/>
              <w:rPr>
                <w:i/>
              </w:rPr>
            </w:pPr>
            <w:r w:rsidRPr="004A2B16">
              <w:rPr>
                <w:i/>
              </w:rPr>
              <w:t>q</w:t>
            </w:r>
          </w:p>
        </w:tc>
        <w:tc>
          <w:tcPr>
            <w:tcW w:w="335" w:type="pct"/>
            <w:tcBorders>
              <w:top w:val="single" w:sz="4" w:space="0" w:color="auto"/>
              <w:left w:val="single" w:sz="4" w:space="0" w:color="auto"/>
              <w:bottom w:val="single" w:sz="4" w:space="0" w:color="auto"/>
              <w:right w:val="single" w:sz="4" w:space="0" w:color="auto"/>
            </w:tcBorders>
          </w:tcPr>
          <w:p w14:paraId="23DC7023"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5AC6B226" w14:textId="77777777" w:rsidR="001F04FD" w:rsidRPr="00A02D58" w:rsidRDefault="001F04FD" w:rsidP="00AC4DEE">
            <w:pPr>
              <w:pStyle w:val="TableBody"/>
            </w:pPr>
            <w:r w:rsidRPr="00A02D58">
              <w:t>A QSE.</w:t>
            </w:r>
          </w:p>
        </w:tc>
      </w:tr>
      <w:tr w:rsidR="001F04FD" w:rsidRPr="00A02D58" w14:paraId="31C2A350"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79AD2D0E" w14:textId="77777777" w:rsidR="001F04FD" w:rsidRPr="004A2B16" w:rsidRDefault="001F04FD" w:rsidP="00AC4DEE">
            <w:pPr>
              <w:pStyle w:val="TableBody"/>
              <w:rPr>
                <w:i/>
              </w:rPr>
            </w:pPr>
            <w:r w:rsidRPr="004A2B16">
              <w:rPr>
                <w:i/>
              </w:rPr>
              <w:t>r</w:t>
            </w:r>
          </w:p>
        </w:tc>
        <w:tc>
          <w:tcPr>
            <w:tcW w:w="335" w:type="pct"/>
            <w:tcBorders>
              <w:top w:val="single" w:sz="4" w:space="0" w:color="auto"/>
              <w:left w:val="single" w:sz="4" w:space="0" w:color="auto"/>
              <w:bottom w:val="single" w:sz="4" w:space="0" w:color="auto"/>
              <w:right w:val="single" w:sz="4" w:space="0" w:color="auto"/>
            </w:tcBorders>
          </w:tcPr>
          <w:p w14:paraId="03A669C0"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2233A160" w14:textId="77777777" w:rsidR="001F04FD" w:rsidRPr="004A2B16" w:rsidRDefault="001F04FD" w:rsidP="00AC4DEE">
            <w:pPr>
              <w:pStyle w:val="TableBody"/>
            </w:pPr>
            <w:r w:rsidRPr="004A2B16">
              <w:t>A Generation Resource that was allocated Reg-Up Ancillary Service Assignment by the QSE.</w:t>
            </w:r>
          </w:p>
        </w:tc>
      </w:tr>
      <w:tr w:rsidR="001F04FD" w:rsidRPr="00A02D58" w14:paraId="158B02C6" w14:textId="77777777" w:rsidTr="00AC4DEE">
        <w:tblPrEx>
          <w:tblCellMar>
            <w:left w:w="115" w:type="dxa"/>
            <w:right w:w="115" w:type="dxa"/>
          </w:tblCellMar>
        </w:tblPrEx>
        <w:trPr>
          <w:cantSplit/>
          <w:trHeight w:val="467"/>
          <w:tblHeader/>
        </w:trPr>
        <w:tc>
          <w:tcPr>
            <w:tcW w:w="1191" w:type="pct"/>
            <w:tcBorders>
              <w:top w:val="single" w:sz="4" w:space="0" w:color="auto"/>
              <w:left w:val="single" w:sz="4" w:space="0" w:color="auto"/>
              <w:bottom w:val="single" w:sz="4" w:space="0" w:color="auto"/>
              <w:right w:val="single" w:sz="4" w:space="0" w:color="auto"/>
            </w:tcBorders>
          </w:tcPr>
          <w:p w14:paraId="12FFF9D3" w14:textId="77777777" w:rsidR="001F04FD" w:rsidRPr="004A2B16" w:rsidRDefault="001F04FD" w:rsidP="00AC4DEE">
            <w:pPr>
              <w:pStyle w:val="TableBody"/>
              <w:rPr>
                <w:i/>
              </w:rPr>
            </w:pPr>
            <w:r w:rsidRPr="004A2B16">
              <w:rPr>
                <w:i/>
              </w:rPr>
              <w:t>p</w:t>
            </w:r>
          </w:p>
        </w:tc>
        <w:tc>
          <w:tcPr>
            <w:tcW w:w="335" w:type="pct"/>
            <w:tcBorders>
              <w:top w:val="single" w:sz="4" w:space="0" w:color="auto"/>
              <w:left w:val="single" w:sz="4" w:space="0" w:color="auto"/>
              <w:bottom w:val="single" w:sz="4" w:space="0" w:color="auto"/>
              <w:right w:val="single" w:sz="4" w:space="0" w:color="auto"/>
            </w:tcBorders>
          </w:tcPr>
          <w:p w14:paraId="011FCB41"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3BC5278C" w14:textId="77777777" w:rsidR="001F04FD" w:rsidRPr="004A2B16" w:rsidRDefault="001F04FD" w:rsidP="00AC4DEE">
            <w:pPr>
              <w:pStyle w:val="TableBody"/>
            </w:pPr>
            <w:r w:rsidRPr="004A2B16">
              <w:t>A Settlement Point for the Resource Node that was allocated Reg-Up Ancillary Service Assignment by the QSE.</w:t>
            </w:r>
          </w:p>
        </w:tc>
      </w:tr>
      <w:tr w:rsidR="001F04FD" w:rsidRPr="00A02D58" w14:paraId="43EE81FD"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0F62DDD" w14:textId="77777777" w:rsidR="001F04FD" w:rsidRPr="004A2B16" w:rsidRDefault="001F04FD" w:rsidP="00AC4DEE">
            <w:pPr>
              <w:pStyle w:val="TableBody"/>
              <w:rPr>
                <w:i/>
              </w:rPr>
            </w:pPr>
            <w:r w:rsidRPr="004A2B16">
              <w:rPr>
                <w:i/>
              </w:rPr>
              <w:t>i</w:t>
            </w:r>
          </w:p>
        </w:tc>
        <w:tc>
          <w:tcPr>
            <w:tcW w:w="335" w:type="pct"/>
            <w:tcBorders>
              <w:top w:val="single" w:sz="4" w:space="0" w:color="auto"/>
              <w:left w:val="single" w:sz="4" w:space="0" w:color="auto"/>
              <w:bottom w:val="single" w:sz="4" w:space="0" w:color="auto"/>
              <w:right w:val="single" w:sz="4" w:space="0" w:color="auto"/>
            </w:tcBorders>
          </w:tcPr>
          <w:p w14:paraId="4F4A3926"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6D7F33AE" w14:textId="77777777" w:rsidR="001F04FD" w:rsidRPr="00A02D58" w:rsidRDefault="001F04FD" w:rsidP="00AC4DEE">
            <w:pPr>
              <w:pStyle w:val="TableBody"/>
            </w:pPr>
            <w:r w:rsidRPr="00A02D58">
              <w:t>A 15-minute Settlement Interval in the Operating Hour.</w:t>
            </w:r>
          </w:p>
        </w:tc>
      </w:tr>
    </w:tbl>
    <w:p w14:paraId="2FFD906B" w14:textId="77777777" w:rsidR="001F04FD" w:rsidRDefault="001F04FD" w:rsidP="001F04FD">
      <w:pPr>
        <w:pStyle w:val="List"/>
        <w:spacing w:before="240"/>
      </w:pPr>
      <w:r w:rsidRPr="00A02D58">
        <w:t>(b)</w:t>
      </w:r>
      <w:r w:rsidRPr="00A02D58">
        <w:tab/>
        <w:t>Each QSE’s share of the total costs for Reg-Up for the Operating Hour</w:t>
      </w:r>
      <w:r>
        <w:t>,</w:t>
      </w:r>
      <w:r w:rsidRPr="00A02D58">
        <w:t xml:space="preserve"> </w:t>
      </w:r>
      <w:r>
        <w:t xml:space="preserve">including Ancillary Service costs assigned during a Watch </w:t>
      </w:r>
      <w:r w:rsidRPr="00A02D58">
        <w:t>is calculated as follows:</w:t>
      </w:r>
    </w:p>
    <w:p w14:paraId="2D9A139E" w14:textId="77777777" w:rsidR="001F04FD" w:rsidRPr="00AE693E" w:rsidRDefault="001F04FD" w:rsidP="001F04FD">
      <w:pPr>
        <w:pStyle w:val="FormulaBold"/>
      </w:pPr>
      <w:r w:rsidRPr="00727227">
        <w:t xml:space="preserve">ARUCOST </w:t>
      </w:r>
      <w:r w:rsidRPr="00727227">
        <w:rPr>
          <w:i/>
          <w:vertAlign w:val="subscript"/>
        </w:rPr>
        <w:t>q</w:t>
      </w:r>
      <w:r w:rsidRPr="00727227">
        <w:tab/>
        <w:t>=</w:t>
      </w:r>
      <w:r w:rsidRPr="00727227">
        <w:tab/>
        <w:t xml:space="preserve">ARUPR * ARUQ </w:t>
      </w:r>
      <w:r w:rsidRPr="00727227">
        <w:rPr>
          <w:i/>
          <w:vertAlign w:val="subscript"/>
        </w:rPr>
        <w:t>q</w:t>
      </w:r>
    </w:p>
    <w:p w14:paraId="0AEF5776" w14:textId="77777777" w:rsidR="001F04FD" w:rsidRPr="00D8133F" w:rsidRDefault="001F04FD" w:rsidP="001F04FD">
      <w:pPr>
        <w:pStyle w:val="BodyText"/>
      </w:pPr>
      <w:r w:rsidRPr="00D8133F">
        <w:t>Where:</w:t>
      </w:r>
    </w:p>
    <w:p w14:paraId="1AFB1326" w14:textId="77777777" w:rsidR="001F04FD" w:rsidRPr="00EF7931" w:rsidRDefault="001F04FD" w:rsidP="001F04FD">
      <w:pPr>
        <w:pStyle w:val="Formula"/>
        <w:ind w:left="2880" w:hanging="2160"/>
      </w:pPr>
      <w:r w:rsidRPr="00EF7931">
        <w:t>ARUPR</w:t>
      </w:r>
      <w:r w:rsidRPr="00EF7931">
        <w:tab/>
        <w:t>=</w:t>
      </w:r>
      <w:r w:rsidRPr="00EF7931">
        <w:tab/>
        <w:t>ARUCOSTTOT / ARUQTOT</w:t>
      </w:r>
    </w:p>
    <w:p w14:paraId="2D1A6502" w14:textId="77777777" w:rsidR="001F04FD" w:rsidRPr="004057CD" w:rsidRDefault="001F04FD" w:rsidP="001F04FD">
      <w:pPr>
        <w:pStyle w:val="Formula"/>
        <w:ind w:left="2880" w:hanging="2160"/>
      </w:pPr>
      <w:r w:rsidRPr="004057CD">
        <w:t>ARUQTOT</w:t>
      </w:r>
      <w:r w:rsidRPr="004057CD">
        <w:tab/>
        <w:t>=</w:t>
      </w:r>
      <w:r w:rsidRPr="004057CD">
        <w:tab/>
      </w:r>
      <w:r w:rsidRPr="004057CD">
        <w:rPr>
          <w:position w:val="-22"/>
          <w:lang w:val="pt-BR"/>
        </w:rPr>
        <w:object w:dxaOrig="225" w:dyaOrig="465" w14:anchorId="4FF412EA">
          <v:shape id="_x0000_i1426" type="#_x0000_t75" style="width:12pt;height:18pt" o:ole="">
            <v:imagedata r:id="rId432" o:title=""/>
          </v:shape>
          <o:OLEObject Type="Embed" ProgID="Equation.3" ShapeID="_x0000_i1426" DrawAspect="Content" ObjectID="_1804653909" r:id="rId523"/>
        </w:object>
      </w:r>
      <w:r w:rsidRPr="004057CD">
        <w:rPr>
          <w:lang w:val="pt-BR"/>
        </w:rPr>
        <w:t>A</w:t>
      </w:r>
      <w:r w:rsidRPr="004057CD">
        <w:t xml:space="preserve">RUQ </w:t>
      </w:r>
      <w:r w:rsidRPr="004057CD">
        <w:rPr>
          <w:i/>
          <w:vertAlign w:val="subscript"/>
        </w:rPr>
        <w:t>q</w:t>
      </w:r>
    </w:p>
    <w:p w14:paraId="68A1CD26" w14:textId="77777777" w:rsidR="001F04FD" w:rsidRPr="00D7423A" w:rsidRDefault="001F04FD" w:rsidP="001F04FD">
      <w:pPr>
        <w:pStyle w:val="Formula"/>
        <w:ind w:left="2880" w:hanging="2160"/>
      </w:pPr>
      <w:r w:rsidRPr="004057CD">
        <w:t>A</w:t>
      </w:r>
      <w:r w:rsidRPr="00AB2A01">
        <w:t xml:space="preserve">RUQ </w:t>
      </w:r>
      <w:r w:rsidRPr="00AB2A01">
        <w:rPr>
          <w:i/>
          <w:vertAlign w:val="subscript"/>
        </w:rPr>
        <w:t>q</w:t>
      </w:r>
      <w:r w:rsidRPr="00AB2A01">
        <w:rPr>
          <w:i/>
          <w:vertAlign w:val="subscript"/>
        </w:rPr>
        <w:tab/>
      </w:r>
      <w:r w:rsidRPr="00AB2A01">
        <w:t>=</w:t>
      </w:r>
      <w:r w:rsidRPr="00AB2A01">
        <w:tab/>
      </w:r>
      <w:r w:rsidRPr="00E278AD">
        <w:t>A</w:t>
      </w:r>
      <w:r w:rsidRPr="00C700DF">
        <w:t xml:space="preserve">RUO </w:t>
      </w:r>
      <w:r w:rsidRPr="00C700DF">
        <w:rPr>
          <w:i/>
          <w:vertAlign w:val="subscript"/>
        </w:rPr>
        <w:t>q</w:t>
      </w:r>
      <w:r w:rsidRPr="00D7423A">
        <w:t xml:space="preserve"> – SARUQ </w:t>
      </w:r>
      <w:r w:rsidRPr="00D7423A">
        <w:rPr>
          <w:i/>
          <w:vertAlign w:val="subscript"/>
        </w:rPr>
        <w:t>q</w:t>
      </w:r>
    </w:p>
    <w:p w14:paraId="22481953" w14:textId="77777777" w:rsidR="001F04FD" w:rsidRPr="00727227" w:rsidRDefault="001F04FD" w:rsidP="001F04FD">
      <w:pPr>
        <w:pStyle w:val="Formula"/>
        <w:ind w:left="2880" w:hanging="2160"/>
        <w:rPr>
          <w:vertAlign w:val="subscript"/>
          <w:lang w:val="fr-FR"/>
        </w:rPr>
      </w:pPr>
      <w:r w:rsidRPr="00605094">
        <w:t xml:space="preserve">ARUO </w:t>
      </w:r>
      <w:r w:rsidRPr="00605094">
        <w:rPr>
          <w:i/>
          <w:vertAlign w:val="subscript"/>
        </w:rPr>
        <w:t>q</w:t>
      </w:r>
      <w:r w:rsidRPr="00605094">
        <w:rPr>
          <w:i/>
          <w:vertAlign w:val="subscript"/>
        </w:rPr>
        <w:tab/>
      </w:r>
      <w:r w:rsidRPr="00605094">
        <w:t>=</w:t>
      </w:r>
      <w:r w:rsidRPr="00605094">
        <w:tab/>
        <w:t xml:space="preserve">WAURUTOT </w:t>
      </w:r>
      <w:r w:rsidRPr="00C975E5">
        <w:t>* HLRS</w:t>
      </w:r>
      <w:r w:rsidRPr="00C975E5">
        <w:rPr>
          <w:i/>
          <w:vertAlign w:val="subscript"/>
        </w:rPr>
        <w:t xml:space="preserve"> q</w:t>
      </w:r>
      <w:r w:rsidRPr="00C975E5">
        <w:t xml:space="preserve"> + </w:t>
      </w:r>
      <w:r w:rsidRPr="00435DEF">
        <w:t>RUO</w:t>
      </w:r>
      <w:r w:rsidRPr="00727227">
        <w:rPr>
          <w:i/>
          <w:vertAlign w:val="subscript"/>
        </w:rPr>
        <w:t xml:space="preserve"> q</w:t>
      </w:r>
      <w:r w:rsidRPr="00727227">
        <w:rPr>
          <w:vertAlign w:val="subscript"/>
        </w:rPr>
        <w:t xml:space="preserve"> </w:t>
      </w:r>
    </w:p>
    <w:p w14:paraId="43005BEB" w14:textId="77777777" w:rsidR="001F04FD" w:rsidRPr="004057CD" w:rsidRDefault="001F04FD" w:rsidP="001F04FD">
      <w:pPr>
        <w:pStyle w:val="Formula"/>
        <w:ind w:left="2880" w:hanging="2160"/>
        <w:rPr>
          <w:lang w:val="fr-FR"/>
        </w:rPr>
      </w:pPr>
      <w:r w:rsidRPr="00D8133F">
        <w:t>WAURUTOT</w:t>
      </w:r>
      <w:r w:rsidRPr="00D8133F">
        <w:tab/>
      </w:r>
      <w:r w:rsidRPr="00D8133F">
        <w:rPr>
          <w:lang w:val="fr-FR"/>
        </w:rPr>
        <w:t>=</w:t>
      </w:r>
      <w:r w:rsidRPr="00D8133F">
        <w:rPr>
          <w:lang w:val="fr-FR"/>
        </w:rPr>
        <w:tab/>
      </w:r>
      <w:r w:rsidRPr="004057CD">
        <w:rPr>
          <w:position w:val="-22"/>
          <w:lang w:val="pt-BR"/>
        </w:rPr>
        <w:object w:dxaOrig="225" w:dyaOrig="465" w14:anchorId="61866AF4">
          <v:shape id="_x0000_i1427" type="#_x0000_t75" style="width:12pt;height:18pt" o:ole="">
            <v:imagedata r:id="rId432" o:title=""/>
          </v:shape>
          <o:OLEObject Type="Embed" ProgID="Equation.3" ShapeID="_x0000_i1427" DrawAspect="Content" ObjectID="_1804653910" r:id="rId524"/>
        </w:object>
      </w:r>
      <w:r w:rsidRPr="004057CD">
        <w:rPr>
          <w:position w:val="-18"/>
          <w:lang w:val="pt-BR"/>
        </w:rPr>
        <w:object w:dxaOrig="220" w:dyaOrig="420" w14:anchorId="7CC20B92">
          <v:shape id="_x0000_i1428" type="#_x0000_t75" style="width:12pt;height:24pt" o:ole="">
            <v:imagedata r:id="rId412" o:title=""/>
          </v:shape>
          <o:OLEObject Type="Embed" ProgID="Equation.3" ShapeID="_x0000_i1428" DrawAspect="Content" ObjectID="_1804653911" r:id="rId525"/>
        </w:object>
      </w:r>
      <w:r w:rsidRPr="00C700DF">
        <w:rPr>
          <w:position w:val="-18"/>
          <w:lang w:val="pt-BR"/>
        </w:rPr>
        <w:object w:dxaOrig="220" w:dyaOrig="420" w14:anchorId="3B42E6B0">
          <v:shape id="_x0000_i1429" type="#_x0000_t75" style="width:12pt;height:24pt" o:ole="">
            <v:imagedata r:id="rId526" o:title=""/>
          </v:shape>
          <o:OLEObject Type="Embed" ProgID="Equation.3" ShapeID="_x0000_i1429" DrawAspect="Content" ObjectID="_1804653912" r:id="rId527"/>
        </w:object>
      </w:r>
      <w:r w:rsidRPr="004057CD">
        <w:t xml:space="preserve">RTAURUR </w:t>
      </w:r>
      <w:r w:rsidRPr="004057CD">
        <w:rPr>
          <w:i/>
          <w:vertAlign w:val="subscript"/>
        </w:rPr>
        <w:t>q,r,p</w:t>
      </w:r>
    </w:p>
    <w:p w14:paraId="7FD32D3E" w14:textId="77777777" w:rsidR="001F04FD" w:rsidRPr="004057CD" w:rsidRDefault="001F04FD" w:rsidP="001F04FD">
      <w:pPr>
        <w:keepNext/>
        <w:spacing w:before="240"/>
      </w:pPr>
      <w:r w:rsidRPr="004057C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0B9B6FE" w14:textId="77777777" w:rsidTr="00AC4DEE">
        <w:tc>
          <w:tcPr>
            <w:tcW w:w="1191" w:type="pct"/>
          </w:tcPr>
          <w:p w14:paraId="637BB2C9" w14:textId="77777777" w:rsidR="001F04FD" w:rsidRPr="00A02D58" w:rsidRDefault="001F04FD" w:rsidP="00AC4DEE">
            <w:pPr>
              <w:pStyle w:val="TableHead"/>
            </w:pPr>
            <w:r w:rsidRPr="00A02D58">
              <w:t>Variable</w:t>
            </w:r>
          </w:p>
        </w:tc>
        <w:tc>
          <w:tcPr>
            <w:tcW w:w="335" w:type="pct"/>
          </w:tcPr>
          <w:p w14:paraId="1B86AE40" w14:textId="77777777" w:rsidR="001F04FD" w:rsidRPr="00A02D58" w:rsidRDefault="001F04FD" w:rsidP="00AC4DEE">
            <w:pPr>
              <w:pStyle w:val="TableHead"/>
            </w:pPr>
            <w:r w:rsidRPr="00A02D58">
              <w:t>Unit</w:t>
            </w:r>
          </w:p>
        </w:tc>
        <w:tc>
          <w:tcPr>
            <w:tcW w:w="3474" w:type="pct"/>
          </w:tcPr>
          <w:p w14:paraId="18D78FF0" w14:textId="77777777" w:rsidR="001F04FD" w:rsidRPr="00A02D58" w:rsidRDefault="001F04FD" w:rsidP="00AC4DEE">
            <w:pPr>
              <w:pStyle w:val="TableHead"/>
            </w:pPr>
            <w:r w:rsidRPr="00A02D58">
              <w:t>Description</w:t>
            </w:r>
          </w:p>
        </w:tc>
      </w:tr>
      <w:tr w:rsidR="001F04FD" w:rsidRPr="00A02D58" w14:paraId="40E9C735" w14:textId="77777777" w:rsidTr="00AC4DEE">
        <w:tc>
          <w:tcPr>
            <w:tcW w:w="1191" w:type="pct"/>
          </w:tcPr>
          <w:p w14:paraId="0FADE8B9" w14:textId="77777777" w:rsidR="001F04FD" w:rsidRPr="007E037D" w:rsidRDefault="001F04FD" w:rsidP="00AC4DEE">
            <w:pPr>
              <w:pStyle w:val="TableBody"/>
            </w:pPr>
            <w:r w:rsidRPr="000A0BDA">
              <w:t xml:space="preserve">ARUCOST </w:t>
            </w:r>
            <w:r w:rsidRPr="000A0BDA">
              <w:rPr>
                <w:i/>
                <w:vertAlign w:val="subscript"/>
              </w:rPr>
              <w:t>q</w:t>
            </w:r>
          </w:p>
        </w:tc>
        <w:tc>
          <w:tcPr>
            <w:tcW w:w="335" w:type="pct"/>
          </w:tcPr>
          <w:p w14:paraId="1DC5A866" w14:textId="77777777" w:rsidR="001F04FD" w:rsidRDefault="001F04FD" w:rsidP="00AC4DEE">
            <w:pPr>
              <w:pStyle w:val="TableBody"/>
            </w:pPr>
            <w:r w:rsidRPr="000A0BDA">
              <w:t>$</w:t>
            </w:r>
          </w:p>
        </w:tc>
        <w:tc>
          <w:tcPr>
            <w:tcW w:w="3474" w:type="pct"/>
          </w:tcPr>
          <w:p w14:paraId="42DA0475" w14:textId="77777777" w:rsidR="001F04FD" w:rsidRPr="00A02D58"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that includes</w:t>
            </w:r>
            <w:r>
              <w:t xml:space="preserve"> costs of assigned Ancillary Service during a W</w:t>
            </w:r>
            <w:r w:rsidRPr="006E2C25">
              <w:t>atch</w:t>
            </w:r>
            <w:r w:rsidRPr="00E6216A">
              <w:t>, for the hour</w:t>
            </w:r>
            <w:r w:rsidRPr="000A0BDA">
              <w:t>.</w:t>
            </w:r>
          </w:p>
        </w:tc>
      </w:tr>
      <w:tr w:rsidR="001F04FD" w:rsidRPr="00A02D58" w14:paraId="308FC401" w14:textId="77777777" w:rsidTr="00AC4DEE">
        <w:tc>
          <w:tcPr>
            <w:tcW w:w="1191" w:type="pct"/>
          </w:tcPr>
          <w:p w14:paraId="638C19C3" w14:textId="77777777" w:rsidR="001F04FD" w:rsidRDefault="001F04FD" w:rsidP="00AC4DEE">
            <w:pPr>
              <w:pStyle w:val="TableBody"/>
            </w:pPr>
            <w:r w:rsidRPr="000A0BDA">
              <w:lastRenderedPageBreak/>
              <w:t>ARUPR</w:t>
            </w:r>
          </w:p>
        </w:tc>
        <w:tc>
          <w:tcPr>
            <w:tcW w:w="335" w:type="pct"/>
          </w:tcPr>
          <w:p w14:paraId="10C5420F" w14:textId="77777777" w:rsidR="001F04FD" w:rsidRPr="00A02D58" w:rsidRDefault="001F04FD" w:rsidP="00AC4DEE">
            <w:pPr>
              <w:pStyle w:val="TableBody"/>
            </w:pPr>
            <w:r w:rsidRPr="000A0BDA">
              <w:t>$/MW per hour</w:t>
            </w:r>
          </w:p>
        </w:tc>
        <w:tc>
          <w:tcPr>
            <w:tcW w:w="3474" w:type="pct"/>
          </w:tcPr>
          <w:p w14:paraId="7A83E25B" w14:textId="77777777" w:rsidR="001F04FD" w:rsidRPr="004A2B16" w:rsidRDefault="001F04FD" w:rsidP="00AC4DEE">
            <w:pPr>
              <w:pStyle w:val="TableBody"/>
            </w:pPr>
            <w:r w:rsidRPr="000A0BDA">
              <w:rPr>
                <w:i/>
              </w:rPr>
              <w:t>Reg-Up Price—</w:t>
            </w:r>
            <w:r w:rsidRPr="000A0BDA">
              <w:t>The price for Reg-Up calculated based on the net total costs for Reg-Up, for the hour.</w:t>
            </w:r>
          </w:p>
        </w:tc>
      </w:tr>
      <w:tr w:rsidR="001F04FD" w:rsidRPr="00A02D58" w14:paraId="048BCED0" w14:textId="77777777" w:rsidTr="00AC4DEE">
        <w:tc>
          <w:tcPr>
            <w:tcW w:w="1191" w:type="pct"/>
            <w:tcBorders>
              <w:top w:val="single" w:sz="4" w:space="0" w:color="auto"/>
              <w:left w:val="single" w:sz="4" w:space="0" w:color="auto"/>
              <w:bottom w:val="single" w:sz="4" w:space="0" w:color="auto"/>
              <w:right w:val="single" w:sz="4" w:space="0" w:color="auto"/>
            </w:tcBorders>
          </w:tcPr>
          <w:p w14:paraId="165F3973" w14:textId="77777777" w:rsidR="001F04FD" w:rsidRPr="00131358" w:rsidRDefault="001F04FD" w:rsidP="00AC4DEE">
            <w:pPr>
              <w:pStyle w:val="TableBody"/>
            </w:pPr>
            <w:r w:rsidRPr="000A0BDA">
              <w:t>ARUCOSTTOT</w:t>
            </w:r>
          </w:p>
        </w:tc>
        <w:tc>
          <w:tcPr>
            <w:tcW w:w="335" w:type="pct"/>
            <w:tcBorders>
              <w:top w:val="single" w:sz="4" w:space="0" w:color="auto"/>
              <w:left w:val="single" w:sz="4" w:space="0" w:color="auto"/>
              <w:bottom w:val="single" w:sz="4" w:space="0" w:color="auto"/>
              <w:right w:val="single" w:sz="4" w:space="0" w:color="auto"/>
            </w:tcBorders>
          </w:tcPr>
          <w:p w14:paraId="5E2BB782"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4E2BE20C" w14:textId="77777777" w:rsidR="001F04FD" w:rsidRPr="005D75C3" w:rsidRDefault="001F04FD" w:rsidP="00AC4DEE">
            <w:pPr>
              <w:pStyle w:val="TableBody"/>
            </w:pPr>
            <w:r w:rsidRPr="000A0BDA">
              <w:rPr>
                <w:i/>
              </w:rPr>
              <w:t>Reg-Up Cost Total</w:t>
            </w:r>
            <w:r w:rsidRPr="000A0BDA">
              <w:t>—The total costs for Reg-Up that includes</w:t>
            </w:r>
            <w:r>
              <w:t xml:space="preserve"> costs of assigned Ancillary Service during a W</w:t>
            </w:r>
            <w:r w:rsidRPr="006E2C25">
              <w:t>atch for the hour.</w:t>
            </w:r>
          </w:p>
        </w:tc>
      </w:tr>
      <w:tr w:rsidR="001F04FD" w:rsidRPr="00A02D58" w14:paraId="0524E14C" w14:textId="77777777" w:rsidTr="00AC4DEE">
        <w:tc>
          <w:tcPr>
            <w:tcW w:w="1191" w:type="pct"/>
            <w:tcBorders>
              <w:top w:val="single" w:sz="4" w:space="0" w:color="auto"/>
              <w:left w:val="single" w:sz="4" w:space="0" w:color="auto"/>
              <w:bottom w:val="single" w:sz="4" w:space="0" w:color="auto"/>
              <w:right w:val="single" w:sz="4" w:space="0" w:color="auto"/>
            </w:tcBorders>
          </w:tcPr>
          <w:p w14:paraId="0289BCFC" w14:textId="77777777" w:rsidR="001F04FD" w:rsidRPr="00131358" w:rsidRDefault="001F04FD" w:rsidP="00AC4DEE">
            <w:pPr>
              <w:pStyle w:val="TableBody"/>
            </w:pPr>
            <w:r w:rsidRPr="000A0BDA">
              <w:t>ARUQTOT</w:t>
            </w:r>
          </w:p>
        </w:tc>
        <w:tc>
          <w:tcPr>
            <w:tcW w:w="335" w:type="pct"/>
            <w:tcBorders>
              <w:top w:val="single" w:sz="4" w:space="0" w:color="auto"/>
              <w:left w:val="single" w:sz="4" w:space="0" w:color="auto"/>
              <w:bottom w:val="single" w:sz="4" w:space="0" w:color="auto"/>
              <w:right w:val="single" w:sz="4" w:space="0" w:color="auto"/>
            </w:tcBorders>
          </w:tcPr>
          <w:p w14:paraId="7923C498" w14:textId="77777777" w:rsidR="001F04FD" w:rsidRPr="001313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6C39EC23" w14:textId="77777777" w:rsidR="001F04FD" w:rsidRPr="00A87906" w:rsidRDefault="001F04FD" w:rsidP="00AC4DEE">
            <w:pPr>
              <w:pStyle w:val="TableBody"/>
            </w:pPr>
            <w:r w:rsidRPr="000A0BDA">
              <w:rPr>
                <w:i/>
              </w:rPr>
              <w:t>Reg-Up Quantity Total</w:t>
            </w:r>
            <w:r w:rsidRPr="000A0BDA">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4057CD">
              <w:t xml:space="preserve"> for the hour.</w:t>
            </w:r>
          </w:p>
        </w:tc>
      </w:tr>
      <w:tr w:rsidR="001F04FD" w:rsidRPr="00A02D58" w14:paraId="37C64D8F" w14:textId="77777777" w:rsidTr="00AC4DEE">
        <w:tc>
          <w:tcPr>
            <w:tcW w:w="1191" w:type="pct"/>
            <w:tcBorders>
              <w:top w:val="single" w:sz="4" w:space="0" w:color="auto"/>
              <w:left w:val="single" w:sz="4" w:space="0" w:color="auto"/>
              <w:bottom w:val="single" w:sz="4" w:space="0" w:color="auto"/>
              <w:right w:val="single" w:sz="4" w:space="0" w:color="auto"/>
            </w:tcBorders>
          </w:tcPr>
          <w:p w14:paraId="72E3C758" w14:textId="77777777" w:rsidR="001F04FD" w:rsidRPr="004A2B16" w:rsidRDefault="001F04FD" w:rsidP="00AC4DEE">
            <w:pPr>
              <w:pStyle w:val="TableBody"/>
              <w:rPr>
                <w:i/>
              </w:rPr>
            </w:pPr>
            <w:r w:rsidRPr="000A0BDA">
              <w:t xml:space="preserve">ARUQ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76377A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2DF1FEBC" w14:textId="77777777" w:rsidR="001F04FD" w:rsidRPr="00A02D58" w:rsidRDefault="001F04FD" w:rsidP="00AC4DEE">
            <w:pPr>
              <w:pStyle w:val="TableBody"/>
            </w:pPr>
            <w:r w:rsidRPr="000A0BDA">
              <w:rPr>
                <w:i/>
              </w:rPr>
              <w:t>Reg-Up Quantity per QSE</w:t>
            </w:r>
            <w:r w:rsidRPr="000A0BDA">
              <w:t xml:space="preserve">—The portion of QSE </w:t>
            </w:r>
            <w:r w:rsidRPr="000A0BDA">
              <w:rPr>
                <w:i/>
              </w:rPr>
              <w:t>q</w:t>
            </w:r>
            <w:r w:rsidRPr="000A0BDA">
              <w:t xml:space="preserve">’s total Ancillary Service Obligation that is not self-arranged in either DAM or any SASM, </w:t>
            </w:r>
            <w:r>
              <w:t>that includes</w:t>
            </w:r>
            <w:r w:rsidRPr="00DF672C">
              <w:t xml:space="preserve"> assigne</w:t>
            </w:r>
            <w:r>
              <w:t>d Ancillary Service, during a Watch</w:t>
            </w:r>
            <w:r w:rsidRPr="00AE693E">
              <w:t xml:space="preserve"> for the hour.</w:t>
            </w:r>
          </w:p>
        </w:tc>
      </w:tr>
      <w:tr w:rsidR="001F04FD" w:rsidRPr="00A02D58" w14:paraId="4DAA8848"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9A49EE" w14:textId="77777777" w:rsidR="001F04FD" w:rsidRPr="004A2B16" w:rsidRDefault="001F04FD" w:rsidP="00AC4DEE">
            <w:pPr>
              <w:pStyle w:val="TableBody"/>
              <w:rPr>
                <w:i/>
              </w:rPr>
            </w:pPr>
            <w:r w:rsidRPr="000A0BDA">
              <w:t>WAURUTOT</w:t>
            </w:r>
          </w:p>
        </w:tc>
        <w:tc>
          <w:tcPr>
            <w:tcW w:w="335" w:type="pct"/>
            <w:tcBorders>
              <w:top w:val="single" w:sz="4" w:space="0" w:color="auto"/>
              <w:left w:val="single" w:sz="4" w:space="0" w:color="auto"/>
              <w:bottom w:val="single" w:sz="4" w:space="0" w:color="auto"/>
              <w:right w:val="single" w:sz="4" w:space="0" w:color="auto"/>
            </w:tcBorders>
          </w:tcPr>
          <w:p w14:paraId="3313074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7C0B0422" w14:textId="77777777" w:rsidR="001F04FD" w:rsidRPr="004A2B16" w:rsidRDefault="001F04FD" w:rsidP="00AC4DEE">
            <w:pPr>
              <w:pStyle w:val="TableBody"/>
            </w:pPr>
            <w:r w:rsidRPr="000A0BDA">
              <w:rPr>
                <w:i/>
              </w:rPr>
              <w:t xml:space="preserve">Watch Assigned Un-Deployed Regulation Up Quantity- </w:t>
            </w:r>
            <w:r w:rsidRPr="000A0BDA">
              <w:t>The total market wide quantity of un-deployed Reg-Up Ancillary Service Assignment for the hour.</w:t>
            </w:r>
          </w:p>
        </w:tc>
      </w:tr>
      <w:tr w:rsidR="001F04FD" w:rsidRPr="00A02D58" w14:paraId="5CA6DD00"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23B1CC8" w14:textId="77777777" w:rsidR="001F04FD" w:rsidRPr="004A2B16" w:rsidRDefault="001F04FD" w:rsidP="00AC4DEE">
            <w:pPr>
              <w:pStyle w:val="TableBody"/>
              <w:rPr>
                <w:i/>
              </w:rPr>
            </w:pPr>
            <w:r w:rsidRPr="000A0BDA">
              <w:t xml:space="preserve">RTAURUR </w:t>
            </w:r>
            <w:r w:rsidRPr="000A0BDA">
              <w:rPr>
                <w:i/>
                <w:vertAlign w:val="subscript"/>
              </w:rPr>
              <w:t>q,r</w:t>
            </w:r>
            <w:r w:rsidRPr="000A0BDA">
              <w:t xml:space="preserve"> </w:t>
            </w:r>
            <w:r w:rsidRPr="000A0BDA">
              <w:rPr>
                <w:i/>
                <w:vertAlign w:val="subscript"/>
              </w:rPr>
              <w:t xml:space="preserve"> </w:t>
            </w:r>
            <w:r w:rsidRPr="000A0BDA">
              <w:t xml:space="preserve"> </w:t>
            </w:r>
          </w:p>
        </w:tc>
        <w:tc>
          <w:tcPr>
            <w:tcW w:w="335" w:type="pct"/>
            <w:tcBorders>
              <w:top w:val="single" w:sz="4" w:space="0" w:color="auto"/>
              <w:left w:val="single" w:sz="4" w:space="0" w:color="auto"/>
              <w:bottom w:val="single" w:sz="4" w:space="0" w:color="auto"/>
              <w:right w:val="single" w:sz="4" w:space="0" w:color="auto"/>
            </w:tcBorders>
          </w:tcPr>
          <w:p w14:paraId="50CBEA5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39E9E299" w14:textId="77777777" w:rsidR="001F04FD" w:rsidRPr="004A2B16" w:rsidRDefault="001F04FD" w:rsidP="00AC4DEE">
            <w:pPr>
              <w:pStyle w:val="TableBody"/>
            </w:pPr>
            <w:r w:rsidRPr="000A0BDA">
              <w:rPr>
                <w:i/>
              </w:rPr>
              <w:t xml:space="preserve">Real-Time Assigned Un-Deployed Regulation Up Quantity per Resource per QSE - </w:t>
            </w:r>
            <w:r w:rsidRPr="000A0BDA">
              <w:t>The quantity of un-deployed</w:t>
            </w:r>
            <w:r w:rsidRPr="000A0BDA">
              <w:rPr>
                <w:i/>
              </w:rPr>
              <w:t xml:space="preserve"> </w:t>
            </w:r>
            <w:r w:rsidRPr="000A0BDA">
              <w:t xml:space="preserve">Reg-Up Ancillary Service Assignment to a QSE </w:t>
            </w:r>
            <w:r w:rsidRPr="000A0BDA">
              <w:rPr>
                <w:i/>
              </w:rPr>
              <w:t>q</w:t>
            </w:r>
            <w:r w:rsidRPr="000A0BDA">
              <w:t xml:space="preserve"> for Resource </w:t>
            </w:r>
            <w:r w:rsidRPr="000A0BDA">
              <w:rPr>
                <w:i/>
              </w:rPr>
              <w:t>r</w:t>
            </w:r>
            <w:r w:rsidRPr="000A0BDA">
              <w:t xml:space="preserve"> for the hour.  Where for a Combined Cycle Train, the Resource </w:t>
            </w:r>
            <w:r w:rsidRPr="000A0BDA">
              <w:rPr>
                <w:i/>
              </w:rPr>
              <w:t xml:space="preserve">r </w:t>
            </w:r>
            <w:r w:rsidRPr="000A0BDA">
              <w:t>is a Combined Cycle Generation Resource within the Combined Cycle Train.</w:t>
            </w:r>
          </w:p>
        </w:tc>
      </w:tr>
      <w:tr w:rsidR="001F04FD" w:rsidRPr="00A02D58" w14:paraId="65B3291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79258A" w14:textId="77777777" w:rsidR="001F04FD" w:rsidRPr="004A2B16" w:rsidRDefault="001F04FD" w:rsidP="00AC4DEE">
            <w:pPr>
              <w:pStyle w:val="TableBody"/>
              <w:rPr>
                <w:i/>
              </w:rPr>
            </w:pPr>
            <w:r w:rsidRPr="000A0BDA">
              <w:t xml:space="preserve">ARUO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AA1DF20"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1EF986C0" w14:textId="77777777" w:rsidR="001F04FD" w:rsidRPr="00A02D58" w:rsidRDefault="001F04FD" w:rsidP="00AC4DEE">
            <w:pPr>
              <w:pStyle w:val="TableBody"/>
            </w:pPr>
            <w:r w:rsidRPr="000A0BDA">
              <w:rPr>
                <w:i/>
              </w:rPr>
              <w:t>Reg-Up Obligation per QSE</w:t>
            </w:r>
            <w:r w:rsidRPr="000A0BDA">
              <w:t xml:space="preserve">—The Ancillary Service Obligation of QSE </w:t>
            </w:r>
            <w:r w:rsidRPr="000A0BDA">
              <w:rPr>
                <w:i/>
              </w:rPr>
              <w:t>q</w:t>
            </w:r>
            <w:r w:rsidRPr="000A0BDA">
              <w:t xml:space="preserve">, for the hour during a </w:t>
            </w:r>
            <w:r>
              <w:t>W</w:t>
            </w:r>
            <w:r w:rsidRPr="006E2C25">
              <w:t>atch.</w:t>
            </w:r>
          </w:p>
        </w:tc>
      </w:tr>
      <w:tr w:rsidR="001F04FD" w:rsidRPr="00A02D58" w14:paraId="5654B34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3C8A83" w14:textId="77777777" w:rsidR="001F04FD" w:rsidRPr="004A2B16" w:rsidRDefault="001F04FD" w:rsidP="00AC4DEE">
            <w:pPr>
              <w:pStyle w:val="TableBody"/>
              <w:rPr>
                <w:i/>
              </w:rPr>
            </w:pPr>
            <w:r w:rsidRPr="00AE693E">
              <w:t xml:space="preserve">RUO </w:t>
            </w:r>
            <w:r w:rsidRPr="00D77832">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1E9A82AF" w14:textId="77777777" w:rsidR="001F04FD" w:rsidRDefault="001F04FD" w:rsidP="00AC4DEE">
            <w:pPr>
              <w:pStyle w:val="TableBody"/>
            </w:pPr>
            <w:r w:rsidRPr="00727227">
              <w:t>MW</w:t>
            </w:r>
          </w:p>
        </w:tc>
        <w:tc>
          <w:tcPr>
            <w:tcW w:w="3474" w:type="pct"/>
            <w:tcBorders>
              <w:top w:val="single" w:sz="4" w:space="0" w:color="auto"/>
              <w:left w:val="single" w:sz="4" w:space="0" w:color="auto"/>
              <w:bottom w:val="single" w:sz="4" w:space="0" w:color="auto"/>
              <w:right w:val="single" w:sz="4" w:space="0" w:color="auto"/>
            </w:tcBorders>
          </w:tcPr>
          <w:p w14:paraId="289424CE" w14:textId="77777777" w:rsidR="001F04FD" w:rsidRPr="00A02D58" w:rsidRDefault="001F04FD" w:rsidP="00AC4DEE">
            <w:pPr>
              <w:pStyle w:val="TableBody"/>
            </w:pPr>
            <w:r w:rsidRPr="00D8133F">
              <w:rPr>
                <w:i/>
              </w:rPr>
              <w:t>Reg-Up Obligation per QSE</w:t>
            </w:r>
            <w:r w:rsidRPr="00D8133F">
              <w:t xml:space="preserve">—The Ancillary Service Obligation of QSE </w:t>
            </w:r>
            <w:r w:rsidRPr="00D8133F">
              <w:rPr>
                <w:i/>
              </w:rPr>
              <w:t>q</w:t>
            </w:r>
            <w:r w:rsidRPr="00D8133F">
              <w:t>, for the hour.</w:t>
            </w:r>
          </w:p>
        </w:tc>
      </w:tr>
      <w:tr w:rsidR="001F04FD" w:rsidRPr="00A02D58" w14:paraId="170BD0D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A6E665D" w14:textId="77777777" w:rsidR="001F04FD" w:rsidRPr="004A2B16" w:rsidRDefault="001F04FD" w:rsidP="00AC4DEE">
            <w:pPr>
              <w:pStyle w:val="TableBody"/>
              <w:rPr>
                <w:i/>
              </w:rPr>
            </w:pPr>
            <w:r w:rsidRPr="000A0BDA">
              <w:t xml:space="preserve">HLRS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4859C0C5"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6452E3E" w14:textId="77777777" w:rsidR="001F04FD" w:rsidRPr="00A02D58" w:rsidRDefault="001F04FD" w:rsidP="00BD4C7C">
            <w:pPr>
              <w:pStyle w:val="TableBody"/>
            </w:pPr>
            <w:r w:rsidRPr="000A0BDA">
              <w:rPr>
                <w:i/>
              </w:rPr>
              <w:t>The Hourly Load Ratio Share calculated for QSE q for the hour</w:t>
            </w:r>
            <w:r w:rsidRPr="000A0BDA">
              <w:t>.  See Section 6.6.2.</w:t>
            </w:r>
            <w:r w:rsidR="00BD4C7C">
              <w:t>4</w:t>
            </w:r>
            <w:r w:rsidRPr="000A0BDA">
              <w:t>, QSE Load Ratio Share for an Operating Hour.</w:t>
            </w:r>
          </w:p>
        </w:tc>
      </w:tr>
      <w:tr w:rsidR="001F04FD" w:rsidRPr="00A02D58" w14:paraId="1E3227C3"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3B57E3E2" w14:textId="77777777" w:rsidR="001F04FD" w:rsidRPr="004A2B16" w:rsidRDefault="001F04FD" w:rsidP="00AC4DEE">
            <w:pPr>
              <w:pStyle w:val="TableBody"/>
              <w:rPr>
                <w:i/>
              </w:rPr>
            </w:pPr>
            <w:r w:rsidRPr="000A0BDA">
              <w:t>SARUQ</w:t>
            </w:r>
            <w:r w:rsidRPr="000A0BDA">
              <w:rPr>
                <w:vertAlign w:val="subscript"/>
              </w:rPr>
              <w:t xml:space="preserve">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35CE20C8" w14:textId="77777777" w:rsidR="001F04FD" w:rsidRDefault="001F04FD" w:rsidP="00AC4DEE">
            <w:pPr>
              <w:pStyle w:val="TableBody"/>
            </w:pPr>
            <w:r w:rsidRPr="00C975E5">
              <w:t>MW</w:t>
            </w:r>
          </w:p>
        </w:tc>
        <w:tc>
          <w:tcPr>
            <w:tcW w:w="3474" w:type="pct"/>
            <w:tcBorders>
              <w:top w:val="single" w:sz="4" w:space="0" w:color="auto"/>
              <w:left w:val="single" w:sz="4" w:space="0" w:color="auto"/>
              <w:bottom w:val="single" w:sz="4" w:space="0" w:color="auto"/>
              <w:right w:val="single" w:sz="4" w:space="0" w:color="auto"/>
            </w:tcBorders>
          </w:tcPr>
          <w:p w14:paraId="3FCC5DAA" w14:textId="77777777" w:rsidR="001F04FD" w:rsidRPr="00A02D58" w:rsidRDefault="001F04FD" w:rsidP="00AC4DEE">
            <w:pPr>
              <w:pStyle w:val="TableBody"/>
            </w:pPr>
            <w:r w:rsidRPr="00E31F19">
              <w:rPr>
                <w:i/>
              </w:rPr>
              <w:t>Total Self-Arranged Reg-Up Quantity per QSE for all markets</w:t>
            </w:r>
            <w:r w:rsidRPr="00E31F19">
              <w:t>—The sum of all self-arranged Reg-Up quantities su</w:t>
            </w:r>
            <w:r w:rsidRPr="006E2C25">
              <w:t xml:space="preserve">bmitted by </w:t>
            </w:r>
            <w:r w:rsidRPr="00E6216A">
              <w:t xml:space="preserve">QSE </w:t>
            </w:r>
            <w:r w:rsidRPr="000A0BDA">
              <w:rPr>
                <w:i/>
              </w:rPr>
              <w:t>q</w:t>
            </w:r>
            <w:r w:rsidRPr="000A0BDA">
              <w:t xml:space="preserve"> for DAM and all SASMs.</w:t>
            </w:r>
          </w:p>
        </w:tc>
      </w:tr>
      <w:tr w:rsidR="001F04FD" w:rsidRPr="00A02D58" w14:paraId="03FC9098"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52C37FD" w14:textId="77777777" w:rsidR="001F04FD" w:rsidRPr="004A2B16" w:rsidRDefault="001F04FD" w:rsidP="00AC4DEE">
            <w:pPr>
              <w:pStyle w:val="TableBody"/>
              <w:rPr>
                <w:i/>
              </w:rPr>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0C6C97B7"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D0500CD" w14:textId="77777777" w:rsidR="001F04FD" w:rsidRPr="00A02D58" w:rsidRDefault="001F04FD" w:rsidP="00AC4DEE">
            <w:pPr>
              <w:pStyle w:val="TableBody"/>
            </w:pPr>
            <w:r w:rsidRPr="000A0BDA">
              <w:t>A QSE.</w:t>
            </w:r>
          </w:p>
        </w:tc>
      </w:tr>
      <w:tr w:rsidR="001F04FD" w:rsidRPr="00A02D58" w14:paraId="59F2988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B43BBB6" w14:textId="77777777" w:rsidR="001F04FD" w:rsidRPr="004A2B16" w:rsidRDefault="001F04FD" w:rsidP="00AC4DEE">
            <w:pPr>
              <w:pStyle w:val="TableBody"/>
              <w:rPr>
                <w:i/>
              </w:rPr>
            </w:pPr>
            <w:r w:rsidRPr="000A0BDA">
              <w:rPr>
                <w:i/>
              </w:rPr>
              <w:t>r</w:t>
            </w:r>
          </w:p>
        </w:tc>
        <w:tc>
          <w:tcPr>
            <w:tcW w:w="335" w:type="pct"/>
            <w:tcBorders>
              <w:top w:val="single" w:sz="4" w:space="0" w:color="auto"/>
              <w:left w:val="single" w:sz="4" w:space="0" w:color="auto"/>
              <w:bottom w:val="single" w:sz="4" w:space="0" w:color="auto"/>
              <w:right w:val="single" w:sz="4" w:space="0" w:color="auto"/>
            </w:tcBorders>
          </w:tcPr>
          <w:p w14:paraId="4084FA34"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487F6280" w14:textId="77777777" w:rsidR="001F04FD" w:rsidRPr="00A02D58" w:rsidRDefault="001F04FD" w:rsidP="00AC4DEE">
            <w:pPr>
              <w:pStyle w:val="TableBody"/>
            </w:pPr>
            <w:r w:rsidRPr="000A1457">
              <w:t>A Generation Resource</w:t>
            </w:r>
            <w:r w:rsidRPr="00D77832">
              <w:rPr>
                <w:i/>
              </w:rPr>
              <w:t xml:space="preserve"> </w:t>
            </w:r>
            <w:r w:rsidRPr="00D77832">
              <w:t>that was allocated Reg-Up Ancillary Service Assignment by the QSE.</w:t>
            </w:r>
          </w:p>
        </w:tc>
      </w:tr>
      <w:tr w:rsidR="001F04FD" w:rsidRPr="00A02D58" w14:paraId="68CDA37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AD22638" w14:textId="77777777" w:rsidR="001F04FD" w:rsidRPr="004A2B16" w:rsidRDefault="001F04FD" w:rsidP="00AC4DEE">
            <w:pPr>
              <w:pStyle w:val="TableBody"/>
              <w:rPr>
                <w:i/>
              </w:rPr>
            </w:pPr>
            <w:r w:rsidRPr="000A0BDA">
              <w:rPr>
                <w:i/>
              </w:rPr>
              <w:t>p</w:t>
            </w:r>
          </w:p>
        </w:tc>
        <w:tc>
          <w:tcPr>
            <w:tcW w:w="335" w:type="pct"/>
            <w:tcBorders>
              <w:top w:val="single" w:sz="4" w:space="0" w:color="auto"/>
              <w:left w:val="single" w:sz="4" w:space="0" w:color="auto"/>
              <w:bottom w:val="single" w:sz="4" w:space="0" w:color="auto"/>
              <w:right w:val="single" w:sz="4" w:space="0" w:color="auto"/>
            </w:tcBorders>
          </w:tcPr>
          <w:p w14:paraId="7B110E81"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586654BC" w14:textId="77777777" w:rsidR="001F04FD" w:rsidRPr="00A02D58" w:rsidRDefault="001F04FD" w:rsidP="00AC4DEE">
            <w:pPr>
              <w:pStyle w:val="TableBody"/>
            </w:pPr>
            <w:r w:rsidRPr="00D77832">
              <w:t>A Settlement Point for the Resource Node that was allocated Reg-Up Ancillary Service Assignment by the QSE.</w:t>
            </w:r>
          </w:p>
        </w:tc>
      </w:tr>
    </w:tbl>
    <w:p w14:paraId="3404C6AD" w14:textId="77777777" w:rsidR="001F04FD" w:rsidRPr="00D8133F" w:rsidRDefault="001F04FD" w:rsidP="001F04FD">
      <w:pPr>
        <w:pStyle w:val="List"/>
        <w:spacing w:before="240"/>
      </w:pPr>
      <w:r w:rsidRPr="000A0BDA">
        <w:t>(c)</w:t>
      </w:r>
      <w:r w:rsidRPr="000A0BDA">
        <w:tab/>
        <w:t xml:space="preserve">The </w:t>
      </w:r>
      <w:r>
        <w:t>incremental cost</w:t>
      </w:r>
      <w:r w:rsidRPr="00727227">
        <w:t xml:space="preserve"> to each QSE’s for assigned Reg-Up for the Operating Hour, is calcu</w:t>
      </w:r>
      <w:r w:rsidRPr="00D8133F">
        <w:t>lated as follows:</w:t>
      </w:r>
    </w:p>
    <w:p w14:paraId="3646A866" w14:textId="77777777" w:rsidR="001F04FD" w:rsidRPr="000A1457" w:rsidRDefault="001F04FD" w:rsidP="001F04FD">
      <w:pPr>
        <w:ind w:left="3600" w:hanging="2160"/>
        <w:rPr>
          <w:b/>
          <w:i/>
          <w:vertAlign w:val="subscript"/>
        </w:rPr>
      </w:pPr>
      <w:r w:rsidRPr="000A1457">
        <w:rPr>
          <w:b/>
        </w:rPr>
        <w:t>NETARTRUAMT</w:t>
      </w:r>
      <w:r w:rsidRPr="000A1457">
        <w:rPr>
          <w:b/>
          <w:i/>
          <w:vertAlign w:val="subscript"/>
        </w:rPr>
        <w:t xml:space="preserve"> q</w:t>
      </w:r>
      <w:r w:rsidRPr="000A1457">
        <w:rPr>
          <w:b/>
        </w:rPr>
        <w:t xml:space="preserve">  = ARUCOST </w:t>
      </w:r>
      <w:r w:rsidRPr="000A1457">
        <w:rPr>
          <w:b/>
          <w:i/>
          <w:vertAlign w:val="subscript"/>
        </w:rPr>
        <w:t>q</w:t>
      </w:r>
      <w:r w:rsidRPr="000A1457">
        <w:rPr>
          <w:b/>
        </w:rPr>
        <w:t xml:space="preserve"> – RUCOST </w:t>
      </w:r>
      <w:r w:rsidRPr="000A1457">
        <w:rPr>
          <w:b/>
          <w:i/>
          <w:vertAlign w:val="subscript"/>
        </w:rPr>
        <w:t>q</w:t>
      </w:r>
      <w:r w:rsidRPr="000A1457">
        <w:rPr>
          <w:b/>
        </w:rPr>
        <w:t xml:space="preserve"> </w:t>
      </w:r>
    </w:p>
    <w:p w14:paraId="4FB72AD1" w14:textId="77777777" w:rsidR="001F04FD" w:rsidRPr="004057CD" w:rsidRDefault="001F04FD" w:rsidP="001F04FD">
      <w:pPr>
        <w:ind w:left="720" w:firstLine="720"/>
        <w:rPr>
          <w:b/>
        </w:rPr>
      </w:pPr>
    </w:p>
    <w:p w14:paraId="40F284FE" w14:textId="77777777" w:rsidR="001F04FD" w:rsidRPr="00AB2A01" w:rsidRDefault="001F04FD" w:rsidP="001F04FD">
      <w:r w:rsidRPr="00AB2A01">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31AE941A" w14:textId="77777777" w:rsidTr="00AC4DEE">
        <w:tc>
          <w:tcPr>
            <w:tcW w:w="1191" w:type="pct"/>
          </w:tcPr>
          <w:p w14:paraId="32E4E1C9" w14:textId="77777777" w:rsidR="001F04FD" w:rsidRPr="00A02D58" w:rsidRDefault="001F04FD" w:rsidP="00AC4DEE">
            <w:pPr>
              <w:pStyle w:val="TableHead"/>
            </w:pPr>
            <w:r w:rsidRPr="00A02D58">
              <w:t>Variable</w:t>
            </w:r>
          </w:p>
        </w:tc>
        <w:tc>
          <w:tcPr>
            <w:tcW w:w="335" w:type="pct"/>
          </w:tcPr>
          <w:p w14:paraId="11B6A9E0" w14:textId="77777777" w:rsidR="001F04FD" w:rsidRPr="00A02D58" w:rsidRDefault="001F04FD" w:rsidP="00AC4DEE">
            <w:pPr>
              <w:pStyle w:val="TableHead"/>
            </w:pPr>
            <w:r w:rsidRPr="00A02D58">
              <w:t>Unit</w:t>
            </w:r>
          </w:p>
        </w:tc>
        <w:tc>
          <w:tcPr>
            <w:tcW w:w="3474" w:type="pct"/>
          </w:tcPr>
          <w:p w14:paraId="279F9F4A" w14:textId="77777777" w:rsidR="001F04FD" w:rsidRPr="00A02D58" w:rsidRDefault="001F04FD" w:rsidP="00AC4DEE">
            <w:pPr>
              <w:pStyle w:val="TableHead"/>
            </w:pPr>
            <w:r w:rsidRPr="00A02D58">
              <w:t>Description</w:t>
            </w:r>
          </w:p>
        </w:tc>
      </w:tr>
      <w:tr w:rsidR="001F04FD" w:rsidRPr="00A02D58" w14:paraId="38C17204" w14:textId="77777777" w:rsidTr="00AC4DEE">
        <w:tc>
          <w:tcPr>
            <w:tcW w:w="1191" w:type="pct"/>
          </w:tcPr>
          <w:p w14:paraId="11748875" w14:textId="77777777" w:rsidR="001F04FD" w:rsidRPr="007E037D" w:rsidRDefault="001F04FD" w:rsidP="00AC4DEE">
            <w:pPr>
              <w:pStyle w:val="TableBody"/>
            </w:pPr>
            <w:r w:rsidRPr="000A0BDA">
              <w:t>NETARTRUAMT</w:t>
            </w:r>
            <w:r w:rsidRPr="000A0BDA">
              <w:rPr>
                <w:b/>
                <w:i/>
                <w:vertAlign w:val="subscript"/>
              </w:rPr>
              <w:t xml:space="preserve"> </w:t>
            </w:r>
            <w:r w:rsidRPr="000A1457">
              <w:rPr>
                <w:i/>
                <w:vertAlign w:val="subscript"/>
              </w:rPr>
              <w:t>q</w:t>
            </w:r>
            <w:r w:rsidRPr="00B22EE1">
              <w:t xml:space="preserve"> </w:t>
            </w:r>
            <w:r w:rsidRPr="000A0BDA">
              <w:t xml:space="preserve"> </w:t>
            </w:r>
          </w:p>
        </w:tc>
        <w:tc>
          <w:tcPr>
            <w:tcW w:w="335" w:type="pct"/>
          </w:tcPr>
          <w:p w14:paraId="3EA3B045" w14:textId="77777777" w:rsidR="001F04FD" w:rsidRDefault="001F04FD" w:rsidP="00AC4DEE">
            <w:pPr>
              <w:pStyle w:val="TableBody"/>
            </w:pPr>
            <w:r w:rsidRPr="000A0BDA">
              <w:t>$</w:t>
            </w:r>
          </w:p>
        </w:tc>
        <w:tc>
          <w:tcPr>
            <w:tcW w:w="3474" w:type="pct"/>
          </w:tcPr>
          <w:p w14:paraId="28AE10A6" w14:textId="77777777" w:rsidR="001F04FD" w:rsidRPr="00A02D58" w:rsidRDefault="001F04FD" w:rsidP="00AC4DEE">
            <w:pPr>
              <w:pStyle w:val="TableBody"/>
            </w:pPr>
            <w:r w:rsidRPr="000A0BDA">
              <w:rPr>
                <w:i/>
              </w:rPr>
              <w:t>Real-Time Reg-Up Amount per QSE</w:t>
            </w:r>
            <w:r w:rsidRPr="000A0BDA">
              <w:t xml:space="preserve">—The net adjustment to QSE </w:t>
            </w:r>
            <w:r w:rsidRPr="000A0BDA">
              <w:rPr>
                <w:i/>
              </w:rPr>
              <w:t>q</w:t>
            </w:r>
            <w:r w:rsidRPr="000A0BDA">
              <w:t>’s share of the costs for assigned Reg-Up, for the hour.</w:t>
            </w:r>
          </w:p>
        </w:tc>
      </w:tr>
      <w:tr w:rsidR="001F04FD" w:rsidRPr="00A02D58" w14:paraId="4DBEF4F5" w14:textId="77777777" w:rsidTr="00AC4DEE">
        <w:tc>
          <w:tcPr>
            <w:tcW w:w="1191" w:type="pct"/>
          </w:tcPr>
          <w:p w14:paraId="703FE8C1" w14:textId="77777777" w:rsidR="001F04FD" w:rsidRDefault="001F04FD" w:rsidP="00AC4DEE">
            <w:pPr>
              <w:pStyle w:val="TableBody"/>
            </w:pPr>
            <w:r w:rsidRPr="000A0BDA">
              <w:t>ARUCOST</w:t>
            </w:r>
            <w:r w:rsidRPr="000A0BDA">
              <w:rPr>
                <w:b/>
              </w:rPr>
              <w:t xml:space="preserve"> </w:t>
            </w:r>
            <w:r w:rsidRPr="000A1457">
              <w:rPr>
                <w:i/>
                <w:vertAlign w:val="subscript"/>
              </w:rPr>
              <w:t>q</w:t>
            </w:r>
          </w:p>
        </w:tc>
        <w:tc>
          <w:tcPr>
            <w:tcW w:w="335" w:type="pct"/>
          </w:tcPr>
          <w:p w14:paraId="5ED12421" w14:textId="77777777" w:rsidR="001F04FD" w:rsidRPr="00A02D58" w:rsidRDefault="001F04FD" w:rsidP="00AC4DEE">
            <w:pPr>
              <w:pStyle w:val="TableBody"/>
            </w:pPr>
            <w:r w:rsidRPr="000A0BDA">
              <w:t>$</w:t>
            </w:r>
          </w:p>
        </w:tc>
        <w:tc>
          <w:tcPr>
            <w:tcW w:w="3474" w:type="pct"/>
          </w:tcPr>
          <w:p w14:paraId="1863F51C" w14:textId="77777777" w:rsidR="001F04FD" w:rsidRPr="004A2B16" w:rsidRDefault="001F04FD" w:rsidP="00AC4DEE">
            <w:pPr>
              <w:pStyle w:val="TableBody"/>
            </w:pPr>
            <w:r w:rsidRPr="000A0BDA">
              <w:rPr>
                <w:i/>
              </w:rPr>
              <w:t>Reg-Up Cost per QSE</w:t>
            </w:r>
            <w:r w:rsidRPr="000A0BDA">
              <w:t xml:space="preserve">—QSE </w:t>
            </w:r>
            <w:r w:rsidRPr="000A0BDA">
              <w:rPr>
                <w:i/>
              </w:rPr>
              <w:t>q</w:t>
            </w:r>
            <w:r w:rsidRPr="000A0BDA">
              <w:t xml:space="preserve">’s share of the net total costs for Reg-Up that includes costs of assigned </w:t>
            </w:r>
            <w:r>
              <w:t>Ancillary Service</w:t>
            </w:r>
            <w:r w:rsidRPr="000A0BDA">
              <w:t xml:space="preserve"> during a </w:t>
            </w:r>
            <w:r>
              <w:t>W</w:t>
            </w:r>
            <w:r w:rsidRPr="000A0BDA">
              <w:t>atch, for the hour.</w:t>
            </w:r>
          </w:p>
        </w:tc>
      </w:tr>
      <w:tr w:rsidR="001F04FD" w:rsidRPr="00A02D58" w14:paraId="11BC15C7" w14:textId="77777777" w:rsidTr="00AC4DEE">
        <w:tc>
          <w:tcPr>
            <w:tcW w:w="1191" w:type="pct"/>
            <w:tcBorders>
              <w:top w:val="single" w:sz="4" w:space="0" w:color="auto"/>
              <w:left w:val="single" w:sz="4" w:space="0" w:color="auto"/>
              <w:bottom w:val="single" w:sz="4" w:space="0" w:color="auto"/>
              <w:right w:val="single" w:sz="4" w:space="0" w:color="auto"/>
            </w:tcBorders>
          </w:tcPr>
          <w:p w14:paraId="31C84747" w14:textId="77777777" w:rsidR="001F04FD" w:rsidRPr="00131358" w:rsidRDefault="001F04FD" w:rsidP="00AC4DEE">
            <w:pPr>
              <w:pStyle w:val="TableBody"/>
            </w:pPr>
            <w:r w:rsidRPr="000A0BDA">
              <w:t xml:space="preserve">RUCOST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6B633453"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57DB4392" w14:textId="77777777" w:rsidR="001F04FD" w:rsidRPr="005D75C3"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for the hour.</w:t>
            </w:r>
          </w:p>
        </w:tc>
      </w:tr>
      <w:tr w:rsidR="001F04FD" w:rsidRPr="00A02D58" w14:paraId="635F0D72" w14:textId="77777777" w:rsidTr="00AC4DEE">
        <w:tc>
          <w:tcPr>
            <w:tcW w:w="1191" w:type="pct"/>
            <w:tcBorders>
              <w:top w:val="single" w:sz="4" w:space="0" w:color="auto"/>
              <w:left w:val="single" w:sz="4" w:space="0" w:color="auto"/>
              <w:bottom w:val="single" w:sz="4" w:space="0" w:color="auto"/>
              <w:right w:val="single" w:sz="4" w:space="0" w:color="auto"/>
            </w:tcBorders>
          </w:tcPr>
          <w:p w14:paraId="779C2FAF" w14:textId="77777777" w:rsidR="001F04FD" w:rsidRPr="00131358" w:rsidRDefault="001F04FD" w:rsidP="00AC4DEE">
            <w:pPr>
              <w:pStyle w:val="TableBody"/>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3DDE35D9" w14:textId="77777777" w:rsidR="001F04FD" w:rsidRPr="00131358"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10C4A79E" w14:textId="77777777" w:rsidR="001F04FD" w:rsidRPr="00A87906" w:rsidRDefault="001F04FD" w:rsidP="00AC4DEE">
            <w:pPr>
              <w:pStyle w:val="TableBody"/>
            </w:pPr>
            <w:r w:rsidRPr="000A0BDA">
              <w:t>A QSE.</w:t>
            </w:r>
          </w:p>
        </w:tc>
      </w:tr>
    </w:tbl>
    <w:p w14:paraId="5093BF55" w14:textId="77777777" w:rsidR="001F04FD" w:rsidRPr="000A0BDA" w:rsidRDefault="001F04FD" w:rsidP="001F04FD">
      <w:pPr>
        <w:pStyle w:val="BodyTextNumbered"/>
        <w:spacing w:before="240"/>
        <w:rPr>
          <w:iCs/>
        </w:rPr>
      </w:pPr>
      <w:r w:rsidRPr="000A0BDA">
        <w:rPr>
          <w:iCs/>
        </w:rPr>
        <w:lastRenderedPageBreak/>
        <w:t>(2)</w:t>
      </w:r>
      <w:r w:rsidRPr="000A0BDA">
        <w:rPr>
          <w:iCs/>
        </w:rPr>
        <w:tab/>
        <w:t>For RRS, if applicable:</w:t>
      </w:r>
    </w:p>
    <w:p w14:paraId="4F1FEF74" w14:textId="77777777" w:rsidR="001F04FD" w:rsidRPr="00727227" w:rsidRDefault="001F04FD" w:rsidP="001F04FD">
      <w:pPr>
        <w:pStyle w:val="List"/>
      </w:pPr>
      <w:r w:rsidRPr="000A0BDA">
        <w:t>(a)</w:t>
      </w:r>
      <w:r w:rsidRPr="000A0BDA">
        <w:tab/>
        <w:t xml:space="preserve">The total costs for RRS for a given Operating Hour </w:t>
      </w:r>
      <w:r>
        <w:t xml:space="preserve">during a Watch </w:t>
      </w:r>
      <w:r w:rsidRPr="00727227">
        <w:t>is calculated as follows:</w:t>
      </w:r>
    </w:p>
    <w:p w14:paraId="17320B3C" w14:textId="77777777" w:rsidR="001F04FD" w:rsidRPr="00727227" w:rsidRDefault="001F04FD" w:rsidP="001F04FD">
      <w:pPr>
        <w:pStyle w:val="FormulaBold"/>
      </w:pPr>
      <w:r w:rsidRPr="00727227">
        <w:t xml:space="preserve">ARRCOSTTOT </w:t>
      </w:r>
      <w:r w:rsidRPr="00727227">
        <w:tab/>
        <w:t>=</w:t>
      </w:r>
      <w:r w:rsidRPr="00727227">
        <w:tab/>
        <w:t xml:space="preserve">(-1) * </w:t>
      </w:r>
      <w:r>
        <w:t>RTAURRAMTTOT</w:t>
      </w:r>
      <w:r w:rsidRPr="00727227">
        <w:t xml:space="preserve"> + RRCOSTTOT </w:t>
      </w:r>
    </w:p>
    <w:p w14:paraId="75E5CB52" w14:textId="77777777" w:rsidR="001F04FD" w:rsidRPr="00A02D58" w:rsidRDefault="001F04FD" w:rsidP="001F04FD">
      <w:pPr>
        <w:pStyle w:val="BodyText"/>
      </w:pPr>
      <w:r w:rsidRPr="00D8133F">
        <w:t>Where:</w:t>
      </w:r>
      <w:r w:rsidRPr="00A02D58">
        <w:t xml:space="preserve"> </w:t>
      </w:r>
    </w:p>
    <w:p w14:paraId="0BB5F06B" w14:textId="77777777" w:rsidR="001F04FD" w:rsidRPr="00A02D58" w:rsidRDefault="001F04FD" w:rsidP="001F04FD">
      <w:pPr>
        <w:ind w:left="720"/>
      </w:pPr>
      <w:r w:rsidRPr="00A02D58">
        <w:t>Total payment of Real-Time A</w:t>
      </w:r>
      <w:r>
        <w:t xml:space="preserve">ncillary </w:t>
      </w:r>
      <w:r w:rsidRPr="00A02D58">
        <w:t>S</w:t>
      </w:r>
      <w:r>
        <w:t>ervice</w:t>
      </w:r>
      <w:r w:rsidRPr="00A02D58">
        <w:t xml:space="preserve"> Assignment procured capacity for </w:t>
      </w:r>
      <w:r>
        <w:t>u</w:t>
      </w:r>
      <w:r w:rsidRPr="00A02D58">
        <w:t>n-</w:t>
      </w:r>
      <w:r>
        <w:t>d</w:t>
      </w:r>
      <w:r w:rsidRPr="00A02D58">
        <w:t>eployed RRS</w:t>
      </w:r>
    </w:p>
    <w:p w14:paraId="5DD4F470" w14:textId="77777777" w:rsidR="001F04FD" w:rsidRPr="00A02D58" w:rsidRDefault="001F04FD" w:rsidP="001F04FD"/>
    <w:p w14:paraId="4DB25609" w14:textId="77777777" w:rsidR="001F04FD" w:rsidRPr="00582ACD" w:rsidRDefault="001F04FD" w:rsidP="001F04FD">
      <w:pPr>
        <w:pStyle w:val="FormulaBold"/>
        <w:rPr>
          <w:b w:val="0"/>
        </w:rPr>
      </w:pPr>
      <w:r w:rsidRPr="00582ACD">
        <w:rPr>
          <w:b w:val="0"/>
        </w:rPr>
        <w:t xml:space="preserve">RTAURRAMTTOT </w:t>
      </w:r>
      <w:r w:rsidRPr="00582ACD">
        <w:rPr>
          <w:b w:val="0"/>
        </w:rPr>
        <w:tab/>
        <w:t>=</w:t>
      </w:r>
      <w:r w:rsidRPr="00582ACD">
        <w:rPr>
          <w:b w:val="0"/>
        </w:rPr>
        <w:tab/>
      </w:r>
      <w:r w:rsidRPr="00582ACD">
        <w:rPr>
          <w:b w:val="0"/>
          <w:position w:val="-30"/>
        </w:rPr>
        <w:object w:dxaOrig="460" w:dyaOrig="560" w14:anchorId="1098B127">
          <v:shape id="_x0000_i1430" type="#_x0000_t75" style="width:18pt;height:30pt" o:ole="">
            <v:imagedata r:id="rId528" o:title=""/>
          </v:shape>
          <o:OLEObject Type="Embed" ProgID="Equation.3" ShapeID="_x0000_i1430" DrawAspect="Content" ObjectID="_1804653913" r:id="rId529"/>
        </w:object>
      </w:r>
      <w:r w:rsidRPr="00582ACD">
        <w:rPr>
          <w:b w:val="0"/>
          <w:position w:val="-28"/>
        </w:rPr>
        <w:object w:dxaOrig="460" w:dyaOrig="540" w14:anchorId="4CD0D605">
          <v:shape id="_x0000_i1431" type="#_x0000_t75" style="width:18pt;height:30pt" o:ole="">
            <v:imagedata r:id="rId530" o:title=""/>
          </v:shape>
          <o:OLEObject Type="Embed" ProgID="Equation.3" ShapeID="_x0000_i1431" DrawAspect="Content" ObjectID="_1804653914" r:id="rId531"/>
        </w:object>
      </w:r>
      <w:r w:rsidRPr="00582ACD">
        <w:rPr>
          <w:b w:val="0"/>
          <w:position w:val="-30"/>
        </w:rPr>
        <w:object w:dxaOrig="460" w:dyaOrig="560" w14:anchorId="02AF6825">
          <v:shape id="_x0000_i1432" type="#_x0000_t75" style="width:18pt;height:30pt" o:ole="">
            <v:imagedata r:id="rId532" o:title=""/>
          </v:shape>
          <o:OLEObject Type="Embed" ProgID="Equation.3" ShapeID="_x0000_i1432" DrawAspect="Content" ObjectID="_1804653915" r:id="rId533"/>
        </w:object>
      </w:r>
      <w:r w:rsidRPr="00582ACD">
        <w:rPr>
          <w:b w:val="0"/>
          <w:position w:val="-28"/>
        </w:rPr>
        <w:object w:dxaOrig="460" w:dyaOrig="680" w14:anchorId="1E3AFD41">
          <v:shape id="_x0000_i1433" type="#_x0000_t75" style="width:18pt;height:36.6pt" o:ole="">
            <v:imagedata r:id="rId534" o:title=""/>
          </v:shape>
          <o:OLEObject Type="Embed" ProgID="Equation.3" ShapeID="_x0000_i1433" DrawAspect="Content" ObjectID="_1804653916" r:id="rId535"/>
        </w:object>
      </w:r>
      <w:r w:rsidRPr="00582ACD">
        <w:rPr>
          <w:b w:val="0"/>
        </w:rPr>
        <w:t xml:space="preserve">RTAURRAMT </w:t>
      </w:r>
      <w:r w:rsidRPr="00582ACD">
        <w:rPr>
          <w:b w:val="0"/>
          <w:i/>
          <w:vertAlign w:val="subscript"/>
        </w:rPr>
        <w:t>q,</w:t>
      </w:r>
      <w:r w:rsidR="000809F8">
        <w:rPr>
          <w:b w:val="0"/>
          <w:i/>
          <w:vertAlign w:val="subscript"/>
        </w:rPr>
        <w:t xml:space="preserve"> </w:t>
      </w:r>
      <w:r w:rsidRPr="00582ACD">
        <w:rPr>
          <w:b w:val="0"/>
          <w:i/>
          <w:vertAlign w:val="subscript"/>
        </w:rPr>
        <w:t>r,</w:t>
      </w:r>
      <w:r w:rsidR="000809F8">
        <w:rPr>
          <w:b w:val="0"/>
          <w:i/>
          <w:vertAlign w:val="subscript"/>
        </w:rPr>
        <w:t xml:space="preserve"> </w:t>
      </w:r>
      <w:r w:rsidRPr="00582ACD">
        <w:rPr>
          <w:b w:val="0"/>
          <w:i/>
          <w:vertAlign w:val="subscript"/>
        </w:rPr>
        <w:t>p, i</w:t>
      </w:r>
    </w:p>
    <w:p w14:paraId="4D9B7FF2"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78A47D9D" w14:textId="77777777" w:rsidTr="00AC4DEE">
        <w:tc>
          <w:tcPr>
            <w:tcW w:w="1191" w:type="pct"/>
          </w:tcPr>
          <w:p w14:paraId="6188373C" w14:textId="77777777" w:rsidR="001F04FD" w:rsidRPr="00A02D58" w:rsidRDefault="001F04FD" w:rsidP="00AC4DEE">
            <w:pPr>
              <w:pStyle w:val="TableHead"/>
            </w:pPr>
            <w:r w:rsidRPr="00A02D58">
              <w:t>Variable</w:t>
            </w:r>
          </w:p>
        </w:tc>
        <w:tc>
          <w:tcPr>
            <w:tcW w:w="335" w:type="pct"/>
          </w:tcPr>
          <w:p w14:paraId="41BBEE36" w14:textId="77777777" w:rsidR="001F04FD" w:rsidRPr="00A02D58" w:rsidRDefault="001F04FD" w:rsidP="00AC4DEE">
            <w:pPr>
              <w:pStyle w:val="TableHead"/>
            </w:pPr>
            <w:r w:rsidRPr="00A02D58">
              <w:t>Unit</w:t>
            </w:r>
          </w:p>
        </w:tc>
        <w:tc>
          <w:tcPr>
            <w:tcW w:w="3474" w:type="pct"/>
          </w:tcPr>
          <w:p w14:paraId="61AE594B" w14:textId="77777777" w:rsidR="001F04FD" w:rsidRPr="00A02D58" w:rsidRDefault="001F04FD" w:rsidP="00AC4DEE">
            <w:pPr>
              <w:pStyle w:val="TableHead"/>
            </w:pPr>
            <w:r w:rsidRPr="00A02D58">
              <w:t>Description</w:t>
            </w:r>
          </w:p>
        </w:tc>
      </w:tr>
      <w:tr w:rsidR="001F04FD" w:rsidRPr="00A02D58" w14:paraId="72D24300" w14:textId="77777777" w:rsidTr="00AC4DEE">
        <w:tc>
          <w:tcPr>
            <w:tcW w:w="1191" w:type="pct"/>
          </w:tcPr>
          <w:p w14:paraId="5973FB67" w14:textId="77777777" w:rsidR="001F04FD" w:rsidRPr="007E037D" w:rsidRDefault="001F04FD" w:rsidP="00AC4DEE">
            <w:pPr>
              <w:pStyle w:val="TableBody"/>
            </w:pPr>
            <w:r>
              <w:t>A</w:t>
            </w:r>
            <w:r w:rsidRPr="00A02D58">
              <w:t>RRCOSTTOT</w:t>
            </w:r>
          </w:p>
        </w:tc>
        <w:tc>
          <w:tcPr>
            <w:tcW w:w="335" w:type="pct"/>
          </w:tcPr>
          <w:p w14:paraId="51807290" w14:textId="77777777" w:rsidR="001F04FD" w:rsidRDefault="001F04FD" w:rsidP="00AC4DEE">
            <w:pPr>
              <w:pStyle w:val="TableBody"/>
            </w:pPr>
            <w:r w:rsidRPr="00A02D58">
              <w:t>$</w:t>
            </w:r>
          </w:p>
        </w:tc>
        <w:tc>
          <w:tcPr>
            <w:tcW w:w="3474" w:type="pct"/>
          </w:tcPr>
          <w:p w14:paraId="47B7D77A" w14:textId="77777777" w:rsidR="001F04FD" w:rsidRPr="00A02D58" w:rsidRDefault="001F04FD" w:rsidP="00AC4DEE">
            <w:pPr>
              <w:pStyle w:val="TableBody"/>
            </w:pPr>
            <w:r w:rsidRPr="00AD7B88">
              <w:rPr>
                <w:i/>
              </w:rPr>
              <w:t>Responsive Reserve</w:t>
            </w:r>
            <w:r w:rsidRPr="00A02D58">
              <w:rPr>
                <w:i/>
              </w:rPr>
              <w:t xml:space="preserve"> Cost Total</w:t>
            </w:r>
            <w:r w:rsidRPr="00A02D58">
              <w:t xml:space="preserve">—The net total costs for RRS </w:t>
            </w:r>
            <w:r>
              <w:t xml:space="preserve">that includes costs of assigned Ancillary Service during a Watch </w:t>
            </w:r>
            <w:r w:rsidRPr="00A02D58">
              <w:t>for the hour.</w:t>
            </w:r>
          </w:p>
        </w:tc>
      </w:tr>
      <w:tr w:rsidR="001F04FD" w:rsidRPr="00A02D58" w14:paraId="0B355AF5" w14:textId="77777777" w:rsidTr="00AC4DEE">
        <w:tc>
          <w:tcPr>
            <w:tcW w:w="1191" w:type="pct"/>
          </w:tcPr>
          <w:p w14:paraId="0761557C" w14:textId="77777777" w:rsidR="001F04FD" w:rsidRDefault="001F04FD" w:rsidP="00AC4DEE">
            <w:pPr>
              <w:pStyle w:val="TableBody"/>
            </w:pPr>
            <w:r w:rsidRPr="00A02D58">
              <w:t>RRCOSTTOT</w:t>
            </w:r>
          </w:p>
        </w:tc>
        <w:tc>
          <w:tcPr>
            <w:tcW w:w="335" w:type="pct"/>
          </w:tcPr>
          <w:p w14:paraId="3C191A8A" w14:textId="77777777" w:rsidR="001F04FD" w:rsidRPr="00A02D58" w:rsidRDefault="001F04FD" w:rsidP="00AC4DEE">
            <w:pPr>
              <w:pStyle w:val="TableBody"/>
            </w:pPr>
            <w:r>
              <w:t>$</w:t>
            </w:r>
          </w:p>
        </w:tc>
        <w:tc>
          <w:tcPr>
            <w:tcW w:w="3474" w:type="pct"/>
          </w:tcPr>
          <w:p w14:paraId="2A1BE538" w14:textId="77777777" w:rsidR="001F04FD" w:rsidRPr="004A2B16" w:rsidRDefault="001F04FD" w:rsidP="00AC4DEE">
            <w:pPr>
              <w:pStyle w:val="TableBody"/>
            </w:pPr>
            <w:r w:rsidRPr="00A02D58">
              <w:rPr>
                <w:i/>
              </w:rPr>
              <w:t>Responsive Reserve Cost Total</w:t>
            </w:r>
            <w:r w:rsidRPr="00A02D58">
              <w:t xml:space="preserve">—The net total costs for RRS for the hour.  </w:t>
            </w:r>
          </w:p>
        </w:tc>
      </w:tr>
      <w:tr w:rsidR="001F04FD" w:rsidRPr="00A02D58" w14:paraId="2E6CD771" w14:textId="77777777" w:rsidTr="00AC4DEE">
        <w:tc>
          <w:tcPr>
            <w:tcW w:w="1191" w:type="pct"/>
            <w:tcBorders>
              <w:top w:val="single" w:sz="4" w:space="0" w:color="auto"/>
              <w:left w:val="single" w:sz="4" w:space="0" w:color="auto"/>
              <w:bottom w:val="single" w:sz="4" w:space="0" w:color="auto"/>
              <w:right w:val="single" w:sz="4" w:space="0" w:color="auto"/>
            </w:tcBorders>
          </w:tcPr>
          <w:p w14:paraId="18EF12AB" w14:textId="77777777" w:rsidR="001F04FD" w:rsidRPr="00131358" w:rsidRDefault="001F04FD" w:rsidP="00AC4DEE">
            <w:pPr>
              <w:pStyle w:val="TableBody"/>
            </w:pPr>
            <w:r w:rsidRPr="00A02D58">
              <w:t>RTAURRAMTTOT</w:t>
            </w:r>
          </w:p>
        </w:tc>
        <w:tc>
          <w:tcPr>
            <w:tcW w:w="335" w:type="pct"/>
            <w:tcBorders>
              <w:top w:val="single" w:sz="4" w:space="0" w:color="auto"/>
              <w:left w:val="single" w:sz="4" w:space="0" w:color="auto"/>
              <w:bottom w:val="single" w:sz="4" w:space="0" w:color="auto"/>
              <w:right w:val="single" w:sz="4" w:space="0" w:color="auto"/>
            </w:tcBorders>
          </w:tcPr>
          <w:p w14:paraId="26ABDD4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2A5588C6" w14:textId="77777777" w:rsidR="001F04FD" w:rsidRPr="005D75C3" w:rsidRDefault="001F04FD" w:rsidP="000809F8">
            <w:pPr>
              <w:pStyle w:val="TableBody"/>
            </w:pPr>
            <w:r w:rsidRPr="00A02D58">
              <w:rPr>
                <w:i/>
              </w:rPr>
              <w:t>Real-Time Assigned Un-Deployed Responsive Reserve Payment Amount Total</w:t>
            </w:r>
            <w:r w:rsidR="000809F8">
              <w:rPr>
                <w:i/>
              </w:rPr>
              <w:t xml:space="preserve"> </w:t>
            </w:r>
            <w:r w:rsidRPr="00A02D58">
              <w:rPr>
                <w:i/>
              </w:rPr>
              <w:t xml:space="preserve">for all QSEs - </w:t>
            </w:r>
            <w:r w:rsidRPr="00A02D58">
              <w:t xml:space="preserve">The payments to all QSEs for the Real-Time un-deployed </w:t>
            </w:r>
            <w:r>
              <w:t>RRS</w:t>
            </w:r>
            <w:r w:rsidRPr="00A02D58">
              <w:t xml:space="preserve"> </w:t>
            </w:r>
            <w:r>
              <w:t>Ancillary Service A</w:t>
            </w:r>
            <w:r w:rsidRPr="00A02D58">
              <w:t>ssignment for the hour.</w:t>
            </w:r>
          </w:p>
        </w:tc>
      </w:tr>
      <w:tr w:rsidR="001F04FD" w:rsidRPr="00A02D58" w14:paraId="36D1FB92" w14:textId="77777777" w:rsidTr="00AC4DEE">
        <w:tc>
          <w:tcPr>
            <w:tcW w:w="1191" w:type="pct"/>
            <w:tcBorders>
              <w:top w:val="single" w:sz="4" w:space="0" w:color="auto"/>
              <w:left w:val="single" w:sz="4" w:space="0" w:color="auto"/>
              <w:bottom w:val="single" w:sz="4" w:space="0" w:color="auto"/>
              <w:right w:val="single" w:sz="4" w:space="0" w:color="auto"/>
            </w:tcBorders>
          </w:tcPr>
          <w:p w14:paraId="2091D6C8" w14:textId="77777777" w:rsidR="001F04FD" w:rsidRPr="00131358" w:rsidRDefault="001F04FD" w:rsidP="00AC4DEE">
            <w:pPr>
              <w:pStyle w:val="TableBody"/>
            </w:pPr>
            <w:r w:rsidRPr="00A02D58">
              <w:t>RTAURRAMT</w:t>
            </w:r>
            <w:r w:rsidRPr="00A02D58">
              <w:rPr>
                <w:b/>
              </w:rPr>
              <w:t xml:space="preserve"> </w:t>
            </w:r>
            <w:r w:rsidRPr="00A02D58">
              <w:rPr>
                <w:i/>
                <w:vertAlign w:val="subscript"/>
              </w:rPr>
              <w:t>q, r,p,i</w:t>
            </w:r>
          </w:p>
        </w:tc>
        <w:tc>
          <w:tcPr>
            <w:tcW w:w="335" w:type="pct"/>
            <w:tcBorders>
              <w:top w:val="single" w:sz="4" w:space="0" w:color="auto"/>
              <w:left w:val="single" w:sz="4" w:space="0" w:color="auto"/>
              <w:bottom w:val="single" w:sz="4" w:space="0" w:color="auto"/>
              <w:right w:val="single" w:sz="4" w:space="0" w:color="auto"/>
            </w:tcBorders>
          </w:tcPr>
          <w:p w14:paraId="15E96A23"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36996C06" w14:textId="77777777" w:rsidR="001F04FD" w:rsidRPr="00A87906" w:rsidRDefault="001F04FD" w:rsidP="00AC4DEE">
            <w:pPr>
              <w:pStyle w:val="TableBody"/>
            </w:pPr>
            <w:r w:rsidRPr="00A02D58">
              <w:rPr>
                <w:i/>
              </w:rPr>
              <w:t xml:space="preserve">Real-Time Assigned Un-Deployed Responsive Reserve Payment Amount per QSE - </w:t>
            </w:r>
            <w:r w:rsidRPr="00A02D58">
              <w:t xml:space="preserve">The payment to QSE </w:t>
            </w:r>
            <w:r w:rsidRPr="00732474">
              <w:rPr>
                <w:i/>
              </w:rPr>
              <w:t>q</w:t>
            </w:r>
            <w:r w:rsidRPr="00A02D58">
              <w:t xml:space="preserve"> for a Real-Time un-deployed </w:t>
            </w:r>
            <w:r>
              <w:t>RRS Ancillary Service A</w:t>
            </w:r>
            <w:r w:rsidRPr="00A02D58">
              <w:t xml:space="preserve">ssignment </w:t>
            </w:r>
            <w:r>
              <w:t xml:space="preserve">to Resource </w:t>
            </w:r>
            <w:r w:rsidRPr="001F2A44">
              <w:rPr>
                <w:i/>
              </w:rPr>
              <w:t>r</w:t>
            </w:r>
            <w:r>
              <w:t xml:space="preserve"> </w:t>
            </w:r>
            <w:r w:rsidRPr="00A02D58">
              <w:t xml:space="preserve">at Settlement Point </w:t>
            </w:r>
            <w:r w:rsidRPr="00732474">
              <w:rPr>
                <w:i/>
              </w:rPr>
              <w:t>p</w:t>
            </w:r>
            <w:r w:rsidRPr="00A02D58">
              <w:t xml:space="preserve"> for the 15-minute Settlement Interval </w:t>
            </w:r>
            <w:r w:rsidRPr="00732474">
              <w:rPr>
                <w:i/>
              </w:rPr>
              <w:t>i</w:t>
            </w:r>
            <w:r w:rsidRPr="00A02D58">
              <w:t>.</w:t>
            </w:r>
          </w:p>
        </w:tc>
      </w:tr>
      <w:tr w:rsidR="001F04FD" w:rsidRPr="00A02D58" w14:paraId="318405B8" w14:textId="77777777" w:rsidTr="00AC4DEE">
        <w:tc>
          <w:tcPr>
            <w:tcW w:w="1191" w:type="pct"/>
            <w:tcBorders>
              <w:top w:val="single" w:sz="4" w:space="0" w:color="auto"/>
              <w:left w:val="single" w:sz="4" w:space="0" w:color="auto"/>
              <w:bottom w:val="single" w:sz="4" w:space="0" w:color="auto"/>
              <w:right w:val="single" w:sz="4" w:space="0" w:color="auto"/>
            </w:tcBorders>
          </w:tcPr>
          <w:p w14:paraId="30ACDE44" w14:textId="77777777" w:rsidR="001F04FD" w:rsidRPr="004A2B16" w:rsidRDefault="001F04FD" w:rsidP="00AC4DEE">
            <w:pPr>
              <w:pStyle w:val="TableBody"/>
              <w:rPr>
                <w:i/>
              </w:rPr>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72D7A27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55802E7B" w14:textId="77777777" w:rsidR="001F04FD" w:rsidRPr="00A02D58" w:rsidRDefault="001F04FD" w:rsidP="00AC4DEE">
            <w:pPr>
              <w:pStyle w:val="TableBody"/>
            </w:pPr>
            <w:r w:rsidRPr="00A02D58">
              <w:t>A QSE.</w:t>
            </w:r>
          </w:p>
        </w:tc>
      </w:tr>
      <w:tr w:rsidR="001F04FD" w:rsidRPr="00A02D58" w14:paraId="488FC785"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0DC1FF0" w14:textId="77777777" w:rsidR="001F04FD" w:rsidRPr="004A2B16" w:rsidRDefault="001F04FD" w:rsidP="00AC4DEE">
            <w:pPr>
              <w:pStyle w:val="TableBody"/>
              <w:rPr>
                <w:i/>
              </w:rPr>
            </w:pPr>
            <w:r w:rsidRPr="00DB2D18">
              <w:rPr>
                <w:i/>
              </w:rPr>
              <w:t>r</w:t>
            </w:r>
          </w:p>
        </w:tc>
        <w:tc>
          <w:tcPr>
            <w:tcW w:w="335" w:type="pct"/>
            <w:tcBorders>
              <w:top w:val="single" w:sz="4" w:space="0" w:color="auto"/>
              <w:left w:val="single" w:sz="4" w:space="0" w:color="auto"/>
              <w:bottom w:val="single" w:sz="4" w:space="0" w:color="auto"/>
              <w:right w:val="single" w:sz="4" w:space="0" w:color="auto"/>
            </w:tcBorders>
          </w:tcPr>
          <w:p w14:paraId="07C2079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39A9F7AF" w14:textId="77777777" w:rsidR="001F04FD" w:rsidRPr="004A2B16" w:rsidRDefault="001F04FD" w:rsidP="00AC4DEE">
            <w:pPr>
              <w:pStyle w:val="TableBody"/>
            </w:pPr>
            <w:r w:rsidRPr="002E1ED9">
              <w:t>A Generation Re</w:t>
            </w:r>
            <w:r>
              <w:t>source that was allocated RRS</w:t>
            </w:r>
            <w:r w:rsidRPr="002E1ED9">
              <w:t xml:space="preserve"> Ancillary Service Assignment by the QSE.</w:t>
            </w:r>
          </w:p>
        </w:tc>
      </w:tr>
      <w:tr w:rsidR="001F04FD" w:rsidRPr="00A02D58" w14:paraId="4A3B134A"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EE61614" w14:textId="77777777" w:rsidR="001F04FD" w:rsidRPr="004A2B16" w:rsidRDefault="001F04FD" w:rsidP="00AC4DEE">
            <w:pPr>
              <w:pStyle w:val="TableBody"/>
              <w:rPr>
                <w:i/>
              </w:rPr>
            </w:pPr>
            <w:r w:rsidRPr="00DB2D18">
              <w:rPr>
                <w:i/>
              </w:rPr>
              <w:t>p</w:t>
            </w:r>
          </w:p>
        </w:tc>
        <w:tc>
          <w:tcPr>
            <w:tcW w:w="335" w:type="pct"/>
            <w:tcBorders>
              <w:top w:val="single" w:sz="4" w:space="0" w:color="auto"/>
              <w:left w:val="single" w:sz="4" w:space="0" w:color="auto"/>
              <w:bottom w:val="single" w:sz="4" w:space="0" w:color="auto"/>
              <w:right w:val="single" w:sz="4" w:space="0" w:color="auto"/>
            </w:tcBorders>
          </w:tcPr>
          <w:p w14:paraId="6BE9D22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04304105" w14:textId="77777777" w:rsidR="001F04FD" w:rsidRPr="004A2B16" w:rsidRDefault="001F04FD" w:rsidP="00AC4DEE">
            <w:pPr>
              <w:pStyle w:val="TableBody"/>
            </w:pPr>
            <w:r w:rsidRPr="002E1ED9">
              <w:t>A Settlement Point for the Resourc</w:t>
            </w:r>
            <w:r>
              <w:t>e Node that was allocated RRS</w:t>
            </w:r>
            <w:r w:rsidRPr="002E1ED9">
              <w:t xml:space="preserve"> Ancillary Service Assignment by the QSE.</w:t>
            </w:r>
          </w:p>
        </w:tc>
      </w:tr>
      <w:tr w:rsidR="001F04FD" w:rsidRPr="00A02D58" w14:paraId="3E1C6FB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75FD9BE" w14:textId="77777777" w:rsidR="001F04FD" w:rsidRPr="004A2B16" w:rsidRDefault="001F04FD" w:rsidP="00AC4DEE">
            <w:pPr>
              <w:pStyle w:val="TableBody"/>
              <w:rPr>
                <w:i/>
              </w:rPr>
            </w:pPr>
            <w:r w:rsidRPr="001F2A44">
              <w:rPr>
                <w:i/>
              </w:rPr>
              <w:t>i</w:t>
            </w:r>
          </w:p>
        </w:tc>
        <w:tc>
          <w:tcPr>
            <w:tcW w:w="335" w:type="pct"/>
            <w:tcBorders>
              <w:top w:val="single" w:sz="4" w:space="0" w:color="auto"/>
              <w:left w:val="single" w:sz="4" w:space="0" w:color="auto"/>
              <w:bottom w:val="single" w:sz="4" w:space="0" w:color="auto"/>
              <w:right w:val="single" w:sz="4" w:space="0" w:color="auto"/>
            </w:tcBorders>
          </w:tcPr>
          <w:p w14:paraId="1331426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63CCAD2C" w14:textId="77777777" w:rsidR="001F04FD" w:rsidRPr="00A02D58" w:rsidRDefault="001F04FD" w:rsidP="00AC4DEE">
            <w:pPr>
              <w:pStyle w:val="TableBody"/>
            </w:pPr>
            <w:r w:rsidRPr="00A02D58">
              <w:t>A 15-minute Settlement Interval in the Operating Hour.</w:t>
            </w:r>
          </w:p>
        </w:tc>
      </w:tr>
    </w:tbl>
    <w:p w14:paraId="63F592B2" w14:textId="77777777" w:rsidR="001F04FD" w:rsidRDefault="001F04FD" w:rsidP="001F04FD">
      <w:pPr>
        <w:pStyle w:val="List"/>
        <w:spacing w:before="240"/>
      </w:pPr>
      <w:r w:rsidRPr="00A02D58">
        <w:t>(b)</w:t>
      </w:r>
      <w:r w:rsidRPr="00A02D58">
        <w:tab/>
        <w:t>Each QSE’s share of the net total costs for RRS for the Operating Hou</w:t>
      </w:r>
      <w:r>
        <w:t xml:space="preserve">r, including Ancillary Service costs assigned during a Watch is </w:t>
      </w:r>
      <w:r w:rsidRPr="00A02D58">
        <w:t>calculated as follows:</w:t>
      </w:r>
    </w:p>
    <w:p w14:paraId="5F0995BF" w14:textId="77777777" w:rsidR="001F04FD" w:rsidRPr="006C21A9" w:rsidRDefault="001F04FD" w:rsidP="001F04FD">
      <w:pPr>
        <w:pStyle w:val="FormulaBold"/>
      </w:pPr>
      <w:r w:rsidRPr="00727227">
        <w:t>ARRCOST</w:t>
      </w:r>
      <w:r w:rsidRPr="006C21A9">
        <w:t xml:space="preserve"> </w:t>
      </w:r>
      <w:r w:rsidRPr="006C21A9">
        <w:rPr>
          <w:i/>
          <w:vertAlign w:val="subscript"/>
        </w:rPr>
        <w:t>q</w:t>
      </w:r>
      <w:r w:rsidRPr="006C21A9">
        <w:tab/>
        <w:t>=</w:t>
      </w:r>
      <w:r w:rsidRPr="006C21A9">
        <w:tab/>
      </w:r>
      <w:r w:rsidRPr="00727227">
        <w:t>ARRPR</w:t>
      </w:r>
      <w:r w:rsidRPr="006C21A9">
        <w:t xml:space="preserve"> * </w:t>
      </w:r>
      <w:r w:rsidRPr="00727227">
        <w:t>ARRQ</w:t>
      </w:r>
      <w:r w:rsidRPr="006C21A9">
        <w:t xml:space="preserve"> </w:t>
      </w:r>
      <w:r w:rsidRPr="006C21A9">
        <w:rPr>
          <w:i/>
          <w:vertAlign w:val="subscript"/>
        </w:rPr>
        <w:t>q</w:t>
      </w:r>
    </w:p>
    <w:p w14:paraId="0DC2AD7C" w14:textId="77777777" w:rsidR="001F04FD" w:rsidRPr="006C21A9" w:rsidRDefault="001F04FD" w:rsidP="001F04FD">
      <w:pPr>
        <w:pStyle w:val="BodyText"/>
      </w:pPr>
      <w:r w:rsidRPr="006C21A9">
        <w:t>Where:</w:t>
      </w:r>
    </w:p>
    <w:p w14:paraId="00863382" w14:textId="77777777" w:rsidR="001F04FD" w:rsidRPr="006C21A9" w:rsidRDefault="001F04FD" w:rsidP="001F04FD">
      <w:pPr>
        <w:pStyle w:val="Formula"/>
        <w:ind w:left="2880" w:hanging="2160"/>
      </w:pPr>
      <w:r w:rsidRPr="00727227">
        <w:t>ARRPR</w:t>
      </w:r>
      <w:r w:rsidRPr="006C21A9">
        <w:tab/>
        <w:t>=</w:t>
      </w:r>
      <w:r w:rsidRPr="006C21A9">
        <w:tab/>
      </w:r>
      <w:r w:rsidRPr="00727227">
        <w:t>ARRCOSTTOT</w:t>
      </w:r>
      <w:r w:rsidRPr="006C21A9">
        <w:t xml:space="preserve"> / </w:t>
      </w:r>
      <w:r w:rsidRPr="00727227">
        <w:t>ARRQTOT</w:t>
      </w:r>
    </w:p>
    <w:p w14:paraId="3772C450" w14:textId="77777777" w:rsidR="001F04FD" w:rsidRPr="006C21A9" w:rsidRDefault="001F04FD" w:rsidP="001F04FD">
      <w:pPr>
        <w:pStyle w:val="Formula"/>
        <w:ind w:left="2880" w:hanging="2160"/>
      </w:pPr>
      <w:r w:rsidRPr="00727227">
        <w:t>ARRQTOT</w:t>
      </w:r>
      <w:r w:rsidRPr="006C21A9">
        <w:tab/>
        <w:t>=</w:t>
      </w:r>
      <w:r w:rsidRPr="006C21A9">
        <w:tab/>
      </w:r>
      <w:r w:rsidRPr="006C21A9">
        <w:rPr>
          <w:position w:val="-22"/>
          <w:lang w:val="pt-BR"/>
        </w:rPr>
        <w:object w:dxaOrig="225" w:dyaOrig="465" w14:anchorId="581267BA">
          <v:shape id="_x0000_i1434" type="#_x0000_t75" style="width:12pt;height:18pt" o:ole="">
            <v:imagedata r:id="rId432" o:title=""/>
          </v:shape>
          <o:OLEObject Type="Embed" ProgID="Equation.3" ShapeID="_x0000_i1434" DrawAspect="Content" ObjectID="_1804653917" r:id="rId536"/>
        </w:object>
      </w:r>
      <w:r w:rsidRPr="006C21A9">
        <w:rPr>
          <w:lang w:val="pt-BR"/>
        </w:rPr>
        <w:t>A</w:t>
      </w:r>
      <w:r w:rsidRPr="006C21A9">
        <w:t xml:space="preserve">RRQ </w:t>
      </w:r>
      <w:r w:rsidRPr="006C21A9">
        <w:rPr>
          <w:i/>
          <w:vertAlign w:val="subscript"/>
        </w:rPr>
        <w:t>q</w:t>
      </w:r>
    </w:p>
    <w:p w14:paraId="48E212D8" w14:textId="77777777" w:rsidR="001F04FD" w:rsidRPr="006C21A9" w:rsidRDefault="001F04FD" w:rsidP="001F04FD">
      <w:pPr>
        <w:pStyle w:val="Formula"/>
        <w:ind w:left="2880" w:hanging="2160"/>
        <w:rPr>
          <w:lang w:val="es-ES"/>
        </w:rPr>
      </w:pPr>
      <w:r w:rsidRPr="00727227">
        <w:rPr>
          <w:lang w:val="es-ES"/>
        </w:rPr>
        <w:t>ARRQ</w:t>
      </w:r>
      <w:r w:rsidRPr="006C21A9">
        <w:rPr>
          <w:lang w:val="es-ES"/>
        </w:rPr>
        <w:t xml:space="preserve"> </w:t>
      </w:r>
      <w:r w:rsidRPr="006C21A9">
        <w:rPr>
          <w:i/>
          <w:vertAlign w:val="subscript"/>
          <w:lang w:val="es-ES"/>
        </w:rPr>
        <w:t>q</w:t>
      </w:r>
      <w:r w:rsidRPr="006C21A9">
        <w:rPr>
          <w:lang w:val="es-ES"/>
        </w:rPr>
        <w:tab/>
        <w:t>=</w:t>
      </w:r>
      <w:r w:rsidRPr="006C21A9">
        <w:rPr>
          <w:lang w:val="es-ES"/>
        </w:rPr>
        <w:tab/>
        <w:t xml:space="preserve">ARRO </w:t>
      </w:r>
      <w:r w:rsidRPr="006C21A9">
        <w:rPr>
          <w:i/>
          <w:vertAlign w:val="subscript"/>
          <w:lang w:val="es-ES"/>
        </w:rPr>
        <w:t>q</w:t>
      </w:r>
      <w:r w:rsidRPr="006C21A9">
        <w:rPr>
          <w:lang w:val="es-ES"/>
        </w:rPr>
        <w:t xml:space="preserve"> – SARRQ </w:t>
      </w:r>
      <w:r w:rsidRPr="006C21A9">
        <w:rPr>
          <w:i/>
          <w:vertAlign w:val="subscript"/>
          <w:lang w:val="es-ES"/>
        </w:rPr>
        <w:t>q</w:t>
      </w:r>
    </w:p>
    <w:p w14:paraId="23F9CF59" w14:textId="77777777" w:rsidR="001F04FD" w:rsidRPr="006C21A9" w:rsidRDefault="001F04FD" w:rsidP="001F04FD">
      <w:pPr>
        <w:pStyle w:val="Formula"/>
        <w:ind w:left="2880" w:hanging="2160"/>
        <w:rPr>
          <w:i/>
          <w:vertAlign w:val="subscript"/>
          <w:lang w:val="fr-FR"/>
        </w:rPr>
      </w:pPr>
      <w:r w:rsidRPr="006C21A9">
        <w:rPr>
          <w:lang w:val="es-ES"/>
        </w:rPr>
        <w:lastRenderedPageBreak/>
        <w:t xml:space="preserve">ARRO </w:t>
      </w:r>
      <w:r w:rsidRPr="006C21A9">
        <w:rPr>
          <w:i/>
          <w:vertAlign w:val="subscript"/>
          <w:lang w:val="es-ES"/>
        </w:rPr>
        <w:t>q</w:t>
      </w:r>
      <w:r w:rsidRPr="006C21A9">
        <w:rPr>
          <w:lang w:val="es-ES"/>
        </w:rPr>
        <w:tab/>
        <w:t>=</w:t>
      </w:r>
      <w:r w:rsidRPr="006C21A9">
        <w:rPr>
          <w:lang w:val="es-ES"/>
        </w:rPr>
        <w:tab/>
        <w:t>WAURRTOT * HLRS</w:t>
      </w:r>
      <w:r w:rsidR="008052F7">
        <w:rPr>
          <w:lang w:val="es-ES"/>
        </w:rPr>
        <w:t xml:space="preserve"> </w:t>
      </w:r>
      <w:r w:rsidR="008052F7">
        <w:rPr>
          <w:i/>
          <w:vertAlign w:val="subscript"/>
          <w:lang w:val="es-ES"/>
        </w:rPr>
        <w:t>q</w:t>
      </w:r>
      <w:r w:rsidRPr="006C21A9">
        <w:rPr>
          <w:lang w:val="es-ES"/>
        </w:rPr>
        <w:t xml:space="preserve"> + </w:t>
      </w:r>
      <w:r w:rsidRPr="00727227">
        <w:rPr>
          <w:lang w:val="es-ES"/>
        </w:rPr>
        <w:t>RRO</w:t>
      </w:r>
      <w:r w:rsidRPr="006C21A9">
        <w:rPr>
          <w:lang w:val="es-ES"/>
        </w:rPr>
        <w:t xml:space="preserve"> </w:t>
      </w:r>
      <w:r w:rsidRPr="006C21A9">
        <w:rPr>
          <w:i/>
          <w:vertAlign w:val="subscript"/>
          <w:lang w:val="es-ES"/>
        </w:rPr>
        <w:t>q</w:t>
      </w:r>
      <w:r w:rsidRPr="006C21A9">
        <w:rPr>
          <w:lang w:val="pt-BR"/>
        </w:rPr>
        <w:t xml:space="preserve"> </w:t>
      </w:r>
    </w:p>
    <w:p w14:paraId="41944BDE" w14:textId="77777777" w:rsidR="001F04FD" w:rsidRPr="006C21A9" w:rsidRDefault="001F04FD" w:rsidP="001F04FD">
      <w:pPr>
        <w:pStyle w:val="Formula"/>
        <w:ind w:left="2880" w:hanging="2160"/>
        <w:rPr>
          <w:lang w:val="fr-FR"/>
        </w:rPr>
      </w:pPr>
      <w:r w:rsidRPr="00727227">
        <w:rPr>
          <w:lang w:val="es-ES"/>
        </w:rPr>
        <w:t>WAURRTOT</w:t>
      </w:r>
      <w:r w:rsidRPr="006C21A9">
        <w:rPr>
          <w:lang w:val="fr-FR"/>
        </w:rPr>
        <w:tab/>
        <w:t>=</w:t>
      </w:r>
      <w:r w:rsidRPr="006C21A9">
        <w:rPr>
          <w:lang w:val="fr-FR"/>
        </w:rPr>
        <w:tab/>
      </w:r>
      <w:r w:rsidRPr="004057CD">
        <w:rPr>
          <w:position w:val="-22"/>
          <w:lang w:val="pt-BR"/>
        </w:rPr>
        <w:object w:dxaOrig="225" w:dyaOrig="465" w14:anchorId="5522357E">
          <v:shape id="_x0000_i1435" type="#_x0000_t75" style="width:12pt;height:18pt" o:ole="">
            <v:imagedata r:id="rId432" o:title=""/>
          </v:shape>
          <o:OLEObject Type="Embed" ProgID="Equation.3" ShapeID="_x0000_i1435" DrawAspect="Content" ObjectID="_1804653918" r:id="rId537"/>
        </w:object>
      </w:r>
      <w:r w:rsidRPr="004057CD">
        <w:rPr>
          <w:position w:val="-18"/>
          <w:lang w:val="pt-BR"/>
        </w:rPr>
        <w:object w:dxaOrig="220" w:dyaOrig="420" w14:anchorId="1C6B0455">
          <v:shape id="_x0000_i1436" type="#_x0000_t75" style="width:12pt;height:24pt" o:ole="">
            <v:imagedata r:id="rId412" o:title=""/>
          </v:shape>
          <o:OLEObject Type="Embed" ProgID="Equation.3" ShapeID="_x0000_i1436" DrawAspect="Content" ObjectID="_1804653919" r:id="rId538"/>
        </w:object>
      </w:r>
      <w:r w:rsidRPr="00C700DF">
        <w:rPr>
          <w:position w:val="-18"/>
          <w:lang w:val="pt-BR"/>
        </w:rPr>
        <w:object w:dxaOrig="220" w:dyaOrig="420" w14:anchorId="5091F763">
          <v:shape id="_x0000_i1437" type="#_x0000_t75" style="width:12pt;height:24pt" o:ole="">
            <v:imagedata r:id="rId526" o:title=""/>
          </v:shape>
          <o:OLEObject Type="Embed" ProgID="Equation.3" ShapeID="_x0000_i1437" DrawAspect="Content" ObjectID="_1804653920" r:id="rId539"/>
        </w:object>
      </w:r>
      <w:r w:rsidRPr="006C21A9">
        <w:t>RTAURR</w:t>
      </w:r>
      <w:r>
        <w:t>R</w:t>
      </w:r>
      <w:r w:rsidRPr="006C21A9">
        <w:t xml:space="preserve"> </w:t>
      </w:r>
      <w:r w:rsidRPr="006C21A9">
        <w:rPr>
          <w:i/>
          <w:vertAlign w:val="subscript"/>
        </w:rPr>
        <w:t>q,</w:t>
      </w:r>
      <w:r w:rsidR="008052F7">
        <w:rPr>
          <w:i/>
          <w:vertAlign w:val="subscript"/>
        </w:rPr>
        <w:t xml:space="preserve"> </w:t>
      </w:r>
      <w:r w:rsidRPr="006C21A9">
        <w:rPr>
          <w:i/>
          <w:vertAlign w:val="subscript"/>
        </w:rPr>
        <w:t>r,</w:t>
      </w:r>
      <w:r w:rsidR="008052F7">
        <w:rPr>
          <w:i/>
          <w:vertAlign w:val="subscript"/>
        </w:rPr>
        <w:t xml:space="preserve"> </w:t>
      </w:r>
      <w:r w:rsidRPr="006C21A9">
        <w:rPr>
          <w:i/>
          <w:vertAlign w:val="subscript"/>
        </w:rPr>
        <w:t>p</w:t>
      </w:r>
    </w:p>
    <w:p w14:paraId="712F68E0" w14:textId="77777777" w:rsidR="001F04FD" w:rsidRPr="006C21A9" w:rsidRDefault="001F04FD" w:rsidP="001F04FD">
      <w:pPr>
        <w:keepNext/>
      </w:pPr>
      <w:r w:rsidRPr="006C21A9">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1F04FD" w:rsidRPr="00A02D58" w14:paraId="08C9A09F" w14:textId="77777777" w:rsidTr="00AC4DEE">
        <w:tc>
          <w:tcPr>
            <w:tcW w:w="1191" w:type="pct"/>
          </w:tcPr>
          <w:p w14:paraId="42D7426D" w14:textId="77777777" w:rsidR="001F04FD" w:rsidRPr="00A02D58" w:rsidRDefault="001F04FD" w:rsidP="00AC4DEE">
            <w:pPr>
              <w:pStyle w:val="TableHead"/>
            </w:pPr>
            <w:r w:rsidRPr="00A02D58">
              <w:t>Variable</w:t>
            </w:r>
          </w:p>
        </w:tc>
        <w:tc>
          <w:tcPr>
            <w:tcW w:w="395" w:type="pct"/>
          </w:tcPr>
          <w:p w14:paraId="571C1C8C" w14:textId="77777777" w:rsidR="001F04FD" w:rsidRPr="00A02D58" w:rsidRDefault="001F04FD" w:rsidP="00AC4DEE">
            <w:pPr>
              <w:pStyle w:val="TableHead"/>
            </w:pPr>
            <w:r w:rsidRPr="00A02D58">
              <w:t>Unit</w:t>
            </w:r>
          </w:p>
        </w:tc>
        <w:tc>
          <w:tcPr>
            <w:tcW w:w="3414" w:type="pct"/>
          </w:tcPr>
          <w:p w14:paraId="6C80159A" w14:textId="77777777" w:rsidR="001F04FD" w:rsidRPr="00A02D58" w:rsidRDefault="001F04FD" w:rsidP="00AC4DEE">
            <w:pPr>
              <w:pStyle w:val="TableHead"/>
            </w:pPr>
            <w:r w:rsidRPr="00A02D58">
              <w:t>Description</w:t>
            </w:r>
          </w:p>
        </w:tc>
      </w:tr>
      <w:tr w:rsidR="001F04FD" w:rsidRPr="00A02D58" w14:paraId="27C949D2" w14:textId="77777777" w:rsidTr="00AC4DEE">
        <w:tc>
          <w:tcPr>
            <w:tcW w:w="1191" w:type="pct"/>
          </w:tcPr>
          <w:p w14:paraId="3A23A7FD" w14:textId="77777777" w:rsidR="001F04FD" w:rsidRPr="007E037D" w:rsidRDefault="001F04FD" w:rsidP="00AC4DEE">
            <w:pPr>
              <w:pStyle w:val="TableBody"/>
            </w:pPr>
            <w:r w:rsidRPr="00727227">
              <w:t>ARRCOST</w:t>
            </w:r>
            <w:r w:rsidRPr="006C21A9">
              <w:t xml:space="preserve"> </w:t>
            </w:r>
            <w:r w:rsidRPr="006C21A9">
              <w:rPr>
                <w:i/>
                <w:vertAlign w:val="subscript"/>
              </w:rPr>
              <w:t>q</w:t>
            </w:r>
          </w:p>
        </w:tc>
        <w:tc>
          <w:tcPr>
            <w:tcW w:w="395" w:type="pct"/>
          </w:tcPr>
          <w:p w14:paraId="04F05F8B" w14:textId="77777777" w:rsidR="001F04FD" w:rsidRDefault="001F04FD" w:rsidP="00AC4DEE">
            <w:pPr>
              <w:pStyle w:val="TableBody"/>
            </w:pPr>
            <w:r w:rsidRPr="006C21A9">
              <w:t>$</w:t>
            </w:r>
          </w:p>
        </w:tc>
        <w:tc>
          <w:tcPr>
            <w:tcW w:w="3414" w:type="pct"/>
          </w:tcPr>
          <w:p w14:paraId="148E07AE" w14:textId="77777777" w:rsidR="001F04FD" w:rsidRPr="00A02D58" w:rsidRDefault="001F04FD" w:rsidP="00AC4DEE">
            <w:pPr>
              <w:pStyle w:val="TableBody"/>
            </w:pPr>
            <w:r w:rsidRPr="006C21A9">
              <w:rPr>
                <w:i/>
              </w:rPr>
              <w:t>Responsive Reserve Cost per QSE</w:t>
            </w:r>
            <w:r w:rsidRPr="006C21A9">
              <w:t xml:space="preserve">—QSE </w:t>
            </w:r>
            <w:r w:rsidRPr="006C21A9">
              <w:rPr>
                <w:i/>
              </w:rPr>
              <w:t>q</w:t>
            </w:r>
            <w:r w:rsidRPr="006C21A9">
              <w:t xml:space="preserve">’s share of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4A2B16" w14:paraId="719579A3" w14:textId="77777777" w:rsidTr="00AC4DEE">
        <w:tc>
          <w:tcPr>
            <w:tcW w:w="1191" w:type="pct"/>
          </w:tcPr>
          <w:p w14:paraId="7021CC30" w14:textId="77777777" w:rsidR="001F04FD" w:rsidRDefault="001F04FD" w:rsidP="00AC4DEE">
            <w:pPr>
              <w:pStyle w:val="TableBody"/>
            </w:pPr>
            <w:r w:rsidRPr="00727227">
              <w:t>ARRPR</w:t>
            </w:r>
          </w:p>
        </w:tc>
        <w:tc>
          <w:tcPr>
            <w:tcW w:w="395" w:type="pct"/>
          </w:tcPr>
          <w:p w14:paraId="5BA3318A" w14:textId="77777777" w:rsidR="001F04FD" w:rsidRPr="00A02D58" w:rsidRDefault="001F04FD" w:rsidP="00AC4DEE">
            <w:pPr>
              <w:pStyle w:val="TableBody"/>
            </w:pPr>
            <w:r w:rsidRPr="006C21A9">
              <w:t>$/MW per hour</w:t>
            </w:r>
          </w:p>
        </w:tc>
        <w:tc>
          <w:tcPr>
            <w:tcW w:w="3414" w:type="pct"/>
          </w:tcPr>
          <w:p w14:paraId="1EB06EC0" w14:textId="77777777" w:rsidR="001F04FD" w:rsidRPr="004A2B16" w:rsidRDefault="001F04FD" w:rsidP="00AC4DEE">
            <w:pPr>
              <w:pStyle w:val="TableBody"/>
            </w:pPr>
            <w:r w:rsidRPr="006C21A9">
              <w:rPr>
                <w:i/>
              </w:rPr>
              <w:t>Responsive Reserve Price—</w:t>
            </w:r>
            <w:r w:rsidRPr="006C21A9">
              <w:t xml:space="preserve">The price for RRS calculated based on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5D75C3" w14:paraId="76EFCD3A" w14:textId="77777777" w:rsidTr="00AC4DEE">
        <w:tc>
          <w:tcPr>
            <w:tcW w:w="1191" w:type="pct"/>
            <w:tcBorders>
              <w:top w:val="single" w:sz="4" w:space="0" w:color="auto"/>
              <w:left w:val="single" w:sz="4" w:space="0" w:color="auto"/>
              <w:bottom w:val="single" w:sz="4" w:space="0" w:color="auto"/>
              <w:right w:val="single" w:sz="4" w:space="0" w:color="auto"/>
            </w:tcBorders>
          </w:tcPr>
          <w:p w14:paraId="0E6863C5" w14:textId="77777777" w:rsidR="001F04FD" w:rsidRPr="00131358" w:rsidRDefault="001F04FD" w:rsidP="00AC4DEE">
            <w:pPr>
              <w:pStyle w:val="TableBody"/>
            </w:pPr>
            <w:r w:rsidRPr="00727227">
              <w:t>ARRCOSTTOT</w:t>
            </w:r>
          </w:p>
        </w:tc>
        <w:tc>
          <w:tcPr>
            <w:tcW w:w="395" w:type="pct"/>
            <w:tcBorders>
              <w:top w:val="single" w:sz="4" w:space="0" w:color="auto"/>
              <w:left w:val="single" w:sz="4" w:space="0" w:color="auto"/>
              <w:bottom w:val="single" w:sz="4" w:space="0" w:color="auto"/>
              <w:right w:val="single" w:sz="4" w:space="0" w:color="auto"/>
            </w:tcBorders>
          </w:tcPr>
          <w:p w14:paraId="55C8324A" w14:textId="77777777" w:rsidR="001F04FD" w:rsidRPr="00131358" w:rsidRDefault="001F04FD" w:rsidP="00AC4DEE">
            <w:pPr>
              <w:pStyle w:val="TableBody"/>
            </w:pPr>
            <w:r w:rsidRPr="006C21A9">
              <w:t>$</w:t>
            </w:r>
          </w:p>
        </w:tc>
        <w:tc>
          <w:tcPr>
            <w:tcW w:w="3414" w:type="pct"/>
            <w:tcBorders>
              <w:top w:val="single" w:sz="4" w:space="0" w:color="auto"/>
              <w:left w:val="single" w:sz="4" w:space="0" w:color="auto"/>
              <w:bottom w:val="single" w:sz="4" w:space="0" w:color="auto"/>
              <w:right w:val="single" w:sz="4" w:space="0" w:color="auto"/>
            </w:tcBorders>
          </w:tcPr>
          <w:p w14:paraId="7C3E23C9" w14:textId="77777777" w:rsidR="001F04FD" w:rsidRPr="005D75C3" w:rsidRDefault="001F04FD" w:rsidP="00AC4DEE">
            <w:pPr>
              <w:pStyle w:val="TableBody"/>
            </w:pPr>
            <w:r w:rsidRPr="006C21A9">
              <w:rPr>
                <w:i/>
              </w:rPr>
              <w:t>Responsive Reserve Cost Total</w:t>
            </w:r>
            <w:r w:rsidRPr="006C21A9">
              <w:t xml:space="preserve">—The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 </w:t>
            </w:r>
          </w:p>
        </w:tc>
      </w:tr>
      <w:tr w:rsidR="001F04FD" w:rsidRPr="00A87906" w14:paraId="4B20E80C" w14:textId="77777777" w:rsidTr="00AC4DEE">
        <w:tc>
          <w:tcPr>
            <w:tcW w:w="1191" w:type="pct"/>
            <w:tcBorders>
              <w:top w:val="single" w:sz="4" w:space="0" w:color="auto"/>
              <w:left w:val="single" w:sz="4" w:space="0" w:color="auto"/>
              <w:bottom w:val="single" w:sz="4" w:space="0" w:color="auto"/>
              <w:right w:val="single" w:sz="4" w:space="0" w:color="auto"/>
            </w:tcBorders>
          </w:tcPr>
          <w:p w14:paraId="68A129F9" w14:textId="77777777" w:rsidR="001F04FD" w:rsidRPr="00131358" w:rsidRDefault="001F04FD" w:rsidP="00AC4DEE">
            <w:pPr>
              <w:pStyle w:val="TableBody"/>
            </w:pPr>
            <w:r w:rsidRPr="00727227">
              <w:t>ARRQTOT</w:t>
            </w:r>
          </w:p>
        </w:tc>
        <w:tc>
          <w:tcPr>
            <w:tcW w:w="395" w:type="pct"/>
            <w:tcBorders>
              <w:top w:val="single" w:sz="4" w:space="0" w:color="auto"/>
              <w:left w:val="single" w:sz="4" w:space="0" w:color="auto"/>
              <w:bottom w:val="single" w:sz="4" w:space="0" w:color="auto"/>
              <w:right w:val="single" w:sz="4" w:space="0" w:color="auto"/>
            </w:tcBorders>
          </w:tcPr>
          <w:p w14:paraId="09D411B3" w14:textId="77777777" w:rsidR="001F04FD" w:rsidRPr="001313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7B7A425" w14:textId="77777777" w:rsidR="001F04FD" w:rsidRPr="00A87906" w:rsidRDefault="001F04FD" w:rsidP="00AC4DEE">
            <w:pPr>
              <w:pStyle w:val="TableBody"/>
            </w:pPr>
            <w:r w:rsidRPr="006C21A9">
              <w:rPr>
                <w:i/>
              </w:rPr>
              <w:t>Responsive Reserve Quantity Total</w:t>
            </w:r>
            <w:r w:rsidRPr="006C21A9">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6C21A9">
              <w:t>, for the hour.</w:t>
            </w:r>
          </w:p>
        </w:tc>
      </w:tr>
      <w:tr w:rsidR="001F04FD" w:rsidRPr="00A02D58" w14:paraId="530A4BC2" w14:textId="77777777" w:rsidTr="00AC4DEE">
        <w:tc>
          <w:tcPr>
            <w:tcW w:w="1191" w:type="pct"/>
            <w:tcBorders>
              <w:top w:val="single" w:sz="4" w:space="0" w:color="auto"/>
              <w:left w:val="single" w:sz="4" w:space="0" w:color="auto"/>
              <w:bottom w:val="single" w:sz="4" w:space="0" w:color="auto"/>
              <w:right w:val="single" w:sz="4" w:space="0" w:color="auto"/>
            </w:tcBorders>
          </w:tcPr>
          <w:p w14:paraId="4872EE93" w14:textId="77777777" w:rsidR="001F04FD" w:rsidRPr="004A2B16" w:rsidRDefault="001F04FD" w:rsidP="00AC4DEE">
            <w:pPr>
              <w:pStyle w:val="TableBody"/>
              <w:rPr>
                <w:i/>
              </w:rPr>
            </w:pPr>
            <w:r w:rsidRPr="00727227">
              <w:t>WAURRTOT</w:t>
            </w:r>
          </w:p>
        </w:tc>
        <w:tc>
          <w:tcPr>
            <w:tcW w:w="395" w:type="pct"/>
            <w:tcBorders>
              <w:top w:val="single" w:sz="4" w:space="0" w:color="auto"/>
              <w:left w:val="single" w:sz="4" w:space="0" w:color="auto"/>
              <w:bottom w:val="single" w:sz="4" w:space="0" w:color="auto"/>
              <w:right w:val="single" w:sz="4" w:space="0" w:color="auto"/>
            </w:tcBorders>
          </w:tcPr>
          <w:p w14:paraId="7C374B8D"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05A4B5E" w14:textId="77777777" w:rsidR="001F04FD" w:rsidRPr="00A02D58" w:rsidRDefault="001F04FD" w:rsidP="00AC4DEE">
            <w:pPr>
              <w:pStyle w:val="TableBody"/>
            </w:pPr>
            <w:r w:rsidRPr="006C21A9">
              <w:rPr>
                <w:i/>
              </w:rPr>
              <w:t>Watch Assigned Un-Deployed Responsive Reserve Quantity</w:t>
            </w:r>
            <w:r w:rsidRPr="006C21A9">
              <w:t>—The total market wide quantity of un-deployed RRS Ancillary Service Assignment for the hour.</w:t>
            </w:r>
          </w:p>
        </w:tc>
      </w:tr>
      <w:tr w:rsidR="001F04FD" w:rsidRPr="004A2B16" w14:paraId="0F3BD439"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093FFF" w14:textId="77777777" w:rsidR="001F04FD" w:rsidRPr="004A2B16" w:rsidRDefault="001F04FD" w:rsidP="00AC4DEE">
            <w:pPr>
              <w:pStyle w:val="TableBody"/>
              <w:rPr>
                <w:i/>
              </w:rPr>
            </w:pPr>
            <w:r w:rsidRPr="006C21A9">
              <w:t xml:space="preserve">RTAURRR </w:t>
            </w:r>
            <w:r w:rsidRPr="006C21A9">
              <w:rPr>
                <w:i/>
                <w:vertAlign w:val="subscript"/>
              </w:rPr>
              <w:t>q,r</w:t>
            </w:r>
          </w:p>
        </w:tc>
        <w:tc>
          <w:tcPr>
            <w:tcW w:w="395" w:type="pct"/>
            <w:tcBorders>
              <w:top w:val="single" w:sz="4" w:space="0" w:color="auto"/>
              <w:left w:val="single" w:sz="4" w:space="0" w:color="auto"/>
              <w:bottom w:val="single" w:sz="4" w:space="0" w:color="auto"/>
              <w:right w:val="single" w:sz="4" w:space="0" w:color="auto"/>
            </w:tcBorders>
          </w:tcPr>
          <w:p w14:paraId="76E8F067"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15B864B" w14:textId="77777777" w:rsidR="001F04FD" w:rsidRPr="004A2B16" w:rsidRDefault="001F04FD" w:rsidP="00AC4DEE">
            <w:pPr>
              <w:pStyle w:val="TableBody"/>
            </w:pPr>
            <w:r w:rsidRPr="006C21A9">
              <w:rPr>
                <w:i/>
              </w:rPr>
              <w:t>Real-Time Assigned Un-Deployed Responsive Reserve</w:t>
            </w:r>
            <w:r>
              <w:rPr>
                <w:i/>
              </w:rPr>
              <w:t xml:space="preserve"> </w:t>
            </w:r>
            <w:r w:rsidRPr="006C21A9">
              <w:rPr>
                <w:i/>
              </w:rPr>
              <w:t>Quantity per Resource per QSE</w:t>
            </w:r>
            <w:r w:rsidRPr="006C21A9">
              <w:t xml:space="preserve">—The quantity of un-deployed RRS Ancillary Service Assignment to a QSE </w:t>
            </w:r>
            <w:r w:rsidRPr="006C21A9">
              <w:rPr>
                <w:i/>
              </w:rPr>
              <w:t>q</w:t>
            </w:r>
            <w:r w:rsidRPr="006C21A9">
              <w:t xml:space="preserve"> for Resource </w:t>
            </w:r>
            <w:r w:rsidRPr="006C21A9">
              <w:rPr>
                <w:i/>
              </w:rPr>
              <w:t>r</w:t>
            </w:r>
            <w:r w:rsidRPr="006C21A9">
              <w:t xml:space="preserve"> for the hour.  Where for a Combined Cycle Train, the Resource </w:t>
            </w:r>
            <w:r w:rsidRPr="006C21A9">
              <w:rPr>
                <w:i/>
              </w:rPr>
              <w:t xml:space="preserve">r </w:t>
            </w:r>
            <w:r w:rsidRPr="006C21A9">
              <w:t>is a Combined Cycle Generation Resource within the Combined Cycle Train.</w:t>
            </w:r>
          </w:p>
        </w:tc>
      </w:tr>
      <w:tr w:rsidR="001F04FD" w:rsidRPr="004A2B16" w14:paraId="15160033"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0549548B" w14:textId="77777777" w:rsidR="001F04FD" w:rsidRPr="004A2B16" w:rsidRDefault="001F04FD" w:rsidP="00AC4DEE">
            <w:pPr>
              <w:pStyle w:val="TableBody"/>
              <w:rPr>
                <w:i/>
              </w:rPr>
            </w:pPr>
            <w:r w:rsidRPr="00727227">
              <w:t>ARRQ</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93D170F"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7AA8DFD" w14:textId="77777777" w:rsidR="001F04FD" w:rsidRPr="004A2B16" w:rsidRDefault="001F04FD" w:rsidP="00AC4DEE">
            <w:pPr>
              <w:pStyle w:val="TableBody"/>
            </w:pPr>
            <w:r w:rsidRPr="006C21A9">
              <w:rPr>
                <w:i/>
              </w:rPr>
              <w:t>Responsive Reserve Quantity per QSE</w:t>
            </w:r>
            <w:r w:rsidRPr="006C21A9">
              <w:t xml:space="preserve">—The portion of QSE </w:t>
            </w:r>
            <w:r w:rsidRPr="006C21A9">
              <w:rPr>
                <w:i/>
              </w:rPr>
              <w:t>q</w:t>
            </w:r>
            <w:r w:rsidRPr="006C21A9">
              <w:t>’s Ancillary Service Obligation that is not self-arranged in either DAM or any SASM, for the hour.</w:t>
            </w:r>
          </w:p>
        </w:tc>
      </w:tr>
      <w:tr w:rsidR="001F04FD" w:rsidRPr="00A02D58" w14:paraId="58DF9A6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125D7A" w14:textId="77777777" w:rsidR="001F04FD" w:rsidRPr="004A2B16" w:rsidRDefault="001F04FD" w:rsidP="00AC4DEE">
            <w:pPr>
              <w:pStyle w:val="TableBody"/>
              <w:rPr>
                <w:i/>
              </w:rPr>
            </w:pPr>
            <w:r w:rsidRPr="00727227">
              <w:t>ARRO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398C698"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570794AD"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3D9203E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533F874" w14:textId="77777777" w:rsidR="001F04FD" w:rsidRPr="004A2B16" w:rsidRDefault="001F04FD" w:rsidP="00AC4DEE">
            <w:pPr>
              <w:pStyle w:val="TableBody"/>
              <w:rPr>
                <w:i/>
              </w:rPr>
            </w:pPr>
            <w:r w:rsidRPr="00727227">
              <w:t>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05CF3E1B"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A8E3B9E"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76564EDB"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AB7C5F" w14:textId="77777777" w:rsidR="001F04FD" w:rsidRPr="004A2B16" w:rsidRDefault="001F04FD" w:rsidP="00AC4DEE">
            <w:pPr>
              <w:pStyle w:val="TableBody"/>
              <w:rPr>
                <w:i/>
              </w:rPr>
            </w:pPr>
            <w:r w:rsidRPr="006C21A9">
              <w:t xml:space="preserve">HLRS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3ECF13BD"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29352196" w14:textId="77777777" w:rsidR="001F04FD" w:rsidRPr="00A02D58" w:rsidRDefault="001F04FD" w:rsidP="00BD4C7C">
            <w:pPr>
              <w:pStyle w:val="TableBody"/>
            </w:pPr>
            <w:r w:rsidRPr="006C21A9">
              <w:rPr>
                <w:i/>
              </w:rPr>
              <w:t>The Hourly Load Ratio Share calculated for QSE q for the hour</w:t>
            </w:r>
            <w:r w:rsidRPr="006C21A9">
              <w:t>.  See Section 6.6.2.</w:t>
            </w:r>
            <w:r w:rsidR="00BD4C7C">
              <w:t>4</w:t>
            </w:r>
            <w:r w:rsidRPr="006C21A9">
              <w:t>.</w:t>
            </w:r>
          </w:p>
        </w:tc>
      </w:tr>
      <w:tr w:rsidR="001F04FD" w:rsidRPr="00A02D58" w14:paraId="58308ECE"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681C1FD1" w14:textId="77777777" w:rsidR="001F04FD" w:rsidRPr="004A2B16" w:rsidRDefault="001F04FD" w:rsidP="00AC4DEE">
            <w:pPr>
              <w:pStyle w:val="TableBody"/>
              <w:rPr>
                <w:i/>
              </w:rPr>
            </w:pPr>
            <w:r w:rsidRPr="006C21A9">
              <w:t xml:space="preserve">SARRQ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19FD834C"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DA2C371" w14:textId="77777777" w:rsidR="001F04FD" w:rsidRPr="00A02D58" w:rsidRDefault="001F04FD" w:rsidP="00AC4DEE">
            <w:pPr>
              <w:pStyle w:val="TableBody"/>
            </w:pPr>
            <w:r w:rsidRPr="006C21A9">
              <w:rPr>
                <w:i/>
              </w:rPr>
              <w:t>Total Self-Arranged Responsive Reserve Quantity per QSE for all markets</w:t>
            </w:r>
            <w:r w:rsidRPr="006C21A9">
              <w:t xml:space="preserve">—The sum of all self-arranged RRS quantities submitted by QSE </w:t>
            </w:r>
            <w:r w:rsidRPr="006C21A9">
              <w:rPr>
                <w:i/>
              </w:rPr>
              <w:t>q</w:t>
            </w:r>
            <w:r w:rsidRPr="006C21A9">
              <w:t xml:space="preserve"> for DAM and all SASMs.</w:t>
            </w:r>
          </w:p>
        </w:tc>
      </w:tr>
      <w:tr w:rsidR="001F04FD" w:rsidRPr="00A02D58" w14:paraId="179BC3B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9E35CFC" w14:textId="77777777" w:rsidR="001F04FD" w:rsidRPr="004A2B16" w:rsidRDefault="001F04FD" w:rsidP="00AC4DEE">
            <w:pPr>
              <w:pStyle w:val="TableBody"/>
              <w:rPr>
                <w:i/>
              </w:rPr>
            </w:pPr>
            <w:r w:rsidRPr="006C21A9">
              <w:rPr>
                <w:i/>
              </w:rPr>
              <w:t>q</w:t>
            </w:r>
          </w:p>
        </w:tc>
        <w:tc>
          <w:tcPr>
            <w:tcW w:w="395" w:type="pct"/>
            <w:tcBorders>
              <w:top w:val="single" w:sz="4" w:space="0" w:color="auto"/>
              <w:left w:val="single" w:sz="4" w:space="0" w:color="auto"/>
              <w:bottom w:val="single" w:sz="4" w:space="0" w:color="auto"/>
              <w:right w:val="single" w:sz="4" w:space="0" w:color="auto"/>
            </w:tcBorders>
          </w:tcPr>
          <w:p w14:paraId="02731BD3"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14FF0CD3" w14:textId="77777777" w:rsidR="001F04FD" w:rsidRPr="00A02D58" w:rsidRDefault="001F04FD" w:rsidP="00AC4DEE">
            <w:pPr>
              <w:pStyle w:val="TableBody"/>
            </w:pPr>
            <w:r w:rsidRPr="006C21A9">
              <w:t>A QSE.</w:t>
            </w:r>
          </w:p>
        </w:tc>
      </w:tr>
      <w:tr w:rsidR="001F04FD" w:rsidRPr="00A02D58" w14:paraId="5F93373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DAFEB6B" w14:textId="77777777" w:rsidR="001F04FD" w:rsidRPr="004A2B16" w:rsidRDefault="001F04FD" w:rsidP="00AC4DEE">
            <w:pPr>
              <w:pStyle w:val="TableBody"/>
              <w:rPr>
                <w:i/>
              </w:rPr>
            </w:pPr>
            <w:r w:rsidRPr="006C21A9">
              <w:rPr>
                <w:i/>
              </w:rPr>
              <w:t>r</w:t>
            </w:r>
          </w:p>
        </w:tc>
        <w:tc>
          <w:tcPr>
            <w:tcW w:w="395" w:type="pct"/>
            <w:tcBorders>
              <w:top w:val="single" w:sz="4" w:space="0" w:color="auto"/>
              <w:left w:val="single" w:sz="4" w:space="0" w:color="auto"/>
              <w:bottom w:val="single" w:sz="4" w:space="0" w:color="auto"/>
              <w:right w:val="single" w:sz="4" w:space="0" w:color="auto"/>
            </w:tcBorders>
          </w:tcPr>
          <w:p w14:paraId="70E73A97"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71BFA113" w14:textId="77777777" w:rsidR="001F04FD" w:rsidRPr="00A02D58" w:rsidRDefault="001F04FD" w:rsidP="00AC4DEE">
            <w:pPr>
              <w:pStyle w:val="TableBody"/>
            </w:pPr>
            <w:r w:rsidRPr="006C21A9">
              <w:t>A Generation Resource that was allocated RRS Ancillary Service Assignment by the QSE.</w:t>
            </w:r>
          </w:p>
        </w:tc>
      </w:tr>
      <w:tr w:rsidR="001F04FD" w:rsidRPr="00A02D58" w14:paraId="20942BFF"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DBAD0D7" w14:textId="77777777" w:rsidR="001F04FD" w:rsidRPr="004A2B16" w:rsidRDefault="001F04FD" w:rsidP="00AC4DEE">
            <w:pPr>
              <w:pStyle w:val="TableBody"/>
              <w:rPr>
                <w:i/>
              </w:rPr>
            </w:pPr>
            <w:r w:rsidRPr="00DB2D18">
              <w:rPr>
                <w:i/>
              </w:rPr>
              <w:t>p</w:t>
            </w:r>
          </w:p>
        </w:tc>
        <w:tc>
          <w:tcPr>
            <w:tcW w:w="395" w:type="pct"/>
            <w:tcBorders>
              <w:top w:val="single" w:sz="4" w:space="0" w:color="auto"/>
              <w:left w:val="single" w:sz="4" w:space="0" w:color="auto"/>
              <w:bottom w:val="single" w:sz="4" w:space="0" w:color="auto"/>
              <w:right w:val="single" w:sz="4" w:space="0" w:color="auto"/>
            </w:tcBorders>
          </w:tcPr>
          <w:p w14:paraId="72EA8BFD" w14:textId="77777777" w:rsidR="001F04FD" w:rsidRDefault="001F04FD" w:rsidP="00AC4DEE">
            <w:pPr>
              <w:pStyle w:val="TableBody"/>
            </w:pPr>
            <w:r w:rsidRPr="002E1ED9">
              <w:t>none</w:t>
            </w:r>
          </w:p>
        </w:tc>
        <w:tc>
          <w:tcPr>
            <w:tcW w:w="3414" w:type="pct"/>
            <w:tcBorders>
              <w:top w:val="single" w:sz="4" w:space="0" w:color="auto"/>
              <w:left w:val="single" w:sz="4" w:space="0" w:color="auto"/>
              <w:bottom w:val="single" w:sz="4" w:space="0" w:color="auto"/>
              <w:right w:val="single" w:sz="4" w:space="0" w:color="auto"/>
            </w:tcBorders>
          </w:tcPr>
          <w:p w14:paraId="2B09587B" w14:textId="77777777" w:rsidR="001F04FD" w:rsidRPr="00A02D58" w:rsidRDefault="001F04FD" w:rsidP="00AC4DEE">
            <w:pPr>
              <w:pStyle w:val="TableBody"/>
            </w:pPr>
            <w:r w:rsidRPr="002E1ED9">
              <w:t>A Settlement Point for the Resourc</w:t>
            </w:r>
            <w:r>
              <w:t>e Node that was allocated RRS</w:t>
            </w:r>
            <w:r w:rsidRPr="002E1ED9">
              <w:t xml:space="preserve"> Ancillary Service Assignment by the QSE.</w:t>
            </w:r>
          </w:p>
        </w:tc>
      </w:tr>
    </w:tbl>
    <w:p w14:paraId="6F6889C9" w14:textId="77777777" w:rsidR="001F04FD" w:rsidRPr="001C2227" w:rsidRDefault="001F04FD" w:rsidP="001F04FD">
      <w:pPr>
        <w:pStyle w:val="List"/>
        <w:spacing w:before="240"/>
      </w:pPr>
      <w:r w:rsidRPr="00A02D58">
        <w:t>(c)</w:t>
      </w:r>
      <w:r w:rsidRPr="00A02D58">
        <w:tab/>
      </w:r>
      <w:r w:rsidRPr="001C2227">
        <w:t xml:space="preserve">The </w:t>
      </w:r>
      <w:r>
        <w:t>incremental cost</w:t>
      </w:r>
      <w:r w:rsidRPr="001C2227">
        <w:t xml:space="preserve"> to each QSE’s for assigned R</w:t>
      </w:r>
      <w:r>
        <w:t>RS</w:t>
      </w:r>
      <w:r w:rsidRPr="001C2227">
        <w:t xml:space="preserve"> for the Operating Hour, is calculated as follows:</w:t>
      </w:r>
    </w:p>
    <w:p w14:paraId="187ACE0C" w14:textId="77777777" w:rsidR="001F04FD" w:rsidRPr="00AA5D7C" w:rsidRDefault="001F04FD" w:rsidP="001F04FD">
      <w:pPr>
        <w:pStyle w:val="List"/>
        <w:rPr>
          <w:b/>
          <w:i/>
          <w:vertAlign w:val="subscript"/>
          <w:lang w:val="pt-BR"/>
        </w:rPr>
      </w:pPr>
      <w:r w:rsidRPr="00AA5D7C">
        <w:rPr>
          <w:b/>
          <w:lang w:val="pt-BR"/>
        </w:rPr>
        <w:t xml:space="preserve">NETARTRRAMT </w:t>
      </w:r>
      <w:r w:rsidRPr="00AA5D7C">
        <w:rPr>
          <w:b/>
          <w:i/>
          <w:vertAlign w:val="subscript"/>
          <w:lang w:val="pt-BR"/>
        </w:rPr>
        <w:t>q</w:t>
      </w:r>
      <w:r w:rsidRPr="00AA5D7C">
        <w:rPr>
          <w:b/>
          <w:lang w:val="pt-BR"/>
        </w:rPr>
        <w:tab/>
        <w:t>=</w:t>
      </w:r>
      <w:r w:rsidRPr="00AA5D7C">
        <w:rPr>
          <w:b/>
          <w:lang w:val="pt-BR"/>
        </w:rPr>
        <w:tab/>
        <w:t xml:space="preserve">ARRCOST </w:t>
      </w:r>
      <w:r w:rsidRPr="00AA5D7C">
        <w:rPr>
          <w:b/>
          <w:i/>
          <w:vertAlign w:val="subscript"/>
          <w:lang w:val="pt-BR"/>
        </w:rPr>
        <w:t>q</w:t>
      </w:r>
      <w:r w:rsidRPr="00AA5D7C">
        <w:rPr>
          <w:b/>
          <w:lang w:val="pt-BR"/>
        </w:rPr>
        <w:t xml:space="preserve"> – </w:t>
      </w:r>
      <w:r w:rsidRPr="00AA5D7C">
        <w:rPr>
          <w:b/>
        </w:rPr>
        <w:t xml:space="preserve">RRCOST </w:t>
      </w:r>
      <w:r w:rsidRPr="00AA5D7C">
        <w:rPr>
          <w:b/>
          <w:i/>
          <w:vertAlign w:val="subscript"/>
        </w:rPr>
        <w:t>q</w:t>
      </w:r>
      <w:r w:rsidRPr="00AA5D7C">
        <w:rPr>
          <w:b/>
          <w:i/>
          <w:vertAlign w:val="subscript"/>
          <w:lang w:val="pt-BR"/>
        </w:rPr>
        <w:t xml:space="preserve"> </w:t>
      </w:r>
    </w:p>
    <w:p w14:paraId="3A3F56BC" w14:textId="77777777" w:rsidR="001F04FD" w:rsidRPr="00A02D58" w:rsidRDefault="001F04FD" w:rsidP="001F04FD">
      <w:r w:rsidRPr="00A02D58">
        <w:lastRenderedPageBreak/>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EDC94D7" w14:textId="77777777" w:rsidTr="00AC4DEE">
        <w:tc>
          <w:tcPr>
            <w:tcW w:w="1191" w:type="pct"/>
          </w:tcPr>
          <w:p w14:paraId="2AEF42DD" w14:textId="77777777" w:rsidR="001F04FD" w:rsidRPr="00A02D58" w:rsidRDefault="001F04FD" w:rsidP="00AC4DEE">
            <w:pPr>
              <w:pStyle w:val="TableHead"/>
            </w:pPr>
            <w:r w:rsidRPr="00A02D58">
              <w:t>Variable</w:t>
            </w:r>
          </w:p>
        </w:tc>
        <w:tc>
          <w:tcPr>
            <w:tcW w:w="335" w:type="pct"/>
          </w:tcPr>
          <w:p w14:paraId="37E4E696" w14:textId="77777777" w:rsidR="001F04FD" w:rsidRPr="00A02D58" w:rsidRDefault="001F04FD" w:rsidP="00AC4DEE">
            <w:pPr>
              <w:pStyle w:val="TableHead"/>
            </w:pPr>
            <w:r w:rsidRPr="00A02D58">
              <w:t>Unit</w:t>
            </w:r>
          </w:p>
        </w:tc>
        <w:tc>
          <w:tcPr>
            <w:tcW w:w="3474" w:type="pct"/>
          </w:tcPr>
          <w:p w14:paraId="636EDB36" w14:textId="77777777" w:rsidR="001F04FD" w:rsidRPr="00A02D58" w:rsidRDefault="001F04FD" w:rsidP="00AC4DEE">
            <w:pPr>
              <w:pStyle w:val="TableHead"/>
            </w:pPr>
            <w:r w:rsidRPr="00A02D58">
              <w:t>Description</w:t>
            </w:r>
          </w:p>
        </w:tc>
      </w:tr>
      <w:tr w:rsidR="001F04FD" w:rsidRPr="00A02D58" w14:paraId="660D1595" w14:textId="77777777" w:rsidTr="00AC4DEE">
        <w:tc>
          <w:tcPr>
            <w:tcW w:w="1191" w:type="pct"/>
          </w:tcPr>
          <w:p w14:paraId="5F46B6FF" w14:textId="77777777" w:rsidR="001F04FD" w:rsidRPr="007E037D" w:rsidRDefault="001F04FD" w:rsidP="00AC4DEE">
            <w:pPr>
              <w:pStyle w:val="TableBody"/>
            </w:pPr>
            <w:r>
              <w:rPr>
                <w:lang w:val="pt-BR"/>
              </w:rPr>
              <w:t xml:space="preserve">NETARTRRAMT </w:t>
            </w:r>
            <w:r w:rsidRPr="001F2A44">
              <w:rPr>
                <w:i/>
                <w:vertAlign w:val="subscript"/>
              </w:rPr>
              <w:t>q</w:t>
            </w:r>
          </w:p>
        </w:tc>
        <w:tc>
          <w:tcPr>
            <w:tcW w:w="335" w:type="pct"/>
          </w:tcPr>
          <w:p w14:paraId="36E74C00" w14:textId="77777777" w:rsidR="001F04FD" w:rsidRDefault="001F04FD" w:rsidP="00AC4DEE">
            <w:pPr>
              <w:pStyle w:val="TableBody"/>
            </w:pPr>
            <w:r w:rsidRPr="00A02D58">
              <w:t>$</w:t>
            </w:r>
          </w:p>
        </w:tc>
        <w:tc>
          <w:tcPr>
            <w:tcW w:w="3474" w:type="pct"/>
          </w:tcPr>
          <w:p w14:paraId="625B5D09" w14:textId="77777777" w:rsidR="001F04FD" w:rsidRPr="00A02D58" w:rsidRDefault="001F04FD" w:rsidP="00AC4DEE">
            <w:pPr>
              <w:pStyle w:val="TableBody"/>
            </w:pPr>
            <w:r w:rsidRPr="001C2227">
              <w:rPr>
                <w:i/>
              </w:rPr>
              <w:t xml:space="preserve">Real-Time </w:t>
            </w:r>
            <w:r w:rsidRPr="00A02D58">
              <w:rPr>
                <w:i/>
              </w:rPr>
              <w:t xml:space="preserve">Responsive Reserve </w:t>
            </w:r>
            <w:r w:rsidRPr="001C2227">
              <w:rPr>
                <w:i/>
              </w:rPr>
              <w:t>Amount per QSE</w:t>
            </w:r>
            <w:r w:rsidRPr="001C2227">
              <w:t xml:space="preserve">—The net adjustment to QSE </w:t>
            </w:r>
            <w:r w:rsidRPr="001C2227">
              <w:rPr>
                <w:i/>
              </w:rPr>
              <w:t>q</w:t>
            </w:r>
            <w:r w:rsidRPr="001C2227">
              <w:t xml:space="preserve">’s share of the costs for assigned </w:t>
            </w:r>
            <w:r>
              <w:t>RRS</w:t>
            </w:r>
            <w:r w:rsidRPr="001C2227">
              <w:t>, for the hour.</w:t>
            </w:r>
          </w:p>
        </w:tc>
      </w:tr>
      <w:tr w:rsidR="001F04FD" w:rsidRPr="004A2B16" w14:paraId="297B6F04" w14:textId="77777777" w:rsidTr="00AC4DEE">
        <w:tc>
          <w:tcPr>
            <w:tcW w:w="1191" w:type="pct"/>
          </w:tcPr>
          <w:p w14:paraId="1F01E3E0" w14:textId="77777777" w:rsidR="001F04FD" w:rsidRDefault="001F04FD" w:rsidP="00AC4DEE">
            <w:pPr>
              <w:pStyle w:val="TableBody"/>
            </w:pPr>
            <w:r w:rsidRPr="00A02D58">
              <w:t xml:space="preserve">RRCOST </w:t>
            </w:r>
            <w:r w:rsidRPr="001F2A44">
              <w:rPr>
                <w:i/>
                <w:vertAlign w:val="subscript"/>
              </w:rPr>
              <w:t>q</w:t>
            </w:r>
          </w:p>
        </w:tc>
        <w:tc>
          <w:tcPr>
            <w:tcW w:w="335" w:type="pct"/>
          </w:tcPr>
          <w:p w14:paraId="268FCDB0" w14:textId="77777777" w:rsidR="001F04FD" w:rsidRPr="00A02D58" w:rsidRDefault="001F04FD" w:rsidP="00AC4DEE">
            <w:pPr>
              <w:pStyle w:val="TableBody"/>
            </w:pPr>
            <w:r w:rsidRPr="00A02D58">
              <w:t>$</w:t>
            </w:r>
          </w:p>
        </w:tc>
        <w:tc>
          <w:tcPr>
            <w:tcW w:w="3474" w:type="pct"/>
          </w:tcPr>
          <w:p w14:paraId="75D28D16" w14:textId="77777777" w:rsidR="001F04FD" w:rsidRPr="004A2B16" w:rsidRDefault="001F04FD" w:rsidP="00AC4DEE">
            <w:pPr>
              <w:pStyle w:val="TableBody"/>
            </w:pPr>
            <w:r w:rsidRPr="00A02D58">
              <w:rPr>
                <w:i/>
              </w:rPr>
              <w:t>Responsive Reserve Cost per QSE</w:t>
            </w:r>
            <w:r w:rsidRPr="00A02D58">
              <w:t xml:space="preserve">—QSE </w:t>
            </w:r>
            <w:r w:rsidRPr="00A02D58">
              <w:rPr>
                <w:i/>
              </w:rPr>
              <w:t>q</w:t>
            </w:r>
            <w:r w:rsidRPr="00A02D58">
              <w:t>’s share of the net total costs for RRS, for the hour.</w:t>
            </w:r>
          </w:p>
        </w:tc>
      </w:tr>
      <w:tr w:rsidR="001F04FD" w:rsidRPr="005D75C3" w14:paraId="795C3550" w14:textId="77777777" w:rsidTr="00AC4DEE">
        <w:tc>
          <w:tcPr>
            <w:tcW w:w="1191" w:type="pct"/>
            <w:tcBorders>
              <w:top w:val="single" w:sz="4" w:space="0" w:color="auto"/>
              <w:left w:val="single" w:sz="4" w:space="0" w:color="auto"/>
              <w:bottom w:val="single" w:sz="4" w:space="0" w:color="auto"/>
              <w:right w:val="single" w:sz="4" w:space="0" w:color="auto"/>
            </w:tcBorders>
          </w:tcPr>
          <w:p w14:paraId="7F5EC730" w14:textId="77777777" w:rsidR="001F04FD" w:rsidRPr="00131358" w:rsidRDefault="001F04FD" w:rsidP="00AC4DEE">
            <w:pPr>
              <w:pStyle w:val="TableBody"/>
            </w:pPr>
            <w:r>
              <w:rPr>
                <w:lang w:val="pt-BR"/>
              </w:rPr>
              <w:t>A</w:t>
            </w:r>
            <w:r w:rsidRPr="00A02D58">
              <w:rPr>
                <w:lang w:val="pt-BR"/>
              </w:rPr>
              <w:t xml:space="preserve">RRCOST </w:t>
            </w:r>
            <w:r w:rsidRPr="001F2A44">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720C7B5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63E59399" w14:textId="77777777" w:rsidR="001F04FD" w:rsidRPr="005D75C3" w:rsidRDefault="001F04FD" w:rsidP="00AC4DEE">
            <w:pPr>
              <w:pStyle w:val="TableBody"/>
            </w:pPr>
            <w:r w:rsidRPr="00A02D58">
              <w:rPr>
                <w:i/>
              </w:rPr>
              <w:t>Responsive Reserve</w:t>
            </w:r>
            <w:r w:rsidRPr="00727227">
              <w:rPr>
                <w:i/>
              </w:rPr>
              <w:t xml:space="preserve"> Cost per QSE</w:t>
            </w:r>
            <w:r w:rsidRPr="00727227">
              <w:t xml:space="preserve">—QSE </w:t>
            </w:r>
            <w:r w:rsidRPr="00727227">
              <w:rPr>
                <w:i/>
              </w:rPr>
              <w:t>q</w:t>
            </w:r>
            <w:r w:rsidRPr="00727227">
              <w:t>’s share of the net total costs for R</w:t>
            </w:r>
            <w:r>
              <w:t>RS</w:t>
            </w:r>
            <w:r w:rsidRPr="00727227">
              <w:t xml:space="preserve"> that includes costs of assigned </w:t>
            </w:r>
            <w:r>
              <w:t>Ancillary Service</w:t>
            </w:r>
            <w:r w:rsidRPr="00727227">
              <w:t xml:space="preserve"> during a </w:t>
            </w:r>
            <w:r>
              <w:t>W</w:t>
            </w:r>
            <w:r w:rsidRPr="00727227">
              <w:t>atch, for the hour.</w:t>
            </w:r>
          </w:p>
        </w:tc>
      </w:tr>
      <w:tr w:rsidR="001F04FD" w:rsidRPr="00A87906" w14:paraId="2D1DE29A" w14:textId="77777777" w:rsidTr="00AC4DEE">
        <w:tc>
          <w:tcPr>
            <w:tcW w:w="1191" w:type="pct"/>
            <w:tcBorders>
              <w:top w:val="single" w:sz="4" w:space="0" w:color="auto"/>
              <w:left w:val="single" w:sz="4" w:space="0" w:color="auto"/>
              <w:bottom w:val="single" w:sz="4" w:space="0" w:color="auto"/>
              <w:right w:val="single" w:sz="4" w:space="0" w:color="auto"/>
            </w:tcBorders>
          </w:tcPr>
          <w:p w14:paraId="61762B02" w14:textId="77777777" w:rsidR="001F04FD" w:rsidRPr="00131358" w:rsidRDefault="001F04FD" w:rsidP="00AC4DEE">
            <w:pPr>
              <w:pStyle w:val="TableBody"/>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0D5CC9C4" w14:textId="77777777" w:rsidR="001F04FD" w:rsidRPr="001313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3BB5161B" w14:textId="77777777" w:rsidR="001F04FD" w:rsidRPr="00A87906" w:rsidRDefault="001F04FD" w:rsidP="00AC4DEE">
            <w:pPr>
              <w:pStyle w:val="TableBody"/>
            </w:pPr>
            <w:r w:rsidRPr="00A02D58">
              <w:t>A QSE.</w:t>
            </w:r>
          </w:p>
        </w:tc>
      </w:tr>
    </w:tbl>
    <w:p w14:paraId="2B368053" w14:textId="77777777" w:rsidR="008B2D35" w:rsidRPr="0003648D" w:rsidRDefault="008B2D35" w:rsidP="008B2D35">
      <w:pPr>
        <w:pStyle w:val="BodyTextNumbered"/>
        <w:spacing w:before="240"/>
        <w:rPr>
          <w:iCs/>
        </w:rPr>
      </w:pPr>
      <w:bookmarkStart w:id="2821" w:name="_Hlk135906221"/>
      <w:r w:rsidRPr="0003648D">
        <w:rPr>
          <w:iCs/>
        </w:rPr>
        <w:t>(3)</w:t>
      </w:r>
      <w:r w:rsidRPr="0003648D">
        <w:rPr>
          <w:iCs/>
        </w:rPr>
        <w:tab/>
        <w:t xml:space="preserve">For </w:t>
      </w:r>
      <w:r>
        <w:rPr>
          <w:iCs/>
        </w:rPr>
        <w:t>ECRS</w:t>
      </w:r>
      <w:r w:rsidRPr="0003648D">
        <w:rPr>
          <w:iCs/>
        </w:rPr>
        <w:t>, if applicable:</w:t>
      </w:r>
    </w:p>
    <w:p w14:paraId="64E5C9C4" w14:textId="77777777" w:rsidR="008B2D35" w:rsidRPr="0003648D" w:rsidRDefault="008B2D35" w:rsidP="008B2D35">
      <w:pPr>
        <w:pStyle w:val="List"/>
      </w:pPr>
      <w:r w:rsidRPr="0003648D">
        <w:t>(a)</w:t>
      </w:r>
      <w:r w:rsidRPr="0003648D">
        <w:tab/>
        <w:t xml:space="preserve">The total costs for </w:t>
      </w:r>
      <w:r>
        <w:t>ECRS</w:t>
      </w:r>
      <w:r w:rsidRPr="0003648D">
        <w:t xml:space="preserve"> for a given Operating Hour during a Watch is calculated as follows:</w:t>
      </w:r>
    </w:p>
    <w:p w14:paraId="5E7A4755" w14:textId="77777777" w:rsidR="008B2D35" w:rsidRPr="006B16CB" w:rsidRDefault="008B2D35" w:rsidP="008B2D35">
      <w:pPr>
        <w:pStyle w:val="FormulaBold"/>
      </w:pPr>
      <w:r w:rsidRPr="006B16CB">
        <w:t xml:space="preserve">AECRCOSTTOT </w:t>
      </w:r>
      <w:r w:rsidRPr="006B16CB">
        <w:tab/>
        <w:t>=</w:t>
      </w:r>
      <w:r w:rsidRPr="006B16CB">
        <w:tab/>
        <w:t xml:space="preserve">(-1) * RTAUECRAMTTOT + ECRCOSTTOT </w:t>
      </w:r>
    </w:p>
    <w:p w14:paraId="140F6DA2" w14:textId="77777777" w:rsidR="008B2D35" w:rsidRPr="006E0A95" w:rsidRDefault="008B2D35" w:rsidP="008B2D35">
      <w:pPr>
        <w:pStyle w:val="BodyText"/>
      </w:pPr>
      <w:r w:rsidRPr="006E0A95">
        <w:t xml:space="preserve">Where: </w:t>
      </w:r>
    </w:p>
    <w:p w14:paraId="2EEDACF4" w14:textId="77777777" w:rsidR="008B2D35" w:rsidRPr="009E6703" w:rsidRDefault="008B2D35" w:rsidP="008B2D35">
      <w:pPr>
        <w:ind w:left="720"/>
      </w:pPr>
      <w:r w:rsidRPr="006B16CB">
        <w:t xml:space="preserve">Total payment of Real-Time Ancillary Service Assignment procured capacity for un-deployed </w:t>
      </w:r>
      <w:r w:rsidRPr="009E6703">
        <w:t>ECRS</w:t>
      </w:r>
    </w:p>
    <w:p w14:paraId="6F10E2F5" w14:textId="77777777" w:rsidR="008B2D35" w:rsidRPr="009E6703" w:rsidRDefault="008B2D35" w:rsidP="008B2D35"/>
    <w:p w14:paraId="75DFB46E" w14:textId="77777777" w:rsidR="008B2D35" w:rsidRPr="006E0A95" w:rsidRDefault="008B2D35" w:rsidP="008B2D35">
      <w:pPr>
        <w:pStyle w:val="FormulaBold"/>
        <w:rPr>
          <w:b w:val="0"/>
        </w:rPr>
      </w:pPr>
      <w:r w:rsidRPr="006E0A95">
        <w:rPr>
          <w:b w:val="0"/>
        </w:rPr>
        <w:t xml:space="preserve">RTAUECRAMTTOT </w:t>
      </w:r>
      <w:r w:rsidRPr="006E0A95">
        <w:rPr>
          <w:b w:val="0"/>
        </w:rPr>
        <w:tab/>
        <w:t>=</w:t>
      </w:r>
      <w:r w:rsidRPr="006E0A95">
        <w:rPr>
          <w:b w:val="0"/>
        </w:rPr>
        <w:tab/>
      </w:r>
      <w:r w:rsidRPr="006E0A95">
        <w:rPr>
          <w:b w:val="0"/>
          <w:position w:val="-30"/>
        </w:rPr>
        <w:object w:dxaOrig="460" w:dyaOrig="560" w14:anchorId="02122831">
          <v:shape id="_x0000_i1438" type="#_x0000_t75" style="width:18pt;height:30pt" o:ole="">
            <v:imagedata r:id="rId528" o:title=""/>
          </v:shape>
          <o:OLEObject Type="Embed" ProgID="Equation.3" ShapeID="_x0000_i1438" DrawAspect="Content" ObjectID="_1804653921" r:id="rId540"/>
        </w:object>
      </w:r>
      <w:r w:rsidRPr="006E0A95">
        <w:rPr>
          <w:b w:val="0"/>
          <w:position w:val="-28"/>
        </w:rPr>
        <w:object w:dxaOrig="460" w:dyaOrig="540" w14:anchorId="0D9C88F1">
          <v:shape id="_x0000_i1439" type="#_x0000_t75" style="width:18pt;height:30pt" o:ole="">
            <v:imagedata r:id="rId530" o:title=""/>
          </v:shape>
          <o:OLEObject Type="Embed" ProgID="Equation.3" ShapeID="_x0000_i1439" DrawAspect="Content" ObjectID="_1804653922" r:id="rId541"/>
        </w:object>
      </w:r>
      <w:r w:rsidRPr="006E0A95">
        <w:rPr>
          <w:b w:val="0"/>
          <w:position w:val="-30"/>
        </w:rPr>
        <w:object w:dxaOrig="460" w:dyaOrig="560" w14:anchorId="493E2E50">
          <v:shape id="_x0000_i1440" type="#_x0000_t75" style="width:18pt;height:30pt" o:ole="">
            <v:imagedata r:id="rId532" o:title=""/>
          </v:shape>
          <o:OLEObject Type="Embed" ProgID="Equation.3" ShapeID="_x0000_i1440" DrawAspect="Content" ObjectID="_1804653923" r:id="rId542"/>
        </w:object>
      </w:r>
      <w:r w:rsidRPr="006E0A95">
        <w:rPr>
          <w:b w:val="0"/>
          <w:position w:val="-28"/>
        </w:rPr>
        <w:object w:dxaOrig="460" w:dyaOrig="680" w14:anchorId="71839CB5">
          <v:shape id="_x0000_i1441" type="#_x0000_t75" style="width:18pt;height:36.6pt" o:ole="">
            <v:imagedata r:id="rId534" o:title=""/>
          </v:shape>
          <o:OLEObject Type="Embed" ProgID="Equation.3" ShapeID="_x0000_i1441" DrawAspect="Content" ObjectID="_1804653924" r:id="rId543"/>
        </w:object>
      </w:r>
      <w:r w:rsidRPr="006E0A95">
        <w:rPr>
          <w:b w:val="0"/>
        </w:rPr>
        <w:t xml:space="preserve">RTAUECRAMT </w:t>
      </w:r>
      <w:r w:rsidRPr="006E0A95">
        <w:rPr>
          <w:b w:val="0"/>
          <w:i/>
          <w:vertAlign w:val="subscript"/>
        </w:rPr>
        <w:t>q, r, p, i</w:t>
      </w:r>
    </w:p>
    <w:p w14:paraId="2219E1AA"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2C25A91" w14:textId="77777777" w:rsidTr="00B82144">
        <w:tc>
          <w:tcPr>
            <w:tcW w:w="1191" w:type="pct"/>
          </w:tcPr>
          <w:p w14:paraId="55F2FA6B" w14:textId="77777777" w:rsidR="008B2D35" w:rsidRPr="0003648D" w:rsidRDefault="008B2D35" w:rsidP="00B82144">
            <w:pPr>
              <w:pStyle w:val="TableHead"/>
            </w:pPr>
            <w:r w:rsidRPr="0003648D">
              <w:t>Variable</w:t>
            </w:r>
          </w:p>
        </w:tc>
        <w:tc>
          <w:tcPr>
            <w:tcW w:w="335" w:type="pct"/>
          </w:tcPr>
          <w:p w14:paraId="657DB588" w14:textId="77777777" w:rsidR="008B2D35" w:rsidRPr="0003648D" w:rsidRDefault="008B2D35" w:rsidP="00B82144">
            <w:pPr>
              <w:pStyle w:val="TableHead"/>
            </w:pPr>
            <w:r w:rsidRPr="0003648D">
              <w:t>Unit</w:t>
            </w:r>
          </w:p>
        </w:tc>
        <w:tc>
          <w:tcPr>
            <w:tcW w:w="3474" w:type="pct"/>
          </w:tcPr>
          <w:p w14:paraId="22AA1A5E" w14:textId="77777777" w:rsidR="008B2D35" w:rsidRPr="0003648D" w:rsidRDefault="008B2D35" w:rsidP="00B82144">
            <w:pPr>
              <w:pStyle w:val="TableHead"/>
            </w:pPr>
            <w:r w:rsidRPr="0003648D">
              <w:t>Description</w:t>
            </w:r>
          </w:p>
        </w:tc>
      </w:tr>
      <w:tr w:rsidR="008B2D35" w:rsidRPr="0003648D" w14:paraId="5AA6399B" w14:textId="77777777" w:rsidTr="00B82144">
        <w:tc>
          <w:tcPr>
            <w:tcW w:w="1191" w:type="pct"/>
          </w:tcPr>
          <w:p w14:paraId="25196563" w14:textId="77777777" w:rsidR="008B2D35" w:rsidRPr="0003648D" w:rsidRDefault="008B2D35" w:rsidP="00B82144">
            <w:pPr>
              <w:pStyle w:val="TableBody"/>
            </w:pPr>
            <w:r w:rsidRPr="0003648D">
              <w:t>A</w:t>
            </w:r>
            <w:r>
              <w:t>EC</w:t>
            </w:r>
            <w:r w:rsidRPr="0003648D">
              <w:t>RCOSTTOT</w:t>
            </w:r>
          </w:p>
        </w:tc>
        <w:tc>
          <w:tcPr>
            <w:tcW w:w="335" w:type="pct"/>
          </w:tcPr>
          <w:p w14:paraId="5A53526B" w14:textId="77777777" w:rsidR="008B2D35" w:rsidRPr="0003648D" w:rsidRDefault="008B2D35" w:rsidP="00B82144">
            <w:pPr>
              <w:pStyle w:val="TableBody"/>
            </w:pPr>
            <w:r w:rsidRPr="0003648D">
              <w:t>$</w:t>
            </w:r>
          </w:p>
        </w:tc>
        <w:tc>
          <w:tcPr>
            <w:tcW w:w="3474" w:type="pct"/>
          </w:tcPr>
          <w:p w14:paraId="498DA957"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w:t>
            </w:r>
          </w:p>
        </w:tc>
      </w:tr>
      <w:tr w:rsidR="008B2D35" w:rsidRPr="0003648D" w14:paraId="6014BEB5" w14:textId="77777777" w:rsidTr="00B82144">
        <w:tc>
          <w:tcPr>
            <w:tcW w:w="1191" w:type="pct"/>
          </w:tcPr>
          <w:p w14:paraId="35FCE8B2" w14:textId="77777777" w:rsidR="008B2D35" w:rsidRPr="0003648D" w:rsidRDefault="008B2D35" w:rsidP="00B82144">
            <w:pPr>
              <w:pStyle w:val="TableBody"/>
            </w:pPr>
            <w:r>
              <w:t>EC</w:t>
            </w:r>
            <w:r w:rsidRPr="0003648D">
              <w:t>RCOSTTOT</w:t>
            </w:r>
          </w:p>
        </w:tc>
        <w:tc>
          <w:tcPr>
            <w:tcW w:w="335" w:type="pct"/>
          </w:tcPr>
          <w:p w14:paraId="4277B208" w14:textId="77777777" w:rsidR="008B2D35" w:rsidRPr="0003648D" w:rsidRDefault="008B2D35" w:rsidP="00B82144">
            <w:pPr>
              <w:pStyle w:val="TableBody"/>
            </w:pPr>
            <w:r w:rsidRPr="0003648D">
              <w:t>$</w:t>
            </w:r>
          </w:p>
        </w:tc>
        <w:tc>
          <w:tcPr>
            <w:tcW w:w="3474" w:type="pct"/>
          </w:tcPr>
          <w:p w14:paraId="04F5ADAF"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for the hour.  </w:t>
            </w:r>
          </w:p>
        </w:tc>
      </w:tr>
      <w:tr w:rsidR="008B2D35" w:rsidRPr="0003648D" w14:paraId="6386C826" w14:textId="77777777" w:rsidTr="00B82144">
        <w:tc>
          <w:tcPr>
            <w:tcW w:w="1191" w:type="pct"/>
            <w:tcBorders>
              <w:top w:val="single" w:sz="4" w:space="0" w:color="auto"/>
              <w:left w:val="single" w:sz="4" w:space="0" w:color="auto"/>
              <w:bottom w:val="single" w:sz="4" w:space="0" w:color="auto"/>
              <w:right w:val="single" w:sz="4" w:space="0" w:color="auto"/>
            </w:tcBorders>
          </w:tcPr>
          <w:p w14:paraId="16E4FF12" w14:textId="77777777" w:rsidR="008B2D35" w:rsidRPr="0003648D" w:rsidRDefault="008B2D35" w:rsidP="00B82144">
            <w:pPr>
              <w:pStyle w:val="TableBody"/>
            </w:pPr>
            <w:r w:rsidRPr="0003648D">
              <w:t>RTAU</w:t>
            </w:r>
            <w:r>
              <w:t>EC</w:t>
            </w:r>
            <w:r w:rsidRPr="0003648D">
              <w:t>RAMTTOT</w:t>
            </w:r>
          </w:p>
        </w:tc>
        <w:tc>
          <w:tcPr>
            <w:tcW w:w="335" w:type="pct"/>
            <w:tcBorders>
              <w:top w:val="single" w:sz="4" w:space="0" w:color="auto"/>
              <w:left w:val="single" w:sz="4" w:space="0" w:color="auto"/>
              <w:bottom w:val="single" w:sz="4" w:space="0" w:color="auto"/>
              <w:right w:val="single" w:sz="4" w:space="0" w:color="auto"/>
            </w:tcBorders>
          </w:tcPr>
          <w:p w14:paraId="6A1A1CCB"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6CF8DFD"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Payment Amount Total for all QSEs - </w:t>
            </w:r>
            <w:r w:rsidRPr="0003648D">
              <w:t xml:space="preserve">The payments to all QSEs for the Real-Time un-deployed </w:t>
            </w:r>
            <w:r>
              <w:t>ECRS</w:t>
            </w:r>
            <w:r w:rsidRPr="0003648D">
              <w:t xml:space="preserve"> Ancillary Service Assignment for the hour.</w:t>
            </w:r>
          </w:p>
        </w:tc>
      </w:tr>
      <w:tr w:rsidR="008B2D35" w:rsidRPr="0003648D" w14:paraId="7C2B5269" w14:textId="77777777" w:rsidTr="00B82144">
        <w:tc>
          <w:tcPr>
            <w:tcW w:w="1191" w:type="pct"/>
            <w:tcBorders>
              <w:top w:val="single" w:sz="4" w:space="0" w:color="auto"/>
              <w:left w:val="single" w:sz="4" w:space="0" w:color="auto"/>
              <w:bottom w:val="single" w:sz="4" w:space="0" w:color="auto"/>
              <w:right w:val="single" w:sz="4" w:space="0" w:color="auto"/>
            </w:tcBorders>
          </w:tcPr>
          <w:p w14:paraId="44B93E35" w14:textId="77777777" w:rsidR="008B2D35" w:rsidRPr="0003648D" w:rsidRDefault="008B2D35" w:rsidP="00B82144">
            <w:pPr>
              <w:pStyle w:val="TableBody"/>
            </w:pPr>
            <w:r w:rsidRPr="0003648D">
              <w:t>RTAU</w:t>
            </w:r>
            <w:r>
              <w:t>EC</w:t>
            </w:r>
            <w:r w:rsidRPr="0003648D">
              <w:t>RAMT</w:t>
            </w:r>
            <w:r w:rsidRPr="0003648D">
              <w:rPr>
                <w:b/>
              </w:rPr>
              <w:t xml:space="preserve"> </w:t>
            </w:r>
            <w:r w:rsidRPr="0003648D">
              <w:rPr>
                <w:i/>
                <w:vertAlign w:val="subscript"/>
              </w:rPr>
              <w:t>q, r,</w:t>
            </w:r>
            <w:r>
              <w:rPr>
                <w:i/>
                <w:vertAlign w:val="subscript"/>
              </w:rPr>
              <w:t xml:space="preserve"> </w:t>
            </w:r>
            <w:r w:rsidRPr="0003648D">
              <w:rPr>
                <w:i/>
                <w:vertAlign w:val="subscript"/>
              </w:rPr>
              <w:t>p,</w:t>
            </w:r>
            <w:r>
              <w:rPr>
                <w:i/>
                <w:vertAlign w:val="subscript"/>
              </w:rPr>
              <w:t xml:space="preserve"> </w:t>
            </w:r>
            <w:r w:rsidRPr="0003648D">
              <w:rPr>
                <w:i/>
                <w:vertAlign w:val="subscript"/>
              </w:rPr>
              <w:t>i</w:t>
            </w:r>
          </w:p>
        </w:tc>
        <w:tc>
          <w:tcPr>
            <w:tcW w:w="335" w:type="pct"/>
            <w:tcBorders>
              <w:top w:val="single" w:sz="4" w:space="0" w:color="auto"/>
              <w:left w:val="single" w:sz="4" w:space="0" w:color="auto"/>
              <w:bottom w:val="single" w:sz="4" w:space="0" w:color="auto"/>
              <w:right w:val="single" w:sz="4" w:space="0" w:color="auto"/>
            </w:tcBorders>
          </w:tcPr>
          <w:p w14:paraId="11946062"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4423D03" w14:textId="77777777" w:rsidR="008B2D35" w:rsidRPr="0003648D" w:rsidRDefault="008B2D35" w:rsidP="00B82144">
            <w:pPr>
              <w:pStyle w:val="TableBody"/>
            </w:pPr>
            <w:r w:rsidRPr="0096460A">
              <w:rPr>
                <w:i/>
              </w:rPr>
              <w:t xml:space="preserve">Real-Time Assigned Un-Deployed ERCOT Contingency Reserve Service Payment Amount per QSE - </w:t>
            </w:r>
            <w:r w:rsidRPr="0096460A">
              <w:t xml:space="preserve">The payment to QSE </w:t>
            </w:r>
            <w:r w:rsidRPr="0096460A">
              <w:rPr>
                <w:i/>
              </w:rPr>
              <w:t>q</w:t>
            </w:r>
            <w:r w:rsidRPr="0096460A">
              <w:t xml:space="preserve"> for a Real-Time un-deployed ECRS Ancillary Service Assignment to Resource </w:t>
            </w:r>
            <w:r w:rsidRPr="0096460A">
              <w:rPr>
                <w:i/>
              </w:rPr>
              <w:t>r</w:t>
            </w:r>
            <w:r w:rsidRPr="0096460A">
              <w:t xml:space="preserve"> at Settlement Point </w:t>
            </w:r>
            <w:r w:rsidRPr="0096460A">
              <w:rPr>
                <w:i/>
              </w:rPr>
              <w:t>p</w:t>
            </w:r>
            <w:r w:rsidRPr="0096460A">
              <w:t xml:space="preserve"> for the 15-minute Settlement Interval </w:t>
            </w:r>
            <w:r w:rsidRPr="0096460A">
              <w:rPr>
                <w:i/>
              </w:rPr>
              <w:t>i</w:t>
            </w:r>
            <w:r w:rsidRPr="0096460A">
              <w:t>.</w:t>
            </w:r>
          </w:p>
        </w:tc>
      </w:tr>
      <w:tr w:rsidR="008B2D35" w:rsidRPr="0003648D" w14:paraId="3B339319" w14:textId="77777777" w:rsidTr="00B82144">
        <w:tc>
          <w:tcPr>
            <w:tcW w:w="1191" w:type="pct"/>
            <w:tcBorders>
              <w:top w:val="single" w:sz="4" w:space="0" w:color="auto"/>
              <w:left w:val="single" w:sz="4" w:space="0" w:color="auto"/>
              <w:bottom w:val="single" w:sz="4" w:space="0" w:color="auto"/>
              <w:right w:val="single" w:sz="4" w:space="0" w:color="auto"/>
            </w:tcBorders>
          </w:tcPr>
          <w:p w14:paraId="25057A6F" w14:textId="77777777" w:rsidR="008B2D35" w:rsidRPr="0003648D" w:rsidRDefault="008B2D35" w:rsidP="00B82144">
            <w:pPr>
              <w:pStyle w:val="TableBody"/>
              <w:rPr>
                <w:i/>
              </w:rPr>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5E36CA91"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705F922" w14:textId="77777777" w:rsidR="008B2D35" w:rsidRPr="0003648D" w:rsidRDefault="008B2D35" w:rsidP="00B82144">
            <w:pPr>
              <w:pStyle w:val="TableBody"/>
            </w:pPr>
            <w:r w:rsidRPr="0003648D">
              <w:t>A QSE.</w:t>
            </w:r>
          </w:p>
        </w:tc>
      </w:tr>
      <w:tr w:rsidR="008B2D35" w:rsidRPr="0003648D" w14:paraId="69E99322"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49F08C3" w14:textId="77777777" w:rsidR="008B2D35" w:rsidRPr="0003648D" w:rsidRDefault="008B2D35" w:rsidP="00B82144">
            <w:pPr>
              <w:pStyle w:val="TableBody"/>
              <w:rPr>
                <w:i/>
              </w:rPr>
            </w:pPr>
            <w:r w:rsidRPr="0003648D">
              <w:rPr>
                <w:i/>
              </w:rPr>
              <w:t>r</w:t>
            </w:r>
          </w:p>
        </w:tc>
        <w:tc>
          <w:tcPr>
            <w:tcW w:w="335" w:type="pct"/>
            <w:tcBorders>
              <w:top w:val="single" w:sz="4" w:space="0" w:color="auto"/>
              <w:left w:val="single" w:sz="4" w:space="0" w:color="auto"/>
              <w:bottom w:val="single" w:sz="4" w:space="0" w:color="auto"/>
              <w:right w:val="single" w:sz="4" w:space="0" w:color="auto"/>
            </w:tcBorders>
          </w:tcPr>
          <w:p w14:paraId="2420032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B258844"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6DC75518"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0BE7810" w14:textId="77777777" w:rsidR="008B2D35" w:rsidRPr="0003648D" w:rsidRDefault="008B2D35" w:rsidP="00B82144">
            <w:pPr>
              <w:pStyle w:val="TableBody"/>
              <w:rPr>
                <w:i/>
              </w:rPr>
            </w:pPr>
            <w:r w:rsidRPr="0003648D">
              <w:rPr>
                <w:i/>
              </w:rPr>
              <w:t>p</w:t>
            </w:r>
          </w:p>
        </w:tc>
        <w:tc>
          <w:tcPr>
            <w:tcW w:w="335" w:type="pct"/>
            <w:tcBorders>
              <w:top w:val="single" w:sz="4" w:space="0" w:color="auto"/>
              <w:left w:val="single" w:sz="4" w:space="0" w:color="auto"/>
              <w:bottom w:val="single" w:sz="4" w:space="0" w:color="auto"/>
              <w:right w:val="single" w:sz="4" w:space="0" w:color="auto"/>
            </w:tcBorders>
          </w:tcPr>
          <w:p w14:paraId="6610C930"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2D032C4D"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r w:rsidR="008B2D35" w:rsidRPr="0003648D" w14:paraId="141453A3"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31872BB" w14:textId="77777777" w:rsidR="008B2D35" w:rsidRPr="0003648D" w:rsidRDefault="008B2D35" w:rsidP="00B82144">
            <w:pPr>
              <w:pStyle w:val="TableBody"/>
              <w:rPr>
                <w:i/>
              </w:rPr>
            </w:pPr>
            <w:r w:rsidRPr="0003648D">
              <w:rPr>
                <w:i/>
              </w:rPr>
              <w:t>i</w:t>
            </w:r>
          </w:p>
        </w:tc>
        <w:tc>
          <w:tcPr>
            <w:tcW w:w="335" w:type="pct"/>
            <w:tcBorders>
              <w:top w:val="single" w:sz="4" w:space="0" w:color="auto"/>
              <w:left w:val="single" w:sz="4" w:space="0" w:color="auto"/>
              <w:bottom w:val="single" w:sz="4" w:space="0" w:color="auto"/>
              <w:right w:val="single" w:sz="4" w:space="0" w:color="auto"/>
            </w:tcBorders>
          </w:tcPr>
          <w:p w14:paraId="2BF630E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1EBEAD8A" w14:textId="77777777" w:rsidR="008B2D35" w:rsidRPr="0003648D" w:rsidRDefault="008B2D35" w:rsidP="00B82144">
            <w:pPr>
              <w:pStyle w:val="TableBody"/>
            </w:pPr>
            <w:r w:rsidRPr="0003648D">
              <w:t>A 15-minute Settlement Interval in the Operating Hour.</w:t>
            </w:r>
          </w:p>
        </w:tc>
      </w:tr>
    </w:tbl>
    <w:p w14:paraId="6AD95926" w14:textId="77777777" w:rsidR="008B2D35" w:rsidRPr="0003648D" w:rsidRDefault="008B2D35" w:rsidP="008B2D35">
      <w:pPr>
        <w:pStyle w:val="List"/>
        <w:spacing w:before="240"/>
      </w:pPr>
      <w:r w:rsidRPr="0003648D">
        <w:lastRenderedPageBreak/>
        <w:t>(b)</w:t>
      </w:r>
      <w:r w:rsidRPr="0003648D">
        <w:tab/>
        <w:t xml:space="preserve">Each QSE’s share of the net total costs for </w:t>
      </w:r>
      <w:r>
        <w:t>ECRS</w:t>
      </w:r>
      <w:r w:rsidRPr="0003648D">
        <w:t xml:space="preserve"> for the Operating Hour, including Ancillary Service costs assigned during a Watch is calculated as follows:</w:t>
      </w:r>
    </w:p>
    <w:p w14:paraId="2F3DE4D7" w14:textId="77777777" w:rsidR="008B2D35" w:rsidRPr="0003648D" w:rsidRDefault="008B2D35" w:rsidP="008B2D35">
      <w:pPr>
        <w:pStyle w:val="FormulaBold"/>
      </w:pPr>
      <w:r w:rsidRPr="0003648D">
        <w:t>A</w:t>
      </w:r>
      <w:r>
        <w:t>EC</w:t>
      </w:r>
      <w:r w:rsidRPr="0003648D">
        <w:t xml:space="preserve">RCOST </w:t>
      </w:r>
      <w:r w:rsidRPr="0003648D">
        <w:rPr>
          <w:i/>
          <w:vertAlign w:val="subscript"/>
        </w:rPr>
        <w:t>q</w:t>
      </w:r>
      <w:r w:rsidRPr="0003648D">
        <w:tab/>
        <w:t>=</w:t>
      </w:r>
      <w:r w:rsidRPr="0003648D">
        <w:tab/>
        <w:t>A</w:t>
      </w:r>
      <w:r>
        <w:t>EC</w:t>
      </w:r>
      <w:r w:rsidRPr="0003648D">
        <w:t>RPR * A</w:t>
      </w:r>
      <w:r>
        <w:t>EC</w:t>
      </w:r>
      <w:r w:rsidRPr="0003648D">
        <w:t xml:space="preserve">RQ </w:t>
      </w:r>
      <w:r w:rsidRPr="0003648D">
        <w:rPr>
          <w:i/>
          <w:vertAlign w:val="subscript"/>
        </w:rPr>
        <w:t>q</w:t>
      </w:r>
    </w:p>
    <w:p w14:paraId="7480E471" w14:textId="77777777" w:rsidR="008B2D35" w:rsidRPr="0003648D" w:rsidRDefault="008B2D35" w:rsidP="008B2D35">
      <w:pPr>
        <w:pStyle w:val="BodyText"/>
      </w:pPr>
      <w:r w:rsidRPr="0003648D">
        <w:t>Where:</w:t>
      </w:r>
    </w:p>
    <w:p w14:paraId="0FC8C92D" w14:textId="77777777" w:rsidR="008B2D35" w:rsidRPr="0003648D" w:rsidRDefault="008B2D35" w:rsidP="008B2D35">
      <w:pPr>
        <w:pStyle w:val="Formula"/>
        <w:ind w:left="2880" w:hanging="2160"/>
      </w:pPr>
      <w:r w:rsidRPr="0003648D">
        <w:t>A</w:t>
      </w:r>
      <w:r>
        <w:t>EC</w:t>
      </w:r>
      <w:r w:rsidRPr="0003648D">
        <w:t>RPR</w:t>
      </w:r>
      <w:r w:rsidRPr="0003648D">
        <w:tab/>
        <w:t>=</w:t>
      </w:r>
      <w:r w:rsidRPr="0003648D">
        <w:tab/>
        <w:t>A</w:t>
      </w:r>
      <w:r>
        <w:t>EC</w:t>
      </w:r>
      <w:r w:rsidRPr="0003648D">
        <w:t>RCOSTTOT / A</w:t>
      </w:r>
      <w:r>
        <w:t>EC</w:t>
      </w:r>
      <w:r w:rsidRPr="0003648D">
        <w:t>RQTOT</w:t>
      </w:r>
    </w:p>
    <w:p w14:paraId="24DA7C38" w14:textId="77777777" w:rsidR="008B2D35" w:rsidRPr="0003648D" w:rsidRDefault="008B2D35" w:rsidP="008B2D35">
      <w:pPr>
        <w:pStyle w:val="Formula"/>
        <w:ind w:left="2880" w:hanging="2160"/>
      </w:pPr>
      <w:r w:rsidRPr="0003648D">
        <w:t>A</w:t>
      </w:r>
      <w:r>
        <w:t>EC</w:t>
      </w:r>
      <w:r w:rsidRPr="0003648D">
        <w:t>RQTOT</w:t>
      </w:r>
      <w:r w:rsidRPr="0003648D">
        <w:tab/>
        <w:t>=</w:t>
      </w:r>
      <w:r w:rsidRPr="0003648D">
        <w:tab/>
      </w:r>
      <w:r w:rsidRPr="0003648D">
        <w:rPr>
          <w:position w:val="-22"/>
          <w:lang w:val="pt-BR"/>
        </w:rPr>
        <w:object w:dxaOrig="225" w:dyaOrig="465" w14:anchorId="611FD04D">
          <v:shape id="_x0000_i1442" type="#_x0000_t75" style="width:12pt;height:18pt" o:ole="">
            <v:imagedata r:id="rId432" o:title=""/>
          </v:shape>
          <o:OLEObject Type="Embed" ProgID="Equation.3" ShapeID="_x0000_i1442" DrawAspect="Content" ObjectID="_1804653925" r:id="rId544"/>
        </w:object>
      </w:r>
      <w:r w:rsidRPr="0003648D">
        <w:rPr>
          <w:lang w:val="pt-BR"/>
        </w:rPr>
        <w:t>A</w:t>
      </w:r>
      <w:r>
        <w:t>EC</w:t>
      </w:r>
      <w:r w:rsidRPr="0003648D">
        <w:t xml:space="preserve">RQ </w:t>
      </w:r>
      <w:r w:rsidRPr="0003648D">
        <w:rPr>
          <w:i/>
          <w:vertAlign w:val="subscript"/>
        </w:rPr>
        <w:t>q</w:t>
      </w:r>
    </w:p>
    <w:p w14:paraId="6CDC4503" w14:textId="77777777" w:rsidR="008B2D35" w:rsidRPr="0003648D" w:rsidRDefault="008B2D35" w:rsidP="008B2D35">
      <w:pPr>
        <w:pStyle w:val="Formula"/>
        <w:ind w:left="2880" w:hanging="2160"/>
        <w:rPr>
          <w:lang w:val="es-ES"/>
        </w:rPr>
      </w:pPr>
      <w:r w:rsidRPr="0003648D">
        <w:rPr>
          <w:lang w:val="es-ES"/>
        </w:rPr>
        <w:t>A</w:t>
      </w:r>
      <w:r>
        <w:rPr>
          <w:lang w:val="es-ES"/>
        </w:rPr>
        <w:t>EC</w:t>
      </w:r>
      <w:r w:rsidRPr="0003648D">
        <w:rPr>
          <w:lang w:val="es-ES"/>
        </w:rPr>
        <w:t xml:space="preserve">RQ </w:t>
      </w:r>
      <w:r w:rsidRPr="0003648D">
        <w:rPr>
          <w:i/>
          <w:vertAlign w:val="subscript"/>
          <w:lang w:val="es-ES"/>
        </w:rPr>
        <w:t>q</w:t>
      </w:r>
      <w:r w:rsidRPr="0003648D">
        <w:rPr>
          <w:lang w:val="es-ES"/>
        </w:rPr>
        <w:tab/>
        <w:t>=</w:t>
      </w:r>
      <w:r w:rsidRPr="0003648D">
        <w:rPr>
          <w:lang w:val="es-ES"/>
        </w:rPr>
        <w:tab/>
        <w:t>A</w:t>
      </w:r>
      <w:r>
        <w:rPr>
          <w:lang w:val="es-ES"/>
        </w:rPr>
        <w:t>EC</w:t>
      </w:r>
      <w:r w:rsidRPr="0003648D">
        <w:rPr>
          <w:lang w:val="es-ES"/>
        </w:rPr>
        <w:t xml:space="preserve">RO </w:t>
      </w:r>
      <w:r w:rsidRPr="0003648D">
        <w:rPr>
          <w:i/>
          <w:vertAlign w:val="subscript"/>
          <w:lang w:val="es-ES"/>
        </w:rPr>
        <w:t>q</w:t>
      </w:r>
      <w:r w:rsidRPr="0003648D">
        <w:rPr>
          <w:lang w:val="es-ES"/>
        </w:rPr>
        <w:t xml:space="preserve"> – SA</w:t>
      </w:r>
      <w:r>
        <w:rPr>
          <w:lang w:val="es-ES"/>
        </w:rPr>
        <w:t>EC</w:t>
      </w:r>
      <w:r w:rsidRPr="0003648D">
        <w:rPr>
          <w:lang w:val="es-ES"/>
        </w:rPr>
        <w:t xml:space="preserve">RQ </w:t>
      </w:r>
      <w:r w:rsidRPr="0003648D">
        <w:rPr>
          <w:i/>
          <w:vertAlign w:val="subscript"/>
          <w:lang w:val="es-ES"/>
        </w:rPr>
        <w:t>q</w:t>
      </w:r>
    </w:p>
    <w:p w14:paraId="595067AB" w14:textId="1772FE14" w:rsidR="008B2D35" w:rsidRPr="0003648D" w:rsidRDefault="008B2D35" w:rsidP="008B2D35">
      <w:pPr>
        <w:pStyle w:val="Formula"/>
        <w:ind w:left="2880" w:hanging="2160"/>
        <w:rPr>
          <w:i/>
          <w:vertAlign w:val="subscript"/>
          <w:lang w:val="fr-FR"/>
        </w:rPr>
      </w:pPr>
      <w:r w:rsidRPr="0003648D">
        <w:rPr>
          <w:lang w:val="es-ES"/>
        </w:rPr>
        <w:t>A</w:t>
      </w:r>
      <w:r>
        <w:rPr>
          <w:lang w:val="es-ES"/>
        </w:rPr>
        <w:t>EC</w:t>
      </w:r>
      <w:r w:rsidRPr="0003648D">
        <w:rPr>
          <w:lang w:val="es-ES"/>
        </w:rPr>
        <w:t xml:space="preserve">RO </w:t>
      </w:r>
      <w:r w:rsidRPr="0003648D">
        <w:rPr>
          <w:i/>
          <w:vertAlign w:val="subscript"/>
          <w:lang w:val="es-ES"/>
        </w:rPr>
        <w:t>q</w:t>
      </w:r>
      <w:r w:rsidRPr="0003648D">
        <w:rPr>
          <w:lang w:val="es-ES"/>
        </w:rPr>
        <w:tab/>
        <w:t>=</w:t>
      </w:r>
      <w:r w:rsidRPr="0003648D">
        <w:rPr>
          <w:lang w:val="es-ES"/>
        </w:rPr>
        <w:tab/>
        <w:t>WAU</w:t>
      </w:r>
      <w:r>
        <w:rPr>
          <w:lang w:val="es-ES"/>
        </w:rPr>
        <w:t>EC</w:t>
      </w:r>
      <w:r w:rsidRPr="0003648D">
        <w:rPr>
          <w:lang w:val="es-ES"/>
        </w:rPr>
        <w:t>RTOT * HLRS</w:t>
      </w:r>
      <w:r w:rsidRPr="008745C7">
        <w:rPr>
          <w:i/>
          <w:vertAlign w:val="subscript"/>
        </w:rPr>
        <w:t xml:space="preserve"> </w:t>
      </w:r>
      <w:r w:rsidRPr="0003648D">
        <w:rPr>
          <w:i/>
          <w:vertAlign w:val="subscript"/>
        </w:rPr>
        <w:t>q</w:t>
      </w:r>
      <w:r w:rsidRPr="0003648D">
        <w:rPr>
          <w:lang w:val="es-ES"/>
        </w:rPr>
        <w:t xml:space="preserve"> + </w:t>
      </w:r>
      <w:r>
        <w:rPr>
          <w:lang w:val="es-ES"/>
        </w:rPr>
        <w:t>EC</w:t>
      </w:r>
      <w:r w:rsidRPr="0003648D">
        <w:rPr>
          <w:lang w:val="es-ES"/>
        </w:rPr>
        <w:t xml:space="preserve">RO </w:t>
      </w:r>
      <w:r w:rsidRPr="0003648D">
        <w:rPr>
          <w:i/>
          <w:vertAlign w:val="subscript"/>
          <w:lang w:val="es-ES"/>
        </w:rPr>
        <w:t>q</w:t>
      </w:r>
      <w:r w:rsidRPr="0003648D">
        <w:rPr>
          <w:lang w:val="pt-BR"/>
        </w:rPr>
        <w:t xml:space="preserve"> </w:t>
      </w:r>
    </w:p>
    <w:p w14:paraId="7CA5F464" w14:textId="77777777" w:rsidR="008B2D35" w:rsidRPr="0003648D" w:rsidRDefault="008B2D35" w:rsidP="008B2D35">
      <w:pPr>
        <w:pStyle w:val="Formula"/>
        <w:ind w:left="2880" w:hanging="2160"/>
        <w:rPr>
          <w:lang w:val="fr-FR"/>
        </w:rPr>
      </w:pPr>
      <w:r w:rsidRPr="0003648D">
        <w:rPr>
          <w:lang w:val="es-ES"/>
        </w:rPr>
        <w:t>WAU</w:t>
      </w:r>
      <w:r>
        <w:rPr>
          <w:lang w:val="es-ES"/>
        </w:rPr>
        <w:t>EC</w:t>
      </w:r>
      <w:r w:rsidRPr="0003648D">
        <w:rPr>
          <w:lang w:val="es-ES"/>
        </w:rPr>
        <w:t>RTOT</w:t>
      </w:r>
      <w:r w:rsidRPr="0003648D">
        <w:rPr>
          <w:lang w:val="fr-FR"/>
        </w:rPr>
        <w:tab/>
        <w:t>=</w:t>
      </w:r>
      <w:r w:rsidRPr="0003648D">
        <w:rPr>
          <w:lang w:val="fr-FR"/>
        </w:rPr>
        <w:tab/>
      </w:r>
      <w:r w:rsidRPr="0003648D">
        <w:rPr>
          <w:position w:val="-22"/>
          <w:lang w:val="pt-BR"/>
        </w:rPr>
        <w:object w:dxaOrig="225" w:dyaOrig="465" w14:anchorId="1C870041">
          <v:shape id="_x0000_i1443" type="#_x0000_t75" style="width:12pt;height:18pt" o:ole="">
            <v:imagedata r:id="rId432" o:title=""/>
          </v:shape>
          <o:OLEObject Type="Embed" ProgID="Equation.3" ShapeID="_x0000_i1443" DrawAspect="Content" ObjectID="_1804653926" r:id="rId545"/>
        </w:object>
      </w:r>
      <w:r w:rsidRPr="0003648D">
        <w:rPr>
          <w:position w:val="-18"/>
          <w:lang w:val="pt-BR"/>
        </w:rPr>
        <w:object w:dxaOrig="220" w:dyaOrig="420" w14:anchorId="02216EC5">
          <v:shape id="_x0000_i1444" type="#_x0000_t75" style="width:12pt;height:24pt" o:ole="">
            <v:imagedata r:id="rId412" o:title=""/>
          </v:shape>
          <o:OLEObject Type="Embed" ProgID="Equation.3" ShapeID="_x0000_i1444" DrawAspect="Content" ObjectID="_1804653927" r:id="rId546"/>
        </w:object>
      </w:r>
      <w:r w:rsidRPr="0003648D">
        <w:rPr>
          <w:position w:val="-18"/>
          <w:lang w:val="pt-BR"/>
        </w:rPr>
        <w:object w:dxaOrig="220" w:dyaOrig="420" w14:anchorId="57A33509">
          <v:shape id="_x0000_i1445" type="#_x0000_t75" style="width:12pt;height:24pt" o:ole="">
            <v:imagedata r:id="rId526" o:title=""/>
          </v:shape>
          <o:OLEObject Type="Embed" ProgID="Equation.3" ShapeID="_x0000_i1445" DrawAspect="Content" ObjectID="_1804653928" r:id="rId547"/>
        </w:object>
      </w:r>
      <w:r w:rsidRPr="0003648D">
        <w:t>RTAU</w:t>
      </w:r>
      <w:r>
        <w:t>EC</w:t>
      </w:r>
      <w:r w:rsidRPr="0003648D">
        <w:t xml:space="preserve">RR </w:t>
      </w:r>
      <w:r w:rsidRPr="0003648D">
        <w:rPr>
          <w:i/>
          <w:vertAlign w:val="subscript"/>
        </w:rPr>
        <w:t>q,</w:t>
      </w:r>
      <w:r>
        <w:rPr>
          <w:i/>
          <w:vertAlign w:val="subscript"/>
        </w:rPr>
        <w:t xml:space="preserve"> </w:t>
      </w:r>
      <w:r w:rsidRPr="0003648D">
        <w:rPr>
          <w:i/>
          <w:vertAlign w:val="subscript"/>
        </w:rPr>
        <w:t>r,</w:t>
      </w:r>
      <w:r>
        <w:rPr>
          <w:i/>
          <w:vertAlign w:val="subscript"/>
        </w:rPr>
        <w:t xml:space="preserve"> </w:t>
      </w:r>
      <w:r w:rsidRPr="0003648D">
        <w:rPr>
          <w:i/>
          <w:vertAlign w:val="subscript"/>
        </w:rPr>
        <w:t>p</w:t>
      </w:r>
    </w:p>
    <w:p w14:paraId="059DA867" w14:textId="77777777" w:rsidR="008B2D35" w:rsidRPr="0003648D" w:rsidRDefault="008B2D35" w:rsidP="008B2D35">
      <w:pPr>
        <w:keepNext/>
      </w:pPr>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8B2D35" w:rsidRPr="0003648D" w14:paraId="6E936B79" w14:textId="77777777" w:rsidTr="00B82144">
        <w:tc>
          <w:tcPr>
            <w:tcW w:w="1191" w:type="pct"/>
          </w:tcPr>
          <w:p w14:paraId="0C522581" w14:textId="77777777" w:rsidR="008B2D35" w:rsidRPr="0003648D" w:rsidRDefault="008B2D35" w:rsidP="00B82144">
            <w:pPr>
              <w:pStyle w:val="TableHead"/>
            </w:pPr>
            <w:r w:rsidRPr="0003648D">
              <w:t>Variable</w:t>
            </w:r>
          </w:p>
        </w:tc>
        <w:tc>
          <w:tcPr>
            <w:tcW w:w="395" w:type="pct"/>
          </w:tcPr>
          <w:p w14:paraId="46756E2D" w14:textId="77777777" w:rsidR="008B2D35" w:rsidRPr="0003648D" w:rsidRDefault="008B2D35" w:rsidP="00B82144">
            <w:pPr>
              <w:pStyle w:val="TableHead"/>
            </w:pPr>
            <w:r w:rsidRPr="0003648D">
              <w:t>Unit</w:t>
            </w:r>
          </w:p>
        </w:tc>
        <w:tc>
          <w:tcPr>
            <w:tcW w:w="3414" w:type="pct"/>
          </w:tcPr>
          <w:p w14:paraId="2210838D" w14:textId="77777777" w:rsidR="008B2D35" w:rsidRPr="0003648D" w:rsidRDefault="008B2D35" w:rsidP="00B82144">
            <w:pPr>
              <w:pStyle w:val="TableHead"/>
            </w:pPr>
            <w:r w:rsidRPr="0003648D">
              <w:t>Description</w:t>
            </w:r>
          </w:p>
        </w:tc>
      </w:tr>
      <w:tr w:rsidR="008B2D35" w:rsidRPr="0003648D" w14:paraId="2948249F" w14:textId="77777777" w:rsidTr="00B82144">
        <w:tc>
          <w:tcPr>
            <w:tcW w:w="1191" w:type="pct"/>
          </w:tcPr>
          <w:p w14:paraId="288EE417" w14:textId="77777777" w:rsidR="008B2D35" w:rsidRPr="0003648D" w:rsidRDefault="008B2D35" w:rsidP="00B82144">
            <w:pPr>
              <w:pStyle w:val="TableBody"/>
            </w:pPr>
            <w:r w:rsidRPr="0003648D">
              <w:t>A</w:t>
            </w:r>
            <w:r>
              <w:t>ECR</w:t>
            </w:r>
            <w:r w:rsidRPr="0003648D">
              <w:t xml:space="preserve">COST </w:t>
            </w:r>
            <w:r w:rsidRPr="0003648D">
              <w:rPr>
                <w:i/>
                <w:vertAlign w:val="subscript"/>
              </w:rPr>
              <w:t>q</w:t>
            </w:r>
          </w:p>
        </w:tc>
        <w:tc>
          <w:tcPr>
            <w:tcW w:w="395" w:type="pct"/>
          </w:tcPr>
          <w:p w14:paraId="0CD105D3" w14:textId="77777777" w:rsidR="008B2D35" w:rsidRPr="0003648D" w:rsidRDefault="008B2D35" w:rsidP="00B82144">
            <w:pPr>
              <w:pStyle w:val="TableBody"/>
            </w:pPr>
            <w:r w:rsidRPr="0003648D">
              <w:t>$</w:t>
            </w:r>
          </w:p>
        </w:tc>
        <w:tc>
          <w:tcPr>
            <w:tcW w:w="3414" w:type="pct"/>
          </w:tcPr>
          <w:p w14:paraId="49D91D5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that includes costs of assigned Ancillary Service during a Watch for the hour.</w:t>
            </w:r>
          </w:p>
        </w:tc>
      </w:tr>
      <w:tr w:rsidR="008B2D35" w:rsidRPr="0003648D" w14:paraId="2BD996E9" w14:textId="77777777" w:rsidTr="00B82144">
        <w:tc>
          <w:tcPr>
            <w:tcW w:w="1191" w:type="pct"/>
          </w:tcPr>
          <w:p w14:paraId="4FB1A534" w14:textId="77777777" w:rsidR="008B2D35" w:rsidRPr="0003648D" w:rsidRDefault="008B2D35" w:rsidP="00B82144">
            <w:pPr>
              <w:pStyle w:val="TableBody"/>
            </w:pPr>
            <w:r w:rsidRPr="0003648D">
              <w:t>A</w:t>
            </w:r>
            <w:r>
              <w:t>ECR</w:t>
            </w:r>
            <w:r w:rsidRPr="0003648D">
              <w:t>PR</w:t>
            </w:r>
          </w:p>
        </w:tc>
        <w:tc>
          <w:tcPr>
            <w:tcW w:w="395" w:type="pct"/>
          </w:tcPr>
          <w:p w14:paraId="6D1B93A1" w14:textId="77777777" w:rsidR="008B2D35" w:rsidRPr="0003648D" w:rsidRDefault="008B2D35" w:rsidP="00B82144">
            <w:pPr>
              <w:pStyle w:val="TableBody"/>
            </w:pPr>
            <w:r w:rsidRPr="0003648D">
              <w:t>$/MW per hour</w:t>
            </w:r>
          </w:p>
        </w:tc>
        <w:tc>
          <w:tcPr>
            <w:tcW w:w="3414" w:type="pct"/>
          </w:tcPr>
          <w:p w14:paraId="55FB7C3A" w14:textId="77777777" w:rsidR="008B2D35" w:rsidRPr="0003648D" w:rsidRDefault="008B2D35" w:rsidP="00B82144">
            <w:pPr>
              <w:pStyle w:val="TableBody"/>
            </w:pPr>
            <w:r>
              <w:rPr>
                <w:i/>
              </w:rPr>
              <w:t>ERCOT Contingency Reserve Service</w:t>
            </w:r>
            <w:r w:rsidRPr="0003648D">
              <w:rPr>
                <w:i/>
              </w:rPr>
              <w:t xml:space="preserve"> Price—</w:t>
            </w:r>
            <w:r w:rsidRPr="0003648D">
              <w:t xml:space="preserve">The price for </w:t>
            </w:r>
            <w:r>
              <w:t>ECRS</w:t>
            </w:r>
            <w:r w:rsidRPr="0003648D">
              <w:t xml:space="preserve"> calculated based on the net total costs for </w:t>
            </w:r>
            <w:r>
              <w:t>ECRS</w:t>
            </w:r>
            <w:r w:rsidRPr="0003648D">
              <w:t xml:space="preserve"> that includes costs of assigned Ancillary Service during a Watch for the hour.</w:t>
            </w:r>
          </w:p>
        </w:tc>
      </w:tr>
      <w:tr w:rsidR="008B2D35" w:rsidRPr="0003648D" w14:paraId="225041EC" w14:textId="77777777" w:rsidTr="00B82144">
        <w:tc>
          <w:tcPr>
            <w:tcW w:w="1191" w:type="pct"/>
            <w:tcBorders>
              <w:top w:val="single" w:sz="4" w:space="0" w:color="auto"/>
              <w:left w:val="single" w:sz="4" w:space="0" w:color="auto"/>
              <w:bottom w:val="single" w:sz="4" w:space="0" w:color="auto"/>
              <w:right w:val="single" w:sz="4" w:space="0" w:color="auto"/>
            </w:tcBorders>
          </w:tcPr>
          <w:p w14:paraId="557F3A51" w14:textId="77777777" w:rsidR="008B2D35" w:rsidRPr="0003648D" w:rsidRDefault="008B2D35" w:rsidP="00B82144">
            <w:pPr>
              <w:pStyle w:val="TableBody"/>
            </w:pPr>
            <w:r w:rsidRPr="0003648D">
              <w:t>A</w:t>
            </w:r>
            <w:r>
              <w:t>ECR</w:t>
            </w:r>
            <w:r w:rsidRPr="0003648D">
              <w:t>COSTTOT</w:t>
            </w:r>
          </w:p>
        </w:tc>
        <w:tc>
          <w:tcPr>
            <w:tcW w:w="395" w:type="pct"/>
            <w:tcBorders>
              <w:top w:val="single" w:sz="4" w:space="0" w:color="auto"/>
              <w:left w:val="single" w:sz="4" w:space="0" w:color="auto"/>
              <w:bottom w:val="single" w:sz="4" w:space="0" w:color="auto"/>
              <w:right w:val="single" w:sz="4" w:space="0" w:color="auto"/>
            </w:tcBorders>
          </w:tcPr>
          <w:p w14:paraId="0CED0ED2" w14:textId="77777777" w:rsidR="008B2D35" w:rsidRPr="0003648D" w:rsidRDefault="008B2D35" w:rsidP="00B82144">
            <w:pPr>
              <w:pStyle w:val="TableBody"/>
            </w:pPr>
            <w:r w:rsidRPr="0003648D">
              <w:t>$</w:t>
            </w:r>
          </w:p>
        </w:tc>
        <w:tc>
          <w:tcPr>
            <w:tcW w:w="3414" w:type="pct"/>
            <w:tcBorders>
              <w:top w:val="single" w:sz="4" w:space="0" w:color="auto"/>
              <w:left w:val="single" w:sz="4" w:space="0" w:color="auto"/>
              <w:bottom w:val="single" w:sz="4" w:space="0" w:color="auto"/>
              <w:right w:val="single" w:sz="4" w:space="0" w:color="auto"/>
            </w:tcBorders>
          </w:tcPr>
          <w:p w14:paraId="7D5E3626"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 </w:t>
            </w:r>
          </w:p>
        </w:tc>
      </w:tr>
      <w:tr w:rsidR="008B2D35" w:rsidRPr="0003648D" w14:paraId="4A8A54E7" w14:textId="77777777" w:rsidTr="00B82144">
        <w:tc>
          <w:tcPr>
            <w:tcW w:w="1191" w:type="pct"/>
            <w:tcBorders>
              <w:top w:val="single" w:sz="4" w:space="0" w:color="auto"/>
              <w:left w:val="single" w:sz="4" w:space="0" w:color="auto"/>
              <w:bottom w:val="single" w:sz="4" w:space="0" w:color="auto"/>
              <w:right w:val="single" w:sz="4" w:space="0" w:color="auto"/>
            </w:tcBorders>
          </w:tcPr>
          <w:p w14:paraId="7BFDC6C9" w14:textId="77777777" w:rsidR="008B2D35" w:rsidRPr="0003648D" w:rsidRDefault="008B2D35" w:rsidP="00B82144">
            <w:pPr>
              <w:pStyle w:val="TableBody"/>
            </w:pPr>
            <w:r w:rsidRPr="0003648D">
              <w:t>A</w:t>
            </w:r>
            <w:r>
              <w:t>ECR</w:t>
            </w:r>
            <w:r w:rsidRPr="0003648D">
              <w:t>QTOT</w:t>
            </w:r>
          </w:p>
        </w:tc>
        <w:tc>
          <w:tcPr>
            <w:tcW w:w="395" w:type="pct"/>
            <w:tcBorders>
              <w:top w:val="single" w:sz="4" w:space="0" w:color="auto"/>
              <w:left w:val="single" w:sz="4" w:space="0" w:color="auto"/>
              <w:bottom w:val="single" w:sz="4" w:space="0" w:color="auto"/>
              <w:right w:val="single" w:sz="4" w:space="0" w:color="auto"/>
            </w:tcBorders>
          </w:tcPr>
          <w:p w14:paraId="51BFF4DF"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4C21DF8F" w14:textId="77777777" w:rsidR="008B2D35" w:rsidRPr="0003648D" w:rsidRDefault="008B2D35" w:rsidP="00B82144">
            <w:pPr>
              <w:pStyle w:val="TableBody"/>
            </w:pPr>
            <w:r>
              <w:rPr>
                <w:i/>
              </w:rPr>
              <w:t>ERCOT Contingency Reserve Service</w:t>
            </w:r>
            <w:r w:rsidRPr="0003648D">
              <w:rPr>
                <w:i/>
              </w:rPr>
              <w:t xml:space="preserve"> Quantity Total</w:t>
            </w:r>
            <w:r w:rsidRPr="0003648D">
              <w:t>—The sum of every QSE’s portion of its Ancillary Service Obligation that is not self-arranged in either DAM or any SASM that includes assigned Ancillary Service, during a Watch, for the hour.</w:t>
            </w:r>
          </w:p>
        </w:tc>
      </w:tr>
      <w:tr w:rsidR="008B2D35" w:rsidRPr="0003648D" w14:paraId="4C64366D" w14:textId="77777777" w:rsidTr="00B82144">
        <w:tc>
          <w:tcPr>
            <w:tcW w:w="1191" w:type="pct"/>
            <w:tcBorders>
              <w:top w:val="single" w:sz="4" w:space="0" w:color="auto"/>
              <w:left w:val="single" w:sz="4" w:space="0" w:color="auto"/>
              <w:bottom w:val="single" w:sz="4" w:space="0" w:color="auto"/>
              <w:right w:val="single" w:sz="4" w:space="0" w:color="auto"/>
            </w:tcBorders>
          </w:tcPr>
          <w:p w14:paraId="37E80799" w14:textId="77777777" w:rsidR="008B2D35" w:rsidRPr="0003648D" w:rsidRDefault="008B2D35" w:rsidP="00B82144">
            <w:pPr>
              <w:pStyle w:val="TableBody"/>
              <w:rPr>
                <w:i/>
              </w:rPr>
            </w:pPr>
            <w:r w:rsidRPr="0003648D">
              <w:t>WAU</w:t>
            </w:r>
            <w:r>
              <w:t>ECR</w:t>
            </w:r>
            <w:r w:rsidRPr="0003648D">
              <w:t>TOT</w:t>
            </w:r>
          </w:p>
        </w:tc>
        <w:tc>
          <w:tcPr>
            <w:tcW w:w="395" w:type="pct"/>
            <w:tcBorders>
              <w:top w:val="single" w:sz="4" w:space="0" w:color="auto"/>
              <w:left w:val="single" w:sz="4" w:space="0" w:color="auto"/>
              <w:bottom w:val="single" w:sz="4" w:space="0" w:color="auto"/>
              <w:right w:val="single" w:sz="4" w:space="0" w:color="auto"/>
            </w:tcBorders>
          </w:tcPr>
          <w:p w14:paraId="5B783EB7"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2F0ACCEC" w14:textId="77777777" w:rsidR="008B2D35" w:rsidRPr="0003648D" w:rsidRDefault="008B2D35" w:rsidP="00B82144">
            <w:pPr>
              <w:pStyle w:val="TableBody"/>
            </w:pPr>
            <w:r w:rsidRPr="0003648D">
              <w:rPr>
                <w:i/>
              </w:rPr>
              <w:t xml:space="preserve">Watch Assigned Un-Deployed </w:t>
            </w:r>
            <w:r>
              <w:rPr>
                <w:i/>
              </w:rPr>
              <w:t>ERCOT Contingency Reserve Service</w:t>
            </w:r>
            <w:r w:rsidRPr="0003648D">
              <w:rPr>
                <w:i/>
              </w:rPr>
              <w:t xml:space="preserve"> Quantity</w:t>
            </w:r>
            <w:r w:rsidRPr="0003648D">
              <w:t xml:space="preserve">—The total market wide quantity of un-deployed </w:t>
            </w:r>
            <w:r>
              <w:t>ECRS</w:t>
            </w:r>
            <w:r w:rsidRPr="0003648D">
              <w:t xml:space="preserve"> Ancillary Service Assignment for the hour.</w:t>
            </w:r>
          </w:p>
        </w:tc>
      </w:tr>
      <w:tr w:rsidR="008B2D35" w:rsidRPr="0003648D" w14:paraId="4D556C2B"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B88D262" w14:textId="77777777" w:rsidR="008B2D35" w:rsidRPr="0003648D" w:rsidRDefault="008B2D35" w:rsidP="00B82144">
            <w:pPr>
              <w:pStyle w:val="TableBody"/>
              <w:rPr>
                <w:i/>
              </w:rPr>
            </w:pPr>
            <w:r w:rsidRPr="0003648D">
              <w:t>RTAU</w:t>
            </w:r>
            <w:r>
              <w:t>ECR</w:t>
            </w:r>
            <w:r w:rsidRPr="0003648D">
              <w:t xml:space="preserve">R </w:t>
            </w:r>
            <w:r w:rsidRPr="0003648D">
              <w:rPr>
                <w:i/>
                <w:vertAlign w:val="subscript"/>
              </w:rPr>
              <w:t>q,</w:t>
            </w:r>
            <w:r>
              <w:rPr>
                <w:i/>
                <w:vertAlign w:val="subscript"/>
              </w:rPr>
              <w:t xml:space="preserve"> </w:t>
            </w:r>
            <w:r w:rsidRPr="0003648D">
              <w:rPr>
                <w:i/>
                <w:vertAlign w:val="subscript"/>
              </w:rPr>
              <w:t>r</w:t>
            </w:r>
          </w:p>
        </w:tc>
        <w:tc>
          <w:tcPr>
            <w:tcW w:w="395" w:type="pct"/>
            <w:tcBorders>
              <w:top w:val="single" w:sz="4" w:space="0" w:color="auto"/>
              <w:left w:val="single" w:sz="4" w:space="0" w:color="auto"/>
              <w:bottom w:val="single" w:sz="4" w:space="0" w:color="auto"/>
              <w:right w:val="single" w:sz="4" w:space="0" w:color="auto"/>
            </w:tcBorders>
          </w:tcPr>
          <w:p w14:paraId="0AFBCAD4"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8A0D698"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Quantity per Resource per QSE</w:t>
            </w:r>
            <w:r w:rsidRPr="0003648D">
              <w:t xml:space="preserve">—The quantity of un-deployed </w:t>
            </w:r>
            <w:r>
              <w:t>ECRS</w:t>
            </w:r>
            <w:r w:rsidRPr="0003648D">
              <w:t xml:space="preserve"> Ancillary Service Assignment to a QSE </w:t>
            </w:r>
            <w:r w:rsidRPr="0003648D">
              <w:rPr>
                <w:i/>
              </w:rPr>
              <w:t>q</w:t>
            </w:r>
            <w:r w:rsidRPr="0003648D">
              <w:t xml:space="preserve"> for Resource </w:t>
            </w:r>
            <w:r w:rsidRPr="0003648D">
              <w:rPr>
                <w:i/>
              </w:rPr>
              <w:t>r</w:t>
            </w:r>
            <w:r w:rsidRPr="0003648D">
              <w:t xml:space="preserve"> for the hour.  Where for a Combined Cycle Train, the Resource </w:t>
            </w:r>
            <w:r w:rsidRPr="0003648D">
              <w:rPr>
                <w:i/>
              </w:rPr>
              <w:t xml:space="preserve">r </w:t>
            </w:r>
            <w:r w:rsidRPr="0003648D">
              <w:t>is a Combined Cycle Generation Resource within the Combined Cycle Train.</w:t>
            </w:r>
          </w:p>
        </w:tc>
      </w:tr>
      <w:tr w:rsidR="008B2D35" w:rsidRPr="0003648D" w14:paraId="7C31CCEC"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61239DA3" w14:textId="77777777" w:rsidR="008B2D35" w:rsidRPr="0003648D" w:rsidRDefault="008B2D35" w:rsidP="00B82144">
            <w:pPr>
              <w:pStyle w:val="TableBody"/>
              <w:rPr>
                <w:i/>
              </w:rPr>
            </w:pPr>
            <w:r w:rsidRPr="0003648D">
              <w:t>A</w:t>
            </w:r>
            <w:r>
              <w:t>ECR</w:t>
            </w:r>
            <w:r w:rsidRPr="0003648D">
              <w:t xml:space="preserve">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E636543"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6307629" w14:textId="77777777" w:rsidR="008B2D35" w:rsidRPr="0003648D" w:rsidRDefault="008B2D35" w:rsidP="00B82144">
            <w:pPr>
              <w:pStyle w:val="TableBody"/>
            </w:pPr>
            <w:r>
              <w:rPr>
                <w:i/>
              </w:rPr>
              <w:t>ERCOT Contingency Reserve Service</w:t>
            </w:r>
            <w:r w:rsidRPr="0003648D">
              <w:rPr>
                <w:i/>
              </w:rPr>
              <w:t xml:space="preserve"> Quantity per QSE</w:t>
            </w:r>
            <w:r w:rsidRPr="0003648D">
              <w:t xml:space="preserve">—The portion of QSE </w:t>
            </w:r>
            <w:r w:rsidRPr="0003648D">
              <w:rPr>
                <w:i/>
              </w:rPr>
              <w:t>q</w:t>
            </w:r>
            <w:r w:rsidRPr="0003648D">
              <w:t>’s Ancillary Service Obligation that is not self-arranged in either DAM or any SASM, for the hour.</w:t>
            </w:r>
          </w:p>
        </w:tc>
      </w:tr>
      <w:tr w:rsidR="008B2D35" w:rsidRPr="0003648D" w14:paraId="220E0F38"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D8F6542" w14:textId="77777777" w:rsidR="008B2D35" w:rsidRPr="0003648D" w:rsidRDefault="008B2D35" w:rsidP="00B82144">
            <w:pPr>
              <w:pStyle w:val="TableBody"/>
              <w:rPr>
                <w:i/>
              </w:rPr>
            </w:pPr>
            <w:r w:rsidRPr="0003648D">
              <w:t>A</w:t>
            </w: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12C61A1"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EAA305C"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03848F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06A8A00" w14:textId="77777777" w:rsidR="008B2D35" w:rsidRPr="0003648D" w:rsidRDefault="008B2D35" w:rsidP="00B82144">
            <w:pPr>
              <w:pStyle w:val="TableBody"/>
              <w:rPr>
                <w:i/>
              </w:rPr>
            </w:pP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23CCD62"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51A008F5"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64D7F0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0F80E116" w14:textId="77777777" w:rsidR="008B2D35" w:rsidRPr="0003648D" w:rsidRDefault="008B2D35" w:rsidP="00B82144">
            <w:pPr>
              <w:pStyle w:val="TableBody"/>
              <w:rPr>
                <w:i/>
              </w:rPr>
            </w:pPr>
            <w:r w:rsidRPr="0003648D">
              <w:lastRenderedPageBreak/>
              <w:t xml:space="preserve">HLRS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5E47D17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043AF50F" w14:textId="77777777" w:rsidR="008B2D35" w:rsidRPr="0003648D" w:rsidRDefault="008B2D35" w:rsidP="00B82144">
            <w:pPr>
              <w:pStyle w:val="TableBody"/>
            </w:pPr>
            <w:r w:rsidRPr="0003648D">
              <w:rPr>
                <w:i/>
              </w:rPr>
              <w:t>The Hourly Load Ratio Share calculated for QSE q for the hour</w:t>
            </w:r>
            <w:r w:rsidRPr="0003648D">
              <w:t>.  See Section 6.6.2.4.</w:t>
            </w:r>
          </w:p>
        </w:tc>
      </w:tr>
      <w:tr w:rsidR="008B2D35" w:rsidRPr="0003648D" w14:paraId="53001B36"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B3162B8" w14:textId="77777777" w:rsidR="008B2D35" w:rsidRPr="0003648D" w:rsidRDefault="008B2D35" w:rsidP="00B82144">
            <w:pPr>
              <w:pStyle w:val="TableBody"/>
              <w:rPr>
                <w:i/>
              </w:rPr>
            </w:pPr>
            <w:r w:rsidRPr="0003648D">
              <w:t>SA</w:t>
            </w:r>
            <w:r>
              <w:t>EC</w:t>
            </w:r>
            <w:r w:rsidRPr="0003648D">
              <w:t xml:space="preserve">RQ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0A503FC"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1596BDE8" w14:textId="77777777" w:rsidR="008B2D35" w:rsidRPr="0003648D" w:rsidRDefault="008B2D35" w:rsidP="00B82144">
            <w:pPr>
              <w:pStyle w:val="TableBody"/>
            </w:pPr>
            <w:r w:rsidRPr="0003648D">
              <w:rPr>
                <w:i/>
              </w:rPr>
              <w:t xml:space="preserve">Total Self-Arranged </w:t>
            </w:r>
            <w:r>
              <w:rPr>
                <w:i/>
              </w:rPr>
              <w:t>ERCOT Contingency Reserve Service</w:t>
            </w:r>
            <w:r w:rsidRPr="0003648D">
              <w:rPr>
                <w:i/>
              </w:rPr>
              <w:t xml:space="preserve"> Quantity per QSE for all markets</w:t>
            </w:r>
            <w:r w:rsidRPr="0003648D">
              <w:t xml:space="preserve">—The sum of all self-arranged </w:t>
            </w:r>
            <w:r>
              <w:t>ECRS</w:t>
            </w:r>
            <w:r w:rsidRPr="0003648D">
              <w:t xml:space="preserve"> quantities submitted by QSE </w:t>
            </w:r>
            <w:r w:rsidRPr="0003648D">
              <w:rPr>
                <w:i/>
              </w:rPr>
              <w:t>q</w:t>
            </w:r>
            <w:r w:rsidRPr="0003648D">
              <w:t xml:space="preserve"> for DAM and all SASMs.</w:t>
            </w:r>
          </w:p>
        </w:tc>
      </w:tr>
      <w:tr w:rsidR="008B2D35" w:rsidRPr="0003648D" w14:paraId="2F5ED9ED"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620CDB8" w14:textId="77777777" w:rsidR="008B2D35" w:rsidRPr="0003648D" w:rsidRDefault="008B2D35" w:rsidP="00B82144">
            <w:pPr>
              <w:pStyle w:val="TableBody"/>
              <w:rPr>
                <w:i/>
              </w:rPr>
            </w:pPr>
            <w:r w:rsidRPr="0003648D">
              <w:rPr>
                <w:i/>
              </w:rPr>
              <w:t>q</w:t>
            </w:r>
          </w:p>
        </w:tc>
        <w:tc>
          <w:tcPr>
            <w:tcW w:w="395" w:type="pct"/>
            <w:tcBorders>
              <w:top w:val="single" w:sz="4" w:space="0" w:color="auto"/>
              <w:left w:val="single" w:sz="4" w:space="0" w:color="auto"/>
              <w:bottom w:val="single" w:sz="4" w:space="0" w:color="auto"/>
              <w:right w:val="single" w:sz="4" w:space="0" w:color="auto"/>
            </w:tcBorders>
          </w:tcPr>
          <w:p w14:paraId="7380E348"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29C4063" w14:textId="77777777" w:rsidR="008B2D35" w:rsidRPr="0003648D" w:rsidRDefault="008B2D35" w:rsidP="00B82144">
            <w:pPr>
              <w:pStyle w:val="TableBody"/>
            </w:pPr>
            <w:r w:rsidRPr="0003648D">
              <w:t>A QSE.</w:t>
            </w:r>
          </w:p>
        </w:tc>
      </w:tr>
      <w:tr w:rsidR="008B2D35" w:rsidRPr="0003648D" w14:paraId="209C5022"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64DB2945" w14:textId="77777777" w:rsidR="008B2D35" w:rsidRPr="0003648D" w:rsidRDefault="008B2D35" w:rsidP="00B82144">
            <w:pPr>
              <w:pStyle w:val="TableBody"/>
              <w:rPr>
                <w:i/>
              </w:rPr>
            </w:pPr>
            <w:r w:rsidRPr="0003648D">
              <w:rPr>
                <w:i/>
              </w:rPr>
              <w:t>r</w:t>
            </w:r>
          </w:p>
        </w:tc>
        <w:tc>
          <w:tcPr>
            <w:tcW w:w="395" w:type="pct"/>
            <w:tcBorders>
              <w:top w:val="single" w:sz="4" w:space="0" w:color="auto"/>
              <w:left w:val="single" w:sz="4" w:space="0" w:color="auto"/>
              <w:bottom w:val="single" w:sz="4" w:space="0" w:color="auto"/>
              <w:right w:val="single" w:sz="4" w:space="0" w:color="auto"/>
            </w:tcBorders>
          </w:tcPr>
          <w:p w14:paraId="46CB238B"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7A1F5F6A"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5D099837"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27BAEE1D" w14:textId="77777777" w:rsidR="008B2D35" w:rsidRPr="0003648D" w:rsidRDefault="008B2D35" w:rsidP="00B82144">
            <w:pPr>
              <w:pStyle w:val="TableBody"/>
              <w:rPr>
                <w:i/>
              </w:rPr>
            </w:pPr>
            <w:r w:rsidRPr="0003648D">
              <w:rPr>
                <w:i/>
              </w:rPr>
              <w:t>p</w:t>
            </w:r>
          </w:p>
        </w:tc>
        <w:tc>
          <w:tcPr>
            <w:tcW w:w="395" w:type="pct"/>
            <w:tcBorders>
              <w:top w:val="single" w:sz="4" w:space="0" w:color="auto"/>
              <w:left w:val="single" w:sz="4" w:space="0" w:color="auto"/>
              <w:bottom w:val="single" w:sz="4" w:space="0" w:color="auto"/>
              <w:right w:val="single" w:sz="4" w:space="0" w:color="auto"/>
            </w:tcBorders>
          </w:tcPr>
          <w:p w14:paraId="494D862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E1F97A6"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bl>
    <w:p w14:paraId="542158CF" w14:textId="77777777" w:rsidR="008B2D35" w:rsidRPr="0003648D" w:rsidRDefault="008B2D35" w:rsidP="008B2D35">
      <w:pPr>
        <w:pStyle w:val="List"/>
        <w:spacing w:before="240"/>
      </w:pPr>
      <w:r w:rsidRPr="0003648D">
        <w:t>(c)</w:t>
      </w:r>
      <w:r w:rsidRPr="0003648D">
        <w:tab/>
        <w:t xml:space="preserve">The incremental cost to each QSE’s for assigned </w:t>
      </w:r>
      <w:r>
        <w:t>ECRS</w:t>
      </w:r>
      <w:r w:rsidRPr="0003648D">
        <w:t xml:space="preserve"> for the Operating Hour, is calculated as follows:</w:t>
      </w:r>
    </w:p>
    <w:p w14:paraId="1E58ED72" w14:textId="77777777" w:rsidR="008B2D35" w:rsidRPr="006B16CB" w:rsidRDefault="008B2D35" w:rsidP="008B2D35">
      <w:pPr>
        <w:pStyle w:val="List"/>
        <w:rPr>
          <w:b/>
          <w:i/>
          <w:vertAlign w:val="subscript"/>
          <w:lang w:val="pt-BR"/>
        </w:rPr>
      </w:pPr>
      <w:r w:rsidRPr="006B16CB">
        <w:rPr>
          <w:b/>
          <w:lang w:val="pt-BR"/>
        </w:rPr>
        <w:t xml:space="preserve">NETARTECRAMT </w:t>
      </w:r>
      <w:r w:rsidRPr="006B16CB">
        <w:rPr>
          <w:b/>
          <w:i/>
          <w:vertAlign w:val="subscript"/>
          <w:lang w:val="pt-BR"/>
        </w:rPr>
        <w:t>q</w:t>
      </w:r>
      <w:r w:rsidRPr="006B16CB">
        <w:rPr>
          <w:b/>
          <w:lang w:val="pt-BR"/>
        </w:rPr>
        <w:tab/>
        <w:t>=</w:t>
      </w:r>
      <w:r w:rsidRPr="006B16CB">
        <w:rPr>
          <w:b/>
          <w:lang w:val="pt-BR"/>
        </w:rPr>
        <w:tab/>
        <w:t xml:space="preserve">AECRCOST </w:t>
      </w:r>
      <w:r w:rsidRPr="006B16CB">
        <w:rPr>
          <w:b/>
          <w:i/>
          <w:vertAlign w:val="subscript"/>
          <w:lang w:val="pt-BR"/>
        </w:rPr>
        <w:t>q</w:t>
      </w:r>
      <w:r w:rsidRPr="006B16CB">
        <w:rPr>
          <w:b/>
          <w:lang w:val="pt-BR"/>
        </w:rPr>
        <w:t xml:space="preserve"> – </w:t>
      </w:r>
      <w:r w:rsidRPr="006B16CB">
        <w:rPr>
          <w:b/>
        </w:rPr>
        <w:t xml:space="preserve">ECRCOST </w:t>
      </w:r>
      <w:r w:rsidRPr="006B16CB">
        <w:rPr>
          <w:b/>
          <w:i/>
          <w:vertAlign w:val="subscript"/>
        </w:rPr>
        <w:t>q</w:t>
      </w:r>
      <w:r w:rsidRPr="006B16CB">
        <w:rPr>
          <w:b/>
          <w:i/>
          <w:vertAlign w:val="subscript"/>
          <w:lang w:val="pt-BR"/>
        </w:rPr>
        <w:t xml:space="preserve"> </w:t>
      </w:r>
    </w:p>
    <w:p w14:paraId="5499E5A3"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5C28649" w14:textId="77777777" w:rsidTr="00B82144">
        <w:tc>
          <w:tcPr>
            <w:tcW w:w="1191" w:type="pct"/>
          </w:tcPr>
          <w:p w14:paraId="2F0B7309" w14:textId="77777777" w:rsidR="008B2D35" w:rsidRPr="0003648D" w:rsidRDefault="008B2D35" w:rsidP="00B82144">
            <w:pPr>
              <w:pStyle w:val="TableHead"/>
            </w:pPr>
            <w:r w:rsidRPr="0003648D">
              <w:t>Variable</w:t>
            </w:r>
          </w:p>
        </w:tc>
        <w:tc>
          <w:tcPr>
            <w:tcW w:w="335" w:type="pct"/>
          </w:tcPr>
          <w:p w14:paraId="6548EB6C" w14:textId="77777777" w:rsidR="008B2D35" w:rsidRPr="0003648D" w:rsidRDefault="008B2D35" w:rsidP="00B82144">
            <w:pPr>
              <w:pStyle w:val="TableHead"/>
            </w:pPr>
            <w:r w:rsidRPr="0003648D">
              <w:t>Unit</w:t>
            </w:r>
          </w:p>
        </w:tc>
        <w:tc>
          <w:tcPr>
            <w:tcW w:w="3474" w:type="pct"/>
          </w:tcPr>
          <w:p w14:paraId="397C6F31" w14:textId="77777777" w:rsidR="008B2D35" w:rsidRPr="0003648D" w:rsidRDefault="008B2D35" w:rsidP="00B82144">
            <w:pPr>
              <w:pStyle w:val="TableHead"/>
            </w:pPr>
            <w:r w:rsidRPr="0003648D">
              <w:t>Description</w:t>
            </w:r>
          </w:p>
        </w:tc>
      </w:tr>
      <w:tr w:rsidR="008B2D35" w:rsidRPr="0003648D" w14:paraId="5FD316B4" w14:textId="77777777" w:rsidTr="00B82144">
        <w:tc>
          <w:tcPr>
            <w:tcW w:w="1191" w:type="pct"/>
          </w:tcPr>
          <w:p w14:paraId="42A69668" w14:textId="77777777" w:rsidR="008B2D35" w:rsidRPr="0003648D" w:rsidRDefault="008B2D35" w:rsidP="00B82144">
            <w:pPr>
              <w:pStyle w:val="TableBody"/>
            </w:pPr>
            <w:r w:rsidRPr="0003648D">
              <w:rPr>
                <w:lang w:val="pt-BR"/>
              </w:rPr>
              <w:t>NETART</w:t>
            </w:r>
            <w:r>
              <w:rPr>
                <w:lang w:val="pt-BR"/>
              </w:rPr>
              <w:t>EC</w:t>
            </w:r>
            <w:r w:rsidRPr="0003648D">
              <w:rPr>
                <w:lang w:val="pt-BR"/>
              </w:rPr>
              <w:t xml:space="preserve">RAMT </w:t>
            </w:r>
            <w:r w:rsidRPr="0003648D">
              <w:rPr>
                <w:i/>
                <w:vertAlign w:val="subscript"/>
              </w:rPr>
              <w:t>q</w:t>
            </w:r>
          </w:p>
        </w:tc>
        <w:tc>
          <w:tcPr>
            <w:tcW w:w="335" w:type="pct"/>
          </w:tcPr>
          <w:p w14:paraId="0BE4DF3D" w14:textId="77777777" w:rsidR="008B2D35" w:rsidRPr="0003648D" w:rsidRDefault="008B2D35" w:rsidP="00B82144">
            <w:pPr>
              <w:pStyle w:val="TableBody"/>
            </w:pPr>
            <w:r w:rsidRPr="0003648D">
              <w:t>$</w:t>
            </w:r>
          </w:p>
        </w:tc>
        <w:tc>
          <w:tcPr>
            <w:tcW w:w="3474" w:type="pct"/>
          </w:tcPr>
          <w:p w14:paraId="6654D743" w14:textId="77777777" w:rsidR="008B2D35" w:rsidRPr="0003648D" w:rsidRDefault="008B2D35" w:rsidP="00B82144">
            <w:pPr>
              <w:pStyle w:val="TableBody"/>
            </w:pPr>
            <w:r w:rsidRPr="0003648D">
              <w:rPr>
                <w:i/>
              </w:rPr>
              <w:t xml:space="preserve">Real-Time </w:t>
            </w:r>
            <w:r>
              <w:rPr>
                <w:i/>
              </w:rPr>
              <w:t>ERCOT Contingency Reserve Service</w:t>
            </w:r>
            <w:r w:rsidRPr="0003648D">
              <w:rPr>
                <w:i/>
              </w:rPr>
              <w:t xml:space="preserve"> Amount per QSE</w:t>
            </w:r>
            <w:r w:rsidRPr="0003648D">
              <w:t xml:space="preserve">—The net adjustment to QSE </w:t>
            </w:r>
            <w:r w:rsidRPr="0003648D">
              <w:rPr>
                <w:i/>
              </w:rPr>
              <w:t>q</w:t>
            </w:r>
            <w:r w:rsidRPr="0003648D">
              <w:t xml:space="preserve">’s share of the costs for assigned </w:t>
            </w:r>
            <w:r>
              <w:t>ECRS</w:t>
            </w:r>
            <w:r w:rsidRPr="0003648D">
              <w:t>, for the hour.</w:t>
            </w:r>
          </w:p>
        </w:tc>
      </w:tr>
      <w:tr w:rsidR="008B2D35" w:rsidRPr="0003648D" w14:paraId="2E4A4F1E" w14:textId="77777777" w:rsidTr="00B82144">
        <w:tc>
          <w:tcPr>
            <w:tcW w:w="1191" w:type="pct"/>
          </w:tcPr>
          <w:p w14:paraId="401AF0C6" w14:textId="77777777" w:rsidR="008B2D35" w:rsidRPr="0003648D" w:rsidRDefault="008B2D35" w:rsidP="00B82144">
            <w:pPr>
              <w:pStyle w:val="TableBody"/>
            </w:pPr>
            <w:r>
              <w:t>EC</w:t>
            </w:r>
            <w:r w:rsidRPr="0003648D">
              <w:t xml:space="preserve">RCOST </w:t>
            </w:r>
            <w:r w:rsidRPr="0003648D">
              <w:rPr>
                <w:i/>
                <w:vertAlign w:val="subscript"/>
              </w:rPr>
              <w:t>q</w:t>
            </w:r>
          </w:p>
        </w:tc>
        <w:tc>
          <w:tcPr>
            <w:tcW w:w="335" w:type="pct"/>
          </w:tcPr>
          <w:p w14:paraId="6493BFA8" w14:textId="77777777" w:rsidR="008B2D35" w:rsidRPr="0003648D" w:rsidRDefault="008B2D35" w:rsidP="00B82144">
            <w:pPr>
              <w:pStyle w:val="TableBody"/>
            </w:pPr>
            <w:r w:rsidRPr="0003648D">
              <w:t>$</w:t>
            </w:r>
          </w:p>
        </w:tc>
        <w:tc>
          <w:tcPr>
            <w:tcW w:w="3474" w:type="pct"/>
          </w:tcPr>
          <w:p w14:paraId="132C872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for the hour.</w:t>
            </w:r>
          </w:p>
        </w:tc>
      </w:tr>
      <w:tr w:rsidR="008B2D35" w:rsidRPr="0003648D" w14:paraId="63FECCBE" w14:textId="77777777" w:rsidTr="00B82144">
        <w:tc>
          <w:tcPr>
            <w:tcW w:w="1191" w:type="pct"/>
            <w:tcBorders>
              <w:top w:val="single" w:sz="4" w:space="0" w:color="auto"/>
              <w:left w:val="single" w:sz="4" w:space="0" w:color="auto"/>
              <w:bottom w:val="single" w:sz="4" w:space="0" w:color="auto"/>
              <w:right w:val="single" w:sz="4" w:space="0" w:color="auto"/>
            </w:tcBorders>
          </w:tcPr>
          <w:p w14:paraId="73CA0B36" w14:textId="77777777" w:rsidR="008B2D35" w:rsidRPr="0003648D" w:rsidRDefault="008B2D35" w:rsidP="00B82144">
            <w:pPr>
              <w:pStyle w:val="TableBody"/>
            </w:pPr>
            <w:r w:rsidRPr="0003648D">
              <w:rPr>
                <w:lang w:val="pt-BR"/>
              </w:rPr>
              <w:t>A</w:t>
            </w:r>
            <w:r>
              <w:rPr>
                <w:lang w:val="pt-BR"/>
              </w:rPr>
              <w:t>EC</w:t>
            </w:r>
            <w:r w:rsidRPr="0003648D">
              <w:rPr>
                <w:lang w:val="pt-BR"/>
              </w:rPr>
              <w:t xml:space="preserve">RCOST </w:t>
            </w:r>
            <w:r w:rsidRPr="0003648D">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91D043D"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5938681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xml:space="preserve"> that includes costs of assigned Ancillary Service during a Watch, for the hour.</w:t>
            </w:r>
          </w:p>
        </w:tc>
      </w:tr>
      <w:tr w:rsidR="008B2D35" w:rsidRPr="0003648D" w14:paraId="119AFF6F" w14:textId="77777777" w:rsidTr="00B82144">
        <w:tc>
          <w:tcPr>
            <w:tcW w:w="1191" w:type="pct"/>
            <w:tcBorders>
              <w:top w:val="single" w:sz="4" w:space="0" w:color="auto"/>
              <w:left w:val="single" w:sz="4" w:space="0" w:color="auto"/>
              <w:bottom w:val="single" w:sz="4" w:space="0" w:color="auto"/>
              <w:right w:val="single" w:sz="4" w:space="0" w:color="auto"/>
            </w:tcBorders>
          </w:tcPr>
          <w:p w14:paraId="4101754E" w14:textId="77777777" w:rsidR="008B2D35" w:rsidRPr="0003648D" w:rsidRDefault="008B2D35" w:rsidP="00B82144">
            <w:pPr>
              <w:pStyle w:val="TableBody"/>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6FFE1AD5"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025853FF" w14:textId="77777777" w:rsidR="008B2D35" w:rsidRPr="0003648D" w:rsidRDefault="008B2D35" w:rsidP="00B82144">
            <w:pPr>
              <w:pStyle w:val="TableBody"/>
            </w:pPr>
            <w:r w:rsidRPr="0003648D">
              <w:t>A QSE.</w:t>
            </w:r>
          </w:p>
        </w:tc>
      </w:tr>
      <w:bookmarkEnd w:id="2821"/>
    </w:tbl>
    <w:p w14:paraId="0005217C" w14:textId="77777777" w:rsidR="000E1BF8" w:rsidRPr="000E1BF8" w:rsidRDefault="000E1BF8" w:rsidP="000E1BF8">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D206D13" w14:textId="77777777" w:rsidTr="001138B9">
        <w:trPr>
          <w:trHeight w:val="206"/>
        </w:trPr>
        <w:tc>
          <w:tcPr>
            <w:tcW w:w="9350" w:type="dxa"/>
            <w:shd w:val="pct12" w:color="auto" w:fill="auto"/>
          </w:tcPr>
          <w:p w14:paraId="78B399CE" w14:textId="5B173E63" w:rsidR="000E1BF8" w:rsidRPr="00B06583" w:rsidRDefault="000E1BF8" w:rsidP="005952D5">
            <w:pPr>
              <w:pStyle w:val="Instructions"/>
              <w:spacing w:before="120"/>
            </w:pPr>
            <w:r>
              <w:t>[NPRR1010:  Delete Section 6.7.7 above upon system implementation of the Real-Time Co-Optimization (RTC) project</w:t>
            </w:r>
            <w:r w:rsidR="00221A13">
              <w:t>.</w:t>
            </w:r>
            <w:r>
              <w:t>]</w:t>
            </w:r>
          </w:p>
        </w:tc>
      </w:tr>
    </w:tbl>
    <w:p w14:paraId="06C4D075" w14:textId="33C26CB9" w:rsidR="00162CAA" w:rsidRPr="00162CAA" w:rsidRDefault="00162CAA" w:rsidP="0095782B">
      <w:pPr>
        <w:pStyle w:val="H2"/>
        <w:spacing w:before="480"/>
        <w:ind w:left="907" w:hanging="907"/>
        <w:rPr>
          <w:snapToGrid w:val="0"/>
        </w:rPr>
      </w:pPr>
      <w:bookmarkStart w:id="2822" w:name="_Toc189044505"/>
      <w:r w:rsidRPr="00162CAA">
        <w:rPr>
          <w:bCs/>
          <w:snapToGrid w:val="0"/>
        </w:rPr>
        <w:t>6.8</w:t>
      </w:r>
      <w:r w:rsidR="003D3379">
        <w:rPr>
          <w:bCs/>
          <w:snapToGrid w:val="0"/>
        </w:rPr>
        <w:tab/>
      </w:r>
      <w:r w:rsidRPr="00162CAA">
        <w:rPr>
          <w:snapToGrid w:val="0"/>
        </w:rPr>
        <w:t xml:space="preserve">Settlement for Operating Losses During an LCAP </w:t>
      </w:r>
      <w:r w:rsidRPr="00162CAA">
        <w:rPr>
          <w:bCs/>
          <w:snapToGrid w:val="0"/>
        </w:rPr>
        <w:t>Effective Period</w:t>
      </w:r>
      <w:bookmarkEnd w:id="282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2A84ECCB" w14:textId="77777777" w:rsidTr="00072829">
        <w:trPr>
          <w:trHeight w:val="206"/>
        </w:trPr>
        <w:tc>
          <w:tcPr>
            <w:tcW w:w="9350" w:type="dxa"/>
            <w:shd w:val="pct12" w:color="auto" w:fill="auto"/>
          </w:tcPr>
          <w:p w14:paraId="657D886F" w14:textId="66117527" w:rsidR="00072829" w:rsidRDefault="00072829" w:rsidP="00B327B6">
            <w:pPr>
              <w:pStyle w:val="Instructions"/>
              <w:spacing w:before="120"/>
            </w:pPr>
            <w:r>
              <w:t>[NPRR1216:  Replace</w:t>
            </w:r>
            <w:r w:rsidR="00566E39">
              <w:t xml:space="preserve"> the title for</w:t>
            </w:r>
            <w:r>
              <w:t xml:space="preserve"> Section 6.8 above with the following upon system implementation:]</w:t>
            </w:r>
          </w:p>
          <w:p w14:paraId="0B3BF577" w14:textId="77777777" w:rsidR="00072829" w:rsidRPr="00072829" w:rsidRDefault="00072829" w:rsidP="00072829">
            <w:pPr>
              <w:pStyle w:val="H2"/>
              <w:spacing w:before="480"/>
              <w:ind w:left="907" w:hanging="907"/>
              <w:rPr>
                <w:snapToGrid w:val="0"/>
              </w:rPr>
            </w:pPr>
            <w:bookmarkStart w:id="2823" w:name="_Toc189044506"/>
            <w:r w:rsidRPr="00072829">
              <w:rPr>
                <w:snapToGrid w:val="0"/>
              </w:rPr>
              <w:t xml:space="preserve">6.8       </w:t>
            </w:r>
            <w:r w:rsidRPr="00CF7EAF">
              <w:rPr>
                <w:snapToGrid w:val="0"/>
              </w:rPr>
              <w:t xml:space="preserve">Settlement for Operating Losses During an LCAP or ECAP </w:t>
            </w:r>
            <w:r w:rsidRPr="00072829">
              <w:rPr>
                <w:snapToGrid w:val="0"/>
              </w:rPr>
              <w:t>Effective Period</w:t>
            </w:r>
            <w:bookmarkEnd w:id="2823"/>
          </w:p>
          <w:p w14:paraId="1BE7E690" w14:textId="37106693" w:rsidR="00072829" w:rsidRPr="00A4149C" w:rsidRDefault="00072829" w:rsidP="00B327B6">
            <w:pPr>
              <w:pStyle w:val="TableBody"/>
            </w:pPr>
          </w:p>
        </w:tc>
      </w:tr>
    </w:tbl>
    <w:p w14:paraId="477DBA85" w14:textId="77777777" w:rsidR="00162CAA" w:rsidRPr="003D3379" w:rsidRDefault="00162CAA" w:rsidP="00E4313A">
      <w:pPr>
        <w:keepNext/>
        <w:tabs>
          <w:tab w:val="left" w:pos="1080"/>
        </w:tabs>
        <w:spacing w:before="240" w:after="240"/>
        <w:ind w:left="1080" w:hanging="1080"/>
        <w:outlineLvl w:val="2"/>
        <w:rPr>
          <w:b/>
          <w:bCs/>
          <w:i/>
          <w:iCs/>
          <w:snapToGrid w:val="0"/>
        </w:rPr>
      </w:pPr>
      <w:bookmarkStart w:id="2824" w:name="_Toc189044507"/>
      <w:r w:rsidRPr="003D3379">
        <w:rPr>
          <w:b/>
          <w:bCs/>
          <w:i/>
          <w:iCs/>
          <w:snapToGrid w:val="0"/>
        </w:rPr>
        <w:lastRenderedPageBreak/>
        <w:t>6.8.1</w:t>
      </w:r>
      <w:r w:rsidR="003D3379">
        <w:rPr>
          <w:b/>
          <w:bCs/>
          <w:i/>
          <w:iCs/>
          <w:snapToGrid w:val="0"/>
        </w:rPr>
        <w:tab/>
      </w:r>
      <w:r w:rsidRPr="003D3379">
        <w:rPr>
          <w:b/>
          <w:bCs/>
          <w:i/>
          <w:iCs/>
          <w:snapToGrid w:val="0"/>
        </w:rPr>
        <w:t xml:space="preserve">Determination of </w:t>
      </w:r>
      <w:r w:rsidRPr="003D3379">
        <w:rPr>
          <w:b/>
          <w:i/>
          <w:iCs/>
          <w:snapToGrid w:val="0"/>
        </w:rPr>
        <w:t xml:space="preserve">Operating Losses During an LCAP </w:t>
      </w:r>
      <w:r w:rsidRPr="003D3379">
        <w:rPr>
          <w:b/>
          <w:bCs/>
          <w:i/>
          <w:iCs/>
          <w:snapToGrid w:val="0"/>
        </w:rPr>
        <w:t>Effective Period</w:t>
      </w:r>
      <w:bookmarkEnd w:id="282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4F734EE0" w14:textId="77777777" w:rsidTr="00B327B6">
        <w:trPr>
          <w:trHeight w:val="206"/>
        </w:trPr>
        <w:tc>
          <w:tcPr>
            <w:tcW w:w="9350" w:type="dxa"/>
            <w:shd w:val="pct12" w:color="auto" w:fill="auto"/>
          </w:tcPr>
          <w:p w14:paraId="273F98BE" w14:textId="2DF3F71E" w:rsidR="00072829" w:rsidRDefault="00072829" w:rsidP="00B327B6">
            <w:pPr>
              <w:pStyle w:val="Instructions"/>
              <w:spacing w:before="120"/>
            </w:pPr>
            <w:r>
              <w:t xml:space="preserve">[NPRR1216:  Replace </w:t>
            </w:r>
            <w:r w:rsidR="00566E39">
              <w:t xml:space="preserve">the title for </w:t>
            </w:r>
            <w:r>
              <w:t>Section 6.8.1 above with the following upon system implementation:]</w:t>
            </w:r>
          </w:p>
          <w:p w14:paraId="46553F89" w14:textId="4EAF71F9" w:rsidR="00072829" w:rsidRPr="00072829" w:rsidRDefault="00072829" w:rsidP="00072829">
            <w:pPr>
              <w:keepNext/>
              <w:tabs>
                <w:tab w:val="left" w:pos="1080"/>
              </w:tabs>
              <w:spacing w:before="240" w:after="240"/>
              <w:ind w:left="1080" w:hanging="1080"/>
              <w:outlineLvl w:val="2"/>
              <w:rPr>
                <w:b/>
                <w:bCs/>
                <w:snapToGrid w:val="0"/>
              </w:rPr>
            </w:pPr>
            <w:bookmarkStart w:id="2825" w:name="_Hlk156377805"/>
            <w:bookmarkStart w:id="2826" w:name="_Toc189044508"/>
            <w:r w:rsidRPr="00072829">
              <w:rPr>
                <w:b/>
                <w:bCs/>
                <w:i/>
                <w:iCs/>
                <w:snapToGrid w:val="0"/>
              </w:rPr>
              <w:t>6.8.1    Determination of Operating Losses During an LCAP or ECAP Effective Period</w:t>
            </w:r>
            <w:bookmarkEnd w:id="2825"/>
            <w:bookmarkEnd w:id="2826"/>
          </w:p>
        </w:tc>
      </w:tr>
    </w:tbl>
    <w:p w14:paraId="3D696BFD" w14:textId="3CE483C6" w:rsidR="00162CAA" w:rsidRPr="00162CAA" w:rsidRDefault="00162CAA" w:rsidP="00D61479">
      <w:pPr>
        <w:spacing w:before="240" w:after="240"/>
        <w:ind w:left="720" w:hanging="720"/>
      </w:pPr>
      <w:r w:rsidRPr="00162CAA">
        <w:t>(1)</w:t>
      </w:r>
      <w:r w:rsidRPr="00162CAA">
        <w:tab/>
        <w:t>In order for a Qualified Scheduling Entity (QSE) that represents a Generation Resource or Energy Storage Resource (ESR) to recover actual marginal costs for operating losses during a Low System-Wide Offer Cap (LCAP) Effective Period, and incurred as calculated in Section 6.8.2, Recovery of Operating Losses During an LCAP Effective Period, the QSE shall timely submit a Settlement and billing dispute for each affected Operating Day, consistent with the dispute process described in Section 9.14, Settlement and Billing Dispute Process.</w:t>
      </w:r>
      <w:r w:rsidR="003D3379">
        <w:t xml:space="preserve">  </w:t>
      </w:r>
      <w:r w:rsidRPr="00162CAA">
        <w:t xml:space="preserve">The QSE shall also submit, through the Settlement and billing dispute process, and within 60 days of the issuance of a Real-Time Market (RTM) Initial Statement for an Operating Day, the following information: </w:t>
      </w:r>
      <w:r w:rsidRPr="00162CAA">
        <w:tab/>
      </w:r>
    </w:p>
    <w:p w14:paraId="1060A36D" w14:textId="77777777" w:rsidR="00162CAA" w:rsidRPr="00162CAA" w:rsidRDefault="00162CAA" w:rsidP="00162CAA">
      <w:pPr>
        <w:spacing w:after="240"/>
        <w:ind w:left="1440" w:hanging="720"/>
      </w:pPr>
      <w:r w:rsidRPr="00162CAA">
        <w:t>(a)</w:t>
      </w:r>
      <w:r w:rsidRPr="00162CAA">
        <w:tab/>
        <w:t>For a Generation Resource:</w:t>
      </w:r>
    </w:p>
    <w:p w14:paraId="666A5042" w14:textId="77777777" w:rsidR="00162CAA" w:rsidRPr="00162CAA" w:rsidRDefault="00162CAA" w:rsidP="00162CAA">
      <w:pPr>
        <w:spacing w:after="240"/>
        <w:ind w:left="2160" w:hanging="720"/>
      </w:pPr>
      <w:r w:rsidRPr="00162CAA">
        <w:t>(i)</w:t>
      </w:r>
      <w:r w:rsidRPr="00162CAA">
        <w:tab/>
        <w:t>All fuel purchases used to determine the weighted average fuel price included in the calculation of the actual marginal operating fuel cost component, for the Generation Resource, for the 15-minute Settlement Interval within the Operating Day.</w:t>
      </w:r>
    </w:p>
    <w:p w14:paraId="1795CEA5" w14:textId="77777777" w:rsidR="00162CAA" w:rsidRPr="00162CAA" w:rsidRDefault="00162CAA" w:rsidP="00162CAA">
      <w:pPr>
        <w:spacing w:after="240"/>
        <w:ind w:left="1440" w:hanging="720"/>
      </w:pPr>
      <w:r w:rsidRPr="00162CAA">
        <w:t>(b)</w:t>
      </w:r>
      <w:r w:rsidRPr="00162CAA">
        <w:tab/>
        <w:t>For an ESR:</w:t>
      </w:r>
    </w:p>
    <w:p w14:paraId="69253B2C" w14:textId="5D6B3D36" w:rsidR="00162CAA" w:rsidRPr="00162CAA" w:rsidRDefault="00162CAA" w:rsidP="00162CAA">
      <w:pPr>
        <w:spacing w:after="240"/>
        <w:ind w:left="2160" w:hanging="720"/>
      </w:pPr>
      <w:r w:rsidRPr="00162CAA">
        <w:t>(i)</w:t>
      </w:r>
      <w:r w:rsidRPr="00162CAA">
        <w:tab/>
        <w:t>The actual variable O&amp;M rate incurred during the LCAP Effective Period in lieu of the Standard Operations and Maintenance Cost (STOM) defined in Section 6.8.2; and</w:t>
      </w:r>
    </w:p>
    <w:p w14:paraId="545BFFC5" w14:textId="77777777" w:rsidR="00162CAA" w:rsidRPr="00162CAA" w:rsidRDefault="00162CAA" w:rsidP="00162CAA">
      <w:pPr>
        <w:spacing w:after="240"/>
        <w:ind w:left="2160" w:hanging="720"/>
      </w:pPr>
      <w:r w:rsidRPr="00162CAA">
        <w:t>(ii)</w:t>
      </w:r>
      <w:r w:rsidRPr="00162CAA">
        <w:tab/>
        <w:t>The average electricity cost incurred to charge the ESR for the amount of discharge during the LCAP Effective Period.</w:t>
      </w:r>
    </w:p>
    <w:p w14:paraId="686FFAE9" w14:textId="77777777" w:rsidR="00162CAA" w:rsidRPr="00162CAA" w:rsidRDefault="00162CAA" w:rsidP="00162CAA">
      <w:pPr>
        <w:spacing w:after="240"/>
        <w:ind w:left="1440" w:hanging="720"/>
      </w:pPr>
      <w:r w:rsidRPr="00162CAA">
        <w:t>(c)</w:t>
      </w:r>
      <w:r w:rsidRPr="00162CAA">
        <w:tab/>
        <w:t>An attestation signed by an officer or executive with authority to bind the QSE stating that the information contained in the Settlement and billing dispute is accurate and that fixed costs (fees, penalties, and similar non-gas costs) were not included in the calculation of the weighted average fuel price.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7718C894" w14:textId="77777777" w:rsidTr="00B327B6">
        <w:trPr>
          <w:trHeight w:val="206"/>
        </w:trPr>
        <w:tc>
          <w:tcPr>
            <w:tcW w:w="9350" w:type="dxa"/>
            <w:shd w:val="pct12" w:color="auto" w:fill="auto"/>
          </w:tcPr>
          <w:p w14:paraId="7E1122B7" w14:textId="31A81CE9" w:rsidR="00072829" w:rsidRDefault="00072829" w:rsidP="00B327B6">
            <w:pPr>
              <w:pStyle w:val="Instructions"/>
              <w:spacing w:before="120"/>
            </w:pPr>
            <w:bookmarkStart w:id="2827" w:name="_Hlk77686274"/>
            <w:r>
              <w:t>[NPRR1216:  Replace paragraph (1) above with the following upon system implementation:]</w:t>
            </w:r>
          </w:p>
          <w:p w14:paraId="69CA52CE" w14:textId="689DC8CD" w:rsidR="00072829" w:rsidRPr="00072829" w:rsidRDefault="00072829" w:rsidP="00072829">
            <w:pPr>
              <w:spacing w:after="240"/>
              <w:ind w:left="720" w:hanging="720"/>
            </w:pPr>
            <w:r w:rsidRPr="00072829">
              <w:t>(1)</w:t>
            </w:r>
            <w:r w:rsidRPr="00072829">
              <w:tab/>
              <w:t xml:space="preserve">In order for a Qualified Scheduling Entity (QSE) that represents a Generation Resource or Energy Storage Resource (ESR) to recover actual marginal costs for operating losses during a Low System-Wide Offer Cap (LCAP) or an Emergency Offer Cap (ECAP) Effective Period, and incurred as calculated in Section 6.8.2, Recovery of </w:t>
            </w:r>
            <w:r w:rsidRPr="00072829">
              <w:lastRenderedPageBreak/>
              <w:t xml:space="preserve">Operating Losses During an LCAP or ECAP Effective Period, the </w:t>
            </w:r>
            <w:bookmarkStart w:id="2828" w:name="_Hlk143503138"/>
            <w:r w:rsidRPr="00072829">
              <w:t xml:space="preserve">QSE shall timely submit a Settlement and billing dispute for each affected Operating Day, consistent with the dispute process described in Section 9.14, Settlement and Billing Dispute Process. </w:t>
            </w:r>
            <w:bookmarkEnd w:id="2828"/>
            <w:r w:rsidR="00C71C62">
              <w:t xml:space="preserve"> </w:t>
            </w:r>
            <w:r w:rsidRPr="00072829">
              <w:t>The QSE shall also submit, through the Settlement and billing dispute process, and within 60 days of the issuance of a Real-Time Market (RTM) Initial Statement for an Operating Day, the following information:</w:t>
            </w:r>
          </w:p>
          <w:p w14:paraId="11D79230" w14:textId="77777777" w:rsidR="00072829" w:rsidRPr="00072829" w:rsidRDefault="00072829" w:rsidP="00072829">
            <w:pPr>
              <w:spacing w:after="240"/>
              <w:ind w:left="1440" w:hanging="720"/>
            </w:pPr>
            <w:r w:rsidRPr="00072829">
              <w:t>(a)</w:t>
            </w:r>
            <w:r w:rsidRPr="00072829">
              <w:tab/>
              <w:t>For a Generation Resource:</w:t>
            </w:r>
          </w:p>
          <w:p w14:paraId="160FFDC0" w14:textId="77777777" w:rsidR="00072829" w:rsidRPr="00072829" w:rsidRDefault="00072829" w:rsidP="00072829">
            <w:pPr>
              <w:spacing w:after="240"/>
              <w:ind w:left="2160" w:hanging="720"/>
            </w:pPr>
            <w:r w:rsidRPr="00072829">
              <w:t>(i)</w:t>
            </w:r>
            <w:r w:rsidRPr="00072829">
              <w:tab/>
              <w:t>All fuel purchases used to determine the weighted average fuel price included in the calculation of the actual marginal operating fuel cost component, for the Generation Resource, for the 15-minute Settlement Interval within the Operating Day.</w:t>
            </w:r>
          </w:p>
          <w:p w14:paraId="7E867F12" w14:textId="08FF5D3A" w:rsidR="00072829" w:rsidRPr="00072829" w:rsidRDefault="00072829" w:rsidP="00072829">
            <w:pPr>
              <w:spacing w:after="240"/>
              <w:ind w:left="1440" w:hanging="720"/>
            </w:pPr>
            <w:r w:rsidRPr="00072829">
              <w:t>(b)</w:t>
            </w:r>
            <w:r w:rsidRPr="00072829">
              <w:tab/>
              <w:t>For an ESR</w:t>
            </w:r>
            <w:r>
              <w:t>,</w:t>
            </w:r>
            <w:r w:rsidRPr="00072829">
              <w:t xml:space="preserve"> the average electricity cost incurred to charge the ESR for the amount of discharge during the LCAP or ECAP Effective Period.</w:t>
            </w:r>
          </w:p>
          <w:p w14:paraId="08C5CAF5" w14:textId="77777777" w:rsidR="00072829" w:rsidRPr="00072829" w:rsidRDefault="00072829" w:rsidP="00072829">
            <w:pPr>
              <w:spacing w:after="240"/>
              <w:ind w:left="1440" w:hanging="720"/>
            </w:pPr>
            <w:r w:rsidRPr="00072829">
              <w:t>(c)</w:t>
            </w:r>
            <w:r w:rsidRPr="00072829">
              <w:tab/>
              <w:t>For Resources with approved Raw Verifiable Operations and Maintenance Cost Above LSL</w:t>
            </w:r>
            <w:r w:rsidRPr="00072829">
              <w:rPr>
                <w:i/>
                <w:iCs/>
                <w:sz w:val="20"/>
              </w:rPr>
              <w:t xml:space="preserve"> </w:t>
            </w:r>
            <w:r w:rsidRPr="00072829">
              <w:t>(ROM), the QSE may submit an Incremental Variable Operations and Maintenance Costs (IVC) rate for costs incurred during the LCAP or ECAP Effective Period that were not included in the currently approved ROM value, subject to verification and approval by ERCOT.</w:t>
            </w:r>
          </w:p>
          <w:p w14:paraId="2707BE65" w14:textId="41732DDD" w:rsidR="00072829" w:rsidRPr="00072829" w:rsidRDefault="00072829" w:rsidP="00072829">
            <w:pPr>
              <w:spacing w:after="240"/>
              <w:ind w:left="1440" w:hanging="720"/>
            </w:pPr>
            <w:r w:rsidRPr="00072829">
              <w:t>(d)</w:t>
            </w:r>
            <w:r w:rsidRPr="00072829">
              <w:tab/>
              <w:t>For Resources that do not have approved ROM, the QSE may submit an IVC rate for costs incurred during the LCAP or ECAP Effective Period in lieu of the Standard Operations and Maintenance Cost (STOM), defined in Section 6.8.2, Recovery of Operating Losses During an LCAP or ECAP Effective Period, subject to verification and approval by ERCOT.</w:t>
            </w:r>
          </w:p>
          <w:p w14:paraId="726DBDD7" w14:textId="07A8F7FC" w:rsidR="00072829" w:rsidRPr="00072829" w:rsidRDefault="00072829" w:rsidP="00072829">
            <w:pPr>
              <w:spacing w:after="240"/>
              <w:ind w:left="1440" w:hanging="720"/>
            </w:pPr>
            <w:r w:rsidRPr="00072829">
              <w:t>(e)</w:t>
            </w:r>
            <w:r w:rsidRPr="00072829">
              <w:tab/>
              <w:t>An attestation signed by an officer or executive with authority to bind the QSE stating that the information contained in the Settlement and billing dispute is accurate and that fixed costs (e.g., fees, penalties, and similar non-gas costs) were not included in the calculation of the weighted average fuel price.  If the marginal fuel cost exceeds the HCAP, the attestation must also include the following provision:  “All marginal fuel costs included in this submission are solely related to the provision of fuel or services directly related to the provision of the purchased fuel.”</w:t>
            </w:r>
          </w:p>
        </w:tc>
      </w:tr>
    </w:tbl>
    <w:p w14:paraId="2AF9AE63" w14:textId="1E0C2CD9" w:rsidR="00162CAA" w:rsidRPr="00162CAA" w:rsidRDefault="00162CAA" w:rsidP="00D61479">
      <w:pPr>
        <w:spacing w:before="240" w:after="240"/>
        <w:ind w:left="720" w:hanging="720"/>
      </w:pPr>
      <w:r w:rsidRPr="00162CAA">
        <w:lastRenderedPageBreak/>
        <w:t>(2)</w:t>
      </w:r>
      <w:r w:rsidRPr="00162CAA">
        <w:tab/>
        <w:t>The calculation of operating losses under Section 6.8.2 applies only when the Real-Time Settlement Point Price for the Resource is equal to or exceeds the LCAP or when the Resource’s Energy Offer Curve is at the LCAP and the Resource receives a Dispatch Instruction or a Base Point above its Low Sustained Limit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59B1F5C2" w14:textId="77777777" w:rsidTr="00764A29">
        <w:trPr>
          <w:trHeight w:val="206"/>
        </w:trPr>
        <w:tc>
          <w:tcPr>
            <w:tcW w:w="9350" w:type="dxa"/>
            <w:shd w:val="pct12" w:color="auto" w:fill="auto"/>
          </w:tcPr>
          <w:bookmarkEnd w:id="2827"/>
          <w:p w14:paraId="3ED19BBB" w14:textId="384CD7ED" w:rsidR="00764A29" w:rsidRDefault="00764A29" w:rsidP="00B327B6">
            <w:pPr>
              <w:pStyle w:val="Instructions"/>
              <w:spacing w:before="120"/>
            </w:pPr>
            <w:r>
              <w:lastRenderedPageBreak/>
              <w:t>[NPRR1216:  Replace paragraph (2) above with the following upon system implementation:]</w:t>
            </w:r>
          </w:p>
          <w:p w14:paraId="16B7ABF7" w14:textId="77777777" w:rsidR="00764A29" w:rsidRPr="00CF7EAF" w:rsidRDefault="00764A29" w:rsidP="00764A29">
            <w:pPr>
              <w:spacing w:after="240"/>
              <w:ind w:left="720" w:hanging="720"/>
            </w:pPr>
            <w:r w:rsidRPr="00CF7EAF">
              <w:t>(2)</w:t>
            </w:r>
            <w:r w:rsidRPr="00CF7EAF">
              <w:tab/>
              <w:t>The calculation of operating losses under Section 6.8.2 applies:</w:t>
            </w:r>
          </w:p>
          <w:p w14:paraId="1F4CE0B3" w14:textId="6507FC2D" w:rsidR="00764A29" w:rsidRPr="00CF7EAF" w:rsidRDefault="00764A29" w:rsidP="00764A29">
            <w:pPr>
              <w:spacing w:after="240"/>
              <w:ind w:left="1440" w:hanging="720"/>
            </w:pPr>
            <w:r w:rsidRPr="00CF7EAF">
              <w:t>(a)</w:t>
            </w:r>
            <w:r w:rsidRPr="00CF7EAF">
              <w:tab/>
              <w:t>When the Real-Time Settlement Point Price for the Resource is equal to or exceeds the LCAP or ECAP; and</w:t>
            </w:r>
          </w:p>
          <w:p w14:paraId="1F8558F2" w14:textId="37D1930B" w:rsidR="00764A29" w:rsidRPr="00072829" w:rsidRDefault="00764A29" w:rsidP="00764A29">
            <w:pPr>
              <w:spacing w:after="240"/>
              <w:ind w:left="1440" w:hanging="720"/>
            </w:pPr>
            <w:r w:rsidRPr="00CF7EAF">
              <w:t>(b)</w:t>
            </w:r>
            <w:r w:rsidRPr="00CF7EAF">
              <w:tab/>
              <w:t>When the Resource’s Energy Offer Curve is at the LCAP or ECAP and the Resource receives a Dispatch Instruction or a Base Point above its Low Sustained Limit (LSL).</w:t>
            </w:r>
          </w:p>
        </w:tc>
      </w:tr>
    </w:tbl>
    <w:p w14:paraId="3CE97F00" w14:textId="77777777" w:rsidR="00764A29" w:rsidRDefault="00764A29"/>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rsidRPr="00CF7EAF" w14:paraId="61846093" w14:textId="77777777" w:rsidTr="00764A29">
        <w:trPr>
          <w:trHeight w:val="386"/>
        </w:trPr>
        <w:tc>
          <w:tcPr>
            <w:tcW w:w="9350" w:type="dxa"/>
            <w:shd w:val="pct12" w:color="auto" w:fill="auto"/>
          </w:tcPr>
          <w:p w14:paraId="0EBA3D29" w14:textId="77777777" w:rsidR="00764A29" w:rsidRPr="00CF7EAF" w:rsidRDefault="00764A29" w:rsidP="00B327B6">
            <w:pPr>
              <w:spacing w:before="120" w:after="240"/>
              <w:rPr>
                <w:b/>
                <w:i/>
                <w:iCs/>
              </w:rPr>
            </w:pPr>
            <w:r w:rsidRPr="00CF7EAF">
              <w:rPr>
                <w:b/>
                <w:i/>
                <w:iCs/>
              </w:rPr>
              <w:t>[NPRR1216:  Replace paragraph (2) above with the following upon system implementation of the Real-Time Co-Optimization (RTC) project:]</w:t>
            </w:r>
          </w:p>
          <w:p w14:paraId="19C90F76" w14:textId="77777777" w:rsidR="00764A29" w:rsidRPr="00CF7EAF" w:rsidRDefault="00764A29" w:rsidP="00B327B6">
            <w:pPr>
              <w:spacing w:after="240"/>
              <w:ind w:left="720" w:hanging="720"/>
              <w:rPr>
                <w:color w:val="000000"/>
              </w:rPr>
            </w:pPr>
            <w:r w:rsidRPr="00CF7EAF">
              <w:t>(2)</w:t>
            </w:r>
            <w:r w:rsidRPr="00CF7EAF">
              <w:tab/>
            </w:r>
            <w:r w:rsidRPr="00CF7EAF">
              <w:rPr>
                <w:color w:val="000000"/>
              </w:rPr>
              <w:t>The calculation of operating losses under Section 6.8.2 applies:</w:t>
            </w:r>
          </w:p>
          <w:p w14:paraId="5162D2DF" w14:textId="1717F9B7" w:rsidR="00764A29" w:rsidRPr="00CF7EAF" w:rsidRDefault="00764A29" w:rsidP="00B327B6">
            <w:pPr>
              <w:spacing w:after="240"/>
              <w:ind w:left="1440" w:hanging="720"/>
            </w:pPr>
            <w:r w:rsidRPr="00CF7EAF">
              <w:t>(a)</w:t>
            </w:r>
            <w:r w:rsidRPr="00CF7EAF">
              <w:tab/>
              <w:t xml:space="preserve">When the Real-Time Settlement Point Price for the Resource is equal to or exceeds the LCAP or ECAP; and </w:t>
            </w:r>
          </w:p>
          <w:p w14:paraId="574086E8" w14:textId="2E267059" w:rsidR="00764A29" w:rsidRPr="00CF7EAF" w:rsidRDefault="00764A29" w:rsidP="00B327B6">
            <w:pPr>
              <w:spacing w:after="240"/>
              <w:ind w:left="1440" w:hanging="720"/>
              <w:rPr>
                <w:color w:val="000000"/>
              </w:rPr>
            </w:pPr>
            <w:r w:rsidRPr="00CF7EAF">
              <w:t>(b)</w:t>
            </w:r>
            <w:r w:rsidRPr="00CF7EAF">
              <w:tab/>
              <w:t>When the Resource’s Energy Offer Curve or Energy Bid/Offer Curve is at the LCAP or ECAP and the Resource receives a Dispatch Instruction or a Base Point above its Low Sustained Limit (LSL).</w:t>
            </w:r>
          </w:p>
        </w:tc>
      </w:tr>
    </w:tbl>
    <w:p w14:paraId="47A3DB77" w14:textId="3B0F7A6D" w:rsidR="00162CAA" w:rsidRPr="00162CAA" w:rsidRDefault="00162CAA" w:rsidP="00D61479">
      <w:pPr>
        <w:spacing w:before="240" w:after="240"/>
        <w:ind w:left="720" w:hanging="720"/>
      </w:pPr>
      <w:r w:rsidRPr="00162CAA">
        <w:t>(3)</w:t>
      </w:r>
      <w:r w:rsidRPr="00162CAA">
        <w:tab/>
        <w:t xml:space="preserve">Fuel prices may include all </w:t>
      </w:r>
      <w:bookmarkStart w:id="2829" w:name="_Hlk77692128"/>
      <w:r w:rsidRPr="00162CAA">
        <w:t xml:space="preserve">variable </w:t>
      </w:r>
      <w:bookmarkEnd w:id="2829"/>
      <w:r w:rsidRPr="00162CAA">
        <w:t xml:space="preserve">costs associated with the purchase, transportation, and storage of fuel. </w:t>
      </w:r>
    </w:p>
    <w:p w14:paraId="7427335A" w14:textId="77777777" w:rsidR="00162CAA" w:rsidRPr="00162CAA" w:rsidRDefault="00162CAA" w:rsidP="00162CAA">
      <w:pPr>
        <w:spacing w:after="240"/>
        <w:ind w:left="720" w:hanging="720"/>
      </w:pPr>
      <w:r w:rsidRPr="00162CAA">
        <w:t>(4)</w:t>
      </w:r>
      <w:r w:rsidRPr="00162CAA">
        <w:tab/>
        <w:t xml:space="preserve">ERCOT will consider the documentation provided by the QSE in order to determine the weighted average fuel price for a Generation Resource or the average fuel cost for an ESR during an LCAP Effective Period.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708A2FB" w14:textId="77777777" w:rsidTr="00B327B6">
        <w:trPr>
          <w:trHeight w:val="206"/>
        </w:trPr>
        <w:tc>
          <w:tcPr>
            <w:tcW w:w="9350" w:type="dxa"/>
            <w:shd w:val="pct12" w:color="auto" w:fill="auto"/>
          </w:tcPr>
          <w:p w14:paraId="0238E560" w14:textId="6A446D73" w:rsidR="00764A29" w:rsidRDefault="00764A29" w:rsidP="00B327B6">
            <w:pPr>
              <w:pStyle w:val="Instructions"/>
              <w:spacing w:before="120"/>
            </w:pPr>
            <w:r>
              <w:t>[NPRR1216:  Replace paragraph (4) above with the following upon system implementation:]</w:t>
            </w:r>
          </w:p>
          <w:p w14:paraId="3A10869A" w14:textId="3AA34C2B" w:rsidR="00764A29" w:rsidRPr="00072829" w:rsidRDefault="00764A29" w:rsidP="00764A29">
            <w:pPr>
              <w:spacing w:after="240"/>
              <w:ind w:left="720" w:hanging="720"/>
            </w:pPr>
            <w:r w:rsidRPr="00CF7EAF">
              <w:t>(4)</w:t>
            </w:r>
            <w:r w:rsidRPr="00CF7EAF">
              <w:tab/>
              <w:t>ERCOT will consider the documentation provided by the QSE in order to determine the weighted average fuel price for a Generation Resource or the average electricity cost to charge for an ESR during an LCAP or ECAP Effective Period.</w:t>
            </w:r>
          </w:p>
        </w:tc>
      </w:tr>
    </w:tbl>
    <w:p w14:paraId="3546A4B8" w14:textId="77777777" w:rsidR="00764A29" w:rsidRPr="00162CAA" w:rsidRDefault="00162CAA" w:rsidP="00764A29">
      <w:pPr>
        <w:spacing w:before="240" w:after="240"/>
        <w:ind w:left="720" w:hanging="720"/>
      </w:pPr>
      <w:r w:rsidRPr="00162CAA">
        <w:t>(5)</w:t>
      </w:r>
      <w:r w:rsidRPr="00162CAA">
        <w:tab/>
        <w:t xml:space="preserve">For purposes of determining operating losses during an LCAP Effective Period, ERCOT may request additional information, documentation, or clarification from the QSE.  A QSE shall respond to any such request within ten Business Days.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C18F6C5" w14:textId="77777777" w:rsidTr="00B327B6">
        <w:trPr>
          <w:trHeight w:val="206"/>
        </w:trPr>
        <w:tc>
          <w:tcPr>
            <w:tcW w:w="9350" w:type="dxa"/>
            <w:shd w:val="pct12" w:color="auto" w:fill="auto"/>
          </w:tcPr>
          <w:p w14:paraId="7229F61D" w14:textId="3D2745E6" w:rsidR="00764A29" w:rsidRDefault="00764A29" w:rsidP="00B327B6">
            <w:pPr>
              <w:pStyle w:val="Instructions"/>
              <w:spacing w:before="120"/>
            </w:pPr>
            <w:r>
              <w:lastRenderedPageBreak/>
              <w:t>[NPRR1216:  Replace paragraph (5) above with the following upon system implementation:]</w:t>
            </w:r>
          </w:p>
          <w:p w14:paraId="066DD3CA" w14:textId="321EED68" w:rsidR="00764A29" w:rsidRPr="00CF7EAF" w:rsidRDefault="00764A29" w:rsidP="00764A29">
            <w:pPr>
              <w:spacing w:after="240"/>
              <w:ind w:left="720" w:hanging="720"/>
            </w:pPr>
            <w:r w:rsidRPr="00CF7EAF">
              <w:t>(5)</w:t>
            </w:r>
            <w:r w:rsidRPr="00CF7EAF">
              <w:tab/>
              <w:t xml:space="preserve">For purposes of determining operating losses during an LCAP or ECAP Effective Period, ERCOT may request additional information, documentation, or clarification from the QSE.  In addition, if the </w:t>
            </w:r>
            <w:r w:rsidR="00305151">
              <w:t xml:space="preserve">marginal fuel cost </w:t>
            </w:r>
            <w:r w:rsidRPr="00CF7EAF">
              <w:t xml:space="preserve">exceeds the HCAP, ERCOT may require copies of relevant fuel purchase contracts.  A QSE shall respond to any such request within ten Business Days.  Failure to provide such information to ERCOT shall result in denial of the fuel reimbursement request.  </w:t>
            </w:r>
          </w:p>
          <w:p w14:paraId="3E62A494" w14:textId="77777777" w:rsidR="00764A29" w:rsidRPr="00CF7EAF" w:rsidRDefault="00764A29" w:rsidP="00764A29">
            <w:pPr>
              <w:spacing w:after="240"/>
              <w:ind w:left="720" w:hanging="720"/>
            </w:pPr>
            <w:r w:rsidRPr="00CF7EAF">
              <w:t>(6)</w:t>
            </w:r>
            <w:r w:rsidRPr="00CF7EAF">
              <w:tab/>
              <w:t>At ERCOT’s sole discretion, submission and follow-up information deadlines may be extended on a case-by-case basis.</w:t>
            </w:r>
          </w:p>
          <w:p w14:paraId="6950A472" w14:textId="77777777" w:rsidR="00764A29" w:rsidRPr="00CF7EAF" w:rsidRDefault="00764A29" w:rsidP="00764A29">
            <w:pPr>
              <w:spacing w:after="240"/>
              <w:ind w:left="720" w:hanging="720"/>
            </w:pPr>
            <w:bookmarkStart w:id="2830" w:name="_Hlk145407965"/>
            <w:r w:rsidRPr="00CF7EAF">
              <w:t>(7)</w:t>
            </w:r>
            <w:r w:rsidRPr="00CF7EAF">
              <w:tab/>
              <w:t xml:space="preserve">Notwithstanding paragraphs (1) through (5) above: </w:t>
            </w:r>
          </w:p>
          <w:bookmarkEnd w:id="2830"/>
          <w:p w14:paraId="55C18BB8" w14:textId="77777777" w:rsidR="00764A29" w:rsidRPr="00CF7EAF" w:rsidRDefault="00764A29" w:rsidP="00764A29">
            <w:pPr>
              <w:spacing w:after="240"/>
              <w:ind w:left="1440" w:hanging="720"/>
            </w:pPr>
            <w:r w:rsidRPr="00CF7EAF">
              <w:t>(a)</w:t>
            </w:r>
            <w:r w:rsidRPr="00CF7EAF">
              <w:tab/>
              <w:t xml:space="preserve">A QSE representing a Generation Resource cannot submit a dispute to recover the incremental fuel costs incurred under both Section 9.14.7, Disputes for RUC Make-Whole Payment for Fuel Costs, and </w:t>
            </w:r>
            <w:bookmarkStart w:id="2831" w:name="_Hlk156387237"/>
            <w:r w:rsidRPr="00CF7EAF">
              <w:t>Section 6.8.1, Determination of Operating Losses During an LCAP or ECAP Effective Period</w:t>
            </w:r>
            <w:bookmarkEnd w:id="2831"/>
            <w:r w:rsidRPr="00CF7EAF">
              <w:t xml:space="preserve">; and </w:t>
            </w:r>
          </w:p>
          <w:p w14:paraId="4ED3BD7B" w14:textId="6A81D581" w:rsidR="00764A29" w:rsidRPr="00072829" w:rsidRDefault="00764A29" w:rsidP="00764A29">
            <w:pPr>
              <w:spacing w:after="240"/>
              <w:ind w:left="1440" w:hanging="720"/>
            </w:pPr>
            <w:r w:rsidRPr="00CF7EAF">
              <w:t>(b)</w:t>
            </w:r>
            <w:r w:rsidRPr="00CF7EAF">
              <w:tab/>
              <w:t>A QSE representing a Switchable Generation Resource that ERCOT directs to switch to the ERCOT Control Area cannot submit a dispute to recover the same incremental fuel and operations costs under both Section 6.6.12.1, Switchable Generation Make-Whole Payment, and Section 6.8.1, Determination of Operating Losses During an LCAP or ECAP Effective Period.</w:t>
            </w:r>
          </w:p>
        </w:tc>
      </w:tr>
    </w:tbl>
    <w:p w14:paraId="11906CB8" w14:textId="52F8EC2F" w:rsidR="00162CAA" w:rsidRPr="003D3379" w:rsidRDefault="00162CAA" w:rsidP="00764A29">
      <w:pPr>
        <w:spacing w:before="480" w:after="240"/>
        <w:ind w:left="720" w:hanging="720"/>
        <w:rPr>
          <w:i/>
          <w:iCs/>
          <w:snapToGrid w:val="0"/>
        </w:rPr>
      </w:pPr>
      <w:r w:rsidRPr="00162CAA">
        <w:t xml:space="preserve"> </w:t>
      </w:r>
      <w:bookmarkStart w:id="2832" w:name="_Toc60038352"/>
      <w:r w:rsidRPr="003D3379">
        <w:rPr>
          <w:b/>
          <w:bCs/>
          <w:i/>
          <w:iCs/>
          <w:snapToGrid w:val="0"/>
        </w:rPr>
        <w:t>6.8.2</w:t>
      </w:r>
      <w:bookmarkEnd w:id="2832"/>
      <w:r w:rsidR="003D3379">
        <w:rPr>
          <w:b/>
          <w:bCs/>
          <w:i/>
          <w:iCs/>
          <w:snapToGrid w:val="0"/>
        </w:rPr>
        <w:tab/>
      </w:r>
      <w:r w:rsidRPr="003D3379">
        <w:rPr>
          <w:b/>
          <w:i/>
          <w:iCs/>
          <w:snapToGrid w:val="0"/>
        </w:rPr>
        <w:t>Recovery of Operating Losses During an LCAP Effective Period</w:t>
      </w:r>
    </w:p>
    <w:p w14:paraId="6CA794D3" w14:textId="77777777" w:rsidR="00162CAA" w:rsidRPr="00162CAA" w:rsidRDefault="00162CAA" w:rsidP="00162CAA">
      <w:pPr>
        <w:spacing w:after="240"/>
        <w:ind w:left="720" w:hanging="720"/>
      </w:pPr>
      <w:r w:rsidRPr="00162CAA">
        <w:t>(1)</w:t>
      </w:r>
      <w:r w:rsidRPr="00162CAA">
        <w:tab/>
        <w:t>ERCOT shall calculate the recovery of operating losses during an LCAP Effective Period with the actual marginal costs that exceed LCAP revenues in accordance with this Section.</w:t>
      </w:r>
    </w:p>
    <w:p w14:paraId="74055584" w14:textId="77777777" w:rsidR="00162CAA" w:rsidRPr="00162CAA" w:rsidRDefault="00162CAA" w:rsidP="00162CAA">
      <w:pPr>
        <w:spacing w:after="240"/>
        <w:ind w:left="720" w:hanging="720"/>
      </w:pPr>
      <w:r w:rsidRPr="00162CAA">
        <w:t>(2)</w:t>
      </w:r>
      <w:r w:rsidRPr="00162CAA">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0BAE9454" w14:textId="77777777" w:rsidR="00162CAA" w:rsidRPr="00162CAA" w:rsidRDefault="00162CAA" w:rsidP="00162CAA">
      <w:pPr>
        <w:spacing w:before="240" w:after="240"/>
        <w:ind w:left="720" w:hanging="720"/>
        <w:rPr>
          <w:szCs w:val="24"/>
        </w:rPr>
      </w:pPr>
      <w:r w:rsidRPr="00162CAA">
        <w:rPr>
          <w:szCs w:val="24"/>
        </w:rPr>
        <w:t xml:space="preserve">(3)       Payment for operating losses during an LCAP Effective Period is calculated as follows:  </w:t>
      </w:r>
    </w:p>
    <w:p w14:paraId="437D193B" w14:textId="77777777" w:rsidR="00162CAA" w:rsidRPr="003D3379" w:rsidRDefault="00162CAA" w:rsidP="00162CAA">
      <w:pPr>
        <w:spacing w:before="240" w:after="240"/>
        <w:ind w:left="2160" w:hanging="1440"/>
        <w:rPr>
          <w:b/>
          <w:bCs/>
          <w:i/>
          <w:szCs w:val="24"/>
          <w:vertAlign w:val="subscript"/>
        </w:rPr>
      </w:pPr>
      <w:r w:rsidRPr="003D3379">
        <w:rPr>
          <w:b/>
          <w:bCs/>
          <w:szCs w:val="24"/>
        </w:rPr>
        <w:t xml:space="preserve">OPLPAMT </w:t>
      </w:r>
      <w:r w:rsidRPr="003D3379">
        <w:rPr>
          <w:b/>
          <w:bCs/>
          <w:i/>
          <w:szCs w:val="24"/>
          <w:vertAlign w:val="subscript"/>
        </w:rPr>
        <w:t>q, r, i</w:t>
      </w:r>
      <w:r w:rsidRPr="003D3379">
        <w:rPr>
          <w:b/>
          <w:bCs/>
          <w:szCs w:val="24"/>
        </w:rPr>
        <w:t xml:space="preserve">  =  (-1) * (OPL</w:t>
      </w:r>
      <w:r w:rsidRPr="003D3379">
        <w:rPr>
          <w:b/>
          <w:bCs/>
          <w:i/>
          <w:szCs w:val="24"/>
          <w:vertAlign w:val="subscript"/>
        </w:rPr>
        <w:t xml:space="preserve"> q, r, i</w:t>
      </w:r>
      <w:r w:rsidRPr="003D3379">
        <w:rPr>
          <w:b/>
          <w:bCs/>
          <w:szCs w:val="24"/>
        </w:rPr>
        <w:t xml:space="preserve"> + ADJOPL</w:t>
      </w:r>
      <w:r w:rsidRPr="003D3379">
        <w:rPr>
          <w:b/>
          <w:bCs/>
          <w:i/>
          <w:szCs w:val="24"/>
          <w:vertAlign w:val="subscript"/>
        </w:rPr>
        <w:t xml:space="preserve"> q, r, i</w:t>
      </w:r>
      <w:r w:rsidRPr="003D3379">
        <w:rPr>
          <w:b/>
          <w:bCs/>
          <w:szCs w:val="24"/>
        </w:rPr>
        <w:t>)</w:t>
      </w:r>
    </w:p>
    <w:p w14:paraId="313DC78C" w14:textId="77777777" w:rsidR="00162CAA" w:rsidRPr="00162CAA" w:rsidRDefault="00162CAA" w:rsidP="00162CAA">
      <w:pPr>
        <w:spacing w:after="240"/>
        <w:ind w:left="720"/>
        <w:rPr>
          <w:szCs w:val="24"/>
        </w:rPr>
      </w:pPr>
      <w:r w:rsidRPr="00162CAA">
        <w:rPr>
          <w:szCs w:val="24"/>
        </w:rPr>
        <w:t>Where,</w:t>
      </w:r>
    </w:p>
    <w:p w14:paraId="2A1D1AE8" w14:textId="77777777" w:rsidR="00162CAA" w:rsidRPr="00162CAA" w:rsidRDefault="00162CAA" w:rsidP="00162CAA">
      <w:pPr>
        <w:spacing w:after="240"/>
        <w:ind w:left="1440" w:hanging="720"/>
        <w:rPr>
          <w:iCs/>
          <w:szCs w:val="24"/>
        </w:rPr>
      </w:pPr>
      <w:r w:rsidRPr="00162CAA">
        <w:rPr>
          <w:iCs/>
          <w:szCs w:val="24"/>
        </w:rPr>
        <w:t>For the Generation Resource:</w:t>
      </w:r>
    </w:p>
    <w:p w14:paraId="399DEFFA" w14:textId="5C1CE22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lastRenderedPageBreak/>
        <w:t>OPL</w:t>
      </w:r>
      <w:r w:rsidRPr="00162CAA">
        <w:rPr>
          <w:i/>
          <w:szCs w:val="24"/>
          <w:vertAlign w:val="subscript"/>
        </w:rPr>
        <w:t xml:space="preserve"> </w:t>
      </w:r>
      <w:r w:rsidRPr="00162CAA">
        <w:rPr>
          <w:bCs/>
          <w:i/>
          <w:szCs w:val="24"/>
          <w:vertAlign w:val="subscript"/>
        </w:rPr>
        <w:t>q, r,</w:t>
      </w:r>
      <w:r w:rsidR="00786744">
        <w:rPr>
          <w:bCs/>
          <w:i/>
          <w:szCs w:val="24"/>
          <w:vertAlign w:val="subscript"/>
        </w:rPr>
        <w:t xml:space="preserve"> </w:t>
      </w:r>
      <w:r w:rsidRPr="00162CAA">
        <w:rPr>
          <w:bCs/>
          <w:i/>
          <w:szCs w:val="24"/>
          <w:vertAlign w:val="subscript"/>
        </w:rPr>
        <w:t xml:space="preserve">i           </w:t>
      </w:r>
      <w:r w:rsidRPr="00162CAA">
        <w:rPr>
          <w:bCs/>
          <w:szCs w:val="24"/>
        </w:rPr>
        <w:t xml:space="preserve">  = </w:t>
      </w:r>
      <w:r w:rsidRPr="00162CAA">
        <w:rPr>
          <w:bCs/>
          <w:szCs w:val="24"/>
        </w:rPr>
        <w:tab/>
        <w:t xml:space="preserve">Max(0, (AMC </w:t>
      </w:r>
      <w:r w:rsidRPr="00162CAA">
        <w:rPr>
          <w:bCs/>
          <w:i/>
          <w:szCs w:val="24"/>
          <w:vertAlign w:val="subscript"/>
        </w:rPr>
        <w:t>q, r, i</w:t>
      </w:r>
      <w:r w:rsidRPr="00162CAA">
        <w:rPr>
          <w:bCs/>
          <w:szCs w:val="24"/>
        </w:rPr>
        <w:t xml:space="preserve"> - Max(LCAP, RTSPP</w:t>
      </w:r>
      <w:r w:rsidRPr="00162CAA">
        <w:rPr>
          <w:szCs w:val="24"/>
        </w:rPr>
        <w:t xml:space="preserve"> </w:t>
      </w:r>
      <w:r w:rsidRPr="00162CAA">
        <w:rPr>
          <w:i/>
          <w:szCs w:val="24"/>
          <w:vertAlign w:val="subscript"/>
        </w:rPr>
        <w:t>p, i</w:t>
      </w:r>
      <w:r w:rsidRPr="00162CAA">
        <w:rPr>
          <w:bCs/>
          <w:szCs w:val="24"/>
        </w:rPr>
        <w:t>)) *</w:t>
      </w:r>
      <w:r w:rsidRPr="00162CAA">
        <w:rPr>
          <w:szCs w:val="24"/>
        </w:rPr>
        <w:t xml:space="preserve"> Min(</w:t>
      </w:r>
      <w:r w:rsidRPr="00162CAA">
        <w:rPr>
          <w:bCs/>
          <w:szCs w:val="24"/>
        </w:rPr>
        <w:t xml:space="preserve">RTMG </w:t>
      </w:r>
      <w:r w:rsidRPr="00162CAA">
        <w:rPr>
          <w:bCs/>
          <w:i/>
          <w:szCs w:val="24"/>
          <w:vertAlign w:val="subscript"/>
        </w:rPr>
        <w:t>q, r, i</w:t>
      </w:r>
      <w:r w:rsidRPr="00162CAA">
        <w:rPr>
          <w:szCs w:val="24"/>
        </w:rPr>
        <w:t>, MEP</w:t>
      </w:r>
      <w:r w:rsidRPr="00162CAA">
        <w:rPr>
          <w:bCs/>
          <w:i/>
          <w:szCs w:val="24"/>
          <w:vertAlign w:val="subscript"/>
        </w:rPr>
        <w:t xml:space="preserve"> q, r, i</w:t>
      </w:r>
      <w:r w:rsidRPr="00162CAA">
        <w:rPr>
          <w:bCs/>
          <w:szCs w:val="24"/>
        </w:rPr>
        <w:t xml:space="preserve">))  </w:t>
      </w:r>
    </w:p>
    <w:p w14:paraId="7B0C1E69" w14:textId="77777777" w:rsidR="00162CAA" w:rsidRPr="00162CAA" w:rsidRDefault="00162CAA" w:rsidP="00162CAA">
      <w:pPr>
        <w:spacing w:after="240"/>
        <w:ind w:firstLine="720"/>
        <w:rPr>
          <w:iCs/>
          <w:szCs w:val="24"/>
        </w:rPr>
      </w:pPr>
      <w:r w:rsidRPr="00162CAA">
        <w:rPr>
          <w:iCs/>
          <w:szCs w:val="24"/>
        </w:rPr>
        <w:t>If ERCOT approved verifiable costs for the Generation Resource:</w:t>
      </w:r>
    </w:p>
    <w:p w14:paraId="1AF7A51F"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          AMC </w:t>
      </w:r>
      <w:r w:rsidRPr="00162CAA">
        <w:rPr>
          <w:bCs/>
          <w:i/>
          <w:szCs w:val="24"/>
          <w:vertAlign w:val="subscript"/>
        </w:rPr>
        <w:t>q, r, i</w:t>
      </w:r>
      <w:r w:rsidRPr="00162CAA">
        <w:rPr>
          <w:bCs/>
          <w:iCs/>
          <w:szCs w:val="24"/>
        </w:rPr>
        <w:t xml:space="preserve">    =        AHR </w:t>
      </w:r>
      <w:r w:rsidRPr="00162CAA">
        <w:rPr>
          <w:bCs/>
          <w:i/>
          <w:szCs w:val="24"/>
          <w:vertAlign w:val="subscript"/>
        </w:rPr>
        <w:t>q, r, i</w:t>
      </w:r>
      <w:r w:rsidRPr="00162CAA">
        <w:rPr>
          <w:bCs/>
          <w:iCs/>
          <w:szCs w:val="24"/>
        </w:rPr>
        <w:t xml:space="preserve"> * WAFP </w:t>
      </w:r>
      <w:r w:rsidRPr="00162CAA">
        <w:rPr>
          <w:bCs/>
          <w:i/>
          <w:szCs w:val="24"/>
          <w:vertAlign w:val="subscript"/>
        </w:rPr>
        <w:t>q, r, i</w:t>
      </w:r>
      <w:r w:rsidRPr="00162CAA">
        <w:rPr>
          <w:bCs/>
          <w:iCs/>
          <w:szCs w:val="24"/>
        </w:rPr>
        <w:t xml:space="preserve">  + ROM </w:t>
      </w:r>
      <w:r w:rsidRPr="00162CAA">
        <w:rPr>
          <w:bCs/>
          <w:i/>
          <w:szCs w:val="24"/>
          <w:vertAlign w:val="subscript"/>
        </w:rPr>
        <w:t>q, r</w:t>
      </w:r>
      <w:r w:rsidRPr="00162CAA">
        <w:rPr>
          <w:bCs/>
          <w:iCs/>
          <w:szCs w:val="24"/>
        </w:rPr>
        <w:t xml:space="preserve">   </w:t>
      </w:r>
    </w:p>
    <w:p w14:paraId="29865D38" w14:textId="77777777" w:rsidR="00162CAA" w:rsidRPr="00162CAA" w:rsidRDefault="00162CAA" w:rsidP="00162CAA">
      <w:pPr>
        <w:tabs>
          <w:tab w:val="left" w:pos="2340"/>
          <w:tab w:val="left" w:pos="3420"/>
        </w:tabs>
        <w:spacing w:after="240"/>
        <w:ind w:left="720"/>
        <w:rPr>
          <w:bCs/>
          <w:iCs/>
          <w:szCs w:val="24"/>
        </w:rPr>
      </w:pPr>
      <w:r w:rsidRPr="00162CAA">
        <w:rPr>
          <w:szCs w:val="24"/>
        </w:rPr>
        <w:t xml:space="preserve">          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AHR </w:t>
      </w:r>
      <w:r w:rsidRPr="00162CAA">
        <w:rPr>
          <w:bCs/>
          <w:i/>
          <w:szCs w:val="24"/>
          <w:vertAlign w:val="subscript"/>
          <w:lang w:val="es-ES"/>
        </w:rPr>
        <w:t xml:space="preserve">q, r, i </w:t>
      </w:r>
    </w:p>
    <w:p w14:paraId="22B307B6"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Otherwise, </w:t>
      </w:r>
    </w:p>
    <w:p w14:paraId="493B86D7" w14:textId="77777777" w:rsidR="00162CAA" w:rsidRPr="00162CAA" w:rsidRDefault="00162CAA" w:rsidP="00162CAA">
      <w:pPr>
        <w:tabs>
          <w:tab w:val="decimal" w:pos="1440"/>
          <w:tab w:val="left" w:pos="2340"/>
        </w:tabs>
        <w:spacing w:after="240"/>
        <w:ind w:left="3420" w:hanging="1980"/>
        <w:rPr>
          <w:bCs/>
          <w:szCs w:val="24"/>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 xml:space="preserve"> P</w:t>
      </w:r>
      <w:r w:rsidRPr="00162CAA">
        <w:rPr>
          <w:bCs/>
          <w:szCs w:val="24"/>
          <w:lang w:val="pt-BR"/>
        </w:rPr>
        <w:t xml:space="preserve">AHR </w:t>
      </w:r>
      <w:r w:rsidRPr="00162CAA">
        <w:rPr>
          <w:bCs/>
          <w:i/>
          <w:szCs w:val="24"/>
          <w:vertAlign w:val="subscript"/>
          <w:lang w:val="es-ES"/>
        </w:rPr>
        <w:t>q, r, i</w:t>
      </w:r>
      <w:r w:rsidRPr="00162CAA">
        <w:rPr>
          <w:bCs/>
          <w:szCs w:val="24"/>
          <w:lang w:val="es-ES"/>
        </w:rPr>
        <w:t xml:space="preserve"> </w:t>
      </w:r>
      <w:r w:rsidRPr="00162CAA">
        <w:rPr>
          <w:bCs/>
          <w:szCs w:val="24"/>
        </w:rPr>
        <w:t xml:space="preserve">* </w:t>
      </w:r>
      <w:r w:rsidRPr="00162CAA">
        <w:rPr>
          <w:szCs w:val="24"/>
        </w:rPr>
        <w:t>WAFP</w:t>
      </w:r>
      <w:r w:rsidRPr="00162CAA">
        <w:rPr>
          <w:i/>
          <w:szCs w:val="24"/>
        </w:rPr>
        <w:t xml:space="preserve"> </w:t>
      </w:r>
      <w:r w:rsidRPr="00162CAA">
        <w:rPr>
          <w:bCs/>
          <w:i/>
          <w:szCs w:val="24"/>
          <w:vertAlign w:val="subscript"/>
          <w:lang w:val="es-ES"/>
        </w:rPr>
        <w:t xml:space="preserve">q, r, i </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0BB0C904" w14:textId="77777777" w:rsidR="00162CAA" w:rsidRPr="00162CAA" w:rsidRDefault="00162CAA" w:rsidP="00162CAA">
      <w:pPr>
        <w:tabs>
          <w:tab w:val="decimal" w:pos="1440"/>
          <w:tab w:val="left" w:pos="2340"/>
        </w:tabs>
        <w:spacing w:after="240"/>
        <w:ind w:left="3420" w:hanging="1980"/>
        <w:rPr>
          <w:bCs/>
          <w:szCs w:val="24"/>
        </w:rPr>
      </w:pPr>
      <w:r w:rsidRPr="00162CAA">
        <w:rPr>
          <w:szCs w:val="24"/>
        </w:rPr>
        <w:t>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PAHR </w:t>
      </w:r>
      <w:r w:rsidRPr="00162CAA">
        <w:rPr>
          <w:bCs/>
          <w:i/>
          <w:szCs w:val="24"/>
          <w:vertAlign w:val="subscript"/>
          <w:lang w:val="es-ES"/>
        </w:rPr>
        <w:t xml:space="preserve">q, r, i </w:t>
      </w:r>
    </w:p>
    <w:p w14:paraId="181C48F1" w14:textId="77777777" w:rsidR="00162CAA" w:rsidRPr="00162CAA" w:rsidRDefault="00162CAA" w:rsidP="00162CAA">
      <w:pPr>
        <w:tabs>
          <w:tab w:val="left" w:pos="2340"/>
          <w:tab w:val="left" w:pos="3420"/>
        </w:tabs>
        <w:spacing w:after="240"/>
        <w:ind w:left="720"/>
        <w:rPr>
          <w:bCs/>
          <w:iCs/>
          <w:szCs w:val="24"/>
        </w:rPr>
      </w:pPr>
      <w:r w:rsidRPr="00162CAA">
        <w:rPr>
          <w:bCs/>
          <w:iCs/>
          <w:szCs w:val="24"/>
        </w:rPr>
        <w:t>For ESRs:</w:t>
      </w:r>
    </w:p>
    <w:p w14:paraId="1026F8A8" w14:textId="3E3F3DBE" w:rsidR="00162CAA" w:rsidRPr="00162CAA" w:rsidRDefault="00162CAA" w:rsidP="00162CAA">
      <w:pPr>
        <w:tabs>
          <w:tab w:val="left" w:pos="2340"/>
        </w:tabs>
        <w:spacing w:after="240"/>
        <w:ind w:left="3420" w:hanging="1980"/>
        <w:rPr>
          <w:bCs/>
          <w:i/>
          <w:szCs w:val="24"/>
          <w:vertAlign w:val="subscript"/>
        </w:rPr>
      </w:pPr>
      <w:r w:rsidRPr="00162CAA">
        <w:rPr>
          <w:bCs/>
          <w:szCs w:val="24"/>
        </w:rPr>
        <w:t xml:space="preserve">OPL </w:t>
      </w:r>
      <w:r w:rsidRPr="00162CAA">
        <w:rPr>
          <w:bCs/>
          <w:i/>
          <w:szCs w:val="24"/>
          <w:vertAlign w:val="subscript"/>
        </w:rPr>
        <w:t xml:space="preserve">q, r, i </w:t>
      </w:r>
      <w:r w:rsidRPr="00162CAA">
        <w:rPr>
          <w:bCs/>
          <w:szCs w:val="24"/>
        </w:rPr>
        <w:t xml:space="preserve">        = </w:t>
      </w:r>
      <w:r w:rsidRPr="00162CAA">
        <w:rPr>
          <w:bCs/>
          <w:szCs w:val="24"/>
        </w:rPr>
        <w:tab/>
        <w:t xml:space="preserve">Max(0, (AMC </w:t>
      </w:r>
      <w:r w:rsidRPr="00162CAA">
        <w:rPr>
          <w:bCs/>
          <w:i/>
          <w:szCs w:val="24"/>
          <w:vertAlign w:val="subscript"/>
        </w:rPr>
        <w:t xml:space="preserve">q, r, i </w:t>
      </w:r>
      <w:r w:rsidRPr="00162CAA">
        <w:rPr>
          <w:bCs/>
          <w:szCs w:val="24"/>
        </w:rPr>
        <w:t>- Max(LCAP, RTSPP</w:t>
      </w:r>
      <w:r w:rsidRPr="00162CAA">
        <w:rPr>
          <w:i/>
          <w:szCs w:val="24"/>
          <w:vertAlign w:val="subscript"/>
        </w:rPr>
        <w:t xml:space="preserve"> p, i</w:t>
      </w:r>
      <w:r w:rsidRPr="00162CAA">
        <w:rPr>
          <w:bCs/>
          <w:szCs w:val="24"/>
        </w:rPr>
        <w:t xml:space="preserve">)) * RTMG </w:t>
      </w:r>
      <w:r w:rsidRPr="00162CAA">
        <w:rPr>
          <w:bCs/>
          <w:i/>
          <w:szCs w:val="24"/>
          <w:vertAlign w:val="subscript"/>
        </w:rPr>
        <w:t>q, r, i</w:t>
      </w:r>
      <w:r w:rsidRPr="00162CAA">
        <w:rPr>
          <w:bCs/>
          <w:szCs w:val="24"/>
        </w:rPr>
        <w:t>)</w:t>
      </w:r>
    </w:p>
    <w:p w14:paraId="421DF3DD" w14:textId="77777777" w:rsidR="00162CAA" w:rsidRPr="00162CAA" w:rsidRDefault="00162CAA" w:rsidP="00162CAA">
      <w:pPr>
        <w:tabs>
          <w:tab w:val="left" w:pos="2340"/>
          <w:tab w:val="left" w:pos="3420"/>
        </w:tabs>
        <w:spacing w:after="240"/>
        <w:ind w:left="720"/>
        <w:rPr>
          <w:bCs/>
          <w:iCs/>
          <w:szCs w:val="24"/>
        </w:rPr>
      </w:pPr>
      <w:r w:rsidRPr="00162CAA">
        <w:rPr>
          <w:bCs/>
          <w:iCs/>
          <w:szCs w:val="24"/>
        </w:rPr>
        <w:t>Where,</w:t>
      </w:r>
    </w:p>
    <w:p w14:paraId="12212CEB"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A</w:t>
      </w:r>
      <w:r w:rsidRPr="00162CAA">
        <w:rPr>
          <w:szCs w:val="24"/>
        </w:rPr>
        <w:t>FC</w:t>
      </w:r>
      <w:r w:rsidRPr="00162CAA">
        <w:rPr>
          <w:bCs/>
          <w:i/>
          <w:szCs w:val="24"/>
          <w:vertAlign w:val="subscript"/>
          <w:lang w:val="es-ES"/>
        </w:rPr>
        <w:t xml:space="preserve"> q, r, i</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1DC4FFBA"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5"/>
        <w:gridCol w:w="1135"/>
        <w:gridCol w:w="6330"/>
      </w:tblGrid>
      <w:tr w:rsidR="00162CAA" w:rsidRPr="00162CAA" w14:paraId="5F2D635D" w14:textId="77777777" w:rsidTr="00890B99">
        <w:trPr>
          <w:cantSplit/>
          <w:trHeight w:val="359"/>
          <w:tblHeader/>
        </w:trPr>
        <w:tc>
          <w:tcPr>
            <w:tcW w:w="1008" w:type="pct"/>
            <w:tcBorders>
              <w:top w:val="single" w:sz="4" w:space="0" w:color="auto"/>
              <w:left w:val="single" w:sz="4" w:space="0" w:color="auto"/>
              <w:bottom w:val="single" w:sz="6" w:space="0" w:color="auto"/>
              <w:right w:val="single" w:sz="6" w:space="0" w:color="auto"/>
            </w:tcBorders>
            <w:hideMark/>
          </w:tcPr>
          <w:p w14:paraId="29933992" w14:textId="77777777" w:rsidR="00162CAA" w:rsidRPr="00162CAA" w:rsidRDefault="00162CAA" w:rsidP="00162CAA">
            <w:pPr>
              <w:spacing w:after="240"/>
              <w:rPr>
                <w:b/>
                <w:iCs/>
                <w:sz w:val="20"/>
                <w:szCs w:val="24"/>
              </w:rPr>
            </w:pPr>
            <w:r w:rsidRPr="00162CAA">
              <w:rPr>
                <w:b/>
                <w:iCs/>
                <w:sz w:val="20"/>
                <w:szCs w:val="24"/>
              </w:rPr>
              <w:t>Variable</w:t>
            </w:r>
          </w:p>
        </w:tc>
        <w:tc>
          <w:tcPr>
            <w:tcW w:w="607" w:type="pct"/>
            <w:tcBorders>
              <w:top w:val="single" w:sz="4" w:space="0" w:color="auto"/>
              <w:left w:val="single" w:sz="6" w:space="0" w:color="auto"/>
              <w:bottom w:val="single" w:sz="6" w:space="0" w:color="auto"/>
              <w:right w:val="single" w:sz="6" w:space="0" w:color="auto"/>
            </w:tcBorders>
            <w:hideMark/>
          </w:tcPr>
          <w:p w14:paraId="101455F5" w14:textId="77777777" w:rsidR="00162CAA" w:rsidRPr="00162CAA" w:rsidRDefault="00162CAA" w:rsidP="00162CAA">
            <w:pPr>
              <w:spacing w:after="240"/>
              <w:jc w:val="center"/>
              <w:rPr>
                <w:b/>
                <w:iCs/>
                <w:sz w:val="20"/>
                <w:szCs w:val="24"/>
              </w:rPr>
            </w:pPr>
            <w:r w:rsidRPr="00162CAA">
              <w:rPr>
                <w:b/>
                <w:iCs/>
                <w:sz w:val="20"/>
                <w:szCs w:val="24"/>
              </w:rPr>
              <w:t>Unit</w:t>
            </w:r>
          </w:p>
        </w:tc>
        <w:tc>
          <w:tcPr>
            <w:tcW w:w="3385" w:type="pct"/>
            <w:tcBorders>
              <w:top w:val="single" w:sz="4" w:space="0" w:color="auto"/>
              <w:left w:val="single" w:sz="6" w:space="0" w:color="auto"/>
              <w:bottom w:val="single" w:sz="6" w:space="0" w:color="auto"/>
              <w:right w:val="single" w:sz="4" w:space="0" w:color="auto"/>
            </w:tcBorders>
            <w:hideMark/>
          </w:tcPr>
          <w:p w14:paraId="77324927"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6DE41FB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B49CCE9"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b/>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0946F697" w14:textId="77777777" w:rsidR="00162CAA" w:rsidRPr="00162CAA" w:rsidRDefault="00162CAA" w:rsidP="00162CAA">
            <w:pPr>
              <w:spacing w:after="60"/>
              <w:rPr>
                <w:iCs/>
                <w:sz w:val="20"/>
                <w:szCs w:val="24"/>
              </w:rPr>
            </w:pPr>
            <w:r w:rsidRPr="00162CAA">
              <w:rPr>
                <w:iCs/>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26EC0B9" w14:textId="77777777" w:rsidR="00162CAA" w:rsidRPr="00162CAA" w:rsidRDefault="00162CAA" w:rsidP="00162CAA">
            <w:pPr>
              <w:spacing w:after="60"/>
              <w:rPr>
                <w:iCs/>
                <w:sz w:val="20"/>
                <w:szCs w:val="24"/>
              </w:rPr>
            </w:pPr>
            <w:r w:rsidRPr="00162CAA">
              <w:rPr>
                <w:i/>
                <w:iCs/>
                <w:sz w:val="20"/>
                <w:szCs w:val="24"/>
              </w:rPr>
              <w:t>Operating Losses Payment Amount –</w:t>
            </w:r>
            <w:r w:rsidRPr="00162CAA">
              <w:rPr>
                <w:iCs/>
                <w:sz w:val="20"/>
                <w:szCs w:val="24"/>
              </w:rPr>
              <w:t xml:space="preserve"> The operating losses payment to the QSE </w:t>
            </w:r>
            <w:r w:rsidRPr="00162CAA">
              <w:rPr>
                <w:i/>
                <w:iCs/>
                <w:sz w:val="20"/>
                <w:szCs w:val="24"/>
              </w:rPr>
              <w:t>q,</w:t>
            </w:r>
            <w:r w:rsidRPr="00162CAA">
              <w:rPr>
                <w:iCs/>
                <w:sz w:val="20"/>
                <w:szCs w:val="24"/>
              </w:rPr>
              <w:t xml:space="preserve"> for Resource </w:t>
            </w:r>
            <w:r w:rsidRPr="00162CAA">
              <w:rPr>
                <w:i/>
                <w:iCs/>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3EB6A42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3A1BD9F" w14:textId="77777777" w:rsidR="00162CAA" w:rsidRPr="00162CAA" w:rsidRDefault="00162CAA" w:rsidP="00162CAA">
            <w:pPr>
              <w:spacing w:after="60"/>
              <w:rPr>
                <w:sz w:val="20"/>
                <w:szCs w:val="24"/>
              </w:rPr>
            </w:pPr>
            <w:r w:rsidRPr="00162CAA">
              <w:rPr>
                <w:sz w:val="20"/>
                <w:szCs w:val="24"/>
              </w:rPr>
              <w:t>OPL</w:t>
            </w:r>
            <w:r w:rsidRPr="00162CAA">
              <w:rPr>
                <w:szCs w:val="24"/>
              </w:rPr>
              <w:t xml:space="preserve"> </w:t>
            </w:r>
            <w:r w:rsidRPr="00162CAA">
              <w:rPr>
                <w:i/>
                <w:iCs/>
                <w:sz w:val="20"/>
                <w:szCs w:val="24"/>
                <w:vertAlign w:val="subscript"/>
              </w:rPr>
              <w:t>q, r, i</w:t>
            </w:r>
            <w:r w:rsidRPr="00162CAA">
              <w:rPr>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4EF45D32" w14:textId="77777777" w:rsidR="00162CAA" w:rsidRPr="00162CAA" w:rsidRDefault="00162CAA" w:rsidP="00162CAA">
            <w:pPr>
              <w:spacing w:after="60"/>
              <w:rPr>
                <w:sz w:val="20"/>
                <w:szCs w:val="24"/>
              </w:rPr>
            </w:pPr>
            <w:r w:rsidRPr="00162CAA">
              <w:rPr>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FA8183D" w14:textId="77777777" w:rsidR="00162CAA" w:rsidRPr="00162CAA" w:rsidRDefault="00162CAA" w:rsidP="00162CAA">
            <w:pPr>
              <w:spacing w:after="60"/>
              <w:rPr>
                <w:i/>
                <w:iCs/>
                <w:sz w:val="20"/>
                <w:szCs w:val="24"/>
              </w:rPr>
            </w:pPr>
            <w:r w:rsidRPr="00162CAA">
              <w:rPr>
                <w:i/>
                <w:iCs/>
                <w:sz w:val="20"/>
                <w:szCs w:val="24"/>
              </w:rPr>
              <w:t>Operating Losses</w:t>
            </w:r>
            <w:r w:rsidRPr="00162CAA">
              <w:rPr>
                <w:szCs w:val="24"/>
              </w:rPr>
              <w:t xml:space="preserve"> – </w:t>
            </w:r>
            <w:r w:rsidRPr="00162CAA">
              <w:rPr>
                <w:iCs/>
                <w:sz w:val="20"/>
                <w:szCs w:val="24"/>
              </w:rPr>
              <w:t xml:space="preserve">The operating losses for Resource </w:t>
            </w:r>
            <w:r w:rsidRPr="00162CAA">
              <w:rPr>
                <w:i/>
                <w:iCs/>
                <w:sz w:val="20"/>
                <w:szCs w:val="24"/>
              </w:rPr>
              <w:t>r</w:t>
            </w:r>
            <w:r w:rsidRPr="00162CAA">
              <w:rPr>
                <w:iCs/>
                <w:sz w:val="20"/>
                <w:szCs w:val="24"/>
              </w:rPr>
              <w:t xml:space="preserve">, represented by QSE </w:t>
            </w:r>
            <w:r w:rsidRPr="00162CAA">
              <w:rPr>
                <w:i/>
                <w:iCs/>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6D338AB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7FC4CE73" w14:textId="77777777" w:rsidR="00162CAA" w:rsidRPr="00162CAA" w:rsidRDefault="00162CAA" w:rsidP="00162CAA">
            <w:pPr>
              <w:spacing w:after="60"/>
              <w:rPr>
                <w:sz w:val="20"/>
                <w:szCs w:val="24"/>
              </w:rPr>
            </w:pPr>
            <w:r w:rsidRPr="00162CAA">
              <w:rPr>
                <w:sz w:val="20"/>
                <w:szCs w:val="24"/>
              </w:rPr>
              <w:t xml:space="preserve">ADJOPL </w:t>
            </w:r>
            <w:r w:rsidRPr="00162CAA">
              <w:rPr>
                <w:i/>
                <w:sz w:val="20"/>
                <w:szCs w:val="24"/>
                <w:vertAlign w:val="subscript"/>
              </w:rPr>
              <w:t>q, r, i</w:t>
            </w:r>
            <w:r w:rsidRPr="00162CAA">
              <w:rPr>
                <w:b/>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3C3100E6" w14:textId="77777777" w:rsidR="00162CAA" w:rsidRPr="00162CAA" w:rsidRDefault="00162CAA" w:rsidP="00162CAA">
            <w:pPr>
              <w:spacing w:after="60"/>
              <w:rPr>
                <w:sz w:val="20"/>
                <w:szCs w:val="24"/>
              </w:rPr>
            </w:pPr>
            <w:r w:rsidRPr="00162CAA">
              <w:rPr>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3EFC396B" w14:textId="77777777" w:rsidR="00162CAA" w:rsidRPr="00162CAA" w:rsidRDefault="00162CAA" w:rsidP="00162CAA">
            <w:pPr>
              <w:spacing w:after="60"/>
              <w:rPr>
                <w:i/>
                <w:sz w:val="20"/>
                <w:szCs w:val="24"/>
              </w:rPr>
            </w:pPr>
            <w:r w:rsidRPr="00162CAA">
              <w:rPr>
                <w:i/>
                <w:iCs/>
                <w:sz w:val="20"/>
                <w:szCs w:val="24"/>
              </w:rPr>
              <w:t>Operating Losses</w:t>
            </w:r>
            <w:r w:rsidRPr="00162CAA">
              <w:rPr>
                <w:szCs w:val="24"/>
              </w:rPr>
              <w:t xml:space="preserve"> </w:t>
            </w:r>
            <w:r w:rsidRPr="00162CAA">
              <w:rPr>
                <w:i/>
                <w:iCs/>
                <w:sz w:val="20"/>
                <w:szCs w:val="24"/>
              </w:rPr>
              <w:t>Adjustment</w:t>
            </w:r>
            <w:r w:rsidRPr="00162CAA">
              <w:rPr>
                <w:szCs w:val="24"/>
              </w:rPr>
              <w:t xml:space="preserve"> – </w:t>
            </w:r>
            <w:r w:rsidRPr="00162CAA">
              <w:rPr>
                <w:iCs/>
                <w:sz w:val="20"/>
                <w:szCs w:val="24"/>
              </w:rPr>
              <w:t xml:space="preserve">The adjustment to the operating losses for Resource </w:t>
            </w:r>
            <w:r w:rsidRPr="00162CAA">
              <w:rPr>
                <w:i/>
                <w:iCs/>
                <w:sz w:val="20"/>
                <w:szCs w:val="24"/>
              </w:rPr>
              <w:t>r</w:t>
            </w:r>
            <w:r w:rsidRPr="00162CAA">
              <w:rPr>
                <w:iCs/>
                <w:sz w:val="20"/>
                <w:szCs w:val="24"/>
              </w:rPr>
              <w:t xml:space="preserve">, represented by QSE </w:t>
            </w:r>
            <w:r w:rsidRPr="00162CAA">
              <w:rPr>
                <w:i/>
                <w:iCs/>
                <w:sz w:val="20"/>
                <w:szCs w:val="24"/>
              </w:rPr>
              <w:t xml:space="preserve">q, </w:t>
            </w:r>
            <w:r w:rsidRPr="00162CAA">
              <w:rPr>
                <w:iCs/>
                <w:sz w:val="20"/>
                <w:szCs w:val="24"/>
              </w:rPr>
              <w:t xml:space="preserve">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5ED52335"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D5EA929" w14:textId="77777777" w:rsidR="00162CAA" w:rsidRPr="00162CAA" w:rsidRDefault="00162CAA" w:rsidP="00162CAA">
            <w:pPr>
              <w:spacing w:after="60"/>
              <w:rPr>
                <w:sz w:val="20"/>
                <w:szCs w:val="24"/>
              </w:rPr>
            </w:pPr>
            <w:r w:rsidRPr="00162CAA">
              <w:rPr>
                <w:sz w:val="20"/>
                <w:szCs w:val="24"/>
              </w:rPr>
              <w:t>WAFP</w:t>
            </w:r>
            <w:r w:rsidRPr="00162CAA">
              <w:rPr>
                <w:bCs/>
                <w:i/>
                <w:szCs w:val="24"/>
                <w:vertAlign w:val="subscript"/>
                <w:lang w:val="es-ES"/>
              </w:rPr>
              <w:t xml:space="preserve">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638C79C3" w14:textId="77777777" w:rsidR="00162CAA" w:rsidRPr="00162CAA" w:rsidRDefault="00162CAA" w:rsidP="00162CAA">
            <w:pPr>
              <w:spacing w:after="60"/>
              <w:rPr>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1F280F06" w14:textId="24411D24" w:rsidR="00162CAA" w:rsidRPr="00162CAA" w:rsidRDefault="00162CAA" w:rsidP="00162CAA">
            <w:pPr>
              <w:spacing w:after="60"/>
              <w:rPr>
                <w:i/>
                <w:sz w:val="20"/>
                <w:szCs w:val="24"/>
              </w:rPr>
            </w:pPr>
            <w:r w:rsidRPr="00162CAA">
              <w:rPr>
                <w:i/>
                <w:sz w:val="20"/>
                <w:szCs w:val="24"/>
              </w:rPr>
              <w:t>Weighted Average Fuel Price</w:t>
            </w:r>
            <w:r w:rsidR="00FC7FA4">
              <w:rPr>
                <w:i/>
                <w:sz w:val="20"/>
                <w:szCs w:val="24"/>
              </w:rPr>
              <w:t xml:space="preserve"> </w:t>
            </w:r>
            <w:r w:rsidR="00FC7FA4" w:rsidRPr="00162CAA">
              <w:rPr>
                <w:szCs w:val="24"/>
              </w:rPr>
              <w:t>–</w:t>
            </w:r>
            <w:r w:rsidR="00FC7FA4">
              <w:rPr>
                <w:szCs w:val="24"/>
              </w:rPr>
              <w:t xml:space="preserve"> </w:t>
            </w:r>
            <w:r w:rsidRPr="00162CAA">
              <w:rPr>
                <w:sz w:val="20"/>
                <w:szCs w:val="24"/>
              </w:rPr>
              <w:t xml:space="preserve">The volume-weighted average price of fuel submitted to ERCOT for the LCAP Effective Period for a specific Resource </w:t>
            </w:r>
            <w:r w:rsidRPr="00162CAA">
              <w:rPr>
                <w:i/>
                <w:iCs/>
                <w:sz w:val="20"/>
                <w:szCs w:val="24"/>
              </w:rPr>
              <w:t>r,</w:t>
            </w:r>
            <w:r w:rsidRPr="00162CAA">
              <w:rPr>
                <w:sz w:val="20"/>
                <w:szCs w:val="24"/>
              </w:rPr>
              <w:t xml:space="preserve"> represented by QSE </w:t>
            </w:r>
            <w:r w:rsidRPr="00162CAA">
              <w:rPr>
                <w:i/>
                <w:iCs/>
                <w:sz w:val="20"/>
                <w:szCs w:val="24"/>
              </w:rPr>
              <w:t>q,</w:t>
            </w:r>
            <w:r w:rsidRPr="00162CAA">
              <w:rPr>
                <w:sz w:val="20"/>
                <w:szCs w:val="24"/>
              </w:rPr>
              <w:t xml:space="preserve"> and specific 15-minute Settlement Interval </w:t>
            </w:r>
            <w:r w:rsidRPr="00162CAA">
              <w:rPr>
                <w:i/>
                <w:iCs/>
                <w:sz w:val="20"/>
                <w:szCs w:val="24"/>
              </w:rPr>
              <w:t>i</w:t>
            </w:r>
            <w:r w:rsidRPr="00162CAA">
              <w:rPr>
                <w:sz w:val="20"/>
                <w:szCs w:val="24"/>
              </w:rPr>
              <w:t xml:space="preserve"> within the Operating Day.</w:t>
            </w:r>
            <w:r w:rsidR="0021573A">
              <w:rPr>
                <w:sz w:val="20"/>
                <w:szCs w:val="24"/>
              </w:rPr>
              <w:t xml:space="preserve">  </w:t>
            </w:r>
            <w:r w:rsidRPr="00162CAA">
              <w:rPr>
                <w:iCs/>
                <w:sz w:val="20"/>
                <w:szCs w:val="24"/>
              </w:rPr>
              <w:t xml:space="preserve">Where for a Combined Cycle Train, the Resource </w:t>
            </w:r>
            <w:r w:rsidRPr="00162CAA">
              <w:rPr>
                <w:i/>
                <w:sz w:val="20"/>
                <w:szCs w:val="24"/>
              </w:rPr>
              <w:t>r</w:t>
            </w:r>
            <w:r w:rsidRPr="00162CAA">
              <w:rPr>
                <w:iCs/>
                <w:sz w:val="20"/>
                <w:szCs w:val="24"/>
              </w:rPr>
              <w:t xml:space="preserve"> is a Combined Cycle Generation Resource within the Combined Cycle Train.</w:t>
            </w:r>
          </w:p>
        </w:tc>
      </w:tr>
      <w:tr w:rsidR="00162CAA" w:rsidRPr="00162CAA" w14:paraId="387875F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1B493C7" w14:textId="77777777" w:rsidR="00162CAA" w:rsidRPr="00162CAA" w:rsidRDefault="00162CAA" w:rsidP="00162CAA">
            <w:pPr>
              <w:spacing w:after="60"/>
              <w:rPr>
                <w:iCs/>
                <w:sz w:val="20"/>
                <w:szCs w:val="24"/>
              </w:rPr>
            </w:pPr>
            <w:r w:rsidRPr="00162CAA">
              <w:rPr>
                <w:iCs/>
                <w:sz w:val="20"/>
                <w:szCs w:val="24"/>
              </w:rPr>
              <w:t xml:space="preserve">AMC </w:t>
            </w:r>
            <w:r w:rsidRPr="00162CAA">
              <w:rPr>
                <w:i/>
                <w:iCs/>
                <w:sz w:val="20"/>
                <w:szCs w:val="24"/>
                <w:vertAlign w:val="subscript"/>
              </w:rPr>
              <w:t>q, r, i</w:t>
            </w:r>
            <w:r w:rsidRPr="00162CAA">
              <w:rPr>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779605DE"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516C07EA" w14:textId="77777777" w:rsidR="00162CAA" w:rsidRPr="00162CAA" w:rsidRDefault="00162CAA" w:rsidP="00162CAA">
            <w:pPr>
              <w:spacing w:after="60"/>
              <w:rPr>
                <w:iCs/>
                <w:sz w:val="20"/>
                <w:szCs w:val="24"/>
              </w:rPr>
            </w:pPr>
            <w:r w:rsidRPr="00162CAA">
              <w:rPr>
                <w:i/>
                <w:iCs/>
                <w:sz w:val="20"/>
                <w:szCs w:val="24"/>
              </w:rPr>
              <w:t>Actual Marginal Cost –</w:t>
            </w:r>
            <w:r w:rsidRPr="00162CAA">
              <w:rPr>
                <w:sz w:val="20"/>
                <w:szCs w:val="24"/>
              </w:rPr>
              <w:t xml:space="preserve"> </w:t>
            </w:r>
            <w:r w:rsidRPr="00162CAA">
              <w:rPr>
                <w:iCs/>
                <w:sz w:val="20"/>
                <w:szCs w:val="24"/>
              </w:rPr>
              <w:t xml:space="preserve">The actual marginal costs for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EF890FC"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00539740" w14:textId="77777777" w:rsidR="00162CAA" w:rsidRPr="00162CAA" w:rsidRDefault="00162CAA" w:rsidP="00162CAA">
            <w:pPr>
              <w:spacing w:after="60"/>
              <w:rPr>
                <w:iCs/>
                <w:sz w:val="20"/>
                <w:szCs w:val="24"/>
              </w:rPr>
            </w:pPr>
            <w:r w:rsidRPr="00162CAA">
              <w:rPr>
                <w:iCs/>
                <w:sz w:val="20"/>
                <w:szCs w:val="24"/>
              </w:rPr>
              <w:t>LCAP</w:t>
            </w:r>
          </w:p>
        </w:tc>
        <w:tc>
          <w:tcPr>
            <w:tcW w:w="607" w:type="pct"/>
            <w:tcBorders>
              <w:top w:val="single" w:sz="6" w:space="0" w:color="auto"/>
              <w:left w:val="single" w:sz="6" w:space="0" w:color="auto"/>
              <w:bottom w:val="single" w:sz="6" w:space="0" w:color="auto"/>
              <w:right w:val="single" w:sz="6" w:space="0" w:color="auto"/>
            </w:tcBorders>
            <w:hideMark/>
          </w:tcPr>
          <w:p w14:paraId="21DE1D09"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10CB13E" w14:textId="77777777" w:rsidR="00162CAA" w:rsidRPr="00162CAA" w:rsidRDefault="00162CAA" w:rsidP="00162CAA">
            <w:pPr>
              <w:spacing w:after="60"/>
              <w:rPr>
                <w:i/>
                <w:iCs/>
                <w:sz w:val="20"/>
                <w:szCs w:val="24"/>
              </w:rPr>
            </w:pPr>
            <w:r w:rsidRPr="00162CAA">
              <w:rPr>
                <w:i/>
                <w:iCs/>
                <w:sz w:val="20"/>
                <w:szCs w:val="24"/>
              </w:rPr>
              <w:t xml:space="preserve">Low System Wide Offer Cap – </w:t>
            </w:r>
            <w:r w:rsidRPr="00162CAA">
              <w:rPr>
                <w:iCs/>
                <w:sz w:val="20"/>
                <w:szCs w:val="24"/>
              </w:rPr>
              <w:t>The value set per paragraph (1) of Section 4.4.11, System-Wide Offer Caps.</w:t>
            </w:r>
          </w:p>
        </w:tc>
      </w:tr>
      <w:tr w:rsidR="00162CAA" w:rsidRPr="00162CAA" w14:paraId="7E084C5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DED7E1" w14:textId="77777777" w:rsidR="00162CAA" w:rsidRPr="00162CAA" w:rsidRDefault="00162CAA" w:rsidP="00162CAA">
            <w:pPr>
              <w:spacing w:after="60"/>
              <w:rPr>
                <w:iCs/>
                <w:sz w:val="20"/>
                <w:szCs w:val="24"/>
              </w:rPr>
            </w:pPr>
            <w:r w:rsidRPr="00162CAA">
              <w:rPr>
                <w:iCs/>
                <w:sz w:val="20"/>
                <w:szCs w:val="24"/>
              </w:rPr>
              <w:lastRenderedPageBreak/>
              <w:t xml:space="preserve">ROM </w:t>
            </w:r>
            <w:r w:rsidRPr="00162CAA">
              <w:rPr>
                <w:i/>
                <w:iCs/>
                <w:sz w:val="20"/>
                <w:szCs w:val="24"/>
                <w:vertAlign w:val="subscript"/>
              </w:rPr>
              <w:t>q, r</w:t>
            </w:r>
          </w:p>
        </w:tc>
        <w:tc>
          <w:tcPr>
            <w:tcW w:w="607" w:type="pct"/>
            <w:tcBorders>
              <w:top w:val="single" w:sz="6" w:space="0" w:color="auto"/>
              <w:left w:val="single" w:sz="6" w:space="0" w:color="auto"/>
              <w:bottom w:val="single" w:sz="6" w:space="0" w:color="auto"/>
              <w:right w:val="single" w:sz="6" w:space="0" w:color="auto"/>
            </w:tcBorders>
            <w:hideMark/>
          </w:tcPr>
          <w:p w14:paraId="600CC5C0"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0B4FFB" w14:textId="70E1C690" w:rsidR="00162CAA" w:rsidRPr="00162CAA" w:rsidRDefault="00162CAA" w:rsidP="00162CAA">
            <w:pPr>
              <w:spacing w:after="60"/>
              <w:rPr>
                <w:i/>
                <w:iCs/>
                <w:sz w:val="20"/>
                <w:szCs w:val="24"/>
              </w:rPr>
            </w:pPr>
            <w:r w:rsidRPr="00162CAA">
              <w:rPr>
                <w:i/>
                <w:iCs/>
                <w:sz w:val="20"/>
                <w:szCs w:val="24"/>
              </w:rPr>
              <w:t xml:space="preserve">Raw Verifiable Operations and Maintenance Cost Above LSL – </w:t>
            </w:r>
            <w:r w:rsidRPr="00162CAA">
              <w:rPr>
                <w:iCs/>
                <w:sz w:val="20"/>
                <w:szCs w:val="24"/>
              </w:rPr>
              <w:t xml:space="preserve">The raw verifiable O&amp;M cost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operations above LSL.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7D68569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F657E9F" w14:textId="77777777" w:rsidR="00162CAA" w:rsidRPr="00162CAA" w:rsidRDefault="00162CAA" w:rsidP="00162CAA">
            <w:pPr>
              <w:spacing w:after="60"/>
              <w:rPr>
                <w:iCs/>
                <w:sz w:val="20"/>
                <w:szCs w:val="24"/>
              </w:rPr>
            </w:pPr>
            <w:r w:rsidRPr="00162CAA">
              <w:rPr>
                <w:iCs/>
                <w:sz w:val="20"/>
                <w:szCs w:val="24"/>
              </w:rPr>
              <w:t xml:space="preserve">AMF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13B76B83" w14:textId="77777777" w:rsidR="00162CAA" w:rsidRPr="00162CAA" w:rsidRDefault="00162CAA" w:rsidP="00162CAA">
            <w:pPr>
              <w:spacing w:after="60"/>
              <w:rPr>
                <w:iCs/>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7EA43A95" w14:textId="77777777" w:rsidR="00162CAA" w:rsidRPr="00162CAA" w:rsidRDefault="00162CAA" w:rsidP="00162CAA">
            <w:pPr>
              <w:spacing w:after="60"/>
              <w:rPr>
                <w:i/>
                <w:iCs/>
                <w:sz w:val="20"/>
                <w:szCs w:val="24"/>
              </w:rPr>
            </w:pPr>
            <w:r w:rsidRPr="00162CAA">
              <w:rPr>
                <w:i/>
                <w:iCs/>
                <w:sz w:val="20"/>
                <w:szCs w:val="24"/>
              </w:rPr>
              <w:t xml:space="preserve">Actual Marginal Fuel per QSE per Resource - </w:t>
            </w:r>
            <w:r w:rsidRPr="00162CAA">
              <w:rPr>
                <w:iCs/>
                <w:sz w:val="20"/>
                <w:szCs w:val="24"/>
              </w:rPr>
              <w:t xml:space="preserve">The actual marginal purchased and delivered fuel for the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  </w:t>
            </w:r>
            <w:r w:rsidRPr="00162CAA">
              <w:rPr>
                <w:iCs/>
                <w:sz w:val="20"/>
                <w:szCs w:val="24"/>
              </w:rPr>
              <w:t xml:space="preserve">The AMF represents only the fuel used to calculate the weighted average fuel price, WAFP.  Where for a Combined Cycle Train, the Resource </w:t>
            </w:r>
            <w:r w:rsidRPr="00162CAA">
              <w:rPr>
                <w:i/>
                <w:iCs/>
                <w:sz w:val="20"/>
                <w:szCs w:val="24"/>
              </w:rPr>
              <w:t>r</w:t>
            </w:r>
            <w:r w:rsidRPr="00162CAA">
              <w:rPr>
                <w:iCs/>
                <w:sz w:val="20"/>
                <w:szCs w:val="24"/>
              </w:rPr>
              <w:t xml:space="preserve"> is a Combined Cycle Generation Resource within the Combined Cycle Train.  For Resources that are granted a dispute under Section 9.14.7, Disputes for RUC Make-Whole Payment for Fuel Costs, the actual marginal purchased and delivered fuel shall include only fuel for operations above LSL.</w:t>
            </w:r>
          </w:p>
        </w:tc>
      </w:tr>
      <w:tr w:rsidR="00162CAA" w:rsidRPr="00162CAA" w14:paraId="68177724"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6CEF7C9" w14:textId="77777777" w:rsidR="00162CAA" w:rsidRPr="00162CAA" w:rsidRDefault="00162CAA" w:rsidP="00162CAA">
            <w:pPr>
              <w:spacing w:after="60"/>
              <w:rPr>
                <w:iCs/>
                <w:sz w:val="20"/>
                <w:szCs w:val="24"/>
              </w:rPr>
            </w:pPr>
            <w:r w:rsidRPr="00162CAA">
              <w:rPr>
                <w:iCs/>
                <w:sz w:val="20"/>
                <w:szCs w:val="24"/>
              </w:rPr>
              <w:t xml:space="preserve">STOM </w:t>
            </w:r>
            <w:r w:rsidRPr="00162CAA">
              <w:rPr>
                <w:i/>
                <w:iCs/>
                <w:sz w:val="20"/>
                <w:szCs w:val="24"/>
                <w:vertAlign w:val="subscript"/>
              </w:rPr>
              <w:t>rc</w:t>
            </w:r>
            <w:r w:rsidRPr="00162CAA">
              <w:rPr>
                <w:iCs/>
                <w:sz w:val="20"/>
                <w:szCs w:val="24"/>
                <w:vertAlign w:val="subscript"/>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6D04A98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6E82270" w14:textId="77777777" w:rsidR="00162CAA" w:rsidRPr="00162CAA" w:rsidRDefault="00162CAA" w:rsidP="00162CAA">
            <w:pPr>
              <w:spacing w:after="60"/>
              <w:rPr>
                <w:iCs/>
                <w:sz w:val="20"/>
                <w:szCs w:val="24"/>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as described in paragraph (6)(c) of Section 5.6.1, Verifiable Costs.  For an ESR, STOM shall be set at $0.3/MWh.</w:t>
            </w:r>
          </w:p>
          <w:p w14:paraId="5339B667" w14:textId="77777777" w:rsidR="00162CAA" w:rsidRPr="00162CAA" w:rsidRDefault="00162CAA" w:rsidP="00162CAA">
            <w:pPr>
              <w:rPr>
                <w:sz w:val="20"/>
              </w:rPr>
            </w:pPr>
          </w:p>
        </w:tc>
      </w:tr>
      <w:tr w:rsidR="00162CAA" w:rsidRPr="00162CAA" w14:paraId="3C6D83C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742853B" w14:textId="77777777" w:rsidR="00162CAA" w:rsidRPr="00162CAA" w:rsidRDefault="00162CAA" w:rsidP="00162CAA">
            <w:pPr>
              <w:spacing w:after="60"/>
              <w:rPr>
                <w:iCs/>
                <w:sz w:val="20"/>
                <w:szCs w:val="24"/>
              </w:rPr>
            </w:pPr>
            <w:r w:rsidRPr="00162CAA">
              <w:rPr>
                <w:iCs/>
                <w:sz w:val="20"/>
                <w:szCs w:val="24"/>
              </w:rPr>
              <w:t>RTSPP</w:t>
            </w:r>
            <w:r w:rsidRPr="00162CAA">
              <w:rPr>
                <w:i/>
                <w:sz w:val="20"/>
                <w:szCs w:val="24"/>
                <w:vertAlign w:val="subscript"/>
              </w:rPr>
              <w:t xml:space="preserve"> p, i</w:t>
            </w:r>
          </w:p>
        </w:tc>
        <w:tc>
          <w:tcPr>
            <w:tcW w:w="607" w:type="pct"/>
            <w:tcBorders>
              <w:top w:val="single" w:sz="6" w:space="0" w:color="auto"/>
              <w:left w:val="single" w:sz="6" w:space="0" w:color="auto"/>
              <w:bottom w:val="single" w:sz="6" w:space="0" w:color="auto"/>
              <w:right w:val="single" w:sz="6" w:space="0" w:color="auto"/>
            </w:tcBorders>
            <w:hideMark/>
          </w:tcPr>
          <w:p w14:paraId="7DFE0A8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15E63AE1" w14:textId="77777777" w:rsidR="00162CAA" w:rsidRPr="00162CAA" w:rsidRDefault="00162CAA" w:rsidP="00162CAA">
            <w:pPr>
              <w:spacing w:after="60"/>
              <w:rPr>
                <w:iCs/>
                <w:sz w:val="20"/>
                <w:szCs w:val="24"/>
              </w:rPr>
            </w:pPr>
            <w:r w:rsidRPr="00162CAA">
              <w:rPr>
                <w:i/>
                <w:iCs/>
                <w:sz w:val="20"/>
                <w:szCs w:val="24"/>
              </w:rPr>
              <w:t xml:space="preserve">Real-Time Settlement Point Price - </w:t>
            </w:r>
            <w:r w:rsidRPr="00162CAA">
              <w:rPr>
                <w:iCs/>
                <w:sz w:val="20"/>
                <w:szCs w:val="24"/>
              </w:rPr>
              <w:t xml:space="preserve">The Real-Time Settlement Point Price at the Settlement Point </w:t>
            </w:r>
            <w:r w:rsidRPr="00162CAA">
              <w:rPr>
                <w:i/>
                <w:iCs/>
                <w:sz w:val="20"/>
                <w:szCs w:val="24"/>
              </w:rPr>
              <w:t xml:space="preserve">p, </w:t>
            </w:r>
            <w:r w:rsidRPr="00162CAA">
              <w:rPr>
                <w:iCs/>
                <w:sz w:val="20"/>
                <w:szCs w:val="24"/>
              </w:rPr>
              <w:t xml:space="preserve">for the 15-minute Settlement Interval </w:t>
            </w:r>
            <w:r w:rsidRPr="00162CAA">
              <w:rPr>
                <w:i/>
                <w:iCs/>
                <w:sz w:val="20"/>
                <w:szCs w:val="24"/>
              </w:rPr>
              <w:t>i</w:t>
            </w:r>
            <w:r w:rsidRPr="00162CAA">
              <w:rPr>
                <w:iCs/>
                <w:sz w:val="20"/>
                <w:szCs w:val="24"/>
              </w:rPr>
              <w:t>.</w:t>
            </w:r>
          </w:p>
        </w:tc>
      </w:tr>
      <w:tr w:rsidR="00162CAA" w:rsidRPr="00162CAA" w14:paraId="34C2B213"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50666D45" w14:textId="77777777" w:rsidR="00162CAA" w:rsidRPr="00162CAA" w:rsidRDefault="00162CAA" w:rsidP="00162CAA">
            <w:pPr>
              <w:spacing w:after="60"/>
              <w:rPr>
                <w:iCs/>
                <w:sz w:val="20"/>
                <w:szCs w:val="24"/>
              </w:rPr>
            </w:pPr>
            <w:r w:rsidRPr="00162CAA">
              <w:rPr>
                <w:iCs/>
                <w:sz w:val="20"/>
                <w:szCs w:val="24"/>
              </w:rPr>
              <w:t xml:space="preserve">AFC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47ADE71"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8B43784" w14:textId="676D10BD" w:rsidR="00162CAA" w:rsidRPr="00162CAA" w:rsidRDefault="00162CAA" w:rsidP="00162CAA">
            <w:pPr>
              <w:spacing w:after="60"/>
              <w:rPr>
                <w:i/>
                <w:iCs/>
                <w:sz w:val="20"/>
                <w:szCs w:val="24"/>
              </w:rPr>
            </w:pPr>
            <w:r w:rsidRPr="00162CAA">
              <w:rPr>
                <w:i/>
                <w:iCs/>
                <w:sz w:val="20"/>
                <w:szCs w:val="24"/>
              </w:rPr>
              <w:t xml:space="preserve">Average Fuel Cost per Resource </w:t>
            </w:r>
            <w:r w:rsidR="00AA496E" w:rsidRPr="00AA496E">
              <w:rPr>
                <w:i/>
                <w:iCs/>
                <w:sz w:val="20"/>
                <w:szCs w:val="24"/>
              </w:rPr>
              <w:t>-</w:t>
            </w:r>
            <w:r w:rsidR="00AA496E">
              <w:rPr>
                <w:i/>
                <w:iCs/>
                <w:sz w:val="20"/>
                <w:szCs w:val="24"/>
              </w:rPr>
              <w:t xml:space="preserve"> </w:t>
            </w:r>
            <w:r w:rsidRPr="00162CAA">
              <w:rPr>
                <w:iCs/>
                <w:sz w:val="20"/>
                <w:szCs w:val="24"/>
              </w:rPr>
              <w:t>The average electricity cost used to charge the ESR</w:t>
            </w:r>
            <w:r w:rsidRPr="00162CAA">
              <w:rPr>
                <w:i/>
                <w:iCs/>
                <w:sz w:val="20"/>
                <w:szCs w:val="24"/>
              </w:rPr>
              <w:t xml:space="preserve"> r </w:t>
            </w:r>
            <w:r w:rsidRPr="00162CAA">
              <w:rPr>
                <w:iCs/>
                <w:sz w:val="20"/>
                <w:szCs w:val="24"/>
              </w:rPr>
              <w:t>represented by QSE</w:t>
            </w:r>
            <w:r w:rsidRPr="00162CAA">
              <w:rPr>
                <w:i/>
                <w:iCs/>
                <w:sz w:val="20"/>
                <w:szCs w:val="24"/>
              </w:rPr>
              <w:t xml:space="preserve"> q</w:t>
            </w:r>
            <w:r w:rsidRPr="00162CAA">
              <w:rPr>
                <w:iCs/>
                <w:sz w:val="20"/>
                <w:szCs w:val="24"/>
              </w:rPr>
              <w:t xml:space="preserve"> applicable to the energy discharge for the 15-minute Settlement Interval </w:t>
            </w:r>
            <w:r w:rsidRPr="00162CAA">
              <w:rPr>
                <w:i/>
                <w:sz w:val="20"/>
                <w:szCs w:val="24"/>
              </w:rPr>
              <w:t>i</w:t>
            </w:r>
            <w:r w:rsidRPr="00162CAA">
              <w:rPr>
                <w:iCs/>
                <w:sz w:val="20"/>
                <w:szCs w:val="24"/>
              </w:rPr>
              <w:t xml:space="preserve"> within the Operating Day.</w:t>
            </w:r>
          </w:p>
        </w:tc>
      </w:tr>
      <w:tr w:rsidR="00162CAA" w:rsidRPr="00162CAA" w14:paraId="64E73A6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C3644C4" w14:textId="77777777" w:rsidR="00162CAA" w:rsidRPr="00162CAA" w:rsidRDefault="00162CAA" w:rsidP="00162CAA">
            <w:pPr>
              <w:spacing w:after="60"/>
              <w:rPr>
                <w:i/>
                <w:iCs/>
                <w:sz w:val="20"/>
                <w:szCs w:val="24"/>
              </w:rPr>
            </w:pPr>
            <w:r w:rsidRPr="00162CAA">
              <w:rPr>
                <w:iCs/>
                <w:sz w:val="20"/>
                <w:szCs w:val="24"/>
                <w:lang w:val="pt-BR"/>
              </w:rPr>
              <w:t xml:space="preserve">AHR </w:t>
            </w:r>
            <w:r w:rsidRPr="00162CAA">
              <w:rPr>
                <w:i/>
                <w:iCs/>
                <w:sz w:val="20"/>
                <w:szCs w:val="24"/>
                <w:vertAlign w:val="subscript"/>
                <w:lang w:val="es-ES"/>
              </w:rPr>
              <w:t>q, r, i</w:t>
            </w:r>
          </w:p>
        </w:tc>
        <w:tc>
          <w:tcPr>
            <w:tcW w:w="607" w:type="pct"/>
            <w:tcBorders>
              <w:top w:val="single" w:sz="6" w:space="0" w:color="auto"/>
              <w:left w:val="single" w:sz="6" w:space="0" w:color="auto"/>
              <w:bottom w:val="single" w:sz="6" w:space="0" w:color="auto"/>
              <w:right w:val="single" w:sz="6" w:space="0" w:color="auto"/>
            </w:tcBorders>
            <w:hideMark/>
          </w:tcPr>
          <w:p w14:paraId="38F8E015"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3EB9470B" w14:textId="77777777" w:rsidR="00162CAA" w:rsidRPr="00162CAA" w:rsidRDefault="00162CAA" w:rsidP="00162CAA">
            <w:pPr>
              <w:spacing w:after="60"/>
              <w:rPr>
                <w:iCs/>
                <w:sz w:val="20"/>
                <w:szCs w:val="24"/>
              </w:rPr>
            </w:pPr>
            <w:r w:rsidRPr="00162CAA">
              <w:rPr>
                <w:i/>
                <w:iCs/>
                <w:sz w:val="20"/>
                <w:szCs w:val="24"/>
              </w:rPr>
              <w:t xml:space="preserve">Average Heat Rate per Resource – </w:t>
            </w:r>
            <w:r w:rsidRPr="00162CAA">
              <w:rPr>
                <w:iCs/>
                <w:sz w:val="20"/>
                <w:szCs w:val="24"/>
              </w:rPr>
              <w:t xml:space="preserve">The verifiable average heat rate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operating levels between LSL and High Sustained Limit (HSL),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A6C43A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5B941BD" w14:textId="77777777" w:rsidR="00162CAA" w:rsidRPr="00162CAA" w:rsidRDefault="00162CAA" w:rsidP="00162CAA">
            <w:pPr>
              <w:spacing w:after="60"/>
              <w:rPr>
                <w:iCs/>
                <w:sz w:val="20"/>
                <w:szCs w:val="24"/>
                <w:lang w:val="pt-BR"/>
              </w:rPr>
            </w:pPr>
            <w:r w:rsidRPr="00162CAA">
              <w:rPr>
                <w:iCs/>
                <w:sz w:val="20"/>
                <w:szCs w:val="24"/>
              </w:rPr>
              <w:t>PA</w:t>
            </w:r>
            <w:r w:rsidRPr="00162CAA">
              <w:rPr>
                <w:iCs/>
                <w:sz w:val="20"/>
                <w:szCs w:val="24"/>
                <w:lang w:val="pt-BR"/>
              </w:rPr>
              <w:t xml:space="preserve">HR </w:t>
            </w:r>
            <w:r w:rsidRPr="00162CAA">
              <w:rPr>
                <w:i/>
                <w:iCs/>
                <w:sz w:val="20"/>
                <w:szCs w:val="24"/>
                <w:vertAlign w:val="subscript"/>
                <w:lang w:val="pt-BR"/>
              </w:rPr>
              <w:t xml:space="preserve">q, </w:t>
            </w:r>
            <w:r w:rsidRPr="00162CAA">
              <w:rPr>
                <w:i/>
                <w:iCs/>
                <w:sz w:val="20"/>
                <w:szCs w:val="24"/>
                <w:vertAlign w:val="subscript"/>
              </w:rPr>
              <w:t xml:space="preserve">r, </w:t>
            </w:r>
            <w:r w:rsidRPr="00162CAA">
              <w:rPr>
                <w:i/>
                <w:iCs/>
                <w:sz w:val="20"/>
                <w:szCs w:val="24"/>
                <w:vertAlign w:val="subscript"/>
                <w:lang w:val="es-ES"/>
              </w:rPr>
              <w:t>i</w:t>
            </w:r>
          </w:p>
        </w:tc>
        <w:tc>
          <w:tcPr>
            <w:tcW w:w="607" w:type="pct"/>
            <w:tcBorders>
              <w:top w:val="single" w:sz="6" w:space="0" w:color="auto"/>
              <w:left w:val="single" w:sz="6" w:space="0" w:color="auto"/>
              <w:bottom w:val="single" w:sz="6" w:space="0" w:color="auto"/>
              <w:right w:val="single" w:sz="6" w:space="0" w:color="auto"/>
            </w:tcBorders>
            <w:hideMark/>
          </w:tcPr>
          <w:p w14:paraId="7F1BB6D7"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6542455F" w14:textId="78233023" w:rsidR="00162CAA" w:rsidRPr="00162CAA" w:rsidRDefault="00162CAA" w:rsidP="00162CAA">
            <w:pPr>
              <w:spacing w:after="60"/>
              <w:rPr>
                <w:i/>
                <w:iCs/>
                <w:sz w:val="20"/>
                <w:szCs w:val="24"/>
              </w:rPr>
            </w:pPr>
            <w:r w:rsidRPr="00162CAA">
              <w:rPr>
                <w:i/>
                <w:iCs/>
                <w:sz w:val="20"/>
                <w:szCs w:val="24"/>
              </w:rPr>
              <w:t xml:space="preserve">Proxy Average Heat Rate – </w:t>
            </w:r>
            <w:r w:rsidRPr="00162CAA">
              <w:rPr>
                <w:iCs/>
                <w:sz w:val="20"/>
                <w:szCs w:val="24"/>
              </w:rPr>
              <w:t xml:space="preserve">The proxy average heat rate for the Resource </w:t>
            </w:r>
            <w:r w:rsidRPr="00162CAA">
              <w:rPr>
                <w:i/>
                <w:iCs/>
                <w:sz w:val="20"/>
                <w:szCs w:val="24"/>
              </w:rPr>
              <w:t>r,</w:t>
            </w:r>
            <w:r w:rsidRPr="00162CAA">
              <w:rPr>
                <w:iCs/>
                <w:sz w:val="20"/>
                <w:szCs w:val="24"/>
              </w:rPr>
              <w:t xml:space="preserve"> represented by QSE</w:t>
            </w:r>
            <w:r w:rsidRPr="00162CAA">
              <w:rPr>
                <w:i/>
                <w:iCs/>
                <w:sz w:val="20"/>
                <w:szCs w:val="24"/>
              </w:rPr>
              <w:t xml:space="preserve"> q</w:t>
            </w:r>
            <w:r w:rsidRPr="00162CAA">
              <w:rPr>
                <w:iCs/>
                <w:sz w:val="20"/>
                <w:szCs w:val="24"/>
              </w:rPr>
              <w:t xml:space="preserve">,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 xml:space="preserve">r </w:t>
            </w:r>
            <w:r w:rsidRPr="00162CAA">
              <w:rPr>
                <w:iCs/>
                <w:sz w:val="20"/>
                <w:szCs w:val="24"/>
              </w:rPr>
              <w:t>is a Combined Cycle Generation Resource within the Combined Cycle Train.</w:t>
            </w:r>
          </w:p>
        </w:tc>
      </w:tr>
      <w:tr w:rsidR="00162CAA" w:rsidRPr="00162CAA" w14:paraId="2833A6CE"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66D087B" w14:textId="77777777" w:rsidR="00162CAA" w:rsidRPr="00162CAA" w:rsidRDefault="00162CAA" w:rsidP="00162CAA">
            <w:pPr>
              <w:spacing w:after="60"/>
              <w:rPr>
                <w:iCs/>
                <w:sz w:val="20"/>
                <w:szCs w:val="24"/>
              </w:rPr>
            </w:pPr>
            <w:r w:rsidRPr="00162CAA">
              <w:rPr>
                <w:iCs/>
                <w:sz w:val="20"/>
                <w:szCs w:val="24"/>
              </w:rPr>
              <w:t xml:space="preserve">RTMG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7FEB3F3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EE4BD00" w14:textId="41245C35" w:rsidR="00162CAA" w:rsidRPr="00162CAA" w:rsidRDefault="00162CAA" w:rsidP="00162CAA">
            <w:pPr>
              <w:spacing w:after="60"/>
              <w:rPr>
                <w:iCs/>
                <w:sz w:val="20"/>
                <w:szCs w:val="24"/>
              </w:rPr>
            </w:pPr>
            <w:r w:rsidRPr="00162CAA">
              <w:rPr>
                <w:i/>
                <w:iCs/>
                <w:sz w:val="20"/>
                <w:szCs w:val="24"/>
              </w:rPr>
              <w:t>Real-Time Metered Generation per QSE per Resource by Settlement Interval by hour</w:t>
            </w:r>
            <w:r w:rsidR="00074771">
              <w:rPr>
                <w:i/>
                <w:iCs/>
                <w:sz w:val="20"/>
                <w:szCs w:val="24"/>
              </w:rPr>
              <w:t xml:space="preserve"> </w:t>
            </w:r>
            <w:r w:rsidR="00074771" w:rsidRPr="00162CAA">
              <w:rPr>
                <w:i/>
                <w:iCs/>
                <w:sz w:val="20"/>
                <w:szCs w:val="24"/>
              </w:rPr>
              <w:t>–</w:t>
            </w:r>
            <w:r w:rsidR="00074771">
              <w:rPr>
                <w:i/>
                <w:iCs/>
                <w:sz w:val="20"/>
                <w:szCs w:val="24"/>
              </w:rPr>
              <w:t xml:space="preserve"> </w:t>
            </w:r>
            <w:r w:rsidRPr="00162CAA">
              <w:rPr>
                <w:iCs/>
                <w:sz w:val="20"/>
                <w:szCs w:val="24"/>
              </w:rPr>
              <w:t xml:space="preserve">The Real-Time energy from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Where for a Combined Cycle Train, the Resource </w:t>
            </w:r>
            <w:r w:rsidRPr="00D61479">
              <w:rPr>
                <w:i/>
                <w:sz w:val="20"/>
                <w:szCs w:val="24"/>
              </w:rPr>
              <w:t>r</w:t>
            </w:r>
            <w:r w:rsidRPr="00162CAA">
              <w:rPr>
                <w:iCs/>
                <w:sz w:val="20"/>
                <w:szCs w:val="24"/>
              </w:rPr>
              <w:t xml:space="preserve"> is the Combined Cycle Train.  For Resources that are granted a dispute under Section 9.14.7, the Real-Time energy represents the energy produced for operations above LSL.</w:t>
            </w:r>
          </w:p>
        </w:tc>
      </w:tr>
      <w:tr w:rsidR="00162CAA" w:rsidRPr="00162CAA" w14:paraId="0B46C28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9305C6" w14:textId="77777777" w:rsidR="00162CAA" w:rsidRPr="00162CAA" w:rsidRDefault="00162CAA" w:rsidP="00162CAA">
            <w:pPr>
              <w:spacing w:after="60"/>
              <w:rPr>
                <w:iCs/>
                <w:sz w:val="20"/>
                <w:szCs w:val="24"/>
              </w:rPr>
            </w:pPr>
            <w:r w:rsidRPr="00162CAA">
              <w:rPr>
                <w:iCs/>
                <w:sz w:val="20"/>
                <w:szCs w:val="24"/>
              </w:rPr>
              <w:t>MEP</w:t>
            </w:r>
            <w:r w:rsidRPr="00162CAA">
              <w:rPr>
                <w:szCs w:val="24"/>
              </w:rPr>
              <w:t xml:space="preserve">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3516E1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F88D04" w14:textId="7004FCEB" w:rsidR="00162CAA" w:rsidRPr="00162CAA" w:rsidRDefault="00162CAA" w:rsidP="00162CAA">
            <w:pPr>
              <w:spacing w:after="60"/>
              <w:rPr>
                <w:i/>
                <w:iCs/>
                <w:sz w:val="20"/>
                <w:szCs w:val="24"/>
              </w:rPr>
            </w:pPr>
            <w:r w:rsidRPr="00162CAA">
              <w:rPr>
                <w:i/>
                <w:iCs/>
                <w:sz w:val="20"/>
                <w:szCs w:val="24"/>
              </w:rPr>
              <w:t xml:space="preserve">Marginal Energy Production per QSE per Resource by Settlement Interval </w:t>
            </w:r>
            <w:r w:rsidR="00AC7B7A" w:rsidRPr="00162CAA">
              <w:rPr>
                <w:i/>
                <w:iCs/>
                <w:sz w:val="20"/>
                <w:szCs w:val="24"/>
              </w:rPr>
              <w:t>–</w:t>
            </w:r>
            <w:r w:rsidRPr="00162CAA">
              <w:rPr>
                <w:szCs w:val="24"/>
              </w:rPr>
              <w:t xml:space="preserve"> </w:t>
            </w:r>
            <w:r w:rsidRPr="00162CAA">
              <w:rPr>
                <w:iCs/>
                <w:sz w:val="20"/>
                <w:szCs w:val="24"/>
              </w:rPr>
              <w:t xml:space="preserve">The calculated marginal generation of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in Real-Time for the 15-minute Settlement Interval </w:t>
            </w:r>
            <w:r w:rsidRPr="00162CAA">
              <w:rPr>
                <w:i/>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20572FC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4A25B83" w14:textId="77777777" w:rsidR="00162CAA" w:rsidRPr="00162CAA" w:rsidRDefault="00162CAA" w:rsidP="00162CAA">
            <w:pPr>
              <w:spacing w:after="60"/>
              <w:rPr>
                <w:i/>
                <w:iCs/>
                <w:sz w:val="20"/>
                <w:szCs w:val="24"/>
              </w:rPr>
            </w:pPr>
            <w:r w:rsidRPr="00162CAA">
              <w:rPr>
                <w:i/>
                <w:iCs/>
                <w:sz w:val="20"/>
                <w:szCs w:val="24"/>
              </w:rPr>
              <w:t>q</w:t>
            </w:r>
          </w:p>
        </w:tc>
        <w:tc>
          <w:tcPr>
            <w:tcW w:w="607" w:type="pct"/>
            <w:tcBorders>
              <w:top w:val="single" w:sz="6" w:space="0" w:color="auto"/>
              <w:left w:val="single" w:sz="6" w:space="0" w:color="auto"/>
              <w:bottom w:val="single" w:sz="6" w:space="0" w:color="auto"/>
              <w:right w:val="single" w:sz="6" w:space="0" w:color="auto"/>
            </w:tcBorders>
            <w:hideMark/>
          </w:tcPr>
          <w:p w14:paraId="539D8495"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CF439B8"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698260F0"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BD06FEF" w14:textId="77777777" w:rsidR="00162CAA" w:rsidRPr="00162CAA" w:rsidRDefault="00162CAA" w:rsidP="00162CAA">
            <w:pPr>
              <w:spacing w:after="60"/>
              <w:rPr>
                <w:i/>
                <w:iCs/>
                <w:sz w:val="20"/>
                <w:szCs w:val="24"/>
              </w:rPr>
            </w:pPr>
            <w:r w:rsidRPr="00162CAA">
              <w:rPr>
                <w:i/>
                <w:iCs/>
                <w:sz w:val="20"/>
                <w:szCs w:val="24"/>
              </w:rPr>
              <w:t>r</w:t>
            </w:r>
          </w:p>
        </w:tc>
        <w:tc>
          <w:tcPr>
            <w:tcW w:w="607" w:type="pct"/>
            <w:tcBorders>
              <w:top w:val="single" w:sz="6" w:space="0" w:color="auto"/>
              <w:left w:val="single" w:sz="6" w:space="0" w:color="auto"/>
              <w:bottom w:val="single" w:sz="6" w:space="0" w:color="auto"/>
              <w:right w:val="single" w:sz="6" w:space="0" w:color="auto"/>
            </w:tcBorders>
            <w:hideMark/>
          </w:tcPr>
          <w:p w14:paraId="1662F5B9"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6D798223"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179EADC1"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9CDCA80" w14:textId="77777777" w:rsidR="00162CAA" w:rsidRPr="00162CAA" w:rsidRDefault="00162CAA" w:rsidP="00162CAA">
            <w:pPr>
              <w:spacing w:after="60"/>
              <w:rPr>
                <w:i/>
                <w:iCs/>
                <w:sz w:val="20"/>
                <w:szCs w:val="24"/>
              </w:rPr>
            </w:pPr>
            <w:r w:rsidRPr="00162CAA">
              <w:rPr>
                <w:i/>
                <w:iCs/>
                <w:sz w:val="20"/>
                <w:szCs w:val="24"/>
              </w:rPr>
              <w:t>i</w:t>
            </w:r>
          </w:p>
        </w:tc>
        <w:tc>
          <w:tcPr>
            <w:tcW w:w="607" w:type="pct"/>
            <w:tcBorders>
              <w:top w:val="single" w:sz="6" w:space="0" w:color="auto"/>
              <w:left w:val="single" w:sz="6" w:space="0" w:color="auto"/>
              <w:bottom w:val="single" w:sz="6" w:space="0" w:color="auto"/>
              <w:right w:val="single" w:sz="6" w:space="0" w:color="auto"/>
            </w:tcBorders>
            <w:hideMark/>
          </w:tcPr>
          <w:p w14:paraId="76DE7F3E"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0C45932"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r w:rsidR="00162CAA" w:rsidRPr="00162CAA" w14:paraId="3B635D5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D7C8FBE" w14:textId="77777777" w:rsidR="00162CAA" w:rsidRPr="00162CAA" w:rsidRDefault="00162CAA" w:rsidP="00162CAA">
            <w:pPr>
              <w:spacing w:after="60"/>
              <w:rPr>
                <w:i/>
                <w:iCs/>
                <w:sz w:val="20"/>
                <w:szCs w:val="24"/>
              </w:rPr>
            </w:pPr>
            <w:r w:rsidRPr="00162CAA">
              <w:rPr>
                <w:i/>
                <w:iCs/>
                <w:sz w:val="20"/>
                <w:szCs w:val="24"/>
              </w:rPr>
              <w:t>rc</w:t>
            </w:r>
          </w:p>
        </w:tc>
        <w:tc>
          <w:tcPr>
            <w:tcW w:w="607" w:type="pct"/>
            <w:tcBorders>
              <w:top w:val="single" w:sz="6" w:space="0" w:color="auto"/>
              <w:left w:val="single" w:sz="6" w:space="0" w:color="auto"/>
              <w:bottom w:val="single" w:sz="6" w:space="0" w:color="auto"/>
              <w:right w:val="single" w:sz="6" w:space="0" w:color="auto"/>
            </w:tcBorders>
            <w:hideMark/>
          </w:tcPr>
          <w:p w14:paraId="6EA34290"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083D86A7" w14:textId="408D9776" w:rsidR="00162CAA" w:rsidRPr="00162CAA" w:rsidRDefault="00162CAA" w:rsidP="00162CAA">
            <w:pPr>
              <w:spacing w:after="60"/>
              <w:rPr>
                <w:iCs/>
                <w:sz w:val="20"/>
                <w:szCs w:val="24"/>
              </w:rPr>
            </w:pPr>
            <w:r w:rsidRPr="00162CAA">
              <w:rPr>
                <w:iCs/>
                <w:sz w:val="20"/>
                <w:szCs w:val="24"/>
              </w:rPr>
              <w:t>A Resource category</w:t>
            </w:r>
            <w:r w:rsidR="00AC7B7A">
              <w:rPr>
                <w:iCs/>
                <w:sz w:val="20"/>
                <w:szCs w:val="24"/>
              </w:rPr>
              <w:t>.</w:t>
            </w:r>
          </w:p>
        </w:tc>
      </w:tr>
    </w:tbl>
    <w:p w14:paraId="6E0137BC" w14:textId="6F8D2BA8" w:rsidR="00162CAA" w:rsidRPr="00162CAA" w:rsidRDefault="00162CAA" w:rsidP="00162CAA">
      <w:pPr>
        <w:spacing w:before="240" w:after="240"/>
        <w:ind w:left="720" w:hanging="720"/>
        <w:rPr>
          <w:iCs/>
          <w:szCs w:val="24"/>
        </w:rPr>
      </w:pPr>
      <w:r w:rsidRPr="00162CAA">
        <w:rPr>
          <w:iCs/>
          <w:szCs w:val="24"/>
        </w:rPr>
        <w:lastRenderedPageBreak/>
        <w:t>(</w:t>
      </w:r>
      <w:r w:rsidR="00010E34">
        <w:rPr>
          <w:iCs/>
          <w:szCs w:val="24"/>
        </w:rPr>
        <w:t>4</w:t>
      </w:r>
      <w:r w:rsidRPr="00162CAA">
        <w:rPr>
          <w:iCs/>
          <w:szCs w:val="24"/>
        </w:rPr>
        <w:t>)</w:t>
      </w:r>
      <w:r w:rsidRPr="00162CAA">
        <w:rPr>
          <w:iCs/>
          <w:szCs w:val="24"/>
        </w:rPr>
        <w:tab/>
        <w:t>The total compensation to each QSE for operating losses during an LCAP Effective Period for the 15-minute Settlement Interval is calculated as follows:</w:t>
      </w:r>
    </w:p>
    <w:p w14:paraId="3FC412AB" w14:textId="1D3B862C" w:rsidR="00162CAA" w:rsidRPr="003D3379" w:rsidRDefault="00162CAA" w:rsidP="00162CAA">
      <w:pPr>
        <w:spacing w:after="240"/>
        <w:ind w:left="1440" w:hanging="720"/>
        <w:rPr>
          <w:b/>
          <w:bCs/>
          <w:i/>
          <w:iCs/>
          <w:szCs w:val="24"/>
          <w:vertAlign w:val="subscript"/>
          <w:lang w:val="es-ES"/>
        </w:rPr>
      </w:pPr>
      <w:r w:rsidRPr="003D3379">
        <w:rPr>
          <w:b/>
          <w:bCs/>
          <w:iCs/>
          <w:szCs w:val="24"/>
        </w:rPr>
        <w:t xml:space="preserve">OPLPAMTQSETOT </w:t>
      </w:r>
      <w:r w:rsidRPr="003D3379">
        <w:rPr>
          <w:b/>
          <w:bCs/>
          <w:i/>
          <w:iCs/>
          <w:szCs w:val="24"/>
          <w:vertAlign w:val="subscript"/>
        </w:rPr>
        <w:t xml:space="preserve">q  </w:t>
      </w:r>
      <w:r w:rsidRPr="003D3379">
        <w:rPr>
          <w:b/>
          <w:bCs/>
          <w:iCs/>
          <w:szCs w:val="24"/>
        </w:rPr>
        <w:t xml:space="preserve">       =  </w:t>
      </w:r>
      <w:r w:rsidRPr="003D3379">
        <w:rPr>
          <w:b/>
          <w:bCs/>
          <w:iCs/>
          <w:szCs w:val="24"/>
        </w:rPr>
        <w:tab/>
      </w:r>
      <w:r w:rsidRPr="003D3379">
        <w:rPr>
          <w:b/>
          <w:bCs/>
          <w:noProof/>
          <w:position w:val="-18"/>
          <w:szCs w:val="24"/>
        </w:rPr>
        <w:drawing>
          <wp:inline distT="0" distB="0" distL="0" distR="0" wp14:anchorId="3F9EDDAE" wp14:editId="4CAB3B85">
            <wp:extent cx="1905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3D3379">
        <w:rPr>
          <w:b/>
          <w:bCs/>
          <w:szCs w:val="24"/>
        </w:rPr>
        <w:t xml:space="preserve"> </w:t>
      </w:r>
      <w:r w:rsidRPr="003D3379">
        <w:rPr>
          <w:b/>
          <w:bCs/>
          <w:iCs/>
          <w:szCs w:val="24"/>
        </w:rPr>
        <w:t xml:space="preserve">OPLPAMT </w:t>
      </w:r>
      <w:r w:rsidRPr="003D3379">
        <w:rPr>
          <w:b/>
          <w:bCs/>
          <w:i/>
          <w:iCs/>
          <w:sz w:val="20"/>
          <w:szCs w:val="24"/>
          <w:vertAlign w:val="subscript"/>
        </w:rPr>
        <w:t>q, r, i</w:t>
      </w:r>
    </w:p>
    <w:p w14:paraId="600D0F33"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162CAA" w:rsidRPr="00162CAA" w14:paraId="338D95C1" w14:textId="77777777" w:rsidTr="00764A29">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00CF2A3" w14:textId="77777777" w:rsidR="00162CAA" w:rsidRPr="00162CAA" w:rsidRDefault="00162CAA" w:rsidP="00162CAA">
            <w:pPr>
              <w:spacing w:after="240"/>
              <w:rPr>
                <w:b/>
                <w:iCs/>
                <w:sz w:val="20"/>
                <w:szCs w:val="24"/>
              </w:rPr>
            </w:pPr>
            <w:r w:rsidRPr="00162CAA">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3BC5529F" w14:textId="77777777" w:rsidR="00162CAA" w:rsidRPr="00162CAA" w:rsidRDefault="00162CAA" w:rsidP="00162CAA">
            <w:pPr>
              <w:spacing w:after="240"/>
              <w:rPr>
                <w:b/>
                <w:iCs/>
                <w:sz w:val="20"/>
                <w:szCs w:val="24"/>
              </w:rPr>
            </w:pPr>
            <w:r w:rsidRPr="00162CAA">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1BFF7DE6"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0AECBAB8"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59B6E59A"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q</w:t>
            </w:r>
            <w:r w:rsidRPr="00162CAA">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589332A4" w14:textId="77777777" w:rsidR="00162CAA" w:rsidRPr="00162CAA" w:rsidRDefault="00162CAA" w:rsidP="00162CAA">
            <w:pPr>
              <w:spacing w:after="60"/>
              <w:rPr>
                <w:iCs/>
                <w:sz w:val="20"/>
                <w:szCs w:val="24"/>
              </w:rPr>
            </w:pPr>
            <w:r w:rsidRPr="00162CAA">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20A946C"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sz w:val="20"/>
                <w:szCs w:val="24"/>
              </w:rPr>
              <w:t>q</w:t>
            </w:r>
            <w:r w:rsidRPr="00162CAA">
              <w:rPr>
                <w:iCs/>
                <w:sz w:val="20"/>
                <w:szCs w:val="24"/>
              </w:rPr>
              <w:t xml:space="preserve">, for all Resources, for the 15-minute Settlement Interval within the Operating Day.  </w:t>
            </w:r>
          </w:p>
        </w:tc>
      </w:tr>
      <w:tr w:rsidR="00162CAA" w:rsidRPr="00162CAA" w14:paraId="6E1C42C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36C3E343"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13F24095" w14:textId="77777777" w:rsidR="00162CAA" w:rsidRPr="00162CAA" w:rsidRDefault="00162CAA" w:rsidP="00162CAA">
            <w:pPr>
              <w:spacing w:after="60"/>
              <w:rPr>
                <w:i/>
                <w:iCs/>
                <w:sz w:val="20"/>
                <w:szCs w:val="24"/>
              </w:rPr>
            </w:pPr>
            <w:r w:rsidRPr="00162CAA">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4FA4534B" w14:textId="77777777" w:rsidR="00162CAA" w:rsidRPr="00162CAA" w:rsidRDefault="00162CAA" w:rsidP="00162CAA">
            <w:pPr>
              <w:spacing w:after="60"/>
              <w:rPr>
                <w:iCs/>
                <w:sz w:val="20"/>
                <w:szCs w:val="24"/>
              </w:rPr>
            </w:pPr>
            <w:r w:rsidRPr="00162CAA">
              <w:rPr>
                <w:i/>
                <w:iCs/>
                <w:sz w:val="20"/>
                <w:szCs w:val="24"/>
              </w:rPr>
              <w:t>Operating Losses Payment Amount</w:t>
            </w:r>
            <w:r w:rsidRPr="00162CAA">
              <w:rPr>
                <w:szCs w:val="24"/>
              </w:rPr>
              <w:t xml:space="preserve"> – </w:t>
            </w:r>
            <w:r w:rsidRPr="00162CAA">
              <w:rPr>
                <w:iCs/>
                <w:sz w:val="20"/>
                <w:szCs w:val="24"/>
              </w:rPr>
              <w:t xml:space="preserve">The operating losses payment to the QSE </w:t>
            </w:r>
            <w:r w:rsidRPr="00162CAA">
              <w:rPr>
                <w:i/>
                <w:sz w:val="20"/>
                <w:szCs w:val="24"/>
              </w:rPr>
              <w:t>q</w:t>
            </w:r>
            <w:r w:rsidRPr="00162CAA">
              <w:rPr>
                <w:iCs/>
                <w:sz w:val="20"/>
                <w:szCs w:val="24"/>
              </w:rPr>
              <w:t xml:space="preserve">, for Resource </w:t>
            </w:r>
            <w:r w:rsidRPr="00162CAA">
              <w:rPr>
                <w:i/>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sz w:val="20"/>
                <w:szCs w:val="24"/>
              </w:rPr>
              <w:t>r</w:t>
            </w:r>
            <w:r w:rsidRPr="00162CAA">
              <w:rPr>
                <w:iCs/>
                <w:sz w:val="20"/>
                <w:szCs w:val="24"/>
              </w:rPr>
              <w:t xml:space="preserve"> is the Combined Cycle Train.</w:t>
            </w:r>
          </w:p>
        </w:tc>
      </w:tr>
      <w:tr w:rsidR="00162CAA" w:rsidRPr="00162CAA" w14:paraId="4FF942CC"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4D3BBB84" w14:textId="77777777" w:rsidR="00162CAA" w:rsidRPr="00162CAA" w:rsidRDefault="00162CAA" w:rsidP="00162CAA">
            <w:pPr>
              <w:spacing w:after="60"/>
              <w:rPr>
                <w:i/>
                <w:iCs/>
                <w:sz w:val="20"/>
                <w:szCs w:val="24"/>
              </w:rPr>
            </w:pPr>
            <w:r w:rsidRPr="00162CAA">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07959956"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1283EAE"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3BC7ADA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28845EAF" w14:textId="77777777" w:rsidR="00162CAA" w:rsidRPr="00162CAA" w:rsidRDefault="00162CAA" w:rsidP="00162CAA">
            <w:pPr>
              <w:spacing w:after="60"/>
              <w:rPr>
                <w:i/>
                <w:iCs/>
                <w:sz w:val="20"/>
                <w:szCs w:val="24"/>
              </w:rPr>
            </w:pPr>
            <w:r w:rsidRPr="00162CAA">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7931197E"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BABE045"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7F2411BD"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765EB45D" w14:textId="77777777" w:rsidR="00162CAA" w:rsidRPr="00162CAA" w:rsidRDefault="00162CAA" w:rsidP="00162CAA">
            <w:pPr>
              <w:spacing w:after="60"/>
              <w:rPr>
                <w:i/>
                <w:iCs/>
                <w:sz w:val="20"/>
                <w:szCs w:val="24"/>
              </w:rPr>
            </w:pPr>
            <w:r w:rsidRPr="00162CAA">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2A3A50EB"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A3F0809"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bl>
    <w:p w14:paraId="17A1F7D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3ED87DC1" w14:textId="77777777" w:rsidTr="00764A29">
        <w:trPr>
          <w:trHeight w:val="206"/>
        </w:trPr>
        <w:tc>
          <w:tcPr>
            <w:tcW w:w="5000" w:type="pct"/>
            <w:shd w:val="pct12" w:color="auto" w:fill="auto"/>
          </w:tcPr>
          <w:p w14:paraId="1E4CA668" w14:textId="123F8CAE" w:rsidR="00764A29" w:rsidRDefault="00764A29" w:rsidP="00B327B6">
            <w:pPr>
              <w:pStyle w:val="Instructions"/>
              <w:spacing w:before="120"/>
            </w:pPr>
            <w:bookmarkStart w:id="2833" w:name="_Toc72925597"/>
            <w:bookmarkStart w:id="2834" w:name="_Toc74113622"/>
            <w:bookmarkStart w:id="2835" w:name="_Toc88017254"/>
            <w:bookmarkStart w:id="2836" w:name="_Toc101091058"/>
            <w:bookmarkStart w:id="2837" w:name="_Toc400547193"/>
            <w:bookmarkStart w:id="2838" w:name="_Toc405384298"/>
            <w:bookmarkStart w:id="2839" w:name="_Toc405543565"/>
            <w:bookmarkStart w:id="2840" w:name="_Toc428178074"/>
            <w:bookmarkStart w:id="2841" w:name="_Toc440872705"/>
            <w:bookmarkStart w:id="2842" w:name="_Toc458766250"/>
            <w:bookmarkStart w:id="2843" w:name="_Toc459292655"/>
            <w:bookmarkStart w:id="2844" w:name="_Toc60038362"/>
            <w:bookmarkStart w:id="2845" w:name="_Toc493250760"/>
            <w:bookmarkStart w:id="2846" w:name="_Toc181499"/>
            <w:bookmarkStart w:id="2847" w:name="_Toc181597"/>
            <w:r>
              <w:t>[NPRR1086 and NPRR1216:  Replace applicable portions of Section 6.8.2 above with the following upon system implementation of NPRR1029 for NPRR1086; or upon system implementation for NPRR1216:]</w:t>
            </w:r>
          </w:p>
          <w:p w14:paraId="3D8D4361" w14:textId="77777777" w:rsidR="00764A29" w:rsidRPr="00D61479" w:rsidRDefault="00764A29" w:rsidP="00D61479">
            <w:pPr>
              <w:keepNext/>
              <w:widowControl w:val="0"/>
              <w:tabs>
                <w:tab w:val="left" w:pos="1260"/>
              </w:tabs>
              <w:spacing w:before="240" w:after="240"/>
              <w:ind w:left="1267" w:hanging="1267"/>
              <w:outlineLvl w:val="3"/>
              <w:rPr>
                <w:i/>
                <w:iCs/>
                <w:snapToGrid w:val="0"/>
              </w:rPr>
            </w:pPr>
            <w:bookmarkStart w:id="2848" w:name="_Toc189044509"/>
            <w:bookmarkStart w:id="2849" w:name="_Hlk178096563"/>
            <w:r w:rsidRPr="00D61479">
              <w:rPr>
                <w:b/>
                <w:bCs/>
                <w:i/>
                <w:iCs/>
                <w:snapToGrid w:val="0"/>
              </w:rPr>
              <w:t xml:space="preserve">6.8.2   </w:t>
            </w:r>
            <w:r w:rsidRPr="00D61479">
              <w:rPr>
                <w:b/>
                <w:i/>
                <w:iCs/>
                <w:snapToGrid w:val="0"/>
              </w:rPr>
              <w:t xml:space="preserve">Recovery of Operating Losses During an LCAP or </w:t>
            </w:r>
            <w:r w:rsidRPr="00D61479">
              <w:rPr>
                <w:b/>
                <w:bCs/>
                <w:i/>
                <w:iCs/>
                <w:snapToGrid w:val="0"/>
              </w:rPr>
              <w:t>ECAP</w:t>
            </w:r>
            <w:r w:rsidRPr="00D61479">
              <w:rPr>
                <w:b/>
                <w:i/>
                <w:iCs/>
                <w:snapToGrid w:val="0"/>
              </w:rPr>
              <w:t xml:space="preserve"> Effective Period</w:t>
            </w:r>
            <w:bookmarkEnd w:id="2848"/>
          </w:p>
          <w:p w14:paraId="6F5EC53D" w14:textId="77777777" w:rsidR="00764A29" w:rsidRPr="00764A29" w:rsidRDefault="00764A29" w:rsidP="00764A29">
            <w:pPr>
              <w:spacing w:after="240"/>
              <w:ind w:left="720" w:hanging="720"/>
            </w:pPr>
            <w:r w:rsidRPr="00764A29">
              <w:t>(1)</w:t>
            </w:r>
            <w:r w:rsidRPr="00764A29">
              <w:tab/>
              <w:t>ERCOT shall calculate the recovery of operating losses during an LCAP or ECAP Effective Period with the actual marginal costs that exceed LCAP or ECAP revenues in accordance with this Section.</w:t>
            </w:r>
          </w:p>
          <w:p w14:paraId="21C1AFAC" w14:textId="77777777" w:rsidR="00764A29" w:rsidRPr="00764A29" w:rsidRDefault="00764A29" w:rsidP="00764A29">
            <w:pPr>
              <w:spacing w:after="240"/>
              <w:ind w:left="720" w:hanging="720"/>
            </w:pPr>
            <w:r w:rsidRPr="00764A29">
              <w:t>(2)</w:t>
            </w:r>
            <w:r w:rsidRPr="00764A29">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1E7D0C5D" w14:textId="77777777" w:rsidR="00764A29" w:rsidRPr="00764A29" w:rsidRDefault="00764A29" w:rsidP="00764A29">
            <w:pPr>
              <w:spacing w:before="240" w:after="240"/>
              <w:ind w:left="720" w:hanging="720"/>
              <w:rPr>
                <w:szCs w:val="24"/>
              </w:rPr>
            </w:pPr>
            <w:r w:rsidRPr="00764A29">
              <w:rPr>
                <w:szCs w:val="24"/>
              </w:rPr>
              <w:t xml:space="preserve">(3)       Payment for operating losses during an LCAP or ECAP Effective Period is calculated as follows:  </w:t>
            </w:r>
          </w:p>
          <w:p w14:paraId="3E500C13" w14:textId="77777777" w:rsidR="00764A29" w:rsidRPr="00764A29" w:rsidRDefault="00764A29" w:rsidP="00764A29">
            <w:pPr>
              <w:spacing w:after="240"/>
              <w:ind w:left="720"/>
              <w:rPr>
                <w:szCs w:val="24"/>
              </w:rPr>
            </w:pPr>
            <w:r w:rsidRPr="00764A29">
              <w:rPr>
                <w:szCs w:val="24"/>
              </w:rPr>
              <w:t xml:space="preserve">OPLPAMT </w:t>
            </w:r>
            <w:r w:rsidRPr="00764A29">
              <w:rPr>
                <w:i/>
                <w:szCs w:val="24"/>
                <w:vertAlign w:val="subscript"/>
              </w:rPr>
              <w:t>q, r, i</w:t>
            </w:r>
            <w:r w:rsidRPr="00764A29">
              <w:rPr>
                <w:szCs w:val="24"/>
              </w:rPr>
              <w:t xml:space="preserve">  =  (-1) * (OPL</w:t>
            </w:r>
            <w:r w:rsidRPr="00764A29">
              <w:rPr>
                <w:i/>
                <w:szCs w:val="24"/>
                <w:vertAlign w:val="subscript"/>
              </w:rPr>
              <w:t xml:space="preserve"> q, r, i</w:t>
            </w:r>
            <w:r w:rsidRPr="00764A29">
              <w:rPr>
                <w:szCs w:val="24"/>
              </w:rPr>
              <w:t xml:space="preserve"> + ADJOPL</w:t>
            </w:r>
            <w:r w:rsidRPr="00764A29">
              <w:rPr>
                <w:i/>
                <w:szCs w:val="24"/>
                <w:vertAlign w:val="subscript"/>
              </w:rPr>
              <w:t xml:space="preserve"> q, r, i</w:t>
            </w:r>
            <w:r w:rsidRPr="00764A29">
              <w:rPr>
                <w:szCs w:val="24"/>
              </w:rPr>
              <w:t>)</w:t>
            </w:r>
          </w:p>
          <w:p w14:paraId="1FEC08E6" w14:textId="77777777" w:rsidR="00764A29" w:rsidRPr="00764A29" w:rsidRDefault="00764A29" w:rsidP="00764A29">
            <w:pPr>
              <w:spacing w:after="240"/>
              <w:ind w:left="720"/>
              <w:rPr>
                <w:szCs w:val="24"/>
              </w:rPr>
            </w:pPr>
            <w:r w:rsidRPr="00764A29">
              <w:rPr>
                <w:szCs w:val="24"/>
              </w:rPr>
              <w:t>Where,</w:t>
            </w:r>
          </w:p>
          <w:p w14:paraId="3D1E2AC8" w14:textId="77777777" w:rsidR="00764A29" w:rsidRPr="00764A29" w:rsidRDefault="00764A29" w:rsidP="00764A29">
            <w:pPr>
              <w:spacing w:after="240"/>
              <w:ind w:left="1440" w:hanging="720"/>
              <w:rPr>
                <w:iCs/>
                <w:szCs w:val="24"/>
              </w:rPr>
            </w:pPr>
            <w:r w:rsidRPr="00764A29">
              <w:rPr>
                <w:iCs/>
                <w:szCs w:val="24"/>
              </w:rPr>
              <w:t>For the Generation Resource:</w:t>
            </w:r>
          </w:p>
          <w:p w14:paraId="495C2295" w14:textId="7B854568" w:rsidR="00764A29" w:rsidRPr="00764A29" w:rsidRDefault="00764A29" w:rsidP="00764A29">
            <w:pPr>
              <w:tabs>
                <w:tab w:val="decimal" w:pos="1440"/>
                <w:tab w:val="left" w:pos="2340"/>
              </w:tabs>
              <w:spacing w:after="240"/>
              <w:ind w:left="3420" w:hanging="1980"/>
              <w:rPr>
                <w:bCs/>
                <w:szCs w:val="24"/>
                <w:lang w:val="sv-SE"/>
              </w:rPr>
            </w:pPr>
            <w:r w:rsidRPr="00764A29">
              <w:rPr>
                <w:bCs/>
                <w:szCs w:val="24"/>
                <w:lang w:val="sv-SE"/>
              </w:rPr>
              <w:lastRenderedPageBreak/>
              <w:t>OPL</w:t>
            </w:r>
            <w:r w:rsidRPr="00764A29">
              <w:rPr>
                <w:i/>
                <w:szCs w:val="24"/>
                <w:vertAlign w:val="subscript"/>
                <w:lang w:val="sv-SE"/>
              </w:rPr>
              <w:t xml:space="preserve"> </w:t>
            </w:r>
            <w:r w:rsidRPr="00764A29">
              <w:rPr>
                <w:bCs/>
                <w:i/>
                <w:szCs w:val="24"/>
                <w:vertAlign w:val="subscript"/>
                <w:lang w:val="sv-SE"/>
              </w:rPr>
              <w:t>q, r,</w:t>
            </w:r>
            <w:r w:rsidR="00AE0530">
              <w:rPr>
                <w:bCs/>
                <w:i/>
                <w:szCs w:val="24"/>
                <w:vertAlign w:val="subscript"/>
                <w:lang w:val="sv-SE"/>
              </w:rPr>
              <w:t xml:space="preserve"> </w:t>
            </w:r>
            <w:r w:rsidRPr="00764A29">
              <w:rPr>
                <w:bCs/>
                <w:i/>
                <w:szCs w:val="24"/>
                <w:vertAlign w:val="subscript"/>
                <w:lang w:val="sv-SE"/>
              </w:rPr>
              <w:t xml:space="preserve">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q, r, i</w:t>
            </w:r>
            <w:r w:rsidRPr="00764A29">
              <w:rPr>
                <w:bCs/>
                <w:szCs w:val="24"/>
                <w:lang w:val="sv-SE"/>
              </w:rPr>
              <w:t xml:space="preserve"> - Max(LCAP, RTSPP</w:t>
            </w:r>
            <w:r w:rsidRPr="00764A29">
              <w:rPr>
                <w:szCs w:val="24"/>
                <w:lang w:val="sv-SE"/>
              </w:rPr>
              <w:t xml:space="preserve"> </w:t>
            </w:r>
            <w:r w:rsidRPr="00764A29">
              <w:rPr>
                <w:i/>
                <w:szCs w:val="24"/>
                <w:vertAlign w:val="subscript"/>
                <w:lang w:val="sv-SE"/>
              </w:rPr>
              <w:t>p, i</w:t>
            </w:r>
            <w:r w:rsidRPr="00764A29">
              <w:rPr>
                <w:bCs/>
                <w:szCs w:val="24"/>
                <w:lang w:val="sv-SE"/>
              </w:rPr>
              <w:t>)) *</w:t>
            </w:r>
            <w:r w:rsidRPr="00764A29">
              <w:rPr>
                <w:szCs w:val="24"/>
                <w:lang w:val="sv-SE"/>
              </w:rPr>
              <w:t xml:space="preserve"> Min(</w:t>
            </w:r>
            <w:r w:rsidRPr="00764A29">
              <w:rPr>
                <w:bCs/>
                <w:szCs w:val="24"/>
                <w:lang w:val="sv-SE"/>
              </w:rPr>
              <w:t xml:space="preserve">RTMG </w:t>
            </w:r>
            <w:r w:rsidRPr="00764A29">
              <w:rPr>
                <w:bCs/>
                <w:i/>
                <w:szCs w:val="24"/>
                <w:vertAlign w:val="subscript"/>
                <w:lang w:val="sv-SE"/>
              </w:rPr>
              <w:t>q, r, i</w:t>
            </w:r>
            <w:r w:rsidRPr="00764A29">
              <w:rPr>
                <w:szCs w:val="24"/>
                <w:lang w:val="sv-SE"/>
              </w:rPr>
              <w:t>, MEP</w:t>
            </w:r>
            <w:r w:rsidRPr="00764A29">
              <w:rPr>
                <w:bCs/>
                <w:i/>
                <w:szCs w:val="24"/>
                <w:vertAlign w:val="subscript"/>
                <w:lang w:val="sv-SE"/>
              </w:rPr>
              <w:t xml:space="preserve"> q, r, i</w:t>
            </w:r>
            <w:r w:rsidRPr="00764A29">
              <w:rPr>
                <w:bCs/>
                <w:szCs w:val="24"/>
                <w:lang w:val="sv-SE"/>
              </w:rPr>
              <w:t xml:space="preserve">))  </w:t>
            </w:r>
          </w:p>
          <w:p w14:paraId="6EA7857E" w14:textId="0F8A6BE7" w:rsidR="00764A29" w:rsidRPr="00764A29" w:rsidRDefault="00764A29" w:rsidP="00764A29">
            <w:pPr>
              <w:tabs>
                <w:tab w:val="left" w:pos="2340"/>
                <w:tab w:val="left" w:pos="3420"/>
              </w:tabs>
              <w:spacing w:after="240"/>
              <w:ind w:left="1440"/>
              <w:rPr>
                <w:bCs/>
                <w:iCs/>
                <w:szCs w:val="24"/>
                <w:lang w:val="sv-SE"/>
              </w:rPr>
            </w:pPr>
            <w:r w:rsidRPr="00764A29">
              <w:rPr>
                <w:bCs/>
                <w:iCs/>
                <w:szCs w:val="24"/>
                <w:lang w:val="sv-SE"/>
              </w:rPr>
              <w:t xml:space="preserve">AMC </w:t>
            </w:r>
            <w:r w:rsidRPr="00764A29">
              <w:rPr>
                <w:bCs/>
                <w:i/>
                <w:szCs w:val="24"/>
                <w:vertAlign w:val="subscript"/>
                <w:lang w:val="sv-SE"/>
              </w:rPr>
              <w:t>q, r, i</w:t>
            </w:r>
            <w:r w:rsidRPr="00764A29">
              <w:rPr>
                <w:bCs/>
                <w:iCs/>
                <w:szCs w:val="24"/>
                <w:lang w:val="sv-SE"/>
              </w:rPr>
              <w:t xml:space="preserve">    =     MFC </w:t>
            </w:r>
            <w:r w:rsidRPr="00764A29">
              <w:rPr>
                <w:bCs/>
                <w:i/>
                <w:szCs w:val="24"/>
                <w:vertAlign w:val="subscript"/>
                <w:lang w:val="sv-SE"/>
              </w:rPr>
              <w:t xml:space="preserve">q, r, i </w:t>
            </w:r>
            <w:r w:rsidRPr="00764A29">
              <w:rPr>
                <w:bCs/>
                <w:iCs/>
                <w:szCs w:val="24"/>
                <w:lang w:val="sv-SE"/>
              </w:rPr>
              <w:t xml:space="preserve">+ VOM </w:t>
            </w:r>
            <w:r w:rsidRPr="00764A29">
              <w:rPr>
                <w:bCs/>
                <w:i/>
                <w:szCs w:val="24"/>
                <w:vertAlign w:val="subscript"/>
                <w:lang w:val="sv-SE"/>
              </w:rPr>
              <w:t>q, r</w:t>
            </w:r>
            <w:r w:rsidRPr="00764A29">
              <w:rPr>
                <w:bCs/>
                <w:iCs/>
                <w:szCs w:val="24"/>
                <w:lang w:val="sv-SE"/>
              </w:rPr>
              <w:t xml:space="preserve">     </w:t>
            </w:r>
          </w:p>
          <w:p w14:paraId="2BB92B09" w14:textId="77777777" w:rsidR="00764A29" w:rsidRPr="00764A29" w:rsidRDefault="00764A29" w:rsidP="00764A29">
            <w:pPr>
              <w:spacing w:after="240"/>
              <w:ind w:firstLine="720"/>
              <w:rPr>
                <w:iCs/>
                <w:szCs w:val="24"/>
              </w:rPr>
            </w:pPr>
            <w:r w:rsidRPr="00764A29">
              <w:rPr>
                <w:iCs/>
                <w:szCs w:val="24"/>
              </w:rPr>
              <w:t>If ERCOT approved ROM for the Generation Resource:</w:t>
            </w:r>
          </w:p>
          <w:p w14:paraId="79B4C046"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MEP</w:t>
            </w:r>
            <w:r w:rsidRPr="00764A29">
              <w:rPr>
                <w:bCs/>
                <w:i/>
                <w:szCs w:val="24"/>
                <w:vertAlign w:val="subscript"/>
                <w:lang w:val="sv-SE"/>
              </w:rPr>
              <w:t xml:space="preserve"> q, r, i</w:t>
            </w:r>
            <w:r w:rsidRPr="00764A29">
              <w:rPr>
                <w:bCs/>
                <w:szCs w:val="24"/>
                <w:lang w:val="sv-SE"/>
              </w:rPr>
              <w:tab/>
              <w:t xml:space="preserve">  =       AMF</w:t>
            </w:r>
            <w:r w:rsidRPr="00764A29">
              <w:rPr>
                <w:bCs/>
                <w:i/>
                <w:szCs w:val="24"/>
                <w:vertAlign w:val="subscript"/>
                <w:lang w:val="es-ES"/>
              </w:rPr>
              <w:t xml:space="preserve"> q, r, i</w:t>
            </w:r>
            <w:r w:rsidRPr="00764A29">
              <w:rPr>
                <w:bCs/>
                <w:szCs w:val="24"/>
                <w:lang w:val="sv-SE"/>
              </w:rPr>
              <w:t xml:space="preserve"> / AHR </w:t>
            </w:r>
            <w:r w:rsidRPr="00764A29">
              <w:rPr>
                <w:bCs/>
                <w:i/>
                <w:szCs w:val="24"/>
                <w:vertAlign w:val="subscript"/>
                <w:lang w:val="es-ES"/>
              </w:rPr>
              <w:t xml:space="preserve">q, r, i </w:t>
            </w:r>
          </w:p>
          <w:p w14:paraId="26412CA0"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MFC</w:t>
            </w:r>
            <w:r w:rsidRPr="00764A29">
              <w:rPr>
                <w:bCs/>
                <w:iCs/>
                <w:szCs w:val="24"/>
                <w:lang w:val="sv-SE"/>
              </w:rPr>
              <w:t xml:space="preserve"> </w:t>
            </w:r>
            <w:r w:rsidRPr="00764A29">
              <w:rPr>
                <w:bCs/>
                <w:i/>
                <w:szCs w:val="24"/>
                <w:vertAlign w:val="subscript"/>
                <w:lang w:val="sv-SE"/>
              </w:rPr>
              <w:t xml:space="preserve">q, r, i </w:t>
            </w:r>
            <w:r w:rsidRPr="00764A29">
              <w:rPr>
                <w:bCs/>
                <w:iCs/>
                <w:szCs w:val="24"/>
                <w:lang w:val="sv-SE"/>
              </w:rPr>
              <w:t xml:space="preserve">     =   AHR </w:t>
            </w:r>
            <w:r w:rsidRPr="00764A29">
              <w:rPr>
                <w:bCs/>
                <w:i/>
                <w:szCs w:val="24"/>
                <w:vertAlign w:val="subscript"/>
                <w:lang w:val="sv-SE"/>
              </w:rPr>
              <w:t>q, r, i</w:t>
            </w:r>
            <w:r w:rsidRPr="00764A29">
              <w:rPr>
                <w:bCs/>
                <w:iCs/>
                <w:szCs w:val="24"/>
                <w:lang w:val="sv-SE"/>
              </w:rPr>
              <w:t xml:space="preserve"> * WAFP </w:t>
            </w:r>
            <w:r w:rsidRPr="00764A29">
              <w:rPr>
                <w:bCs/>
                <w:i/>
                <w:szCs w:val="24"/>
                <w:vertAlign w:val="subscript"/>
                <w:lang w:val="sv-SE"/>
              </w:rPr>
              <w:t>q, r, i</w:t>
            </w:r>
            <w:r w:rsidRPr="00764A29">
              <w:rPr>
                <w:bCs/>
                <w:iCs/>
                <w:szCs w:val="24"/>
                <w:lang w:val="sv-SE"/>
              </w:rPr>
              <w:t xml:space="preserve">  </w:t>
            </w:r>
          </w:p>
          <w:p w14:paraId="2D59BEE2" w14:textId="7C32978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VOM</w:t>
            </w:r>
            <w:r w:rsidRPr="00764A29">
              <w:rPr>
                <w:bCs/>
                <w:iCs/>
                <w:szCs w:val="24"/>
                <w:lang w:val="sv-SE"/>
              </w:rPr>
              <w:t xml:space="preserve"> </w:t>
            </w:r>
            <w:r w:rsidRPr="00764A29">
              <w:rPr>
                <w:bCs/>
                <w:i/>
                <w:szCs w:val="24"/>
                <w:vertAlign w:val="subscript"/>
                <w:lang w:val="sv-SE"/>
              </w:rPr>
              <w:t>q, r</w:t>
            </w:r>
            <w:r w:rsidRPr="00764A29">
              <w:rPr>
                <w:bCs/>
                <w:iCs/>
                <w:szCs w:val="24"/>
                <w:lang w:val="sv-SE"/>
              </w:rPr>
              <w:t xml:space="preserve">   =    ROM </w:t>
            </w:r>
            <w:r w:rsidRPr="00764A29">
              <w:rPr>
                <w:bCs/>
                <w:i/>
                <w:szCs w:val="24"/>
                <w:vertAlign w:val="subscript"/>
                <w:lang w:val="sv-SE"/>
              </w:rPr>
              <w:t>q, r</w:t>
            </w:r>
            <w:r w:rsidRPr="00764A29">
              <w:rPr>
                <w:bCs/>
                <w:iCs/>
                <w:szCs w:val="24"/>
                <w:lang w:val="sv-SE"/>
              </w:rPr>
              <w:t xml:space="preserve"> + IVC </w:t>
            </w:r>
            <w:r w:rsidRPr="00764A29">
              <w:rPr>
                <w:bCs/>
                <w:i/>
                <w:szCs w:val="24"/>
                <w:vertAlign w:val="subscript"/>
                <w:lang w:val="sv-SE"/>
              </w:rPr>
              <w:t>q, r</w:t>
            </w:r>
            <w:r w:rsidRPr="00764A29">
              <w:rPr>
                <w:bCs/>
                <w:iCs/>
                <w:szCs w:val="24"/>
                <w:lang w:val="sv-SE"/>
              </w:rPr>
              <w:t xml:space="preserve">   </w:t>
            </w:r>
          </w:p>
          <w:p w14:paraId="66FCA5E3" w14:textId="77777777" w:rsidR="00764A29" w:rsidRPr="00764A29" w:rsidRDefault="00764A29" w:rsidP="00764A29">
            <w:pPr>
              <w:tabs>
                <w:tab w:val="left" w:pos="2340"/>
                <w:tab w:val="left" w:pos="3420"/>
              </w:tabs>
              <w:spacing w:after="240"/>
              <w:ind w:left="720"/>
              <w:rPr>
                <w:bCs/>
                <w:iCs/>
                <w:szCs w:val="24"/>
              </w:rPr>
            </w:pPr>
            <w:r w:rsidRPr="00764A29">
              <w:rPr>
                <w:bCs/>
                <w:iCs/>
                <w:szCs w:val="24"/>
              </w:rPr>
              <w:t xml:space="preserve">Otherwise, </w:t>
            </w:r>
          </w:p>
          <w:p w14:paraId="0574E1BD" w14:textId="77777777" w:rsidR="00764A29" w:rsidRPr="00764A29" w:rsidRDefault="00764A29" w:rsidP="00764A29">
            <w:pPr>
              <w:tabs>
                <w:tab w:val="decimal" w:pos="1440"/>
                <w:tab w:val="left" w:pos="2340"/>
              </w:tabs>
              <w:spacing w:after="240"/>
              <w:ind w:left="3420" w:hanging="1980"/>
              <w:rPr>
                <w:bCs/>
                <w:szCs w:val="24"/>
              </w:rPr>
            </w:pPr>
            <w:r w:rsidRPr="00764A29">
              <w:rPr>
                <w:bCs/>
                <w:szCs w:val="24"/>
              </w:rPr>
              <w:t xml:space="preserve">MFC </w:t>
            </w:r>
            <w:r w:rsidRPr="00764A29">
              <w:rPr>
                <w:bCs/>
                <w:i/>
                <w:szCs w:val="24"/>
                <w:vertAlign w:val="subscript"/>
              </w:rPr>
              <w:t xml:space="preserve">q, r, i   </w:t>
            </w:r>
            <w:r w:rsidRPr="00764A29">
              <w:rPr>
                <w:bCs/>
                <w:szCs w:val="24"/>
              </w:rPr>
              <w:t xml:space="preserve"> = </w:t>
            </w:r>
            <w:r w:rsidRPr="00764A29">
              <w:rPr>
                <w:bCs/>
                <w:szCs w:val="24"/>
              </w:rPr>
              <w:tab/>
              <w:t>P</w:t>
            </w:r>
            <w:r w:rsidRPr="00764A29">
              <w:rPr>
                <w:bCs/>
                <w:szCs w:val="24"/>
                <w:lang w:val="pt-BR"/>
              </w:rPr>
              <w:t xml:space="preserve">AHR </w:t>
            </w:r>
            <w:r w:rsidRPr="00764A29">
              <w:rPr>
                <w:bCs/>
                <w:i/>
                <w:szCs w:val="24"/>
                <w:vertAlign w:val="subscript"/>
                <w:lang w:val="es-ES"/>
              </w:rPr>
              <w:t>q, r, i</w:t>
            </w:r>
            <w:r w:rsidRPr="00764A29">
              <w:rPr>
                <w:bCs/>
                <w:szCs w:val="24"/>
                <w:lang w:val="es-ES"/>
              </w:rPr>
              <w:t xml:space="preserve"> </w:t>
            </w:r>
            <w:r w:rsidRPr="00764A29">
              <w:rPr>
                <w:bCs/>
                <w:szCs w:val="24"/>
              </w:rPr>
              <w:t xml:space="preserve">* </w:t>
            </w:r>
            <w:r w:rsidRPr="00764A29">
              <w:rPr>
                <w:szCs w:val="24"/>
              </w:rPr>
              <w:t>WAFP</w:t>
            </w:r>
            <w:r w:rsidRPr="00764A29">
              <w:rPr>
                <w:i/>
                <w:szCs w:val="24"/>
              </w:rPr>
              <w:t xml:space="preserve"> </w:t>
            </w:r>
            <w:r w:rsidRPr="00764A29">
              <w:rPr>
                <w:bCs/>
                <w:i/>
                <w:szCs w:val="24"/>
                <w:vertAlign w:val="subscript"/>
                <w:lang w:val="es-ES"/>
              </w:rPr>
              <w:t>q, r, i</w:t>
            </w:r>
            <w:r w:rsidRPr="00764A29">
              <w:rPr>
                <w:bCs/>
                <w:szCs w:val="24"/>
              </w:rPr>
              <w:t xml:space="preserve">    </w:t>
            </w:r>
          </w:p>
          <w:p w14:paraId="7004D531" w14:textId="4035CC13" w:rsidR="00764A29" w:rsidRPr="00764A29" w:rsidRDefault="00764A29" w:rsidP="00764A29">
            <w:pPr>
              <w:tabs>
                <w:tab w:val="decimal" w:pos="1440"/>
                <w:tab w:val="left" w:pos="2340"/>
              </w:tabs>
              <w:spacing w:after="240"/>
              <w:ind w:left="3420" w:hanging="1980"/>
              <w:rPr>
                <w:bCs/>
                <w:iCs/>
                <w:szCs w:val="24"/>
                <w:lang w:val="sv-SE"/>
              </w:rPr>
            </w:pPr>
            <w:r w:rsidRPr="00764A29">
              <w:rPr>
                <w:bCs/>
                <w:iCs/>
                <w:szCs w:val="24"/>
                <w:lang w:val="sv-SE"/>
              </w:rPr>
              <w:t xml:space="preserve">VOM </w:t>
            </w:r>
            <w:r w:rsidRPr="00764A29">
              <w:rPr>
                <w:bCs/>
                <w:i/>
                <w:szCs w:val="24"/>
                <w:vertAlign w:val="subscript"/>
                <w:lang w:val="sv-SE"/>
              </w:rPr>
              <w:t>q, r</w:t>
            </w:r>
            <w:r w:rsidRPr="00764A29">
              <w:rPr>
                <w:bCs/>
                <w:iCs/>
                <w:szCs w:val="24"/>
                <w:lang w:val="sv-SE"/>
              </w:rPr>
              <w:t xml:space="preserve">     =     </w:t>
            </w:r>
            <w:r w:rsidRPr="00764A29">
              <w:rPr>
                <w:bCs/>
                <w:iCs/>
                <w:szCs w:val="24"/>
                <w:lang w:val="sv-SE"/>
              </w:rPr>
              <w:tab/>
            </w:r>
            <w:r w:rsidRPr="00764A29">
              <w:rPr>
                <w:bCs/>
                <w:szCs w:val="24"/>
              </w:rPr>
              <w:t>Max (</w:t>
            </w:r>
            <w:r w:rsidRPr="00764A29">
              <w:rPr>
                <w:bCs/>
                <w:iCs/>
                <w:szCs w:val="24"/>
                <w:lang w:val="sv-SE"/>
              </w:rPr>
              <w:t xml:space="preserve">IVC </w:t>
            </w:r>
            <w:r w:rsidRPr="00764A29">
              <w:rPr>
                <w:bCs/>
                <w:i/>
                <w:szCs w:val="24"/>
                <w:vertAlign w:val="subscript"/>
                <w:lang w:val="sv-SE"/>
              </w:rPr>
              <w:t>q, r</w:t>
            </w:r>
            <w:r w:rsidRPr="00764A29">
              <w:rPr>
                <w:bCs/>
                <w:iCs/>
                <w:szCs w:val="24"/>
                <w:lang w:val="sv-SE"/>
              </w:rPr>
              <w:t>,</w:t>
            </w:r>
            <w:r w:rsidRPr="00764A29">
              <w:rPr>
                <w:bCs/>
                <w:i/>
                <w:szCs w:val="24"/>
                <w:vertAlign w:val="subscript"/>
                <w:lang w:val="sv-SE"/>
              </w:rPr>
              <w:t xml:space="preserve"> </w:t>
            </w:r>
            <w:r w:rsidRPr="00764A29">
              <w:rPr>
                <w:bCs/>
                <w:szCs w:val="24"/>
              </w:rPr>
              <w:t xml:space="preserve">STOM </w:t>
            </w:r>
            <w:r w:rsidRPr="00764A29">
              <w:rPr>
                <w:bCs/>
                <w:i/>
                <w:szCs w:val="24"/>
                <w:vertAlign w:val="subscript"/>
              </w:rPr>
              <w:t>rc</w:t>
            </w:r>
            <w:r w:rsidRPr="00764A29">
              <w:rPr>
                <w:bCs/>
                <w:iCs/>
                <w:szCs w:val="24"/>
              </w:rPr>
              <w:t>)</w:t>
            </w:r>
          </w:p>
          <w:p w14:paraId="0473A839" w14:textId="77777777" w:rsidR="00764A29" w:rsidRPr="00764A29" w:rsidRDefault="00764A29" w:rsidP="00764A29">
            <w:pPr>
              <w:tabs>
                <w:tab w:val="decimal" w:pos="1440"/>
                <w:tab w:val="left" w:pos="2340"/>
              </w:tabs>
              <w:spacing w:after="240"/>
              <w:ind w:left="3420" w:hanging="1980"/>
              <w:rPr>
                <w:bCs/>
                <w:szCs w:val="24"/>
                <w:lang w:val="sv-SE"/>
              </w:rPr>
            </w:pPr>
            <w:r w:rsidRPr="00764A29">
              <w:rPr>
                <w:szCs w:val="24"/>
                <w:lang w:val="sv-SE"/>
              </w:rPr>
              <w:t>MEP</w:t>
            </w:r>
            <w:r w:rsidRPr="00764A29">
              <w:rPr>
                <w:bCs/>
                <w:i/>
                <w:szCs w:val="24"/>
                <w:vertAlign w:val="subscript"/>
                <w:lang w:val="sv-SE"/>
              </w:rPr>
              <w:t xml:space="preserve"> q, r, i</w:t>
            </w:r>
            <w:r w:rsidRPr="00764A29">
              <w:rPr>
                <w:bCs/>
                <w:szCs w:val="24"/>
                <w:lang w:val="sv-SE"/>
              </w:rPr>
              <w:tab/>
              <w:t xml:space="preserve">        =</w:t>
            </w:r>
            <w:r w:rsidRPr="00764A29">
              <w:rPr>
                <w:bCs/>
                <w:szCs w:val="24"/>
                <w:lang w:val="sv-SE"/>
              </w:rPr>
              <w:tab/>
              <w:t>AMF</w:t>
            </w:r>
            <w:r w:rsidRPr="00764A29">
              <w:rPr>
                <w:bCs/>
                <w:i/>
                <w:szCs w:val="24"/>
                <w:vertAlign w:val="subscript"/>
                <w:lang w:val="es-ES"/>
              </w:rPr>
              <w:t xml:space="preserve"> q, r, i</w:t>
            </w:r>
            <w:r w:rsidRPr="00764A29">
              <w:rPr>
                <w:bCs/>
                <w:szCs w:val="24"/>
                <w:lang w:val="sv-SE"/>
              </w:rPr>
              <w:t xml:space="preserve"> / PAHR </w:t>
            </w:r>
            <w:r w:rsidRPr="00764A29">
              <w:rPr>
                <w:bCs/>
                <w:i/>
                <w:szCs w:val="24"/>
                <w:vertAlign w:val="subscript"/>
                <w:lang w:val="es-ES"/>
              </w:rPr>
              <w:t xml:space="preserve">q, r, i </w:t>
            </w:r>
          </w:p>
          <w:p w14:paraId="64094A14" w14:textId="77777777" w:rsidR="00764A29" w:rsidRPr="00764A29" w:rsidRDefault="00764A29" w:rsidP="00764A29">
            <w:pPr>
              <w:tabs>
                <w:tab w:val="left" w:pos="2340"/>
                <w:tab w:val="left" w:pos="3420"/>
              </w:tabs>
              <w:spacing w:after="240"/>
              <w:ind w:left="720"/>
              <w:rPr>
                <w:bCs/>
                <w:iCs/>
                <w:szCs w:val="24"/>
                <w:lang w:val="sv-SE"/>
              </w:rPr>
            </w:pPr>
            <w:r w:rsidRPr="00764A29">
              <w:rPr>
                <w:bCs/>
                <w:iCs/>
                <w:szCs w:val="24"/>
                <w:lang w:val="sv-SE"/>
              </w:rPr>
              <w:t>For ESRs:</w:t>
            </w:r>
          </w:p>
          <w:p w14:paraId="536BC405" w14:textId="0FF613BF" w:rsidR="00764A29" w:rsidRPr="00764A29" w:rsidRDefault="00764A29" w:rsidP="00764A29">
            <w:pPr>
              <w:tabs>
                <w:tab w:val="left" w:pos="2340"/>
              </w:tabs>
              <w:spacing w:after="240"/>
              <w:ind w:left="3420" w:hanging="1980"/>
              <w:rPr>
                <w:bCs/>
                <w:i/>
                <w:szCs w:val="24"/>
                <w:vertAlign w:val="subscript"/>
                <w:lang w:val="sv-SE"/>
              </w:rPr>
            </w:pPr>
            <w:r w:rsidRPr="00764A29">
              <w:rPr>
                <w:bCs/>
                <w:szCs w:val="24"/>
                <w:lang w:val="sv-SE"/>
              </w:rPr>
              <w:t xml:space="preserve">OPL </w:t>
            </w:r>
            <w:r w:rsidRPr="00764A29">
              <w:rPr>
                <w:bCs/>
                <w:i/>
                <w:szCs w:val="24"/>
                <w:vertAlign w:val="subscript"/>
                <w:lang w:val="sv-SE"/>
              </w:rPr>
              <w:t xml:space="preserve">q, r, 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 xml:space="preserve">q, r, i </w:t>
            </w:r>
            <w:r w:rsidRPr="00764A29">
              <w:rPr>
                <w:bCs/>
                <w:szCs w:val="24"/>
                <w:lang w:val="sv-SE"/>
              </w:rPr>
              <w:t>- Max(LCAP, RTSPP</w:t>
            </w:r>
            <w:r w:rsidRPr="00764A29">
              <w:rPr>
                <w:i/>
                <w:szCs w:val="24"/>
                <w:vertAlign w:val="subscript"/>
                <w:lang w:val="sv-SE"/>
              </w:rPr>
              <w:t xml:space="preserve"> p, i</w:t>
            </w:r>
            <w:r w:rsidRPr="00764A29">
              <w:rPr>
                <w:bCs/>
                <w:szCs w:val="24"/>
                <w:lang w:val="sv-SE"/>
              </w:rPr>
              <w:t xml:space="preserve">)) * RTMG </w:t>
            </w:r>
            <w:r w:rsidRPr="00764A29">
              <w:rPr>
                <w:bCs/>
                <w:i/>
                <w:szCs w:val="24"/>
                <w:vertAlign w:val="subscript"/>
                <w:lang w:val="sv-SE"/>
              </w:rPr>
              <w:t>q, r, i</w:t>
            </w:r>
            <w:r w:rsidRPr="00764A29">
              <w:rPr>
                <w:bCs/>
                <w:szCs w:val="24"/>
                <w:lang w:val="sv-SE"/>
              </w:rPr>
              <w:t>)</w:t>
            </w:r>
          </w:p>
          <w:p w14:paraId="684BDD17" w14:textId="77777777" w:rsidR="00764A29" w:rsidRPr="00764A29" w:rsidRDefault="00764A29" w:rsidP="00764A29">
            <w:pPr>
              <w:tabs>
                <w:tab w:val="left" w:pos="2340"/>
                <w:tab w:val="left" w:pos="3420"/>
              </w:tabs>
              <w:spacing w:after="240"/>
              <w:ind w:left="720"/>
              <w:rPr>
                <w:bCs/>
                <w:iCs/>
                <w:szCs w:val="24"/>
              </w:rPr>
            </w:pPr>
            <w:r w:rsidRPr="00764A29">
              <w:rPr>
                <w:bCs/>
                <w:iCs/>
                <w:szCs w:val="24"/>
              </w:rPr>
              <w:t>Where,</w:t>
            </w:r>
          </w:p>
          <w:p w14:paraId="416D9D10" w14:textId="77777777" w:rsidR="00764A29" w:rsidRPr="00764A29" w:rsidRDefault="00764A29" w:rsidP="00764A29">
            <w:pPr>
              <w:tabs>
                <w:tab w:val="decimal" w:pos="1440"/>
                <w:tab w:val="left" w:pos="2340"/>
              </w:tabs>
              <w:spacing w:after="240"/>
              <w:ind w:left="3420" w:hanging="1980"/>
              <w:rPr>
                <w:bCs/>
                <w:i/>
                <w:szCs w:val="24"/>
                <w:vertAlign w:val="subscript"/>
              </w:rPr>
            </w:pPr>
            <w:r w:rsidRPr="00764A29">
              <w:rPr>
                <w:bCs/>
                <w:szCs w:val="24"/>
              </w:rPr>
              <w:t xml:space="preserve">AMC </w:t>
            </w:r>
            <w:r w:rsidRPr="00764A29">
              <w:rPr>
                <w:bCs/>
                <w:i/>
                <w:szCs w:val="24"/>
                <w:vertAlign w:val="subscript"/>
              </w:rPr>
              <w:t xml:space="preserve">q, r, i    </w:t>
            </w:r>
            <w:r w:rsidRPr="00764A29">
              <w:rPr>
                <w:bCs/>
                <w:szCs w:val="24"/>
              </w:rPr>
              <w:t xml:space="preserve"> = </w:t>
            </w:r>
            <w:r w:rsidRPr="00764A29">
              <w:rPr>
                <w:bCs/>
                <w:szCs w:val="24"/>
              </w:rPr>
              <w:tab/>
              <w:t>A</w:t>
            </w:r>
            <w:r w:rsidRPr="00764A29">
              <w:rPr>
                <w:szCs w:val="24"/>
              </w:rPr>
              <w:t>FC</w:t>
            </w:r>
            <w:r w:rsidRPr="00764A29">
              <w:rPr>
                <w:bCs/>
                <w:i/>
                <w:szCs w:val="24"/>
                <w:vertAlign w:val="subscript"/>
                <w:lang w:val="es-ES"/>
              </w:rPr>
              <w:t xml:space="preserve"> q, r, i</w:t>
            </w:r>
            <w:r w:rsidRPr="00764A29">
              <w:rPr>
                <w:i/>
                <w:szCs w:val="24"/>
                <w:vertAlign w:val="subscript"/>
                <w:lang w:val="es-ES"/>
              </w:rPr>
              <w:t xml:space="preserve"> </w:t>
            </w:r>
            <w:r w:rsidRPr="00764A29">
              <w:rPr>
                <w:bCs/>
                <w:szCs w:val="24"/>
              </w:rPr>
              <w:t xml:space="preserve">+ STOM </w:t>
            </w:r>
            <w:r w:rsidRPr="00764A29">
              <w:rPr>
                <w:bCs/>
                <w:i/>
                <w:szCs w:val="24"/>
                <w:vertAlign w:val="subscript"/>
              </w:rPr>
              <w:t>rc</w:t>
            </w:r>
            <w:r w:rsidRPr="00764A29">
              <w:rPr>
                <w:bCs/>
                <w:szCs w:val="24"/>
              </w:rPr>
              <w:t xml:space="preserve">    </w:t>
            </w:r>
          </w:p>
          <w:p w14:paraId="252F4342"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57"/>
              <w:gridCol w:w="1026"/>
              <w:gridCol w:w="6329"/>
            </w:tblGrid>
            <w:tr w:rsidR="00764A29" w:rsidRPr="00764A29" w14:paraId="354D3D79" w14:textId="77777777" w:rsidTr="00B327B6">
              <w:trPr>
                <w:cantSplit/>
                <w:trHeight w:val="359"/>
                <w:tblHeader/>
              </w:trPr>
              <w:tc>
                <w:tcPr>
                  <w:tcW w:w="964" w:type="pct"/>
                  <w:tcBorders>
                    <w:top w:val="single" w:sz="4" w:space="0" w:color="auto"/>
                    <w:left w:val="single" w:sz="4" w:space="0" w:color="auto"/>
                    <w:bottom w:val="single" w:sz="6" w:space="0" w:color="auto"/>
                    <w:right w:val="single" w:sz="6" w:space="0" w:color="auto"/>
                  </w:tcBorders>
                  <w:hideMark/>
                </w:tcPr>
                <w:p w14:paraId="213409A7" w14:textId="77777777" w:rsidR="00764A29" w:rsidRPr="00764A29" w:rsidRDefault="00764A29" w:rsidP="00764A29">
                  <w:pPr>
                    <w:spacing w:after="240"/>
                    <w:rPr>
                      <w:b/>
                      <w:iCs/>
                      <w:sz w:val="20"/>
                      <w:szCs w:val="24"/>
                    </w:rPr>
                  </w:pPr>
                  <w:r w:rsidRPr="00764A29">
                    <w:rPr>
                      <w:b/>
                      <w:iCs/>
                      <w:sz w:val="20"/>
                      <w:szCs w:val="24"/>
                    </w:rPr>
                    <w:t>Variable</w:t>
                  </w:r>
                </w:p>
              </w:tc>
              <w:tc>
                <w:tcPr>
                  <w:tcW w:w="563" w:type="pct"/>
                  <w:tcBorders>
                    <w:top w:val="single" w:sz="4" w:space="0" w:color="auto"/>
                    <w:left w:val="single" w:sz="6" w:space="0" w:color="auto"/>
                    <w:bottom w:val="single" w:sz="6" w:space="0" w:color="auto"/>
                    <w:right w:val="single" w:sz="6" w:space="0" w:color="auto"/>
                  </w:tcBorders>
                  <w:hideMark/>
                </w:tcPr>
                <w:p w14:paraId="64631ADE" w14:textId="77777777" w:rsidR="00764A29" w:rsidRPr="00764A29" w:rsidRDefault="00764A29" w:rsidP="00764A29">
                  <w:pPr>
                    <w:spacing w:after="240"/>
                    <w:jc w:val="center"/>
                    <w:rPr>
                      <w:b/>
                      <w:iCs/>
                      <w:sz w:val="20"/>
                      <w:szCs w:val="24"/>
                    </w:rPr>
                  </w:pPr>
                  <w:r w:rsidRPr="00764A29">
                    <w:rPr>
                      <w:b/>
                      <w:iCs/>
                      <w:sz w:val="20"/>
                      <w:szCs w:val="24"/>
                    </w:rPr>
                    <w:t>Unit</w:t>
                  </w:r>
                </w:p>
              </w:tc>
              <w:tc>
                <w:tcPr>
                  <w:tcW w:w="3473" w:type="pct"/>
                  <w:tcBorders>
                    <w:top w:val="single" w:sz="4" w:space="0" w:color="auto"/>
                    <w:left w:val="single" w:sz="6" w:space="0" w:color="auto"/>
                    <w:bottom w:val="single" w:sz="6" w:space="0" w:color="auto"/>
                    <w:right w:val="single" w:sz="4" w:space="0" w:color="auto"/>
                  </w:tcBorders>
                  <w:hideMark/>
                </w:tcPr>
                <w:p w14:paraId="490A9043"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57059BF4"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F3C0A58"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b/>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D65C56E" w14:textId="77777777" w:rsidR="00764A29" w:rsidRPr="00764A29" w:rsidRDefault="00764A29" w:rsidP="00764A29">
                  <w:pPr>
                    <w:spacing w:after="60"/>
                    <w:rPr>
                      <w:iCs/>
                      <w:sz w:val="20"/>
                      <w:szCs w:val="24"/>
                    </w:rPr>
                  </w:pPr>
                  <w:r w:rsidRPr="00764A29">
                    <w:rPr>
                      <w:iCs/>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745409B7" w14:textId="77777777" w:rsidR="00764A29" w:rsidRPr="00764A29" w:rsidRDefault="00764A29" w:rsidP="00764A29">
                  <w:pPr>
                    <w:spacing w:after="60"/>
                    <w:rPr>
                      <w:iCs/>
                      <w:sz w:val="20"/>
                      <w:szCs w:val="24"/>
                    </w:rPr>
                  </w:pPr>
                  <w:r w:rsidRPr="00764A29">
                    <w:rPr>
                      <w:i/>
                      <w:iCs/>
                      <w:sz w:val="20"/>
                      <w:szCs w:val="24"/>
                    </w:rPr>
                    <w:t>Operating Losses Payment Amount –</w:t>
                  </w:r>
                  <w:r w:rsidRPr="00764A29">
                    <w:rPr>
                      <w:iCs/>
                      <w:sz w:val="20"/>
                      <w:szCs w:val="24"/>
                    </w:rPr>
                    <w:t xml:space="preserve"> The operating losses payment to the QSE </w:t>
                  </w:r>
                  <w:r w:rsidRPr="00764A29">
                    <w:rPr>
                      <w:i/>
                      <w:iCs/>
                      <w:sz w:val="20"/>
                      <w:szCs w:val="24"/>
                    </w:rPr>
                    <w:t>q,</w:t>
                  </w:r>
                  <w:r w:rsidRPr="00764A29">
                    <w:rPr>
                      <w:iCs/>
                      <w:sz w:val="20"/>
                      <w:szCs w:val="24"/>
                    </w:rPr>
                    <w:t xml:space="preserve"> for Resource </w:t>
                  </w:r>
                  <w:r w:rsidRPr="00764A29">
                    <w:rPr>
                      <w:i/>
                      <w:iCs/>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6CF01ED6"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3CBDD4" w14:textId="77777777" w:rsidR="00764A29" w:rsidRPr="00764A29" w:rsidRDefault="00764A29" w:rsidP="00764A29">
                  <w:pPr>
                    <w:spacing w:after="60"/>
                    <w:rPr>
                      <w:sz w:val="20"/>
                      <w:szCs w:val="24"/>
                    </w:rPr>
                  </w:pPr>
                  <w:r w:rsidRPr="00764A29">
                    <w:rPr>
                      <w:sz w:val="20"/>
                      <w:szCs w:val="24"/>
                    </w:rPr>
                    <w:t>OPL</w:t>
                  </w:r>
                  <w:r w:rsidRPr="00764A29">
                    <w:rPr>
                      <w:szCs w:val="24"/>
                    </w:rPr>
                    <w:t xml:space="preserve"> </w:t>
                  </w:r>
                  <w:r w:rsidRPr="00764A29">
                    <w:rPr>
                      <w:i/>
                      <w:iCs/>
                      <w:sz w:val="20"/>
                      <w:szCs w:val="24"/>
                      <w:vertAlign w:val="subscript"/>
                    </w:rPr>
                    <w:t>q, r, i</w:t>
                  </w:r>
                  <w:r w:rsidRPr="00764A29">
                    <w:rPr>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E4B2DDA" w14:textId="77777777" w:rsidR="00764A29" w:rsidRPr="00764A29" w:rsidRDefault="00764A29" w:rsidP="00764A29">
                  <w:pPr>
                    <w:spacing w:after="60"/>
                    <w:rPr>
                      <w:sz w:val="20"/>
                      <w:szCs w:val="24"/>
                    </w:rPr>
                  </w:pPr>
                  <w:r w:rsidRPr="00764A29">
                    <w:rPr>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552AFB1B" w14:textId="77777777" w:rsidR="00764A29" w:rsidRPr="00764A29" w:rsidRDefault="00764A29" w:rsidP="00764A29">
                  <w:pPr>
                    <w:spacing w:after="60"/>
                    <w:rPr>
                      <w:i/>
                      <w:iCs/>
                      <w:sz w:val="20"/>
                      <w:szCs w:val="24"/>
                    </w:rPr>
                  </w:pPr>
                  <w:r w:rsidRPr="00764A29">
                    <w:rPr>
                      <w:i/>
                      <w:iCs/>
                      <w:sz w:val="20"/>
                      <w:szCs w:val="24"/>
                    </w:rPr>
                    <w:t>Operating Losses</w:t>
                  </w:r>
                  <w:r w:rsidRPr="00764A29">
                    <w:rPr>
                      <w:szCs w:val="24"/>
                    </w:rPr>
                    <w:t xml:space="preserve"> – </w:t>
                  </w:r>
                  <w:r w:rsidRPr="00764A29">
                    <w:rPr>
                      <w:iCs/>
                      <w:sz w:val="20"/>
                      <w:szCs w:val="24"/>
                    </w:rPr>
                    <w:t xml:space="preserve">The operating losses for Resource </w:t>
                  </w:r>
                  <w:r w:rsidRPr="00764A29">
                    <w:rPr>
                      <w:i/>
                      <w:iCs/>
                      <w:sz w:val="20"/>
                      <w:szCs w:val="24"/>
                    </w:rPr>
                    <w:t>r</w:t>
                  </w:r>
                  <w:r w:rsidRPr="00764A29">
                    <w:rPr>
                      <w:iCs/>
                      <w:sz w:val="20"/>
                      <w:szCs w:val="24"/>
                    </w:rPr>
                    <w:t xml:space="preserve">, represented by QSE </w:t>
                  </w:r>
                  <w:r w:rsidRPr="00764A29">
                    <w:rPr>
                      <w:i/>
                      <w:iCs/>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02633231"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2DBE463" w14:textId="77777777" w:rsidR="00764A29" w:rsidRPr="00764A29" w:rsidRDefault="00764A29" w:rsidP="00764A29">
                  <w:pPr>
                    <w:spacing w:after="60"/>
                    <w:rPr>
                      <w:sz w:val="20"/>
                      <w:szCs w:val="24"/>
                    </w:rPr>
                  </w:pPr>
                  <w:r w:rsidRPr="00764A29">
                    <w:rPr>
                      <w:sz w:val="20"/>
                      <w:szCs w:val="24"/>
                    </w:rPr>
                    <w:t xml:space="preserve">ADJOPL </w:t>
                  </w:r>
                  <w:r w:rsidRPr="00764A29">
                    <w:rPr>
                      <w:i/>
                      <w:sz w:val="20"/>
                      <w:szCs w:val="24"/>
                      <w:vertAlign w:val="subscript"/>
                    </w:rPr>
                    <w:t>q, r, i</w:t>
                  </w:r>
                  <w:r w:rsidRPr="00764A29">
                    <w:rPr>
                      <w:b/>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8D5927D" w14:textId="77777777" w:rsidR="00764A29" w:rsidRPr="00764A29" w:rsidRDefault="00764A29" w:rsidP="00764A29">
                  <w:pPr>
                    <w:spacing w:after="60"/>
                    <w:rPr>
                      <w:sz w:val="20"/>
                      <w:szCs w:val="24"/>
                    </w:rPr>
                  </w:pPr>
                  <w:r w:rsidRPr="00764A29">
                    <w:rPr>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1461AE2A" w14:textId="77777777" w:rsidR="00764A29" w:rsidRPr="00764A29" w:rsidRDefault="00764A29" w:rsidP="00764A29">
                  <w:pPr>
                    <w:spacing w:after="60"/>
                    <w:rPr>
                      <w:i/>
                      <w:sz w:val="20"/>
                      <w:szCs w:val="24"/>
                    </w:rPr>
                  </w:pPr>
                  <w:r w:rsidRPr="00764A29">
                    <w:rPr>
                      <w:i/>
                      <w:iCs/>
                      <w:sz w:val="20"/>
                      <w:szCs w:val="24"/>
                    </w:rPr>
                    <w:t>Operating Losses</w:t>
                  </w:r>
                  <w:r w:rsidRPr="00764A29">
                    <w:rPr>
                      <w:szCs w:val="24"/>
                    </w:rPr>
                    <w:t xml:space="preserve"> </w:t>
                  </w:r>
                  <w:r w:rsidRPr="00764A29">
                    <w:rPr>
                      <w:i/>
                      <w:iCs/>
                      <w:sz w:val="20"/>
                      <w:szCs w:val="24"/>
                    </w:rPr>
                    <w:t>Adjustment</w:t>
                  </w:r>
                  <w:r w:rsidRPr="00764A29">
                    <w:rPr>
                      <w:szCs w:val="24"/>
                    </w:rPr>
                    <w:t xml:space="preserve"> – </w:t>
                  </w:r>
                  <w:r w:rsidRPr="00764A29">
                    <w:rPr>
                      <w:iCs/>
                      <w:sz w:val="20"/>
                      <w:szCs w:val="24"/>
                    </w:rPr>
                    <w:t xml:space="preserve">The adjustment to the operating losses for Resource </w:t>
                  </w:r>
                  <w:r w:rsidRPr="00764A29">
                    <w:rPr>
                      <w:i/>
                      <w:iCs/>
                      <w:sz w:val="20"/>
                      <w:szCs w:val="24"/>
                    </w:rPr>
                    <w:t>r</w:t>
                  </w:r>
                  <w:r w:rsidRPr="00764A29">
                    <w:rPr>
                      <w:iCs/>
                      <w:sz w:val="20"/>
                      <w:szCs w:val="24"/>
                    </w:rPr>
                    <w:t xml:space="preserve">, represented by QSE </w:t>
                  </w:r>
                  <w:r w:rsidRPr="00764A29">
                    <w:rPr>
                      <w:i/>
                      <w:iCs/>
                      <w:sz w:val="20"/>
                      <w:szCs w:val="24"/>
                    </w:rPr>
                    <w:t xml:space="preserve">q, </w:t>
                  </w:r>
                  <w:r w:rsidRPr="00764A29">
                    <w:rPr>
                      <w:iCs/>
                      <w:sz w:val="20"/>
                      <w:szCs w:val="24"/>
                    </w:rPr>
                    <w:t xml:space="preserve">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351FDDE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289265E" w14:textId="77777777" w:rsidR="00764A29" w:rsidRPr="00764A29" w:rsidRDefault="00764A29" w:rsidP="00764A29">
                  <w:pPr>
                    <w:spacing w:after="60"/>
                    <w:rPr>
                      <w:sz w:val="20"/>
                      <w:szCs w:val="24"/>
                    </w:rPr>
                  </w:pPr>
                  <w:r w:rsidRPr="00764A29">
                    <w:rPr>
                      <w:sz w:val="20"/>
                      <w:szCs w:val="24"/>
                    </w:rPr>
                    <w:lastRenderedPageBreak/>
                    <w:t>WAFP</w:t>
                  </w:r>
                  <w:r w:rsidRPr="00764A29">
                    <w:rPr>
                      <w:bCs/>
                      <w:i/>
                      <w:szCs w:val="24"/>
                      <w:vertAlign w:val="subscript"/>
                      <w:lang w:val="es-ES"/>
                    </w:rPr>
                    <w:t xml:space="preserve">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291B034" w14:textId="77777777" w:rsidR="00764A29" w:rsidRPr="00764A29" w:rsidRDefault="00764A29" w:rsidP="00764A29">
                  <w:pPr>
                    <w:spacing w:after="60"/>
                    <w:rPr>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3A219362" w14:textId="295E9681" w:rsidR="00764A29" w:rsidRPr="00764A29" w:rsidRDefault="00764A29" w:rsidP="00764A29">
                  <w:pPr>
                    <w:spacing w:after="60"/>
                    <w:rPr>
                      <w:i/>
                      <w:sz w:val="20"/>
                      <w:szCs w:val="24"/>
                    </w:rPr>
                  </w:pPr>
                  <w:r w:rsidRPr="00764A29">
                    <w:rPr>
                      <w:i/>
                      <w:sz w:val="20"/>
                      <w:szCs w:val="24"/>
                    </w:rPr>
                    <w:t>Weighted Average Fuel Price</w:t>
                  </w:r>
                  <w:r w:rsidR="00873DFB">
                    <w:rPr>
                      <w:i/>
                      <w:sz w:val="20"/>
                      <w:szCs w:val="24"/>
                    </w:rPr>
                    <w:t xml:space="preserve"> </w:t>
                  </w:r>
                  <w:r w:rsidR="00873DFB" w:rsidRPr="00764A29">
                    <w:rPr>
                      <w:szCs w:val="24"/>
                    </w:rPr>
                    <w:t>–</w:t>
                  </w:r>
                  <w:r w:rsidR="00873DFB">
                    <w:rPr>
                      <w:szCs w:val="24"/>
                    </w:rPr>
                    <w:t xml:space="preserve"> </w:t>
                  </w:r>
                  <w:r w:rsidRPr="00764A29">
                    <w:rPr>
                      <w:sz w:val="20"/>
                      <w:szCs w:val="24"/>
                    </w:rPr>
                    <w:t xml:space="preserve">The volume-weighted average price of fuel submitted to ERCOT for the LCAP or ECAP Effective Period for a specific Resource </w:t>
                  </w:r>
                  <w:r w:rsidRPr="00764A29">
                    <w:rPr>
                      <w:i/>
                      <w:iCs/>
                      <w:sz w:val="20"/>
                      <w:szCs w:val="24"/>
                    </w:rPr>
                    <w:t>r,</w:t>
                  </w:r>
                  <w:r w:rsidRPr="00764A29">
                    <w:rPr>
                      <w:sz w:val="20"/>
                      <w:szCs w:val="24"/>
                    </w:rPr>
                    <w:t xml:space="preserve"> represented by QSE </w:t>
                  </w:r>
                  <w:r w:rsidRPr="00764A29">
                    <w:rPr>
                      <w:i/>
                      <w:iCs/>
                      <w:sz w:val="20"/>
                      <w:szCs w:val="24"/>
                    </w:rPr>
                    <w:t>q,</w:t>
                  </w:r>
                  <w:r w:rsidRPr="00764A29">
                    <w:rPr>
                      <w:sz w:val="20"/>
                      <w:szCs w:val="24"/>
                    </w:rPr>
                    <w:t xml:space="preserve"> and specific 15-minute Settlement Interval </w:t>
                  </w:r>
                  <w:r w:rsidRPr="00764A29">
                    <w:rPr>
                      <w:i/>
                      <w:iCs/>
                      <w:sz w:val="20"/>
                      <w:szCs w:val="24"/>
                    </w:rPr>
                    <w:t>i</w:t>
                  </w:r>
                  <w:r w:rsidRPr="00764A29">
                    <w:rPr>
                      <w:sz w:val="20"/>
                      <w:szCs w:val="24"/>
                    </w:rPr>
                    <w:t xml:space="preserve"> within the Operating Day.</w:t>
                  </w:r>
                  <w:r w:rsidRPr="00764A29">
                    <w:rPr>
                      <w:szCs w:val="24"/>
                    </w:rPr>
                    <w:t xml:space="preserve"> </w:t>
                  </w:r>
                  <w:r w:rsidR="00873DFB">
                    <w:rPr>
                      <w:szCs w:val="24"/>
                    </w:rPr>
                    <w:t xml:space="preserve"> </w:t>
                  </w:r>
                  <w:r w:rsidRPr="00764A29">
                    <w:rPr>
                      <w:iCs/>
                      <w:sz w:val="20"/>
                      <w:szCs w:val="24"/>
                    </w:rPr>
                    <w:t xml:space="preserve">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29545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291F0AB" w14:textId="77777777" w:rsidR="00764A29" w:rsidRPr="00764A29" w:rsidRDefault="00764A29" w:rsidP="00764A29">
                  <w:pPr>
                    <w:spacing w:after="60"/>
                    <w:rPr>
                      <w:iCs/>
                      <w:sz w:val="20"/>
                      <w:szCs w:val="24"/>
                    </w:rPr>
                  </w:pPr>
                  <w:r w:rsidRPr="00764A29">
                    <w:rPr>
                      <w:iCs/>
                      <w:sz w:val="20"/>
                      <w:szCs w:val="24"/>
                    </w:rPr>
                    <w:t xml:space="preserve">AMC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3CA979A"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E26D3BA" w14:textId="77777777" w:rsidR="00764A29" w:rsidRPr="00764A29" w:rsidRDefault="00764A29" w:rsidP="00764A29">
                  <w:pPr>
                    <w:spacing w:after="60"/>
                    <w:rPr>
                      <w:iCs/>
                      <w:sz w:val="20"/>
                      <w:szCs w:val="24"/>
                    </w:rPr>
                  </w:pPr>
                  <w:r w:rsidRPr="00764A29">
                    <w:rPr>
                      <w:i/>
                      <w:iCs/>
                      <w:sz w:val="20"/>
                      <w:szCs w:val="24"/>
                    </w:rPr>
                    <w:t>Actual Marginal Cost –</w:t>
                  </w:r>
                  <w:r w:rsidRPr="00764A29">
                    <w:rPr>
                      <w:sz w:val="20"/>
                      <w:szCs w:val="24"/>
                    </w:rPr>
                    <w:t xml:space="preserve"> </w:t>
                  </w:r>
                  <w:r w:rsidRPr="00764A29">
                    <w:rPr>
                      <w:iCs/>
                      <w:sz w:val="20"/>
                      <w:szCs w:val="24"/>
                    </w:rPr>
                    <w:t xml:space="preserve">The actual marginal costs for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EA79B6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43A3FBBA" w14:textId="77777777" w:rsidR="00764A29" w:rsidRPr="00764A29" w:rsidRDefault="00764A29" w:rsidP="00764A29">
                  <w:pPr>
                    <w:spacing w:after="60"/>
                    <w:rPr>
                      <w:iCs/>
                      <w:sz w:val="20"/>
                      <w:szCs w:val="24"/>
                    </w:rPr>
                  </w:pPr>
                  <w:r w:rsidRPr="00764A29">
                    <w:rPr>
                      <w:iCs/>
                      <w:sz w:val="20"/>
                      <w:szCs w:val="24"/>
                    </w:rPr>
                    <w:t xml:space="preserve">MFC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tcPr>
                <w:p w14:paraId="04FCED2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7621EDAA" w14:textId="77777777" w:rsidR="00764A29" w:rsidRPr="00764A29" w:rsidRDefault="00764A29" w:rsidP="00764A29">
                  <w:pPr>
                    <w:spacing w:after="60"/>
                    <w:rPr>
                      <w:iCs/>
                      <w:sz w:val="20"/>
                      <w:szCs w:val="24"/>
                    </w:rPr>
                  </w:pPr>
                  <w:r w:rsidRPr="00764A29">
                    <w:rPr>
                      <w:iCs/>
                      <w:sz w:val="20"/>
                      <w:szCs w:val="24"/>
                    </w:rPr>
                    <w:t xml:space="preserve">Marginal Fuel Cost – The marginal fuel cost for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A03543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F028A6D" w14:textId="77777777" w:rsidR="00764A29" w:rsidRPr="00764A29" w:rsidRDefault="00764A29" w:rsidP="00764A29">
                  <w:pPr>
                    <w:spacing w:after="60"/>
                    <w:rPr>
                      <w:iCs/>
                      <w:sz w:val="20"/>
                      <w:szCs w:val="24"/>
                    </w:rPr>
                  </w:pPr>
                  <w:r w:rsidRPr="00764A29">
                    <w:rPr>
                      <w:iCs/>
                      <w:sz w:val="20"/>
                      <w:szCs w:val="24"/>
                    </w:rPr>
                    <w:t>LCAP</w:t>
                  </w:r>
                </w:p>
              </w:tc>
              <w:tc>
                <w:tcPr>
                  <w:tcW w:w="563" w:type="pct"/>
                  <w:tcBorders>
                    <w:top w:val="single" w:sz="6" w:space="0" w:color="auto"/>
                    <w:left w:val="single" w:sz="6" w:space="0" w:color="auto"/>
                    <w:bottom w:val="single" w:sz="6" w:space="0" w:color="auto"/>
                    <w:right w:val="single" w:sz="6" w:space="0" w:color="auto"/>
                  </w:tcBorders>
                  <w:hideMark/>
                </w:tcPr>
                <w:p w14:paraId="2F854BA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27B4B152" w14:textId="77777777" w:rsidR="00764A29" w:rsidRPr="00764A29" w:rsidRDefault="00764A29" w:rsidP="00764A29">
                  <w:pPr>
                    <w:spacing w:after="60"/>
                    <w:rPr>
                      <w:i/>
                      <w:iCs/>
                      <w:sz w:val="20"/>
                      <w:szCs w:val="24"/>
                    </w:rPr>
                  </w:pPr>
                  <w:r w:rsidRPr="00764A29">
                    <w:rPr>
                      <w:i/>
                      <w:iCs/>
                      <w:sz w:val="20"/>
                      <w:szCs w:val="24"/>
                    </w:rPr>
                    <w:t xml:space="preserve">Low System Wide Offer Cap – </w:t>
                  </w:r>
                  <w:r w:rsidRPr="00764A29">
                    <w:rPr>
                      <w:iCs/>
                      <w:sz w:val="20"/>
                      <w:szCs w:val="24"/>
                    </w:rPr>
                    <w:t>The value set per paragraph (1) of Section 4.4.11, System-Wide Offer Caps.</w:t>
                  </w:r>
                </w:p>
              </w:tc>
            </w:tr>
            <w:tr w:rsidR="00764A29" w:rsidRPr="00764A29" w14:paraId="2BF5305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CC3332D" w14:textId="77777777" w:rsidR="00764A29" w:rsidRPr="00764A29" w:rsidRDefault="00764A29" w:rsidP="00764A29">
                  <w:pPr>
                    <w:spacing w:after="60"/>
                    <w:rPr>
                      <w:iCs/>
                      <w:sz w:val="20"/>
                      <w:szCs w:val="24"/>
                    </w:rPr>
                  </w:pPr>
                  <w:r w:rsidRPr="00764A29">
                    <w:rPr>
                      <w:iCs/>
                      <w:sz w:val="20"/>
                      <w:szCs w:val="24"/>
                    </w:rPr>
                    <w:t xml:space="preserve">ROM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hideMark/>
                </w:tcPr>
                <w:p w14:paraId="778F13B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46F479E5" w14:textId="77777777" w:rsidR="00764A29" w:rsidRPr="00764A29" w:rsidRDefault="00764A29" w:rsidP="00764A29">
                  <w:pPr>
                    <w:spacing w:after="60"/>
                    <w:rPr>
                      <w:i/>
                      <w:iCs/>
                      <w:sz w:val="20"/>
                      <w:szCs w:val="24"/>
                    </w:rPr>
                  </w:pPr>
                  <w:r w:rsidRPr="00764A29">
                    <w:rPr>
                      <w:i/>
                      <w:iCs/>
                      <w:sz w:val="20"/>
                      <w:szCs w:val="24"/>
                    </w:rPr>
                    <w:t xml:space="preserve">Raw Verifiable Operations and Maintenance Cost Above LSL – </w:t>
                  </w:r>
                  <w:r w:rsidRPr="00764A29">
                    <w:rPr>
                      <w:iCs/>
                      <w:sz w:val="20"/>
                      <w:szCs w:val="24"/>
                    </w:rPr>
                    <w:t xml:space="preserve">The raw verifiable O&amp;M cost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operations above Low Sustained Limit (LSL).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D50F38B"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84D4862" w14:textId="77777777" w:rsidR="00764A29" w:rsidRPr="00764A29" w:rsidRDefault="00764A29" w:rsidP="00764A29">
                  <w:pPr>
                    <w:spacing w:after="60"/>
                    <w:rPr>
                      <w:iCs/>
                      <w:sz w:val="20"/>
                      <w:szCs w:val="24"/>
                    </w:rPr>
                  </w:pPr>
                  <w:r w:rsidRPr="00764A29">
                    <w:rPr>
                      <w:iCs/>
                      <w:sz w:val="20"/>
                      <w:szCs w:val="24"/>
                    </w:rPr>
                    <w:t xml:space="preserve">VOM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47DEC75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48916809" w14:textId="77777777" w:rsidR="00764A29" w:rsidRPr="00764A29" w:rsidRDefault="00764A29" w:rsidP="00764A29">
                  <w:pPr>
                    <w:spacing w:after="60"/>
                    <w:rPr>
                      <w:iCs/>
                      <w:sz w:val="20"/>
                      <w:szCs w:val="24"/>
                    </w:rPr>
                  </w:pPr>
                  <w:r w:rsidRPr="00764A29">
                    <w:rPr>
                      <w:iCs/>
                      <w:sz w:val="20"/>
                      <w:szCs w:val="24"/>
                    </w:rPr>
                    <w:t xml:space="preserve">Variable Operations and Maintenance Cost – The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08849C5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59BDFE7" w14:textId="77777777" w:rsidR="00764A29" w:rsidRPr="00764A29" w:rsidRDefault="00764A29" w:rsidP="00764A29">
                  <w:pPr>
                    <w:spacing w:after="60"/>
                    <w:rPr>
                      <w:iCs/>
                      <w:sz w:val="20"/>
                      <w:szCs w:val="24"/>
                    </w:rPr>
                  </w:pPr>
                  <w:r w:rsidRPr="00764A29">
                    <w:rPr>
                      <w:iCs/>
                      <w:sz w:val="20"/>
                      <w:szCs w:val="24"/>
                    </w:rPr>
                    <w:t xml:space="preserve">IVC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77E99AE6"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57E85EAB" w14:textId="77777777" w:rsidR="00764A29" w:rsidRPr="00764A29" w:rsidRDefault="00764A29" w:rsidP="00764A29">
                  <w:pPr>
                    <w:spacing w:after="60"/>
                    <w:rPr>
                      <w:iCs/>
                      <w:sz w:val="20"/>
                      <w:szCs w:val="24"/>
                    </w:rPr>
                  </w:pPr>
                  <w:r w:rsidRPr="00764A29">
                    <w:rPr>
                      <w:iCs/>
                      <w:sz w:val="20"/>
                      <w:szCs w:val="24"/>
                    </w:rPr>
                    <w:t xml:space="preserve">Incremental Variable Operations and Maintenance Cost – The incremental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3C8E7ED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26F783F" w14:textId="77777777" w:rsidR="00764A29" w:rsidRPr="00764A29" w:rsidRDefault="00764A29" w:rsidP="00764A29">
                  <w:pPr>
                    <w:spacing w:after="60"/>
                    <w:rPr>
                      <w:iCs/>
                      <w:sz w:val="20"/>
                      <w:szCs w:val="24"/>
                    </w:rPr>
                  </w:pPr>
                  <w:r w:rsidRPr="00764A29">
                    <w:rPr>
                      <w:iCs/>
                      <w:sz w:val="20"/>
                      <w:szCs w:val="24"/>
                    </w:rPr>
                    <w:t xml:space="preserve">AMF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6964E845" w14:textId="77777777" w:rsidR="00764A29" w:rsidRPr="00764A29" w:rsidRDefault="00764A29" w:rsidP="00764A29">
                  <w:pPr>
                    <w:spacing w:after="60"/>
                    <w:rPr>
                      <w:iCs/>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5F2F81AC" w14:textId="77777777" w:rsidR="00764A29" w:rsidRPr="00764A29" w:rsidRDefault="00764A29" w:rsidP="00764A29">
                  <w:pPr>
                    <w:spacing w:after="60"/>
                    <w:rPr>
                      <w:i/>
                      <w:iCs/>
                      <w:sz w:val="20"/>
                      <w:szCs w:val="24"/>
                    </w:rPr>
                  </w:pPr>
                  <w:r w:rsidRPr="00764A29">
                    <w:rPr>
                      <w:i/>
                      <w:iCs/>
                      <w:sz w:val="20"/>
                      <w:szCs w:val="24"/>
                    </w:rPr>
                    <w:t xml:space="preserve">Actual Marginal Fuel per QSE per Resource - </w:t>
                  </w:r>
                  <w:r w:rsidRPr="00764A29">
                    <w:rPr>
                      <w:iCs/>
                      <w:sz w:val="20"/>
                      <w:szCs w:val="24"/>
                    </w:rPr>
                    <w:t xml:space="preserve">The actual marginal purchased and delivered fuel for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  </w:t>
                  </w:r>
                  <w:r w:rsidRPr="00764A29">
                    <w:rPr>
                      <w:iCs/>
                      <w:sz w:val="20"/>
                      <w:szCs w:val="24"/>
                    </w:rPr>
                    <w:t xml:space="preserve">The AMF represents only the fuel used to calculate the weighted average fuel price, WAFP.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4385717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1A4283D" w14:textId="77777777" w:rsidR="00764A29" w:rsidRPr="00764A29" w:rsidRDefault="00764A29" w:rsidP="00764A29">
                  <w:pPr>
                    <w:spacing w:after="60"/>
                    <w:rPr>
                      <w:iCs/>
                      <w:sz w:val="20"/>
                      <w:szCs w:val="24"/>
                    </w:rPr>
                  </w:pPr>
                  <w:r w:rsidRPr="00764A29">
                    <w:rPr>
                      <w:iCs/>
                      <w:sz w:val="20"/>
                      <w:szCs w:val="24"/>
                    </w:rPr>
                    <w:t xml:space="preserve">STOM </w:t>
                  </w:r>
                  <w:r w:rsidRPr="00764A29">
                    <w:rPr>
                      <w:i/>
                      <w:iCs/>
                      <w:sz w:val="20"/>
                      <w:szCs w:val="24"/>
                      <w:vertAlign w:val="subscript"/>
                    </w:rPr>
                    <w:t>rc</w:t>
                  </w:r>
                  <w:r w:rsidRPr="00764A29">
                    <w:rPr>
                      <w:iCs/>
                      <w:sz w:val="20"/>
                      <w:szCs w:val="24"/>
                      <w:vertAlign w:val="subscript"/>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1A87FD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C0694C1" w14:textId="34E96355" w:rsidR="00764A29" w:rsidRPr="00764A29" w:rsidRDefault="00764A29" w:rsidP="00764A29">
                  <w:pPr>
                    <w:spacing w:after="60"/>
                    <w:rPr>
                      <w:iCs/>
                      <w:sz w:val="20"/>
                      <w:szCs w:val="24"/>
                    </w:rPr>
                  </w:pPr>
                  <w:r w:rsidRPr="00764A29">
                    <w:rPr>
                      <w:i/>
                      <w:iCs/>
                      <w:sz w:val="20"/>
                      <w:szCs w:val="24"/>
                    </w:rPr>
                    <w:t xml:space="preserve">Standard Operations and Maintenance Cost – </w:t>
                  </w:r>
                  <w:r w:rsidRPr="00764A29">
                    <w:rPr>
                      <w:iCs/>
                      <w:sz w:val="20"/>
                      <w:szCs w:val="24"/>
                    </w:rPr>
                    <w:t xml:space="preserve">The standard O&amp;M cost for the Resource category </w:t>
                  </w:r>
                  <w:r w:rsidRPr="00764A29">
                    <w:rPr>
                      <w:i/>
                      <w:iCs/>
                      <w:sz w:val="20"/>
                      <w:szCs w:val="24"/>
                    </w:rPr>
                    <w:t>rc</w:t>
                  </w:r>
                  <w:r w:rsidRPr="00764A29">
                    <w:rPr>
                      <w:iCs/>
                      <w:sz w:val="20"/>
                      <w:szCs w:val="24"/>
                    </w:rPr>
                    <w:t>, shall be set to the minimum energy variable O&amp;M costs, as described in paragraph (6)(c) of Section 5.6.1, Verifiable Costs.  For an ESR, STOM shall be set at $0.3/MWh and for a DC-Coupled Resource, the value shall be set at $4.40/MWh.</w:t>
                  </w:r>
                </w:p>
              </w:tc>
            </w:tr>
            <w:tr w:rsidR="00764A29" w:rsidRPr="00764A29" w14:paraId="1BEDC0FC"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715E3199" w14:textId="77777777" w:rsidR="00764A29" w:rsidRPr="00764A29" w:rsidRDefault="00764A29" w:rsidP="00764A29">
                  <w:pPr>
                    <w:spacing w:after="60"/>
                    <w:rPr>
                      <w:iCs/>
                      <w:sz w:val="20"/>
                      <w:szCs w:val="24"/>
                    </w:rPr>
                  </w:pPr>
                  <w:r w:rsidRPr="00764A29">
                    <w:rPr>
                      <w:iCs/>
                      <w:sz w:val="20"/>
                      <w:szCs w:val="24"/>
                    </w:rPr>
                    <w:t>RTSPP</w:t>
                  </w:r>
                  <w:r w:rsidRPr="00764A29">
                    <w:rPr>
                      <w:i/>
                      <w:sz w:val="20"/>
                      <w:szCs w:val="24"/>
                      <w:vertAlign w:val="subscript"/>
                    </w:rPr>
                    <w:t xml:space="preserve"> p, i</w:t>
                  </w:r>
                </w:p>
              </w:tc>
              <w:tc>
                <w:tcPr>
                  <w:tcW w:w="563" w:type="pct"/>
                  <w:tcBorders>
                    <w:top w:val="single" w:sz="6" w:space="0" w:color="auto"/>
                    <w:left w:val="single" w:sz="6" w:space="0" w:color="auto"/>
                    <w:bottom w:val="single" w:sz="6" w:space="0" w:color="auto"/>
                    <w:right w:val="single" w:sz="6" w:space="0" w:color="auto"/>
                  </w:tcBorders>
                  <w:hideMark/>
                </w:tcPr>
                <w:p w14:paraId="45A1BF35"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9311B35" w14:textId="77777777" w:rsidR="00764A29" w:rsidRPr="00764A29" w:rsidRDefault="00764A29" w:rsidP="00764A29">
                  <w:pPr>
                    <w:spacing w:after="60"/>
                    <w:rPr>
                      <w:iCs/>
                      <w:sz w:val="20"/>
                      <w:szCs w:val="24"/>
                    </w:rPr>
                  </w:pPr>
                  <w:r w:rsidRPr="00764A29">
                    <w:rPr>
                      <w:i/>
                      <w:iCs/>
                      <w:sz w:val="20"/>
                      <w:szCs w:val="24"/>
                    </w:rPr>
                    <w:t xml:space="preserve">Real-Time Settlement Point Price - </w:t>
                  </w:r>
                  <w:r w:rsidRPr="00764A29">
                    <w:rPr>
                      <w:iCs/>
                      <w:sz w:val="20"/>
                      <w:szCs w:val="24"/>
                    </w:rPr>
                    <w:t xml:space="preserve">The Real-Time Settlement Point Price at the Settlement Point </w:t>
                  </w:r>
                  <w:r w:rsidRPr="00764A29">
                    <w:rPr>
                      <w:i/>
                      <w:iCs/>
                      <w:sz w:val="20"/>
                      <w:szCs w:val="24"/>
                    </w:rPr>
                    <w:t xml:space="preserve">p, </w:t>
                  </w:r>
                  <w:r w:rsidRPr="00764A29">
                    <w:rPr>
                      <w:iCs/>
                      <w:sz w:val="20"/>
                      <w:szCs w:val="24"/>
                    </w:rPr>
                    <w:t xml:space="preserve">for the 15-minute Settlement Interval </w:t>
                  </w:r>
                  <w:r w:rsidRPr="00764A29">
                    <w:rPr>
                      <w:i/>
                      <w:iCs/>
                      <w:sz w:val="20"/>
                      <w:szCs w:val="24"/>
                    </w:rPr>
                    <w:t>i</w:t>
                  </w:r>
                  <w:r w:rsidRPr="00764A29">
                    <w:rPr>
                      <w:iCs/>
                      <w:sz w:val="20"/>
                      <w:szCs w:val="24"/>
                    </w:rPr>
                    <w:t>.</w:t>
                  </w:r>
                </w:p>
              </w:tc>
            </w:tr>
            <w:tr w:rsidR="00764A29" w:rsidRPr="00764A29" w14:paraId="056364C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B113946" w14:textId="77777777" w:rsidR="00764A29" w:rsidRPr="00764A29" w:rsidRDefault="00764A29" w:rsidP="00764A29">
                  <w:pPr>
                    <w:spacing w:after="60"/>
                    <w:rPr>
                      <w:iCs/>
                      <w:sz w:val="20"/>
                      <w:szCs w:val="24"/>
                    </w:rPr>
                  </w:pPr>
                  <w:r w:rsidRPr="00764A29">
                    <w:rPr>
                      <w:iCs/>
                      <w:sz w:val="20"/>
                      <w:szCs w:val="24"/>
                    </w:rPr>
                    <w:t xml:space="preserve">AFC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2ECEEEF9"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53B2974E" w14:textId="51BD6A16" w:rsidR="00764A29" w:rsidRPr="00764A29" w:rsidRDefault="00764A29" w:rsidP="00764A29">
                  <w:pPr>
                    <w:spacing w:after="60"/>
                    <w:rPr>
                      <w:i/>
                      <w:iCs/>
                      <w:sz w:val="20"/>
                      <w:szCs w:val="24"/>
                    </w:rPr>
                  </w:pPr>
                  <w:r w:rsidRPr="00764A29">
                    <w:rPr>
                      <w:i/>
                      <w:iCs/>
                      <w:sz w:val="20"/>
                      <w:szCs w:val="24"/>
                    </w:rPr>
                    <w:t xml:space="preserve">Average Fuel Cost per Resource </w:t>
                  </w:r>
                  <w:r w:rsidR="00166B04" w:rsidRPr="00764A29">
                    <w:rPr>
                      <w:szCs w:val="24"/>
                    </w:rPr>
                    <w:t>–</w:t>
                  </w:r>
                  <w:r w:rsidR="009C31F8">
                    <w:rPr>
                      <w:i/>
                      <w:iCs/>
                      <w:sz w:val="20"/>
                      <w:szCs w:val="24"/>
                    </w:rPr>
                    <w:t xml:space="preserve"> </w:t>
                  </w:r>
                  <w:r w:rsidRPr="00764A29">
                    <w:rPr>
                      <w:iCs/>
                      <w:sz w:val="20"/>
                      <w:szCs w:val="24"/>
                    </w:rPr>
                    <w:t>The average electricity cost used to charge the ESR</w:t>
                  </w:r>
                  <w:r w:rsidRPr="00764A29">
                    <w:rPr>
                      <w:i/>
                      <w:iCs/>
                      <w:sz w:val="20"/>
                      <w:szCs w:val="24"/>
                    </w:rPr>
                    <w:t xml:space="preserve"> r </w:t>
                  </w:r>
                  <w:r w:rsidRPr="00764A29">
                    <w:rPr>
                      <w:iCs/>
                      <w:sz w:val="20"/>
                      <w:szCs w:val="24"/>
                    </w:rPr>
                    <w:t>represented by QSE</w:t>
                  </w:r>
                  <w:r w:rsidRPr="00764A29">
                    <w:rPr>
                      <w:i/>
                      <w:iCs/>
                      <w:sz w:val="20"/>
                      <w:szCs w:val="24"/>
                    </w:rPr>
                    <w:t xml:space="preserve"> q</w:t>
                  </w:r>
                  <w:r w:rsidRPr="00764A29">
                    <w:rPr>
                      <w:iCs/>
                      <w:sz w:val="20"/>
                      <w:szCs w:val="24"/>
                    </w:rPr>
                    <w:t xml:space="preserve"> applicable to the energy discharge for the 15-minute Settlement Interval </w:t>
                  </w:r>
                  <w:r w:rsidRPr="00764A29">
                    <w:rPr>
                      <w:i/>
                      <w:sz w:val="20"/>
                      <w:szCs w:val="24"/>
                    </w:rPr>
                    <w:t>i</w:t>
                  </w:r>
                  <w:r w:rsidRPr="00764A29">
                    <w:rPr>
                      <w:iCs/>
                      <w:sz w:val="20"/>
                      <w:szCs w:val="24"/>
                    </w:rPr>
                    <w:t xml:space="preserve"> within the Operating Day.</w:t>
                  </w:r>
                </w:p>
              </w:tc>
            </w:tr>
            <w:tr w:rsidR="00764A29" w:rsidRPr="00764A29" w14:paraId="572ACE97"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1EE1AA" w14:textId="77777777" w:rsidR="00764A29" w:rsidRPr="00764A29" w:rsidRDefault="00764A29" w:rsidP="00764A29">
                  <w:pPr>
                    <w:spacing w:after="60"/>
                    <w:rPr>
                      <w:i/>
                      <w:iCs/>
                      <w:sz w:val="20"/>
                      <w:szCs w:val="24"/>
                    </w:rPr>
                  </w:pPr>
                  <w:r w:rsidRPr="00764A29">
                    <w:rPr>
                      <w:iCs/>
                      <w:sz w:val="20"/>
                      <w:szCs w:val="24"/>
                      <w:lang w:val="pt-BR"/>
                    </w:rPr>
                    <w:lastRenderedPageBreak/>
                    <w:t xml:space="preserve">AHR </w:t>
                  </w:r>
                  <w:r w:rsidRPr="00764A29">
                    <w:rPr>
                      <w:i/>
                      <w:iCs/>
                      <w:sz w:val="20"/>
                      <w:szCs w:val="24"/>
                      <w:vertAlign w:val="subscript"/>
                      <w:lang w:val="es-ES"/>
                    </w:rPr>
                    <w:t>q, r, i</w:t>
                  </w:r>
                </w:p>
              </w:tc>
              <w:tc>
                <w:tcPr>
                  <w:tcW w:w="563" w:type="pct"/>
                  <w:tcBorders>
                    <w:top w:val="single" w:sz="6" w:space="0" w:color="auto"/>
                    <w:left w:val="single" w:sz="6" w:space="0" w:color="auto"/>
                    <w:bottom w:val="single" w:sz="6" w:space="0" w:color="auto"/>
                    <w:right w:val="single" w:sz="6" w:space="0" w:color="auto"/>
                  </w:tcBorders>
                  <w:hideMark/>
                </w:tcPr>
                <w:p w14:paraId="28C424C1"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07C2CC78" w14:textId="77777777" w:rsidR="00764A29" w:rsidRPr="00764A29" w:rsidRDefault="00764A29" w:rsidP="00764A29">
                  <w:pPr>
                    <w:spacing w:after="60"/>
                    <w:rPr>
                      <w:iCs/>
                      <w:sz w:val="20"/>
                      <w:szCs w:val="24"/>
                    </w:rPr>
                  </w:pPr>
                  <w:r w:rsidRPr="00764A29">
                    <w:rPr>
                      <w:i/>
                      <w:iCs/>
                      <w:sz w:val="20"/>
                      <w:szCs w:val="24"/>
                    </w:rPr>
                    <w:t xml:space="preserve">Average Heat Rate per Resource – </w:t>
                  </w:r>
                  <w:r w:rsidRPr="00764A29">
                    <w:rPr>
                      <w:iCs/>
                      <w:sz w:val="20"/>
                      <w:szCs w:val="24"/>
                    </w:rPr>
                    <w:t xml:space="preserve">The verifiable or actual submitted average heat rate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operating levels between LSL and High Sustained Limit (HSL),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54BFE0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0445D23" w14:textId="77777777" w:rsidR="00764A29" w:rsidRPr="00764A29" w:rsidRDefault="00764A29" w:rsidP="00764A29">
                  <w:pPr>
                    <w:spacing w:after="60"/>
                    <w:rPr>
                      <w:iCs/>
                      <w:sz w:val="20"/>
                      <w:szCs w:val="24"/>
                      <w:lang w:val="pt-BR"/>
                    </w:rPr>
                  </w:pPr>
                  <w:r w:rsidRPr="00764A29">
                    <w:rPr>
                      <w:iCs/>
                      <w:sz w:val="20"/>
                      <w:szCs w:val="24"/>
                    </w:rPr>
                    <w:t>PA</w:t>
                  </w:r>
                  <w:r w:rsidRPr="00764A29">
                    <w:rPr>
                      <w:iCs/>
                      <w:sz w:val="20"/>
                      <w:szCs w:val="24"/>
                      <w:lang w:val="pt-BR"/>
                    </w:rPr>
                    <w:t xml:space="preserve">HR </w:t>
                  </w:r>
                  <w:r w:rsidRPr="00764A29">
                    <w:rPr>
                      <w:i/>
                      <w:iCs/>
                      <w:sz w:val="20"/>
                      <w:szCs w:val="24"/>
                      <w:vertAlign w:val="subscript"/>
                      <w:lang w:val="pt-BR"/>
                    </w:rPr>
                    <w:t xml:space="preserve">q, </w:t>
                  </w:r>
                  <w:r w:rsidRPr="00764A29">
                    <w:rPr>
                      <w:i/>
                      <w:iCs/>
                      <w:sz w:val="20"/>
                      <w:szCs w:val="24"/>
                      <w:vertAlign w:val="subscript"/>
                    </w:rPr>
                    <w:t xml:space="preserve">r, </w:t>
                  </w:r>
                  <w:r w:rsidRPr="00764A29">
                    <w:rPr>
                      <w:i/>
                      <w:iCs/>
                      <w:sz w:val="20"/>
                      <w:szCs w:val="24"/>
                      <w:vertAlign w:val="subscript"/>
                      <w:lang w:val="es-ES"/>
                    </w:rPr>
                    <w:t>i</w:t>
                  </w:r>
                </w:p>
              </w:tc>
              <w:tc>
                <w:tcPr>
                  <w:tcW w:w="563" w:type="pct"/>
                  <w:tcBorders>
                    <w:top w:val="single" w:sz="6" w:space="0" w:color="auto"/>
                    <w:left w:val="single" w:sz="6" w:space="0" w:color="auto"/>
                    <w:bottom w:val="single" w:sz="6" w:space="0" w:color="auto"/>
                    <w:right w:val="single" w:sz="6" w:space="0" w:color="auto"/>
                  </w:tcBorders>
                  <w:hideMark/>
                </w:tcPr>
                <w:p w14:paraId="79B5B8DD"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4B81FC7B" w14:textId="7513F464" w:rsidR="00764A29" w:rsidRPr="00764A29" w:rsidRDefault="00764A29" w:rsidP="00764A29">
                  <w:pPr>
                    <w:spacing w:after="60"/>
                    <w:rPr>
                      <w:i/>
                      <w:iCs/>
                      <w:sz w:val="20"/>
                      <w:szCs w:val="24"/>
                    </w:rPr>
                  </w:pPr>
                  <w:r w:rsidRPr="00764A29">
                    <w:rPr>
                      <w:i/>
                      <w:iCs/>
                      <w:sz w:val="20"/>
                      <w:szCs w:val="24"/>
                    </w:rPr>
                    <w:t xml:space="preserve">Proxy Average Heat Rate – </w:t>
                  </w:r>
                  <w:r w:rsidRPr="00764A29">
                    <w:rPr>
                      <w:iCs/>
                      <w:sz w:val="20"/>
                      <w:szCs w:val="24"/>
                    </w:rPr>
                    <w:t xml:space="preserve">The proxy or actual submitted average heat rate for the Resource </w:t>
                  </w:r>
                  <w:r w:rsidRPr="00764A29">
                    <w:rPr>
                      <w:i/>
                      <w:iCs/>
                      <w:sz w:val="20"/>
                      <w:szCs w:val="24"/>
                    </w:rPr>
                    <w:t>r,</w:t>
                  </w:r>
                  <w:r w:rsidRPr="00764A29">
                    <w:rPr>
                      <w:iCs/>
                      <w:sz w:val="20"/>
                      <w:szCs w:val="24"/>
                    </w:rPr>
                    <w:t xml:space="preserve"> represented by QSE</w:t>
                  </w:r>
                  <w:r w:rsidRPr="00764A29">
                    <w:rPr>
                      <w:i/>
                      <w:iCs/>
                      <w:sz w:val="20"/>
                      <w:szCs w:val="24"/>
                    </w:rPr>
                    <w:t xml:space="preserve"> q</w:t>
                  </w:r>
                  <w:r w:rsidRPr="00764A29">
                    <w:rPr>
                      <w:iCs/>
                      <w:sz w:val="20"/>
                      <w:szCs w:val="24"/>
                    </w:rPr>
                    <w:t xml:space="preserve">,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 xml:space="preserve">r </w:t>
                  </w:r>
                  <w:r w:rsidRPr="00764A29">
                    <w:rPr>
                      <w:iCs/>
                      <w:sz w:val="20"/>
                      <w:szCs w:val="24"/>
                    </w:rPr>
                    <w:t>is a Combined Cycle Generation Resource within the Combined Cycle Train.</w:t>
                  </w:r>
                </w:p>
              </w:tc>
            </w:tr>
            <w:tr w:rsidR="00764A29" w:rsidRPr="00764A29" w14:paraId="223CB29D"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0205524" w14:textId="77777777" w:rsidR="00764A29" w:rsidRPr="00764A29" w:rsidRDefault="00764A29" w:rsidP="00764A29">
                  <w:pPr>
                    <w:spacing w:after="60"/>
                    <w:rPr>
                      <w:iCs/>
                      <w:sz w:val="20"/>
                      <w:szCs w:val="24"/>
                    </w:rPr>
                  </w:pPr>
                  <w:r w:rsidRPr="00764A29">
                    <w:rPr>
                      <w:iCs/>
                      <w:sz w:val="20"/>
                      <w:szCs w:val="24"/>
                    </w:rPr>
                    <w:t xml:space="preserve">RTMG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36F2E27"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B4A7378" w14:textId="51639922" w:rsidR="00764A29" w:rsidRPr="00764A29" w:rsidRDefault="00764A29" w:rsidP="00764A29">
                  <w:pPr>
                    <w:spacing w:after="60"/>
                    <w:rPr>
                      <w:iCs/>
                      <w:sz w:val="20"/>
                      <w:szCs w:val="24"/>
                    </w:rPr>
                  </w:pPr>
                  <w:r w:rsidRPr="00764A29">
                    <w:rPr>
                      <w:i/>
                      <w:iCs/>
                      <w:sz w:val="20"/>
                      <w:szCs w:val="24"/>
                    </w:rPr>
                    <w:t>Real-Time Metered Generation per QSE per Resource by Settlement Interval by hour</w:t>
                  </w:r>
                  <w:r w:rsidR="00C1227B">
                    <w:rPr>
                      <w:i/>
                      <w:iCs/>
                      <w:sz w:val="20"/>
                      <w:szCs w:val="24"/>
                    </w:rPr>
                    <w:t xml:space="preserve"> </w:t>
                  </w:r>
                  <w:r w:rsidR="00C1227B" w:rsidRPr="00764A29">
                    <w:rPr>
                      <w:szCs w:val="24"/>
                    </w:rPr>
                    <w:t>–</w:t>
                  </w:r>
                  <w:r w:rsidR="00C1227B">
                    <w:rPr>
                      <w:i/>
                      <w:iCs/>
                      <w:sz w:val="20"/>
                      <w:szCs w:val="24"/>
                    </w:rPr>
                    <w:t xml:space="preserve"> </w:t>
                  </w:r>
                  <w:r w:rsidRPr="00764A29">
                    <w:rPr>
                      <w:iCs/>
                      <w:sz w:val="20"/>
                      <w:szCs w:val="24"/>
                    </w:rPr>
                    <w:t xml:space="preserve">The Real-Time energy from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Where for a Combined Cycle Train, the Resource </w:t>
                  </w:r>
                  <w:r w:rsidRPr="00D61479">
                    <w:rPr>
                      <w:i/>
                      <w:sz w:val="20"/>
                      <w:szCs w:val="24"/>
                    </w:rPr>
                    <w:t>r</w:t>
                  </w:r>
                  <w:r w:rsidRPr="00764A29">
                    <w:rPr>
                      <w:iCs/>
                      <w:sz w:val="20"/>
                      <w:szCs w:val="24"/>
                    </w:rPr>
                    <w:t xml:space="preserve"> is the Combined Cycle Train.</w:t>
                  </w:r>
                </w:p>
              </w:tc>
            </w:tr>
            <w:tr w:rsidR="00764A29" w:rsidRPr="00764A29" w14:paraId="516603B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9CF9CB" w14:textId="77777777" w:rsidR="00764A29" w:rsidRPr="00764A29" w:rsidRDefault="00764A29" w:rsidP="00764A29">
                  <w:pPr>
                    <w:spacing w:after="60"/>
                    <w:rPr>
                      <w:iCs/>
                      <w:sz w:val="20"/>
                      <w:szCs w:val="24"/>
                    </w:rPr>
                  </w:pPr>
                  <w:r w:rsidRPr="00764A29">
                    <w:rPr>
                      <w:iCs/>
                      <w:sz w:val="20"/>
                      <w:szCs w:val="24"/>
                    </w:rPr>
                    <w:t>MEP</w:t>
                  </w:r>
                  <w:r w:rsidRPr="00764A29">
                    <w:rPr>
                      <w:szCs w:val="24"/>
                    </w:rPr>
                    <w:t xml:space="preserve">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A27A28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3D9327AE" w14:textId="3B7C7ACF" w:rsidR="00764A29" w:rsidRPr="00764A29" w:rsidRDefault="00764A29" w:rsidP="00764A29">
                  <w:pPr>
                    <w:spacing w:after="60"/>
                    <w:rPr>
                      <w:i/>
                      <w:iCs/>
                      <w:sz w:val="20"/>
                      <w:szCs w:val="24"/>
                    </w:rPr>
                  </w:pPr>
                  <w:r w:rsidRPr="00764A29">
                    <w:rPr>
                      <w:i/>
                      <w:iCs/>
                      <w:sz w:val="20"/>
                      <w:szCs w:val="24"/>
                    </w:rPr>
                    <w:t xml:space="preserve">Marginal Energy Production per QSE per Resource by Settlement Interval </w:t>
                  </w:r>
                  <w:r w:rsidR="00C1227B" w:rsidRPr="00764A29">
                    <w:rPr>
                      <w:szCs w:val="24"/>
                    </w:rPr>
                    <w:t>–</w:t>
                  </w:r>
                  <w:r w:rsidRPr="00764A29">
                    <w:rPr>
                      <w:szCs w:val="24"/>
                    </w:rPr>
                    <w:t xml:space="preserve"> </w:t>
                  </w:r>
                  <w:r w:rsidRPr="00764A29">
                    <w:rPr>
                      <w:iCs/>
                      <w:sz w:val="20"/>
                      <w:szCs w:val="24"/>
                    </w:rPr>
                    <w:t xml:space="preserve">The calculated marginal generation of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in Real-Time for the 15-minute Settlement Interval </w:t>
                  </w:r>
                  <w:r w:rsidRPr="00764A29">
                    <w:rPr>
                      <w:i/>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64372F50"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AA7F71" w14:textId="77777777" w:rsidR="00764A29" w:rsidRPr="00764A29" w:rsidRDefault="00764A29" w:rsidP="00764A29">
                  <w:pPr>
                    <w:spacing w:after="60"/>
                    <w:rPr>
                      <w:i/>
                      <w:iCs/>
                      <w:sz w:val="20"/>
                      <w:szCs w:val="24"/>
                    </w:rPr>
                  </w:pPr>
                  <w:r w:rsidRPr="00764A29">
                    <w:rPr>
                      <w:i/>
                      <w:iCs/>
                      <w:sz w:val="20"/>
                      <w:szCs w:val="24"/>
                    </w:rPr>
                    <w:t>q</w:t>
                  </w:r>
                </w:p>
              </w:tc>
              <w:tc>
                <w:tcPr>
                  <w:tcW w:w="563" w:type="pct"/>
                  <w:tcBorders>
                    <w:top w:val="single" w:sz="6" w:space="0" w:color="auto"/>
                    <w:left w:val="single" w:sz="6" w:space="0" w:color="auto"/>
                    <w:bottom w:val="single" w:sz="6" w:space="0" w:color="auto"/>
                    <w:right w:val="single" w:sz="6" w:space="0" w:color="auto"/>
                  </w:tcBorders>
                  <w:hideMark/>
                </w:tcPr>
                <w:p w14:paraId="14E7EFB7"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0E3F4E8"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68B8996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41EF165" w14:textId="77777777" w:rsidR="00764A29" w:rsidRPr="00764A29" w:rsidRDefault="00764A29" w:rsidP="00764A29">
                  <w:pPr>
                    <w:spacing w:after="60"/>
                    <w:rPr>
                      <w:i/>
                      <w:iCs/>
                      <w:sz w:val="20"/>
                      <w:szCs w:val="24"/>
                    </w:rPr>
                  </w:pPr>
                  <w:r w:rsidRPr="00764A29">
                    <w:rPr>
                      <w:i/>
                      <w:iCs/>
                      <w:sz w:val="20"/>
                      <w:szCs w:val="24"/>
                    </w:rPr>
                    <w:t>r</w:t>
                  </w:r>
                </w:p>
              </w:tc>
              <w:tc>
                <w:tcPr>
                  <w:tcW w:w="563" w:type="pct"/>
                  <w:tcBorders>
                    <w:top w:val="single" w:sz="6" w:space="0" w:color="auto"/>
                    <w:left w:val="single" w:sz="6" w:space="0" w:color="auto"/>
                    <w:bottom w:val="single" w:sz="6" w:space="0" w:color="auto"/>
                    <w:right w:val="single" w:sz="6" w:space="0" w:color="auto"/>
                  </w:tcBorders>
                  <w:hideMark/>
                </w:tcPr>
                <w:p w14:paraId="221F87A9"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EA41B50"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6F4732AA"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CE15631" w14:textId="77777777" w:rsidR="00764A29" w:rsidRPr="00764A29" w:rsidRDefault="00764A29" w:rsidP="00764A29">
                  <w:pPr>
                    <w:spacing w:after="60"/>
                    <w:rPr>
                      <w:i/>
                      <w:iCs/>
                      <w:sz w:val="20"/>
                      <w:szCs w:val="24"/>
                    </w:rPr>
                  </w:pPr>
                  <w:r w:rsidRPr="00764A29">
                    <w:rPr>
                      <w:i/>
                      <w:iCs/>
                      <w:sz w:val="20"/>
                      <w:szCs w:val="24"/>
                    </w:rPr>
                    <w:t>i</w:t>
                  </w:r>
                </w:p>
              </w:tc>
              <w:tc>
                <w:tcPr>
                  <w:tcW w:w="563" w:type="pct"/>
                  <w:tcBorders>
                    <w:top w:val="single" w:sz="6" w:space="0" w:color="auto"/>
                    <w:left w:val="single" w:sz="6" w:space="0" w:color="auto"/>
                    <w:bottom w:val="single" w:sz="6" w:space="0" w:color="auto"/>
                    <w:right w:val="single" w:sz="6" w:space="0" w:color="auto"/>
                  </w:tcBorders>
                  <w:hideMark/>
                </w:tcPr>
                <w:p w14:paraId="3BB44681"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0E019F41"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tr w:rsidR="00764A29" w:rsidRPr="00764A29" w14:paraId="4621845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196F8A7D" w14:textId="77777777" w:rsidR="00764A29" w:rsidRPr="00764A29" w:rsidRDefault="00764A29" w:rsidP="00764A29">
                  <w:pPr>
                    <w:spacing w:after="60"/>
                    <w:rPr>
                      <w:i/>
                      <w:iCs/>
                      <w:sz w:val="20"/>
                      <w:szCs w:val="24"/>
                    </w:rPr>
                  </w:pPr>
                  <w:r w:rsidRPr="00764A29">
                    <w:rPr>
                      <w:i/>
                      <w:iCs/>
                      <w:sz w:val="20"/>
                      <w:szCs w:val="24"/>
                    </w:rPr>
                    <w:t>rc</w:t>
                  </w:r>
                </w:p>
              </w:tc>
              <w:tc>
                <w:tcPr>
                  <w:tcW w:w="563" w:type="pct"/>
                  <w:tcBorders>
                    <w:top w:val="single" w:sz="6" w:space="0" w:color="auto"/>
                    <w:left w:val="single" w:sz="6" w:space="0" w:color="auto"/>
                    <w:bottom w:val="single" w:sz="6" w:space="0" w:color="auto"/>
                    <w:right w:val="single" w:sz="6" w:space="0" w:color="auto"/>
                  </w:tcBorders>
                  <w:hideMark/>
                </w:tcPr>
                <w:p w14:paraId="67209215"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67912411" w14:textId="5E80D812" w:rsidR="00764A29" w:rsidRPr="00764A29" w:rsidRDefault="00764A29" w:rsidP="00764A29">
                  <w:pPr>
                    <w:spacing w:after="60"/>
                    <w:rPr>
                      <w:iCs/>
                      <w:sz w:val="20"/>
                      <w:szCs w:val="24"/>
                    </w:rPr>
                  </w:pPr>
                  <w:r w:rsidRPr="00764A29">
                    <w:rPr>
                      <w:iCs/>
                      <w:sz w:val="20"/>
                      <w:szCs w:val="24"/>
                    </w:rPr>
                    <w:t>A Resource category</w:t>
                  </w:r>
                  <w:r w:rsidR="00A96D2E">
                    <w:rPr>
                      <w:iCs/>
                      <w:sz w:val="20"/>
                      <w:szCs w:val="24"/>
                    </w:rPr>
                    <w:t>.</w:t>
                  </w:r>
                </w:p>
              </w:tc>
            </w:tr>
          </w:tbl>
          <w:p w14:paraId="0EDF6B48" w14:textId="53373A4A" w:rsidR="00764A29" w:rsidRPr="00764A29" w:rsidRDefault="00764A29" w:rsidP="00764A29">
            <w:pPr>
              <w:spacing w:before="240" w:after="240"/>
              <w:ind w:left="720" w:hanging="720"/>
              <w:rPr>
                <w:iCs/>
                <w:szCs w:val="24"/>
              </w:rPr>
            </w:pPr>
            <w:r w:rsidRPr="00764A29">
              <w:rPr>
                <w:iCs/>
                <w:szCs w:val="24"/>
              </w:rPr>
              <w:t>(</w:t>
            </w:r>
            <w:r w:rsidR="00010E34">
              <w:rPr>
                <w:iCs/>
                <w:szCs w:val="24"/>
              </w:rPr>
              <w:t>4</w:t>
            </w:r>
            <w:r w:rsidRPr="00764A29">
              <w:rPr>
                <w:iCs/>
                <w:szCs w:val="24"/>
              </w:rPr>
              <w:t>)</w:t>
            </w:r>
            <w:r w:rsidRPr="00764A29">
              <w:rPr>
                <w:iCs/>
                <w:szCs w:val="24"/>
              </w:rPr>
              <w:tab/>
              <w:t xml:space="preserve">The total compensation to each QSE for operating losses during an LCAP or </w:t>
            </w:r>
            <w:r w:rsidRPr="00764A29">
              <w:rPr>
                <w:szCs w:val="24"/>
              </w:rPr>
              <w:t>ECAP</w:t>
            </w:r>
            <w:r w:rsidRPr="00764A29">
              <w:rPr>
                <w:iCs/>
                <w:szCs w:val="24"/>
              </w:rPr>
              <w:t xml:space="preserve"> Effective Period for the 15-minute Settlement Interval is calculated as follows:</w:t>
            </w:r>
          </w:p>
          <w:p w14:paraId="2C2362ED" w14:textId="77777777" w:rsidR="00764A29" w:rsidRPr="00764A29" w:rsidRDefault="00764A29" w:rsidP="00764A29">
            <w:pPr>
              <w:spacing w:after="240"/>
              <w:ind w:left="1440" w:hanging="720"/>
              <w:rPr>
                <w:b/>
                <w:iCs/>
                <w:sz w:val="20"/>
                <w:szCs w:val="24"/>
              </w:rPr>
            </w:pPr>
            <w:r w:rsidRPr="00764A29">
              <w:rPr>
                <w:iCs/>
                <w:szCs w:val="24"/>
              </w:rPr>
              <w:t xml:space="preserve">OPLPAMTQSETOT </w:t>
            </w:r>
            <w:r w:rsidRPr="00764A29">
              <w:rPr>
                <w:i/>
                <w:iCs/>
                <w:szCs w:val="24"/>
                <w:vertAlign w:val="subscript"/>
              </w:rPr>
              <w:t xml:space="preserve">q  </w:t>
            </w:r>
            <w:r w:rsidRPr="00764A29">
              <w:rPr>
                <w:iCs/>
                <w:szCs w:val="24"/>
              </w:rPr>
              <w:t xml:space="preserve">       =  </w:t>
            </w:r>
            <w:r w:rsidRPr="00764A29">
              <w:rPr>
                <w:iCs/>
                <w:szCs w:val="24"/>
              </w:rPr>
              <w:tab/>
            </w:r>
            <w:r w:rsidRPr="00764A29">
              <w:rPr>
                <w:noProof/>
                <w:position w:val="-18"/>
                <w:szCs w:val="24"/>
              </w:rPr>
              <w:drawing>
                <wp:inline distT="0" distB="0" distL="0" distR="0" wp14:anchorId="228BE60E" wp14:editId="6C056041">
                  <wp:extent cx="190500" cy="361950"/>
                  <wp:effectExtent l="0" t="0" r="0" b="0"/>
                  <wp:docPr id="155509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764A29">
              <w:rPr>
                <w:szCs w:val="24"/>
              </w:rPr>
              <w:t xml:space="preserve"> </w:t>
            </w:r>
            <w:r w:rsidRPr="00764A29">
              <w:rPr>
                <w:iCs/>
                <w:szCs w:val="24"/>
              </w:rPr>
              <w:t xml:space="preserve">OPLPAMT </w:t>
            </w:r>
            <w:r w:rsidRPr="00764A29">
              <w:rPr>
                <w:i/>
                <w:iCs/>
                <w:sz w:val="20"/>
                <w:szCs w:val="24"/>
                <w:vertAlign w:val="subscript"/>
              </w:rPr>
              <w:t>q, r, i</w:t>
            </w:r>
            <w:r w:rsidRPr="00764A29">
              <w:rPr>
                <w:b/>
                <w:iCs/>
                <w:sz w:val="20"/>
                <w:szCs w:val="24"/>
              </w:rPr>
              <w:t xml:space="preserve">  </w:t>
            </w:r>
          </w:p>
          <w:p w14:paraId="6496F9A8"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789"/>
              <w:gridCol w:w="5784"/>
            </w:tblGrid>
            <w:tr w:rsidR="00764A29" w:rsidRPr="00764A29" w14:paraId="0BC9A320" w14:textId="77777777" w:rsidTr="00B327B6">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0EF4A0E3" w14:textId="77777777" w:rsidR="00764A29" w:rsidRPr="00764A29" w:rsidRDefault="00764A29" w:rsidP="00764A29">
                  <w:pPr>
                    <w:spacing w:after="240"/>
                    <w:rPr>
                      <w:b/>
                      <w:iCs/>
                      <w:sz w:val="20"/>
                      <w:szCs w:val="24"/>
                    </w:rPr>
                  </w:pPr>
                  <w:r w:rsidRPr="00764A29">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59CCEBCC" w14:textId="77777777" w:rsidR="00764A29" w:rsidRPr="00764A29" w:rsidRDefault="00764A29" w:rsidP="00764A29">
                  <w:pPr>
                    <w:spacing w:after="240"/>
                    <w:rPr>
                      <w:b/>
                      <w:iCs/>
                      <w:sz w:val="20"/>
                      <w:szCs w:val="24"/>
                    </w:rPr>
                  </w:pPr>
                  <w:r w:rsidRPr="00764A29">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257EC7F4"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04F7D7B7"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5183C10A" w14:textId="77777777" w:rsidR="00764A29" w:rsidRPr="00764A29" w:rsidRDefault="00764A29" w:rsidP="00764A29">
                  <w:pPr>
                    <w:spacing w:after="60"/>
                    <w:rPr>
                      <w:iCs/>
                      <w:sz w:val="20"/>
                      <w:szCs w:val="24"/>
                    </w:rPr>
                  </w:pPr>
                  <w:r w:rsidRPr="00764A29">
                    <w:rPr>
                      <w:iCs/>
                      <w:sz w:val="20"/>
                      <w:szCs w:val="24"/>
                    </w:rPr>
                    <w:t>OPLPAMTQSETOT</w:t>
                  </w:r>
                  <w:r w:rsidRPr="00764A29">
                    <w:rPr>
                      <w:b/>
                      <w:iCs/>
                      <w:sz w:val="20"/>
                      <w:szCs w:val="24"/>
                    </w:rPr>
                    <w:t xml:space="preserve"> </w:t>
                  </w:r>
                  <w:r w:rsidRPr="00764A29">
                    <w:rPr>
                      <w:i/>
                      <w:iCs/>
                      <w:sz w:val="20"/>
                      <w:szCs w:val="24"/>
                      <w:vertAlign w:val="subscript"/>
                    </w:rPr>
                    <w:t>q</w:t>
                  </w:r>
                  <w:r w:rsidRPr="00764A29">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4691823C" w14:textId="77777777" w:rsidR="00764A29" w:rsidRPr="00764A29" w:rsidRDefault="00764A29" w:rsidP="00764A29">
                  <w:pPr>
                    <w:spacing w:after="60"/>
                    <w:rPr>
                      <w:iCs/>
                      <w:sz w:val="20"/>
                      <w:szCs w:val="24"/>
                    </w:rPr>
                  </w:pPr>
                  <w:r w:rsidRPr="00764A29">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573E1D53" w14:textId="77777777" w:rsidR="00764A29" w:rsidRPr="00764A29" w:rsidRDefault="00764A29" w:rsidP="00764A29">
                  <w:pPr>
                    <w:spacing w:after="60"/>
                    <w:rPr>
                      <w:iCs/>
                      <w:sz w:val="20"/>
                      <w:szCs w:val="24"/>
                    </w:rPr>
                  </w:pPr>
                  <w:r w:rsidRPr="00764A29">
                    <w:rPr>
                      <w:i/>
                      <w:iCs/>
                      <w:sz w:val="20"/>
                      <w:szCs w:val="24"/>
                    </w:rPr>
                    <w:t xml:space="preserve">Total Operating Losses Payment Amount per QSE – </w:t>
                  </w:r>
                  <w:r w:rsidRPr="00764A29">
                    <w:rPr>
                      <w:iCs/>
                      <w:sz w:val="20"/>
                      <w:szCs w:val="24"/>
                    </w:rPr>
                    <w:t xml:space="preserve">The total operating losses payment to the QSE </w:t>
                  </w:r>
                  <w:r w:rsidRPr="00764A29">
                    <w:rPr>
                      <w:i/>
                      <w:sz w:val="20"/>
                      <w:szCs w:val="24"/>
                    </w:rPr>
                    <w:t>q</w:t>
                  </w:r>
                  <w:r w:rsidRPr="00764A29">
                    <w:rPr>
                      <w:iCs/>
                      <w:sz w:val="20"/>
                      <w:szCs w:val="24"/>
                    </w:rPr>
                    <w:t xml:space="preserve">, for all Resources, for the 15-minute Settlement Interval within the Operating Day.  </w:t>
                  </w:r>
                </w:p>
              </w:tc>
            </w:tr>
            <w:tr w:rsidR="00764A29" w:rsidRPr="00764A29" w14:paraId="34E0C250"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331B43CD"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3804CB6B" w14:textId="77777777" w:rsidR="00764A29" w:rsidRPr="00764A29" w:rsidRDefault="00764A29" w:rsidP="00764A29">
                  <w:pPr>
                    <w:spacing w:after="60"/>
                    <w:rPr>
                      <w:i/>
                      <w:iCs/>
                      <w:sz w:val="20"/>
                      <w:szCs w:val="24"/>
                    </w:rPr>
                  </w:pPr>
                  <w:r w:rsidRPr="00764A29">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AFC8756" w14:textId="77777777" w:rsidR="00764A29" w:rsidRPr="00764A29" w:rsidRDefault="00764A29" w:rsidP="00764A29">
                  <w:pPr>
                    <w:spacing w:after="60"/>
                    <w:rPr>
                      <w:iCs/>
                      <w:sz w:val="20"/>
                      <w:szCs w:val="24"/>
                    </w:rPr>
                  </w:pPr>
                  <w:r w:rsidRPr="00764A29">
                    <w:rPr>
                      <w:i/>
                      <w:iCs/>
                      <w:sz w:val="20"/>
                      <w:szCs w:val="24"/>
                    </w:rPr>
                    <w:t>Operating Losses Payment Amount</w:t>
                  </w:r>
                  <w:r w:rsidRPr="00764A29">
                    <w:rPr>
                      <w:szCs w:val="24"/>
                    </w:rPr>
                    <w:t xml:space="preserve"> – </w:t>
                  </w:r>
                  <w:r w:rsidRPr="00764A29">
                    <w:rPr>
                      <w:iCs/>
                      <w:sz w:val="20"/>
                      <w:szCs w:val="24"/>
                    </w:rPr>
                    <w:t xml:space="preserve">The operating losses payment to the QSE </w:t>
                  </w:r>
                  <w:r w:rsidRPr="00764A29">
                    <w:rPr>
                      <w:i/>
                      <w:sz w:val="20"/>
                      <w:szCs w:val="24"/>
                    </w:rPr>
                    <w:t>q</w:t>
                  </w:r>
                  <w:r w:rsidRPr="00764A29">
                    <w:rPr>
                      <w:iCs/>
                      <w:sz w:val="20"/>
                      <w:szCs w:val="24"/>
                    </w:rPr>
                    <w:t xml:space="preserve">, for Resource </w:t>
                  </w:r>
                  <w:r w:rsidRPr="00764A29">
                    <w:rPr>
                      <w:i/>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the Combined Cycle Train.</w:t>
                  </w:r>
                </w:p>
              </w:tc>
            </w:tr>
            <w:tr w:rsidR="00764A29" w:rsidRPr="00764A29" w14:paraId="4317536E"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2D8B4943" w14:textId="77777777" w:rsidR="00764A29" w:rsidRPr="00764A29" w:rsidRDefault="00764A29" w:rsidP="00764A29">
                  <w:pPr>
                    <w:spacing w:after="60"/>
                    <w:rPr>
                      <w:i/>
                      <w:iCs/>
                      <w:sz w:val="20"/>
                      <w:szCs w:val="24"/>
                    </w:rPr>
                  </w:pPr>
                  <w:r w:rsidRPr="00764A29">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53864CC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23C6C65"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1E963333"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70E87CA6" w14:textId="77777777" w:rsidR="00764A29" w:rsidRPr="00764A29" w:rsidRDefault="00764A29" w:rsidP="00764A29">
                  <w:pPr>
                    <w:spacing w:after="60"/>
                    <w:rPr>
                      <w:i/>
                      <w:iCs/>
                      <w:sz w:val="20"/>
                      <w:szCs w:val="24"/>
                    </w:rPr>
                  </w:pPr>
                  <w:r w:rsidRPr="00764A29">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2202D66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1E80F0C"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00E66A62"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0336FE54" w14:textId="77777777" w:rsidR="00764A29" w:rsidRPr="00764A29" w:rsidRDefault="00764A29" w:rsidP="00764A29">
                  <w:pPr>
                    <w:spacing w:after="60"/>
                    <w:rPr>
                      <w:i/>
                      <w:iCs/>
                      <w:sz w:val="20"/>
                      <w:szCs w:val="24"/>
                    </w:rPr>
                  </w:pPr>
                  <w:r w:rsidRPr="00764A29">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6FC784F9"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544547F5"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bookmarkEnd w:id="2849"/>
          </w:tbl>
          <w:p w14:paraId="21C28797" w14:textId="4C7EF517" w:rsidR="00764A29" w:rsidRPr="00072829" w:rsidRDefault="00764A29" w:rsidP="00B327B6">
            <w:pPr>
              <w:spacing w:after="240"/>
              <w:ind w:left="1440" w:hanging="720"/>
            </w:pPr>
          </w:p>
        </w:tc>
      </w:tr>
    </w:tbl>
    <w:p w14:paraId="25C98303" w14:textId="77777777" w:rsidR="00162CAA" w:rsidRPr="00162CAA" w:rsidRDefault="00162CAA" w:rsidP="00162CAA">
      <w:pPr>
        <w:keepNext/>
        <w:tabs>
          <w:tab w:val="left" w:pos="1080"/>
        </w:tabs>
        <w:spacing w:before="480" w:after="240"/>
        <w:ind w:left="1080" w:hanging="1080"/>
        <w:outlineLvl w:val="2"/>
        <w:rPr>
          <w:bCs/>
        </w:rPr>
      </w:pPr>
      <w:bookmarkStart w:id="2850" w:name="_Toc189044510"/>
      <w:r w:rsidRPr="00162CAA">
        <w:rPr>
          <w:b/>
          <w:bCs/>
          <w:i/>
        </w:rPr>
        <w:lastRenderedPageBreak/>
        <w:t>6.8.3</w:t>
      </w:r>
      <w:r w:rsidRPr="00162CAA">
        <w:rPr>
          <w:b/>
          <w:bCs/>
          <w:i/>
        </w:rPr>
        <w:tab/>
      </w:r>
      <w:bookmarkEnd w:id="2833"/>
      <w:bookmarkEnd w:id="2834"/>
      <w:bookmarkEnd w:id="2835"/>
      <w:bookmarkEnd w:id="2836"/>
      <w:bookmarkEnd w:id="2837"/>
      <w:bookmarkEnd w:id="2838"/>
      <w:bookmarkEnd w:id="2839"/>
      <w:bookmarkEnd w:id="2840"/>
      <w:bookmarkEnd w:id="2841"/>
      <w:bookmarkEnd w:id="2842"/>
      <w:bookmarkEnd w:id="2843"/>
      <w:bookmarkEnd w:id="2844"/>
      <w:r w:rsidRPr="00162CAA">
        <w:rPr>
          <w:b/>
          <w:bCs/>
          <w:i/>
        </w:rPr>
        <w:t>Charges for Operating Losses During an LCAP Effective Period</w:t>
      </w:r>
      <w:bookmarkEnd w:id="2850"/>
    </w:p>
    <w:p w14:paraId="3EB3CD9A" w14:textId="03027628" w:rsidR="00162CAA" w:rsidRPr="00162CAA" w:rsidRDefault="00162CAA" w:rsidP="00162CAA">
      <w:pPr>
        <w:spacing w:after="240"/>
        <w:ind w:left="720" w:hanging="720"/>
        <w:rPr>
          <w:szCs w:val="24"/>
        </w:rPr>
      </w:pPr>
      <w:r w:rsidRPr="00162CAA">
        <w:rPr>
          <w:szCs w:val="24"/>
        </w:rPr>
        <w:t>(1)</w:t>
      </w:r>
      <w:r w:rsidRPr="00162CAA">
        <w:rPr>
          <w:szCs w:val="24"/>
        </w:rPr>
        <w:tab/>
        <w:t>All QSEs that were capacity-short in a Settlement Interval for which actual marginal costs above the LCAP are recovered will be charged for that shortage, as described in Section 6.8.3.1, Charges for Capacity Shortfalls During an LCAP Effective Period.  If revenues from the charges under Section 6.8.3.1 are not enough to cover all actual marginal costs above the LCAP for a Settlement Interval, then the difference will be uplifted to all QSEs on a Load Ratio Share (LRS) basis, as described in</w:t>
      </w:r>
      <w:r w:rsidR="003D3379" w:rsidRPr="00162CAA">
        <w:rPr>
          <w:szCs w:val="24"/>
        </w:rPr>
        <w:t xml:space="preserve"> </w:t>
      </w:r>
      <w:r w:rsidR="003D3379">
        <w:rPr>
          <w:szCs w:val="24"/>
        </w:rPr>
        <w:t xml:space="preserve">Section </w:t>
      </w:r>
      <w:r w:rsidRPr="00162CAA">
        <w:rPr>
          <w:szCs w:val="24"/>
        </w:rPr>
        <w:t>6.8.3.2, Uplift Charges for an LCAP Effective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79BE14A1" w14:textId="77777777" w:rsidTr="00764A29">
        <w:trPr>
          <w:trHeight w:val="206"/>
        </w:trPr>
        <w:tc>
          <w:tcPr>
            <w:tcW w:w="9350" w:type="dxa"/>
            <w:shd w:val="pct12" w:color="auto" w:fill="auto"/>
          </w:tcPr>
          <w:p w14:paraId="3CE008CA" w14:textId="235782BC" w:rsidR="00764A29" w:rsidRPr="00A4149C" w:rsidRDefault="00764A29" w:rsidP="00B327B6">
            <w:pPr>
              <w:pStyle w:val="Instructions"/>
              <w:spacing w:before="120"/>
            </w:pPr>
            <w:bookmarkStart w:id="2851" w:name="_Toc400547194"/>
            <w:bookmarkStart w:id="2852" w:name="_Toc405384299"/>
            <w:bookmarkStart w:id="2853" w:name="_Toc405543566"/>
            <w:bookmarkStart w:id="2854" w:name="_Toc428178075"/>
            <w:bookmarkStart w:id="2855" w:name="_Toc440872706"/>
            <w:bookmarkStart w:id="2856" w:name="_Toc458766251"/>
            <w:bookmarkStart w:id="2857" w:name="_Toc459292656"/>
            <w:bookmarkStart w:id="2858" w:name="_Toc60038363"/>
            <w:r>
              <w:t>[NPRR1216:  Delete Section 6.8.3 above upon system implementation and renumber accordingly.]</w:t>
            </w:r>
          </w:p>
        </w:tc>
      </w:tr>
    </w:tbl>
    <w:p w14:paraId="12E359AD" w14:textId="77777777" w:rsidR="00162CAA" w:rsidRPr="00162CAA" w:rsidRDefault="00162CAA" w:rsidP="00162CAA">
      <w:pPr>
        <w:pStyle w:val="H4"/>
        <w:spacing w:before="480"/>
        <w:ind w:left="1267" w:hanging="1267"/>
      </w:pPr>
      <w:bookmarkStart w:id="2859" w:name="_Toc189044511"/>
      <w:r w:rsidRPr="00162CAA">
        <w:t>6.8.3.1</w:t>
      </w:r>
      <w:r w:rsidRPr="00162CAA">
        <w:tab/>
        <w:t>Charges for Capacity Shortfalls During an LCAP Effective Period</w:t>
      </w:r>
      <w:bookmarkEnd w:id="2859"/>
      <w:r w:rsidRPr="00162CAA">
        <w:t xml:space="preserve"> </w:t>
      </w:r>
      <w:bookmarkEnd w:id="2851"/>
      <w:bookmarkEnd w:id="2852"/>
      <w:bookmarkEnd w:id="2853"/>
      <w:bookmarkEnd w:id="2854"/>
      <w:bookmarkEnd w:id="2855"/>
      <w:bookmarkEnd w:id="2856"/>
      <w:bookmarkEnd w:id="2857"/>
      <w:bookmarkEnd w:id="2858"/>
    </w:p>
    <w:p w14:paraId="36F3F553" w14:textId="77777777" w:rsidR="00162CAA" w:rsidRPr="00162CAA" w:rsidRDefault="00162CAA" w:rsidP="00162CAA">
      <w:pPr>
        <w:spacing w:after="240"/>
        <w:ind w:left="720" w:hanging="720"/>
        <w:rPr>
          <w:szCs w:val="24"/>
        </w:rPr>
      </w:pPr>
      <w:r w:rsidRPr="00162CAA">
        <w:rPr>
          <w:szCs w:val="24"/>
        </w:rPr>
        <w:t>(1)</w:t>
      </w:r>
      <w:r w:rsidRPr="00162CAA">
        <w:rPr>
          <w:szCs w:val="24"/>
        </w:rPr>
        <w:tab/>
        <w:t>The dollar amount charged to each QSE due to capacity shortfalls for any Settlement Intervals in an LCAP Effective Period is calculated as follows:</w:t>
      </w:r>
    </w:p>
    <w:p w14:paraId="481742D3"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LCAPCSAMT </w:t>
      </w:r>
      <w:r w:rsidRPr="00162CAA">
        <w:rPr>
          <w:b/>
          <w:bCs/>
          <w:i/>
          <w:szCs w:val="24"/>
          <w:vertAlign w:val="subscript"/>
        </w:rPr>
        <w:t>i, q</w:t>
      </w:r>
      <w:r w:rsidRPr="00162CAA">
        <w:rPr>
          <w:b/>
          <w:bCs/>
          <w:szCs w:val="24"/>
        </w:rPr>
        <w:tab/>
        <w:t>=</w:t>
      </w:r>
      <w:r w:rsidRPr="00162CAA">
        <w:rPr>
          <w:b/>
          <w:bCs/>
          <w:szCs w:val="24"/>
        </w:rPr>
        <w:tab/>
        <w:t>(-1) * Max [(LCAPSFRS</w:t>
      </w:r>
      <w:r w:rsidRPr="00162CAA">
        <w:rPr>
          <w:b/>
          <w:bCs/>
          <w:i/>
          <w:szCs w:val="24"/>
          <w:vertAlign w:val="subscript"/>
        </w:rPr>
        <w:t xml:space="preserve"> i, q</w:t>
      </w:r>
      <w:r w:rsidRPr="00162CAA">
        <w:rPr>
          <w:b/>
          <w:bCs/>
          <w:szCs w:val="24"/>
        </w:rPr>
        <w:t xml:space="preserve"> * OPLPAMTTOT</w:t>
      </w:r>
      <w:r w:rsidRPr="00162CAA">
        <w:rPr>
          <w:b/>
          <w:bCs/>
          <w:i/>
          <w:szCs w:val="24"/>
          <w:vertAlign w:val="subscript"/>
        </w:rPr>
        <w:t xml:space="preserve"> i</w:t>
      </w:r>
      <w:r w:rsidRPr="00162CAA">
        <w:rPr>
          <w:b/>
          <w:bCs/>
          <w:szCs w:val="24"/>
        </w:rPr>
        <w:t xml:space="preserve">), </w:t>
      </w:r>
      <w:r w:rsidRPr="00162CAA">
        <w:rPr>
          <w:b/>
          <w:bCs/>
          <w:szCs w:val="24"/>
        </w:rPr>
        <w:br/>
        <w:t xml:space="preserve">(((1/4) * LCAPSF </w:t>
      </w:r>
      <w:r w:rsidRPr="00162CAA">
        <w:rPr>
          <w:b/>
          <w:bCs/>
          <w:i/>
          <w:szCs w:val="24"/>
          <w:vertAlign w:val="subscript"/>
        </w:rPr>
        <w:t>i, q</w:t>
      </w:r>
      <w:r w:rsidRPr="00162CAA">
        <w:rPr>
          <w:b/>
          <w:bCs/>
          <w:szCs w:val="24"/>
        </w:rPr>
        <w:t>) * OPLPAMTTOT</w:t>
      </w:r>
      <w:r w:rsidRPr="00162CAA">
        <w:rPr>
          <w:b/>
          <w:bCs/>
          <w:i/>
          <w:szCs w:val="24"/>
          <w:vertAlign w:val="subscript"/>
        </w:rPr>
        <w:t xml:space="preserve"> i</w:t>
      </w:r>
      <w:r w:rsidRPr="00162CAA">
        <w:rPr>
          <w:b/>
          <w:bCs/>
          <w:szCs w:val="24"/>
        </w:rPr>
        <w:t xml:space="preserve"> / OPLCAPTOT</w:t>
      </w:r>
      <w:r w:rsidRPr="00162CAA">
        <w:rPr>
          <w:b/>
          <w:bCs/>
          <w:i/>
          <w:szCs w:val="24"/>
          <w:vertAlign w:val="subscript"/>
        </w:rPr>
        <w:t xml:space="preserve"> i</w:t>
      </w:r>
      <w:r w:rsidRPr="00162CAA">
        <w:rPr>
          <w:b/>
          <w:bCs/>
          <w:szCs w:val="24"/>
        </w:rPr>
        <w:t xml:space="preserve">)] </w:t>
      </w:r>
    </w:p>
    <w:p w14:paraId="3F6B720B" w14:textId="77777777" w:rsidR="00162CAA" w:rsidRPr="00162CAA" w:rsidRDefault="00162CAA" w:rsidP="00162CAA">
      <w:pPr>
        <w:spacing w:after="240"/>
        <w:ind w:left="720"/>
      </w:pPr>
      <w:r w:rsidRPr="00162CAA">
        <w:t>Where:</w:t>
      </w:r>
    </w:p>
    <w:p w14:paraId="1802DE39"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 xml:space="preserve">OPLPAMTTOT </w:t>
      </w:r>
      <w:r w:rsidRPr="00162CAA">
        <w:rPr>
          <w:bCs/>
          <w:i/>
          <w:szCs w:val="24"/>
          <w:vertAlign w:val="subscript"/>
        </w:rPr>
        <w:t xml:space="preserve">i </w:t>
      </w:r>
      <w:r w:rsidRPr="00162CAA">
        <w:rPr>
          <w:bCs/>
          <w:szCs w:val="24"/>
        </w:rPr>
        <w:tab/>
        <w:t>=</w:t>
      </w:r>
      <w:r w:rsidRPr="00162CAA">
        <w:rPr>
          <w:bCs/>
          <w:szCs w:val="24"/>
        </w:rPr>
        <w:tab/>
      </w:r>
      <w:r w:rsidRPr="00162CAA">
        <w:rPr>
          <w:bCs/>
          <w:position w:val="-22"/>
          <w:szCs w:val="24"/>
        </w:rPr>
        <w:object w:dxaOrig="270" w:dyaOrig="585" w14:anchorId="6105BC61">
          <v:shape id="_x0000_i1446" type="#_x0000_t75" style="width:12pt;height:30pt" o:ole="">
            <v:imagedata r:id="rId549" o:title=""/>
          </v:shape>
          <o:OLEObject Type="Embed" ProgID="Equation.3" ShapeID="_x0000_i1446" DrawAspect="Content" ObjectID="_1804653929" r:id="rId550"/>
        </w:object>
      </w:r>
      <w:r w:rsidRPr="00162CAA">
        <w:rPr>
          <w:bCs/>
          <w:szCs w:val="24"/>
        </w:rPr>
        <w:t>OPLPAMTQSETOT</w:t>
      </w:r>
      <w:r w:rsidRPr="00162CAA">
        <w:rPr>
          <w:bCs/>
          <w:i/>
          <w:szCs w:val="24"/>
          <w:vertAlign w:val="subscript"/>
        </w:rPr>
        <w:t xml:space="preserve"> i, q</w:t>
      </w:r>
    </w:p>
    <w:p w14:paraId="4113FC76" w14:textId="77777777" w:rsidR="00162CAA" w:rsidRPr="00162CAA" w:rsidRDefault="00162CAA" w:rsidP="00162CAA">
      <w:pPr>
        <w:tabs>
          <w:tab w:val="left" w:pos="2340"/>
          <w:tab w:val="left" w:pos="3240"/>
          <w:tab w:val="left" w:pos="3420"/>
        </w:tabs>
        <w:spacing w:after="240"/>
        <w:ind w:left="3420" w:hanging="2700"/>
        <w:rPr>
          <w:bCs/>
          <w:szCs w:val="24"/>
        </w:rPr>
      </w:pPr>
      <w:r w:rsidRPr="00162CAA">
        <w:rPr>
          <w:bCs/>
          <w:szCs w:val="24"/>
        </w:rPr>
        <w:t xml:space="preserve">OPLCAPTOT </w:t>
      </w:r>
      <w:r w:rsidRPr="00162CAA">
        <w:rPr>
          <w:bCs/>
          <w:i/>
          <w:szCs w:val="24"/>
          <w:vertAlign w:val="subscript"/>
        </w:rPr>
        <w:t>i</w:t>
      </w:r>
      <w:r w:rsidRPr="00162CAA">
        <w:rPr>
          <w:bCs/>
          <w:szCs w:val="24"/>
        </w:rPr>
        <w:tab/>
        <w:t xml:space="preserve">    </w:t>
      </w:r>
      <w:r w:rsidRPr="00162CAA">
        <w:rPr>
          <w:bCs/>
          <w:szCs w:val="24"/>
        </w:rPr>
        <w:tab/>
      </w:r>
      <w:r w:rsidRPr="00162CAA">
        <w:rPr>
          <w:bCs/>
          <w:szCs w:val="24"/>
        </w:rPr>
        <w:tab/>
        <w:t>=</w:t>
      </w:r>
      <w:r w:rsidRPr="00162CAA">
        <w:rPr>
          <w:bCs/>
          <w:szCs w:val="24"/>
        </w:rPr>
        <w:tab/>
      </w:r>
      <w:r w:rsidRPr="00162CAA">
        <w:rPr>
          <w:bCs/>
          <w:position w:val="-22"/>
          <w:szCs w:val="24"/>
        </w:rPr>
        <w:object w:dxaOrig="270" w:dyaOrig="645" w14:anchorId="3418C75B">
          <v:shape id="_x0000_i1447" type="#_x0000_t75" style="width:12pt;height:30pt" o:ole="">
            <v:imagedata r:id="rId549" o:title=""/>
          </v:shape>
          <o:OLEObject Type="Embed" ProgID="Equation.3" ShapeID="_x0000_i1447" DrawAspect="Content" ObjectID="_1804653930" r:id="rId551"/>
        </w:object>
      </w:r>
      <w:r w:rsidRPr="00162CAA">
        <w:rPr>
          <w:bCs/>
          <w:position w:val="-18"/>
          <w:szCs w:val="24"/>
        </w:rPr>
        <w:object w:dxaOrig="270" w:dyaOrig="585" w14:anchorId="35A4BA09">
          <v:shape id="_x0000_i1448" type="#_x0000_t75" style="width:12pt;height:30pt" o:ole="">
            <v:imagedata r:id="rId552" o:title=""/>
          </v:shape>
          <o:OLEObject Type="Embed" ProgID="Equation.3" ShapeID="_x0000_i1448" DrawAspect="Content" ObjectID="_1804653931" r:id="rId553"/>
        </w:object>
      </w:r>
      <w:r w:rsidRPr="00162CAA">
        <w:rPr>
          <w:bCs/>
          <w:szCs w:val="24"/>
        </w:rPr>
        <w:t xml:space="preserve">RTMG </w:t>
      </w:r>
      <w:r w:rsidRPr="00162CAA">
        <w:rPr>
          <w:bCs/>
          <w:i/>
          <w:szCs w:val="24"/>
          <w:vertAlign w:val="subscript"/>
        </w:rPr>
        <w:t>q, r, i</w:t>
      </w:r>
    </w:p>
    <w:p w14:paraId="36C906D8" w14:textId="77777777" w:rsidR="00162CAA" w:rsidRPr="00162CAA" w:rsidRDefault="00162CAA" w:rsidP="00162CAA">
      <w:pPr>
        <w:rPr>
          <w:szCs w:val="24"/>
        </w:rPr>
      </w:pPr>
      <w:r w:rsidRPr="00162CAA">
        <w:rPr>
          <w:szCs w:val="24"/>
        </w:rPr>
        <w:t>The above variables are defined as follows:</w:t>
      </w:r>
    </w:p>
    <w:tbl>
      <w:tblPr>
        <w:tblW w:w="5002"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8"/>
        <w:gridCol w:w="683"/>
        <w:gridCol w:w="6003"/>
      </w:tblGrid>
      <w:tr w:rsidR="00162CAA" w:rsidRPr="00162CAA" w14:paraId="60B76634" w14:textId="77777777" w:rsidTr="00764A29">
        <w:trPr>
          <w:tblHeader/>
        </w:trPr>
        <w:tc>
          <w:tcPr>
            <w:tcW w:w="1426" w:type="pct"/>
            <w:tcBorders>
              <w:top w:val="single" w:sz="4" w:space="0" w:color="auto"/>
              <w:left w:val="single" w:sz="4" w:space="0" w:color="auto"/>
              <w:bottom w:val="single" w:sz="6" w:space="0" w:color="auto"/>
              <w:right w:val="single" w:sz="6" w:space="0" w:color="auto"/>
            </w:tcBorders>
            <w:hideMark/>
          </w:tcPr>
          <w:p w14:paraId="59186D5A" w14:textId="77777777" w:rsidR="00162CAA" w:rsidRPr="00162CAA" w:rsidRDefault="00162CAA" w:rsidP="00162CAA">
            <w:pPr>
              <w:spacing w:after="240"/>
              <w:rPr>
                <w:b/>
                <w:iCs/>
                <w:sz w:val="20"/>
              </w:rPr>
            </w:pPr>
            <w:r w:rsidRPr="00162CAA">
              <w:rPr>
                <w:b/>
                <w:iCs/>
                <w:sz w:val="20"/>
              </w:rPr>
              <w:t>Variable</w:t>
            </w:r>
          </w:p>
        </w:tc>
        <w:tc>
          <w:tcPr>
            <w:tcW w:w="365" w:type="pct"/>
            <w:tcBorders>
              <w:top w:val="single" w:sz="4" w:space="0" w:color="auto"/>
              <w:left w:val="single" w:sz="6" w:space="0" w:color="auto"/>
              <w:bottom w:val="single" w:sz="6" w:space="0" w:color="auto"/>
              <w:right w:val="single" w:sz="6" w:space="0" w:color="auto"/>
            </w:tcBorders>
            <w:hideMark/>
          </w:tcPr>
          <w:p w14:paraId="1927EA38" w14:textId="77777777" w:rsidR="00162CAA" w:rsidRPr="00162CAA" w:rsidRDefault="00162CAA" w:rsidP="00162CAA">
            <w:pPr>
              <w:spacing w:after="240"/>
              <w:jc w:val="center"/>
              <w:rPr>
                <w:b/>
                <w:iCs/>
                <w:sz w:val="20"/>
              </w:rPr>
            </w:pPr>
            <w:r w:rsidRPr="00162CAA">
              <w:rPr>
                <w:b/>
                <w:iCs/>
                <w:sz w:val="20"/>
              </w:rPr>
              <w:t>Unit</w:t>
            </w:r>
          </w:p>
        </w:tc>
        <w:tc>
          <w:tcPr>
            <w:tcW w:w="3209" w:type="pct"/>
            <w:tcBorders>
              <w:top w:val="single" w:sz="4" w:space="0" w:color="auto"/>
              <w:left w:val="single" w:sz="6" w:space="0" w:color="auto"/>
              <w:bottom w:val="single" w:sz="6" w:space="0" w:color="auto"/>
              <w:right w:val="single" w:sz="4" w:space="0" w:color="auto"/>
            </w:tcBorders>
            <w:hideMark/>
          </w:tcPr>
          <w:p w14:paraId="2B5115A0" w14:textId="77777777" w:rsidR="00162CAA" w:rsidRPr="00162CAA" w:rsidRDefault="00162CAA" w:rsidP="00162CAA">
            <w:pPr>
              <w:spacing w:after="240"/>
              <w:rPr>
                <w:b/>
                <w:iCs/>
                <w:sz w:val="20"/>
              </w:rPr>
            </w:pPr>
            <w:r w:rsidRPr="00162CAA">
              <w:rPr>
                <w:b/>
                <w:iCs/>
                <w:sz w:val="20"/>
              </w:rPr>
              <w:t>Definition</w:t>
            </w:r>
          </w:p>
        </w:tc>
      </w:tr>
      <w:tr w:rsidR="00162CAA" w:rsidRPr="00162CAA" w14:paraId="0EC471BC"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76D8B2E0"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hideMark/>
          </w:tcPr>
          <w:p w14:paraId="72534158"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7EFEC47A"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a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w:t>
            </w:r>
            <w:r w:rsidRPr="00162CAA">
              <w:rPr>
                <w:i/>
                <w:iCs/>
                <w:sz w:val="20"/>
              </w:rPr>
              <w:t xml:space="preserve"> </w:t>
            </w:r>
            <w:r w:rsidRPr="00162CAA">
              <w:rPr>
                <w:iCs/>
                <w:sz w:val="20"/>
              </w:rPr>
              <w:t>Period, for the 15-minute Settlement Interval</w:t>
            </w:r>
            <w:r w:rsidRPr="00162CAA">
              <w:rPr>
                <w:i/>
                <w:iCs/>
                <w:sz w:val="20"/>
              </w:rPr>
              <w:t xml:space="preserve"> i</w:t>
            </w:r>
            <w:r w:rsidRPr="00162CAA">
              <w:rPr>
                <w:iCs/>
                <w:sz w:val="20"/>
              </w:rPr>
              <w:t>.</w:t>
            </w:r>
          </w:p>
        </w:tc>
      </w:tr>
      <w:tr w:rsidR="00162CAA" w:rsidRPr="00162CAA" w14:paraId="696B0D3D" w14:textId="77777777" w:rsidTr="00764A29">
        <w:trPr>
          <w:cantSplit/>
        </w:trPr>
        <w:tc>
          <w:tcPr>
            <w:tcW w:w="1426" w:type="pct"/>
            <w:tcBorders>
              <w:top w:val="single" w:sz="4" w:space="0" w:color="auto"/>
              <w:left w:val="single" w:sz="4" w:space="0" w:color="auto"/>
              <w:bottom w:val="single" w:sz="4" w:space="0" w:color="auto"/>
              <w:right w:val="single" w:sz="4" w:space="0" w:color="auto"/>
            </w:tcBorders>
            <w:hideMark/>
          </w:tcPr>
          <w:p w14:paraId="214C050D"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65" w:type="pct"/>
            <w:tcBorders>
              <w:top w:val="single" w:sz="4" w:space="0" w:color="auto"/>
              <w:left w:val="single" w:sz="4" w:space="0" w:color="auto"/>
              <w:bottom w:val="single" w:sz="4" w:space="0" w:color="auto"/>
              <w:right w:val="single" w:sz="4" w:space="0" w:color="auto"/>
            </w:tcBorders>
            <w:hideMark/>
          </w:tcPr>
          <w:p w14:paraId="7C6A8FB2" w14:textId="77777777" w:rsidR="00162CAA" w:rsidRPr="00162CAA" w:rsidRDefault="00162CAA" w:rsidP="00162CAA">
            <w:pPr>
              <w:spacing w:after="60"/>
              <w:jc w:val="center"/>
              <w:rPr>
                <w:iCs/>
                <w:sz w:val="20"/>
                <w:szCs w:val="24"/>
              </w:rPr>
            </w:pPr>
            <w:r w:rsidRPr="00162CAA">
              <w:rPr>
                <w:iCs/>
                <w:sz w:val="20"/>
                <w:szCs w:val="24"/>
              </w:rPr>
              <w:t>$</w:t>
            </w:r>
          </w:p>
        </w:tc>
        <w:tc>
          <w:tcPr>
            <w:tcW w:w="3209" w:type="pct"/>
            <w:tcBorders>
              <w:top w:val="single" w:sz="4" w:space="0" w:color="auto"/>
              <w:left w:val="single" w:sz="4" w:space="0" w:color="auto"/>
              <w:bottom w:val="single" w:sz="4" w:space="0" w:color="auto"/>
              <w:right w:val="single" w:sz="4" w:space="0" w:color="auto"/>
            </w:tcBorders>
            <w:hideMark/>
          </w:tcPr>
          <w:p w14:paraId="1F17A6E9"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rPr>
              <w:t xml:space="preserve">i </w:t>
            </w:r>
            <w:r w:rsidRPr="00162CAA">
              <w:rPr>
                <w:sz w:val="20"/>
              </w:rPr>
              <w:t>within the Operating Day.</w:t>
            </w:r>
            <w:r w:rsidRPr="00162CAA">
              <w:rPr>
                <w:iCs/>
                <w:sz w:val="20"/>
                <w:szCs w:val="24"/>
              </w:rPr>
              <w:t xml:space="preserve"> </w:t>
            </w:r>
            <w:r w:rsidRPr="00162CAA">
              <w:rPr>
                <w:iCs/>
                <w:sz w:val="20"/>
              </w:rPr>
              <w:t xml:space="preserve"> </w:t>
            </w:r>
          </w:p>
        </w:tc>
      </w:tr>
      <w:tr w:rsidR="00162CAA" w:rsidRPr="00162CAA" w14:paraId="22B3661B"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4AE7B9C5"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hideMark/>
          </w:tcPr>
          <w:p w14:paraId="36CEA7E3"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310B89D4" w14:textId="77777777" w:rsidR="00162CAA" w:rsidRPr="00162CAA" w:rsidRDefault="00162CAA" w:rsidP="00162CAA">
            <w:pPr>
              <w:spacing w:after="60"/>
              <w:rPr>
                <w:iCs/>
                <w:sz w:val="20"/>
              </w:rPr>
            </w:pPr>
            <w:r w:rsidRPr="00162CAA">
              <w:rPr>
                <w:i/>
                <w:sz w:val="20"/>
              </w:rPr>
              <w:t xml:space="preserve">Total Operating Losses Payment Amount – </w:t>
            </w:r>
            <w:r w:rsidRPr="00162CAA">
              <w:rPr>
                <w:iCs/>
                <w:sz w:val="20"/>
              </w:rPr>
              <w:t>The sum of Operating Losses Payments to all QSEs, for the 15-minute Settlement Interval</w:t>
            </w:r>
            <w:r w:rsidRPr="00162CAA">
              <w:rPr>
                <w:i/>
                <w:iCs/>
                <w:sz w:val="20"/>
              </w:rPr>
              <w:t xml:space="preserve"> i</w:t>
            </w:r>
            <w:r w:rsidRPr="00162CAA">
              <w:rPr>
                <w:iCs/>
                <w:sz w:val="20"/>
              </w:rPr>
              <w:t>.</w:t>
            </w:r>
          </w:p>
        </w:tc>
      </w:tr>
      <w:tr w:rsidR="00245978" w:rsidRPr="00162CAA" w14:paraId="59AF2E8F" w14:textId="77777777" w:rsidTr="00764A29">
        <w:tc>
          <w:tcPr>
            <w:tcW w:w="1426" w:type="pct"/>
            <w:tcBorders>
              <w:top w:val="single" w:sz="6" w:space="0" w:color="auto"/>
              <w:left w:val="single" w:sz="4" w:space="0" w:color="auto"/>
              <w:bottom w:val="single" w:sz="6" w:space="0" w:color="auto"/>
              <w:right w:val="single" w:sz="6" w:space="0" w:color="auto"/>
            </w:tcBorders>
          </w:tcPr>
          <w:p w14:paraId="5760D659" w14:textId="6C29B9F6" w:rsidR="00245978" w:rsidRPr="00162CAA" w:rsidRDefault="00245978" w:rsidP="00245978">
            <w:pPr>
              <w:spacing w:after="60"/>
              <w:rPr>
                <w:iCs/>
                <w:sz w:val="20"/>
              </w:rPr>
            </w:pPr>
            <w:r w:rsidRPr="00162CAA">
              <w:rPr>
                <w:iCs/>
                <w:sz w:val="20"/>
              </w:rPr>
              <w:t xml:space="preserve">LCAPSFRS </w:t>
            </w:r>
            <w:r w:rsidRPr="00162CAA">
              <w:rPr>
                <w:i/>
                <w:iCs/>
                <w:sz w:val="20"/>
                <w:vertAlign w:val="subscript"/>
              </w:rPr>
              <w:t>i, q</w:t>
            </w:r>
          </w:p>
        </w:tc>
        <w:tc>
          <w:tcPr>
            <w:tcW w:w="365" w:type="pct"/>
            <w:tcBorders>
              <w:top w:val="single" w:sz="6" w:space="0" w:color="auto"/>
              <w:left w:val="single" w:sz="6" w:space="0" w:color="auto"/>
              <w:bottom w:val="single" w:sz="6" w:space="0" w:color="auto"/>
              <w:right w:val="single" w:sz="6" w:space="0" w:color="auto"/>
            </w:tcBorders>
          </w:tcPr>
          <w:p w14:paraId="390C0B8B" w14:textId="17CFF55A"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tcPr>
          <w:p w14:paraId="1E23ACF6" w14:textId="20042F3A" w:rsidR="00245978" w:rsidRPr="00162CAA" w:rsidRDefault="00245978" w:rsidP="00245978">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  See Section 6.8.3.1.1, Capacity Shortfall Ratio Share for an LCAP Effective Period.</w:t>
            </w:r>
          </w:p>
        </w:tc>
      </w:tr>
      <w:tr w:rsidR="00245978" w:rsidRPr="00162CAA" w14:paraId="34234717" w14:textId="77777777" w:rsidTr="00764A29">
        <w:tc>
          <w:tcPr>
            <w:tcW w:w="1426" w:type="pct"/>
            <w:tcBorders>
              <w:top w:val="single" w:sz="6" w:space="0" w:color="auto"/>
              <w:left w:val="single" w:sz="4" w:space="0" w:color="auto"/>
              <w:bottom w:val="single" w:sz="6" w:space="0" w:color="auto"/>
              <w:right w:val="single" w:sz="6" w:space="0" w:color="auto"/>
            </w:tcBorders>
          </w:tcPr>
          <w:p w14:paraId="309A11F2" w14:textId="5B947A04" w:rsidR="00245978" w:rsidRPr="00162CAA" w:rsidRDefault="00245978" w:rsidP="00245978">
            <w:pPr>
              <w:spacing w:after="60"/>
              <w:rPr>
                <w:iCs/>
                <w:sz w:val="20"/>
              </w:rPr>
            </w:pPr>
            <w:r w:rsidRPr="00162CAA">
              <w:rPr>
                <w:iCs/>
                <w:sz w:val="20"/>
              </w:rPr>
              <w:lastRenderedPageBreak/>
              <w:t xml:space="preserve">LCAPSF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tcPr>
          <w:p w14:paraId="21AF3D45" w14:textId="6A19E343" w:rsidR="00245978" w:rsidRPr="00162CAA" w:rsidRDefault="00245978" w:rsidP="00245978">
            <w:pPr>
              <w:spacing w:after="60"/>
              <w:jc w:val="center"/>
              <w:rPr>
                <w:iCs/>
                <w:sz w:val="20"/>
              </w:rPr>
            </w:pPr>
            <w:r w:rsidRPr="00162CAA">
              <w:rPr>
                <w:iCs/>
                <w:sz w:val="20"/>
              </w:rPr>
              <w:t>MW</w:t>
            </w:r>
          </w:p>
        </w:tc>
        <w:tc>
          <w:tcPr>
            <w:tcW w:w="3209" w:type="pct"/>
            <w:tcBorders>
              <w:top w:val="single" w:sz="6" w:space="0" w:color="auto"/>
              <w:left w:val="single" w:sz="6" w:space="0" w:color="auto"/>
              <w:bottom w:val="single" w:sz="6" w:space="0" w:color="auto"/>
              <w:right w:val="single" w:sz="4" w:space="0" w:color="auto"/>
            </w:tcBorders>
          </w:tcPr>
          <w:p w14:paraId="5ACE3710" w14:textId="7E306C2F" w:rsidR="00245978" w:rsidRPr="00162CAA" w:rsidRDefault="00245978" w:rsidP="00245978">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 xml:space="preserve">.  See formula in </w:t>
            </w:r>
            <w:r>
              <w:rPr>
                <w:iCs/>
                <w:sz w:val="20"/>
              </w:rPr>
              <w:t xml:space="preserve">Section </w:t>
            </w:r>
            <w:r w:rsidRPr="00162CAA">
              <w:rPr>
                <w:iCs/>
                <w:sz w:val="20"/>
              </w:rPr>
              <w:t>6.8.3.1.1.</w:t>
            </w:r>
          </w:p>
        </w:tc>
      </w:tr>
      <w:tr w:rsidR="00245978" w:rsidRPr="00162CAA" w14:paraId="7A5C094A" w14:textId="77777777" w:rsidTr="00764A29">
        <w:tc>
          <w:tcPr>
            <w:tcW w:w="1426" w:type="pct"/>
            <w:tcBorders>
              <w:top w:val="single" w:sz="6" w:space="0" w:color="auto"/>
              <w:left w:val="single" w:sz="4" w:space="0" w:color="auto"/>
              <w:bottom w:val="single" w:sz="6" w:space="0" w:color="auto"/>
              <w:right w:val="single" w:sz="6" w:space="0" w:color="auto"/>
            </w:tcBorders>
          </w:tcPr>
          <w:p w14:paraId="486B14DF" w14:textId="22B34807" w:rsidR="00245978" w:rsidRPr="00162CAA" w:rsidRDefault="00245978" w:rsidP="00245978">
            <w:pPr>
              <w:spacing w:after="60"/>
              <w:rPr>
                <w:iCs/>
                <w:sz w:val="20"/>
              </w:rPr>
            </w:pPr>
            <w:r w:rsidRPr="00162CAA">
              <w:rPr>
                <w:iCs/>
                <w:sz w:val="20"/>
              </w:rPr>
              <w:t xml:space="preserve">OPLCAPTOT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tcPr>
          <w:p w14:paraId="4F0C8ED8" w14:textId="52DEFF3F"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tcPr>
          <w:p w14:paraId="2FD0DA86" w14:textId="4FF2F166" w:rsidR="00245978" w:rsidRPr="00162CAA" w:rsidRDefault="00245978" w:rsidP="00245978">
            <w:pPr>
              <w:spacing w:after="60"/>
              <w:rPr>
                <w:iCs/>
                <w:sz w:val="20"/>
              </w:rPr>
            </w:pPr>
            <w:r w:rsidRPr="00162CAA">
              <w:rPr>
                <w:i/>
                <w:iCs/>
                <w:sz w:val="20"/>
              </w:rPr>
              <w:t>Operating Loss Capacity Total</w:t>
            </w:r>
            <w:r w:rsidRPr="00162CAA">
              <w:rPr>
                <w:iCs/>
                <w:sz w:val="20"/>
              </w:rPr>
              <w:t>—The sum of the Real-Time Metered Generation (RTMG) of all Resources compensated for an LCAP Effective Period for the 15-minute Settlement Interval</w:t>
            </w:r>
            <w:r w:rsidRPr="00162CAA">
              <w:rPr>
                <w:i/>
                <w:iCs/>
                <w:sz w:val="20"/>
              </w:rPr>
              <w:t xml:space="preserve"> i</w:t>
            </w:r>
            <w:r w:rsidRPr="00162CAA">
              <w:rPr>
                <w:iCs/>
                <w:sz w:val="20"/>
              </w:rPr>
              <w:t xml:space="preserve">.  </w:t>
            </w:r>
          </w:p>
        </w:tc>
      </w:tr>
      <w:tr w:rsidR="00245978" w:rsidRPr="00162CAA" w14:paraId="5AFB91E4"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37DD4815" w14:textId="77777777" w:rsidR="00245978" w:rsidRPr="00162CAA" w:rsidRDefault="00245978" w:rsidP="00245978">
            <w:pPr>
              <w:spacing w:after="60"/>
              <w:rPr>
                <w:iCs/>
                <w:sz w:val="20"/>
              </w:rPr>
            </w:pPr>
            <w:r w:rsidRPr="00162CAA">
              <w:rPr>
                <w:iCs/>
                <w:sz w:val="20"/>
              </w:rPr>
              <w:t xml:space="preserve">RTMG </w:t>
            </w:r>
            <w:r w:rsidRPr="00162CAA">
              <w:rPr>
                <w:i/>
                <w:iCs/>
                <w:sz w:val="20"/>
                <w:vertAlign w:val="subscript"/>
              </w:rPr>
              <w:t>q, r, i</w:t>
            </w:r>
          </w:p>
        </w:tc>
        <w:tc>
          <w:tcPr>
            <w:tcW w:w="365" w:type="pct"/>
            <w:tcBorders>
              <w:top w:val="single" w:sz="6" w:space="0" w:color="auto"/>
              <w:left w:val="single" w:sz="6" w:space="0" w:color="auto"/>
              <w:bottom w:val="single" w:sz="6" w:space="0" w:color="auto"/>
              <w:right w:val="single" w:sz="6" w:space="0" w:color="auto"/>
            </w:tcBorders>
            <w:hideMark/>
          </w:tcPr>
          <w:p w14:paraId="3F230C32" w14:textId="77777777"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hideMark/>
          </w:tcPr>
          <w:p w14:paraId="3E97A757" w14:textId="77777777" w:rsidR="00245978" w:rsidRPr="00162CAA" w:rsidRDefault="00245978" w:rsidP="00245978">
            <w:pPr>
              <w:spacing w:after="60"/>
              <w:rPr>
                <w:iCs/>
                <w:sz w:val="20"/>
              </w:rPr>
            </w:pPr>
            <w:r w:rsidRPr="00162CAA">
              <w:rPr>
                <w:i/>
                <w:iCs/>
                <w:sz w:val="20"/>
              </w:rPr>
              <w:t>Real-Time Metered Generation per QSE per Resource by Settlement Interval by hour—</w:t>
            </w:r>
            <w:r w:rsidRPr="00162CAA">
              <w:rPr>
                <w:iCs/>
                <w:sz w:val="20"/>
              </w:rPr>
              <w:t xml:space="preserve">The Real-Time energy from Resource </w:t>
            </w:r>
            <w:r w:rsidRPr="00162CAA">
              <w:rPr>
                <w:i/>
                <w:iCs/>
                <w:sz w:val="20"/>
              </w:rPr>
              <w:t>r</w:t>
            </w:r>
            <w:r w:rsidRPr="00162CAA">
              <w:rPr>
                <w:iCs/>
                <w:sz w:val="20"/>
              </w:rPr>
              <w:t xml:space="preserve"> represented by QSE </w:t>
            </w:r>
            <w:r w:rsidRPr="00162CAA">
              <w:rPr>
                <w:i/>
                <w:iCs/>
                <w:sz w:val="20"/>
              </w:rPr>
              <w:t>q</w:t>
            </w:r>
            <w:r w:rsidRPr="00162CAA">
              <w:rPr>
                <w:iCs/>
                <w:sz w:val="20"/>
              </w:rPr>
              <w:t xml:space="preserve">, for the 15-minute Settlement Interval </w:t>
            </w:r>
            <w:r w:rsidRPr="00162CAA">
              <w:rPr>
                <w:i/>
                <w:iCs/>
                <w:sz w:val="20"/>
              </w:rPr>
              <w:t>i</w:t>
            </w:r>
            <w:r w:rsidRPr="00162CAA">
              <w:rPr>
                <w:iCs/>
                <w:sz w:val="20"/>
              </w:rPr>
              <w:t xml:space="preserve">.  Where for a Combined Cycle Train, the Resource r is the Combined Cycle Train. For Resources that </w:t>
            </w:r>
            <w:r w:rsidRPr="00162CAA">
              <w:rPr>
                <w:sz w:val="20"/>
              </w:rPr>
              <w:t xml:space="preserve">are granted </w:t>
            </w:r>
            <w:r w:rsidRPr="00162CAA">
              <w:rPr>
                <w:iCs/>
                <w:sz w:val="20"/>
              </w:rPr>
              <w:t xml:space="preserve">a dispute under Section 9.14.7, Disputes for RUC Make-Whole Payment for Fuel Costs, </w:t>
            </w:r>
            <w:r w:rsidRPr="00162CAA">
              <w:rPr>
                <w:sz w:val="20"/>
              </w:rPr>
              <w:t xml:space="preserve">the </w:t>
            </w:r>
            <w:r w:rsidRPr="00162CAA">
              <w:rPr>
                <w:iCs/>
                <w:sz w:val="20"/>
              </w:rPr>
              <w:t xml:space="preserve">Real-Time energy </w:t>
            </w:r>
            <w:r w:rsidRPr="00162CAA">
              <w:rPr>
                <w:sz w:val="20"/>
              </w:rPr>
              <w:t xml:space="preserve"> represents the energy produced </w:t>
            </w:r>
            <w:r w:rsidRPr="00162CAA">
              <w:rPr>
                <w:iCs/>
                <w:sz w:val="20"/>
              </w:rPr>
              <w:t>for operations above LSL.</w:t>
            </w:r>
          </w:p>
        </w:tc>
      </w:tr>
      <w:tr w:rsidR="00245978" w:rsidRPr="00162CAA" w14:paraId="062A3862"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0018B724" w14:textId="77777777" w:rsidR="00245978" w:rsidRPr="00162CAA" w:rsidRDefault="00245978" w:rsidP="00245978">
            <w:pPr>
              <w:spacing w:after="60"/>
              <w:rPr>
                <w:i/>
                <w:iCs/>
                <w:sz w:val="20"/>
                <w:highlight w:val="yellow"/>
              </w:rPr>
            </w:pPr>
            <w:r w:rsidRPr="00162CAA">
              <w:rPr>
                <w:i/>
                <w:iCs/>
                <w:sz w:val="20"/>
              </w:rPr>
              <w:t>i</w:t>
            </w:r>
          </w:p>
        </w:tc>
        <w:tc>
          <w:tcPr>
            <w:tcW w:w="365" w:type="pct"/>
            <w:tcBorders>
              <w:top w:val="single" w:sz="6" w:space="0" w:color="auto"/>
              <w:left w:val="single" w:sz="6" w:space="0" w:color="auto"/>
              <w:bottom w:val="single" w:sz="6" w:space="0" w:color="auto"/>
              <w:right w:val="single" w:sz="6" w:space="0" w:color="auto"/>
            </w:tcBorders>
            <w:hideMark/>
          </w:tcPr>
          <w:p w14:paraId="4F36955A"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7C0C7D27" w14:textId="77777777" w:rsidR="00245978" w:rsidRPr="00162CAA" w:rsidRDefault="00245978" w:rsidP="00245978">
            <w:pPr>
              <w:spacing w:after="60"/>
              <w:rPr>
                <w:iCs/>
                <w:sz w:val="20"/>
              </w:rPr>
            </w:pPr>
            <w:r w:rsidRPr="00162CAA">
              <w:rPr>
                <w:iCs/>
                <w:sz w:val="20"/>
              </w:rPr>
              <w:t>A 15-minute Settlement Interval.</w:t>
            </w:r>
          </w:p>
        </w:tc>
      </w:tr>
      <w:tr w:rsidR="00245978" w:rsidRPr="00162CAA" w14:paraId="5468422E"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1CC1BAC8" w14:textId="77777777" w:rsidR="00245978" w:rsidRPr="00162CAA" w:rsidRDefault="00245978" w:rsidP="00245978">
            <w:pPr>
              <w:spacing w:after="60"/>
              <w:rPr>
                <w:i/>
                <w:iCs/>
                <w:sz w:val="20"/>
                <w:highlight w:val="yellow"/>
              </w:rPr>
            </w:pPr>
            <w:r w:rsidRPr="00162CAA">
              <w:rPr>
                <w:i/>
                <w:iCs/>
                <w:sz w:val="20"/>
              </w:rPr>
              <w:t>q</w:t>
            </w:r>
          </w:p>
        </w:tc>
        <w:tc>
          <w:tcPr>
            <w:tcW w:w="365" w:type="pct"/>
            <w:tcBorders>
              <w:top w:val="single" w:sz="6" w:space="0" w:color="auto"/>
              <w:left w:val="single" w:sz="6" w:space="0" w:color="auto"/>
              <w:bottom w:val="single" w:sz="6" w:space="0" w:color="auto"/>
              <w:right w:val="single" w:sz="6" w:space="0" w:color="auto"/>
            </w:tcBorders>
            <w:hideMark/>
          </w:tcPr>
          <w:p w14:paraId="4F274074"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2FE08C04" w14:textId="77777777" w:rsidR="00245978" w:rsidRPr="00162CAA" w:rsidRDefault="00245978" w:rsidP="00245978">
            <w:pPr>
              <w:spacing w:after="60"/>
              <w:rPr>
                <w:iCs/>
                <w:sz w:val="20"/>
              </w:rPr>
            </w:pPr>
            <w:r w:rsidRPr="00162CAA">
              <w:rPr>
                <w:iCs/>
                <w:sz w:val="20"/>
              </w:rPr>
              <w:t>A QSE.</w:t>
            </w:r>
          </w:p>
        </w:tc>
      </w:tr>
      <w:tr w:rsidR="00245978" w:rsidRPr="00162CAA" w14:paraId="1050FE5B" w14:textId="77777777" w:rsidTr="00764A29">
        <w:tc>
          <w:tcPr>
            <w:tcW w:w="1426" w:type="pct"/>
            <w:tcBorders>
              <w:top w:val="single" w:sz="6" w:space="0" w:color="auto"/>
              <w:left w:val="single" w:sz="4" w:space="0" w:color="auto"/>
              <w:bottom w:val="single" w:sz="4" w:space="0" w:color="auto"/>
              <w:right w:val="single" w:sz="6" w:space="0" w:color="auto"/>
            </w:tcBorders>
            <w:hideMark/>
          </w:tcPr>
          <w:p w14:paraId="3EBFB88D" w14:textId="77777777" w:rsidR="00245978" w:rsidRPr="00162CAA" w:rsidRDefault="00245978" w:rsidP="00245978">
            <w:pPr>
              <w:spacing w:after="60"/>
              <w:rPr>
                <w:i/>
                <w:iCs/>
                <w:sz w:val="20"/>
              </w:rPr>
            </w:pPr>
            <w:r w:rsidRPr="00162CAA">
              <w:rPr>
                <w:i/>
                <w:iCs/>
                <w:sz w:val="20"/>
              </w:rPr>
              <w:t>r</w:t>
            </w:r>
          </w:p>
        </w:tc>
        <w:tc>
          <w:tcPr>
            <w:tcW w:w="365" w:type="pct"/>
            <w:tcBorders>
              <w:top w:val="single" w:sz="6" w:space="0" w:color="auto"/>
              <w:left w:val="single" w:sz="6" w:space="0" w:color="auto"/>
              <w:bottom w:val="single" w:sz="4" w:space="0" w:color="auto"/>
              <w:right w:val="single" w:sz="6" w:space="0" w:color="auto"/>
            </w:tcBorders>
            <w:hideMark/>
          </w:tcPr>
          <w:p w14:paraId="5C17CAE5"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4" w:space="0" w:color="auto"/>
              <w:right w:val="single" w:sz="4" w:space="0" w:color="auto"/>
            </w:tcBorders>
            <w:hideMark/>
          </w:tcPr>
          <w:p w14:paraId="17CF8C95" w14:textId="77777777" w:rsidR="00245978" w:rsidRPr="00162CAA" w:rsidRDefault="00245978" w:rsidP="00245978">
            <w:pPr>
              <w:spacing w:after="60"/>
              <w:rPr>
                <w:iCs/>
                <w:sz w:val="20"/>
              </w:rPr>
            </w:pPr>
            <w:r w:rsidRPr="00162CAA">
              <w:rPr>
                <w:iCs/>
                <w:sz w:val="20"/>
              </w:rPr>
              <w:t xml:space="preserve">A Generation Resource or ESR that is compensated during an LCAP Effective Period for the hour that includes the Settlement Interval </w:t>
            </w:r>
            <w:r w:rsidRPr="00162CAA">
              <w:rPr>
                <w:i/>
                <w:iCs/>
                <w:sz w:val="20"/>
              </w:rPr>
              <w:t>i</w:t>
            </w:r>
            <w:r w:rsidRPr="00162CAA">
              <w:rPr>
                <w:iCs/>
                <w:sz w:val="20"/>
              </w:rPr>
              <w:t xml:space="preserve"> .</w:t>
            </w:r>
          </w:p>
        </w:tc>
      </w:tr>
    </w:tbl>
    <w:p w14:paraId="36271487"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4878F19E" w14:textId="77777777" w:rsidTr="00764A29">
        <w:trPr>
          <w:trHeight w:val="206"/>
        </w:trPr>
        <w:tc>
          <w:tcPr>
            <w:tcW w:w="5000" w:type="pct"/>
            <w:shd w:val="pct12" w:color="auto" w:fill="auto"/>
          </w:tcPr>
          <w:p w14:paraId="733EBA2B" w14:textId="46BB854A" w:rsidR="00764A29" w:rsidRPr="00A4149C" w:rsidRDefault="00764A29" w:rsidP="00B327B6">
            <w:pPr>
              <w:pStyle w:val="Instructions"/>
              <w:spacing w:before="120"/>
            </w:pPr>
            <w:bookmarkStart w:id="2860" w:name="_Toc400547195"/>
            <w:bookmarkStart w:id="2861" w:name="_Toc405384300"/>
            <w:bookmarkStart w:id="2862" w:name="_Toc405543567"/>
            <w:bookmarkStart w:id="2863" w:name="_Toc428178076"/>
            <w:bookmarkStart w:id="2864" w:name="_Toc440872707"/>
            <w:bookmarkStart w:id="2865" w:name="_Toc458766252"/>
            <w:bookmarkStart w:id="2866" w:name="_Toc459292657"/>
            <w:bookmarkStart w:id="2867" w:name="_Toc60038364"/>
            <w:r>
              <w:t>[NPRR1216:  Delete Section 6.8.3.1 above upon system implementation and renumber accordingly.]</w:t>
            </w:r>
          </w:p>
        </w:tc>
      </w:tr>
    </w:tbl>
    <w:p w14:paraId="0E3AB4D1" w14:textId="77777777" w:rsidR="00162CAA" w:rsidRPr="00162CAA" w:rsidRDefault="00162CAA" w:rsidP="00162CAA">
      <w:pPr>
        <w:pStyle w:val="H5"/>
        <w:spacing w:before="480"/>
        <w:ind w:left="720" w:hanging="720"/>
      </w:pPr>
      <w:bookmarkStart w:id="2868" w:name="_Toc189044512"/>
      <w:r w:rsidRPr="00162CAA">
        <w:t>6.8.3.1.1</w:t>
      </w:r>
      <w:r w:rsidRPr="00162CAA">
        <w:tab/>
        <w:t>Capacity Shortfall Ratio Share for an LCAP Effective Period</w:t>
      </w:r>
      <w:bookmarkEnd w:id="2868"/>
      <w:r w:rsidRPr="00162CAA">
        <w:t xml:space="preserve"> </w:t>
      </w:r>
      <w:bookmarkEnd w:id="2860"/>
      <w:bookmarkEnd w:id="2861"/>
      <w:bookmarkEnd w:id="2862"/>
      <w:bookmarkEnd w:id="2863"/>
      <w:bookmarkEnd w:id="2864"/>
      <w:bookmarkEnd w:id="2865"/>
      <w:bookmarkEnd w:id="2866"/>
      <w:bookmarkEnd w:id="2867"/>
    </w:p>
    <w:p w14:paraId="7D375B89" w14:textId="77777777" w:rsidR="00162CAA" w:rsidRPr="00162CAA" w:rsidRDefault="00162CAA" w:rsidP="00162CAA">
      <w:pPr>
        <w:spacing w:after="240"/>
        <w:ind w:left="720" w:hanging="720"/>
      </w:pPr>
      <w:r w:rsidRPr="00162CAA">
        <w:t>(1)</w:t>
      </w:r>
      <w:r w:rsidRPr="00162CAA">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4FBF9E04" w14:textId="77777777" w:rsidR="00162CAA" w:rsidRPr="00162CAA" w:rsidRDefault="00162CAA" w:rsidP="00162CAA">
      <w:pPr>
        <w:spacing w:after="240"/>
        <w:ind w:left="720" w:hanging="720"/>
      </w:pPr>
      <w:r w:rsidRPr="00162CAA">
        <w:t>(2)</w:t>
      </w:r>
      <w:r w:rsidRPr="00162CAA">
        <w:tab/>
        <w:t>The capacity shortfall ratio share of a specific QSE for an LCAP Effective Period is calculated, for a 15-minute Settlement Interval, as follows:</w:t>
      </w:r>
    </w:p>
    <w:p w14:paraId="051DD40D"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LCAPSFRS </w:t>
      </w:r>
      <w:r w:rsidRPr="00162CAA">
        <w:rPr>
          <w:b/>
          <w:bCs/>
          <w:i/>
          <w:szCs w:val="24"/>
          <w:vertAlign w:val="subscript"/>
        </w:rPr>
        <w:t>i, q</w:t>
      </w:r>
      <w:r w:rsidRPr="00162CAA">
        <w:rPr>
          <w:b/>
          <w:bCs/>
          <w:szCs w:val="24"/>
        </w:rPr>
        <w:tab/>
        <w:t>=</w:t>
      </w:r>
      <w:r w:rsidRPr="00162CAA">
        <w:rPr>
          <w:b/>
          <w:bCs/>
          <w:szCs w:val="24"/>
        </w:rPr>
        <w:tab/>
        <w:t>LCAPSF</w:t>
      </w:r>
      <w:r w:rsidRPr="00162CAA">
        <w:rPr>
          <w:b/>
          <w:bCs/>
          <w:i/>
          <w:szCs w:val="24"/>
          <w:vertAlign w:val="subscript"/>
        </w:rPr>
        <w:t xml:space="preserve"> i, q</w:t>
      </w:r>
      <w:r w:rsidRPr="00162CAA">
        <w:rPr>
          <w:b/>
          <w:bCs/>
          <w:szCs w:val="24"/>
        </w:rPr>
        <w:t xml:space="preserve"> / LCAPSFTOT </w:t>
      </w:r>
      <w:r w:rsidRPr="00162CAA">
        <w:rPr>
          <w:b/>
          <w:bCs/>
          <w:i/>
          <w:szCs w:val="24"/>
          <w:vertAlign w:val="subscript"/>
        </w:rPr>
        <w:t>i</w:t>
      </w:r>
    </w:p>
    <w:p w14:paraId="645CACF8" w14:textId="77777777" w:rsidR="00162CAA" w:rsidRPr="00162CAA" w:rsidRDefault="00162CAA" w:rsidP="00162CAA">
      <w:pPr>
        <w:spacing w:after="240"/>
        <w:ind w:firstLine="720"/>
        <w:rPr>
          <w:szCs w:val="24"/>
        </w:rPr>
      </w:pPr>
      <w:r w:rsidRPr="00162CAA">
        <w:rPr>
          <w:szCs w:val="24"/>
        </w:rPr>
        <w:t>Where:</w:t>
      </w:r>
    </w:p>
    <w:p w14:paraId="5264936A" w14:textId="77777777" w:rsidR="00162CAA" w:rsidRPr="00162CAA" w:rsidRDefault="00162CAA" w:rsidP="00162CAA">
      <w:pPr>
        <w:tabs>
          <w:tab w:val="left" w:pos="2340"/>
          <w:tab w:val="left" w:pos="3420"/>
        </w:tabs>
        <w:spacing w:after="240"/>
        <w:ind w:left="3420" w:right="-180" w:hanging="2700"/>
        <w:rPr>
          <w:b/>
          <w:bCs/>
          <w:i/>
          <w:szCs w:val="24"/>
          <w:vertAlign w:val="subscript"/>
        </w:rPr>
      </w:pPr>
      <w:r w:rsidRPr="00162CAA">
        <w:rPr>
          <w:b/>
          <w:bCs/>
          <w:szCs w:val="24"/>
        </w:rPr>
        <w:t>LCAPSFTOT</w:t>
      </w:r>
      <w:r w:rsidRPr="00162CAA">
        <w:rPr>
          <w:b/>
          <w:bCs/>
          <w:i/>
          <w:szCs w:val="24"/>
          <w:vertAlign w:val="subscript"/>
        </w:rPr>
        <w:t xml:space="preserve"> i</w:t>
      </w:r>
      <w:r w:rsidRPr="00162CAA">
        <w:rPr>
          <w:b/>
          <w:bCs/>
          <w:szCs w:val="24"/>
        </w:rPr>
        <w:tab/>
        <w:t>=</w:t>
      </w:r>
      <w:r w:rsidRPr="00162CAA">
        <w:rPr>
          <w:b/>
          <w:bCs/>
          <w:szCs w:val="24"/>
        </w:rPr>
        <w:tab/>
      </w:r>
      <w:r w:rsidRPr="00162CAA">
        <w:rPr>
          <w:b/>
          <w:bCs/>
          <w:position w:val="-22"/>
          <w:szCs w:val="24"/>
        </w:rPr>
        <w:object w:dxaOrig="270" w:dyaOrig="510" w14:anchorId="0B81CC28">
          <v:shape id="_x0000_i1449" type="#_x0000_t75" style="width:12pt;height:24pt" o:ole="">
            <v:imagedata r:id="rId554" o:title=""/>
          </v:shape>
          <o:OLEObject Type="Embed" ProgID="Equation.3" ShapeID="_x0000_i1449" DrawAspect="Content" ObjectID="_1804653932" r:id="rId555"/>
        </w:object>
      </w:r>
      <w:r w:rsidRPr="00162CAA">
        <w:rPr>
          <w:b/>
          <w:bCs/>
          <w:szCs w:val="24"/>
        </w:rPr>
        <w:t xml:space="preserve"> LCAPSF </w:t>
      </w:r>
      <w:r w:rsidRPr="00162CAA">
        <w:rPr>
          <w:b/>
          <w:bCs/>
          <w:i/>
          <w:szCs w:val="24"/>
          <w:vertAlign w:val="subscript"/>
        </w:rPr>
        <w:t xml:space="preserve"> i, q</w:t>
      </w:r>
    </w:p>
    <w:p w14:paraId="777823DE" w14:textId="77777777" w:rsidR="00162CAA" w:rsidRPr="00162CAA" w:rsidRDefault="00162CAA" w:rsidP="00162CAA">
      <w:pPr>
        <w:spacing w:after="240"/>
        <w:ind w:left="720" w:hanging="720"/>
      </w:pPr>
      <w:r w:rsidRPr="00162CAA">
        <w:t>(3)</w:t>
      </w:r>
      <w:r w:rsidRPr="00162CAA">
        <w:tab/>
        <w:t>The LCAP Shortfall in MW for a QSE for the 15-minute Settlement Interval is:</w:t>
      </w:r>
    </w:p>
    <w:p w14:paraId="5704FE19" w14:textId="77777777" w:rsidR="00162CAA" w:rsidRPr="00162CAA" w:rsidRDefault="00162CAA" w:rsidP="00162CAA">
      <w:pPr>
        <w:tabs>
          <w:tab w:val="left" w:pos="2340"/>
          <w:tab w:val="left" w:pos="3420"/>
        </w:tabs>
        <w:spacing w:after="240"/>
        <w:ind w:left="3420" w:right="-180" w:hanging="2700"/>
        <w:rPr>
          <w:b/>
          <w:bCs/>
          <w:szCs w:val="24"/>
          <w:lang w:val="it-IT"/>
        </w:rPr>
      </w:pPr>
      <w:r w:rsidRPr="00162CAA">
        <w:rPr>
          <w:b/>
          <w:bCs/>
          <w:szCs w:val="24"/>
          <w:lang w:val="it-IT"/>
        </w:rPr>
        <w:t>LCAPSF</w:t>
      </w:r>
      <w:r w:rsidRPr="00162CAA">
        <w:rPr>
          <w:b/>
          <w:bCs/>
          <w:i/>
          <w:szCs w:val="24"/>
          <w:vertAlign w:val="subscript"/>
          <w:lang w:val="it-IT"/>
        </w:rPr>
        <w:t xml:space="preserve"> i, q</w:t>
      </w:r>
      <w:r w:rsidRPr="00162CAA">
        <w:rPr>
          <w:b/>
          <w:bCs/>
          <w:szCs w:val="24"/>
          <w:lang w:val="it-IT"/>
        </w:rPr>
        <w:tab/>
        <w:t>=</w:t>
      </w:r>
      <w:r w:rsidRPr="00162CAA">
        <w:rPr>
          <w:b/>
          <w:bCs/>
          <w:szCs w:val="24"/>
          <w:lang w:val="it-IT"/>
        </w:rPr>
        <w:tab/>
        <w:t>Max (0, ((</w:t>
      </w:r>
      <w:r w:rsidRPr="00162CAA">
        <w:rPr>
          <w:b/>
          <w:bCs/>
          <w:position w:val="-22"/>
          <w:szCs w:val="24"/>
        </w:rPr>
        <w:object w:dxaOrig="270" w:dyaOrig="510" w14:anchorId="0D81C8B1">
          <v:shape id="_x0000_i1450" type="#_x0000_t75" style="width:12pt;height:24pt" o:ole="">
            <v:imagedata r:id="rId556" o:title=""/>
          </v:shape>
          <o:OLEObject Type="Embed" ProgID="Equation.3" ShapeID="_x0000_i1450" DrawAspect="Content" ObjectID="_1804653933" r:id="rId557"/>
        </w:object>
      </w:r>
      <w:r w:rsidRPr="00162CAA">
        <w:rPr>
          <w:b/>
          <w:bCs/>
          <w:szCs w:val="24"/>
          <w:lang w:val="it-IT"/>
        </w:rPr>
        <w:t xml:space="preserve">RTAML </w:t>
      </w:r>
      <w:r w:rsidRPr="00162CAA">
        <w:rPr>
          <w:b/>
          <w:bCs/>
          <w:i/>
          <w:szCs w:val="24"/>
          <w:vertAlign w:val="subscript"/>
          <w:lang w:val="it-IT"/>
        </w:rPr>
        <w:t>q, p, i</w:t>
      </w:r>
      <w:r w:rsidRPr="00162CAA">
        <w:rPr>
          <w:b/>
          <w:bCs/>
          <w:szCs w:val="24"/>
          <w:lang w:val="it-IT"/>
        </w:rPr>
        <w:t xml:space="preserve">) *4) – </w:t>
      </w:r>
      <w:r w:rsidRPr="00162CAA">
        <w:rPr>
          <w:b/>
          <w:bCs/>
          <w:szCs w:val="24"/>
        </w:rPr>
        <w:t>LCAP</w:t>
      </w:r>
      <w:r w:rsidRPr="00162CAA">
        <w:rPr>
          <w:b/>
          <w:bCs/>
          <w:szCs w:val="24"/>
          <w:lang w:val="it-IT"/>
        </w:rPr>
        <w:t>CAP</w:t>
      </w:r>
      <w:r w:rsidRPr="00162CAA">
        <w:rPr>
          <w:b/>
          <w:bCs/>
          <w:i/>
          <w:szCs w:val="24"/>
          <w:vertAlign w:val="subscript"/>
          <w:lang w:val="it-IT"/>
        </w:rPr>
        <w:t>q, i</w:t>
      </w:r>
      <w:r w:rsidRPr="00162CAA">
        <w:rPr>
          <w:b/>
          <w:bCs/>
          <w:szCs w:val="24"/>
          <w:lang w:val="it-IT"/>
        </w:rPr>
        <w:t>)</w:t>
      </w:r>
    </w:p>
    <w:p w14:paraId="7594E80F" w14:textId="1552DF25" w:rsidR="00162CAA" w:rsidRPr="00162CAA" w:rsidRDefault="00162CAA" w:rsidP="00162CAA">
      <w:pPr>
        <w:spacing w:after="240"/>
        <w:ind w:left="720" w:hanging="720"/>
      </w:pPr>
      <w:r w:rsidRPr="00162CAA">
        <w:lastRenderedPageBreak/>
        <w:t>(4)</w:t>
      </w:r>
      <w:r w:rsidRPr="00162CAA">
        <w:tab/>
        <w:t>The amount of capacity that a QSE had in Real-Time for a 15-minute Settlement Interval, excluding capacity from</w:t>
      </w:r>
      <w:r w:rsidR="003D3379" w:rsidRPr="00162CAA">
        <w:t xml:space="preserve"> </w:t>
      </w:r>
      <w:r w:rsidR="003D3379">
        <w:t>Intermittent Renewable Resources (</w:t>
      </w:r>
      <w:r w:rsidR="003D3379" w:rsidRPr="00162CAA">
        <w:t>IRRs</w:t>
      </w:r>
      <w:r w:rsidR="003D3379">
        <w:t>)</w:t>
      </w:r>
      <w:r w:rsidR="003D3379" w:rsidRPr="00162CAA">
        <w:t xml:space="preserve">, </w:t>
      </w:r>
      <w:r w:rsidRPr="00162CAA">
        <w:t>is:</w:t>
      </w:r>
    </w:p>
    <w:p w14:paraId="6C9785A0"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LCAPCAP </w:t>
      </w:r>
      <w:r w:rsidRPr="00162CAA">
        <w:rPr>
          <w:b/>
          <w:bCs/>
          <w:i/>
          <w:szCs w:val="24"/>
          <w:vertAlign w:val="subscript"/>
        </w:rPr>
        <w:t>i, q</w:t>
      </w:r>
      <w:r w:rsidRPr="00162CAA">
        <w:rPr>
          <w:b/>
          <w:bCs/>
          <w:szCs w:val="24"/>
        </w:rPr>
        <w:t xml:space="preserve"> =</w:t>
      </w:r>
      <w:r w:rsidRPr="00162CAA">
        <w:rPr>
          <w:b/>
          <w:bCs/>
          <w:szCs w:val="24"/>
        </w:rPr>
        <w:tab/>
      </w:r>
      <w:r w:rsidRPr="00162CAA">
        <w:rPr>
          <w:b/>
          <w:bCs/>
          <w:szCs w:val="24"/>
        </w:rPr>
        <w:tab/>
      </w:r>
      <w:r w:rsidRPr="00162CAA">
        <w:rPr>
          <w:b/>
          <w:bCs/>
          <w:position w:val="-18"/>
          <w:szCs w:val="24"/>
        </w:rPr>
        <w:object w:dxaOrig="270" w:dyaOrig="525" w14:anchorId="46FCDD95">
          <v:shape id="_x0000_i1451" type="#_x0000_t75" style="width:12pt;height:24pt" o:ole="">
            <v:imagedata r:id="rId558" o:title=""/>
          </v:shape>
          <o:OLEObject Type="Embed" ProgID="Equation.3" ShapeID="_x0000_i1451" DrawAspect="Content" ObjectID="_1804653934" r:id="rId559"/>
        </w:object>
      </w:r>
      <w:r w:rsidRPr="00162CAA">
        <w:rPr>
          <w:b/>
          <w:bCs/>
          <w:szCs w:val="24"/>
        </w:rPr>
        <w:t xml:space="preserve"> LCAPHASLADJ </w:t>
      </w:r>
      <w:r w:rsidRPr="00162CAA">
        <w:rPr>
          <w:b/>
          <w:bCs/>
          <w:i/>
          <w:szCs w:val="24"/>
          <w:vertAlign w:val="subscript"/>
        </w:rPr>
        <w:t>q, r, h</w:t>
      </w:r>
      <w:r w:rsidRPr="00162CAA">
        <w:rPr>
          <w:b/>
          <w:bCs/>
          <w:szCs w:val="24"/>
        </w:rPr>
        <w:t xml:space="preserve"> + (RUCCPADJ </w:t>
      </w:r>
      <w:r w:rsidRPr="00162CAA">
        <w:rPr>
          <w:b/>
          <w:bCs/>
          <w:i/>
          <w:szCs w:val="24"/>
          <w:vertAlign w:val="subscript"/>
        </w:rPr>
        <w:t>q, h</w:t>
      </w:r>
      <w:r w:rsidRPr="00162CAA">
        <w:rPr>
          <w:b/>
          <w:bCs/>
          <w:szCs w:val="24"/>
        </w:rPr>
        <w:t xml:space="preserve"> – RUCCSADJ </w:t>
      </w:r>
      <w:r w:rsidRPr="00162CAA">
        <w:rPr>
          <w:b/>
          <w:bCs/>
          <w:i/>
          <w:szCs w:val="24"/>
          <w:vertAlign w:val="subscript"/>
        </w:rPr>
        <w:t>q, h</w:t>
      </w:r>
      <w:r w:rsidRPr="00162CAA">
        <w:rPr>
          <w:b/>
          <w:bCs/>
          <w:szCs w:val="24"/>
        </w:rPr>
        <w:t>) + (</w:t>
      </w:r>
      <w:r w:rsidRPr="00162CAA">
        <w:rPr>
          <w:b/>
          <w:bCs/>
          <w:position w:val="-22"/>
          <w:szCs w:val="24"/>
        </w:rPr>
        <w:object w:dxaOrig="330" w:dyaOrig="510" w14:anchorId="6DCD6834">
          <v:shape id="_x0000_i1452" type="#_x0000_t75" style="width:18pt;height:24pt" o:ole="">
            <v:imagedata r:id="rId560" o:title=""/>
          </v:shape>
          <o:OLEObject Type="Embed" ProgID="Equation.3" ShapeID="_x0000_i1452" DrawAspect="Content" ObjectID="_1804653935" r:id="rId561"/>
        </w:object>
      </w:r>
      <w:r w:rsidRPr="00162CAA">
        <w:rPr>
          <w:b/>
          <w:bCs/>
          <w:szCs w:val="24"/>
        </w:rPr>
        <w:t xml:space="preserve">DAEP </w:t>
      </w:r>
      <w:r w:rsidRPr="00162CAA">
        <w:rPr>
          <w:b/>
          <w:bCs/>
          <w:i/>
          <w:szCs w:val="24"/>
          <w:vertAlign w:val="subscript"/>
        </w:rPr>
        <w:t>q, p, h</w:t>
      </w:r>
      <w:r w:rsidRPr="00162CAA">
        <w:rPr>
          <w:b/>
          <w:bCs/>
          <w:szCs w:val="24"/>
        </w:rPr>
        <w:t xml:space="preserve"> – </w:t>
      </w:r>
      <w:r w:rsidRPr="00162CAA">
        <w:rPr>
          <w:b/>
          <w:bCs/>
          <w:position w:val="-22"/>
          <w:szCs w:val="24"/>
        </w:rPr>
        <w:object w:dxaOrig="270" w:dyaOrig="510" w14:anchorId="7C23933D">
          <v:shape id="_x0000_i1453" type="#_x0000_t75" style="width:12pt;height:24pt" o:ole="">
            <v:imagedata r:id="rId562" o:title=""/>
          </v:shape>
          <o:OLEObject Type="Embed" ProgID="Equation.3" ShapeID="_x0000_i1453" DrawAspect="Content" ObjectID="_1804653936" r:id="rId563"/>
        </w:object>
      </w:r>
      <w:r w:rsidRPr="00162CAA">
        <w:rPr>
          <w:b/>
          <w:bCs/>
          <w:szCs w:val="24"/>
        </w:rPr>
        <w:t xml:space="preserve">DAES </w:t>
      </w:r>
      <w:r w:rsidRPr="00162CAA">
        <w:rPr>
          <w:b/>
          <w:bCs/>
          <w:i/>
          <w:szCs w:val="24"/>
          <w:vertAlign w:val="subscript"/>
        </w:rPr>
        <w:t>q, p, h</w:t>
      </w:r>
      <w:r w:rsidRPr="00162CAA">
        <w:rPr>
          <w:b/>
          <w:bCs/>
          <w:szCs w:val="24"/>
        </w:rPr>
        <w:t>) + (</w:t>
      </w:r>
      <w:r w:rsidRPr="00162CAA">
        <w:rPr>
          <w:b/>
          <w:bCs/>
          <w:position w:val="-22"/>
          <w:szCs w:val="24"/>
        </w:rPr>
        <w:object w:dxaOrig="270" w:dyaOrig="510" w14:anchorId="7BD49134">
          <v:shape id="_x0000_i1454" type="#_x0000_t75" style="width:12pt;height:24pt" o:ole="">
            <v:imagedata r:id="rId560" o:title=""/>
          </v:shape>
          <o:OLEObject Type="Embed" ProgID="Equation.3" ShapeID="_x0000_i1454" DrawAspect="Content" ObjectID="_1804653937" r:id="rId564"/>
        </w:object>
      </w:r>
      <w:r w:rsidRPr="00162CAA">
        <w:rPr>
          <w:b/>
          <w:bCs/>
          <w:szCs w:val="24"/>
        </w:rPr>
        <w:t xml:space="preserve">RTQQEPADJ </w:t>
      </w:r>
      <w:r w:rsidRPr="00162CAA">
        <w:rPr>
          <w:b/>
          <w:bCs/>
          <w:i/>
          <w:szCs w:val="24"/>
          <w:vertAlign w:val="subscript"/>
        </w:rPr>
        <w:t>q, p, i</w:t>
      </w:r>
      <w:r w:rsidRPr="00162CAA">
        <w:rPr>
          <w:b/>
          <w:bCs/>
          <w:szCs w:val="24"/>
        </w:rPr>
        <w:t xml:space="preserve"> – </w:t>
      </w:r>
      <w:r w:rsidRPr="00162CAA">
        <w:rPr>
          <w:b/>
          <w:bCs/>
          <w:position w:val="-22"/>
          <w:szCs w:val="24"/>
        </w:rPr>
        <w:object w:dxaOrig="225" w:dyaOrig="510" w14:anchorId="24D37672">
          <v:shape id="_x0000_i1455" type="#_x0000_t75" style="width:12pt;height:24pt" o:ole="">
            <v:imagedata r:id="rId560" o:title=""/>
          </v:shape>
          <o:OLEObject Type="Embed" ProgID="Equation.3" ShapeID="_x0000_i1455" DrawAspect="Content" ObjectID="_1804653938" r:id="rId565"/>
        </w:object>
      </w:r>
      <w:r w:rsidRPr="00162CAA">
        <w:rPr>
          <w:b/>
          <w:bCs/>
          <w:szCs w:val="24"/>
        </w:rPr>
        <w:t xml:space="preserve">RTQQESADJ </w:t>
      </w:r>
      <w:r w:rsidRPr="00162CAA">
        <w:rPr>
          <w:b/>
          <w:bCs/>
          <w:i/>
          <w:szCs w:val="24"/>
          <w:vertAlign w:val="subscript"/>
        </w:rPr>
        <w:t>q, p, i</w:t>
      </w:r>
      <w:r w:rsidRPr="00162CAA">
        <w:rPr>
          <w:b/>
          <w:bCs/>
          <w:szCs w:val="24"/>
        </w:rPr>
        <w:t xml:space="preserve">) +  </w:t>
      </w:r>
      <w:r w:rsidRPr="00162CAA">
        <w:rPr>
          <w:b/>
          <w:bCs/>
          <w:position w:val="-22"/>
          <w:szCs w:val="24"/>
        </w:rPr>
        <w:object w:dxaOrig="270" w:dyaOrig="600" w14:anchorId="5F73C54F">
          <v:shape id="_x0000_i1456" type="#_x0000_t75" style="width:12pt;height:30pt" o:ole="">
            <v:imagedata r:id="rId560" o:title=""/>
          </v:shape>
          <o:OLEObject Type="Embed" ProgID="Equation.3" ShapeID="_x0000_i1456" DrawAspect="Content" ObjectID="_1804653939" r:id="rId566"/>
        </w:object>
      </w:r>
      <w:r w:rsidRPr="00162CAA">
        <w:rPr>
          <w:b/>
          <w:bCs/>
          <w:position w:val="-22"/>
          <w:szCs w:val="24"/>
        </w:rPr>
        <w:t xml:space="preserve"> </w:t>
      </w:r>
      <w:r w:rsidRPr="00162CAA">
        <w:rPr>
          <w:b/>
          <w:bCs/>
          <w:szCs w:val="24"/>
        </w:rPr>
        <w:t xml:space="preserve">DCIMPADJ </w:t>
      </w:r>
      <w:r w:rsidRPr="00162CAA">
        <w:rPr>
          <w:b/>
          <w:bCs/>
          <w:i/>
          <w:szCs w:val="24"/>
          <w:vertAlign w:val="subscript"/>
        </w:rPr>
        <w:t>q, p, i</w:t>
      </w:r>
    </w:p>
    <w:p w14:paraId="0BEE46D6" w14:textId="77777777" w:rsidR="00162CAA" w:rsidRPr="00162CAA" w:rsidRDefault="00162CAA" w:rsidP="00162CAA">
      <w:pPr>
        <w:tabs>
          <w:tab w:val="left" w:pos="2340"/>
          <w:tab w:val="left" w:pos="3420"/>
        </w:tabs>
        <w:ind w:right="-180"/>
        <w:rPr>
          <w:szCs w:val="24"/>
        </w:rPr>
      </w:pPr>
      <w:r w:rsidRPr="00162CAA">
        <w:rPr>
          <w:szCs w:val="24"/>
        </w:rPr>
        <w:t>The above variables are defined as follows:</w:t>
      </w:r>
    </w:p>
    <w:tbl>
      <w:tblPr>
        <w:tblW w:w="5041"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4"/>
        <w:gridCol w:w="862"/>
        <w:gridCol w:w="6501"/>
      </w:tblGrid>
      <w:tr w:rsidR="00162CAA" w:rsidRPr="00162CAA" w14:paraId="28487057" w14:textId="77777777" w:rsidTr="00764A29">
        <w:trPr>
          <w:cantSplit/>
          <w:tblHeader/>
        </w:trPr>
        <w:tc>
          <w:tcPr>
            <w:tcW w:w="1095" w:type="pct"/>
            <w:tcBorders>
              <w:top w:val="single" w:sz="4" w:space="0" w:color="auto"/>
              <w:left w:val="single" w:sz="4" w:space="0" w:color="auto"/>
              <w:bottom w:val="single" w:sz="6" w:space="0" w:color="auto"/>
              <w:right w:val="single" w:sz="6" w:space="0" w:color="auto"/>
            </w:tcBorders>
            <w:hideMark/>
          </w:tcPr>
          <w:p w14:paraId="4F202F05" w14:textId="77777777" w:rsidR="00162CAA" w:rsidRPr="00162CAA" w:rsidRDefault="00162CAA" w:rsidP="00162CAA">
            <w:pPr>
              <w:spacing w:after="240"/>
              <w:rPr>
                <w:b/>
                <w:iCs/>
                <w:sz w:val="20"/>
              </w:rPr>
            </w:pPr>
            <w:r w:rsidRPr="00162CAA">
              <w:rPr>
                <w:b/>
                <w:iCs/>
                <w:sz w:val="20"/>
              </w:rPr>
              <w:t>Variable</w:t>
            </w:r>
          </w:p>
        </w:tc>
        <w:tc>
          <w:tcPr>
            <w:tcW w:w="457" w:type="pct"/>
            <w:tcBorders>
              <w:top w:val="single" w:sz="4" w:space="0" w:color="auto"/>
              <w:left w:val="single" w:sz="6" w:space="0" w:color="auto"/>
              <w:bottom w:val="single" w:sz="6" w:space="0" w:color="auto"/>
              <w:right w:val="single" w:sz="6" w:space="0" w:color="auto"/>
            </w:tcBorders>
            <w:hideMark/>
          </w:tcPr>
          <w:p w14:paraId="20B8C443" w14:textId="77777777" w:rsidR="00162CAA" w:rsidRPr="00162CAA" w:rsidRDefault="00162CAA" w:rsidP="00162CAA">
            <w:pPr>
              <w:spacing w:after="240"/>
              <w:jc w:val="center"/>
              <w:rPr>
                <w:b/>
                <w:iCs/>
                <w:sz w:val="20"/>
              </w:rPr>
            </w:pPr>
            <w:r w:rsidRPr="00162CAA">
              <w:rPr>
                <w:b/>
                <w:iCs/>
                <w:sz w:val="20"/>
              </w:rPr>
              <w:t>Unit</w:t>
            </w:r>
          </w:p>
        </w:tc>
        <w:tc>
          <w:tcPr>
            <w:tcW w:w="3448" w:type="pct"/>
            <w:tcBorders>
              <w:top w:val="single" w:sz="4" w:space="0" w:color="auto"/>
              <w:left w:val="single" w:sz="6" w:space="0" w:color="auto"/>
              <w:bottom w:val="single" w:sz="6" w:space="0" w:color="auto"/>
              <w:right w:val="single" w:sz="4" w:space="0" w:color="auto"/>
            </w:tcBorders>
            <w:hideMark/>
          </w:tcPr>
          <w:p w14:paraId="6B4DF1F7" w14:textId="77777777" w:rsidR="00162CAA" w:rsidRPr="00162CAA" w:rsidRDefault="00162CAA" w:rsidP="00162CAA">
            <w:pPr>
              <w:spacing w:after="240"/>
              <w:rPr>
                <w:b/>
                <w:iCs/>
                <w:sz w:val="20"/>
              </w:rPr>
            </w:pPr>
            <w:r w:rsidRPr="00162CAA">
              <w:rPr>
                <w:b/>
                <w:iCs/>
                <w:sz w:val="20"/>
              </w:rPr>
              <w:t>Definition</w:t>
            </w:r>
          </w:p>
        </w:tc>
      </w:tr>
      <w:tr w:rsidR="00162CAA" w:rsidRPr="00162CAA" w14:paraId="6FFA951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E0A8AC0" w14:textId="77777777" w:rsidR="00162CAA" w:rsidRPr="00162CAA" w:rsidRDefault="00162CAA" w:rsidP="00162CAA">
            <w:pPr>
              <w:spacing w:after="60"/>
              <w:rPr>
                <w:iCs/>
                <w:sz w:val="20"/>
              </w:rPr>
            </w:pPr>
            <w:r w:rsidRPr="00162CAA">
              <w:rPr>
                <w:iCs/>
                <w:sz w:val="20"/>
              </w:rPr>
              <w:t xml:space="preserve">LCAPSFRS </w:t>
            </w:r>
            <w:r w:rsidRPr="00162CAA">
              <w:rPr>
                <w:i/>
                <w:iCs/>
                <w:sz w:val="20"/>
                <w:vertAlign w:val="subscript"/>
              </w:rPr>
              <w:t>i, q</w:t>
            </w:r>
          </w:p>
        </w:tc>
        <w:tc>
          <w:tcPr>
            <w:tcW w:w="457" w:type="pct"/>
            <w:tcBorders>
              <w:top w:val="single" w:sz="6" w:space="0" w:color="auto"/>
              <w:left w:val="single" w:sz="6" w:space="0" w:color="auto"/>
              <w:bottom w:val="single" w:sz="6" w:space="0" w:color="auto"/>
              <w:right w:val="single" w:sz="6" w:space="0" w:color="auto"/>
            </w:tcBorders>
            <w:hideMark/>
          </w:tcPr>
          <w:p w14:paraId="7579DD16"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5F238037" w14:textId="77777777" w:rsidR="00162CAA" w:rsidRPr="00162CAA" w:rsidRDefault="00162CAA" w:rsidP="00162CAA">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w:t>
            </w:r>
          </w:p>
        </w:tc>
      </w:tr>
      <w:tr w:rsidR="00162CAA" w:rsidRPr="00162CAA" w14:paraId="60312982"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B37A99D" w14:textId="77777777" w:rsidR="00162CAA" w:rsidRPr="00162CAA" w:rsidRDefault="00162CAA" w:rsidP="00162CAA">
            <w:pPr>
              <w:spacing w:after="60"/>
              <w:rPr>
                <w:iCs/>
                <w:sz w:val="20"/>
              </w:rPr>
            </w:pPr>
            <w:r w:rsidRPr="00162CAA">
              <w:rPr>
                <w:iCs/>
                <w:sz w:val="20"/>
              </w:rPr>
              <w:t xml:space="preserve">LCAPSF </w:t>
            </w:r>
            <w:r w:rsidRPr="00162CAA">
              <w:rPr>
                <w:i/>
                <w:iCs/>
                <w:sz w:val="20"/>
                <w:vertAlign w:val="subscript"/>
              </w:rPr>
              <w:t xml:space="preserve"> i, q</w:t>
            </w:r>
          </w:p>
        </w:tc>
        <w:tc>
          <w:tcPr>
            <w:tcW w:w="457" w:type="pct"/>
            <w:tcBorders>
              <w:top w:val="single" w:sz="6" w:space="0" w:color="auto"/>
              <w:left w:val="single" w:sz="6" w:space="0" w:color="auto"/>
              <w:bottom w:val="single" w:sz="6" w:space="0" w:color="auto"/>
              <w:right w:val="single" w:sz="6" w:space="0" w:color="auto"/>
            </w:tcBorders>
            <w:hideMark/>
          </w:tcPr>
          <w:p w14:paraId="2172E6D8"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00EBB38" w14:textId="77777777" w:rsidR="00162CAA" w:rsidRPr="00162CAA" w:rsidRDefault="00162CAA" w:rsidP="00162CAA">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523EE1F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9125C15" w14:textId="77777777" w:rsidR="00162CAA" w:rsidRPr="00162CAA" w:rsidRDefault="00162CAA" w:rsidP="00162CAA">
            <w:pPr>
              <w:spacing w:after="60"/>
              <w:rPr>
                <w:iCs/>
                <w:sz w:val="20"/>
              </w:rPr>
            </w:pPr>
            <w:r w:rsidRPr="00162CAA">
              <w:rPr>
                <w:iCs/>
                <w:sz w:val="20"/>
              </w:rPr>
              <w:t xml:space="preserve">LCAPSFTOT </w:t>
            </w:r>
            <w:r w:rsidRPr="00162CAA">
              <w:rPr>
                <w:i/>
                <w:iCs/>
                <w:sz w:val="20"/>
                <w:vertAlign w:val="subscript"/>
              </w:rPr>
              <w:t xml:space="preserve"> i</w:t>
            </w:r>
          </w:p>
        </w:tc>
        <w:tc>
          <w:tcPr>
            <w:tcW w:w="457" w:type="pct"/>
            <w:tcBorders>
              <w:top w:val="single" w:sz="6" w:space="0" w:color="auto"/>
              <w:left w:val="single" w:sz="6" w:space="0" w:color="auto"/>
              <w:bottom w:val="single" w:sz="6" w:space="0" w:color="auto"/>
              <w:right w:val="single" w:sz="6" w:space="0" w:color="auto"/>
            </w:tcBorders>
            <w:hideMark/>
          </w:tcPr>
          <w:p w14:paraId="30637523"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2917B94" w14:textId="77777777" w:rsidR="00162CAA" w:rsidRPr="00162CAA" w:rsidRDefault="00162CAA" w:rsidP="00162CAA">
            <w:pPr>
              <w:spacing w:after="60"/>
              <w:rPr>
                <w:i/>
                <w:iCs/>
                <w:sz w:val="20"/>
              </w:rPr>
            </w:pPr>
            <w:r w:rsidRPr="00162CAA">
              <w:rPr>
                <w:i/>
                <w:iCs/>
                <w:sz w:val="20"/>
              </w:rPr>
              <w:t>LCAP Shortfall Total</w:t>
            </w:r>
            <w:r w:rsidRPr="00162CAA">
              <w:rPr>
                <w:iCs/>
                <w:sz w:val="20"/>
              </w:rPr>
              <w:t>—The sum of all QSEs’ capacity shortfalls, for an LCAP Effective Period for a 15-minute Settlement Interval</w:t>
            </w:r>
            <w:r w:rsidRPr="00162CAA">
              <w:rPr>
                <w:i/>
                <w:iCs/>
                <w:sz w:val="20"/>
              </w:rPr>
              <w:t xml:space="preserve"> i</w:t>
            </w:r>
            <w:r w:rsidRPr="00162CAA">
              <w:rPr>
                <w:iCs/>
                <w:sz w:val="20"/>
              </w:rPr>
              <w:t>.</w:t>
            </w:r>
          </w:p>
        </w:tc>
      </w:tr>
      <w:tr w:rsidR="00162CAA" w:rsidRPr="00162CAA" w14:paraId="2E3F7B4C"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1707F40" w14:textId="77777777" w:rsidR="00162CAA" w:rsidRPr="00162CAA" w:rsidRDefault="00162CAA" w:rsidP="00162CAA">
            <w:pPr>
              <w:spacing w:after="60"/>
              <w:rPr>
                <w:iCs/>
                <w:sz w:val="20"/>
              </w:rPr>
            </w:pPr>
            <w:r w:rsidRPr="00162CAA">
              <w:rPr>
                <w:iCs/>
                <w:sz w:val="20"/>
              </w:rPr>
              <w:t xml:space="preserve">LCAPCAP </w:t>
            </w:r>
            <w:r w:rsidRPr="00162CAA">
              <w:rPr>
                <w:i/>
                <w:iCs/>
                <w:sz w:val="20"/>
                <w:vertAlign w:val="subscript"/>
              </w:rPr>
              <w:t xml:space="preserve"> q, i</w:t>
            </w:r>
          </w:p>
        </w:tc>
        <w:tc>
          <w:tcPr>
            <w:tcW w:w="457" w:type="pct"/>
            <w:tcBorders>
              <w:top w:val="single" w:sz="6" w:space="0" w:color="auto"/>
              <w:left w:val="single" w:sz="6" w:space="0" w:color="auto"/>
              <w:bottom w:val="single" w:sz="6" w:space="0" w:color="auto"/>
              <w:right w:val="single" w:sz="6" w:space="0" w:color="auto"/>
            </w:tcBorders>
            <w:hideMark/>
          </w:tcPr>
          <w:p w14:paraId="63CE9A02"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07F71DD0" w14:textId="77777777" w:rsidR="00162CAA" w:rsidRPr="00162CAA" w:rsidRDefault="00162CAA" w:rsidP="00162CAA">
            <w:pPr>
              <w:spacing w:after="60"/>
              <w:rPr>
                <w:iCs/>
                <w:sz w:val="20"/>
              </w:rPr>
            </w:pPr>
            <w:r w:rsidRPr="00162CAA">
              <w:rPr>
                <w:i/>
                <w:iCs/>
                <w:sz w:val="20"/>
              </w:rPr>
              <w:t>LCAP Capacity at Adjustment Period</w:t>
            </w:r>
            <w:r w:rsidRPr="00162CAA">
              <w:rPr>
                <w:iCs/>
                <w:sz w:val="20"/>
              </w:rPr>
              <w:t xml:space="preserve">—The QSE </w:t>
            </w:r>
            <w:r w:rsidRPr="00162CAA">
              <w:rPr>
                <w:i/>
                <w:iCs/>
                <w:sz w:val="20"/>
              </w:rPr>
              <w:t>q</w:t>
            </w:r>
            <w:r w:rsidRPr="00162CAA">
              <w:rPr>
                <w:iCs/>
                <w:sz w:val="20"/>
              </w:rPr>
              <w:t>’s Adjustment Period calculated capacity for the 15-minute Settlement Interval</w:t>
            </w:r>
            <w:r w:rsidRPr="00162CAA">
              <w:rPr>
                <w:i/>
                <w:iCs/>
                <w:sz w:val="20"/>
              </w:rPr>
              <w:t xml:space="preserve"> i</w:t>
            </w:r>
            <w:r w:rsidRPr="00162CAA">
              <w:rPr>
                <w:iCs/>
                <w:sz w:val="20"/>
              </w:rPr>
              <w:t>.</w:t>
            </w:r>
          </w:p>
        </w:tc>
      </w:tr>
      <w:tr w:rsidR="00162CAA" w:rsidRPr="00162CAA" w14:paraId="02AC7AC6"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469D811" w14:textId="77777777" w:rsidR="00162CAA" w:rsidRPr="00162CAA" w:rsidRDefault="00162CAA" w:rsidP="00162CAA">
            <w:pPr>
              <w:spacing w:after="60"/>
              <w:rPr>
                <w:iCs/>
                <w:sz w:val="20"/>
              </w:rPr>
            </w:pPr>
            <w:r w:rsidRPr="00162CAA">
              <w:rPr>
                <w:iCs/>
                <w:sz w:val="20"/>
              </w:rPr>
              <w:t xml:space="preserve">RTAML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92EC9F" w14:textId="77777777" w:rsidR="00162CAA" w:rsidRPr="00162CAA" w:rsidRDefault="00162CAA" w:rsidP="00162CAA">
            <w:pPr>
              <w:spacing w:after="60"/>
              <w:jc w:val="center"/>
              <w:rPr>
                <w:iCs/>
                <w:sz w:val="20"/>
              </w:rPr>
            </w:pPr>
            <w:r w:rsidRPr="00162CAA">
              <w:rPr>
                <w:iCs/>
                <w:sz w:val="20"/>
              </w:rPr>
              <w:t>MWh</w:t>
            </w:r>
          </w:p>
        </w:tc>
        <w:tc>
          <w:tcPr>
            <w:tcW w:w="3448" w:type="pct"/>
            <w:tcBorders>
              <w:top w:val="single" w:sz="6" w:space="0" w:color="auto"/>
              <w:left w:val="single" w:sz="6" w:space="0" w:color="auto"/>
              <w:bottom w:val="single" w:sz="6" w:space="0" w:color="auto"/>
              <w:right w:val="single" w:sz="4" w:space="0" w:color="auto"/>
            </w:tcBorders>
            <w:hideMark/>
          </w:tcPr>
          <w:p w14:paraId="4E8C97E8" w14:textId="77777777" w:rsidR="00162CAA" w:rsidRPr="00162CAA" w:rsidRDefault="00162CAA" w:rsidP="00162CAA">
            <w:pPr>
              <w:spacing w:after="60"/>
              <w:rPr>
                <w:i/>
                <w:iCs/>
                <w:sz w:val="20"/>
              </w:rPr>
            </w:pPr>
            <w:r w:rsidRPr="00162CAA">
              <w:rPr>
                <w:i/>
                <w:iCs/>
                <w:sz w:val="20"/>
              </w:rPr>
              <w:t>Real-Time Adjusted Metered Load</w:t>
            </w:r>
            <w:r w:rsidRPr="00162CAA">
              <w:rPr>
                <w:iCs/>
                <w:sz w:val="20"/>
              </w:rPr>
              <w:t xml:space="preserve">—The QSE </w:t>
            </w:r>
            <w:r w:rsidRPr="00162CAA">
              <w:rPr>
                <w:i/>
                <w:iCs/>
                <w:sz w:val="20"/>
              </w:rPr>
              <w:t>q</w:t>
            </w:r>
            <w:r w:rsidRPr="00162CAA">
              <w:rPr>
                <w:iCs/>
                <w:sz w:val="20"/>
              </w:rPr>
              <w:t xml:space="preserve">’s Adjusted Metered Load (AML) at the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w:t>
            </w:r>
          </w:p>
        </w:tc>
      </w:tr>
      <w:tr w:rsidR="00162CAA" w:rsidRPr="00162CAA" w14:paraId="6483A46B"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DEEA917" w14:textId="77777777" w:rsidR="00162CAA" w:rsidRPr="00162CAA" w:rsidRDefault="00162CAA" w:rsidP="00162CAA">
            <w:pPr>
              <w:spacing w:after="60"/>
              <w:rPr>
                <w:iCs/>
                <w:sz w:val="20"/>
              </w:rPr>
            </w:pPr>
            <w:r w:rsidRPr="00162CAA">
              <w:rPr>
                <w:iCs/>
                <w:sz w:val="20"/>
              </w:rPr>
              <w:t>DCIMPADJ</w:t>
            </w:r>
            <w:r w:rsidRPr="00162CAA">
              <w:rPr>
                <w:i/>
                <w:iCs/>
                <w:sz w:val="20"/>
              </w:rPr>
              <w:t xml:space="preserve">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37D9A2D0"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347CCAC" w14:textId="77777777" w:rsidR="00162CAA" w:rsidRPr="00162CAA" w:rsidRDefault="00162CAA" w:rsidP="00162CAA">
            <w:pPr>
              <w:spacing w:after="60"/>
              <w:rPr>
                <w:i/>
                <w:iCs/>
                <w:sz w:val="20"/>
              </w:rPr>
            </w:pPr>
            <w:r w:rsidRPr="00162CAA">
              <w:rPr>
                <w:i/>
                <w:iCs/>
                <w:sz w:val="20"/>
              </w:rPr>
              <w:t>DC Tie Import per QSE per Settlement Point</w:t>
            </w:r>
            <w:r w:rsidRPr="00162CAA">
              <w:rPr>
                <w:iCs/>
                <w:sz w:val="20"/>
              </w:rPr>
              <w:t xml:space="preserve">—The approved aggregated DC Tie Schedule submitted by QSE </w:t>
            </w:r>
            <w:r w:rsidRPr="00162CAA">
              <w:rPr>
                <w:i/>
                <w:iCs/>
                <w:sz w:val="20"/>
              </w:rPr>
              <w:t>q</w:t>
            </w:r>
            <w:r w:rsidRPr="00162CAA">
              <w:rPr>
                <w:iCs/>
                <w:sz w:val="20"/>
              </w:rPr>
              <w:t xml:space="preserve"> as an importer into the ERCOT System through DC Tie </w:t>
            </w:r>
            <w:r w:rsidRPr="00162CAA">
              <w:rPr>
                <w:i/>
                <w:iCs/>
                <w:sz w:val="20"/>
              </w:rPr>
              <w:t>p</w:t>
            </w:r>
            <w:r w:rsidRPr="00162CAA">
              <w:rPr>
                <w:iCs/>
                <w:sz w:val="20"/>
              </w:rPr>
              <w:t xml:space="preserve"> according to the Adjustment Period snapshot, for the 15-minute Settlement Interval</w:t>
            </w:r>
            <w:r w:rsidRPr="00162CAA">
              <w:rPr>
                <w:i/>
                <w:iCs/>
                <w:sz w:val="20"/>
              </w:rPr>
              <w:t xml:space="preserve"> i</w:t>
            </w:r>
            <w:r w:rsidRPr="00162CAA">
              <w:rPr>
                <w:iCs/>
                <w:sz w:val="20"/>
              </w:rPr>
              <w:t>.</w:t>
            </w:r>
          </w:p>
        </w:tc>
      </w:tr>
      <w:tr w:rsidR="00162CAA" w:rsidRPr="00162CAA" w14:paraId="6A1A14B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9479715" w14:textId="77777777" w:rsidR="00162CAA" w:rsidRPr="00162CAA" w:rsidRDefault="00162CAA" w:rsidP="00162CAA">
            <w:pPr>
              <w:spacing w:after="60"/>
              <w:rPr>
                <w:iCs/>
                <w:sz w:val="20"/>
              </w:rPr>
            </w:pPr>
            <w:r w:rsidRPr="00162CAA">
              <w:rPr>
                <w:iCs/>
                <w:sz w:val="20"/>
              </w:rPr>
              <w:t xml:space="preserve">LCAPHASLADJ </w:t>
            </w:r>
            <w:r w:rsidRPr="00162CAA">
              <w:rPr>
                <w:i/>
                <w:iCs/>
                <w:sz w:val="20"/>
                <w:vertAlign w:val="subscript"/>
              </w:rPr>
              <w:t>q, r, h</w:t>
            </w:r>
          </w:p>
        </w:tc>
        <w:tc>
          <w:tcPr>
            <w:tcW w:w="457" w:type="pct"/>
            <w:tcBorders>
              <w:top w:val="single" w:sz="6" w:space="0" w:color="auto"/>
              <w:left w:val="single" w:sz="6" w:space="0" w:color="auto"/>
              <w:bottom w:val="single" w:sz="6" w:space="0" w:color="auto"/>
              <w:right w:val="single" w:sz="6" w:space="0" w:color="auto"/>
            </w:tcBorders>
            <w:hideMark/>
          </w:tcPr>
          <w:p w14:paraId="3A7BBDEC"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831D08A" w14:textId="77777777" w:rsidR="00162CAA" w:rsidRPr="00162CAA" w:rsidRDefault="00162CAA" w:rsidP="00162CAA">
            <w:pPr>
              <w:spacing w:after="60"/>
              <w:rPr>
                <w:i/>
                <w:iCs/>
                <w:sz w:val="20"/>
              </w:rPr>
            </w:pPr>
            <w:r w:rsidRPr="00162CAA">
              <w:rPr>
                <w:i/>
                <w:iCs/>
                <w:sz w:val="20"/>
              </w:rPr>
              <w:t>LCAP Effective Period High Ancillary Services Limit at Adjustment Period</w:t>
            </w:r>
            <w:r w:rsidRPr="00162CAA">
              <w:rPr>
                <w:iCs/>
                <w:sz w:val="20"/>
              </w:rPr>
              <w:t xml:space="preserve">—The HASL of Resource </w:t>
            </w:r>
            <w:r w:rsidRPr="00162CAA">
              <w:rPr>
                <w:i/>
                <w:iCs/>
                <w:sz w:val="20"/>
              </w:rPr>
              <w:t>r,</w:t>
            </w:r>
            <w:r w:rsidRPr="00162CAA">
              <w:rPr>
                <w:iCs/>
                <w:sz w:val="20"/>
              </w:rPr>
              <w:t xml:space="preserve"> represented by the QSE </w:t>
            </w:r>
            <w:r w:rsidRPr="00162CAA">
              <w:rPr>
                <w:i/>
                <w:iCs/>
                <w:sz w:val="20"/>
              </w:rPr>
              <w:t>q</w:t>
            </w:r>
            <w:r w:rsidRPr="00162CAA">
              <w:rPr>
                <w:iCs/>
                <w:sz w:val="20"/>
              </w:rPr>
              <w:t xml:space="preserve">, according to the Adjustment Period COP and Trades snapshot, for the hour </w:t>
            </w:r>
            <w:r w:rsidRPr="00162CAA">
              <w:rPr>
                <w:i/>
                <w:iCs/>
                <w:sz w:val="20"/>
              </w:rPr>
              <w:t>h</w:t>
            </w:r>
            <w:r w:rsidRPr="00162CAA">
              <w:rPr>
                <w:iCs/>
                <w:sz w:val="20"/>
              </w:rPr>
              <w:t xml:space="preserve"> that includes the 15-minute Settlement Interval.  Where for a Combined Cycle Train, the Resource </w:t>
            </w:r>
            <w:r w:rsidRPr="00162CAA">
              <w:rPr>
                <w:i/>
                <w:iCs/>
                <w:sz w:val="20"/>
              </w:rPr>
              <w:t xml:space="preserve">r </w:t>
            </w:r>
            <w:r w:rsidRPr="00162CAA">
              <w:rPr>
                <w:iCs/>
                <w:sz w:val="20"/>
              </w:rPr>
              <w:t xml:space="preserve">is a Combined Cycle Generation Resource within the Combined Cycle Train.  </w:t>
            </w:r>
          </w:p>
        </w:tc>
      </w:tr>
      <w:tr w:rsidR="00162CAA" w:rsidRPr="00162CAA" w14:paraId="75E2E31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059AE2B2" w14:textId="77777777" w:rsidR="00162CAA" w:rsidRPr="00162CAA" w:rsidRDefault="00162CAA" w:rsidP="00162CAA">
            <w:pPr>
              <w:spacing w:after="60"/>
              <w:rPr>
                <w:iCs/>
                <w:sz w:val="20"/>
              </w:rPr>
            </w:pPr>
            <w:r w:rsidRPr="00162CAA">
              <w:rPr>
                <w:iCs/>
                <w:sz w:val="20"/>
              </w:rPr>
              <w:t xml:space="preserve">RUCCPADJ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21F76B1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BD3C2BF" w14:textId="36EEA5CC" w:rsidR="00162CAA" w:rsidRPr="00162CAA" w:rsidRDefault="00162CAA" w:rsidP="00162CAA">
            <w:pPr>
              <w:spacing w:after="60"/>
              <w:rPr>
                <w:i/>
                <w:iCs/>
                <w:sz w:val="20"/>
              </w:rPr>
            </w:pPr>
            <w:r w:rsidRPr="00162CAA">
              <w:rPr>
                <w:i/>
                <w:iCs/>
                <w:sz w:val="20"/>
              </w:rPr>
              <w:t>RUC Capacity Purchase at Adjustment Period</w:t>
            </w:r>
            <w:r w:rsidRPr="00162CAA">
              <w:rPr>
                <w:iCs/>
                <w:sz w:val="20"/>
              </w:rPr>
              <w:t xml:space="preserve">—The QSE </w:t>
            </w:r>
            <w:r w:rsidRPr="00162CAA">
              <w:rPr>
                <w:i/>
                <w:iCs/>
                <w:sz w:val="20"/>
              </w:rPr>
              <w:t>q</w:t>
            </w:r>
            <w:r w:rsidRPr="00162CAA">
              <w:rPr>
                <w:iCs/>
                <w:sz w:val="20"/>
              </w:rPr>
              <w:t xml:space="preserve">’s capacity purchase,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7FEAC0C1"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1C2FC58D" w14:textId="77777777" w:rsidR="00162CAA" w:rsidRPr="00162CAA" w:rsidRDefault="00162CAA" w:rsidP="00162CAA">
            <w:pPr>
              <w:spacing w:after="60"/>
              <w:rPr>
                <w:iCs/>
                <w:sz w:val="20"/>
              </w:rPr>
            </w:pPr>
            <w:r w:rsidRPr="00162CAA">
              <w:rPr>
                <w:iCs/>
                <w:sz w:val="20"/>
              </w:rPr>
              <w:t xml:space="preserve">RUCCSADJ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6FBA68FE"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D5AD002" w14:textId="7014ADAF" w:rsidR="00162CAA" w:rsidRPr="00162CAA" w:rsidRDefault="00162CAA" w:rsidP="00162CAA">
            <w:pPr>
              <w:spacing w:after="60"/>
              <w:rPr>
                <w:i/>
                <w:iCs/>
                <w:sz w:val="20"/>
              </w:rPr>
            </w:pPr>
            <w:r w:rsidRPr="00162CAA">
              <w:rPr>
                <w:i/>
                <w:iCs/>
                <w:sz w:val="20"/>
              </w:rPr>
              <w:t>RUC Capacity Sale at Adjustment Period</w:t>
            </w:r>
            <w:r w:rsidRPr="00162CAA">
              <w:rPr>
                <w:iCs/>
                <w:sz w:val="20"/>
              </w:rPr>
              <w:t xml:space="preserve">—The QSE </w:t>
            </w:r>
            <w:r w:rsidRPr="00162CAA">
              <w:rPr>
                <w:i/>
                <w:iCs/>
                <w:sz w:val="20"/>
              </w:rPr>
              <w:t>q</w:t>
            </w:r>
            <w:r w:rsidRPr="00162CAA">
              <w:rPr>
                <w:iCs/>
                <w:sz w:val="20"/>
              </w:rPr>
              <w:t xml:space="preserve">’s capacity sale,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1309CFEA"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BF198C2" w14:textId="77777777" w:rsidR="00162CAA" w:rsidRPr="00162CAA" w:rsidRDefault="00162CAA" w:rsidP="00162CAA">
            <w:pPr>
              <w:spacing w:after="60"/>
              <w:rPr>
                <w:iCs/>
                <w:sz w:val="20"/>
              </w:rPr>
            </w:pPr>
            <w:r w:rsidRPr="00162CAA">
              <w:rPr>
                <w:iCs/>
                <w:sz w:val="20"/>
              </w:rPr>
              <w:t xml:space="preserve">DAEP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2E7E3301"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A776FD3" w14:textId="77777777" w:rsidR="00162CAA" w:rsidRPr="00162CAA" w:rsidRDefault="00162CAA" w:rsidP="00162CAA">
            <w:pPr>
              <w:spacing w:after="60"/>
              <w:rPr>
                <w:i/>
                <w:iCs/>
                <w:sz w:val="20"/>
              </w:rPr>
            </w:pPr>
            <w:r w:rsidRPr="00162CAA">
              <w:rPr>
                <w:i/>
                <w:iCs/>
                <w:sz w:val="20"/>
              </w:rPr>
              <w:t>Day-Ahead Energy Purchase</w:t>
            </w:r>
            <w:r w:rsidRPr="00162CAA">
              <w:rPr>
                <w:iCs/>
                <w:sz w:val="20"/>
              </w:rPr>
              <w:t xml:space="preserve">—The QSE </w:t>
            </w:r>
            <w:r w:rsidRPr="00162CAA">
              <w:rPr>
                <w:i/>
                <w:iCs/>
                <w:sz w:val="20"/>
              </w:rPr>
              <w:t>q</w:t>
            </w:r>
            <w:r w:rsidRPr="00162CAA">
              <w:rPr>
                <w:iCs/>
                <w:sz w:val="20"/>
              </w:rPr>
              <w:t xml:space="preserve">’s energy purchased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2204C55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A7A0AD0" w14:textId="77777777" w:rsidR="00162CAA" w:rsidRPr="00162CAA" w:rsidRDefault="00162CAA" w:rsidP="00162CAA">
            <w:pPr>
              <w:spacing w:after="60"/>
              <w:rPr>
                <w:iCs/>
                <w:sz w:val="20"/>
              </w:rPr>
            </w:pPr>
            <w:r w:rsidRPr="00162CAA">
              <w:rPr>
                <w:iCs/>
                <w:sz w:val="20"/>
              </w:rPr>
              <w:t xml:space="preserve">DAES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36FDC05B"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FC92106" w14:textId="77777777" w:rsidR="00162CAA" w:rsidRPr="00162CAA" w:rsidRDefault="00162CAA" w:rsidP="00162CAA">
            <w:pPr>
              <w:spacing w:after="60"/>
              <w:rPr>
                <w:i/>
                <w:iCs/>
                <w:sz w:val="20"/>
              </w:rPr>
            </w:pPr>
            <w:r w:rsidRPr="00162CAA">
              <w:rPr>
                <w:i/>
                <w:iCs/>
                <w:sz w:val="20"/>
              </w:rPr>
              <w:t>Day-Ahead Energy Sale</w:t>
            </w:r>
            <w:r w:rsidRPr="00162CAA">
              <w:rPr>
                <w:iCs/>
                <w:sz w:val="20"/>
              </w:rPr>
              <w:t xml:space="preserve">—The QSE </w:t>
            </w:r>
            <w:r w:rsidRPr="00162CAA">
              <w:rPr>
                <w:i/>
                <w:iCs/>
                <w:sz w:val="20"/>
              </w:rPr>
              <w:t>q</w:t>
            </w:r>
            <w:r w:rsidRPr="00162CAA">
              <w:rPr>
                <w:iCs/>
                <w:sz w:val="20"/>
              </w:rPr>
              <w:t xml:space="preserve">’s energy sold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491D04D0"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C134C22" w14:textId="77777777" w:rsidR="00162CAA" w:rsidRPr="00162CAA" w:rsidRDefault="00162CAA" w:rsidP="00162CAA">
            <w:pPr>
              <w:spacing w:after="60"/>
              <w:rPr>
                <w:iCs/>
                <w:sz w:val="20"/>
              </w:rPr>
            </w:pPr>
            <w:r w:rsidRPr="00162CAA">
              <w:rPr>
                <w:iCs/>
                <w:sz w:val="20"/>
              </w:rPr>
              <w:t xml:space="preserve">RTQQEPADJ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5C90A9"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9269B35" w14:textId="77777777" w:rsidR="00162CAA" w:rsidRPr="00162CAA" w:rsidRDefault="00162CAA" w:rsidP="00162CAA">
            <w:pPr>
              <w:spacing w:after="60"/>
              <w:rPr>
                <w:iCs/>
                <w:sz w:val="20"/>
              </w:rPr>
            </w:pPr>
            <w:r w:rsidRPr="00162CAA">
              <w:rPr>
                <w:i/>
                <w:iCs/>
                <w:sz w:val="20"/>
              </w:rPr>
              <w:t>QSE-to-QSE Energy Purchase by QSE by point</w:t>
            </w:r>
            <w:r w:rsidRPr="00162CAA">
              <w:rPr>
                <w:iCs/>
                <w:sz w:val="20"/>
              </w:rPr>
              <w:t xml:space="preserve">—The QSE </w:t>
            </w:r>
            <w:r w:rsidRPr="00162CAA">
              <w:rPr>
                <w:i/>
                <w:iCs/>
                <w:sz w:val="20"/>
              </w:rPr>
              <w:t>q</w:t>
            </w:r>
            <w:r w:rsidRPr="00162CAA">
              <w:rPr>
                <w:iCs/>
                <w:sz w:val="20"/>
              </w:rPr>
              <w:t xml:space="preserve">’s Energy Trades in which the QSE is the buyer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B2A375E"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94E811E" w14:textId="77777777" w:rsidR="00162CAA" w:rsidRPr="00162CAA" w:rsidRDefault="00162CAA" w:rsidP="00162CAA">
            <w:pPr>
              <w:spacing w:after="60"/>
              <w:rPr>
                <w:iCs/>
                <w:sz w:val="20"/>
              </w:rPr>
            </w:pPr>
            <w:r w:rsidRPr="00162CAA">
              <w:rPr>
                <w:iCs/>
                <w:sz w:val="20"/>
              </w:rPr>
              <w:lastRenderedPageBreak/>
              <w:t xml:space="preserve">RTQQESADJ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53BC48C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940848E" w14:textId="77777777" w:rsidR="00162CAA" w:rsidRPr="00162CAA" w:rsidRDefault="00162CAA" w:rsidP="00162CAA">
            <w:pPr>
              <w:spacing w:after="60"/>
              <w:rPr>
                <w:i/>
                <w:iCs/>
                <w:sz w:val="20"/>
              </w:rPr>
            </w:pPr>
            <w:r w:rsidRPr="00162CAA">
              <w:rPr>
                <w:i/>
                <w:iCs/>
                <w:sz w:val="20"/>
              </w:rPr>
              <w:t>QSE-to-QSE Energy Sale by QSE by point</w:t>
            </w:r>
            <w:r w:rsidRPr="00162CAA">
              <w:rPr>
                <w:iCs/>
                <w:sz w:val="20"/>
              </w:rPr>
              <w:t xml:space="preserve">—The QSE </w:t>
            </w:r>
            <w:r w:rsidRPr="00162CAA">
              <w:rPr>
                <w:i/>
                <w:iCs/>
                <w:sz w:val="20"/>
              </w:rPr>
              <w:t>q</w:t>
            </w:r>
            <w:r w:rsidRPr="00162CAA">
              <w:rPr>
                <w:iCs/>
                <w:sz w:val="20"/>
              </w:rPr>
              <w:t xml:space="preserve">’s Energy Trades in which the QSE is the seller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30BC1D8"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D9AEDAF" w14:textId="77777777" w:rsidR="00162CAA" w:rsidRPr="00162CAA" w:rsidRDefault="00162CAA" w:rsidP="00162CAA">
            <w:pPr>
              <w:spacing w:after="60"/>
              <w:rPr>
                <w:iCs/>
                <w:sz w:val="20"/>
              </w:rPr>
            </w:pPr>
            <w:r w:rsidRPr="00162CAA">
              <w:rPr>
                <w:i/>
                <w:iCs/>
                <w:sz w:val="20"/>
              </w:rPr>
              <w:t>q</w:t>
            </w:r>
          </w:p>
        </w:tc>
        <w:tc>
          <w:tcPr>
            <w:tcW w:w="457" w:type="pct"/>
            <w:tcBorders>
              <w:top w:val="single" w:sz="6" w:space="0" w:color="auto"/>
              <w:left w:val="single" w:sz="6" w:space="0" w:color="auto"/>
              <w:bottom w:val="single" w:sz="6" w:space="0" w:color="auto"/>
              <w:right w:val="single" w:sz="6" w:space="0" w:color="auto"/>
            </w:tcBorders>
            <w:hideMark/>
          </w:tcPr>
          <w:p w14:paraId="1B9D38EE"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799DBA94" w14:textId="77777777" w:rsidR="00162CAA" w:rsidRPr="00162CAA" w:rsidRDefault="00162CAA" w:rsidP="00162CAA">
            <w:pPr>
              <w:spacing w:after="60"/>
              <w:rPr>
                <w:i/>
                <w:iCs/>
                <w:sz w:val="20"/>
              </w:rPr>
            </w:pPr>
            <w:r w:rsidRPr="00162CAA">
              <w:rPr>
                <w:iCs/>
                <w:sz w:val="20"/>
              </w:rPr>
              <w:t>A QSE.</w:t>
            </w:r>
          </w:p>
        </w:tc>
      </w:tr>
      <w:tr w:rsidR="00162CAA" w:rsidRPr="00162CAA" w14:paraId="67DDD87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5183B88" w14:textId="77777777" w:rsidR="00162CAA" w:rsidRPr="00162CAA" w:rsidRDefault="00162CAA" w:rsidP="00162CAA">
            <w:pPr>
              <w:spacing w:after="60"/>
              <w:rPr>
                <w:iCs/>
                <w:sz w:val="20"/>
              </w:rPr>
            </w:pPr>
            <w:r w:rsidRPr="00162CAA">
              <w:rPr>
                <w:i/>
                <w:iCs/>
                <w:sz w:val="20"/>
              </w:rPr>
              <w:t>p</w:t>
            </w:r>
          </w:p>
        </w:tc>
        <w:tc>
          <w:tcPr>
            <w:tcW w:w="457" w:type="pct"/>
            <w:tcBorders>
              <w:top w:val="single" w:sz="6" w:space="0" w:color="auto"/>
              <w:left w:val="single" w:sz="6" w:space="0" w:color="auto"/>
              <w:bottom w:val="single" w:sz="6" w:space="0" w:color="auto"/>
              <w:right w:val="single" w:sz="6" w:space="0" w:color="auto"/>
            </w:tcBorders>
            <w:hideMark/>
          </w:tcPr>
          <w:p w14:paraId="6DB0B5DB"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2F3D9084" w14:textId="77777777" w:rsidR="00162CAA" w:rsidRPr="00162CAA" w:rsidRDefault="00162CAA" w:rsidP="00162CAA">
            <w:pPr>
              <w:spacing w:after="60"/>
              <w:rPr>
                <w:i/>
                <w:iCs/>
                <w:sz w:val="20"/>
              </w:rPr>
            </w:pPr>
            <w:r w:rsidRPr="00162CAA">
              <w:rPr>
                <w:iCs/>
                <w:sz w:val="20"/>
              </w:rPr>
              <w:t>A Settlement Point.</w:t>
            </w:r>
          </w:p>
        </w:tc>
      </w:tr>
      <w:tr w:rsidR="00162CAA" w:rsidRPr="00162CAA" w14:paraId="1F5307B6"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4C63621" w14:textId="77777777" w:rsidR="00162CAA" w:rsidRPr="00162CAA" w:rsidRDefault="00162CAA" w:rsidP="00162CAA">
            <w:pPr>
              <w:spacing w:after="60"/>
              <w:rPr>
                <w:iCs/>
                <w:sz w:val="20"/>
              </w:rPr>
            </w:pPr>
            <w:r w:rsidRPr="00162CAA">
              <w:rPr>
                <w:i/>
                <w:iCs/>
                <w:sz w:val="20"/>
              </w:rPr>
              <w:t>r</w:t>
            </w:r>
          </w:p>
        </w:tc>
        <w:tc>
          <w:tcPr>
            <w:tcW w:w="457" w:type="pct"/>
            <w:tcBorders>
              <w:top w:val="single" w:sz="6" w:space="0" w:color="auto"/>
              <w:left w:val="single" w:sz="6" w:space="0" w:color="auto"/>
              <w:bottom w:val="single" w:sz="6" w:space="0" w:color="auto"/>
              <w:right w:val="single" w:sz="6" w:space="0" w:color="auto"/>
            </w:tcBorders>
            <w:hideMark/>
          </w:tcPr>
          <w:p w14:paraId="03177538"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35F8A808" w14:textId="1EEE4F56" w:rsidR="00162CAA" w:rsidRPr="00162CAA" w:rsidRDefault="00162CAA" w:rsidP="00162CAA">
            <w:pPr>
              <w:spacing w:after="60"/>
              <w:rPr>
                <w:i/>
                <w:iCs/>
                <w:sz w:val="20"/>
              </w:rPr>
            </w:pPr>
            <w:r w:rsidRPr="00162CAA">
              <w:rPr>
                <w:iCs/>
                <w:sz w:val="20"/>
              </w:rPr>
              <w:t xml:space="preserve">A Generation Resource that is QSE-committed or planning to operate as a Quick Start Generation Resource (QSGR) for the Settlement Interval as shown by the Resource Status of OFFQS in the Adjustment Period snapshot; or a Switchable Generation Resource (SWGR) released by a non-ERCOT Control Area Operator (CAO) to operate in the ERCOT Control Area due to an </w:t>
            </w:r>
            <w:r w:rsidR="003D3379" w:rsidRPr="00162CAA">
              <w:rPr>
                <w:iCs/>
                <w:sz w:val="20"/>
              </w:rPr>
              <w:t xml:space="preserve">ERCOT </w:t>
            </w:r>
            <w:r w:rsidR="003D3379">
              <w:rPr>
                <w:iCs/>
                <w:sz w:val="20"/>
              </w:rPr>
              <w:t>Reliability Unit Commitment (</w:t>
            </w:r>
            <w:r w:rsidR="003D3379" w:rsidRPr="00162CAA">
              <w:rPr>
                <w:iCs/>
                <w:sz w:val="20"/>
              </w:rPr>
              <w:t>RUC</w:t>
            </w:r>
            <w:r w:rsidR="003D3379">
              <w:rPr>
                <w:iCs/>
                <w:sz w:val="20"/>
              </w:rPr>
              <w:t>)</w:t>
            </w:r>
            <w:r w:rsidR="003D3379" w:rsidRPr="00162CAA">
              <w:rPr>
                <w:iCs/>
                <w:sz w:val="20"/>
              </w:rPr>
              <w:t xml:space="preserve"> instruction for an actual or anticipated </w:t>
            </w:r>
            <w:r w:rsidR="003D3379">
              <w:rPr>
                <w:iCs/>
                <w:sz w:val="20"/>
              </w:rPr>
              <w:t>Energy Emergency Alert (</w:t>
            </w:r>
            <w:r w:rsidR="003D3379" w:rsidRPr="00162CAA">
              <w:rPr>
                <w:iCs/>
                <w:sz w:val="20"/>
              </w:rPr>
              <w:t>EEA</w:t>
            </w:r>
            <w:r w:rsidR="003D3379">
              <w:rPr>
                <w:iCs/>
                <w:sz w:val="20"/>
              </w:rPr>
              <w:t xml:space="preserve">) </w:t>
            </w:r>
            <w:r w:rsidRPr="00162CAA">
              <w:rPr>
                <w:iCs/>
                <w:sz w:val="20"/>
              </w:rPr>
              <w:t>condition.  If the Settlement Interval is a</w:t>
            </w:r>
            <w:r w:rsidR="003D3379" w:rsidRPr="00162CAA">
              <w:rPr>
                <w:iCs/>
                <w:sz w:val="20"/>
              </w:rPr>
              <w:t xml:space="preserve"> </w:t>
            </w:r>
            <w:r w:rsidR="003D3379">
              <w:rPr>
                <w:iCs/>
                <w:sz w:val="20"/>
              </w:rPr>
              <w:t>Reliability Unit Commitment for Additional Capacity (</w:t>
            </w:r>
            <w:r w:rsidR="003D3379" w:rsidRPr="00162CAA">
              <w:rPr>
                <w:iCs/>
                <w:sz w:val="20"/>
              </w:rPr>
              <w:t>RUCAC</w:t>
            </w:r>
            <w:r w:rsidR="003D3379">
              <w:rPr>
                <w:iCs/>
                <w:sz w:val="20"/>
              </w:rPr>
              <w:t>)</w:t>
            </w:r>
            <w:r w:rsidR="003D3379" w:rsidRPr="00162CAA">
              <w:rPr>
                <w:iCs/>
                <w:sz w:val="20"/>
              </w:rPr>
              <w:t xml:space="preserve">-Interval, </w:t>
            </w:r>
            <w:r w:rsidR="003D3379" w:rsidRPr="00162CAA">
              <w:rPr>
                <w:i/>
                <w:iCs/>
                <w:sz w:val="20"/>
              </w:rPr>
              <w:t>r</w:t>
            </w:r>
            <w:r w:rsidR="003D3379" w:rsidRPr="00162CAA">
              <w:rPr>
                <w:iCs/>
                <w:sz w:val="20"/>
              </w:rPr>
              <w:t xml:space="preserve"> r</w:t>
            </w:r>
            <w:r w:rsidRPr="00162CAA">
              <w:rPr>
                <w:iCs/>
                <w:sz w:val="20"/>
              </w:rPr>
              <w:t>epresents the Combined Cycle Generation Resource that was QSE-committed at the time the RUCAC was issued.</w:t>
            </w:r>
          </w:p>
        </w:tc>
      </w:tr>
      <w:tr w:rsidR="00162CAA" w:rsidRPr="00162CAA" w14:paraId="7312E3AC"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F5BA290" w14:textId="77777777" w:rsidR="00162CAA" w:rsidRPr="00162CAA" w:rsidRDefault="00162CAA" w:rsidP="00162CAA">
            <w:pPr>
              <w:spacing w:after="60"/>
              <w:rPr>
                <w:i/>
                <w:iCs/>
                <w:sz w:val="20"/>
              </w:rPr>
            </w:pPr>
            <w:r w:rsidRPr="00162CAA">
              <w:rPr>
                <w:i/>
                <w:iCs/>
                <w:sz w:val="20"/>
              </w:rPr>
              <w:t>i</w:t>
            </w:r>
          </w:p>
        </w:tc>
        <w:tc>
          <w:tcPr>
            <w:tcW w:w="457" w:type="pct"/>
            <w:tcBorders>
              <w:top w:val="single" w:sz="6" w:space="0" w:color="auto"/>
              <w:left w:val="single" w:sz="6" w:space="0" w:color="auto"/>
              <w:bottom w:val="single" w:sz="6" w:space="0" w:color="auto"/>
              <w:right w:val="single" w:sz="6" w:space="0" w:color="auto"/>
            </w:tcBorders>
            <w:hideMark/>
          </w:tcPr>
          <w:p w14:paraId="0978592A"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6901547B"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75219101" w14:textId="77777777" w:rsidTr="00764A29">
        <w:tc>
          <w:tcPr>
            <w:tcW w:w="1095" w:type="pct"/>
            <w:tcBorders>
              <w:top w:val="single" w:sz="6" w:space="0" w:color="auto"/>
              <w:left w:val="single" w:sz="4" w:space="0" w:color="auto"/>
              <w:bottom w:val="single" w:sz="4" w:space="0" w:color="auto"/>
              <w:right w:val="single" w:sz="6" w:space="0" w:color="auto"/>
            </w:tcBorders>
            <w:hideMark/>
          </w:tcPr>
          <w:p w14:paraId="36B53A64" w14:textId="77777777" w:rsidR="00162CAA" w:rsidRPr="00162CAA" w:rsidRDefault="00162CAA" w:rsidP="00162CAA">
            <w:pPr>
              <w:spacing w:after="60"/>
              <w:rPr>
                <w:i/>
                <w:iCs/>
                <w:sz w:val="20"/>
              </w:rPr>
            </w:pPr>
            <w:r w:rsidRPr="00162CAA">
              <w:rPr>
                <w:i/>
                <w:iCs/>
                <w:sz w:val="20"/>
              </w:rPr>
              <w:t>h</w:t>
            </w:r>
          </w:p>
        </w:tc>
        <w:tc>
          <w:tcPr>
            <w:tcW w:w="457" w:type="pct"/>
            <w:tcBorders>
              <w:top w:val="single" w:sz="6" w:space="0" w:color="auto"/>
              <w:left w:val="single" w:sz="6" w:space="0" w:color="auto"/>
              <w:bottom w:val="single" w:sz="4" w:space="0" w:color="auto"/>
              <w:right w:val="single" w:sz="6" w:space="0" w:color="auto"/>
            </w:tcBorders>
            <w:hideMark/>
          </w:tcPr>
          <w:p w14:paraId="618DE05F"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4" w:space="0" w:color="auto"/>
              <w:right w:val="single" w:sz="4" w:space="0" w:color="auto"/>
            </w:tcBorders>
            <w:hideMark/>
          </w:tcPr>
          <w:p w14:paraId="1AE598BF" w14:textId="77777777" w:rsidR="00162CAA" w:rsidRPr="00162CAA" w:rsidRDefault="00162CAA" w:rsidP="00162CAA">
            <w:pPr>
              <w:spacing w:after="60"/>
              <w:rPr>
                <w:iCs/>
                <w:sz w:val="20"/>
              </w:rPr>
            </w:pPr>
            <w:r w:rsidRPr="00162CAA">
              <w:rPr>
                <w:iCs/>
                <w:sz w:val="20"/>
              </w:rPr>
              <w:t xml:space="preserve">The hour that includes the Settlement Interval </w:t>
            </w:r>
            <w:r w:rsidRPr="00162CAA">
              <w:rPr>
                <w:i/>
                <w:iCs/>
                <w:sz w:val="20"/>
              </w:rPr>
              <w:t>i</w:t>
            </w:r>
            <w:r w:rsidRPr="00162CAA">
              <w:rPr>
                <w:iCs/>
                <w:sz w:val="20"/>
              </w:rPr>
              <w:t xml:space="preserve">. </w:t>
            </w:r>
          </w:p>
        </w:tc>
      </w:tr>
    </w:tbl>
    <w:p w14:paraId="59DE9EF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6E3D5B68" w14:textId="77777777" w:rsidTr="00764A29">
        <w:trPr>
          <w:trHeight w:val="206"/>
        </w:trPr>
        <w:tc>
          <w:tcPr>
            <w:tcW w:w="5000" w:type="pct"/>
            <w:shd w:val="pct12" w:color="auto" w:fill="auto"/>
          </w:tcPr>
          <w:p w14:paraId="6F88CD6A" w14:textId="6CAFC654" w:rsidR="00764A29" w:rsidRPr="00A4149C" w:rsidRDefault="00764A29" w:rsidP="00B327B6">
            <w:pPr>
              <w:pStyle w:val="Instructions"/>
              <w:spacing w:before="120"/>
            </w:pPr>
            <w:bookmarkStart w:id="2869" w:name="_Toc400547198"/>
            <w:bookmarkStart w:id="2870" w:name="_Toc405384303"/>
            <w:bookmarkStart w:id="2871" w:name="_Toc405543570"/>
            <w:bookmarkStart w:id="2872" w:name="_Toc428178079"/>
            <w:bookmarkStart w:id="2873" w:name="_Toc440872709"/>
            <w:bookmarkStart w:id="2874" w:name="_Toc458766254"/>
            <w:bookmarkStart w:id="2875" w:name="_Toc459292659"/>
            <w:bookmarkStart w:id="2876" w:name="_Toc60038366"/>
            <w:r>
              <w:t>[NPRR1216:  Delete Section 6.8.3.1.1 above upon system implementation and renumber accordingly.]</w:t>
            </w:r>
          </w:p>
        </w:tc>
      </w:tr>
    </w:tbl>
    <w:p w14:paraId="23C4C75B" w14:textId="77777777" w:rsidR="00162CAA" w:rsidRPr="00162CAA" w:rsidRDefault="00162CAA" w:rsidP="00162CAA">
      <w:pPr>
        <w:pStyle w:val="H4"/>
        <w:spacing w:before="480"/>
        <w:ind w:left="1267" w:hanging="1267"/>
      </w:pPr>
      <w:bookmarkStart w:id="2877" w:name="_Toc189044513"/>
      <w:r w:rsidRPr="00162CAA">
        <w:t>6.8.3.2</w:t>
      </w:r>
      <w:r w:rsidRPr="00162CAA">
        <w:tab/>
        <w:t>Uplift Charges for an LCAP Effective Period</w:t>
      </w:r>
      <w:bookmarkEnd w:id="2869"/>
      <w:bookmarkEnd w:id="2870"/>
      <w:bookmarkEnd w:id="2871"/>
      <w:bookmarkEnd w:id="2872"/>
      <w:bookmarkEnd w:id="2873"/>
      <w:bookmarkEnd w:id="2874"/>
      <w:bookmarkEnd w:id="2875"/>
      <w:bookmarkEnd w:id="2876"/>
      <w:bookmarkEnd w:id="2877"/>
    </w:p>
    <w:p w14:paraId="4F20A86D" w14:textId="4783CD00" w:rsidR="00162CAA" w:rsidRPr="00162CAA" w:rsidRDefault="00162CAA" w:rsidP="00162CAA">
      <w:pPr>
        <w:spacing w:after="240"/>
        <w:ind w:left="720" w:hanging="720"/>
      </w:pPr>
      <w:r w:rsidRPr="00162CAA">
        <w:t>(1)</w:t>
      </w:r>
      <w:r w:rsidRPr="00162CAA">
        <w:tab/>
        <w:t xml:space="preserve">If the revenues from the charges under Section 6.8.3.1, Charges for Capacity Shortfalls During an LCAP Effective Period, are not enough to cover all LCAP Effective Period payments, for a 15-minute Settlement Interval, then the difference will be uplifted to all QSEs </w:t>
      </w:r>
      <w:r w:rsidR="003D3379" w:rsidRPr="00162CAA">
        <w:t>on a</w:t>
      </w:r>
      <w:r w:rsidR="003D3379">
        <w:t xml:space="preserve">n LRS </w:t>
      </w:r>
      <w:r w:rsidRPr="00162CAA">
        <w:t xml:space="preserve">basis as an LCAP Effective Period Uplift Charge, calculated as follows: </w:t>
      </w:r>
    </w:p>
    <w:p w14:paraId="32EA4A8B"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LALCAPAMT </w:t>
      </w:r>
      <w:r w:rsidRPr="00162CAA">
        <w:rPr>
          <w:b/>
          <w:bCs/>
          <w:i/>
          <w:szCs w:val="24"/>
          <w:vertAlign w:val="subscript"/>
        </w:rPr>
        <w:t>q, i</w:t>
      </w:r>
      <w:r w:rsidRPr="00162CAA">
        <w:rPr>
          <w:b/>
          <w:bCs/>
          <w:szCs w:val="24"/>
        </w:rPr>
        <w:tab/>
        <w:t>=</w:t>
      </w:r>
      <w:r w:rsidRPr="00162CAA">
        <w:rPr>
          <w:b/>
          <w:bCs/>
          <w:szCs w:val="24"/>
        </w:rPr>
        <w:tab/>
        <w:t xml:space="preserve">(-1) * [OPLPAMTTOT </w:t>
      </w:r>
      <w:r w:rsidRPr="00162CAA">
        <w:rPr>
          <w:b/>
          <w:bCs/>
          <w:i/>
          <w:szCs w:val="24"/>
          <w:vertAlign w:val="subscript"/>
        </w:rPr>
        <w:t>i</w:t>
      </w:r>
      <w:r w:rsidRPr="00162CAA">
        <w:rPr>
          <w:b/>
          <w:bCs/>
          <w:szCs w:val="24"/>
        </w:rPr>
        <w:t xml:space="preserve"> + LCAPCSAMTTOT </w:t>
      </w:r>
      <w:r w:rsidRPr="00162CAA">
        <w:rPr>
          <w:b/>
          <w:bCs/>
          <w:i/>
          <w:szCs w:val="24"/>
          <w:vertAlign w:val="subscript"/>
        </w:rPr>
        <w:t>i</w:t>
      </w:r>
      <w:r w:rsidRPr="00162CAA">
        <w:rPr>
          <w:b/>
          <w:bCs/>
          <w:szCs w:val="24"/>
        </w:rPr>
        <w:t xml:space="preserve">] * LRS </w:t>
      </w:r>
      <w:r w:rsidRPr="00162CAA">
        <w:rPr>
          <w:b/>
          <w:bCs/>
          <w:i/>
          <w:szCs w:val="24"/>
          <w:vertAlign w:val="subscript"/>
        </w:rPr>
        <w:t>q, i</w:t>
      </w:r>
    </w:p>
    <w:p w14:paraId="613A9461" w14:textId="77777777" w:rsidR="00162CAA" w:rsidRPr="003D3379" w:rsidRDefault="00162CAA" w:rsidP="00162CAA">
      <w:pPr>
        <w:tabs>
          <w:tab w:val="left" w:pos="2340"/>
          <w:tab w:val="left" w:pos="3420"/>
        </w:tabs>
        <w:spacing w:after="240"/>
        <w:ind w:left="3420" w:right="-180" w:hanging="2700"/>
        <w:rPr>
          <w:szCs w:val="24"/>
        </w:rPr>
      </w:pPr>
      <w:r w:rsidRPr="003D3379">
        <w:rPr>
          <w:szCs w:val="24"/>
        </w:rPr>
        <w:t>Where:</w:t>
      </w:r>
    </w:p>
    <w:p w14:paraId="1F5B3DEF"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ab/>
        <w:t xml:space="preserve">OPLPAMTTOT </w:t>
      </w:r>
      <w:r w:rsidRPr="00162CAA">
        <w:rPr>
          <w:bCs/>
          <w:i/>
          <w:szCs w:val="24"/>
          <w:vertAlign w:val="subscript"/>
        </w:rPr>
        <w:t xml:space="preserve">i </w:t>
      </w:r>
      <w:r w:rsidRPr="00162CAA">
        <w:rPr>
          <w:bCs/>
          <w:szCs w:val="24"/>
        </w:rPr>
        <w:tab/>
      </w:r>
      <w:r w:rsidRPr="00162CAA">
        <w:rPr>
          <w:bCs/>
          <w:szCs w:val="24"/>
        </w:rPr>
        <w:tab/>
        <w:t>=</w:t>
      </w:r>
      <w:r w:rsidRPr="00162CAA">
        <w:rPr>
          <w:bCs/>
          <w:szCs w:val="24"/>
        </w:rPr>
        <w:tab/>
      </w:r>
      <w:r w:rsidRPr="00162CAA">
        <w:rPr>
          <w:bCs/>
          <w:position w:val="-22"/>
          <w:szCs w:val="24"/>
        </w:rPr>
        <w:object w:dxaOrig="330" w:dyaOrig="630" w14:anchorId="776555FE">
          <v:shape id="_x0000_i1457" type="#_x0000_t75" style="width:18pt;height:30pt" o:ole="">
            <v:imagedata r:id="rId549" o:title=""/>
          </v:shape>
          <o:OLEObject Type="Embed" ProgID="Equation.3" ShapeID="_x0000_i1457" DrawAspect="Content" ObjectID="_1804653940" r:id="rId567"/>
        </w:object>
      </w:r>
      <w:r w:rsidRPr="00162CAA">
        <w:rPr>
          <w:bCs/>
          <w:szCs w:val="24"/>
        </w:rPr>
        <w:t>OPLPAMTQSETOT</w:t>
      </w:r>
      <w:r w:rsidRPr="00162CAA">
        <w:rPr>
          <w:bCs/>
          <w:i/>
          <w:szCs w:val="24"/>
          <w:vertAlign w:val="subscript"/>
        </w:rPr>
        <w:t xml:space="preserve"> i, q</w:t>
      </w:r>
    </w:p>
    <w:p w14:paraId="0A63B47F" w14:textId="77777777" w:rsidR="00162CAA" w:rsidRPr="00162CAA" w:rsidRDefault="00162CAA" w:rsidP="00162CAA">
      <w:pPr>
        <w:tabs>
          <w:tab w:val="left" w:pos="2340"/>
          <w:tab w:val="left" w:pos="3420"/>
        </w:tabs>
        <w:spacing w:after="240"/>
        <w:ind w:left="3420" w:hanging="2700"/>
        <w:rPr>
          <w:bCs/>
          <w:szCs w:val="24"/>
          <w:lang w:val="it-IT"/>
        </w:rPr>
      </w:pPr>
      <w:r w:rsidRPr="00162CAA">
        <w:rPr>
          <w:bCs/>
          <w:szCs w:val="24"/>
          <w:lang w:val="it-IT"/>
        </w:rPr>
        <w:tab/>
        <w:t xml:space="preserve">LCAPCSAMTTOT </w:t>
      </w:r>
      <w:r w:rsidRPr="00162CAA">
        <w:rPr>
          <w:bCs/>
          <w:i/>
          <w:szCs w:val="24"/>
          <w:vertAlign w:val="subscript"/>
          <w:lang w:val="it-IT"/>
        </w:rPr>
        <w:t>i</w:t>
      </w:r>
      <w:r w:rsidRPr="00162CAA">
        <w:rPr>
          <w:bCs/>
          <w:szCs w:val="24"/>
          <w:lang w:val="it-IT"/>
        </w:rPr>
        <w:tab/>
        <w:t xml:space="preserve"> =</w:t>
      </w:r>
      <w:r w:rsidRPr="00162CAA">
        <w:rPr>
          <w:bCs/>
          <w:szCs w:val="24"/>
          <w:lang w:val="it-IT"/>
        </w:rPr>
        <w:tab/>
      </w:r>
      <w:r w:rsidRPr="00162CAA">
        <w:rPr>
          <w:bCs/>
          <w:position w:val="-22"/>
          <w:szCs w:val="24"/>
        </w:rPr>
        <w:object w:dxaOrig="330" w:dyaOrig="630" w14:anchorId="05A0D981">
          <v:shape id="_x0000_i1458" type="#_x0000_t75" style="width:18pt;height:30pt" o:ole="">
            <v:imagedata r:id="rId549" o:title=""/>
          </v:shape>
          <o:OLEObject Type="Embed" ProgID="Equation.3" ShapeID="_x0000_i1458" DrawAspect="Content" ObjectID="_1804653941" r:id="rId568"/>
        </w:object>
      </w:r>
      <w:r w:rsidRPr="00162CAA">
        <w:rPr>
          <w:bCs/>
          <w:szCs w:val="24"/>
        </w:rPr>
        <w:t>LCAP</w:t>
      </w:r>
      <w:r w:rsidRPr="00162CAA">
        <w:rPr>
          <w:bCs/>
          <w:szCs w:val="24"/>
          <w:lang w:val="it-IT"/>
        </w:rPr>
        <w:t xml:space="preserve">CSAMT </w:t>
      </w:r>
      <w:r w:rsidRPr="00162CAA">
        <w:rPr>
          <w:bCs/>
          <w:i/>
          <w:szCs w:val="24"/>
          <w:vertAlign w:val="subscript"/>
          <w:lang w:val="it-IT"/>
        </w:rPr>
        <w:t>i, q</w:t>
      </w:r>
    </w:p>
    <w:p w14:paraId="2E10283B" w14:textId="77777777" w:rsidR="00162CAA" w:rsidRPr="00162CAA" w:rsidRDefault="00162CAA" w:rsidP="00162CAA">
      <w:pPr>
        <w:rPr>
          <w:szCs w:val="24"/>
        </w:rPr>
      </w:pPr>
      <w:r w:rsidRPr="00162CAA">
        <w:rPr>
          <w:szCs w:val="24"/>
        </w:rPr>
        <w:t>The above variables are defined as follows:</w:t>
      </w:r>
    </w:p>
    <w:tbl>
      <w:tblPr>
        <w:tblW w:w="4949"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11"/>
        <w:gridCol w:w="615"/>
        <w:gridCol w:w="6429"/>
      </w:tblGrid>
      <w:tr w:rsidR="00162CAA" w:rsidRPr="00162CAA" w14:paraId="2C97084F" w14:textId="77777777" w:rsidTr="008B7FF7">
        <w:tc>
          <w:tcPr>
            <w:tcW w:w="1195" w:type="pct"/>
            <w:tcBorders>
              <w:top w:val="single" w:sz="4" w:space="0" w:color="auto"/>
              <w:left w:val="single" w:sz="4" w:space="0" w:color="auto"/>
              <w:bottom w:val="single" w:sz="6" w:space="0" w:color="auto"/>
              <w:right w:val="single" w:sz="6" w:space="0" w:color="auto"/>
            </w:tcBorders>
            <w:hideMark/>
          </w:tcPr>
          <w:p w14:paraId="3CE42CD6" w14:textId="77777777" w:rsidR="00162CAA" w:rsidRPr="00162CAA" w:rsidRDefault="00162CAA" w:rsidP="00162CAA">
            <w:pPr>
              <w:spacing w:after="240"/>
              <w:rPr>
                <w:b/>
                <w:iCs/>
                <w:sz w:val="20"/>
              </w:rPr>
            </w:pPr>
            <w:r w:rsidRPr="00162CAA">
              <w:rPr>
                <w:b/>
                <w:iCs/>
                <w:sz w:val="20"/>
              </w:rPr>
              <w:t>Variable</w:t>
            </w:r>
          </w:p>
        </w:tc>
        <w:tc>
          <w:tcPr>
            <w:tcW w:w="332" w:type="pct"/>
            <w:tcBorders>
              <w:top w:val="single" w:sz="4" w:space="0" w:color="auto"/>
              <w:left w:val="single" w:sz="6" w:space="0" w:color="auto"/>
              <w:bottom w:val="single" w:sz="6" w:space="0" w:color="auto"/>
              <w:right w:val="single" w:sz="6" w:space="0" w:color="auto"/>
            </w:tcBorders>
            <w:hideMark/>
          </w:tcPr>
          <w:p w14:paraId="1898D993" w14:textId="77777777" w:rsidR="00162CAA" w:rsidRPr="00162CAA" w:rsidRDefault="00162CAA" w:rsidP="00162CAA">
            <w:pPr>
              <w:spacing w:after="240"/>
              <w:jc w:val="center"/>
              <w:rPr>
                <w:b/>
                <w:iCs/>
                <w:sz w:val="20"/>
              </w:rPr>
            </w:pPr>
            <w:r w:rsidRPr="00162CAA">
              <w:rPr>
                <w:b/>
                <w:iCs/>
                <w:sz w:val="20"/>
              </w:rPr>
              <w:t>Unit</w:t>
            </w:r>
          </w:p>
        </w:tc>
        <w:tc>
          <w:tcPr>
            <w:tcW w:w="3473" w:type="pct"/>
            <w:tcBorders>
              <w:top w:val="single" w:sz="4" w:space="0" w:color="auto"/>
              <w:left w:val="single" w:sz="6" w:space="0" w:color="auto"/>
              <w:bottom w:val="single" w:sz="6" w:space="0" w:color="auto"/>
              <w:right w:val="single" w:sz="4" w:space="0" w:color="auto"/>
            </w:tcBorders>
            <w:hideMark/>
          </w:tcPr>
          <w:p w14:paraId="3ADF88FC" w14:textId="77777777" w:rsidR="00162CAA" w:rsidRPr="00162CAA" w:rsidRDefault="00162CAA" w:rsidP="00162CAA">
            <w:pPr>
              <w:spacing w:after="240"/>
              <w:rPr>
                <w:b/>
                <w:iCs/>
                <w:sz w:val="20"/>
              </w:rPr>
            </w:pPr>
            <w:r w:rsidRPr="00162CAA">
              <w:rPr>
                <w:b/>
                <w:iCs/>
                <w:sz w:val="20"/>
              </w:rPr>
              <w:t>Definition</w:t>
            </w:r>
          </w:p>
        </w:tc>
      </w:tr>
      <w:tr w:rsidR="00162CAA" w:rsidRPr="00162CAA" w14:paraId="732B58E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39269398" w14:textId="77777777" w:rsidR="00162CAA" w:rsidRPr="00162CAA" w:rsidRDefault="00162CAA" w:rsidP="00162CAA">
            <w:pPr>
              <w:spacing w:after="60"/>
              <w:rPr>
                <w:iCs/>
                <w:sz w:val="20"/>
              </w:rPr>
            </w:pPr>
            <w:r w:rsidRPr="00162CAA">
              <w:rPr>
                <w:iCs/>
                <w:sz w:val="20"/>
              </w:rPr>
              <w:t xml:space="preserve">LALCAPAMT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F9005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468EE671" w14:textId="039A4E4A" w:rsidR="00162CAA" w:rsidRPr="00162CAA" w:rsidRDefault="00162CAA" w:rsidP="00162CAA">
            <w:pPr>
              <w:spacing w:after="60"/>
              <w:rPr>
                <w:iCs/>
                <w:sz w:val="20"/>
              </w:rPr>
            </w:pPr>
            <w:r w:rsidRPr="00162CAA">
              <w:rPr>
                <w:i/>
                <w:iCs/>
                <w:sz w:val="20"/>
              </w:rPr>
              <w:t>Load Allocated LCAP Effective Period Uplift Charge</w:t>
            </w:r>
            <w:r w:rsidR="00DE7A12">
              <w:rPr>
                <w:i/>
                <w:iCs/>
                <w:sz w:val="20"/>
              </w:rPr>
              <w:t xml:space="preserve"> </w:t>
            </w:r>
            <w:r w:rsidR="00DE7A12" w:rsidRPr="00162CAA">
              <w:rPr>
                <w:i/>
                <w:iCs/>
                <w:sz w:val="20"/>
                <w:szCs w:val="24"/>
              </w:rPr>
              <w:t>–</w:t>
            </w:r>
            <w:r w:rsidR="00DE7A12">
              <w:rPr>
                <w:iCs/>
                <w:sz w:val="20"/>
              </w:rPr>
              <w:t xml:space="preserve"> </w:t>
            </w:r>
            <w:r w:rsidRPr="00162CAA">
              <w:rPr>
                <w:iCs/>
                <w:sz w:val="20"/>
              </w:rPr>
              <w:t xml:space="preserve">The amount owed from the QSE </w:t>
            </w:r>
            <w:r w:rsidRPr="00162CAA">
              <w:rPr>
                <w:i/>
                <w:iCs/>
                <w:sz w:val="20"/>
              </w:rPr>
              <w:t xml:space="preserve">q, </w:t>
            </w:r>
            <w:r w:rsidRPr="00162CAA">
              <w:rPr>
                <w:iCs/>
                <w:sz w:val="20"/>
              </w:rPr>
              <w:t xml:space="preserve">based on </w:t>
            </w:r>
            <w:r w:rsidR="003D3379">
              <w:rPr>
                <w:iCs/>
                <w:sz w:val="20"/>
              </w:rPr>
              <w:t>LRS</w:t>
            </w:r>
            <w:r w:rsidRPr="00162CAA">
              <w:rPr>
                <w:iCs/>
                <w:sz w:val="20"/>
              </w:rPr>
              <w:t xml:space="preserve">, for the 15-minute Settlement Interval </w:t>
            </w:r>
            <w:r w:rsidRPr="00162CAA">
              <w:rPr>
                <w:i/>
                <w:iCs/>
                <w:sz w:val="20"/>
              </w:rPr>
              <w:t>i</w:t>
            </w:r>
            <w:r w:rsidRPr="00162CAA">
              <w:rPr>
                <w:iCs/>
                <w:sz w:val="20"/>
              </w:rPr>
              <w:t>.</w:t>
            </w:r>
          </w:p>
        </w:tc>
      </w:tr>
      <w:tr w:rsidR="00162CAA" w:rsidRPr="00162CAA" w14:paraId="66691BB1" w14:textId="77777777" w:rsidTr="008B7FF7">
        <w:trPr>
          <w:cantSplit/>
        </w:trPr>
        <w:tc>
          <w:tcPr>
            <w:tcW w:w="1195" w:type="pct"/>
            <w:tcBorders>
              <w:top w:val="single" w:sz="4" w:space="0" w:color="auto"/>
              <w:left w:val="single" w:sz="4" w:space="0" w:color="auto"/>
              <w:bottom w:val="single" w:sz="4" w:space="0" w:color="auto"/>
              <w:right w:val="single" w:sz="4" w:space="0" w:color="auto"/>
            </w:tcBorders>
            <w:hideMark/>
          </w:tcPr>
          <w:p w14:paraId="60FED702" w14:textId="77777777" w:rsidR="00162CAA" w:rsidRPr="00162CAA" w:rsidRDefault="00162CAA" w:rsidP="00162CAA">
            <w:pPr>
              <w:spacing w:after="60"/>
              <w:rPr>
                <w:iCs/>
                <w:sz w:val="20"/>
                <w:szCs w:val="24"/>
              </w:rPr>
            </w:pPr>
            <w:r w:rsidRPr="00162CAA">
              <w:rPr>
                <w:iCs/>
                <w:sz w:val="20"/>
                <w:szCs w:val="24"/>
              </w:rPr>
              <w:lastRenderedPageBreak/>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2B8B4504" w14:textId="77777777" w:rsidR="00162CAA" w:rsidRPr="00162CAA" w:rsidRDefault="00162CAA" w:rsidP="00162CAA">
            <w:pPr>
              <w:spacing w:after="60"/>
              <w:jc w:val="center"/>
              <w:rPr>
                <w:iCs/>
                <w:sz w:val="20"/>
                <w:szCs w:val="24"/>
              </w:rPr>
            </w:pPr>
            <w:r w:rsidRPr="00162CAA">
              <w:rPr>
                <w:iCs/>
                <w:sz w:val="20"/>
                <w:szCs w:val="24"/>
              </w:rPr>
              <w:t>$</w:t>
            </w:r>
          </w:p>
        </w:tc>
        <w:tc>
          <w:tcPr>
            <w:tcW w:w="3473" w:type="pct"/>
            <w:tcBorders>
              <w:top w:val="single" w:sz="4" w:space="0" w:color="auto"/>
              <w:left w:val="single" w:sz="4" w:space="0" w:color="auto"/>
              <w:bottom w:val="single" w:sz="4" w:space="0" w:color="auto"/>
              <w:right w:val="single" w:sz="4" w:space="0" w:color="auto"/>
            </w:tcBorders>
            <w:hideMark/>
          </w:tcPr>
          <w:p w14:paraId="18E36367"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szCs w:val="24"/>
              </w:rPr>
              <w:t xml:space="preserve">i </w:t>
            </w:r>
            <w:r w:rsidRPr="00162CAA">
              <w:rPr>
                <w:sz w:val="20"/>
                <w:szCs w:val="24"/>
              </w:rPr>
              <w:t>within the Operating Day</w:t>
            </w:r>
            <w:r w:rsidRPr="00162CAA">
              <w:rPr>
                <w:szCs w:val="24"/>
              </w:rPr>
              <w:t>.</w:t>
            </w:r>
            <w:r w:rsidRPr="00162CAA">
              <w:rPr>
                <w:iCs/>
                <w:sz w:val="20"/>
                <w:szCs w:val="24"/>
              </w:rPr>
              <w:t xml:space="preserve"> </w:t>
            </w:r>
            <w:r w:rsidRPr="00162CAA">
              <w:rPr>
                <w:iCs/>
                <w:sz w:val="20"/>
              </w:rPr>
              <w:t xml:space="preserve"> </w:t>
            </w:r>
          </w:p>
        </w:tc>
      </w:tr>
      <w:tr w:rsidR="00162CAA" w:rsidRPr="00162CAA" w14:paraId="4BC1C683"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95834C2"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77ECE00C"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55C29F0" w14:textId="7B94A56C" w:rsidR="00162CAA" w:rsidRPr="00162CAA" w:rsidRDefault="00162CAA" w:rsidP="00162CAA">
            <w:pPr>
              <w:spacing w:after="60"/>
              <w:rPr>
                <w:iCs/>
                <w:sz w:val="20"/>
              </w:rPr>
            </w:pPr>
            <w:r w:rsidRPr="00162CAA">
              <w:rPr>
                <w:i/>
                <w:sz w:val="20"/>
              </w:rPr>
              <w:t>Total Operating Losses Payment Amount –</w:t>
            </w:r>
            <w:r w:rsidRPr="00162CAA">
              <w:rPr>
                <w:iCs/>
                <w:sz w:val="20"/>
              </w:rPr>
              <w:t>The sum of</w:t>
            </w:r>
            <w:r w:rsidR="003D3379" w:rsidRPr="00162CAA">
              <w:rPr>
                <w:iCs/>
                <w:sz w:val="20"/>
              </w:rPr>
              <w:t xml:space="preserve"> </w:t>
            </w:r>
            <w:r w:rsidR="003D3379">
              <w:rPr>
                <w:iCs/>
                <w:sz w:val="20"/>
              </w:rPr>
              <w:t>o</w:t>
            </w:r>
            <w:r w:rsidR="003D3379" w:rsidRPr="00162CAA">
              <w:rPr>
                <w:iCs/>
                <w:sz w:val="20"/>
              </w:rPr>
              <w:t xml:space="preserve">perating </w:t>
            </w:r>
            <w:r w:rsidR="003D3379">
              <w:rPr>
                <w:iCs/>
                <w:sz w:val="20"/>
              </w:rPr>
              <w:t>l</w:t>
            </w:r>
            <w:r w:rsidR="003D3379" w:rsidRPr="00162CAA">
              <w:rPr>
                <w:iCs/>
                <w:sz w:val="20"/>
              </w:rPr>
              <w:t xml:space="preserve">osses </w:t>
            </w:r>
            <w:r w:rsidR="003D3379">
              <w:rPr>
                <w:iCs/>
                <w:sz w:val="20"/>
              </w:rPr>
              <w:t>p</w:t>
            </w:r>
            <w:r w:rsidR="003D3379" w:rsidRPr="00162CAA">
              <w:rPr>
                <w:iCs/>
                <w:sz w:val="20"/>
              </w:rPr>
              <w:t>ayments</w:t>
            </w:r>
            <w:r w:rsidRPr="00162CAA">
              <w:rPr>
                <w:iCs/>
                <w:sz w:val="20"/>
              </w:rPr>
              <w:t xml:space="preserve"> to all QSEs, for the 15-minute Settlement Interval</w:t>
            </w:r>
            <w:r w:rsidRPr="00162CAA">
              <w:rPr>
                <w:i/>
                <w:iCs/>
                <w:sz w:val="20"/>
              </w:rPr>
              <w:t xml:space="preserve"> i</w:t>
            </w:r>
            <w:r w:rsidRPr="00162CAA">
              <w:rPr>
                <w:iCs/>
                <w:sz w:val="20"/>
              </w:rPr>
              <w:t>.</w:t>
            </w:r>
          </w:p>
        </w:tc>
      </w:tr>
      <w:tr w:rsidR="00162CAA" w:rsidRPr="00162CAA" w14:paraId="084FD098"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3E95FC3" w14:textId="77777777" w:rsidR="00162CAA" w:rsidRPr="00162CAA" w:rsidRDefault="00162CAA" w:rsidP="00162CAA">
            <w:pPr>
              <w:spacing w:after="60"/>
              <w:rPr>
                <w:iCs/>
                <w:sz w:val="20"/>
              </w:rPr>
            </w:pPr>
            <w:r w:rsidRPr="00162CAA">
              <w:rPr>
                <w:iCs/>
                <w:sz w:val="20"/>
              </w:rPr>
              <w:t xml:space="preserve">LCAPCSAMTTOT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0B0BA352"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8852E58" w14:textId="77777777" w:rsidR="00162CAA" w:rsidRPr="00162CAA" w:rsidRDefault="00162CAA" w:rsidP="00162CAA">
            <w:pPr>
              <w:spacing w:after="60"/>
              <w:rPr>
                <w:iCs/>
                <w:sz w:val="20"/>
              </w:rPr>
            </w:pPr>
            <w:r w:rsidRPr="00162CAA">
              <w:rPr>
                <w:i/>
                <w:iCs/>
                <w:sz w:val="20"/>
              </w:rPr>
              <w:t>LCAP Capacity-Short Amount Total</w:t>
            </w:r>
            <w:r w:rsidRPr="00162CAA">
              <w:rPr>
                <w:iCs/>
                <w:sz w:val="20"/>
              </w:rPr>
              <w:t xml:space="preserve">—The total of all charges to all QSEs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15BB823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79021CE6"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32" w:type="pct"/>
            <w:tcBorders>
              <w:top w:val="single" w:sz="6" w:space="0" w:color="auto"/>
              <w:left w:val="single" w:sz="6" w:space="0" w:color="auto"/>
              <w:bottom w:val="single" w:sz="6" w:space="0" w:color="auto"/>
              <w:right w:val="single" w:sz="6" w:space="0" w:color="auto"/>
            </w:tcBorders>
            <w:hideMark/>
          </w:tcPr>
          <w:p w14:paraId="611BA0E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7BF8E022"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4BAF633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557F8093" w14:textId="77777777" w:rsidR="00162CAA" w:rsidRPr="00162CAA" w:rsidRDefault="00162CAA" w:rsidP="00162CAA">
            <w:pPr>
              <w:spacing w:after="60"/>
              <w:rPr>
                <w:iCs/>
                <w:sz w:val="20"/>
              </w:rPr>
            </w:pPr>
            <w:r w:rsidRPr="00162CAA">
              <w:rPr>
                <w:iCs/>
                <w:sz w:val="20"/>
              </w:rPr>
              <w:t xml:space="preserve">LRS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746644"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6783F087" w14:textId="150F08D2" w:rsidR="00162CAA" w:rsidRPr="00162CAA" w:rsidRDefault="00162CAA" w:rsidP="00162CAA">
            <w:pPr>
              <w:spacing w:after="60"/>
              <w:rPr>
                <w:i/>
                <w:iCs/>
                <w:sz w:val="20"/>
              </w:rPr>
            </w:pPr>
            <w:r w:rsidRPr="00162CAA">
              <w:rPr>
                <w:i/>
                <w:iCs/>
                <w:sz w:val="20"/>
              </w:rPr>
              <w:t>Load Ratio Share</w:t>
            </w:r>
            <w:r w:rsidRPr="00162CAA">
              <w:rPr>
                <w:iCs/>
                <w:sz w:val="20"/>
              </w:rPr>
              <w:t xml:space="preserve">—The ratio </w:t>
            </w:r>
            <w:r w:rsidR="003D3379" w:rsidRPr="00162CAA">
              <w:rPr>
                <w:iCs/>
                <w:sz w:val="20"/>
              </w:rPr>
              <w:t xml:space="preserve">of </w:t>
            </w:r>
            <w:r w:rsidR="003D3379">
              <w:rPr>
                <w:iCs/>
                <w:sz w:val="20"/>
              </w:rPr>
              <w:t>AML</w:t>
            </w:r>
            <w:r w:rsidR="003D3379" w:rsidRPr="00162CAA">
              <w:rPr>
                <w:iCs/>
                <w:sz w:val="20"/>
              </w:rPr>
              <w:t xml:space="preserve"> to the total ERCOT </w:t>
            </w:r>
            <w:r w:rsidR="003D3379">
              <w:rPr>
                <w:iCs/>
                <w:sz w:val="20"/>
              </w:rPr>
              <w:t>AML</w:t>
            </w:r>
            <w:r w:rsidR="003D3379" w:rsidRPr="00162CAA">
              <w:rPr>
                <w:iCs/>
                <w:sz w:val="20"/>
              </w:rPr>
              <w:t xml:space="preserve"> for </w:t>
            </w:r>
            <w:r w:rsidRPr="00162CAA">
              <w:rPr>
                <w:iCs/>
                <w:sz w:val="20"/>
              </w:rPr>
              <w:t>the 15-minute Settlement Interval.  See Section 6.6.2, Load Ratio Share, item (2).</w:t>
            </w:r>
          </w:p>
        </w:tc>
      </w:tr>
      <w:tr w:rsidR="00162CAA" w:rsidRPr="00162CAA" w14:paraId="28D731B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227E8F66" w14:textId="77777777" w:rsidR="00162CAA" w:rsidRPr="00162CAA" w:rsidRDefault="00162CAA" w:rsidP="00162CAA">
            <w:pPr>
              <w:spacing w:after="60"/>
              <w:rPr>
                <w:i/>
                <w:iCs/>
                <w:sz w:val="20"/>
              </w:rPr>
            </w:pPr>
            <w:r w:rsidRPr="00162CAA">
              <w:rPr>
                <w:i/>
                <w:iCs/>
                <w:sz w:val="20"/>
              </w:rPr>
              <w:t>i</w:t>
            </w:r>
          </w:p>
        </w:tc>
        <w:tc>
          <w:tcPr>
            <w:tcW w:w="332" w:type="pct"/>
            <w:tcBorders>
              <w:top w:val="single" w:sz="6" w:space="0" w:color="auto"/>
              <w:left w:val="single" w:sz="6" w:space="0" w:color="auto"/>
              <w:bottom w:val="single" w:sz="6" w:space="0" w:color="auto"/>
              <w:right w:val="single" w:sz="6" w:space="0" w:color="auto"/>
            </w:tcBorders>
            <w:hideMark/>
          </w:tcPr>
          <w:p w14:paraId="6C500209"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546B0622"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4B8E2A32"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29B6B35" w14:textId="77777777" w:rsidR="00162CAA" w:rsidRPr="00162CAA" w:rsidRDefault="00162CAA" w:rsidP="00162CAA">
            <w:pPr>
              <w:spacing w:after="60"/>
              <w:rPr>
                <w:i/>
                <w:iCs/>
                <w:sz w:val="20"/>
              </w:rPr>
            </w:pPr>
            <w:r w:rsidRPr="00162CAA">
              <w:rPr>
                <w:i/>
                <w:iCs/>
                <w:sz w:val="20"/>
              </w:rPr>
              <w:t>q</w:t>
            </w:r>
          </w:p>
        </w:tc>
        <w:tc>
          <w:tcPr>
            <w:tcW w:w="332" w:type="pct"/>
            <w:tcBorders>
              <w:top w:val="single" w:sz="6" w:space="0" w:color="auto"/>
              <w:left w:val="single" w:sz="6" w:space="0" w:color="auto"/>
              <w:bottom w:val="single" w:sz="6" w:space="0" w:color="auto"/>
              <w:right w:val="single" w:sz="6" w:space="0" w:color="auto"/>
            </w:tcBorders>
            <w:hideMark/>
          </w:tcPr>
          <w:p w14:paraId="7F6CCAC2"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0BAB7402" w14:textId="77777777" w:rsidR="00162CAA" w:rsidRPr="00162CAA" w:rsidRDefault="00162CAA" w:rsidP="00162CAA">
            <w:pPr>
              <w:spacing w:after="60"/>
              <w:rPr>
                <w:iCs/>
                <w:sz w:val="20"/>
              </w:rPr>
            </w:pPr>
            <w:r w:rsidRPr="00162CAA">
              <w:rPr>
                <w:iCs/>
                <w:sz w:val="20"/>
              </w:rPr>
              <w:t>A QSE.</w:t>
            </w:r>
          </w:p>
        </w:tc>
      </w:tr>
    </w:tbl>
    <w:p w14:paraId="546755E8"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51DC6C63" w14:textId="77777777" w:rsidTr="008B7FF7">
        <w:trPr>
          <w:trHeight w:val="206"/>
        </w:trPr>
        <w:tc>
          <w:tcPr>
            <w:tcW w:w="5000" w:type="pct"/>
            <w:shd w:val="pct12" w:color="auto" w:fill="auto"/>
          </w:tcPr>
          <w:p w14:paraId="1DB807C8" w14:textId="77777777" w:rsidR="008B7FF7" w:rsidRDefault="008B7FF7" w:rsidP="00B327B6">
            <w:pPr>
              <w:pStyle w:val="Instructions"/>
              <w:spacing w:before="120"/>
            </w:pPr>
            <w:bookmarkStart w:id="2878" w:name="_Hlk76542775"/>
            <w:bookmarkEnd w:id="2845"/>
            <w:bookmarkEnd w:id="2846"/>
            <w:bookmarkEnd w:id="2847"/>
            <w:r>
              <w:t>[NPRR1216:  Replace Section 6.8.3.2 above upon system implementation and renumber accordingly.]</w:t>
            </w:r>
          </w:p>
          <w:p w14:paraId="25FA019B" w14:textId="77777777" w:rsidR="008B7FF7" w:rsidRPr="00D61479" w:rsidRDefault="008B7FF7" w:rsidP="008B7FF7">
            <w:pPr>
              <w:keepNext/>
              <w:widowControl w:val="0"/>
              <w:tabs>
                <w:tab w:val="left" w:pos="1260"/>
              </w:tabs>
              <w:spacing w:before="240" w:after="240"/>
              <w:ind w:left="1267" w:hanging="1267"/>
              <w:outlineLvl w:val="3"/>
              <w:rPr>
                <w:b/>
                <w:bCs/>
                <w:i/>
                <w:iCs/>
                <w:snapToGrid w:val="0"/>
              </w:rPr>
            </w:pPr>
            <w:bookmarkStart w:id="2879" w:name="_Toc189044514"/>
            <w:r w:rsidRPr="00D61479">
              <w:rPr>
                <w:b/>
                <w:bCs/>
                <w:i/>
                <w:iCs/>
                <w:snapToGrid w:val="0"/>
              </w:rPr>
              <w:t>6.8.3</w:t>
            </w:r>
            <w:r w:rsidRPr="00D61479">
              <w:rPr>
                <w:b/>
                <w:bCs/>
                <w:i/>
                <w:iCs/>
                <w:snapToGrid w:val="0"/>
              </w:rPr>
              <w:tab/>
              <w:t>Charges for Operating Losses During an LCAP or ECAP Effective Period</w:t>
            </w:r>
            <w:bookmarkEnd w:id="2879"/>
          </w:p>
          <w:p w14:paraId="031C6576" w14:textId="77777777" w:rsidR="008B7FF7" w:rsidRPr="008B7FF7" w:rsidRDefault="008B7FF7" w:rsidP="008B7FF7">
            <w:pPr>
              <w:spacing w:before="240" w:after="240"/>
              <w:ind w:left="720" w:hanging="720"/>
            </w:pPr>
            <w:r w:rsidRPr="008B7FF7">
              <w:t>(1)</w:t>
            </w:r>
            <w:r w:rsidRPr="008B7FF7">
              <w:tab/>
              <w:t>ERCOT shall allocate the total operating losses payment amount to the QSEs representing Loads.  The resulting charge to each QSE’s Load Ratio Share (LRS) for a 15-minute Settlement Interval is calculated as follows:</w:t>
            </w:r>
          </w:p>
          <w:p w14:paraId="736D24A6" w14:textId="2DA158B9" w:rsidR="008B7FF7" w:rsidRPr="008B7FF7" w:rsidRDefault="008B7FF7" w:rsidP="008B7FF7">
            <w:pPr>
              <w:tabs>
                <w:tab w:val="left" w:pos="2340"/>
                <w:tab w:val="left" w:pos="3420"/>
              </w:tabs>
              <w:spacing w:after="240"/>
              <w:ind w:left="3420" w:hanging="2700"/>
              <w:rPr>
                <w:b/>
                <w:bCs/>
                <w:szCs w:val="24"/>
                <w:lang w:val="sv-SE"/>
              </w:rPr>
            </w:pPr>
            <w:r w:rsidRPr="008B7FF7">
              <w:rPr>
                <w:b/>
                <w:bCs/>
                <w:szCs w:val="24"/>
                <w:lang w:val="sv-SE"/>
              </w:rPr>
              <w:t xml:space="preserve">LALCAPAMT </w:t>
            </w:r>
            <w:r w:rsidRPr="008B7FF7">
              <w:rPr>
                <w:b/>
                <w:bCs/>
                <w:i/>
                <w:szCs w:val="24"/>
                <w:vertAlign w:val="subscript"/>
                <w:lang w:val="sv-SE"/>
              </w:rPr>
              <w:t>q, i</w:t>
            </w:r>
            <w:r w:rsidRPr="008B7FF7">
              <w:rPr>
                <w:b/>
                <w:bCs/>
                <w:szCs w:val="24"/>
                <w:lang w:val="sv-SE"/>
              </w:rPr>
              <w:tab/>
              <w:t>=</w:t>
            </w:r>
            <w:r w:rsidRPr="008B7FF7">
              <w:rPr>
                <w:b/>
                <w:bCs/>
                <w:szCs w:val="24"/>
                <w:lang w:val="sv-SE"/>
              </w:rPr>
              <w:tab/>
              <w:t xml:space="preserve">(-1) * OPLPAMTTOT </w:t>
            </w:r>
            <w:r w:rsidRPr="008B7FF7">
              <w:rPr>
                <w:b/>
                <w:bCs/>
                <w:i/>
                <w:szCs w:val="24"/>
                <w:vertAlign w:val="subscript"/>
                <w:lang w:val="sv-SE"/>
              </w:rPr>
              <w:t>i</w:t>
            </w:r>
            <w:r w:rsidRPr="008B7FF7">
              <w:rPr>
                <w:b/>
                <w:bCs/>
                <w:szCs w:val="24"/>
                <w:lang w:val="sv-SE"/>
              </w:rPr>
              <w:t xml:space="preserve"> * LRS </w:t>
            </w:r>
            <w:r w:rsidRPr="008B7FF7">
              <w:rPr>
                <w:b/>
                <w:bCs/>
                <w:i/>
                <w:szCs w:val="24"/>
                <w:vertAlign w:val="subscript"/>
                <w:lang w:val="sv-SE"/>
              </w:rPr>
              <w:t>q, i</w:t>
            </w:r>
          </w:p>
          <w:p w14:paraId="3D23EAC5" w14:textId="77777777" w:rsidR="008B7FF7" w:rsidRPr="008B7FF7" w:rsidRDefault="008B7FF7" w:rsidP="008B7FF7">
            <w:pPr>
              <w:tabs>
                <w:tab w:val="left" w:pos="2340"/>
                <w:tab w:val="left" w:pos="3420"/>
              </w:tabs>
              <w:spacing w:after="240"/>
              <w:ind w:left="3420" w:hanging="2700"/>
              <w:rPr>
                <w:b/>
                <w:bCs/>
                <w:szCs w:val="24"/>
              </w:rPr>
            </w:pPr>
            <w:r w:rsidRPr="008B7FF7">
              <w:rPr>
                <w:b/>
                <w:bCs/>
                <w:szCs w:val="24"/>
              </w:rPr>
              <w:t>Where:</w:t>
            </w:r>
          </w:p>
          <w:p w14:paraId="25F258B7" w14:textId="2C6970C3" w:rsidR="008B7FF7" w:rsidRPr="008B7FF7" w:rsidRDefault="008B7FF7" w:rsidP="008B7FF7">
            <w:pPr>
              <w:tabs>
                <w:tab w:val="left" w:pos="2340"/>
                <w:tab w:val="left" w:pos="3420"/>
              </w:tabs>
              <w:spacing w:after="240"/>
              <w:ind w:left="3420" w:hanging="2700"/>
              <w:rPr>
                <w:bCs/>
                <w:i/>
                <w:szCs w:val="24"/>
                <w:vertAlign w:val="subscript"/>
              </w:rPr>
            </w:pPr>
            <w:r w:rsidRPr="008B7FF7">
              <w:rPr>
                <w:bCs/>
                <w:szCs w:val="24"/>
              </w:rPr>
              <w:t xml:space="preserve">OPLPAMTTOT </w:t>
            </w:r>
            <w:r w:rsidRPr="008B7FF7">
              <w:rPr>
                <w:bCs/>
                <w:i/>
                <w:szCs w:val="24"/>
                <w:vertAlign w:val="subscript"/>
              </w:rPr>
              <w:t xml:space="preserve">i </w:t>
            </w:r>
            <w:r w:rsidRPr="008B7FF7">
              <w:rPr>
                <w:bCs/>
                <w:szCs w:val="24"/>
              </w:rPr>
              <w:tab/>
            </w:r>
            <w:r w:rsidRPr="008B7FF7">
              <w:rPr>
                <w:bCs/>
                <w:szCs w:val="24"/>
              </w:rPr>
              <w:tab/>
              <w:t>=</w:t>
            </w:r>
            <w:r w:rsidRPr="008B7FF7">
              <w:rPr>
                <w:bCs/>
                <w:szCs w:val="24"/>
              </w:rPr>
              <w:tab/>
            </w:r>
            <w:r w:rsidRPr="008B7FF7">
              <w:rPr>
                <w:bCs/>
                <w:position w:val="-22"/>
                <w:szCs w:val="24"/>
              </w:rPr>
              <w:object w:dxaOrig="330" w:dyaOrig="630" w14:anchorId="3ADC06B4">
                <v:shape id="_x0000_i1459" type="#_x0000_t75" style="width:12pt;height:30pt" o:ole="">
                  <v:imagedata r:id="rId549" o:title=""/>
                </v:shape>
                <o:OLEObject Type="Embed" ProgID="Equation.3" ShapeID="_x0000_i1459" DrawAspect="Content" ObjectID="_1804653942" r:id="rId569"/>
              </w:object>
            </w:r>
            <w:r w:rsidRPr="008B7FF7">
              <w:rPr>
                <w:bCs/>
                <w:szCs w:val="24"/>
              </w:rPr>
              <w:t>OPLPAMTQSETOT</w:t>
            </w:r>
            <w:r w:rsidRPr="008B7FF7">
              <w:rPr>
                <w:bCs/>
                <w:i/>
                <w:szCs w:val="24"/>
                <w:vertAlign w:val="subscript"/>
              </w:rPr>
              <w:t xml:space="preserve"> i, q</w:t>
            </w:r>
          </w:p>
          <w:p w14:paraId="1A260B1D" w14:textId="77777777" w:rsidR="008B7FF7" w:rsidRPr="008B7FF7" w:rsidRDefault="008B7FF7" w:rsidP="008B7FF7">
            <w:pPr>
              <w:spacing w:before="120"/>
              <w:rPr>
                <w:szCs w:val="24"/>
              </w:rPr>
            </w:pPr>
            <w:r w:rsidRPr="008B7FF7">
              <w:rPr>
                <w:szCs w:val="24"/>
              </w:rPr>
              <w:t>The above variables are defined as follows:</w:t>
            </w: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51"/>
              <w:gridCol w:w="605"/>
              <w:gridCol w:w="6263"/>
            </w:tblGrid>
            <w:tr w:rsidR="008B7FF7" w:rsidRPr="008B7FF7" w14:paraId="1BC6E7DC" w14:textId="77777777" w:rsidTr="008B7FF7">
              <w:tc>
                <w:tcPr>
                  <w:tcW w:w="1193" w:type="pct"/>
                  <w:tcBorders>
                    <w:top w:val="single" w:sz="4" w:space="0" w:color="auto"/>
                    <w:left w:val="single" w:sz="4" w:space="0" w:color="auto"/>
                    <w:bottom w:val="single" w:sz="6" w:space="0" w:color="auto"/>
                    <w:right w:val="single" w:sz="6" w:space="0" w:color="auto"/>
                  </w:tcBorders>
                  <w:hideMark/>
                </w:tcPr>
                <w:p w14:paraId="408515CD" w14:textId="77777777" w:rsidR="008B7FF7" w:rsidRPr="008B7FF7" w:rsidRDefault="008B7FF7" w:rsidP="008B7FF7">
                  <w:pPr>
                    <w:spacing w:after="240"/>
                    <w:rPr>
                      <w:b/>
                      <w:iCs/>
                      <w:sz w:val="20"/>
                    </w:rPr>
                  </w:pPr>
                  <w:r w:rsidRPr="008B7FF7">
                    <w:rPr>
                      <w:b/>
                      <w:iCs/>
                      <w:sz w:val="20"/>
                    </w:rPr>
                    <w:t>Variable</w:t>
                  </w:r>
                </w:p>
              </w:tc>
              <w:tc>
                <w:tcPr>
                  <w:tcW w:w="335" w:type="pct"/>
                  <w:tcBorders>
                    <w:top w:val="single" w:sz="4" w:space="0" w:color="auto"/>
                    <w:left w:val="single" w:sz="6" w:space="0" w:color="auto"/>
                    <w:bottom w:val="single" w:sz="6" w:space="0" w:color="auto"/>
                    <w:right w:val="single" w:sz="6" w:space="0" w:color="auto"/>
                  </w:tcBorders>
                  <w:hideMark/>
                </w:tcPr>
                <w:p w14:paraId="4CA23123" w14:textId="77777777" w:rsidR="008B7FF7" w:rsidRPr="008B7FF7" w:rsidRDefault="008B7FF7" w:rsidP="008B7FF7">
                  <w:pPr>
                    <w:spacing w:after="240"/>
                    <w:jc w:val="center"/>
                    <w:rPr>
                      <w:b/>
                      <w:iCs/>
                      <w:sz w:val="20"/>
                    </w:rPr>
                  </w:pPr>
                  <w:r w:rsidRPr="008B7FF7">
                    <w:rPr>
                      <w:b/>
                      <w:iCs/>
                      <w:sz w:val="20"/>
                    </w:rPr>
                    <w:t>Unit</w:t>
                  </w:r>
                </w:p>
              </w:tc>
              <w:tc>
                <w:tcPr>
                  <w:tcW w:w="3472" w:type="pct"/>
                  <w:tcBorders>
                    <w:top w:val="single" w:sz="4" w:space="0" w:color="auto"/>
                    <w:left w:val="single" w:sz="6" w:space="0" w:color="auto"/>
                    <w:bottom w:val="single" w:sz="6" w:space="0" w:color="auto"/>
                    <w:right w:val="single" w:sz="4" w:space="0" w:color="auto"/>
                  </w:tcBorders>
                  <w:hideMark/>
                </w:tcPr>
                <w:p w14:paraId="0543F97D" w14:textId="77777777" w:rsidR="008B7FF7" w:rsidRPr="008B7FF7" w:rsidRDefault="008B7FF7" w:rsidP="008B7FF7">
                  <w:pPr>
                    <w:spacing w:after="240"/>
                    <w:rPr>
                      <w:b/>
                      <w:iCs/>
                      <w:sz w:val="20"/>
                    </w:rPr>
                  </w:pPr>
                  <w:r w:rsidRPr="008B7FF7">
                    <w:rPr>
                      <w:b/>
                      <w:iCs/>
                      <w:sz w:val="20"/>
                    </w:rPr>
                    <w:t>Definition</w:t>
                  </w:r>
                </w:p>
              </w:tc>
            </w:tr>
            <w:tr w:rsidR="008B7FF7" w:rsidRPr="008B7FF7" w14:paraId="68914694"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8B9A648" w14:textId="77777777" w:rsidR="008B7FF7" w:rsidRPr="008B7FF7" w:rsidRDefault="008B7FF7" w:rsidP="008B7FF7">
                  <w:pPr>
                    <w:spacing w:after="60"/>
                    <w:rPr>
                      <w:iCs/>
                      <w:sz w:val="20"/>
                    </w:rPr>
                  </w:pPr>
                  <w:r w:rsidRPr="008B7FF7">
                    <w:rPr>
                      <w:iCs/>
                      <w:sz w:val="20"/>
                    </w:rPr>
                    <w:t xml:space="preserve">LALCAPAMT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452CFD4F"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69FEA1C7" w14:textId="6AEC5909" w:rsidR="008B7FF7" w:rsidRPr="008B7FF7" w:rsidRDefault="008B7FF7" w:rsidP="008B7FF7">
                  <w:pPr>
                    <w:spacing w:after="60"/>
                    <w:rPr>
                      <w:iCs/>
                      <w:sz w:val="20"/>
                    </w:rPr>
                  </w:pPr>
                  <w:r w:rsidRPr="008B7FF7">
                    <w:rPr>
                      <w:i/>
                      <w:iCs/>
                      <w:sz w:val="20"/>
                    </w:rPr>
                    <w:t>Load Allocated LCAP or ECAP Effective Period Charge</w:t>
                  </w:r>
                  <w:r w:rsidR="00BB727A">
                    <w:rPr>
                      <w:i/>
                      <w:iCs/>
                      <w:sz w:val="20"/>
                    </w:rPr>
                    <w:t xml:space="preserve"> </w:t>
                  </w:r>
                  <w:r w:rsidR="00BB727A" w:rsidRPr="00764A29">
                    <w:rPr>
                      <w:szCs w:val="24"/>
                    </w:rPr>
                    <w:t>–</w:t>
                  </w:r>
                  <w:r w:rsidR="00BB727A">
                    <w:rPr>
                      <w:iCs/>
                      <w:sz w:val="20"/>
                    </w:rPr>
                    <w:t xml:space="preserve"> </w:t>
                  </w:r>
                  <w:r w:rsidRPr="008B7FF7">
                    <w:rPr>
                      <w:iCs/>
                      <w:sz w:val="20"/>
                    </w:rPr>
                    <w:t xml:space="preserve">The amount owed from the QSE </w:t>
                  </w:r>
                  <w:r w:rsidRPr="008B7FF7">
                    <w:rPr>
                      <w:i/>
                      <w:iCs/>
                      <w:sz w:val="20"/>
                    </w:rPr>
                    <w:t xml:space="preserve">q, </w:t>
                  </w:r>
                  <w:r w:rsidRPr="008B7FF7">
                    <w:rPr>
                      <w:iCs/>
                      <w:sz w:val="20"/>
                    </w:rPr>
                    <w:t xml:space="preserve">based on Load Ratio Share, for the 15-minute Settlement Interval </w:t>
                  </w:r>
                  <w:r w:rsidRPr="008B7FF7">
                    <w:rPr>
                      <w:i/>
                      <w:iCs/>
                      <w:sz w:val="20"/>
                    </w:rPr>
                    <w:t>i</w:t>
                  </w:r>
                  <w:r w:rsidRPr="008B7FF7">
                    <w:rPr>
                      <w:iCs/>
                      <w:sz w:val="20"/>
                    </w:rPr>
                    <w:t>.</w:t>
                  </w:r>
                </w:p>
              </w:tc>
            </w:tr>
            <w:tr w:rsidR="008B7FF7" w:rsidRPr="008B7FF7" w14:paraId="788E3178" w14:textId="77777777" w:rsidTr="008B7FF7">
              <w:trPr>
                <w:cantSplit/>
              </w:trPr>
              <w:tc>
                <w:tcPr>
                  <w:tcW w:w="1193" w:type="pct"/>
                  <w:tcBorders>
                    <w:top w:val="single" w:sz="4" w:space="0" w:color="auto"/>
                    <w:left w:val="single" w:sz="4" w:space="0" w:color="auto"/>
                    <w:bottom w:val="single" w:sz="4" w:space="0" w:color="auto"/>
                    <w:right w:val="single" w:sz="4" w:space="0" w:color="auto"/>
                  </w:tcBorders>
                  <w:hideMark/>
                </w:tcPr>
                <w:p w14:paraId="284D7C33" w14:textId="77777777" w:rsidR="008B7FF7" w:rsidRPr="008B7FF7" w:rsidRDefault="008B7FF7" w:rsidP="008B7FF7">
                  <w:pPr>
                    <w:spacing w:after="60"/>
                    <w:rPr>
                      <w:iCs/>
                      <w:sz w:val="20"/>
                      <w:szCs w:val="24"/>
                    </w:rPr>
                  </w:pPr>
                  <w:r w:rsidRPr="008B7FF7">
                    <w:rPr>
                      <w:iCs/>
                      <w:sz w:val="20"/>
                      <w:szCs w:val="24"/>
                    </w:rPr>
                    <w:t>OPLPAMTQSETOT</w:t>
                  </w:r>
                  <w:r w:rsidRPr="008B7FF7">
                    <w:rPr>
                      <w:b/>
                      <w:iCs/>
                      <w:sz w:val="20"/>
                      <w:szCs w:val="24"/>
                    </w:rPr>
                    <w:t xml:space="preserve"> </w:t>
                  </w:r>
                  <w:r w:rsidRPr="008B7FF7">
                    <w:rPr>
                      <w:i/>
                      <w:iCs/>
                      <w:sz w:val="20"/>
                      <w:szCs w:val="24"/>
                      <w:vertAlign w:val="subscript"/>
                    </w:rPr>
                    <w:t>i, q</w:t>
                  </w:r>
                  <w:r w:rsidRPr="008B7FF7">
                    <w:rPr>
                      <w:iCs/>
                      <w:sz w:val="20"/>
                      <w:szCs w:val="24"/>
                    </w:rPr>
                    <w:t xml:space="preserve"> </w:t>
                  </w:r>
                </w:p>
              </w:tc>
              <w:tc>
                <w:tcPr>
                  <w:tcW w:w="335" w:type="pct"/>
                  <w:tcBorders>
                    <w:top w:val="single" w:sz="4" w:space="0" w:color="auto"/>
                    <w:left w:val="single" w:sz="4" w:space="0" w:color="auto"/>
                    <w:bottom w:val="single" w:sz="4" w:space="0" w:color="auto"/>
                    <w:right w:val="single" w:sz="4" w:space="0" w:color="auto"/>
                  </w:tcBorders>
                  <w:hideMark/>
                </w:tcPr>
                <w:p w14:paraId="3FA2819A" w14:textId="77777777" w:rsidR="008B7FF7" w:rsidRPr="008B7FF7" w:rsidRDefault="008B7FF7" w:rsidP="008B7FF7">
                  <w:pPr>
                    <w:spacing w:after="60"/>
                    <w:jc w:val="center"/>
                    <w:rPr>
                      <w:iCs/>
                      <w:sz w:val="20"/>
                      <w:szCs w:val="24"/>
                    </w:rPr>
                  </w:pPr>
                  <w:r w:rsidRPr="008B7FF7">
                    <w:rPr>
                      <w:iCs/>
                      <w:sz w:val="20"/>
                      <w:szCs w:val="24"/>
                    </w:rPr>
                    <w:t>$</w:t>
                  </w:r>
                </w:p>
              </w:tc>
              <w:tc>
                <w:tcPr>
                  <w:tcW w:w="3472" w:type="pct"/>
                  <w:tcBorders>
                    <w:top w:val="single" w:sz="4" w:space="0" w:color="auto"/>
                    <w:left w:val="single" w:sz="4" w:space="0" w:color="auto"/>
                    <w:bottom w:val="single" w:sz="4" w:space="0" w:color="auto"/>
                    <w:right w:val="single" w:sz="4" w:space="0" w:color="auto"/>
                  </w:tcBorders>
                  <w:hideMark/>
                </w:tcPr>
                <w:p w14:paraId="5852B8F3" w14:textId="77777777" w:rsidR="008B7FF7" w:rsidRPr="008B7FF7" w:rsidRDefault="008B7FF7" w:rsidP="008B7FF7">
                  <w:pPr>
                    <w:spacing w:after="60"/>
                    <w:rPr>
                      <w:iCs/>
                      <w:sz w:val="20"/>
                      <w:szCs w:val="24"/>
                    </w:rPr>
                  </w:pPr>
                  <w:r w:rsidRPr="008B7FF7">
                    <w:rPr>
                      <w:i/>
                      <w:iCs/>
                      <w:sz w:val="20"/>
                      <w:szCs w:val="24"/>
                    </w:rPr>
                    <w:t xml:space="preserve">Total Operating Losses Payment Amount per QSE – </w:t>
                  </w:r>
                  <w:r w:rsidRPr="008B7FF7">
                    <w:rPr>
                      <w:iCs/>
                      <w:sz w:val="20"/>
                      <w:szCs w:val="24"/>
                    </w:rPr>
                    <w:t xml:space="preserve">The total operating losses payment to the QSE </w:t>
                  </w:r>
                  <w:r w:rsidRPr="008B7FF7">
                    <w:rPr>
                      <w:i/>
                      <w:iCs/>
                      <w:sz w:val="20"/>
                      <w:szCs w:val="24"/>
                    </w:rPr>
                    <w:t>q</w:t>
                  </w:r>
                  <w:r w:rsidRPr="008B7FF7">
                    <w:rPr>
                      <w:iCs/>
                      <w:sz w:val="20"/>
                      <w:szCs w:val="24"/>
                    </w:rPr>
                    <w:t xml:space="preserve">, for all Resources, for the 15-minute Settlement Interval </w:t>
                  </w:r>
                  <w:r w:rsidRPr="008B7FF7">
                    <w:rPr>
                      <w:i/>
                      <w:sz w:val="20"/>
                      <w:szCs w:val="24"/>
                    </w:rPr>
                    <w:t xml:space="preserve">i </w:t>
                  </w:r>
                  <w:r w:rsidRPr="008B7FF7">
                    <w:rPr>
                      <w:sz w:val="20"/>
                      <w:szCs w:val="24"/>
                    </w:rPr>
                    <w:t>within the Operating Day</w:t>
                  </w:r>
                  <w:r w:rsidRPr="008B7FF7">
                    <w:rPr>
                      <w:szCs w:val="24"/>
                    </w:rPr>
                    <w:t>.</w:t>
                  </w:r>
                  <w:r w:rsidRPr="008B7FF7">
                    <w:rPr>
                      <w:iCs/>
                      <w:sz w:val="20"/>
                      <w:szCs w:val="24"/>
                    </w:rPr>
                    <w:t xml:space="preserve"> </w:t>
                  </w:r>
                  <w:r w:rsidRPr="008B7FF7">
                    <w:rPr>
                      <w:iCs/>
                      <w:sz w:val="20"/>
                    </w:rPr>
                    <w:t xml:space="preserve"> </w:t>
                  </w:r>
                </w:p>
              </w:tc>
            </w:tr>
            <w:tr w:rsidR="008B7FF7" w:rsidRPr="008B7FF7" w14:paraId="6BBF9A3F"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020CB7B7" w14:textId="77777777" w:rsidR="008B7FF7" w:rsidRPr="008B7FF7" w:rsidRDefault="008B7FF7" w:rsidP="008B7FF7">
                  <w:pPr>
                    <w:spacing w:after="60"/>
                    <w:rPr>
                      <w:iCs/>
                      <w:sz w:val="20"/>
                    </w:rPr>
                  </w:pPr>
                  <w:r w:rsidRPr="008B7FF7">
                    <w:rPr>
                      <w:iCs/>
                      <w:sz w:val="20"/>
                    </w:rPr>
                    <w:t xml:space="preserve">OPLPAMTTOT </w:t>
                  </w:r>
                  <w:r w:rsidRPr="008B7FF7">
                    <w:rPr>
                      <w:i/>
                      <w:iCs/>
                      <w:sz w:val="20"/>
                      <w:vertAlign w:val="subscript"/>
                    </w:rPr>
                    <w:t>i</w:t>
                  </w:r>
                </w:p>
              </w:tc>
              <w:tc>
                <w:tcPr>
                  <w:tcW w:w="335" w:type="pct"/>
                  <w:tcBorders>
                    <w:top w:val="single" w:sz="6" w:space="0" w:color="auto"/>
                    <w:left w:val="single" w:sz="6" w:space="0" w:color="auto"/>
                    <w:bottom w:val="single" w:sz="6" w:space="0" w:color="auto"/>
                    <w:right w:val="single" w:sz="6" w:space="0" w:color="auto"/>
                  </w:tcBorders>
                  <w:hideMark/>
                </w:tcPr>
                <w:p w14:paraId="3CF0A958"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779D61D8" w14:textId="77777777" w:rsidR="008B7FF7" w:rsidRPr="008B7FF7" w:rsidRDefault="008B7FF7" w:rsidP="008B7FF7">
                  <w:pPr>
                    <w:spacing w:after="60"/>
                    <w:rPr>
                      <w:iCs/>
                      <w:sz w:val="20"/>
                    </w:rPr>
                  </w:pPr>
                  <w:r w:rsidRPr="008B7FF7">
                    <w:rPr>
                      <w:i/>
                      <w:sz w:val="20"/>
                    </w:rPr>
                    <w:t xml:space="preserve">Total Operating Losses Payment Amount – </w:t>
                  </w:r>
                  <w:r w:rsidRPr="008B7FF7">
                    <w:rPr>
                      <w:iCs/>
                      <w:sz w:val="20"/>
                    </w:rPr>
                    <w:t>The sum of Operating Losses Payments to all QSEs, for the 15-minute Settlement Interval</w:t>
                  </w:r>
                  <w:r w:rsidRPr="008B7FF7">
                    <w:rPr>
                      <w:i/>
                      <w:iCs/>
                      <w:sz w:val="20"/>
                    </w:rPr>
                    <w:t xml:space="preserve"> i</w:t>
                  </w:r>
                  <w:r w:rsidRPr="008B7FF7">
                    <w:rPr>
                      <w:iCs/>
                      <w:sz w:val="20"/>
                    </w:rPr>
                    <w:t>.</w:t>
                  </w:r>
                </w:p>
              </w:tc>
            </w:tr>
            <w:tr w:rsidR="008B7FF7" w:rsidRPr="008B7FF7" w14:paraId="43AC709B"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5C856171" w14:textId="77777777" w:rsidR="008B7FF7" w:rsidRPr="008B7FF7" w:rsidRDefault="008B7FF7" w:rsidP="008B7FF7">
                  <w:pPr>
                    <w:spacing w:after="60"/>
                    <w:rPr>
                      <w:iCs/>
                      <w:sz w:val="20"/>
                    </w:rPr>
                  </w:pPr>
                  <w:r w:rsidRPr="008B7FF7">
                    <w:rPr>
                      <w:iCs/>
                      <w:sz w:val="20"/>
                    </w:rPr>
                    <w:t xml:space="preserve">LRS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03F80359"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5CA511E5" w14:textId="77777777" w:rsidR="008B7FF7" w:rsidRPr="008B7FF7" w:rsidRDefault="008B7FF7" w:rsidP="008B7FF7">
                  <w:pPr>
                    <w:spacing w:after="60"/>
                    <w:rPr>
                      <w:i/>
                      <w:iCs/>
                      <w:sz w:val="20"/>
                    </w:rPr>
                  </w:pPr>
                  <w:r w:rsidRPr="008B7FF7">
                    <w:rPr>
                      <w:i/>
                      <w:iCs/>
                      <w:sz w:val="20"/>
                    </w:rPr>
                    <w:t>Load Ratio Share</w:t>
                  </w:r>
                  <w:r w:rsidRPr="008B7FF7">
                    <w:rPr>
                      <w:iCs/>
                      <w:sz w:val="20"/>
                    </w:rPr>
                    <w:t xml:space="preserve"> </w:t>
                  </w:r>
                  <w:r w:rsidRPr="008B7FF7">
                    <w:rPr>
                      <w:i/>
                      <w:sz w:val="20"/>
                    </w:rPr>
                    <w:t xml:space="preserve">– </w:t>
                  </w:r>
                  <w:r w:rsidRPr="008B7FF7">
                    <w:rPr>
                      <w:iCs/>
                      <w:sz w:val="20"/>
                    </w:rPr>
                    <w:t>The ratio of Adjusted Metered Load to the total ERCOT Adjusted Metered Load for the 15-minute Settlement Interval.  See Section 6.6.2, Load Ratio Share, item (2).</w:t>
                  </w:r>
                </w:p>
              </w:tc>
            </w:tr>
            <w:tr w:rsidR="008B7FF7" w:rsidRPr="008B7FF7" w14:paraId="7A875642"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4968D229" w14:textId="77777777" w:rsidR="008B7FF7" w:rsidRPr="008B7FF7" w:rsidRDefault="008B7FF7" w:rsidP="008B7FF7">
                  <w:pPr>
                    <w:spacing w:after="60"/>
                    <w:rPr>
                      <w:i/>
                      <w:iCs/>
                      <w:sz w:val="20"/>
                    </w:rPr>
                  </w:pPr>
                  <w:r w:rsidRPr="008B7FF7">
                    <w:rPr>
                      <w:i/>
                      <w:iCs/>
                      <w:sz w:val="20"/>
                    </w:rPr>
                    <w:t>i</w:t>
                  </w:r>
                </w:p>
              </w:tc>
              <w:tc>
                <w:tcPr>
                  <w:tcW w:w="335" w:type="pct"/>
                  <w:tcBorders>
                    <w:top w:val="single" w:sz="6" w:space="0" w:color="auto"/>
                    <w:left w:val="single" w:sz="6" w:space="0" w:color="auto"/>
                    <w:bottom w:val="single" w:sz="6" w:space="0" w:color="auto"/>
                    <w:right w:val="single" w:sz="6" w:space="0" w:color="auto"/>
                  </w:tcBorders>
                  <w:hideMark/>
                </w:tcPr>
                <w:p w14:paraId="55533F4B"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5AFF643" w14:textId="77777777" w:rsidR="008B7FF7" w:rsidRPr="008B7FF7" w:rsidRDefault="008B7FF7" w:rsidP="008B7FF7">
                  <w:pPr>
                    <w:spacing w:after="60"/>
                    <w:rPr>
                      <w:iCs/>
                      <w:sz w:val="20"/>
                    </w:rPr>
                  </w:pPr>
                  <w:r w:rsidRPr="008B7FF7">
                    <w:rPr>
                      <w:iCs/>
                      <w:sz w:val="20"/>
                    </w:rPr>
                    <w:t>A 15-minute Settlement Interval.</w:t>
                  </w:r>
                </w:p>
              </w:tc>
            </w:tr>
            <w:tr w:rsidR="008B7FF7" w:rsidRPr="008B7FF7" w14:paraId="2316093D"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5050DCD" w14:textId="77777777" w:rsidR="008B7FF7" w:rsidRPr="008B7FF7" w:rsidRDefault="008B7FF7" w:rsidP="008B7FF7">
                  <w:pPr>
                    <w:spacing w:after="60"/>
                    <w:rPr>
                      <w:i/>
                      <w:iCs/>
                      <w:sz w:val="20"/>
                    </w:rPr>
                  </w:pPr>
                  <w:r w:rsidRPr="008B7FF7">
                    <w:rPr>
                      <w:i/>
                      <w:iCs/>
                      <w:sz w:val="20"/>
                    </w:rPr>
                    <w:lastRenderedPageBreak/>
                    <w:t>q</w:t>
                  </w:r>
                </w:p>
              </w:tc>
              <w:tc>
                <w:tcPr>
                  <w:tcW w:w="335" w:type="pct"/>
                  <w:tcBorders>
                    <w:top w:val="single" w:sz="6" w:space="0" w:color="auto"/>
                    <w:left w:val="single" w:sz="6" w:space="0" w:color="auto"/>
                    <w:bottom w:val="single" w:sz="6" w:space="0" w:color="auto"/>
                    <w:right w:val="single" w:sz="6" w:space="0" w:color="auto"/>
                  </w:tcBorders>
                  <w:hideMark/>
                </w:tcPr>
                <w:p w14:paraId="1DEF33A3"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C9CB699" w14:textId="77777777" w:rsidR="008B7FF7" w:rsidRPr="008B7FF7" w:rsidRDefault="008B7FF7" w:rsidP="008B7FF7">
                  <w:pPr>
                    <w:spacing w:after="60"/>
                    <w:rPr>
                      <w:iCs/>
                      <w:sz w:val="20"/>
                    </w:rPr>
                  </w:pPr>
                  <w:r w:rsidRPr="008B7FF7">
                    <w:rPr>
                      <w:iCs/>
                      <w:sz w:val="20"/>
                    </w:rPr>
                    <w:t>A QSE.</w:t>
                  </w:r>
                </w:p>
              </w:tc>
            </w:tr>
          </w:tbl>
          <w:p w14:paraId="2154EB87" w14:textId="5A7ABD74" w:rsidR="008B7FF7" w:rsidRPr="00A4149C" w:rsidRDefault="008B7FF7" w:rsidP="00B327B6">
            <w:pPr>
              <w:pStyle w:val="Instructions"/>
              <w:spacing w:before="120"/>
            </w:pPr>
          </w:p>
        </w:tc>
      </w:tr>
    </w:tbl>
    <w:p w14:paraId="27F5A638" w14:textId="77777777" w:rsidR="00162CAA" w:rsidRPr="00162CAA" w:rsidRDefault="00162CAA" w:rsidP="00162CAA">
      <w:pPr>
        <w:keepNext/>
        <w:tabs>
          <w:tab w:val="left" w:pos="1080"/>
        </w:tabs>
        <w:spacing w:before="480" w:after="240"/>
        <w:ind w:left="1080" w:hanging="1080"/>
        <w:outlineLvl w:val="2"/>
        <w:rPr>
          <w:b/>
          <w:bCs/>
          <w:i/>
        </w:rPr>
      </w:pPr>
      <w:bookmarkStart w:id="2880" w:name="_Toc189044515"/>
      <w:r w:rsidRPr="00162CAA">
        <w:rPr>
          <w:b/>
          <w:bCs/>
          <w:i/>
        </w:rPr>
        <w:lastRenderedPageBreak/>
        <w:t>6.8.4    Miscellaneous Invoice for Payments and Charges for an LCAP Effective Period</w:t>
      </w:r>
      <w:bookmarkEnd w:id="2880"/>
      <w:r w:rsidRPr="00162CAA">
        <w:rPr>
          <w:b/>
          <w:bCs/>
          <w:i/>
        </w:rPr>
        <w:t xml:space="preserve">  </w:t>
      </w:r>
    </w:p>
    <w:p w14:paraId="15F674F5" w14:textId="77777777" w:rsidR="00162CAA" w:rsidRPr="00162CAA" w:rsidRDefault="00162CAA" w:rsidP="00162CAA">
      <w:pPr>
        <w:spacing w:after="240"/>
        <w:ind w:left="720" w:hanging="720"/>
        <w:rPr>
          <w:bCs/>
          <w:iCs/>
          <w:szCs w:val="24"/>
        </w:rPr>
      </w:pPr>
      <w:r w:rsidRPr="00162CAA">
        <w:rPr>
          <w:bCs/>
          <w:iCs/>
          <w:szCs w:val="24"/>
        </w:rPr>
        <w:t>(1)</w:t>
      </w:r>
      <w:r w:rsidRPr="00162CAA">
        <w:rPr>
          <w:bCs/>
          <w:iCs/>
          <w:szCs w:val="24"/>
        </w:rPr>
        <w:tab/>
        <w:t>ERCOT shall issue one-time miscellaneous Invoices using the most recent available Settlement data at the time the Invoices were issued.</w:t>
      </w:r>
    </w:p>
    <w:p w14:paraId="2AF1A0D7" w14:textId="77777777" w:rsidR="00162CAA" w:rsidRPr="00162CAA" w:rsidRDefault="00162CAA" w:rsidP="00162CAA">
      <w:pPr>
        <w:spacing w:after="240"/>
        <w:ind w:left="720" w:hanging="720"/>
        <w:rPr>
          <w:bCs/>
          <w:szCs w:val="24"/>
        </w:rPr>
      </w:pPr>
      <w:r w:rsidRPr="00162CAA">
        <w:rPr>
          <w:bCs/>
          <w:iCs/>
          <w:szCs w:val="24"/>
        </w:rPr>
        <w:t>(2)</w:t>
      </w:r>
      <w:r w:rsidRPr="00162CAA">
        <w:rPr>
          <w:bCs/>
          <w:iCs/>
          <w:szCs w:val="24"/>
        </w:rPr>
        <w:tab/>
        <w:t xml:space="preserve">ERCOT shall issue miscellaneous Invoices to </w:t>
      </w:r>
      <w:r w:rsidRPr="00162CAA">
        <w:rPr>
          <w:szCs w:val="24"/>
        </w:rPr>
        <w:t>QSEs</w:t>
      </w:r>
      <w:r w:rsidRPr="00162CAA">
        <w:rPr>
          <w:bCs/>
          <w:iCs/>
          <w:szCs w:val="24"/>
        </w:rPr>
        <w:t xml:space="preserve"> for payment of operating losses during an LCAP Effective Period,</w:t>
      </w:r>
      <w:r w:rsidRPr="00162CAA">
        <w:rPr>
          <w:bCs/>
          <w:szCs w:val="24"/>
        </w:rPr>
        <w:t xml:space="preserve"> as described in Section 6.8.2, Recovery of Operating Losses During an LCAP Effective Period.  </w:t>
      </w:r>
    </w:p>
    <w:p w14:paraId="12B416AC" w14:textId="77777777" w:rsidR="00162CAA" w:rsidRPr="00162CAA" w:rsidRDefault="00162CAA" w:rsidP="00162CAA">
      <w:pPr>
        <w:spacing w:after="240"/>
        <w:ind w:left="720" w:hanging="720"/>
        <w:rPr>
          <w:bCs/>
          <w:iCs/>
          <w:szCs w:val="24"/>
        </w:rPr>
      </w:pPr>
      <w:r w:rsidRPr="00162CAA">
        <w:rPr>
          <w:bCs/>
          <w:iCs/>
          <w:szCs w:val="24"/>
        </w:rPr>
        <w:t>(3)</w:t>
      </w:r>
      <w:r w:rsidRPr="00162CAA">
        <w:rPr>
          <w:bCs/>
          <w:iCs/>
          <w:szCs w:val="24"/>
        </w:rPr>
        <w:tab/>
        <w:t xml:space="preserve">ERCOT shall issue miscellaneous Invoices and allocate costs to the impacted QSEs as described in Section 6.8.3, Charges for Operating Losses During an LCAP Effective Period. </w:t>
      </w:r>
    </w:p>
    <w:p w14:paraId="21D691AA" w14:textId="77777777" w:rsidR="00162CAA" w:rsidRPr="00162CAA" w:rsidRDefault="00162CAA" w:rsidP="00162CAA">
      <w:pPr>
        <w:spacing w:after="240"/>
        <w:ind w:left="720" w:hanging="720"/>
        <w:rPr>
          <w:szCs w:val="24"/>
        </w:rPr>
      </w:pPr>
      <w:r w:rsidRPr="00162CAA">
        <w:rPr>
          <w:szCs w:val="24"/>
        </w:rPr>
        <w:t>(4)</w:t>
      </w:r>
      <w:r w:rsidRPr="00162CAA">
        <w:rPr>
          <w:szCs w:val="24"/>
        </w:rPr>
        <w:tab/>
        <w:t xml:space="preserve">ERCOT </w:t>
      </w:r>
      <w:r w:rsidRPr="00162CAA">
        <w:rPr>
          <w:bCs/>
          <w:szCs w:val="24"/>
        </w:rPr>
        <w:t>shall</w:t>
      </w:r>
      <w:r w:rsidRPr="00162CAA">
        <w:rPr>
          <w:szCs w:val="24"/>
        </w:rPr>
        <w:t xml:space="preserve"> issue a Market Notice in conjunction with the issuance of miscellaneous Invoices for payments or charges for an LCAP Effective Period.</w:t>
      </w:r>
      <w:bookmarkEnd w:id="2878"/>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1E8AC1CD" w14:textId="77777777" w:rsidTr="00B327B6">
        <w:trPr>
          <w:trHeight w:val="206"/>
        </w:trPr>
        <w:tc>
          <w:tcPr>
            <w:tcW w:w="5000" w:type="pct"/>
            <w:shd w:val="pct12" w:color="auto" w:fill="auto"/>
          </w:tcPr>
          <w:p w14:paraId="3746EA3E" w14:textId="1C6A376A" w:rsidR="008B7FF7" w:rsidRDefault="008B7FF7" w:rsidP="00B327B6">
            <w:pPr>
              <w:pStyle w:val="Instructions"/>
              <w:spacing w:before="120"/>
            </w:pPr>
            <w:r>
              <w:t>[NPRR1216:  Replace Section 6.8.4 above with the following upon system implementation:]</w:t>
            </w:r>
          </w:p>
          <w:p w14:paraId="4EA44CC7" w14:textId="77777777" w:rsidR="008B7FF7" w:rsidRPr="00CF7EAF" w:rsidRDefault="008B7FF7" w:rsidP="008B7FF7">
            <w:pPr>
              <w:keepNext/>
              <w:tabs>
                <w:tab w:val="left" w:pos="1080"/>
              </w:tabs>
              <w:spacing w:before="240" w:after="240"/>
              <w:ind w:left="720" w:hanging="720"/>
              <w:outlineLvl w:val="2"/>
              <w:rPr>
                <w:b/>
                <w:bCs/>
                <w:i/>
              </w:rPr>
            </w:pPr>
            <w:bookmarkStart w:id="2881" w:name="_Toc189044516"/>
            <w:r w:rsidRPr="00CF7EAF">
              <w:rPr>
                <w:b/>
                <w:bCs/>
                <w:i/>
              </w:rPr>
              <w:t>6.8.4    Miscellaneous Invoice for Payments and Charges for an LCAP or ECAP Effective Period</w:t>
            </w:r>
            <w:bookmarkEnd w:id="2881"/>
            <w:r w:rsidRPr="00CF7EAF">
              <w:rPr>
                <w:b/>
                <w:bCs/>
                <w:i/>
              </w:rPr>
              <w:t xml:space="preserve">  </w:t>
            </w:r>
          </w:p>
          <w:p w14:paraId="10224D4E" w14:textId="77777777" w:rsidR="008B7FF7" w:rsidRPr="00CF7EAF" w:rsidRDefault="008B7FF7" w:rsidP="008B7FF7">
            <w:pPr>
              <w:spacing w:after="240"/>
              <w:ind w:left="720" w:hanging="720"/>
              <w:rPr>
                <w:bCs/>
                <w:iCs/>
              </w:rPr>
            </w:pPr>
            <w:r w:rsidRPr="00CF7EAF">
              <w:rPr>
                <w:bCs/>
                <w:iCs/>
              </w:rPr>
              <w:t>(1)</w:t>
            </w:r>
            <w:r w:rsidRPr="00CF7EAF">
              <w:rPr>
                <w:bCs/>
                <w:iCs/>
              </w:rPr>
              <w:tab/>
              <w:t>ERCOT shall issue one-time miscellaneous Invoices using the most recent available Settlement data at the time the Invoices were issued.</w:t>
            </w:r>
          </w:p>
          <w:p w14:paraId="0EFC691A" w14:textId="77777777" w:rsidR="008B7FF7" w:rsidRPr="00CF7EAF" w:rsidRDefault="008B7FF7" w:rsidP="008B7FF7">
            <w:pPr>
              <w:spacing w:after="240"/>
              <w:ind w:left="720" w:hanging="720"/>
              <w:rPr>
                <w:bCs/>
              </w:rPr>
            </w:pPr>
            <w:r w:rsidRPr="00CF7EAF">
              <w:rPr>
                <w:bCs/>
                <w:iCs/>
              </w:rPr>
              <w:t>(2)</w:t>
            </w:r>
            <w:r w:rsidRPr="00CF7EAF">
              <w:rPr>
                <w:bCs/>
                <w:iCs/>
              </w:rPr>
              <w:tab/>
              <w:t xml:space="preserve">ERCOT shall issue miscellaneous Invoices to </w:t>
            </w:r>
            <w:r w:rsidRPr="00CF7EAF">
              <w:t>QSEs</w:t>
            </w:r>
            <w:r w:rsidRPr="00CF7EAF">
              <w:rPr>
                <w:bCs/>
                <w:iCs/>
              </w:rPr>
              <w:t xml:space="preserve"> for payment of operating losses during an LCAP or ECAP Effective Period,</w:t>
            </w:r>
            <w:r w:rsidRPr="00CF7EAF">
              <w:rPr>
                <w:bCs/>
              </w:rPr>
              <w:t xml:space="preserve"> as described in Section 6.8.2, Recovery of Operating Losses During an LCAP or ECAP Effective Period.  </w:t>
            </w:r>
          </w:p>
          <w:p w14:paraId="0458D407" w14:textId="77777777" w:rsidR="008B7FF7" w:rsidRPr="00CF7EAF" w:rsidRDefault="008B7FF7" w:rsidP="008B7FF7">
            <w:pPr>
              <w:spacing w:after="240"/>
              <w:ind w:left="720" w:hanging="720"/>
              <w:rPr>
                <w:bCs/>
                <w:iCs/>
              </w:rPr>
            </w:pPr>
            <w:r w:rsidRPr="00CF7EAF">
              <w:rPr>
                <w:bCs/>
                <w:iCs/>
              </w:rPr>
              <w:t>(3)</w:t>
            </w:r>
            <w:r w:rsidRPr="00CF7EAF">
              <w:rPr>
                <w:bCs/>
                <w:iCs/>
              </w:rPr>
              <w:tab/>
              <w:t xml:space="preserve">ERCOT shall issue miscellaneous Invoices and allocate costs to the impacted QSEs as described in Section 6.8.3, Charges for Operating Losses During an LCAP or ECAP Effective Period. </w:t>
            </w:r>
          </w:p>
          <w:p w14:paraId="0CC28C3D" w14:textId="320AB767" w:rsidR="008B7FF7" w:rsidRPr="00A4149C" w:rsidRDefault="008B7FF7" w:rsidP="008B7FF7">
            <w:pPr>
              <w:spacing w:after="240"/>
              <w:ind w:left="720" w:hanging="720"/>
            </w:pPr>
            <w:r w:rsidRPr="00CF7EAF">
              <w:t>(4)</w:t>
            </w:r>
            <w:r w:rsidRPr="00CF7EAF">
              <w:tab/>
              <w:t xml:space="preserve">ERCOT </w:t>
            </w:r>
            <w:r w:rsidRPr="00CF7EAF">
              <w:rPr>
                <w:bCs/>
              </w:rPr>
              <w:t>shall</w:t>
            </w:r>
            <w:r w:rsidRPr="00CF7EAF">
              <w:t xml:space="preserve"> issue a Market Notice in conjunction with the issuance of miscellaneous Invoices for payments or charges for an LCAP or ECAP Effective Period.</w:t>
            </w:r>
          </w:p>
        </w:tc>
      </w:tr>
    </w:tbl>
    <w:p w14:paraId="5284BC3F"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rsidRPr="00CF7EAF" w14:paraId="21E20A93" w14:textId="77777777" w:rsidTr="008B7FF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62F3110D" w14:textId="7EEDC6FE" w:rsidR="008B7FF7" w:rsidRPr="008B7FF7" w:rsidRDefault="008B7FF7" w:rsidP="008B7FF7">
            <w:pPr>
              <w:pStyle w:val="Instructions"/>
            </w:pPr>
            <w:r w:rsidRPr="00CF7EAF">
              <w:t xml:space="preserve">[NPRR1216:  Delete Section 6.8.4 above upon </w:t>
            </w:r>
            <w:r>
              <w:t xml:space="preserve">Phase 2 </w:t>
            </w:r>
            <w:r w:rsidRPr="00CF7EAF">
              <w:t>system implementation.]</w:t>
            </w:r>
          </w:p>
        </w:tc>
      </w:tr>
    </w:tbl>
    <w:p w14:paraId="5A66784B" w14:textId="77777777" w:rsidR="000E1BF8" w:rsidRPr="000E1BF8" w:rsidRDefault="000E1BF8" w:rsidP="000E1BF8">
      <w:pPr>
        <w:pStyle w:val="BodyText"/>
      </w:pPr>
    </w:p>
    <w:sectPr w:rsidR="000E1BF8" w:rsidRPr="000E1BF8" w:rsidSect="00163B6D">
      <w:headerReference w:type="even" r:id="rId570"/>
      <w:headerReference w:type="default" r:id="rId571"/>
      <w:footerReference w:type="default" r:id="rId572"/>
      <w:pgSz w:w="12240" w:h="15840" w:code="1"/>
      <w:pgMar w:top="1440" w:right="1440" w:bottom="1440" w:left="1440"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580DD" w14:textId="77777777" w:rsidR="00847E53" w:rsidRDefault="00847E53">
      <w:r>
        <w:separator/>
      </w:r>
    </w:p>
  </w:endnote>
  <w:endnote w:type="continuationSeparator" w:id="0">
    <w:p w14:paraId="0A150CC8" w14:textId="77777777" w:rsidR="00847E53" w:rsidRDefault="0084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EB107" w14:textId="77777777" w:rsidR="00847E53" w:rsidRDefault="0084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62BA06B9" w14:textId="77777777" w:rsidR="00847E53" w:rsidRDefault="00847E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5B7FC" w14:textId="77777777" w:rsidR="00847E53" w:rsidRDefault="00847E53">
    <w:pPr>
      <w:pStyle w:val="Footer"/>
      <w:pBdr>
        <w:top w:val="none" w:sz="0" w:space="0" w:color="auto"/>
      </w:pBdr>
      <w:jc w:val="center"/>
    </w:pPr>
    <w: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5E6A" w14:textId="567D1ECE" w:rsidR="00847E53" w:rsidRDefault="00847E53">
    <w:pPr>
      <w:pStyle w:val="Footer"/>
      <w:spacing w:before="0" w:after="0"/>
    </w:pPr>
    <w:r>
      <w:t xml:space="preserve">ERCOT Nodal Protocols – </w:t>
    </w:r>
    <w:r w:rsidR="00AD58D8">
      <w:t xml:space="preserve">April </w:t>
    </w:r>
    <w:r w:rsidR="00072829">
      <w:t>1</w:t>
    </w:r>
    <w:r>
      <w:t>, 202</w:t>
    </w:r>
    <w:r w:rsidR="0070447C">
      <w:t>5</w:t>
    </w:r>
  </w:p>
  <w:p w14:paraId="0D9EECB1" w14:textId="77777777" w:rsidR="00847E53" w:rsidRDefault="00847E53">
    <w:pPr>
      <w:pStyle w:val="Footer"/>
      <w:spacing w:before="0" w:after="0"/>
      <w:jc w:val="center"/>
    </w:pPr>
    <w: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0840" w14:textId="076A783B" w:rsidR="00847E53" w:rsidRDefault="00847E53">
    <w:pPr>
      <w:pStyle w:val="Footer"/>
      <w:spacing w:before="0" w:after="0"/>
    </w:pPr>
    <w:r>
      <w:t xml:space="preserve">ERCOT Nodal Protocols – </w:t>
    </w:r>
    <w:r w:rsidR="00AD58D8">
      <w:t xml:space="preserve">April </w:t>
    </w:r>
    <w:r w:rsidR="00072829">
      <w:t>1</w:t>
    </w:r>
    <w:r>
      <w:t>, 202</w:t>
    </w:r>
    <w:r w:rsidR="0070447C">
      <w:t>5</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6-113</w:t>
    </w:r>
    <w:r>
      <w:rPr>
        <w:rStyle w:val="PageNumber"/>
      </w:rPr>
      <w:fldChar w:fldCharType="end"/>
    </w:r>
  </w:p>
  <w:p w14:paraId="63C56D18" w14:textId="77777777" w:rsidR="00847E53" w:rsidRDefault="00847E53">
    <w:pPr>
      <w:pStyle w:val="Footer"/>
      <w:spacing w:before="0" w:after="0"/>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E2E77" w14:textId="77777777" w:rsidR="00847E53" w:rsidRDefault="00847E53">
      <w:r>
        <w:separator/>
      </w:r>
    </w:p>
  </w:footnote>
  <w:footnote w:type="continuationSeparator" w:id="0">
    <w:p w14:paraId="7C8B3518" w14:textId="77777777" w:rsidR="00847E53" w:rsidRDefault="00847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59C0" w14:textId="77777777" w:rsidR="00847E53" w:rsidRDefault="00847E5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47CA" w14:textId="77777777" w:rsidR="00847E53" w:rsidRDefault="00847E53">
    <w:pPr>
      <w:pStyle w:val="Header"/>
    </w:pPr>
    <w:r>
      <w:t>Section 6:  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0EAA" w14:textId="77777777" w:rsidR="00847E53" w:rsidRDefault="00847E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0148" w14:textId="77777777" w:rsidR="00847E53" w:rsidRDefault="00847E53">
    <w:pPr>
      <w:pStyle w:val="Header"/>
    </w:pPr>
    <w:r>
      <w:t>Section 6:  Adjustment Period and Real-Time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7A2F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6062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CA1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46A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66F5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4A2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1A1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344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EAA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E32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3E27D5"/>
    <w:multiLevelType w:val="hybridMultilevel"/>
    <w:tmpl w:val="A0FC7628"/>
    <w:lvl w:ilvl="0" w:tplc="6714F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43489124"/>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A24688"/>
    <w:multiLevelType w:val="hybridMultilevel"/>
    <w:tmpl w:val="25C0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522E52"/>
    <w:multiLevelType w:val="hybridMultilevel"/>
    <w:tmpl w:val="AD08915E"/>
    <w:lvl w:ilvl="0" w:tplc="B6428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F87D58"/>
    <w:multiLevelType w:val="hybridMultilevel"/>
    <w:tmpl w:val="F39062F8"/>
    <w:lvl w:ilvl="0" w:tplc="FFFFFFFF">
      <w:start w:val="1"/>
      <w:numFmt w:val="bullet"/>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5"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9"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66510064"/>
    <w:multiLevelType w:val="multilevel"/>
    <w:tmpl w:val="C3CC0A34"/>
    <w:lvl w:ilvl="0">
      <w:start w:val="6"/>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ACC4596"/>
    <w:multiLevelType w:val="hybridMultilevel"/>
    <w:tmpl w:val="3D0A2E26"/>
    <w:lvl w:ilvl="0" w:tplc="412A4CD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16cid:durableId="588394967">
    <w:abstractNumId w:val="30"/>
  </w:num>
  <w:num w:numId="2" w16cid:durableId="1523787623">
    <w:abstractNumId w:val="18"/>
  </w:num>
  <w:num w:numId="3" w16cid:durableId="642658412">
    <w:abstractNumId w:val="17"/>
  </w:num>
  <w:num w:numId="4" w16cid:durableId="1318267891">
    <w:abstractNumId w:val="26"/>
  </w:num>
  <w:num w:numId="5" w16cid:durableId="303512108">
    <w:abstractNumId w:val="12"/>
  </w:num>
  <w:num w:numId="6" w16cid:durableId="486629358">
    <w:abstractNumId w:val="15"/>
  </w:num>
  <w:num w:numId="7" w16cid:durableId="1663117771">
    <w:abstractNumId w:val="9"/>
  </w:num>
  <w:num w:numId="8" w16cid:durableId="92286252">
    <w:abstractNumId w:val="7"/>
  </w:num>
  <w:num w:numId="9" w16cid:durableId="1175457146">
    <w:abstractNumId w:val="6"/>
  </w:num>
  <w:num w:numId="10" w16cid:durableId="1618370192">
    <w:abstractNumId w:val="5"/>
  </w:num>
  <w:num w:numId="11" w16cid:durableId="972828304">
    <w:abstractNumId w:val="4"/>
  </w:num>
  <w:num w:numId="12" w16cid:durableId="1467358918">
    <w:abstractNumId w:val="8"/>
  </w:num>
  <w:num w:numId="13" w16cid:durableId="1920091159">
    <w:abstractNumId w:val="3"/>
  </w:num>
  <w:num w:numId="14" w16cid:durableId="1678536635">
    <w:abstractNumId w:val="2"/>
  </w:num>
  <w:num w:numId="15" w16cid:durableId="2018146079">
    <w:abstractNumId w:val="1"/>
  </w:num>
  <w:num w:numId="16" w16cid:durableId="1682321493">
    <w:abstractNumId w:val="0"/>
  </w:num>
  <w:num w:numId="17" w16cid:durableId="593170576">
    <w:abstractNumId w:val="35"/>
  </w:num>
  <w:num w:numId="18" w16cid:durableId="1082946959">
    <w:abstractNumId w:val="21"/>
  </w:num>
  <w:num w:numId="19" w16cid:durableId="656691241">
    <w:abstractNumId w:val="36"/>
  </w:num>
  <w:num w:numId="20" w16cid:durableId="208759907">
    <w:abstractNumId w:val="23"/>
  </w:num>
  <w:num w:numId="21" w16cid:durableId="10160742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9347319">
    <w:abstractNumId w:val="37"/>
  </w:num>
  <w:num w:numId="23" w16cid:durableId="1255866520">
    <w:abstractNumId w:val="11"/>
  </w:num>
  <w:num w:numId="24" w16cid:durableId="1221408044">
    <w:abstractNumId w:val="17"/>
  </w:num>
  <w:num w:numId="25" w16cid:durableId="1640651447">
    <w:abstractNumId w:val="18"/>
  </w:num>
  <w:num w:numId="26" w16cid:durableId="460271880">
    <w:abstractNumId w:val="19"/>
  </w:num>
  <w:num w:numId="27" w16cid:durableId="399790951">
    <w:abstractNumId w:val="25"/>
  </w:num>
  <w:num w:numId="28" w16cid:durableId="2070379207">
    <w:abstractNumId w:val="32"/>
  </w:num>
  <w:num w:numId="29" w16cid:durableId="403720512">
    <w:abstractNumId w:val="24"/>
  </w:num>
  <w:num w:numId="30" w16cid:durableId="813646416">
    <w:abstractNumId w:val="27"/>
  </w:num>
  <w:num w:numId="31" w16cid:durableId="211887938">
    <w:abstractNumId w:val="13"/>
  </w:num>
  <w:num w:numId="32" w16cid:durableId="525410908">
    <w:abstractNumId w:val="28"/>
  </w:num>
  <w:num w:numId="33" w16cid:durableId="1809593539">
    <w:abstractNumId w:val="10"/>
  </w:num>
  <w:num w:numId="34" w16cid:durableId="1265264300">
    <w:abstractNumId w:val="29"/>
  </w:num>
  <w:num w:numId="35" w16cid:durableId="210114154">
    <w:abstractNumId w:val="33"/>
  </w:num>
  <w:num w:numId="36" w16cid:durableId="143471110">
    <w:abstractNumId w:val="34"/>
  </w:num>
  <w:num w:numId="37" w16cid:durableId="1866793999">
    <w:abstractNumId w:val="22"/>
  </w:num>
  <w:num w:numId="38" w16cid:durableId="1996520035">
    <w:abstractNumId w:val="31"/>
  </w:num>
  <w:num w:numId="39" w16cid:durableId="948467893">
    <w:abstractNumId w:val="16"/>
  </w:num>
  <w:num w:numId="40" w16cid:durableId="2135127544">
    <w:abstractNumId w:val="14"/>
  </w:num>
  <w:num w:numId="41" w16cid:durableId="3396283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22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F9"/>
    <w:rsid w:val="0000090E"/>
    <w:rsid w:val="00001C85"/>
    <w:rsid w:val="00001F04"/>
    <w:rsid w:val="00002480"/>
    <w:rsid w:val="000026E4"/>
    <w:rsid w:val="000028CC"/>
    <w:rsid w:val="00002953"/>
    <w:rsid w:val="00002B0B"/>
    <w:rsid w:val="00002E40"/>
    <w:rsid w:val="00004439"/>
    <w:rsid w:val="000054C9"/>
    <w:rsid w:val="000055C2"/>
    <w:rsid w:val="00005EAE"/>
    <w:rsid w:val="00006A9F"/>
    <w:rsid w:val="000073DF"/>
    <w:rsid w:val="0000784E"/>
    <w:rsid w:val="00007CEC"/>
    <w:rsid w:val="000101A0"/>
    <w:rsid w:val="0001084D"/>
    <w:rsid w:val="00010E34"/>
    <w:rsid w:val="00011466"/>
    <w:rsid w:val="00011D3F"/>
    <w:rsid w:val="00012013"/>
    <w:rsid w:val="00012F03"/>
    <w:rsid w:val="00013237"/>
    <w:rsid w:val="0001484D"/>
    <w:rsid w:val="00015350"/>
    <w:rsid w:val="00015475"/>
    <w:rsid w:val="00015E6D"/>
    <w:rsid w:val="000169BA"/>
    <w:rsid w:val="00016A30"/>
    <w:rsid w:val="00017821"/>
    <w:rsid w:val="00017E10"/>
    <w:rsid w:val="00020052"/>
    <w:rsid w:val="00020654"/>
    <w:rsid w:val="00020E00"/>
    <w:rsid w:val="000229CF"/>
    <w:rsid w:val="00022B1F"/>
    <w:rsid w:val="00023971"/>
    <w:rsid w:val="00024571"/>
    <w:rsid w:val="00024DA7"/>
    <w:rsid w:val="00025D0B"/>
    <w:rsid w:val="000266C6"/>
    <w:rsid w:val="0002693D"/>
    <w:rsid w:val="00026B75"/>
    <w:rsid w:val="00026D8B"/>
    <w:rsid w:val="00030906"/>
    <w:rsid w:val="0003094A"/>
    <w:rsid w:val="00031AC3"/>
    <w:rsid w:val="000333B4"/>
    <w:rsid w:val="00035822"/>
    <w:rsid w:val="00036295"/>
    <w:rsid w:val="000363CB"/>
    <w:rsid w:val="00036739"/>
    <w:rsid w:val="000402E8"/>
    <w:rsid w:val="00041023"/>
    <w:rsid w:val="00041084"/>
    <w:rsid w:val="0004177A"/>
    <w:rsid w:val="0004184E"/>
    <w:rsid w:val="00042001"/>
    <w:rsid w:val="00043BF4"/>
    <w:rsid w:val="00043CF0"/>
    <w:rsid w:val="00043D95"/>
    <w:rsid w:val="00044161"/>
    <w:rsid w:val="000445FA"/>
    <w:rsid w:val="00045AB4"/>
    <w:rsid w:val="00045FBB"/>
    <w:rsid w:val="000468AC"/>
    <w:rsid w:val="00050246"/>
    <w:rsid w:val="0005057D"/>
    <w:rsid w:val="00050CAD"/>
    <w:rsid w:val="000520A3"/>
    <w:rsid w:val="00052561"/>
    <w:rsid w:val="000526E3"/>
    <w:rsid w:val="00052DE1"/>
    <w:rsid w:val="00052E36"/>
    <w:rsid w:val="0005352F"/>
    <w:rsid w:val="000545FA"/>
    <w:rsid w:val="00054A09"/>
    <w:rsid w:val="000554AB"/>
    <w:rsid w:val="00057024"/>
    <w:rsid w:val="000577FD"/>
    <w:rsid w:val="00057FF4"/>
    <w:rsid w:val="00060778"/>
    <w:rsid w:val="00060FF0"/>
    <w:rsid w:val="000619A3"/>
    <w:rsid w:val="000627E2"/>
    <w:rsid w:val="00062ED5"/>
    <w:rsid w:val="00062F25"/>
    <w:rsid w:val="00062F8C"/>
    <w:rsid w:val="0006334F"/>
    <w:rsid w:val="00064207"/>
    <w:rsid w:val="00064475"/>
    <w:rsid w:val="00065446"/>
    <w:rsid w:val="00065EC3"/>
    <w:rsid w:val="00070608"/>
    <w:rsid w:val="00071FE7"/>
    <w:rsid w:val="0007207E"/>
    <w:rsid w:val="00072829"/>
    <w:rsid w:val="00073351"/>
    <w:rsid w:val="00073F39"/>
    <w:rsid w:val="00073FC4"/>
    <w:rsid w:val="00074771"/>
    <w:rsid w:val="000747B5"/>
    <w:rsid w:val="00074FED"/>
    <w:rsid w:val="00075DEB"/>
    <w:rsid w:val="00075F06"/>
    <w:rsid w:val="00077376"/>
    <w:rsid w:val="00077764"/>
    <w:rsid w:val="000778B5"/>
    <w:rsid w:val="000778F6"/>
    <w:rsid w:val="00077C18"/>
    <w:rsid w:val="000800A9"/>
    <w:rsid w:val="000809F8"/>
    <w:rsid w:val="00082248"/>
    <w:rsid w:val="0008276E"/>
    <w:rsid w:val="00082984"/>
    <w:rsid w:val="0008391D"/>
    <w:rsid w:val="00083A07"/>
    <w:rsid w:val="00083DC3"/>
    <w:rsid w:val="00086327"/>
    <w:rsid w:val="00086EAB"/>
    <w:rsid w:val="000871CF"/>
    <w:rsid w:val="00087F34"/>
    <w:rsid w:val="00090907"/>
    <w:rsid w:val="00090A9F"/>
    <w:rsid w:val="00091181"/>
    <w:rsid w:val="0009153B"/>
    <w:rsid w:val="0009164A"/>
    <w:rsid w:val="00091795"/>
    <w:rsid w:val="00091864"/>
    <w:rsid w:val="000932C9"/>
    <w:rsid w:val="000935B3"/>
    <w:rsid w:val="00093CD6"/>
    <w:rsid w:val="000946E5"/>
    <w:rsid w:val="00094CCC"/>
    <w:rsid w:val="0009513E"/>
    <w:rsid w:val="00095A39"/>
    <w:rsid w:val="00096089"/>
    <w:rsid w:val="00096A8C"/>
    <w:rsid w:val="00096CDE"/>
    <w:rsid w:val="0009759D"/>
    <w:rsid w:val="00097790"/>
    <w:rsid w:val="00097886"/>
    <w:rsid w:val="000A0348"/>
    <w:rsid w:val="000A1457"/>
    <w:rsid w:val="000A1D62"/>
    <w:rsid w:val="000A1FB1"/>
    <w:rsid w:val="000A23D1"/>
    <w:rsid w:val="000A297B"/>
    <w:rsid w:val="000A2AC2"/>
    <w:rsid w:val="000A4787"/>
    <w:rsid w:val="000A52C2"/>
    <w:rsid w:val="000A64BE"/>
    <w:rsid w:val="000A6A84"/>
    <w:rsid w:val="000A71A7"/>
    <w:rsid w:val="000A71B4"/>
    <w:rsid w:val="000B094E"/>
    <w:rsid w:val="000B1D41"/>
    <w:rsid w:val="000B2AE1"/>
    <w:rsid w:val="000B2DD1"/>
    <w:rsid w:val="000B3F7E"/>
    <w:rsid w:val="000B4BD6"/>
    <w:rsid w:val="000B53D6"/>
    <w:rsid w:val="000B5736"/>
    <w:rsid w:val="000B6981"/>
    <w:rsid w:val="000B7373"/>
    <w:rsid w:val="000C0211"/>
    <w:rsid w:val="000C0366"/>
    <w:rsid w:val="000C0509"/>
    <w:rsid w:val="000C051B"/>
    <w:rsid w:val="000C1590"/>
    <w:rsid w:val="000C1E34"/>
    <w:rsid w:val="000C1EEE"/>
    <w:rsid w:val="000C2249"/>
    <w:rsid w:val="000C2966"/>
    <w:rsid w:val="000C2F8C"/>
    <w:rsid w:val="000C52C9"/>
    <w:rsid w:val="000C5652"/>
    <w:rsid w:val="000C668E"/>
    <w:rsid w:val="000C6FFF"/>
    <w:rsid w:val="000C710D"/>
    <w:rsid w:val="000C75ED"/>
    <w:rsid w:val="000C76D1"/>
    <w:rsid w:val="000D14FE"/>
    <w:rsid w:val="000D1A5D"/>
    <w:rsid w:val="000D1C0D"/>
    <w:rsid w:val="000D262D"/>
    <w:rsid w:val="000D2EEE"/>
    <w:rsid w:val="000D3AEA"/>
    <w:rsid w:val="000D3DC1"/>
    <w:rsid w:val="000D4C38"/>
    <w:rsid w:val="000D4D62"/>
    <w:rsid w:val="000D500E"/>
    <w:rsid w:val="000D534C"/>
    <w:rsid w:val="000D5541"/>
    <w:rsid w:val="000D62ED"/>
    <w:rsid w:val="000D657F"/>
    <w:rsid w:val="000D6728"/>
    <w:rsid w:val="000D6E93"/>
    <w:rsid w:val="000D7680"/>
    <w:rsid w:val="000E0031"/>
    <w:rsid w:val="000E16BC"/>
    <w:rsid w:val="000E178A"/>
    <w:rsid w:val="000E1B9D"/>
    <w:rsid w:val="000E1BF8"/>
    <w:rsid w:val="000E20D3"/>
    <w:rsid w:val="000E22A9"/>
    <w:rsid w:val="000E2F2C"/>
    <w:rsid w:val="000E3447"/>
    <w:rsid w:val="000E356A"/>
    <w:rsid w:val="000E3A0F"/>
    <w:rsid w:val="000E412A"/>
    <w:rsid w:val="000E4CFB"/>
    <w:rsid w:val="000E5065"/>
    <w:rsid w:val="000E55F3"/>
    <w:rsid w:val="000E5916"/>
    <w:rsid w:val="000E6D97"/>
    <w:rsid w:val="000E795F"/>
    <w:rsid w:val="000F0BAD"/>
    <w:rsid w:val="000F19D4"/>
    <w:rsid w:val="000F2BCF"/>
    <w:rsid w:val="000F30A5"/>
    <w:rsid w:val="000F3CEA"/>
    <w:rsid w:val="000F448F"/>
    <w:rsid w:val="000F620F"/>
    <w:rsid w:val="000F6422"/>
    <w:rsid w:val="000F6AB9"/>
    <w:rsid w:val="000F6ECD"/>
    <w:rsid w:val="000F793F"/>
    <w:rsid w:val="001003E6"/>
    <w:rsid w:val="001016DD"/>
    <w:rsid w:val="00101702"/>
    <w:rsid w:val="00101E04"/>
    <w:rsid w:val="00101FDF"/>
    <w:rsid w:val="00102C7D"/>
    <w:rsid w:val="00103BC5"/>
    <w:rsid w:val="001050F2"/>
    <w:rsid w:val="001055C2"/>
    <w:rsid w:val="001060D1"/>
    <w:rsid w:val="001074ED"/>
    <w:rsid w:val="00107CC2"/>
    <w:rsid w:val="001106C6"/>
    <w:rsid w:val="00110CAA"/>
    <w:rsid w:val="00111762"/>
    <w:rsid w:val="0011301A"/>
    <w:rsid w:val="0011303E"/>
    <w:rsid w:val="001132CD"/>
    <w:rsid w:val="0011352E"/>
    <w:rsid w:val="001138B9"/>
    <w:rsid w:val="001140F6"/>
    <w:rsid w:val="00114164"/>
    <w:rsid w:val="0011669A"/>
    <w:rsid w:val="00120D60"/>
    <w:rsid w:val="001225FF"/>
    <w:rsid w:val="00122777"/>
    <w:rsid w:val="00122925"/>
    <w:rsid w:val="00123F28"/>
    <w:rsid w:val="00124410"/>
    <w:rsid w:val="00124B89"/>
    <w:rsid w:val="00124CA4"/>
    <w:rsid w:val="00124CD9"/>
    <w:rsid w:val="00124DCF"/>
    <w:rsid w:val="00125072"/>
    <w:rsid w:val="00125F54"/>
    <w:rsid w:val="00126220"/>
    <w:rsid w:val="00126495"/>
    <w:rsid w:val="0012677F"/>
    <w:rsid w:val="00126E53"/>
    <w:rsid w:val="00130DBD"/>
    <w:rsid w:val="00132A4B"/>
    <w:rsid w:val="00132BC1"/>
    <w:rsid w:val="00133296"/>
    <w:rsid w:val="001335E7"/>
    <w:rsid w:val="001336DC"/>
    <w:rsid w:val="00134227"/>
    <w:rsid w:val="00134AC6"/>
    <w:rsid w:val="00134BA9"/>
    <w:rsid w:val="0013555F"/>
    <w:rsid w:val="0013559C"/>
    <w:rsid w:val="00135A7D"/>
    <w:rsid w:val="0013663B"/>
    <w:rsid w:val="001403C9"/>
    <w:rsid w:val="00140F42"/>
    <w:rsid w:val="0014151E"/>
    <w:rsid w:val="001421CA"/>
    <w:rsid w:val="00142344"/>
    <w:rsid w:val="00142463"/>
    <w:rsid w:val="00142F7A"/>
    <w:rsid w:val="00144252"/>
    <w:rsid w:val="00144D6A"/>
    <w:rsid w:val="00144F23"/>
    <w:rsid w:val="0014600D"/>
    <w:rsid w:val="00146F58"/>
    <w:rsid w:val="00147124"/>
    <w:rsid w:val="00147943"/>
    <w:rsid w:val="00147A53"/>
    <w:rsid w:val="00147C3B"/>
    <w:rsid w:val="00150223"/>
    <w:rsid w:val="001503B2"/>
    <w:rsid w:val="00150534"/>
    <w:rsid w:val="00150BEB"/>
    <w:rsid w:val="00151051"/>
    <w:rsid w:val="0015115C"/>
    <w:rsid w:val="001517C7"/>
    <w:rsid w:val="00152377"/>
    <w:rsid w:val="00152F71"/>
    <w:rsid w:val="0015372B"/>
    <w:rsid w:val="0015393D"/>
    <w:rsid w:val="001543D5"/>
    <w:rsid w:val="00154FF3"/>
    <w:rsid w:val="001557F2"/>
    <w:rsid w:val="00155D5F"/>
    <w:rsid w:val="001577F9"/>
    <w:rsid w:val="00157962"/>
    <w:rsid w:val="00160304"/>
    <w:rsid w:val="00160AE8"/>
    <w:rsid w:val="00160C15"/>
    <w:rsid w:val="0016238E"/>
    <w:rsid w:val="001629C3"/>
    <w:rsid w:val="00162CAA"/>
    <w:rsid w:val="00163B6D"/>
    <w:rsid w:val="001647F4"/>
    <w:rsid w:val="00164880"/>
    <w:rsid w:val="00164ED6"/>
    <w:rsid w:val="00166B04"/>
    <w:rsid w:val="001675E4"/>
    <w:rsid w:val="001675E9"/>
    <w:rsid w:val="00170E09"/>
    <w:rsid w:val="00171831"/>
    <w:rsid w:val="00172067"/>
    <w:rsid w:val="00172351"/>
    <w:rsid w:val="00172497"/>
    <w:rsid w:val="00172DD3"/>
    <w:rsid w:val="001730FE"/>
    <w:rsid w:val="0017397A"/>
    <w:rsid w:val="00173A7F"/>
    <w:rsid w:val="001746EA"/>
    <w:rsid w:val="001754D0"/>
    <w:rsid w:val="00175930"/>
    <w:rsid w:val="001759DA"/>
    <w:rsid w:val="00175C42"/>
    <w:rsid w:val="001765B4"/>
    <w:rsid w:val="00176A26"/>
    <w:rsid w:val="0017735D"/>
    <w:rsid w:val="001812BD"/>
    <w:rsid w:val="0018192E"/>
    <w:rsid w:val="0018223C"/>
    <w:rsid w:val="0018254B"/>
    <w:rsid w:val="001837C4"/>
    <w:rsid w:val="0018445E"/>
    <w:rsid w:val="00184592"/>
    <w:rsid w:val="001845CD"/>
    <w:rsid w:val="001847EB"/>
    <w:rsid w:val="00184CA3"/>
    <w:rsid w:val="0018587E"/>
    <w:rsid w:val="00186863"/>
    <w:rsid w:val="00186D32"/>
    <w:rsid w:val="0018785B"/>
    <w:rsid w:val="001920BD"/>
    <w:rsid w:val="00192EFF"/>
    <w:rsid w:val="00194E91"/>
    <w:rsid w:val="001962A1"/>
    <w:rsid w:val="00196B38"/>
    <w:rsid w:val="00196B62"/>
    <w:rsid w:val="00196E0F"/>
    <w:rsid w:val="001979DF"/>
    <w:rsid w:val="001A0ED1"/>
    <w:rsid w:val="001A1946"/>
    <w:rsid w:val="001A1C24"/>
    <w:rsid w:val="001A1ED5"/>
    <w:rsid w:val="001A290D"/>
    <w:rsid w:val="001A29B1"/>
    <w:rsid w:val="001A2A4E"/>
    <w:rsid w:val="001A37D3"/>
    <w:rsid w:val="001A4202"/>
    <w:rsid w:val="001A4257"/>
    <w:rsid w:val="001A6006"/>
    <w:rsid w:val="001A65BF"/>
    <w:rsid w:val="001A78EC"/>
    <w:rsid w:val="001A7DF3"/>
    <w:rsid w:val="001B01E3"/>
    <w:rsid w:val="001B026B"/>
    <w:rsid w:val="001B11AD"/>
    <w:rsid w:val="001B1546"/>
    <w:rsid w:val="001B19D5"/>
    <w:rsid w:val="001B1A8E"/>
    <w:rsid w:val="001B1AFA"/>
    <w:rsid w:val="001B737D"/>
    <w:rsid w:val="001C0176"/>
    <w:rsid w:val="001C0FEC"/>
    <w:rsid w:val="001C0FF9"/>
    <w:rsid w:val="001C1627"/>
    <w:rsid w:val="001C180C"/>
    <w:rsid w:val="001C2922"/>
    <w:rsid w:val="001C2BC4"/>
    <w:rsid w:val="001C34D7"/>
    <w:rsid w:val="001C37BE"/>
    <w:rsid w:val="001C490B"/>
    <w:rsid w:val="001C51B4"/>
    <w:rsid w:val="001C55F4"/>
    <w:rsid w:val="001C6386"/>
    <w:rsid w:val="001C68CC"/>
    <w:rsid w:val="001C70C9"/>
    <w:rsid w:val="001C7293"/>
    <w:rsid w:val="001C74DD"/>
    <w:rsid w:val="001C7670"/>
    <w:rsid w:val="001D250C"/>
    <w:rsid w:val="001D2F3D"/>
    <w:rsid w:val="001D2FC5"/>
    <w:rsid w:val="001D3530"/>
    <w:rsid w:val="001D3E0B"/>
    <w:rsid w:val="001D4C77"/>
    <w:rsid w:val="001D4E56"/>
    <w:rsid w:val="001D5DAC"/>
    <w:rsid w:val="001D689C"/>
    <w:rsid w:val="001E06A3"/>
    <w:rsid w:val="001E163F"/>
    <w:rsid w:val="001E1FA7"/>
    <w:rsid w:val="001E2376"/>
    <w:rsid w:val="001E2A82"/>
    <w:rsid w:val="001E2C4D"/>
    <w:rsid w:val="001E4447"/>
    <w:rsid w:val="001E4802"/>
    <w:rsid w:val="001E567F"/>
    <w:rsid w:val="001E5EA5"/>
    <w:rsid w:val="001E68DA"/>
    <w:rsid w:val="001E71A3"/>
    <w:rsid w:val="001E753B"/>
    <w:rsid w:val="001E774B"/>
    <w:rsid w:val="001E7D23"/>
    <w:rsid w:val="001E7FE6"/>
    <w:rsid w:val="001F04FD"/>
    <w:rsid w:val="001F0DC8"/>
    <w:rsid w:val="001F1397"/>
    <w:rsid w:val="001F147F"/>
    <w:rsid w:val="001F1A61"/>
    <w:rsid w:val="001F1F77"/>
    <w:rsid w:val="001F2D51"/>
    <w:rsid w:val="001F3516"/>
    <w:rsid w:val="001F3C10"/>
    <w:rsid w:val="001F5155"/>
    <w:rsid w:val="001F55B1"/>
    <w:rsid w:val="001F7DAE"/>
    <w:rsid w:val="002012DA"/>
    <w:rsid w:val="00201765"/>
    <w:rsid w:val="002018B0"/>
    <w:rsid w:val="00201C4E"/>
    <w:rsid w:val="002025C7"/>
    <w:rsid w:val="00202637"/>
    <w:rsid w:val="00202FAA"/>
    <w:rsid w:val="00204D2A"/>
    <w:rsid w:val="002055D5"/>
    <w:rsid w:val="00206172"/>
    <w:rsid w:val="00207AC3"/>
    <w:rsid w:val="00207DD7"/>
    <w:rsid w:val="002102B0"/>
    <w:rsid w:val="00210647"/>
    <w:rsid w:val="00210676"/>
    <w:rsid w:val="002111D7"/>
    <w:rsid w:val="00211945"/>
    <w:rsid w:val="00211E14"/>
    <w:rsid w:val="00213B72"/>
    <w:rsid w:val="00213D57"/>
    <w:rsid w:val="0021573A"/>
    <w:rsid w:val="0021589B"/>
    <w:rsid w:val="00215982"/>
    <w:rsid w:val="00216C2A"/>
    <w:rsid w:val="00221644"/>
    <w:rsid w:val="00221A13"/>
    <w:rsid w:val="00221BB6"/>
    <w:rsid w:val="002224A4"/>
    <w:rsid w:val="00222B2B"/>
    <w:rsid w:val="00223426"/>
    <w:rsid w:val="0022373F"/>
    <w:rsid w:val="002237FD"/>
    <w:rsid w:val="00223D68"/>
    <w:rsid w:val="00224021"/>
    <w:rsid w:val="00224A11"/>
    <w:rsid w:val="00225758"/>
    <w:rsid w:val="00226B32"/>
    <w:rsid w:val="00226E86"/>
    <w:rsid w:val="00227BCB"/>
    <w:rsid w:val="0023008D"/>
    <w:rsid w:val="00230182"/>
    <w:rsid w:val="00230F30"/>
    <w:rsid w:val="00231690"/>
    <w:rsid w:val="00231B5D"/>
    <w:rsid w:val="0023315A"/>
    <w:rsid w:val="00233303"/>
    <w:rsid w:val="0023356F"/>
    <w:rsid w:val="00233C78"/>
    <w:rsid w:val="00233E49"/>
    <w:rsid w:val="002341C4"/>
    <w:rsid w:val="00234FA4"/>
    <w:rsid w:val="00234FC1"/>
    <w:rsid w:val="00235D03"/>
    <w:rsid w:val="00235DE4"/>
    <w:rsid w:val="00236030"/>
    <w:rsid w:val="00236104"/>
    <w:rsid w:val="0023731B"/>
    <w:rsid w:val="00237AE8"/>
    <w:rsid w:val="00237F21"/>
    <w:rsid w:val="002401F7"/>
    <w:rsid w:val="0024071F"/>
    <w:rsid w:val="002416B5"/>
    <w:rsid w:val="00242604"/>
    <w:rsid w:val="002427FA"/>
    <w:rsid w:val="00243207"/>
    <w:rsid w:val="00243338"/>
    <w:rsid w:val="002433C7"/>
    <w:rsid w:val="00243D22"/>
    <w:rsid w:val="00243FD3"/>
    <w:rsid w:val="00243FE9"/>
    <w:rsid w:val="002444FE"/>
    <w:rsid w:val="00244B27"/>
    <w:rsid w:val="00244B89"/>
    <w:rsid w:val="002458AE"/>
    <w:rsid w:val="00245978"/>
    <w:rsid w:val="002466C0"/>
    <w:rsid w:val="002470D1"/>
    <w:rsid w:val="00247C2A"/>
    <w:rsid w:val="002517BC"/>
    <w:rsid w:val="002519E7"/>
    <w:rsid w:val="00251A5E"/>
    <w:rsid w:val="002531A6"/>
    <w:rsid w:val="002532DC"/>
    <w:rsid w:val="00253391"/>
    <w:rsid w:val="002544E5"/>
    <w:rsid w:val="0025679E"/>
    <w:rsid w:val="00256DD1"/>
    <w:rsid w:val="002574F1"/>
    <w:rsid w:val="0026031C"/>
    <w:rsid w:val="0026064D"/>
    <w:rsid w:val="00261125"/>
    <w:rsid w:val="0026181A"/>
    <w:rsid w:val="00261F65"/>
    <w:rsid w:val="0026313F"/>
    <w:rsid w:val="002634AD"/>
    <w:rsid w:val="002638DA"/>
    <w:rsid w:val="00263D10"/>
    <w:rsid w:val="00266C9D"/>
    <w:rsid w:val="00267839"/>
    <w:rsid w:val="002704CF"/>
    <w:rsid w:val="00272B4E"/>
    <w:rsid w:val="002731C4"/>
    <w:rsid w:val="002732A3"/>
    <w:rsid w:val="002734AA"/>
    <w:rsid w:val="002740AF"/>
    <w:rsid w:val="00274583"/>
    <w:rsid w:val="00275027"/>
    <w:rsid w:val="00275091"/>
    <w:rsid w:val="002761D1"/>
    <w:rsid w:val="00276BD3"/>
    <w:rsid w:val="00277D88"/>
    <w:rsid w:val="00277FF9"/>
    <w:rsid w:val="002809CB"/>
    <w:rsid w:val="00280E04"/>
    <w:rsid w:val="00281DEA"/>
    <w:rsid w:val="002827F7"/>
    <w:rsid w:val="0028305D"/>
    <w:rsid w:val="00283970"/>
    <w:rsid w:val="00283C47"/>
    <w:rsid w:val="00283DFC"/>
    <w:rsid w:val="002854FC"/>
    <w:rsid w:val="00285A4F"/>
    <w:rsid w:val="00285DD7"/>
    <w:rsid w:val="0028663E"/>
    <w:rsid w:val="00286EDB"/>
    <w:rsid w:val="00286FD1"/>
    <w:rsid w:val="002877D1"/>
    <w:rsid w:val="00290003"/>
    <w:rsid w:val="00290135"/>
    <w:rsid w:val="002914A3"/>
    <w:rsid w:val="00291DAD"/>
    <w:rsid w:val="00292359"/>
    <w:rsid w:val="00292E39"/>
    <w:rsid w:val="00292E75"/>
    <w:rsid w:val="00293899"/>
    <w:rsid w:val="00293D76"/>
    <w:rsid w:val="00294484"/>
    <w:rsid w:val="00294E58"/>
    <w:rsid w:val="00294F2D"/>
    <w:rsid w:val="00295768"/>
    <w:rsid w:val="00295D73"/>
    <w:rsid w:val="00296750"/>
    <w:rsid w:val="00296EF6"/>
    <w:rsid w:val="00297437"/>
    <w:rsid w:val="00297A7E"/>
    <w:rsid w:val="002A0AD7"/>
    <w:rsid w:val="002A2247"/>
    <w:rsid w:val="002A245D"/>
    <w:rsid w:val="002A2564"/>
    <w:rsid w:val="002A2D73"/>
    <w:rsid w:val="002A2F43"/>
    <w:rsid w:val="002A3C2C"/>
    <w:rsid w:val="002A620F"/>
    <w:rsid w:val="002A736E"/>
    <w:rsid w:val="002A7BA2"/>
    <w:rsid w:val="002A7BFB"/>
    <w:rsid w:val="002B1595"/>
    <w:rsid w:val="002B183F"/>
    <w:rsid w:val="002B18C7"/>
    <w:rsid w:val="002B1922"/>
    <w:rsid w:val="002B1E33"/>
    <w:rsid w:val="002B2244"/>
    <w:rsid w:val="002B2DF9"/>
    <w:rsid w:val="002B3F3E"/>
    <w:rsid w:val="002B41A6"/>
    <w:rsid w:val="002B4B2F"/>
    <w:rsid w:val="002B4DEF"/>
    <w:rsid w:val="002B506A"/>
    <w:rsid w:val="002B5070"/>
    <w:rsid w:val="002B516C"/>
    <w:rsid w:val="002B5AE9"/>
    <w:rsid w:val="002B5D80"/>
    <w:rsid w:val="002B620E"/>
    <w:rsid w:val="002B67BE"/>
    <w:rsid w:val="002B67D6"/>
    <w:rsid w:val="002B7047"/>
    <w:rsid w:val="002B72E7"/>
    <w:rsid w:val="002B735C"/>
    <w:rsid w:val="002C04DC"/>
    <w:rsid w:val="002C0ED5"/>
    <w:rsid w:val="002C30E7"/>
    <w:rsid w:val="002C448D"/>
    <w:rsid w:val="002C472C"/>
    <w:rsid w:val="002C4BBA"/>
    <w:rsid w:val="002C5AB2"/>
    <w:rsid w:val="002C6440"/>
    <w:rsid w:val="002C6FAE"/>
    <w:rsid w:val="002C7EEC"/>
    <w:rsid w:val="002D0753"/>
    <w:rsid w:val="002D0A0B"/>
    <w:rsid w:val="002D0D73"/>
    <w:rsid w:val="002D16AB"/>
    <w:rsid w:val="002D23E6"/>
    <w:rsid w:val="002D28ED"/>
    <w:rsid w:val="002D2B6C"/>
    <w:rsid w:val="002D2D7F"/>
    <w:rsid w:val="002D30D5"/>
    <w:rsid w:val="002D385D"/>
    <w:rsid w:val="002D3D7F"/>
    <w:rsid w:val="002D411E"/>
    <w:rsid w:val="002D5050"/>
    <w:rsid w:val="002D57E3"/>
    <w:rsid w:val="002D590C"/>
    <w:rsid w:val="002D5B11"/>
    <w:rsid w:val="002D5C44"/>
    <w:rsid w:val="002D6795"/>
    <w:rsid w:val="002D7A93"/>
    <w:rsid w:val="002D7F17"/>
    <w:rsid w:val="002E27E9"/>
    <w:rsid w:val="002E2B7B"/>
    <w:rsid w:val="002E3041"/>
    <w:rsid w:val="002E3A4D"/>
    <w:rsid w:val="002E3DBC"/>
    <w:rsid w:val="002E4059"/>
    <w:rsid w:val="002E4A29"/>
    <w:rsid w:val="002E60F6"/>
    <w:rsid w:val="002E6706"/>
    <w:rsid w:val="002E6A2A"/>
    <w:rsid w:val="002E713A"/>
    <w:rsid w:val="002E7D22"/>
    <w:rsid w:val="002F038E"/>
    <w:rsid w:val="002F0DFA"/>
    <w:rsid w:val="002F11FE"/>
    <w:rsid w:val="002F1471"/>
    <w:rsid w:val="002F1AE6"/>
    <w:rsid w:val="002F2B59"/>
    <w:rsid w:val="002F319A"/>
    <w:rsid w:val="002F3D6D"/>
    <w:rsid w:val="002F3F37"/>
    <w:rsid w:val="002F4D2E"/>
    <w:rsid w:val="002F527F"/>
    <w:rsid w:val="002F55A8"/>
    <w:rsid w:val="002F5823"/>
    <w:rsid w:val="002F6BCB"/>
    <w:rsid w:val="002F6E69"/>
    <w:rsid w:val="002F73C9"/>
    <w:rsid w:val="002F777C"/>
    <w:rsid w:val="003016E5"/>
    <w:rsid w:val="00301FCF"/>
    <w:rsid w:val="00302514"/>
    <w:rsid w:val="00302900"/>
    <w:rsid w:val="00302F29"/>
    <w:rsid w:val="00303DD1"/>
    <w:rsid w:val="00303EF0"/>
    <w:rsid w:val="00304433"/>
    <w:rsid w:val="00305151"/>
    <w:rsid w:val="00305BDC"/>
    <w:rsid w:val="00305EBC"/>
    <w:rsid w:val="00305EC0"/>
    <w:rsid w:val="00306699"/>
    <w:rsid w:val="0030702F"/>
    <w:rsid w:val="00310C0B"/>
    <w:rsid w:val="0031180B"/>
    <w:rsid w:val="00311FF1"/>
    <w:rsid w:val="0031359E"/>
    <w:rsid w:val="00313A70"/>
    <w:rsid w:val="00314848"/>
    <w:rsid w:val="00315F0D"/>
    <w:rsid w:val="00316AC4"/>
    <w:rsid w:val="00316CC9"/>
    <w:rsid w:val="00316EE7"/>
    <w:rsid w:val="0031750B"/>
    <w:rsid w:val="003175C1"/>
    <w:rsid w:val="00317CFB"/>
    <w:rsid w:val="00320905"/>
    <w:rsid w:val="0032129F"/>
    <w:rsid w:val="003229D6"/>
    <w:rsid w:val="00322BA1"/>
    <w:rsid w:val="003235C1"/>
    <w:rsid w:val="00323C20"/>
    <w:rsid w:val="003262AD"/>
    <w:rsid w:val="00326E07"/>
    <w:rsid w:val="00326E23"/>
    <w:rsid w:val="003273CB"/>
    <w:rsid w:val="00327C76"/>
    <w:rsid w:val="003302D0"/>
    <w:rsid w:val="003303CF"/>
    <w:rsid w:val="0033075C"/>
    <w:rsid w:val="00330C95"/>
    <w:rsid w:val="00330E8C"/>
    <w:rsid w:val="00330FCC"/>
    <w:rsid w:val="00331C85"/>
    <w:rsid w:val="003347DD"/>
    <w:rsid w:val="00334A68"/>
    <w:rsid w:val="00336E4B"/>
    <w:rsid w:val="00337D2D"/>
    <w:rsid w:val="00340777"/>
    <w:rsid w:val="00341780"/>
    <w:rsid w:val="00341E07"/>
    <w:rsid w:val="00341E22"/>
    <w:rsid w:val="00342511"/>
    <w:rsid w:val="00342A55"/>
    <w:rsid w:val="00343095"/>
    <w:rsid w:val="0034316B"/>
    <w:rsid w:val="00343671"/>
    <w:rsid w:val="00343992"/>
    <w:rsid w:val="00343BAF"/>
    <w:rsid w:val="00344609"/>
    <w:rsid w:val="00344B1B"/>
    <w:rsid w:val="003451DD"/>
    <w:rsid w:val="003458BC"/>
    <w:rsid w:val="003459E8"/>
    <w:rsid w:val="003474AD"/>
    <w:rsid w:val="00347857"/>
    <w:rsid w:val="00347AEF"/>
    <w:rsid w:val="00347D2D"/>
    <w:rsid w:val="003512D1"/>
    <w:rsid w:val="00351B7A"/>
    <w:rsid w:val="00352A0F"/>
    <w:rsid w:val="00353AC8"/>
    <w:rsid w:val="003545E8"/>
    <w:rsid w:val="00356445"/>
    <w:rsid w:val="003567FF"/>
    <w:rsid w:val="00356E4B"/>
    <w:rsid w:val="003579EE"/>
    <w:rsid w:val="00357CFC"/>
    <w:rsid w:val="00357D2C"/>
    <w:rsid w:val="00360A7A"/>
    <w:rsid w:val="00360CD5"/>
    <w:rsid w:val="0036172A"/>
    <w:rsid w:val="003618AC"/>
    <w:rsid w:val="00361AA4"/>
    <w:rsid w:val="00361E89"/>
    <w:rsid w:val="00362CE4"/>
    <w:rsid w:val="00363707"/>
    <w:rsid w:val="0036499C"/>
    <w:rsid w:val="003649AF"/>
    <w:rsid w:val="00364D59"/>
    <w:rsid w:val="003660D6"/>
    <w:rsid w:val="00366373"/>
    <w:rsid w:val="00366FCD"/>
    <w:rsid w:val="003673D6"/>
    <w:rsid w:val="00367749"/>
    <w:rsid w:val="00370E68"/>
    <w:rsid w:val="00370F95"/>
    <w:rsid w:val="00370FA8"/>
    <w:rsid w:val="003712B1"/>
    <w:rsid w:val="00371616"/>
    <w:rsid w:val="003719FB"/>
    <w:rsid w:val="003727C9"/>
    <w:rsid w:val="00373914"/>
    <w:rsid w:val="00374C47"/>
    <w:rsid w:val="00374F87"/>
    <w:rsid w:val="00375887"/>
    <w:rsid w:val="0037603F"/>
    <w:rsid w:val="003762C8"/>
    <w:rsid w:val="00376F97"/>
    <w:rsid w:val="003779F5"/>
    <w:rsid w:val="00377B11"/>
    <w:rsid w:val="003810AB"/>
    <w:rsid w:val="003816CB"/>
    <w:rsid w:val="0038280D"/>
    <w:rsid w:val="0038335C"/>
    <w:rsid w:val="003847FF"/>
    <w:rsid w:val="00384EF9"/>
    <w:rsid w:val="003854A3"/>
    <w:rsid w:val="00386B58"/>
    <w:rsid w:val="00387324"/>
    <w:rsid w:val="00387493"/>
    <w:rsid w:val="00387A40"/>
    <w:rsid w:val="003900E4"/>
    <w:rsid w:val="003904E6"/>
    <w:rsid w:val="0039182E"/>
    <w:rsid w:val="00391D8B"/>
    <w:rsid w:val="00392666"/>
    <w:rsid w:val="00393A29"/>
    <w:rsid w:val="00393C33"/>
    <w:rsid w:val="0039421D"/>
    <w:rsid w:val="003946D7"/>
    <w:rsid w:val="003948AF"/>
    <w:rsid w:val="00394CE1"/>
    <w:rsid w:val="00394D9C"/>
    <w:rsid w:val="00394ED1"/>
    <w:rsid w:val="00395267"/>
    <w:rsid w:val="00395C3C"/>
    <w:rsid w:val="003963CD"/>
    <w:rsid w:val="00396A0F"/>
    <w:rsid w:val="003974B0"/>
    <w:rsid w:val="003976E9"/>
    <w:rsid w:val="003978C8"/>
    <w:rsid w:val="003978EB"/>
    <w:rsid w:val="00397906"/>
    <w:rsid w:val="00397A7F"/>
    <w:rsid w:val="00397FCE"/>
    <w:rsid w:val="003A0403"/>
    <w:rsid w:val="003A0CB9"/>
    <w:rsid w:val="003A0D59"/>
    <w:rsid w:val="003A1996"/>
    <w:rsid w:val="003A3C9D"/>
    <w:rsid w:val="003A3EE1"/>
    <w:rsid w:val="003A4075"/>
    <w:rsid w:val="003A44AA"/>
    <w:rsid w:val="003A4D89"/>
    <w:rsid w:val="003A521E"/>
    <w:rsid w:val="003A58FF"/>
    <w:rsid w:val="003A5AC3"/>
    <w:rsid w:val="003A680A"/>
    <w:rsid w:val="003A6CCF"/>
    <w:rsid w:val="003A72E3"/>
    <w:rsid w:val="003A7628"/>
    <w:rsid w:val="003A7801"/>
    <w:rsid w:val="003A7F32"/>
    <w:rsid w:val="003B05E0"/>
    <w:rsid w:val="003B23BE"/>
    <w:rsid w:val="003B25C6"/>
    <w:rsid w:val="003B2616"/>
    <w:rsid w:val="003B2F40"/>
    <w:rsid w:val="003B3A3E"/>
    <w:rsid w:val="003B46CE"/>
    <w:rsid w:val="003B4D84"/>
    <w:rsid w:val="003B5252"/>
    <w:rsid w:val="003B623B"/>
    <w:rsid w:val="003B64E5"/>
    <w:rsid w:val="003B77DB"/>
    <w:rsid w:val="003B7F86"/>
    <w:rsid w:val="003C098D"/>
    <w:rsid w:val="003C098F"/>
    <w:rsid w:val="003C0DF9"/>
    <w:rsid w:val="003C0E24"/>
    <w:rsid w:val="003C1250"/>
    <w:rsid w:val="003C1ACD"/>
    <w:rsid w:val="003C21E1"/>
    <w:rsid w:val="003C2BD5"/>
    <w:rsid w:val="003C2D8B"/>
    <w:rsid w:val="003C3AD8"/>
    <w:rsid w:val="003C3FC4"/>
    <w:rsid w:val="003C4369"/>
    <w:rsid w:val="003C46B5"/>
    <w:rsid w:val="003C46C8"/>
    <w:rsid w:val="003C6139"/>
    <w:rsid w:val="003D0AA4"/>
    <w:rsid w:val="003D0B9C"/>
    <w:rsid w:val="003D2297"/>
    <w:rsid w:val="003D2634"/>
    <w:rsid w:val="003D26F9"/>
    <w:rsid w:val="003D274B"/>
    <w:rsid w:val="003D3379"/>
    <w:rsid w:val="003D368E"/>
    <w:rsid w:val="003D39E0"/>
    <w:rsid w:val="003D3DCF"/>
    <w:rsid w:val="003D4CBF"/>
    <w:rsid w:val="003D4DE3"/>
    <w:rsid w:val="003D4E9E"/>
    <w:rsid w:val="003D4F77"/>
    <w:rsid w:val="003D6691"/>
    <w:rsid w:val="003D77E1"/>
    <w:rsid w:val="003D7A22"/>
    <w:rsid w:val="003D7AB5"/>
    <w:rsid w:val="003E2347"/>
    <w:rsid w:val="003E30EF"/>
    <w:rsid w:val="003E3DF5"/>
    <w:rsid w:val="003E42A7"/>
    <w:rsid w:val="003E4FCD"/>
    <w:rsid w:val="003E52F1"/>
    <w:rsid w:val="003E5E33"/>
    <w:rsid w:val="003E6EF2"/>
    <w:rsid w:val="003E7BAA"/>
    <w:rsid w:val="003F14E3"/>
    <w:rsid w:val="003F160F"/>
    <w:rsid w:val="003F1B6B"/>
    <w:rsid w:val="003F29A0"/>
    <w:rsid w:val="003F3792"/>
    <w:rsid w:val="003F383B"/>
    <w:rsid w:val="003F3DC4"/>
    <w:rsid w:val="003F46E3"/>
    <w:rsid w:val="003F473B"/>
    <w:rsid w:val="003F4A21"/>
    <w:rsid w:val="003F53D0"/>
    <w:rsid w:val="003F5E79"/>
    <w:rsid w:val="003F6011"/>
    <w:rsid w:val="003F6684"/>
    <w:rsid w:val="003F6C1A"/>
    <w:rsid w:val="003F735B"/>
    <w:rsid w:val="003F739B"/>
    <w:rsid w:val="003F73AF"/>
    <w:rsid w:val="003F7506"/>
    <w:rsid w:val="003F758C"/>
    <w:rsid w:val="0040046F"/>
    <w:rsid w:val="004007D1"/>
    <w:rsid w:val="00400801"/>
    <w:rsid w:val="00400BC3"/>
    <w:rsid w:val="00401F04"/>
    <w:rsid w:val="00401F42"/>
    <w:rsid w:val="00402051"/>
    <w:rsid w:val="00402A85"/>
    <w:rsid w:val="0040329E"/>
    <w:rsid w:val="00405155"/>
    <w:rsid w:val="0040637E"/>
    <w:rsid w:val="004066D4"/>
    <w:rsid w:val="004067E8"/>
    <w:rsid w:val="0040684F"/>
    <w:rsid w:val="0040767B"/>
    <w:rsid w:val="0040769C"/>
    <w:rsid w:val="00407C84"/>
    <w:rsid w:val="00410285"/>
    <w:rsid w:val="004108AD"/>
    <w:rsid w:val="004116AE"/>
    <w:rsid w:val="00411ACA"/>
    <w:rsid w:val="00413071"/>
    <w:rsid w:val="004139A4"/>
    <w:rsid w:val="0041428D"/>
    <w:rsid w:val="00414FEA"/>
    <w:rsid w:val="00415AEF"/>
    <w:rsid w:val="0041629A"/>
    <w:rsid w:val="004171C7"/>
    <w:rsid w:val="004178FB"/>
    <w:rsid w:val="00417B4E"/>
    <w:rsid w:val="004201FA"/>
    <w:rsid w:val="00420709"/>
    <w:rsid w:val="00420FAF"/>
    <w:rsid w:val="004211E1"/>
    <w:rsid w:val="00421A47"/>
    <w:rsid w:val="00422E13"/>
    <w:rsid w:val="00423D31"/>
    <w:rsid w:val="0042512D"/>
    <w:rsid w:val="00425355"/>
    <w:rsid w:val="00426000"/>
    <w:rsid w:val="00426186"/>
    <w:rsid w:val="00426634"/>
    <w:rsid w:val="00426931"/>
    <w:rsid w:val="00426A3E"/>
    <w:rsid w:val="00426BFC"/>
    <w:rsid w:val="00427AA2"/>
    <w:rsid w:val="00427EDA"/>
    <w:rsid w:val="00431432"/>
    <w:rsid w:val="00431554"/>
    <w:rsid w:val="00431F0B"/>
    <w:rsid w:val="004328DE"/>
    <w:rsid w:val="00433A74"/>
    <w:rsid w:val="004347E2"/>
    <w:rsid w:val="00435DBD"/>
    <w:rsid w:val="00436830"/>
    <w:rsid w:val="00437451"/>
    <w:rsid w:val="00437C6D"/>
    <w:rsid w:val="00440B24"/>
    <w:rsid w:val="00440E99"/>
    <w:rsid w:val="00440FC6"/>
    <w:rsid w:val="00441415"/>
    <w:rsid w:val="004415B7"/>
    <w:rsid w:val="00442A63"/>
    <w:rsid w:val="00443320"/>
    <w:rsid w:val="00443616"/>
    <w:rsid w:val="00443620"/>
    <w:rsid w:val="00443E82"/>
    <w:rsid w:val="004443C3"/>
    <w:rsid w:val="00444476"/>
    <w:rsid w:val="00446C58"/>
    <w:rsid w:val="00446D56"/>
    <w:rsid w:val="00446EB7"/>
    <w:rsid w:val="00450E29"/>
    <w:rsid w:val="004510FA"/>
    <w:rsid w:val="0045143A"/>
    <w:rsid w:val="00453B06"/>
    <w:rsid w:val="00454C35"/>
    <w:rsid w:val="00454C86"/>
    <w:rsid w:val="00456109"/>
    <w:rsid w:val="00456326"/>
    <w:rsid w:val="00456736"/>
    <w:rsid w:val="00456975"/>
    <w:rsid w:val="00456EEF"/>
    <w:rsid w:val="0045796A"/>
    <w:rsid w:val="00460A86"/>
    <w:rsid w:val="00461970"/>
    <w:rsid w:val="00462942"/>
    <w:rsid w:val="00462B26"/>
    <w:rsid w:val="00463695"/>
    <w:rsid w:val="00463ECC"/>
    <w:rsid w:val="00464265"/>
    <w:rsid w:val="004645DA"/>
    <w:rsid w:val="004648F7"/>
    <w:rsid w:val="00465C0A"/>
    <w:rsid w:val="00466751"/>
    <w:rsid w:val="0046687F"/>
    <w:rsid w:val="004669BA"/>
    <w:rsid w:val="00467363"/>
    <w:rsid w:val="00467A55"/>
    <w:rsid w:val="004701C3"/>
    <w:rsid w:val="00470AB8"/>
    <w:rsid w:val="00470F66"/>
    <w:rsid w:val="0047162D"/>
    <w:rsid w:val="0047181B"/>
    <w:rsid w:val="00471C40"/>
    <w:rsid w:val="004724D5"/>
    <w:rsid w:val="004727D2"/>
    <w:rsid w:val="004739C6"/>
    <w:rsid w:val="00473A46"/>
    <w:rsid w:val="00474717"/>
    <w:rsid w:val="00474C49"/>
    <w:rsid w:val="0047536B"/>
    <w:rsid w:val="004756F6"/>
    <w:rsid w:val="00476733"/>
    <w:rsid w:val="004771AF"/>
    <w:rsid w:val="00477E68"/>
    <w:rsid w:val="00477F93"/>
    <w:rsid w:val="00480525"/>
    <w:rsid w:val="004823FA"/>
    <w:rsid w:val="00482640"/>
    <w:rsid w:val="00482F20"/>
    <w:rsid w:val="00482FEB"/>
    <w:rsid w:val="004840D6"/>
    <w:rsid w:val="00484C4A"/>
    <w:rsid w:val="00485785"/>
    <w:rsid w:val="00485AB8"/>
    <w:rsid w:val="00485D86"/>
    <w:rsid w:val="00485D99"/>
    <w:rsid w:val="00486647"/>
    <w:rsid w:val="00487A38"/>
    <w:rsid w:val="00487DB1"/>
    <w:rsid w:val="004906F6"/>
    <w:rsid w:val="00490BDC"/>
    <w:rsid w:val="00490BFE"/>
    <w:rsid w:val="00490E8F"/>
    <w:rsid w:val="004913C5"/>
    <w:rsid w:val="004924C5"/>
    <w:rsid w:val="00492CB8"/>
    <w:rsid w:val="00493673"/>
    <w:rsid w:val="004939D2"/>
    <w:rsid w:val="00493D87"/>
    <w:rsid w:val="004940BD"/>
    <w:rsid w:val="0049448C"/>
    <w:rsid w:val="0049494B"/>
    <w:rsid w:val="00495016"/>
    <w:rsid w:val="00495C8E"/>
    <w:rsid w:val="00496513"/>
    <w:rsid w:val="004965B5"/>
    <w:rsid w:val="004965EC"/>
    <w:rsid w:val="00496744"/>
    <w:rsid w:val="00496BE5"/>
    <w:rsid w:val="00496C38"/>
    <w:rsid w:val="00496F16"/>
    <w:rsid w:val="00497E3E"/>
    <w:rsid w:val="004A091F"/>
    <w:rsid w:val="004A0ABD"/>
    <w:rsid w:val="004A1126"/>
    <w:rsid w:val="004A1D18"/>
    <w:rsid w:val="004A2AA6"/>
    <w:rsid w:val="004A2B16"/>
    <w:rsid w:val="004A3739"/>
    <w:rsid w:val="004A39F9"/>
    <w:rsid w:val="004A4733"/>
    <w:rsid w:val="004A4849"/>
    <w:rsid w:val="004A4DDB"/>
    <w:rsid w:val="004A5B0B"/>
    <w:rsid w:val="004A665A"/>
    <w:rsid w:val="004A6858"/>
    <w:rsid w:val="004A7660"/>
    <w:rsid w:val="004A7782"/>
    <w:rsid w:val="004A78E0"/>
    <w:rsid w:val="004A7CB3"/>
    <w:rsid w:val="004A7ECF"/>
    <w:rsid w:val="004B0DA4"/>
    <w:rsid w:val="004B1B9D"/>
    <w:rsid w:val="004B22DF"/>
    <w:rsid w:val="004B3248"/>
    <w:rsid w:val="004B3525"/>
    <w:rsid w:val="004B52B4"/>
    <w:rsid w:val="004B6019"/>
    <w:rsid w:val="004B67CA"/>
    <w:rsid w:val="004B6A08"/>
    <w:rsid w:val="004B6E53"/>
    <w:rsid w:val="004B7147"/>
    <w:rsid w:val="004B7622"/>
    <w:rsid w:val="004C036A"/>
    <w:rsid w:val="004C1CD6"/>
    <w:rsid w:val="004C2079"/>
    <w:rsid w:val="004C2754"/>
    <w:rsid w:val="004C2CFA"/>
    <w:rsid w:val="004C32A5"/>
    <w:rsid w:val="004C346A"/>
    <w:rsid w:val="004C40D7"/>
    <w:rsid w:val="004C48C1"/>
    <w:rsid w:val="004C538F"/>
    <w:rsid w:val="004C54B2"/>
    <w:rsid w:val="004C5779"/>
    <w:rsid w:val="004C5A3C"/>
    <w:rsid w:val="004C72B7"/>
    <w:rsid w:val="004D029C"/>
    <w:rsid w:val="004D16AD"/>
    <w:rsid w:val="004D1724"/>
    <w:rsid w:val="004D2827"/>
    <w:rsid w:val="004D4251"/>
    <w:rsid w:val="004D5023"/>
    <w:rsid w:val="004D50F3"/>
    <w:rsid w:val="004D55AF"/>
    <w:rsid w:val="004D678D"/>
    <w:rsid w:val="004D6DFA"/>
    <w:rsid w:val="004E0395"/>
    <w:rsid w:val="004E05F9"/>
    <w:rsid w:val="004E071B"/>
    <w:rsid w:val="004E1490"/>
    <w:rsid w:val="004E1F91"/>
    <w:rsid w:val="004E219F"/>
    <w:rsid w:val="004E340A"/>
    <w:rsid w:val="004E4A46"/>
    <w:rsid w:val="004E4B05"/>
    <w:rsid w:val="004E554E"/>
    <w:rsid w:val="004E58E9"/>
    <w:rsid w:val="004E66A1"/>
    <w:rsid w:val="004F01B5"/>
    <w:rsid w:val="004F08F1"/>
    <w:rsid w:val="004F0B9F"/>
    <w:rsid w:val="004F1C4C"/>
    <w:rsid w:val="004F1CE6"/>
    <w:rsid w:val="004F2298"/>
    <w:rsid w:val="004F2445"/>
    <w:rsid w:val="004F4AC1"/>
    <w:rsid w:val="004F4B4F"/>
    <w:rsid w:val="004F5A41"/>
    <w:rsid w:val="004F7F4D"/>
    <w:rsid w:val="005006D5"/>
    <w:rsid w:val="005009AD"/>
    <w:rsid w:val="005030ED"/>
    <w:rsid w:val="00503DD0"/>
    <w:rsid w:val="00503EF4"/>
    <w:rsid w:val="0050447A"/>
    <w:rsid w:val="0050458F"/>
    <w:rsid w:val="0050535E"/>
    <w:rsid w:val="005061FD"/>
    <w:rsid w:val="0050685E"/>
    <w:rsid w:val="005075DF"/>
    <w:rsid w:val="00507C32"/>
    <w:rsid w:val="00510B70"/>
    <w:rsid w:val="00510E47"/>
    <w:rsid w:val="0051118D"/>
    <w:rsid w:val="00512F93"/>
    <w:rsid w:val="0051393B"/>
    <w:rsid w:val="00513A82"/>
    <w:rsid w:val="00514A42"/>
    <w:rsid w:val="00514AFA"/>
    <w:rsid w:val="0051509C"/>
    <w:rsid w:val="005161BF"/>
    <w:rsid w:val="00516F78"/>
    <w:rsid w:val="00516F86"/>
    <w:rsid w:val="00517106"/>
    <w:rsid w:val="00517362"/>
    <w:rsid w:val="005173D2"/>
    <w:rsid w:val="00520639"/>
    <w:rsid w:val="005215C5"/>
    <w:rsid w:val="00522CAA"/>
    <w:rsid w:val="005233BF"/>
    <w:rsid w:val="0052368D"/>
    <w:rsid w:val="00523A76"/>
    <w:rsid w:val="00523F79"/>
    <w:rsid w:val="00524281"/>
    <w:rsid w:val="00525E33"/>
    <w:rsid w:val="005264EC"/>
    <w:rsid w:val="0052684A"/>
    <w:rsid w:val="00527A80"/>
    <w:rsid w:val="00530066"/>
    <w:rsid w:val="0053016B"/>
    <w:rsid w:val="0053020C"/>
    <w:rsid w:val="005309FD"/>
    <w:rsid w:val="005310B6"/>
    <w:rsid w:val="00531362"/>
    <w:rsid w:val="005329CD"/>
    <w:rsid w:val="00532A75"/>
    <w:rsid w:val="0053481C"/>
    <w:rsid w:val="005354D5"/>
    <w:rsid w:val="005355F6"/>
    <w:rsid w:val="00535930"/>
    <w:rsid w:val="005367A3"/>
    <w:rsid w:val="00536B98"/>
    <w:rsid w:val="00537026"/>
    <w:rsid w:val="005379A5"/>
    <w:rsid w:val="00537E31"/>
    <w:rsid w:val="00537F28"/>
    <w:rsid w:val="00540AB6"/>
    <w:rsid w:val="0054220F"/>
    <w:rsid w:val="005425C2"/>
    <w:rsid w:val="00543BC9"/>
    <w:rsid w:val="00544592"/>
    <w:rsid w:val="00545B17"/>
    <w:rsid w:val="0054619E"/>
    <w:rsid w:val="00547317"/>
    <w:rsid w:val="0054748B"/>
    <w:rsid w:val="00547A86"/>
    <w:rsid w:val="00551ACD"/>
    <w:rsid w:val="00553FDC"/>
    <w:rsid w:val="0055420E"/>
    <w:rsid w:val="00556481"/>
    <w:rsid w:val="005567A3"/>
    <w:rsid w:val="0055721B"/>
    <w:rsid w:val="005578D2"/>
    <w:rsid w:val="00560647"/>
    <w:rsid w:val="00562507"/>
    <w:rsid w:val="005629F4"/>
    <w:rsid w:val="00563928"/>
    <w:rsid w:val="00563E9C"/>
    <w:rsid w:val="00564E87"/>
    <w:rsid w:val="005659F9"/>
    <w:rsid w:val="00566800"/>
    <w:rsid w:val="0056684A"/>
    <w:rsid w:val="00566E39"/>
    <w:rsid w:val="00567494"/>
    <w:rsid w:val="005675AB"/>
    <w:rsid w:val="00567A2A"/>
    <w:rsid w:val="005707C4"/>
    <w:rsid w:val="00570FE2"/>
    <w:rsid w:val="00571CB5"/>
    <w:rsid w:val="00572195"/>
    <w:rsid w:val="005726D1"/>
    <w:rsid w:val="005728E5"/>
    <w:rsid w:val="00572BB7"/>
    <w:rsid w:val="00572C14"/>
    <w:rsid w:val="00573122"/>
    <w:rsid w:val="005734EE"/>
    <w:rsid w:val="00573810"/>
    <w:rsid w:val="005738D4"/>
    <w:rsid w:val="00573B9E"/>
    <w:rsid w:val="0057461A"/>
    <w:rsid w:val="00574AA7"/>
    <w:rsid w:val="005755D9"/>
    <w:rsid w:val="00575D3A"/>
    <w:rsid w:val="00577296"/>
    <w:rsid w:val="005777E0"/>
    <w:rsid w:val="0058136B"/>
    <w:rsid w:val="005814DD"/>
    <w:rsid w:val="0058150D"/>
    <w:rsid w:val="00581B13"/>
    <w:rsid w:val="00581B93"/>
    <w:rsid w:val="00581C90"/>
    <w:rsid w:val="00582ACD"/>
    <w:rsid w:val="00584326"/>
    <w:rsid w:val="0058432B"/>
    <w:rsid w:val="0058435E"/>
    <w:rsid w:val="00584550"/>
    <w:rsid w:val="00585019"/>
    <w:rsid w:val="00585AA5"/>
    <w:rsid w:val="005867E8"/>
    <w:rsid w:val="00586829"/>
    <w:rsid w:val="005901F6"/>
    <w:rsid w:val="00590838"/>
    <w:rsid w:val="00590889"/>
    <w:rsid w:val="005911C2"/>
    <w:rsid w:val="00591200"/>
    <w:rsid w:val="00591FEE"/>
    <w:rsid w:val="00592A45"/>
    <w:rsid w:val="00594E4D"/>
    <w:rsid w:val="0059521E"/>
    <w:rsid w:val="005952D5"/>
    <w:rsid w:val="00595CA6"/>
    <w:rsid w:val="00595F3F"/>
    <w:rsid w:val="0059649E"/>
    <w:rsid w:val="005971F3"/>
    <w:rsid w:val="005975E8"/>
    <w:rsid w:val="00597FDD"/>
    <w:rsid w:val="005A1251"/>
    <w:rsid w:val="005A174A"/>
    <w:rsid w:val="005A18E7"/>
    <w:rsid w:val="005A571D"/>
    <w:rsid w:val="005A755E"/>
    <w:rsid w:val="005A7D2B"/>
    <w:rsid w:val="005B069A"/>
    <w:rsid w:val="005B0B47"/>
    <w:rsid w:val="005B1A1E"/>
    <w:rsid w:val="005B1AEA"/>
    <w:rsid w:val="005B251A"/>
    <w:rsid w:val="005B34DD"/>
    <w:rsid w:val="005B387A"/>
    <w:rsid w:val="005B3A10"/>
    <w:rsid w:val="005B416F"/>
    <w:rsid w:val="005B455B"/>
    <w:rsid w:val="005B4AEE"/>
    <w:rsid w:val="005B4EDE"/>
    <w:rsid w:val="005B5717"/>
    <w:rsid w:val="005B5875"/>
    <w:rsid w:val="005B6369"/>
    <w:rsid w:val="005B69A4"/>
    <w:rsid w:val="005B6FF7"/>
    <w:rsid w:val="005B74E3"/>
    <w:rsid w:val="005C0197"/>
    <w:rsid w:val="005C0C90"/>
    <w:rsid w:val="005C1E65"/>
    <w:rsid w:val="005C27DA"/>
    <w:rsid w:val="005C2B49"/>
    <w:rsid w:val="005C2D31"/>
    <w:rsid w:val="005C2DC7"/>
    <w:rsid w:val="005C30B8"/>
    <w:rsid w:val="005C33AE"/>
    <w:rsid w:val="005C42E7"/>
    <w:rsid w:val="005C4450"/>
    <w:rsid w:val="005C4544"/>
    <w:rsid w:val="005C5370"/>
    <w:rsid w:val="005C5A9B"/>
    <w:rsid w:val="005C5D09"/>
    <w:rsid w:val="005C61E3"/>
    <w:rsid w:val="005C61F3"/>
    <w:rsid w:val="005C6B2F"/>
    <w:rsid w:val="005C6B50"/>
    <w:rsid w:val="005C6D56"/>
    <w:rsid w:val="005C704F"/>
    <w:rsid w:val="005C7491"/>
    <w:rsid w:val="005C77EF"/>
    <w:rsid w:val="005C7988"/>
    <w:rsid w:val="005C7AA8"/>
    <w:rsid w:val="005D03A4"/>
    <w:rsid w:val="005D18C8"/>
    <w:rsid w:val="005D1E52"/>
    <w:rsid w:val="005D29F3"/>
    <w:rsid w:val="005D2DD0"/>
    <w:rsid w:val="005D345E"/>
    <w:rsid w:val="005D390B"/>
    <w:rsid w:val="005D3D90"/>
    <w:rsid w:val="005D422A"/>
    <w:rsid w:val="005D68C2"/>
    <w:rsid w:val="005E0C3E"/>
    <w:rsid w:val="005E11C0"/>
    <w:rsid w:val="005E139D"/>
    <w:rsid w:val="005E349E"/>
    <w:rsid w:val="005E5ABD"/>
    <w:rsid w:val="005E5CA0"/>
    <w:rsid w:val="005E6EDF"/>
    <w:rsid w:val="005F17EF"/>
    <w:rsid w:val="005F232E"/>
    <w:rsid w:val="005F29DB"/>
    <w:rsid w:val="005F3940"/>
    <w:rsid w:val="005F3FD4"/>
    <w:rsid w:val="005F406D"/>
    <w:rsid w:val="005F4645"/>
    <w:rsid w:val="005F5645"/>
    <w:rsid w:val="005F66C6"/>
    <w:rsid w:val="00601A86"/>
    <w:rsid w:val="006021B8"/>
    <w:rsid w:val="00602883"/>
    <w:rsid w:val="00603360"/>
    <w:rsid w:val="00603616"/>
    <w:rsid w:val="006041A1"/>
    <w:rsid w:val="0060488A"/>
    <w:rsid w:val="00605FC6"/>
    <w:rsid w:val="00606B30"/>
    <w:rsid w:val="00606BE1"/>
    <w:rsid w:val="006072E6"/>
    <w:rsid w:val="00607709"/>
    <w:rsid w:val="00611796"/>
    <w:rsid w:val="006129CF"/>
    <w:rsid w:val="006133CF"/>
    <w:rsid w:val="00613DE3"/>
    <w:rsid w:val="00614118"/>
    <w:rsid w:val="00614444"/>
    <w:rsid w:val="00614937"/>
    <w:rsid w:val="00614A3C"/>
    <w:rsid w:val="006152E6"/>
    <w:rsid w:val="006164A6"/>
    <w:rsid w:val="006169D8"/>
    <w:rsid w:val="00616C24"/>
    <w:rsid w:val="00617070"/>
    <w:rsid w:val="006170BA"/>
    <w:rsid w:val="006179AF"/>
    <w:rsid w:val="00617E02"/>
    <w:rsid w:val="006208B1"/>
    <w:rsid w:val="00620C1B"/>
    <w:rsid w:val="00621710"/>
    <w:rsid w:val="00621E3C"/>
    <w:rsid w:val="00622175"/>
    <w:rsid w:val="00622523"/>
    <w:rsid w:val="00622854"/>
    <w:rsid w:val="00623066"/>
    <w:rsid w:val="00623F26"/>
    <w:rsid w:val="00624FA2"/>
    <w:rsid w:val="00625EF6"/>
    <w:rsid w:val="00626141"/>
    <w:rsid w:val="006261D4"/>
    <w:rsid w:val="00627019"/>
    <w:rsid w:val="006270F8"/>
    <w:rsid w:val="00627814"/>
    <w:rsid w:val="00627984"/>
    <w:rsid w:val="006301CB"/>
    <w:rsid w:val="00631802"/>
    <w:rsid w:val="006318D5"/>
    <w:rsid w:val="00632776"/>
    <w:rsid w:val="00632873"/>
    <w:rsid w:val="00632B25"/>
    <w:rsid w:val="00632C73"/>
    <w:rsid w:val="006331A2"/>
    <w:rsid w:val="00633725"/>
    <w:rsid w:val="00633EBD"/>
    <w:rsid w:val="00634C84"/>
    <w:rsid w:val="00634D43"/>
    <w:rsid w:val="00635146"/>
    <w:rsid w:val="00635AF8"/>
    <w:rsid w:val="00636003"/>
    <w:rsid w:val="00636A1B"/>
    <w:rsid w:val="00637160"/>
    <w:rsid w:val="0063763C"/>
    <w:rsid w:val="006406A1"/>
    <w:rsid w:val="00640D52"/>
    <w:rsid w:val="0064112F"/>
    <w:rsid w:val="0064146D"/>
    <w:rsid w:val="006414C3"/>
    <w:rsid w:val="00641A57"/>
    <w:rsid w:val="00641E7A"/>
    <w:rsid w:val="006425C7"/>
    <w:rsid w:val="00642E80"/>
    <w:rsid w:val="00643BEC"/>
    <w:rsid w:val="006443E4"/>
    <w:rsid w:val="00644B26"/>
    <w:rsid w:val="00644D1F"/>
    <w:rsid w:val="00644D24"/>
    <w:rsid w:val="00645A83"/>
    <w:rsid w:val="006465B2"/>
    <w:rsid w:val="00646753"/>
    <w:rsid w:val="00646E61"/>
    <w:rsid w:val="0064773E"/>
    <w:rsid w:val="00647F76"/>
    <w:rsid w:val="00650530"/>
    <w:rsid w:val="00650777"/>
    <w:rsid w:val="00651B2D"/>
    <w:rsid w:val="006520E3"/>
    <w:rsid w:val="00652D0C"/>
    <w:rsid w:val="00653AA6"/>
    <w:rsid w:val="0065408B"/>
    <w:rsid w:val="006541C8"/>
    <w:rsid w:val="00654474"/>
    <w:rsid w:val="0065571F"/>
    <w:rsid w:val="006563AE"/>
    <w:rsid w:val="00656F44"/>
    <w:rsid w:val="00657414"/>
    <w:rsid w:val="00657819"/>
    <w:rsid w:val="006601AD"/>
    <w:rsid w:val="00660B27"/>
    <w:rsid w:val="006612A4"/>
    <w:rsid w:val="006612C7"/>
    <w:rsid w:val="006628B7"/>
    <w:rsid w:val="00663188"/>
    <w:rsid w:val="006635FE"/>
    <w:rsid w:val="00663874"/>
    <w:rsid w:val="00664276"/>
    <w:rsid w:val="00665245"/>
    <w:rsid w:val="006666E1"/>
    <w:rsid w:val="00667495"/>
    <w:rsid w:val="006674EA"/>
    <w:rsid w:val="006676B7"/>
    <w:rsid w:val="00667912"/>
    <w:rsid w:val="00667F22"/>
    <w:rsid w:val="006720F2"/>
    <w:rsid w:val="006722C1"/>
    <w:rsid w:val="00672315"/>
    <w:rsid w:val="00672AD6"/>
    <w:rsid w:val="00672F11"/>
    <w:rsid w:val="00673054"/>
    <w:rsid w:val="00673DAC"/>
    <w:rsid w:val="00674579"/>
    <w:rsid w:val="0067463F"/>
    <w:rsid w:val="00674E70"/>
    <w:rsid w:val="006755E2"/>
    <w:rsid w:val="00676234"/>
    <w:rsid w:val="00676B7C"/>
    <w:rsid w:val="00676BC3"/>
    <w:rsid w:val="00676F00"/>
    <w:rsid w:val="0067773D"/>
    <w:rsid w:val="00677CD9"/>
    <w:rsid w:val="006801DE"/>
    <w:rsid w:val="00680CB8"/>
    <w:rsid w:val="00682A92"/>
    <w:rsid w:val="006837CD"/>
    <w:rsid w:val="00683A03"/>
    <w:rsid w:val="00683F75"/>
    <w:rsid w:val="0068419D"/>
    <w:rsid w:val="0068465A"/>
    <w:rsid w:val="00684DEF"/>
    <w:rsid w:val="0068671D"/>
    <w:rsid w:val="006873C7"/>
    <w:rsid w:val="00690683"/>
    <w:rsid w:val="00691109"/>
    <w:rsid w:val="006914E7"/>
    <w:rsid w:val="006930B7"/>
    <w:rsid w:val="006937EF"/>
    <w:rsid w:val="00693D2A"/>
    <w:rsid w:val="00694BD2"/>
    <w:rsid w:val="00694FFB"/>
    <w:rsid w:val="0069524B"/>
    <w:rsid w:val="006952D5"/>
    <w:rsid w:val="006957A8"/>
    <w:rsid w:val="006963EB"/>
    <w:rsid w:val="006968AD"/>
    <w:rsid w:val="00697B6D"/>
    <w:rsid w:val="006A033B"/>
    <w:rsid w:val="006A0500"/>
    <w:rsid w:val="006A09F6"/>
    <w:rsid w:val="006A1D6B"/>
    <w:rsid w:val="006A215A"/>
    <w:rsid w:val="006A338A"/>
    <w:rsid w:val="006A3CBE"/>
    <w:rsid w:val="006A4469"/>
    <w:rsid w:val="006A4D16"/>
    <w:rsid w:val="006A5004"/>
    <w:rsid w:val="006A5592"/>
    <w:rsid w:val="006A564B"/>
    <w:rsid w:val="006A580F"/>
    <w:rsid w:val="006A5C38"/>
    <w:rsid w:val="006A63DD"/>
    <w:rsid w:val="006A7C08"/>
    <w:rsid w:val="006B01C3"/>
    <w:rsid w:val="006B0E64"/>
    <w:rsid w:val="006B16CB"/>
    <w:rsid w:val="006B490E"/>
    <w:rsid w:val="006B4B8C"/>
    <w:rsid w:val="006B4C54"/>
    <w:rsid w:val="006B4D07"/>
    <w:rsid w:val="006B4D53"/>
    <w:rsid w:val="006B5F1A"/>
    <w:rsid w:val="006B60EC"/>
    <w:rsid w:val="006B6C59"/>
    <w:rsid w:val="006B72E9"/>
    <w:rsid w:val="006C029F"/>
    <w:rsid w:val="006C0A74"/>
    <w:rsid w:val="006C1246"/>
    <w:rsid w:val="006C177D"/>
    <w:rsid w:val="006C1A1B"/>
    <w:rsid w:val="006C226F"/>
    <w:rsid w:val="006C2581"/>
    <w:rsid w:val="006C25A3"/>
    <w:rsid w:val="006C2699"/>
    <w:rsid w:val="006C2A8D"/>
    <w:rsid w:val="006C31D0"/>
    <w:rsid w:val="006C3674"/>
    <w:rsid w:val="006C375B"/>
    <w:rsid w:val="006C4F86"/>
    <w:rsid w:val="006C5083"/>
    <w:rsid w:val="006C5A42"/>
    <w:rsid w:val="006C5AE2"/>
    <w:rsid w:val="006C5B5E"/>
    <w:rsid w:val="006C5D72"/>
    <w:rsid w:val="006C6628"/>
    <w:rsid w:val="006C66EB"/>
    <w:rsid w:val="006C6A47"/>
    <w:rsid w:val="006C6BA4"/>
    <w:rsid w:val="006C76FF"/>
    <w:rsid w:val="006D0D5B"/>
    <w:rsid w:val="006D1172"/>
    <w:rsid w:val="006D2732"/>
    <w:rsid w:val="006D2B88"/>
    <w:rsid w:val="006D3418"/>
    <w:rsid w:val="006D34E1"/>
    <w:rsid w:val="006D44BF"/>
    <w:rsid w:val="006D52F8"/>
    <w:rsid w:val="006D55B7"/>
    <w:rsid w:val="006D5749"/>
    <w:rsid w:val="006D6523"/>
    <w:rsid w:val="006D707E"/>
    <w:rsid w:val="006D75B5"/>
    <w:rsid w:val="006D7DC3"/>
    <w:rsid w:val="006E0110"/>
    <w:rsid w:val="006E01A2"/>
    <w:rsid w:val="006E057E"/>
    <w:rsid w:val="006E0A95"/>
    <w:rsid w:val="006E158A"/>
    <w:rsid w:val="006E1ADE"/>
    <w:rsid w:val="006E1C22"/>
    <w:rsid w:val="006E1F31"/>
    <w:rsid w:val="006E3872"/>
    <w:rsid w:val="006E4321"/>
    <w:rsid w:val="006E5C45"/>
    <w:rsid w:val="006E5C66"/>
    <w:rsid w:val="006E693C"/>
    <w:rsid w:val="006E7364"/>
    <w:rsid w:val="006F0020"/>
    <w:rsid w:val="006F08EC"/>
    <w:rsid w:val="006F1831"/>
    <w:rsid w:val="006F1BB9"/>
    <w:rsid w:val="006F25E0"/>
    <w:rsid w:val="006F2F0F"/>
    <w:rsid w:val="006F35B7"/>
    <w:rsid w:val="006F3F86"/>
    <w:rsid w:val="006F54AB"/>
    <w:rsid w:val="006F59E4"/>
    <w:rsid w:val="006F5A43"/>
    <w:rsid w:val="006F60D8"/>
    <w:rsid w:val="006F6289"/>
    <w:rsid w:val="006F6D95"/>
    <w:rsid w:val="006F7954"/>
    <w:rsid w:val="00700047"/>
    <w:rsid w:val="007003CA"/>
    <w:rsid w:val="0070050A"/>
    <w:rsid w:val="00701D71"/>
    <w:rsid w:val="007022F8"/>
    <w:rsid w:val="007026FF"/>
    <w:rsid w:val="0070293D"/>
    <w:rsid w:val="007032C4"/>
    <w:rsid w:val="00703A4B"/>
    <w:rsid w:val="0070447C"/>
    <w:rsid w:val="00705783"/>
    <w:rsid w:val="00706396"/>
    <w:rsid w:val="007065C0"/>
    <w:rsid w:val="007077A8"/>
    <w:rsid w:val="00707ECB"/>
    <w:rsid w:val="0071025E"/>
    <w:rsid w:val="00710C83"/>
    <w:rsid w:val="00712B03"/>
    <w:rsid w:val="00712F36"/>
    <w:rsid w:val="00714823"/>
    <w:rsid w:val="00715089"/>
    <w:rsid w:val="007153B4"/>
    <w:rsid w:val="007154AD"/>
    <w:rsid w:val="00715AD0"/>
    <w:rsid w:val="00715CA6"/>
    <w:rsid w:val="007169E1"/>
    <w:rsid w:val="00716AB8"/>
    <w:rsid w:val="00716B54"/>
    <w:rsid w:val="00720B34"/>
    <w:rsid w:val="00720BF0"/>
    <w:rsid w:val="00720E3C"/>
    <w:rsid w:val="0072108B"/>
    <w:rsid w:val="0072151E"/>
    <w:rsid w:val="00722326"/>
    <w:rsid w:val="00724233"/>
    <w:rsid w:val="007249DD"/>
    <w:rsid w:val="00724F8A"/>
    <w:rsid w:val="00725152"/>
    <w:rsid w:val="007257CD"/>
    <w:rsid w:val="00726791"/>
    <w:rsid w:val="00727BC6"/>
    <w:rsid w:val="00731E97"/>
    <w:rsid w:val="007329DC"/>
    <w:rsid w:val="00732F85"/>
    <w:rsid w:val="00732FD4"/>
    <w:rsid w:val="00732FE1"/>
    <w:rsid w:val="007332D0"/>
    <w:rsid w:val="00733824"/>
    <w:rsid w:val="00733D5E"/>
    <w:rsid w:val="007347CA"/>
    <w:rsid w:val="00735841"/>
    <w:rsid w:val="00735A77"/>
    <w:rsid w:val="0073640D"/>
    <w:rsid w:val="00737853"/>
    <w:rsid w:val="00737B38"/>
    <w:rsid w:val="00740438"/>
    <w:rsid w:val="0074061B"/>
    <w:rsid w:val="00740A6B"/>
    <w:rsid w:val="00740A6E"/>
    <w:rsid w:val="00741515"/>
    <w:rsid w:val="007415BF"/>
    <w:rsid w:val="00741931"/>
    <w:rsid w:val="0074205D"/>
    <w:rsid w:val="00743454"/>
    <w:rsid w:val="00743737"/>
    <w:rsid w:val="007440C7"/>
    <w:rsid w:val="0074411A"/>
    <w:rsid w:val="00745343"/>
    <w:rsid w:val="007453CA"/>
    <w:rsid w:val="0074578C"/>
    <w:rsid w:val="00745851"/>
    <w:rsid w:val="00745852"/>
    <w:rsid w:val="00745A27"/>
    <w:rsid w:val="00745D95"/>
    <w:rsid w:val="007460FA"/>
    <w:rsid w:val="007472E5"/>
    <w:rsid w:val="007477A1"/>
    <w:rsid w:val="00750DB7"/>
    <w:rsid w:val="0075204B"/>
    <w:rsid w:val="007525BF"/>
    <w:rsid w:val="00752622"/>
    <w:rsid w:val="00752857"/>
    <w:rsid w:val="007531B1"/>
    <w:rsid w:val="0075323E"/>
    <w:rsid w:val="00753A11"/>
    <w:rsid w:val="00753CD4"/>
    <w:rsid w:val="00754931"/>
    <w:rsid w:val="00755483"/>
    <w:rsid w:val="00757111"/>
    <w:rsid w:val="007576E4"/>
    <w:rsid w:val="00757C20"/>
    <w:rsid w:val="007603E6"/>
    <w:rsid w:val="0076067E"/>
    <w:rsid w:val="00760B74"/>
    <w:rsid w:val="00760FD9"/>
    <w:rsid w:val="007619B8"/>
    <w:rsid w:val="00762233"/>
    <w:rsid w:val="0076227F"/>
    <w:rsid w:val="0076272C"/>
    <w:rsid w:val="007634B9"/>
    <w:rsid w:val="00763C00"/>
    <w:rsid w:val="0076434B"/>
    <w:rsid w:val="00764A29"/>
    <w:rsid w:val="00764FAB"/>
    <w:rsid w:val="0076509B"/>
    <w:rsid w:val="007656A7"/>
    <w:rsid w:val="0076576D"/>
    <w:rsid w:val="00766054"/>
    <w:rsid w:val="00766F7E"/>
    <w:rsid w:val="00767B0B"/>
    <w:rsid w:val="007704C4"/>
    <w:rsid w:val="00770630"/>
    <w:rsid w:val="0077065E"/>
    <w:rsid w:val="00771428"/>
    <w:rsid w:val="00771E83"/>
    <w:rsid w:val="00772B1D"/>
    <w:rsid w:val="00772E1E"/>
    <w:rsid w:val="007735DA"/>
    <w:rsid w:val="00773B28"/>
    <w:rsid w:val="007745EE"/>
    <w:rsid w:val="0077476B"/>
    <w:rsid w:val="00775B77"/>
    <w:rsid w:val="00775EDD"/>
    <w:rsid w:val="0077602C"/>
    <w:rsid w:val="00776199"/>
    <w:rsid w:val="00776B44"/>
    <w:rsid w:val="00777232"/>
    <w:rsid w:val="007776F1"/>
    <w:rsid w:val="007777B8"/>
    <w:rsid w:val="00780EEA"/>
    <w:rsid w:val="00780FD5"/>
    <w:rsid w:val="007812BE"/>
    <w:rsid w:val="007817BE"/>
    <w:rsid w:val="007818B2"/>
    <w:rsid w:val="0078265A"/>
    <w:rsid w:val="00783C06"/>
    <w:rsid w:val="00784ABF"/>
    <w:rsid w:val="00785038"/>
    <w:rsid w:val="007858A7"/>
    <w:rsid w:val="007865C4"/>
    <w:rsid w:val="00786744"/>
    <w:rsid w:val="00790D88"/>
    <w:rsid w:val="00790E97"/>
    <w:rsid w:val="00790EF1"/>
    <w:rsid w:val="00791D5F"/>
    <w:rsid w:val="00792091"/>
    <w:rsid w:val="00792AC7"/>
    <w:rsid w:val="00792AED"/>
    <w:rsid w:val="00792C7F"/>
    <w:rsid w:val="0079719E"/>
    <w:rsid w:val="0079790F"/>
    <w:rsid w:val="00797E57"/>
    <w:rsid w:val="007A0072"/>
    <w:rsid w:val="007A07FE"/>
    <w:rsid w:val="007A0944"/>
    <w:rsid w:val="007A0A04"/>
    <w:rsid w:val="007A1489"/>
    <w:rsid w:val="007A2819"/>
    <w:rsid w:val="007A5C17"/>
    <w:rsid w:val="007A5F57"/>
    <w:rsid w:val="007A6AEC"/>
    <w:rsid w:val="007A7651"/>
    <w:rsid w:val="007B034B"/>
    <w:rsid w:val="007B0DCE"/>
    <w:rsid w:val="007B1006"/>
    <w:rsid w:val="007B1C84"/>
    <w:rsid w:val="007B25B1"/>
    <w:rsid w:val="007B28FB"/>
    <w:rsid w:val="007B3086"/>
    <w:rsid w:val="007B5759"/>
    <w:rsid w:val="007B71BC"/>
    <w:rsid w:val="007B7493"/>
    <w:rsid w:val="007C0BC2"/>
    <w:rsid w:val="007C158D"/>
    <w:rsid w:val="007C1FBF"/>
    <w:rsid w:val="007C205F"/>
    <w:rsid w:val="007C2D9A"/>
    <w:rsid w:val="007C3967"/>
    <w:rsid w:val="007C3AE6"/>
    <w:rsid w:val="007C3AE8"/>
    <w:rsid w:val="007C3DC9"/>
    <w:rsid w:val="007C4B00"/>
    <w:rsid w:val="007C5E27"/>
    <w:rsid w:val="007C625B"/>
    <w:rsid w:val="007C6435"/>
    <w:rsid w:val="007C7690"/>
    <w:rsid w:val="007D0871"/>
    <w:rsid w:val="007D0AC0"/>
    <w:rsid w:val="007D0E63"/>
    <w:rsid w:val="007D1BA4"/>
    <w:rsid w:val="007D1F73"/>
    <w:rsid w:val="007D1FB3"/>
    <w:rsid w:val="007D3019"/>
    <w:rsid w:val="007D32AA"/>
    <w:rsid w:val="007D3D9B"/>
    <w:rsid w:val="007D47B5"/>
    <w:rsid w:val="007D4B3E"/>
    <w:rsid w:val="007D5142"/>
    <w:rsid w:val="007D5377"/>
    <w:rsid w:val="007D5529"/>
    <w:rsid w:val="007D5F98"/>
    <w:rsid w:val="007D701A"/>
    <w:rsid w:val="007D79D3"/>
    <w:rsid w:val="007E0BFA"/>
    <w:rsid w:val="007E0C1D"/>
    <w:rsid w:val="007E12B1"/>
    <w:rsid w:val="007E3514"/>
    <w:rsid w:val="007E4E22"/>
    <w:rsid w:val="007E786F"/>
    <w:rsid w:val="007E7A35"/>
    <w:rsid w:val="007E7C22"/>
    <w:rsid w:val="007E7D06"/>
    <w:rsid w:val="007F053D"/>
    <w:rsid w:val="007F16F8"/>
    <w:rsid w:val="007F174C"/>
    <w:rsid w:val="007F2796"/>
    <w:rsid w:val="007F2C93"/>
    <w:rsid w:val="007F3D90"/>
    <w:rsid w:val="007F4724"/>
    <w:rsid w:val="007F4A9A"/>
    <w:rsid w:val="007F5136"/>
    <w:rsid w:val="007F5974"/>
    <w:rsid w:val="007F5C35"/>
    <w:rsid w:val="007F75D0"/>
    <w:rsid w:val="007F7653"/>
    <w:rsid w:val="00800062"/>
    <w:rsid w:val="00800891"/>
    <w:rsid w:val="00800A97"/>
    <w:rsid w:val="008015A9"/>
    <w:rsid w:val="0080185B"/>
    <w:rsid w:val="00801955"/>
    <w:rsid w:val="00802253"/>
    <w:rsid w:val="008022A3"/>
    <w:rsid w:val="00802F23"/>
    <w:rsid w:val="008036F7"/>
    <w:rsid w:val="00803F85"/>
    <w:rsid w:val="008050FF"/>
    <w:rsid w:val="008052F7"/>
    <w:rsid w:val="00806724"/>
    <w:rsid w:val="008076A2"/>
    <w:rsid w:val="00810AE3"/>
    <w:rsid w:val="00810D23"/>
    <w:rsid w:val="00810EBA"/>
    <w:rsid w:val="00811CCD"/>
    <w:rsid w:val="00812BB8"/>
    <w:rsid w:val="00812EDE"/>
    <w:rsid w:val="00812FC0"/>
    <w:rsid w:val="008132C0"/>
    <w:rsid w:val="0081399B"/>
    <w:rsid w:val="00814267"/>
    <w:rsid w:val="00814954"/>
    <w:rsid w:val="00814AE6"/>
    <w:rsid w:val="00814B3E"/>
    <w:rsid w:val="00814F1F"/>
    <w:rsid w:val="008152FC"/>
    <w:rsid w:val="0081592D"/>
    <w:rsid w:val="00816AA4"/>
    <w:rsid w:val="00816B42"/>
    <w:rsid w:val="00816CF3"/>
    <w:rsid w:val="008173D7"/>
    <w:rsid w:val="00820417"/>
    <w:rsid w:val="008222B8"/>
    <w:rsid w:val="00824543"/>
    <w:rsid w:val="008261B1"/>
    <w:rsid w:val="00826982"/>
    <w:rsid w:val="00826C8A"/>
    <w:rsid w:val="008301B1"/>
    <w:rsid w:val="00830256"/>
    <w:rsid w:val="008304D7"/>
    <w:rsid w:val="00830ABD"/>
    <w:rsid w:val="008315FA"/>
    <w:rsid w:val="008323F3"/>
    <w:rsid w:val="00832506"/>
    <w:rsid w:val="008325D1"/>
    <w:rsid w:val="00832BEA"/>
    <w:rsid w:val="00832D19"/>
    <w:rsid w:val="00833A36"/>
    <w:rsid w:val="00833EDB"/>
    <w:rsid w:val="00833F14"/>
    <w:rsid w:val="00834203"/>
    <w:rsid w:val="008362C3"/>
    <w:rsid w:val="00837DE8"/>
    <w:rsid w:val="008417AF"/>
    <w:rsid w:val="00841ABF"/>
    <w:rsid w:val="00842038"/>
    <w:rsid w:val="008441BD"/>
    <w:rsid w:val="00844FE5"/>
    <w:rsid w:val="00845D28"/>
    <w:rsid w:val="00847582"/>
    <w:rsid w:val="00847E52"/>
    <w:rsid w:val="00847E53"/>
    <w:rsid w:val="00850957"/>
    <w:rsid w:val="00851766"/>
    <w:rsid w:val="00851B83"/>
    <w:rsid w:val="008524A7"/>
    <w:rsid w:val="008528ED"/>
    <w:rsid w:val="008530F9"/>
    <w:rsid w:val="00853AD7"/>
    <w:rsid w:val="0085552B"/>
    <w:rsid w:val="00855C21"/>
    <w:rsid w:val="00856A6F"/>
    <w:rsid w:val="00857020"/>
    <w:rsid w:val="00857818"/>
    <w:rsid w:val="00857A14"/>
    <w:rsid w:val="00857D4F"/>
    <w:rsid w:val="00857E43"/>
    <w:rsid w:val="008611B7"/>
    <w:rsid w:val="00861F04"/>
    <w:rsid w:val="0086216B"/>
    <w:rsid w:val="00862975"/>
    <w:rsid w:val="008635AD"/>
    <w:rsid w:val="008637F7"/>
    <w:rsid w:val="0086494F"/>
    <w:rsid w:val="00864FBA"/>
    <w:rsid w:val="008652B1"/>
    <w:rsid w:val="008655AF"/>
    <w:rsid w:val="008658D0"/>
    <w:rsid w:val="00866B4D"/>
    <w:rsid w:val="00866C60"/>
    <w:rsid w:val="008674DD"/>
    <w:rsid w:val="0087043C"/>
    <w:rsid w:val="00870B24"/>
    <w:rsid w:val="0087187B"/>
    <w:rsid w:val="00872468"/>
    <w:rsid w:val="00873B6B"/>
    <w:rsid w:val="00873BD5"/>
    <w:rsid w:val="00873DFB"/>
    <w:rsid w:val="0087426F"/>
    <w:rsid w:val="00874902"/>
    <w:rsid w:val="00875DBB"/>
    <w:rsid w:val="00875FB4"/>
    <w:rsid w:val="00876534"/>
    <w:rsid w:val="00877DED"/>
    <w:rsid w:val="008805A7"/>
    <w:rsid w:val="00880ED7"/>
    <w:rsid w:val="00880FAB"/>
    <w:rsid w:val="0088124F"/>
    <w:rsid w:val="008823E4"/>
    <w:rsid w:val="00882A2C"/>
    <w:rsid w:val="0088377A"/>
    <w:rsid w:val="008841BB"/>
    <w:rsid w:val="00884232"/>
    <w:rsid w:val="008844A7"/>
    <w:rsid w:val="00884B20"/>
    <w:rsid w:val="00885698"/>
    <w:rsid w:val="00885B78"/>
    <w:rsid w:val="008871B2"/>
    <w:rsid w:val="008873D7"/>
    <w:rsid w:val="0088741B"/>
    <w:rsid w:val="00887D61"/>
    <w:rsid w:val="00890B99"/>
    <w:rsid w:val="00890D87"/>
    <w:rsid w:val="00891156"/>
    <w:rsid w:val="00891C5D"/>
    <w:rsid w:val="00892994"/>
    <w:rsid w:val="00892E12"/>
    <w:rsid w:val="008934D7"/>
    <w:rsid w:val="0089433A"/>
    <w:rsid w:val="00894E54"/>
    <w:rsid w:val="00895576"/>
    <w:rsid w:val="00896027"/>
    <w:rsid w:val="008A0D41"/>
    <w:rsid w:val="008A1A4D"/>
    <w:rsid w:val="008A25E2"/>
    <w:rsid w:val="008A2A15"/>
    <w:rsid w:val="008A379D"/>
    <w:rsid w:val="008A3DA3"/>
    <w:rsid w:val="008A4924"/>
    <w:rsid w:val="008A543E"/>
    <w:rsid w:val="008A54A2"/>
    <w:rsid w:val="008A5A12"/>
    <w:rsid w:val="008A6583"/>
    <w:rsid w:val="008A6B58"/>
    <w:rsid w:val="008A7087"/>
    <w:rsid w:val="008A73DC"/>
    <w:rsid w:val="008B123E"/>
    <w:rsid w:val="008B13F4"/>
    <w:rsid w:val="008B1FC9"/>
    <w:rsid w:val="008B2000"/>
    <w:rsid w:val="008B27D8"/>
    <w:rsid w:val="008B2D35"/>
    <w:rsid w:val="008B3E08"/>
    <w:rsid w:val="008B4535"/>
    <w:rsid w:val="008B5755"/>
    <w:rsid w:val="008B5D3D"/>
    <w:rsid w:val="008B60A4"/>
    <w:rsid w:val="008B61FA"/>
    <w:rsid w:val="008B66B5"/>
    <w:rsid w:val="008B6921"/>
    <w:rsid w:val="008B78CC"/>
    <w:rsid w:val="008B7FF7"/>
    <w:rsid w:val="008C0169"/>
    <w:rsid w:val="008C1987"/>
    <w:rsid w:val="008C1CE4"/>
    <w:rsid w:val="008C2590"/>
    <w:rsid w:val="008C2996"/>
    <w:rsid w:val="008C3226"/>
    <w:rsid w:val="008C3475"/>
    <w:rsid w:val="008C3507"/>
    <w:rsid w:val="008C3F9B"/>
    <w:rsid w:val="008C5104"/>
    <w:rsid w:val="008C5B01"/>
    <w:rsid w:val="008C79EE"/>
    <w:rsid w:val="008C7E79"/>
    <w:rsid w:val="008D0217"/>
    <w:rsid w:val="008D37E4"/>
    <w:rsid w:val="008D38D3"/>
    <w:rsid w:val="008D41BA"/>
    <w:rsid w:val="008D4862"/>
    <w:rsid w:val="008D55FF"/>
    <w:rsid w:val="008D5629"/>
    <w:rsid w:val="008D5F67"/>
    <w:rsid w:val="008D5F70"/>
    <w:rsid w:val="008D61B8"/>
    <w:rsid w:val="008D6212"/>
    <w:rsid w:val="008D714B"/>
    <w:rsid w:val="008D7D6C"/>
    <w:rsid w:val="008E0101"/>
    <w:rsid w:val="008E0379"/>
    <w:rsid w:val="008E16DD"/>
    <w:rsid w:val="008E1EA1"/>
    <w:rsid w:val="008E2780"/>
    <w:rsid w:val="008E28C2"/>
    <w:rsid w:val="008E2BE2"/>
    <w:rsid w:val="008E2E93"/>
    <w:rsid w:val="008E41FB"/>
    <w:rsid w:val="008E5041"/>
    <w:rsid w:val="008E6198"/>
    <w:rsid w:val="008E724B"/>
    <w:rsid w:val="008E725B"/>
    <w:rsid w:val="008E77DB"/>
    <w:rsid w:val="008E78E1"/>
    <w:rsid w:val="008F0AA0"/>
    <w:rsid w:val="008F199D"/>
    <w:rsid w:val="008F1B6E"/>
    <w:rsid w:val="008F39F7"/>
    <w:rsid w:val="008F3A44"/>
    <w:rsid w:val="008F3FC8"/>
    <w:rsid w:val="008F4B78"/>
    <w:rsid w:val="008F5079"/>
    <w:rsid w:val="008F5430"/>
    <w:rsid w:val="008F6246"/>
    <w:rsid w:val="008F7A23"/>
    <w:rsid w:val="00901DDE"/>
    <w:rsid w:val="00902CFF"/>
    <w:rsid w:val="009032F5"/>
    <w:rsid w:val="00904158"/>
    <w:rsid w:val="00904396"/>
    <w:rsid w:val="009046DB"/>
    <w:rsid w:val="0090488D"/>
    <w:rsid w:val="00904947"/>
    <w:rsid w:val="009051F7"/>
    <w:rsid w:val="009058F4"/>
    <w:rsid w:val="00905B8C"/>
    <w:rsid w:val="00907F33"/>
    <w:rsid w:val="00910305"/>
    <w:rsid w:val="00910734"/>
    <w:rsid w:val="0091139F"/>
    <w:rsid w:val="009117A3"/>
    <w:rsid w:val="00911E24"/>
    <w:rsid w:val="009123B6"/>
    <w:rsid w:val="00912BE2"/>
    <w:rsid w:val="0091302C"/>
    <w:rsid w:val="009133AD"/>
    <w:rsid w:val="00913448"/>
    <w:rsid w:val="009136C9"/>
    <w:rsid w:val="0091522C"/>
    <w:rsid w:val="00915909"/>
    <w:rsid w:val="00915BA9"/>
    <w:rsid w:val="00917335"/>
    <w:rsid w:val="009174FB"/>
    <w:rsid w:val="00917CC5"/>
    <w:rsid w:val="00921BB5"/>
    <w:rsid w:val="00921D6C"/>
    <w:rsid w:val="0092270C"/>
    <w:rsid w:val="00922ECC"/>
    <w:rsid w:val="009232D1"/>
    <w:rsid w:val="00923585"/>
    <w:rsid w:val="00923D29"/>
    <w:rsid w:val="009257B7"/>
    <w:rsid w:val="00925924"/>
    <w:rsid w:val="00925E7F"/>
    <w:rsid w:val="00926A32"/>
    <w:rsid w:val="009275B6"/>
    <w:rsid w:val="0092766A"/>
    <w:rsid w:val="00927DAC"/>
    <w:rsid w:val="00927EC2"/>
    <w:rsid w:val="009307AE"/>
    <w:rsid w:val="0093187A"/>
    <w:rsid w:val="00932083"/>
    <w:rsid w:val="00933477"/>
    <w:rsid w:val="00935574"/>
    <w:rsid w:val="0093699B"/>
    <w:rsid w:val="00936D9F"/>
    <w:rsid w:val="00936E32"/>
    <w:rsid w:val="00937CFE"/>
    <w:rsid w:val="0094032C"/>
    <w:rsid w:val="00941BE9"/>
    <w:rsid w:val="0094200F"/>
    <w:rsid w:val="00946880"/>
    <w:rsid w:val="00946881"/>
    <w:rsid w:val="00947351"/>
    <w:rsid w:val="00947C1C"/>
    <w:rsid w:val="00951BC9"/>
    <w:rsid w:val="00952F33"/>
    <w:rsid w:val="00953C66"/>
    <w:rsid w:val="00953D5C"/>
    <w:rsid w:val="00954FBC"/>
    <w:rsid w:val="00955335"/>
    <w:rsid w:val="00955C61"/>
    <w:rsid w:val="009563FC"/>
    <w:rsid w:val="00956696"/>
    <w:rsid w:val="00956C2B"/>
    <w:rsid w:val="00956DC1"/>
    <w:rsid w:val="0095751B"/>
    <w:rsid w:val="0095782B"/>
    <w:rsid w:val="00957D5F"/>
    <w:rsid w:val="00960137"/>
    <w:rsid w:val="0096098F"/>
    <w:rsid w:val="009618C7"/>
    <w:rsid w:val="00963981"/>
    <w:rsid w:val="0096460A"/>
    <w:rsid w:val="009653B4"/>
    <w:rsid w:val="009653C4"/>
    <w:rsid w:val="009663CF"/>
    <w:rsid w:val="00966E1D"/>
    <w:rsid w:val="009676E9"/>
    <w:rsid w:val="00967A0A"/>
    <w:rsid w:val="00967F3A"/>
    <w:rsid w:val="00970FF1"/>
    <w:rsid w:val="00971920"/>
    <w:rsid w:val="009721AC"/>
    <w:rsid w:val="00972E17"/>
    <w:rsid w:val="00972F45"/>
    <w:rsid w:val="009733CB"/>
    <w:rsid w:val="00973899"/>
    <w:rsid w:val="009738D4"/>
    <w:rsid w:val="00973ABB"/>
    <w:rsid w:val="00973BD2"/>
    <w:rsid w:val="00973BEB"/>
    <w:rsid w:val="00974819"/>
    <w:rsid w:val="00974F2C"/>
    <w:rsid w:val="00974FBE"/>
    <w:rsid w:val="00975976"/>
    <w:rsid w:val="009759D7"/>
    <w:rsid w:val="00977908"/>
    <w:rsid w:val="0098177F"/>
    <w:rsid w:val="00982FAB"/>
    <w:rsid w:val="00983804"/>
    <w:rsid w:val="00983879"/>
    <w:rsid w:val="00983BDE"/>
    <w:rsid w:val="009841DB"/>
    <w:rsid w:val="00984A7C"/>
    <w:rsid w:val="0098514D"/>
    <w:rsid w:val="00985A9C"/>
    <w:rsid w:val="009861FC"/>
    <w:rsid w:val="00986347"/>
    <w:rsid w:val="0098659C"/>
    <w:rsid w:val="00986A68"/>
    <w:rsid w:val="00986DDA"/>
    <w:rsid w:val="0098796C"/>
    <w:rsid w:val="00987987"/>
    <w:rsid w:val="00987C0A"/>
    <w:rsid w:val="00987D8E"/>
    <w:rsid w:val="009913CB"/>
    <w:rsid w:val="0099247E"/>
    <w:rsid w:val="00992E7F"/>
    <w:rsid w:val="00993C96"/>
    <w:rsid w:val="009942F9"/>
    <w:rsid w:val="009944D7"/>
    <w:rsid w:val="009961B4"/>
    <w:rsid w:val="009978C4"/>
    <w:rsid w:val="009A0CB8"/>
    <w:rsid w:val="009A1BD4"/>
    <w:rsid w:val="009A1F23"/>
    <w:rsid w:val="009A2663"/>
    <w:rsid w:val="009A3123"/>
    <w:rsid w:val="009A47A2"/>
    <w:rsid w:val="009A5000"/>
    <w:rsid w:val="009A53FA"/>
    <w:rsid w:val="009A5523"/>
    <w:rsid w:val="009A5CE0"/>
    <w:rsid w:val="009A634F"/>
    <w:rsid w:val="009A7155"/>
    <w:rsid w:val="009A754D"/>
    <w:rsid w:val="009A775D"/>
    <w:rsid w:val="009A7BE1"/>
    <w:rsid w:val="009B0162"/>
    <w:rsid w:val="009B1FAB"/>
    <w:rsid w:val="009B2186"/>
    <w:rsid w:val="009B2773"/>
    <w:rsid w:val="009B3645"/>
    <w:rsid w:val="009B4478"/>
    <w:rsid w:val="009B480C"/>
    <w:rsid w:val="009B4E80"/>
    <w:rsid w:val="009B5497"/>
    <w:rsid w:val="009B6865"/>
    <w:rsid w:val="009B7B76"/>
    <w:rsid w:val="009B7C62"/>
    <w:rsid w:val="009C1DC7"/>
    <w:rsid w:val="009C2515"/>
    <w:rsid w:val="009C2E2D"/>
    <w:rsid w:val="009C2EEB"/>
    <w:rsid w:val="009C31F8"/>
    <w:rsid w:val="009C45F9"/>
    <w:rsid w:val="009C4859"/>
    <w:rsid w:val="009C4B72"/>
    <w:rsid w:val="009C5763"/>
    <w:rsid w:val="009C6688"/>
    <w:rsid w:val="009D024A"/>
    <w:rsid w:val="009D0682"/>
    <w:rsid w:val="009D12A5"/>
    <w:rsid w:val="009D25C1"/>
    <w:rsid w:val="009D338C"/>
    <w:rsid w:val="009D3C79"/>
    <w:rsid w:val="009D40E3"/>
    <w:rsid w:val="009D4867"/>
    <w:rsid w:val="009D50C5"/>
    <w:rsid w:val="009D6B0D"/>
    <w:rsid w:val="009D71E5"/>
    <w:rsid w:val="009D7C34"/>
    <w:rsid w:val="009D7E77"/>
    <w:rsid w:val="009E0BB8"/>
    <w:rsid w:val="009E10C7"/>
    <w:rsid w:val="009E1C57"/>
    <w:rsid w:val="009E2600"/>
    <w:rsid w:val="009E3281"/>
    <w:rsid w:val="009E3BCD"/>
    <w:rsid w:val="009E475C"/>
    <w:rsid w:val="009E6703"/>
    <w:rsid w:val="009E68BD"/>
    <w:rsid w:val="009E6B92"/>
    <w:rsid w:val="009E7262"/>
    <w:rsid w:val="009E7633"/>
    <w:rsid w:val="009E7BCF"/>
    <w:rsid w:val="009F0264"/>
    <w:rsid w:val="009F03BB"/>
    <w:rsid w:val="009F142E"/>
    <w:rsid w:val="009F203C"/>
    <w:rsid w:val="009F2868"/>
    <w:rsid w:val="009F2D7B"/>
    <w:rsid w:val="009F33F3"/>
    <w:rsid w:val="009F39CD"/>
    <w:rsid w:val="009F3C21"/>
    <w:rsid w:val="009F4394"/>
    <w:rsid w:val="009F548F"/>
    <w:rsid w:val="009F62BA"/>
    <w:rsid w:val="009F63E1"/>
    <w:rsid w:val="009F7A6D"/>
    <w:rsid w:val="009F7CAC"/>
    <w:rsid w:val="00A00430"/>
    <w:rsid w:val="00A004CF"/>
    <w:rsid w:val="00A00C94"/>
    <w:rsid w:val="00A01999"/>
    <w:rsid w:val="00A01A2C"/>
    <w:rsid w:val="00A02B41"/>
    <w:rsid w:val="00A05B7A"/>
    <w:rsid w:val="00A0631D"/>
    <w:rsid w:val="00A066B2"/>
    <w:rsid w:val="00A06812"/>
    <w:rsid w:val="00A07032"/>
    <w:rsid w:val="00A10891"/>
    <w:rsid w:val="00A10AD2"/>
    <w:rsid w:val="00A10CBA"/>
    <w:rsid w:val="00A11229"/>
    <w:rsid w:val="00A11824"/>
    <w:rsid w:val="00A119B4"/>
    <w:rsid w:val="00A12D94"/>
    <w:rsid w:val="00A12F03"/>
    <w:rsid w:val="00A1378D"/>
    <w:rsid w:val="00A138FA"/>
    <w:rsid w:val="00A13CF2"/>
    <w:rsid w:val="00A13E30"/>
    <w:rsid w:val="00A13FF9"/>
    <w:rsid w:val="00A14044"/>
    <w:rsid w:val="00A14285"/>
    <w:rsid w:val="00A14334"/>
    <w:rsid w:val="00A14B0A"/>
    <w:rsid w:val="00A16828"/>
    <w:rsid w:val="00A168E9"/>
    <w:rsid w:val="00A16AF1"/>
    <w:rsid w:val="00A1709B"/>
    <w:rsid w:val="00A2034C"/>
    <w:rsid w:val="00A219D9"/>
    <w:rsid w:val="00A21E7F"/>
    <w:rsid w:val="00A2264F"/>
    <w:rsid w:val="00A2294D"/>
    <w:rsid w:val="00A22AE4"/>
    <w:rsid w:val="00A233CD"/>
    <w:rsid w:val="00A233FA"/>
    <w:rsid w:val="00A2346D"/>
    <w:rsid w:val="00A25872"/>
    <w:rsid w:val="00A2699B"/>
    <w:rsid w:val="00A26DAE"/>
    <w:rsid w:val="00A26F8C"/>
    <w:rsid w:val="00A2748C"/>
    <w:rsid w:val="00A2781F"/>
    <w:rsid w:val="00A27865"/>
    <w:rsid w:val="00A27C4B"/>
    <w:rsid w:val="00A3063D"/>
    <w:rsid w:val="00A3222B"/>
    <w:rsid w:val="00A32B43"/>
    <w:rsid w:val="00A32F8A"/>
    <w:rsid w:val="00A3317D"/>
    <w:rsid w:val="00A33E2A"/>
    <w:rsid w:val="00A3488F"/>
    <w:rsid w:val="00A34C1F"/>
    <w:rsid w:val="00A3515A"/>
    <w:rsid w:val="00A35554"/>
    <w:rsid w:val="00A35A5E"/>
    <w:rsid w:val="00A35FEA"/>
    <w:rsid w:val="00A366B5"/>
    <w:rsid w:val="00A36DC5"/>
    <w:rsid w:val="00A36EAA"/>
    <w:rsid w:val="00A37589"/>
    <w:rsid w:val="00A37F32"/>
    <w:rsid w:val="00A405F2"/>
    <w:rsid w:val="00A4149C"/>
    <w:rsid w:val="00A4156B"/>
    <w:rsid w:val="00A4168E"/>
    <w:rsid w:val="00A41C56"/>
    <w:rsid w:val="00A41DA8"/>
    <w:rsid w:val="00A43298"/>
    <w:rsid w:val="00A4440B"/>
    <w:rsid w:val="00A447B2"/>
    <w:rsid w:val="00A44F9D"/>
    <w:rsid w:val="00A45118"/>
    <w:rsid w:val="00A46896"/>
    <w:rsid w:val="00A468AE"/>
    <w:rsid w:val="00A46D8E"/>
    <w:rsid w:val="00A47A88"/>
    <w:rsid w:val="00A47DAE"/>
    <w:rsid w:val="00A47E51"/>
    <w:rsid w:val="00A50905"/>
    <w:rsid w:val="00A50CEF"/>
    <w:rsid w:val="00A50DF7"/>
    <w:rsid w:val="00A50E64"/>
    <w:rsid w:val="00A5140B"/>
    <w:rsid w:val="00A52305"/>
    <w:rsid w:val="00A52C17"/>
    <w:rsid w:val="00A532AC"/>
    <w:rsid w:val="00A53433"/>
    <w:rsid w:val="00A5391D"/>
    <w:rsid w:val="00A53AA1"/>
    <w:rsid w:val="00A5535F"/>
    <w:rsid w:val="00A5595E"/>
    <w:rsid w:val="00A55B79"/>
    <w:rsid w:val="00A55DF0"/>
    <w:rsid w:val="00A55FE6"/>
    <w:rsid w:val="00A574A4"/>
    <w:rsid w:val="00A575C3"/>
    <w:rsid w:val="00A617F5"/>
    <w:rsid w:val="00A61E57"/>
    <w:rsid w:val="00A6284F"/>
    <w:rsid w:val="00A628E7"/>
    <w:rsid w:val="00A64332"/>
    <w:rsid w:val="00A65875"/>
    <w:rsid w:val="00A659AC"/>
    <w:rsid w:val="00A66241"/>
    <w:rsid w:val="00A66566"/>
    <w:rsid w:val="00A669D4"/>
    <w:rsid w:val="00A66E64"/>
    <w:rsid w:val="00A67803"/>
    <w:rsid w:val="00A71782"/>
    <w:rsid w:val="00A72070"/>
    <w:rsid w:val="00A7350C"/>
    <w:rsid w:val="00A74DED"/>
    <w:rsid w:val="00A74F89"/>
    <w:rsid w:val="00A75454"/>
    <w:rsid w:val="00A76C0B"/>
    <w:rsid w:val="00A77E6A"/>
    <w:rsid w:val="00A77EFF"/>
    <w:rsid w:val="00A81BC7"/>
    <w:rsid w:val="00A82339"/>
    <w:rsid w:val="00A82448"/>
    <w:rsid w:val="00A82BBE"/>
    <w:rsid w:val="00A838F2"/>
    <w:rsid w:val="00A83CBF"/>
    <w:rsid w:val="00A857E2"/>
    <w:rsid w:val="00A863F2"/>
    <w:rsid w:val="00A8644E"/>
    <w:rsid w:val="00A869D8"/>
    <w:rsid w:val="00A86E86"/>
    <w:rsid w:val="00A8792F"/>
    <w:rsid w:val="00A9049E"/>
    <w:rsid w:val="00A904E9"/>
    <w:rsid w:val="00A9115A"/>
    <w:rsid w:val="00A92568"/>
    <w:rsid w:val="00A93158"/>
    <w:rsid w:val="00A93ECE"/>
    <w:rsid w:val="00A94020"/>
    <w:rsid w:val="00A944E3"/>
    <w:rsid w:val="00A951BD"/>
    <w:rsid w:val="00A9627B"/>
    <w:rsid w:val="00A963B0"/>
    <w:rsid w:val="00A963C0"/>
    <w:rsid w:val="00A964D6"/>
    <w:rsid w:val="00A96980"/>
    <w:rsid w:val="00A96AED"/>
    <w:rsid w:val="00A96D2E"/>
    <w:rsid w:val="00AA0076"/>
    <w:rsid w:val="00AA0DDA"/>
    <w:rsid w:val="00AA16B3"/>
    <w:rsid w:val="00AA1AB3"/>
    <w:rsid w:val="00AA1FD1"/>
    <w:rsid w:val="00AA242D"/>
    <w:rsid w:val="00AA2AEE"/>
    <w:rsid w:val="00AA3127"/>
    <w:rsid w:val="00AA43E9"/>
    <w:rsid w:val="00AA4670"/>
    <w:rsid w:val="00AA496E"/>
    <w:rsid w:val="00AA4A2C"/>
    <w:rsid w:val="00AA554A"/>
    <w:rsid w:val="00AA5D7C"/>
    <w:rsid w:val="00AA638D"/>
    <w:rsid w:val="00AA66DC"/>
    <w:rsid w:val="00AB066D"/>
    <w:rsid w:val="00AB130D"/>
    <w:rsid w:val="00AB158D"/>
    <w:rsid w:val="00AB24AB"/>
    <w:rsid w:val="00AB278A"/>
    <w:rsid w:val="00AB2BB6"/>
    <w:rsid w:val="00AB3046"/>
    <w:rsid w:val="00AB38A1"/>
    <w:rsid w:val="00AB45BE"/>
    <w:rsid w:val="00AB4DA1"/>
    <w:rsid w:val="00AB6120"/>
    <w:rsid w:val="00AB690C"/>
    <w:rsid w:val="00AB6A66"/>
    <w:rsid w:val="00AB769D"/>
    <w:rsid w:val="00AC08B8"/>
    <w:rsid w:val="00AC1609"/>
    <w:rsid w:val="00AC2697"/>
    <w:rsid w:val="00AC321B"/>
    <w:rsid w:val="00AC3C8A"/>
    <w:rsid w:val="00AC3DA5"/>
    <w:rsid w:val="00AC4192"/>
    <w:rsid w:val="00AC441F"/>
    <w:rsid w:val="00AC4758"/>
    <w:rsid w:val="00AC4DE5"/>
    <w:rsid w:val="00AC4DEE"/>
    <w:rsid w:val="00AC51EB"/>
    <w:rsid w:val="00AC650A"/>
    <w:rsid w:val="00AC6548"/>
    <w:rsid w:val="00AC6E7A"/>
    <w:rsid w:val="00AC71FA"/>
    <w:rsid w:val="00AC775D"/>
    <w:rsid w:val="00AC7A56"/>
    <w:rsid w:val="00AC7B7A"/>
    <w:rsid w:val="00AD038F"/>
    <w:rsid w:val="00AD0F01"/>
    <w:rsid w:val="00AD110A"/>
    <w:rsid w:val="00AD13EE"/>
    <w:rsid w:val="00AD1ABE"/>
    <w:rsid w:val="00AD30C8"/>
    <w:rsid w:val="00AD3EB1"/>
    <w:rsid w:val="00AD426B"/>
    <w:rsid w:val="00AD486D"/>
    <w:rsid w:val="00AD4DC6"/>
    <w:rsid w:val="00AD4E77"/>
    <w:rsid w:val="00AD58D8"/>
    <w:rsid w:val="00AD5E69"/>
    <w:rsid w:val="00AD6F93"/>
    <w:rsid w:val="00AD786D"/>
    <w:rsid w:val="00AE00DB"/>
    <w:rsid w:val="00AE00FE"/>
    <w:rsid w:val="00AE0530"/>
    <w:rsid w:val="00AE1531"/>
    <w:rsid w:val="00AE1EB6"/>
    <w:rsid w:val="00AE2B7B"/>
    <w:rsid w:val="00AE33E4"/>
    <w:rsid w:val="00AE37EC"/>
    <w:rsid w:val="00AE42A8"/>
    <w:rsid w:val="00AE4E53"/>
    <w:rsid w:val="00AE5596"/>
    <w:rsid w:val="00AE5DD1"/>
    <w:rsid w:val="00AE6023"/>
    <w:rsid w:val="00AE6163"/>
    <w:rsid w:val="00AE6C4D"/>
    <w:rsid w:val="00AE702A"/>
    <w:rsid w:val="00AE766D"/>
    <w:rsid w:val="00AE7C6C"/>
    <w:rsid w:val="00AE7F72"/>
    <w:rsid w:val="00AF03B5"/>
    <w:rsid w:val="00AF0A36"/>
    <w:rsid w:val="00AF0C9B"/>
    <w:rsid w:val="00AF0CF3"/>
    <w:rsid w:val="00AF31F1"/>
    <w:rsid w:val="00AF3712"/>
    <w:rsid w:val="00AF38C7"/>
    <w:rsid w:val="00AF3B3E"/>
    <w:rsid w:val="00AF45BD"/>
    <w:rsid w:val="00AF498B"/>
    <w:rsid w:val="00AF5CF2"/>
    <w:rsid w:val="00AF64C0"/>
    <w:rsid w:val="00AF686B"/>
    <w:rsid w:val="00AF6BD9"/>
    <w:rsid w:val="00AF768B"/>
    <w:rsid w:val="00AF7E3C"/>
    <w:rsid w:val="00AF7FAD"/>
    <w:rsid w:val="00B00909"/>
    <w:rsid w:val="00B01122"/>
    <w:rsid w:val="00B0115B"/>
    <w:rsid w:val="00B01359"/>
    <w:rsid w:val="00B01FCD"/>
    <w:rsid w:val="00B02259"/>
    <w:rsid w:val="00B026AD"/>
    <w:rsid w:val="00B02C5A"/>
    <w:rsid w:val="00B039ED"/>
    <w:rsid w:val="00B040C2"/>
    <w:rsid w:val="00B04966"/>
    <w:rsid w:val="00B04A83"/>
    <w:rsid w:val="00B0521F"/>
    <w:rsid w:val="00B0573D"/>
    <w:rsid w:val="00B05B2D"/>
    <w:rsid w:val="00B06583"/>
    <w:rsid w:val="00B074A0"/>
    <w:rsid w:val="00B07D39"/>
    <w:rsid w:val="00B1023D"/>
    <w:rsid w:val="00B11620"/>
    <w:rsid w:val="00B11DBA"/>
    <w:rsid w:val="00B1316D"/>
    <w:rsid w:val="00B13282"/>
    <w:rsid w:val="00B15E7C"/>
    <w:rsid w:val="00B16520"/>
    <w:rsid w:val="00B16899"/>
    <w:rsid w:val="00B17C05"/>
    <w:rsid w:val="00B17C2D"/>
    <w:rsid w:val="00B20273"/>
    <w:rsid w:val="00B20439"/>
    <w:rsid w:val="00B2063D"/>
    <w:rsid w:val="00B21E3A"/>
    <w:rsid w:val="00B21F9A"/>
    <w:rsid w:val="00B223D7"/>
    <w:rsid w:val="00B22EE1"/>
    <w:rsid w:val="00B22F98"/>
    <w:rsid w:val="00B24127"/>
    <w:rsid w:val="00B2454D"/>
    <w:rsid w:val="00B25AA4"/>
    <w:rsid w:val="00B2638E"/>
    <w:rsid w:val="00B26538"/>
    <w:rsid w:val="00B267EA"/>
    <w:rsid w:val="00B26928"/>
    <w:rsid w:val="00B27012"/>
    <w:rsid w:val="00B27B23"/>
    <w:rsid w:val="00B311BB"/>
    <w:rsid w:val="00B3159C"/>
    <w:rsid w:val="00B33FBE"/>
    <w:rsid w:val="00B34833"/>
    <w:rsid w:val="00B352DC"/>
    <w:rsid w:val="00B36370"/>
    <w:rsid w:val="00B3700E"/>
    <w:rsid w:val="00B375D5"/>
    <w:rsid w:val="00B376A9"/>
    <w:rsid w:val="00B3775E"/>
    <w:rsid w:val="00B37C4B"/>
    <w:rsid w:val="00B37FCD"/>
    <w:rsid w:val="00B4018E"/>
    <w:rsid w:val="00B4028E"/>
    <w:rsid w:val="00B416A8"/>
    <w:rsid w:val="00B42098"/>
    <w:rsid w:val="00B422CE"/>
    <w:rsid w:val="00B42E55"/>
    <w:rsid w:val="00B43D9E"/>
    <w:rsid w:val="00B44A84"/>
    <w:rsid w:val="00B44DD8"/>
    <w:rsid w:val="00B4542B"/>
    <w:rsid w:val="00B50DCB"/>
    <w:rsid w:val="00B5194B"/>
    <w:rsid w:val="00B51A50"/>
    <w:rsid w:val="00B5219D"/>
    <w:rsid w:val="00B531AA"/>
    <w:rsid w:val="00B5393C"/>
    <w:rsid w:val="00B53C5C"/>
    <w:rsid w:val="00B54C11"/>
    <w:rsid w:val="00B54D66"/>
    <w:rsid w:val="00B55307"/>
    <w:rsid w:val="00B5561B"/>
    <w:rsid w:val="00B55BB9"/>
    <w:rsid w:val="00B55F80"/>
    <w:rsid w:val="00B57348"/>
    <w:rsid w:val="00B5793A"/>
    <w:rsid w:val="00B57B59"/>
    <w:rsid w:val="00B61776"/>
    <w:rsid w:val="00B62DF4"/>
    <w:rsid w:val="00B64AD3"/>
    <w:rsid w:val="00B650E2"/>
    <w:rsid w:val="00B65153"/>
    <w:rsid w:val="00B66A20"/>
    <w:rsid w:val="00B66EA4"/>
    <w:rsid w:val="00B6797A"/>
    <w:rsid w:val="00B67A71"/>
    <w:rsid w:val="00B67C64"/>
    <w:rsid w:val="00B67CCE"/>
    <w:rsid w:val="00B742F0"/>
    <w:rsid w:val="00B769E9"/>
    <w:rsid w:val="00B76B12"/>
    <w:rsid w:val="00B80BA6"/>
    <w:rsid w:val="00B80E54"/>
    <w:rsid w:val="00B80FB1"/>
    <w:rsid w:val="00B815D4"/>
    <w:rsid w:val="00B81A12"/>
    <w:rsid w:val="00B81CB6"/>
    <w:rsid w:val="00B81DDE"/>
    <w:rsid w:val="00B822C0"/>
    <w:rsid w:val="00B8255F"/>
    <w:rsid w:val="00B82B42"/>
    <w:rsid w:val="00B831EE"/>
    <w:rsid w:val="00B833AC"/>
    <w:rsid w:val="00B84541"/>
    <w:rsid w:val="00B845A8"/>
    <w:rsid w:val="00B84F08"/>
    <w:rsid w:val="00B86141"/>
    <w:rsid w:val="00B87CDF"/>
    <w:rsid w:val="00B908E3"/>
    <w:rsid w:val="00B90ACA"/>
    <w:rsid w:val="00B9101F"/>
    <w:rsid w:val="00B91F26"/>
    <w:rsid w:val="00B92462"/>
    <w:rsid w:val="00B9372B"/>
    <w:rsid w:val="00B94AE9"/>
    <w:rsid w:val="00B95477"/>
    <w:rsid w:val="00B95B49"/>
    <w:rsid w:val="00B95C52"/>
    <w:rsid w:val="00B96AA7"/>
    <w:rsid w:val="00B96D37"/>
    <w:rsid w:val="00B97577"/>
    <w:rsid w:val="00BA049F"/>
    <w:rsid w:val="00BA1412"/>
    <w:rsid w:val="00BA2684"/>
    <w:rsid w:val="00BA29CC"/>
    <w:rsid w:val="00BA3F0D"/>
    <w:rsid w:val="00BA43CA"/>
    <w:rsid w:val="00BA723A"/>
    <w:rsid w:val="00BA73E7"/>
    <w:rsid w:val="00BA7506"/>
    <w:rsid w:val="00BA7613"/>
    <w:rsid w:val="00BB011D"/>
    <w:rsid w:val="00BB10B3"/>
    <w:rsid w:val="00BB1D66"/>
    <w:rsid w:val="00BB24A1"/>
    <w:rsid w:val="00BB40E3"/>
    <w:rsid w:val="00BB44BE"/>
    <w:rsid w:val="00BB4BD5"/>
    <w:rsid w:val="00BB6A5D"/>
    <w:rsid w:val="00BB6C60"/>
    <w:rsid w:val="00BB6E06"/>
    <w:rsid w:val="00BB727A"/>
    <w:rsid w:val="00BB7360"/>
    <w:rsid w:val="00BB7F40"/>
    <w:rsid w:val="00BC0338"/>
    <w:rsid w:val="00BC03DD"/>
    <w:rsid w:val="00BC054A"/>
    <w:rsid w:val="00BC0BCA"/>
    <w:rsid w:val="00BC125C"/>
    <w:rsid w:val="00BC156E"/>
    <w:rsid w:val="00BC1C06"/>
    <w:rsid w:val="00BC383F"/>
    <w:rsid w:val="00BC4317"/>
    <w:rsid w:val="00BC438D"/>
    <w:rsid w:val="00BC6120"/>
    <w:rsid w:val="00BC6345"/>
    <w:rsid w:val="00BD06D7"/>
    <w:rsid w:val="00BD10B5"/>
    <w:rsid w:val="00BD10DA"/>
    <w:rsid w:val="00BD19E2"/>
    <w:rsid w:val="00BD233D"/>
    <w:rsid w:val="00BD3031"/>
    <w:rsid w:val="00BD48E9"/>
    <w:rsid w:val="00BD4C7C"/>
    <w:rsid w:val="00BD6B85"/>
    <w:rsid w:val="00BD759A"/>
    <w:rsid w:val="00BD7CC8"/>
    <w:rsid w:val="00BD7F1A"/>
    <w:rsid w:val="00BE01C9"/>
    <w:rsid w:val="00BE0B3C"/>
    <w:rsid w:val="00BE11B6"/>
    <w:rsid w:val="00BE136C"/>
    <w:rsid w:val="00BE197B"/>
    <w:rsid w:val="00BE1B01"/>
    <w:rsid w:val="00BE2C2E"/>
    <w:rsid w:val="00BE2EAC"/>
    <w:rsid w:val="00BE3142"/>
    <w:rsid w:val="00BE3301"/>
    <w:rsid w:val="00BE571E"/>
    <w:rsid w:val="00BE6092"/>
    <w:rsid w:val="00BE778F"/>
    <w:rsid w:val="00BF224E"/>
    <w:rsid w:val="00BF48B2"/>
    <w:rsid w:val="00BF74CF"/>
    <w:rsid w:val="00C01952"/>
    <w:rsid w:val="00C01A52"/>
    <w:rsid w:val="00C01EFD"/>
    <w:rsid w:val="00C02747"/>
    <w:rsid w:val="00C02A98"/>
    <w:rsid w:val="00C02B09"/>
    <w:rsid w:val="00C02FC6"/>
    <w:rsid w:val="00C03D95"/>
    <w:rsid w:val="00C04382"/>
    <w:rsid w:val="00C0477D"/>
    <w:rsid w:val="00C04A7E"/>
    <w:rsid w:val="00C0502C"/>
    <w:rsid w:val="00C050FD"/>
    <w:rsid w:val="00C058EB"/>
    <w:rsid w:val="00C05D80"/>
    <w:rsid w:val="00C07D1F"/>
    <w:rsid w:val="00C07FF1"/>
    <w:rsid w:val="00C10A45"/>
    <w:rsid w:val="00C1115D"/>
    <w:rsid w:val="00C11245"/>
    <w:rsid w:val="00C11D9F"/>
    <w:rsid w:val="00C12262"/>
    <w:rsid w:val="00C1227B"/>
    <w:rsid w:val="00C1234C"/>
    <w:rsid w:val="00C12EE1"/>
    <w:rsid w:val="00C12F80"/>
    <w:rsid w:val="00C132EA"/>
    <w:rsid w:val="00C14E8D"/>
    <w:rsid w:val="00C16EEB"/>
    <w:rsid w:val="00C1706D"/>
    <w:rsid w:val="00C20228"/>
    <w:rsid w:val="00C20F1F"/>
    <w:rsid w:val="00C215CF"/>
    <w:rsid w:val="00C2255C"/>
    <w:rsid w:val="00C22690"/>
    <w:rsid w:val="00C22DE9"/>
    <w:rsid w:val="00C23DEE"/>
    <w:rsid w:val="00C26BA9"/>
    <w:rsid w:val="00C27DC2"/>
    <w:rsid w:val="00C30E33"/>
    <w:rsid w:val="00C322D6"/>
    <w:rsid w:val="00C3334D"/>
    <w:rsid w:val="00C33870"/>
    <w:rsid w:val="00C34705"/>
    <w:rsid w:val="00C35B90"/>
    <w:rsid w:val="00C35C17"/>
    <w:rsid w:val="00C36150"/>
    <w:rsid w:val="00C363A0"/>
    <w:rsid w:val="00C36EDA"/>
    <w:rsid w:val="00C36F13"/>
    <w:rsid w:val="00C405C5"/>
    <w:rsid w:val="00C40AD8"/>
    <w:rsid w:val="00C411E8"/>
    <w:rsid w:val="00C416AE"/>
    <w:rsid w:val="00C41A17"/>
    <w:rsid w:val="00C42189"/>
    <w:rsid w:val="00C425F0"/>
    <w:rsid w:val="00C427DC"/>
    <w:rsid w:val="00C42989"/>
    <w:rsid w:val="00C42F55"/>
    <w:rsid w:val="00C4333E"/>
    <w:rsid w:val="00C43C66"/>
    <w:rsid w:val="00C43C84"/>
    <w:rsid w:val="00C43DB8"/>
    <w:rsid w:val="00C43DEB"/>
    <w:rsid w:val="00C44B73"/>
    <w:rsid w:val="00C45F4D"/>
    <w:rsid w:val="00C469CE"/>
    <w:rsid w:val="00C4765B"/>
    <w:rsid w:val="00C476E8"/>
    <w:rsid w:val="00C47A26"/>
    <w:rsid w:val="00C47A9D"/>
    <w:rsid w:val="00C47D06"/>
    <w:rsid w:val="00C50C63"/>
    <w:rsid w:val="00C50E5E"/>
    <w:rsid w:val="00C51026"/>
    <w:rsid w:val="00C52231"/>
    <w:rsid w:val="00C52BB8"/>
    <w:rsid w:val="00C54508"/>
    <w:rsid w:val="00C5454B"/>
    <w:rsid w:val="00C54927"/>
    <w:rsid w:val="00C549F0"/>
    <w:rsid w:val="00C552D9"/>
    <w:rsid w:val="00C5531B"/>
    <w:rsid w:val="00C5600A"/>
    <w:rsid w:val="00C5603A"/>
    <w:rsid w:val="00C5632E"/>
    <w:rsid w:val="00C56A02"/>
    <w:rsid w:val="00C56C34"/>
    <w:rsid w:val="00C57701"/>
    <w:rsid w:val="00C578BB"/>
    <w:rsid w:val="00C60B69"/>
    <w:rsid w:val="00C60F4B"/>
    <w:rsid w:val="00C61B40"/>
    <w:rsid w:val="00C62DB2"/>
    <w:rsid w:val="00C64411"/>
    <w:rsid w:val="00C64AEE"/>
    <w:rsid w:val="00C64CFE"/>
    <w:rsid w:val="00C64EA0"/>
    <w:rsid w:val="00C6540B"/>
    <w:rsid w:val="00C65425"/>
    <w:rsid w:val="00C66135"/>
    <w:rsid w:val="00C66FE8"/>
    <w:rsid w:val="00C67FF2"/>
    <w:rsid w:val="00C700F5"/>
    <w:rsid w:val="00C71420"/>
    <w:rsid w:val="00C71C62"/>
    <w:rsid w:val="00C72C45"/>
    <w:rsid w:val="00C72E54"/>
    <w:rsid w:val="00C74570"/>
    <w:rsid w:val="00C75A66"/>
    <w:rsid w:val="00C80018"/>
    <w:rsid w:val="00C81CAB"/>
    <w:rsid w:val="00C820F5"/>
    <w:rsid w:val="00C820F7"/>
    <w:rsid w:val="00C824DE"/>
    <w:rsid w:val="00C830CE"/>
    <w:rsid w:val="00C84276"/>
    <w:rsid w:val="00C8434E"/>
    <w:rsid w:val="00C858E5"/>
    <w:rsid w:val="00C85A9A"/>
    <w:rsid w:val="00C85F54"/>
    <w:rsid w:val="00C861ED"/>
    <w:rsid w:val="00C874A1"/>
    <w:rsid w:val="00C87E92"/>
    <w:rsid w:val="00C905D3"/>
    <w:rsid w:val="00C9075A"/>
    <w:rsid w:val="00C907E1"/>
    <w:rsid w:val="00C9132E"/>
    <w:rsid w:val="00C922D2"/>
    <w:rsid w:val="00C92338"/>
    <w:rsid w:val="00C9282F"/>
    <w:rsid w:val="00C92FD9"/>
    <w:rsid w:val="00C9301F"/>
    <w:rsid w:val="00C952ED"/>
    <w:rsid w:val="00C95FDD"/>
    <w:rsid w:val="00CA0CFF"/>
    <w:rsid w:val="00CA0D95"/>
    <w:rsid w:val="00CA2206"/>
    <w:rsid w:val="00CA2565"/>
    <w:rsid w:val="00CA2BEB"/>
    <w:rsid w:val="00CA3010"/>
    <w:rsid w:val="00CA3344"/>
    <w:rsid w:val="00CA5F76"/>
    <w:rsid w:val="00CA748F"/>
    <w:rsid w:val="00CA7684"/>
    <w:rsid w:val="00CA77E6"/>
    <w:rsid w:val="00CA7E20"/>
    <w:rsid w:val="00CA7FDE"/>
    <w:rsid w:val="00CB25ED"/>
    <w:rsid w:val="00CB3F90"/>
    <w:rsid w:val="00CB410F"/>
    <w:rsid w:val="00CB42C4"/>
    <w:rsid w:val="00CB55DC"/>
    <w:rsid w:val="00CB5B59"/>
    <w:rsid w:val="00CB7223"/>
    <w:rsid w:val="00CB7744"/>
    <w:rsid w:val="00CB79EB"/>
    <w:rsid w:val="00CC067A"/>
    <w:rsid w:val="00CC0885"/>
    <w:rsid w:val="00CC16D4"/>
    <w:rsid w:val="00CC17AD"/>
    <w:rsid w:val="00CC1A63"/>
    <w:rsid w:val="00CC1DA5"/>
    <w:rsid w:val="00CC1ED7"/>
    <w:rsid w:val="00CC3476"/>
    <w:rsid w:val="00CC5182"/>
    <w:rsid w:val="00CC54B6"/>
    <w:rsid w:val="00CC5C5F"/>
    <w:rsid w:val="00CC6150"/>
    <w:rsid w:val="00CC638A"/>
    <w:rsid w:val="00CC715A"/>
    <w:rsid w:val="00CD0285"/>
    <w:rsid w:val="00CD04A7"/>
    <w:rsid w:val="00CD0E1A"/>
    <w:rsid w:val="00CD4682"/>
    <w:rsid w:val="00CD6B92"/>
    <w:rsid w:val="00CE0A72"/>
    <w:rsid w:val="00CE0C1D"/>
    <w:rsid w:val="00CE0CD6"/>
    <w:rsid w:val="00CE1011"/>
    <w:rsid w:val="00CE190D"/>
    <w:rsid w:val="00CE3539"/>
    <w:rsid w:val="00CE36D7"/>
    <w:rsid w:val="00CE3A65"/>
    <w:rsid w:val="00CE3F29"/>
    <w:rsid w:val="00CE544D"/>
    <w:rsid w:val="00CE56E5"/>
    <w:rsid w:val="00CE5CFC"/>
    <w:rsid w:val="00CE6756"/>
    <w:rsid w:val="00CE74E6"/>
    <w:rsid w:val="00CE7F2B"/>
    <w:rsid w:val="00CF0067"/>
    <w:rsid w:val="00CF02AE"/>
    <w:rsid w:val="00CF0873"/>
    <w:rsid w:val="00CF1CA7"/>
    <w:rsid w:val="00CF216D"/>
    <w:rsid w:val="00CF3D4A"/>
    <w:rsid w:val="00CF3E5D"/>
    <w:rsid w:val="00CF4B13"/>
    <w:rsid w:val="00CF5D7F"/>
    <w:rsid w:val="00CF6614"/>
    <w:rsid w:val="00D003DD"/>
    <w:rsid w:val="00D00543"/>
    <w:rsid w:val="00D01B2A"/>
    <w:rsid w:val="00D0288C"/>
    <w:rsid w:val="00D02A39"/>
    <w:rsid w:val="00D02BFE"/>
    <w:rsid w:val="00D048AE"/>
    <w:rsid w:val="00D05316"/>
    <w:rsid w:val="00D05FFE"/>
    <w:rsid w:val="00D06247"/>
    <w:rsid w:val="00D065CA"/>
    <w:rsid w:val="00D06E2E"/>
    <w:rsid w:val="00D07EEE"/>
    <w:rsid w:val="00D12273"/>
    <w:rsid w:val="00D12855"/>
    <w:rsid w:val="00D13CF2"/>
    <w:rsid w:val="00D14291"/>
    <w:rsid w:val="00D146E7"/>
    <w:rsid w:val="00D14735"/>
    <w:rsid w:val="00D1494B"/>
    <w:rsid w:val="00D14A5A"/>
    <w:rsid w:val="00D14D4E"/>
    <w:rsid w:val="00D167EF"/>
    <w:rsid w:val="00D17A9A"/>
    <w:rsid w:val="00D208BC"/>
    <w:rsid w:val="00D22011"/>
    <w:rsid w:val="00D221E2"/>
    <w:rsid w:val="00D222D9"/>
    <w:rsid w:val="00D22FE6"/>
    <w:rsid w:val="00D2354D"/>
    <w:rsid w:val="00D23ADD"/>
    <w:rsid w:val="00D24997"/>
    <w:rsid w:val="00D267F4"/>
    <w:rsid w:val="00D2686F"/>
    <w:rsid w:val="00D275AB"/>
    <w:rsid w:val="00D305FE"/>
    <w:rsid w:val="00D30B34"/>
    <w:rsid w:val="00D30F69"/>
    <w:rsid w:val="00D314E1"/>
    <w:rsid w:val="00D316C9"/>
    <w:rsid w:val="00D31A31"/>
    <w:rsid w:val="00D326C6"/>
    <w:rsid w:val="00D33346"/>
    <w:rsid w:val="00D3410D"/>
    <w:rsid w:val="00D34111"/>
    <w:rsid w:val="00D35483"/>
    <w:rsid w:val="00D355CB"/>
    <w:rsid w:val="00D3578A"/>
    <w:rsid w:val="00D36115"/>
    <w:rsid w:val="00D4088C"/>
    <w:rsid w:val="00D41BAB"/>
    <w:rsid w:val="00D42541"/>
    <w:rsid w:val="00D42A6E"/>
    <w:rsid w:val="00D430E9"/>
    <w:rsid w:val="00D4433A"/>
    <w:rsid w:val="00D443AA"/>
    <w:rsid w:val="00D45767"/>
    <w:rsid w:val="00D46B94"/>
    <w:rsid w:val="00D479D5"/>
    <w:rsid w:val="00D50482"/>
    <w:rsid w:val="00D50BE6"/>
    <w:rsid w:val="00D5222B"/>
    <w:rsid w:val="00D52958"/>
    <w:rsid w:val="00D5379D"/>
    <w:rsid w:val="00D55903"/>
    <w:rsid w:val="00D55979"/>
    <w:rsid w:val="00D5634A"/>
    <w:rsid w:val="00D56763"/>
    <w:rsid w:val="00D56BB3"/>
    <w:rsid w:val="00D56F98"/>
    <w:rsid w:val="00D600FF"/>
    <w:rsid w:val="00D607BA"/>
    <w:rsid w:val="00D60C85"/>
    <w:rsid w:val="00D60D3F"/>
    <w:rsid w:val="00D61479"/>
    <w:rsid w:val="00D617D0"/>
    <w:rsid w:val="00D62BEF"/>
    <w:rsid w:val="00D62DA1"/>
    <w:rsid w:val="00D64341"/>
    <w:rsid w:val="00D655D2"/>
    <w:rsid w:val="00D65744"/>
    <w:rsid w:val="00D66126"/>
    <w:rsid w:val="00D67B9E"/>
    <w:rsid w:val="00D67C9C"/>
    <w:rsid w:val="00D7149F"/>
    <w:rsid w:val="00D716A1"/>
    <w:rsid w:val="00D72EDA"/>
    <w:rsid w:val="00D73631"/>
    <w:rsid w:val="00D748C6"/>
    <w:rsid w:val="00D74C96"/>
    <w:rsid w:val="00D74F4E"/>
    <w:rsid w:val="00D76D39"/>
    <w:rsid w:val="00D7779A"/>
    <w:rsid w:val="00D779AB"/>
    <w:rsid w:val="00D804B8"/>
    <w:rsid w:val="00D80725"/>
    <w:rsid w:val="00D811F1"/>
    <w:rsid w:val="00D814F7"/>
    <w:rsid w:val="00D81D75"/>
    <w:rsid w:val="00D8308C"/>
    <w:rsid w:val="00D84FCD"/>
    <w:rsid w:val="00D85149"/>
    <w:rsid w:val="00D852B2"/>
    <w:rsid w:val="00D856C3"/>
    <w:rsid w:val="00D85B50"/>
    <w:rsid w:val="00D8607C"/>
    <w:rsid w:val="00D864DA"/>
    <w:rsid w:val="00D86ECC"/>
    <w:rsid w:val="00D874D1"/>
    <w:rsid w:val="00D87F39"/>
    <w:rsid w:val="00D9059E"/>
    <w:rsid w:val="00D9062D"/>
    <w:rsid w:val="00D90F6F"/>
    <w:rsid w:val="00D91AAB"/>
    <w:rsid w:val="00D92457"/>
    <w:rsid w:val="00D927E6"/>
    <w:rsid w:val="00D93529"/>
    <w:rsid w:val="00D94BFC"/>
    <w:rsid w:val="00D95776"/>
    <w:rsid w:val="00D97021"/>
    <w:rsid w:val="00D97A23"/>
    <w:rsid w:val="00D97EB0"/>
    <w:rsid w:val="00D97FEA"/>
    <w:rsid w:val="00DA0FAD"/>
    <w:rsid w:val="00DA19B4"/>
    <w:rsid w:val="00DA1D44"/>
    <w:rsid w:val="00DA1DFB"/>
    <w:rsid w:val="00DA1E33"/>
    <w:rsid w:val="00DA24A0"/>
    <w:rsid w:val="00DA31CA"/>
    <w:rsid w:val="00DA3C82"/>
    <w:rsid w:val="00DA4057"/>
    <w:rsid w:val="00DA421D"/>
    <w:rsid w:val="00DA5067"/>
    <w:rsid w:val="00DA6215"/>
    <w:rsid w:val="00DA669C"/>
    <w:rsid w:val="00DA6E55"/>
    <w:rsid w:val="00DA7BDE"/>
    <w:rsid w:val="00DB0EDA"/>
    <w:rsid w:val="00DB12B4"/>
    <w:rsid w:val="00DB1959"/>
    <w:rsid w:val="00DB1CB9"/>
    <w:rsid w:val="00DB1DD2"/>
    <w:rsid w:val="00DB23B1"/>
    <w:rsid w:val="00DB2BB5"/>
    <w:rsid w:val="00DB3017"/>
    <w:rsid w:val="00DB3D4A"/>
    <w:rsid w:val="00DB3E94"/>
    <w:rsid w:val="00DB521F"/>
    <w:rsid w:val="00DB5793"/>
    <w:rsid w:val="00DB6E87"/>
    <w:rsid w:val="00DB7A6D"/>
    <w:rsid w:val="00DB7D62"/>
    <w:rsid w:val="00DC02CD"/>
    <w:rsid w:val="00DC0B36"/>
    <w:rsid w:val="00DC32AE"/>
    <w:rsid w:val="00DC3A9A"/>
    <w:rsid w:val="00DC3C0F"/>
    <w:rsid w:val="00DC3C3E"/>
    <w:rsid w:val="00DC3E11"/>
    <w:rsid w:val="00DC46CF"/>
    <w:rsid w:val="00DC54E0"/>
    <w:rsid w:val="00DC5824"/>
    <w:rsid w:val="00DC5C61"/>
    <w:rsid w:val="00DC66B7"/>
    <w:rsid w:val="00DC6B32"/>
    <w:rsid w:val="00DC6D12"/>
    <w:rsid w:val="00DC7F34"/>
    <w:rsid w:val="00DC7F61"/>
    <w:rsid w:val="00DD0169"/>
    <w:rsid w:val="00DD0589"/>
    <w:rsid w:val="00DD071D"/>
    <w:rsid w:val="00DD0A69"/>
    <w:rsid w:val="00DD1123"/>
    <w:rsid w:val="00DD136B"/>
    <w:rsid w:val="00DD1CFF"/>
    <w:rsid w:val="00DD2750"/>
    <w:rsid w:val="00DD3C9A"/>
    <w:rsid w:val="00DD3FB8"/>
    <w:rsid w:val="00DD4604"/>
    <w:rsid w:val="00DD59E6"/>
    <w:rsid w:val="00DD5A51"/>
    <w:rsid w:val="00DD6FA8"/>
    <w:rsid w:val="00DD6FAF"/>
    <w:rsid w:val="00DD770D"/>
    <w:rsid w:val="00DE07DE"/>
    <w:rsid w:val="00DE1A24"/>
    <w:rsid w:val="00DE1D05"/>
    <w:rsid w:val="00DE2112"/>
    <w:rsid w:val="00DE24DE"/>
    <w:rsid w:val="00DE269E"/>
    <w:rsid w:val="00DE2B6B"/>
    <w:rsid w:val="00DE310B"/>
    <w:rsid w:val="00DE3252"/>
    <w:rsid w:val="00DE3800"/>
    <w:rsid w:val="00DE555F"/>
    <w:rsid w:val="00DE5692"/>
    <w:rsid w:val="00DE63E3"/>
    <w:rsid w:val="00DE648A"/>
    <w:rsid w:val="00DE74B1"/>
    <w:rsid w:val="00DE75C6"/>
    <w:rsid w:val="00DE75C8"/>
    <w:rsid w:val="00DE78AA"/>
    <w:rsid w:val="00DE7A12"/>
    <w:rsid w:val="00DE7D38"/>
    <w:rsid w:val="00DF079F"/>
    <w:rsid w:val="00DF0BE4"/>
    <w:rsid w:val="00DF18A8"/>
    <w:rsid w:val="00DF29E0"/>
    <w:rsid w:val="00DF592B"/>
    <w:rsid w:val="00DF66E2"/>
    <w:rsid w:val="00DF6BBE"/>
    <w:rsid w:val="00DF7682"/>
    <w:rsid w:val="00DF78B0"/>
    <w:rsid w:val="00DF7C53"/>
    <w:rsid w:val="00DF7E33"/>
    <w:rsid w:val="00E00F63"/>
    <w:rsid w:val="00E00FE1"/>
    <w:rsid w:val="00E03417"/>
    <w:rsid w:val="00E03CA3"/>
    <w:rsid w:val="00E0443F"/>
    <w:rsid w:val="00E04972"/>
    <w:rsid w:val="00E04FF5"/>
    <w:rsid w:val="00E05337"/>
    <w:rsid w:val="00E05E17"/>
    <w:rsid w:val="00E07775"/>
    <w:rsid w:val="00E0777E"/>
    <w:rsid w:val="00E07F27"/>
    <w:rsid w:val="00E10C1C"/>
    <w:rsid w:val="00E10D12"/>
    <w:rsid w:val="00E11738"/>
    <w:rsid w:val="00E1324C"/>
    <w:rsid w:val="00E135FC"/>
    <w:rsid w:val="00E136FB"/>
    <w:rsid w:val="00E14009"/>
    <w:rsid w:val="00E15336"/>
    <w:rsid w:val="00E15B17"/>
    <w:rsid w:val="00E15B46"/>
    <w:rsid w:val="00E15F1D"/>
    <w:rsid w:val="00E163A1"/>
    <w:rsid w:val="00E16CA0"/>
    <w:rsid w:val="00E171B0"/>
    <w:rsid w:val="00E1796A"/>
    <w:rsid w:val="00E211A4"/>
    <w:rsid w:val="00E21852"/>
    <w:rsid w:val="00E21F4F"/>
    <w:rsid w:val="00E2223F"/>
    <w:rsid w:val="00E226B8"/>
    <w:rsid w:val="00E22847"/>
    <w:rsid w:val="00E228C6"/>
    <w:rsid w:val="00E2407A"/>
    <w:rsid w:val="00E24191"/>
    <w:rsid w:val="00E2466A"/>
    <w:rsid w:val="00E24693"/>
    <w:rsid w:val="00E2493D"/>
    <w:rsid w:val="00E24C37"/>
    <w:rsid w:val="00E255BA"/>
    <w:rsid w:val="00E2565B"/>
    <w:rsid w:val="00E2788A"/>
    <w:rsid w:val="00E27E1C"/>
    <w:rsid w:val="00E314E9"/>
    <w:rsid w:val="00E326D7"/>
    <w:rsid w:val="00E3284B"/>
    <w:rsid w:val="00E328B4"/>
    <w:rsid w:val="00E32F40"/>
    <w:rsid w:val="00E330FE"/>
    <w:rsid w:val="00E332FC"/>
    <w:rsid w:val="00E3479C"/>
    <w:rsid w:val="00E34FFD"/>
    <w:rsid w:val="00E3548E"/>
    <w:rsid w:val="00E355BB"/>
    <w:rsid w:val="00E35622"/>
    <w:rsid w:val="00E35A62"/>
    <w:rsid w:val="00E3628F"/>
    <w:rsid w:val="00E36702"/>
    <w:rsid w:val="00E37CFB"/>
    <w:rsid w:val="00E4028A"/>
    <w:rsid w:val="00E409FD"/>
    <w:rsid w:val="00E41CEB"/>
    <w:rsid w:val="00E4241B"/>
    <w:rsid w:val="00E42D8B"/>
    <w:rsid w:val="00E4313A"/>
    <w:rsid w:val="00E4388D"/>
    <w:rsid w:val="00E4453A"/>
    <w:rsid w:val="00E44F61"/>
    <w:rsid w:val="00E45953"/>
    <w:rsid w:val="00E4645A"/>
    <w:rsid w:val="00E46AC3"/>
    <w:rsid w:val="00E46D29"/>
    <w:rsid w:val="00E4736D"/>
    <w:rsid w:val="00E47B24"/>
    <w:rsid w:val="00E50EC7"/>
    <w:rsid w:val="00E5155E"/>
    <w:rsid w:val="00E518A7"/>
    <w:rsid w:val="00E52C5C"/>
    <w:rsid w:val="00E535BE"/>
    <w:rsid w:val="00E53977"/>
    <w:rsid w:val="00E53D7F"/>
    <w:rsid w:val="00E54C5F"/>
    <w:rsid w:val="00E5694F"/>
    <w:rsid w:val="00E569B9"/>
    <w:rsid w:val="00E57DCF"/>
    <w:rsid w:val="00E57EE0"/>
    <w:rsid w:val="00E608A7"/>
    <w:rsid w:val="00E60B84"/>
    <w:rsid w:val="00E60E99"/>
    <w:rsid w:val="00E61C62"/>
    <w:rsid w:val="00E61D29"/>
    <w:rsid w:val="00E621A1"/>
    <w:rsid w:val="00E62A42"/>
    <w:rsid w:val="00E63865"/>
    <w:rsid w:val="00E63B0F"/>
    <w:rsid w:val="00E6503E"/>
    <w:rsid w:val="00E66623"/>
    <w:rsid w:val="00E66916"/>
    <w:rsid w:val="00E67833"/>
    <w:rsid w:val="00E67976"/>
    <w:rsid w:val="00E67FE3"/>
    <w:rsid w:val="00E7133C"/>
    <w:rsid w:val="00E714D5"/>
    <w:rsid w:val="00E71A15"/>
    <w:rsid w:val="00E71BDB"/>
    <w:rsid w:val="00E72903"/>
    <w:rsid w:val="00E741B2"/>
    <w:rsid w:val="00E7426E"/>
    <w:rsid w:val="00E74842"/>
    <w:rsid w:val="00E74C8B"/>
    <w:rsid w:val="00E74F4F"/>
    <w:rsid w:val="00E75154"/>
    <w:rsid w:val="00E75DC2"/>
    <w:rsid w:val="00E76174"/>
    <w:rsid w:val="00E7641C"/>
    <w:rsid w:val="00E76A63"/>
    <w:rsid w:val="00E779AF"/>
    <w:rsid w:val="00E812A6"/>
    <w:rsid w:val="00E819EA"/>
    <w:rsid w:val="00E82FE2"/>
    <w:rsid w:val="00E83064"/>
    <w:rsid w:val="00E831E6"/>
    <w:rsid w:val="00E83322"/>
    <w:rsid w:val="00E84DD1"/>
    <w:rsid w:val="00E85A52"/>
    <w:rsid w:val="00E8646B"/>
    <w:rsid w:val="00E87332"/>
    <w:rsid w:val="00E87687"/>
    <w:rsid w:val="00E90727"/>
    <w:rsid w:val="00E9155C"/>
    <w:rsid w:val="00E91BBF"/>
    <w:rsid w:val="00E91FFF"/>
    <w:rsid w:val="00E921AF"/>
    <w:rsid w:val="00E92C57"/>
    <w:rsid w:val="00E930E0"/>
    <w:rsid w:val="00E9412A"/>
    <w:rsid w:val="00E942B8"/>
    <w:rsid w:val="00E9465D"/>
    <w:rsid w:val="00E958F5"/>
    <w:rsid w:val="00E9654A"/>
    <w:rsid w:val="00E97EEA"/>
    <w:rsid w:val="00EA0394"/>
    <w:rsid w:val="00EA1351"/>
    <w:rsid w:val="00EA204D"/>
    <w:rsid w:val="00EA2CE7"/>
    <w:rsid w:val="00EA3A2C"/>
    <w:rsid w:val="00EA3B12"/>
    <w:rsid w:val="00EA3FA6"/>
    <w:rsid w:val="00EA46F9"/>
    <w:rsid w:val="00EA4B95"/>
    <w:rsid w:val="00EA4C4D"/>
    <w:rsid w:val="00EA6FD7"/>
    <w:rsid w:val="00EA7072"/>
    <w:rsid w:val="00EA7252"/>
    <w:rsid w:val="00EA74C2"/>
    <w:rsid w:val="00EA77D0"/>
    <w:rsid w:val="00EB06C1"/>
    <w:rsid w:val="00EB07E1"/>
    <w:rsid w:val="00EB0849"/>
    <w:rsid w:val="00EB0C90"/>
    <w:rsid w:val="00EB1665"/>
    <w:rsid w:val="00EB2642"/>
    <w:rsid w:val="00EB463D"/>
    <w:rsid w:val="00EB4B2C"/>
    <w:rsid w:val="00EB5109"/>
    <w:rsid w:val="00EB5809"/>
    <w:rsid w:val="00EB5BC6"/>
    <w:rsid w:val="00EB69D3"/>
    <w:rsid w:val="00EB716C"/>
    <w:rsid w:val="00EC0374"/>
    <w:rsid w:val="00EC0BD7"/>
    <w:rsid w:val="00EC1972"/>
    <w:rsid w:val="00EC1DD9"/>
    <w:rsid w:val="00EC3726"/>
    <w:rsid w:val="00EC3E12"/>
    <w:rsid w:val="00EC46C4"/>
    <w:rsid w:val="00EC4D68"/>
    <w:rsid w:val="00EC4F05"/>
    <w:rsid w:val="00EC50FF"/>
    <w:rsid w:val="00EC5231"/>
    <w:rsid w:val="00EC5A18"/>
    <w:rsid w:val="00EC6A86"/>
    <w:rsid w:val="00EC6FFC"/>
    <w:rsid w:val="00EC76E1"/>
    <w:rsid w:val="00ED0318"/>
    <w:rsid w:val="00ED0DBB"/>
    <w:rsid w:val="00ED1596"/>
    <w:rsid w:val="00ED1A6C"/>
    <w:rsid w:val="00ED1EF6"/>
    <w:rsid w:val="00ED2847"/>
    <w:rsid w:val="00ED2C7C"/>
    <w:rsid w:val="00ED3376"/>
    <w:rsid w:val="00ED366A"/>
    <w:rsid w:val="00ED4341"/>
    <w:rsid w:val="00ED4C7D"/>
    <w:rsid w:val="00ED5143"/>
    <w:rsid w:val="00ED61C3"/>
    <w:rsid w:val="00ED6682"/>
    <w:rsid w:val="00ED722B"/>
    <w:rsid w:val="00ED74F0"/>
    <w:rsid w:val="00ED75E9"/>
    <w:rsid w:val="00ED7721"/>
    <w:rsid w:val="00ED7B6A"/>
    <w:rsid w:val="00EE0708"/>
    <w:rsid w:val="00EE13F5"/>
    <w:rsid w:val="00EE16CE"/>
    <w:rsid w:val="00EE1A55"/>
    <w:rsid w:val="00EE372C"/>
    <w:rsid w:val="00EE3B4B"/>
    <w:rsid w:val="00EE42C6"/>
    <w:rsid w:val="00EE4598"/>
    <w:rsid w:val="00EE463A"/>
    <w:rsid w:val="00EE47CF"/>
    <w:rsid w:val="00EE5128"/>
    <w:rsid w:val="00EE5352"/>
    <w:rsid w:val="00EE6A50"/>
    <w:rsid w:val="00EF0436"/>
    <w:rsid w:val="00EF05B5"/>
    <w:rsid w:val="00EF0762"/>
    <w:rsid w:val="00EF07DC"/>
    <w:rsid w:val="00EF0865"/>
    <w:rsid w:val="00EF1265"/>
    <w:rsid w:val="00EF12D3"/>
    <w:rsid w:val="00EF1488"/>
    <w:rsid w:val="00EF1C03"/>
    <w:rsid w:val="00EF35D3"/>
    <w:rsid w:val="00EF3FBF"/>
    <w:rsid w:val="00EF41AD"/>
    <w:rsid w:val="00EF4B9A"/>
    <w:rsid w:val="00EF4C3D"/>
    <w:rsid w:val="00EF4F58"/>
    <w:rsid w:val="00EF4FEE"/>
    <w:rsid w:val="00EF5E03"/>
    <w:rsid w:val="00EF74C5"/>
    <w:rsid w:val="00EF7F7F"/>
    <w:rsid w:val="00F00076"/>
    <w:rsid w:val="00F00417"/>
    <w:rsid w:val="00F00B2C"/>
    <w:rsid w:val="00F012C1"/>
    <w:rsid w:val="00F01D8F"/>
    <w:rsid w:val="00F02B78"/>
    <w:rsid w:val="00F03916"/>
    <w:rsid w:val="00F03C42"/>
    <w:rsid w:val="00F03F86"/>
    <w:rsid w:val="00F03FB2"/>
    <w:rsid w:val="00F06A69"/>
    <w:rsid w:val="00F06DB0"/>
    <w:rsid w:val="00F074F6"/>
    <w:rsid w:val="00F076F7"/>
    <w:rsid w:val="00F07BAA"/>
    <w:rsid w:val="00F07F30"/>
    <w:rsid w:val="00F10015"/>
    <w:rsid w:val="00F10148"/>
    <w:rsid w:val="00F1032D"/>
    <w:rsid w:val="00F114F9"/>
    <w:rsid w:val="00F12B75"/>
    <w:rsid w:val="00F12CF4"/>
    <w:rsid w:val="00F1321C"/>
    <w:rsid w:val="00F144CE"/>
    <w:rsid w:val="00F1527E"/>
    <w:rsid w:val="00F15AC4"/>
    <w:rsid w:val="00F15CAD"/>
    <w:rsid w:val="00F16E7A"/>
    <w:rsid w:val="00F17687"/>
    <w:rsid w:val="00F221F2"/>
    <w:rsid w:val="00F22728"/>
    <w:rsid w:val="00F23A52"/>
    <w:rsid w:val="00F2537D"/>
    <w:rsid w:val="00F25645"/>
    <w:rsid w:val="00F25EE7"/>
    <w:rsid w:val="00F26601"/>
    <w:rsid w:val="00F2672B"/>
    <w:rsid w:val="00F26F08"/>
    <w:rsid w:val="00F27746"/>
    <w:rsid w:val="00F27831"/>
    <w:rsid w:val="00F31055"/>
    <w:rsid w:val="00F335C2"/>
    <w:rsid w:val="00F338F4"/>
    <w:rsid w:val="00F33EAF"/>
    <w:rsid w:val="00F3417E"/>
    <w:rsid w:val="00F342A1"/>
    <w:rsid w:val="00F349A5"/>
    <w:rsid w:val="00F34AF6"/>
    <w:rsid w:val="00F35A4E"/>
    <w:rsid w:val="00F35E61"/>
    <w:rsid w:val="00F365A4"/>
    <w:rsid w:val="00F36EFF"/>
    <w:rsid w:val="00F371D4"/>
    <w:rsid w:val="00F40D0D"/>
    <w:rsid w:val="00F411AC"/>
    <w:rsid w:val="00F42313"/>
    <w:rsid w:val="00F42848"/>
    <w:rsid w:val="00F429B4"/>
    <w:rsid w:val="00F43476"/>
    <w:rsid w:val="00F43DDF"/>
    <w:rsid w:val="00F44E55"/>
    <w:rsid w:val="00F45232"/>
    <w:rsid w:val="00F466D8"/>
    <w:rsid w:val="00F46726"/>
    <w:rsid w:val="00F46731"/>
    <w:rsid w:val="00F4675A"/>
    <w:rsid w:val="00F4686B"/>
    <w:rsid w:val="00F468C2"/>
    <w:rsid w:val="00F46B0F"/>
    <w:rsid w:val="00F46ED2"/>
    <w:rsid w:val="00F4735B"/>
    <w:rsid w:val="00F47949"/>
    <w:rsid w:val="00F47F93"/>
    <w:rsid w:val="00F47FAE"/>
    <w:rsid w:val="00F510E2"/>
    <w:rsid w:val="00F539D6"/>
    <w:rsid w:val="00F53C1B"/>
    <w:rsid w:val="00F53FB2"/>
    <w:rsid w:val="00F548AA"/>
    <w:rsid w:val="00F548F7"/>
    <w:rsid w:val="00F5497E"/>
    <w:rsid w:val="00F54C08"/>
    <w:rsid w:val="00F55240"/>
    <w:rsid w:val="00F553C1"/>
    <w:rsid w:val="00F55D4D"/>
    <w:rsid w:val="00F564EC"/>
    <w:rsid w:val="00F56C9E"/>
    <w:rsid w:val="00F56CB9"/>
    <w:rsid w:val="00F573EF"/>
    <w:rsid w:val="00F60063"/>
    <w:rsid w:val="00F601F9"/>
    <w:rsid w:val="00F602B7"/>
    <w:rsid w:val="00F60641"/>
    <w:rsid w:val="00F60EF4"/>
    <w:rsid w:val="00F61076"/>
    <w:rsid w:val="00F610D9"/>
    <w:rsid w:val="00F61418"/>
    <w:rsid w:val="00F623FB"/>
    <w:rsid w:val="00F62EB5"/>
    <w:rsid w:val="00F63473"/>
    <w:rsid w:val="00F63B12"/>
    <w:rsid w:val="00F63CDD"/>
    <w:rsid w:val="00F64146"/>
    <w:rsid w:val="00F64A50"/>
    <w:rsid w:val="00F64B56"/>
    <w:rsid w:val="00F64D00"/>
    <w:rsid w:val="00F653D6"/>
    <w:rsid w:val="00F6555B"/>
    <w:rsid w:val="00F65784"/>
    <w:rsid w:val="00F65897"/>
    <w:rsid w:val="00F65AD1"/>
    <w:rsid w:val="00F65B43"/>
    <w:rsid w:val="00F668FA"/>
    <w:rsid w:val="00F66EF6"/>
    <w:rsid w:val="00F6719C"/>
    <w:rsid w:val="00F67929"/>
    <w:rsid w:val="00F67ADA"/>
    <w:rsid w:val="00F705CD"/>
    <w:rsid w:val="00F70C01"/>
    <w:rsid w:val="00F713DF"/>
    <w:rsid w:val="00F72153"/>
    <w:rsid w:val="00F725CA"/>
    <w:rsid w:val="00F726A9"/>
    <w:rsid w:val="00F72D94"/>
    <w:rsid w:val="00F74586"/>
    <w:rsid w:val="00F74937"/>
    <w:rsid w:val="00F74AB7"/>
    <w:rsid w:val="00F75EA8"/>
    <w:rsid w:val="00F769E9"/>
    <w:rsid w:val="00F76BC5"/>
    <w:rsid w:val="00F773F9"/>
    <w:rsid w:val="00F774D9"/>
    <w:rsid w:val="00F779E8"/>
    <w:rsid w:val="00F809C6"/>
    <w:rsid w:val="00F80C62"/>
    <w:rsid w:val="00F82958"/>
    <w:rsid w:val="00F8431F"/>
    <w:rsid w:val="00F852E2"/>
    <w:rsid w:val="00F85B9C"/>
    <w:rsid w:val="00F86B0E"/>
    <w:rsid w:val="00F86C73"/>
    <w:rsid w:val="00F86D77"/>
    <w:rsid w:val="00F87A8D"/>
    <w:rsid w:val="00F87E5B"/>
    <w:rsid w:val="00F87E8A"/>
    <w:rsid w:val="00F9007E"/>
    <w:rsid w:val="00F90332"/>
    <w:rsid w:val="00F908C6"/>
    <w:rsid w:val="00F9222C"/>
    <w:rsid w:val="00F92D24"/>
    <w:rsid w:val="00F932D1"/>
    <w:rsid w:val="00F936C1"/>
    <w:rsid w:val="00F93B9F"/>
    <w:rsid w:val="00F94E96"/>
    <w:rsid w:val="00F94F20"/>
    <w:rsid w:val="00F969DB"/>
    <w:rsid w:val="00F97FFD"/>
    <w:rsid w:val="00FA0372"/>
    <w:rsid w:val="00FA0AF4"/>
    <w:rsid w:val="00FA0BFF"/>
    <w:rsid w:val="00FA163A"/>
    <w:rsid w:val="00FA433F"/>
    <w:rsid w:val="00FA4638"/>
    <w:rsid w:val="00FA4B7C"/>
    <w:rsid w:val="00FA5C6D"/>
    <w:rsid w:val="00FA7951"/>
    <w:rsid w:val="00FA7B59"/>
    <w:rsid w:val="00FB0413"/>
    <w:rsid w:val="00FB0FBD"/>
    <w:rsid w:val="00FB1DA3"/>
    <w:rsid w:val="00FB2B19"/>
    <w:rsid w:val="00FB362D"/>
    <w:rsid w:val="00FB5064"/>
    <w:rsid w:val="00FB52E4"/>
    <w:rsid w:val="00FB599C"/>
    <w:rsid w:val="00FB5BBD"/>
    <w:rsid w:val="00FB5F0C"/>
    <w:rsid w:val="00FB7AE0"/>
    <w:rsid w:val="00FC0A29"/>
    <w:rsid w:val="00FC15FD"/>
    <w:rsid w:val="00FC2577"/>
    <w:rsid w:val="00FC26B9"/>
    <w:rsid w:val="00FC35DE"/>
    <w:rsid w:val="00FC3A24"/>
    <w:rsid w:val="00FC44EE"/>
    <w:rsid w:val="00FC539A"/>
    <w:rsid w:val="00FC57CF"/>
    <w:rsid w:val="00FC5B43"/>
    <w:rsid w:val="00FC5B77"/>
    <w:rsid w:val="00FC6926"/>
    <w:rsid w:val="00FC6CEC"/>
    <w:rsid w:val="00FC7F38"/>
    <w:rsid w:val="00FC7FA4"/>
    <w:rsid w:val="00FD0CA5"/>
    <w:rsid w:val="00FD1C41"/>
    <w:rsid w:val="00FD2145"/>
    <w:rsid w:val="00FD220A"/>
    <w:rsid w:val="00FD23BA"/>
    <w:rsid w:val="00FD55A4"/>
    <w:rsid w:val="00FD61A7"/>
    <w:rsid w:val="00FD7122"/>
    <w:rsid w:val="00FE1B8A"/>
    <w:rsid w:val="00FE1C93"/>
    <w:rsid w:val="00FE33A3"/>
    <w:rsid w:val="00FE340C"/>
    <w:rsid w:val="00FE350E"/>
    <w:rsid w:val="00FE38AC"/>
    <w:rsid w:val="00FE3F62"/>
    <w:rsid w:val="00FE43B8"/>
    <w:rsid w:val="00FE4D63"/>
    <w:rsid w:val="00FE5D3E"/>
    <w:rsid w:val="00FE6A91"/>
    <w:rsid w:val="00FE6E3D"/>
    <w:rsid w:val="00FE72F4"/>
    <w:rsid w:val="00FE7BE7"/>
    <w:rsid w:val="00FF0290"/>
    <w:rsid w:val="00FF0C31"/>
    <w:rsid w:val="00FF22C6"/>
    <w:rsid w:val="00FF2DB3"/>
    <w:rsid w:val="00FF429C"/>
    <w:rsid w:val="00FF44AA"/>
    <w:rsid w:val="00FF4EC5"/>
    <w:rsid w:val="00FF57C5"/>
    <w:rsid w:val="00FF6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2561"/>
    <o:shapelayout v:ext="edit">
      <o:idmap v:ext="edit" data="1,3,4,5"/>
    </o:shapelayout>
  </w:shapeDefaults>
  <w:decimalSymbol w:val="."/>
  <w:listSeparator w:val=","/>
  <w14:docId w14:val="785A79CD"/>
  <w15:chartTrackingRefBased/>
  <w15:docId w15:val="{D45FCE24-C552-436F-B203-D0C0D428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A43"/>
    <w:rPr>
      <w:rFonts w:ascii="Times New Roman" w:eastAsia="Times New Roman" w:hAnsi="Times New Roman"/>
      <w:sz w:val="24"/>
    </w:rPr>
  </w:style>
  <w:style w:type="paragraph" w:styleId="Heading1">
    <w:name w:val="heading 1"/>
    <w:aliases w:val="h1"/>
    <w:basedOn w:val="Normal"/>
    <w:next w:val="BodyText"/>
    <w:link w:val="Heading1Char"/>
    <w:qFormat/>
    <w:rsid w:val="00A13FF9"/>
    <w:pPr>
      <w:keepNext/>
      <w:numPr>
        <w:numId w:val="1"/>
      </w:numPr>
      <w:spacing w:after="240"/>
      <w:outlineLvl w:val="0"/>
    </w:pPr>
    <w:rPr>
      <w:b/>
      <w:caps/>
    </w:rPr>
  </w:style>
  <w:style w:type="paragraph" w:styleId="Heading2">
    <w:name w:val="heading 2"/>
    <w:aliases w:val="h2"/>
    <w:basedOn w:val="Normal"/>
    <w:next w:val="BodyText"/>
    <w:link w:val="Heading2Char"/>
    <w:qFormat/>
    <w:rsid w:val="00A13FF9"/>
    <w:pPr>
      <w:keepNext/>
      <w:numPr>
        <w:ilvl w:val="1"/>
        <w:numId w:val="1"/>
      </w:numPr>
      <w:tabs>
        <w:tab w:val="left" w:pos="720"/>
      </w:tabs>
      <w:spacing w:before="240" w:after="240"/>
      <w:outlineLvl w:val="1"/>
    </w:pPr>
    <w:rPr>
      <w:b/>
    </w:rPr>
  </w:style>
  <w:style w:type="paragraph" w:styleId="Heading3">
    <w:name w:val="heading 3"/>
    <w:aliases w:val="h3"/>
    <w:basedOn w:val="Normal"/>
    <w:next w:val="BodyText"/>
    <w:link w:val="Heading3Char"/>
    <w:uiPriority w:val="9"/>
    <w:qFormat/>
    <w:rsid w:val="00A13FF9"/>
    <w:pPr>
      <w:keepNext/>
      <w:numPr>
        <w:ilvl w:val="2"/>
        <w:numId w:val="1"/>
      </w:numPr>
      <w:tabs>
        <w:tab w:val="left" w:pos="1008"/>
      </w:tabs>
      <w:spacing w:before="240" w:after="240"/>
      <w:outlineLvl w:val="2"/>
    </w:pPr>
    <w:rPr>
      <w:b/>
      <w:bCs/>
      <w:i/>
    </w:rPr>
  </w:style>
  <w:style w:type="paragraph" w:styleId="Heading4">
    <w:name w:val="heading 4"/>
    <w:aliases w:val="h4,delete"/>
    <w:basedOn w:val="Normal"/>
    <w:next w:val="BodyText"/>
    <w:link w:val="Heading4Char"/>
    <w:uiPriority w:val="9"/>
    <w:qFormat/>
    <w:rsid w:val="00A13FF9"/>
    <w:pPr>
      <w:keepNext/>
      <w:widowControl w:val="0"/>
      <w:numPr>
        <w:ilvl w:val="3"/>
        <w:numId w:val="1"/>
      </w:numPr>
      <w:tabs>
        <w:tab w:val="left" w:pos="1296"/>
      </w:tabs>
      <w:spacing w:before="240" w:after="240"/>
      <w:outlineLvl w:val="3"/>
    </w:pPr>
    <w:rPr>
      <w:b/>
      <w:bCs/>
      <w:snapToGrid w:val="0"/>
    </w:rPr>
  </w:style>
  <w:style w:type="paragraph" w:styleId="Heading5">
    <w:name w:val="heading 5"/>
    <w:aliases w:val="h5"/>
    <w:basedOn w:val="Normal"/>
    <w:next w:val="BodyText"/>
    <w:link w:val="Heading5Char"/>
    <w:qFormat/>
    <w:rsid w:val="00A13FF9"/>
    <w:pPr>
      <w:keepNext/>
      <w:numPr>
        <w:ilvl w:val="4"/>
        <w:numId w:val="1"/>
      </w:numPr>
      <w:tabs>
        <w:tab w:val="left" w:pos="1440"/>
      </w:tabs>
      <w:spacing w:before="240" w:after="240"/>
      <w:outlineLvl w:val="4"/>
    </w:pPr>
    <w:rPr>
      <w:b/>
      <w:bCs/>
      <w:i/>
      <w:iCs/>
      <w:szCs w:val="26"/>
    </w:rPr>
  </w:style>
  <w:style w:type="paragraph" w:styleId="Heading6">
    <w:name w:val="heading 6"/>
    <w:aliases w:val="h6"/>
    <w:basedOn w:val="Normal"/>
    <w:next w:val="BodyText"/>
    <w:link w:val="Heading6Char"/>
    <w:qFormat/>
    <w:rsid w:val="00A13FF9"/>
    <w:pPr>
      <w:keepNext/>
      <w:numPr>
        <w:ilvl w:val="5"/>
        <w:numId w:val="1"/>
      </w:numPr>
      <w:tabs>
        <w:tab w:val="left" w:pos="1584"/>
      </w:tabs>
      <w:spacing w:before="240" w:after="240"/>
      <w:outlineLvl w:val="5"/>
    </w:pPr>
    <w:rPr>
      <w:b/>
      <w:bCs/>
      <w:szCs w:val="22"/>
    </w:rPr>
  </w:style>
  <w:style w:type="paragraph" w:styleId="Heading7">
    <w:name w:val="heading 7"/>
    <w:basedOn w:val="Normal"/>
    <w:next w:val="BodyText"/>
    <w:link w:val="Heading7Char"/>
    <w:qFormat/>
    <w:rsid w:val="00A13FF9"/>
    <w:pPr>
      <w:keepNext/>
      <w:numPr>
        <w:ilvl w:val="6"/>
        <w:numId w:val="1"/>
      </w:numPr>
      <w:tabs>
        <w:tab w:val="left" w:pos="1728"/>
      </w:tabs>
      <w:spacing w:before="240" w:after="240"/>
      <w:outlineLvl w:val="6"/>
    </w:pPr>
    <w:rPr>
      <w:szCs w:val="24"/>
    </w:rPr>
  </w:style>
  <w:style w:type="paragraph" w:styleId="Heading8">
    <w:name w:val="heading 8"/>
    <w:basedOn w:val="Normal"/>
    <w:next w:val="BodyText"/>
    <w:link w:val="Heading8Char"/>
    <w:qFormat/>
    <w:rsid w:val="00A13FF9"/>
    <w:pPr>
      <w:keepNext/>
      <w:numPr>
        <w:ilvl w:val="7"/>
        <w:numId w:val="1"/>
      </w:numPr>
      <w:tabs>
        <w:tab w:val="left" w:pos="1872"/>
      </w:tabs>
      <w:spacing w:before="240" w:after="240"/>
      <w:outlineLvl w:val="7"/>
    </w:pPr>
    <w:rPr>
      <w:i/>
      <w:iCs/>
      <w:szCs w:val="24"/>
    </w:rPr>
  </w:style>
  <w:style w:type="paragraph" w:styleId="Heading9">
    <w:name w:val="heading 9"/>
    <w:basedOn w:val="Normal"/>
    <w:next w:val="BodyText"/>
    <w:link w:val="Heading9Char"/>
    <w:qFormat/>
    <w:rsid w:val="00A13FF9"/>
    <w:pPr>
      <w:keepNext/>
      <w:numPr>
        <w:ilvl w:val="8"/>
        <w:numId w:val="1"/>
      </w:numPr>
      <w:tabs>
        <w:tab w:val="left" w:pos="2160"/>
      </w:tabs>
      <w:spacing w:before="240" w:after="24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A13FF9"/>
    <w:rPr>
      <w:rFonts w:ascii="Times New Roman" w:eastAsia="Times New Roman" w:hAnsi="Times New Roman" w:cs="Times New Roman"/>
      <w:b/>
      <w:caps/>
      <w:sz w:val="24"/>
      <w:szCs w:val="20"/>
    </w:rPr>
  </w:style>
  <w:style w:type="character" w:customStyle="1" w:styleId="Heading2Char">
    <w:name w:val="Heading 2 Char"/>
    <w:aliases w:val="h2 Char"/>
    <w:link w:val="Heading2"/>
    <w:rsid w:val="00A13FF9"/>
    <w:rPr>
      <w:rFonts w:ascii="Times New Roman" w:eastAsia="Times New Roman" w:hAnsi="Times New Roman" w:cs="Times New Roman"/>
      <w:b/>
      <w:sz w:val="24"/>
      <w:szCs w:val="20"/>
    </w:rPr>
  </w:style>
  <w:style w:type="character" w:customStyle="1" w:styleId="Heading3Char">
    <w:name w:val="Heading 3 Char"/>
    <w:aliases w:val="h3 Char"/>
    <w:link w:val="Heading3"/>
    <w:uiPriority w:val="9"/>
    <w:rsid w:val="00A13FF9"/>
    <w:rPr>
      <w:rFonts w:ascii="Times New Roman" w:eastAsia="Times New Roman" w:hAnsi="Times New Roman" w:cs="Times New Roman"/>
      <w:b/>
      <w:bCs/>
      <w:i/>
      <w:sz w:val="24"/>
      <w:szCs w:val="20"/>
    </w:rPr>
  </w:style>
  <w:style w:type="character" w:customStyle="1" w:styleId="Heading4Char">
    <w:name w:val="Heading 4 Char"/>
    <w:aliases w:val="h4 Char,delete Char"/>
    <w:link w:val="Heading4"/>
    <w:uiPriority w:val="9"/>
    <w:rsid w:val="00A13FF9"/>
    <w:rPr>
      <w:rFonts w:ascii="Times New Roman" w:eastAsia="Times New Roman" w:hAnsi="Times New Roman" w:cs="Times New Roman"/>
      <w:b/>
      <w:bCs/>
      <w:snapToGrid w:val="0"/>
      <w:sz w:val="24"/>
      <w:szCs w:val="20"/>
    </w:rPr>
  </w:style>
  <w:style w:type="character" w:customStyle="1" w:styleId="Heading5Char">
    <w:name w:val="Heading 5 Char"/>
    <w:aliases w:val="h5 Char"/>
    <w:link w:val="Heading5"/>
    <w:rsid w:val="00A13FF9"/>
    <w:rPr>
      <w:rFonts w:ascii="Times New Roman" w:eastAsia="Times New Roman" w:hAnsi="Times New Roman" w:cs="Times New Roman"/>
      <w:b/>
      <w:bCs/>
      <w:i/>
      <w:iCs/>
      <w:sz w:val="24"/>
      <w:szCs w:val="26"/>
    </w:rPr>
  </w:style>
  <w:style w:type="character" w:customStyle="1" w:styleId="Heading6Char">
    <w:name w:val="Heading 6 Char"/>
    <w:aliases w:val="h6 Char"/>
    <w:link w:val="Heading6"/>
    <w:rsid w:val="00A13FF9"/>
    <w:rPr>
      <w:rFonts w:ascii="Times New Roman" w:eastAsia="Times New Roman" w:hAnsi="Times New Roman" w:cs="Times New Roman"/>
      <w:b/>
      <w:bCs/>
      <w:sz w:val="24"/>
    </w:rPr>
  </w:style>
  <w:style w:type="character" w:customStyle="1" w:styleId="Heading7Char">
    <w:name w:val="Heading 7 Char"/>
    <w:link w:val="Heading7"/>
    <w:rsid w:val="00A13FF9"/>
    <w:rPr>
      <w:rFonts w:ascii="Times New Roman" w:eastAsia="Times New Roman" w:hAnsi="Times New Roman" w:cs="Times New Roman"/>
      <w:sz w:val="24"/>
      <w:szCs w:val="24"/>
    </w:rPr>
  </w:style>
  <w:style w:type="character" w:customStyle="1" w:styleId="Heading8Char">
    <w:name w:val="Heading 8 Char"/>
    <w:link w:val="Heading8"/>
    <w:rsid w:val="00A13FF9"/>
    <w:rPr>
      <w:rFonts w:ascii="Times New Roman" w:eastAsia="Times New Roman" w:hAnsi="Times New Roman" w:cs="Times New Roman"/>
      <w:i/>
      <w:iCs/>
      <w:sz w:val="24"/>
      <w:szCs w:val="24"/>
    </w:rPr>
  </w:style>
  <w:style w:type="character" w:customStyle="1" w:styleId="Heading9Char">
    <w:name w:val="Heading 9 Char"/>
    <w:link w:val="Heading9"/>
    <w:rsid w:val="00A13FF9"/>
    <w:rPr>
      <w:rFonts w:ascii="Times New Roman" w:eastAsia="Times New Roman" w:hAnsi="Times New Roman" w:cs="Times New Roman"/>
      <w:b/>
      <w:sz w:val="24"/>
      <w:szCs w:val="24"/>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rsid w:val="00A13FF9"/>
    <w:pPr>
      <w:spacing w:after="240"/>
    </w:pPr>
    <w:rPr>
      <w:iCs/>
    </w:rPr>
  </w:style>
  <w:style w:type="character" w:customStyle="1" w:styleId="BodyTextChar">
    <w:name w:val="Body Text Char"/>
    <w:aliases w:val="Char1 Char Char Char,Body Text Char2 Char Char Char1,Body Text Char2 Char Char Char Char Char Char Char Char Char Char Char Char1,Body Text Char3,Body Text Char1 Char Ch Char, Char1 Char Char Char"/>
    <w:uiPriority w:val="99"/>
    <w:rsid w:val="00A13FF9"/>
    <w:rPr>
      <w:rFonts w:ascii="Times New Roman" w:eastAsia="Times New Roman" w:hAnsi="Times New Roman" w:cs="Times New Roman"/>
      <w:sz w:val="24"/>
      <w:szCs w:val="20"/>
    </w:rPr>
  </w:style>
  <w:style w:type="character" w:customStyle="1" w:styleId="BodyTextChar1">
    <w:name w:val="Body Text Char1"/>
    <w:aliases w:val="Char Char Char Char Char Char Char,Char Char Char Char Char Char Charh2 Char,... Char, Char Char Char Char Char Char Char1, Char Char Char Char Char Char Char Char,Body Text Char Char Char,Body Text Char1 Char Char Char"/>
    <w:link w:val="BodyText"/>
    <w:rsid w:val="00A13FF9"/>
    <w:rPr>
      <w:rFonts w:ascii="Times New Roman" w:eastAsia="Times New Roman" w:hAnsi="Times New Roman" w:cs="Times New Roman"/>
      <w:iCs/>
      <w:sz w:val="24"/>
      <w:szCs w:val="20"/>
    </w:r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A13FF9"/>
    <w:rPr>
      <w:iCs/>
      <w:sz w:val="24"/>
      <w:lang w:val="en-US" w:eastAsia="en-US" w:bidi="ar-SA"/>
    </w:rPr>
  </w:style>
  <w:style w:type="paragraph" w:styleId="List">
    <w:name w:val="List"/>
    <w:aliases w:val=" Char2 Char Char Char Char, Char2 Char, Char1,Char2 Char Char Char Char"/>
    <w:basedOn w:val="Normal"/>
    <w:link w:val="ListChar"/>
    <w:rsid w:val="00A13FF9"/>
    <w:pPr>
      <w:spacing w:after="240"/>
      <w:ind w:left="1440" w:hanging="720"/>
    </w:pPr>
  </w:style>
  <w:style w:type="paragraph" w:styleId="Footer">
    <w:name w:val="footer"/>
    <w:basedOn w:val="Normal"/>
    <w:link w:val="FooterChar"/>
    <w:rsid w:val="00A13FF9"/>
    <w:pPr>
      <w:pBdr>
        <w:top w:val="single" w:sz="4" w:space="0" w:color="auto"/>
      </w:pBdr>
      <w:tabs>
        <w:tab w:val="center" w:pos="4680"/>
        <w:tab w:val="right" w:pos="9360"/>
      </w:tabs>
      <w:spacing w:before="120" w:after="120"/>
    </w:pPr>
    <w:rPr>
      <w:smallCaps/>
      <w:sz w:val="20"/>
    </w:rPr>
  </w:style>
  <w:style w:type="character" w:customStyle="1" w:styleId="FooterChar">
    <w:name w:val="Footer Char"/>
    <w:link w:val="Footer"/>
    <w:rsid w:val="00A13FF9"/>
    <w:rPr>
      <w:rFonts w:ascii="Times New Roman" w:eastAsia="Times New Roman" w:hAnsi="Times New Roman" w:cs="Times New Roman"/>
      <w:smallCaps/>
      <w:sz w:val="20"/>
      <w:szCs w:val="20"/>
    </w:rPr>
  </w:style>
  <w:style w:type="paragraph" w:styleId="FootnoteText">
    <w:name w:val="footnote text"/>
    <w:basedOn w:val="Normal"/>
    <w:link w:val="FootnoteTextChar"/>
    <w:rsid w:val="00A13FF9"/>
    <w:rPr>
      <w:sz w:val="18"/>
    </w:rPr>
  </w:style>
  <w:style w:type="character" w:customStyle="1" w:styleId="FootnoteTextChar">
    <w:name w:val="Footnote Text Char"/>
    <w:link w:val="FootnoteText"/>
    <w:rsid w:val="00A13FF9"/>
    <w:rPr>
      <w:rFonts w:ascii="Times New Roman" w:eastAsia="Times New Roman" w:hAnsi="Times New Roman" w:cs="Times New Roman"/>
      <w:sz w:val="18"/>
      <w:szCs w:val="20"/>
    </w:rPr>
  </w:style>
  <w:style w:type="paragraph" w:styleId="Header">
    <w:name w:val="header"/>
    <w:basedOn w:val="Normal"/>
    <w:link w:val="HeaderChar"/>
    <w:rsid w:val="00A13FF9"/>
    <w:pPr>
      <w:pBdr>
        <w:bottom w:val="single" w:sz="4" w:space="1" w:color="auto"/>
      </w:pBdr>
      <w:tabs>
        <w:tab w:val="center" w:pos="4680"/>
        <w:tab w:val="right" w:pos="9360"/>
      </w:tabs>
      <w:jc w:val="right"/>
    </w:pPr>
    <w:rPr>
      <w:smallCaps/>
      <w:sz w:val="20"/>
    </w:rPr>
  </w:style>
  <w:style w:type="character" w:customStyle="1" w:styleId="HeaderChar">
    <w:name w:val="Header Char"/>
    <w:link w:val="Header"/>
    <w:rsid w:val="00A13FF9"/>
    <w:rPr>
      <w:rFonts w:ascii="Times New Roman" w:eastAsia="Times New Roman" w:hAnsi="Times New Roman" w:cs="Times New Roman"/>
      <w:smallCaps/>
      <w:sz w:val="20"/>
      <w:szCs w:val="20"/>
    </w:rPr>
  </w:style>
  <w:style w:type="character" w:styleId="Hyperlink">
    <w:name w:val="Hyperlink"/>
    <w:uiPriority w:val="99"/>
    <w:rsid w:val="00A13FF9"/>
    <w:rPr>
      <w:color w:val="0000FF"/>
      <w:u w:val="single"/>
    </w:rPr>
  </w:style>
  <w:style w:type="paragraph" w:styleId="TOC1">
    <w:name w:val="toc 1"/>
    <w:basedOn w:val="Normal"/>
    <w:next w:val="Normal"/>
    <w:autoRedefine/>
    <w:uiPriority w:val="39"/>
    <w:rsid w:val="009E7BCF"/>
    <w:pPr>
      <w:tabs>
        <w:tab w:val="left" w:pos="540"/>
        <w:tab w:val="right" w:leader="dot" w:pos="9360"/>
      </w:tabs>
      <w:spacing w:before="120" w:after="120"/>
      <w:ind w:left="540" w:right="720" w:hanging="540"/>
    </w:pPr>
    <w:rPr>
      <w:b/>
      <w:bCs/>
      <w:noProof/>
    </w:rPr>
  </w:style>
  <w:style w:type="paragraph" w:styleId="TOC2">
    <w:name w:val="toc 2"/>
    <w:basedOn w:val="Normal"/>
    <w:next w:val="Normal"/>
    <w:autoRedefine/>
    <w:uiPriority w:val="39"/>
    <w:rsid w:val="00A13FF9"/>
    <w:pPr>
      <w:tabs>
        <w:tab w:val="left" w:pos="1260"/>
        <w:tab w:val="right" w:leader="dot" w:pos="9360"/>
      </w:tabs>
      <w:ind w:left="1260" w:right="720" w:hanging="720"/>
    </w:pPr>
    <w:rPr>
      <w:sz w:val="20"/>
    </w:rPr>
  </w:style>
  <w:style w:type="paragraph" w:styleId="TOC3">
    <w:name w:val="toc 3"/>
    <w:basedOn w:val="Normal"/>
    <w:next w:val="Normal"/>
    <w:autoRedefine/>
    <w:uiPriority w:val="39"/>
    <w:rsid w:val="0098177F"/>
    <w:pPr>
      <w:tabs>
        <w:tab w:val="left" w:pos="1980"/>
        <w:tab w:val="right" w:leader="dot" w:pos="9360"/>
      </w:tabs>
      <w:ind w:left="1980" w:right="720" w:hanging="900"/>
    </w:pPr>
    <w:rPr>
      <w:i/>
      <w:iCs/>
      <w:noProof/>
      <w:sz w:val="20"/>
    </w:rPr>
  </w:style>
  <w:style w:type="character" w:styleId="PageNumber">
    <w:name w:val="page number"/>
    <w:basedOn w:val="DefaultParagraphFont"/>
    <w:rsid w:val="00A13FF9"/>
  </w:style>
  <w:style w:type="paragraph" w:styleId="TOC4">
    <w:name w:val="toc 4"/>
    <w:basedOn w:val="Normal"/>
    <w:next w:val="Normal"/>
    <w:autoRedefine/>
    <w:uiPriority w:val="39"/>
    <w:rsid w:val="007A5F57"/>
    <w:pPr>
      <w:tabs>
        <w:tab w:val="left" w:pos="2700"/>
        <w:tab w:val="right" w:leader="dot" w:pos="9360"/>
      </w:tabs>
      <w:ind w:left="2700" w:right="720" w:hanging="1080"/>
    </w:pPr>
    <w:rPr>
      <w:noProof/>
      <w:sz w:val="20"/>
      <w:lang w:val="fr-FR"/>
    </w:rPr>
  </w:style>
  <w:style w:type="paragraph" w:styleId="TOC5">
    <w:name w:val="toc 5"/>
    <w:basedOn w:val="Normal"/>
    <w:next w:val="Normal"/>
    <w:autoRedefine/>
    <w:uiPriority w:val="39"/>
    <w:rsid w:val="00A13FF9"/>
    <w:pPr>
      <w:tabs>
        <w:tab w:val="left" w:pos="3600"/>
        <w:tab w:val="right" w:leader="dot" w:pos="9360"/>
      </w:tabs>
      <w:ind w:left="3600" w:right="720" w:hanging="1260"/>
    </w:pPr>
    <w:rPr>
      <w:i/>
      <w:noProof/>
      <w:sz w:val="18"/>
      <w:szCs w:val="18"/>
    </w:rPr>
  </w:style>
  <w:style w:type="paragraph" w:styleId="List2">
    <w:name w:val="List 2"/>
    <w:aliases w:val="Char2,Char2 Char Char, Char2"/>
    <w:basedOn w:val="Normal"/>
    <w:link w:val="List2Char"/>
    <w:rsid w:val="00A13FF9"/>
    <w:pPr>
      <w:spacing w:after="240"/>
      <w:ind w:left="2160" w:hanging="720"/>
    </w:pPr>
  </w:style>
  <w:style w:type="paragraph" w:styleId="List3">
    <w:name w:val="List 3"/>
    <w:basedOn w:val="Normal"/>
    <w:rsid w:val="00A13FF9"/>
    <w:pPr>
      <w:spacing w:after="240"/>
      <w:ind w:left="2880" w:hanging="720"/>
    </w:pPr>
  </w:style>
  <w:style w:type="paragraph" w:styleId="TOC6">
    <w:name w:val="toc 6"/>
    <w:basedOn w:val="Normal"/>
    <w:next w:val="Normal"/>
    <w:autoRedefine/>
    <w:uiPriority w:val="39"/>
    <w:rsid w:val="00A13FF9"/>
    <w:pPr>
      <w:tabs>
        <w:tab w:val="left" w:pos="4500"/>
        <w:tab w:val="right" w:leader="dot" w:pos="9360"/>
      </w:tabs>
      <w:ind w:left="4500" w:right="720" w:hanging="1440"/>
    </w:pPr>
    <w:rPr>
      <w:sz w:val="18"/>
      <w:szCs w:val="18"/>
    </w:rPr>
  </w:style>
  <w:style w:type="paragraph" w:styleId="TOC7">
    <w:name w:val="toc 7"/>
    <w:basedOn w:val="Normal"/>
    <w:next w:val="Normal"/>
    <w:autoRedefine/>
    <w:uiPriority w:val="39"/>
    <w:rsid w:val="00A13FF9"/>
    <w:pPr>
      <w:tabs>
        <w:tab w:val="left" w:pos="5400"/>
        <w:tab w:val="right" w:leader="dot" w:pos="9360"/>
      </w:tabs>
      <w:ind w:left="5400" w:right="720" w:hanging="1620"/>
    </w:pPr>
    <w:rPr>
      <w:i/>
      <w:noProof/>
      <w:sz w:val="18"/>
      <w:szCs w:val="18"/>
    </w:rPr>
  </w:style>
  <w:style w:type="paragraph" w:styleId="TOC8">
    <w:name w:val="toc 8"/>
    <w:basedOn w:val="Normal"/>
    <w:next w:val="Normal"/>
    <w:autoRedefine/>
    <w:uiPriority w:val="39"/>
    <w:rsid w:val="00A13FF9"/>
    <w:pPr>
      <w:ind w:left="1680"/>
    </w:pPr>
    <w:rPr>
      <w:sz w:val="18"/>
      <w:szCs w:val="18"/>
    </w:rPr>
  </w:style>
  <w:style w:type="paragraph" w:styleId="TOC9">
    <w:name w:val="toc 9"/>
    <w:basedOn w:val="Normal"/>
    <w:next w:val="Normal"/>
    <w:autoRedefine/>
    <w:uiPriority w:val="39"/>
    <w:rsid w:val="00A13FF9"/>
    <w:pPr>
      <w:ind w:left="1920"/>
    </w:pPr>
    <w:rPr>
      <w:sz w:val="18"/>
      <w:szCs w:val="18"/>
    </w:rPr>
  </w:style>
  <w:style w:type="paragraph" w:customStyle="1" w:styleId="H5">
    <w:name w:val="H5"/>
    <w:basedOn w:val="Heading5"/>
    <w:next w:val="BodyText"/>
    <w:link w:val="H5Char"/>
    <w:rsid w:val="00A13FF9"/>
    <w:pPr>
      <w:numPr>
        <w:ilvl w:val="0"/>
        <w:numId w:val="0"/>
      </w:numPr>
      <w:tabs>
        <w:tab w:val="clear" w:pos="1440"/>
        <w:tab w:val="left" w:pos="1620"/>
      </w:tabs>
      <w:ind w:left="1620" w:hanging="1620"/>
    </w:pPr>
  </w:style>
  <w:style w:type="paragraph" w:customStyle="1" w:styleId="H2">
    <w:name w:val="H2"/>
    <w:basedOn w:val="Heading2"/>
    <w:next w:val="BodyText"/>
    <w:link w:val="H2Char"/>
    <w:rsid w:val="00A13FF9"/>
    <w:pPr>
      <w:numPr>
        <w:ilvl w:val="0"/>
        <w:numId w:val="0"/>
      </w:numPr>
      <w:tabs>
        <w:tab w:val="clear" w:pos="720"/>
        <w:tab w:val="left" w:pos="900"/>
      </w:tabs>
      <w:ind w:left="900" w:hanging="900"/>
    </w:pPr>
  </w:style>
  <w:style w:type="paragraph" w:customStyle="1" w:styleId="H4">
    <w:name w:val="H4"/>
    <w:basedOn w:val="Heading4"/>
    <w:next w:val="BodyText"/>
    <w:link w:val="H4Char"/>
    <w:rsid w:val="00A13FF9"/>
    <w:pPr>
      <w:numPr>
        <w:ilvl w:val="0"/>
        <w:numId w:val="0"/>
      </w:numPr>
      <w:tabs>
        <w:tab w:val="clear" w:pos="1296"/>
        <w:tab w:val="left" w:pos="1260"/>
      </w:tabs>
      <w:ind w:left="1260" w:hanging="1260"/>
    </w:pPr>
  </w:style>
  <w:style w:type="paragraph" w:customStyle="1" w:styleId="H6">
    <w:name w:val="H6"/>
    <w:basedOn w:val="Heading6"/>
    <w:next w:val="BodyText"/>
    <w:link w:val="H6Char"/>
    <w:rsid w:val="00A13FF9"/>
    <w:pPr>
      <w:numPr>
        <w:ilvl w:val="0"/>
        <w:numId w:val="0"/>
      </w:numPr>
      <w:tabs>
        <w:tab w:val="clear" w:pos="1584"/>
        <w:tab w:val="left" w:pos="1800"/>
      </w:tabs>
      <w:ind w:left="1800" w:hanging="1800"/>
    </w:pPr>
  </w:style>
  <w:style w:type="paragraph" w:customStyle="1" w:styleId="H7">
    <w:name w:val="H7"/>
    <w:basedOn w:val="Heading7"/>
    <w:next w:val="BodyText"/>
    <w:rsid w:val="00A13FF9"/>
    <w:pPr>
      <w:numPr>
        <w:ilvl w:val="0"/>
        <w:numId w:val="0"/>
      </w:numPr>
      <w:tabs>
        <w:tab w:val="clear" w:pos="1728"/>
        <w:tab w:val="left" w:pos="1980"/>
      </w:tabs>
      <w:ind w:left="1980" w:hanging="1980"/>
    </w:pPr>
    <w:rPr>
      <w:b/>
      <w:i/>
    </w:rPr>
  </w:style>
  <w:style w:type="paragraph" w:customStyle="1" w:styleId="H8">
    <w:name w:val="H8"/>
    <w:basedOn w:val="Heading8"/>
    <w:next w:val="BodyText"/>
    <w:rsid w:val="00A13FF9"/>
    <w:pPr>
      <w:numPr>
        <w:ilvl w:val="0"/>
        <w:numId w:val="0"/>
      </w:numPr>
      <w:tabs>
        <w:tab w:val="clear" w:pos="1872"/>
        <w:tab w:val="left" w:pos="2160"/>
      </w:tabs>
      <w:ind w:left="2160" w:hanging="2160"/>
    </w:pPr>
    <w:rPr>
      <w:b/>
      <w:i w:val="0"/>
    </w:rPr>
  </w:style>
  <w:style w:type="paragraph" w:customStyle="1" w:styleId="H9">
    <w:name w:val="H9"/>
    <w:basedOn w:val="Heading9"/>
    <w:next w:val="BodyText"/>
    <w:rsid w:val="00A13FF9"/>
    <w:pPr>
      <w:numPr>
        <w:ilvl w:val="0"/>
        <w:numId w:val="0"/>
      </w:numPr>
      <w:tabs>
        <w:tab w:val="clear" w:pos="2160"/>
        <w:tab w:val="left" w:pos="2340"/>
      </w:tabs>
      <w:ind w:left="2340" w:hanging="2340"/>
    </w:pPr>
    <w:rPr>
      <w:i/>
    </w:rPr>
  </w:style>
  <w:style w:type="paragraph" w:customStyle="1" w:styleId="VariableDefinition">
    <w:name w:val="Variable Definition"/>
    <w:basedOn w:val="Normal"/>
    <w:link w:val="VariableDefinitionChar"/>
    <w:rsid w:val="00A13FF9"/>
    <w:pPr>
      <w:tabs>
        <w:tab w:val="left" w:pos="2160"/>
      </w:tabs>
      <w:spacing w:after="240"/>
      <w:ind w:left="2160" w:hanging="1440"/>
      <w:contextualSpacing/>
    </w:pPr>
    <w:rPr>
      <w:iCs/>
    </w:rPr>
  </w:style>
  <w:style w:type="paragraph" w:customStyle="1" w:styleId="FormulaBold">
    <w:name w:val="Formula Bold"/>
    <w:basedOn w:val="Normal"/>
    <w:link w:val="FormulaBoldChar"/>
    <w:rsid w:val="00A13FF9"/>
    <w:pPr>
      <w:tabs>
        <w:tab w:val="left" w:pos="2250"/>
        <w:tab w:val="left" w:pos="3150"/>
        <w:tab w:val="left" w:pos="3960"/>
      </w:tabs>
      <w:spacing w:after="240"/>
      <w:ind w:left="3960" w:hanging="3240"/>
    </w:pPr>
    <w:rPr>
      <w:b/>
      <w:bCs/>
      <w:szCs w:val="24"/>
    </w:rPr>
  </w:style>
  <w:style w:type="character" w:customStyle="1" w:styleId="FormulaBoldChar">
    <w:name w:val="Formula Bold Char"/>
    <w:link w:val="FormulaBold"/>
    <w:rsid w:val="00A13FF9"/>
    <w:rPr>
      <w:rFonts w:ascii="Times New Roman" w:eastAsia="Times New Roman" w:hAnsi="Times New Roman" w:cs="Times New Roman"/>
      <w:b/>
      <w:bCs/>
      <w:sz w:val="24"/>
      <w:szCs w:val="24"/>
    </w:rPr>
  </w:style>
  <w:style w:type="paragraph" w:customStyle="1" w:styleId="Formula">
    <w:name w:val="Formula"/>
    <w:basedOn w:val="Normal"/>
    <w:link w:val="FormulaChar"/>
    <w:rsid w:val="00A13FF9"/>
    <w:pPr>
      <w:tabs>
        <w:tab w:val="left" w:pos="2160"/>
        <w:tab w:val="left" w:pos="2880"/>
      </w:tabs>
      <w:spacing w:after="240"/>
      <w:ind w:leftChars="300" w:left="300" w:hangingChars="900" w:hanging="900"/>
    </w:pPr>
    <w:rPr>
      <w:bCs/>
      <w:szCs w:val="24"/>
    </w:rPr>
  </w:style>
  <w:style w:type="paragraph" w:customStyle="1" w:styleId="BodyTextNumbered">
    <w:name w:val="Body Text Numbered"/>
    <w:basedOn w:val="BodyText"/>
    <w:link w:val="BodyTextNumberedChar"/>
    <w:rsid w:val="00A13FF9"/>
    <w:pPr>
      <w:ind w:left="720" w:hanging="720"/>
    </w:pPr>
    <w:rPr>
      <w:iCs w:val="0"/>
    </w:rPr>
  </w:style>
  <w:style w:type="paragraph" w:customStyle="1" w:styleId="tablecontents">
    <w:name w:val="table contents"/>
    <w:basedOn w:val="Normal"/>
    <w:rsid w:val="00A13FF9"/>
    <w:rPr>
      <w:sz w:val="20"/>
    </w:rPr>
  </w:style>
  <w:style w:type="paragraph" w:styleId="BalloonText">
    <w:name w:val="Balloon Text"/>
    <w:basedOn w:val="Normal"/>
    <w:link w:val="BalloonTextChar"/>
    <w:uiPriority w:val="99"/>
    <w:rsid w:val="00A13FF9"/>
    <w:rPr>
      <w:rFonts w:ascii="Tahoma" w:hAnsi="Tahoma" w:cs="Tahoma"/>
      <w:sz w:val="16"/>
      <w:szCs w:val="16"/>
    </w:rPr>
  </w:style>
  <w:style w:type="character" w:customStyle="1" w:styleId="BalloonTextChar">
    <w:name w:val="Balloon Text Char"/>
    <w:link w:val="BalloonText"/>
    <w:uiPriority w:val="99"/>
    <w:rsid w:val="00A13FF9"/>
    <w:rPr>
      <w:rFonts w:ascii="Tahoma" w:eastAsia="Times New Roman" w:hAnsi="Tahoma" w:cs="Tahoma"/>
      <w:sz w:val="16"/>
      <w:szCs w:val="16"/>
    </w:rPr>
  </w:style>
  <w:style w:type="character" w:styleId="CommentReference">
    <w:name w:val="annotation reference"/>
    <w:rsid w:val="00A13FF9"/>
    <w:rPr>
      <w:sz w:val="16"/>
      <w:szCs w:val="16"/>
    </w:rPr>
  </w:style>
  <w:style w:type="paragraph" w:styleId="CommentText">
    <w:name w:val="annotation text"/>
    <w:basedOn w:val="Normal"/>
    <w:link w:val="CommentTextChar"/>
    <w:rsid w:val="00A13FF9"/>
    <w:rPr>
      <w:sz w:val="20"/>
    </w:rPr>
  </w:style>
  <w:style w:type="character" w:customStyle="1" w:styleId="CommentTextChar">
    <w:name w:val="Comment Text Char"/>
    <w:link w:val="CommentText"/>
    <w:rsid w:val="00A13F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3FF9"/>
    <w:rPr>
      <w:b/>
      <w:bCs/>
    </w:rPr>
  </w:style>
  <w:style w:type="character" w:customStyle="1" w:styleId="CommentSubjectChar">
    <w:name w:val="Comment Subject Char"/>
    <w:link w:val="CommentSubject"/>
    <w:uiPriority w:val="99"/>
    <w:rsid w:val="00A13FF9"/>
    <w:rPr>
      <w:rFonts w:ascii="Times New Roman" w:eastAsia="Times New Roman" w:hAnsi="Times New Roman" w:cs="Times New Roman"/>
      <w:b/>
      <w:bCs/>
      <w:sz w:val="20"/>
      <w:szCs w:val="20"/>
    </w:rPr>
  </w:style>
  <w:style w:type="paragraph" w:customStyle="1" w:styleId="HeadSub">
    <w:name w:val="Head Sub"/>
    <w:basedOn w:val="BodyText"/>
    <w:next w:val="BodyText"/>
    <w:rsid w:val="00A13FF9"/>
    <w:pPr>
      <w:keepNext/>
      <w:spacing w:before="240"/>
    </w:pPr>
    <w:rPr>
      <w:b/>
    </w:rPr>
  </w:style>
  <w:style w:type="paragraph" w:customStyle="1" w:styleId="TableBody">
    <w:name w:val="Table Body"/>
    <w:basedOn w:val="BodyText"/>
    <w:rsid w:val="00A13FF9"/>
    <w:pPr>
      <w:spacing w:after="60"/>
    </w:pPr>
    <w:rPr>
      <w:sz w:val="20"/>
    </w:rPr>
  </w:style>
  <w:style w:type="paragraph" w:customStyle="1" w:styleId="TableHead">
    <w:name w:val="Table Head"/>
    <w:basedOn w:val="BodyText"/>
    <w:rsid w:val="00A13FF9"/>
    <w:pPr>
      <w:spacing w:after="120"/>
    </w:pPr>
    <w:rPr>
      <w:b/>
      <w:sz w:val="20"/>
    </w:rPr>
  </w:style>
  <w:style w:type="paragraph" w:styleId="DocumentMap">
    <w:name w:val="Document Map"/>
    <w:basedOn w:val="Normal"/>
    <w:link w:val="DocumentMapChar"/>
    <w:rsid w:val="00A13FF9"/>
    <w:pPr>
      <w:shd w:val="clear" w:color="auto" w:fill="000080"/>
    </w:pPr>
    <w:rPr>
      <w:rFonts w:ascii="Tahoma" w:hAnsi="Tahoma" w:cs="Tahoma"/>
      <w:sz w:val="20"/>
    </w:rPr>
  </w:style>
  <w:style w:type="character" w:customStyle="1" w:styleId="DocumentMapChar">
    <w:name w:val="Document Map Char"/>
    <w:link w:val="DocumentMap"/>
    <w:rsid w:val="00A13FF9"/>
    <w:rPr>
      <w:rFonts w:ascii="Tahoma" w:eastAsia="Times New Roman" w:hAnsi="Tahoma" w:cs="Tahoma"/>
      <w:sz w:val="20"/>
      <w:szCs w:val="20"/>
      <w:shd w:val="clear" w:color="auto" w:fill="000080"/>
    </w:rPr>
  </w:style>
  <w:style w:type="character" w:styleId="FollowedHyperlink">
    <w:name w:val="FollowedHyperlink"/>
    <w:rsid w:val="00A13FF9"/>
    <w:rPr>
      <w:color w:val="800080"/>
      <w:u w:val="single"/>
    </w:rPr>
  </w:style>
  <w:style w:type="paragraph" w:customStyle="1" w:styleId="Default">
    <w:name w:val="Default"/>
    <w:rsid w:val="00A13FF9"/>
    <w:pPr>
      <w:autoSpaceDE w:val="0"/>
      <w:autoSpaceDN w:val="0"/>
      <w:adjustRightInd w:val="0"/>
    </w:pPr>
    <w:rPr>
      <w:rFonts w:ascii="Arial" w:eastAsia="Times New Roman" w:hAnsi="Arial" w:cs="Arial"/>
      <w:color w:val="000000"/>
      <w:sz w:val="24"/>
      <w:szCs w:val="24"/>
    </w:rPr>
  </w:style>
  <w:style w:type="paragraph" w:customStyle="1" w:styleId="VariableDefinitionwide">
    <w:name w:val="Variable Definition wide"/>
    <w:basedOn w:val="Normal"/>
    <w:rsid w:val="00A13FF9"/>
    <w:pPr>
      <w:tabs>
        <w:tab w:val="left" w:pos="2160"/>
      </w:tabs>
      <w:spacing w:after="240"/>
      <w:ind w:left="4320" w:hanging="3600"/>
      <w:contextualSpacing/>
    </w:pPr>
    <w:rPr>
      <w:iCs/>
    </w:rPr>
  </w:style>
  <w:style w:type="paragraph" w:styleId="BlockText">
    <w:name w:val="Block Text"/>
    <w:basedOn w:val="Normal"/>
    <w:rsid w:val="00A13FF9"/>
    <w:pPr>
      <w:spacing w:after="120"/>
      <w:ind w:left="1440" w:right="1440"/>
    </w:pPr>
  </w:style>
  <w:style w:type="paragraph" w:styleId="NormalWeb">
    <w:name w:val="Normal (Web)"/>
    <w:basedOn w:val="Normal"/>
    <w:uiPriority w:val="99"/>
    <w:rsid w:val="00A13FF9"/>
    <w:pPr>
      <w:spacing w:before="100" w:beforeAutospacing="1" w:after="100" w:afterAutospacing="1"/>
    </w:pPr>
    <w:rPr>
      <w:szCs w:val="24"/>
    </w:rPr>
  </w:style>
  <w:style w:type="paragraph" w:customStyle="1" w:styleId="H3">
    <w:name w:val="H3"/>
    <w:basedOn w:val="Heading3"/>
    <w:next w:val="BodyText"/>
    <w:link w:val="H3Char"/>
    <w:rsid w:val="00A13FF9"/>
    <w:pPr>
      <w:numPr>
        <w:ilvl w:val="0"/>
        <w:numId w:val="0"/>
      </w:numPr>
      <w:tabs>
        <w:tab w:val="clear" w:pos="1008"/>
        <w:tab w:val="left" w:pos="1080"/>
      </w:tabs>
      <w:ind w:left="1080" w:hanging="1080"/>
    </w:pPr>
  </w:style>
  <w:style w:type="table" w:styleId="TableGrid">
    <w:name w:val="Table Grid"/>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har">
    <w:name w:val="H2 Char"/>
    <w:link w:val="H2"/>
    <w:rsid w:val="00A13FF9"/>
    <w:rPr>
      <w:rFonts w:ascii="Times New Roman" w:eastAsia="Times New Roman" w:hAnsi="Times New Roman" w:cs="Times New Roman"/>
      <w:b/>
      <w:sz w:val="24"/>
      <w:szCs w:val="20"/>
    </w:rPr>
  </w:style>
  <w:style w:type="character" w:customStyle="1" w:styleId="CharChar">
    <w:name w:val="Char Char"/>
    <w:aliases w:val="Body Text Indent Char, Char Char"/>
    <w:rsid w:val="00A13FF9"/>
    <w:rPr>
      <w:iCs/>
      <w:sz w:val="24"/>
      <w:lang w:val="en-US" w:eastAsia="en-US" w:bidi="ar-SA"/>
    </w:rPr>
  </w:style>
  <w:style w:type="paragraph" w:customStyle="1" w:styleId="NormalArial">
    <w:name w:val="Normal+Arial"/>
    <w:basedOn w:val="Normal"/>
    <w:link w:val="NormalArialChar"/>
    <w:rsid w:val="00A13FF9"/>
    <w:rPr>
      <w:rFonts w:ascii="Arial" w:hAnsi="Arial"/>
      <w:szCs w:val="24"/>
    </w:rPr>
  </w:style>
  <w:style w:type="paragraph" w:customStyle="1" w:styleId="TableBullet">
    <w:name w:val="Table Bullet"/>
    <w:basedOn w:val="TableBody"/>
    <w:rsid w:val="00A13FF9"/>
    <w:pPr>
      <w:numPr>
        <w:numId w:val="2"/>
      </w:numPr>
      <w:tabs>
        <w:tab w:val="clear" w:pos="360"/>
        <w:tab w:val="num" w:pos="1080"/>
      </w:tabs>
      <w:ind w:left="0" w:firstLine="0"/>
    </w:pPr>
  </w:style>
  <w:style w:type="character" w:customStyle="1" w:styleId="NormalArialChar">
    <w:name w:val="Normal+Arial Char"/>
    <w:link w:val="NormalArial"/>
    <w:rsid w:val="00A13FF9"/>
    <w:rPr>
      <w:rFonts w:ascii="Arial" w:eastAsia="Times New Roman" w:hAnsi="Arial" w:cs="Times New Roman"/>
      <w:sz w:val="24"/>
      <w:szCs w:val="24"/>
    </w:rPr>
  </w:style>
  <w:style w:type="character" w:customStyle="1" w:styleId="BodyTextNumberedChar">
    <w:name w:val="Body Text Numbered Char"/>
    <w:link w:val="BodyTextNumbered"/>
    <w:rsid w:val="00A13FF9"/>
    <w:rPr>
      <w:rFonts w:ascii="Times New Roman" w:eastAsia="Times New Roman" w:hAnsi="Times New Roman" w:cs="Times New Roman"/>
      <w:sz w:val="24"/>
      <w:szCs w:val="20"/>
    </w:rPr>
  </w:style>
  <w:style w:type="character" w:customStyle="1" w:styleId="BodyTextCharChar2">
    <w:name w:val="Body Text Char Char2"/>
    <w:aliases w:val=" Char Char Char Char Char Char Char Char1,Body Text Char Char Char Char Char, Char Char Char Char Char Char Char Char1 Char Char Char, Char Char Char Char Char Char1 Char"/>
    <w:rsid w:val="00A13FF9"/>
    <w:rPr>
      <w:iCs/>
      <w:sz w:val="24"/>
      <w:lang w:val="en-US" w:eastAsia="en-US" w:bidi="ar-SA"/>
    </w:rPr>
  </w:style>
  <w:style w:type="character" w:customStyle="1" w:styleId="ListChar">
    <w:name w:val="List Char"/>
    <w:aliases w:val=" Char2 Char Char Char Char Char1, Char2 Char Char, Char1 Char,Char2 Char Char Char Char Char1"/>
    <w:link w:val="List"/>
    <w:rsid w:val="00A13FF9"/>
    <w:rPr>
      <w:rFonts w:ascii="Times New Roman" w:eastAsia="Times New Roman" w:hAnsi="Times New Roman" w:cs="Times New Roman"/>
      <w:sz w:val="24"/>
      <w:szCs w:val="20"/>
    </w:rPr>
  </w:style>
  <w:style w:type="character" w:customStyle="1" w:styleId="BodyTextNumberedChar1">
    <w:name w:val="Body Text Numbered Char1"/>
    <w:rsid w:val="00A13FF9"/>
    <w:rPr>
      <w:iCs/>
      <w:sz w:val="24"/>
      <w:lang w:val="en-US" w:eastAsia="en-US" w:bidi="ar-SA"/>
    </w:rPr>
  </w:style>
  <w:style w:type="character" w:customStyle="1" w:styleId="FormulaChar">
    <w:name w:val="Formula Char"/>
    <w:link w:val="Formula"/>
    <w:rsid w:val="00A13FF9"/>
    <w:rPr>
      <w:rFonts w:ascii="Times New Roman" w:eastAsia="Times New Roman" w:hAnsi="Times New Roman" w:cs="Times New Roman"/>
      <w:bCs/>
      <w:sz w:val="24"/>
      <w:szCs w:val="24"/>
    </w:rPr>
  </w:style>
  <w:style w:type="paragraph" w:customStyle="1" w:styleId="Char3">
    <w:name w:val="Char3"/>
    <w:basedOn w:val="Normal"/>
    <w:rsid w:val="00A13FF9"/>
    <w:pPr>
      <w:spacing w:after="160" w:line="240" w:lineRule="exact"/>
    </w:pPr>
    <w:rPr>
      <w:rFonts w:ascii="Verdana" w:hAnsi="Verdana"/>
      <w:sz w:val="16"/>
    </w:rPr>
  </w:style>
  <w:style w:type="paragraph" w:customStyle="1" w:styleId="Char">
    <w:name w:val="Char"/>
    <w:basedOn w:val="Normal"/>
    <w:rsid w:val="00A13FF9"/>
    <w:pPr>
      <w:spacing w:after="160" w:line="240" w:lineRule="exact"/>
    </w:pPr>
    <w:rPr>
      <w:rFonts w:ascii="Verdana" w:hAnsi="Verdana"/>
      <w:sz w:val="16"/>
    </w:rPr>
  </w:style>
  <w:style w:type="paragraph" w:customStyle="1" w:styleId="formula0">
    <w:name w:val="formula"/>
    <w:basedOn w:val="Normal"/>
    <w:rsid w:val="00A13FF9"/>
    <w:pPr>
      <w:spacing w:after="120"/>
      <w:ind w:left="720" w:hanging="720"/>
    </w:pPr>
    <w:rPr>
      <w:szCs w:val="24"/>
    </w:rPr>
  </w:style>
  <w:style w:type="character" w:customStyle="1" w:styleId="H4Char">
    <w:name w:val="H4 Char"/>
    <w:link w:val="H4"/>
    <w:rsid w:val="00A13FF9"/>
    <w:rPr>
      <w:rFonts w:ascii="Times New Roman" w:eastAsia="Times New Roman" w:hAnsi="Times New Roman" w:cs="Times New Roman"/>
      <w:b/>
      <w:bCs/>
      <w:snapToGrid w:val="0"/>
      <w:sz w:val="24"/>
      <w:szCs w:val="20"/>
    </w:rPr>
  </w:style>
  <w:style w:type="paragraph" w:customStyle="1" w:styleId="tablebody0">
    <w:name w:val="tablebody"/>
    <w:basedOn w:val="Normal"/>
    <w:rsid w:val="00A13FF9"/>
    <w:pPr>
      <w:spacing w:after="60"/>
    </w:pPr>
    <w:rPr>
      <w:sz w:val="20"/>
    </w:rPr>
  </w:style>
  <w:style w:type="paragraph" w:customStyle="1" w:styleId="Instructions">
    <w:name w:val="Instructions"/>
    <w:basedOn w:val="BodyText"/>
    <w:link w:val="InstructionsChar"/>
    <w:rsid w:val="00A13FF9"/>
    <w:rPr>
      <w:b/>
      <w:i/>
      <w:szCs w:val="24"/>
    </w:rPr>
  </w:style>
  <w:style w:type="character" w:customStyle="1" w:styleId="InstructionsChar">
    <w:name w:val="Instructions Char"/>
    <w:link w:val="Instructions"/>
    <w:rsid w:val="00A13FF9"/>
    <w:rPr>
      <w:rFonts w:ascii="Times New Roman" w:eastAsia="Times New Roman" w:hAnsi="Times New Roman" w:cs="Times New Roman"/>
      <w:b/>
      <w:i/>
      <w:iCs/>
      <w:sz w:val="24"/>
      <w:szCs w:val="24"/>
    </w:rPr>
  </w:style>
  <w:style w:type="paragraph" w:customStyle="1" w:styleId="Char4">
    <w:name w:val="Char4"/>
    <w:basedOn w:val="Normal"/>
    <w:rsid w:val="00A13FF9"/>
    <w:pPr>
      <w:spacing w:after="160" w:line="240" w:lineRule="exact"/>
    </w:pPr>
    <w:rPr>
      <w:rFonts w:ascii="Verdana" w:hAnsi="Verdana"/>
      <w:sz w:val="16"/>
    </w:rPr>
  </w:style>
  <w:style w:type="paragraph" w:customStyle="1" w:styleId="TXUHeader">
    <w:name w:val="TXUHeader"/>
    <w:basedOn w:val="Normal"/>
    <w:rsid w:val="00A13FF9"/>
    <w:pPr>
      <w:tabs>
        <w:tab w:val="right" w:pos="9360"/>
      </w:tabs>
    </w:pPr>
    <w:rPr>
      <w:noProof/>
      <w:sz w:val="16"/>
    </w:rPr>
  </w:style>
  <w:style w:type="paragraph" w:customStyle="1" w:styleId="Char32">
    <w:name w:val="Char32"/>
    <w:basedOn w:val="Normal"/>
    <w:rsid w:val="00A13FF9"/>
    <w:pPr>
      <w:spacing w:after="160" w:line="240" w:lineRule="exact"/>
    </w:pPr>
    <w:rPr>
      <w:rFonts w:ascii="Verdana" w:hAnsi="Verdana"/>
      <w:sz w:val="16"/>
    </w:rPr>
  </w:style>
  <w:style w:type="paragraph" w:customStyle="1" w:styleId="Char31">
    <w:name w:val="Char31"/>
    <w:basedOn w:val="Normal"/>
    <w:rsid w:val="00A13FF9"/>
    <w:pPr>
      <w:spacing w:after="160" w:line="240" w:lineRule="exact"/>
    </w:pPr>
    <w:rPr>
      <w:rFonts w:ascii="Verdana" w:hAnsi="Verdana"/>
      <w:sz w:val="16"/>
    </w:rPr>
  </w:style>
  <w:style w:type="character" w:customStyle="1" w:styleId="H5Char">
    <w:name w:val="H5 Char"/>
    <w:link w:val="H5"/>
    <w:rsid w:val="00A13FF9"/>
    <w:rPr>
      <w:rFonts w:ascii="Times New Roman" w:eastAsia="Times New Roman" w:hAnsi="Times New Roman" w:cs="Times New Roman"/>
      <w:b/>
      <w:bCs/>
      <w:i/>
      <w:iCs/>
      <w:sz w:val="24"/>
      <w:szCs w:val="26"/>
    </w:rPr>
  </w:style>
  <w:style w:type="paragraph" w:customStyle="1" w:styleId="TableBulletBullet">
    <w:name w:val="Table Bullet/Bullet"/>
    <w:basedOn w:val="Normal"/>
    <w:rsid w:val="00A13FF9"/>
    <w:pPr>
      <w:numPr>
        <w:numId w:val="3"/>
      </w:numPr>
    </w:pPr>
  </w:style>
  <w:style w:type="paragraph" w:customStyle="1" w:styleId="Char1">
    <w:name w:val="Char1"/>
    <w:basedOn w:val="Normal"/>
    <w:rsid w:val="00A13FF9"/>
    <w:pPr>
      <w:spacing w:after="160" w:line="240" w:lineRule="exact"/>
    </w:pPr>
    <w:rPr>
      <w:rFonts w:ascii="Verdana" w:hAnsi="Verdana"/>
      <w:sz w:val="16"/>
    </w:rPr>
  </w:style>
  <w:style w:type="paragraph" w:customStyle="1" w:styleId="Char11">
    <w:name w:val="Char11"/>
    <w:basedOn w:val="Normal"/>
    <w:rsid w:val="00A13FF9"/>
    <w:pPr>
      <w:spacing w:after="160" w:line="240" w:lineRule="exact"/>
    </w:pPr>
    <w:rPr>
      <w:rFonts w:ascii="Verdana" w:hAnsi="Verdana"/>
      <w:sz w:val="16"/>
    </w:rPr>
  </w:style>
  <w:style w:type="paragraph" w:styleId="Revision">
    <w:name w:val="Revision"/>
    <w:hidden/>
    <w:uiPriority w:val="99"/>
    <w:rsid w:val="00A13FF9"/>
    <w:rPr>
      <w:rFonts w:ascii="Times New Roman" w:eastAsia="Times New Roman" w:hAnsi="Times New Roman"/>
      <w:sz w:val="24"/>
    </w:rPr>
  </w:style>
  <w:style w:type="character" w:customStyle="1" w:styleId="H3Char">
    <w:name w:val="H3 Char"/>
    <w:link w:val="H3"/>
    <w:rsid w:val="00A13FF9"/>
    <w:rPr>
      <w:rFonts w:ascii="Times New Roman" w:eastAsia="Times New Roman" w:hAnsi="Times New Roman" w:cs="Times New Roman"/>
      <w:b/>
      <w:bCs/>
      <w:i/>
      <w:sz w:val="24"/>
      <w:szCs w:val="20"/>
    </w:rPr>
  </w:style>
  <w:style w:type="table" w:customStyle="1" w:styleId="BoxedLanguage">
    <w:name w:val="Boxed Language"/>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TXUSubject">
    <w:name w:val="TXUSubject"/>
    <w:basedOn w:val="Normal"/>
    <w:next w:val="Normal"/>
    <w:rsid w:val="00A13FF9"/>
    <w:pPr>
      <w:spacing w:after="240"/>
    </w:pPr>
    <w:rPr>
      <w:b/>
      <w:sz w:val="20"/>
    </w:rPr>
  </w:style>
  <w:style w:type="table" w:customStyle="1" w:styleId="FormulaVariableTable">
    <w:name w:val="Formula Variable Table"/>
    <w:basedOn w:val="TableNormal"/>
    <w:rsid w:val="00A13FF9"/>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ListChar1">
    <w:name w:val="List Char1"/>
    <w:aliases w:val=" Char2 Char Char Char Char Char, Char2 Char Char1,Char1 Char1"/>
    <w:uiPriority w:val="99"/>
    <w:rsid w:val="00A13FF9"/>
    <w:rPr>
      <w:sz w:val="24"/>
    </w:rPr>
  </w:style>
  <w:style w:type="character" w:customStyle="1" w:styleId="H6Char">
    <w:name w:val="H6 Char"/>
    <w:link w:val="H6"/>
    <w:rsid w:val="00A13FF9"/>
    <w:rPr>
      <w:rFonts w:ascii="Times New Roman" w:eastAsia="Times New Roman" w:hAnsi="Times New Roman" w:cs="Times New Roman"/>
      <w:b/>
      <w:bCs/>
      <w:sz w:val="24"/>
    </w:rPr>
  </w:style>
  <w:style w:type="paragraph" w:customStyle="1" w:styleId="ColorfulList-Accent11">
    <w:name w:val="Colorful List - Accent 11"/>
    <w:basedOn w:val="Normal"/>
    <w:qFormat/>
    <w:rsid w:val="000169BA"/>
    <w:pPr>
      <w:ind w:left="720"/>
      <w:contextualSpacing/>
    </w:pPr>
    <w:rPr>
      <w:szCs w:val="24"/>
    </w:rPr>
  </w:style>
  <w:style w:type="paragraph" w:styleId="ListParagraph">
    <w:name w:val="List Paragraph"/>
    <w:basedOn w:val="Normal"/>
    <w:uiPriority w:val="34"/>
    <w:qFormat/>
    <w:rsid w:val="000169BA"/>
    <w:pPr>
      <w:ind w:left="720"/>
      <w:contextualSpacing/>
    </w:pPr>
    <w:rPr>
      <w:szCs w:val="24"/>
    </w:rPr>
  </w:style>
  <w:style w:type="character" w:customStyle="1" w:styleId="msoins0">
    <w:name w:val="msoins"/>
    <w:rsid w:val="00C61B40"/>
  </w:style>
  <w:style w:type="paragraph" w:styleId="HTMLAddress">
    <w:name w:val="HTML Address"/>
    <w:basedOn w:val="Normal"/>
    <w:link w:val="HTMLAddressChar"/>
    <w:unhideWhenUsed/>
    <w:rsid w:val="00773B28"/>
    <w:rPr>
      <w:i/>
      <w:iCs/>
    </w:rPr>
  </w:style>
  <w:style w:type="character" w:customStyle="1" w:styleId="HTMLAddressChar">
    <w:name w:val="HTML Address Char"/>
    <w:basedOn w:val="DefaultParagraphFont"/>
    <w:link w:val="HTMLAddress"/>
    <w:rsid w:val="00773B28"/>
    <w:rPr>
      <w:rFonts w:ascii="Times New Roman" w:eastAsia="Times New Roman" w:hAnsi="Times New Roman"/>
      <w:i/>
      <w:iCs/>
      <w:sz w:val="24"/>
    </w:rPr>
  </w:style>
  <w:style w:type="character" w:customStyle="1" w:styleId="Heading1Char1">
    <w:name w:val="Heading 1 Char1"/>
    <w:aliases w:val="h1 Char1"/>
    <w:basedOn w:val="DefaultParagraphFont"/>
    <w:rsid w:val="00773B28"/>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h2 Char1"/>
    <w:basedOn w:val="DefaultParagraphFont"/>
    <w:semiHidden/>
    <w:rsid w:val="00773B28"/>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h3 Char1"/>
    <w:basedOn w:val="DefaultParagraphFont"/>
    <w:semiHidden/>
    <w:rsid w:val="00773B28"/>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h4 Char1,delete Char1"/>
    <w:basedOn w:val="DefaultParagraphFont"/>
    <w:semiHidden/>
    <w:rsid w:val="00773B28"/>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aliases w:val="h5 Char1"/>
    <w:basedOn w:val="DefaultParagraphFont"/>
    <w:semiHidden/>
    <w:rsid w:val="00773B28"/>
    <w:rPr>
      <w:rFonts w:asciiTheme="majorHAnsi" w:eastAsiaTheme="majorEastAsia" w:hAnsiTheme="majorHAnsi" w:cstheme="majorBidi"/>
      <w:color w:val="2E74B5" w:themeColor="accent1" w:themeShade="BF"/>
      <w:sz w:val="24"/>
      <w:szCs w:val="24"/>
    </w:rPr>
  </w:style>
  <w:style w:type="character" w:customStyle="1" w:styleId="Heading6Char1">
    <w:name w:val="Heading 6 Char1"/>
    <w:aliases w:val="h6 Char1"/>
    <w:basedOn w:val="DefaultParagraphFont"/>
    <w:semiHidden/>
    <w:rsid w:val="00773B28"/>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nhideWhenUsed/>
    <w:rsid w:val="0077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73B28"/>
    <w:rPr>
      <w:rFonts w:ascii="Courier New" w:eastAsia="Times New Roman" w:hAnsi="Courier New" w:cs="Courier New"/>
    </w:rPr>
  </w:style>
  <w:style w:type="paragraph" w:styleId="Index1">
    <w:name w:val="index 1"/>
    <w:basedOn w:val="Normal"/>
    <w:next w:val="Normal"/>
    <w:autoRedefine/>
    <w:unhideWhenUsed/>
    <w:rsid w:val="00773B28"/>
    <w:pPr>
      <w:ind w:left="240" w:hanging="240"/>
    </w:pPr>
  </w:style>
  <w:style w:type="paragraph" w:styleId="Index2">
    <w:name w:val="index 2"/>
    <w:basedOn w:val="Normal"/>
    <w:next w:val="Normal"/>
    <w:autoRedefine/>
    <w:unhideWhenUsed/>
    <w:rsid w:val="00773B28"/>
    <w:pPr>
      <w:ind w:left="480" w:hanging="240"/>
    </w:pPr>
  </w:style>
  <w:style w:type="paragraph" w:styleId="Index3">
    <w:name w:val="index 3"/>
    <w:basedOn w:val="Normal"/>
    <w:next w:val="Normal"/>
    <w:autoRedefine/>
    <w:unhideWhenUsed/>
    <w:rsid w:val="00773B28"/>
    <w:pPr>
      <w:ind w:left="720" w:hanging="240"/>
    </w:pPr>
  </w:style>
  <w:style w:type="paragraph" w:styleId="Index4">
    <w:name w:val="index 4"/>
    <w:basedOn w:val="Normal"/>
    <w:next w:val="Normal"/>
    <w:autoRedefine/>
    <w:unhideWhenUsed/>
    <w:rsid w:val="00773B28"/>
    <w:pPr>
      <w:ind w:left="960" w:hanging="240"/>
    </w:pPr>
  </w:style>
  <w:style w:type="paragraph" w:styleId="Index5">
    <w:name w:val="index 5"/>
    <w:basedOn w:val="Normal"/>
    <w:next w:val="Normal"/>
    <w:autoRedefine/>
    <w:unhideWhenUsed/>
    <w:rsid w:val="00773B28"/>
    <w:pPr>
      <w:ind w:left="1200" w:hanging="240"/>
    </w:pPr>
  </w:style>
  <w:style w:type="paragraph" w:styleId="Index6">
    <w:name w:val="index 6"/>
    <w:basedOn w:val="Normal"/>
    <w:next w:val="Normal"/>
    <w:autoRedefine/>
    <w:unhideWhenUsed/>
    <w:rsid w:val="00773B28"/>
    <w:pPr>
      <w:ind w:left="1440" w:hanging="240"/>
    </w:pPr>
  </w:style>
  <w:style w:type="paragraph" w:styleId="Index7">
    <w:name w:val="index 7"/>
    <w:basedOn w:val="Normal"/>
    <w:next w:val="Normal"/>
    <w:autoRedefine/>
    <w:unhideWhenUsed/>
    <w:rsid w:val="00773B28"/>
    <w:pPr>
      <w:ind w:left="1680" w:hanging="240"/>
    </w:pPr>
  </w:style>
  <w:style w:type="paragraph" w:styleId="Index8">
    <w:name w:val="index 8"/>
    <w:basedOn w:val="Normal"/>
    <w:next w:val="Normal"/>
    <w:autoRedefine/>
    <w:unhideWhenUsed/>
    <w:rsid w:val="00773B28"/>
    <w:pPr>
      <w:ind w:left="1920" w:hanging="240"/>
    </w:pPr>
  </w:style>
  <w:style w:type="paragraph" w:styleId="Index9">
    <w:name w:val="index 9"/>
    <w:basedOn w:val="Normal"/>
    <w:next w:val="Normal"/>
    <w:autoRedefine/>
    <w:unhideWhenUsed/>
    <w:rsid w:val="00773B28"/>
    <w:pPr>
      <w:ind w:left="2160" w:hanging="240"/>
    </w:pPr>
  </w:style>
  <w:style w:type="paragraph" w:styleId="NormalIndent">
    <w:name w:val="Normal Indent"/>
    <w:basedOn w:val="Normal"/>
    <w:unhideWhenUsed/>
    <w:rsid w:val="00773B28"/>
    <w:pPr>
      <w:ind w:left="720"/>
    </w:pPr>
  </w:style>
  <w:style w:type="paragraph" w:styleId="IndexHeading">
    <w:name w:val="index heading"/>
    <w:basedOn w:val="Normal"/>
    <w:next w:val="Index1"/>
    <w:unhideWhenUsed/>
    <w:rsid w:val="00773B28"/>
    <w:rPr>
      <w:rFonts w:ascii="Arial" w:hAnsi="Arial" w:cs="Arial"/>
      <w:b/>
      <w:bCs/>
    </w:rPr>
  </w:style>
  <w:style w:type="paragraph" w:styleId="Caption">
    <w:name w:val="caption"/>
    <w:basedOn w:val="Normal"/>
    <w:next w:val="Normal"/>
    <w:unhideWhenUsed/>
    <w:qFormat/>
    <w:rsid w:val="00773B28"/>
    <w:rPr>
      <w:b/>
      <w:bCs/>
      <w:sz w:val="20"/>
    </w:rPr>
  </w:style>
  <w:style w:type="paragraph" w:styleId="TableofFigures">
    <w:name w:val="table of figures"/>
    <w:basedOn w:val="Normal"/>
    <w:next w:val="Normal"/>
    <w:unhideWhenUsed/>
    <w:rsid w:val="00773B28"/>
  </w:style>
  <w:style w:type="paragraph" w:styleId="EnvelopeAddress">
    <w:name w:val="envelope address"/>
    <w:basedOn w:val="Normal"/>
    <w:unhideWhenUsed/>
    <w:rsid w:val="00773B28"/>
    <w:pPr>
      <w:framePr w:w="7920" w:h="1980" w:hSpace="180" w:wrap="auto" w:hAnchor="page" w:xAlign="center" w:yAlign="bottom"/>
      <w:ind w:left="2880"/>
    </w:pPr>
    <w:rPr>
      <w:rFonts w:ascii="Arial" w:hAnsi="Arial" w:cs="Arial"/>
      <w:szCs w:val="24"/>
    </w:rPr>
  </w:style>
  <w:style w:type="paragraph" w:styleId="EnvelopeReturn">
    <w:name w:val="envelope return"/>
    <w:basedOn w:val="Normal"/>
    <w:unhideWhenUsed/>
    <w:rsid w:val="00773B28"/>
    <w:rPr>
      <w:rFonts w:ascii="Arial" w:hAnsi="Arial" w:cs="Arial"/>
      <w:sz w:val="20"/>
    </w:rPr>
  </w:style>
  <w:style w:type="paragraph" w:styleId="EndnoteText">
    <w:name w:val="endnote text"/>
    <w:basedOn w:val="Normal"/>
    <w:link w:val="EndnoteTextChar"/>
    <w:unhideWhenUsed/>
    <w:rsid w:val="00773B28"/>
    <w:rPr>
      <w:sz w:val="20"/>
    </w:rPr>
  </w:style>
  <w:style w:type="character" w:customStyle="1" w:styleId="EndnoteTextChar">
    <w:name w:val="Endnote Text Char"/>
    <w:basedOn w:val="DefaultParagraphFont"/>
    <w:link w:val="EndnoteText"/>
    <w:rsid w:val="00773B28"/>
    <w:rPr>
      <w:rFonts w:ascii="Times New Roman" w:eastAsia="Times New Roman" w:hAnsi="Times New Roman"/>
    </w:rPr>
  </w:style>
  <w:style w:type="paragraph" w:styleId="TableofAuthorities">
    <w:name w:val="table of authorities"/>
    <w:basedOn w:val="Normal"/>
    <w:next w:val="Normal"/>
    <w:unhideWhenUsed/>
    <w:rsid w:val="00773B28"/>
    <w:pPr>
      <w:ind w:left="240" w:hanging="240"/>
    </w:pPr>
  </w:style>
  <w:style w:type="paragraph" w:styleId="MacroText">
    <w:name w:val="macro"/>
    <w:link w:val="MacroTextChar"/>
    <w:unhideWhenUsed/>
    <w:rsid w:val="00773B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773B28"/>
    <w:rPr>
      <w:rFonts w:ascii="Courier New" w:eastAsia="Times New Roman" w:hAnsi="Courier New" w:cs="Courier New"/>
    </w:rPr>
  </w:style>
  <w:style w:type="paragraph" w:styleId="TOAHeading">
    <w:name w:val="toa heading"/>
    <w:basedOn w:val="Normal"/>
    <w:next w:val="Normal"/>
    <w:unhideWhenUsed/>
    <w:rsid w:val="00773B28"/>
    <w:pPr>
      <w:spacing w:before="120"/>
    </w:pPr>
    <w:rPr>
      <w:rFonts w:ascii="Arial" w:hAnsi="Arial" w:cs="Arial"/>
      <w:b/>
      <w:bCs/>
      <w:szCs w:val="24"/>
    </w:rPr>
  </w:style>
  <w:style w:type="paragraph" w:styleId="ListBullet">
    <w:name w:val="List Bullet"/>
    <w:basedOn w:val="Normal"/>
    <w:unhideWhenUsed/>
    <w:rsid w:val="00773B28"/>
    <w:pPr>
      <w:tabs>
        <w:tab w:val="num" w:pos="360"/>
      </w:tabs>
      <w:ind w:left="360" w:hanging="360"/>
    </w:pPr>
  </w:style>
  <w:style w:type="paragraph" w:styleId="ListNumber">
    <w:name w:val="List Number"/>
    <w:basedOn w:val="Normal"/>
    <w:unhideWhenUsed/>
    <w:rsid w:val="00773B28"/>
    <w:pPr>
      <w:tabs>
        <w:tab w:val="num" w:pos="360"/>
      </w:tabs>
      <w:ind w:left="360" w:hanging="360"/>
    </w:pPr>
  </w:style>
  <w:style w:type="character" w:customStyle="1" w:styleId="List2Char">
    <w:name w:val="List 2 Char"/>
    <w:aliases w:val="Char2 Char,Char2 Char Char Char, Char2 Char1"/>
    <w:link w:val="List2"/>
    <w:locked/>
    <w:rsid w:val="00773B28"/>
    <w:rPr>
      <w:rFonts w:ascii="Times New Roman" w:eastAsia="Times New Roman" w:hAnsi="Times New Roman"/>
      <w:sz w:val="24"/>
    </w:rPr>
  </w:style>
  <w:style w:type="paragraph" w:styleId="List4">
    <w:name w:val="List 4"/>
    <w:basedOn w:val="Normal"/>
    <w:unhideWhenUsed/>
    <w:rsid w:val="00773B28"/>
    <w:pPr>
      <w:ind w:left="1440" w:hanging="360"/>
    </w:pPr>
  </w:style>
  <w:style w:type="paragraph" w:styleId="List5">
    <w:name w:val="List 5"/>
    <w:basedOn w:val="Normal"/>
    <w:unhideWhenUsed/>
    <w:rsid w:val="00773B28"/>
    <w:pPr>
      <w:ind w:left="1800" w:hanging="360"/>
    </w:pPr>
  </w:style>
  <w:style w:type="paragraph" w:styleId="ListBullet2">
    <w:name w:val="List Bullet 2"/>
    <w:basedOn w:val="Normal"/>
    <w:unhideWhenUsed/>
    <w:rsid w:val="00773B28"/>
    <w:pPr>
      <w:tabs>
        <w:tab w:val="num" w:pos="720"/>
      </w:tabs>
      <w:ind w:left="720" w:hanging="360"/>
    </w:pPr>
  </w:style>
  <w:style w:type="paragraph" w:styleId="ListBullet3">
    <w:name w:val="List Bullet 3"/>
    <w:basedOn w:val="Normal"/>
    <w:unhideWhenUsed/>
    <w:rsid w:val="00773B28"/>
    <w:pPr>
      <w:tabs>
        <w:tab w:val="num" w:pos="1080"/>
      </w:tabs>
      <w:ind w:left="1080" w:hanging="360"/>
    </w:pPr>
  </w:style>
  <w:style w:type="paragraph" w:styleId="ListBullet4">
    <w:name w:val="List Bullet 4"/>
    <w:basedOn w:val="Normal"/>
    <w:unhideWhenUsed/>
    <w:rsid w:val="00773B28"/>
    <w:pPr>
      <w:tabs>
        <w:tab w:val="num" w:pos="1440"/>
      </w:tabs>
      <w:ind w:left="1440" w:hanging="360"/>
    </w:pPr>
  </w:style>
  <w:style w:type="paragraph" w:styleId="ListBullet5">
    <w:name w:val="List Bullet 5"/>
    <w:basedOn w:val="Normal"/>
    <w:unhideWhenUsed/>
    <w:rsid w:val="00773B28"/>
    <w:pPr>
      <w:tabs>
        <w:tab w:val="num" w:pos="1800"/>
      </w:tabs>
      <w:ind w:left="1800" w:hanging="360"/>
    </w:pPr>
  </w:style>
  <w:style w:type="paragraph" w:styleId="ListNumber2">
    <w:name w:val="List Number 2"/>
    <w:basedOn w:val="Normal"/>
    <w:unhideWhenUsed/>
    <w:rsid w:val="00773B28"/>
    <w:pPr>
      <w:tabs>
        <w:tab w:val="num" w:pos="720"/>
      </w:tabs>
      <w:ind w:left="720" w:hanging="360"/>
    </w:pPr>
  </w:style>
  <w:style w:type="paragraph" w:styleId="ListNumber3">
    <w:name w:val="List Number 3"/>
    <w:basedOn w:val="Normal"/>
    <w:unhideWhenUsed/>
    <w:rsid w:val="00773B28"/>
    <w:pPr>
      <w:tabs>
        <w:tab w:val="num" w:pos="1080"/>
      </w:tabs>
      <w:ind w:left="1080" w:hanging="360"/>
    </w:pPr>
  </w:style>
  <w:style w:type="paragraph" w:styleId="ListNumber4">
    <w:name w:val="List Number 4"/>
    <w:basedOn w:val="Normal"/>
    <w:unhideWhenUsed/>
    <w:rsid w:val="00773B28"/>
    <w:pPr>
      <w:tabs>
        <w:tab w:val="num" w:pos="1440"/>
      </w:tabs>
      <w:ind w:left="1440" w:hanging="360"/>
    </w:pPr>
  </w:style>
  <w:style w:type="paragraph" w:styleId="ListNumber5">
    <w:name w:val="List Number 5"/>
    <w:basedOn w:val="Normal"/>
    <w:unhideWhenUsed/>
    <w:rsid w:val="00773B28"/>
    <w:pPr>
      <w:tabs>
        <w:tab w:val="num" w:pos="1800"/>
      </w:tabs>
      <w:ind w:left="1800" w:hanging="360"/>
    </w:pPr>
  </w:style>
  <w:style w:type="paragraph" w:styleId="Title">
    <w:name w:val="Title"/>
    <w:basedOn w:val="Normal"/>
    <w:link w:val="TitleChar"/>
    <w:qFormat/>
    <w:rsid w:val="00773B2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73B28"/>
    <w:rPr>
      <w:rFonts w:ascii="Arial" w:eastAsia="Times New Roman" w:hAnsi="Arial" w:cs="Arial"/>
      <w:b/>
      <w:bCs/>
      <w:kern w:val="28"/>
      <w:sz w:val="32"/>
      <w:szCs w:val="32"/>
    </w:rPr>
  </w:style>
  <w:style w:type="paragraph" w:styleId="Closing">
    <w:name w:val="Closing"/>
    <w:basedOn w:val="Normal"/>
    <w:link w:val="ClosingChar"/>
    <w:unhideWhenUsed/>
    <w:rsid w:val="00773B28"/>
    <w:pPr>
      <w:ind w:left="4320"/>
    </w:pPr>
  </w:style>
  <w:style w:type="character" w:customStyle="1" w:styleId="ClosingChar">
    <w:name w:val="Closing Char"/>
    <w:basedOn w:val="DefaultParagraphFont"/>
    <w:link w:val="Closing"/>
    <w:rsid w:val="00773B28"/>
    <w:rPr>
      <w:rFonts w:ascii="Times New Roman" w:eastAsia="Times New Roman" w:hAnsi="Times New Roman"/>
      <w:sz w:val="24"/>
    </w:rPr>
  </w:style>
  <w:style w:type="paragraph" w:styleId="Signature">
    <w:name w:val="Signature"/>
    <w:basedOn w:val="Normal"/>
    <w:link w:val="SignatureChar"/>
    <w:unhideWhenUsed/>
    <w:rsid w:val="00773B28"/>
    <w:pPr>
      <w:ind w:left="4320"/>
    </w:pPr>
  </w:style>
  <w:style w:type="character" w:customStyle="1" w:styleId="SignatureChar">
    <w:name w:val="Signature Char"/>
    <w:basedOn w:val="DefaultParagraphFont"/>
    <w:link w:val="Signature"/>
    <w:rsid w:val="00773B28"/>
    <w:rPr>
      <w:rFonts w:ascii="Times New Roman" w:eastAsia="Times New Roman" w:hAnsi="Times New Roman"/>
      <w:sz w:val="24"/>
    </w:rPr>
  </w:style>
  <w:style w:type="paragraph" w:styleId="BodyTextIndent">
    <w:name w:val="Body Text Indent"/>
    <w:aliases w:val=" Char"/>
    <w:basedOn w:val="Normal"/>
    <w:link w:val="BodyTextIndentChar1"/>
    <w:unhideWhenUsed/>
    <w:rsid w:val="00773B28"/>
    <w:pPr>
      <w:spacing w:after="160" w:line="240" w:lineRule="exact"/>
    </w:pPr>
    <w:rPr>
      <w:rFonts w:ascii="Verdana" w:hAnsi="Verdana"/>
      <w:sz w:val="16"/>
    </w:rPr>
  </w:style>
  <w:style w:type="character" w:customStyle="1" w:styleId="BodyTextIndentChar1">
    <w:name w:val="Body Text Indent Char1"/>
    <w:aliases w:val=" Char Char1"/>
    <w:basedOn w:val="DefaultParagraphFont"/>
    <w:link w:val="BodyTextIndent"/>
    <w:uiPriority w:val="99"/>
    <w:rsid w:val="00773B28"/>
    <w:rPr>
      <w:rFonts w:ascii="Verdana" w:eastAsia="Times New Roman" w:hAnsi="Verdana"/>
      <w:sz w:val="16"/>
    </w:rPr>
  </w:style>
  <w:style w:type="paragraph" w:styleId="ListContinue">
    <w:name w:val="List Continue"/>
    <w:basedOn w:val="Normal"/>
    <w:unhideWhenUsed/>
    <w:rsid w:val="00773B28"/>
    <w:pPr>
      <w:spacing w:after="120"/>
      <w:ind w:left="360"/>
    </w:pPr>
  </w:style>
  <w:style w:type="paragraph" w:styleId="ListContinue2">
    <w:name w:val="List Continue 2"/>
    <w:basedOn w:val="Normal"/>
    <w:unhideWhenUsed/>
    <w:rsid w:val="00773B28"/>
    <w:pPr>
      <w:spacing w:after="120"/>
      <w:ind w:left="720"/>
    </w:pPr>
  </w:style>
  <w:style w:type="paragraph" w:styleId="ListContinue3">
    <w:name w:val="List Continue 3"/>
    <w:basedOn w:val="Normal"/>
    <w:unhideWhenUsed/>
    <w:rsid w:val="00773B28"/>
    <w:pPr>
      <w:spacing w:after="120"/>
      <w:ind w:left="1080"/>
    </w:pPr>
  </w:style>
  <w:style w:type="paragraph" w:styleId="ListContinue4">
    <w:name w:val="List Continue 4"/>
    <w:basedOn w:val="Normal"/>
    <w:unhideWhenUsed/>
    <w:rsid w:val="00773B28"/>
    <w:pPr>
      <w:spacing w:after="120"/>
      <w:ind w:left="1440"/>
    </w:pPr>
  </w:style>
  <w:style w:type="paragraph" w:styleId="ListContinue5">
    <w:name w:val="List Continue 5"/>
    <w:basedOn w:val="Normal"/>
    <w:unhideWhenUsed/>
    <w:rsid w:val="00773B28"/>
    <w:pPr>
      <w:spacing w:after="120"/>
      <w:ind w:left="1800"/>
    </w:pPr>
  </w:style>
  <w:style w:type="paragraph" w:styleId="MessageHeader">
    <w:name w:val="Message Header"/>
    <w:basedOn w:val="Normal"/>
    <w:link w:val="MessageHeaderChar"/>
    <w:unhideWhenUsed/>
    <w:rsid w:val="00773B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73B28"/>
    <w:rPr>
      <w:rFonts w:ascii="Arial" w:eastAsia="Times New Roman" w:hAnsi="Arial" w:cs="Arial"/>
      <w:sz w:val="24"/>
      <w:szCs w:val="24"/>
      <w:shd w:val="pct20" w:color="auto" w:fill="auto"/>
    </w:rPr>
  </w:style>
  <w:style w:type="paragraph" w:styleId="Subtitle">
    <w:name w:val="Subtitle"/>
    <w:basedOn w:val="Normal"/>
    <w:link w:val="SubtitleChar"/>
    <w:qFormat/>
    <w:rsid w:val="00773B28"/>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73B28"/>
    <w:rPr>
      <w:rFonts w:ascii="Arial" w:eastAsia="Times New Roman" w:hAnsi="Arial" w:cs="Arial"/>
      <w:sz w:val="24"/>
      <w:szCs w:val="24"/>
    </w:rPr>
  </w:style>
  <w:style w:type="paragraph" w:styleId="Salutation">
    <w:name w:val="Salutation"/>
    <w:basedOn w:val="Normal"/>
    <w:next w:val="Normal"/>
    <w:link w:val="SalutationChar"/>
    <w:unhideWhenUsed/>
    <w:rsid w:val="00773B28"/>
  </w:style>
  <w:style w:type="character" w:customStyle="1" w:styleId="SalutationChar">
    <w:name w:val="Salutation Char"/>
    <w:basedOn w:val="DefaultParagraphFont"/>
    <w:link w:val="Salutation"/>
    <w:rsid w:val="00773B28"/>
    <w:rPr>
      <w:rFonts w:ascii="Times New Roman" w:eastAsia="Times New Roman" w:hAnsi="Times New Roman"/>
      <w:sz w:val="24"/>
    </w:rPr>
  </w:style>
  <w:style w:type="paragraph" w:styleId="Date">
    <w:name w:val="Date"/>
    <w:basedOn w:val="Normal"/>
    <w:next w:val="Normal"/>
    <w:link w:val="DateChar"/>
    <w:unhideWhenUsed/>
    <w:rsid w:val="00773B28"/>
  </w:style>
  <w:style w:type="character" w:customStyle="1" w:styleId="DateChar">
    <w:name w:val="Date Char"/>
    <w:basedOn w:val="DefaultParagraphFont"/>
    <w:link w:val="Date"/>
    <w:rsid w:val="00773B28"/>
    <w:rPr>
      <w:rFonts w:ascii="Times New Roman" w:eastAsia="Times New Roman" w:hAnsi="Times New Roman"/>
      <w:sz w:val="24"/>
    </w:rPr>
  </w:style>
  <w:style w:type="paragraph" w:styleId="BodyTextFirstIndent2">
    <w:name w:val="Body Text First Indent 2"/>
    <w:basedOn w:val="BodyTextIndent"/>
    <w:link w:val="BodyTextFirstIndent2Char"/>
    <w:unhideWhenUsed/>
    <w:rsid w:val="00773B28"/>
    <w:pPr>
      <w:spacing w:after="120" w:line="240" w:lineRule="auto"/>
      <w:ind w:left="360" w:firstLine="210"/>
    </w:pPr>
    <w:rPr>
      <w:rFonts w:ascii="Times New Roman" w:hAnsi="Times New Roman"/>
      <w:sz w:val="24"/>
    </w:rPr>
  </w:style>
  <w:style w:type="character" w:customStyle="1" w:styleId="BodyTextFirstIndent2Char">
    <w:name w:val="Body Text First Indent 2 Char"/>
    <w:basedOn w:val="BodyTextIndentChar1"/>
    <w:link w:val="BodyTextFirstIndent2"/>
    <w:rsid w:val="00773B28"/>
    <w:rPr>
      <w:rFonts w:ascii="Times New Roman" w:eastAsia="Times New Roman" w:hAnsi="Times New Roman"/>
      <w:sz w:val="24"/>
    </w:rPr>
  </w:style>
  <w:style w:type="paragraph" w:styleId="NoteHeading">
    <w:name w:val="Note Heading"/>
    <w:basedOn w:val="Normal"/>
    <w:next w:val="Normal"/>
    <w:link w:val="NoteHeadingChar"/>
    <w:unhideWhenUsed/>
    <w:rsid w:val="00773B28"/>
  </w:style>
  <w:style w:type="character" w:customStyle="1" w:styleId="NoteHeadingChar">
    <w:name w:val="Note Heading Char"/>
    <w:basedOn w:val="DefaultParagraphFont"/>
    <w:link w:val="NoteHeading"/>
    <w:rsid w:val="00773B28"/>
    <w:rPr>
      <w:rFonts w:ascii="Times New Roman" w:eastAsia="Times New Roman" w:hAnsi="Times New Roman"/>
      <w:sz w:val="24"/>
    </w:rPr>
  </w:style>
  <w:style w:type="paragraph" w:styleId="BodyText2">
    <w:name w:val="Body Text 2"/>
    <w:basedOn w:val="Normal"/>
    <w:link w:val="BodyText2Char"/>
    <w:unhideWhenUsed/>
    <w:rsid w:val="00773B28"/>
    <w:pPr>
      <w:spacing w:after="120" w:line="480" w:lineRule="auto"/>
    </w:pPr>
  </w:style>
  <w:style w:type="character" w:customStyle="1" w:styleId="BodyText2Char">
    <w:name w:val="Body Text 2 Char"/>
    <w:basedOn w:val="DefaultParagraphFont"/>
    <w:link w:val="BodyText2"/>
    <w:rsid w:val="00773B28"/>
    <w:rPr>
      <w:rFonts w:ascii="Times New Roman" w:eastAsia="Times New Roman" w:hAnsi="Times New Roman"/>
      <w:sz w:val="24"/>
    </w:rPr>
  </w:style>
  <w:style w:type="paragraph" w:styleId="BodyText3">
    <w:name w:val="Body Text 3"/>
    <w:basedOn w:val="Normal"/>
    <w:link w:val="BodyText3Char"/>
    <w:unhideWhenUsed/>
    <w:rsid w:val="00773B28"/>
    <w:pPr>
      <w:spacing w:after="120"/>
    </w:pPr>
    <w:rPr>
      <w:sz w:val="16"/>
      <w:szCs w:val="16"/>
    </w:rPr>
  </w:style>
  <w:style w:type="character" w:customStyle="1" w:styleId="BodyText3Char">
    <w:name w:val="Body Text 3 Char"/>
    <w:basedOn w:val="DefaultParagraphFont"/>
    <w:link w:val="BodyText3"/>
    <w:rsid w:val="00773B28"/>
    <w:rPr>
      <w:rFonts w:ascii="Times New Roman" w:eastAsia="Times New Roman" w:hAnsi="Times New Roman"/>
      <w:sz w:val="16"/>
      <w:szCs w:val="16"/>
    </w:rPr>
  </w:style>
  <w:style w:type="paragraph" w:styleId="BodyTextIndent2">
    <w:name w:val="Body Text Indent 2"/>
    <w:basedOn w:val="Normal"/>
    <w:link w:val="BodyTextIndent2Char"/>
    <w:unhideWhenUsed/>
    <w:rsid w:val="00773B28"/>
    <w:pPr>
      <w:spacing w:after="120" w:line="480" w:lineRule="auto"/>
      <w:ind w:left="360"/>
    </w:pPr>
  </w:style>
  <w:style w:type="character" w:customStyle="1" w:styleId="BodyTextIndent2Char">
    <w:name w:val="Body Text Indent 2 Char"/>
    <w:basedOn w:val="DefaultParagraphFont"/>
    <w:link w:val="BodyTextIndent2"/>
    <w:rsid w:val="00773B28"/>
    <w:rPr>
      <w:rFonts w:ascii="Times New Roman" w:eastAsia="Times New Roman" w:hAnsi="Times New Roman"/>
      <w:sz w:val="24"/>
    </w:rPr>
  </w:style>
  <w:style w:type="paragraph" w:styleId="BodyTextIndent3">
    <w:name w:val="Body Text Indent 3"/>
    <w:basedOn w:val="Normal"/>
    <w:link w:val="BodyTextIndent3Char"/>
    <w:unhideWhenUsed/>
    <w:rsid w:val="00773B28"/>
    <w:pPr>
      <w:spacing w:after="120"/>
      <w:ind w:left="360"/>
    </w:pPr>
    <w:rPr>
      <w:sz w:val="16"/>
      <w:szCs w:val="16"/>
    </w:rPr>
  </w:style>
  <w:style w:type="character" w:customStyle="1" w:styleId="BodyTextIndent3Char">
    <w:name w:val="Body Text Indent 3 Char"/>
    <w:basedOn w:val="DefaultParagraphFont"/>
    <w:link w:val="BodyTextIndent3"/>
    <w:rsid w:val="00773B28"/>
    <w:rPr>
      <w:rFonts w:ascii="Times New Roman" w:eastAsia="Times New Roman" w:hAnsi="Times New Roman"/>
      <w:sz w:val="16"/>
      <w:szCs w:val="16"/>
    </w:rPr>
  </w:style>
  <w:style w:type="paragraph" w:styleId="PlainText">
    <w:name w:val="Plain Text"/>
    <w:basedOn w:val="Normal"/>
    <w:link w:val="PlainTextChar"/>
    <w:unhideWhenUsed/>
    <w:rsid w:val="00773B28"/>
    <w:rPr>
      <w:rFonts w:ascii="Courier New" w:hAnsi="Courier New" w:cs="Courier New"/>
      <w:sz w:val="20"/>
    </w:rPr>
  </w:style>
  <w:style w:type="character" w:customStyle="1" w:styleId="PlainTextChar">
    <w:name w:val="Plain Text Char"/>
    <w:basedOn w:val="DefaultParagraphFont"/>
    <w:link w:val="PlainText"/>
    <w:rsid w:val="00773B28"/>
    <w:rPr>
      <w:rFonts w:ascii="Courier New" w:eastAsia="Times New Roman" w:hAnsi="Courier New" w:cs="Courier New"/>
    </w:rPr>
  </w:style>
  <w:style w:type="paragraph" w:styleId="E-mailSignature">
    <w:name w:val="E-mail Signature"/>
    <w:basedOn w:val="Normal"/>
    <w:link w:val="E-mailSignatureChar"/>
    <w:unhideWhenUsed/>
    <w:rsid w:val="00773B28"/>
  </w:style>
  <w:style w:type="character" w:customStyle="1" w:styleId="E-mailSignatureChar">
    <w:name w:val="E-mail Signature Char"/>
    <w:basedOn w:val="DefaultParagraphFont"/>
    <w:link w:val="E-mailSignature"/>
    <w:rsid w:val="00773B28"/>
    <w:rPr>
      <w:rFonts w:ascii="Times New Roman" w:eastAsia="Times New Roman" w:hAnsi="Times New Roman"/>
      <w:sz w:val="24"/>
    </w:rPr>
  </w:style>
  <w:style w:type="paragraph" w:styleId="NoSpacing">
    <w:name w:val="No Spacing"/>
    <w:uiPriority w:val="1"/>
    <w:qFormat/>
    <w:rsid w:val="00773B28"/>
    <w:rPr>
      <w:rFonts w:ascii="Times New Roman" w:eastAsia="Times New Roman" w:hAnsi="Times New Roman"/>
      <w:sz w:val="24"/>
      <w:szCs w:val="24"/>
    </w:rPr>
  </w:style>
  <w:style w:type="paragraph" w:customStyle="1" w:styleId="TXUNormal">
    <w:name w:val="TXUNormal"/>
    <w:rsid w:val="00773B28"/>
    <w:pPr>
      <w:spacing w:after="120"/>
    </w:pPr>
    <w:rPr>
      <w:rFonts w:ascii="Times New Roman" w:eastAsia="Times New Roman" w:hAnsi="Times New Roman"/>
    </w:rPr>
  </w:style>
  <w:style w:type="paragraph" w:customStyle="1" w:styleId="TXUHeaderForm">
    <w:name w:val="TXUHeaderForm"/>
    <w:basedOn w:val="TXUHeader"/>
    <w:next w:val="Normal"/>
    <w:rsid w:val="00773B28"/>
    <w:rPr>
      <w:sz w:val="24"/>
    </w:rPr>
  </w:style>
  <w:style w:type="paragraph" w:customStyle="1" w:styleId="TXUFooter">
    <w:name w:val="TXUFooter"/>
    <w:basedOn w:val="TXUNormal"/>
    <w:rsid w:val="00773B28"/>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sid w:val="00773B28"/>
    <w:rPr>
      <w:sz w:val="20"/>
    </w:rPr>
  </w:style>
  <w:style w:type="paragraph" w:customStyle="1" w:styleId="Comments">
    <w:name w:val="Comments"/>
    <w:basedOn w:val="Normal"/>
    <w:rsid w:val="00773B28"/>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style>
  <w:style w:type="character" w:customStyle="1" w:styleId="BulletChar">
    <w:name w:val="Bullet Char"/>
    <w:link w:val="Bullet"/>
    <w:locked/>
    <w:rsid w:val="00773B28"/>
    <w:rPr>
      <w:sz w:val="24"/>
    </w:rPr>
  </w:style>
  <w:style w:type="paragraph" w:customStyle="1" w:styleId="Bullet">
    <w:name w:val="Bullet"/>
    <w:basedOn w:val="Normal"/>
    <w:link w:val="BulletChar"/>
    <w:rsid w:val="00773B28"/>
    <w:pPr>
      <w:numPr>
        <w:numId w:val="22"/>
      </w:numPr>
      <w:tabs>
        <w:tab w:val="clear" w:pos="360"/>
        <w:tab w:val="num" w:pos="432"/>
      </w:tabs>
      <w:spacing w:after="180"/>
      <w:ind w:left="432" w:hanging="432"/>
    </w:pPr>
    <w:rPr>
      <w:rFonts w:ascii="Calibri" w:eastAsia="Calibri" w:hAnsi="Calibri"/>
    </w:rPr>
  </w:style>
  <w:style w:type="character" w:customStyle="1" w:styleId="BulletIndentChar">
    <w:name w:val="Bullet Indent Char"/>
    <w:link w:val="BulletIndent"/>
    <w:locked/>
    <w:rsid w:val="00773B28"/>
    <w:rPr>
      <w:sz w:val="24"/>
    </w:rPr>
  </w:style>
  <w:style w:type="paragraph" w:customStyle="1" w:styleId="BulletIndent">
    <w:name w:val="Bullet Indent"/>
    <w:basedOn w:val="Normal"/>
    <w:link w:val="BulletIndentChar"/>
    <w:rsid w:val="00773B28"/>
    <w:pPr>
      <w:numPr>
        <w:numId w:val="23"/>
      </w:numPr>
      <w:tabs>
        <w:tab w:val="clear" w:pos="360"/>
        <w:tab w:val="num" w:pos="432"/>
      </w:tabs>
      <w:spacing w:after="180"/>
      <w:ind w:left="432" w:hanging="432"/>
    </w:pPr>
    <w:rPr>
      <w:rFonts w:ascii="Calibri" w:eastAsia="Calibri" w:hAnsi="Calibri"/>
    </w:rPr>
  </w:style>
  <w:style w:type="character" w:customStyle="1" w:styleId="ListSubChar">
    <w:name w:val="List Sub Char"/>
    <w:link w:val="ListSub"/>
    <w:locked/>
    <w:rsid w:val="00773B28"/>
    <w:rPr>
      <w:sz w:val="24"/>
    </w:rPr>
  </w:style>
  <w:style w:type="paragraph" w:customStyle="1" w:styleId="ListSub">
    <w:name w:val="List Sub"/>
    <w:basedOn w:val="List"/>
    <w:link w:val="ListSubChar"/>
    <w:rsid w:val="00773B28"/>
    <w:pPr>
      <w:ind w:left="720" w:firstLine="0"/>
    </w:pPr>
    <w:rPr>
      <w:rFonts w:ascii="Calibri" w:eastAsia="Calibri" w:hAnsi="Calibri"/>
    </w:rPr>
  </w:style>
  <w:style w:type="paragraph" w:customStyle="1" w:styleId="Spaceafterbox">
    <w:name w:val="Space after box"/>
    <w:basedOn w:val="Normal"/>
    <w:rsid w:val="00773B28"/>
  </w:style>
  <w:style w:type="character" w:customStyle="1" w:styleId="VariableDefinitionChar">
    <w:name w:val="Variable Definition Char"/>
    <w:link w:val="VariableDefinition"/>
    <w:locked/>
    <w:rsid w:val="00773B28"/>
    <w:rPr>
      <w:rFonts w:ascii="Times New Roman" w:eastAsia="Times New Roman" w:hAnsi="Times New Roman"/>
      <w:iCs/>
      <w:sz w:val="24"/>
    </w:rPr>
  </w:style>
  <w:style w:type="paragraph" w:customStyle="1" w:styleId="TermDefinition">
    <w:name w:val="Term Definition"/>
    <w:basedOn w:val="Normal"/>
    <w:rsid w:val="00773B28"/>
    <w:pPr>
      <w:spacing w:after="60"/>
      <w:ind w:left="720"/>
    </w:pPr>
  </w:style>
  <w:style w:type="character" w:customStyle="1" w:styleId="TermTitleChar">
    <w:name w:val="Term Title Char"/>
    <w:link w:val="TermTitle"/>
    <w:locked/>
    <w:rsid w:val="00773B28"/>
    <w:rPr>
      <w:b/>
      <w:sz w:val="24"/>
    </w:rPr>
  </w:style>
  <w:style w:type="paragraph" w:customStyle="1" w:styleId="TermTitle">
    <w:name w:val="Term Title"/>
    <w:basedOn w:val="Normal"/>
    <w:link w:val="TermTitleChar"/>
    <w:rsid w:val="00773B28"/>
    <w:pPr>
      <w:spacing w:before="120"/>
      <w:ind w:left="720"/>
    </w:pPr>
    <w:rPr>
      <w:rFonts w:ascii="Calibri" w:eastAsia="Calibri" w:hAnsi="Calibri"/>
      <w:b/>
    </w:rPr>
  </w:style>
  <w:style w:type="paragraph" w:customStyle="1" w:styleId="Style1">
    <w:name w:val="Style1"/>
    <w:basedOn w:val="BodyText3"/>
    <w:rsid w:val="00773B28"/>
    <w:rPr>
      <w:b/>
      <w:sz w:val="40"/>
      <w:szCs w:val="40"/>
    </w:rPr>
  </w:style>
  <w:style w:type="paragraph" w:customStyle="1" w:styleId="note">
    <w:name w:val="note"/>
    <w:basedOn w:val="Normal"/>
    <w:rsid w:val="00773B28"/>
    <w:rPr>
      <w:sz w:val="22"/>
    </w:rPr>
  </w:style>
  <w:style w:type="paragraph" w:customStyle="1" w:styleId="List1">
    <w:name w:val="List1"/>
    <w:basedOn w:val="H4"/>
    <w:rsid w:val="00773B28"/>
    <w:pPr>
      <w:tabs>
        <w:tab w:val="clear" w:pos="1260"/>
      </w:tabs>
      <w:snapToGrid w:val="0"/>
      <w:ind w:left="1440" w:hanging="720"/>
    </w:pPr>
    <w:rPr>
      <w:rFonts w:ascii="Calibri" w:eastAsia="Calibri" w:hAnsi="Calibri"/>
      <w:b w:val="0"/>
      <w:bCs w:val="0"/>
      <w:snapToGrid/>
    </w:rPr>
  </w:style>
  <w:style w:type="paragraph" w:customStyle="1" w:styleId="Bullet15">
    <w:name w:val="Bullet (1.5)"/>
    <w:basedOn w:val="Normal"/>
    <w:rsid w:val="00773B28"/>
    <w:pPr>
      <w:tabs>
        <w:tab w:val="num" w:pos="2520"/>
      </w:tabs>
      <w:spacing w:after="120"/>
      <w:ind w:left="2520" w:hanging="720"/>
    </w:pPr>
  </w:style>
  <w:style w:type="character" w:customStyle="1" w:styleId="BulletCharCharChar">
    <w:name w:val="Bullet Char Char Char"/>
    <w:link w:val="BulletCharChar"/>
    <w:locked/>
    <w:rsid w:val="00773B28"/>
    <w:rPr>
      <w:sz w:val="24"/>
    </w:rPr>
  </w:style>
  <w:style w:type="paragraph" w:customStyle="1" w:styleId="BulletCharChar">
    <w:name w:val="Bullet Char Char"/>
    <w:basedOn w:val="Normal"/>
    <w:link w:val="BulletCharCharChar"/>
    <w:rsid w:val="00773B28"/>
    <w:pPr>
      <w:tabs>
        <w:tab w:val="num" w:pos="450"/>
      </w:tabs>
      <w:spacing w:after="180"/>
      <w:ind w:left="450" w:hanging="360"/>
    </w:pPr>
    <w:rPr>
      <w:rFonts w:ascii="Calibri" w:eastAsia="Calibri" w:hAnsi="Calibri"/>
    </w:rPr>
  </w:style>
  <w:style w:type="paragraph" w:customStyle="1" w:styleId="bodytextnumbered0">
    <w:name w:val="bodytextnumbered"/>
    <w:basedOn w:val="Normal"/>
    <w:rsid w:val="00773B28"/>
    <w:pPr>
      <w:spacing w:after="240"/>
      <w:ind w:left="720" w:hanging="720"/>
    </w:pPr>
    <w:rPr>
      <w:rFonts w:eastAsia="Calibri"/>
      <w:szCs w:val="24"/>
    </w:rPr>
  </w:style>
  <w:style w:type="paragraph" w:customStyle="1" w:styleId="PJMNormal">
    <w:name w:val="PJM_Normal"/>
    <w:basedOn w:val="Default"/>
    <w:next w:val="Default"/>
    <w:rsid w:val="00773B28"/>
    <w:pPr>
      <w:spacing w:before="120" w:after="120"/>
    </w:pPr>
    <w:rPr>
      <w:rFonts w:cs="Times New Roman"/>
      <w:color w:val="auto"/>
    </w:rPr>
  </w:style>
  <w:style w:type="paragraph" w:customStyle="1" w:styleId="PJMListOutline1">
    <w:name w:val="PJM_List_Outline_1"/>
    <w:basedOn w:val="Default"/>
    <w:next w:val="Default"/>
    <w:rsid w:val="00773B28"/>
    <w:pPr>
      <w:spacing w:before="120" w:after="120"/>
    </w:pPr>
    <w:rPr>
      <w:rFonts w:cs="Times New Roman"/>
      <w:color w:val="auto"/>
    </w:rPr>
  </w:style>
  <w:style w:type="paragraph" w:customStyle="1" w:styleId="VariableDefinition1">
    <w:name w:val="Variable Definition+1"/>
    <w:basedOn w:val="Default"/>
    <w:next w:val="Default"/>
    <w:rsid w:val="00773B28"/>
    <w:pPr>
      <w:spacing w:after="240"/>
    </w:pPr>
    <w:rPr>
      <w:rFonts w:ascii="Times New Roman" w:hAnsi="Times New Roman" w:cs="Times New Roman"/>
      <w:color w:val="auto"/>
    </w:rPr>
  </w:style>
  <w:style w:type="paragraph" w:customStyle="1" w:styleId="ListSub2">
    <w:name w:val="List Sub+2"/>
    <w:basedOn w:val="Default"/>
    <w:next w:val="Default"/>
    <w:rsid w:val="00773B28"/>
    <w:pPr>
      <w:spacing w:after="240"/>
    </w:pPr>
    <w:rPr>
      <w:rFonts w:ascii="Times New Roman" w:hAnsi="Times New Roman" w:cs="Times New Roman"/>
      <w:color w:val="auto"/>
    </w:rPr>
  </w:style>
  <w:style w:type="paragraph" w:customStyle="1" w:styleId="H">
    <w:name w:val="H%"/>
    <w:basedOn w:val="H4"/>
    <w:rsid w:val="00773B28"/>
    <w:pPr>
      <w:snapToGrid w:val="0"/>
    </w:pPr>
    <w:rPr>
      <w:rFonts w:ascii="Calibri" w:eastAsia="Calibri" w:hAnsi="Calibri"/>
      <w:snapToGrid/>
      <w:szCs w:val="24"/>
    </w:rPr>
  </w:style>
  <w:style w:type="paragraph" w:customStyle="1" w:styleId="Style2">
    <w:name w:val="Style2"/>
    <w:basedOn w:val="H5"/>
    <w:autoRedefine/>
    <w:rsid w:val="00773B28"/>
    <w:rPr>
      <w:rFonts w:ascii="Calibri" w:eastAsia="Calibri" w:hAnsi="Calibri"/>
      <w:i w:val="0"/>
    </w:rPr>
  </w:style>
  <w:style w:type="paragraph" w:customStyle="1" w:styleId="listintroduction">
    <w:name w:val="listintroduction"/>
    <w:basedOn w:val="Normal"/>
    <w:rsid w:val="00773B28"/>
    <w:pPr>
      <w:keepNext/>
      <w:spacing w:after="240"/>
    </w:pPr>
    <w:rPr>
      <w:szCs w:val="24"/>
    </w:rPr>
  </w:style>
  <w:style w:type="paragraph" w:customStyle="1" w:styleId="RegularText">
    <w:name w:val="Regular Text"/>
    <w:basedOn w:val="Normal"/>
    <w:rsid w:val="00773B28"/>
    <w:pPr>
      <w:spacing w:before="120" w:after="120"/>
      <w:ind w:left="432"/>
      <w:jc w:val="both"/>
    </w:pPr>
  </w:style>
  <w:style w:type="character" w:styleId="FootnoteReference">
    <w:name w:val="footnote reference"/>
    <w:unhideWhenUsed/>
    <w:rsid w:val="00773B28"/>
    <w:rPr>
      <w:vertAlign w:val="superscript"/>
    </w:rPr>
  </w:style>
  <w:style w:type="character" w:styleId="PlaceholderText">
    <w:name w:val="Placeholder Text"/>
    <w:basedOn w:val="DefaultParagraphFont"/>
    <w:uiPriority w:val="99"/>
    <w:rsid w:val="00773B28"/>
    <w:rPr>
      <w:color w:val="808080"/>
    </w:rPr>
  </w:style>
  <w:style w:type="character" w:customStyle="1" w:styleId="CharCharCharCharCharCharCharChar">
    <w:name w:val="Char Char Char Char Char Char Char Char"/>
    <w:rsid w:val="00773B28"/>
    <w:rPr>
      <w:iCs/>
      <w:sz w:val="24"/>
      <w:lang w:val="en-US" w:eastAsia="en-US" w:bidi="ar-SA"/>
    </w:rPr>
  </w:style>
  <w:style w:type="paragraph" w:customStyle="1" w:styleId="InstructionsCharCharCharCharCharChar">
    <w:name w:val="Instructions Char Char Char Char Char Char"/>
    <w:basedOn w:val="Normal"/>
    <w:link w:val="InstructionsCharCharCharCharCharCharChar"/>
    <w:rsid w:val="00773B28"/>
    <w:rPr>
      <w:szCs w:val="24"/>
    </w:rPr>
  </w:style>
  <w:style w:type="character" w:customStyle="1" w:styleId="InstructionsCharCharCharCharCharCharChar">
    <w:name w:val="Instructions Char Char Char Char Char Char Char"/>
    <w:link w:val="InstructionsCharCharCharCharCharChar"/>
    <w:locked/>
    <w:rsid w:val="00773B28"/>
    <w:rPr>
      <w:rFonts w:ascii="Times New Roman" w:eastAsia="Times New Roman" w:hAnsi="Times New Roman"/>
      <w:sz w:val="24"/>
      <w:szCs w:val="24"/>
    </w:rPr>
  </w:style>
  <w:style w:type="character" w:customStyle="1" w:styleId="CharCharCharCharCharCharCharChar1">
    <w:name w:val="Char Char Char Char Char Char Char Char1"/>
    <w:rsid w:val="00773B28"/>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773B28"/>
    <w:rPr>
      <w:iCs/>
      <w:sz w:val="24"/>
      <w:lang w:val="en-US" w:eastAsia="en-US" w:bidi="ar-SA"/>
    </w:rPr>
  </w:style>
  <w:style w:type="character" w:customStyle="1" w:styleId="H2CharChar">
    <w:name w:val="H2 Char Char"/>
    <w:rsid w:val="00773B28"/>
    <w:rPr>
      <w:b w:val="0"/>
      <w:bCs w:val="0"/>
      <w:sz w:val="24"/>
      <w:lang w:val="en-US" w:eastAsia="en-US" w:bidi="ar-SA"/>
    </w:rPr>
  </w:style>
  <w:style w:type="character" w:customStyle="1" w:styleId="CharCharCharCharChar">
    <w:name w:val="Char Char Char Char Char"/>
    <w:aliases w:val="Body Text Char2 Char2,Char Char Char Char Char1,Body Text Char2 Char, Char Char Char Char Char1"/>
    <w:rsid w:val="00773B28"/>
    <w:rPr>
      <w:iCs/>
      <w:sz w:val="24"/>
      <w:lang w:val="en-US" w:eastAsia="en-US" w:bidi="ar-SA"/>
    </w:rPr>
  </w:style>
  <w:style w:type="character" w:customStyle="1" w:styleId="BodyTextChar2Char1">
    <w:name w:val="Body Text Char2 Char1"/>
    <w:aliases w:val="Char Char Char Char11,Char Char Char Char111"/>
    <w:rsid w:val="00773B28"/>
    <w:rPr>
      <w:iCs/>
      <w:sz w:val="24"/>
      <w:lang w:val="en-US" w:eastAsia="en-US" w:bidi="ar-SA"/>
    </w:rPr>
  </w:style>
  <w:style w:type="paragraph" w:customStyle="1" w:styleId="ListIntroduction0">
    <w:name w:val="List Introduction"/>
    <w:basedOn w:val="Normal"/>
    <w:link w:val="ListIntroductionChar"/>
    <w:rsid w:val="00773B28"/>
    <w:rPr>
      <w:szCs w:val="24"/>
    </w:rPr>
  </w:style>
  <w:style w:type="character" w:customStyle="1" w:styleId="ListIntroductionChar">
    <w:name w:val="List Introduction Char"/>
    <w:link w:val="ListIntroduction0"/>
    <w:locked/>
    <w:rsid w:val="00773B28"/>
    <w:rPr>
      <w:rFonts w:ascii="Times New Roman" w:eastAsia="Times New Roman" w:hAnsi="Times New Roman"/>
      <w:sz w:val="24"/>
      <w:szCs w:val="24"/>
    </w:rPr>
  </w:style>
  <w:style w:type="character" w:customStyle="1" w:styleId="BodyTextNumberedCharChar">
    <w:name w:val="Body Text Numbered Char Char"/>
    <w:rsid w:val="00773B28"/>
    <w:rPr>
      <w:iCs/>
      <w:sz w:val="24"/>
      <w:lang w:val="en-US" w:eastAsia="en-US" w:bidi="ar-SA"/>
    </w:rPr>
  </w:style>
  <w:style w:type="character" w:customStyle="1" w:styleId="DeltaViewInsertion">
    <w:name w:val="DeltaView Insertion"/>
    <w:rsid w:val="00773B28"/>
    <w:rPr>
      <w:color w:val="0000FF"/>
      <w:spacing w:val="0"/>
      <w:u w:val="double"/>
    </w:rPr>
  </w:style>
  <w:style w:type="character" w:customStyle="1" w:styleId="DeltaViewMoveDestination">
    <w:name w:val="DeltaView Move Destination"/>
    <w:rsid w:val="00773B28"/>
    <w:rPr>
      <w:color w:val="00C000"/>
      <w:spacing w:val="0"/>
      <w:u w:val="double"/>
    </w:rPr>
  </w:style>
  <w:style w:type="paragraph" w:styleId="BodyTextFirstIndent">
    <w:name w:val="Body Text First Indent"/>
    <w:basedOn w:val="BodyText"/>
    <w:link w:val="BodyTextFirstIndentChar"/>
    <w:unhideWhenUsed/>
    <w:rsid w:val="00773B28"/>
    <w:pPr>
      <w:spacing w:after="0"/>
      <w:ind w:firstLine="360"/>
    </w:pPr>
    <w:rPr>
      <w:iCs w:val="0"/>
      <w:szCs w:val="24"/>
    </w:rPr>
  </w:style>
  <w:style w:type="character" w:customStyle="1" w:styleId="BodyTextFirstIndentChar">
    <w:name w:val="Body Text First Indent Char"/>
    <w:basedOn w:val="BodyTextChar1"/>
    <w:link w:val="BodyTextFirstIndent"/>
    <w:rsid w:val="00773B28"/>
    <w:rPr>
      <w:rFonts w:ascii="Times New Roman" w:eastAsia="Times New Roman" w:hAnsi="Times New Roman" w:cs="Times New Roman"/>
      <w:iCs w:val="0"/>
      <w:sz w:val="24"/>
      <w:szCs w:val="24"/>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basedOn w:val="DefaultParagraphFont"/>
    <w:rsid w:val="00773B28"/>
    <w:rPr>
      <w:rFonts w:ascii="Times New Roman" w:eastAsia="Times New Roman" w:hAnsi="Times New Roman"/>
      <w:sz w:val="24"/>
      <w:szCs w:val="24"/>
    </w:rPr>
  </w:style>
  <w:style w:type="character" w:customStyle="1" w:styleId="H3Char1">
    <w:name w:val="H3 Char1"/>
    <w:rsid w:val="00773B28"/>
    <w:rPr>
      <w:b/>
      <w:bCs/>
      <w:i/>
      <w:iCs w:val="0"/>
      <w:sz w:val="24"/>
      <w:lang w:val="en-US" w:eastAsia="en-US" w:bidi="ar-SA"/>
    </w:rPr>
  </w:style>
  <w:style w:type="character" w:customStyle="1" w:styleId="bodytextnumberedchar0">
    <w:name w:val="bodytextnumberedchar"/>
    <w:rsid w:val="00773B28"/>
  </w:style>
  <w:style w:type="character" w:customStyle="1" w:styleId="TableHeadChar">
    <w:name w:val="Table Head Char"/>
    <w:rsid w:val="00773B28"/>
    <w:rPr>
      <w:b/>
      <w:bCs w:val="0"/>
      <w:iCs/>
      <w:sz w:val="24"/>
      <w:lang w:val="en-US" w:eastAsia="en-US" w:bidi="ar-SA"/>
    </w:rPr>
  </w:style>
  <w:style w:type="character" w:customStyle="1" w:styleId="Char1CharChar">
    <w:name w:val="Char1 Char Char"/>
    <w:rsid w:val="00773B28"/>
    <w:rPr>
      <w:iCs/>
      <w:sz w:val="24"/>
      <w:lang w:val="en-US" w:eastAsia="en-US" w:bidi="ar-SA"/>
    </w:rPr>
  </w:style>
  <w:style w:type="character" w:customStyle="1" w:styleId="CharChar2">
    <w:name w:val="Char Char2"/>
    <w:rsid w:val="00773B28"/>
    <w:rPr>
      <w:b/>
      <w:bCs/>
      <w:i/>
      <w:iCs w:val="0"/>
      <w:sz w:val="24"/>
      <w:lang w:val="en-US" w:eastAsia="en-US" w:bidi="ar-SA"/>
    </w:rPr>
  </w:style>
  <w:style w:type="character" w:customStyle="1" w:styleId="Char21">
    <w:name w:val="Char21"/>
    <w:rsid w:val="00773B28"/>
    <w:rPr>
      <w:b/>
      <w:bCs/>
      <w:i/>
      <w:iCs w:val="0"/>
      <w:sz w:val="24"/>
      <w:lang w:val="en-US" w:eastAsia="en-US" w:bidi="ar-SA"/>
    </w:rPr>
  </w:style>
  <w:style w:type="character" w:customStyle="1" w:styleId="CharCharChar">
    <w:name w:val="Char Char Char"/>
    <w:rsid w:val="00773B28"/>
    <w:rPr>
      <w:sz w:val="24"/>
      <w:lang w:val="en-US" w:eastAsia="en-US" w:bidi="ar-SA"/>
    </w:rPr>
  </w:style>
  <w:style w:type="character" w:customStyle="1" w:styleId="h3CharChar">
    <w:name w:val="h3 Char Char"/>
    <w:rsid w:val="00773B28"/>
    <w:rPr>
      <w:b/>
      <w:bCs/>
      <w:i/>
      <w:iCs w:val="0"/>
      <w:sz w:val="24"/>
      <w:lang w:val="en-US" w:eastAsia="en-US" w:bidi="ar-SA"/>
    </w:rPr>
  </w:style>
  <w:style w:type="character" w:customStyle="1" w:styleId="InstructionsCharChar">
    <w:name w:val="Instructions Char Char"/>
    <w:rsid w:val="00773B28"/>
    <w:rPr>
      <w:b/>
      <w:bCs w:val="0"/>
      <w:i/>
      <w:iCs/>
      <w:sz w:val="24"/>
      <w:szCs w:val="24"/>
      <w:lang w:val="en-US" w:eastAsia="en-US" w:bidi="ar-SA"/>
    </w:rPr>
  </w:style>
  <w:style w:type="character" w:customStyle="1" w:styleId="CharCharCharChar1">
    <w:name w:val="Char Char Char Char1"/>
    <w:aliases w:val="Char1 Char Char Char Char, Char1 Char Char Char Char"/>
    <w:rsid w:val="00773B28"/>
    <w:rPr>
      <w:sz w:val="24"/>
      <w:lang w:val="en-US" w:eastAsia="en-US" w:bidi="ar-SA"/>
    </w:rPr>
  </w:style>
  <w:style w:type="character" w:customStyle="1" w:styleId="H3CharChar0">
    <w:name w:val="H3 Char Char"/>
    <w:rsid w:val="00773B28"/>
    <w:rPr>
      <w:b w:val="0"/>
      <w:bCs w:val="0"/>
      <w:i w:val="0"/>
      <w:iCs w:val="0"/>
      <w:sz w:val="24"/>
      <w:lang w:val="en-US" w:eastAsia="en-US" w:bidi="ar-SA"/>
    </w:rPr>
  </w:style>
  <w:style w:type="character" w:customStyle="1" w:styleId="ListIntroductionCharChar">
    <w:name w:val="List Introduction Char Char"/>
    <w:rsid w:val="00773B28"/>
    <w:rPr>
      <w:iCs/>
      <w:sz w:val="24"/>
      <w:lang w:val="en-US" w:eastAsia="en-US" w:bidi="ar-SA"/>
    </w:rPr>
  </w:style>
  <w:style w:type="character" w:customStyle="1" w:styleId="H4CharChar">
    <w:name w:val="H4 Char Char"/>
    <w:rsid w:val="00773B28"/>
    <w:rPr>
      <w:b/>
      <w:bCs/>
      <w:snapToGrid/>
      <w:sz w:val="24"/>
      <w:lang w:val="en-US" w:eastAsia="en-US" w:bidi="ar-SA"/>
    </w:rPr>
  </w:style>
  <w:style w:type="character" w:customStyle="1" w:styleId="Char2CharChar1">
    <w:name w:val="Char2 Char Char1"/>
    <w:rsid w:val="00773B28"/>
    <w:rPr>
      <w:sz w:val="24"/>
      <w:lang w:val="en-US" w:eastAsia="en-US" w:bidi="ar-SA"/>
    </w:rPr>
  </w:style>
  <w:style w:type="character" w:customStyle="1" w:styleId="CharChar3">
    <w:name w:val="Char Char3"/>
    <w:rsid w:val="00773B28"/>
    <w:rPr>
      <w:sz w:val="24"/>
      <w:lang w:val="en-US" w:eastAsia="en-US" w:bidi="ar-SA"/>
    </w:rPr>
  </w:style>
  <w:style w:type="character" w:customStyle="1" w:styleId="CharCharChar11">
    <w:name w:val="Char Char Char11"/>
    <w:aliases w:val="Char111,Body Text Char Char11,Char Char Char Char Char21,Char1 Char Char11,Body Text Char2 Char Char21,Body Text Char2 Char Char Char Char Char Char Char Char Char Char Char11,Body Text Char2 Char31,Body Text Char2 Char41"/>
    <w:rsid w:val="00773B28"/>
    <w:rPr>
      <w:sz w:val="24"/>
      <w:lang w:val="en-US" w:eastAsia="en-US" w:bidi="ar-SA"/>
    </w:rPr>
  </w:style>
  <w:style w:type="character" w:customStyle="1" w:styleId="CharChar4">
    <w:name w:val="Char Char4"/>
    <w:rsid w:val="00773B28"/>
    <w:rPr>
      <w:sz w:val="24"/>
      <w:lang w:val="en-US" w:eastAsia="en-US" w:bidi="ar-SA"/>
    </w:rPr>
  </w:style>
  <w:style w:type="character" w:customStyle="1" w:styleId="Char1CharChar1">
    <w:name w:val="Char1 Char Char1"/>
    <w:rsid w:val="00773B28"/>
    <w:rPr>
      <w:sz w:val="24"/>
      <w:lang w:val="en-US" w:eastAsia="en-US" w:bidi="ar-SA"/>
    </w:rPr>
  </w:style>
  <w:style w:type="character" w:customStyle="1" w:styleId="CharChar12">
    <w:name w:val="Char Char12"/>
    <w:rsid w:val="00773B28"/>
    <w:rPr>
      <w:sz w:val="24"/>
      <w:lang w:val="en-US" w:eastAsia="en-US" w:bidi="ar-SA"/>
    </w:rPr>
  </w:style>
  <w:style w:type="character" w:customStyle="1" w:styleId="CharChar5">
    <w:name w:val="Char Char5"/>
    <w:rsid w:val="00773B28"/>
    <w:rPr>
      <w:iCs/>
      <w:sz w:val="24"/>
      <w:lang w:val="en-US" w:eastAsia="en-US" w:bidi="ar-SA"/>
    </w:rPr>
  </w:style>
  <w:style w:type="character" w:customStyle="1" w:styleId="CharCharCharChar3">
    <w:name w:val="Char Char Char Char3"/>
    <w:rsid w:val="00773B28"/>
    <w:rPr>
      <w:iCs/>
      <w:sz w:val="24"/>
      <w:lang w:val="en-US" w:eastAsia="en-US" w:bidi="ar-SA"/>
    </w:rPr>
  </w:style>
  <w:style w:type="character" w:customStyle="1" w:styleId="CharChar42">
    <w:name w:val="Char Char42"/>
    <w:rsid w:val="00773B28"/>
    <w:rPr>
      <w:sz w:val="24"/>
      <w:lang w:val="en-US" w:eastAsia="en-US" w:bidi="ar-SA"/>
    </w:rPr>
  </w:style>
  <w:style w:type="character" w:customStyle="1" w:styleId="CharCharChar2">
    <w:name w:val="Char Char Char2"/>
    <w:rsid w:val="00773B28"/>
    <w:rPr>
      <w:iCs/>
      <w:sz w:val="24"/>
      <w:lang w:val="en-US" w:eastAsia="en-US" w:bidi="ar-SA"/>
    </w:rPr>
  </w:style>
  <w:style w:type="character" w:customStyle="1" w:styleId="Char1CharChar12">
    <w:name w:val="Char1 Char Char12"/>
    <w:rsid w:val="00773B28"/>
    <w:rPr>
      <w:sz w:val="24"/>
      <w:lang w:val="en-US" w:eastAsia="en-US" w:bidi="ar-SA"/>
    </w:rPr>
  </w:style>
  <w:style w:type="character" w:customStyle="1" w:styleId="CharCharChar22">
    <w:name w:val="Char Char Char22"/>
    <w:rsid w:val="00773B28"/>
    <w:rPr>
      <w:iCs/>
      <w:sz w:val="24"/>
      <w:lang w:val="en-US" w:eastAsia="en-US" w:bidi="ar-SA"/>
    </w:rPr>
  </w:style>
  <w:style w:type="character" w:customStyle="1" w:styleId="CharChar6">
    <w:name w:val="Char Char6"/>
    <w:rsid w:val="00773B28"/>
    <w:rPr>
      <w:sz w:val="24"/>
      <w:lang w:val="en-US" w:eastAsia="en-US" w:bidi="ar-SA"/>
    </w:rPr>
  </w:style>
  <w:style w:type="character" w:customStyle="1" w:styleId="ListCharChar">
    <w:name w:val="List Char Char"/>
    <w:rsid w:val="00773B28"/>
    <w:rPr>
      <w:sz w:val="24"/>
      <w:lang w:val="en-US" w:eastAsia="en-US" w:bidi="ar-SA"/>
    </w:rPr>
  </w:style>
  <w:style w:type="character" w:customStyle="1" w:styleId="CharChar11">
    <w:name w:val="Char Char11"/>
    <w:rsid w:val="00773B28"/>
    <w:rPr>
      <w:sz w:val="24"/>
      <w:lang w:val="en-US" w:eastAsia="en-US" w:bidi="ar-SA"/>
    </w:rPr>
  </w:style>
  <w:style w:type="character" w:customStyle="1" w:styleId="CharCharCharChar2">
    <w:name w:val="Char Char Char Char2"/>
    <w:aliases w:val="Char Char Char Char Char Char1,Char1 Char Char Char1,Body Text Char2 Char Char Char,Body Text Char2 Char Char Char Char Char Char Char Char Char Char Char Char,Body Text Char2 Char Char1, Char Char Char Char Char Char1"/>
    <w:rsid w:val="00773B28"/>
    <w:rPr>
      <w:iCs/>
      <w:sz w:val="24"/>
      <w:lang w:val="en-US" w:eastAsia="en-US" w:bidi="ar-SA"/>
    </w:rPr>
  </w:style>
  <w:style w:type="character" w:customStyle="1" w:styleId="CharChar41">
    <w:name w:val="Char Char41"/>
    <w:rsid w:val="00773B28"/>
    <w:rPr>
      <w:sz w:val="24"/>
      <w:lang w:val="en-US" w:eastAsia="en-US" w:bidi="ar-SA"/>
    </w:rPr>
  </w:style>
  <w:style w:type="character" w:customStyle="1" w:styleId="CharCharChar21">
    <w:name w:val="Char Char Char21"/>
    <w:rsid w:val="00773B28"/>
    <w:rPr>
      <w:iCs/>
      <w:sz w:val="24"/>
      <w:lang w:val="en-US" w:eastAsia="en-US" w:bidi="ar-SA"/>
    </w:rPr>
  </w:style>
  <w:style w:type="character" w:customStyle="1" w:styleId="BodyText1Char">
    <w:name w:val="Body Text1 Char"/>
    <w:aliases w:val="Char11 Char,Char Char Char Char Char Char Char Char Char Char Char Char Char Char Char Char Char Char Char Char Char Char Char Char, Char11 Char"/>
    <w:rsid w:val="00773B28"/>
    <w:rPr>
      <w:iCs/>
      <w:sz w:val="24"/>
      <w:lang w:val="en-US" w:eastAsia="en-US" w:bidi="ar-SA"/>
    </w:rPr>
  </w:style>
  <w:style w:type="character" w:customStyle="1" w:styleId="TextChar">
    <w:name w:val="Text Char"/>
    <w:rsid w:val="00773B28"/>
    <w:rPr>
      <w:iCs/>
      <w:sz w:val="24"/>
      <w:lang w:val="en-US" w:eastAsia="en-US" w:bidi="ar-SA"/>
    </w:rPr>
  </w:style>
  <w:style w:type="table" w:customStyle="1" w:styleId="VariableTable">
    <w:name w:val="Variable Table"/>
    <w:basedOn w:val="TableNormal"/>
    <w:rsid w:val="00773B28"/>
    <w:rPr>
      <w:rFonts w:ascii="Times New Roman" w:eastAsia="Times New Roman" w:hAnsi="Times New Roman"/>
    </w:rPr>
    <w:tblPr>
      <w:tblInd w:w="0" w:type="nil"/>
    </w:tblPr>
  </w:style>
  <w:style w:type="table" w:customStyle="1" w:styleId="TableGrid1">
    <w:name w:val="Table Grid1"/>
    <w:basedOn w:val="TableNormal"/>
    <w:rsid w:val="00773B2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
    <w:name w:val="Boxed Language1"/>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773B28"/>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equals">
    <w:name w:val="equals"/>
    <w:basedOn w:val="Normal"/>
    <w:rsid w:val="00773B28"/>
    <w:pPr>
      <w:spacing w:after="240"/>
      <w:ind w:left="3168" w:hanging="2880"/>
    </w:pPr>
    <w:rPr>
      <w:iCs/>
    </w:rPr>
  </w:style>
  <w:style w:type="paragraph" w:customStyle="1" w:styleId="Acronym">
    <w:name w:val="Acronym"/>
    <w:basedOn w:val="Normal"/>
    <w:rsid w:val="00773B28"/>
    <w:pPr>
      <w:tabs>
        <w:tab w:val="left" w:pos="1440"/>
      </w:tabs>
    </w:pPr>
    <w:rPr>
      <w:iCs/>
    </w:rPr>
  </w:style>
  <w:style w:type="character" w:customStyle="1" w:styleId="CharChar1">
    <w:name w:val="Char Char1"/>
    <w:rsid w:val="00D81D75"/>
    <w:rPr>
      <w:b/>
      <w:bCs/>
      <w:i/>
      <w:iCs/>
      <w:sz w:val="24"/>
      <w:szCs w:val="26"/>
      <w:lang w:val="en-US" w:eastAsia="en-US" w:bidi="ar-SA"/>
    </w:rPr>
  </w:style>
  <w:style w:type="character" w:customStyle="1" w:styleId="Char2CharCharCharCharChar">
    <w:name w:val="Char2 Char Char Char Char Char"/>
    <w:aliases w:val=" Char2 Char Char Char"/>
    <w:rsid w:val="00D81D75"/>
    <w:rPr>
      <w:sz w:val="24"/>
      <w:lang w:val="en-US" w:eastAsia="en-US" w:bidi="ar-SA"/>
    </w:rPr>
  </w:style>
  <w:style w:type="character" w:customStyle="1" w:styleId="CharCharCharChar">
    <w:name w:val="Char Char Char Char"/>
    <w:aliases w:val="Body Text Char2 Char Char"/>
    <w:rsid w:val="00D81D75"/>
    <w:rPr>
      <w:iCs/>
      <w:sz w:val="24"/>
      <w:lang w:val="en-US" w:eastAsia="en-US" w:bidi="ar-SA"/>
    </w:rPr>
  </w:style>
  <w:style w:type="character" w:styleId="Strong">
    <w:name w:val="Strong"/>
    <w:qFormat/>
    <w:rsid w:val="00D81D75"/>
    <w:rPr>
      <w:b/>
      <w:bCs/>
    </w:rPr>
  </w:style>
  <w:style w:type="paragraph" w:customStyle="1" w:styleId="BulletIndent2">
    <w:name w:val="Bullet Indent 2"/>
    <w:basedOn w:val="BulletIndent"/>
    <w:rsid w:val="00D81D75"/>
    <w:pPr>
      <w:numPr>
        <w:numId w:val="0"/>
      </w:numPr>
      <w:tabs>
        <w:tab w:val="left" w:pos="2520"/>
      </w:tabs>
      <w:ind w:left="2520" w:hanging="547"/>
    </w:pPr>
    <w:rPr>
      <w:rFonts w:ascii="Times New Roman" w:eastAsia="Times New Roman" w:hAnsi="Times New Roman"/>
    </w:rPr>
  </w:style>
  <w:style w:type="character" w:customStyle="1" w:styleId="ListCharChar1">
    <w:name w:val="List Char Char1"/>
    <w:rsid w:val="00D81D75"/>
    <w:rPr>
      <w:sz w:val="24"/>
      <w:lang w:val="en-US" w:eastAsia="en-US" w:bidi="ar-SA"/>
    </w:rPr>
  </w:style>
  <w:style w:type="character" w:customStyle="1" w:styleId="UnresolvedMention1">
    <w:name w:val="Unresolved Mention1"/>
    <w:basedOn w:val="DefaultParagraphFont"/>
    <w:uiPriority w:val="99"/>
    <w:semiHidden/>
    <w:unhideWhenUsed/>
    <w:rsid w:val="00D81D75"/>
    <w:rPr>
      <w:color w:val="605E5C"/>
      <w:shd w:val="clear" w:color="auto" w:fill="E1DFDD"/>
    </w:rPr>
  </w:style>
  <w:style w:type="table" w:customStyle="1" w:styleId="BoxedLanguage2">
    <w:name w:val="Boxed Language2"/>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D81D75"/>
    <w:rPr>
      <w:rFonts w:ascii="Times New Roman" w:eastAsia="Times New Roman" w:hAnsi="Times New Roman"/>
    </w:rPr>
    <w:tblPr/>
  </w:style>
  <w:style w:type="table" w:customStyle="1" w:styleId="TableGrid11">
    <w:name w:val="Table Grid11"/>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
    <w:name w:val="Boxed Language3"/>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D81D75"/>
    <w:rPr>
      <w:rFonts w:ascii="Times New Roman" w:eastAsia="Times New Roman" w:hAnsi="Times New Roman"/>
    </w:rPr>
    <w:tblPr/>
  </w:style>
  <w:style w:type="table" w:customStyle="1" w:styleId="TableGrid12">
    <w:name w:val="Table Grid12"/>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styleId="UnresolvedMention">
    <w:name w:val="Unresolved Mention"/>
    <w:basedOn w:val="DefaultParagraphFont"/>
    <w:uiPriority w:val="99"/>
    <w:semiHidden/>
    <w:unhideWhenUsed/>
    <w:rsid w:val="00E4313A"/>
    <w:rPr>
      <w:color w:val="605E5C"/>
      <w:shd w:val="clear" w:color="auto" w:fill="E1DFDD"/>
    </w:rPr>
  </w:style>
  <w:style w:type="character" w:customStyle="1" w:styleId="BodyTextIndentChar2">
    <w:name w:val="Body Text Indent Char2"/>
    <w:aliases w:val=" Char Char2"/>
    <w:basedOn w:val="DefaultParagraphFont"/>
    <w:rsid w:val="00567A2A"/>
    <w:rPr>
      <w:iCs/>
      <w:sz w:val="24"/>
    </w:rPr>
  </w:style>
  <w:style w:type="table" w:customStyle="1" w:styleId="FormulaVariableTable111">
    <w:name w:val="Formula Variable Table11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5">
    <w:name w:val="Table Grid5"/>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4">
    <w:name w:val="Boxed Language4"/>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4">
    <w:name w:val="Formula Variable Table4"/>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VariableTable3">
    <w:name w:val="Variable Table3"/>
    <w:basedOn w:val="TableNormal"/>
    <w:rsid w:val="00567A2A"/>
    <w:rPr>
      <w:rFonts w:ascii="Times New Roman" w:eastAsia="Times New Roman" w:hAnsi="Times New Roman"/>
    </w:rPr>
    <w:tblPr>
      <w:tblInd w:w="0" w:type="nil"/>
    </w:tblPr>
  </w:style>
  <w:style w:type="table" w:customStyle="1" w:styleId="TableGrid13">
    <w:name w:val="Table Grid13"/>
    <w:basedOn w:val="TableNormal"/>
    <w:rsid w:val="00567A2A"/>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2">
    <w:name w:val="Boxed Language1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2">
    <w:name w:val="Formula Variable Table12"/>
    <w:basedOn w:val="TableNormal"/>
    <w:rsid w:val="00567A2A"/>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BoxedLanguage21">
    <w:name w:val="Boxed Language2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1">
    <w:name w:val="Formula Variable Table2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1">
    <w:name w:val="Table Grid3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1">
    <w:name w:val="Variable Table11"/>
    <w:basedOn w:val="TableNormal"/>
    <w:rsid w:val="00567A2A"/>
    <w:rPr>
      <w:rFonts w:ascii="Times New Roman" w:eastAsia="Times New Roman" w:hAnsi="Times New Roman"/>
    </w:rPr>
    <w:tblPr/>
  </w:style>
  <w:style w:type="table" w:customStyle="1" w:styleId="TableGrid111">
    <w:name w:val="Table Grid11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1">
    <w:name w:val="Boxed Language3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1">
    <w:name w:val="Formula Variable Table3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1">
    <w:name w:val="Table Grid4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1">
    <w:name w:val="Variable Table21"/>
    <w:basedOn w:val="TableNormal"/>
    <w:rsid w:val="00567A2A"/>
    <w:rPr>
      <w:rFonts w:ascii="Times New Roman" w:eastAsia="Times New Roman" w:hAnsi="Times New Roman"/>
    </w:rPr>
    <w:tblPr/>
  </w:style>
  <w:style w:type="table" w:customStyle="1" w:styleId="TableGrid121">
    <w:name w:val="Table Grid12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1">
    <w:name w:val="Boxed Language11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2">
    <w:name w:val="Formula Variable Table112"/>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ui-provider">
    <w:name w:val="ui-provider"/>
    <w:basedOn w:val="DefaultParagraphFont"/>
    <w:rsid w:val="00994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617">
      <w:bodyDiv w:val="1"/>
      <w:marLeft w:val="0"/>
      <w:marRight w:val="0"/>
      <w:marTop w:val="0"/>
      <w:marBottom w:val="0"/>
      <w:divBdr>
        <w:top w:val="none" w:sz="0" w:space="0" w:color="auto"/>
        <w:left w:val="none" w:sz="0" w:space="0" w:color="auto"/>
        <w:bottom w:val="none" w:sz="0" w:space="0" w:color="auto"/>
        <w:right w:val="none" w:sz="0" w:space="0" w:color="auto"/>
      </w:divBdr>
    </w:div>
    <w:div w:id="26223770">
      <w:bodyDiv w:val="1"/>
      <w:marLeft w:val="0"/>
      <w:marRight w:val="0"/>
      <w:marTop w:val="0"/>
      <w:marBottom w:val="0"/>
      <w:divBdr>
        <w:top w:val="none" w:sz="0" w:space="0" w:color="auto"/>
        <w:left w:val="none" w:sz="0" w:space="0" w:color="auto"/>
        <w:bottom w:val="none" w:sz="0" w:space="0" w:color="auto"/>
        <w:right w:val="none" w:sz="0" w:space="0" w:color="auto"/>
      </w:divBdr>
    </w:div>
    <w:div w:id="341973728">
      <w:bodyDiv w:val="1"/>
      <w:marLeft w:val="0"/>
      <w:marRight w:val="0"/>
      <w:marTop w:val="0"/>
      <w:marBottom w:val="0"/>
      <w:divBdr>
        <w:top w:val="none" w:sz="0" w:space="0" w:color="auto"/>
        <w:left w:val="none" w:sz="0" w:space="0" w:color="auto"/>
        <w:bottom w:val="none" w:sz="0" w:space="0" w:color="auto"/>
        <w:right w:val="none" w:sz="0" w:space="0" w:color="auto"/>
      </w:divBdr>
    </w:div>
    <w:div w:id="384067590">
      <w:bodyDiv w:val="1"/>
      <w:marLeft w:val="0"/>
      <w:marRight w:val="0"/>
      <w:marTop w:val="0"/>
      <w:marBottom w:val="0"/>
      <w:divBdr>
        <w:top w:val="none" w:sz="0" w:space="0" w:color="auto"/>
        <w:left w:val="none" w:sz="0" w:space="0" w:color="auto"/>
        <w:bottom w:val="none" w:sz="0" w:space="0" w:color="auto"/>
        <w:right w:val="none" w:sz="0" w:space="0" w:color="auto"/>
      </w:divBdr>
    </w:div>
    <w:div w:id="399984184">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38201306">
      <w:bodyDiv w:val="1"/>
      <w:marLeft w:val="0"/>
      <w:marRight w:val="0"/>
      <w:marTop w:val="0"/>
      <w:marBottom w:val="0"/>
      <w:divBdr>
        <w:top w:val="none" w:sz="0" w:space="0" w:color="auto"/>
        <w:left w:val="none" w:sz="0" w:space="0" w:color="auto"/>
        <w:bottom w:val="none" w:sz="0" w:space="0" w:color="auto"/>
        <w:right w:val="none" w:sz="0" w:space="0" w:color="auto"/>
      </w:divBdr>
    </w:div>
    <w:div w:id="564294947">
      <w:bodyDiv w:val="1"/>
      <w:marLeft w:val="0"/>
      <w:marRight w:val="0"/>
      <w:marTop w:val="0"/>
      <w:marBottom w:val="0"/>
      <w:divBdr>
        <w:top w:val="none" w:sz="0" w:space="0" w:color="auto"/>
        <w:left w:val="none" w:sz="0" w:space="0" w:color="auto"/>
        <w:bottom w:val="none" w:sz="0" w:space="0" w:color="auto"/>
        <w:right w:val="none" w:sz="0" w:space="0" w:color="auto"/>
      </w:divBdr>
    </w:div>
    <w:div w:id="740442591">
      <w:bodyDiv w:val="1"/>
      <w:marLeft w:val="0"/>
      <w:marRight w:val="0"/>
      <w:marTop w:val="0"/>
      <w:marBottom w:val="0"/>
      <w:divBdr>
        <w:top w:val="none" w:sz="0" w:space="0" w:color="auto"/>
        <w:left w:val="none" w:sz="0" w:space="0" w:color="auto"/>
        <w:bottom w:val="none" w:sz="0" w:space="0" w:color="auto"/>
        <w:right w:val="none" w:sz="0" w:space="0" w:color="auto"/>
      </w:divBdr>
    </w:div>
    <w:div w:id="976958186">
      <w:bodyDiv w:val="1"/>
      <w:marLeft w:val="0"/>
      <w:marRight w:val="0"/>
      <w:marTop w:val="0"/>
      <w:marBottom w:val="0"/>
      <w:divBdr>
        <w:top w:val="none" w:sz="0" w:space="0" w:color="auto"/>
        <w:left w:val="none" w:sz="0" w:space="0" w:color="auto"/>
        <w:bottom w:val="none" w:sz="0" w:space="0" w:color="auto"/>
        <w:right w:val="none" w:sz="0" w:space="0" w:color="auto"/>
      </w:divBdr>
    </w:div>
    <w:div w:id="1006714655">
      <w:bodyDiv w:val="1"/>
      <w:marLeft w:val="0"/>
      <w:marRight w:val="0"/>
      <w:marTop w:val="0"/>
      <w:marBottom w:val="0"/>
      <w:divBdr>
        <w:top w:val="none" w:sz="0" w:space="0" w:color="auto"/>
        <w:left w:val="none" w:sz="0" w:space="0" w:color="auto"/>
        <w:bottom w:val="none" w:sz="0" w:space="0" w:color="auto"/>
        <w:right w:val="none" w:sz="0" w:space="0" w:color="auto"/>
      </w:divBdr>
    </w:div>
    <w:div w:id="1193885112">
      <w:bodyDiv w:val="1"/>
      <w:marLeft w:val="0"/>
      <w:marRight w:val="0"/>
      <w:marTop w:val="0"/>
      <w:marBottom w:val="0"/>
      <w:divBdr>
        <w:top w:val="none" w:sz="0" w:space="0" w:color="auto"/>
        <w:left w:val="none" w:sz="0" w:space="0" w:color="auto"/>
        <w:bottom w:val="none" w:sz="0" w:space="0" w:color="auto"/>
        <w:right w:val="none" w:sz="0" w:space="0" w:color="auto"/>
      </w:divBdr>
    </w:div>
    <w:div w:id="1278902238">
      <w:bodyDiv w:val="1"/>
      <w:marLeft w:val="0"/>
      <w:marRight w:val="0"/>
      <w:marTop w:val="0"/>
      <w:marBottom w:val="0"/>
      <w:divBdr>
        <w:top w:val="none" w:sz="0" w:space="0" w:color="auto"/>
        <w:left w:val="none" w:sz="0" w:space="0" w:color="auto"/>
        <w:bottom w:val="none" w:sz="0" w:space="0" w:color="auto"/>
        <w:right w:val="none" w:sz="0" w:space="0" w:color="auto"/>
      </w:divBdr>
    </w:div>
    <w:div w:id="1350912899">
      <w:bodyDiv w:val="1"/>
      <w:marLeft w:val="0"/>
      <w:marRight w:val="0"/>
      <w:marTop w:val="0"/>
      <w:marBottom w:val="0"/>
      <w:divBdr>
        <w:top w:val="none" w:sz="0" w:space="0" w:color="auto"/>
        <w:left w:val="none" w:sz="0" w:space="0" w:color="auto"/>
        <w:bottom w:val="none" w:sz="0" w:space="0" w:color="auto"/>
        <w:right w:val="none" w:sz="0" w:space="0" w:color="auto"/>
      </w:divBdr>
    </w:div>
    <w:div w:id="1428772245">
      <w:bodyDiv w:val="1"/>
      <w:marLeft w:val="0"/>
      <w:marRight w:val="0"/>
      <w:marTop w:val="0"/>
      <w:marBottom w:val="0"/>
      <w:divBdr>
        <w:top w:val="none" w:sz="0" w:space="0" w:color="auto"/>
        <w:left w:val="none" w:sz="0" w:space="0" w:color="auto"/>
        <w:bottom w:val="none" w:sz="0" w:space="0" w:color="auto"/>
        <w:right w:val="none" w:sz="0" w:space="0" w:color="auto"/>
      </w:divBdr>
    </w:div>
    <w:div w:id="1545022755">
      <w:bodyDiv w:val="1"/>
      <w:marLeft w:val="0"/>
      <w:marRight w:val="0"/>
      <w:marTop w:val="0"/>
      <w:marBottom w:val="0"/>
      <w:divBdr>
        <w:top w:val="none" w:sz="0" w:space="0" w:color="auto"/>
        <w:left w:val="none" w:sz="0" w:space="0" w:color="auto"/>
        <w:bottom w:val="none" w:sz="0" w:space="0" w:color="auto"/>
        <w:right w:val="none" w:sz="0" w:space="0" w:color="auto"/>
      </w:divBdr>
    </w:div>
    <w:div w:id="1658535008">
      <w:bodyDiv w:val="1"/>
      <w:marLeft w:val="0"/>
      <w:marRight w:val="0"/>
      <w:marTop w:val="0"/>
      <w:marBottom w:val="0"/>
      <w:divBdr>
        <w:top w:val="none" w:sz="0" w:space="0" w:color="auto"/>
        <w:left w:val="none" w:sz="0" w:space="0" w:color="auto"/>
        <w:bottom w:val="none" w:sz="0" w:space="0" w:color="auto"/>
        <w:right w:val="none" w:sz="0" w:space="0" w:color="auto"/>
      </w:divBdr>
    </w:div>
    <w:div w:id="1692612079">
      <w:bodyDiv w:val="1"/>
      <w:marLeft w:val="0"/>
      <w:marRight w:val="0"/>
      <w:marTop w:val="0"/>
      <w:marBottom w:val="0"/>
      <w:divBdr>
        <w:top w:val="none" w:sz="0" w:space="0" w:color="auto"/>
        <w:left w:val="none" w:sz="0" w:space="0" w:color="auto"/>
        <w:bottom w:val="none" w:sz="0" w:space="0" w:color="auto"/>
        <w:right w:val="none" w:sz="0" w:space="0" w:color="auto"/>
      </w:divBdr>
    </w:div>
    <w:div w:id="1708212023">
      <w:bodyDiv w:val="1"/>
      <w:marLeft w:val="0"/>
      <w:marRight w:val="0"/>
      <w:marTop w:val="0"/>
      <w:marBottom w:val="0"/>
      <w:divBdr>
        <w:top w:val="none" w:sz="0" w:space="0" w:color="auto"/>
        <w:left w:val="none" w:sz="0" w:space="0" w:color="auto"/>
        <w:bottom w:val="none" w:sz="0" w:space="0" w:color="auto"/>
        <w:right w:val="none" w:sz="0" w:space="0" w:color="auto"/>
      </w:divBdr>
    </w:div>
    <w:div w:id="1839071953">
      <w:bodyDiv w:val="1"/>
      <w:marLeft w:val="0"/>
      <w:marRight w:val="0"/>
      <w:marTop w:val="0"/>
      <w:marBottom w:val="0"/>
      <w:divBdr>
        <w:top w:val="none" w:sz="0" w:space="0" w:color="auto"/>
        <w:left w:val="none" w:sz="0" w:space="0" w:color="auto"/>
        <w:bottom w:val="none" w:sz="0" w:space="0" w:color="auto"/>
        <w:right w:val="none" w:sz="0" w:space="0" w:color="auto"/>
      </w:divBdr>
    </w:div>
    <w:div w:id="1843624201">
      <w:bodyDiv w:val="1"/>
      <w:marLeft w:val="0"/>
      <w:marRight w:val="0"/>
      <w:marTop w:val="0"/>
      <w:marBottom w:val="0"/>
      <w:divBdr>
        <w:top w:val="none" w:sz="0" w:space="0" w:color="auto"/>
        <w:left w:val="none" w:sz="0" w:space="0" w:color="auto"/>
        <w:bottom w:val="none" w:sz="0" w:space="0" w:color="auto"/>
        <w:right w:val="none" w:sz="0" w:space="0" w:color="auto"/>
      </w:divBdr>
    </w:div>
    <w:div w:id="1847288253">
      <w:bodyDiv w:val="1"/>
      <w:marLeft w:val="0"/>
      <w:marRight w:val="0"/>
      <w:marTop w:val="0"/>
      <w:marBottom w:val="0"/>
      <w:divBdr>
        <w:top w:val="none" w:sz="0" w:space="0" w:color="auto"/>
        <w:left w:val="none" w:sz="0" w:space="0" w:color="auto"/>
        <w:bottom w:val="none" w:sz="0" w:space="0" w:color="auto"/>
        <w:right w:val="none" w:sz="0" w:space="0" w:color="auto"/>
      </w:divBdr>
    </w:div>
    <w:div w:id="1904833385">
      <w:bodyDiv w:val="1"/>
      <w:marLeft w:val="0"/>
      <w:marRight w:val="0"/>
      <w:marTop w:val="0"/>
      <w:marBottom w:val="0"/>
      <w:divBdr>
        <w:top w:val="none" w:sz="0" w:space="0" w:color="auto"/>
        <w:left w:val="none" w:sz="0" w:space="0" w:color="auto"/>
        <w:bottom w:val="none" w:sz="0" w:space="0" w:color="auto"/>
        <w:right w:val="none" w:sz="0" w:space="0" w:color="auto"/>
      </w:divBdr>
    </w:div>
    <w:div w:id="1915579373">
      <w:bodyDiv w:val="1"/>
      <w:marLeft w:val="0"/>
      <w:marRight w:val="0"/>
      <w:marTop w:val="0"/>
      <w:marBottom w:val="0"/>
      <w:divBdr>
        <w:top w:val="none" w:sz="0" w:space="0" w:color="auto"/>
        <w:left w:val="none" w:sz="0" w:space="0" w:color="auto"/>
        <w:bottom w:val="none" w:sz="0" w:space="0" w:color="auto"/>
        <w:right w:val="none" w:sz="0" w:space="0" w:color="auto"/>
      </w:divBdr>
    </w:div>
    <w:div w:id="213860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6.bin"/><Relationship Id="rId21" Type="http://schemas.openxmlformats.org/officeDocument/2006/relationships/oleObject" Target="embeddings/oleObject5.bin"/><Relationship Id="rId324" Type="http://schemas.openxmlformats.org/officeDocument/2006/relationships/image" Target="media/image71.wmf"/><Relationship Id="rId531" Type="http://schemas.openxmlformats.org/officeDocument/2006/relationships/oleObject" Target="embeddings/oleObject405.bin"/><Relationship Id="rId170" Type="http://schemas.openxmlformats.org/officeDocument/2006/relationships/oleObject" Target="embeddings/oleObject129.bin"/><Relationship Id="rId268" Type="http://schemas.openxmlformats.org/officeDocument/2006/relationships/image" Target="media/image64.wmf"/><Relationship Id="rId475" Type="http://schemas.openxmlformats.org/officeDocument/2006/relationships/oleObject" Target="embeddings/oleObject358.bin"/><Relationship Id="rId32" Type="http://schemas.openxmlformats.org/officeDocument/2006/relationships/image" Target="media/image9.wmf"/><Relationship Id="rId128" Type="http://schemas.openxmlformats.org/officeDocument/2006/relationships/oleObject" Target="embeddings/oleObject94.bin"/><Relationship Id="rId335" Type="http://schemas.openxmlformats.org/officeDocument/2006/relationships/image" Target="media/image74.wmf"/><Relationship Id="rId542" Type="http://schemas.openxmlformats.org/officeDocument/2006/relationships/oleObject" Target="embeddings/oleObject414.bin"/><Relationship Id="rId181" Type="http://schemas.openxmlformats.org/officeDocument/2006/relationships/image" Target="media/image33.wmf"/><Relationship Id="rId402" Type="http://schemas.openxmlformats.org/officeDocument/2006/relationships/oleObject" Target="embeddings/oleObject298.bin"/><Relationship Id="rId279" Type="http://schemas.openxmlformats.org/officeDocument/2006/relationships/image" Target="media/image66.wmf"/><Relationship Id="rId486" Type="http://schemas.openxmlformats.org/officeDocument/2006/relationships/oleObject" Target="embeddings/oleObject368.bin"/><Relationship Id="rId43" Type="http://schemas.openxmlformats.org/officeDocument/2006/relationships/oleObject" Target="embeddings/oleObject21.bin"/><Relationship Id="rId139" Type="http://schemas.openxmlformats.org/officeDocument/2006/relationships/oleObject" Target="embeddings/oleObject104.bin"/><Relationship Id="rId346" Type="http://schemas.openxmlformats.org/officeDocument/2006/relationships/image" Target="media/image78.wmf"/><Relationship Id="rId553" Type="http://schemas.openxmlformats.org/officeDocument/2006/relationships/oleObject" Target="embeddings/oleObject422.bin"/><Relationship Id="rId192" Type="http://schemas.openxmlformats.org/officeDocument/2006/relationships/image" Target="media/image38.wmf"/><Relationship Id="rId206" Type="http://schemas.openxmlformats.org/officeDocument/2006/relationships/image" Target="media/image41.wmf"/><Relationship Id="rId413" Type="http://schemas.openxmlformats.org/officeDocument/2006/relationships/oleObject" Target="embeddings/oleObject307.bin"/><Relationship Id="rId497" Type="http://schemas.openxmlformats.org/officeDocument/2006/relationships/oleObject" Target="embeddings/oleObject379.bin"/><Relationship Id="rId357" Type="http://schemas.openxmlformats.org/officeDocument/2006/relationships/image" Target="media/image84.wmf"/><Relationship Id="rId54" Type="http://schemas.openxmlformats.org/officeDocument/2006/relationships/oleObject" Target="embeddings/oleObject31.bin"/><Relationship Id="rId217" Type="http://schemas.openxmlformats.org/officeDocument/2006/relationships/oleObject" Target="embeddings/oleObject162.bin"/><Relationship Id="rId564" Type="http://schemas.openxmlformats.org/officeDocument/2006/relationships/oleObject" Target="embeddings/oleObject428.bin"/><Relationship Id="rId424" Type="http://schemas.openxmlformats.org/officeDocument/2006/relationships/oleObject" Target="embeddings/oleObject316.bin"/><Relationship Id="rId270" Type="http://schemas.openxmlformats.org/officeDocument/2006/relationships/oleObject" Target="embeddings/oleObject194.bin"/><Relationship Id="rId65" Type="http://schemas.openxmlformats.org/officeDocument/2006/relationships/oleObject" Target="embeddings/oleObject40.bin"/><Relationship Id="rId130" Type="http://schemas.openxmlformats.org/officeDocument/2006/relationships/oleObject" Target="embeddings/oleObject96.bin"/><Relationship Id="rId368" Type="http://schemas.openxmlformats.org/officeDocument/2006/relationships/oleObject" Target="embeddings/oleObject270.bin"/><Relationship Id="rId228" Type="http://schemas.openxmlformats.org/officeDocument/2006/relationships/oleObject" Target="embeddings/oleObject171.bin"/><Relationship Id="rId435" Type="http://schemas.openxmlformats.org/officeDocument/2006/relationships/oleObject" Target="embeddings/oleObject323.bin"/><Relationship Id="rId281" Type="http://schemas.openxmlformats.org/officeDocument/2006/relationships/oleObject" Target="embeddings/oleObject203.bin"/><Relationship Id="rId337" Type="http://schemas.openxmlformats.org/officeDocument/2006/relationships/oleObject" Target="embeddings/oleObject250.bin"/><Relationship Id="rId502" Type="http://schemas.openxmlformats.org/officeDocument/2006/relationships/oleObject" Target="embeddings/oleObject384.bin"/><Relationship Id="rId34" Type="http://schemas.openxmlformats.org/officeDocument/2006/relationships/image" Target="media/image10.png"/><Relationship Id="rId76" Type="http://schemas.openxmlformats.org/officeDocument/2006/relationships/oleObject" Target="embeddings/oleObject51.bin"/><Relationship Id="rId141" Type="http://schemas.openxmlformats.org/officeDocument/2006/relationships/oleObject" Target="embeddings/oleObject105.bin"/><Relationship Id="rId379" Type="http://schemas.openxmlformats.org/officeDocument/2006/relationships/oleObject" Target="embeddings/oleObject281.bin"/><Relationship Id="rId544" Type="http://schemas.openxmlformats.org/officeDocument/2006/relationships/oleObject" Target="embeddings/oleObject416.bin"/><Relationship Id="rId7" Type="http://schemas.openxmlformats.org/officeDocument/2006/relationships/endnotes" Target="endnotes.xml"/><Relationship Id="rId183" Type="http://schemas.openxmlformats.org/officeDocument/2006/relationships/oleObject" Target="embeddings/oleObject138.bin"/><Relationship Id="rId239" Type="http://schemas.openxmlformats.org/officeDocument/2006/relationships/image" Target="media/image50.wmf"/><Relationship Id="rId390" Type="http://schemas.openxmlformats.org/officeDocument/2006/relationships/oleObject" Target="embeddings/oleObject289.bin"/><Relationship Id="rId404" Type="http://schemas.openxmlformats.org/officeDocument/2006/relationships/image" Target="media/image93.wmf"/><Relationship Id="rId446" Type="http://schemas.openxmlformats.org/officeDocument/2006/relationships/oleObject" Target="embeddings/oleObject332.bin"/><Relationship Id="rId250" Type="http://schemas.openxmlformats.org/officeDocument/2006/relationships/oleObject" Target="embeddings/oleObject183.bin"/><Relationship Id="rId292" Type="http://schemas.openxmlformats.org/officeDocument/2006/relationships/oleObject" Target="embeddings/oleObject212.bin"/><Relationship Id="rId306" Type="http://schemas.openxmlformats.org/officeDocument/2006/relationships/oleObject" Target="embeddings/oleObject224.bin"/><Relationship Id="rId488" Type="http://schemas.openxmlformats.org/officeDocument/2006/relationships/oleObject" Target="embeddings/oleObject370.bin"/><Relationship Id="rId45" Type="http://schemas.openxmlformats.org/officeDocument/2006/relationships/oleObject" Target="embeddings/oleObject22.bin"/><Relationship Id="rId87" Type="http://schemas.openxmlformats.org/officeDocument/2006/relationships/oleObject" Target="embeddings/oleObject62.bin"/><Relationship Id="rId110" Type="http://schemas.openxmlformats.org/officeDocument/2006/relationships/image" Target="media/image19.wmf"/><Relationship Id="rId348" Type="http://schemas.openxmlformats.org/officeDocument/2006/relationships/oleObject" Target="embeddings/oleObject258.bin"/><Relationship Id="rId513" Type="http://schemas.openxmlformats.org/officeDocument/2006/relationships/oleObject" Target="embeddings/oleObject395.bin"/><Relationship Id="rId555" Type="http://schemas.openxmlformats.org/officeDocument/2006/relationships/oleObject" Target="embeddings/oleObject423.bin"/><Relationship Id="rId152" Type="http://schemas.openxmlformats.org/officeDocument/2006/relationships/oleObject" Target="embeddings/oleObject114.bin"/><Relationship Id="rId194" Type="http://schemas.openxmlformats.org/officeDocument/2006/relationships/oleObject" Target="embeddings/oleObject144.bin"/><Relationship Id="rId208" Type="http://schemas.openxmlformats.org/officeDocument/2006/relationships/image" Target="media/image42.wmf"/><Relationship Id="rId415" Type="http://schemas.openxmlformats.org/officeDocument/2006/relationships/oleObject" Target="embeddings/oleObject309.bin"/><Relationship Id="rId457" Type="http://schemas.openxmlformats.org/officeDocument/2006/relationships/oleObject" Target="embeddings/oleObject342.bin"/><Relationship Id="rId261" Type="http://schemas.openxmlformats.org/officeDocument/2006/relationships/image" Target="media/image58.wmf"/><Relationship Id="rId499" Type="http://schemas.openxmlformats.org/officeDocument/2006/relationships/oleObject" Target="embeddings/oleObject381.bin"/><Relationship Id="rId14" Type="http://schemas.openxmlformats.org/officeDocument/2006/relationships/image" Target="media/image2.emf"/><Relationship Id="rId56" Type="http://schemas.openxmlformats.org/officeDocument/2006/relationships/oleObject" Target="embeddings/oleObject33.bin"/><Relationship Id="rId317" Type="http://schemas.openxmlformats.org/officeDocument/2006/relationships/oleObject" Target="embeddings/oleObject235.bin"/><Relationship Id="rId359" Type="http://schemas.openxmlformats.org/officeDocument/2006/relationships/oleObject" Target="embeddings/oleObject263.bin"/><Relationship Id="rId524" Type="http://schemas.openxmlformats.org/officeDocument/2006/relationships/oleObject" Target="embeddings/oleObject401.bin"/><Relationship Id="rId566" Type="http://schemas.openxmlformats.org/officeDocument/2006/relationships/oleObject" Target="embeddings/oleObject430.bin"/><Relationship Id="rId98" Type="http://schemas.openxmlformats.org/officeDocument/2006/relationships/image" Target="media/image17.wmf"/><Relationship Id="rId121" Type="http://schemas.openxmlformats.org/officeDocument/2006/relationships/oleObject" Target="embeddings/oleObject89.bin"/><Relationship Id="rId163" Type="http://schemas.openxmlformats.org/officeDocument/2006/relationships/oleObject" Target="embeddings/oleObject122.bin"/><Relationship Id="rId219" Type="http://schemas.openxmlformats.org/officeDocument/2006/relationships/oleObject" Target="embeddings/oleObject163.bin"/><Relationship Id="rId370" Type="http://schemas.openxmlformats.org/officeDocument/2006/relationships/oleObject" Target="embeddings/oleObject272.bin"/><Relationship Id="rId426" Type="http://schemas.openxmlformats.org/officeDocument/2006/relationships/oleObject" Target="embeddings/oleObject318.bin"/><Relationship Id="rId230" Type="http://schemas.openxmlformats.org/officeDocument/2006/relationships/oleObject" Target="embeddings/oleObject172.bin"/><Relationship Id="rId468" Type="http://schemas.openxmlformats.org/officeDocument/2006/relationships/oleObject" Target="embeddings/oleObject352.bin"/><Relationship Id="rId25" Type="http://schemas.openxmlformats.org/officeDocument/2006/relationships/oleObject" Target="embeddings/oleObject8.bin"/><Relationship Id="rId67" Type="http://schemas.openxmlformats.org/officeDocument/2006/relationships/oleObject" Target="embeddings/oleObject42.bin"/><Relationship Id="rId272" Type="http://schemas.openxmlformats.org/officeDocument/2006/relationships/oleObject" Target="embeddings/oleObject196.bin"/><Relationship Id="rId328" Type="http://schemas.openxmlformats.org/officeDocument/2006/relationships/oleObject" Target="embeddings/oleObject244.bin"/><Relationship Id="rId535" Type="http://schemas.openxmlformats.org/officeDocument/2006/relationships/oleObject" Target="embeddings/oleObject407.bin"/><Relationship Id="rId132" Type="http://schemas.openxmlformats.org/officeDocument/2006/relationships/oleObject" Target="embeddings/oleObject98.bin"/><Relationship Id="rId174" Type="http://schemas.openxmlformats.org/officeDocument/2006/relationships/oleObject" Target="embeddings/oleObject132.bin"/><Relationship Id="rId381" Type="http://schemas.openxmlformats.org/officeDocument/2006/relationships/image" Target="media/image87.wmf"/><Relationship Id="rId241" Type="http://schemas.openxmlformats.org/officeDocument/2006/relationships/image" Target="media/image51.wmf"/><Relationship Id="rId437" Type="http://schemas.openxmlformats.org/officeDocument/2006/relationships/oleObject" Target="embeddings/oleObject324.bin"/><Relationship Id="rId479" Type="http://schemas.openxmlformats.org/officeDocument/2006/relationships/oleObject" Target="embeddings/oleObject362.bin"/><Relationship Id="rId36" Type="http://schemas.openxmlformats.org/officeDocument/2006/relationships/oleObject" Target="embeddings/oleObject14.bin"/><Relationship Id="rId283" Type="http://schemas.openxmlformats.org/officeDocument/2006/relationships/oleObject" Target="embeddings/oleObject205.bin"/><Relationship Id="rId339" Type="http://schemas.openxmlformats.org/officeDocument/2006/relationships/oleObject" Target="embeddings/oleObject252.bin"/><Relationship Id="rId490" Type="http://schemas.openxmlformats.org/officeDocument/2006/relationships/oleObject" Target="embeddings/oleObject372.bin"/><Relationship Id="rId504" Type="http://schemas.openxmlformats.org/officeDocument/2006/relationships/oleObject" Target="embeddings/oleObject386.bin"/><Relationship Id="rId546" Type="http://schemas.openxmlformats.org/officeDocument/2006/relationships/oleObject" Target="embeddings/oleObject418.bin"/><Relationship Id="rId78" Type="http://schemas.openxmlformats.org/officeDocument/2006/relationships/oleObject" Target="embeddings/oleObject53.bin"/><Relationship Id="rId101" Type="http://schemas.openxmlformats.org/officeDocument/2006/relationships/oleObject" Target="embeddings/oleObject72.bin"/><Relationship Id="rId143" Type="http://schemas.openxmlformats.org/officeDocument/2006/relationships/oleObject" Target="embeddings/oleObject107.bin"/><Relationship Id="rId185" Type="http://schemas.openxmlformats.org/officeDocument/2006/relationships/image" Target="media/image34.wmf"/><Relationship Id="rId350" Type="http://schemas.openxmlformats.org/officeDocument/2006/relationships/oleObject" Target="embeddings/oleObject259.bin"/><Relationship Id="rId406" Type="http://schemas.openxmlformats.org/officeDocument/2006/relationships/oleObject" Target="embeddings/oleObject301.bin"/><Relationship Id="rId9" Type="http://schemas.openxmlformats.org/officeDocument/2006/relationships/footer" Target="footer1.xml"/><Relationship Id="rId210" Type="http://schemas.openxmlformats.org/officeDocument/2006/relationships/oleObject" Target="embeddings/oleObject156.bin"/><Relationship Id="rId392" Type="http://schemas.openxmlformats.org/officeDocument/2006/relationships/oleObject" Target="embeddings/oleObject291.bin"/><Relationship Id="rId448" Type="http://schemas.openxmlformats.org/officeDocument/2006/relationships/oleObject" Target="embeddings/oleObject334.bin"/><Relationship Id="rId252" Type="http://schemas.openxmlformats.org/officeDocument/2006/relationships/oleObject" Target="embeddings/oleObject185.bin"/><Relationship Id="rId294" Type="http://schemas.openxmlformats.org/officeDocument/2006/relationships/oleObject" Target="embeddings/oleObject213.bin"/><Relationship Id="rId308" Type="http://schemas.openxmlformats.org/officeDocument/2006/relationships/oleObject" Target="embeddings/oleObject226.bin"/><Relationship Id="rId515" Type="http://schemas.openxmlformats.org/officeDocument/2006/relationships/oleObject" Target="embeddings/oleObject397.bin"/><Relationship Id="rId47" Type="http://schemas.openxmlformats.org/officeDocument/2006/relationships/oleObject" Target="embeddings/oleObject24.bin"/><Relationship Id="rId89" Type="http://schemas.openxmlformats.org/officeDocument/2006/relationships/oleObject" Target="embeddings/oleObject64.bin"/><Relationship Id="rId112" Type="http://schemas.openxmlformats.org/officeDocument/2006/relationships/oleObject" Target="embeddings/oleObject81.bin"/><Relationship Id="rId154" Type="http://schemas.openxmlformats.org/officeDocument/2006/relationships/oleObject" Target="embeddings/oleObject115.bin"/><Relationship Id="rId361" Type="http://schemas.openxmlformats.org/officeDocument/2006/relationships/image" Target="media/image85.wmf"/><Relationship Id="rId557" Type="http://schemas.openxmlformats.org/officeDocument/2006/relationships/oleObject" Target="embeddings/oleObject424.bin"/><Relationship Id="rId196" Type="http://schemas.openxmlformats.org/officeDocument/2006/relationships/oleObject" Target="embeddings/oleObject146.bin"/><Relationship Id="rId417" Type="http://schemas.openxmlformats.org/officeDocument/2006/relationships/oleObject" Target="embeddings/oleObject311.bin"/><Relationship Id="rId459" Type="http://schemas.openxmlformats.org/officeDocument/2006/relationships/oleObject" Target="embeddings/oleObject344.bin"/><Relationship Id="rId16" Type="http://schemas.openxmlformats.org/officeDocument/2006/relationships/oleObject" Target="embeddings/oleObject1.bin"/><Relationship Id="rId221" Type="http://schemas.openxmlformats.org/officeDocument/2006/relationships/oleObject" Target="embeddings/oleObject165.bin"/><Relationship Id="rId263" Type="http://schemas.openxmlformats.org/officeDocument/2006/relationships/image" Target="media/image59.wmf"/><Relationship Id="rId319" Type="http://schemas.openxmlformats.org/officeDocument/2006/relationships/oleObject" Target="embeddings/oleObject237.bin"/><Relationship Id="rId470" Type="http://schemas.openxmlformats.org/officeDocument/2006/relationships/image" Target="media/image105.wmf"/><Relationship Id="rId526" Type="http://schemas.openxmlformats.org/officeDocument/2006/relationships/image" Target="media/image112.wmf"/><Relationship Id="rId58" Type="http://schemas.openxmlformats.org/officeDocument/2006/relationships/oleObject" Target="embeddings/oleObject35.bin"/><Relationship Id="rId123" Type="http://schemas.openxmlformats.org/officeDocument/2006/relationships/oleObject" Target="embeddings/oleObject90.bin"/><Relationship Id="rId330" Type="http://schemas.openxmlformats.org/officeDocument/2006/relationships/image" Target="media/image73.wmf"/><Relationship Id="rId568" Type="http://schemas.openxmlformats.org/officeDocument/2006/relationships/oleObject" Target="embeddings/oleObject432.bin"/><Relationship Id="rId165" Type="http://schemas.openxmlformats.org/officeDocument/2006/relationships/oleObject" Target="embeddings/oleObject124.bin"/><Relationship Id="rId372" Type="http://schemas.openxmlformats.org/officeDocument/2006/relationships/oleObject" Target="embeddings/oleObject274.bin"/><Relationship Id="rId428" Type="http://schemas.openxmlformats.org/officeDocument/2006/relationships/oleObject" Target="embeddings/oleObject320.bin"/><Relationship Id="rId232" Type="http://schemas.openxmlformats.org/officeDocument/2006/relationships/oleObject" Target="embeddings/oleObject173.bin"/><Relationship Id="rId274" Type="http://schemas.openxmlformats.org/officeDocument/2006/relationships/image" Target="media/image65.wmf"/><Relationship Id="rId481" Type="http://schemas.openxmlformats.org/officeDocument/2006/relationships/oleObject" Target="embeddings/oleObject364.bin"/><Relationship Id="rId27" Type="http://schemas.openxmlformats.org/officeDocument/2006/relationships/oleObject" Target="embeddings/oleObject9.bin"/><Relationship Id="rId69" Type="http://schemas.openxmlformats.org/officeDocument/2006/relationships/oleObject" Target="embeddings/oleObject44.bin"/><Relationship Id="rId134" Type="http://schemas.openxmlformats.org/officeDocument/2006/relationships/oleObject" Target="embeddings/oleObject100.bin"/><Relationship Id="rId537" Type="http://schemas.openxmlformats.org/officeDocument/2006/relationships/oleObject" Target="embeddings/oleObject409.bin"/><Relationship Id="rId80" Type="http://schemas.openxmlformats.org/officeDocument/2006/relationships/oleObject" Target="embeddings/oleObject55.bin"/><Relationship Id="rId176" Type="http://schemas.openxmlformats.org/officeDocument/2006/relationships/oleObject" Target="embeddings/oleObject134.bin"/><Relationship Id="rId341" Type="http://schemas.openxmlformats.org/officeDocument/2006/relationships/oleObject" Target="embeddings/oleObject254.bin"/><Relationship Id="rId383" Type="http://schemas.openxmlformats.org/officeDocument/2006/relationships/image" Target="media/image88.wmf"/><Relationship Id="rId439" Type="http://schemas.openxmlformats.org/officeDocument/2006/relationships/oleObject" Target="embeddings/oleObject326.bin"/><Relationship Id="rId201" Type="http://schemas.openxmlformats.org/officeDocument/2006/relationships/image" Target="media/image40.wmf"/><Relationship Id="rId243" Type="http://schemas.openxmlformats.org/officeDocument/2006/relationships/image" Target="media/image52.wmf"/><Relationship Id="rId285" Type="http://schemas.openxmlformats.org/officeDocument/2006/relationships/oleObject" Target="embeddings/oleObject207.bin"/><Relationship Id="rId450" Type="http://schemas.openxmlformats.org/officeDocument/2006/relationships/oleObject" Target="embeddings/oleObject336.bin"/><Relationship Id="rId506" Type="http://schemas.openxmlformats.org/officeDocument/2006/relationships/oleObject" Target="embeddings/oleObject388.bin"/><Relationship Id="rId38" Type="http://schemas.openxmlformats.org/officeDocument/2006/relationships/oleObject" Target="embeddings/oleObject16.bin"/><Relationship Id="rId103" Type="http://schemas.openxmlformats.org/officeDocument/2006/relationships/oleObject" Target="embeddings/oleObject74.bin"/><Relationship Id="rId310" Type="http://schemas.openxmlformats.org/officeDocument/2006/relationships/oleObject" Target="embeddings/oleObject228.bin"/><Relationship Id="rId492" Type="http://schemas.openxmlformats.org/officeDocument/2006/relationships/oleObject" Target="embeddings/oleObject374.bin"/><Relationship Id="rId548" Type="http://schemas.openxmlformats.org/officeDocument/2006/relationships/image" Target="media/image117.wmf"/><Relationship Id="rId91" Type="http://schemas.openxmlformats.org/officeDocument/2006/relationships/oleObject" Target="embeddings/oleObject65.bin"/><Relationship Id="rId145" Type="http://schemas.openxmlformats.org/officeDocument/2006/relationships/image" Target="media/image25.wmf"/><Relationship Id="rId187" Type="http://schemas.openxmlformats.org/officeDocument/2006/relationships/image" Target="media/image36.wmf"/><Relationship Id="rId352" Type="http://schemas.openxmlformats.org/officeDocument/2006/relationships/oleObject" Target="embeddings/oleObject260.bin"/><Relationship Id="rId394" Type="http://schemas.openxmlformats.org/officeDocument/2006/relationships/oleObject" Target="embeddings/oleObject292.bin"/><Relationship Id="rId408" Type="http://schemas.openxmlformats.org/officeDocument/2006/relationships/oleObject" Target="embeddings/oleObject303.bin"/><Relationship Id="rId212" Type="http://schemas.openxmlformats.org/officeDocument/2006/relationships/oleObject" Target="embeddings/oleObject158.bin"/><Relationship Id="rId254" Type="http://schemas.openxmlformats.org/officeDocument/2006/relationships/oleObject" Target="embeddings/oleObject187.bin"/><Relationship Id="rId49" Type="http://schemas.openxmlformats.org/officeDocument/2006/relationships/oleObject" Target="embeddings/oleObject26.bin"/><Relationship Id="rId114" Type="http://schemas.openxmlformats.org/officeDocument/2006/relationships/oleObject" Target="embeddings/oleObject83.bin"/><Relationship Id="rId296" Type="http://schemas.openxmlformats.org/officeDocument/2006/relationships/oleObject" Target="embeddings/oleObject214.bin"/><Relationship Id="rId461" Type="http://schemas.openxmlformats.org/officeDocument/2006/relationships/oleObject" Target="embeddings/oleObject346.bin"/><Relationship Id="rId517" Type="http://schemas.openxmlformats.org/officeDocument/2006/relationships/oleObject" Target="embeddings/oleObject399.bin"/><Relationship Id="rId559" Type="http://schemas.openxmlformats.org/officeDocument/2006/relationships/oleObject" Target="embeddings/oleObject425.bin"/><Relationship Id="rId60" Type="http://schemas.openxmlformats.org/officeDocument/2006/relationships/oleObject" Target="embeddings/oleObject37.bin"/><Relationship Id="rId156" Type="http://schemas.openxmlformats.org/officeDocument/2006/relationships/image" Target="media/image28.wmf"/><Relationship Id="rId198" Type="http://schemas.openxmlformats.org/officeDocument/2006/relationships/oleObject" Target="embeddings/oleObject147.bin"/><Relationship Id="rId321" Type="http://schemas.openxmlformats.org/officeDocument/2006/relationships/oleObject" Target="embeddings/oleObject239.bin"/><Relationship Id="rId363" Type="http://schemas.openxmlformats.org/officeDocument/2006/relationships/image" Target="media/image86.wmf"/><Relationship Id="rId419" Type="http://schemas.openxmlformats.org/officeDocument/2006/relationships/oleObject" Target="embeddings/oleObject312.bin"/><Relationship Id="rId570" Type="http://schemas.openxmlformats.org/officeDocument/2006/relationships/header" Target="header3.xml"/><Relationship Id="rId223" Type="http://schemas.openxmlformats.org/officeDocument/2006/relationships/oleObject" Target="embeddings/oleObject167.bin"/><Relationship Id="rId430" Type="http://schemas.openxmlformats.org/officeDocument/2006/relationships/image" Target="media/image97.wmf"/><Relationship Id="rId18" Type="http://schemas.openxmlformats.org/officeDocument/2006/relationships/oleObject" Target="embeddings/oleObject3.bin"/><Relationship Id="rId265" Type="http://schemas.openxmlformats.org/officeDocument/2006/relationships/image" Target="media/image61.wmf"/><Relationship Id="rId472" Type="http://schemas.openxmlformats.org/officeDocument/2006/relationships/oleObject" Target="embeddings/oleObject355.bin"/><Relationship Id="rId528" Type="http://schemas.openxmlformats.org/officeDocument/2006/relationships/image" Target="media/image113.wmf"/><Relationship Id="rId125" Type="http://schemas.openxmlformats.org/officeDocument/2006/relationships/oleObject" Target="embeddings/oleObject92.bin"/><Relationship Id="rId167" Type="http://schemas.openxmlformats.org/officeDocument/2006/relationships/oleObject" Target="embeddings/oleObject126.bin"/><Relationship Id="rId332" Type="http://schemas.openxmlformats.org/officeDocument/2006/relationships/oleObject" Target="embeddings/oleObject247.bin"/><Relationship Id="rId374" Type="http://schemas.openxmlformats.org/officeDocument/2006/relationships/oleObject" Target="embeddings/oleObject276.bin"/><Relationship Id="rId71" Type="http://schemas.openxmlformats.org/officeDocument/2006/relationships/oleObject" Target="embeddings/oleObject46.bin"/><Relationship Id="rId234" Type="http://schemas.openxmlformats.org/officeDocument/2006/relationships/oleObject" Target="embeddings/oleObject175.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99.bin"/><Relationship Id="rId441" Type="http://schemas.openxmlformats.org/officeDocument/2006/relationships/oleObject" Target="embeddings/oleObject328.bin"/><Relationship Id="rId483" Type="http://schemas.openxmlformats.org/officeDocument/2006/relationships/oleObject" Target="embeddings/oleObject366.bin"/><Relationship Id="rId539" Type="http://schemas.openxmlformats.org/officeDocument/2006/relationships/oleObject" Target="embeddings/oleObject411.bin"/><Relationship Id="rId40" Type="http://schemas.openxmlformats.org/officeDocument/2006/relationships/oleObject" Target="embeddings/oleObject18.bin"/><Relationship Id="rId136" Type="http://schemas.openxmlformats.org/officeDocument/2006/relationships/image" Target="media/image23.wmf"/><Relationship Id="rId178" Type="http://schemas.openxmlformats.org/officeDocument/2006/relationships/image" Target="media/image31.wmf"/><Relationship Id="rId301" Type="http://schemas.openxmlformats.org/officeDocument/2006/relationships/oleObject" Target="embeddings/oleObject219.bin"/><Relationship Id="rId343" Type="http://schemas.openxmlformats.org/officeDocument/2006/relationships/oleObject" Target="embeddings/oleObject255.bin"/><Relationship Id="rId550" Type="http://schemas.openxmlformats.org/officeDocument/2006/relationships/oleObject" Target="embeddings/oleObject420.bin"/><Relationship Id="rId82" Type="http://schemas.openxmlformats.org/officeDocument/2006/relationships/oleObject" Target="embeddings/oleObject57.bin"/><Relationship Id="rId203" Type="http://schemas.openxmlformats.org/officeDocument/2006/relationships/oleObject" Target="embeddings/oleObject151.bin"/><Relationship Id="rId385" Type="http://schemas.openxmlformats.org/officeDocument/2006/relationships/oleObject" Target="embeddings/oleObject285.bin"/><Relationship Id="rId245" Type="http://schemas.openxmlformats.org/officeDocument/2006/relationships/image" Target="media/image53.wmf"/><Relationship Id="rId287" Type="http://schemas.openxmlformats.org/officeDocument/2006/relationships/oleObject" Target="embeddings/oleObject209.bin"/><Relationship Id="rId410" Type="http://schemas.openxmlformats.org/officeDocument/2006/relationships/oleObject" Target="embeddings/oleObject305.bin"/><Relationship Id="rId452" Type="http://schemas.openxmlformats.org/officeDocument/2006/relationships/image" Target="media/image103.wmf"/><Relationship Id="rId494" Type="http://schemas.openxmlformats.org/officeDocument/2006/relationships/oleObject" Target="embeddings/oleObject376.bin"/><Relationship Id="rId508" Type="http://schemas.openxmlformats.org/officeDocument/2006/relationships/oleObject" Target="embeddings/oleObject390.bin"/><Relationship Id="rId105" Type="http://schemas.openxmlformats.org/officeDocument/2006/relationships/oleObject" Target="embeddings/oleObject75.bin"/><Relationship Id="rId147" Type="http://schemas.openxmlformats.org/officeDocument/2006/relationships/oleObject" Target="embeddings/oleObject110.bin"/><Relationship Id="rId312" Type="http://schemas.openxmlformats.org/officeDocument/2006/relationships/oleObject" Target="embeddings/oleObject230.bin"/><Relationship Id="rId354" Type="http://schemas.openxmlformats.org/officeDocument/2006/relationships/image" Target="media/image82.wmf"/><Relationship Id="rId51" Type="http://schemas.openxmlformats.org/officeDocument/2006/relationships/oleObject" Target="embeddings/oleObject28.bin"/><Relationship Id="rId93" Type="http://schemas.openxmlformats.org/officeDocument/2006/relationships/oleObject" Target="embeddings/oleObject66.bin"/><Relationship Id="rId189" Type="http://schemas.openxmlformats.org/officeDocument/2006/relationships/image" Target="media/image37.wmf"/><Relationship Id="rId396" Type="http://schemas.openxmlformats.org/officeDocument/2006/relationships/oleObject" Target="embeddings/oleObject293.bin"/><Relationship Id="rId561" Type="http://schemas.openxmlformats.org/officeDocument/2006/relationships/oleObject" Target="embeddings/oleObject426.bin"/><Relationship Id="rId214" Type="http://schemas.openxmlformats.org/officeDocument/2006/relationships/image" Target="media/image43.wmf"/><Relationship Id="rId256" Type="http://schemas.openxmlformats.org/officeDocument/2006/relationships/image" Target="media/image56.wmf"/><Relationship Id="rId298" Type="http://schemas.openxmlformats.org/officeDocument/2006/relationships/oleObject" Target="embeddings/oleObject216.bin"/><Relationship Id="rId421" Type="http://schemas.openxmlformats.org/officeDocument/2006/relationships/oleObject" Target="embeddings/oleObject313.bin"/><Relationship Id="rId463" Type="http://schemas.openxmlformats.org/officeDocument/2006/relationships/oleObject" Target="embeddings/oleObject347.bin"/><Relationship Id="rId519" Type="http://schemas.openxmlformats.org/officeDocument/2006/relationships/image" Target="media/image108.wmf"/><Relationship Id="rId116" Type="http://schemas.openxmlformats.org/officeDocument/2006/relationships/oleObject" Target="embeddings/oleObject85.bin"/><Relationship Id="rId158" Type="http://schemas.openxmlformats.org/officeDocument/2006/relationships/oleObject" Target="embeddings/oleObject118.bin"/><Relationship Id="rId323" Type="http://schemas.openxmlformats.org/officeDocument/2006/relationships/oleObject" Target="embeddings/oleObject241.bin"/><Relationship Id="rId530" Type="http://schemas.openxmlformats.org/officeDocument/2006/relationships/image" Target="media/image114.wmf"/><Relationship Id="rId20" Type="http://schemas.openxmlformats.org/officeDocument/2006/relationships/image" Target="media/image4.wmf"/><Relationship Id="rId62" Type="http://schemas.openxmlformats.org/officeDocument/2006/relationships/image" Target="media/image12.wmf"/><Relationship Id="rId365" Type="http://schemas.openxmlformats.org/officeDocument/2006/relationships/oleObject" Target="embeddings/oleObject267.bin"/><Relationship Id="rId572" Type="http://schemas.openxmlformats.org/officeDocument/2006/relationships/footer" Target="footer4.xml"/><Relationship Id="rId225" Type="http://schemas.openxmlformats.org/officeDocument/2006/relationships/oleObject" Target="embeddings/oleObject169.bin"/><Relationship Id="rId267" Type="http://schemas.openxmlformats.org/officeDocument/2006/relationships/image" Target="media/image63.wmf"/><Relationship Id="rId432" Type="http://schemas.openxmlformats.org/officeDocument/2006/relationships/image" Target="media/image99.wmf"/><Relationship Id="rId474" Type="http://schemas.openxmlformats.org/officeDocument/2006/relationships/oleObject" Target="embeddings/oleObject357.bin"/><Relationship Id="rId127" Type="http://schemas.openxmlformats.org/officeDocument/2006/relationships/image" Target="media/image22.wmf"/><Relationship Id="rId31" Type="http://schemas.openxmlformats.org/officeDocument/2006/relationships/oleObject" Target="embeddings/oleObject11.bin"/><Relationship Id="rId73" Type="http://schemas.openxmlformats.org/officeDocument/2006/relationships/oleObject" Target="embeddings/oleObject48.bin"/><Relationship Id="rId169" Type="http://schemas.openxmlformats.org/officeDocument/2006/relationships/oleObject" Target="embeddings/oleObject128.bin"/><Relationship Id="rId334" Type="http://schemas.openxmlformats.org/officeDocument/2006/relationships/oleObject" Target="embeddings/oleObject249.bin"/><Relationship Id="rId376" Type="http://schemas.openxmlformats.org/officeDocument/2006/relationships/oleObject" Target="embeddings/oleObject278.bin"/><Relationship Id="rId541" Type="http://schemas.openxmlformats.org/officeDocument/2006/relationships/oleObject" Target="embeddings/oleObject413.bin"/><Relationship Id="rId4" Type="http://schemas.openxmlformats.org/officeDocument/2006/relationships/settings" Target="settings.xml"/><Relationship Id="rId180" Type="http://schemas.openxmlformats.org/officeDocument/2006/relationships/image" Target="media/image32.wmf"/><Relationship Id="rId236" Type="http://schemas.openxmlformats.org/officeDocument/2006/relationships/image" Target="media/image48.wmf"/><Relationship Id="rId278" Type="http://schemas.openxmlformats.org/officeDocument/2006/relationships/oleObject" Target="embeddings/oleObject201.bin"/><Relationship Id="rId401" Type="http://schemas.openxmlformats.org/officeDocument/2006/relationships/oleObject" Target="embeddings/oleObject297.bin"/><Relationship Id="rId443" Type="http://schemas.openxmlformats.org/officeDocument/2006/relationships/oleObject" Target="embeddings/oleObject330.bin"/><Relationship Id="rId303" Type="http://schemas.openxmlformats.org/officeDocument/2006/relationships/oleObject" Target="embeddings/oleObject221.bin"/><Relationship Id="rId485" Type="http://schemas.openxmlformats.org/officeDocument/2006/relationships/image" Target="media/image106.png"/><Relationship Id="rId42" Type="http://schemas.openxmlformats.org/officeDocument/2006/relationships/oleObject" Target="embeddings/oleObject20.bin"/><Relationship Id="rId84" Type="http://schemas.openxmlformats.org/officeDocument/2006/relationships/oleObject" Target="embeddings/oleObject59.bin"/><Relationship Id="rId138" Type="http://schemas.openxmlformats.org/officeDocument/2006/relationships/oleObject" Target="embeddings/oleObject103.bin"/><Relationship Id="rId345" Type="http://schemas.openxmlformats.org/officeDocument/2006/relationships/oleObject" Target="embeddings/oleObject256.bin"/><Relationship Id="rId387" Type="http://schemas.openxmlformats.org/officeDocument/2006/relationships/oleObject" Target="embeddings/oleObject286.bin"/><Relationship Id="rId510" Type="http://schemas.openxmlformats.org/officeDocument/2006/relationships/oleObject" Target="embeddings/oleObject392.bin"/><Relationship Id="rId552" Type="http://schemas.openxmlformats.org/officeDocument/2006/relationships/image" Target="media/image119.wmf"/><Relationship Id="rId191" Type="http://schemas.openxmlformats.org/officeDocument/2006/relationships/oleObject" Target="embeddings/oleObject142.bin"/><Relationship Id="rId205" Type="http://schemas.openxmlformats.org/officeDocument/2006/relationships/oleObject" Target="embeddings/oleObject153.bin"/><Relationship Id="rId247" Type="http://schemas.openxmlformats.org/officeDocument/2006/relationships/image" Target="media/image54.wmf"/><Relationship Id="rId412" Type="http://schemas.openxmlformats.org/officeDocument/2006/relationships/image" Target="media/image94.wmf"/><Relationship Id="rId107" Type="http://schemas.openxmlformats.org/officeDocument/2006/relationships/oleObject" Target="embeddings/oleObject77.bin"/><Relationship Id="rId289" Type="http://schemas.openxmlformats.org/officeDocument/2006/relationships/oleObject" Target="embeddings/oleObject210.bin"/><Relationship Id="rId454" Type="http://schemas.openxmlformats.org/officeDocument/2006/relationships/oleObject" Target="embeddings/oleObject339.bin"/><Relationship Id="rId496" Type="http://schemas.openxmlformats.org/officeDocument/2006/relationships/oleObject" Target="embeddings/oleObject378.bin"/><Relationship Id="rId11" Type="http://schemas.openxmlformats.org/officeDocument/2006/relationships/header" Target="header2.xml"/><Relationship Id="rId53" Type="http://schemas.openxmlformats.org/officeDocument/2006/relationships/oleObject" Target="embeddings/oleObject30.bin"/><Relationship Id="rId149" Type="http://schemas.openxmlformats.org/officeDocument/2006/relationships/oleObject" Target="embeddings/oleObject111.bin"/><Relationship Id="rId314" Type="http://schemas.openxmlformats.org/officeDocument/2006/relationships/oleObject" Target="embeddings/oleObject232.bin"/><Relationship Id="rId356" Type="http://schemas.openxmlformats.org/officeDocument/2006/relationships/image" Target="media/image83.wmf"/><Relationship Id="rId398" Type="http://schemas.openxmlformats.org/officeDocument/2006/relationships/oleObject" Target="embeddings/oleObject294.bin"/><Relationship Id="rId521" Type="http://schemas.openxmlformats.org/officeDocument/2006/relationships/image" Target="media/image110.wmf"/><Relationship Id="rId563" Type="http://schemas.openxmlformats.org/officeDocument/2006/relationships/oleObject" Target="embeddings/oleObject427.bin"/><Relationship Id="rId95" Type="http://schemas.openxmlformats.org/officeDocument/2006/relationships/oleObject" Target="embeddings/oleObject68.bin"/><Relationship Id="rId160" Type="http://schemas.openxmlformats.org/officeDocument/2006/relationships/oleObject" Target="embeddings/oleObject119.bin"/><Relationship Id="rId216" Type="http://schemas.openxmlformats.org/officeDocument/2006/relationships/oleObject" Target="embeddings/oleObject161.bin"/><Relationship Id="rId423" Type="http://schemas.openxmlformats.org/officeDocument/2006/relationships/oleObject" Target="embeddings/oleObject315.bin"/><Relationship Id="rId258" Type="http://schemas.openxmlformats.org/officeDocument/2006/relationships/image" Target="media/image57.wmf"/><Relationship Id="rId465" Type="http://schemas.openxmlformats.org/officeDocument/2006/relationships/oleObject" Target="embeddings/oleObject349.bin"/><Relationship Id="rId22" Type="http://schemas.openxmlformats.org/officeDocument/2006/relationships/image" Target="media/image5.wmf"/><Relationship Id="rId64" Type="http://schemas.openxmlformats.org/officeDocument/2006/relationships/image" Target="media/image13.wmf"/><Relationship Id="rId118" Type="http://schemas.openxmlformats.org/officeDocument/2006/relationships/oleObject" Target="embeddings/oleObject87.bin"/><Relationship Id="rId325" Type="http://schemas.openxmlformats.org/officeDocument/2006/relationships/oleObject" Target="embeddings/oleObject242.bin"/><Relationship Id="rId367" Type="http://schemas.openxmlformats.org/officeDocument/2006/relationships/oleObject" Target="embeddings/oleObject269.bin"/><Relationship Id="rId532" Type="http://schemas.openxmlformats.org/officeDocument/2006/relationships/image" Target="media/image115.wmf"/><Relationship Id="rId574" Type="http://schemas.openxmlformats.org/officeDocument/2006/relationships/theme" Target="theme/theme1.xml"/><Relationship Id="rId171" Type="http://schemas.openxmlformats.org/officeDocument/2006/relationships/oleObject" Target="embeddings/oleObject130.bin"/><Relationship Id="rId227" Type="http://schemas.openxmlformats.org/officeDocument/2006/relationships/image" Target="media/image45.wmf"/><Relationship Id="rId269" Type="http://schemas.openxmlformats.org/officeDocument/2006/relationships/oleObject" Target="embeddings/oleObject193.bin"/><Relationship Id="rId434" Type="http://schemas.openxmlformats.org/officeDocument/2006/relationships/image" Target="media/image100.wmf"/><Relationship Id="rId476" Type="http://schemas.openxmlformats.org/officeDocument/2006/relationships/oleObject" Target="embeddings/oleObject359.bin"/><Relationship Id="rId33" Type="http://schemas.openxmlformats.org/officeDocument/2006/relationships/oleObject" Target="embeddings/oleObject12.bin"/><Relationship Id="rId129" Type="http://schemas.openxmlformats.org/officeDocument/2006/relationships/oleObject" Target="embeddings/oleObject95.bin"/><Relationship Id="rId280" Type="http://schemas.openxmlformats.org/officeDocument/2006/relationships/oleObject" Target="embeddings/oleObject202.bin"/><Relationship Id="rId336" Type="http://schemas.openxmlformats.org/officeDocument/2006/relationships/image" Target="media/image75.wmf"/><Relationship Id="rId501" Type="http://schemas.openxmlformats.org/officeDocument/2006/relationships/oleObject" Target="embeddings/oleObject383.bin"/><Relationship Id="rId543" Type="http://schemas.openxmlformats.org/officeDocument/2006/relationships/oleObject" Target="embeddings/oleObject415.bin"/><Relationship Id="rId75" Type="http://schemas.openxmlformats.org/officeDocument/2006/relationships/oleObject" Target="embeddings/oleObject50.bin"/><Relationship Id="rId140" Type="http://schemas.openxmlformats.org/officeDocument/2006/relationships/image" Target="media/image24.wmf"/><Relationship Id="rId182" Type="http://schemas.openxmlformats.org/officeDocument/2006/relationships/oleObject" Target="embeddings/oleObject137.bin"/><Relationship Id="rId378" Type="http://schemas.openxmlformats.org/officeDocument/2006/relationships/oleObject" Target="embeddings/oleObject280.bin"/><Relationship Id="rId403" Type="http://schemas.openxmlformats.org/officeDocument/2006/relationships/oleObject" Target="embeddings/oleObject299.bin"/><Relationship Id="rId6" Type="http://schemas.openxmlformats.org/officeDocument/2006/relationships/footnotes" Target="footnotes.xml"/><Relationship Id="rId238" Type="http://schemas.openxmlformats.org/officeDocument/2006/relationships/oleObject" Target="embeddings/oleObject177.bin"/><Relationship Id="rId445" Type="http://schemas.openxmlformats.org/officeDocument/2006/relationships/image" Target="media/image102.wmf"/><Relationship Id="rId487" Type="http://schemas.openxmlformats.org/officeDocument/2006/relationships/oleObject" Target="embeddings/oleObject369.bin"/><Relationship Id="rId291" Type="http://schemas.openxmlformats.org/officeDocument/2006/relationships/image" Target="media/image68.wmf"/><Relationship Id="rId305" Type="http://schemas.openxmlformats.org/officeDocument/2006/relationships/oleObject" Target="embeddings/oleObject223.bin"/><Relationship Id="rId347" Type="http://schemas.openxmlformats.org/officeDocument/2006/relationships/oleObject" Target="embeddings/oleObject257.bin"/><Relationship Id="rId512" Type="http://schemas.openxmlformats.org/officeDocument/2006/relationships/oleObject" Target="embeddings/oleObject394.bin"/><Relationship Id="rId44" Type="http://schemas.openxmlformats.org/officeDocument/2006/relationships/image" Target="media/image11.wmf"/><Relationship Id="rId86" Type="http://schemas.openxmlformats.org/officeDocument/2006/relationships/oleObject" Target="embeddings/oleObject61.bin"/><Relationship Id="rId151" Type="http://schemas.openxmlformats.org/officeDocument/2006/relationships/oleObject" Target="embeddings/oleObject113.bin"/><Relationship Id="rId389" Type="http://schemas.openxmlformats.org/officeDocument/2006/relationships/oleObject" Target="embeddings/oleObject288.bin"/><Relationship Id="rId554" Type="http://schemas.openxmlformats.org/officeDocument/2006/relationships/image" Target="media/image120.wmf"/><Relationship Id="rId193" Type="http://schemas.openxmlformats.org/officeDocument/2006/relationships/oleObject" Target="embeddings/oleObject143.bin"/><Relationship Id="rId207" Type="http://schemas.openxmlformats.org/officeDocument/2006/relationships/oleObject" Target="embeddings/oleObject154.bin"/><Relationship Id="rId249" Type="http://schemas.openxmlformats.org/officeDocument/2006/relationships/image" Target="media/image55.wmf"/><Relationship Id="rId414" Type="http://schemas.openxmlformats.org/officeDocument/2006/relationships/oleObject" Target="embeddings/oleObject308.bin"/><Relationship Id="rId456" Type="http://schemas.openxmlformats.org/officeDocument/2006/relationships/oleObject" Target="embeddings/oleObject341.bin"/><Relationship Id="rId498" Type="http://schemas.openxmlformats.org/officeDocument/2006/relationships/oleObject" Target="embeddings/oleObject380.bin"/><Relationship Id="rId13" Type="http://schemas.openxmlformats.org/officeDocument/2006/relationships/image" Target="media/image1.png"/><Relationship Id="rId109" Type="http://schemas.openxmlformats.org/officeDocument/2006/relationships/oleObject" Target="embeddings/oleObject79.bin"/><Relationship Id="rId260" Type="http://schemas.openxmlformats.org/officeDocument/2006/relationships/oleObject" Target="embeddings/oleObject191.bin"/><Relationship Id="rId316" Type="http://schemas.openxmlformats.org/officeDocument/2006/relationships/oleObject" Target="embeddings/oleObject234.bin"/><Relationship Id="rId523" Type="http://schemas.openxmlformats.org/officeDocument/2006/relationships/oleObject" Target="embeddings/oleObject400.bin"/><Relationship Id="rId55" Type="http://schemas.openxmlformats.org/officeDocument/2006/relationships/oleObject" Target="embeddings/oleObject32.bin"/><Relationship Id="rId97" Type="http://schemas.openxmlformats.org/officeDocument/2006/relationships/oleObject" Target="embeddings/oleObject69.bin"/><Relationship Id="rId120" Type="http://schemas.openxmlformats.org/officeDocument/2006/relationships/image" Target="media/image20.wmf"/><Relationship Id="rId358" Type="http://schemas.openxmlformats.org/officeDocument/2006/relationships/oleObject" Target="embeddings/oleObject262.bin"/><Relationship Id="rId565" Type="http://schemas.openxmlformats.org/officeDocument/2006/relationships/oleObject" Target="embeddings/oleObject429.bin"/><Relationship Id="rId162" Type="http://schemas.openxmlformats.org/officeDocument/2006/relationships/oleObject" Target="embeddings/oleObject121.bin"/><Relationship Id="rId218" Type="http://schemas.openxmlformats.org/officeDocument/2006/relationships/image" Target="media/image44.wmf"/><Relationship Id="rId425" Type="http://schemas.openxmlformats.org/officeDocument/2006/relationships/oleObject" Target="embeddings/oleObject317.bin"/><Relationship Id="rId467" Type="http://schemas.openxmlformats.org/officeDocument/2006/relationships/oleObject" Target="embeddings/oleObject351.bin"/><Relationship Id="rId271" Type="http://schemas.openxmlformats.org/officeDocument/2006/relationships/oleObject" Target="embeddings/oleObject195.bin"/><Relationship Id="rId24" Type="http://schemas.openxmlformats.org/officeDocument/2006/relationships/oleObject" Target="embeddings/oleObject7.bin"/><Relationship Id="rId66" Type="http://schemas.openxmlformats.org/officeDocument/2006/relationships/oleObject" Target="embeddings/oleObject41.bin"/><Relationship Id="rId131" Type="http://schemas.openxmlformats.org/officeDocument/2006/relationships/oleObject" Target="embeddings/oleObject97.bin"/><Relationship Id="rId327" Type="http://schemas.openxmlformats.org/officeDocument/2006/relationships/image" Target="media/image72.wmf"/><Relationship Id="rId369" Type="http://schemas.openxmlformats.org/officeDocument/2006/relationships/oleObject" Target="embeddings/oleObject271.bin"/><Relationship Id="rId534" Type="http://schemas.openxmlformats.org/officeDocument/2006/relationships/image" Target="media/image116.wmf"/><Relationship Id="rId173" Type="http://schemas.openxmlformats.org/officeDocument/2006/relationships/oleObject" Target="embeddings/oleObject131.bin"/><Relationship Id="rId229" Type="http://schemas.openxmlformats.org/officeDocument/2006/relationships/image" Target="media/image46.wmf"/><Relationship Id="rId380" Type="http://schemas.openxmlformats.org/officeDocument/2006/relationships/oleObject" Target="embeddings/oleObject282.bin"/><Relationship Id="rId436" Type="http://schemas.openxmlformats.org/officeDocument/2006/relationships/image" Target="media/image101.wmf"/><Relationship Id="rId240" Type="http://schemas.openxmlformats.org/officeDocument/2006/relationships/oleObject" Target="embeddings/oleObject178.bin"/><Relationship Id="rId478" Type="http://schemas.openxmlformats.org/officeDocument/2006/relationships/oleObject" Target="embeddings/oleObject361.bin"/><Relationship Id="rId35" Type="http://schemas.openxmlformats.org/officeDocument/2006/relationships/oleObject" Target="embeddings/oleObject13.bin"/><Relationship Id="rId77" Type="http://schemas.openxmlformats.org/officeDocument/2006/relationships/oleObject" Target="embeddings/oleObject52.bin"/><Relationship Id="rId100" Type="http://schemas.openxmlformats.org/officeDocument/2006/relationships/oleObject" Target="embeddings/oleObject71.bin"/><Relationship Id="rId282" Type="http://schemas.openxmlformats.org/officeDocument/2006/relationships/oleObject" Target="embeddings/oleObject204.bin"/><Relationship Id="rId338" Type="http://schemas.openxmlformats.org/officeDocument/2006/relationships/oleObject" Target="embeddings/oleObject251.bin"/><Relationship Id="rId503" Type="http://schemas.openxmlformats.org/officeDocument/2006/relationships/oleObject" Target="embeddings/oleObject385.bin"/><Relationship Id="rId545" Type="http://schemas.openxmlformats.org/officeDocument/2006/relationships/oleObject" Target="embeddings/oleObject417.bin"/><Relationship Id="rId8" Type="http://schemas.openxmlformats.org/officeDocument/2006/relationships/header" Target="header1.xml"/><Relationship Id="rId142" Type="http://schemas.openxmlformats.org/officeDocument/2006/relationships/oleObject" Target="embeddings/oleObject106.bin"/><Relationship Id="rId184" Type="http://schemas.openxmlformats.org/officeDocument/2006/relationships/oleObject" Target="embeddings/oleObject139.bin"/><Relationship Id="rId391" Type="http://schemas.openxmlformats.org/officeDocument/2006/relationships/oleObject" Target="embeddings/oleObject290.bin"/><Relationship Id="rId405" Type="http://schemas.openxmlformats.org/officeDocument/2006/relationships/oleObject" Target="embeddings/oleObject300.bin"/><Relationship Id="rId447" Type="http://schemas.openxmlformats.org/officeDocument/2006/relationships/oleObject" Target="embeddings/oleObject333.bin"/><Relationship Id="rId251" Type="http://schemas.openxmlformats.org/officeDocument/2006/relationships/oleObject" Target="embeddings/oleObject184.bin"/><Relationship Id="rId489" Type="http://schemas.openxmlformats.org/officeDocument/2006/relationships/oleObject" Target="embeddings/oleObject371.bin"/><Relationship Id="rId46" Type="http://schemas.openxmlformats.org/officeDocument/2006/relationships/oleObject" Target="embeddings/oleObject23.bin"/><Relationship Id="rId293" Type="http://schemas.openxmlformats.org/officeDocument/2006/relationships/image" Target="media/image69.wmf"/><Relationship Id="rId307" Type="http://schemas.openxmlformats.org/officeDocument/2006/relationships/oleObject" Target="embeddings/oleObject225.bin"/><Relationship Id="rId349" Type="http://schemas.openxmlformats.org/officeDocument/2006/relationships/image" Target="media/image79.wmf"/><Relationship Id="rId514" Type="http://schemas.openxmlformats.org/officeDocument/2006/relationships/oleObject" Target="embeddings/oleObject396.bin"/><Relationship Id="rId556" Type="http://schemas.openxmlformats.org/officeDocument/2006/relationships/image" Target="media/image121.wmf"/><Relationship Id="rId88" Type="http://schemas.openxmlformats.org/officeDocument/2006/relationships/oleObject" Target="embeddings/oleObject63.bin"/><Relationship Id="rId111" Type="http://schemas.openxmlformats.org/officeDocument/2006/relationships/oleObject" Target="embeddings/oleObject80.bin"/><Relationship Id="rId153" Type="http://schemas.openxmlformats.org/officeDocument/2006/relationships/image" Target="media/image27.wmf"/><Relationship Id="rId195" Type="http://schemas.openxmlformats.org/officeDocument/2006/relationships/oleObject" Target="embeddings/oleObject145.bin"/><Relationship Id="rId209" Type="http://schemas.openxmlformats.org/officeDocument/2006/relationships/oleObject" Target="embeddings/oleObject155.bin"/><Relationship Id="rId360" Type="http://schemas.openxmlformats.org/officeDocument/2006/relationships/oleObject" Target="embeddings/oleObject264.bin"/><Relationship Id="rId416" Type="http://schemas.openxmlformats.org/officeDocument/2006/relationships/oleObject" Target="embeddings/oleObject310.bin"/><Relationship Id="rId220" Type="http://schemas.openxmlformats.org/officeDocument/2006/relationships/oleObject" Target="embeddings/oleObject164.bin"/><Relationship Id="rId458" Type="http://schemas.openxmlformats.org/officeDocument/2006/relationships/oleObject" Target="embeddings/oleObject343.bin"/><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oleObject" Target="embeddings/oleObject192.bin"/><Relationship Id="rId318" Type="http://schemas.openxmlformats.org/officeDocument/2006/relationships/oleObject" Target="embeddings/oleObject236.bin"/><Relationship Id="rId525" Type="http://schemas.openxmlformats.org/officeDocument/2006/relationships/oleObject" Target="embeddings/oleObject402.bin"/><Relationship Id="rId567" Type="http://schemas.openxmlformats.org/officeDocument/2006/relationships/oleObject" Target="embeddings/oleObject431.bin"/><Relationship Id="rId99" Type="http://schemas.openxmlformats.org/officeDocument/2006/relationships/oleObject" Target="embeddings/oleObject70.bin"/><Relationship Id="rId122" Type="http://schemas.openxmlformats.org/officeDocument/2006/relationships/image" Target="media/image21.wmf"/><Relationship Id="rId164" Type="http://schemas.openxmlformats.org/officeDocument/2006/relationships/oleObject" Target="embeddings/oleObject123.bin"/><Relationship Id="rId371" Type="http://schemas.openxmlformats.org/officeDocument/2006/relationships/oleObject" Target="embeddings/oleObject273.bin"/><Relationship Id="rId427" Type="http://schemas.openxmlformats.org/officeDocument/2006/relationships/oleObject" Target="embeddings/oleObject319.bin"/><Relationship Id="rId469" Type="http://schemas.openxmlformats.org/officeDocument/2006/relationships/oleObject" Target="embeddings/oleObject353.bin"/><Relationship Id="rId26" Type="http://schemas.openxmlformats.org/officeDocument/2006/relationships/image" Target="media/image6.wmf"/><Relationship Id="rId231" Type="http://schemas.openxmlformats.org/officeDocument/2006/relationships/image" Target="media/image47.wmf"/><Relationship Id="rId273" Type="http://schemas.openxmlformats.org/officeDocument/2006/relationships/oleObject" Target="embeddings/oleObject197.bin"/><Relationship Id="rId329" Type="http://schemas.openxmlformats.org/officeDocument/2006/relationships/oleObject" Target="embeddings/oleObject245.bin"/><Relationship Id="rId480" Type="http://schemas.openxmlformats.org/officeDocument/2006/relationships/oleObject" Target="embeddings/oleObject363.bin"/><Relationship Id="rId536" Type="http://schemas.openxmlformats.org/officeDocument/2006/relationships/oleObject" Target="embeddings/oleObject408.bin"/><Relationship Id="rId68" Type="http://schemas.openxmlformats.org/officeDocument/2006/relationships/oleObject" Target="embeddings/oleObject43.bin"/><Relationship Id="rId133" Type="http://schemas.openxmlformats.org/officeDocument/2006/relationships/oleObject" Target="embeddings/oleObject99.bin"/><Relationship Id="rId175" Type="http://schemas.openxmlformats.org/officeDocument/2006/relationships/oleObject" Target="embeddings/oleObject133.bin"/><Relationship Id="rId340" Type="http://schemas.openxmlformats.org/officeDocument/2006/relationships/oleObject" Target="embeddings/oleObject253.bin"/><Relationship Id="rId200" Type="http://schemas.openxmlformats.org/officeDocument/2006/relationships/oleObject" Target="embeddings/oleObject149.bin"/><Relationship Id="rId382" Type="http://schemas.openxmlformats.org/officeDocument/2006/relationships/oleObject" Target="embeddings/oleObject283.bin"/><Relationship Id="rId438" Type="http://schemas.openxmlformats.org/officeDocument/2006/relationships/oleObject" Target="embeddings/oleObject325.bin"/><Relationship Id="rId242" Type="http://schemas.openxmlformats.org/officeDocument/2006/relationships/oleObject" Target="embeddings/oleObject179.bin"/><Relationship Id="rId284" Type="http://schemas.openxmlformats.org/officeDocument/2006/relationships/oleObject" Target="embeddings/oleObject206.bin"/><Relationship Id="rId491" Type="http://schemas.openxmlformats.org/officeDocument/2006/relationships/oleObject" Target="embeddings/oleObject373.bin"/><Relationship Id="rId505" Type="http://schemas.openxmlformats.org/officeDocument/2006/relationships/oleObject" Target="embeddings/oleObject387.bin"/><Relationship Id="rId37" Type="http://schemas.openxmlformats.org/officeDocument/2006/relationships/oleObject" Target="embeddings/oleObject15.bin"/><Relationship Id="rId79" Type="http://schemas.openxmlformats.org/officeDocument/2006/relationships/oleObject" Target="embeddings/oleObject54.bin"/><Relationship Id="rId102" Type="http://schemas.openxmlformats.org/officeDocument/2006/relationships/oleObject" Target="embeddings/oleObject73.bin"/><Relationship Id="rId144" Type="http://schemas.openxmlformats.org/officeDocument/2006/relationships/oleObject" Target="embeddings/oleObject108.bin"/><Relationship Id="rId547" Type="http://schemas.openxmlformats.org/officeDocument/2006/relationships/oleObject" Target="embeddings/oleObject419.bin"/><Relationship Id="rId90" Type="http://schemas.openxmlformats.org/officeDocument/2006/relationships/image" Target="media/image14.wmf"/><Relationship Id="rId186" Type="http://schemas.openxmlformats.org/officeDocument/2006/relationships/image" Target="media/image35.wmf"/><Relationship Id="rId351" Type="http://schemas.openxmlformats.org/officeDocument/2006/relationships/image" Target="media/image80.wmf"/><Relationship Id="rId393" Type="http://schemas.openxmlformats.org/officeDocument/2006/relationships/image" Target="media/image90.wmf"/><Relationship Id="rId407" Type="http://schemas.openxmlformats.org/officeDocument/2006/relationships/oleObject" Target="embeddings/oleObject302.bin"/><Relationship Id="rId449" Type="http://schemas.openxmlformats.org/officeDocument/2006/relationships/oleObject" Target="embeddings/oleObject335.bin"/><Relationship Id="rId211" Type="http://schemas.openxmlformats.org/officeDocument/2006/relationships/oleObject" Target="embeddings/oleObject157.bin"/><Relationship Id="rId253" Type="http://schemas.openxmlformats.org/officeDocument/2006/relationships/oleObject" Target="embeddings/oleObject186.bin"/><Relationship Id="rId295" Type="http://schemas.openxmlformats.org/officeDocument/2006/relationships/image" Target="media/image70.wmf"/><Relationship Id="rId309" Type="http://schemas.openxmlformats.org/officeDocument/2006/relationships/oleObject" Target="embeddings/oleObject227.bin"/><Relationship Id="rId460" Type="http://schemas.openxmlformats.org/officeDocument/2006/relationships/oleObject" Target="embeddings/oleObject345.bin"/><Relationship Id="rId516" Type="http://schemas.openxmlformats.org/officeDocument/2006/relationships/oleObject" Target="embeddings/oleObject398.bin"/><Relationship Id="rId48" Type="http://schemas.openxmlformats.org/officeDocument/2006/relationships/oleObject" Target="embeddings/oleObject25.bin"/><Relationship Id="rId113" Type="http://schemas.openxmlformats.org/officeDocument/2006/relationships/oleObject" Target="embeddings/oleObject82.bin"/><Relationship Id="rId320" Type="http://schemas.openxmlformats.org/officeDocument/2006/relationships/oleObject" Target="embeddings/oleObject238.bin"/><Relationship Id="rId558" Type="http://schemas.openxmlformats.org/officeDocument/2006/relationships/image" Target="media/image122.wmf"/><Relationship Id="rId155" Type="http://schemas.openxmlformats.org/officeDocument/2006/relationships/oleObject" Target="embeddings/oleObject116.bin"/><Relationship Id="rId197" Type="http://schemas.openxmlformats.org/officeDocument/2006/relationships/image" Target="media/image39.wmf"/><Relationship Id="rId362" Type="http://schemas.openxmlformats.org/officeDocument/2006/relationships/oleObject" Target="embeddings/oleObject265.bin"/><Relationship Id="rId418" Type="http://schemas.openxmlformats.org/officeDocument/2006/relationships/image" Target="media/image95.wmf"/><Relationship Id="rId222" Type="http://schemas.openxmlformats.org/officeDocument/2006/relationships/oleObject" Target="embeddings/oleObject166.bin"/><Relationship Id="rId264" Type="http://schemas.openxmlformats.org/officeDocument/2006/relationships/image" Target="media/image60.wmf"/><Relationship Id="rId471" Type="http://schemas.openxmlformats.org/officeDocument/2006/relationships/oleObject" Target="embeddings/oleObject354.bin"/><Relationship Id="rId17" Type="http://schemas.openxmlformats.org/officeDocument/2006/relationships/oleObject" Target="embeddings/oleObject2.bin"/><Relationship Id="rId59" Type="http://schemas.openxmlformats.org/officeDocument/2006/relationships/oleObject" Target="embeddings/oleObject36.bin"/><Relationship Id="rId124" Type="http://schemas.openxmlformats.org/officeDocument/2006/relationships/oleObject" Target="embeddings/oleObject91.bin"/><Relationship Id="rId527" Type="http://schemas.openxmlformats.org/officeDocument/2006/relationships/oleObject" Target="embeddings/oleObject403.bin"/><Relationship Id="rId569" Type="http://schemas.openxmlformats.org/officeDocument/2006/relationships/oleObject" Target="embeddings/oleObject433.bin"/><Relationship Id="rId70" Type="http://schemas.openxmlformats.org/officeDocument/2006/relationships/oleObject" Target="embeddings/oleObject45.bin"/><Relationship Id="rId166" Type="http://schemas.openxmlformats.org/officeDocument/2006/relationships/oleObject" Target="embeddings/oleObject125.bin"/><Relationship Id="rId331" Type="http://schemas.openxmlformats.org/officeDocument/2006/relationships/oleObject" Target="embeddings/oleObject246.bin"/><Relationship Id="rId373" Type="http://schemas.openxmlformats.org/officeDocument/2006/relationships/oleObject" Target="embeddings/oleObject275.bin"/><Relationship Id="rId429" Type="http://schemas.openxmlformats.org/officeDocument/2006/relationships/oleObject" Target="embeddings/oleObject321.bin"/><Relationship Id="rId1" Type="http://schemas.openxmlformats.org/officeDocument/2006/relationships/customXml" Target="../customXml/item1.xml"/><Relationship Id="rId233" Type="http://schemas.openxmlformats.org/officeDocument/2006/relationships/oleObject" Target="embeddings/oleObject174.bin"/><Relationship Id="rId440" Type="http://schemas.openxmlformats.org/officeDocument/2006/relationships/oleObject" Target="embeddings/oleObject327.bin"/><Relationship Id="rId28" Type="http://schemas.openxmlformats.org/officeDocument/2006/relationships/image" Target="media/image7.wmf"/><Relationship Id="rId275" Type="http://schemas.openxmlformats.org/officeDocument/2006/relationships/oleObject" Target="embeddings/oleObject198.bin"/><Relationship Id="rId300" Type="http://schemas.openxmlformats.org/officeDocument/2006/relationships/oleObject" Target="embeddings/oleObject218.bin"/><Relationship Id="rId482" Type="http://schemas.openxmlformats.org/officeDocument/2006/relationships/oleObject" Target="embeddings/oleObject365.bin"/><Relationship Id="rId538" Type="http://schemas.openxmlformats.org/officeDocument/2006/relationships/oleObject" Target="embeddings/oleObject410.bin"/><Relationship Id="rId81" Type="http://schemas.openxmlformats.org/officeDocument/2006/relationships/oleObject" Target="embeddings/oleObject56.bin"/><Relationship Id="rId135" Type="http://schemas.openxmlformats.org/officeDocument/2006/relationships/oleObject" Target="embeddings/oleObject101.bin"/><Relationship Id="rId177" Type="http://schemas.openxmlformats.org/officeDocument/2006/relationships/oleObject" Target="embeddings/oleObject135.bin"/><Relationship Id="rId342" Type="http://schemas.openxmlformats.org/officeDocument/2006/relationships/image" Target="media/image76.wmf"/><Relationship Id="rId384" Type="http://schemas.openxmlformats.org/officeDocument/2006/relationships/oleObject" Target="embeddings/oleObject284.bin"/><Relationship Id="rId202" Type="http://schemas.openxmlformats.org/officeDocument/2006/relationships/oleObject" Target="embeddings/oleObject150.bin"/><Relationship Id="rId244" Type="http://schemas.openxmlformats.org/officeDocument/2006/relationships/oleObject" Target="embeddings/oleObject180.bin"/><Relationship Id="rId39" Type="http://schemas.openxmlformats.org/officeDocument/2006/relationships/oleObject" Target="embeddings/oleObject17.bin"/><Relationship Id="rId286" Type="http://schemas.openxmlformats.org/officeDocument/2006/relationships/oleObject" Target="embeddings/oleObject208.bin"/><Relationship Id="rId451" Type="http://schemas.openxmlformats.org/officeDocument/2006/relationships/oleObject" Target="embeddings/oleObject337.bin"/><Relationship Id="rId493" Type="http://schemas.openxmlformats.org/officeDocument/2006/relationships/oleObject" Target="embeddings/oleObject375.bin"/><Relationship Id="rId507" Type="http://schemas.openxmlformats.org/officeDocument/2006/relationships/oleObject" Target="embeddings/oleObject389.bin"/><Relationship Id="rId549" Type="http://schemas.openxmlformats.org/officeDocument/2006/relationships/image" Target="media/image118.wmf"/><Relationship Id="rId50" Type="http://schemas.openxmlformats.org/officeDocument/2006/relationships/oleObject" Target="embeddings/oleObject27.bin"/><Relationship Id="rId104" Type="http://schemas.openxmlformats.org/officeDocument/2006/relationships/image" Target="media/image18.wmf"/><Relationship Id="rId146" Type="http://schemas.openxmlformats.org/officeDocument/2006/relationships/oleObject" Target="embeddings/oleObject109.bin"/><Relationship Id="rId188" Type="http://schemas.openxmlformats.org/officeDocument/2006/relationships/oleObject" Target="embeddings/oleObject140.bin"/><Relationship Id="rId311" Type="http://schemas.openxmlformats.org/officeDocument/2006/relationships/oleObject" Target="embeddings/oleObject229.bin"/><Relationship Id="rId353" Type="http://schemas.openxmlformats.org/officeDocument/2006/relationships/image" Target="media/image81.wmf"/><Relationship Id="rId395" Type="http://schemas.openxmlformats.org/officeDocument/2006/relationships/image" Target="media/image91.wmf"/><Relationship Id="rId409" Type="http://schemas.openxmlformats.org/officeDocument/2006/relationships/oleObject" Target="embeddings/oleObject304.bin"/><Relationship Id="rId560" Type="http://schemas.openxmlformats.org/officeDocument/2006/relationships/image" Target="media/image123.wmf"/><Relationship Id="rId92" Type="http://schemas.openxmlformats.org/officeDocument/2006/relationships/image" Target="media/image15.wmf"/><Relationship Id="rId213" Type="http://schemas.openxmlformats.org/officeDocument/2006/relationships/oleObject" Target="embeddings/oleObject159.bin"/><Relationship Id="rId420" Type="http://schemas.openxmlformats.org/officeDocument/2006/relationships/image" Target="media/image96.wmf"/><Relationship Id="rId255" Type="http://schemas.openxmlformats.org/officeDocument/2006/relationships/oleObject" Target="embeddings/oleObject188.bin"/><Relationship Id="rId297" Type="http://schemas.openxmlformats.org/officeDocument/2006/relationships/oleObject" Target="embeddings/oleObject215.bin"/><Relationship Id="rId462" Type="http://schemas.openxmlformats.org/officeDocument/2006/relationships/image" Target="media/image104.wmf"/><Relationship Id="rId518" Type="http://schemas.openxmlformats.org/officeDocument/2006/relationships/image" Target="media/image107.wmf"/><Relationship Id="rId115" Type="http://schemas.openxmlformats.org/officeDocument/2006/relationships/oleObject" Target="embeddings/oleObject84.bin"/><Relationship Id="rId157" Type="http://schemas.openxmlformats.org/officeDocument/2006/relationships/oleObject" Target="embeddings/oleObject117.bin"/><Relationship Id="rId322" Type="http://schemas.openxmlformats.org/officeDocument/2006/relationships/oleObject" Target="embeddings/oleObject240.bin"/><Relationship Id="rId364" Type="http://schemas.openxmlformats.org/officeDocument/2006/relationships/oleObject" Target="embeddings/oleObject266.bin"/><Relationship Id="rId61" Type="http://schemas.openxmlformats.org/officeDocument/2006/relationships/oleObject" Target="embeddings/oleObject38.bin"/><Relationship Id="rId199" Type="http://schemas.openxmlformats.org/officeDocument/2006/relationships/oleObject" Target="embeddings/oleObject148.bin"/><Relationship Id="rId571" Type="http://schemas.openxmlformats.org/officeDocument/2006/relationships/header" Target="header4.xml"/><Relationship Id="rId19" Type="http://schemas.openxmlformats.org/officeDocument/2006/relationships/oleObject" Target="embeddings/oleObject4.bin"/><Relationship Id="rId224" Type="http://schemas.openxmlformats.org/officeDocument/2006/relationships/oleObject" Target="embeddings/oleObject168.bin"/><Relationship Id="rId266" Type="http://schemas.openxmlformats.org/officeDocument/2006/relationships/image" Target="media/image62.wmf"/><Relationship Id="rId431" Type="http://schemas.openxmlformats.org/officeDocument/2006/relationships/image" Target="media/image98.wmf"/><Relationship Id="rId473" Type="http://schemas.openxmlformats.org/officeDocument/2006/relationships/oleObject" Target="embeddings/oleObject356.bin"/><Relationship Id="rId529" Type="http://schemas.openxmlformats.org/officeDocument/2006/relationships/oleObject" Target="embeddings/oleObject404.bin"/><Relationship Id="rId30" Type="http://schemas.openxmlformats.org/officeDocument/2006/relationships/image" Target="media/image8.wmf"/><Relationship Id="rId126" Type="http://schemas.openxmlformats.org/officeDocument/2006/relationships/oleObject" Target="embeddings/oleObject93.bin"/><Relationship Id="rId168" Type="http://schemas.openxmlformats.org/officeDocument/2006/relationships/oleObject" Target="embeddings/oleObject127.bin"/><Relationship Id="rId333" Type="http://schemas.openxmlformats.org/officeDocument/2006/relationships/oleObject" Target="embeddings/oleObject248.bin"/><Relationship Id="rId540" Type="http://schemas.openxmlformats.org/officeDocument/2006/relationships/oleObject" Target="embeddings/oleObject412.bin"/><Relationship Id="rId72" Type="http://schemas.openxmlformats.org/officeDocument/2006/relationships/oleObject" Target="embeddings/oleObject47.bin"/><Relationship Id="rId375" Type="http://schemas.openxmlformats.org/officeDocument/2006/relationships/oleObject" Target="embeddings/oleObject277.bin"/><Relationship Id="rId3" Type="http://schemas.openxmlformats.org/officeDocument/2006/relationships/styles" Target="styles.xml"/><Relationship Id="rId235" Type="http://schemas.openxmlformats.org/officeDocument/2006/relationships/oleObject" Target="embeddings/oleObject176.bin"/><Relationship Id="rId277" Type="http://schemas.openxmlformats.org/officeDocument/2006/relationships/oleObject" Target="embeddings/oleObject200.bin"/><Relationship Id="rId400" Type="http://schemas.openxmlformats.org/officeDocument/2006/relationships/oleObject" Target="embeddings/oleObject296.bin"/><Relationship Id="rId442" Type="http://schemas.openxmlformats.org/officeDocument/2006/relationships/oleObject" Target="embeddings/oleObject329.bin"/><Relationship Id="rId484" Type="http://schemas.openxmlformats.org/officeDocument/2006/relationships/oleObject" Target="embeddings/oleObject367.bin"/><Relationship Id="rId137" Type="http://schemas.openxmlformats.org/officeDocument/2006/relationships/oleObject" Target="embeddings/oleObject102.bin"/><Relationship Id="rId302" Type="http://schemas.openxmlformats.org/officeDocument/2006/relationships/oleObject" Target="embeddings/oleObject220.bin"/><Relationship Id="rId344" Type="http://schemas.openxmlformats.org/officeDocument/2006/relationships/image" Target="media/image77.wmf"/><Relationship Id="rId41" Type="http://schemas.openxmlformats.org/officeDocument/2006/relationships/oleObject" Target="embeddings/oleObject19.bin"/><Relationship Id="rId83" Type="http://schemas.openxmlformats.org/officeDocument/2006/relationships/oleObject" Target="embeddings/oleObject58.bin"/><Relationship Id="rId179" Type="http://schemas.openxmlformats.org/officeDocument/2006/relationships/oleObject" Target="embeddings/oleObject136.bin"/><Relationship Id="rId386" Type="http://schemas.openxmlformats.org/officeDocument/2006/relationships/image" Target="media/image89.wmf"/><Relationship Id="rId551" Type="http://schemas.openxmlformats.org/officeDocument/2006/relationships/oleObject" Target="embeddings/oleObject421.bin"/><Relationship Id="rId190" Type="http://schemas.openxmlformats.org/officeDocument/2006/relationships/oleObject" Target="embeddings/oleObject141.bin"/><Relationship Id="rId204" Type="http://schemas.openxmlformats.org/officeDocument/2006/relationships/oleObject" Target="embeddings/oleObject152.bin"/><Relationship Id="rId246" Type="http://schemas.openxmlformats.org/officeDocument/2006/relationships/oleObject" Target="embeddings/oleObject181.bin"/><Relationship Id="rId288" Type="http://schemas.openxmlformats.org/officeDocument/2006/relationships/image" Target="media/image67.wmf"/><Relationship Id="rId411" Type="http://schemas.openxmlformats.org/officeDocument/2006/relationships/oleObject" Target="embeddings/oleObject306.bin"/><Relationship Id="rId453" Type="http://schemas.openxmlformats.org/officeDocument/2006/relationships/oleObject" Target="embeddings/oleObject338.bin"/><Relationship Id="rId509" Type="http://schemas.openxmlformats.org/officeDocument/2006/relationships/oleObject" Target="embeddings/oleObject391.bin"/><Relationship Id="rId106" Type="http://schemas.openxmlformats.org/officeDocument/2006/relationships/oleObject" Target="embeddings/oleObject76.bin"/><Relationship Id="rId313" Type="http://schemas.openxmlformats.org/officeDocument/2006/relationships/oleObject" Target="embeddings/oleObject231.bin"/><Relationship Id="rId495" Type="http://schemas.openxmlformats.org/officeDocument/2006/relationships/oleObject" Target="embeddings/oleObject377.bin"/><Relationship Id="rId10" Type="http://schemas.openxmlformats.org/officeDocument/2006/relationships/footer" Target="footer2.xml"/><Relationship Id="rId52" Type="http://schemas.openxmlformats.org/officeDocument/2006/relationships/oleObject" Target="embeddings/oleObject29.bin"/><Relationship Id="rId94" Type="http://schemas.openxmlformats.org/officeDocument/2006/relationships/oleObject" Target="embeddings/oleObject67.bin"/><Relationship Id="rId148" Type="http://schemas.openxmlformats.org/officeDocument/2006/relationships/image" Target="media/image26.png"/><Relationship Id="rId355" Type="http://schemas.openxmlformats.org/officeDocument/2006/relationships/oleObject" Target="embeddings/oleObject261.bin"/><Relationship Id="rId397" Type="http://schemas.openxmlformats.org/officeDocument/2006/relationships/image" Target="media/image92.wmf"/><Relationship Id="rId520" Type="http://schemas.openxmlformats.org/officeDocument/2006/relationships/image" Target="media/image109.wmf"/><Relationship Id="rId562" Type="http://schemas.openxmlformats.org/officeDocument/2006/relationships/image" Target="media/image124.wmf"/><Relationship Id="rId215" Type="http://schemas.openxmlformats.org/officeDocument/2006/relationships/oleObject" Target="embeddings/oleObject160.bin"/><Relationship Id="rId257" Type="http://schemas.openxmlformats.org/officeDocument/2006/relationships/oleObject" Target="embeddings/oleObject189.bin"/><Relationship Id="rId422" Type="http://schemas.openxmlformats.org/officeDocument/2006/relationships/oleObject" Target="embeddings/oleObject314.bin"/><Relationship Id="rId464" Type="http://schemas.openxmlformats.org/officeDocument/2006/relationships/oleObject" Target="embeddings/oleObject348.bin"/><Relationship Id="rId299" Type="http://schemas.openxmlformats.org/officeDocument/2006/relationships/oleObject" Target="embeddings/oleObject217.bin"/><Relationship Id="rId63" Type="http://schemas.openxmlformats.org/officeDocument/2006/relationships/oleObject" Target="embeddings/oleObject39.bin"/><Relationship Id="rId159" Type="http://schemas.openxmlformats.org/officeDocument/2006/relationships/image" Target="media/image29.wmf"/><Relationship Id="rId366" Type="http://schemas.openxmlformats.org/officeDocument/2006/relationships/oleObject" Target="embeddings/oleObject268.bin"/><Relationship Id="rId573" Type="http://schemas.openxmlformats.org/officeDocument/2006/relationships/fontTable" Target="fontTable.xml"/><Relationship Id="rId226" Type="http://schemas.openxmlformats.org/officeDocument/2006/relationships/oleObject" Target="embeddings/oleObject170.bin"/><Relationship Id="rId433" Type="http://schemas.openxmlformats.org/officeDocument/2006/relationships/oleObject" Target="embeddings/oleObject322.bin"/><Relationship Id="rId74" Type="http://schemas.openxmlformats.org/officeDocument/2006/relationships/oleObject" Target="embeddings/oleObject49.bin"/><Relationship Id="rId377" Type="http://schemas.openxmlformats.org/officeDocument/2006/relationships/oleObject" Target="embeddings/oleObject279.bin"/><Relationship Id="rId500" Type="http://schemas.openxmlformats.org/officeDocument/2006/relationships/oleObject" Target="embeddings/oleObject382.bin"/><Relationship Id="rId5" Type="http://schemas.openxmlformats.org/officeDocument/2006/relationships/webSettings" Target="webSettings.xml"/><Relationship Id="rId237" Type="http://schemas.openxmlformats.org/officeDocument/2006/relationships/image" Target="media/image49.wmf"/><Relationship Id="rId444" Type="http://schemas.openxmlformats.org/officeDocument/2006/relationships/oleObject" Target="embeddings/oleObject331.bin"/><Relationship Id="rId290" Type="http://schemas.openxmlformats.org/officeDocument/2006/relationships/oleObject" Target="embeddings/oleObject211.bin"/><Relationship Id="rId304" Type="http://schemas.openxmlformats.org/officeDocument/2006/relationships/oleObject" Target="embeddings/oleObject222.bin"/><Relationship Id="rId388" Type="http://schemas.openxmlformats.org/officeDocument/2006/relationships/oleObject" Target="embeddings/oleObject287.bin"/><Relationship Id="rId511" Type="http://schemas.openxmlformats.org/officeDocument/2006/relationships/oleObject" Target="embeddings/oleObject393.bin"/><Relationship Id="rId85" Type="http://schemas.openxmlformats.org/officeDocument/2006/relationships/oleObject" Target="embeddings/oleObject60.bin"/><Relationship Id="rId150" Type="http://schemas.openxmlformats.org/officeDocument/2006/relationships/oleObject" Target="embeddings/oleObject112.bin"/><Relationship Id="rId248" Type="http://schemas.openxmlformats.org/officeDocument/2006/relationships/oleObject" Target="embeddings/oleObject182.bin"/><Relationship Id="rId455" Type="http://schemas.openxmlformats.org/officeDocument/2006/relationships/oleObject" Target="embeddings/oleObject340.bin"/><Relationship Id="rId12" Type="http://schemas.openxmlformats.org/officeDocument/2006/relationships/footer" Target="footer3.xml"/><Relationship Id="rId108" Type="http://schemas.openxmlformats.org/officeDocument/2006/relationships/oleObject" Target="embeddings/oleObject78.bin"/><Relationship Id="rId315" Type="http://schemas.openxmlformats.org/officeDocument/2006/relationships/oleObject" Target="embeddings/oleObject233.bin"/><Relationship Id="rId522" Type="http://schemas.openxmlformats.org/officeDocument/2006/relationships/image" Target="media/image111.wmf"/><Relationship Id="rId96" Type="http://schemas.openxmlformats.org/officeDocument/2006/relationships/image" Target="media/image16.wmf"/><Relationship Id="rId161" Type="http://schemas.openxmlformats.org/officeDocument/2006/relationships/oleObject" Target="embeddings/oleObject120.bin"/><Relationship Id="rId399" Type="http://schemas.openxmlformats.org/officeDocument/2006/relationships/oleObject" Target="embeddings/oleObject295.bin"/><Relationship Id="rId259" Type="http://schemas.openxmlformats.org/officeDocument/2006/relationships/oleObject" Target="embeddings/oleObject190.bin"/><Relationship Id="rId466" Type="http://schemas.openxmlformats.org/officeDocument/2006/relationships/oleObject" Target="embeddings/oleObject350.bin"/><Relationship Id="rId23" Type="http://schemas.openxmlformats.org/officeDocument/2006/relationships/oleObject" Target="embeddings/oleObject6.bin"/><Relationship Id="rId119" Type="http://schemas.openxmlformats.org/officeDocument/2006/relationships/oleObject" Target="embeddings/oleObject88.bin"/><Relationship Id="rId326" Type="http://schemas.openxmlformats.org/officeDocument/2006/relationships/oleObject" Target="embeddings/oleObject243.bin"/><Relationship Id="rId533" Type="http://schemas.openxmlformats.org/officeDocument/2006/relationships/oleObject" Target="embeddings/oleObject406.bin"/><Relationship Id="rId172" Type="http://schemas.openxmlformats.org/officeDocument/2006/relationships/image" Target="media/image30.wmf"/><Relationship Id="rId477" Type="http://schemas.openxmlformats.org/officeDocument/2006/relationships/oleObject" Target="embeddings/oleObject3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4AF7-9148-4D7E-A43E-68DD1F3E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506</Pages>
  <Words>189846</Words>
  <Characters>970117</Characters>
  <Application>Microsoft Office Word</Application>
  <DocSecurity>0</DocSecurity>
  <Lines>23098</Lines>
  <Paragraphs>13646</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1146317</CharactersWithSpaces>
  <SharedDoc>false</SharedDoc>
  <HLinks>
    <vt:vector size="954" baseType="variant">
      <vt:variant>
        <vt:i4>1572918</vt:i4>
      </vt:variant>
      <vt:variant>
        <vt:i4>950</vt:i4>
      </vt:variant>
      <vt:variant>
        <vt:i4>0</vt:i4>
      </vt:variant>
      <vt:variant>
        <vt:i4>5</vt:i4>
      </vt:variant>
      <vt:variant>
        <vt:lpwstr/>
      </vt:variant>
      <vt:variant>
        <vt:lpwstr>_Toc17798786</vt:lpwstr>
      </vt:variant>
      <vt:variant>
        <vt:i4>1769526</vt:i4>
      </vt:variant>
      <vt:variant>
        <vt:i4>944</vt:i4>
      </vt:variant>
      <vt:variant>
        <vt:i4>0</vt:i4>
      </vt:variant>
      <vt:variant>
        <vt:i4>5</vt:i4>
      </vt:variant>
      <vt:variant>
        <vt:lpwstr/>
      </vt:variant>
      <vt:variant>
        <vt:lpwstr>_Toc17798785</vt:lpwstr>
      </vt:variant>
      <vt:variant>
        <vt:i4>1703990</vt:i4>
      </vt:variant>
      <vt:variant>
        <vt:i4>938</vt:i4>
      </vt:variant>
      <vt:variant>
        <vt:i4>0</vt:i4>
      </vt:variant>
      <vt:variant>
        <vt:i4>5</vt:i4>
      </vt:variant>
      <vt:variant>
        <vt:lpwstr/>
      </vt:variant>
      <vt:variant>
        <vt:lpwstr>_Toc17798784</vt:lpwstr>
      </vt:variant>
      <vt:variant>
        <vt:i4>1900598</vt:i4>
      </vt:variant>
      <vt:variant>
        <vt:i4>932</vt:i4>
      </vt:variant>
      <vt:variant>
        <vt:i4>0</vt:i4>
      </vt:variant>
      <vt:variant>
        <vt:i4>5</vt:i4>
      </vt:variant>
      <vt:variant>
        <vt:lpwstr/>
      </vt:variant>
      <vt:variant>
        <vt:lpwstr>_Toc17798783</vt:lpwstr>
      </vt:variant>
      <vt:variant>
        <vt:i4>1835062</vt:i4>
      </vt:variant>
      <vt:variant>
        <vt:i4>926</vt:i4>
      </vt:variant>
      <vt:variant>
        <vt:i4>0</vt:i4>
      </vt:variant>
      <vt:variant>
        <vt:i4>5</vt:i4>
      </vt:variant>
      <vt:variant>
        <vt:lpwstr/>
      </vt:variant>
      <vt:variant>
        <vt:lpwstr>_Toc17798782</vt:lpwstr>
      </vt:variant>
      <vt:variant>
        <vt:i4>2031670</vt:i4>
      </vt:variant>
      <vt:variant>
        <vt:i4>920</vt:i4>
      </vt:variant>
      <vt:variant>
        <vt:i4>0</vt:i4>
      </vt:variant>
      <vt:variant>
        <vt:i4>5</vt:i4>
      </vt:variant>
      <vt:variant>
        <vt:lpwstr/>
      </vt:variant>
      <vt:variant>
        <vt:lpwstr>_Toc17798781</vt:lpwstr>
      </vt:variant>
      <vt:variant>
        <vt:i4>1966134</vt:i4>
      </vt:variant>
      <vt:variant>
        <vt:i4>914</vt:i4>
      </vt:variant>
      <vt:variant>
        <vt:i4>0</vt:i4>
      </vt:variant>
      <vt:variant>
        <vt:i4>5</vt:i4>
      </vt:variant>
      <vt:variant>
        <vt:lpwstr/>
      </vt:variant>
      <vt:variant>
        <vt:lpwstr>_Toc17798780</vt:lpwstr>
      </vt:variant>
      <vt:variant>
        <vt:i4>1507385</vt:i4>
      </vt:variant>
      <vt:variant>
        <vt:i4>908</vt:i4>
      </vt:variant>
      <vt:variant>
        <vt:i4>0</vt:i4>
      </vt:variant>
      <vt:variant>
        <vt:i4>5</vt:i4>
      </vt:variant>
      <vt:variant>
        <vt:lpwstr/>
      </vt:variant>
      <vt:variant>
        <vt:lpwstr>_Toc17798779</vt:lpwstr>
      </vt:variant>
      <vt:variant>
        <vt:i4>1441849</vt:i4>
      </vt:variant>
      <vt:variant>
        <vt:i4>902</vt:i4>
      </vt:variant>
      <vt:variant>
        <vt:i4>0</vt:i4>
      </vt:variant>
      <vt:variant>
        <vt:i4>5</vt:i4>
      </vt:variant>
      <vt:variant>
        <vt:lpwstr/>
      </vt:variant>
      <vt:variant>
        <vt:lpwstr>_Toc17798778</vt:lpwstr>
      </vt:variant>
      <vt:variant>
        <vt:i4>1638457</vt:i4>
      </vt:variant>
      <vt:variant>
        <vt:i4>896</vt:i4>
      </vt:variant>
      <vt:variant>
        <vt:i4>0</vt:i4>
      </vt:variant>
      <vt:variant>
        <vt:i4>5</vt:i4>
      </vt:variant>
      <vt:variant>
        <vt:lpwstr/>
      </vt:variant>
      <vt:variant>
        <vt:lpwstr>_Toc17798777</vt:lpwstr>
      </vt:variant>
      <vt:variant>
        <vt:i4>1572921</vt:i4>
      </vt:variant>
      <vt:variant>
        <vt:i4>890</vt:i4>
      </vt:variant>
      <vt:variant>
        <vt:i4>0</vt:i4>
      </vt:variant>
      <vt:variant>
        <vt:i4>5</vt:i4>
      </vt:variant>
      <vt:variant>
        <vt:lpwstr/>
      </vt:variant>
      <vt:variant>
        <vt:lpwstr>_Toc17798776</vt:lpwstr>
      </vt:variant>
      <vt:variant>
        <vt:i4>1769529</vt:i4>
      </vt:variant>
      <vt:variant>
        <vt:i4>884</vt:i4>
      </vt:variant>
      <vt:variant>
        <vt:i4>0</vt:i4>
      </vt:variant>
      <vt:variant>
        <vt:i4>5</vt:i4>
      </vt:variant>
      <vt:variant>
        <vt:lpwstr/>
      </vt:variant>
      <vt:variant>
        <vt:lpwstr>_Toc17798775</vt:lpwstr>
      </vt:variant>
      <vt:variant>
        <vt:i4>1703993</vt:i4>
      </vt:variant>
      <vt:variant>
        <vt:i4>878</vt:i4>
      </vt:variant>
      <vt:variant>
        <vt:i4>0</vt:i4>
      </vt:variant>
      <vt:variant>
        <vt:i4>5</vt:i4>
      </vt:variant>
      <vt:variant>
        <vt:lpwstr/>
      </vt:variant>
      <vt:variant>
        <vt:lpwstr>_Toc17798774</vt:lpwstr>
      </vt:variant>
      <vt:variant>
        <vt:i4>1900601</vt:i4>
      </vt:variant>
      <vt:variant>
        <vt:i4>872</vt:i4>
      </vt:variant>
      <vt:variant>
        <vt:i4>0</vt:i4>
      </vt:variant>
      <vt:variant>
        <vt:i4>5</vt:i4>
      </vt:variant>
      <vt:variant>
        <vt:lpwstr/>
      </vt:variant>
      <vt:variant>
        <vt:lpwstr>_Toc17798773</vt:lpwstr>
      </vt:variant>
      <vt:variant>
        <vt:i4>1835065</vt:i4>
      </vt:variant>
      <vt:variant>
        <vt:i4>866</vt:i4>
      </vt:variant>
      <vt:variant>
        <vt:i4>0</vt:i4>
      </vt:variant>
      <vt:variant>
        <vt:i4>5</vt:i4>
      </vt:variant>
      <vt:variant>
        <vt:lpwstr/>
      </vt:variant>
      <vt:variant>
        <vt:lpwstr>_Toc17798772</vt:lpwstr>
      </vt:variant>
      <vt:variant>
        <vt:i4>2031673</vt:i4>
      </vt:variant>
      <vt:variant>
        <vt:i4>860</vt:i4>
      </vt:variant>
      <vt:variant>
        <vt:i4>0</vt:i4>
      </vt:variant>
      <vt:variant>
        <vt:i4>5</vt:i4>
      </vt:variant>
      <vt:variant>
        <vt:lpwstr/>
      </vt:variant>
      <vt:variant>
        <vt:lpwstr>_Toc17798771</vt:lpwstr>
      </vt:variant>
      <vt:variant>
        <vt:i4>1966137</vt:i4>
      </vt:variant>
      <vt:variant>
        <vt:i4>854</vt:i4>
      </vt:variant>
      <vt:variant>
        <vt:i4>0</vt:i4>
      </vt:variant>
      <vt:variant>
        <vt:i4>5</vt:i4>
      </vt:variant>
      <vt:variant>
        <vt:lpwstr/>
      </vt:variant>
      <vt:variant>
        <vt:lpwstr>_Toc17798770</vt:lpwstr>
      </vt:variant>
      <vt:variant>
        <vt:i4>1507384</vt:i4>
      </vt:variant>
      <vt:variant>
        <vt:i4>848</vt:i4>
      </vt:variant>
      <vt:variant>
        <vt:i4>0</vt:i4>
      </vt:variant>
      <vt:variant>
        <vt:i4>5</vt:i4>
      </vt:variant>
      <vt:variant>
        <vt:lpwstr/>
      </vt:variant>
      <vt:variant>
        <vt:lpwstr>_Toc17798769</vt:lpwstr>
      </vt:variant>
      <vt:variant>
        <vt:i4>1441848</vt:i4>
      </vt:variant>
      <vt:variant>
        <vt:i4>842</vt:i4>
      </vt:variant>
      <vt:variant>
        <vt:i4>0</vt:i4>
      </vt:variant>
      <vt:variant>
        <vt:i4>5</vt:i4>
      </vt:variant>
      <vt:variant>
        <vt:lpwstr/>
      </vt:variant>
      <vt:variant>
        <vt:lpwstr>_Toc17798768</vt:lpwstr>
      </vt:variant>
      <vt:variant>
        <vt:i4>1638456</vt:i4>
      </vt:variant>
      <vt:variant>
        <vt:i4>836</vt:i4>
      </vt:variant>
      <vt:variant>
        <vt:i4>0</vt:i4>
      </vt:variant>
      <vt:variant>
        <vt:i4>5</vt:i4>
      </vt:variant>
      <vt:variant>
        <vt:lpwstr/>
      </vt:variant>
      <vt:variant>
        <vt:lpwstr>_Toc17798767</vt:lpwstr>
      </vt:variant>
      <vt:variant>
        <vt:i4>1572920</vt:i4>
      </vt:variant>
      <vt:variant>
        <vt:i4>830</vt:i4>
      </vt:variant>
      <vt:variant>
        <vt:i4>0</vt:i4>
      </vt:variant>
      <vt:variant>
        <vt:i4>5</vt:i4>
      </vt:variant>
      <vt:variant>
        <vt:lpwstr/>
      </vt:variant>
      <vt:variant>
        <vt:lpwstr>_Toc17798766</vt:lpwstr>
      </vt:variant>
      <vt:variant>
        <vt:i4>1769528</vt:i4>
      </vt:variant>
      <vt:variant>
        <vt:i4>824</vt:i4>
      </vt:variant>
      <vt:variant>
        <vt:i4>0</vt:i4>
      </vt:variant>
      <vt:variant>
        <vt:i4>5</vt:i4>
      </vt:variant>
      <vt:variant>
        <vt:lpwstr/>
      </vt:variant>
      <vt:variant>
        <vt:lpwstr>_Toc17798765</vt:lpwstr>
      </vt:variant>
      <vt:variant>
        <vt:i4>1703992</vt:i4>
      </vt:variant>
      <vt:variant>
        <vt:i4>818</vt:i4>
      </vt:variant>
      <vt:variant>
        <vt:i4>0</vt:i4>
      </vt:variant>
      <vt:variant>
        <vt:i4>5</vt:i4>
      </vt:variant>
      <vt:variant>
        <vt:lpwstr/>
      </vt:variant>
      <vt:variant>
        <vt:lpwstr>_Toc17798764</vt:lpwstr>
      </vt:variant>
      <vt:variant>
        <vt:i4>1900600</vt:i4>
      </vt:variant>
      <vt:variant>
        <vt:i4>812</vt:i4>
      </vt:variant>
      <vt:variant>
        <vt:i4>0</vt:i4>
      </vt:variant>
      <vt:variant>
        <vt:i4>5</vt:i4>
      </vt:variant>
      <vt:variant>
        <vt:lpwstr/>
      </vt:variant>
      <vt:variant>
        <vt:lpwstr>_Toc17798763</vt:lpwstr>
      </vt:variant>
      <vt:variant>
        <vt:i4>1835064</vt:i4>
      </vt:variant>
      <vt:variant>
        <vt:i4>806</vt:i4>
      </vt:variant>
      <vt:variant>
        <vt:i4>0</vt:i4>
      </vt:variant>
      <vt:variant>
        <vt:i4>5</vt:i4>
      </vt:variant>
      <vt:variant>
        <vt:lpwstr/>
      </vt:variant>
      <vt:variant>
        <vt:lpwstr>_Toc17798762</vt:lpwstr>
      </vt:variant>
      <vt:variant>
        <vt:i4>2031672</vt:i4>
      </vt:variant>
      <vt:variant>
        <vt:i4>800</vt:i4>
      </vt:variant>
      <vt:variant>
        <vt:i4>0</vt:i4>
      </vt:variant>
      <vt:variant>
        <vt:i4>5</vt:i4>
      </vt:variant>
      <vt:variant>
        <vt:lpwstr/>
      </vt:variant>
      <vt:variant>
        <vt:lpwstr>_Toc17798761</vt:lpwstr>
      </vt:variant>
      <vt:variant>
        <vt:i4>1966136</vt:i4>
      </vt:variant>
      <vt:variant>
        <vt:i4>794</vt:i4>
      </vt:variant>
      <vt:variant>
        <vt:i4>0</vt:i4>
      </vt:variant>
      <vt:variant>
        <vt:i4>5</vt:i4>
      </vt:variant>
      <vt:variant>
        <vt:lpwstr/>
      </vt:variant>
      <vt:variant>
        <vt:lpwstr>_Toc17798760</vt:lpwstr>
      </vt:variant>
      <vt:variant>
        <vt:i4>1900603</vt:i4>
      </vt:variant>
      <vt:variant>
        <vt:i4>788</vt:i4>
      </vt:variant>
      <vt:variant>
        <vt:i4>0</vt:i4>
      </vt:variant>
      <vt:variant>
        <vt:i4>5</vt:i4>
      </vt:variant>
      <vt:variant>
        <vt:lpwstr/>
      </vt:variant>
      <vt:variant>
        <vt:lpwstr>_Toc17798753</vt:lpwstr>
      </vt:variant>
      <vt:variant>
        <vt:i4>1835067</vt:i4>
      </vt:variant>
      <vt:variant>
        <vt:i4>782</vt:i4>
      </vt:variant>
      <vt:variant>
        <vt:i4>0</vt:i4>
      </vt:variant>
      <vt:variant>
        <vt:i4>5</vt:i4>
      </vt:variant>
      <vt:variant>
        <vt:lpwstr/>
      </vt:variant>
      <vt:variant>
        <vt:lpwstr>_Toc17798752</vt:lpwstr>
      </vt:variant>
      <vt:variant>
        <vt:i4>2031675</vt:i4>
      </vt:variant>
      <vt:variant>
        <vt:i4>776</vt:i4>
      </vt:variant>
      <vt:variant>
        <vt:i4>0</vt:i4>
      </vt:variant>
      <vt:variant>
        <vt:i4>5</vt:i4>
      </vt:variant>
      <vt:variant>
        <vt:lpwstr/>
      </vt:variant>
      <vt:variant>
        <vt:lpwstr>_Toc17798751</vt:lpwstr>
      </vt:variant>
      <vt:variant>
        <vt:i4>1966139</vt:i4>
      </vt:variant>
      <vt:variant>
        <vt:i4>770</vt:i4>
      </vt:variant>
      <vt:variant>
        <vt:i4>0</vt:i4>
      </vt:variant>
      <vt:variant>
        <vt:i4>5</vt:i4>
      </vt:variant>
      <vt:variant>
        <vt:lpwstr/>
      </vt:variant>
      <vt:variant>
        <vt:lpwstr>_Toc17798750</vt:lpwstr>
      </vt:variant>
      <vt:variant>
        <vt:i4>1507386</vt:i4>
      </vt:variant>
      <vt:variant>
        <vt:i4>764</vt:i4>
      </vt:variant>
      <vt:variant>
        <vt:i4>0</vt:i4>
      </vt:variant>
      <vt:variant>
        <vt:i4>5</vt:i4>
      </vt:variant>
      <vt:variant>
        <vt:lpwstr/>
      </vt:variant>
      <vt:variant>
        <vt:lpwstr>_Toc17798749</vt:lpwstr>
      </vt:variant>
      <vt:variant>
        <vt:i4>1441850</vt:i4>
      </vt:variant>
      <vt:variant>
        <vt:i4>758</vt:i4>
      </vt:variant>
      <vt:variant>
        <vt:i4>0</vt:i4>
      </vt:variant>
      <vt:variant>
        <vt:i4>5</vt:i4>
      </vt:variant>
      <vt:variant>
        <vt:lpwstr/>
      </vt:variant>
      <vt:variant>
        <vt:lpwstr>_Toc17798748</vt:lpwstr>
      </vt:variant>
      <vt:variant>
        <vt:i4>1572922</vt:i4>
      </vt:variant>
      <vt:variant>
        <vt:i4>752</vt:i4>
      </vt:variant>
      <vt:variant>
        <vt:i4>0</vt:i4>
      </vt:variant>
      <vt:variant>
        <vt:i4>5</vt:i4>
      </vt:variant>
      <vt:variant>
        <vt:lpwstr/>
      </vt:variant>
      <vt:variant>
        <vt:lpwstr>_Toc17798746</vt:lpwstr>
      </vt:variant>
      <vt:variant>
        <vt:i4>1769530</vt:i4>
      </vt:variant>
      <vt:variant>
        <vt:i4>746</vt:i4>
      </vt:variant>
      <vt:variant>
        <vt:i4>0</vt:i4>
      </vt:variant>
      <vt:variant>
        <vt:i4>5</vt:i4>
      </vt:variant>
      <vt:variant>
        <vt:lpwstr/>
      </vt:variant>
      <vt:variant>
        <vt:lpwstr>_Toc17798745</vt:lpwstr>
      </vt:variant>
      <vt:variant>
        <vt:i4>1703994</vt:i4>
      </vt:variant>
      <vt:variant>
        <vt:i4>740</vt:i4>
      </vt:variant>
      <vt:variant>
        <vt:i4>0</vt:i4>
      </vt:variant>
      <vt:variant>
        <vt:i4>5</vt:i4>
      </vt:variant>
      <vt:variant>
        <vt:lpwstr/>
      </vt:variant>
      <vt:variant>
        <vt:lpwstr>_Toc17798744</vt:lpwstr>
      </vt:variant>
      <vt:variant>
        <vt:i4>1900602</vt:i4>
      </vt:variant>
      <vt:variant>
        <vt:i4>734</vt:i4>
      </vt:variant>
      <vt:variant>
        <vt:i4>0</vt:i4>
      </vt:variant>
      <vt:variant>
        <vt:i4>5</vt:i4>
      </vt:variant>
      <vt:variant>
        <vt:lpwstr/>
      </vt:variant>
      <vt:variant>
        <vt:lpwstr>_Toc17798743</vt:lpwstr>
      </vt:variant>
      <vt:variant>
        <vt:i4>1835066</vt:i4>
      </vt:variant>
      <vt:variant>
        <vt:i4>728</vt:i4>
      </vt:variant>
      <vt:variant>
        <vt:i4>0</vt:i4>
      </vt:variant>
      <vt:variant>
        <vt:i4>5</vt:i4>
      </vt:variant>
      <vt:variant>
        <vt:lpwstr/>
      </vt:variant>
      <vt:variant>
        <vt:lpwstr>_Toc17798742</vt:lpwstr>
      </vt:variant>
      <vt:variant>
        <vt:i4>2031674</vt:i4>
      </vt:variant>
      <vt:variant>
        <vt:i4>722</vt:i4>
      </vt:variant>
      <vt:variant>
        <vt:i4>0</vt:i4>
      </vt:variant>
      <vt:variant>
        <vt:i4>5</vt:i4>
      </vt:variant>
      <vt:variant>
        <vt:lpwstr/>
      </vt:variant>
      <vt:variant>
        <vt:lpwstr>_Toc17798741</vt:lpwstr>
      </vt:variant>
      <vt:variant>
        <vt:i4>1966138</vt:i4>
      </vt:variant>
      <vt:variant>
        <vt:i4>716</vt:i4>
      </vt:variant>
      <vt:variant>
        <vt:i4>0</vt:i4>
      </vt:variant>
      <vt:variant>
        <vt:i4>5</vt:i4>
      </vt:variant>
      <vt:variant>
        <vt:lpwstr/>
      </vt:variant>
      <vt:variant>
        <vt:lpwstr>_Toc17798740</vt:lpwstr>
      </vt:variant>
      <vt:variant>
        <vt:i4>1507389</vt:i4>
      </vt:variant>
      <vt:variant>
        <vt:i4>710</vt:i4>
      </vt:variant>
      <vt:variant>
        <vt:i4>0</vt:i4>
      </vt:variant>
      <vt:variant>
        <vt:i4>5</vt:i4>
      </vt:variant>
      <vt:variant>
        <vt:lpwstr/>
      </vt:variant>
      <vt:variant>
        <vt:lpwstr>_Toc17798739</vt:lpwstr>
      </vt:variant>
      <vt:variant>
        <vt:i4>1441853</vt:i4>
      </vt:variant>
      <vt:variant>
        <vt:i4>704</vt:i4>
      </vt:variant>
      <vt:variant>
        <vt:i4>0</vt:i4>
      </vt:variant>
      <vt:variant>
        <vt:i4>5</vt:i4>
      </vt:variant>
      <vt:variant>
        <vt:lpwstr/>
      </vt:variant>
      <vt:variant>
        <vt:lpwstr>_Toc17798738</vt:lpwstr>
      </vt:variant>
      <vt:variant>
        <vt:i4>1638461</vt:i4>
      </vt:variant>
      <vt:variant>
        <vt:i4>698</vt:i4>
      </vt:variant>
      <vt:variant>
        <vt:i4>0</vt:i4>
      </vt:variant>
      <vt:variant>
        <vt:i4>5</vt:i4>
      </vt:variant>
      <vt:variant>
        <vt:lpwstr/>
      </vt:variant>
      <vt:variant>
        <vt:lpwstr>_Toc17798737</vt:lpwstr>
      </vt:variant>
      <vt:variant>
        <vt:i4>1572925</vt:i4>
      </vt:variant>
      <vt:variant>
        <vt:i4>692</vt:i4>
      </vt:variant>
      <vt:variant>
        <vt:i4>0</vt:i4>
      </vt:variant>
      <vt:variant>
        <vt:i4>5</vt:i4>
      </vt:variant>
      <vt:variant>
        <vt:lpwstr/>
      </vt:variant>
      <vt:variant>
        <vt:lpwstr>_Toc17798736</vt:lpwstr>
      </vt:variant>
      <vt:variant>
        <vt:i4>1769533</vt:i4>
      </vt:variant>
      <vt:variant>
        <vt:i4>686</vt:i4>
      </vt:variant>
      <vt:variant>
        <vt:i4>0</vt:i4>
      </vt:variant>
      <vt:variant>
        <vt:i4>5</vt:i4>
      </vt:variant>
      <vt:variant>
        <vt:lpwstr/>
      </vt:variant>
      <vt:variant>
        <vt:lpwstr>_Toc17798735</vt:lpwstr>
      </vt:variant>
      <vt:variant>
        <vt:i4>1900605</vt:i4>
      </vt:variant>
      <vt:variant>
        <vt:i4>680</vt:i4>
      </vt:variant>
      <vt:variant>
        <vt:i4>0</vt:i4>
      </vt:variant>
      <vt:variant>
        <vt:i4>5</vt:i4>
      </vt:variant>
      <vt:variant>
        <vt:lpwstr/>
      </vt:variant>
      <vt:variant>
        <vt:lpwstr>_Toc17798733</vt:lpwstr>
      </vt:variant>
      <vt:variant>
        <vt:i4>1835069</vt:i4>
      </vt:variant>
      <vt:variant>
        <vt:i4>674</vt:i4>
      </vt:variant>
      <vt:variant>
        <vt:i4>0</vt:i4>
      </vt:variant>
      <vt:variant>
        <vt:i4>5</vt:i4>
      </vt:variant>
      <vt:variant>
        <vt:lpwstr/>
      </vt:variant>
      <vt:variant>
        <vt:lpwstr>_Toc17798732</vt:lpwstr>
      </vt:variant>
      <vt:variant>
        <vt:i4>2031677</vt:i4>
      </vt:variant>
      <vt:variant>
        <vt:i4>668</vt:i4>
      </vt:variant>
      <vt:variant>
        <vt:i4>0</vt:i4>
      </vt:variant>
      <vt:variant>
        <vt:i4>5</vt:i4>
      </vt:variant>
      <vt:variant>
        <vt:lpwstr/>
      </vt:variant>
      <vt:variant>
        <vt:lpwstr>_Toc17798731</vt:lpwstr>
      </vt:variant>
      <vt:variant>
        <vt:i4>1966141</vt:i4>
      </vt:variant>
      <vt:variant>
        <vt:i4>662</vt:i4>
      </vt:variant>
      <vt:variant>
        <vt:i4>0</vt:i4>
      </vt:variant>
      <vt:variant>
        <vt:i4>5</vt:i4>
      </vt:variant>
      <vt:variant>
        <vt:lpwstr/>
      </vt:variant>
      <vt:variant>
        <vt:lpwstr>_Toc17798730</vt:lpwstr>
      </vt:variant>
      <vt:variant>
        <vt:i4>1507388</vt:i4>
      </vt:variant>
      <vt:variant>
        <vt:i4>656</vt:i4>
      </vt:variant>
      <vt:variant>
        <vt:i4>0</vt:i4>
      </vt:variant>
      <vt:variant>
        <vt:i4>5</vt:i4>
      </vt:variant>
      <vt:variant>
        <vt:lpwstr/>
      </vt:variant>
      <vt:variant>
        <vt:lpwstr>_Toc17798729</vt:lpwstr>
      </vt:variant>
      <vt:variant>
        <vt:i4>1441852</vt:i4>
      </vt:variant>
      <vt:variant>
        <vt:i4>650</vt:i4>
      </vt:variant>
      <vt:variant>
        <vt:i4>0</vt:i4>
      </vt:variant>
      <vt:variant>
        <vt:i4>5</vt:i4>
      </vt:variant>
      <vt:variant>
        <vt:lpwstr/>
      </vt:variant>
      <vt:variant>
        <vt:lpwstr>_Toc17798728</vt:lpwstr>
      </vt:variant>
      <vt:variant>
        <vt:i4>1638460</vt:i4>
      </vt:variant>
      <vt:variant>
        <vt:i4>644</vt:i4>
      </vt:variant>
      <vt:variant>
        <vt:i4>0</vt:i4>
      </vt:variant>
      <vt:variant>
        <vt:i4>5</vt:i4>
      </vt:variant>
      <vt:variant>
        <vt:lpwstr/>
      </vt:variant>
      <vt:variant>
        <vt:lpwstr>_Toc17798727</vt:lpwstr>
      </vt:variant>
      <vt:variant>
        <vt:i4>1572924</vt:i4>
      </vt:variant>
      <vt:variant>
        <vt:i4>638</vt:i4>
      </vt:variant>
      <vt:variant>
        <vt:i4>0</vt:i4>
      </vt:variant>
      <vt:variant>
        <vt:i4>5</vt:i4>
      </vt:variant>
      <vt:variant>
        <vt:lpwstr/>
      </vt:variant>
      <vt:variant>
        <vt:lpwstr>_Toc17798726</vt:lpwstr>
      </vt:variant>
      <vt:variant>
        <vt:i4>1769532</vt:i4>
      </vt:variant>
      <vt:variant>
        <vt:i4>632</vt:i4>
      </vt:variant>
      <vt:variant>
        <vt:i4>0</vt:i4>
      </vt:variant>
      <vt:variant>
        <vt:i4>5</vt:i4>
      </vt:variant>
      <vt:variant>
        <vt:lpwstr/>
      </vt:variant>
      <vt:variant>
        <vt:lpwstr>_Toc17798725</vt:lpwstr>
      </vt:variant>
      <vt:variant>
        <vt:i4>1703996</vt:i4>
      </vt:variant>
      <vt:variant>
        <vt:i4>626</vt:i4>
      </vt:variant>
      <vt:variant>
        <vt:i4>0</vt:i4>
      </vt:variant>
      <vt:variant>
        <vt:i4>5</vt:i4>
      </vt:variant>
      <vt:variant>
        <vt:lpwstr/>
      </vt:variant>
      <vt:variant>
        <vt:lpwstr>_Toc17798724</vt:lpwstr>
      </vt:variant>
      <vt:variant>
        <vt:i4>1900604</vt:i4>
      </vt:variant>
      <vt:variant>
        <vt:i4>620</vt:i4>
      </vt:variant>
      <vt:variant>
        <vt:i4>0</vt:i4>
      </vt:variant>
      <vt:variant>
        <vt:i4>5</vt:i4>
      </vt:variant>
      <vt:variant>
        <vt:lpwstr/>
      </vt:variant>
      <vt:variant>
        <vt:lpwstr>_Toc17798723</vt:lpwstr>
      </vt:variant>
      <vt:variant>
        <vt:i4>1835068</vt:i4>
      </vt:variant>
      <vt:variant>
        <vt:i4>614</vt:i4>
      </vt:variant>
      <vt:variant>
        <vt:i4>0</vt:i4>
      </vt:variant>
      <vt:variant>
        <vt:i4>5</vt:i4>
      </vt:variant>
      <vt:variant>
        <vt:lpwstr/>
      </vt:variant>
      <vt:variant>
        <vt:lpwstr>_Toc17798722</vt:lpwstr>
      </vt:variant>
      <vt:variant>
        <vt:i4>2031676</vt:i4>
      </vt:variant>
      <vt:variant>
        <vt:i4>608</vt:i4>
      </vt:variant>
      <vt:variant>
        <vt:i4>0</vt:i4>
      </vt:variant>
      <vt:variant>
        <vt:i4>5</vt:i4>
      </vt:variant>
      <vt:variant>
        <vt:lpwstr/>
      </vt:variant>
      <vt:variant>
        <vt:lpwstr>_Toc17798721</vt:lpwstr>
      </vt:variant>
      <vt:variant>
        <vt:i4>1966140</vt:i4>
      </vt:variant>
      <vt:variant>
        <vt:i4>602</vt:i4>
      </vt:variant>
      <vt:variant>
        <vt:i4>0</vt:i4>
      </vt:variant>
      <vt:variant>
        <vt:i4>5</vt:i4>
      </vt:variant>
      <vt:variant>
        <vt:lpwstr/>
      </vt:variant>
      <vt:variant>
        <vt:lpwstr>_Toc17798720</vt:lpwstr>
      </vt:variant>
      <vt:variant>
        <vt:i4>1507391</vt:i4>
      </vt:variant>
      <vt:variant>
        <vt:i4>596</vt:i4>
      </vt:variant>
      <vt:variant>
        <vt:i4>0</vt:i4>
      </vt:variant>
      <vt:variant>
        <vt:i4>5</vt:i4>
      </vt:variant>
      <vt:variant>
        <vt:lpwstr/>
      </vt:variant>
      <vt:variant>
        <vt:lpwstr>_Toc17798719</vt:lpwstr>
      </vt:variant>
      <vt:variant>
        <vt:i4>1441855</vt:i4>
      </vt:variant>
      <vt:variant>
        <vt:i4>590</vt:i4>
      </vt:variant>
      <vt:variant>
        <vt:i4>0</vt:i4>
      </vt:variant>
      <vt:variant>
        <vt:i4>5</vt:i4>
      </vt:variant>
      <vt:variant>
        <vt:lpwstr/>
      </vt:variant>
      <vt:variant>
        <vt:lpwstr>_Toc17798718</vt:lpwstr>
      </vt:variant>
      <vt:variant>
        <vt:i4>1638463</vt:i4>
      </vt:variant>
      <vt:variant>
        <vt:i4>584</vt:i4>
      </vt:variant>
      <vt:variant>
        <vt:i4>0</vt:i4>
      </vt:variant>
      <vt:variant>
        <vt:i4>5</vt:i4>
      </vt:variant>
      <vt:variant>
        <vt:lpwstr/>
      </vt:variant>
      <vt:variant>
        <vt:lpwstr>_Toc17798717</vt:lpwstr>
      </vt:variant>
      <vt:variant>
        <vt:i4>1572927</vt:i4>
      </vt:variant>
      <vt:variant>
        <vt:i4>578</vt:i4>
      </vt:variant>
      <vt:variant>
        <vt:i4>0</vt:i4>
      </vt:variant>
      <vt:variant>
        <vt:i4>5</vt:i4>
      </vt:variant>
      <vt:variant>
        <vt:lpwstr/>
      </vt:variant>
      <vt:variant>
        <vt:lpwstr>_Toc17798716</vt:lpwstr>
      </vt:variant>
      <vt:variant>
        <vt:i4>1769535</vt:i4>
      </vt:variant>
      <vt:variant>
        <vt:i4>572</vt:i4>
      </vt:variant>
      <vt:variant>
        <vt:i4>0</vt:i4>
      </vt:variant>
      <vt:variant>
        <vt:i4>5</vt:i4>
      </vt:variant>
      <vt:variant>
        <vt:lpwstr/>
      </vt:variant>
      <vt:variant>
        <vt:lpwstr>_Toc17798715</vt:lpwstr>
      </vt:variant>
      <vt:variant>
        <vt:i4>1703999</vt:i4>
      </vt:variant>
      <vt:variant>
        <vt:i4>566</vt:i4>
      </vt:variant>
      <vt:variant>
        <vt:i4>0</vt:i4>
      </vt:variant>
      <vt:variant>
        <vt:i4>5</vt:i4>
      </vt:variant>
      <vt:variant>
        <vt:lpwstr/>
      </vt:variant>
      <vt:variant>
        <vt:lpwstr>_Toc17798714</vt:lpwstr>
      </vt:variant>
      <vt:variant>
        <vt:i4>1900607</vt:i4>
      </vt:variant>
      <vt:variant>
        <vt:i4>560</vt:i4>
      </vt:variant>
      <vt:variant>
        <vt:i4>0</vt:i4>
      </vt:variant>
      <vt:variant>
        <vt:i4>5</vt:i4>
      </vt:variant>
      <vt:variant>
        <vt:lpwstr/>
      </vt:variant>
      <vt:variant>
        <vt:lpwstr>_Toc17798713</vt:lpwstr>
      </vt:variant>
      <vt:variant>
        <vt:i4>1835071</vt:i4>
      </vt:variant>
      <vt:variant>
        <vt:i4>554</vt:i4>
      </vt:variant>
      <vt:variant>
        <vt:i4>0</vt:i4>
      </vt:variant>
      <vt:variant>
        <vt:i4>5</vt:i4>
      </vt:variant>
      <vt:variant>
        <vt:lpwstr/>
      </vt:variant>
      <vt:variant>
        <vt:lpwstr>_Toc17798712</vt:lpwstr>
      </vt:variant>
      <vt:variant>
        <vt:i4>2031679</vt:i4>
      </vt:variant>
      <vt:variant>
        <vt:i4>548</vt:i4>
      </vt:variant>
      <vt:variant>
        <vt:i4>0</vt:i4>
      </vt:variant>
      <vt:variant>
        <vt:i4>5</vt:i4>
      </vt:variant>
      <vt:variant>
        <vt:lpwstr/>
      </vt:variant>
      <vt:variant>
        <vt:lpwstr>_Toc17798711</vt:lpwstr>
      </vt:variant>
      <vt:variant>
        <vt:i4>1966143</vt:i4>
      </vt:variant>
      <vt:variant>
        <vt:i4>542</vt:i4>
      </vt:variant>
      <vt:variant>
        <vt:i4>0</vt:i4>
      </vt:variant>
      <vt:variant>
        <vt:i4>5</vt:i4>
      </vt:variant>
      <vt:variant>
        <vt:lpwstr/>
      </vt:variant>
      <vt:variant>
        <vt:lpwstr>_Toc17798710</vt:lpwstr>
      </vt:variant>
      <vt:variant>
        <vt:i4>1507390</vt:i4>
      </vt:variant>
      <vt:variant>
        <vt:i4>536</vt:i4>
      </vt:variant>
      <vt:variant>
        <vt:i4>0</vt:i4>
      </vt:variant>
      <vt:variant>
        <vt:i4>5</vt:i4>
      </vt:variant>
      <vt:variant>
        <vt:lpwstr/>
      </vt:variant>
      <vt:variant>
        <vt:lpwstr>_Toc17798709</vt:lpwstr>
      </vt:variant>
      <vt:variant>
        <vt:i4>1441854</vt:i4>
      </vt:variant>
      <vt:variant>
        <vt:i4>530</vt:i4>
      </vt:variant>
      <vt:variant>
        <vt:i4>0</vt:i4>
      </vt:variant>
      <vt:variant>
        <vt:i4>5</vt:i4>
      </vt:variant>
      <vt:variant>
        <vt:lpwstr/>
      </vt:variant>
      <vt:variant>
        <vt:lpwstr>_Toc17798708</vt:lpwstr>
      </vt:variant>
      <vt:variant>
        <vt:i4>1638462</vt:i4>
      </vt:variant>
      <vt:variant>
        <vt:i4>524</vt:i4>
      </vt:variant>
      <vt:variant>
        <vt:i4>0</vt:i4>
      </vt:variant>
      <vt:variant>
        <vt:i4>5</vt:i4>
      </vt:variant>
      <vt:variant>
        <vt:lpwstr/>
      </vt:variant>
      <vt:variant>
        <vt:lpwstr>_Toc17798707</vt:lpwstr>
      </vt:variant>
      <vt:variant>
        <vt:i4>1572926</vt:i4>
      </vt:variant>
      <vt:variant>
        <vt:i4>518</vt:i4>
      </vt:variant>
      <vt:variant>
        <vt:i4>0</vt:i4>
      </vt:variant>
      <vt:variant>
        <vt:i4>5</vt:i4>
      </vt:variant>
      <vt:variant>
        <vt:lpwstr/>
      </vt:variant>
      <vt:variant>
        <vt:lpwstr>_Toc17798706</vt:lpwstr>
      </vt:variant>
      <vt:variant>
        <vt:i4>1769534</vt:i4>
      </vt:variant>
      <vt:variant>
        <vt:i4>512</vt:i4>
      </vt:variant>
      <vt:variant>
        <vt:i4>0</vt:i4>
      </vt:variant>
      <vt:variant>
        <vt:i4>5</vt:i4>
      </vt:variant>
      <vt:variant>
        <vt:lpwstr/>
      </vt:variant>
      <vt:variant>
        <vt:lpwstr>_Toc17798705</vt:lpwstr>
      </vt:variant>
      <vt:variant>
        <vt:i4>1703998</vt:i4>
      </vt:variant>
      <vt:variant>
        <vt:i4>506</vt:i4>
      </vt:variant>
      <vt:variant>
        <vt:i4>0</vt:i4>
      </vt:variant>
      <vt:variant>
        <vt:i4>5</vt:i4>
      </vt:variant>
      <vt:variant>
        <vt:lpwstr/>
      </vt:variant>
      <vt:variant>
        <vt:lpwstr>_Toc17798704</vt:lpwstr>
      </vt:variant>
      <vt:variant>
        <vt:i4>1900606</vt:i4>
      </vt:variant>
      <vt:variant>
        <vt:i4>500</vt:i4>
      </vt:variant>
      <vt:variant>
        <vt:i4>0</vt:i4>
      </vt:variant>
      <vt:variant>
        <vt:i4>5</vt:i4>
      </vt:variant>
      <vt:variant>
        <vt:lpwstr/>
      </vt:variant>
      <vt:variant>
        <vt:lpwstr>_Toc17798703</vt:lpwstr>
      </vt:variant>
      <vt:variant>
        <vt:i4>1835070</vt:i4>
      </vt:variant>
      <vt:variant>
        <vt:i4>494</vt:i4>
      </vt:variant>
      <vt:variant>
        <vt:i4>0</vt:i4>
      </vt:variant>
      <vt:variant>
        <vt:i4>5</vt:i4>
      </vt:variant>
      <vt:variant>
        <vt:lpwstr/>
      </vt:variant>
      <vt:variant>
        <vt:lpwstr>_Toc17798702</vt:lpwstr>
      </vt:variant>
      <vt:variant>
        <vt:i4>2031678</vt:i4>
      </vt:variant>
      <vt:variant>
        <vt:i4>488</vt:i4>
      </vt:variant>
      <vt:variant>
        <vt:i4>0</vt:i4>
      </vt:variant>
      <vt:variant>
        <vt:i4>5</vt:i4>
      </vt:variant>
      <vt:variant>
        <vt:lpwstr/>
      </vt:variant>
      <vt:variant>
        <vt:lpwstr>_Toc17798701</vt:lpwstr>
      </vt:variant>
      <vt:variant>
        <vt:i4>1966142</vt:i4>
      </vt:variant>
      <vt:variant>
        <vt:i4>482</vt:i4>
      </vt:variant>
      <vt:variant>
        <vt:i4>0</vt:i4>
      </vt:variant>
      <vt:variant>
        <vt:i4>5</vt:i4>
      </vt:variant>
      <vt:variant>
        <vt:lpwstr/>
      </vt:variant>
      <vt:variant>
        <vt:lpwstr>_Toc17798700</vt:lpwstr>
      </vt:variant>
      <vt:variant>
        <vt:i4>1441847</vt:i4>
      </vt:variant>
      <vt:variant>
        <vt:i4>476</vt:i4>
      </vt:variant>
      <vt:variant>
        <vt:i4>0</vt:i4>
      </vt:variant>
      <vt:variant>
        <vt:i4>5</vt:i4>
      </vt:variant>
      <vt:variant>
        <vt:lpwstr/>
      </vt:variant>
      <vt:variant>
        <vt:lpwstr>_Toc17798699</vt:lpwstr>
      </vt:variant>
      <vt:variant>
        <vt:i4>1507383</vt:i4>
      </vt:variant>
      <vt:variant>
        <vt:i4>470</vt:i4>
      </vt:variant>
      <vt:variant>
        <vt:i4>0</vt:i4>
      </vt:variant>
      <vt:variant>
        <vt:i4>5</vt:i4>
      </vt:variant>
      <vt:variant>
        <vt:lpwstr/>
      </vt:variant>
      <vt:variant>
        <vt:lpwstr>_Toc17798698</vt:lpwstr>
      </vt:variant>
      <vt:variant>
        <vt:i4>1572919</vt:i4>
      </vt:variant>
      <vt:variant>
        <vt:i4>464</vt:i4>
      </vt:variant>
      <vt:variant>
        <vt:i4>0</vt:i4>
      </vt:variant>
      <vt:variant>
        <vt:i4>5</vt:i4>
      </vt:variant>
      <vt:variant>
        <vt:lpwstr/>
      </vt:variant>
      <vt:variant>
        <vt:lpwstr>_Toc17798697</vt:lpwstr>
      </vt:variant>
      <vt:variant>
        <vt:i4>1638455</vt:i4>
      </vt:variant>
      <vt:variant>
        <vt:i4>458</vt:i4>
      </vt:variant>
      <vt:variant>
        <vt:i4>0</vt:i4>
      </vt:variant>
      <vt:variant>
        <vt:i4>5</vt:i4>
      </vt:variant>
      <vt:variant>
        <vt:lpwstr/>
      </vt:variant>
      <vt:variant>
        <vt:lpwstr>_Toc17798696</vt:lpwstr>
      </vt:variant>
      <vt:variant>
        <vt:i4>1703991</vt:i4>
      </vt:variant>
      <vt:variant>
        <vt:i4>452</vt:i4>
      </vt:variant>
      <vt:variant>
        <vt:i4>0</vt:i4>
      </vt:variant>
      <vt:variant>
        <vt:i4>5</vt:i4>
      </vt:variant>
      <vt:variant>
        <vt:lpwstr/>
      </vt:variant>
      <vt:variant>
        <vt:lpwstr>_Toc17798695</vt:lpwstr>
      </vt:variant>
      <vt:variant>
        <vt:i4>1769527</vt:i4>
      </vt:variant>
      <vt:variant>
        <vt:i4>446</vt:i4>
      </vt:variant>
      <vt:variant>
        <vt:i4>0</vt:i4>
      </vt:variant>
      <vt:variant>
        <vt:i4>5</vt:i4>
      </vt:variant>
      <vt:variant>
        <vt:lpwstr/>
      </vt:variant>
      <vt:variant>
        <vt:lpwstr>_Toc17798694</vt:lpwstr>
      </vt:variant>
      <vt:variant>
        <vt:i4>1835063</vt:i4>
      </vt:variant>
      <vt:variant>
        <vt:i4>440</vt:i4>
      </vt:variant>
      <vt:variant>
        <vt:i4>0</vt:i4>
      </vt:variant>
      <vt:variant>
        <vt:i4>5</vt:i4>
      </vt:variant>
      <vt:variant>
        <vt:lpwstr/>
      </vt:variant>
      <vt:variant>
        <vt:lpwstr>_Toc17798693</vt:lpwstr>
      </vt:variant>
      <vt:variant>
        <vt:i4>1900599</vt:i4>
      </vt:variant>
      <vt:variant>
        <vt:i4>434</vt:i4>
      </vt:variant>
      <vt:variant>
        <vt:i4>0</vt:i4>
      </vt:variant>
      <vt:variant>
        <vt:i4>5</vt:i4>
      </vt:variant>
      <vt:variant>
        <vt:lpwstr/>
      </vt:variant>
      <vt:variant>
        <vt:lpwstr>_Toc17798692</vt:lpwstr>
      </vt:variant>
      <vt:variant>
        <vt:i4>1966135</vt:i4>
      </vt:variant>
      <vt:variant>
        <vt:i4>428</vt:i4>
      </vt:variant>
      <vt:variant>
        <vt:i4>0</vt:i4>
      </vt:variant>
      <vt:variant>
        <vt:i4>5</vt:i4>
      </vt:variant>
      <vt:variant>
        <vt:lpwstr/>
      </vt:variant>
      <vt:variant>
        <vt:lpwstr>_Toc17798691</vt:lpwstr>
      </vt:variant>
      <vt:variant>
        <vt:i4>2031671</vt:i4>
      </vt:variant>
      <vt:variant>
        <vt:i4>422</vt:i4>
      </vt:variant>
      <vt:variant>
        <vt:i4>0</vt:i4>
      </vt:variant>
      <vt:variant>
        <vt:i4>5</vt:i4>
      </vt:variant>
      <vt:variant>
        <vt:lpwstr/>
      </vt:variant>
      <vt:variant>
        <vt:lpwstr>_Toc17798690</vt:lpwstr>
      </vt:variant>
      <vt:variant>
        <vt:i4>1441846</vt:i4>
      </vt:variant>
      <vt:variant>
        <vt:i4>416</vt:i4>
      </vt:variant>
      <vt:variant>
        <vt:i4>0</vt:i4>
      </vt:variant>
      <vt:variant>
        <vt:i4>5</vt:i4>
      </vt:variant>
      <vt:variant>
        <vt:lpwstr/>
      </vt:variant>
      <vt:variant>
        <vt:lpwstr>_Toc17798689</vt:lpwstr>
      </vt:variant>
      <vt:variant>
        <vt:i4>1507382</vt:i4>
      </vt:variant>
      <vt:variant>
        <vt:i4>410</vt:i4>
      </vt:variant>
      <vt:variant>
        <vt:i4>0</vt:i4>
      </vt:variant>
      <vt:variant>
        <vt:i4>5</vt:i4>
      </vt:variant>
      <vt:variant>
        <vt:lpwstr/>
      </vt:variant>
      <vt:variant>
        <vt:lpwstr>_Toc17798688</vt:lpwstr>
      </vt:variant>
      <vt:variant>
        <vt:i4>1572918</vt:i4>
      </vt:variant>
      <vt:variant>
        <vt:i4>404</vt:i4>
      </vt:variant>
      <vt:variant>
        <vt:i4>0</vt:i4>
      </vt:variant>
      <vt:variant>
        <vt:i4>5</vt:i4>
      </vt:variant>
      <vt:variant>
        <vt:lpwstr/>
      </vt:variant>
      <vt:variant>
        <vt:lpwstr>_Toc17798687</vt:lpwstr>
      </vt:variant>
      <vt:variant>
        <vt:i4>1638454</vt:i4>
      </vt:variant>
      <vt:variant>
        <vt:i4>398</vt:i4>
      </vt:variant>
      <vt:variant>
        <vt:i4>0</vt:i4>
      </vt:variant>
      <vt:variant>
        <vt:i4>5</vt:i4>
      </vt:variant>
      <vt:variant>
        <vt:lpwstr/>
      </vt:variant>
      <vt:variant>
        <vt:lpwstr>_Toc17798686</vt:lpwstr>
      </vt:variant>
      <vt:variant>
        <vt:i4>1703990</vt:i4>
      </vt:variant>
      <vt:variant>
        <vt:i4>392</vt:i4>
      </vt:variant>
      <vt:variant>
        <vt:i4>0</vt:i4>
      </vt:variant>
      <vt:variant>
        <vt:i4>5</vt:i4>
      </vt:variant>
      <vt:variant>
        <vt:lpwstr/>
      </vt:variant>
      <vt:variant>
        <vt:lpwstr>_Toc17798685</vt:lpwstr>
      </vt:variant>
      <vt:variant>
        <vt:i4>1769526</vt:i4>
      </vt:variant>
      <vt:variant>
        <vt:i4>386</vt:i4>
      </vt:variant>
      <vt:variant>
        <vt:i4>0</vt:i4>
      </vt:variant>
      <vt:variant>
        <vt:i4>5</vt:i4>
      </vt:variant>
      <vt:variant>
        <vt:lpwstr/>
      </vt:variant>
      <vt:variant>
        <vt:lpwstr>_Toc17798684</vt:lpwstr>
      </vt:variant>
      <vt:variant>
        <vt:i4>1835062</vt:i4>
      </vt:variant>
      <vt:variant>
        <vt:i4>380</vt:i4>
      </vt:variant>
      <vt:variant>
        <vt:i4>0</vt:i4>
      </vt:variant>
      <vt:variant>
        <vt:i4>5</vt:i4>
      </vt:variant>
      <vt:variant>
        <vt:lpwstr/>
      </vt:variant>
      <vt:variant>
        <vt:lpwstr>_Toc17798683</vt:lpwstr>
      </vt:variant>
      <vt:variant>
        <vt:i4>1900598</vt:i4>
      </vt:variant>
      <vt:variant>
        <vt:i4>374</vt:i4>
      </vt:variant>
      <vt:variant>
        <vt:i4>0</vt:i4>
      </vt:variant>
      <vt:variant>
        <vt:i4>5</vt:i4>
      </vt:variant>
      <vt:variant>
        <vt:lpwstr/>
      </vt:variant>
      <vt:variant>
        <vt:lpwstr>_Toc17798682</vt:lpwstr>
      </vt:variant>
      <vt:variant>
        <vt:i4>1966134</vt:i4>
      </vt:variant>
      <vt:variant>
        <vt:i4>368</vt:i4>
      </vt:variant>
      <vt:variant>
        <vt:i4>0</vt:i4>
      </vt:variant>
      <vt:variant>
        <vt:i4>5</vt:i4>
      </vt:variant>
      <vt:variant>
        <vt:lpwstr/>
      </vt:variant>
      <vt:variant>
        <vt:lpwstr>_Toc17798681</vt:lpwstr>
      </vt:variant>
      <vt:variant>
        <vt:i4>2031670</vt:i4>
      </vt:variant>
      <vt:variant>
        <vt:i4>362</vt:i4>
      </vt:variant>
      <vt:variant>
        <vt:i4>0</vt:i4>
      </vt:variant>
      <vt:variant>
        <vt:i4>5</vt:i4>
      </vt:variant>
      <vt:variant>
        <vt:lpwstr/>
      </vt:variant>
      <vt:variant>
        <vt:lpwstr>_Toc17798680</vt:lpwstr>
      </vt:variant>
      <vt:variant>
        <vt:i4>1441849</vt:i4>
      </vt:variant>
      <vt:variant>
        <vt:i4>356</vt:i4>
      </vt:variant>
      <vt:variant>
        <vt:i4>0</vt:i4>
      </vt:variant>
      <vt:variant>
        <vt:i4>5</vt:i4>
      </vt:variant>
      <vt:variant>
        <vt:lpwstr/>
      </vt:variant>
      <vt:variant>
        <vt:lpwstr>_Toc17798679</vt:lpwstr>
      </vt:variant>
      <vt:variant>
        <vt:i4>1507385</vt:i4>
      </vt:variant>
      <vt:variant>
        <vt:i4>350</vt:i4>
      </vt:variant>
      <vt:variant>
        <vt:i4>0</vt:i4>
      </vt:variant>
      <vt:variant>
        <vt:i4>5</vt:i4>
      </vt:variant>
      <vt:variant>
        <vt:lpwstr/>
      </vt:variant>
      <vt:variant>
        <vt:lpwstr>_Toc17798678</vt:lpwstr>
      </vt:variant>
      <vt:variant>
        <vt:i4>1572921</vt:i4>
      </vt:variant>
      <vt:variant>
        <vt:i4>344</vt:i4>
      </vt:variant>
      <vt:variant>
        <vt:i4>0</vt:i4>
      </vt:variant>
      <vt:variant>
        <vt:i4>5</vt:i4>
      </vt:variant>
      <vt:variant>
        <vt:lpwstr/>
      </vt:variant>
      <vt:variant>
        <vt:lpwstr>_Toc17798677</vt:lpwstr>
      </vt:variant>
      <vt:variant>
        <vt:i4>1638457</vt:i4>
      </vt:variant>
      <vt:variant>
        <vt:i4>338</vt:i4>
      </vt:variant>
      <vt:variant>
        <vt:i4>0</vt:i4>
      </vt:variant>
      <vt:variant>
        <vt:i4>5</vt:i4>
      </vt:variant>
      <vt:variant>
        <vt:lpwstr/>
      </vt:variant>
      <vt:variant>
        <vt:lpwstr>_Toc17798676</vt:lpwstr>
      </vt:variant>
      <vt:variant>
        <vt:i4>1703993</vt:i4>
      </vt:variant>
      <vt:variant>
        <vt:i4>332</vt:i4>
      </vt:variant>
      <vt:variant>
        <vt:i4>0</vt:i4>
      </vt:variant>
      <vt:variant>
        <vt:i4>5</vt:i4>
      </vt:variant>
      <vt:variant>
        <vt:lpwstr/>
      </vt:variant>
      <vt:variant>
        <vt:lpwstr>_Toc17798675</vt:lpwstr>
      </vt:variant>
      <vt:variant>
        <vt:i4>1769529</vt:i4>
      </vt:variant>
      <vt:variant>
        <vt:i4>326</vt:i4>
      </vt:variant>
      <vt:variant>
        <vt:i4>0</vt:i4>
      </vt:variant>
      <vt:variant>
        <vt:i4>5</vt:i4>
      </vt:variant>
      <vt:variant>
        <vt:lpwstr/>
      </vt:variant>
      <vt:variant>
        <vt:lpwstr>_Toc17798674</vt:lpwstr>
      </vt:variant>
      <vt:variant>
        <vt:i4>1835065</vt:i4>
      </vt:variant>
      <vt:variant>
        <vt:i4>320</vt:i4>
      </vt:variant>
      <vt:variant>
        <vt:i4>0</vt:i4>
      </vt:variant>
      <vt:variant>
        <vt:i4>5</vt:i4>
      </vt:variant>
      <vt:variant>
        <vt:lpwstr/>
      </vt:variant>
      <vt:variant>
        <vt:lpwstr>_Toc17798673</vt:lpwstr>
      </vt:variant>
      <vt:variant>
        <vt:i4>1900601</vt:i4>
      </vt:variant>
      <vt:variant>
        <vt:i4>314</vt:i4>
      </vt:variant>
      <vt:variant>
        <vt:i4>0</vt:i4>
      </vt:variant>
      <vt:variant>
        <vt:i4>5</vt:i4>
      </vt:variant>
      <vt:variant>
        <vt:lpwstr/>
      </vt:variant>
      <vt:variant>
        <vt:lpwstr>_Toc17798672</vt:lpwstr>
      </vt:variant>
      <vt:variant>
        <vt:i4>1966137</vt:i4>
      </vt:variant>
      <vt:variant>
        <vt:i4>308</vt:i4>
      </vt:variant>
      <vt:variant>
        <vt:i4>0</vt:i4>
      </vt:variant>
      <vt:variant>
        <vt:i4>5</vt:i4>
      </vt:variant>
      <vt:variant>
        <vt:lpwstr/>
      </vt:variant>
      <vt:variant>
        <vt:lpwstr>_Toc17798671</vt:lpwstr>
      </vt:variant>
      <vt:variant>
        <vt:i4>2031673</vt:i4>
      </vt:variant>
      <vt:variant>
        <vt:i4>302</vt:i4>
      </vt:variant>
      <vt:variant>
        <vt:i4>0</vt:i4>
      </vt:variant>
      <vt:variant>
        <vt:i4>5</vt:i4>
      </vt:variant>
      <vt:variant>
        <vt:lpwstr/>
      </vt:variant>
      <vt:variant>
        <vt:lpwstr>_Toc17798670</vt:lpwstr>
      </vt:variant>
      <vt:variant>
        <vt:i4>1441848</vt:i4>
      </vt:variant>
      <vt:variant>
        <vt:i4>296</vt:i4>
      </vt:variant>
      <vt:variant>
        <vt:i4>0</vt:i4>
      </vt:variant>
      <vt:variant>
        <vt:i4>5</vt:i4>
      </vt:variant>
      <vt:variant>
        <vt:lpwstr/>
      </vt:variant>
      <vt:variant>
        <vt:lpwstr>_Toc17798669</vt:lpwstr>
      </vt:variant>
      <vt:variant>
        <vt:i4>1507384</vt:i4>
      </vt:variant>
      <vt:variant>
        <vt:i4>290</vt:i4>
      </vt:variant>
      <vt:variant>
        <vt:i4>0</vt:i4>
      </vt:variant>
      <vt:variant>
        <vt:i4>5</vt:i4>
      </vt:variant>
      <vt:variant>
        <vt:lpwstr/>
      </vt:variant>
      <vt:variant>
        <vt:lpwstr>_Toc17798668</vt:lpwstr>
      </vt:variant>
      <vt:variant>
        <vt:i4>1572920</vt:i4>
      </vt:variant>
      <vt:variant>
        <vt:i4>284</vt:i4>
      </vt:variant>
      <vt:variant>
        <vt:i4>0</vt:i4>
      </vt:variant>
      <vt:variant>
        <vt:i4>5</vt:i4>
      </vt:variant>
      <vt:variant>
        <vt:lpwstr/>
      </vt:variant>
      <vt:variant>
        <vt:lpwstr>_Toc17798667</vt:lpwstr>
      </vt:variant>
      <vt:variant>
        <vt:i4>1638456</vt:i4>
      </vt:variant>
      <vt:variant>
        <vt:i4>278</vt:i4>
      </vt:variant>
      <vt:variant>
        <vt:i4>0</vt:i4>
      </vt:variant>
      <vt:variant>
        <vt:i4>5</vt:i4>
      </vt:variant>
      <vt:variant>
        <vt:lpwstr/>
      </vt:variant>
      <vt:variant>
        <vt:lpwstr>_Toc17798666</vt:lpwstr>
      </vt:variant>
      <vt:variant>
        <vt:i4>1703992</vt:i4>
      </vt:variant>
      <vt:variant>
        <vt:i4>272</vt:i4>
      </vt:variant>
      <vt:variant>
        <vt:i4>0</vt:i4>
      </vt:variant>
      <vt:variant>
        <vt:i4>5</vt:i4>
      </vt:variant>
      <vt:variant>
        <vt:lpwstr/>
      </vt:variant>
      <vt:variant>
        <vt:lpwstr>_Toc17798665</vt:lpwstr>
      </vt:variant>
      <vt:variant>
        <vt:i4>1769528</vt:i4>
      </vt:variant>
      <vt:variant>
        <vt:i4>266</vt:i4>
      </vt:variant>
      <vt:variant>
        <vt:i4>0</vt:i4>
      </vt:variant>
      <vt:variant>
        <vt:i4>5</vt:i4>
      </vt:variant>
      <vt:variant>
        <vt:lpwstr/>
      </vt:variant>
      <vt:variant>
        <vt:lpwstr>_Toc17798664</vt:lpwstr>
      </vt:variant>
      <vt:variant>
        <vt:i4>1835064</vt:i4>
      </vt:variant>
      <vt:variant>
        <vt:i4>260</vt:i4>
      </vt:variant>
      <vt:variant>
        <vt:i4>0</vt:i4>
      </vt:variant>
      <vt:variant>
        <vt:i4>5</vt:i4>
      </vt:variant>
      <vt:variant>
        <vt:lpwstr/>
      </vt:variant>
      <vt:variant>
        <vt:lpwstr>_Toc17798663</vt:lpwstr>
      </vt:variant>
      <vt:variant>
        <vt:i4>1900600</vt:i4>
      </vt:variant>
      <vt:variant>
        <vt:i4>254</vt:i4>
      </vt:variant>
      <vt:variant>
        <vt:i4>0</vt:i4>
      </vt:variant>
      <vt:variant>
        <vt:i4>5</vt:i4>
      </vt:variant>
      <vt:variant>
        <vt:lpwstr/>
      </vt:variant>
      <vt:variant>
        <vt:lpwstr>_Toc17798662</vt:lpwstr>
      </vt:variant>
      <vt:variant>
        <vt:i4>1966136</vt:i4>
      </vt:variant>
      <vt:variant>
        <vt:i4>248</vt:i4>
      </vt:variant>
      <vt:variant>
        <vt:i4>0</vt:i4>
      </vt:variant>
      <vt:variant>
        <vt:i4>5</vt:i4>
      </vt:variant>
      <vt:variant>
        <vt:lpwstr/>
      </vt:variant>
      <vt:variant>
        <vt:lpwstr>_Toc17798661</vt:lpwstr>
      </vt:variant>
      <vt:variant>
        <vt:i4>2031672</vt:i4>
      </vt:variant>
      <vt:variant>
        <vt:i4>242</vt:i4>
      </vt:variant>
      <vt:variant>
        <vt:i4>0</vt:i4>
      </vt:variant>
      <vt:variant>
        <vt:i4>5</vt:i4>
      </vt:variant>
      <vt:variant>
        <vt:lpwstr/>
      </vt:variant>
      <vt:variant>
        <vt:lpwstr>_Toc17798660</vt:lpwstr>
      </vt:variant>
      <vt:variant>
        <vt:i4>1441851</vt:i4>
      </vt:variant>
      <vt:variant>
        <vt:i4>236</vt:i4>
      </vt:variant>
      <vt:variant>
        <vt:i4>0</vt:i4>
      </vt:variant>
      <vt:variant>
        <vt:i4>5</vt:i4>
      </vt:variant>
      <vt:variant>
        <vt:lpwstr/>
      </vt:variant>
      <vt:variant>
        <vt:lpwstr>_Toc17798659</vt:lpwstr>
      </vt:variant>
      <vt:variant>
        <vt:i4>1507387</vt:i4>
      </vt:variant>
      <vt:variant>
        <vt:i4>230</vt:i4>
      </vt:variant>
      <vt:variant>
        <vt:i4>0</vt:i4>
      </vt:variant>
      <vt:variant>
        <vt:i4>5</vt:i4>
      </vt:variant>
      <vt:variant>
        <vt:lpwstr/>
      </vt:variant>
      <vt:variant>
        <vt:lpwstr>_Toc17798658</vt:lpwstr>
      </vt:variant>
      <vt:variant>
        <vt:i4>1572923</vt:i4>
      </vt:variant>
      <vt:variant>
        <vt:i4>224</vt:i4>
      </vt:variant>
      <vt:variant>
        <vt:i4>0</vt:i4>
      </vt:variant>
      <vt:variant>
        <vt:i4>5</vt:i4>
      </vt:variant>
      <vt:variant>
        <vt:lpwstr/>
      </vt:variant>
      <vt:variant>
        <vt:lpwstr>_Toc17798657</vt:lpwstr>
      </vt:variant>
      <vt:variant>
        <vt:i4>1638459</vt:i4>
      </vt:variant>
      <vt:variant>
        <vt:i4>218</vt:i4>
      </vt:variant>
      <vt:variant>
        <vt:i4>0</vt:i4>
      </vt:variant>
      <vt:variant>
        <vt:i4>5</vt:i4>
      </vt:variant>
      <vt:variant>
        <vt:lpwstr/>
      </vt:variant>
      <vt:variant>
        <vt:lpwstr>_Toc17798656</vt:lpwstr>
      </vt:variant>
      <vt:variant>
        <vt:i4>1703995</vt:i4>
      </vt:variant>
      <vt:variant>
        <vt:i4>212</vt:i4>
      </vt:variant>
      <vt:variant>
        <vt:i4>0</vt:i4>
      </vt:variant>
      <vt:variant>
        <vt:i4>5</vt:i4>
      </vt:variant>
      <vt:variant>
        <vt:lpwstr/>
      </vt:variant>
      <vt:variant>
        <vt:lpwstr>_Toc17798655</vt:lpwstr>
      </vt:variant>
      <vt:variant>
        <vt:i4>1769531</vt:i4>
      </vt:variant>
      <vt:variant>
        <vt:i4>206</vt:i4>
      </vt:variant>
      <vt:variant>
        <vt:i4>0</vt:i4>
      </vt:variant>
      <vt:variant>
        <vt:i4>5</vt:i4>
      </vt:variant>
      <vt:variant>
        <vt:lpwstr/>
      </vt:variant>
      <vt:variant>
        <vt:lpwstr>_Toc17798654</vt:lpwstr>
      </vt:variant>
      <vt:variant>
        <vt:i4>1835067</vt:i4>
      </vt:variant>
      <vt:variant>
        <vt:i4>200</vt:i4>
      </vt:variant>
      <vt:variant>
        <vt:i4>0</vt:i4>
      </vt:variant>
      <vt:variant>
        <vt:i4>5</vt:i4>
      </vt:variant>
      <vt:variant>
        <vt:lpwstr/>
      </vt:variant>
      <vt:variant>
        <vt:lpwstr>_Toc17798653</vt:lpwstr>
      </vt:variant>
      <vt:variant>
        <vt:i4>1900603</vt:i4>
      </vt:variant>
      <vt:variant>
        <vt:i4>194</vt:i4>
      </vt:variant>
      <vt:variant>
        <vt:i4>0</vt:i4>
      </vt:variant>
      <vt:variant>
        <vt:i4>5</vt:i4>
      </vt:variant>
      <vt:variant>
        <vt:lpwstr/>
      </vt:variant>
      <vt:variant>
        <vt:lpwstr>_Toc17798652</vt:lpwstr>
      </vt:variant>
      <vt:variant>
        <vt:i4>1966139</vt:i4>
      </vt:variant>
      <vt:variant>
        <vt:i4>188</vt:i4>
      </vt:variant>
      <vt:variant>
        <vt:i4>0</vt:i4>
      </vt:variant>
      <vt:variant>
        <vt:i4>5</vt:i4>
      </vt:variant>
      <vt:variant>
        <vt:lpwstr/>
      </vt:variant>
      <vt:variant>
        <vt:lpwstr>_Toc17798651</vt:lpwstr>
      </vt:variant>
      <vt:variant>
        <vt:i4>2031675</vt:i4>
      </vt:variant>
      <vt:variant>
        <vt:i4>182</vt:i4>
      </vt:variant>
      <vt:variant>
        <vt:i4>0</vt:i4>
      </vt:variant>
      <vt:variant>
        <vt:i4>5</vt:i4>
      </vt:variant>
      <vt:variant>
        <vt:lpwstr/>
      </vt:variant>
      <vt:variant>
        <vt:lpwstr>_Toc17798650</vt:lpwstr>
      </vt:variant>
      <vt:variant>
        <vt:i4>1441850</vt:i4>
      </vt:variant>
      <vt:variant>
        <vt:i4>176</vt:i4>
      </vt:variant>
      <vt:variant>
        <vt:i4>0</vt:i4>
      </vt:variant>
      <vt:variant>
        <vt:i4>5</vt:i4>
      </vt:variant>
      <vt:variant>
        <vt:lpwstr/>
      </vt:variant>
      <vt:variant>
        <vt:lpwstr>_Toc17798649</vt:lpwstr>
      </vt:variant>
      <vt:variant>
        <vt:i4>1507386</vt:i4>
      </vt:variant>
      <vt:variant>
        <vt:i4>170</vt:i4>
      </vt:variant>
      <vt:variant>
        <vt:i4>0</vt:i4>
      </vt:variant>
      <vt:variant>
        <vt:i4>5</vt:i4>
      </vt:variant>
      <vt:variant>
        <vt:lpwstr/>
      </vt:variant>
      <vt:variant>
        <vt:lpwstr>_Toc17798648</vt:lpwstr>
      </vt:variant>
      <vt:variant>
        <vt:i4>1572922</vt:i4>
      </vt:variant>
      <vt:variant>
        <vt:i4>164</vt:i4>
      </vt:variant>
      <vt:variant>
        <vt:i4>0</vt:i4>
      </vt:variant>
      <vt:variant>
        <vt:i4>5</vt:i4>
      </vt:variant>
      <vt:variant>
        <vt:lpwstr/>
      </vt:variant>
      <vt:variant>
        <vt:lpwstr>_Toc17798647</vt:lpwstr>
      </vt:variant>
      <vt:variant>
        <vt:i4>1638458</vt:i4>
      </vt:variant>
      <vt:variant>
        <vt:i4>158</vt:i4>
      </vt:variant>
      <vt:variant>
        <vt:i4>0</vt:i4>
      </vt:variant>
      <vt:variant>
        <vt:i4>5</vt:i4>
      </vt:variant>
      <vt:variant>
        <vt:lpwstr/>
      </vt:variant>
      <vt:variant>
        <vt:lpwstr>_Toc17798646</vt:lpwstr>
      </vt:variant>
      <vt:variant>
        <vt:i4>1703994</vt:i4>
      </vt:variant>
      <vt:variant>
        <vt:i4>152</vt:i4>
      </vt:variant>
      <vt:variant>
        <vt:i4>0</vt:i4>
      </vt:variant>
      <vt:variant>
        <vt:i4>5</vt:i4>
      </vt:variant>
      <vt:variant>
        <vt:lpwstr/>
      </vt:variant>
      <vt:variant>
        <vt:lpwstr>_Toc17798645</vt:lpwstr>
      </vt:variant>
      <vt:variant>
        <vt:i4>1769530</vt:i4>
      </vt:variant>
      <vt:variant>
        <vt:i4>146</vt:i4>
      </vt:variant>
      <vt:variant>
        <vt:i4>0</vt:i4>
      </vt:variant>
      <vt:variant>
        <vt:i4>5</vt:i4>
      </vt:variant>
      <vt:variant>
        <vt:lpwstr/>
      </vt:variant>
      <vt:variant>
        <vt:lpwstr>_Toc17798644</vt:lpwstr>
      </vt:variant>
      <vt:variant>
        <vt:i4>1835066</vt:i4>
      </vt:variant>
      <vt:variant>
        <vt:i4>140</vt:i4>
      </vt:variant>
      <vt:variant>
        <vt:i4>0</vt:i4>
      </vt:variant>
      <vt:variant>
        <vt:i4>5</vt:i4>
      </vt:variant>
      <vt:variant>
        <vt:lpwstr/>
      </vt:variant>
      <vt:variant>
        <vt:lpwstr>_Toc17798643</vt:lpwstr>
      </vt:variant>
      <vt:variant>
        <vt:i4>1900602</vt:i4>
      </vt:variant>
      <vt:variant>
        <vt:i4>134</vt:i4>
      </vt:variant>
      <vt:variant>
        <vt:i4>0</vt:i4>
      </vt:variant>
      <vt:variant>
        <vt:i4>5</vt:i4>
      </vt:variant>
      <vt:variant>
        <vt:lpwstr/>
      </vt:variant>
      <vt:variant>
        <vt:lpwstr>_Toc17798642</vt:lpwstr>
      </vt:variant>
      <vt:variant>
        <vt:i4>1966138</vt:i4>
      </vt:variant>
      <vt:variant>
        <vt:i4>128</vt:i4>
      </vt:variant>
      <vt:variant>
        <vt:i4>0</vt:i4>
      </vt:variant>
      <vt:variant>
        <vt:i4>5</vt:i4>
      </vt:variant>
      <vt:variant>
        <vt:lpwstr/>
      </vt:variant>
      <vt:variant>
        <vt:lpwstr>_Toc17798641</vt:lpwstr>
      </vt:variant>
      <vt:variant>
        <vt:i4>2031674</vt:i4>
      </vt:variant>
      <vt:variant>
        <vt:i4>122</vt:i4>
      </vt:variant>
      <vt:variant>
        <vt:i4>0</vt:i4>
      </vt:variant>
      <vt:variant>
        <vt:i4>5</vt:i4>
      </vt:variant>
      <vt:variant>
        <vt:lpwstr/>
      </vt:variant>
      <vt:variant>
        <vt:lpwstr>_Toc17798640</vt:lpwstr>
      </vt:variant>
      <vt:variant>
        <vt:i4>1441853</vt:i4>
      </vt:variant>
      <vt:variant>
        <vt:i4>116</vt:i4>
      </vt:variant>
      <vt:variant>
        <vt:i4>0</vt:i4>
      </vt:variant>
      <vt:variant>
        <vt:i4>5</vt:i4>
      </vt:variant>
      <vt:variant>
        <vt:lpwstr/>
      </vt:variant>
      <vt:variant>
        <vt:lpwstr>_Toc17798639</vt:lpwstr>
      </vt:variant>
      <vt:variant>
        <vt:i4>1507389</vt:i4>
      </vt:variant>
      <vt:variant>
        <vt:i4>110</vt:i4>
      </vt:variant>
      <vt:variant>
        <vt:i4>0</vt:i4>
      </vt:variant>
      <vt:variant>
        <vt:i4>5</vt:i4>
      </vt:variant>
      <vt:variant>
        <vt:lpwstr/>
      </vt:variant>
      <vt:variant>
        <vt:lpwstr>_Toc17798638</vt:lpwstr>
      </vt:variant>
      <vt:variant>
        <vt:i4>1572925</vt:i4>
      </vt:variant>
      <vt:variant>
        <vt:i4>104</vt:i4>
      </vt:variant>
      <vt:variant>
        <vt:i4>0</vt:i4>
      </vt:variant>
      <vt:variant>
        <vt:i4>5</vt:i4>
      </vt:variant>
      <vt:variant>
        <vt:lpwstr/>
      </vt:variant>
      <vt:variant>
        <vt:lpwstr>_Toc17798637</vt:lpwstr>
      </vt:variant>
      <vt:variant>
        <vt:i4>1638461</vt:i4>
      </vt:variant>
      <vt:variant>
        <vt:i4>98</vt:i4>
      </vt:variant>
      <vt:variant>
        <vt:i4>0</vt:i4>
      </vt:variant>
      <vt:variant>
        <vt:i4>5</vt:i4>
      </vt:variant>
      <vt:variant>
        <vt:lpwstr/>
      </vt:variant>
      <vt:variant>
        <vt:lpwstr>_Toc17798636</vt:lpwstr>
      </vt:variant>
      <vt:variant>
        <vt:i4>1703997</vt:i4>
      </vt:variant>
      <vt:variant>
        <vt:i4>92</vt:i4>
      </vt:variant>
      <vt:variant>
        <vt:i4>0</vt:i4>
      </vt:variant>
      <vt:variant>
        <vt:i4>5</vt:i4>
      </vt:variant>
      <vt:variant>
        <vt:lpwstr/>
      </vt:variant>
      <vt:variant>
        <vt:lpwstr>_Toc17798635</vt:lpwstr>
      </vt:variant>
      <vt:variant>
        <vt:i4>1769533</vt:i4>
      </vt:variant>
      <vt:variant>
        <vt:i4>86</vt:i4>
      </vt:variant>
      <vt:variant>
        <vt:i4>0</vt:i4>
      </vt:variant>
      <vt:variant>
        <vt:i4>5</vt:i4>
      </vt:variant>
      <vt:variant>
        <vt:lpwstr/>
      </vt:variant>
      <vt:variant>
        <vt:lpwstr>_Toc17798634</vt:lpwstr>
      </vt:variant>
      <vt:variant>
        <vt:i4>1835069</vt:i4>
      </vt:variant>
      <vt:variant>
        <vt:i4>80</vt:i4>
      </vt:variant>
      <vt:variant>
        <vt:i4>0</vt:i4>
      </vt:variant>
      <vt:variant>
        <vt:i4>5</vt:i4>
      </vt:variant>
      <vt:variant>
        <vt:lpwstr/>
      </vt:variant>
      <vt:variant>
        <vt:lpwstr>_Toc17798633</vt:lpwstr>
      </vt:variant>
      <vt:variant>
        <vt:i4>1900605</vt:i4>
      </vt:variant>
      <vt:variant>
        <vt:i4>74</vt:i4>
      </vt:variant>
      <vt:variant>
        <vt:i4>0</vt:i4>
      </vt:variant>
      <vt:variant>
        <vt:i4>5</vt:i4>
      </vt:variant>
      <vt:variant>
        <vt:lpwstr/>
      </vt:variant>
      <vt:variant>
        <vt:lpwstr>_Toc17798632</vt:lpwstr>
      </vt:variant>
      <vt:variant>
        <vt:i4>1966141</vt:i4>
      </vt:variant>
      <vt:variant>
        <vt:i4>68</vt:i4>
      </vt:variant>
      <vt:variant>
        <vt:i4>0</vt:i4>
      </vt:variant>
      <vt:variant>
        <vt:i4>5</vt:i4>
      </vt:variant>
      <vt:variant>
        <vt:lpwstr/>
      </vt:variant>
      <vt:variant>
        <vt:lpwstr>_Toc17798631</vt:lpwstr>
      </vt:variant>
      <vt:variant>
        <vt:i4>2031677</vt:i4>
      </vt:variant>
      <vt:variant>
        <vt:i4>62</vt:i4>
      </vt:variant>
      <vt:variant>
        <vt:i4>0</vt:i4>
      </vt:variant>
      <vt:variant>
        <vt:i4>5</vt:i4>
      </vt:variant>
      <vt:variant>
        <vt:lpwstr/>
      </vt:variant>
      <vt:variant>
        <vt:lpwstr>_Toc17798630</vt:lpwstr>
      </vt:variant>
      <vt:variant>
        <vt:i4>1441852</vt:i4>
      </vt:variant>
      <vt:variant>
        <vt:i4>56</vt:i4>
      </vt:variant>
      <vt:variant>
        <vt:i4>0</vt:i4>
      </vt:variant>
      <vt:variant>
        <vt:i4>5</vt:i4>
      </vt:variant>
      <vt:variant>
        <vt:lpwstr/>
      </vt:variant>
      <vt:variant>
        <vt:lpwstr>_Toc17798629</vt:lpwstr>
      </vt:variant>
      <vt:variant>
        <vt:i4>1507388</vt:i4>
      </vt:variant>
      <vt:variant>
        <vt:i4>50</vt:i4>
      </vt:variant>
      <vt:variant>
        <vt:i4>0</vt:i4>
      </vt:variant>
      <vt:variant>
        <vt:i4>5</vt:i4>
      </vt:variant>
      <vt:variant>
        <vt:lpwstr/>
      </vt:variant>
      <vt:variant>
        <vt:lpwstr>_Toc17798628</vt:lpwstr>
      </vt:variant>
      <vt:variant>
        <vt:i4>1572924</vt:i4>
      </vt:variant>
      <vt:variant>
        <vt:i4>44</vt:i4>
      </vt:variant>
      <vt:variant>
        <vt:i4>0</vt:i4>
      </vt:variant>
      <vt:variant>
        <vt:i4>5</vt:i4>
      </vt:variant>
      <vt:variant>
        <vt:lpwstr/>
      </vt:variant>
      <vt:variant>
        <vt:lpwstr>_Toc17798627</vt:lpwstr>
      </vt:variant>
      <vt:variant>
        <vt:i4>1638460</vt:i4>
      </vt:variant>
      <vt:variant>
        <vt:i4>38</vt:i4>
      </vt:variant>
      <vt:variant>
        <vt:i4>0</vt:i4>
      </vt:variant>
      <vt:variant>
        <vt:i4>5</vt:i4>
      </vt:variant>
      <vt:variant>
        <vt:lpwstr/>
      </vt:variant>
      <vt:variant>
        <vt:lpwstr>_Toc17798626</vt:lpwstr>
      </vt:variant>
      <vt:variant>
        <vt:i4>1703996</vt:i4>
      </vt:variant>
      <vt:variant>
        <vt:i4>32</vt:i4>
      </vt:variant>
      <vt:variant>
        <vt:i4>0</vt:i4>
      </vt:variant>
      <vt:variant>
        <vt:i4>5</vt:i4>
      </vt:variant>
      <vt:variant>
        <vt:lpwstr/>
      </vt:variant>
      <vt:variant>
        <vt:lpwstr>_Toc17798625</vt:lpwstr>
      </vt:variant>
      <vt:variant>
        <vt:i4>1769532</vt:i4>
      </vt:variant>
      <vt:variant>
        <vt:i4>26</vt:i4>
      </vt:variant>
      <vt:variant>
        <vt:i4>0</vt:i4>
      </vt:variant>
      <vt:variant>
        <vt:i4>5</vt:i4>
      </vt:variant>
      <vt:variant>
        <vt:lpwstr/>
      </vt:variant>
      <vt:variant>
        <vt:lpwstr>_Toc17798624</vt:lpwstr>
      </vt:variant>
      <vt:variant>
        <vt:i4>1835068</vt:i4>
      </vt:variant>
      <vt:variant>
        <vt:i4>20</vt:i4>
      </vt:variant>
      <vt:variant>
        <vt:i4>0</vt:i4>
      </vt:variant>
      <vt:variant>
        <vt:i4>5</vt:i4>
      </vt:variant>
      <vt:variant>
        <vt:lpwstr/>
      </vt:variant>
      <vt:variant>
        <vt:lpwstr>_Toc17798623</vt:lpwstr>
      </vt:variant>
      <vt:variant>
        <vt:i4>1900604</vt:i4>
      </vt:variant>
      <vt:variant>
        <vt:i4>14</vt:i4>
      </vt:variant>
      <vt:variant>
        <vt:i4>0</vt:i4>
      </vt:variant>
      <vt:variant>
        <vt:i4>5</vt:i4>
      </vt:variant>
      <vt:variant>
        <vt:lpwstr/>
      </vt:variant>
      <vt:variant>
        <vt:lpwstr>_Toc17798622</vt:lpwstr>
      </vt:variant>
      <vt:variant>
        <vt:i4>1966140</vt:i4>
      </vt:variant>
      <vt:variant>
        <vt:i4>8</vt:i4>
      </vt:variant>
      <vt:variant>
        <vt:i4>0</vt:i4>
      </vt:variant>
      <vt:variant>
        <vt:i4>5</vt:i4>
      </vt:variant>
      <vt:variant>
        <vt:lpwstr/>
      </vt:variant>
      <vt:variant>
        <vt:lpwstr>_Toc17798621</vt:lpwstr>
      </vt:variant>
      <vt:variant>
        <vt:i4>2031676</vt:i4>
      </vt:variant>
      <vt:variant>
        <vt:i4>2</vt:i4>
      </vt:variant>
      <vt:variant>
        <vt:i4>0</vt:i4>
      </vt:variant>
      <vt:variant>
        <vt:i4>5</vt:i4>
      </vt:variant>
      <vt:variant>
        <vt:lpwstr/>
      </vt:variant>
      <vt:variant>
        <vt:lpwstr>_Toc17798620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ERCOT</dc:creator>
  <cp:keywords/>
  <dc:description/>
  <cp:lastModifiedBy>Joint Sponsors</cp:lastModifiedBy>
  <cp:revision>3</cp:revision>
  <cp:lastPrinted>2019-04-29T18:19:00Z</cp:lastPrinted>
  <dcterms:created xsi:type="dcterms:W3CDTF">2025-03-28T12:31:00Z</dcterms:created>
  <dcterms:modified xsi:type="dcterms:W3CDTF">2025-03-28T12:35:00Z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44db1d-993e-40da-980d-6eea152adc50_Enabled">
    <vt:lpwstr>true</vt:lpwstr>
  </property>
  <property fmtid="{D5CDD505-2E9C-101B-9397-08002B2CF9AE}" pid="3" name="MSIP_Label_c144db1d-993e-40da-980d-6eea152adc50_SetDate">
    <vt:lpwstr>2025-01-29T17:42:48Z</vt:lpwstr>
  </property>
  <property fmtid="{D5CDD505-2E9C-101B-9397-08002B2CF9AE}" pid="4" name="MSIP_Label_c144db1d-993e-40da-980d-6eea152adc50_Method">
    <vt:lpwstr>Privileged</vt:lpwstr>
  </property>
  <property fmtid="{D5CDD505-2E9C-101B-9397-08002B2CF9AE}" pid="5" name="MSIP_Label_c144db1d-993e-40da-980d-6eea152adc50_Name">
    <vt:lpwstr>Public</vt:lpwstr>
  </property>
  <property fmtid="{D5CDD505-2E9C-101B-9397-08002B2CF9AE}" pid="6" name="MSIP_Label_c144db1d-993e-40da-980d-6eea152adc50_SiteId">
    <vt:lpwstr>0afb747d-bff7-4596-a9fc-950ef9e0ec45</vt:lpwstr>
  </property>
  <property fmtid="{D5CDD505-2E9C-101B-9397-08002B2CF9AE}" pid="7" name="MSIP_Label_c144db1d-993e-40da-980d-6eea152adc50_ActionId">
    <vt:lpwstr>f3ef5318-583d-4c33-8daa-7794fd2b1724</vt:lpwstr>
  </property>
  <property fmtid="{D5CDD505-2E9C-101B-9397-08002B2CF9AE}" pid="8" name="MSIP_Label_c144db1d-993e-40da-980d-6eea152adc50_ContentBits">
    <vt:lpwstr>0</vt:lpwstr>
  </property>
</Properties>
</file>